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2D9BD" w14:textId="757D8679" w:rsidR="005A1C2E" w:rsidRDefault="005A1C2E">
      <w:pPr>
        <w:rPr>
          <w:b/>
          <w:bCs/>
          <w:lang w:val="en-GB"/>
        </w:rPr>
      </w:pPr>
      <w:bookmarkStart w:id="0" w:name="_GoBack"/>
      <w:bookmarkEnd w:id="0"/>
    </w:p>
    <w:p w14:paraId="72174999" w14:textId="77777777" w:rsidR="00F97834" w:rsidRPr="00F97834" w:rsidRDefault="00F97834" w:rsidP="00F97834">
      <w:pPr>
        <w:spacing w:after="0" w:line="360" w:lineRule="auto"/>
        <w:ind w:left="305" w:hangingChars="127" w:hanging="305"/>
        <w:jc w:val="center"/>
        <w:rPr>
          <w:rFonts w:eastAsia="Times New Roman"/>
          <w:b/>
          <w:kern w:val="0"/>
          <w:lang w:eastAsia="en-GB"/>
          <w14:ligatures w14:val="none"/>
        </w:rPr>
      </w:pPr>
      <w:r w:rsidRPr="00F97834">
        <w:rPr>
          <w:rFonts w:eastAsia="Times New Roman"/>
          <w:b/>
          <w:kern w:val="0"/>
          <w:lang w:eastAsia="en-GB"/>
          <w14:ligatures w14:val="none"/>
        </w:rPr>
        <w:t>REPUBLIC OF SOUTH AFRICA</w:t>
      </w:r>
    </w:p>
    <w:p w14:paraId="026F7230" w14:textId="77777777" w:rsidR="00F97834" w:rsidRPr="00F97834" w:rsidRDefault="00F97834" w:rsidP="00F97834">
      <w:pPr>
        <w:spacing w:after="0" w:line="360" w:lineRule="auto"/>
        <w:ind w:left="305" w:hangingChars="127" w:hanging="305"/>
        <w:jc w:val="center"/>
        <w:rPr>
          <w:rFonts w:eastAsia="Times New Roman"/>
          <w:b/>
          <w:kern w:val="0"/>
          <w:lang w:eastAsia="en-GB"/>
          <w14:ligatures w14:val="none"/>
        </w:rPr>
      </w:pPr>
      <w:r w:rsidRPr="00F97834">
        <w:rPr>
          <w:rFonts w:eastAsia="MS Mincho"/>
          <w:b/>
          <w:noProof/>
          <w:kern w:val="0"/>
          <w:lang w:eastAsia="en-ZA"/>
          <w14:ligatures w14:val="none"/>
        </w:rPr>
        <w:drawing>
          <wp:inline distT="0" distB="0" distL="0" distR="0" wp14:anchorId="62125196" wp14:editId="73D0E42C">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087C5BCE" w14:textId="77777777" w:rsidR="00F97834" w:rsidRPr="00F97834" w:rsidRDefault="00F97834" w:rsidP="00F97834">
      <w:pPr>
        <w:spacing w:after="0" w:line="360" w:lineRule="auto"/>
        <w:ind w:left="305" w:hangingChars="127" w:hanging="305"/>
        <w:jc w:val="center"/>
        <w:rPr>
          <w:rFonts w:eastAsia="Times New Roman"/>
          <w:b/>
          <w:kern w:val="0"/>
          <w:lang w:eastAsia="en-GB"/>
          <w14:ligatures w14:val="none"/>
        </w:rPr>
      </w:pPr>
      <w:r w:rsidRPr="00F97834">
        <w:rPr>
          <w:rFonts w:eastAsia="Times New Roman"/>
          <w:b/>
          <w:kern w:val="0"/>
          <w:lang w:eastAsia="en-GB"/>
          <w14:ligatures w14:val="none"/>
        </w:rPr>
        <w:t>IN THE HIGH COURT OF SOUTH AFRICA</w:t>
      </w:r>
    </w:p>
    <w:p w14:paraId="4F9680CA" w14:textId="71DAE7E6" w:rsidR="00F97834" w:rsidRPr="00F97834" w:rsidRDefault="00F97834" w:rsidP="00FE3141">
      <w:pPr>
        <w:spacing w:after="0" w:line="480" w:lineRule="auto"/>
        <w:ind w:left="305" w:hangingChars="127" w:hanging="305"/>
        <w:jc w:val="center"/>
        <w:rPr>
          <w:rFonts w:eastAsia="Times New Roman"/>
          <w:b/>
          <w:kern w:val="0"/>
          <w:lang w:eastAsia="en-GB"/>
          <w14:ligatures w14:val="none"/>
        </w:rPr>
      </w:pPr>
      <w:r w:rsidRPr="00F97834">
        <w:rPr>
          <w:rFonts w:eastAsia="Times New Roman"/>
          <w:b/>
          <w:kern w:val="0"/>
          <w:lang w:eastAsia="en-GB"/>
          <w14:ligatures w14:val="none"/>
        </w:rPr>
        <w:t>GAUTENG LOCAL DIVISION, JOHANNESBURG</w:t>
      </w:r>
      <w:r w:rsidR="00FE3141">
        <w:rPr>
          <w:rFonts w:eastAsia="Times New Roman"/>
          <w:b/>
          <w:kern w:val="0"/>
          <w:lang w:eastAsia="en-GB"/>
          <w14:ligatures w14:val="none"/>
        </w:rPr>
        <w:t xml:space="preserve"> </w:t>
      </w:r>
    </w:p>
    <w:p w14:paraId="5BD7955E" w14:textId="33D70C03" w:rsidR="00F97834" w:rsidRPr="00F97834" w:rsidRDefault="00396AB0" w:rsidP="00F97834">
      <w:pPr>
        <w:spacing w:after="0" w:line="360" w:lineRule="auto"/>
        <w:ind w:left="305" w:hangingChars="127" w:hanging="305"/>
        <w:jc w:val="right"/>
        <w:rPr>
          <w:rFonts w:eastAsia="Times New Roman"/>
          <w:b/>
          <w:kern w:val="25"/>
          <w:lang w:val="en-GB" w:eastAsia="en-GB"/>
          <w14:ligatures w14:val="none"/>
        </w:rPr>
      </w:pPr>
      <w:r w:rsidRPr="00F97834">
        <w:rPr>
          <w:rFonts w:eastAsia="MS Mincho"/>
          <w:noProof/>
          <w:kern w:val="0"/>
          <w:lang w:eastAsia="en-ZA"/>
          <w14:ligatures w14:val="none"/>
        </w:rPr>
        <mc:AlternateContent>
          <mc:Choice Requires="wps">
            <w:drawing>
              <wp:anchor distT="0" distB="0" distL="114300" distR="114300" simplePos="0" relativeHeight="251659264" behindDoc="0" locked="0" layoutInCell="1" allowOverlap="1" wp14:anchorId="2FCE4F6A" wp14:editId="753E613E">
                <wp:simplePos x="0" y="0"/>
                <wp:positionH relativeFrom="margin">
                  <wp:align>left</wp:align>
                </wp:positionH>
                <wp:positionV relativeFrom="paragraph">
                  <wp:posOffset>186691</wp:posOffset>
                </wp:positionV>
                <wp:extent cx="3314700" cy="1219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19200"/>
                        </a:xfrm>
                        <a:prstGeom prst="rect">
                          <a:avLst/>
                        </a:prstGeom>
                        <a:solidFill>
                          <a:srgbClr val="FFFFFF"/>
                        </a:solidFill>
                        <a:ln w="9525">
                          <a:solidFill>
                            <a:srgbClr val="000000"/>
                          </a:solidFill>
                          <a:miter lim="800000"/>
                          <a:headEnd/>
                          <a:tailEnd/>
                        </a:ln>
                      </wps:spPr>
                      <wps:txbx>
                        <w:txbxContent>
                          <w:p w14:paraId="0051E30F" w14:textId="77777777" w:rsidR="00F97834" w:rsidRPr="004120A8" w:rsidRDefault="00F97834" w:rsidP="00F97834">
                            <w:pPr>
                              <w:jc w:val="center"/>
                              <w:rPr>
                                <w:rFonts w:ascii="Century Gothic" w:hAnsi="Century Gothic"/>
                                <w:b/>
                                <w:sz w:val="2"/>
                                <w:szCs w:val="18"/>
                              </w:rPr>
                            </w:pPr>
                          </w:p>
                          <w:p w14:paraId="60806880" w14:textId="41141D02" w:rsidR="00F97834" w:rsidRPr="004120A8" w:rsidRDefault="008C3136" w:rsidP="008C3136">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F97834">
                              <w:rPr>
                                <w:rFonts w:ascii="Century Gothic" w:hAnsi="Century Gothic"/>
                                <w:sz w:val="18"/>
                                <w:szCs w:val="18"/>
                              </w:rPr>
                              <w:t>REPORTABLE: YES</w:t>
                            </w:r>
                          </w:p>
                          <w:p w14:paraId="3935DD3B" w14:textId="19DFFDB1" w:rsidR="00F97834" w:rsidRPr="004120A8" w:rsidRDefault="008C3136" w:rsidP="008C3136">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F97834" w:rsidRPr="004120A8">
                              <w:rPr>
                                <w:rFonts w:ascii="Century Gothic" w:hAnsi="Century Gothic"/>
                                <w:sz w:val="18"/>
                                <w:szCs w:val="18"/>
                              </w:rPr>
                              <w:t>O</w:t>
                            </w:r>
                            <w:r w:rsidR="00F97834">
                              <w:rPr>
                                <w:rFonts w:ascii="Century Gothic" w:hAnsi="Century Gothic"/>
                                <w:sz w:val="18"/>
                                <w:szCs w:val="18"/>
                              </w:rPr>
                              <w:t>F INTEREST TO OTHER JUDGES: YES</w:t>
                            </w:r>
                          </w:p>
                          <w:p w14:paraId="6274E36B" w14:textId="67FAC18C" w:rsidR="00F97834" w:rsidRDefault="008C3136" w:rsidP="008C3136">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F97834">
                              <w:rPr>
                                <w:rFonts w:ascii="Century Gothic" w:hAnsi="Century Gothic"/>
                                <w:sz w:val="18"/>
                                <w:szCs w:val="18"/>
                              </w:rPr>
                              <w:t>REVISED: YES</w:t>
                            </w:r>
                          </w:p>
                          <w:p w14:paraId="3945688C" w14:textId="77777777" w:rsidR="00F97834" w:rsidRDefault="00F97834" w:rsidP="00F97834">
                            <w:pPr>
                              <w:spacing w:after="0"/>
                              <w:ind w:left="900"/>
                              <w:rPr>
                                <w:rFonts w:ascii="Century Gothic" w:hAnsi="Century Gothic"/>
                                <w:sz w:val="18"/>
                                <w:szCs w:val="18"/>
                              </w:rPr>
                            </w:pPr>
                          </w:p>
                          <w:p w14:paraId="36C8932F" w14:textId="77777777" w:rsidR="00F97834" w:rsidRPr="00CE3BCB" w:rsidRDefault="00F97834" w:rsidP="00F97834">
                            <w:pPr>
                              <w:spacing w:after="0"/>
                              <w:ind w:left="900"/>
                              <w:rPr>
                                <w:rFonts w:ascii="Century Gothic" w:hAnsi="Century Gothic"/>
                                <w:sz w:val="18"/>
                                <w:szCs w:val="18"/>
                              </w:rPr>
                            </w:pPr>
                          </w:p>
                          <w:p w14:paraId="47C34120" w14:textId="7BAA7BA1" w:rsidR="00F97834" w:rsidRPr="004120A8" w:rsidRDefault="00F97834" w:rsidP="00F97834">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24/11/2023…</w:t>
                            </w:r>
                            <w:r w:rsidRPr="004120A8">
                              <w:rPr>
                                <w:rFonts w:ascii="Century Gothic" w:hAnsi="Century Gothic"/>
                                <w:b/>
                                <w:sz w:val="18"/>
                                <w:szCs w:val="18"/>
                              </w:rPr>
                              <w:t>…</w:t>
                            </w:r>
                          </w:p>
                          <w:p w14:paraId="28A6344E" w14:textId="77777777" w:rsidR="00F97834" w:rsidRPr="004120A8" w:rsidRDefault="00F97834" w:rsidP="00F97834">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0B315959" w14:textId="77777777" w:rsidR="00F97834" w:rsidRPr="004120A8" w:rsidRDefault="00F97834" w:rsidP="00F97834">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E4F6A" id="_x0000_t202" coordsize="21600,21600" o:spt="202" path="m,l,21600r21600,l21600,xe">
                <v:stroke joinstyle="miter"/>
                <v:path gradientshapeok="t" o:connecttype="rect"/>
              </v:shapetype>
              <v:shape id="Text Box 9" o:spid="_x0000_s1026" type="#_x0000_t202" style="position:absolute;left:0;text-align:left;margin-left:0;margin-top:14.7pt;width:261pt;height: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">
                <v:textbox>
                  <w:txbxContent>
                    <w:p w14:paraId="0051E30F" w14:textId="77777777" w:rsidR="00F97834" w:rsidRPr="004120A8" w:rsidRDefault="00F97834" w:rsidP="00F97834">
                      <w:pPr>
                        <w:jc w:val="center"/>
                        <w:rPr>
                          <w:rFonts w:ascii="Century Gothic" w:hAnsi="Century Gothic"/>
                          <w:b/>
                          <w:sz w:val="2"/>
                          <w:szCs w:val="18"/>
                        </w:rPr>
                      </w:pPr>
                    </w:p>
                    <w:p w14:paraId="60806880" w14:textId="41141D02" w:rsidR="00F97834" w:rsidRPr="004120A8" w:rsidRDefault="008C3136" w:rsidP="008C3136">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F97834">
                        <w:rPr>
                          <w:rFonts w:ascii="Century Gothic" w:hAnsi="Century Gothic"/>
                          <w:sz w:val="18"/>
                          <w:szCs w:val="18"/>
                        </w:rPr>
                        <w:t>REPORTABLE: YES</w:t>
                      </w:r>
                    </w:p>
                    <w:p w14:paraId="3935DD3B" w14:textId="19DFFDB1" w:rsidR="00F97834" w:rsidRPr="004120A8" w:rsidRDefault="008C3136" w:rsidP="008C3136">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F97834" w:rsidRPr="004120A8">
                        <w:rPr>
                          <w:rFonts w:ascii="Century Gothic" w:hAnsi="Century Gothic"/>
                          <w:sz w:val="18"/>
                          <w:szCs w:val="18"/>
                        </w:rPr>
                        <w:t>O</w:t>
                      </w:r>
                      <w:r w:rsidR="00F97834">
                        <w:rPr>
                          <w:rFonts w:ascii="Century Gothic" w:hAnsi="Century Gothic"/>
                          <w:sz w:val="18"/>
                          <w:szCs w:val="18"/>
                        </w:rPr>
                        <w:t>F INTEREST TO OTHER JUDGES: YES</w:t>
                      </w:r>
                    </w:p>
                    <w:p w14:paraId="6274E36B" w14:textId="67FAC18C" w:rsidR="00F97834" w:rsidRDefault="008C3136" w:rsidP="008C3136">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F97834">
                        <w:rPr>
                          <w:rFonts w:ascii="Century Gothic" w:hAnsi="Century Gothic"/>
                          <w:sz w:val="18"/>
                          <w:szCs w:val="18"/>
                        </w:rPr>
                        <w:t>REVISED: YES</w:t>
                      </w:r>
                    </w:p>
                    <w:p w14:paraId="3945688C" w14:textId="77777777" w:rsidR="00F97834" w:rsidRDefault="00F97834" w:rsidP="00F97834">
                      <w:pPr>
                        <w:spacing w:after="0"/>
                        <w:ind w:left="900"/>
                        <w:rPr>
                          <w:rFonts w:ascii="Century Gothic" w:hAnsi="Century Gothic"/>
                          <w:sz w:val="18"/>
                          <w:szCs w:val="18"/>
                        </w:rPr>
                      </w:pPr>
                    </w:p>
                    <w:p w14:paraId="36C8932F" w14:textId="77777777" w:rsidR="00F97834" w:rsidRPr="00CE3BCB" w:rsidRDefault="00F97834" w:rsidP="00F97834">
                      <w:pPr>
                        <w:spacing w:after="0"/>
                        <w:ind w:left="900"/>
                        <w:rPr>
                          <w:rFonts w:ascii="Century Gothic" w:hAnsi="Century Gothic"/>
                          <w:sz w:val="18"/>
                          <w:szCs w:val="18"/>
                        </w:rPr>
                      </w:pPr>
                    </w:p>
                    <w:p w14:paraId="47C34120" w14:textId="7BAA7BA1" w:rsidR="00F97834" w:rsidRPr="004120A8" w:rsidRDefault="00F97834" w:rsidP="00F97834">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24/11/2023…</w:t>
                      </w:r>
                      <w:r w:rsidRPr="004120A8">
                        <w:rPr>
                          <w:rFonts w:ascii="Century Gothic" w:hAnsi="Century Gothic"/>
                          <w:b/>
                          <w:sz w:val="18"/>
                          <w:szCs w:val="18"/>
                        </w:rPr>
                        <w:t>…</w:t>
                      </w:r>
                    </w:p>
                    <w:p w14:paraId="28A6344E" w14:textId="77777777" w:rsidR="00F97834" w:rsidRPr="004120A8" w:rsidRDefault="00F97834" w:rsidP="00F97834">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0B315959" w14:textId="77777777" w:rsidR="00F97834" w:rsidRPr="004120A8" w:rsidRDefault="00F97834" w:rsidP="00F97834">
                      <w:pPr>
                        <w:rPr>
                          <w:rFonts w:ascii="Century Gothic" w:hAnsi="Century Gothic"/>
                          <w:b/>
                          <w:sz w:val="2"/>
                          <w:szCs w:val="18"/>
                        </w:rPr>
                      </w:pPr>
                    </w:p>
                  </w:txbxContent>
                </v:textbox>
                <w10:wrap anchorx="margin"/>
              </v:shape>
            </w:pict>
          </mc:Fallback>
        </mc:AlternateContent>
      </w:r>
      <w:r w:rsidR="00F97834" w:rsidRPr="00F97834">
        <w:rPr>
          <w:rFonts w:eastAsia="Times New Roman"/>
          <w:b/>
          <w:kern w:val="0"/>
          <w:lang w:eastAsia="en-GB"/>
          <w14:ligatures w14:val="none"/>
        </w:rPr>
        <w:tab/>
      </w:r>
      <w:r w:rsidR="00F97834" w:rsidRPr="00F97834">
        <w:rPr>
          <w:rFonts w:eastAsia="Times New Roman"/>
          <w:b/>
          <w:kern w:val="0"/>
          <w:lang w:eastAsia="en-GB"/>
          <w14:ligatures w14:val="none"/>
        </w:rPr>
        <w:tab/>
      </w:r>
      <w:r w:rsidR="00F97834" w:rsidRPr="00F97834">
        <w:rPr>
          <w:rFonts w:eastAsia="Times New Roman"/>
          <w:b/>
          <w:kern w:val="0"/>
          <w:lang w:eastAsia="en-GB"/>
          <w14:ligatures w14:val="none"/>
        </w:rPr>
        <w:tab/>
      </w:r>
      <w:r w:rsidR="00F97834" w:rsidRPr="00F97834">
        <w:rPr>
          <w:rFonts w:eastAsia="Times New Roman"/>
          <w:b/>
          <w:kern w:val="0"/>
          <w:lang w:eastAsia="en-GB"/>
          <w14:ligatures w14:val="none"/>
        </w:rPr>
        <w:tab/>
      </w:r>
      <w:r w:rsidR="00F97834" w:rsidRPr="00F97834">
        <w:rPr>
          <w:rFonts w:eastAsia="Times New Roman"/>
          <w:b/>
          <w:kern w:val="0"/>
          <w:lang w:eastAsia="en-GB"/>
          <w14:ligatures w14:val="none"/>
        </w:rPr>
        <w:tab/>
        <w:t>CASE NO:</w:t>
      </w:r>
      <w:r w:rsidR="00F97834" w:rsidRPr="00F97834">
        <w:rPr>
          <w:rFonts w:eastAsia="Times New Roman"/>
          <w:b/>
          <w:kern w:val="25"/>
          <w:lang w:val="en-GB" w:eastAsia="en-GB"/>
          <w14:ligatures w14:val="none"/>
        </w:rPr>
        <w:t xml:space="preserve"> </w:t>
      </w:r>
      <w:r w:rsidR="00F97834" w:rsidRPr="00F97834">
        <w:rPr>
          <w:rFonts w:eastAsia="Times New Roman"/>
          <w:b/>
          <w:bCs/>
          <w:kern w:val="25"/>
          <w:lang w:eastAsia="en-GB"/>
          <w14:ligatures w14:val="none"/>
        </w:rPr>
        <w:t>2022/045978</w:t>
      </w:r>
    </w:p>
    <w:p w14:paraId="788A2058" w14:textId="5320FEAD" w:rsidR="00F97834" w:rsidRPr="00F97834" w:rsidRDefault="00F97834" w:rsidP="00F97834">
      <w:pPr>
        <w:spacing w:after="0" w:line="360" w:lineRule="auto"/>
        <w:ind w:left="305" w:hangingChars="127" w:hanging="305"/>
        <w:jc w:val="both"/>
        <w:rPr>
          <w:rFonts w:eastAsia="Times New Roman"/>
          <w:kern w:val="0"/>
          <w:u w:val="single"/>
          <w:lang w:val="en-GB" w:eastAsia="en-GB"/>
          <w14:ligatures w14:val="none"/>
        </w:rPr>
      </w:pPr>
    </w:p>
    <w:p w14:paraId="6607D111" w14:textId="77777777" w:rsidR="00F97834" w:rsidRPr="00F97834" w:rsidRDefault="00F97834" w:rsidP="00F97834">
      <w:pPr>
        <w:spacing w:after="0" w:line="360" w:lineRule="auto"/>
        <w:ind w:left="305" w:hangingChars="127" w:hanging="305"/>
        <w:jc w:val="both"/>
        <w:rPr>
          <w:rFonts w:eastAsia="Times New Roman"/>
          <w:kern w:val="0"/>
          <w:u w:val="single"/>
          <w:lang w:val="en-GB" w:eastAsia="en-GB"/>
          <w14:ligatures w14:val="none"/>
        </w:rPr>
      </w:pPr>
    </w:p>
    <w:p w14:paraId="54EC782E" w14:textId="77777777" w:rsidR="00F97834" w:rsidRPr="00F97834" w:rsidRDefault="00F97834" w:rsidP="00F97834">
      <w:pPr>
        <w:spacing w:after="0" w:line="360" w:lineRule="auto"/>
        <w:ind w:left="305" w:hangingChars="127" w:hanging="305"/>
        <w:jc w:val="both"/>
        <w:rPr>
          <w:rFonts w:eastAsia="Times New Roman"/>
          <w:kern w:val="0"/>
          <w:u w:val="single"/>
          <w:lang w:val="en-GB" w:eastAsia="en-GB"/>
          <w14:ligatures w14:val="none"/>
        </w:rPr>
      </w:pPr>
    </w:p>
    <w:p w14:paraId="0ECB51FC" w14:textId="77777777" w:rsidR="00F97834" w:rsidRPr="00F97834" w:rsidRDefault="00F97834" w:rsidP="00F97834">
      <w:pPr>
        <w:spacing w:after="0" w:line="360" w:lineRule="auto"/>
        <w:ind w:left="305" w:hangingChars="127" w:hanging="305"/>
        <w:jc w:val="both"/>
        <w:rPr>
          <w:rFonts w:eastAsia="Calibri"/>
          <w:kern w:val="0"/>
          <w14:ligatures w14:val="none"/>
        </w:rPr>
      </w:pPr>
    </w:p>
    <w:p w14:paraId="1FCD5F41" w14:textId="77777777" w:rsidR="00F97834" w:rsidRPr="00F97834" w:rsidRDefault="00F97834" w:rsidP="00F97834">
      <w:pPr>
        <w:widowControl w:val="0"/>
        <w:autoSpaceDE w:val="0"/>
        <w:autoSpaceDN w:val="0"/>
        <w:adjustRightInd w:val="0"/>
        <w:spacing w:after="0" w:line="360" w:lineRule="auto"/>
        <w:jc w:val="both"/>
        <w:rPr>
          <w:rFonts w:eastAsia="MS Mincho"/>
          <w:color w:val="1B1919"/>
          <w:kern w:val="0"/>
          <w:lang w:val="en-GB" w:eastAsia="ja-JP"/>
          <w14:ligatures w14:val="none"/>
        </w:rPr>
      </w:pPr>
    </w:p>
    <w:p w14:paraId="24CBF7FD" w14:textId="77777777" w:rsidR="00F97834" w:rsidRPr="00F97834" w:rsidRDefault="00F97834" w:rsidP="00F97834">
      <w:pPr>
        <w:widowControl w:val="0"/>
        <w:autoSpaceDE w:val="0"/>
        <w:autoSpaceDN w:val="0"/>
        <w:adjustRightInd w:val="0"/>
        <w:spacing w:after="0" w:line="480" w:lineRule="auto"/>
        <w:ind w:left="305" w:hangingChars="127" w:hanging="305"/>
        <w:jc w:val="both"/>
        <w:rPr>
          <w:rFonts w:eastAsia="MS Mincho"/>
          <w:color w:val="1B1919"/>
          <w:kern w:val="0"/>
          <w:lang w:val="en-GB" w:eastAsia="ja-JP"/>
          <w14:ligatures w14:val="none"/>
        </w:rPr>
      </w:pPr>
      <w:r w:rsidRPr="00F97834">
        <w:rPr>
          <w:rFonts w:eastAsia="MS Mincho"/>
          <w:color w:val="1B1919"/>
          <w:kern w:val="0"/>
          <w:lang w:val="en-GB" w:eastAsia="ja-JP"/>
          <w14:ligatures w14:val="none"/>
        </w:rPr>
        <w:t xml:space="preserve">In the matter between: </w:t>
      </w:r>
    </w:p>
    <w:p w14:paraId="3FF5614D" w14:textId="0D5C465F" w:rsidR="00F97834" w:rsidRDefault="002003FA" w:rsidP="00FE3141">
      <w:pPr>
        <w:pBdr>
          <w:top w:val="nil"/>
          <w:left w:val="nil"/>
          <w:bottom w:val="nil"/>
          <w:right w:val="nil"/>
          <w:between w:val="nil"/>
          <w:bar w:val="nil"/>
        </w:pBdr>
        <w:tabs>
          <w:tab w:val="right" w:pos="8504"/>
        </w:tabs>
        <w:spacing w:after="360" w:line="240" w:lineRule="auto"/>
        <w:rPr>
          <w:rFonts w:eastAsia="Arial Unicode MS" w:cs="Arial Unicode MS"/>
          <w:b/>
          <w:color w:val="000000"/>
          <w:kern w:val="0"/>
          <w:bdr w:val="nil"/>
          <w:lang w:val="en-GB" w:eastAsia="en-ZA"/>
          <w14:textOutline w14:w="0" w14:cap="flat" w14:cmpd="sng" w14:algn="ctr">
            <w14:noFill/>
            <w14:prstDash w14:val="solid"/>
            <w14:bevel/>
          </w14:textOutline>
          <w14:ligatures w14:val="none"/>
        </w:rPr>
      </w:pPr>
      <w:r w:rsidRPr="002003FA">
        <w:rPr>
          <w:rFonts w:eastAsia="Arial Unicode MS" w:cs="Arial Unicode MS"/>
          <w:b/>
          <w:bCs/>
          <w:color w:val="000000"/>
          <w:kern w:val="0"/>
          <w:bdr w:val="nil"/>
          <w:lang w:eastAsia="en-ZA"/>
          <w14:textOutline w14:w="0" w14:cap="flat" w14:cmpd="sng" w14:algn="ctr">
            <w14:noFill/>
            <w14:prstDash w14:val="solid"/>
            <w14:bevel/>
          </w14:textOutline>
          <w14:ligatures w14:val="none"/>
        </w:rPr>
        <w:t>VANTAGE MEZZANINE FUND II PARTNERSHIP</w:t>
      </w:r>
      <w:r w:rsidR="00F97834" w:rsidRPr="00F97834">
        <w:rPr>
          <w:rFonts w:eastAsia="Arial Unicode MS" w:cs="Arial Unicode MS"/>
          <w:color w:val="000000"/>
          <w:kern w:val="0"/>
          <w:bdr w:val="nil"/>
          <w:lang w:val="fr-FR" w:eastAsia="en-ZA"/>
          <w14:textOutline w14:w="0" w14:cap="flat" w14:cmpd="sng" w14:algn="ctr">
            <w14:noFill/>
            <w14:prstDash w14:val="solid"/>
            <w14:bevel/>
          </w14:textOutline>
          <w14:ligatures w14:val="none"/>
        </w:rPr>
        <w:tab/>
      </w:r>
      <w:r w:rsidRPr="002003FA">
        <w:rPr>
          <w:rFonts w:eastAsia="Arial Unicode MS" w:cs="Arial Unicode MS"/>
          <w:b/>
          <w:bCs/>
          <w:color w:val="000000"/>
          <w:kern w:val="0"/>
          <w:bdr w:val="nil"/>
          <w:lang w:val="fr-FR" w:eastAsia="en-ZA"/>
          <w14:textOutline w14:w="0" w14:cap="flat" w14:cmpd="sng" w14:algn="ctr">
            <w14:noFill/>
            <w14:prstDash w14:val="solid"/>
            <w14:bevel/>
          </w14:textOutline>
          <w14:ligatures w14:val="none"/>
        </w:rPr>
        <w:t xml:space="preserve">First </w:t>
      </w:r>
      <w:r w:rsidR="00F97834" w:rsidRPr="00F97834">
        <w:rPr>
          <w:rFonts w:eastAsia="Arial Unicode MS" w:cs="Arial Unicode MS"/>
          <w:b/>
          <w:bCs/>
          <w:color w:val="000000"/>
          <w:kern w:val="0"/>
          <w:bdr w:val="nil"/>
          <w:lang w:val="en-GB" w:eastAsia="en-ZA"/>
          <w14:textOutline w14:w="0" w14:cap="flat" w14:cmpd="sng" w14:algn="ctr">
            <w14:noFill/>
            <w14:prstDash w14:val="solid"/>
            <w14:bevel/>
          </w14:textOutline>
          <w14:ligatures w14:val="none"/>
        </w:rPr>
        <w:t>A</w:t>
      </w:r>
      <w:r w:rsidR="00F97834" w:rsidRPr="00F97834">
        <w:rPr>
          <w:rFonts w:eastAsia="Arial Unicode MS" w:cs="Arial Unicode MS"/>
          <w:b/>
          <w:color w:val="000000"/>
          <w:kern w:val="0"/>
          <w:bdr w:val="nil"/>
          <w:lang w:val="en-GB" w:eastAsia="en-ZA"/>
          <w14:textOutline w14:w="0" w14:cap="flat" w14:cmpd="sng" w14:algn="ctr">
            <w14:noFill/>
            <w14:prstDash w14:val="solid"/>
            <w14:bevel/>
          </w14:textOutline>
          <w14:ligatures w14:val="none"/>
        </w:rPr>
        <w:t>pplicant</w:t>
      </w:r>
      <w:r w:rsidR="00FE3141">
        <w:rPr>
          <w:rFonts w:eastAsia="Arial Unicode MS" w:cs="Arial Unicode MS"/>
          <w:b/>
          <w:color w:val="000000"/>
          <w:kern w:val="0"/>
          <w:bdr w:val="nil"/>
          <w:lang w:val="en-GB" w:eastAsia="en-ZA"/>
          <w14:textOutline w14:w="0" w14:cap="flat" w14:cmpd="sng" w14:algn="ctr">
            <w14:noFill/>
            <w14:prstDash w14:val="solid"/>
            <w14:bevel/>
          </w14:textOutline>
          <w14:ligatures w14:val="none"/>
        </w:rPr>
        <w:t xml:space="preserve"> </w:t>
      </w:r>
    </w:p>
    <w:p w14:paraId="36877536" w14:textId="7516143F" w:rsidR="00D77279" w:rsidRPr="00F97834" w:rsidRDefault="00D77279" w:rsidP="00FE3141">
      <w:pPr>
        <w:pBdr>
          <w:top w:val="nil"/>
          <w:left w:val="nil"/>
          <w:bottom w:val="nil"/>
          <w:right w:val="nil"/>
          <w:between w:val="nil"/>
          <w:bar w:val="nil"/>
        </w:pBdr>
        <w:tabs>
          <w:tab w:val="right" w:pos="8504"/>
        </w:tabs>
        <w:spacing w:after="360" w:line="240" w:lineRule="auto"/>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pPr>
      <w:r w:rsidRPr="00D77279">
        <w:rPr>
          <w:b/>
          <w:bCs/>
        </w:rPr>
        <w:t>VANTAGE MEZZANINE FUND II (PTY) LTD</w:t>
      </w:r>
      <w:r>
        <w:rPr>
          <w:b/>
          <w:bCs/>
        </w:rPr>
        <w:tab/>
      </w:r>
      <w:r>
        <w:rPr>
          <w:rFonts w:eastAsia="Arial Unicode MS" w:cs="Arial Unicode MS"/>
          <w:b/>
          <w:bCs/>
          <w:color w:val="000000"/>
          <w:kern w:val="0"/>
          <w:bdr w:val="nil"/>
          <w:lang w:val="fr-FR" w:eastAsia="en-ZA"/>
          <w14:textOutline w14:w="0" w14:cap="flat" w14:cmpd="sng" w14:algn="ctr">
            <w14:noFill/>
            <w14:prstDash w14:val="solid"/>
            <w14:bevel/>
          </w14:textOutline>
          <w14:ligatures w14:val="none"/>
        </w:rPr>
        <w:t>Second</w:t>
      </w:r>
      <w:r w:rsidRPr="002003FA">
        <w:rPr>
          <w:rFonts w:eastAsia="Arial Unicode MS" w:cs="Arial Unicode MS"/>
          <w:b/>
          <w:bCs/>
          <w:color w:val="000000"/>
          <w:kern w:val="0"/>
          <w:bdr w:val="nil"/>
          <w:lang w:val="fr-FR" w:eastAsia="en-ZA"/>
          <w14:textOutline w14:w="0" w14:cap="flat" w14:cmpd="sng" w14:algn="ctr">
            <w14:noFill/>
            <w14:prstDash w14:val="solid"/>
            <w14:bevel/>
          </w14:textOutline>
          <w14:ligatures w14:val="none"/>
        </w:rPr>
        <w:t xml:space="preserve"> </w:t>
      </w:r>
      <w:r w:rsidRPr="00F97834">
        <w:rPr>
          <w:rFonts w:eastAsia="Arial Unicode MS" w:cs="Arial Unicode MS"/>
          <w:b/>
          <w:bCs/>
          <w:color w:val="000000"/>
          <w:kern w:val="0"/>
          <w:bdr w:val="nil"/>
          <w:lang w:val="en-GB" w:eastAsia="en-ZA"/>
          <w14:textOutline w14:w="0" w14:cap="flat" w14:cmpd="sng" w14:algn="ctr">
            <w14:noFill/>
            <w14:prstDash w14:val="solid"/>
            <w14:bevel/>
          </w14:textOutline>
          <w14:ligatures w14:val="none"/>
        </w:rPr>
        <w:t>A</w:t>
      </w:r>
      <w:r w:rsidRPr="00F97834">
        <w:rPr>
          <w:rFonts w:eastAsia="Arial Unicode MS" w:cs="Arial Unicode MS"/>
          <w:b/>
          <w:color w:val="000000"/>
          <w:kern w:val="0"/>
          <w:bdr w:val="nil"/>
          <w:lang w:val="en-GB" w:eastAsia="en-ZA"/>
          <w14:textOutline w14:w="0" w14:cap="flat" w14:cmpd="sng" w14:algn="ctr">
            <w14:noFill/>
            <w14:prstDash w14:val="solid"/>
            <w14:bevel/>
          </w14:textOutline>
          <w14:ligatures w14:val="none"/>
        </w:rPr>
        <w:t>pplicant</w:t>
      </w:r>
    </w:p>
    <w:p w14:paraId="43A2B03F" w14:textId="77777777" w:rsidR="00F97834" w:rsidRPr="00F97834" w:rsidRDefault="00F97834" w:rsidP="00FE3141">
      <w:pPr>
        <w:pBdr>
          <w:top w:val="nil"/>
          <w:left w:val="nil"/>
          <w:bottom w:val="nil"/>
          <w:right w:val="nil"/>
          <w:between w:val="nil"/>
          <w:bar w:val="nil"/>
        </w:pBdr>
        <w:tabs>
          <w:tab w:val="right" w:pos="8504"/>
        </w:tabs>
        <w:spacing w:after="360" w:line="240" w:lineRule="auto"/>
        <w:rPr>
          <w:rFonts w:eastAsia="Arial Unicode MS" w:cs="Arial Unicode MS"/>
          <w:color w:val="000000"/>
          <w:kern w:val="0"/>
          <w:bdr w:val="nil"/>
          <w:lang w:val="en-US" w:eastAsia="en-ZA"/>
          <w14:textOutline w14:w="0" w14:cap="flat" w14:cmpd="sng" w14:algn="ctr">
            <w14:noFill/>
            <w14:prstDash w14:val="solid"/>
            <w14:bevel/>
          </w14:textOutline>
          <w14:ligatures w14:val="none"/>
        </w:rPr>
      </w:pPr>
      <w:r w:rsidRPr="00F97834">
        <w:rPr>
          <w:rFonts w:eastAsia="Arial Unicode MS" w:cs="Arial Unicode MS"/>
          <w:color w:val="000000"/>
          <w:kern w:val="0"/>
          <w:bdr w:val="nil"/>
          <w:lang w:val="en-US" w:eastAsia="en-ZA"/>
          <w14:textOutline w14:w="0" w14:cap="flat" w14:cmpd="sng" w14:algn="ctr">
            <w14:noFill/>
            <w14:prstDash w14:val="solid"/>
            <w14:bevel/>
          </w14:textOutline>
          <w14:ligatures w14:val="none"/>
        </w:rPr>
        <w:t>and</w:t>
      </w:r>
    </w:p>
    <w:p w14:paraId="53504298" w14:textId="28C7E80C" w:rsidR="00F97834" w:rsidRPr="00F97834" w:rsidRDefault="00DD6936" w:rsidP="00FE3141">
      <w:pPr>
        <w:pBdr>
          <w:top w:val="nil"/>
          <w:left w:val="nil"/>
          <w:bottom w:val="nil"/>
          <w:right w:val="nil"/>
          <w:between w:val="nil"/>
          <w:bar w:val="nil"/>
        </w:pBdr>
        <w:tabs>
          <w:tab w:val="right" w:pos="8504"/>
        </w:tabs>
        <w:spacing w:after="360" w:line="240" w:lineRule="auto"/>
        <w:rPr>
          <w:rFonts w:eastAsia="Arial Unicode MS" w:cs="Arial Unicode MS"/>
          <w:color w:val="000000"/>
          <w:kern w:val="0"/>
          <w:bdr w:val="nil"/>
          <w:lang w:val="en-US" w:eastAsia="en-ZA"/>
          <w14:textOutline w14:w="0" w14:cap="flat" w14:cmpd="sng" w14:algn="ctr">
            <w14:noFill/>
            <w14:prstDash w14:val="solid"/>
            <w14:bevel/>
          </w14:textOutline>
          <w14:ligatures w14:val="none"/>
        </w:rPr>
      </w:pPr>
      <w:r w:rsidRPr="00DD6936">
        <w:rPr>
          <w:rFonts w:eastAsia="Arial Unicode MS" w:cs="Arial Unicode MS"/>
          <w:b/>
          <w:bCs/>
          <w:color w:val="000000"/>
          <w:kern w:val="0"/>
          <w:bdr w:val="nil"/>
          <w:lang w:eastAsia="en-ZA"/>
          <w14:textOutline w14:w="0" w14:cap="flat" w14:cmpd="sng" w14:algn="ctr">
            <w14:noFill/>
            <w14:prstDash w14:val="solid"/>
            <w14:bevel/>
          </w14:textOutline>
          <w14:ligatures w14:val="none"/>
        </w:rPr>
        <w:t>NOMVETE SANDILE HOPESON</w:t>
      </w:r>
      <w:r w:rsidR="00F97834" w:rsidRPr="00F97834">
        <w:rPr>
          <w:rFonts w:eastAsia="Arial Unicode MS" w:cs="Arial Unicode MS"/>
          <w:color w:val="000000"/>
          <w:kern w:val="0"/>
          <w:bdr w:val="nil"/>
          <w:lang w:val="en-US" w:eastAsia="en-ZA"/>
          <w14:textOutline w14:w="0" w14:cap="flat" w14:cmpd="sng" w14:algn="ctr">
            <w14:noFill/>
            <w14:prstDash w14:val="solid"/>
            <w14:bevel/>
          </w14:textOutline>
          <w14:ligatures w14:val="none"/>
        </w:rPr>
        <w:tab/>
        <w:t xml:space="preserve"> </w:t>
      </w:r>
      <w:r w:rsidR="00F97834" w:rsidRPr="00F97834">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First Respondent</w:t>
      </w:r>
    </w:p>
    <w:p w14:paraId="491795AA" w14:textId="3489E2A0" w:rsidR="00F97834" w:rsidRPr="00F97834" w:rsidRDefault="00931BAF" w:rsidP="00FE3141">
      <w:pPr>
        <w:pBdr>
          <w:top w:val="nil"/>
          <w:left w:val="nil"/>
          <w:bottom w:val="nil"/>
          <w:right w:val="nil"/>
          <w:between w:val="nil"/>
          <w:bar w:val="nil"/>
        </w:pBdr>
        <w:tabs>
          <w:tab w:val="right" w:pos="8504"/>
        </w:tabs>
        <w:spacing w:after="360" w:line="240" w:lineRule="auto"/>
        <w:rPr>
          <w:rFonts w:eastAsia="Arial Unicode MS" w:cs="Arial Unicode MS"/>
          <w:color w:val="000000"/>
          <w:kern w:val="0"/>
          <w:bdr w:val="nil"/>
          <w:lang w:val="en-US" w:eastAsia="en-ZA"/>
          <w14:textOutline w14:w="0" w14:cap="flat" w14:cmpd="sng" w14:algn="ctr">
            <w14:noFill/>
            <w14:prstDash w14:val="solid"/>
            <w14:bevel/>
          </w14:textOutline>
          <w14:ligatures w14:val="none"/>
        </w:rPr>
      </w:pPr>
      <w:r w:rsidRPr="00931BAF">
        <w:rPr>
          <w:rFonts w:eastAsia="Arial Unicode MS" w:cs="Arial Unicode MS"/>
          <w:b/>
          <w:bCs/>
          <w:color w:val="000000"/>
          <w:kern w:val="0"/>
          <w:bdr w:val="nil"/>
          <w:lang w:eastAsia="en-ZA"/>
          <w14:textOutline w14:w="0" w14:cap="flat" w14:cmpd="sng" w14:algn="ctr">
            <w14:noFill/>
            <w14:prstDash w14:val="solid"/>
            <w14:bevel/>
          </w14:textOutline>
          <w14:ligatures w14:val="none"/>
        </w:rPr>
        <w:t>MRIGA JABULANI VINCENT</w:t>
      </w:r>
      <w:r w:rsidR="00F97834" w:rsidRPr="00F97834">
        <w:rPr>
          <w:rFonts w:eastAsia="Arial Unicode MS" w:cs="Arial Unicode MS"/>
          <w:color w:val="000000"/>
          <w:kern w:val="0"/>
          <w:bdr w:val="nil"/>
          <w:lang w:val="en-US" w:eastAsia="en-ZA"/>
          <w14:textOutline w14:w="0" w14:cap="flat" w14:cmpd="sng" w14:algn="ctr">
            <w14:noFill/>
            <w14:prstDash w14:val="solid"/>
            <w14:bevel/>
          </w14:textOutline>
          <w14:ligatures w14:val="none"/>
        </w:rPr>
        <w:tab/>
      </w:r>
      <w:r w:rsidR="00F97834" w:rsidRPr="00F97834">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Second Respondent</w:t>
      </w:r>
    </w:p>
    <w:p w14:paraId="28D5696F" w14:textId="181DD89F" w:rsidR="00F97834" w:rsidRDefault="00931BAF" w:rsidP="00FE3141">
      <w:pPr>
        <w:pBdr>
          <w:top w:val="nil"/>
          <w:left w:val="nil"/>
          <w:bottom w:val="nil"/>
          <w:right w:val="nil"/>
          <w:between w:val="nil"/>
          <w:bar w:val="nil"/>
        </w:pBdr>
        <w:tabs>
          <w:tab w:val="right" w:pos="8504"/>
        </w:tabs>
        <w:spacing w:after="0" w:line="480" w:lineRule="auto"/>
        <w:rPr>
          <w:rFonts w:eastAsia="Arial Unicode MS" w:cs="Arial Unicode MS"/>
          <w:color w:val="000000"/>
          <w:kern w:val="0"/>
          <w:bdr w:val="nil"/>
          <w:lang w:val="en-US" w:eastAsia="en-ZA"/>
          <w14:textOutline w14:w="0" w14:cap="flat" w14:cmpd="sng" w14:algn="ctr">
            <w14:noFill/>
            <w14:prstDash w14:val="solid"/>
            <w14:bevel/>
          </w14:textOutline>
          <w14:ligatures w14:val="none"/>
        </w:rPr>
      </w:pPr>
      <w:r w:rsidRPr="00931BAF">
        <w:rPr>
          <w:rFonts w:eastAsia="Arial Unicode MS" w:cs="Arial Unicode MS"/>
          <w:b/>
          <w:bCs/>
          <w:color w:val="000000"/>
          <w:kern w:val="0"/>
          <w:bdr w:val="nil"/>
          <w:lang w:eastAsia="en-ZA"/>
          <w14:textOutline w14:w="0" w14:cap="flat" w14:cmpd="sng" w14:algn="ctr">
            <w14:noFill/>
            <w14:prstDash w14:val="solid"/>
            <w14:bevel/>
          </w14:textOutline>
          <w14:ligatures w14:val="none"/>
        </w:rPr>
        <w:t>MAGWAZA JOHANNES BHEKUMUZI</w:t>
      </w:r>
      <w:r w:rsidR="00F97834" w:rsidRPr="00F97834">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 xml:space="preserve">                        </w:t>
      </w:r>
      <w:r w:rsidR="00CA079F">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ab/>
      </w:r>
      <w:r w:rsidR="00F97834" w:rsidRPr="00F97834">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Third Respondent</w:t>
      </w:r>
      <w:r w:rsidR="00F97834" w:rsidRPr="00F97834">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 </w:t>
      </w:r>
    </w:p>
    <w:p w14:paraId="614DA88E" w14:textId="6FC7F86D" w:rsidR="00CA079F" w:rsidRPr="00CA079F" w:rsidRDefault="00CA079F" w:rsidP="00CA079F">
      <w:pPr>
        <w:pBdr>
          <w:top w:val="nil"/>
          <w:left w:val="nil"/>
          <w:bottom w:val="nil"/>
          <w:right w:val="nil"/>
          <w:between w:val="nil"/>
          <w:bar w:val="nil"/>
        </w:pBdr>
        <w:tabs>
          <w:tab w:val="right" w:pos="8504"/>
        </w:tabs>
        <w:spacing w:after="0" w:line="360" w:lineRule="auto"/>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pPr>
      <w:r w:rsidRPr="00CA079F">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 xml:space="preserve">COMPANIES AND INTELLECTUAL PROPERTY </w:t>
      </w:r>
      <w:r w:rsidR="00FE3141">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ab/>
      </w:r>
      <w:r w:rsidR="00202AFB" w:rsidRPr="00202AFB">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Fourth</w:t>
      </w:r>
      <w:r w:rsidR="00FE3141" w:rsidRPr="00F97834">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 xml:space="preserve"> Respondent</w:t>
      </w:r>
    </w:p>
    <w:p w14:paraId="754EFFB4" w14:textId="7B484871" w:rsidR="00CA079F" w:rsidRDefault="00CA079F" w:rsidP="00CA079F">
      <w:pPr>
        <w:pBdr>
          <w:top w:val="nil"/>
          <w:left w:val="nil"/>
          <w:bottom w:val="nil"/>
          <w:right w:val="nil"/>
          <w:between w:val="nil"/>
          <w:bar w:val="nil"/>
        </w:pBdr>
        <w:tabs>
          <w:tab w:val="right" w:pos="8504"/>
        </w:tabs>
        <w:spacing w:after="0" w:line="360" w:lineRule="auto"/>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pPr>
      <w:r w:rsidRPr="00CA079F">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COMMISSION</w:t>
      </w:r>
    </w:p>
    <w:p w14:paraId="167BCE12" w14:textId="77777777" w:rsidR="000473B3" w:rsidRDefault="000473B3" w:rsidP="00CA079F">
      <w:pPr>
        <w:pBdr>
          <w:top w:val="nil"/>
          <w:left w:val="nil"/>
          <w:bottom w:val="nil"/>
          <w:right w:val="nil"/>
          <w:between w:val="nil"/>
          <w:bar w:val="nil"/>
        </w:pBdr>
        <w:tabs>
          <w:tab w:val="right" w:pos="8504"/>
        </w:tabs>
        <w:spacing w:after="0" w:line="360" w:lineRule="auto"/>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pPr>
    </w:p>
    <w:p w14:paraId="7C24F3D1" w14:textId="35511E56" w:rsidR="000473B3" w:rsidRPr="00AB0D8E" w:rsidRDefault="000473B3" w:rsidP="00F227D5">
      <w:pPr>
        <w:pBdr>
          <w:top w:val="nil"/>
          <w:left w:val="nil"/>
          <w:bottom w:val="nil"/>
          <w:right w:val="nil"/>
          <w:between w:val="nil"/>
          <w:bar w:val="nil"/>
        </w:pBdr>
        <w:tabs>
          <w:tab w:val="right" w:pos="8504"/>
        </w:tabs>
        <w:spacing w:after="0" w:line="480" w:lineRule="auto"/>
        <w:jc w:val="both"/>
        <w:rPr>
          <w:rFonts w:eastAsia="Arial Unicode MS" w:cs="Arial Unicode MS"/>
          <w:color w:val="000000"/>
          <w:kern w:val="0"/>
          <w:bdr w:val="nil"/>
          <w:lang w:val="en-US" w:eastAsia="en-ZA"/>
          <w14:textOutline w14:w="0" w14:cap="flat" w14:cmpd="sng" w14:algn="ctr">
            <w14:noFill/>
            <w14:prstDash w14:val="solid"/>
            <w14:bevel/>
          </w14:textOutline>
          <w14:ligatures w14:val="none"/>
        </w:rPr>
      </w:pPr>
      <w:r>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Summary</w:t>
      </w:r>
      <w:r w:rsidR="00AB0D8E">
        <w:rPr>
          <w:rFonts w:eastAsia="Arial Unicode MS" w:cs="Arial Unicode MS"/>
          <w:b/>
          <w:bCs/>
          <w:color w:val="000000"/>
          <w:kern w:val="0"/>
          <w:bdr w:val="nil"/>
          <w:lang w:val="en-US" w:eastAsia="en-ZA"/>
          <w14:textOutline w14:w="0" w14:cap="flat" w14:cmpd="sng" w14:algn="ctr">
            <w14:noFill/>
            <w14:prstDash w14:val="solid"/>
            <w14:bevel/>
          </w14:textOutline>
          <w14:ligatures w14:val="none"/>
        </w:rPr>
        <w:t xml:space="preserve">: </w:t>
      </w:r>
      <w:r w:rsidR="00AB0D8E">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Amendment application by plaintiffs to allow creditor to </w:t>
      </w:r>
      <w:r w:rsidR="00B85F63">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rely on public interest grounds to </w:t>
      </w:r>
      <w:r w:rsidR="00AB0D8E">
        <w:rPr>
          <w:rFonts w:eastAsia="Arial Unicode MS" w:cs="Arial Unicode MS"/>
          <w:color w:val="000000"/>
          <w:kern w:val="0"/>
          <w:bdr w:val="nil"/>
          <w:lang w:val="en-US" w:eastAsia="en-ZA"/>
          <w14:textOutline w14:w="0" w14:cap="flat" w14:cmpd="sng" w14:algn="ctr">
            <w14:noFill/>
            <w14:prstDash w14:val="solid"/>
            <w14:bevel/>
          </w14:textOutline>
          <w14:ligatures w14:val="none"/>
        </w:rPr>
        <w:t>seek disqualification relief in terms of section 162</w:t>
      </w:r>
      <w:r w:rsidR="00B85F63">
        <w:rPr>
          <w:rFonts w:eastAsia="Arial Unicode MS" w:cs="Arial Unicode MS"/>
          <w:color w:val="000000"/>
          <w:kern w:val="0"/>
          <w:bdr w:val="nil"/>
          <w:lang w:val="en-US" w:eastAsia="en-ZA"/>
          <w14:textOutline w14:w="0" w14:cap="flat" w14:cmpd="sng" w14:algn="ctr">
            <w14:noFill/>
            <w14:prstDash w14:val="solid"/>
            <w14:bevel/>
          </w14:textOutline>
          <w14:ligatures w14:val="none"/>
        </w:rPr>
        <w:t>,</w:t>
      </w:r>
      <w:r w:rsidR="00AB0D8E">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 </w:t>
      </w:r>
      <w:r w:rsidR="00B85F63">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read with section 157(1)(d), </w:t>
      </w:r>
      <w:r w:rsidR="00AB0D8E">
        <w:rPr>
          <w:rFonts w:eastAsia="Arial Unicode MS" w:cs="Arial Unicode MS"/>
          <w:color w:val="000000"/>
          <w:kern w:val="0"/>
          <w:bdr w:val="nil"/>
          <w:lang w:val="en-US" w:eastAsia="en-ZA"/>
          <w14:textOutline w14:w="0" w14:cap="flat" w14:cmpd="sng" w14:algn="ctr">
            <w14:noFill/>
            <w14:prstDash w14:val="solid"/>
            <w14:bevel/>
          </w14:textOutline>
          <w14:ligatures w14:val="none"/>
        </w:rPr>
        <w:t>of the Companies Act,</w:t>
      </w:r>
      <w:r w:rsidR="00B85F63">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 </w:t>
      </w:r>
      <w:r w:rsidR="00AB0D8E">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71 of 2008. Amendment opposed by a defendant </w:t>
      </w:r>
      <w:r w:rsidR="00B85F63">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on </w:t>
      </w:r>
      <w:r w:rsidR="00B85F63">
        <w:rPr>
          <w:rFonts w:eastAsia="Arial Unicode MS" w:cs="Arial Unicode MS"/>
          <w:color w:val="000000"/>
          <w:kern w:val="0"/>
          <w:bdr w:val="nil"/>
          <w:lang w:val="en-US" w:eastAsia="en-ZA"/>
          <w14:textOutline w14:w="0" w14:cap="flat" w14:cmpd="sng" w14:algn="ctr">
            <w14:noFill/>
            <w14:prstDash w14:val="solid"/>
            <w14:bevel/>
          </w14:textOutline>
          <w14:ligatures w14:val="none"/>
        </w:rPr>
        <w:lastRenderedPageBreak/>
        <w:t xml:space="preserve">grounds it is excipiable; </w:t>
      </w:r>
      <w:r w:rsidR="00AB0D8E">
        <w:rPr>
          <w:rFonts w:eastAsia="Arial Unicode MS" w:cs="Arial Unicode MS"/>
          <w:color w:val="000000"/>
          <w:kern w:val="0"/>
          <w:bdr w:val="nil"/>
          <w:lang w:val="en-US" w:eastAsia="en-ZA"/>
          <w14:textOutline w14:w="0" w14:cap="flat" w14:cmpd="sng" w14:algn="ctr">
            <w14:noFill/>
            <w14:prstDash w14:val="solid"/>
            <w14:bevel/>
          </w14:textOutline>
          <w14:ligatures w14:val="none"/>
        </w:rPr>
        <w:t>Whether such action can be brought relying on section 157(1)(d) of the Act without prior leave from a Court; whether a creditor can bring such an application in terms of comparison between new Act and its predecessors, whether a creditor is a genuine applicant for vindicating  public interest</w:t>
      </w:r>
      <w:r w:rsidR="00CB3C33">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 discussed</w:t>
      </w:r>
      <w:r w:rsidR="00AB0D8E">
        <w:rPr>
          <w:rFonts w:eastAsia="Arial Unicode MS" w:cs="Arial Unicode MS"/>
          <w:color w:val="000000"/>
          <w:kern w:val="0"/>
          <w:bdr w:val="nil"/>
          <w:lang w:val="en-US" w:eastAsia="en-ZA"/>
          <w14:textOutline w14:w="0" w14:cap="flat" w14:cmpd="sng" w14:algn="ctr">
            <w14:noFill/>
            <w14:prstDash w14:val="solid"/>
            <w14:bevel/>
          </w14:textOutline>
          <w14:ligatures w14:val="none"/>
        </w:rPr>
        <w:t>; whether directors owe a duty to creditors for purpose of section 162 relief</w:t>
      </w:r>
      <w:r w:rsidR="00B85F63">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 </w:t>
      </w:r>
      <w:r w:rsidR="00CB3C33">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 economic versus traditional approach </w:t>
      </w:r>
      <w:r w:rsidR="001E6DD7">
        <w:rPr>
          <w:rFonts w:eastAsia="Arial Unicode MS" w:cs="Arial Unicode MS"/>
          <w:color w:val="000000"/>
          <w:kern w:val="0"/>
          <w:bdr w:val="nil"/>
          <w:lang w:val="en-US" w:eastAsia="en-ZA"/>
          <w14:textOutline w14:w="0" w14:cap="flat" w14:cmpd="sng" w14:algn="ctr">
            <w14:noFill/>
            <w14:prstDash w14:val="solid"/>
            <w14:bevel/>
          </w14:textOutline>
          <w14:ligatures w14:val="none"/>
        </w:rPr>
        <w:t>discussed</w:t>
      </w:r>
      <w:r w:rsidR="00AB0D8E">
        <w:rPr>
          <w:rFonts w:eastAsia="Arial Unicode MS" w:cs="Arial Unicode MS"/>
          <w:color w:val="000000"/>
          <w:kern w:val="0"/>
          <w:bdr w:val="nil"/>
          <w:lang w:val="en-US" w:eastAsia="en-ZA"/>
          <w14:textOutline w14:w="0" w14:cap="flat" w14:cmpd="sng" w14:algn="ctr">
            <w14:noFill/>
            <w14:prstDash w14:val="solid"/>
            <w14:bevel/>
          </w14:textOutline>
          <w14:ligatures w14:val="none"/>
        </w:rPr>
        <w:t>; whether creditor is an own interest applicant is</w:t>
      </w:r>
      <w:r w:rsidR="00CB3C33">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 not</w:t>
      </w:r>
      <w:r w:rsidR="00AB0D8E">
        <w:rPr>
          <w:rFonts w:eastAsia="Arial Unicode MS" w:cs="Arial Unicode MS"/>
          <w:color w:val="000000"/>
          <w:kern w:val="0"/>
          <w:bdr w:val="nil"/>
          <w:lang w:val="en-US" w:eastAsia="en-ZA"/>
          <w14:textOutline w14:w="0" w14:cap="flat" w14:cmpd="sng" w14:algn="ctr">
            <w14:noFill/>
            <w14:prstDash w14:val="solid"/>
            <w14:bevel/>
          </w14:textOutline>
          <w14:ligatures w14:val="none"/>
        </w:rPr>
        <w:t xml:space="preserve"> a matter to be decided on exception. Application for amendment allowed.</w:t>
      </w:r>
    </w:p>
    <w:p w14:paraId="1E3A9687" w14:textId="77777777" w:rsidR="00F97834" w:rsidRPr="00F97834" w:rsidRDefault="00F97834" w:rsidP="00F97834">
      <w:pPr>
        <w:tabs>
          <w:tab w:val="left" w:pos="0"/>
        </w:tabs>
        <w:spacing w:after="0" w:line="480" w:lineRule="auto"/>
        <w:ind w:left="-709"/>
        <w:jc w:val="center"/>
        <w:rPr>
          <w:rFonts w:eastAsia="Times New Roman"/>
          <w:b/>
          <w:color w:val="0E101A"/>
          <w:kern w:val="0"/>
          <w:u w:val="single"/>
          <w:lang w:eastAsia="en-ZA"/>
          <w14:ligatures w14:val="none"/>
        </w:rPr>
      </w:pP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p>
    <w:p w14:paraId="48AD6C4B" w14:textId="77777777" w:rsidR="00F97834" w:rsidRPr="00F97834" w:rsidRDefault="00F97834" w:rsidP="00F97834">
      <w:pPr>
        <w:tabs>
          <w:tab w:val="left" w:pos="0"/>
        </w:tabs>
        <w:spacing w:after="0" w:line="240" w:lineRule="auto"/>
        <w:ind w:left="-709"/>
        <w:jc w:val="center"/>
        <w:rPr>
          <w:rFonts w:eastAsia="Times New Roman"/>
          <w:b/>
          <w:color w:val="0E101A"/>
          <w:kern w:val="0"/>
          <w:lang w:eastAsia="en-ZA"/>
          <w14:ligatures w14:val="none"/>
        </w:rPr>
      </w:pPr>
      <w:r w:rsidRPr="00F97834">
        <w:rPr>
          <w:rFonts w:eastAsia="Times New Roman"/>
          <w:b/>
          <w:color w:val="0E101A"/>
          <w:kern w:val="0"/>
          <w:lang w:eastAsia="en-ZA"/>
          <w14:ligatures w14:val="none"/>
        </w:rPr>
        <w:t xml:space="preserve">JUDGMENT </w:t>
      </w:r>
    </w:p>
    <w:p w14:paraId="40205C60" w14:textId="77777777" w:rsidR="00F97834" w:rsidRPr="00F97834" w:rsidRDefault="00F97834" w:rsidP="00F97834">
      <w:pPr>
        <w:tabs>
          <w:tab w:val="left" w:pos="0"/>
        </w:tabs>
        <w:spacing w:after="0" w:line="480" w:lineRule="auto"/>
        <w:ind w:left="-709"/>
        <w:jc w:val="center"/>
        <w:rPr>
          <w:rFonts w:eastAsia="Times New Roman"/>
          <w:b/>
          <w:color w:val="0E101A"/>
          <w:kern w:val="0"/>
          <w:u w:val="single"/>
          <w:lang w:eastAsia="en-ZA"/>
          <w14:ligatures w14:val="none"/>
        </w:rPr>
      </w:pP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r w:rsidRPr="00F97834">
        <w:rPr>
          <w:rFonts w:eastAsia="Times New Roman"/>
          <w:b/>
          <w:color w:val="0E101A"/>
          <w:kern w:val="0"/>
          <w:u w:val="single"/>
          <w:lang w:eastAsia="en-ZA"/>
          <w14:ligatures w14:val="none"/>
        </w:rPr>
        <w:tab/>
      </w:r>
    </w:p>
    <w:p w14:paraId="2AFCE327" w14:textId="121D638C" w:rsidR="00174309" w:rsidRPr="00202AFB" w:rsidRDefault="00F97834" w:rsidP="00F227D5">
      <w:pPr>
        <w:spacing w:after="360"/>
        <w:ind w:firstLine="720"/>
        <w:rPr>
          <w:rFonts w:eastAsia="Calibri"/>
          <w:b/>
          <w:bCs/>
          <w:kern w:val="0"/>
          <w:lang w:val="en-GB"/>
        </w:rPr>
      </w:pPr>
      <w:r w:rsidRPr="00F97834">
        <w:rPr>
          <w:rFonts w:eastAsia="Calibri"/>
          <w:b/>
          <w:bCs/>
          <w:kern w:val="0"/>
          <w:lang w:val="en-GB"/>
        </w:rPr>
        <w:t>Manoim J</w:t>
      </w:r>
    </w:p>
    <w:p w14:paraId="719FA3EA" w14:textId="0CDD907E" w:rsidR="00710395" w:rsidRDefault="00710395" w:rsidP="00174309">
      <w:pPr>
        <w:spacing w:after="360"/>
        <w:ind w:firstLine="720"/>
        <w:rPr>
          <w:b/>
          <w:bCs/>
          <w:lang w:val="en-GB"/>
        </w:rPr>
      </w:pPr>
      <w:r>
        <w:rPr>
          <w:b/>
          <w:bCs/>
          <w:lang w:val="en-GB"/>
        </w:rPr>
        <w:t xml:space="preserve">Introduction </w:t>
      </w:r>
    </w:p>
    <w:p w14:paraId="3DF2AF9B" w14:textId="78A35DFD" w:rsidR="001867A3" w:rsidRPr="00174309" w:rsidRDefault="00174309" w:rsidP="003B0AC3">
      <w:pPr>
        <w:spacing w:after="360" w:line="480" w:lineRule="auto"/>
        <w:ind w:left="720" w:hanging="720"/>
        <w:jc w:val="both"/>
        <w:rPr>
          <w:lang w:val="en-GB"/>
        </w:rPr>
      </w:pPr>
      <w:r>
        <w:rPr>
          <w:lang w:val="en-GB"/>
        </w:rPr>
        <w:t>[1]</w:t>
      </w:r>
      <w:r>
        <w:rPr>
          <w:lang w:val="en-GB"/>
        </w:rPr>
        <w:tab/>
      </w:r>
      <w:r w:rsidR="00D46BEB" w:rsidRPr="00174309">
        <w:rPr>
          <w:lang w:val="en-GB"/>
        </w:rPr>
        <w:t xml:space="preserve">The present matter concerns </w:t>
      </w:r>
      <w:r w:rsidR="001867A3" w:rsidRPr="00174309">
        <w:rPr>
          <w:lang w:val="en-GB"/>
        </w:rPr>
        <w:t>an application by the plaintiffs to amend their particulars of claim to meet an exception raised by the th</w:t>
      </w:r>
      <w:r w:rsidR="00822EF4" w:rsidRPr="00174309">
        <w:rPr>
          <w:lang w:val="en-GB"/>
        </w:rPr>
        <w:t xml:space="preserve">ird defendant. The third defendant opposes the </w:t>
      </w:r>
      <w:r w:rsidR="001874AA" w:rsidRPr="00174309">
        <w:rPr>
          <w:lang w:val="en-GB"/>
        </w:rPr>
        <w:t>application</w:t>
      </w:r>
      <w:r w:rsidR="00822EF4" w:rsidRPr="00174309">
        <w:rPr>
          <w:lang w:val="en-GB"/>
        </w:rPr>
        <w:t xml:space="preserve"> for amendment. The case raises important </w:t>
      </w:r>
      <w:r w:rsidR="0076745A">
        <w:rPr>
          <w:lang w:val="en-GB"/>
        </w:rPr>
        <w:t xml:space="preserve">issues over who has standing to enforce a novel remedy provided by </w:t>
      </w:r>
      <w:r w:rsidR="00CB3C33">
        <w:rPr>
          <w:lang w:val="en-GB"/>
        </w:rPr>
        <w:t xml:space="preserve">the </w:t>
      </w:r>
      <w:r w:rsidR="00CB3C33" w:rsidRPr="00174309">
        <w:rPr>
          <w:lang w:val="en-GB"/>
        </w:rPr>
        <w:t>Companies</w:t>
      </w:r>
      <w:r w:rsidR="00B42329" w:rsidRPr="00174309">
        <w:rPr>
          <w:lang w:val="en-GB"/>
        </w:rPr>
        <w:t xml:space="preserve"> Act, 71 of 2008, (</w:t>
      </w:r>
      <w:r w:rsidR="00F36DCF" w:rsidRPr="00174309">
        <w:rPr>
          <w:lang w:val="en-GB"/>
        </w:rPr>
        <w:t>the Act).</w:t>
      </w:r>
      <w:r w:rsidRPr="00174309">
        <w:rPr>
          <w:lang w:val="en-GB"/>
        </w:rPr>
        <w:t xml:space="preserve"> </w:t>
      </w:r>
      <w:r w:rsidR="003B0AC3">
        <w:rPr>
          <w:lang w:val="en-GB"/>
        </w:rPr>
        <w:t xml:space="preserve"> </w:t>
      </w:r>
    </w:p>
    <w:p w14:paraId="3F169C5D" w14:textId="61B9EBE1" w:rsidR="00D46BEB" w:rsidRPr="00174309" w:rsidRDefault="00174309" w:rsidP="00174309">
      <w:pPr>
        <w:spacing w:after="360" w:line="480" w:lineRule="auto"/>
        <w:ind w:left="720" w:hanging="720"/>
        <w:jc w:val="both"/>
        <w:rPr>
          <w:lang w:val="en-GB"/>
        </w:rPr>
      </w:pPr>
      <w:r>
        <w:rPr>
          <w:lang w:val="en-GB"/>
        </w:rPr>
        <w:t>[2]</w:t>
      </w:r>
      <w:r>
        <w:rPr>
          <w:lang w:val="en-GB"/>
        </w:rPr>
        <w:tab/>
      </w:r>
      <w:r w:rsidR="00F07A3F" w:rsidRPr="00174309">
        <w:rPr>
          <w:lang w:val="en-GB"/>
        </w:rPr>
        <w:t>The plaintiffs are creditors of a company call</w:t>
      </w:r>
      <w:r w:rsidR="009E1C86" w:rsidRPr="00174309">
        <w:rPr>
          <w:lang w:val="en-GB"/>
        </w:rPr>
        <w:t>ed</w:t>
      </w:r>
      <w:r w:rsidR="00F07A3F" w:rsidRPr="00174309">
        <w:rPr>
          <w:lang w:val="en-GB"/>
        </w:rPr>
        <w:t xml:space="preserve"> Somnipoint</w:t>
      </w:r>
      <w:r w:rsidR="00D83132" w:rsidRPr="00174309">
        <w:rPr>
          <w:lang w:val="en-GB"/>
        </w:rPr>
        <w:t xml:space="preserve"> </w:t>
      </w:r>
      <w:r w:rsidR="00E517FF" w:rsidRPr="00174309">
        <w:rPr>
          <w:lang w:val="en-GB"/>
        </w:rPr>
        <w:t>(</w:t>
      </w:r>
      <w:r w:rsidR="00D83132" w:rsidRPr="00174309">
        <w:rPr>
          <w:lang w:val="en-GB"/>
        </w:rPr>
        <w:t>Pty</w:t>
      </w:r>
      <w:r w:rsidR="00E517FF" w:rsidRPr="00174309">
        <w:rPr>
          <w:lang w:val="en-GB"/>
        </w:rPr>
        <w:t>) Ltd</w:t>
      </w:r>
      <w:r w:rsidR="00D83132" w:rsidRPr="00174309">
        <w:rPr>
          <w:lang w:val="en-GB"/>
        </w:rPr>
        <w:t xml:space="preserve"> (</w:t>
      </w:r>
      <w:r w:rsidR="00F07A3F" w:rsidRPr="00174309">
        <w:rPr>
          <w:lang w:val="en-GB"/>
        </w:rPr>
        <w:t>now in liquidation)</w:t>
      </w:r>
      <w:r w:rsidR="00E517FF" w:rsidRPr="00174309">
        <w:rPr>
          <w:lang w:val="en-GB"/>
        </w:rPr>
        <w:t xml:space="preserve"> (</w:t>
      </w:r>
      <w:r w:rsidR="003B0AC3">
        <w:rPr>
          <w:lang w:val="en-GB"/>
        </w:rPr>
        <w:t>“</w:t>
      </w:r>
      <w:r w:rsidR="00E517FF" w:rsidRPr="00174309">
        <w:rPr>
          <w:lang w:val="en-GB"/>
        </w:rPr>
        <w:t>Somnipoint</w:t>
      </w:r>
      <w:r w:rsidR="003B0AC3">
        <w:rPr>
          <w:lang w:val="en-GB"/>
        </w:rPr>
        <w:t>”</w:t>
      </w:r>
      <w:r w:rsidR="00E517FF" w:rsidRPr="00174309">
        <w:rPr>
          <w:lang w:val="en-GB"/>
        </w:rPr>
        <w:t>)</w:t>
      </w:r>
      <w:r w:rsidR="0076745A">
        <w:rPr>
          <w:lang w:val="en-GB"/>
        </w:rPr>
        <w:t>. The</w:t>
      </w:r>
      <w:r w:rsidR="00F07A3F" w:rsidRPr="00174309">
        <w:rPr>
          <w:lang w:val="en-GB"/>
        </w:rPr>
        <w:t xml:space="preserve"> three defendants were</w:t>
      </w:r>
      <w:r w:rsidR="0076745A">
        <w:rPr>
          <w:lang w:val="en-GB"/>
        </w:rPr>
        <w:t xml:space="preserve"> all</w:t>
      </w:r>
      <w:r w:rsidR="00F07A3F" w:rsidRPr="00174309">
        <w:rPr>
          <w:lang w:val="en-GB"/>
        </w:rPr>
        <w:t xml:space="preserve"> directors </w:t>
      </w:r>
      <w:r w:rsidR="0076745A">
        <w:rPr>
          <w:lang w:val="en-GB"/>
        </w:rPr>
        <w:t>of Somnipoint as well as companies related to it</w:t>
      </w:r>
      <w:r w:rsidR="00F07A3F" w:rsidRPr="00174309">
        <w:rPr>
          <w:lang w:val="en-GB"/>
        </w:rPr>
        <w:t xml:space="preserve">. </w:t>
      </w:r>
      <w:r w:rsidR="00F36DCF" w:rsidRPr="00174309">
        <w:rPr>
          <w:lang w:val="en-GB"/>
        </w:rPr>
        <w:t>The plaintiffs</w:t>
      </w:r>
      <w:r w:rsidR="005702E8">
        <w:rPr>
          <w:lang w:val="en-GB"/>
        </w:rPr>
        <w:t>’</w:t>
      </w:r>
      <w:r w:rsidR="00F36DCF" w:rsidRPr="00174309">
        <w:rPr>
          <w:lang w:val="en-GB"/>
        </w:rPr>
        <w:t xml:space="preserve"> </w:t>
      </w:r>
      <w:r w:rsidR="0076745A" w:rsidRPr="005702E8">
        <w:rPr>
          <w:lang w:val="en-GB"/>
        </w:rPr>
        <w:t>primary relief is to sue the defendants in their capacity as directors for losses they incurred in extending finance to Som</w:t>
      </w:r>
      <w:r w:rsidR="005702E8" w:rsidRPr="005702E8">
        <w:rPr>
          <w:lang w:val="en-GB"/>
        </w:rPr>
        <w:t>n</w:t>
      </w:r>
      <w:r w:rsidR="0076745A" w:rsidRPr="005702E8">
        <w:rPr>
          <w:lang w:val="en-GB"/>
        </w:rPr>
        <w:t>ipoint which</w:t>
      </w:r>
      <w:r w:rsidR="005702E8" w:rsidRPr="005702E8">
        <w:rPr>
          <w:lang w:val="en-GB"/>
        </w:rPr>
        <w:t>,</w:t>
      </w:r>
      <w:r w:rsidR="0076745A" w:rsidRPr="005702E8">
        <w:rPr>
          <w:lang w:val="en-GB"/>
        </w:rPr>
        <w:t xml:space="preserve"> due its liquidation</w:t>
      </w:r>
      <w:r w:rsidR="005702E8" w:rsidRPr="005702E8">
        <w:rPr>
          <w:lang w:val="en-GB"/>
        </w:rPr>
        <w:t>,</w:t>
      </w:r>
      <w:r w:rsidR="0076745A" w:rsidRPr="005702E8">
        <w:rPr>
          <w:lang w:val="en-GB"/>
        </w:rPr>
        <w:t xml:space="preserve"> they have been unable to </w:t>
      </w:r>
      <w:r w:rsidR="005702E8" w:rsidRPr="005702E8">
        <w:rPr>
          <w:lang w:val="en-GB"/>
        </w:rPr>
        <w:t xml:space="preserve">fully </w:t>
      </w:r>
      <w:r w:rsidR="0076745A" w:rsidRPr="005702E8">
        <w:rPr>
          <w:lang w:val="en-GB"/>
        </w:rPr>
        <w:t xml:space="preserve">recover. For this reason, they </w:t>
      </w:r>
      <w:r w:rsidR="00164FCD" w:rsidRPr="005702E8">
        <w:rPr>
          <w:lang w:val="en-GB"/>
        </w:rPr>
        <w:t>have</w:t>
      </w:r>
      <w:r w:rsidR="009E1C86" w:rsidRPr="005702E8">
        <w:rPr>
          <w:lang w:val="en-GB"/>
        </w:rPr>
        <w:t xml:space="preserve"> proceeded</w:t>
      </w:r>
      <w:r w:rsidR="00164FCD" w:rsidRPr="005702E8">
        <w:rPr>
          <w:lang w:val="en-GB"/>
        </w:rPr>
        <w:t xml:space="preserve"> </w:t>
      </w:r>
      <w:r w:rsidR="00F36DCF" w:rsidRPr="005702E8">
        <w:rPr>
          <w:lang w:val="en-GB"/>
        </w:rPr>
        <w:t>by way of action</w:t>
      </w:r>
      <w:r w:rsidR="005702E8" w:rsidRPr="005702E8">
        <w:rPr>
          <w:lang w:val="en-GB"/>
        </w:rPr>
        <w:t xml:space="preserve"> against the defendants</w:t>
      </w:r>
      <w:r w:rsidR="00F36DCF" w:rsidRPr="005702E8">
        <w:rPr>
          <w:lang w:val="en-GB"/>
        </w:rPr>
        <w:t>.</w:t>
      </w:r>
      <w:r w:rsidR="0076745A" w:rsidRPr="005702E8">
        <w:rPr>
          <w:lang w:val="en-GB"/>
        </w:rPr>
        <w:t xml:space="preserve"> </w:t>
      </w:r>
      <w:r w:rsidR="005702E8" w:rsidRPr="005702E8">
        <w:rPr>
          <w:lang w:val="en-GB"/>
        </w:rPr>
        <w:t>T</w:t>
      </w:r>
      <w:r w:rsidR="0076745A" w:rsidRPr="005702E8">
        <w:rPr>
          <w:lang w:val="en-GB"/>
        </w:rPr>
        <w:t xml:space="preserve">he amendment application does not relate </w:t>
      </w:r>
      <w:r w:rsidR="0076745A">
        <w:rPr>
          <w:lang w:val="en-GB"/>
        </w:rPr>
        <w:t>to this</w:t>
      </w:r>
      <w:r w:rsidR="005702E8">
        <w:rPr>
          <w:lang w:val="en-GB"/>
        </w:rPr>
        <w:t xml:space="preserve"> aspect of the plaintiffs’ case</w:t>
      </w:r>
      <w:r w:rsidR="0076745A">
        <w:rPr>
          <w:lang w:val="en-GB"/>
        </w:rPr>
        <w:t>.</w:t>
      </w:r>
      <w:r w:rsidR="005702E8">
        <w:rPr>
          <w:lang w:val="en-GB"/>
        </w:rPr>
        <w:t xml:space="preserve"> What is the subject matter of the amendment, is </w:t>
      </w:r>
      <w:r w:rsidR="005702E8">
        <w:rPr>
          <w:lang w:val="en-GB"/>
        </w:rPr>
        <w:lastRenderedPageBreak/>
        <w:t xml:space="preserve">that </w:t>
      </w:r>
      <w:r w:rsidR="0076745A">
        <w:rPr>
          <w:lang w:val="en-GB"/>
        </w:rPr>
        <w:t>as</w:t>
      </w:r>
      <w:r w:rsidR="00F36DCF" w:rsidRPr="00174309">
        <w:rPr>
          <w:lang w:val="en-GB"/>
        </w:rPr>
        <w:t xml:space="preserve"> part of their relie</w:t>
      </w:r>
      <w:r w:rsidR="00D90414" w:rsidRPr="00174309">
        <w:rPr>
          <w:lang w:val="en-GB"/>
        </w:rPr>
        <w:t>f</w:t>
      </w:r>
      <w:r w:rsidR="005702E8">
        <w:rPr>
          <w:lang w:val="en-GB"/>
        </w:rPr>
        <w:t>,</w:t>
      </w:r>
      <w:r w:rsidR="00D46BEB" w:rsidRPr="00174309">
        <w:rPr>
          <w:lang w:val="en-GB"/>
        </w:rPr>
        <w:t xml:space="preserve"> the plaintiffs</w:t>
      </w:r>
      <w:r w:rsidR="00D90414" w:rsidRPr="00174309">
        <w:rPr>
          <w:lang w:val="en-GB"/>
        </w:rPr>
        <w:t xml:space="preserve"> </w:t>
      </w:r>
      <w:r w:rsidR="0076745A">
        <w:rPr>
          <w:lang w:val="en-GB"/>
        </w:rPr>
        <w:t xml:space="preserve">also </w:t>
      </w:r>
      <w:r w:rsidR="00D90414" w:rsidRPr="00174309">
        <w:rPr>
          <w:lang w:val="en-GB"/>
        </w:rPr>
        <w:t>seek</w:t>
      </w:r>
      <w:r w:rsidR="00D46BEB" w:rsidRPr="00174309">
        <w:rPr>
          <w:lang w:val="en-GB"/>
        </w:rPr>
        <w:t xml:space="preserve"> to </w:t>
      </w:r>
      <w:r w:rsidR="00CA647D" w:rsidRPr="00174309">
        <w:rPr>
          <w:lang w:val="en-GB"/>
        </w:rPr>
        <w:t xml:space="preserve">declare </w:t>
      </w:r>
      <w:r w:rsidR="00D46BEB" w:rsidRPr="00174309">
        <w:rPr>
          <w:lang w:val="en-GB"/>
        </w:rPr>
        <w:t xml:space="preserve">the </w:t>
      </w:r>
      <w:r w:rsidR="00EF2786" w:rsidRPr="00174309">
        <w:rPr>
          <w:lang w:val="en-GB"/>
        </w:rPr>
        <w:t xml:space="preserve">defendants </w:t>
      </w:r>
      <w:r w:rsidR="00CA647D" w:rsidRPr="00174309">
        <w:rPr>
          <w:lang w:val="en-GB"/>
        </w:rPr>
        <w:t xml:space="preserve">delinquent directors in terms of section 162(5) of </w:t>
      </w:r>
      <w:r w:rsidR="001874AA" w:rsidRPr="00174309">
        <w:rPr>
          <w:lang w:val="en-GB"/>
        </w:rPr>
        <w:t>the Act</w:t>
      </w:r>
      <w:r w:rsidR="006D2EB7" w:rsidRPr="00174309">
        <w:rPr>
          <w:lang w:val="en-GB"/>
        </w:rPr>
        <w:t>.</w:t>
      </w:r>
      <w:r w:rsidR="00B73120" w:rsidRPr="00174309">
        <w:rPr>
          <w:lang w:val="en-GB"/>
        </w:rPr>
        <w:t xml:space="preserve"> </w:t>
      </w:r>
      <w:r w:rsidR="005702E8">
        <w:rPr>
          <w:lang w:val="en-GB"/>
        </w:rPr>
        <w:t xml:space="preserve">It is common cause that the plaintiffs are creditors of Somnipoint. </w:t>
      </w:r>
      <w:r w:rsidR="008847B6" w:rsidRPr="00174309">
        <w:rPr>
          <w:lang w:val="en-GB"/>
        </w:rPr>
        <w:t>The third defendant</w:t>
      </w:r>
      <w:r w:rsidR="009B53D5" w:rsidRPr="00174309">
        <w:rPr>
          <w:lang w:val="en-GB"/>
        </w:rPr>
        <w:t xml:space="preserve">’s </w:t>
      </w:r>
      <w:r w:rsidR="008847B6" w:rsidRPr="00174309">
        <w:rPr>
          <w:lang w:val="en-GB"/>
        </w:rPr>
        <w:t>exception</w:t>
      </w:r>
      <w:r w:rsidR="00375EFE" w:rsidRPr="00174309">
        <w:rPr>
          <w:lang w:val="en-GB"/>
        </w:rPr>
        <w:t xml:space="preserve"> is based on the premise</w:t>
      </w:r>
      <w:r w:rsidR="000D1545" w:rsidRPr="00174309">
        <w:rPr>
          <w:lang w:val="en-GB"/>
        </w:rPr>
        <w:t xml:space="preserve"> that a creditor </w:t>
      </w:r>
      <w:r w:rsidR="005702E8">
        <w:rPr>
          <w:lang w:val="en-GB"/>
        </w:rPr>
        <w:t xml:space="preserve">of a company </w:t>
      </w:r>
      <w:r w:rsidR="000D1545" w:rsidRPr="00174309">
        <w:rPr>
          <w:lang w:val="en-GB"/>
        </w:rPr>
        <w:t xml:space="preserve">has no standing to </w:t>
      </w:r>
      <w:r w:rsidR="00184AF5" w:rsidRPr="00174309">
        <w:rPr>
          <w:lang w:val="en-GB"/>
        </w:rPr>
        <w:t xml:space="preserve">apply for </w:t>
      </w:r>
      <w:r w:rsidR="008B3A64" w:rsidRPr="00174309">
        <w:rPr>
          <w:lang w:val="en-GB"/>
        </w:rPr>
        <w:t xml:space="preserve">a delinquency </w:t>
      </w:r>
      <w:r w:rsidR="00184AF5" w:rsidRPr="00174309">
        <w:rPr>
          <w:lang w:val="en-GB"/>
        </w:rPr>
        <w:t>order</w:t>
      </w:r>
      <w:r w:rsidR="005702E8">
        <w:rPr>
          <w:lang w:val="en-GB"/>
        </w:rPr>
        <w:t xml:space="preserve"> in respect of its directors</w:t>
      </w:r>
      <w:r w:rsidR="008B3A64" w:rsidRPr="00174309">
        <w:rPr>
          <w:lang w:val="en-GB"/>
        </w:rPr>
        <w:t>,</w:t>
      </w:r>
      <w:r w:rsidR="00184AF5" w:rsidRPr="00174309">
        <w:rPr>
          <w:lang w:val="en-GB"/>
        </w:rPr>
        <w:t xml:space="preserve"> as a creditor is not one of the </w:t>
      </w:r>
      <w:r w:rsidR="005C00EB" w:rsidRPr="00174309">
        <w:rPr>
          <w:lang w:val="en-GB"/>
        </w:rPr>
        <w:t xml:space="preserve">categories of person who the Act gives the right to </w:t>
      </w:r>
      <w:r w:rsidR="00B27E28" w:rsidRPr="00174309">
        <w:rPr>
          <w:lang w:val="en-GB"/>
        </w:rPr>
        <w:t>seek such relief.</w:t>
      </w:r>
      <w:r w:rsidR="00337636" w:rsidRPr="00174309">
        <w:rPr>
          <w:rStyle w:val="FootnoteReference"/>
          <w:lang w:val="en-GB"/>
        </w:rPr>
        <w:footnoteReference w:id="2"/>
      </w:r>
    </w:p>
    <w:p w14:paraId="6B81279F" w14:textId="43CC6C90" w:rsidR="00B27E28" w:rsidRPr="00A05C00" w:rsidRDefault="00A05C00" w:rsidP="00A05C00">
      <w:pPr>
        <w:spacing w:after="360" w:line="480" w:lineRule="auto"/>
        <w:ind w:left="720" w:hanging="720"/>
        <w:jc w:val="both"/>
        <w:rPr>
          <w:lang w:val="en-GB"/>
        </w:rPr>
      </w:pPr>
      <w:r>
        <w:rPr>
          <w:lang w:val="en-GB"/>
        </w:rPr>
        <w:t>[3]</w:t>
      </w:r>
      <w:r>
        <w:rPr>
          <w:lang w:val="en-GB"/>
        </w:rPr>
        <w:tab/>
      </w:r>
      <w:r w:rsidR="009E40EB">
        <w:rPr>
          <w:lang w:val="en-GB"/>
        </w:rPr>
        <w:t xml:space="preserve">In this respect the third defendant is correct. </w:t>
      </w:r>
      <w:r w:rsidR="00B27E28" w:rsidRPr="00A05C00">
        <w:rPr>
          <w:lang w:val="en-GB"/>
        </w:rPr>
        <w:t>The relevant section</w:t>
      </w:r>
      <w:r w:rsidR="004914D1" w:rsidRPr="00A05C00">
        <w:rPr>
          <w:lang w:val="en-GB"/>
        </w:rPr>
        <w:t>, section</w:t>
      </w:r>
      <w:r w:rsidR="00B27E28" w:rsidRPr="00A05C00">
        <w:rPr>
          <w:lang w:val="en-GB"/>
        </w:rPr>
        <w:t xml:space="preserve"> 162(2)</w:t>
      </w:r>
      <w:r w:rsidR="004914D1" w:rsidRPr="00A05C00">
        <w:rPr>
          <w:lang w:val="en-GB"/>
        </w:rPr>
        <w:t>,</w:t>
      </w:r>
      <w:r w:rsidR="00B27E28" w:rsidRPr="00A05C00">
        <w:rPr>
          <w:lang w:val="en-GB"/>
        </w:rPr>
        <w:t xml:space="preserve"> </w:t>
      </w:r>
      <w:r w:rsidR="009E40EB">
        <w:rPr>
          <w:lang w:val="en-GB"/>
        </w:rPr>
        <w:t>gives this right only to the following stakeholders of the company: a</w:t>
      </w:r>
      <w:r w:rsidR="006F7B70" w:rsidRPr="00A05C00">
        <w:rPr>
          <w:lang w:val="en-GB"/>
        </w:rPr>
        <w:t xml:space="preserve"> </w:t>
      </w:r>
      <w:r w:rsidR="00B23AF5" w:rsidRPr="00A05C00">
        <w:rPr>
          <w:lang w:val="en-GB"/>
        </w:rPr>
        <w:t xml:space="preserve">shareholder, director, company director, </w:t>
      </w:r>
      <w:r w:rsidR="006761F3" w:rsidRPr="00A05C00">
        <w:rPr>
          <w:lang w:val="en-GB"/>
        </w:rPr>
        <w:t xml:space="preserve">secretary or </w:t>
      </w:r>
      <w:r w:rsidR="00B23AF5" w:rsidRPr="00A05C00">
        <w:rPr>
          <w:lang w:val="en-GB"/>
        </w:rPr>
        <w:t>prescribed officer</w:t>
      </w:r>
      <w:r w:rsidR="00F05B6D" w:rsidRPr="00A05C00">
        <w:rPr>
          <w:lang w:val="en-GB"/>
        </w:rPr>
        <w:t>, registered trade union</w:t>
      </w:r>
      <w:r w:rsidR="009E40EB">
        <w:rPr>
          <w:lang w:val="en-GB"/>
        </w:rPr>
        <w:t>,</w:t>
      </w:r>
      <w:r w:rsidR="00F05B6D" w:rsidRPr="00A05C00">
        <w:rPr>
          <w:lang w:val="en-GB"/>
        </w:rPr>
        <w:t xml:space="preserve"> o</w:t>
      </w:r>
      <w:r w:rsidR="009E40EB">
        <w:rPr>
          <w:lang w:val="en-GB"/>
        </w:rPr>
        <w:t>r</w:t>
      </w:r>
      <w:r w:rsidR="00F05B6D" w:rsidRPr="00A05C00">
        <w:rPr>
          <w:lang w:val="en-GB"/>
        </w:rPr>
        <w:t xml:space="preserve"> employee representative. </w:t>
      </w:r>
      <w:r w:rsidR="00D6731D" w:rsidRPr="00A05C00">
        <w:rPr>
          <w:lang w:val="en-GB"/>
        </w:rPr>
        <w:t>Notably, a</w:t>
      </w:r>
      <w:r w:rsidR="00211929" w:rsidRPr="00A05C00">
        <w:rPr>
          <w:lang w:val="en-GB"/>
        </w:rPr>
        <w:t xml:space="preserve"> creditor </w:t>
      </w:r>
      <w:r w:rsidR="001C4FFB" w:rsidRPr="00A05C00">
        <w:rPr>
          <w:lang w:val="en-GB"/>
        </w:rPr>
        <w:t xml:space="preserve">of the company is not </w:t>
      </w:r>
      <w:r w:rsidR="001E6DD7">
        <w:rPr>
          <w:lang w:val="en-GB"/>
        </w:rPr>
        <w:t xml:space="preserve">one of the stakeholders expressly </w:t>
      </w:r>
      <w:r w:rsidR="007C6F02" w:rsidRPr="00A05C00">
        <w:rPr>
          <w:lang w:val="en-GB"/>
        </w:rPr>
        <w:t xml:space="preserve">mentioned </w:t>
      </w:r>
      <w:r w:rsidR="003466CC" w:rsidRPr="00A05C00">
        <w:rPr>
          <w:lang w:val="en-GB"/>
        </w:rPr>
        <w:t>in</w:t>
      </w:r>
      <w:r w:rsidR="00D405AB" w:rsidRPr="00A05C00">
        <w:rPr>
          <w:lang w:val="en-GB"/>
        </w:rPr>
        <w:t xml:space="preserve"> this list. </w:t>
      </w:r>
    </w:p>
    <w:p w14:paraId="742B5C88" w14:textId="4A29F1B8" w:rsidR="004E0B77" w:rsidRPr="00A05C00" w:rsidRDefault="00A05C00" w:rsidP="00A05C00">
      <w:pPr>
        <w:spacing w:after="360" w:line="480" w:lineRule="auto"/>
        <w:ind w:left="720" w:hanging="720"/>
        <w:jc w:val="both"/>
        <w:rPr>
          <w:lang w:val="en-GB"/>
        </w:rPr>
      </w:pPr>
      <w:r>
        <w:rPr>
          <w:lang w:val="en-GB"/>
        </w:rPr>
        <w:t>[4]</w:t>
      </w:r>
      <w:r>
        <w:rPr>
          <w:lang w:val="en-GB"/>
        </w:rPr>
        <w:tab/>
      </w:r>
      <w:r w:rsidR="004E0B77" w:rsidRPr="00A05C00">
        <w:rPr>
          <w:lang w:val="en-GB"/>
        </w:rPr>
        <w:t xml:space="preserve">Responsive to this exception the plaintiffs now seek an amendment. What the amendment seeks to do is to address this lacuna by </w:t>
      </w:r>
      <w:r w:rsidR="003474FE" w:rsidRPr="00A05C00">
        <w:rPr>
          <w:lang w:val="en-GB"/>
        </w:rPr>
        <w:t>relying on section 157</w:t>
      </w:r>
      <w:r w:rsidR="001E6DD7">
        <w:rPr>
          <w:lang w:val="en-GB"/>
        </w:rPr>
        <w:t>(1)</w:t>
      </w:r>
      <w:r w:rsidR="003474FE" w:rsidRPr="00A05C00">
        <w:rPr>
          <w:lang w:val="en-GB"/>
        </w:rPr>
        <w:t xml:space="preserve">(d) of the Act. That section is not part of the delinquent director section of the Act. Rather it is a provision </w:t>
      </w:r>
      <w:r w:rsidR="00E311DB" w:rsidRPr="00A05C00">
        <w:rPr>
          <w:lang w:val="en-GB"/>
        </w:rPr>
        <w:t xml:space="preserve">that as its heading states provides </w:t>
      </w:r>
      <w:r w:rsidR="00E311DB" w:rsidRPr="00A05C00">
        <w:rPr>
          <w:i/>
          <w:lang w:val="en-GB"/>
        </w:rPr>
        <w:t>“Extended standing to</w:t>
      </w:r>
      <w:r w:rsidR="00E311DB" w:rsidRPr="00A05C00">
        <w:rPr>
          <w:lang w:val="en-GB"/>
        </w:rPr>
        <w:t xml:space="preserve"> </w:t>
      </w:r>
      <w:r w:rsidR="00E311DB" w:rsidRPr="00A05C00">
        <w:rPr>
          <w:i/>
          <w:lang w:val="en-GB"/>
        </w:rPr>
        <w:t>apply for remedies”.</w:t>
      </w:r>
      <w:r w:rsidR="00E311DB" w:rsidRPr="00A05C00">
        <w:rPr>
          <w:lang w:val="en-GB"/>
        </w:rPr>
        <w:t xml:space="preserve"> It </w:t>
      </w:r>
      <w:r w:rsidR="006756F2" w:rsidRPr="00A05C00">
        <w:rPr>
          <w:lang w:val="en-GB"/>
        </w:rPr>
        <w:t>applies without restriction to all sections of the Act w</w:t>
      </w:r>
      <w:r w:rsidR="00A32505" w:rsidRPr="00A05C00">
        <w:rPr>
          <w:lang w:val="en-GB"/>
        </w:rPr>
        <w:t>h</w:t>
      </w:r>
      <w:r w:rsidR="006756F2" w:rsidRPr="00A05C00">
        <w:rPr>
          <w:lang w:val="en-GB"/>
        </w:rPr>
        <w:t xml:space="preserve">ere a person may </w:t>
      </w:r>
      <w:r w:rsidR="00A32505" w:rsidRPr="00A05C00">
        <w:rPr>
          <w:lang w:val="en-GB"/>
        </w:rPr>
        <w:t>utilise one of the remedies the Act provides</w:t>
      </w:r>
      <w:r w:rsidR="004F194B" w:rsidRPr="00A05C00">
        <w:rPr>
          <w:lang w:val="en-GB"/>
        </w:rPr>
        <w:t>.</w:t>
      </w:r>
      <w:r w:rsidR="00A32505" w:rsidRPr="00A05C00">
        <w:rPr>
          <w:lang w:val="en-GB"/>
        </w:rPr>
        <w:t xml:space="preserve"> The </w:t>
      </w:r>
      <w:r w:rsidR="00F40E8E" w:rsidRPr="00A05C00">
        <w:rPr>
          <w:lang w:val="en-GB"/>
        </w:rPr>
        <w:t xml:space="preserve">only exception is </w:t>
      </w:r>
      <w:r w:rsidR="00B45300" w:rsidRPr="00A05C00">
        <w:rPr>
          <w:lang w:val="en-GB"/>
        </w:rPr>
        <w:t xml:space="preserve">section </w:t>
      </w:r>
      <w:r w:rsidR="003477D1" w:rsidRPr="00A05C00">
        <w:rPr>
          <w:lang w:val="en-GB"/>
        </w:rPr>
        <w:t>165</w:t>
      </w:r>
      <w:r w:rsidR="00B94F9C" w:rsidRPr="00A05C00">
        <w:rPr>
          <w:lang w:val="en-GB"/>
        </w:rPr>
        <w:t xml:space="preserve"> of the Act</w:t>
      </w:r>
      <w:r w:rsidR="003477D1" w:rsidRPr="00A05C00">
        <w:rPr>
          <w:lang w:val="en-GB"/>
        </w:rPr>
        <w:t xml:space="preserve">, the section that deals with derivative actions. Here </w:t>
      </w:r>
      <w:r w:rsidR="0088209C" w:rsidRPr="00A05C00">
        <w:rPr>
          <w:lang w:val="en-GB"/>
        </w:rPr>
        <w:t>section 157(3) makes it clear that nothing in this section i.e</w:t>
      </w:r>
      <w:r w:rsidR="008B184A" w:rsidRPr="00A05C00">
        <w:rPr>
          <w:lang w:val="en-GB"/>
        </w:rPr>
        <w:t>., the extended standing section</w:t>
      </w:r>
      <w:r w:rsidR="003D47B9" w:rsidRPr="00A05C00">
        <w:rPr>
          <w:lang w:val="en-GB"/>
        </w:rPr>
        <w:t>,</w:t>
      </w:r>
      <w:r w:rsidR="008B184A" w:rsidRPr="00A05C00">
        <w:rPr>
          <w:lang w:val="en-GB"/>
        </w:rPr>
        <w:t xml:space="preserve"> would give a right to any person who may bring an action for </w:t>
      </w:r>
      <w:r w:rsidR="00536B67" w:rsidRPr="00A05C00">
        <w:rPr>
          <w:lang w:val="en-GB"/>
        </w:rPr>
        <w:t>a derivative action</w:t>
      </w:r>
      <w:r w:rsidR="00690FA0">
        <w:rPr>
          <w:lang w:val="en-GB"/>
        </w:rPr>
        <w:t xml:space="preserve"> under section 165(1)</w:t>
      </w:r>
      <w:r w:rsidR="009E40EB">
        <w:rPr>
          <w:lang w:val="en-GB"/>
        </w:rPr>
        <w:t>,</w:t>
      </w:r>
      <w:r w:rsidR="00536B67" w:rsidRPr="00A05C00">
        <w:rPr>
          <w:lang w:val="en-GB"/>
        </w:rPr>
        <w:t xml:space="preserve"> other than those the Act mentions as entitled to make a demand under section 165(2)</w:t>
      </w:r>
      <w:r w:rsidR="00176B7B" w:rsidRPr="00A05C00">
        <w:rPr>
          <w:lang w:val="en-GB"/>
        </w:rPr>
        <w:t xml:space="preserve">. What is the import of this </w:t>
      </w:r>
      <w:r w:rsidR="00176B7B" w:rsidRPr="00A05C00">
        <w:rPr>
          <w:lang w:val="en-GB"/>
        </w:rPr>
        <w:lastRenderedPageBreak/>
        <w:t xml:space="preserve">express exclusion </w:t>
      </w:r>
      <w:r w:rsidR="0019002E" w:rsidRPr="00A05C00">
        <w:rPr>
          <w:lang w:val="en-GB"/>
        </w:rPr>
        <w:t>of</w:t>
      </w:r>
      <w:r w:rsidR="00176B7B" w:rsidRPr="00A05C00">
        <w:rPr>
          <w:lang w:val="en-GB"/>
        </w:rPr>
        <w:t xml:space="preserve"> derivative actions? </w:t>
      </w:r>
      <w:r w:rsidR="001E112D" w:rsidRPr="00A05C00">
        <w:rPr>
          <w:lang w:val="en-GB"/>
        </w:rPr>
        <w:t xml:space="preserve">It suggests that if the legislature had sought to limit the class of applicants </w:t>
      </w:r>
      <w:r w:rsidR="009E40EB">
        <w:rPr>
          <w:lang w:val="en-GB"/>
        </w:rPr>
        <w:t xml:space="preserve">who could bring a delinquency application </w:t>
      </w:r>
      <w:r w:rsidR="001E112D" w:rsidRPr="00A05C00">
        <w:rPr>
          <w:lang w:val="en-GB"/>
        </w:rPr>
        <w:t>in terms of section 162</w:t>
      </w:r>
      <w:r w:rsidR="009E40EB">
        <w:rPr>
          <w:lang w:val="en-GB"/>
        </w:rPr>
        <w:t xml:space="preserve">, to only those expressly mentioned in section 162(2), </w:t>
      </w:r>
      <w:r w:rsidR="00D173EF" w:rsidRPr="00A05C00">
        <w:rPr>
          <w:lang w:val="en-GB"/>
        </w:rPr>
        <w:t xml:space="preserve">it would have </w:t>
      </w:r>
      <w:r w:rsidR="009E40EB">
        <w:rPr>
          <w:lang w:val="en-GB"/>
        </w:rPr>
        <w:t xml:space="preserve">made this limitation express, </w:t>
      </w:r>
      <w:r w:rsidR="00D173EF" w:rsidRPr="00A05C00">
        <w:rPr>
          <w:lang w:val="en-GB"/>
        </w:rPr>
        <w:t xml:space="preserve">as it has done with section </w:t>
      </w:r>
      <w:r w:rsidR="00192FE9" w:rsidRPr="00A05C00">
        <w:rPr>
          <w:lang w:val="en-GB"/>
        </w:rPr>
        <w:t>165(2</w:t>
      </w:r>
      <w:r w:rsidR="00401124" w:rsidRPr="00A05C00">
        <w:rPr>
          <w:lang w:val="en-GB"/>
        </w:rPr>
        <w:t>)</w:t>
      </w:r>
      <w:r w:rsidR="00120E92" w:rsidRPr="00A05C00">
        <w:rPr>
          <w:lang w:val="en-GB"/>
        </w:rPr>
        <w:t>.</w:t>
      </w:r>
    </w:p>
    <w:p w14:paraId="1D2F8F91" w14:textId="4E01B486" w:rsidR="00120E92" w:rsidRPr="00A05C00" w:rsidRDefault="00A05C00" w:rsidP="00A05C00">
      <w:pPr>
        <w:spacing w:after="360" w:line="480" w:lineRule="auto"/>
        <w:ind w:left="720" w:hanging="720"/>
        <w:jc w:val="both"/>
        <w:rPr>
          <w:lang w:val="en-GB"/>
        </w:rPr>
      </w:pPr>
      <w:r>
        <w:rPr>
          <w:lang w:val="en-GB"/>
        </w:rPr>
        <w:t>[5]</w:t>
      </w:r>
      <w:r>
        <w:rPr>
          <w:lang w:val="en-GB"/>
        </w:rPr>
        <w:tab/>
      </w:r>
      <w:r w:rsidR="00120E92" w:rsidRPr="00A05C00">
        <w:rPr>
          <w:lang w:val="en-GB"/>
        </w:rPr>
        <w:t xml:space="preserve">But section 157 is not open-ended either. It restricts </w:t>
      </w:r>
      <w:r w:rsidR="001E6DD7">
        <w:rPr>
          <w:lang w:val="en-GB"/>
        </w:rPr>
        <w:t xml:space="preserve">the right to bring an application for remedies to </w:t>
      </w:r>
      <w:r w:rsidR="00D32551" w:rsidRPr="00A05C00">
        <w:rPr>
          <w:lang w:val="en-GB"/>
        </w:rPr>
        <w:t>four</w:t>
      </w:r>
      <w:r w:rsidR="001E6DD7">
        <w:rPr>
          <w:lang w:val="en-GB"/>
        </w:rPr>
        <w:t xml:space="preserve"> instances set out in the</w:t>
      </w:r>
      <w:r w:rsidR="00D32551" w:rsidRPr="00A05C00">
        <w:rPr>
          <w:lang w:val="en-GB"/>
        </w:rPr>
        <w:t xml:space="preserve"> sub-paragraphs of section 157(1)</w:t>
      </w:r>
      <w:r w:rsidR="001E6DD7">
        <w:rPr>
          <w:lang w:val="en-GB"/>
        </w:rPr>
        <w:t>,</w:t>
      </w:r>
      <w:r w:rsidR="00D32551" w:rsidRPr="00A05C00">
        <w:rPr>
          <w:lang w:val="en-GB"/>
        </w:rPr>
        <w:t xml:space="preserve"> </w:t>
      </w:r>
      <w:r w:rsidR="00FF212A" w:rsidRPr="00A05C00">
        <w:rPr>
          <w:lang w:val="en-GB"/>
        </w:rPr>
        <w:t>and in terms of section 157(2)</w:t>
      </w:r>
      <w:r w:rsidR="00B07465" w:rsidRPr="00A05C00">
        <w:rPr>
          <w:lang w:val="en-GB"/>
        </w:rPr>
        <w:t>,</w:t>
      </w:r>
      <w:r w:rsidR="00FF212A" w:rsidRPr="00A05C00">
        <w:rPr>
          <w:lang w:val="en-GB"/>
        </w:rPr>
        <w:t xml:space="preserve"> to two statutory bodies the Commission and the Panel</w:t>
      </w:r>
      <w:r w:rsidR="00B07465" w:rsidRPr="00A05C00">
        <w:rPr>
          <w:lang w:val="en-GB"/>
        </w:rPr>
        <w:t>.</w:t>
      </w:r>
    </w:p>
    <w:p w14:paraId="7B049DB3" w14:textId="61BAD11C" w:rsidR="00FF212A" w:rsidRPr="00A05C00" w:rsidRDefault="00A05C00" w:rsidP="00A05C00">
      <w:pPr>
        <w:spacing w:after="360" w:line="480" w:lineRule="auto"/>
        <w:ind w:left="720" w:hanging="720"/>
        <w:jc w:val="both"/>
        <w:rPr>
          <w:lang w:val="en-GB"/>
        </w:rPr>
      </w:pPr>
      <w:r>
        <w:rPr>
          <w:lang w:val="en-GB"/>
        </w:rPr>
        <w:t>[6]</w:t>
      </w:r>
      <w:r>
        <w:rPr>
          <w:lang w:val="en-GB"/>
        </w:rPr>
        <w:tab/>
      </w:r>
      <w:r w:rsidR="00160CAE" w:rsidRPr="00A05C00">
        <w:rPr>
          <w:lang w:val="en-GB"/>
        </w:rPr>
        <w:t>O</w:t>
      </w:r>
      <w:r w:rsidR="00FF212A" w:rsidRPr="00A05C00">
        <w:rPr>
          <w:lang w:val="en-GB"/>
        </w:rPr>
        <w:t xml:space="preserve">nly one </w:t>
      </w:r>
      <w:r w:rsidR="001E6DD7">
        <w:rPr>
          <w:lang w:val="en-GB"/>
        </w:rPr>
        <w:t xml:space="preserve">of those instances in section 157(1) </w:t>
      </w:r>
      <w:r w:rsidR="00FF212A" w:rsidRPr="00A05C00">
        <w:rPr>
          <w:lang w:val="en-GB"/>
        </w:rPr>
        <w:t>is relevant for the purposes of this case</w:t>
      </w:r>
      <w:r w:rsidR="001E6DD7">
        <w:rPr>
          <w:lang w:val="en-GB"/>
        </w:rPr>
        <w:t>,</w:t>
      </w:r>
      <w:r w:rsidR="00FF212A" w:rsidRPr="00A05C00">
        <w:rPr>
          <w:lang w:val="en-GB"/>
        </w:rPr>
        <w:t xml:space="preserve"> and that is section</w:t>
      </w:r>
      <w:r w:rsidR="0042677D" w:rsidRPr="00A05C00">
        <w:rPr>
          <w:lang w:val="en-GB"/>
        </w:rPr>
        <w:t>157(1)(d) which states:</w:t>
      </w:r>
    </w:p>
    <w:p w14:paraId="4553CD4E" w14:textId="24356925" w:rsidR="009A683A" w:rsidRPr="00A05C00" w:rsidRDefault="00BA7624" w:rsidP="00A05C00">
      <w:pPr>
        <w:spacing w:after="0" w:line="480" w:lineRule="auto"/>
        <w:ind w:left="1170" w:firstLine="720"/>
        <w:jc w:val="both"/>
        <w:rPr>
          <w:i/>
          <w:iCs/>
          <w:lang w:val="en-GB"/>
        </w:rPr>
      </w:pPr>
      <w:r w:rsidRPr="00A05C00">
        <w:rPr>
          <w:i/>
          <w:lang w:val="en-GB"/>
        </w:rPr>
        <w:t>“</w:t>
      </w:r>
      <w:r w:rsidR="00AB2904" w:rsidRPr="00690FA0">
        <w:rPr>
          <w:b/>
          <w:bCs/>
          <w:i/>
          <w:lang w:val="en-GB"/>
        </w:rPr>
        <w:t xml:space="preserve">157 </w:t>
      </w:r>
      <w:r w:rsidR="009A683A" w:rsidRPr="00690FA0">
        <w:rPr>
          <w:b/>
          <w:bCs/>
          <w:i/>
          <w:lang w:val="en-GB"/>
        </w:rPr>
        <w:t>Extended standing to apply for remedies</w:t>
      </w:r>
      <w:r w:rsidR="00A05C00">
        <w:rPr>
          <w:i/>
          <w:lang w:val="en-GB"/>
        </w:rPr>
        <w:t xml:space="preserve"> </w:t>
      </w:r>
    </w:p>
    <w:p w14:paraId="3AF7F4A4" w14:textId="77777777" w:rsidR="009A683A" w:rsidRPr="00174309" w:rsidRDefault="009A683A" w:rsidP="00A05C00">
      <w:pPr>
        <w:pStyle w:val="ListParagraph"/>
        <w:spacing w:after="360" w:line="480" w:lineRule="auto"/>
        <w:ind w:left="1890"/>
        <w:jc w:val="both"/>
        <w:rPr>
          <w:i/>
          <w:iCs/>
          <w:lang w:val="en-GB"/>
        </w:rPr>
      </w:pPr>
      <w:r w:rsidRPr="00174309">
        <w:rPr>
          <w:i/>
          <w:lang w:val="en-GB"/>
        </w:rPr>
        <w:t>(1) When, in terms of this Act, an application can be made to, or a matter can be brought before, a court, the Companies Tribunal, the Panel or the Commission, the right to make the application or bring the matter may be exercised by a person-</w:t>
      </w:r>
    </w:p>
    <w:p w14:paraId="5571001C" w14:textId="3E572A69" w:rsidR="009A683A" w:rsidRPr="00174309" w:rsidRDefault="009A683A" w:rsidP="00A05C00">
      <w:pPr>
        <w:pStyle w:val="ListParagraph"/>
        <w:spacing w:after="360" w:line="480" w:lineRule="auto"/>
        <w:ind w:left="2880"/>
        <w:jc w:val="both"/>
        <w:rPr>
          <w:i/>
          <w:iCs/>
          <w:lang w:val="en-GB"/>
        </w:rPr>
      </w:pPr>
      <w:r w:rsidRPr="00174309">
        <w:rPr>
          <w:i/>
          <w:lang w:val="en-GB"/>
        </w:rPr>
        <w:t>(a)   directly contemplated in the particular provision of this Act;</w:t>
      </w:r>
    </w:p>
    <w:p w14:paraId="6B1E056A" w14:textId="76FB5D40" w:rsidR="009A683A" w:rsidRPr="00174309" w:rsidRDefault="009A683A" w:rsidP="00A05C00">
      <w:pPr>
        <w:pStyle w:val="ListParagraph"/>
        <w:spacing w:after="360" w:line="480" w:lineRule="auto"/>
        <w:ind w:left="2880"/>
        <w:jc w:val="both"/>
        <w:rPr>
          <w:i/>
          <w:iCs/>
          <w:lang w:val="en-GB"/>
        </w:rPr>
      </w:pPr>
      <w:r w:rsidRPr="00174309">
        <w:rPr>
          <w:i/>
          <w:lang w:val="en-GB"/>
        </w:rPr>
        <w:t>(b)   acting on behalf of a person contemplated in paragraph (a), who cannot act in their own name;</w:t>
      </w:r>
    </w:p>
    <w:p w14:paraId="79C2AC24" w14:textId="34296A77" w:rsidR="009A683A" w:rsidRPr="00174309" w:rsidRDefault="009A683A" w:rsidP="00A05C00">
      <w:pPr>
        <w:pStyle w:val="ListParagraph"/>
        <w:spacing w:after="360" w:line="480" w:lineRule="auto"/>
        <w:ind w:left="2880"/>
        <w:jc w:val="both"/>
        <w:rPr>
          <w:i/>
          <w:iCs/>
          <w:lang w:val="en-GB"/>
        </w:rPr>
      </w:pPr>
      <w:r w:rsidRPr="00174309">
        <w:rPr>
          <w:i/>
          <w:lang w:val="en-GB"/>
        </w:rPr>
        <w:t>(c)   acting as a member of, or in the interest of, a group or class of affected persons, or an association acting in the interest of its members; or</w:t>
      </w:r>
    </w:p>
    <w:p w14:paraId="5C50EA6D" w14:textId="58DD1EEC" w:rsidR="00164FF2" w:rsidRPr="00174309" w:rsidRDefault="009A683A" w:rsidP="00A05C00">
      <w:pPr>
        <w:pStyle w:val="ListParagraph"/>
        <w:spacing w:after="360" w:line="480" w:lineRule="auto"/>
        <w:ind w:left="2880"/>
        <w:jc w:val="both"/>
        <w:rPr>
          <w:lang w:val="en-GB"/>
        </w:rPr>
      </w:pPr>
      <w:r w:rsidRPr="00174309">
        <w:rPr>
          <w:i/>
          <w:lang w:val="en-GB"/>
        </w:rPr>
        <w:lastRenderedPageBreak/>
        <w:t xml:space="preserve">(d)   </w:t>
      </w:r>
      <w:r w:rsidRPr="00174309">
        <w:rPr>
          <w:i/>
          <w:u w:val="single"/>
          <w:lang w:val="en-GB"/>
        </w:rPr>
        <w:t>acting in the public interest, with leave of the court.</w:t>
      </w:r>
      <w:r w:rsidR="00BA7624" w:rsidRPr="00174309">
        <w:rPr>
          <w:i/>
          <w:u w:val="single"/>
          <w:lang w:val="en-GB"/>
        </w:rPr>
        <w:t>”</w:t>
      </w:r>
      <w:r w:rsidR="006612A7" w:rsidRPr="00174309">
        <w:rPr>
          <w:i/>
          <w:u w:val="single"/>
          <w:lang w:val="en-GB"/>
        </w:rPr>
        <w:t xml:space="preserve"> </w:t>
      </w:r>
      <w:r w:rsidR="00B6069C" w:rsidRPr="00174309">
        <w:rPr>
          <w:lang w:val="en-GB"/>
        </w:rPr>
        <w:t>(Emp</w:t>
      </w:r>
      <w:r w:rsidR="006612A7" w:rsidRPr="00174309">
        <w:rPr>
          <w:lang w:val="en-GB"/>
        </w:rPr>
        <w:t>hasis added)</w:t>
      </w:r>
    </w:p>
    <w:p w14:paraId="05EC2405" w14:textId="08844B86" w:rsidR="00753C32" w:rsidRPr="00A05C00" w:rsidRDefault="00A05C00" w:rsidP="00A05C00">
      <w:pPr>
        <w:spacing w:after="360" w:line="480" w:lineRule="auto"/>
        <w:ind w:left="720" w:hanging="720"/>
        <w:jc w:val="both"/>
        <w:rPr>
          <w:lang w:val="en-GB"/>
        </w:rPr>
      </w:pPr>
      <w:r>
        <w:rPr>
          <w:lang w:val="en-GB"/>
        </w:rPr>
        <w:t>[7]</w:t>
      </w:r>
      <w:r>
        <w:rPr>
          <w:lang w:val="en-GB"/>
        </w:rPr>
        <w:tab/>
      </w:r>
      <w:r w:rsidR="006C5F4A" w:rsidRPr="00A05C00">
        <w:rPr>
          <w:lang w:val="en-GB"/>
        </w:rPr>
        <w:t xml:space="preserve">The plaintiffs rely on </w:t>
      </w:r>
      <w:r w:rsidR="002C34AD" w:rsidRPr="00A05C00">
        <w:rPr>
          <w:lang w:val="en-GB"/>
        </w:rPr>
        <w:t xml:space="preserve">section 157(1)(d) to get locus standi to seek the delinquency relief. </w:t>
      </w:r>
      <w:r w:rsidR="00E04EC9" w:rsidRPr="00A05C00">
        <w:rPr>
          <w:lang w:val="en-GB"/>
        </w:rPr>
        <w:t>The terms of the amendment are lengthy</w:t>
      </w:r>
      <w:r w:rsidR="00CB3A61" w:rsidRPr="00A05C00">
        <w:rPr>
          <w:lang w:val="en-GB"/>
        </w:rPr>
        <w:t>,</w:t>
      </w:r>
      <w:r w:rsidR="00E04EC9" w:rsidRPr="00A05C00">
        <w:rPr>
          <w:lang w:val="en-GB"/>
        </w:rPr>
        <w:t xml:space="preserve"> but </w:t>
      </w:r>
      <w:r w:rsidR="00360240" w:rsidRPr="00A05C00">
        <w:rPr>
          <w:lang w:val="en-GB"/>
        </w:rPr>
        <w:t>broadly speaking they attempt to set out the basis for why they contend</w:t>
      </w:r>
      <w:r w:rsidR="00CA0653" w:rsidRPr="00A05C00">
        <w:rPr>
          <w:lang w:val="en-GB"/>
        </w:rPr>
        <w:t>, that</w:t>
      </w:r>
      <w:r w:rsidR="00360240" w:rsidRPr="00A05C00">
        <w:rPr>
          <w:lang w:val="en-GB"/>
        </w:rPr>
        <w:t xml:space="preserve"> they as creditors</w:t>
      </w:r>
      <w:r w:rsidR="00CA0653" w:rsidRPr="00A05C00">
        <w:rPr>
          <w:lang w:val="en-GB"/>
        </w:rPr>
        <w:t>,</w:t>
      </w:r>
      <w:r w:rsidR="00360240" w:rsidRPr="00A05C00">
        <w:rPr>
          <w:lang w:val="en-GB"/>
        </w:rPr>
        <w:t xml:space="preserve"> act in the public interest to seek the </w:t>
      </w:r>
      <w:r w:rsidR="00B523FE" w:rsidRPr="00A05C00">
        <w:rPr>
          <w:lang w:val="en-GB"/>
        </w:rPr>
        <w:t>relief. This</w:t>
      </w:r>
      <w:r w:rsidR="00307EFB" w:rsidRPr="00A05C00">
        <w:rPr>
          <w:lang w:val="en-GB"/>
        </w:rPr>
        <w:t xml:space="preserve"> has not satisfied the third defendant who </w:t>
      </w:r>
      <w:r w:rsidR="00531A24" w:rsidRPr="00A05C00">
        <w:rPr>
          <w:lang w:val="en-GB"/>
        </w:rPr>
        <w:t>is now the only one of the three defendants to oppose the amendment.</w:t>
      </w:r>
      <w:r w:rsidR="00D13448" w:rsidRPr="00A05C00">
        <w:rPr>
          <w:lang w:val="en-GB"/>
        </w:rPr>
        <w:t xml:space="preserve"> Hence the need for me to decide whether </w:t>
      </w:r>
      <w:r w:rsidR="00256788" w:rsidRPr="00A05C00">
        <w:rPr>
          <w:lang w:val="en-GB"/>
        </w:rPr>
        <w:t>the third defendant has raised grounds for the amendment to be refused.</w:t>
      </w:r>
    </w:p>
    <w:p w14:paraId="775A4BB2" w14:textId="2B622D07" w:rsidR="00B817A5" w:rsidRPr="00A05C00" w:rsidRDefault="00A05C00" w:rsidP="00A05C00">
      <w:pPr>
        <w:spacing w:after="360" w:line="480" w:lineRule="auto"/>
        <w:ind w:left="720" w:hanging="720"/>
        <w:jc w:val="both"/>
        <w:rPr>
          <w:i/>
          <w:iCs/>
          <w:lang w:val="en-GB"/>
        </w:rPr>
      </w:pPr>
      <w:r>
        <w:rPr>
          <w:lang w:val="en-GB"/>
        </w:rPr>
        <w:t>[8]</w:t>
      </w:r>
      <w:r>
        <w:rPr>
          <w:lang w:val="en-GB"/>
        </w:rPr>
        <w:tab/>
      </w:r>
      <w:r w:rsidR="00D31940" w:rsidRPr="00A05C00">
        <w:rPr>
          <w:lang w:val="en-GB"/>
        </w:rPr>
        <w:t>In general</w:t>
      </w:r>
      <w:r w:rsidR="00C323E3" w:rsidRPr="00A05C00">
        <w:rPr>
          <w:lang w:val="en-GB"/>
        </w:rPr>
        <w:t>,</w:t>
      </w:r>
      <w:r w:rsidR="00D31940" w:rsidRPr="00A05C00">
        <w:rPr>
          <w:lang w:val="en-GB"/>
        </w:rPr>
        <w:t xml:space="preserve"> a</w:t>
      </w:r>
      <w:r w:rsidR="00F66AB9" w:rsidRPr="00A05C00">
        <w:rPr>
          <w:lang w:val="en-GB"/>
        </w:rPr>
        <w:t>s the plaintiffs argue</w:t>
      </w:r>
      <w:r w:rsidR="0015447E" w:rsidRPr="00A05C00">
        <w:rPr>
          <w:lang w:val="en-GB"/>
        </w:rPr>
        <w:t>,</w:t>
      </w:r>
      <w:r w:rsidR="005C3DAA" w:rsidRPr="00A05C00">
        <w:rPr>
          <w:lang w:val="en-GB"/>
        </w:rPr>
        <w:t xml:space="preserve"> courts lean in favour </w:t>
      </w:r>
      <w:r w:rsidR="00AE5BB6" w:rsidRPr="00A05C00">
        <w:rPr>
          <w:lang w:val="en-GB"/>
        </w:rPr>
        <w:t xml:space="preserve">granting an amendment. </w:t>
      </w:r>
      <w:r w:rsidR="0015447E" w:rsidRPr="00A05C00">
        <w:rPr>
          <w:lang w:val="en-GB"/>
        </w:rPr>
        <w:t>Thus,</w:t>
      </w:r>
      <w:r w:rsidR="00A652CB" w:rsidRPr="00A05C00">
        <w:rPr>
          <w:lang w:val="en-GB"/>
        </w:rPr>
        <w:t xml:space="preserve"> the approach</w:t>
      </w:r>
      <w:r w:rsidR="00F66AB9" w:rsidRPr="00A05C00">
        <w:rPr>
          <w:lang w:val="en-GB"/>
        </w:rPr>
        <w:t>,</w:t>
      </w:r>
      <w:r w:rsidR="00A652CB" w:rsidRPr="00A05C00">
        <w:rPr>
          <w:lang w:val="en-GB"/>
        </w:rPr>
        <w:t xml:space="preserve"> since the case of </w:t>
      </w:r>
      <w:r w:rsidR="00A652CB" w:rsidRPr="00A05C00">
        <w:rPr>
          <w:i/>
          <w:lang w:val="en-GB"/>
        </w:rPr>
        <w:t xml:space="preserve">Moolman v Moolman </w:t>
      </w:r>
      <w:r w:rsidR="00A652CB" w:rsidRPr="00A05C00">
        <w:rPr>
          <w:lang w:val="en-GB"/>
        </w:rPr>
        <w:t xml:space="preserve">is </w:t>
      </w:r>
      <w:r w:rsidR="00F2202C" w:rsidRPr="00A05C00">
        <w:rPr>
          <w:lang w:val="en-GB"/>
        </w:rPr>
        <w:t>a permissive</w:t>
      </w:r>
      <w:r w:rsidR="003B0AC3">
        <w:rPr>
          <w:lang w:val="en-GB"/>
        </w:rPr>
        <w:t xml:space="preserve"> </w:t>
      </w:r>
      <w:r w:rsidR="00F2202C" w:rsidRPr="00A05C00">
        <w:rPr>
          <w:lang w:val="en-GB"/>
        </w:rPr>
        <w:t>one.</w:t>
      </w:r>
      <w:r w:rsidR="00BA198C" w:rsidRPr="00174309">
        <w:rPr>
          <w:rStyle w:val="FootnoteReference"/>
          <w:lang w:val="en-GB"/>
        </w:rPr>
        <w:footnoteReference w:id="3"/>
      </w:r>
      <w:r w:rsidR="001536B2" w:rsidRPr="00A05C00">
        <w:rPr>
          <w:lang w:val="en-GB"/>
        </w:rPr>
        <w:t xml:space="preserve"> However</w:t>
      </w:r>
      <w:r w:rsidR="00186812" w:rsidRPr="00A05C00">
        <w:rPr>
          <w:lang w:val="en-GB"/>
        </w:rPr>
        <w:t>,</w:t>
      </w:r>
      <w:r w:rsidR="001536B2" w:rsidRPr="00A05C00">
        <w:rPr>
          <w:lang w:val="en-GB"/>
        </w:rPr>
        <w:t xml:space="preserve"> as the </w:t>
      </w:r>
      <w:r w:rsidR="00734325" w:rsidRPr="00A05C00">
        <w:rPr>
          <w:lang w:val="en-GB"/>
        </w:rPr>
        <w:t>Constitutional</w:t>
      </w:r>
      <w:r w:rsidR="001536B2" w:rsidRPr="00A05C00">
        <w:rPr>
          <w:lang w:val="en-GB"/>
        </w:rPr>
        <w:t xml:space="preserve"> Court most recently observed in </w:t>
      </w:r>
      <w:r w:rsidR="00B817A5" w:rsidRPr="00A05C00">
        <w:rPr>
          <w:lang w:val="en-GB"/>
        </w:rPr>
        <w:t xml:space="preserve">in </w:t>
      </w:r>
      <w:r w:rsidR="00B817A5" w:rsidRPr="00A05C00">
        <w:rPr>
          <w:i/>
          <w:lang w:val="en-GB"/>
        </w:rPr>
        <w:t>Villa Crop Protection (Pty) Ltd v Bayer Intellectual Property GmbH</w:t>
      </w:r>
      <w:r w:rsidR="00186812" w:rsidRPr="00174309">
        <w:rPr>
          <w:rStyle w:val="FootnoteReference"/>
          <w:i/>
          <w:lang w:val="en-GB"/>
        </w:rPr>
        <w:footnoteReference w:id="4"/>
      </w:r>
    </w:p>
    <w:p w14:paraId="18FDB778" w14:textId="45E0C4E4" w:rsidR="00395737" w:rsidRPr="00A05C00" w:rsidRDefault="00E56E9D" w:rsidP="00A05C00">
      <w:pPr>
        <w:spacing w:after="360" w:line="480" w:lineRule="auto"/>
        <w:ind w:left="2160"/>
        <w:jc w:val="both"/>
        <w:rPr>
          <w:i/>
          <w:iCs/>
          <w:color w:val="000000"/>
        </w:rPr>
      </w:pPr>
      <w:r w:rsidRPr="00A05C00">
        <w:rPr>
          <w:i/>
          <w:color w:val="000000"/>
        </w:rPr>
        <w:t>“</w:t>
      </w:r>
      <w:r w:rsidR="00B817A5" w:rsidRPr="00A05C00">
        <w:rPr>
          <w:i/>
          <w:color w:val="000000"/>
        </w:rPr>
        <w:t xml:space="preserve">Plainly, the permissive principle is not without limits. Pleadings that are excipiable, or, as the holding in Affordable Medicines affirmed, are introduced in bad </w:t>
      </w:r>
      <w:r w:rsidR="00161A28" w:rsidRPr="00A05C00">
        <w:rPr>
          <w:i/>
          <w:color w:val="000000"/>
        </w:rPr>
        <w:t>faith,</w:t>
      </w:r>
      <w:r w:rsidR="00B817A5" w:rsidRPr="00A05C00">
        <w:rPr>
          <w:i/>
          <w:color w:val="000000"/>
        </w:rPr>
        <w:t xml:space="preserve"> or cause an injustice that cannot be compensated by an order for costs, afford grounds for refusing a proposed amendment.</w:t>
      </w:r>
      <w:r w:rsidRPr="00A05C00">
        <w:rPr>
          <w:i/>
          <w:color w:val="000000"/>
        </w:rPr>
        <w:t>”</w:t>
      </w:r>
    </w:p>
    <w:p w14:paraId="1AFF359B" w14:textId="0B3A6649" w:rsidR="00307EFB" w:rsidRPr="00A05C00" w:rsidRDefault="00A05C00" w:rsidP="00A05C00">
      <w:pPr>
        <w:spacing w:after="360" w:line="480" w:lineRule="auto"/>
        <w:ind w:left="720" w:hanging="720"/>
        <w:jc w:val="both"/>
        <w:rPr>
          <w:lang w:val="en-GB"/>
        </w:rPr>
      </w:pPr>
      <w:r>
        <w:rPr>
          <w:lang w:val="en-GB"/>
        </w:rPr>
        <w:lastRenderedPageBreak/>
        <w:t>[9]</w:t>
      </w:r>
      <w:r>
        <w:rPr>
          <w:lang w:val="en-GB"/>
        </w:rPr>
        <w:tab/>
      </w:r>
      <w:r w:rsidR="00734325" w:rsidRPr="00A05C00">
        <w:rPr>
          <w:lang w:val="en-GB"/>
        </w:rPr>
        <w:t>Counsel for the third defendant made it clear that he does not rely on bad faith</w:t>
      </w:r>
      <w:r w:rsidR="00690FA0">
        <w:rPr>
          <w:lang w:val="en-GB"/>
        </w:rPr>
        <w:t>,</w:t>
      </w:r>
      <w:r>
        <w:rPr>
          <w:lang w:val="en-GB"/>
        </w:rPr>
        <w:t xml:space="preserve"> </w:t>
      </w:r>
      <w:r w:rsidR="00F5435E" w:rsidRPr="00A05C00">
        <w:rPr>
          <w:lang w:val="en-GB"/>
        </w:rPr>
        <w:t>only that the amendment would render the pleading excipiable. Three reasons for why it would be excipiable were advanced. They are:</w:t>
      </w:r>
    </w:p>
    <w:p w14:paraId="44D39BB8" w14:textId="48DD2C56" w:rsidR="00386725" w:rsidRPr="008C3136" w:rsidRDefault="008C3136" w:rsidP="008C3136">
      <w:pPr>
        <w:spacing w:after="360" w:line="480" w:lineRule="auto"/>
        <w:ind w:left="2307" w:hanging="180"/>
        <w:jc w:val="both"/>
        <w:rPr>
          <w:lang w:val="en-GB"/>
        </w:rPr>
      </w:pPr>
      <w:r w:rsidRPr="00174309">
        <w:rPr>
          <w:lang w:val="en-GB"/>
        </w:rPr>
        <w:t>i.</w:t>
      </w:r>
      <w:r w:rsidRPr="00174309">
        <w:rPr>
          <w:lang w:val="en-GB"/>
        </w:rPr>
        <w:tab/>
      </w:r>
      <w:r w:rsidR="00386725" w:rsidRPr="008C3136">
        <w:rPr>
          <w:lang w:val="en-GB"/>
        </w:rPr>
        <w:t>Leave must be granted prior to the relief being sought</w:t>
      </w:r>
      <w:r w:rsidR="00F37744" w:rsidRPr="008C3136">
        <w:rPr>
          <w:lang w:val="en-GB"/>
        </w:rPr>
        <w:t>;</w:t>
      </w:r>
      <w:r w:rsidR="00386725" w:rsidRPr="008C3136">
        <w:rPr>
          <w:lang w:val="en-GB"/>
        </w:rPr>
        <w:t xml:space="preserve"> </w:t>
      </w:r>
    </w:p>
    <w:p w14:paraId="0509BE02" w14:textId="3AB25D2B" w:rsidR="00386725" w:rsidRPr="008C3136" w:rsidRDefault="008C3136" w:rsidP="008C3136">
      <w:pPr>
        <w:spacing w:after="360" w:line="480" w:lineRule="auto"/>
        <w:ind w:left="2307" w:hanging="180"/>
        <w:jc w:val="both"/>
        <w:rPr>
          <w:lang w:val="en-GB"/>
        </w:rPr>
      </w:pPr>
      <w:r w:rsidRPr="00174309">
        <w:rPr>
          <w:lang w:val="en-GB"/>
        </w:rPr>
        <w:t>ii.</w:t>
      </w:r>
      <w:r w:rsidRPr="00174309">
        <w:rPr>
          <w:lang w:val="en-GB"/>
        </w:rPr>
        <w:tab/>
      </w:r>
      <w:r w:rsidR="00386725" w:rsidRPr="008C3136">
        <w:rPr>
          <w:lang w:val="en-GB"/>
        </w:rPr>
        <w:t xml:space="preserve">The amendment is not genuine </w:t>
      </w:r>
      <w:r w:rsidR="00A77700" w:rsidRPr="008C3136">
        <w:rPr>
          <w:lang w:val="en-GB"/>
        </w:rPr>
        <w:t>b</w:t>
      </w:r>
      <w:r w:rsidR="00386725" w:rsidRPr="008C3136">
        <w:rPr>
          <w:lang w:val="en-GB"/>
        </w:rPr>
        <w:t>ecause a creditor does not have standing to seek disqualification relief</w:t>
      </w:r>
      <w:r w:rsidR="00F37744" w:rsidRPr="008C3136">
        <w:rPr>
          <w:lang w:val="en-GB"/>
        </w:rPr>
        <w:t>; and</w:t>
      </w:r>
      <w:r w:rsidR="00386725" w:rsidRPr="008C3136">
        <w:rPr>
          <w:lang w:val="en-GB"/>
        </w:rPr>
        <w:t xml:space="preserve"> </w:t>
      </w:r>
    </w:p>
    <w:p w14:paraId="61CB163C" w14:textId="23549E68" w:rsidR="00386725" w:rsidRPr="008C3136" w:rsidRDefault="008C3136" w:rsidP="008C3136">
      <w:pPr>
        <w:spacing w:after="360" w:line="480" w:lineRule="auto"/>
        <w:ind w:left="2307" w:hanging="180"/>
        <w:jc w:val="both"/>
        <w:rPr>
          <w:lang w:val="en-GB"/>
        </w:rPr>
      </w:pPr>
      <w:r w:rsidRPr="00174309">
        <w:rPr>
          <w:lang w:val="en-GB"/>
        </w:rPr>
        <w:t>iii.</w:t>
      </w:r>
      <w:r w:rsidRPr="00174309">
        <w:rPr>
          <w:lang w:val="en-GB"/>
        </w:rPr>
        <w:tab/>
      </w:r>
      <w:r w:rsidR="00386725" w:rsidRPr="008C3136">
        <w:rPr>
          <w:lang w:val="en-GB"/>
        </w:rPr>
        <w:t>The plaintiff’s cause of action is own interest not public interest litigation</w:t>
      </w:r>
      <w:r w:rsidR="00F37744" w:rsidRPr="008C3136">
        <w:rPr>
          <w:lang w:val="en-GB"/>
        </w:rPr>
        <w:t>.</w:t>
      </w:r>
      <w:r w:rsidR="00386725" w:rsidRPr="008C3136">
        <w:rPr>
          <w:lang w:val="en-GB"/>
        </w:rPr>
        <w:t xml:space="preserve"> </w:t>
      </w:r>
    </w:p>
    <w:p w14:paraId="2AFFD90D" w14:textId="3EB7E635" w:rsidR="00C8312A" w:rsidRPr="00A05C00" w:rsidRDefault="00A05C00" w:rsidP="00A05C00">
      <w:pPr>
        <w:spacing w:after="360" w:line="480" w:lineRule="auto"/>
        <w:ind w:left="720" w:hanging="720"/>
        <w:jc w:val="both"/>
        <w:rPr>
          <w:lang w:val="en-GB"/>
        </w:rPr>
      </w:pPr>
      <w:r>
        <w:rPr>
          <w:lang w:val="en-GB"/>
        </w:rPr>
        <w:t>[10]</w:t>
      </w:r>
      <w:r>
        <w:rPr>
          <w:lang w:val="en-GB"/>
        </w:rPr>
        <w:tab/>
      </w:r>
      <w:r w:rsidR="001311D2" w:rsidRPr="00A05C00">
        <w:rPr>
          <w:lang w:val="en-GB"/>
        </w:rPr>
        <w:t xml:space="preserve">Before </w:t>
      </w:r>
      <w:r w:rsidR="002E5D58" w:rsidRPr="00A05C00">
        <w:rPr>
          <w:lang w:val="en-GB"/>
        </w:rPr>
        <w:t>I consider these objections some background to what is contained in the particulars of claim and the amendment is necessary.</w:t>
      </w:r>
    </w:p>
    <w:p w14:paraId="1CD65484" w14:textId="77777777" w:rsidR="00C8312A" w:rsidRPr="00174309" w:rsidRDefault="00C8312A" w:rsidP="00A05C00">
      <w:pPr>
        <w:pStyle w:val="ListParagraph"/>
        <w:spacing w:after="360" w:line="480" w:lineRule="auto"/>
        <w:ind w:left="360" w:firstLine="360"/>
        <w:jc w:val="both"/>
        <w:rPr>
          <w:b/>
          <w:bCs/>
          <w:lang w:val="en-GB"/>
        </w:rPr>
      </w:pPr>
      <w:r w:rsidRPr="00174309">
        <w:rPr>
          <w:b/>
          <w:bCs/>
          <w:lang w:val="en-GB"/>
        </w:rPr>
        <w:t>Background</w:t>
      </w:r>
    </w:p>
    <w:p w14:paraId="63BF2BB4" w14:textId="616F5FFF" w:rsidR="002E0D5A" w:rsidRPr="00A05C00" w:rsidRDefault="00A05C00" w:rsidP="00A05C00">
      <w:pPr>
        <w:spacing w:after="360" w:line="480" w:lineRule="auto"/>
        <w:ind w:left="720" w:hanging="720"/>
        <w:jc w:val="both"/>
        <w:rPr>
          <w:lang w:val="en-GB"/>
        </w:rPr>
      </w:pPr>
      <w:r>
        <w:rPr>
          <w:lang w:val="en-GB"/>
        </w:rPr>
        <w:t>[11]</w:t>
      </w:r>
      <w:r>
        <w:rPr>
          <w:lang w:val="en-GB"/>
        </w:rPr>
        <w:tab/>
      </w:r>
      <w:r w:rsidR="00752C8A" w:rsidRPr="00A05C00">
        <w:rPr>
          <w:lang w:val="en-GB"/>
        </w:rPr>
        <w:t>F</w:t>
      </w:r>
      <w:r w:rsidR="000B09DF" w:rsidRPr="00A05C00">
        <w:rPr>
          <w:lang w:val="en-GB"/>
        </w:rPr>
        <w:t>or technical reasons</w:t>
      </w:r>
      <w:r w:rsidR="00FA5726" w:rsidRPr="00A05C00">
        <w:rPr>
          <w:lang w:val="en-GB"/>
        </w:rPr>
        <w:t>,</w:t>
      </w:r>
      <w:r w:rsidR="000B09DF" w:rsidRPr="00A05C00">
        <w:rPr>
          <w:lang w:val="en-GB"/>
        </w:rPr>
        <w:t xml:space="preserve"> </w:t>
      </w:r>
      <w:r w:rsidR="00FA5726" w:rsidRPr="00A05C00">
        <w:rPr>
          <w:lang w:val="en-GB"/>
        </w:rPr>
        <w:t xml:space="preserve">the two plaintiffs in the case </w:t>
      </w:r>
      <w:r w:rsidR="000B09DF" w:rsidRPr="00A05C00">
        <w:rPr>
          <w:lang w:val="en-GB"/>
        </w:rPr>
        <w:t>litigate as two separate entities</w:t>
      </w:r>
      <w:r w:rsidR="00023C48" w:rsidRPr="00A05C00">
        <w:rPr>
          <w:lang w:val="en-GB"/>
        </w:rPr>
        <w:t>,</w:t>
      </w:r>
      <w:r w:rsidR="000B09DF" w:rsidRPr="00A05C00">
        <w:rPr>
          <w:lang w:val="en-GB"/>
        </w:rPr>
        <w:t xml:space="preserve"> but for the purpose of this case </w:t>
      </w:r>
      <w:r w:rsidR="00FA5726" w:rsidRPr="00A05C00">
        <w:rPr>
          <w:lang w:val="en-GB"/>
        </w:rPr>
        <w:t xml:space="preserve">they </w:t>
      </w:r>
      <w:r w:rsidR="000B09DF" w:rsidRPr="00A05C00">
        <w:rPr>
          <w:lang w:val="en-GB"/>
        </w:rPr>
        <w:t>can be considered as one</w:t>
      </w:r>
      <w:r w:rsidR="00023C48" w:rsidRPr="00A05C00">
        <w:rPr>
          <w:lang w:val="en-GB"/>
        </w:rPr>
        <w:t>,</w:t>
      </w:r>
      <w:r w:rsidR="00FA5726" w:rsidRPr="00A05C00">
        <w:rPr>
          <w:lang w:val="en-GB"/>
        </w:rPr>
        <w:t xml:space="preserve"> and I will refer to them</w:t>
      </w:r>
      <w:r w:rsidR="005066A5" w:rsidRPr="00A05C00">
        <w:rPr>
          <w:lang w:val="en-GB"/>
        </w:rPr>
        <w:t xml:space="preserve"> from now on by name</w:t>
      </w:r>
      <w:r w:rsidR="007549FC">
        <w:rPr>
          <w:lang w:val="en-GB"/>
        </w:rPr>
        <w:t>,</w:t>
      </w:r>
      <w:r w:rsidR="005066A5" w:rsidRPr="00A05C00">
        <w:rPr>
          <w:lang w:val="en-GB"/>
        </w:rPr>
        <w:t xml:space="preserve"> and in the singular,</w:t>
      </w:r>
      <w:r w:rsidR="00FA5726" w:rsidRPr="00A05C00">
        <w:rPr>
          <w:lang w:val="en-GB"/>
        </w:rPr>
        <w:t xml:space="preserve"> </w:t>
      </w:r>
      <w:r w:rsidR="00435072" w:rsidRPr="00A05C00">
        <w:rPr>
          <w:lang w:val="en-GB"/>
        </w:rPr>
        <w:t>as Vantage</w:t>
      </w:r>
      <w:r w:rsidR="00F24E0D" w:rsidRPr="00A05C00">
        <w:rPr>
          <w:lang w:val="en-GB"/>
        </w:rPr>
        <w:t xml:space="preserve">. </w:t>
      </w:r>
      <w:r w:rsidR="0079350A" w:rsidRPr="00A05C00">
        <w:rPr>
          <w:lang w:val="en-GB"/>
        </w:rPr>
        <w:t>Vantage is a Fund that lent moneys to companies of which the three defendants were directors</w:t>
      </w:r>
      <w:r w:rsidR="00EC26B4" w:rsidRPr="00A05C00">
        <w:rPr>
          <w:lang w:val="en-GB"/>
        </w:rPr>
        <w:t xml:space="preserve"> </w:t>
      </w:r>
      <w:r w:rsidR="00075519" w:rsidRPr="00A05C00">
        <w:rPr>
          <w:lang w:val="en-GB"/>
        </w:rPr>
        <w:t>and shareholders or indirect shareholders.</w:t>
      </w:r>
      <w:r w:rsidR="00FA77C2" w:rsidRPr="00A05C00">
        <w:rPr>
          <w:lang w:val="en-GB"/>
        </w:rPr>
        <w:t xml:space="preserve"> In 2014 Vantage provided Somnipoint</w:t>
      </w:r>
      <w:r w:rsidR="00BC3415" w:rsidRPr="00A05C00">
        <w:rPr>
          <w:lang w:val="en-GB"/>
        </w:rPr>
        <w:t>,</w:t>
      </w:r>
      <w:r w:rsidR="00FA77C2" w:rsidRPr="00A05C00">
        <w:rPr>
          <w:lang w:val="en-GB"/>
        </w:rPr>
        <w:t xml:space="preserve"> a loan facility approximating R 200 million. </w:t>
      </w:r>
      <w:r w:rsidR="006D471F" w:rsidRPr="00A05C00">
        <w:rPr>
          <w:lang w:val="en-GB"/>
        </w:rPr>
        <w:t xml:space="preserve"> </w:t>
      </w:r>
      <w:r w:rsidR="007549FC">
        <w:rPr>
          <w:lang w:val="en-GB"/>
        </w:rPr>
        <w:t>Somnipoint</w:t>
      </w:r>
      <w:r w:rsidR="006D471F" w:rsidRPr="00A05C00">
        <w:rPr>
          <w:lang w:val="en-GB"/>
        </w:rPr>
        <w:t xml:space="preserve"> used the loan to purchase</w:t>
      </w:r>
      <w:r w:rsidR="002970D8" w:rsidRPr="00A05C00">
        <w:rPr>
          <w:lang w:val="en-GB"/>
        </w:rPr>
        <w:t xml:space="preserve"> a</w:t>
      </w:r>
      <w:r w:rsidR="006D471F" w:rsidRPr="00A05C00">
        <w:rPr>
          <w:lang w:val="en-GB"/>
        </w:rPr>
        <w:t xml:space="preserve"> building known as ABSA Towers located in Pretoria. As security for the loan </w:t>
      </w:r>
      <w:r w:rsidR="000A511C" w:rsidRPr="00A05C00">
        <w:rPr>
          <w:lang w:val="en-GB"/>
        </w:rPr>
        <w:t>Vantage registered a mortgage bond over the building and obtained a cession of</w:t>
      </w:r>
      <w:r w:rsidR="002E0D5A" w:rsidRPr="00A05C00">
        <w:rPr>
          <w:lang w:val="en-GB"/>
        </w:rPr>
        <w:t xml:space="preserve"> the rentals</w:t>
      </w:r>
      <w:r w:rsidR="007549FC">
        <w:rPr>
          <w:lang w:val="en-GB"/>
        </w:rPr>
        <w:t xml:space="preserve"> from Somnipoint</w:t>
      </w:r>
      <w:r w:rsidR="00741780" w:rsidRPr="00A05C00">
        <w:rPr>
          <w:lang w:val="en-GB"/>
        </w:rPr>
        <w:t>. The tenant in the building was the Unemployment Insurance Fund (</w:t>
      </w:r>
      <w:r w:rsidR="003B0AC3">
        <w:rPr>
          <w:lang w:val="en-GB"/>
        </w:rPr>
        <w:t>“</w:t>
      </w:r>
      <w:r w:rsidR="00741780" w:rsidRPr="00A05C00">
        <w:rPr>
          <w:lang w:val="en-GB"/>
        </w:rPr>
        <w:t>UIF</w:t>
      </w:r>
      <w:r w:rsidR="003B0AC3">
        <w:rPr>
          <w:lang w:val="en-GB"/>
        </w:rPr>
        <w:t>”</w:t>
      </w:r>
      <w:r w:rsidR="00741780" w:rsidRPr="00A05C00">
        <w:rPr>
          <w:lang w:val="en-GB"/>
        </w:rPr>
        <w:t xml:space="preserve">) a government entity. </w:t>
      </w:r>
      <w:r w:rsidR="00770DF1" w:rsidRPr="00A05C00">
        <w:rPr>
          <w:lang w:val="en-GB"/>
        </w:rPr>
        <w:t>This</w:t>
      </w:r>
      <w:r w:rsidR="002970D8" w:rsidRPr="00A05C00">
        <w:rPr>
          <w:lang w:val="en-GB"/>
        </w:rPr>
        <w:t xml:space="preserve"> </w:t>
      </w:r>
      <w:r w:rsidR="00770DF1" w:rsidRPr="00A05C00">
        <w:rPr>
          <w:lang w:val="en-GB"/>
        </w:rPr>
        <w:lastRenderedPageBreak/>
        <w:t xml:space="preserve">becomes a material fact for the purpose </w:t>
      </w:r>
      <w:r w:rsidR="00E51BFB" w:rsidRPr="00A05C00">
        <w:rPr>
          <w:lang w:val="en-GB"/>
        </w:rPr>
        <w:t>of Vantage’s</w:t>
      </w:r>
      <w:r w:rsidR="00BF2427" w:rsidRPr="00A05C00">
        <w:rPr>
          <w:lang w:val="en-GB"/>
        </w:rPr>
        <w:t xml:space="preserve"> argument</w:t>
      </w:r>
      <w:r w:rsidR="00770DF1" w:rsidRPr="00A05C00">
        <w:rPr>
          <w:lang w:val="en-GB"/>
        </w:rPr>
        <w:t>.</w:t>
      </w:r>
      <w:r w:rsidR="00002FAB" w:rsidRPr="00A05C00">
        <w:rPr>
          <w:lang w:val="en-GB"/>
        </w:rPr>
        <w:t xml:space="preserve"> Central</w:t>
      </w:r>
      <w:r w:rsidR="004037A2" w:rsidRPr="00A05C00">
        <w:rPr>
          <w:lang w:val="en-GB"/>
        </w:rPr>
        <w:t xml:space="preserve"> to the claim</w:t>
      </w:r>
      <w:r w:rsidR="00002FAB" w:rsidRPr="00A05C00">
        <w:rPr>
          <w:lang w:val="en-GB"/>
        </w:rPr>
        <w:t xml:space="preserve"> as well</w:t>
      </w:r>
      <w:r w:rsidR="004037A2" w:rsidRPr="00A05C00">
        <w:rPr>
          <w:lang w:val="en-GB"/>
        </w:rPr>
        <w:t>, i</w:t>
      </w:r>
      <w:r w:rsidR="005423DC" w:rsidRPr="00A05C00">
        <w:rPr>
          <w:lang w:val="en-GB"/>
        </w:rPr>
        <w:t>s</w:t>
      </w:r>
      <w:r w:rsidR="004037A2" w:rsidRPr="00A05C00">
        <w:rPr>
          <w:lang w:val="en-GB"/>
        </w:rPr>
        <w:t xml:space="preserve"> the defendants role in</w:t>
      </w:r>
      <w:r w:rsidR="00002FAB" w:rsidRPr="00A05C00">
        <w:rPr>
          <w:lang w:val="en-GB"/>
        </w:rPr>
        <w:t xml:space="preserve"> another entity</w:t>
      </w:r>
      <w:r w:rsidR="004037A2" w:rsidRPr="00A05C00">
        <w:rPr>
          <w:lang w:val="en-GB"/>
        </w:rPr>
        <w:t>,</w:t>
      </w:r>
      <w:r w:rsidR="00002FAB" w:rsidRPr="00A05C00">
        <w:rPr>
          <w:lang w:val="en-GB"/>
        </w:rPr>
        <w:t xml:space="preserve"> a property </w:t>
      </w:r>
      <w:r w:rsidR="005423DC" w:rsidRPr="00A05C00">
        <w:rPr>
          <w:lang w:val="en-GB"/>
        </w:rPr>
        <w:t xml:space="preserve">company </w:t>
      </w:r>
      <w:r w:rsidR="00002FAB" w:rsidRPr="00A05C00">
        <w:rPr>
          <w:lang w:val="en-GB"/>
        </w:rPr>
        <w:t>called Delta</w:t>
      </w:r>
      <w:r w:rsidR="004037A2" w:rsidRPr="00A05C00">
        <w:rPr>
          <w:lang w:val="en-GB"/>
        </w:rPr>
        <w:t>,</w:t>
      </w:r>
      <w:r w:rsidR="004C5F62" w:rsidRPr="00A05C00">
        <w:rPr>
          <w:lang w:val="en-GB"/>
        </w:rPr>
        <w:t xml:space="preserve"> of </w:t>
      </w:r>
      <w:r w:rsidR="00002FAB" w:rsidRPr="00A05C00">
        <w:rPr>
          <w:lang w:val="en-GB"/>
        </w:rPr>
        <w:t>which all three defendants</w:t>
      </w:r>
      <w:r w:rsidR="004C5F62" w:rsidRPr="00A05C00">
        <w:rPr>
          <w:lang w:val="en-GB"/>
        </w:rPr>
        <w:t>,</w:t>
      </w:r>
      <w:r w:rsidR="00002FAB" w:rsidRPr="00A05C00">
        <w:rPr>
          <w:lang w:val="en-GB"/>
        </w:rPr>
        <w:t xml:space="preserve"> at the relevant time</w:t>
      </w:r>
      <w:r w:rsidR="004C5F62" w:rsidRPr="00A05C00">
        <w:rPr>
          <w:lang w:val="en-GB"/>
        </w:rPr>
        <w:t>,</w:t>
      </w:r>
      <w:r w:rsidR="00002FAB" w:rsidRPr="00A05C00">
        <w:rPr>
          <w:lang w:val="en-GB"/>
        </w:rPr>
        <w:t xml:space="preserve"> were directors</w:t>
      </w:r>
      <w:r w:rsidR="004C5F62" w:rsidRPr="00A05C00">
        <w:rPr>
          <w:lang w:val="en-GB"/>
        </w:rPr>
        <w:t xml:space="preserve">. The defendants are accused of utilising Delta </w:t>
      </w:r>
      <w:r w:rsidR="000577B2" w:rsidRPr="00A05C00">
        <w:rPr>
          <w:lang w:val="en-GB"/>
        </w:rPr>
        <w:t xml:space="preserve">to </w:t>
      </w:r>
      <w:r w:rsidR="00DC6C73" w:rsidRPr="00A05C00">
        <w:rPr>
          <w:lang w:val="en-GB"/>
        </w:rPr>
        <w:t xml:space="preserve">play a role in frustrating </w:t>
      </w:r>
      <w:r w:rsidR="000577B2" w:rsidRPr="00A05C00">
        <w:rPr>
          <w:lang w:val="en-GB"/>
        </w:rPr>
        <w:t>Vantage</w:t>
      </w:r>
      <w:r w:rsidR="00DC6C73" w:rsidRPr="00A05C00">
        <w:rPr>
          <w:lang w:val="en-GB"/>
        </w:rPr>
        <w:t xml:space="preserve"> from exercising its rights </w:t>
      </w:r>
      <w:r w:rsidR="000D3797" w:rsidRPr="00A05C00">
        <w:rPr>
          <w:lang w:val="en-GB"/>
        </w:rPr>
        <w:t>as a creditor by engaging in various machinations,</w:t>
      </w:r>
      <w:r w:rsidR="006F6C6D" w:rsidRPr="00A05C00">
        <w:rPr>
          <w:lang w:val="en-GB"/>
        </w:rPr>
        <w:t xml:space="preserve"> including diverting monies owing to Somnipoint</w:t>
      </w:r>
      <w:r w:rsidR="00C60AEA" w:rsidRPr="00A05C00">
        <w:rPr>
          <w:lang w:val="en-GB"/>
        </w:rPr>
        <w:t>.</w:t>
      </w:r>
      <w:r w:rsidR="00002FAB" w:rsidRPr="00A05C00">
        <w:rPr>
          <w:lang w:val="en-GB"/>
        </w:rPr>
        <w:t xml:space="preserve"> </w:t>
      </w:r>
    </w:p>
    <w:p w14:paraId="73275D6B" w14:textId="03FC0B13" w:rsidR="00160700" w:rsidRPr="00A05C00" w:rsidRDefault="00A05C00" w:rsidP="00A05C00">
      <w:pPr>
        <w:spacing w:after="360" w:line="480" w:lineRule="auto"/>
        <w:ind w:left="720" w:hanging="720"/>
        <w:jc w:val="both"/>
        <w:rPr>
          <w:lang w:val="en-GB"/>
        </w:rPr>
      </w:pPr>
      <w:r>
        <w:rPr>
          <w:lang w:val="en-GB"/>
        </w:rPr>
        <w:t>[13]</w:t>
      </w:r>
      <w:r>
        <w:rPr>
          <w:lang w:val="en-GB"/>
        </w:rPr>
        <w:tab/>
      </w:r>
      <w:r w:rsidR="00160700" w:rsidRPr="00A05C00">
        <w:rPr>
          <w:lang w:val="en-GB"/>
        </w:rPr>
        <w:t>Somnipoint was unable to perform</w:t>
      </w:r>
      <w:r w:rsidR="00DB7C00" w:rsidRPr="00A05C00">
        <w:rPr>
          <w:lang w:val="en-GB"/>
        </w:rPr>
        <w:t xml:space="preserve"> its obligations</w:t>
      </w:r>
      <w:r w:rsidR="00160700" w:rsidRPr="00A05C00">
        <w:rPr>
          <w:lang w:val="en-GB"/>
        </w:rPr>
        <w:t xml:space="preserve"> in terms of the facility. Vantage </w:t>
      </w:r>
      <w:r w:rsidR="00DB7C00" w:rsidRPr="00A05C00">
        <w:rPr>
          <w:lang w:val="en-GB"/>
        </w:rPr>
        <w:t xml:space="preserve">first </w:t>
      </w:r>
      <w:r w:rsidR="00AF56E6" w:rsidRPr="00A05C00">
        <w:rPr>
          <w:lang w:val="en-GB"/>
        </w:rPr>
        <w:t>obtained a judgment and an execution order against Absa Towers</w:t>
      </w:r>
      <w:r w:rsidR="00634142" w:rsidRPr="00A05C00">
        <w:rPr>
          <w:lang w:val="en-GB"/>
        </w:rPr>
        <w:t xml:space="preserve">. It also attempted to exercise its cession of the rental rights but claims it was actively frustrated from doing so. </w:t>
      </w:r>
      <w:r w:rsidR="00DB7C00" w:rsidRPr="00A05C00">
        <w:rPr>
          <w:lang w:val="en-GB"/>
        </w:rPr>
        <w:t xml:space="preserve">Vantage then </w:t>
      </w:r>
      <w:r w:rsidR="00F35472" w:rsidRPr="00A05C00">
        <w:rPr>
          <w:lang w:val="en-GB"/>
        </w:rPr>
        <w:t xml:space="preserve">successfully applied for Somnipoint to be wound up. A section </w:t>
      </w:r>
      <w:r w:rsidR="000C677B" w:rsidRPr="00A05C00">
        <w:rPr>
          <w:lang w:val="en-GB"/>
        </w:rPr>
        <w:t xml:space="preserve">417 enquiry followed in the course of which all three defendants testified. </w:t>
      </w:r>
    </w:p>
    <w:p w14:paraId="25D314FD" w14:textId="73F4A477" w:rsidR="00A1410F" w:rsidRPr="00A05C00" w:rsidRDefault="00A05C00" w:rsidP="00A05C00">
      <w:pPr>
        <w:spacing w:after="360" w:line="480" w:lineRule="auto"/>
        <w:ind w:left="720" w:hanging="720"/>
        <w:jc w:val="both"/>
        <w:rPr>
          <w:lang w:val="en-GB"/>
        </w:rPr>
      </w:pPr>
      <w:r>
        <w:rPr>
          <w:lang w:val="en-GB"/>
        </w:rPr>
        <w:t>[14]</w:t>
      </w:r>
      <w:r>
        <w:rPr>
          <w:lang w:val="en-GB"/>
        </w:rPr>
        <w:tab/>
      </w:r>
      <w:r w:rsidR="0035142B" w:rsidRPr="00A05C00">
        <w:rPr>
          <w:lang w:val="en-GB"/>
        </w:rPr>
        <w:t>Vantage then brought the present action in which it sues the defendants</w:t>
      </w:r>
      <w:r w:rsidR="0068680B" w:rsidRPr="00A05C00">
        <w:rPr>
          <w:lang w:val="en-GB"/>
        </w:rPr>
        <w:t xml:space="preserve"> for two monetary claims; one of </w:t>
      </w:r>
      <w:r w:rsidR="00A91B9D" w:rsidRPr="00A05C00">
        <w:rPr>
          <w:lang w:val="en-GB"/>
        </w:rPr>
        <w:t>R159,941,738.00; and the other of R211,540,847.00;</w:t>
      </w:r>
      <w:r w:rsidR="00556E28" w:rsidRPr="00A05C00">
        <w:rPr>
          <w:lang w:val="en-GB"/>
        </w:rPr>
        <w:t xml:space="preserve"> it also</w:t>
      </w:r>
      <w:r w:rsidR="007549FC">
        <w:rPr>
          <w:lang w:val="en-GB"/>
        </w:rPr>
        <w:t>, as noted earlier,</w:t>
      </w:r>
      <w:r w:rsidR="00556E28" w:rsidRPr="00A05C00">
        <w:rPr>
          <w:lang w:val="en-GB"/>
        </w:rPr>
        <w:t xml:space="preserve"> sought a</w:t>
      </w:r>
      <w:r w:rsidR="005A02A0" w:rsidRPr="00A05C00">
        <w:rPr>
          <w:lang w:val="en-GB"/>
        </w:rPr>
        <w:t xml:space="preserve"> declaration </w:t>
      </w:r>
      <w:r w:rsidR="00556E28" w:rsidRPr="00A05C00">
        <w:rPr>
          <w:lang w:val="en-GB"/>
        </w:rPr>
        <w:t>of delinquency against all three defendants</w:t>
      </w:r>
      <w:r w:rsidR="005A02A0" w:rsidRPr="00A05C00">
        <w:rPr>
          <w:lang w:val="en-GB"/>
        </w:rPr>
        <w:t>,</w:t>
      </w:r>
      <w:r w:rsidR="00A67BA5" w:rsidRPr="00A05C00">
        <w:rPr>
          <w:lang w:val="en-GB"/>
        </w:rPr>
        <w:t xml:space="preserve"> relying on </w:t>
      </w:r>
      <w:r w:rsidR="00FA1EF6" w:rsidRPr="00A05C00">
        <w:rPr>
          <w:lang w:val="en-GB"/>
        </w:rPr>
        <w:t>section 162 of the Act</w:t>
      </w:r>
      <w:r w:rsidR="005A02A0" w:rsidRPr="00A05C00">
        <w:rPr>
          <w:lang w:val="en-GB"/>
        </w:rPr>
        <w:t>.</w:t>
      </w:r>
      <w:r w:rsidR="00FA1EF6" w:rsidRPr="00A05C00">
        <w:rPr>
          <w:lang w:val="en-GB"/>
        </w:rPr>
        <w:t xml:space="preserve"> I</w:t>
      </w:r>
      <w:r w:rsidR="0021706F" w:rsidRPr="00A05C00">
        <w:rPr>
          <w:lang w:val="en-GB"/>
        </w:rPr>
        <w:t>n</w:t>
      </w:r>
      <w:r w:rsidR="00FA1EF6" w:rsidRPr="00A05C00">
        <w:rPr>
          <w:lang w:val="en-GB"/>
        </w:rPr>
        <w:t xml:space="preserve"> particular what it alleged was that the defendants had in the course of their duties as directors </w:t>
      </w:r>
      <w:r w:rsidR="008E4415" w:rsidRPr="00A05C00">
        <w:rPr>
          <w:lang w:val="en-GB"/>
        </w:rPr>
        <w:t xml:space="preserve">committed the full panoply of </w:t>
      </w:r>
      <w:r w:rsidR="00D15886" w:rsidRPr="00A05C00">
        <w:rPr>
          <w:lang w:val="en-GB"/>
        </w:rPr>
        <w:t xml:space="preserve">misdemeanours </w:t>
      </w:r>
      <w:r w:rsidR="008E4415" w:rsidRPr="00A05C00">
        <w:rPr>
          <w:lang w:val="en-GB"/>
        </w:rPr>
        <w:t xml:space="preserve">referred to in </w:t>
      </w:r>
      <w:r w:rsidR="00F96DFD" w:rsidRPr="00A05C00">
        <w:rPr>
          <w:lang w:val="en-GB"/>
        </w:rPr>
        <w:t>sub-paragraphs</w:t>
      </w:r>
      <w:r w:rsidR="008E4415" w:rsidRPr="00A05C00">
        <w:rPr>
          <w:lang w:val="en-GB"/>
        </w:rPr>
        <w:t xml:space="preserve"> 162</w:t>
      </w:r>
      <w:r w:rsidR="00EF35EF" w:rsidRPr="00A05C00">
        <w:rPr>
          <w:lang w:val="en-GB"/>
        </w:rPr>
        <w:t>(5)(c)(</w:t>
      </w:r>
      <w:r w:rsidR="00624C1A" w:rsidRPr="00A05C00">
        <w:rPr>
          <w:lang w:val="en-GB"/>
        </w:rPr>
        <w:t>i), (ii</w:t>
      </w:r>
      <w:r w:rsidR="000833C5" w:rsidRPr="00A05C00">
        <w:rPr>
          <w:lang w:val="en-GB"/>
        </w:rPr>
        <w:t xml:space="preserve">i) and (iv) </w:t>
      </w:r>
      <w:r w:rsidR="00996B78" w:rsidRPr="00A05C00">
        <w:rPr>
          <w:lang w:val="en-GB"/>
        </w:rPr>
        <w:t xml:space="preserve">of the Act. Their rendition is not necessary for the purpose of this </w:t>
      </w:r>
      <w:r w:rsidR="00336FBF" w:rsidRPr="00A05C00">
        <w:rPr>
          <w:lang w:val="en-GB"/>
        </w:rPr>
        <w:t>decision,</w:t>
      </w:r>
      <w:r w:rsidR="00996B78" w:rsidRPr="00A05C00">
        <w:rPr>
          <w:lang w:val="en-GB"/>
        </w:rPr>
        <w:t xml:space="preserve"> but these sections deal with conduct </w:t>
      </w:r>
      <w:r w:rsidR="004B0705" w:rsidRPr="00A05C00">
        <w:rPr>
          <w:lang w:val="en-GB"/>
        </w:rPr>
        <w:t>by directors</w:t>
      </w:r>
      <w:r w:rsidR="00336FBF" w:rsidRPr="00A05C00">
        <w:rPr>
          <w:lang w:val="en-GB"/>
        </w:rPr>
        <w:t>,</w:t>
      </w:r>
      <w:r w:rsidR="004B0705" w:rsidRPr="00A05C00">
        <w:rPr>
          <w:lang w:val="en-GB"/>
        </w:rPr>
        <w:t xml:space="preserve"> inter alia</w:t>
      </w:r>
      <w:r w:rsidR="007549FC">
        <w:rPr>
          <w:lang w:val="en-GB"/>
        </w:rPr>
        <w:t>,</w:t>
      </w:r>
      <w:r w:rsidR="004B0705" w:rsidRPr="00A05C00">
        <w:rPr>
          <w:lang w:val="en-GB"/>
        </w:rPr>
        <w:t xml:space="preserve"> amounting to gross abuse of their position as directors, gross negligence </w:t>
      </w:r>
      <w:r w:rsidR="00280AA1" w:rsidRPr="00A05C00">
        <w:rPr>
          <w:lang w:val="en-GB"/>
        </w:rPr>
        <w:t xml:space="preserve">and being party to acts </w:t>
      </w:r>
      <w:r w:rsidR="0050555B" w:rsidRPr="00A05C00">
        <w:rPr>
          <w:lang w:val="en-GB"/>
        </w:rPr>
        <w:t xml:space="preserve">or omissions </w:t>
      </w:r>
      <w:r w:rsidR="00280AA1" w:rsidRPr="00A05C00">
        <w:rPr>
          <w:lang w:val="en-GB"/>
        </w:rPr>
        <w:t xml:space="preserve">to defraud </w:t>
      </w:r>
      <w:r w:rsidR="00185B10" w:rsidRPr="00A05C00">
        <w:rPr>
          <w:lang w:val="en-GB"/>
        </w:rPr>
        <w:t>Vantage as Som</w:t>
      </w:r>
      <w:r w:rsidR="00336FBF" w:rsidRPr="00A05C00">
        <w:rPr>
          <w:lang w:val="en-GB"/>
        </w:rPr>
        <w:t>n</w:t>
      </w:r>
      <w:r w:rsidR="00185B10" w:rsidRPr="00A05C00">
        <w:rPr>
          <w:lang w:val="en-GB"/>
        </w:rPr>
        <w:t>ipoint’s creditor.</w:t>
      </w:r>
      <w:r w:rsidR="00185B10" w:rsidRPr="00174309">
        <w:rPr>
          <w:rStyle w:val="FootnoteReference"/>
          <w:lang w:val="en-GB"/>
        </w:rPr>
        <w:footnoteReference w:id="5"/>
      </w:r>
      <w:r w:rsidR="001F5192" w:rsidRPr="00A05C00">
        <w:rPr>
          <w:lang w:val="en-GB"/>
        </w:rPr>
        <w:t xml:space="preserve"> The exception inter alia raised the issue that a creditor did not have locus standi to </w:t>
      </w:r>
      <w:r w:rsidR="001F5192" w:rsidRPr="00A05C00">
        <w:rPr>
          <w:lang w:val="en-GB"/>
        </w:rPr>
        <w:lastRenderedPageBreak/>
        <w:t xml:space="preserve">apply for this relief in terms of section 162(2) of the Act. </w:t>
      </w:r>
      <w:r w:rsidR="00556E28" w:rsidRPr="00A05C00">
        <w:rPr>
          <w:lang w:val="en-GB"/>
        </w:rPr>
        <w:t xml:space="preserve"> </w:t>
      </w:r>
      <w:r w:rsidR="00E6481E" w:rsidRPr="00A05C00">
        <w:rPr>
          <w:lang w:val="en-GB"/>
        </w:rPr>
        <w:t>What the amendment seeks to do is not to change the relief sou</w:t>
      </w:r>
      <w:r w:rsidR="00BA248E" w:rsidRPr="00A05C00">
        <w:rPr>
          <w:lang w:val="en-GB"/>
        </w:rPr>
        <w:t>g</w:t>
      </w:r>
      <w:r w:rsidR="00E6481E" w:rsidRPr="00A05C00">
        <w:rPr>
          <w:lang w:val="en-GB"/>
        </w:rPr>
        <w:t>h</w:t>
      </w:r>
      <w:r w:rsidR="00BA248E" w:rsidRPr="00A05C00">
        <w:rPr>
          <w:lang w:val="en-GB"/>
        </w:rPr>
        <w:t>t</w:t>
      </w:r>
      <w:r w:rsidR="00E6481E" w:rsidRPr="00A05C00">
        <w:rPr>
          <w:lang w:val="en-GB"/>
        </w:rPr>
        <w:t xml:space="preserve"> – it was always there</w:t>
      </w:r>
      <w:r w:rsidR="007D2447" w:rsidRPr="00A05C00">
        <w:rPr>
          <w:lang w:val="en-GB"/>
        </w:rPr>
        <w:t xml:space="preserve"> -</w:t>
      </w:r>
      <w:r w:rsidR="00E6481E" w:rsidRPr="00A05C00">
        <w:rPr>
          <w:lang w:val="en-GB"/>
        </w:rPr>
        <w:t xml:space="preserve"> but to ground </w:t>
      </w:r>
      <w:r w:rsidR="00E76990" w:rsidRPr="00A05C00">
        <w:rPr>
          <w:lang w:val="en-GB"/>
        </w:rPr>
        <w:t xml:space="preserve">Vantage’s entitlement to seek such relief </w:t>
      </w:r>
      <w:r w:rsidR="00E6481E" w:rsidRPr="00A05C00">
        <w:rPr>
          <w:lang w:val="en-GB"/>
        </w:rPr>
        <w:t xml:space="preserve">into the </w:t>
      </w:r>
      <w:r w:rsidR="00F7524F" w:rsidRPr="00A05C00">
        <w:rPr>
          <w:lang w:val="en-GB"/>
        </w:rPr>
        <w:t xml:space="preserve">extended relief provided by section 157(1)(d). </w:t>
      </w:r>
      <w:r w:rsidR="00186A70" w:rsidRPr="00A05C00">
        <w:rPr>
          <w:lang w:val="en-GB"/>
        </w:rPr>
        <w:t>Thus,</w:t>
      </w:r>
      <w:r w:rsidR="003F72A0" w:rsidRPr="00A05C00">
        <w:rPr>
          <w:lang w:val="en-GB"/>
        </w:rPr>
        <w:t xml:space="preserve"> Vantage considers that the amendment has cured the </w:t>
      </w:r>
      <w:r w:rsidR="00D6731D" w:rsidRPr="00A05C00">
        <w:rPr>
          <w:lang w:val="en-GB"/>
        </w:rPr>
        <w:t>exception,</w:t>
      </w:r>
      <w:r w:rsidR="003F72A0" w:rsidRPr="00A05C00">
        <w:rPr>
          <w:lang w:val="en-GB"/>
        </w:rPr>
        <w:t xml:space="preserve"> and it should be </w:t>
      </w:r>
      <w:r w:rsidR="004276EB" w:rsidRPr="00A05C00">
        <w:rPr>
          <w:lang w:val="en-GB"/>
        </w:rPr>
        <w:t>allowed.</w:t>
      </w:r>
    </w:p>
    <w:p w14:paraId="6D911329" w14:textId="68FFA5E0" w:rsidR="0035142B" w:rsidRPr="00A05C00" w:rsidRDefault="00A05C00" w:rsidP="00A05C00">
      <w:pPr>
        <w:spacing w:after="360" w:line="480" w:lineRule="auto"/>
        <w:ind w:left="720" w:hanging="720"/>
        <w:jc w:val="both"/>
        <w:rPr>
          <w:lang w:val="en-GB"/>
        </w:rPr>
      </w:pPr>
      <w:r>
        <w:rPr>
          <w:lang w:val="en-GB"/>
        </w:rPr>
        <w:t>[15]</w:t>
      </w:r>
      <w:r>
        <w:rPr>
          <w:lang w:val="en-GB"/>
        </w:rPr>
        <w:tab/>
      </w:r>
      <w:r w:rsidR="00F7524F" w:rsidRPr="00A05C00">
        <w:rPr>
          <w:lang w:val="en-GB"/>
        </w:rPr>
        <w:t xml:space="preserve">The </w:t>
      </w:r>
      <w:r w:rsidR="00757CB1" w:rsidRPr="00A05C00">
        <w:rPr>
          <w:lang w:val="en-GB"/>
        </w:rPr>
        <w:t xml:space="preserve">text of the </w:t>
      </w:r>
      <w:r w:rsidR="00F7524F" w:rsidRPr="00A05C00">
        <w:rPr>
          <w:lang w:val="en-GB"/>
        </w:rPr>
        <w:t>amendment is lengthy and for present purposes I do not need to set it out in full</w:t>
      </w:r>
      <w:r w:rsidR="00BA248E" w:rsidRPr="00A05C00">
        <w:rPr>
          <w:lang w:val="en-GB"/>
        </w:rPr>
        <w:t>,</w:t>
      </w:r>
      <w:r w:rsidR="00F7524F" w:rsidRPr="00A05C00">
        <w:rPr>
          <w:lang w:val="en-GB"/>
        </w:rPr>
        <w:t xml:space="preserve"> but its essential averments are this</w:t>
      </w:r>
      <w:r w:rsidR="00757CB1" w:rsidRPr="00A05C00">
        <w:rPr>
          <w:lang w:val="en-GB"/>
        </w:rPr>
        <w:t xml:space="preserve">. </w:t>
      </w:r>
      <w:r w:rsidR="009D04BD" w:rsidRPr="00A05C00">
        <w:rPr>
          <w:lang w:val="en-GB"/>
        </w:rPr>
        <w:t>Vantage claim</w:t>
      </w:r>
      <w:r w:rsidR="00794E45" w:rsidRPr="00A05C00">
        <w:rPr>
          <w:lang w:val="en-GB"/>
        </w:rPr>
        <w:t>s</w:t>
      </w:r>
      <w:r w:rsidR="009D04BD" w:rsidRPr="00A05C00">
        <w:rPr>
          <w:lang w:val="en-GB"/>
        </w:rPr>
        <w:t xml:space="preserve"> to act in the public interest </w:t>
      </w:r>
      <w:r w:rsidR="00A660D8" w:rsidRPr="00A05C00">
        <w:rPr>
          <w:lang w:val="en-GB"/>
        </w:rPr>
        <w:t xml:space="preserve">because of the </w:t>
      </w:r>
      <w:r w:rsidR="009D04BD" w:rsidRPr="00A05C00">
        <w:rPr>
          <w:lang w:val="en-GB"/>
        </w:rPr>
        <w:t>followi</w:t>
      </w:r>
      <w:r w:rsidR="00B42068" w:rsidRPr="00A05C00">
        <w:rPr>
          <w:lang w:val="en-GB"/>
        </w:rPr>
        <w:t>ng</w:t>
      </w:r>
      <w:r w:rsidR="00F7524F" w:rsidRPr="00A05C00">
        <w:rPr>
          <w:lang w:val="en-GB"/>
        </w:rPr>
        <w:t>:</w:t>
      </w:r>
      <w:r w:rsidR="008C3AA4" w:rsidRPr="00A05C00">
        <w:rPr>
          <w:lang w:val="en-GB"/>
        </w:rPr>
        <w:t xml:space="preserve"> </w:t>
      </w:r>
    </w:p>
    <w:p w14:paraId="43B9131E" w14:textId="28A1ECAF" w:rsidR="00A05C00" w:rsidRPr="008C3136" w:rsidRDefault="008C3136" w:rsidP="008C3136">
      <w:pPr>
        <w:spacing w:after="360" w:line="480" w:lineRule="auto"/>
        <w:ind w:left="1756" w:hanging="360"/>
        <w:jc w:val="both"/>
        <w:rPr>
          <w:lang w:val="en-GB"/>
        </w:rPr>
      </w:pPr>
      <w:r>
        <w:rPr>
          <w:lang w:val="en-GB"/>
        </w:rPr>
        <w:t>i.</w:t>
      </w:r>
      <w:r>
        <w:rPr>
          <w:lang w:val="en-GB"/>
        </w:rPr>
        <w:tab/>
      </w:r>
      <w:r w:rsidR="00A95C91" w:rsidRPr="008C3136">
        <w:rPr>
          <w:lang w:val="en-GB"/>
        </w:rPr>
        <w:t>The egregious nature of the defendants breach of their fiduciary duties</w:t>
      </w:r>
      <w:r w:rsidR="00B42068" w:rsidRPr="008C3136">
        <w:rPr>
          <w:lang w:val="en-GB"/>
        </w:rPr>
        <w:t>;</w:t>
      </w:r>
    </w:p>
    <w:p w14:paraId="18E96B85" w14:textId="3A728A39" w:rsidR="00A05C00" w:rsidRPr="008C3136" w:rsidRDefault="008C3136" w:rsidP="008C3136">
      <w:pPr>
        <w:spacing w:after="360" w:line="480" w:lineRule="auto"/>
        <w:ind w:left="1756" w:hanging="360"/>
        <w:jc w:val="both"/>
        <w:rPr>
          <w:lang w:val="en-GB"/>
        </w:rPr>
      </w:pPr>
      <w:r>
        <w:rPr>
          <w:lang w:val="en-GB"/>
        </w:rPr>
        <w:t>ii.</w:t>
      </w:r>
      <w:r>
        <w:rPr>
          <w:lang w:val="en-GB"/>
        </w:rPr>
        <w:tab/>
      </w:r>
      <w:r w:rsidR="00584CAC" w:rsidRPr="008C3136">
        <w:rPr>
          <w:lang w:val="en-GB"/>
        </w:rPr>
        <w:t>The duration of these breaches</w:t>
      </w:r>
      <w:r w:rsidR="00B42068" w:rsidRPr="008C3136">
        <w:rPr>
          <w:lang w:val="en-GB"/>
        </w:rPr>
        <w:t>;</w:t>
      </w:r>
    </w:p>
    <w:p w14:paraId="00B66851" w14:textId="12DE105A" w:rsidR="00A05C00" w:rsidRPr="008C3136" w:rsidRDefault="008C3136" w:rsidP="008C3136">
      <w:pPr>
        <w:spacing w:after="360" w:line="480" w:lineRule="auto"/>
        <w:ind w:left="1756" w:hanging="360"/>
        <w:jc w:val="both"/>
        <w:rPr>
          <w:lang w:val="en-GB"/>
        </w:rPr>
      </w:pPr>
      <w:r>
        <w:rPr>
          <w:lang w:val="en-GB"/>
        </w:rPr>
        <w:t>iii.</w:t>
      </w:r>
      <w:r>
        <w:rPr>
          <w:lang w:val="en-GB"/>
        </w:rPr>
        <w:tab/>
      </w:r>
      <w:r w:rsidR="00584CAC" w:rsidRPr="008C3136">
        <w:rPr>
          <w:lang w:val="en-GB"/>
        </w:rPr>
        <w:t>The large sums of money involved</w:t>
      </w:r>
      <w:r w:rsidR="00B42068" w:rsidRPr="008C3136">
        <w:rPr>
          <w:lang w:val="en-GB"/>
        </w:rPr>
        <w:t>;</w:t>
      </w:r>
    </w:p>
    <w:p w14:paraId="74139E25" w14:textId="172E1D3F" w:rsidR="00A05C00" w:rsidRPr="008C3136" w:rsidRDefault="008C3136" w:rsidP="008C3136">
      <w:pPr>
        <w:spacing w:after="360" w:line="480" w:lineRule="auto"/>
        <w:ind w:left="1756" w:hanging="360"/>
        <w:jc w:val="both"/>
        <w:rPr>
          <w:lang w:val="en-GB"/>
        </w:rPr>
      </w:pPr>
      <w:r>
        <w:rPr>
          <w:lang w:val="en-GB"/>
        </w:rPr>
        <w:t>iv.</w:t>
      </w:r>
      <w:r>
        <w:rPr>
          <w:lang w:val="en-GB"/>
        </w:rPr>
        <w:tab/>
      </w:r>
      <w:r w:rsidR="00324678" w:rsidRPr="008C3136">
        <w:rPr>
          <w:lang w:val="en-GB"/>
        </w:rPr>
        <w:t>the general public's interest in the management</w:t>
      </w:r>
      <w:r w:rsidR="00693F09" w:rsidRPr="008C3136">
        <w:rPr>
          <w:lang w:val="en-GB"/>
        </w:rPr>
        <w:t xml:space="preserve"> of companies that do business with organs of state in this case the UI</w:t>
      </w:r>
      <w:r w:rsidR="005527DD" w:rsidRPr="008C3136">
        <w:rPr>
          <w:lang w:val="en-GB"/>
        </w:rPr>
        <w:t xml:space="preserve">F. The centrality of the UIF is then </w:t>
      </w:r>
      <w:r w:rsidR="003800D6" w:rsidRPr="008C3136">
        <w:rPr>
          <w:lang w:val="en-GB"/>
        </w:rPr>
        <w:t>emphasised</w:t>
      </w:r>
      <w:r w:rsidR="005527DD" w:rsidRPr="008C3136">
        <w:rPr>
          <w:lang w:val="en-GB"/>
        </w:rPr>
        <w:t xml:space="preserve"> as a recipient and dispenser of public funds</w:t>
      </w:r>
      <w:r w:rsidR="00324678" w:rsidRPr="008C3136">
        <w:rPr>
          <w:lang w:val="en-GB"/>
        </w:rPr>
        <w:t>;</w:t>
      </w:r>
    </w:p>
    <w:p w14:paraId="32DB61E9" w14:textId="645B9047" w:rsidR="00A05C00" w:rsidRPr="008C3136" w:rsidRDefault="008C3136" w:rsidP="008C3136">
      <w:pPr>
        <w:spacing w:after="360" w:line="480" w:lineRule="auto"/>
        <w:ind w:left="1756" w:hanging="360"/>
        <w:jc w:val="both"/>
        <w:rPr>
          <w:lang w:val="en-GB"/>
        </w:rPr>
      </w:pPr>
      <w:r>
        <w:rPr>
          <w:lang w:val="en-GB"/>
        </w:rPr>
        <w:t>v.</w:t>
      </w:r>
      <w:r>
        <w:rPr>
          <w:lang w:val="en-GB"/>
        </w:rPr>
        <w:tab/>
      </w:r>
      <w:r w:rsidR="00A31162" w:rsidRPr="008C3136">
        <w:rPr>
          <w:lang w:val="en-GB"/>
        </w:rPr>
        <w:t xml:space="preserve">the role of </w:t>
      </w:r>
      <w:r w:rsidR="00CB3C33" w:rsidRPr="008C3136">
        <w:rPr>
          <w:lang w:val="en-GB"/>
        </w:rPr>
        <w:t>Delta,</w:t>
      </w:r>
      <w:r w:rsidR="00A31162" w:rsidRPr="008C3136">
        <w:rPr>
          <w:lang w:val="en-GB"/>
        </w:rPr>
        <w:t xml:space="preserve"> which is a public company and which Vantage describes</w:t>
      </w:r>
      <w:r w:rsidR="007549FC" w:rsidRPr="008C3136">
        <w:rPr>
          <w:lang w:val="en-GB"/>
        </w:rPr>
        <w:t>,</w:t>
      </w:r>
      <w:r w:rsidR="00A31162" w:rsidRPr="008C3136">
        <w:rPr>
          <w:lang w:val="en-GB"/>
        </w:rPr>
        <w:t xml:space="preserve"> given the latter’s business model</w:t>
      </w:r>
      <w:r w:rsidR="007549FC" w:rsidRPr="008C3136">
        <w:rPr>
          <w:lang w:val="en-GB"/>
        </w:rPr>
        <w:t>,</w:t>
      </w:r>
      <w:r w:rsidR="00A31162" w:rsidRPr="008C3136">
        <w:rPr>
          <w:lang w:val="en-GB"/>
        </w:rPr>
        <w:t xml:space="preserve"> as the ‘</w:t>
      </w:r>
      <w:r w:rsidR="00327732" w:rsidRPr="008C3136">
        <w:rPr>
          <w:lang w:val="en-GB"/>
        </w:rPr>
        <w:t>Government’s landlord’</w:t>
      </w:r>
      <w:r w:rsidR="006A085A" w:rsidRPr="008C3136">
        <w:rPr>
          <w:lang w:val="en-GB"/>
        </w:rPr>
        <w:t>;</w:t>
      </w:r>
    </w:p>
    <w:p w14:paraId="4B2A438A" w14:textId="46570C27" w:rsidR="00A05C00" w:rsidRPr="008C3136" w:rsidRDefault="008C3136" w:rsidP="008C3136">
      <w:pPr>
        <w:spacing w:after="360" w:line="480" w:lineRule="auto"/>
        <w:ind w:left="1756" w:hanging="360"/>
        <w:jc w:val="both"/>
        <w:rPr>
          <w:lang w:val="en-GB"/>
        </w:rPr>
      </w:pPr>
      <w:r>
        <w:rPr>
          <w:lang w:val="en-GB"/>
        </w:rPr>
        <w:t>vi.</w:t>
      </w:r>
      <w:r>
        <w:rPr>
          <w:lang w:val="en-GB"/>
        </w:rPr>
        <w:tab/>
      </w:r>
      <w:r w:rsidR="00D755CB" w:rsidRPr="008C3136">
        <w:rPr>
          <w:lang w:val="en-GB"/>
        </w:rPr>
        <w:t xml:space="preserve">that </w:t>
      </w:r>
      <w:r w:rsidR="00337EC2" w:rsidRPr="008C3136">
        <w:rPr>
          <w:lang w:val="en-GB"/>
        </w:rPr>
        <w:t>Vantage and funders like it play a crucial role in providing investment</w:t>
      </w:r>
      <w:r w:rsidR="006A085A" w:rsidRPr="008C3136">
        <w:rPr>
          <w:lang w:val="en-GB"/>
        </w:rPr>
        <w:t>,</w:t>
      </w:r>
      <w:r w:rsidR="00337EC2" w:rsidRPr="008C3136">
        <w:rPr>
          <w:lang w:val="en-GB"/>
        </w:rPr>
        <w:t xml:space="preserve"> more generally in the country and thus have an interest </w:t>
      </w:r>
      <w:r w:rsidR="00337EC2" w:rsidRPr="008C3136">
        <w:rPr>
          <w:lang w:val="en-GB"/>
        </w:rPr>
        <w:lastRenderedPageBreak/>
        <w:t xml:space="preserve">in </w:t>
      </w:r>
      <w:r w:rsidR="00120542" w:rsidRPr="008C3136">
        <w:rPr>
          <w:lang w:val="en-GB"/>
        </w:rPr>
        <w:t xml:space="preserve">ensuring that </w:t>
      </w:r>
      <w:r w:rsidR="0003204F" w:rsidRPr="008C3136">
        <w:rPr>
          <w:lang w:val="en-GB"/>
        </w:rPr>
        <w:t>directors are held accountable to ensure investor confidence</w:t>
      </w:r>
      <w:r w:rsidR="006A085A" w:rsidRPr="008C3136">
        <w:rPr>
          <w:lang w:val="en-GB"/>
        </w:rPr>
        <w:t xml:space="preserve">; </w:t>
      </w:r>
    </w:p>
    <w:p w14:paraId="40D2A212" w14:textId="363959C4" w:rsidR="00A05C00" w:rsidRPr="008C3136" w:rsidRDefault="008C3136" w:rsidP="008C3136">
      <w:pPr>
        <w:spacing w:after="360" w:line="480" w:lineRule="auto"/>
        <w:ind w:left="1756" w:hanging="360"/>
        <w:jc w:val="both"/>
        <w:rPr>
          <w:lang w:val="en-GB"/>
        </w:rPr>
      </w:pPr>
      <w:r>
        <w:rPr>
          <w:lang w:val="en-GB"/>
        </w:rPr>
        <w:t>vii.</w:t>
      </w:r>
      <w:r>
        <w:rPr>
          <w:lang w:val="en-GB"/>
        </w:rPr>
        <w:tab/>
      </w:r>
      <w:r w:rsidR="002E7C50" w:rsidRPr="008C3136">
        <w:rPr>
          <w:lang w:val="en-GB"/>
        </w:rPr>
        <w:t>the three defendants are director</w:t>
      </w:r>
      <w:r w:rsidR="00725283" w:rsidRPr="008C3136">
        <w:rPr>
          <w:lang w:val="en-GB"/>
        </w:rPr>
        <w:t>s</w:t>
      </w:r>
      <w:r w:rsidR="002E7C50" w:rsidRPr="008C3136">
        <w:rPr>
          <w:lang w:val="en-GB"/>
        </w:rPr>
        <w:t xml:space="preserve"> of a large number of companies</w:t>
      </w:r>
      <w:r w:rsidR="006A085A" w:rsidRPr="008C3136">
        <w:rPr>
          <w:lang w:val="en-GB"/>
        </w:rPr>
        <w:t xml:space="preserve"> and </w:t>
      </w:r>
      <w:r w:rsidR="00697F19" w:rsidRPr="008C3136">
        <w:rPr>
          <w:lang w:val="en-GB"/>
        </w:rPr>
        <w:t xml:space="preserve">are members of </w:t>
      </w:r>
      <w:r w:rsidR="006A085A" w:rsidRPr="008C3136">
        <w:rPr>
          <w:lang w:val="en-GB"/>
        </w:rPr>
        <w:t>c</w:t>
      </w:r>
      <w:r w:rsidR="00725283" w:rsidRPr="008C3136">
        <w:rPr>
          <w:lang w:val="en-GB"/>
        </w:rPr>
        <w:t>lose corporations</w:t>
      </w:r>
      <w:r w:rsidR="002E7C50" w:rsidRPr="008C3136">
        <w:rPr>
          <w:lang w:val="en-GB"/>
        </w:rPr>
        <w:t>. In the case of the first defendant</w:t>
      </w:r>
      <w:r w:rsidR="00885FA5" w:rsidRPr="008C3136">
        <w:rPr>
          <w:lang w:val="en-GB"/>
        </w:rPr>
        <w:t>,</w:t>
      </w:r>
      <w:r w:rsidR="002E7C50" w:rsidRPr="008C3136">
        <w:rPr>
          <w:lang w:val="en-GB"/>
        </w:rPr>
        <w:t xml:space="preserve"> </w:t>
      </w:r>
      <w:r w:rsidR="006A63A8" w:rsidRPr="008C3136">
        <w:rPr>
          <w:lang w:val="en-GB"/>
        </w:rPr>
        <w:t>39</w:t>
      </w:r>
      <w:r w:rsidR="00AC3D35" w:rsidRPr="008C3136">
        <w:rPr>
          <w:lang w:val="en-GB"/>
        </w:rPr>
        <w:t xml:space="preserve"> </w:t>
      </w:r>
      <w:r w:rsidR="00767E38" w:rsidRPr="008C3136">
        <w:rPr>
          <w:lang w:val="en-GB"/>
        </w:rPr>
        <w:t xml:space="preserve">companies </w:t>
      </w:r>
      <w:r w:rsidR="00AC3D35" w:rsidRPr="008C3136">
        <w:rPr>
          <w:lang w:val="en-GB"/>
        </w:rPr>
        <w:t>and 3 close corporations</w:t>
      </w:r>
      <w:r w:rsidR="006A63A8" w:rsidRPr="008C3136">
        <w:rPr>
          <w:lang w:val="en-GB"/>
        </w:rPr>
        <w:t>, the second defendant</w:t>
      </w:r>
      <w:r w:rsidR="00767E38" w:rsidRPr="008C3136">
        <w:rPr>
          <w:lang w:val="en-GB"/>
        </w:rPr>
        <w:t>,</w:t>
      </w:r>
      <w:r w:rsidR="006A63A8" w:rsidRPr="008C3136">
        <w:rPr>
          <w:lang w:val="en-GB"/>
        </w:rPr>
        <w:t xml:space="preserve"> 12</w:t>
      </w:r>
      <w:r w:rsidR="00AC3D35" w:rsidRPr="008C3136">
        <w:rPr>
          <w:lang w:val="en-GB"/>
        </w:rPr>
        <w:t xml:space="preserve"> </w:t>
      </w:r>
      <w:r w:rsidR="00885FA5" w:rsidRPr="008C3136">
        <w:rPr>
          <w:lang w:val="en-GB"/>
        </w:rPr>
        <w:t xml:space="preserve">companies </w:t>
      </w:r>
      <w:r w:rsidR="00AC3D35" w:rsidRPr="008C3136">
        <w:rPr>
          <w:lang w:val="en-GB"/>
        </w:rPr>
        <w:t>and 7 close corporations</w:t>
      </w:r>
      <w:r w:rsidR="000A7A05" w:rsidRPr="008C3136">
        <w:rPr>
          <w:lang w:val="en-GB"/>
        </w:rPr>
        <w:t>,</w:t>
      </w:r>
      <w:r w:rsidR="006A63A8" w:rsidRPr="008C3136">
        <w:rPr>
          <w:lang w:val="en-GB"/>
        </w:rPr>
        <w:t xml:space="preserve"> and the third defendant</w:t>
      </w:r>
      <w:r w:rsidR="00767E38" w:rsidRPr="008C3136">
        <w:rPr>
          <w:lang w:val="en-GB"/>
        </w:rPr>
        <w:t>,</w:t>
      </w:r>
      <w:r w:rsidR="006A63A8" w:rsidRPr="008C3136">
        <w:rPr>
          <w:lang w:val="en-GB"/>
        </w:rPr>
        <w:t xml:space="preserve"> </w:t>
      </w:r>
      <w:r w:rsidR="0024416A" w:rsidRPr="008C3136">
        <w:rPr>
          <w:lang w:val="en-GB"/>
        </w:rPr>
        <w:t>38 companies and 2 close corporations</w:t>
      </w:r>
      <w:r w:rsidR="00725283" w:rsidRPr="008C3136">
        <w:rPr>
          <w:lang w:val="en-GB"/>
        </w:rPr>
        <w:t>;</w:t>
      </w:r>
      <w:r w:rsidR="0024416A" w:rsidRPr="008C3136">
        <w:rPr>
          <w:lang w:val="en-GB"/>
        </w:rPr>
        <w:t xml:space="preserve"> </w:t>
      </w:r>
    </w:p>
    <w:p w14:paraId="114765CF" w14:textId="52BC9BFD" w:rsidR="00A05C00" w:rsidRPr="008C3136" w:rsidRDefault="008C3136" w:rsidP="008C3136">
      <w:pPr>
        <w:spacing w:after="360" w:line="480" w:lineRule="auto"/>
        <w:ind w:left="1756" w:hanging="360"/>
        <w:jc w:val="both"/>
        <w:rPr>
          <w:lang w:val="en-GB"/>
        </w:rPr>
      </w:pPr>
      <w:r>
        <w:rPr>
          <w:lang w:val="en-GB"/>
        </w:rPr>
        <w:t>viii.</w:t>
      </w:r>
      <w:r>
        <w:rPr>
          <w:lang w:val="en-GB"/>
        </w:rPr>
        <w:tab/>
      </w:r>
      <w:r w:rsidR="00E37BD7" w:rsidRPr="008C3136">
        <w:rPr>
          <w:lang w:val="en-GB"/>
        </w:rPr>
        <w:t>the general public and creditors deserve and require to be protected</w:t>
      </w:r>
      <w:r w:rsidR="000A7A05" w:rsidRPr="008C3136">
        <w:rPr>
          <w:lang w:val="en-GB"/>
        </w:rPr>
        <w:t xml:space="preserve"> </w:t>
      </w:r>
      <w:r w:rsidR="00E37BD7" w:rsidRPr="008C3136">
        <w:rPr>
          <w:lang w:val="en-GB"/>
        </w:rPr>
        <w:t>in their dealings, engagements and transactions with the companies and close corporations of which the defendants are respectively directors and/or members;</w:t>
      </w:r>
      <w:r w:rsidR="00A44C7D" w:rsidRPr="008C3136">
        <w:rPr>
          <w:lang w:val="en-GB"/>
        </w:rPr>
        <w:t xml:space="preserve"> and</w:t>
      </w:r>
    </w:p>
    <w:p w14:paraId="554C5C98" w14:textId="122D5513" w:rsidR="00B65578" w:rsidRPr="008C3136" w:rsidRDefault="008C3136" w:rsidP="008C3136">
      <w:pPr>
        <w:spacing w:after="360" w:line="480" w:lineRule="auto"/>
        <w:ind w:left="1756" w:hanging="360"/>
        <w:jc w:val="both"/>
        <w:rPr>
          <w:lang w:val="en-GB"/>
        </w:rPr>
      </w:pPr>
      <w:r w:rsidRPr="00A05C00">
        <w:rPr>
          <w:lang w:val="en-GB"/>
        </w:rPr>
        <w:t>ix.</w:t>
      </w:r>
      <w:r w:rsidRPr="00A05C00">
        <w:rPr>
          <w:lang w:val="en-GB"/>
        </w:rPr>
        <w:tab/>
      </w:r>
      <w:r w:rsidR="00B65578" w:rsidRPr="008C3136">
        <w:rPr>
          <w:lang w:val="en-GB"/>
        </w:rPr>
        <w:t xml:space="preserve">the relief will protect the public from the defendants repeating </w:t>
      </w:r>
      <w:r w:rsidR="00A373CC" w:rsidRPr="008C3136">
        <w:rPr>
          <w:lang w:val="en-GB"/>
        </w:rPr>
        <w:t>or replicating their delinquent conduct in other entities</w:t>
      </w:r>
      <w:r w:rsidR="00A44C7D" w:rsidRPr="008C3136">
        <w:rPr>
          <w:lang w:val="en-GB"/>
        </w:rPr>
        <w:t>.</w:t>
      </w:r>
      <w:r w:rsidR="00A373CC" w:rsidRPr="008C3136">
        <w:rPr>
          <w:lang w:val="en-GB"/>
        </w:rPr>
        <w:t xml:space="preserve"> </w:t>
      </w:r>
    </w:p>
    <w:p w14:paraId="6CD8B106" w14:textId="47625C4E" w:rsidR="00556BA3" w:rsidRPr="00A05C00" w:rsidRDefault="00A05C00" w:rsidP="00A05C00">
      <w:pPr>
        <w:spacing w:after="360" w:line="480" w:lineRule="auto"/>
        <w:ind w:left="720" w:hanging="720"/>
        <w:jc w:val="both"/>
        <w:rPr>
          <w:lang w:val="en-GB"/>
        </w:rPr>
      </w:pPr>
      <w:r>
        <w:rPr>
          <w:lang w:val="en-GB"/>
        </w:rPr>
        <w:t>[16]</w:t>
      </w:r>
      <w:r>
        <w:rPr>
          <w:lang w:val="en-GB"/>
        </w:rPr>
        <w:tab/>
      </w:r>
      <w:r w:rsidR="00556BA3" w:rsidRPr="00A05C00">
        <w:rPr>
          <w:lang w:val="en-GB"/>
        </w:rPr>
        <w:t>These</w:t>
      </w:r>
      <w:r w:rsidR="004C2882" w:rsidRPr="00A05C00">
        <w:rPr>
          <w:lang w:val="en-GB"/>
        </w:rPr>
        <w:t xml:space="preserve"> considerations it </w:t>
      </w:r>
      <w:r w:rsidR="00556BA3" w:rsidRPr="00A05C00">
        <w:rPr>
          <w:lang w:val="en-GB"/>
        </w:rPr>
        <w:t>contend</w:t>
      </w:r>
      <w:r w:rsidR="004C2882" w:rsidRPr="00A05C00">
        <w:rPr>
          <w:lang w:val="en-GB"/>
        </w:rPr>
        <w:t>s are</w:t>
      </w:r>
      <w:r w:rsidR="00556BA3" w:rsidRPr="00A05C00">
        <w:rPr>
          <w:lang w:val="en-GB"/>
        </w:rPr>
        <w:t xml:space="preserve"> in the public interest. Vantage also </w:t>
      </w:r>
      <w:r w:rsidR="00091F4F" w:rsidRPr="00A05C00">
        <w:rPr>
          <w:lang w:val="en-GB"/>
        </w:rPr>
        <w:t xml:space="preserve">states in the amendment that the </w:t>
      </w:r>
      <w:r w:rsidR="00B8599D" w:rsidRPr="00A05C00">
        <w:rPr>
          <w:lang w:val="en-GB"/>
        </w:rPr>
        <w:t xml:space="preserve">relief sought will not prolong the </w:t>
      </w:r>
      <w:r w:rsidR="004C2882" w:rsidRPr="00A05C00">
        <w:rPr>
          <w:lang w:val="en-GB"/>
        </w:rPr>
        <w:t>length and costs of the trial.</w:t>
      </w:r>
    </w:p>
    <w:p w14:paraId="675DF3B8" w14:textId="51D9FA4F" w:rsidR="00556BA3" w:rsidRPr="00A05C00" w:rsidRDefault="00A05C00" w:rsidP="00A05C00">
      <w:pPr>
        <w:spacing w:after="360" w:line="480" w:lineRule="auto"/>
        <w:ind w:left="720" w:hanging="720"/>
        <w:jc w:val="both"/>
        <w:rPr>
          <w:lang w:val="en-GB"/>
        </w:rPr>
      </w:pPr>
      <w:r>
        <w:rPr>
          <w:lang w:val="en-GB"/>
        </w:rPr>
        <w:t>[17]</w:t>
      </w:r>
      <w:r>
        <w:rPr>
          <w:lang w:val="en-GB"/>
        </w:rPr>
        <w:tab/>
      </w:r>
      <w:r w:rsidR="00DC6C73" w:rsidRPr="00A05C00">
        <w:rPr>
          <w:lang w:val="en-GB"/>
        </w:rPr>
        <w:t xml:space="preserve">Against this background I now go on to consider the </w:t>
      </w:r>
      <w:r w:rsidR="00266BAE" w:rsidRPr="00A05C00">
        <w:rPr>
          <w:lang w:val="en-GB"/>
        </w:rPr>
        <w:t xml:space="preserve">three </w:t>
      </w:r>
      <w:r w:rsidR="00DC6C73" w:rsidRPr="00A05C00">
        <w:rPr>
          <w:lang w:val="en-GB"/>
        </w:rPr>
        <w:t xml:space="preserve">objections raised by the third </w:t>
      </w:r>
      <w:r w:rsidR="00CE79E8" w:rsidRPr="00A05C00">
        <w:rPr>
          <w:lang w:val="en-GB"/>
        </w:rPr>
        <w:t>defendant.</w:t>
      </w:r>
    </w:p>
    <w:p w14:paraId="452DBF54" w14:textId="33D42935" w:rsidR="0068169D" w:rsidRPr="008C3136" w:rsidRDefault="008C3136" w:rsidP="008C3136">
      <w:pPr>
        <w:spacing w:after="360" w:line="480" w:lineRule="auto"/>
        <w:ind w:left="1429" w:hanging="720"/>
        <w:jc w:val="both"/>
        <w:rPr>
          <w:b/>
          <w:bCs/>
          <w:lang w:val="en-GB"/>
        </w:rPr>
      </w:pPr>
      <w:r w:rsidRPr="00174309">
        <w:rPr>
          <w:b/>
          <w:bCs/>
          <w:lang w:val="en-GB"/>
        </w:rPr>
        <w:t>(i)</w:t>
      </w:r>
      <w:r w:rsidRPr="00174309">
        <w:rPr>
          <w:b/>
          <w:bCs/>
          <w:lang w:val="en-GB"/>
        </w:rPr>
        <w:tab/>
      </w:r>
      <w:r w:rsidR="0068169D" w:rsidRPr="008C3136">
        <w:rPr>
          <w:b/>
          <w:bCs/>
          <w:lang w:val="en-GB"/>
        </w:rPr>
        <w:t>Leave must be sought first</w:t>
      </w:r>
    </w:p>
    <w:p w14:paraId="35632444" w14:textId="1044E8DC" w:rsidR="0068169D" w:rsidRPr="00B8639F" w:rsidRDefault="00B8639F" w:rsidP="00B8639F">
      <w:pPr>
        <w:spacing w:after="360" w:line="480" w:lineRule="auto"/>
        <w:ind w:left="720" w:hanging="720"/>
        <w:jc w:val="both"/>
        <w:rPr>
          <w:lang w:val="en-GB"/>
        </w:rPr>
      </w:pPr>
      <w:r>
        <w:rPr>
          <w:lang w:val="en-GB"/>
        </w:rPr>
        <w:t>[18]</w:t>
      </w:r>
      <w:r>
        <w:rPr>
          <w:lang w:val="en-GB"/>
        </w:rPr>
        <w:tab/>
      </w:r>
      <w:r w:rsidR="0068169D" w:rsidRPr="00B8639F">
        <w:rPr>
          <w:lang w:val="en-GB"/>
        </w:rPr>
        <w:t>I will refer to this as the sequencing issue. The third defendant argues that when section 157(</w:t>
      </w:r>
      <w:r w:rsidR="001F3499" w:rsidRPr="00B8639F">
        <w:rPr>
          <w:lang w:val="en-GB"/>
        </w:rPr>
        <w:t xml:space="preserve">1(d) states </w:t>
      </w:r>
      <w:r w:rsidR="00266BAE" w:rsidRPr="00B8639F">
        <w:rPr>
          <w:lang w:val="en-GB"/>
        </w:rPr>
        <w:t>‘</w:t>
      </w:r>
      <w:r w:rsidR="001F3499" w:rsidRPr="00B8639F">
        <w:rPr>
          <w:i/>
          <w:iCs/>
          <w:lang w:val="en-GB"/>
        </w:rPr>
        <w:t>with leave of the court</w:t>
      </w:r>
      <w:r w:rsidR="00266BAE" w:rsidRPr="00B8639F">
        <w:rPr>
          <w:i/>
          <w:iCs/>
          <w:lang w:val="en-GB"/>
        </w:rPr>
        <w:t>’</w:t>
      </w:r>
      <w:r w:rsidR="001F3499" w:rsidRPr="00B8639F">
        <w:rPr>
          <w:lang w:val="en-GB"/>
        </w:rPr>
        <w:t xml:space="preserve"> this means the party seeking </w:t>
      </w:r>
      <w:r w:rsidR="001F3499" w:rsidRPr="00B8639F">
        <w:rPr>
          <w:lang w:val="en-GB"/>
        </w:rPr>
        <w:lastRenderedPageBreak/>
        <w:t xml:space="preserve">such relief must first </w:t>
      </w:r>
      <w:r w:rsidR="007E444D" w:rsidRPr="00B8639F">
        <w:rPr>
          <w:lang w:val="en-GB"/>
        </w:rPr>
        <w:t xml:space="preserve">apply to court to seek such leave. In essence the third defendant reads in the word </w:t>
      </w:r>
      <w:r w:rsidR="00F21454" w:rsidRPr="00B8639F">
        <w:rPr>
          <w:lang w:val="en-GB"/>
        </w:rPr>
        <w:t>‘</w:t>
      </w:r>
      <w:r w:rsidR="007E444D" w:rsidRPr="00B8639F">
        <w:rPr>
          <w:i/>
          <w:iCs/>
          <w:lang w:val="en-GB"/>
        </w:rPr>
        <w:t>prior</w:t>
      </w:r>
      <w:r w:rsidR="00F21454" w:rsidRPr="00B8639F">
        <w:rPr>
          <w:lang w:val="en-GB"/>
        </w:rPr>
        <w:t>’</w:t>
      </w:r>
      <w:r w:rsidR="007E444D" w:rsidRPr="00B8639F">
        <w:rPr>
          <w:lang w:val="en-GB"/>
        </w:rPr>
        <w:t xml:space="preserve"> into the sub-section even though that word does not appear there. </w:t>
      </w:r>
      <w:r w:rsidR="00BA11CF" w:rsidRPr="00B8639F">
        <w:rPr>
          <w:lang w:val="en-GB"/>
        </w:rPr>
        <w:t>But</w:t>
      </w:r>
      <w:r w:rsidR="00F21454" w:rsidRPr="00B8639F">
        <w:rPr>
          <w:lang w:val="en-GB"/>
        </w:rPr>
        <w:t>,</w:t>
      </w:r>
      <w:r w:rsidR="00BA11CF" w:rsidRPr="00B8639F">
        <w:rPr>
          <w:lang w:val="en-GB"/>
        </w:rPr>
        <w:t xml:space="preserve"> argues the third respondent</w:t>
      </w:r>
      <w:r w:rsidR="00F21454" w:rsidRPr="00B8639F">
        <w:rPr>
          <w:lang w:val="en-GB"/>
        </w:rPr>
        <w:t>,</w:t>
      </w:r>
      <w:r w:rsidR="00BA11CF" w:rsidRPr="00B8639F">
        <w:rPr>
          <w:lang w:val="en-GB"/>
        </w:rPr>
        <w:t xml:space="preserve"> there is a purposive interpretation </w:t>
      </w:r>
      <w:r w:rsidR="00F21454" w:rsidRPr="00B8639F">
        <w:rPr>
          <w:lang w:val="en-GB"/>
        </w:rPr>
        <w:t xml:space="preserve">that justifies the reading in of the requirement for </w:t>
      </w:r>
      <w:r w:rsidR="00936EC3" w:rsidRPr="00B8639F">
        <w:rPr>
          <w:lang w:val="en-GB"/>
        </w:rPr>
        <w:t xml:space="preserve">prior leave. The </w:t>
      </w:r>
      <w:r w:rsidR="003C13C6" w:rsidRPr="00B8639F">
        <w:rPr>
          <w:lang w:val="en-GB"/>
        </w:rPr>
        <w:t xml:space="preserve">argument is that a </w:t>
      </w:r>
      <w:r w:rsidR="00936EC3" w:rsidRPr="00B8639F">
        <w:rPr>
          <w:lang w:val="en-GB"/>
        </w:rPr>
        <w:t xml:space="preserve">section 157(1(d) </w:t>
      </w:r>
      <w:r w:rsidR="00486D80" w:rsidRPr="00B8639F">
        <w:rPr>
          <w:lang w:val="en-GB"/>
        </w:rPr>
        <w:t>remedy</w:t>
      </w:r>
      <w:r w:rsidR="003C13C6" w:rsidRPr="00B8639F">
        <w:rPr>
          <w:lang w:val="en-GB"/>
        </w:rPr>
        <w:t>,</w:t>
      </w:r>
      <w:r w:rsidR="00486D80" w:rsidRPr="00B8639F">
        <w:rPr>
          <w:lang w:val="en-GB"/>
        </w:rPr>
        <w:t xml:space="preserve"> </w:t>
      </w:r>
      <w:r w:rsidR="00936EC3" w:rsidRPr="00B8639F">
        <w:rPr>
          <w:lang w:val="en-GB"/>
        </w:rPr>
        <w:t>grounded as it is in the public interest</w:t>
      </w:r>
      <w:r w:rsidR="003C13C6" w:rsidRPr="00B8639F">
        <w:rPr>
          <w:lang w:val="en-GB"/>
        </w:rPr>
        <w:t>,</w:t>
      </w:r>
      <w:r w:rsidR="00936EC3" w:rsidRPr="00B8639F">
        <w:rPr>
          <w:lang w:val="en-GB"/>
        </w:rPr>
        <w:t xml:space="preserve"> is </w:t>
      </w:r>
      <w:r w:rsidR="00486D80" w:rsidRPr="00B8639F">
        <w:rPr>
          <w:lang w:val="en-GB"/>
        </w:rPr>
        <w:t>akin to a class action. A class action in our law it is common cause requires a prior application from the court to certify it.</w:t>
      </w:r>
      <w:r w:rsidR="0054472F">
        <w:rPr>
          <w:rStyle w:val="FootnoteReference"/>
          <w:lang w:val="en-GB"/>
        </w:rPr>
        <w:footnoteReference w:id="6"/>
      </w:r>
      <w:r w:rsidR="00EE5A1E" w:rsidRPr="00B8639F">
        <w:rPr>
          <w:lang w:val="en-GB"/>
        </w:rPr>
        <w:t xml:space="preserve">  The purpose </w:t>
      </w:r>
      <w:r w:rsidR="00FD491B" w:rsidRPr="00B8639F">
        <w:rPr>
          <w:lang w:val="en-GB"/>
        </w:rPr>
        <w:t xml:space="preserve">for this </w:t>
      </w:r>
      <w:r w:rsidR="00EE5A1E" w:rsidRPr="00B8639F">
        <w:rPr>
          <w:lang w:val="en-GB"/>
        </w:rPr>
        <w:t>is so that it can be managed</w:t>
      </w:r>
      <w:r w:rsidR="00E26BB1" w:rsidRPr="00B8639F">
        <w:rPr>
          <w:lang w:val="en-GB"/>
        </w:rPr>
        <w:t xml:space="preserve">. </w:t>
      </w:r>
      <w:r w:rsidR="00E26BB1" w:rsidRPr="00B8639F">
        <w:rPr>
          <w:i/>
          <w:iCs/>
          <w:lang w:val="en-GB"/>
        </w:rPr>
        <w:t xml:space="preserve">A </w:t>
      </w:r>
      <w:r w:rsidR="003D6E09" w:rsidRPr="00B8639F">
        <w:rPr>
          <w:i/>
          <w:iCs/>
          <w:lang w:val="en-GB"/>
        </w:rPr>
        <w:t>fortiori</w:t>
      </w:r>
      <w:r w:rsidR="00632501" w:rsidRPr="00B8639F">
        <w:rPr>
          <w:i/>
          <w:iCs/>
          <w:lang w:val="en-GB"/>
        </w:rPr>
        <w:t>,</w:t>
      </w:r>
      <w:r w:rsidR="003D6E09" w:rsidRPr="00B8639F">
        <w:rPr>
          <w:i/>
          <w:iCs/>
          <w:lang w:val="en-GB"/>
        </w:rPr>
        <w:t xml:space="preserve"> </w:t>
      </w:r>
      <w:r w:rsidR="00DA1602" w:rsidRPr="00B8639F">
        <w:rPr>
          <w:lang w:val="en-GB"/>
        </w:rPr>
        <w:t xml:space="preserve">a section </w:t>
      </w:r>
      <w:r w:rsidR="00E26BB1" w:rsidRPr="00B8639F">
        <w:rPr>
          <w:lang w:val="en-GB"/>
        </w:rPr>
        <w:t xml:space="preserve">157(1(d) </w:t>
      </w:r>
      <w:r w:rsidR="00DA1602" w:rsidRPr="00B8639F">
        <w:rPr>
          <w:lang w:val="en-GB"/>
        </w:rPr>
        <w:t>application</w:t>
      </w:r>
      <w:r w:rsidR="00632501" w:rsidRPr="00B8639F">
        <w:rPr>
          <w:lang w:val="en-GB"/>
        </w:rPr>
        <w:t>,</w:t>
      </w:r>
      <w:r w:rsidR="00DA1602" w:rsidRPr="00B8639F">
        <w:rPr>
          <w:lang w:val="en-GB"/>
        </w:rPr>
        <w:t xml:space="preserve"> </w:t>
      </w:r>
      <w:r w:rsidR="00FD491B" w:rsidRPr="00B8639F">
        <w:rPr>
          <w:lang w:val="en-GB"/>
        </w:rPr>
        <w:t>which like a class action is animated by the public interest</w:t>
      </w:r>
      <w:r w:rsidR="00632501" w:rsidRPr="00B8639F">
        <w:rPr>
          <w:lang w:val="en-GB"/>
        </w:rPr>
        <w:t>,</w:t>
      </w:r>
      <w:r w:rsidR="00FD491B" w:rsidRPr="00B8639F">
        <w:rPr>
          <w:lang w:val="en-GB"/>
        </w:rPr>
        <w:t xml:space="preserve"> </w:t>
      </w:r>
      <w:r w:rsidR="00583C16" w:rsidRPr="00B8639F">
        <w:rPr>
          <w:lang w:val="en-GB"/>
        </w:rPr>
        <w:t xml:space="preserve">must </w:t>
      </w:r>
      <w:r w:rsidR="000358E8" w:rsidRPr="00B8639F">
        <w:rPr>
          <w:lang w:val="en-GB"/>
        </w:rPr>
        <w:t>also require</w:t>
      </w:r>
      <w:r w:rsidR="00A41B4D" w:rsidRPr="00B8639F">
        <w:rPr>
          <w:lang w:val="en-GB"/>
        </w:rPr>
        <w:t xml:space="preserve"> </w:t>
      </w:r>
      <w:r w:rsidR="000358E8" w:rsidRPr="00B8639F">
        <w:rPr>
          <w:lang w:val="en-GB"/>
        </w:rPr>
        <w:t xml:space="preserve">management. </w:t>
      </w:r>
      <w:r w:rsidR="00435E46" w:rsidRPr="00B8639F">
        <w:rPr>
          <w:lang w:val="en-GB"/>
        </w:rPr>
        <w:t xml:space="preserve">Since management is </w:t>
      </w:r>
      <w:r w:rsidR="002E3762" w:rsidRPr="00B8639F">
        <w:rPr>
          <w:lang w:val="en-GB"/>
        </w:rPr>
        <w:t>required,</w:t>
      </w:r>
      <w:r w:rsidR="00435E46" w:rsidRPr="00B8639F">
        <w:rPr>
          <w:lang w:val="en-GB"/>
        </w:rPr>
        <w:t xml:space="preserve"> this means a prior </w:t>
      </w:r>
      <w:r w:rsidR="00B523FE" w:rsidRPr="00B8639F">
        <w:rPr>
          <w:lang w:val="en-GB"/>
        </w:rPr>
        <w:t>application. The</w:t>
      </w:r>
      <w:r w:rsidR="000358E8" w:rsidRPr="00B8639F">
        <w:rPr>
          <w:lang w:val="en-GB"/>
        </w:rPr>
        <w:t xml:space="preserve"> third defendant does not have any authority for this proposition in the case law but seeks to rely on an article written by former Constitutional Court judge Jafta in which he expresses this view. As he puts it:</w:t>
      </w:r>
    </w:p>
    <w:p w14:paraId="0951FE77" w14:textId="21C3FD8A" w:rsidR="00A50559" w:rsidRPr="00B8639F" w:rsidRDefault="00B8639F" w:rsidP="00B8639F">
      <w:pPr>
        <w:spacing w:after="360" w:line="480" w:lineRule="auto"/>
        <w:ind w:left="2160"/>
        <w:jc w:val="both"/>
        <w:rPr>
          <w:i/>
          <w:iCs/>
          <w:lang w:val="en-GB"/>
        </w:rPr>
      </w:pPr>
      <w:r>
        <w:rPr>
          <w:i/>
          <w:lang w:val="en-GB"/>
        </w:rPr>
        <w:t>“</w:t>
      </w:r>
      <w:r w:rsidR="00EE421B" w:rsidRPr="00B8639F">
        <w:rPr>
          <w:i/>
          <w:iCs/>
          <w:lang w:val="en-GB"/>
        </w:rPr>
        <w:t>However,</w:t>
      </w:r>
      <w:r w:rsidR="002852C8" w:rsidRPr="00B8639F">
        <w:rPr>
          <w:i/>
          <w:lang w:val="en-GB"/>
        </w:rPr>
        <w:t xml:space="preserve"> the exercise of this right to standing is subject to a prior approval by a competent Court. This means that before a party launches an application in the public interest, it must apply for leave to do so from the Court. This requirement places the Court in control of the application that is instituted in the public interest so as to determine in advance whether</w:t>
      </w:r>
      <w:r w:rsidR="00DE4C83" w:rsidRPr="00B8639F">
        <w:rPr>
          <w:i/>
          <w:iCs/>
          <w:lang w:val="en-GB"/>
        </w:rPr>
        <w:t xml:space="preserve"> an applicant is entitled to </w:t>
      </w:r>
      <w:r w:rsidR="002852C8" w:rsidRPr="00B8639F">
        <w:rPr>
          <w:i/>
          <w:lang w:val="en-GB"/>
        </w:rPr>
        <w:t>institute the proceedings.</w:t>
      </w:r>
      <w:r>
        <w:rPr>
          <w:i/>
          <w:lang w:val="en-GB"/>
        </w:rPr>
        <w:t>”</w:t>
      </w:r>
      <w:r w:rsidR="00B44F68" w:rsidRPr="00174309">
        <w:rPr>
          <w:rStyle w:val="FootnoteReference"/>
          <w:i/>
          <w:lang w:val="en-GB"/>
        </w:rPr>
        <w:footnoteReference w:id="7"/>
      </w:r>
    </w:p>
    <w:p w14:paraId="56E043BF" w14:textId="77008BDF" w:rsidR="00A50559" w:rsidRPr="00B8639F" w:rsidRDefault="00B8639F" w:rsidP="00B8639F">
      <w:pPr>
        <w:spacing w:after="360" w:line="480" w:lineRule="auto"/>
        <w:ind w:left="720" w:hanging="720"/>
        <w:jc w:val="both"/>
        <w:rPr>
          <w:lang w:val="en-GB"/>
        </w:rPr>
      </w:pPr>
      <w:r>
        <w:rPr>
          <w:lang w:val="en-GB"/>
        </w:rPr>
        <w:t>[19]</w:t>
      </w:r>
      <w:r>
        <w:rPr>
          <w:lang w:val="en-GB"/>
        </w:rPr>
        <w:tab/>
      </w:r>
      <w:r w:rsidR="001512D2" w:rsidRPr="00B8639F">
        <w:rPr>
          <w:lang w:val="en-GB"/>
        </w:rPr>
        <w:t>Judge Jafta</w:t>
      </w:r>
      <w:r w:rsidR="004B7BEA" w:rsidRPr="00B8639F">
        <w:rPr>
          <w:lang w:val="en-GB"/>
        </w:rPr>
        <w:t>’s</w:t>
      </w:r>
      <w:r w:rsidR="001512D2" w:rsidRPr="00B8639F">
        <w:rPr>
          <w:lang w:val="en-GB"/>
        </w:rPr>
        <w:t xml:space="preserve"> piece is directed as a critique of the legislation which he considers will open the floodgates to parties seeking to exercise this type of remedy. </w:t>
      </w:r>
      <w:r w:rsidR="001135CE" w:rsidRPr="00B8639F">
        <w:rPr>
          <w:lang w:val="en-GB"/>
        </w:rPr>
        <w:t xml:space="preserve">That </w:t>
      </w:r>
      <w:r w:rsidR="001135CE" w:rsidRPr="00B8639F">
        <w:rPr>
          <w:lang w:val="en-GB"/>
        </w:rPr>
        <w:lastRenderedPageBreak/>
        <w:t>is his primary focus</w:t>
      </w:r>
      <w:r w:rsidR="001E195C" w:rsidRPr="00B8639F">
        <w:rPr>
          <w:lang w:val="en-GB"/>
        </w:rPr>
        <w:t>,</w:t>
      </w:r>
      <w:r w:rsidR="001135CE" w:rsidRPr="00B8639F">
        <w:rPr>
          <w:lang w:val="en-GB"/>
        </w:rPr>
        <w:t xml:space="preserve"> rather than an attempt to grapple with the interp</w:t>
      </w:r>
      <w:r w:rsidR="009665FC" w:rsidRPr="00B8639F">
        <w:rPr>
          <w:lang w:val="en-GB"/>
        </w:rPr>
        <w:t>r</w:t>
      </w:r>
      <w:r w:rsidR="001135CE" w:rsidRPr="00B8639F">
        <w:rPr>
          <w:lang w:val="en-GB"/>
        </w:rPr>
        <w:t>e</w:t>
      </w:r>
      <w:r w:rsidR="001E195C" w:rsidRPr="00B8639F">
        <w:rPr>
          <w:lang w:val="en-GB"/>
        </w:rPr>
        <w:t>ta</w:t>
      </w:r>
      <w:r w:rsidR="001135CE" w:rsidRPr="00B8639F">
        <w:rPr>
          <w:lang w:val="en-GB"/>
        </w:rPr>
        <w:t>tion of what leave of the court means in the present situation where the court is faced in action proceedings with an application to amend.</w:t>
      </w:r>
    </w:p>
    <w:p w14:paraId="0E70E7E7" w14:textId="59040BE0" w:rsidR="002231AD" w:rsidRPr="00B8639F" w:rsidRDefault="00B8639F" w:rsidP="00B8639F">
      <w:pPr>
        <w:spacing w:after="360" w:line="480" w:lineRule="auto"/>
        <w:ind w:left="720" w:hanging="720"/>
        <w:jc w:val="both"/>
        <w:rPr>
          <w:lang w:val="en-GB"/>
        </w:rPr>
      </w:pPr>
      <w:r>
        <w:rPr>
          <w:lang w:val="en-GB"/>
        </w:rPr>
        <w:t>[20]</w:t>
      </w:r>
      <w:r>
        <w:rPr>
          <w:lang w:val="en-GB"/>
        </w:rPr>
        <w:tab/>
      </w:r>
      <w:r w:rsidR="001E195C" w:rsidRPr="00B8639F">
        <w:rPr>
          <w:lang w:val="en-GB"/>
        </w:rPr>
        <w:t>Nor is this issue novel. T</w:t>
      </w:r>
      <w:r w:rsidR="001135CE" w:rsidRPr="00B8639F">
        <w:rPr>
          <w:lang w:val="en-GB"/>
        </w:rPr>
        <w:t xml:space="preserve">he very same issue came up in </w:t>
      </w:r>
      <w:r w:rsidR="00760C86" w:rsidRPr="00B8639F">
        <w:rPr>
          <w:lang w:val="en-GB"/>
        </w:rPr>
        <w:t xml:space="preserve">two cases that have been decided </w:t>
      </w:r>
      <w:r w:rsidR="00FA7A03" w:rsidRPr="00B8639F">
        <w:rPr>
          <w:lang w:val="en-GB"/>
        </w:rPr>
        <w:t xml:space="preserve">subsequent </w:t>
      </w:r>
      <w:r w:rsidR="001135CE" w:rsidRPr="00B8639F">
        <w:rPr>
          <w:lang w:val="en-GB"/>
        </w:rPr>
        <w:t xml:space="preserve">to </w:t>
      </w:r>
      <w:r w:rsidR="008C00AF" w:rsidRPr="00B8639F">
        <w:rPr>
          <w:lang w:val="en-GB"/>
        </w:rPr>
        <w:t xml:space="preserve">the publication of </w:t>
      </w:r>
      <w:r w:rsidR="001135CE" w:rsidRPr="00B8639F">
        <w:rPr>
          <w:lang w:val="en-GB"/>
        </w:rPr>
        <w:t>that article</w:t>
      </w:r>
      <w:r w:rsidR="00FA7A03" w:rsidRPr="00B8639F">
        <w:rPr>
          <w:lang w:val="en-GB"/>
        </w:rPr>
        <w:t>. In the first of these</w:t>
      </w:r>
      <w:r w:rsidR="00410897" w:rsidRPr="00B8639F">
        <w:rPr>
          <w:lang w:val="en-GB"/>
        </w:rPr>
        <w:t>,</w:t>
      </w:r>
      <w:r w:rsidR="00FA7A03" w:rsidRPr="00B8639F">
        <w:rPr>
          <w:lang w:val="en-GB"/>
        </w:rPr>
        <w:t xml:space="preserve"> </w:t>
      </w:r>
      <w:r w:rsidR="007E00EB" w:rsidRPr="00B8639F">
        <w:rPr>
          <w:color w:val="000000"/>
        </w:rPr>
        <w:t>the </w:t>
      </w:r>
      <w:r w:rsidR="007E00EB" w:rsidRPr="00B8639F">
        <w:rPr>
          <w:i/>
          <w:color w:val="000000"/>
        </w:rPr>
        <w:t>Minister of Environmental Affairs v Recycling and Economic Development Initiative of South Africa NPC</w:t>
      </w:r>
      <w:r w:rsidR="0079071B" w:rsidRPr="00B8639F">
        <w:rPr>
          <w:i/>
          <w:color w:val="000000"/>
        </w:rPr>
        <w:t xml:space="preserve"> (</w:t>
      </w:r>
      <w:r w:rsidR="00C96202" w:rsidRPr="00B8639F">
        <w:rPr>
          <w:i/>
          <w:color w:val="000000"/>
        </w:rPr>
        <w:t>REDISA)</w:t>
      </w:r>
      <w:r w:rsidR="00F4424E" w:rsidRPr="00174309">
        <w:rPr>
          <w:rStyle w:val="FootnoteReference"/>
          <w:i/>
          <w:color w:val="000000"/>
        </w:rPr>
        <w:footnoteReference w:id="8"/>
      </w:r>
      <w:r w:rsidR="007E00EB" w:rsidRPr="00B8639F">
        <w:rPr>
          <w:i/>
          <w:color w:val="000000"/>
        </w:rPr>
        <w:t xml:space="preserve"> </w:t>
      </w:r>
      <w:r w:rsidR="007E00EB" w:rsidRPr="00B8639F">
        <w:rPr>
          <w:color w:val="000000"/>
        </w:rPr>
        <w:t xml:space="preserve"> </w:t>
      </w:r>
      <w:r w:rsidR="002231AD" w:rsidRPr="00B8639F">
        <w:rPr>
          <w:lang w:val="en-GB"/>
        </w:rPr>
        <w:t>Henney J</w:t>
      </w:r>
      <w:r w:rsidR="00410897" w:rsidRPr="00B8639F">
        <w:rPr>
          <w:lang w:val="en-GB"/>
        </w:rPr>
        <w:t>,</w:t>
      </w:r>
      <w:r w:rsidR="002231AD" w:rsidRPr="00B8639F">
        <w:rPr>
          <w:lang w:val="en-GB"/>
        </w:rPr>
        <w:t xml:space="preserve"> considered an argument that the court should follow the approach adopted in class interest litigation where courts have required prior certification. Henney J observed that the situations were not analogous:</w:t>
      </w:r>
    </w:p>
    <w:p w14:paraId="3CA3F5CD" w14:textId="1ABCEB92" w:rsidR="00F5364F" w:rsidRPr="00B8639F" w:rsidRDefault="002231AD" w:rsidP="00B8639F">
      <w:pPr>
        <w:spacing w:after="360" w:line="480" w:lineRule="auto"/>
        <w:ind w:left="2160"/>
        <w:jc w:val="both"/>
        <w:rPr>
          <w:i/>
          <w:lang w:val="en-GB"/>
        </w:rPr>
      </w:pPr>
      <w:r w:rsidRPr="00B8639F">
        <w:rPr>
          <w:i/>
          <w:lang w:val="en-GB"/>
        </w:rPr>
        <w:t>“In my view these cases are distinguishable from the present, even though they deals with the question of extended standing.”</w:t>
      </w:r>
      <w:r w:rsidRPr="00174309">
        <w:rPr>
          <w:rStyle w:val="FootnoteReference"/>
          <w:i/>
          <w:lang w:val="en-GB"/>
        </w:rPr>
        <w:footnoteReference w:id="9"/>
      </w:r>
    </w:p>
    <w:p w14:paraId="686E1BD9" w14:textId="77777777" w:rsidR="00B8639F" w:rsidRDefault="00B8639F" w:rsidP="00B8639F">
      <w:pPr>
        <w:spacing w:after="360" w:line="480" w:lineRule="auto"/>
        <w:jc w:val="both"/>
        <w:rPr>
          <w:i/>
          <w:iCs/>
          <w:lang w:val="en-GB"/>
        </w:rPr>
      </w:pPr>
      <w:r>
        <w:rPr>
          <w:lang w:val="en-GB"/>
        </w:rPr>
        <w:t>[21]</w:t>
      </w:r>
      <w:r>
        <w:rPr>
          <w:lang w:val="en-GB"/>
        </w:rPr>
        <w:tab/>
      </w:r>
      <w:r w:rsidR="002231AD" w:rsidRPr="00B8639F">
        <w:rPr>
          <w:lang w:val="en-GB"/>
        </w:rPr>
        <w:t>After analysing the two cases he had been referred to</w:t>
      </w:r>
      <w:r w:rsidR="00DA122E" w:rsidRPr="00B8639F">
        <w:rPr>
          <w:lang w:val="en-GB"/>
        </w:rPr>
        <w:t>,</w:t>
      </w:r>
      <w:r w:rsidR="002231AD" w:rsidRPr="00B8639F">
        <w:rPr>
          <w:lang w:val="en-GB"/>
        </w:rPr>
        <w:t xml:space="preserve"> he concluded:</w:t>
      </w:r>
    </w:p>
    <w:p w14:paraId="23D163E0" w14:textId="04C72F4C" w:rsidR="002231AD" w:rsidRPr="00B8639F" w:rsidRDefault="002231AD" w:rsidP="00B8639F">
      <w:pPr>
        <w:spacing w:after="360" w:line="480" w:lineRule="auto"/>
        <w:ind w:left="2160"/>
        <w:jc w:val="both"/>
        <w:rPr>
          <w:i/>
          <w:iCs/>
          <w:lang w:val="en-GB"/>
        </w:rPr>
      </w:pPr>
      <w:r w:rsidRPr="00174309">
        <w:rPr>
          <w:i/>
          <w:lang w:val="en-GB"/>
        </w:rPr>
        <w:t>“Further, what clearly makes this case different from the Children's Resource Centre case and the Mukaddam case is that both those cases dealt with class actions which would require a much more controlled manner of certification than a case where standing would be found on the basis of public interest.”</w:t>
      </w:r>
      <w:r w:rsidRPr="00174309">
        <w:rPr>
          <w:rStyle w:val="FootnoteReference"/>
          <w:i/>
          <w:lang w:val="en-GB"/>
        </w:rPr>
        <w:footnoteReference w:id="10"/>
      </w:r>
    </w:p>
    <w:p w14:paraId="1CF19E08" w14:textId="6A096E2F" w:rsidR="007A0043" w:rsidRPr="00B8639F" w:rsidRDefault="00B8639F" w:rsidP="00B8639F">
      <w:pPr>
        <w:spacing w:after="360" w:line="480" w:lineRule="auto"/>
        <w:ind w:left="720" w:hanging="720"/>
        <w:jc w:val="both"/>
        <w:rPr>
          <w:i/>
          <w:lang w:val="en-GB"/>
        </w:rPr>
      </w:pPr>
      <w:r>
        <w:rPr>
          <w:lang w:val="en-GB"/>
        </w:rPr>
        <w:lastRenderedPageBreak/>
        <w:t>[22]</w:t>
      </w:r>
      <w:r>
        <w:rPr>
          <w:lang w:val="en-GB"/>
        </w:rPr>
        <w:tab/>
      </w:r>
      <w:r w:rsidR="006F3A90" w:rsidRPr="00B8639F">
        <w:rPr>
          <w:lang w:val="en-GB"/>
        </w:rPr>
        <w:t>T</w:t>
      </w:r>
      <w:r w:rsidR="00C96202" w:rsidRPr="00B8639F">
        <w:rPr>
          <w:lang w:val="en-GB"/>
        </w:rPr>
        <w:t>he decision of Henney J in REDISA was overturned on appeal to the SCA</w:t>
      </w:r>
      <w:r w:rsidR="006F3A90" w:rsidRPr="00B8639F">
        <w:rPr>
          <w:lang w:val="en-GB"/>
        </w:rPr>
        <w:t>,</w:t>
      </w:r>
      <w:r w:rsidR="00C96202" w:rsidRPr="00B8639F">
        <w:rPr>
          <w:lang w:val="en-GB"/>
        </w:rPr>
        <w:t xml:space="preserve"> </w:t>
      </w:r>
      <w:r w:rsidR="00EC7293" w:rsidRPr="00B8639F">
        <w:rPr>
          <w:lang w:val="en-GB"/>
        </w:rPr>
        <w:t xml:space="preserve">but </w:t>
      </w:r>
      <w:r w:rsidR="00C96202" w:rsidRPr="00B8639F">
        <w:rPr>
          <w:lang w:val="en-GB"/>
        </w:rPr>
        <w:t xml:space="preserve">this </w:t>
      </w:r>
      <w:r w:rsidR="00377639" w:rsidRPr="00B8639F">
        <w:rPr>
          <w:lang w:val="en-GB"/>
        </w:rPr>
        <w:t xml:space="preserve">part of the reasoning was not criticised. Although Henney J was dealing with the consequences of </w:t>
      </w:r>
      <w:r w:rsidR="00A00726" w:rsidRPr="00B8639F">
        <w:rPr>
          <w:lang w:val="en-GB"/>
        </w:rPr>
        <w:t xml:space="preserve">the sequencing approach for </w:t>
      </w:r>
      <w:r w:rsidR="00EC7293" w:rsidRPr="00B8639F">
        <w:rPr>
          <w:lang w:val="en-GB"/>
        </w:rPr>
        <w:t>motion</w:t>
      </w:r>
      <w:r w:rsidR="00A00726" w:rsidRPr="00B8639F">
        <w:rPr>
          <w:lang w:val="en-GB"/>
        </w:rPr>
        <w:t xml:space="preserve"> proceedings</w:t>
      </w:r>
      <w:r w:rsidR="00564DF5" w:rsidRPr="00B8639F">
        <w:rPr>
          <w:lang w:val="en-GB"/>
        </w:rPr>
        <w:t>,</w:t>
      </w:r>
      <w:r w:rsidR="00A00726" w:rsidRPr="00B8639F">
        <w:rPr>
          <w:lang w:val="en-GB"/>
        </w:rPr>
        <w:t xml:space="preserve"> and with another provision of the Act</w:t>
      </w:r>
      <w:r w:rsidR="00564DF5" w:rsidRPr="00B8639F">
        <w:rPr>
          <w:lang w:val="en-GB"/>
        </w:rPr>
        <w:t>,</w:t>
      </w:r>
      <w:r w:rsidR="00A00726" w:rsidRPr="00B8639F">
        <w:rPr>
          <w:lang w:val="en-GB"/>
        </w:rPr>
        <w:t xml:space="preserve"> not</w:t>
      </w:r>
      <w:r w:rsidR="00AB6133" w:rsidRPr="00B8639F">
        <w:rPr>
          <w:lang w:val="en-GB"/>
        </w:rPr>
        <w:t xml:space="preserve"> section 162</w:t>
      </w:r>
      <w:r w:rsidR="00564DF5" w:rsidRPr="00B8639F">
        <w:rPr>
          <w:lang w:val="en-GB"/>
        </w:rPr>
        <w:t>,</w:t>
      </w:r>
      <w:r w:rsidR="00A00726" w:rsidRPr="00B8639F">
        <w:rPr>
          <w:lang w:val="en-GB"/>
        </w:rPr>
        <w:t xml:space="preserve"> his approach was nevertheless followed in a case that dealt</w:t>
      </w:r>
      <w:r w:rsidR="00275C4B" w:rsidRPr="00B8639F">
        <w:rPr>
          <w:lang w:val="en-GB"/>
        </w:rPr>
        <w:t>,</w:t>
      </w:r>
      <w:r w:rsidR="00A00726" w:rsidRPr="00B8639F">
        <w:rPr>
          <w:lang w:val="en-GB"/>
        </w:rPr>
        <w:t xml:space="preserve"> </w:t>
      </w:r>
      <w:r w:rsidR="00275C4B" w:rsidRPr="00B8639F">
        <w:rPr>
          <w:lang w:val="en-GB"/>
        </w:rPr>
        <w:t xml:space="preserve">as in </w:t>
      </w:r>
      <w:r w:rsidR="00275C4B" w:rsidRPr="0054472F">
        <w:rPr>
          <w:i/>
          <w:iCs/>
          <w:lang w:val="en-GB"/>
        </w:rPr>
        <w:t>casu,</w:t>
      </w:r>
      <w:r w:rsidR="00275C4B" w:rsidRPr="00B8639F">
        <w:rPr>
          <w:lang w:val="en-GB"/>
        </w:rPr>
        <w:t xml:space="preserve"> both </w:t>
      </w:r>
      <w:r w:rsidR="00A00726" w:rsidRPr="00B8639F">
        <w:rPr>
          <w:lang w:val="en-GB"/>
        </w:rPr>
        <w:t>with action proceedings and</w:t>
      </w:r>
      <w:r w:rsidR="00B73886" w:rsidRPr="00B8639F">
        <w:rPr>
          <w:lang w:val="en-GB"/>
        </w:rPr>
        <w:t xml:space="preserve"> a declaration of delinquency</w:t>
      </w:r>
      <w:r w:rsidR="00CD217D" w:rsidRPr="00B8639F">
        <w:rPr>
          <w:lang w:val="en-GB"/>
        </w:rPr>
        <w:t xml:space="preserve">. </w:t>
      </w:r>
      <w:r w:rsidR="0045038E" w:rsidRPr="00B8639F">
        <w:rPr>
          <w:lang w:val="en-GB"/>
        </w:rPr>
        <w:t xml:space="preserve">In </w:t>
      </w:r>
      <w:r w:rsidR="0045038E" w:rsidRPr="00B8639F">
        <w:rPr>
          <w:i/>
          <w:lang w:val="en-GB"/>
        </w:rPr>
        <w:t>Organisation Undoing Tax Abuse NPC and Another v Myeni and Another</w:t>
      </w:r>
      <w:r w:rsidR="00687FBD" w:rsidRPr="00B8639F">
        <w:rPr>
          <w:i/>
          <w:lang w:val="en-GB"/>
        </w:rPr>
        <w:t>,</w:t>
      </w:r>
      <w:r w:rsidR="0045038E" w:rsidRPr="00B8639F">
        <w:rPr>
          <w:i/>
          <w:lang w:val="en-GB"/>
        </w:rPr>
        <w:t xml:space="preserve"> </w:t>
      </w:r>
      <w:r w:rsidR="0045038E" w:rsidRPr="00B8639F">
        <w:rPr>
          <w:lang w:val="en-GB"/>
        </w:rPr>
        <w:t xml:space="preserve">Tolmay J considered a similar argument that arose in action proceedings where the defendant director had raised the issue by way of a special plea. Tolmay J followed the reasoning in </w:t>
      </w:r>
      <w:r w:rsidR="0045038E" w:rsidRPr="00B8639F">
        <w:rPr>
          <w:i/>
          <w:iCs/>
          <w:lang w:val="en-GB"/>
        </w:rPr>
        <w:t>REDISA</w:t>
      </w:r>
      <w:r w:rsidR="0045038E" w:rsidRPr="00B8639F">
        <w:rPr>
          <w:lang w:val="en-GB"/>
        </w:rPr>
        <w:t xml:space="preserve"> and </w:t>
      </w:r>
      <w:r w:rsidR="00222D0C" w:rsidRPr="00B8639F">
        <w:rPr>
          <w:lang w:val="en-GB"/>
        </w:rPr>
        <w:t xml:space="preserve">commented on what </w:t>
      </w:r>
      <w:r w:rsidR="008B45B3" w:rsidRPr="00B8639F">
        <w:rPr>
          <w:lang w:val="en-GB"/>
        </w:rPr>
        <w:t>‘</w:t>
      </w:r>
      <w:r w:rsidR="00222D0C" w:rsidRPr="00B8639F">
        <w:rPr>
          <w:lang w:val="en-GB"/>
        </w:rPr>
        <w:t>getting leave</w:t>
      </w:r>
      <w:r w:rsidR="008B45B3" w:rsidRPr="00B8639F">
        <w:rPr>
          <w:lang w:val="en-GB"/>
        </w:rPr>
        <w:t>’</w:t>
      </w:r>
      <w:r w:rsidR="00222D0C" w:rsidRPr="00B8639F">
        <w:rPr>
          <w:lang w:val="en-GB"/>
        </w:rPr>
        <w:t xml:space="preserve"> meant and came to the conclusion</w:t>
      </w:r>
      <w:r>
        <w:rPr>
          <w:lang w:val="en-GB"/>
        </w:rPr>
        <w:t xml:space="preserve"> </w:t>
      </w:r>
      <w:r w:rsidR="00222D0C" w:rsidRPr="00B8639F">
        <w:rPr>
          <w:lang w:val="en-GB"/>
        </w:rPr>
        <w:t xml:space="preserve">that. </w:t>
      </w:r>
      <w:r w:rsidR="00C64EAB" w:rsidRPr="00B8639F">
        <w:rPr>
          <w:lang w:val="en-GB"/>
        </w:rPr>
        <w:t>“</w:t>
      </w:r>
      <w:r w:rsidR="007A0043" w:rsidRPr="00B8639F">
        <w:rPr>
          <w:i/>
          <w:color w:val="000000"/>
        </w:rPr>
        <w:t xml:space="preserve">How leave should be obtained </w:t>
      </w:r>
      <w:r w:rsidR="00347F6D" w:rsidRPr="00B8639F">
        <w:rPr>
          <w:i/>
          <w:color w:val="000000"/>
        </w:rPr>
        <w:t>i.e.,</w:t>
      </w:r>
      <w:r w:rsidR="007A0043" w:rsidRPr="00B8639F">
        <w:rPr>
          <w:i/>
          <w:color w:val="000000"/>
        </w:rPr>
        <w:t xml:space="preserve"> by way of application, a point in limine or a special plea should be determined by the circumstances of each case. In this instance I am of the view that in the light of the allegations made in the particulars of claim, read with the special plea and admissions made in the plea, this Court can determine this aspect by way of a special plea, and there exist</w:t>
      </w:r>
      <w:r w:rsidR="00C453DE" w:rsidRPr="00B8639F">
        <w:rPr>
          <w:i/>
          <w:color w:val="000000"/>
        </w:rPr>
        <w:t>s</w:t>
      </w:r>
      <w:r w:rsidR="007A0043" w:rsidRPr="00B8639F">
        <w:rPr>
          <w:i/>
          <w:color w:val="000000"/>
        </w:rPr>
        <w:t xml:space="preserve"> no requirement that leave should have been obtained prior to the institution of the action</w:t>
      </w:r>
      <w:r w:rsidR="00C7120B" w:rsidRPr="00B8639F">
        <w:rPr>
          <w:i/>
          <w:color w:val="000000"/>
        </w:rPr>
        <w:t>”</w:t>
      </w:r>
      <w:r w:rsidR="007A0043" w:rsidRPr="00B8639F">
        <w:rPr>
          <w:i/>
          <w:color w:val="000000"/>
        </w:rPr>
        <w:t>.</w:t>
      </w:r>
      <w:r w:rsidR="00346EF3" w:rsidRPr="00174309">
        <w:rPr>
          <w:rStyle w:val="FootnoteReference"/>
          <w:i/>
          <w:color w:val="000000"/>
        </w:rPr>
        <w:footnoteReference w:id="11"/>
      </w:r>
    </w:p>
    <w:p w14:paraId="5939E421" w14:textId="1B7450D8" w:rsidR="007A0043" w:rsidRPr="00B8639F" w:rsidRDefault="00B8639F" w:rsidP="00B8639F">
      <w:pPr>
        <w:spacing w:after="360" w:line="480" w:lineRule="auto"/>
        <w:ind w:left="720" w:hanging="720"/>
        <w:jc w:val="both"/>
        <w:rPr>
          <w:lang w:val="en-GB"/>
        </w:rPr>
      </w:pPr>
      <w:r>
        <w:rPr>
          <w:lang w:val="en-GB"/>
        </w:rPr>
        <w:t>[23]</w:t>
      </w:r>
      <w:r>
        <w:rPr>
          <w:lang w:val="en-GB"/>
        </w:rPr>
        <w:tab/>
      </w:r>
      <w:r w:rsidR="004414D5" w:rsidRPr="00B8639F">
        <w:rPr>
          <w:lang w:val="en-GB"/>
        </w:rPr>
        <w:t xml:space="preserve">I am in respectful agreement with this approach. The argument pressed by counsel for the third defendant </w:t>
      </w:r>
      <w:r w:rsidR="009F798C" w:rsidRPr="00B8639F">
        <w:rPr>
          <w:lang w:val="en-GB"/>
        </w:rPr>
        <w:t xml:space="preserve">relying on Jafta J’s article that these applications need management needs closer interrogation. </w:t>
      </w:r>
      <w:r w:rsidR="008D121F" w:rsidRPr="00B8639F">
        <w:rPr>
          <w:lang w:val="en-GB"/>
        </w:rPr>
        <w:t xml:space="preserve">If you are an applicant for a delinquency application </w:t>
      </w:r>
      <w:r w:rsidR="006F7720" w:rsidRPr="00B8639F">
        <w:rPr>
          <w:lang w:val="en-GB"/>
        </w:rPr>
        <w:t xml:space="preserve">and you are a member of the class of applicants specifically </w:t>
      </w:r>
      <w:r w:rsidR="00331175" w:rsidRPr="00B8639F">
        <w:rPr>
          <w:lang w:val="en-GB"/>
        </w:rPr>
        <w:t xml:space="preserve">named in section </w:t>
      </w:r>
      <w:r w:rsidR="0084694F" w:rsidRPr="00B8639F">
        <w:rPr>
          <w:lang w:val="en-GB"/>
        </w:rPr>
        <w:t>162(2)</w:t>
      </w:r>
      <w:r w:rsidR="00557D6A" w:rsidRPr="00B8639F">
        <w:rPr>
          <w:lang w:val="en-GB"/>
        </w:rPr>
        <w:t>,</w:t>
      </w:r>
      <w:r w:rsidR="0084694F" w:rsidRPr="00B8639F">
        <w:rPr>
          <w:lang w:val="en-GB"/>
        </w:rPr>
        <w:t xml:space="preserve"> </w:t>
      </w:r>
      <w:r w:rsidR="00880A7B" w:rsidRPr="00B8639F">
        <w:rPr>
          <w:lang w:val="en-GB"/>
        </w:rPr>
        <w:t xml:space="preserve">there is no requirement for </w:t>
      </w:r>
      <w:r w:rsidR="0099254B" w:rsidRPr="00B8639F">
        <w:rPr>
          <w:lang w:val="en-GB"/>
        </w:rPr>
        <w:t>prior court management of that application.</w:t>
      </w:r>
      <w:r w:rsidR="0084694F" w:rsidRPr="00B8639F">
        <w:rPr>
          <w:lang w:val="en-GB"/>
        </w:rPr>
        <w:t xml:space="preserve"> Th</w:t>
      </w:r>
      <w:r w:rsidR="00116686" w:rsidRPr="00B8639F">
        <w:rPr>
          <w:lang w:val="en-GB"/>
        </w:rPr>
        <w:t>us</w:t>
      </w:r>
      <w:r w:rsidR="00E239B9" w:rsidRPr="00B8639F">
        <w:rPr>
          <w:lang w:val="en-GB"/>
        </w:rPr>
        <w:t>,</w:t>
      </w:r>
      <w:r w:rsidR="0084694F" w:rsidRPr="00B8639F">
        <w:rPr>
          <w:lang w:val="en-GB"/>
        </w:rPr>
        <w:t xml:space="preserve"> </w:t>
      </w:r>
      <w:r w:rsidR="00152744" w:rsidRPr="00B8639F">
        <w:rPr>
          <w:lang w:val="en-GB"/>
        </w:rPr>
        <w:t xml:space="preserve">the </w:t>
      </w:r>
      <w:r w:rsidR="0084694F" w:rsidRPr="00B8639F">
        <w:rPr>
          <w:lang w:val="en-GB"/>
        </w:rPr>
        <w:t>only difference between</w:t>
      </w:r>
      <w:r w:rsidR="00116686" w:rsidRPr="00B8639F">
        <w:rPr>
          <w:lang w:val="en-GB"/>
        </w:rPr>
        <w:t xml:space="preserve"> th</w:t>
      </w:r>
      <w:r w:rsidR="00152744" w:rsidRPr="00B8639F">
        <w:rPr>
          <w:lang w:val="en-GB"/>
        </w:rPr>
        <w:t xml:space="preserve">ose </w:t>
      </w:r>
      <w:r w:rsidR="00152744" w:rsidRPr="00B8639F">
        <w:rPr>
          <w:lang w:val="en-GB"/>
        </w:rPr>
        <w:lastRenderedPageBreak/>
        <w:t xml:space="preserve">persons </w:t>
      </w:r>
      <w:r w:rsidR="00116686" w:rsidRPr="00B8639F">
        <w:rPr>
          <w:lang w:val="en-GB"/>
        </w:rPr>
        <w:t>and</w:t>
      </w:r>
      <w:r w:rsidR="0084694F" w:rsidRPr="00B8639F">
        <w:rPr>
          <w:lang w:val="en-GB"/>
        </w:rPr>
        <w:t xml:space="preserve"> the applica</w:t>
      </w:r>
      <w:r w:rsidR="00F7640F" w:rsidRPr="00B8639F">
        <w:rPr>
          <w:lang w:val="en-GB"/>
        </w:rPr>
        <w:t>nt under section 157(1)(d)</w:t>
      </w:r>
      <w:r w:rsidR="00097B20" w:rsidRPr="00B8639F">
        <w:rPr>
          <w:lang w:val="en-GB"/>
        </w:rPr>
        <w:t>,</w:t>
      </w:r>
      <w:r w:rsidR="00F7640F" w:rsidRPr="00B8639F">
        <w:rPr>
          <w:lang w:val="en-GB"/>
        </w:rPr>
        <w:t xml:space="preserve"> is the need for the</w:t>
      </w:r>
      <w:r w:rsidR="00097B20" w:rsidRPr="00B8639F">
        <w:rPr>
          <w:lang w:val="en-GB"/>
        </w:rPr>
        <w:t xml:space="preserve"> latter</w:t>
      </w:r>
      <w:r w:rsidR="00F7640F" w:rsidRPr="00B8639F">
        <w:rPr>
          <w:lang w:val="en-GB"/>
        </w:rPr>
        <w:t xml:space="preserve"> to establish </w:t>
      </w:r>
      <w:r w:rsidR="00F33507" w:rsidRPr="00B8639F">
        <w:rPr>
          <w:lang w:val="en-GB"/>
        </w:rPr>
        <w:t xml:space="preserve">that they act in the public interest. </w:t>
      </w:r>
      <w:r w:rsidR="00E239B9" w:rsidRPr="00B8639F">
        <w:rPr>
          <w:lang w:val="en-GB"/>
        </w:rPr>
        <w:t>But t</w:t>
      </w:r>
      <w:r w:rsidR="00F33507" w:rsidRPr="00B8639F">
        <w:rPr>
          <w:lang w:val="en-GB"/>
        </w:rPr>
        <w:t>his is a single enquiry of fact and not the multiple enquiry required of an applicant in a class action.</w:t>
      </w:r>
      <w:r w:rsidR="0054472F">
        <w:rPr>
          <w:rStyle w:val="FootnoteReference"/>
          <w:lang w:val="en-GB"/>
        </w:rPr>
        <w:footnoteReference w:id="12"/>
      </w:r>
      <w:r w:rsidR="00F33507" w:rsidRPr="00B8639F">
        <w:rPr>
          <w:lang w:val="en-GB"/>
        </w:rPr>
        <w:t xml:space="preserve"> This suggests that the need for the court to engage in prior management is not </w:t>
      </w:r>
      <w:r w:rsidR="00206C0E" w:rsidRPr="00B8639F">
        <w:rPr>
          <w:lang w:val="en-GB"/>
        </w:rPr>
        <w:t>as compelling under section 157(1)(d</w:t>
      </w:r>
      <w:r w:rsidR="005A197F" w:rsidRPr="00B8639F">
        <w:rPr>
          <w:lang w:val="en-GB"/>
        </w:rPr>
        <w:t>)</w:t>
      </w:r>
      <w:r w:rsidR="00154AAC" w:rsidRPr="00B8639F">
        <w:rPr>
          <w:lang w:val="en-GB"/>
        </w:rPr>
        <w:t xml:space="preserve"> as Judge Jafta suggests</w:t>
      </w:r>
      <w:r w:rsidR="005A197F" w:rsidRPr="00B8639F">
        <w:rPr>
          <w:lang w:val="en-GB"/>
        </w:rPr>
        <w:t>. There is no reason then for the requirement that there must be a prior application</w:t>
      </w:r>
      <w:r w:rsidR="00111F2B" w:rsidRPr="00B8639F">
        <w:rPr>
          <w:lang w:val="en-GB"/>
        </w:rPr>
        <w:t>,</w:t>
      </w:r>
      <w:r w:rsidR="005A197F" w:rsidRPr="00B8639F">
        <w:rPr>
          <w:lang w:val="en-GB"/>
        </w:rPr>
        <w:t xml:space="preserve"> </w:t>
      </w:r>
      <w:r w:rsidR="00B06069" w:rsidRPr="00B8639F">
        <w:rPr>
          <w:lang w:val="en-GB"/>
        </w:rPr>
        <w:t>and like Tolmay J</w:t>
      </w:r>
      <w:r w:rsidR="005A79BC" w:rsidRPr="00B8639F">
        <w:rPr>
          <w:lang w:val="en-GB"/>
        </w:rPr>
        <w:t>,</w:t>
      </w:r>
      <w:r w:rsidR="00B06069" w:rsidRPr="00B8639F">
        <w:rPr>
          <w:lang w:val="en-GB"/>
        </w:rPr>
        <w:t xml:space="preserve"> I consider that </w:t>
      </w:r>
      <w:r w:rsidR="00977182" w:rsidRPr="00B8639F">
        <w:rPr>
          <w:lang w:val="en-GB"/>
        </w:rPr>
        <w:t>this aspect can be determined by way of a special plea.</w:t>
      </w:r>
    </w:p>
    <w:p w14:paraId="6A2CFF28" w14:textId="05270C34" w:rsidR="00977182" w:rsidRPr="00174309" w:rsidRDefault="00ED2F95" w:rsidP="00B8639F">
      <w:pPr>
        <w:pStyle w:val="ListParagraph"/>
        <w:spacing w:after="360" w:line="480" w:lineRule="auto"/>
        <w:ind w:left="360" w:firstLine="360"/>
        <w:jc w:val="both"/>
        <w:rPr>
          <w:b/>
          <w:bCs/>
          <w:lang w:val="en-GB"/>
        </w:rPr>
      </w:pPr>
      <w:r w:rsidRPr="00174309">
        <w:rPr>
          <w:b/>
          <w:bCs/>
          <w:lang w:val="en-GB"/>
        </w:rPr>
        <w:t>Does a creditor have standing under section 157(</w:t>
      </w:r>
      <w:r w:rsidR="002E3762" w:rsidRPr="00174309">
        <w:rPr>
          <w:b/>
          <w:bCs/>
          <w:lang w:val="en-GB"/>
        </w:rPr>
        <w:t>1) (</w:t>
      </w:r>
      <w:r w:rsidRPr="00174309">
        <w:rPr>
          <w:b/>
          <w:bCs/>
          <w:lang w:val="en-GB"/>
        </w:rPr>
        <w:t>d</w:t>
      </w:r>
      <w:r w:rsidR="00814226" w:rsidRPr="00174309">
        <w:rPr>
          <w:b/>
          <w:bCs/>
          <w:lang w:val="en-GB"/>
        </w:rPr>
        <w:t>?</w:t>
      </w:r>
    </w:p>
    <w:p w14:paraId="4B8F4587" w14:textId="49941276" w:rsidR="00403545" w:rsidRPr="00B8639F" w:rsidRDefault="00B8639F" w:rsidP="00B8639F">
      <w:pPr>
        <w:spacing w:after="360" w:line="480" w:lineRule="auto"/>
        <w:ind w:left="720" w:hanging="720"/>
        <w:jc w:val="both"/>
        <w:rPr>
          <w:lang w:val="en-GB"/>
        </w:rPr>
      </w:pPr>
      <w:r>
        <w:rPr>
          <w:lang w:val="en-GB"/>
        </w:rPr>
        <w:t>[24]</w:t>
      </w:r>
      <w:r>
        <w:rPr>
          <w:lang w:val="en-GB"/>
        </w:rPr>
        <w:tab/>
      </w:r>
      <w:r w:rsidR="00447C7C" w:rsidRPr="00B8639F">
        <w:rPr>
          <w:lang w:val="en-GB"/>
        </w:rPr>
        <w:t xml:space="preserve">I accept that this case is distinguishable from the </w:t>
      </w:r>
      <w:r w:rsidR="00447C7C" w:rsidRPr="00B8639F">
        <w:rPr>
          <w:i/>
          <w:iCs/>
          <w:lang w:val="en-GB"/>
        </w:rPr>
        <w:t>Myeni</w:t>
      </w:r>
      <w:r w:rsidR="00447C7C" w:rsidRPr="00B8639F">
        <w:rPr>
          <w:lang w:val="en-GB"/>
        </w:rPr>
        <w:t xml:space="preserve"> case in that there the applicant was a non-profit organisation </w:t>
      </w:r>
      <w:r w:rsidR="00711EBE" w:rsidRPr="00B8639F">
        <w:rPr>
          <w:lang w:val="en-GB"/>
        </w:rPr>
        <w:t xml:space="preserve">and not a creditor. But that does not mean that the third defendant should succeed on this point alone. </w:t>
      </w:r>
    </w:p>
    <w:p w14:paraId="19635249" w14:textId="7C54DF66" w:rsidR="00DC0207" w:rsidRPr="00B8639F" w:rsidRDefault="00B8639F" w:rsidP="00B8639F">
      <w:pPr>
        <w:spacing w:after="360" w:line="480" w:lineRule="auto"/>
        <w:ind w:left="720" w:hanging="720"/>
        <w:jc w:val="both"/>
        <w:rPr>
          <w:lang w:val="en-GB"/>
        </w:rPr>
      </w:pPr>
      <w:r>
        <w:rPr>
          <w:lang w:val="en-GB"/>
        </w:rPr>
        <w:t>[25]</w:t>
      </w:r>
      <w:r>
        <w:rPr>
          <w:lang w:val="en-GB"/>
        </w:rPr>
        <w:tab/>
      </w:r>
      <w:r w:rsidR="0007127E" w:rsidRPr="00B8639F">
        <w:rPr>
          <w:lang w:val="en-GB"/>
        </w:rPr>
        <w:t>T</w:t>
      </w:r>
      <w:r w:rsidR="00A873FE" w:rsidRPr="00B8639F">
        <w:rPr>
          <w:lang w:val="en-GB"/>
        </w:rPr>
        <w:t>hree</w:t>
      </w:r>
      <w:r w:rsidR="0007127E" w:rsidRPr="00B8639F">
        <w:rPr>
          <w:lang w:val="en-GB"/>
        </w:rPr>
        <w:t xml:space="preserve"> arguments </w:t>
      </w:r>
      <w:r w:rsidR="00403545" w:rsidRPr="00B8639F">
        <w:rPr>
          <w:lang w:val="en-GB"/>
        </w:rPr>
        <w:t xml:space="preserve">were advanced by third defendant </w:t>
      </w:r>
      <w:r w:rsidR="0007127E" w:rsidRPr="00B8639F">
        <w:rPr>
          <w:lang w:val="en-GB"/>
        </w:rPr>
        <w:t xml:space="preserve">to argue that creditors do not have </w:t>
      </w:r>
      <w:r w:rsidR="00AB6D0F" w:rsidRPr="00B8639F">
        <w:rPr>
          <w:lang w:val="en-GB"/>
        </w:rPr>
        <w:t xml:space="preserve">standing under section 157(1)(d) to bring an action under section 162. The first argument is based on statutory interpretation. The third defendant argues that </w:t>
      </w:r>
      <w:r w:rsidR="00FB5588" w:rsidRPr="00B8639F">
        <w:rPr>
          <w:lang w:val="en-GB"/>
        </w:rPr>
        <w:t>each successive Companies Act, commencing with the 1926 Companies Act, has created and extended powers to penalise delinquent directors.</w:t>
      </w:r>
      <w:r w:rsidR="008E5BC0" w:rsidRPr="00B8639F">
        <w:rPr>
          <w:lang w:val="en-GB"/>
        </w:rPr>
        <w:t xml:space="preserve"> But while s</w:t>
      </w:r>
      <w:r w:rsidR="00FB5588" w:rsidRPr="00B8639F">
        <w:rPr>
          <w:lang w:val="en-GB"/>
        </w:rPr>
        <w:t xml:space="preserve">ection 162 of the 2008 </w:t>
      </w:r>
      <w:r w:rsidR="00F0017A" w:rsidRPr="00B8639F">
        <w:rPr>
          <w:lang w:val="en-GB"/>
        </w:rPr>
        <w:t>Act</w:t>
      </w:r>
      <w:r w:rsidR="00FB5588" w:rsidRPr="00B8639F">
        <w:rPr>
          <w:lang w:val="en-GB"/>
        </w:rPr>
        <w:t xml:space="preserve"> creates extended standing to a far broader class of persons connected to administration of the company it specifically excluded the class of "creditors" who previously had standing in terms of section 423 of the 1973 Companies Act.</w:t>
      </w:r>
      <w:r w:rsidR="004167D4" w:rsidRPr="00B8639F">
        <w:rPr>
          <w:lang w:val="en-GB"/>
        </w:rPr>
        <w:t xml:space="preserve"> In other words what is argued </w:t>
      </w:r>
      <w:r w:rsidR="004167D4" w:rsidRPr="00B8639F">
        <w:rPr>
          <w:lang w:val="en-GB"/>
        </w:rPr>
        <w:lastRenderedPageBreak/>
        <w:t xml:space="preserve">is that the legislature against this backdrop of history intended to exclude creditors from the </w:t>
      </w:r>
      <w:r w:rsidR="00886354" w:rsidRPr="00B8639F">
        <w:rPr>
          <w:lang w:val="en-GB"/>
        </w:rPr>
        <w:t xml:space="preserve">class of applicants who could apply for disqualification. </w:t>
      </w:r>
    </w:p>
    <w:p w14:paraId="6ECAB7A9" w14:textId="04920888" w:rsidR="00FB5588" w:rsidRPr="00B8639F" w:rsidRDefault="00B8639F" w:rsidP="00B8639F">
      <w:pPr>
        <w:spacing w:after="360" w:line="480" w:lineRule="auto"/>
        <w:ind w:left="720" w:hanging="720"/>
        <w:jc w:val="both"/>
        <w:rPr>
          <w:lang w:val="en-GB"/>
        </w:rPr>
      </w:pPr>
      <w:r>
        <w:rPr>
          <w:lang w:val="en-GB"/>
        </w:rPr>
        <w:t>[26]</w:t>
      </w:r>
      <w:r>
        <w:rPr>
          <w:lang w:val="en-GB"/>
        </w:rPr>
        <w:tab/>
      </w:r>
      <w:r w:rsidR="00886354" w:rsidRPr="00B8639F">
        <w:rPr>
          <w:lang w:val="en-GB"/>
        </w:rPr>
        <w:t>But as counsel for Vantage argues</w:t>
      </w:r>
      <w:r w:rsidR="0043157A" w:rsidRPr="00B8639F">
        <w:rPr>
          <w:lang w:val="en-GB"/>
        </w:rPr>
        <w:t>,</w:t>
      </w:r>
      <w:r w:rsidR="00886354" w:rsidRPr="00B8639F">
        <w:rPr>
          <w:lang w:val="en-GB"/>
        </w:rPr>
        <w:t xml:space="preserve"> this </w:t>
      </w:r>
      <w:r w:rsidR="00060541" w:rsidRPr="00B8639F">
        <w:rPr>
          <w:lang w:val="en-GB"/>
        </w:rPr>
        <w:t xml:space="preserve">assumes that section 162 of the 2008 Act and section 423 </w:t>
      </w:r>
      <w:r w:rsidR="001B5BCA" w:rsidRPr="00B8639F">
        <w:rPr>
          <w:lang w:val="en-GB"/>
        </w:rPr>
        <w:t xml:space="preserve">of its </w:t>
      </w:r>
      <w:r w:rsidR="00390DA9" w:rsidRPr="00B8639F">
        <w:rPr>
          <w:lang w:val="en-GB"/>
        </w:rPr>
        <w:t>predecessor</w:t>
      </w:r>
      <w:r w:rsidR="00922B37" w:rsidRPr="00B8639F">
        <w:rPr>
          <w:lang w:val="en-GB"/>
        </w:rPr>
        <w:t>,</w:t>
      </w:r>
      <w:r w:rsidR="001B5BCA" w:rsidRPr="00B8639F">
        <w:rPr>
          <w:lang w:val="en-GB"/>
        </w:rPr>
        <w:t xml:space="preserve"> serve the same purpose. But</w:t>
      </w:r>
      <w:r w:rsidR="007337B8" w:rsidRPr="00B8639F">
        <w:rPr>
          <w:lang w:val="en-GB"/>
        </w:rPr>
        <w:t xml:space="preserve"> although the latter refers to delinquent directors its </w:t>
      </w:r>
      <w:r w:rsidR="008B6363" w:rsidRPr="00B8639F">
        <w:rPr>
          <w:lang w:val="en-GB"/>
        </w:rPr>
        <w:t xml:space="preserve">purpose is to make the miscreant </w:t>
      </w:r>
      <w:r w:rsidR="00BF258A" w:rsidRPr="00B8639F">
        <w:rPr>
          <w:lang w:val="en-GB"/>
        </w:rPr>
        <w:t xml:space="preserve">director restore assets or </w:t>
      </w:r>
      <w:r w:rsidR="00DE137C" w:rsidRPr="00B8639F">
        <w:rPr>
          <w:lang w:val="en-GB"/>
        </w:rPr>
        <w:t xml:space="preserve">monies to the company. It is clear that this is not analogous to </w:t>
      </w:r>
      <w:r w:rsidR="00306CBA" w:rsidRPr="00B8639F">
        <w:rPr>
          <w:lang w:val="en-GB"/>
        </w:rPr>
        <w:t>the</w:t>
      </w:r>
      <w:r w:rsidR="00DE137C" w:rsidRPr="00B8639F">
        <w:rPr>
          <w:lang w:val="en-GB"/>
        </w:rPr>
        <w:t xml:space="preserve"> remed</w:t>
      </w:r>
      <w:r w:rsidR="001F2A1F" w:rsidRPr="00B8639F">
        <w:rPr>
          <w:lang w:val="en-GB"/>
        </w:rPr>
        <w:t xml:space="preserve">ies consequent on being declared </w:t>
      </w:r>
      <w:r w:rsidR="00322E2B" w:rsidRPr="00B8639F">
        <w:rPr>
          <w:lang w:val="en-GB"/>
        </w:rPr>
        <w:t>a delinquent director in terms of section 162, where the remedies</w:t>
      </w:r>
      <w:r w:rsidR="00E934D6" w:rsidRPr="00B8639F">
        <w:rPr>
          <w:lang w:val="en-GB"/>
        </w:rPr>
        <w:t xml:space="preserve"> provided </w:t>
      </w:r>
      <w:r w:rsidR="00322E2B" w:rsidRPr="00B8639F">
        <w:rPr>
          <w:lang w:val="en-GB"/>
        </w:rPr>
        <w:t>are not</w:t>
      </w:r>
      <w:r w:rsidR="00E934D6" w:rsidRPr="00B8639F">
        <w:rPr>
          <w:lang w:val="en-GB"/>
        </w:rPr>
        <w:t xml:space="preserve"> intended to be</w:t>
      </w:r>
      <w:r w:rsidR="00322E2B" w:rsidRPr="00B8639F">
        <w:rPr>
          <w:lang w:val="en-GB"/>
        </w:rPr>
        <w:t xml:space="preserve"> restorative to the company</w:t>
      </w:r>
      <w:r w:rsidR="00762E53" w:rsidRPr="00B8639F">
        <w:rPr>
          <w:lang w:val="en-GB"/>
        </w:rPr>
        <w:t>. Rather</w:t>
      </w:r>
      <w:r w:rsidR="00F3248B" w:rsidRPr="00B8639F">
        <w:rPr>
          <w:lang w:val="en-GB"/>
        </w:rPr>
        <w:t>,</w:t>
      </w:r>
      <w:r w:rsidR="00762E53" w:rsidRPr="00B8639F">
        <w:rPr>
          <w:lang w:val="en-GB"/>
        </w:rPr>
        <w:t xml:space="preserve"> their intention is to impose </w:t>
      </w:r>
      <w:r w:rsidR="000C32BD" w:rsidRPr="00B8639F">
        <w:rPr>
          <w:lang w:val="en-GB"/>
        </w:rPr>
        <w:t xml:space="preserve">various </w:t>
      </w:r>
      <w:r w:rsidR="00390DA9" w:rsidRPr="00B8639F">
        <w:rPr>
          <w:lang w:val="en-GB"/>
        </w:rPr>
        <w:t>disqualification</w:t>
      </w:r>
      <w:r w:rsidR="000C32BD" w:rsidRPr="00B8639F">
        <w:rPr>
          <w:lang w:val="en-GB"/>
        </w:rPr>
        <w:t>s</w:t>
      </w:r>
      <w:r w:rsidR="004F00D5" w:rsidRPr="00B8639F">
        <w:rPr>
          <w:lang w:val="en-GB"/>
        </w:rPr>
        <w:t xml:space="preserve"> on </w:t>
      </w:r>
      <w:r w:rsidR="00F65DFD" w:rsidRPr="00B8639F">
        <w:rPr>
          <w:lang w:val="en-GB"/>
        </w:rPr>
        <w:t>the person declared delinquent.</w:t>
      </w:r>
      <w:r w:rsidR="008B6363" w:rsidRPr="00B8639F">
        <w:rPr>
          <w:lang w:val="en-GB"/>
        </w:rPr>
        <w:t xml:space="preserve"> </w:t>
      </w:r>
      <w:r w:rsidR="00FF669A" w:rsidRPr="00B8639F">
        <w:rPr>
          <w:lang w:val="en-GB"/>
        </w:rPr>
        <w:t>I do not find that the statutory comparison excludes a creditor from seeking a remedy under section 162.</w:t>
      </w:r>
    </w:p>
    <w:p w14:paraId="17C87E43" w14:textId="493DE725" w:rsidR="00455B4B" w:rsidRPr="00B8639F" w:rsidRDefault="00B8639F" w:rsidP="00B8639F">
      <w:pPr>
        <w:spacing w:after="360" w:line="480" w:lineRule="auto"/>
        <w:ind w:left="720" w:hanging="720"/>
        <w:jc w:val="both"/>
        <w:rPr>
          <w:lang w:val="en-GB"/>
        </w:rPr>
      </w:pPr>
      <w:r>
        <w:rPr>
          <w:lang w:val="en-GB"/>
        </w:rPr>
        <w:t>[27]</w:t>
      </w:r>
      <w:r>
        <w:rPr>
          <w:lang w:val="en-GB"/>
        </w:rPr>
        <w:tab/>
      </w:r>
      <w:r w:rsidR="00F65DFD" w:rsidRPr="00B8639F">
        <w:rPr>
          <w:lang w:val="en-GB"/>
        </w:rPr>
        <w:t xml:space="preserve">The second argument </w:t>
      </w:r>
      <w:r w:rsidR="006B1397" w:rsidRPr="00B8639F">
        <w:rPr>
          <w:lang w:val="en-GB"/>
        </w:rPr>
        <w:t>the</w:t>
      </w:r>
      <w:r w:rsidR="00455B4B" w:rsidRPr="00B8639F">
        <w:rPr>
          <w:lang w:val="en-GB"/>
        </w:rPr>
        <w:t xml:space="preserve"> third defendant </w:t>
      </w:r>
      <w:r w:rsidR="00390DA9" w:rsidRPr="00B8639F">
        <w:rPr>
          <w:lang w:val="en-GB"/>
        </w:rPr>
        <w:t>makes is</w:t>
      </w:r>
      <w:r w:rsidR="00455B4B" w:rsidRPr="00B8639F">
        <w:rPr>
          <w:lang w:val="en-GB"/>
        </w:rPr>
        <w:t xml:space="preserve"> that the amendment is not genuine because a creditor does not have standing to seek disqualification relief. It is not clear on what this contention is based. It would appear that this </w:t>
      </w:r>
      <w:r w:rsidR="00D95F6F" w:rsidRPr="00B8639F">
        <w:rPr>
          <w:lang w:val="en-GB"/>
        </w:rPr>
        <w:t xml:space="preserve">comes from the language in two judgments dealing more generally with the public </w:t>
      </w:r>
      <w:r w:rsidR="00D6731D" w:rsidRPr="00B8639F">
        <w:rPr>
          <w:lang w:val="en-GB"/>
        </w:rPr>
        <w:t>interest. In</w:t>
      </w:r>
      <w:r w:rsidR="00D95F6F" w:rsidRPr="00B8639F">
        <w:rPr>
          <w:lang w:val="en-GB"/>
        </w:rPr>
        <w:t xml:space="preserve"> </w:t>
      </w:r>
      <w:r w:rsidR="00F53589" w:rsidRPr="00B8639F">
        <w:rPr>
          <w:i/>
        </w:rPr>
        <w:t>Ferreira v Levin No </w:t>
      </w:r>
      <w:r w:rsidR="00F53589" w:rsidRPr="00174309">
        <w:t>&amp; </w:t>
      </w:r>
      <w:r w:rsidR="00F53589" w:rsidRPr="00B8639F">
        <w:rPr>
          <w:i/>
        </w:rPr>
        <w:t>Others; Vryenhoek </w:t>
      </w:r>
      <w:r w:rsidR="00F53589" w:rsidRPr="00174309">
        <w:t>&amp; </w:t>
      </w:r>
      <w:r w:rsidR="00F53589" w:rsidRPr="00B8639F">
        <w:rPr>
          <w:i/>
        </w:rPr>
        <w:t>Others v Powell No </w:t>
      </w:r>
      <w:r w:rsidR="00F53589" w:rsidRPr="00174309">
        <w:t>&amp; </w:t>
      </w:r>
      <w:r w:rsidR="00F53589" w:rsidRPr="00B8639F">
        <w:rPr>
          <w:i/>
        </w:rPr>
        <w:t>Others</w:t>
      </w:r>
      <w:r w:rsidR="004011C8" w:rsidRPr="00B8639F">
        <w:rPr>
          <w:i/>
        </w:rPr>
        <w:t xml:space="preserve"> </w:t>
      </w:r>
      <w:r w:rsidR="004011C8" w:rsidRPr="00174309">
        <w:t>and</w:t>
      </w:r>
      <w:r w:rsidR="004D4A4B" w:rsidRPr="00174309">
        <w:t xml:space="preserve"> </w:t>
      </w:r>
      <w:r w:rsidR="004D4A4B" w:rsidRPr="00B8639F">
        <w:rPr>
          <w:i/>
          <w:iCs/>
        </w:rPr>
        <w:t>Lawyers for Human Righ</w:t>
      </w:r>
      <w:r w:rsidR="00397997" w:rsidRPr="00B8639F">
        <w:rPr>
          <w:i/>
          <w:iCs/>
        </w:rPr>
        <w:t>ts</w:t>
      </w:r>
      <w:r w:rsidR="00397997" w:rsidRPr="00174309">
        <w:t xml:space="preserve"> the courts </w:t>
      </w:r>
      <w:r w:rsidR="0064473A" w:rsidRPr="00174309">
        <w:t xml:space="preserve">had to consider </w:t>
      </w:r>
      <w:r w:rsidR="00397997" w:rsidRPr="00174309">
        <w:t xml:space="preserve">whether an assertion by a party that it </w:t>
      </w:r>
      <w:r w:rsidR="0064473A" w:rsidRPr="00174309">
        <w:t>wa</w:t>
      </w:r>
      <w:r w:rsidR="00397997" w:rsidRPr="00174309">
        <w:t xml:space="preserve">s acting in the public interest </w:t>
      </w:r>
      <w:r w:rsidR="0064473A" w:rsidRPr="00174309">
        <w:t>was</w:t>
      </w:r>
      <w:r w:rsidR="00397997" w:rsidRPr="00174309">
        <w:t xml:space="preserve"> genuine. The approaches differed. In </w:t>
      </w:r>
      <w:r w:rsidR="00397997" w:rsidRPr="00B8639F">
        <w:rPr>
          <w:i/>
          <w:iCs/>
        </w:rPr>
        <w:t>Ferreira</w:t>
      </w:r>
      <w:r w:rsidR="00397997" w:rsidRPr="00174309">
        <w:t xml:space="preserve"> the court </w:t>
      </w:r>
      <w:r w:rsidR="006F6D9F" w:rsidRPr="00174309">
        <w:t>said considerations included:</w:t>
      </w:r>
    </w:p>
    <w:p w14:paraId="0F45769D" w14:textId="62D02C51" w:rsidR="006F6D9F" w:rsidRPr="00B8639F" w:rsidRDefault="006F6D9F" w:rsidP="00B8639F">
      <w:pPr>
        <w:spacing w:after="360" w:line="480" w:lineRule="auto"/>
        <w:ind w:left="2160"/>
        <w:jc w:val="both"/>
        <w:rPr>
          <w:lang w:val="en-GB"/>
        </w:rPr>
      </w:pPr>
      <w:r w:rsidRPr="00174309">
        <w:t>“…</w:t>
      </w:r>
      <w:r w:rsidRPr="00B8639F">
        <w:rPr>
          <w:i/>
        </w:rPr>
        <w:t xml:space="preserve">whether there is another reasonable and effective manner in which the challenge can be brought; the nature of the relief sought, and the extent to which it is of general and prospective </w:t>
      </w:r>
      <w:r w:rsidRPr="00B8639F">
        <w:rPr>
          <w:i/>
        </w:rPr>
        <w:lastRenderedPageBreak/>
        <w:t>application; and the range of persons or groups who may be directly or indirectly affected by any order made by the Court and the opportunity that those persons or groups have had to present evidence and argument to the Court</w:t>
      </w:r>
      <w:r w:rsidRPr="00174309">
        <w:t>.</w:t>
      </w:r>
      <w:r w:rsidR="004749F2" w:rsidRPr="00174309">
        <w:t>”</w:t>
      </w:r>
    </w:p>
    <w:p w14:paraId="7898C4F2" w14:textId="778DD692" w:rsidR="00455B4B" w:rsidRPr="00B8639F" w:rsidRDefault="00B8639F" w:rsidP="00B8639F">
      <w:pPr>
        <w:spacing w:after="360" w:line="480" w:lineRule="auto"/>
        <w:ind w:left="720" w:hanging="720"/>
        <w:jc w:val="both"/>
        <w:rPr>
          <w:i/>
          <w:iCs/>
          <w:lang w:val="en-GB"/>
        </w:rPr>
      </w:pPr>
      <w:r>
        <w:rPr>
          <w:lang w:val="en-GB"/>
        </w:rPr>
        <w:t>[28]</w:t>
      </w:r>
      <w:r>
        <w:rPr>
          <w:lang w:val="en-GB"/>
        </w:rPr>
        <w:tab/>
      </w:r>
      <w:r w:rsidR="004749F2" w:rsidRPr="00B8639F">
        <w:rPr>
          <w:lang w:val="en-GB"/>
        </w:rPr>
        <w:t xml:space="preserve">In </w:t>
      </w:r>
      <w:r w:rsidR="004749F2" w:rsidRPr="00B8639F">
        <w:rPr>
          <w:i/>
          <w:iCs/>
          <w:lang w:val="en-GB"/>
        </w:rPr>
        <w:t>Lawyers for Human Rights</w:t>
      </w:r>
      <w:r w:rsidR="004749F2" w:rsidRPr="00B8639F">
        <w:rPr>
          <w:lang w:val="en-GB"/>
        </w:rPr>
        <w:t xml:space="preserve"> the approach to genuineness was to make a distinction between</w:t>
      </w:r>
      <w:r>
        <w:rPr>
          <w:lang w:val="en-GB"/>
        </w:rPr>
        <w:t>:</w:t>
      </w:r>
    </w:p>
    <w:p w14:paraId="28049C67" w14:textId="02345FAD" w:rsidR="00FA5AB4" w:rsidRPr="00174309" w:rsidRDefault="00B8639F" w:rsidP="00B8639F">
      <w:pPr>
        <w:pStyle w:val="NormalWeb"/>
        <w:shd w:val="clear" w:color="auto" w:fill="FFFFFF"/>
        <w:spacing w:before="144" w:beforeAutospacing="0" w:after="360" w:afterAutospacing="0" w:line="480" w:lineRule="auto"/>
        <w:ind w:left="2880"/>
        <w:jc w:val="both"/>
        <w:rPr>
          <w:rFonts w:ascii="Arial" w:hAnsi="Arial" w:cs="Arial"/>
          <w:i/>
          <w:iCs w:val="0"/>
        </w:rPr>
      </w:pPr>
      <w:r>
        <w:rPr>
          <w:rFonts w:ascii="Arial" w:hAnsi="Arial" w:cs="Arial"/>
          <w:i/>
        </w:rPr>
        <w:t>“</w:t>
      </w:r>
      <w:r w:rsidR="00FA5AB4" w:rsidRPr="00174309">
        <w:rPr>
          <w:rFonts w:ascii="Arial" w:hAnsi="Arial" w:cs="Arial"/>
          <w:i/>
        </w:rPr>
        <w:t>(</w:t>
      </w:r>
      <w:r w:rsidR="00A945F2" w:rsidRPr="00174309">
        <w:rPr>
          <w:rFonts w:ascii="Arial" w:hAnsi="Arial" w:cs="Arial"/>
          <w:i/>
        </w:rPr>
        <w:t>…) t</w:t>
      </w:r>
      <w:r w:rsidR="00FA5AB4" w:rsidRPr="00174309">
        <w:rPr>
          <w:rFonts w:ascii="Arial" w:hAnsi="Arial" w:cs="Arial"/>
          <w:i/>
        </w:rPr>
        <w:t>he subjective position of the person or organisation claiming to act in the public interest on the one hand, and whether it is, objectively speaking, in the public interest for the particular proceedings to be brought. It is ordinarily not in the public interest for proceedings to be brought in the abstract. But this is not an invariable principle. There may be circumstances in which it will be in the public interest to bring proceedings even if there is no live case. The factors set out by O'Regan J help to determine this question. The list of relevant factors is not closed. I would add that the degree of vulnerability of the people affected, the nature of the right said to be infringed, as well as the consequences of the infringement of the right are also important in the analysis."</w:t>
      </w:r>
    </w:p>
    <w:p w14:paraId="29D69450" w14:textId="597063F8" w:rsidR="00FA5AB4" w:rsidRPr="00B8639F" w:rsidRDefault="00B8639F" w:rsidP="00B8639F">
      <w:pPr>
        <w:spacing w:after="360" w:line="480" w:lineRule="auto"/>
        <w:ind w:left="720" w:hanging="720"/>
        <w:jc w:val="both"/>
        <w:rPr>
          <w:i/>
          <w:iCs/>
          <w:lang w:val="en-GB"/>
        </w:rPr>
      </w:pPr>
      <w:r>
        <w:rPr>
          <w:lang w:val="en-GB"/>
        </w:rPr>
        <w:t>[29]</w:t>
      </w:r>
      <w:r>
        <w:rPr>
          <w:lang w:val="en-GB"/>
        </w:rPr>
        <w:tab/>
      </w:r>
      <w:r w:rsidR="00181DFB" w:rsidRPr="00B8639F">
        <w:rPr>
          <w:lang w:val="en-GB"/>
        </w:rPr>
        <w:t xml:space="preserve">The third defendant seeking to invoke the approach in </w:t>
      </w:r>
      <w:r w:rsidR="00181DFB" w:rsidRPr="00B8639F">
        <w:rPr>
          <w:i/>
          <w:iCs/>
          <w:lang w:val="en-GB"/>
        </w:rPr>
        <w:t xml:space="preserve">Ferrreira </w:t>
      </w:r>
      <w:r w:rsidR="00181DFB" w:rsidRPr="00B8639F">
        <w:rPr>
          <w:lang w:val="en-GB"/>
        </w:rPr>
        <w:t xml:space="preserve">argued that </w:t>
      </w:r>
      <w:r w:rsidR="00116E4A" w:rsidRPr="00B8639F">
        <w:rPr>
          <w:lang w:val="en-GB"/>
        </w:rPr>
        <w:t xml:space="preserve">there are other bodies which could bring the application for disqualification such as the Commission or the Panel and hence there is no need for a creditor to do </w:t>
      </w:r>
      <w:r w:rsidR="00116E4A" w:rsidRPr="00B8639F">
        <w:rPr>
          <w:lang w:val="en-GB"/>
        </w:rPr>
        <w:lastRenderedPageBreak/>
        <w:t xml:space="preserve">so. </w:t>
      </w:r>
      <w:r w:rsidR="00C75D8C" w:rsidRPr="00B8639F">
        <w:rPr>
          <w:lang w:val="en-GB"/>
        </w:rPr>
        <w:t xml:space="preserve"> But the fact that another body may also have the right to bring such an application and that such a body may be regarded</w:t>
      </w:r>
      <w:r w:rsidR="00812486" w:rsidRPr="00B8639F">
        <w:rPr>
          <w:lang w:val="en-GB"/>
        </w:rPr>
        <w:t>,</w:t>
      </w:r>
      <w:r w:rsidR="00C75D8C" w:rsidRPr="00B8639F">
        <w:rPr>
          <w:lang w:val="en-GB"/>
        </w:rPr>
        <w:t xml:space="preserve"> as with the Commission or the Panel</w:t>
      </w:r>
      <w:r w:rsidR="00342963" w:rsidRPr="00B8639F">
        <w:rPr>
          <w:lang w:val="en-GB"/>
        </w:rPr>
        <w:t>,</w:t>
      </w:r>
      <w:r w:rsidR="00C75D8C" w:rsidRPr="00B8639F">
        <w:rPr>
          <w:lang w:val="en-GB"/>
        </w:rPr>
        <w:t xml:space="preserve"> as a repository of the public interest</w:t>
      </w:r>
      <w:r w:rsidR="00342963" w:rsidRPr="00B8639F">
        <w:rPr>
          <w:lang w:val="en-GB"/>
        </w:rPr>
        <w:t>,</w:t>
      </w:r>
      <w:r w:rsidR="00C75D8C" w:rsidRPr="00B8639F">
        <w:rPr>
          <w:lang w:val="en-GB"/>
        </w:rPr>
        <w:t xml:space="preserve"> does not exclude a private party seeking to </w:t>
      </w:r>
      <w:r w:rsidR="0031469F" w:rsidRPr="00B8639F">
        <w:rPr>
          <w:lang w:val="en-GB"/>
        </w:rPr>
        <w:t xml:space="preserve">act in this capacity as well. </w:t>
      </w:r>
      <w:r w:rsidR="005C083B" w:rsidRPr="00B8639F">
        <w:rPr>
          <w:lang w:val="en-GB"/>
        </w:rPr>
        <w:t xml:space="preserve"> There is no suggestion that this right is exclusive to these parties and cannot be exercised by any other party. Clearly if one of </w:t>
      </w:r>
      <w:r w:rsidR="00BD7A51" w:rsidRPr="00B8639F">
        <w:rPr>
          <w:lang w:val="en-GB"/>
        </w:rPr>
        <w:t>these</w:t>
      </w:r>
      <w:r w:rsidR="005C083B" w:rsidRPr="00B8639F">
        <w:rPr>
          <w:lang w:val="en-GB"/>
        </w:rPr>
        <w:t xml:space="preserve"> parties chose to do so</w:t>
      </w:r>
      <w:r w:rsidR="00BD7A51" w:rsidRPr="00B8639F">
        <w:rPr>
          <w:lang w:val="en-GB"/>
        </w:rPr>
        <w:t>,</w:t>
      </w:r>
      <w:r w:rsidR="005C083B" w:rsidRPr="00B8639F">
        <w:rPr>
          <w:lang w:val="en-GB"/>
        </w:rPr>
        <w:t xml:space="preserve"> the court in exercising its </w:t>
      </w:r>
      <w:r w:rsidR="00E51BFB" w:rsidRPr="00B8639F">
        <w:rPr>
          <w:lang w:val="en-GB"/>
        </w:rPr>
        <w:t>discretion</w:t>
      </w:r>
      <w:r w:rsidR="005C083B" w:rsidRPr="00B8639F">
        <w:rPr>
          <w:lang w:val="en-GB"/>
        </w:rPr>
        <w:t xml:space="preserve"> to grant leave</w:t>
      </w:r>
      <w:r w:rsidR="00B71328">
        <w:rPr>
          <w:lang w:val="en-GB"/>
        </w:rPr>
        <w:t>,</w:t>
      </w:r>
      <w:r w:rsidR="005C083B" w:rsidRPr="00B8639F">
        <w:rPr>
          <w:lang w:val="en-GB"/>
        </w:rPr>
        <w:t xml:space="preserve"> </w:t>
      </w:r>
      <w:r w:rsidR="00BD7A51" w:rsidRPr="00B8639F">
        <w:rPr>
          <w:lang w:val="en-GB"/>
        </w:rPr>
        <w:t>could</w:t>
      </w:r>
      <w:r w:rsidR="005C083B" w:rsidRPr="00B8639F">
        <w:rPr>
          <w:lang w:val="en-GB"/>
        </w:rPr>
        <w:t xml:space="preserve"> take this factor into account. But that is not a justification for refusing </w:t>
      </w:r>
      <w:r w:rsidR="00DA511E" w:rsidRPr="00B8639F">
        <w:rPr>
          <w:lang w:val="en-GB"/>
        </w:rPr>
        <w:t>a party such as a creditor from applying for leave</w:t>
      </w:r>
      <w:r w:rsidR="00B0666C" w:rsidRPr="00B8639F">
        <w:rPr>
          <w:lang w:val="en-GB"/>
        </w:rPr>
        <w:t xml:space="preserve"> to act in the public interest. Moreover</w:t>
      </w:r>
      <w:r w:rsidR="007567F7" w:rsidRPr="00B8639F">
        <w:rPr>
          <w:lang w:val="en-GB"/>
        </w:rPr>
        <w:t>,</w:t>
      </w:r>
      <w:r w:rsidR="00B0666C" w:rsidRPr="00B8639F">
        <w:rPr>
          <w:lang w:val="en-GB"/>
        </w:rPr>
        <w:t xml:space="preserve"> t</w:t>
      </w:r>
      <w:r w:rsidR="00B74CF8" w:rsidRPr="00B8639F">
        <w:rPr>
          <w:lang w:val="en-GB"/>
        </w:rPr>
        <w:t xml:space="preserve">here is no indication that any of these bodies is seeking to act in terms of section </w:t>
      </w:r>
      <w:r w:rsidR="00494788" w:rsidRPr="00B8639F">
        <w:rPr>
          <w:lang w:val="en-GB"/>
        </w:rPr>
        <w:t>162(2)</w:t>
      </w:r>
      <w:r w:rsidR="00B0666C" w:rsidRPr="00B8639F">
        <w:rPr>
          <w:lang w:val="en-GB"/>
        </w:rPr>
        <w:t xml:space="preserve"> in this particular case</w:t>
      </w:r>
      <w:r w:rsidR="00494788" w:rsidRPr="00B8639F">
        <w:rPr>
          <w:lang w:val="en-GB"/>
        </w:rPr>
        <w:t xml:space="preserve">. Vantage has pleaded a case to indicate why it is uniquely placed to do so </w:t>
      </w:r>
      <w:r w:rsidR="004175F7" w:rsidRPr="00B8639F">
        <w:rPr>
          <w:lang w:val="en-GB"/>
        </w:rPr>
        <w:t>because the actions it seeks to rely on</w:t>
      </w:r>
      <w:r w:rsidR="00B71328">
        <w:rPr>
          <w:lang w:val="en-GB"/>
        </w:rPr>
        <w:t>,</w:t>
      </w:r>
      <w:r w:rsidR="004175F7" w:rsidRPr="00B8639F">
        <w:rPr>
          <w:lang w:val="en-GB"/>
        </w:rPr>
        <w:t xml:space="preserve"> involve its interactions with the defendants </w:t>
      </w:r>
      <w:r w:rsidR="004175F7" w:rsidRPr="00B8639F">
        <w:rPr>
          <w:i/>
          <w:iCs/>
          <w:lang w:val="en-GB"/>
        </w:rPr>
        <w:t>qua</w:t>
      </w:r>
      <w:r w:rsidR="004175F7" w:rsidRPr="00B8639F">
        <w:rPr>
          <w:lang w:val="en-GB"/>
        </w:rPr>
        <w:t xml:space="preserve"> creditor. </w:t>
      </w:r>
    </w:p>
    <w:p w14:paraId="23EBD158" w14:textId="1F5C7BEB" w:rsidR="00496A41" w:rsidRPr="00B8639F" w:rsidRDefault="00B8639F" w:rsidP="00B8639F">
      <w:pPr>
        <w:spacing w:after="360" w:line="480" w:lineRule="auto"/>
        <w:ind w:left="720" w:hanging="720"/>
        <w:jc w:val="both"/>
        <w:rPr>
          <w:i/>
          <w:iCs/>
          <w:lang w:val="en-GB"/>
        </w:rPr>
      </w:pPr>
      <w:r>
        <w:rPr>
          <w:lang w:val="en-GB"/>
        </w:rPr>
        <w:t>[30]</w:t>
      </w:r>
      <w:r>
        <w:rPr>
          <w:lang w:val="en-GB"/>
        </w:rPr>
        <w:tab/>
      </w:r>
      <w:r w:rsidR="007A48EB" w:rsidRPr="00B8639F">
        <w:rPr>
          <w:lang w:val="en-GB"/>
        </w:rPr>
        <w:t xml:space="preserve">The third argument was that the danger of giving the creditor such standing </w:t>
      </w:r>
      <w:r w:rsidR="0065420A" w:rsidRPr="00B8639F">
        <w:rPr>
          <w:lang w:val="en-GB"/>
        </w:rPr>
        <w:t xml:space="preserve">was that it could use the threat of a delinquency declaration </w:t>
      </w:r>
      <w:r w:rsidR="0085481D" w:rsidRPr="00B8639F">
        <w:rPr>
          <w:lang w:val="en-GB"/>
        </w:rPr>
        <w:t xml:space="preserve">to squeeze the </w:t>
      </w:r>
      <w:r w:rsidR="009572D5" w:rsidRPr="00B8639F">
        <w:rPr>
          <w:lang w:val="en-GB"/>
        </w:rPr>
        <w:t>proverbial</w:t>
      </w:r>
      <w:r w:rsidR="0085481D" w:rsidRPr="00B8639F">
        <w:rPr>
          <w:lang w:val="en-GB"/>
        </w:rPr>
        <w:t xml:space="preserve"> </w:t>
      </w:r>
      <w:r w:rsidR="0085481D" w:rsidRPr="00B8639F">
        <w:rPr>
          <w:i/>
          <w:lang w:val="en-GB"/>
        </w:rPr>
        <w:t xml:space="preserve">few extra bob </w:t>
      </w:r>
      <w:r w:rsidR="0085481D" w:rsidRPr="00B8639F">
        <w:rPr>
          <w:lang w:val="en-GB"/>
        </w:rPr>
        <w:t xml:space="preserve">out of the directors and hence is not genuine </w:t>
      </w:r>
      <w:r w:rsidR="00E67083" w:rsidRPr="00B8639F">
        <w:rPr>
          <w:lang w:val="en-GB"/>
        </w:rPr>
        <w:t xml:space="preserve">but opportunistic. </w:t>
      </w:r>
    </w:p>
    <w:p w14:paraId="1116AD09" w14:textId="557704F8" w:rsidR="00116E4A" w:rsidRPr="00B8639F" w:rsidRDefault="00B8639F" w:rsidP="00B8639F">
      <w:pPr>
        <w:spacing w:after="360" w:line="480" w:lineRule="auto"/>
        <w:ind w:left="720" w:hanging="720"/>
        <w:jc w:val="both"/>
        <w:rPr>
          <w:i/>
          <w:iCs/>
          <w:lang w:val="en-GB"/>
        </w:rPr>
      </w:pPr>
      <w:r>
        <w:rPr>
          <w:lang w:val="en-GB"/>
        </w:rPr>
        <w:t>[31]</w:t>
      </w:r>
      <w:r>
        <w:rPr>
          <w:lang w:val="en-GB"/>
        </w:rPr>
        <w:tab/>
      </w:r>
      <w:r w:rsidR="00E67083" w:rsidRPr="00B8639F">
        <w:rPr>
          <w:lang w:val="en-GB"/>
        </w:rPr>
        <w:t xml:space="preserve">There may be validity to arguments </w:t>
      </w:r>
      <w:r w:rsidR="00B42764" w:rsidRPr="00B8639F">
        <w:rPr>
          <w:lang w:val="en-GB"/>
        </w:rPr>
        <w:t>around genuine</w:t>
      </w:r>
      <w:r w:rsidR="009D7700" w:rsidRPr="00B8639F">
        <w:rPr>
          <w:lang w:val="en-GB"/>
        </w:rPr>
        <w:t>ness</w:t>
      </w:r>
      <w:r w:rsidR="00B42764" w:rsidRPr="00B8639F">
        <w:rPr>
          <w:lang w:val="en-GB"/>
        </w:rPr>
        <w:t xml:space="preserve"> in</w:t>
      </w:r>
      <w:r w:rsidR="00E67083" w:rsidRPr="00B8639F">
        <w:rPr>
          <w:lang w:val="en-GB"/>
        </w:rPr>
        <w:t xml:space="preserve"> some cases</w:t>
      </w:r>
      <w:r w:rsidR="00CD10CF" w:rsidRPr="00B8639F">
        <w:rPr>
          <w:lang w:val="en-GB"/>
        </w:rPr>
        <w:t xml:space="preserve">. But it does not follow that this applies in every case where a creditor seeks leave under section 157(1)(d). There may be no other party willing to vindicate the public interest. </w:t>
      </w:r>
      <w:r w:rsidR="0019390C" w:rsidRPr="00B8639F">
        <w:rPr>
          <w:lang w:val="en-GB"/>
        </w:rPr>
        <w:t>Nor does it automatically follow that because a creditor is also suing the directors at the same time for damages</w:t>
      </w:r>
      <w:r w:rsidR="003C22AC" w:rsidRPr="00B8639F">
        <w:rPr>
          <w:lang w:val="en-GB"/>
        </w:rPr>
        <w:t>,</w:t>
      </w:r>
      <w:r w:rsidR="0019390C" w:rsidRPr="00B8639F">
        <w:rPr>
          <w:lang w:val="en-GB"/>
        </w:rPr>
        <w:t xml:space="preserve"> as well as seeking </w:t>
      </w:r>
      <w:r w:rsidR="003D71BF" w:rsidRPr="00B8639F">
        <w:rPr>
          <w:lang w:val="en-GB"/>
        </w:rPr>
        <w:t>a delinquency declaration</w:t>
      </w:r>
      <w:r w:rsidR="003C22AC" w:rsidRPr="00B8639F">
        <w:rPr>
          <w:lang w:val="en-GB"/>
        </w:rPr>
        <w:t>,</w:t>
      </w:r>
      <w:r w:rsidR="0019390C" w:rsidRPr="00B8639F">
        <w:rPr>
          <w:lang w:val="en-GB"/>
        </w:rPr>
        <w:t xml:space="preserve"> that </w:t>
      </w:r>
      <w:r w:rsidR="0042774A" w:rsidRPr="00B8639F">
        <w:rPr>
          <w:lang w:val="en-GB"/>
        </w:rPr>
        <w:t>they must be acting cynically and opportunistically. That will depend on the facts of each case. I</w:t>
      </w:r>
      <w:r w:rsidR="001B563D" w:rsidRPr="00B8639F">
        <w:rPr>
          <w:lang w:val="en-GB"/>
        </w:rPr>
        <w:t>n</w:t>
      </w:r>
      <w:r w:rsidR="0042774A" w:rsidRPr="00B8639F">
        <w:rPr>
          <w:lang w:val="en-GB"/>
        </w:rPr>
        <w:t xml:space="preserve"> this case Vantage has advanced arguments for why it is acting in the public interest. </w:t>
      </w:r>
      <w:r w:rsidR="0042774A" w:rsidRPr="00B8639F">
        <w:rPr>
          <w:lang w:val="en-GB"/>
        </w:rPr>
        <w:lastRenderedPageBreak/>
        <w:t xml:space="preserve">These can be tested </w:t>
      </w:r>
      <w:r w:rsidR="00EF535D" w:rsidRPr="00B8639F">
        <w:rPr>
          <w:lang w:val="en-GB"/>
        </w:rPr>
        <w:t xml:space="preserve">if challenged but they are not a basis for so extreme a finding that a creditor can never </w:t>
      </w:r>
      <w:r w:rsidR="000621B6" w:rsidRPr="00B8639F">
        <w:rPr>
          <w:lang w:val="en-GB"/>
        </w:rPr>
        <w:t xml:space="preserve">be </w:t>
      </w:r>
      <w:r w:rsidR="003C22AC" w:rsidRPr="00B8639F">
        <w:rPr>
          <w:lang w:val="en-GB"/>
        </w:rPr>
        <w:t xml:space="preserve">a </w:t>
      </w:r>
      <w:r w:rsidR="000621B6" w:rsidRPr="00B8639F">
        <w:rPr>
          <w:lang w:val="en-GB"/>
        </w:rPr>
        <w:t>genuine applicant to vindicate the public interest</w:t>
      </w:r>
      <w:r w:rsidR="001B563D" w:rsidRPr="00B8639F">
        <w:rPr>
          <w:lang w:val="en-GB"/>
        </w:rPr>
        <w:t xml:space="preserve"> and hence </w:t>
      </w:r>
      <w:r w:rsidR="00161A28" w:rsidRPr="00B8639F">
        <w:rPr>
          <w:lang w:val="en-GB"/>
        </w:rPr>
        <w:t>as a</w:t>
      </w:r>
      <w:r w:rsidR="001B563D" w:rsidRPr="00B8639F">
        <w:rPr>
          <w:lang w:val="en-GB"/>
        </w:rPr>
        <w:t xml:space="preserve"> ground of exception the amendment should be denied</w:t>
      </w:r>
      <w:r w:rsidR="000621B6" w:rsidRPr="00B8639F">
        <w:rPr>
          <w:lang w:val="en-GB"/>
        </w:rPr>
        <w:t>.</w:t>
      </w:r>
    </w:p>
    <w:p w14:paraId="47A2A572" w14:textId="2DF3FF5A" w:rsidR="00B82927" w:rsidRPr="00B8639F" w:rsidRDefault="00B8639F" w:rsidP="00B8639F">
      <w:pPr>
        <w:spacing w:after="360" w:line="480" w:lineRule="auto"/>
        <w:ind w:left="720" w:hanging="720"/>
        <w:jc w:val="both"/>
        <w:rPr>
          <w:i/>
          <w:iCs/>
          <w:lang w:val="en-GB"/>
        </w:rPr>
      </w:pPr>
      <w:r>
        <w:rPr>
          <w:lang w:val="en-GB"/>
        </w:rPr>
        <w:t>[32]</w:t>
      </w:r>
      <w:r>
        <w:rPr>
          <w:lang w:val="en-GB"/>
        </w:rPr>
        <w:tab/>
      </w:r>
      <w:r w:rsidR="00B82927" w:rsidRPr="00B8639F">
        <w:rPr>
          <w:lang w:val="en-GB"/>
        </w:rPr>
        <w:t>Finally</w:t>
      </w:r>
      <w:r w:rsidR="000C76E8" w:rsidRPr="00B8639F">
        <w:rPr>
          <w:lang w:val="en-GB"/>
        </w:rPr>
        <w:t>,</w:t>
      </w:r>
      <w:r w:rsidR="00B82927" w:rsidRPr="00B8639F">
        <w:rPr>
          <w:lang w:val="en-GB"/>
        </w:rPr>
        <w:t xml:space="preserve"> an argument was made based on traditional company law that </w:t>
      </w:r>
      <w:r w:rsidR="008128AC" w:rsidRPr="00B8639F">
        <w:rPr>
          <w:lang w:val="en-GB"/>
        </w:rPr>
        <w:t>compan</w:t>
      </w:r>
      <w:r w:rsidR="004705FB" w:rsidRPr="00B8639F">
        <w:rPr>
          <w:lang w:val="en-GB"/>
        </w:rPr>
        <w:t>y directors owe no duty to creditors. As authority for this reliance was placed on a recent judgment</w:t>
      </w:r>
      <w:r w:rsidR="00E847F6" w:rsidRPr="00B8639F">
        <w:rPr>
          <w:lang w:val="en-GB"/>
        </w:rPr>
        <w:t xml:space="preserve"> in</w:t>
      </w:r>
      <w:r w:rsidR="004705FB" w:rsidRPr="00B8639F">
        <w:rPr>
          <w:lang w:val="en-GB"/>
        </w:rPr>
        <w:t xml:space="preserve"> </w:t>
      </w:r>
      <w:r w:rsidR="008D3480" w:rsidRPr="00B8639F">
        <w:rPr>
          <w:i/>
          <w:iCs/>
          <w:lang w:val="en-GB"/>
        </w:rPr>
        <w:t xml:space="preserve">BTI 2014 </w:t>
      </w:r>
      <w:r w:rsidR="00CF36C9" w:rsidRPr="00B8639F">
        <w:rPr>
          <w:i/>
          <w:iCs/>
          <w:lang w:val="en-GB"/>
        </w:rPr>
        <w:t>LLC v</w:t>
      </w:r>
      <w:r w:rsidR="008D3480" w:rsidRPr="00B8639F">
        <w:rPr>
          <w:i/>
          <w:iCs/>
          <w:lang w:val="en-GB"/>
        </w:rPr>
        <w:t xml:space="preserve"> Sequana SA and others</w:t>
      </w:r>
      <w:r w:rsidR="00E847F6" w:rsidRPr="00B8639F">
        <w:rPr>
          <w:i/>
          <w:iCs/>
          <w:lang w:val="en-GB"/>
        </w:rPr>
        <w:t>,</w:t>
      </w:r>
      <w:r w:rsidR="008D3480" w:rsidRPr="00B8639F">
        <w:rPr>
          <w:i/>
          <w:iCs/>
          <w:lang w:val="en-GB"/>
        </w:rPr>
        <w:t xml:space="preserve"> </w:t>
      </w:r>
      <w:r w:rsidR="004705FB" w:rsidRPr="00B8639F">
        <w:rPr>
          <w:lang w:val="en-GB"/>
        </w:rPr>
        <w:t xml:space="preserve">by Lord Reid in the United Kingdom’s Supreme </w:t>
      </w:r>
      <w:r w:rsidR="00E847F6" w:rsidRPr="00B8639F">
        <w:rPr>
          <w:lang w:val="en-GB"/>
        </w:rPr>
        <w:t>C</w:t>
      </w:r>
      <w:r w:rsidR="004705FB" w:rsidRPr="00B8639F">
        <w:rPr>
          <w:lang w:val="en-GB"/>
        </w:rPr>
        <w:t>ourt where he stated that the traditional approach was:</w:t>
      </w:r>
    </w:p>
    <w:p w14:paraId="4D203AC2" w14:textId="2C43020E" w:rsidR="000C76E8" w:rsidRPr="00825274" w:rsidRDefault="00E847F6" w:rsidP="00825274">
      <w:pPr>
        <w:spacing w:after="360" w:line="480" w:lineRule="auto"/>
        <w:ind w:left="2160"/>
        <w:jc w:val="both"/>
        <w:rPr>
          <w:i/>
          <w:iCs/>
          <w:lang w:val="en-GB"/>
        </w:rPr>
      </w:pPr>
      <w:r w:rsidRPr="00825274">
        <w:rPr>
          <w:i/>
          <w:iCs/>
          <w:color w:val="000000"/>
        </w:rPr>
        <w:t>“</w:t>
      </w:r>
      <w:r w:rsidR="000C76E8" w:rsidRPr="00825274">
        <w:rPr>
          <w:i/>
          <w:iCs/>
          <w:color w:val="000000"/>
        </w:rPr>
        <w:t>It is firmly established that the directors of a company do not owe any duty to its creditors, absent special circumstances giving rise to such a dut</w:t>
      </w:r>
      <w:r w:rsidR="00CF36C9" w:rsidRPr="00825274">
        <w:rPr>
          <w:i/>
          <w:iCs/>
          <w:color w:val="000000"/>
        </w:rPr>
        <w:t>y…”</w:t>
      </w:r>
      <w:r w:rsidR="004705FB" w:rsidRPr="00825274">
        <w:rPr>
          <w:i/>
          <w:iCs/>
          <w:color w:val="000000"/>
        </w:rPr>
        <w:t>:</w:t>
      </w:r>
      <w:r w:rsidR="002F345A" w:rsidRPr="00174309">
        <w:rPr>
          <w:rStyle w:val="FootnoteReference"/>
          <w:i/>
          <w:iCs/>
          <w:color w:val="000000"/>
        </w:rPr>
        <w:footnoteReference w:id="13"/>
      </w:r>
    </w:p>
    <w:p w14:paraId="26197E77" w14:textId="5BC6F08A" w:rsidR="004705FB" w:rsidRPr="00825274" w:rsidRDefault="00825274" w:rsidP="00825274">
      <w:pPr>
        <w:spacing w:after="360" w:line="480" w:lineRule="auto"/>
        <w:ind w:left="720" w:hanging="720"/>
        <w:jc w:val="both"/>
        <w:rPr>
          <w:i/>
          <w:iCs/>
          <w:lang w:val="en-GB"/>
        </w:rPr>
      </w:pPr>
      <w:r>
        <w:rPr>
          <w:lang w:val="en-GB"/>
        </w:rPr>
        <w:t>[33]</w:t>
      </w:r>
      <w:r>
        <w:rPr>
          <w:lang w:val="en-GB"/>
        </w:rPr>
        <w:tab/>
      </w:r>
      <w:r w:rsidR="004705FB" w:rsidRPr="00825274">
        <w:rPr>
          <w:lang w:val="en-GB"/>
        </w:rPr>
        <w:t>However</w:t>
      </w:r>
      <w:r w:rsidR="00120550" w:rsidRPr="00825274">
        <w:rPr>
          <w:lang w:val="en-GB"/>
        </w:rPr>
        <w:t>,</w:t>
      </w:r>
      <w:r w:rsidR="004705FB" w:rsidRPr="00825274">
        <w:rPr>
          <w:lang w:val="en-GB"/>
        </w:rPr>
        <w:t xml:space="preserve"> Lord Reid in this passage is doing no more than discuss what the traditional approach was. He goes on in his judgment to take a more eco</w:t>
      </w:r>
      <w:r w:rsidR="00775ABE" w:rsidRPr="00825274">
        <w:rPr>
          <w:lang w:val="en-GB"/>
        </w:rPr>
        <w:t>nomic approach which leads him to a different conclusion. Thus</w:t>
      </w:r>
      <w:r w:rsidR="005F1132" w:rsidRPr="00825274">
        <w:rPr>
          <w:lang w:val="en-GB"/>
        </w:rPr>
        <w:t>,</w:t>
      </w:r>
      <w:r w:rsidR="00775ABE" w:rsidRPr="00825274">
        <w:rPr>
          <w:lang w:val="en-GB"/>
        </w:rPr>
        <w:t xml:space="preserve"> in relation to </w:t>
      </w:r>
      <w:r w:rsidR="007F1B44" w:rsidRPr="00825274">
        <w:rPr>
          <w:lang w:val="en-GB"/>
        </w:rPr>
        <w:t>changing nature of a company’s interests depends on commercial cir</w:t>
      </w:r>
      <w:r w:rsidR="00C94D2E" w:rsidRPr="00825274">
        <w:rPr>
          <w:lang w:val="en-GB"/>
        </w:rPr>
        <w:t>cumstances as the following passage illustrates:</w:t>
      </w:r>
    </w:p>
    <w:p w14:paraId="428B4FE0" w14:textId="79253719" w:rsidR="00120550" w:rsidRPr="00B71328" w:rsidRDefault="00C94D2E" w:rsidP="00825274">
      <w:pPr>
        <w:spacing w:after="360" w:line="480" w:lineRule="auto"/>
        <w:ind w:left="2160"/>
        <w:jc w:val="both"/>
        <w:rPr>
          <w:color w:val="000000"/>
          <w:u w:val="double"/>
        </w:rPr>
      </w:pPr>
      <w:r w:rsidRPr="00825274">
        <w:rPr>
          <w:i/>
          <w:iCs/>
          <w:color w:val="000000"/>
        </w:rPr>
        <w:t>“</w:t>
      </w:r>
      <w:r w:rsidR="00120550" w:rsidRPr="00825274">
        <w:rPr>
          <w:i/>
          <w:iCs/>
          <w:color w:val="000000"/>
        </w:rPr>
        <w:t xml:space="preserve">The treatment of the company's interests as equivalent to the shareholders’ interests can therefore be regarded as justifiable while the company is financially stable, since it results in the directors being under a duty to manage the company in the interests of those who primarily bear the commercial risks which </w:t>
      </w:r>
      <w:r w:rsidR="00120550" w:rsidRPr="00825274">
        <w:rPr>
          <w:i/>
          <w:iCs/>
          <w:color w:val="000000"/>
        </w:rPr>
        <w:lastRenderedPageBreak/>
        <w:t xml:space="preserve">the directors undertake; and, as explained in para 47 above, creditors are also protected. But that ceases to be true when the company is insolvent or nearing insolvency. To treat the company's interests as equivalent to the shareholders' interests in that situation encourages the taking of commercial risks which are borne primarily not by the shareholders but by the creditors, who will recover less in a winding up if the company's assets have been diminished or if it has taken on additional liabilities. </w:t>
      </w:r>
      <w:r w:rsidR="00120550" w:rsidRPr="00825274">
        <w:rPr>
          <w:i/>
          <w:iCs/>
          <w:color w:val="000000"/>
          <w:u w:val="single"/>
        </w:rPr>
        <w:t>In economic terms, treating the company's interests as equivalent to the shareholders' interests in a situation of insolvency or near-insolvency results in the externalisation of</w:t>
      </w:r>
      <w:r w:rsidR="00120550" w:rsidRPr="00825274">
        <w:rPr>
          <w:i/>
          <w:iCs/>
          <w:color w:val="000000"/>
        </w:rPr>
        <w:t xml:space="preserve"> </w:t>
      </w:r>
      <w:r w:rsidR="00120550" w:rsidRPr="00825274">
        <w:rPr>
          <w:i/>
          <w:iCs/>
          <w:color w:val="000000"/>
          <w:u w:val="single"/>
        </w:rPr>
        <w:t>risk: losses resulting from risk-taking are borne wholly or mainly by third parties.</w:t>
      </w:r>
      <w:r w:rsidR="00904B19" w:rsidRPr="00174309">
        <w:rPr>
          <w:rStyle w:val="FootnoteReference"/>
          <w:i/>
          <w:iCs/>
          <w:color w:val="000000"/>
          <w:u w:val="single"/>
        </w:rPr>
        <w:footnoteReference w:id="14"/>
      </w:r>
      <w:r w:rsidR="00B71328">
        <w:rPr>
          <w:i/>
          <w:iCs/>
          <w:color w:val="000000"/>
          <w:u w:val="single"/>
        </w:rPr>
        <w:t xml:space="preserve"> </w:t>
      </w:r>
      <w:r w:rsidR="00B71328" w:rsidRPr="00B71328">
        <w:rPr>
          <w:color w:val="000000"/>
        </w:rPr>
        <w:t>(Emphasis provided)</w:t>
      </w:r>
    </w:p>
    <w:p w14:paraId="34916890" w14:textId="7E75FC58" w:rsidR="005D42F1" w:rsidRPr="00825274" w:rsidRDefault="00825274" w:rsidP="00825274">
      <w:pPr>
        <w:spacing w:after="360" w:line="480" w:lineRule="auto"/>
        <w:ind w:left="720" w:hanging="720"/>
        <w:jc w:val="both"/>
        <w:rPr>
          <w:i/>
          <w:iCs/>
          <w:lang w:val="en-GB"/>
        </w:rPr>
      </w:pPr>
      <w:r>
        <w:rPr>
          <w:lang w:val="en-GB"/>
        </w:rPr>
        <w:t>[34]</w:t>
      </w:r>
      <w:r>
        <w:rPr>
          <w:lang w:val="en-GB"/>
        </w:rPr>
        <w:tab/>
      </w:r>
      <w:r w:rsidR="00C94D2E" w:rsidRPr="00825274">
        <w:rPr>
          <w:lang w:val="en-GB"/>
        </w:rPr>
        <w:t>Thus</w:t>
      </w:r>
      <w:r w:rsidR="006F1C93" w:rsidRPr="00825274">
        <w:rPr>
          <w:lang w:val="en-GB"/>
        </w:rPr>
        <w:t>,</w:t>
      </w:r>
      <w:r w:rsidR="00C94D2E" w:rsidRPr="00825274">
        <w:rPr>
          <w:lang w:val="en-GB"/>
        </w:rPr>
        <w:t xml:space="preserve"> if anything</w:t>
      </w:r>
      <w:r w:rsidR="006F1C93" w:rsidRPr="00825274">
        <w:rPr>
          <w:lang w:val="en-GB"/>
        </w:rPr>
        <w:t>,</w:t>
      </w:r>
      <w:r w:rsidR="00C94D2E" w:rsidRPr="00825274">
        <w:rPr>
          <w:lang w:val="en-GB"/>
        </w:rPr>
        <w:t xml:space="preserve"> this approach would favour treating </w:t>
      </w:r>
      <w:r w:rsidR="006F1C93" w:rsidRPr="00825274">
        <w:rPr>
          <w:lang w:val="en-GB"/>
        </w:rPr>
        <w:t xml:space="preserve">the position of </w:t>
      </w:r>
      <w:r w:rsidR="00C94D2E" w:rsidRPr="00825274">
        <w:rPr>
          <w:lang w:val="en-GB"/>
        </w:rPr>
        <w:t xml:space="preserve">a creditor of an insolvent company </w:t>
      </w:r>
      <w:r w:rsidR="00B146FE" w:rsidRPr="00825274">
        <w:rPr>
          <w:lang w:val="en-GB"/>
        </w:rPr>
        <w:t xml:space="preserve">or near insolvent company as being </w:t>
      </w:r>
      <w:r w:rsidR="008C21BD" w:rsidRPr="00825274">
        <w:rPr>
          <w:lang w:val="en-GB"/>
        </w:rPr>
        <w:t>different to that of a company which is financially stable. In the present case it is common cause that Somnipoin</w:t>
      </w:r>
      <w:r w:rsidR="002805D2" w:rsidRPr="00825274">
        <w:rPr>
          <w:lang w:val="en-GB"/>
        </w:rPr>
        <w:t>t has been wound up</w:t>
      </w:r>
      <w:r w:rsidR="00D45DF5" w:rsidRPr="00825274">
        <w:rPr>
          <w:lang w:val="en-GB"/>
        </w:rPr>
        <w:t xml:space="preserve">. Prior to that at the time the defendants are alleged to have acted contrary to their duties in terms of </w:t>
      </w:r>
      <w:r w:rsidR="006547A6" w:rsidRPr="00825274">
        <w:rPr>
          <w:lang w:val="en-GB"/>
        </w:rPr>
        <w:t>section 162(5)</w:t>
      </w:r>
      <w:r w:rsidR="00B85E58" w:rsidRPr="00825274">
        <w:rPr>
          <w:lang w:val="en-GB"/>
        </w:rPr>
        <w:t xml:space="preserve">(c) it is alleged </w:t>
      </w:r>
      <w:r w:rsidR="00CF6B5D" w:rsidRPr="00825274">
        <w:rPr>
          <w:lang w:val="en-GB"/>
        </w:rPr>
        <w:t>the company was near insolvency.</w:t>
      </w:r>
      <w:r w:rsidR="00F5643B" w:rsidRPr="00825274">
        <w:rPr>
          <w:lang w:val="en-GB"/>
        </w:rPr>
        <w:t xml:space="preserve"> But even if this is a dispute of fact this does not </w:t>
      </w:r>
      <w:r w:rsidR="000C7A7E" w:rsidRPr="00825274">
        <w:rPr>
          <w:lang w:val="en-GB"/>
        </w:rPr>
        <w:t xml:space="preserve">amount to a proper point of exception. </w:t>
      </w:r>
      <w:r w:rsidR="00161A28" w:rsidRPr="00825274">
        <w:rPr>
          <w:lang w:val="en-GB"/>
        </w:rPr>
        <w:t>Moreover,</w:t>
      </w:r>
      <w:r w:rsidR="000C7A7E" w:rsidRPr="00825274">
        <w:rPr>
          <w:lang w:val="en-GB"/>
        </w:rPr>
        <w:t xml:space="preserve"> this </w:t>
      </w:r>
      <w:r w:rsidR="008E425A" w:rsidRPr="00825274">
        <w:rPr>
          <w:lang w:val="en-GB"/>
        </w:rPr>
        <w:t>economic</w:t>
      </w:r>
      <w:r w:rsidR="00B71328">
        <w:rPr>
          <w:lang w:val="en-GB"/>
        </w:rPr>
        <w:t>,</w:t>
      </w:r>
      <w:r w:rsidR="008E425A" w:rsidRPr="00825274">
        <w:rPr>
          <w:lang w:val="en-GB"/>
        </w:rPr>
        <w:t xml:space="preserve"> as opposed to traditional approach</w:t>
      </w:r>
      <w:r w:rsidR="00B71328">
        <w:rPr>
          <w:lang w:val="en-GB"/>
        </w:rPr>
        <w:t>,</w:t>
      </w:r>
      <w:r w:rsidR="008E425A" w:rsidRPr="00825274">
        <w:rPr>
          <w:lang w:val="en-GB"/>
        </w:rPr>
        <w:t xml:space="preserve"> adopted by Lord Reid</w:t>
      </w:r>
      <w:r w:rsidR="0079427A" w:rsidRPr="00825274">
        <w:rPr>
          <w:lang w:val="en-GB"/>
        </w:rPr>
        <w:t>,</w:t>
      </w:r>
      <w:r w:rsidR="008E425A" w:rsidRPr="00825274">
        <w:rPr>
          <w:lang w:val="en-GB"/>
        </w:rPr>
        <w:t xml:space="preserve"> is consonant with the purpose </w:t>
      </w:r>
      <w:r w:rsidR="00694713" w:rsidRPr="00825274">
        <w:rPr>
          <w:lang w:val="en-GB"/>
        </w:rPr>
        <w:t xml:space="preserve">of the 2008 Companies Act. In the </w:t>
      </w:r>
      <w:r w:rsidR="00B71328">
        <w:rPr>
          <w:lang w:val="en-GB"/>
        </w:rPr>
        <w:t xml:space="preserve">Headnote to the </w:t>
      </w:r>
      <w:r w:rsidR="00B71328">
        <w:rPr>
          <w:lang w:val="en-GB"/>
        </w:rPr>
        <w:lastRenderedPageBreak/>
        <w:t>Act,</w:t>
      </w:r>
      <w:r w:rsidR="00694713" w:rsidRPr="00825274">
        <w:rPr>
          <w:lang w:val="en-GB"/>
        </w:rPr>
        <w:t xml:space="preserve"> there is</w:t>
      </w:r>
      <w:r w:rsidR="00B71328">
        <w:rPr>
          <w:lang w:val="en-GB"/>
        </w:rPr>
        <w:t xml:space="preserve"> a</w:t>
      </w:r>
      <w:r w:rsidR="00694713" w:rsidRPr="00825274">
        <w:rPr>
          <w:lang w:val="en-GB"/>
        </w:rPr>
        <w:t xml:space="preserve"> reference to </w:t>
      </w:r>
      <w:r w:rsidR="00783A99" w:rsidRPr="00825274">
        <w:rPr>
          <w:lang w:val="en-GB"/>
        </w:rPr>
        <w:t>one of its aims as</w:t>
      </w:r>
      <w:r w:rsidR="00B71328">
        <w:rPr>
          <w:lang w:val="en-GB"/>
        </w:rPr>
        <w:t xml:space="preserve"> being</w:t>
      </w:r>
      <w:r w:rsidR="00783A99" w:rsidRPr="00825274">
        <w:rPr>
          <w:lang w:val="en-GB"/>
        </w:rPr>
        <w:t xml:space="preserve"> to </w:t>
      </w:r>
      <w:r w:rsidR="00B71328" w:rsidRPr="00825274">
        <w:rPr>
          <w:i/>
          <w:iCs/>
          <w:lang w:val="en-GB"/>
        </w:rPr>
        <w:t>“</w:t>
      </w:r>
      <w:r w:rsidR="00B71328">
        <w:rPr>
          <w:i/>
          <w:iCs/>
          <w:lang w:val="en-GB"/>
        </w:rPr>
        <w:t>(….)</w:t>
      </w:r>
      <w:r w:rsidR="00B71328" w:rsidRPr="00825274">
        <w:rPr>
          <w:i/>
          <w:iCs/>
          <w:lang w:val="en-GB"/>
        </w:rPr>
        <w:t xml:space="preserve"> provide</w:t>
      </w:r>
      <w:r w:rsidR="00EE5058" w:rsidRPr="00825274">
        <w:rPr>
          <w:i/>
          <w:iCs/>
          <w:lang w:val="en-GB"/>
        </w:rPr>
        <w:t xml:space="preserve"> appropriate legal redress </w:t>
      </w:r>
      <w:r w:rsidR="000264E9" w:rsidRPr="00825274">
        <w:rPr>
          <w:i/>
          <w:iCs/>
          <w:lang w:val="en-GB"/>
        </w:rPr>
        <w:t>for investors and third parties with respect to companies:”</w:t>
      </w:r>
      <w:r w:rsidR="00783A99" w:rsidRPr="00825274">
        <w:rPr>
          <w:i/>
          <w:iCs/>
          <w:lang w:val="en-GB"/>
        </w:rPr>
        <w:t xml:space="preserve">. </w:t>
      </w:r>
    </w:p>
    <w:p w14:paraId="19C8AC6B" w14:textId="2F872FFB" w:rsidR="00120550" w:rsidRPr="00825274" w:rsidRDefault="00825274" w:rsidP="00825274">
      <w:pPr>
        <w:spacing w:after="360" w:line="480" w:lineRule="auto"/>
        <w:jc w:val="both"/>
        <w:rPr>
          <w:i/>
          <w:iCs/>
          <w:lang w:val="en-GB"/>
        </w:rPr>
      </w:pPr>
      <w:r>
        <w:rPr>
          <w:lang w:val="en-GB"/>
        </w:rPr>
        <w:t>[35]</w:t>
      </w:r>
      <w:r>
        <w:rPr>
          <w:lang w:val="en-GB"/>
        </w:rPr>
        <w:tab/>
      </w:r>
      <w:r w:rsidR="00783A99" w:rsidRPr="00825274">
        <w:rPr>
          <w:lang w:val="en-GB"/>
        </w:rPr>
        <w:t xml:space="preserve">In section 7 where the purposes are more fully set </w:t>
      </w:r>
      <w:r w:rsidR="00E21562" w:rsidRPr="00825274">
        <w:rPr>
          <w:lang w:val="en-GB"/>
        </w:rPr>
        <w:t xml:space="preserve">one of these </w:t>
      </w:r>
      <w:r w:rsidR="00957492" w:rsidRPr="00825274">
        <w:rPr>
          <w:lang w:val="en-GB"/>
        </w:rPr>
        <w:t xml:space="preserve">objective </w:t>
      </w:r>
      <w:r w:rsidR="00E21562" w:rsidRPr="00825274">
        <w:rPr>
          <w:lang w:val="en-GB"/>
        </w:rPr>
        <w:t>states:</w:t>
      </w:r>
    </w:p>
    <w:p w14:paraId="500333B9" w14:textId="7EBE7D5E" w:rsidR="00E21562" w:rsidRPr="00174309" w:rsidRDefault="00E21562" w:rsidP="00825274">
      <w:pPr>
        <w:pStyle w:val="ListParagraph"/>
        <w:spacing w:after="360" w:line="480" w:lineRule="auto"/>
        <w:ind w:left="2160"/>
        <w:jc w:val="both"/>
        <w:rPr>
          <w:i/>
          <w:iCs/>
          <w:lang w:val="en-GB"/>
        </w:rPr>
      </w:pPr>
      <w:r w:rsidRPr="00174309">
        <w:rPr>
          <w:lang w:val="en-GB"/>
        </w:rPr>
        <w:t>7(</w:t>
      </w:r>
      <w:r w:rsidR="0010264E" w:rsidRPr="00174309">
        <w:rPr>
          <w:lang w:val="en-GB"/>
        </w:rPr>
        <w:t>b)</w:t>
      </w:r>
      <w:r w:rsidR="00F66C39" w:rsidRPr="00174309">
        <w:rPr>
          <w:lang w:val="en-GB"/>
        </w:rPr>
        <w:t>(iii)</w:t>
      </w:r>
      <w:r w:rsidR="00F66C39" w:rsidRPr="00174309">
        <w:rPr>
          <w:i/>
          <w:iCs/>
          <w:lang w:val="en-GB"/>
        </w:rPr>
        <w:t xml:space="preserve"> “</w:t>
      </w:r>
      <w:r w:rsidR="005F2528" w:rsidRPr="00174309">
        <w:rPr>
          <w:i/>
          <w:iCs/>
          <w:lang w:val="en-GB"/>
        </w:rPr>
        <w:t>(…)</w:t>
      </w:r>
      <w:r w:rsidR="00F66C39" w:rsidRPr="00174309">
        <w:rPr>
          <w:i/>
          <w:iCs/>
          <w:lang w:val="en-GB"/>
        </w:rPr>
        <w:t xml:space="preserve"> encouraging transparency and high standards </w:t>
      </w:r>
      <w:r w:rsidR="001D561B" w:rsidRPr="00174309">
        <w:rPr>
          <w:i/>
          <w:iCs/>
          <w:lang w:val="en-GB"/>
        </w:rPr>
        <w:t xml:space="preserve">of corporate governance as appropriate, given the </w:t>
      </w:r>
      <w:r w:rsidR="005F2528" w:rsidRPr="00174309">
        <w:rPr>
          <w:i/>
          <w:iCs/>
          <w:lang w:val="en-GB"/>
        </w:rPr>
        <w:t xml:space="preserve">significant role </w:t>
      </w:r>
      <w:r w:rsidR="0072523F" w:rsidRPr="00174309">
        <w:rPr>
          <w:i/>
          <w:iCs/>
          <w:lang w:val="en-GB"/>
        </w:rPr>
        <w:t xml:space="preserve">of enterprises within the </w:t>
      </w:r>
      <w:r w:rsidR="001D561B" w:rsidRPr="00174309">
        <w:rPr>
          <w:i/>
          <w:iCs/>
          <w:lang w:val="en-GB"/>
        </w:rPr>
        <w:t>social and economic life of the nation.”</w:t>
      </w:r>
    </w:p>
    <w:p w14:paraId="7BF52F9C" w14:textId="3D49EB7F" w:rsidR="005F7D94" w:rsidRPr="00825274" w:rsidRDefault="00825274" w:rsidP="00825274">
      <w:pPr>
        <w:spacing w:after="360" w:line="480" w:lineRule="auto"/>
        <w:ind w:left="720" w:hanging="720"/>
        <w:jc w:val="both"/>
        <w:rPr>
          <w:b/>
          <w:bCs/>
          <w:lang w:val="en-GB"/>
        </w:rPr>
      </w:pPr>
      <w:r>
        <w:rPr>
          <w:lang w:val="en-GB"/>
        </w:rPr>
        <w:t>[36]</w:t>
      </w:r>
      <w:r>
        <w:rPr>
          <w:lang w:val="en-GB"/>
        </w:rPr>
        <w:tab/>
      </w:r>
      <w:r w:rsidR="001A1E57" w:rsidRPr="00825274">
        <w:rPr>
          <w:lang w:val="en-GB"/>
        </w:rPr>
        <w:t xml:space="preserve">This reading of the policy approach in the </w:t>
      </w:r>
      <w:r w:rsidR="005D42F1" w:rsidRPr="00825274">
        <w:rPr>
          <w:lang w:val="en-GB"/>
        </w:rPr>
        <w:t xml:space="preserve">2008 </w:t>
      </w:r>
      <w:r w:rsidR="001A1E57" w:rsidRPr="00825274">
        <w:rPr>
          <w:lang w:val="en-GB"/>
        </w:rPr>
        <w:t>Act suggests t</w:t>
      </w:r>
      <w:r w:rsidR="005F7D94" w:rsidRPr="00825274">
        <w:rPr>
          <w:lang w:val="en-GB"/>
        </w:rPr>
        <w:t xml:space="preserve">wo things: </w:t>
      </w:r>
      <w:r w:rsidR="005D2FD4" w:rsidRPr="00825274">
        <w:rPr>
          <w:lang w:val="en-GB"/>
        </w:rPr>
        <w:t xml:space="preserve">that investors and third parties </w:t>
      </w:r>
      <w:r w:rsidR="00B71328">
        <w:rPr>
          <w:lang w:val="en-GB"/>
        </w:rPr>
        <w:t>are to be provided with</w:t>
      </w:r>
      <w:r w:rsidR="005D2FD4" w:rsidRPr="00825274">
        <w:rPr>
          <w:lang w:val="en-GB"/>
        </w:rPr>
        <w:t xml:space="preserve"> greater remedies in relation to companies; and </w:t>
      </w:r>
      <w:r w:rsidR="002548C4" w:rsidRPr="00825274">
        <w:rPr>
          <w:lang w:val="en-GB"/>
        </w:rPr>
        <w:t>that high standards of corporate governance are expected</w:t>
      </w:r>
      <w:r w:rsidR="006F4486" w:rsidRPr="00825274">
        <w:rPr>
          <w:lang w:val="en-GB"/>
        </w:rPr>
        <w:t xml:space="preserve">. Any reading of section 157(1)(d) read with section 162 </w:t>
      </w:r>
      <w:r w:rsidR="00420D43" w:rsidRPr="00825274">
        <w:rPr>
          <w:lang w:val="en-GB"/>
        </w:rPr>
        <w:t>which seeks to categorically deny a creditor these rights seems contrary to the spirit of the Act.</w:t>
      </w:r>
      <w:r w:rsidR="00821709" w:rsidRPr="00825274">
        <w:rPr>
          <w:lang w:val="en-GB"/>
        </w:rPr>
        <w:t xml:space="preserve"> I am not suggesting that a creditor always has this right. Only that </w:t>
      </w:r>
      <w:r w:rsidR="00821709" w:rsidRPr="00825274">
        <w:rPr>
          <w:i/>
          <w:iCs/>
          <w:lang w:val="en-GB"/>
        </w:rPr>
        <w:t>per se</w:t>
      </w:r>
      <w:r w:rsidR="00E85F52" w:rsidRPr="00825274">
        <w:rPr>
          <w:i/>
          <w:iCs/>
          <w:lang w:val="en-GB"/>
        </w:rPr>
        <w:t>,</w:t>
      </w:r>
      <w:r w:rsidR="00821709" w:rsidRPr="00825274">
        <w:rPr>
          <w:lang w:val="en-GB"/>
        </w:rPr>
        <w:t xml:space="preserve"> as a ca</w:t>
      </w:r>
      <w:r w:rsidR="007E2365" w:rsidRPr="00825274">
        <w:rPr>
          <w:lang w:val="en-GB"/>
        </w:rPr>
        <w:t>tegory of person</w:t>
      </w:r>
      <w:r w:rsidR="00E85F52" w:rsidRPr="00825274">
        <w:rPr>
          <w:lang w:val="en-GB"/>
        </w:rPr>
        <w:t>,</w:t>
      </w:r>
      <w:r w:rsidR="007E2365" w:rsidRPr="00825274">
        <w:rPr>
          <w:lang w:val="en-GB"/>
        </w:rPr>
        <w:t xml:space="preserve"> it cannot be denied this right without the further enquiry as to whether it act</w:t>
      </w:r>
      <w:r w:rsidR="00DF294D" w:rsidRPr="00825274">
        <w:rPr>
          <w:lang w:val="en-GB"/>
        </w:rPr>
        <w:t>s</w:t>
      </w:r>
      <w:r w:rsidR="007E2365" w:rsidRPr="00825274">
        <w:rPr>
          <w:lang w:val="en-GB"/>
        </w:rPr>
        <w:t xml:space="preserve"> in the public interest and that i</w:t>
      </w:r>
      <w:r w:rsidR="00DF294D" w:rsidRPr="00825274">
        <w:rPr>
          <w:lang w:val="en-GB"/>
        </w:rPr>
        <w:t>s</w:t>
      </w:r>
      <w:r w:rsidR="007E2365" w:rsidRPr="00825274">
        <w:rPr>
          <w:lang w:val="en-GB"/>
        </w:rPr>
        <w:t xml:space="preserve"> an enquiry dependent on the facts in each case</w:t>
      </w:r>
      <w:r w:rsidR="003E3600" w:rsidRPr="00825274">
        <w:rPr>
          <w:lang w:val="en-GB"/>
        </w:rPr>
        <w:t>.</w:t>
      </w:r>
      <w:r>
        <w:rPr>
          <w:lang w:val="en-GB"/>
        </w:rPr>
        <w:t xml:space="preserve"> </w:t>
      </w:r>
    </w:p>
    <w:p w14:paraId="2CE75FC9" w14:textId="06178CB8" w:rsidR="00D51FB7" w:rsidRPr="00825274" w:rsidRDefault="00C81AB4" w:rsidP="00825274">
      <w:pPr>
        <w:pStyle w:val="ListParagraph"/>
        <w:spacing w:after="360" w:line="480" w:lineRule="auto"/>
        <w:ind w:left="357" w:firstLine="357"/>
        <w:jc w:val="both"/>
        <w:rPr>
          <w:b/>
          <w:bCs/>
          <w:i/>
          <w:iCs/>
          <w:lang w:val="en-GB"/>
        </w:rPr>
      </w:pPr>
      <w:r w:rsidRPr="00174309">
        <w:rPr>
          <w:b/>
          <w:bCs/>
          <w:lang w:val="en-GB"/>
        </w:rPr>
        <w:t xml:space="preserve">The plaintiff’s cause of action is own interest not public interest litigation </w:t>
      </w:r>
    </w:p>
    <w:p w14:paraId="33FDA4D6" w14:textId="4688ADE8" w:rsidR="00C2029C" w:rsidRPr="00825274" w:rsidRDefault="00825274" w:rsidP="00825274">
      <w:pPr>
        <w:spacing w:after="360" w:line="480" w:lineRule="auto"/>
        <w:ind w:left="714" w:hanging="714"/>
        <w:jc w:val="both"/>
        <w:rPr>
          <w:i/>
          <w:iCs/>
          <w:lang w:val="en-GB"/>
        </w:rPr>
      </w:pPr>
      <w:r>
        <w:rPr>
          <w:lang w:val="en-GB"/>
        </w:rPr>
        <w:t>[37]</w:t>
      </w:r>
      <w:r>
        <w:rPr>
          <w:lang w:val="en-GB"/>
        </w:rPr>
        <w:tab/>
      </w:r>
      <w:r w:rsidR="00C2029C" w:rsidRPr="00825274">
        <w:rPr>
          <w:lang w:val="en-GB"/>
        </w:rPr>
        <w:t xml:space="preserve">The third defendant </w:t>
      </w:r>
      <w:r w:rsidR="00FB7CC7" w:rsidRPr="00825274">
        <w:rPr>
          <w:lang w:val="en-GB"/>
        </w:rPr>
        <w:t xml:space="preserve">argues that it is clear from the particulars of claim that Vantage has brought this case in its own interest as it seeks </w:t>
      </w:r>
      <w:r w:rsidR="00F55869" w:rsidRPr="00825274">
        <w:rPr>
          <w:lang w:val="en-GB"/>
        </w:rPr>
        <w:t>to hold the defendants liable for a monetary claim.</w:t>
      </w:r>
      <w:r w:rsidR="00621BCC" w:rsidRPr="00825274">
        <w:rPr>
          <w:lang w:val="en-GB"/>
        </w:rPr>
        <w:t xml:space="preserve"> </w:t>
      </w:r>
      <w:r w:rsidR="002D1217" w:rsidRPr="00825274">
        <w:rPr>
          <w:lang w:val="en-GB"/>
        </w:rPr>
        <w:t>It</w:t>
      </w:r>
      <w:r w:rsidR="00621BCC" w:rsidRPr="00825274">
        <w:rPr>
          <w:lang w:val="en-GB"/>
        </w:rPr>
        <w:t xml:space="preserve"> therefore ha</w:t>
      </w:r>
      <w:r w:rsidR="002D1217" w:rsidRPr="00825274">
        <w:rPr>
          <w:lang w:val="en-GB"/>
        </w:rPr>
        <w:t>s</w:t>
      </w:r>
      <w:r w:rsidR="00621BCC" w:rsidRPr="00825274">
        <w:rPr>
          <w:lang w:val="en-GB"/>
        </w:rPr>
        <w:t xml:space="preserve"> a commercial interest in the litigation that is distinct from the public interest </w:t>
      </w:r>
      <w:r w:rsidR="00275E38" w:rsidRPr="00825274">
        <w:rPr>
          <w:lang w:val="en-GB"/>
        </w:rPr>
        <w:t xml:space="preserve">that </w:t>
      </w:r>
      <w:r w:rsidR="002D1217" w:rsidRPr="00825274">
        <w:rPr>
          <w:lang w:val="en-GB"/>
        </w:rPr>
        <w:t>it</w:t>
      </w:r>
      <w:r w:rsidR="00275E38" w:rsidRPr="00825274">
        <w:rPr>
          <w:lang w:val="en-GB"/>
        </w:rPr>
        <w:t xml:space="preserve"> seek</w:t>
      </w:r>
      <w:r w:rsidR="002D1217" w:rsidRPr="00825274">
        <w:rPr>
          <w:lang w:val="en-GB"/>
        </w:rPr>
        <w:t>s</w:t>
      </w:r>
      <w:r w:rsidR="00275E38" w:rsidRPr="00825274">
        <w:rPr>
          <w:lang w:val="en-GB"/>
        </w:rPr>
        <w:t xml:space="preserve"> to rely on to invoke section </w:t>
      </w:r>
      <w:r w:rsidR="002D1217" w:rsidRPr="00825274">
        <w:rPr>
          <w:lang w:val="en-GB"/>
        </w:rPr>
        <w:t>1</w:t>
      </w:r>
      <w:r w:rsidR="00275E38" w:rsidRPr="00825274">
        <w:rPr>
          <w:lang w:val="en-GB"/>
        </w:rPr>
        <w:t>57(1)(d)</w:t>
      </w:r>
      <w:r w:rsidR="006871D6" w:rsidRPr="00825274">
        <w:rPr>
          <w:lang w:val="en-GB"/>
        </w:rPr>
        <w:t xml:space="preserve">. The third defendant argues that there is nothing in the </w:t>
      </w:r>
      <w:r w:rsidR="006871D6" w:rsidRPr="00825274">
        <w:rPr>
          <w:lang w:val="en-GB"/>
        </w:rPr>
        <w:lastRenderedPageBreak/>
        <w:t xml:space="preserve">notice of amendment to indicate that </w:t>
      </w:r>
      <w:r w:rsidR="007363B3" w:rsidRPr="00825274">
        <w:rPr>
          <w:lang w:val="en-GB"/>
        </w:rPr>
        <w:t xml:space="preserve">it is </w:t>
      </w:r>
      <w:r w:rsidR="00D2645E" w:rsidRPr="00825274">
        <w:rPr>
          <w:lang w:val="en-GB"/>
        </w:rPr>
        <w:t xml:space="preserve">acting in the public interest </w:t>
      </w:r>
      <w:r w:rsidR="00E2596C" w:rsidRPr="00825274">
        <w:rPr>
          <w:lang w:val="en-GB"/>
        </w:rPr>
        <w:t xml:space="preserve">and that </w:t>
      </w:r>
      <w:r w:rsidR="007363B3" w:rsidRPr="00825274">
        <w:rPr>
          <w:lang w:val="en-GB"/>
        </w:rPr>
        <w:t>it</w:t>
      </w:r>
      <w:r w:rsidR="00E2596C" w:rsidRPr="00825274">
        <w:rPr>
          <w:lang w:val="en-GB"/>
        </w:rPr>
        <w:t xml:space="preserve"> represent</w:t>
      </w:r>
      <w:r w:rsidR="007363B3" w:rsidRPr="00825274">
        <w:rPr>
          <w:lang w:val="en-GB"/>
        </w:rPr>
        <w:t>s</w:t>
      </w:r>
      <w:r w:rsidR="00E2596C" w:rsidRPr="00825274">
        <w:rPr>
          <w:lang w:val="en-GB"/>
        </w:rPr>
        <w:t xml:space="preserve"> a group of persons who are vulnerable or in need of protection.</w:t>
      </w:r>
    </w:p>
    <w:p w14:paraId="56A3D11F" w14:textId="77777777" w:rsidR="00825274" w:rsidRDefault="00825274" w:rsidP="00825274">
      <w:pPr>
        <w:spacing w:after="360" w:line="480" w:lineRule="auto"/>
        <w:ind w:left="720" w:hanging="720"/>
        <w:jc w:val="both"/>
        <w:rPr>
          <w:i/>
          <w:iCs/>
          <w:lang w:val="en-GB"/>
        </w:rPr>
      </w:pPr>
      <w:r>
        <w:rPr>
          <w:lang w:val="en-GB"/>
        </w:rPr>
        <w:t>[38]</w:t>
      </w:r>
      <w:r>
        <w:rPr>
          <w:lang w:val="en-GB"/>
        </w:rPr>
        <w:tab/>
      </w:r>
      <w:r w:rsidR="00E76383" w:rsidRPr="00825274">
        <w:rPr>
          <w:lang w:val="en-GB"/>
        </w:rPr>
        <w:t>Whether this</w:t>
      </w:r>
      <w:r w:rsidR="005F2093" w:rsidRPr="00825274">
        <w:rPr>
          <w:lang w:val="en-GB"/>
        </w:rPr>
        <w:t xml:space="preserve"> legal test</w:t>
      </w:r>
      <w:r w:rsidR="00E76383" w:rsidRPr="00825274">
        <w:rPr>
          <w:lang w:val="en-GB"/>
        </w:rPr>
        <w:t xml:space="preserve"> is correct or not</w:t>
      </w:r>
      <w:r w:rsidR="006A49F1" w:rsidRPr="00825274">
        <w:rPr>
          <w:lang w:val="en-GB"/>
        </w:rPr>
        <w:t>,</w:t>
      </w:r>
      <w:r w:rsidR="00E76383" w:rsidRPr="00825274">
        <w:rPr>
          <w:lang w:val="en-GB"/>
        </w:rPr>
        <w:t xml:space="preserve"> or whether the third defendant has posited the correct test for invoking the public interest</w:t>
      </w:r>
      <w:r w:rsidR="005F2093" w:rsidRPr="00825274">
        <w:rPr>
          <w:lang w:val="en-GB"/>
        </w:rPr>
        <w:t>,</w:t>
      </w:r>
      <w:r w:rsidR="00E76383" w:rsidRPr="00825274">
        <w:rPr>
          <w:lang w:val="en-GB"/>
        </w:rPr>
        <w:t xml:space="preserve"> </w:t>
      </w:r>
      <w:r w:rsidR="00D720CB" w:rsidRPr="00825274">
        <w:rPr>
          <w:lang w:val="en-GB"/>
        </w:rPr>
        <w:t>is a matter of fact</w:t>
      </w:r>
      <w:r w:rsidR="00E0103F" w:rsidRPr="00825274">
        <w:rPr>
          <w:lang w:val="en-GB"/>
        </w:rPr>
        <w:t>;</w:t>
      </w:r>
      <w:r w:rsidR="00D720CB" w:rsidRPr="00825274">
        <w:rPr>
          <w:lang w:val="en-GB"/>
        </w:rPr>
        <w:t xml:space="preserve"> and hence not an appropriate argument to raise </w:t>
      </w:r>
      <w:r w:rsidR="005F2093" w:rsidRPr="00825274">
        <w:rPr>
          <w:lang w:val="en-GB"/>
        </w:rPr>
        <w:t xml:space="preserve">now </w:t>
      </w:r>
      <w:r w:rsidR="00D720CB" w:rsidRPr="00825274">
        <w:rPr>
          <w:lang w:val="en-GB"/>
        </w:rPr>
        <w:t xml:space="preserve">in opposing an amendment. As Cameron J has stated in </w:t>
      </w:r>
      <w:r w:rsidR="00D720CB" w:rsidRPr="00825274">
        <w:rPr>
          <w:i/>
          <w:color w:val="000000"/>
        </w:rPr>
        <w:t>Giant Concerts </w:t>
      </w:r>
      <w:r w:rsidR="00D720CB" w:rsidRPr="00825274">
        <w:rPr>
          <w:color w:val="000000"/>
        </w:rPr>
        <w:t>CC </w:t>
      </w:r>
      <w:r w:rsidR="00D720CB" w:rsidRPr="00825274">
        <w:rPr>
          <w:i/>
          <w:color w:val="000000"/>
        </w:rPr>
        <w:t>v Rinaldo Investments (Pty) Ltd</w:t>
      </w:r>
    </w:p>
    <w:p w14:paraId="71F81C00" w14:textId="70741024" w:rsidR="00AA4C28" w:rsidRPr="00825274" w:rsidRDefault="00265431" w:rsidP="00825274">
      <w:pPr>
        <w:spacing w:after="360" w:line="480" w:lineRule="auto"/>
        <w:ind w:left="2160"/>
        <w:jc w:val="both"/>
        <w:rPr>
          <w:i/>
          <w:iCs/>
          <w:lang w:val="en-GB"/>
        </w:rPr>
      </w:pPr>
      <w:r w:rsidRPr="00825274">
        <w:rPr>
          <w:i/>
          <w:lang w:val="en-GB"/>
        </w:rPr>
        <w:t>“</w:t>
      </w:r>
      <w:r w:rsidR="008D3819" w:rsidRPr="00825274">
        <w:rPr>
          <w:i/>
          <w:lang w:val="en-GB"/>
        </w:rPr>
        <w:t>Each case depends on its own facts. There can be no general rule covering all cases. In each case, an applicant must show that he or she has the necessary interest in an infringement or a threatened infringement. And here a measure of pragmatism is needed."</w:t>
      </w:r>
    </w:p>
    <w:p w14:paraId="264191C8" w14:textId="7D02B006" w:rsidR="00265431" w:rsidRPr="00825274" w:rsidRDefault="00825274" w:rsidP="00825274">
      <w:pPr>
        <w:spacing w:after="360" w:line="480" w:lineRule="auto"/>
        <w:ind w:left="720" w:hanging="720"/>
        <w:jc w:val="both"/>
        <w:rPr>
          <w:i/>
          <w:iCs/>
          <w:lang w:val="en-GB"/>
        </w:rPr>
      </w:pPr>
      <w:r w:rsidRPr="00825274">
        <w:rPr>
          <w:lang w:val="en-GB"/>
        </w:rPr>
        <w:t>[39]</w:t>
      </w:r>
      <w:r>
        <w:rPr>
          <w:i/>
          <w:iCs/>
          <w:lang w:val="en-GB"/>
        </w:rPr>
        <w:tab/>
      </w:r>
      <w:r w:rsidR="003C579E" w:rsidRPr="00825274">
        <w:rPr>
          <w:i/>
          <w:iCs/>
          <w:lang w:val="en-GB"/>
        </w:rPr>
        <w:t>Giant Concerts</w:t>
      </w:r>
      <w:r w:rsidR="003C579E" w:rsidRPr="00825274">
        <w:rPr>
          <w:lang w:val="en-GB"/>
        </w:rPr>
        <w:t xml:space="preserve"> </w:t>
      </w:r>
      <w:r w:rsidR="00265431" w:rsidRPr="00825274">
        <w:rPr>
          <w:lang w:val="en-GB"/>
        </w:rPr>
        <w:t>is the case that the third defendant places reliance on to oppose the amendment</w:t>
      </w:r>
      <w:r w:rsidR="002F05C6" w:rsidRPr="00825274">
        <w:rPr>
          <w:lang w:val="en-GB"/>
        </w:rPr>
        <w:t xml:space="preserve"> on the grounds that it is an exercise of own interest</w:t>
      </w:r>
      <w:r w:rsidR="006F1672" w:rsidRPr="00825274">
        <w:rPr>
          <w:lang w:val="en-GB"/>
        </w:rPr>
        <w:t xml:space="preserve"> not public interest</w:t>
      </w:r>
      <w:r w:rsidR="00265431" w:rsidRPr="00825274">
        <w:rPr>
          <w:lang w:val="en-GB"/>
        </w:rPr>
        <w:t xml:space="preserve">. But if each case must depend on its own facts this is not the basis for a true exception </w:t>
      </w:r>
      <w:r w:rsidR="004A4365" w:rsidRPr="00825274">
        <w:rPr>
          <w:lang w:val="en-GB"/>
        </w:rPr>
        <w:t>but can form part of a special plea. This ground of exception must fail as well</w:t>
      </w:r>
      <w:r w:rsidR="0087723E" w:rsidRPr="00825274">
        <w:rPr>
          <w:lang w:val="en-GB"/>
        </w:rPr>
        <w:t>.</w:t>
      </w:r>
    </w:p>
    <w:p w14:paraId="4C0B7FAB" w14:textId="0D65C2CE" w:rsidR="0087723E" w:rsidRPr="00825274" w:rsidRDefault="0087723E" w:rsidP="00825274">
      <w:pPr>
        <w:spacing w:after="360" w:line="480" w:lineRule="auto"/>
        <w:ind w:firstLine="720"/>
        <w:jc w:val="both"/>
        <w:rPr>
          <w:b/>
          <w:bCs/>
          <w:i/>
          <w:iCs/>
          <w:lang w:val="en-GB"/>
        </w:rPr>
      </w:pPr>
      <w:r w:rsidRPr="00825274">
        <w:rPr>
          <w:b/>
          <w:bCs/>
          <w:lang w:val="en-GB"/>
        </w:rPr>
        <w:t>Conclusion</w:t>
      </w:r>
    </w:p>
    <w:p w14:paraId="0FFBAC55" w14:textId="13220AE1" w:rsidR="0087723E" w:rsidRPr="00825274" w:rsidRDefault="00825274" w:rsidP="00825274">
      <w:pPr>
        <w:spacing w:after="360" w:line="480" w:lineRule="auto"/>
        <w:ind w:left="720" w:hanging="720"/>
        <w:jc w:val="both"/>
        <w:rPr>
          <w:b/>
          <w:bCs/>
          <w:i/>
          <w:iCs/>
          <w:lang w:val="en-GB"/>
        </w:rPr>
      </w:pPr>
      <w:r>
        <w:rPr>
          <w:lang w:val="en-GB"/>
        </w:rPr>
        <w:t>[40]</w:t>
      </w:r>
      <w:r>
        <w:rPr>
          <w:lang w:val="en-GB"/>
        </w:rPr>
        <w:tab/>
      </w:r>
      <w:r w:rsidR="00FF4AC0" w:rsidRPr="00825274">
        <w:rPr>
          <w:lang w:val="en-GB"/>
        </w:rPr>
        <w:t>The third defendant has failed in its opposition to the opposed amendment for the reasons given. What remains for me to consider is whether there is a basis for Vantage to claim</w:t>
      </w:r>
      <w:r w:rsidR="006D1840" w:rsidRPr="00825274">
        <w:rPr>
          <w:lang w:val="en-GB"/>
        </w:rPr>
        <w:t>,</w:t>
      </w:r>
      <w:r w:rsidR="00FF4AC0" w:rsidRPr="00825274">
        <w:rPr>
          <w:lang w:val="en-GB"/>
        </w:rPr>
        <w:t xml:space="preserve"> as it has</w:t>
      </w:r>
      <w:r w:rsidR="006D1840" w:rsidRPr="00825274">
        <w:rPr>
          <w:lang w:val="en-GB"/>
        </w:rPr>
        <w:t>,</w:t>
      </w:r>
      <w:r w:rsidR="00FF4AC0" w:rsidRPr="00825274">
        <w:rPr>
          <w:lang w:val="en-GB"/>
        </w:rPr>
        <w:t xml:space="preserve"> attorney client costs. I do not consider that there is any basis for a punitive award. The third defendant has in fact through its exception assisted Vantage in bringing its claim</w:t>
      </w:r>
      <w:r w:rsidR="001C466F" w:rsidRPr="00825274">
        <w:rPr>
          <w:lang w:val="en-GB"/>
        </w:rPr>
        <w:t xml:space="preserve"> within the correct enabling </w:t>
      </w:r>
      <w:r w:rsidR="001C466F" w:rsidRPr="00825274">
        <w:rPr>
          <w:lang w:val="en-GB"/>
        </w:rPr>
        <w:lastRenderedPageBreak/>
        <w:t>provision in the Act</w:t>
      </w:r>
      <w:r w:rsidR="0075545E" w:rsidRPr="00825274">
        <w:rPr>
          <w:lang w:val="en-GB"/>
        </w:rPr>
        <w:t xml:space="preserve">. The fact that once the amendment had been made </w:t>
      </w:r>
      <w:r w:rsidR="009C4D31" w:rsidRPr="00825274">
        <w:rPr>
          <w:lang w:val="en-GB"/>
        </w:rPr>
        <w:t xml:space="preserve">the third defendant continued with its opposition, </w:t>
      </w:r>
      <w:r w:rsidR="0075545E" w:rsidRPr="00825274">
        <w:rPr>
          <w:lang w:val="en-GB"/>
        </w:rPr>
        <w:t>does not mean</w:t>
      </w:r>
      <w:r w:rsidR="00D91F71" w:rsidRPr="00825274">
        <w:rPr>
          <w:lang w:val="en-GB"/>
        </w:rPr>
        <w:t>, as counsel for Vantage pressed me to find</w:t>
      </w:r>
      <w:r w:rsidR="00702892" w:rsidRPr="00825274">
        <w:rPr>
          <w:lang w:val="en-GB"/>
        </w:rPr>
        <w:t>,</w:t>
      </w:r>
      <w:r w:rsidR="00D91F71" w:rsidRPr="00825274">
        <w:rPr>
          <w:lang w:val="en-GB"/>
        </w:rPr>
        <w:t xml:space="preserve"> </w:t>
      </w:r>
      <w:r w:rsidR="0075545E" w:rsidRPr="00825274">
        <w:rPr>
          <w:lang w:val="en-GB"/>
        </w:rPr>
        <w:t xml:space="preserve">that </w:t>
      </w:r>
      <w:r w:rsidR="00893174" w:rsidRPr="00825274">
        <w:rPr>
          <w:lang w:val="en-GB"/>
        </w:rPr>
        <w:t xml:space="preserve">the third defendant </w:t>
      </w:r>
      <w:r w:rsidR="00FD1B47" w:rsidRPr="00825274">
        <w:rPr>
          <w:lang w:val="en-GB"/>
        </w:rPr>
        <w:t>is “</w:t>
      </w:r>
      <w:r w:rsidR="00FD1B47" w:rsidRPr="00825274">
        <w:rPr>
          <w:i/>
          <w:iCs/>
          <w:lang w:val="en-GB"/>
        </w:rPr>
        <w:t>frustrating the efficient conduct of the litigation</w:t>
      </w:r>
      <w:r w:rsidR="00FD1B47" w:rsidRPr="00825274">
        <w:rPr>
          <w:lang w:val="en-GB"/>
        </w:rPr>
        <w:t xml:space="preserve">” or </w:t>
      </w:r>
      <w:r w:rsidR="00A37E2A" w:rsidRPr="00825274">
        <w:rPr>
          <w:lang w:val="en-GB"/>
        </w:rPr>
        <w:t>that the third defendant “</w:t>
      </w:r>
      <w:r w:rsidR="00A37E2A" w:rsidRPr="00825274">
        <w:rPr>
          <w:i/>
          <w:iCs/>
          <w:lang w:val="en-GB"/>
        </w:rPr>
        <w:t>treats the litigation as a game</w:t>
      </w:r>
      <w:r w:rsidR="00A37E2A" w:rsidRPr="00825274">
        <w:rPr>
          <w:lang w:val="en-GB"/>
        </w:rPr>
        <w:t xml:space="preserve">.” </w:t>
      </w:r>
      <w:r w:rsidR="006A2263" w:rsidRPr="00825274">
        <w:rPr>
          <w:lang w:val="en-GB"/>
        </w:rPr>
        <w:t>As I noted earlier t</w:t>
      </w:r>
      <w:r w:rsidR="00A37E2A" w:rsidRPr="00825274">
        <w:rPr>
          <w:lang w:val="en-GB"/>
        </w:rPr>
        <w:t xml:space="preserve">he reliance of a creditor on section </w:t>
      </w:r>
      <w:r w:rsidR="002A0B64" w:rsidRPr="00825274">
        <w:rPr>
          <w:lang w:val="en-GB"/>
        </w:rPr>
        <w:t xml:space="preserve">157(1)(d) </w:t>
      </w:r>
      <w:r w:rsidR="00476275" w:rsidRPr="00825274">
        <w:rPr>
          <w:lang w:val="en-GB"/>
        </w:rPr>
        <w:t xml:space="preserve">as a gateway to exercising rights in terms of section </w:t>
      </w:r>
      <w:r w:rsidR="00155431" w:rsidRPr="00825274">
        <w:rPr>
          <w:lang w:val="en-GB"/>
        </w:rPr>
        <w:t>16</w:t>
      </w:r>
      <w:r w:rsidR="00A85E01" w:rsidRPr="00825274">
        <w:rPr>
          <w:lang w:val="en-GB"/>
        </w:rPr>
        <w:t>2</w:t>
      </w:r>
      <w:r w:rsidR="00DC5B61" w:rsidRPr="00825274">
        <w:rPr>
          <w:lang w:val="en-GB"/>
        </w:rPr>
        <w:t>(2)</w:t>
      </w:r>
      <w:r w:rsidR="002A0B64" w:rsidRPr="00825274">
        <w:rPr>
          <w:lang w:val="en-GB"/>
        </w:rPr>
        <w:t xml:space="preserve"> is novel</w:t>
      </w:r>
      <w:r w:rsidR="006A2263" w:rsidRPr="00825274">
        <w:rPr>
          <w:lang w:val="en-GB"/>
        </w:rPr>
        <w:t>,</w:t>
      </w:r>
      <w:r w:rsidR="002A0B64" w:rsidRPr="00825274">
        <w:rPr>
          <w:lang w:val="en-GB"/>
        </w:rPr>
        <w:t xml:space="preserve"> and the third defendant was entitled </w:t>
      </w:r>
      <w:r w:rsidR="00BA75EE" w:rsidRPr="00825274">
        <w:rPr>
          <w:lang w:val="en-GB"/>
        </w:rPr>
        <w:t>to exercise its right to oppose the amendment without being mulcted with a punitive costs</w:t>
      </w:r>
      <w:r w:rsidR="00635993" w:rsidRPr="00825274">
        <w:rPr>
          <w:lang w:val="en-GB"/>
        </w:rPr>
        <w:t xml:space="preserve"> order</w:t>
      </w:r>
      <w:r w:rsidR="00BA75EE" w:rsidRPr="00825274">
        <w:rPr>
          <w:lang w:val="en-GB"/>
        </w:rPr>
        <w:t>.</w:t>
      </w:r>
      <w:r w:rsidR="006600D6" w:rsidRPr="00174309">
        <w:rPr>
          <w:rStyle w:val="FootnoteReference"/>
          <w:lang w:val="en-GB"/>
        </w:rPr>
        <w:footnoteReference w:id="15"/>
      </w:r>
      <w:r w:rsidR="00BA75EE" w:rsidRPr="00825274">
        <w:rPr>
          <w:lang w:val="en-GB"/>
        </w:rPr>
        <w:t xml:space="preserve"> Party and party costs will suffice but I will include the costs of two counsel given the matter was complex</w:t>
      </w:r>
      <w:r w:rsidR="00CA75DB" w:rsidRPr="00825274">
        <w:rPr>
          <w:lang w:val="en-GB"/>
        </w:rPr>
        <w:t>.</w:t>
      </w:r>
    </w:p>
    <w:p w14:paraId="7A1ACB95" w14:textId="52600AA9" w:rsidR="00F97834" w:rsidRPr="00F97834" w:rsidRDefault="00CB3C33" w:rsidP="00F97834">
      <w:pPr>
        <w:spacing w:after="200" w:line="480" w:lineRule="auto"/>
        <w:ind w:firstLine="720"/>
        <w:jc w:val="both"/>
        <w:rPr>
          <w:rFonts w:eastAsia="MS Mincho"/>
          <w:b/>
          <w:kern w:val="0"/>
          <w:u w:val="single"/>
          <w:lang w:val="en-GB" w:eastAsia="ja-JP"/>
          <w14:ligatures w14:val="none"/>
        </w:rPr>
      </w:pPr>
      <w:r w:rsidRPr="00F97834">
        <w:rPr>
          <w:rFonts w:eastAsia="MS Mincho"/>
          <w:b/>
          <w:kern w:val="0"/>
          <w:u w:val="single"/>
          <w:lang w:val="en-GB" w:eastAsia="ja-JP"/>
          <w14:ligatures w14:val="none"/>
        </w:rPr>
        <w:t>ORDER: -</w:t>
      </w:r>
    </w:p>
    <w:p w14:paraId="57AED0A7" w14:textId="0B24A037" w:rsidR="00CA75DB" w:rsidRPr="00F97834" w:rsidRDefault="00F97834" w:rsidP="00F97834">
      <w:pPr>
        <w:spacing w:after="200" w:line="480" w:lineRule="auto"/>
        <w:jc w:val="both"/>
        <w:rPr>
          <w:rFonts w:eastAsia="MS Mincho"/>
          <w:kern w:val="0"/>
          <w:lang w:val="en-GB" w:eastAsia="ja-JP"/>
          <w14:ligatures w14:val="none"/>
        </w:rPr>
      </w:pPr>
      <w:r w:rsidRPr="00F97834">
        <w:rPr>
          <w:rFonts w:eastAsia="MS Mincho"/>
          <w:kern w:val="0"/>
          <w:lang w:val="en-GB" w:eastAsia="ja-JP"/>
          <w14:ligatures w14:val="none"/>
        </w:rPr>
        <w:t>[</w:t>
      </w:r>
      <w:r>
        <w:rPr>
          <w:rFonts w:eastAsia="MS Mincho"/>
          <w:kern w:val="0"/>
          <w:lang w:val="en-GB" w:eastAsia="ja-JP"/>
          <w14:ligatures w14:val="none"/>
        </w:rPr>
        <w:t>41</w:t>
      </w:r>
      <w:r w:rsidRPr="00F97834">
        <w:rPr>
          <w:rFonts w:eastAsia="MS Mincho"/>
          <w:kern w:val="0"/>
          <w:lang w:val="en-GB" w:eastAsia="ja-JP"/>
          <w14:ligatures w14:val="none"/>
        </w:rPr>
        <w:t xml:space="preserve">] </w:t>
      </w:r>
      <w:r w:rsidRPr="00F97834">
        <w:rPr>
          <w:rFonts w:eastAsia="MS Mincho"/>
          <w:kern w:val="0"/>
          <w:lang w:val="en-GB" w:eastAsia="ja-JP"/>
          <w14:ligatures w14:val="none"/>
        </w:rPr>
        <w:tab/>
        <w:t>In the result the following order is made:</w:t>
      </w:r>
      <w:r w:rsidR="009822D3">
        <w:rPr>
          <w:b/>
          <w:bCs/>
          <w:lang w:val="en-GB"/>
        </w:rPr>
        <w:t xml:space="preserve"> </w:t>
      </w:r>
    </w:p>
    <w:p w14:paraId="1DBE21E0" w14:textId="364BBE40" w:rsidR="000C6C9D" w:rsidRPr="008C3136" w:rsidRDefault="008C3136" w:rsidP="008C3136">
      <w:pPr>
        <w:spacing w:line="480" w:lineRule="auto"/>
        <w:ind w:left="1069" w:hanging="360"/>
        <w:jc w:val="both"/>
        <w:rPr>
          <w:lang w:val="en-GB"/>
        </w:rPr>
      </w:pPr>
      <w:r>
        <w:rPr>
          <w:lang w:val="en-GB"/>
        </w:rPr>
        <w:t>1.</w:t>
      </w:r>
      <w:r>
        <w:rPr>
          <w:lang w:val="en-GB"/>
        </w:rPr>
        <w:tab/>
      </w:r>
      <w:r w:rsidR="009822D3" w:rsidRPr="008C3136">
        <w:rPr>
          <w:lang w:val="en-GB"/>
        </w:rPr>
        <w:t>The plaintiffs are granted leave to amend their particulars of claim in accordance with their Uniform Rule 28 notice of intention to amend</w:t>
      </w:r>
      <w:r w:rsidR="005C0DB5" w:rsidRPr="008C3136">
        <w:rPr>
          <w:lang w:val="en-GB"/>
        </w:rPr>
        <w:t>,</w:t>
      </w:r>
      <w:r w:rsidR="009822D3" w:rsidRPr="008C3136">
        <w:rPr>
          <w:lang w:val="en-GB"/>
        </w:rPr>
        <w:t xml:space="preserve"> dated 8 March 2023. </w:t>
      </w:r>
    </w:p>
    <w:p w14:paraId="7DF5E354" w14:textId="3CA32F8A" w:rsidR="00F97834" w:rsidRPr="008C3136" w:rsidRDefault="008C3136" w:rsidP="008C3136">
      <w:pPr>
        <w:spacing w:line="480" w:lineRule="auto"/>
        <w:ind w:left="1069" w:hanging="360"/>
        <w:jc w:val="both"/>
        <w:rPr>
          <w:lang w:val="en-GB"/>
        </w:rPr>
      </w:pPr>
      <w:r w:rsidRPr="00F227D5">
        <w:rPr>
          <w:lang w:val="en-GB"/>
        </w:rPr>
        <w:t>2.</w:t>
      </w:r>
      <w:r w:rsidRPr="00F227D5">
        <w:rPr>
          <w:lang w:val="en-GB"/>
        </w:rPr>
        <w:tab/>
      </w:r>
      <w:r w:rsidR="009822D3" w:rsidRPr="008C3136">
        <w:rPr>
          <w:lang w:val="en-GB"/>
        </w:rPr>
        <w:t xml:space="preserve">The third defendant is ordered to pay the costs of the application on </w:t>
      </w:r>
      <w:r w:rsidR="000C6C9D" w:rsidRPr="008C3136">
        <w:rPr>
          <w:lang w:val="en-GB"/>
        </w:rPr>
        <w:t xml:space="preserve">a party and party </w:t>
      </w:r>
      <w:r w:rsidR="009822D3" w:rsidRPr="008C3136">
        <w:rPr>
          <w:lang w:val="en-GB"/>
        </w:rPr>
        <w:t>scale, including the costs of two counsel.</w:t>
      </w:r>
    </w:p>
    <w:p w14:paraId="2507DF94" w14:textId="77777777" w:rsidR="00F97834" w:rsidRDefault="00F97834" w:rsidP="00F97834">
      <w:pPr>
        <w:spacing w:line="480" w:lineRule="auto"/>
        <w:jc w:val="both"/>
        <w:rPr>
          <w:lang w:val="en-GB"/>
        </w:rPr>
      </w:pPr>
    </w:p>
    <w:p w14:paraId="6D3753CC" w14:textId="77777777" w:rsidR="00F97834" w:rsidRPr="00F97834" w:rsidRDefault="00F97834" w:rsidP="00F97834">
      <w:pPr>
        <w:spacing w:line="480" w:lineRule="auto"/>
        <w:jc w:val="both"/>
        <w:rPr>
          <w:lang w:val="en-GB"/>
        </w:rPr>
      </w:pPr>
    </w:p>
    <w:p w14:paraId="2176F15D" w14:textId="77777777" w:rsidR="00F97834" w:rsidRPr="00B72748" w:rsidRDefault="00F97834" w:rsidP="00F97834">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0" w:after="0" w:line="360" w:lineRule="auto"/>
        <w:jc w:val="right"/>
        <w:rPr>
          <w:b/>
          <w:lang w:val="en-GB"/>
        </w:rPr>
      </w:pPr>
      <w:r w:rsidRPr="00B72748">
        <w:rPr>
          <w:b/>
          <w:lang w:val="en-GB"/>
        </w:rPr>
        <w:t>_____________________________</w:t>
      </w:r>
    </w:p>
    <w:p w14:paraId="6B163C2C" w14:textId="77777777" w:rsidR="00F97834" w:rsidRPr="00B72748" w:rsidRDefault="00F97834" w:rsidP="00F97834">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0" w:after="0" w:line="360" w:lineRule="auto"/>
        <w:jc w:val="right"/>
        <w:rPr>
          <w:b/>
          <w:lang w:val="en-GB"/>
        </w:rPr>
      </w:pPr>
      <w:r w:rsidRPr="00B72748">
        <w:rPr>
          <w:b/>
          <w:lang w:val="en-GB"/>
        </w:rPr>
        <w:t>N.  MANOIM</w:t>
      </w:r>
    </w:p>
    <w:p w14:paraId="4F0F5773" w14:textId="77777777" w:rsidR="00F97834" w:rsidRPr="00B72748" w:rsidRDefault="00F97834" w:rsidP="00F97834">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0" w:after="0" w:line="360" w:lineRule="auto"/>
        <w:jc w:val="right"/>
        <w:rPr>
          <w:b/>
          <w:lang w:val="en-GB"/>
        </w:rPr>
      </w:pPr>
      <w:r w:rsidRPr="00B72748">
        <w:rPr>
          <w:b/>
          <w:lang w:val="en-GB"/>
        </w:rPr>
        <w:t>JUDGE OF THE HIGH COURT</w:t>
      </w:r>
    </w:p>
    <w:p w14:paraId="1A9AAD2C" w14:textId="77777777" w:rsidR="00F97834" w:rsidRPr="00B72748" w:rsidRDefault="00F97834" w:rsidP="00F97834">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0" w:after="0" w:line="360" w:lineRule="auto"/>
        <w:jc w:val="right"/>
        <w:rPr>
          <w:b/>
          <w:lang w:val="en-GB"/>
        </w:rPr>
      </w:pPr>
      <w:r w:rsidRPr="00B72748">
        <w:rPr>
          <w:b/>
          <w:lang w:val="en-GB"/>
        </w:rPr>
        <w:t xml:space="preserve">GAUTENG DIVISION </w:t>
      </w:r>
    </w:p>
    <w:p w14:paraId="17B1B55D" w14:textId="2685EE2E" w:rsidR="00F97834" w:rsidRDefault="00F97834" w:rsidP="00F227D5">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0" w:after="0" w:line="360" w:lineRule="auto"/>
        <w:jc w:val="right"/>
        <w:rPr>
          <w:b/>
          <w:lang w:val="en-GB"/>
        </w:rPr>
      </w:pPr>
      <w:r w:rsidRPr="00B72748">
        <w:rPr>
          <w:b/>
          <w:lang w:val="en-GB"/>
        </w:rPr>
        <w:t>JOHNANNESBURG</w:t>
      </w:r>
    </w:p>
    <w:p w14:paraId="17875EDE" w14:textId="77777777" w:rsidR="00F97834" w:rsidRDefault="00F97834" w:rsidP="00F97834">
      <w:pPr>
        <w:spacing w:after="200" w:line="240" w:lineRule="auto"/>
        <w:jc w:val="both"/>
        <w:rPr>
          <w:rFonts w:eastAsia="MS Mincho"/>
          <w:lang w:eastAsia="ja-JP"/>
        </w:rPr>
      </w:pPr>
    </w:p>
    <w:p w14:paraId="3F4F3953" w14:textId="77354B24" w:rsidR="00F97834" w:rsidRPr="00D21D87" w:rsidRDefault="00F97834" w:rsidP="00F97834">
      <w:pPr>
        <w:spacing w:after="200" w:line="240" w:lineRule="auto"/>
        <w:jc w:val="both"/>
        <w:rPr>
          <w:rFonts w:eastAsia="MS Mincho"/>
          <w:lang w:eastAsia="ja-JP"/>
        </w:rPr>
      </w:pPr>
      <w:r w:rsidRPr="00D21D87">
        <w:rPr>
          <w:rFonts w:eastAsia="MS Mincho"/>
          <w:lang w:eastAsia="ja-JP"/>
        </w:rPr>
        <w:t xml:space="preserve">Date of hearing: </w:t>
      </w:r>
      <w:r>
        <w:rPr>
          <w:rFonts w:eastAsia="MS Mincho"/>
          <w:lang w:eastAsia="ja-JP"/>
        </w:rPr>
        <w:t>01 November</w:t>
      </w:r>
      <w:r w:rsidRPr="00D21D87">
        <w:rPr>
          <w:rFonts w:eastAsia="MS Mincho"/>
          <w:lang w:eastAsia="ja-JP"/>
        </w:rPr>
        <w:t xml:space="preserve"> 2023</w:t>
      </w:r>
    </w:p>
    <w:p w14:paraId="5D56F45A" w14:textId="3B917DD6" w:rsidR="00F97834" w:rsidRPr="00D21D87" w:rsidRDefault="00F97834" w:rsidP="00F97834">
      <w:pPr>
        <w:spacing w:after="200" w:line="480" w:lineRule="auto"/>
        <w:jc w:val="both"/>
        <w:rPr>
          <w:rFonts w:eastAsia="MS Mincho"/>
          <w:lang w:eastAsia="ja-JP"/>
        </w:rPr>
      </w:pPr>
      <w:r w:rsidRPr="00D21D87">
        <w:rPr>
          <w:rFonts w:eastAsia="MS Mincho"/>
          <w:lang w:eastAsia="ja-JP"/>
        </w:rPr>
        <w:t xml:space="preserve">Date of judgment: </w:t>
      </w:r>
      <w:r>
        <w:rPr>
          <w:rFonts w:eastAsia="MS Mincho"/>
          <w:lang w:eastAsia="ja-JP"/>
        </w:rPr>
        <w:t>2</w:t>
      </w:r>
      <w:r w:rsidR="000473B3">
        <w:rPr>
          <w:rFonts w:eastAsia="MS Mincho"/>
          <w:lang w:eastAsia="ja-JP"/>
        </w:rPr>
        <w:t>4</w:t>
      </w:r>
      <w:r w:rsidRPr="00D21D87">
        <w:rPr>
          <w:rFonts w:eastAsia="MS Mincho"/>
          <w:lang w:eastAsia="ja-JP"/>
        </w:rPr>
        <w:t xml:space="preserve"> </w:t>
      </w:r>
      <w:r>
        <w:rPr>
          <w:rFonts w:eastAsia="MS Mincho"/>
          <w:lang w:eastAsia="ja-JP"/>
        </w:rPr>
        <w:t>November</w:t>
      </w:r>
      <w:r w:rsidRPr="00D21D87">
        <w:rPr>
          <w:rFonts w:eastAsia="MS Mincho"/>
          <w:lang w:eastAsia="ja-JP"/>
        </w:rPr>
        <w:t xml:space="preserve"> 2023</w:t>
      </w:r>
    </w:p>
    <w:p w14:paraId="6BE8FA4F" w14:textId="77777777" w:rsidR="00F97834" w:rsidRDefault="00F97834" w:rsidP="00F97834">
      <w:pPr>
        <w:spacing w:after="200" w:line="480" w:lineRule="auto"/>
        <w:jc w:val="both"/>
        <w:rPr>
          <w:rFonts w:eastAsia="MS Mincho"/>
          <w:lang w:eastAsia="ja-JP"/>
        </w:rPr>
      </w:pPr>
      <w:r w:rsidRPr="00D21D87">
        <w:rPr>
          <w:rFonts w:eastAsia="MS Mincho"/>
          <w:lang w:eastAsia="ja-JP"/>
        </w:rPr>
        <w:t>Appearances:</w:t>
      </w:r>
    </w:p>
    <w:p w14:paraId="63D78BD4" w14:textId="5DE436D0" w:rsidR="00F97834" w:rsidRDefault="002D54A5" w:rsidP="00F97834">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240" w:lineRule="auto"/>
        <w:jc w:val="left"/>
        <w:rPr>
          <w:lang w:val="de-DE"/>
        </w:rPr>
      </w:pPr>
      <w:r>
        <w:rPr>
          <w:lang w:val="en-US"/>
        </w:rPr>
        <w:t>Applicants</w:t>
      </w:r>
      <w:r w:rsidR="00F97834">
        <w:rPr>
          <w:lang w:val="en-US"/>
        </w:rPr>
        <w:t>’ Counsel:</w:t>
      </w:r>
      <w:r w:rsidR="00F97834">
        <w:rPr>
          <w:lang w:val="en-US"/>
        </w:rPr>
        <w:tab/>
      </w:r>
      <w:r w:rsidR="00F97834">
        <w:rPr>
          <w:lang w:val="en-US"/>
        </w:rPr>
        <w:tab/>
      </w:r>
      <w:r w:rsidR="00BC5E76">
        <w:rPr>
          <w:lang w:val="en-US"/>
        </w:rPr>
        <w:tab/>
      </w:r>
      <w:r w:rsidR="00D360DA">
        <w:rPr>
          <w:lang w:val="en-US"/>
        </w:rPr>
        <w:tab/>
      </w:r>
      <w:r w:rsidR="00102054">
        <w:t>GW Amm</w:t>
      </w:r>
    </w:p>
    <w:p w14:paraId="5F1C29D7" w14:textId="35C190FE" w:rsidR="00F97834" w:rsidRDefault="00102054" w:rsidP="00F97834">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240" w:lineRule="auto"/>
        <w:jc w:val="left"/>
      </w:pPr>
      <w:r>
        <w:rPr>
          <w:lang w:val="de-DE"/>
        </w:rPr>
        <w:tab/>
      </w:r>
      <w:r>
        <w:rPr>
          <w:lang w:val="de-DE"/>
        </w:rPr>
        <w:tab/>
      </w:r>
      <w:r>
        <w:rPr>
          <w:lang w:val="de-DE"/>
        </w:rPr>
        <w:tab/>
      </w:r>
      <w:r>
        <w:rPr>
          <w:lang w:val="de-DE"/>
        </w:rPr>
        <w:tab/>
      </w:r>
      <w:r>
        <w:rPr>
          <w:lang w:val="de-DE"/>
        </w:rPr>
        <w:tab/>
      </w:r>
      <w:r>
        <w:rPr>
          <w:lang w:val="de-DE"/>
        </w:rPr>
        <w:tab/>
      </w:r>
      <w:r w:rsidR="00D360DA">
        <w:rPr>
          <w:lang w:val="de-DE"/>
        </w:rPr>
        <w:tab/>
      </w:r>
      <w:r w:rsidR="002D54A5" w:rsidRPr="002D54A5">
        <w:t>SG Dos Santos</w:t>
      </w:r>
    </w:p>
    <w:p w14:paraId="16E31012" w14:textId="77777777" w:rsidR="002D54A5" w:rsidRDefault="002D54A5" w:rsidP="00F97834">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240" w:lineRule="auto"/>
        <w:jc w:val="left"/>
        <w:rPr>
          <w:lang w:val="de-DE"/>
        </w:rPr>
      </w:pPr>
    </w:p>
    <w:p w14:paraId="3E59DB54" w14:textId="7B0F2FFA" w:rsidR="00F97834" w:rsidRPr="00F227D5" w:rsidRDefault="00F97834" w:rsidP="00F227D5">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jc w:val="left"/>
      </w:pPr>
      <w:r>
        <w:rPr>
          <w:rFonts w:eastAsia="MS Mincho"/>
          <w:lang w:val="en-GB" w:eastAsia="ja-JP"/>
        </w:rPr>
        <w:t>Instructed by:</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sidR="00D360DA">
        <w:rPr>
          <w:rFonts w:eastAsia="MS Mincho"/>
          <w:lang w:val="en-GB" w:eastAsia="ja-JP"/>
        </w:rPr>
        <w:tab/>
      </w:r>
      <w:r w:rsidR="00BC5E76" w:rsidRPr="00BC5E76">
        <w:rPr>
          <w:rFonts w:eastAsia="MS Mincho"/>
          <w:lang w:eastAsia="ja-JP"/>
        </w:rPr>
        <w:t>Cliffe Dekker Hofmeyr Inc.</w:t>
      </w:r>
    </w:p>
    <w:p w14:paraId="18400953" w14:textId="77777777" w:rsidR="00F97834" w:rsidRDefault="00F97834" w:rsidP="00F97834">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240" w:lineRule="auto"/>
        <w:ind w:firstLine="3969"/>
        <w:jc w:val="left"/>
      </w:pPr>
    </w:p>
    <w:p w14:paraId="36143DC8" w14:textId="2159ECC2" w:rsidR="00F97834" w:rsidRDefault="00D360DA" w:rsidP="00F97834">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240" w:lineRule="auto"/>
        <w:jc w:val="left"/>
        <w:rPr>
          <w:lang w:val="en-US"/>
        </w:rPr>
      </w:pPr>
      <w:r w:rsidRPr="00D360DA">
        <w:rPr>
          <w:lang w:val="en-US"/>
        </w:rPr>
        <w:t xml:space="preserve">Third </w:t>
      </w:r>
      <w:r>
        <w:rPr>
          <w:lang w:val="en-US"/>
        </w:rPr>
        <w:t>R</w:t>
      </w:r>
      <w:r w:rsidRPr="00D360DA">
        <w:rPr>
          <w:lang w:val="en-US"/>
        </w:rPr>
        <w:t xml:space="preserve">espondent’s </w:t>
      </w:r>
      <w:r>
        <w:rPr>
          <w:lang w:val="en-US"/>
        </w:rPr>
        <w:t>C</w:t>
      </w:r>
      <w:r w:rsidRPr="00D360DA">
        <w:rPr>
          <w:lang w:val="en-US"/>
        </w:rPr>
        <w:t>ounsel:</w:t>
      </w:r>
      <w:r w:rsidR="00F97834">
        <w:rPr>
          <w:lang w:val="en-US"/>
        </w:rPr>
        <w:t xml:space="preserve"> </w:t>
      </w:r>
      <w:r w:rsidR="00F97834">
        <w:rPr>
          <w:lang w:val="en-US"/>
        </w:rPr>
        <w:tab/>
      </w:r>
      <w:r w:rsidR="00F97834">
        <w:rPr>
          <w:lang w:val="en-US"/>
        </w:rPr>
        <w:tab/>
      </w:r>
      <w:r w:rsidR="00F97834">
        <w:rPr>
          <w:lang w:val="en-US"/>
        </w:rPr>
        <w:tab/>
      </w:r>
      <w:r w:rsidR="00AF5960" w:rsidRPr="00AF5960">
        <w:t>LB Broster SC</w:t>
      </w:r>
    </w:p>
    <w:p w14:paraId="4192FB7F" w14:textId="0326939C" w:rsidR="00F97834" w:rsidRDefault="00AF5960" w:rsidP="00F97834">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240" w:lineRule="auto"/>
        <w:jc w:val="left"/>
      </w:pPr>
      <w:r>
        <w:rPr>
          <w:lang w:val="en-US"/>
        </w:rPr>
        <w:tab/>
      </w:r>
      <w:r>
        <w:rPr>
          <w:lang w:val="en-US"/>
        </w:rPr>
        <w:tab/>
      </w:r>
      <w:r>
        <w:rPr>
          <w:lang w:val="en-US"/>
        </w:rPr>
        <w:tab/>
      </w:r>
      <w:r>
        <w:rPr>
          <w:lang w:val="en-US"/>
        </w:rPr>
        <w:tab/>
      </w:r>
      <w:r>
        <w:rPr>
          <w:lang w:val="en-US"/>
        </w:rPr>
        <w:tab/>
      </w:r>
      <w:r>
        <w:rPr>
          <w:lang w:val="en-US"/>
        </w:rPr>
        <w:tab/>
      </w:r>
      <w:r>
        <w:rPr>
          <w:lang w:val="en-US"/>
        </w:rPr>
        <w:tab/>
      </w:r>
      <w:r w:rsidR="00E52FB7">
        <w:rPr>
          <w:lang w:val="en-US"/>
        </w:rPr>
        <w:t>J</w:t>
      </w:r>
      <w:r w:rsidR="00E52FB7">
        <w:t>P Broster</w:t>
      </w:r>
    </w:p>
    <w:p w14:paraId="71FC1DBA" w14:textId="77777777" w:rsidR="00E52FB7" w:rsidRDefault="00E52FB7" w:rsidP="00F97834">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240" w:lineRule="auto"/>
        <w:jc w:val="left"/>
        <w:rPr>
          <w:lang w:val="en-US"/>
        </w:rPr>
      </w:pPr>
    </w:p>
    <w:p w14:paraId="74A9C696" w14:textId="09AE24CD" w:rsidR="00F97834" w:rsidRDefault="00F97834" w:rsidP="00E52FB7">
      <w:pPr>
        <w:pStyle w:val="BaseParagraph"/>
        <w:keepNext/>
        <w:keepLines/>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240" w:lineRule="auto"/>
        <w:ind w:left="2160" w:hanging="2160"/>
        <w:jc w:val="left"/>
        <w:rPr>
          <w:rFonts w:eastAsia="MS Mincho"/>
          <w:lang w:val="en-GB" w:eastAsia="ja-JP"/>
        </w:rPr>
      </w:pPr>
      <w:r>
        <w:rPr>
          <w:rFonts w:eastAsia="MS Mincho"/>
          <w:lang w:val="en-GB" w:eastAsia="ja-JP"/>
        </w:rPr>
        <w:t>Instructed by:</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sidR="00E52FB7">
        <w:rPr>
          <w:rFonts w:eastAsia="MS Mincho"/>
          <w:lang w:val="en-GB" w:eastAsia="ja-JP"/>
        </w:rPr>
        <w:tab/>
      </w:r>
      <w:r w:rsidR="0047502E" w:rsidRPr="0047502E">
        <w:rPr>
          <w:rFonts w:eastAsia="MS Mincho"/>
          <w:lang w:eastAsia="ja-JP"/>
        </w:rPr>
        <w:t>Bruce Rist Inc</w:t>
      </w:r>
      <w:r w:rsidR="0047502E">
        <w:rPr>
          <w:rFonts w:eastAsia="MS Mincho"/>
          <w:lang w:eastAsia="ja-JP"/>
        </w:rPr>
        <w:t>.</w:t>
      </w:r>
    </w:p>
    <w:p w14:paraId="348BE61D" w14:textId="3E5AE7F5" w:rsidR="004A4365" w:rsidRPr="0087723E" w:rsidRDefault="004A4365" w:rsidP="004A4365">
      <w:pPr>
        <w:spacing w:line="360" w:lineRule="auto"/>
        <w:rPr>
          <w:lang w:val="en-GB"/>
        </w:rPr>
      </w:pPr>
    </w:p>
    <w:sectPr w:rsidR="004A4365" w:rsidRPr="0087723E" w:rsidSect="00F9783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FC270" w14:textId="77777777" w:rsidR="008F3D66" w:rsidRDefault="008F3D66" w:rsidP="00EA7402">
      <w:pPr>
        <w:spacing w:after="0" w:line="240" w:lineRule="auto"/>
      </w:pPr>
      <w:r>
        <w:separator/>
      </w:r>
    </w:p>
  </w:endnote>
  <w:endnote w:type="continuationSeparator" w:id="0">
    <w:p w14:paraId="2A651676" w14:textId="77777777" w:rsidR="008F3D66" w:rsidRDefault="008F3D66" w:rsidP="00EA7402">
      <w:pPr>
        <w:spacing w:after="0" w:line="240" w:lineRule="auto"/>
      </w:pPr>
      <w:r>
        <w:continuationSeparator/>
      </w:r>
    </w:p>
  </w:endnote>
  <w:endnote w:type="continuationNotice" w:id="1">
    <w:p w14:paraId="504B339A" w14:textId="77777777" w:rsidR="008F3D66" w:rsidRDefault="008F3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0E452" w14:textId="77777777" w:rsidR="008F3D66" w:rsidRDefault="008F3D66" w:rsidP="00EA7402">
      <w:pPr>
        <w:spacing w:after="0" w:line="240" w:lineRule="auto"/>
      </w:pPr>
      <w:r>
        <w:separator/>
      </w:r>
    </w:p>
  </w:footnote>
  <w:footnote w:type="continuationSeparator" w:id="0">
    <w:p w14:paraId="2710298A" w14:textId="77777777" w:rsidR="008F3D66" w:rsidRDefault="008F3D66" w:rsidP="00EA7402">
      <w:pPr>
        <w:spacing w:after="0" w:line="240" w:lineRule="auto"/>
      </w:pPr>
      <w:r>
        <w:continuationSeparator/>
      </w:r>
    </w:p>
  </w:footnote>
  <w:footnote w:type="continuationNotice" w:id="1">
    <w:p w14:paraId="21429F6D" w14:textId="77777777" w:rsidR="008F3D66" w:rsidRDefault="008F3D66">
      <w:pPr>
        <w:spacing w:after="0" w:line="240" w:lineRule="auto"/>
      </w:pPr>
    </w:p>
  </w:footnote>
  <w:footnote w:id="2">
    <w:p w14:paraId="5600540E" w14:textId="408EDB29" w:rsidR="00337636" w:rsidRDefault="00337636" w:rsidP="00A05C00">
      <w:pPr>
        <w:pStyle w:val="FootnoteText"/>
        <w:jc w:val="both"/>
      </w:pPr>
      <w:r>
        <w:rPr>
          <w:rStyle w:val="FootnoteReference"/>
        </w:rPr>
        <w:footnoteRef/>
      </w:r>
      <w:r>
        <w:t xml:space="preserve"> Other points of exception were raised but these have not been persisted with and I have not been called upon to decide in the present matter.</w:t>
      </w:r>
    </w:p>
  </w:footnote>
  <w:footnote w:id="3">
    <w:p w14:paraId="783FA2C5" w14:textId="4E1843C8" w:rsidR="00BA198C" w:rsidRPr="00BA198C" w:rsidRDefault="00BA198C" w:rsidP="00A05C00">
      <w:pPr>
        <w:pStyle w:val="FootnoteText"/>
        <w:jc w:val="both"/>
        <w:rPr>
          <w:lang w:val="en-US"/>
        </w:rPr>
      </w:pPr>
      <w:r>
        <w:rPr>
          <w:rStyle w:val="FootnoteReference"/>
        </w:rPr>
        <w:footnoteRef/>
      </w:r>
      <w:r>
        <w:t xml:space="preserve"> </w:t>
      </w:r>
      <w:r>
        <w:rPr>
          <w:lang w:val="en-US"/>
        </w:rPr>
        <w:t xml:space="preserve">1927 CPD </w:t>
      </w:r>
      <w:r w:rsidR="00734325">
        <w:rPr>
          <w:lang w:val="en-US"/>
        </w:rPr>
        <w:t>27 at 29.</w:t>
      </w:r>
    </w:p>
  </w:footnote>
  <w:footnote w:id="4">
    <w:p w14:paraId="0B3BB932" w14:textId="2074D134" w:rsidR="00186812" w:rsidRPr="00186812" w:rsidRDefault="00186812" w:rsidP="00A05C00">
      <w:pPr>
        <w:pStyle w:val="FootnoteText"/>
        <w:jc w:val="both"/>
        <w:rPr>
          <w:lang w:val="en-US"/>
        </w:rPr>
      </w:pPr>
      <w:r>
        <w:rPr>
          <w:rStyle w:val="FootnoteReference"/>
        </w:rPr>
        <w:footnoteRef/>
      </w:r>
      <w:r>
        <w:t xml:space="preserve"> </w:t>
      </w:r>
      <w:r w:rsidRPr="00186812">
        <w:t xml:space="preserve">[2022] ZACC </w:t>
      </w:r>
      <w:r w:rsidR="00161A28" w:rsidRPr="00186812">
        <w:t xml:space="preserve">42 </w:t>
      </w:r>
      <w:r w:rsidR="00161A28">
        <w:t>paragraph</w:t>
      </w:r>
      <w:r>
        <w:t xml:space="preserve"> </w:t>
      </w:r>
      <w:r w:rsidRPr="00186812">
        <w:t>67</w:t>
      </w:r>
      <w:r>
        <w:t>.</w:t>
      </w:r>
    </w:p>
  </w:footnote>
  <w:footnote w:id="5">
    <w:p w14:paraId="3EBAECDB" w14:textId="2A53BBE9" w:rsidR="00185B10" w:rsidRPr="00185B10" w:rsidRDefault="00185B10">
      <w:pPr>
        <w:pStyle w:val="FootnoteText"/>
        <w:rPr>
          <w:lang w:val="en-US"/>
        </w:rPr>
      </w:pPr>
      <w:r>
        <w:rPr>
          <w:rStyle w:val="FootnoteReference"/>
        </w:rPr>
        <w:footnoteRef/>
      </w:r>
      <w:r>
        <w:t xml:space="preserve"> </w:t>
      </w:r>
      <w:r w:rsidR="00A978EB">
        <w:t xml:space="preserve">This is set out in more detail in </w:t>
      </w:r>
      <w:r>
        <w:rPr>
          <w:lang w:val="en-US"/>
        </w:rPr>
        <w:t>paragraphs</w:t>
      </w:r>
      <w:r w:rsidR="00D45BC8">
        <w:rPr>
          <w:lang w:val="en-US"/>
        </w:rPr>
        <w:t xml:space="preserve"> 54.12 to 54.</w:t>
      </w:r>
      <w:r w:rsidR="00A978EB">
        <w:rPr>
          <w:lang w:val="en-US"/>
        </w:rPr>
        <w:t>15</w:t>
      </w:r>
      <w:r w:rsidR="00D02B18">
        <w:rPr>
          <w:lang w:val="en-US"/>
        </w:rPr>
        <w:t xml:space="preserve"> of the Particulars of claim.</w:t>
      </w:r>
    </w:p>
  </w:footnote>
  <w:footnote w:id="6">
    <w:p w14:paraId="3EA60887" w14:textId="60724956" w:rsidR="0054472F" w:rsidRPr="0054472F" w:rsidRDefault="0054472F">
      <w:pPr>
        <w:pStyle w:val="FootnoteText"/>
        <w:rPr>
          <w:lang w:val="en-US"/>
        </w:rPr>
      </w:pPr>
      <w:r>
        <w:rPr>
          <w:rStyle w:val="FootnoteReference"/>
        </w:rPr>
        <w:footnoteRef/>
      </w:r>
      <w:r>
        <w:t xml:space="preserve"> </w:t>
      </w:r>
      <w:r w:rsidRPr="00B8639F">
        <w:rPr>
          <w:i/>
          <w:iCs/>
          <w:lang w:val="en-US"/>
        </w:rPr>
        <w:t>Children's Resource Centre Trust v Pioneer Food (Pty) Ltd</w:t>
      </w:r>
      <w:r w:rsidRPr="00B8639F">
        <w:rPr>
          <w:lang w:val="en-US"/>
        </w:rPr>
        <w:t xml:space="preserve"> 2013 (2) SA 213 (SCA)</w:t>
      </w:r>
      <w:r>
        <w:rPr>
          <w:lang w:val="en-US"/>
        </w:rPr>
        <w:t>.</w:t>
      </w:r>
    </w:p>
  </w:footnote>
  <w:footnote w:id="7">
    <w:p w14:paraId="1153D132" w14:textId="474F1615" w:rsidR="00B44F68" w:rsidRPr="00B44F68" w:rsidRDefault="00B44F68" w:rsidP="00B8639F">
      <w:pPr>
        <w:pStyle w:val="FootnoteText"/>
        <w:jc w:val="both"/>
        <w:rPr>
          <w:lang w:val="en-US"/>
        </w:rPr>
      </w:pPr>
      <w:r>
        <w:rPr>
          <w:rStyle w:val="FootnoteReference"/>
        </w:rPr>
        <w:footnoteRef/>
      </w:r>
      <w:r>
        <w:t xml:space="preserve"> </w:t>
      </w:r>
      <w:r w:rsidR="00113AEF">
        <w:t xml:space="preserve">See </w:t>
      </w:r>
      <w:r w:rsidR="009E3339">
        <w:t xml:space="preserve">Justice </w:t>
      </w:r>
      <w:r w:rsidR="00113AEF">
        <w:t>C. Jafta “</w:t>
      </w:r>
      <w:r w:rsidR="00113AEF" w:rsidRPr="009E3339">
        <w:rPr>
          <w:i/>
          <w:iCs/>
        </w:rPr>
        <w:t>Critical</w:t>
      </w:r>
      <w:r w:rsidR="006015C0" w:rsidRPr="009E3339">
        <w:rPr>
          <w:i/>
          <w:iCs/>
        </w:rPr>
        <w:t xml:space="preserve"> analysis of the extended legal standing provisions </w:t>
      </w:r>
      <w:r w:rsidR="002E41AF" w:rsidRPr="009E3339">
        <w:rPr>
          <w:i/>
          <w:iCs/>
        </w:rPr>
        <w:t xml:space="preserve">under section 157(1) of the Companies Act </w:t>
      </w:r>
      <w:r w:rsidR="009E3339" w:rsidRPr="009E3339">
        <w:rPr>
          <w:i/>
          <w:iCs/>
        </w:rPr>
        <w:t>71 of 2008 to apply for legal remedies.”</w:t>
      </w:r>
      <w:r w:rsidR="009E3339" w:rsidRPr="00490F71">
        <w:t xml:space="preserve"> (</w:t>
      </w:r>
      <w:r w:rsidR="00490F71" w:rsidRPr="00490F71">
        <w:t>2015) 1(1</w:t>
      </w:r>
      <w:r w:rsidR="008C00AF" w:rsidRPr="00490F71">
        <w:t>)) CCL</w:t>
      </w:r>
      <w:r w:rsidR="00490F71" w:rsidRPr="00490F71">
        <w:t>&amp;P 35</w:t>
      </w:r>
      <w:r w:rsidR="00113AEF">
        <w:t>,</w:t>
      </w:r>
      <w:r w:rsidR="00490F71" w:rsidRPr="00490F71">
        <w:t xml:space="preserve"> </w:t>
      </w:r>
      <w:r w:rsidR="00830884">
        <w:t>page 4</w:t>
      </w:r>
      <w:r w:rsidR="00EE421B">
        <w:t>1.</w:t>
      </w:r>
    </w:p>
  </w:footnote>
  <w:footnote w:id="8">
    <w:p w14:paraId="3A978E6D" w14:textId="3F9DD21B" w:rsidR="00F4424E" w:rsidRPr="00F4424E" w:rsidRDefault="00F4424E" w:rsidP="00F227D5">
      <w:pPr>
        <w:pStyle w:val="FootnoteText"/>
        <w:jc w:val="both"/>
        <w:rPr>
          <w:lang w:val="en-US"/>
        </w:rPr>
      </w:pPr>
      <w:r>
        <w:rPr>
          <w:rStyle w:val="FootnoteReference"/>
        </w:rPr>
        <w:footnoteRef/>
      </w:r>
      <w:r>
        <w:t xml:space="preserve"> </w:t>
      </w:r>
      <w:r w:rsidR="006075AB" w:rsidRPr="006075AB">
        <w:t>2018 (3) SA 604 (WCC)</w:t>
      </w:r>
    </w:p>
  </w:footnote>
  <w:footnote w:id="9">
    <w:p w14:paraId="325B1570" w14:textId="3AC43F82" w:rsidR="002231AD" w:rsidRPr="00DD1F7F" w:rsidRDefault="002231AD" w:rsidP="00F227D5">
      <w:pPr>
        <w:pStyle w:val="FootnoteText"/>
        <w:jc w:val="both"/>
        <w:rPr>
          <w:lang w:val="en-US"/>
        </w:rPr>
      </w:pPr>
      <w:r>
        <w:rPr>
          <w:rStyle w:val="FootnoteReference"/>
        </w:rPr>
        <w:footnoteRef/>
      </w:r>
      <w:r>
        <w:t xml:space="preserve"> </w:t>
      </w:r>
      <w:r>
        <w:rPr>
          <w:lang w:val="en-US"/>
        </w:rPr>
        <w:t>At paragraph 184.</w:t>
      </w:r>
    </w:p>
  </w:footnote>
  <w:footnote w:id="10">
    <w:p w14:paraId="6B5227A7" w14:textId="507C98B2" w:rsidR="002231AD" w:rsidRPr="00B8639F" w:rsidRDefault="002231AD" w:rsidP="00F227D5">
      <w:pPr>
        <w:pStyle w:val="FootnoteText"/>
        <w:jc w:val="both"/>
        <w:rPr>
          <w:lang w:val="en-US"/>
        </w:rPr>
      </w:pPr>
      <w:r w:rsidRPr="00B8639F">
        <w:rPr>
          <w:rStyle w:val="FootnoteReference"/>
        </w:rPr>
        <w:footnoteRef/>
      </w:r>
      <w:r w:rsidRPr="00B8639F">
        <w:t xml:space="preserve"> </w:t>
      </w:r>
      <w:r w:rsidRPr="00B8639F">
        <w:rPr>
          <w:lang w:val="en-US"/>
        </w:rPr>
        <w:t>Supra, paragraph 190.</w:t>
      </w:r>
      <w:r w:rsidR="002C316D" w:rsidRPr="00B8639F">
        <w:rPr>
          <w:lang w:val="en-US"/>
        </w:rPr>
        <w:t xml:space="preserve"> The two cases are </w:t>
      </w:r>
      <w:r w:rsidR="00082851" w:rsidRPr="00B8639F">
        <w:rPr>
          <w:i/>
          <w:iCs/>
          <w:lang w:val="en-US"/>
        </w:rPr>
        <w:t>Mukaddam v Pioneer Foods (Pt</w:t>
      </w:r>
      <w:r w:rsidR="00010AAD" w:rsidRPr="00B8639F">
        <w:rPr>
          <w:i/>
          <w:iCs/>
          <w:lang w:val="en-US"/>
        </w:rPr>
        <w:t>y</w:t>
      </w:r>
      <w:r w:rsidR="00082851" w:rsidRPr="00B8639F">
        <w:rPr>
          <w:i/>
          <w:iCs/>
          <w:lang w:val="en-US"/>
        </w:rPr>
        <w:t xml:space="preserve">) Ltd </w:t>
      </w:r>
      <w:r w:rsidR="00082851" w:rsidRPr="00B8639F">
        <w:rPr>
          <w:lang w:val="en-US"/>
        </w:rPr>
        <w:t xml:space="preserve">2013 </w:t>
      </w:r>
      <w:r w:rsidR="00644B2C" w:rsidRPr="00B8639F">
        <w:rPr>
          <w:lang w:val="en-US"/>
        </w:rPr>
        <w:t>(5</w:t>
      </w:r>
      <w:r w:rsidR="00082851" w:rsidRPr="00B8639F">
        <w:rPr>
          <w:lang w:val="en-US"/>
        </w:rPr>
        <w:t>) SA 89 (CC)</w:t>
      </w:r>
      <w:r w:rsidR="00010AAD" w:rsidRPr="00B8639F">
        <w:rPr>
          <w:lang w:val="en-US"/>
        </w:rPr>
        <w:t xml:space="preserve"> and </w:t>
      </w:r>
      <w:r w:rsidR="00F848BD" w:rsidRPr="00B8639F">
        <w:rPr>
          <w:i/>
          <w:iCs/>
          <w:lang w:val="en-US"/>
        </w:rPr>
        <w:t>Children's Resource Centre Trust v Pioneer Food (Pty) Ltd</w:t>
      </w:r>
      <w:r w:rsidR="00F848BD" w:rsidRPr="00B8639F">
        <w:rPr>
          <w:lang w:val="en-US"/>
        </w:rPr>
        <w:t xml:space="preserve"> 2013 (2) SA 213 (SCA)</w:t>
      </w:r>
    </w:p>
  </w:footnote>
  <w:footnote w:id="11">
    <w:p w14:paraId="31854DD3" w14:textId="15C54136" w:rsidR="00346EF3" w:rsidRPr="00F227D5" w:rsidRDefault="00346EF3" w:rsidP="00F227D5">
      <w:pPr>
        <w:spacing w:after="0" w:line="240" w:lineRule="auto"/>
        <w:jc w:val="both"/>
        <w:rPr>
          <w:i/>
          <w:iCs/>
          <w:sz w:val="20"/>
          <w:szCs w:val="20"/>
          <w:lang w:val="en-GB"/>
        </w:rPr>
      </w:pPr>
      <w:r w:rsidRPr="00B8639F">
        <w:rPr>
          <w:rStyle w:val="FootnoteReference"/>
          <w:sz w:val="20"/>
          <w:szCs w:val="20"/>
        </w:rPr>
        <w:footnoteRef/>
      </w:r>
      <w:r w:rsidRPr="00B8639F">
        <w:rPr>
          <w:sz w:val="20"/>
          <w:szCs w:val="20"/>
        </w:rPr>
        <w:t xml:space="preserve"> </w:t>
      </w:r>
      <w:r w:rsidR="0091430B" w:rsidRPr="00B8639F">
        <w:rPr>
          <w:i/>
          <w:sz w:val="20"/>
          <w:szCs w:val="20"/>
          <w:lang w:val="en-GB"/>
        </w:rPr>
        <w:t xml:space="preserve">Organisation Undoing Tax Abuse NPC and Another v Myeni and Another (15996/2017) [2019] ZAGPPHC 957 (12 December 2019) unreported paragraph </w:t>
      </w:r>
      <w:r w:rsidR="0014132C" w:rsidRPr="00B8639F">
        <w:rPr>
          <w:i/>
          <w:sz w:val="20"/>
          <w:szCs w:val="20"/>
          <w:lang w:val="en-GB"/>
        </w:rPr>
        <w:t>25</w:t>
      </w:r>
    </w:p>
  </w:footnote>
  <w:footnote w:id="12">
    <w:p w14:paraId="584E37D3" w14:textId="196A6C06" w:rsidR="0054472F" w:rsidRPr="0054472F" w:rsidRDefault="0054472F" w:rsidP="00F227D5">
      <w:pPr>
        <w:pStyle w:val="FootnoteText"/>
        <w:jc w:val="both"/>
        <w:rPr>
          <w:lang w:val="en-US"/>
        </w:rPr>
      </w:pPr>
      <w:r>
        <w:rPr>
          <w:rStyle w:val="FootnoteReference"/>
        </w:rPr>
        <w:footnoteRef/>
      </w:r>
      <w:r>
        <w:t xml:space="preserve"> By way of contrast, i</w:t>
      </w:r>
      <w:r>
        <w:rPr>
          <w:lang w:val="en-US"/>
        </w:rPr>
        <w:t xml:space="preserve">n </w:t>
      </w:r>
      <w:r w:rsidRPr="0054472F">
        <w:rPr>
          <w:i/>
          <w:iCs/>
          <w:lang w:val="en-US"/>
        </w:rPr>
        <w:t>Childrens Resource Centre</w:t>
      </w:r>
      <w:r>
        <w:rPr>
          <w:lang w:val="en-US"/>
        </w:rPr>
        <w:t xml:space="preserve">, supra, the court identified seven requirements for certification of a class </w:t>
      </w:r>
      <w:r w:rsidR="00CB3C33">
        <w:rPr>
          <w:lang w:val="en-US"/>
        </w:rPr>
        <w:t>action.</w:t>
      </w:r>
      <w:r>
        <w:rPr>
          <w:lang w:val="en-US"/>
        </w:rPr>
        <w:t xml:space="preserve"> </w:t>
      </w:r>
    </w:p>
  </w:footnote>
  <w:footnote w:id="13">
    <w:p w14:paraId="21B29CBE" w14:textId="41E05A7A" w:rsidR="002F345A" w:rsidRPr="002F345A" w:rsidRDefault="002F345A">
      <w:pPr>
        <w:pStyle w:val="FootnoteText"/>
        <w:rPr>
          <w:lang w:val="en-US"/>
        </w:rPr>
      </w:pPr>
      <w:r>
        <w:rPr>
          <w:rStyle w:val="FootnoteReference"/>
        </w:rPr>
        <w:footnoteRef/>
      </w:r>
      <w:r>
        <w:t xml:space="preserve"> </w:t>
      </w:r>
      <w:r w:rsidR="0006456C" w:rsidRPr="0006456C">
        <w:t>[2022] UKSC 25</w:t>
      </w:r>
      <w:r w:rsidR="0006456C">
        <w:t xml:space="preserve"> at paragraph 25.</w:t>
      </w:r>
    </w:p>
  </w:footnote>
  <w:footnote w:id="14">
    <w:p w14:paraId="208404C7" w14:textId="2A251C34" w:rsidR="00904B19" w:rsidRPr="00904B19" w:rsidRDefault="00904B19">
      <w:pPr>
        <w:pStyle w:val="FootnoteText"/>
        <w:rPr>
          <w:lang w:val="en-US"/>
        </w:rPr>
      </w:pPr>
      <w:r>
        <w:rPr>
          <w:rStyle w:val="FootnoteReference"/>
        </w:rPr>
        <w:footnoteRef/>
      </w:r>
      <w:r>
        <w:t xml:space="preserve"> </w:t>
      </w:r>
      <w:r>
        <w:rPr>
          <w:lang w:val="en-US"/>
        </w:rPr>
        <w:t>Supra, paragraph 59</w:t>
      </w:r>
    </w:p>
  </w:footnote>
  <w:footnote w:id="15">
    <w:p w14:paraId="312EB764" w14:textId="292187C5" w:rsidR="006600D6" w:rsidRDefault="006600D6" w:rsidP="003B0AC3">
      <w:pPr>
        <w:pStyle w:val="FootnoteText"/>
        <w:jc w:val="both"/>
      </w:pPr>
      <w:r>
        <w:rPr>
          <w:rStyle w:val="FootnoteReference"/>
        </w:rPr>
        <w:footnoteRef/>
      </w:r>
      <w:r w:rsidRPr="006600D6">
        <w:t xml:space="preserve"> </w:t>
      </w:r>
      <w:r w:rsidR="00D731D1">
        <w:t xml:space="preserve">As the authors of one company law text </w:t>
      </w:r>
      <w:r w:rsidR="0012471A">
        <w:t xml:space="preserve">have </w:t>
      </w:r>
      <w:r w:rsidR="00D731D1">
        <w:t>noted</w:t>
      </w:r>
      <w:r w:rsidR="0012471A">
        <w:t>:</w:t>
      </w:r>
      <w:r w:rsidR="00D731D1">
        <w:t xml:space="preserve"> </w:t>
      </w:r>
      <w:r w:rsidR="00DC5B61">
        <w:t>“</w:t>
      </w:r>
      <w:r w:rsidR="00DC5B61" w:rsidRPr="00253CEF">
        <w:rPr>
          <w:i/>
          <w:iCs/>
        </w:rPr>
        <w:t>Section 162(2)</w:t>
      </w:r>
      <w:r w:rsidRPr="00253CEF">
        <w:rPr>
          <w:i/>
          <w:iCs/>
        </w:rPr>
        <w:t xml:space="preserve"> </w:t>
      </w:r>
      <w:r w:rsidR="00253CEF" w:rsidRPr="00253CEF">
        <w:rPr>
          <w:i/>
          <w:iCs/>
        </w:rPr>
        <w:t>is a new remedy</w:t>
      </w:r>
      <w:r w:rsidR="00253CEF">
        <w:t xml:space="preserve">.” </w:t>
      </w:r>
      <w:r w:rsidRPr="006600D6">
        <w:t xml:space="preserve">See </w:t>
      </w:r>
      <w:r w:rsidR="00253CEF">
        <w:t>“</w:t>
      </w:r>
      <w:r w:rsidRPr="00253CEF">
        <w:rPr>
          <w:i/>
          <w:iCs/>
        </w:rPr>
        <w:t>The New Companies Act unlocked</w:t>
      </w:r>
      <w:r w:rsidR="00253CEF">
        <w:rPr>
          <w:i/>
          <w:iCs/>
        </w:rPr>
        <w:t>”</w:t>
      </w:r>
      <w:r w:rsidRPr="006600D6">
        <w:t xml:space="preserve"> C. Stein and G Everingham, 2011 page 227,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76122"/>
      <w:docPartObj>
        <w:docPartGallery w:val="Page Numbers (Top of Page)"/>
        <w:docPartUnique/>
      </w:docPartObj>
    </w:sdtPr>
    <w:sdtEndPr>
      <w:rPr>
        <w:noProof/>
      </w:rPr>
    </w:sdtEndPr>
    <w:sdtContent>
      <w:p w14:paraId="4D8C4991" w14:textId="09938AB0" w:rsidR="00D51FB7" w:rsidRDefault="00D51FB7">
        <w:pPr>
          <w:pStyle w:val="Header"/>
          <w:jc w:val="right"/>
        </w:pPr>
        <w:r>
          <w:fldChar w:fldCharType="begin"/>
        </w:r>
        <w:r>
          <w:instrText xml:space="preserve"> PAGE   \* MERGEFORMAT </w:instrText>
        </w:r>
        <w:r>
          <w:fldChar w:fldCharType="separate"/>
        </w:r>
        <w:r w:rsidR="008C3136">
          <w:rPr>
            <w:noProof/>
          </w:rPr>
          <w:t>20</w:t>
        </w:r>
        <w:r>
          <w:rPr>
            <w:noProof/>
          </w:rPr>
          <w:fldChar w:fldCharType="end"/>
        </w:r>
      </w:p>
    </w:sdtContent>
  </w:sdt>
  <w:p w14:paraId="122C37C0" w14:textId="77777777" w:rsidR="00D51FB7" w:rsidRDefault="00D51F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61439B5"/>
    <w:multiLevelType w:val="hybridMultilevel"/>
    <w:tmpl w:val="1870058A"/>
    <w:lvl w:ilvl="0" w:tplc="1C09001B">
      <w:start w:val="1"/>
      <w:numFmt w:val="lowerRoman"/>
      <w:lvlText w:val="%1."/>
      <w:lvlJc w:val="right"/>
      <w:pPr>
        <w:ind w:left="1756" w:hanging="360"/>
      </w:pPr>
    </w:lvl>
    <w:lvl w:ilvl="1" w:tplc="1C090019" w:tentative="1">
      <w:start w:val="1"/>
      <w:numFmt w:val="lowerLetter"/>
      <w:lvlText w:val="%2."/>
      <w:lvlJc w:val="left"/>
      <w:pPr>
        <w:ind w:left="709" w:hanging="360"/>
      </w:pPr>
    </w:lvl>
    <w:lvl w:ilvl="2" w:tplc="1C09001B" w:tentative="1">
      <w:start w:val="1"/>
      <w:numFmt w:val="lowerRoman"/>
      <w:lvlText w:val="%3."/>
      <w:lvlJc w:val="right"/>
      <w:pPr>
        <w:ind w:left="1429" w:hanging="180"/>
      </w:pPr>
    </w:lvl>
    <w:lvl w:ilvl="3" w:tplc="1C09000F" w:tentative="1">
      <w:start w:val="1"/>
      <w:numFmt w:val="decimal"/>
      <w:lvlText w:val="%4."/>
      <w:lvlJc w:val="left"/>
      <w:pPr>
        <w:ind w:left="2149" w:hanging="360"/>
      </w:pPr>
    </w:lvl>
    <w:lvl w:ilvl="4" w:tplc="1C090019" w:tentative="1">
      <w:start w:val="1"/>
      <w:numFmt w:val="lowerLetter"/>
      <w:lvlText w:val="%5."/>
      <w:lvlJc w:val="left"/>
      <w:pPr>
        <w:ind w:left="2869" w:hanging="360"/>
      </w:pPr>
    </w:lvl>
    <w:lvl w:ilvl="5" w:tplc="1C09001B" w:tentative="1">
      <w:start w:val="1"/>
      <w:numFmt w:val="lowerRoman"/>
      <w:lvlText w:val="%6."/>
      <w:lvlJc w:val="right"/>
      <w:pPr>
        <w:ind w:left="3589" w:hanging="180"/>
      </w:pPr>
    </w:lvl>
    <w:lvl w:ilvl="6" w:tplc="1C09000F" w:tentative="1">
      <w:start w:val="1"/>
      <w:numFmt w:val="decimal"/>
      <w:lvlText w:val="%7."/>
      <w:lvlJc w:val="left"/>
      <w:pPr>
        <w:ind w:left="4309" w:hanging="360"/>
      </w:pPr>
    </w:lvl>
    <w:lvl w:ilvl="7" w:tplc="1C090019" w:tentative="1">
      <w:start w:val="1"/>
      <w:numFmt w:val="lowerLetter"/>
      <w:lvlText w:val="%8."/>
      <w:lvlJc w:val="left"/>
      <w:pPr>
        <w:ind w:left="5029" w:hanging="360"/>
      </w:pPr>
    </w:lvl>
    <w:lvl w:ilvl="8" w:tplc="1C09001B" w:tentative="1">
      <w:start w:val="1"/>
      <w:numFmt w:val="lowerRoman"/>
      <w:lvlText w:val="%9."/>
      <w:lvlJc w:val="right"/>
      <w:pPr>
        <w:ind w:left="5749" w:hanging="180"/>
      </w:pPr>
    </w:lvl>
  </w:abstractNum>
  <w:abstractNum w:abstractNumId="2" w15:restartNumberingAfterBreak="0">
    <w:nsid w:val="20297613"/>
    <w:multiLevelType w:val="hybridMultilevel"/>
    <w:tmpl w:val="F522AE34"/>
    <w:lvl w:ilvl="0" w:tplc="7E9CA09C">
      <w:start w:val="1"/>
      <w:numFmt w:val="decimal"/>
      <w:lvlText w:val="[%1]"/>
      <w:lvlJc w:val="left"/>
      <w:pPr>
        <w:ind w:left="990" w:hanging="360"/>
      </w:pPr>
      <w:rPr>
        <w:rFonts w:ascii="Arial" w:hAnsi="Arial" w:hint="default"/>
      </w:rPr>
    </w:lvl>
    <w:lvl w:ilvl="1" w:tplc="1C090019">
      <w:start w:val="1"/>
      <w:numFmt w:val="lowerLetter"/>
      <w:lvlText w:val="%2."/>
      <w:lvlJc w:val="left"/>
      <w:pPr>
        <w:ind w:left="718" w:hanging="360"/>
      </w:pPr>
    </w:lvl>
    <w:lvl w:ilvl="2" w:tplc="1C09001B">
      <w:start w:val="1"/>
      <w:numFmt w:val="lowerRoman"/>
      <w:lvlText w:val="%3."/>
      <w:lvlJc w:val="right"/>
      <w:pPr>
        <w:ind w:left="2307" w:hanging="180"/>
      </w:pPr>
    </w:lvl>
    <w:lvl w:ilvl="3" w:tplc="1C09000F" w:tentative="1">
      <w:start w:val="1"/>
      <w:numFmt w:val="decimal"/>
      <w:lvlText w:val="%4."/>
      <w:lvlJc w:val="left"/>
      <w:pPr>
        <w:ind w:left="2158" w:hanging="360"/>
      </w:pPr>
    </w:lvl>
    <w:lvl w:ilvl="4" w:tplc="1C090019" w:tentative="1">
      <w:start w:val="1"/>
      <w:numFmt w:val="lowerLetter"/>
      <w:lvlText w:val="%5."/>
      <w:lvlJc w:val="left"/>
      <w:pPr>
        <w:ind w:left="2878" w:hanging="360"/>
      </w:pPr>
    </w:lvl>
    <w:lvl w:ilvl="5" w:tplc="1C09001B" w:tentative="1">
      <w:start w:val="1"/>
      <w:numFmt w:val="lowerRoman"/>
      <w:lvlText w:val="%6."/>
      <w:lvlJc w:val="right"/>
      <w:pPr>
        <w:ind w:left="3598" w:hanging="180"/>
      </w:pPr>
    </w:lvl>
    <w:lvl w:ilvl="6" w:tplc="1C09000F" w:tentative="1">
      <w:start w:val="1"/>
      <w:numFmt w:val="decimal"/>
      <w:lvlText w:val="%7."/>
      <w:lvlJc w:val="left"/>
      <w:pPr>
        <w:ind w:left="4318" w:hanging="360"/>
      </w:pPr>
    </w:lvl>
    <w:lvl w:ilvl="7" w:tplc="1C090019" w:tentative="1">
      <w:start w:val="1"/>
      <w:numFmt w:val="lowerLetter"/>
      <w:lvlText w:val="%8."/>
      <w:lvlJc w:val="left"/>
      <w:pPr>
        <w:ind w:left="5038" w:hanging="360"/>
      </w:pPr>
    </w:lvl>
    <w:lvl w:ilvl="8" w:tplc="1C09001B" w:tentative="1">
      <w:start w:val="1"/>
      <w:numFmt w:val="lowerRoman"/>
      <w:lvlText w:val="%9."/>
      <w:lvlJc w:val="right"/>
      <w:pPr>
        <w:ind w:left="5758" w:hanging="180"/>
      </w:pPr>
    </w:lvl>
  </w:abstractNum>
  <w:abstractNum w:abstractNumId="3" w15:restartNumberingAfterBreak="0">
    <w:nsid w:val="252F2FDC"/>
    <w:multiLevelType w:val="hybridMultilevel"/>
    <w:tmpl w:val="8CBC707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E5A73D9"/>
    <w:multiLevelType w:val="hybridMultilevel"/>
    <w:tmpl w:val="1DC694CE"/>
    <w:lvl w:ilvl="0" w:tplc="04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D825291"/>
    <w:multiLevelType w:val="hybridMultilevel"/>
    <w:tmpl w:val="84202400"/>
    <w:lvl w:ilvl="0" w:tplc="B8A4DAD6">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5F417CAA"/>
    <w:multiLevelType w:val="hybridMultilevel"/>
    <w:tmpl w:val="C384594C"/>
    <w:lvl w:ilvl="0" w:tplc="1CCE810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17A332C"/>
    <w:multiLevelType w:val="hybridMultilevel"/>
    <w:tmpl w:val="C1EC100E"/>
    <w:lvl w:ilvl="0" w:tplc="B8A4DAD6">
      <w:start w:val="1"/>
      <w:numFmt w:val="decimal"/>
      <w:lvlText w:val="[%1]"/>
      <w:lvlJc w:val="left"/>
      <w:pPr>
        <w:ind w:left="2072" w:hanging="36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8" w15:restartNumberingAfterBreak="0">
    <w:nsid w:val="7D353AB8"/>
    <w:multiLevelType w:val="hybridMultilevel"/>
    <w:tmpl w:val="51D4B5D4"/>
    <w:lvl w:ilvl="0" w:tplc="58CA9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4"/>
  </w:num>
  <w:num w:numId="5">
    <w:abstractNumId w:val="6"/>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81"/>
    <w:rsid w:val="0000271E"/>
    <w:rsid w:val="00002FAB"/>
    <w:rsid w:val="00010AAD"/>
    <w:rsid w:val="00023C48"/>
    <w:rsid w:val="000264E9"/>
    <w:rsid w:val="0003204F"/>
    <w:rsid w:val="000358E8"/>
    <w:rsid w:val="000470C6"/>
    <w:rsid w:val="000473B3"/>
    <w:rsid w:val="00050BE0"/>
    <w:rsid w:val="000577B2"/>
    <w:rsid w:val="00060541"/>
    <w:rsid w:val="000621B6"/>
    <w:rsid w:val="0006456C"/>
    <w:rsid w:val="0007127E"/>
    <w:rsid w:val="00075519"/>
    <w:rsid w:val="00082851"/>
    <w:rsid w:val="000833C5"/>
    <w:rsid w:val="00083851"/>
    <w:rsid w:val="00085FAF"/>
    <w:rsid w:val="00091F4F"/>
    <w:rsid w:val="00097B20"/>
    <w:rsid w:val="000A511C"/>
    <w:rsid w:val="000A7A05"/>
    <w:rsid w:val="000B0557"/>
    <w:rsid w:val="000B09DF"/>
    <w:rsid w:val="000B172E"/>
    <w:rsid w:val="000B28F2"/>
    <w:rsid w:val="000C32BD"/>
    <w:rsid w:val="000C677B"/>
    <w:rsid w:val="000C6C9D"/>
    <w:rsid w:val="000C76E8"/>
    <w:rsid w:val="000C7A7E"/>
    <w:rsid w:val="000D1545"/>
    <w:rsid w:val="000D3797"/>
    <w:rsid w:val="000E3881"/>
    <w:rsid w:val="000F1294"/>
    <w:rsid w:val="00102054"/>
    <w:rsid w:val="0010264E"/>
    <w:rsid w:val="0011105A"/>
    <w:rsid w:val="00111F2B"/>
    <w:rsid w:val="001135CE"/>
    <w:rsid w:val="00113AEF"/>
    <w:rsid w:val="00116686"/>
    <w:rsid w:val="00116AA7"/>
    <w:rsid w:val="00116E4A"/>
    <w:rsid w:val="00120542"/>
    <w:rsid w:val="00120550"/>
    <w:rsid w:val="00120E92"/>
    <w:rsid w:val="0012471A"/>
    <w:rsid w:val="001311D2"/>
    <w:rsid w:val="001402AB"/>
    <w:rsid w:val="0014132C"/>
    <w:rsid w:val="001512D2"/>
    <w:rsid w:val="00152744"/>
    <w:rsid w:val="001536B2"/>
    <w:rsid w:val="0015447E"/>
    <w:rsid w:val="00154AAC"/>
    <w:rsid w:val="00155431"/>
    <w:rsid w:val="00160700"/>
    <w:rsid w:val="00160CAE"/>
    <w:rsid w:val="00161A28"/>
    <w:rsid w:val="00164FCD"/>
    <w:rsid w:val="00164FF2"/>
    <w:rsid w:val="00174309"/>
    <w:rsid w:val="00176A16"/>
    <w:rsid w:val="00176B7B"/>
    <w:rsid w:val="00181DFB"/>
    <w:rsid w:val="00184AF5"/>
    <w:rsid w:val="00185072"/>
    <w:rsid w:val="00185B10"/>
    <w:rsid w:val="001867A3"/>
    <w:rsid w:val="00186812"/>
    <w:rsid w:val="00186A70"/>
    <w:rsid w:val="001874AA"/>
    <w:rsid w:val="00187AB1"/>
    <w:rsid w:val="0019002E"/>
    <w:rsid w:val="00192FE9"/>
    <w:rsid w:val="0019390C"/>
    <w:rsid w:val="001A1E57"/>
    <w:rsid w:val="001A7DBB"/>
    <w:rsid w:val="001B563D"/>
    <w:rsid w:val="001B5BCA"/>
    <w:rsid w:val="001C466F"/>
    <w:rsid w:val="001C4FFB"/>
    <w:rsid w:val="001C621C"/>
    <w:rsid w:val="001D2559"/>
    <w:rsid w:val="001D3596"/>
    <w:rsid w:val="001D561B"/>
    <w:rsid w:val="001D675A"/>
    <w:rsid w:val="001E112D"/>
    <w:rsid w:val="001E195C"/>
    <w:rsid w:val="001E6093"/>
    <w:rsid w:val="001E6DD7"/>
    <w:rsid w:val="001F2A1F"/>
    <w:rsid w:val="001F3499"/>
    <w:rsid w:val="001F5192"/>
    <w:rsid w:val="002003FA"/>
    <w:rsid w:val="00202AFB"/>
    <w:rsid w:val="00206C0E"/>
    <w:rsid w:val="00210779"/>
    <w:rsid w:val="00211929"/>
    <w:rsid w:val="0021706F"/>
    <w:rsid w:val="00221E64"/>
    <w:rsid w:val="00222D0C"/>
    <w:rsid w:val="002231AD"/>
    <w:rsid w:val="00223789"/>
    <w:rsid w:val="0023679A"/>
    <w:rsid w:val="0024416A"/>
    <w:rsid w:val="00253CEF"/>
    <w:rsid w:val="002548C4"/>
    <w:rsid w:val="00256788"/>
    <w:rsid w:val="00265431"/>
    <w:rsid w:val="00265C65"/>
    <w:rsid w:val="00266BAE"/>
    <w:rsid w:val="00275C4B"/>
    <w:rsid w:val="00275CDF"/>
    <w:rsid w:val="00275E38"/>
    <w:rsid w:val="002805D2"/>
    <w:rsid w:val="00280AA1"/>
    <w:rsid w:val="002852C8"/>
    <w:rsid w:val="002970D8"/>
    <w:rsid w:val="002A0B64"/>
    <w:rsid w:val="002A472C"/>
    <w:rsid w:val="002B23B5"/>
    <w:rsid w:val="002B3A86"/>
    <w:rsid w:val="002C0CC7"/>
    <w:rsid w:val="002C316D"/>
    <w:rsid w:val="002C34AD"/>
    <w:rsid w:val="002C6CC0"/>
    <w:rsid w:val="002D1217"/>
    <w:rsid w:val="002D54A5"/>
    <w:rsid w:val="002E0D5A"/>
    <w:rsid w:val="002E3762"/>
    <w:rsid w:val="002E41AF"/>
    <w:rsid w:val="002E5D58"/>
    <w:rsid w:val="002E7C50"/>
    <w:rsid w:val="002F05C6"/>
    <w:rsid w:val="002F345A"/>
    <w:rsid w:val="002F4CDC"/>
    <w:rsid w:val="00306CBA"/>
    <w:rsid w:val="00307EFB"/>
    <w:rsid w:val="00311C77"/>
    <w:rsid w:val="0031469F"/>
    <w:rsid w:val="00322C98"/>
    <w:rsid w:val="00322E2B"/>
    <w:rsid w:val="00324678"/>
    <w:rsid w:val="00327732"/>
    <w:rsid w:val="00330AC8"/>
    <w:rsid w:val="00331175"/>
    <w:rsid w:val="00336FBF"/>
    <w:rsid w:val="00337636"/>
    <w:rsid w:val="00337EC2"/>
    <w:rsid w:val="00342963"/>
    <w:rsid w:val="003466CC"/>
    <w:rsid w:val="00346EF3"/>
    <w:rsid w:val="003474FE"/>
    <w:rsid w:val="003477D1"/>
    <w:rsid w:val="00347F6D"/>
    <w:rsid w:val="0035142B"/>
    <w:rsid w:val="00360240"/>
    <w:rsid w:val="003677DE"/>
    <w:rsid w:val="00375EFE"/>
    <w:rsid w:val="00377639"/>
    <w:rsid w:val="003800D6"/>
    <w:rsid w:val="00386725"/>
    <w:rsid w:val="00390DA9"/>
    <w:rsid w:val="00395737"/>
    <w:rsid w:val="00396AB0"/>
    <w:rsid w:val="00397997"/>
    <w:rsid w:val="003A1F1F"/>
    <w:rsid w:val="003A42F2"/>
    <w:rsid w:val="003B0AC3"/>
    <w:rsid w:val="003C13C6"/>
    <w:rsid w:val="003C22AC"/>
    <w:rsid w:val="003C579E"/>
    <w:rsid w:val="003D47B9"/>
    <w:rsid w:val="003D6E09"/>
    <w:rsid w:val="003D71BF"/>
    <w:rsid w:val="003E3600"/>
    <w:rsid w:val="003F5DFC"/>
    <w:rsid w:val="003F72A0"/>
    <w:rsid w:val="00401124"/>
    <w:rsid w:val="004011C8"/>
    <w:rsid w:val="00401DDD"/>
    <w:rsid w:val="0040288A"/>
    <w:rsid w:val="00403545"/>
    <w:rsid w:val="004037A2"/>
    <w:rsid w:val="00403945"/>
    <w:rsid w:val="00410897"/>
    <w:rsid w:val="0041137F"/>
    <w:rsid w:val="00414701"/>
    <w:rsid w:val="004167D4"/>
    <w:rsid w:val="004175F7"/>
    <w:rsid w:val="00420D43"/>
    <w:rsid w:val="0042677D"/>
    <w:rsid w:val="004276EB"/>
    <w:rsid w:val="0042774A"/>
    <w:rsid w:val="0043157A"/>
    <w:rsid w:val="0043460C"/>
    <w:rsid w:val="00435072"/>
    <w:rsid w:val="00435E46"/>
    <w:rsid w:val="004414D5"/>
    <w:rsid w:val="00447B53"/>
    <w:rsid w:val="00447C7C"/>
    <w:rsid w:val="0045038E"/>
    <w:rsid w:val="00455B4B"/>
    <w:rsid w:val="004564F7"/>
    <w:rsid w:val="00464B3C"/>
    <w:rsid w:val="004705FB"/>
    <w:rsid w:val="004749F2"/>
    <w:rsid w:val="0047502E"/>
    <w:rsid w:val="00476275"/>
    <w:rsid w:val="004827B3"/>
    <w:rsid w:val="00486D80"/>
    <w:rsid w:val="00487F03"/>
    <w:rsid w:val="00490F71"/>
    <w:rsid w:val="004914D1"/>
    <w:rsid w:val="00493D8E"/>
    <w:rsid w:val="00494788"/>
    <w:rsid w:val="00496A41"/>
    <w:rsid w:val="004A4365"/>
    <w:rsid w:val="004A46FB"/>
    <w:rsid w:val="004B0705"/>
    <w:rsid w:val="004B5B23"/>
    <w:rsid w:val="004B7BEA"/>
    <w:rsid w:val="004C26CF"/>
    <w:rsid w:val="004C2882"/>
    <w:rsid w:val="004C5F62"/>
    <w:rsid w:val="004D4A4B"/>
    <w:rsid w:val="004E0B77"/>
    <w:rsid w:val="004F00D5"/>
    <w:rsid w:val="004F194B"/>
    <w:rsid w:val="004F5B2F"/>
    <w:rsid w:val="004F6676"/>
    <w:rsid w:val="00503DBF"/>
    <w:rsid w:val="0050555B"/>
    <w:rsid w:val="005066A5"/>
    <w:rsid w:val="00514102"/>
    <w:rsid w:val="00527DF7"/>
    <w:rsid w:val="00531A24"/>
    <w:rsid w:val="00536B67"/>
    <w:rsid w:val="005423DC"/>
    <w:rsid w:val="0054472F"/>
    <w:rsid w:val="005527DD"/>
    <w:rsid w:val="00556BA3"/>
    <w:rsid w:val="00556E28"/>
    <w:rsid w:val="00557D6A"/>
    <w:rsid w:val="00564DF5"/>
    <w:rsid w:val="005702E8"/>
    <w:rsid w:val="00583C16"/>
    <w:rsid w:val="00584CAC"/>
    <w:rsid w:val="005A02A0"/>
    <w:rsid w:val="005A197F"/>
    <w:rsid w:val="005A1C2E"/>
    <w:rsid w:val="005A79BC"/>
    <w:rsid w:val="005B4F5C"/>
    <w:rsid w:val="005B6D69"/>
    <w:rsid w:val="005C00EB"/>
    <w:rsid w:val="005C083B"/>
    <w:rsid w:val="005C0DB5"/>
    <w:rsid w:val="005C25D1"/>
    <w:rsid w:val="005C3DAA"/>
    <w:rsid w:val="005D2FD4"/>
    <w:rsid w:val="005D42F1"/>
    <w:rsid w:val="005F1132"/>
    <w:rsid w:val="005F2093"/>
    <w:rsid w:val="005F2528"/>
    <w:rsid w:val="005F7D94"/>
    <w:rsid w:val="006015C0"/>
    <w:rsid w:val="006075AB"/>
    <w:rsid w:val="0061649B"/>
    <w:rsid w:val="00621BCC"/>
    <w:rsid w:val="00624C1A"/>
    <w:rsid w:val="00632501"/>
    <w:rsid w:val="00634142"/>
    <w:rsid w:val="00635993"/>
    <w:rsid w:val="0064473A"/>
    <w:rsid w:val="00644B2C"/>
    <w:rsid w:val="00646138"/>
    <w:rsid w:val="00650C35"/>
    <w:rsid w:val="0065420A"/>
    <w:rsid w:val="006547A6"/>
    <w:rsid w:val="006600D6"/>
    <w:rsid w:val="006612A7"/>
    <w:rsid w:val="00662BE9"/>
    <w:rsid w:val="0067260E"/>
    <w:rsid w:val="006756F2"/>
    <w:rsid w:val="006761F3"/>
    <w:rsid w:val="0068169D"/>
    <w:rsid w:val="0068680B"/>
    <w:rsid w:val="006871D6"/>
    <w:rsid w:val="00687FBD"/>
    <w:rsid w:val="00690E90"/>
    <w:rsid w:val="00690FA0"/>
    <w:rsid w:val="00691D44"/>
    <w:rsid w:val="00693F09"/>
    <w:rsid w:val="00694713"/>
    <w:rsid w:val="00697F19"/>
    <w:rsid w:val="006A085A"/>
    <w:rsid w:val="006A2263"/>
    <w:rsid w:val="006A49F1"/>
    <w:rsid w:val="006A5431"/>
    <w:rsid w:val="006A63A8"/>
    <w:rsid w:val="006B1397"/>
    <w:rsid w:val="006C2FCA"/>
    <w:rsid w:val="006C5D2E"/>
    <w:rsid w:val="006C5F4A"/>
    <w:rsid w:val="006D1840"/>
    <w:rsid w:val="006D2EB7"/>
    <w:rsid w:val="006D471F"/>
    <w:rsid w:val="006E1414"/>
    <w:rsid w:val="006F1672"/>
    <w:rsid w:val="006F1C93"/>
    <w:rsid w:val="006F3A90"/>
    <w:rsid w:val="006F43D9"/>
    <w:rsid w:val="006F4486"/>
    <w:rsid w:val="006F6C6D"/>
    <w:rsid w:val="006F6D9F"/>
    <w:rsid w:val="006F7720"/>
    <w:rsid w:val="006F7B70"/>
    <w:rsid w:val="00702892"/>
    <w:rsid w:val="00710395"/>
    <w:rsid w:val="00711EBE"/>
    <w:rsid w:val="0072523F"/>
    <w:rsid w:val="00725283"/>
    <w:rsid w:val="00730BB1"/>
    <w:rsid w:val="0073148C"/>
    <w:rsid w:val="007337B8"/>
    <w:rsid w:val="00734325"/>
    <w:rsid w:val="007363B3"/>
    <w:rsid w:val="00741780"/>
    <w:rsid w:val="00741A1D"/>
    <w:rsid w:val="0074467A"/>
    <w:rsid w:val="00747CD6"/>
    <w:rsid w:val="00752C10"/>
    <w:rsid w:val="00752C8A"/>
    <w:rsid w:val="00752D2C"/>
    <w:rsid w:val="00753C32"/>
    <w:rsid w:val="00754591"/>
    <w:rsid w:val="007549FC"/>
    <w:rsid w:val="0075545E"/>
    <w:rsid w:val="007567F7"/>
    <w:rsid w:val="00757CB1"/>
    <w:rsid w:val="00760C86"/>
    <w:rsid w:val="00762E53"/>
    <w:rsid w:val="00764672"/>
    <w:rsid w:val="00764A26"/>
    <w:rsid w:val="0076745A"/>
    <w:rsid w:val="00767E38"/>
    <w:rsid w:val="00770DF1"/>
    <w:rsid w:val="00773CAA"/>
    <w:rsid w:val="00775ABE"/>
    <w:rsid w:val="00783A99"/>
    <w:rsid w:val="00786EDD"/>
    <w:rsid w:val="0079071B"/>
    <w:rsid w:val="0079350A"/>
    <w:rsid w:val="0079427A"/>
    <w:rsid w:val="00794E45"/>
    <w:rsid w:val="007A0043"/>
    <w:rsid w:val="007A0758"/>
    <w:rsid w:val="007A48EB"/>
    <w:rsid w:val="007A5E36"/>
    <w:rsid w:val="007C0EB1"/>
    <w:rsid w:val="007C6F02"/>
    <w:rsid w:val="007D2447"/>
    <w:rsid w:val="007D6F0C"/>
    <w:rsid w:val="007E00EB"/>
    <w:rsid w:val="007E2365"/>
    <w:rsid w:val="007E444D"/>
    <w:rsid w:val="007F1B44"/>
    <w:rsid w:val="00812486"/>
    <w:rsid w:val="008128AC"/>
    <w:rsid w:val="00814226"/>
    <w:rsid w:val="00821709"/>
    <w:rsid w:val="00822EF4"/>
    <w:rsid w:val="00824C24"/>
    <w:rsid w:val="00825274"/>
    <w:rsid w:val="008306A9"/>
    <w:rsid w:val="00830884"/>
    <w:rsid w:val="00846343"/>
    <w:rsid w:val="0084694F"/>
    <w:rsid w:val="0085481D"/>
    <w:rsid w:val="00860D98"/>
    <w:rsid w:val="0086254C"/>
    <w:rsid w:val="00863971"/>
    <w:rsid w:val="0087153C"/>
    <w:rsid w:val="0087723E"/>
    <w:rsid w:val="00880A7B"/>
    <w:rsid w:val="0088209C"/>
    <w:rsid w:val="008847B6"/>
    <w:rsid w:val="00885FA5"/>
    <w:rsid w:val="00886354"/>
    <w:rsid w:val="00891BB3"/>
    <w:rsid w:val="00893174"/>
    <w:rsid w:val="008A34BC"/>
    <w:rsid w:val="008A7294"/>
    <w:rsid w:val="008B184A"/>
    <w:rsid w:val="008B2E02"/>
    <w:rsid w:val="008B3A64"/>
    <w:rsid w:val="008B45B3"/>
    <w:rsid w:val="008B4C07"/>
    <w:rsid w:val="008B51C0"/>
    <w:rsid w:val="008B6363"/>
    <w:rsid w:val="008C00AF"/>
    <w:rsid w:val="008C21BD"/>
    <w:rsid w:val="008C22CF"/>
    <w:rsid w:val="008C3136"/>
    <w:rsid w:val="008C3AA4"/>
    <w:rsid w:val="008C448A"/>
    <w:rsid w:val="008D121F"/>
    <w:rsid w:val="008D3480"/>
    <w:rsid w:val="008D3819"/>
    <w:rsid w:val="008D63B6"/>
    <w:rsid w:val="008E425A"/>
    <w:rsid w:val="008E4415"/>
    <w:rsid w:val="008E5BC0"/>
    <w:rsid w:val="008F3D66"/>
    <w:rsid w:val="00904B19"/>
    <w:rsid w:val="0091430B"/>
    <w:rsid w:val="00922B37"/>
    <w:rsid w:val="00931BAF"/>
    <w:rsid w:val="00936EC3"/>
    <w:rsid w:val="00951A35"/>
    <w:rsid w:val="00955DD7"/>
    <w:rsid w:val="009572D5"/>
    <w:rsid w:val="00957492"/>
    <w:rsid w:val="009637B5"/>
    <w:rsid w:val="009665FC"/>
    <w:rsid w:val="00977182"/>
    <w:rsid w:val="00980FA9"/>
    <w:rsid w:val="009822D3"/>
    <w:rsid w:val="009827CC"/>
    <w:rsid w:val="009921A1"/>
    <w:rsid w:val="0099254B"/>
    <w:rsid w:val="00996B78"/>
    <w:rsid w:val="009A683A"/>
    <w:rsid w:val="009B53D5"/>
    <w:rsid w:val="009C24A3"/>
    <w:rsid w:val="009C4813"/>
    <w:rsid w:val="009C4D31"/>
    <w:rsid w:val="009C4FE7"/>
    <w:rsid w:val="009D04BD"/>
    <w:rsid w:val="009D2154"/>
    <w:rsid w:val="009D7700"/>
    <w:rsid w:val="009E0C64"/>
    <w:rsid w:val="009E1C86"/>
    <w:rsid w:val="009E3339"/>
    <w:rsid w:val="009E40EB"/>
    <w:rsid w:val="009E76D9"/>
    <w:rsid w:val="009E77CA"/>
    <w:rsid w:val="009F798C"/>
    <w:rsid w:val="00A00726"/>
    <w:rsid w:val="00A05C00"/>
    <w:rsid w:val="00A06A3C"/>
    <w:rsid w:val="00A07AEE"/>
    <w:rsid w:val="00A1410F"/>
    <w:rsid w:val="00A17A09"/>
    <w:rsid w:val="00A31162"/>
    <w:rsid w:val="00A32505"/>
    <w:rsid w:val="00A373CC"/>
    <w:rsid w:val="00A37E2A"/>
    <w:rsid w:val="00A41B4D"/>
    <w:rsid w:val="00A44C7D"/>
    <w:rsid w:val="00A50559"/>
    <w:rsid w:val="00A557D1"/>
    <w:rsid w:val="00A62DC7"/>
    <w:rsid w:val="00A652CB"/>
    <w:rsid w:val="00A660D8"/>
    <w:rsid w:val="00A67BA5"/>
    <w:rsid w:val="00A757BD"/>
    <w:rsid w:val="00A77700"/>
    <w:rsid w:val="00A80377"/>
    <w:rsid w:val="00A85E01"/>
    <w:rsid w:val="00A870DD"/>
    <w:rsid w:val="00A873FE"/>
    <w:rsid w:val="00A91B9D"/>
    <w:rsid w:val="00A945F2"/>
    <w:rsid w:val="00A95C91"/>
    <w:rsid w:val="00A978EB"/>
    <w:rsid w:val="00AA4C28"/>
    <w:rsid w:val="00AB0D8E"/>
    <w:rsid w:val="00AB2904"/>
    <w:rsid w:val="00AB6133"/>
    <w:rsid w:val="00AB6D0F"/>
    <w:rsid w:val="00AC26E2"/>
    <w:rsid w:val="00AC3D35"/>
    <w:rsid w:val="00AD3950"/>
    <w:rsid w:val="00AD6062"/>
    <w:rsid w:val="00AD70B8"/>
    <w:rsid w:val="00AE5BB6"/>
    <w:rsid w:val="00AF56E6"/>
    <w:rsid w:val="00AF5960"/>
    <w:rsid w:val="00AF61AA"/>
    <w:rsid w:val="00AF69B0"/>
    <w:rsid w:val="00B06069"/>
    <w:rsid w:val="00B0666C"/>
    <w:rsid w:val="00B07465"/>
    <w:rsid w:val="00B13E64"/>
    <w:rsid w:val="00B146FE"/>
    <w:rsid w:val="00B23AF5"/>
    <w:rsid w:val="00B27E28"/>
    <w:rsid w:val="00B42068"/>
    <w:rsid w:val="00B42329"/>
    <w:rsid w:val="00B42764"/>
    <w:rsid w:val="00B430A3"/>
    <w:rsid w:val="00B44F68"/>
    <w:rsid w:val="00B45300"/>
    <w:rsid w:val="00B45794"/>
    <w:rsid w:val="00B523FE"/>
    <w:rsid w:val="00B5383B"/>
    <w:rsid w:val="00B6069C"/>
    <w:rsid w:val="00B63C66"/>
    <w:rsid w:val="00B65578"/>
    <w:rsid w:val="00B71328"/>
    <w:rsid w:val="00B73120"/>
    <w:rsid w:val="00B73886"/>
    <w:rsid w:val="00B74CF8"/>
    <w:rsid w:val="00B74ED2"/>
    <w:rsid w:val="00B817A5"/>
    <w:rsid w:val="00B82927"/>
    <w:rsid w:val="00B84DB8"/>
    <w:rsid w:val="00B8599D"/>
    <w:rsid w:val="00B85A75"/>
    <w:rsid w:val="00B85E58"/>
    <w:rsid w:val="00B85F63"/>
    <w:rsid w:val="00B8639F"/>
    <w:rsid w:val="00B9386C"/>
    <w:rsid w:val="00B94F9C"/>
    <w:rsid w:val="00BA0F68"/>
    <w:rsid w:val="00BA11CF"/>
    <w:rsid w:val="00BA198C"/>
    <w:rsid w:val="00BA248E"/>
    <w:rsid w:val="00BA75EE"/>
    <w:rsid w:val="00BA7624"/>
    <w:rsid w:val="00BB4762"/>
    <w:rsid w:val="00BC3415"/>
    <w:rsid w:val="00BC5E76"/>
    <w:rsid w:val="00BD13C8"/>
    <w:rsid w:val="00BD5090"/>
    <w:rsid w:val="00BD7A51"/>
    <w:rsid w:val="00BF2427"/>
    <w:rsid w:val="00BF258A"/>
    <w:rsid w:val="00BF458B"/>
    <w:rsid w:val="00C1287C"/>
    <w:rsid w:val="00C14727"/>
    <w:rsid w:val="00C2029C"/>
    <w:rsid w:val="00C21A0C"/>
    <w:rsid w:val="00C323E3"/>
    <w:rsid w:val="00C453DE"/>
    <w:rsid w:val="00C51A62"/>
    <w:rsid w:val="00C52E0A"/>
    <w:rsid w:val="00C60AEA"/>
    <w:rsid w:val="00C640EC"/>
    <w:rsid w:val="00C64EAB"/>
    <w:rsid w:val="00C7120B"/>
    <w:rsid w:val="00C75D8C"/>
    <w:rsid w:val="00C81AB4"/>
    <w:rsid w:val="00C8312A"/>
    <w:rsid w:val="00C85317"/>
    <w:rsid w:val="00C947AC"/>
    <w:rsid w:val="00C94D2E"/>
    <w:rsid w:val="00C96202"/>
    <w:rsid w:val="00CA0653"/>
    <w:rsid w:val="00CA079F"/>
    <w:rsid w:val="00CA647D"/>
    <w:rsid w:val="00CA75DB"/>
    <w:rsid w:val="00CB3A61"/>
    <w:rsid w:val="00CB3C33"/>
    <w:rsid w:val="00CB6BA2"/>
    <w:rsid w:val="00CD10CF"/>
    <w:rsid w:val="00CD217D"/>
    <w:rsid w:val="00CD4BA9"/>
    <w:rsid w:val="00CE09EF"/>
    <w:rsid w:val="00CE79E8"/>
    <w:rsid w:val="00CF36C9"/>
    <w:rsid w:val="00CF51C1"/>
    <w:rsid w:val="00CF6B5D"/>
    <w:rsid w:val="00D01303"/>
    <w:rsid w:val="00D02B18"/>
    <w:rsid w:val="00D13448"/>
    <w:rsid w:val="00D15886"/>
    <w:rsid w:val="00D173EF"/>
    <w:rsid w:val="00D21846"/>
    <w:rsid w:val="00D2645E"/>
    <w:rsid w:val="00D2651B"/>
    <w:rsid w:val="00D31940"/>
    <w:rsid w:val="00D32551"/>
    <w:rsid w:val="00D360DA"/>
    <w:rsid w:val="00D3624E"/>
    <w:rsid w:val="00D405AB"/>
    <w:rsid w:val="00D45BC8"/>
    <w:rsid w:val="00D45DF5"/>
    <w:rsid w:val="00D46BEB"/>
    <w:rsid w:val="00D47EB0"/>
    <w:rsid w:val="00D51996"/>
    <w:rsid w:val="00D51FB7"/>
    <w:rsid w:val="00D6731D"/>
    <w:rsid w:val="00D720CB"/>
    <w:rsid w:val="00D731D1"/>
    <w:rsid w:val="00D755CB"/>
    <w:rsid w:val="00D77279"/>
    <w:rsid w:val="00D83132"/>
    <w:rsid w:val="00D90414"/>
    <w:rsid w:val="00D91F71"/>
    <w:rsid w:val="00D93D09"/>
    <w:rsid w:val="00D95F6F"/>
    <w:rsid w:val="00DA122E"/>
    <w:rsid w:val="00DA1602"/>
    <w:rsid w:val="00DA276F"/>
    <w:rsid w:val="00DA511E"/>
    <w:rsid w:val="00DA7102"/>
    <w:rsid w:val="00DB0B0A"/>
    <w:rsid w:val="00DB7C00"/>
    <w:rsid w:val="00DC0207"/>
    <w:rsid w:val="00DC5B61"/>
    <w:rsid w:val="00DC6C73"/>
    <w:rsid w:val="00DD1F7F"/>
    <w:rsid w:val="00DD6936"/>
    <w:rsid w:val="00DE137C"/>
    <w:rsid w:val="00DE24B9"/>
    <w:rsid w:val="00DE44F2"/>
    <w:rsid w:val="00DE4C83"/>
    <w:rsid w:val="00DF294D"/>
    <w:rsid w:val="00DF50A3"/>
    <w:rsid w:val="00E0103F"/>
    <w:rsid w:val="00E04EC9"/>
    <w:rsid w:val="00E21489"/>
    <w:rsid w:val="00E21562"/>
    <w:rsid w:val="00E239B9"/>
    <w:rsid w:val="00E25850"/>
    <w:rsid w:val="00E2596C"/>
    <w:rsid w:val="00E26BB1"/>
    <w:rsid w:val="00E311DB"/>
    <w:rsid w:val="00E37BD7"/>
    <w:rsid w:val="00E517FF"/>
    <w:rsid w:val="00E51BFB"/>
    <w:rsid w:val="00E52FB7"/>
    <w:rsid w:val="00E53EEE"/>
    <w:rsid w:val="00E56E9D"/>
    <w:rsid w:val="00E6481E"/>
    <w:rsid w:val="00E66EB5"/>
    <w:rsid w:val="00E67083"/>
    <w:rsid w:val="00E72DF8"/>
    <w:rsid w:val="00E76383"/>
    <w:rsid w:val="00E76990"/>
    <w:rsid w:val="00E83F4D"/>
    <w:rsid w:val="00E847F6"/>
    <w:rsid w:val="00E85F52"/>
    <w:rsid w:val="00E934D6"/>
    <w:rsid w:val="00EA5980"/>
    <w:rsid w:val="00EA7402"/>
    <w:rsid w:val="00EB05A0"/>
    <w:rsid w:val="00EC26B4"/>
    <w:rsid w:val="00EC40EC"/>
    <w:rsid w:val="00EC7293"/>
    <w:rsid w:val="00ED2F95"/>
    <w:rsid w:val="00EE1F4B"/>
    <w:rsid w:val="00EE421B"/>
    <w:rsid w:val="00EE5058"/>
    <w:rsid w:val="00EE5A1E"/>
    <w:rsid w:val="00EF2786"/>
    <w:rsid w:val="00EF35EF"/>
    <w:rsid w:val="00EF535D"/>
    <w:rsid w:val="00EF7F1A"/>
    <w:rsid w:val="00F0017A"/>
    <w:rsid w:val="00F05B6D"/>
    <w:rsid w:val="00F07A3F"/>
    <w:rsid w:val="00F137E7"/>
    <w:rsid w:val="00F21454"/>
    <w:rsid w:val="00F2202C"/>
    <w:rsid w:val="00F227D5"/>
    <w:rsid w:val="00F24E0D"/>
    <w:rsid w:val="00F3248B"/>
    <w:rsid w:val="00F33507"/>
    <w:rsid w:val="00F35472"/>
    <w:rsid w:val="00F36DCF"/>
    <w:rsid w:val="00F37744"/>
    <w:rsid w:val="00F40E8E"/>
    <w:rsid w:val="00F42711"/>
    <w:rsid w:val="00F4424E"/>
    <w:rsid w:val="00F53589"/>
    <w:rsid w:val="00F5364F"/>
    <w:rsid w:val="00F5435E"/>
    <w:rsid w:val="00F55869"/>
    <w:rsid w:val="00F5643B"/>
    <w:rsid w:val="00F63F75"/>
    <w:rsid w:val="00F65DFD"/>
    <w:rsid w:val="00F66AB9"/>
    <w:rsid w:val="00F66C39"/>
    <w:rsid w:val="00F7524F"/>
    <w:rsid w:val="00F7640F"/>
    <w:rsid w:val="00F840E2"/>
    <w:rsid w:val="00F848BD"/>
    <w:rsid w:val="00F96DFD"/>
    <w:rsid w:val="00F97834"/>
    <w:rsid w:val="00FA1EF6"/>
    <w:rsid w:val="00FA5726"/>
    <w:rsid w:val="00FA5AB4"/>
    <w:rsid w:val="00FA6098"/>
    <w:rsid w:val="00FA77C2"/>
    <w:rsid w:val="00FA7A03"/>
    <w:rsid w:val="00FB5172"/>
    <w:rsid w:val="00FB5588"/>
    <w:rsid w:val="00FB7CC7"/>
    <w:rsid w:val="00FD1B47"/>
    <w:rsid w:val="00FD3F92"/>
    <w:rsid w:val="00FD491B"/>
    <w:rsid w:val="00FE3141"/>
    <w:rsid w:val="00FF212A"/>
    <w:rsid w:val="00FF4AC0"/>
    <w:rsid w:val="00FF511D"/>
    <w:rsid w:val="00FF66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7403B"/>
  <w15:chartTrackingRefBased/>
  <w15:docId w15:val="{23D63409-D919-4606-AAEC-B92FC478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kern w:val="2"/>
        <w:sz w:val="24"/>
        <w:szCs w:val="24"/>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81"/>
    <w:pPr>
      <w:ind w:left="720"/>
      <w:contextualSpacing/>
    </w:pPr>
  </w:style>
  <w:style w:type="paragraph" w:styleId="FootnoteText">
    <w:name w:val="footnote text"/>
    <w:basedOn w:val="Normal"/>
    <w:link w:val="FootnoteTextChar"/>
    <w:uiPriority w:val="99"/>
    <w:semiHidden/>
    <w:unhideWhenUsed/>
    <w:rsid w:val="00EA7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402"/>
    <w:rPr>
      <w:sz w:val="20"/>
      <w:szCs w:val="20"/>
    </w:rPr>
  </w:style>
  <w:style w:type="character" w:styleId="FootnoteReference">
    <w:name w:val="footnote reference"/>
    <w:basedOn w:val="DefaultParagraphFont"/>
    <w:uiPriority w:val="99"/>
    <w:semiHidden/>
    <w:unhideWhenUsed/>
    <w:rsid w:val="00EA7402"/>
    <w:rPr>
      <w:vertAlign w:val="superscript"/>
    </w:rPr>
  </w:style>
  <w:style w:type="paragraph" w:styleId="NormalWeb">
    <w:name w:val="Normal (Web)"/>
    <w:basedOn w:val="Normal"/>
    <w:uiPriority w:val="99"/>
    <w:semiHidden/>
    <w:unhideWhenUsed/>
    <w:rsid w:val="006A5431"/>
    <w:pPr>
      <w:spacing w:before="100" w:beforeAutospacing="1" w:after="100" w:afterAutospacing="1" w:line="240" w:lineRule="auto"/>
    </w:pPr>
    <w:rPr>
      <w:rFonts w:ascii="Times New Roman" w:eastAsia="Times New Roman" w:hAnsi="Times New Roman" w:cs="Times New Roman"/>
      <w:iCs/>
      <w:kern w:val="0"/>
      <w:lang w:val="en-GB" w:eastAsia="en-GB"/>
      <w14:ligatures w14:val="none"/>
    </w:rPr>
  </w:style>
  <w:style w:type="character" w:styleId="Hyperlink">
    <w:name w:val="Hyperlink"/>
    <w:basedOn w:val="DefaultParagraphFont"/>
    <w:uiPriority w:val="99"/>
    <w:semiHidden/>
    <w:unhideWhenUsed/>
    <w:rsid w:val="006A5431"/>
    <w:rPr>
      <w:color w:val="0000FF"/>
      <w:u w:val="single"/>
    </w:rPr>
  </w:style>
  <w:style w:type="paragraph" w:styleId="Header">
    <w:name w:val="header"/>
    <w:basedOn w:val="Normal"/>
    <w:link w:val="HeaderChar"/>
    <w:uiPriority w:val="99"/>
    <w:unhideWhenUsed/>
    <w:rsid w:val="00D51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FB7"/>
  </w:style>
  <w:style w:type="paragraph" w:styleId="Footer">
    <w:name w:val="footer"/>
    <w:basedOn w:val="Normal"/>
    <w:link w:val="FooterChar"/>
    <w:uiPriority w:val="99"/>
    <w:unhideWhenUsed/>
    <w:rsid w:val="00D51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FB7"/>
  </w:style>
  <w:style w:type="paragraph" w:customStyle="1" w:styleId="BaseParagraph">
    <w:name w:val="Base Paragraph"/>
    <w:rsid w:val="00F97834"/>
    <w:pPr>
      <w:pBdr>
        <w:top w:val="nil"/>
        <w:left w:val="nil"/>
        <w:bottom w:val="nil"/>
        <w:right w:val="nil"/>
        <w:between w:val="nil"/>
        <w:bar w:val="nil"/>
      </w:pBdr>
      <w:spacing w:before="320" w:after="320" w:line="480" w:lineRule="auto"/>
      <w:jc w:val="both"/>
    </w:pPr>
    <w:rPr>
      <w:rFonts w:eastAsia="Arial"/>
      <w:color w:val="000000"/>
      <w:kern w:val="0"/>
      <w:bdr w:val="nil"/>
      <w:lang w:eastAsia="en-ZA"/>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0774">
      <w:bodyDiv w:val="1"/>
      <w:marLeft w:val="0"/>
      <w:marRight w:val="0"/>
      <w:marTop w:val="0"/>
      <w:marBottom w:val="0"/>
      <w:divBdr>
        <w:top w:val="none" w:sz="0" w:space="0" w:color="auto"/>
        <w:left w:val="none" w:sz="0" w:space="0" w:color="auto"/>
        <w:bottom w:val="none" w:sz="0" w:space="0" w:color="auto"/>
        <w:right w:val="none" w:sz="0" w:space="0" w:color="auto"/>
      </w:divBdr>
    </w:div>
    <w:div w:id="377780302">
      <w:bodyDiv w:val="1"/>
      <w:marLeft w:val="0"/>
      <w:marRight w:val="0"/>
      <w:marTop w:val="0"/>
      <w:marBottom w:val="0"/>
      <w:divBdr>
        <w:top w:val="none" w:sz="0" w:space="0" w:color="auto"/>
        <w:left w:val="none" w:sz="0" w:space="0" w:color="auto"/>
        <w:bottom w:val="none" w:sz="0" w:space="0" w:color="auto"/>
        <w:right w:val="none" w:sz="0" w:space="0" w:color="auto"/>
      </w:divBdr>
    </w:div>
    <w:div w:id="18681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D49D-D1C8-4BE6-810D-4828AD89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Mary Bruce</cp:lastModifiedBy>
  <cp:revision>3</cp:revision>
  <dcterms:created xsi:type="dcterms:W3CDTF">2023-11-24T09:16:00Z</dcterms:created>
  <dcterms:modified xsi:type="dcterms:W3CDTF">2023-11-24T17:59:00Z</dcterms:modified>
</cp:coreProperties>
</file>