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8999C8" w14:textId="77777777" w:rsidR="007B7F59" w:rsidRPr="00BB059B" w:rsidRDefault="007B7F59" w:rsidP="007B7F59">
      <w:pPr>
        <w:tabs>
          <w:tab w:val="left" w:pos="2342"/>
          <w:tab w:val="center" w:pos="4513"/>
        </w:tabs>
        <w:spacing w:after="0" w:line="240" w:lineRule="auto"/>
        <w:ind w:left="0"/>
        <w:jc w:val="center"/>
        <w:outlineLvl w:val="0"/>
        <w:rPr>
          <w:rFonts w:eastAsia="Times New Roman" w:cs="Arial"/>
          <w:b/>
          <w:noProof/>
          <w:color w:val="000000" w:themeColor="text1"/>
          <w:sz w:val="28"/>
          <w:szCs w:val="28"/>
          <w:lang w:val="en-ZA" w:eastAsia="en-ZA"/>
        </w:rPr>
      </w:pPr>
      <w:r w:rsidRPr="00BB059B">
        <w:rPr>
          <w:rFonts w:eastAsia="Times New Roman" w:cs="Arial"/>
          <w:b/>
          <w:noProof/>
          <w:color w:val="000000" w:themeColor="text1"/>
          <w:sz w:val="28"/>
          <w:szCs w:val="28"/>
          <w:lang w:val="en-ZA" w:eastAsia="en-ZA"/>
        </w:rPr>
        <w:t>REPUBLIC OF SOUTH AFRICA</w:t>
      </w:r>
    </w:p>
    <w:p w14:paraId="22DD7CB4" w14:textId="77777777" w:rsidR="007B7F59" w:rsidRPr="00BB059B" w:rsidRDefault="007B7F59" w:rsidP="007B7F59">
      <w:pPr>
        <w:tabs>
          <w:tab w:val="left" w:pos="2342"/>
          <w:tab w:val="center" w:pos="4513"/>
        </w:tabs>
        <w:spacing w:after="0" w:line="240" w:lineRule="auto"/>
        <w:ind w:left="0"/>
        <w:jc w:val="center"/>
        <w:outlineLvl w:val="0"/>
        <w:rPr>
          <w:rFonts w:eastAsia="Times New Roman" w:cs="Arial"/>
          <w:b/>
          <w:noProof/>
          <w:color w:val="000000" w:themeColor="text1"/>
          <w:sz w:val="28"/>
          <w:szCs w:val="28"/>
          <w:lang w:val="en-ZA" w:eastAsia="en-ZA"/>
        </w:rPr>
      </w:pPr>
    </w:p>
    <w:p w14:paraId="2605C05C" w14:textId="77777777" w:rsidR="007B7F59" w:rsidRPr="00BB059B" w:rsidRDefault="007B7F59" w:rsidP="007B7F59">
      <w:pPr>
        <w:tabs>
          <w:tab w:val="left" w:pos="2342"/>
          <w:tab w:val="center" w:pos="4513"/>
        </w:tabs>
        <w:spacing w:after="0" w:line="240" w:lineRule="auto"/>
        <w:ind w:left="0"/>
        <w:jc w:val="center"/>
        <w:outlineLvl w:val="0"/>
        <w:rPr>
          <w:rFonts w:eastAsia="Times New Roman" w:cs="Arial"/>
          <w:color w:val="000000" w:themeColor="text1"/>
          <w:sz w:val="28"/>
          <w:szCs w:val="28"/>
          <w:lang w:val="en-ZA"/>
        </w:rPr>
      </w:pPr>
      <w:r w:rsidRPr="00BB059B">
        <w:rPr>
          <w:rFonts w:eastAsia="Times New Roman" w:cs="Arial"/>
          <w:noProof/>
          <w:color w:val="000000" w:themeColor="text1"/>
          <w:sz w:val="28"/>
          <w:szCs w:val="28"/>
          <w:lang w:val="en-ZA" w:eastAsia="en-ZA"/>
        </w:rPr>
        <w:drawing>
          <wp:inline distT="0" distB="0" distL="0" distR="0" wp14:anchorId="6A5D1EAA" wp14:editId="116E5446">
            <wp:extent cx="1350645" cy="1350645"/>
            <wp:effectExtent l="0" t="0" r="1905" b="1905"/>
            <wp:docPr id="1" name="Picture 1" descr="Description: cid:image001.png@01D076AF.8E67B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cid:image001.png@01D076AF.8E67B52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50645" cy="1350645"/>
                    </a:xfrm>
                    <a:prstGeom prst="rect">
                      <a:avLst/>
                    </a:prstGeom>
                    <a:noFill/>
                    <a:ln>
                      <a:noFill/>
                    </a:ln>
                  </pic:spPr>
                </pic:pic>
              </a:graphicData>
            </a:graphic>
          </wp:inline>
        </w:drawing>
      </w:r>
    </w:p>
    <w:p w14:paraId="45B16163" w14:textId="77777777" w:rsidR="007B7F59" w:rsidRPr="00BB059B" w:rsidRDefault="007B7F59" w:rsidP="007B7F59">
      <w:pPr>
        <w:spacing w:after="0" w:line="240" w:lineRule="auto"/>
        <w:ind w:left="0"/>
        <w:jc w:val="center"/>
        <w:outlineLvl w:val="0"/>
        <w:rPr>
          <w:rFonts w:eastAsia="Times New Roman" w:cs="Arial"/>
          <w:b/>
          <w:color w:val="000000" w:themeColor="text1"/>
          <w:sz w:val="28"/>
          <w:szCs w:val="28"/>
          <w:lang w:val="en-ZA"/>
        </w:rPr>
      </w:pPr>
    </w:p>
    <w:p w14:paraId="40F1F63F" w14:textId="77777777" w:rsidR="007B7F59" w:rsidRPr="00BB059B" w:rsidRDefault="007B7F59" w:rsidP="007B7F59">
      <w:pPr>
        <w:spacing w:after="0" w:line="240" w:lineRule="auto"/>
        <w:ind w:left="0"/>
        <w:jc w:val="center"/>
        <w:outlineLvl w:val="0"/>
        <w:rPr>
          <w:rFonts w:eastAsia="Times New Roman" w:cs="Arial"/>
          <w:b/>
          <w:color w:val="000000" w:themeColor="text1"/>
          <w:sz w:val="28"/>
          <w:szCs w:val="28"/>
          <w:lang w:val="en-ZA"/>
        </w:rPr>
      </w:pPr>
      <w:r w:rsidRPr="00BB059B">
        <w:rPr>
          <w:rFonts w:eastAsia="Times New Roman" w:cs="Arial"/>
          <w:b/>
          <w:color w:val="000000" w:themeColor="text1"/>
          <w:sz w:val="28"/>
          <w:szCs w:val="28"/>
          <w:lang w:val="en-ZA"/>
        </w:rPr>
        <w:t>IN THE HIGH COURT OF SOUTH AFRICA</w:t>
      </w:r>
    </w:p>
    <w:p w14:paraId="1D809C37" w14:textId="77777777" w:rsidR="007B7F59" w:rsidRPr="00BB059B" w:rsidRDefault="007B7F59" w:rsidP="007B7F59">
      <w:pPr>
        <w:spacing w:after="0" w:line="240" w:lineRule="auto"/>
        <w:ind w:left="0"/>
        <w:jc w:val="center"/>
        <w:outlineLvl w:val="0"/>
        <w:rPr>
          <w:rFonts w:eastAsia="Times New Roman" w:cs="Arial"/>
          <w:b/>
          <w:color w:val="000000" w:themeColor="text1"/>
          <w:sz w:val="28"/>
          <w:szCs w:val="28"/>
          <w:lang w:val="en-ZA"/>
        </w:rPr>
      </w:pPr>
      <w:r w:rsidRPr="00BB059B">
        <w:rPr>
          <w:rFonts w:eastAsia="Times New Roman" w:cs="Arial"/>
          <w:b/>
          <w:color w:val="000000" w:themeColor="text1"/>
          <w:sz w:val="28"/>
          <w:szCs w:val="28"/>
          <w:lang w:val="en-ZA"/>
        </w:rPr>
        <w:t>GAUTENG LOCAL DIVISION, JOHANNESBURG</w:t>
      </w:r>
    </w:p>
    <w:p w14:paraId="69F5AED6" w14:textId="77777777" w:rsidR="007B7F59" w:rsidRPr="00745321" w:rsidRDefault="007B7F59" w:rsidP="007B7F59">
      <w:pPr>
        <w:spacing w:after="0" w:line="240" w:lineRule="auto"/>
        <w:ind w:left="0"/>
        <w:rPr>
          <w:rFonts w:eastAsia="Times New Roman" w:cs="Arial"/>
          <w:color w:val="000000" w:themeColor="text1"/>
          <w:szCs w:val="24"/>
          <w:lang w:val="en-ZA"/>
        </w:rPr>
      </w:pPr>
    </w:p>
    <w:p w14:paraId="1141452D" w14:textId="77777777" w:rsidR="007B7F59" w:rsidRPr="00745321" w:rsidRDefault="007B7F59" w:rsidP="007B7F59">
      <w:pPr>
        <w:spacing w:after="0" w:line="240" w:lineRule="auto"/>
        <w:ind w:left="0"/>
        <w:rPr>
          <w:rFonts w:eastAsia="Times New Roman" w:cs="Arial"/>
          <w:color w:val="000000" w:themeColor="text1"/>
          <w:szCs w:val="24"/>
          <w:lang w:val="en-ZA"/>
        </w:rPr>
      </w:pPr>
    </w:p>
    <w:p w14:paraId="10078560" w14:textId="41802A67" w:rsidR="007B7F59" w:rsidRPr="00745321" w:rsidRDefault="007B7F59" w:rsidP="007B7F59">
      <w:pPr>
        <w:tabs>
          <w:tab w:val="right" w:pos="9029"/>
        </w:tabs>
        <w:spacing w:after="0" w:line="240" w:lineRule="auto"/>
        <w:ind w:left="0"/>
        <w:rPr>
          <w:rFonts w:eastAsia="Times New Roman" w:cs="Arial"/>
          <w:bCs/>
          <w:color w:val="000000" w:themeColor="text1"/>
          <w:szCs w:val="24"/>
          <w:lang w:val="en-ZA"/>
        </w:rPr>
      </w:pPr>
      <w:r w:rsidRPr="00745321">
        <w:rPr>
          <w:rFonts w:eastAsia="Times New Roman" w:cs="Arial"/>
          <w:color w:val="000000" w:themeColor="text1"/>
          <w:szCs w:val="24"/>
          <w:lang w:val="en-ZA"/>
        </w:rPr>
        <w:tab/>
      </w:r>
      <w:r w:rsidRPr="00745321">
        <w:rPr>
          <w:rFonts w:eastAsia="Times New Roman" w:cs="Arial"/>
          <w:bCs/>
          <w:color w:val="000000" w:themeColor="text1"/>
          <w:szCs w:val="24"/>
          <w:lang w:val="en-ZA"/>
        </w:rPr>
        <w:t xml:space="preserve">Case Number: </w:t>
      </w:r>
      <w:r w:rsidR="00514365">
        <w:rPr>
          <w:rFonts w:eastAsia="Times New Roman" w:cs="Arial"/>
          <w:bCs/>
          <w:color w:val="000000" w:themeColor="text1"/>
          <w:szCs w:val="24"/>
          <w:lang w:val="en-ZA"/>
        </w:rPr>
        <w:t>31596/2014</w:t>
      </w:r>
    </w:p>
    <w:p w14:paraId="0B9465EE" w14:textId="77777777" w:rsidR="007B7F59" w:rsidRPr="00745321" w:rsidRDefault="007B7F59" w:rsidP="007B7F59">
      <w:pPr>
        <w:tabs>
          <w:tab w:val="right" w:pos="9029"/>
        </w:tabs>
        <w:spacing w:after="0" w:line="240" w:lineRule="auto"/>
        <w:ind w:left="0"/>
        <w:rPr>
          <w:rFonts w:eastAsia="Times New Roman" w:cs="Arial"/>
          <w:color w:val="000000" w:themeColor="text1"/>
          <w:szCs w:val="24"/>
          <w:lang w:val="en-ZA"/>
        </w:rPr>
      </w:pPr>
      <w:r w:rsidRPr="00745321">
        <w:rPr>
          <w:rFonts w:cs="Arial"/>
          <w:noProof/>
          <w:color w:val="000000" w:themeColor="text1"/>
          <w:szCs w:val="24"/>
          <w:lang w:val="en-ZA" w:eastAsia="en-ZA"/>
        </w:rPr>
        <mc:AlternateContent>
          <mc:Choice Requires="wps">
            <w:drawing>
              <wp:anchor distT="0" distB="0" distL="114300" distR="114300" simplePos="0" relativeHeight="251659264" behindDoc="0" locked="0" layoutInCell="1" allowOverlap="1" wp14:anchorId="50A3C637" wp14:editId="35F7FC14">
                <wp:simplePos x="0" y="0"/>
                <wp:positionH relativeFrom="margin">
                  <wp:posOffset>0</wp:posOffset>
                </wp:positionH>
                <wp:positionV relativeFrom="paragraph">
                  <wp:posOffset>20320</wp:posOffset>
                </wp:positionV>
                <wp:extent cx="3314700" cy="1054100"/>
                <wp:effectExtent l="0" t="0" r="19050" b="1270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054100"/>
                        </a:xfrm>
                        <a:prstGeom prst="rect">
                          <a:avLst/>
                        </a:prstGeom>
                        <a:solidFill>
                          <a:srgbClr val="FFFFFF"/>
                        </a:solidFill>
                        <a:ln w="9525">
                          <a:solidFill>
                            <a:srgbClr val="000000"/>
                          </a:solidFill>
                          <a:miter lim="800000"/>
                          <a:headEnd/>
                          <a:tailEnd/>
                        </a:ln>
                      </wps:spPr>
                      <wps:txbx>
                        <w:txbxContent>
                          <w:p w14:paraId="058E6BC7" w14:textId="0B8F17A9"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00EE64BE">
                              <w:rPr>
                                <w:rFonts w:cs="Arial"/>
                                <w:sz w:val="18"/>
                                <w:szCs w:val="20"/>
                              </w:rPr>
                              <w:t>NO</w:t>
                            </w:r>
                          </w:p>
                          <w:p w14:paraId="43C962F8" w14:textId="06314A49"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00EE64BE">
                              <w:rPr>
                                <w:rFonts w:cs="Arial"/>
                                <w:sz w:val="18"/>
                                <w:szCs w:val="20"/>
                              </w:rPr>
                              <w:t>NO</w:t>
                            </w:r>
                          </w:p>
                          <w:p w14:paraId="1FE6AE58" w14:textId="1C9A63B9"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00D14D97">
                              <w:rPr>
                                <w:rFonts w:cs="Arial"/>
                                <w:sz w:val="18"/>
                                <w:szCs w:val="20"/>
                              </w:rPr>
                              <w:t>NO</w:t>
                            </w:r>
                          </w:p>
                          <w:p w14:paraId="6FBB2F2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B0D969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du="http://schemas.microsoft.com/office/word/2023/wordml/word16du"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0A3C637" id="_x0000_t202" coordsize="21600,21600" o:spt="202" path="m,l,21600r21600,l21600,xe">
                <v:stroke joinstyle="miter"/>
                <v:path gradientshapeok="t" o:connecttype="rect"/>
              </v:shapetype>
              <v:shape id="Text Box 2" o:spid="_x0000_s1026" type="#_x0000_t202" style="position:absolute;left:0;text-align:left;margin-left:0;margin-top:1.6pt;width:261pt;height:83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5kFQIAACwEAAAOAAAAZHJzL2Uyb0RvYy54bWysU9tu2zAMfR+wfxD0vthOk7U14hRdugwD&#10;ugvQ7QMUWY6FyaJGKbGzry8lp2l2exmmB0EUqUPy8GhxM3SG7RV6DbbixSTnTFkJtbbbin/9sn51&#10;xZkPwtbCgFUVPyjPb5YvXyx6V6optGBqhYxArC97V/E2BFdmmZet6oSfgFOWnA1gJwKZuM1qFD2h&#10;dyab5vnrrAesHYJU3tPt3ejky4TfNEqGT03jVWCm4lRbSDumfRP3bLkQ5RaFa7U8liH+oYpOaEtJ&#10;T1B3Igi2Q/0bVKclgocmTCR0GTSNlir1QN0U+S/dPLTCqdQLkePdiSb//2Dlx/2D+4wsDG9goAGm&#10;Jry7B/nNMwurVtitukWEvlWipsRFpCzrnS+PTyPVvvQRZNN/gJqGLHYBEtDQYBdZoT4ZodMADifS&#10;1RCYpMuLi2J2mZNLkq/I57OCjJhDlE/PHfrwTkHH4qHiSFNN8GJ/78MY+hQSs3kwul5rY5KB283K&#10;INsLUsA6rSP6T2HGsr7i1/PpfGTgrxB5Wn+C6HQgKRvdVfzqFCTKyNtbWyehBaHNeKbujD0SGbkb&#10;WQzDZqDASOgG6gNRijBKlr4YHVrAH5z1JNeK++87gYoz897SWK6L2SzqOxmz+eWUDDz3bM49wkqC&#10;qnjgbDyuwvgndg71tqVMoxAs3NIoG51Ifq7qWDdJMo3p+H2i5s/tFPX8yZePAAAA//8DAFBLAwQU&#10;AAYACAAAACEAkz+yLNwAAAAGAQAADwAAAGRycy9kb3ducmV2LnhtbEyPwU7DMBBE70j8g7VIXBB1&#10;cCG0IU6FkEBwg7aCqxtvkwh7HWI3DX/PcoLjaEYzb8rV5J0YcYhdIA1XswwEUh1sR42G7ebxcgEi&#10;JkPWuECo4RsjrKrTk9IUNhzpDcd1agSXUCyMhjalvpAy1i16E2ehR2JvHwZvEsuhkXYwRy73Tqos&#10;y6U3HfFCa3p8aLH+XB+8hsX18/gRX+av73W+d8t0cTs+fQ1an59N93cgEk7pLwy/+IwOFTPtwoFs&#10;FE4DH0ka5goEmzdKsd5xKl8qkFUp/+NXPwAAAP//AwBQSwECLQAUAAYACAAAACEAtoM4kv4AAADh&#10;AQAAEwAAAAAAAAAAAAAAAAAAAAAAW0NvbnRlbnRfVHlwZXNdLnhtbFBLAQItABQABgAIAAAAIQA4&#10;/SH/1gAAAJQBAAALAAAAAAAAAAAAAAAAAC8BAABfcmVscy8ucmVsc1BLAQItABQABgAIAAAAIQAB&#10;/75kFQIAACwEAAAOAAAAAAAAAAAAAAAAAC4CAABkcnMvZTJvRG9jLnhtbFBLAQItABQABgAIAAAA&#10;IQCTP7Is3AAAAAYBAAAPAAAAAAAAAAAAAAAAAG8EAABkcnMvZG93bnJldi54bWxQSwUGAAAAAAQA&#10;BADzAAAAeAUAAAAA&#10;">
                <v:textbox>
                  <w:txbxContent>
                    <w:p w14:paraId="058E6BC7" w14:textId="0B8F17A9"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REPORTABLE: </w:t>
                      </w:r>
                      <w:r w:rsidR="00EE64BE">
                        <w:rPr>
                          <w:rFonts w:cs="Arial"/>
                          <w:sz w:val="18"/>
                          <w:szCs w:val="20"/>
                        </w:rPr>
                        <w:t>NO</w:t>
                      </w:r>
                    </w:p>
                    <w:p w14:paraId="43C962F8" w14:textId="06314A49" w:rsidR="007B7F59" w:rsidRPr="003B746C"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OF INTEREST TO OTHER JUDGES: </w:t>
                      </w:r>
                      <w:r w:rsidR="00EE64BE">
                        <w:rPr>
                          <w:rFonts w:cs="Arial"/>
                          <w:sz w:val="18"/>
                          <w:szCs w:val="20"/>
                        </w:rPr>
                        <w:t>NO</w:t>
                      </w:r>
                    </w:p>
                    <w:p w14:paraId="1FE6AE58" w14:textId="1C9A63B9" w:rsidR="007B7F59" w:rsidRDefault="007B7F59" w:rsidP="007B7F59">
                      <w:pPr>
                        <w:numPr>
                          <w:ilvl w:val="0"/>
                          <w:numId w:val="3"/>
                        </w:numPr>
                        <w:spacing w:after="0" w:line="240" w:lineRule="auto"/>
                        <w:jc w:val="left"/>
                        <w:rPr>
                          <w:rFonts w:cs="Arial"/>
                          <w:sz w:val="18"/>
                          <w:szCs w:val="20"/>
                        </w:rPr>
                      </w:pPr>
                      <w:r w:rsidRPr="003B746C">
                        <w:rPr>
                          <w:rFonts w:cs="Arial"/>
                          <w:sz w:val="18"/>
                          <w:szCs w:val="20"/>
                        </w:rPr>
                        <w:t xml:space="preserve">REVISED: </w:t>
                      </w:r>
                      <w:r w:rsidR="00D14D97">
                        <w:rPr>
                          <w:rFonts w:cs="Arial"/>
                          <w:sz w:val="18"/>
                          <w:szCs w:val="20"/>
                        </w:rPr>
                        <w:t>NO</w:t>
                      </w:r>
                    </w:p>
                    <w:p w14:paraId="6FBB2F2C" w14:textId="77777777" w:rsidR="007B7F59" w:rsidRPr="003B746C" w:rsidRDefault="007B7F59" w:rsidP="002B448C">
                      <w:pPr>
                        <w:spacing w:before="240" w:after="0"/>
                        <w:rPr>
                          <w:rFonts w:cs="Arial"/>
                          <w:b/>
                          <w:sz w:val="18"/>
                          <w:szCs w:val="20"/>
                        </w:rPr>
                      </w:pPr>
                      <w:r w:rsidRPr="003B746C">
                        <w:rPr>
                          <w:rFonts w:cs="Arial"/>
                          <w:b/>
                          <w:sz w:val="18"/>
                          <w:szCs w:val="20"/>
                        </w:rPr>
                        <w:t>______________</w:t>
                      </w:r>
                      <w:r w:rsidRPr="003B746C">
                        <w:rPr>
                          <w:rFonts w:cs="Arial"/>
                          <w:b/>
                          <w:sz w:val="18"/>
                          <w:szCs w:val="20"/>
                        </w:rPr>
                        <w:tab/>
                        <w:t>_________________________</w:t>
                      </w:r>
                    </w:p>
                    <w:p w14:paraId="7B0D9694" w14:textId="77777777" w:rsidR="007B7F59" w:rsidRPr="003B746C" w:rsidRDefault="007B7F59" w:rsidP="007B7F59">
                      <w:pPr>
                        <w:rPr>
                          <w:rFonts w:cs="Arial"/>
                          <w:sz w:val="18"/>
                          <w:szCs w:val="20"/>
                        </w:rPr>
                      </w:pPr>
                      <w:r w:rsidRPr="003B746C">
                        <w:rPr>
                          <w:rFonts w:cs="Arial"/>
                          <w:sz w:val="18"/>
                          <w:szCs w:val="20"/>
                        </w:rPr>
                        <w:t>DATE</w:t>
                      </w:r>
                      <w:r w:rsidRPr="003B746C">
                        <w:rPr>
                          <w:rFonts w:cs="Arial"/>
                          <w:sz w:val="18"/>
                          <w:szCs w:val="20"/>
                        </w:rPr>
                        <w:tab/>
                      </w:r>
                      <w:r w:rsidRPr="003B746C">
                        <w:rPr>
                          <w:rFonts w:cs="Arial"/>
                          <w:sz w:val="18"/>
                          <w:szCs w:val="20"/>
                        </w:rPr>
                        <w:tab/>
                        <w:t xml:space="preserve"> SIGNATURE</w:t>
                      </w:r>
                    </w:p>
                  </w:txbxContent>
                </v:textbox>
                <w10:wrap anchorx="margin"/>
              </v:shape>
            </w:pict>
          </mc:Fallback>
        </mc:AlternateContent>
      </w:r>
    </w:p>
    <w:p w14:paraId="57171BD3" w14:textId="77777777" w:rsidR="007B7F59" w:rsidRPr="00745321" w:rsidRDefault="007B7F59" w:rsidP="007B7F59">
      <w:pPr>
        <w:tabs>
          <w:tab w:val="left" w:pos="8998"/>
        </w:tabs>
        <w:spacing w:after="0" w:line="240" w:lineRule="auto"/>
        <w:ind w:left="0"/>
        <w:rPr>
          <w:rFonts w:eastAsia="Times New Roman" w:cs="Arial"/>
          <w:color w:val="000000" w:themeColor="text1"/>
          <w:szCs w:val="24"/>
          <w:lang w:val="en-ZA"/>
        </w:rPr>
      </w:pPr>
    </w:p>
    <w:p w14:paraId="2C93489E" w14:textId="77777777" w:rsidR="007B7F59" w:rsidRPr="00745321" w:rsidRDefault="007B7F59" w:rsidP="007B7F59">
      <w:pPr>
        <w:tabs>
          <w:tab w:val="left" w:pos="8998"/>
        </w:tabs>
        <w:spacing w:after="0" w:line="240" w:lineRule="auto"/>
        <w:ind w:left="0"/>
        <w:rPr>
          <w:rFonts w:eastAsia="Times New Roman" w:cs="Arial"/>
          <w:color w:val="000000" w:themeColor="text1"/>
          <w:szCs w:val="24"/>
          <w:lang w:val="en-ZA"/>
        </w:rPr>
      </w:pPr>
    </w:p>
    <w:p w14:paraId="29559C82" w14:textId="77777777" w:rsidR="007B7F59" w:rsidRPr="00745321" w:rsidRDefault="007B7F59" w:rsidP="007B7F59">
      <w:pPr>
        <w:tabs>
          <w:tab w:val="left" w:pos="8998"/>
        </w:tabs>
        <w:spacing w:after="0" w:line="240" w:lineRule="auto"/>
        <w:ind w:left="0"/>
        <w:rPr>
          <w:rFonts w:eastAsia="Times New Roman" w:cs="Arial"/>
          <w:color w:val="000000" w:themeColor="text1"/>
          <w:szCs w:val="24"/>
          <w:lang w:val="en-ZA"/>
        </w:rPr>
      </w:pPr>
      <w:r w:rsidRPr="00745321">
        <w:rPr>
          <w:rFonts w:eastAsia="Times New Roman" w:cs="Arial"/>
          <w:color w:val="000000" w:themeColor="text1"/>
          <w:szCs w:val="24"/>
          <w:lang w:val="en-ZA"/>
        </w:rPr>
        <w:t>In the matter between:</w:t>
      </w:r>
    </w:p>
    <w:p w14:paraId="5461E92A" w14:textId="77777777" w:rsidR="007B7F59" w:rsidRPr="00745321" w:rsidRDefault="007B7F59" w:rsidP="007B7F59">
      <w:pPr>
        <w:tabs>
          <w:tab w:val="right" w:pos="9029"/>
        </w:tabs>
        <w:spacing w:after="0" w:line="240" w:lineRule="auto"/>
        <w:ind w:left="0"/>
        <w:rPr>
          <w:rFonts w:eastAsia="Times New Roman" w:cs="Arial"/>
          <w:color w:val="000000" w:themeColor="text1"/>
          <w:szCs w:val="24"/>
          <w:lang w:val="en-ZA"/>
        </w:rPr>
      </w:pPr>
    </w:p>
    <w:p w14:paraId="4B3AC41A" w14:textId="77777777" w:rsidR="007B7F59" w:rsidRPr="00745321" w:rsidRDefault="007B7F59" w:rsidP="007B7F59">
      <w:pPr>
        <w:tabs>
          <w:tab w:val="right" w:pos="9029"/>
        </w:tabs>
        <w:spacing w:after="0" w:line="240" w:lineRule="auto"/>
        <w:ind w:left="0"/>
        <w:rPr>
          <w:rFonts w:eastAsia="Times New Roman" w:cs="Arial"/>
          <w:color w:val="000000" w:themeColor="text1"/>
          <w:szCs w:val="24"/>
          <w:lang w:val="en-ZA"/>
        </w:rPr>
      </w:pPr>
    </w:p>
    <w:p w14:paraId="2881FD1A" w14:textId="77777777" w:rsidR="007B7F59" w:rsidRPr="00745321" w:rsidRDefault="007B7F59" w:rsidP="007B7F59">
      <w:pPr>
        <w:tabs>
          <w:tab w:val="right" w:pos="9029"/>
        </w:tabs>
        <w:spacing w:after="0" w:line="240" w:lineRule="auto"/>
        <w:ind w:left="0"/>
        <w:contextualSpacing/>
        <w:rPr>
          <w:rFonts w:eastAsia="Times New Roman" w:cs="Arial"/>
          <w:b/>
          <w:color w:val="000000" w:themeColor="text1"/>
          <w:szCs w:val="24"/>
          <w:lang w:val="en-ZA"/>
        </w:rPr>
      </w:pPr>
    </w:p>
    <w:p w14:paraId="1DD79841" w14:textId="77777777" w:rsidR="007B7F59" w:rsidRPr="00993022" w:rsidRDefault="007B7F59" w:rsidP="007B7F59">
      <w:pPr>
        <w:tabs>
          <w:tab w:val="right" w:pos="9029"/>
        </w:tabs>
        <w:spacing w:after="0" w:line="240" w:lineRule="auto"/>
        <w:ind w:left="0"/>
        <w:contextualSpacing/>
        <w:rPr>
          <w:rFonts w:eastAsia="Times New Roman" w:cs="Arial"/>
          <w:b/>
          <w:color w:val="000000" w:themeColor="text1"/>
          <w:szCs w:val="24"/>
          <w:lang w:val="en-ZA"/>
        </w:rPr>
      </w:pPr>
    </w:p>
    <w:p w14:paraId="72F8A5DD" w14:textId="77777777" w:rsidR="007B7F59" w:rsidRPr="00993022" w:rsidRDefault="007B7F59" w:rsidP="007B7F59">
      <w:pPr>
        <w:tabs>
          <w:tab w:val="right" w:pos="9029"/>
        </w:tabs>
        <w:spacing w:after="0" w:line="240" w:lineRule="auto"/>
        <w:ind w:left="0"/>
        <w:contextualSpacing/>
        <w:rPr>
          <w:rFonts w:eastAsia="Times New Roman" w:cs="Arial"/>
          <w:color w:val="000000" w:themeColor="text1"/>
          <w:szCs w:val="24"/>
          <w:lang w:val="en-ZA"/>
        </w:rPr>
      </w:pPr>
      <w:r w:rsidRPr="00993022">
        <w:rPr>
          <w:rFonts w:eastAsia="Times New Roman" w:cs="Arial"/>
          <w:color w:val="000000" w:themeColor="text1"/>
          <w:szCs w:val="24"/>
          <w:lang w:val="en-ZA"/>
        </w:rPr>
        <w:t>In the matter between:</w:t>
      </w:r>
    </w:p>
    <w:p w14:paraId="48000E97" w14:textId="77777777" w:rsidR="007B7F59" w:rsidRPr="00993022" w:rsidRDefault="007B7F59" w:rsidP="007B7F59">
      <w:pPr>
        <w:tabs>
          <w:tab w:val="right" w:pos="9029"/>
        </w:tabs>
        <w:spacing w:after="0" w:line="240" w:lineRule="auto"/>
        <w:ind w:left="0"/>
        <w:contextualSpacing/>
        <w:rPr>
          <w:rFonts w:eastAsia="Times New Roman" w:cs="Arial"/>
          <w:b/>
          <w:color w:val="000000" w:themeColor="text1"/>
          <w:szCs w:val="24"/>
          <w:lang w:val="en-ZA"/>
        </w:rPr>
      </w:pPr>
    </w:p>
    <w:p w14:paraId="453C81B5" w14:textId="77777777" w:rsidR="007B7F59" w:rsidRPr="00993022" w:rsidRDefault="007B7F59" w:rsidP="007B7F59">
      <w:pPr>
        <w:tabs>
          <w:tab w:val="right" w:pos="9029"/>
        </w:tabs>
        <w:spacing w:after="0" w:line="240" w:lineRule="auto"/>
        <w:ind w:left="0"/>
        <w:contextualSpacing/>
        <w:rPr>
          <w:rFonts w:eastAsia="Times New Roman" w:cs="Arial"/>
          <w:b/>
          <w:color w:val="000000" w:themeColor="text1"/>
          <w:szCs w:val="24"/>
          <w:lang w:val="en-ZA"/>
        </w:rPr>
      </w:pPr>
    </w:p>
    <w:p w14:paraId="2C6D1099" w14:textId="0309363F" w:rsidR="00207FDD" w:rsidRPr="00207FDD" w:rsidRDefault="00514365" w:rsidP="00207FDD">
      <w:pPr>
        <w:tabs>
          <w:tab w:val="right" w:pos="9029"/>
        </w:tabs>
        <w:spacing w:after="0" w:line="240" w:lineRule="auto"/>
        <w:ind w:left="0"/>
        <w:contextualSpacing/>
        <w:rPr>
          <w:rFonts w:eastAsia="Times New Roman" w:cs="Arial"/>
          <w:color w:val="000000" w:themeColor="text1"/>
          <w:szCs w:val="24"/>
          <w:lang w:val="en-ZA"/>
        </w:rPr>
      </w:pPr>
      <w:r>
        <w:rPr>
          <w:rFonts w:eastAsia="Times New Roman" w:cs="Times New Roman"/>
          <w:b/>
          <w:color w:val="000000" w:themeColor="text1"/>
          <w:kern w:val="28"/>
          <w:szCs w:val="24"/>
          <w:lang w:eastAsia="en-GB"/>
        </w:rPr>
        <w:t xml:space="preserve">MAKGABO KLAAS LAMOLA </w:t>
      </w:r>
      <w:r w:rsidR="007B7F59" w:rsidRPr="00993022">
        <w:rPr>
          <w:rFonts w:eastAsia="Times New Roman" w:cs="Arial"/>
          <w:b/>
          <w:color w:val="000000" w:themeColor="text1"/>
          <w:szCs w:val="24"/>
          <w:lang w:val="en-ZA"/>
        </w:rPr>
        <w:tab/>
      </w:r>
      <w:r w:rsidR="007B7F59" w:rsidRPr="00993022">
        <w:rPr>
          <w:rFonts w:eastAsia="Times New Roman" w:cs="Arial"/>
          <w:color w:val="000000" w:themeColor="text1"/>
          <w:szCs w:val="24"/>
          <w:lang w:val="en-ZA"/>
        </w:rPr>
        <w:t>Applicant</w:t>
      </w:r>
    </w:p>
    <w:p w14:paraId="7695CC37" w14:textId="77777777" w:rsidR="007B7F59" w:rsidRPr="00993022" w:rsidRDefault="007B7F59" w:rsidP="007B7F59">
      <w:pPr>
        <w:tabs>
          <w:tab w:val="right" w:pos="9029"/>
        </w:tabs>
        <w:spacing w:after="0" w:line="240" w:lineRule="auto"/>
        <w:ind w:left="0"/>
        <w:contextualSpacing/>
        <w:rPr>
          <w:rFonts w:eastAsia="Times New Roman" w:cs="Arial"/>
          <w:color w:val="000000" w:themeColor="text1"/>
          <w:szCs w:val="24"/>
          <w:lang w:val="en-ZA"/>
        </w:rPr>
      </w:pPr>
    </w:p>
    <w:p w14:paraId="6BC85C81" w14:textId="77777777" w:rsidR="007B7F59" w:rsidRPr="00993022" w:rsidRDefault="007B7F59" w:rsidP="007B7F59">
      <w:pPr>
        <w:tabs>
          <w:tab w:val="right" w:pos="9029"/>
        </w:tabs>
        <w:spacing w:after="0" w:line="240" w:lineRule="auto"/>
        <w:ind w:left="0"/>
        <w:contextualSpacing/>
        <w:rPr>
          <w:rFonts w:eastAsia="Times New Roman" w:cs="Arial"/>
          <w:color w:val="000000" w:themeColor="text1"/>
          <w:szCs w:val="24"/>
          <w:lang w:val="en-ZA"/>
        </w:rPr>
      </w:pPr>
      <w:proofErr w:type="gramStart"/>
      <w:r w:rsidRPr="00993022">
        <w:rPr>
          <w:rFonts w:eastAsia="Times New Roman" w:cs="Arial"/>
          <w:color w:val="000000" w:themeColor="text1"/>
          <w:szCs w:val="24"/>
          <w:lang w:val="en-ZA"/>
        </w:rPr>
        <w:t>and</w:t>
      </w:r>
      <w:proofErr w:type="gramEnd"/>
    </w:p>
    <w:p w14:paraId="0091AAE4" w14:textId="77777777" w:rsidR="007B7F59" w:rsidRPr="00993022" w:rsidRDefault="007B7F59" w:rsidP="007B7F59">
      <w:pPr>
        <w:tabs>
          <w:tab w:val="right" w:pos="9029"/>
        </w:tabs>
        <w:spacing w:after="0" w:line="240" w:lineRule="auto"/>
        <w:ind w:left="0"/>
        <w:contextualSpacing/>
        <w:rPr>
          <w:rFonts w:eastAsia="Times New Roman" w:cs="Arial"/>
          <w:color w:val="000000" w:themeColor="text1"/>
          <w:szCs w:val="24"/>
          <w:lang w:val="en-ZA"/>
        </w:rPr>
      </w:pPr>
    </w:p>
    <w:p w14:paraId="6F55A133" w14:textId="28C0C276" w:rsidR="007B7F59" w:rsidRPr="00993022" w:rsidRDefault="00E7485C" w:rsidP="007B7F59">
      <w:pPr>
        <w:tabs>
          <w:tab w:val="right" w:pos="9029"/>
        </w:tabs>
        <w:spacing w:after="0" w:line="240" w:lineRule="auto"/>
        <w:ind w:left="0"/>
        <w:contextualSpacing/>
        <w:rPr>
          <w:rFonts w:eastAsia="Times New Roman" w:cs="Arial"/>
          <w:color w:val="000000" w:themeColor="text1"/>
          <w:szCs w:val="24"/>
          <w:lang w:val="en-ZA"/>
        </w:rPr>
      </w:pPr>
      <w:r>
        <w:rPr>
          <w:rFonts w:cs="Arial"/>
          <w:b/>
          <w:color w:val="000000" w:themeColor="text1"/>
          <w:szCs w:val="24"/>
        </w:rPr>
        <w:t xml:space="preserve">MARY </w:t>
      </w:r>
      <w:r w:rsidR="005F1AB5">
        <w:rPr>
          <w:rFonts w:cs="Arial"/>
          <w:b/>
          <w:color w:val="000000" w:themeColor="text1"/>
          <w:szCs w:val="24"/>
        </w:rPr>
        <w:t>MMALET</w:t>
      </w:r>
      <w:r w:rsidR="0072715A">
        <w:rPr>
          <w:rFonts w:cs="Arial"/>
          <w:b/>
          <w:color w:val="000000" w:themeColor="text1"/>
          <w:szCs w:val="24"/>
        </w:rPr>
        <w:t xml:space="preserve">OOANE </w:t>
      </w:r>
      <w:r>
        <w:rPr>
          <w:rFonts w:cs="Arial"/>
          <w:b/>
          <w:color w:val="000000" w:themeColor="text1"/>
          <w:szCs w:val="24"/>
        </w:rPr>
        <w:t xml:space="preserve">KEKANA </w:t>
      </w:r>
      <w:r w:rsidR="007B7F59" w:rsidRPr="00993022">
        <w:rPr>
          <w:rFonts w:cs="Arial"/>
          <w:b/>
          <w:color w:val="000000" w:themeColor="text1"/>
          <w:szCs w:val="24"/>
          <w:lang w:val="en-ZA"/>
        </w:rPr>
        <w:tab/>
      </w:r>
      <w:r w:rsidR="0072715A" w:rsidRPr="0072715A">
        <w:rPr>
          <w:rFonts w:cs="Arial"/>
          <w:bCs/>
          <w:color w:val="000000" w:themeColor="text1"/>
          <w:szCs w:val="24"/>
          <w:lang w:val="en-ZA"/>
        </w:rPr>
        <w:t xml:space="preserve">First </w:t>
      </w:r>
      <w:r w:rsidR="007B7F59" w:rsidRPr="00993022">
        <w:rPr>
          <w:rFonts w:eastAsia="Times New Roman" w:cs="Arial"/>
          <w:color w:val="000000" w:themeColor="text1"/>
          <w:szCs w:val="24"/>
          <w:lang w:val="en-ZA"/>
        </w:rPr>
        <w:t>Respondent</w:t>
      </w:r>
    </w:p>
    <w:p w14:paraId="43162075" w14:textId="77777777" w:rsidR="007B7F59" w:rsidRDefault="007B7F59" w:rsidP="007B7F59">
      <w:pPr>
        <w:tabs>
          <w:tab w:val="right" w:pos="9029"/>
        </w:tabs>
        <w:spacing w:after="0" w:line="240" w:lineRule="auto"/>
        <w:ind w:left="0"/>
        <w:contextualSpacing/>
        <w:rPr>
          <w:rFonts w:eastAsia="Times New Roman" w:cs="Arial"/>
          <w:color w:val="000000" w:themeColor="text1"/>
          <w:szCs w:val="24"/>
          <w:lang w:val="en-ZA"/>
        </w:rPr>
      </w:pPr>
    </w:p>
    <w:p w14:paraId="0683B3A6" w14:textId="2EA974C1" w:rsidR="0072715A" w:rsidRDefault="0072715A" w:rsidP="0072715A">
      <w:pPr>
        <w:pStyle w:val="JudgmentNumbered"/>
        <w:numPr>
          <w:ilvl w:val="0"/>
          <w:numId w:val="0"/>
        </w:numPr>
        <w:ind w:left="567" w:hanging="567"/>
        <w:rPr>
          <w:lang w:val="en-ZA"/>
        </w:rPr>
      </w:pPr>
      <w:r w:rsidRPr="00CB4F5F">
        <w:rPr>
          <w:b/>
          <w:bCs/>
          <w:lang w:val="en-ZA"/>
        </w:rPr>
        <w:t>SHERIFF OF THE HIGH COURT, SANDTON NORTH</w:t>
      </w:r>
      <w:r>
        <w:rPr>
          <w:lang w:val="en-ZA"/>
        </w:rPr>
        <w:t xml:space="preserve">   </w:t>
      </w:r>
      <w:r w:rsidR="00CB4F5F">
        <w:rPr>
          <w:lang w:val="en-ZA"/>
        </w:rPr>
        <w:t xml:space="preserve">               </w:t>
      </w:r>
      <w:r>
        <w:rPr>
          <w:lang w:val="en-ZA"/>
        </w:rPr>
        <w:t xml:space="preserve">Second Respondent </w:t>
      </w:r>
    </w:p>
    <w:p w14:paraId="4A1EA18F" w14:textId="7838C4CB" w:rsidR="0072715A" w:rsidRDefault="00CB4F5F" w:rsidP="0072715A">
      <w:pPr>
        <w:pStyle w:val="JudgmentNumbered"/>
        <w:numPr>
          <w:ilvl w:val="0"/>
          <w:numId w:val="0"/>
        </w:numPr>
        <w:ind w:left="567" w:hanging="567"/>
        <w:rPr>
          <w:lang w:val="en-ZA"/>
        </w:rPr>
      </w:pPr>
      <w:r w:rsidRPr="00CB4F5F">
        <w:rPr>
          <w:b/>
          <w:bCs/>
          <w:lang w:val="en-ZA"/>
        </w:rPr>
        <w:t>SHERIFF OF THE HIGH COURT, RANDBURG</w:t>
      </w:r>
      <w:r>
        <w:rPr>
          <w:lang w:val="en-ZA"/>
        </w:rPr>
        <w:t xml:space="preserve">                                    Third Respondent </w:t>
      </w:r>
    </w:p>
    <w:p w14:paraId="7636FB5B" w14:textId="1B1353D6" w:rsidR="00CB4F5F" w:rsidRPr="0072715A" w:rsidRDefault="00CB4F5F" w:rsidP="0072715A">
      <w:pPr>
        <w:pStyle w:val="JudgmentNumbered"/>
        <w:numPr>
          <w:ilvl w:val="0"/>
          <w:numId w:val="0"/>
        </w:numPr>
        <w:ind w:left="567" w:hanging="567"/>
        <w:rPr>
          <w:lang w:val="en-ZA"/>
        </w:rPr>
      </w:pPr>
      <w:r w:rsidRPr="00CB4F5F">
        <w:rPr>
          <w:b/>
          <w:bCs/>
          <w:lang w:val="en-ZA"/>
        </w:rPr>
        <w:t>SHERIFF OF THE HIGH COURT VANDERBIJLPARK</w:t>
      </w:r>
      <w:r>
        <w:rPr>
          <w:lang w:val="en-ZA"/>
        </w:rPr>
        <w:t xml:space="preserve">                    Fourth Respondent </w:t>
      </w:r>
    </w:p>
    <w:p w14:paraId="1F615BF8" w14:textId="77777777" w:rsidR="007B7F59" w:rsidRPr="00993022" w:rsidRDefault="007B7F59" w:rsidP="007B7F59">
      <w:pPr>
        <w:pBdr>
          <w:bottom w:val="single" w:sz="12" w:space="1" w:color="auto"/>
        </w:pBdr>
        <w:spacing w:after="0" w:line="240" w:lineRule="auto"/>
        <w:ind w:left="0"/>
        <w:jc w:val="left"/>
        <w:rPr>
          <w:rFonts w:cs="Arial"/>
          <w:b/>
          <w:color w:val="000000" w:themeColor="text1"/>
          <w:szCs w:val="24"/>
          <w:lang w:val="en-ZA"/>
        </w:rPr>
      </w:pPr>
    </w:p>
    <w:p w14:paraId="75120751" w14:textId="77777777" w:rsidR="007B7F59" w:rsidRPr="00993022" w:rsidRDefault="007B7F59" w:rsidP="007B7F59">
      <w:pPr>
        <w:spacing w:after="0" w:line="240" w:lineRule="auto"/>
        <w:ind w:left="1440" w:hanging="1440"/>
        <w:jc w:val="left"/>
        <w:rPr>
          <w:rFonts w:cs="Arial"/>
          <w:b/>
          <w:color w:val="000000" w:themeColor="text1"/>
          <w:szCs w:val="24"/>
        </w:rPr>
      </w:pPr>
    </w:p>
    <w:p w14:paraId="4FAFA08A" w14:textId="77777777" w:rsidR="007B7F59" w:rsidRPr="00993022" w:rsidRDefault="007B7F59" w:rsidP="007B7F59">
      <w:pPr>
        <w:pBdr>
          <w:bottom w:val="single" w:sz="12" w:space="1" w:color="auto"/>
        </w:pBdr>
        <w:spacing w:line="480" w:lineRule="auto"/>
        <w:ind w:left="0"/>
        <w:jc w:val="center"/>
        <w:rPr>
          <w:rFonts w:cs="Arial"/>
          <w:b/>
          <w:color w:val="000000" w:themeColor="text1"/>
          <w:szCs w:val="24"/>
          <w:lang w:val="en-ZA"/>
        </w:rPr>
      </w:pPr>
      <w:r w:rsidRPr="00993022">
        <w:rPr>
          <w:rFonts w:cs="Arial"/>
          <w:b/>
          <w:color w:val="000000" w:themeColor="text1"/>
          <w:szCs w:val="24"/>
          <w:lang w:val="en-ZA"/>
        </w:rPr>
        <w:t>JUDGMENT</w:t>
      </w:r>
    </w:p>
    <w:p w14:paraId="328EF2DE" w14:textId="77777777" w:rsidR="00207FDD" w:rsidRDefault="00207FDD" w:rsidP="007B7F59">
      <w:pPr>
        <w:spacing w:after="0" w:line="240" w:lineRule="auto"/>
        <w:ind w:left="0"/>
        <w:jc w:val="left"/>
        <w:rPr>
          <w:rFonts w:cs="Arial"/>
          <w:b/>
          <w:bCs/>
          <w:color w:val="000000" w:themeColor="text1"/>
          <w:szCs w:val="24"/>
        </w:rPr>
      </w:pPr>
    </w:p>
    <w:p w14:paraId="1C687304" w14:textId="77777777" w:rsidR="00207FDD" w:rsidRDefault="00207FDD" w:rsidP="007B7F59">
      <w:pPr>
        <w:spacing w:after="0" w:line="240" w:lineRule="auto"/>
        <w:ind w:left="0"/>
        <w:jc w:val="left"/>
        <w:rPr>
          <w:rFonts w:cs="Arial"/>
          <w:b/>
          <w:bCs/>
          <w:color w:val="000000" w:themeColor="text1"/>
          <w:szCs w:val="24"/>
        </w:rPr>
      </w:pPr>
    </w:p>
    <w:p w14:paraId="21C3114A" w14:textId="77777777" w:rsidR="00207FDD" w:rsidRDefault="00207FDD" w:rsidP="007B7F59">
      <w:pPr>
        <w:spacing w:after="0" w:line="240" w:lineRule="auto"/>
        <w:ind w:left="0"/>
        <w:jc w:val="left"/>
        <w:rPr>
          <w:rFonts w:cs="Arial"/>
          <w:b/>
          <w:bCs/>
          <w:color w:val="000000" w:themeColor="text1"/>
          <w:szCs w:val="24"/>
        </w:rPr>
      </w:pPr>
    </w:p>
    <w:p w14:paraId="3061CB3B" w14:textId="77777777" w:rsidR="00207FDD" w:rsidRDefault="00207FDD" w:rsidP="007B7F59">
      <w:pPr>
        <w:spacing w:after="0" w:line="240" w:lineRule="auto"/>
        <w:ind w:left="0"/>
        <w:jc w:val="left"/>
        <w:rPr>
          <w:rFonts w:cs="Arial"/>
          <w:b/>
          <w:bCs/>
          <w:color w:val="000000" w:themeColor="text1"/>
          <w:szCs w:val="24"/>
        </w:rPr>
      </w:pPr>
    </w:p>
    <w:p w14:paraId="1FAEC08D" w14:textId="537AFDA7" w:rsidR="007B7F59" w:rsidRPr="00993022" w:rsidRDefault="004D53F3" w:rsidP="007B7F59">
      <w:pPr>
        <w:spacing w:after="0" w:line="240" w:lineRule="auto"/>
        <w:ind w:left="0"/>
        <w:jc w:val="left"/>
        <w:rPr>
          <w:rFonts w:cs="Arial"/>
          <w:b/>
          <w:bCs/>
          <w:color w:val="000000" w:themeColor="text1"/>
          <w:szCs w:val="24"/>
        </w:rPr>
      </w:pPr>
      <w:r w:rsidRPr="00993022">
        <w:rPr>
          <w:rFonts w:cs="Arial"/>
          <w:b/>
          <w:bCs/>
          <w:color w:val="000000" w:themeColor="text1"/>
          <w:szCs w:val="24"/>
        </w:rPr>
        <w:lastRenderedPageBreak/>
        <w:t xml:space="preserve">C BESTER AJ: </w:t>
      </w:r>
    </w:p>
    <w:p w14:paraId="0E1DA2B7" w14:textId="77777777" w:rsidR="007B7F59" w:rsidRPr="00993022" w:rsidRDefault="007B7F59" w:rsidP="007B7F59">
      <w:pPr>
        <w:spacing w:after="0" w:line="240" w:lineRule="auto"/>
        <w:ind w:left="0"/>
        <w:jc w:val="left"/>
        <w:rPr>
          <w:rFonts w:cs="Arial"/>
          <w:color w:val="000000" w:themeColor="text1"/>
          <w:szCs w:val="24"/>
        </w:rPr>
      </w:pPr>
    </w:p>
    <w:p w14:paraId="21F7F084" w14:textId="77777777" w:rsidR="007B7F59" w:rsidRPr="00993022" w:rsidRDefault="007B7F59" w:rsidP="007B7F59">
      <w:pPr>
        <w:spacing w:after="0" w:line="240" w:lineRule="auto"/>
        <w:ind w:left="0"/>
        <w:jc w:val="left"/>
        <w:rPr>
          <w:rFonts w:cs="Arial"/>
          <w:color w:val="000000" w:themeColor="text1"/>
          <w:szCs w:val="24"/>
        </w:rPr>
      </w:pPr>
      <w:bookmarkStart w:id="0" w:name="_GoBack"/>
      <w:bookmarkEnd w:id="0"/>
    </w:p>
    <w:p w14:paraId="3FD2CDF9" w14:textId="17F44E4B" w:rsidR="00794DCB" w:rsidRPr="00993022" w:rsidRDefault="00F223D5" w:rsidP="00E74BB4">
      <w:pPr>
        <w:pStyle w:val="JudgmentHeading"/>
        <w:tabs>
          <w:tab w:val="left" w:pos="3744"/>
        </w:tabs>
        <w:rPr>
          <w:b/>
          <w:bCs/>
          <w:i w:val="0"/>
          <w:iCs/>
          <w:color w:val="000000" w:themeColor="text1"/>
          <w:szCs w:val="24"/>
        </w:rPr>
      </w:pPr>
      <w:r w:rsidRPr="00993022">
        <w:rPr>
          <w:b/>
          <w:bCs/>
          <w:i w:val="0"/>
          <w:iCs/>
          <w:color w:val="000000" w:themeColor="text1"/>
          <w:szCs w:val="24"/>
        </w:rPr>
        <w:t>Introduction</w:t>
      </w:r>
    </w:p>
    <w:p w14:paraId="0AB3CEB7" w14:textId="4F3694D0" w:rsidR="00383C15" w:rsidRDefault="00383C15" w:rsidP="00383C15">
      <w:pPr>
        <w:pStyle w:val="JudgmentNumbered"/>
      </w:pPr>
      <w:r>
        <w:t xml:space="preserve">This is an application to consolidate three pending High Court applications brought on behalf of the applicant under case numbers 2014/31596, 2015/28041 and 2015/31015. </w:t>
      </w:r>
      <w:r w:rsidR="00B708EE">
        <w:t xml:space="preserve"> The </w:t>
      </w:r>
      <w:r w:rsidR="006F2888">
        <w:t xml:space="preserve">applicant was represented by Mr BC Bester.  The </w:t>
      </w:r>
      <w:r w:rsidR="00B708EE">
        <w:t>first respondent</w:t>
      </w:r>
      <w:r w:rsidR="009A369F">
        <w:t xml:space="preserve"> </w:t>
      </w:r>
      <w:r w:rsidR="00F9065C">
        <w:t xml:space="preserve">appeared in person </w:t>
      </w:r>
      <w:r w:rsidR="009A369F">
        <w:t xml:space="preserve">and </w:t>
      </w:r>
      <w:r w:rsidR="003B0B7B">
        <w:t>oppose</w:t>
      </w:r>
      <w:r w:rsidR="009A369F">
        <w:t xml:space="preserve">s the relief. </w:t>
      </w:r>
    </w:p>
    <w:p w14:paraId="182D070C" w14:textId="536C22CE" w:rsidR="00207FDD" w:rsidRPr="00993022" w:rsidRDefault="00207FDD" w:rsidP="00207FDD">
      <w:pPr>
        <w:pStyle w:val="JudgmentHeading"/>
        <w:tabs>
          <w:tab w:val="left" w:pos="3744"/>
        </w:tabs>
        <w:rPr>
          <w:b/>
          <w:bCs/>
          <w:i w:val="0"/>
          <w:iCs/>
          <w:color w:val="000000" w:themeColor="text1"/>
          <w:szCs w:val="24"/>
        </w:rPr>
      </w:pPr>
      <w:r>
        <w:rPr>
          <w:b/>
          <w:bCs/>
          <w:i w:val="0"/>
          <w:iCs/>
          <w:color w:val="000000" w:themeColor="text1"/>
          <w:szCs w:val="24"/>
        </w:rPr>
        <w:t xml:space="preserve">The Facts </w:t>
      </w:r>
    </w:p>
    <w:p w14:paraId="6E70ACAA" w14:textId="2EE28FC6" w:rsidR="00063512" w:rsidRDefault="009B3355" w:rsidP="00063512">
      <w:pPr>
        <w:pStyle w:val="JudgmentNumbered"/>
      </w:pPr>
      <w:r w:rsidRPr="007C20F8">
        <w:rPr>
          <w:color w:val="000000" w:themeColor="text1"/>
          <w:szCs w:val="24"/>
        </w:rPr>
        <w:t>Th</w:t>
      </w:r>
      <w:r w:rsidR="007302EC" w:rsidRPr="007C20F8">
        <w:rPr>
          <w:color w:val="000000" w:themeColor="text1"/>
          <w:szCs w:val="24"/>
        </w:rPr>
        <w:t xml:space="preserve">e applicant is </w:t>
      </w:r>
      <w:r w:rsidR="000F62C5" w:rsidRPr="007C20F8">
        <w:rPr>
          <w:color w:val="000000" w:themeColor="text1"/>
          <w:szCs w:val="24"/>
        </w:rPr>
        <w:t>a senior manager at the South African Reserve Bank.</w:t>
      </w:r>
      <w:r w:rsidR="00AC5271" w:rsidRPr="007C20F8">
        <w:rPr>
          <w:color w:val="000000" w:themeColor="text1"/>
          <w:szCs w:val="24"/>
        </w:rPr>
        <w:t xml:space="preserve"> He was previously in a relationship with the first respondent which </w:t>
      </w:r>
      <w:r w:rsidR="0082602D">
        <w:rPr>
          <w:color w:val="000000" w:themeColor="text1"/>
          <w:szCs w:val="24"/>
        </w:rPr>
        <w:t>ended</w:t>
      </w:r>
      <w:r w:rsidR="0082602D" w:rsidRPr="007C20F8">
        <w:rPr>
          <w:color w:val="000000" w:themeColor="text1"/>
          <w:szCs w:val="24"/>
        </w:rPr>
        <w:t xml:space="preserve"> </w:t>
      </w:r>
      <w:r w:rsidR="00D907C1" w:rsidRPr="007C20F8">
        <w:rPr>
          <w:color w:val="000000" w:themeColor="text1"/>
          <w:szCs w:val="24"/>
        </w:rPr>
        <w:t>several</w:t>
      </w:r>
      <w:r w:rsidR="00AC3917" w:rsidRPr="007C20F8">
        <w:rPr>
          <w:color w:val="000000" w:themeColor="text1"/>
          <w:szCs w:val="24"/>
        </w:rPr>
        <w:t xml:space="preserve"> years ago. </w:t>
      </w:r>
      <w:r w:rsidR="001E5BEF" w:rsidRPr="007C20F8">
        <w:rPr>
          <w:color w:val="000000" w:themeColor="text1"/>
          <w:szCs w:val="24"/>
        </w:rPr>
        <w:t xml:space="preserve"> </w:t>
      </w:r>
    </w:p>
    <w:p w14:paraId="1FD05641" w14:textId="01247B70" w:rsidR="002C2069" w:rsidRPr="00063512" w:rsidRDefault="00AC3917" w:rsidP="00063512">
      <w:pPr>
        <w:pStyle w:val="JudgmentNumbered"/>
      </w:pPr>
      <w:r w:rsidRPr="00063512">
        <w:rPr>
          <w:color w:val="000000" w:themeColor="text1"/>
          <w:szCs w:val="24"/>
        </w:rPr>
        <w:t xml:space="preserve">According to the first respondent, she </w:t>
      </w:r>
      <w:r w:rsidR="00EE56C6" w:rsidRPr="00063512">
        <w:rPr>
          <w:color w:val="000000" w:themeColor="text1"/>
          <w:szCs w:val="24"/>
        </w:rPr>
        <w:t xml:space="preserve">became the applicant’s customary wife in </w:t>
      </w:r>
      <w:r w:rsidR="006F2888">
        <w:rPr>
          <w:color w:val="000000" w:themeColor="text1"/>
          <w:szCs w:val="24"/>
        </w:rPr>
        <w:t xml:space="preserve">approximately </w:t>
      </w:r>
      <w:r w:rsidR="00EE56C6" w:rsidRPr="00063512">
        <w:rPr>
          <w:color w:val="000000" w:themeColor="text1"/>
          <w:szCs w:val="24"/>
        </w:rPr>
        <w:t xml:space="preserve">2003. </w:t>
      </w:r>
      <w:r w:rsidR="009D3AB5" w:rsidRPr="00063512">
        <w:rPr>
          <w:color w:val="000000" w:themeColor="text1"/>
          <w:szCs w:val="24"/>
        </w:rPr>
        <w:t xml:space="preserve">The </w:t>
      </w:r>
      <w:r w:rsidR="00D63CCA" w:rsidRPr="00063512">
        <w:rPr>
          <w:color w:val="000000" w:themeColor="text1"/>
          <w:szCs w:val="24"/>
        </w:rPr>
        <w:t xml:space="preserve">legal status </w:t>
      </w:r>
      <w:r w:rsidR="009D3AB5" w:rsidRPr="00063512">
        <w:rPr>
          <w:color w:val="000000" w:themeColor="text1"/>
          <w:szCs w:val="24"/>
        </w:rPr>
        <w:t>of their relationship is not important in the context of this application</w:t>
      </w:r>
      <w:r w:rsidR="00572081" w:rsidRPr="00063512">
        <w:rPr>
          <w:color w:val="000000" w:themeColor="text1"/>
          <w:szCs w:val="24"/>
        </w:rPr>
        <w:t xml:space="preserve">, but they acquired three </w:t>
      </w:r>
      <w:r w:rsidR="00572081">
        <w:t xml:space="preserve">immovable properties </w:t>
      </w:r>
      <w:r w:rsidR="00EF6782" w:rsidRPr="00063512">
        <w:rPr>
          <w:color w:val="000000" w:themeColor="text1"/>
          <w:szCs w:val="24"/>
        </w:rPr>
        <w:t>during the subsistence of their relationship</w:t>
      </w:r>
      <w:r w:rsidR="003A1338">
        <w:rPr>
          <w:color w:val="000000" w:themeColor="text1"/>
          <w:szCs w:val="24"/>
        </w:rPr>
        <w:t xml:space="preserve"> </w:t>
      </w:r>
      <w:r w:rsidR="00572081">
        <w:t xml:space="preserve">which are registered </w:t>
      </w:r>
      <w:r w:rsidR="004B438E">
        <w:t xml:space="preserve">jointly </w:t>
      </w:r>
      <w:r w:rsidR="00572081">
        <w:t xml:space="preserve">in their names and situated in </w:t>
      </w:r>
      <w:proofErr w:type="spellStart"/>
      <w:r w:rsidR="00572081">
        <w:t>Sunninghill</w:t>
      </w:r>
      <w:proofErr w:type="spellEnd"/>
      <w:r w:rsidR="00572081">
        <w:t xml:space="preserve">, </w:t>
      </w:r>
      <w:proofErr w:type="spellStart"/>
      <w:r w:rsidR="00572081">
        <w:t>Randpark</w:t>
      </w:r>
      <w:proofErr w:type="spellEnd"/>
      <w:r w:rsidR="00572081">
        <w:t xml:space="preserve"> Ridge and </w:t>
      </w:r>
      <w:proofErr w:type="spellStart"/>
      <w:r w:rsidR="00572081">
        <w:t>Vanderbijlpark</w:t>
      </w:r>
      <w:proofErr w:type="spellEnd"/>
      <w:r w:rsidR="009B1690">
        <w:t xml:space="preserve"> respectively</w:t>
      </w:r>
      <w:r w:rsidR="00572081">
        <w:t xml:space="preserve">. </w:t>
      </w:r>
    </w:p>
    <w:p w14:paraId="020BBDDD" w14:textId="37F76983" w:rsidR="0023497D" w:rsidRPr="00000FD8" w:rsidRDefault="009D3AB5" w:rsidP="00000FD8">
      <w:pPr>
        <w:pStyle w:val="JudgmentNumbered"/>
        <w:rPr>
          <w:color w:val="000000" w:themeColor="text1"/>
          <w:szCs w:val="24"/>
        </w:rPr>
      </w:pPr>
      <w:r w:rsidRPr="002C2069">
        <w:rPr>
          <w:color w:val="000000" w:themeColor="text1"/>
          <w:szCs w:val="24"/>
        </w:rPr>
        <w:t xml:space="preserve">Following the </w:t>
      </w:r>
      <w:r w:rsidR="009B1690">
        <w:rPr>
          <w:color w:val="000000" w:themeColor="text1"/>
          <w:szCs w:val="24"/>
        </w:rPr>
        <w:t>end</w:t>
      </w:r>
      <w:r w:rsidR="004D2495">
        <w:rPr>
          <w:color w:val="000000" w:themeColor="text1"/>
          <w:szCs w:val="24"/>
        </w:rPr>
        <w:t xml:space="preserve"> </w:t>
      </w:r>
      <w:r w:rsidRPr="002C2069">
        <w:rPr>
          <w:color w:val="000000" w:themeColor="text1"/>
          <w:szCs w:val="24"/>
        </w:rPr>
        <w:t xml:space="preserve">of their relationship, the applicant </w:t>
      </w:r>
      <w:r w:rsidR="00A061FD">
        <w:rPr>
          <w:color w:val="000000" w:themeColor="text1"/>
          <w:szCs w:val="24"/>
        </w:rPr>
        <w:t xml:space="preserve">was </w:t>
      </w:r>
      <w:r w:rsidR="0059070C">
        <w:rPr>
          <w:color w:val="000000" w:themeColor="text1"/>
          <w:szCs w:val="24"/>
        </w:rPr>
        <w:t xml:space="preserve">no longer interested </w:t>
      </w:r>
      <w:r w:rsidR="003A1338">
        <w:rPr>
          <w:color w:val="000000" w:themeColor="text1"/>
          <w:szCs w:val="24"/>
        </w:rPr>
        <w:t>in owning</w:t>
      </w:r>
      <w:r w:rsidR="0059070C">
        <w:rPr>
          <w:color w:val="000000" w:themeColor="text1"/>
          <w:szCs w:val="24"/>
        </w:rPr>
        <w:t xml:space="preserve"> immovable property with the </w:t>
      </w:r>
      <w:r w:rsidR="00B80873" w:rsidRPr="0059070C">
        <w:rPr>
          <w:color w:val="000000" w:themeColor="text1"/>
          <w:szCs w:val="24"/>
        </w:rPr>
        <w:t>first respondent</w:t>
      </w:r>
      <w:r w:rsidR="00000FD8">
        <w:rPr>
          <w:color w:val="000000" w:themeColor="text1"/>
          <w:szCs w:val="24"/>
        </w:rPr>
        <w:t xml:space="preserve">.  </w:t>
      </w:r>
      <w:r w:rsidR="00A061FD">
        <w:rPr>
          <w:color w:val="000000" w:themeColor="text1"/>
          <w:szCs w:val="24"/>
        </w:rPr>
        <w:t xml:space="preserve"> </w:t>
      </w:r>
      <w:r w:rsidR="00B80873" w:rsidRPr="00000FD8">
        <w:rPr>
          <w:color w:val="000000" w:themeColor="text1"/>
          <w:szCs w:val="24"/>
        </w:rPr>
        <w:t xml:space="preserve">He </w:t>
      </w:r>
      <w:r w:rsidRPr="00000FD8">
        <w:rPr>
          <w:color w:val="000000" w:themeColor="text1"/>
          <w:szCs w:val="24"/>
        </w:rPr>
        <w:t xml:space="preserve">brought an application under case number </w:t>
      </w:r>
      <w:r w:rsidR="001E5BEF" w:rsidRPr="00000FD8">
        <w:rPr>
          <w:color w:val="000000" w:themeColor="text1"/>
          <w:szCs w:val="24"/>
        </w:rPr>
        <w:t xml:space="preserve">2014/31596 </w:t>
      </w:r>
      <w:r w:rsidR="00546CDA" w:rsidRPr="00000FD8">
        <w:rPr>
          <w:color w:val="000000" w:themeColor="text1"/>
          <w:szCs w:val="24"/>
        </w:rPr>
        <w:t>(“</w:t>
      </w:r>
      <w:r w:rsidR="00546CDA" w:rsidRPr="00000FD8">
        <w:rPr>
          <w:b/>
          <w:bCs/>
          <w:i/>
          <w:iCs/>
          <w:color w:val="000000" w:themeColor="text1"/>
          <w:szCs w:val="24"/>
        </w:rPr>
        <w:t>the main application</w:t>
      </w:r>
      <w:r w:rsidR="00546CDA" w:rsidRPr="00000FD8">
        <w:rPr>
          <w:color w:val="000000" w:themeColor="text1"/>
          <w:szCs w:val="24"/>
        </w:rPr>
        <w:t xml:space="preserve">”) </w:t>
      </w:r>
      <w:r w:rsidR="001E5BEF" w:rsidRPr="00000FD8">
        <w:rPr>
          <w:color w:val="000000" w:themeColor="text1"/>
          <w:szCs w:val="24"/>
        </w:rPr>
        <w:t>to</w:t>
      </w:r>
      <w:r w:rsidR="004B28B8" w:rsidRPr="00000FD8">
        <w:rPr>
          <w:color w:val="000000" w:themeColor="text1"/>
          <w:szCs w:val="24"/>
        </w:rPr>
        <w:t xml:space="preserve"> compel the first respondent to:</w:t>
      </w:r>
    </w:p>
    <w:p w14:paraId="40299A6D" w14:textId="410A1E43" w:rsidR="007736F0" w:rsidRDefault="00394B1F" w:rsidP="007736F0">
      <w:pPr>
        <w:pStyle w:val="JudgmentNumbered"/>
        <w:numPr>
          <w:ilvl w:val="1"/>
          <w:numId w:val="4"/>
        </w:numPr>
        <w:rPr>
          <w:color w:val="000000" w:themeColor="text1"/>
          <w:szCs w:val="24"/>
        </w:rPr>
      </w:pPr>
      <w:r w:rsidRPr="00B80873">
        <w:rPr>
          <w:color w:val="000000" w:themeColor="text1"/>
          <w:szCs w:val="24"/>
        </w:rPr>
        <w:t xml:space="preserve">place the </w:t>
      </w:r>
      <w:proofErr w:type="spellStart"/>
      <w:r w:rsidR="00F178A6" w:rsidRPr="00B80873">
        <w:rPr>
          <w:color w:val="000000" w:themeColor="text1"/>
          <w:szCs w:val="24"/>
        </w:rPr>
        <w:t>Sunninghill</w:t>
      </w:r>
      <w:proofErr w:type="spellEnd"/>
      <w:r w:rsidR="00F178A6" w:rsidRPr="00B80873">
        <w:rPr>
          <w:color w:val="000000" w:themeColor="text1"/>
          <w:szCs w:val="24"/>
        </w:rPr>
        <w:t xml:space="preserve"> property on the market</w:t>
      </w:r>
      <w:r w:rsidR="0023646C" w:rsidRPr="00B80873">
        <w:rPr>
          <w:color w:val="000000" w:themeColor="text1"/>
          <w:szCs w:val="24"/>
        </w:rPr>
        <w:t>, alterna</w:t>
      </w:r>
      <w:r w:rsidR="00E91667" w:rsidRPr="00B80873">
        <w:rPr>
          <w:color w:val="000000" w:themeColor="text1"/>
          <w:szCs w:val="24"/>
        </w:rPr>
        <w:t xml:space="preserve">tively </w:t>
      </w:r>
      <w:r w:rsidR="0092482F" w:rsidRPr="00B80873">
        <w:rPr>
          <w:color w:val="000000" w:themeColor="text1"/>
          <w:szCs w:val="24"/>
        </w:rPr>
        <w:t>to dispose of the property by way of public auction in the event that no s</w:t>
      </w:r>
      <w:r w:rsidR="00B80873">
        <w:rPr>
          <w:color w:val="000000" w:themeColor="text1"/>
          <w:szCs w:val="24"/>
        </w:rPr>
        <w:t>ale</w:t>
      </w:r>
      <w:r w:rsidR="0092482F" w:rsidRPr="00B80873">
        <w:rPr>
          <w:color w:val="000000" w:themeColor="text1"/>
          <w:szCs w:val="24"/>
        </w:rPr>
        <w:t xml:space="preserve"> was realised after six months</w:t>
      </w:r>
      <w:r w:rsidR="007736F0">
        <w:rPr>
          <w:color w:val="000000" w:themeColor="text1"/>
          <w:szCs w:val="24"/>
        </w:rPr>
        <w:t>;</w:t>
      </w:r>
    </w:p>
    <w:p w14:paraId="2AEECA53" w14:textId="325C2B92" w:rsidR="00525DE5" w:rsidRPr="007736F0" w:rsidRDefault="005912B3" w:rsidP="007736F0">
      <w:pPr>
        <w:pStyle w:val="JudgmentNumbered"/>
        <w:numPr>
          <w:ilvl w:val="1"/>
          <w:numId w:val="4"/>
        </w:numPr>
        <w:rPr>
          <w:color w:val="000000" w:themeColor="text1"/>
          <w:szCs w:val="24"/>
        </w:rPr>
      </w:pPr>
      <w:proofErr w:type="gramStart"/>
      <w:r w:rsidRPr="007736F0">
        <w:rPr>
          <w:color w:val="000000" w:themeColor="text1"/>
          <w:szCs w:val="24"/>
        </w:rPr>
        <w:t>sign</w:t>
      </w:r>
      <w:proofErr w:type="gramEnd"/>
      <w:r w:rsidRPr="007736F0">
        <w:rPr>
          <w:color w:val="000000" w:themeColor="text1"/>
          <w:szCs w:val="24"/>
        </w:rPr>
        <w:t xml:space="preserve"> the necessary transfer documents to dispose of the </w:t>
      </w:r>
      <w:proofErr w:type="spellStart"/>
      <w:r w:rsidR="00525DE5" w:rsidRPr="007736F0">
        <w:rPr>
          <w:color w:val="000000" w:themeColor="text1"/>
          <w:szCs w:val="24"/>
        </w:rPr>
        <w:t>Randpark</w:t>
      </w:r>
      <w:proofErr w:type="spellEnd"/>
      <w:r w:rsidR="00525DE5" w:rsidRPr="007736F0">
        <w:rPr>
          <w:color w:val="000000" w:themeColor="text1"/>
          <w:szCs w:val="24"/>
        </w:rPr>
        <w:t xml:space="preserve"> Ridge and </w:t>
      </w:r>
      <w:proofErr w:type="spellStart"/>
      <w:r w:rsidR="00525DE5">
        <w:t>Vanderbijlpark</w:t>
      </w:r>
      <w:proofErr w:type="spellEnd"/>
      <w:r w:rsidR="00525DE5">
        <w:t xml:space="preserve"> properties, alternatively </w:t>
      </w:r>
      <w:r w:rsidR="007736F0">
        <w:t xml:space="preserve">authorise the Sheriff to </w:t>
      </w:r>
      <w:r w:rsidR="006549C1">
        <w:t>sign the necessary transfer documents</w:t>
      </w:r>
      <w:r w:rsidR="007736F0">
        <w:t xml:space="preserve"> in the event of her failure to</w:t>
      </w:r>
      <w:r w:rsidR="00516D77">
        <w:t xml:space="preserve"> do so</w:t>
      </w:r>
      <w:r w:rsidR="007736F0">
        <w:t xml:space="preserve">. </w:t>
      </w:r>
    </w:p>
    <w:p w14:paraId="20F64FE8" w14:textId="6C7C761B" w:rsidR="00C07B33" w:rsidRDefault="004B28B8" w:rsidP="00C07B33">
      <w:pPr>
        <w:pStyle w:val="JudgmentNumbered"/>
        <w:rPr>
          <w:color w:val="000000" w:themeColor="text1"/>
          <w:szCs w:val="24"/>
        </w:rPr>
      </w:pPr>
      <w:r>
        <w:rPr>
          <w:color w:val="000000" w:themeColor="text1"/>
          <w:szCs w:val="24"/>
        </w:rPr>
        <w:t xml:space="preserve">The first respondent did not </w:t>
      </w:r>
      <w:r w:rsidR="0003391F">
        <w:rPr>
          <w:color w:val="000000" w:themeColor="text1"/>
          <w:szCs w:val="24"/>
        </w:rPr>
        <w:t xml:space="preserve">oppose the </w:t>
      </w:r>
      <w:r w:rsidR="00546CDA">
        <w:rPr>
          <w:color w:val="000000" w:themeColor="text1"/>
          <w:szCs w:val="24"/>
        </w:rPr>
        <w:t xml:space="preserve">main </w:t>
      </w:r>
      <w:r w:rsidR="0003391F">
        <w:rPr>
          <w:color w:val="000000" w:themeColor="text1"/>
          <w:szCs w:val="24"/>
        </w:rPr>
        <w:t xml:space="preserve">application and on 15 June 2015, </w:t>
      </w:r>
      <w:proofErr w:type="spellStart"/>
      <w:r w:rsidR="0003391F">
        <w:rPr>
          <w:color w:val="000000" w:themeColor="text1"/>
          <w:szCs w:val="24"/>
        </w:rPr>
        <w:t>Ngalwana</w:t>
      </w:r>
      <w:proofErr w:type="spellEnd"/>
      <w:r w:rsidR="0003391F">
        <w:rPr>
          <w:color w:val="000000" w:themeColor="text1"/>
          <w:szCs w:val="24"/>
        </w:rPr>
        <w:t xml:space="preserve"> AJ granted an order </w:t>
      </w:r>
      <w:r w:rsidR="00A126E9">
        <w:rPr>
          <w:color w:val="000000" w:themeColor="text1"/>
          <w:szCs w:val="24"/>
        </w:rPr>
        <w:t xml:space="preserve">in </w:t>
      </w:r>
      <w:r w:rsidR="0003391F">
        <w:rPr>
          <w:color w:val="000000" w:themeColor="text1"/>
          <w:szCs w:val="24"/>
        </w:rPr>
        <w:t>the applicant</w:t>
      </w:r>
      <w:r w:rsidR="00A677AA">
        <w:rPr>
          <w:color w:val="000000" w:themeColor="text1"/>
          <w:szCs w:val="24"/>
        </w:rPr>
        <w:t>’s favour</w:t>
      </w:r>
      <w:r w:rsidR="00C07B33">
        <w:rPr>
          <w:color w:val="000000" w:themeColor="text1"/>
          <w:szCs w:val="24"/>
        </w:rPr>
        <w:t xml:space="preserve"> </w:t>
      </w:r>
      <w:r w:rsidR="00D76D32">
        <w:rPr>
          <w:color w:val="000000" w:themeColor="text1"/>
          <w:szCs w:val="24"/>
        </w:rPr>
        <w:t>i</w:t>
      </w:r>
      <w:r w:rsidR="00C07B33">
        <w:rPr>
          <w:color w:val="000000" w:themeColor="text1"/>
          <w:szCs w:val="24"/>
        </w:rPr>
        <w:t>n terms of which:</w:t>
      </w:r>
    </w:p>
    <w:p w14:paraId="3F0A35A5" w14:textId="46525D5F" w:rsidR="00C07B33" w:rsidRDefault="00C07B33" w:rsidP="00C07B33">
      <w:pPr>
        <w:pStyle w:val="JudgmentNumbered"/>
        <w:numPr>
          <w:ilvl w:val="1"/>
          <w:numId w:val="4"/>
        </w:numPr>
        <w:rPr>
          <w:color w:val="000000" w:themeColor="text1"/>
          <w:szCs w:val="24"/>
        </w:rPr>
      </w:pPr>
      <w:r>
        <w:rPr>
          <w:color w:val="000000" w:themeColor="text1"/>
          <w:szCs w:val="24"/>
        </w:rPr>
        <w:lastRenderedPageBreak/>
        <w:t xml:space="preserve">the first respondent was </w:t>
      </w:r>
      <w:r w:rsidR="001925B1">
        <w:rPr>
          <w:color w:val="000000" w:themeColor="text1"/>
          <w:szCs w:val="24"/>
        </w:rPr>
        <w:t xml:space="preserve">ordered to place the </w:t>
      </w:r>
      <w:proofErr w:type="spellStart"/>
      <w:r w:rsidR="001925B1">
        <w:rPr>
          <w:color w:val="000000" w:themeColor="text1"/>
          <w:szCs w:val="24"/>
        </w:rPr>
        <w:t>Sunninghill</w:t>
      </w:r>
      <w:proofErr w:type="spellEnd"/>
      <w:r w:rsidR="001925B1">
        <w:rPr>
          <w:color w:val="000000" w:themeColor="text1"/>
          <w:szCs w:val="24"/>
        </w:rPr>
        <w:t xml:space="preserve"> property on the market for sale for</w:t>
      </w:r>
      <w:r w:rsidR="002213AD">
        <w:rPr>
          <w:color w:val="000000" w:themeColor="text1"/>
          <w:szCs w:val="24"/>
        </w:rPr>
        <w:t xml:space="preserve"> a period of </w:t>
      </w:r>
      <w:r w:rsidR="001925B1">
        <w:rPr>
          <w:color w:val="000000" w:themeColor="text1"/>
          <w:szCs w:val="24"/>
        </w:rPr>
        <w:t>six months</w:t>
      </w:r>
      <w:r w:rsidR="009B68DC">
        <w:rPr>
          <w:color w:val="000000" w:themeColor="text1"/>
          <w:szCs w:val="24"/>
        </w:rPr>
        <w:t>, alternatively public auction</w:t>
      </w:r>
      <w:r w:rsidR="001925B1">
        <w:rPr>
          <w:color w:val="000000" w:themeColor="text1"/>
          <w:szCs w:val="24"/>
        </w:rPr>
        <w:t xml:space="preserve"> </w:t>
      </w:r>
      <w:proofErr w:type="spellStart"/>
      <w:r w:rsidR="00EA19E9">
        <w:rPr>
          <w:color w:val="000000" w:themeColor="text1"/>
          <w:szCs w:val="24"/>
        </w:rPr>
        <w:t>whereafter</w:t>
      </w:r>
      <w:proofErr w:type="spellEnd"/>
      <w:r w:rsidR="00EA19E9">
        <w:rPr>
          <w:color w:val="000000" w:themeColor="text1"/>
          <w:szCs w:val="24"/>
        </w:rPr>
        <w:t xml:space="preserve"> the nett proceeds would be distributed to the first respondent after </w:t>
      </w:r>
      <w:r w:rsidR="000E4D7C">
        <w:rPr>
          <w:color w:val="000000" w:themeColor="text1"/>
          <w:szCs w:val="24"/>
        </w:rPr>
        <w:t xml:space="preserve">settling any amounts that may be due and owing </w:t>
      </w:r>
      <w:r w:rsidR="004D2AEC">
        <w:rPr>
          <w:color w:val="000000" w:themeColor="text1"/>
          <w:szCs w:val="24"/>
        </w:rPr>
        <w:t xml:space="preserve">to Investec Bank </w:t>
      </w:r>
      <w:r w:rsidR="000E4D7C">
        <w:rPr>
          <w:color w:val="000000" w:themeColor="text1"/>
          <w:szCs w:val="24"/>
        </w:rPr>
        <w:t xml:space="preserve">on the mortgage bond as well as </w:t>
      </w:r>
      <w:r w:rsidR="002213AD">
        <w:rPr>
          <w:color w:val="000000" w:themeColor="text1"/>
          <w:szCs w:val="24"/>
        </w:rPr>
        <w:t xml:space="preserve">such </w:t>
      </w:r>
      <w:r w:rsidR="000E4D7C">
        <w:rPr>
          <w:color w:val="000000" w:themeColor="text1"/>
          <w:szCs w:val="24"/>
        </w:rPr>
        <w:t xml:space="preserve">amounts owing to the applicant; </w:t>
      </w:r>
    </w:p>
    <w:p w14:paraId="57B480A4" w14:textId="294931C8" w:rsidR="00D76D32" w:rsidRPr="00D76D32" w:rsidRDefault="00D76D32" w:rsidP="00D76D32">
      <w:pPr>
        <w:pStyle w:val="JudgmentNumbered"/>
        <w:numPr>
          <w:ilvl w:val="1"/>
          <w:numId w:val="4"/>
        </w:numPr>
        <w:rPr>
          <w:color w:val="000000" w:themeColor="text1"/>
          <w:szCs w:val="24"/>
        </w:rPr>
      </w:pPr>
      <w:proofErr w:type="gramStart"/>
      <w:r>
        <w:rPr>
          <w:color w:val="000000" w:themeColor="text1"/>
          <w:szCs w:val="24"/>
        </w:rPr>
        <w:t>the</w:t>
      </w:r>
      <w:proofErr w:type="gramEnd"/>
      <w:r>
        <w:rPr>
          <w:color w:val="000000" w:themeColor="text1"/>
          <w:szCs w:val="24"/>
        </w:rPr>
        <w:t xml:space="preserve"> first respondent was directed to sign the transfer documents in relation to the </w:t>
      </w:r>
      <w:proofErr w:type="spellStart"/>
      <w:r>
        <w:rPr>
          <w:color w:val="000000" w:themeColor="text1"/>
          <w:szCs w:val="24"/>
        </w:rPr>
        <w:t>Randpark</w:t>
      </w:r>
      <w:proofErr w:type="spellEnd"/>
      <w:r>
        <w:rPr>
          <w:color w:val="000000" w:themeColor="text1"/>
          <w:szCs w:val="24"/>
        </w:rPr>
        <w:t xml:space="preserve"> Ridge and </w:t>
      </w:r>
      <w:proofErr w:type="spellStart"/>
      <w:r>
        <w:t>Vanderbijlpark</w:t>
      </w:r>
      <w:proofErr w:type="spellEnd"/>
      <w:r>
        <w:t xml:space="preserve"> properties. </w:t>
      </w:r>
    </w:p>
    <w:p w14:paraId="70CDC830" w14:textId="3F5B03E6" w:rsidR="008E1335" w:rsidRDefault="003E26D5" w:rsidP="004A2B5E">
      <w:pPr>
        <w:pStyle w:val="JudgmentNumbered"/>
        <w:rPr>
          <w:color w:val="000000" w:themeColor="text1"/>
          <w:szCs w:val="24"/>
        </w:rPr>
      </w:pPr>
      <w:r>
        <w:rPr>
          <w:color w:val="000000" w:themeColor="text1"/>
          <w:szCs w:val="24"/>
        </w:rPr>
        <w:t>Dissatisfied with what he considered to</w:t>
      </w:r>
      <w:r w:rsidR="00925519">
        <w:rPr>
          <w:color w:val="000000" w:themeColor="text1"/>
          <w:szCs w:val="24"/>
        </w:rPr>
        <w:t xml:space="preserve"> be</w:t>
      </w:r>
      <w:r>
        <w:rPr>
          <w:color w:val="000000" w:themeColor="text1"/>
          <w:szCs w:val="24"/>
        </w:rPr>
        <w:t xml:space="preserve"> the first respondent’s failure to give effect to the order of 15 June 2015, the applicant launched a contempt application on </w:t>
      </w:r>
      <w:r w:rsidR="00B47BC0">
        <w:rPr>
          <w:color w:val="000000" w:themeColor="text1"/>
          <w:szCs w:val="24"/>
        </w:rPr>
        <w:t xml:space="preserve">5 August 2015 under case number 2015/28041. </w:t>
      </w:r>
      <w:r w:rsidR="00345DEC">
        <w:rPr>
          <w:color w:val="000000" w:themeColor="text1"/>
          <w:szCs w:val="24"/>
        </w:rPr>
        <w:t xml:space="preserve">  When the first respondent did not deliver an answering affidavit, the applicant enrolled the contempt application </w:t>
      </w:r>
      <w:r w:rsidR="003B0B7B">
        <w:rPr>
          <w:color w:val="000000" w:themeColor="text1"/>
          <w:szCs w:val="24"/>
        </w:rPr>
        <w:t>for hearing</w:t>
      </w:r>
      <w:r w:rsidR="009F6B43">
        <w:rPr>
          <w:color w:val="000000" w:themeColor="text1"/>
          <w:szCs w:val="24"/>
        </w:rPr>
        <w:t xml:space="preserve"> before this Court.  </w:t>
      </w:r>
    </w:p>
    <w:p w14:paraId="7ACC9D09" w14:textId="35747AAA" w:rsidR="004A2B5E" w:rsidRPr="004A2B5E" w:rsidRDefault="001536B2" w:rsidP="004A2B5E">
      <w:pPr>
        <w:pStyle w:val="JudgmentNumbered"/>
        <w:rPr>
          <w:color w:val="000000" w:themeColor="text1"/>
          <w:szCs w:val="24"/>
        </w:rPr>
      </w:pPr>
      <w:r>
        <w:rPr>
          <w:color w:val="000000" w:themeColor="text1"/>
          <w:szCs w:val="24"/>
        </w:rPr>
        <w:t xml:space="preserve">The contempt application came </w:t>
      </w:r>
      <w:r w:rsidR="00F84ACE">
        <w:rPr>
          <w:color w:val="000000" w:themeColor="text1"/>
          <w:szCs w:val="24"/>
        </w:rPr>
        <w:t>before Tsoka J on 9 October 2015</w:t>
      </w:r>
      <w:r w:rsidR="007E471C">
        <w:rPr>
          <w:color w:val="000000" w:themeColor="text1"/>
          <w:szCs w:val="24"/>
        </w:rPr>
        <w:t>. The learned judge</w:t>
      </w:r>
      <w:r w:rsidR="003B0B7B">
        <w:rPr>
          <w:color w:val="000000" w:themeColor="text1"/>
          <w:szCs w:val="24"/>
        </w:rPr>
        <w:t xml:space="preserve"> </w:t>
      </w:r>
      <w:r w:rsidR="00E001F4">
        <w:rPr>
          <w:color w:val="000000" w:themeColor="text1"/>
          <w:szCs w:val="24"/>
        </w:rPr>
        <w:t xml:space="preserve">postponed the proceedings </w:t>
      </w:r>
      <w:r w:rsidR="00984186" w:rsidRPr="00984186">
        <w:rPr>
          <w:i/>
          <w:iCs/>
          <w:color w:val="000000" w:themeColor="text1"/>
          <w:szCs w:val="24"/>
        </w:rPr>
        <w:t>sine die</w:t>
      </w:r>
      <w:r w:rsidR="00984186">
        <w:rPr>
          <w:color w:val="000000" w:themeColor="text1"/>
          <w:szCs w:val="24"/>
        </w:rPr>
        <w:t xml:space="preserve"> </w:t>
      </w:r>
      <w:r w:rsidR="00E001F4">
        <w:rPr>
          <w:color w:val="000000" w:themeColor="text1"/>
          <w:szCs w:val="24"/>
        </w:rPr>
        <w:t xml:space="preserve">and ordered the first respondent to deliver her answering affidavit within fifteen days. </w:t>
      </w:r>
      <w:r w:rsidR="00B07193">
        <w:rPr>
          <w:color w:val="000000" w:themeColor="text1"/>
          <w:szCs w:val="24"/>
        </w:rPr>
        <w:t xml:space="preserve"> </w:t>
      </w:r>
      <w:r w:rsidR="007E471C">
        <w:rPr>
          <w:color w:val="000000" w:themeColor="text1"/>
          <w:szCs w:val="24"/>
        </w:rPr>
        <w:t xml:space="preserve">The first respondent </w:t>
      </w:r>
      <w:r w:rsidR="004A2B5E" w:rsidRPr="004A2B5E">
        <w:rPr>
          <w:color w:val="000000" w:themeColor="text1"/>
          <w:szCs w:val="24"/>
        </w:rPr>
        <w:t xml:space="preserve">delivered </w:t>
      </w:r>
      <w:r w:rsidR="00D76D32">
        <w:rPr>
          <w:color w:val="000000" w:themeColor="text1"/>
          <w:szCs w:val="24"/>
        </w:rPr>
        <w:t xml:space="preserve">her </w:t>
      </w:r>
      <w:r w:rsidR="004A2B5E" w:rsidRPr="004A2B5E">
        <w:rPr>
          <w:color w:val="000000" w:themeColor="text1"/>
          <w:szCs w:val="24"/>
        </w:rPr>
        <w:t>answering affidavit in the contempt application on 30 October 2015.</w:t>
      </w:r>
    </w:p>
    <w:p w14:paraId="1EB93115" w14:textId="734E8A39" w:rsidR="001D124E" w:rsidRDefault="00925BDF" w:rsidP="001D124E">
      <w:pPr>
        <w:pStyle w:val="JudgmentNumbered"/>
        <w:rPr>
          <w:color w:val="000000" w:themeColor="text1"/>
          <w:szCs w:val="24"/>
        </w:rPr>
      </w:pPr>
      <w:r>
        <w:rPr>
          <w:color w:val="000000" w:themeColor="text1"/>
          <w:szCs w:val="24"/>
        </w:rPr>
        <w:t>N</w:t>
      </w:r>
      <w:r w:rsidR="00B07193">
        <w:rPr>
          <w:color w:val="000000" w:themeColor="text1"/>
          <w:szCs w:val="24"/>
        </w:rPr>
        <w:t xml:space="preserve">ot content with </w:t>
      </w:r>
      <w:r w:rsidR="00C56DA7">
        <w:rPr>
          <w:color w:val="000000" w:themeColor="text1"/>
          <w:szCs w:val="24"/>
        </w:rPr>
        <w:t xml:space="preserve">limiting his relief to the enforcement of the </w:t>
      </w:r>
      <w:r w:rsidR="00B07193">
        <w:rPr>
          <w:color w:val="000000" w:themeColor="text1"/>
          <w:szCs w:val="24"/>
        </w:rPr>
        <w:t xml:space="preserve">order of 15 June 2015, the applicant issued a further application on 2 September 2015 under case number 2015/31015 </w:t>
      </w:r>
      <w:r w:rsidR="0040489D">
        <w:rPr>
          <w:color w:val="000000" w:themeColor="text1"/>
          <w:szCs w:val="24"/>
        </w:rPr>
        <w:t>(“</w:t>
      </w:r>
      <w:r w:rsidR="0040489D" w:rsidRPr="0040489D">
        <w:rPr>
          <w:b/>
          <w:bCs/>
          <w:i/>
          <w:iCs/>
          <w:color w:val="000000" w:themeColor="text1"/>
          <w:szCs w:val="24"/>
        </w:rPr>
        <w:t>the Sheriff’s application</w:t>
      </w:r>
      <w:r w:rsidR="0040489D">
        <w:rPr>
          <w:color w:val="000000" w:themeColor="text1"/>
          <w:szCs w:val="24"/>
        </w:rPr>
        <w:t>”)</w:t>
      </w:r>
      <w:r w:rsidR="00A058B6">
        <w:rPr>
          <w:color w:val="000000" w:themeColor="text1"/>
          <w:szCs w:val="24"/>
        </w:rPr>
        <w:t xml:space="preserve">.  He </w:t>
      </w:r>
      <w:r w:rsidR="001279C4">
        <w:rPr>
          <w:color w:val="000000" w:themeColor="text1"/>
          <w:szCs w:val="24"/>
        </w:rPr>
        <w:t xml:space="preserve">sought an order that the Sheriff </w:t>
      </w:r>
      <w:r w:rsidR="00CD4BF9">
        <w:rPr>
          <w:color w:val="000000" w:themeColor="text1"/>
          <w:szCs w:val="24"/>
        </w:rPr>
        <w:t>of each jurisdiction within which the properties are</w:t>
      </w:r>
      <w:r w:rsidR="0040489D">
        <w:rPr>
          <w:color w:val="000000" w:themeColor="text1"/>
          <w:szCs w:val="24"/>
        </w:rPr>
        <w:t xml:space="preserve"> situated </w:t>
      </w:r>
      <w:r w:rsidR="00CD4BF9">
        <w:rPr>
          <w:color w:val="000000" w:themeColor="text1"/>
          <w:szCs w:val="24"/>
        </w:rPr>
        <w:t xml:space="preserve">be authorised </w:t>
      </w:r>
      <w:r w:rsidR="007162ED" w:rsidRPr="00E37773">
        <w:rPr>
          <w:color w:val="000000" w:themeColor="text1"/>
          <w:szCs w:val="24"/>
        </w:rPr>
        <w:t>to sign the relevant transfer documents</w:t>
      </w:r>
      <w:r w:rsidR="00A058B6">
        <w:rPr>
          <w:color w:val="000000" w:themeColor="text1"/>
          <w:szCs w:val="24"/>
        </w:rPr>
        <w:t xml:space="preserve"> to ensure the properties were disposed </w:t>
      </w:r>
      <w:r w:rsidR="005F7CB8">
        <w:rPr>
          <w:color w:val="000000" w:themeColor="text1"/>
          <w:szCs w:val="24"/>
        </w:rPr>
        <w:t xml:space="preserve">of </w:t>
      </w:r>
      <w:r w:rsidR="00A058B6">
        <w:rPr>
          <w:color w:val="000000" w:themeColor="text1"/>
          <w:szCs w:val="24"/>
        </w:rPr>
        <w:t>on the open market</w:t>
      </w:r>
      <w:r w:rsidR="00E37773">
        <w:rPr>
          <w:color w:val="000000" w:themeColor="text1"/>
          <w:szCs w:val="24"/>
        </w:rPr>
        <w:t xml:space="preserve">. </w:t>
      </w:r>
      <w:r w:rsidR="00972F02">
        <w:rPr>
          <w:color w:val="000000" w:themeColor="text1"/>
          <w:szCs w:val="24"/>
        </w:rPr>
        <w:t xml:space="preserve">This application </w:t>
      </w:r>
      <w:r w:rsidR="0024428E">
        <w:rPr>
          <w:color w:val="000000" w:themeColor="text1"/>
          <w:szCs w:val="24"/>
        </w:rPr>
        <w:t>similarly served before Tsoka J on 9 October 2015</w:t>
      </w:r>
      <w:r w:rsidR="005F7CB8">
        <w:rPr>
          <w:color w:val="000000" w:themeColor="text1"/>
          <w:szCs w:val="24"/>
        </w:rPr>
        <w:t>. The learned judge</w:t>
      </w:r>
      <w:r w:rsidR="00984186">
        <w:rPr>
          <w:color w:val="000000" w:themeColor="text1"/>
          <w:szCs w:val="24"/>
        </w:rPr>
        <w:t xml:space="preserve"> postponed the application </w:t>
      </w:r>
      <w:r w:rsidR="00984186" w:rsidRPr="00984186">
        <w:rPr>
          <w:i/>
          <w:iCs/>
          <w:color w:val="000000" w:themeColor="text1"/>
          <w:szCs w:val="24"/>
        </w:rPr>
        <w:t>sine die</w:t>
      </w:r>
      <w:r w:rsidR="005A113C">
        <w:rPr>
          <w:color w:val="000000" w:themeColor="text1"/>
          <w:szCs w:val="24"/>
        </w:rPr>
        <w:t xml:space="preserve"> and </w:t>
      </w:r>
      <w:r w:rsidR="00984186">
        <w:rPr>
          <w:color w:val="000000" w:themeColor="text1"/>
          <w:szCs w:val="24"/>
        </w:rPr>
        <w:t xml:space="preserve">ordered </w:t>
      </w:r>
      <w:r w:rsidR="005A113C">
        <w:rPr>
          <w:color w:val="000000" w:themeColor="text1"/>
          <w:szCs w:val="24"/>
        </w:rPr>
        <w:t xml:space="preserve">the first respondent </w:t>
      </w:r>
      <w:r w:rsidR="00984186">
        <w:rPr>
          <w:color w:val="000000" w:themeColor="text1"/>
          <w:szCs w:val="24"/>
        </w:rPr>
        <w:t xml:space="preserve">to deliver her answering affidavit within fifteen days. </w:t>
      </w:r>
      <w:r w:rsidR="000F654E">
        <w:rPr>
          <w:color w:val="000000" w:themeColor="text1"/>
          <w:szCs w:val="24"/>
        </w:rPr>
        <w:t xml:space="preserve"> </w:t>
      </w:r>
    </w:p>
    <w:p w14:paraId="76288537" w14:textId="77777777" w:rsidR="00136655" w:rsidRDefault="00136655" w:rsidP="00136655">
      <w:pPr>
        <w:pStyle w:val="JudgmentNumbered"/>
        <w:rPr>
          <w:color w:val="000000" w:themeColor="text1"/>
          <w:szCs w:val="24"/>
        </w:rPr>
      </w:pPr>
      <w:r>
        <w:rPr>
          <w:color w:val="000000" w:themeColor="text1"/>
          <w:szCs w:val="24"/>
        </w:rPr>
        <w:t xml:space="preserve">She did not deliver her answering affidavit. </w:t>
      </w:r>
    </w:p>
    <w:p w14:paraId="1F145B98" w14:textId="2719AD10" w:rsidR="001F6EC8" w:rsidRPr="00136655" w:rsidRDefault="00546CDA" w:rsidP="00136655">
      <w:pPr>
        <w:pStyle w:val="JudgmentNumbered"/>
        <w:numPr>
          <w:ilvl w:val="0"/>
          <w:numId w:val="5"/>
        </w:numPr>
        <w:rPr>
          <w:color w:val="000000" w:themeColor="text1"/>
          <w:szCs w:val="24"/>
        </w:rPr>
      </w:pPr>
      <w:r w:rsidRPr="00136655">
        <w:rPr>
          <w:color w:val="000000" w:themeColor="text1"/>
          <w:szCs w:val="24"/>
        </w:rPr>
        <w:t xml:space="preserve">The </w:t>
      </w:r>
      <w:r w:rsidR="005A113C" w:rsidRPr="00136655">
        <w:rPr>
          <w:color w:val="000000" w:themeColor="text1"/>
          <w:szCs w:val="24"/>
        </w:rPr>
        <w:t xml:space="preserve">Sheriff’s application </w:t>
      </w:r>
      <w:r w:rsidR="00873E12" w:rsidRPr="00136655">
        <w:rPr>
          <w:color w:val="000000" w:themeColor="text1"/>
          <w:szCs w:val="24"/>
        </w:rPr>
        <w:t xml:space="preserve">was </w:t>
      </w:r>
      <w:r w:rsidR="0090770D">
        <w:rPr>
          <w:color w:val="000000" w:themeColor="text1"/>
          <w:szCs w:val="24"/>
        </w:rPr>
        <w:t xml:space="preserve">then </w:t>
      </w:r>
      <w:r w:rsidR="00873E12" w:rsidRPr="00136655">
        <w:rPr>
          <w:color w:val="000000" w:themeColor="text1"/>
          <w:szCs w:val="24"/>
        </w:rPr>
        <w:t xml:space="preserve">enrolled for hearing before </w:t>
      </w:r>
      <w:r w:rsidR="005A113C" w:rsidRPr="00136655">
        <w:rPr>
          <w:color w:val="000000" w:themeColor="text1"/>
          <w:szCs w:val="24"/>
        </w:rPr>
        <w:t xml:space="preserve">Wright J on </w:t>
      </w:r>
      <w:r w:rsidR="00B675FD" w:rsidRPr="00136655">
        <w:rPr>
          <w:color w:val="000000" w:themeColor="text1"/>
          <w:szCs w:val="24"/>
        </w:rPr>
        <w:t>12 January 2016</w:t>
      </w:r>
      <w:r w:rsidR="0090770D">
        <w:rPr>
          <w:color w:val="000000" w:themeColor="text1"/>
          <w:szCs w:val="24"/>
        </w:rPr>
        <w:t>. The learned judge</w:t>
      </w:r>
      <w:r w:rsidR="00B675FD" w:rsidRPr="00136655">
        <w:rPr>
          <w:color w:val="000000" w:themeColor="text1"/>
          <w:szCs w:val="24"/>
        </w:rPr>
        <w:t xml:space="preserve"> </w:t>
      </w:r>
      <w:r w:rsidR="00946E42" w:rsidRPr="00136655">
        <w:rPr>
          <w:color w:val="000000" w:themeColor="text1"/>
          <w:szCs w:val="24"/>
        </w:rPr>
        <w:t>ordered the</w:t>
      </w:r>
      <w:r w:rsidR="00B675FD" w:rsidRPr="00136655">
        <w:rPr>
          <w:color w:val="000000" w:themeColor="text1"/>
          <w:szCs w:val="24"/>
        </w:rPr>
        <w:t xml:space="preserve"> applicant </w:t>
      </w:r>
      <w:r w:rsidR="0001716C" w:rsidRPr="00136655">
        <w:rPr>
          <w:color w:val="000000" w:themeColor="text1"/>
          <w:szCs w:val="24"/>
        </w:rPr>
        <w:t xml:space="preserve">to </w:t>
      </w:r>
      <w:r w:rsidR="00B675FD" w:rsidRPr="00136655">
        <w:rPr>
          <w:color w:val="000000" w:themeColor="text1"/>
          <w:szCs w:val="24"/>
        </w:rPr>
        <w:t xml:space="preserve">deliver a supplementary affidavit by </w:t>
      </w:r>
      <w:r w:rsidR="00390499" w:rsidRPr="00136655">
        <w:rPr>
          <w:color w:val="000000" w:themeColor="text1"/>
          <w:szCs w:val="24"/>
        </w:rPr>
        <w:t>26 January 2016</w:t>
      </w:r>
      <w:r w:rsidR="000617DF">
        <w:rPr>
          <w:color w:val="000000" w:themeColor="text1"/>
          <w:szCs w:val="24"/>
        </w:rPr>
        <w:t>,</w:t>
      </w:r>
      <w:r w:rsidR="00390499" w:rsidRPr="00136655">
        <w:rPr>
          <w:color w:val="000000" w:themeColor="text1"/>
          <w:szCs w:val="24"/>
        </w:rPr>
        <w:t xml:space="preserve"> with the first respondent ordered to deliver her answering affidavit by 19 February 2016. </w:t>
      </w:r>
      <w:r w:rsidR="007415A6" w:rsidRPr="00136655">
        <w:rPr>
          <w:color w:val="000000" w:themeColor="text1"/>
          <w:szCs w:val="24"/>
        </w:rPr>
        <w:t xml:space="preserve"> </w:t>
      </w:r>
    </w:p>
    <w:p w14:paraId="74382050" w14:textId="1FB7802F" w:rsidR="00546CDA" w:rsidRPr="00336C53" w:rsidRDefault="007415A6" w:rsidP="00336C53">
      <w:pPr>
        <w:pStyle w:val="JudgmentNumbered"/>
        <w:numPr>
          <w:ilvl w:val="0"/>
          <w:numId w:val="5"/>
        </w:numPr>
        <w:rPr>
          <w:color w:val="000000" w:themeColor="text1"/>
          <w:szCs w:val="24"/>
        </w:rPr>
      </w:pPr>
      <w:r>
        <w:rPr>
          <w:color w:val="000000" w:themeColor="text1"/>
          <w:szCs w:val="24"/>
        </w:rPr>
        <w:lastRenderedPageBreak/>
        <w:t>It is not clear from the papers why the parties did not give effect to this orde</w:t>
      </w:r>
      <w:r w:rsidR="00F17A53">
        <w:rPr>
          <w:color w:val="000000" w:themeColor="text1"/>
          <w:szCs w:val="24"/>
        </w:rPr>
        <w:t>r,</w:t>
      </w:r>
      <w:r w:rsidR="00172932">
        <w:rPr>
          <w:color w:val="000000" w:themeColor="text1"/>
          <w:szCs w:val="24"/>
        </w:rPr>
        <w:t xml:space="preserve"> or why the contempt application was not prosecuted to finality, but</w:t>
      </w:r>
      <w:r w:rsidR="00336C53">
        <w:rPr>
          <w:color w:val="000000" w:themeColor="text1"/>
          <w:szCs w:val="24"/>
        </w:rPr>
        <w:t xml:space="preserve"> </w:t>
      </w:r>
      <w:r w:rsidR="00526BCE" w:rsidRPr="00336C53">
        <w:rPr>
          <w:color w:val="000000" w:themeColor="text1"/>
          <w:szCs w:val="24"/>
        </w:rPr>
        <w:t xml:space="preserve">when the Sheriff’s application </w:t>
      </w:r>
      <w:r w:rsidR="005163E0" w:rsidRPr="00336C53">
        <w:rPr>
          <w:color w:val="000000" w:themeColor="text1"/>
          <w:szCs w:val="24"/>
        </w:rPr>
        <w:t xml:space="preserve">next </w:t>
      </w:r>
      <w:r w:rsidR="00526BCE" w:rsidRPr="00336C53">
        <w:rPr>
          <w:color w:val="000000" w:themeColor="text1"/>
          <w:szCs w:val="24"/>
        </w:rPr>
        <w:t>came before</w:t>
      </w:r>
      <w:r w:rsidR="005163E0" w:rsidRPr="00336C53">
        <w:rPr>
          <w:color w:val="000000" w:themeColor="text1"/>
          <w:szCs w:val="24"/>
        </w:rPr>
        <w:t xml:space="preserve"> this Court on 30 March </w:t>
      </w:r>
      <w:r w:rsidR="00F67CC0" w:rsidRPr="00336C53">
        <w:rPr>
          <w:color w:val="000000" w:themeColor="text1"/>
          <w:szCs w:val="24"/>
        </w:rPr>
        <w:t xml:space="preserve">2016, </w:t>
      </w:r>
      <w:proofErr w:type="spellStart"/>
      <w:r w:rsidR="00F67CC0" w:rsidRPr="00336C53">
        <w:rPr>
          <w:color w:val="000000" w:themeColor="text1"/>
          <w:szCs w:val="24"/>
        </w:rPr>
        <w:t>Dewrance</w:t>
      </w:r>
      <w:proofErr w:type="spellEnd"/>
      <w:r w:rsidR="00526BCE" w:rsidRPr="00336C53">
        <w:rPr>
          <w:color w:val="000000" w:themeColor="text1"/>
          <w:szCs w:val="24"/>
        </w:rPr>
        <w:t xml:space="preserve"> AJ </w:t>
      </w:r>
      <w:r w:rsidR="001F6F8A" w:rsidRPr="00336C53">
        <w:rPr>
          <w:color w:val="000000" w:themeColor="text1"/>
          <w:szCs w:val="24"/>
        </w:rPr>
        <w:t xml:space="preserve">postponed the application pending the outcome of </w:t>
      </w:r>
      <w:r w:rsidR="008C7C3F" w:rsidRPr="00336C53">
        <w:rPr>
          <w:color w:val="000000" w:themeColor="text1"/>
          <w:szCs w:val="24"/>
        </w:rPr>
        <w:t>a</w:t>
      </w:r>
      <w:r w:rsidR="001F6F8A" w:rsidRPr="00336C53">
        <w:rPr>
          <w:color w:val="000000" w:themeColor="text1"/>
          <w:szCs w:val="24"/>
        </w:rPr>
        <w:t xml:space="preserve"> rescission application</w:t>
      </w:r>
      <w:r w:rsidR="00F17A53" w:rsidRPr="00336C53">
        <w:rPr>
          <w:color w:val="000000" w:themeColor="text1"/>
          <w:szCs w:val="24"/>
        </w:rPr>
        <w:t xml:space="preserve"> which the first respondent had launched </w:t>
      </w:r>
      <w:r w:rsidR="008C1D29" w:rsidRPr="00336C53">
        <w:rPr>
          <w:color w:val="000000" w:themeColor="text1"/>
          <w:szCs w:val="24"/>
        </w:rPr>
        <w:t xml:space="preserve">in the </w:t>
      </w:r>
      <w:r w:rsidR="000617DF" w:rsidRPr="00336C53">
        <w:rPr>
          <w:color w:val="000000" w:themeColor="text1"/>
          <w:szCs w:val="24"/>
        </w:rPr>
        <w:t xml:space="preserve">interim </w:t>
      </w:r>
      <w:r w:rsidR="00F17A53" w:rsidRPr="00336C53">
        <w:rPr>
          <w:color w:val="000000" w:themeColor="text1"/>
          <w:szCs w:val="24"/>
        </w:rPr>
        <w:t xml:space="preserve">on </w:t>
      </w:r>
      <w:r w:rsidR="00153586" w:rsidRPr="00336C53">
        <w:rPr>
          <w:color w:val="000000" w:themeColor="text1"/>
          <w:szCs w:val="24"/>
        </w:rPr>
        <w:t>22 February 2016 under the main application’s case number</w:t>
      </w:r>
      <w:r w:rsidR="0072523F" w:rsidRPr="00336C53">
        <w:rPr>
          <w:color w:val="000000" w:themeColor="text1"/>
          <w:szCs w:val="24"/>
        </w:rPr>
        <w:t xml:space="preserve"> (“</w:t>
      </w:r>
      <w:r w:rsidR="0072523F" w:rsidRPr="00336C53">
        <w:rPr>
          <w:b/>
          <w:bCs/>
          <w:i/>
          <w:iCs/>
          <w:color w:val="000000" w:themeColor="text1"/>
          <w:szCs w:val="24"/>
        </w:rPr>
        <w:t>the rescission application</w:t>
      </w:r>
      <w:r w:rsidR="0072523F" w:rsidRPr="00336C53">
        <w:rPr>
          <w:color w:val="000000" w:themeColor="text1"/>
          <w:szCs w:val="24"/>
        </w:rPr>
        <w:t xml:space="preserve">”). </w:t>
      </w:r>
    </w:p>
    <w:p w14:paraId="5CEEA8AB" w14:textId="4895C32A" w:rsidR="0058402F" w:rsidRDefault="0058402F" w:rsidP="001D124E">
      <w:pPr>
        <w:pStyle w:val="JudgmentNumbered"/>
        <w:rPr>
          <w:color w:val="000000" w:themeColor="text1"/>
          <w:szCs w:val="24"/>
        </w:rPr>
      </w:pPr>
      <w:r>
        <w:rPr>
          <w:color w:val="000000" w:themeColor="text1"/>
          <w:szCs w:val="24"/>
        </w:rPr>
        <w:t xml:space="preserve">The rescission application was enrolled for hearing on </w:t>
      </w:r>
      <w:r w:rsidR="00C71F3F">
        <w:rPr>
          <w:color w:val="000000" w:themeColor="text1"/>
          <w:szCs w:val="24"/>
        </w:rPr>
        <w:t xml:space="preserve">7 September 2017 before Twala J who postponed the application </w:t>
      </w:r>
      <w:r w:rsidR="00C71F3F" w:rsidRPr="0052370C">
        <w:rPr>
          <w:i/>
          <w:iCs/>
          <w:color w:val="000000" w:themeColor="text1"/>
          <w:szCs w:val="24"/>
        </w:rPr>
        <w:t>sine die</w:t>
      </w:r>
      <w:r w:rsidR="00C71F3F">
        <w:rPr>
          <w:color w:val="000000" w:themeColor="text1"/>
          <w:szCs w:val="24"/>
        </w:rPr>
        <w:t xml:space="preserve"> and ordered the </w:t>
      </w:r>
      <w:r w:rsidR="002B566F">
        <w:rPr>
          <w:color w:val="000000" w:themeColor="text1"/>
          <w:szCs w:val="24"/>
        </w:rPr>
        <w:t>respondent (</w:t>
      </w:r>
      <w:r w:rsidR="00032522">
        <w:rPr>
          <w:color w:val="000000" w:themeColor="text1"/>
          <w:szCs w:val="24"/>
        </w:rPr>
        <w:t>i.e.,</w:t>
      </w:r>
      <w:r w:rsidR="002B566F">
        <w:rPr>
          <w:color w:val="000000" w:themeColor="text1"/>
          <w:szCs w:val="24"/>
        </w:rPr>
        <w:t xml:space="preserve"> the applicant in the main application) to deliver his answering affidavit by </w:t>
      </w:r>
      <w:r w:rsidR="009E6414">
        <w:rPr>
          <w:color w:val="000000" w:themeColor="text1"/>
          <w:szCs w:val="24"/>
        </w:rPr>
        <w:t xml:space="preserve">19 September 2017. </w:t>
      </w:r>
      <w:r w:rsidR="00886614">
        <w:rPr>
          <w:color w:val="000000" w:themeColor="text1"/>
          <w:szCs w:val="24"/>
        </w:rPr>
        <w:t xml:space="preserve"> </w:t>
      </w:r>
      <w:r w:rsidR="00AE12D5">
        <w:rPr>
          <w:color w:val="000000" w:themeColor="text1"/>
          <w:szCs w:val="24"/>
        </w:rPr>
        <w:t xml:space="preserve"> While the applicant delivered his answering affidavit, the first respondent has not </w:t>
      </w:r>
      <w:r w:rsidR="00211919">
        <w:rPr>
          <w:color w:val="000000" w:themeColor="text1"/>
          <w:szCs w:val="24"/>
        </w:rPr>
        <w:t xml:space="preserve">yet </w:t>
      </w:r>
      <w:r w:rsidR="00AE73F8">
        <w:rPr>
          <w:color w:val="000000" w:themeColor="text1"/>
          <w:szCs w:val="24"/>
        </w:rPr>
        <w:t>filed a replying affidavit</w:t>
      </w:r>
      <w:r w:rsidR="00E223A2">
        <w:rPr>
          <w:color w:val="000000" w:themeColor="text1"/>
          <w:szCs w:val="24"/>
        </w:rPr>
        <w:t xml:space="preserve"> and no further steps appear to have been taken to prosecute the </w:t>
      </w:r>
      <w:proofErr w:type="spellStart"/>
      <w:r w:rsidR="00E223A2">
        <w:rPr>
          <w:color w:val="000000" w:themeColor="text1"/>
          <w:szCs w:val="24"/>
        </w:rPr>
        <w:t>recission</w:t>
      </w:r>
      <w:proofErr w:type="spellEnd"/>
      <w:r w:rsidR="00E223A2">
        <w:rPr>
          <w:color w:val="000000" w:themeColor="text1"/>
          <w:szCs w:val="24"/>
        </w:rPr>
        <w:t xml:space="preserve"> application to finality. </w:t>
      </w:r>
    </w:p>
    <w:p w14:paraId="6710F94A" w14:textId="0A71E8AE" w:rsidR="00707532" w:rsidRDefault="00E223A2" w:rsidP="000E232B">
      <w:pPr>
        <w:pStyle w:val="JudgmentNumbered"/>
        <w:numPr>
          <w:ilvl w:val="0"/>
          <w:numId w:val="4"/>
        </w:numPr>
        <w:rPr>
          <w:color w:val="000000" w:themeColor="text1"/>
          <w:szCs w:val="24"/>
        </w:rPr>
      </w:pPr>
      <w:r>
        <w:rPr>
          <w:color w:val="000000" w:themeColor="text1"/>
          <w:szCs w:val="24"/>
        </w:rPr>
        <w:t xml:space="preserve">It is </w:t>
      </w:r>
      <w:r w:rsidR="00535846">
        <w:rPr>
          <w:color w:val="000000" w:themeColor="text1"/>
          <w:szCs w:val="24"/>
        </w:rPr>
        <w:t>therefore not surprising that the</w:t>
      </w:r>
      <w:r w:rsidR="002E5A41">
        <w:rPr>
          <w:color w:val="000000" w:themeColor="text1"/>
          <w:szCs w:val="24"/>
        </w:rPr>
        <w:t xml:space="preserve"> litigation appears to have meandered along </w:t>
      </w:r>
      <w:r w:rsidR="00325968">
        <w:rPr>
          <w:color w:val="000000" w:themeColor="text1"/>
          <w:szCs w:val="24"/>
        </w:rPr>
        <w:t xml:space="preserve">aimlessly </w:t>
      </w:r>
      <w:r w:rsidR="006D0C35">
        <w:rPr>
          <w:color w:val="000000" w:themeColor="text1"/>
          <w:szCs w:val="24"/>
        </w:rPr>
        <w:t>since 2017</w:t>
      </w:r>
      <w:r w:rsidR="00535846">
        <w:rPr>
          <w:color w:val="000000" w:themeColor="text1"/>
          <w:szCs w:val="24"/>
        </w:rPr>
        <w:t xml:space="preserve"> without any real intent from the parties to resolve their disputes</w:t>
      </w:r>
      <w:r w:rsidR="002E5A41">
        <w:rPr>
          <w:color w:val="000000" w:themeColor="text1"/>
          <w:szCs w:val="24"/>
        </w:rPr>
        <w:t xml:space="preserve">.  </w:t>
      </w:r>
      <w:r w:rsidR="006745C7">
        <w:rPr>
          <w:color w:val="000000" w:themeColor="text1"/>
          <w:szCs w:val="24"/>
        </w:rPr>
        <w:t xml:space="preserve"> In a further salvo, the applicant brought an application on 31 August 2021 under case number 21/</w:t>
      </w:r>
      <w:r w:rsidR="00227A9E">
        <w:rPr>
          <w:color w:val="000000" w:themeColor="text1"/>
          <w:szCs w:val="24"/>
        </w:rPr>
        <w:t xml:space="preserve">35245 to vary the order of </w:t>
      </w:r>
      <w:proofErr w:type="spellStart"/>
      <w:r w:rsidR="00227A9E">
        <w:rPr>
          <w:color w:val="000000" w:themeColor="text1"/>
          <w:szCs w:val="24"/>
        </w:rPr>
        <w:t>Ngalwana</w:t>
      </w:r>
      <w:proofErr w:type="spellEnd"/>
      <w:r w:rsidR="00227A9E">
        <w:rPr>
          <w:color w:val="000000" w:themeColor="text1"/>
          <w:szCs w:val="24"/>
        </w:rPr>
        <w:t xml:space="preserve"> AJ in the main application to allow the Sheriff to sign the transfer documents </w:t>
      </w:r>
      <w:r w:rsidR="00F4262C">
        <w:rPr>
          <w:color w:val="000000" w:themeColor="text1"/>
          <w:szCs w:val="24"/>
        </w:rPr>
        <w:t xml:space="preserve">in respect of </w:t>
      </w:r>
      <w:r w:rsidR="001C60F1">
        <w:rPr>
          <w:color w:val="000000" w:themeColor="text1"/>
          <w:szCs w:val="24"/>
        </w:rPr>
        <w:t>all</w:t>
      </w:r>
      <w:r w:rsidR="00F4262C">
        <w:rPr>
          <w:color w:val="000000" w:themeColor="text1"/>
          <w:szCs w:val="24"/>
        </w:rPr>
        <w:t xml:space="preserve"> of the properties</w:t>
      </w:r>
      <w:r w:rsidR="00CC4D12">
        <w:rPr>
          <w:color w:val="000000" w:themeColor="text1"/>
          <w:szCs w:val="24"/>
        </w:rPr>
        <w:t xml:space="preserve"> </w:t>
      </w:r>
      <w:r w:rsidR="00CC4D12" w:rsidRPr="00F4262C">
        <w:rPr>
          <w:color w:val="000000" w:themeColor="text1"/>
          <w:szCs w:val="24"/>
        </w:rPr>
        <w:t>(“</w:t>
      </w:r>
      <w:r w:rsidR="00CC4D12" w:rsidRPr="00F4262C">
        <w:rPr>
          <w:b/>
          <w:bCs/>
          <w:i/>
          <w:iCs/>
          <w:color w:val="000000" w:themeColor="text1"/>
          <w:szCs w:val="24"/>
        </w:rPr>
        <w:t>the variation application</w:t>
      </w:r>
      <w:r w:rsidR="00CC4D12" w:rsidRPr="00F4262C">
        <w:rPr>
          <w:color w:val="000000" w:themeColor="text1"/>
          <w:szCs w:val="24"/>
        </w:rPr>
        <w:t>”)</w:t>
      </w:r>
      <w:r w:rsidR="00CC4D12">
        <w:rPr>
          <w:color w:val="000000" w:themeColor="text1"/>
          <w:szCs w:val="24"/>
        </w:rPr>
        <w:t>.</w:t>
      </w:r>
    </w:p>
    <w:p w14:paraId="5982F017" w14:textId="485F5426" w:rsidR="00A41F23" w:rsidRPr="000E232B" w:rsidRDefault="00707532" w:rsidP="000E232B">
      <w:pPr>
        <w:pStyle w:val="JudgmentNumbered"/>
        <w:numPr>
          <w:ilvl w:val="0"/>
          <w:numId w:val="4"/>
        </w:numPr>
        <w:rPr>
          <w:color w:val="000000" w:themeColor="text1"/>
          <w:szCs w:val="24"/>
        </w:rPr>
      </w:pPr>
      <w:r>
        <w:rPr>
          <w:color w:val="000000" w:themeColor="text1"/>
          <w:szCs w:val="24"/>
        </w:rPr>
        <w:t xml:space="preserve">The first </w:t>
      </w:r>
      <w:r w:rsidR="00C6401C" w:rsidRPr="00F4262C">
        <w:rPr>
          <w:color w:val="000000" w:themeColor="text1"/>
          <w:szCs w:val="24"/>
        </w:rPr>
        <w:t xml:space="preserve">respondent replied with an answering affidavit delivered on </w:t>
      </w:r>
      <w:r w:rsidR="00FF30B1" w:rsidRPr="00F4262C">
        <w:rPr>
          <w:color w:val="000000" w:themeColor="text1"/>
          <w:szCs w:val="24"/>
        </w:rPr>
        <w:t xml:space="preserve">16 November 2021. </w:t>
      </w:r>
      <w:r w:rsidR="00500685">
        <w:rPr>
          <w:color w:val="000000" w:themeColor="text1"/>
          <w:szCs w:val="24"/>
        </w:rPr>
        <w:t xml:space="preserve">  </w:t>
      </w:r>
      <w:r w:rsidR="002A0D8B" w:rsidRPr="000E232B">
        <w:rPr>
          <w:color w:val="000000" w:themeColor="text1"/>
          <w:szCs w:val="24"/>
        </w:rPr>
        <w:t xml:space="preserve">The applicant has not delivered a replying affidavit </w:t>
      </w:r>
      <w:r w:rsidR="006B3E60" w:rsidRPr="000E232B">
        <w:rPr>
          <w:color w:val="000000" w:themeColor="text1"/>
          <w:szCs w:val="24"/>
        </w:rPr>
        <w:t>in th</w:t>
      </w:r>
      <w:r w:rsidR="00AB2617" w:rsidRPr="000E232B">
        <w:rPr>
          <w:color w:val="000000" w:themeColor="text1"/>
          <w:szCs w:val="24"/>
        </w:rPr>
        <w:t>e variation</w:t>
      </w:r>
      <w:r w:rsidR="006B3E60" w:rsidRPr="000E232B">
        <w:rPr>
          <w:color w:val="000000" w:themeColor="text1"/>
          <w:szCs w:val="24"/>
        </w:rPr>
        <w:t xml:space="preserve"> application, but the </w:t>
      </w:r>
      <w:r w:rsidR="00500685" w:rsidRPr="000E232B">
        <w:rPr>
          <w:color w:val="000000" w:themeColor="text1"/>
          <w:szCs w:val="24"/>
        </w:rPr>
        <w:t>relief is in substance the same as the relief claimed in the Sheriff’s application</w:t>
      </w:r>
      <w:r w:rsidR="000E232B" w:rsidRPr="000E232B">
        <w:rPr>
          <w:color w:val="000000" w:themeColor="text1"/>
          <w:szCs w:val="24"/>
        </w:rPr>
        <w:t xml:space="preserve">. </w:t>
      </w:r>
    </w:p>
    <w:p w14:paraId="58A41941" w14:textId="27E8F804" w:rsidR="000E232B" w:rsidRDefault="000D69E1" w:rsidP="000E232B">
      <w:pPr>
        <w:pStyle w:val="JudgmentNumbered"/>
        <w:rPr>
          <w:color w:val="000000" w:themeColor="text1"/>
          <w:szCs w:val="24"/>
        </w:rPr>
      </w:pPr>
      <w:bookmarkStart w:id="1" w:name="_Hlk151899769"/>
      <w:r>
        <w:rPr>
          <w:color w:val="000000" w:themeColor="text1"/>
          <w:szCs w:val="24"/>
        </w:rPr>
        <w:t>As matters current stand, the</w:t>
      </w:r>
      <w:r w:rsidR="00C53F8D">
        <w:rPr>
          <w:color w:val="000000" w:themeColor="text1"/>
          <w:szCs w:val="24"/>
        </w:rPr>
        <w:t xml:space="preserve">re are four applications pending before this Court: </w:t>
      </w:r>
      <w:proofErr w:type="spellStart"/>
      <w:r w:rsidR="00C6594D">
        <w:rPr>
          <w:color w:val="000000" w:themeColor="text1"/>
          <w:szCs w:val="24"/>
        </w:rPr>
        <w:t>i</w:t>
      </w:r>
      <w:proofErr w:type="spellEnd"/>
      <w:r w:rsidR="00C6594D">
        <w:rPr>
          <w:color w:val="000000" w:themeColor="text1"/>
          <w:szCs w:val="24"/>
        </w:rPr>
        <w:t xml:space="preserve">) </w:t>
      </w:r>
      <w:r w:rsidR="00D81256">
        <w:rPr>
          <w:color w:val="000000" w:themeColor="text1"/>
          <w:szCs w:val="24"/>
        </w:rPr>
        <w:t>t</w:t>
      </w:r>
      <w:r w:rsidR="00390256" w:rsidRPr="00612329">
        <w:rPr>
          <w:color w:val="000000" w:themeColor="text1"/>
          <w:szCs w:val="24"/>
        </w:rPr>
        <w:t>he rescission application</w:t>
      </w:r>
      <w:r w:rsidR="00F44E16">
        <w:rPr>
          <w:color w:val="000000" w:themeColor="text1"/>
          <w:szCs w:val="24"/>
        </w:rPr>
        <w:t xml:space="preserve"> which seeks to rescind the order of 15 June 2015 granted in the main application</w:t>
      </w:r>
      <w:r w:rsidR="00390256" w:rsidRPr="00612329">
        <w:rPr>
          <w:color w:val="000000" w:themeColor="text1"/>
          <w:szCs w:val="24"/>
        </w:rPr>
        <w:t xml:space="preserve">; </w:t>
      </w:r>
      <w:r w:rsidR="00C6594D">
        <w:rPr>
          <w:color w:val="000000" w:themeColor="text1"/>
          <w:szCs w:val="24"/>
        </w:rPr>
        <w:t xml:space="preserve">ii) </w:t>
      </w:r>
      <w:r w:rsidR="00390256" w:rsidRPr="00612329">
        <w:rPr>
          <w:color w:val="000000" w:themeColor="text1"/>
          <w:szCs w:val="24"/>
        </w:rPr>
        <w:t xml:space="preserve">the contempt application; </w:t>
      </w:r>
      <w:r w:rsidR="00C6594D">
        <w:rPr>
          <w:color w:val="000000" w:themeColor="text1"/>
          <w:szCs w:val="24"/>
        </w:rPr>
        <w:t xml:space="preserve">iii) </w:t>
      </w:r>
      <w:r w:rsidR="00390256" w:rsidRPr="00612329">
        <w:rPr>
          <w:color w:val="000000" w:themeColor="text1"/>
          <w:szCs w:val="24"/>
        </w:rPr>
        <w:t xml:space="preserve">the Sheriff’s application; </w:t>
      </w:r>
      <w:proofErr w:type="gramStart"/>
      <w:r w:rsidR="00C6594D">
        <w:rPr>
          <w:color w:val="000000" w:themeColor="text1"/>
          <w:szCs w:val="24"/>
        </w:rPr>
        <w:t>iv)</w:t>
      </w:r>
      <w:r w:rsidR="00390256" w:rsidRPr="00612329">
        <w:rPr>
          <w:color w:val="000000" w:themeColor="text1"/>
          <w:szCs w:val="24"/>
        </w:rPr>
        <w:t xml:space="preserve"> the</w:t>
      </w:r>
      <w:proofErr w:type="gramEnd"/>
      <w:r w:rsidR="00390256" w:rsidRPr="00612329">
        <w:rPr>
          <w:color w:val="000000" w:themeColor="text1"/>
          <w:szCs w:val="24"/>
        </w:rPr>
        <w:t xml:space="preserve"> variation application. </w:t>
      </w:r>
    </w:p>
    <w:p w14:paraId="78DEBAA3" w14:textId="0DADAE73" w:rsidR="001A424B" w:rsidRPr="000E232B" w:rsidRDefault="00C9321A" w:rsidP="000E232B">
      <w:pPr>
        <w:pStyle w:val="JudgmentNumbered"/>
        <w:numPr>
          <w:ilvl w:val="0"/>
          <w:numId w:val="4"/>
        </w:numPr>
        <w:rPr>
          <w:color w:val="000000" w:themeColor="text1"/>
          <w:szCs w:val="24"/>
        </w:rPr>
      </w:pPr>
      <w:r w:rsidRPr="000E232B">
        <w:rPr>
          <w:color w:val="000000" w:themeColor="text1"/>
          <w:szCs w:val="24"/>
        </w:rPr>
        <w:t>Replying affidavits are still due in the rescission, contem</w:t>
      </w:r>
      <w:r w:rsidR="008955BD" w:rsidRPr="000E232B">
        <w:rPr>
          <w:color w:val="000000" w:themeColor="text1"/>
          <w:szCs w:val="24"/>
        </w:rPr>
        <w:t>p</w:t>
      </w:r>
      <w:r w:rsidRPr="000E232B">
        <w:rPr>
          <w:color w:val="000000" w:themeColor="text1"/>
          <w:szCs w:val="24"/>
        </w:rPr>
        <w:t xml:space="preserve">t and variation </w:t>
      </w:r>
      <w:r w:rsidR="00C675A4" w:rsidRPr="000E232B">
        <w:rPr>
          <w:color w:val="000000" w:themeColor="text1"/>
          <w:szCs w:val="24"/>
        </w:rPr>
        <w:t>applications while answering and replying affidavit</w:t>
      </w:r>
      <w:r w:rsidR="008955BD" w:rsidRPr="000E232B">
        <w:rPr>
          <w:color w:val="000000" w:themeColor="text1"/>
          <w:szCs w:val="24"/>
        </w:rPr>
        <w:t>s</w:t>
      </w:r>
      <w:r w:rsidR="00C675A4" w:rsidRPr="000E232B">
        <w:rPr>
          <w:color w:val="000000" w:themeColor="text1"/>
          <w:szCs w:val="24"/>
        </w:rPr>
        <w:t xml:space="preserve"> remain </w:t>
      </w:r>
      <w:r w:rsidR="00156DBB">
        <w:rPr>
          <w:color w:val="000000" w:themeColor="text1"/>
          <w:szCs w:val="24"/>
        </w:rPr>
        <w:t xml:space="preserve">outstanding </w:t>
      </w:r>
      <w:r w:rsidR="008955BD" w:rsidRPr="000E232B">
        <w:rPr>
          <w:color w:val="000000" w:themeColor="text1"/>
          <w:szCs w:val="24"/>
        </w:rPr>
        <w:t xml:space="preserve">in the Sheriff’s application. </w:t>
      </w:r>
      <w:r w:rsidR="000A37A7">
        <w:rPr>
          <w:color w:val="000000" w:themeColor="text1"/>
          <w:szCs w:val="24"/>
        </w:rPr>
        <w:t>T</w:t>
      </w:r>
      <w:r w:rsidR="001A424B" w:rsidRPr="000E232B">
        <w:rPr>
          <w:color w:val="000000" w:themeColor="text1"/>
          <w:szCs w:val="24"/>
        </w:rPr>
        <w:t>he applicant</w:t>
      </w:r>
      <w:r w:rsidR="00C72024" w:rsidRPr="000E232B">
        <w:rPr>
          <w:color w:val="000000" w:themeColor="text1"/>
          <w:szCs w:val="24"/>
        </w:rPr>
        <w:t xml:space="preserve"> </w:t>
      </w:r>
      <w:r w:rsidR="004F14CD">
        <w:rPr>
          <w:color w:val="000000" w:themeColor="text1"/>
          <w:szCs w:val="24"/>
        </w:rPr>
        <w:t xml:space="preserve">curiously </w:t>
      </w:r>
      <w:r w:rsidR="00B04D06" w:rsidRPr="000E232B">
        <w:rPr>
          <w:color w:val="000000" w:themeColor="text1"/>
          <w:szCs w:val="24"/>
        </w:rPr>
        <w:t xml:space="preserve">does not seek a consolidation </w:t>
      </w:r>
      <w:r w:rsidR="00E71D4F" w:rsidRPr="000E232B">
        <w:rPr>
          <w:color w:val="000000" w:themeColor="text1"/>
          <w:szCs w:val="24"/>
        </w:rPr>
        <w:t>of the variation application with the remaining three applications</w:t>
      </w:r>
      <w:r w:rsidR="00ED4D22" w:rsidRPr="000E232B">
        <w:rPr>
          <w:color w:val="000000" w:themeColor="text1"/>
          <w:szCs w:val="24"/>
        </w:rPr>
        <w:t xml:space="preserve"> but instead submits </w:t>
      </w:r>
      <w:r w:rsidR="00ED4D22" w:rsidRPr="000E232B">
        <w:rPr>
          <w:color w:val="000000" w:themeColor="text1"/>
          <w:szCs w:val="24"/>
        </w:rPr>
        <w:lastRenderedPageBreak/>
        <w:t xml:space="preserve">that if the consolidation is granted, </w:t>
      </w:r>
      <w:r w:rsidR="008B10CE">
        <w:rPr>
          <w:color w:val="000000" w:themeColor="text1"/>
          <w:szCs w:val="24"/>
        </w:rPr>
        <w:t xml:space="preserve">the variation application </w:t>
      </w:r>
      <w:r w:rsidR="00ED4D22" w:rsidRPr="000E232B">
        <w:rPr>
          <w:color w:val="000000" w:themeColor="text1"/>
          <w:szCs w:val="24"/>
        </w:rPr>
        <w:t xml:space="preserve">would most likely have to be withdrawn. </w:t>
      </w:r>
      <w:r w:rsidR="004F14CD">
        <w:rPr>
          <w:color w:val="000000" w:themeColor="text1"/>
          <w:szCs w:val="24"/>
        </w:rPr>
        <w:t xml:space="preserve"> </w:t>
      </w:r>
    </w:p>
    <w:bookmarkEnd w:id="1"/>
    <w:p w14:paraId="6B3A77F5" w14:textId="7235BDEB" w:rsidR="00413B49" w:rsidRPr="00993022" w:rsidRDefault="00C015DC" w:rsidP="00413B49">
      <w:pPr>
        <w:pStyle w:val="JudgmentHeading"/>
        <w:tabs>
          <w:tab w:val="left" w:pos="3744"/>
        </w:tabs>
        <w:rPr>
          <w:b/>
          <w:bCs/>
          <w:i w:val="0"/>
          <w:iCs/>
          <w:color w:val="000000" w:themeColor="text1"/>
          <w:szCs w:val="24"/>
        </w:rPr>
      </w:pPr>
      <w:r>
        <w:rPr>
          <w:b/>
          <w:bCs/>
          <w:i w:val="0"/>
          <w:iCs/>
          <w:color w:val="000000" w:themeColor="text1"/>
          <w:szCs w:val="24"/>
        </w:rPr>
        <w:t xml:space="preserve">Discussion </w:t>
      </w:r>
    </w:p>
    <w:p w14:paraId="0AC8011C" w14:textId="1EC10731" w:rsidR="00ED45B5" w:rsidRDefault="00DC3A91" w:rsidP="00ED45B5">
      <w:pPr>
        <w:pStyle w:val="JudgmentNumbered"/>
      </w:pPr>
      <w:r>
        <w:t xml:space="preserve">Rule 11 of the Uniform Rules of Court makes provision </w:t>
      </w:r>
      <w:r w:rsidR="00D529D4">
        <w:t xml:space="preserve">for a consolidation of actions that have been separately instituted where it appears to the Court </w:t>
      </w:r>
      <w:r w:rsidR="00D529D4" w:rsidRPr="00D529D4">
        <w:rPr>
          <w:i/>
          <w:iCs/>
        </w:rPr>
        <w:t>convenien</w:t>
      </w:r>
      <w:r w:rsidR="00D529D4">
        <w:t xml:space="preserve">t to do so. </w:t>
      </w:r>
      <w:r w:rsidR="00643CDA">
        <w:t xml:space="preserve"> The Rule applies to application</w:t>
      </w:r>
      <w:r w:rsidR="00E13C47">
        <w:t>s</w:t>
      </w:r>
      <w:r w:rsidR="00643CDA">
        <w:t xml:space="preserve"> by virtue of Rule 6(14).  </w:t>
      </w:r>
    </w:p>
    <w:p w14:paraId="5C6DC8B9" w14:textId="77777777" w:rsidR="00046913" w:rsidRPr="00046913" w:rsidRDefault="00643CDA" w:rsidP="00ED45B5">
      <w:pPr>
        <w:pStyle w:val="JudgmentNumbered"/>
      </w:pPr>
      <w:r>
        <w:t>A Court has a wide discretion to grant or refuse an application for consolidation with convenience the overriding consideration.</w:t>
      </w:r>
      <w:r w:rsidR="001850D5" w:rsidRPr="000F44F5">
        <w:rPr>
          <w:color w:val="000000" w:themeColor="text1"/>
          <w:szCs w:val="24"/>
          <w:vertAlign w:val="superscript"/>
        </w:rPr>
        <w:footnoteReference w:id="1"/>
      </w:r>
      <w:r w:rsidR="001850D5" w:rsidRPr="00ED45B5">
        <w:rPr>
          <w:color w:val="000000" w:themeColor="text1"/>
          <w:szCs w:val="24"/>
        </w:rPr>
        <w:t xml:space="preserve"> </w:t>
      </w:r>
    </w:p>
    <w:p w14:paraId="1B6D596B" w14:textId="77777777" w:rsidR="004F14CD" w:rsidRDefault="00CD3552" w:rsidP="004F14CD">
      <w:pPr>
        <w:pStyle w:val="JudgmentNumbered"/>
      </w:pPr>
      <w:r w:rsidRPr="00ED45B5">
        <w:rPr>
          <w:color w:val="000000" w:themeColor="text1"/>
          <w:szCs w:val="24"/>
        </w:rPr>
        <w:t xml:space="preserve">Other important considerations include the </w:t>
      </w:r>
      <w:r w:rsidR="00DC3A91">
        <w:t>avoidance of a multiplicity of a</w:t>
      </w:r>
      <w:r>
        <w:t>pplications</w:t>
      </w:r>
      <w:r w:rsidR="00DC3A91">
        <w:t xml:space="preserve"> and </w:t>
      </w:r>
      <w:r>
        <w:t xml:space="preserve">the </w:t>
      </w:r>
      <w:r w:rsidR="00DC3A91">
        <w:t>attendant costs</w:t>
      </w:r>
      <w:r w:rsidR="00C015DC">
        <w:t xml:space="preserve"> of the parties proceeding with separate applications. </w:t>
      </w:r>
      <w:r w:rsidR="00DC3A91">
        <w:t xml:space="preserve"> </w:t>
      </w:r>
    </w:p>
    <w:p w14:paraId="2BC08D59" w14:textId="77DC567F" w:rsidR="005459C5" w:rsidRDefault="00352DA6" w:rsidP="004F14CD">
      <w:pPr>
        <w:pStyle w:val="JudgmentNumbered"/>
        <w:numPr>
          <w:ilvl w:val="0"/>
          <w:numId w:val="5"/>
        </w:numPr>
      </w:pPr>
      <w:r>
        <w:t xml:space="preserve">The onus </w:t>
      </w:r>
      <w:r w:rsidR="007445E6">
        <w:t>is on the party requesting a consolidation to show that the consolidation will not occasion substantial prejudice to the other party.</w:t>
      </w:r>
      <w:r w:rsidR="007445E6" w:rsidRPr="000F44F5">
        <w:rPr>
          <w:color w:val="000000" w:themeColor="text1"/>
          <w:szCs w:val="24"/>
          <w:vertAlign w:val="superscript"/>
        </w:rPr>
        <w:footnoteReference w:id="2"/>
      </w:r>
      <w:r w:rsidR="00960ABE">
        <w:t xml:space="preserve"> </w:t>
      </w:r>
      <w:r w:rsidR="00AE3D9A">
        <w:t xml:space="preserve"> </w:t>
      </w:r>
      <w:r w:rsidR="00960ABE">
        <w:t xml:space="preserve">Where a party has brought two or more </w:t>
      </w:r>
      <w:r w:rsidR="00F67CC0">
        <w:t>proceedings but</w:t>
      </w:r>
      <w:r w:rsidR="00960ABE">
        <w:t xml:space="preserve"> had the right to </w:t>
      </w:r>
      <w:r w:rsidR="008A5577">
        <w:t>proceed with the relief in a single action</w:t>
      </w:r>
      <w:r w:rsidR="00F46EC5">
        <w:t xml:space="preserve"> in the first place</w:t>
      </w:r>
      <w:r w:rsidR="008A5577">
        <w:t xml:space="preserve">, </w:t>
      </w:r>
      <w:r w:rsidR="00AE3D9A">
        <w:t xml:space="preserve">a factor which the Court may take into account </w:t>
      </w:r>
      <w:r w:rsidR="00046913">
        <w:t xml:space="preserve">in granting a consolidation </w:t>
      </w:r>
      <w:r w:rsidR="00AE3D9A">
        <w:t xml:space="preserve">is the explanation for </w:t>
      </w:r>
      <w:r w:rsidR="00F46EC5">
        <w:t xml:space="preserve">the </w:t>
      </w:r>
      <w:r w:rsidR="00977445">
        <w:t>change in approach.</w:t>
      </w:r>
      <w:r w:rsidR="00977445" w:rsidRPr="000F44F5">
        <w:rPr>
          <w:color w:val="000000" w:themeColor="text1"/>
          <w:szCs w:val="24"/>
          <w:vertAlign w:val="superscript"/>
        </w:rPr>
        <w:footnoteReference w:id="3"/>
      </w:r>
      <w:r w:rsidR="00977445">
        <w:t xml:space="preserve"> </w:t>
      </w:r>
      <w:r w:rsidR="00F46EC5">
        <w:t xml:space="preserve"> </w:t>
      </w:r>
    </w:p>
    <w:p w14:paraId="2AB6565B" w14:textId="0166C180" w:rsidR="002F0762" w:rsidRDefault="006551A5" w:rsidP="002F0762">
      <w:pPr>
        <w:pStyle w:val="JudgmentNumbered"/>
        <w:rPr>
          <w:color w:val="000000" w:themeColor="text1"/>
          <w:szCs w:val="24"/>
        </w:rPr>
      </w:pPr>
      <w:r w:rsidRPr="00B93192">
        <w:rPr>
          <w:color w:val="000000" w:themeColor="text1"/>
          <w:szCs w:val="24"/>
        </w:rPr>
        <w:t xml:space="preserve">The relative adequacy of </w:t>
      </w:r>
      <w:r w:rsidR="005D71A6" w:rsidRPr="00B93192">
        <w:rPr>
          <w:color w:val="000000" w:themeColor="text1"/>
          <w:szCs w:val="24"/>
        </w:rPr>
        <w:t xml:space="preserve">an </w:t>
      </w:r>
      <w:r w:rsidRPr="00B93192">
        <w:rPr>
          <w:color w:val="000000" w:themeColor="text1"/>
          <w:szCs w:val="24"/>
        </w:rPr>
        <w:t>explanation should however not be treated as dispositive.</w:t>
      </w:r>
      <w:r w:rsidR="007E2F05">
        <w:rPr>
          <w:color w:val="000000" w:themeColor="text1"/>
          <w:szCs w:val="24"/>
        </w:rPr>
        <w:t xml:space="preserve"> </w:t>
      </w:r>
      <w:r w:rsidR="005459C5" w:rsidRPr="002F0762">
        <w:rPr>
          <w:color w:val="000000" w:themeColor="text1"/>
          <w:szCs w:val="24"/>
        </w:rPr>
        <w:t xml:space="preserve">It is not uncommon for strategic </w:t>
      </w:r>
      <w:r w:rsidR="00D65D3C" w:rsidRPr="002F0762">
        <w:rPr>
          <w:color w:val="000000" w:themeColor="text1"/>
          <w:szCs w:val="24"/>
        </w:rPr>
        <w:t xml:space="preserve">decisions </w:t>
      </w:r>
      <w:r w:rsidR="005459C5" w:rsidRPr="002F0762">
        <w:rPr>
          <w:color w:val="000000" w:themeColor="text1"/>
          <w:szCs w:val="24"/>
        </w:rPr>
        <w:t xml:space="preserve">to be made </w:t>
      </w:r>
      <w:r w:rsidR="00E77B7F" w:rsidRPr="002F0762">
        <w:rPr>
          <w:color w:val="000000" w:themeColor="text1"/>
          <w:szCs w:val="24"/>
        </w:rPr>
        <w:t xml:space="preserve">at the </w:t>
      </w:r>
      <w:r w:rsidR="00D65D3C" w:rsidRPr="002F0762">
        <w:rPr>
          <w:color w:val="000000" w:themeColor="text1"/>
          <w:szCs w:val="24"/>
        </w:rPr>
        <w:t xml:space="preserve">commencement of litigation </w:t>
      </w:r>
      <w:r w:rsidR="00E77B7F" w:rsidRPr="002F0762">
        <w:rPr>
          <w:color w:val="000000" w:themeColor="text1"/>
          <w:szCs w:val="24"/>
        </w:rPr>
        <w:t>concerning the appropriate pathway to take</w:t>
      </w:r>
      <w:r w:rsidR="005F3D15">
        <w:rPr>
          <w:color w:val="000000" w:themeColor="text1"/>
          <w:szCs w:val="24"/>
        </w:rPr>
        <w:t>,</w:t>
      </w:r>
      <w:r w:rsidR="00E77B7F" w:rsidRPr="002F0762">
        <w:rPr>
          <w:color w:val="000000" w:themeColor="text1"/>
          <w:szCs w:val="24"/>
        </w:rPr>
        <w:t xml:space="preserve"> </w:t>
      </w:r>
      <w:r w:rsidR="00D65D3C" w:rsidRPr="002F0762">
        <w:rPr>
          <w:color w:val="000000" w:themeColor="text1"/>
          <w:szCs w:val="24"/>
        </w:rPr>
        <w:t xml:space="preserve">which on reflection may have been </w:t>
      </w:r>
      <w:r w:rsidR="00D724BB" w:rsidRPr="002F0762">
        <w:rPr>
          <w:color w:val="000000" w:themeColor="text1"/>
          <w:szCs w:val="24"/>
        </w:rPr>
        <w:t xml:space="preserve">procedurally unwise with the benefit of </w:t>
      </w:r>
      <w:r w:rsidR="005D71A6" w:rsidRPr="002F0762">
        <w:rPr>
          <w:color w:val="000000" w:themeColor="text1"/>
          <w:szCs w:val="24"/>
        </w:rPr>
        <w:t xml:space="preserve">subsequent </w:t>
      </w:r>
      <w:r w:rsidR="00D724BB" w:rsidRPr="002F0762">
        <w:rPr>
          <w:color w:val="000000" w:themeColor="text1"/>
          <w:szCs w:val="24"/>
        </w:rPr>
        <w:t>insight that</w:t>
      </w:r>
      <w:r w:rsidR="00302BB1" w:rsidRPr="002F0762">
        <w:rPr>
          <w:color w:val="000000" w:themeColor="text1"/>
          <w:szCs w:val="24"/>
        </w:rPr>
        <w:t xml:space="preserve"> invariably comes </w:t>
      </w:r>
      <w:r w:rsidR="002F0762" w:rsidRPr="002F0762">
        <w:rPr>
          <w:color w:val="000000" w:themeColor="text1"/>
          <w:szCs w:val="24"/>
        </w:rPr>
        <w:t>with</w:t>
      </w:r>
      <w:r w:rsidR="00302BB1" w:rsidRPr="002F0762">
        <w:rPr>
          <w:color w:val="000000" w:themeColor="text1"/>
          <w:szCs w:val="24"/>
        </w:rPr>
        <w:t xml:space="preserve"> time as </w:t>
      </w:r>
      <w:r w:rsidR="00660F5B" w:rsidRPr="002F0762">
        <w:rPr>
          <w:color w:val="000000" w:themeColor="text1"/>
          <w:szCs w:val="24"/>
        </w:rPr>
        <w:t xml:space="preserve">a more </w:t>
      </w:r>
      <w:r w:rsidR="00B00E93" w:rsidRPr="002F0762">
        <w:rPr>
          <w:color w:val="000000" w:themeColor="text1"/>
          <w:szCs w:val="24"/>
        </w:rPr>
        <w:t xml:space="preserve">complete </w:t>
      </w:r>
      <w:r w:rsidR="00660F5B" w:rsidRPr="002F0762">
        <w:rPr>
          <w:color w:val="000000" w:themeColor="text1"/>
          <w:szCs w:val="24"/>
        </w:rPr>
        <w:t xml:space="preserve">picture </w:t>
      </w:r>
      <w:r w:rsidR="005D71A6" w:rsidRPr="002F0762">
        <w:rPr>
          <w:color w:val="000000" w:themeColor="text1"/>
          <w:szCs w:val="24"/>
        </w:rPr>
        <w:t>e</w:t>
      </w:r>
      <w:r w:rsidR="00D31B40" w:rsidRPr="002F0762">
        <w:rPr>
          <w:color w:val="000000" w:themeColor="text1"/>
          <w:szCs w:val="24"/>
        </w:rPr>
        <w:t xml:space="preserve">merges </w:t>
      </w:r>
      <w:r w:rsidR="00660F5B" w:rsidRPr="002F0762">
        <w:rPr>
          <w:color w:val="000000" w:themeColor="text1"/>
          <w:szCs w:val="24"/>
        </w:rPr>
        <w:t xml:space="preserve">of the facts through the benefit of subsequent pleadings and discovery.  </w:t>
      </w:r>
      <w:r w:rsidR="00962908" w:rsidRPr="002F0762">
        <w:rPr>
          <w:color w:val="000000" w:themeColor="text1"/>
          <w:szCs w:val="24"/>
        </w:rPr>
        <w:t xml:space="preserve"> </w:t>
      </w:r>
    </w:p>
    <w:p w14:paraId="22FB05B0" w14:textId="4675A7E2" w:rsidR="00B93192" w:rsidRPr="002F0762" w:rsidRDefault="00962908" w:rsidP="002F0762">
      <w:pPr>
        <w:pStyle w:val="JudgmentNumbered"/>
        <w:numPr>
          <w:ilvl w:val="0"/>
          <w:numId w:val="5"/>
        </w:numPr>
        <w:rPr>
          <w:color w:val="000000" w:themeColor="text1"/>
          <w:szCs w:val="24"/>
        </w:rPr>
      </w:pPr>
      <w:r w:rsidRPr="002F0762">
        <w:rPr>
          <w:color w:val="000000" w:themeColor="text1"/>
          <w:szCs w:val="24"/>
        </w:rPr>
        <w:lastRenderedPageBreak/>
        <w:t xml:space="preserve">The distinct possibility of this situation was </w:t>
      </w:r>
      <w:r w:rsidR="00B93192" w:rsidRPr="002F0762">
        <w:rPr>
          <w:color w:val="000000" w:themeColor="text1"/>
          <w:szCs w:val="24"/>
        </w:rPr>
        <w:t xml:space="preserve">recognised by </w:t>
      </w:r>
      <w:proofErr w:type="spellStart"/>
      <w:r w:rsidR="00B93192" w:rsidRPr="002F0762">
        <w:rPr>
          <w:color w:val="000000" w:themeColor="text1"/>
          <w:szCs w:val="24"/>
        </w:rPr>
        <w:t>Clayden</w:t>
      </w:r>
      <w:proofErr w:type="spellEnd"/>
      <w:r w:rsidR="00B93192" w:rsidRPr="002F0762">
        <w:rPr>
          <w:color w:val="000000" w:themeColor="text1"/>
          <w:szCs w:val="24"/>
        </w:rPr>
        <w:t xml:space="preserve"> J in </w:t>
      </w:r>
      <w:r w:rsidR="003207EA" w:rsidRPr="002F0762">
        <w:rPr>
          <w:b/>
          <w:bCs/>
          <w:color w:val="000000" w:themeColor="text1"/>
          <w:szCs w:val="24"/>
          <w:shd w:val="clear" w:color="auto" w:fill="FFFFFF"/>
        </w:rPr>
        <w:t>International Tobacco Company of South Africa Ltd v United Tobacco Companies (South) Ltd</w:t>
      </w:r>
      <w:r w:rsidR="003207EA" w:rsidRPr="002F0762">
        <w:rPr>
          <w:color w:val="000000" w:themeColor="text1"/>
          <w:szCs w:val="24"/>
          <w:shd w:val="clear" w:color="auto" w:fill="FFFFFF"/>
        </w:rPr>
        <w:t xml:space="preserve"> 1953 (1) SA 241 (W) at 243F-H</w:t>
      </w:r>
      <w:r w:rsidR="00B93192" w:rsidRPr="002F0762">
        <w:rPr>
          <w:color w:val="000000" w:themeColor="text1"/>
          <w:szCs w:val="24"/>
          <w:shd w:val="clear" w:color="auto" w:fill="FFFFFF"/>
        </w:rPr>
        <w:t xml:space="preserve"> where the learned judge held as follows: </w:t>
      </w:r>
    </w:p>
    <w:p w14:paraId="4B06C81B" w14:textId="4991AD3E" w:rsidR="00962908" w:rsidRPr="00B93192" w:rsidRDefault="00B93192" w:rsidP="00B93192">
      <w:pPr>
        <w:pStyle w:val="JudgmentNumbered"/>
        <w:numPr>
          <w:ilvl w:val="0"/>
          <w:numId w:val="0"/>
        </w:numPr>
        <w:spacing w:line="240" w:lineRule="auto"/>
        <w:ind w:left="562"/>
        <w:rPr>
          <w:color w:val="000000" w:themeColor="text1"/>
          <w:szCs w:val="24"/>
        </w:rPr>
      </w:pPr>
      <w:r w:rsidRPr="00B93192">
        <w:rPr>
          <w:color w:val="000000" w:themeColor="text1"/>
          <w:szCs w:val="24"/>
        </w:rPr>
        <w:t>“</w:t>
      </w:r>
      <w:r w:rsidR="00962908" w:rsidRPr="00B93192">
        <w:rPr>
          <w:color w:val="000000" w:themeColor="text1"/>
          <w:szCs w:val="24"/>
          <w:shd w:val="clear" w:color="auto" w:fill="FFFFFF"/>
        </w:rPr>
        <w:t>The plaintiff considered it advisable to institute action immediately for the purpose of recovering damages and in the hope that by so doing it would stop the campaign or course of conduct from continuing, and consequently the first action was instituted. Thereafter much more detailed information and many more instances became known to the plaintiff which indicated that the campaign or course of conduct was of a more extensive nature</w:t>
      </w:r>
      <w:r w:rsidRPr="00B93192">
        <w:rPr>
          <w:color w:val="000000" w:themeColor="text1"/>
          <w:szCs w:val="24"/>
          <w:shd w:val="clear" w:color="auto" w:fill="FFFFFF"/>
        </w:rPr>
        <w:t xml:space="preserve"> </w:t>
      </w:r>
      <w:r w:rsidR="00962908" w:rsidRPr="00B93192">
        <w:rPr>
          <w:color w:val="000000" w:themeColor="text1"/>
          <w:szCs w:val="24"/>
          <w:shd w:val="clear" w:color="auto" w:fill="FFFFFF"/>
        </w:rPr>
        <w:t>than was at first thought, and it was therefore deemed desirable to institute a fresh action in which the cause of action was considerably widened in its scope, rather than to amend the cause of action in the first action. Hence the second action was commenced.</w:t>
      </w:r>
      <w:r w:rsidRPr="00B93192">
        <w:rPr>
          <w:color w:val="000000" w:themeColor="text1"/>
          <w:szCs w:val="24"/>
          <w:shd w:val="clear" w:color="auto" w:fill="FFFFFF"/>
        </w:rPr>
        <w:t>”</w:t>
      </w:r>
    </w:p>
    <w:p w14:paraId="56BA4643" w14:textId="2EADAB77" w:rsidR="00754ABA" w:rsidRDefault="00A6245E" w:rsidP="00947C20">
      <w:pPr>
        <w:pStyle w:val="JudgmentNumbered"/>
      </w:pPr>
      <w:r>
        <w:t xml:space="preserve">The explanation for why separate proceedings were launched is </w:t>
      </w:r>
      <w:r w:rsidR="00EF1BB1">
        <w:t xml:space="preserve">therefore </w:t>
      </w:r>
      <w:r>
        <w:t xml:space="preserve">no more than a factor to be </w:t>
      </w:r>
      <w:r w:rsidR="002F0762">
        <w:t>considered</w:t>
      </w:r>
      <w:r>
        <w:t xml:space="preserve"> in assessing whether a consolidation would be convenient.</w:t>
      </w:r>
      <w:r w:rsidRPr="000F44F5">
        <w:rPr>
          <w:color w:val="000000" w:themeColor="text1"/>
          <w:szCs w:val="24"/>
          <w:vertAlign w:val="superscript"/>
        </w:rPr>
        <w:footnoteReference w:id="4"/>
      </w:r>
      <w:r w:rsidR="00947C20">
        <w:t xml:space="preserve"> </w:t>
      </w:r>
    </w:p>
    <w:p w14:paraId="19CC5A98" w14:textId="6CF74B81" w:rsidR="00103F30" w:rsidRDefault="00103F30" w:rsidP="00947C20">
      <w:pPr>
        <w:pStyle w:val="JudgmentNumbered"/>
        <w:numPr>
          <w:ilvl w:val="0"/>
          <w:numId w:val="4"/>
        </w:numPr>
      </w:pPr>
      <w:r>
        <w:t xml:space="preserve">The applicant </w:t>
      </w:r>
      <w:r w:rsidR="00970396">
        <w:t xml:space="preserve">does not proffer a detailed </w:t>
      </w:r>
      <w:r w:rsidR="00C554E8">
        <w:t>explanation for the multiplicity of applications launched on his behalf</w:t>
      </w:r>
      <w:r w:rsidR="00970396">
        <w:t>.</w:t>
      </w:r>
      <w:r w:rsidR="00C554E8">
        <w:t xml:space="preserve"> </w:t>
      </w:r>
      <w:r w:rsidR="00970396">
        <w:t xml:space="preserve"> He says that this </w:t>
      </w:r>
      <w:r w:rsidR="00C554E8">
        <w:t xml:space="preserve">was on the advice of his erstwhile legal representatives. </w:t>
      </w:r>
      <w:r w:rsidR="00947C20">
        <w:t xml:space="preserve"> </w:t>
      </w:r>
      <w:r w:rsidR="00B31160">
        <w:t>His failure to provide a more fulsome explanation does not preclude the consolidation relief</w:t>
      </w:r>
      <w:r w:rsidR="00BD6932">
        <w:t xml:space="preserve"> </w:t>
      </w:r>
      <w:r w:rsidR="00BD6932" w:rsidRPr="00BD6932">
        <w:rPr>
          <w:i/>
          <w:iCs/>
        </w:rPr>
        <w:t>per se</w:t>
      </w:r>
      <w:r w:rsidR="00BD6932">
        <w:t xml:space="preserve"> as there must be some </w:t>
      </w:r>
      <w:r w:rsidR="00152AC7">
        <w:t>leeway given for the fact that he acted on the advice of his erstwhile legal representatives</w:t>
      </w:r>
      <w:r w:rsidR="00FF0C77">
        <w:t xml:space="preserve"> who for whatever reason saw merit in </w:t>
      </w:r>
      <w:r w:rsidR="00DB18AC">
        <w:t xml:space="preserve">litigating against the first respondent on various fronts. </w:t>
      </w:r>
    </w:p>
    <w:p w14:paraId="478AD656" w14:textId="211251BE" w:rsidR="007A3815" w:rsidRDefault="009E0575" w:rsidP="00ED45B5">
      <w:pPr>
        <w:pStyle w:val="JudgmentNumbered"/>
      </w:pPr>
      <w:r>
        <w:t xml:space="preserve">From the </w:t>
      </w:r>
      <w:r w:rsidR="00103F30">
        <w:t>papers</w:t>
      </w:r>
      <w:r w:rsidR="007C4D23">
        <w:t xml:space="preserve">, the following emerges.  Should </w:t>
      </w:r>
      <w:r w:rsidR="00F210F6">
        <w:t xml:space="preserve">the rescission application be granted, it will </w:t>
      </w:r>
      <w:r w:rsidR="00DF128C">
        <w:t xml:space="preserve">render the contempt application </w:t>
      </w:r>
      <w:r w:rsidR="00D96EE7">
        <w:t>academic,</w:t>
      </w:r>
      <w:r w:rsidR="00DF128C">
        <w:t xml:space="preserve"> </w:t>
      </w:r>
      <w:r w:rsidR="00F45E34">
        <w:t>but should the rescission application for whatever reason</w:t>
      </w:r>
      <w:r w:rsidR="00FD65C7">
        <w:t xml:space="preserve"> fail</w:t>
      </w:r>
      <w:r w:rsidR="00F45E34">
        <w:t xml:space="preserve">, the </w:t>
      </w:r>
      <w:r w:rsidR="00D96EE7">
        <w:t>contempt application may still be pursued</w:t>
      </w:r>
      <w:r w:rsidR="00240972">
        <w:t xml:space="preserve"> as the order of </w:t>
      </w:r>
      <w:proofErr w:type="spellStart"/>
      <w:r w:rsidR="00240972">
        <w:t>Ngalwana</w:t>
      </w:r>
      <w:proofErr w:type="spellEnd"/>
      <w:r w:rsidR="00240972">
        <w:t xml:space="preserve"> AJ dated 15 June 2015 w</w:t>
      </w:r>
      <w:r w:rsidR="00B3295F">
        <w:t>ill</w:t>
      </w:r>
      <w:r w:rsidR="00240972">
        <w:t xml:space="preserve"> remain extant. </w:t>
      </w:r>
      <w:r w:rsidR="00F54F89">
        <w:t xml:space="preserve">  </w:t>
      </w:r>
      <w:r w:rsidR="008A5C60">
        <w:t>The status of the contempt application appears to me to be of less signifi</w:t>
      </w:r>
      <w:r w:rsidR="00917623">
        <w:t>cance</w:t>
      </w:r>
      <w:r w:rsidR="000E232B">
        <w:t xml:space="preserve"> in deciding the merits of the </w:t>
      </w:r>
      <w:r w:rsidR="001924BE">
        <w:t>consolidation relief</w:t>
      </w:r>
      <w:r w:rsidR="00383766">
        <w:t xml:space="preserve"> though</w:t>
      </w:r>
      <w:r w:rsidR="00B3295F">
        <w:t xml:space="preserve">. </w:t>
      </w:r>
    </w:p>
    <w:p w14:paraId="222181AA" w14:textId="054C5656" w:rsidR="00E037E9" w:rsidRDefault="00140F56" w:rsidP="004713FB">
      <w:pPr>
        <w:pStyle w:val="JudgmentNumbered"/>
      </w:pPr>
      <w:r>
        <w:t xml:space="preserve">If the rescission application succeeds, </w:t>
      </w:r>
      <w:r w:rsidR="00E037E9">
        <w:t>the risk of a multiplicity of applications remains a real possibility</w:t>
      </w:r>
      <w:r w:rsidR="00FB688A">
        <w:t>.  D</w:t>
      </w:r>
      <w:r w:rsidR="00E037E9">
        <w:t>ifferent Courts would then be faced with the prospect of relief that is in substance the same</w:t>
      </w:r>
      <w:r w:rsidR="001924BE">
        <w:t xml:space="preserve"> but claimed under different case numbers. </w:t>
      </w:r>
      <w:r w:rsidR="001924BE">
        <w:lastRenderedPageBreak/>
        <w:t>The main application</w:t>
      </w:r>
      <w:r w:rsidR="004713FB">
        <w:t xml:space="preserve">, </w:t>
      </w:r>
      <w:r w:rsidR="00E037E9">
        <w:t>the Sheriff’s application and the variation application</w:t>
      </w:r>
      <w:r w:rsidR="005877FF">
        <w:t xml:space="preserve"> </w:t>
      </w:r>
      <w:r w:rsidR="004713FB">
        <w:t xml:space="preserve">all </w:t>
      </w:r>
      <w:r w:rsidR="005877FF">
        <w:t>traverse the same factual matrix</w:t>
      </w:r>
      <w:r w:rsidR="00FB688A">
        <w:t xml:space="preserve"> and seek to ensure that the three properties jointly owned by the applicant and the first respondent are </w:t>
      </w:r>
      <w:r w:rsidR="00FE2FFB">
        <w:t>sold</w:t>
      </w:r>
      <w:r w:rsidR="005877FF">
        <w:t xml:space="preserve">. </w:t>
      </w:r>
      <w:r w:rsidR="00E037E9">
        <w:t>A single</w:t>
      </w:r>
      <w:r w:rsidR="00A357E2">
        <w:t xml:space="preserve"> judgment </w:t>
      </w:r>
      <w:r w:rsidR="00E037E9">
        <w:t>would expedite proceedings and reduce costs</w:t>
      </w:r>
      <w:r w:rsidR="005877FF">
        <w:t xml:space="preserve"> </w:t>
      </w:r>
      <w:r w:rsidR="004713FB">
        <w:t>but</w:t>
      </w:r>
      <w:r w:rsidR="00886671">
        <w:t>,</w:t>
      </w:r>
      <w:r w:rsidR="004713FB">
        <w:t xml:space="preserve"> </w:t>
      </w:r>
      <w:r w:rsidR="005877FF">
        <w:t xml:space="preserve">most importantly, </w:t>
      </w:r>
      <w:r w:rsidR="004713FB">
        <w:t xml:space="preserve">would </w:t>
      </w:r>
      <w:r w:rsidR="008165E7">
        <w:t>eliminate</w:t>
      </w:r>
      <w:r w:rsidR="005877FF">
        <w:t xml:space="preserve"> the risk of conflicting </w:t>
      </w:r>
      <w:r w:rsidR="00687171">
        <w:t xml:space="preserve">factual </w:t>
      </w:r>
      <w:r w:rsidR="005877FF">
        <w:t>fin</w:t>
      </w:r>
      <w:r w:rsidR="00A357E2">
        <w:t>dings</w:t>
      </w:r>
      <w:r w:rsidR="00687171">
        <w:t xml:space="preserve"> which one can </w:t>
      </w:r>
      <w:r w:rsidR="004713FB">
        <w:t xml:space="preserve">easily </w:t>
      </w:r>
      <w:r w:rsidR="00687171">
        <w:t>envisage should th</w:t>
      </w:r>
      <w:r w:rsidR="00662DE5">
        <w:t xml:space="preserve">ese applications </w:t>
      </w:r>
      <w:r w:rsidR="00687171">
        <w:t>serve before different Court</w:t>
      </w:r>
      <w:r w:rsidR="004713FB">
        <w:t xml:space="preserve">s. </w:t>
      </w:r>
      <w:r w:rsidR="000028C6">
        <w:t xml:space="preserve"> </w:t>
      </w:r>
    </w:p>
    <w:p w14:paraId="2340AEF5" w14:textId="04D9F098" w:rsidR="000028C6" w:rsidRDefault="000028C6" w:rsidP="004713FB">
      <w:pPr>
        <w:pStyle w:val="JudgmentNumbered"/>
        <w:numPr>
          <w:ilvl w:val="0"/>
          <w:numId w:val="4"/>
        </w:numPr>
      </w:pPr>
      <w:r>
        <w:t>The following example illustrates this</w:t>
      </w:r>
      <w:r w:rsidR="00FE2FFB">
        <w:t xml:space="preserve"> risk</w:t>
      </w:r>
      <w:r>
        <w:t>: should the first respondent succeed on the facts in defeating the Sheriff’s application</w:t>
      </w:r>
      <w:r w:rsidR="00B12D40">
        <w:t>,</w:t>
      </w:r>
      <w:r>
        <w:t xml:space="preserve"> it w</w:t>
      </w:r>
      <w:r w:rsidR="00B12D40">
        <w:t>ill</w:t>
      </w:r>
      <w:r>
        <w:t xml:space="preserve"> </w:t>
      </w:r>
      <w:r w:rsidR="008727B3">
        <w:t xml:space="preserve">produce an outcome that is destructive of the </w:t>
      </w:r>
      <w:r w:rsidR="00BD7267">
        <w:t xml:space="preserve">relief pursued </w:t>
      </w:r>
      <w:r w:rsidR="00FA087B">
        <w:t xml:space="preserve">in the </w:t>
      </w:r>
      <w:r w:rsidR="009552D0">
        <w:t>variation application</w:t>
      </w:r>
      <w:r w:rsidR="00BD7267">
        <w:t xml:space="preserve">. </w:t>
      </w:r>
      <w:r w:rsidR="001005B8">
        <w:t xml:space="preserve"> Conversely, if she is successful in the rescission application and enters the fray in the main application, </w:t>
      </w:r>
      <w:r w:rsidR="00604904">
        <w:t xml:space="preserve">a successful outcome in the main application </w:t>
      </w:r>
      <w:r w:rsidR="007E10FC">
        <w:t>may potentially ensue</w:t>
      </w:r>
      <w:r w:rsidR="00087125">
        <w:t>,</w:t>
      </w:r>
      <w:r w:rsidR="007E10FC">
        <w:t xml:space="preserve"> but if she loses the Sheriff’s application the parties will be </w:t>
      </w:r>
      <w:r w:rsidR="00935310">
        <w:t>saddled with two mutually destructive outcomes</w:t>
      </w:r>
      <w:r w:rsidR="00801789">
        <w:t xml:space="preserve">. </w:t>
      </w:r>
    </w:p>
    <w:p w14:paraId="1A67A73B" w14:textId="0BF9FA32" w:rsidR="00A65629" w:rsidRDefault="00A6090D" w:rsidP="005877FF">
      <w:pPr>
        <w:pStyle w:val="JudgmentNumbered"/>
      </w:pPr>
      <w:r>
        <w:t xml:space="preserve">Should the </w:t>
      </w:r>
      <w:r w:rsidR="00434680">
        <w:t xml:space="preserve">rescission application fail, the </w:t>
      </w:r>
      <w:r w:rsidR="00625682">
        <w:t xml:space="preserve">applicant would be left with enforcing the main application through the mechanism of the contempt application but </w:t>
      </w:r>
      <w:r w:rsidR="00D115B1">
        <w:t xml:space="preserve">his right to purse the </w:t>
      </w:r>
      <w:r w:rsidR="00B31A9B">
        <w:t xml:space="preserve">relief proffered in the Sheriff’s application and the variation application </w:t>
      </w:r>
      <w:r w:rsidR="00935310">
        <w:t xml:space="preserve">remains </w:t>
      </w:r>
      <w:r w:rsidR="00B31A9B">
        <w:t>undisturbed</w:t>
      </w:r>
      <w:r w:rsidR="009552D0">
        <w:t>.  A</w:t>
      </w:r>
      <w:r w:rsidR="009A6A05">
        <w:t xml:space="preserve">s I have already indicated, the latter two applications </w:t>
      </w:r>
      <w:r w:rsidR="00C47D03">
        <w:t xml:space="preserve">in substance seek the same outcome.  The risk of a disparity of outcome </w:t>
      </w:r>
      <w:r w:rsidR="00B7074D">
        <w:t xml:space="preserve">if they </w:t>
      </w:r>
      <w:r w:rsidR="00C47D03">
        <w:t>were to be determined separately cannot be excluded</w:t>
      </w:r>
      <w:r w:rsidR="00A05F2D">
        <w:t xml:space="preserve">.  If </w:t>
      </w:r>
      <w:r w:rsidR="004A7A7F">
        <w:t>the first respondent overcomes the Sheriff’s application</w:t>
      </w:r>
      <w:r w:rsidR="00247F31">
        <w:t xml:space="preserve">, </w:t>
      </w:r>
      <w:r w:rsidR="004D634C">
        <w:t>it cannot be excluded that a</w:t>
      </w:r>
      <w:r w:rsidR="005E1166">
        <w:t xml:space="preserve"> contrary conclusion </w:t>
      </w:r>
      <w:r w:rsidR="00671252">
        <w:t xml:space="preserve">may be </w:t>
      </w:r>
      <w:r w:rsidR="005E1166">
        <w:t xml:space="preserve">reached </w:t>
      </w:r>
      <w:r w:rsidR="00D42900">
        <w:t>should the variation relief ultimately be granted</w:t>
      </w:r>
      <w:r w:rsidR="00515178">
        <w:t xml:space="preserve"> in favour of the applicant. </w:t>
      </w:r>
      <w:r w:rsidR="00671252">
        <w:t xml:space="preserve"> The result would yet again </w:t>
      </w:r>
      <w:r w:rsidR="004B6868">
        <w:t xml:space="preserve">be an incongruent outcome that does not advance certainty and finality which are the hallmarks of litigation. </w:t>
      </w:r>
    </w:p>
    <w:p w14:paraId="02CDC045" w14:textId="5AEF31A8" w:rsidR="00D6488A" w:rsidRDefault="00D6488A" w:rsidP="00D6488A">
      <w:pPr>
        <w:pStyle w:val="JudgmentNumbered"/>
        <w:numPr>
          <w:ilvl w:val="0"/>
          <w:numId w:val="4"/>
        </w:numPr>
      </w:pPr>
      <w:r>
        <w:t xml:space="preserve">Common sense and pragmatism dictate that this outcome be avoided, </w:t>
      </w:r>
      <w:r w:rsidR="00E42CB9">
        <w:t>and</w:t>
      </w:r>
      <w:r>
        <w:t xml:space="preserve"> constitute weighty considerations in my view apart from the fact that allowing the litigation to continue in four separate streams </w:t>
      </w:r>
      <w:r w:rsidR="00951935">
        <w:t xml:space="preserve">under four separate case numbers </w:t>
      </w:r>
      <w:r>
        <w:t>will result in an inefficient allocation of scar</w:t>
      </w:r>
      <w:r w:rsidR="00E42CB9">
        <w:t>c</w:t>
      </w:r>
      <w:r>
        <w:t xml:space="preserve">e judicial resources. </w:t>
      </w:r>
    </w:p>
    <w:p w14:paraId="3E994241" w14:textId="786E7F4E" w:rsidR="00515178" w:rsidRDefault="00515178" w:rsidP="005877FF">
      <w:pPr>
        <w:pStyle w:val="JudgmentNumbered"/>
      </w:pPr>
      <w:r>
        <w:t xml:space="preserve">Whether the rescission application is entertained first makes no difference in my view since the risk of an overlap is present irrespective of the outcome of the rescission application. </w:t>
      </w:r>
      <w:r w:rsidR="00C66594">
        <w:t xml:space="preserve">  The order that I propose is to vary the order of </w:t>
      </w:r>
      <w:proofErr w:type="spellStart"/>
      <w:r w:rsidR="00C66594">
        <w:t>Dewrance</w:t>
      </w:r>
      <w:proofErr w:type="spellEnd"/>
      <w:r w:rsidR="00C66594">
        <w:t xml:space="preserve"> </w:t>
      </w:r>
      <w:r w:rsidR="00C66594">
        <w:lastRenderedPageBreak/>
        <w:t>AJ of 30 March 2016</w:t>
      </w:r>
      <w:r w:rsidR="002023C2">
        <w:t xml:space="preserve"> whi</w:t>
      </w:r>
      <w:r w:rsidR="00F863B4">
        <w:t xml:space="preserve">ch directed that the rescission application be heard before the Sheriff’s application. </w:t>
      </w:r>
    </w:p>
    <w:p w14:paraId="7FBB2D1A" w14:textId="77777777" w:rsidR="00C66594" w:rsidRDefault="00CD4E8E" w:rsidP="005353A1">
      <w:pPr>
        <w:pStyle w:val="JudgmentNumbered"/>
      </w:pPr>
      <w:r>
        <w:t xml:space="preserve">It </w:t>
      </w:r>
      <w:r w:rsidR="00D6488A">
        <w:t>would in the circumstances be convenient for the parties if the four applications were heard as one</w:t>
      </w:r>
      <w:r w:rsidR="00C66594">
        <w:t xml:space="preserve">. </w:t>
      </w:r>
    </w:p>
    <w:p w14:paraId="36A443DB" w14:textId="3D901D10" w:rsidR="004C3B5A" w:rsidRDefault="00AA5881" w:rsidP="005353A1">
      <w:pPr>
        <w:pStyle w:val="JudgmentNumbered"/>
      </w:pPr>
      <w:r>
        <w:t xml:space="preserve">I can envisage no prejudice to the first respondent.  </w:t>
      </w:r>
      <w:r w:rsidR="004C3B5A">
        <w:t xml:space="preserve">Her papers do not suggest that she would be truly prejudiced through a </w:t>
      </w:r>
      <w:r w:rsidR="00F67CC0">
        <w:t>consolidation,</w:t>
      </w:r>
      <w:r w:rsidR="004C3B5A">
        <w:t xml:space="preserve"> and I am satisfied that the applicant has demonstrated that she stands to suffer no prejudice if a consolidation is ordered. </w:t>
      </w:r>
      <w:r w:rsidR="00D54883">
        <w:t>She complains that the applicant is a vexatious litigant</w:t>
      </w:r>
      <w:r w:rsidR="00B107A1">
        <w:t>.  Wh</w:t>
      </w:r>
      <w:r w:rsidR="00D54883">
        <w:t xml:space="preserve">ile it is not necessary for me to express a view on this, a consolidation will address </w:t>
      </w:r>
      <w:r w:rsidR="00F60227">
        <w:t>her</w:t>
      </w:r>
      <w:r w:rsidR="00D54883">
        <w:t xml:space="preserve"> </w:t>
      </w:r>
      <w:r w:rsidR="006137EA">
        <w:t xml:space="preserve">complaint </w:t>
      </w:r>
      <w:r w:rsidR="00F60227">
        <w:t xml:space="preserve">to some extent </w:t>
      </w:r>
      <w:r w:rsidR="006137EA">
        <w:t>as one judge will be tasked with deciding the various applications on a</w:t>
      </w:r>
      <w:r w:rsidR="005452C0">
        <w:t xml:space="preserve">n integrated basis without exposing the first respondent to the risk of </w:t>
      </w:r>
      <w:r w:rsidR="00472B2F">
        <w:t>having to return to this Cour</w:t>
      </w:r>
      <w:r w:rsidR="00BD7E56">
        <w:t>t</w:t>
      </w:r>
      <w:r w:rsidR="00472B2F">
        <w:t xml:space="preserve"> to deal with </w:t>
      </w:r>
      <w:r w:rsidR="00F60227">
        <w:t xml:space="preserve">separate applications. </w:t>
      </w:r>
    </w:p>
    <w:p w14:paraId="01D088D3" w14:textId="51391642" w:rsidR="005353A1" w:rsidRDefault="00AA5881" w:rsidP="005353A1">
      <w:pPr>
        <w:pStyle w:val="JudgmentNumbered"/>
      </w:pPr>
      <w:r>
        <w:t xml:space="preserve">While the applicant did not ask for the variation application to be consolidated, </w:t>
      </w:r>
      <w:r w:rsidR="00242B83">
        <w:t>the discretion vested in me by Rule 11(c)</w:t>
      </w:r>
      <w:r w:rsidR="009A7706">
        <w:t xml:space="preserve"> allows me to </w:t>
      </w:r>
      <w:r w:rsidR="001B3245">
        <w:t xml:space="preserve">make such an order </w:t>
      </w:r>
      <w:r w:rsidR="005353A1">
        <w:t>to facilitate the orderly further prosecution and finalisation of the litigation between the parties</w:t>
      </w:r>
      <w:r w:rsidR="00EF207F">
        <w:t xml:space="preserve"> in totality</w:t>
      </w:r>
      <w:r w:rsidR="005353A1">
        <w:t xml:space="preserve">.  </w:t>
      </w:r>
      <w:r w:rsidR="001B234A">
        <w:t xml:space="preserve"> The same discretion entitles me to put in place a regime to ensure that the proceedings</w:t>
      </w:r>
      <w:r w:rsidR="00D41B28">
        <w:t>,</w:t>
      </w:r>
      <w:r w:rsidR="001B234A">
        <w:t xml:space="preserve"> once consolidated</w:t>
      </w:r>
      <w:r w:rsidR="00D41B28">
        <w:t>,</w:t>
      </w:r>
      <w:r w:rsidR="001B234A">
        <w:t xml:space="preserve"> are </w:t>
      </w:r>
      <w:r w:rsidR="00820B24">
        <w:t xml:space="preserve">prosecuted to finality without further delay.  </w:t>
      </w:r>
    </w:p>
    <w:p w14:paraId="5E2D0D54" w14:textId="77777777" w:rsidR="00B86565" w:rsidRDefault="005353A1" w:rsidP="00B86565">
      <w:pPr>
        <w:pStyle w:val="JudgmentNumbered"/>
        <w:numPr>
          <w:ilvl w:val="0"/>
          <w:numId w:val="4"/>
        </w:numPr>
      </w:pPr>
      <w:r>
        <w:t>C</w:t>
      </w:r>
      <w:r w:rsidR="00AF393B">
        <w:t xml:space="preserve">ounsel for the applicant </w:t>
      </w:r>
      <w:r w:rsidR="00D41B28">
        <w:t xml:space="preserve">in any event </w:t>
      </w:r>
      <w:r w:rsidR="00AF393B">
        <w:t xml:space="preserve">submitted that </w:t>
      </w:r>
      <w:r w:rsidR="00AB3AA9">
        <w:t xml:space="preserve">I could deal with the variation application as I saw fit in the exercise of my discretion.  </w:t>
      </w:r>
    </w:p>
    <w:p w14:paraId="23743CC3" w14:textId="77777777" w:rsidR="00B86565" w:rsidRDefault="00AB3AA9" w:rsidP="00B86565">
      <w:pPr>
        <w:pStyle w:val="JudgmentNumbered"/>
        <w:numPr>
          <w:ilvl w:val="0"/>
          <w:numId w:val="4"/>
        </w:numPr>
      </w:pPr>
      <w:r>
        <w:t xml:space="preserve">If </w:t>
      </w:r>
      <w:r w:rsidR="001B3245">
        <w:t xml:space="preserve">the variation application is not addressed as part of this order, the </w:t>
      </w:r>
      <w:r w:rsidR="00DE4897">
        <w:t>risk of a multiplicity of findings remains</w:t>
      </w:r>
      <w:r w:rsidR="00D375E4">
        <w:t xml:space="preserve"> a real one </w:t>
      </w:r>
      <w:r w:rsidR="00FF5D11">
        <w:t>given that the relief is the same as claimed in the Sheriff’s application.</w:t>
      </w:r>
      <w:r w:rsidR="00256C82">
        <w:t xml:space="preserve"> </w:t>
      </w:r>
    </w:p>
    <w:p w14:paraId="7BAE7591" w14:textId="7C3F53B7" w:rsidR="00512DB8" w:rsidRPr="00DE4897" w:rsidRDefault="00256C82" w:rsidP="00B86565">
      <w:pPr>
        <w:pStyle w:val="JudgmentNumbered"/>
        <w:numPr>
          <w:ilvl w:val="0"/>
          <w:numId w:val="4"/>
        </w:numPr>
      </w:pPr>
      <w:r>
        <w:t xml:space="preserve">Although the applicant explains that he may be minded to then withdraw the variation application, this is by no means </w:t>
      </w:r>
      <w:r w:rsidR="00CC4A95">
        <w:t xml:space="preserve">certain and its inclusion as part of the consolidated application is necessary to avoid prejudice to the first respondent that will arise if she still has to face a related but </w:t>
      </w:r>
      <w:r w:rsidR="00A524F3">
        <w:t xml:space="preserve">freestanding </w:t>
      </w:r>
      <w:r w:rsidR="00CC4A95">
        <w:t xml:space="preserve">application that </w:t>
      </w:r>
      <w:r w:rsidR="00EE1FF2">
        <w:t xml:space="preserve">substantially overlaps with the other applications. </w:t>
      </w:r>
    </w:p>
    <w:p w14:paraId="6BD5156E" w14:textId="2FE5EF8B" w:rsidR="00413B49" w:rsidRPr="00993022" w:rsidRDefault="00413B49" w:rsidP="00413B49">
      <w:pPr>
        <w:pStyle w:val="JudgmentHeading"/>
        <w:tabs>
          <w:tab w:val="left" w:pos="3744"/>
        </w:tabs>
        <w:rPr>
          <w:b/>
          <w:bCs/>
          <w:i w:val="0"/>
          <w:iCs/>
          <w:color w:val="000000" w:themeColor="text1"/>
          <w:szCs w:val="24"/>
        </w:rPr>
      </w:pPr>
      <w:r>
        <w:rPr>
          <w:b/>
          <w:bCs/>
          <w:i w:val="0"/>
          <w:iCs/>
          <w:color w:val="000000" w:themeColor="text1"/>
          <w:szCs w:val="24"/>
        </w:rPr>
        <w:lastRenderedPageBreak/>
        <w:t xml:space="preserve">Conclusion and Order </w:t>
      </w:r>
    </w:p>
    <w:p w14:paraId="30A66E1F" w14:textId="2F27C0E4" w:rsidR="00E563B7" w:rsidRDefault="000C2724" w:rsidP="00E563B7">
      <w:pPr>
        <w:pStyle w:val="JudgmentNumbered"/>
        <w:rPr>
          <w:lang w:val="en-US"/>
        </w:rPr>
      </w:pPr>
      <w:r>
        <w:t>In these circumstances and in the exercise of the discretion which I</w:t>
      </w:r>
      <w:r w:rsidR="005353A1">
        <w:t xml:space="preserve"> have in these matters, I propose to make no order as to costs</w:t>
      </w:r>
      <w:r w:rsidR="004A3B6C">
        <w:t xml:space="preserve"> at this stage</w:t>
      </w:r>
      <w:r w:rsidR="00240780">
        <w:t xml:space="preserve">.  The applicant could have avoided the need to bring this application had he </w:t>
      </w:r>
      <w:r w:rsidR="00E872CB">
        <w:t xml:space="preserve">claimed more </w:t>
      </w:r>
      <w:r w:rsidR="000329E7">
        <w:t xml:space="preserve">comprehensive </w:t>
      </w:r>
      <w:r w:rsidR="00E872CB">
        <w:t xml:space="preserve">relief from the outset </w:t>
      </w:r>
      <w:r w:rsidR="000125BA">
        <w:t>instead of opening new frontiers of litigation against the first respondent</w:t>
      </w:r>
      <w:r w:rsidR="00E872CB">
        <w:t xml:space="preserve"> on a piecemeal basis</w:t>
      </w:r>
      <w:r w:rsidR="00F26C4D">
        <w:t xml:space="preserve">. </w:t>
      </w:r>
      <w:r w:rsidR="000329E7">
        <w:t xml:space="preserve"> </w:t>
      </w:r>
      <w:r w:rsidR="00FD7A44">
        <w:t xml:space="preserve"> </w:t>
      </w:r>
      <w:r w:rsidR="00A93B8C">
        <w:t xml:space="preserve">I </w:t>
      </w:r>
      <w:r w:rsidR="00880E2F">
        <w:t xml:space="preserve">however </w:t>
      </w:r>
      <w:r w:rsidR="00A93B8C">
        <w:t xml:space="preserve">make no final pronouncement on the issue with </w:t>
      </w:r>
      <w:r w:rsidR="00150FB5">
        <w:t xml:space="preserve">the costs </w:t>
      </w:r>
      <w:r w:rsidR="00A93B8C">
        <w:t xml:space="preserve">best left </w:t>
      </w:r>
      <w:r w:rsidR="00150FB5">
        <w:t xml:space="preserve">to the </w:t>
      </w:r>
      <w:r w:rsidR="00A93B8C">
        <w:t xml:space="preserve">Court </w:t>
      </w:r>
      <w:r w:rsidR="00150FB5">
        <w:t xml:space="preserve">tasked with adjudicating the consolidated application. </w:t>
      </w:r>
    </w:p>
    <w:p w14:paraId="4D89FEBF" w14:textId="234B8960" w:rsidR="00231A7D" w:rsidRPr="002408D4" w:rsidRDefault="00FD7A44" w:rsidP="002408D4">
      <w:pPr>
        <w:pStyle w:val="JudgmentNumbered"/>
        <w:numPr>
          <w:ilvl w:val="0"/>
          <w:numId w:val="4"/>
        </w:numPr>
        <w:rPr>
          <w:lang w:val="en-US"/>
        </w:rPr>
      </w:pPr>
      <w:r>
        <w:t xml:space="preserve">The applicant’s notice of application sought an order that he be entitled to deliver a supplementary affidavit in the main application.  This relief is inappropriate in as a final order was granted </w:t>
      </w:r>
      <w:r w:rsidR="00596D36">
        <w:t xml:space="preserve">in his favour on 15 June 2015.  He has delivered an answering affidavit in the rescission </w:t>
      </w:r>
      <w:r w:rsidR="00391310">
        <w:t xml:space="preserve">application </w:t>
      </w:r>
      <w:r w:rsidR="000D44FE">
        <w:t xml:space="preserve">and unless the Court hearing the </w:t>
      </w:r>
      <w:proofErr w:type="spellStart"/>
      <w:r w:rsidR="000D44FE">
        <w:t>recission</w:t>
      </w:r>
      <w:proofErr w:type="spellEnd"/>
      <w:r w:rsidR="000D44FE">
        <w:t xml:space="preserve"> application rules differently, he has no </w:t>
      </w:r>
      <w:r w:rsidR="002408D4">
        <w:t>right to file a further affidavit</w:t>
      </w:r>
      <w:r w:rsidR="008E2D2E">
        <w:t xml:space="preserve"> </w:t>
      </w:r>
      <w:r w:rsidR="005A5B99">
        <w:t xml:space="preserve">in those proceedings. </w:t>
      </w:r>
    </w:p>
    <w:p w14:paraId="0185EEEB" w14:textId="00DBC611" w:rsidR="00204462" w:rsidRPr="00204462" w:rsidRDefault="009307B0" w:rsidP="00204462">
      <w:pPr>
        <w:pStyle w:val="JudgmentNumbered"/>
        <w:numPr>
          <w:ilvl w:val="0"/>
          <w:numId w:val="5"/>
        </w:numPr>
        <w:rPr>
          <w:lang w:val="en-US"/>
        </w:rPr>
      </w:pPr>
      <w:r>
        <w:rPr>
          <w:lang w:val="en-US"/>
        </w:rPr>
        <w:t xml:space="preserve">I accordingly make an order in the following terms: </w:t>
      </w:r>
    </w:p>
    <w:p w14:paraId="64393092" w14:textId="00600F8D" w:rsidR="00395145" w:rsidRPr="00564D70" w:rsidRDefault="00395145" w:rsidP="00564D70">
      <w:pPr>
        <w:pStyle w:val="JudgmentNumbered"/>
        <w:numPr>
          <w:ilvl w:val="0"/>
          <w:numId w:val="8"/>
        </w:numPr>
        <w:rPr>
          <w:lang w:val="en-US"/>
        </w:rPr>
      </w:pPr>
      <w:r w:rsidRPr="00564D70">
        <w:rPr>
          <w:lang w:val="en-US"/>
        </w:rPr>
        <w:t xml:space="preserve">The order of </w:t>
      </w:r>
      <w:proofErr w:type="spellStart"/>
      <w:r w:rsidRPr="00564D70">
        <w:rPr>
          <w:lang w:val="en-US"/>
        </w:rPr>
        <w:t>Dewrance</w:t>
      </w:r>
      <w:proofErr w:type="spellEnd"/>
      <w:r w:rsidRPr="00564D70">
        <w:rPr>
          <w:lang w:val="en-US"/>
        </w:rPr>
        <w:t xml:space="preserve"> AJ dated 30 March 2016 in case number </w:t>
      </w:r>
      <w:r w:rsidR="00564D70" w:rsidRPr="00564D70">
        <w:rPr>
          <w:lang w:val="en-US"/>
        </w:rPr>
        <w:t xml:space="preserve">2015/31015 is varied to the extent </w:t>
      </w:r>
      <w:r w:rsidR="00A93B8C">
        <w:rPr>
          <w:lang w:val="en-US"/>
        </w:rPr>
        <w:t xml:space="preserve">set out in paragraph 2 hereunder. </w:t>
      </w:r>
    </w:p>
    <w:p w14:paraId="1617DA54" w14:textId="79A90531" w:rsidR="004C3E0E" w:rsidRDefault="00204462" w:rsidP="004C3E0E">
      <w:pPr>
        <w:pStyle w:val="JudgmentNumbered"/>
        <w:rPr>
          <w:lang w:val="en-US"/>
        </w:rPr>
      </w:pPr>
      <w:r w:rsidRPr="004C3E0E">
        <w:rPr>
          <w:lang w:val="en-US"/>
        </w:rPr>
        <w:t xml:space="preserve">The </w:t>
      </w:r>
      <w:r w:rsidR="0075533E" w:rsidRPr="004C3E0E">
        <w:rPr>
          <w:lang w:val="en-US"/>
        </w:rPr>
        <w:t xml:space="preserve">applications pending </w:t>
      </w:r>
      <w:r w:rsidR="005746C4" w:rsidRPr="004C3E0E">
        <w:rPr>
          <w:lang w:val="en-US"/>
        </w:rPr>
        <w:t>under case numbers 2015/28041</w:t>
      </w:r>
      <w:r w:rsidR="004E3D7E" w:rsidRPr="004C3E0E">
        <w:rPr>
          <w:lang w:val="en-US"/>
        </w:rPr>
        <w:t xml:space="preserve">, </w:t>
      </w:r>
      <w:r w:rsidR="005746C4" w:rsidRPr="004C3E0E">
        <w:rPr>
          <w:lang w:val="en-US"/>
        </w:rPr>
        <w:t xml:space="preserve">2015/31015 </w:t>
      </w:r>
      <w:r w:rsidR="004E3D7E" w:rsidRPr="004C3E0E">
        <w:rPr>
          <w:lang w:val="en-US"/>
        </w:rPr>
        <w:t xml:space="preserve">and 2021/35245 </w:t>
      </w:r>
      <w:r w:rsidR="005746C4" w:rsidRPr="004C3E0E">
        <w:rPr>
          <w:lang w:val="en-US"/>
        </w:rPr>
        <w:t xml:space="preserve">are </w:t>
      </w:r>
      <w:r w:rsidR="00E740CD" w:rsidRPr="004C3E0E">
        <w:rPr>
          <w:lang w:val="en-US"/>
        </w:rPr>
        <w:t>consolidated</w:t>
      </w:r>
      <w:r w:rsidR="005746C4" w:rsidRPr="004C3E0E">
        <w:rPr>
          <w:lang w:val="en-US"/>
        </w:rPr>
        <w:t xml:space="preserve"> </w:t>
      </w:r>
      <w:r w:rsidR="00816E6A" w:rsidRPr="004C3E0E">
        <w:rPr>
          <w:lang w:val="en-US"/>
        </w:rPr>
        <w:t xml:space="preserve">with the proceedings </w:t>
      </w:r>
      <w:r w:rsidR="009528EE" w:rsidRPr="004C3E0E">
        <w:rPr>
          <w:lang w:val="en-US"/>
        </w:rPr>
        <w:t xml:space="preserve">pending </w:t>
      </w:r>
      <w:r w:rsidR="005C33CA" w:rsidRPr="004C3E0E">
        <w:rPr>
          <w:lang w:val="en-US"/>
        </w:rPr>
        <w:t xml:space="preserve">in </w:t>
      </w:r>
      <w:r w:rsidR="00816E6A" w:rsidRPr="004C3E0E">
        <w:rPr>
          <w:lang w:val="en-US"/>
        </w:rPr>
        <w:t xml:space="preserve">case number 2014/31596. </w:t>
      </w:r>
    </w:p>
    <w:p w14:paraId="25DA1039" w14:textId="77777777" w:rsidR="00286544" w:rsidRDefault="008A5F5B" w:rsidP="00564D70">
      <w:pPr>
        <w:pStyle w:val="JudgmentNumbered"/>
        <w:rPr>
          <w:lang w:val="en-US"/>
        </w:rPr>
      </w:pPr>
      <w:r w:rsidRPr="004C3E0E">
        <w:rPr>
          <w:lang w:val="en-US"/>
        </w:rPr>
        <w:t xml:space="preserve">The </w:t>
      </w:r>
      <w:r w:rsidR="00191435" w:rsidRPr="004C3E0E">
        <w:rPr>
          <w:lang w:val="en-US"/>
        </w:rPr>
        <w:t>first respondent is ordered to deliver</w:t>
      </w:r>
      <w:r w:rsidR="00C64E0B" w:rsidRPr="004C3E0E">
        <w:rPr>
          <w:lang w:val="en-US"/>
        </w:rPr>
        <w:t>:</w:t>
      </w:r>
    </w:p>
    <w:p w14:paraId="628C6698" w14:textId="528D24F5" w:rsidR="00564D70" w:rsidRPr="00286544" w:rsidRDefault="005F0278" w:rsidP="00B7074D">
      <w:pPr>
        <w:pStyle w:val="JudgmentNumbered"/>
        <w:numPr>
          <w:ilvl w:val="1"/>
          <w:numId w:val="9"/>
        </w:numPr>
        <w:ind w:left="1418" w:hanging="851"/>
        <w:rPr>
          <w:lang w:val="en-US"/>
        </w:rPr>
      </w:pPr>
      <w:r w:rsidRPr="00286544">
        <w:rPr>
          <w:lang w:val="en-US"/>
        </w:rPr>
        <w:t>an answering affidavit to the founding affidavit in case number 2015/31015 within fifteen (15) Court days from the date of this order</w:t>
      </w:r>
      <w:r w:rsidR="00C64E0B" w:rsidRPr="00286544">
        <w:rPr>
          <w:lang w:val="en-US"/>
        </w:rPr>
        <w:t>;</w:t>
      </w:r>
    </w:p>
    <w:p w14:paraId="5D9B1A09" w14:textId="2BBA4E64" w:rsidR="00C64E0B" w:rsidRPr="00564D70" w:rsidRDefault="009660D7" w:rsidP="00B7074D">
      <w:pPr>
        <w:pStyle w:val="JudgmentNumbered"/>
        <w:numPr>
          <w:ilvl w:val="1"/>
          <w:numId w:val="9"/>
        </w:numPr>
        <w:ind w:left="1418" w:hanging="851"/>
        <w:rPr>
          <w:lang w:val="en-US"/>
        </w:rPr>
      </w:pPr>
      <w:proofErr w:type="gramStart"/>
      <w:r w:rsidRPr="00564D70">
        <w:rPr>
          <w:lang w:val="en-US"/>
        </w:rPr>
        <w:t>a</w:t>
      </w:r>
      <w:proofErr w:type="gramEnd"/>
      <w:r w:rsidRPr="00564D70">
        <w:rPr>
          <w:lang w:val="en-US"/>
        </w:rPr>
        <w:t xml:space="preserve"> replying affidavit in the rescission application under case number 2014/31596 within fifteen (15) Court days from the date of this order</w:t>
      </w:r>
      <w:r w:rsidR="00286544">
        <w:rPr>
          <w:lang w:val="en-US"/>
        </w:rPr>
        <w:t xml:space="preserve">. </w:t>
      </w:r>
    </w:p>
    <w:p w14:paraId="3535FFAC" w14:textId="794C7314" w:rsidR="00255E9A" w:rsidRPr="009528EE" w:rsidRDefault="004C3E0E" w:rsidP="004C3E0E">
      <w:pPr>
        <w:pStyle w:val="JudgmentNumbered"/>
      </w:pPr>
      <w:r>
        <w:rPr>
          <w:lang w:val="en-US"/>
        </w:rPr>
        <w:t>T</w:t>
      </w:r>
      <w:r w:rsidR="00255E9A">
        <w:rPr>
          <w:lang w:val="en-US"/>
        </w:rPr>
        <w:t xml:space="preserve">he applicant is ordered to deliver </w:t>
      </w:r>
      <w:r w:rsidR="00AB0438">
        <w:rPr>
          <w:lang w:val="en-US"/>
        </w:rPr>
        <w:t xml:space="preserve">a </w:t>
      </w:r>
      <w:r w:rsidR="005B3D8C">
        <w:rPr>
          <w:lang w:val="en-US"/>
        </w:rPr>
        <w:t>sing</w:t>
      </w:r>
      <w:r w:rsidR="00EB06EE">
        <w:rPr>
          <w:lang w:val="en-US"/>
        </w:rPr>
        <w:t>l</w:t>
      </w:r>
      <w:r w:rsidR="005B3D8C">
        <w:rPr>
          <w:lang w:val="en-US"/>
        </w:rPr>
        <w:t xml:space="preserve">e replying affidavit responding to the first respondent’s answering affidavits in </w:t>
      </w:r>
      <w:r w:rsidR="00031B36">
        <w:rPr>
          <w:lang w:val="en-US"/>
        </w:rPr>
        <w:t xml:space="preserve">case numbers 2015/28041, </w:t>
      </w:r>
      <w:r w:rsidR="009020AD">
        <w:rPr>
          <w:lang w:val="en-US"/>
        </w:rPr>
        <w:t>2015/31015</w:t>
      </w:r>
      <w:r w:rsidR="003F2EEC">
        <w:rPr>
          <w:lang w:val="en-US"/>
        </w:rPr>
        <w:t xml:space="preserve"> </w:t>
      </w:r>
      <w:r w:rsidR="003F2EEC">
        <w:rPr>
          <w:lang w:val="en-US"/>
        </w:rPr>
        <w:lastRenderedPageBreak/>
        <w:t>and 2021/35235</w:t>
      </w:r>
      <w:r w:rsidR="00EB06EE">
        <w:rPr>
          <w:lang w:val="en-US"/>
        </w:rPr>
        <w:t>,</w:t>
      </w:r>
      <w:r w:rsidR="003F2EEC">
        <w:rPr>
          <w:lang w:val="en-US"/>
        </w:rPr>
        <w:t xml:space="preserve"> which is to be delivered within </w:t>
      </w:r>
      <w:r w:rsidR="009E4506">
        <w:rPr>
          <w:lang w:val="en-US"/>
        </w:rPr>
        <w:t xml:space="preserve">fifteen (15) Court days </w:t>
      </w:r>
      <w:r w:rsidR="00B9419C">
        <w:rPr>
          <w:lang w:val="en-US"/>
        </w:rPr>
        <w:t xml:space="preserve">from the delivery of the answering affidavit referred to in </w:t>
      </w:r>
      <w:r w:rsidR="003333FC">
        <w:rPr>
          <w:lang w:val="en-US"/>
        </w:rPr>
        <w:t xml:space="preserve">paragraph </w:t>
      </w:r>
      <w:r w:rsidR="00286544">
        <w:rPr>
          <w:lang w:val="en-US"/>
        </w:rPr>
        <w:t>3</w:t>
      </w:r>
      <w:r w:rsidR="003333FC">
        <w:rPr>
          <w:lang w:val="en-US"/>
        </w:rPr>
        <w:t xml:space="preserve">.1 above. </w:t>
      </w:r>
    </w:p>
    <w:p w14:paraId="5364D392" w14:textId="08055A4C" w:rsidR="009528EE" w:rsidRPr="009528EE" w:rsidRDefault="004A3B6C" w:rsidP="000125BA">
      <w:pPr>
        <w:pStyle w:val="JudgmentNumbered"/>
        <w:numPr>
          <w:ilvl w:val="0"/>
          <w:numId w:val="5"/>
        </w:numPr>
      </w:pPr>
      <w:r>
        <w:t xml:space="preserve">The costs of the consolidation application are reserved for determination </w:t>
      </w:r>
      <w:r w:rsidR="005520D9">
        <w:t>by the Court hearing the</w:t>
      </w:r>
      <w:r w:rsidR="00A24DCC">
        <w:t xml:space="preserve"> consolidated proceedings</w:t>
      </w:r>
      <w:r w:rsidR="005520D9">
        <w:t xml:space="preserve"> under case number 2014/31596. </w:t>
      </w:r>
    </w:p>
    <w:p w14:paraId="19B13B05" w14:textId="77777777" w:rsidR="008C7940" w:rsidRPr="009C75AC" w:rsidRDefault="008C7940" w:rsidP="008C7940">
      <w:pPr>
        <w:pStyle w:val="JudgmentNumbered"/>
        <w:numPr>
          <w:ilvl w:val="0"/>
          <w:numId w:val="0"/>
        </w:numPr>
        <w:ind w:left="567"/>
        <w:rPr>
          <w:lang w:val="en-US"/>
        </w:rPr>
      </w:pPr>
    </w:p>
    <w:p w14:paraId="56CB7BB0" w14:textId="77777777" w:rsidR="002B448C" w:rsidRDefault="002B448C" w:rsidP="00EB01DA">
      <w:pPr>
        <w:pStyle w:val="JudgmentNumbered"/>
        <w:numPr>
          <w:ilvl w:val="0"/>
          <w:numId w:val="0"/>
        </w:numPr>
        <w:spacing w:after="0"/>
        <w:ind w:left="567" w:hanging="567"/>
        <w:jc w:val="right"/>
      </w:pPr>
      <w:r>
        <w:t>___________</w:t>
      </w:r>
      <w:r w:rsidR="00EB01DA">
        <w:t>__</w:t>
      </w:r>
      <w:r>
        <w:t>______________</w:t>
      </w:r>
    </w:p>
    <w:p w14:paraId="5754E0C2" w14:textId="7DB43992" w:rsidR="002B448C" w:rsidRDefault="002F0F0C" w:rsidP="00EB01DA">
      <w:pPr>
        <w:pStyle w:val="JudgmentNumbered"/>
        <w:numPr>
          <w:ilvl w:val="0"/>
          <w:numId w:val="0"/>
        </w:numPr>
        <w:spacing w:after="0"/>
        <w:ind w:left="567" w:hanging="567"/>
        <w:jc w:val="right"/>
        <w:rPr>
          <w:b/>
        </w:rPr>
      </w:pPr>
      <w:r>
        <w:rPr>
          <w:b/>
        </w:rPr>
        <w:t>C BESTER AJ</w:t>
      </w:r>
    </w:p>
    <w:p w14:paraId="6E3F59CD" w14:textId="77777777" w:rsidR="002B448C" w:rsidRDefault="002B448C" w:rsidP="00EB01DA">
      <w:pPr>
        <w:pStyle w:val="JudgmentNumbered"/>
        <w:numPr>
          <w:ilvl w:val="0"/>
          <w:numId w:val="0"/>
        </w:numPr>
        <w:spacing w:after="0"/>
        <w:ind w:left="567" w:hanging="567"/>
        <w:jc w:val="right"/>
        <w:rPr>
          <w:b/>
        </w:rPr>
      </w:pPr>
      <w:r>
        <w:rPr>
          <w:b/>
        </w:rPr>
        <w:t>JUDGE OF THE HIGH COURT</w:t>
      </w:r>
    </w:p>
    <w:p w14:paraId="0F64F9D3" w14:textId="25F62481" w:rsidR="00691B08" w:rsidRDefault="002B448C" w:rsidP="00691B08">
      <w:pPr>
        <w:pStyle w:val="JudgmentNumbered"/>
        <w:numPr>
          <w:ilvl w:val="0"/>
          <w:numId w:val="0"/>
        </w:numPr>
        <w:spacing w:after="0"/>
        <w:ind w:left="567" w:hanging="567"/>
        <w:jc w:val="right"/>
        <w:rPr>
          <w:b/>
        </w:rPr>
        <w:sectPr w:rsidR="00691B08">
          <w:headerReference w:type="default" r:id="rId9"/>
          <w:pgSz w:w="11906" w:h="16838"/>
          <w:pgMar w:top="1440" w:right="1440" w:bottom="1440" w:left="1440" w:header="708" w:footer="708" w:gutter="0"/>
          <w:cols w:space="708"/>
          <w:docGrid w:linePitch="360"/>
        </w:sectPr>
      </w:pPr>
      <w:r>
        <w:rPr>
          <w:b/>
        </w:rPr>
        <w:t>JOHANNESB</w:t>
      </w:r>
      <w:r w:rsidR="008C1F44">
        <w:rPr>
          <w:b/>
        </w:rPr>
        <w:t>URG</w:t>
      </w:r>
    </w:p>
    <w:p w14:paraId="2FD0B9F1" w14:textId="77777777" w:rsidR="00EB01DA" w:rsidRDefault="00EB01DA" w:rsidP="008C1F44">
      <w:pPr>
        <w:pStyle w:val="JudgmentNumbered"/>
        <w:numPr>
          <w:ilvl w:val="0"/>
          <w:numId w:val="0"/>
        </w:numPr>
        <w:spacing w:after="0"/>
        <w:rPr>
          <w:b/>
        </w:rPr>
        <w:sectPr w:rsidR="00EB01DA" w:rsidSect="00EB01DA">
          <w:type w:val="continuous"/>
          <w:pgSz w:w="11906" w:h="16838"/>
          <w:pgMar w:top="1440" w:right="1440" w:bottom="1440" w:left="1440" w:header="708" w:footer="708" w:gutter="0"/>
          <w:cols w:space="708"/>
          <w:docGrid w:linePitch="360"/>
        </w:sectPr>
      </w:pPr>
    </w:p>
    <w:p w14:paraId="5FED42BA" w14:textId="5B894DEE" w:rsidR="00FC6B03" w:rsidRDefault="00691B08" w:rsidP="00FC6B03">
      <w:pPr>
        <w:spacing w:after="0" w:line="240" w:lineRule="auto"/>
        <w:ind w:left="0"/>
        <w:rPr>
          <w:rFonts w:eastAsia="Times New Roman" w:cs="Arial"/>
          <w:szCs w:val="24"/>
          <w:lang w:val="en-ZA"/>
        </w:rPr>
      </w:pPr>
      <w:r>
        <w:rPr>
          <w:rFonts w:eastAsia="Times New Roman" w:cs="Arial"/>
          <w:szCs w:val="24"/>
          <w:lang w:val="en-ZA"/>
        </w:rPr>
        <w:lastRenderedPageBreak/>
        <w:t>Heard:</w:t>
      </w:r>
      <w:r w:rsidR="00FC6B03">
        <w:rPr>
          <w:rFonts w:eastAsia="Times New Roman" w:cs="Arial"/>
          <w:szCs w:val="24"/>
          <w:lang w:val="en-ZA"/>
        </w:rPr>
        <w:t xml:space="preserve">  </w:t>
      </w:r>
      <w:r w:rsidR="00BD0AFC">
        <w:rPr>
          <w:rFonts w:eastAsia="Times New Roman" w:cs="Arial"/>
          <w:szCs w:val="24"/>
          <w:lang w:val="en-ZA"/>
        </w:rPr>
        <w:t>13 November</w:t>
      </w:r>
      <w:r w:rsidR="00FC6B03">
        <w:rPr>
          <w:rFonts w:eastAsia="Times New Roman" w:cs="Arial"/>
          <w:szCs w:val="24"/>
          <w:lang w:val="en-ZA"/>
        </w:rPr>
        <w:t xml:space="preserve"> 2023</w:t>
      </w:r>
    </w:p>
    <w:p w14:paraId="6C4B6C11" w14:textId="77777777" w:rsidR="00FC6B03" w:rsidRDefault="00FC6B03" w:rsidP="00FC6B03">
      <w:pPr>
        <w:pStyle w:val="JudgmentNumbered"/>
        <w:numPr>
          <w:ilvl w:val="0"/>
          <w:numId w:val="0"/>
        </w:numPr>
        <w:ind w:left="567" w:hanging="567"/>
        <w:rPr>
          <w:lang w:val="en-ZA"/>
        </w:rPr>
      </w:pPr>
    </w:p>
    <w:p w14:paraId="0435D456" w14:textId="66ACE7A1" w:rsidR="00FC6B03" w:rsidRPr="00FC6B03" w:rsidRDefault="00FC6B03" w:rsidP="00FC6B03">
      <w:pPr>
        <w:pStyle w:val="JudgmentNumbered"/>
        <w:numPr>
          <w:ilvl w:val="0"/>
          <w:numId w:val="0"/>
        </w:numPr>
        <w:ind w:left="567" w:hanging="567"/>
        <w:rPr>
          <w:lang w:val="en-ZA"/>
        </w:rPr>
      </w:pPr>
      <w:r>
        <w:rPr>
          <w:lang w:val="en-ZA"/>
        </w:rPr>
        <w:t xml:space="preserve">Delivered:  </w:t>
      </w:r>
      <w:r w:rsidR="00BD0AFC">
        <w:rPr>
          <w:lang w:val="en-ZA"/>
        </w:rPr>
        <w:t>27 November</w:t>
      </w:r>
      <w:r>
        <w:rPr>
          <w:lang w:val="en-ZA"/>
        </w:rPr>
        <w:t xml:space="preserve"> 2023 </w:t>
      </w:r>
    </w:p>
    <w:p w14:paraId="5F51691A" w14:textId="77777777" w:rsidR="00FC6B03" w:rsidRDefault="00FC6B03" w:rsidP="00EB01DA">
      <w:pPr>
        <w:spacing w:after="0" w:line="240" w:lineRule="auto"/>
        <w:ind w:left="0"/>
        <w:rPr>
          <w:rFonts w:eastAsia="Times New Roman" w:cs="Arial"/>
          <w:szCs w:val="24"/>
          <w:lang w:val="en-ZA"/>
        </w:rPr>
      </w:pPr>
    </w:p>
    <w:p w14:paraId="3522B441" w14:textId="77777777" w:rsidR="00FC6B03" w:rsidRDefault="00FC6B03" w:rsidP="00EB01DA">
      <w:pPr>
        <w:spacing w:after="0" w:line="240" w:lineRule="auto"/>
        <w:ind w:left="0"/>
        <w:rPr>
          <w:rFonts w:eastAsia="Times New Roman" w:cs="Arial"/>
          <w:szCs w:val="24"/>
          <w:lang w:val="en-ZA"/>
        </w:rPr>
      </w:pPr>
    </w:p>
    <w:p w14:paraId="7E3DFBA7" w14:textId="77777777" w:rsidR="003471FF"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For the Applicant:</w:t>
      </w:r>
      <w:r w:rsidR="00BD0AFC">
        <w:rPr>
          <w:rFonts w:eastAsia="Times New Roman" w:cs="Arial"/>
          <w:szCs w:val="24"/>
          <w:lang w:val="en-ZA"/>
        </w:rPr>
        <w:t xml:space="preserve"> </w:t>
      </w:r>
      <w:r w:rsidR="00B95CC5">
        <w:rPr>
          <w:rFonts w:eastAsia="Times New Roman" w:cs="Arial"/>
          <w:szCs w:val="24"/>
          <w:lang w:val="en-ZA"/>
        </w:rPr>
        <w:t>Adv BC Bester</w:t>
      </w:r>
      <w:r w:rsidR="003471FF">
        <w:rPr>
          <w:rFonts w:eastAsia="Times New Roman" w:cs="Arial"/>
          <w:szCs w:val="24"/>
          <w:lang w:val="en-ZA"/>
        </w:rPr>
        <w:t xml:space="preserve"> </w:t>
      </w:r>
    </w:p>
    <w:p w14:paraId="6AA44C7D" w14:textId="77777777" w:rsidR="00682771" w:rsidRDefault="003471FF" w:rsidP="00EB01DA">
      <w:pPr>
        <w:spacing w:after="0" w:line="240" w:lineRule="auto"/>
        <w:ind w:left="0"/>
        <w:rPr>
          <w:rFonts w:eastAsia="Times New Roman" w:cs="Arial"/>
          <w:szCs w:val="24"/>
          <w:lang w:val="en-ZA"/>
        </w:rPr>
      </w:pPr>
      <w:r>
        <w:rPr>
          <w:rFonts w:eastAsia="Times New Roman" w:cs="Arial"/>
          <w:szCs w:val="24"/>
          <w:lang w:val="en-ZA"/>
        </w:rPr>
        <w:t xml:space="preserve">                              </w:t>
      </w:r>
    </w:p>
    <w:p w14:paraId="629DC0D7" w14:textId="77777777" w:rsidR="00682771" w:rsidRDefault="00682771" w:rsidP="00EB01DA">
      <w:pPr>
        <w:spacing w:after="0" w:line="240" w:lineRule="auto"/>
        <w:ind w:left="0"/>
        <w:rPr>
          <w:rFonts w:eastAsia="Times New Roman" w:cs="Arial"/>
          <w:szCs w:val="24"/>
          <w:lang w:val="en-ZA"/>
        </w:rPr>
      </w:pPr>
    </w:p>
    <w:p w14:paraId="757A256B" w14:textId="3C173D77" w:rsidR="00EB01DA" w:rsidRPr="003673B7" w:rsidRDefault="003471FF" w:rsidP="00EB01DA">
      <w:pPr>
        <w:spacing w:after="0" w:line="240" w:lineRule="auto"/>
        <w:ind w:left="0"/>
        <w:rPr>
          <w:rFonts w:eastAsia="Times New Roman" w:cs="Arial"/>
          <w:szCs w:val="24"/>
          <w:lang w:val="en-ZA"/>
        </w:rPr>
      </w:pPr>
      <w:r>
        <w:rPr>
          <w:rFonts w:eastAsia="Times New Roman" w:cs="Arial"/>
          <w:szCs w:val="24"/>
          <w:lang w:val="en-ZA"/>
        </w:rPr>
        <w:t xml:space="preserve">Chantel van </w:t>
      </w:r>
      <w:proofErr w:type="spellStart"/>
      <w:r>
        <w:rPr>
          <w:rFonts w:eastAsia="Times New Roman" w:cs="Arial"/>
          <w:szCs w:val="24"/>
          <w:lang w:val="en-ZA"/>
        </w:rPr>
        <w:t>Heerden</w:t>
      </w:r>
      <w:proofErr w:type="spellEnd"/>
      <w:r>
        <w:rPr>
          <w:rFonts w:eastAsia="Times New Roman" w:cs="Arial"/>
          <w:szCs w:val="24"/>
          <w:lang w:val="en-ZA"/>
        </w:rPr>
        <w:t xml:space="preserve"> </w:t>
      </w:r>
      <w:proofErr w:type="spellStart"/>
      <w:r>
        <w:rPr>
          <w:rFonts w:eastAsia="Times New Roman" w:cs="Arial"/>
          <w:szCs w:val="24"/>
          <w:lang w:val="en-ZA"/>
        </w:rPr>
        <w:t>Inc</w:t>
      </w:r>
      <w:proofErr w:type="spellEnd"/>
    </w:p>
    <w:p w14:paraId="69FA7606" w14:textId="77777777" w:rsidR="00EB01DA" w:rsidRPr="003673B7" w:rsidRDefault="00EB01DA" w:rsidP="00EB01DA">
      <w:pPr>
        <w:spacing w:after="0" w:line="240" w:lineRule="auto"/>
        <w:ind w:left="0"/>
        <w:rPr>
          <w:rFonts w:eastAsia="Times New Roman" w:cs="Arial"/>
          <w:szCs w:val="24"/>
          <w:lang w:val="en-ZA"/>
        </w:rPr>
      </w:pPr>
    </w:p>
    <w:p w14:paraId="488EC3A2" w14:textId="77777777" w:rsidR="00EB01DA" w:rsidRPr="003673B7" w:rsidRDefault="00EB01DA" w:rsidP="00EB01DA">
      <w:pPr>
        <w:spacing w:after="0" w:line="240" w:lineRule="auto"/>
        <w:ind w:left="0"/>
        <w:rPr>
          <w:rFonts w:eastAsia="Times New Roman" w:cs="Arial"/>
          <w:szCs w:val="24"/>
          <w:lang w:val="en-ZA"/>
        </w:rPr>
      </w:pPr>
    </w:p>
    <w:p w14:paraId="0A28E99D" w14:textId="77777777" w:rsidR="00237D97" w:rsidRDefault="00237D97" w:rsidP="00EB01DA">
      <w:pPr>
        <w:spacing w:after="0" w:line="240" w:lineRule="auto"/>
        <w:ind w:left="0"/>
        <w:rPr>
          <w:rFonts w:eastAsia="Times New Roman" w:cs="Arial"/>
          <w:szCs w:val="24"/>
          <w:lang w:val="en-ZA"/>
        </w:rPr>
      </w:pPr>
    </w:p>
    <w:p w14:paraId="5D87F092" w14:textId="77777777" w:rsidR="00237D97" w:rsidRDefault="00237D97" w:rsidP="00EB01DA">
      <w:pPr>
        <w:spacing w:after="0" w:line="240" w:lineRule="auto"/>
        <w:ind w:left="0"/>
        <w:rPr>
          <w:rFonts w:eastAsia="Times New Roman" w:cs="Arial"/>
          <w:szCs w:val="24"/>
          <w:lang w:val="en-ZA"/>
        </w:rPr>
      </w:pPr>
    </w:p>
    <w:p w14:paraId="27F3F692" w14:textId="5A50DECA" w:rsidR="00EB01DA" w:rsidRPr="003673B7"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t xml:space="preserve">For the </w:t>
      </w:r>
      <w:r w:rsidR="00BD0AFC">
        <w:rPr>
          <w:rFonts w:eastAsia="Times New Roman" w:cs="Arial"/>
          <w:szCs w:val="24"/>
          <w:lang w:val="en-ZA"/>
        </w:rPr>
        <w:t xml:space="preserve">First </w:t>
      </w:r>
      <w:r w:rsidRPr="003673B7">
        <w:rPr>
          <w:rFonts w:eastAsia="Times New Roman" w:cs="Arial"/>
          <w:szCs w:val="24"/>
          <w:lang w:val="en-ZA"/>
        </w:rPr>
        <w:t>Respondent:</w:t>
      </w:r>
      <w:r w:rsidR="00BD0AFC">
        <w:rPr>
          <w:rFonts w:eastAsia="Times New Roman" w:cs="Arial"/>
          <w:szCs w:val="24"/>
          <w:lang w:val="en-ZA"/>
        </w:rPr>
        <w:t xml:space="preserve"> In person </w:t>
      </w:r>
    </w:p>
    <w:p w14:paraId="1F3248B0" w14:textId="77777777" w:rsidR="00691B08" w:rsidRDefault="00EB01DA" w:rsidP="00EB01DA">
      <w:pPr>
        <w:spacing w:after="0" w:line="240" w:lineRule="auto"/>
        <w:ind w:left="0"/>
        <w:rPr>
          <w:rFonts w:eastAsia="Times New Roman" w:cs="Arial"/>
          <w:szCs w:val="24"/>
          <w:lang w:val="en-ZA"/>
        </w:rPr>
      </w:pPr>
      <w:r w:rsidRPr="003673B7">
        <w:rPr>
          <w:rFonts w:eastAsia="Times New Roman" w:cs="Arial"/>
          <w:szCs w:val="24"/>
          <w:lang w:val="en-ZA"/>
        </w:rPr>
        <w:br w:type="column"/>
      </w:r>
    </w:p>
    <w:p w14:paraId="458D34B3" w14:textId="77777777" w:rsidR="00691B08" w:rsidRDefault="00691B08" w:rsidP="00EB01DA">
      <w:pPr>
        <w:spacing w:after="0" w:line="240" w:lineRule="auto"/>
        <w:ind w:left="0"/>
        <w:rPr>
          <w:rFonts w:eastAsia="Times New Roman" w:cs="Arial"/>
          <w:szCs w:val="24"/>
          <w:lang w:val="en-ZA"/>
        </w:rPr>
      </w:pPr>
    </w:p>
    <w:p w14:paraId="04FF53B4" w14:textId="77777777" w:rsidR="00691B08" w:rsidRDefault="00691B08" w:rsidP="00EB01DA">
      <w:pPr>
        <w:spacing w:after="0" w:line="240" w:lineRule="auto"/>
        <w:ind w:left="0"/>
        <w:rPr>
          <w:rFonts w:eastAsia="Times New Roman" w:cs="Arial"/>
          <w:szCs w:val="24"/>
          <w:lang w:val="en-ZA"/>
        </w:rPr>
      </w:pPr>
    </w:p>
    <w:p w14:paraId="791A6405" w14:textId="77777777" w:rsidR="00FC6B03" w:rsidRDefault="00FC6B03" w:rsidP="00EB01DA">
      <w:pPr>
        <w:spacing w:after="0" w:line="240" w:lineRule="auto"/>
        <w:ind w:left="0"/>
        <w:rPr>
          <w:rFonts w:eastAsia="Times New Roman" w:cs="Arial"/>
          <w:szCs w:val="24"/>
          <w:lang w:val="en-ZA"/>
        </w:rPr>
      </w:pPr>
    </w:p>
    <w:p w14:paraId="24F3CE31" w14:textId="77777777" w:rsidR="00FC6B03" w:rsidRDefault="00FC6B03" w:rsidP="00EB01DA">
      <w:pPr>
        <w:spacing w:after="0" w:line="240" w:lineRule="auto"/>
        <w:ind w:left="0"/>
        <w:rPr>
          <w:rFonts w:eastAsia="Times New Roman" w:cs="Arial"/>
          <w:szCs w:val="24"/>
          <w:lang w:val="en-ZA"/>
        </w:rPr>
      </w:pPr>
    </w:p>
    <w:p w14:paraId="226CB0F9" w14:textId="77777777" w:rsidR="00FC6B03" w:rsidRDefault="00FC6B03" w:rsidP="00EB01DA">
      <w:pPr>
        <w:spacing w:after="0" w:line="240" w:lineRule="auto"/>
        <w:ind w:left="0"/>
        <w:rPr>
          <w:rFonts w:eastAsia="Times New Roman" w:cs="Arial"/>
          <w:szCs w:val="24"/>
          <w:lang w:val="en-ZA"/>
        </w:rPr>
      </w:pPr>
    </w:p>
    <w:p w14:paraId="7F083E80" w14:textId="77777777" w:rsidR="00FC6B03" w:rsidRDefault="00FC6B03" w:rsidP="00EB01DA">
      <w:pPr>
        <w:spacing w:after="0" w:line="240" w:lineRule="auto"/>
        <w:ind w:left="0"/>
        <w:rPr>
          <w:rFonts w:eastAsia="Times New Roman" w:cs="Arial"/>
          <w:szCs w:val="24"/>
          <w:lang w:val="en-ZA"/>
        </w:rPr>
      </w:pPr>
    </w:p>
    <w:p w14:paraId="3CBABA13" w14:textId="1DB86B02" w:rsidR="00BD0AFC" w:rsidRDefault="00237D97" w:rsidP="00BD0AFC">
      <w:pPr>
        <w:spacing w:after="0" w:line="240" w:lineRule="auto"/>
        <w:ind w:left="0"/>
        <w:rPr>
          <w:rFonts w:eastAsia="Times New Roman" w:cs="Arial"/>
          <w:szCs w:val="24"/>
          <w:lang w:val="en-ZA"/>
        </w:rPr>
      </w:pPr>
      <w:r>
        <w:rPr>
          <w:rFonts w:eastAsia="Times New Roman" w:cs="Arial"/>
          <w:szCs w:val="24"/>
          <w:lang w:val="en-ZA"/>
        </w:rPr>
        <w:t xml:space="preserve"> </w:t>
      </w:r>
    </w:p>
    <w:p w14:paraId="5AFA3E04" w14:textId="77777777" w:rsidR="003471FF" w:rsidRPr="003471FF" w:rsidRDefault="003471FF" w:rsidP="003471FF">
      <w:pPr>
        <w:pStyle w:val="JudgmentNumbered"/>
        <w:numPr>
          <w:ilvl w:val="0"/>
          <w:numId w:val="0"/>
        </w:numPr>
        <w:ind w:left="567" w:hanging="567"/>
        <w:rPr>
          <w:lang w:val="en-ZA"/>
        </w:rPr>
      </w:pPr>
    </w:p>
    <w:sectPr w:rsidR="003471FF" w:rsidRPr="003471FF" w:rsidSect="009559B5">
      <w:type w:val="continuous"/>
      <w:pgSz w:w="11907" w:h="16839" w:code="9"/>
      <w:pgMar w:top="1440" w:right="1440" w:bottom="1440" w:left="1440" w:header="708" w:footer="708" w:gutter="0"/>
      <w:pgNumType w:start="1"/>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098B6BA" w14:textId="77777777" w:rsidR="006D5220" w:rsidRDefault="006D5220" w:rsidP="0026133F">
      <w:pPr>
        <w:spacing w:after="0" w:line="240" w:lineRule="auto"/>
      </w:pPr>
      <w:r>
        <w:separator/>
      </w:r>
    </w:p>
  </w:endnote>
  <w:endnote w:type="continuationSeparator" w:id="0">
    <w:p w14:paraId="777CC80A" w14:textId="77777777" w:rsidR="006D5220" w:rsidRDefault="006D5220" w:rsidP="002613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757874" w14:textId="77777777" w:rsidR="006D5220" w:rsidRDefault="006D5220" w:rsidP="0026133F">
      <w:pPr>
        <w:spacing w:after="0" w:line="240" w:lineRule="auto"/>
      </w:pPr>
      <w:r>
        <w:separator/>
      </w:r>
    </w:p>
  </w:footnote>
  <w:footnote w:type="continuationSeparator" w:id="0">
    <w:p w14:paraId="2A7DC1F1" w14:textId="77777777" w:rsidR="006D5220" w:rsidRDefault="006D5220" w:rsidP="0026133F">
      <w:pPr>
        <w:spacing w:after="0" w:line="240" w:lineRule="auto"/>
      </w:pPr>
      <w:r>
        <w:continuationSeparator/>
      </w:r>
    </w:p>
  </w:footnote>
  <w:footnote w:id="1">
    <w:p w14:paraId="488CA5B9" w14:textId="77777777" w:rsidR="00052F80" w:rsidRDefault="001850D5" w:rsidP="00052F80">
      <w:pPr>
        <w:pStyle w:val="FootnoteText"/>
        <w:ind w:left="706" w:hanging="706"/>
        <w:rPr>
          <w:rFonts w:ascii="Arial" w:hAnsi="Arial" w:cs="Arial"/>
          <w:color w:val="000000" w:themeColor="text1"/>
        </w:rPr>
      </w:pPr>
      <w:r w:rsidRPr="001764EA">
        <w:rPr>
          <w:rStyle w:val="FootnoteReference"/>
          <w:rFonts w:ascii="Arial" w:hAnsi="Arial" w:cs="Arial"/>
          <w:color w:val="000000" w:themeColor="text1"/>
        </w:rPr>
        <w:footnoteRef/>
      </w:r>
      <w:r w:rsidRPr="001764EA">
        <w:rPr>
          <w:rFonts w:ascii="Arial" w:hAnsi="Arial" w:cs="Arial"/>
          <w:color w:val="000000" w:themeColor="text1"/>
        </w:rPr>
        <w:t xml:space="preserve"> </w:t>
      </w:r>
      <w:r w:rsidRPr="001764EA">
        <w:rPr>
          <w:rFonts w:ascii="Arial" w:hAnsi="Arial" w:cs="Arial"/>
          <w:b/>
          <w:bCs/>
          <w:color w:val="000000" w:themeColor="text1"/>
        </w:rPr>
        <w:t>International Tobacco Co of SA Ltd v United Tobacco Companies (South) Lt</w:t>
      </w:r>
      <w:r w:rsidR="00052F80">
        <w:rPr>
          <w:rFonts w:ascii="Arial" w:hAnsi="Arial" w:cs="Arial"/>
          <w:b/>
          <w:bCs/>
          <w:color w:val="000000" w:themeColor="text1"/>
        </w:rPr>
        <w:t xml:space="preserve">d </w:t>
      </w:r>
      <w:r w:rsidR="00052F80">
        <w:rPr>
          <w:rFonts w:ascii="Arial" w:hAnsi="Arial" w:cs="Arial"/>
          <w:color w:val="000000" w:themeColor="text1"/>
        </w:rPr>
        <w:t xml:space="preserve">1953 (1) SA 241 </w:t>
      </w:r>
    </w:p>
    <w:p w14:paraId="63D1AB45" w14:textId="77777777" w:rsidR="0039304F" w:rsidRDefault="00052F80" w:rsidP="00052F80">
      <w:pPr>
        <w:pStyle w:val="FootnoteText"/>
        <w:ind w:left="706" w:hanging="706"/>
        <w:rPr>
          <w:rFonts w:ascii="Arial" w:hAnsi="Arial" w:cs="Arial"/>
          <w:color w:val="000000" w:themeColor="text1"/>
        </w:rPr>
      </w:pPr>
      <w:r>
        <w:rPr>
          <w:rFonts w:ascii="Arial" w:hAnsi="Arial" w:cs="Arial"/>
          <w:color w:val="000000" w:themeColor="text1"/>
        </w:rPr>
        <w:t xml:space="preserve">  (W); </w:t>
      </w:r>
      <w:proofErr w:type="spellStart"/>
      <w:r w:rsidR="001850D5" w:rsidRPr="00052F80">
        <w:rPr>
          <w:rFonts w:ascii="Arial" w:hAnsi="Arial" w:cs="Arial"/>
          <w:b/>
          <w:bCs/>
          <w:color w:val="000000" w:themeColor="text1"/>
        </w:rPr>
        <w:t>Beier</w:t>
      </w:r>
      <w:proofErr w:type="spellEnd"/>
      <w:r w:rsidR="001850D5" w:rsidRPr="00052F80">
        <w:rPr>
          <w:rFonts w:ascii="Arial" w:hAnsi="Arial" w:cs="Arial"/>
          <w:b/>
          <w:bCs/>
          <w:color w:val="000000" w:themeColor="text1"/>
        </w:rPr>
        <w:t xml:space="preserve"> v </w:t>
      </w:r>
      <w:proofErr w:type="spellStart"/>
      <w:r w:rsidR="001850D5" w:rsidRPr="00052F80">
        <w:rPr>
          <w:rFonts w:ascii="Arial" w:hAnsi="Arial" w:cs="Arial"/>
          <w:b/>
          <w:bCs/>
          <w:color w:val="000000" w:themeColor="text1"/>
        </w:rPr>
        <w:t>Thornycroft</w:t>
      </w:r>
      <w:proofErr w:type="spellEnd"/>
      <w:r w:rsidR="001850D5" w:rsidRPr="00052F80">
        <w:rPr>
          <w:rFonts w:ascii="Arial" w:hAnsi="Arial" w:cs="Arial"/>
          <w:b/>
          <w:bCs/>
          <w:color w:val="000000" w:themeColor="text1"/>
        </w:rPr>
        <w:t xml:space="preserve"> Cartage Company; </w:t>
      </w:r>
      <w:proofErr w:type="spellStart"/>
      <w:r w:rsidR="001850D5" w:rsidRPr="00052F80">
        <w:rPr>
          <w:rFonts w:ascii="Arial" w:hAnsi="Arial" w:cs="Arial"/>
          <w:b/>
          <w:bCs/>
          <w:color w:val="000000" w:themeColor="text1"/>
        </w:rPr>
        <w:t>Beier</w:t>
      </w:r>
      <w:proofErr w:type="spellEnd"/>
      <w:r w:rsidR="001850D5" w:rsidRPr="00052F80">
        <w:rPr>
          <w:rFonts w:ascii="Arial" w:hAnsi="Arial" w:cs="Arial"/>
          <w:b/>
          <w:bCs/>
          <w:color w:val="000000" w:themeColor="text1"/>
        </w:rPr>
        <w:t xml:space="preserve"> v </w:t>
      </w:r>
      <w:proofErr w:type="spellStart"/>
      <w:r w:rsidR="001850D5" w:rsidRPr="00052F80">
        <w:rPr>
          <w:rFonts w:ascii="Arial" w:hAnsi="Arial" w:cs="Arial"/>
          <w:b/>
          <w:bCs/>
          <w:color w:val="000000" w:themeColor="text1"/>
        </w:rPr>
        <w:t>Boere</w:t>
      </w:r>
      <w:proofErr w:type="spellEnd"/>
      <w:r w:rsidR="001850D5" w:rsidRPr="00052F80">
        <w:rPr>
          <w:rFonts w:ascii="Arial" w:hAnsi="Arial" w:cs="Arial"/>
          <w:b/>
          <w:bCs/>
          <w:color w:val="000000" w:themeColor="text1"/>
        </w:rPr>
        <w:t xml:space="preserve"> </w:t>
      </w:r>
      <w:proofErr w:type="spellStart"/>
      <w:r w:rsidR="001850D5" w:rsidRPr="00052F80">
        <w:rPr>
          <w:rFonts w:ascii="Arial" w:hAnsi="Arial" w:cs="Arial"/>
          <w:b/>
          <w:bCs/>
          <w:color w:val="000000" w:themeColor="text1"/>
        </w:rPr>
        <w:t>Saamwerk</w:t>
      </w:r>
      <w:proofErr w:type="spellEnd"/>
      <w:r w:rsidR="001850D5" w:rsidRPr="00052F80">
        <w:rPr>
          <w:rFonts w:ascii="Arial" w:hAnsi="Arial" w:cs="Arial"/>
          <w:b/>
          <w:bCs/>
          <w:color w:val="000000" w:themeColor="text1"/>
        </w:rPr>
        <w:t xml:space="preserve"> </w:t>
      </w:r>
      <w:proofErr w:type="spellStart"/>
      <w:r w:rsidR="001850D5" w:rsidRPr="00052F80">
        <w:rPr>
          <w:rFonts w:ascii="Arial" w:hAnsi="Arial" w:cs="Arial"/>
          <w:b/>
          <w:bCs/>
          <w:color w:val="000000" w:themeColor="text1"/>
        </w:rPr>
        <w:t>Bpk</w:t>
      </w:r>
      <w:proofErr w:type="spellEnd"/>
      <w:r w:rsidR="0039304F">
        <w:rPr>
          <w:rFonts w:ascii="Arial" w:hAnsi="Arial" w:cs="Arial"/>
          <w:b/>
          <w:bCs/>
          <w:color w:val="000000" w:themeColor="text1"/>
        </w:rPr>
        <w:t xml:space="preserve"> </w:t>
      </w:r>
      <w:r w:rsidR="0039304F">
        <w:rPr>
          <w:rFonts w:ascii="Arial" w:hAnsi="Arial" w:cs="Arial"/>
          <w:color w:val="000000" w:themeColor="text1"/>
        </w:rPr>
        <w:t xml:space="preserve">1961 (4) SA 187 (D) </w:t>
      </w:r>
    </w:p>
    <w:p w14:paraId="6463C5F3" w14:textId="4BD7E548" w:rsidR="001850D5" w:rsidRPr="001764EA" w:rsidRDefault="0039304F" w:rsidP="00EF1BB1">
      <w:pPr>
        <w:pStyle w:val="FootnoteText"/>
        <w:ind w:left="706" w:hanging="706"/>
        <w:rPr>
          <w:rFonts w:ascii="Arial" w:hAnsi="Arial" w:cs="Arial"/>
          <w:color w:val="000000" w:themeColor="text1"/>
        </w:rPr>
      </w:pPr>
      <w:r>
        <w:rPr>
          <w:rFonts w:ascii="Arial" w:hAnsi="Arial" w:cs="Arial"/>
          <w:color w:val="000000" w:themeColor="text1"/>
        </w:rPr>
        <w:t xml:space="preserve">   </w:t>
      </w:r>
      <w:proofErr w:type="gramStart"/>
      <w:r>
        <w:rPr>
          <w:rFonts w:ascii="Arial" w:hAnsi="Arial" w:cs="Arial"/>
          <w:color w:val="000000" w:themeColor="text1"/>
        </w:rPr>
        <w:t>at</w:t>
      </w:r>
      <w:proofErr w:type="gramEnd"/>
      <w:r>
        <w:rPr>
          <w:rFonts w:ascii="Arial" w:hAnsi="Arial" w:cs="Arial"/>
          <w:color w:val="000000" w:themeColor="text1"/>
        </w:rPr>
        <w:t xml:space="preserve"> 190F-G. </w:t>
      </w:r>
    </w:p>
  </w:footnote>
  <w:footnote w:id="2">
    <w:p w14:paraId="6A8DCBFD" w14:textId="728B5283" w:rsidR="007445E6" w:rsidRPr="00310D7A" w:rsidRDefault="007445E6" w:rsidP="00152F40">
      <w:pPr>
        <w:pStyle w:val="FootnoteText"/>
        <w:ind w:left="706" w:hanging="706"/>
        <w:rPr>
          <w:rFonts w:ascii="Arial" w:hAnsi="Arial" w:cs="Arial"/>
          <w:b/>
          <w:bCs/>
          <w:color w:val="000000" w:themeColor="text1"/>
        </w:rPr>
      </w:pPr>
      <w:r w:rsidRPr="00310D7A">
        <w:rPr>
          <w:rStyle w:val="FootnoteReference"/>
          <w:rFonts w:ascii="Arial" w:hAnsi="Arial" w:cs="Arial"/>
          <w:color w:val="000000" w:themeColor="text1"/>
        </w:rPr>
        <w:footnoteRef/>
      </w:r>
      <w:r w:rsidRPr="00310D7A">
        <w:rPr>
          <w:rFonts w:ascii="Arial" w:hAnsi="Arial" w:cs="Arial"/>
          <w:color w:val="000000" w:themeColor="text1"/>
        </w:rPr>
        <w:t xml:space="preserve"> </w:t>
      </w:r>
      <w:r w:rsidRPr="00310D7A">
        <w:rPr>
          <w:rFonts w:ascii="Arial" w:hAnsi="Arial" w:cs="Arial"/>
          <w:b/>
          <w:bCs/>
          <w:color w:val="000000" w:themeColor="text1"/>
          <w:shd w:val="clear" w:color="auto" w:fill="FFFFFF"/>
        </w:rPr>
        <w:t>Belford v Belford</w:t>
      </w:r>
      <w:r w:rsidRPr="00310D7A">
        <w:rPr>
          <w:rFonts w:ascii="Arial" w:hAnsi="Arial" w:cs="Arial"/>
          <w:color w:val="000000" w:themeColor="text1"/>
          <w:shd w:val="clear" w:color="auto" w:fill="FFFFFF"/>
        </w:rPr>
        <w:t> </w:t>
      </w:r>
      <w:hyperlink r:id="rId1" w:anchor="y1980v2SApg843" w:history="1">
        <w:r w:rsidRPr="00310D7A">
          <w:rPr>
            <w:rFonts w:ascii="Arial" w:hAnsi="Arial" w:cs="Arial"/>
            <w:color w:val="000000" w:themeColor="text1"/>
            <w:shd w:val="clear" w:color="auto" w:fill="FFFFFF"/>
          </w:rPr>
          <w:t>1980 (2) SA 843 (C)</w:t>
        </w:r>
      </w:hyperlink>
      <w:r w:rsidRPr="00310D7A">
        <w:rPr>
          <w:rFonts w:ascii="Arial" w:hAnsi="Arial" w:cs="Arial"/>
          <w:color w:val="000000" w:themeColor="text1"/>
          <w:shd w:val="clear" w:color="auto" w:fill="FFFFFF"/>
        </w:rPr>
        <w:t> at 846.</w:t>
      </w:r>
    </w:p>
  </w:footnote>
  <w:footnote w:id="3">
    <w:p w14:paraId="16849039" w14:textId="77777777" w:rsidR="00310D7A" w:rsidRDefault="00977445" w:rsidP="00310D7A">
      <w:pPr>
        <w:pStyle w:val="FootnoteText"/>
        <w:ind w:left="706" w:hanging="706"/>
        <w:rPr>
          <w:rFonts w:ascii="Arial" w:eastAsia="Times New Roman" w:hAnsi="Arial" w:cs="Arial"/>
          <w:b/>
          <w:bCs/>
          <w:color w:val="000000" w:themeColor="text1"/>
          <w:lang w:val="en-US"/>
        </w:rPr>
      </w:pPr>
      <w:r w:rsidRPr="00310D7A">
        <w:rPr>
          <w:rStyle w:val="FootnoteReference"/>
          <w:rFonts w:ascii="Arial" w:hAnsi="Arial" w:cs="Arial"/>
          <w:color w:val="000000" w:themeColor="text1"/>
        </w:rPr>
        <w:footnoteRef/>
      </w:r>
      <w:r w:rsidR="00152F40" w:rsidRPr="00310D7A">
        <w:rPr>
          <w:rFonts w:ascii="Arial" w:hAnsi="Arial" w:cs="Arial"/>
          <w:color w:val="000000" w:themeColor="text1"/>
        </w:rPr>
        <w:t xml:space="preserve"> </w:t>
      </w:r>
      <w:r w:rsidR="00310D7A" w:rsidRPr="00310D7A">
        <w:rPr>
          <w:rFonts w:ascii="Arial" w:eastAsia="Times New Roman" w:hAnsi="Arial" w:cs="Arial"/>
          <w:b/>
          <w:bCs/>
          <w:color w:val="000000" w:themeColor="text1"/>
          <w:lang w:val="en-US"/>
        </w:rPr>
        <w:t xml:space="preserve">Van Den Berg N.O and Others v </w:t>
      </w:r>
      <w:proofErr w:type="spellStart"/>
      <w:r w:rsidR="00310D7A" w:rsidRPr="00310D7A">
        <w:rPr>
          <w:rFonts w:ascii="Arial" w:eastAsia="Times New Roman" w:hAnsi="Arial" w:cs="Arial"/>
          <w:b/>
          <w:bCs/>
          <w:color w:val="000000" w:themeColor="text1"/>
          <w:lang w:val="en-US"/>
        </w:rPr>
        <w:t>Suidwes</w:t>
      </w:r>
      <w:proofErr w:type="spellEnd"/>
      <w:r w:rsidR="00310D7A" w:rsidRPr="00310D7A">
        <w:rPr>
          <w:rFonts w:ascii="Arial" w:eastAsia="Times New Roman" w:hAnsi="Arial" w:cs="Arial"/>
          <w:b/>
          <w:bCs/>
          <w:color w:val="000000" w:themeColor="text1"/>
          <w:lang w:val="en-US"/>
        </w:rPr>
        <w:t xml:space="preserve"> </w:t>
      </w:r>
      <w:proofErr w:type="spellStart"/>
      <w:r w:rsidR="00310D7A" w:rsidRPr="00310D7A">
        <w:rPr>
          <w:rFonts w:ascii="Arial" w:eastAsia="Times New Roman" w:hAnsi="Arial" w:cs="Arial"/>
          <w:b/>
          <w:bCs/>
          <w:color w:val="000000" w:themeColor="text1"/>
          <w:lang w:val="en-US"/>
        </w:rPr>
        <w:t>Landbou</w:t>
      </w:r>
      <w:proofErr w:type="spellEnd"/>
      <w:r w:rsidR="00310D7A" w:rsidRPr="00310D7A">
        <w:rPr>
          <w:rFonts w:ascii="Arial" w:eastAsia="Times New Roman" w:hAnsi="Arial" w:cs="Arial"/>
          <w:b/>
          <w:bCs/>
          <w:color w:val="000000" w:themeColor="text1"/>
          <w:lang w:val="en-US"/>
        </w:rPr>
        <w:t xml:space="preserve"> (Pty) Ltd and Others; The Land and </w:t>
      </w:r>
    </w:p>
    <w:p w14:paraId="125789E9" w14:textId="77777777" w:rsidR="00310D7A" w:rsidRDefault="00310D7A" w:rsidP="00310D7A">
      <w:pPr>
        <w:pStyle w:val="FootnoteText"/>
        <w:ind w:left="706" w:hanging="706"/>
        <w:rPr>
          <w:rFonts w:ascii="Arial" w:eastAsia="Times New Roman" w:hAnsi="Arial" w:cs="Arial"/>
          <w:b/>
          <w:bCs/>
          <w:color w:val="000000" w:themeColor="text1"/>
          <w:lang w:val="en-US"/>
        </w:rPr>
      </w:pPr>
      <w:r>
        <w:rPr>
          <w:rFonts w:ascii="Arial" w:eastAsia="Times New Roman" w:hAnsi="Arial" w:cs="Arial"/>
          <w:b/>
          <w:bCs/>
          <w:color w:val="000000" w:themeColor="text1"/>
          <w:lang w:val="en-US"/>
        </w:rPr>
        <w:t xml:space="preserve">   </w:t>
      </w:r>
      <w:r w:rsidRPr="00310D7A">
        <w:rPr>
          <w:rFonts w:ascii="Arial" w:eastAsia="Times New Roman" w:hAnsi="Arial" w:cs="Arial"/>
          <w:b/>
          <w:bCs/>
          <w:color w:val="000000" w:themeColor="text1"/>
          <w:lang w:val="en-US"/>
        </w:rPr>
        <w:t>Agricultural</w:t>
      </w:r>
      <w:r>
        <w:rPr>
          <w:rFonts w:ascii="Arial" w:eastAsia="Times New Roman" w:hAnsi="Arial" w:cs="Arial"/>
          <w:b/>
          <w:bCs/>
          <w:color w:val="000000" w:themeColor="text1"/>
          <w:lang w:val="en-US"/>
        </w:rPr>
        <w:t xml:space="preserve"> </w:t>
      </w:r>
      <w:r w:rsidRPr="00310D7A">
        <w:rPr>
          <w:rFonts w:ascii="Arial" w:eastAsia="Times New Roman" w:hAnsi="Arial" w:cs="Arial"/>
          <w:b/>
          <w:bCs/>
          <w:color w:val="000000" w:themeColor="text1"/>
          <w:lang w:val="en-US"/>
        </w:rPr>
        <w:t xml:space="preserve">Development Bank of South Africa and Another v Van Den Berg and Others; </w:t>
      </w:r>
    </w:p>
    <w:p w14:paraId="14BE4314" w14:textId="77777777" w:rsidR="00310D7A" w:rsidRDefault="00310D7A" w:rsidP="00310D7A">
      <w:pPr>
        <w:pStyle w:val="FootnoteText"/>
        <w:ind w:left="706" w:hanging="706"/>
        <w:rPr>
          <w:rFonts w:ascii="Arial" w:eastAsia="Times New Roman" w:hAnsi="Arial" w:cs="Arial"/>
          <w:color w:val="000000" w:themeColor="text1"/>
          <w:lang w:val="en-US"/>
        </w:rPr>
      </w:pPr>
      <w:r>
        <w:rPr>
          <w:rFonts w:ascii="Arial" w:eastAsia="Times New Roman" w:hAnsi="Arial" w:cs="Arial"/>
          <w:b/>
          <w:bCs/>
          <w:color w:val="000000" w:themeColor="text1"/>
          <w:lang w:val="en-US"/>
        </w:rPr>
        <w:t xml:space="preserve">   </w:t>
      </w:r>
      <w:proofErr w:type="spellStart"/>
      <w:r w:rsidRPr="00310D7A">
        <w:rPr>
          <w:rFonts w:ascii="Arial" w:eastAsia="Times New Roman" w:hAnsi="Arial" w:cs="Arial"/>
          <w:b/>
          <w:bCs/>
          <w:color w:val="000000" w:themeColor="text1"/>
          <w:lang w:val="en-US"/>
        </w:rPr>
        <w:t>Suidwes</w:t>
      </w:r>
      <w:proofErr w:type="spellEnd"/>
      <w:r w:rsidRPr="00310D7A">
        <w:rPr>
          <w:rFonts w:ascii="Arial" w:eastAsia="Times New Roman" w:hAnsi="Arial" w:cs="Arial"/>
          <w:b/>
          <w:bCs/>
          <w:color w:val="000000" w:themeColor="text1"/>
          <w:lang w:val="en-US"/>
        </w:rPr>
        <w:t xml:space="preserve"> </w:t>
      </w:r>
      <w:proofErr w:type="spellStart"/>
      <w:r w:rsidRPr="00310D7A">
        <w:rPr>
          <w:rFonts w:ascii="Arial" w:eastAsia="Times New Roman" w:hAnsi="Arial" w:cs="Arial"/>
          <w:b/>
          <w:bCs/>
          <w:color w:val="000000" w:themeColor="text1"/>
          <w:lang w:val="en-US"/>
        </w:rPr>
        <w:t>Landbou</w:t>
      </w:r>
      <w:proofErr w:type="spellEnd"/>
      <w:r w:rsidRPr="00310D7A">
        <w:rPr>
          <w:rFonts w:ascii="Arial" w:eastAsia="Times New Roman" w:hAnsi="Arial" w:cs="Arial"/>
          <w:b/>
          <w:bCs/>
          <w:color w:val="000000" w:themeColor="text1"/>
          <w:lang w:val="en-US"/>
        </w:rPr>
        <w:t xml:space="preserve"> (Pty) Ltd v Steyn Attorneys and Others</w:t>
      </w:r>
      <w:r w:rsidRPr="00310D7A">
        <w:rPr>
          <w:rFonts w:ascii="Arial" w:eastAsia="Times New Roman" w:hAnsi="Arial" w:cs="Arial"/>
          <w:color w:val="000000" w:themeColor="text1"/>
          <w:lang w:val="en-US"/>
        </w:rPr>
        <w:t xml:space="preserve"> (1240/2020; 1955/2016; 765/2019) </w:t>
      </w:r>
    </w:p>
    <w:p w14:paraId="5503FF7B" w14:textId="165665D2" w:rsidR="00310D7A" w:rsidRDefault="00310D7A" w:rsidP="00310D7A">
      <w:pPr>
        <w:pStyle w:val="FootnoteText"/>
        <w:ind w:left="706" w:hanging="706"/>
        <w:rPr>
          <w:rFonts w:ascii="Arial" w:hAnsi="Arial" w:cs="Arial"/>
          <w:color w:val="000000" w:themeColor="text1"/>
          <w:shd w:val="clear" w:color="auto" w:fill="FFFFFF"/>
        </w:rPr>
      </w:pPr>
      <w:r>
        <w:rPr>
          <w:rFonts w:ascii="Arial" w:eastAsia="Times New Roman" w:hAnsi="Arial" w:cs="Arial"/>
          <w:b/>
          <w:bCs/>
          <w:color w:val="000000" w:themeColor="text1"/>
          <w:lang w:val="en-US"/>
        </w:rPr>
        <w:t xml:space="preserve">   </w:t>
      </w:r>
      <w:r w:rsidRPr="00310D7A">
        <w:rPr>
          <w:rFonts w:ascii="Arial" w:eastAsia="Times New Roman" w:hAnsi="Arial" w:cs="Arial"/>
          <w:color w:val="000000" w:themeColor="text1"/>
          <w:lang w:val="en-US"/>
        </w:rPr>
        <w:t>[2021] ZAFSHC 53 (10 March 2021)</w:t>
      </w:r>
      <w:r>
        <w:rPr>
          <w:rFonts w:ascii="Arial" w:eastAsia="Times New Roman" w:hAnsi="Arial" w:cs="Arial"/>
          <w:color w:val="000000" w:themeColor="text1"/>
          <w:lang w:val="en-US"/>
        </w:rPr>
        <w:t xml:space="preserve"> at para 16; </w:t>
      </w:r>
      <w:proofErr w:type="spellStart"/>
      <w:r w:rsidR="00152F40" w:rsidRPr="00152F40">
        <w:rPr>
          <w:rFonts w:ascii="Arial" w:hAnsi="Arial" w:cs="Arial"/>
          <w:color w:val="000000" w:themeColor="text1"/>
          <w:shd w:val="clear" w:color="auto" w:fill="FFFFFF"/>
        </w:rPr>
        <w:t>Joffe</w:t>
      </w:r>
      <w:proofErr w:type="spellEnd"/>
      <w:r w:rsidR="00152F40" w:rsidRPr="00152F40">
        <w:rPr>
          <w:rFonts w:ascii="Arial" w:hAnsi="Arial" w:cs="Arial"/>
          <w:color w:val="000000" w:themeColor="text1"/>
          <w:shd w:val="clear" w:color="auto" w:fill="FFFFFF"/>
        </w:rPr>
        <w:t xml:space="preserve"> [High Court Motion Procedure, Last Updated: </w:t>
      </w:r>
    </w:p>
    <w:p w14:paraId="1D2BFD37" w14:textId="7E0EACEC" w:rsidR="00310D7A" w:rsidRDefault="00310D7A" w:rsidP="00310D7A">
      <w:pPr>
        <w:pStyle w:val="FootnoteText"/>
        <w:ind w:left="706" w:hanging="706"/>
        <w:rPr>
          <w:rFonts w:ascii="Arial" w:hAnsi="Arial" w:cs="Arial"/>
          <w:color w:val="000000" w:themeColor="text1"/>
          <w:shd w:val="clear" w:color="auto" w:fill="FFFFFF"/>
        </w:rPr>
      </w:pPr>
      <w:r>
        <w:rPr>
          <w:rFonts w:ascii="Arial" w:hAnsi="Arial" w:cs="Arial"/>
          <w:color w:val="000000" w:themeColor="text1"/>
          <w:shd w:val="clear" w:color="auto" w:fill="FFFFFF"/>
        </w:rPr>
        <w:t xml:space="preserve">   </w:t>
      </w:r>
      <w:r w:rsidR="00152F40" w:rsidRPr="00152F40">
        <w:rPr>
          <w:rFonts w:ascii="Arial" w:hAnsi="Arial" w:cs="Arial"/>
          <w:color w:val="000000" w:themeColor="text1"/>
          <w:shd w:val="clear" w:color="auto" w:fill="FFFFFF"/>
        </w:rPr>
        <w:t xml:space="preserve">August 2020 - SI 13 at </w:t>
      </w:r>
      <w:r w:rsidR="007E2F05">
        <w:rPr>
          <w:rFonts w:ascii="Arial" w:eastAsia="Times New Roman" w:hAnsi="Arial" w:cs="Arial"/>
          <w:b/>
          <w:bCs/>
          <w:color w:val="000000" w:themeColor="text1"/>
          <w:lang w:val="en-US"/>
        </w:rPr>
        <w:t>p</w:t>
      </w:r>
      <w:r w:rsidR="00152F40" w:rsidRPr="00152F40">
        <w:rPr>
          <w:rFonts w:ascii="Arial" w:hAnsi="Arial" w:cs="Arial"/>
          <w:color w:val="000000" w:themeColor="text1"/>
          <w:shd w:val="clear" w:color="auto" w:fill="FFFFFF"/>
        </w:rPr>
        <w:t xml:space="preserve">age 1-24, https://www.mylexisnexis.co.za/Index.aspx on 3 March 2021] </w:t>
      </w:r>
    </w:p>
    <w:p w14:paraId="452A09A8" w14:textId="5D786888" w:rsidR="00152F40" w:rsidRPr="00310D7A" w:rsidRDefault="00310D7A" w:rsidP="00310D7A">
      <w:pPr>
        <w:pStyle w:val="FootnoteText"/>
        <w:ind w:left="706" w:hanging="706"/>
        <w:rPr>
          <w:rFonts w:ascii="Arial" w:eastAsia="Times New Roman" w:hAnsi="Arial" w:cs="Arial"/>
          <w:b/>
          <w:bCs/>
          <w:color w:val="000000" w:themeColor="text1"/>
          <w:lang w:val="en-US"/>
        </w:rPr>
      </w:pPr>
      <w:r>
        <w:rPr>
          <w:rFonts w:ascii="Arial" w:hAnsi="Arial" w:cs="Arial"/>
          <w:color w:val="000000" w:themeColor="text1"/>
          <w:shd w:val="clear" w:color="auto" w:fill="FFFFFF"/>
        </w:rPr>
        <w:t xml:space="preserve">   </w:t>
      </w:r>
      <w:r w:rsidR="00152F40" w:rsidRPr="00152F40">
        <w:rPr>
          <w:rFonts w:ascii="Arial" w:hAnsi="Arial" w:cs="Arial"/>
          <w:color w:val="000000" w:themeColor="text1"/>
          <w:shd w:val="clear" w:color="auto" w:fill="FFFFFF"/>
        </w:rPr>
        <w:t xml:space="preserve">and Harms [Civil Procedure in the Superior Courts, Last Updated: October 2020 - SI 69 at Rule 11, </w:t>
      </w:r>
    </w:p>
    <w:p w14:paraId="566D9F6B" w14:textId="6333E639" w:rsidR="00977445" w:rsidRPr="009E0575" w:rsidRDefault="00152F40" w:rsidP="009E0575">
      <w:pPr>
        <w:pStyle w:val="FootnoteText"/>
        <w:ind w:left="706" w:hanging="706"/>
        <w:rPr>
          <w:rFonts w:ascii="Arial" w:hAnsi="Arial" w:cs="Arial"/>
          <w:b/>
          <w:bCs/>
          <w:color w:val="000000" w:themeColor="text1"/>
        </w:rPr>
      </w:pPr>
      <w:r w:rsidRPr="00152F40">
        <w:rPr>
          <w:rFonts w:ascii="Arial" w:hAnsi="Arial" w:cs="Arial"/>
          <w:color w:val="000000" w:themeColor="text1"/>
          <w:shd w:val="clear" w:color="auto" w:fill="FFFFFF"/>
        </w:rPr>
        <w:t xml:space="preserve">   </w:t>
      </w:r>
      <w:hyperlink r:id="rId2" w:history="1">
        <w:r w:rsidRPr="00AB4A4C">
          <w:rPr>
            <w:rStyle w:val="Hyperlink"/>
            <w:rFonts w:ascii="Arial" w:hAnsi="Arial" w:cs="Arial"/>
            <w:shd w:val="clear" w:color="auto" w:fill="FFFFFF"/>
          </w:rPr>
          <w:t>https://www.mylexisnexis.co.za/Index.aspx on 3 March 2021</w:t>
        </w:r>
      </w:hyperlink>
      <w:r w:rsidRPr="00152F40">
        <w:rPr>
          <w:rFonts w:ascii="Arial" w:hAnsi="Arial" w:cs="Arial"/>
          <w:color w:val="000000" w:themeColor="text1"/>
          <w:shd w:val="clear" w:color="auto" w:fill="FFFFFF"/>
        </w:rPr>
        <w:t>]</w:t>
      </w:r>
      <w:r>
        <w:rPr>
          <w:rFonts w:ascii="Arial" w:hAnsi="Arial" w:cs="Arial"/>
          <w:color w:val="000000" w:themeColor="text1"/>
          <w:shd w:val="clear" w:color="auto" w:fill="FFFFFF"/>
        </w:rPr>
        <w:t xml:space="preserve">. </w:t>
      </w:r>
    </w:p>
  </w:footnote>
  <w:footnote w:id="4">
    <w:p w14:paraId="536AD0AE" w14:textId="5EA71CBF" w:rsidR="00A6245E" w:rsidRPr="00A6245E" w:rsidRDefault="00A6245E" w:rsidP="00A6245E">
      <w:pPr>
        <w:pStyle w:val="FootnoteText"/>
        <w:ind w:left="706" w:hanging="706"/>
        <w:rPr>
          <w:rFonts w:ascii="Arial" w:eastAsia="Times New Roman" w:hAnsi="Arial" w:cs="Arial"/>
          <w:color w:val="000000" w:themeColor="text1"/>
          <w:lang w:val="en-US"/>
        </w:rPr>
      </w:pPr>
      <w:r w:rsidRPr="00310D7A">
        <w:rPr>
          <w:rStyle w:val="FootnoteReference"/>
          <w:rFonts w:ascii="Arial" w:hAnsi="Arial" w:cs="Arial"/>
          <w:color w:val="000000" w:themeColor="text1"/>
        </w:rPr>
        <w:footnoteRef/>
      </w:r>
      <w:r w:rsidRPr="00310D7A">
        <w:rPr>
          <w:rFonts w:ascii="Arial" w:hAnsi="Arial" w:cs="Arial"/>
          <w:color w:val="000000" w:themeColor="text1"/>
        </w:rPr>
        <w:t xml:space="preserve"> </w:t>
      </w:r>
      <w:proofErr w:type="spellStart"/>
      <w:r>
        <w:rPr>
          <w:rFonts w:ascii="Arial" w:eastAsia="Times New Roman" w:hAnsi="Arial" w:cs="Arial"/>
          <w:b/>
          <w:bCs/>
          <w:color w:val="000000" w:themeColor="text1"/>
          <w:lang w:val="en-US"/>
        </w:rPr>
        <w:t>Beier</w:t>
      </w:r>
      <w:proofErr w:type="spellEnd"/>
      <w:r>
        <w:rPr>
          <w:rFonts w:ascii="Arial" w:eastAsia="Times New Roman" w:hAnsi="Arial" w:cs="Arial"/>
          <w:b/>
          <w:bCs/>
          <w:color w:val="000000" w:themeColor="text1"/>
          <w:lang w:val="en-US"/>
        </w:rPr>
        <w:t xml:space="preserve"> </w:t>
      </w:r>
      <w:r>
        <w:rPr>
          <w:rFonts w:ascii="Arial" w:eastAsia="Times New Roman" w:hAnsi="Arial" w:cs="Arial"/>
          <w:i/>
          <w:iCs/>
          <w:color w:val="000000" w:themeColor="text1"/>
          <w:lang w:val="en-US"/>
        </w:rPr>
        <w:t xml:space="preserve">supra </w:t>
      </w:r>
      <w:r>
        <w:rPr>
          <w:rFonts w:ascii="Arial" w:eastAsia="Times New Roman" w:hAnsi="Arial" w:cs="Arial"/>
          <w:color w:val="000000" w:themeColor="text1"/>
          <w:lang w:val="en-US"/>
        </w:rPr>
        <w:t xml:space="preserve">at </w:t>
      </w:r>
      <w:r w:rsidR="009E0575">
        <w:rPr>
          <w:rFonts w:ascii="Arial" w:eastAsia="Times New Roman" w:hAnsi="Arial" w:cs="Arial"/>
          <w:color w:val="000000" w:themeColor="text1"/>
          <w:lang w:val="en-US"/>
        </w:rPr>
        <w:t xml:space="preserve">191F.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BD491E" w14:textId="04BD8A23" w:rsidR="0026133F" w:rsidRDefault="0026133F" w:rsidP="005520D9">
    <w:pPr>
      <w:pStyle w:val="Header"/>
      <w:jc w:val="center"/>
    </w:pPr>
  </w:p>
  <w:p w14:paraId="502B3E3A" w14:textId="77777777" w:rsidR="0026133F" w:rsidRDefault="00261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4B2C56"/>
    <w:multiLevelType w:val="multilevel"/>
    <w:tmpl w:val="3DAA002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 w15:restartNumberingAfterBreak="0">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2" w15:restartNumberingAfterBreak="0">
    <w:nsid w:val="1F45473B"/>
    <w:multiLevelType w:val="multilevel"/>
    <w:tmpl w:val="127A4A3C"/>
    <w:lvl w:ilvl="0">
      <w:start w:val="1"/>
      <w:numFmt w:val="decimal"/>
      <w:pStyle w:val="JudgmentNumbered"/>
      <w:lvlText w:val="%1."/>
      <w:lvlJc w:val="left"/>
      <w:pPr>
        <w:ind w:left="567" w:hanging="567"/>
      </w:pPr>
      <w:rPr>
        <w:rFonts w:ascii="Arial" w:eastAsiaTheme="minorHAnsi" w:hAnsi="Arial" w:cs="Arial"/>
      </w:rPr>
    </w:lvl>
    <w:lvl w:ilvl="1">
      <w:start w:val="1"/>
      <w:numFmt w:val="lowerLetter"/>
      <w:lvlText w:val="%2."/>
      <w:lvlJc w:val="left"/>
      <w:pPr>
        <w:ind w:left="1134" w:hanging="567"/>
      </w:pPr>
      <w:rPr>
        <w:rFonts w:hint="default"/>
      </w:rPr>
    </w:lvl>
    <w:lvl w:ilvl="2">
      <w:start w:val="1"/>
      <w:numFmt w:val="lowerRoman"/>
      <w:lvlText w:val="%3."/>
      <w:lvlJc w:val="left"/>
      <w:pPr>
        <w:tabs>
          <w:tab w:val="num" w:pos="1701"/>
        </w:tabs>
        <w:ind w:left="1701" w:hanging="567"/>
      </w:pPr>
      <w:rPr>
        <w:rFonts w:hint="default"/>
      </w:rPr>
    </w:lvl>
    <w:lvl w:ilvl="3">
      <w:start w:val="1"/>
      <w:numFmt w:val="decimal"/>
      <w:lvlText w:val="%4."/>
      <w:lvlJc w:val="left"/>
      <w:pPr>
        <w:ind w:left="3447" w:hanging="360"/>
      </w:pPr>
      <w:rPr>
        <w:rFonts w:hint="default"/>
      </w:rPr>
    </w:lvl>
    <w:lvl w:ilvl="4">
      <w:start w:val="1"/>
      <w:numFmt w:val="lowerLetter"/>
      <w:lvlText w:val="%5."/>
      <w:lvlJc w:val="left"/>
      <w:pPr>
        <w:ind w:left="4167" w:hanging="360"/>
      </w:pPr>
      <w:rPr>
        <w:rFonts w:hint="default"/>
      </w:rPr>
    </w:lvl>
    <w:lvl w:ilvl="5">
      <w:start w:val="1"/>
      <w:numFmt w:val="lowerRoman"/>
      <w:lvlText w:val="%6."/>
      <w:lvlJc w:val="right"/>
      <w:pPr>
        <w:ind w:left="4887" w:hanging="180"/>
      </w:pPr>
      <w:rPr>
        <w:rFonts w:hint="default"/>
      </w:rPr>
    </w:lvl>
    <w:lvl w:ilvl="6">
      <w:start w:val="1"/>
      <w:numFmt w:val="decimal"/>
      <w:lvlText w:val="%7."/>
      <w:lvlJc w:val="left"/>
      <w:pPr>
        <w:ind w:left="5607" w:hanging="360"/>
      </w:pPr>
      <w:rPr>
        <w:rFonts w:hint="default"/>
      </w:rPr>
    </w:lvl>
    <w:lvl w:ilvl="7">
      <w:start w:val="1"/>
      <w:numFmt w:val="lowerLetter"/>
      <w:lvlText w:val="%8."/>
      <w:lvlJc w:val="left"/>
      <w:pPr>
        <w:ind w:left="6327" w:hanging="360"/>
      </w:pPr>
      <w:rPr>
        <w:rFonts w:hint="default"/>
      </w:rPr>
    </w:lvl>
    <w:lvl w:ilvl="8">
      <w:start w:val="1"/>
      <w:numFmt w:val="lowerRoman"/>
      <w:lvlText w:val="%9."/>
      <w:lvlJc w:val="right"/>
      <w:pPr>
        <w:ind w:left="7047" w:hanging="180"/>
      </w:pPr>
      <w:rPr>
        <w:rFonts w:hint="default"/>
      </w:rPr>
    </w:lvl>
  </w:abstractNum>
  <w:abstractNum w:abstractNumId="3" w15:restartNumberingAfterBreak="0">
    <w:nsid w:val="35B058B0"/>
    <w:multiLevelType w:val="multilevel"/>
    <w:tmpl w:val="CDC485AE"/>
    <w:lvl w:ilvl="0">
      <w:start w:val="1"/>
      <w:numFmt w:val="decimal"/>
      <w:lvlText w:val="[%1]"/>
      <w:lvlJc w:val="left"/>
      <w:pPr>
        <w:ind w:left="1287" w:hanging="360"/>
      </w:pPr>
      <w:rPr>
        <w:rFonts w:hint="default"/>
      </w:r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4" w15:restartNumberingAfterBreak="0">
    <w:nsid w:val="3BA72425"/>
    <w:multiLevelType w:val="multilevel"/>
    <w:tmpl w:val="8F74F612"/>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num w:numId="1">
    <w:abstractNumId w:val="2"/>
  </w:num>
  <w:num w:numId="2">
    <w:abstractNumId w:val="3"/>
  </w:num>
  <w:num w:numId="3">
    <w:abstractNumId w:val="1"/>
  </w:num>
  <w:num w:numId="4">
    <w:abstractNumId w:val="2"/>
  </w:num>
  <w:num w:numId="5">
    <w:abstractNumId w:val="2"/>
  </w:num>
  <w:num w:numId="6">
    <w:abstractNumId w:val="2"/>
  </w:num>
  <w:num w:numId="7">
    <w:abstractNumId w:val="0"/>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1FE4"/>
    <w:rsid w:val="00000FD8"/>
    <w:rsid w:val="000028C6"/>
    <w:rsid w:val="000125BA"/>
    <w:rsid w:val="0001716C"/>
    <w:rsid w:val="00021228"/>
    <w:rsid w:val="00021E1A"/>
    <w:rsid w:val="00022E2A"/>
    <w:rsid w:val="00031B36"/>
    <w:rsid w:val="00032522"/>
    <w:rsid w:val="000329E7"/>
    <w:rsid w:val="0003391F"/>
    <w:rsid w:val="00034338"/>
    <w:rsid w:val="00037F80"/>
    <w:rsid w:val="00041549"/>
    <w:rsid w:val="00046913"/>
    <w:rsid w:val="00047F8D"/>
    <w:rsid w:val="00052F80"/>
    <w:rsid w:val="0005316C"/>
    <w:rsid w:val="000617DF"/>
    <w:rsid w:val="00063512"/>
    <w:rsid w:val="00084065"/>
    <w:rsid w:val="00087125"/>
    <w:rsid w:val="00090A93"/>
    <w:rsid w:val="000A37A7"/>
    <w:rsid w:val="000A5DA1"/>
    <w:rsid w:val="000A5F57"/>
    <w:rsid w:val="000A77BB"/>
    <w:rsid w:val="000B3269"/>
    <w:rsid w:val="000B635D"/>
    <w:rsid w:val="000B75F9"/>
    <w:rsid w:val="000C2724"/>
    <w:rsid w:val="000C2DB6"/>
    <w:rsid w:val="000D0D37"/>
    <w:rsid w:val="000D44FE"/>
    <w:rsid w:val="000D69E1"/>
    <w:rsid w:val="000D70AA"/>
    <w:rsid w:val="000D744B"/>
    <w:rsid w:val="000D77AA"/>
    <w:rsid w:val="000E2045"/>
    <w:rsid w:val="000E232B"/>
    <w:rsid w:val="000E2DFC"/>
    <w:rsid w:val="000E4D7C"/>
    <w:rsid w:val="000F62C5"/>
    <w:rsid w:val="000F654E"/>
    <w:rsid w:val="001005B8"/>
    <w:rsid w:val="00103F30"/>
    <w:rsid w:val="001079BB"/>
    <w:rsid w:val="00113847"/>
    <w:rsid w:val="00117C6C"/>
    <w:rsid w:val="00126C30"/>
    <w:rsid w:val="001279C4"/>
    <w:rsid w:val="00135EED"/>
    <w:rsid w:val="00136655"/>
    <w:rsid w:val="00140F56"/>
    <w:rsid w:val="0014721E"/>
    <w:rsid w:val="00150FB5"/>
    <w:rsid w:val="00152AC7"/>
    <w:rsid w:val="00152F40"/>
    <w:rsid w:val="0015344B"/>
    <w:rsid w:val="00153586"/>
    <w:rsid w:val="001536B2"/>
    <w:rsid w:val="00156DBB"/>
    <w:rsid w:val="00172932"/>
    <w:rsid w:val="00174099"/>
    <w:rsid w:val="001764EA"/>
    <w:rsid w:val="00180638"/>
    <w:rsid w:val="001814C7"/>
    <w:rsid w:val="001850D5"/>
    <w:rsid w:val="0019035D"/>
    <w:rsid w:val="001908AE"/>
    <w:rsid w:val="00191435"/>
    <w:rsid w:val="001924BE"/>
    <w:rsid w:val="001925B1"/>
    <w:rsid w:val="001954B8"/>
    <w:rsid w:val="001A2F9B"/>
    <w:rsid w:val="001A424B"/>
    <w:rsid w:val="001B234A"/>
    <w:rsid w:val="001B3245"/>
    <w:rsid w:val="001C3576"/>
    <w:rsid w:val="001C5042"/>
    <w:rsid w:val="001C57F0"/>
    <w:rsid w:val="001C60F1"/>
    <w:rsid w:val="001D03CA"/>
    <w:rsid w:val="001D10AE"/>
    <w:rsid w:val="001D124E"/>
    <w:rsid w:val="001D3682"/>
    <w:rsid w:val="001E1CA6"/>
    <w:rsid w:val="001E5BEF"/>
    <w:rsid w:val="001E7ECC"/>
    <w:rsid w:val="001F1509"/>
    <w:rsid w:val="001F1EB9"/>
    <w:rsid w:val="001F6919"/>
    <w:rsid w:val="001F6EC8"/>
    <w:rsid w:val="001F6F8A"/>
    <w:rsid w:val="002019DE"/>
    <w:rsid w:val="002023C2"/>
    <w:rsid w:val="00204462"/>
    <w:rsid w:val="00206180"/>
    <w:rsid w:val="00207FDD"/>
    <w:rsid w:val="00211919"/>
    <w:rsid w:val="00211D56"/>
    <w:rsid w:val="0021279D"/>
    <w:rsid w:val="00214B08"/>
    <w:rsid w:val="00215C8B"/>
    <w:rsid w:val="0021645C"/>
    <w:rsid w:val="002213AD"/>
    <w:rsid w:val="00227A9E"/>
    <w:rsid w:val="00231A7D"/>
    <w:rsid w:val="0023497D"/>
    <w:rsid w:val="00235004"/>
    <w:rsid w:val="0023646C"/>
    <w:rsid w:val="00237B13"/>
    <w:rsid w:val="00237D97"/>
    <w:rsid w:val="00240780"/>
    <w:rsid w:val="002408D4"/>
    <w:rsid w:val="00240972"/>
    <w:rsid w:val="0024167F"/>
    <w:rsid w:val="00242B83"/>
    <w:rsid w:val="00243BEB"/>
    <w:rsid w:val="0024428E"/>
    <w:rsid w:val="002442BC"/>
    <w:rsid w:val="00247F31"/>
    <w:rsid w:val="00250EC3"/>
    <w:rsid w:val="00255E9A"/>
    <w:rsid w:val="00256C82"/>
    <w:rsid w:val="002573B0"/>
    <w:rsid w:val="0026133F"/>
    <w:rsid w:val="002745EC"/>
    <w:rsid w:val="00276DCE"/>
    <w:rsid w:val="00281499"/>
    <w:rsid w:val="00282465"/>
    <w:rsid w:val="00284D75"/>
    <w:rsid w:val="00286544"/>
    <w:rsid w:val="00296879"/>
    <w:rsid w:val="002A0D8B"/>
    <w:rsid w:val="002A2833"/>
    <w:rsid w:val="002A6B9D"/>
    <w:rsid w:val="002B448C"/>
    <w:rsid w:val="002B566F"/>
    <w:rsid w:val="002C1174"/>
    <w:rsid w:val="002C13ED"/>
    <w:rsid w:val="002C2069"/>
    <w:rsid w:val="002C5833"/>
    <w:rsid w:val="002D67C5"/>
    <w:rsid w:val="002D73F3"/>
    <w:rsid w:val="002E5A41"/>
    <w:rsid w:val="002E5D56"/>
    <w:rsid w:val="002F0762"/>
    <w:rsid w:val="002F0970"/>
    <w:rsid w:val="002F0F0C"/>
    <w:rsid w:val="00302BB1"/>
    <w:rsid w:val="00310D7A"/>
    <w:rsid w:val="00310EF9"/>
    <w:rsid w:val="00311113"/>
    <w:rsid w:val="003207EA"/>
    <w:rsid w:val="00325968"/>
    <w:rsid w:val="00327FC9"/>
    <w:rsid w:val="003333FC"/>
    <w:rsid w:val="00336C53"/>
    <w:rsid w:val="00341525"/>
    <w:rsid w:val="0034249A"/>
    <w:rsid w:val="00344BF3"/>
    <w:rsid w:val="0034513C"/>
    <w:rsid w:val="00345DEC"/>
    <w:rsid w:val="003471FF"/>
    <w:rsid w:val="00352DA6"/>
    <w:rsid w:val="00353F07"/>
    <w:rsid w:val="00362564"/>
    <w:rsid w:val="003673B7"/>
    <w:rsid w:val="00367BEC"/>
    <w:rsid w:val="00374C59"/>
    <w:rsid w:val="00377CDD"/>
    <w:rsid w:val="00383766"/>
    <w:rsid w:val="00383C15"/>
    <w:rsid w:val="00383D16"/>
    <w:rsid w:val="00383D70"/>
    <w:rsid w:val="00390256"/>
    <w:rsid w:val="00390499"/>
    <w:rsid w:val="00391310"/>
    <w:rsid w:val="00391FE5"/>
    <w:rsid w:val="0039304F"/>
    <w:rsid w:val="00394B1F"/>
    <w:rsid w:val="00395145"/>
    <w:rsid w:val="003A0312"/>
    <w:rsid w:val="003A0808"/>
    <w:rsid w:val="003A1338"/>
    <w:rsid w:val="003A64A6"/>
    <w:rsid w:val="003B0B7B"/>
    <w:rsid w:val="003B0BEA"/>
    <w:rsid w:val="003B79C7"/>
    <w:rsid w:val="003C2AB1"/>
    <w:rsid w:val="003C462F"/>
    <w:rsid w:val="003C6950"/>
    <w:rsid w:val="003C7602"/>
    <w:rsid w:val="003D16AF"/>
    <w:rsid w:val="003D3FB3"/>
    <w:rsid w:val="003D45A0"/>
    <w:rsid w:val="003D5849"/>
    <w:rsid w:val="003E26D5"/>
    <w:rsid w:val="003E2AD9"/>
    <w:rsid w:val="003F1700"/>
    <w:rsid w:val="003F2C28"/>
    <w:rsid w:val="003F2EEC"/>
    <w:rsid w:val="0040489D"/>
    <w:rsid w:val="00411AF4"/>
    <w:rsid w:val="00413B49"/>
    <w:rsid w:val="0041694D"/>
    <w:rsid w:val="00426A00"/>
    <w:rsid w:val="00434680"/>
    <w:rsid w:val="0043615C"/>
    <w:rsid w:val="00444F65"/>
    <w:rsid w:val="00445FCF"/>
    <w:rsid w:val="004563FC"/>
    <w:rsid w:val="00457684"/>
    <w:rsid w:val="00460D07"/>
    <w:rsid w:val="004713FB"/>
    <w:rsid w:val="00472B2F"/>
    <w:rsid w:val="004746A2"/>
    <w:rsid w:val="00474794"/>
    <w:rsid w:val="004914B3"/>
    <w:rsid w:val="004A2B5E"/>
    <w:rsid w:val="004A3B6C"/>
    <w:rsid w:val="004A7A7F"/>
    <w:rsid w:val="004B28B8"/>
    <w:rsid w:val="004B438E"/>
    <w:rsid w:val="004B6054"/>
    <w:rsid w:val="004B6796"/>
    <w:rsid w:val="004B6868"/>
    <w:rsid w:val="004C3B5A"/>
    <w:rsid w:val="004C3E0E"/>
    <w:rsid w:val="004D1967"/>
    <w:rsid w:val="004D2495"/>
    <w:rsid w:val="004D2AEC"/>
    <w:rsid w:val="004D53F3"/>
    <w:rsid w:val="004D634C"/>
    <w:rsid w:val="004E0F49"/>
    <w:rsid w:val="004E3D7E"/>
    <w:rsid w:val="004E6D8A"/>
    <w:rsid w:val="004F14CD"/>
    <w:rsid w:val="00500685"/>
    <w:rsid w:val="00506D06"/>
    <w:rsid w:val="00512DB8"/>
    <w:rsid w:val="00514365"/>
    <w:rsid w:val="00515178"/>
    <w:rsid w:val="005163E0"/>
    <w:rsid w:val="00516D77"/>
    <w:rsid w:val="0052370C"/>
    <w:rsid w:val="00525DE5"/>
    <w:rsid w:val="0052613E"/>
    <w:rsid w:val="00526BCE"/>
    <w:rsid w:val="00527B66"/>
    <w:rsid w:val="00533C41"/>
    <w:rsid w:val="00533FE7"/>
    <w:rsid w:val="00534428"/>
    <w:rsid w:val="00534878"/>
    <w:rsid w:val="005353A1"/>
    <w:rsid w:val="00535846"/>
    <w:rsid w:val="005452C0"/>
    <w:rsid w:val="005459C5"/>
    <w:rsid w:val="00546CDA"/>
    <w:rsid w:val="00551D27"/>
    <w:rsid w:val="005520D9"/>
    <w:rsid w:val="00556906"/>
    <w:rsid w:val="00556CF7"/>
    <w:rsid w:val="00563E3B"/>
    <w:rsid w:val="00564D70"/>
    <w:rsid w:val="00567A65"/>
    <w:rsid w:val="005712A0"/>
    <w:rsid w:val="00572081"/>
    <w:rsid w:val="005746C4"/>
    <w:rsid w:val="00574912"/>
    <w:rsid w:val="00577ABC"/>
    <w:rsid w:val="005812E6"/>
    <w:rsid w:val="0058402F"/>
    <w:rsid w:val="0058450A"/>
    <w:rsid w:val="00585B2F"/>
    <w:rsid w:val="005877EB"/>
    <w:rsid w:val="005877FF"/>
    <w:rsid w:val="0059070C"/>
    <w:rsid w:val="005912B3"/>
    <w:rsid w:val="0059147A"/>
    <w:rsid w:val="00596D36"/>
    <w:rsid w:val="005A113C"/>
    <w:rsid w:val="005A12DF"/>
    <w:rsid w:val="005A2B9D"/>
    <w:rsid w:val="005A3467"/>
    <w:rsid w:val="005A5B99"/>
    <w:rsid w:val="005B3D8C"/>
    <w:rsid w:val="005B58CA"/>
    <w:rsid w:val="005B7E21"/>
    <w:rsid w:val="005C33CA"/>
    <w:rsid w:val="005D4D0D"/>
    <w:rsid w:val="005D71A6"/>
    <w:rsid w:val="005E1166"/>
    <w:rsid w:val="005E6478"/>
    <w:rsid w:val="005F00FD"/>
    <w:rsid w:val="005F0278"/>
    <w:rsid w:val="005F1A0F"/>
    <w:rsid w:val="005F1AB5"/>
    <w:rsid w:val="005F2350"/>
    <w:rsid w:val="005F3D15"/>
    <w:rsid w:val="005F5552"/>
    <w:rsid w:val="005F7CB8"/>
    <w:rsid w:val="00604904"/>
    <w:rsid w:val="00612329"/>
    <w:rsid w:val="006137EA"/>
    <w:rsid w:val="006163CC"/>
    <w:rsid w:val="00617184"/>
    <w:rsid w:val="006226DE"/>
    <w:rsid w:val="00622C0F"/>
    <w:rsid w:val="00625682"/>
    <w:rsid w:val="00627319"/>
    <w:rsid w:val="006316EF"/>
    <w:rsid w:val="00633E00"/>
    <w:rsid w:val="00642AC3"/>
    <w:rsid w:val="00643CDA"/>
    <w:rsid w:val="006536DD"/>
    <w:rsid w:val="006549C1"/>
    <w:rsid w:val="006551A5"/>
    <w:rsid w:val="0065555D"/>
    <w:rsid w:val="00660F5B"/>
    <w:rsid w:val="00662DE5"/>
    <w:rsid w:val="006667FE"/>
    <w:rsid w:val="00671252"/>
    <w:rsid w:val="00671810"/>
    <w:rsid w:val="006745C7"/>
    <w:rsid w:val="00682771"/>
    <w:rsid w:val="00687171"/>
    <w:rsid w:val="00691B08"/>
    <w:rsid w:val="006A0CDD"/>
    <w:rsid w:val="006A21CF"/>
    <w:rsid w:val="006A4CFA"/>
    <w:rsid w:val="006B3E60"/>
    <w:rsid w:val="006B6B26"/>
    <w:rsid w:val="006C176F"/>
    <w:rsid w:val="006C3DAA"/>
    <w:rsid w:val="006D0C35"/>
    <w:rsid w:val="006D5220"/>
    <w:rsid w:val="006E3DB8"/>
    <w:rsid w:val="006F1FE4"/>
    <w:rsid w:val="006F2888"/>
    <w:rsid w:val="006F3783"/>
    <w:rsid w:val="006F3D1C"/>
    <w:rsid w:val="006F7B39"/>
    <w:rsid w:val="00707532"/>
    <w:rsid w:val="00713427"/>
    <w:rsid w:val="007162ED"/>
    <w:rsid w:val="00720468"/>
    <w:rsid w:val="0072523F"/>
    <w:rsid w:val="00726390"/>
    <w:rsid w:val="0072715A"/>
    <w:rsid w:val="007302EC"/>
    <w:rsid w:val="007406BB"/>
    <w:rsid w:val="007415A6"/>
    <w:rsid w:val="007445E6"/>
    <w:rsid w:val="00745321"/>
    <w:rsid w:val="00754ABA"/>
    <w:rsid w:val="0075533E"/>
    <w:rsid w:val="00764556"/>
    <w:rsid w:val="007736F0"/>
    <w:rsid w:val="0077438E"/>
    <w:rsid w:val="0077513B"/>
    <w:rsid w:val="00781BCB"/>
    <w:rsid w:val="0078295E"/>
    <w:rsid w:val="00794DCB"/>
    <w:rsid w:val="007975EC"/>
    <w:rsid w:val="00797C1A"/>
    <w:rsid w:val="007A25F5"/>
    <w:rsid w:val="007A3815"/>
    <w:rsid w:val="007A61D7"/>
    <w:rsid w:val="007A6D52"/>
    <w:rsid w:val="007B13DA"/>
    <w:rsid w:val="007B32EB"/>
    <w:rsid w:val="007B7F59"/>
    <w:rsid w:val="007C0DE8"/>
    <w:rsid w:val="007C20F8"/>
    <w:rsid w:val="007C4CE0"/>
    <w:rsid w:val="007C4D23"/>
    <w:rsid w:val="007D10AD"/>
    <w:rsid w:val="007D54FB"/>
    <w:rsid w:val="007E10FC"/>
    <w:rsid w:val="007E24ED"/>
    <w:rsid w:val="007E2F05"/>
    <w:rsid w:val="007E33A1"/>
    <w:rsid w:val="007E446F"/>
    <w:rsid w:val="007E471C"/>
    <w:rsid w:val="007F4810"/>
    <w:rsid w:val="00801789"/>
    <w:rsid w:val="00806A73"/>
    <w:rsid w:val="00807051"/>
    <w:rsid w:val="00815646"/>
    <w:rsid w:val="008165E7"/>
    <w:rsid w:val="00816E6A"/>
    <w:rsid w:val="00820B24"/>
    <w:rsid w:val="008232EB"/>
    <w:rsid w:val="00823318"/>
    <w:rsid w:val="00823D24"/>
    <w:rsid w:val="0082602D"/>
    <w:rsid w:val="00827943"/>
    <w:rsid w:val="0086266F"/>
    <w:rsid w:val="00863C13"/>
    <w:rsid w:val="008727B3"/>
    <w:rsid w:val="00873E12"/>
    <w:rsid w:val="00880E2F"/>
    <w:rsid w:val="00883279"/>
    <w:rsid w:val="00886614"/>
    <w:rsid w:val="00886671"/>
    <w:rsid w:val="008955BD"/>
    <w:rsid w:val="00897A0B"/>
    <w:rsid w:val="00897A0D"/>
    <w:rsid w:val="008A5577"/>
    <w:rsid w:val="008A5C60"/>
    <w:rsid w:val="008A5F5B"/>
    <w:rsid w:val="008A76F5"/>
    <w:rsid w:val="008B1043"/>
    <w:rsid w:val="008B10CE"/>
    <w:rsid w:val="008C1D29"/>
    <w:rsid w:val="008C1F44"/>
    <w:rsid w:val="008C7232"/>
    <w:rsid w:val="008C7940"/>
    <w:rsid w:val="008C7C3F"/>
    <w:rsid w:val="008D0AC1"/>
    <w:rsid w:val="008E1335"/>
    <w:rsid w:val="008E2D2E"/>
    <w:rsid w:val="00900CF5"/>
    <w:rsid w:val="009020AD"/>
    <w:rsid w:val="0090770D"/>
    <w:rsid w:val="00917623"/>
    <w:rsid w:val="0092482F"/>
    <w:rsid w:val="00925519"/>
    <w:rsid w:val="00925BDF"/>
    <w:rsid w:val="009307B0"/>
    <w:rsid w:val="00935310"/>
    <w:rsid w:val="00946E42"/>
    <w:rsid w:val="00947C20"/>
    <w:rsid w:val="00951935"/>
    <w:rsid w:val="009528EE"/>
    <w:rsid w:val="009552D0"/>
    <w:rsid w:val="009572F1"/>
    <w:rsid w:val="00960ABE"/>
    <w:rsid w:val="00960C24"/>
    <w:rsid w:val="0096109A"/>
    <w:rsid w:val="00962908"/>
    <w:rsid w:val="009660D7"/>
    <w:rsid w:val="00970396"/>
    <w:rsid w:val="00972F02"/>
    <w:rsid w:val="009763B8"/>
    <w:rsid w:val="0097690A"/>
    <w:rsid w:val="00977445"/>
    <w:rsid w:val="009829A2"/>
    <w:rsid w:val="00984186"/>
    <w:rsid w:val="009856D1"/>
    <w:rsid w:val="009870A6"/>
    <w:rsid w:val="00993022"/>
    <w:rsid w:val="00995485"/>
    <w:rsid w:val="009A09E6"/>
    <w:rsid w:val="009A369F"/>
    <w:rsid w:val="009A43D3"/>
    <w:rsid w:val="009A6A05"/>
    <w:rsid w:val="009A7706"/>
    <w:rsid w:val="009B1690"/>
    <w:rsid w:val="009B3355"/>
    <w:rsid w:val="009B68DC"/>
    <w:rsid w:val="009C08C0"/>
    <w:rsid w:val="009C1B90"/>
    <w:rsid w:val="009C75AC"/>
    <w:rsid w:val="009D3AB5"/>
    <w:rsid w:val="009E0575"/>
    <w:rsid w:val="009E2457"/>
    <w:rsid w:val="009E255F"/>
    <w:rsid w:val="009E4506"/>
    <w:rsid w:val="009E4B27"/>
    <w:rsid w:val="009E5A64"/>
    <w:rsid w:val="009E62A5"/>
    <w:rsid w:val="009E6414"/>
    <w:rsid w:val="009E7A8C"/>
    <w:rsid w:val="009F6B43"/>
    <w:rsid w:val="00A02B1A"/>
    <w:rsid w:val="00A02B93"/>
    <w:rsid w:val="00A02D25"/>
    <w:rsid w:val="00A04DD2"/>
    <w:rsid w:val="00A058B6"/>
    <w:rsid w:val="00A05F2D"/>
    <w:rsid w:val="00A061FD"/>
    <w:rsid w:val="00A126E9"/>
    <w:rsid w:val="00A12DF0"/>
    <w:rsid w:val="00A24DCC"/>
    <w:rsid w:val="00A32D1A"/>
    <w:rsid w:val="00A357E2"/>
    <w:rsid w:val="00A3764D"/>
    <w:rsid w:val="00A41F23"/>
    <w:rsid w:val="00A436D2"/>
    <w:rsid w:val="00A50629"/>
    <w:rsid w:val="00A51208"/>
    <w:rsid w:val="00A51399"/>
    <w:rsid w:val="00A522D8"/>
    <w:rsid w:val="00A524F3"/>
    <w:rsid w:val="00A6090D"/>
    <w:rsid w:val="00A61C34"/>
    <w:rsid w:val="00A6245E"/>
    <w:rsid w:val="00A65629"/>
    <w:rsid w:val="00A65E01"/>
    <w:rsid w:val="00A677AA"/>
    <w:rsid w:val="00A725F2"/>
    <w:rsid w:val="00A83A79"/>
    <w:rsid w:val="00A93B8C"/>
    <w:rsid w:val="00A97652"/>
    <w:rsid w:val="00AA5881"/>
    <w:rsid w:val="00AB0438"/>
    <w:rsid w:val="00AB2617"/>
    <w:rsid w:val="00AB32A5"/>
    <w:rsid w:val="00AB3AA9"/>
    <w:rsid w:val="00AB437B"/>
    <w:rsid w:val="00AB7DBD"/>
    <w:rsid w:val="00AC3917"/>
    <w:rsid w:val="00AC5271"/>
    <w:rsid w:val="00AD32F9"/>
    <w:rsid w:val="00AD7317"/>
    <w:rsid w:val="00AD7E18"/>
    <w:rsid w:val="00AE12D5"/>
    <w:rsid w:val="00AE14E2"/>
    <w:rsid w:val="00AE3D9A"/>
    <w:rsid w:val="00AE6CE2"/>
    <w:rsid w:val="00AE73F8"/>
    <w:rsid w:val="00AF04FD"/>
    <w:rsid w:val="00AF393B"/>
    <w:rsid w:val="00AF6250"/>
    <w:rsid w:val="00AF72A8"/>
    <w:rsid w:val="00B00E93"/>
    <w:rsid w:val="00B04D06"/>
    <w:rsid w:val="00B07193"/>
    <w:rsid w:val="00B107A1"/>
    <w:rsid w:val="00B11EE6"/>
    <w:rsid w:val="00B12D40"/>
    <w:rsid w:val="00B24CFD"/>
    <w:rsid w:val="00B31160"/>
    <w:rsid w:val="00B31A9B"/>
    <w:rsid w:val="00B324D5"/>
    <w:rsid w:val="00B3295F"/>
    <w:rsid w:val="00B435C6"/>
    <w:rsid w:val="00B47BC0"/>
    <w:rsid w:val="00B54C98"/>
    <w:rsid w:val="00B675FD"/>
    <w:rsid w:val="00B7074D"/>
    <w:rsid w:val="00B708EE"/>
    <w:rsid w:val="00B80873"/>
    <w:rsid w:val="00B81554"/>
    <w:rsid w:val="00B81D96"/>
    <w:rsid w:val="00B86565"/>
    <w:rsid w:val="00B8711A"/>
    <w:rsid w:val="00B87C74"/>
    <w:rsid w:val="00B93192"/>
    <w:rsid w:val="00B9419C"/>
    <w:rsid w:val="00B95CC5"/>
    <w:rsid w:val="00B97E6D"/>
    <w:rsid w:val="00BA1397"/>
    <w:rsid w:val="00BB059B"/>
    <w:rsid w:val="00BB0F1D"/>
    <w:rsid w:val="00BB776B"/>
    <w:rsid w:val="00BC3270"/>
    <w:rsid w:val="00BD0AFC"/>
    <w:rsid w:val="00BD0B95"/>
    <w:rsid w:val="00BD6932"/>
    <w:rsid w:val="00BD7267"/>
    <w:rsid w:val="00BD7E56"/>
    <w:rsid w:val="00BE3B94"/>
    <w:rsid w:val="00C002BC"/>
    <w:rsid w:val="00C015DC"/>
    <w:rsid w:val="00C02CC4"/>
    <w:rsid w:val="00C0355F"/>
    <w:rsid w:val="00C0702F"/>
    <w:rsid w:val="00C07B33"/>
    <w:rsid w:val="00C10CC9"/>
    <w:rsid w:val="00C132A6"/>
    <w:rsid w:val="00C31366"/>
    <w:rsid w:val="00C33B60"/>
    <w:rsid w:val="00C40C22"/>
    <w:rsid w:val="00C40D72"/>
    <w:rsid w:val="00C47D03"/>
    <w:rsid w:val="00C53F8D"/>
    <w:rsid w:val="00C554E8"/>
    <w:rsid w:val="00C56DA7"/>
    <w:rsid w:val="00C6401C"/>
    <w:rsid w:val="00C64E0B"/>
    <w:rsid w:val="00C6594D"/>
    <w:rsid w:val="00C66594"/>
    <w:rsid w:val="00C66F35"/>
    <w:rsid w:val="00C67005"/>
    <w:rsid w:val="00C675A4"/>
    <w:rsid w:val="00C67678"/>
    <w:rsid w:val="00C67F97"/>
    <w:rsid w:val="00C71F3F"/>
    <w:rsid w:val="00C72024"/>
    <w:rsid w:val="00C73357"/>
    <w:rsid w:val="00C83053"/>
    <w:rsid w:val="00C8558B"/>
    <w:rsid w:val="00C9321A"/>
    <w:rsid w:val="00C9421C"/>
    <w:rsid w:val="00CA59F0"/>
    <w:rsid w:val="00CB2338"/>
    <w:rsid w:val="00CB4F5F"/>
    <w:rsid w:val="00CB54F7"/>
    <w:rsid w:val="00CB6378"/>
    <w:rsid w:val="00CC4A95"/>
    <w:rsid w:val="00CC4D12"/>
    <w:rsid w:val="00CD3552"/>
    <w:rsid w:val="00CD4BF9"/>
    <w:rsid w:val="00CD4E8E"/>
    <w:rsid w:val="00CD5076"/>
    <w:rsid w:val="00CD6911"/>
    <w:rsid w:val="00CF3886"/>
    <w:rsid w:val="00D01811"/>
    <w:rsid w:val="00D074DB"/>
    <w:rsid w:val="00D10553"/>
    <w:rsid w:val="00D115B1"/>
    <w:rsid w:val="00D1249D"/>
    <w:rsid w:val="00D14D97"/>
    <w:rsid w:val="00D21619"/>
    <w:rsid w:val="00D21A6A"/>
    <w:rsid w:val="00D222BD"/>
    <w:rsid w:val="00D31B40"/>
    <w:rsid w:val="00D35DB4"/>
    <w:rsid w:val="00D375E4"/>
    <w:rsid w:val="00D41B28"/>
    <w:rsid w:val="00D42900"/>
    <w:rsid w:val="00D459D5"/>
    <w:rsid w:val="00D529D4"/>
    <w:rsid w:val="00D54883"/>
    <w:rsid w:val="00D63CCA"/>
    <w:rsid w:val="00D6488A"/>
    <w:rsid w:val="00D65D3C"/>
    <w:rsid w:val="00D724BB"/>
    <w:rsid w:val="00D726EC"/>
    <w:rsid w:val="00D76638"/>
    <w:rsid w:val="00D76D32"/>
    <w:rsid w:val="00D80C49"/>
    <w:rsid w:val="00D81256"/>
    <w:rsid w:val="00D81452"/>
    <w:rsid w:val="00D866DE"/>
    <w:rsid w:val="00D907C1"/>
    <w:rsid w:val="00D94129"/>
    <w:rsid w:val="00D96EE7"/>
    <w:rsid w:val="00DA5B3D"/>
    <w:rsid w:val="00DB1769"/>
    <w:rsid w:val="00DB18AC"/>
    <w:rsid w:val="00DB617D"/>
    <w:rsid w:val="00DC0047"/>
    <w:rsid w:val="00DC09E2"/>
    <w:rsid w:val="00DC3A91"/>
    <w:rsid w:val="00DC524B"/>
    <w:rsid w:val="00DC55AF"/>
    <w:rsid w:val="00DC6F5F"/>
    <w:rsid w:val="00DD469F"/>
    <w:rsid w:val="00DD6E59"/>
    <w:rsid w:val="00DE24CF"/>
    <w:rsid w:val="00DE36D9"/>
    <w:rsid w:val="00DE4897"/>
    <w:rsid w:val="00DE5391"/>
    <w:rsid w:val="00DF070E"/>
    <w:rsid w:val="00DF128C"/>
    <w:rsid w:val="00DF236B"/>
    <w:rsid w:val="00DF5BCB"/>
    <w:rsid w:val="00E001F4"/>
    <w:rsid w:val="00E037E9"/>
    <w:rsid w:val="00E13C47"/>
    <w:rsid w:val="00E158AE"/>
    <w:rsid w:val="00E20B6A"/>
    <w:rsid w:val="00E223A2"/>
    <w:rsid w:val="00E2457E"/>
    <w:rsid w:val="00E37773"/>
    <w:rsid w:val="00E41CFD"/>
    <w:rsid w:val="00E42CB9"/>
    <w:rsid w:val="00E43180"/>
    <w:rsid w:val="00E45283"/>
    <w:rsid w:val="00E54BB8"/>
    <w:rsid w:val="00E563B7"/>
    <w:rsid w:val="00E60F32"/>
    <w:rsid w:val="00E61819"/>
    <w:rsid w:val="00E62987"/>
    <w:rsid w:val="00E71D4F"/>
    <w:rsid w:val="00E740CD"/>
    <w:rsid w:val="00E7485C"/>
    <w:rsid w:val="00E74BB4"/>
    <w:rsid w:val="00E77B7F"/>
    <w:rsid w:val="00E872CB"/>
    <w:rsid w:val="00E9123D"/>
    <w:rsid w:val="00E91667"/>
    <w:rsid w:val="00E95FEA"/>
    <w:rsid w:val="00E9726E"/>
    <w:rsid w:val="00EA19E9"/>
    <w:rsid w:val="00EA6CB4"/>
    <w:rsid w:val="00EA75F7"/>
    <w:rsid w:val="00EA7782"/>
    <w:rsid w:val="00EB01DA"/>
    <w:rsid w:val="00EB06EE"/>
    <w:rsid w:val="00EB475D"/>
    <w:rsid w:val="00EB4BEE"/>
    <w:rsid w:val="00EC6710"/>
    <w:rsid w:val="00EC75B4"/>
    <w:rsid w:val="00ED2737"/>
    <w:rsid w:val="00ED45B5"/>
    <w:rsid w:val="00ED4D22"/>
    <w:rsid w:val="00EE1FF2"/>
    <w:rsid w:val="00EE23CC"/>
    <w:rsid w:val="00EE56C6"/>
    <w:rsid w:val="00EE64BE"/>
    <w:rsid w:val="00EF194A"/>
    <w:rsid w:val="00EF1BB1"/>
    <w:rsid w:val="00EF207F"/>
    <w:rsid w:val="00EF6782"/>
    <w:rsid w:val="00F01BCE"/>
    <w:rsid w:val="00F01C5D"/>
    <w:rsid w:val="00F1066B"/>
    <w:rsid w:val="00F1558F"/>
    <w:rsid w:val="00F178A6"/>
    <w:rsid w:val="00F17A53"/>
    <w:rsid w:val="00F210F6"/>
    <w:rsid w:val="00F21837"/>
    <w:rsid w:val="00F21C45"/>
    <w:rsid w:val="00F223D5"/>
    <w:rsid w:val="00F26C4D"/>
    <w:rsid w:val="00F31607"/>
    <w:rsid w:val="00F32B9E"/>
    <w:rsid w:val="00F417FA"/>
    <w:rsid w:val="00F4262C"/>
    <w:rsid w:val="00F44E16"/>
    <w:rsid w:val="00F45E34"/>
    <w:rsid w:val="00F46B18"/>
    <w:rsid w:val="00F46EC5"/>
    <w:rsid w:val="00F503DD"/>
    <w:rsid w:val="00F52956"/>
    <w:rsid w:val="00F53A5A"/>
    <w:rsid w:val="00F54F89"/>
    <w:rsid w:val="00F6005E"/>
    <w:rsid w:val="00F60227"/>
    <w:rsid w:val="00F67CC0"/>
    <w:rsid w:val="00F82B64"/>
    <w:rsid w:val="00F84ACE"/>
    <w:rsid w:val="00F863B4"/>
    <w:rsid w:val="00F9065C"/>
    <w:rsid w:val="00F90D54"/>
    <w:rsid w:val="00F92090"/>
    <w:rsid w:val="00F963B0"/>
    <w:rsid w:val="00FA087B"/>
    <w:rsid w:val="00FB688A"/>
    <w:rsid w:val="00FC3D4E"/>
    <w:rsid w:val="00FC41EE"/>
    <w:rsid w:val="00FC6B03"/>
    <w:rsid w:val="00FD59FF"/>
    <w:rsid w:val="00FD65C7"/>
    <w:rsid w:val="00FD7A44"/>
    <w:rsid w:val="00FE2248"/>
    <w:rsid w:val="00FE2FFB"/>
    <w:rsid w:val="00FE7EB8"/>
    <w:rsid w:val="00FF0C77"/>
    <w:rsid w:val="00FF30B1"/>
    <w:rsid w:val="00FF5D1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704D"/>
  <w15:chartTrackingRefBased/>
  <w15:docId w15:val="{AE094EB4-70FC-4D78-8592-16D5E8A7D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Judgment Continued"/>
    <w:next w:val="JudgmentNumbered"/>
    <w:qFormat/>
    <w:rsid w:val="00794DCB"/>
    <w:pPr>
      <w:spacing w:after="240" w:line="360" w:lineRule="auto"/>
      <w:ind w:left="567"/>
      <w:jc w:val="both"/>
    </w:pPr>
    <w:rPr>
      <w:rFonts w:ascii="Arial" w:hAnsi="Arial"/>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udgmentNumbered">
    <w:name w:val="Judgment Numbered"/>
    <w:basedOn w:val="Normal"/>
    <w:link w:val="JudgmentNumberedChar"/>
    <w:qFormat/>
    <w:rsid w:val="009C08C0"/>
    <w:pPr>
      <w:numPr>
        <w:numId w:val="6"/>
      </w:numPr>
    </w:pPr>
    <w:rPr>
      <w:rFonts w:cs="Arial"/>
    </w:rPr>
  </w:style>
  <w:style w:type="paragraph" w:customStyle="1" w:styleId="JudgmentHeading">
    <w:name w:val="Judgment Heading"/>
    <w:basedOn w:val="JudgmentNumbered"/>
    <w:next w:val="JudgmentNumbered"/>
    <w:link w:val="JudgmentHeadingChar"/>
    <w:qFormat/>
    <w:rsid w:val="009C08C0"/>
    <w:pPr>
      <w:numPr>
        <w:numId w:val="0"/>
      </w:numPr>
    </w:pPr>
    <w:rPr>
      <w:i/>
    </w:rPr>
  </w:style>
  <w:style w:type="character" w:customStyle="1" w:styleId="JudgmentNumberedChar">
    <w:name w:val="Judgment Numbered Char"/>
    <w:basedOn w:val="DefaultParagraphFont"/>
    <w:link w:val="JudgmentNumbered"/>
    <w:rsid w:val="009C08C0"/>
    <w:rPr>
      <w:rFonts w:ascii="Arial" w:hAnsi="Arial" w:cs="Arial"/>
      <w:sz w:val="24"/>
      <w:lang w:val="en-GB"/>
    </w:rPr>
  </w:style>
  <w:style w:type="paragraph" w:customStyle="1" w:styleId="Normal1">
    <w:name w:val="Normal1"/>
    <w:basedOn w:val="Normal"/>
    <w:next w:val="JudgmentHeading"/>
    <w:link w:val="NORMALChar"/>
    <w:qFormat/>
    <w:rsid w:val="003B0BEA"/>
    <w:pPr>
      <w:spacing w:after="0" w:line="240" w:lineRule="auto"/>
      <w:ind w:left="0"/>
    </w:pPr>
  </w:style>
  <w:style w:type="character" w:customStyle="1" w:styleId="JudgmentHeadingChar">
    <w:name w:val="Judgment Heading Char"/>
    <w:basedOn w:val="JudgmentNumberedChar"/>
    <w:link w:val="JudgmentHeading"/>
    <w:rsid w:val="009C08C0"/>
    <w:rPr>
      <w:rFonts w:ascii="Arial" w:hAnsi="Arial" w:cs="Arial"/>
      <w:i/>
      <w:sz w:val="24"/>
      <w:lang w:val="en-GB"/>
    </w:rPr>
  </w:style>
  <w:style w:type="character" w:customStyle="1" w:styleId="NORMALChar">
    <w:name w:val="NORMAL Char"/>
    <w:basedOn w:val="DefaultParagraphFont"/>
    <w:link w:val="Normal1"/>
    <w:rsid w:val="003B0BEA"/>
    <w:rPr>
      <w:rFonts w:ascii="Arial" w:hAnsi="Arial"/>
      <w:sz w:val="24"/>
      <w:lang w:val="en-GB"/>
    </w:rPr>
  </w:style>
  <w:style w:type="paragraph" w:styleId="ListParagraph">
    <w:name w:val="List Paragraph"/>
    <w:basedOn w:val="Normal"/>
    <w:uiPriority w:val="34"/>
    <w:qFormat/>
    <w:rsid w:val="009829A2"/>
    <w:pPr>
      <w:ind w:left="720"/>
      <w:contextualSpacing/>
    </w:pPr>
  </w:style>
  <w:style w:type="paragraph" w:styleId="Header">
    <w:name w:val="header"/>
    <w:basedOn w:val="Normal"/>
    <w:link w:val="HeaderChar"/>
    <w:uiPriority w:val="99"/>
    <w:unhideWhenUsed/>
    <w:rsid w:val="0026133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33F"/>
    <w:rPr>
      <w:rFonts w:ascii="Arial" w:hAnsi="Arial"/>
      <w:sz w:val="24"/>
      <w:lang w:val="en-GB"/>
    </w:rPr>
  </w:style>
  <w:style w:type="paragraph" w:styleId="Footer">
    <w:name w:val="footer"/>
    <w:basedOn w:val="Normal"/>
    <w:link w:val="FooterChar"/>
    <w:uiPriority w:val="99"/>
    <w:unhideWhenUsed/>
    <w:rsid w:val="002613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33F"/>
    <w:rPr>
      <w:rFonts w:ascii="Arial" w:hAnsi="Arial"/>
      <w:sz w:val="24"/>
      <w:lang w:val="en-GB"/>
    </w:rPr>
  </w:style>
  <w:style w:type="character" w:styleId="Hyperlink">
    <w:name w:val="Hyperlink"/>
    <w:basedOn w:val="DefaultParagraphFont"/>
    <w:uiPriority w:val="99"/>
    <w:unhideWhenUsed/>
    <w:rsid w:val="003F1700"/>
    <w:rPr>
      <w:color w:val="0000FF"/>
      <w:u w:val="single"/>
    </w:rPr>
  </w:style>
  <w:style w:type="paragraph" w:styleId="FootnoteText">
    <w:name w:val="footnote text"/>
    <w:aliases w:val="Char Char,FOOTNOTES,fn,single space,Footnotes,Footnote ak,ft,fn cafc,ALTS FOOTNOTE Char,Footnote Text Char1 Char,Footnote Text Char Char Char,Footnote Text Char1 Char Char Char,Footnote Text Char Char Char Char Char,ALTS FOOTNOTE,Car"/>
    <w:basedOn w:val="Normal"/>
    <w:link w:val="FootnoteTextChar"/>
    <w:uiPriority w:val="99"/>
    <w:unhideWhenUsed/>
    <w:qFormat/>
    <w:rsid w:val="00DF236B"/>
    <w:pPr>
      <w:spacing w:after="0" w:line="240" w:lineRule="auto"/>
      <w:ind w:left="0"/>
      <w:jc w:val="left"/>
    </w:pPr>
    <w:rPr>
      <w:rFonts w:asciiTheme="minorHAnsi" w:hAnsiTheme="minorHAnsi"/>
      <w:sz w:val="20"/>
      <w:szCs w:val="20"/>
      <w:lang w:val="en-ZA"/>
    </w:rPr>
  </w:style>
  <w:style w:type="character" w:customStyle="1" w:styleId="FootnoteTextChar">
    <w:name w:val="Footnote Text Char"/>
    <w:aliases w:val="Char Char Char,FOOTNOTES Char,fn Char,single space Char,Footnotes Char,Footnote ak Char,ft Char,fn cafc Char,ALTS FOOTNOTE Char Char,Footnote Text Char1 Char Char,Footnote Text Char Char Char Char,ALTS FOOTNOTE Char1,Car Char"/>
    <w:basedOn w:val="DefaultParagraphFont"/>
    <w:link w:val="FootnoteText"/>
    <w:uiPriority w:val="99"/>
    <w:rsid w:val="00DF236B"/>
    <w:rPr>
      <w:sz w:val="20"/>
      <w:szCs w:val="20"/>
    </w:rPr>
  </w:style>
  <w:style w:type="character" w:styleId="FootnoteReference">
    <w:name w:val="footnote reference"/>
    <w:aliases w:val="(NECG) Footnote Reference,Footnote anchor,Footnotes refss,Ref,de nota al pie,註腳內容"/>
    <w:basedOn w:val="DefaultParagraphFont"/>
    <w:uiPriority w:val="99"/>
    <w:unhideWhenUsed/>
    <w:rsid w:val="00DF236B"/>
    <w:rPr>
      <w:vertAlign w:val="superscript"/>
    </w:rPr>
  </w:style>
  <w:style w:type="character" w:styleId="FollowedHyperlink">
    <w:name w:val="FollowedHyperlink"/>
    <w:basedOn w:val="DefaultParagraphFont"/>
    <w:uiPriority w:val="99"/>
    <w:semiHidden/>
    <w:unhideWhenUsed/>
    <w:rsid w:val="00C67F97"/>
    <w:rPr>
      <w:color w:val="954F72" w:themeColor="followedHyperlink"/>
      <w:u w:val="single"/>
    </w:rPr>
  </w:style>
  <w:style w:type="paragraph" w:customStyle="1" w:styleId="lrquote">
    <w:name w:val="lrquote"/>
    <w:basedOn w:val="Normal"/>
    <w:rsid w:val="00206180"/>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character" w:customStyle="1" w:styleId="mc">
    <w:name w:val="mc"/>
    <w:basedOn w:val="DefaultParagraphFont"/>
    <w:rsid w:val="00206180"/>
  </w:style>
  <w:style w:type="paragraph" w:customStyle="1" w:styleId="pageno">
    <w:name w:val="pageno"/>
    <w:basedOn w:val="Normal"/>
    <w:rsid w:val="00206180"/>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paragraph" w:customStyle="1" w:styleId="lrjudgecont">
    <w:name w:val="lrjudgecont"/>
    <w:basedOn w:val="Normal"/>
    <w:rsid w:val="00206180"/>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paragraph" w:customStyle="1" w:styleId="lrpara">
    <w:name w:val="lrpara"/>
    <w:basedOn w:val="Normal"/>
    <w:rsid w:val="003B79C7"/>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character" w:customStyle="1" w:styleId="footnoteanchor">
    <w:name w:val="footnoteanchor"/>
    <w:basedOn w:val="DefaultParagraphFont"/>
    <w:rsid w:val="003B79C7"/>
  </w:style>
  <w:style w:type="paragraph" w:styleId="NormalWeb">
    <w:name w:val="Normal (Web)"/>
    <w:basedOn w:val="Normal"/>
    <w:uiPriority w:val="99"/>
    <w:semiHidden/>
    <w:unhideWhenUsed/>
    <w:rsid w:val="00174099"/>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paragraph" w:customStyle="1" w:styleId="lrheadnote">
    <w:name w:val="lrheadnote"/>
    <w:basedOn w:val="Normal"/>
    <w:rsid w:val="00DB617D"/>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paragraph" w:customStyle="1" w:styleId="lrheadnotehang">
    <w:name w:val="lrheadnotehang"/>
    <w:basedOn w:val="Normal"/>
    <w:rsid w:val="00DB617D"/>
    <w:pPr>
      <w:spacing w:before="100" w:beforeAutospacing="1" w:after="100" w:afterAutospacing="1" w:line="240" w:lineRule="auto"/>
      <w:ind w:left="0"/>
      <w:jc w:val="left"/>
    </w:pPr>
    <w:rPr>
      <w:rFonts w:ascii="Times New Roman" w:eastAsia="Times New Roman" w:hAnsi="Times New Roman" w:cs="Times New Roman"/>
      <w:szCs w:val="24"/>
      <w:lang w:val="en-US"/>
    </w:rPr>
  </w:style>
  <w:style w:type="character" w:customStyle="1" w:styleId="UnresolvedMention">
    <w:name w:val="Unresolved Mention"/>
    <w:basedOn w:val="DefaultParagraphFont"/>
    <w:uiPriority w:val="99"/>
    <w:semiHidden/>
    <w:unhideWhenUsed/>
    <w:rsid w:val="00152F40"/>
    <w:rPr>
      <w:color w:val="605E5C"/>
      <w:shd w:val="clear" w:color="auto" w:fill="E1DFDD"/>
    </w:rPr>
  </w:style>
  <w:style w:type="paragraph" w:styleId="Revision">
    <w:name w:val="Revision"/>
    <w:hidden/>
    <w:uiPriority w:val="99"/>
    <w:semiHidden/>
    <w:rsid w:val="0082602D"/>
    <w:pPr>
      <w:spacing w:after="0" w:line="240" w:lineRule="auto"/>
    </w:pPr>
    <w:rPr>
      <w:rFonts w:ascii="Arial" w:hAnsi="Arial"/>
      <w:sz w:val="24"/>
      <w:lang w:val="en-GB"/>
    </w:rPr>
  </w:style>
  <w:style w:type="character" w:styleId="CommentReference">
    <w:name w:val="annotation reference"/>
    <w:basedOn w:val="DefaultParagraphFont"/>
    <w:uiPriority w:val="99"/>
    <w:semiHidden/>
    <w:unhideWhenUsed/>
    <w:rsid w:val="009B1690"/>
    <w:rPr>
      <w:sz w:val="16"/>
      <w:szCs w:val="16"/>
    </w:rPr>
  </w:style>
  <w:style w:type="paragraph" w:styleId="CommentText">
    <w:name w:val="annotation text"/>
    <w:basedOn w:val="Normal"/>
    <w:link w:val="CommentTextChar"/>
    <w:uiPriority w:val="99"/>
    <w:semiHidden/>
    <w:unhideWhenUsed/>
    <w:rsid w:val="009B1690"/>
    <w:pPr>
      <w:spacing w:line="240" w:lineRule="auto"/>
    </w:pPr>
    <w:rPr>
      <w:sz w:val="20"/>
      <w:szCs w:val="20"/>
    </w:rPr>
  </w:style>
  <w:style w:type="character" w:customStyle="1" w:styleId="CommentTextChar">
    <w:name w:val="Comment Text Char"/>
    <w:basedOn w:val="DefaultParagraphFont"/>
    <w:link w:val="CommentText"/>
    <w:uiPriority w:val="99"/>
    <w:semiHidden/>
    <w:rsid w:val="009B1690"/>
    <w:rPr>
      <w:rFonts w:ascii="Arial" w:hAnsi="Arial"/>
      <w:sz w:val="20"/>
      <w:szCs w:val="20"/>
      <w:lang w:val="en-GB"/>
    </w:rPr>
  </w:style>
  <w:style w:type="paragraph" w:styleId="CommentSubject">
    <w:name w:val="annotation subject"/>
    <w:basedOn w:val="CommentText"/>
    <w:next w:val="CommentText"/>
    <w:link w:val="CommentSubjectChar"/>
    <w:uiPriority w:val="99"/>
    <w:semiHidden/>
    <w:unhideWhenUsed/>
    <w:rsid w:val="009B1690"/>
    <w:rPr>
      <w:b/>
      <w:bCs/>
    </w:rPr>
  </w:style>
  <w:style w:type="character" w:customStyle="1" w:styleId="CommentSubjectChar">
    <w:name w:val="Comment Subject Char"/>
    <w:basedOn w:val="CommentTextChar"/>
    <w:link w:val="CommentSubject"/>
    <w:uiPriority w:val="99"/>
    <w:semiHidden/>
    <w:rsid w:val="009B1690"/>
    <w:rPr>
      <w:rFonts w:ascii="Arial" w:hAnsi="Arial"/>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34095">
      <w:bodyDiv w:val="1"/>
      <w:marLeft w:val="0"/>
      <w:marRight w:val="0"/>
      <w:marTop w:val="0"/>
      <w:marBottom w:val="0"/>
      <w:divBdr>
        <w:top w:val="none" w:sz="0" w:space="0" w:color="auto"/>
        <w:left w:val="none" w:sz="0" w:space="0" w:color="auto"/>
        <w:bottom w:val="none" w:sz="0" w:space="0" w:color="auto"/>
        <w:right w:val="none" w:sz="0" w:space="0" w:color="auto"/>
      </w:divBdr>
    </w:div>
    <w:div w:id="269895965">
      <w:bodyDiv w:val="1"/>
      <w:marLeft w:val="0"/>
      <w:marRight w:val="0"/>
      <w:marTop w:val="0"/>
      <w:marBottom w:val="0"/>
      <w:divBdr>
        <w:top w:val="none" w:sz="0" w:space="0" w:color="auto"/>
        <w:left w:val="none" w:sz="0" w:space="0" w:color="auto"/>
        <w:bottom w:val="none" w:sz="0" w:space="0" w:color="auto"/>
        <w:right w:val="none" w:sz="0" w:space="0" w:color="auto"/>
      </w:divBdr>
    </w:div>
    <w:div w:id="583341842">
      <w:bodyDiv w:val="1"/>
      <w:marLeft w:val="0"/>
      <w:marRight w:val="0"/>
      <w:marTop w:val="0"/>
      <w:marBottom w:val="0"/>
      <w:divBdr>
        <w:top w:val="none" w:sz="0" w:space="0" w:color="auto"/>
        <w:left w:val="none" w:sz="0" w:space="0" w:color="auto"/>
        <w:bottom w:val="none" w:sz="0" w:space="0" w:color="auto"/>
        <w:right w:val="none" w:sz="0" w:space="0" w:color="auto"/>
      </w:divBdr>
    </w:div>
    <w:div w:id="790710008">
      <w:bodyDiv w:val="1"/>
      <w:marLeft w:val="0"/>
      <w:marRight w:val="0"/>
      <w:marTop w:val="0"/>
      <w:marBottom w:val="0"/>
      <w:divBdr>
        <w:top w:val="none" w:sz="0" w:space="0" w:color="auto"/>
        <w:left w:val="none" w:sz="0" w:space="0" w:color="auto"/>
        <w:bottom w:val="none" w:sz="0" w:space="0" w:color="auto"/>
        <w:right w:val="none" w:sz="0" w:space="0" w:color="auto"/>
      </w:divBdr>
    </w:div>
    <w:div w:id="1306591570">
      <w:bodyDiv w:val="1"/>
      <w:marLeft w:val="0"/>
      <w:marRight w:val="0"/>
      <w:marTop w:val="0"/>
      <w:marBottom w:val="0"/>
      <w:divBdr>
        <w:top w:val="none" w:sz="0" w:space="0" w:color="auto"/>
        <w:left w:val="none" w:sz="0" w:space="0" w:color="auto"/>
        <w:bottom w:val="none" w:sz="0" w:space="0" w:color="auto"/>
        <w:right w:val="none" w:sz="0" w:space="0" w:color="auto"/>
      </w:divBdr>
    </w:div>
    <w:div w:id="1329869426">
      <w:bodyDiv w:val="1"/>
      <w:marLeft w:val="0"/>
      <w:marRight w:val="0"/>
      <w:marTop w:val="0"/>
      <w:marBottom w:val="0"/>
      <w:divBdr>
        <w:top w:val="none" w:sz="0" w:space="0" w:color="auto"/>
        <w:left w:val="none" w:sz="0" w:space="0" w:color="auto"/>
        <w:bottom w:val="none" w:sz="0" w:space="0" w:color="auto"/>
        <w:right w:val="none" w:sz="0" w:space="0" w:color="auto"/>
      </w:divBdr>
      <w:divsChild>
        <w:div w:id="1934589863">
          <w:marLeft w:val="0"/>
          <w:marRight w:val="0"/>
          <w:marTop w:val="120"/>
          <w:marBottom w:val="0"/>
          <w:divBdr>
            <w:top w:val="none" w:sz="0" w:space="0" w:color="auto"/>
            <w:left w:val="none" w:sz="0" w:space="0" w:color="auto"/>
            <w:bottom w:val="none" w:sz="0" w:space="0" w:color="auto"/>
            <w:right w:val="none" w:sz="0" w:space="0" w:color="auto"/>
          </w:divBdr>
        </w:div>
      </w:divsChild>
    </w:div>
    <w:div w:id="1409422691">
      <w:bodyDiv w:val="1"/>
      <w:marLeft w:val="0"/>
      <w:marRight w:val="0"/>
      <w:marTop w:val="0"/>
      <w:marBottom w:val="0"/>
      <w:divBdr>
        <w:top w:val="none" w:sz="0" w:space="0" w:color="auto"/>
        <w:left w:val="none" w:sz="0" w:space="0" w:color="auto"/>
        <w:bottom w:val="none" w:sz="0" w:space="0" w:color="auto"/>
        <w:right w:val="none" w:sz="0" w:space="0" w:color="auto"/>
      </w:divBdr>
    </w:div>
    <w:div w:id="1589727445">
      <w:bodyDiv w:val="1"/>
      <w:marLeft w:val="0"/>
      <w:marRight w:val="0"/>
      <w:marTop w:val="0"/>
      <w:marBottom w:val="0"/>
      <w:divBdr>
        <w:top w:val="none" w:sz="0" w:space="0" w:color="auto"/>
        <w:left w:val="none" w:sz="0" w:space="0" w:color="auto"/>
        <w:bottom w:val="none" w:sz="0" w:space="0" w:color="auto"/>
        <w:right w:val="none" w:sz="0" w:space="0" w:color="auto"/>
      </w:divBdr>
    </w:div>
    <w:div w:id="1678534126">
      <w:bodyDiv w:val="1"/>
      <w:marLeft w:val="0"/>
      <w:marRight w:val="0"/>
      <w:marTop w:val="0"/>
      <w:marBottom w:val="0"/>
      <w:divBdr>
        <w:top w:val="none" w:sz="0" w:space="0" w:color="auto"/>
        <w:left w:val="none" w:sz="0" w:space="0" w:color="auto"/>
        <w:bottom w:val="none" w:sz="0" w:space="0" w:color="auto"/>
        <w:right w:val="none" w:sz="0" w:space="0" w:color="auto"/>
      </w:divBdr>
    </w:div>
    <w:div w:id="1778674088">
      <w:bodyDiv w:val="1"/>
      <w:marLeft w:val="0"/>
      <w:marRight w:val="0"/>
      <w:marTop w:val="0"/>
      <w:marBottom w:val="0"/>
      <w:divBdr>
        <w:top w:val="none" w:sz="0" w:space="0" w:color="auto"/>
        <w:left w:val="none" w:sz="0" w:space="0" w:color="auto"/>
        <w:bottom w:val="none" w:sz="0" w:space="0" w:color="auto"/>
        <w:right w:val="none" w:sz="0" w:space="0" w:color="auto"/>
      </w:divBdr>
    </w:div>
    <w:div w:id="1804424045">
      <w:bodyDiv w:val="1"/>
      <w:marLeft w:val="0"/>
      <w:marRight w:val="0"/>
      <w:marTop w:val="0"/>
      <w:marBottom w:val="0"/>
      <w:divBdr>
        <w:top w:val="none" w:sz="0" w:space="0" w:color="auto"/>
        <w:left w:val="none" w:sz="0" w:space="0" w:color="auto"/>
        <w:bottom w:val="none" w:sz="0" w:space="0" w:color="auto"/>
        <w:right w:val="none" w:sz="0" w:space="0" w:color="auto"/>
      </w:divBdr>
      <w:divsChild>
        <w:div w:id="1073815383">
          <w:marLeft w:val="0"/>
          <w:marRight w:val="0"/>
          <w:marTop w:val="120"/>
          <w:marBottom w:val="0"/>
          <w:divBdr>
            <w:top w:val="none" w:sz="0" w:space="0" w:color="auto"/>
            <w:left w:val="none" w:sz="0" w:space="0" w:color="auto"/>
            <w:bottom w:val="none" w:sz="0" w:space="0" w:color="auto"/>
            <w:right w:val="none" w:sz="0" w:space="0" w:color="auto"/>
          </w:divBdr>
        </w:div>
        <w:div w:id="1574045127">
          <w:marLeft w:val="0"/>
          <w:marRight w:val="0"/>
          <w:marTop w:val="120"/>
          <w:marBottom w:val="0"/>
          <w:divBdr>
            <w:top w:val="none" w:sz="0" w:space="0" w:color="auto"/>
            <w:left w:val="none" w:sz="0" w:space="0" w:color="auto"/>
            <w:bottom w:val="none" w:sz="0" w:space="0" w:color="auto"/>
            <w:right w:val="none" w:sz="0" w:space="0" w:color="auto"/>
          </w:divBdr>
        </w:div>
        <w:div w:id="920261354">
          <w:marLeft w:val="567"/>
          <w:marRight w:val="0"/>
          <w:marTop w:val="60"/>
          <w:marBottom w:val="0"/>
          <w:divBdr>
            <w:top w:val="none" w:sz="0" w:space="0" w:color="auto"/>
            <w:left w:val="none" w:sz="0" w:space="0" w:color="auto"/>
            <w:bottom w:val="none" w:sz="0" w:space="0" w:color="auto"/>
            <w:right w:val="none" w:sz="0" w:space="0" w:color="auto"/>
          </w:divBdr>
        </w:div>
        <w:div w:id="728190944">
          <w:marLeft w:val="1134"/>
          <w:marRight w:val="0"/>
          <w:marTop w:val="60"/>
          <w:marBottom w:val="0"/>
          <w:divBdr>
            <w:top w:val="none" w:sz="0" w:space="0" w:color="auto"/>
            <w:left w:val="none" w:sz="0" w:space="0" w:color="auto"/>
            <w:bottom w:val="none" w:sz="0" w:space="0" w:color="auto"/>
            <w:right w:val="none" w:sz="0" w:space="0" w:color="auto"/>
          </w:divBdr>
        </w:div>
        <w:div w:id="1536693434">
          <w:marLeft w:val="1134"/>
          <w:marRight w:val="0"/>
          <w:marTop w:val="60"/>
          <w:marBottom w:val="0"/>
          <w:divBdr>
            <w:top w:val="none" w:sz="0" w:space="0" w:color="auto"/>
            <w:left w:val="none" w:sz="0" w:space="0" w:color="auto"/>
            <w:bottom w:val="none" w:sz="0" w:space="0" w:color="auto"/>
            <w:right w:val="none" w:sz="0" w:space="0" w:color="auto"/>
          </w:divBdr>
        </w:div>
        <w:div w:id="708915087">
          <w:marLeft w:val="1134"/>
          <w:marRight w:val="0"/>
          <w:marTop w:val="60"/>
          <w:marBottom w:val="0"/>
          <w:divBdr>
            <w:top w:val="none" w:sz="0" w:space="0" w:color="auto"/>
            <w:left w:val="none" w:sz="0" w:space="0" w:color="auto"/>
            <w:bottom w:val="none" w:sz="0" w:space="0" w:color="auto"/>
            <w:right w:val="none" w:sz="0" w:space="0" w:color="auto"/>
          </w:divBdr>
        </w:div>
        <w:div w:id="477694538">
          <w:marLeft w:val="1134"/>
          <w:marRight w:val="0"/>
          <w:marTop w:val="60"/>
          <w:marBottom w:val="0"/>
          <w:divBdr>
            <w:top w:val="none" w:sz="0" w:space="0" w:color="auto"/>
            <w:left w:val="none" w:sz="0" w:space="0" w:color="auto"/>
            <w:bottom w:val="none" w:sz="0" w:space="0" w:color="auto"/>
            <w:right w:val="none" w:sz="0" w:space="0" w:color="auto"/>
          </w:divBdr>
        </w:div>
        <w:div w:id="1421027991">
          <w:marLeft w:val="1134"/>
          <w:marRight w:val="0"/>
          <w:marTop w:val="60"/>
          <w:marBottom w:val="0"/>
          <w:divBdr>
            <w:top w:val="none" w:sz="0" w:space="0" w:color="auto"/>
            <w:left w:val="none" w:sz="0" w:space="0" w:color="auto"/>
            <w:bottom w:val="none" w:sz="0" w:space="0" w:color="auto"/>
            <w:right w:val="none" w:sz="0" w:space="0" w:color="auto"/>
          </w:divBdr>
        </w:div>
        <w:div w:id="142041946">
          <w:marLeft w:val="1134"/>
          <w:marRight w:val="0"/>
          <w:marTop w:val="60"/>
          <w:marBottom w:val="0"/>
          <w:divBdr>
            <w:top w:val="none" w:sz="0" w:space="0" w:color="auto"/>
            <w:left w:val="none" w:sz="0" w:space="0" w:color="auto"/>
            <w:bottom w:val="none" w:sz="0" w:space="0" w:color="auto"/>
            <w:right w:val="none" w:sz="0" w:space="0" w:color="auto"/>
          </w:divBdr>
        </w:div>
        <w:div w:id="247009617">
          <w:marLeft w:val="1134"/>
          <w:marRight w:val="0"/>
          <w:marTop w:val="60"/>
          <w:marBottom w:val="0"/>
          <w:divBdr>
            <w:top w:val="none" w:sz="0" w:space="0" w:color="auto"/>
            <w:left w:val="none" w:sz="0" w:space="0" w:color="auto"/>
            <w:bottom w:val="none" w:sz="0" w:space="0" w:color="auto"/>
            <w:right w:val="none" w:sz="0" w:space="0" w:color="auto"/>
          </w:divBdr>
        </w:div>
        <w:div w:id="1295720472">
          <w:marLeft w:val="1134"/>
          <w:marRight w:val="0"/>
          <w:marTop w:val="60"/>
          <w:marBottom w:val="0"/>
          <w:divBdr>
            <w:top w:val="none" w:sz="0" w:space="0" w:color="auto"/>
            <w:left w:val="none" w:sz="0" w:space="0" w:color="auto"/>
            <w:bottom w:val="none" w:sz="0" w:space="0" w:color="auto"/>
            <w:right w:val="none" w:sz="0" w:space="0" w:color="auto"/>
          </w:divBdr>
        </w:div>
        <w:div w:id="1004867404">
          <w:marLeft w:val="0"/>
          <w:marRight w:val="0"/>
          <w:marTop w:val="180"/>
          <w:marBottom w:val="60"/>
          <w:divBdr>
            <w:top w:val="single" w:sz="8" w:space="1" w:color="808080"/>
            <w:left w:val="none" w:sz="0" w:space="0" w:color="auto"/>
            <w:bottom w:val="none" w:sz="0" w:space="0" w:color="auto"/>
            <w:right w:val="none" w:sz="0" w:space="0" w:color="auto"/>
          </w:divBdr>
        </w:div>
        <w:div w:id="1941789760">
          <w:marLeft w:val="1134"/>
          <w:marRight w:val="0"/>
          <w:marTop w:val="60"/>
          <w:marBottom w:val="0"/>
          <w:divBdr>
            <w:top w:val="none" w:sz="0" w:space="0" w:color="auto"/>
            <w:left w:val="none" w:sz="0" w:space="0" w:color="auto"/>
            <w:bottom w:val="none" w:sz="0" w:space="0" w:color="auto"/>
            <w:right w:val="none" w:sz="0" w:space="0" w:color="auto"/>
          </w:divBdr>
        </w:div>
        <w:div w:id="414739998">
          <w:marLeft w:val="1134"/>
          <w:marRight w:val="0"/>
          <w:marTop w:val="60"/>
          <w:marBottom w:val="0"/>
          <w:divBdr>
            <w:top w:val="none" w:sz="0" w:space="0" w:color="auto"/>
            <w:left w:val="none" w:sz="0" w:space="0" w:color="auto"/>
            <w:bottom w:val="none" w:sz="0" w:space="0" w:color="auto"/>
            <w:right w:val="none" w:sz="0" w:space="0" w:color="auto"/>
          </w:divBdr>
        </w:div>
        <w:div w:id="711732223">
          <w:marLeft w:val="1134"/>
          <w:marRight w:val="0"/>
          <w:marTop w:val="60"/>
          <w:marBottom w:val="0"/>
          <w:divBdr>
            <w:top w:val="none" w:sz="0" w:space="0" w:color="auto"/>
            <w:left w:val="none" w:sz="0" w:space="0" w:color="auto"/>
            <w:bottom w:val="none" w:sz="0" w:space="0" w:color="auto"/>
            <w:right w:val="none" w:sz="0" w:space="0" w:color="auto"/>
          </w:divBdr>
        </w:div>
      </w:divsChild>
    </w:div>
    <w:div w:id="1998262893">
      <w:bodyDiv w:val="1"/>
      <w:marLeft w:val="0"/>
      <w:marRight w:val="0"/>
      <w:marTop w:val="0"/>
      <w:marBottom w:val="0"/>
      <w:divBdr>
        <w:top w:val="none" w:sz="0" w:space="0" w:color="auto"/>
        <w:left w:val="none" w:sz="0" w:space="0" w:color="auto"/>
        <w:bottom w:val="none" w:sz="0" w:space="0" w:color="auto"/>
        <w:right w:val="none" w:sz="0" w:space="0" w:color="auto"/>
      </w:divBdr>
      <w:divsChild>
        <w:div w:id="1947492654">
          <w:marLeft w:val="0"/>
          <w:marRight w:val="0"/>
          <w:marTop w:val="240"/>
          <w:marBottom w:val="0"/>
          <w:divBdr>
            <w:top w:val="none" w:sz="0" w:space="0" w:color="auto"/>
            <w:left w:val="none" w:sz="0" w:space="0" w:color="auto"/>
            <w:bottom w:val="none" w:sz="0" w:space="0" w:color="auto"/>
            <w:right w:val="none" w:sz="0" w:space="0" w:color="auto"/>
          </w:divBdr>
        </w:div>
        <w:div w:id="1124931452">
          <w:marLeft w:val="0"/>
          <w:marRight w:val="0"/>
          <w:marTop w:val="120"/>
          <w:marBottom w:val="0"/>
          <w:divBdr>
            <w:top w:val="none" w:sz="0" w:space="0" w:color="auto"/>
            <w:left w:val="none" w:sz="0" w:space="0" w:color="auto"/>
            <w:bottom w:val="none" w:sz="0" w:space="0" w:color="auto"/>
            <w:right w:val="none" w:sz="0" w:space="0" w:color="auto"/>
          </w:divBdr>
        </w:div>
      </w:divsChild>
    </w:div>
    <w:div w:id="2133132767">
      <w:bodyDiv w:val="1"/>
      <w:marLeft w:val="0"/>
      <w:marRight w:val="0"/>
      <w:marTop w:val="0"/>
      <w:marBottom w:val="0"/>
      <w:divBdr>
        <w:top w:val="none" w:sz="0" w:space="0" w:color="auto"/>
        <w:left w:val="none" w:sz="0" w:space="0" w:color="auto"/>
        <w:bottom w:val="none" w:sz="0" w:space="0" w:color="auto"/>
        <w:right w:val="none" w:sz="0" w:space="0" w:color="auto"/>
      </w:divBdr>
      <w:divsChild>
        <w:div w:id="482619676">
          <w:marLeft w:val="0"/>
          <w:marRight w:val="0"/>
          <w:marTop w:val="120"/>
          <w:marBottom w:val="0"/>
          <w:divBdr>
            <w:top w:val="none" w:sz="0" w:space="0" w:color="auto"/>
            <w:left w:val="none" w:sz="0" w:space="0" w:color="auto"/>
            <w:bottom w:val="none" w:sz="0" w:space="0" w:color="auto"/>
            <w:right w:val="none" w:sz="0" w:space="0" w:color="auto"/>
          </w:divBdr>
        </w:div>
        <w:div w:id="432021435">
          <w:marLeft w:val="1134"/>
          <w:marRight w:val="0"/>
          <w:marTop w:val="60"/>
          <w:marBottom w:val="0"/>
          <w:divBdr>
            <w:top w:val="none" w:sz="0" w:space="0" w:color="auto"/>
            <w:left w:val="none" w:sz="0" w:space="0" w:color="auto"/>
            <w:bottom w:val="none" w:sz="0" w:space="0" w:color="auto"/>
            <w:right w:val="none" w:sz="0" w:space="0" w:color="auto"/>
          </w:divBdr>
        </w:div>
        <w:div w:id="1804077335">
          <w:marLeft w:val="1134"/>
          <w:marRight w:val="0"/>
          <w:marTop w:val="60"/>
          <w:marBottom w:val="0"/>
          <w:divBdr>
            <w:top w:val="none" w:sz="0" w:space="0" w:color="auto"/>
            <w:left w:val="none" w:sz="0" w:space="0" w:color="auto"/>
            <w:bottom w:val="none" w:sz="0" w:space="0" w:color="auto"/>
            <w:right w:val="none" w:sz="0" w:space="0" w:color="auto"/>
          </w:divBdr>
        </w:div>
        <w:div w:id="939683509">
          <w:marLeft w:val="1134"/>
          <w:marRight w:val="0"/>
          <w:marTop w:val="60"/>
          <w:marBottom w:val="0"/>
          <w:divBdr>
            <w:top w:val="none" w:sz="0" w:space="0" w:color="auto"/>
            <w:left w:val="none" w:sz="0" w:space="0" w:color="auto"/>
            <w:bottom w:val="none" w:sz="0" w:space="0" w:color="auto"/>
            <w:right w:val="none" w:sz="0" w:space="0" w:color="auto"/>
          </w:divBdr>
        </w:div>
        <w:div w:id="1319337085">
          <w:marLeft w:val="1644"/>
          <w:marRight w:val="0"/>
          <w:marTop w:val="40"/>
          <w:marBottom w:val="0"/>
          <w:divBdr>
            <w:top w:val="none" w:sz="0" w:space="0" w:color="auto"/>
            <w:left w:val="none" w:sz="0" w:space="0" w:color="auto"/>
            <w:bottom w:val="none" w:sz="0" w:space="0" w:color="auto"/>
            <w:right w:val="none" w:sz="0" w:space="0" w:color="auto"/>
          </w:divBdr>
        </w:div>
        <w:div w:id="2023244006">
          <w:marLeft w:val="1644"/>
          <w:marRight w:val="0"/>
          <w:marTop w:val="40"/>
          <w:marBottom w:val="0"/>
          <w:divBdr>
            <w:top w:val="none" w:sz="0" w:space="0" w:color="auto"/>
            <w:left w:val="none" w:sz="0" w:space="0" w:color="auto"/>
            <w:bottom w:val="none" w:sz="0" w:space="0" w:color="auto"/>
            <w:right w:val="none" w:sz="0" w:space="0" w:color="auto"/>
          </w:divBdr>
        </w:div>
        <w:div w:id="1270507443">
          <w:marLeft w:val="1134"/>
          <w:marRight w:val="0"/>
          <w:marTop w:val="60"/>
          <w:marBottom w:val="0"/>
          <w:divBdr>
            <w:top w:val="none" w:sz="0" w:space="0" w:color="auto"/>
            <w:left w:val="none" w:sz="0" w:space="0" w:color="auto"/>
            <w:bottom w:val="none" w:sz="0" w:space="0" w:color="auto"/>
            <w:right w:val="none" w:sz="0" w:space="0" w:color="auto"/>
          </w:divBdr>
        </w:div>
        <w:div w:id="1827471787">
          <w:marLeft w:val="1134"/>
          <w:marRight w:val="0"/>
          <w:marTop w:val="6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png@01D102A3.6AE54470"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www.mylexisnexis.co.za/Index.aspx%20on%203%20March%202021" TargetMode="External"/><Relationship Id="rId1" Type="http://schemas.openxmlformats.org/officeDocument/2006/relationships/hyperlink" Target="https://app.jutastatevolve.co.za/y1980v2SApg843"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CRamaube\Documents\High%20Court%20Judg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High Court Judgment Template</Template>
  <TotalTime>0</TotalTime>
  <Pages>11</Pages>
  <Words>2563</Words>
  <Characters>14615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17144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CHRISTIAAN BESTER</dc:creator>
  <cp:keywords/>
  <dc:description/>
  <cp:lastModifiedBy>Tshwarelo Mabina</cp:lastModifiedBy>
  <cp:revision>2</cp:revision>
  <cp:lastPrinted>2023-11-27T07:29:00Z</cp:lastPrinted>
  <dcterms:created xsi:type="dcterms:W3CDTF">2023-11-27T10:58:00Z</dcterms:created>
  <dcterms:modified xsi:type="dcterms:W3CDTF">2023-11-27T10:58:00Z</dcterms:modified>
</cp:coreProperties>
</file>