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6E4F" w14:textId="295A361F" w:rsidR="00075863" w:rsidRPr="00075863" w:rsidRDefault="00075863" w:rsidP="00075863">
      <w:pPr>
        <w:rPr>
          <w:color w:val="FF0000"/>
          <w:u w:val="single"/>
        </w:rPr>
      </w:pPr>
      <w:r>
        <w:rPr>
          <w:rFonts w:ascii="Arial" w:hAnsi="Arial" w:cs="Arial"/>
          <w:color w:val="FF0000"/>
        </w:rPr>
        <w:t>Editorial note: Certain information has been redacted from this judgment in compliance with the law.</w:t>
      </w:r>
    </w:p>
    <w:p w14:paraId="2604507A" w14:textId="16206E69" w:rsidR="00683E6B" w:rsidRP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REPUBLIC OF SOUTH AFRICA</w:t>
      </w:r>
    </w:p>
    <w:p w14:paraId="0E902786" w14:textId="77777777" w:rsidR="00683E6B" w:rsidRPr="00683E6B" w:rsidRDefault="00683E6B" w:rsidP="00683E6B">
      <w:pPr>
        <w:jc w:val="center"/>
        <w:rPr>
          <w:rFonts w:ascii="Arial" w:hAnsi="Arial" w:cs="Arial"/>
          <w:b/>
          <w:sz w:val="24"/>
          <w:szCs w:val="24"/>
          <w:lang w:eastAsia="en-GB"/>
        </w:rPr>
      </w:pPr>
    </w:p>
    <w:p w14:paraId="4B48F2EE" w14:textId="77777777" w:rsidR="00683E6B" w:rsidRPr="00683E6B" w:rsidRDefault="00683E6B" w:rsidP="00683E6B">
      <w:pPr>
        <w:jc w:val="center"/>
        <w:rPr>
          <w:rFonts w:ascii="Arial" w:hAnsi="Arial" w:cs="Arial"/>
          <w:b/>
          <w:sz w:val="24"/>
          <w:szCs w:val="24"/>
          <w:lang w:eastAsia="en-GB"/>
        </w:rPr>
      </w:pPr>
      <w:r w:rsidRPr="00683E6B">
        <w:rPr>
          <w:rFonts w:ascii="Arial" w:hAnsi="Arial" w:cs="Arial"/>
          <w:b/>
          <w:noProof/>
          <w:sz w:val="24"/>
          <w:szCs w:val="24"/>
          <w:lang w:eastAsia="en-ZA"/>
        </w:rPr>
        <w:drawing>
          <wp:inline distT="0" distB="0" distL="0" distR="0" wp14:anchorId="7C640F80" wp14:editId="25B3ACC2">
            <wp:extent cx="1350645" cy="1350645"/>
            <wp:effectExtent l="0" t="0" r="1905" b="1905"/>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89C7797" w14:textId="77777777" w:rsidR="00683E6B" w:rsidRP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IN THE HIGH COURT OF SOUTH AFRICA</w:t>
      </w:r>
    </w:p>
    <w:p w14:paraId="0CA44AC7" w14:textId="77777777" w:rsid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GAUTENG DIVISION, JOHANNESBURG</w:t>
      </w:r>
    </w:p>
    <w:p w14:paraId="15D56440" w14:textId="333073F1" w:rsidR="00683E6B" w:rsidRPr="00683E6B" w:rsidRDefault="002C7BD0" w:rsidP="00683E6B">
      <w:pPr>
        <w:spacing w:before="240"/>
        <w:jc w:val="right"/>
        <w:rPr>
          <w:rFonts w:ascii="Arial" w:hAnsi="Arial" w:cs="Arial"/>
          <w:b/>
          <w:sz w:val="24"/>
          <w:szCs w:val="24"/>
        </w:rPr>
      </w:pPr>
      <w:r w:rsidRPr="00683E6B">
        <w:rPr>
          <w:rFonts w:ascii="Arial" w:hAnsi="Arial" w:cs="Arial"/>
          <w:b/>
          <w:noProof/>
          <w:sz w:val="24"/>
          <w:szCs w:val="24"/>
          <w:lang w:eastAsia="en-ZA"/>
        </w:rPr>
        <mc:AlternateContent>
          <mc:Choice Requires="wps">
            <w:drawing>
              <wp:anchor distT="0" distB="0" distL="114300" distR="114300" simplePos="0" relativeHeight="251658752" behindDoc="0" locked="0" layoutInCell="1" allowOverlap="1" wp14:anchorId="78F74519" wp14:editId="50300DD1">
                <wp:simplePos x="0" y="0"/>
                <wp:positionH relativeFrom="margin">
                  <wp:posOffset>-104775</wp:posOffset>
                </wp:positionH>
                <wp:positionV relativeFrom="paragraph">
                  <wp:posOffset>340995</wp:posOffset>
                </wp:positionV>
                <wp:extent cx="3209925" cy="1924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24050"/>
                        </a:xfrm>
                        <a:prstGeom prst="rect">
                          <a:avLst/>
                        </a:prstGeom>
                        <a:solidFill>
                          <a:srgbClr val="FFFFFF"/>
                        </a:solidFill>
                        <a:ln w="9525">
                          <a:solidFill>
                            <a:srgbClr val="000000"/>
                          </a:solidFill>
                          <a:miter lim="800000"/>
                          <a:headEnd/>
                          <a:tailEnd/>
                        </a:ln>
                      </wps:spPr>
                      <wps:txbx>
                        <w:txbxContent>
                          <w:p w14:paraId="63A1A5BE" w14:textId="77777777" w:rsidR="00683E6B" w:rsidRDefault="00683E6B" w:rsidP="00683E6B">
                            <w:pPr>
                              <w:jc w:val="center"/>
                              <w:rPr>
                                <w:rFonts w:ascii="Century Gothic" w:hAnsi="Century Gothic"/>
                                <w:b/>
                                <w:sz w:val="20"/>
                                <w:szCs w:val="20"/>
                              </w:rPr>
                            </w:pPr>
                          </w:p>
                          <w:p w14:paraId="4B605626" w14:textId="77777777"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REPORTABLE: NO</w:t>
                            </w:r>
                          </w:p>
                          <w:p w14:paraId="49D5BE67" w14:textId="77777777"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NO</w:t>
                            </w:r>
                          </w:p>
                          <w:p w14:paraId="27F66404" w14:textId="64DE4BB3"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REVISED: YES</w:t>
                            </w:r>
                          </w:p>
                          <w:p w14:paraId="3267A4D4" w14:textId="77777777" w:rsidR="00683E6B" w:rsidRDefault="00683E6B" w:rsidP="00683E6B">
                            <w:pPr>
                              <w:rPr>
                                <w:rFonts w:ascii="Century Gothic" w:hAnsi="Century Gothic"/>
                                <w:sz w:val="20"/>
                                <w:szCs w:val="20"/>
                              </w:rPr>
                            </w:pPr>
                          </w:p>
                          <w:p w14:paraId="4D2B1568" w14:textId="41FD8883" w:rsidR="00683E6B" w:rsidRDefault="008819C0" w:rsidP="00683E6B">
                            <w:pPr>
                              <w:ind w:firstLine="180"/>
                              <w:rPr>
                                <w:rFonts w:ascii="Century Gothic" w:hAnsi="Century Gothic"/>
                                <w:sz w:val="20"/>
                                <w:szCs w:val="20"/>
                              </w:rPr>
                            </w:pPr>
                            <w:r>
                              <w:rPr>
                                <w:rFonts w:ascii="Century Gothic" w:hAnsi="Century Gothic"/>
                                <w:sz w:val="20"/>
                                <w:szCs w:val="20"/>
                              </w:rPr>
                              <w:t>1</w:t>
                            </w:r>
                            <w:r w:rsidR="00D832B8">
                              <w:rPr>
                                <w:rFonts w:ascii="Century Gothic" w:hAnsi="Century Gothic"/>
                                <w:sz w:val="20"/>
                                <w:szCs w:val="20"/>
                              </w:rPr>
                              <w:t>5</w:t>
                            </w:r>
                            <w:r>
                              <w:rPr>
                                <w:rFonts w:ascii="Century Gothic" w:hAnsi="Century Gothic"/>
                                <w:sz w:val="20"/>
                                <w:szCs w:val="20"/>
                              </w:rPr>
                              <w:t xml:space="preserve"> November 2023</w:t>
                            </w:r>
                            <w:r w:rsidR="00C9728C">
                              <w:rPr>
                                <w:rFonts w:ascii="Century Gothic" w:hAnsi="Century Gothic"/>
                                <w:sz w:val="20"/>
                                <w:szCs w:val="20"/>
                              </w:rPr>
                              <w:tab/>
                            </w:r>
                            <w:r w:rsidR="00C9728C">
                              <w:rPr>
                                <w:rFonts w:ascii="Century Gothic" w:hAnsi="Century Gothic"/>
                                <w:sz w:val="20"/>
                                <w:szCs w:val="20"/>
                              </w:rPr>
                              <w:tab/>
                            </w:r>
                          </w:p>
                          <w:p w14:paraId="08E1200F" w14:textId="774601C4" w:rsidR="00683E6B" w:rsidRDefault="00683E6B" w:rsidP="00683E6B">
                            <w:pPr>
                              <w:ind w:firstLine="180"/>
                              <w:rPr>
                                <w:rFonts w:ascii="Century Gothic" w:hAnsi="Century Gothic"/>
                                <w:sz w:val="20"/>
                                <w:szCs w:val="20"/>
                              </w:rPr>
                            </w:pPr>
                            <w:r>
                              <w:rPr>
                                <w:rFonts w:ascii="Century Gothic" w:hAnsi="Century Gothic"/>
                                <w:sz w:val="20"/>
                                <w:szCs w:val="20"/>
                              </w:rPr>
                              <w:t xml:space="preserve"> 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819C0">
                              <w:rPr>
                                <w:rFonts w:ascii="Century Gothic" w:hAnsi="Century Gothic"/>
                                <w:sz w:val="20"/>
                                <w:szCs w:val="20"/>
                              </w:rPr>
                              <w:t>Signature</w:t>
                            </w:r>
                            <w:r>
                              <w:rPr>
                                <w:rFonts w:ascii="Century Gothic" w:hAnsi="Century Gothic"/>
                                <w:sz w:val="20"/>
                                <w:szCs w:val="20"/>
                              </w:rPr>
                              <w:t xml:space="preserve"> </w:t>
                            </w:r>
                          </w:p>
                          <w:p w14:paraId="3F979ACB" w14:textId="2C04798E" w:rsidR="00683E6B" w:rsidRDefault="00683E6B" w:rsidP="00683E6B">
                            <w:pPr>
                              <w:ind w:firstLine="180"/>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4519" id="_x0000_t202" coordsize="21600,21600" o:spt="202" path="m,l,21600r21600,l21600,xe">
                <v:stroke joinstyle="miter"/>
                <v:path gradientshapeok="t" o:connecttype="rect"/>
              </v:shapetype>
              <v:shape id="Text Box 2" o:spid="_x0000_s1026" type="#_x0000_t202" style="position:absolute;left:0;text-align:left;margin-left:-8.25pt;margin-top:26.85pt;width:252.75pt;height:1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">
                <v:textbox>
                  <w:txbxContent>
                    <w:p w14:paraId="63A1A5BE" w14:textId="77777777" w:rsidR="00683E6B" w:rsidRDefault="00683E6B" w:rsidP="00683E6B">
                      <w:pPr>
                        <w:jc w:val="center"/>
                        <w:rPr>
                          <w:rFonts w:ascii="Century Gothic" w:hAnsi="Century Gothic"/>
                          <w:b/>
                          <w:sz w:val="20"/>
                          <w:szCs w:val="20"/>
                        </w:rPr>
                      </w:pPr>
                    </w:p>
                    <w:p w14:paraId="4B605626" w14:textId="77777777"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REPORTABLE: NO</w:t>
                      </w:r>
                    </w:p>
                    <w:p w14:paraId="49D5BE67" w14:textId="77777777"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NO</w:t>
                      </w:r>
                    </w:p>
                    <w:p w14:paraId="27F66404" w14:textId="64DE4BB3" w:rsidR="00683E6B" w:rsidRDefault="00683E6B" w:rsidP="00683E6B">
                      <w:pPr>
                        <w:numPr>
                          <w:ilvl w:val="0"/>
                          <w:numId w:val="9"/>
                        </w:numPr>
                        <w:spacing w:after="0" w:line="240" w:lineRule="auto"/>
                        <w:rPr>
                          <w:rFonts w:ascii="Century Gothic" w:hAnsi="Century Gothic"/>
                          <w:sz w:val="20"/>
                          <w:szCs w:val="20"/>
                        </w:rPr>
                      </w:pPr>
                      <w:r>
                        <w:rPr>
                          <w:rFonts w:ascii="Century Gothic" w:hAnsi="Century Gothic"/>
                          <w:sz w:val="20"/>
                          <w:szCs w:val="20"/>
                        </w:rPr>
                        <w:t>REVISED: YES</w:t>
                      </w:r>
                    </w:p>
                    <w:p w14:paraId="3267A4D4" w14:textId="77777777" w:rsidR="00683E6B" w:rsidRDefault="00683E6B" w:rsidP="00683E6B">
                      <w:pPr>
                        <w:rPr>
                          <w:rFonts w:ascii="Century Gothic" w:hAnsi="Century Gothic"/>
                          <w:sz w:val="20"/>
                          <w:szCs w:val="20"/>
                        </w:rPr>
                      </w:pPr>
                    </w:p>
                    <w:p w14:paraId="4D2B1568" w14:textId="41FD8883" w:rsidR="00683E6B" w:rsidRDefault="008819C0" w:rsidP="00683E6B">
                      <w:pPr>
                        <w:ind w:firstLine="180"/>
                        <w:rPr>
                          <w:rFonts w:ascii="Century Gothic" w:hAnsi="Century Gothic"/>
                          <w:sz w:val="20"/>
                          <w:szCs w:val="20"/>
                        </w:rPr>
                      </w:pPr>
                      <w:r>
                        <w:rPr>
                          <w:rFonts w:ascii="Century Gothic" w:hAnsi="Century Gothic"/>
                          <w:sz w:val="20"/>
                          <w:szCs w:val="20"/>
                        </w:rPr>
                        <w:t>1</w:t>
                      </w:r>
                      <w:r w:rsidR="00D832B8">
                        <w:rPr>
                          <w:rFonts w:ascii="Century Gothic" w:hAnsi="Century Gothic"/>
                          <w:sz w:val="20"/>
                          <w:szCs w:val="20"/>
                        </w:rPr>
                        <w:t>5</w:t>
                      </w:r>
                      <w:r>
                        <w:rPr>
                          <w:rFonts w:ascii="Century Gothic" w:hAnsi="Century Gothic"/>
                          <w:sz w:val="20"/>
                          <w:szCs w:val="20"/>
                        </w:rPr>
                        <w:t xml:space="preserve"> November 2023</w:t>
                      </w:r>
                      <w:r w:rsidR="00C9728C">
                        <w:rPr>
                          <w:rFonts w:ascii="Century Gothic" w:hAnsi="Century Gothic"/>
                          <w:sz w:val="20"/>
                          <w:szCs w:val="20"/>
                        </w:rPr>
                        <w:tab/>
                      </w:r>
                      <w:r w:rsidR="00C9728C">
                        <w:rPr>
                          <w:rFonts w:ascii="Century Gothic" w:hAnsi="Century Gothic"/>
                          <w:sz w:val="20"/>
                          <w:szCs w:val="20"/>
                        </w:rPr>
                        <w:tab/>
                      </w:r>
                    </w:p>
                    <w:p w14:paraId="08E1200F" w14:textId="774601C4" w:rsidR="00683E6B" w:rsidRDefault="00683E6B" w:rsidP="00683E6B">
                      <w:pPr>
                        <w:ind w:firstLine="180"/>
                        <w:rPr>
                          <w:rFonts w:ascii="Century Gothic" w:hAnsi="Century Gothic"/>
                          <w:sz w:val="20"/>
                          <w:szCs w:val="20"/>
                        </w:rPr>
                      </w:pPr>
                      <w:r>
                        <w:rPr>
                          <w:rFonts w:ascii="Century Gothic" w:hAnsi="Century Gothic"/>
                          <w:sz w:val="20"/>
                          <w:szCs w:val="20"/>
                        </w:rPr>
                        <w:t xml:space="preserve"> 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819C0">
                        <w:rPr>
                          <w:rFonts w:ascii="Century Gothic" w:hAnsi="Century Gothic"/>
                          <w:sz w:val="20"/>
                          <w:szCs w:val="20"/>
                        </w:rPr>
                        <w:t>Signature</w:t>
                      </w:r>
                      <w:r>
                        <w:rPr>
                          <w:rFonts w:ascii="Century Gothic" w:hAnsi="Century Gothic"/>
                          <w:sz w:val="20"/>
                          <w:szCs w:val="20"/>
                        </w:rPr>
                        <w:t xml:space="preserve"> </w:t>
                      </w:r>
                    </w:p>
                    <w:p w14:paraId="3F979ACB" w14:textId="2C04798E" w:rsidR="00683E6B" w:rsidRDefault="00683E6B" w:rsidP="00683E6B">
                      <w:pPr>
                        <w:ind w:firstLine="180"/>
                        <w:rPr>
                          <w:rFonts w:ascii="Century Gothic" w:hAnsi="Century Gothic"/>
                          <w:sz w:val="20"/>
                          <w:szCs w:val="20"/>
                        </w:rPr>
                      </w:pPr>
                    </w:p>
                  </w:txbxContent>
                </v:textbox>
                <w10:wrap anchorx="margin"/>
              </v:shape>
            </w:pict>
          </mc:Fallback>
        </mc:AlternateContent>
      </w:r>
      <w:r w:rsidR="00683E6B" w:rsidRPr="00683E6B">
        <w:rPr>
          <w:rFonts w:ascii="Arial" w:hAnsi="Arial" w:cs="Arial"/>
          <w:b/>
          <w:sz w:val="24"/>
          <w:szCs w:val="24"/>
        </w:rPr>
        <w:t xml:space="preserve">CASE NO: </w:t>
      </w:r>
      <w:r w:rsidR="00702457" w:rsidRPr="00375D83">
        <w:rPr>
          <w:rFonts w:ascii="Arial" w:hAnsi="Arial" w:cs="Arial"/>
          <w:b/>
          <w:bCs/>
          <w:sz w:val="24"/>
          <w:szCs w:val="24"/>
        </w:rPr>
        <w:t>42353/2019</w:t>
      </w:r>
    </w:p>
    <w:p w14:paraId="0E0D06B1" w14:textId="79BF1909" w:rsidR="00683E6B" w:rsidRPr="00683E6B" w:rsidRDefault="00683E6B" w:rsidP="00683E6B">
      <w:pPr>
        <w:tabs>
          <w:tab w:val="left" w:pos="4917"/>
        </w:tabs>
        <w:jc w:val="center"/>
        <w:rPr>
          <w:rFonts w:ascii="Arial" w:hAnsi="Arial" w:cs="Arial"/>
          <w:b/>
          <w:sz w:val="24"/>
          <w:szCs w:val="24"/>
        </w:rPr>
      </w:pPr>
    </w:p>
    <w:p w14:paraId="24C670EB" w14:textId="77777777" w:rsidR="00683E6B" w:rsidRPr="00683E6B" w:rsidRDefault="00683E6B" w:rsidP="00683E6B">
      <w:pPr>
        <w:tabs>
          <w:tab w:val="left" w:pos="4917"/>
        </w:tabs>
        <w:jc w:val="center"/>
        <w:rPr>
          <w:rFonts w:ascii="Arial" w:hAnsi="Arial" w:cs="Arial"/>
          <w:sz w:val="24"/>
          <w:szCs w:val="24"/>
        </w:rPr>
      </w:pPr>
    </w:p>
    <w:p w14:paraId="6BE6BF2F" w14:textId="77777777" w:rsidR="00683E6B" w:rsidRPr="00683E6B" w:rsidRDefault="00683E6B" w:rsidP="00683E6B">
      <w:pPr>
        <w:tabs>
          <w:tab w:val="left" w:pos="4917"/>
        </w:tabs>
        <w:jc w:val="right"/>
        <w:rPr>
          <w:rFonts w:ascii="Arial" w:hAnsi="Arial" w:cs="Arial"/>
          <w:b/>
          <w:sz w:val="24"/>
          <w:szCs w:val="24"/>
          <w:u w:val="single"/>
        </w:rPr>
      </w:pPr>
    </w:p>
    <w:p w14:paraId="0E4169C9" w14:textId="77777777" w:rsidR="00683E6B" w:rsidRPr="00683E6B" w:rsidRDefault="00683E6B" w:rsidP="00683E6B">
      <w:pPr>
        <w:tabs>
          <w:tab w:val="left" w:pos="4917"/>
        </w:tabs>
        <w:jc w:val="right"/>
        <w:rPr>
          <w:rFonts w:ascii="Arial" w:hAnsi="Arial" w:cs="Arial"/>
          <w:b/>
          <w:sz w:val="24"/>
          <w:szCs w:val="24"/>
          <w:u w:val="single"/>
        </w:rPr>
      </w:pPr>
    </w:p>
    <w:p w14:paraId="7E83F34C" w14:textId="77777777" w:rsidR="00683E6B" w:rsidRPr="00683E6B" w:rsidRDefault="00683E6B" w:rsidP="00683E6B">
      <w:pPr>
        <w:tabs>
          <w:tab w:val="left" w:pos="4917"/>
        </w:tabs>
        <w:jc w:val="right"/>
        <w:rPr>
          <w:rFonts w:ascii="Arial" w:hAnsi="Arial" w:cs="Arial"/>
          <w:b/>
          <w:sz w:val="24"/>
          <w:szCs w:val="24"/>
          <w:u w:val="single"/>
        </w:rPr>
      </w:pPr>
    </w:p>
    <w:p w14:paraId="27199C0D" w14:textId="77777777" w:rsidR="00683E6B" w:rsidRPr="00683E6B" w:rsidRDefault="00683E6B" w:rsidP="00683E6B">
      <w:pPr>
        <w:tabs>
          <w:tab w:val="left" w:pos="4917"/>
        </w:tabs>
        <w:jc w:val="right"/>
        <w:rPr>
          <w:rFonts w:ascii="Arial" w:hAnsi="Arial" w:cs="Arial"/>
          <w:b/>
          <w:sz w:val="24"/>
          <w:szCs w:val="24"/>
          <w:u w:val="single"/>
        </w:rPr>
      </w:pPr>
    </w:p>
    <w:p w14:paraId="1C8478DD" w14:textId="77777777" w:rsidR="00683E6B" w:rsidRPr="00683E6B" w:rsidRDefault="00683E6B" w:rsidP="00683E6B">
      <w:pPr>
        <w:tabs>
          <w:tab w:val="left" w:pos="4917"/>
        </w:tabs>
        <w:jc w:val="right"/>
        <w:rPr>
          <w:rFonts w:ascii="Arial" w:hAnsi="Arial" w:cs="Arial"/>
          <w:b/>
          <w:sz w:val="24"/>
          <w:szCs w:val="24"/>
          <w:u w:val="single"/>
        </w:rPr>
      </w:pPr>
    </w:p>
    <w:p w14:paraId="03C5D0E6" w14:textId="77777777" w:rsidR="002C7BD0" w:rsidRDefault="002C7BD0" w:rsidP="00683E6B">
      <w:pPr>
        <w:rPr>
          <w:rFonts w:ascii="Arial" w:hAnsi="Arial" w:cs="Arial"/>
          <w:sz w:val="24"/>
          <w:szCs w:val="24"/>
        </w:rPr>
      </w:pPr>
    </w:p>
    <w:p w14:paraId="0ED5573A" w14:textId="64DCC030" w:rsidR="00683E6B" w:rsidRPr="00683E6B" w:rsidRDefault="00683E6B" w:rsidP="00683E6B">
      <w:pPr>
        <w:rPr>
          <w:rFonts w:ascii="Arial" w:hAnsi="Arial" w:cs="Arial"/>
          <w:sz w:val="24"/>
          <w:szCs w:val="24"/>
        </w:rPr>
      </w:pPr>
      <w:r w:rsidRPr="00683E6B">
        <w:rPr>
          <w:rFonts w:ascii="Arial" w:hAnsi="Arial" w:cs="Arial"/>
          <w:sz w:val="24"/>
          <w:szCs w:val="24"/>
        </w:rPr>
        <w:t>In the matter between:</w:t>
      </w:r>
    </w:p>
    <w:p w14:paraId="298009BD" w14:textId="77777777" w:rsidR="00683E6B" w:rsidRPr="00683E6B" w:rsidRDefault="00683E6B" w:rsidP="00683E6B">
      <w:pPr>
        <w:pStyle w:val="Parties"/>
        <w:rPr>
          <w:rFonts w:cs="Arial"/>
          <w:szCs w:val="24"/>
        </w:rPr>
      </w:pPr>
    </w:p>
    <w:p w14:paraId="5177895A" w14:textId="402E013C" w:rsidR="00683E6B" w:rsidRPr="00683E6B" w:rsidRDefault="00683E6B" w:rsidP="005D55AA">
      <w:pPr>
        <w:tabs>
          <w:tab w:val="right" w:pos="9639"/>
        </w:tabs>
        <w:spacing w:after="0" w:line="276" w:lineRule="auto"/>
        <w:rPr>
          <w:rFonts w:ascii="Arial" w:hAnsi="Arial" w:cs="Arial"/>
          <w:b/>
          <w:bCs/>
          <w:sz w:val="24"/>
          <w:szCs w:val="24"/>
        </w:rPr>
      </w:pPr>
      <w:bookmarkStart w:id="0" w:name="_Hlk141772756"/>
      <w:r w:rsidRPr="00683E6B">
        <w:rPr>
          <w:rFonts w:ascii="Arial" w:hAnsi="Arial" w:cs="Arial"/>
          <w:b/>
          <w:bCs/>
          <w:sz w:val="24"/>
          <w:szCs w:val="24"/>
          <w:shd w:val="clear" w:color="auto" w:fill="FFFFFF"/>
        </w:rPr>
        <w:t>ADV. NASEEM MOTALA N.O.</w:t>
      </w:r>
      <w:r w:rsidRPr="00683E6B">
        <w:rPr>
          <w:rFonts w:ascii="Arial" w:hAnsi="Arial" w:cs="Arial"/>
          <w:b/>
          <w:bCs/>
          <w:sz w:val="24"/>
          <w:szCs w:val="24"/>
          <w:shd w:val="clear" w:color="auto" w:fill="FFFFFF"/>
        </w:rPr>
        <w:tab/>
      </w:r>
      <w:r w:rsidRPr="00683E6B">
        <w:rPr>
          <w:rFonts w:ascii="Arial" w:hAnsi="Arial" w:cs="Arial"/>
          <w:bCs/>
          <w:sz w:val="24"/>
          <w:szCs w:val="24"/>
        </w:rPr>
        <w:t>PLAINTIFF</w:t>
      </w:r>
    </w:p>
    <w:p w14:paraId="71DD293E" w14:textId="21527AB2" w:rsidR="00683E6B" w:rsidRPr="00683E6B" w:rsidRDefault="00683E6B" w:rsidP="005D55AA">
      <w:pPr>
        <w:spacing w:after="0" w:line="276" w:lineRule="auto"/>
        <w:jc w:val="both"/>
        <w:rPr>
          <w:rFonts w:ascii="Arial" w:hAnsi="Arial" w:cs="Arial"/>
          <w:b/>
          <w:bCs/>
          <w:sz w:val="24"/>
          <w:szCs w:val="24"/>
        </w:rPr>
      </w:pPr>
      <w:proofErr w:type="gramStart"/>
      <w:r w:rsidRPr="00683E6B">
        <w:rPr>
          <w:rFonts w:ascii="Arial" w:hAnsi="Arial" w:cs="Arial"/>
          <w:b/>
          <w:bCs/>
          <w:sz w:val="24"/>
          <w:szCs w:val="24"/>
        </w:rPr>
        <w:t>W</w:t>
      </w:r>
      <w:r w:rsidR="00075863">
        <w:rPr>
          <w:rFonts w:ascii="Arial" w:hAnsi="Arial" w:cs="Arial"/>
          <w:b/>
          <w:bCs/>
          <w:sz w:val="24"/>
          <w:szCs w:val="24"/>
        </w:rPr>
        <w:t>[</w:t>
      </w:r>
      <w:proofErr w:type="gramEnd"/>
      <w:r w:rsidR="00075863">
        <w:rPr>
          <w:rFonts w:ascii="Arial" w:hAnsi="Arial" w:cs="Arial"/>
          <w:b/>
          <w:bCs/>
          <w:sz w:val="24"/>
          <w:szCs w:val="24"/>
        </w:rPr>
        <w:t>…]</w:t>
      </w:r>
      <w:r w:rsidRPr="00683E6B">
        <w:rPr>
          <w:rFonts w:ascii="Arial" w:hAnsi="Arial" w:cs="Arial"/>
          <w:b/>
          <w:bCs/>
          <w:sz w:val="24"/>
          <w:szCs w:val="24"/>
        </w:rPr>
        <w:t>, K</w:t>
      </w:r>
      <w:r w:rsidR="00075863">
        <w:rPr>
          <w:rFonts w:ascii="Arial" w:hAnsi="Arial" w:cs="Arial"/>
          <w:b/>
          <w:bCs/>
          <w:sz w:val="24"/>
          <w:szCs w:val="24"/>
        </w:rPr>
        <w:t>[…]</w:t>
      </w:r>
    </w:p>
    <w:bookmarkEnd w:id="0"/>
    <w:p w14:paraId="06500283" w14:textId="285BB799" w:rsidR="00683E6B" w:rsidRPr="00683E6B" w:rsidRDefault="00683E6B" w:rsidP="000177EA">
      <w:pPr>
        <w:tabs>
          <w:tab w:val="right" w:pos="9180"/>
        </w:tabs>
        <w:spacing w:before="300" w:after="0" w:line="276" w:lineRule="auto"/>
        <w:jc w:val="both"/>
        <w:rPr>
          <w:rFonts w:ascii="Arial" w:hAnsi="Arial" w:cs="Arial"/>
          <w:sz w:val="24"/>
          <w:szCs w:val="24"/>
        </w:rPr>
      </w:pPr>
      <w:r w:rsidRPr="00683E6B">
        <w:rPr>
          <w:rFonts w:ascii="Arial" w:hAnsi="Arial" w:cs="Arial"/>
          <w:sz w:val="24"/>
          <w:szCs w:val="24"/>
        </w:rPr>
        <w:t>and</w:t>
      </w:r>
    </w:p>
    <w:p w14:paraId="44CC46F6" w14:textId="062ED4CC" w:rsidR="00683E6B" w:rsidRPr="00683E6B" w:rsidRDefault="00442BF0" w:rsidP="000177EA">
      <w:pPr>
        <w:tabs>
          <w:tab w:val="right" w:pos="9639"/>
        </w:tabs>
        <w:spacing w:before="300" w:after="0" w:line="276" w:lineRule="auto"/>
        <w:jc w:val="both"/>
        <w:rPr>
          <w:rFonts w:ascii="Arial" w:hAnsi="Arial" w:cs="Arial"/>
          <w:bCs/>
          <w:sz w:val="24"/>
          <w:szCs w:val="24"/>
        </w:rPr>
      </w:pPr>
      <w:r>
        <w:rPr>
          <w:rFonts w:ascii="Arial" w:hAnsi="Arial" w:cs="Arial"/>
          <w:b/>
          <w:bCs/>
          <w:sz w:val="24"/>
          <w:szCs w:val="24"/>
        </w:rPr>
        <w:t>R</w:t>
      </w:r>
      <w:r w:rsidR="00683E6B" w:rsidRPr="00683E6B">
        <w:rPr>
          <w:rFonts w:ascii="Arial" w:hAnsi="Arial" w:cs="Arial"/>
          <w:b/>
          <w:bCs/>
          <w:sz w:val="24"/>
          <w:szCs w:val="24"/>
        </w:rPr>
        <w:t>OAD ACCIDENT FUND</w:t>
      </w:r>
      <w:r w:rsidR="00683E6B" w:rsidRPr="00683E6B">
        <w:rPr>
          <w:rFonts w:ascii="Arial" w:hAnsi="Arial" w:cs="Arial"/>
          <w:b/>
          <w:bCs/>
          <w:sz w:val="24"/>
          <w:szCs w:val="24"/>
        </w:rPr>
        <w:tab/>
      </w:r>
      <w:r w:rsidR="00683E6B" w:rsidRPr="00683E6B">
        <w:rPr>
          <w:rFonts w:ascii="Arial" w:hAnsi="Arial" w:cs="Arial"/>
          <w:bCs/>
          <w:sz w:val="24"/>
          <w:szCs w:val="24"/>
        </w:rPr>
        <w:t>DEFENDANT</w:t>
      </w:r>
    </w:p>
    <w:p w14:paraId="6BCB32EA" w14:textId="77777777" w:rsidR="00683E6B" w:rsidRPr="00683E6B" w:rsidRDefault="00683E6B" w:rsidP="000177EA">
      <w:pPr>
        <w:pBdr>
          <w:bottom w:val="single" w:sz="12" w:space="1" w:color="auto"/>
        </w:pBdr>
        <w:spacing w:before="300" w:after="0" w:line="276" w:lineRule="auto"/>
        <w:rPr>
          <w:rFonts w:ascii="Arial" w:hAnsi="Arial" w:cs="Arial"/>
          <w:sz w:val="24"/>
          <w:szCs w:val="24"/>
        </w:rPr>
      </w:pPr>
    </w:p>
    <w:p w14:paraId="53A03582" w14:textId="77777777" w:rsidR="00683E6B" w:rsidRPr="00683E6B" w:rsidRDefault="00683E6B" w:rsidP="00683E6B">
      <w:pPr>
        <w:pStyle w:val="TramLines"/>
        <w:rPr>
          <w:rFonts w:cs="Arial"/>
          <w:szCs w:val="24"/>
        </w:rPr>
      </w:pPr>
      <w:r w:rsidRPr="00683E6B">
        <w:rPr>
          <w:rFonts w:cs="Arial"/>
          <w:szCs w:val="24"/>
        </w:rPr>
        <w:t xml:space="preserve">JUDGMENT </w:t>
      </w:r>
    </w:p>
    <w:p w14:paraId="3C6B2674" w14:textId="749C997D" w:rsidR="00683E6B" w:rsidRPr="00683E6B" w:rsidRDefault="00683E6B" w:rsidP="003D678F">
      <w:pPr>
        <w:spacing w:line="360" w:lineRule="auto"/>
        <w:jc w:val="both"/>
        <w:rPr>
          <w:rFonts w:ascii="Arial" w:hAnsi="Arial" w:cs="Arial"/>
          <w:sz w:val="24"/>
          <w:szCs w:val="24"/>
        </w:rPr>
      </w:pPr>
      <w:r w:rsidRPr="00683E6B">
        <w:rPr>
          <w:rFonts w:ascii="Arial" w:hAnsi="Arial" w:cs="Arial"/>
          <w:b/>
          <w:sz w:val="24"/>
          <w:szCs w:val="24"/>
        </w:rPr>
        <w:lastRenderedPageBreak/>
        <w:t xml:space="preserve">Delivered: </w:t>
      </w:r>
      <w:r w:rsidRPr="00683E6B">
        <w:rPr>
          <w:rFonts w:ascii="Arial" w:hAnsi="Arial" w:cs="Arial"/>
          <w:b/>
          <w:sz w:val="24"/>
          <w:szCs w:val="24"/>
        </w:rPr>
        <w:tab/>
      </w:r>
      <w:r w:rsidRPr="00683E6B">
        <w:rPr>
          <w:rFonts w:ascii="Arial" w:hAnsi="Arial" w:cs="Arial"/>
          <w:sz w:val="24"/>
          <w:szCs w:val="24"/>
        </w:rPr>
        <w:t xml:space="preserve">This judgment was handed down by circulation to the parties' legal representatives by email, and uploaded on </w:t>
      </w:r>
      <w:r w:rsidR="003D678F">
        <w:rPr>
          <w:rFonts w:ascii="Arial" w:hAnsi="Arial" w:cs="Arial"/>
          <w:sz w:val="24"/>
          <w:szCs w:val="24"/>
        </w:rPr>
        <w:t xml:space="preserve">the </w:t>
      </w:r>
      <w:proofErr w:type="spellStart"/>
      <w:r w:rsidR="00307B7A" w:rsidRPr="00683E6B">
        <w:rPr>
          <w:rFonts w:ascii="Arial" w:hAnsi="Arial" w:cs="Arial"/>
          <w:sz w:val="24"/>
          <w:szCs w:val="24"/>
        </w:rPr>
        <w:t>CaseLines</w:t>
      </w:r>
      <w:proofErr w:type="spellEnd"/>
      <w:r w:rsidRPr="00683E6B">
        <w:rPr>
          <w:rFonts w:ascii="Arial" w:hAnsi="Arial" w:cs="Arial"/>
          <w:sz w:val="24"/>
          <w:szCs w:val="24"/>
        </w:rPr>
        <w:t xml:space="preserve"> electronic platform. The date for hand-down is deemed to be 1</w:t>
      </w:r>
      <w:r w:rsidR="001450F3">
        <w:rPr>
          <w:rFonts w:ascii="Arial" w:hAnsi="Arial" w:cs="Arial"/>
          <w:sz w:val="24"/>
          <w:szCs w:val="24"/>
        </w:rPr>
        <w:t>5</w:t>
      </w:r>
      <w:r w:rsidRPr="00683E6B">
        <w:rPr>
          <w:rFonts w:ascii="Arial" w:hAnsi="Arial" w:cs="Arial"/>
          <w:sz w:val="24"/>
          <w:szCs w:val="24"/>
        </w:rPr>
        <w:t xml:space="preserve"> </w:t>
      </w:r>
      <w:r w:rsidR="00307B7A">
        <w:rPr>
          <w:rFonts w:ascii="Arial" w:hAnsi="Arial" w:cs="Arial"/>
          <w:sz w:val="24"/>
          <w:szCs w:val="24"/>
        </w:rPr>
        <w:t>November</w:t>
      </w:r>
      <w:r w:rsidRPr="00683E6B">
        <w:rPr>
          <w:rFonts w:ascii="Arial" w:hAnsi="Arial" w:cs="Arial"/>
          <w:sz w:val="24"/>
          <w:szCs w:val="24"/>
        </w:rPr>
        <w:t xml:space="preserve"> 2023.</w:t>
      </w:r>
    </w:p>
    <w:p w14:paraId="5CF1D428" w14:textId="0B0DBDD9" w:rsidR="00375D83" w:rsidRPr="00683E6B" w:rsidRDefault="00D205C0" w:rsidP="00683E6B">
      <w:pPr>
        <w:pStyle w:val="ListParagraph"/>
        <w:widowControl w:val="0"/>
        <w:spacing w:before="300" w:after="0" w:line="480" w:lineRule="auto"/>
        <w:ind w:left="0" w:right="-23"/>
        <w:contextualSpacing w:val="0"/>
        <w:jc w:val="both"/>
        <w:rPr>
          <w:rFonts w:ascii="Arial" w:hAnsi="Arial" w:cs="Arial"/>
          <w:b/>
          <w:bCs/>
          <w:sz w:val="24"/>
          <w:szCs w:val="24"/>
        </w:rPr>
      </w:pPr>
      <w:r w:rsidRPr="00683E6B">
        <w:rPr>
          <w:rFonts w:ascii="Arial" w:hAnsi="Arial" w:cs="Arial"/>
          <w:b/>
          <w:bCs/>
          <w:sz w:val="24"/>
          <w:szCs w:val="24"/>
          <w:lang w:val="en-GB" w:eastAsia="en-ZA"/>
        </w:rPr>
        <w:t>HITCHINGS AJ:</w:t>
      </w:r>
    </w:p>
    <w:p w14:paraId="24A1F804" w14:textId="410E4ECD" w:rsidR="00DF1468" w:rsidRPr="00683E6B" w:rsidRDefault="00784CE2" w:rsidP="00683E6B">
      <w:pPr>
        <w:pStyle w:val="ListParagraph"/>
        <w:widowControl w:val="0"/>
        <w:spacing w:before="300" w:after="0" w:line="480" w:lineRule="auto"/>
        <w:ind w:left="0" w:right="-23"/>
        <w:contextualSpacing w:val="0"/>
        <w:jc w:val="both"/>
        <w:rPr>
          <w:rFonts w:ascii="Arial" w:hAnsi="Arial" w:cs="Arial"/>
          <w:sz w:val="24"/>
          <w:szCs w:val="24"/>
        </w:rPr>
      </w:pPr>
      <w:r w:rsidRPr="00683E6B">
        <w:rPr>
          <w:rFonts w:ascii="Arial" w:hAnsi="Arial" w:cs="Arial"/>
          <w:b/>
          <w:sz w:val="24"/>
          <w:szCs w:val="24"/>
        </w:rPr>
        <w:t xml:space="preserve">INTRODUCTION </w:t>
      </w:r>
    </w:p>
    <w:p w14:paraId="70E1D938" w14:textId="57FD642B" w:rsidR="000654EF" w:rsidRPr="00683E6B" w:rsidRDefault="00587F55" w:rsidP="003F6E23">
      <w:pPr>
        <w:pStyle w:val="ListParagraph"/>
        <w:widowControl w:val="0"/>
        <w:numPr>
          <w:ilvl w:val="0"/>
          <w:numId w:val="10"/>
        </w:numPr>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plaintiff</w:t>
      </w:r>
      <w:r w:rsidR="00EA12DD" w:rsidRPr="00683E6B">
        <w:rPr>
          <w:rFonts w:ascii="Arial" w:hAnsi="Arial" w:cs="Arial"/>
          <w:sz w:val="24"/>
          <w:szCs w:val="24"/>
        </w:rPr>
        <w:t xml:space="preserve"> is </w:t>
      </w:r>
      <w:proofErr w:type="spellStart"/>
      <w:r w:rsidR="00637322" w:rsidRPr="00683E6B">
        <w:rPr>
          <w:rFonts w:ascii="Arial" w:hAnsi="Arial" w:cs="Arial"/>
          <w:sz w:val="24"/>
          <w:szCs w:val="24"/>
        </w:rPr>
        <w:t>Adv</w:t>
      </w:r>
      <w:proofErr w:type="spellEnd"/>
      <w:r w:rsidR="00637322" w:rsidRPr="00683E6B">
        <w:rPr>
          <w:rFonts w:ascii="Arial" w:hAnsi="Arial" w:cs="Arial"/>
          <w:sz w:val="24"/>
          <w:szCs w:val="24"/>
        </w:rPr>
        <w:t xml:space="preserve"> </w:t>
      </w:r>
      <w:proofErr w:type="spellStart"/>
      <w:r w:rsidR="00637322" w:rsidRPr="00683E6B">
        <w:rPr>
          <w:rFonts w:ascii="Arial" w:hAnsi="Arial" w:cs="Arial"/>
          <w:sz w:val="24"/>
          <w:szCs w:val="24"/>
        </w:rPr>
        <w:t>N</w:t>
      </w:r>
      <w:r w:rsidR="004118E8">
        <w:rPr>
          <w:rFonts w:ascii="Arial" w:hAnsi="Arial" w:cs="Arial"/>
          <w:sz w:val="24"/>
          <w:szCs w:val="24"/>
        </w:rPr>
        <w:t>aseem</w:t>
      </w:r>
      <w:proofErr w:type="spellEnd"/>
      <w:r w:rsidR="00637322" w:rsidRPr="00683E6B">
        <w:rPr>
          <w:rFonts w:ascii="Arial" w:hAnsi="Arial" w:cs="Arial"/>
          <w:sz w:val="24"/>
          <w:szCs w:val="24"/>
        </w:rPr>
        <w:t xml:space="preserve"> </w:t>
      </w:r>
      <w:proofErr w:type="spellStart"/>
      <w:r w:rsidR="00637322" w:rsidRPr="00683E6B">
        <w:rPr>
          <w:rFonts w:ascii="Arial" w:hAnsi="Arial" w:cs="Arial"/>
          <w:sz w:val="24"/>
          <w:szCs w:val="24"/>
        </w:rPr>
        <w:t>Motala</w:t>
      </w:r>
      <w:proofErr w:type="spellEnd"/>
      <w:r w:rsidR="00637322" w:rsidRPr="00683E6B">
        <w:rPr>
          <w:rFonts w:ascii="Arial" w:hAnsi="Arial" w:cs="Arial"/>
          <w:sz w:val="24"/>
          <w:szCs w:val="24"/>
        </w:rPr>
        <w:t xml:space="preserve"> who acts in his repres</w:t>
      </w:r>
      <w:r w:rsidR="00B463C7" w:rsidRPr="00683E6B">
        <w:rPr>
          <w:rFonts w:ascii="Arial" w:hAnsi="Arial" w:cs="Arial"/>
          <w:sz w:val="24"/>
          <w:szCs w:val="24"/>
        </w:rPr>
        <w:t xml:space="preserve">entative capacity as </w:t>
      </w:r>
      <w:r w:rsidR="00B463C7" w:rsidRPr="00683E6B">
        <w:rPr>
          <w:rFonts w:ascii="Arial" w:hAnsi="Arial" w:cs="Arial"/>
          <w:i/>
          <w:iCs/>
          <w:sz w:val="24"/>
          <w:szCs w:val="24"/>
        </w:rPr>
        <w:t xml:space="preserve">curator ad litem </w:t>
      </w:r>
      <w:r w:rsidR="00B463C7" w:rsidRPr="00683E6B">
        <w:rPr>
          <w:rFonts w:ascii="Arial" w:hAnsi="Arial" w:cs="Arial"/>
          <w:sz w:val="24"/>
          <w:szCs w:val="24"/>
        </w:rPr>
        <w:t xml:space="preserve">of </w:t>
      </w:r>
      <w:proofErr w:type="gramStart"/>
      <w:r w:rsidR="00B463C7" w:rsidRPr="00683E6B">
        <w:rPr>
          <w:rFonts w:ascii="Arial" w:hAnsi="Arial" w:cs="Arial"/>
          <w:sz w:val="24"/>
          <w:szCs w:val="24"/>
        </w:rPr>
        <w:t>K</w:t>
      </w:r>
      <w:r w:rsidR="0078571F">
        <w:rPr>
          <w:rFonts w:ascii="Arial" w:hAnsi="Arial" w:cs="Arial"/>
          <w:sz w:val="24"/>
          <w:szCs w:val="24"/>
        </w:rPr>
        <w:t>[</w:t>
      </w:r>
      <w:proofErr w:type="gramEnd"/>
      <w:r w:rsidR="0078571F">
        <w:rPr>
          <w:rFonts w:ascii="Arial" w:hAnsi="Arial" w:cs="Arial"/>
          <w:sz w:val="24"/>
          <w:szCs w:val="24"/>
        </w:rPr>
        <w:t>…]</w:t>
      </w:r>
      <w:r w:rsidR="00B463C7" w:rsidRPr="00683E6B">
        <w:rPr>
          <w:rFonts w:ascii="Arial" w:hAnsi="Arial" w:cs="Arial"/>
          <w:sz w:val="24"/>
          <w:szCs w:val="24"/>
        </w:rPr>
        <w:t xml:space="preserve"> W</w:t>
      </w:r>
      <w:r w:rsidR="0078571F">
        <w:rPr>
          <w:rFonts w:ascii="Arial" w:hAnsi="Arial" w:cs="Arial"/>
          <w:sz w:val="24"/>
          <w:szCs w:val="24"/>
        </w:rPr>
        <w:t>[…]</w:t>
      </w:r>
      <w:r w:rsidR="00564648" w:rsidRPr="00683E6B">
        <w:rPr>
          <w:rFonts w:ascii="Arial" w:hAnsi="Arial" w:cs="Arial"/>
          <w:sz w:val="24"/>
          <w:szCs w:val="24"/>
        </w:rPr>
        <w:t xml:space="preserve"> (“K</w:t>
      </w:r>
      <w:r w:rsidR="0078571F">
        <w:rPr>
          <w:rFonts w:ascii="Arial" w:hAnsi="Arial" w:cs="Arial"/>
          <w:sz w:val="24"/>
          <w:szCs w:val="24"/>
        </w:rPr>
        <w:t>[…]</w:t>
      </w:r>
      <w:r w:rsidR="00564648" w:rsidRPr="00683E6B">
        <w:rPr>
          <w:rFonts w:ascii="Arial" w:hAnsi="Arial" w:cs="Arial"/>
          <w:sz w:val="24"/>
          <w:szCs w:val="24"/>
        </w:rPr>
        <w:t>”)</w:t>
      </w:r>
      <w:r w:rsidR="00CF442A" w:rsidRPr="00683E6B">
        <w:rPr>
          <w:rFonts w:ascii="Arial" w:hAnsi="Arial" w:cs="Arial"/>
          <w:sz w:val="24"/>
          <w:szCs w:val="24"/>
        </w:rPr>
        <w:t xml:space="preserve">, who was </w:t>
      </w:r>
      <w:r w:rsidR="00A57B1A" w:rsidRPr="00683E6B">
        <w:rPr>
          <w:rFonts w:ascii="Arial" w:hAnsi="Arial" w:cs="Arial"/>
          <w:sz w:val="24"/>
          <w:szCs w:val="24"/>
        </w:rPr>
        <w:t>14</w:t>
      </w:r>
      <w:r w:rsidR="00CF442A" w:rsidRPr="00683E6B">
        <w:rPr>
          <w:rFonts w:ascii="Arial" w:hAnsi="Arial" w:cs="Arial"/>
          <w:sz w:val="24"/>
          <w:szCs w:val="24"/>
        </w:rPr>
        <w:t xml:space="preserve"> years old on the day of the hearing</w:t>
      </w:r>
      <w:r w:rsidR="00A57B1A" w:rsidRPr="00683E6B">
        <w:rPr>
          <w:rFonts w:ascii="Arial" w:hAnsi="Arial" w:cs="Arial"/>
          <w:sz w:val="24"/>
          <w:szCs w:val="24"/>
        </w:rPr>
        <w:t xml:space="preserve"> before me</w:t>
      </w:r>
      <w:r w:rsidR="00B463C7" w:rsidRPr="00683E6B">
        <w:rPr>
          <w:rFonts w:ascii="Arial" w:hAnsi="Arial" w:cs="Arial"/>
          <w:sz w:val="24"/>
          <w:szCs w:val="24"/>
        </w:rPr>
        <w:t xml:space="preserve">. </w:t>
      </w:r>
      <w:r w:rsidR="00B71C06" w:rsidRPr="00683E6B">
        <w:rPr>
          <w:rFonts w:ascii="Arial" w:hAnsi="Arial" w:cs="Arial"/>
          <w:sz w:val="24"/>
          <w:szCs w:val="24"/>
        </w:rPr>
        <w:t xml:space="preserve"> </w:t>
      </w:r>
      <w:proofErr w:type="spellStart"/>
      <w:r w:rsidR="000654EF" w:rsidRPr="00683E6B">
        <w:rPr>
          <w:rFonts w:ascii="Arial" w:hAnsi="Arial" w:cs="Arial"/>
          <w:sz w:val="24"/>
          <w:szCs w:val="24"/>
        </w:rPr>
        <w:t>Adv</w:t>
      </w:r>
      <w:proofErr w:type="spellEnd"/>
      <w:r w:rsidR="000654EF" w:rsidRPr="00683E6B">
        <w:rPr>
          <w:rFonts w:ascii="Arial" w:hAnsi="Arial" w:cs="Arial"/>
          <w:sz w:val="24"/>
          <w:szCs w:val="24"/>
        </w:rPr>
        <w:t xml:space="preserve"> </w:t>
      </w:r>
      <w:proofErr w:type="spellStart"/>
      <w:r w:rsidR="000654EF" w:rsidRPr="00683E6B">
        <w:rPr>
          <w:rFonts w:ascii="Arial" w:hAnsi="Arial" w:cs="Arial"/>
          <w:sz w:val="24"/>
          <w:szCs w:val="24"/>
        </w:rPr>
        <w:t>Motala</w:t>
      </w:r>
      <w:proofErr w:type="spellEnd"/>
      <w:r w:rsidR="000654EF" w:rsidRPr="00683E6B">
        <w:rPr>
          <w:rFonts w:ascii="Arial" w:hAnsi="Arial" w:cs="Arial"/>
          <w:sz w:val="24"/>
          <w:szCs w:val="24"/>
        </w:rPr>
        <w:t xml:space="preserve"> </w:t>
      </w:r>
      <w:r w:rsidR="00D205C0" w:rsidRPr="00683E6B">
        <w:rPr>
          <w:rFonts w:ascii="Arial" w:hAnsi="Arial" w:cs="Arial"/>
          <w:sz w:val="24"/>
          <w:szCs w:val="24"/>
        </w:rPr>
        <w:t>had been</w:t>
      </w:r>
      <w:r w:rsidR="000654EF" w:rsidRPr="00683E6B">
        <w:rPr>
          <w:rFonts w:ascii="Arial" w:hAnsi="Arial" w:cs="Arial"/>
          <w:sz w:val="24"/>
          <w:szCs w:val="24"/>
        </w:rPr>
        <w:t xml:space="preserve"> appointed as </w:t>
      </w:r>
      <w:r w:rsidR="000654EF" w:rsidRPr="00683E6B">
        <w:rPr>
          <w:rFonts w:ascii="Arial" w:hAnsi="Arial" w:cs="Arial"/>
          <w:i/>
          <w:iCs/>
          <w:sz w:val="24"/>
          <w:szCs w:val="24"/>
        </w:rPr>
        <w:t>curator ad litem</w:t>
      </w:r>
      <w:r w:rsidR="000654EF" w:rsidRPr="00683E6B">
        <w:rPr>
          <w:rFonts w:ascii="Arial" w:hAnsi="Arial" w:cs="Arial"/>
          <w:sz w:val="24"/>
          <w:szCs w:val="24"/>
        </w:rPr>
        <w:t xml:space="preserve"> by </w:t>
      </w:r>
      <w:proofErr w:type="spellStart"/>
      <w:r w:rsidR="000654EF" w:rsidRPr="00683E6B">
        <w:rPr>
          <w:rFonts w:ascii="Arial" w:hAnsi="Arial" w:cs="Arial"/>
          <w:sz w:val="24"/>
          <w:szCs w:val="24"/>
        </w:rPr>
        <w:t>Matojane</w:t>
      </w:r>
      <w:proofErr w:type="spellEnd"/>
      <w:r w:rsidR="000654EF" w:rsidRPr="00683E6B">
        <w:rPr>
          <w:rFonts w:ascii="Arial" w:hAnsi="Arial" w:cs="Arial"/>
          <w:sz w:val="24"/>
          <w:szCs w:val="24"/>
        </w:rPr>
        <w:t xml:space="preserve"> J on 25 October 2021.</w:t>
      </w:r>
    </w:p>
    <w:p w14:paraId="742B568C" w14:textId="78609651" w:rsidR="0054691C" w:rsidRPr="00683E6B" w:rsidRDefault="000654EF"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defendant is the Road Accident Fund.</w:t>
      </w:r>
    </w:p>
    <w:p w14:paraId="0264A659" w14:textId="1E9BDDE2" w:rsidR="00303E83" w:rsidRPr="00683E6B" w:rsidRDefault="00587F5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plaintiff</w:t>
      </w:r>
      <w:r w:rsidR="00FA2E74" w:rsidRPr="00683E6B">
        <w:rPr>
          <w:rFonts w:ascii="Arial" w:hAnsi="Arial" w:cs="Arial"/>
          <w:sz w:val="24"/>
          <w:szCs w:val="24"/>
        </w:rPr>
        <w:t xml:space="preserve">’s claim against the defendant arises out of </w:t>
      </w:r>
      <w:r w:rsidR="00A57B1A" w:rsidRPr="00683E6B">
        <w:rPr>
          <w:rFonts w:ascii="Arial" w:hAnsi="Arial" w:cs="Arial"/>
          <w:sz w:val="24"/>
          <w:szCs w:val="24"/>
        </w:rPr>
        <w:t xml:space="preserve">a </w:t>
      </w:r>
      <w:r w:rsidR="00FA2E74" w:rsidRPr="00683E6B">
        <w:rPr>
          <w:rFonts w:ascii="Arial" w:eastAsia="Times New Roman" w:hAnsi="Arial" w:cs="Arial"/>
          <w:kern w:val="0"/>
          <w:sz w:val="24"/>
          <w:szCs w:val="24"/>
        </w:rPr>
        <w:t xml:space="preserve">motor vehicle collision </w:t>
      </w:r>
      <w:r w:rsidR="00B71C06" w:rsidRPr="00683E6B">
        <w:rPr>
          <w:rFonts w:ascii="Arial" w:eastAsia="Times New Roman" w:hAnsi="Arial" w:cs="Arial"/>
          <w:kern w:val="0"/>
          <w:sz w:val="24"/>
          <w:szCs w:val="24"/>
        </w:rPr>
        <w:t xml:space="preserve">which </w:t>
      </w:r>
      <w:r w:rsidR="00364D84" w:rsidRPr="00683E6B">
        <w:rPr>
          <w:rFonts w:ascii="Arial" w:eastAsia="Times New Roman" w:hAnsi="Arial" w:cs="Arial"/>
          <w:kern w:val="0"/>
          <w:sz w:val="24"/>
          <w:szCs w:val="24"/>
        </w:rPr>
        <w:t>occurred</w:t>
      </w:r>
      <w:r w:rsidR="00B71C06" w:rsidRPr="00683E6B">
        <w:rPr>
          <w:rFonts w:ascii="Arial" w:eastAsia="Times New Roman" w:hAnsi="Arial" w:cs="Arial"/>
          <w:kern w:val="0"/>
          <w:sz w:val="24"/>
          <w:szCs w:val="24"/>
        </w:rPr>
        <w:t xml:space="preserve"> </w:t>
      </w:r>
      <w:r w:rsidR="00FA2E74" w:rsidRPr="00683E6B">
        <w:rPr>
          <w:rFonts w:ascii="Arial" w:eastAsia="Times New Roman" w:hAnsi="Arial" w:cs="Arial"/>
          <w:kern w:val="0"/>
          <w:sz w:val="24"/>
          <w:szCs w:val="24"/>
        </w:rPr>
        <w:t>on 30 April 2019</w:t>
      </w:r>
      <w:r w:rsidR="00B71C06" w:rsidRPr="00683E6B">
        <w:rPr>
          <w:rFonts w:ascii="Arial" w:eastAsia="Times New Roman" w:hAnsi="Arial" w:cs="Arial"/>
          <w:kern w:val="0"/>
          <w:sz w:val="24"/>
          <w:szCs w:val="24"/>
        </w:rPr>
        <w:t xml:space="preserve"> at </w:t>
      </w:r>
      <w:r w:rsidR="00126670" w:rsidRPr="00683E6B">
        <w:rPr>
          <w:rFonts w:ascii="Arial" w:eastAsia="Times New Roman" w:hAnsi="Arial" w:cs="Arial"/>
          <w:kern w:val="0"/>
          <w:sz w:val="24"/>
          <w:szCs w:val="24"/>
        </w:rPr>
        <w:t xml:space="preserve">the intersection of General </w:t>
      </w:r>
      <w:proofErr w:type="spellStart"/>
      <w:r w:rsidR="00126670" w:rsidRPr="00683E6B">
        <w:rPr>
          <w:rFonts w:ascii="Arial" w:eastAsia="Times New Roman" w:hAnsi="Arial" w:cs="Arial"/>
          <w:kern w:val="0"/>
          <w:sz w:val="24"/>
          <w:szCs w:val="24"/>
        </w:rPr>
        <w:t>Pienaar</w:t>
      </w:r>
      <w:proofErr w:type="spellEnd"/>
      <w:r w:rsidR="00126670" w:rsidRPr="00683E6B">
        <w:rPr>
          <w:rFonts w:ascii="Arial" w:eastAsia="Times New Roman" w:hAnsi="Arial" w:cs="Arial"/>
          <w:kern w:val="0"/>
          <w:sz w:val="24"/>
          <w:szCs w:val="24"/>
        </w:rPr>
        <w:t xml:space="preserve"> and Ham Streets, </w:t>
      </w:r>
      <w:proofErr w:type="spellStart"/>
      <w:r w:rsidR="00126670" w:rsidRPr="00683E6B">
        <w:rPr>
          <w:rFonts w:ascii="Arial" w:eastAsia="Times New Roman" w:hAnsi="Arial" w:cs="Arial"/>
          <w:kern w:val="0"/>
          <w:sz w:val="24"/>
          <w:szCs w:val="24"/>
        </w:rPr>
        <w:t>Witpoortjie</w:t>
      </w:r>
      <w:proofErr w:type="spellEnd"/>
      <w:r w:rsidR="00907EC6" w:rsidRPr="00683E6B">
        <w:rPr>
          <w:rFonts w:ascii="Arial" w:eastAsia="Times New Roman" w:hAnsi="Arial" w:cs="Arial"/>
          <w:kern w:val="0"/>
          <w:sz w:val="24"/>
          <w:szCs w:val="24"/>
        </w:rPr>
        <w:t>, Roodepoort</w:t>
      </w:r>
      <w:r w:rsidR="00B71C06" w:rsidRPr="00683E6B">
        <w:rPr>
          <w:rFonts w:ascii="Arial" w:eastAsia="Times New Roman" w:hAnsi="Arial" w:cs="Arial"/>
          <w:kern w:val="0"/>
          <w:sz w:val="24"/>
          <w:szCs w:val="24"/>
        </w:rPr>
        <w:t xml:space="preserve">.  </w:t>
      </w:r>
      <w:proofErr w:type="gramStart"/>
      <w:r w:rsidR="00B71C06" w:rsidRPr="00683E6B">
        <w:rPr>
          <w:rFonts w:ascii="Arial" w:eastAsia="Times New Roman" w:hAnsi="Arial" w:cs="Arial"/>
          <w:kern w:val="0"/>
          <w:sz w:val="24"/>
          <w:szCs w:val="24"/>
        </w:rPr>
        <w:t>K</w:t>
      </w:r>
      <w:r w:rsidR="0059641B">
        <w:rPr>
          <w:rFonts w:ascii="Arial" w:hAnsi="Arial" w:cs="Arial"/>
          <w:sz w:val="24"/>
          <w:szCs w:val="24"/>
        </w:rPr>
        <w:t>[</w:t>
      </w:r>
      <w:proofErr w:type="gramEnd"/>
      <w:r w:rsidR="0059641B">
        <w:rPr>
          <w:rFonts w:ascii="Arial" w:hAnsi="Arial" w:cs="Arial"/>
          <w:sz w:val="24"/>
          <w:szCs w:val="24"/>
        </w:rPr>
        <w:t>…]</w:t>
      </w:r>
      <w:r w:rsidR="00B71C06" w:rsidRPr="00683E6B">
        <w:rPr>
          <w:rFonts w:ascii="Arial" w:eastAsia="Times New Roman" w:hAnsi="Arial" w:cs="Arial"/>
          <w:kern w:val="0"/>
          <w:sz w:val="24"/>
          <w:szCs w:val="24"/>
        </w:rPr>
        <w:t xml:space="preserve">, who was </w:t>
      </w:r>
      <w:r w:rsidR="00573F95" w:rsidRPr="00683E6B">
        <w:rPr>
          <w:rFonts w:ascii="Arial" w:eastAsia="Times New Roman" w:hAnsi="Arial" w:cs="Arial"/>
          <w:kern w:val="0"/>
          <w:sz w:val="24"/>
          <w:szCs w:val="24"/>
        </w:rPr>
        <w:t>two months</w:t>
      </w:r>
      <w:r w:rsidR="00053ACF" w:rsidRPr="00683E6B">
        <w:rPr>
          <w:rFonts w:ascii="Arial" w:eastAsia="Times New Roman" w:hAnsi="Arial" w:cs="Arial"/>
          <w:kern w:val="0"/>
          <w:sz w:val="24"/>
          <w:szCs w:val="24"/>
        </w:rPr>
        <w:t xml:space="preserve"> short of 10</w:t>
      </w:r>
      <w:r w:rsidR="00B71C06" w:rsidRPr="00683E6B">
        <w:rPr>
          <w:rFonts w:ascii="Arial" w:eastAsia="Times New Roman" w:hAnsi="Arial" w:cs="Arial"/>
          <w:kern w:val="0"/>
          <w:sz w:val="24"/>
          <w:szCs w:val="24"/>
        </w:rPr>
        <w:t xml:space="preserve"> years old at the time, </w:t>
      </w:r>
      <w:r w:rsidR="0054691C" w:rsidRPr="00683E6B">
        <w:rPr>
          <w:rFonts w:ascii="Arial" w:hAnsi="Arial" w:cs="Arial"/>
          <w:sz w:val="24"/>
          <w:szCs w:val="24"/>
        </w:rPr>
        <w:t xml:space="preserve">was a passenger </w:t>
      </w:r>
      <w:r w:rsidR="00B71C06" w:rsidRPr="00683E6B">
        <w:rPr>
          <w:rFonts w:ascii="Arial" w:hAnsi="Arial" w:cs="Arial"/>
          <w:sz w:val="24"/>
          <w:szCs w:val="24"/>
        </w:rPr>
        <w:t>in one of the vehi</w:t>
      </w:r>
      <w:r w:rsidR="007618F1" w:rsidRPr="00683E6B">
        <w:rPr>
          <w:rFonts w:ascii="Arial" w:hAnsi="Arial" w:cs="Arial"/>
          <w:sz w:val="24"/>
          <w:szCs w:val="24"/>
        </w:rPr>
        <w:t>cles</w:t>
      </w:r>
      <w:r w:rsidR="00F9509C" w:rsidRPr="00683E6B">
        <w:rPr>
          <w:rFonts w:ascii="Arial" w:hAnsi="Arial" w:cs="Arial"/>
          <w:sz w:val="24"/>
          <w:szCs w:val="24"/>
        </w:rPr>
        <w:t xml:space="preserve">.  </w:t>
      </w:r>
      <w:r w:rsidR="006E3C73" w:rsidRPr="00683E6B">
        <w:rPr>
          <w:rFonts w:ascii="Arial" w:hAnsi="Arial" w:cs="Arial"/>
          <w:sz w:val="24"/>
          <w:szCs w:val="24"/>
        </w:rPr>
        <w:t xml:space="preserve">The collision occurred when a vehicle which had been travelling in the opposite direction to the vehicle in which </w:t>
      </w:r>
      <w:proofErr w:type="gramStart"/>
      <w:r w:rsidR="006E3C73" w:rsidRPr="00683E6B">
        <w:rPr>
          <w:rFonts w:ascii="Arial" w:hAnsi="Arial" w:cs="Arial"/>
          <w:sz w:val="24"/>
          <w:szCs w:val="24"/>
        </w:rPr>
        <w:t>K</w:t>
      </w:r>
      <w:r w:rsidR="0059641B">
        <w:rPr>
          <w:rFonts w:ascii="Arial" w:hAnsi="Arial" w:cs="Arial"/>
          <w:sz w:val="24"/>
          <w:szCs w:val="24"/>
        </w:rPr>
        <w:t>[</w:t>
      </w:r>
      <w:proofErr w:type="gramEnd"/>
      <w:r w:rsidR="0059641B">
        <w:rPr>
          <w:rFonts w:ascii="Arial" w:hAnsi="Arial" w:cs="Arial"/>
          <w:sz w:val="24"/>
          <w:szCs w:val="24"/>
        </w:rPr>
        <w:t>…]</w:t>
      </w:r>
      <w:r w:rsidR="006E3C73" w:rsidRPr="00683E6B">
        <w:rPr>
          <w:rFonts w:ascii="Arial" w:hAnsi="Arial" w:cs="Arial"/>
          <w:sz w:val="24"/>
          <w:szCs w:val="24"/>
        </w:rPr>
        <w:t xml:space="preserve"> was a passenger, turned right </w:t>
      </w:r>
      <w:r w:rsidR="00556833" w:rsidRPr="00683E6B">
        <w:rPr>
          <w:rFonts w:ascii="Arial" w:hAnsi="Arial" w:cs="Arial"/>
          <w:sz w:val="24"/>
          <w:szCs w:val="24"/>
        </w:rPr>
        <w:t xml:space="preserve">and </w:t>
      </w:r>
      <w:r w:rsidR="00907EC6" w:rsidRPr="00683E6B">
        <w:rPr>
          <w:rFonts w:ascii="Arial" w:hAnsi="Arial" w:cs="Arial"/>
          <w:sz w:val="24"/>
          <w:szCs w:val="24"/>
        </w:rPr>
        <w:t>into</w:t>
      </w:r>
      <w:r w:rsidR="006E3C73" w:rsidRPr="00683E6B">
        <w:rPr>
          <w:rFonts w:ascii="Arial" w:hAnsi="Arial" w:cs="Arial"/>
          <w:sz w:val="24"/>
          <w:szCs w:val="24"/>
        </w:rPr>
        <w:t xml:space="preserve"> the path of travel </w:t>
      </w:r>
      <w:r w:rsidR="00303E83" w:rsidRPr="00683E6B">
        <w:rPr>
          <w:rFonts w:ascii="Arial" w:hAnsi="Arial" w:cs="Arial"/>
          <w:sz w:val="24"/>
          <w:szCs w:val="24"/>
        </w:rPr>
        <w:t xml:space="preserve">of the vehicle </w:t>
      </w:r>
      <w:r w:rsidR="006E3C73" w:rsidRPr="00683E6B">
        <w:rPr>
          <w:rFonts w:ascii="Arial" w:hAnsi="Arial" w:cs="Arial"/>
          <w:sz w:val="24"/>
          <w:szCs w:val="24"/>
        </w:rPr>
        <w:t>in which K</w:t>
      </w:r>
      <w:r w:rsidR="0059641B">
        <w:rPr>
          <w:rFonts w:ascii="Arial" w:hAnsi="Arial" w:cs="Arial"/>
          <w:sz w:val="24"/>
          <w:szCs w:val="24"/>
        </w:rPr>
        <w:t>[…]</w:t>
      </w:r>
      <w:r w:rsidR="00E17B19" w:rsidRPr="00683E6B">
        <w:rPr>
          <w:rFonts w:ascii="Arial" w:hAnsi="Arial" w:cs="Arial"/>
          <w:sz w:val="24"/>
          <w:szCs w:val="24"/>
        </w:rPr>
        <w:t xml:space="preserve"> was a </w:t>
      </w:r>
      <w:r w:rsidR="006E3C73" w:rsidRPr="00683E6B">
        <w:rPr>
          <w:rFonts w:ascii="Arial" w:hAnsi="Arial" w:cs="Arial"/>
          <w:sz w:val="24"/>
          <w:szCs w:val="24"/>
        </w:rPr>
        <w:t xml:space="preserve">passenger.  </w:t>
      </w:r>
      <w:r w:rsidR="00F9509C" w:rsidRPr="00683E6B">
        <w:rPr>
          <w:rFonts w:ascii="Arial" w:hAnsi="Arial" w:cs="Arial"/>
          <w:sz w:val="24"/>
          <w:szCs w:val="24"/>
        </w:rPr>
        <w:t>As</w:t>
      </w:r>
      <w:r w:rsidR="0033574E" w:rsidRPr="00683E6B">
        <w:rPr>
          <w:rFonts w:ascii="Arial" w:hAnsi="Arial" w:cs="Arial"/>
          <w:sz w:val="24"/>
          <w:szCs w:val="24"/>
        </w:rPr>
        <w:t xml:space="preserve"> a </w:t>
      </w:r>
      <w:r w:rsidR="00455052" w:rsidRPr="00683E6B">
        <w:rPr>
          <w:rFonts w:ascii="Arial" w:hAnsi="Arial" w:cs="Arial"/>
          <w:sz w:val="24"/>
          <w:szCs w:val="24"/>
        </w:rPr>
        <w:t>result</w:t>
      </w:r>
      <w:r w:rsidR="0033574E" w:rsidRPr="00683E6B">
        <w:rPr>
          <w:rFonts w:ascii="Arial" w:hAnsi="Arial" w:cs="Arial"/>
          <w:sz w:val="24"/>
          <w:szCs w:val="24"/>
        </w:rPr>
        <w:t xml:space="preserve"> of the collision</w:t>
      </w:r>
      <w:r w:rsidR="00303E83" w:rsidRPr="00683E6B">
        <w:rPr>
          <w:rFonts w:ascii="Arial" w:hAnsi="Arial" w:cs="Arial"/>
          <w:sz w:val="24"/>
          <w:szCs w:val="24"/>
        </w:rPr>
        <w:t xml:space="preserve">, </w:t>
      </w:r>
      <w:proofErr w:type="gramStart"/>
      <w:r w:rsidR="00303E83" w:rsidRPr="00683E6B">
        <w:rPr>
          <w:rFonts w:ascii="Arial" w:hAnsi="Arial" w:cs="Arial"/>
          <w:sz w:val="24"/>
          <w:szCs w:val="24"/>
        </w:rPr>
        <w:t>K</w:t>
      </w:r>
      <w:r w:rsidR="0059641B">
        <w:rPr>
          <w:rFonts w:ascii="Arial" w:hAnsi="Arial" w:cs="Arial"/>
          <w:sz w:val="24"/>
          <w:szCs w:val="24"/>
        </w:rPr>
        <w:t>[</w:t>
      </w:r>
      <w:proofErr w:type="gramEnd"/>
      <w:r w:rsidR="0059641B">
        <w:rPr>
          <w:rFonts w:ascii="Arial" w:hAnsi="Arial" w:cs="Arial"/>
          <w:sz w:val="24"/>
          <w:szCs w:val="24"/>
        </w:rPr>
        <w:t>…]</w:t>
      </w:r>
      <w:r w:rsidR="0033574E" w:rsidRPr="00683E6B">
        <w:rPr>
          <w:rFonts w:ascii="Arial" w:hAnsi="Arial" w:cs="Arial"/>
          <w:sz w:val="24"/>
          <w:szCs w:val="24"/>
        </w:rPr>
        <w:t xml:space="preserve"> sustained various injuries </w:t>
      </w:r>
      <w:r w:rsidR="00F9509C" w:rsidRPr="00683E6B">
        <w:rPr>
          <w:rFonts w:ascii="Arial" w:hAnsi="Arial" w:cs="Arial"/>
          <w:sz w:val="24"/>
          <w:szCs w:val="24"/>
        </w:rPr>
        <w:t>w</w:t>
      </w:r>
      <w:r w:rsidR="0033574E" w:rsidRPr="00683E6B">
        <w:rPr>
          <w:rFonts w:ascii="Arial" w:hAnsi="Arial" w:cs="Arial"/>
          <w:sz w:val="24"/>
          <w:szCs w:val="24"/>
        </w:rPr>
        <w:t>hich will be dealt with later</w:t>
      </w:r>
      <w:r w:rsidR="00BB1320">
        <w:rPr>
          <w:rFonts w:ascii="Arial" w:hAnsi="Arial" w:cs="Arial"/>
          <w:sz w:val="24"/>
          <w:szCs w:val="24"/>
        </w:rPr>
        <w:t xml:space="preserve"> in this judgment</w:t>
      </w:r>
      <w:r w:rsidR="0033574E" w:rsidRPr="00683E6B">
        <w:rPr>
          <w:rFonts w:ascii="Arial" w:hAnsi="Arial" w:cs="Arial"/>
          <w:sz w:val="24"/>
          <w:szCs w:val="24"/>
        </w:rPr>
        <w:t>.</w:t>
      </w:r>
      <w:r w:rsidR="00B71C06" w:rsidRPr="00683E6B">
        <w:rPr>
          <w:rFonts w:ascii="Arial" w:hAnsi="Arial" w:cs="Arial"/>
          <w:sz w:val="24"/>
          <w:szCs w:val="24"/>
        </w:rPr>
        <w:t xml:space="preserve">  </w:t>
      </w:r>
    </w:p>
    <w:p w14:paraId="6BB8CA77" w14:textId="7B4207FB" w:rsidR="00CF442A" w:rsidRPr="00683E6B" w:rsidRDefault="0095319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These facts were deposed to by </w:t>
      </w:r>
      <w:proofErr w:type="gramStart"/>
      <w:r w:rsidRPr="00683E6B">
        <w:rPr>
          <w:rFonts w:ascii="Arial" w:hAnsi="Arial" w:cs="Arial"/>
          <w:sz w:val="24"/>
          <w:szCs w:val="24"/>
        </w:rPr>
        <w:t>K</w:t>
      </w:r>
      <w:r w:rsidR="0059641B">
        <w:rPr>
          <w:rFonts w:ascii="Arial" w:hAnsi="Arial" w:cs="Arial"/>
          <w:sz w:val="24"/>
          <w:szCs w:val="24"/>
        </w:rPr>
        <w:t>[</w:t>
      </w:r>
      <w:proofErr w:type="gramEnd"/>
      <w:r w:rsidR="0059641B">
        <w:rPr>
          <w:rFonts w:ascii="Arial" w:hAnsi="Arial" w:cs="Arial"/>
          <w:sz w:val="24"/>
          <w:szCs w:val="24"/>
        </w:rPr>
        <w:t>…]</w:t>
      </w:r>
      <w:r w:rsidRPr="00683E6B">
        <w:rPr>
          <w:rFonts w:ascii="Arial" w:hAnsi="Arial" w:cs="Arial"/>
          <w:sz w:val="24"/>
          <w:szCs w:val="24"/>
        </w:rPr>
        <w:t xml:space="preserve">’s mother.  </w:t>
      </w:r>
      <w:r w:rsidR="00B71C06" w:rsidRPr="00683E6B">
        <w:rPr>
          <w:rFonts w:ascii="Arial" w:hAnsi="Arial" w:cs="Arial"/>
          <w:sz w:val="24"/>
          <w:szCs w:val="24"/>
        </w:rPr>
        <w:t>It is not necessary for purposes of this judgment to</w:t>
      </w:r>
      <w:r w:rsidR="00E17B19" w:rsidRPr="00683E6B">
        <w:rPr>
          <w:rFonts w:ascii="Arial" w:hAnsi="Arial" w:cs="Arial"/>
          <w:sz w:val="24"/>
          <w:szCs w:val="24"/>
        </w:rPr>
        <w:t xml:space="preserve"> give a detailed </w:t>
      </w:r>
      <w:r w:rsidR="001023DB" w:rsidRPr="00683E6B">
        <w:rPr>
          <w:rFonts w:ascii="Arial" w:hAnsi="Arial" w:cs="Arial"/>
          <w:sz w:val="24"/>
          <w:szCs w:val="24"/>
        </w:rPr>
        <w:t>description</w:t>
      </w:r>
      <w:r w:rsidR="00E17B19" w:rsidRPr="00683E6B">
        <w:rPr>
          <w:rFonts w:ascii="Arial" w:hAnsi="Arial" w:cs="Arial"/>
          <w:sz w:val="24"/>
          <w:szCs w:val="24"/>
        </w:rPr>
        <w:t xml:space="preserve"> of the collision, </w:t>
      </w:r>
      <w:r w:rsidR="00CF442A" w:rsidRPr="00683E6B">
        <w:rPr>
          <w:rFonts w:ascii="Arial" w:hAnsi="Arial" w:cs="Arial"/>
          <w:sz w:val="24"/>
          <w:szCs w:val="24"/>
        </w:rPr>
        <w:t xml:space="preserve">because </w:t>
      </w:r>
      <w:r w:rsidR="00A57B1A" w:rsidRPr="00683E6B">
        <w:rPr>
          <w:rFonts w:ascii="Arial" w:hAnsi="Arial" w:cs="Arial"/>
          <w:sz w:val="24"/>
          <w:szCs w:val="24"/>
        </w:rPr>
        <w:t xml:space="preserve">on 25 October 2019 </w:t>
      </w:r>
      <w:r w:rsidR="00CF442A" w:rsidRPr="00683E6B">
        <w:rPr>
          <w:rFonts w:ascii="Arial" w:hAnsi="Arial" w:cs="Arial"/>
          <w:sz w:val="24"/>
          <w:szCs w:val="24"/>
        </w:rPr>
        <w:t xml:space="preserve">the defendant, correctly in my view, conceded that it was 100% liable for </w:t>
      </w:r>
      <w:r w:rsidR="00587F55" w:rsidRPr="00683E6B">
        <w:rPr>
          <w:rFonts w:ascii="Arial" w:hAnsi="Arial" w:cs="Arial"/>
          <w:sz w:val="24"/>
          <w:szCs w:val="24"/>
        </w:rPr>
        <w:t>the plaintiff</w:t>
      </w:r>
      <w:r w:rsidR="00CF442A" w:rsidRPr="00683E6B">
        <w:rPr>
          <w:rFonts w:ascii="Arial" w:hAnsi="Arial" w:cs="Arial"/>
          <w:sz w:val="24"/>
          <w:szCs w:val="24"/>
        </w:rPr>
        <w:t>’s proven damages.</w:t>
      </w:r>
    </w:p>
    <w:p w14:paraId="3EAD960F" w14:textId="223FE0EB" w:rsidR="000F07F1" w:rsidRPr="00683E6B" w:rsidRDefault="00551BA8"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In his particulars of claim the </w:t>
      </w:r>
      <w:r w:rsidR="000654EF" w:rsidRPr="00683E6B">
        <w:rPr>
          <w:rFonts w:ascii="Arial" w:hAnsi="Arial" w:cs="Arial"/>
          <w:sz w:val="24"/>
          <w:szCs w:val="24"/>
        </w:rPr>
        <w:t>erstwhile plaintiff, Mr Pieter</w:t>
      </w:r>
      <w:r w:rsidRPr="00683E6B">
        <w:rPr>
          <w:rFonts w:ascii="Arial" w:hAnsi="Arial" w:cs="Arial"/>
          <w:sz w:val="24"/>
          <w:szCs w:val="24"/>
        </w:rPr>
        <w:t xml:space="preserve"> </w:t>
      </w:r>
      <w:proofErr w:type="spellStart"/>
      <w:r w:rsidRPr="00683E6B">
        <w:rPr>
          <w:rFonts w:ascii="Arial" w:hAnsi="Arial" w:cs="Arial"/>
          <w:sz w:val="24"/>
          <w:szCs w:val="24"/>
        </w:rPr>
        <w:t>Wessels</w:t>
      </w:r>
      <w:proofErr w:type="spellEnd"/>
      <w:r w:rsidRPr="00683E6B">
        <w:rPr>
          <w:rFonts w:ascii="Arial" w:hAnsi="Arial" w:cs="Arial"/>
          <w:sz w:val="24"/>
          <w:szCs w:val="24"/>
        </w:rPr>
        <w:t xml:space="preserve">, who was </w:t>
      </w:r>
      <w:r w:rsidRPr="00683E6B">
        <w:rPr>
          <w:rFonts w:ascii="Arial" w:hAnsi="Arial" w:cs="Arial"/>
          <w:sz w:val="24"/>
          <w:szCs w:val="24"/>
        </w:rPr>
        <w:lastRenderedPageBreak/>
        <w:t xml:space="preserve">later replaced by </w:t>
      </w:r>
      <w:proofErr w:type="spellStart"/>
      <w:r w:rsidRPr="00683E6B">
        <w:rPr>
          <w:rFonts w:ascii="Arial" w:hAnsi="Arial" w:cs="Arial"/>
          <w:sz w:val="24"/>
          <w:szCs w:val="24"/>
        </w:rPr>
        <w:t>Adv</w:t>
      </w:r>
      <w:proofErr w:type="spellEnd"/>
      <w:r w:rsidRPr="00683E6B">
        <w:rPr>
          <w:rFonts w:ascii="Arial" w:hAnsi="Arial" w:cs="Arial"/>
          <w:sz w:val="24"/>
          <w:szCs w:val="24"/>
        </w:rPr>
        <w:t xml:space="preserve"> </w:t>
      </w:r>
      <w:proofErr w:type="spellStart"/>
      <w:r w:rsidRPr="00683E6B">
        <w:rPr>
          <w:rFonts w:ascii="Arial" w:hAnsi="Arial" w:cs="Arial"/>
          <w:sz w:val="24"/>
          <w:szCs w:val="24"/>
        </w:rPr>
        <w:t>Motala</w:t>
      </w:r>
      <w:proofErr w:type="spellEnd"/>
      <w:r w:rsidRPr="00683E6B">
        <w:rPr>
          <w:rFonts w:ascii="Arial" w:hAnsi="Arial" w:cs="Arial"/>
          <w:sz w:val="24"/>
          <w:szCs w:val="24"/>
        </w:rPr>
        <w:t xml:space="preserve"> (nothing turns on this) claimed a total of R4 220 000 in damages.  This amount was made up as follows:</w:t>
      </w:r>
    </w:p>
    <w:p w14:paraId="2AF31B16" w14:textId="109A18AE" w:rsidR="00551BA8" w:rsidRPr="00683E6B" w:rsidRDefault="00551BA8"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Past medical expenses:</w:t>
      </w:r>
      <w:r w:rsidRPr="00683E6B">
        <w:rPr>
          <w:rFonts w:ascii="Arial" w:hAnsi="Arial" w:cs="Arial"/>
          <w:sz w:val="24"/>
          <w:szCs w:val="24"/>
        </w:rPr>
        <w:tab/>
        <w:t>R100 000</w:t>
      </w:r>
    </w:p>
    <w:p w14:paraId="01E8502F" w14:textId="66B3A235" w:rsidR="00551BA8" w:rsidRPr="00683E6B" w:rsidRDefault="0057339D"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Future medical expenses:</w:t>
      </w:r>
      <w:r w:rsidRPr="00683E6B">
        <w:rPr>
          <w:rFonts w:ascii="Arial" w:hAnsi="Arial" w:cs="Arial"/>
          <w:sz w:val="24"/>
          <w:szCs w:val="24"/>
        </w:rPr>
        <w:tab/>
        <w:t>R300 000</w:t>
      </w:r>
    </w:p>
    <w:p w14:paraId="201D22C8" w14:textId="19F62099" w:rsidR="0057339D" w:rsidRPr="00683E6B" w:rsidRDefault="0057339D"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Future loss of earnings:</w:t>
      </w:r>
      <w:r w:rsidRPr="00683E6B">
        <w:rPr>
          <w:rFonts w:ascii="Arial" w:hAnsi="Arial" w:cs="Arial"/>
          <w:sz w:val="24"/>
          <w:szCs w:val="24"/>
        </w:rPr>
        <w:tab/>
        <w:t>R2 970 000</w:t>
      </w:r>
    </w:p>
    <w:p w14:paraId="54F85C2D" w14:textId="0FFE560F" w:rsidR="0057339D" w:rsidRPr="00683E6B" w:rsidRDefault="0057339D"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General damages:</w:t>
      </w:r>
      <w:r w:rsidRPr="00683E6B">
        <w:rPr>
          <w:rFonts w:ascii="Arial" w:hAnsi="Arial" w:cs="Arial"/>
          <w:sz w:val="24"/>
          <w:szCs w:val="24"/>
        </w:rPr>
        <w:tab/>
        <w:t>R850</w:t>
      </w:r>
      <w:r w:rsidR="00411182" w:rsidRPr="00683E6B">
        <w:rPr>
          <w:rFonts w:ascii="Arial" w:hAnsi="Arial" w:cs="Arial"/>
          <w:sz w:val="24"/>
          <w:szCs w:val="24"/>
        </w:rPr>
        <w:t> </w:t>
      </w:r>
      <w:r w:rsidRPr="00683E6B">
        <w:rPr>
          <w:rFonts w:ascii="Arial" w:hAnsi="Arial" w:cs="Arial"/>
          <w:sz w:val="24"/>
          <w:szCs w:val="24"/>
        </w:rPr>
        <w:t>000</w:t>
      </w:r>
    </w:p>
    <w:p w14:paraId="0234562A" w14:textId="5E10FFD8" w:rsidR="004107C8" w:rsidRPr="00683E6B" w:rsidRDefault="004964DD"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19 January 2023 </w:t>
      </w:r>
      <w:r w:rsidR="00587F55" w:rsidRPr="00683E6B">
        <w:rPr>
          <w:rFonts w:ascii="Arial" w:hAnsi="Arial" w:cs="Arial"/>
          <w:sz w:val="24"/>
          <w:szCs w:val="24"/>
        </w:rPr>
        <w:t>the plaintiff</w:t>
      </w:r>
      <w:r w:rsidRPr="00683E6B">
        <w:rPr>
          <w:rFonts w:ascii="Arial" w:hAnsi="Arial" w:cs="Arial"/>
          <w:sz w:val="24"/>
          <w:szCs w:val="24"/>
        </w:rPr>
        <w:t xml:space="preserve"> </w:t>
      </w:r>
      <w:r w:rsidR="0079607A" w:rsidRPr="00683E6B">
        <w:rPr>
          <w:rFonts w:ascii="Arial" w:hAnsi="Arial" w:cs="Arial"/>
          <w:sz w:val="24"/>
          <w:szCs w:val="24"/>
        </w:rPr>
        <w:t>gave</w:t>
      </w:r>
      <w:r w:rsidRPr="00683E6B">
        <w:rPr>
          <w:rFonts w:ascii="Arial" w:hAnsi="Arial" w:cs="Arial"/>
          <w:sz w:val="24"/>
          <w:szCs w:val="24"/>
        </w:rPr>
        <w:t xml:space="preserve"> notice of </w:t>
      </w:r>
      <w:r w:rsidR="00B51D45">
        <w:rPr>
          <w:rFonts w:ascii="Arial" w:hAnsi="Arial" w:cs="Arial"/>
          <w:sz w:val="24"/>
          <w:szCs w:val="24"/>
        </w:rPr>
        <w:t xml:space="preserve">his </w:t>
      </w:r>
      <w:r w:rsidRPr="00683E6B">
        <w:rPr>
          <w:rFonts w:ascii="Arial" w:hAnsi="Arial" w:cs="Arial"/>
          <w:sz w:val="24"/>
          <w:szCs w:val="24"/>
        </w:rPr>
        <w:t xml:space="preserve">intention to amend </w:t>
      </w:r>
      <w:r w:rsidR="00F611DE" w:rsidRPr="00683E6B">
        <w:rPr>
          <w:rFonts w:ascii="Arial" w:hAnsi="Arial" w:cs="Arial"/>
          <w:sz w:val="24"/>
          <w:szCs w:val="24"/>
        </w:rPr>
        <w:t>h</w:t>
      </w:r>
      <w:r w:rsidR="00DA1D06" w:rsidRPr="00683E6B">
        <w:rPr>
          <w:rFonts w:ascii="Arial" w:hAnsi="Arial" w:cs="Arial"/>
          <w:sz w:val="24"/>
          <w:szCs w:val="24"/>
        </w:rPr>
        <w:t>is</w:t>
      </w:r>
      <w:r w:rsidRPr="00683E6B">
        <w:rPr>
          <w:rFonts w:ascii="Arial" w:hAnsi="Arial" w:cs="Arial"/>
          <w:sz w:val="24"/>
          <w:szCs w:val="24"/>
        </w:rPr>
        <w:t xml:space="preserve"> particulars of claim.</w:t>
      </w:r>
      <w:r w:rsidR="00D95E00" w:rsidRPr="00683E6B">
        <w:rPr>
          <w:rFonts w:ascii="Arial" w:hAnsi="Arial" w:cs="Arial"/>
          <w:sz w:val="24"/>
          <w:szCs w:val="24"/>
        </w:rPr>
        <w:t xml:space="preserve">  The defendant did not object to the proposed amendment, and the replacement pages were duly filed on 2 February 2023.  </w:t>
      </w:r>
    </w:p>
    <w:p w14:paraId="26915C12" w14:textId="1FD518E3" w:rsidR="00411182" w:rsidRPr="00683E6B" w:rsidRDefault="00D95E00"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essence of the amendment</w:t>
      </w:r>
      <w:r w:rsidR="004107C8" w:rsidRPr="00683E6B">
        <w:rPr>
          <w:rFonts w:ascii="Arial" w:hAnsi="Arial" w:cs="Arial"/>
          <w:sz w:val="24"/>
          <w:szCs w:val="24"/>
        </w:rPr>
        <w:t xml:space="preserve"> was twofold.  Firstly, it introduced </w:t>
      </w:r>
      <w:r w:rsidRPr="00683E6B">
        <w:rPr>
          <w:rFonts w:ascii="Arial" w:hAnsi="Arial" w:cs="Arial"/>
          <w:sz w:val="24"/>
          <w:szCs w:val="24"/>
        </w:rPr>
        <w:t>two further injuries in paragraph 7 of the particulars of claim</w:t>
      </w:r>
      <w:r w:rsidR="004107C8" w:rsidRPr="00683E6B">
        <w:rPr>
          <w:rFonts w:ascii="Arial" w:hAnsi="Arial" w:cs="Arial"/>
          <w:sz w:val="24"/>
          <w:szCs w:val="24"/>
        </w:rPr>
        <w:t xml:space="preserve">, namely </w:t>
      </w:r>
      <w:r w:rsidRPr="00683E6B">
        <w:rPr>
          <w:rFonts w:ascii="Arial" w:hAnsi="Arial" w:cs="Arial"/>
          <w:sz w:val="24"/>
          <w:szCs w:val="24"/>
        </w:rPr>
        <w:t xml:space="preserve">a </w:t>
      </w:r>
      <w:r w:rsidR="004107C8" w:rsidRPr="00683E6B">
        <w:rPr>
          <w:rFonts w:ascii="Arial" w:hAnsi="Arial" w:cs="Arial"/>
          <w:sz w:val="24"/>
          <w:szCs w:val="24"/>
        </w:rPr>
        <w:t>“</w:t>
      </w:r>
      <w:r w:rsidRPr="00683E6B">
        <w:rPr>
          <w:rFonts w:ascii="Arial" w:hAnsi="Arial" w:cs="Arial"/>
          <w:sz w:val="24"/>
          <w:szCs w:val="24"/>
        </w:rPr>
        <w:t>sift (</w:t>
      </w:r>
      <w:r w:rsidR="004107C8" w:rsidRPr="00683E6B">
        <w:rPr>
          <w:rFonts w:ascii="Arial" w:hAnsi="Arial" w:cs="Arial"/>
          <w:sz w:val="24"/>
          <w:szCs w:val="24"/>
        </w:rPr>
        <w:t xml:space="preserve">sic) </w:t>
      </w:r>
      <w:r w:rsidRPr="00683E6B">
        <w:rPr>
          <w:rFonts w:ascii="Arial" w:hAnsi="Arial" w:cs="Arial"/>
          <w:sz w:val="24"/>
          <w:szCs w:val="24"/>
        </w:rPr>
        <w:t>tissue brain injury of th</w:t>
      </w:r>
      <w:r w:rsidR="00D54BB3" w:rsidRPr="00683E6B">
        <w:rPr>
          <w:rFonts w:ascii="Arial" w:hAnsi="Arial" w:cs="Arial"/>
          <w:sz w:val="24"/>
          <w:szCs w:val="24"/>
        </w:rPr>
        <w:t>e</w:t>
      </w:r>
      <w:r w:rsidRPr="00683E6B">
        <w:rPr>
          <w:rFonts w:ascii="Arial" w:hAnsi="Arial" w:cs="Arial"/>
          <w:sz w:val="24"/>
          <w:szCs w:val="24"/>
        </w:rPr>
        <w:t xml:space="preserve"> cervical spine</w:t>
      </w:r>
      <w:r w:rsidR="004107C8" w:rsidRPr="00683E6B">
        <w:rPr>
          <w:rFonts w:ascii="Arial" w:hAnsi="Arial" w:cs="Arial"/>
          <w:sz w:val="24"/>
          <w:szCs w:val="24"/>
        </w:rPr>
        <w:t xml:space="preserve">” and a “speech impairment”.  Secondly, it significantly increased </w:t>
      </w:r>
      <w:r w:rsidR="00587F55" w:rsidRPr="00683E6B">
        <w:rPr>
          <w:rFonts w:ascii="Arial" w:hAnsi="Arial" w:cs="Arial"/>
          <w:sz w:val="24"/>
          <w:szCs w:val="24"/>
        </w:rPr>
        <w:t>the plaintiff</w:t>
      </w:r>
      <w:r w:rsidR="004107C8" w:rsidRPr="00683E6B">
        <w:rPr>
          <w:rFonts w:ascii="Arial" w:hAnsi="Arial" w:cs="Arial"/>
          <w:sz w:val="24"/>
          <w:szCs w:val="24"/>
        </w:rPr>
        <w:t xml:space="preserve">’s claim to a total amount of R8 600 719.18.  This </w:t>
      </w:r>
      <w:r w:rsidR="0079607A" w:rsidRPr="00683E6B">
        <w:rPr>
          <w:rFonts w:ascii="Arial" w:hAnsi="Arial" w:cs="Arial"/>
          <w:sz w:val="24"/>
          <w:szCs w:val="24"/>
        </w:rPr>
        <w:t xml:space="preserve">new </w:t>
      </w:r>
      <w:r w:rsidR="004107C8" w:rsidRPr="00683E6B">
        <w:rPr>
          <w:rFonts w:ascii="Arial" w:hAnsi="Arial" w:cs="Arial"/>
          <w:sz w:val="24"/>
          <w:szCs w:val="24"/>
        </w:rPr>
        <w:t>amount was made up as follows:</w:t>
      </w:r>
    </w:p>
    <w:p w14:paraId="5FE39035" w14:textId="65507FC9" w:rsidR="004107C8" w:rsidRPr="00683E6B" w:rsidRDefault="004107C8"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Past medical expenses:</w:t>
      </w:r>
      <w:r w:rsidRPr="00683E6B">
        <w:rPr>
          <w:rFonts w:ascii="Arial" w:hAnsi="Arial" w:cs="Arial"/>
          <w:sz w:val="24"/>
          <w:szCs w:val="24"/>
        </w:rPr>
        <w:tab/>
        <w:t>R10</w:t>
      </w:r>
      <w:r w:rsidR="00964F0B" w:rsidRPr="00683E6B">
        <w:rPr>
          <w:rFonts w:ascii="Arial" w:hAnsi="Arial" w:cs="Arial"/>
          <w:sz w:val="24"/>
          <w:szCs w:val="24"/>
        </w:rPr>
        <w:t>4 504.18</w:t>
      </w:r>
    </w:p>
    <w:p w14:paraId="479321A7" w14:textId="6A81E09D" w:rsidR="004107C8" w:rsidRPr="00683E6B" w:rsidRDefault="004107C8"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Future loss of earnings:</w:t>
      </w:r>
      <w:r w:rsidRPr="00683E6B">
        <w:rPr>
          <w:rFonts w:ascii="Arial" w:hAnsi="Arial" w:cs="Arial"/>
          <w:sz w:val="24"/>
          <w:szCs w:val="24"/>
        </w:rPr>
        <w:tab/>
        <w:t>R</w:t>
      </w:r>
      <w:r w:rsidR="00964F0B" w:rsidRPr="00683E6B">
        <w:rPr>
          <w:rFonts w:ascii="Arial" w:hAnsi="Arial" w:cs="Arial"/>
          <w:sz w:val="24"/>
          <w:szCs w:val="24"/>
        </w:rPr>
        <w:t>6 946 215.00</w:t>
      </w:r>
    </w:p>
    <w:p w14:paraId="2C01E60F" w14:textId="49EA8F9E" w:rsidR="004107C8" w:rsidRPr="00683E6B" w:rsidRDefault="004107C8"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General damages:</w:t>
      </w:r>
      <w:r w:rsidRPr="00683E6B">
        <w:rPr>
          <w:rFonts w:ascii="Arial" w:hAnsi="Arial" w:cs="Arial"/>
          <w:sz w:val="24"/>
          <w:szCs w:val="24"/>
        </w:rPr>
        <w:tab/>
        <w:t>R</w:t>
      </w:r>
      <w:r w:rsidR="00751F34" w:rsidRPr="00683E6B">
        <w:rPr>
          <w:rFonts w:ascii="Arial" w:hAnsi="Arial" w:cs="Arial"/>
          <w:sz w:val="24"/>
          <w:szCs w:val="24"/>
        </w:rPr>
        <w:t>1 250 000.00</w:t>
      </w:r>
    </w:p>
    <w:p w14:paraId="33607A73" w14:textId="2321C4D0" w:rsidR="00A14186" w:rsidRPr="00683E6B" w:rsidRDefault="000F07F1"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2 May 2023 the defendant’s defence was struck out by </w:t>
      </w:r>
      <w:proofErr w:type="spellStart"/>
      <w:r w:rsidRPr="00683E6B">
        <w:rPr>
          <w:rFonts w:ascii="Arial" w:hAnsi="Arial" w:cs="Arial"/>
          <w:sz w:val="24"/>
          <w:szCs w:val="24"/>
        </w:rPr>
        <w:t>Strydom</w:t>
      </w:r>
      <w:proofErr w:type="spellEnd"/>
      <w:r w:rsidRPr="00683E6B">
        <w:rPr>
          <w:rFonts w:ascii="Arial" w:hAnsi="Arial" w:cs="Arial"/>
          <w:sz w:val="24"/>
          <w:szCs w:val="24"/>
        </w:rPr>
        <w:t xml:space="preserve"> J, and </w:t>
      </w:r>
      <w:r w:rsidR="00587F55" w:rsidRPr="00683E6B">
        <w:rPr>
          <w:rFonts w:ascii="Arial" w:hAnsi="Arial" w:cs="Arial"/>
          <w:sz w:val="24"/>
          <w:szCs w:val="24"/>
        </w:rPr>
        <w:t>the plaintiff</w:t>
      </w:r>
      <w:r w:rsidRPr="00683E6B">
        <w:rPr>
          <w:rFonts w:ascii="Arial" w:hAnsi="Arial" w:cs="Arial"/>
          <w:sz w:val="24"/>
          <w:szCs w:val="24"/>
        </w:rPr>
        <w:t xml:space="preserve"> was granted an order entitling </w:t>
      </w:r>
      <w:r w:rsidR="00FA1110" w:rsidRPr="00683E6B">
        <w:rPr>
          <w:rFonts w:ascii="Arial" w:hAnsi="Arial" w:cs="Arial"/>
          <w:sz w:val="24"/>
          <w:szCs w:val="24"/>
        </w:rPr>
        <w:t>him</w:t>
      </w:r>
      <w:r w:rsidRPr="00683E6B">
        <w:rPr>
          <w:rFonts w:ascii="Arial" w:hAnsi="Arial" w:cs="Arial"/>
          <w:sz w:val="24"/>
          <w:szCs w:val="24"/>
        </w:rPr>
        <w:t xml:space="preserve"> to approach the </w:t>
      </w:r>
      <w:r w:rsidR="0079607A" w:rsidRPr="00683E6B">
        <w:rPr>
          <w:rFonts w:ascii="Arial" w:hAnsi="Arial" w:cs="Arial"/>
          <w:sz w:val="24"/>
          <w:szCs w:val="24"/>
        </w:rPr>
        <w:t>r</w:t>
      </w:r>
      <w:r w:rsidRPr="00683E6B">
        <w:rPr>
          <w:rFonts w:ascii="Arial" w:hAnsi="Arial" w:cs="Arial"/>
          <w:sz w:val="24"/>
          <w:szCs w:val="24"/>
        </w:rPr>
        <w:t>egistrar for a date to seek default judgment against the defendant.  I will return</w:t>
      </w:r>
      <w:r w:rsidR="004C2908" w:rsidRPr="00683E6B">
        <w:rPr>
          <w:rFonts w:ascii="Arial" w:hAnsi="Arial" w:cs="Arial"/>
          <w:sz w:val="24"/>
          <w:szCs w:val="24"/>
        </w:rPr>
        <w:t xml:space="preserve"> to the effect of such striking </w:t>
      </w:r>
      <w:r w:rsidRPr="00683E6B">
        <w:rPr>
          <w:rFonts w:ascii="Arial" w:hAnsi="Arial" w:cs="Arial"/>
          <w:sz w:val="24"/>
          <w:szCs w:val="24"/>
        </w:rPr>
        <w:t xml:space="preserve">later </w:t>
      </w:r>
      <w:r w:rsidRPr="00683E6B">
        <w:rPr>
          <w:rFonts w:ascii="Arial" w:hAnsi="Arial" w:cs="Arial"/>
          <w:sz w:val="24"/>
          <w:szCs w:val="24"/>
        </w:rPr>
        <w:lastRenderedPageBreak/>
        <w:t>in this judgment.</w:t>
      </w:r>
    </w:p>
    <w:p w14:paraId="7C8E2972" w14:textId="3D186F41" w:rsidR="004165DB" w:rsidRPr="00683E6B" w:rsidRDefault="0062618B"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12 July 2023 </w:t>
      </w:r>
      <w:r w:rsidR="00587F55" w:rsidRPr="00683E6B">
        <w:rPr>
          <w:rFonts w:ascii="Arial" w:hAnsi="Arial" w:cs="Arial"/>
          <w:sz w:val="24"/>
          <w:szCs w:val="24"/>
        </w:rPr>
        <w:t>the plaintiff</w:t>
      </w:r>
      <w:r w:rsidRPr="00683E6B">
        <w:rPr>
          <w:rFonts w:ascii="Arial" w:hAnsi="Arial" w:cs="Arial"/>
          <w:sz w:val="24"/>
          <w:szCs w:val="24"/>
        </w:rPr>
        <w:t xml:space="preserve">’s attorney, Ms Melissa van </w:t>
      </w:r>
      <w:proofErr w:type="spellStart"/>
      <w:r w:rsidRPr="00683E6B">
        <w:rPr>
          <w:rFonts w:ascii="Arial" w:hAnsi="Arial" w:cs="Arial"/>
          <w:sz w:val="24"/>
          <w:szCs w:val="24"/>
        </w:rPr>
        <w:t>Tellingen</w:t>
      </w:r>
      <w:proofErr w:type="spellEnd"/>
      <w:r w:rsidRPr="00683E6B">
        <w:rPr>
          <w:rFonts w:ascii="Arial" w:hAnsi="Arial" w:cs="Arial"/>
          <w:sz w:val="24"/>
          <w:szCs w:val="24"/>
        </w:rPr>
        <w:t>, deposed to an affidavit in which she confirmed</w:t>
      </w:r>
      <w:r w:rsidR="0079607A" w:rsidRPr="00683E6B">
        <w:rPr>
          <w:rFonts w:ascii="Arial" w:hAnsi="Arial" w:cs="Arial"/>
          <w:sz w:val="24"/>
          <w:szCs w:val="24"/>
        </w:rPr>
        <w:t>,</w:t>
      </w:r>
      <w:r w:rsidRPr="00683E6B">
        <w:rPr>
          <w:rFonts w:ascii="Arial" w:hAnsi="Arial" w:cs="Arial"/>
          <w:sz w:val="24"/>
          <w:szCs w:val="24"/>
        </w:rPr>
        <w:t xml:space="preserve"> amongst other things</w:t>
      </w:r>
      <w:r w:rsidR="0079607A" w:rsidRPr="00683E6B">
        <w:rPr>
          <w:rFonts w:ascii="Arial" w:hAnsi="Arial" w:cs="Arial"/>
          <w:sz w:val="24"/>
          <w:szCs w:val="24"/>
        </w:rPr>
        <w:t>,</w:t>
      </w:r>
      <w:r w:rsidRPr="00683E6B">
        <w:rPr>
          <w:rFonts w:ascii="Arial" w:hAnsi="Arial" w:cs="Arial"/>
          <w:sz w:val="24"/>
          <w:szCs w:val="24"/>
        </w:rPr>
        <w:t xml:space="preserve"> that</w:t>
      </w:r>
      <w:r w:rsidR="004165DB" w:rsidRPr="00683E6B">
        <w:rPr>
          <w:rFonts w:ascii="Arial" w:hAnsi="Arial" w:cs="Arial"/>
          <w:sz w:val="24"/>
          <w:szCs w:val="24"/>
        </w:rPr>
        <w:t>:</w:t>
      </w:r>
    </w:p>
    <w:p w14:paraId="7409D1C5" w14:textId="1CD158FE" w:rsidR="004165DB" w:rsidRPr="003F6E23" w:rsidRDefault="00784EA6" w:rsidP="0072428D">
      <w:pPr>
        <w:pStyle w:val="ListParagraph"/>
        <w:widowControl w:val="0"/>
        <w:tabs>
          <w:tab w:val="left" w:pos="1701"/>
        </w:tabs>
        <w:spacing w:before="300" w:after="0" w:line="480" w:lineRule="auto"/>
        <w:ind w:left="709" w:right="-23"/>
        <w:jc w:val="both"/>
        <w:rPr>
          <w:rFonts w:ascii="Arial" w:hAnsi="Arial" w:cs="Arial"/>
          <w:sz w:val="24"/>
          <w:szCs w:val="24"/>
        </w:rPr>
      </w:pPr>
      <w:r w:rsidRPr="003F6E23">
        <w:rPr>
          <w:rFonts w:ascii="Arial" w:hAnsi="Arial" w:cs="Arial"/>
          <w:sz w:val="24"/>
          <w:szCs w:val="24"/>
        </w:rPr>
        <w:t>“</w:t>
      </w:r>
      <w:r w:rsidR="004165DB" w:rsidRPr="003F6E23">
        <w:rPr>
          <w:rFonts w:ascii="Arial" w:hAnsi="Arial" w:cs="Arial"/>
          <w:i/>
          <w:iCs/>
          <w:sz w:val="24"/>
          <w:szCs w:val="24"/>
        </w:rPr>
        <w:t xml:space="preserve">2.2 </w:t>
      </w:r>
      <w:r w:rsidR="004165DB" w:rsidRPr="003F6E23">
        <w:rPr>
          <w:rFonts w:ascii="Arial" w:hAnsi="Arial" w:cs="Arial"/>
          <w:i/>
          <w:iCs/>
          <w:sz w:val="24"/>
          <w:szCs w:val="24"/>
        </w:rPr>
        <w:tab/>
      </w:r>
      <w:r w:rsidR="00587F55" w:rsidRPr="003F6E23">
        <w:rPr>
          <w:rFonts w:ascii="Arial" w:hAnsi="Arial" w:cs="Arial"/>
          <w:i/>
          <w:iCs/>
          <w:sz w:val="24"/>
          <w:szCs w:val="24"/>
        </w:rPr>
        <w:t>the plaintiff</w:t>
      </w:r>
      <w:r w:rsidR="004165DB" w:rsidRPr="003F6E23">
        <w:rPr>
          <w:rFonts w:ascii="Arial" w:hAnsi="Arial" w:cs="Arial"/>
          <w:i/>
          <w:iCs/>
          <w:sz w:val="24"/>
          <w:szCs w:val="24"/>
        </w:rPr>
        <w:t xml:space="preserve"> has filed all of her (sic) medico legal reports including the actuarial calculation;</w:t>
      </w:r>
      <w:r w:rsidR="004165DB" w:rsidRPr="003F6E23">
        <w:rPr>
          <w:rFonts w:ascii="Arial" w:hAnsi="Arial" w:cs="Arial"/>
          <w:sz w:val="24"/>
          <w:szCs w:val="24"/>
        </w:rPr>
        <w:t>”</w:t>
      </w:r>
    </w:p>
    <w:p w14:paraId="16AA9386" w14:textId="74409951" w:rsidR="004165DB" w:rsidRPr="003F6E23" w:rsidRDefault="00784EA6" w:rsidP="0072428D">
      <w:pPr>
        <w:pStyle w:val="ListParagraph"/>
        <w:widowControl w:val="0"/>
        <w:tabs>
          <w:tab w:val="left" w:pos="1701"/>
        </w:tabs>
        <w:spacing w:before="300" w:after="0" w:line="480" w:lineRule="auto"/>
        <w:ind w:left="709" w:right="-23"/>
        <w:jc w:val="both"/>
        <w:rPr>
          <w:rFonts w:ascii="Arial" w:hAnsi="Arial" w:cs="Arial"/>
          <w:sz w:val="24"/>
          <w:szCs w:val="24"/>
        </w:rPr>
      </w:pPr>
      <w:r w:rsidRPr="003F6E23">
        <w:rPr>
          <w:rFonts w:ascii="Arial" w:hAnsi="Arial" w:cs="Arial"/>
          <w:sz w:val="24"/>
          <w:szCs w:val="24"/>
        </w:rPr>
        <w:t>“</w:t>
      </w:r>
      <w:r w:rsidR="004165DB" w:rsidRPr="003F6E23">
        <w:rPr>
          <w:rFonts w:ascii="Arial" w:hAnsi="Arial" w:cs="Arial"/>
          <w:i/>
          <w:iCs/>
          <w:sz w:val="24"/>
          <w:szCs w:val="24"/>
        </w:rPr>
        <w:t>2.3</w:t>
      </w:r>
      <w:r w:rsidR="004165DB" w:rsidRPr="003F6E23">
        <w:rPr>
          <w:rFonts w:ascii="Arial" w:hAnsi="Arial" w:cs="Arial"/>
          <w:i/>
          <w:iCs/>
          <w:sz w:val="24"/>
          <w:szCs w:val="24"/>
        </w:rPr>
        <w:tab/>
      </w:r>
      <w:r w:rsidRPr="003F6E23">
        <w:rPr>
          <w:rFonts w:ascii="Arial" w:hAnsi="Arial" w:cs="Arial"/>
          <w:i/>
          <w:iCs/>
          <w:sz w:val="24"/>
          <w:szCs w:val="24"/>
        </w:rPr>
        <w:t>n</w:t>
      </w:r>
      <w:r w:rsidR="004165DB" w:rsidRPr="003F6E23">
        <w:rPr>
          <w:rFonts w:ascii="Arial" w:hAnsi="Arial" w:cs="Arial"/>
          <w:i/>
          <w:iCs/>
          <w:sz w:val="24"/>
          <w:szCs w:val="24"/>
        </w:rPr>
        <w:t>o further interlocutory applications are outstanding or anticipated</w:t>
      </w:r>
      <w:r w:rsidR="004165DB" w:rsidRPr="003F6E23">
        <w:rPr>
          <w:rFonts w:ascii="Arial" w:hAnsi="Arial" w:cs="Arial"/>
          <w:sz w:val="24"/>
          <w:szCs w:val="24"/>
        </w:rPr>
        <w:t>;</w:t>
      </w:r>
      <w:r w:rsidRPr="003F6E23">
        <w:rPr>
          <w:rFonts w:ascii="Arial" w:hAnsi="Arial" w:cs="Arial"/>
          <w:sz w:val="24"/>
          <w:szCs w:val="24"/>
        </w:rPr>
        <w:t>”</w:t>
      </w:r>
    </w:p>
    <w:p w14:paraId="41439FD5" w14:textId="4F749FC8" w:rsidR="00784EA6" w:rsidRPr="003F6E23" w:rsidRDefault="00784EA6" w:rsidP="0072428D">
      <w:pPr>
        <w:pStyle w:val="ListParagraph"/>
        <w:widowControl w:val="0"/>
        <w:tabs>
          <w:tab w:val="left" w:pos="1701"/>
        </w:tabs>
        <w:spacing w:before="300" w:after="0" w:line="480" w:lineRule="auto"/>
        <w:ind w:left="709" w:right="-23"/>
        <w:jc w:val="both"/>
        <w:rPr>
          <w:rFonts w:ascii="Arial" w:hAnsi="Arial" w:cs="Arial"/>
          <w:sz w:val="24"/>
          <w:szCs w:val="24"/>
        </w:rPr>
      </w:pPr>
      <w:r w:rsidRPr="003F6E23">
        <w:rPr>
          <w:rFonts w:ascii="Arial" w:hAnsi="Arial" w:cs="Arial"/>
          <w:sz w:val="24"/>
          <w:szCs w:val="24"/>
        </w:rPr>
        <w:t>“</w:t>
      </w:r>
      <w:proofErr w:type="gramStart"/>
      <w:r w:rsidRPr="003F6E23">
        <w:rPr>
          <w:rFonts w:ascii="Arial" w:hAnsi="Arial" w:cs="Arial"/>
          <w:i/>
          <w:iCs/>
          <w:sz w:val="24"/>
          <w:szCs w:val="24"/>
        </w:rPr>
        <w:t>2..</w:t>
      </w:r>
      <w:proofErr w:type="gramEnd"/>
      <w:r w:rsidRPr="003F6E23">
        <w:rPr>
          <w:rFonts w:ascii="Arial" w:hAnsi="Arial" w:cs="Arial"/>
          <w:i/>
          <w:iCs/>
          <w:sz w:val="24"/>
          <w:szCs w:val="24"/>
        </w:rPr>
        <w:t>5</w:t>
      </w:r>
      <w:r w:rsidRPr="003F6E23">
        <w:rPr>
          <w:rFonts w:ascii="Arial" w:hAnsi="Arial" w:cs="Arial"/>
          <w:i/>
          <w:iCs/>
          <w:sz w:val="24"/>
          <w:szCs w:val="24"/>
        </w:rPr>
        <w:tab/>
        <w:t>all relevant pleadings, notices, expert reports and documents uploaded to case lines in specified sections…;</w:t>
      </w:r>
      <w:r w:rsidRPr="003F6E23">
        <w:rPr>
          <w:rFonts w:ascii="Arial" w:hAnsi="Arial" w:cs="Arial"/>
          <w:sz w:val="24"/>
          <w:szCs w:val="24"/>
        </w:rPr>
        <w:t>”</w:t>
      </w:r>
    </w:p>
    <w:p w14:paraId="021C83CA" w14:textId="6DEC5987" w:rsidR="0062618B" w:rsidRPr="003F6E23" w:rsidRDefault="00784EA6" w:rsidP="0072428D">
      <w:pPr>
        <w:pStyle w:val="ListParagraph"/>
        <w:widowControl w:val="0"/>
        <w:tabs>
          <w:tab w:val="left" w:pos="1701"/>
        </w:tabs>
        <w:spacing w:before="300" w:after="0" w:line="480" w:lineRule="auto"/>
        <w:ind w:left="709" w:right="-23"/>
        <w:jc w:val="both"/>
        <w:rPr>
          <w:rFonts w:ascii="Arial" w:hAnsi="Arial" w:cs="Arial"/>
          <w:sz w:val="24"/>
          <w:szCs w:val="24"/>
        </w:rPr>
      </w:pPr>
      <w:r w:rsidRPr="003F6E23">
        <w:rPr>
          <w:rFonts w:ascii="Arial" w:hAnsi="Arial" w:cs="Arial"/>
          <w:i/>
          <w:iCs/>
          <w:sz w:val="24"/>
          <w:szCs w:val="24"/>
        </w:rPr>
        <w:t>2.6</w:t>
      </w:r>
      <w:r w:rsidRPr="003F6E23">
        <w:rPr>
          <w:rFonts w:ascii="Arial" w:hAnsi="Arial" w:cs="Arial"/>
          <w:i/>
          <w:iCs/>
          <w:sz w:val="24"/>
          <w:szCs w:val="24"/>
        </w:rPr>
        <w:tab/>
      </w:r>
      <w:r w:rsidR="0062618B" w:rsidRPr="003F6E23">
        <w:rPr>
          <w:rFonts w:ascii="Arial" w:hAnsi="Arial" w:cs="Arial"/>
          <w:i/>
          <w:iCs/>
          <w:sz w:val="24"/>
          <w:szCs w:val="24"/>
        </w:rPr>
        <w:t>“the matter is trial ready in respect of quantum only and that the matter may be allocated a default judg</w:t>
      </w:r>
      <w:r w:rsidR="00D4275A" w:rsidRPr="003F6E23">
        <w:rPr>
          <w:rFonts w:ascii="Arial" w:hAnsi="Arial" w:cs="Arial"/>
          <w:i/>
          <w:iCs/>
          <w:sz w:val="24"/>
          <w:szCs w:val="24"/>
        </w:rPr>
        <w:t>e</w:t>
      </w:r>
      <w:r w:rsidR="0062618B" w:rsidRPr="003F6E23">
        <w:rPr>
          <w:rFonts w:ascii="Arial" w:hAnsi="Arial" w:cs="Arial"/>
          <w:i/>
          <w:iCs/>
          <w:sz w:val="24"/>
          <w:szCs w:val="24"/>
        </w:rPr>
        <w:t>ment trial date”.</w:t>
      </w:r>
      <w:r w:rsidR="00174880" w:rsidRPr="003F6E23">
        <w:rPr>
          <w:rFonts w:ascii="Arial" w:hAnsi="Arial" w:cs="Arial"/>
          <w:i/>
          <w:iCs/>
          <w:sz w:val="24"/>
          <w:szCs w:val="24"/>
        </w:rPr>
        <w:t xml:space="preserve">  This affidavit was filed in compliance with the revised practice directive 1 of 2021</w:t>
      </w:r>
      <w:r w:rsidR="00215C91" w:rsidRPr="003F6E23">
        <w:rPr>
          <w:rFonts w:ascii="Arial" w:hAnsi="Arial" w:cs="Arial"/>
          <w:sz w:val="24"/>
          <w:szCs w:val="24"/>
        </w:rPr>
        <w:t>;</w:t>
      </w:r>
      <w:r w:rsidR="00215C91" w:rsidRPr="003F6E23">
        <w:rPr>
          <w:rFonts w:ascii="Arial" w:hAnsi="Arial" w:cs="Arial"/>
          <w:i/>
          <w:iCs/>
          <w:sz w:val="24"/>
          <w:szCs w:val="24"/>
        </w:rPr>
        <w:t>”</w:t>
      </w:r>
    </w:p>
    <w:p w14:paraId="7E530178" w14:textId="5D18F874" w:rsidR="00D4275A" w:rsidRPr="00683E6B" w:rsidRDefault="00D91C19" w:rsidP="003F6E23">
      <w:pPr>
        <w:pStyle w:val="ListParagraph"/>
        <w:widowControl w:val="0"/>
        <w:numPr>
          <w:ilvl w:val="0"/>
          <w:numId w:val="10"/>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12 September 2023 </w:t>
      </w:r>
      <w:r w:rsidR="00587F55" w:rsidRPr="00683E6B">
        <w:rPr>
          <w:rFonts w:ascii="Arial" w:hAnsi="Arial" w:cs="Arial"/>
          <w:sz w:val="24"/>
          <w:szCs w:val="24"/>
        </w:rPr>
        <w:t>the plaintiff</w:t>
      </w:r>
      <w:r w:rsidRPr="00683E6B">
        <w:rPr>
          <w:rFonts w:ascii="Arial" w:hAnsi="Arial" w:cs="Arial"/>
          <w:sz w:val="24"/>
          <w:szCs w:val="24"/>
        </w:rPr>
        <w:t xml:space="preserve"> served his notice of set down of his application for default judgment</w:t>
      </w:r>
      <w:r w:rsidR="00D4275A" w:rsidRPr="00683E6B">
        <w:rPr>
          <w:rFonts w:ascii="Arial" w:hAnsi="Arial" w:cs="Arial"/>
          <w:sz w:val="24"/>
          <w:szCs w:val="24"/>
        </w:rPr>
        <w:t xml:space="preserve"> to be heard on </w:t>
      </w:r>
      <w:r w:rsidRPr="00683E6B">
        <w:rPr>
          <w:rFonts w:ascii="Arial" w:hAnsi="Arial" w:cs="Arial"/>
          <w:sz w:val="24"/>
          <w:szCs w:val="24"/>
        </w:rPr>
        <w:t xml:space="preserve">13 October 2023.  </w:t>
      </w:r>
    </w:p>
    <w:p w14:paraId="4FD056D0" w14:textId="03DBBC41" w:rsidR="004612DF" w:rsidRPr="00683E6B" w:rsidRDefault="00587F55" w:rsidP="003F6E23">
      <w:pPr>
        <w:pStyle w:val="ListParagraph"/>
        <w:widowControl w:val="0"/>
        <w:numPr>
          <w:ilvl w:val="0"/>
          <w:numId w:val="10"/>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plaintiff</w:t>
      </w:r>
      <w:r w:rsidR="00D91C19" w:rsidRPr="00683E6B">
        <w:rPr>
          <w:rFonts w:ascii="Arial" w:hAnsi="Arial" w:cs="Arial"/>
          <w:sz w:val="24"/>
          <w:szCs w:val="24"/>
        </w:rPr>
        <w:t xml:space="preserve"> uploaded his heads of argument on 6 October 2023</w:t>
      </w:r>
      <w:r w:rsidR="00FA1110" w:rsidRPr="00683E6B">
        <w:rPr>
          <w:rFonts w:ascii="Arial" w:hAnsi="Arial" w:cs="Arial"/>
          <w:sz w:val="24"/>
          <w:szCs w:val="24"/>
        </w:rPr>
        <w:t>.</w:t>
      </w:r>
    </w:p>
    <w:p w14:paraId="4BD07BEE" w14:textId="4AB1FFA6" w:rsidR="00751F34" w:rsidRPr="00683E6B" w:rsidRDefault="0013510B" w:rsidP="003F6E23">
      <w:pPr>
        <w:pStyle w:val="ListParagraph"/>
        <w:widowControl w:val="0"/>
        <w:numPr>
          <w:ilvl w:val="0"/>
          <w:numId w:val="10"/>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11 October 2023, two days before the trial date, and </w:t>
      </w:r>
      <w:r w:rsidR="007618F1" w:rsidRPr="00683E6B">
        <w:rPr>
          <w:rFonts w:ascii="Arial" w:hAnsi="Arial" w:cs="Arial"/>
          <w:sz w:val="24"/>
          <w:szCs w:val="24"/>
        </w:rPr>
        <w:t>despite</w:t>
      </w:r>
      <w:r w:rsidR="004612DF" w:rsidRPr="00683E6B">
        <w:rPr>
          <w:rFonts w:ascii="Arial" w:hAnsi="Arial" w:cs="Arial"/>
          <w:sz w:val="24"/>
          <w:szCs w:val="24"/>
        </w:rPr>
        <w:t xml:space="preserve"> Ms van </w:t>
      </w:r>
      <w:proofErr w:type="spellStart"/>
      <w:r w:rsidR="004612DF" w:rsidRPr="00683E6B">
        <w:rPr>
          <w:rFonts w:ascii="Arial" w:hAnsi="Arial" w:cs="Arial"/>
          <w:sz w:val="24"/>
          <w:szCs w:val="24"/>
        </w:rPr>
        <w:t>Tellingen</w:t>
      </w:r>
      <w:proofErr w:type="spellEnd"/>
      <w:r w:rsidR="004C2908" w:rsidRPr="00683E6B">
        <w:rPr>
          <w:rFonts w:ascii="Arial" w:hAnsi="Arial" w:cs="Arial"/>
          <w:sz w:val="24"/>
          <w:szCs w:val="24"/>
        </w:rPr>
        <w:t xml:space="preserve"> having </w:t>
      </w:r>
      <w:r w:rsidR="004612DF" w:rsidRPr="00683E6B">
        <w:rPr>
          <w:rFonts w:ascii="Arial" w:hAnsi="Arial" w:cs="Arial"/>
          <w:sz w:val="24"/>
          <w:szCs w:val="24"/>
        </w:rPr>
        <w:t xml:space="preserve">certified </w:t>
      </w:r>
      <w:r w:rsidR="004C2908" w:rsidRPr="00683E6B">
        <w:rPr>
          <w:rFonts w:ascii="Arial" w:hAnsi="Arial" w:cs="Arial"/>
          <w:sz w:val="24"/>
          <w:szCs w:val="24"/>
        </w:rPr>
        <w:t>in her affidavit of 12 July 2023 that</w:t>
      </w:r>
      <w:r w:rsidR="00FA1110" w:rsidRPr="00683E6B">
        <w:rPr>
          <w:rFonts w:ascii="Arial" w:hAnsi="Arial" w:cs="Arial"/>
          <w:sz w:val="24"/>
          <w:szCs w:val="24"/>
        </w:rPr>
        <w:t xml:space="preserve"> the matter was trial ready and that </w:t>
      </w:r>
      <w:r w:rsidRPr="00683E6B">
        <w:rPr>
          <w:rFonts w:ascii="Arial" w:hAnsi="Arial" w:cs="Arial"/>
          <w:sz w:val="24"/>
          <w:szCs w:val="24"/>
        </w:rPr>
        <w:t xml:space="preserve">no interlocutory applications were anticipated, </w:t>
      </w:r>
      <w:r w:rsidR="00587F55" w:rsidRPr="00683E6B">
        <w:rPr>
          <w:rFonts w:ascii="Arial" w:hAnsi="Arial" w:cs="Arial"/>
          <w:sz w:val="24"/>
          <w:szCs w:val="24"/>
        </w:rPr>
        <w:t>the plaintiff</w:t>
      </w:r>
      <w:r w:rsidR="00227CF4" w:rsidRPr="00683E6B">
        <w:rPr>
          <w:rFonts w:ascii="Arial" w:hAnsi="Arial" w:cs="Arial"/>
          <w:sz w:val="24"/>
          <w:szCs w:val="24"/>
        </w:rPr>
        <w:t xml:space="preserve"> served a</w:t>
      </w:r>
      <w:r w:rsidR="00215C91" w:rsidRPr="00683E6B">
        <w:rPr>
          <w:rFonts w:ascii="Arial" w:hAnsi="Arial" w:cs="Arial"/>
          <w:sz w:val="24"/>
          <w:szCs w:val="24"/>
        </w:rPr>
        <w:t xml:space="preserve"> </w:t>
      </w:r>
      <w:r w:rsidR="00FA1110" w:rsidRPr="00683E6B">
        <w:rPr>
          <w:rFonts w:ascii="Arial" w:hAnsi="Arial" w:cs="Arial"/>
          <w:sz w:val="24"/>
          <w:szCs w:val="24"/>
        </w:rPr>
        <w:t xml:space="preserve">second </w:t>
      </w:r>
      <w:r w:rsidR="00227CF4" w:rsidRPr="00683E6B">
        <w:rPr>
          <w:rFonts w:ascii="Arial" w:hAnsi="Arial" w:cs="Arial"/>
          <w:sz w:val="24"/>
          <w:szCs w:val="24"/>
        </w:rPr>
        <w:t xml:space="preserve">notice of </w:t>
      </w:r>
      <w:r w:rsidR="00215C91" w:rsidRPr="00683E6B">
        <w:rPr>
          <w:rFonts w:ascii="Arial" w:hAnsi="Arial" w:cs="Arial"/>
          <w:sz w:val="24"/>
          <w:szCs w:val="24"/>
        </w:rPr>
        <w:t xml:space="preserve">his </w:t>
      </w:r>
      <w:r w:rsidR="00227CF4" w:rsidRPr="00683E6B">
        <w:rPr>
          <w:rFonts w:ascii="Arial" w:hAnsi="Arial" w:cs="Arial"/>
          <w:sz w:val="24"/>
          <w:szCs w:val="24"/>
        </w:rPr>
        <w:t xml:space="preserve">intention to amend </w:t>
      </w:r>
      <w:r w:rsidR="00215C91" w:rsidRPr="00683E6B">
        <w:rPr>
          <w:rFonts w:ascii="Arial" w:hAnsi="Arial" w:cs="Arial"/>
          <w:sz w:val="24"/>
          <w:szCs w:val="24"/>
        </w:rPr>
        <w:t>his</w:t>
      </w:r>
      <w:r w:rsidR="00227CF4" w:rsidRPr="00683E6B">
        <w:rPr>
          <w:rFonts w:ascii="Arial" w:hAnsi="Arial" w:cs="Arial"/>
          <w:sz w:val="24"/>
          <w:szCs w:val="24"/>
        </w:rPr>
        <w:t xml:space="preserve"> particulars of claim by </w:t>
      </w:r>
      <w:r w:rsidR="00215C91" w:rsidRPr="00683E6B">
        <w:rPr>
          <w:rFonts w:ascii="Arial" w:hAnsi="Arial" w:cs="Arial"/>
          <w:sz w:val="24"/>
          <w:szCs w:val="24"/>
        </w:rPr>
        <w:t xml:space="preserve">further </w:t>
      </w:r>
      <w:r w:rsidR="00227CF4" w:rsidRPr="00683E6B">
        <w:rPr>
          <w:rFonts w:ascii="Arial" w:hAnsi="Arial" w:cs="Arial"/>
          <w:sz w:val="24"/>
          <w:szCs w:val="24"/>
        </w:rPr>
        <w:t xml:space="preserve">increasing his claim </w:t>
      </w:r>
      <w:r w:rsidRPr="00683E6B">
        <w:rPr>
          <w:rFonts w:ascii="Arial" w:hAnsi="Arial" w:cs="Arial"/>
          <w:sz w:val="24"/>
          <w:szCs w:val="24"/>
        </w:rPr>
        <w:t xml:space="preserve">in respect of general damages </w:t>
      </w:r>
      <w:r w:rsidR="0047721D" w:rsidRPr="00683E6B">
        <w:rPr>
          <w:rFonts w:ascii="Arial" w:hAnsi="Arial" w:cs="Arial"/>
          <w:sz w:val="24"/>
          <w:szCs w:val="24"/>
        </w:rPr>
        <w:t xml:space="preserve">by R250 000 </w:t>
      </w:r>
      <w:r w:rsidR="00227CF4" w:rsidRPr="00683E6B">
        <w:rPr>
          <w:rFonts w:ascii="Arial" w:hAnsi="Arial" w:cs="Arial"/>
          <w:sz w:val="24"/>
          <w:szCs w:val="24"/>
        </w:rPr>
        <w:t xml:space="preserve">to </w:t>
      </w:r>
      <w:r w:rsidR="0079607A" w:rsidRPr="00683E6B">
        <w:rPr>
          <w:rFonts w:ascii="Arial" w:hAnsi="Arial" w:cs="Arial"/>
          <w:sz w:val="24"/>
          <w:szCs w:val="24"/>
        </w:rPr>
        <w:t>R1,5 million</w:t>
      </w:r>
      <w:r w:rsidR="0047721D" w:rsidRPr="00683E6B">
        <w:rPr>
          <w:rFonts w:ascii="Arial" w:hAnsi="Arial" w:cs="Arial"/>
          <w:sz w:val="24"/>
          <w:szCs w:val="24"/>
        </w:rPr>
        <w:t xml:space="preserve">.  </w:t>
      </w:r>
    </w:p>
    <w:p w14:paraId="5011008A" w14:textId="0C0427FB" w:rsidR="00D14419" w:rsidRPr="00683E6B" w:rsidRDefault="0047721D" w:rsidP="003F6E23">
      <w:pPr>
        <w:pStyle w:val="ListParagraph"/>
        <w:widowControl w:val="0"/>
        <w:numPr>
          <w:ilvl w:val="0"/>
          <w:numId w:val="10"/>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final paragraph of this notice reads</w:t>
      </w:r>
      <w:r w:rsidR="00DD5532" w:rsidRPr="00683E6B">
        <w:rPr>
          <w:rFonts w:ascii="Arial" w:hAnsi="Arial" w:cs="Arial"/>
          <w:sz w:val="24"/>
          <w:szCs w:val="24"/>
        </w:rPr>
        <w:t>,</w:t>
      </w:r>
      <w:r w:rsidR="00DE289D" w:rsidRPr="00683E6B">
        <w:rPr>
          <w:rFonts w:ascii="Arial" w:hAnsi="Arial" w:cs="Arial"/>
          <w:sz w:val="24"/>
          <w:szCs w:val="24"/>
        </w:rPr>
        <w:t xml:space="preserve"> somewhat </w:t>
      </w:r>
      <w:r w:rsidR="00DD5532" w:rsidRPr="00683E6B">
        <w:rPr>
          <w:rFonts w:ascii="Arial" w:hAnsi="Arial" w:cs="Arial"/>
          <w:sz w:val="24"/>
          <w:szCs w:val="24"/>
        </w:rPr>
        <w:t>curiously,</w:t>
      </w:r>
      <w:r w:rsidRPr="00683E6B">
        <w:rPr>
          <w:rFonts w:ascii="Arial" w:hAnsi="Arial" w:cs="Arial"/>
          <w:sz w:val="24"/>
          <w:szCs w:val="24"/>
        </w:rPr>
        <w:t xml:space="preserve"> as follows:</w:t>
      </w:r>
    </w:p>
    <w:p w14:paraId="6EA1A911" w14:textId="6407C7D9" w:rsidR="0047721D" w:rsidRPr="00683E6B" w:rsidRDefault="00FD1B2D" w:rsidP="003F6E23">
      <w:pPr>
        <w:pStyle w:val="ListParagraph"/>
        <w:widowControl w:val="0"/>
        <w:spacing w:before="300" w:after="0" w:line="480" w:lineRule="auto"/>
        <w:ind w:left="1134" w:right="544"/>
        <w:contextualSpacing w:val="0"/>
        <w:jc w:val="both"/>
        <w:rPr>
          <w:rFonts w:ascii="Arial" w:hAnsi="Arial" w:cs="Arial"/>
          <w:sz w:val="24"/>
          <w:szCs w:val="24"/>
        </w:rPr>
      </w:pPr>
      <w:r w:rsidRPr="00683E6B">
        <w:rPr>
          <w:rFonts w:ascii="Arial" w:hAnsi="Arial" w:cs="Arial"/>
          <w:b/>
          <w:sz w:val="24"/>
          <w:szCs w:val="24"/>
        </w:rPr>
        <w:t>“</w:t>
      </w:r>
      <w:r w:rsidR="0047721D" w:rsidRPr="00683E6B">
        <w:rPr>
          <w:rFonts w:ascii="Arial" w:hAnsi="Arial" w:cs="Arial"/>
          <w:b/>
          <w:i/>
          <w:iCs/>
          <w:sz w:val="24"/>
          <w:szCs w:val="24"/>
        </w:rPr>
        <w:t>BE PLEASED TO TAKE NOTICE FURTHER</w:t>
      </w:r>
      <w:r w:rsidR="0047721D" w:rsidRPr="00683E6B">
        <w:rPr>
          <w:rFonts w:ascii="Arial" w:hAnsi="Arial" w:cs="Arial"/>
          <w:i/>
          <w:iCs/>
          <w:sz w:val="24"/>
          <w:szCs w:val="24"/>
        </w:rPr>
        <w:t xml:space="preserve"> </w:t>
      </w:r>
      <w:r w:rsidRPr="00683E6B">
        <w:rPr>
          <w:rFonts w:ascii="Arial" w:hAnsi="Arial" w:cs="Arial"/>
          <w:i/>
          <w:iCs/>
          <w:sz w:val="24"/>
          <w:szCs w:val="24"/>
        </w:rPr>
        <w:t>that unless objection in writing is made to the proposed amendment on the Trial Date or</w:t>
      </w:r>
      <w:r w:rsidR="00215C91" w:rsidRPr="00683E6B">
        <w:rPr>
          <w:rFonts w:ascii="Arial" w:hAnsi="Arial" w:cs="Arial"/>
          <w:i/>
          <w:iCs/>
          <w:sz w:val="24"/>
          <w:szCs w:val="24"/>
        </w:rPr>
        <w:t xml:space="preserve"> there </w:t>
      </w:r>
      <w:r w:rsidRPr="00683E6B">
        <w:rPr>
          <w:rFonts w:ascii="Arial" w:hAnsi="Arial" w:cs="Arial"/>
          <w:i/>
          <w:iCs/>
          <w:sz w:val="24"/>
          <w:szCs w:val="24"/>
        </w:rPr>
        <w:lastRenderedPageBreak/>
        <w:t xml:space="preserve">after delivering this notice, </w:t>
      </w:r>
      <w:r w:rsidR="00587F55" w:rsidRPr="00683E6B">
        <w:rPr>
          <w:rFonts w:ascii="Arial" w:hAnsi="Arial" w:cs="Arial"/>
          <w:i/>
          <w:iCs/>
          <w:sz w:val="24"/>
          <w:szCs w:val="24"/>
        </w:rPr>
        <w:t>the plaintiff</w:t>
      </w:r>
      <w:r w:rsidRPr="00683E6B">
        <w:rPr>
          <w:rFonts w:ascii="Arial" w:hAnsi="Arial" w:cs="Arial"/>
          <w:i/>
          <w:iCs/>
          <w:sz w:val="24"/>
          <w:szCs w:val="24"/>
        </w:rPr>
        <w:t xml:space="preserve"> shall amend accordingly</w:t>
      </w:r>
      <w:r w:rsidRPr="00683E6B">
        <w:rPr>
          <w:rFonts w:ascii="Arial" w:hAnsi="Arial" w:cs="Arial"/>
          <w:sz w:val="24"/>
          <w:szCs w:val="24"/>
        </w:rPr>
        <w:t>.”</w:t>
      </w:r>
    </w:p>
    <w:p w14:paraId="28725268" w14:textId="06CD6878" w:rsidR="0047721D" w:rsidRPr="00683E6B" w:rsidRDefault="00FD1B2D"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This notice was uploaded to </w:t>
      </w:r>
      <w:proofErr w:type="spellStart"/>
      <w:r w:rsidRPr="00683E6B">
        <w:rPr>
          <w:rFonts w:ascii="Arial" w:hAnsi="Arial" w:cs="Arial"/>
          <w:sz w:val="24"/>
          <w:szCs w:val="24"/>
        </w:rPr>
        <w:t>Caselines</w:t>
      </w:r>
      <w:proofErr w:type="spellEnd"/>
      <w:r w:rsidRPr="00683E6B">
        <w:rPr>
          <w:rFonts w:ascii="Arial" w:hAnsi="Arial" w:cs="Arial"/>
          <w:sz w:val="24"/>
          <w:szCs w:val="24"/>
        </w:rPr>
        <w:t xml:space="preserve"> on 13 October 2023</w:t>
      </w:r>
      <w:r w:rsidR="003E1ACB" w:rsidRPr="00683E6B">
        <w:rPr>
          <w:rFonts w:ascii="Arial" w:hAnsi="Arial" w:cs="Arial"/>
          <w:sz w:val="24"/>
          <w:szCs w:val="24"/>
        </w:rPr>
        <w:t>, the date of the hearing</w:t>
      </w:r>
      <w:r w:rsidRPr="00683E6B">
        <w:rPr>
          <w:rFonts w:ascii="Arial" w:hAnsi="Arial" w:cs="Arial"/>
          <w:sz w:val="24"/>
          <w:szCs w:val="24"/>
        </w:rPr>
        <w:t xml:space="preserve">.  On the same date the “Amended Pages” were also uploaded to </w:t>
      </w:r>
      <w:proofErr w:type="spellStart"/>
      <w:r w:rsidRPr="00683E6B">
        <w:rPr>
          <w:rFonts w:ascii="Arial" w:hAnsi="Arial" w:cs="Arial"/>
          <w:sz w:val="24"/>
          <w:szCs w:val="24"/>
        </w:rPr>
        <w:t>Caselines</w:t>
      </w:r>
      <w:proofErr w:type="spellEnd"/>
      <w:r w:rsidR="00215C91" w:rsidRPr="00683E6B">
        <w:rPr>
          <w:rFonts w:ascii="Arial" w:hAnsi="Arial" w:cs="Arial"/>
          <w:sz w:val="24"/>
          <w:szCs w:val="24"/>
        </w:rPr>
        <w:t>, presumably in anticipation of the amendment being granted.</w:t>
      </w:r>
    </w:p>
    <w:p w14:paraId="72E89382" w14:textId="7C8144C4" w:rsidR="004D2647" w:rsidRPr="00683E6B" w:rsidRDefault="00440B46"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matter </w:t>
      </w:r>
      <w:r w:rsidR="003E1ACB" w:rsidRPr="00683E6B">
        <w:rPr>
          <w:rFonts w:ascii="Arial" w:hAnsi="Arial" w:cs="Arial"/>
          <w:sz w:val="24"/>
          <w:szCs w:val="24"/>
        </w:rPr>
        <w:t xml:space="preserve">was </w:t>
      </w:r>
      <w:r w:rsidRPr="00683E6B">
        <w:rPr>
          <w:rFonts w:ascii="Arial" w:hAnsi="Arial" w:cs="Arial"/>
          <w:sz w:val="24"/>
          <w:szCs w:val="24"/>
        </w:rPr>
        <w:t xml:space="preserve">heard </w:t>
      </w:r>
      <w:r w:rsidR="0079607A" w:rsidRPr="00683E6B">
        <w:rPr>
          <w:rFonts w:ascii="Arial" w:hAnsi="Arial" w:cs="Arial"/>
          <w:sz w:val="24"/>
          <w:szCs w:val="24"/>
        </w:rPr>
        <w:t xml:space="preserve">by </w:t>
      </w:r>
      <w:r w:rsidRPr="00683E6B">
        <w:rPr>
          <w:rFonts w:ascii="Arial" w:hAnsi="Arial" w:cs="Arial"/>
          <w:sz w:val="24"/>
          <w:szCs w:val="24"/>
        </w:rPr>
        <w:t>me on 13 October 2023.</w:t>
      </w:r>
      <w:r w:rsidR="002166F8" w:rsidRPr="00683E6B">
        <w:rPr>
          <w:rFonts w:ascii="Arial" w:hAnsi="Arial" w:cs="Arial"/>
          <w:sz w:val="24"/>
          <w:szCs w:val="24"/>
        </w:rPr>
        <w:t xml:space="preserve">  </w:t>
      </w:r>
      <w:r w:rsidR="00587F55" w:rsidRPr="00683E6B">
        <w:rPr>
          <w:rFonts w:ascii="Arial" w:hAnsi="Arial" w:cs="Arial"/>
          <w:sz w:val="24"/>
          <w:szCs w:val="24"/>
        </w:rPr>
        <w:t>The plaintiff</w:t>
      </w:r>
      <w:r w:rsidR="002166F8" w:rsidRPr="00683E6B">
        <w:rPr>
          <w:rFonts w:ascii="Arial" w:hAnsi="Arial" w:cs="Arial"/>
          <w:sz w:val="24"/>
          <w:szCs w:val="24"/>
        </w:rPr>
        <w:t xml:space="preserve"> was represented by Mr J.F </w:t>
      </w:r>
      <w:proofErr w:type="spellStart"/>
      <w:r w:rsidR="002166F8" w:rsidRPr="00683E6B">
        <w:rPr>
          <w:rFonts w:ascii="Arial" w:hAnsi="Arial" w:cs="Arial"/>
          <w:sz w:val="24"/>
          <w:szCs w:val="24"/>
        </w:rPr>
        <w:t>Grobler</w:t>
      </w:r>
      <w:proofErr w:type="spellEnd"/>
      <w:r w:rsidR="002166F8" w:rsidRPr="00683E6B">
        <w:rPr>
          <w:rFonts w:ascii="Arial" w:hAnsi="Arial" w:cs="Arial"/>
          <w:sz w:val="24"/>
          <w:szCs w:val="24"/>
        </w:rPr>
        <w:t xml:space="preserve"> SC</w:t>
      </w:r>
      <w:r w:rsidR="00BF1D09" w:rsidRPr="00683E6B">
        <w:rPr>
          <w:rFonts w:ascii="Arial" w:hAnsi="Arial" w:cs="Arial"/>
          <w:sz w:val="24"/>
          <w:szCs w:val="24"/>
        </w:rPr>
        <w:t xml:space="preserve"> and the defendant was represented by </w:t>
      </w:r>
      <w:r w:rsidR="004D2647" w:rsidRPr="00683E6B">
        <w:rPr>
          <w:rFonts w:ascii="Arial" w:hAnsi="Arial" w:cs="Arial"/>
          <w:sz w:val="24"/>
          <w:szCs w:val="24"/>
        </w:rPr>
        <w:t xml:space="preserve">Ms </w:t>
      </w:r>
      <w:proofErr w:type="spellStart"/>
      <w:r w:rsidR="004D2647" w:rsidRPr="00683E6B">
        <w:rPr>
          <w:rFonts w:ascii="Arial" w:hAnsi="Arial" w:cs="Arial"/>
          <w:sz w:val="24"/>
          <w:szCs w:val="24"/>
        </w:rPr>
        <w:t>Ramjee</w:t>
      </w:r>
      <w:proofErr w:type="spellEnd"/>
      <w:r w:rsidR="004D2647" w:rsidRPr="00683E6B">
        <w:rPr>
          <w:rFonts w:ascii="Arial" w:hAnsi="Arial" w:cs="Arial"/>
          <w:sz w:val="24"/>
          <w:szCs w:val="24"/>
        </w:rPr>
        <w:t>, a state attorney.</w:t>
      </w:r>
      <w:r w:rsidR="00025932" w:rsidRPr="00683E6B">
        <w:rPr>
          <w:rFonts w:ascii="Arial" w:hAnsi="Arial" w:cs="Arial"/>
          <w:sz w:val="24"/>
          <w:szCs w:val="24"/>
        </w:rPr>
        <w:t xml:space="preserve"> </w:t>
      </w:r>
    </w:p>
    <w:p w14:paraId="53D639A7" w14:textId="77777777" w:rsidR="00231BD6" w:rsidRPr="00683E6B" w:rsidRDefault="00231BD6" w:rsidP="003F6E23">
      <w:pPr>
        <w:pStyle w:val="ListParagraph"/>
        <w:widowControl w:val="0"/>
        <w:spacing w:before="300" w:after="0" w:line="480" w:lineRule="auto"/>
        <w:ind w:left="0" w:right="-23"/>
        <w:contextualSpacing w:val="0"/>
        <w:jc w:val="both"/>
        <w:rPr>
          <w:rFonts w:ascii="Arial" w:hAnsi="Arial" w:cs="Arial"/>
          <w:sz w:val="24"/>
          <w:szCs w:val="24"/>
        </w:rPr>
      </w:pPr>
    </w:p>
    <w:p w14:paraId="6D45A69B" w14:textId="5E833C87" w:rsidR="00DF1468" w:rsidRPr="00683E6B" w:rsidRDefault="00DF1468" w:rsidP="003F6E23">
      <w:pPr>
        <w:pStyle w:val="ListParagraph"/>
        <w:widowControl w:val="0"/>
        <w:spacing w:before="300" w:after="0" w:line="480" w:lineRule="auto"/>
        <w:ind w:left="0" w:right="-23"/>
        <w:contextualSpacing w:val="0"/>
        <w:jc w:val="both"/>
        <w:rPr>
          <w:rFonts w:ascii="Arial" w:hAnsi="Arial" w:cs="Arial"/>
          <w:b/>
          <w:bCs/>
          <w:sz w:val="24"/>
          <w:szCs w:val="24"/>
        </w:rPr>
      </w:pPr>
      <w:r w:rsidRPr="00683E6B">
        <w:rPr>
          <w:rFonts w:ascii="Arial" w:hAnsi="Arial" w:cs="Arial"/>
          <w:b/>
          <w:bCs/>
          <w:sz w:val="24"/>
          <w:szCs w:val="24"/>
        </w:rPr>
        <w:t xml:space="preserve">EFFECT OF THE DEFENDANT’S DEFENCE HAVING BEEN STRUCK OUT </w:t>
      </w:r>
    </w:p>
    <w:p w14:paraId="1D5198B6" w14:textId="2250541E" w:rsidR="00082907" w:rsidRPr="00683E6B" w:rsidRDefault="006E08C7" w:rsidP="003F6E23">
      <w:pPr>
        <w:pStyle w:val="ListParagraph"/>
        <w:widowControl w:val="0"/>
        <w:numPr>
          <w:ilvl w:val="0"/>
          <w:numId w:val="10"/>
        </w:numPr>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It is perhaps apposite that I</w:t>
      </w:r>
      <w:r w:rsidR="00DF1468" w:rsidRPr="00683E6B">
        <w:rPr>
          <w:rFonts w:ascii="Arial" w:hAnsi="Arial" w:cs="Arial"/>
          <w:sz w:val="24"/>
          <w:szCs w:val="24"/>
        </w:rPr>
        <w:t xml:space="preserve"> explain </w:t>
      </w:r>
      <w:r w:rsidR="009A3EBC" w:rsidRPr="00683E6B">
        <w:rPr>
          <w:rFonts w:ascii="Arial" w:hAnsi="Arial" w:cs="Arial"/>
          <w:sz w:val="24"/>
          <w:szCs w:val="24"/>
        </w:rPr>
        <w:t xml:space="preserve">why Ms </w:t>
      </w:r>
      <w:proofErr w:type="spellStart"/>
      <w:r w:rsidR="009A3EBC" w:rsidRPr="00683E6B">
        <w:rPr>
          <w:rFonts w:ascii="Arial" w:hAnsi="Arial" w:cs="Arial"/>
          <w:sz w:val="24"/>
          <w:szCs w:val="24"/>
        </w:rPr>
        <w:t>Ramjee</w:t>
      </w:r>
      <w:proofErr w:type="spellEnd"/>
      <w:r w:rsidR="009A3EBC" w:rsidRPr="00683E6B">
        <w:rPr>
          <w:rFonts w:ascii="Arial" w:hAnsi="Arial" w:cs="Arial"/>
          <w:sz w:val="24"/>
          <w:szCs w:val="24"/>
        </w:rPr>
        <w:t xml:space="preserve"> was entitled to represent the </w:t>
      </w:r>
      <w:r w:rsidR="000B392B" w:rsidRPr="00683E6B">
        <w:rPr>
          <w:rFonts w:ascii="Arial" w:hAnsi="Arial" w:cs="Arial"/>
          <w:sz w:val="24"/>
          <w:szCs w:val="24"/>
        </w:rPr>
        <w:t>defendant at the hearing, despite</w:t>
      </w:r>
      <w:r w:rsidR="00DF1468" w:rsidRPr="00683E6B">
        <w:rPr>
          <w:rFonts w:ascii="Arial" w:hAnsi="Arial" w:cs="Arial"/>
          <w:sz w:val="24"/>
          <w:szCs w:val="24"/>
        </w:rPr>
        <w:t xml:space="preserve"> the defendant’s defence having been </w:t>
      </w:r>
      <w:r w:rsidR="000B392B" w:rsidRPr="00683E6B">
        <w:rPr>
          <w:rFonts w:ascii="Arial" w:hAnsi="Arial" w:cs="Arial"/>
          <w:sz w:val="24"/>
          <w:szCs w:val="24"/>
        </w:rPr>
        <w:t>struck out.</w:t>
      </w:r>
      <w:r w:rsidR="00A60D99" w:rsidRPr="00683E6B">
        <w:rPr>
          <w:rFonts w:ascii="Arial" w:hAnsi="Arial" w:cs="Arial"/>
          <w:sz w:val="24"/>
          <w:szCs w:val="24"/>
        </w:rPr>
        <w:t xml:space="preserve">  </w:t>
      </w:r>
    </w:p>
    <w:p w14:paraId="7401DDF9" w14:textId="2C4DC61F" w:rsidR="00C72F75" w:rsidRDefault="00F533B6"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w:t>
      </w:r>
      <w:r w:rsidR="00177D7D" w:rsidRPr="00683E6B">
        <w:rPr>
          <w:rFonts w:ascii="Arial" w:hAnsi="Arial" w:cs="Arial"/>
          <w:sz w:val="24"/>
          <w:szCs w:val="24"/>
        </w:rPr>
        <w:t>striking out of</w:t>
      </w:r>
      <w:r w:rsidR="005C11CC" w:rsidRPr="00683E6B">
        <w:rPr>
          <w:rFonts w:ascii="Arial" w:hAnsi="Arial" w:cs="Arial"/>
          <w:sz w:val="24"/>
          <w:szCs w:val="24"/>
        </w:rPr>
        <w:t xml:space="preserve"> a defendant’s </w:t>
      </w:r>
      <w:r w:rsidR="00177D7D" w:rsidRPr="00683E6B">
        <w:rPr>
          <w:rFonts w:ascii="Arial" w:hAnsi="Arial" w:cs="Arial"/>
          <w:sz w:val="24"/>
          <w:szCs w:val="24"/>
        </w:rPr>
        <w:t>defence</w:t>
      </w:r>
      <w:r w:rsidR="005C11CC" w:rsidRPr="00683E6B">
        <w:rPr>
          <w:rFonts w:ascii="Arial" w:hAnsi="Arial" w:cs="Arial"/>
          <w:sz w:val="24"/>
          <w:szCs w:val="24"/>
        </w:rPr>
        <w:t xml:space="preserve"> constitutes </w:t>
      </w:r>
      <w:r w:rsidR="00E66CF8" w:rsidRPr="00683E6B">
        <w:rPr>
          <w:rFonts w:ascii="Arial" w:hAnsi="Arial" w:cs="Arial"/>
          <w:sz w:val="24"/>
          <w:szCs w:val="24"/>
        </w:rPr>
        <w:t xml:space="preserve">no </w:t>
      </w:r>
      <w:r w:rsidR="00177D7D" w:rsidRPr="00683E6B">
        <w:rPr>
          <w:rFonts w:ascii="Arial" w:hAnsi="Arial" w:cs="Arial"/>
          <w:sz w:val="24"/>
          <w:szCs w:val="24"/>
        </w:rPr>
        <w:t>more than a bar to</w:t>
      </w:r>
      <w:r w:rsidR="005C11CC" w:rsidRPr="00683E6B">
        <w:rPr>
          <w:rFonts w:ascii="Arial" w:hAnsi="Arial" w:cs="Arial"/>
          <w:sz w:val="24"/>
          <w:szCs w:val="24"/>
        </w:rPr>
        <w:t xml:space="preserve"> </w:t>
      </w:r>
      <w:r w:rsidR="00C7676E" w:rsidRPr="00683E6B">
        <w:rPr>
          <w:rFonts w:ascii="Arial" w:hAnsi="Arial" w:cs="Arial"/>
          <w:sz w:val="24"/>
          <w:szCs w:val="24"/>
        </w:rPr>
        <w:t xml:space="preserve">the </w:t>
      </w:r>
      <w:r w:rsidR="00177D7D" w:rsidRPr="00683E6B">
        <w:rPr>
          <w:rFonts w:ascii="Arial" w:hAnsi="Arial" w:cs="Arial"/>
          <w:sz w:val="24"/>
          <w:szCs w:val="24"/>
        </w:rPr>
        <w:t xml:space="preserve">defendant </w:t>
      </w:r>
      <w:r w:rsidR="00003641" w:rsidRPr="00683E6B">
        <w:rPr>
          <w:rFonts w:ascii="Arial" w:hAnsi="Arial" w:cs="Arial"/>
          <w:sz w:val="24"/>
          <w:szCs w:val="24"/>
        </w:rPr>
        <w:t>tendering</w:t>
      </w:r>
      <w:r w:rsidR="00A71458" w:rsidRPr="00683E6B">
        <w:rPr>
          <w:rFonts w:ascii="Arial" w:hAnsi="Arial" w:cs="Arial"/>
          <w:sz w:val="24"/>
          <w:szCs w:val="24"/>
        </w:rPr>
        <w:t xml:space="preserve"> </w:t>
      </w:r>
      <w:r w:rsidR="00A202F9" w:rsidRPr="00683E6B">
        <w:rPr>
          <w:rFonts w:ascii="Arial" w:hAnsi="Arial" w:cs="Arial"/>
          <w:sz w:val="24"/>
          <w:szCs w:val="24"/>
        </w:rPr>
        <w:t>evidence</w:t>
      </w:r>
      <w:r w:rsidR="00A71458" w:rsidRPr="00683E6B">
        <w:rPr>
          <w:rFonts w:ascii="Arial" w:hAnsi="Arial" w:cs="Arial"/>
          <w:sz w:val="24"/>
          <w:szCs w:val="24"/>
        </w:rPr>
        <w:t xml:space="preserve"> </w:t>
      </w:r>
      <w:r w:rsidR="00A202F9" w:rsidRPr="00683E6B">
        <w:rPr>
          <w:rFonts w:ascii="Arial" w:hAnsi="Arial" w:cs="Arial"/>
          <w:sz w:val="24"/>
          <w:szCs w:val="24"/>
        </w:rPr>
        <w:t>which</w:t>
      </w:r>
      <w:r w:rsidR="005C11CC" w:rsidRPr="00683E6B">
        <w:rPr>
          <w:rFonts w:ascii="Arial" w:hAnsi="Arial" w:cs="Arial"/>
          <w:sz w:val="24"/>
          <w:szCs w:val="24"/>
        </w:rPr>
        <w:t xml:space="preserve"> had been pleaded in its plea</w:t>
      </w:r>
      <w:r w:rsidR="00C72F75" w:rsidRPr="00683E6B">
        <w:rPr>
          <w:rStyle w:val="FootnoteReference"/>
          <w:rFonts w:ascii="Arial" w:hAnsi="Arial" w:cs="Arial"/>
          <w:sz w:val="24"/>
          <w:szCs w:val="24"/>
        </w:rPr>
        <w:footnoteReference w:id="1"/>
      </w:r>
      <w:r w:rsidR="00C72F75" w:rsidRPr="00683E6B">
        <w:rPr>
          <w:rFonts w:ascii="Arial" w:hAnsi="Arial" w:cs="Arial"/>
          <w:sz w:val="24"/>
          <w:szCs w:val="24"/>
        </w:rPr>
        <w:t xml:space="preserve">.  </w:t>
      </w:r>
      <w:r w:rsidR="00C72F75">
        <w:rPr>
          <w:rFonts w:ascii="Arial" w:hAnsi="Arial" w:cs="Arial"/>
          <w:sz w:val="24"/>
          <w:szCs w:val="24"/>
        </w:rPr>
        <w:t xml:space="preserve">The defendant’s position is conceptually analogous to that of a respondent who has filed a notice in terms of Rule </w:t>
      </w:r>
      <w:r w:rsidR="00C72F75" w:rsidRPr="00514DD7">
        <w:rPr>
          <w:rFonts w:ascii="Arial" w:hAnsi="Arial" w:cs="Arial"/>
          <w:sz w:val="24"/>
          <w:szCs w:val="24"/>
        </w:rPr>
        <w:t>6(5) (d) (iii)</w:t>
      </w:r>
      <w:r w:rsidR="00C72F75">
        <w:rPr>
          <w:rFonts w:ascii="Arial" w:hAnsi="Arial" w:cs="Arial"/>
          <w:b/>
          <w:bCs/>
          <w:sz w:val="24"/>
          <w:szCs w:val="24"/>
        </w:rPr>
        <w:t xml:space="preserve"> </w:t>
      </w:r>
      <w:r w:rsidR="00C72F75">
        <w:rPr>
          <w:rFonts w:ascii="Arial" w:hAnsi="Arial" w:cs="Arial"/>
          <w:sz w:val="24"/>
          <w:szCs w:val="24"/>
        </w:rPr>
        <w:t>that it</w:t>
      </w:r>
      <w:r w:rsidR="00C72F75" w:rsidRPr="002876CE">
        <w:rPr>
          <w:rFonts w:ascii="Arial" w:hAnsi="Arial" w:cs="Arial"/>
          <w:sz w:val="24"/>
          <w:szCs w:val="24"/>
        </w:rPr>
        <w:t xml:space="preserve"> intends to oppose the applicant’s application on a question of law only.</w:t>
      </w:r>
    </w:p>
    <w:p w14:paraId="2B2F160D" w14:textId="5444F1EC"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plaintiff remains liable to prove both an entitlement to damages (generally referred to as “the merits”), and the quantum of such damages</w:t>
      </w:r>
      <w:r w:rsidRPr="00683E6B">
        <w:rPr>
          <w:rStyle w:val="FootnoteReference"/>
          <w:rFonts w:ascii="Arial" w:hAnsi="Arial" w:cs="Arial"/>
          <w:sz w:val="24"/>
          <w:szCs w:val="24"/>
        </w:rPr>
        <w:footnoteReference w:id="2"/>
      </w:r>
      <w:r w:rsidRPr="00683E6B">
        <w:rPr>
          <w:rFonts w:ascii="Arial" w:hAnsi="Arial" w:cs="Arial"/>
          <w:sz w:val="24"/>
          <w:szCs w:val="24"/>
        </w:rPr>
        <w:t xml:space="preserve">.  </w:t>
      </w:r>
    </w:p>
    <w:p w14:paraId="53A8C8A5" w14:textId="3095B132"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The defendant is not precluded, in order to test the veracity of the plaintiff’s version, from cross-examining any witnesses which may be called by the plaintiff</w:t>
      </w:r>
      <w:r w:rsidRPr="00683E6B">
        <w:rPr>
          <w:rStyle w:val="FootnoteReference"/>
          <w:rFonts w:ascii="Arial" w:hAnsi="Arial" w:cs="Arial"/>
          <w:sz w:val="24"/>
          <w:szCs w:val="24"/>
        </w:rPr>
        <w:footnoteReference w:id="3"/>
      </w:r>
      <w:r w:rsidRPr="00683E6B">
        <w:rPr>
          <w:rFonts w:ascii="Arial" w:hAnsi="Arial" w:cs="Arial"/>
          <w:sz w:val="24"/>
          <w:szCs w:val="24"/>
        </w:rPr>
        <w:t>.  The defendant may not however put a different factual version to any witness because it is barred from leading evidence to substantiate its alternative version</w:t>
      </w:r>
      <w:r w:rsidRPr="00683E6B">
        <w:rPr>
          <w:rStyle w:val="FootnoteReference"/>
          <w:rFonts w:ascii="Arial" w:hAnsi="Arial" w:cs="Arial"/>
          <w:sz w:val="24"/>
          <w:szCs w:val="24"/>
        </w:rPr>
        <w:footnoteReference w:id="4"/>
      </w:r>
      <w:r w:rsidRPr="00683E6B">
        <w:rPr>
          <w:rFonts w:ascii="Arial" w:hAnsi="Arial" w:cs="Arial"/>
          <w:sz w:val="24"/>
          <w:szCs w:val="24"/>
        </w:rPr>
        <w:t xml:space="preserve">.  The striking </w:t>
      </w:r>
      <w:r>
        <w:rPr>
          <w:rFonts w:ascii="Arial" w:hAnsi="Arial" w:cs="Arial"/>
          <w:sz w:val="24"/>
          <w:szCs w:val="24"/>
        </w:rPr>
        <w:t xml:space="preserve">out </w:t>
      </w:r>
      <w:r w:rsidRPr="00683E6B">
        <w:rPr>
          <w:rFonts w:ascii="Arial" w:hAnsi="Arial" w:cs="Arial"/>
          <w:sz w:val="24"/>
          <w:szCs w:val="24"/>
        </w:rPr>
        <w:t>of a defence accordingly relates to issues of fact.</w:t>
      </w:r>
    </w:p>
    <w:p w14:paraId="0D3D51E3" w14:textId="1EABC40B"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Thus in the present case, the defendant was, by way of example, precluded from leading evidence in relation to the collision itself or any evidence to the effect that that </w:t>
      </w:r>
      <w:proofErr w:type="gramStart"/>
      <w:r w:rsidRPr="00683E6B">
        <w:rPr>
          <w:rFonts w:ascii="Arial" w:hAnsi="Arial" w:cs="Arial"/>
          <w:sz w:val="24"/>
          <w:szCs w:val="24"/>
        </w:rPr>
        <w:t>K</w:t>
      </w:r>
      <w:r w:rsidR="000320F9">
        <w:rPr>
          <w:rFonts w:ascii="Arial" w:hAnsi="Arial" w:cs="Arial"/>
          <w:sz w:val="24"/>
          <w:szCs w:val="24"/>
        </w:rPr>
        <w:t>[</w:t>
      </w:r>
      <w:proofErr w:type="gramEnd"/>
      <w:r w:rsidR="000320F9">
        <w:rPr>
          <w:rFonts w:ascii="Arial" w:hAnsi="Arial" w:cs="Arial"/>
          <w:sz w:val="24"/>
          <w:szCs w:val="24"/>
        </w:rPr>
        <w:t>…]</w:t>
      </w:r>
      <w:r w:rsidRPr="00683E6B">
        <w:rPr>
          <w:rFonts w:ascii="Arial" w:hAnsi="Arial" w:cs="Arial"/>
          <w:sz w:val="24"/>
          <w:szCs w:val="24"/>
        </w:rPr>
        <w:t xml:space="preserve"> had not sustained any injuries in the collision.</w:t>
      </w:r>
    </w:p>
    <w:p w14:paraId="3C9085E8" w14:textId="503A223F"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But </w:t>
      </w:r>
      <w:r>
        <w:rPr>
          <w:rFonts w:ascii="Arial" w:hAnsi="Arial" w:cs="Arial"/>
          <w:sz w:val="24"/>
          <w:szCs w:val="24"/>
        </w:rPr>
        <w:t>questions</w:t>
      </w:r>
      <w:r w:rsidRPr="00683E6B">
        <w:rPr>
          <w:rFonts w:ascii="Arial" w:hAnsi="Arial" w:cs="Arial"/>
          <w:sz w:val="24"/>
          <w:szCs w:val="24"/>
        </w:rPr>
        <w:t xml:space="preserve"> of pure law and mixed law and fact stand on a different footing</w:t>
      </w:r>
      <w:r w:rsidRPr="00683E6B">
        <w:rPr>
          <w:rStyle w:val="FootnoteReference"/>
          <w:rFonts w:ascii="Arial" w:hAnsi="Arial" w:cs="Arial"/>
          <w:sz w:val="24"/>
          <w:szCs w:val="24"/>
        </w:rPr>
        <w:footnoteReference w:id="5"/>
      </w:r>
      <w:r w:rsidRPr="00683E6B">
        <w:rPr>
          <w:rFonts w:ascii="Arial" w:hAnsi="Arial" w:cs="Arial"/>
          <w:sz w:val="24"/>
          <w:szCs w:val="24"/>
        </w:rPr>
        <w:t xml:space="preserve">.  </w:t>
      </w:r>
    </w:p>
    <w:p w14:paraId="175688EB" w14:textId="1A917804" w:rsidR="00C72F75"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Pr>
          <w:rFonts w:ascii="Arial" w:hAnsi="Arial" w:cs="Arial"/>
          <w:sz w:val="24"/>
          <w:szCs w:val="24"/>
        </w:rPr>
        <w:t>Questions relating to jurisdictional facts are matters of pure law.  Thus, by way of example,</w:t>
      </w:r>
      <w:r w:rsidRPr="00683E6B">
        <w:rPr>
          <w:rFonts w:ascii="Arial" w:hAnsi="Arial" w:cs="Arial"/>
          <w:sz w:val="24"/>
          <w:szCs w:val="24"/>
        </w:rPr>
        <w:t xml:space="preserve"> </w:t>
      </w:r>
      <w:r>
        <w:rPr>
          <w:rFonts w:ascii="Arial" w:hAnsi="Arial" w:cs="Arial"/>
          <w:sz w:val="24"/>
          <w:szCs w:val="24"/>
        </w:rPr>
        <w:t>the</w:t>
      </w:r>
      <w:r w:rsidRPr="00683E6B">
        <w:rPr>
          <w:rFonts w:ascii="Arial" w:hAnsi="Arial" w:cs="Arial"/>
          <w:sz w:val="24"/>
          <w:szCs w:val="24"/>
        </w:rPr>
        <w:t xml:space="preserve"> </w:t>
      </w:r>
      <w:r>
        <w:rPr>
          <w:rFonts w:ascii="Arial" w:hAnsi="Arial" w:cs="Arial"/>
          <w:sz w:val="24"/>
          <w:szCs w:val="24"/>
        </w:rPr>
        <w:t>Road Accident Fund (“the RAF”),</w:t>
      </w:r>
      <w:r w:rsidRPr="00683E6B">
        <w:rPr>
          <w:rFonts w:ascii="Arial" w:hAnsi="Arial" w:cs="Arial"/>
          <w:sz w:val="24"/>
          <w:szCs w:val="24"/>
        </w:rPr>
        <w:t xml:space="preserve"> </w:t>
      </w:r>
      <w:r>
        <w:rPr>
          <w:rFonts w:ascii="Arial" w:hAnsi="Arial" w:cs="Arial"/>
          <w:sz w:val="24"/>
          <w:szCs w:val="24"/>
        </w:rPr>
        <w:t xml:space="preserve">as defendant, </w:t>
      </w:r>
      <w:r w:rsidRPr="00683E6B">
        <w:rPr>
          <w:rFonts w:ascii="Arial" w:hAnsi="Arial" w:cs="Arial"/>
          <w:sz w:val="24"/>
          <w:szCs w:val="24"/>
        </w:rPr>
        <w:t>would</w:t>
      </w:r>
      <w:r>
        <w:rPr>
          <w:rFonts w:ascii="Arial" w:hAnsi="Arial" w:cs="Arial"/>
          <w:sz w:val="24"/>
          <w:szCs w:val="24"/>
        </w:rPr>
        <w:t xml:space="preserve"> in appropriate circumstances be</w:t>
      </w:r>
      <w:r w:rsidRPr="00683E6B">
        <w:rPr>
          <w:rFonts w:ascii="Arial" w:hAnsi="Arial" w:cs="Arial"/>
          <w:sz w:val="24"/>
          <w:szCs w:val="24"/>
        </w:rPr>
        <w:t xml:space="preserve"> entitled to argue that </w:t>
      </w:r>
      <w:r>
        <w:rPr>
          <w:rFonts w:ascii="Arial" w:hAnsi="Arial" w:cs="Arial"/>
          <w:sz w:val="24"/>
          <w:szCs w:val="24"/>
        </w:rPr>
        <w:t>a plaintiff was precluded from pursuing the adjudication of a general damages claim since it (the RAF) had not accepted that the injury in question constituted</w:t>
      </w:r>
      <w:r w:rsidRPr="00683E6B">
        <w:rPr>
          <w:rFonts w:ascii="Arial" w:hAnsi="Arial" w:cs="Arial"/>
          <w:sz w:val="24"/>
          <w:szCs w:val="24"/>
        </w:rPr>
        <w:t xml:space="preserve"> a serious injury as contemplated in section 17(1A) of the Road Accident Fund Act 56 of 1996 (“the RAF Act”)</w:t>
      </w:r>
      <w:r>
        <w:rPr>
          <w:rFonts w:ascii="Arial" w:hAnsi="Arial" w:cs="Arial"/>
          <w:sz w:val="24"/>
          <w:szCs w:val="24"/>
        </w:rPr>
        <w:t xml:space="preserve"> and nor had the appeal tribunal contemplated in Regulation 3 of Road Accident Fund Regulations, 2008 assessed </w:t>
      </w:r>
      <w:r>
        <w:rPr>
          <w:rFonts w:ascii="Arial" w:hAnsi="Arial" w:cs="Arial"/>
          <w:sz w:val="24"/>
          <w:szCs w:val="24"/>
        </w:rPr>
        <w:lastRenderedPageBreak/>
        <w:t>such injuries as being serious</w:t>
      </w:r>
      <w:r>
        <w:rPr>
          <w:rStyle w:val="FootnoteReference"/>
          <w:rFonts w:ascii="Arial" w:hAnsi="Arial" w:cs="Arial"/>
          <w:sz w:val="24"/>
          <w:szCs w:val="24"/>
        </w:rPr>
        <w:footnoteReference w:id="6"/>
      </w:r>
      <w:r>
        <w:rPr>
          <w:rFonts w:ascii="Arial" w:hAnsi="Arial" w:cs="Arial"/>
          <w:sz w:val="24"/>
          <w:szCs w:val="24"/>
        </w:rPr>
        <w:t>.</w:t>
      </w:r>
    </w:p>
    <w:p w14:paraId="346D0258" w14:textId="60BDB524"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Similarly, it seems to me that the same position would apply in relation to procedural issues which do not entail traversing the defendant’s defence.  Thus, </w:t>
      </w:r>
      <w:r w:rsidRPr="00683E6B">
        <w:rPr>
          <w:rFonts w:ascii="Arial" w:hAnsi="Arial" w:cs="Arial"/>
          <w:i/>
          <w:iCs/>
          <w:sz w:val="24"/>
          <w:szCs w:val="24"/>
        </w:rPr>
        <w:t xml:space="preserve">in </w:t>
      </w:r>
      <w:proofErr w:type="spellStart"/>
      <w:r w:rsidRPr="00683E6B">
        <w:rPr>
          <w:rFonts w:ascii="Arial" w:hAnsi="Arial" w:cs="Arial"/>
          <w:i/>
          <w:iCs/>
          <w:sz w:val="24"/>
          <w:szCs w:val="24"/>
        </w:rPr>
        <w:t>casu</w:t>
      </w:r>
      <w:proofErr w:type="spellEnd"/>
      <w:r w:rsidRPr="00683E6B">
        <w:rPr>
          <w:rFonts w:ascii="Arial" w:hAnsi="Arial" w:cs="Arial"/>
          <w:sz w:val="24"/>
          <w:szCs w:val="24"/>
        </w:rPr>
        <w:t>, the plaintiff’s application to amend its particulars of claim was completely independent of the defendant’s defence which had been struck out.  The defendant was accordingly entitled to be heard in relation to the plaintiff’s application for an amendment.</w:t>
      </w:r>
    </w:p>
    <w:p w14:paraId="430B4360" w14:textId="4DB2B30A"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It is by now trite that the determination of appropriate contingencies falls within the court’s discretion which must be exercised judicially based on the surrounding facts and circumstances. This determination constitutes a question of mixed law and fact, because it involves the application of legal principles concerning the assessment of damages to a specific set of facts and circumstances.  For this reason, the defendant was entitled to be heard in regard to the assessment of appropriate percentages to be applied in taking account of contingencies.</w:t>
      </w:r>
    </w:p>
    <w:p w14:paraId="51456380" w14:textId="37CC78D1"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same principle applies in the assessment of general damages.  An assessment of what would constitute an appropriate award for general damages is predicated upon the court applying legal principles to the facts relevant to quantum.  The defendant was accordingly similarly entitled to make submissions relating to the assessment of general damages.</w:t>
      </w:r>
    </w:p>
    <w:p w14:paraId="373349AC" w14:textId="77777777" w:rsidR="00C72F75" w:rsidRPr="00683E6B" w:rsidRDefault="00C72F75" w:rsidP="003F6E23">
      <w:pPr>
        <w:pStyle w:val="ListParagraph"/>
        <w:widowControl w:val="0"/>
        <w:spacing w:before="300" w:after="0" w:line="480" w:lineRule="auto"/>
        <w:ind w:left="0" w:right="-23"/>
        <w:contextualSpacing w:val="0"/>
        <w:jc w:val="both"/>
        <w:rPr>
          <w:rFonts w:ascii="Arial" w:hAnsi="Arial" w:cs="Arial"/>
          <w:sz w:val="24"/>
          <w:szCs w:val="24"/>
        </w:rPr>
      </w:pPr>
    </w:p>
    <w:p w14:paraId="30A3120F" w14:textId="6689E9BF" w:rsidR="00C72F75" w:rsidRPr="00683E6B" w:rsidRDefault="00C72F75" w:rsidP="003F6E23">
      <w:pPr>
        <w:pStyle w:val="ListParagraph"/>
        <w:widowControl w:val="0"/>
        <w:spacing w:before="300" w:after="0" w:line="480" w:lineRule="auto"/>
        <w:ind w:left="0" w:right="-23"/>
        <w:contextualSpacing w:val="0"/>
        <w:jc w:val="both"/>
        <w:rPr>
          <w:rFonts w:ascii="Arial" w:hAnsi="Arial" w:cs="Arial"/>
          <w:b/>
          <w:bCs/>
          <w:sz w:val="24"/>
          <w:szCs w:val="24"/>
        </w:rPr>
      </w:pPr>
      <w:r w:rsidRPr="00683E6B">
        <w:rPr>
          <w:rFonts w:ascii="Arial" w:hAnsi="Arial" w:cs="Arial"/>
          <w:b/>
          <w:bCs/>
          <w:sz w:val="24"/>
          <w:szCs w:val="24"/>
        </w:rPr>
        <w:lastRenderedPageBreak/>
        <w:t>THE APPLICATION FOR DEFAULT JUDGMENT</w:t>
      </w:r>
    </w:p>
    <w:p w14:paraId="003942D8" w14:textId="5C31C588" w:rsidR="00C72F75" w:rsidRPr="00683E6B" w:rsidRDefault="00C72F75" w:rsidP="003F6E23">
      <w:pPr>
        <w:pStyle w:val="ListParagraph"/>
        <w:widowControl w:val="0"/>
        <w:numPr>
          <w:ilvl w:val="0"/>
          <w:numId w:val="10"/>
        </w:numPr>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At the commencement of his argument, 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moved for an amendment of the particulars of claim so as to increase the amount claimed for general damages by R250 000.  This proposed amendment was in the same terms as the plaintiff’s notice of intention to amend served on 11 October 2023 already referred to above.  </w:t>
      </w:r>
    </w:p>
    <w:p w14:paraId="543E8C31" w14:textId="22DD0803"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asked what the defendant’s attitude was to the proposed amendment.  Ms </w:t>
      </w:r>
      <w:proofErr w:type="spellStart"/>
      <w:r w:rsidRPr="00683E6B">
        <w:rPr>
          <w:rFonts w:ascii="Arial" w:hAnsi="Arial" w:cs="Arial"/>
          <w:sz w:val="24"/>
          <w:szCs w:val="24"/>
        </w:rPr>
        <w:t>Ramjee</w:t>
      </w:r>
      <w:proofErr w:type="spellEnd"/>
      <w:r w:rsidRPr="00683E6B">
        <w:rPr>
          <w:rFonts w:ascii="Arial" w:hAnsi="Arial" w:cs="Arial"/>
          <w:sz w:val="24"/>
          <w:szCs w:val="24"/>
        </w:rPr>
        <w:t xml:space="preserve"> noted the defendant’s objection.  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nevertheless persisted with his application.</w:t>
      </w:r>
    </w:p>
    <w:p w14:paraId="01EC2BA8" w14:textId="0966596A"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 accordingly turn to deal with the question whether the application for leave to amend should or should not be granted.</w:t>
      </w:r>
    </w:p>
    <w:p w14:paraId="47DDAD56" w14:textId="0018AE5E"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first issue that militates against the granting of the amendment is the fact that Ms van </w:t>
      </w:r>
      <w:proofErr w:type="spellStart"/>
      <w:r w:rsidRPr="00683E6B">
        <w:rPr>
          <w:rFonts w:ascii="Arial" w:hAnsi="Arial" w:cs="Arial"/>
          <w:sz w:val="24"/>
          <w:szCs w:val="24"/>
        </w:rPr>
        <w:t>Tellingen</w:t>
      </w:r>
      <w:proofErr w:type="spellEnd"/>
      <w:r w:rsidRPr="00683E6B">
        <w:rPr>
          <w:rFonts w:ascii="Arial" w:hAnsi="Arial" w:cs="Arial"/>
          <w:sz w:val="24"/>
          <w:szCs w:val="24"/>
        </w:rPr>
        <w:t xml:space="preserve"> had, as set out above, deposed to an affidavit in which she unambiguously certified that the matter was trial ready in respect of quantum, and that no further interlocutory applications were outstanding or anticipated.  She also confirmed that all medico-legal and actuarial reports had been filed and uploaded to </w:t>
      </w:r>
      <w:proofErr w:type="spellStart"/>
      <w:r w:rsidRPr="00683E6B">
        <w:rPr>
          <w:rFonts w:ascii="Arial" w:hAnsi="Arial" w:cs="Arial"/>
          <w:sz w:val="24"/>
          <w:szCs w:val="24"/>
        </w:rPr>
        <w:t>Caselines</w:t>
      </w:r>
      <w:proofErr w:type="spellEnd"/>
      <w:r w:rsidRPr="00683E6B">
        <w:rPr>
          <w:rFonts w:ascii="Arial" w:hAnsi="Arial" w:cs="Arial"/>
          <w:sz w:val="24"/>
          <w:szCs w:val="24"/>
        </w:rPr>
        <w:t>.</w:t>
      </w:r>
    </w:p>
    <w:p w14:paraId="73470409" w14:textId="0332AA42"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explained from the bar that it was only whilst he was drafting the heads of argument that he had formed the view that the plaintiff’s claim for general damages should be increased by R250 000.  In response to my question whether the defendant should not have been given longer notice of the proposed amendment, 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argued that since all the relevant medico-legal reports had already been in the possession of the defendant, it had been in a position to itself calculate the quantum of damages, and general damages in particular.</w:t>
      </w:r>
    </w:p>
    <w:p w14:paraId="3DB1BE70" w14:textId="0DBE808B"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 xml:space="preserve">This argument would perforce be equally applicable to the plaintiff whose attorney had, with all the applicable medico-legal reports in her possession, certified under oath that she did not anticipate any further interlocutory applications.  Thus on Mr </w:t>
      </w:r>
      <w:proofErr w:type="spellStart"/>
      <w:r w:rsidRPr="00683E6B">
        <w:rPr>
          <w:rFonts w:ascii="Arial" w:hAnsi="Arial" w:cs="Arial"/>
          <w:sz w:val="24"/>
          <w:szCs w:val="24"/>
        </w:rPr>
        <w:t>Grobler’s</w:t>
      </w:r>
      <w:proofErr w:type="spellEnd"/>
      <w:r w:rsidRPr="00683E6B">
        <w:rPr>
          <w:rFonts w:ascii="Arial" w:hAnsi="Arial" w:cs="Arial"/>
          <w:sz w:val="24"/>
          <w:szCs w:val="24"/>
        </w:rPr>
        <w:t xml:space="preserve"> argument, Ms van </w:t>
      </w:r>
      <w:proofErr w:type="spellStart"/>
      <w:r w:rsidRPr="00683E6B">
        <w:rPr>
          <w:rFonts w:ascii="Arial" w:hAnsi="Arial" w:cs="Arial"/>
          <w:sz w:val="24"/>
          <w:szCs w:val="24"/>
        </w:rPr>
        <w:t>Tellingen</w:t>
      </w:r>
      <w:proofErr w:type="spellEnd"/>
      <w:r w:rsidRPr="00683E6B">
        <w:rPr>
          <w:rFonts w:ascii="Arial" w:hAnsi="Arial" w:cs="Arial"/>
          <w:sz w:val="24"/>
          <w:szCs w:val="24"/>
        </w:rPr>
        <w:t xml:space="preserve"> ought similarly to have been aware that the quantum of general damages ought to be increased by R250 000, and that the matter had in fact not been trial ready.  She ought therefor not to have deposed to an affidavit certifying trial readiness because of an anticipated amendment.  One would, at the very least, have expected Ms van </w:t>
      </w:r>
      <w:proofErr w:type="spellStart"/>
      <w:r w:rsidRPr="00683E6B">
        <w:rPr>
          <w:rFonts w:ascii="Arial" w:hAnsi="Arial" w:cs="Arial"/>
          <w:sz w:val="24"/>
          <w:szCs w:val="24"/>
        </w:rPr>
        <w:t>Tellingen</w:t>
      </w:r>
      <w:proofErr w:type="spellEnd"/>
      <w:r w:rsidRPr="00683E6B">
        <w:rPr>
          <w:rFonts w:ascii="Arial" w:hAnsi="Arial" w:cs="Arial"/>
          <w:sz w:val="24"/>
          <w:szCs w:val="24"/>
        </w:rPr>
        <w:t xml:space="preserve"> to have deposed to a further affidavit explaining why she had previously certified the matter as trial ready, whereas, two days prior to the trial date, a notice of intention to amend the particulars of claim was filed.  No such affidavit was forthcoming, and nor was an explanation tendered from the bar.</w:t>
      </w:r>
    </w:p>
    <w:p w14:paraId="4C8DD2C3" w14:textId="3314E99C"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A further consideration is the wording of the notice itself which afforded the defendant an opportunity to object in writing to the proposed amendment “on the Trial Date or there after delivering this notice”.  It is difficult to understand what the words “or there after delivering this notice” mean.  It is conceivable that the notice purported to afford the defendant a further opportunity to object to the proposed amendment even after the hearing.  The unintelligibility (or at best, the ambiguity) of the notice ought not to prejudice the defendant.  </w:t>
      </w:r>
    </w:p>
    <w:p w14:paraId="09F43AFD" w14:textId="5DD62023"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Be that as it may, the defendant did, as it was entitled to do, object to the proposed amendment at the hearing.  I should add that, as much as the plaintiff moved the application to amend from the bar, it was open to the defendant to object to such application from the bar too.  </w:t>
      </w:r>
    </w:p>
    <w:p w14:paraId="433A3993" w14:textId="477EDDA8"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Even though I am of the view that the plaintiff has failed to tender an adequate explanation for his delay and his attorney having incorrectly certified the matter as trial </w:t>
      </w:r>
      <w:r w:rsidRPr="00683E6B">
        <w:rPr>
          <w:rFonts w:ascii="Arial" w:hAnsi="Arial" w:cs="Arial"/>
          <w:sz w:val="24"/>
          <w:szCs w:val="24"/>
        </w:rPr>
        <w:lastRenderedPageBreak/>
        <w:t>ready, the court can condone such failures</w:t>
      </w:r>
      <w:r w:rsidRPr="00683E6B">
        <w:rPr>
          <w:rStyle w:val="FootnoteReference"/>
          <w:rFonts w:ascii="Arial" w:hAnsi="Arial" w:cs="Arial"/>
          <w:sz w:val="24"/>
          <w:szCs w:val="24"/>
        </w:rPr>
        <w:footnoteReference w:id="7"/>
      </w:r>
      <w:r w:rsidRPr="00683E6B">
        <w:rPr>
          <w:rFonts w:ascii="Arial" w:hAnsi="Arial" w:cs="Arial"/>
          <w:sz w:val="24"/>
          <w:szCs w:val="24"/>
        </w:rPr>
        <w:t>.  Amendments will generally be allowed, no matter how neglectful or careless may have been the omission requiring an amendment, unless the application to amend is mala fide or such amendment would cause an injustice to the other side which cannot be compensated by costs</w:t>
      </w:r>
      <w:r w:rsidRPr="00683E6B">
        <w:rPr>
          <w:rStyle w:val="FootnoteReference"/>
          <w:rFonts w:ascii="Arial" w:hAnsi="Arial" w:cs="Arial"/>
          <w:sz w:val="24"/>
          <w:szCs w:val="24"/>
        </w:rPr>
        <w:footnoteReference w:id="8"/>
      </w:r>
      <w:r w:rsidRPr="00683E6B">
        <w:rPr>
          <w:rFonts w:ascii="Arial" w:hAnsi="Arial" w:cs="Arial"/>
          <w:sz w:val="24"/>
          <w:szCs w:val="24"/>
        </w:rPr>
        <w:t xml:space="preserve">. </w:t>
      </w:r>
    </w:p>
    <w:p w14:paraId="68B886B6" w14:textId="409DFFC0"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have considered the prejudice and potential prejudice to the defendant if I were to allow the amendment.  Although Ms </w:t>
      </w:r>
      <w:proofErr w:type="spellStart"/>
      <w:r w:rsidRPr="00683E6B">
        <w:rPr>
          <w:rFonts w:ascii="Arial" w:hAnsi="Arial" w:cs="Arial"/>
          <w:sz w:val="24"/>
          <w:szCs w:val="24"/>
        </w:rPr>
        <w:t>Ramjee</w:t>
      </w:r>
      <w:proofErr w:type="spellEnd"/>
      <w:r w:rsidRPr="00683E6B">
        <w:rPr>
          <w:rFonts w:ascii="Arial" w:hAnsi="Arial" w:cs="Arial"/>
          <w:sz w:val="24"/>
          <w:szCs w:val="24"/>
        </w:rPr>
        <w:t xml:space="preserve"> did object to the proposed amendment she did not demonstrate in what manner the defendant would be prejudiced in its defence if the amendment were to be allowed.</w:t>
      </w:r>
    </w:p>
    <w:p w14:paraId="3F790B9F" w14:textId="5EA09A30"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Therefore, although the plaintiff is not without blame for the late application to amend his particulars of claim, it seems to me to be interests of justice that I grant the application</w:t>
      </w:r>
      <w:r>
        <w:rPr>
          <w:rFonts w:ascii="Arial" w:hAnsi="Arial" w:cs="Arial"/>
          <w:sz w:val="24"/>
          <w:szCs w:val="24"/>
        </w:rPr>
        <w:t xml:space="preserve"> for leave to amend the plaintiff’s particulars of claim</w:t>
      </w:r>
      <w:r w:rsidRPr="00683E6B">
        <w:rPr>
          <w:rFonts w:ascii="Arial" w:hAnsi="Arial" w:cs="Arial"/>
          <w:sz w:val="24"/>
          <w:szCs w:val="24"/>
        </w:rPr>
        <w:t>.  I accordingly do so.</w:t>
      </w:r>
    </w:p>
    <w:p w14:paraId="3A71CC4E" w14:textId="77777777" w:rsidR="00C72F75" w:rsidRDefault="00C72F75" w:rsidP="00C72F75">
      <w:pPr>
        <w:spacing w:before="400" w:after="0"/>
        <w:rPr>
          <w:rFonts w:ascii="Arial" w:hAnsi="Arial" w:cs="Arial"/>
          <w:b/>
          <w:bCs/>
          <w:sz w:val="24"/>
          <w:szCs w:val="24"/>
        </w:rPr>
      </w:pPr>
    </w:p>
    <w:p w14:paraId="4CFE98B5" w14:textId="17BE7E17" w:rsidR="00C72F75" w:rsidRPr="00683E6B" w:rsidRDefault="00C72F75" w:rsidP="003F6E23">
      <w:pPr>
        <w:pStyle w:val="ListParagraph"/>
        <w:widowControl w:val="0"/>
        <w:spacing w:before="300" w:after="0" w:line="480" w:lineRule="auto"/>
        <w:ind w:left="0" w:right="-23"/>
        <w:contextualSpacing w:val="0"/>
        <w:jc w:val="both"/>
        <w:rPr>
          <w:rFonts w:ascii="Arial" w:hAnsi="Arial" w:cs="Arial"/>
          <w:b/>
          <w:bCs/>
          <w:sz w:val="24"/>
          <w:szCs w:val="24"/>
        </w:rPr>
      </w:pPr>
      <w:r w:rsidRPr="00683E6B">
        <w:rPr>
          <w:rFonts w:ascii="Arial" w:hAnsi="Arial" w:cs="Arial"/>
          <w:b/>
          <w:bCs/>
          <w:sz w:val="24"/>
          <w:szCs w:val="24"/>
        </w:rPr>
        <w:t xml:space="preserve">UNIFORM RULE 38 (2) APPLICATION </w:t>
      </w:r>
    </w:p>
    <w:p w14:paraId="674D4B50" w14:textId="627F6987" w:rsidR="00C72F75" w:rsidRPr="00683E6B" w:rsidRDefault="00C72F75" w:rsidP="003F6E23">
      <w:pPr>
        <w:pStyle w:val="ListParagraph"/>
        <w:widowControl w:val="0"/>
        <w:numPr>
          <w:ilvl w:val="0"/>
          <w:numId w:val="10"/>
        </w:numPr>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plaintiff filed a substantive application for evidence to be adduced by way of affidavit in accordance with the provisions of Rule 38 (2).  The defendant did not oppose this application, and having regard to the facts of the matter, I granted the application.  Evidence was accordingly adduced by way of affidavit; this evidence </w:t>
      </w:r>
      <w:r w:rsidRPr="00683E6B">
        <w:rPr>
          <w:rFonts w:ascii="Arial" w:hAnsi="Arial" w:cs="Arial"/>
          <w:sz w:val="24"/>
          <w:szCs w:val="24"/>
        </w:rPr>
        <w:lastRenderedPageBreak/>
        <w:t>related primarily to the opinions of the various experts</w:t>
      </w:r>
      <w:r>
        <w:rPr>
          <w:rStyle w:val="FootnoteReference"/>
          <w:rFonts w:ascii="Arial" w:hAnsi="Arial" w:cs="Arial"/>
          <w:sz w:val="24"/>
          <w:szCs w:val="24"/>
        </w:rPr>
        <w:footnoteReference w:id="9"/>
      </w:r>
      <w:r w:rsidRPr="00683E6B">
        <w:rPr>
          <w:rFonts w:ascii="Arial" w:hAnsi="Arial" w:cs="Arial"/>
          <w:sz w:val="24"/>
          <w:szCs w:val="24"/>
        </w:rPr>
        <w:t>.  In line with its defence having been struck out, the defendant did not adduce any evidence to counter that of the plaintiff.</w:t>
      </w:r>
    </w:p>
    <w:p w14:paraId="28B64049" w14:textId="71BC0271" w:rsidR="00C72F75" w:rsidRPr="00683E6B" w:rsidRDefault="00C72F75" w:rsidP="003F6E23">
      <w:pPr>
        <w:pStyle w:val="ListParagraph"/>
        <w:widowControl w:val="0"/>
        <w:numPr>
          <w:ilvl w:val="0"/>
          <w:numId w:val="10"/>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affidavits and reports of the following experts were accordingly introduced into evidence:</w:t>
      </w:r>
    </w:p>
    <w:p w14:paraId="72CCF2AE" w14:textId="53125A65"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Dr Fredericks (a general practitioner) dated 29 June 2021;</w:t>
      </w:r>
    </w:p>
    <w:p w14:paraId="3B86E5F6" w14:textId="672226BD"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Dr Fredericks (RAF4 Serious Injury Assessment Report) dated 10 December 2020;</w:t>
      </w:r>
    </w:p>
    <w:p w14:paraId="4130E5CF" w14:textId="6E3A4501"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Dr Berkowitz (a plastic surgeon) dated 28 September 2020; </w:t>
      </w:r>
    </w:p>
    <w:p w14:paraId="0BED0F11" w14:textId="552C1939"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Dr Berkowitz (RAF4 Serious Injury Assessment Report) dated 23 September 2020; </w:t>
      </w:r>
    </w:p>
    <w:p w14:paraId="2067C2FD" w14:textId="6AA3D102"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Ms Gibson (a neuropsychologist) dated 25 August 2020 </w:t>
      </w:r>
    </w:p>
    <w:p w14:paraId="47B02626" w14:textId="0244DC21"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Dr Naidoo (a psychiatrist) dated 11 May 2020;</w:t>
      </w:r>
    </w:p>
    <w:p w14:paraId="4BB44929" w14:textId="5231AC04"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(a neurosurgeon) dated 3 September 2020; </w:t>
      </w:r>
    </w:p>
    <w:p w14:paraId="5E677D10" w14:textId="6BC33FCA"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(an educational psychologist) dated 3 June 2021;</w:t>
      </w:r>
    </w:p>
    <w:p w14:paraId="4335C07B" w14:textId="75888F83"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 xml:space="preserve">Dr de </w:t>
      </w:r>
      <w:proofErr w:type="spellStart"/>
      <w:r w:rsidRPr="00683E6B">
        <w:rPr>
          <w:rFonts w:ascii="Arial" w:hAnsi="Arial" w:cs="Arial"/>
          <w:sz w:val="24"/>
          <w:szCs w:val="24"/>
        </w:rPr>
        <w:t>Graad</w:t>
      </w:r>
      <w:proofErr w:type="spellEnd"/>
      <w:r w:rsidRPr="00683E6B">
        <w:rPr>
          <w:rFonts w:ascii="Arial" w:hAnsi="Arial" w:cs="Arial"/>
          <w:sz w:val="24"/>
          <w:szCs w:val="24"/>
        </w:rPr>
        <w:t xml:space="preserve"> (an orthopaedic surgeon) dated 30 June 2020;</w:t>
      </w:r>
    </w:p>
    <w:p w14:paraId="0025F738" w14:textId="36F09854"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hAnsi="Arial" w:cs="Arial"/>
          <w:sz w:val="24"/>
          <w:szCs w:val="24"/>
        </w:rPr>
        <w:t>Ms Doran (an occupational therapist) dated 15 June 2021; and</w:t>
      </w:r>
    </w:p>
    <w:p w14:paraId="4B89CC3A" w14:textId="4710A5CF" w:rsidR="00C72F75" w:rsidRPr="00683E6B" w:rsidRDefault="00C72F75" w:rsidP="0072428D">
      <w:pPr>
        <w:pStyle w:val="ListParagraph"/>
        <w:widowControl w:val="0"/>
        <w:numPr>
          <w:ilvl w:val="1"/>
          <w:numId w:val="10"/>
        </w:numPr>
        <w:tabs>
          <w:tab w:val="left" w:pos="1701"/>
        </w:tabs>
        <w:spacing w:before="300" w:after="0" w:line="480" w:lineRule="auto"/>
        <w:ind w:left="709" w:right="-23"/>
        <w:contextualSpacing w:val="0"/>
        <w:jc w:val="both"/>
        <w:rPr>
          <w:rFonts w:ascii="Arial" w:hAnsi="Arial" w:cs="Arial"/>
          <w:sz w:val="24"/>
          <w:szCs w:val="24"/>
        </w:rPr>
      </w:pPr>
      <w:r w:rsidRPr="00683E6B">
        <w:rPr>
          <w:rFonts w:ascii="Arial" w:eastAsia="Times New Roman" w:hAnsi="Arial" w:cs="Arial"/>
          <w:kern w:val="0"/>
          <w:sz w:val="24"/>
          <w:szCs w:val="24"/>
        </w:rPr>
        <w:lastRenderedPageBreak/>
        <w:t xml:space="preserve">Mr AC </w:t>
      </w:r>
      <w:proofErr w:type="spellStart"/>
      <w:r w:rsidRPr="00683E6B">
        <w:rPr>
          <w:rFonts w:ascii="Arial" w:eastAsia="Times New Roman" w:hAnsi="Arial" w:cs="Arial"/>
          <w:kern w:val="0"/>
          <w:sz w:val="24"/>
          <w:szCs w:val="24"/>
        </w:rPr>
        <w:t>Strydom</w:t>
      </w:r>
      <w:proofErr w:type="spellEnd"/>
      <w:r w:rsidRPr="00683E6B">
        <w:rPr>
          <w:rFonts w:ascii="Arial" w:eastAsia="Times New Roman" w:hAnsi="Arial" w:cs="Arial"/>
          <w:kern w:val="0"/>
          <w:sz w:val="24"/>
          <w:szCs w:val="24"/>
        </w:rPr>
        <w:t xml:space="preserve"> of SNG </w:t>
      </w:r>
      <w:proofErr w:type="spellStart"/>
      <w:r w:rsidRPr="00683E6B">
        <w:rPr>
          <w:rFonts w:ascii="Arial" w:eastAsia="Times New Roman" w:hAnsi="Arial" w:cs="Arial"/>
          <w:kern w:val="0"/>
          <w:sz w:val="24"/>
          <w:szCs w:val="24"/>
        </w:rPr>
        <w:t>Argen</w:t>
      </w:r>
      <w:proofErr w:type="spellEnd"/>
      <w:r w:rsidRPr="00683E6B">
        <w:rPr>
          <w:rFonts w:ascii="Arial" w:eastAsia="Times New Roman" w:hAnsi="Arial" w:cs="Arial"/>
          <w:kern w:val="0"/>
          <w:sz w:val="24"/>
          <w:szCs w:val="24"/>
        </w:rPr>
        <w:t xml:space="preserve"> (an actuary) dated 17 January 2023.</w:t>
      </w:r>
    </w:p>
    <w:p w14:paraId="61D7A3DD" w14:textId="77777777" w:rsidR="00C72F75" w:rsidRPr="00683E6B" w:rsidRDefault="00C72F75" w:rsidP="00683E6B">
      <w:pPr>
        <w:pStyle w:val="ListParagraph"/>
        <w:widowControl w:val="0"/>
        <w:spacing w:before="300" w:after="0" w:line="480" w:lineRule="auto"/>
        <w:ind w:left="680" w:right="-23"/>
        <w:contextualSpacing w:val="0"/>
        <w:jc w:val="both"/>
        <w:rPr>
          <w:rFonts w:ascii="Arial" w:hAnsi="Arial" w:cs="Arial"/>
          <w:sz w:val="24"/>
          <w:szCs w:val="24"/>
        </w:rPr>
      </w:pPr>
    </w:p>
    <w:p w14:paraId="6B482195" w14:textId="77777777" w:rsidR="00C72F75" w:rsidRPr="00683E6B" w:rsidRDefault="00C72F75" w:rsidP="00683E6B">
      <w:pPr>
        <w:widowControl w:val="0"/>
        <w:spacing w:before="300" w:after="0" w:line="480" w:lineRule="auto"/>
        <w:ind w:right="-23"/>
        <w:jc w:val="both"/>
        <w:rPr>
          <w:rFonts w:ascii="Arial" w:hAnsi="Arial" w:cs="Arial"/>
          <w:sz w:val="24"/>
          <w:szCs w:val="24"/>
        </w:rPr>
      </w:pPr>
      <w:r w:rsidRPr="00683E6B">
        <w:rPr>
          <w:rFonts w:ascii="Arial" w:eastAsia="Times New Roman" w:hAnsi="Arial" w:cs="Arial"/>
          <w:b/>
          <w:kern w:val="0"/>
          <w:sz w:val="24"/>
          <w:szCs w:val="24"/>
        </w:rPr>
        <w:t xml:space="preserve">THE INJURIES SUFFERED </w:t>
      </w:r>
    </w:p>
    <w:p w14:paraId="6A5C0BE0" w14:textId="15CAE189" w:rsidR="00C72F75" w:rsidRPr="00683E6B" w:rsidRDefault="00C72F75" w:rsidP="0072428D">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Both Dr Fredericks (a general practitioner) and Dr Berkowitz (a plastic surgeon) completed RAF 4 serious injury assessment reports and confirmed that </w:t>
      </w:r>
      <w:proofErr w:type="gramStart"/>
      <w:r w:rsidRPr="00683E6B">
        <w:rPr>
          <w:rFonts w:ascii="Arial" w:hAnsi="Arial" w:cs="Arial"/>
          <w:sz w:val="24"/>
          <w:szCs w:val="24"/>
        </w:rPr>
        <w:t>K</w:t>
      </w:r>
      <w:r w:rsidR="00746D32">
        <w:rPr>
          <w:rFonts w:ascii="Arial" w:hAnsi="Arial" w:cs="Arial"/>
          <w:sz w:val="24"/>
          <w:szCs w:val="24"/>
        </w:rPr>
        <w:t>[</w:t>
      </w:r>
      <w:proofErr w:type="gramEnd"/>
      <w:r w:rsidR="00746D32">
        <w:rPr>
          <w:rFonts w:ascii="Arial" w:hAnsi="Arial" w:cs="Arial"/>
          <w:sz w:val="24"/>
          <w:szCs w:val="24"/>
        </w:rPr>
        <w:t>…]</w:t>
      </w:r>
      <w:r w:rsidRPr="00683E6B">
        <w:rPr>
          <w:rFonts w:ascii="Arial" w:hAnsi="Arial" w:cs="Arial"/>
          <w:sz w:val="24"/>
          <w:szCs w:val="24"/>
        </w:rPr>
        <w:t xml:space="preserve"> had suffered serious injuries as contemplated in section 17 of the RAF ACT.  </w:t>
      </w:r>
    </w:p>
    <w:p w14:paraId="0B4000DD" w14:textId="270BEB9A"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Fredericks diagnosed </w:t>
      </w:r>
      <w:proofErr w:type="gramStart"/>
      <w:r w:rsidRPr="00683E6B">
        <w:rPr>
          <w:rFonts w:ascii="Arial" w:hAnsi="Arial" w:cs="Arial"/>
          <w:sz w:val="24"/>
          <w:szCs w:val="24"/>
        </w:rPr>
        <w:t>K</w:t>
      </w:r>
      <w:r w:rsidR="00282123">
        <w:rPr>
          <w:rFonts w:ascii="Arial" w:hAnsi="Arial" w:cs="Arial"/>
          <w:sz w:val="24"/>
          <w:szCs w:val="24"/>
        </w:rPr>
        <w:t>[</w:t>
      </w:r>
      <w:proofErr w:type="gramEnd"/>
      <w:r w:rsidR="00282123">
        <w:rPr>
          <w:rFonts w:ascii="Arial" w:hAnsi="Arial" w:cs="Arial"/>
          <w:sz w:val="24"/>
          <w:szCs w:val="24"/>
        </w:rPr>
        <w:t>…]</w:t>
      </w:r>
      <w:r w:rsidRPr="00683E6B">
        <w:rPr>
          <w:rFonts w:ascii="Arial" w:hAnsi="Arial" w:cs="Arial"/>
          <w:sz w:val="24"/>
          <w:szCs w:val="24"/>
        </w:rPr>
        <w:t xml:space="preserve"> as having sustained </w:t>
      </w:r>
      <w:r w:rsidRPr="00683E6B">
        <w:rPr>
          <w:rFonts w:ascii="Arial" w:hAnsi="Arial" w:cs="Arial"/>
          <w:i/>
          <w:iCs/>
          <w:sz w:val="24"/>
          <w:szCs w:val="24"/>
        </w:rPr>
        <w:t xml:space="preserve">a deep ± 7cm laceration diagonally across forehead with a with CT scan confirmation of an extradural haemorrhage and a </w:t>
      </w:r>
      <w:proofErr w:type="spellStart"/>
      <w:r w:rsidRPr="00683E6B">
        <w:rPr>
          <w:rFonts w:ascii="Arial" w:hAnsi="Arial" w:cs="Arial"/>
          <w:i/>
          <w:iCs/>
          <w:sz w:val="24"/>
          <w:szCs w:val="24"/>
        </w:rPr>
        <w:t>comminuted</w:t>
      </w:r>
      <w:proofErr w:type="spellEnd"/>
      <w:r w:rsidRPr="00683E6B">
        <w:rPr>
          <w:rFonts w:ascii="Arial" w:hAnsi="Arial" w:cs="Arial"/>
          <w:i/>
          <w:iCs/>
          <w:sz w:val="24"/>
          <w:szCs w:val="24"/>
        </w:rPr>
        <w:t xml:space="preserve"> depressed left frontal bone fracture with intracranial displacement of some of the bone fragments and resultant mass effect on the left frontal lobe of the brain”</w:t>
      </w:r>
      <w:r w:rsidRPr="00683E6B">
        <w:rPr>
          <w:rFonts w:ascii="Arial" w:hAnsi="Arial" w:cs="Arial"/>
          <w:sz w:val="24"/>
          <w:szCs w:val="24"/>
        </w:rPr>
        <w:t xml:space="preserve">.  Dr Fredericks found that </w:t>
      </w:r>
      <w:proofErr w:type="gramStart"/>
      <w:r w:rsidRPr="00683E6B">
        <w:rPr>
          <w:rFonts w:ascii="Arial" w:hAnsi="Arial" w:cs="Arial"/>
          <w:sz w:val="24"/>
          <w:szCs w:val="24"/>
        </w:rPr>
        <w:t>K</w:t>
      </w:r>
      <w:r w:rsidR="00654486">
        <w:rPr>
          <w:rFonts w:ascii="Arial" w:hAnsi="Arial" w:cs="Arial"/>
          <w:sz w:val="24"/>
          <w:szCs w:val="24"/>
        </w:rPr>
        <w:t>[</w:t>
      </w:r>
      <w:proofErr w:type="gramEnd"/>
      <w:r w:rsidR="00654486">
        <w:rPr>
          <w:rFonts w:ascii="Arial" w:hAnsi="Arial" w:cs="Arial"/>
          <w:sz w:val="24"/>
          <w:szCs w:val="24"/>
        </w:rPr>
        <w:t>…]</w:t>
      </w:r>
      <w:r w:rsidRPr="00683E6B">
        <w:rPr>
          <w:rFonts w:ascii="Arial" w:hAnsi="Arial" w:cs="Arial"/>
          <w:sz w:val="24"/>
          <w:szCs w:val="24"/>
        </w:rPr>
        <w:t xml:space="preserve"> suffers from a whole person impairment of 32% and in respect of the Narrative Test Guidelines he concluded that “</w:t>
      </w:r>
      <w:r w:rsidRPr="00683E6B">
        <w:rPr>
          <w:rFonts w:ascii="Arial" w:hAnsi="Arial" w:cs="Arial"/>
          <w:i/>
          <w:iCs/>
          <w:sz w:val="24"/>
          <w:szCs w:val="24"/>
        </w:rPr>
        <w:t>the significant negative impact of [K</w:t>
      </w:r>
      <w:r w:rsidR="00654486">
        <w:rPr>
          <w:rFonts w:ascii="Arial" w:hAnsi="Arial" w:cs="Arial"/>
          <w:sz w:val="24"/>
          <w:szCs w:val="24"/>
        </w:rPr>
        <w:t>[…]</w:t>
      </w:r>
      <w:r w:rsidRPr="00683E6B">
        <w:rPr>
          <w:rFonts w:ascii="Arial" w:hAnsi="Arial" w:cs="Arial"/>
          <w:i/>
          <w:iCs/>
          <w:sz w:val="24"/>
          <w:szCs w:val="24"/>
        </w:rPr>
        <w:t>’s] participatory abilities within the occupational, domestic and social domains of [K</w:t>
      </w:r>
      <w:r w:rsidR="00654486">
        <w:rPr>
          <w:rFonts w:ascii="Arial" w:hAnsi="Arial" w:cs="Arial"/>
          <w:sz w:val="24"/>
          <w:szCs w:val="24"/>
        </w:rPr>
        <w:t>[…]</w:t>
      </w:r>
      <w:r w:rsidRPr="00683E6B">
        <w:rPr>
          <w:rFonts w:ascii="Arial" w:hAnsi="Arial" w:cs="Arial"/>
          <w:i/>
          <w:iCs/>
          <w:sz w:val="24"/>
          <w:szCs w:val="24"/>
        </w:rPr>
        <w:t>’s] life, it is reasonable that [K</w:t>
      </w:r>
      <w:r w:rsidR="00654486">
        <w:rPr>
          <w:rFonts w:ascii="Arial" w:hAnsi="Arial" w:cs="Arial"/>
          <w:sz w:val="24"/>
          <w:szCs w:val="24"/>
        </w:rPr>
        <w:t>[…]</w:t>
      </w:r>
      <w:r w:rsidRPr="00683E6B">
        <w:rPr>
          <w:rFonts w:ascii="Arial" w:hAnsi="Arial" w:cs="Arial"/>
          <w:i/>
          <w:iCs/>
          <w:sz w:val="24"/>
          <w:szCs w:val="24"/>
        </w:rPr>
        <w:t>’s] injuries should be allowed to qualify as Serious Injuries under 5.1 and 5.2 of the Narrative Test.</w:t>
      </w:r>
      <w:r w:rsidRPr="00683E6B">
        <w:rPr>
          <w:rFonts w:ascii="Arial" w:hAnsi="Arial" w:cs="Arial"/>
          <w:sz w:val="24"/>
          <w:szCs w:val="24"/>
        </w:rPr>
        <w:t>”</w:t>
      </w:r>
    </w:p>
    <w:p w14:paraId="19E25008" w14:textId="6F17852C"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Berkowitz observed that </w:t>
      </w:r>
      <w:proofErr w:type="gramStart"/>
      <w:r w:rsidRPr="00683E6B">
        <w:rPr>
          <w:rFonts w:ascii="Arial" w:hAnsi="Arial" w:cs="Arial"/>
          <w:sz w:val="24"/>
          <w:szCs w:val="24"/>
        </w:rPr>
        <w:t>K</w:t>
      </w:r>
      <w:r w:rsidR="00A34E1D">
        <w:rPr>
          <w:rFonts w:ascii="Arial" w:hAnsi="Arial" w:cs="Arial"/>
          <w:sz w:val="24"/>
          <w:szCs w:val="24"/>
        </w:rPr>
        <w:t>[</w:t>
      </w:r>
      <w:proofErr w:type="gramEnd"/>
      <w:r w:rsidR="00A34E1D">
        <w:rPr>
          <w:rFonts w:ascii="Arial" w:hAnsi="Arial" w:cs="Arial"/>
          <w:sz w:val="24"/>
          <w:szCs w:val="24"/>
        </w:rPr>
        <w:t>…]</w:t>
      </w:r>
      <w:r w:rsidRPr="00683E6B">
        <w:rPr>
          <w:rFonts w:ascii="Arial" w:hAnsi="Arial" w:cs="Arial"/>
          <w:sz w:val="24"/>
          <w:szCs w:val="24"/>
        </w:rPr>
        <w:t xml:space="preserve"> has “</w:t>
      </w:r>
      <w:r w:rsidRPr="00683E6B">
        <w:rPr>
          <w:rFonts w:ascii="Arial" w:hAnsi="Arial" w:cs="Arial"/>
          <w:i/>
          <w:iCs/>
          <w:sz w:val="24"/>
          <w:szCs w:val="24"/>
        </w:rPr>
        <w:t>a pigmented scar measuring 50 mm lying obliquely across the left side of the forehead.  The scar extends just into the left frontal scalp, where it is 10 mm wide.  There is a swelling of the bone underneath the scar</w:t>
      </w:r>
      <w:r w:rsidRPr="00683E6B">
        <w:rPr>
          <w:rFonts w:ascii="Arial" w:hAnsi="Arial" w:cs="Arial"/>
          <w:sz w:val="24"/>
          <w:szCs w:val="24"/>
        </w:rPr>
        <w:t xml:space="preserve">.”  He concluded that that </w:t>
      </w:r>
      <w:proofErr w:type="gramStart"/>
      <w:r w:rsidRPr="00683E6B">
        <w:rPr>
          <w:rFonts w:ascii="Arial" w:hAnsi="Arial" w:cs="Arial"/>
          <w:sz w:val="24"/>
          <w:szCs w:val="24"/>
        </w:rPr>
        <w:t>K</w:t>
      </w:r>
      <w:r w:rsidR="00A34E1D">
        <w:rPr>
          <w:rFonts w:ascii="Arial" w:hAnsi="Arial" w:cs="Arial"/>
          <w:sz w:val="24"/>
          <w:szCs w:val="24"/>
        </w:rPr>
        <w:t>[</w:t>
      </w:r>
      <w:proofErr w:type="gramEnd"/>
      <w:r w:rsidR="00A34E1D">
        <w:rPr>
          <w:rFonts w:ascii="Arial" w:hAnsi="Arial" w:cs="Arial"/>
          <w:sz w:val="24"/>
          <w:szCs w:val="24"/>
        </w:rPr>
        <w:t>…]</w:t>
      </w:r>
      <w:r w:rsidRPr="00683E6B">
        <w:rPr>
          <w:rFonts w:ascii="Arial" w:hAnsi="Arial" w:cs="Arial"/>
          <w:sz w:val="24"/>
          <w:szCs w:val="24"/>
        </w:rPr>
        <w:t xml:space="preserve"> “</w:t>
      </w:r>
      <w:r w:rsidRPr="00683E6B">
        <w:rPr>
          <w:rFonts w:ascii="Arial" w:hAnsi="Arial" w:cs="Arial"/>
          <w:i/>
          <w:iCs/>
          <w:sz w:val="24"/>
          <w:szCs w:val="24"/>
        </w:rPr>
        <w:t>has been left with a serious permanent disfigurement as a result of [the] accident</w:t>
      </w:r>
      <w:r w:rsidRPr="00683E6B">
        <w:rPr>
          <w:rFonts w:ascii="Arial" w:hAnsi="Arial" w:cs="Arial"/>
          <w:sz w:val="24"/>
          <w:szCs w:val="24"/>
        </w:rPr>
        <w:t>” which constituted permanent serious disfigurement as contemplated in paragraph 5.2 of the Narrative Test Guidelines.</w:t>
      </w:r>
    </w:p>
    <w:p w14:paraId="0358A997" w14:textId="7517503F"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 xml:space="preserve">On clinical examination, Dr De </w:t>
      </w:r>
      <w:proofErr w:type="spellStart"/>
      <w:r w:rsidRPr="00683E6B">
        <w:rPr>
          <w:rFonts w:ascii="Arial" w:hAnsi="Arial" w:cs="Arial"/>
          <w:sz w:val="24"/>
          <w:szCs w:val="24"/>
        </w:rPr>
        <w:t>Graad</w:t>
      </w:r>
      <w:proofErr w:type="spellEnd"/>
      <w:r w:rsidRPr="00683E6B">
        <w:rPr>
          <w:rFonts w:ascii="Arial" w:hAnsi="Arial" w:cs="Arial"/>
          <w:sz w:val="24"/>
          <w:szCs w:val="24"/>
        </w:rPr>
        <w:t xml:space="preserve">, an orthopaedic surgeon, concluded </w:t>
      </w:r>
      <w:r w:rsidRPr="00683E6B">
        <w:rPr>
          <w:rFonts w:ascii="Arial" w:hAnsi="Arial" w:cs="Arial"/>
          <w:i/>
          <w:iCs/>
          <w:sz w:val="24"/>
          <w:szCs w:val="24"/>
        </w:rPr>
        <w:t xml:space="preserve">inter-alia </w:t>
      </w:r>
      <w:r w:rsidRPr="00683E6B">
        <w:rPr>
          <w:rFonts w:ascii="Arial" w:hAnsi="Arial" w:cs="Arial"/>
          <w:sz w:val="24"/>
          <w:szCs w:val="24"/>
        </w:rPr>
        <w:t xml:space="preserve">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w:t>
      </w:r>
    </w:p>
    <w:p w14:paraId="14E440BB" w14:textId="1777EAAA"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was mildly overweight;</w:t>
      </w:r>
    </w:p>
    <w:p w14:paraId="243F84D6"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had a healed laceration on the frontal aspect of the skull on the left; and</w:t>
      </w:r>
    </w:p>
    <w:p w14:paraId="0C9CD77A"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was tender on palpation posteriorly over the C7/T1 area.</w:t>
      </w:r>
    </w:p>
    <w:p w14:paraId="66D3A018" w14:textId="092AE936" w:rsidR="00C72F75" w:rsidRPr="00683E6B" w:rsidRDefault="00C72F75" w:rsidP="0072428D">
      <w:pPr>
        <w:pStyle w:val="ListParagraph"/>
        <w:widowControl w:val="0"/>
        <w:numPr>
          <w:ilvl w:val="0"/>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 xml:space="preserve">Dr De </w:t>
      </w:r>
      <w:proofErr w:type="spellStart"/>
      <w:r w:rsidRPr="00683E6B">
        <w:rPr>
          <w:rFonts w:ascii="Arial" w:hAnsi="Arial" w:cs="Arial"/>
          <w:sz w:val="24"/>
          <w:szCs w:val="24"/>
        </w:rPr>
        <w:t>Graad</w:t>
      </w:r>
      <w:proofErr w:type="spellEnd"/>
      <w:r w:rsidRPr="00683E6B">
        <w:rPr>
          <w:rFonts w:ascii="Arial" w:hAnsi="Arial" w:cs="Arial"/>
          <w:sz w:val="24"/>
          <w:szCs w:val="24"/>
        </w:rPr>
        <w:t xml:space="preserve"> expressed the opinions 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w:t>
      </w:r>
    </w:p>
    <w:p w14:paraId="5C978C8A" w14:textId="3BCD8E7B"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would require conservative management of pain, and physiotherapy; and</w:t>
      </w:r>
    </w:p>
    <w:p w14:paraId="70C9A317" w14:textId="13E6AA0E"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 xml:space="preserve">could not, and never would be able to, function independently.  </w:t>
      </w:r>
    </w:p>
    <w:p w14:paraId="6C7D25FB" w14:textId="12351D48" w:rsidR="00C72F75" w:rsidRPr="00683E6B" w:rsidRDefault="00C72F75" w:rsidP="0072428D">
      <w:pPr>
        <w:pStyle w:val="ListParagraph"/>
        <w:widowControl w:val="0"/>
        <w:numPr>
          <w:ilvl w:val="0"/>
          <w:numId w:val="1"/>
        </w:numPr>
        <w:tabs>
          <w:tab w:val="left" w:pos="709"/>
        </w:tabs>
        <w:spacing w:before="300" w:after="0" w:line="480" w:lineRule="auto"/>
        <w:ind w:left="0" w:right="-23" w:firstLine="29"/>
        <w:contextualSpacing w:val="0"/>
        <w:jc w:val="both"/>
        <w:rPr>
          <w:rFonts w:ascii="Arial" w:hAnsi="Arial" w:cs="Arial"/>
          <w:sz w:val="24"/>
          <w:szCs w:val="24"/>
        </w:rPr>
      </w:pPr>
      <w:r w:rsidRPr="00683E6B">
        <w:rPr>
          <w:rFonts w:ascii="Arial" w:hAnsi="Arial" w:cs="Arial"/>
          <w:sz w:val="24"/>
          <w:szCs w:val="24"/>
        </w:rPr>
        <w:t xml:space="preserve">Ms Gibson, a neuropsychologist, reported that, regard being had to his previous school reports,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had not exhibited any academic issues in mainstream schooling, nor did he have any pre-existing intellectual or behavioural difficulties.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had a pre-existing diagnosis of epilepsy which had led to </w:t>
      </w:r>
      <w:r w:rsidRPr="00683E6B">
        <w:rPr>
          <w:rFonts w:ascii="Arial" w:hAnsi="Arial" w:cs="Arial"/>
          <w:i/>
          <w:iCs/>
          <w:sz w:val="24"/>
          <w:szCs w:val="24"/>
        </w:rPr>
        <w:t>grand mal</w:t>
      </w:r>
      <w:r w:rsidRPr="00683E6B">
        <w:rPr>
          <w:rFonts w:ascii="Arial" w:hAnsi="Arial" w:cs="Arial"/>
          <w:sz w:val="24"/>
          <w:szCs w:val="24"/>
        </w:rPr>
        <w:t xml:space="preserve"> seizures from the age of 8 and for which he was receiving specialist treatment.</w:t>
      </w:r>
    </w:p>
    <w:p w14:paraId="12B9A094" w14:textId="73689BC7" w:rsidR="00C72F75" w:rsidRPr="00683E6B" w:rsidRDefault="00C72F75" w:rsidP="0072428D">
      <w:pPr>
        <w:pStyle w:val="ListParagraph"/>
        <w:widowControl w:val="0"/>
        <w:numPr>
          <w:ilvl w:val="0"/>
          <w:numId w:val="1"/>
        </w:numPr>
        <w:tabs>
          <w:tab w:val="left" w:pos="709"/>
        </w:tabs>
        <w:spacing w:before="300" w:after="0" w:line="480" w:lineRule="auto"/>
        <w:ind w:left="0" w:right="-23" w:firstLine="29"/>
        <w:contextualSpacing w:val="0"/>
        <w:jc w:val="both"/>
        <w:rPr>
          <w:rFonts w:ascii="Arial" w:hAnsi="Arial" w:cs="Arial"/>
          <w:sz w:val="24"/>
          <w:szCs w:val="24"/>
        </w:rPr>
      </w:pPr>
      <w:r w:rsidRPr="00683E6B">
        <w:rPr>
          <w:rFonts w:ascii="Arial" w:hAnsi="Arial" w:cs="Arial"/>
          <w:sz w:val="24"/>
          <w:szCs w:val="24"/>
        </w:rPr>
        <w:t xml:space="preserve">Ms Gibson stated 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had suffered a mild complicated traumatic brain injury presenting with mild neurocognitive disorder, behavioural symptoms and analgesia abuse with moderate / class 2 abnormalities.  She reported 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’s epilepsy was less stable after the accident.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has since the accident become lethargic and lacking in motivation, his attention span is shorter, he is easily distractible, he sleeps more and eats more (hence the weight gain) and has become less active.  </w:t>
      </w:r>
      <w:r w:rsidRPr="00683E6B">
        <w:rPr>
          <w:rFonts w:ascii="Arial" w:hAnsi="Arial" w:cs="Arial"/>
          <w:sz w:val="24"/>
          <w:szCs w:val="24"/>
        </w:rPr>
        <w:lastRenderedPageBreak/>
        <w:t xml:space="preserve">She opined 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is less confident and needs constant reassurance, more supervision and that he tends to leave tasks incomplete.  She reported that </w:t>
      </w:r>
      <w:proofErr w:type="gramStart"/>
      <w:r w:rsidRPr="00683E6B">
        <w:rPr>
          <w:rFonts w:ascii="Arial" w:hAnsi="Arial" w:cs="Arial"/>
          <w:sz w:val="24"/>
          <w:szCs w:val="24"/>
        </w:rPr>
        <w:t>K</w:t>
      </w:r>
      <w:r w:rsidR="00D64A5E">
        <w:rPr>
          <w:rFonts w:ascii="Arial" w:hAnsi="Arial" w:cs="Arial"/>
          <w:sz w:val="24"/>
          <w:szCs w:val="24"/>
        </w:rPr>
        <w:t>[</w:t>
      </w:r>
      <w:proofErr w:type="gramEnd"/>
      <w:r w:rsidR="00D64A5E">
        <w:rPr>
          <w:rFonts w:ascii="Arial" w:hAnsi="Arial" w:cs="Arial"/>
          <w:sz w:val="24"/>
          <w:szCs w:val="24"/>
        </w:rPr>
        <w:t>…]</w:t>
      </w:r>
      <w:r w:rsidRPr="00683E6B">
        <w:rPr>
          <w:rFonts w:ascii="Arial" w:hAnsi="Arial" w:cs="Arial"/>
          <w:sz w:val="24"/>
          <w:szCs w:val="24"/>
        </w:rPr>
        <w:t xml:space="preserve"> also suffers from severe, daily headaches and that he can be irritable, blunt and uncooperative.  He had also developed enuresis.</w:t>
      </w:r>
    </w:p>
    <w:p w14:paraId="0E0CABD5" w14:textId="32AC2FFC" w:rsidR="00C72F75" w:rsidRPr="00683E6B" w:rsidRDefault="00C72F75" w:rsidP="0072428D">
      <w:pPr>
        <w:pStyle w:val="ListParagraph"/>
        <w:widowControl w:val="0"/>
        <w:numPr>
          <w:ilvl w:val="0"/>
          <w:numId w:val="1"/>
        </w:numPr>
        <w:tabs>
          <w:tab w:val="left" w:pos="709"/>
        </w:tabs>
        <w:spacing w:before="300" w:after="0" w:line="480" w:lineRule="auto"/>
        <w:ind w:left="0" w:right="-23" w:firstLine="29"/>
        <w:contextualSpacing w:val="0"/>
        <w:jc w:val="both"/>
        <w:rPr>
          <w:rFonts w:ascii="Arial" w:hAnsi="Arial" w:cs="Arial"/>
          <w:sz w:val="24"/>
          <w:szCs w:val="24"/>
        </w:rPr>
      </w:pPr>
      <w:r w:rsidRPr="00683E6B">
        <w:rPr>
          <w:rFonts w:ascii="Arial" w:hAnsi="Arial" w:cs="Arial"/>
          <w:sz w:val="24"/>
          <w:szCs w:val="24"/>
        </w:rPr>
        <w:t>Ms Gibson performed neuropsychological tests which revealed that:</w:t>
      </w:r>
    </w:p>
    <w:p w14:paraId="3F5B8CE7" w14:textId="04B15119"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proofErr w:type="gramStart"/>
      <w:r w:rsidRPr="00683E6B">
        <w:rPr>
          <w:rFonts w:ascii="Arial" w:hAnsi="Arial" w:cs="Arial"/>
          <w:sz w:val="24"/>
          <w:szCs w:val="24"/>
        </w:rPr>
        <w:t>K</w:t>
      </w:r>
      <w:r w:rsidR="00AC23F5">
        <w:rPr>
          <w:rFonts w:ascii="Arial" w:hAnsi="Arial" w:cs="Arial"/>
          <w:sz w:val="24"/>
          <w:szCs w:val="24"/>
        </w:rPr>
        <w:t>[</w:t>
      </w:r>
      <w:proofErr w:type="gramEnd"/>
      <w:r w:rsidR="00AC23F5">
        <w:rPr>
          <w:rFonts w:ascii="Arial" w:hAnsi="Arial" w:cs="Arial"/>
          <w:sz w:val="24"/>
          <w:szCs w:val="24"/>
        </w:rPr>
        <w:t>…]</w:t>
      </w:r>
      <w:r w:rsidRPr="00683E6B">
        <w:rPr>
          <w:rFonts w:ascii="Arial" w:hAnsi="Arial" w:cs="Arial"/>
          <w:sz w:val="24"/>
          <w:szCs w:val="24"/>
        </w:rPr>
        <w:t xml:space="preserve"> has substantial neurocognitive difficulties in the following domains: attention; ability to remain on task without reassurance and supervision; working memory/complex attention; mental tracking; fine motor control and muscle tone; </w:t>
      </w:r>
      <w:proofErr w:type="spellStart"/>
      <w:r w:rsidRPr="00683E6B">
        <w:rPr>
          <w:rFonts w:ascii="Arial" w:hAnsi="Arial" w:cs="Arial"/>
          <w:sz w:val="24"/>
          <w:szCs w:val="24"/>
        </w:rPr>
        <w:t>visuopraxis</w:t>
      </w:r>
      <w:proofErr w:type="spellEnd"/>
      <w:r w:rsidRPr="00683E6B">
        <w:rPr>
          <w:rFonts w:ascii="Arial" w:hAnsi="Arial" w:cs="Arial"/>
          <w:sz w:val="24"/>
          <w:szCs w:val="24"/>
        </w:rPr>
        <w:t xml:space="preserve">; expressive language; numerical reasoning and mathematics; language-based problem solving; ability to extract meaning from print; narrative memory; expressive language and executive functioning. </w:t>
      </w:r>
    </w:p>
    <w:p w14:paraId="54C05D9B" w14:textId="25FC6E6A"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proofErr w:type="gramStart"/>
      <w:r w:rsidRPr="00683E6B">
        <w:rPr>
          <w:rFonts w:ascii="Arial" w:hAnsi="Arial" w:cs="Arial"/>
          <w:sz w:val="24"/>
          <w:szCs w:val="24"/>
        </w:rPr>
        <w:t>K</w:t>
      </w:r>
      <w:r w:rsidR="00AC23F5">
        <w:rPr>
          <w:rFonts w:ascii="Arial" w:hAnsi="Arial" w:cs="Arial"/>
          <w:sz w:val="24"/>
          <w:szCs w:val="24"/>
        </w:rPr>
        <w:t>[</w:t>
      </w:r>
      <w:proofErr w:type="gramEnd"/>
      <w:r w:rsidR="00AC23F5">
        <w:rPr>
          <w:rFonts w:ascii="Arial" w:hAnsi="Arial" w:cs="Arial"/>
          <w:sz w:val="24"/>
          <w:szCs w:val="24"/>
        </w:rPr>
        <w:t>…]</w:t>
      </w:r>
      <w:r w:rsidRPr="00683E6B">
        <w:rPr>
          <w:rFonts w:ascii="Arial" w:hAnsi="Arial" w:cs="Arial"/>
          <w:sz w:val="24"/>
          <w:szCs w:val="24"/>
        </w:rPr>
        <w:t xml:space="preserve"> has adequate functioning in the following areas: visual memory. non-verbal problem solving in the form of inferential reasoning and construction combined with problem solving.</w:t>
      </w:r>
    </w:p>
    <w:p w14:paraId="38DD93F1" w14:textId="2AA3730E"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From a psychological perspective, Ms Gibson expressed the view </w:t>
      </w:r>
      <w:proofErr w:type="gramStart"/>
      <w:r w:rsidRPr="00683E6B">
        <w:rPr>
          <w:rFonts w:ascii="Arial" w:hAnsi="Arial" w:cs="Arial"/>
          <w:sz w:val="24"/>
          <w:szCs w:val="24"/>
        </w:rPr>
        <w:t>K</w:t>
      </w:r>
      <w:r w:rsidR="00AC23F5">
        <w:rPr>
          <w:rFonts w:ascii="Arial" w:hAnsi="Arial" w:cs="Arial"/>
          <w:sz w:val="24"/>
          <w:szCs w:val="24"/>
        </w:rPr>
        <w:t>[</w:t>
      </w:r>
      <w:proofErr w:type="gramEnd"/>
      <w:r w:rsidR="00AC23F5">
        <w:rPr>
          <w:rFonts w:ascii="Arial" w:hAnsi="Arial" w:cs="Arial"/>
          <w:sz w:val="24"/>
          <w:szCs w:val="24"/>
        </w:rPr>
        <w:t>…]</w:t>
      </w:r>
      <w:r w:rsidRPr="00683E6B">
        <w:rPr>
          <w:rFonts w:ascii="Arial" w:hAnsi="Arial" w:cs="Arial"/>
          <w:sz w:val="24"/>
          <w:szCs w:val="24"/>
        </w:rPr>
        <w:t xml:space="preserve"> is anxious and reliant on encouragement and supervision. He is emotionally insecure and anxious. </w:t>
      </w:r>
    </w:p>
    <w:p w14:paraId="6330230C" w14:textId="37F542F8"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Gibson concluded that </w:t>
      </w:r>
      <w:proofErr w:type="gramStart"/>
      <w:r w:rsidRPr="00683E6B">
        <w:rPr>
          <w:rFonts w:ascii="Arial" w:hAnsi="Arial" w:cs="Arial"/>
          <w:sz w:val="24"/>
          <w:szCs w:val="24"/>
        </w:rPr>
        <w:t>K</w:t>
      </w:r>
      <w:r w:rsidR="00AC23F5">
        <w:rPr>
          <w:rFonts w:ascii="Arial" w:hAnsi="Arial" w:cs="Arial"/>
          <w:sz w:val="24"/>
          <w:szCs w:val="24"/>
        </w:rPr>
        <w:t>[</w:t>
      </w:r>
      <w:proofErr w:type="gramEnd"/>
      <w:r w:rsidR="00AC23F5">
        <w:rPr>
          <w:rFonts w:ascii="Arial" w:hAnsi="Arial" w:cs="Arial"/>
          <w:sz w:val="24"/>
          <w:szCs w:val="24"/>
        </w:rPr>
        <w:t>…]</w:t>
      </w:r>
      <w:r w:rsidRPr="00683E6B">
        <w:rPr>
          <w:rFonts w:ascii="Arial" w:hAnsi="Arial" w:cs="Arial"/>
          <w:sz w:val="24"/>
          <w:szCs w:val="24"/>
        </w:rPr>
        <w:t xml:space="preserve"> has neurocognitive difficulties, psychological and social difficulties, educational, language-based and numerical reasoning difficulties, together with memory and executive difficulties. </w:t>
      </w:r>
    </w:p>
    <w:p w14:paraId="6A3A5FFF" w14:textId="1042B3A8"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Gibson opined that the areas of the presented complaints which were </w:t>
      </w:r>
      <w:r w:rsidRPr="00683E6B">
        <w:rPr>
          <w:rFonts w:ascii="Arial" w:hAnsi="Arial" w:cs="Arial"/>
          <w:sz w:val="24"/>
          <w:szCs w:val="24"/>
        </w:rPr>
        <w:lastRenderedPageBreak/>
        <w:t xml:space="preserve">associated with the head injury and confirmed on assessment, include </w:t>
      </w:r>
      <w:proofErr w:type="spellStart"/>
      <w:r w:rsidRPr="00683E6B">
        <w:rPr>
          <w:rFonts w:ascii="Arial" w:hAnsi="Arial" w:cs="Arial"/>
          <w:sz w:val="24"/>
          <w:szCs w:val="24"/>
        </w:rPr>
        <w:t>hypodynamic</w:t>
      </w:r>
      <w:proofErr w:type="spellEnd"/>
      <w:r w:rsidRPr="00683E6B">
        <w:rPr>
          <w:rFonts w:ascii="Arial" w:hAnsi="Arial" w:cs="Arial"/>
          <w:sz w:val="24"/>
          <w:szCs w:val="24"/>
        </w:rPr>
        <w:t xml:space="preserve">, </w:t>
      </w:r>
      <w:proofErr w:type="spellStart"/>
      <w:r w:rsidRPr="00683E6B">
        <w:rPr>
          <w:rFonts w:ascii="Arial" w:hAnsi="Arial" w:cs="Arial"/>
          <w:sz w:val="24"/>
          <w:szCs w:val="24"/>
        </w:rPr>
        <w:t>visuopraxis</w:t>
      </w:r>
      <w:proofErr w:type="spellEnd"/>
      <w:r w:rsidRPr="00683E6B">
        <w:rPr>
          <w:rFonts w:ascii="Arial" w:hAnsi="Arial" w:cs="Arial"/>
          <w:sz w:val="24"/>
          <w:szCs w:val="24"/>
        </w:rPr>
        <w:t xml:space="preserve">, lethargy, lack of motivation, inattention, distractibility, poor perseverance, tendency to fatigue, headache, lack of confidence, need for reassurance and supervision.   She stated that head injuries such as those sustained by </w:t>
      </w:r>
      <w:proofErr w:type="gramStart"/>
      <w:r w:rsidRPr="00683E6B">
        <w:rPr>
          <w:rFonts w:ascii="Arial" w:hAnsi="Arial" w:cs="Arial"/>
          <w:sz w:val="24"/>
          <w:szCs w:val="24"/>
        </w:rPr>
        <w:t>K</w:t>
      </w:r>
      <w:r w:rsidR="00AC23F5">
        <w:rPr>
          <w:rFonts w:ascii="Arial" w:hAnsi="Arial" w:cs="Arial"/>
          <w:sz w:val="24"/>
          <w:szCs w:val="24"/>
        </w:rPr>
        <w:t>[</w:t>
      </w:r>
      <w:proofErr w:type="gramEnd"/>
      <w:r w:rsidR="00AC23F5">
        <w:rPr>
          <w:rFonts w:ascii="Arial" w:hAnsi="Arial" w:cs="Arial"/>
          <w:sz w:val="24"/>
          <w:szCs w:val="24"/>
        </w:rPr>
        <w:t>…]</w:t>
      </w:r>
      <w:r w:rsidRPr="00683E6B">
        <w:rPr>
          <w:rFonts w:ascii="Arial" w:hAnsi="Arial" w:cs="Arial"/>
          <w:sz w:val="24"/>
          <w:szCs w:val="24"/>
        </w:rPr>
        <w:t xml:space="preserve">, led to executive type difficulties in planning, perseverance, self-regulation and motivation.  She believed that these difficulties were likely to increase over time.  </w:t>
      </w:r>
    </w:p>
    <w:p w14:paraId="3848E443" w14:textId="46DEB15C"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Gibson also stated that below-par educational performance was consistent with brain injury, and that in the present case, such below-par educational performance was confirmed by </w:t>
      </w:r>
      <w:proofErr w:type="gramStart"/>
      <w:r w:rsidRPr="00683E6B">
        <w:rPr>
          <w:rFonts w:ascii="Arial" w:hAnsi="Arial" w:cs="Arial"/>
          <w:sz w:val="24"/>
          <w:szCs w:val="24"/>
        </w:rPr>
        <w:t>K</w:t>
      </w:r>
      <w:r w:rsidR="00EC35DC">
        <w:rPr>
          <w:rFonts w:ascii="Arial" w:hAnsi="Arial" w:cs="Arial"/>
          <w:sz w:val="24"/>
          <w:szCs w:val="24"/>
        </w:rPr>
        <w:t>[</w:t>
      </w:r>
      <w:proofErr w:type="gramEnd"/>
      <w:r w:rsidR="00EC35DC">
        <w:rPr>
          <w:rFonts w:ascii="Arial" w:hAnsi="Arial" w:cs="Arial"/>
          <w:sz w:val="24"/>
          <w:szCs w:val="24"/>
        </w:rPr>
        <w:t>…]</w:t>
      </w:r>
      <w:r w:rsidRPr="00683E6B">
        <w:rPr>
          <w:rFonts w:ascii="Arial" w:hAnsi="Arial" w:cs="Arial"/>
          <w:sz w:val="24"/>
          <w:szCs w:val="24"/>
        </w:rPr>
        <w:t xml:space="preserve">’s mother who was home-schooling him.  </w:t>
      </w:r>
    </w:p>
    <w:p w14:paraId="0B44FDC3" w14:textId="0D4A38D5"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a neurosurgeon, stated that </w:t>
      </w:r>
      <w:proofErr w:type="gramStart"/>
      <w:r w:rsidRPr="00683E6B">
        <w:rPr>
          <w:rFonts w:ascii="Arial" w:hAnsi="Arial" w:cs="Arial"/>
          <w:sz w:val="24"/>
          <w:szCs w:val="24"/>
        </w:rPr>
        <w:t>K</w:t>
      </w:r>
      <w:r w:rsidR="00EC35DC">
        <w:rPr>
          <w:rFonts w:ascii="Arial" w:hAnsi="Arial" w:cs="Arial"/>
          <w:sz w:val="24"/>
          <w:szCs w:val="24"/>
        </w:rPr>
        <w:t>[</w:t>
      </w:r>
      <w:proofErr w:type="gramEnd"/>
      <w:r w:rsidR="00EC35DC">
        <w:rPr>
          <w:rFonts w:ascii="Arial" w:hAnsi="Arial" w:cs="Arial"/>
          <w:sz w:val="24"/>
          <w:szCs w:val="24"/>
        </w:rPr>
        <w:t>…]</w:t>
      </w:r>
      <w:r w:rsidRPr="00683E6B">
        <w:rPr>
          <w:rFonts w:ascii="Arial" w:hAnsi="Arial" w:cs="Arial"/>
          <w:sz w:val="24"/>
          <w:szCs w:val="24"/>
        </w:rPr>
        <w:t xml:space="preserve"> had sustained a soft tissue sprain injury of the cervical spine and a head injury with left frontal scalp laceration, depressed skull fracture, </w:t>
      </w:r>
      <w:proofErr w:type="spellStart"/>
      <w:r w:rsidRPr="00683E6B">
        <w:rPr>
          <w:rFonts w:ascii="Arial" w:hAnsi="Arial" w:cs="Arial"/>
          <w:sz w:val="24"/>
          <w:szCs w:val="24"/>
        </w:rPr>
        <w:t>dural</w:t>
      </w:r>
      <w:proofErr w:type="spellEnd"/>
      <w:r w:rsidRPr="00683E6B">
        <w:rPr>
          <w:rFonts w:ascii="Arial" w:hAnsi="Arial" w:cs="Arial"/>
          <w:sz w:val="24"/>
          <w:szCs w:val="24"/>
        </w:rPr>
        <w:t xml:space="preserve"> tear and extradural haematoma.  He classified the injury as a complicated traumatic brain injury of severe degree. The head injury involved acceleration-deceleration forces as well as direct cranial impact, resulting in a primary diffuse (concussive) brain injury with loss of consciousness, as evidenced by loss of awareness and post-traumatic amnesia.</w:t>
      </w:r>
    </w:p>
    <w:p w14:paraId="1B69E68D" w14:textId="77777777"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stated that the injury resulted in the following chronic impairments:</w:t>
      </w:r>
    </w:p>
    <w:p w14:paraId="2F93E392"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 xml:space="preserve">a post-traumatic organic brain syndrome, with </w:t>
      </w:r>
      <w:proofErr w:type="spellStart"/>
      <w:r w:rsidRPr="00683E6B">
        <w:rPr>
          <w:rFonts w:ascii="Arial" w:hAnsi="Arial" w:cs="Arial"/>
          <w:sz w:val="24"/>
          <w:szCs w:val="24"/>
        </w:rPr>
        <w:t>neurophysical</w:t>
      </w:r>
      <w:proofErr w:type="spellEnd"/>
      <w:r w:rsidRPr="00683E6B">
        <w:rPr>
          <w:rFonts w:ascii="Arial" w:hAnsi="Arial" w:cs="Arial"/>
          <w:sz w:val="24"/>
          <w:szCs w:val="24"/>
        </w:rPr>
        <w:t>-communication and mental impairments;</w:t>
      </w:r>
    </w:p>
    <w:p w14:paraId="57C948BD"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chronic post-traumatic headaches;</w:t>
      </w:r>
    </w:p>
    <w:p w14:paraId="7F505C9D"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aggravation of pre-existing epilepsy;</w:t>
      </w:r>
    </w:p>
    <w:p w14:paraId="1F26E907"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lastRenderedPageBreak/>
        <w:t>aggravation of a pre-existing mood disorder (with deference to psychiatrists);</w:t>
      </w:r>
    </w:p>
    <w:p w14:paraId="619170C0" w14:textId="77777777"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chronic post-traumatic vertigo (with deference to ENT surgeons);</w:t>
      </w:r>
    </w:p>
    <w:p w14:paraId="04E1138E" w14:textId="4CD83875"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chronic spinal pain and physical impairment (with deference to orthopaedic surgeons); and</w:t>
      </w:r>
    </w:p>
    <w:p w14:paraId="1680C24B" w14:textId="446D0D1A" w:rsidR="00C72F75" w:rsidRPr="00683E6B" w:rsidRDefault="00C72F75" w:rsidP="0072428D">
      <w:pPr>
        <w:pStyle w:val="ListParagraph"/>
        <w:widowControl w:val="0"/>
        <w:numPr>
          <w:ilvl w:val="1"/>
          <w:numId w:val="1"/>
        </w:numPr>
        <w:tabs>
          <w:tab w:val="left" w:pos="1701"/>
        </w:tabs>
        <w:spacing w:before="300" w:after="0" w:line="480" w:lineRule="auto"/>
        <w:ind w:left="709" w:right="-23" w:firstLine="0"/>
        <w:contextualSpacing w:val="0"/>
        <w:jc w:val="both"/>
        <w:rPr>
          <w:rFonts w:ascii="Arial" w:hAnsi="Arial" w:cs="Arial"/>
          <w:sz w:val="24"/>
          <w:szCs w:val="24"/>
        </w:rPr>
      </w:pPr>
      <w:r w:rsidRPr="00683E6B">
        <w:rPr>
          <w:rFonts w:ascii="Arial" w:hAnsi="Arial" w:cs="Arial"/>
          <w:sz w:val="24"/>
          <w:szCs w:val="24"/>
        </w:rPr>
        <w:t xml:space="preserve">disfiguring facial scarring (with deference to plastic surgeons). </w:t>
      </w:r>
    </w:p>
    <w:p w14:paraId="7194039D" w14:textId="382BF298"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opined that, having persisted for sixteen months, the serious organic neurological sequelae of </w:t>
      </w:r>
      <w:proofErr w:type="gramStart"/>
      <w:r w:rsidRPr="00683E6B">
        <w:rPr>
          <w:rFonts w:ascii="Arial" w:hAnsi="Arial" w:cs="Arial"/>
          <w:sz w:val="24"/>
          <w:szCs w:val="24"/>
        </w:rPr>
        <w:t>K</w:t>
      </w:r>
      <w:r w:rsidR="00545D6C">
        <w:rPr>
          <w:rFonts w:ascii="Arial" w:hAnsi="Arial" w:cs="Arial"/>
          <w:sz w:val="24"/>
          <w:szCs w:val="24"/>
        </w:rPr>
        <w:t>[</w:t>
      </w:r>
      <w:proofErr w:type="gramEnd"/>
      <w:r w:rsidR="00545D6C">
        <w:rPr>
          <w:rFonts w:ascii="Arial" w:hAnsi="Arial" w:cs="Arial"/>
          <w:sz w:val="24"/>
          <w:szCs w:val="24"/>
        </w:rPr>
        <w:t>…]</w:t>
      </w:r>
      <w:r w:rsidRPr="00683E6B">
        <w:rPr>
          <w:rFonts w:ascii="Arial" w:hAnsi="Arial" w:cs="Arial"/>
          <w:sz w:val="24"/>
          <w:szCs w:val="24"/>
        </w:rPr>
        <w:t xml:space="preserve">’s brain injury have become permanent.  Although the severity of the above impairments could improve to some extent, the benefit of such improvement is likely to be negligible.  </w:t>
      </w:r>
    </w:p>
    <w:p w14:paraId="60B94E97" w14:textId="36DB0F88"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He also stated that it is probable that </w:t>
      </w:r>
      <w:proofErr w:type="gramStart"/>
      <w:r w:rsidRPr="00683E6B">
        <w:rPr>
          <w:rFonts w:ascii="Arial" w:hAnsi="Arial" w:cs="Arial"/>
          <w:sz w:val="24"/>
          <w:szCs w:val="24"/>
        </w:rPr>
        <w:t>K</w:t>
      </w:r>
      <w:r w:rsidR="002D3831">
        <w:rPr>
          <w:rFonts w:ascii="Arial" w:hAnsi="Arial" w:cs="Arial"/>
          <w:sz w:val="24"/>
          <w:szCs w:val="24"/>
        </w:rPr>
        <w:t>[</w:t>
      </w:r>
      <w:proofErr w:type="gramEnd"/>
      <w:r w:rsidR="002D3831">
        <w:rPr>
          <w:rFonts w:ascii="Arial" w:hAnsi="Arial" w:cs="Arial"/>
          <w:sz w:val="24"/>
          <w:szCs w:val="24"/>
        </w:rPr>
        <w:t>…]</w:t>
      </w:r>
      <w:r w:rsidRPr="00683E6B">
        <w:rPr>
          <w:rFonts w:ascii="Arial" w:hAnsi="Arial" w:cs="Arial"/>
          <w:sz w:val="24"/>
          <w:szCs w:val="24"/>
        </w:rPr>
        <w:t xml:space="preserve">’s learning impairment and mental disability would become increasingly apparent as he approaches maturity.  </w:t>
      </w:r>
      <w:proofErr w:type="gramStart"/>
      <w:r w:rsidRPr="00683E6B">
        <w:rPr>
          <w:rFonts w:ascii="Arial" w:hAnsi="Arial" w:cs="Arial"/>
          <w:sz w:val="24"/>
          <w:szCs w:val="24"/>
        </w:rPr>
        <w:t>K</w:t>
      </w:r>
      <w:r w:rsidR="002D3831">
        <w:rPr>
          <w:rFonts w:ascii="Arial" w:hAnsi="Arial" w:cs="Arial"/>
          <w:sz w:val="24"/>
          <w:szCs w:val="24"/>
        </w:rPr>
        <w:t>[</w:t>
      </w:r>
      <w:proofErr w:type="gramEnd"/>
      <w:r w:rsidR="002D3831">
        <w:rPr>
          <w:rFonts w:ascii="Arial" w:hAnsi="Arial" w:cs="Arial"/>
          <w:sz w:val="24"/>
          <w:szCs w:val="24"/>
        </w:rPr>
        <w:t>…]</w:t>
      </w:r>
      <w:r w:rsidRPr="00683E6B">
        <w:rPr>
          <w:rFonts w:ascii="Arial" w:hAnsi="Arial" w:cs="Arial"/>
          <w:sz w:val="24"/>
          <w:szCs w:val="24"/>
        </w:rPr>
        <w:t xml:space="preserve">’s headaches are expected to persist in variable degrees in the long term, although they should be amenable to reasonable control with appropriate treatment.  </w:t>
      </w:r>
      <w:proofErr w:type="gramStart"/>
      <w:r w:rsidRPr="00683E6B">
        <w:rPr>
          <w:rFonts w:ascii="Arial" w:hAnsi="Arial" w:cs="Arial"/>
          <w:sz w:val="24"/>
          <w:szCs w:val="24"/>
        </w:rPr>
        <w:t>K</w:t>
      </w:r>
      <w:r w:rsidR="002D3831">
        <w:rPr>
          <w:rFonts w:ascii="Arial" w:hAnsi="Arial" w:cs="Arial"/>
          <w:sz w:val="24"/>
          <w:szCs w:val="24"/>
        </w:rPr>
        <w:t>[</w:t>
      </w:r>
      <w:proofErr w:type="gramEnd"/>
      <w:r w:rsidR="002D3831">
        <w:rPr>
          <w:rFonts w:ascii="Arial" w:hAnsi="Arial" w:cs="Arial"/>
          <w:sz w:val="24"/>
          <w:szCs w:val="24"/>
        </w:rPr>
        <w:t>…]</w:t>
      </w:r>
      <w:r w:rsidRPr="00683E6B">
        <w:rPr>
          <w:rFonts w:ascii="Arial" w:hAnsi="Arial" w:cs="Arial"/>
          <w:sz w:val="24"/>
          <w:szCs w:val="24"/>
        </w:rPr>
        <w:t xml:space="preserve"> would remain epileptic for the rest of his life. Seizures should, however, be amenable to reasonable control with treatment and monitoring by a specialist neurologist. </w:t>
      </w:r>
    </w:p>
    <w:p w14:paraId="29B6111F" w14:textId="3CA74531"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indicated that </w:t>
      </w:r>
      <w:proofErr w:type="gramStart"/>
      <w:r w:rsidRPr="00683E6B">
        <w:rPr>
          <w:rFonts w:ascii="Arial" w:hAnsi="Arial" w:cs="Arial"/>
          <w:sz w:val="24"/>
          <w:szCs w:val="24"/>
        </w:rPr>
        <w:t>K</w:t>
      </w:r>
      <w:r w:rsidR="002140B3">
        <w:rPr>
          <w:rFonts w:ascii="Arial" w:hAnsi="Arial" w:cs="Arial"/>
          <w:sz w:val="24"/>
          <w:szCs w:val="24"/>
        </w:rPr>
        <w:t>[</w:t>
      </w:r>
      <w:proofErr w:type="gramEnd"/>
      <w:r w:rsidR="002140B3">
        <w:rPr>
          <w:rFonts w:ascii="Arial" w:hAnsi="Arial" w:cs="Arial"/>
          <w:sz w:val="24"/>
          <w:szCs w:val="24"/>
        </w:rPr>
        <w:t>…]</w:t>
      </w:r>
      <w:r w:rsidRPr="00683E6B">
        <w:rPr>
          <w:rFonts w:ascii="Arial" w:hAnsi="Arial" w:cs="Arial"/>
          <w:sz w:val="24"/>
          <w:szCs w:val="24"/>
        </w:rPr>
        <w:t xml:space="preserve">’s life expectancy has probably been truncated by three to five years as a result of his epilepsy. </w:t>
      </w:r>
    </w:p>
    <w:p w14:paraId="40C248BB" w14:textId="3647ED8F"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concluded that it is unlikely that </w:t>
      </w:r>
      <w:proofErr w:type="gramStart"/>
      <w:r w:rsidRPr="00683E6B">
        <w:rPr>
          <w:rFonts w:ascii="Arial" w:hAnsi="Arial" w:cs="Arial"/>
          <w:sz w:val="24"/>
          <w:szCs w:val="24"/>
        </w:rPr>
        <w:t>K</w:t>
      </w:r>
      <w:r w:rsidR="002140B3">
        <w:rPr>
          <w:rFonts w:ascii="Arial" w:hAnsi="Arial" w:cs="Arial"/>
          <w:sz w:val="24"/>
          <w:szCs w:val="24"/>
        </w:rPr>
        <w:t>[</w:t>
      </w:r>
      <w:proofErr w:type="gramEnd"/>
      <w:r w:rsidR="002140B3">
        <w:rPr>
          <w:rFonts w:ascii="Arial" w:hAnsi="Arial" w:cs="Arial"/>
          <w:sz w:val="24"/>
          <w:szCs w:val="24"/>
        </w:rPr>
        <w:t>…]</w:t>
      </w:r>
      <w:r w:rsidRPr="00683E6B">
        <w:rPr>
          <w:rFonts w:ascii="Arial" w:hAnsi="Arial" w:cs="Arial"/>
          <w:sz w:val="24"/>
          <w:szCs w:val="24"/>
        </w:rPr>
        <w:t xml:space="preserve"> will develop the mental capacity for independent living or for independent management of his personal, financial or legal affairs.</w:t>
      </w:r>
    </w:p>
    <w:p w14:paraId="5B46FEA5" w14:textId="45374F91"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 xml:space="preserve">The educational psychologist, 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concluded that </w:t>
      </w:r>
      <w:proofErr w:type="gramStart"/>
      <w:r w:rsidRPr="00683E6B">
        <w:rPr>
          <w:rFonts w:ascii="Arial" w:hAnsi="Arial" w:cs="Arial"/>
          <w:sz w:val="24"/>
          <w:szCs w:val="24"/>
        </w:rPr>
        <w:t>K</w:t>
      </w:r>
      <w:r w:rsidR="00645E0D">
        <w:rPr>
          <w:rFonts w:ascii="Arial" w:hAnsi="Arial" w:cs="Arial"/>
          <w:sz w:val="24"/>
          <w:szCs w:val="24"/>
        </w:rPr>
        <w:t>[</w:t>
      </w:r>
      <w:proofErr w:type="gramEnd"/>
      <w:r w:rsidR="00645E0D">
        <w:rPr>
          <w:rFonts w:ascii="Arial" w:hAnsi="Arial" w:cs="Arial"/>
          <w:sz w:val="24"/>
          <w:szCs w:val="24"/>
        </w:rPr>
        <w:t>…]</w:t>
      </w:r>
      <w:r w:rsidRPr="00683E6B">
        <w:rPr>
          <w:rFonts w:ascii="Arial" w:hAnsi="Arial" w:cs="Arial"/>
          <w:sz w:val="24"/>
          <w:szCs w:val="24"/>
        </w:rPr>
        <w:t xml:space="preserve"> was “likely academically vulnerable pre-accident”.  This statement must be borne in mind when considering Ms </w:t>
      </w:r>
      <w:proofErr w:type="spellStart"/>
      <w:r w:rsidRPr="00683E6B">
        <w:rPr>
          <w:rFonts w:ascii="Arial" w:hAnsi="Arial" w:cs="Arial"/>
          <w:sz w:val="24"/>
          <w:szCs w:val="24"/>
        </w:rPr>
        <w:t>Lautenbach’s</w:t>
      </w:r>
      <w:proofErr w:type="spellEnd"/>
      <w:r w:rsidRPr="00683E6B">
        <w:rPr>
          <w:rFonts w:ascii="Arial" w:hAnsi="Arial" w:cs="Arial"/>
          <w:sz w:val="24"/>
          <w:szCs w:val="24"/>
        </w:rPr>
        <w:t xml:space="preserve"> further views that, despite </w:t>
      </w:r>
      <w:proofErr w:type="gramStart"/>
      <w:r w:rsidRPr="00683E6B">
        <w:rPr>
          <w:rFonts w:ascii="Arial" w:hAnsi="Arial" w:cs="Arial"/>
          <w:sz w:val="24"/>
          <w:szCs w:val="24"/>
        </w:rPr>
        <w:t>K</w:t>
      </w:r>
      <w:r w:rsidR="006821B7">
        <w:rPr>
          <w:rFonts w:ascii="Arial" w:hAnsi="Arial" w:cs="Arial"/>
          <w:sz w:val="24"/>
          <w:szCs w:val="24"/>
        </w:rPr>
        <w:t>[</w:t>
      </w:r>
      <w:proofErr w:type="gramEnd"/>
      <w:r w:rsidR="006821B7">
        <w:rPr>
          <w:rFonts w:ascii="Arial" w:hAnsi="Arial" w:cs="Arial"/>
          <w:sz w:val="24"/>
          <w:szCs w:val="24"/>
        </w:rPr>
        <w:t>…]</w:t>
      </w:r>
      <w:r w:rsidRPr="00683E6B">
        <w:rPr>
          <w:rFonts w:ascii="Arial" w:hAnsi="Arial" w:cs="Arial"/>
          <w:sz w:val="24"/>
          <w:szCs w:val="24"/>
        </w:rPr>
        <w:t xml:space="preserve">’s epilepsy, he had prior to the accident performed on an average to high average level.  She stated that in her view </w:t>
      </w:r>
      <w:proofErr w:type="gramStart"/>
      <w:r w:rsidRPr="00683E6B">
        <w:rPr>
          <w:rFonts w:ascii="Arial" w:hAnsi="Arial" w:cs="Arial"/>
          <w:sz w:val="24"/>
          <w:szCs w:val="24"/>
        </w:rPr>
        <w:t>K</w:t>
      </w:r>
      <w:r w:rsidR="006821B7">
        <w:rPr>
          <w:rFonts w:ascii="Arial" w:hAnsi="Arial" w:cs="Arial"/>
          <w:sz w:val="24"/>
          <w:szCs w:val="24"/>
        </w:rPr>
        <w:t>[</w:t>
      </w:r>
      <w:proofErr w:type="gramEnd"/>
      <w:r w:rsidR="006821B7">
        <w:rPr>
          <w:rFonts w:ascii="Arial" w:hAnsi="Arial" w:cs="Arial"/>
          <w:sz w:val="24"/>
          <w:szCs w:val="24"/>
        </w:rPr>
        <w:t>…]</w:t>
      </w:r>
      <w:r w:rsidRPr="00683E6B">
        <w:rPr>
          <w:rFonts w:ascii="Arial" w:hAnsi="Arial" w:cs="Arial"/>
          <w:sz w:val="24"/>
          <w:szCs w:val="24"/>
        </w:rPr>
        <w:t xml:space="preserve"> would have obtained at least an NQF 4 level education, with normal mainstream support.  He would probably have studied towards and obtained an NQF 8 level education, bearing in mind that his father had obtained a tertiary qualification on an NQF 7 level and that a study had shown that children usually surpass their parents.</w:t>
      </w:r>
    </w:p>
    <w:p w14:paraId="2EAB6285" w14:textId="313C7D61"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stated that her test results had revealed that after the accident </w:t>
      </w:r>
      <w:proofErr w:type="gramStart"/>
      <w:r w:rsidRPr="00683E6B">
        <w:rPr>
          <w:rFonts w:ascii="Arial" w:hAnsi="Arial" w:cs="Arial"/>
          <w:sz w:val="24"/>
          <w:szCs w:val="24"/>
        </w:rPr>
        <w:t>K</w:t>
      </w:r>
      <w:r w:rsidR="00C414C7">
        <w:rPr>
          <w:rFonts w:ascii="Arial" w:hAnsi="Arial" w:cs="Arial"/>
          <w:sz w:val="24"/>
          <w:szCs w:val="24"/>
        </w:rPr>
        <w:t>[</w:t>
      </w:r>
      <w:proofErr w:type="gramEnd"/>
      <w:r w:rsidR="00C414C7">
        <w:rPr>
          <w:rFonts w:ascii="Arial" w:hAnsi="Arial" w:cs="Arial"/>
          <w:sz w:val="24"/>
          <w:szCs w:val="24"/>
        </w:rPr>
        <w:t xml:space="preserve">…] </w:t>
      </w:r>
      <w:r w:rsidRPr="00683E6B">
        <w:rPr>
          <w:rFonts w:ascii="Arial" w:hAnsi="Arial" w:cs="Arial"/>
          <w:sz w:val="24"/>
          <w:szCs w:val="24"/>
        </w:rPr>
        <w:t xml:space="preserve">fell in the low average range academically in comparison to his age group peers.  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expressed the view the </w:t>
      </w:r>
      <w:proofErr w:type="gramStart"/>
      <w:r w:rsidRPr="00683E6B">
        <w:rPr>
          <w:rFonts w:ascii="Arial" w:hAnsi="Arial" w:cs="Arial"/>
          <w:sz w:val="24"/>
          <w:szCs w:val="24"/>
        </w:rPr>
        <w:t>K</w:t>
      </w:r>
      <w:r w:rsidR="00C414C7">
        <w:rPr>
          <w:rFonts w:ascii="Arial" w:hAnsi="Arial" w:cs="Arial"/>
          <w:sz w:val="24"/>
          <w:szCs w:val="24"/>
        </w:rPr>
        <w:t>[</w:t>
      </w:r>
      <w:proofErr w:type="gramEnd"/>
      <w:r w:rsidR="00C414C7">
        <w:rPr>
          <w:rFonts w:ascii="Arial" w:hAnsi="Arial" w:cs="Arial"/>
          <w:sz w:val="24"/>
          <w:szCs w:val="24"/>
        </w:rPr>
        <w:t>…]</w:t>
      </w:r>
      <w:r w:rsidRPr="00683E6B">
        <w:rPr>
          <w:rFonts w:ascii="Arial" w:hAnsi="Arial" w:cs="Arial"/>
          <w:sz w:val="24"/>
          <w:szCs w:val="24"/>
        </w:rPr>
        <w:t xml:space="preserve"> would struggle in a mainstream academic environment.  </w:t>
      </w:r>
      <w:proofErr w:type="gramStart"/>
      <w:r w:rsidRPr="00683E6B">
        <w:rPr>
          <w:rFonts w:ascii="Arial" w:hAnsi="Arial" w:cs="Arial"/>
          <w:sz w:val="24"/>
          <w:szCs w:val="24"/>
        </w:rPr>
        <w:t>K</w:t>
      </w:r>
      <w:r w:rsidR="00C414C7">
        <w:rPr>
          <w:rFonts w:ascii="Arial" w:hAnsi="Arial" w:cs="Arial"/>
          <w:sz w:val="24"/>
          <w:szCs w:val="24"/>
        </w:rPr>
        <w:t>[</w:t>
      </w:r>
      <w:proofErr w:type="gramEnd"/>
      <w:r w:rsidR="00C414C7">
        <w:rPr>
          <w:rFonts w:ascii="Arial" w:hAnsi="Arial" w:cs="Arial"/>
          <w:sz w:val="24"/>
          <w:szCs w:val="24"/>
        </w:rPr>
        <w:t>…]</w:t>
      </w:r>
      <w:r w:rsidRPr="00683E6B">
        <w:rPr>
          <w:rFonts w:ascii="Arial" w:hAnsi="Arial" w:cs="Arial"/>
          <w:sz w:val="24"/>
          <w:szCs w:val="24"/>
        </w:rPr>
        <w:t>’s head injury has impacted on his pre-accident academic vulnerability.</w:t>
      </w:r>
    </w:p>
    <w:p w14:paraId="6EA28CB4" w14:textId="5BB90219"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concluded that, in her opinion, and having regard to the injuries sustained in the collision,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 would probably attain an NQF 4 in a remedial/vocational schooling environment.  He would most probably continue with a more practical approach and obtain an NQF 6 (Diploma) level.  </w:t>
      </w:r>
    </w:p>
    <w:p w14:paraId="3FDE52CF" w14:textId="0E5E5F3D"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opined that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’s epilepsy should be taken into consideration when choosing a future career.  To my mind, this opinion points to Ms </w:t>
      </w:r>
      <w:proofErr w:type="spellStart"/>
      <w:r w:rsidRPr="00683E6B">
        <w:rPr>
          <w:rFonts w:ascii="Arial" w:hAnsi="Arial" w:cs="Arial"/>
          <w:sz w:val="24"/>
          <w:szCs w:val="24"/>
        </w:rPr>
        <w:t>Lautenbach’s</w:t>
      </w:r>
      <w:proofErr w:type="spellEnd"/>
      <w:r w:rsidRPr="00683E6B">
        <w:rPr>
          <w:rFonts w:ascii="Arial" w:hAnsi="Arial" w:cs="Arial"/>
          <w:sz w:val="24"/>
          <w:szCs w:val="24"/>
        </w:rPr>
        <w:t xml:space="preserve"> belief that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 has the potential of having a career, and therefor of earning an income. </w:t>
      </w:r>
    </w:p>
    <w:p w14:paraId="013E19C9" w14:textId="3D79ED62"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Dr Naidoo, a psychiatrist, diagnosed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 with a mild neurocognitive </w:t>
      </w:r>
      <w:r w:rsidRPr="00683E6B">
        <w:rPr>
          <w:rFonts w:ascii="Arial" w:hAnsi="Arial" w:cs="Arial"/>
          <w:sz w:val="24"/>
          <w:szCs w:val="24"/>
        </w:rPr>
        <w:lastRenderedPageBreak/>
        <w:t xml:space="preserve">disorder due to traumatic brain injury, with behavioural disturbance.  Dr Naidoo explained that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’s mental well-being bears an intimate relationship to his physical well-being.  </w:t>
      </w:r>
      <w:proofErr w:type="gramStart"/>
      <w:r w:rsidRPr="00683E6B">
        <w:rPr>
          <w:rFonts w:ascii="Arial" w:hAnsi="Arial" w:cs="Arial"/>
          <w:sz w:val="24"/>
          <w:szCs w:val="24"/>
        </w:rPr>
        <w:t>K</w:t>
      </w:r>
      <w:r w:rsidR="00E7703D">
        <w:rPr>
          <w:rFonts w:ascii="Arial" w:hAnsi="Arial" w:cs="Arial"/>
          <w:sz w:val="24"/>
          <w:szCs w:val="24"/>
        </w:rPr>
        <w:t>[</w:t>
      </w:r>
      <w:proofErr w:type="gramEnd"/>
      <w:r w:rsidR="00E7703D">
        <w:rPr>
          <w:rFonts w:ascii="Arial" w:hAnsi="Arial" w:cs="Arial"/>
          <w:sz w:val="24"/>
          <w:szCs w:val="24"/>
        </w:rPr>
        <w:t>…]</w:t>
      </w:r>
      <w:r w:rsidRPr="00683E6B">
        <w:rPr>
          <w:rFonts w:ascii="Arial" w:hAnsi="Arial" w:cs="Arial"/>
          <w:sz w:val="24"/>
          <w:szCs w:val="24"/>
        </w:rPr>
        <w:t xml:space="preserve">’s current circumstances provide a protective environment, which results in him not displaying greater </w:t>
      </w:r>
      <w:proofErr w:type="spellStart"/>
      <w:r w:rsidRPr="00683E6B">
        <w:rPr>
          <w:rFonts w:ascii="Arial" w:hAnsi="Arial" w:cs="Arial"/>
          <w:sz w:val="24"/>
          <w:szCs w:val="24"/>
        </w:rPr>
        <w:t>disfunction</w:t>
      </w:r>
      <w:proofErr w:type="spellEnd"/>
      <w:r w:rsidRPr="00683E6B">
        <w:rPr>
          <w:rFonts w:ascii="Arial" w:hAnsi="Arial" w:cs="Arial"/>
          <w:sz w:val="24"/>
          <w:szCs w:val="24"/>
        </w:rPr>
        <w:t xml:space="preserve">.  This is likely to change as his life circumstances and roles change.  Dr Naidoo opined that the plaintiff actually needs to be treated by a psychiatrist as his current medication needs to be optimised. </w:t>
      </w:r>
    </w:p>
    <w:p w14:paraId="554213DC" w14:textId="67B36C8B"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Doran, an occupational therapist, confirmed that on examination </w:t>
      </w:r>
      <w:proofErr w:type="gramStart"/>
      <w:r w:rsidRPr="00683E6B">
        <w:rPr>
          <w:rFonts w:ascii="Arial" w:hAnsi="Arial" w:cs="Arial"/>
          <w:sz w:val="24"/>
          <w:szCs w:val="24"/>
        </w:rPr>
        <w:t>K</w:t>
      </w:r>
      <w:r w:rsidR="00BF395F">
        <w:rPr>
          <w:rFonts w:ascii="Arial" w:hAnsi="Arial" w:cs="Arial"/>
          <w:sz w:val="24"/>
          <w:szCs w:val="24"/>
        </w:rPr>
        <w:t>[</w:t>
      </w:r>
      <w:proofErr w:type="gramEnd"/>
      <w:r w:rsidR="00BF395F">
        <w:rPr>
          <w:rFonts w:ascii="Arial" w:hAnsi="Arial" w:cs="Arial"/>
          <w:sz w:val="24"/>
          <w:szCs w:val="24"/>
        </w:rPr>
        <w:t>…]</w:t>
      </w:r>
      <w:r w:rsidRPr="00683E6B">
        <w:rPr>
          <w:rFonts w:ascii="Arial" w:hAnsi="Arial" w:cs="Arial"/>
          <w:sz w:val="24"/>
          <w:szCs w:val="24"/>
        </w:rPr>
        <w:t xml:space="preserve"> did appear to display overall difficulties with regards to the understanding of the task expectation. He demonstrated difficulties with mental flexibility. </w:t>
      </w:r>
      <w:proofErr w:type="gramStart"/>
      <w:r w:rsidRPr="00683E6B">
        <w:rPr>
          <w:rFonts w:ascii="Arial" w:hAnsi="Arial" w:cs="Arial"/>
          <w:sz w:val="24"/>
          <w:szCs w:val="24"/>
        </w:rPr>
        <w:t>K</w:t>
      </w:r>
      <w:r w:rsidR="00BF395F">
        <w:rPr>
          <w:rFonts w:ascii="Arial" w:hAnsi="Arial" w:cs="Arial"/>
          <w:sz w:val="24"/>
          <w:szCs w:val="24"/>
        </w:rPr>
        <w:t>[</w:t>
      </w:r>
      <w:proofErr w:type="gramEnd"/>
      <w:r w:rsidR="00BF395F">
        <w:rPr>
          <w:rFonts w:ascii="Arial" w:hAnsi="Arial" w:cs="Arial"/>
          <w:sz w:val="24"/>
          <w:szCs w:val="24"/>
        </w:rPr>
        <w:t>…]</w:t>
      </w:r>
      <w:r w:rsidRPr="00683E6B">
        <w:rPr>
          <w:rFonts w:ascii="Arial" w:hAnsi="Arial" w:cs="Arial"/>
          <w:sz w:val="24"/>
          <w:szCs w:val="24"/>
        </w:rPr>
        <w:t xml:space="preserve"> also appeared to have difficulties with some aspects of fine motor precision activities, manual dexterity and motor coordination.  He also appeared to have difficulties with his overall strength, which again would relate to organic fatigability. </w:t>
      </w:r>
    </w:p>
    <w:p w14:paraId="1E446614" w14:textId="6AB5968F"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proofErr w:type="gramStart"/>
      <w:r w:rsidRPr="00683E6B">
        <w:rPr>
          <w:rFonts w:ascii="Arial" w:hAnsi="Arial" w:cs="Arial"/>
          <w:sz w:val="24"/>
          <w:szCs w:val="24"/>
        </w:rPr>
        <w:t>K</w:t>
      </w:r>
      <w:r w:rsidR="00016469">
        <w:rPr>
          <w:rFonts w:ascii="Arial" w:hAnsi="Arial" w:cs="Arial"/>
          <w:sz w:val="24"/>
          <w:szCs w:val="24"/>
        </w:rPr>
        <w:t>[</w:t>
      </w:r>
      <w:proofErr w:type="gramEnd"/>
      <w:r w:rsidR="00016469">
        <w:rPr>
          <w:rFonts w:ascii="Arial" w:hAnsi="Arial" w:cs="Arial"/>
          <w:sz w:val="24"/>
          <w:szCs w:val="24"/>
        </w:rPr>
        <w:t>…]</w:t>
      </w:r>
      <w:r w:rsidRPr="00683E6B">
        <w:rPr>
          <w:rFonts w:ascii="Arial" w:hAnsi="Arial" w:cs="Arial"/>
          <w:sz w:val="24"/>
          <w:szCs w:val="24"/>
        </w:rPr>
        <w:t xml:space="preserve"> also evidenced difficulties with his visual discrimination, spatial relations, form constancy, figure-ground and visual closure, all of which fell below the acceptable ranges.</w:t>
      </w:r>
    </w:p>
    <w:p w14:paraId="410CC2FD" w14:textId="1A48AF45"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Doran opined that the multifactorial difficulties experienced by </w:t>
      </w:r>
      <w:proofErr w:type="gramStart"/>
      <w:r w:rsidRPr="00683E6B">
        <w:rPr>
          <w:rFonts w:ascii="Arial" w:hAnsi="Arial" w:cs="Arial"/>
          <w:sz w:val="24"/>
          <w:szCs w:val="24"/>
        </w:rPr>
        <w:t>K</w:t>
      </w:r>
      <w:r w:rsidR="00016469">
        <w:rPr>
          <w:rFonts w:ascii="Arial" w:hAnsi="Arial" w:cs="Arial"/>
          <w:sz w:val="24"/>
          <w:szCs w:val="24"/>
        </w:rPr>
        <w:t>[</w:t>
      </w:r>
      <w:proofErr w:type="gramEnd"/>
      <w:r w:rsidR="00016469">
        <w:rPr>
          <w:rFonts w:ascii="Arial" w:hAnsi="Arial" w:cs="Arial"/>
          <w:sz w:val="24"/>
          <w:szCs w:val="24"/>
        </w:rPr>
        <w:t>…]</w:t>
      </w:r>
      <w:r w:rsidRPr="00683E6B">
        <w:rPr>
          <w:rFonts w:ascii="Arial" w:hAnsi="Arial" w:cs="Arial"/>
          <w:sz w:val="24"/>
          <w:szCs w:val="24"/>
        </w:rPr>
        <w:t xml:space="preserve"> would constitute long-term loss and related difficulties, especially during his adult life, which would constitute increased vulnerability to secure, and probably more so to retain employment, even in a semi-skilled position.  This was due to </w:t>
      </w:r>
      <w:proofErr w:type="gramStart"/>
      <w:r w:rsidRPr="00683E6B">
        <w:rPr>
          <w:rFonts w:ascii="Arial" w:hAnsi="Arial" w:cs="Arial"/>
          <w:sz w:val="24"/>
          <w:szCs w:val="24"/>
        </w:rPr>
        <w:t>K</w:t>
      </w:r>
      <w:r w:rsidR="00016469">
        <w:rPr>
          <w:rFonts w:ascii="Arial" w:hAnsi="Arial" w:cs="Arial"/>
          <w:sz w:val="24"/>
          <w:szCs w:val="24"/>
        </w:rPr>
        <w:t>[</w:t>
      </w:r>
      <w:proofErr w:type="gramEnd"/>
      <w:r w:rsidR="00016469">
        <w:rPr>
          <w:rFonts w:ascii="Arial" w:hAnsi="Arial" w:cs="Arial"/>
          <w:sz w:val="24"/>
          <w:szCs w:val="24"/>
        </w:rPr>
        <w:t>…]</w:t>
      </w:r>
      <w:r w:rsidRPr="00683E6B">
        <w:rPr>
          <w:rFonts w:ascii="Arial" w:hAnsi="Arial" w:cs="Arial"/>
          <w:sz w:val="24"/>
          <w:szCs w:val="24"/>
        </w:rPr>
        <w:t>’s neuro-behavioural, neuro-psychological and neuro-cognitive difficulties.  These difficulties would have a negative impact on his motivation, perseverance as well as sustaining relationships, and thus, pose a risk for retaining of employment.</w:t>
      </w:r>
    </w:p>
    <w:p w14:paraId="16384704" w14:textId="72A2ED11"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lastRenderedPageBreak/>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an industrial psychologist, reported that, according to </w:t>
      </w:r>
      <w:proofErr w:type="gramStart"/>
      <w:r w:rsidRPr="00683E6B">
        <w:rPr>
          <w:rFonts w:ascii="Arial" w:hAnsi="Arial" w:cs="Arial"/>
          <w:sz w:val="24"/>
          <w:szCs w:val="24"/>
        </w:rPr>
        <w:t>K</w:t>
      </w:r>
      <w:r w:rsidR="001071AA">
        <w:rPr>
          <w:rFonts w:ascii="Arial" w:hAnsi="Arial" w:cs="Arial"/>
          <w:sz w:val="24"/>
          <w:szCs w:val="24"/>
        </w:rPr>
        <w:t>[</w:t>
      </w:r>
      <w:proofErr w:type="gramEnd"/>
      <w:r w:rsidR="001071AA">
        <w:rPr>
          <w:rFonts w:ascii="Arial" w:hAnsi="Arial" w:cs="Arial"/>
          <w:sz w:val="24"/>
          <w:szCs w:val="24"/>
        </w:rPr>
        <w:t>…]</w:t>
      </w:r>
      <w:r w:rsidRPr="00683E6B">
        <w:rPr>
          <w:rFonts w:ascii="Arial" w:hAnsi="Arial" w:cs="Arial"/>
          <w:sz w:val="24"/>
          <w:szCs w:val="24"/>
        </w:rPr>
        <w:t xml:space="preserve">’s mother who is his home-school educator, he had failed grade 7 in 2022, and was currently repeating grade 7 in 2023.  </w:t>
      </w:r>
    </w:p>
    <w:p w14:paraId="63EC8D36" w14:textId="442181F5"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postulated an uninjured scenario.  She stated that, because </w:t>
      </w:r>
      <w:proofErr w:type="gramStart"/>
      <w:r w:rsidRPr="00683E6B">
        <w:rPr>
          <w:rFonts w:ascii="Arial" w:hAnsi="Arial" w:cs="Arial"/>
          <w:sz w:val="24"/>
          <w:szCs w:val="24"/>
        </w:rPr>
        <w:t>K</w:t>
      </w:r>
      <w:r w:rsidR="006D1E18">
        <w:rPr>
          <w:rFonts w:ascii="Arial" w:hAnsi="Arial" w:cs="Arial"/>
          <w:sz w:val="24"/>
          <w:szCs w:val="24"/>
        </w:rPr>
        <w:t>[</w:t>
      </w:r>
      <w:proofErr w:type="gramEnd"/>
      <w:r w:rsidR="006D1E18">
        <w:rPr>
          <w:rFonts w:ascii="Arial" w:hAnsi="Arial" w:cs="Arial"/>
          <w:sz w:val="24"/>
          <w:szCs w:val="24"/>
        </w:rPr>
        <w:t>…]</w:t>
      </w:r>
      <w:r w:rsidRPr="00683E6B">
        <w:rPr>
          <w:rFonts w:ascii="Arial" w:hAnsi="Arial" w:cs="Arial"/>
          <w:sz w:val="24"/>
          <w:szCs w:val="24"/>
        </w:rPr>
        <w:t xml:space="preserve"> was so young at the time of the accident, it was impossible to express a definitive opinion as what career K</w:t>
      </w:r>
      <w:r w:rsidR="006D1E18">
        <w:rPr>
          <w:rFonts w:ascii="Arial" w:hAnsi="Arial" w:cs="Arial"/>
          <w:sz w:val="24"/>
          <w:szCs w:val="24"/>
        </w:rPr>
        <w:t>[…]</w:t>
      </w:r>
      <w:r w:rsidRPr="00683E6B">
        <w:rPr>
          <w:rFonts w:ascii="Arial" w:hAnsi="Arial" w:cs="Arial"/>
          <w:sz w:val="24"/>
          <w:szCs w:val="24"/>
        </w:rPr>
        <w:t xml:space="preserve"> would have followed had the accident not occurred.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stated that she therefor had regard to, inter alia, the educational and career achievements of </w:t>
      </w:r>
      <w:proofErr w:type="gramStart"/>
      <w:r w:rsidRPr="00683E6B">
        <w:rPr>
          <w:rFonts w:ascii="Arial" w:hAnsi="Arial" w:cs="Arial"/>
          <w:sz w:val="24"/>
          <w:szCs w:val="24"/>
        </w:rPr>
        <w:t>K</w:t>
      </w:r>
      <w:r w:rsidR="006D1E18">
        <w:rPr>
          <w:rFonts w:ascii="Arial" w:hAnsi="Arial" w:cs="Arial"/>
          <w:sz w:val="24"/>
          <w:szCs w:val="24"/>
        </w:rPr>
        <w:t>[</w:t>
      </w:r>
      <w:proofErr w:type="gramEnd"/>
      <w:r w:rsidR="006D1E18">
        <w:rPr>
          <w:rFonts w:ascii="Arial" w:hAnsi="Arial" w:cs="Arial"/>
          <w:sz w:val="24"/>
          <w:szCs w:val="24"/>
        </w:rPr>
        <w:t>…]</w:t>
      </w:r>
      <w:r w:rsidRPr="00683E6B">
        <w:rPr>
          <w:rFonts w:ascii="Arial" w:hAnsi="Arial" w:cs="Arial"/>
          <w:sz w:val="24"/>
          <w:szCs w:val="24"/>
        </w:rPr>
        <w:t xml:space="preserve">’s family members, as well as their socio-economic situation, the current tendencies in the labour market, and the general market conditions in the country.  </w:t>
      </w:r>
    </w:p>
    <w:p w14:paraId="014350BC" w14:textId="21A487D0"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Having considered all the relevant factors,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postulated that </w:t>
      </w:r>
      <w:proofErr w:type="gramStart"/>
      <w:r w:rsidRPr="00683E6B">
        <w:rPr>
          <w:rFonts w:ascii="Arial" w:hAnsi="Arial" w:cs="Arial"/>
          <w:sz w:val="24"/>
          <w:szCs w:val="24"/>
        </w:rPr>
        <w:t>K</w:t>
      </w:r>
      <w:r w:rsidR="00784DDE">
        <w:rPr>
          <w:rFonts w:ascii="Arial" w:hAnsi="Arial" w:cs="Arial"/>
          <w:sz w:val="24"/>
          <w:szCs w:val="24"/>
        </w:rPr>
        <w:t>[</w:t>
      </w:r>
      <w:proofErr w:type="gramEnd"/>
      <w:r w:rsidR="00784DDE">
        <w:rPr>
          <w:rFonts w:ascii="Arial" w:hAnsi="Arial" w:cs="Arial"/>
          <w:sz w:val="24"/>
          <w:szCs w:val="24"/>
        </w:rPr>
        <w:t>…]</w:t>
      </w:r>
      <w:r w:rsidRPr="00683E6B">
        <w:rPr>
          <w:rFonts w:ascii="Arial" w:hAnsi="Arial" w:cs="Arial"/>
          <w:sz w:val="24"/>
          <w:szCs w:val="24"/>
        </w:rPr>
        <w:t xml:space="preserve"> would probably have achieved a grade 12/NQF 4 level of education by the end of 2027, at age 18.  Taking various factors into account,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proposed that part-time studies should be considered for calculation purposes; she noted that this is regarded as a conservative scenario. Considering the poor economic climate of the country and the high unemployment rate, upon completion of his schooling (that is, by the end of 2027), because of lack of work experience, </w:t>
      </w:r>
      <w:proofErr w:type="gramStart"/>
      <w:r w:rsidRPr="00683E6B">
        <w:rPr>
          <w:rFonts w:ascii="Arial" w:hAnsi="Arial" w:cs="Arial"/>
          <w:sz w:val="24"/>
          <w:szCs w:val="24"/>
        </w:rPr>
        <w:t>K</w:t>
      </w:r>
      <w:r w:rsidR="00784DDE">
        <w:rPr>
          <w:rFonts w:ascii="Arial" w:hAnsi="Arial" w:cs="Arial"/>
          <w:sz w:val="24"/>
          <w:szCs w:val="24"/>
        </w:rPr>
        <w:t>[</w:t>
      </w:r>
      <w:proofErr w:type="gramEnd"/>
      <w:r w:rsidR="00784DDE">
        <w:rPr>
          <w:rFonts w:ascii="Arial" w:hAnsi="Arial" w:cs="Arial"/>
          <w:sz w:val="24"/>
          <w:szCs w:val="24"/>
        </w:rPr>
        <w:t>…]</w:t>
      </w:r>
      <w:r w:rsidRPr="00683E6B">
        <w:rPr>
          <w:rFonts w:ascii="Arial" w:hAnsi="Arial" w:cs="Arial"/>
          <w:sz w:val="24"/>
          <w:szCs w:val="24"/>
        </w:rPr>
        <w:t xml:space="preserve"> may well have experienced an initial period of unemployment of at most six months (i.e., from the beginning of 2028 until mid-2028).  Once again, this is regarded as a conservative scenario.  </w:t>
      </w:r>
    </w:p>
    <w:p w14:paraId="10C7AAB6" w14:textId="73818844"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With a Grade 12 level of education with an endorsement for degree studies, </w:t>
      </w:r>
      <w:proofErr w:type="gramStart"/>
      <w:r w:rsidRPr="00683E6B">
        <w:rPr>
          <w:rFonts w:ascii="Arial" w:hAnsi="Arial" w:cs="Arial"/>
          <w:sz w:val="24"/>
          <w:szCs w:val="24"/>
        </w:rPr>
        <w:t>K</w:t>
      </w:r>
      <w:r w:rsidR="00642E35">
        <w:rPr>
          <w:rFonts w:ascii="Arial" w:hAnsi="Arial" w:cs="Arial"/>
          <w:sz w:val="24"/>
          <w:szCs w:val="24"/>
        </w:rPr>
        <w:t>[</w:t>
      </w:r>
      <w:proofErr w:type="gramEnd"/>
      <w:r w:rsidR="00642E35">
        <w:rPr>
          <w:rFonts w:ascii="Arial" w:hAnsi="Arial" w:cs="Arial"/>
          <w:sz w:val="24"/>
          <w:szCs w:val="24"/>
        </w:rPr>
        <w:t>…]</w:t>
      </w:r>
      <w:r w:rsidRPr="00683E6B">
        <w:rPr>
          <w:rFonts w:ascii="Arial" w:hAnsi="Arial" w:cs="Arial"/>
          <w:sz w:val="24"/>
          <w:szCs w:val="24"/>
        </w:rPr>
        <w:t xml:space="preserve">’s commencement total earnings would probably have been in the region of R72,000.00 per annum in 2023’s monetary value.  The postulated earnings of R72,000.00 per annum fall between the lower quartile and the </w:t>
      </w:r>
      <w:r w:rsidRPr="00683E6B">
        <w:rPr>
          <w:rFonts w:ascii="Arial" w:hAnsi="Arial" w:cs="Arial"/>
          <w:sz w:val="24"/>
          <w:szCs w:val="24"/>
        </w:rPr>
        <w:lastRenderedPageBreak/>
        <w:t xml:space="preserve">median for an individual with an NQF 4 level of education in the early career stage working in the formal sector, as per the Stats SA Earnings by Level of Education 2023 table, The Quantum Yearbook 2023, Robert J Koch.  </w:t>
      </w:r>
    </w:p>
    <w:p w14:paraId="4F7DA8A9" w14:textId="056208F9"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According to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w:t>
      </w:r>
      <w:proofErr w:type="gramStart"/>
      <w:r w:rsidRPr="00683E6B">
        <w:rPr>
          <w:rFonts w:ascii="Arial" w:hAnsi="Arial" w:cs="Arial"/>
          <w:sz w:val="24"/>
          <w:szCs w:val="24"/>
        </w:rPr>
        <w:t>K</w:t>
      </w:r>
      <w:r w:rsidR="00642E35">
        <w:rPr>
          <w:rFonts w:ascii="Arial" w:hAnsi="Arial" w:cs="Arial"/>
          <w:sz w:val="24"/>
          <w:szCs w:val="24"/>
        </w:rPr>
        <w:t>[</w:t>
      </w:r>
      <w:proofErr w:type="gramEnd"/>
      <w:r w:rsidR="00642E35">
        <w:rPr>
          <w:rFonts w:ascii="Arial" w:hAnsi="Arial" w:cs="Arial"/>
          <w:sz w:val="24"/>
          <w:szCs w:val="24"/>
        </w:rPr>
        <w:t>…]</w:t>
      </w:r>
      <w:r w:rsidRPr="00683E6B">
        <w:rPr>
          <w:rFonts w:ascii="Arial" w:hAnsi="Arial" w:cs="Arial"/>
          <w:sz w:val="24"/>
          <w:szCs w:val="24"/>
        </w:rPr>
        <w:t xml:space="preserve"> would probably have commenced his part-time studies immediately upon securing employment.  It would likely have taken him five years to obtain his NQF 7 level of education (that is, from mid-2028 until mid-2033).  As he would have gained valuable experience in the workplace, it is probable that from commencing full-time employment until he would have obtained his NQF 7 level of education, his earnings would have increased over these five years (that is, from mid-2028 until mid-2033) to </w:t>
      </w:r>
      <w:proofErr w:type="gramStart"/>
      <w:r w:rsidRPr="00683E6B">
        <w:rPr>
          <w:rFonts w:ascii="Arial" w:hAnsi="Arial" w:cs="Arial"/>
          <w:sz w:val="24"/>
          <w:szCs w:val="24"/>
        </w:rPr>
        <w:t>an estimated total earnings</w:t>
      </w:r>
      <w:proofErr w:type="gramEnd"/>
      <w:r w:rsidRPr="00683E6B">
        <w:rPr>
          <w:rFonts w:ascii="Arial" w:hAnsi="Arial" w:cs="Arial"/>
          <w:sz w:val="24"/>
          <w:szCs w:val="24"/>
        </w:rPr>
        <w:t xml:space="preserve"> of R168,000.00 per annum at 2023’s monetary value.  Earnings of R168,000.00 per annum fall closest to the lower quartile of earnings for an individual in the early career stage with an NQF 7 level of education, as per the Stats SA Earnings by Level of Education 2022 table, The Quantum Yearbook 2023, Robert J Koch. </w:t>
      </w:r>
    </w:p>
    <w:p w14:paraId="020192CF" w14:textId="6C49CED1"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believes that </w:t>
      </w:r>
      <w:proofErr w:type="gramStart"/>
      <w:r w:rsidRPr="00683E6B">
        <w:rPr>
          <w:rFonts w:ascii="Arial" w:hAnsi="Arial" w:cs="Arial"/>
          <w:sz w:val="24"/>
          <w:szCs w:val="24"/>
        </w:rPr>
        <w:t>K</w:t>
      </w:r>
      <w:r w:rsidR="002F0C14">
        <w:rPr>
          <w:rFonts w:ascii="Arial" w:hAnsi="Arial" w:cs="Arial"/>
          <w:sz w:val="24"/>
          <w:szCs w:val="24"/>
        </w:rPr>
        <w:t>[</w:t>
      </w:r>
      <w:proofErr w:type="gramEnd"/>
      <w:r w:rsidR="002F0C14">
        <w:rPr>
          <w:rFonts w:ascii="Arial" w:hAnsi="Arial" w:cs="Arial"/>
          <w:sz w:val="24"/>
          <w:szCs w:val="24"/>
        </w:rPr>
        <w:t>…]</w:t>
      </w:r>
      <w:r w:rsidRPr="00683E6B">
        <w:rPr>
          <w:rFonts w:ascii="Arial" w:hAnsi="Arial" w:cs="Arial"/>
          <w:sz w:val="24"/>
          <w:szCs w:val="24"/>
        </w:rPr>
        <w:t xml:space="preserve"> would probably have been selected for an Honours Degree (NQF 8 level of education) directly after obtaining his Bachelor’s Degree/NQF 7 level of education. Honours Degree studies generally take two years to complete on a part-time basis. Therefore, </w:t>
      </w:r>
      <w:proofErr w:type="gramStart"/>
      <w:r w:rsidRPr="00683E6B">
        <w:rPr>
          <w:rFonts w:ascii="Arial" w:hAnsi="Arial" w:cs="Arial"/>
          <w:sz w:val="24"/>
          <w:szCs w:val="24"/>
        </w:rPr>
        <w:t>K</w:t>
      </w:r>
      <w:r w:rsidR="002F0C14">
        <w:rPr>
          <w:rFonts w:ascii="Arial" w:hAnsi="Arial" w:cs="Arial"/>
          <w:sz w:val="24"/>
          <w:szCs w:val="24"/>
        </w:rPr>
        <w:t>[</w:t>
      </w:r>
      <w:proofErr w:type="gramEnd"/>
      <w:r w:rsidR="002F0C14">
        <w:rPr>
          <w:rFonts w:ascii="Arial" w:hAnsi="Arial" w:cs="Arial"/>
          <w:sz w:val="24"/>
          <w:szCs w:val="24"/>
        </w:rPr>
        <w:t>…]</w:t>
      </w:r>
      <w:r w:rsidRPr="00683E6B">
        <w:rPr>
          <w:rFonts w:ascii="Arial" w:hAnsi="Arial" w:cs="Arial"/>
          <w:sz w:val="24"/>
          <w:szCs w:val="24"/>
        </w:rPr>
        <w:t xml:space="preserve"> would likely have commenced his studies towards an NQF 8 level of education, while working on a full-time basis, by the beginning of the 2034 academic year, and he would therefore have obtained his qualification by the end of 2035 at age 26. </w:t>
      </w:r>
    </w:p>
    <w:p w14:paraId="15D81462" w14:textId="4650710A"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Upon obtaining his NQF 8 level of education, </w:t>
      </w:r>
      <w:proofErr w:type="gramStart"/>
      <w:r w:rsidRPr="00683E6B">
        <w:rPr>
          <w:rFonts w:ascii="Arial" w:hAnsi="Arial" w:cs="Arial"/>
          <w:sz w:val="24"/>
          <w:szCs w:val="24"/>
        </w:rPr>
        <w:t>K</w:t>
      </w:r>
      <w:r w:rsidR="002F0C14">
        <w:rPr>
          <w:rFonts w:ascii="Arial" w:hAnsi="Arial" w:cs="Arial"/>
          <w:sz w:val="24"/>
          <w:szCs w:val="24"/>
        </w:rPr>
        <w:t>[</w:t>
      </w:r>
      <w:proofErr w:type="gramEnd"/>
      <w:r w:rsidR="002F0C14">
        <w:rPr>
          <w:rFonts w:ascii="Arial" w:hAnsi="Arial" w:cs="Arial"/>
          <w:sz w:val="24"/>
          <w:szCs w:val="24"/>
        </w:rPr>
        <w:t>…]</w:t>
      </w:r>
      <w:r w:rsidRPr="00683E6B">
        <w:rPr>
          <w:rFonts w:ascii="Arial" w:hAnsi="Arial" w:cs="Arial"/>
          <w:sz w:val="24"/>
          <w:szCs w:val="24"/>
        </w:rPr>
        <w:t xml:space="preserve"> would probably have secured employment in line with his qualification.  This would be by the </w:t>
      </w:r>
      <w:r w:rsidRPr="00683E6B">
        <w:rPr>
          <w:rFonts w:ascii="Arial" w:hAnsi="Arial" w:cs="Arial"/>
          <w:sz w:val="24"/>
          <w:szCs w:val="24"/>
        </w:rPr>
        <w:lastRenderedPageBreak/>
        <w:t xml:space="preserve">beginning of 2036 at age 26, turning 27.  His commencement total earnings would probably have been around R216,000.00 per annum at 2023’s monetary value. Earnings of R216,000.00 per annum fall between the lower quartile and the median of the earnings range for an individual with an NQF 8 level of education in the early-career stage, as per the Stats SA Earnings by Level of Education 2023 table, The Quantum Yearbook 2023, Robert J Koch. </w:t>
      </w:r>
    </w:p>
    <w:p w14:paraId="27AFCCB5" w14:textId="048D7F5E"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According to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from the age of 27, it is probable that </w:t>
      </w:r>
      <w:proofErr w:type="gramStart"/>
      <w:r w:rsidRPr="00683E6B">
        <w:rPr>
          <w:rFonts w:ascii="Arial" w:hAnsi="Arial" w:cs="Arial"/>
          <w:sz w:val="24"/>
          <w:szCs w:val="24"/>
        </w:rPr>
        <w:t>K</w:t>
      </w:r>
      <w:r w:rsidR="002F0C14">
        <w:rPr>
          <w:rFonts w:ascii="Arial" w:hAnsi="Arial" w:cs="Arial"/>
          <w:sz w:val="24"/>
          <w:szCs w:val="24"/>
        </w:rPr>
        <w:t>[</w:t>
      </w:r>
      <w:proofErr w:type="gramEnd"/>
      <w:r w:rsidR="002F0C14">
        <w:rPr>
          <w:rFonts w:ascii="Arial" w:hAnsi="Arial" w:cs="Arial"/>
          <w:sz w:val="24"/>
          <w:szCs w:val="24"/>
        </w:rPr>
        <w:t>…]</w:t>
      </w:r>
      <w:r w:rsidRPr="00683E6B">
        <w:rPr>
          <w:rFonts w:ascii="Arial" w:hAnsi="Arial" w:cs="Arial"/>
          <w:sz w:val="24"/>
          <w:szCs w:val="24"/>
        </w:rPr>
        <w:t>’s earnings would have increased linearly up to an earning ceiling (at the age of 45 years) within the formal sector with total earnings of around R840,000.00 per annum at 2023’s monetary value.  The indicated earning ceiling falls between the median and the upper quartile of the earnings range for an individual with an NQF 8 level of education in the late career stage, as per the Stats SA Earnings by Level of Education 2023 table, The Quantum Yearbook 2023, Robert J Koch. Annual inflationary increases would have applied until retirement age.</w:t>
      </w:r>
    </w:p>
    <w:p w14:paraId="6F1C9925" w14:textId="0FCB75F7"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then postulated an injured scenario.  She stated that, based on the opinions of the various experts, it was apparent that </w:t>
      </w:r>
      <w:proofErr w:type="gramStart"/>
      <w:r w:rsidRPr="00683E6B">
        <w:rPr>
          <w:rFonts w:ascii="Arial" w:hAnsi="Arial" w:cs="Arial"/>
          <w:sz w:val="24"/>
          <w:szCs w:val="24"/>
        </w:rPr>
        <w:t>K</w:t>
      </w:r>
      <w:r w:rsidR="007113E9">
        <w:rPr>
          <w:rFonts w:ascii="Arial" w:hAnsi="Arial" w:cs="Arial"/>
          <w:sz w:val="24"/>
          <w:szCs w:val="24"/>
        </w:rPr>
        <w:t>[</w:t>
      </w:r>
      <w:proofErr w:type="gramEnd"/>
      <w:r w:rsidR="007113E9">
        <w:rPr>
          <w:rFonts w:ascii="Arial" w:hAnsi="Arial" w:cs="Arial"/>
          <w:sz w:val="24"/>
          <w:szCs w:val="24"/>
        </w:rPr>
        <w:t>…]</w:t>
      </w:r>
      <w:r w:rsidRPr="00683E6B">
        <w:rPr>
          <w:rFonts w:ascii="Arial" w:hAnsi="Arial" w:cs="Arial"/>
          <w:sz w:val="24"/>
          <w:szCs w:val="24"/>
        </w:rPr>
        <w:t xml:space="preserve"> has been severely compromised as far as his scholastic/academic potential and occupational prospects are concerned.  Having regard to the opinions of the other experts, with probably a low-mark Grade 10 (NQF 2 level of education, </w:t>
      </w:r>
      <w:proofErr w:type="gramStart"/>
      <w:r w:rsidRPr="00683E6B">
        <w:rPr>
          <w:rFonts w:ascii="Arial" w:hAnsi="Arial" w:cs="Arial"/>
          <w:sz w:val="24"/>
          <w:szCs w:val="24"/>
        </w:rPr>
        <w:t>K</w:t>
      </w:r>
      <w:r w:rsidR="007113E9">
        <w:rPr>
          <w:rFonts w:ascii="Arial" w:hAnsi="Arial" w:cs="Arial"/>
          <w:sz w:val="24"/>
          <w:szCs w:val="24"/>
        </w:rPr>
        <w:t>[</w:t>
      </w:r>
      <w:proofErr w:type="gramEnd"/>
      <w:r w:rsidR="007113E9">
        <w:rPr>
          <w:rFonts w:ascii="Arial" w:hAnsi="Arial" w:cs="Arial"/>
          <w:sz w:val="24"/>
          <w:szCs w:val="24"/>
        </w:rPr>
        <w:t>…]</w:t>
      </w:r>
      <w:r w:rsidRPr="00683E6B">
        <w:rPr>
          <w:rFonts w:ascii="Arial" w:hAnsi="Arial" w:cs="Arial"/>
          <w:sz w:val="24"/>
          <w:szCs w:val="24"/>
        </w:rPr>
        <w:t xml:space="preserve"> would be limited to unskilled employment in the non-corporate sector, which generally entails physically demanding work.  </w:t>
      </w:r>
    </w:p>
    <w:p w14:paraId="3686E434" w14:textId="08C8CCEA"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expressed the view that, although </w:t>
      </w:r>
      <w:proofErr w:type="gramStart"/>
      <w:r w:rsidRPr="00683E6B">
        <w:rPr>
          <w:rFonts w:ascii="Arial" w:hAnsi="Arial" w:cs="Arial"/>
          <w:sz w:val="24"/>
          <w:szCs w:val="24"/>
        </w:rPr>
        <w:t>K</w:t>
      </w:r>
      <w:r w:rsidR="007113E9">
        <w:rPr>
          <w:rFonts w:ascii="Arial" w:hAnsi="Arial" w:cs="Arial"/>
          <w:sz w:val="24"/>
          <w:szCs w:val="24"/>
        </w:rPr>
        <w:t>[</w:t>
      </w:r>
      <w:proofErr w:type="gramEnd"/>
      <w:r w:rsidR="007113E9">
        <w:rPr>
          <w:rFonts w:ascii="Arial" w:hAnsi="Arial" w:cs="Arial"/>
          <w:sz w:val="24"/>
          <w:szCs w:val="24"/>
        </w:rPr>
        <w:t>…]</w:t>
      </w:r>
      <w:r w:rsidRPr="00683E6B">
        <w:rPr>
          <w:rFonts w:ascii="Arial" w:hAnsi="Arial" w:cs="Arial"/>
          <w:sz w:val="24"/>
          <w:szCs w:val="24"/>
        </w:rPr>
        <w:t xml:space="preserve"> may theoretically (more so from a physical perspective) be able to secure such employment, </w:t>
      </w:r>
      <w:r w:rsidRPr="00683E6B">
        <w:rPr>
          <w:rFonts w:ascii="Arial" w:hAnsi="Arial" w:cs="Arial"/>
          <w:sz w:val="24"/>
          <w:szCs w:val="24"/>
        </w:rPr>
        <w:lastRenderedPageBreak/>
        <w:t xml:space="preserve">excluding positions from which he would be barred because of his epilepsy, he would need to compete against other uninjured jobseekers in an already dire economy with limited employment opportunities available.  She aligned herself with the contents of an article published by SAGE on the 15th of June 20221, the youth unemployment rate in South Africa was 66.5% (Q4:2021), and the competition to secure employment, is thus fierce.  As noted by Ms Doran, the plaintiff’s mental exhaustion may impact on his ability to retain employment of a physical nature.  Furthermore, should he develop epilepsy (as noted by 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in the future, the plaintiff would be excluded from a variety of jobs and working environments (as indicated by Ms Doran), which would further limit his employment prospects. </w:t>
      </w:r>
    </w:p>
    <w:p w14:paraId="2B2B53C7" w14:textId="32A023B4"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Having regard to the opinions of 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and Ms Gibson that the plaintiff requires inter alia sympathetic employment,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noted that such employment opportunities are extremely scarce and are generally provided for only short periods of time. Sheltered employment, as an alternative presented by Dr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is extremely limited in South Africa. </w:t>
      </w:r>
    </w:p>
    <w:p w14:paraId="432690C6" w14:textId="578380B5"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concluded that </w:t>
      </w:r>
      <w:proofErr w:type="gramStart"/>
      <w:r w:rsidRPr="00683E6B">
        <w:rPr>
          <w:rFonts w:ascii="Arial" w:hAnsi="Arial" w:cs="Arial"/>
          <w:sz w:val="24"/>
          <w:szCs w:val="24"/>
        </w:rPr>
        <w:t>K</w:t>
      </w:r>
      <w:r w:rsidR="00A10ADE">
        <w:rPr>
          <w:rFonts w:ascii="Arial" w:hAnsi="Arial" w:cs="Arial"/>
          <w:sz w:val="24"/>
          <w:szCs w:val="24"/>
        </w:rPr>
        <w:t>[</w:t>
      </w:r>
      <w:proofErr w:type="gramEnd"/>
      <w:r w:rsidR="00A10ADE">
        <w:rPr>
          <w:rFonts w:ascii="Arial" w:hAnsi="Arial" w:cs="Arial"/>
          <w:sz w:val="24"/>
          <w:szCs w:val="24"/>
        </w:rPr>
        <w:t>…]</w:t>
      </w:r>
      <w:r w:rsidRPr="00683E6B">
        <w:rPr>
          <w:rFonts w:ascii="Arial" w:hAnsi="Arial" w:cs="Arial"/>
          <w:sz w:val="24"/>
          <w:szCs w:val="24"/>
        </w:rPr>
        <w:t xml:space="preserve"> would most likely remain unemployed for his whole working life.</w:t>
      </w:r>
    </w:p>
    <w:p w14:paraId="398CD565" w14:textId="6879AF9B" w:rsidR="00C72F75" w:rsidRPr="00683E6B" w:rsidRDefault="00C72F75" w:rsidP="0072428D">
      <w:pPr>
        <w:pStyle w:val="ListParagraph"/>
        <w:widowControl w:val="0"/>
        <w:numPr>
          <w:ilvl w:val="0"/>
          <w:numId w:val="1"/>
        </w:numPr>
        <w:spacing w:before="300" w:after="0" w:line="480" w:lineRule="auto"/>
        <w:ind w:left="0" w:right="680" w:firstLine="0"/>
        <w:contextualSpacing w:val="0"/>
        <w:jc w:val="both"/>
        <w:rPr>
          <w:rFonts w:ascii="Arial" w:hAnsi="Arial" w:cs="Arial"/>
          <w:sz w:val="24"/>
          <w:szCs w:val="24"/>
        </w:rPr>
      </w:pPr>
      <w:r w:rsidRPr="00683E6B">
        <w:rPr>
          <w:rFonts w:ascii="Arial" w:hAnsi="Arial" w:cs="Arial"/>
          <w:sz w:val="24"/>
          <w:szCs w:val="24"/>
        </w:rPr>
        <w:t xml:space="preserve">Based on the postulations of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Mr </w:t>
      </w:r>
      <w:proofErr w:type="spellStart"/>
      <w:r w:rsidRPr="00683E6B">
        <w:rPr>
          <w:rFonts w:ascii="Arial" w:hAnsi="Arial" w:cs="Arial"/>
          <w:sz w:val="24"/>
          <w:szCs w:val="24"/>
        </w:rPr>
        <w:t>Strydom</w:t>
      </w:r>
      <w:proofErr w:type="spellEnd"/>
      <w:r w:rsidRPr="00683E6B">
        <w:rPr>
          <w:rFonts w:ascii="Arial" w:hAnsi="Arial" w:cs="Arial"/>
          <w:sz w:val="24"/>
          <w:szCs w:val="24"/>
        </w:rPr>
        <w:t xml:space="preserve">, an actuary, calculated </w:t>
      </w:r>
      <w:proofErr w:type="gramStart"/>
      <w:r w:rsidRPr="00683E6B">
        <w:rPr>
          <w:rFonts w:ascii="Arial" w:hAnsi="Arial" w:cs="Arial"/>
          <w:sz w:val="24"/>
          <w:szCs w:val="24"/>
        </w:rPr>
        <w:t>K</w:t>
      </w:r>
      <w:r w:rsidR="0049230E">
        <w:rPr>
          <w:rFonts w:ascii="Arial" w:hAnsi="Arial" w:cs="Arial"/>
          <w:sz w:val="24"/>
          <w:szCs w:val="24"/>
        </w:rPr>
        <w:t>[</w:t>
      </w:r>
      <w:proofErr w:type="gramEnd"/>
      <w:r w:rsidR="0049230E">
        <w:rPr>
          <w:rFonts w:ascii="Arial" w:hAnsi="Arial" w:cs="Arial"/>
          <w:sz w:val="24"/>
          <w:szCs w:val="24"/>
        </w:rPr>
        <w:t>…]</w:t>
      </w:r>
      <w:r w:rsidRPr="00683E6B">
        <w:rPr>
          <w:rFonts w:ascii="Arial" w:hAnsi="Arial" w:cs="Arial"/>
          <w:sz w:val="24"/>
          <w:szCs w:val="24"/>
        </w:rPr>
        <w:t>’s total loss of earnings to be R6 946 215.00.  This figure does not take account of contingencies.</w:t>
      </w:r>
    </w:p>
    <w:p w14:paraId="265A564F" w14:textId="1B9F7921"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As already stated, the defendant did not file any expert reports. Ms </w:t>
      </w:r>
      <w:proofErr w:type="spellStart"/>
      <w:r w:rsidRPr="00683E6B">
        <w:rPr>
          <w:rFonts w:ascii="Arial" w:hAnsi="Arial" w:cs="Arial"/>
          <w:sz w:val="24"/>
          <w:szCs w:val="24"/>
        </w:rPr>
        <w:t>Ramjee</w:t>
      </w:r>
      <w:proofErr w:type="spellEnd"/>
      <w:r w:rsidRPr="00683E6B">
        <w:rPr>
          <w:rFonts w:ascii="Arial" w:hAnsi="Arial" w:cs="Arial"/>
          <w:sz w:val="24"/>
          <w:szCs w:val="24"/>
        </w:rPr>
        <w:t xml:space="preserve"> limited her attack on the opinions expressed by the experts to pointing out that Ms </w:t>
      </w:r>
      <w:r w:rsidRPr="00683E6B">
        <w:rPr>
          <w:rFonts w:ascii="Arial" w:hAnsi="Arial" w:cs="Arial"/>
          <w:sz w:val="24"/>
          <w:szCs w:val="24"/>
        </w:rPr>
        <w:lastRenderedPageBreak/>
        <w:t xml:space="preserve">Gibson’s (a clinical neuropsychologist) report had been prepared in 2020 and was therefore somewhat outdated.  She questioned why Ms Gibson had confirmed her 2020 report in 2023 when it was clear that circumstances had changed.  Whist it would </w:t>
      </w:r>
      <w:proofErr w:type="spellStart"/>
      <w:r w:rsidRPr="00683E6B">
        <w:rPr>
          <w:rFonts w:ascii="Arial" w:hAnsi="Arial" w:cs="Arial"/>
          <w:sz w:val="24"/>
          <w:szCs w:val="24"/>
        </w:rPr>
        <w:t>undoubtably</w:t>
      </w:r>
      <w:proofErr w:type="spellEnd"/>
      <w:r w:rsidRPr="00683E6B">
        <w:rPr>
          <w:rFonts w:ascii="Arial" w:hAnsi="Arial" w:cs="Arial"/>
          <w:sz w:val="24"/>
          <w:szCs w:val="24"/>
        </w:rPr>
        <w:t xml:space="preserve"> have been useful for Ms Gibson to have rendered an updated report, her opinions as expressed in her 2020 report remained valid within their own context.  Indeed, her postulation that </w:t>
      </w:r>
      <w:proofErr w:type="gramStart"/>
      <w:r w:rsidRPr="00683E6B">
        <w:rPr>
          <w:rFonts w:ascii="Arial" w:hAnsi="Arial" w:cs="Arial"/>
          <w:sz w:val="24"/>
          <w:szCs w:val="24"/>
        </w:rPr>
        <w:t>K</w:t>
      </w:r>
      <w:r w:rsidR="00EF2DB3">
        <w:rPr>
          <w:rFonts w:ascii="Arial" w:hAnsi="Arial" w:cs="Arial"/>
          <w:sz w:val="24"/>
          <w:szCs w:val="24"/>
        </w:rPr>
        <w:t>[</w:t>
      </w:r>
      <w:proofErr w:type="gramEnd"/>
      <w:r w:rsidR="00EF2DB3">
        <w:rPr>
          <w:rFonts w:ascii="Arial" w:hAnsi="Arial" w:cs="Arial"/>
          <w:sz w:val="24"/>
          <w:szCs w:val="24"/>
        </w:rPr>
        <w:t>…]</w:t>
      </w:r>
      <w:r w:rsidRPr="00683E6B">
        <w:rPr>
          <w:rFonts w:ascii="Arial" w:hAnsi="Arial" w:cs="Arial"/>
          <w:sz w:val="24"/>
          <w:szCs w:val="24"/>
        </w:rPr>
        <w:t>’s intellectual difficulties would probably increase over time turned out to be correct.</w:t>
      </w:r>
    </w:p>
    <w:p w14:paraId="12B78328" w14:textId="24D9DF17"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have carefully considered the reports of all the experts.  I have doubts that </w:t>
      </w:r>
      <w:proofErr w:type="gramStart"/>
      <w:r w:rsidRPr="00683E6B">
        <w:rPr>
          <w:rFonts w:ascii="Arial" w:hAnsi="Arial" w:cs="Arial"/>
          <w:sz w:val="24"/>
          <w:szCs w:val="24"/>
        </w:rPr>
        <w:t>K</w:t>
      </w:r>
      <w:r w:rsidR="00382E48">
        <w:rPr>
          <w:rFonts w:ascii="Arial" w:hAnsi="Arial" w:cs="Arial"/>
          <w:sz w:val="24"/>
          <w:szCs w:val="24"/>
        </w:rPr>
        <w:t>[</w:t>
      </w:r>
      <w:proofErr w:type="gramEnd"/>
      <w:r w:rsidR="00382E48">
        <w:rPr>
          <w:rFonts w:ascii="Arial" w:hAnsi="Arial" w:cs="Arial"/>
          <w:sz w:val="24"/>
          <w:szCs w:val="24"/>
        </w:rPr>
        <w:t>…]</w:t>
      </w:r>
      <w:r w:rsidRPr="00683E6B">
        <w:rPr>
          <w:rFonts w:ascii="Arial" w:hAnsi="Arial" w:cs="Arial"/>
          <w:sz w:val="24"/>
          <w:szCs w:val="24"/>
        </w:rPr>
        <w:t xml:space="preserve">’s future is as bleak as postulated by Ms </w:t>
      </w:r>
      <w:proofErr w:type="spellStart"/>
      <w:r w:rsidRPr="00683E6B">
        <w:rPr>
          <w:rFonts w:ascii="Arial" w:hAnsi="Arial" w:cs="Arial"/>
          <w:sz w:val="24"/>
          <w:szCs w:val="24"/>
        </w:rPr>
        <w:t>Roussouw</w:t>
      </w:r>
      <w:proofErr w:type="spellEnd"/>
      <w:r w:rsidRPr="00683E6B">
        <w:rPr>
          <w:rFonts w:ascii="Arial" w:hAnsi="Arial" w:cs="Arial"/>
          <w:sz w:val="24"/>
          <w:szCs w:val="24"/>
        </w:rPr>
        <w:t xml:space="preserve">.  That said, I have no reason to reject the experts’ evidence outright.  In short, it is clear that </w:t>
      </w:r>
      <w:proofErr w:type="gramStart"/>
      <w:r w:rsidRPr="00683E6B">
        <w:rPr>
          <w:rFonts w:ascii="Arial" w:hAnsi="Arial" w:cs="Arial"/>
          <w:sz w:val="24"/>
          <w:szCs w:val="24"/>
        </w:rPr>
        <w:t>K</w:t>
      </w:r>
      <w:r w:rsidR="00382E48">
        <w:rPr>
          <w:rFonts w:ascii="Arial" w:hAnsi="Arial" w:cs="Arial"/>
          <w:sz w:val="24"/>
          <w:szCs w:val="24"/>
        </w:rPr>
        <w:t>[</w:t>
      </w:r>
      <w:proofErr w:type="gramEnd"/>
      <w:r w:rsidR="00382E48">
        <w:rPr>
          <w:rFonts w:ascii="Arial" w:hAnsi="Arial" w:cs="Arial"/>
          <w:sz w:val="24"/>
          <w:szCs w:val="24"/>
        </w:rPr>
        <w:t>…]</w:t>
      </w:r>
      <w:r w:rsidRPr="00683E6B">
        <w:rPr>
          <w:rFonts w:ascii="Arial" w:hAnsi="Arial" w:cs="Arial"/>
          <w:sz w:val="24"/>
          <w:szCs w:val="24"/>
        </w:rPr>
        <w:t xml:space="preserve"> sustained life-changing injuries which have rendered him potentially unemployable in the open market.  My doubts that </w:t>
      </w:r>
      <w:proofErr w:type="gramStart"/>
      <w:r w:rsidRPr="00683E6B">
        <w:rPr>
          <w:rFonts w:ascii="Arial" w:hAnsi="Arial" w:cs="Arial"/>
          <w:sz w:val="24"/>
          <w:szCs w:val="24"/>
        </w:rPr>
        <w:t>K</w:t>
      </w:r>
      <w:r w:rsidR="00382E48">
        <w:rPr>
          <w:rFonts w:ascii="Arial" w:hAnsi="Arial" w:cs="Arial"/>
          <w:sz w:val="24"/>
          <w:szCs w:val="24"/>
        </w:rPr>
        <w:t>[</w:t>
      </w:r>
      <w:proofErr w:type="gramEnd"/>
      <w:r w:rsidR="00382E48">
        <w:rPr>
          <w:rFonts w:ascii="Arial" w:hAnsi="Arial" w:cs="Arial"/>
          <w:sz w:val="24"/>
          <w:szCs w:val="24"/>
        </w:rPr>
        <w:t>…]</w:t>
      </w:r>
      <w:r w:rsidRPr="00683E6B">
        <w:rPr>
          <w:rFonts w:ascii="Arial" w:hAnsi="Arial" w:cs="Arial"/>
          <w:sz w:val="24"/>
          <w:szCs w:val="24"/>
        </w:rPr>
        <w:t xml:space="preserve"> will be completely unemployable (whether in the open market or otherwise) will find expression in my assessment of an appropriate contingency percentage.</w:t>
      </w:r>
    </w:p>
    <w:p w14:paraId="1B1B5898" w14:textId="77777777" w:rsidR="00C72F75" w:rsidRPr="00683E6B" w:rsidRDefault="00C72F75" w:rsidP="0072428D">
      <w:pPr>
        <w:pStyle w:val="ListParagraph"/>
        <w:widowControl w:val="0"/>
        <w:numPr>
          <w:ilvl w:val="0"/>
          <w:numId w:val="1"/>
        </w:numPr>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Ramjee</w:t>
      </w:r>
      <w:proofErr w:type="spellEnd"/>
      <w:r w:rsidRPr="00683E6B">
        <w:rPr>
          <w:rFonts w:ascii="Arial" w:hAnsi="Arial" w:cs="Arial"/>
          <w:sz w:val="24"/>
          <w:szCs w:val="24"/>
        </w:rPr>
        <w:t xml:space="preserve"> also made submissions in relation to what would constitute appropriate contingencies.  I will return to this aspect later.</w:t>
      </w:r>
    </w:p>
    <w:p w14:paraId="19209C5A" w14:textId="77777777" w:rsidR="00C72F75" w:rsidRPr="00683E6B" w:rsidRDefault="00C72F75" w:rsidP="00683E6B">
      <w:pPr>
        <w:pStyle w:val="ListParagraph"/>
        <w:widowControl w:val="0"/>
        <w:spacing w:before="300" w:after="0" w:line="480" w:lineRule="auto"/>
        <w:ind w:left="680" w:right="-23"/>
        <w:contextualSpacing w:val="0"/>
        <w:jc w:val="both"/>
        <w:rPr>
          <w:rFonts w:ascii="Arial" w:hAnsi="Arial" w:cs="Arial"/>
          <w:sz w:val="24"/>
          <w:szCs w:val="24"/>
        </w:rPr>
      </w:pPr>
    </w:p>
    <w:p w14:paraId="0C9AB1AA" w14:textId="7EB03BA1" w:rsidR="00C72F75" w:rsidRPr="00683E6B" w:rsidRDefault="00C72F75" w:rsidP="00683E6B">
      <w:pPr>
        <w:widowControl w:val="0"/>
        <w:spacing w:before="300" w:after="0" w:line="480" w:lineRule="auto"/>
        <w:ind w:right="-23"/>
        <w:jc w:val="both"/>
        <w:rPr>
          <w:rFonts w:ascii="Arial" w:hAnsi="Arial" w:cs="Arial"/>
          <w:sz w:val="24"/>
          <w:szCs w:val="24"/>
        </w:rPr>
      </w:pPr>
      <w:r w:rsidRPr="00683E6B">
        <w:rPr>
          <w:rFonts w:ascii="Arial" w:hAnsi="Arial" w:cs="Arial"/>
          <w:b/>
          <w:bCs/>
          <w:sz w:val="24"/>
          <w:szCs w:val="24"/>
        </w:rPr>
        <w:t>HEADS OF DAMAGES</w:t>
      </w:r>
    </w:p>
    <w:p w14:paraId="678166DB" w14:textId="7466F9A9" w:rsidR="00C72F75" w:rsidRPr="00683E6B" w:rsidRDefault="00C72F75" w:rsidP="00C64FD7">
      <w:pPr>
        <w:pStyle w:val="ListParagraph"/>
        <w:widowControl w:val="0"/>
        <w:numPr>
          <w:ilvl w:val="0"/>
          <w:numId w:val="1"/>
        </w:numPr>
        <w:spacing w:before="100" w:after="0" w:line="480" w:lineRule="auto"/>
        <w:ind w:right="-23"/>
        <w:contextualSpacing w:val="0"/>
        <w:jc w:val="both"/>
        <w:rPr>
          <w:rFonts w:ascii="Arial" w:hAnsi="Arial" w:cs="Arial"/>
          <w:sz w:val="24"/>
          <w:szCs w:val="24"/>
        </w:rPr>
      </w:pPr>
      <w:r w:rsidRPr="00683E6B">
        <w:rPr>
          <w:rFonts w:ascii="Arial" w:hAnsi="Arial" w:cs="Arial"/>
          <w:sz w:val="24"/>
          <w:szCs w:val="24"/>
        </w:rPr>
        <w:t>I now turn to deal with each of the four heads of damages claimed by the plaintiff.</w:t>
      </w:r>
    </w:p>
    <w:p w14:paraId="3FCF3CEC" w14:textId="77777777" w:rsidR="00C72F75" w:rsidRDefault="00C72F75">
      <w:pPr>
        <w:rPr>
          <w:rFonts w:ascii="Arial" w:hAnsi="Arial" w:cs="Arial"/>
          <w:sz w:val="24"/>
          <w:szCs w:val="24"/>
          <w:u w:val="single"/>
        </w:rPr>
      </w:pPr>
      <w:r>
        <w:rPr>
          <w:rFonts w:ascii="Arial" w:hAnsi="Arial" w:cs="Arial"/>
          <w:sz w:val="24"/>
          <w:szCs w:val="24"/>
          <w:u w:val="single"/>
        </w:rPr>
        <w:br w:type="page"/>
      </w:r>
    </w:p>
    <w:p w14:paraId="2E9D5C7B" w14:textId="4CB11068" w:rsidR="00C72F75" w:rsidRPr="00683E6B" w:rsidRDefault="00C72F75" w:rsidP="00683E6B">
      <w:pPr>
        <w:widowControl w:val="0"/>
        <w:spacing w:before="300" w:after="0" w:line="480" w:lineRule="auto"/>
        <w:ind w:right="-23"/>
        <w:jc w:val="both"/>
        <w:rPr>
          <w:rFonts w:ascii="Arial" w:hAnsi="Arial" w:cs="Arial"/>
          <w:sz w:val="24"/>
          <w:szCs w:val="24"/>
        </w:rPr>
      </w:pPr>
      <w:r w:rsidRPr="00683E6B">
        <w:rPr>
          <w:rFonts w:ascii="Arial" w:hAnsi="Arial" w:cs="Arial"/>
          <w:sz w:val="24"/>
          <w:szCs w:val="24"/>
          <w:u w:val="single"/>
        </w:rPr>
        <w:lastRenderedPageBreak/>
        <w:t>Past hospital and medical expenses</w:t>
      </w:r>
    </w:p>
    <w:p w14:paraId="2E626A7A" w14:textId="581C3DD5" w:rsidR="00C72F75" w:rsidRPr="00683E6B" w:rsidRDefault="00C72F75" w:rsidP="0072428D">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plaintiff’s claim for past hospital and medical expenses amounts to R104 982.42.  </w:t>
      </w:r>
    </w:p>
    <w:p w14:paraId="1C20304E" w14:textId="28FF9533"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Maria Stevenson, a team leader employed by Discovery Medical Scheme deposed to an affidavit in which she certified that the medical aid scheme had paid the claimed amount to “healthcare practitioners and health establishments for the treatment of injuries sustained by the plaintiff in a motor vehicle accident which occurred on 30 April 2019.”  She also confirmed that the costs were reasonable and the treatment necessary.  </w:t>
      </w:r>
    </w:p>
    <w:p w14:paraId="5A4264D0" w14:textId="2D31CB41"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Ms Stevenson certified the correctness of the schedule of vouchers attached to her affidavit which reflected how the claimed amount of R104 982.42 was made up.</w:t>
      </w:r>
    </w:p>
    <w:p w14:paraId="072ADF6F" w14:textId="06B7644D"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defendant did not take issue with the contents of Ms Stevenson’s affidavit, but adopted the defendant’s oft-repeated contention that, by virtue of an internal directive, it was not liable to pay a claimant such as the plaintiff for past hospital and medical expenses in circumstances where such past hospital medical expenses had been paid for by a medical aid scheme.</w:t>
      </w:r>
    </w:p>
    <w:p w14:paraId="2E84BBE0" w14:textId="09491303"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defendant’s contention was unambiguously rejected in </w:t>
      </w:r>
      <w:r w:rsidRPr="00683E6B">
        <w:rPr>
          <w:rFonts w:ascii="Arial" w:hAnsi="Arial" w:cs="Arial"/>
          <w:i/>
          <w:iCs/>
          <w:sz w:val="24"/>
          <w:szCs w:val="24"/>
        </w:rPr>
        <w:t>Discovery</w:t>
      </w:r>
      <w:r w:rsidRPr="00683E6B">
        <w:rPr>
          <w:rFonts w:ascii="Arial" w:hAnsi="Arial" w:cs="Arial"/>
          <w:sz w:val="24"/>
          <w:szCs w:val="24"/>
        </w:rPr>
        <w:t xml:space="preserve"> </w:t>
      </w:r>
      <w:r w:rsidRPr="00683E6B">
        <w:rPr>
          <w:rFonts w:ascii="Arial" w:hAnsi="Arial" w:cs="Arial"/>
          <w:i/>
          <w:iCs/>
          <w:sz w:val="24"/>
          <w:szCs w:val="24"/>
        </w:rPr>
        <w:t>Health (Pty) Ltd v Road Accident Fund &amp; another</w:t>
      </w:r>
      <w:r w:rsidRPr="00683E6B">
        <w:rPr>
          <w:rStyle w:val="FootnoteReference"/>
          <w:rFonts w:ascii="Arial" w:hAnsi="Arial" w:cs="Arial"/>
          <w:sz w:val="24"/>
          <w:szCs w:val="24"/>
        </w:rPr>
        <w:footnoteReference w:id="10"/>
      </w:r>
      <w:r w:rsidRPr="00683E6B">
        <w:rPr>
          <w:rFonts w:ascii="Arial" w:hAnsi="Arial" w:cs="Arial"/>
          <w:sz w:val="24"/>
          <w:szCs w:val="24"/>
        </w:rPr>
        <w:t xml:space="preserve">.  On the date of the hearing of this matter, both the High Court and the Supreme Court of Appeal had dismissed the defendant’s application for leave to appeal.  The defendant’s application to the Constitutional Court for leave to appeal was still pending.  The Constitutional Court has in the meantime </w:t>
      </w:r>
      <w:r w:rsidRPr="00683E6B">
        <w:rPr>
          <w:rFonts w:ascii="Arial" w:hAnsi="Arial" w:cs="Arial"/>
          <w:sz w:val="24"/>
          <w:szCs w:val="24"/>
        </w:rPr>
        <w:lastRenderedPageBreak/>
        <w:t>stated that it “</w:t>
      </w:r>
      <w:r w:rsidRPr="00683E6B">
        <w:rPr>
          <w:rFonts w:ascii="Arial" w:hAnsi="Arial" w:cs="Arial"/>
          <w:i/>
          <w:iCs/>
          <w:sz w:val="24"/>
          <w:szCs w:val="24"/>
        </w:rPr>
        <w:t>has considered the application for leave to appeal and has concluded that it does not engage the jurisdiction of the court. Consequently, leave to appeal must be refused</w:t>
      </w:r>
      <w:r w:rsidRPr="00683E6B">
        <w:rPr>
          <w:rFonts w:ascii="Arial" w:hAnsi="Arial" w:cs="Arial"/>
          <w:sz w:val="24"/>
          <w:szCs w:val="24"/>
        </w:rPr>
        <w:t xml:space="preserve">.”  The status quo is therefore that the judgment in </w:t>
      </w:r>
      <w:r w:rsidRPr="00683E6B">
        <w:rPr>
          <w:rFonts w:ascii="Arial" w:hAnsi="Arial" w:cs="Arial"/>
          <w:i/>
          <w:iCs/>
          <w:sz w:val="24"/>
          <w:szCs w:val="24"/>
        </w:rPr>
        <w:t>Discovery Health</w:t>
      </w:r>
      <w:r w:rsidRPr="00683E6B">
        <w:rPr>
          <w:rFonts w:ascii="Arial" w:hAnsi="Arial" w:cs="Arial"/>
          <w:sz w:val="24"/>
          <w:szCs w:val="24"/>
        </w:rPr>
        <w:t xml:space="preserve"> stands.</w:t>
      </w:r>
    </w:p>
    <w:p w14:paraId="3DD3603F" w14:textId="51C979C5"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am in terms of the doctrine of </w:t>
      </w:r>
      <w:r w:rsidRPr="00683E6B">
        <w:rPr>
          <w:rFonts w:ascii="Arial" w:hAnsi="Arial" w:cs="Arial"/>
          <w:i/>
          <w:iCs/>
          <w:sz w:val="24"/>
          <w:szCs w:val="24"/>
        </w:rPr>
        <w:t>stare decisis</w:t>
      </w:r>
      <w:r w:rsidRPr="00683E6B">
        <w:rPr>
          <w:rFonts w:ascii="Arial" w:hAnsi="Arial" w:cs="Arial"/>
          <w:sz w:val="24"/>
          <w:szCs w:val="24"/>
        </w:rPr>
        <w:t xml:space="preserve"> bound to follow the </w:t>
      </w:r>
      <w:r w:rsidRPr="00683E6B">
        <w:rPr>
          <w:rFonts w:ascii="Arial" w:hAnsi="Arial" w:cs="Arial"/>
          <w:i/>
          <w:iCs/>
          <w:sz w:val="24"/>
          <w:szCs w:val="24"/>
        </w:rPr>
        <w:t xml:space="preserve">Discovery Health </w:t>
      </w:r>
      <w:r w:rsidRPr="00683E6B">
        <w:rPr>
          <w:rFonts w:ascii="Arial" w:hAnsi="Arial" w:cs="Arial"/>
          <w:sz w:val="24"/>
          <w:szCs w:val="24"/>
        </w:rPr>
        <w:t>judgment</w:t>
      </w:r>
      <w:r w:rsidRPr="00683E6B">
        <w:rPr>
          <w:rFonts w:ascii="Arial" w:hAnsi="Arial" w:cs="Arial"/>
          <w:i/>
          <w:iCs/>
          <w:sz w:val="24"/>
          <w:szCs w:val="24"/>
        </w:rPr>
        <w:t xml:space="preserve"> </w:t>
      </w:r>
      <w:r w:rsidRPr="00683E6B">
        <w:rPr>
          <w:rFonts w:ascii="Arial" w:hAnsi="Arial" w:cs="Arial"/>
          <w:sz w:val="24"/>
          <w:szCs w:val="24"/>
        </w:rPr>
        <w:t>unless I am of the view that it is clearly wrong.  Not only am I not of the view that the judgment is clearly wrong, I am of the respectful view that it is clearly correct.</w:t>
      </w:r>
    </w:p>
    <w:p w14:paraId="08F94B24" w14:textId="53ABF05C"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In the result, I find that the defendant is liable for the plaintiff’s claim for past hospital and medical expenses which amounts to the sum of R104 982.42. </w:t>
      </w:r>
    </w:p>
    <w:p w14:paraId="50FA03C7" w14:textId="45A0D61C" w:rsidR="00C72F75" w:rsidRPr="00683E6B" w:rsidRDefault="00C72F75" w:rsidP="00C72F75">
      <w:pPr>
        <w:widowControl w:val="0"/>
        <w:spacing w:before="400" w:after="0" w:line="480" w:lineRule="auto"/>
        <w:ind w:right="-23"/>
        <w:jc w:val="both"/>
        <w:rPr>
          <w:rFonts w:ascii="Arial" w:hAnsi="Arial" w:cs="Arial"/>
          <w:sz w:val="24"/>
          <w:szCs w:val="24"/>
          <w:u w:val="single"/>
        </w:rPr>
      </w:pPr>
      <w:r w:rsidRPr="00683E6B">
        <w:rPr>
          <w:rFonts w:ascii="Arial" w:hAnsi="Arial" w:cs="Arial"/>
          <w:sz w:val="24"/>
          <w:szCs w:val="24"/>
          <w:u w:val="single"/>
        </w:rPr>
        <w:t>Future Hospital and Medical Expenses</w:t>
      </w:r>
    </w:p>
    <w:p w14:paraId="63CFD64E" w14:textId="1DA65AAA" w:rsidR="00C72F75" w:rsidRPr="00683E6B" w:rsidRDefault="00C72F75" w:rsidP="0072428D">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parties were </w:t>
      </w:r>
      <w:r w:rsidRPr="00683E6B">
        <w:rPr>
          <w:rFonts w:ascii="Arial" w:hAnsi="Arial" w:cs="Arial"/>
          <w:i/>
          <w:iCs/>
          <w:sz w:val="24"/>
          <w:szCs w:val="24"/>
        </w:rPr>
        <w:t>ad idem</w:t>
      </w:r>
      <w:r w:rsidRPr="00683E6B">
        <w:rPr>
          <w:rFonts w:ascii="Arial" w:hAnsi="Arial" w:cs="Arial"/>
          <w:sz w:val="24"/>
          <w:szCs w:val="24"/>
        </w:rPr>
        <w:t xml:space="preserve"> that the defendant should be ordered to give the customary statutory undertaking in terms of section 17 (4) (a) of the Road Accident Fund Act for 100% of the plaintiff’s accident-related future medical, medical and related expenses.  The order that I propose to make reflects this.</w:t>
      </w:r>
    </w:p>
    <w:p w14:paraId="7D7E9350" w14:textId="6D3C1399" w:rsidR="00C72F75" w:rsidRPr="00683E6B" w:rsidRDefault="00C72F75" w:rsidP="00C72F75">
      <w:pPr>
        <w:widowControl w:val="0"/>
        <w:spacing w:before="400" w:after="0" w:line="480" w:lineRule="auto"/>
        <w:ind w:right="-23"/>
        <w:jc w:val="both"/>
        <w:rPr>
          <w:rFonts w:ascii="Arial" w:hAnsi="Arial" w:cs="Arial"/>
          <w:sz w:val="24"/>
          <w:szCs w:val="24"/>
          <w:u w:val="single"/>
        </w:rPr>
      </w:pPr>
      <w:r w:rsidRPr="00683E6B">
        <w:rPr>
          <w:rFonts w:ascii="Arial" w:hAnsi="Arial" w:cs="Arial"/>
          <w:sz w:val="24"/>
          <w:szCs w:val="24"/>
          <w:u w:val="single"/>
        </w:rPr>
        <w:t>General Damages</w:t>
      </w:r>
    </w:p>
    <w:p w14:paraId="20413A30" w14:textId="696F7356" w:rsidR="00C72F75" w:rsidRPr="00683E6B" w:rsidRDefault="00C72F75" w:rsidP="0072428D">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On the day of the trial the defendant conceded that </w:t>
      </w:r>
      <w:proofErr w:type="gramStart"/>
      <w:r w:rsidRPr="00683E6B">
        <w:rPr>
          <w:rFonts w:ascii="Arial" w:hAnsi="Arial" w:cs="Arial"/>
          <w:sz w:val="24"/>
          <w:szCs w:val="24"/>
        </w:rPr>
        <w:t>K</w:t>
      </w:r>
      <w:r w:rsidR="00063587">
        <w:rPr>
          <w:rFonts w:ascii="Arial" w:hAnsi="Arial" w:cs="Arial"/>
          <w:sz w:val="24"/>
          <w:szCs w:val="24"/>
        </w:rPr>
        <w:t>[</w:t>
      </w:r>
      <w:proofErr w:type="gramEnd"/>
      <w:r w:rsidR="00063587">
        <w:rPr>
          <w:rFonts w:ascii="Arial" w:hAnsi="Arial" w:cs="Arial"/>
          <w:sz w:val="24"/>
          <w:szCs w:val="24"/>
        </w:rPr>
        <w:t>…]</w:t>
      </w:r>
      <w:r w:rsidRPr="00683E6B">
        <w:rPr>
          <w:rFonts w:ascii="Arial" w:hAnsi="Arial" w:cs="Arial"/>
          <w:sz w:val="24"/>
          <w:szCs w:val="24"/>
        </w:rPr>
        <w:t xml:space="preserve">’s injuries were serious in the sense contemplated in section 17 of the RAF Act.  In line with its concession in relation to the </w:t>
      </w:r>
      <w:proofErr w:type="gramStart"/>
      <w:r w:rsidRPr="00683E6B">
        <w:rPr>
          <w:rFonts w:ascii="Arial" w:hAnsi="Arial" w:cs="Arial"/>
          <w:sz w:val="24"/>
          <w:szCs w:val="24"/>
        </w:rPr>
        <w:t>merits,  the</w:t>
      </w:r>
      <w:proofErr w:type="gramEnd"/>
      <w:r w:rsidRPr="00683E6B">
        <w:rPr>
          <w:rFonts w:ascii="Arial" w:hAnsi="Arial" w:cs="Arial"/>
          <w:sz w:val="24"/>
          <w:szCs w:val="24"/>
        </w:rPr>
        <w:t xml:space="preserve"> defendant accordingly conceded in writing that it was liable to the plaintiff for general damages.  </w:t>
      </w:r>
    </w:p>
    <w:p w14:paraId="0D510F6F" w14:textId="4AE048D7"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parties were unable to agree on what would constitute an appropriate quantum for such general damages. They presented me with their arguments relating to quantum, with the plaintiff contending that R1,5 million would be the appropriate measure, whilst the defendant proposed a sum almost half of that, namely R800 000.</w:t>
      </w:r>
    </w:p>
    <w:p w14:paraId="5D259080" w14:textId="0AF4D9A2"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 xml:space="preserve">As set out above, Dr Fredericks reported that </w:t>
      </w:r>
      <w:proofErr w:type="gramStart"/>
      <w:r w:rsidRPr="00683E6B">
        <w:rPr>
          <w:rFonts w:ascii="Arial" w:hAnsi="Arial" w:cs="Arial"/>
          <w:sz w:val="24"/>
          <w:szCs w:val="24"/>
        </w:rPr>
        <w:t>K</w:t>
      </w:r>
      <w:r w:rsidR="00063587">
        <w:rPr>
          <w:rFonts w:ascii="Arial" w:hAnsi="Arial" w:cs="Arial"/>
          <w:sz w:val="24"/>
          <w:szCs w:val="24"/>
        </w:rPr>
        <w:t>[</w:t>
      </w:r>
      <w:proofErr w:type="gramEnd"/>
      <w:r w:rsidR="00063587">
        <w:rPr>
          <w:rFonts w:ascii="Arial" w:hAnsi="Arial" w:cs="Arial"/>
          <w:sz w:val="24"/>
          <w:szCs w:val="24"/>
        </w:rPr>
        <w:t>…]</w:t>
      </w:r>
      <w:r w:rsidRPr="00683E6B">
        <w:rPr>
          <w:rFonts w:ascii="Arial" w:hAnsi="Arial" w:cs="Arial"/>
          <w:sz w:val="24"/>
          <w:szCs w:val="24"/>
        </w:rPr>
        <w:t xml:space="preserve"> had sustained a deep ± 7cm laceration diagonally across forehead, an extradural haemorrhage and a </w:t>
      </w:r>
      <w:proofErr w:type="spellStart"/>
      <w:r w:rsidRPr="00683E6B">
        <w:rPr>
          <w:rFonts w:ascii="Arial" w:hAnsi="Arial" w:cs="Arial"/>
          <w:sz w:val="24"/>
          <w:szCs w:val="24"/>
        </w:rPr>
        <w:t>comminuted</w:t>
      </w:r>
      <w:proofErr w:type="spellEnd"/>
      <w:r w:rsidRPr="00683E6B">
        <w:rPr>
          <w:rFonts w:ascii="Arial" w:hAnsi="Arial" w:cs="Arial"/>
          <w:sz w:val="24"/>
          <w:szCs w:val="24"/>
        </w:rPr>
        <w:t xml:space="preserve"> depressed left frontal bone fracture with intracranial displacement of some of the bone fragments and resultant mass effect on the left frontal lobe of the brain.  Dr Fredericks found that </w:t>
      </w:r>
      <w:proofErr w:type="gramStart"/>
      <w:r w:rsidRPr="00683E6B">
        <w:rPr>
          <w:rFonts w:ascii="Arial" w:hAnsi="Arial" w:cs="Arial"/>
          <w:sz w:val="24"/>
          <w:szCs w:val="24"/>
        </w:rPr>
        <w:t>K</w:t>
      </w:r>
      <w:r w:rsidR="00063587">
        <w:rPr>
          <w:rFonts w:ascii="Arial" w:hAnsi="Arial" w:cs="Arial"/>
          <w:sz w:val="24"/>
          <w:szCs w:val="24"/>
        </w:rPr>
        <w:t>[</w:t>
      </w:r>
      <w:proofErr w:type="gramEnd"/>
      <w:r w:rsidR="00063587">
        <w:rPr>
          <w:rFonts w:ascii="Arial" w:hAnsi="Arial" w:cs="Arial"/>
          <w:sz w:val="24"/>
          <w:szCs w:val="24"/>
        </w:rPr>
        <w:t>…]</w:t>
      </w:r>
      <w:r w:rsidRPr="00683E6B">
        <w:rPr>
          <w:rFonts w:ascii="Arial" w:hAnsi="Arial" w:cs="Arial"/>
          <w:sz w:val="24"/>
          <w:szCs w:val="24"/>
        </w:rPr>
        <w:t xml:space="preserve"> suffers from a whole person impairment of 32%.  He also concluded that </w:t>
      </w:r>
      <w:proofErr w:type="gramStart"/>
      <w:r w:rsidRPr="00683E6B">
        <w:rPr>
          <w:rFonts w:ascii="Arial" w:hAnsi="Arial" w:cs="Arial"/>
          <w:sz w:val="24"/>
          <w:szCs w:val="24"/>
        </w:rPr>
        <w:t>K</w:t>
      </w:r>
      <w:r w:rsidR="00063587">
        <w:rPr>
          <w:rFonts w:ascii="Arial" w:hAnsi="Arial" w:cs="Arial"/>
          <w:sz w:val="24"/>
          <w:szCs w:val="24"/>
        </w:rPr>
        <w:t>[</w:t>
      </w:r>
      <w:proofErr w:type="gramEnd"/>
      <w:r w:rsidR="00063587">
        <w:rPr>
          <w:rFonts w:ascii="Arial" w:hAnsi="Arial" w:cs="Arial"/>
          <w:sz w:val="24"/>
          <w:szCs w:val="24"/>
        </w:rPr>
        <w:t>…]</w:t>
      </w:r>
      <w:r w:rsidRPr="00683E6B">
        <w:rPr>
          <w:rFonts w:ascii="Arial" w:hAnsi="Arial" w:cs="Arial"/>
          <w:sz w:val="24"/>
          <w:szCs w:val="24"/>
        </w:rPr>
        <w:t>’s injuries have had a significant negative impact on his ability to participate normally within the occupational, domestic and social domains of his life.</w:t>
      </w:r>
    </w:p>
    <w:p w14:paraId="052572B8" w14:textId="242FD6DE"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Dr Berkowitz observed that the accident has left </w:t>
      </w:r>
      <w:proofErr w:type="gramStart"/>
      <w:r w:rsidRPr="00683E6B">
        <w:rPr>
          <w:rFonts w:ascii="Arial" w:hAnsi="Arial" w:cs="Arial"/>
          <w:sz w:val="24"/>
          <w:szCs w:val="24"/>
        </w:rPr>
        <w:t>K</w:t>
      </w:r>
      <w:r w:rsidR="00FC13BB">
        <w:rPr>
          <w:rFonts w:ascii="Arial" w:hAnsi="Arial" w:cs="Arial"/>
          <w:sz w:val="24"/>
          <w:szCs w:val="24"/>
        </w:rPr>
        <w:t>[</w:t>
      </w:r>
      <w:proofErr w:type="gramEnd"/>
      <w:r w:rsidR="00FC13BB">
        <w:rPr>
          <w:rFonts w:ascii="Arial" w:hAnsi="Arial" w:cs="Arial"/>
          <w:sz w:val="24"/>
          <w:szCs w:val="24"/>
        </w:rPr>
        <w:t>…]</w:t>
      </w:r>
      <w:r w:rsidRPr="00683E6B">
        <w:rPr>
          <w:rFonts w:ascii="Arial" w:hAnsi="Arial" w:cs="Arial"/>
          <w:sz w:val="24"/>
          <w:szCs w:val="24"/>
        </w:rPr>
        <w:t xml:space="preserve"> with a serious permanent disfiguring scar on his forehead.</w:t>
      </w:r>
    </w:p>
    <w:p w14:paraId="3D8DF5D5" w14:textId="78A81468"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The various reports of the experts set out above confirm that the accident resulted in </w:t>
      </w:r>
      <w:proofErr w:type="gramStart"/>
      <w:r w:rsidRPr="00683E6B">
        <w:rPr>
          <w:rFonts w:ascii="Arial" w:hAnsi="Arial" w:cs="Arial"/>
          <w:sz w:val="24"/>
          <w:szCs w:val="24"/>
        </w:rPr>
        <w:t>K</w:t>
      </w:r>
      <w:r w:rsidR="00FC13BB">
        <w:rPr>
          <w:rFonts w:ascii="Arial" w:hAnsi="Arial" w:cs="Arial"/>
          <w:sz w:val="24"/>
          <w:szCs w:val="24"/>
        </w:rPr>
        <w:t>[</w:t>
      </w:r>
      <w:proofErr w:type="gramEnd"/>
      <w:r w:rsidR="00FC13BB">
        <w:rPr>
          <w:rFonts w:ascii="Arial" w:hAnsi="Arial" w:cs="Arial"/>
          <w:sz w:val="24"/>
          <w:szCs w:val="24"/>
        </w:rPr>
        <w:t>…]</w:t>
      </w:r>
      <w:r w:rsidRPr="00683E6B">
        <w:rPr>
          <w:rFonts w:ascii="Arial" w:hAnsi="Arial" w:cs="Arial"/>
          <w:sz w:val="24"/>
          <w:szCs w:val="24"/>
        </w:rPr>
        <w:t xml:space="preserve"> being severely compromised as far as his scholastic and academic potential are concerned.</w:t>
      </w:r>
    </w:p>
    <w:p w14:paraId="541F35A3" w14:textId="111A24DD"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have had regard to the various judgments which 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referred me to.  I have also had regard to the SCA judgment in </w:t>
      </w:r>
      <w:r w:rsidRPr="00683E6B">
        <w:rPr>
          <w:rFonts w:ascii="Arial" w:hAnsi="Arial" w:cs="Arial"/>
          <w:i/>
          <w:iCs/>
          <w:sz w:val="24"/>
          <w:szCs w:val="24"/>
        </w:rPr>
        <w:t>NK v MEC for Health, Gauteng</w:t>
      </w:r>
      <w:r w:rsidRPr="00683E6B">
        <w:rPr>
          <w:rStyle w:val="FootnoteReference"/>
          <w:rFonts w:ascii="Arial" w:hAnsi="Arial" w:cs="Arial"/>
          <w:i/>
          <w:iCs/>
          <w:sz w:val="24"/>
          <w:szCs w:val="24"/>
        </w:rPr>
        <w:footnoteReference w:id="11"/>
      </w:r>
      <w:r w:rsidRPr="00683E6B">
        <w:rPr>
          <w:rFonts w:ascii="Arial" w:hAnsi="Arial" w:cs="Arial"/>
          <w:sz w:val="24"/>
          <w:szCs w:val="24"/>
        </w:rPr>
        <w:t xml:space="preserve"> where the following was said:</w:t>
      </w:r>
    </w:p>
    <w:p w14:paraId="323C9AC2" w14:textId="58DE6F1F" w:rsidR="00C72F75" w:rsidRPr="00683E6B" w:rsidRDefault="00C72F75" w:rsidP="00683E6B">
      <w:pPr>
        <w:pStyle w:val="ListParagraph"/>
        <w:widowControl w:val="0"/>
        <w:spacing w:before="300" w:after="0" w:line="480" w:lineRule="auto"/>
        <w:ind w:left="680" w:right="-23"/>
        <w:contextualSpacing w:val="0"/>
        <w:jc w:val="both"/>
        <w:rPr>
          <w:rFonts w:ascii="Arial" w:hAnsi="Arial" w:cs="Arial"/>
          <w:i/>
          <w:iCs/>
          <w:sz w:val="24"/>
          <w:szCs w:val="24"/>
        </w:rPr>
      </w:pPr>
      <w:r w:rsidRPr="00683E6B">
        <w:rPr>
          <w:rFonts w:ascii="Arial" w:hAnsi="Arial" w:cs="Arial"/>
          <w:i/>
          <w:iCs/>
          <w:sz w:val="24"/>
          <w:szCs w:val="24"/>
        </w:rPr>
        <w:t xml:space="preserve">[11] We endorse the following position which Rogers J held in AD &amp; another v MEC for Health and which was followed by the full court in PM obo TM v MEC for Health: ‘Money cannot compensate IDT [the minor on behalf of whom the claim had been made] for everything he has lost. It does, however, have the power to enable those caring for him to try things which may alleviate his pain and suffering and to provide him with some pleasures in substitution for those </w:t>
      </w:r>
      <w:r w:rsidRPr="00683E6B">
        <w:rPr>
          <w:rFonts w:ascii="Arial" w:hAnsi="Arial" w:cs="Arial"/>
          <w:i/>
          <w:iCs/>
          <w:sz w:val="24"/>
          <w:szCs w:val="24"/>
        </w:rPr>
        <w:lastRenderedPageBreak/>
        <w:t xml:space="preserve">which are now closed to him. These might include certain of the treatments which I have not felt able to allow as quantifiable future medical costs . . .’ </w:t>
      </w:r>
    </w:p>
    <w:p w14:paraId="624889AF" w14:textId="0141E62D" w:rsidR="00C72F75" w:rsidRPr="00683E6B" w:rsidRDefault="00C72F75" w:rsidP="00683E6B">
      <w:pPr>
        <w:pStyle w:val="ListParagraph"/>
        <w:widowControl w:val="0"/>
        <w:spacing w:before="300" w:after="0" w:line="480" w:lineRule="auto"/>
        <w:ind w:left="680" w:right="-23"/>
        <w:contextualSpacing w:val="0"/>
        <w:jc w:val="both"/>
        <w:rPr>
          <w:rFonts w:ascii="Arial" w:hAnsi="Arial" w:cs="Arial"/>
          <w:i/>
          <w:iCs/>
          <w:sz w:val="24"/>
          <w:szCs w:val="24"/>
        </w:rPr>
      </w:pPr>
      <w:r w:rsidRPr="00683E6B">
        <w:rPr>
          <w:rFonts w:ascii="Arial" w:hAnsi="Arial" w:cs="Arial"/>
          <w:i/>
          <w:iCs/>
          <w:sz w:val="24"/>
          <w:szCs w:val="24"/>
        </w:rPr>
        <w:t>[12] Compensation for pain and suffering – to the extent that one can ever ‘compensate’ for it – is neither a duplication of the amount awarded for past and future medical and hospital expenses, nor for loss of amenities of life. …</w:t>
      </w:r>
    </w:p>
    <w:p w14:paraId="4D292AEE" w14:textId="29BEE5D1" w:rsidR="00C72F75" w:rsidRPr="00683E6B" w:rsidRDefault="00C72F75" w:rsidP="00683E6B">
      <w:pPr>
        <w:pStyle w:val="ListParagraph"/>
        <w:widowControl w:val="0"/>
        <w:spacing w:before="300" w:after="0" w:line="480" w:lineRule="auto"/>
        <w:ind w:left="680" w:right="-23"/>
        <w:contextualSpacing w:val="0"/>
        <w:jc w:val="both"/>
        <w:rPr>
          <w:rFonts w:ascii="Arial" w:hAnsi="Arial" w:cs="Arial"/>
          <w:i/>
          <w:iCs/>
          <w:sz w:val="24"/>
          <w:szCs w:val="24"/>
        </w:rPr>
      </w:pPr>
      <w:r w:rsidRPr="00683E6B">
        <w:rPr>
          <w:rFonts w:ascii="Arial" w:hAnsi="Arial" w:cs="Arial"/>
          <w:i/>
          <w:iCs/>
          <w:sz w:val="24"/>
          <w:szCs w:val="24"/>
        </w:rPr>
        <w:t xml:space="preserve">[13] Counsel for the respondent submitted that this court should not, without further ado, make an award that accords with other awards made by the high court in various divisions and, especially, this court should guard against assuming that all brain injury cases deserve the same award. Of course, this court will scrutinise past awards carefully and, in each case before it, make its own independent assessment. It is trite that past awards are merely a guide and are not to be slavishly followed, but they remain a guide nevertheless.  It is also important that awards, where the sequelae of an accident are substantially similar, should be consonant with one another, across the land. Consistency, predictability and reliability are intrinsic to the rule of law. Apart from other considerations, these principles facilitate the settlement of disputes as to quantum. We have had particular regard to the cases upon which counsel for the appellant has relied and, especially AD &amp; another v MEC for Health and PM obo TM v MEC for Health, where the issues are substantially similar to those before us... </w:t>
      </w:r>
    </w:p>
    <w:p w14:paraId="451CC82B" w14:textId="6A2850ED" w:rsidR="00C72F75" w:rsidRPr="00683E6B" w:rsidRDefault="00C72F75" w:rsidP="0072428D">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Taking all the facts and circumstances of this matter into account, I am of the view that an amount of R1,25 million would be an appropriate award to compensate </w:t>
      </w:r>
      <w:proofErr w:type="gramStart"/>
      <w:r w:rsidRPr="00683E6B">
        <w:rPr>
          <w:rFonts w:ascii="Arial" w:hAnsi="Arial" w:cs="Arial"/>
          <w:sz w:val="24"/>
          <w:szCs w:val="24"/>
        </w:rPr>
        <w:t>K</w:t>
      </w:r>
      <w:r w:rsidR="001416E5">
        <w:rPr>
          <w:rFonts w:ascii="Arial" w:hAnsi="Arial" w:cs="Arial"/>
          <w:sz w:val="24"/>
          <w:szCs w:val="24"/>
        </w:rPr>
        <w:t>[</w:t>
      </w:r>
      <w:proofErr w:type="gramEnd"/>
      <w:r w:rsidR="001416E5">
        <w:rPr>
          <w:rFonts w:ascii="Arial" w:hAnsi="Arial" w:cs="Arial"/>
          <w:sz w:val="24"/>
          <w:szCs w:val="24"/>
        </w:rPr>
        <w:t>…]</w:t>
      </w:r>
      <w:r w:rsidRPr="00683E6B">
        <w:rPr>
          <w:rFonts w:ascii="Arial" w:hAnsi="Arial" w:cs="Arial"/>
          <w:sz w:val="24"/>
          <w:szCs w:val="24"/>
        </w:rPr>
        <w:t xml:space="preserve"> for his general damages sustained as a result of the accident.</w:t>
      </w:r>
    </w:p>
    <w:p w14:paraId="25E57CEA" w14:textId="77777777" w:rsidR="00C72F75" w:rsidRDefault="00C72F75">
      <w:pPr>
        <w:rPr>
          <w:rFonts w:ascii="Arial" w:hAnsi="Arial" w:cs="Arial"/>
          <w:sz w:val="24"/>
          <w:szCs w:val="24"/>
          <w:u w:val="single"/>
        </w:rPr>
      </w:pPr>
      <w:r>
        <w:rPr>
          <w:rFonts w:ascii="Arial" w:hAnsi="Arial" w:cs="Arial"/>
          <w:sz w:val="24"/>
          <w:szCs w:val="24"/>
          <w:u w:val="single"/>
        </w:rPr>
        <w:br w:type="page"/>
      </w:r>
    </w:p>
    <w:p w14:paraId="1D4590F6" w14:textId="7C1DFFA6" w:rsidR="00C72F75" w:rsidRPr="00683E6B" w:rsidRDefault="00C72F75" w:rsidP="00683E6B">
      <w:pPr>
        <w:widowControl w:val="0"/>
        <w:spacing w:before="300" w:after="0" w:line="480" w:lineRule="auto"/>
        <w:ind w:right="-23"/>
        <w:jc w:val="both"/>
        <w:rPr>
          <w:rFonts w:ascii="Arial" w:hAnsi="Arial" w:cs="Arial"/>
          <w:sz w:val="24"/>
          <w:szCs w:val="24"/>
          <w:u w:val="single"/>
        </w:rPr>
      </w:pPr>
      <w:r w:rsidRPr="00683E6B">
        <w:rPr>
          <w:rFonts w:ascii="Arial" w:hAnsi="Arial" w:cs="Arial"/>
          <w:sz w:val="24"/>
          <w:szCs w:val="24"/>
          <w:u w:val="single"/>
        </w:rPr>
        <w:lastRenderedPageBreak/>
        <w:t>Loss of Earning Capacity</w:t>
      </w:r>
      <w:r w:rsidRPr="00683E6B">
        <w:rPr>
          <w:rStyle w:val="FootnoteReference"/>
          <w:rFonts w:ascii="Arial" w:hAnsi="Arial" w:cs="Arial"/>
          <w:sz w:val="24"/>
          <w:szCs w:val="24"/>
          <w:u w:val="single"/>
        </w:rPr>
        <w:footnoteReference w:id="12"/>
      </w:r>
    </w:p>
    <w:p w14:paraId="13C35BA2" w14:textId="43F2592A" w:rsidR="00C72F75" w:rsidRPr="00683E6B" w:rsidRDefault="00C72F75" w:rsidP="00CA414E">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Given </w:t>
      </w:r>
      <w:proofErr w:type="gramStart"/>
      <w:r w:rsidRPr="00683E6B">
        <w:rPr>
          <w:rFonts w:ascii="Arial" w:hAnsi="Arial" w:cs="Arial"/>
          <w:sz w:val="24"/>
          <w:szCs w:val="24"/>
        </w:rPr>
        <w:t>K</w:t>
      </w:r>
      <w:r w:rsidR="00265226">
        <w:rPr>
          <w:rFonts w:ascii="Arial" w:hAnsi="Arial" w:cs="Arial"/>
          <w:sz w:val="24"/>
          <w:szCs w:val="24"/>
        </w:rPr>
        <w:t>[</w:t>
      </w:r>
      <w:proofErr w:type="gramEnd"/>
      <w:r w:rsidR="00265226">
        <w:rPr>
          <w:rFonts w:ascii="Arial" w:hAnsi="Arial" w:cs="Arial"/>
          <w:sz w:val="24"/>
          <w:szCs w:val="24"/>
        </w:rPr>
        <w:t>…]</w:t>
      </w:r>
      <w:r w:rsidRPr="00683E6B">
        <w:rPr>
          <w:rFonts w:ascii="Arial" w:hAnsi="Arial" w:cs="Arial"/>
          <w:sz w:val="24"/>
          <w:szCs w:val="24"/>
        </w:rPr>
        <w:t>’s age, there is understandably no claim for past loss of earnings.</w:t>
      </w:r>
    </w:p>
    <w:p w14:paraId="3283B7EC" w14:textId="6432F9CD" w:rsidR="00C72F75"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have already stated that </w:t>
      </w:r>
      <w:proofErr w:type="gramStart"/>
      <w:r w:rsidRPr="00683E6B">
        <w:rPr>
          <w:rFonts w:ascii="Arial" w:hAnsi="Arial" w:cs="Arial"/>
          <w:sz w:val="24"/>
          <w:szCs w:val="24"/>
        </w:rPr>
        <w:t>K</w:t>
      </w:r>
      <w:r w:rsidR="00163C3A">
        <w:rPr>
          <w:rFonts w:ascii="Arial" w:hAnsi="Arial" w:cs="Arial"/>
          <w:sz w:val="24"/>
          <w:szCs w:val="24"/>
        </w:rPr>
        <w:t>[</w:t>
      </w:r>
      <w:proofErr w:type="gramEnd"/>
      <w:r w:rsidR="00163C3A">
        <w:rPr>
          <w:rFonts w:ascii="Arial" w:hAnsi="Arial" w:cs="Arial"/>
          <w:sz w:val="24"/>
          <w:szCs w:val="24"/>
        </w:rPr>
        <w:t>…]</w:t>
      </w:r>
      <w:r w:rsidRPr="00683E6B">
        <w:rPr>
          <w:rFonts w:ascii="Arial" w:hAnsi="Arial" w:cs="Arial"/>
          <w:sz w:val="24"/>
          <w:szCs w:val="24"/>
        </w:rPr>
        <w:t xml:space="preserve"> sustained life-changing injuries which have rendered him potentially unemployable in the open market and have expressed my doubts that K</w:t>
      </w:r>
      <w:r w:rsidR="00163C3A">
        <w:rPr>
          <w:rFonts w:ascii="Arial" w:hAnsi="Arial" w:cs="Arial"/>
          <w:sz w:val="24"/>
          <w:szCs w:val="24"/>
        </w:rPr>
        <w:t>[…]</w:t>
      </w:r>
      <w:r w:rsidRPr="00683E6B">
        <w:rPr>
          <w:rFonts w:ascii="Arial" w:hAnsi="Arial" w:cs="Arial"/>
          <w:sz w:val="24"/>
          <w:szCs w:val="24"/>
        </w:rPr>
        <w:t xml:space="preserve"> will be completely unemployable (whether in the open market or otherwise).  Ms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postulated </w:t>
      </w:r>
      <w:proofErr w:type="gramStart"/>
      <w:r w:rsidRPr="00683E6B">
        <w:rPr>
          <w:rFonts w:ascii="Arial" w:hAnsi="Arial" w:cs="Arial"/>
          <w:sz w:val="24"/>
          <w:szCs w:val="24"/>
        </w:rPr>
        <w:t>K</w:t>
      </w:r>
      <w:r w:rsidR="00163C3A">
        <w:rPr>
          <w:rFonts w:ascii="Arial" w:hAnsi="Arial" w:cs="Arial"/>
          <w:sz w:val="24"/>
          <w:szCs w:val="24"/>
        </w:rPr>
        <w:t>[</w:t>
      </w:r>
      <w:proofErr w:type="gramEnd"/>
      <w:r w:rsidR="00163C3A">
        <w:rPr>
          <w:rFonts w:ascii="Arial" w:hAnsi="Arial" w:cs="Arial"/>
          <w:sz w:val="24"/>
          <w:szCs w:val="24"/>
        </w:rPr>
        <w:t>…]</w:t>
      </w:r>
      <w:r w:rsidRPr="00683E6B">
        <w:rPr>
          <w:rFonts w:ascii="Arial" w:hAnsi="Arial" w:cs="Arial"/>
          <w:sz w:val="24"/>
          <w:szCs w:val="24"/>
        </w:rPr>
        <w:t xml:space="preserve">’s earnings, but for the accident, to be R6 946 215.00, excluding contingencies.  The actuary, Mr </w:t>
      </w:r>
      <w:proofErr w:type="spellStart"/>
      <w:r w:rsidRPr="00683E6B">
        <w:rPr>
          <w:rFonts w:ascii="Arial" w:hAnsi="Arial" w:cs="Arial"/>
          <w:sz w:val="24"/>
          <w:szCs w:val="24"/>
        </w:rPr>
        <w:t>Strydom</w:t>
      </w:r>
      <w:proofErr w:type="spellEnd"/>
      <w:r w:rsidRPr="00683E6B">
        <w:rPr>
          <w:rFonts w:ascii="Arial" w:hAnsi="Arial" w:cs="Arial"/>
          <w:sz w:val="24"/>
          <w:szCs w:val="24"/>
        </w:rPr>
        <w:t>, accepted this postulation for the purposes of his calculations.</w:t>
      </w:r>
    </w:p>
    <w:p w14:paraId="7EDBF359" w14:textId="44BDEEE9" w:rsidR="00C72F75"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plaintiff submitted that 25% would be an appropriate percentage for contingencies.  The defendant contends for the significantly higher figure of 50%.</w:t>
      </w:r>
    </w:p>
    <w:p w14:paraId="59C4C13E" w14:textId="566778B8" w:rsidR="00C72F75"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In order to succeed in a claim for loss of earning capacity, the plaintiff must prove that he or she suffered physical disabilities which resulted in the loss of learning capacity, and also, that he or she suffered actual patrimonial loss. </w:t>
      </w:r>
      <w:r w:rsidRPr="00683E6B">
        <w:rPr>
          <w:rFonts w:ascii="Arial" w:hAnsi="Arial" w:cs="Arial"/>
          <w:i/>
          <w:iCs/>
          <w:sz w:val="24"/>
          <w:szCs w:val="24"/>
        </w:rPr>
        <w:t>Rudman v Road Accident Fund</w:t>
      </w:r>
      <w:r w:rsidRPr="00683E6B">
        <w:rPr>
          <w:rFonts w:ascii="Arial" w:hAnsi="Arial" w:cs="Arial"/>
          <w:sz w:val="24"/>
          <w:szCs w:val="24"/>
        </w:rPr>
        <w:t xml:space="preserve"> 2003(SA 234) (SCA).</w:t>
      </w:r>
    </w:p>
    <w:p w14:paraId="38C0E3D7" w14:textId="7F2E59F3" w:rsidR="00C72F75"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In making lump sum awards, the courts make allowances for future contingencies.  The general principles applicable to claims for the loss of earning capacity and the determination of appropriate contingency allowances bear repeating.</w:t>
      </w:r>
    </w:p>
    <w:p w14:paraId="05283227" w14:textId="1A3E512A" w:rsidR="00C72F75"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In one of the seminal cases dealing with claims for loss of earnings, Nicholas JA in </w:t>
      </w:r>
      <w:r w:rsidRPr="00683E6B">
        <w:rPr>
          <w:rFonts w:ascii="Arial" w:hAnsi="Arial" w:cs="Arial"/>
          <w:i/>
          <w:iCs/>
          <w:sz w:val="24"/>
          <w:szCs w:val="24"/>
        </w:rPr>
        <w:t>Southern Insurance Association Ltd v Bailey NO</w:t>
      </w:r>
      <w:r w:rsidRPr="00683E6B">
        <w:rPr>
          <w:rFonts w:ascii="Arial" w:hAnsi="Arial" w:cs="Arial"/>
          <w:sz w:val="24"/>
          <w:szCs w:val="24"/>
        </w:rPr>
        <w:t xml:space="preserve"> explained as follows</w:t>
      </w:r>
      <w:r w:rsidRPr="00683E6B">
        <w:rPr>
          <w:rStyle w:val="FootnoteReference"/>
          <w:rFonts w:ascii="Arial" w:hAnsi="Arial" w:cs="Arial"/>
          <w:sz w:val="24"/>
          <w:szCs w:val="24"/>
        </w:rPr>
        <w:footnoteReference w:id="13"/>
      </w:r>
      <w:r w:rsidRPr="00683E6B">
        <w:rPr>
          <w:rFonts w:ascii="Arial" w:hAnsi="Arial" w:cs="Arial"/>
          <w:sz w:val="24"/>
          <w:szCs w:val="24"/>
        </w:rPr>
        <w:t xml:space="preserve">:  </w:t>
      </w:r>
    </w:p>
    <w:p w14:paraId="7218C2E7" w14:textId="011CD0CC"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lastRenderedPageBreak/>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p>
    <w:p w14:paraId="3AFA15B9" w14:textId="77777777"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t>It has open to it two possible approaches.</w:t>
      </w:r>
    </w:p>
    <w:p w14:paraId="27203326" w14:textId="4AA0E216"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t>One is for the Judge to make a round estimate of an amount which seems to him to be fair and reasonable. That is entirely a matter of guesswork, a blind plunge into the unknown.</w:t>
      </w:r>
    </w:p>
    <w:p w14:paraId="19570396" w14:textId="361B8A3F"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w:t>
      </w:r>
    </w:p>
    <w:p w14:paraId="7D84DB8F" w14:textId="75B65EED"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t>In a case where the Court has before it material on which an actuarial calculation can usefully be made, I do not think that the first approach offers any advantage over the second. On the contrary, while the result of an actuarial computation may be no more than an "informed guess", it has the advantage of an attempt to ascertain the value of what was lost on a logical basis; whereas the trial Judge's "gut feeling" (to use the words of appellant's counsel) as to what is fair and reasonable is nothing more than a blind guess. …</w:t>
      </w:r>
    </w:p>
    <w:p w14:paraId="6CE80B50" w14:textId="77777777" w:rsidR="00C72F75" w:rsidRPr="00683E6B" w:rsidRDefault="00C72F75" w:rsidP="00376A21">
      <w:pPr>
        <w:pStyle w:val="lrpara"/>
        <w:widowControl w:val="0"/>
        <w:shd w:val="clear" w:color="auto" w:fill="FFFFFF"/>
        <w:tabs>
          <w:tab w:val="left" w:pos="709"/>
        </w:tabs>
        <w:spacing w:before="300" w:beforeAutospacing="0" w:after="0" w:afterAutospacing="0" w:line="480" w:lineRule="auto"/>
        <w:ind w:left="567" w:right="544"/>
        <w:jc w:val="both"/>
        <w:rPr>
          <w:rFonts w:ascii="Arial" w:hAnsi="Arial" w:cs="Arial"/>
          <w:i/>
          <w:iCs/>
        </w:rPr>
      </w:pPr>
      <w:r w:rsidRPr="00683E6B">
        <w:rPr>
          <w:rFonts w:ascii="Arial" w:hAnsi="Arial" w:cs="Arial"/>
          <w:i/>
          <w:iCs/>
        </w:rPr>
        <w:t xml:space="preserve">It is true that, in the case of a young child, the assessment of damages for </w:t>
      </w:r>
      <w:r w:rsidRPr="00683E6B">
        <w:rPr>
          <w:rFonts w:ascii="Arial" w:hAnsi="Arial" w:cs="Arial"/>
          <w:i/>
          <w:iCs/>
        </w:rPr>
        <w:lastRenderedPageBreak/>
        <w:t xml:space="preserve">loss of earnings is speculative in the extreme. </w:t>
      </w:r>
      <w:proofErr w:type="gramStart"/>
      <w:r w:rsidRPr="00683E6B">
        <w:rPr>
          <w:rFonts w:ascii="Arial" w:hAnsi="Arial" w:cs="Arial"/>
          <w:i/>
          <w:iCs/>
        </w:rPr>
        <w:t>Nevertheless</w:t>
      </w:r>
      <w:proofErr w:type="gramEnd"/>
      <w:r w:rsidRPr="00683E6B">
        <w:rPr>
          <w:rFonts w:ascii="Arial" w:hAnsi="Arial" w:cs="Arial"/>
          <w:i/>
          <w:iCs/>
        </w:rPr>
        <w:t xml:space="preserve"> I do not think that even in such a case it is wrong in principle to make an assessment on the basis of actuarial calculations.</w:t>
      </w:r>
    </w:p>
    <w:p w14:paraId="2711FA4F" w14:textId="3BA24006" w:rsidR="00C72F75" w:rsidRPr="00683E6B" w:rsidRDefault="00C72F75" w:rsidP="00CA414E">
      <w:pPr>
        <w:pStyle w:val="NormalWeb"/>
        <w:widowControl w:val="0"/>
        <w:numPr>
          <w:ilvl w:val="0"/>
          <w:numId w:val="1"/>
        </w:numPr>
        <w:shd w:val="clear" w:color="auto" w:fill="FFFFFF"/>
        <w:tabs>
          <w:tab w:val="left" w:pos="709"/>
        </w:tabs>
        <w:spacing w:before="300" w:beforeAutospacing="0" w:after="0" w:afterAutospacing="0" w:line="480" w:lineRule="auto"/>
        <w:ind w:left="0" w:firstLine="0"/>
        <w:jc w:val="both"/>
        <w:rPr>
          <w:rFonts w:ascii="Arial" w:hAnsi="Arial" w:cs="Arial"/>
          <w:lang w:val="en-ZA"/>
        </w:rPr>
      </w:pPr>
      <w:r w:rsidRPr="00683E6B">
        <w:rPr>
          <w:rFonts w:ascii="Arial" w:hAnsi="Arial" w:cs="Arial"/>
          <w:lang w:val="en-ZA"/>
        </w:rPr>
        <w:t>Contingency deductions allow for the possibility that the plaintiff may have less than normal expectations of life and that he may experience periods of unemployment by reason of incapacity due to illness, accident or labour unrest or even general economic conditions</w:t>
      </w:r>
      <w:r w:rsidRPr="00683E6B">
        <w:rPr>
          <w:rStyle w:val="FootnoteReference"/>
          <w:rFonts w:ascii="Arial" w:hAnsi="Arial" w:cs="Arial"/>
          <w:lang w:val="en-ZA"/>
        </w:rPr>
        <w:footnoteReference w:id="14"/>
      </w:r>
      <w:r w:rsidRPr="00683E6B">
        <w:rPr>
          <w:rFonts w:ascii="Arial" w:hAnsi="Arial" w:cs="Arial"/>
          <w:lang w:val="en-ZA"/>
        </w:rPr>
        <w:t>.</w:t>
      </w:r>
    </w:p>
    <w:p w14:paraId="26524707" w14:textId="356EB195" w:rsidR="00C72F75" w:rsidRPr="00683E6B" w:rsidRDefault="00C72F75" w:rsidP="00CA414E">
      <w:pPr>
        <w:pStyle w:val="NormalWeb"/>
        <w:widowControl w:val="0"/>
        <w:numPr>
          <w:ilvl w:val="0"/>
          <w:numId w:val="1"/>
        </w:numPr>
        <w:shd w:val="clear" w:color="auto" w:fill="FFFFFF"/>
        <w:tabs>
          <w:tab w:val="left" w:pos="709"/>
        </w:tabs>
        <w:spacing w:before="300" w:beforeAutospacing="0" w:after="0" w:afterAutospacing="0" w:line="480" w:lineRule="auto"/>
        <w:ind w:left="0" w:firstLine="0"/>
        <w:jc w:val="both"/>
        <w:rPr>
          <w:rFonts w:ascii="Arial" w:hAnsi="Arial" w:cs="Arial"/>
          <w:lang w:val="en-ZA"/>
        </w:rPr>
      </w:pPr>
      <w:r w:rsidRPr="00683E6B">
        <w:rPr>
          <w:rFonts w:ascii="Arial" w:hAnsi="Arial" w:cs="Arial"/>
          <w:lang w:val="en-ZA"/>
        </w:rPr>
        <w:t xml:space="preserve">Both favourable and adverse contingencies must be taken into account.  In </w:t>
      </w:r>
      <w:r w:rsidRPr="00683E6B">
        <w:rPr>
          <w:rFonts w:ascii="Arial" w:hAnsi="Arial" w:cs="Arial"/>
          <w:i/>
          <w:iCs/>
          <w:lang w:val="en-ZA"/>
        </w:rPr>
        <w:t>Southern Insurance Association Ltd v Bailey NO</w:t>
      </w:r>
      <w:r w:rsidRPr="00683E6B">
        <w:rPr>
          <w:rStyle w:val="FootnoteReference"/>
          <w:rFonts w:ascii="Arial" w:hAnsi="Arial" w:cs="Arial"/>
          <w:lang w:val="en-ZA"/>
        </w:rPr>
        <w:footnoteReference w:id="15"/>
      </w:r>
      <w:r w:rsidRPr="00683E6B">
        <w:rPr>
          <w:rFonts w:ascii="Arial" w:hAnsi="Arial" w:cs="Arial"/>
          <w:lang w:val="en-ZA"/>
        </w:rPr>
        <w:t xml:space="preserve"> Nicholas JA approved the following statement, </w:t>
      </w:r>
      <w:proofErr w:type="spellStart"/>
      <w:r w:rsidRPr="00683E6B">
        <w:rPr>
          <w:rFonts w:ascii="Arial" w:hAnsi="Arial" w:cs="Arial"/>
          <w:lang w:val="en-ZA"/>
        </w:rPr>
        <w:t>Windeyer</w:t>
      </w:r>
      <w:proofErr w:type="spellEnd"/>
      <w:r w:rsidRPr="00683E6B">
        <w:rPr>
          <w:rFonts w:ascii="Arial" w:hAnsi="Arial" w:cs="Arial"/>
          <w:lang w:val="en-ZA"/>
        </w:rPr>
        <w:t xml:space="preserve"> J in the Australian case of </w:t>
      </w:r>
      <w:proofErr w:type="spellStart"/>
      <w:r w:rsidRPr="00683E6B">
        <w:rPr>
          <w:rFonts w:ascii="Arial" w:hAnsi="Arial" w:cs="Arial"/>
          <w:i/>
          <w:iCs/>
          <w:lang w:val="en-ZA"/>
        </w:rPr>
        <w:t>Bresatz</w:t>
      </w:r>
      <w:proofErr w:type="spellEnd"/>
      <w:r w:rsidRPr="00683E6B">
        <w:rPr>
          <w:rFonts w:ascii="Arial" w:hAnsi="Arial" w:cs="Arial"/>
          <w:i/>
          <w:iCs/>
          <w:lang w:val="en-ZA"/>
        </w:rPr>
        <w:t xml:space="preserve"> v </w:t>
      </w:r>
      <w:proofErr w:type="spellStart"/>
      <w:r w:rsidRPr="00683E6B">
        <w:rPr>
          <w:rFonts w:ascii="Arial" w:hAnsi="Arial" w:cs="Arial"/>
          <w:i/>
          <w:iCs/>
          <w:lang w:val="en-ZA"/>
        </w:rPr>
        <w:t>Przibilla</w:t>
      </w:r>
      <w:proofErr w:type="spellEnd"/>
      <w:r w:rsidRPr="00683E6B">
        <w:rPr>
          <w:rStyle w:val="FootnoteReference"/>
          <w:rFonts w:ascii="Arial" w:hAnsi="Arial" w:cs="Arial"/>
          <w:lang w:val="en-ZA"/>
        </w:rPr>
        <w:footnoteReference w:id="16"/>
      </w:r>
      <w:r w:rsidRPr="00683E6B">
        <w:rPr>
          <w:rFonts w:ascii="Arial" w:hAnsi="Arial" w:cs="Arial"/>
          <w:lang w:val="en-ZA"/>
        </w:rPr>
        <w:t>:</w:t>
      </w:r>
    </w:p>
    <w:p w14:paraId="0578BAEC" w14:textId="4968C1FE" w:rsidR="00C72F75" w:rsidRPr="00683E6B" w:rsidRDefault="00C72F75" w:rsidP="00376A21">
      <w:pPr>
        <w:pStyle w:val="NormalWeb"/>
        <w:widowControl w:val="0"/>
        <w:shd w:val="clear" w:color="auto" w:fill="FFFFFF"/>
        <w:tabs>
          <w:tab w:val="left" w:pos="709"/>
        </w:tabs>
        <w:spacing w:before="300" w:beforeAutospacing="0" w:after="0" w:afterAutospacing="0" w:line="480" w:lineRule="auto"/>
        <w:ind w:left="567" w:right="544"/>
        <w:jc w:val="both"/>
        <w:rPr>
          <w:rFonts w:ascii="Arial" w:hAnsi="Arial" w:cs="Arial"/>
          <w:i/>
          <w:iCs/>
          <w:lang w:val="en-ZA"/>
        </w:rPr>
      </w:pPr>
      <w:r w:rsidRPr="00683E6B">
        <w:rPr>
          <w:rFonts w:ascii="Arial" w:hAnsi="Arial" w:cs="Arial"/>
          <w:i/>
          <w:iCs/>
          <w:lang w:val="en-ZA"/>
        </w:rPr>
        <w:t>“It is a mistake to suppose that it necessarily involves a 'scaling down'. What it involves depends, not on arithmetic, but on considering what the future may have held for the particular individual concerned... (The) generalisation that there must be a 'scaling down' for contingencies seems mistaken. All 'contingencies' are not adverse: All 'vicissitudes' are not harmful. A particular plaintiff might have had prospects or chances of advancement and increasingly remunerative employment. Why count the possible buffets and ignore the rewards of fortune? Each case depends upon its own facts. In some it may seem that the chance of good fortune might have balanced or even outweighed the risk of bad.”</w:t>
      </w:r>
    </w:p>
    <w:p w14:paraId="0D71523E" w14:textId="531429CD" w:rsidR="00C72F75" w:rsidRPr="00683E6B" w:rsidRDefault="00C72F75" w:rsidP="00CA414E">
      <w:pPr>
        <w:pStyle w:val="ListParagraph"/>
        <w:widowControl w:val="0"/>
        <w:numPr>
          <w:ilvl w:val="0"/>
          <w:numId w:val="1"/>
        </w:numPr>
        <w:tabs>
          <w:tab w:val="left" w:pos="709"/>
        </w:tabs>
        <w:spacing w:before="300" w:after="0" w:line="480" w:lineRule="auto"/>
        <w:ind w:left="0" w:firstLine="0"/>
        <w:contextualSpacing w:val="0"/>
        <w:jc w:val="both"/>
        <w:outlineLvl w:val="1"/>
        <w:rPr>
          <w:rFonts w:ascii="Arial" w:hAnsi="Arial" w:cs="Arial"/>
          <w:sz w:val="24"/>
          <w:szCs w:val="24"/>
        </w:rPr>
      </w:pPr>
      <w:r w:rsidRPr="00683E6B">
        <w:rPr>
          <w:rFonts w:ascii="Arial" w:hAnsi="Arial" w:cs="Arial"/>
          <w:sz w:val="24"/>
          <w:szCs w:val="24"/>
        </w:rPr>
        <w:lastRenderedPageBreak/>
        <w:t>The longer the period over which unforeseen contingencies could play a role in the assessment of what the probable income of the plaintiff would have been, the higher the contingencies that have to be applied.</w:t>
      </w:r>
      <w:r w:rsidRPr="00683E6B">
        <w:rPr>
          <w:rStyle w:val="FootnoteReference"/>
          <w:rFonts w:ascii="Arial" w:hAnsi="Arial" w:cs="Arial"/>
          <w:sz w:val="24"/>
          <w:szCs w:val="24"/>
        </w:rPr>
        <w:footnoteReference w:id="17"/>
      </w:r>
      <w:r w:rsidRPr="00683E6B">
        <w:rPr>
          <w:rFonts w:ascii="Arial" w:hAnsi="Arial" w:cs="Arial"/>
          <w:sz w:val="24"/>
          <w:szCs w:val="24"/>
        </w:rPr>
        <w:t>.</w:t>
      </w:r>
    </w:p>
    <w:p w14:paraId="51F04527" w14:textId="407C6A24" w:rsidR="00B007B6" w:rsidRPr="00683E6B" w:rsidRDefault="00C72F7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In the oft-cited case of </w:t>
      </w:r>
      <w:r w:rsidRPr="00683E6B">
        <w:rPr>
          <w:rFonts w:ascii="Arial" w:hAnsi="Arial" w:cs="Arial"/>
          <w:i/>
          <w:iCs/>
          <w:sz w:val="24"/>
          <w:szCs w:val="24"/>
        </w:rPr>
        <w:t xml:space="preserve">Road Accident Fund v </w:t>
      </w:r>
      <w:proofErr w:type="spellStart"/>
      <w:r w:rsidRPr="00683E6B">
        <w:rPr>
          <w:rFonts w:ascii="Arial" w:hAnsi="Arial" w:cs="Arial"/>
          <w:i/>
          <w:iCs/>
          <w:sz w:val="24"/>
          <w:szCs w:val="24"/>
        </w:rPr>
        <w:t>Guedes</w:t>
      </w:r>
      <w:proofErr w:type="spellEnd"/>
      <w:r w:rsidRPr="00683E6B">
        <w:rPr>
          <w:rStyle w:val="FootnoteReference"/>
          <w:rFonts w:ascii="Arial" w:hAnsi="Arial" w:cs="Arial"/>
          <w:sz w:val="24"/>
          <w:szCs w:val="24"/>
        </w:rPr>
        <w:footnoteReference w:id="18"/>
      </w:r>
      <w:r w:rsidRPr="00683E6B">
        <w:rPr>
          <w:rFonts w:ascii="Arial" w:hAnsi="Arial" w:cs="Arial"/>
          <w:sz w:val="24"/>
          <w:szCs w:val="24"/>
        </w:rPr>
        <w:t xml:space="preserve">, </w:t>
      </w:r>
      <w:proofErr w:type="spellStart"/>
      <w:r w:rsidRPr="00683E6B">
        <w:rPr>
          <w:rFonts w:ascii="Arial" w:hAnsi="Arial" w:cs="Arial"/>
          <w:sz w:val="24"/>
          <w:szCs w:val="24"/>
        </w:rPr>
        <w:t>Zulman</w:t>
      </w:r>
      <w:proofErr w:type="spellEnd"/>
      <w:r w:rsidRPr="00683E6B">
        <w:rPr>
          <w:rFonts w:ascii="Arial" w:hAnsi="Arial" w:cs="Arial"/>
          <w:sz w:val="24"/>
          <w:szCs w:val="24"/>
        </w:rPr>
        <w:t xml:space="preserve"> JA, after setting out the general principles in relation to the assessment of appropriate contingencies, approved and applied the basic guideline proposed by Robert J Koch, in his work The Quantum Yearbook, 2004, at page 106 (which has subsequently been updated by various further editions), namely a sliding scale: 0,5% per year to retirement age.  This translates to 25% for a child, 20% for a youth and 10% for a middle aged adult.  This basic guideline scale has stood the test of time.  It is however important to bear in mind that this approach is at the end of the day only a guideline, because the assessment of applicable contingencies, is by its very nature, a process of subjective impression or estimation rather than objective calculation</w:t>
      </w:r>
      <w:r w:rsidRPr="00683E6B">
        <w:rPr>
          <w:rStyle w:val="FootnoteReference"/>
          <w:rFonts w:ascii="Arial" w:hAnsi="Arial" w:cs="Arial"/>
          <w:i/>
          <w:iCs/>
          <w:sz w:val="24"/>
          <w:szCs w:val="24"/>
        </w:rPr>
        <w:footnoteReference w:id="19"/>
      </w:r>
      <w:r w:rsidRPr="00683E6B">
        <w:rPr>
          <w:rFonts w:ascii="Arial" w:hAnsi="Arial" w:cs="Arial"/>
          <w:sz w:val="24"/>
          <w:szCs w:val="24"/>
        </w:rPr>
        <w:t>.</w:t>
      </w:r>
    </w:p>
    <w:p w14:paraId="3912A7C0" w14:textId="5AB842BC" w:rsidR="001D5723" w:rsidRPr="00683E6B" w:rsidRDefault="008C1E99"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This then brings me to the assessment of contingencies to be applied to the present matter.  </w:t>
      </w:r>
      <w:r w:rsidR="008760EB" w:rsidRPr="00683E6B">
        <w:rPr>
          <w:rFonts w:ascii="Arial" w:hAnsi="Arial" w:cs="Arial"/>
          <w:sz w:val="24"/>
          <w:szCs w:val="24"/>
        </w:rPr>
        <w:t xml:space="preserve">Ms </w:t>
      </w:r>
      <w:proofErr w:type="spellStart"/>
      <w:r w:rsidR="008760EB" w:rsidRPr="00683E6B">
        <w:rPr>
          <w:rFonts w:ascii="Arial" w:hAnsi="Arial" w:cs="Arial"/>
          <w:sz w:val="24"/>
          <w:szCs w:val="24"/>
        </w:rPr>
        <w:t>Rossouw</w:t>
      </w:r>
      <w:proofErr w:type="spellEnd"/>
      <w:r w:rsidR="008760EB" w:rsidRPr="00683E6B">
        <w:rPr>
          <w:rFonts w:ascii="Arial" w:hAnsi="Arial" w:cs="Arial"/>
          <w:sz w:val="24"/>
          <w:szCs w:val="24"/>
        </w:rPr>
        <w:t xml:space="preserve"> does express the view that </w:t>
      </w:r>
      <w:proofErr w:type="gramStart"/>
      <w:r w:rsidR="008760EB" w:rsidRPr="00683E6B">
        <w:rPr>
          <w:rFonts w:ascii="Arial" w:hAnsi="Arial" w:cs="Arial"/>
          <w:sz w:val="24"/>
          <w:szCs w:val="24"/>
        </w:rPr>
        <w:t>K</w:t>
      </w:r>
      <w:r w:rsidR="000D2E2E">
        <w:rPr>
          <w:rFonts w:ascii="Arial" w:hAnsi="Arial" w:cs="Arial"/>
          <w:sz w:val="24"/>
          <w:szCs w:val="24"/>
        </w:rPr>
        <w:t>[</w:t>
      </w:r>
      <w:proofErr w:type="gramEnd"/>
      <w:r w:rsidR="000D2E2E">
        <w:rPr>
          <w:rFonts w:ascii="Arial" w:hAnsi="Arial" w:cs="Arial"/>
          <w:sz w:val="24"/>
          <w:szCs w:val="24"/>
        </w:rPr>
        <w:t>…]</w:t>
      </w:r>
      <w:r w:rsidR="008760EB" w:rsidRPr="00683E6B">
        <w:rPr>
          <w:rFonts w:ascii="Arial" w:hAnsi="Arial" w:cs="Arial"/>
          <w:sz w:val="24"/>
          <w:szCs w:val="24"/>
        </w:rPr>
        <w:t xml:space="preserve"> may be employed in a sympathetic or sheltered employment environment.  The possibility of </w:t>
      </w:r>
      <w:proofErr w:type="gramStart"/>
      <w:r w:rsidR="008F6653" w:rsidRPr="00683E6B">
        <w:rPr>
          <w:rFonts w:ascii="Arial" w:hAnsi="Arial" w:cs="Arial"/>
          <w:sz w:val="24"/>
          <w:szCs w:val="24"/>
        </w:rPr>
        <w:t>K</w:t>
      </w:r>
      <w:r w:rsidR="000D2E2E">
        <w:rPr>
          <w:rFonts w:ascii="Arial" w:hAnsi="Arial" w:cs="Arial"/>
          <w:sz w:val="24"/>
          <w:szCs w:val="24"/>
        </w:rPr>
        <w:t>[</w:t>
      </w:r>
      <w:proofErr w:type="gramEnd"/>
      <w:r w:rsidR="000D2E2E">
        <w:rPr>
          <w:rFonts w:ascii="Arial" w:hAnsi="Arial" w:cs="Arial"/>
          <w:sz w:val="24"/>
          <w:szCs w:val="24"/>
        </w:rPr>
        <w:t>…]</w:t>
      </w:r>
      <w:r w:rsidR="008F6653" w:rsidRPr="00683E6B">
        <w:rPr>
          <w:rFonts w:ascii="Arial" w:hAnsi="Arial" w:cs="Arial"/>
          <w:sz w:val="24"/>
          <w:szCs w:val="24"/>
        </w:rPr>
        <w:t xml:space="preserve"> being gainfully </w:t>
      </w:r>
      <w:r w:rsidR="008760EB" w:rsidRPr="00683E6B">
        <w:rPr>
          <w:rFonts w:ascii="Arial" w:hAnsi="Arial" w:cs="Arial"/>
          <w:sz w:val="24"/>
          <w:szCs w:val="24"/>
        </w:rPr>
        <w:t xml:space="preserve">employment has not been taken into account by Ms </w:t>
      </w:r>
      <w:proofErr w:type="spellStart"/>
      <w:r w:rsidR="008760EB" w:rsidRPr="00683E6B">
        <w:rPr>
          <w:rFonts w:ascii="Arial" w:hAnsi="Arial" w:cs="Arial"/>
          <w:sz w:val="24"/>
          <w:szCs w:val="24"/>
        </w:rPr>
        <w:t>Rossouw</w:t>
      </w:r>
      <w:proofErr w:type="spellEnd"/>
      <w:r w:rsidR="008760EB" w:rsidRPr="00683E6B">
        <w:rPr>
          <w:rFonts w:ascii="Arial" w:hAnsi="Arial" w:cs="Arial"/>
          <w:sz w:val="24"/>
          <w:szCs w:val="24"/>
        </w:rPr>
        <w:t xml:space="preserve"> or Mr </w:t>
      </w:r>
      <w:proofErr w:type="spellStart"/>
      <w:r w:rsidR="008760EB" w:rsidRPr="00683E6B">
        <w:rPr>
          <w:rFonts w:ascii="Arial" w:hAnsi="Arial" w:cs="Arial"/>
          <w:sz w:val="24"/>
          <w:szCs w:val="24"/>
        </w:rPr>
        <w:t>Snyman</w:t>
      </w:r>
      <w:proofErr w:type="spellEnd"/>
      <w:r w:rsidR="008760EB" w:rsidRPr="00683E6B">
        <w:rPr>
          <w:rFonts w:ascii="Arial" w:hAnsi="Arial" w:cs="Arial"/>
          <w:sz w:val="24"/>
          <w:szCs w:val="24"/>
        </w:rPr>
        <w:t xml:space="preserve"> in </w:t>
      </w:r>
      <w:r w:rsidR="00AF0FDC" w:rsidRPr="00683E6B">
        <w:rPr>
          <w:rFonts w:ascii="Arial" w:hAnsi="Arial" w:cs="Arial"/>
          <w:sz w:val="24"/>
          <w:szCs w:val="24"/>
        </w:rPr>
        <w:t xml:space="preserve">the </w:t>
      </w:r>
      <w:r w:rsidR="008760EB" w:rsidRPr="00683E6B">
        <w:rPr>
          <w:rFonts w:ascii="Arial" w:hAnsi="Arial" w:cs="Arial"/>
          <w:sz w:val="24"/>
          <w:szCs w:val="24"/>
        </w:rPr>
        <w:t>calculation</w:t>
      </w:r>
      <w:r w:rsidR="00AF0FDC" w:rsidRPr="00683E6B">
        <w:rPr>
          <w:rFonts w:ascii="Arial" w:hAnsi="Arial" w:cs="Arial"/>
          <w:sz w:val="24"/>
          <w:szCs w:val="24"/>
        </w:rPr>
        <w:t>s</w:t>
      </w:r>
      <w:r w:rsidR="008760EB" w:rsidRPr="00683E6B">
        <w:rPr>
          <w:rFonts w:ascii="Arial" w:hAnsi="Arial" w:cs="Arial"/>
          <w:sz w:val="24"/>
          <w:szCs w:val="24"/>
        </w:rPr>
        <w:t xml:space="preserve"> of K</w:t>
      </w:r>
      <w:r w:rsidR="002A47E4">
        <w:rPr>
          <w:rFonts w:ascii="Arial" w:hAnsi="Arial" w:cs="Arial"/>
          <w:sz w:val="24"/>
          <w:szCs w:val="24"/>
        </w:rPr>
        <w:t>[…]</w:t>
      </w:r>
      <w:r w:rsidR="008760EB" w:rsidRPr="00683E6B">
        <w:rPr>
          <w:rFonts w:ascii="Arial" w:hAnsi="Arial" w:cs="Arial"/>
          <w:sz w:val="24"/>
          <w:szCs w:val="24"/>
        </w:rPr>
        <w:t>’s loss of future earning capacity.  I propose to take account of this possibility in assessing</w:t>
      </w:r>
      <w:r w:rsidR="009F2796" w:rsidRPr="00683E6B">
        <w:rPr>
          <w:rFonts w:ascii="Arial" w:hAnsi="Arial" w:cs="Arial"/>
          <w:sz w:val="24"/>
          <w:szCs w:val="24"/>
        </w:rPr>
        <w:t xml:space="preserve"> an appropriate contingency to be applied.</w:t>
      </w:r>
    </w:p>
    <w:p w14:paraId="19090AFA" w14:textId="6AD3021A" w:rsidR="009F2796" w:rsidRPr="00683E6B" w:rsidRDefault="009F2796"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lastRenderedPageBreak/>
        <w:t xml:space="preserve">Mr </w:t>
      </w:r>
      <w:proofErr w:type="spellStart"/>
      <w:r w:rsidRPr="00683E6B">
        <w:rPr>
          <w:rFonts w:ascii="Arial" w:hAnsi="Arial" w:cs="Arial"/>
          <w:sz w:val="24"/>
          <w:szCs w:val="24"/>
        </w:rPr>
        <w:t>Grobler</w:t>
      </w:r>
      <w:proofErr w:type="spellEnd"/>
      <w:r w:rsidRPr="00683E6B">
        <w:rPr>
          <w:rFonts w:ascii="Arial" w:hAnsi="Arial" w:cs="Arial"/>
          <w:sz w:val="24"/>
          <w:szCs w:val="24"/>
        </w:rPr>
        <w:t xml:space="preserve"> referred me to a number of judgments in which various contingency percentages were applied, and </w:t>
      </w:r>
      <w:r w:rsidR="00AF0FDC" w:rsidRPr="00683E6B">
        <w:rPr>
          <w:rFonts w:ascii="Arial" w:hAnsi="Arial" w:cs="Arial"/>
          <w:sz w:val="24"/>
          <w:szCs w:val="24"/>
        </w:rPr>
        <w:t xml:space="preserve">suggested that </w:t>
      </w:r>
      <w:r w:rsidRPr="00683E6B">
        <w:rPr>
          <w:rFonts w:ascii="Arial" w:hAnsi="Arial" w:cs="Arial"/>
          <w:sz w:val="24"/>
          <w:szCs w:val="24"/>
        </w:rPr>
        <w:t xml:space="preserve">that </w:t>
      </w:r>
      <w:r w:rsidR="00AF0FDC" w:rsidRPr="00683E6B">
        <w:rPr>
          <w:rFonts w:ascii="Arial" w:hAnsi="Arial" w:cs="Arial"/>
          <w:sz w:val="24"/>
          <w:szCs w:val="24"/>
        </w:rPr>
        <w:t>it could be argued that</w:t>
      </w:r>
      <w:r w:rsidRPr="00683E6B">
        <w:rPr>
          <w:rFonts w:ascii="Arial" w:hAnsi="Arial" w:cs="Arial"/>
          <w:sz w:val="24"/>
          <w:szCs w:val="24"/>
        </w:rPr>
        <w:t xml:space="preserve"> </w:t>
      </w:r>
      <w:r w:rsidR="00AF0FDC" w:rsidRPr="00683E6B">
        <w:rPr>
          <w:rFonts w:ascii="Arial" w:hAnsi="Arial" w:cs="Arial"/>
          <w:sz w:val="24"/>
          <w:szCs w:val="24"/>
        </w:rPr>
        <w:t xml:space="preserve">an </w:t>
      </w:r>
      <w:r w:rsidRPr="00683E6B">
        <w:rPr>
          <w:rFonts w:ascii="Arial" w:hAnsi="Arial" w:cs="Arial"/>
          <w:sz w:val="24"/>
          <w:szCs w:val="24"/>
        </w:rPr>
        <w:t xml:space="preserve">appropriate contingency percentage </w:t>
      </w:r>
      <w:r w:rsidR="00AF0FDC" w:rsidRPr="00683E6B">
        <w:rPr>
          <w:rFonts w:ascii="Arial" w:hAnsi="Arial" w:cs="Arial"/>
          <w:sz w:val="24"/>
          <w:szCs w:val="24"/>
        </w:rPr>
        <w:t>c</w:t>
      </w:r>
      <w:r w:rsidRPr="00683E6B">
        <w:rPr>
          <w:rFonts w:ascii="Arial" w:hAnsi="Arial" w:cs="Arial"/>
          <w:sz w:val="24"/>
          <w:szCs w:val="24"/>
        </w:rPr>
        <w:t xml:space="preserve">ould be 20%.  He </w:t>
      </w:r>
      <w:r w:rsidR="00AF0FDC" w:rsidRPr="00683E6B">
        <w:rPr>
          <w:rFonts w:ascii="Arial" w:hAnsi="Arial" w:cs="Arial"/>
          <w:sz w:val="24"/>
          <w:szCs w:val="24"/>
        </w:rPr>
        <w:t xml:space="preserve">nevertheless proposed that a contingency deduction of 25% should be applied.  </w:t>
      </w:r>
      <w:r w:rsidR="00D61EB3" w:rsidRPr="00683E6B">
        <w:rPr>
          <w:rFonts w:ascii="Arial" w:hAnsi="Arial" w:cs="Arial"/>
          <w:sz w:val="24"/>
          <w:szCs w:val="24"/>
        </w:rPr>
        <w:t xml:space="preserve">He pointed out that this higher </w:t>
      </w:r>
      <w:r w:rsidRPr="00683E6B">
        <w:rPr>
          <w:rFonts w:ascii="Arial" w:hAnsi="Arial" w:cs="Arial"/>
          <w:sz w:val="24"/>
          <w:szCs w:val="24"/>
        </w:rPr>
        <w:t xml:space="preserve">contingency would in fact favour the defendant.  </w:t>
      </w:r>
    </w:p>
    <w:p w14:paraId="4ADCC847" w14:textId="57A0E8EF" w:rsidR="0054647F" w:rsidRPr="00683E6B" w:rsidRDefault="009F2796"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Ms </w:t>
      </w:r>
      <w:proofErr w:type="spellStart"/>
      <w:r w:rsidRPr="00683E6B">
        <w:rPr>
          <w:rFonts w:ascii="Arial" w:hAnsi="Arial" w:cs="Arial"/>
          <w:sz w:val="24"/>
          <w:szCs w:val="24"/>
        </w:rPr>
        <w:t>Ramjee</w:t>
      </w:r>
      <w:proofErr w:type="spellEnd"/>
      <w:r w:rsidRPr="00683E6B">
        <w:rPr>
          <w:rFonts w:ascii="Arial" w:hAnsi="Arial" w:cs="Arial"/>
          <w:sz w:val="24"/>
          <w:szCs w:val="24"/>
        </w:rPr>
        <w:t xml:space="preserve"> argued that if regard be had </w:t>
      </w:r>
      <w:r w:rsidR="00D61EB3" w:rsidRPr="00683E6B">
        <w:rPr>
          <w:rFonts w:ascii="Arial" w:hAnsi="Arial" w:cs="Arial"/>
          <w:sz w:val="24"/>
          <w:szCs w:val="24"/>
        </w:rPr>
        <w:t xml:space="preserve">to </w:t>
      </w:r>
      <w:proofErr w:type="gramStart"/>
      <w:r w:rsidRPr="00683E6B">
        <w:rPr>
          <w:rFonts w:ascii="Arial" w:hAnsi="Arial" w:cs="Arial"/>
          <w:sz w:val="24"/>
          <w:szCs w:val="24"/>
        </w:rPr>
        <w:t>K</w:t>
      </w:r>
      <w:r w:rsidR="006D0167">
        <w:rPr>
          <w:rFonts w:ascii="Arial" w:hAnsi="Arial" w:cs="Arial"/>
          <w:sz w:val="24"/>
          <w:szCs w:val="24"/>
        </w:rPr>
        <w:t>[</w:t>
      </w:r>
      <w:proofErr w:type="gramEnd"/>
      <w:r w:rsidR="006D0167">
        <w:rPr>
          <w:rFonts w:ascii="Arial" w:hAnsi="Arial" w:cs="Arial"/>
          <w:sz w:val="24"/>
          <w:szCs w:val="24"/>
        </w:rPr>
        <w:t>…]</w:t>
      </w:r>
      <w:r w:rsidRPr="00683E6B">
        <w:rPr>
          <w:rFonts w:ascii="Arial" w:hAnsi="Arial" w:cs="Arial"/>
          <w:sz w:val="24"/>
          <w:szCs w:val="24"/>
        </w:rPr>
        <w:t xml:space="preserve">’s age, </w:t>
      </w:r>
      <w:r w:rsidR="006C6AF0" w:rsidRPr="00683E6B">
        <w:rPr>
          <w:rFonts w:ascii="Arial" w:hAnsi="Arial" w:cs="Arial"/>
          <w:sz w:val="24"/>
          <w:szCs w:val="24"/>
        </w:rPr>
        <w:t xml:space="preserve">the possibility of future employment should not be underrated.  </w:t>
      </w:r>
      <w:r w:rsidR="00B758F8" w:rsidRPr="00683E6B">
        <w:rPr>
          <w:rFonts w:ascii="Arial" w:hAnsi="Arial" w:cs="Arial"/>
          <w:sz w:val="24"/>
          <w:szCs w:val="24"/>
        </w:rPr>
        <w:t xml:space="preserve">She also contended that an allowance should be made for </w:t>
      </w:r>
      <w:proofErr w:type="gramStart"/>
      <w:r w:rsidR="00B758F8" w:rsidRPr="00683E6B">
        <w:rPr>
          <w:rFonts w:ascii="Arial" w:hAnsi="Arial" w:cs="Arial"/>
          <w:sz w:val="24"/>
          <w:szCs w:val="24"/>
        </w:rPr>
        <w:t>K</w:t>
      </w:r>
      <w:r w:rsidR="006D0167">
        <w:rPr>
          <w:rFonts w:ascii="Arial" w:hAnsi="Arial" w:cs="Arial"/>
          <w:sz w:val="24"/>
          <w:szCs w:val="24"/>
        </w:rPr>
        <w:t>[</w:t>
      </w:r>
      <w:proofErr w:type="gramEnd"/>
      <w:r w:rsidR="006D0167">
        <w:rPr>
          <w:rFonts w:ascii="Arial" w:hAnsi="Arial" w:cs="Arial"/>
          <w:sz w:val="24"/>
          <w:szCs w:val="24"/>
        </w:rPr>
        <w:t>…]</w:t>
      </w:r>
      <w:r w:rsidR="00B758F8" w:rsidRPr="00683E6B">
        <w:rPr>
          <w:rFonts w:ascii="Arial" w:hAnsi="Arial" w:cs="Arial"/>
          <w:sz w:val="24"/>
          <w:szCs w:val="24"/>
        </w:rPr>
        <w:t xml:space="preserve">’s pre-morbid epilepsy.  </w:t>
      </w:r>
      <w:r w:rsidR="006C6AF0" w:rsidRPr="00683E6B">
        <w:rPr>
          <w:rFonts w:ascii="Arial" w:hAnsi="Arial" w:cs="Arial"/>
          <w:sz w:val="24"/>
          <w:szCs w:val="24"/>
        </w:rPr>
        <w:t xml:space="preserve">She contended that </w:t>
      </w:r>
      <w:r w:rsidR="008C1E99" w:rsidRPr="00683E6B">
        <w:rPr>
          <w:rFonts w:ascii="Arial" w:hAnsi="Arial" w:cs="Arial"/>
          <w:sz w:val="24"/>
          <w:szCs w:val="24"/>
        </w:rPr>
        <w:t>that a deduction of 50%</w:t>
      </w:r>
      <w:r w:rsidR="006C6AF0" w:rsidRPr="00683E6B">
        <w:rPr>
          <w:rFonts w:ascii="Arial" w:hAnsi="Arial" w:cs="Arial"/>
          <w:sz w:val="24"/>
          <w:szCs w:val="24"/>
        </w:rPr>
        <w:t xml:space="preserve"> would </w:t>
      </w:r>
      <w:r w:rsidR="00CB522C" w:rsidRPr="00683E6B">
        <w:rPr>
          <w:rFonts w:ascii="Arial" w:hAnsi="Arial" w:cs="Arial"/>
          <w:sz w:val="24"/>
          <w:szCs w:val="24"/>
        </w:rPr>
        <w:t xml:space="preserve">in the circumstances </w:t>
      </w:r>
      <w:r w:rsidR="006C6AF0" w:rsidRPr="00683E6B">
        <w:rPr>
          <w:rFonts w:ascii="Arial" w:hAnsi="Arial" w:cs="Arial"/>
          <w:sz w:val="24"/>
          <w:szCs w:val="24"/>
        </w:rPr>
        <w:t>be more appropriate</w:t>
      </w:r>
      <w:r w:rsidR="008C1E99" w:rsidRPr="00683E6B">
        <w:rPr>
          <w:rFonts w:ascii="Arial" w:hAnsi="Arial" w:cs="Arial"/>
          <w:sz w:val="24"/>
          <w:szCs w:val="24"/>
        </w:rPr>
        <w:t>.</w:t>
      </w:r>
    </w:p>
    <w:p w14:paraId="6CA7B512" w14:textId="65E2C8D9" w:rsidR="00B83035" w:rsidRPr="00683E6B" w:rsidRDefault="006C6AF0"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At the time of this judgment, </w:t>
      </w:r>
      <w:proofErr w:type="gramStart"/>
      <w:r w:rsidRPr="00683E6B">
        <w:rPr>
          <w:rFonts w:ascii="Arial" w:hAnsi="Arial" w:cs="Arial"/>
          <w:sz w:val="24"/>
          <w:szCs w:val="24"/>
        </w:rPr>
        <w:t>K</w:t>
      </w:r>
      <w:r w:rsidR="006D0167">
        <w:rPr>
          <w:rFonts w:ascii="Arial" w:hAnsi="Arial" w:cs="Arial"/>
          <w:sz w:val="24"/>
          <w:szCs w:val="24"/>
        </w:rPr>
        <w:t>[</w:t>
      </w:r>
      <w:proofErr w:type="gramEnd"/>
      <w:r w:rsidR="006D0167">
        <w:rPr>
          <w:rFonts w:ascii="Arial" w:hAnsi="Arial" w:cs="Arial"/>
          <w:sz w:val="24"/>
          <w:szCs w:val="24"/>
        </w:rPr>
        <w:t>…]</w:t>
      </w:r>
      <w:r w:rsidRPr="00683E6B">
        <w:rPr>
          <w:rFonts w:ascii="Arial" w:hAnsi="Arial" w:cs="Arial"/>
          <w:sz w:val="24"/>
          <w:szCs w:val="24"/>
        </w:rPr>
        <w:t xml:space="preserve"> is</w:t>
      </w:r>
      <w:r w:rsidR="00F41ED5" w:rsidRPr="00683E6B">
        <w:rPr>
          <w:rFonts w:ascii="Arial" w:hAnsi="Arial" w:cs="Arial"/>
          <w:sz w:val="24"/>
          <w:szCs w:val="24"/>
        </w:rPr>
        <w:t xml:space="preserve"> 14 </w:t>
      </w:r>
      <w:r w:rsidR="000F13A1" w:rsidRPr="00683E6B">
        <w:rPr>
          <w:rFonts w:ascii="Arial" w:hAnsi="Arial" w:cs="Arial"/>
          <w:sz w:val="24"/>
          <w:szCs w:val="24"/>
        </w:rPr>
        <w:t xml:space="preserve">years old.  </w:t>
      </w:r>
      <w:r w:rsidR="00F41ED5" w:rsidRPr="00683E6B">
        <w:rPr>
          <w:rFonts w:ascii="Arial" w:hAnsi="Arial" w:cs="Arial"/>
          <w:sz w:val="24"/>
          <w:szCs w:val="24"/>
        </w:rPr>
        <w:t xml:space="preserve">If one accepts </w:t>
      </w:r>
      <w:r w:rsidR="004F72F3" w:rsidRPr="00683E6B">
        <w:rPr>
          <w:rFonts w:ascii="Arial" w:hAnsi="Arial" w:cs="Arial"/>
          <w:sz w:val="24"/>
          <w:szCs w:val="24"/>
        </w:rPr>
        <w:t xml:space="preserve">Ms </w:t>
      </w:r>
      <w:proofErr w:type="spellStart"/>
      <w:r w:rsidR="004F72F3" w:rsidRPr="00683E6B">
        <w:rPr>
          <w:rFonts w:ascii="Arial" w:hAnsi="Arial" w:cs="Arial"/>
          <w:sz w:val="24"/>
          <w:szCs w:val="24"/>
        </w:rPr>
        <w:t>Rossouw’s</w:t>
      </w:r>
      <w:proofErr w:type="spellEnd"/>
      <w:r w:rsidR="004F72F3" w:rsidRPr="00683E6B">
        <w:rPr>
          <w:rFonts w:ascii="Arial" w:hAnsi="Arial" w:cs="Arial"/>
          <w:sz w:val="24"/>
          <w:szCs w:val="24"/>
        </w:rPr>
        <w:t xml:space="preserve"> postulation that </w:t>
      </w:r>
      <w:proofErr w:type="gramStart"/>
      <w:r w:rsidR="004F72F3" w:rsidRPr="00683E6B">
        <w:rPr>
          <w:rFonts w:ascii="Arial" w:hAnsi="Arial" w:cs="Arial"/>
          <w:sz w:val="24"/>
          <w:szCs w:val="24"/>
        </w:rPr>
        <w:t>K</w:t>
      </w:r>
      <w:r w:rsidR="006D0167">
        <w:rPr>
          <w:rFonts w:ascii="Arial" w:hAnsi="Arial" w:cs="Arial"/>
          <w:sz w:val="24"/>
          <w:szCs w:val="24"/>
        </w:rPr>
        <w:t>[</w:t>
      </w:r>
      <w:proofErr w:type="gramEnd"/>
      <w:r w:rsidR="006D0167">
        <w:rPr>
          <w:rFonts w:ascii="Arial" w:hAnsi="Arial" w:cs="Arial"/>
          <w:sz w:val="24"/>
          <w:szCs w:val="24"/>
        </w:rPr>
        <w:t>…]</w:t>
      </w:r>
      <w:r w:rsidR="004F72F3" w:rsidRPr="00683E6B">
        <w:rPr>
          <w:rFonts w:ascii="Arial" w:hAnsi="Arial" w:cs="Arial"/>
          <w:sz w:val="24"/>
          <w:szCs w:val="24"/>
        </w:rPr>
        <w:t xml:space="preserve"> would </w:t>
      </w:r>
      <w:r w:rsidR="002F48BA" w:rsidRPr="00683E6B">
        <w:rPr>
          <w:rFonts w:ascii="Arial" w:hAnsi="Arial" w:cs="Arial"/>
          <w:sz w:val="24"/>
          <w:szCs w:val="24"/>
        </w:rPr>
        <w:t xml:space="preserve">have </w:t>
      </w:r>
      <w:r w:rsidR="004F72F3" w:rsidRPr="00683E6B">
        <w:rPr>
          <w:rFonts w:ascii="Arial" w:hAnsi="Arial" w:cs="Arial"/>
          <w:sz w:val="24"/>
          <w:szCs w:val="24"/>
        </w:rPr>
        <w:t>commence</w:t>
      </w:r>
      <w:r w:rsidR="002F48BA" w:rsidRPr="00683E6B">
        <w:rPr>
          <w:rFonts w:ascii="Arial" w:hAnsi="Arial" w:cs="Arial"/>
          <w:sz w:val="24"/>
          <w:szCs w:val="24"/>
        </w:rPr>
        <w:t>d</w:t>
      </w:r>
      <w:r w:rsidR="004F72F3" w:rsidRPr="00683E6B">
        <w:rPr>
          <w:rFonts w:ascii="Arial" w:hAnsi="Arial" w:cs="Arial"/>
          <w:sz w:val="24"/>
          <w:szCs w:val="24"/>
        </w:rPr>
        <w:t xml:space="preserve"> earning an income at age 19 </w:t>
      </w:r>
      <w:r w:rsidR="002F48BA" w:rsidRPr="00683E6B">
        <w:rPr>
          <w:rFonts w:ascii="Arial" w:hAnsi="Arial" w:cs="Arial"/>
          <w:sz w:val="24"/>
          <w:szCs w:val="24"/>
        </w:rPr>
        <w:t>o</w:t>
      </w:r>
      <w:r w:rsidR="004F72F3" w:rsidRPr="00683E6B">
        <w:rPr>
          <w:rFonts w:ascii="Arial" w:hAnsi="Arial" w:cs="Arial"/>
          <w:sz w:val="24"/>
          <w:szCs w:val="24"/>
        </w:rPr>
        <w:t xml:space="preserve">n 1 July </w:t>
      </w:r>
      <w:r w:rsidR="002F48BA" w:rsidRPr="00683E6B">
        <w:rPr>
          <w:rFonts w:ascii="Arial" w:hAnsi="Arial" w:cs="Arial"/>
          <w:sz w:val="24"/>
          <w:szCs w:val="24"/>
        </w:rPr>
        <w:t xml:space="preserve">2028, </w:t>
      </w:r>
      <w:r w:rsidR="004F72F3" w:rsidRPr="00683E6B">
        <w:rPr>
          <w:rFonts w:ascii="Arial" w:hAnsi="Arial" w:cs="Arial"/>
          <w:sz w:val="24"/>
          <w:szCs w:val="24"/>
        </w:rPr>
        <w:t xml:space="preserve">and Mr </w:t>
      </w:r>
      <w:proofErr w:type="spellStart"/>
      <w:r w:rsidR="004F72F3" w:rsidRPr="00683E6B">
        <w:rPr>
          <w:rFonts w:ascii="Arial" w:hAnsi="Arial" w:cs="Arial"/>
          <w:sz w:val="24"/>
          <w:szCs w:val="24"/>
        </w:rPr>
        <w:t>Strydom’s</w:t>
      </w:r>
      <w:proofErr w:type="spellEnd"/>
      <w:r w:rsidR="00F41ED5" w:rsidRPr="00683E6B">
        <w:rPr>
          <w:rFonts w:ascii="Arial" w:hAnsi="Arial" w:cs="Arial"/>
          <w:sz w:val="24"/>
          <w:szCs w:val="24"/>
        </w:rPr>
        <w:t xml:space="preserve"> postulation that K</w:t>
      </w:r>
      <w:r w:rsidR="006D0167">
        <w:rPr>
          <w:rFonts w:ascii="Arial" w:hAnsi="Arial" w:cs="Arial"/>
          <w:sz w:val="24"/>
          <w:szCs w:val="24"/>
        </w:rPr>
        <w:t>[…]</w:t>
      </w:r>
      <w:r w:rsidR="00F41ED5" w:rsidRPr="00683E6B">
        <w:rPr>
          <w:rFonts w:ascii="Arial" w:hAnsi="Arial" w:cs="Arial"/>
          <w:sz w:val="24"/>
          <w:szCs w:val="24"/>
        </w:rPr>
        <w:t xml:space="preserve"> would </w:t>
      </w:r>
      <w:r w:rsidR="002F48BA" w:rsidRPr="00683E6B">
        <w:rPr>
          <w:rFonts w:ascii="Arial" w:hAnsi="Arial" w:cs="Arial"/>
          <w:sz w:val="24"/>
          <w:szCs w:val="24"/>
        </w:rPr>
        <w:t xml:space="preserve">have retired </w:t>
      </w:r>
      <w:r w:rsidR="00F41ED5" w:rsidRPr="00683E6B">
        <w:rPr>
          <w:rFonts w:ascii="Arial" w:hAnsi="Arial" w:cs="Arial"/>
          <w:sz w:val="24"/>
          <w:szCs w:val="24"/>
        </w:rPr>
        <w:t xml:space="preserve">at age 65, then </w:t>
      </w:r>
      <w:r w:rsidR="004F72F3" w:rsidRPr="00683E6B">
        <w:rPr>
          <w:rFonts w:ascii="Arial" w:hAnsi="Arial" w:cs="Arial"/>
          <w:sz w:val="24"/>
          <w:szCs w:val="24"/>
        </w:rPr>
        <w:t>K</w:t>
      </w:r>
      <w:r w:rsidR="006D0167">
        <w:rPr>
          <w:rFonts w:ascii="Arial" w:hAnsi="Arial" w:cs="Arial"/>
          <w:sz w:val="24"/>
          <w:szCs w:val="24"/>
        </w:rPr>
        <w:t>[…]</w:t>
      </w:r>
      <w:r w:rsidR="00877FAB" w:rsidRPr="00683E6B">
        <w:rPr>
          <w:rFonts w:ascii="Arial" w:hAnsi="Arial" w:cs="Arial"/>
          <w:sz w:val="24"/>
          <w:szCs w:val="24"/>
        </w:rPr>
        <w:t xml:space="preserve"> would have had </w:t>
      </w:r>
      <w:r w:rsidR="009575B2" w:rsidRPr="00683E6B">
        <w:rPr>
          <w:rFonts w:ascii="Arial" w:hAnsi="Arial" w:cs="Arial"/>
          <w:sz w:val="24"/>
          <w:szCs w:val="24"/>
        </w:rPr>
        <w:t>a 46-</w:t>
      </w:r>
      <w:r w:rsidR="00877FAB" w:rsidRPr="00683E6B">
        <w:rPr>
          <w:rFonts w:ascii="Arial" w:hAnsi="Arial" w:cs="Arial"/>
          <w:sz w:val="24"/>
          <w:szCs w:val="24"/>
        </w:rPr>
        <w:t>year income</w:t>
      </w:r>
      <w:r w:rsidR="009575B2" w:rsidRPr="00683E6B">
        <w:rPr>
          <w:rFonts w:ascii="Arial" w:hAnsi="Arial" w:cs="Arial"/>
          <w:sz w:val="24"/>
          <w:szCs w:val="24"/>
        </w:rPr>
        <w:t>-</w:t>
      </w:r>
      <w:r w:rsidR="00877FAB" w:rsidRPr="00683E6B">
        <w:rPr>
          <w:rFonts w:ascii="Arial" w:hAnsi="Arial" w:cs="Arial"/>
          <w:sz w:val="24"/>
          <w:szCs w:val="24"/>
        </w:rPr>
        <w:t>earning period.</w:t>
      </w:r>
      <w:r w:rsidR="00EC3B5A" w:rsidRPr="00683E6B">
        <w:rPr>
          <w:rFonts w:ascii="Arial" w:hAnsi="Arial" w:cs="Arial"/>
          <w:sz w:val="24"/>
          <w:szCs w:val="24"/>
        </w:rPr>
        <w:t xml:space="preserve">  Applying Koch’s sliding scale, the applicable contingency calculation would be 0,5 x 46 = 23%.</w:t>
      </w:r>
      <w:r w:rsidR="00B83035" w:rsidRPr="00683E6B">
        <w:rPr>
          <w:rFonts w:ascii="Arial" w:hAnsi="Arial" w:cs="Arial"/>
          <w:sz w:val="24"/>
          <w:szCs w:val="24"/>
        </w:rPr>
        <w:t xml:space="preserve">  </w:t>
      </w:r>
    </w:p>
    <w:p w14:paraId="4890BA0B" w14:textId="413AFA21" w:rsidR="00B83035" w:rsidRPr="00683E6B" w:rsidRDefault="00B8303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Mr </w:t>
      </w:r>
      <w:proofErr w:type="spellStart"/>
      <w:r w:rsidRPr="00683E6B">
        <w:rPr>
          <w:rFonts w:ascii="Arial" w:hAnsi="Arial" w:cs="Arial"/>
          <w:sz w:val="24"/>
          <w:szCs w:val="24"/>
        </w:rPr>
        <w:t>Strydom</w:t>
      </w:r>
      <w:proofErr w:type="spellEnd"/>
      <w:r w:rsidRPr="00683E6B">
        <w:rPr>
          <w:rFonts w:ascii="Arial" w:hAnsi="Arial" w:cs="Arial"/>
          <w:sz w:val="24"/>
          <w:szCs w:val="24"/>
        </w:rPr>
        <w:t xml:space="preserve"> has suggested a contingency allowance of 25% - a </w:t>
      </w:r>
      <w:r w:rsidR="00D61EB3" w:rsidRPr="00683E6B">
        <w:rPr>
          <w:rFonts w:ascii="Arial" w:hAnsi="Arial" w:cs="Arial"/>
          <w:sz w:val="24"/>
          <w:szCs w:val="24"/>
        </w:rPr>
        <w:t>figure</w:t>
      </w:r>
      <w:r w:rsidRPr="00683E6B">
        <w:rPr>
          <w:rFonts w:ascii="Arial" w:hAnsi="Arial" w:cs="Arial"/>
          <w:sz w:val="24"/>
          <w:szCs w:val="24"/>
        </w:rPr>
        <w:t xml:space="preserve"> echoed by Mr </w:t>
      </w:r>
      <w:proofErr w:type="spellStart"/>
      <w:r w:rsidRPr="00683E6B">
        <w:rPr>
          <w:rFonts w:ascii="Arial" w:hAnsi="Arial" w:cs="Arial"/>
          <w:sz w:val="24"/>
          <w:szCs w:val="24"/>
        </w:rPr>
        <w:t>Grobler</w:t>
      </w:r>
      <w:proofErr w:type="spellEnd"/>
      <w:r w:rsidRPr="00683E6B">
        <w:rPr>
          <w:rFonts w:ascii="Arial" w:hAnsi="Arial" w:cs="Arial"/>
          <w:sz w:val="24"/>
          <w:szCs w:val="24"/>
        </w:rPr>
        <w:t>.</w:t>
      </w:r>
    </w:p>
    <w:p w14:paraId="2A5D4516" w14:textId="7A86A538" w:rsidR="00060EFB" w:rsidRPr="00683E6B" w:rsidRDefault="004947B9"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 am alive to the fact that K</w:t>
      </w:r>
      <w:r w:rsidR="00DB4F19">
        <w:rPr>
          <w:rFonts w:ascii="Arial" w:hAnsi="Arial" w:cs="Arial"/>
          <w:sz w:val="24"/>
          <w:szCs w:val="24"/>
        </w:rPr>
        <w:t>[…]</w:t>
      </w:r>
      <w:bookmarkStart w:id="1" w:name="_GoBack"/>
      <w:bookmarkEnd w:id="1"/>
      <w:r w:rsidRPr="00683E6B">
        <w:rPr>
          <w:rFonts w:ascii="Arial" w:hAnsi="Arial" w:cs="Arial"/>
          <w:sz w:val="24"/>
          <w:szCs w:val="24"/>
        </w:rPr>
        <w:t xml:space="preserve">’s </w:t>
      </w:r>
      <w:proofErr w:type="spellStart"/>
      <w:r w:rsidR="00F96FE5" w:rsidRPr="00683E6B">
        <w:rPr>
          <w:rFonts w:ascii="Arial" w:hAnsi="Arial" w:cs="Arial"/>
          <w:sz w:val="24"/>
          <w:szCs w:val="24"/>
        </w:rPr>
        <w:t>eanu</w:t>
      </w:r>
      <w:r w:rsidRPr="00683E6B">
        <w:rPr>
          <w:rFonts w:ascii="Arial" w:hAnsi="Arial" w:cs="Arial"/>
          <w:sz w:val="24"/>
          <w:szCs w:val="24"/>
        </w:rPr>
        <w:t>pre</w:t>
      </w:r>
      <w:proofErr w:type="spellEnd"/>
      <w:r w:rsidRPr="00683E6B">
        <w:rPr>
          <w:rFonts w:ascii="Arial" w:hAnsi="Arial" w:cs="Arial"/>
          <w:sz w:val="24"/>
          <w:szCs w:val="24"/>
        </w:rPr>
        <w:t xml:space="preserve">-existing epilepsy could (not would) have played a role in a “but for” scenario, </w:t>
      </w:r>
      <w:r w:rsidR="008A128D" w:rsidRPr="00683E6B">
        <w:rPr>
          <w:rFonts w:ascii="Arial" w:hAnsi="Arial" w:cs="Arial"/>
          <w:sz w:val="24"/>
          <w:szCs w:val="24"/>
        </w:rPr>
        <w:t>and also that there is some possibility that K</w:t>
      </w:r>
      <w:r w:rsidR="00F96FE5">
        <w:rPr>
          <w:rFonts w:ascii="Arial" w:hAnsi="Arial" w:cs="Arial"/>
          <w:sz w:val="24"/>
          <w:szCs w:val="24"/>
        </w:rPr>
        <w:t>[…]</w:t>
      </w:r>
      <w:r w:rsidR="008A128D" w:rsidRPr="00683E6B">
        <w:rPr>
          <w:rFonts w:ascii="Arial" w:hAnsi="Arial" w:cs="Arial"/>
          <w:sz w:val="24"/>
          <w:szCs w:val="24"/>
        </w:rPr>
        <w:t xml:space="preserve"> may periodically earn an income in a sheltered or sympathetic environment.  </w:t>
      </w:r>
    </w:p>
    <w:p w14:paraId="26B5C404" w14:textId="20DF2ADA" w:rsidR="00C56A0B" w:rsidRPr="00683E6B" w:rsidRDefault="0064296D"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Taking all the surrounding circumstances into account</w:t>
      </w:r>
      <w:r w:rsidR="00A66F4D" w:rsidRPr="00683E6B">
        <w:rPr>
          <w:rFonts w:ascii="Arial" w:hAnsi="Arial" w:cs="Arial"/>
          <w:sz w:val="24"/>
          <w:szCs w:val="24"/>
        </w:rPr>
        <w:t>,</w:t>
      </w:r>
      <w:r w:rsidRPr="00683E6B">
        <w:rPr>
          <w:rFonts w:ascii="Arial" w:hAnsi="Arial" w:cs="Arial"/>
          <w:sz w:val="24"/>
          <w:szCs w:val="24"/>
        </w:rPr>
        <w:t xml:space="preserve"> m</w:t>
      </w:r>
      <w:r w:rsidR="00060EFB" w:rsidRPr="00683E6B">
        <w:rPr>
          <w:rFonts w:ascii="Arial" w:hAnsi="Arial" w:cs="Arial"/>
          <w:sz w:val="24"/>
          <w:szCs w:val="24"/>
        </w:rPr>
        <w:t xml:space="preserve">y overall view </w:t>
      </w:r>
      <w:r w:rsidRPr="00683E6B">
        <w:rPr>
          <w:rFonts w:ascii="Arial" w:hAnsi="Arial" w:cs="Arial"/>
          <w:sz w:val="24"/>
          <w:szCs w:val="24"/>
        </w:rPr>
        <w:t>is that a contingency percentage of between 25% and 30% would be appropriate – thus 27.5%.</w:t>
      </w:r>
      <w:r w:rsidR="004947B9" w:rsidRPr="00683E6B">
        <w:rPr>
          <w:rFonts w:ascii="Arial" w:hAnsi="Arial" w:cs="Arial"/>
          <w:sz w:val="24"/>
          <w:szCs w:val="24"/>
        </w:rPr>
        <w:t xml:space="preserve">    </w:t>
      </w:r>
    </w:p>
    <w:p w14:paraId="6AED92D6" w14:textId="26C03D94" w:rsidR="009D79DB" w:rsidRPr="00683E6B" w:rsidRDefault="009D79DB"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In the result</w:t>
      </w:r>
      <w:r w:rsidR="0064296D" w:rsidRPr="00683E6B">
        <w:rPr>
          <w:rFonts w:ascii="Arial" w:hAnsi="Arial" w:cs="Arial"/>
          <w:sz w:val="24"/>
          <w:szCs w:val="24"/>
        </w:rPr>
        <w:t>, the</w:t>
      </w:r>
      <w:r w:rsidRPr="00683E6B">
        <w:rPr>
          <w:rFonts w:ascii="Arial" w:hAnsi="Arial" w:cs="Arial"/>
          <w:sz w:val="24"/>
          <w:szCs w:val="24"/>
        </w:rPr>
        <w:t xml:space="preserve"> amount payable to </w:t>
      </w:r>
      <w:r w:rsidR="00587F55" w:rsidRPr="00683E6B">
        <w:rPr>
          <w:rFonts w:ascii="Arial" w:hAnsi="Arial" w:cs="Arial"/>
          <w:sz w:val="24"/>
          <w:szCs w:val="24"/>
        </w:rPr>
        <w:t>the plaintiff</w:t>
      </w:r>
      <w:r w:rsidRPr="00683E6B">
        <w:rPr>
          <w:rFonts w:ascii="Arial" w:hAnsi="Arial" w:cs="Arial"/>
          <w:sz w:val="24"/>
          <w:szCs w:val="24"/>
        </w:rPr>
        <w:t xml:space="preserve"> in respect of his loss of earning </w:t>
      </w:r>
      <w:r w:rsidRPr="00683E6B">
        <w:rPr>
          <w:rFonts w:ascii="Arial" w:hAnsi="Arial" w:cs="Arial"/>
          <w:sz w:val="24"/>
          <w:szCs w:val="24"/>
        </w:rPr>
        <w:lastRenderedPageBreak/>
        <w:t>capacity is the sum of R6 946 215.00</w:t>
      </w:r>
      <w:r w:rsidR="0064296D" w:rsidRPr="00683E6B">
        <w:rPr>
          <w:rFonts w:ascii="Arial" w:hAnsi="Arial" w:cs="Arial"/>
          <w:sz w:val="24"/>
          <w:szCs w:val="24"/>
        </w:rPr>
        <w:t xml:space="preserve"> less </w:t>
      </w:r>
      <w:r w:rsidR="00E4293D" w:rsidRPr="00683E6B">
        <w:rPr>
          <w:rFonts w:ascii="Arial" w:hAnsi="Arial" w:cs="Arial"/>
          <w:sz w:val="24"/>
          <w:szCs w:val="24"/>
        </w:rPr>
        <w:t xml:space="preserve">a contingency amount </w:t>
      </w:r>
      <w:r w:rsidR="00FF1844" w:rsidRPr="00683E6B">
        <w:rPr>
          <w:rFonts w:ascii="Arial" w:hAnsi="Arial" w:cs="Arial"/>
          <w:sz w:val="24"/>
          <w:szCs w:val="24"/>
        </w:rPr>
        <w:t>of R1 910 209.12</w:t>
      </w:r>
      <w:r w:rsidR="00664370" w:rsidRPr="00683E6B">
        <w:rPr>
          <w:rFonts w:ascii="Arial" w:hAnsi="Arial" w:cs="Arial"/>
          <w:sz w:val="24"/>
          <w:szCs w:val="24"/>
        </w:rPr>
        <w:t xml:space="preserve"> which equals R5 036 005.88.</w:t>
      </w:r>
    </w:p>
    <w:p w14:paraId="2871A800" w14:textId="77777777" w:rsidR="00801967" w:rsidRPr="00683E6B" w:rsidRDefault="00801967" w:rsidP="00683E6B">
      <w:pPr>
        <w:widowControl w:val="0"/>
        <w:spacing w:before="300" w:after="0" w:line="480" w:lineRule="auto"/>
        <w:ind w:right="-23"/>
        <w:jc w:val="both"/>
        <w:rPr>
          <w:rFonts w:ascii="Arial" w:hAnsi="Arial" w:cs="Arial"/>
          <w:b/>
          <w:bCs/>
          <w:sz w:val="24"/>
          <w:szCs w:val="24"/>
        </w:rPr>
      </w:pPr>
    </w:p>
    <w:p w14:paraId="7E81C482" w14:textId="302577CC" w:rsidR="006B0CB7" w:rsidRPr="00683E6B" w:rsidRDefault="006B0CB7" w:rsidP="00683E6B">
      <w:pPr>
        <w:widowControl w:val="0"/>
        <w:spacing w:before="300" w:after="0" w:line="480" w:lineRule="auto"/>
        <w:ind w:right="-23"/>
        <w:jc w:val="both"/>
        <w:rPr>
          <w:rFonts w:ascii="Arial" w:hAnsi="Arial" w:cs="Arial"/>
          <w:b/>
          <w:bCs/>
          <w:sz w:val="24"/>
          <w:szCs w:val="24"/>
        </w:rPr>
      </w:pPr>
      <w:r w:rsidRPr="00683E6B">
        <w:rPr>
          <w:rFonts w:ascii="Arial" w:hAnsi="Arial" w:cs="Arial"/>
          <w:b/>
          <w:bCs/>
          <w:sz w:val="24"/>
          <w:szCs w:val="24"/>
        </w:rPr>
        <w:t>PROTECTION OF THE AWARDS</w:t>
      </w:r>
    </w:p>
    <w:p w14:paraId="36B53B7C" w14:textId="59CECB0F" w:rsidR="00587F55" w:rsidRPr="00683E6B" w:rsidRDefault="006B0CB7" w:rsidP="00CA414E">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Mr </w:t>
      </w:r>
      <w:proofErr w:type="spellStart"/>
      <w:r w:rsidRPr="00683E6B">
        <w:rPr>
          <w:rFonts w:ascii="Arial" w:hAnsi="Arial" w:cs="Arial"/>
          <w:sz w:val="24"/>
          <w:szCs w:val="24"/>
        </w:rPr>
        <w:t>Motala</w:t>
      </w:r>
      <w:proofErr w:type="spellEnd"/>
      <w:r w:rsidRPr="00683E6B">
        <w:rPr>
          <w:rFonts w:ascii="Arial" w:hAnsi="Arial" w:cs="Arial"/>
          <w:sz w:val="24"/>
          <w:szCs w:val="24"/>
        </w:rPr>
        <w:t xml:space="preserve">, </w:t>
      </w:r>
      <w:proofErr w:type="gramStart"/>
      <w:r w:rsidRPr="00683E6B">
        <w:rPr>
          <w:rFonts w:ascii="Arial" w:hAnsi="Arial" w:cs="Arial"/>
          <w:sz w:val="24"/>
          <w:szCs w:val="24"/>
        </w:rPr>
        <w:t>K</w:t>
      </w:r>
      <w:r w:rsidR="00F358C6">
        <w:rPr>
          <w:rFonts w:ascii="Arial" w:hAnsi="Arial" w:cs="Arial"/>
          <w:sz w:val="24"/>
          <w:szCs w:val="24"/>
        </w:rPr>
        <w:t>[</w:t>
      </w:r>
      <w:proofErr w:type="gramEnd"/>
      <w:r w:rsidR="00F358C6">
        <w:rPr>
          <w:rFonts w:ascii="Arial" w:hAnsi="Arial" w:cs="Arial"/>
          <w:sz w:val="24"/>
          <w:szCs w:val="24"/>
        </w:rPr>
        <w:t>…]</w:t>
      </w:r>
      <w:r w:rsidRPr="00683E6B">
        <w:rPr>
          <w:rFonts w:ascii="Arial" w:hAnsi="Arial" w:cs="Arial"/>
          <w:sz w:val="24"/>
          <w:szCs w:val="24"/>
        </w:rPr>
        <w:t xml:space="preserve">’s </w:t>
      </w:r>
      <w:r w:rsidRPr="00683E6B">
        <w:rPr>
          <w:rFonts w:ascii="Arial" w:hAnsi="Arial" w:cs="Arial"/>
          <w:i/>
          <w:iCs/>
          <w:sz w:val="24"/>
          <w:szCs w:val="24"/>
        </w:rPr>
        <w:t>curator ad litem</w:t>
      </w:r>
      <w:r w:rsidRPr="00683E6B">
        <w:rPr>
          <w:rFonts w:ascii="Arial" w:hAnsi="Arial" w:cs="Arial"/>
          <w:sz w:val="24"/>
          <w:szCs w:val="24"/>
        </w:rPr>
        <w:t>, has recommended that the awards be paid to a trust created for the benefit of K</w:t>
      </w:r>
      <w:r w:rsidR="00F358C6">
        <w:rPr>
          <w:rFonts w:ascii="Arial" w:hAnsi="Arial" w:cs="Arial"/>
          <w:sz w:val="24"/>
          <w:szCs w:val="24"/>
        </w:rPr>
        <w:t>[…]</w:t>
      </w:r>
      <w:r w:rsidRPr="00683E6B">
        <w:rPr>
          <w:rFonts w:ascii="Arial" w:hAnsi="Arial" w:cs="Arial"/>
          <w:sz w:val="24"/>
          <w:szCs w:val="24"/>
        </w:rPr>
        <w:t xml:space="preserve">.  </w:t>
      </w:r>
      <w:r w:rsidR="00587F55" w:rsidRPr="00683E6B">
        <w:rPr>
          <w:rFonts w:ascii="Arial" w:hAnsi="Arial" w:cs="Arial"/>
          <w:sz w:val="24"/>
          <w:szCs w:val="24"/>
        </w:rPr>
        <w:t>I agree.</w:t>
      </w:r>
    </w:p>
    <w:p w14:paraId="13869224" w14:textId="063F833A" w:rsidR="006B0CB7" w:rsidRPr="00683E6B" w:rsidRDefault="00587F55" w:rsidP="00CA414E">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The provisions relating to the envisaged trust were suggested to me by the plaintiff in a draft order and are encapsulated in my order set out hereunder.</w:t>
      </w:r>
    </w:p>
    <w:p w14:paraId="0A008121" w14:textId="77777777" w:rsidR="00587F55" w:rsidRPr="00683E6B" w:rsidRDefault="00587F55" w:rsidP="00683E6B">
      <w:pPr>
        <w:widowControl w:val="0"/>
        <w:spacing w:before="300" w:after="0" w:line="480" w:lineRule="auto"/>
        <w:ind w:right="-23"/>
        <w:jc w:val="both"/>
        <w:rPr>
          <w:rFonts w:ascii="Arial" w:hAnsi="Arial" w:cs="Arial"/>
          <w:b/>
          <w:bCs/>
          <w:sz w:val="24"/>
          <w:szCs w:val="24"/>
        </w:rPr>
      </w:pPr>
    </w:p>
    <w:p w14:paraId="39100046" w14:textId="06230EEE" w:rsidR="00FE0D27" w:rsidRPr="00683E6B" w:rsidRDefault="00FE0D27" w:rsidP="00683E6B">
      <w:pPr>
        <w:widowControl w:val="0"/>
        <w:spacing w:before="300" w:after="0" w:line="480" w:lineRule="auto"/>
        <w:ind w:right="-23"/>
        <w:jc w:val="both"/>
        <w:rPr>
          <w:rFonts w:ascii="Arial" w:hAnsi="Arial" w:cs="Arial"/>
          <w:sz w:val="24"/>
          <w:szCs w:val="24"/>
        </w:rPr>
      </w:pPr>
      <w:r w:rsidRPr="00683E6B">
        <w:rPr>
          <w:rFonts w:ascii="Arial" w:hAnsi="Arial" w:cs="Arial"/>
          <w:b/>
          <w:bCs/>
          <w:sz w:val="24"/>
          <w:szCs w:val="24"/>
        </w:rPr>
        <w:t>CONTINGENCY FEE AGREEMENT</w:t>
      </w:r>
      <w:r w:rsidRPr="00683E6B">
        <w:rPr>
          <w:rFonts w:ascii="Arial" w:hAnsi="Arial" w:cs="Arial"/>
          <w:sz w:val="24"/>
          <w:szCs w:val="24"/>
        </w:rPr>
        <w:t xml:space="preserve"> </w:t>
      </w:r>
    </w:p>
    <w:p w14:paraId="751271CC" w14:textId="07DC0207" w:rsidR="00FE0D27" w:rsidRPr="00683E6B" w:rsidRDefault="00FE0D27" w:rsidP="00CA414E">
      <w:pPr>
        <w:pStyle w:val="ListParagraph"/>
        <w:widowControl w:val="0"/>
        <w:numPr>
          <w:ilvl w:val="0"/>
          <w:numId w:val="1"/>
        </w:numPr>
        <w:tabs>
          <w:tab w:val="left" w:pos="709"/>
        </w:tabs>
        <w:spacing w:before="1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Mr </w:t>
      </w:r>
      <w:proofErr w:type="spellStart"/>
      <w:r w:rsidRPr="00683E6B">
        <w:rPr>
          <w:rFonts w:ascii="Arial" w:hAnsi="Arial" w:cs="Arial"/>
          <w:sz w:val="24"/>
          <w:szCs w:val="24"/>
        </w:rPr>
        <w:t>Motala</w:t>
      </w:r>
      <w:proofErr w:type="spellEnd"/>
      <w:r w:rsidRPr="00683E6B">
        <w:rPr>
          <w:rFonts w:ascii="Arial" w:hAnsi="Arial" w:cs="Arial"/>
          <w:sz w:val="24"/>
          <w:szCs w:val="24"/>
        </w:rPr>
        <w:t xml:space="preserve"> informed me </w:t>
      </w:r>
      <w:r w:rsidR="00B93FA0">
        <w:rPr>
          <w:rFonts w:ascii="Arial" w:hAnsi="Arial" w:cs="Arial"/>
          <w:sz w:val="24"/>
          <w:szCs w:val="24"/>
        </w:rPr>
        <w:t>that no valid</w:t>
      </w:r>
      <w:r w:rsidRPr="00683E6B">
        <w:rPr>
          <w:rFonts w:ascii="Arial" w:hAnsi="Arial" w:cs="Arial"/>
          <w:sz w:val="24"/>
          <w:szCs w:val="24"/>
        </w:rPr>
        <w:t xml:space="preserve"> contingency fee agreement was entered into </w:t>
      </w:r>
      <w:r w:rsidR="00B93FA0">
        <w:rPr>
          <w:rFonts w:ascii="Arial" w:hAnsi="Arial" w:cs="Arial"/>
          <w:sz w:val="24"/>
          <w:szCs w:val="24"/>
        </w:rPr>
        <w:t>between the plaintiff and the plaintiff’s attorneys.</w:t>
      </w:r>
      <w:r w:rsidRPr="00683E6B">
        <w:rPr>
          <w:rFonts w:ascii="Arial" w:hAnsi="Arial" w:cs="Arial"/>
          <w:sz w:val="24"/>
          <w:szCs w:val="24"/>
        </w:rPr>
        <w:t xml:space="preserve"> </w:t>
      </w:r>
    </w:p>
    <w:p w14:paraId="41317F96" w14:textId="77777777" w:rsidR="007B18C7" w:rsidRDefault="00FE0D27" w:rsidP="007B18C7">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683E6B">
        <w:rPr>
          <w:rFonts w:ascii="Arial" w:hAnsi="Arial" w:cs="Arial"/>
          <w:sz w:val="24"/>
          <w:szCs w:val="24"/>
        </w:rPr>
        <w:t xml:space="preserve">I take this opportunity to thank Mr </w:t>
      </w:r>
      <w:proofErr w:type="spellStart"/>
      <w:r w:rsidRPr="00683E6B">
        <w:rPr>
          <w:rFonts w:ascii="Arial" w:hAnsi="Arial" w:cs="Arial"/>
          <w:sz w:val="24"/>
          <w:szCs w:val="24"/>
        </w:rPr>
        <w:t>Motala</w:t>
      </w:r>
      <w:proofErr w:type="spellEnd"/>
      <w:r w:rsidRPr="00683E6B">
        <w:rPr>
          <w:rFonts w:ascii="Arial" w:hAnsi="Arial" w:cs="Arial"/>
          <w:sz w:val="24"/>
          <w:szCs w:val="24"/>
        </w:rPr>
        <w:t xml:space="preserve"> for his comprehensive report and recommendations.</w:t>
      </w:r>
    </w:p>
    <w:p w14:paraId="0FB39B77" w14:textId="492590D1" w:rsidR="006B0CB7" w:rsidRPr="007B18C7" w:rsidRDefault="006B0CB7" w:rsidP="007B18C7">
      <w:pPr>
        <w:pStyle w:val="ListParagraph"/>
        <w:widowControl w:val="0"/>
        <w:numPr>
          <w:ilvl w:val="0"/>
          <w:numId w:val="1"/>
        </w:numPr>
        <w:tabs>
          <w:tab w:val="left" w:pos="709"/>
        </w:tabs>
        <w:spacing w:before="300" w:after="0" w:line="480" w:lineRule="auto"/>
        <w:ind w:left="0" w:right="-23" w:firstLine="0"/>
        <w:contextualSpacing w:val="0"/>
        <w:jc w:val="both"/>
        <w:rPr>
          <w:rFonts w:ascii="Arial" w:hAnsi="Arial" w:cs="Arial"/>
          <w:sz w:val="24"/>
          <w:szCs w:val="24"/>
        </w:rPr>
      </w:pPr>
      <w:r w:rsidRPr="007B18C7">
        <w:rPr>
          <w:rFonts w:ascii="Arial" w:hAnsi="Arial" w:cs="Arial"/>
          <w:sz w:val="24"/>
          <w:szCs w:val="24"/>
        </w:rPr>
        <w:t xml:space="preserve">I </w:t>
      </w:r>
      <w:r w:rsidR="00CB2DDF" w:rsidRPr="007B18C7">
        <w:rPr>
          <w:rFonts w:ascii="Arial" w:hAnsi="Arial" w:cs="Arial"/>
          <w:sz w:val="24"/>
          <w:szCs w:val="24"/>
        </w:rPr>
        <w:t xml:space="preserve">accordingly </w:t>
      </w:r>
      <w:r w:rsidRPr="007B18C7">
        <w:rPr>
          <w:rFonts w:ascii="Arial" w:hAnsi="Arial" w:cs="Arial"/>
          <w:sz w:val="24"/>
          <w:szCs w:val="24"/>
        </w:rPr>
        <w:t>make the following order</w:t>
      </w:r>
      <w:r w:rsidR="00D7459C" w:rsidRPr="007B18C7">
        <w:rPr>
          <w:rFonts w:ascii="Arial" w:hAnsi="Arial" w:cs="Arial"/>
          <w:sz w:val="24"/>
          <w:szCs w:val="24"/>
        </w:rPr>
        <w:t xml:space="preserve"> which is largely </w:t>
      </w:r>
      <w:r w:rsidR="00BF27A1" w:rsidRPr="007B18C7">
        <w:rPr>
          <w:rFonts w:ascii="Arial" w:hAnsi="Arial" w:cs="Arial"/>
          <w:sz w:val="24"/>
          <w:szCs w:val="24"/>
        </w:rPr>
        <w:t>modelled</w:t>
      </w:r>
      <w:r w:rsidR="00D7459C" w:rsidRPr="007B18C7">
        <w:rPr>
          <w:rFonts w:ascii="Arial" w:hAnsi="Arial" w:cs="Arial"/>
          <w:sz w:val="24"/>
          <w:szCs w:val="24"/>
        </w:rPr>
        <w:t xml:space="preserve"> </w:t>
      </w:r>
      <w:r w:rsidR="00346C8F" w:rsidRPr="007B18C7">
        <w:rPr>
          <w:rFonts w:ascii="Arial" w:hAnsi="Arial" w:cs="Arial"/>
          <w:sz w:val="24"/>
          <w:szCs w:val="24"/>
        </w:rPr>
        <w:t xml:space="preserve">on </w:t>
      </w:r>
      <w:r w:rsidR="00D7459C" w:rsidRPr="007B18C7">
        <w:rPr>
          <w:rFonts w:ascii="Arial" w:hAnsi="Arial" w:cs="Arial"/>
          <w:sz w:val="24"/>
          <w:szCs w:val="24"/>
        </w:rPr>
        <w:t xml:space="preserve">the </w:t>
      </w:r>
      <w:r w:rsidR="00E46170" w:rsidRPr="007B18C7">
        <w:rPr>
          <w:rFonts w:ascii="Arial" w:hAnsi="Arial" w:cs="Arial"/>
          <w:sz w:val="24"/>
          <w:szCs w:val="24"/>
        </w:rPr>
        <w:t>draft order furnished by the plaintiff</w:t>
      </w:r>
      <w:r w:rsidRPr="007B18C7">
        <w:rPr>
          <w:rFonts w:ascii="Arial" w:hAnsi="Arial" w:cs="Arial"/>
          <w:sz w:val="24"/>
          <w:szCs w:val="24"/>
        </w:rPr>
        <w:t>:</w:t>
      </w:r>
    </w:p>
    <w:p w14:paraId="01F190C7" w14:textId="77777777" w:rsidR="007B18C7" w:rsidRDefault="007B18C7" w:rsidP="007B18C7">
      <w:pPr>
        <w:widowControl w:val="0"/>
        <w:spacing w:before="100" w:after="0" w:line="480" w:lineRule="auto"/>
        <w:ind w:right="-23"/>
        <w:jc w:val="both"/>
        <w:rPr>
          <w:rFonts w:ascii="Arial" w:hAnsi="Arial" w:cs="Arial"/>
          <w:b/>
          <w:bCs/>
          <w:sz w:val="24"/>
          <w:szCs w:val="24"/>
        </w:rPr>
      </w:pPr>
    </w:p>
    <w:p w14:paraId="2B8C9E67" w14:textId="1660282A" w:rsidR="007B18C7" w:rsidRPr="00376A21" w:rsidRDefault="007B18C7" w:rsidP="007B18C7">
      <w:pPr>
        <w:widowControl w:val="0"/>
        <w:spacing w:before="100" w:after="0" w:line="480" w:lineRule="auto"/>
        <w:ind w:right="-23"/>
        <w:jc w:val="both"/>
        <w:rPr>
          <w:rFonts w:ascii="Arial" w:hAnsi="Arial" w:cs="Arial"/>
          <w:sz w:val="24"/>
          <w:szCs w:val="24"/>
          <w:u w:val="single"/>
        </w:rPr>
      </w:pPr>
      <w:r w:rsidRPr="00376A21">
        <w:rPr>
          <w:rFonts w:ascii="Arial" w:hAnsi="Arial" w:cs="Arial"/>
          <w:b/>
          <w:bCs/>
          <w:sz w:val="24"/>
          <w:szCs w:val="24"/>
          <w:u w:val="single"/>
        </w:rPr>
        <w:t>ORDER</w:t>
      </w:r>
    </w:p>
    <w:p w14:paraId="2431D3EE" w14:textId="146CB00C" w:rsidR="00BA1745" w:rsidRPr="00683E6B" w:rsidRDefault="00BA1745" w:rsidP="007B18C7">
      <w:pPr>
        <w:pStyle w:val="ListParagraph"/>
        <w:widowControl w:val="0"/>
        <w:numPr>
          <w:ilvl w:val="0"/>
          <w:numId w:val="8"/>
        </w:numPr>
        <w:tabs>
          <w:tab w:val="left" w:pos="709"/>
        </w:tabs>
        <w:autoSpaceDE w:val="0"/>
        <w:autoSpaceDN w:val="0"/>
        <w:spacing w:before="100" w:after="0" w:line="480" w:lineRule="auto"/>
        <w:ind w:left="0" w:firstLine="0"/>
        <w:contextualSpacing w:val="0"/>
        <w:jc w:val="both"/>
        <w:rPr>
          <w:rFonts w:ascii="Arial" w:hAnsi="Arial" w:cs="Arial"/>
          <w:sz w:val="24"/>
          <w:szCs w:val="24"/>
          <w:lang w:val="en-GB" w:eastAsia="en-ZA"/>
        </w:rPr>
      </w:pPr>
      <w:r w:rsidRPr="00683E6B">
        <w:rPr>
          <w:rFonts w:ascii="Arial" w:hAnsi="Arial" w:cs="Arial"/>
          <w:sz w:val="24"/>
          <w:szCs w:val="24"/>
          <w:lang w:val="en-GB" w:eastAsia="en-ZA"/>
        </w:rPr>
        <w:t xml:space="preserve">By agreement between the parties, the </w:t>
      </w:r>
      <w:r w:rsidR="00587F55" w:rsidRPr="00683E6B">
        <w:rPr>
          <w:rFonts w:ascii="Arial" w:hAnsi="Arial" w:cs="Arial"/>
          <w:sz w:val="24"/>
          <w:szCs w:val="24"/>
          <w:lang w:val="en-GB" w:eastAsia="en-ZA"/>
        </w:rPr>
        <w:t>d</w:t>
      </w:r>
      <w:r w:rsidRPr="00683E6B">
        <w:rPr>
          <w:rFonts w:ascii="Arial" w:hAnsi="Arial" w:cs="Arial"/>
          <w:sz w:val="24"/>
          <w:szCs w:val="24"/>
          <w:lang w:val="en-GB" w:eastAsia="en-ZA"/>
        </w:rPr>
        <w:t xml:space="preserve">efendant is held liable for </w:t>
      </w:r>
      <w:r w:rsidRPr="00683E6B">
        <w:rPr>
          <w:rFonts w:ascii="Arial" w:hAnsi="Arial" w:cs="Arial"/>
          <w:bCs/>
          <w:sz w:val="24"/>
          <w:szCs w:val="24"/>
          <w:lang w:val="en-GB" w:eastAsia="en-ZA"/>
        </w:rPr>
        <w:t>100%</w:t>
      </w:r>
      <w:r w:rsidRPr="00683E6B">
        <w:rPr>
          <w:rFonts w:ascii="Arial" w:hAnsi="Arial" w:cs="Arial"/>
          <w:sz w:val="24"/>
          <w:szCs w:val="24"/>
          <w:lang w:val="en-GB" w:eastAsia="en-ZA"/>
        </w:rPr>
        <w:t xml:space="preserve"> of </w:t>
      </w:r>
      <w:r w:rsidR="00587F55" w:rsidRPr="00683E6B">
        <w:rPr>
          <w:rFonts w:ascii="Arial" w:hAnsi="Arial" w:cs="Arial"/>
          <w:sz w:val="24"/>
          <w:szCs w:val="24"/>
          <w:lang w:val="en-GB" w:eastAsia="en-ZA"/>
        </w:rPr>
        <w:t>the plaintiff</w:t>
      </w:r>
      <w:r w:rsidRPr="00683E6B">
        <w:rPr>
          <w:rFonts w:ascii="Arial" w:hAnsi="Arial" w:cs="Arial"/>
          <w:sz w:val="24"/>
          <w:szCs w:val="24"/>
          <w:lang w:val="en-GB" w:eastAsia="en-ZA"/>
        </w:rPr>
        <w:t>’s proven damages.</w:t>
      </w:r>
    </w:p>
    <w:p w14:paraId="2AAD5D3F" w14:textId="1D5EA29A" w:rsidR="00BA1745" w:rsidRPr="00683E6B" w:rsidRDefault="00C95CB9" w:rsidP="00CA414E">
      <w:pPr>
        <w:pStyle w:val="ListParagraph"/>
        <w:widowControl w:val="0"/>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val="en-GB" w:eastAsia="en-ZA"/>
        </w:rPr>
      </w:pPr>
      <w:r w:rsidRPr="00683E6B">
        <w:rPr>
          <w:rFonts w:ascii="Arial" w:hAnsi="Arial" w:cs="Arial"/>
          <w:sz w:val="24"/>
          <w:szCs w:val="24"/>
          <w:lang w:val="en-GB" w:eastAsia="en-ZA"/>
        </w:rPr>
        <w:lastRenderedPageBreak/>
        <w:t>The defendant</w:t>
      </w:r>
      <w:r w:rsidR="00BA1745" w:rsidRPr="00683E6B">
        <w:rPr>
          <w:rFonts w:ascii="Arial" w:hAnsi="Arial" w:cs="Arial"/>
          <w:sz w:val="24"/>
          <w:szCs w:val="24"/>
          <w:lang w:val="en-GB" w:eastAsia="en-ZA"/>
        </w:rPr>
        <w:t xml:space="preserve"> shall pay </w:t>
      </w:r>
      <w:r w:rsidR="00587F55" w:rsidRPr="00683E6B">
        <w:rPr>
          <w:rFonts w:ascii="Arial" w:hAnsi="Arial" w:cs="Arial"/>
          <w:sz w:val="24"/>
          <w:szCs w:val="24"/>
          <w:lang w:val="en-GB" w:eastAsia="en-ZA"/>
        </w:rPr>
        <w:t>the plaintiff</w:t>
      </w:r>
      <w:r w:rsidR="00BA1745" w:rsidRPr="00683E6B">
        <w:rPr>
          <w:rFonts w:ascii="Arial" w:hAnsi="Arial" w:cs="Arial"/>
          <w:sz w:val="24"/>
          <w:szCs w:val="24"/>
          <w:lang w:val="en-GB" w:eastAsia="en-ZA"/>
        </w:rPr>
        <w:t xml:space="preserve"> the amount of R</w:t>
      </w:r>
      <w:r w:rsidR="002A7F80" w:rsidRPr="00683E6B">
        <w:rPr>
          <w:rFonts w:ascii="Arial" w:hAnsi="Arial" w:cs="Arial"/>
          <w:sz w:val="24"/>
          <w:szCs w:val="24"/>
          <w:lang w:val="en-GB" w:eastAsia="en-ZA"/>
        </w:rPr>
        <w:t>6</w:t>
      </w:r>
      <w:r w:rsidR="002A7F80" w:rsidRPr="00683E6B">
        <w:rPr>
          <w:rFonts w:ascii="Arial" w:hAnsi="Arial" w:cs="Arial"/>
          <w:sz w:val="24"/>
          <w:szCs w:val="24"/>
        </w:rPr>
        <w:t> </w:t>
      </w:r>
      <w:r w:rsidR="002A7F80" w:rsidRPr="00683E6B">
        <w:rPr>
          <w:rFonts w:ascii="Arial" w:hAnsi="Arial" w:cs="Arial"/>
          <w:sz w:val="24"/>
          <w:szCs w:val="24"/>
          <w:lang w:val="en-GB" w:eastAsia="en-ZA"/>
        </w:rPr>
        <w:t>390</w:t>
      </w:r>
      <w:r w:rsidR="002A7F80" w:rsidRPr="00683E6B">
        <w:rPr>
          <w:rFonts w:ascii="Arial" w:hAnsi="Arial" w:cs="Arial"/>
          <w:sz w:val="24"/>
          <w:szCs w:val="24"/>
        </w:rPr>
        <w:t> </w:t>
      </w:r>
      <w:r w:rsidR="002A7F80" w:rsidRPr="00683E6B">
        <w:rPr>
          <w:rFonts w:ascii="Arial" w:hAnsi="Arial" w:cs="Arial"/>
          <w:sz w:val="24"/>
          <w:szCs w:val="24"/>
          <w:lang w:val="en-GB" w:eastAsia="en-ZA"/>
        </w:rPr>
        <w:t xml:space="preserve">988.30 (six million, three hundred and ninety thousand, nine hundred and </w:t>
      </w:r>
      <w:proofErr w:type="gramStart"/>
      <w:r w:rsidR="002A7F80" w:rsidRPr="00683E6B">
        <w:rPr>
          <w:rFonts w:ascii="Arial" w:hAnsi="Arial" w:cs="Arial"/>
          <w:sz w:val="24"/>
          <w:szCs w:val="24"/>
          <w:lang w:val="en-GB" w:eastAsia="en-ZA"/>
        </w:rPr>
        <w:t>eighty eight</w:t>
      </w:r>
      <w:proofErr w:type="gramEnd"/>
      <w:r w:rsidR="002A7F80" w:rsidRPr="00683E6B">
        <w:rPr>
          <w:rFonts w:ascii="Arial" w:hAnsi="Arial" w:cs="Arial"/>
          <w:sz w:val="24"/>
          <w:szCs w:val="24"/>
          <w:lang w:val="en-GB" w:eastAsia="en-ZA"/>
        </w:rPr>
        <w:t xml:space="preserve"> Rand and thirty Cents) </w:t>
      </w:r>
      <w:r w:rsidR="00BA1745" w:rsidRPr="00683E6B">
        <w:rPr>
          <w:rFonts w:ascii="Arial" w:hAnsi="Arial" w:cs="Arial"/>
          <w:sz w:val="24"/>
          <w:szCs w:val="24"/>
          <w:lang w:val="en-GB" w:eastAsia="en-ZA"/>
        </w:rPr>
        <w:t xml:space="preserve">within 180 days from the date of the granting of this order, such amount being made up as follows: </w:t>
      </w:r>
    </w:p>
    <w:p w14:paraId="57DEFC0C" w14:textId="23626E47" w:rsidR="00BA1745" w:rsidRPr="00683E6B" w:rsidRDefault="00BA1745" w:rsidP="00683E6B">
      <w:pPr>
        <w:pStyle w:val="ListParagraph"/>
        <w:widowControl w:val="0"/>
        <w:numPr>
          <w:ilvl w:val="1"/>
          <w:numId w:val="8"/>
        </w:numPr>
        <w:autoSpaceDE w:val="0"/>
        <w:autoSpaceDN w:val="0"/>
        <w:spacing w:before="300" w:after="0" w:line="480" w:lineRule="auto"/>
        <w:contextualSpacing w:val="0"/>
        <w:jc w:val="both"/>
        <w:rPr>
          <w:rFonts w:ascii="Arial" w:hAnsi="Arial" w:cs="Arial"/>
          <w:sz w:val="24"/>
          <w:szCs w:val="24"/>
          <w:lang w:val="en-GB" w:eastAsia="en-ZA"/>
        </w:rPr>
      </w:pPr>
      <w:r w:rsidRPr="00683E6B">
        <w:rPr>
          <w:rFonts w:ascii="Arial" w:hAnsi="Arial" w:cs="Arial"/>
          <w:sz w:val="24"/>
          <w:szCs w:val="24"/>
          <w:lang w:val="en-GB" w:eastAsia="en-ZA"/>
        </w:rPr>
        <w:t xml:space="preserve">Loss of </w:t>
      </w:r>
      <w:r w:rsidR="004508D8" w:rsidRPr="00683E6B">
        <w:rPr>
          <w:rFonts w:ascii="Arial" w:hAnsi="Arial" w:cs="Arial"/>
          <w:sz w:val="24"/>
          <w:szCs w:val="24"/>
          <w:lang w:val="en-GB" w:eastAsia="en-ZA"/>
        </w:rPr>
        <w:t>e</w:t>
      </w:r>
      <w:r w:rsidRPr="00683E6B">
        <w:rPr>
          <w:rFonts w:ascii="Arial" w:hAnsi="Arial" w:cs="Arial"/>
          <w:sz w:val="24"/>
          <w:szCs w:val="24"/>
          <w:lang w:val="en-GB" w:eastAsia="en-ZA"/>
        </w:rPr>
        <w:t xml:space="preserve">arnings: </w:t>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00C12716">
        <w:rPr>
          <w:rFonts w:ascii="Arial" w:hAnsi="Arial" w:cs="Arial"/>
          <w:sz w:val="24"/>
          <w:szCs w:val="24"/>
          <w:lang w:val="en-GB" w:eastAsia="en-ZA"/>
        </w:rPr>
        <w:tab/>
      </w:r>
      <w:r w:rsidRPr="00683E6B">
        <w:rPr>
          <w:rFonts w:ascii="Arial" w:hAnsi="Arial" w:cs="Arial"/>
          <w:sz w:val="24"/>
          <w:szCs w:val="24"/>
          <w:lang w:val="en-GB" w:eastAsia="en-ZA"/>
        </w:rPr>
        <w:t>R</w:t>
      </w:r>
      <w:r w:rsidR="002A7F80" w:rsidRPr="00683E6B">
        <w:rPr>
          <w:rFonts w:ascii="Arial" w:hAnsi="Arial" w:cs="Arial"/>
          <w:sz w:val="24"/>
          <w:szCs w:val="24"/>
        </w:rPr>
        <w:t xml:space="preserve"> 5 036 005.88</w:t>
      </w:r>
    </w:p>
    <w:p w14:paraId="2078411D" w14:textId="5A7E2C6E" w:rsidR="00BA1745" w:rsidRPr="00683E6B" w:rsidRDefault="00BA1745" w:rsidP="00683E6B">
      <w:pPr>
        <w:pStyle w:val="ListParagraph"/>
        <w:widowControl w:val="0"/>
        <w:numPr>
          <w:ilvl w:val="1"/>
          <w:numId w:val="8"/>
        </w:numPr>
        <w:autoSpaceDE w:val="0"/>
        <w:autoSpaceDN w:val="0"/>
        <w:spacing w:before="300" w:after="0" w:line="480" w:lineRule="auto"/>
        <w:contextualSpacing w:val="0"/>
        <w:jc w:val="both"/>
        <w:rPr>
          <w:rFonts w:ascii="Arial" w:hAnsi="Arial" w:cs="Arial"/>
          <w:sz w:val="24"/>
          <w:szCs w:val="24"/>
          <w:lang w:val="en-GB" w:eastAsia="en-ZA"/>
        </w:rPr>
      </w:pPr>
      <w:r w:rsidRPr="00683E6B">
        <w:rPr>
          <w:rFonts w:ascii="Arial" w:hAnsi="Arial" w:cs="Arial"/>
          <w:sz w:val="24"/>
          <w:szCs w:val="24"/>
          <w:lang w:val="en-GB" w:eastAsia="en-ZA"/>
        </w:rPr>
        <w:t xml:space="preserve">General </w:t>
      </w:r>
      <w:r w:rsidR="004508D8" w:rsidRPr="00683E6B">
        <w:rPr>
          <w:rFonts w:ascii="Arial" w:hAnsi="Arial" w:cs="Arial"/>
          <w:sz w:val="24"/>
          <w:szCs w:val="24"/>
          <w:lang w:val="en-GB" w:eastAsia="en-ZA"/>
        </w:rPr>
        <w:t>d</w:t>
      </w:r>
      <w:r w:rsidRPr="00683E6B">
        <w:rPr>
          <w:rFonts w:ascii="Arial" w:hAnsi="Arial" w:cs="Arial"/>
          <w:sz w:val="24"/>
          <w:szCs w:val="24"/>
          <w:lang w:val="en-GB" w:eastAsia="en-ZA"/>
        </w:rPr>
        <w:t xml:space="preserve">amages: </w:t>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t>R</w:t>
      </w:r>
      <w:r w:rsidR="002A7F80" w:rsidRPr="00683E6B">
        <w:rPr>
          <w:rFonts w:ascii="Arial" w:hAnsi="Arial" w:cs="Arial"/>
          <w:sz w:val="24"/>
          <w:szCs w:val="24"/>
        </w:rPr>
        <w:t xml:space="preserve"> </w:t>
      </w:r>
      <w:r w:rsidR="002A7F80" w:rsidRPr="00683E6B">
        <w:rPr>
          <w:rFonts w:ascii="Arial" w:hAnsi="Arial" w:cs="Arial"/>
          <w:sz w:val="24"/>
          <w:szCs w:val="24"/>
          <w:lang w:val="en-GB" w:eastAsia="en-ZA"/>
        </w:rPr>
        <w:t>1</w:t>
      </w:r>
      <w:r w:rsidR="002A7F80" w:rsidRPr="00683E6B">
        <w:rPr>
          <w:rFonts w:ascii="Arial" w:hAnsi="Arial" w:cs="Arial"/>
          <w:sz w:val="24"/>
          <w:szCs w:val="24"/>
        </w:rPr>
        <w:t> 250 000.00</w:t>
      </w:r>
    </w:p>
    <w:p w14:paraId="4066A677" w14:textId="6923BC0F" w:rsidR="00BA1745" w:rsidRPr="00683E6B" w:rsidRDefault="00BA1745" w:rsidP="00683E6B">
      <w:pPr>
        <w:pStyle w:val="ListParagraph"/>
        <w:widowControl w:val="0"/>
        <w:numPr>
          <w:ilvl w:val="1"/>
          <w:numId w:val="8"/>
        </w:numPr>
        <w:autoSpaceDE w:val="0"/>
        <w:autoSpaceDN w:val="0"/>
        <w:spacing w:before="300" w:after="0" w:line="480" w:lineRule="auto"/>
        <w:contextualSpacing w:val="0"/>
        <w:jc w:val="both"/>
        <w:rPr>
          <w:rFonts w:ascii="Arial" w:hAnsi="Arial" w:cs="Arial"/>
          <w:sz w:val="24"/>
          <w:szCs w:val="24"/>
          <w:lang w:val="en-GB" w:eastAsia="en-ZA"/>
        </w:rPr>
      </w:pPr>
      <w:r w:rsidRPr="00683E6B">
        <w:rPr>
          <w:rFonts w:ascii="Arial" w:hAnsi="Arial" w:cs="Arial"/>
          <w:sz w:val="24"/>
          <w:szCs w:val="24"/>
          <w:lang w:val="en-GB" w:eastAsia="en-ZA"/>
        </w:rPr>
        <w:t>Past medical expenses:</w:t>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r>
      <w:r w:rsidRPr="00683E6B">
        <w:rPr>
          <w:rFonts w:ascii="Arial" w:hAnsi="Arial" w:cs="Arial"/>
          <w:sz w:val="24"/>
          <w:szCs w:val="24"/>
          <w:lang w:val="en-GB" w:eastAsia="en-ZA"/>
        </w:rPr>
        <w:tab/>
        <w:t>R</w:t>
      </w:r>
      <w:r w:rsidR="002A7F80" w:rsidRPr="00683E6B">
        <w:rPr>
          <w:rFonts w:ascii="Arial" w:hAnsi="Arial" w:cs="Arial"/>
          <w:sz w:val="24"/>
          <w:szCs w:val="24"/>
        </w:rPr>
        <w:t xml:space="preserve"> 104 982.42</w:t>
      </w:r>
    </w:p>
    <w:p w14:paraId="341966F3" w14:textId="2759BB46" w:rsidR="00BA1745" w:rsidRPr="00683E6B" w:rsidRDefault="00BA1745" w:rsidP="00CA414E">
      <w:pPr>
        <w:pStyle w:val="ListParagraph"/>
        <w:widowControl w:val="0"/>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lang w:val="en-GB" w:eastAsia="en-ZA"/>
        </w:rPr>
        <w:t xml:space="preserve">Interest on the aforesaid amount shall be payable by </w:t>
      </w:r>
      <w:r w:rsidR="00587F55" w:rsidRPr="00683E6B">
        <w:rPr>
          <w:rFonts w:ascii="Arial" w:hAnsi="Arial" w:cs="Arial"/>
          <w:sz w:val="24"/>
          <w:szCs w:val="24"/>
          <w:lang w:val="en-GB" w:eastAsia="en-ZA"/>
        </w:rPr>
        <w:t>the defendant</w:t>
      </w:r>
      <w:r w:rsidRPr="00683E6B">
        <w:rPr>
          <w:rFonts w:ascii="Arial" w:hAnsi="Arial" w:cs="Arial"/>
          <w:sz w:val="24"/>
          <w:szCs w:val="24"/>
          <w:lang w:val="en-GB" w:eastAsia="en-ZA"/>
        </w:rPr>
        <w:t xml:space="preserve"> </w:t>
      </w:r>
      <w:r w:rsidRPr="00683E6B">
        <w:rPr>
          <w:rFonts w:ascii="Arial" w:hAnsi="Arial" w:cs="Arial"/>
          <w:sz w:val="24"/>
          <w:szCs w:val="24"/>
        </w:rPr>
        <w:t>at the rate of 10.25% per annum, payable within 180 days from the date of granting of this order.</w:t>
      </w:r>
    </w:p>
    <w:p w14:paraId="0AA7E49B" w14:textId="2C934C47" w:rsidR="00BA1745" w:rsidRPr="00683E6B" w:rsidRDefault="00BA1745" w:rsidP="00CA414E">
      <w:pPr>
        <w:pStyle w:val="ListParagraph"/>
        <w:widowControl w:val="0"/>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lang w:val="en-GB" w:eastAsia="en-ZA"/>
        </w:rPr>
        <w:t xml:space="preserve">Payment will be made directly into the trust account of </w:t>
      </w:r>
      <w:r w:rsidR="00587F55" w:rsidRPr="00683E6B">
        <w:rPr>
          <w:rFonts w:ascii="Arial" w:hAnsi="Arial" w:cs="Arial"/>
          <w:sz w:val="24"/>
          <w:szCs w:val="24"/>
          <w:lang w:val="en-GB" w:eastAsia="en-ZA"/>
        </w:rPr>
        <w:t>the plaintiff</w:t>
      </w:r>
      <w:r w:rsidRPr="00683E6B">
        <w:rPr>
          <w:rFonts w:ascii="Arial" w:hAnsi="Arial" w:cs="Arial"/>
          <w:sz w:val="24"/>
          <w:szCs w:val="24"/>
          <w:lang w:val="en-GB" w:eastAsia="en-ZA"/>
        </w:rPr>
        <w:t>’s attorneys, the details of such trust account being as follows:</w:t>
      </w:r>
    </w:p>
    <w:tbl>
      <w:tblPr>
        <w:tblW w:w="0" w:type="auto"/>
        <w:tblInd w:w="1450" w:type="dxa"/>
        <w:tblCellMar>
          <w:left w:w="0" w:type="dxa"/>
          <w:right w:w="0" w:type="dxa"/>
        </w:tblCellMar>
        <w:tblLook w:val="04A0" w:firstRow="1" w:lastRow="0" w:firstColumn="1" w:lastColumn="0" w:noHBand="0" w:noVBand="1"/>
      </w:tblPr>
      <w:tblGrid>
        <w:gridCol w:w="2520"/>
        <w:gridCol w:w="4410"/>
      </w:tblGrid>
      <w:tr w:rsidR="00BA1745" w:rsidRPr="00683E6B" w14:paraId="54EF0044" w14:textId="77777777" w:rsidTr="006B369D">
        <w:trPr>
          <w:cantSplit/>
        </w:trPr>
        <w:tc>
          <w:tcPr>
            <w:tcW w:w="2520" w:type="dxa"/>
            <w:tcBorders>
              <w:top w:val="single" w:sz="8" w:space="0" w:color="000000"/>
              <w:left w:val="single" w:sz="8" w:space="0" w:color="000000"/>
              <w:bottom w:val="nil"/>
              <w:right w:val="nil"/>
            </w:tcBorders>
            <w:tcMar>
              <w:top w:w="0" w:type="dxa"/>
              <w:left w:w="100" w:type="dxa"/>
              <w:bottom w:w="0" w:type="dxa"/>
              <w:right w:w="100" w:type="dxa"/>
            </w:tcMar>
            <w:hideMark/>
          </w:tcPr>
          <w:p w14:paraId="65F9BDF6" w14:textId="77777777" w:rsidR="00BA1745" w:rsidRPr="00683E6B" w:rsidRDefault="00BA1745" w:rsidP="00683E6B">
            <w:pPr>
              <w:spacing w:before="300" w:after="0" w:line="480" w:lineRule="auto"/>
              <w:jc w:val="both"/>
              <w:rPr>
                <w:rFonts w:ascii="Arial" w:hAnsi="Arial" w:cs="Arial"/>
                <w:sz w:val="24"/>
                <w:szCs w:val="24"/>
                <w:lang w:eastAsia="en-ZA"/>
              </w:rPr>
            </w:pPr>
            <w:r w:rsidRPr="00683E6B">
              <w:rPr>
                <w:rFonts w:ascii="Arial" w:hAnsi="Arial" w:cs="Arial"/>
                <w:sz w:val="24"/>
                <w:szCs w:val="24"/>
                <w:lang w:eastAsia="en-ZA"/>
              </w:rPr>
              <w:t>Holder</w:t>
            </w:r>
          </w:p>
        </w:tc>
        <w:tc>
          <w:tcPr>
            <w:tcW w:w="441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14:paraId="38F9744A" w14:textId="2A64B941" w:rsidR="00BA1745" w:rsidRPr="00683E6B" w:rsidRDefault="00926C89" w:rsidP="00683E6B">
            <w:pPr>
              <w:spacing w:before="300" w:after="0" w:line="480" w:lineRule="auto"/>
              <w:jc w:val="both"/>
              <w:rPr>
                <w:rFonts w:ascii="Arial" w:hAnsi="Arial" w:cs="Arial"/>
                <w:sz w:val="24"/>
                <w:szCs w:val="24"/>
                <w:lang w:eastAsia="en-ZA"/>
              </w:rPr>
            </w:pPr>
            <w:r>
              <w:rPr>
                <w:rFonts w:ascii="Arial" w:hAnsi="Arial" w:cs="Arial"/>
                <w:sz w:val="24"/>
                <w:szCs w:val="24"/>
              </w:rPr>
              <w:t>[…]</w:t>
            </w:r>
          </w:p>
        </w:tc>
      </w:tr>
      <w:tr w:rsidR="00BA1745" w:rsidRPr="00683E6B" w14:paraId="0322A3DD" w14:textId="77777777" w:rsidTr="006B369D">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14:paraId="6FEA122F" w14:textId="77777777" w:rsidR="00BA1745" w:rsidRPr="00683E6B" w:rsidRDefault="00BA1745" w:rsidP="00683E6B">
            <w:pPr>
              <w:spacing w:before="300" w:after="0" w:line="480" w:lineRule="auto"/>
              <w:jc w:val="both"/>
              <w:rPr>
                <w:rFonts w:ascii="Arial" w:hAnsi="Arial" w:cs="Arial"/>
                <w:sz w:val="24"/>
                <w:szCs w:val="24"/>
                <w:lang w:eastAsia="en-ZA"/>
              </w:rPr>
            </w:pPr>
            <w:r w:rsidRPr="00683E6B">
              <w:rPr>
                <w:rFonts w:ascii="Arial" w:hAnsi="Arial" w:cs="Arial"/>
                <w:sz w:val="24"/>
                <w:szCs w:val="24"/>
                <w:lang w:eastAsia="en-ZA"/>
              </w:rPr>
              <w:t>Account Number</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1C87AFB" w14:textId="594EC95C" w:rsidR="00BA1745" w:rsidRPr="00683E6B" w:rsidRDefault="00926C89" w:rsidP="00683E6B">
            <w:pPr>
              <w:spacing w:before="300" w:after="0" w:line="480" w:lineRule="auto"/>
              <w:jc w:val="both"/>
              <w:rPr>
                <w:rFonts w:ascii="Arial" w:hAnsi="Arial" w:cs="Arial"/>
                <w:b/>
                <w:bCs/>
                <w:sz w:val="24"/>
                <w:szCs w:val="24"/>
                <w:lang w:eastAsia="en-ZA"/>
              </w:rPr>
            </w:pPr>
            <w:r>
              <w:rPr>
                <w:rFonts w:ascii="Arial" w:hAnsi="Arial" w:cs="Arial"/>
                <w:sz w:val="24"/>
                <w:szCs w:val="24"/>
              </w:rPr>
              <w:t>[…]</w:t>
            </w:r>
          </w:p>
        </w:tc>
      </w:tr>
      <w:tr w:rsidR="00BA1745" w:rsidRPr="00683E6B" w14:paraId="2A70BE70" w14:textId="77777777" w:rsidTr="006B369D">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14:paraId="62F4FCFF" w14:textId="77777777" w:rsidR="00BA1745" w:rsidRPr="00683E6B" w:rsidRDefault="00BA1745" w:rsidP="00683E6B">
            <w:pPr>
              <w:spacing w:before="300" w:after="0" w:line="480" w:lineRule="auto"/>
              <w:jc w:val="both"/>
              <w:rPr>
                <w:rFonts w:ascii="Arial" w:hAnsi="Arial" w:cs="Arial"/>
                <w:sz w:val="24"/>
                <w:szCs w:val="24"/>
                <w:lang w:eastAsia="en-ZA"/>
              </w:rPr>
            </w:pPr>
            <w:r w:rsidRPr="00683E6B">
              <w:rPr>
                <w:rFonts w:ascii="Arial" w:hAnsi="Arial" w:cs="Arial"/>
                <w:sz w:val="24"/>
                <w:szCs w:val="24"/>
                <w:lang w:eastAsia="en-ZA"/>
              </w:rPr>
              <w:t xml:space="preserve">Bank &amp; Branch       </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B9ABDD0" w14:textId="019C65F6" w:rsidR="00BA1745" w:rsidRPr="00683E6B" w:rsidRDefault="00926C89" w:rsidP="00683E6B">
            <w:pPr>
              <w:spacing w:before="300" w:after="0" w:line="480" w:lineRule="auto"/>
              <w:jc w:val="both"/>
              <w:rPr>
                <w:rFonts w:ascii="Arial" w:hAnsi="Arial" w:cs="Arial"/>
                <w:sz w:val="24"/>
                <w:szCs w:val="24"/>
                <w:lang w:eastAsia="en-ZA"/>
              </w:rPr>
            </w:pPr>
            <w:r>
              <w:rPr>
                <w:rFonts w:ascii="Arial" w:hAnsi="Arial" w:cs="Arial"/>
                <w:sz w:val="24"/>
                <w:szCs w:val="24"/>
              </w:rPr>
              <w:t>[…]</w:t>
            </w:r>
          </w:p>
        </w:tc>
      </w:tr>
      <w:tr w:rsidR="00BA1745" w:rsidRPr="00683E6B" w14:paraId="759790E4" w14:textId="77777777" w:rsidTr="006B369D">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14:paraId="42469B7D" w14:textId="77777777" w:rsidR="00BA1745" w:rsidRPr="00683E6B" w:rsidRDefault="00BA1745" w:rsidP="00683E6B">
            <w:pPr>
              <w:spacing w:before="300" w:after="0" w:line="480" w:lineRule="auto"/>
              <w:jc w:val="both"/>
              <w:rPr>
                <w:rFonts w:ascii="Arial" w:hAnsi="Arial" w:cs="Arial"/>
                <w:sz w:val="24"/>
                <w:szCs w:val="24"/>
                <w:lang w:eastAsia="en-ZA"/>
              </w:rPr>
            </w:pPr>
            <w:r w:rsidRPr="00683E6B">
              <w:rPr>
                <w:rFonts w:ascii="Arial" w:hAnsi="Arial" w:cs="Arial"/>
                <w:sz w:val="24"/>
                <w:szCs w:val="24"/>
                <w:lang w:eastAsia="en-ZA"/>
              </w:rPr>
              <w:t>Code</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9C7EB38" w14:textId="3E2E7219" w:rsidR="00BA1745" w:rsidRPr="00683E6B" w:rsidRDefault="00926C89" w:rsidP="00683E6B">
            <w:pPr>
              <w:spacing w:before="300" w:after="0" w:line="480" w:lineRule="auto"/>
              <w:jc w:val="both"/>
              <w:rPr>
                <w:rFonts w:ascii="Arial" w:hAnsi="Arial" w:cs="Arial"/>
                <w:sz w:val="24"/>
                <w:szCs w:val="24"/>
                <w:lang w:eastAsia="en-ZA"/>
              </w:rPr>
            </w:pPr>
            <w:r>
              <w:rPr>
                <w:rFonts w:ascii="Arial" w:hAnsi="Arial" w:cs="Arial"/>
                <w:sz w:val="24"/>
                <w:szCs w:val="24"/>
              </w:rPr>
              <w:t>[…]</w:t>
            </w:r>
          </w:p>
        </w:tc>
      </w:tr>
      <w:tr w:rsidR="00BA1745" w:rsidRPr="00683E6B" w14:paraId="39CF6402" w14:textId="77777777" w:rsidTr="006B369D">
        <w:trPr>
          <w:cantSplit/>
        </w:trPr>
        <w:tc>
          <w:tcPr>
            <w:tcW w:w="2520" w:type="dxa"/>
            <w:tcBorders>
              <w:top w:val="single" w:sz="8" w:space="0" w:color="000000"/>
              <w:left w:val="single" w:sz="8" w:space="0" w:color="000000"/>
              <w:bottom w:val="single" w:sz="8" w:space="0" w:color="000000"/>
              <w:right w:val="nil"/>
            </w:tcBorders>
            <w:tcMar>
              <w:top w:w="0" w:type="dxa"/>
              <w:left w:w="100" w:type="dxa"/>
              <w:bottom w:w="0" w:type="dxa"/>
              <w:right w:w="100" w:type="dxa"/>
            </w:tcMar>
          </w:tcPr>
          <w:p w14:paraId="529E7AF4" w14:textId="77777777" w:rsidR="00BA1745" w:rsidRPr="00683E6B" w:rsidRDefault="00BA1745" w:rsidP="00683E6B">
            <w:pPr>
              <w:spacing w:before="300" w:after="0" w:line="480" w:lineRule="auto"/>
              <w:jc w:val="both"/>
              <w:rPr>
                <w:rFonts w:ascii="Arial" w:hAnsi="Arial" w:cs="Arial"/>
                <w:sz w:val="24"/>
                <w:szCs w:val="24"/>
                <w:lang w:eastAsia="en-ZA"/>
              </w:rPr>
            </w:pPr>
            <w:r w:rsidRPr="00683E6B">
              <w:rPr>
                <w:rFonts w:ascii="Arial" w:hAnsi="Arial" w:cs="Arial"/>
                <w:sz w:val="24"/>
                <w:szCs w:val="24"/>
                <w:lang w:eastAsia="en-ZA"/>
              </w:rPr>
              <w:t>Ref</w:t>
            </w:r>
          </w:p>
        </w:tc>
        <w:tc>
          <w:tcPr>
            <w:tcW w:w="44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4DFD3DC" w14:textId="4D4D9F6E" w:rsidR="00BA1745" w:rsidRPr="00683E6B" w:rsidRDefault="00926C89" w:rsidP="00683E6B">
            <w:pPr>
              <w:spacing w:before="300" w:after="0" w:line="480" w:lineRule="auto"/>
              <w:jc w:val="both"/>
              <w:rPr>
                <w:rFonts w:ascii="Arial" w:hAnsi="Arial" w:cs="Arial"/>
                <w:sz w:val="24"/>
                <w:szCs w:val="24"/>
                <w:lang w:eastAsia="en-ZA"/>
              </w:rPr>
            </w:pPr>
            <w:r>
              <w:rPr>
                <w:rFonts w:ascii="Arial" w:hAnsi="Arial" w:cs="Arial"/>
                <w:sz w:val="24"/>
                <w:szCs w:val="24"/>
              </w:rPr>
              <w:t>[…]</w:t>
            </w:r>
          </w:p>
        </w:tc>
      </w:tr>
    </w:tbl>
    <w:p w14:paraId="6DE4F838" w14:textId="77777777" w:rsidR="00C95CB9" w:rsidRPr="00683E6B" w:rsidRDefault="00C95CB9" w:rsidP="00683E6B">
      <w:pPr>
        <w:spacing w:before="300" w:after="0" w:line="480" w:lineRule="auto"/>
        <w:jc w:val="both"/>
        <w:rPr>
          <w:rFonts w:ascii="Arial" w:hAnsi="Arial" w:cs="Arial"/>
          <w:sz w:val="24"/>
          <w:szCs w:val="24"/>
        </w:rPr>
      </w:pPr>
    </w:p>
    <w:p w14:paraId="28B9273F" w14:textId="7995D725" w:rsidR="00BA1745" w:rsidRPr="00683E6B" w:rsidRDefault="00C95CB9" w:rsidP="00CA414E">
      <w:pPr>
        <w:pStyle w:val="ListParagraph"/>
        <w:numPr>
          <w:ilvl w:val="0"/>
          <w:numId w:val="8"/>
        </w:numPr>
        <w:tabs>
          <w:tab w:val="left" w:pos="709"/>
        </w:tabs>
        <w:spacing w:before="300" w:after="0" w:line="480" w:lineRule="auto"/>
        <w:ind w:left="0" w:firstLine="0"/>
        <w:contextualSpacing w:val="0"/>
        <w:jc w:val="both"/>
        <w:rPr>
          <w:rFonts w:ascii="Arial" w:hAnsi="Arial" w:cs="Arial"/>
          <w:b/>
          <w:bCs/>
          <w:sz w:val="24"/>
          <w:szCs w:val="24"/>
        </w:rPr>
      </w:pPr>
      <w:r w:rsidRPr="00683E6B">
        <w:rPr>
          <w:rFonts w:ascii="Arial" w:hAnsi="Arial" w:cs="Arial"/>
          <w:sz w:val="24"/>
          <w:szCs w:val="24"/>
        </w:rPr>
        <w:t>The defendant</w:t>
      </w:r>
      <w:r w:rsidR="00BA1745" w:rsidRPr="00683E6B">
        <w:rPr>
          <w:rFonts w:ascii="Arial" w:hAnsi="Arial" w:cs="Arial"/>
          <w:sz w:val="24"/>
          <w:szCs w:val="24"/>
        </w:rPr>
        <w:t xml:space="preserve"> shall furnish </w:t>
      </w:r>
      <w:r w:rsidR="00587F55" w:rsidRPr="00683E6B">
        <w:rPr>
          <w:rFonts w:ascii="Arial" w:hAnsi="Arial" w:cs="Arial"/>
          <w:sz w:val="24"/>
          <w:szCs w:val="24"/>
        </w:rPr>
        <w:t>the plaintiff</w:t>
      </w:r>
      <w:r w:rsidR="00BA1745" w:rsidRPr="00683E6B">
        <w:rPr>
          <w:rFonts w:ascii="Arial" w:hAnsi="Arial" w:cs="Arial"/>
          <w:sz w:val="24"/>
          <w:szCs w:val="24"/>
        </w:rPr>
        <w:t xml:space="preserve"> and/or the </w:t>
      </w:r>
      <w:r w:rsidRPr="00683E6B">
        <w:rPr>
          <w:rFonts w:ascii="Arial" w:hAnsi="Arial" w:cs="Arial"/>
          <w:sz w:val="24"/>
          <w:szCs w:val="24"/>
        </w:rPr>
        <w:t>t</w:t>
      </w:r>
      <w:r w:rsidR="00BA1745" w:rsidRPr="00683E6B">
        <w:rPr>
          <w:rFonts w:ascii="Arial" w:hAnsi="Arial" w:cs="Arial"/>
          <w:sz w:val="24"/>
          <w:szCs w:val="24"/>
        </w:rPr>
        <w:t>rustee</w:t>
      </w:r>
      <w:r w:rsidR="00AF322C" w:rsidRPr="00683E6B">
        <w:rPr>
          <w:rFonts w:ascii="Arial" w:hAnsi="Arial" w:cs="Arial"/>
          <w:sz w:val="24"/>
          <w:szCs w:val="24"/>
        </w:rPr>
        <w:t>s</w:t>
      </w:r>
      <w:r w:rsidR="00BA1745" w:rsidRPr="00683E6B">
        <w:rPr>
          <w:rFonts w:ascii="Arial" w:hAnsi="Arial" w:cs="Arial"/>
          <w:sz w:val="24"/>
          <w:szCs w:val="24"/>
        </w:rPr>
        <w:t xml:space="preserve"> referred to in </w:t>
      </w:r>
      <w:r w:rsidR="00AF322C" w:rsidRPr="00683E6B">
        <w:rPr>
          <w:rFonts w:ascii="Arial" w:hAnsi="Arial" w:cs="Arial"/>
          <w:sz w:val="24"/>
          <w:szCs w:val="24"/>
        </w:rPr>
        <w:t>paragraph 9 below</w:t>
      </w:r>
      <w:r w:rsidR="009975FA" w:rsidRPr="00683E6B">
        <w:rPr>
          <w:rFonts w:ascii="Arial" w:hAnsi="Arial" w:cs="Arial"/>
          <w:sz w:val="24"/>
          <w:szCs w:val="24"/>
        </w:rPr>
        <w:t xml:space="preserve"> (‘the trustees”)</w:t>
      </w:r>
      <w:r w:rsidR="00BA1745" w:rsidRPr="00683E6B">
        <w:rPr>
          <w:rFonts w:ascii="Arial" w:hAnsi="Arial" w:cs="Arial"/>
          <w:sz w:val="24"/>
          <w:szCs w:val="24"/>
        </w:rPr>
        <w:t xml:space="preserve">, with an </w:t>
      </w:r>
      <w:r w:rsidRPr="00683E6B">
        <w:rPr>
          <w:rFonts w:ascii="Arial" w:hAnsi="Arial" w:cs="Arial"/>
          <w:sz w:val="24"/>
          <w:szCs w:val="24"/>
        </w:rPr>
        <w:t>u</w:t>
      </w:r>
      <w:r w:rsidR="00BA1745" w:rsidRPr="00683E6B">
        <w:rPr>
          <w:rFonts w:ascii="Arial" w:hAnsi="Arial" w:cs="Arial"/>
          <w:sz w:val="24"/>
          <w:szCs w:val="24"/>
        </w:rPr>
        <w:t xml:space="preserve">ndertaking in terms of section 17(4)(a) of </w:t>
      </w:r>
      <w:r w:rsidR="00BA1745" w:rsidRPr="00683E6B">
        <w:rPr>
          <w:rFonts w:ascii="Arial" w:hAnsi="Arial" w:cs="Arial"/>
          <w:sz w:val="24"/>
          <w:szCs w:val="24"/>
        </w:rPr>
        <w:lastRenderedPageBreak/>
        <w:t>the Road Accident Fund Act 56 of 1996 (</w:t>
      </w:r>
      <w:r w:rsidR="008A1877" w:rsidRPr="00683E6B">
        <w:rPr>
          <w:rFonts w:ascii="Arial" w:hAnsi="Arial" w:cs="Arial"/>
          <w:sz w:val="24"/>
          <w:szCs w:val="24"/>
        </w:rPr>
        <w:t>‘</w:t>
      </w:r>
      <w:r w:rsidR="00BA1745" w:rsidRPr="00683E6B">
        <w:rPr>
          <w:rFonts w:ascii="Arial" w:hAnsi="Arial" w:cs="Arial"/>
          <w:sz w:val="24"/>
          <w:szCs w:val="24"/>
        </w:rPr>
        <w:t xml:space="preserve">the </w:t>
      </w:r>
      <w:r w:rsidRPr="00683E6B">
        <w:rPr>
          <w:rFonts w:ascii="Arial" w:hAnsi="Arial" w:cs="Arial"/>
          <w:sz w:val="24"/>
          <w:szCs w:val="24"/>
        </w:rPr>
        <w:t>u</w:t>
      </w:r>
      <w:r w:rsidR="00BA1745" w:rsidRPr="00683E6B">
        <w:rPr>
          <w:rFonts w:ascii="Arial" w:hAnsi="Arial" w:cs="Arial"/>
          <w:sz w:val="24"/>
          <w:szCs w:val="24"/>
        </w:rPr>
        <w:t xml:space="preserve">ndertaking”) to reimburse </w:t>
      </w:r>
      <w:r w:rsidR="00587F55" w:rsidRPr="00683E6B">
        <w:rPr>
          <w:rFonts w:ascii="Arial" w:hAnsi="Arial" w:cs="Arial"/>
          <w:sz w:val="24"/>
          <w:szCs w:val="24"/>
        </w:rPr>
        <w:t>the plaintiff</w:t>
      </w:r>
      <w:r w:rsidR="00BA1745" w:rsidRPr="00683E6B">
        <w:rPr>
          <w:rFonts w:ascii="Arial" w:hAnsi="Arial" w:cs="Arial"/>
          <w:sz w:val="24"/>
          <w:szCs w:val="24"/>
        </w:rPr>
        <w:t xml:space="preserve"> and/or the </w:t>
      </w:r>
      <w:r w:rsidRPr="00683E6B">
        <w:rPr>
          <w:rFonts w:ascii="Arial" w:hAnsi="Arial" w:cs="Arial"/>
          <w:sz w:val="24"/>
          <w:szCs w:val="24"/>
        </w:rPr>
        <w:t>t</w:t>
      </w:r>
      <w:r w:rsidR="00BA1745" w:rsidRPr="00683E6B">
        <w:rPr>
          <w:rFonts w:ascii="Arial" w:hAnsi="Arial" w:cs="Arial"/>
          <w:sz w:val="24"/>
          <w:szCs w:val="24"/>
        </w:rPr>
        <w:t>rustee</w:t>
      </w:r>
      <w:r w:rsidR="00AF322C" w:rsidRPr="00683E6B">
        <w:rPr>
          <w:rFonts w:ascii="Arial" w:hAnsi="Arial" w:cs="Arial"/>
          <w:sz w:val="24"/>
          <w:szCs w:val="24"/>
        </w:rPr>
        <w:t>s</w:t>
      </w:r>
      <w:r w:rsidR="00BA1745" w:rsidRPr="00683E6B">
        <w:rPr>
          <w:rFonts w:ascii="Arial" w:hAnsi="Arial" w:cs="Arial"/>
          <w:sz w:val="24"/>
          <w:szCs w:val="24"/>
        </w:rPr>
        <w:t xml:space="preserve"> 100% of the costs of </w:t>
      </w:r>
      <w:r w:rsidRPr="00683E6B">
        <w:rPr>
          <w:rFonts w:ascii="Arial" w:hAnsi="Arial" w:cs="Arial"/>
          <w:sz w:val="24"/>
          <w:szCs w:val="24"/>
        </w:rPr>
        <w:t>K</w:t>
      </w:r>
      <w:r w:rsidR="00881417">
        <w:rPr>
          <w:rFonts w:ascii="Arial" w:hAnsi="Arial" w:cs="Arial"/>
          <w:sz w:val="24"/>
          <w:szCs w:val="24"/>
        </w:rPr>
        <w:t>[…]</w:t>
      </w:r>
      <w:r w:rsidRPr="00683E6B">
        <w:rPr>
          <w:rFonts w:ascii="Arial" w:hAnsi="Arial" w:cs="Arial"/>
          <w:sz w:val="24"/>
          <w:szCs w:val="24"/>
        </w:rPr>
        <w:t xml:space="preserve"> W</w:t>
      </w:r>
      <w:r w:rsidR="00881417">
        <w:rPr>
          <w:rFonts w:ascii="Arial" w:hAnsi="Arial" w:cs="Arial"/>
          <w:sz w:val="24"/>
          <w:szCs w:val="24"/>
        </w:rPr>
        <w:t>[…]</w:t>
      </w:r>
      <w:r w:rsidRPr="00683E6B">
        <w:rPr>
          <w:rFonts w:ascii="Arial" w:hAnsi="Arial" w:cs="Arial"/>
          <w:sz w:val="24"/>
          <w:szCs w:val="24"/>
        </w:rPr>
        <w:t xml:space="preserve"> (“</w:t>
      </w:r>
      <w:r w:rsidR="00BA1745" w:rsidRPr="00683E6B">
        <w:rPr>
          <w:rFonts w:ascii="Arial" w:hAnsi="Arial" w:cs="Arial"/>
          <w:sz w:val="24"/>
          <w:szCs w:val="24"/>
        </w:rPr>
        <w:t>the minor child</w:t>
      </w:r>
      <w:r w:rsidRPr="00683E6B">
        <w:rPr>
          <w:rFonts w:ascii="Arial" w:hAnsi="Arial" w:cs="Arial"/>
          <w:sz w:val="24"/>
          <w:szCs w:val="24"/>
        </w:rPr>
        <w:t>”)</w:t>
      </w:r>
      <w:r w:rsidR="00BA1745" w:rsidRPr="00683E6B">
        <w:rPr>
          <w:rFonts w:ascii="Arial" w:hAnsi="Arial" w:cs="Arial"/>
          <w:sz w:val="24"/>
          <w:szCs w:val="24"/>
        </w:rPr>
        <w:t xml:space="preserve"> for future accommodation in a hospital or nursing home, or treatment of, or the rendering of a service, or the supplying of goods to him, arising out of the injuries sustained by the minor </w:t>
      </w:r>
      <w:r w:rsidRPr="00683E6B">
        <w:rPr>
          <w:rFonts w:ascii="Arial" w:hAnsi="Arial" w:cs="Arial"/>
          <w:sz w:val="24"/>
          <w:szCs w:val="24"/>
        </w:rPr>
        <w:t xml:space="preserve">child </w:t>
      </w:r>
      <w:r w:rsidR="00BA1745" w:rsidRPr="00683E6B">
        <w:rPr>
          <w:rFonts w:ascii="Arial" w:hAnsi="Arial" w:cs="Arial"/>
          <w:sz w:val="24"/>
          <w:szCs w:val="24"/>
        </w:rPr>
        <w:t xml:space="preserve">in the motor vehicle accident that occurred on 30 April 2019, after such costs have been incurred and upon proof thereof. </w:t>
      </w:r>
    </w:p>
    <w:p w14:paraId="622351C2" w14:textId="69BC5473" w:rsidR="00BA1745" w:rsidRPr="00683E6B" w:rsidRDefault="00587F55" w:rsidP="00CA414E">
      <w:pPr>
        <w:pStyle w:val="ListParagraph"/>
        <w:numPr>
          <w:ilvl w:val="0"/>
          <w:numId w:val="8"/>
        </w:numPr>
        <w:tabs>
          <w:tab w:val="left" w:pos="709"/>
        </w:tabs>
        <w:autoSpaceDN w:val="0"/>
        <w:spacing w:before="300" w:after="0" w:line="480" w:lineRule="auto"/>
        <w:ind w:left="0" w:firstLine="0"/>
        <w:contextualSpacing w:val="0"/>
        <w:jc w:val="both"/>
        <w:rPr>
          <w:rFonts w:ascii="Arial" w:hAnsi="Arial" w:cs="Arial"/>
          <w:sz w:val="24"/>
          <w:szCs w:val="24"/>
        </w:rPr>
      </w:pPr>
      <w:r w:rsidRPr="00683E6B">
        <w:rPr>
          <w:rFonts w:ascii="Arial" w:hAnsi="Arial" w:cs="Arial"/>
          <w:sz w:val="24"/>
          <w:szCs w:val="24"/>
        </w:rPr>
        <w:t xml:space="preserve">The </w:t>
      </w:r>
      <w:r w:rsidR="00C95CB9" w:rsidRPr="00683E6B">
        <w:rPr>
          <w:rFonts w:ascii="Arial" w:hAnsi="Arial" w:cs="Arial"/>
          <w:sz w:val="24"/>
          <w:szCs w:val="24"/>
        </w:rPr>
        <w:t xml:space="preserve">plaintiff’s attorneys </w:t>
      </w:r>
      <w:r w:rsidR="00BA1745" w:rsidRPr="00683E6B">
        <w:rPr>
          <w:rFonts w:ascii="Arial" w:hAnsi="Arial" w:cs="Arial"/>
          <w:sz w:val="24"/>
          <w:szCs w:val="24"/>
        </w:rPr>
        <w:t xml:space="preserve">of record shall retain the aforesaid amount, net of the </w:t>
      </w:r>
      <w:r w:rsidR="00C95CB9" w:rsidRPr="00683E6B">
        <w:rPr>
          <w:rFonts w:ascii="Arial" w:hAnsi="Arial" w:cs="Arial"/>
          <w:sz w:val="24"/>
          <w:szCs w:val="24"/>
        </w:rPr>
        <w:t>a</w:t>
      </w:r>
      <w:r w:rsidR="00BA1745" w:rsidRPr="00683E6B">
        <w:rPr>
          <w:rFonts w:ascii="Arial" w:hAnsi="Arial" w:cs="Arial"/>
          <w:sz w:val="24"/>
          <w:szCs w:val="24"/>
        </w:rPr>
        <w:t xml:space="preserve">ttorney’s costs, in an interest-bearing account in terms of Section 86(4) of the Legal Practice Act, 2014 for the benefit of </w:t>
      </w:r>
      <w:r w:rsidRPr="00683E6B">
        <w:rPr>
          <w:rFonts w:ascii="Arial" w:hAnsi="Arial" w:cs="Arial"/>
          <w:sz w:val="24"/>
          <w:szCs w:val="24"/>
        </w:rPr>
        <w:t>the plaintiff</w:t>
      </w:r>
      <w:r w:rsidR="00BA1745" w:rsidRPr="00683E6B">
        <w:rPr>
          <w:rFonts w:ascii="Arial" w:hAnsi="Arial" w:cs="Arial"/>
          <w:sz w:val="24"/>
          <w:szCs w:val="24"/>
        </w:rPr>
        <w:t xml:space="preserve">, pending the creation of the </w:t>
      </w:r>
      <w:r w:rsidR="00C95CB9" w:rsidRPr="00683E6B">
        <w:rPr>
          <w:rFonts w:ascii="Arial" w:hAnsi="Arial" w:cs="Arial"/>
          <w:sz w:val="24"/>
          <w:szCs w:val="24"/>
        </w:rPr>
        <w:t>t</w:t>
      </w:r>
      <w:r w:rsidR="00BA1745" w:rsidRPr="00683E6B">
        <w:rPr>
          <w:rFonts w:ascii="Arial" w:hAnsi="Arial" w:cs="Arial"/>
          <w:sz w:val="24"/>
          <w:szCs w:val="24"/>
        </w:rPr>
        <w:t xml:space="preserve">rust referred to in </w:t>
      </w:r>
      <w:r w:rsidR="00C95CB9" w:rsidRPr="00683E6B">
        <w:rPr>
          <w:rFonts w:ascii="Arial" w:hAnsi="Arial" w:cs="Arial"/>
          <w:sz w:val="24"/>
          <w:szCs w:val="24"/>
        </w:rPr>
        <w:t xml:space="preserve">paragraph </w:t>
      </w:r>
      <w:r w:rsidR="00BA1745" w:rsidRPr="00683E6B">
        <w:rPr>
          <w:rFonts w:ascii="Arial" w:hAnsi="Arial" w:cs="Arial"/>
          <w:sz w:val="24"/>
          <w:szCs w:val="24"/>
        </w:rPr>
        <w:t>8 below</w:t>
      </w:r>
      <w:r w:rsidR="009975FA" w:rsidRPr="00683E6B">
        <w:rPr>
          <w:rFonts w:ascii="Arial" w:hAnsi="Arial" w:cs="Arial"/>
          <w:sz w:val="24"/>
          <w:szCs w:val="24"/>
        </w:rPr>
        <w:t xml:space="preserve"> (“the trust”)</w:t>
      </w:r>
      <w:r w:rsidR="00BA1745" w:rsidRPr="00683E6B">
        <w:rPr>
          <w:rFonts w:ascii="Arial" w:hAnsi="Arial" w:cs="Arial"/>
          <w:sz w:val="24"/>
          <w:szCs w:val="24"/>
        </w:rPr>
        <w:t xml:space="preserve">, and the issuing of </w:t>
      </w:r>
      <w:r w:rsidR="00C95CB9" w:rsidRPr="00683E6B">
        <w:rPr>
          <w:rFonts w:ascii="Arial" w:hAnsi="Arial" w:cs="Arial"/>
          <w:sz w:val="24"/>
          <w:szCs w:val="24"/>
        </w:rPr>
        <w:t>letters of authority</w:t>
      </w:r>
      <w:r w:rsidR="00BA1745" w:rsidRPr="00683E6B">
        <w:rPr>
          <w:rFonts w:ascii="Arial" w:hAnsi="Arial" w:cs="Arial"/>
          <w:sz w:val="24"/>
          <w:szCs w:val="24"/>
        </w:rPr>
        <w:t xml:space="preserve">. </w:t>
      </w:r>
    </w:p>
    <w:p w14:paraId="00047053" w14:textId="6729FF3D" w:rsidR="00BA1745" w:rsidRPr="00683E6B" w:rsidRDefault="00BA1745" w:rsidP="00CA414E">
      <w:pPr>
        <w:numPr>
          <w:ilvl w:val="0"/>
          <w:numId w:val="8"/>
        </w:numPr>
        <w:tabs>
          <w:tab w:val="left" w:pos="709"/>
        </w:tabs>
        <w:autoSpaceDN w:val="0"/>
        <w:spacing w:before="300" w:after="0" w:line="480" w:lineRule="auto"/>
        <w:ind w:left="0" w:firstLine="0"/>
        <w:jc w:val="both"/>
        <w:rPr>
          <w:rFonts w:ascii="Arial" w:hAnsi="Arial" w:cs="Arial"/>
          <w:sz w:val="24"/>
          <w:szCs w:val="24"/>
        </w:rPr>
      </w:pPr>
      <w:r w:rsidRPr="00683E6B">
        <w:rPr>
          <w:rFonts w:ascii="Arial" w:hAnsi="Arial" w:cs="Arial"/>
          <w:sz w:val="24"/>
          <w:szCs w:val="24"/>
        </w:rPr>
        <w:t>From the aforesaid amount, an amount of R100 000.00 (</w:t>
      </w:r>
      <w:r w:rsidR="009975FA" w:rsidRPr="00683E6B">
        <w:rPr>
          <w:rFonts w:ascii="Arial" w:hAnsi="Arial" w:cs="Arial"/>
          <w:sz w:val="24"/>
          <w:szCs w:val="24"/>
        </w:rPr>
        <w:t xml:space="preserve">one hundred thousand </w:t>
      </w:r>
      <w:r w:rsidR="008E2050" w:rsidRPr="00683E6B">
        <w:rPr>
          <w:rFonts w:ascii="Arial" w:hAnsi="Arial" w:cs="Arial"/>
          <w:sz w:val="24"/>
          <w:szCs w:val="24"/>
        </w:rPr>
        <w:t>R</w:t>
      </w:r>
      <w:r w:rsidR="009975FA" w:rsidRPr="00683E6B">
        <w:rPr>
          <w:rFonts w:ascii="Arial" w:hAnsi="Arial" w:cs="Arial"/>
          <w:sz w:val="24"/>
          <w:szCs w:val="24"/>
        </w:rPr>
        <w:t>and</w:t>
      </w:r>
      <w:r w:rsidRPr="00683E6B">
        <w:rPr>
          <w:rFonts w:ascii="Arial" w:hAnsi="Arial" w:cs="Arial"/>
          <w:sz w:val="24"/>
          <w:szCs w:val="24"/>
        </w:rPr>
        <w:t xml:space="preserve">) shall be paid by </w:t>
      </w:r>
      <w:r w:rsidR="00587F55" w:rsidRPr="00683E6B">
        <w:rPr>
          <w:rFonts w:ascii="Arial" w:hAnsi="Arial" w:cs="Arial"/>
          <w:sz w:val="24"/>
          <w:szCs w:val="24"/>
        </w:rPr>
        <w:t>the plaintiff</w:t>
      </w:r>
      <w:r w:rsidRPr="00683E6B">
        <w:rPr>
          <w:rFonts w:ascii="Arial" w:hAnsi="Arial" w:cs="Arial"/>
          <w:sz w:val="24"/>
          <w:szCs w:val="24"/>
        </w:rPr>
        <w:t xml:space="preserve">’s legal representatives to the minor’s parents and not to the trust. </w:t>
      </w:r>
    </w:p>
    <w:p w14:paraId="4555C265" w14:textId="79B8C999" w:rsidR="00BA1745" w:rsidRPr="00683E6B" w:rsidRDefault="00587F55" w:rsidP="00CA414E">
      <w:pPr>
        <w:pStyle w:val="ListParagraph"/>
        <w:widowControl w:val="0"/>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 xml:space="preserve">The </w:t>
      </w:r>
      <w:r w:rsidR="00C95CB9" w:rsidRPr="00683E6B">
        <w:rPr>
          <w:rFonts w:ascii="Arial" w:hAnsi="Arial" w:cs="Arial"/>
          <w:sz w:val="24"/>
          <w:szCs w:val="24"/>
        </w:rPr>
        <w:t xml:space="preserve">plaintiff’s attorneys </w:t>
      </w:r>
      <w:r w:rsidR="00BA1745" w:rsidRPr="00683E6B">
        <w:rPr>
          <w:rFonts w:ascii="Arial" w:hAnsi="Arial" w:cs="Arial"/>
          <w:sz w:val="24"/>
          <w:szCs w:val="24"/>
        </w:rPr>
        <w:t xml:space="preserve">shall endeavour to establish the </w:t>
      </w:r>
      <w:r w:rsidR="008E2050" w:rsidRPr="00683E6B">
        <w:rPr>
          <w:rFonts w:ascii="Arial" w:hAnsi="Arial" w:cs="Arial"/>
          <w:sz w:val="24"/>
          <w:szCs w:val="24"/>
        </w:rPr>
        <w:t>t</w:t>
      </w:r>
      <w:r w:rsidR="00BA1745" w:rsidRPr="00683E6B">
        <w:rPr>
          <w:rFonts w:ascii="Arial" w:hAnsi="Arial" w:cs="Arial"/>
          <w:sz w:val="24"/>
          <w:szCs w:val="24"/>
        </w:rPr>
        <w:t>rust within 6 months, alternatively within a reasonable period of time after being placed in a position to do so.</w:t>
      </w:r>
    </w:p>
    <w:p w14:paraId="1A517E4C" w14:textId="3F0D1DA1" w:rsidR="00BA1745" w:rsidRPr="00683E6B" w:rsidRDefault="00587F55" w:rsidP="00CA414E">
      <w:pPr>
        <w:numPr>
          <w:ilvl w:val="0"/>
          <w:numId w:val="8"/>
        </w:numPr>
        <w:tabs>
          <w:tab w:val="left" w:pos="709"/>
        </w:tabs>
        <w:autoSpaceDN w:val="0"/>
        <w:spacing w:before="300" w:after="0" w:line="480" w:lineRule="auto"/>
        <w:ind w:left="0" w:firstLine="0"/>
        <w:jc w:val="both"/>
        <w:rPr>
          <w:rFonts w:ascii="Arial" w:hAnsi="Arial" w:cs="Arial"/>
          <w:sz w:val="24"/>
          <w:szCs w:val="24"/>
        </w:rPr>
      </w:pPr>
      <w:r w:rsidRPr="00683E6B">
        <w:rPr>
          <w:rFonts w:ascii="Arial" w:hAnsi="Arial" w:cs="Arial"/>
          <w:sz w:val="24"/>
          <w:szCs w:val="24"/>
        </w:rPr>
        <w:t>The plaintiff</w:t>
      </w:r>
      <w:r w:rsidR="00BA1745" w:rsidRPr="00683E6B">
        <w:rPr>
          <w:rFonts w:ascii="Arial" w:hAnsi="Arial" w:cs="Arial"/>
          <w:sz w:val="24"/>
          <w:szCs w:val="24"/>
        </w:rPr>
        <w:t xml:space="preserve">’s </w:t>
      </w:r>
      <w:r w:rsidR="00C95CB9" w:rsidRPr="00683E6B">
        <w:rPr>
          <w:rFonts w:ascii="Arial" w:hAnsi="Arial" w:cs="Arial"/>
          <w:sz w:val="24"/>
          <w:szCs w:val="24"/>
        </w:rPr>
        <w:t>a</w:t>
      </w:r>
      <w:r w:rsidR="00BA1745" w:rsidRPr="00683E6B">
        <w:rPr>
          <w:rFonts w:ascii="Arial" w:hAnsi="Arial" w:cs="Arial"/>
          <w:sz w:val="24"/>
          <w:szCs w:val="24"/>
        </w:rPr>
        <w:t>ttorney o</w:t>
      </w:r>
      <w:r w:rsidR="00C95CB9" w:rsidRPr="00683E6B">
        <w:rPr>
          <w:rFonts w:ascii="Arial" w:hAnsi="Arial" w:cs="Arial"/>
          <w:sz w:val="24"/>
          <w:szCs w:val="24"/>
        </w:rPr>
        <w:t>f</w:t>
      </w:r>
      <w:r w:rsidR="00BA1745" w:rsidRPr="00683E6B">
        <w:rPr>
          <w:rFonts w:ascii="Arial" w:hAnsi="Arial" w:cs="Arial"/>
          <w:sz w:val="24"/>
          <w:szCs w:val="24"/>
        </w:rPr>
        <w:t xml:space="preserve"> record shall pay the amount set out in </w:t>
      </w:r>
      <w:r w:rsidR="00A07141" w:rsidRPr="00683E6B">
        <w:rPr>
          <w:rFonts w:ascii="Arial" w:hAnsi="Arial" w:cs="Arial"/>
          <w:sz w:val="24"/>
          <w:szCs w:val="24"/>
        </w:rPr>
        <w:t xml:space="preserve">paragraph </w:t>
      </w:r>
      <w:r w:rsidR="00BA1745" w:rsidRPr="00683E6B">
        <w:rPr>
          <w:rFonts w:ascii="Arial" w:hAnsi="Arial" w:cs="Arial"/>
          <w:sz w:val="24"/>
          <w:szCs w:val="24"/>
        </w:rPr>
        <w:t xml:space="preserve">2 above, together with any accrued interest, over to the </w:t>
      </w:r>
      <w:r w:rsidR="009857DB" w:rsidRPr="00683E6B">
        <w:rPr>
          <w:rFonts w:ascii="Arial" w:hAnsi="Arial" w:cs="Arial"/>
          <w:sz w:val="24"/>
          <w:szCs w:val="24"/>
        </w:rPr>
        <w:t>trustee</w:t>
      </w:r>
      <w:r w:rsidR="00AF322C" w:rsidRPr="00683E6B">
        <w:rPr>
          <w:rFonts w:ascii="Arial" w:hAnsi="Arial" w:cs="Arial"/>
          <w:sz w:val="24"/>
          <w:szCs w:val="24"/>
        </w:rPr>
        <w:t>s</w:t>
      </w:r>
      <w:r w:rsidR="009857DB" w:rsidRPr="00683E6B">
        <w:rPr>
          <w:rFonts w:ascii="Arial" w:hAnsi="Arial" w:cs="Arial"/>
          <w:sz w:val="24"/>
          <w:szCs w:val="24"/>
        </w:rPr>
        <w:t xml:space="preserve"> of </w:t>
      </w:r>
      <w:r w:rsidR="008E2050" w:rsidRPr="00683E6B">
        <w:rPr>
          <w:rFonts w:ascii="Arial" w:hAnsi="Arial" w:cs="Arial"/>
          <w:sz w:val="24"/>
          <w:szCs w:val="24"/>
        </w:rPr>
        <w:t>the</w:t>
      </w:r>
      <w:r w:rsidR="009857DB" w:rsidRPr="00683E6B">
        <w:rPr>
          <w:rFonts w:ascii="Arial" w:hAnsi="Arial" w:cs="Arial"/>
          <w:sz w:val="24"/>
          <w:szCs w:val="24"/>
        </w:rPr>
        <w:t xml:space="preserve"> trust</w:t>
      </w:r>
      <w:r w:rsidR="00BA1745" w:rsidRPr="00683E6B">
        <w:rPr>
          <w:rFonts w:ascii="Arial" w:hAnsi="Arial" w:cs="Arial"/>
          <w:sz w:val="24"/>
          <w:szCs w:val="24"/>
        </w:rPr>
        <w:t xml:space="preserve">, in respect of which </w:t>
      </w:r>
      <w:r w:rsidR="009857DB" w:rsidRPr="00683E6B">
        <w:rPr>
          <w:rFonts w:ascii="Arial" w:hAnsi="Arial" w:cs="Arial"/>
          <w:sz w:val="24"/>
          <w:szCs w:val="24"/>
        </w:rPr>
        <w:t>t</w:t>
      </w:r>
      <w:r w:rsidR="00BA1745" w:rsidRPr="00683E6B">
        <w:rPr>
          <w:rFonts w:ascii="Arial" w:hAnsi="Arial" w:cs="Arial"/>
          <w:sz w:val="24"/>
          <w:szCs w:val="24"/>
        </w:rPr>
        <w:t>rust the following shall apply:</w:t>
      </w:r>
    </w:p>
    <w:p w14:paraId="4366DF2F" w14:textId="3F8252F3" w:rsidR="00BA1745" w:rsidRPr="00683E6B" w:rsidRDefault="00203B1D"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T</w:t>
      </w:r>
      <w:r w:rsidR="00BA1745" w:rsidRPr="00683E6B">
        <w:rPr>
          <w:rFonts w:ascii="Arial" w:hAnsi="Arial" w:cs="Arial"/>
          <w:sz w:val="24"/>
          <w:szCs w:val="24"/>
        </w:rPr>
        <w:t xml:space="preserve">he </w:t>
      </w:r>
      <w:r w:rsidR="009857DB" w:rsidRPr="00683E6B">
        <w:rPr>
          <w:rFonts w:ascii="Arial" w:hAnsi="Arial" w:cs="Arial"/>
          <w:sz w:val="24"/>
          <w:szCs w:val="24"/>
        </w:rPr>
        <w:t>t</w:t>
      </w:r>
      <w:r w:rsidR="00BA1745" w:rsidRPr="00683E6B">
        <w:rPr>
          <w:rFonts w:ascii="Arial" w:hAnsi="Arial" w:cs="Arial"/>
          <w:sz w:val="24"/>
          <w:szCs w:val="24"/>
        </w:rPr>
        <w:t xml:space="preserve">rust shall be created in accordance with the </w:t>
      </w:r>
      <w:r w:rsidR="009857DB" w:rsidRPr="00683E6B">
        <w:rPr>
          <w:rFonts w:ascii="Arial" w:hAnsi="Arial" w:cs="Arial"/>
          <w:sz w:val="24"/>
          <w:szCs w:val="24"/>
        </w:rPr>
        <w:t>t</w:t>
      </w:r>
      <w:r w:rsidR="00BA1745" w:rsidRPr="00683E6B">
        <w:rPr>
          <w:rFonts w:ascii="Arial" w:hAnsi="Arial" w:cs="Arial"/>
          <w:sz w:val="24"/>
          <w:szCs w:val="24"/>
        </w:rPr>
        <w:t>rust deed which shall contain the provisions set out in annexure</w:t>
      </w:r>
      <w:r w:rsidR="00BA1745" w:rsidRPr="00683E6B">
        <w:rPr>
          <w:rFonts w:ascii="Arial" w:hAnsi="Arial" w:cs="Arial"/>
          <w:b/>
          <w:sz w:val="24"/>
          <w:szCs w:val="24"/>
        </w:rPr>
        <w:t xml:space="preserve"> </w:t>
      </w:r>
      <w:r w:rsidR="00BA1745" w:rsidRPr="00683E6B">
        <w:rPr>
          <w:rFonts w:ascii="Arial" w:hAnsi="Arial" w:cs="Arial"/>
          <w:bCs/>
          <w:sz w:val="24"/>
          <w:szCs w:val="24"/>
        </w:rPr>
        <w:t>“A”</w:t>
      </w:r>
      <w:r w:rsidR="00BA1745" w:rsidRPr="00683E6B">
        <w:rPr>
          <w:rFonts w:ascii="Arial" w:hAnsi="Arial" w:cs="Arial"/>
          <w:sz w:val="24"/>
          <w:szCs w:val="24"/>
        </w:rPr>
        <w:t xml:space="preserve"> hereto and which is to be established in accordance with the provisions of the Trust Property Control Act, number 57 of 1988, in favour of </w:t>
      </w:r>
      <w:r w:rsidR="00587F55" w:rsidRPr="00683E6B">
        <w:rPr>
          <w:rFonts w:ascii="Arial" w:hAnsi="Arial" w:cs="Arial"/>
          <w:sz w:val="24"/>
          <w:szCs w:val="24"/>
        </w:rPr>
        <w:t>the plaintiff</w:t>
      </w:r>
      <w:r w:rsidR="00BA1745" w:rsidRPr="00683E6B">
        <w:rPr>
          <w:rFonts w:ascii="Arial" w:hAnsi="Arial" w:cs="Arial"/>
          <w:sz w:val="24"/>
          <w:szCs w:val="24"/>
        </w:rPr>
        <w:t xml:space="preserve"> as sole beneficiary. </w:t>
      </w:r>
    </w:p>
    <w:p w14:paraId="5C8CE30B" w14:textId="0DD7477B" w:rsidR="00BA1745" w:rsidRPr="00683E6B" w:rsidRDefault="00203B1D"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lastRenderedPageBreak/>
        <w:t>T</w:t>
      </w:r>
      <w:r w:rsidR="00BA1745" w:rsidRPr="00683E6B">
        <w:rPr>
          <w:rFonts w:ascii="Arial" w:hAnsi="Arial" w:cs="Arial"/>
          <w:sz w:val="24"/>
          <w:szCs w:val="24"/>
        </w:rPr>
        <w:t xml:space="preserve">he Trust shall have the following as its </w:t>
      </w:r>
      <w:r w:rsidR="009857DB" w:rsidRPr="00683E6B">
        <w:rPr>
          <w:rFonts w:ascii="Arial" w:hAnsi="Arial" w:cs="Arial"/>
          <w:sz w:val="24"/>
          <w:szCs w:val="24"/>
        </w:rPr>
        <w:t>t</w:t>
      </w:r>
      <w:r w:rsidR="00BA1745" w:rsidRPr="00683E6B">
        <w:rPr>
          <w:rFonts w:ascii="Arial" w:hAnsi="Arial" w:cs="Arial"/>
          <w:sz w:val="24"/>
          <w:szCs w:val="24"/>
        </w:rPr>
        <w:t>rustees:</w:t>
      </w:r>
    </w:p>
    <w:p w14:paraId="23EEF616" w14:textId="7FFFBDD0" w:rsidR="00BA1745" w:rsidRPr="00683E6B" w:rsidRDefault="00BA1745" w:rsidP="00CA414E">
      <w:pPr>
        <w:pStyle w:val="ListParagraph"/>
        <w:numPr>
          <w:ilvl w:val="2"/>
          <w:numId w:val="8"/>
        </w:numPr>
        <w:spacing w:before="300" w:after="0" w:line="480" w:lineRule="auto"/>
        <w:ind w:left="1701" w:firstLine="0"/>
        <w:contextualSpacing w:val="0"/>
        <w:jc w:val="both"/>
        <w:rPr>
          <w:rFonts w:ascii="Arial" w:hAnsi="Arial" w:cs="Arial"/>
          <w:sz w:val="24"/>
          <w:szCs w:val="24"/>
        </w:rPr>
      </w:pPr>
      <w:bookmarkStart w:id="2" w:name="_Hlk66178899"/>
      <w:r w:rsidRPr="00683E6B">
        <w:rPr>
          <w:rFonts w:ascii="Arial" w:hAnsi="Arial" w:cs="Arial"/>
          <w:sz w:val="24"/>
          <w:szCs w:val="24"/>
        </w:rPr>
        <w:t xml:space="preserve">The first </w:t>
      </w:r>
      <w:r w:rsidR="009857DB" w:rsidRPr="00683E6B">
        <w:rPr>
          <w:rFonts w:ascii="Arial" w:hAnsi="Arial" w:cs="Arial"/>
          <w:sz w:val="24"/>
          <w:szCs w:val="24"/>
        </w:rPr>
        <w:t>t</w:t>
      </w:r>
      <w:r w:rsidRPr="00683E6B">
        <w:rPr>
          <w:rFonts w:ascii="Arial" w:hAnsi="Arial" w:cs="Arial"/>
          <w:sz w:val="24"/>
          <w:szCs w:val="24"/>
        </w:rPr>
        <w:t xml:space="preserve">rustee shall be </w:t>
      </w:r>
      <w:proofErr w:type="spellStart"/>
      <w:r w:rsidRPr="00683E6B">
        <w:rPr>
          <w:rFonts w:ascii="Arial" w:hAnsi="Arial" w:cs="Arial"/>
          <w:sz w:val="24"/>
          <w:szCs w:val="24"/>
        </w:rPr>
        <w:t>Ferox</w:t>
      </w:r>
      <w:proofErr w:type="spellEnd"/>
      <w:r w:rsidRPr="00683E6B">
        <w:rPr>
          <w:rFonts w:ascii="Arial" w:hAnsi="Arial" w:cs="Arial"/>
          <w:sz w:val="24"/>
          <w:szCs w:val="24"/>
        </w:rPr>
        <w:t xml:space="preserve"> Estate and Trust Administration Services (Pty) Ltd,</w:t>
      </w:r>
      <w:r w:rsidR="009857DB" w:rsidRPr="00683E6B">
        <w:rPr>
          <w:rFonts w:ascii="Arial" w:hAnsi="Arial" w:cs="Arial"/>
          <w:sz w:val="24"/>
          <w:szCs w:val="24"/>
        </w:rPr>
        <w:t xml:space="preserve"> </w:t>
      </w:r>
      <w:r w:rsidRPr="00683E6B">
        <w:rPr>
          <w:rFonts w:ascii="Arial" w:hAnsi="Arial" w:cs="Arial"/>
          <w:sz w:val="24"/>
          <w:szCs w:val="24"/>
        </w:rPr>
        <w:t xml:space="preserve">registration number </w:t>
      </w:r>
      <w:bookmarkEnd w:id="2"/>
      <w:r w:rsidRPr="00683E6B">
        <w:rPr>
          <w:rFonts w:ascii="Arial" w:hAnsi="Arial" w:cs="Arial"/>
          <w:sz w:val="24"/>
          <w:szCs w:val="24"/>
        </w:rPr>
        <w:t xml:space="preserve">2014/161824/07, who shall be the </w:t>
      </w:r>
      <w:r w:rsidR="009857DB" w:rsidRPr="00683E6B">
        <w:rPr>
          <w:rFonts w:ascii="Arial" w:hAnsi="Arial" w:cs="Arial"/>
          <w:sz w:val="24"/>
          <w:szCs w:val="24"/>
        </w:rPr>
        <w:t xml:space="preserve">professional independent trustee </w:t>
      </w:r>
      <w:r w:rsidRPr="00683E6B">
        <w:rPr>
          <w:rFonts w:ascii="Arial" w:hAnsi="Arial" w:cs="Arial"/>
          <w:sz w:val="24"/>
          <w:szCs w:val="24"/>
        </w:rPr>
        <w:t>with th</w:t>
      </w:r>
      <w:r w:rsidR="009857DB" w:rsidRPr="00683E6B">
        <w:rPr>
          <w:rFonts w:ascii="Arial" w:hAnsi="Arial" w:cs="Arial"/>
          <w:sz w:val="24"/>
          <w:szCs w:val="24"/>
        </w:rPr>
        <w:t>e</w:t>
      </w:r>
      <w:r w:rsidRPr="00683E6B">
        <w:rPr>
          <w:rFonts w:ascii="Arial" w:hAnsi="Arial" w:cs="Arial"/>
          <w:sz w:val="24"/>
          <w:szCs w:val="24"/>
        </w:rPr>
        <w:t xml:space="preserve"> powers and duties set out in Annexure </w:t>
      </w:r>
      <w:r w:rsidRPr="00683E6B">
        <w:rPr>
          <w:rFonts w:ascii="Arial" w:hAnsi="Arial" w:cs="Arial"/>
          <w:b/>
          <w:sz w:val="24"/>
          <w:szCs w:val="24"/>
        </w:rPr>
        <w:t>“</w:t>
      </w:r>
      <w:r w:rsidRPr="00683E6B">
        <w:rPr>
          <w:rFonts w:ascii="Arial" w:hAnsi="Arial" w:cs="Arial"/>
          <w:bCs/>
          <w:sz w:val="24"/>
          <w:szCs w:val="24"/>
        </w:rPr>
        <w:t>A</w:t>
      </w:r>
      <w:r w:rsidRPr="00683E6B">
        <w:rPr>
          <w:rFonts w:ascii="Arial" w:hAnsi="Arial" w:cs="Arial"/>
          <w:b/>
          <w:sz w:val="24"/>
          <w:szCs w:val="24"/>
        </w:rPr>
        <w:t>”</w:t>
      </w:r>
      <w:r w:rsidRPr="00683E6B">
        <w:rPr>
          <w:rFonts w:ascii="Arial" w:hAnsi="Arial" w:cs="Arial"/>
          <w:sz w:val="24"/>
          <w:szCs w:val="24"/>
        </w:rPr>
        <w:t xml:space="preserve"> hereto.</w:t>
      </w:r>
    </w:p>
    <w:p w14:paraId="216382B6" w14:textId="1343592E" w:rsidR="00BA1745" w:rsidRPr="00683E6B" w:rsidRDefault="00BA1745" w:rsidP="00CA414E">
      <w:pPr>
        <w:pStyle w:val="ListParagraph"/>
        <w:numPr>
          <w:ilvl w:val="2"/>
          <w:numId w:val="8"/>
        </w:numPr>
        <w:spacing w:before="300" w:after="0" w:line="480" w:lineRule="auto"/>
        <w:ind w:left="1701" w:firstLine="0"/>
        <w:contextualSpacing w:val="0"/>
        <w:jc w:val="both"/>
        <w:rPr>
          <w:rFonts w:ascii="Arial" w:hAnsi="Arial" w:cs="Arial"/>
          <w:sz w:val="24"/>
          <w:szCs w:val="24"/>
        </w:rPr>
      </w:pPr>
      <w:r w:rsidRPr="00683E6B">
        <w:rPr>
          <w:rFonts w:ascii="Arial" w:hAnsi="Arial" w:cs="Arial"/>
          <w:sz w:val="24"/>
          <w:szCs w:val="24"/>
        </w:rPr>
        <w:t>The secon</w:t>
      </w:r>
      <w:r w:rsidR="009857DB" w:rsidRPr="00683E6B">
        <w:rPr>
          <w:rFonts w:ascii="Arial" w:hAnsi="Arial" w:cs="Arial"/>
          <w:sz w:val="24"/>
          <w:szCs w:val="24"/>
        </w:rPr>
        <w:t>d trustee in the trust shall be a parent or the guardian</w:t>
      </w:r>
      <w:r w:rsidR="0075010A" w:rsidRPr="00683E6B">
        <w:rPr>
          <w:rFonts w:ascii="Arial" w:hAnsi="Arial" w:cs="Arial"/>
          <w:sz w:val="24"/>
          <w:szCs w:val="24"/>
        </w:rPr>
        <w:t xml:space="preserve"> of the minor child</w:t>
      </w:r>
      <w:r w:rsidR="009857DB" w:rsidRPr="00683E6B">
        <w:rPr>
          <w:rFonts w:ascii="Arial" w:hAnsi="Arial" w:cs="Arial"/>
          <w:sz w:val="24"/>
          <w:szCs w:val="24"/>
        </w:rPr>
        <w:t xml:space="preserve">. </w:t>
      </w:r>
      <w:r w:rsidRPr="00683E6B">
        <w:rPr>
          <w:rFonts w:ascii="Arial" w:hAnsi="Arial" w:cs="Arial"/>
          <w:sz w:val="24"/>
          <w:szCs w:val="24"/>
        </w:rPr>
        <w:t xml:space="preserve"> </w:t>
      </w:r>
      <w:r w:rsidR="009857DB" w:rsidRPr="00683E6B">
        <w:rPr>
          <w:rFonts w:ascii="Arial" w:hAnsi="Arial" w:cs="Arial"/>
          <w:sz w:val="24"/>
          <w:szCs w:val="24"/>
        </w:rPr>
        <w:t>T</w:t>
      </w:r>
      <w:r w:rsidRPr="00683E6B">
        <w:rPr>
          <w:rFonts w:ascii="Arial" w:hAnsi="Arial" w:cs="Arial"/>
          <w:sz w:val="24"/>
          <w:szCs w:val="24"/>
        </w:rPr>
        <w:t xml:space="preserve">he nominated second </w:t>
      </w:r>
      <w:r w:rsidR="009857DB" w:rsidRPr="00683E6B">
        <w:rPr>
          <w:rFonts w:ascii="Arial" w:hAnsi="Arial" w:cs="Arial"/>
          <w:sz w:val="24"/>
          <w:szCs w:val="24"/>
        </w:rPr>
        <w:t>t</w:t>
      </w:r>
      <w:r w:rsidRPr="00683E6B">
        <w:rPr>
          <w:rFonts w:ascii="Arial" w:hAnsi="Arial" w:cs="Arial"/>
          <w:sz w:val="24"/>
          <w:szCs w:val="24"/>
        </w:rPr>
        <w:t xml:space="preserve">rustee is </w:t>
      </w:r>
      <w:proofErr w:type="gramStart"/>
      <w:r w:rsidR="009857DB" w:rsidRPr="00683E6B">
        <w:rPr>
          <w:rFonts w:ascii="Arial" w:hAnsi="Arial" w:cs="Arial"/>
          <w:sz w:val="24"/>
          <w:szCs w:val="24"/>
        </w:rPr>
        <w:t>J</w:t>
      </w:r>
      <w:r w:rsidR="008A4305">
        <w:rPr>
          <w:rFonts w:ascii="Arial" w:hAnsi="Arial" w:cs="Arial"/>
          <w:sz w:val="24"/>
          <w:szCs w:val="24"/>
        </w:rPr>
        <w:t>[</w:t>
      </w:r>
      <w:proofErr w:type="gramEnd"/>
      <w:r w:rsidR="008A4305">
        <w:rPr>
          <w:rFonts w:ascii="Arial" w:hAnsi="Arial" w:cs="Arial"/>
          <w:sz w:val="24"/>
          <w:szCs w:val="24"/>
        </w:rPr>
        <w:t>…]</w:t>
      </w:r>
      <w:r w:rsidR="009857DB" w:rsidRPr="00683E6B">
        <w:rPr>
          <w:rFonts w:ascii="Arial" w:hAnsi="Arial" w:cs="Arial"/>
          <w:sz w:val="24"/>
          <w:szCs w:val="24"/>
        </w:rPr>
        <w:t xml:space="preserve"> W</w:t>
      </w:r>
      <w:r w:rsidR="008A4305">
        <w:rPr>
          <w:rFonts w:ascii="Arial" w:hAnsi="Arial" w:cs="Arial"/>
          <w:sz w:val="24"/>
          <w:szCs w:val="24"/>
        </w:rPr>
        <w:t>[…]</w:t>
      </w:r>
      <w:r w:rsidR="009857DB" w:rsidRPr="00683E6B">
        <w:rPr>
          <w:rFonts w:ascii="Arial" w:hAnsi="Arial" w:cs="Arial"/>
          <w:sz w:val="24"/>
          <w:szCs w:val="24"/>
        </w:rPr>
        <w:t xml:space="preserve"> (identity number </w:t>
      </w:r>
      <w:r w:rsidR="008A4305">
        <w:rPr>
          <w:rFonts w:ascii="Arial" w:hAnsi="Arial" w:cs="Arial"/>
          <w:sz w:val="24"/>
          <w:szCs w:val="24"/>
        </w:rPr>
        <w:t>[…]</w:t>
      </w:r>
      <w:r w:rsidR="009857DB" w:rsidRPr="00683E6B">
        <w:rPr>
          <w:rFonts w:ascii="Arial" w:hAnsi="Arial" w:cs="Arial"/>
          <w:sz w:val="24"/>
          <w:szCs w:val="24"/>
        </w:rPr>
        <w:t xml:space="preserve">) who is </w:t>
      </w:r>
      <w:r w:rsidRPr="00683E6B">
        <w:rPr>
          <w:rFonts w:ascii="Arial" w:hAnsi="Arial" w:cs="Arial"/>
          <w:sz w:val="24"/>
          <w:szCs w:val="24"/>
        </w:rPr>
        <w:t xml:space="preserve">the </w:t>
      </w:r>
      <w:r w:rsidR="009857DB" w:rsidRPr="00683E6B">
        <w:rPr>
          <w:rFonts w:ascii="Arial" w:hAnsi="Arial" w:cs="Arial"/>
          <w:sz w:val="24"/>
          <w:szCs w:val="24"/>
        </w:rPr>
        <w:t>m</w:t>
      </w:r>
      <w:r w:rsidRPr="00683E6B">
        <w:rPr>
          <w:rFonts w:ascii="Arial" w:hAnsi="Arial" w:cs="Arial"/>
          <w:sz w:val="24"/>
          <w:szCs w:val="24"/>
        </w:rPr>
        <w:t xml:space="preserve">other of </w:t>
      </w:r>
      <w:r w:rsidR="009857DB" w:rsidRPr="00683E6B">
        <w:rPr>
          <w:rFonts w:ascii="Arial" w:hAnsi="Arial" w:cs="Arial"/>
          <w:sz w:val="24"/>
          <w:szCs w:val="24"/>
        </w:rPr>
        <w:t>minor child.</w:t>
      </w:r>
    </w:p>
    <w:p w14:paraId="14161BC1" w14:textId="7A3A59F9" w:rsidR="00BA1745" w:rsidRPr="00683E6B" w:rsidRDefault="00BA1745"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In the event </w:t>
      </w:r>
      <w:r w:rsidR="0075010A" w:rsidRPr="00683E6B">
        <w:rPr>
          <w:rFonts w:ascii="Arial" w:hAnsi="Arial" w:cs="Arial"/>
          <w:sz w:val="24"/>
          <w:szCs w:val="24"/>
        </w:rPr>
        <w:t xml:space="preserve">of </w:t>
      </w:r>
      <w:r w:rsidRPr="00683E6B">
        <w:rPr>
          <w:rFonts w:ascii="Arial" w:hAnsi="Arial" w:cs="Arial"/>
          <w:sz w:val="24"/>
          <w:szCs w:val="24"/>
        </w:rPr>
        <w:t xml:space="preserve">the </w:t>
      </w:r>
      <w:r w:rsidR="00B94522" w:rsidRPr="00683E6B">
        <w:rPr>
          <w:rFonts w:ascii="Arial" w:hAnsi="Arial" w:cs="Arial"/>
          <w:sz w:val="24"/>
          <w:szCs w:val="24"/>
        </w:rPr>
        <w:t xml:space="preserve">second trustee </w:t>
      </w:r>
      <w:r w:rsidR="0075010A" w:rsidRPr="00683E6B">
        <w:rPr>
          <w:rFonts w:ascii="Arial" w:hAnsi="Arial" w:cs="Arial"/>
          <w:sz w:val="24"/>
          <w:szCs w:val="24"/>
        </w:rPr>
        <w:t>passing</w:t>
      </w:r>
      <w:r w:rsidRPr="00683E6B">
        <w:rPr>
          <w:rFonts w:ascii="Arial" w:hAnsi="Arial" w:cs="Arial"/>
          <w:sz w:val="24"/>
          <w:szCs w:val="24"/>
        </w:rPr>
        <w:t xml:space="preserve"> away, then</w:t>
      </w:r>
      <w:r w:rsidR="00203B1D" w:rsidRPr="00683E6B">
        <w:rPr>
          <w:rFonts w:ascii="Arial" w:hAnsi="Arial" w:cs="Arial"/>
          <w:sz w:val="24"/>
          <w:szCs w:val="24"/>
        </w:rPr>
        <w:t xml:space="preserve"> </w:t>
      </w:r>
      <w:r w:rsidRPr="00683E6B">
        <w:rPr>
          <w:rFonts w:ascii="Arial" w:hAnsi="Arial" w:cs="Arial"/>
          <w:sz w:val="24"/>
          <w:szCs w:val="24"/>
        </w:rPr>
        <w:t xml:space="preserve">the </w:t>
      </w:r>
      <w:r w:rsidR="00B94522" w:rsidRPr="00683E6B">
        <w:rPr>
          <w:rFonts w:ascii="Arial" w:hAnsi="Arial" w:cs="Arial"/>
          <w:sz w:val="24"/>
          <w:szCs w:val="24"/>
        </w:rPr>
        <w:t>surviving</w:t>
      </w:r>
      <w:r w:rsidRPr="00683E6B">
        <w:rPr>
          <w:rFonts w:ascii="Arial" w:hAnsi="Arial" w:cs="Arial"/>
          <w:sz w:val="24"/>
          <w:szCs w:val="24"/>
        </w:rPr>
        <w:t xml:space="preserve"> </w:t>
      </w:r>
      <w:r w:rsidR="00B94522" w:rsidRPr="00683E6B">
        <w:rPr>
          <w:rFonts w:ascii="Arial" w:hAnsi="Arial" w:cs="Arial"/>
          <w:sz w:val="24"/>
          <w:szCs w:val="24"/>
        </w:rPr>
        <w:t xml:space="preserve">parent will replace the deceased parent </w:t>
      </w:r>
      <w:r w:rsidRPr="00683E6B">
        <w:rPr>
          <w:rFonts w:ascii="Arial" w:hAnsi="Arial" w:cs="Arial"/>
          <w:sz w:val="24"/>
          <w:szCs w:val="24"/>
        </w:rPr>
        <w:t xml:space="preserve">as the second </w:t>
      </w:r>
      <w:r w:rsidR="00B94522" w:rsidRPr="00683E6B">
        <w:rPr>
          <w:rFonts w:ascii="Arial" w:hAnsi="Arial" w:cs="Arial"/>
          <w:sz w:val="24"/>
          <w:szCs w:val="24"/>
        </w:rPr>
        <w:t>t</w:t>
      </w:r>
      <w:r w:rsidRPr="00683E6B">
        <w:rPr>
          <w:rFonts w:ascii="Arial" w:hAnsi="Arial" w:cs="Arial"/>
          <w:sz w:val="24"/>
          <w:szCs w:val="24"/>
        </w:rPr>
        <w:t>rustee.</w:t>
      </w:r>
    </w:p>
    <w:p w14:paraId="2F3383B9" w14:textId="763442C6" w:rsidR="00BA1745" w:rsidRPr="00683E6B" w:rsidRDefault="00BA1745"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In the event </w:t>
      </w:r>
      <w:r w:rsidR="0075010A" w:rsidRPr="00683E6B">
        <w:rPr>
          <w:rFonts w:ascii="Arial" w:hAnsi="Arial" w:cs="Arial"/>
          <w:sz w:val="24"/>
          <w:szCs w:val="24"/>
        </w:rPr>
        <w:t>of</w:t>
      </w:r>
      <w:r w:rsidRPr="00683E6B">
        <w:rPr>
          <w:rFonts w:ascii="Arial" w:hAnsi="Arial" w:cs="Arial"/>
          <w:sz w:val="24"/>
          <w:szCs w:val="24"/>
        </w:rPr>
        <w:t xml:space="preserve"> both </w:t>
      </w:r>
      <w:r w:rsidR="0075010A" w:rsidRPr="00683E6B">
        <w:rPr>
          <w:rFonts w:ascii="Arial" w:hAnsi="Arial" w:cs="Arial"/>
          <w:sz w:val="24"/>
          <w:szCs w:val="24"/>
        </w:rPr>
        <w:t>p</w:t>
      </w:r>
      <w:r w:rsidRPr="00683E6B">
        <w:rPr>
          <w:rFonts w:ascii="Arial" w:hAnsi="Arial" w:cs="Arial"/>
          <w:sz w:val="24"/>
          <w:szCs w:val="24"/>
        </w:rPr>
        <w:t xml:space="preserve">arents </w:t>
      </w:r>
      <w:r w:rsidR="0075010A" w:rsidRPr="00683E6B">
        <w:rPr>
          <w:rFonts w:ascii="Arial" w:hAnsi="Arial" w:cs="Arial"/>
          <w:sz w:val="24"/>
          <w:szCs w:val="24"/>
        </w:rPr>
        <w:t xml:space="preserve">passing </w:t>
      </w:r>
      <w:r w:rsidRPr="00683E6B">
        <w:rPr>
          <w:rFonts w:ascii="Arial" w:hAnsi="Arial" w:cs="Arial"/>
          <w:sz w:val="24"/>
          <w:szCs w:val="24"/>
        </w:rPr>
        <w:t xml:space="preserve">away, then the </w:t>
      </w:r>
      <w:r w:rsidR="0075010A" w:rsidRPr="00683E6B">
        <w:rPr>
          <w:rFonts w:ascii="Arial" w:hAnsi="Arial" w:cs="Arial"/>
          <w:sz w:val="24"/>
          <w:szCs w:val="24"/>
        </w:rPr>
        <w:t>g</w:t>
      </w:r>
      <w:r w:rsidRPr="00683E6B">
        <w:rPr>
          <w:rFonts w:ascii="Arial" w:hAnsi="Arial" w:cs="Arial"/>
          <w:sz w:val="24"/>
          <w:szCs w:val="24"/>
        </w:rPr>
        <w:t xml:space="preserve">uardian for the minor child will replace the </w:t>
      </w:r>
      <w:r w:rsidR="0075010A" w:rsidRPr="00683E6B">
        <w:rPr>
          <w:rFonts w:ascii="Arial" w:hAnsi="Arial" w:cs="Arial"/>
          <w:sz w:val="24"/>
          <w:szCs w:val="24"/>
        </w:rPr>
        <w:t>deceased parents</w:t>
      </w:r>
      <w:r w:rsidRPr="00683E6B">
        <w:rPr>
          <w:rFonts w:ascii="Arial" w:hAnsi="Arial" w:cs="Arial"/>
          <w:sz w:val="24"/>
          <w:szCs w:val="24"/>
        </w:rPr>
        <w:t xml:space="preserve"> as the second </w:t>
      </w:r>
      <w:r w:rsidR="0075010A" w:rsidRPr="00683E6B">
        <w:rPr>
          <w:rFonts w:ascii="Arial" w:hAnsi="Arial" w:cs="Arial"/>
          <w:sz w:val="24"/>
          <w:szCs w:val="24"/>
        </w:rPr>
        <w:t>t</w:t>
      </w:r>
      <w:r w:rsidRPr="00683E6B">
        <w:rPr>
          <w:rFonts w:ascii="Arial" w:hAnsi="Arial" w:cs="Arial"/>
          <w:sz w:val="24"/>
          <w:szCs w:val="24"/>
        </w:rPr>
        <w:t>rustee.</w:t>
      </w:r>
    </w:p>
    <w:p w14:paraId="6899D49D" w14:textId="75367EE7" w:rsidR="00D91A3A" w:rsidRPr="00683E6B" w:rsidRDefault="00D91A3A"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Only the independent professional trustee administering the trust funds on behalf of the beneficiary will be obliged to render security to the satisfaction</w:t>
      </w:r>
      <w:r w:rsidRPr="00683E6B">
        <w:rPr>
          <w:rFonts w:ascii="Arial" w:hAnsi="Arial" w:cs="Arial"/>
          <w:b/>
          <w:bCs/>
          <w:sz w:val="24"/>
          <w:szCs w:val="24"/>
        </w:rPr>
        <w:t xml:space="preserve"> </w:t>
      </w:r>
      <w:r w:rsidRPr="00683E6B">
        <w:rPr>
          <w:rFonts w:ascii="Arial" w:hAnsi="Arial" w:cs="Arial"/>
          <w:sz w:val="24"/>
          <w:szCs w:val="24"/>
        </w:rPr>
        <w:t>of the Master of the High Court.</w:t>
      </w:r>
    </w:p>
    <w:p w14:paraId="66510F8F" w14:textId="6BDC55EE" w:rsidR="00BA1745" w:rsidRPr="00683E6B" w:rsidRDefault="00BA1745"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The </w:t>
      </w:r>
      <w:r w:rsidR="0075010A" w:rsidRPr="00683E6B">
        <w:rPr>
          <w:rFonts w:ascii="Arial" w:hAnsi="Arial" w:cs="Arial"/>
          <w:sz w:val="24"/>
          <w:szCs w:val="24"/>
        </w:rPr>
        <w:t xml:space="preserve">professional independent trustee </w:t>
      </w:r>
      <w:r w:rsidRPr="00683E6B">
        <w:rPr>
          <w:rFonts w:ascii="Arial" w:hAnsi="Arial" w:cs="Arial"/>
          <w:sz w:val="24"/>
          <w:szCs w:val="24"/>
        </w:rPr>
        <w:t>shall:</w:t>
      </w:r>
    </w:p>
    <w:p w14:paraId="4ECEBDBF" w14:textId="52BC4296" w:rsidR="00BA1745" w:rsidRPr="00683E6B" w:rsidRDefault="00BA1745" w:rsidP="00CA414E">
      <w:pPr>
        <w:pStyle w:val="ListParagraph"/>
        <w:numPr>
          <w:ilvl w:val="2"/>
          <w:numId w:val="8"/>
        </w:numPr>
        <w:spacing w:before="300" w:after="0" w:line="480" w:lineRule="auto"/>
        <w:ind w:left="1701" w:firstLine="0"/>
        <w:contextualSpacing w:val="0"/>
        <w:jc w:val="both"/>
        <w:rPr>
          <w:rFonts w:ascii="Arial" w:hAnsi="Arial" w:cs="Arial"/>
          <w:sz w:val="24"/>
          <w:szCs w:val="24"/>
        </w:rPr>
      </w:pPr>
      <w:r w:rsidRPr="00683E6B">
        <w:rPr>
          <w:rFonts w:ascii="Arial" w:hAnsi="Arial" w:cs="Arial"/>
          <w:sz w:val="24"/>
          <w:szCs w:val="24"/>
        </w:rPr>
        <w:t xml:space="preserve">be entitled, in the execution of its duties and fiduciary responsibilities towards the beneficiary of the </w:t>
      </w:r>
      <w:r w:rsidR="0075010A" w:rsidRPr="00683E6B">
        <w:rPr>
          <w:rFonts w:ascii="Arial" w:hAnsi="Arial" w:cs="Arial"/>
          <w:sz w:val="24"/>
          <w:szCs w:val="24"/>
        </w:rPr>
        <w:t>t</w:t>
      </w:r>
      <w:r w:rsidRPr="00683E6B">
        <w:rPr>
          <w:rFonts w:ascii="Arial" w:hAnsi="Arial" w:cs="Arial"/>
          <w:sz w:val="24"/>
          <w:szCs w:val="24"/>
        </w:rPr>
        <w:t xml:space="preserve">rust, to have the </w:t>
      </w:r>
      <w:r w:rsidR="00D91A3A" w:rsidRPr="00683E6B">
        <w:rPr>
          <w:rFonts w:ascii="Arial" w:hAnsi="Arial" w:cs="Arial"/>
          <w:sz w:val="24"/>
          <w:szCs w:val="24"/>
        </w:rPr>
        <w:t>a</w:t>
      </w:r>
      <w:r w:rsidRPr="00683E6B">
        <w:rPr>
          <w:rFonts w:ascii="Arial" w:hAnsi="Arial" w:cs="Arial"/>
          <w:sz w:val="24"/>
          <w:szCs w:val="24"/>
        </w:rPr>
        <w:t xml:space="preserve">ttorney and own client costs and disbursements of </w:t>
      </w:r>
      <w:r w:rsidR="00587F55" w:rsidRPr="00683E6B">
        <w:rPr>
          <w:rFonts w:ascii="Arial" w:hAnsi="Arial" w:cs="Arial"/>
          <w:sz w:val="24"/>
          <w:szCs w:val="24"/>
        </w:rPr>
        <w:t xml:space="preserve">the </w:t>
      </w:r>
      <w:r w:rsidR="00C95CB9" w:rsidRPr="00683E6B">
        <w:rPr>
          <w:rFonts w:ascii="Arial" w:hAnsi="Arial" w:cs="Arial"/>
          <w:sz w:val="24"/>
          <w:szCs w:val="24"/>
        </w:rPr>
        <w:t xml:space="preserve">plaintiff’s attorneys </w:t>
      </w:r>
      <w:r w:rsidRPr="00683E6B">
        <w:rPr>
          <w:rFonts w:ascii="Arial" w:hAnsi="Arial" w:cs="Arial"/>
          <w:sz w:val="24"/>
          <w:szCs w:val="24"/>
        </w:rPr>
        <w:t>on record taxed, unless agreed</w:t>
      </w:r>
      <w:r w:rsidR="00D91A3A" w:rsidRPr="00683E6B">
        <w:rPr>
          <w:rFonts w:ascii="Arial" w:hAnsi="Arial" w:cs="Arial"/>
          <w:sz w:val="24"/>
          <w:szCs w:val="24"/>
        </w:rPr>
        <w:t>;</w:t>
      </w:r>
    </w:p>
    <w:p w14:paraId="28A11E18" w14:textId="5208465A" w:rsidR="00BA1745" w:rsidRPr="00683E6B" w:rsidRDefault="00BA1745" w:rsidP="00CA414E">
      <w:pPr>
        <w:pStyle w:val="ListParagraph"/>
        <w:numPr>
          <w:ilvl w:val="2"/>
          <w:numId w:val="8"/>
        </w:numPr>
        <w:spacing w:before="300" w:after="0" w:line="480" w:lineRule="auto"/>
        <w:ind w:left="1701" w:firstLine="0"/>
        <w:contextualSpacing w:val="0"/>
        <w:jc w:val="both"/>
        <w:rPr>
          <w:rFonts w:ascii="Arial" w:hAnsi="Arial" w:cs="Arial"/>
          <w:sz w:val="24"/>
          <w:szCs w:val="24"/>
        </w:rPr>
      </w:pPr>
      <w:r w:rsidRPr="00683E6B">
        <w:rPr>
          <w:rFonts w:ascii="Arial" w:hAnsi="Arial" w:cs="Arial"/>
          <w:sz w:val="24"/>
          <w:szCs w:val="24"/>
        </w:rPr>
        <w:lastRenderedPageBreak/>
        <w:t xml:space="preserve">be entitled to administer on behalf of the minor child, the </w:t>
      </w:r>
      <w:r w:rsidR="00D91A3A" w:rsidRPr="00683E6B">
        <w:rPr>
          <w:rFonts w:ascii="Arial" w:hAnsi="Arial" w:cs="Arial"/>
          <w:sz w:val="24"/>
          <w:szCs w:val="24"/>
        </w:rPr>
        <w:t>u</w:t>
      </w:r>
      <w:r w:rsidRPr="00683E6B">
        <w:rPr>
          <w:rFonts w:ascii="Arial" w:hAnsi="Arial" w:cs="Arial"/>
          <w:sz w:val="24"/>
          <w:szCs w:val="24"/>
        </w:rPr>
        <w:t xml:space="preserve">ndertaking referred to in </w:t>
      </w:r>
      <w:r w:rsidR="00A07141" w:rsidRPr="00683E6B">
        <w:rPr>
          <w:rFonts w:ascii="Arial" w:hAnsi="Arial" w:cs="Arial"/>
          <w:sz w:val="24"/>
          <w:szCs w:val="24"/>
        </w:rPr>
        <w:t xml:space="preserve">paragraph </w:t>
      </w:r>
      <w:r w:rsidR="008E2050" w:rsidRPr="00683E6B">
        <w:rPr>
          <w:rFonts w:ascii="Arial" w:hAnsi="Arial" w:cs="Arial"/>
          <w:sz w:val="24"/>
          <w:szCs w:val="24"/>
        </w:rPr>
        <w:t>5</w:t>
      </w:r>
      <w:r w:rsidRPr="00683E6B">
        <w:rPr>
          <w:rFonts w:ascii="Arial" w:hAnsi="Arial" w:cs="Arial"/>
          <w:sz w:val="24"/>
          <w:szCs w:val="24"/>
        </w:rPr>
        <w:t xml:space="preserve"> above and to recover the costs covered by such </w:t>
      </w:r>
      <w:r w:rsidR="00D91A3A" w:rsidRPr="00683E6B">
        <w:rPr>
          <w:rFonts w:ascii="Arial" w:hAnsi="Arial" w:cs="Arial"/>
          <w:sz w:val="24"/>
          <w:szCs w:val="24"/>
        </w:rPr>
        <w:t>u</w:t>
      </w:r>
      <w:r w:rsidRPr="00683E6B">
        <w:rPr>
          <w:rFonts w:ascii="Arial" w:hAnsi="Arial" w:cs="Arial"/>
          <w:sz w:val="24"/>
          <w:szCs w:val="24"/>
        </w:rPr>
        <w:t xml:space="preserve">ndertaking on behalf of the </w:t>
      </w:r>
      <w:r w:rsidR="00D91A3A" w:rsidRPr="00683E6B">
        <w:rPr>
          <w:rFonts w:ascii="Arial" w:hAnsi="Arial" w:cs="Arial"/>
          <w:sz w:val="24"/>
          <w:szCs w:val="24"/>
        </w:rPr>
        <w:t>t</w:t>
      </w:r>
      <w:r w:rsidRPr="00683E6B">
        <w:rPr>
          <w:rFonts w:ascii="Arial" w:hAnsi="Arial" w:cs="Arial"/>
          <w:sz w:val="24"/>
          <w:szCs w:val="24"/>
        </w:rPr>
        <w:t xml:space="preserve">rust for the benefit of the </w:t>
      </w:r>
      <w:r w:rsidR="00D91A3A" w:rsidRPr="00683E6B">
        <w:rPr>
          <w:rFonts w:ascii="Arial" w:hAnsi="Arial" w:cs="Arial"/>
          <w:sz w:val="24"/>
          <w:szCs w:val="24"/>
        </w:rPr>
        <w:t>t</w:t>
      </w:r>
      <w:r w:rsidRPr="00683E6B">
        <w:rPr>
          <w:rFonts w:ascii="Arial" w:hAnsi="Arial" w:cs="Arial"/>
          <w:sz w:val="24"/>
          <w:szCs w:val="24"/>
        </w:rPr>
        <w:t>rust</w:t>
      </w:r>
      <w:r w:rsidR="00D91A3A" w:rsidRPr="00683E6B">
        <w:rPr>
          <w:rFonts w:ascii="Arial" w:hAnsi="Arial" w:cs="Arial"/>
          <w:sz w:val="24"/>
          <w:szCs w:val="24"/>
        </w:rPr>
        <w:t>;</w:t>
      </w:r>
    </w:p>
    <w:p w14:paraId="480C4693" w14:textId="416CC5D0" w:rsidR="00BA1745" w:rsidRPr="00683E6B" w:rsidRDefault="00D91A3A" w:rsidP="00CA414E">
      <w:pPr>
        <w:pStyle w:val="ListParagraph"/>
        <w:numPr>
          <w:ilvl w:val="2"/>
          <w:numId w:val="8"/>
        </w:numPr>
        <w:spacing w:before="300" w:after="0" w:line="480" w:lineRule="auto"/>
        <w:ind w:left="1701" w:firstLine="0"/>
        <w:contextualSpacing w:val="0"/>
        <w:jc w:val="both"/>
        <w:rPr>
          <w:rFonts w:ascii="Arial" w:hAnsi="Arial" w:cs="Arial"/>
          <w:sz w:val="24"/>
          <w:szCs w:val="24"/>
        </w:rPr>
      </w:pPr>
      <w:r w:rsidRPr="00683E6B">
        <w:rPr>
          <w:rFonts w:ascii="Arial" w:hAnsi="Arial" w:cs="Arial"/>
          <w:sz w:val="24"/>
          <w:szCs w:val="24"/>
        </w:rPr>
        <w:t>a</w:t>
      </w:r>
      <w:r w:rsidR="00BA1745" w:rsidRPr="00683E6B">
        <w:rPr>
          <w:rFonts w:ascii="Arial" w:hAnsi="Arial" w:cs="Arial"/>
          <w:sz w:val="24"/>
          <w:szCs w:val="24"/>
        </w:rPr>
        <w:t xml:space="preserve">t all times administer the </w:t>
      </w:r>
      <w:r w:rsidRPr="00683E6B">
        <w:rPr>
          <w:rFonts w:ascii="Arial" w:hAnsi="Arial" w:cs="Arial"/>
          <w:sz w:val="24"/>
          <w:szCs w:val="24"/>
        </w:rPr>
        <w:t>t</w:t>
      </w:r>
      <w:r w:rsidR="00BA1745" w:rsidRPr="00683E6B">
        <w:rPr>
          <w:rFonts w:ascii="Arial" w:hAnsi="Arial" w:cs="Arial"/>
          <w:sz w:val="24"/>
          <w:szCs w:val="24"/>
        </w:rPr>
        <w:t xml:space="preserve">rust to the benefit of the minor child. </w:t>
      </w:r>
    </w:p>
    <w:p w14:paraId="19FC56A9" w14:textId="2AD7D1C5" w:rsidR="00BA1745" w:rsidRPr="00683E6B" w:rsidRDefault="00BA1745"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The </w:t>
      </w:r>
      <w:r w:rsidR="00D91A3A" w:rsidRPr="00683E6B">
        <w:rPr>
          <w:rFonts w:ascii="Arial" w:hAnsi="Arial" w:cs="Arial"/>
          <w:sz w:val="24"/>
          <w:szCs w:val="24"/>
        </w:rPr>
        <w:t>t</w:t>
      </w:r>
      <w:r w:rsidRPr="00683E6B">
        <w:rPr>
          <w:rFonts w:ascii="Arial" w:hAnsi="Arial" w:cs="Arial"/>
          <w:sz w:val="24"/>
          <w:szCs w:val="24"/>
        </w:rPr>
        <w:t>rust shall not be capable of being amended without leave of the court.</w:t>
      </w:r>
    </w:p>
    <w:p w14:paraId="7DEC7DBA" w14:textId="54181E7E" w:rsidR="00BA1745" w:rsidRPr="00683E6B" w:rsidRDefault="00BA1745" w:rsidP="00CA414E">
      <w:pPr>
        <w:pStyle w:val="ListParagraph"/>
        <w:numPr>
          <w:ilvl w:val="1"/>
          <w:numId w:val="8"/>
        </w:numPr>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The </w:t>
      </w:r>
      <w:r w:rsidR="00D91A3A" w:rsidRPr="00683E6B">
        <w:rPr>
          <w:rFonts w:ascii="Arial" w:hAnsi="Arial" w:cs="Arial"/>
          <w:sz w:val="24"/>
          <w:szCs w:val="24"/>
        </w:rPr>
        <w:t>t</w:t>
      </w:r>
      <w:r w:rsidRPr="00683E6B">
        <w:rPr>
          <w:rFonts w:ascii="Arial" w:hAnsi="Arial" w:cs="Arial"/>
          <w:sz w:val="24"/>
          <w:szCs w:val="24"/>
        </w:rPr>
        <w:t xml:space="preserve">rust shall terminate </w:t>
      </w:r>
      <w:r w:rsidR="00D91A3A" w:rsidRPr="00683E6B">
        <w:rPr>
          <w:rFonts w:ascii="Arial" w:hAnsi="Arial" w:cs="Arial"/>
          <w:sz w:val="24"/>
          <w:szCs w:val="24"/>
        </w:rPr>
        <w:t>by order of</w:t>
      </w:r>
      <w:r w:rsidRPr="00683E6B">
        <w:rPr>
          <w:rFonts w:ascii="Arial" w:hAnsi="Arial" w:cs="Arial"/>
          <w:sz w:val="24"/>
          <w:szCs w:val="24"/>
        </w:rPr>
        <w:t xml:space="preserve"> </w:t>
      </w:r>
      <w:r w:rsidR="00D91A3A" w:rsidRPr="00683E6B">
        <w:rPr>
          <w:rFonts w:ascii="Arial" w:hAnsi="Arial" w:cs="Arial"/>
          <w:sz w:val="24"/>
          <w:szCs w:val="24"/>
        </w:rPr>
        <w:t>c</w:t>
      </w:r>
      <w:r w:rsidRPr="00683E6B">
        <w:rPr>
          <w:rFonts w:ascii="Arial" w:hAnsi="Arial" w:cs="Arial"/>
          <w:sz w:val="24"/>
          <w:szCs w:val="24"/>
        </w:rPr>
        <w:t xml:space="preserve">ourt, or upon the death of the beneficiary, in which event the </w:t>
      </w:r>
      <w:r w:rsidR="00D91A3A" w:rsidRPr="00683E6B">
        <w:rPr>
          <w:rFonts w:ascii="Arial" w:hAnsi="Arial" w:cs="Arial"/>
          <w:sz w:val="24"/>
          <w:szCs w:val="24"/>
        </w:rPr>
        <w:t>t</w:t>
      </w:r>
      <w:r w:rsidRPr="00683E6B">
        <w:rPr>
          <w:rFonts w:ascii="Arial" w:hAnsi="Arial" w:cs="Arial"/>
          <w:sz w:val="24"/>
          <w:szCs w:val="24"/>
        </w:rPr>
        <w:t xml:space="preserve">rust property shall pass to the estate of the </w:t>
      </w:r>
      <w:r w:rsidR="00D91A3A" w:rsidRPr="00683E6B">
        <w:rPr>
          <w:rFonts w:ascii="Arial" w:hAnsi="Arial" w:cs="Arial"/>
          <w:sz w:val="24"/>
          <w:szCs w:val="24"/>
        </w:rPr>
        <w:t>b</w:t>
      </w:r>
      <w:r w:rsidRPr="00683E6B">
        <w:rPr>
          <w:rFonts w:ascii="Arial" w:hAnsi="Arial" w:cs="Arial"/>
          <w:sz w:val="24"/>
          <w:szCs w:val="24"/>
        </w:rPr>
        <w:t>eneficiary</w:t>
      </w:r>
      <w:r w:rsidR="00D91A3A" w:rsidRPr="00683E6B">
        <w:rPr>
          <w:rFonts w:ascii="Arial" w:hAnsi="Arial" w:cs="Arial"/>
          <w:sz w:val="24"/>
          <w:szCs w:val="24"/>
        </w:rPr>
        <w:t>,</w:t>
      </w:r>
      <w:r w:rsidRPr="00683E6B">
        <w:rPr>
          <w:rFonts w:ascii="Arial" w:hAnsi="Arial" w:cs="Arial"/>
          <w:sz w:val="24"/>
          <w:szCs w:val="24"/>
        </w:rPr>
        <w:t xml:space="preserve"> or if all the assets of the trust have been depleted, whichever occurs earlier.</w:t>
      </w:r>
    </w:p>
    <w:p w14:paraId="42264776" w14:textId="2D513486" w:rsidR="00BA1745" w:rsidRPr="00683E6B" w:rsidRDefault="00BA1745" w:rsidP="00CA414E">
      <w:pPr>
        <w:pStyle w:val="ListParagraph"/>
        <w:widowControl w:val="0"/>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 xml:space="preserve">The </w:t>
      </w:r>
      <w:r w:rsidR="00D91A3A" w:rsidRPr="00683E6B">
        <w:rPr>
          <w:rFonts w:ascii="Arial" w:hAnsi="Arial" w:cs="Arial"/>
          <w:sz w:val="24"/>
          <w:szCs w:val="24"/>
        </w:rPr>
        <w:t>t</w:t>
      </w:r>
      <w:r w:rsidRPr="00683E6B">
        <w:rPr>
          <w:rFonts w:ascii="Arial" w:hAnsi="Arial" w:cs="Arial"/>
          <w:sz w:val="24"/>
          <w:szCs w:val="24"/>
        </w:rPr>
        <w:t xml:space="preserve">rustees are authorized to recover from the Road Accident Fund for the benefit of the </w:t>
      </w:r>
      <w:r w:rsidR="00D91A3A" w:rsidRPr="00683E6B">
        <w:rPr>
          <w:rFonts w:ascii="Arial" w:hAnsi="Arial" w:cs="Arial"/>
          <w:sz w:val="24"/>
          <w:szCs w:val="24"/>
        </w:rPr>
        <w:t>t</w:t>
      </w:r>
      <w:r w:rsidRPr="00683E6B">
        <w:rPr>
          <w:rFonts w:ascii="Arial" w:hAnsi="Arial" w:cs="Arial"/>
          <w:sz w:val="24"/>
          <w:szCs w:val="24"/>
        </w:rPr>
        <w:t xml:space="preserve">rust, all costs incurred by them which are payable by the Road Accident Fund including the costs of the creation of the </w:t>
      </w:r>
      <w:r w:rsidR="00D91A3A" w:rsidRPr="00683E6B">
        <w:rPr>
          <w:rFonts w:ascii="Arial" w:hAnsi="Arial" w:cs="Arial"/>
          <w:sz w:val="24"/>
          <w:szCs w:val="24"/>
        </w:rPr>
        <w:t>t</w:t>
      </w:r>
      <w:r w:rsidRPr="00683E6B">
        <w:rPr>
          <w:rFonts w:ascii="Arial" w:hAnsi="Arial" w:cs="Arial"/>
          <w:sz w:val="24"/>
          <w:szCs w:val="24"/>
        </w:rPr>
        <w:t xml:space="preserve">rust and the costs of furnishing security. </w:t>
      </w:r>
    </w:p>
    <w:p w14:paraId="26BA7184" w14:textId="087CE147" w:rsidR="00BA1745" w:rsidRPr="00683E6B" w:rsidRDefault="00BA1745" w:rsidP="00CA414E">
      <w:pPr>
        <w:pStyle w:val="ListParagraph"/>
        <w:numPr>
          <w:ilvl w:val="0"/>
          <w:numId w:val="8"/>
        </w:numPr>
        <w:tabs>
          <w:tab w:val="left" w:pos="709"/>
        </w:tabs>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 xml:space="preserve">The costs and charges relating to the administration of the </w:t>
      </w:r>
      <w:r w:rsidR="00D91A3A" w:rsidRPr="00683E6B">
        <w:rPr>
          <w:rFonts w:ascii="Arial" w:hAnsi="Arial" w:cs="Arial"/>
          <w:sz w:val="24"/>
          <w:szCs w:val="24"/>
        </w:rPr>
        <w:t>t</w:t>
      </w:r>
      <w:r w:rsidRPr="00683E6B">
        <w:rPr>
          <w:rFonts w:ascii="Arial" w:hAnsi="Arial" w:cs="Arial"/>
          <w:sz w:val="24"/>
          <w:szCs w:val="24"/>
        </w:rPr>
        <w:t xml:space="preserve">rust fund, and the costs and the charges incidental to the formation thereof shall be borne by the </w:t>
      </w:r>
      <w:r w:rsidR="00D91A3A" w:rsidRPr="00683E6B">
        <w:rPr>
          <w:rFonts w:ascii="Arial" w:hAnsi="Arial" w:cs="Arial"/>
          <w:sz w:val="24"/>
          <w:szCs w:val="24"/>
        </w:rPr>
        <w:t>t</w:t>
      </w:r>
      <w:r w:rsidRPr="00683E6B">
        <w:rPr>
          <w:rFonts w:ascii="Arial" w:hAnsi="Arial" w:cs="Arial"/>
          <w:sz w:val="24"/>
          <w:szCs w:val="24"/>
        </w:rPr>
        <w:t xml:space="preserve">rust out of the capital and/or income as the </w:t>
      </w:r>
      <w:r w:rsidR="00D91A3A" w:rsidRPr="00683E6B">
        <w:rPr>
          <w:rFonts w:ascii="Arial" w:hAnsi="Arial" w:cs="Arial"/>
          <w:sz w:val="24"/>
          <w:szCs w:val="24"/>
        </w:rPr>
        <w:t xml:space="preserve">independent professional trustee may </w:t>
      </w:r>
      <w:r w:rsidRPr="00683E6B">
        <w:rPr>
          <w:rFonts w:ascii="Arial" w:hAnsi="Arial" w:cs="Arial"/>
          <w:sz w:val="24"/>
          <w:szCs w:val="24"/>
        </w:rPr>
        <w:t xml:space="preserve">deem appropriate, subject to the above, as set out in </w:t>
      </w:r>
      <w:r w:rsidR="00D91A3A" w:rsidRPr="00683E6B">
        <w:rPr>
          <w:rFonts w:ascii="Arial" w:hAnsi="Arial" w:cs="Arial"/>
          <w:sz w:val="24"/>
          <w:szCs w:val="24"/>
        </w:rPr>
        <w:t xml:space="preserve">in clause 25 of </w:t>
      </w:r>
      <w:r w:rsidRPr="00683E6B">
        <w:rPr>
          <w:rFonts w:ascii="Arial" w:hAnsi="Arial" w:cs="Arial"/>
          <w:sz w:val="24"/>
          <w:szCs w:val="24"/>
        </w:rPr>
        <w:t xml:space="preserve">Annexure A. </w:t>
      </w:r>
    </w:p>
    <w:p w14:paraId="29BE7ECD" w14:textId="25D8FEE7" w:rsidR="00BA1745" w:rsidRPr="00683E6B" w:rsidRDefault="00C95CB9" w:rsidP="00CA414E">
      <w:pPr>
        <w:numPr>
          <w:ilvl w:val="0"/>
          <w:numId w:val="8"/>
        </w:numPr>
        <w:tabs>
          <w:tab w:val="left" w:pos="709"/>
        </w:tabs>
        <w:autoSpaceDN w:val="0"/>
        <w:spacing w:before="300" w:after="0" w:line="480" w:lineRule="auto"/>
        <w:ind w:left="0" w:firstLine="0"/>
        <w:jc w:val="both"/>
        <w:rPr>
          <w:rFonts w:ascii="Arial" w:hAnsi="Arial" w:cs="Arial"/>
          <w:sz w:val="24"/>
          <w:szCs w:val="24"/>
        </w:rPr>
      </w:pPr>
      <w:r w:rsidRPr="00683E6B">
        <w:rPr>
          <w:rFonts w:ascii="Arial" w:hAnsi="Arial" w:cs="Arial"/>
          <w:sz w:val="24"/>
          <w:szCs w:val="24"/>
        </w:rPr>
        <w:t>The defendant</w:t>
      </w:r>
      <w:r w:rsidR="00BA1745" w:rsidRPr="00683E6B">
        <w:rPr>
          <w:rFonts w:ascii="Arial" w:hAnsi="Arial" w:cs="Arial"/>
          <w:sz w:val="24"/>
          <w:szCs w:val="24"/>
        </w:rPr>
        <w:t xml:space="preserve"> </w:t>
      </w:r>
      <w:r w:rsidR="00203B1D" w:rsidRPr="00683E6B">
        <w:rPr>
          <w:rFonts w:ascii="Arial" w:hAnsi="Arial" w:cs="Arial"/>
          <w:sz w:val="24"/>
          <w:szCs w:val="24"/>
        </w:rPr>
        <w:t>shall</w:t>
      </w:r>
      <w:r w:rsidR="00BA1745" w:rsidRPr="00683E6B">
        <w:rPr>
          <w:rFonts w:ascii="Arial" w:hAnsi="Arial" w:cs="Arial"/>
          <w:sz w:val="24"/>
          <w:szCs w:val="24"/>
        </w:rPr>
        <w:t xml:space="preserve"> pay </w:t>
      </w:r>
      <w:r w:rsidR="00587F55" w:rsidRPr="00683E6B">
        <w:rPr>
          <w:rFonts w:ascii="Arial" w:hAnsi="Arial" w:cs="Arial"/>
          <w:sz w:val="24"/>
          <w:szCs w:val="24"/>
        </w:rPr>
        <w:t>the plaintiff</w:t>
      </w:r>
      <w:r w:rsidR="00BA1745" w:rsidRPr="00683E6B">
        <w:rPr>
          <w:rFonts w:ascii="Arial" w:hAnsi="Arial" w:cs="Arial"/>
          <w:sz w:val="24"/>
          <w:szCs w:val="24"/>
        </w:rPr>
        <w:t xml:space="preserve">’s agreed or taxed High Court costs as between party and party, subject to the discretion of taxing </w:t>
      </w:r>
      <w:r w:rsidR="00D91A3A" w:rsidRPr="00683E6B">
        <w:rPr>
          <w:rFonts w:ascii="Arial" w:hAnsi="Arial" w:cs="Arial"/>
          <w:sz w:val="24"/>
          <w:szCs w:val="24"/>
        </w:rPr>
        <w:t>m</w:t>
      </w:r>
      <w:r w:rsidR="00BA1745" w:rsidRPr="00683E6B">
        <w:rPr>
          <w:rFonts w:ascii="Arial" w:hAnsi="Arial" w:cs="Arial"/>
          <w:sz w:val="24"/>
          <w:szCs w:val="24"/>
        </w:rPr>
        <w:t>aster, such costs to include, but not be limited to the following:</w:t>
      </w:r>
    </w:p>
    <w:p w14:paraId="0C1342E3" w14:textId="77777777" w:rsidR="00BA1745" w:rsidRPr="00683E6B" w:rsidRDefault="00BA1745" w:rsidP="00CA414E">
      <w:pPr>
        <w:pStyle w:val="ListParagraph"/>
        <w:widowControl w:val="0"/>
        <w:numPr>
          <w:ilvl w:val="1"/>
          <w:numId w:val="8"/>
        </w:numPr>
        <w:autoSpaceDE w:val="0"/>
        <w:autoSpaceDN w:val="0"/>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lastRenderedPageBreak/>
        <w:t>the costs in respect of the preparation and compilation of the following expert reports, including addendum reports:</w:t>
      </w:r>
    </w:p>
    <w:p w14:paraId="59F9ABB8"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Dr </w:t>
      </w:r>
      <w:proofErr w:type="spellStart"/>
      <w:r w:rsidRPr="00683E6B">
        <w:rPr>
          <w:rFonts w:ascii="Arial" w:hAnsi="Arial" w:cs="Arial"/>
          <w:sz w:val="24"/>
          <w:szCs w:val="24"/>
        </w:rPr>
        <w:t>Mayaven</w:t>
      </w:r>
      <w:proofErr w:type="spellEnd"/>
      <w:r w:rsidRPr="00683E6B">
        <w:rPr>
          <w:rFonts w:ascii="Arial" w:hAnsi="Arial" w:cs="Arial"/>
          <w:sz w:val="24"/>
          <w:szCs w:val="24"/>
        </w:rPr>
        <w:t xml:space="preserve"> Naidoo; </w:t>
      </w:r>
    </w:p>
    <w:p w14:paraId="5A3DA6F5"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Ms Margaret Gibson; </w:t>
      </w:r>
    </w:p>
    <w:p w14:paraId="0A3ADB2D"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Dr Gavin Fredericks; </w:t>
      </w:r>
    </w:p>
    <w:p w14:paraId="0EF6FC7B"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Dr De </w:t>
      </w:r>
      <w:proofErr w:type="spellStart"/>
      <w:r w:rsidRPr="00683E6B">
        <w:rPr>
          <w:rFonts w:ascii="Arial" w:hAnsi="Arial" w:cs="Arial"/>
          <w:sz w:val="24"/>
          <w:szCs w:val="24"/>
        </w:rPr>
        <w:t>Graad</w:t>
      </w:r>
      <w:proofErr w:type="spellEnd"/>
      <w:r w:rsidRPr="00683E6B">
        <w:rPr>
          <w:rFonts w:ascii="Arial" w:hAnsi="Arial" w:cs="Arial"/>
          <w:sz w:val="24"/>
          <w:szCs w:val="24"/>
        </w:rPr>
        <w:t xml:space="preserve">; </w:t>
      </w:r>
    </w:p>
    <w:p w14:paraId="3440B7D3"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Dr Herman </w:t>
      </w:r>
      <w:proofErr w:type="spellStart"/>
      <w:r w:rsidRPr="00683E6B">
        <w:rPr>
          <w:rFonts w:ascii="Arial" w:hAnsi="Arial" w:cs="Arial"/>
          <w:sz w:val="24"/>
          <w:szCs w:val="24"/>
        </w:rPr>
        <w:t>Edeling</w:t>
      </w:r>
      <w:proofErr w:type="spellEnd"/>
      <w:r w:rsidRPr="00683E6B">
        <w:rPr>
          <w:rFonts w:ascii="Arial" w:hAnsi="Arial" w:cs="Arial"/>
          <w:sz w:val="24"/>
          <w:szCs w:val="24"/>
        </w:rPr>
        <w:t xml:space="preserve">; </w:t>
      </w:r>
    </w:p>
    <w:p w14:paraId="31D8FBE2"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proofErr w:type="spellStart"/>
      <w:r w:rsidRPr="00683E6B">
        <w:rPr>
          <w:rFonts w:ascii="Arial" w:hAnsi="Arial" w:cs="Arial"/>
          <w:sz w:val="24"/>
          <w:szCs w:val="24"/>
        </w:rPr>
        <w:t>Elna</w:t>
      </w:r>
      <w:proofErr w:type="spellEnd"/>
      <w:r w:rsidRPr="00683E6B">
        <w:rPr>
          <w:rFonts w:ascii="Arial" w:hAnsi="Arial" w:cs="Arial"/>
          <w:sz w:val="24"/>
          <w:szCs w:val="24"/>
        </w:rPr>
        <w:t xml:space="preserve"> </w:t>
      </w:r>
      <w:proofErr w:type="spellStart"/>
      <w:r w:rsidRPr="00683E6B">
        <w:rPr>
          <w:rFonts w:ascii="Arial" w:hAnsi="Arial" w:cs="Arial"/>
          <w:sz w:val="24"/>
          <w:szCs w:val="24"/>
        </w:rPr>
        <w:t>Rossouw</w:t>
      </w:r>
      <w:proofErr w:type="spellEnd"/>
      <w:r w:rsidRPr="00683E6B">
        <w:rPr>
          <w:rFonts w:ascii="Arial" w:hAnsi="Arial" w:cs="Arial"/>
          <w:sz w:val="24"/>
          <w:szCs w:val="24"/>
        </w:rPr>
        <w:t xml:space="preserve">; </w:t>
      </w:r>
    </w:p>
    <w:p w14:paraId="6C43EBF5"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Dr Berkowitz; </w:t>
      </w:r>
    </w:p>
    <w:p w14:paraId="04C01490"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Mari </w:t>
      </w:r>
      <w:proofErr w:type="spellStart"/>
      <w:r w:rsidRPr="00683E6B">
        <w:rPr>
          <w:rFonts w:ascii="Arial" w:hAnsi="Arial" w:cs="Arial"/>
          <w:sz w:val="24"/>
          <w:szCs w:val="24"/>
        </w:rPr>
        <w:t>Lautenbach</w:t>
      </w:r>
      <w:proofErr w:type="spellEnd"/>
      <w:r w:rsidRPr="00683E6B">
        <w:rPr>
          <w:rFonts w:ascii="Arial" w:hAnsi="Arial" w:cs="Arial"/>
          <w:sz w:val="24"/>
          <w:szCs w:val="24"/>
        </w:rPr>
        <w:t xml:space="preserve">; </w:t>
      </w:r>
    </w:p>
    <w:p w14:paraId="57E183D8"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Michelle Doran; </w:t>
      </w:r>
    </w:p>
    <w:p w14:paraId="018BE3C4" w14:textId="77777777" w:rsidR="00BA1745" w:rsidRPr="00683E6B" w:rsidRDefault="00BA1745" w:rsidP="00683E6B">
      <w:pPr>
        <w:pStyle w:val="ListParagraph"/>
        <w:widowControl w:val="0"/>
        <w:numPr>
          <w:ilvl w:val="2"/>
          <w:numId w:val="8"/>
        </w:numPr>
        <w:autoSpaceDE w:val="0"/>
        <w:autoSpaceDN w:val="0"/>
        <w:spacing w:before="300" w:after="0" w:line="480" w:lineRule="auto"/>
        <w:contextualSpacing w:val="0"/>
        <w:jc w:val="both"/>
        <w:rPr>
          <w:rFonts w:ascii="Arial" w:hAnsi="Arial" w:cs="Arial"/>
          <w:sz w:val="24"/>
          <w:szCs w:val="24"/>
        </w:rPr>
      </w:pPr>
      <w:r w:rsidRPr="00683E6B">
        <w:rPr>
          <w:rFonts w:ascii="Arial" w:hAnsi="Arial" w:cs="Arial"/>
          <w:sz w:val="24"/>
          <w:szCs w:val="24"/>
        </w:rPr>
        <w:t xml:space="preserve">SNG </w:t>
      </w:r>
      <w:proofErr w:type="spellStart"/>
      <w:r w:rsidRPr="00683E6B">
        <w:rPr>
          <w:rFonts w:ascii="Arial" w:hAnsi="Arial" w:cs="Arial"/>
          <w:sz w:val="24"/>
          <w:szCs w:val="24"/>
        </w:rPr>
        <w:t>Argen</w:t>
      </w:r>
      <w:proofErr w:type="spellEnd"/>
      <w:r w:rsidRPr="00683E6B">
        <w:rPr>
          <w:rFonts w:ascii="Arial" w:hAnsi="Arial" w:cs="Arial"/>
          <w:sz w:val="24"/>
          <w:szCs w:val="24"/>
        </w:rPr>
        <w:t>.</w:t>
      </w:r>
    </w:p>
    <w:p w14:paraId="14AF910E" w14:textId="1FC43C9F" w:rsidR="00BA1745" w:rsidRPr="00683E6B" w:rsidRDefault="00D91A3A" w:rsidP="00CA414E">
      <w:pPr>
        <w:pStyle w:val="ListParagraph"/>
        <w:widowControl w:val="0"/>
        <w:numPr>
          <w:ilvl w:val="1"/>
          <w:numId w:val="8"/>
        </w:numPr>
        <w:autoSpaceDE w:val="0"/>
        <w:autoSpaceDN w:val="0"/>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 xml:space="preserve">The </w:t>
      </w:r>
      <w:r w:rsidR="00BA1745" w:rsidRPr="00683E6B">
        <w:rPr>
          <w:rFonts w:ascii="Arial" w:hAnsi="Arial" w:cs="Arial"/>
          <w:sz w:val="24"/>
          <w:szCs w:val="24"/>
        </w:rPr>
        <w:t>cost</w:t>
      </w:r>
      <w:r w:rsidR="00203B1D" w:rsidRPr="00683E6B">
        <w:rPr>
          <w:rFonts w:ascii="Arial" w:hAnsi="Arial" w:cs="Arial"/>
          <w:sz w:val="24"/>
          <w:szCs w:val="24"/>
        </w:rPr>
        <w:t>s</w:t>
      </w:r>
      <w:r w:rsidR="00BA1745" w:rsidRPr="00683E6B">
        <w:rPr>
          <w:rFonts w:ascii="Arial" w:hAnsi="Arial" w:cs="Arial"/>
          <w:sz w:val="24"/>
          <w:szCs w:val="24"/>
        </w:rPr>
        <w:t xml:space="preserve"> in respect of the reservation of the aforesaid expert witnesses, if applicable; </w:t>
      </w:r>
    </w:p>
    <w:p w14:paraId="3081AF04" w14:textId="51F88CC6" w:rsidR="00BA1745" w:rsidRPr="00683E6B" w:rsidRDefault="00587F55" w:rsidP="00CA414E">
      <w:pPr>
        <w:pStyle w:val="ListParagraph"/>
        <w:widowControl w:val="0"/>
        <w:numPr>
          <w:ilvl w:val="1"/>
          <w:numId w:val="8"/>
        </w:numPr>
        <w:autoSpaceDE w:val="0"/>
        <w:autoSpaceDN w:val="0"/>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the plaintiff</w:t>
      </w:r>
      <w:r w:rsidR="00BA1745" w:rsidRPr="00683E6B">
        <w:rPr>
          <w:rFonts w:ascii="Arial" w:hAnsi="Arial" w:cs="Arial"/>
          <w:sz w:val="24"/>
          <w:szCs w:val="24"/>
        </w:rPr>
        <w:t xml:space="preserve">’s reasonable travel and accommodation costs to attend to </w:t>
      </w:r>
      <w:r w:rsidRPr="00683E6B">
        <w:rPr>
          <w:rFonts w:ascii="Arial" w:hAnsi="Arial" w:cs="Arial"/>
          <w:sz w:val="24"/>
          <w:szCs w:val="24"/>
        </w:rPr>
        <w:t>the plaintiff</w:t>
      </w:r>
      <w:r w:rsidR="00BA1745" w:rsidRPr="00683E6B">
        <w:rPr>
          <w:rFonts w:ascii="Arial" w:hAnsi="Arial" w:cs="Arial"/>
          <w:sz w:val="24"/>
          <w:szCs w:val="24"/>
        </w:rPr>
        <w:t>’s experts;</w:t>
      </w:r>
    </w:p>
    <w:p w14:paraId="765A86B7" w14:textId="5AF6D39B" w:rsidR="00BA1745" w:rsidRPr="00683E6B" w:rsidRDefault="00BA1745" w:rsidP="00CA414E">
      <w:pPr>
        <w:pStyle w:val="ListParagraph"/>
        <w:widowControl w:val="0"/>
        <w:numPr>
          <w:ilvl w:val="1"/>
          <w:numId w:val="8"/>
        </w:numPr>
        <w:autoSpaceDE w:val="0"/>
        <w:autoSpaceDN w:val="0"/>
        <w:spacing w:before="300" w:after="0" w:line="480" w:lineRule="auto"/>
        <w:ind w:left="709" w:firstLine="0"/>
        <w:contextualSpacing w:val="0"/>
        <w:jc w:val="both"/>
        <w:rPr>
          <w:rFonts w:ascii="Arial" w:hAnsi="Arial" w:cs="Arial"/>
          <w:sz w:val="24"/>
          <w:szCs w:val="24"/>
        </w:rPr>
      </w:pPr>
      <w:r w:rsidRPr="00683E6B">
        <w:rPr>
          <w:rFonts w:ascii="Arial" w:hAnsi="Arial" w:cs="Arial"/>
          <w:sz w:val="24"/>
          <w:szCs w:val="24"/>
        </w:rPr>
        <w:t>the costs in respect of the employment Senior Counsel</w:t>
      </w:r>
      <w:r w:rsidR="00D91A3A" w:rsidRPr="00683E6B">
        <w:rPr>
          <w:rFonts w:ascii="Arial" w:hAnsi="Arial" w:cs="Arial"/>
          <w:sz w:val="24"/>
          <w:szCs w:val="24"/>
        </w:rPr>
        <w:t>;</w:t>
      </w:r>
    </w:p>
    <w:p w14:paraId="34FF1BF9" w14:textId="1BD0923A" w:rsidR="00BA1745" w:rsidRPr="00683E6B" w:rsidRDefault="00BA1745" w:rsidP="00CA414E">
      <w:pPr>
        <w:pStyle w:val="ListParagraph"/>
        <w:widowControl w:val="0"/>
        <w:numPr>
          <w:ilvl w:val="0"/>
          <w:numId w:val="8"/>
        </w:numPr>
        <w:autoSpaceDE w:val="0"/>
        <w:autoSpaceDN w:val="0"/>
        <w:spacing w:before="300" w:after="0" w:line="480" w:lineRule="auto"/>
        <w:ind w:left="0" w:firstLine="0"/>
        <w:contextualSpacing w:val="0"/>
        <w:jc w:val="both"/>
        <w:rPr>
          <w:rFonts w:ascii="Arial" w:hAnsi="Arial" w:cs="Arial"/>
          <w:sz w:val="24"/>
          <w:szCs w:val="24"/>
        </w:rPr>
      </w:pPr>
      <w:r w:rsidRPr="00683E6B">
        <w:rPr>
          <w:rFonts w:ascii="Arial" w:hAnsi="Arial" w:cs="Arial"/>
          <w:sz w:val="24"/>
          <w:szCs w:val="24"/>
        </w:rPr>
        <w:t xml:space="preserve">All past reserved costs, if any, are hereby declared costs in the cause and </w:t>
      </w:r>
      <w:r w:rsidR="00587F55" w:rsidRPr="00683E6B">
        <w:rPr>
          <w:rFonts w:ascii="Arial" w:hAnsi="Arial" w:cs="Arial"/>
          <w:sz w:val="24"/>
          <w:szCs w:val="24"/>
        </w:rPr>
        <w:t xml:space="preserve">the </w:t>
      </w:r>
      <w:r w:rsidR="00587F55" w:rsidRPr="00683E6B">
        <w:rPr>
          <w:rFonts w:ascii="Arial" w:hAnsi="Arial" w:cs="Arial"/>
          <w:sz w:val="24"/>
          <w:szCs w:val="24"/>
        </w:rPr>
        <w:lastRenderedPageBreak/>
        <w:t>plaintiff</w:t>
      </w:r>
      <w:r w:rsidRPr="00683E6B">
        <w:rPr>
          <w:rFonts w:ascii="Arial" w:hAnsi="Arial" w:cs="Arial"/>
          <w:sz w:val="24"/>
          <w:szCs w:val="24"/>
        </w:rPr>
        <w:t xml:space="preserve"> as well as subpoenaed witnesses are declared necessary witnesses. </w:t>
      </w:r>
    </w:p>
    <w:p w14:paraId="55276208" w14:textId="43FCF66D" w:rsidR="00BA1745" w:rsidRPr="00683E6B" w:rsidRDefault="00587F55" w:rsidP="00CA414E">
      <w:pPr>
        <w:pStyle w:val="ListParagraph"/>
        <w:widowControl w:val="0"/>
        <w:numPr>
          <w:ilvl w:val="0"/>
          <w:numId w:val="8"/>
        </w:numPr>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The plaintiff</w:t>
      </w:r>
      <w:r w:rsidR="00BA1745" w:rsidRPr="00683E6B">
        <w:rPr>
          <w:rFonts w:ascii="Arial" w:hAnsi="Arial" w:cs="Arial"/>
          <w:sz w:val="24"/>
          <w:szCs w:val="24"/>
        </w:rPr>
        <w:t xml:space="preserve"> shall, in the event that the costs </w:t>
      </w:r>
      <w:r w:rsidR="008E2050" w:rsidRPr="00683E6B">
        <w:rPr>
          <w:rFonts w:ascii="Arial" w:hAnsi="Arial" w:cs="Arial"/>
          <w:sz w:val="24"/>
          <w:szCs w:val="24"/>
        </w:rPr>
        <w:t>not being</w:t>
      </w:r>
      <w:r w:rsidR="00BA1745" w:rsidRPr="00683E6B">
        <w:rPr>
          <w:rFonts w:ascii="Arial" w:hAnsi="Arial" w:cs="Arial"/>
          <w:sz w:val="24"/>
          <w:szCs w:val="24"/>
        </w:rPr>
        <w:t xml:space="preserve"> agreed</w:t>
      </w:r>
      <w:r w:rsidR="008E2050" w:rsidRPr="00683E6B">
        <w:rPr>
          <w:rFonts w:ascii="Arial" w:hAnsi="Arial" w:cs="Arial"/>
          <w:sz w:val="24"/>
          <w:szCs w:val="24"/>
        </w:rPr>
        <w:t xml:space="preserve"> upon</w:t>
      </w:r>
      <w:r w:rsidR="00BA1745" w:rsidRPr="00683E6B">
        <w:rPr>
          <w:rFonts w:ascii="Arial" w:hAnsi="Arial" w:cs="Arial"/>
          <w:sz w:val="24"/>
          <w:szCs w:val="24"/>
        </w:rPr>
        <w:t xml:space="preserve">, serve a </w:t>
      </w:r>
      <w:r w:rsidR="00D91A3A" w:rsidRPr="00683E6B">
        <w:rPr>
          <w:rFonts w:ascii="Arial" w:hAnsi="Arial" w:cs="Arial"/>
          <w:sz w:val="24"/>
          <w:szCs w:val="24"/>
        </w:rPr>
        <w:t>notice of taxation on the defendant</w:t>
      </w:r>
      <w:r w:rsidR="008E2050" w:rsidRPr="00683E6B">
        <w:rPr>
          <w:rFonts w:ascii="Arial" w:hAnsi="Arial" w:cs="Arial"/>
          <w:sz w:val="24"/>
          <w:szCs w:val="24"/>
        </w:rPr>
        <w:t>’</w:t>
      </w:r>
      <w:r w:rsidR="00D91A3A" w:rsidRPr="00683E6B">
        <w:rPr>
          <w:rFonts w:ascii="Arial" w:hAnsi="Arial" w:cs="Arial"/>
          <w:sz w:val="24"/>
          <w:szCs w:val="24"/>
        </w:rPr>
        <w:t>s attorney of record.</w:t>
      </w:r>
    </w:p>
    <w:p w14:paraId="15769ADA" w14:textId="55743B25" w:rsidR="00BA1745" w:rsidRPr="00683E6B" w:rsidRDefault="00587F55" w:rsidP="00CA414E">
      <w:pPr>
        <w:pStyle w:val="ListParagraph"/>
        <w:widowControl w:val="0"/>
        <w:numPr>
          <w:ilvl w:val="0"/>
          <w:numId w:val="8"/>
        </w:numPr>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The plaintiff</w:t>
      </w:r>
      <w:r w:rsidR="00BA1745" w:rsidRPr="00683E6B">
        <w:rPr>
          <w:rFonts w:ascii="Arial" w:hAnsi="Arial" w:cs="Arial"/>
          <w:sz w:val="24"/>
          <w:szCs w:val="24"/>
        </w:rPr>
        <w:t xml:space="preserve"> shall allow </w:t>
      </w:r>
      <w:r w:rsidRPr="00683E6B">
        <w:rPr>
          <w:rFonts w:ascii="Arial" w:hAnsi="Arial" w:cs="Arial"/>
          <w:sz w:val="24"/>
          <w:szCs w:val="24"/>
        </w:rPr>
        <w:t>the defendant</w:t>
      </w:r>
      <w:r w:rsidR="00BA1745" w:rsidRPr="00683E6B">
        <w:rPr>
          <w:rFonts w:ascii="Arial" w:hAnsi="Arial" w:cs="Arial"/>
          <w:sz w:val="24"/>
          <w:szCs w:val="24"/>
        </w:rPr>
        <w:t xml:space="preserve"> </w:t>
      </w:r>
      <w:r w:rsidR="007E1F14">
        <w:rPr>
          <w:rFonts w:ascii="Arial" w:hAnsi="Arial" w:cs="Arial"/>
          <w:sz w:val="24"/>
          <w:szCs w:val="24"/>
        </w:rPr>
        <w:t>14</w:t>
      </w:r>
      <w:r w:rsidR="00BA1745" w:rsidRPr="00683E6B">
        <w:rPr>
          <w:rFonts w:ascii="Arial" w:hAnsi="Arial" w:cs="Arial"/>
          <w:sz w:val="24"/>
          <w:szCs w:val="24"/>
        </w:rPr>
        <w:t xml:space="preserve"> days to make payment of the taxed costs after service of the taxed bill of costs</w:t>
      </w:r>
      <w:r w:rsidR="00D91A3A" w:rsidRPr="00683E6B">
        <w:rPr>
          <w:rFonts w:ascii="Arial" w:hAnsi="Arial" w:cs="Arial"/>
          <w:sz w:val="24"/>
          <w:szCs w:val="24"/>
        </w:rPr>
        <w:t>;</w:t>
      </w:r>
      <w:r w:rsidR="00BA1745" w:rsidRPr="00683E6B">
        <w:rPr>
          <w:rFonts w:ascii="Arial" w:hAnsi="Arial" w:cs="Arial"/>
          <w:sz w:val="24"/>
          <w:szCs w:val="24"/>
        </w:rPr>
        <w:t xml:space="preserve"> </w:t>
      </w:r>
      <w:r w:rsidR="00D91A3A" w:rsidRPr="00683E6B">
        <w:rPr>
          <w:rFonts w:ascii="Arial" w:hAnsi="Arial" w:cs="Arial"/>
          <w:sz w:val="24"/>
          <w:szCs w:val="24"/>
        </w:rPr>
        <w:t>p</w:t>
      </w:r>
      <w:r w:rsidR="00BA1745" w:rsidRPr="00683E6B">
        <w:rPr>
          <w:rFonts w:ascii="Arial" w:hAnsi="Arial" w:cs="Arial"/>
          <w:sz w:val="24"/>
          <w:szCs w:val="24"/>
        </w:rPr>
        <w:t xml:space="preserve">rovided that interest on the taxed costs shall be payable by </w:t>
      </w:r>
      <w:r w:rsidRPr="00683E6B">
        <w:rPr>
          <w:rFonts w:ascii="Arial" w:hAnsi="Arial" w:cs="Arial"/>
          <w:sz w:val="24"/>
          <w:szCs w:val="24"/>
        </w:rPr>
        <w:t>the defendant</w:t>
      </w:r>
      <w:r w:rsidR="00BA1745" w:rsidRPr="00683E6B">
        <w:rPr>
          <w:rFonts w:ascii="Arial" w:hAnsi="Arial" w:cs="Arial"/>
          <w:sz w:val="24"/>
          <w:szCs w:val="24"/>
        </w:rPr>
        <w:t xml:space="preserve"> within </w:t>
      </w:r>
      <w:r w:rsidR="007E1F14">
        <w:rPr>
          <w:rFonts w:ascii="Arial" w:hAnsi="Arial" w:cs="Arial"/>
          <w:sz w:val="24"/>
          <w:szCs w:val="24"/>
        </w:rPr>
        <w:t>14</w:t>
      </w:r>
      <w:r w:rsidR="00AF322C" w:rsidRPr="00683E6B">
        <w:rPr>
          <w:rFonts w:ascii="Arial" w:hAnsi="Arial" w:cs="Arial"/>
          <w:sz w:val="24"/>
          <w:szCs w:val="24"/>
        </w:rPr>
        <w:t xml:space="preserve"> </w:t>
      </w:r>
      <w:r w:rsidR="00BA1745" w:rsidRPr="00683E6B">
        <w:rPr>
          <w:rFonts w:ascii="Arial" w:hAnsi="Arial" w:cs="Arial"/>
          <w:sz w:val="24"/>
          <w:szCs w:val="24"/>
        </w:rPr>
        <w:t xml:space="preserve">days from service of the taxed bill of costs at the rate applicable on the day of taxation, </w:t>
      </w:r>
      <w:r w:rsidR="00D91A3A" w:rsidRPr="00683E6B">
        <w:rPr>
          <w:rFonts w:ascii="Arial" w:hAnsi="Arial" w:cs="Arial"/>
          <w:sz w:val="24"/>
          <w:szCs w:val="24"/>
        </w:rPr>
        <w:t xml:space="preserve">or </w:t>
      </w:r>
      <w:r w:rsidR="00BA1745" w:rsidRPr="00683E6B">
        <w:rPr>
          <w:rFonts w:ascii="Arial" w:hAnsi="Arial" w:cs="Arial"/>
          <w:sz w:val="24"/>
          <w:szCs w:val="24"/>
        </w:rPr>
        <w:t xml:space="preserve">the day on which agreement is reached. </w:t>
      </w:r>
    </w:p>
    <w:p w14:paraId="05E26E1C" w14:textId="7DD460E5" w:rsidR="00BA1745" w:rsidRPr="00683E6B" w:rsidRDefault="00BA1745" w:rsidP="00CA414E">
      <w:pPr>
        <w:pStyle w:val="ListParagraph"/>
        <w:widowControl w:val="0"/>
        <w:numPr>
          <w:ilvl w:val="0"/>
          <w:numId w:val="8"/>
        </w:numPr>
        <w:autoSpaceDE w:val="0"/>
        <w:autoSpaceDN w:val="0"/>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 xml:space="preserve">There is no valid contingency fee agreement in existence between </w:t>
      </w:r>
      <w:r w:rsidR="00587F55" w:rsidRPr="00683E6B">
        <w:rPr>
          <w:rFonts w:ascii="Arial" w:hAnsi="Arial" w:cs="Arial"/>
          <w:sz w:val="24"/>
          <w:szCs w:val="24"/>
        </w:rPr>
        <w:t>the plaintiff</w:t>
      </w:r>
      <w:r w:rsidRPr="00683E6B">
        <w:rPr>
          <w:rFonts w:ascii="Arial" w:hAnsi="Arial" w:cs="Arial"/>
          <w:sz w:val="24"/>
          <w:szCs w:val="24"/>
        </w:rPr>
        <w:t xml:space="preserve"> and his </w:t>
      </w:r>
      <w:r w:rsidR="00AF322C" w:rsidRPr="00683E6B">
        <w:rPr>
          <w:rFonts w:ascii="Arial" w:hAnsi="Arial" w:cs="Arial"/>
          <w:sz w:val="24"/>
          <w:szCs w:val="24"/>
        </w:rPr>
        <w:t>a</w:t>
      </w:r>
      <w:r w:rsidRPr="00683E6B">
        <w:rPr>
          <w:rFonts w:ascii="Arial" w:hAnsi="Arial" w:cs="Arial"/>
          <w:sz w:val="24"/>
          <w:szCs w:val="24"/>
        </w:rPr>
        <w:t>ttorneys.</w:t>
      </w:r>
    </w:p>
    <w:p w14:paraId="4DDDDCA0" w14:textId="1873D621" w:rsidR="00BA1745" w:rsidRDefault="00BA1745" w:rsidP="00CA414E">
      <w:pPr>
        <w:pStyle w:val="ListParagraph"/>
        <w:widowControl w:val="0"/>
        <w:numPr>
          <w:ilvl w:val="0"/>
          <w:numId w:val="8"/>
        </w:numPr>
        <w:spacing w:before="300" w:after="0" w:line="480" w:lineRule="auto"/>
        <w:ind w:left="0" w:firstLine="0"/>
        <w:contextualSpacing w:val="0"/>
        <w:jc w:val="both"/>
        <w:rPr>
          <w:rFonts w:ascii="Arial" w:hAnsi="Arial" w:cs="Arial"/>
          <w:sz w:val="24"/>
          <w:szCs w:val="24"/>
          <w:lang w:eastAsia="en-ZA"/>
        </w:rPr>
      </w:pPr>
      <w:r w:rsidRPr="00683E6B">
        <w:rPr>
          <w:rFonts w:ascii="Arial" w:hAnsi="Arial" w:cs="Arial"/>
          <w:sz w:val="24"/>
          <w:szCs w:val="24"/>
        </w:rPr>
        <w:t xml:space="preserve">This order must be served by </w:t>
      </w:r>
      <w:r w:rsidR="00587F55" w:rsidRPr="00683E6B">
        <w:rPr>
          <w:rFonts w:ascii="Arial" w:hAnsi="Arial" w:cs="Arial"/>
          <w:sz w:val="24"/>
          <w:szCs w:val="24"/>
        </w:rPr>
        <w:t xml:space="preserve">the </w:t>
      </w:r>
      <w:r w:rsidR="00C95CB9" w:rsidRPr="00683E6B">
        <w:rPr>
          <w:rFonts w:ascii="Arial" w:hAnsi="Arial" w:cs="Arial"/>
          <w:sz w:val="24"/>
          <w:szCs w:val="24"/>
        </w:rPr>
        <w:t>plaintiff’s attorneys</w:t>
      </w:r>
      <w:r w:rsidRPr="00683E6B">
        <w:rPr>
          <w:rFonts w:ascii="Arial" w:hAnsi="Arial" w:cs="Arial"/>
          <w:sz w:val="24"/>
          <w:szCs w:val="24"/>
        </w:rPr>
        <w:t xml:space="preserve"> on the Master of the High Court within 30 days from the date of receipt of this order from the registrar in typed form.</w:t>
      </w:r>
    </w:p>
    <w:p w14:paraId="04D9C54A" w14:textId="77777777" w:rsidR="00713213" w:rsidRDefault="00713213" w:rsidP="00713213">
      <w:pPr>
        <w:pStyle w:val="ListParagraph"/>
        <w:widowControl w:val="0"/>
        <w:spacing w:before="300" w:after="0" w:line="480" w:lineRule="auto"/>
        <w:ind w:left="0"/>
        <w:contextualSpacing w:val="0"/>
        <w:jc w:val="both"/>
        <w:rPr>
          <w:rFonts w:ascii="Arial" w:hAnsi="Arial" w:cs="Arial"/>
          <w:sz w:val="24"/>
          <w:szCs w:val="24"/>
          <w:lang w:eastAsia="en-ZA"/>
        </w:rPr>
      </w:pPr>
    </w:p>
    <w:p w14:paraId="4171ABBC" w14:textId="6D847005" w:rsidR="00713213" w:rsidRDefault="00713213" w:rsidP="00940361">
      <w:pPr>
        <w:pStyle w:val="ListParagraph"/>
        <w:widowControl w:val="0"/>
        <w:spacing w:before="100" w:after="0" w:line="276" w:lineRule="auto"/>
        <w:ind w:left="0"/>
        <w:contextualSpacing w:val="0"/>
        <w:jc w:val="right"/>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59776" behindDoc="0" locked="0" layoutInCell="1" allowOverlap="1" wp14:anchorId="66ADE021" wp14:editId="29BA69F0">
                <wp:simplePos x="0" y="0"/>
                <wp:positionH relativeFrom="column">
                  <wp:posOffset>3270885</wp:posOffset>
                </wp:positionH>
                <wp:positionV relativeFrom="paragraph">
                  <wp:posOffset>40005</wp:posOffset>
                </wp:positionV>
                <wp:extent cx="2543175" cy="9525"/>
                <wp:effectExtent l="0" t="0" r="28575" b="28575"/>
                <wp:wrapNone/>
                <wp:docPr id="1244731696" name="Straight Connector 1"/>
                <wp:cNvGraphicFramePr/>
                <a:graphic xmlns:a="http://schemas.openxmlformats.org/drawingml/2006/main">
                  <a:graphicData uri="http://schemas.microsoft.com/office/word/2010/wordprocessingShape">
                    <wps:wsp>
                      <wps:cNvCnPr/>
                      <wps:spPr>
                        <a:xfrm flipV="1">
                          <a:off x="0" y="0"/>
                          <a:ext cx="2543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CAD3B69" id="Straight Connector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257.55pt,3.15pt" to="45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" strokecolor="black [3200]" strokeweight=".5pt">
                <v:stroke joinstyle="miter"/>
              </v:line>
            </w:pict>
          </mc:Fallback>
        </mc:AlternateContent>
      </w:r>
      <w:r>
        <w:rPr>
          <w:rFonts w:ascii="Arial" w:hAnsi="Arial" w:cs="Arial"/>
          <w:sz w:val="24"/>
          <w:szCs w:val="24"/>
          <w:lang w:eastAsia="en-ZA"/>
        </w:rPr>
        <w:t>HITCHINGS AJ</w:t>
      </w:r>
    </w:p>
    <w:p w14:paraId="185BD481" w14:textId="4E518086" w:rsidR="00713213" w:rsidRDefault="00940361" w:rsidP="00940361">
      <w:pPr>
        <w:pStyle w:val="ListParagraph"/>
        <w:widowControl w:val="0"/>
        <w:spacing w:before="100" w:after="0" w:line="276" w:lineRule="auto"/>
        <w:ind w:left="0"/>
        <w:contextualSpacing w:val="0"/>
        <w:jc w:val="right"/>
        <w:rPr>
          <w:rFonts w:ascii="Arial" w:hAnsi="Arial" w:cs="Arial"/>
          <w:sz w:val="24"/>
          <w:szCs w:val="24"/>
          <w:lang w:eastAsia="en-ZA"/>
        </w:rPr>
      </w:pPr>
      <w:r>
        <w:rPr>
          <w:rFonts w:ascii="Arial" w:hAnsi="Arial" w:cs="Arial"/>
          <w:sz w:val="24"/>
          <w:szCs w:val="24"/>
          <w:lang w:eastAsia="en-ZA"/>
        </w:rPr>
        <w:t xml:space="preserve"> Acting Judge of the High Court of South Africa</w:t>
      </w:r>
    </w:p>
    <w:p w14:paraId="046424EC" w14:textId="35ADF45D" w:rsidR="00940361" w:rsidRDefault="00940361" w:rsidP="00940361">
      <w:pPr>
        <w:pStyle w:val="ListParagraph"/>
        <w:widowControl w:val="0"/>
        <w:spacing w:before="100" w:after="0" w:line="276" w:lineRule="auto"/>
        <w:ind w:left="0"/>
        <w:contextualSpacing w:val="0"/>
        <w:jc w:val="right"/>
        <w:rPr>
          <w:rFonts w:ascii="Arial" w:hAnsi="Arial" w:cs="Arial"/>
          <w:sz w:val="24"/>
          <w:szCs w:val="24"/>
          <w:lang w:eastAsia="en-ZA"/>
        </w:rPr>
      </w:pPr>
      <w:r>
        <w:rPr>
          <w:rFonts w:ascii="Arial" w:hAnsi="Arial" w:cs="Arial"/>
          <w:sz w:val="24"/>
          <w:szCs w:val="24"/>
          <w:lang w:eastAsia="en-ZA"/>
        </w:rPr>
        <w:t>Gauteng local division, Johannesburg</w:t>
      </w:r>
    </w:p>
    <w:p w14:paraId="6D97CCBD" w14:textId="77777777" w:rsidR="00940361" w:rsidRDefault="00940361" w:rsidP="00586554">
      <w:pPr>
        <w:pStyle w:val="ListParagraph"/>
        <w:widowControl w:val="0"/>
        <w:spacing w:before="30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Date of Judgment:  15 November 2023</w:t>
      </w:r>
    </w:p>
    <w:p w14:paraId="05A1AD99" w14:textId="66221CB7" w:rsidR="00940361" w:rsidRDefault="00940361"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Plain</w:t>
      </w:r>
      <w:r w:rsidR="0053025C">
        <w:rPr>
          <w:rFonts w:ascii="Arial" w:hAnsi="Arial" w:cs="Arial"/>
          <w:sz w:val="24"/>
          <w:szCs w:val="24"/>
          <w:lang w:eastAsia="en-ZA"/>
        </w:rPr>
        <w:t>tiff’s Legal Practitioner:</w:t>
      </w:r>
      <w:r w:rsidR="0053025C">
        <w:rPr>
          <w:rFonts w:ascii="Arial" w:hAnsi="Arial" w:cs="Arial"/>
          <w:sz w:val="24"/>
          <w:szCs w:val="24"/>
          <w:lang w:eastAsia="en-ZA"/>
        </w:rPr>
        <w:tab/>
      </w:r>
      <w:proofErr w:type="spellStart"/>
      <w:r w:rsidR="002F1CD2">
        <w:rPr>
          <w:rFonts w:ascii="Arial" w:hAnsi="Arial" w:cs="Arial"/>
          <w:sz w:val="24"/>
          <w:szCs w:val="24"/>
          <w:lang w:eastAsia="en-ZA"/>
        </w:rPr>
        <w:t>Adv</w:t>
      </w:r>
      <w:proofErr w:type="spellEnd"/>
      <w:r w:rsidR="002F1CD2">
        <w:rPr>
          <w:rFonts w:ascii="Arial" w:hAnsi="Arial" w:cs="Arial"/>
          <w:sz w:val="24"/>
          <w:szCs w:val="24"/>
          <w:lang w:eastAsia="en-ZA"/>
        </w:rPr>
        <w:t xml:space="preserve"> </w:t>
      </w:r>
      <w:r w:rsidR="0053025C">
        <w:rPr>
          <w:rFonts w:ascii="Arial" w:hAnsi="Arial" w:cs="Arial"/>
          <w:sz w:val="24"/>
          <w:szCs w:val="24"/>
          <w:lang w:eastAsia="en-ZA"/>
        </w:rPr>
        <w:t xml:space="preserve">F </w:t>
      </w:r>
      <w:proofErr w:type="spellStart"/>
      <w:r w:rsidR="0053025C">
        <w:rPr>
          <w:rFonts w:ascii="Arial" w:hAnsi="Arial" w:cs="Arial"/>
          <w:sz w:val="24"/>
          <w:szCs w:val="24"/>
          <w:lang w:eastAsia="en-ZA"/>
        </w:rPr>
        <w:t>Grobler</w:t>
      </w:r>
      <w:proofErr w:type="spellEnd"/>
      <w:r w:rsidR="0053025C">
        <w:rPr>
          <w:rFonts w:ascii="Arial" w:hAnsi="Arial" w:cs="Arial"/>
          <w:sz w:val="24"/>
          <w:szCs w:val="24"/>
          <w:lang w:eastAsia="en-ZA"/>
        </w:rPr>
        <w:t xml:space="preserve"> SC</w:t>
      </w:r>
    </w:p>
    <w:p w14:paraId="5A93FE44" w14:textId="21C2485E" w:rsidR="00713213" w:rsidRDefault="002F1CD2"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 xml:space="preserve">Instructed </w:t>
      </w:r>
      <w:r w:rsidR="0053025C">
        <w:rPr>
          <w:rFonts w:ascii="Arial" w:hAnsi="Arial" w:cs="Arial"/>
          <w:sz w:val="24"/>
          <w:szCs w:val="24"/>
          <w:lang w:eastAsia="en-ZA"/>
        </w:rPr>
        <w:t>by:</w:t>
      </w:r>
      <w:r w:rsidR="0053025C">
        <w:rPr>
          <w:rFonts w:ascii="Arial" w:hAnsi="Arial" w:cs="Arial"/>
          <w:sz w:val="24"/>
          <w:szCs w:val="24"/>
          <w:lang w:eastAsia="en-ZA"/>
        </w:rPr>
        <w:tab/>
        <w:t xml:space="preserve">De </w:t>
      </w:r>
      <w:proofErr w:type="spellStart"/>
      <w:r w:rsidR="0053025C">
        <w:rPr>
          <w:rFonts w:ascii="Arial" w:hAnsi="Arial" w:cs="Arial"/>
          <w:sz w:val="24"/>
          <w:szCs w:val="24"/>
          <w:lang w:eastAsia="en-ZA"/>
        </w:rPr>
        <w:t>Broglio</w:t>
      </w:r>
      <w:proofErr w:type="spellEnd"/>
      <w:r w:rsidR="0053025C">
        <w:rPr>
          <w:rFonts w:ascii="Arial" w:hAnsi="Arial" w:cs="Arial"/>
          <w:sz w:val="24"/>
          <w:szCs w:val="24"/>
          <w:lang w:eastAsia="en-ZA"/>
        </w:rPr>
        <w:t xml:space="preserve"> Attorneys</w:t>
      </w:r>
    </w:p>
    <w:p w14:paraId="00BF068C" w14:textId="55BF8657" w:rsidR="0053025C" w:rsidRDefault="0053025C"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Defendant’s</w:t>
      </w:r>
      <w:r w:rsidR="002F1CD2">
        <w:rPr>
          <w:rFonts w:ascii="Arial" w:hAnsi="Arial" w:cs="Arial"/>
          <w:sz w:val="24"/>
          <w:szCs w:val="24"/>
          <w:lang w:eastAsia="en-ZA"/>
        </w:rPr>
        <w:t xml:space="preserve"> </w:t>
      </w:r>
      <w:r w:rsidR="002F1CD2" w:rsidRPr="002F1CD2">
        <w:rPr>
          <w:rFonts w:ascii="Arial" w:hAnsi="Arial" w:cs="Arial"/>
          <w:sz w:val="24"/>
          <w:szCs w:val="24"/>
          <w:lang w:eastAsia="en-ZA"/>
        </w:rPr>
        <w:t>Legal Practitioner</w:t>
      </w:r>
      <w:r w:rsidR="002F1CD2">
        <w:rPr>
          <w:rFonts w:ascii="Arial" w:hAnsi="Arial" w:cs="Arial"/>
          <w:sz w:val="24"/>
          <w:szCs w:val="24"/>
          <w:lang w:eastAsia="en-ZA"/>
        </w:rPr>
        <w:t>:</w:t>
      </w:r>
      <w:r w:rsidR="002F1CD2">
        <w:rPr>
          <w:rFonts w:ascii="Arial" w:hAnsi="Arial" w:cs="Arial"/>
          <w:sz w:val="24"/>
          <w:szCs w:val="24"/>
          <w:lang w:eastAsia="en-ZA"/>
        </w:rPr>
        <w:tab/>
        <w:t xml:space="preserve">Attorney Ms </w:t>
      </w:r>
      <w:r w:rsidR="00D832B8">
        <w:rPr>
          <w:rFonts w:ascii="Arial" w:hAnsi="Arial" w:cs="Arial"/>
          <w:sz w:val="24"/>
          <w:szCs w:val="24"/>
          <w:lang w:eastAsia="en-ZA"/>
        </w:rPr>
        <w:t xml:space="preserve">Y </w:t>
      </w:r>
      <w:proofErr w:type="spellStart"/>
      <w:r w:rsidR="00D832B8">
        <w:rPr>
          <w:rFonts w:ascii="Arial" w:hAnsi="Arial" w:cs="Arial"/>
          <w:sz w:val="24"/>
          <w:szCs w:val="24"/>
          <w:lang w:eastAsia="en-ZA"/>
        </w:rPr>
        <w:t>Ramjee</w:t>
      </w:r>
      <w:proofErr w:type="spellEnd"/>
    </w:p>
    <w:p w14:paraId="7EFE4EA7" w14:textId="1F9DA6D6" w:rsidR="00D832B8" w:rsidRDefault="00D832B8"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Instructed by:</w:t>
      </w:r>
      <w:r>
        <w:rPr>
          <w:rFonts w:ascii="Arial" w:hAnsi="Arial" w:cs="Arial"/>
          <w:sz w:val="24"/>
          <w:szCs w:val="24"/>
          <w:lang w:eastAsia="en-ZA"/>
        </w:rPr>
        <w:tab/>
        <w:t>State Attorney</w:t>
      </w:r>
    </w:p>
    <w:p w14:paraId="7BBA9BF2" w14:textId="77777777" w:rsidR="002C59AC" w:rsidRDefault="002C59AC"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p>
    <w:p w14:paraId="5A919C9D" w14:textId="77777777" w:rsidR="002C59AC" w:rsidRPr="00683E6B" w:rsidRDefault="002C59AC" w:rsidP="00586554">
      <w:pPr>
        <w:pStyle w:val="ListParagraph"/>
        <w:widowControl w:val="0"/>
        <w:tabs>
          <w:tab w:val="left" w:pos="3969"/>
        </w:tabs>
        <w:spacing w:before="300" w:after="0" w:line="240" w:lineRule="auto"/>
        <w:ind w:left="0"/>
        <w:contextualSpacing w:val="0"/>
        <w:jc w:val="both"/>
        <w:rPr>
          <w:rFonts w:ascii="Arial" w:hAnsi="Arial" w:cs="Arial"/>
          <w:sz w:val="24"/>
          <w:szCs w:val="24"/>
          <w:lang w:eastAsia="en-ZA"/>
        </w:rPr>
      </w:pPr>
    </w:p>
    <w:sectPr w:rsidR="002C59AC" w:rsidRPr="00683E6B" w:rsidSect="00AC6C3B">
      <w:headerReference w:type="even" r:id="rId9"/>
      <w:headerReference w:type="default" r:id="rId10"/>
      <w:endnotePr>
        <w:numFmt w:val="decimal"/>
      </w:endnotePr>
      <w:type w:val="continuous"/>
      <w:pgSz w:w="11907" w:h="16840" w:code="9"/>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D569" w14:textId="77777777" w:rsidR="00170AD6" w:rsidRDefault="00170AD6" w:rsidP="00934D96">
      <w:pPr>
        <w:spacing w:after="0" w:line="240" w:lineRule="auto"/>
      </w:pPr>
      <w:r>
        <w:separator/>
      </w:r>
    </w:p>
  </w:endnote>
  <w:endnote w:type="continuationSeparator" w:id="0">
    <w:p w14:paraId="089372B5" w14:textId="77777777" w:rsidR="00170AD6" w:rsidRDefault="00170AD6" w:rsidP="0093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14FD" w14:textId="77777777" w:rsidR="00170AD6" w:rsidRDefault="00170AD6" w:rsidP="00934D96">
      <w:pPr>
        <w:spacing w:after="0" w:line="240" w:lineRule="auto"/>
      </w:pPr>
      <w:r>
        <w:separator/>
      </w:r>
    </w:p>
  </w:footnote>
  <w:footnote w:type="continuationSeparator" w:id="0">
    <w:p w14:paraId="4A215644" w14:textId="77777777" w:rsidR="00170AD6" w:rsidRDefault="00170AD6" w:rsidP="00934D96">
      <w:pPr>
        <w:spacing w:after="0" w:line="240" w:lineRule="auto"/>
      </w:pPr>
      <w:r>
        <w:continuationSeparator/>
      </w:r>
    </w:p>
  </w:footnote>
  <w:footnote w:id="1">
    <w:p w14:paraId="5A6A16B1" w14:textId="5F2A5347"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 xml:space="preserve">Minister of Police v </w:t>
      </w:r>
      <w:proofErr w:type="spellStart"/>
      <w:r w:rsidRPr="00DC7B5E">
        <w:rPr>
          <w:rFonts w:ascii="Arial" w:hAnsi="Arial" w:cs="Arial"/>
          <w:i/>
          <w:iCs/>
        </w:rPr>
        <w:t>Michillies</w:t>
      </w:r>
      <w:proofErr w:type="spellEnd"/>
      <w:r w:rsidRPr="00DC7B5E">
        <w:rPr>
          <w:rFonts w:ascii="Arial" w:hAnsi="Arial" w:cs="Arial"/>
          <w:i/>
          <w:iCs/>
        </w:rPr>
        <w:t xml:space="preserve"> </w:t>
      </w:r>
      <w:hyperlink r:id="rId1" w:history="1">
        <w:r w:rsidRPr="00DC7B5E">
          <w:rPr>
            <w:rStyle w:val="Hyperlink"/>
            <w:rFonts w:ascii="Arial" w:hAnsi="Arial" w:cs="Arial"/>
            <w:color w:val="auto"/>
            <w:u w:val="none"/>
          </w:rPr>
          <w:t>https://www.saflii.org/za/cases/ZANWHC/2023/90.pdf</w:t>
        </w:r>
      </w:hyperlink>
      <w:r w:rsidRPr="00DC7B5E">
        <w:rPr>
          <w:rFonts w:ascii="Arial" w:hAnsi="Arial" w:cs="Arial"/>
        </w:rPr>
        <w:t xml:space="preserve"> at paragraph [4]</w:t>
      </w:r>
    </w:p>
  </w:footnote>
  <w:footnote w:id="2">
    <w:p w14:paraId="68CAA3DF" w14:textId="61B88361"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 xml:space="preserve">Minister of Police v </w:t>
      </w:r>
      <w:proofErr w:type="spellStart"/>
      <w:r w:rsidRPr="00DC7B5E">
        <w:rPr>
          <w:rFonts w:ascii="Arial" w:hAnsi="Arial" w:cs="Arial"/>
          <w:i/>
          <w:iCs/>
        </w:rPr>
        <w:t>Michillies</w:t>
      </w:r>
      <w:proofErr w:type="spellEnd"/>
      <w:r w:rsidRPr="00DC7B5E">
        <w:rPr>
          <w:rFonts w:ascii="Arial" w:hAnsi="Arial" w:cs="Arial"/>
        </w:rPr>
        <w:t xml:space="preserve">, </w:t>
      </w:r>
      <w:r w:rsidRPr="0092250F">
        <w:rPr>
          <w:rFonts w:ascii="Arial" w:hAnsi="Arial" w:cs="Arial"/>
          <w:i/>
          <w:iCs/>
        </w:rPr>
        <w:t>supra</w:t>
      </w:r>
    </w:p>
  </w:footnote>
  <w:footnote w:id="3">
    <w:p w14:paraId="2A64FA5E" w14:textId="0B2C81BF"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4B3023">
        <w:rPr>
          <w:rFonts w:ascii="Arial" w:hAnsi="Arial" w:cs="Arial"/>
          <w:i/>
          <w:iCs/>
        </w:rPr>
        <w:t xml:space="preserve">Minister of Police v </w:t>
      </w:r>
      <w:proofErr w:type="spellStart"/>
      <w:r w:rsidRPr="004B3023">
        <w:rPr>
          <w:rFonts w:ascii="Arial" w:hAnsi="Arial" w:cs="Arial"/>
          <w:i/>
          <w:iCs/>
        </w:rPr>
        <w:t>Michillies</w:t>
      </w:r>
      <w:proofErr w:type="spellEnd"/>
      <w:r w:rsidRPr="00DC7B5E">
        <w:rPr>
          <w:rFonts w:ascii="Arial" w:hAnsi="Arial" w:cs="Arial"/>
        </w:rPr>
        <w:t xml:space="preserve">, </w:t>
      </w:r>
      <w:r w:rsidRPr="0092250F">
        <w:rPr>
          <w:rFonts w:ascii="Arial" w:hAnsi="Arial" w:cs="Arial"/>
          <w:i/>
          <w:iCs/>
        </w:rPr>
        <w:t>supra</w:t>
      </w:r>
    </w:p>
  </w:footnote>
  <w:footnote w:id="4">
    <w:p w14:paraId="1DE97776" w14:textId="4DD23771"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 xml:space="preserve">Stevens and </w:t>
      </w:r>
      <w:proofErr w:type="spellStart"/>
      <w:r w:rsidRPr="00DC7B5E">
        <w:rPr>
          <w:rFonts w:ascii="Arial" w:hAnsi="Arial" w:cs="Arial"/>
          <w:i/>
          <w:iCs/>
        </w:rPr>
        <w:t>Ano</w:t>
      </w:r>
      <w:proofErr w:type="spellEnd"/>
      <w:r w:rsidRPr="00DC7B5E">
        <w:rPr>
          <w:rFonts w:ascii="Arial" w:hAnsi="Arial" w:cs="Arial"/>
          <w:i/>
          <w:iCs/>
        </w:rPr>
        <w:t xml:space="preserve"> v Road Accident Fund </w:t>
      </w:r>
      <w:hyperlink r:id="rId2" w:history="1">
        <w:r w:rsidRPr="00DC7B5E">
          <w:rPr>
            <w:rStyle w:val="Hyperlink"/>
            <w:rFonts w:ascii="Arial" w:hAnsi="Arial" w:cs="Arial"/>
            <w:color w:val="auto"/>
            <w:u w:val="none"/>
          </w:rPr>
          <w:t>https://www.saflii.org/za/cases/ZAGPJHC/2022/859.html</w:t>
        </w:r>
      </w:hyperlink>
      <w:r w:rsidRPr="00DC7B5E">
        <w:rPr>
          <w:rFonts w:ascii="Arial" w:hAnsi="Arial" w:cs="Arial"/>
        </w:rPr>
        <w:t xml:space="preserve"> at paragraphs 8 to 12</w:t>
      </w:r>
    </w:p>
  </w:footnote>
  <w:footnote w:id="5">
    <w:p w14:paraId="34ED8C69" w14:textId="375FAA9F"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 xml:space="preserve">Compare the judgment of the Court of Appeal of Singapore in </w:t>
      </w:r>
      <w:r w:rsidRPr="00DC7B5E">
        <w:rPr>
          <w:rFonts w:ascii="Arial" w:hAnsi="Arial" w:cs="Arial"/>
          <w:i/>
          <w:iCs/>
        </w:rPr>
        <w:t xml:space="preserve">Sin </w:t>
      </w:r>
      <w:proofErr w:type="spellStart"/>
      <w:r w:rsidRPr="00DC7B5E">
        <w:rPr>
          <w:rFonts w:ascii="Arial" w:hAnsi="Arial" w:cs="Arial"/>
          <w:i/>
          <w:iCs/>
        </w:rPr>
        <w:t>Toh</w:t>
      </w:r>
      <w:proofErr w:type="spellEnd"/>
      <w:r w:rsidRPr="00DC7B5E">
        <w:rPr>
          <w:rFonts w:ascii="Arial" w:hAnsi="Arial" w:cs="Arial"/>
          <w:i/>
          <w:iCs/>
        </w:rPr>
        <w:t xml:space="preserve"> Wee Ping Benjamin and another Grande Corp Pte Ltd</w:t>
      </w:r>
      <w:r w:rsidRPr="00DC7B5E">
        <w:rPr>
          <w:rFonts w:ascii="Arial" w:hAnsi="Arial" w:cs="Arial"/>
        </w:rPr>
        <w:t xml:space="preserve"> [2020] SGCA 48 at paragraphs 37 to 47 which can be accessed at https://www.elitigation.sg/gd/s/2020_SGCA_48.</w:t>
      </w:r>
    </w:p>
  </w:footnote>
  <w:footnote w:id="6">
    <w:p w14:paraId="236CDB06" w14:textId="07472B66" w:rsidR="00C72F75" w:rsidRPr="006E739D" w:rsidRDefault="00C72F75" w:rsidP="006E739D">
      <w:pPr>
        <w:pStyle w:val="FootnoteText"/>
        <w:spacing w:line="480" w:lineRule="auto"/>
        <w:ind w:left="567" w:hanging="567"/>
        <w:jc w:val="both"/>
        <w:rPr>
          <w:rFonts w:ascii="Arial" w:hAnsi="Arial" w:cs="Arial"/>
        </w:rPr>
      </w:pPr>
      <w:r w:rsidRPr="006E739D">
        <w:rPr>
          <w:rFonts w:ascii="Arial" w:hAnsi="Arial" w:cs="Arial"/>
          <w:vertAlign w:val="superscript"/>
        </w:rPr>
        <w:footnoteRef/>
      </w:r>
      <w:r w:rsidRPr="006E739D">
        <w:rPr>
          <w:rFonts w:ascii="Arial" w:hAnsi="Arial" w:cs="Arial"/>
        </w:rPr>
        <w:t xml:space="preserve">  </w:t>
      </w:r>
      <w:r w:rsidRPr="006E739D">
        <w:rPr>
          <w:rFonts w:ascii="Arial" w:hAnsi="Arial" w:cs="Arial"/>
        </w:rPr>
        <w:tab/>
      </w:r>
      <w:proofErr w:type="spellStart"/>
      <w:r w:rsidRPr="006E739D">
        <w:rPr>
          <w:rFonts w:ascii="Arial" w:hAnsi="Arial" w:cs="Arial"/>
          <w:i/>
          <w:iCs/>
        </w:rPr>
        <w:t>Knoetze</w:t>
      </w:r>
      <w:proofErr w:type="spellEnd"/>
      <w:r w:rsidRPr="006E739D">
        <w:rPr>
          <w:rFonts w:ascii="Arial" w:hAnsi="Arial" w:cs="Arial"/>
          <w:i/>
          <w:iCs/>
        </w:rPr>
        <w:t xml:space="preserve"> obo </w:t>
      </w:r>
      <w:proofErr w:type="spellStart"/>
      <w:r w:rsidRPr="006E739D">
        <w:rPr>
          <w:rFonts w:ascii="Arial" w:hAnsi="Arial" w:cs="Arial"/>
          <w:i/>
          <w:iCs/>
        </w:rPr>
        <w:t>Malinga</w:t>
      </w:r>
      <w:proofErr w:type="spellEnd"/>
      <w:r w:rsidRPr="006E739D">
        <w:rPr>
          <w:rFonts w:ascii="Arial" w:hAnsi="Arial" w:cs="Arial"/>
          <w:i/>
          <w:iCs/>
        </w:rPr>
        <w:t xml:space="preserve"> and Another </w:t>
      </w:r>
      <w:proofErr w:type="gramStart"/>
      <w:r w:rsidRPr="006E739D">
        <w:rPr>
          <w:rFonts w:ascii="Arial" w:hAnsi="Arial" w:cs="Arial"/>
          <w:i/>
          <w:iCs/>
        </w:rPr>
        <w:t>v</w:t>
      </w:r>
      <w:proofErr w:type="gramEnd"/>
      <w:r w:rsidRPr="006E739D">
        <w:rPr>
          <w:rFonts w:ascii="Arial" w:hAnsi="Arial" w:cs="Arial"/>
          <w:i/>
          <w:iCs/>
        </w:rPr>
        <w:t xml:space="preserve"> Road Accident Fund</w:t>
      </w:r>
      <w:r w:rsidRPr="006E739D">
        <w:rPr>
          <w:rFonts w:ascii="Arial" w:hAnsi="Arial" w:cs="Arial"/>
        </w:rPr>
        <w:t xml:space="preserve"> (77573/2018 &amp; 54997/2020) [2022] ZAGPPHC 819 (2 November 2022)</w:t>
      </w:r>
    </w:p>
  </w:footnote>
  <w:footnote w:id="7">
    <w:p w14:paraId="1768D995" w14:textId="6D37FB36"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 xml:space="preserve">First 3D (Pty) Ltd v Clem Coleman and </w:t>
      </w:r>
      <w:proofErr w:type="spellStart"/>
      <w:r w:rsidRPr="00DC7B5E">
        <w:rPr>
          <w:rFonts w:ascii="Arial" w:hAnsi="Arial" w:cs="Arial"/>
          <w:i/>
          <w:iCs/>
        </w:rPr>
        <w:t>Ano</w:t>
      </w:r>
      <w:proofErr w:type="spellEnd"/>
      <w:r w:rsidRPr="00DC7B5E">
        <w:rPr>
          <w:rFonts w:ascii="Arial" w:hAnsi="Arial" w:cs="Arial"/>
        </w:rPr>
        <w:t xml:space="preserve"> </w:t>
      </w:r>
      <w:hyperlink r:id="rId3" w:history="1">
        <w:r w:rsidRPr="00DC7B5E">
          <w:rPr>
            <w:rStyle w:val="Hyperlink"/>
            <w:rFonts w:ascii="Arial" w:hAnsi="Arial" w:cs="Arial"/>
            <w:color w:val="auto"/>
            <w:u w:val="none"/>
          </w:rPr>
          <w:t>https://www.saflii.org/za/cases/ZAGPPHC/2021/336.html</w:t>
        </w:r>
      </w:hyperlink>
      <w:r w:rsidRPr="00DC7B5E">
        <w:rPr>
          <w:rFonts w:ascii="Arial" w:hAnsi="Arial" w:cs="Arial"/>
        </w:rPr>
        <w:t xml:space="preserve"> at paragraph [16]</w:t>
      </w:r>
    </w:p>
  </w:footnote>
  <w:footnote w:id="8">
    <w:p w14:paraId="42233683" w14:textId="77777777" w:rsidR="00C72F75" w:rsidRPr="00DC7B5E" w:rsidRDefault="00C72F75" w:rsidP="009E2FCE">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McDuff and Co (in liquidation) v Johannesburg Consolidated Investments Co Ltd</w:t>
      </w:r>
      <w:r w:rsidRPr="00DC7B5E">
        <w:rPr>
          <w:rFonts w:ascii="Arial" w:hAnsi="Arial" w:cs="Arial"/>
        </w:rPr>
        <w:t xml:space="preserve"> 1923 TPD 309 at page 310</w:t>
      </w:r>
    </w:p>
  </w:footnote>
  <w:footnote w:id="9">
    <w:p w14:paraId="4D00457F" w14:textId="7514F675" w:rsidR="00C72F75" w:rsidRPr="009E2FCE" w:rsidRDefault="00C72F75" w:rsidP="009E2FCE">
      <w:pPr>
        <w:pStyle w:val="FootnoteText"/>
        <w:spacing w:line="480" w:lineRule="auto"/>
        <w:ind w:left="567" w:hanging="567"/>
        <w:jc w:val="both"/>
        <w:rPr>
          <w:rFonts w:ascii="Arial" w:hAnsi="Arial" w:cs="Arial"/>
        </w:rPr>
      </w:pPr>
      <w:r w:rsidRPr="00B93FA0">
        <w:rPr>
          <w:rFonts w:ascii="Arial" w:hAnsi="Arial" w:cs="Arial"/>
          <w:vertAlign w:val="superscript"/>
        </w:rPr>
        <w:footnoteRef/>
      </w:r>
      <w:r w:rsidRPr="00B93FA0">
        <w:rPr>
          <w:rFonts w:ascii="Arial" w:hAnsi="Arial" w:cs="Arial"/>
          <w:vertAlign w:val="superscript"/>
        </w:rPr>
        <w:t xml:space="preserve"> </w:t>
      </w:r>
      <w:r w:rsidRPr="009E2FCE">
        <w:rPr>
          <w:rFonts w:ascii="Arial" w:hAnsi="Arial" w:cs="Arial"/>
        </w:rPr>
        <w:t xml:space="preserve"> </w:t>
      </w:r>
      <w:r w:rsidRPr="009E2FCE">
        <w:rPr>
          <w:rFonts w:ascii="Arial" w:hAnsi="Arial" w:cs="Arial"/>
        </w:rPr>
        <w:tab/>
        <w:t>It will be recalled that the RAF had conceded that it was liable to pay 100% of the plaintiff’s proven damages</w:t>
      </w:r>
      <w:r>
        <w:rPr>
          <w:rFonts w:ascii="Arial" w:hAnsi="Arial" w:cs="Arial"/>
        </w:rPr>
        <w:t>.</w:t>
      </w:r>
    </w:p>
  </w:footnote>
  <w:footnote w:id="10">
    <w:p w14:paraId="1970650E" w14:textId="77777777"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2023 (2) SA 212 (GP)</w:t>
      </w:r>
    </w:p>
  </w:footnote>
  <w:footnote w:id="11">
    <w:p w14:paraId="3304DBCC" w14:textId="60F10AC9"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2018 (4) SA 454 (SCA). Footnotes have been omitted.</w:t>
      </w:r>
    </w:p>
  </w:footnote>
  <w:footnote w:id="12">
    <w:p w14:paraId="09312F35" w14:textId="682C53F7" w:rsidR="00C72F75" w:rsidRPr="00DC7B5E" w:rsidRDefault="00C72F75" w:rsidP="00E14134">
      <w:pPr>
        <w:pStyle w:val="FootnoteText"/>
        <w:spacing w:before="100"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 xml:space="preserve">Using the terminology preferred in </w:t>
      </w:r>
      <w:r w:rsidRPr="00C577AB">
        <w:rPr>
          <w:rFonts w:ascii="Arial" w:hAnsi="Arial" w:cs="Arial"/>
          <w:i/>
          <w:iCs/>
        </w:rPr>
        <w:t>Southern Insurance Association Ltd v Bailey NO</w:t>
      </w:r>
      <w:r w:rsidRPr="00DC7B5E">
        <w:rPr>
          <w:rFonts w:ascii="Arial" w:hAnsi="Arial" w:cs="Arial"/>
        </w:rPr>
        <w:t xml:space="preserve"> 1984 (1) SA 98 (A)</w:t>
      </w:r>
    </w:p>
  </w:footnote>
  <w:footnote w:id="13">
    <w:p w14:paraId="56853BF4" w14:textId="6B469143" w:rsidR="00C72F75" w:rsidRPr="00DC7B5E" w:rsidRDefault="00C72F75" w:rsidP="00E14134">
      <w:pPr>
        <w:pStyle w:val="FootnoteText"/>
        <w:spacing w:line="480" w:lineRule="auto"/>
        <w:ind w:left="567" w:hanging="567"/>
        <w:jc w:val="both"/>
        <w:rPr>
          <w:rFonts w:ascii="Arial" w:hAnsi="Arial" w:cs="Arial"/>
          <w:lang w:val="en-US"/>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lang w:val="en-US"/>
        </w:rPr>
        <w:t xml:space="preserve"> </w:t>
      </w:r>
      <w:r w:rsidRPr="00DC7B5E">
        <w:rPr>
          <w:rFonts w:ascii="Arial" w:hAnsi="Arial" w:cs="Arial"/>
          <w:lang w:val="en-US"/>
        </w:rPr>
        <w:tab/>
      </w:r>
      <w:r w:rsidRPr="00DC7B5E">
        <w:rPr>
          <w:rFonts w:ascii="Arial" w:hAnsi="Arial" w:cs="Arial"/>
        </w:rPr>
        <w:t xml:space="preserve">1984 (1) SA 98 (A) 113 F to114E. </w:t>
      </w:r>
      <w:r>
        <w:rPr>
          <w:rFonts w:ascii="Arial" w:hAnsi="Arial" w:cs="Arial"/>
        </w:rPr>
        <w:t xml:space="preserve"> T</w:t>
      </w:r>
      <w:r w:rsidRPr="00DC7B5E">
        <w:rPr>
          <w:rFonts w:ascii="Arial" w:hAnsi="Arial" w:cs="Arial"/>
        </w:rPr>
        <w:t>he authorities cited by the learned judge</w:t>
      </w:r>
      <w:r>
        <w:rPr>
          <w:rFonts w:ascii="Arial" w:hAnsi="Arial" w:cs="Arial"/>
        </w:rPr>
        <w:t xml:space="preserve"> have been excluded</w:t>
      </w:r>
      <w:r w:rsidRPr="00DC7B5E">
        <w:rPr>
          <w:rFonts w:ascii="Arial" w:hAnsi="Arial" w:cs="Arial"/>
        </w:rPr>
        <w:t>.</w:t>
      </w:r>
    </w:p>
  </w:footnote>
  <w:footnote w:id="14">
    <w:p w14:paraId="537A04B1" w14:textId="16ECE29D"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Goodall v President Insurance Co Ltd</w:t>
      </w:r>
      <w:r w:rsidRPr="00DC7B5E">
        <w:rPr>
          <w:rFonts w:ascii="Arial" w:hAnsi="Arial" w:cs="Arial"/>
        </w:rPr>
        <w:t xml:space="preserve"> 1978 (1) SA 389 (W) at 392H</w:t>
      </w:r>
    </w:p>
  </w:footnote>
  <w:footnote w:id="15">
    <w:p w14:paraId="1EAF48CC" w14:textId="694B1953"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supra</w:t>
      </w:r>
      <w:r w:rsidRPr="00DC7B5E">
        <w:rPr>
          <w:rFonts w:ascii="Arial" w:hAnsi="Arial" w:cs="Arial"/>
        </w:rPr>
        <w:t xml:space="preserve"> at 117 C – D</w:t>
      </w:r>
    </w:p>
  </w:footnote>
  <w:footnote w:id="16">
    <w:p w14:paraId="729F73B2" w14:textId="28DFC297"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(1962) 36 ALJR 212 (HCA) at 213</w:t>
      </w:r>
    </w:p>
  </w:footnote>
  <w:footnote w:id="17">
    <w:p w14:paraId="329F5986" w14:textId="4EC65E87"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r w:rsidRPr="00DC7B5E">
        <w:rPr>
          <w:rFonts w:ascii="Arial" w:hAnsi="Arial" w:cs="Arial"/>
          <w:i/>
          <w:iCs/>
        </w:rPr>
        <w:t>Goodall v President Insurance Co Ltd</w:t>
      </w:r>
      <w:r>
        <w:rPr>
          <w:rFonts w:ascii="Arial" w:hAnsi="Arial" w:cs="Arial"/>
        </w:rPr>
        <w:t xml:space="preserve">, </w:t>
      </w:r>
      <w:r w:rsidRPr="00C7383E">
        <w:rPr>
          <w:rFonts w:ascii="Arial" w:hAnsi="Arial" w:cs="Arial"/>
          <w:i/>
          <w:iCs/>
        </w:rPr>
        <w:t>supra</w:t>
      </w:r>
      <w:r>
        <w:rPr>
          <w:rFonts w:ascii="Arial" w:hAnsi="Arial" w:cs="Arial"/>
        </w:rPr>
        <w:t xml:space="preserve"> at </w:t>
      </w:r>
      <w:r w:rsidRPr="00DC7B5E">
        <w:rPr>
          <w:rFonts w:ascii="Arial" w:hAnsi="Arial" w:cs="Arial"/>
        </w:rPr>
        <w:t>392H – 393G</w:t>
      </w:r>
    </w:p>
  </w:footnote>
  <w:footnote w:id="18">
    <w:p w14:paraId="4F07027F" w14:textId="3064B567"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t>2006 (5) SA 583 (SCA)</w:t>
      </w:r>
    </w:p>
  </w:footnote>
  <w:footnote w:id="19">
    <w:p w14:paraId="1BA7A364" w14:textId="688B2E29" w:rsidR="00C72F75" w:rsidRPr="00DC7B5E" w:rsidRDefault="00C72F75" w:rsidP="00E14134">
      <w:pPr>
        <w:pStyle w:val="FootnoteText"/>
        <w:spacing w:line="480" w:lineRule="auto"/>
        <w:ind w:left="567" w:hanging="567"/>
        <w:jc w:val="both"/>
        <w:rPr>
          <w:rFonts w:ascii="Arial" w:hAnsi="Arial" w:cs="Arial"/>
        </w:rPr>
      </w:pPr>
      <w:r w:rsidRPr="00DC7B5E">
        <w:rPr>
          <w:rStyle w:val="FootnoteReference"/>
          <w:rFonts w:ascii="Arial" w:hAnsi="Arial" w:cs="Arial"/>
        </w:rPr>
        <w:footnoteRef/>
      </w:r>
      <w:r w:rsidRPr="00DC7B5E">
        <w:rPr>
          <w:rFonts w:ascii="Arial" w:hAnsi="Arial" w:cs="Arial"/>
        </w:rPr>
        <w:t xml:space="preserve">  </w:t>
      </w:r>
      <w:r w:rsidRPr="00DC7B5E">
        <w:rPr>
          <w:rFonts w:ascii="Arial" w:hAnsi="Arial" w:cs="Arial"/>
        </w:rPr>
        <w:tab/>
      </w:r>
      <w:proofErr w:type="spellStart"/>
      <w:r w:rsidRPr="00DC7B5E">
        <w:rPr>
          <w:rStyle w:val="FootnoteReference"/>
          <w:rFonts w:ascii="Arial" w:hAnsi="Arial" w:cs="Arial"/>
          <w:i/>
          <w:iCs/>
          <w:vertAlign w:val="baseline"/>
        </w:rPr>
        <w:t>Phalane</w:t>
      </w:r>
      <w:proofErr w:type="spellEnd"/>
      <w:r w:rsidRPr="00DC7B5E">
        <w:rPr>
          <w:rStyle w:val="FootnoteReference"/>
          <w:rFonts w:ascii="Arial" w:hAnsi="Arial" w:cs="Arial"/>
          <w:i/>
          <w:iCs/>
          <w:vertAlign w:val="baseline"/>
        </w:rPr>
        <w:t xml:space="preserve"> v Road Accident Fund</w:t>
      </w:r>
      <w:r w:rsidRPr="00DC7B5E">
        <w:rPr>
          <w:rFonts w:ascii="Arial" w:hAnsi="Arial" w:cs="Arial"/>
        </w:rPr>
        <w:t xml:space="preserve"> (48112/2014 [2017] ZAGPPC 759 (7 November 2017) at [17] to [19]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EAE4" w14:textId="77777777" w:rsidR="00CC472C" w:rsidRDefault="00CC472C" w:rsidP="00274BE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B3F4B0" w14:textId="77777777" w:rsidR="00CC472C" w:rsidRDefault="00CC472C" w:rsidP="00CC472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DBFA" w14:textId="31CED46B" w:rsidR="00CC472C" w:rsidRPr="00CC472C" w:rsidRDefault="00CC472C" w:rsidP="00274BE2">
    <w:pPr>
      <w:pStyle w:val="Header"/>
      <w:framePr w:wrap="around" w:vAnchor="text" w:hAnchor="margin" w:xAlign="right" w:y="1"/>
      <w:rPr>
        <w:rStyle w:val="PageNumber"/>
        <w:rFonts w:ascii="Arial" w:hAnsi="Arial" w:cs="Arial"/>
        <w:sz w:val="24"/>
        <w:szCs w:val="24"/>
      </w:rPr>
    </w:pPr>
    <w:r w:rsidRPr="00CC472C">
      <w:rPr>
        <w:rStyle w:val="PageNumber"/>
        <w:rFonts w:ascii="Arial" w:hAnsi="Arial" w:cs="Arial"/>
        <w:sz w:val="24"/>
        <w:szCs w:val="24"/>
      </w:rPr>
      <w:fldChar w:fldCharType="begin"/>
    </w:r>
    <w:r w:rsidRPr="00CC472C">
      <w:rPr>
        <w:rStyle w:val="PageNumber"/>
        <w:rFonts w:ascii="Arial" w:hAnsi="Arial" w:cs="Arial"/>
        <w:sz w:val="24"/>
        <w:szCs w:val="24"/>
      </w:rPr>
      <w:instrText xml:space="preserve"> PAGE </w:instrText>
    </w:r>
    <w:r w:rsidRPr="00CC472C">
      <w:rPr>
        <w:rStyle w:val="PageNumber"/>
        <w:rFonts w:ascii="Arial" w:hAnsi="Arial" w:cs="Arial"/>
        <w:sz w:val="24"/>
        <w:szCs w:val="24"/>
      </w:rPr>
      <w:fldChar w:fldCharType="separate"/>
    </w:r>
    <w:r w:rsidR="00DB4F19">
      <w:rPr>
        <w:rStyle w:val="PageNumber"/>
        <w:rFonts w:ascii="Arial" w:hAnsi="Arial" w:cs="Arial"/>
        <w:noProof/>
        <w:sz w:val="24"/>
        <w:szCs w:val="24"/>
      </w:rPr>
      <w:t>25</w:t>
    </w:r>
    <w:r w:rsidRPr="00CC472C">
      <w:rPr>
        <w:rStyle w:val="PageNumber"/>
        <w:rFonts w:ascii="Arial" w:hAnsi="Arial" w:cs="Arial"/>
        <w:sz w:val="24"/>
        <w:szCs w:val="24"/>
      </w:rPr>
      <w:fldChar w:fldCharType="end"/>
    </w:r>
  </w:p>
  <w:p w14:paraId="6C07FBFC" w14:textId="77777777" w:rsidR="00CC472C" w:rsidRDefault="00CC472C" w:rsidP="00CC472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7E"/>
    <w:multiLevelType w:val="multilevel"/>
    <w:tmpl w:val="0CE27BC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87" w:hanging="720"/>
      </w:pPr>
      <w:rPr>
        <w:rFonts w:ascii="Arial" w:hAnsi="Arial" w:cs="Arial" w:hint="default"/>
        <w:sz w:val="24"/>
        <w:szCs w:val="24"/>
      </w:rPr>
    </w:lvl>
    <w:lvl w:ilvl="2">
      <w:start w:val="1"/>
      <w:numFmt w:val="decimal"/>
      <w:isLgl/>
      <w:lvlText w:val="%1.%2.%3."/>
      <w:lvlJc w:val="left"/>
      <w:pPr>
        <w:ind w:left="1571" w:hanging="720"/>
      </w:pPr>
      <w:rPr>
        <w:rFonts w:ascii="Arial" w:hAnsi="Arial" w:cs="Arial" w:hint="default"/>
      </w:rPr>
    </w:lvl>
    <w:lvl w:ilvl="3">
      <w:start w:val="1"/>
      <w:numFmt w:val="decimal"/>
      <w:isLgl/>
      <w:lvlText w:val="%1.%2.%3.%4."/>
      <w:lvlJc w:val="left"/>
      <w:pPr>
        <w:ind w:left="2061" w:hanging="1080"/>
      </w:pPr>
      <w:rPr>
        <w:rFonts w:ascii="Verdana" w:hAnsi="Verdana" w:hint="default"/>
      </w:rPr>
    </w:lvl>
    <w:lvl w:ilvl="4">
      <w:start w:val="1"/>
      <w:numFmt w:val="decimal"/>
      <w:isLgl/>
      <w:lvlText w:val="%1.%2.%3.%4.%5."/>
      <w:lvlJc w:val="left"/>
      <w:pPr>
        <w:ind w:left="2268" w:hanging="1080"/>
      </w:pPr>
      <w:rPr>
        <w:rFonts w:ascii="Verdana" w:hAnsi="Verdana" w:hint="default"/>
      </w:rPr>
    </w:lvl>
    <w:lvl w:ilvl="5">
      <w:start w:val="1"/>
      <w:numFmt w:val="decimal"/>
      <w:isLgl/>
      <w:lvlText w:val="%1.%2.%3.%4.%5.%6."/>
      <w:lvlJc w:val="left"/>
      <w:pPr>
        <w:ind w:left="2835" w:hanging="1440"/>
      </w:pPr>
      <w:rPr>
        <w:rFonts w:ascii="Verdana" w:hAnsi="Verdana" w:hint="default"/>
      </w:rPr>
    </w:lvl>
    <w:lvl w:ilvl="6">
      <w:start w:val="1"/>
      <w:numFmt w:val="decimal"/>
      <w:isLgl/>
      <w:lvlText w:val="%1.%2.%3.%4.%5.%6.%7."/>
      <w:lvlJc w:val="left"/>
      <w:pPr>
        <w:ind w:left="3042" w:hanging="1440"/>
      </w:pPr>
      <w:rPr>
        <w:rFonts w:ascii="Verdana" w:hAnsi="Verdana" w:hint="default"/>
      </w:rPr>
    </w:lvl>
    <w:lvl w:ilvl="7">
      <w:start w:val="1"/>
      <w:numFmt w:val="decimal"/>
      <w:isLgl/>
      <w:lvlText w:val="%1.%2.%3.%4.%5.%6.%7.%8."/>
      <w:lvlJc w:val="left"/>
      <w:pPr>
        <w:ind w:left="3609" w:hanging="1800"/>
      </w:pPr>
      <w:rPr>
        <w:rFonts w:ascii="Verdana" w:hAnsi="Verdana" w:hint="default"/>
      </w:rPr>
    </w:lvl>
    <w:lvl w:ilvl="8">
      <w:start w:val="1"/>
      <w:numFmt w:val="decimal"/>
      <w:isLgl/>
      <w:lvlText w:val="%1.%2.%3.%4.%5.%6.%7.%8.%9."/>
      <w:lvlJc w:val="left"/>
      <w:pPr>
        <w:ind w:left="4176" w:hanging="2160"/>
      </w:pPr>
      <w:rPr>
        <w:rFonts w:ascii="Verdana" w:hAnsi="Verdana" w:hint="default"/>
      </w:rPr>
    </w:lvl>
  </w:abstractNum>
  <w:abstractNum w:abstractNumId="1" w15:restartNumberingAfterBreak="0">
    <w:nsid w:val="02B05109"/>
    <w:multiLevelType w:val="hybridMultilevel"/>
    <w:tmpl w:val="599ABB46"/>
    <w:lvl w:ilvl="0" w:tplc="B5BC5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B13613A"/>
    <w:multiLevelType w:val="multilevel"/>
    <w:tmpl w:val="CF3A9812"/>
    <w:lvl w:ilvl="0">
      <w:start w:val="39"/>
      <w:numFmt w:val="decimal"/>
      <w:lvlText w:val="[%1]"/>
      <w:lvlJc w:val="left"/>
      <w:pPr>
        <w:ind w:left="680" w:hanging="680"/>
      </w:pPr>
      <w:rPr>
        <w:rFonts w:hint="default"/>
        <w:b w:val="0"/>
        <w:bCs w:val="0"/>
        <w:sz w:val="24"/>
        <w:szCs w:val="24"/>
      </w:rPr>
    </w:lvl>
    <w:lvl w:ilvl="1">
      <w:start w:val="1"/>
      <w:numFmt w:val="decimal"/>
      <w:lvlText w:val="[%1.%2]"/>
      <w:lvlJc w:val="left"/>
      <w:pPr>
        <w:ind w:left="1701" w:hanging="1021"/>
      </w:pPr>
      <w:rPr>
        <w:rFonts w:hint="default"/>
        <w:b w:val="0"/>
        <w:bCs w:val="0"/>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BF00DA"/>
    <w:multiLevelType w:val="multilevel"/>
    <w:tmpl w:val="338278A2"/>
    <w:lvl w:ilvl="0">
      <w:start w:val="1"/>
      <w:numFmt w:val="decimal"/>
      <w:lvlText w:val="%1."/>
      <w:lvlJc w:val="left"/>
      <w:pPr>
        <w:ind w:left="720" w:hanging="720"/>
      </w:pPr>
      <w:rPr>
        <w:rFonts w:ascii="Arial" w:hAnsi="Arial" w:cs="Arial" w:hint="default"/>
        <w:b w:val="0"/>
        <w:bCs w:val="0"/>
      </w:rPr>
    </w:lvl>
    <w:lvl w:ilvl="1">
      <w:start w:val="1"/>
      <w:numFmt w:val="decimal"/>
      <w:isLgl/>
      <w:lvlText w:val="%1.%2."/>
      <w:lvlJc w:val="left"/>
      <w:pPr>
        <w:ind w:left="1701" w:hanging="1021"/>
      </w:pPr>
      <w:rPr>
        <w:rFonts w:ascii="Arial" w:hAnsi="Arial" w:cs="Arial" w:hint="default"/>
        <w:sz w:val="24"/>
        <w:szCs w:val="24"/>
      </w:rPr>
    </w:lvl>
    <w:lvl w:ilvl="2">
      <w:start w:val="1"/>
      <w:numFmt w:val="decimal"/>
      <w:isLgl/>
      <w:lvlText w:val="%1.%2.%3."/>
      <w:lvlJc w:val="left"/>
      <w:pPr>
        <w:ind w:left="2835" w:hanging="1134"/>
      </w:pPr>
      <w:rPr>
        <w:rFonts w:ascii="Arial" w:hAnsi="Arial" w:cs="Arial" w:hint="default"/>
      </w:rPr>
    </w:lvl>
    <w:lvl w:ilvl="3">
      <w:start w:val="1"/>
      <w:numFmt w:val="decimal"/>
      <w:isLgl/>
      <w:lvlText w:val="%1.%2.%3.%4."/>
      <w:lvlJc w:val="left"/>
      <w:pPr>
        <w:ind w:left="2061" w:hanging="1080"/>
      </w:pPr>
      <w:rPr>
        <w:rFonts w:ascii="Verdana" w:hAnsi="Verdana" w:hint="default"/>
      </w:rPr>
    </w:lvl>
    <w:lvl w:ilvl="4">
      <w:start w:val="1"/>
      <w:numFmt w:val="decimal"/>
      <w:isLgl/>
      <w:lvlText w:val="%1.%2.%3.%4.%5."/>
      <w:lvlJc w:val="left"/>
      <w:pPr>
        <w:ind w:left="2268" w:hanging="1080"/>
      </w:pPr>
      <w:rPr>
        <w:rFonts w:ascii="Verdana" w:hAnsi="Verdana" w:hint="default"/>
      </w:rPr>
    </w:lvl>
    <w:lvl w:ilvl="5">
      <w:start w:val="1"/>
      <w:numFmt w:val="decimal"/>
      <w:isLgl/>
      <w:lvlText w:val="%1.%2.%3.%4.%5.%6."/>
      <w:lvlJc w:val="left"/>
      <w:pPr>
        <w:ind w:left="2835" w:hanging="1440"/>
      </w:pPr>
      <w:rPr>
        <w:rFonts w:ascii="Verdana" w:hAnsi="Verdana" w:hint="default"/>
      </w:rPr>
    </w:lvl>
    <w:lvl w:ilvl="6">
      <w:start w:val="1"/>
      <w:numFmt w:val="decimal"/>
      <w:isLgl/>
      <w:lvlText w:val="%1.%2.%3.%4.%5.%6.%7."/>
      <w:lvlJc w:val="left"/>
      <w:pPr>
        <w:ind w:left="3042" w:hanging="1440"/>
      </w:pPr>
      <w:rPr>
        <w:rFonts w:ascii="Verdana" w:hAnsi="Verdana" w:hint="default"/>
      </w:rPr>
    </w:lvl>
    <w:lvl w:ilvl="7">
      <w:start w:val="1"/>
      <w:numFmt w:val="decimal"/>
      <w:isLgl/>
      <w:lvlText w:val="%1.%2.%3.%4.%5.%6.%7.%8."/>
      <w:lvlJc w:val="left"/>
      <w:pPr>
        <w:ind w:left="3609" w:hanging="1800"/>
      </w:pPr>
      <w:rPr>
        <w:rFonts w:ascii="Verdana" w:hAnsi="Verdana" w:hint="default"/>
      </w:rPr>
    </w:lvl>
    <w:lvl w:ilvl="8">
      <w:start w:val="1"/>
      <w:numFmt w:val="decimal"/>
      <w:isLgl/>
      <w:lvlText w:val="%1.%2.%3.%4.%5.%6.%7.%8.%9."/>
      <w:lvlJc w:val="left"/>
      <w:pPr>
        <w:ind w:left="4176" w:hanging="2160"/>
      </w:pPr>
      <w:rPr>
        <w:rFonts w:ascii="Verdana" w:hAnsi="Verdana" w:hint="default"/>
      </w:rPr>
    </w:lvl>
  </w:abstractNum>
  <w:abstractNum w:abstractNumId="5" w15:restartNumberingAfterBreak="0">
    <w:nsid w:val="3BEB5F85"/>
    <w:multiLevelType w:val="multilevel"/>
    <w:tmpl w:val="2CF63F20"/>
    <w:lvl w:ilvl="0">
      <w:start w:val="1"/>
      <w:numFmt w:val="decimal"/>
      <w:lvlText w:val="[%1]"/>
      <w:lvlJc w:val="left"/>
      <w:pPr>
        <w:ind w:left="680" w:hanging="680"/>
      </w:pPr>
      <w:rPr>
        <w:rFonts w:hint="default"/>
        <w:b w:val="0"/>
        <w:bCs w:val="0"/>
        <w:sz w:val="24"/>
        <w:szCs w:val="24"/>
      </w:rPr>
    </w:lvl>
    <w:lvl w:ilvl="1">
      <w:start w:val="1"/>
      <w:numFmt w:val="decimal"/>
      <w:lvlText w:val="[%1.%2]"/>
      <w:lvlJc w:val="left"/>
      <w:pPr>
        <w:ind w:left="680" w:firstLine="0"/>
      </w:pPr>
      <w:rPr>
        <w:rFonts w:hint="default"/>
        <w:b w:val="0"/>
        <w:bCs w:val="0"/>
      </w:rPr>
    </w:lvl>
    <w:lvl w:ilvl="2">
      <w:start w:val="1"/>
      <w:numFmt w:val="decimal"/>
      <w:lvlText w:val="[%1.%2.%3]"/>
      <w:lvlJc w:val="left"/>
      <w:pPr>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703B70"/>
    <w:multiLevelType w:val="hybridMultilevel"/>
    <w:tmpl w:val="427E27A6"/>
    <w:lvl w:ilvl="0" w:tplc="663EB2E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9C66CC7"/>
    <w:multiLevelType w:val="multilevel"/>
    <w:tmpl w:val="CFD6C4F0"/>
    <w:lvl w:ilvl="0">
      <w:start w:val="37"/>
      <w:numFmt w:val="decimal"/>
      <w:lvlText w:val="%1"/>
      <w:lvlJc w:val="left"/>
      <w:pPr>
        <w:ind w:left="473" w:hanging="473"/>
      </w:pPr>
      <w:rPr>
        <w:rFonts w:hint="default"/>
      </w:rPr>
    </w:lvl>
    <w:lvl w:ilvl="1">
      <w:start w:val="9"/>
      <w:numFmt w:val="decimal"/>
      <w:lvlText w:val="%1.%2"/>
      <w:lvlJc w:val="left"/>
      <w:pPr>
        <w:ind w:left="1153" w:hanging="473"/>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5C5F6C79"/>
    <w:multiLevelType w:val="multilevel"/>
    <w:tmpl w:val="EA6CBEB0"/>
    <w:lvl w:ilvl="0">
      <w:start w:val="1"/>
      <w:numFmt w:val="decimal"/>
      <w:lvlText w:val="%1."/>
      <w:lvlJc w:val="left"/>
      <w:pPr>
        <w:ind w:left="680" w:hanging="680"/>
      </w:pPr>
      <w:rPr>
        <w:rFonts w:hint="default"/>
      </w:rPr>
    </w:lvl>
    <w:lvl w:ilvl="1">
      <w:start w:val="1"/>
      <w:numFmt w:val="decimal"/>
      <w:lvlText w:val="%1.%2."/>
      <w:lvlJc w:val="left"/>
      <w:pPr>
        <w:ind w:left="1701" w:hanging="1021"/>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867B9"/>
    <w:multiLevelType w:val="multilevel"/>
    <w:tmpl w:val="EF66DB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7"/>
  </w:num>
  <w:num w:numId="4">
    <w:abstractNumId w:val="6"/>
  </w:num>
  <w:num w:numId="5">
    <w:abstractNumId w:val="1"/>
  </w:num>
  <w:num w:numId="6">
    <w:abstractNumId w:val="0"/>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13D4DD-2E2B-4753-9A5A-4077F6947857}"/>
    <w:docVar w:name="dgnword-eventsink" w:val="950530312"/>
  </w:docVars>
  <w:rsids>
    <w:rsidRoot w:val="006F1F42"/>
    <w:rsid w:val="0000037D"/>
    <w:rsid w:val="00003641"/>
    <w:rsid w:val="00010856"/>
    <w:rsid w:val="00014D8D"/>
    <w:rsid w:val="00014E3F"/>
    <w:rsid w:val="0001596B"/>
    <w:rsid w:val="00016469"/>
    <w:rsid w:val="00017131"/>
    <w:rsid w:val="00017243"/>
    <w:rsid w:val="000177EA"/>
    <w:rsid w:val="00017F5D"/>
    <w:rsid w:val="00025932"/>
    <w:rsid w:val="00026CA3"/>
    <w:rsid w:val="000320F9"/>
    <w:rsid w:val="000345F0"/>
    <w:rsid w:val="000374A2"/>
    <w:rsid w:val="000424B6"/>
    <w:rsid w:val="00044DD2"/>
    <w:rsid w:val="00047B6F"/>
    <w:rsid w:val="00053ACF"/>
    <w:rsid w:val="00054A58"/>
    <w:rsid w:val="00060EFB"/>
    <w:rsid w:val="00062192"/>
    <w:rsid w:val="00063587"/>
    <w:rsid w:val="000645B8"/>
    <w:rsid w:val="000654EF"/>
    <w:rsid w:val="00075863"/>
    <w:rsid w:val="00077C0F"/>
    <w:rsid w:val="00082907"/>
    <w:rsid w:val="00091BA6"/>
    <w:rsid w:val="000A0761"/>
    <w:rsid w:val="000A1379"/>
    <w:rsid w:val="000A3112"/>
    <w:rsid w:val="000B329E"/>
    <w:rsid w:val="000B392B"/>
    <w:rsid w:val="000B4962"/>
    <w:rsid w:val="000B74AF"/>
    <w:rsid w:val="000C5ED5"/>
    <w:rsid w:val="000C6CB7"/>
    <w:rsid w:val="000C7652"/>
    <w:rsid w:val="000D2E2E"/>
    <w:rsid w:val="000D3F83"/>
    <w:rsid w:val="000D79E3"/>
    <w:rsid w:val="000E0101"/>
    <w:rsid w:val="000E269A"/>
    <w:rsid w:val="000E2F99"/>
    <w:rsid w:val="000E3709"/>
    <w:rsid w:val="000E4264"/>
    <w:rsid w:val="000E44B7"/>
    <w:rsid w:val="000F07F1"/>
    <w:rsid w:val="000F13A1"/>
    <w:rsid w:val="001006E1"/>
    <w:rsid w:val="001023DB"/>
    <w:rsid w:val="00105E58"/>
    <w:rsid w:val="00106274"/>
    <w:rsid w:val="001071AA"/>
    <w:rsid w:val="00110A01"/>
    <w:rsid w:val="00114329"/>
    <w:rsid w:val="00122079"/>
    <w:rsid w:val="0012390A"/>
    <w:rsid w:val="00124D2C"/>
    <w:rsid w:val="00125043"/>
    <w:rsid w:val="00126670"/>
    <w:rsid w:val="00127364"/>
    <w:rsid w:val="00127456"/>
    <w:rsid w:val="00127603"/>
    <w:rsid w:val="00127CD4"/>
    <w:rsid w:val="00130E94"/>
    <w:rsid w:val="0013510B"/>
    <w:rsid w:val="00135235"/>
    <w:rsid w:val="001416E5"/>
    <w:rsid w:val="00141CB8"/>
    <w:rsid w:val="001427B1"/>
    <w:rsid w:val="001450F3"/>
    <w:rsid w:val="0014548C"/>
    <w:rsid w:val="00163C3A"/>
    <w:rsid w:val="00167851"/>
    <w:rsid w:val="00170AD6"/>
    <w:rsid w:val="00174632"/>
    <w:rsid w:val="00174880"/>
    <w:rsid w:val="00177D7D"/>
    <w:rsid w:val="00181575"/>
    <w:rsid w:val="00191313"/>
    <w:rsid w:val="001925EB"/>
    <w:rsid w:val="001A3660"/>
    <w:rsid w:val="001A5657"/>
    <w:rsid w:val="001A6024"/>
    <w:rsid w:val="001C4CAD"/>
    <w:rsid w:val="001D4C56"/>
    <w:rsid w:val="001D5723"/>
    <w:rsid w:val="001D5B00"/>
    <w:rsid w:val="001E1DCB"/>
    <w:rsid w:val="001E7055"/>
    <w:rsid w:val="001E7E21"/>
    <w:rsid w:val="001F024B"/>
    <w:rsid w:val="001F26A3"/>
    <w:rsid w:val="001F3950"/>
    <w:rsid w:val="001F3F3A"/>
    <w:rsid w:val="002007F7"/>
    <w:rsid w:val="00200816"/>
    <w:rsid w:val="00202061"/>
    <w:rsid w:val="00203321"/>
    <w:rsid w:val="00203B1D"/>
    <w:rsid w:val="002062DC"/>
    <w:rsid w:val="002136F5"/>
    <w:rsid w:val="002140B3"/>
    <w:rsid w:val="00214DB1"/>
    <w:rsid w:val="00215C91"/>
    <w:rsid w:val="002166F8"/>
    <w:rsid w:val="00217584"/>
    <w:rsid w:val="00217EA6"/>
    <w:rsid w:val="002243DE"/>
    <w:rsid w:val="00224AF8"/>
    <w:rsid w:val="002257F3"/>
    <w:rsid w:val="00227A63"/>
    <w:rsid w:val="00227CF4"/>
    <w:rsid w:val="00231BD6"/>
    <w:rsid w:val="00237296"/>
    <w:rsid w:val="002458D2"/>
    <w:rsid w:val="002526D5"/>
    <w:rsid w:val="00253E11"/>
    <w:rsid w:val="00255061"/>
    <w:rsid w:val="002608D8"/>
    <w:rsid w:val="00261655"/>
    <w:rsid w:val="00265226"/>
    <w:rsid w:val="00270893"/>
    <w:rsid w:val="00274542"/>
    <w:rsid w:val="00282123"/>
    <w:rsid w:val="00284794"/>
    <w:rsid w:val="002876CE"/>
    <w:rsid w:val="002949F8"/>
    <w:rsid w:val="00295B72"/>
    <w:rsid w:val="002A2304"/>
    <w:rsid w:val="002A47E4"/>
    <w:rsid w:val="002A7F80"/>
    <w:rsid w:val="002B00F0"/>
    <w:rsid w:val="002B2893"/>
    <w:rsid w:val="002B3CD8"/>
    <w:rsid w:val="002B637B"/>
    <w:rsid w:val="002B6F65"/>
    <w:rsid w:val="002C2CEB"/>
    <w:rsid w:val="002C3D6C"/>
    <w:rsid w:val="002C59AC"/>
    <w:rsid w:val="002C73F2"/>
    <w:rsid w:val="002C7BD0"/>
    <w:rsid w:val="002C7F16"/>
    <w:rsid w:val="002D03B9"/>
    <w:rsid w:val="002D3831"/>
    <w:rsid w:val="002D6012"/>
    <w:rsid w:val="002E1CF1"/>
    <w:rsid w:val="002E63B8"/>
    <w:rsid w:val="002F0C14"/>
    <w:rsid w:val="002F1CD2"/>
    <w:rsid w:val="002F48BA"/>
    <w:rsid w:val="002F63BE"/>
    <w:rsid w:val="00303E83"/>
    <w:rsid w:val="00307B7A"/>
    <w:rsid w:val="0031059C"/>
    <w:rsid w:val="00311F49"/>
    <w:rsid w:val="00315052"/>
    <w:rsid w:val="003167FD"/>
    <w:rsid w:val="00316F98"/>
    <w:rsid w:val="003205D7"/>
    <w:rsid w:val="003216A5"/>
    <w:rsid w:val="00321A31"/>
    <w:rsid w:val="00330881"/>
    <w:rsid w:val="0033574E"/>
    <w:rsid w:val="00340D7A"/>
    <w:rsid w:val="003414D9"/>
    <w:rsid w:val="00345E93"/>
    <w:rsid w:val="00346C8F"/>
    <w:rsid w:val="003524FE"/>
    <w:rsid w:val="00352A24"/>
    <w:rsid w:val="00355076"/>
    <w:rsid w:val="00360DF0"/>
    <w:rsid w:val="00361043"/>
    <w:rsid w:val="003628D3"/>
    <w:rsid w:val="00364D84"/>
    <w:rsid w:val="00367057"/>
    <w:rsid w:val="00370BD6"/>
    <w:rsid w:val="00373DEB"/>
    <w:rsid w:val="00375362"/>
    <w:rsid w:val="00375D83"/>
    <w:rsid w:val="00376A21"/>
    <w:rsid w:val="00382E48"/>
    <w:rsid w:val="003847AF"/>
    <w:rsid w:val="00386C1B"/>
    <w:rsid w:val="00390025"/>
    <w:rsid w:val="003A0ADF"/>
    <w:rsid w:val="003A6987"/>
    <w:rsid w:val="003A766C"/>
    <w:rsid w:val="003A7B9E"/>
    <w:rsid w:val="003B54A2"/>
    <w:rsid w:val="003B69EE"/>
    <w:rsid w:val="003C413D"/>
    <w:rsid w:val="003C51F9"/>
    <w:rsid w:val="003D3D0C"/>
    <w:rsid w:val="003D5573"/>
    <w:rsid w:val="003D5F88"/>
    <w:rsid w:val="003D678F"/>
    <w:rsid w:val="003E1ACB"/>
    <w:rsid w:val="003E4953"/>
    <w:rsid w:val="003F2EE0"/>
    <w:rsid w:val="003F4D00"/>
    <w:rsid w:val="003F6E23"/>
    <w:rsid w:val="00401361"/>
    <w:rsid w:val="0040249E"/>
    <w:rsid w:val="004038AD"/>
    <w:rsid w:val="00405491"/>
    <w:rsid w:val="004064B1"/>
    <w:rsid w:val="0040680C"/>
    <w:rsid w:val="00407820"/>
    <w:rsid w:val="004107C8"/>
    <w:rsid w:val="00411182"/>
    <w:rsid w:val="00411275"/>
    <w:rsid w:val="004118E8"/>
    <w:rsid w:val="0041312A"/>
    <w:rsid w:val="00415101"/>
    <w:rsid w:val="004164A5"/>
    <w:rsid w:val="004165DB"/>
    <w:rsid w:val="004244C0"/>
    <w:rsid w:val="00424F78"/>
    <w:rsid w:val="00431D98"/>
    <w:rsid w:val="00433940"/>
    <w:rsid w:val="00440B46"/>
    <w:rsid w:val="00442BF0"/>
    <w:rsid w:val="00447CD4"/>
    <w:rsid w:val="004508D8"/>
    <w:rsid w:val="00455052"/>
    <w:rsid w:val="004551CF"/>
    <w:rsid w:val="004606C1"/>
    <w:rsid w:val="004612DF"/>
    <w:rsid w:val="004623DD"/>
    <w:rsid w:val="00462E5D"/>
    <w:rsid w:val="004641E7"/>
    <w:rsid w:val="004730A6"/>
    <w:rsid w:val="00473D29"/>
    <w:rsid w:val="00473D8E"/>
    <w:rsid w:val="0047721D"/>
    <w:rsid w:val="00480042"/>
    <w:rsid w:val="0048443C"/>
    <w:rsid w:val="004848E7"/>
    <w:rsid w:val="00485054"/>
    <w:rsid w:val="0049230E"/>
    <w:rsid w:val="004947B9"/>
    <w:rsid w:val="0049603F"/>
    <w:rsid w:val="004964DD"/>
    <w:rsid w:val="004A6DD3"/>
    <w:rsid w:val="004B3023"/>
    <w:rsid w:val="004B4261"/>
    <w:rsid w:val="004B46DC"/>
    <w:rsid w:val="004B6157"/>
    <w:rsid w:val="004C2908"/>
    <w:rsid w:val="004C4F41"/>
    <w:rsid w:val="004C6365"/>
    <w:rsid w:val="004C7740"/>
    <w:rsid w:val="004D0827"/>
    <w:rsid w:val="004D2647"/>
    <w:rsid w:val="004D44D0"/>
    <w:rsid w:val="004D47D4"/>
    <w:rsid w:val="004D733A"/>
    <w:rsid w:val="004E3A94"/>
    <w:rsid w:val="004F6614"/>
    <w:rsid w:val="004F72F3"/>
    <w:rsid w:val="004F7FB6"/>
    <w:rsid w:val="005019B3"/>
    <w:rsid w:val="00502FAE"/>
    <w:rsid w:val="00510017"/>
    <w:rsid w:val="00514DD3"/>
    <w:rsid w:val="00514DD7"/>
    <w:rsid w:val="00517685"/>
    <w:rsid w:val="005209FF"/>
    <w:rsid w:val="005212A8"/>
    <w:rsid w:val="0053025C"/>
    <w:rsid w:val="005403DF"/>
    <w:rsid w:val="00543947"/>
    <w:rsid w:val="00545D6C"/>
    <w:rsid w:val="00546435"/>
    <w:rsid w:val="0054647F"/>
    <w:rsid w:val="0054691C"/>
    <w:rsid w:val="0055066D"/>
    <w:rsid w:val="00551BA8"/>
    <w:rsid w:val="00554171"/>
    <w:rsid w:val="00556833"/>
    <w:rsid w:val="0056128C"/>
    <w:rsid w:val="00564648"/>
    <w:rsid w:val="005667AD"/>
    <w:rsid w:val="00567F93"/>
    <w:rsid w:val="0057106A"/>
    <w:rsid w:val="00571CD7"/>
    <w:rsid w:val="0057339D"/>
    <w:rsid w:val="00573F95"/>
    <w:rsid w:val="00576453"/>
    <w:rsid w:val="0057708D"/>
    <w:rsid w:val="00584D68"/>
    <w:rsid w:val="00586554"/>
    <w:rsid w:val="0058675A"/>
    <w:rsid w:val="00586782"/>
    <w:rsid w:val="00587F55"/>
    <w:rsid w:val="00592925"/>
    <w:rsid w:val="00594C62"/>
    <w:rsid w:val="0059641B"/>
    <w:rsid w:val="005A190F"/>
    <w:rsid w:val="005A1943"/>
    <w:rsid w:val="005A3E93"/>
    <w:rsid w:val="005A5D84"/>
    <w:rsid w:val="005A639E"/>
    <w:rsid w:val="005A6DE8"/>
    <w:rsid w:val="005B322B"/>
    <w:rsid w:val="005B3A4D"/>
    <w:rsid w:val="005B46C8"/>
    <w:rsid w:val="005C11CC"/>
    <w:rsid w:val="005D28B6"/>
    <w:rsid w:val="005D55AA"/>
    <w:rsid w:val="005D567F"/>
    <w:rsid w:val="005D5A82"/>
    <w:rsid w:val="005E0EEA"/>
    <w:rsid w:val="005E400C"/>
    <w:rsid w:val="005E72E2"/>
    <w:rsid w:val="005F1240"/>
    <w:rsid w:val="005F6F9A"/>
    <w:rsid w:val="00613120"/>
    <w:rsid w:val="0061564D"/>
    <w:rsid w:val="006157F6"/>
    <w:rsid w:val="00615D48"/>
    <w:rsid w:val="006242CC"/>
    <w:rsid w:val="00624D85"/>
    <w:rsid w:val="0062618B"/>
    <w:rsid w:val="00635E36"/>
    <w:rsid w:val="00637322"/>
    <w:rsid w:val="0064296D"/>
    <w:rsid w:val="00642A99"/>
    <w:rsid w:val="00642E35"/>
    <w:rsid w:val="00645E0D"/>
    <w:rsid w:val="00646BB0"/>
    <w:rsid w:val="00647001"/>
    <w:rsid w:val="006536C9"/>
    <w:rsid w:val="00654486"/>
    <w:rsid w:val="006616A0"/>
    <w:rsid w:val="00664370"/>
    <w:rsid w:val="0066473D"/>
    <w:rsid w:val="006678A2"/>
    <w:rsid w:val="00673FD8"/>
    <w:rsid w:val="006821B7"/>
    <w:rsid w:val="00682509"/>
    <w:rsid w:val="00683E6B"/>
    <w:rsid w:val="00685CB9"/>
    <w:rsid w:val="00686A03"/>
    <w:rsid w:val="006A01CB"/>
    <w:rsid w:val="006A137D"/>
    <w:rsid w:val="006A66E4"/>
    <w:rsid w:val="006A7F17"/>
    <w:rsid w:val="006B0C42"/>
    <w:rsid w:val="006B0CB7"/>
    <w:rsid w:val="006B141C"/>
    <w:rsid w:val="006B3299"/>
    <w:rsid w:val="006B3919"/>
    <w:rsid w:val="006B4EF1"/>
    <w:rsid w:val="006B54B8"/>
    <w:rsid w:val="006C3B25"/>
    <w:rsid w:val="006C5CF2"/>
    <w:rsid w:val="006C6AF0"/>
    <w:rsid w:val="006C72CD"/>
    <w:rsid w:val="006D0167"/>
    <w:rsid w:val="006D1E18"/>
    <w:rsid w:val="006D210D"/>
    <w:rsid w:val="006D4761"/>
    <w:rsid w:val="006E08C7"/>
    <w:rsid w:val="006E150F"/>
    <w:rsid w:val="006E3C73"/>
    <w:rsid w:val="006E426E"/>
    <w:rsid w:val="006E5E03"/>
    <w:rsid w:val="006E6974"/>
    <w:rsid w:val="006E7275"/>
    <w:rsid w:val="006E739D"/>
    <w:rsid w:val="006F04EE"/>
    <w:rsid w:val="006F1F42"/>
    <w:rsid w:val="006F346D"/>
    <w:rsid w:val="006F584A"/>
    <w:rsid w:val="006F5F2D"/>
    <w:rsid w:val="00702457"/>
    <w:rsid w:val="00702B37"/>
    <w:rsid w:val="00707C19"/>
    <w:rsid w:val="007113E9"/>
    <w:rsid w:val="00711A28"/>
    <w:rsid w:val="00712002"/>
    <w:rsid w:val="007120C0"/>
    <w:rsid w:val="00713213"/>
    <w:rsid w:val="007205C7"/>
    <w:rsid w:val="00723FE1"/>
    <w:rsid w:val="0072428D"/>
    <w:rsid w:val="00724ECF"/>
    <w:rsid w:val="0073772D"/>
    <w:rsid w:val="007458BD"/>
    <w:rsid w:val="00745D61"/>
    <w:rsid w:val="00746B13"/>
    <w:rsid w:val="00746D32"/>
    <w:rsid w:val="0075010A"/>
    <w:rsid w:val="00750C4C"/>
    <w:rsid w:val="00751F20"/>
    <w:rsid w:val="00751F34"/>
    <w:rsid w:val="007529D4"/>
    <w:rsid w:val="00756C2A"/>
    <w:rsid w:val="007618A3"/>
    <w:rsid w:val="007618F1"/>
    <w:rsid w:val="00762CA1"/>
    <w:rsid w:val="0076629F"/>
    <w:rsid w:val="007673EB"/>
    <w:rsid w:val="00770A9A"/>
    <w:rsid w:val="00783743"/>
    <w:rsid w:val="00784CE2"/>
    <w:rsid w:val="00784DDE"/>
    <w:rsid w:val="00784EA6"/>
    <w:rsid w:val="0078571F"/>
    <w:rsid w:val="00793647"/>
    <w:rsid w:val="0079435A"/>
    <w:rsid w:val="00794C21"/>
    <w:rsid w:val="0079607A"/>
    <w:rsid w:val="00797A19"/>
    <w:rsid w:val="007A2133"/>
    <w:rsid w:val="007A3B4F"/>
    <w:rsid w:val="007A6539"/>
    <w:rsid w:val="007A6EA4"/>
    <w:rsid w:val="007A7BC4"/>
    <w:rsid w:val="007B18C7"/>
    <w:rsid w:val="007B2F48"/>
    <w:rsid w:val="007B3006"/>
    <w:rsid w:val="007C1D35"/>
    <w:rsid w:val="007C21B4"/>
    <w:rsid w:val="007C2A5E"/>
    <w:rsid w:val="007C627F"/>
    <w:rsid w:val="007C6854"/>
    <w:rsid w:val="007C7A4F"/>
    <w:rsid w:val="007D4607"/>
    <w:rsid w:val="007E029D"/>
    <w:rsid w:val="007E1F14"/>
    <w:rsid w:val="007E6217"/>
    <w:rsid w:val="007F492E"/>
    <w:rsid w:val="007F5E77"/>
    <w:rsid w:val="007F60A2"/>
    <w:rsid w:val="00801967"/>
    <w:rsid w:val="008024F2"/>
    <w:rsid w:val="00802E1E"/>
    <w:rsid w:val="00803B10"/>
    <w:rsid w:val="00803F4F"/>
    <w:rsid w:val="00806EE0"/>
    <w:rsid w:val="00807F6A"/>
    <w:rsid w:val="0081663A"/>
    <w:rsid w:val="008176E4"/>
    <w:rsid w:val="00820BCE"/>
    <w:rsid w:val="00822215"/>
    <w:rsid w:val="00824FFD"/>
    <w:rsid w:val="00833C59"/>
    <w:rsid w:val="00834B9E"/>
    <w:rsid w:val="0083571A"/>
    <w:rsid w:val="00836BE8"/>
    <w:rsid w:val="008429D2"/>
    <w:rsid w:val="00845FFE"/>
    <w:rsid w:val="008564D3"/>
    <w:rsid w:val="008573AF"/>
    <w:rsid w:val="0086152F"/>
    <w:rsid w:val="008636C5"/>
    <w:rsid w:val="00863E80"/>
    <w:rsid w:val="00866FFE"/>
    <w:rsid w:val="008760EB"/>
    <w:rsid w:val="008776EF"/>
    <w:rsid w:val="00877FAB"/>
    <w:rsid w:val="00881417"/>
    <w:rsid w:val="008819C0"/>
    <w:rsid w:val="00884043"/>
    <w:rsid w:val="00885042"/>
    <w:rsid w:val="0088739C"/>
    <w:rsid w:val="0089732D"/>
    <w:rsid w:val="008A0023"/>
    <w:rsid w:val="008A05EC"/>
    <w:rsid w:val="008A128D"/>
    <w:rsid w:val="008A1877"/>
    <w:rsid w:val="008A3D30"/>
    <w:rsid w:val="008A4305"/>
    <w:rsid w:val="008B3BA0"/>
    <w:rsid w:val="008C0CD5"/>
    <w:rsid w:val="008C1E99"/>
    <w:rsid w:val="008C58B9"/>
    <w:rsid w:val="008C6388"/>
    <w:rsid w:val="008C6C9D"/>
    <w:rsid w:val="008D2291"/>
    <w:rsid w:val="008D3242"/>
    <w:rsid w:val="008E2050"/>
    <w:rsid w:val="008E5FC2"/>
    <w:rsid w:val="008E63B6"/>
    <w:rsid w:val="008E6F62"/>
    <w:rsid w:val="008F2E2A"/>
    <w:rsid w:val="008F462F"/>
    <w:rsid w:val="008F6653"/>
    <w:rsid w:val="008F7FFA"/>
    <w:rsid w:val="00901818"/>
    <w:rsid w:val="00903950"/>
    <w:rsid w:val="009067A9"/>
    <w:rsid w:val="00907EC6"/>
    <w:rsid w:val="00911928"/>
    <w:rsid w:val="00912DA1"/>
    <w:rsid w:val="009146A9"/>
    <w:rsid w:val="0092250F"/>
    <w:rsid w:val="00926C89"/>
    <w:rsid w:val="009276FC"/>
    <w:rsid w:val="00931219"/>
    <w:rsid w:val="00933858"/>
    <w:rsid w:val="00934D96"/>
    <w:rsid w:val="009368A3"/>
    <w:rsid w:val="00940361"/>
    <w:rsid w:val="00940A19"/>
    <w:rsid w:val="00941F83"/>
    <w:rsid w:val="00942568"/>
    <w:rsid w:val="00943939"/>
    <w:rsid w:val="00943D6E"/>
    <w:rsid w:val="00951213"/>
    <w:rsid w:val="00952C7B"/>
    <w:rsid w:val="00953195"/>
    <w:rsid w:val="00953316"/>
    <w:rsid w:val="009541E2"/>
    <w:rsid w:val="009575B2"/>
    <w:rsid w:val="0096046B"/>
    <w:rsid w:val="00964665"/>
    <w:rsid w:val="00964F0B"/>
    <w:rsid w:val="00967AB2"/>
    <w:rsid w:val="00967E01"/>
    <w:rsid w:val="009715C5"/>
    <w:rsid w:val="00973019"/>
    <w:rsid w:val="009857DB"/>
    <w:rsid w:val="00992F00"/>
    <w:rsid w:val="00993253"/>
    <w:rsid w:val="00996998"/>
    <w:rsid w:val="009975FA"/>
    <w:rsid w:val="009A3EBC"/>
    <w:rsid w:val="009A5ECB"/>
    <w:rsid w:val="009A7AFB"/>
    <w:rsid w:val="009B05CF"/>
    <w:rsid w:val="009B071B"/>
    <w:rsid w:val="009B5C40"/>
    <w:rsid w:val="009C3510"/>
    <w:rsid w:val="009D4A2F"/>
    <w:rsid w:val="009D4C3B"/>
    <w:rsid w:val="009D6BA4"/>
    <w:rsid w:val="009D79DB"/>
    <w:rsid w:val="009E2FCE"/>
    <w:rsid w:val="009F0C18"/>
    <w:rsid w:val="009F2796"/>
    <w:rsid w:val="009F373C"/>
    <w:rsid w:val="009F3AAF"/>
    <w:rsid w:val="00A0459D"/>
    <w:rsid w:val="00A04BE2"/>
    <w:rsid w:val="00A07141"/>
    <w:rsid w:val="00A10ADE"/>
    <w:rsid w:val="00A11327"/>
    <w:rsid w:val="00A12AD4"/>
    <w:rsid w:val="00A14186"/>
    <w:rsid w:val="00A146D2"/>
    <w:rsid w:val="00A1604E"/>
    <w:rsid w:val="00A1665B"/>
    <w:rsid w:val="00A202F9"/>
    <w:rsid w:val="00A2059C"/>
    <w:rsid w:val="00A224D7"/>
    <w:rsid w:val="00A34E1D"/>
    <w:rsid w:val="00A42674"/>
    <w:rsid w:val="00A44876"/>
    <w:rsid w:val="00A5090F"/>
    <w:rsid w:val="00A50C8D"/>
    <w:rsid w:val="00A51985"/>
    <w:rsid w:val="00A56C31"/>
    <w:rsid w:val="00A57B1A"/>
    <w:rsid w:val="00A60D99"/>
    <w:rsid w:val="00A61708"/>
    <w:rsid w:val="00A66250"/>
    <w:rsid w:val="00A66F4D"/>
    <w:rsid w:val="00A71278"/>
    <w:rsid w:val="00A71458"/>
    <w:rsid w:val="00A71F6B"/>
    <w:rsid w:val="00A73E92"/>
    <w:rsid w:val="00A85B30"/>
    <w:rsid w:val="00A865F4"/>
    <w:rsid w:val="00A86AA9"/>
    <w:rsid w:val="00AA3AC1"/>
    <w:rsid w:val="00AA6D6B"/>
    <w:rsid w:val="00AB124E"/>
    <w:rsid w:val="00AB4C1A"/>
    <w:rsid w:val="00AB65C3"/>
    <w:rsid w:val="00AC23F5"/>
    <w:rsid w:val="00AC2EA7"/>
    <w:rsid w:val="00AC6C3B"/>
    <w:rsid w:val="00AD1A9C"/>
    <w:rsid w:val="00AD23CE"/>
    <w:rsid w:val="00AD436E"/>
    <w:rsid w:val="00AD78E5"/>
    <w:rsid w:val="00AF0F34"/>
    <w:rsid w:val="00AF0FDC"/>
    <w:rsid w:val="00AF322C"/>
    <w:rsid w:val="00AF395E"/>
    <w:rsid w:val="00AF4751"/>
    <w:rsid w:val="00B007B6"/>
    <w:rsid w:val="00B06A10"/>
    <w:rsid w:val="00B242DE"/>
    <w:rsid w:val="00B2642F"/>
    <w:rsid w:val="00B30336"/>
    <w:rsid w:val="00B306C3"/>
    <w:rsid w:val="00B33972"/>
    <w:rsid w:val="00B424B3"/>
    <w:rsid w:val="00B4560E"/>
    <w:rsid w:val="00B463C7"/>
    <w:rsid w:val="00B502EE"/>
    <w:rsid w:val="00B5100A"/>
    <w:rsid w:val="00B510E4"/>
    <w:rsid w:val="00B51D45"/>
    <w:rsid w:val="00B54286"/>
    <w:rsid w:val="00B601EE"/>
    <w:rsid w:val="00B6211A"/>
    <w:rsid w:val="00B66362"/>
    <w:rsid w:val="00B67624"/>
    <w:rsid w:val="00B71C06"/>
    <w:rsid w:val="00B758F8"/>
    <w:rsid w:val="00B8070C"/>
    <w:rsid w:val="00B83035"/>
    <w:rsid w:val="00B849BE"/>
    <w:rsid w:val="00B87BC7"/>
    <w:rsid w:val="00B93FA0"/>
    <w:rsid w:val="00B94522"/>
    <w:rsid w:val="00B94A2B"/>
    <w:rsid w:val="00B966F9"/>
    <w:rsid w:val="00BA098C"/>
    <w:rsid w:val="00BA1745"/>
    <w:rsid w:val="00BB1320"/>
    <w:rsid w:val="00BB7257"/>
    <w:rsid w:val="00BC05EF"/>
    <w:rsid w:val="00BC05FD"/>
    <w:rsid w:val="00BC3C0C"/>
    <w:rsid w:val="00BC4984"/>
    <w:rsid w:val="00BC5D35"/>
    <w:rsid w:val="00BD2FF1"/>
    <w:rsid w:val="00BD4B87"/>
    <w:rsid w:val="00BD6DBE"/>
    <w:rsid w:val="00BE298D"/>
    <w:rsid w:val="00BF1D09"/>
    <w:rsid w:val="00BF27A1"/>
    <w:rsid w:val="00BF395F"/>
    <w:rsid w:val="00BF4C04"/>
    <w:rsid w:val="00C120A7"/>
    <w:rsid w:val="00C12716"/>
    <w:rsid w:val="00C144EB"/>
    <w:rsid w:val="00C15C02"/>
    <w:rsid w:val="00C16136"/>
    <w:rsid w:val="00C219A6"/>
    <w:rsid w:val="00C266D6"/>
    <w:rsid w:val="00C32D34"/>
    <w:rsid w:val="00C34A10"/>
    <w:rsid w:val="00C36376"/>
    <w:rsid w:val="00C414C7"/>
    <w:rsid w:val="00C4355A"/>
    <w:rsid w:val="00C50B87"/>
    <w:rsid w:val="00C521E5"/>
    <w:rsid w:val="00C5483E"/>
    <w:rsid w:val="00C56A0B"/>
    <w:rsid w:val="00C577AB"/>
    <w:rsid w:val="00C63667"/>
    <w:rsid w:val="00C636EB"/>
    <w:rsid w:val="00C63FAF"/>
    <w:rsid w:val="00C6479D"/>
    <w:rsid w:val="00C64FD7"/>
    <w:rsid w:val="00C66CCA"/>
    <w:rsid w:val="00C72F75"/>
    <w:rsid w:val="00C7383E"/>
    <w:rsid w:val="00C73912"/>
    <w:rsid w:val="00C73D1F"/>
    <w:rsid w:val="00C7676E"/>
    <w:rsid w:val="00C816EE"/>
    <w:rsid w:val="00C8708A"/>
    <w:rsid w:val="00C9271E"/>
    <w:rsid w:val="00C92D8A"/>
    <w:rsid w:val="00C95CB9"/>
    <w:rsid w:val="00C9728C"/>
    <w:rsid w:val="00CA0283"/>
    <w:rsid w:val="00CA414E"/>
    <w:rsid w:val="00CA7408"/>
    <w:rsid w:val="00CA7CDE"/>
    <w:rsid w:val="00CB2DDF"/>
    <w:rsid w:val="00CB4257"/>
    <w:rsid w:val="00CB522C"/>
    <w:rsid w:val="00CC0B12"/>
    <w:rsid w:val="00CC2CB8"/>
    <w:rsid w:val="00CC472C"/>
    <w:rsid w:val="00CC552F"/>
    <w:rsid w:val="00CD48F3"/>
    <w:rsid w:val="00CD4EF5"/>
    <w:rsid w:val="00CD7F05"/>
    <w:rsid w:val="00CE0A0A"/>
    <w:rsid w:val="00CE43A1"/>
    <w:rsid w:val="00CE4BB8"/>
    <w:rsid w:val="00CE63EC"/>
    <w:rsid w:val="00CF1CC5"/>
    <w:rsid w:val="00CF33D8"/>
    <w:rsid w:val="00CF442A"/>
    <w:rsid w:val="00D0710F"/>
    <w:rsid w:val="00D10561"/>
    <w:rsid w:val="00D109BD"/>
    <w:rsid w:val="00D11EBE"/>
    <w:rsid w:val="00D12FEB"/>
    <w:rsid w:val="00D14419"/>
    <w:rsid w:val="00D205C0"/>
    <w:rsid w:val="00D20A55"/>
    <w:rsid w:val="00D20CAE"/>
    <w:rsid w:val="00D22139"/>
    <w:rsid w:val="00D221CA"/>
    <w:rsid w:val="00D229D3"/>
    <w:rsid w:val="00D30727"/>
    <w:rsid w:val="00D32A0B"/>
    <w:rsid w:val="00D3300B"/>
    <w:rsid w:val="00D341CC"/>
    <w:rsid w:val="00D4275A"/>
    <w:rsid w:val="00D432DB"/>
    <w:rsid w:val="00D43C14"/>
    <w:rsid w:val="00D46B23"/>
    <w:rsid w:val="00D505B3"/>
    <w:rsid w:val="00D546CA"/>
    <w:rsid w:val="00D54BB3"/>
    <w:rsid w:val="00D60542"/>
    <w:rsid w:val="00D61EB3"/>
    <w:rsid w:val="00D643CE"/>
    <w:rsid w:val="00D64A5E"/>
    <w:rsid w:val="00D666B2"/>
    <w:rsid w:val="00D70740"/>
    <w:rsid w:val="00D71671"/>
    <w:rsid w:val="00D7459C"/>
    <w:rsid w:val="00D82EE9"/>
    <w:rsid w:val="00D832B8"/>
    <w:rsid w:val="00D9087F"/>
    <w:rsid w:val="00D91A3A"/>
    <w:rsid w:val="00D91C19"/>
    <w:rsid w:val="00D93BE2"/>
    <w:rsid w:val="00D94AAB"/>
    <w:rsid w:val="00D95500"/>
    <w:rsid w:val="00D95E00"/>
    <w:rsid w:val="00D96852"/>
    <w:rsid w:val="00DA1D06"/>
    <w:rsid w:val="00DA2F27"/>
    <w:rsid w:val="00DA5CB7"/>
    <w:rsid w:val="00DA63EE"/>
    <w:rsid w:val="00DB1A51"/>
    <w:rsid w:val="00DB22E5"/>
    <w:rsid w:val="00DB3452"/>
    <w:rsid w:val="00DB4F19"/>
    <w:rsid w:val="00DC11A7"/>
    <w:rsid w:val="00DC7B5E"/>
    <w:rsid w:val="00DD2F74"/>
    <w:rsid w:val="00DD3C6B"/>
    <w:rsid w:val="00DD541C"/>
    <w:rsid w:val="00DD5457"/>
    <w:rsid w:val="00DD5532"/>
    <w:rsid w:val="00DD7E26"/>
    <w:rsid w:val="00DE0397"/>
    <w:rsid w:val="00DE069E"/>
    <w:rsid w:val="00DE289D"/>
    <w:rsid w:val="00DE311B"/>
    <w:rsid w:val="00DE47EF"/>
    <w:rsid w:val="00DF09B1"/>
    <w:rsid w:val="00DF1468"/>
    <w:rsid w:val="00DF3DA0"/>
    <w:rsid w:val="00DF441D"/>
    <w:rsid w:val="00DF67EF"/>
    <w:rsid w:val="00E00819"/>
    <w:rsid w:val="00E06805"/>
    <w:rsid w:val="00E07911"/>
    <w:rsid w:val="00E11463"/>
    <w:rsid w:val="00E13C06"/>
    <w:rsid w:val="00E14134"/>
    <w:rsid w:val="00E14199"/>
    <w:rsid w:val="00E16653"/>
    <w:rsid w:val="00E16735"/>
    <w:rsid w:val="00E17A2B"/>
    <w:rsid w:val="00E17B19"/>
    <w:rsid w:val="00E17CD3"/>
    <w:rsid w:val="00E2152D"/>
    <w:rsid w:val="00E2195C"/>
    <w:rsid w:val="00E221DC"/>
    <w:rsid w:val="00E231E0"/>
    <w:rsid w:val="00E3343E"/>
    <w:rsid w:val="00E341BC"/>
    <w:rsid w:val="00E35A68"/>
    <w:rsid w:val="00E40513"/>
    <w:rsid w:val="00E41D3E"/>
    <w:rsid w:val="00E4293D"/>
    <w:rsid w:val="00E42A1C"/>
    <w:rsid w:val="00E46170"/>
    <w:rsid w:val="00E4735A"/>
    <w:rsid w:val="00E55757"/>
    <w:rsid w:val="00E568F8"/>
    <w:rsid w:val="00E57171"/>
    <w:rsid w:val="00E57AC3"/>
    <w:rsid w:val="00E61823"/>
    <w:rsid w:val="00E635C3"/>
    <w:rsid w:val="00E64257"/>
    <w:rsid w:val="00E66CF8"/>
    <w:rsid w:val="00E710C0"/>
    <w:rsid w:val="00E72280"/>
    <w:rsid w:val="00E73EFB"/>
    <w:rsid w:val="00E74EFB"/>
    <w:rsid w:val="00E76B6D"/>
    <w:rsid w:val="00E7703D"/>
    <w:rsid w:val="00EA0EFC"/>
    <w:rsid w:val="00EA12DD"/>
    <w:rsid w:val="00EA22FC"/>
    <w:rsid w:val="00EA50CB"/>
    <w:rsid w:val="00EB4BB1"/>
    <w:rsid w:val="00EC31B9"/>
    <w:rsid w:val="00EC35DC"/>
    <w:rsid w:val="00EC3B5A"/>
    <w:rsid w:val="00EC489F"/>
    <w:rsid w:val="00EC5E22"/>
    <w:rsid w:val="00EC6B35"/>
    <w:rsid w:val="00ED641F"/>
    <w:rsid w:val="00ED6AE1"/>
    <w:rsid w:val="00ED6E34"/>
    <w:rsid w:val="00EE346E"/>
    <w:rsid w:val="00EE3A1F"/>
    <w:rsid w:val="00EE41D7"/>
    <w:rsid w:val="00EE5B6A"/>
    <w:rsid w:val="00EE74FC"/>
    <w:rsid w:val="00EF053A"/>
    <w:rsid w:val="00EF2DB3"/>
    <w:rsid w:val="00EF597E"/>
    <w:rsid w:val="00EF6772"/>
    <w:rsid w:val="00F00508"/>
    <w:rsid w:val="00F05BD5"/>
    <w:rsid w:val="00F060BD"/>
    <w:rsid w:val="00F07B8E"/>
    <w:rsid w:val="00F13357"/>
    <w:rsid w:val="00F173ED"/>
    <w:rsid w:val="00F23329"/>
    <w:rsid w:val="00F24C11"/>
    <w:rsid w:val="00F30F9C"/>
    <w:rsid w:val="00F320A7"/>
    <w:rsid w:val="00F358C6"/>
    <w:rsid w:val="00F37CB0"/>
    <w:rsid w:val="00F40AD7"/>
    <w:rsid w:val="00F41ED5"/>
    <w:rsid w:val="00F443B8"/>
    <w:rsid w:val="00F46516"/>
    <w:rsid w:val="00F466EE"/>
    <w:rsid w:val="00F508D0"/>
    <w:rsid w:val="00F533B6"/>
    <w:rsid w:val="00F56385"/>
    <w:rsid w:val="00F564AC"/>
    <w:rsid w:val="00F611DE"/>
    <w:rsid w:val="00F617F6"/>
    <w:rsid w:val="00F76D5A"/>
    <w:rsid w:val="00F77839"/>
    <w:rsid w:val="00F812E6"/>
    <w:rsid w:val="00F81EAA"/>
    <w:rsid w:val="00F82FF6"/>
    <w:rsid w:val="00F83353"/>
    <w:rsid w:val="00F84328"/>
    <w:rsid w:val="00F854DD"/>
    <w:rsid w:val="00F93663"/>
    <w:rsid w:val="00F9509C"/>
    <w:rsid w:val="00F95B5E"/>
    <w:rsid w:val="00F96EA1"/>
    <w:rsid w:val="00F96FE5"/>
    <w:rsid w:val="00FA01D5"/>
    <w:rsid w:val="00FA1110"/>
    <w:rsid w:val="00FA2E74"/>
    <w:rsid w:val="00FA461B"/>
    <w:rsid w:val="00FB6436"/>
    <w:rsid w:val="00FB670E"/>
    <w:rsid w:val="00FC13BB"/>
    <w:rsid w:val="00FC516D"/>
    <w:rsid w:val="00FC6D0F"/>
    <w:rsid w:val="00FD1B2D"/>
    <w:rsid w:val="00FD1BB2"/>
    <w:rsid w:val="00FE0D27"/>
    <w:rsid w:val="00FE3AC6"/>
    <w:rsid w:val="00FF1844"/>
    <w:rsid w:val="00FF20E9"/>
    <w:rsid w:val="00FF2467"/>
    <w:rsid w:val="00FF381A"/>
    <w:rsid w:val="00FF76E3"/>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4F8"/>
  <w15:chartTrackingRefBased/>
  <w15:docId w15:val="{91045828-41F6-4034-ABF8-F33B847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B9"/>
    <w:rPr>
      <w:lang w:val="en-ZA"/>
    </w:rPr>
  </w:style>
  <w:style w:type="paragraph" w:styleId="Heading1">
    <w:name w:val="heading 1"/>
    <w:basedOn w:val="Normal"/>
    <w:next w:val="Normal"/>
    <w:link w:val="Heading1Char"/>
    <w:uiPriority w:val="9"/>
    <w:qFormat/>
    <w:rsid w:val="006C3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249E"/>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6C3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42"/>
    <w:pPr>
      <w:ind w:left="720"/>
      <w:contextualSpacing/>
    </w:pPr>
  </w:style>
  <w:style w:type="paragraph" w:styleId="FootnoteText">
    <w:name w:val="footnote text"/>
    <w:basedOn w:val="Normal"/>
    <w:link w:val="FootnoteTextChar"/>
    <w:uiPriority w:val="99"/>
    <w:semiHidden/>
    <w:unhideWhenUsed/>
    <w:rsid w:val="00934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D96"/>
    <w:rPr>
      <w:sz w:val="20"/>
      <w:szCs w:val="20"/>
      <w:lang w:val="en-ZA"/>
    </w:rPr>
  </w:style>
  <w:style w:type="character" w:styleId="FootnoteReference">
    <w:name w:val="footnote reference"/>
    <w:basedOn w:val="DefaultParagraphFont"/>
    <w:uiPriority w:val="99"/>
    <w:semiHidden/>
    <w:unhideWhenUsed/>
    <w:rsid w:val="00934D96"/>
    <w:rPr>
      <w:vertAlign w:val="superscript"/>
    </w:rPr>
  </w:style>
  <w:style w:type="paragraph" w:styleId="EndnoteText">
    <w:name w:val="endnote text"/>
    <w:basedOn w:val="Normal"/>
    <w:link w:val="EndnoteTextChar"/>
    <w:uiPriority w:val="99"/>
    <w:semiHidden/>
    <w:unhideWhenUsed/>
    <w:rsid w:val="00934D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D96"/>
    <w:rPr>
      <w:sz w:val="20"/>
      <w:szCs w:val="20"/>
      <w:lang w:val="en-ZA"/>
    </w:rPr>
  </w:style>
  <w:style w:type="character" w:styleId="EndnoteReference">
    <w:name w:val="endnote reference"/>
    <w:basedOn w:val="DefaultParagraphFont"/>
    <w:uiPriority w:val="99"/>
    <w:semiHidden/>
    <w:unhideWhenUsed/>
    <w:rsid w:val="00934D96"/>
    <w:rPr>
      <w:vertAlign w:val="superscript"/>
    </w:rPr>
  </w:style>
  <w:style w:type="paragraph" w:styleId="BodyText">
    <w:name w:val="Body Text"/>
    <w:basedOn w:val="Normal"/>
    <w:link w:val="BodyTextChar"/>
    <w:uiPriority w:val="1"/>
    <w:qFormat/>
    <w:rsid w:val="007B3006"/>
    <w:pPr>
      <w:widowControl w:val="0"/>
      <w:autoSpaceDE w:val="0"/>
      <w:autoSpaceDN w:val="0"/>
      <w:adjustRightInd w:val="0"/>
      <w:spacing w:after="0" w:line="240" w:lineRule="auto"/>
    </w:pPr>
    <w:rPr>
      <w:rFonts w:ascii="Arial" w:eastAsiaTheme="minorEastAsia" w:hAnsi="Arial" w:cs="Arial"/>
      <w:kern w:val="0"/>
      <w:sz w:val="24"/>
      <w:szCs w:val="24"/>
      <w:lang w:eastAsia="en-ZA"/>
      <w14:ligatures w14:val="none"/>
    </w:rPr>
  </w:style>
  <w:style w:type="character" w:customStyle="1" w:styleId="BodyTextChar">
    <w:name w:val="Body Text Char"/>
    <w:basedOn w:val="DefaultParagraphFont"/>
    <w:link w:val="BodyText"/>
    <w:uiPriority w:val="1"/>
    <w:rsid w:val="007B3006"/>
    <w:rPr>
      <w:rFonts w:ascii="Arial" w:eastAsiaTheme="minorEastAsia" w:hAnsi="Arial" w:cs="Arial"/>
      <w:kern w:val="0"/>
      <w:sz w:val="24"/>
      <w:szCs w:val="24"/>
      <w:lang w:val="en-ZA" w:eastAsia="en-ZA"/>
      <w14:ligatures w14:val="none"/>
    </w:rPr>
  </w:style>
  <w:style w:type="character" w:customStyle="1" w:styleId="apple-converted-space">
    <w:name w:val="apple-converted-space"/>
    <w:basedOn w:val="DefaultParagraphFont"/>
    <w:rsid w:val="0040249E"/>
  </w:style>
  <w:style w:type="character" w:customStyle="1" w:styleId="mc">
    <w:name w:val="mc"/>
    <w:basedOn w:val="DefaultParagraphFont"/>
    <w:rsid w:val="0040249E"/>
  </w:style>
  <w:style w:type="character" w:customStyle="1" w:styleId="Heading2Char">
    <w:name w:val="Heading 2 Char"/>
    <w:basedOn w:val="DefaultParagraphFont"/>
    <w:link w:val="Heading2"/>
    <w:uiPriority w:val="9"/>
    <w:rsid w:val="0040249E"/>
    <w:rPr>
      <w:rFonts w:ascii="Times New Roman" w:eastAsia="Times New Roman" w:hAnsi="Times New Roman" w:cs="Times New Roman"/>
      <w:b/>
      <w:bCs/>
      <w:kern w:val="0"/>
      <w:sz w:val="36"/>
      <w:szCs w:val="36"/>
      <w14:ligatures w14:val="none"/>
    </w:rPr>
  </w:style>
  <w:style w:type="character" w:customStyle="1" w:styleId="result-title">
    <w:name w:val="result-title"/>
    <w:basedOn w:val="DefaultParagraphFont"/>
    <w:rsid w:val="0040249E"/>
  </w:style>
  <w:style w:type="paragraph" w:styleId="NormalWeb">
    <w:name w:val="Normal (Web)"/>
    <w:basedOn w:val="Normal"/>
    <w:uiPriority w:val="99"/>
    <w:unhideWhenUsed/>
    <w:rsid w:val="0054647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54647F"/>
    <w:rPr>
      <w:color w:val="0000FF"/>
      <w:u w:val="single"/>
    </w:rPr>
  </w:style>
  <w:style w:type="paragraph" w:customStyle="1" w:styleId="lrpara">
    <w:name w:val="lrpara"/>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footnoteanchor">
    <w:name w:val="footnoteanchor"/>
    <w:basedOn w:val="DefaultParagraphFont"/>
    <w:rsid w:val="007A6EA4"/>
  </w:style>
  <w:style w:type="paragraph" w:customStyle="1" w:styleId="pageno">
    <w:name w:val="pageno"/>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lrjudgecont">
    <w:name w:val="lrjudgecont"/>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Heading1Char">
    <w:name w:val="Heading 1 Char"/>
    <w:basedOn w:val="DefaultParagraphFont"/>
    <w:link w:val="Heading1"/>
    <w:rsid w:val="006C3B25"/>
    <w:rPr>
      <w:rFonts w:asciiTheme="majorHAnsi" w:eastAsiaTheme="majorEastAsia" w:hAnsiTheme="majorHAnsi" w:cstheme="majorBidi"/>
      <w:color w:val="2F5496" w:themeColor="accent1" w:themeShade="BF"/>
      <w:sz w:val="32"/>
      <w:szCs w:val="32"/>
      <w:lang w:val="en-ZA"/>
    </w:rPr>
  </w:style>
  <w:style w:type="character" w:customStyle="1" w:styleId="Heading3Char">
    <w:name w:val="Heading 3 Char"/>
    <w:basedOn w:val="DefaultParagraphFont"/>
    <w:link w:val="Heading3"/>
    <w:uiPriority w:val="9"/>
    <w:semiHidden/>
    <w:rsid w:val="006C3B25"/>
    <w:rPr>
      <w:rFonts w:asciiTheme="majorHAnsi" w:eastAsiaTheme="majorEastAsia" w:hAnsiTheme="majorHAnsi" w:cstheme="majorBidi"/>
      <w:color w:val="1F3763" w:themeColor="accent1" w:themeShade="7F"/>
      <w:sz w:val="24"/>
      <w:szCs w:val="24"/>
      <w:lang w:val="en-ZA"/>
    </w:rPr>
  </w:style>
  <w:style w:type="paragraph" w:customStyle="1" w:styleId="lrquote">
    <w:name w:val="lrquote"/>
    <w:basedOn w:val="Normal"/>
    <w:rsid w:val="00114329"/>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UnresolvedMention">
    <w:name w:val="Unresolved Mention"/>
    <w:basedOn w:val="DefaultParagraphFont"/>
    <w:uiPriority w:val="99"/>
    <w:semiHidden/>
    <w:unhideWhenUsed/>
    <w:rsid w:val="000B74AF"/>
    <w:rPr>
      <w:color w:val="605E5C"/>
      <w:shd w:val="clear" w:color="auto" w:fill="E1DFDD"/>
    </w:rPr>
  </w:style>
  <w:style w:type="paragraph" w:styleId="NoSpacing">
    <w:name w:val="No Spacing"/>
    <w:uiPriority w:val="1"/>
    <w:qFormat/>
    <w:rsid w:val="00375D83"/>
    <w:pPr>
      <w:widowControl w:val="0"/>
      <w:autoSpaceDE w:val="0"/>
      <w:autoSpaceDN w:val="0"/>
      <w:spacing w:after="0" w:line="240" w:lineRule="auto"/>
    </w:pPr>
    <w:rPr>
      <w:rFonts w:ascii="Univers" w:eastAsia="Times New Roman" w:hAnsi="Univers" w:cs="Times New Roman"/>
      <w:kern w:val="0"/>
      <w:sz w:val="24"/>
      <w:szCs w:val="24"/>
      <w14:ligatures w14:val="none"/>
    </w:rPr>
  </w:style>
  <w:style w:type="paragraph" w:customStyle="1" w:styleId="Parties">
    <w:name w:val="Parties"/>
    <w:basedOn w:val="Normal"/>
    <w:rsid w:val="00683E6B"/>
    <w:pPr>
      <w:tabs>
        <w:tab w:val="right" w:pos="8732"/>
      </w:tabs>
      <w:suppressAutoHyphens/>
      <w:spacing w:after="0" w:line="240" w:lineRule="auto"/>
      <w:jc w:val="both"/>
    </w:pPr>
    <w:rPr>
      <w:rFonts w:ascii="Arial" w:eastAsia="Times New Roman" w:hAnsi="Arial" w:cs="Times New Roman"/>
      <w:kern w:val="0"/>
      <w:sz w:val="24"/>
      <w:szCs w:val="20"/>
      <w:lang w:val="en-GB"/>
      <w14:ligatures w14:val="none"/>
    </w:rPr>
  </w:style>
  <w:style w:type="paragraph" w:customStyle="1" w:styleId="TramLines">
    <w:name w:val="TramLines"/>
    <w:basedOn w:val="Normal"/>
    <w:next w:val="Normal"/>
    <w:qFormat/>
    <w:rsid w:val="00683E6B"/>
    <w:pPr>
      <w:pBdr>
        <w:top w:val="single" w:sz="8" w:space="12" w:color="auto"/>
        <w:bottom w:val="single" w:sz="8" w:space="12" w:color="auto"/>
      </w:pBdr>
      <w:suppressAutoHyphens/>
      <w:spacing w:after="320" w:line="240" w:lineRule="auto"/>
      <w:jc w:val="center"/>
    </w:pPr>
    <w:rPr>
      <w:rFonts w:ascii="Arial" w:eastAsia="Times New Roman" w:hAnsi="Arial" w:cs="Times New Roman"/>
      <w:b/>
      <w:kern w:val="0"/>
      <w:sz w:val="24"/>
      <w:szCs w:val="20"/>
      <w:lang w:val="en-GB"/>
      <w14:ligatures w14:val="none"/>
    </w:rPr>
  </w:style>
  <w:style w:type="paragraph" w:styleId="Header">
    <w:name w:val="header"/>
    <w:basedOn w:val="Normal"/>
    <w:link w:val="HeaderChar"/>
    <w:uiPriority w:val="99"/>
    <w:unhideWhenUsed/>
    <w:rsid w:val="00CC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2C"/>
    <w:rPr>
      <w:lang w:val="en-ZA"/>
    </w:rPr>
  </w:style>
  <w:style w:type="character" w:styleId="PageNumber">
    <w:name w:val="page number"/>
    <w:basedOn w:val="DefaultParagraphFont"/>
    <w:uiPriority w:val="99"/>
    <w:semiHidden/>
    <w:unhideWhenUsed/>
    <w:rsid w:val="00CC472C"/>
  </w:style>
  <w:style w:type="paragraph" w:styleId="Footer">
    <w:name w:val="footer"/>
    <w:basedOn w:val="Normal"/>
    <w:link w:val="FooterChar"/>
    <w:uiPriority w:val="99"/>
    <w:unhideWhenUsed/>
    <w:rsid w:val="00CC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2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5944">
      <w:bodyDiv w:val="1"/>
      <w:marLeft w:val="0"/>
      <w:marRight w:val="0"/>
      <w:marTop w:val="0"/>
      <w:marBottom w:val="0"/>
      <w:divBdr>
        <w:top w:val="none" w:sz="0" w:space="0" w:color="auto"/>
        <w:left w:val="none" w:sz="0" w:space="0" w:color="auto"/>
        <w:bottom w:val="none" w:sz="0" w:space="0" w:color="auto"/>
        <w:right w:val="none" w:sz="0" w:space="0" w:color="auto"/>
      </w:divBdr>
    </w:div>
    <w:div w:id="427120351">
      <w:bodyDiv w:val="1"/>
      <w:marLeft w:val="0"/>
      <w:marRight w:val="0"/>
      <w:marTop w:val="0"/>
      <w:marBottom w:val="0"/>
      <w:divBdr>
        <w:top w:val="none" w:sz="0" w:space="0" w:color="auto"/>
        <w:left w:val="none" w:sz="0" w:space="0" w:color="auto"/>
        <w:bottom w:val="none" w:sz="0" w:space="0" w:color="auto"/>
        <w:right w:val="none" w:sz="0" w:space="0" w:color="auto"/>
      </w:divBdr>
    </w:div>
    <w:div w:id="457452169">
      <w:bodyDiv w:val="1"/>
      <w:marLeft w:val="0"/>
      <w:marRight w:val="0"/>
      <w:marTop w:val="0"/>
      <w:marBottom w:val="0"/>
      <w:divBdr>
        <w:top w:val="none" w:sz="0" w:space="0" w:color="auto"/>
        <w:left w:val="none" w:sz="0" w:space="0" w:color="auto"/>
        <w:bottom w:val="none" w:sz="0" w:space="0" w:color="auto"/>
        <w:right w:val="none" w:sz="0" w:space="0" w:color="auto"/>
      </w:divBdr>
    </w:div>
    <w:div w:id="513155539">
      <w:bodyDiv w:val="1"/>
      <w:marLeft w:val="0"/>
      <w:marRight w:val="0"/>
      <w:marTop w:val="0"/>
      <w:marBottom w:val="0"/>
      <w:divBdr>
        <w:top w:val="none" w:sz="0" w:space="0" w:color="auto"/>
        <w:left w:val="none" w:sz="0" w:space="0" w:color="auto"/>
        <w:bottom w:val="none" w:sz="0" w:space="0" w:color="auto"/>
        <w:right w:val="none" w:sz="0" w:space="0" w:color="auto"/>
      </w:divBdr>
    </w:div>
    <w:div w:id="734398231">
      <w:bodyDiv w:val="1"/>
      <w:marLeft w:val="0"/>
      <w:marRight w:val="0"/>
      <w:marTop w:val="0"/>
      <w:marBottom w:val="0"/>
      <w:divBdr>
        <w:top w:val="none" w:sz="0" w:space="0" w:color="auto"/>
        <w:left w:val="none" w:sz="0" w:space="0" w:color="auto"/>
        <w:bottom w:val="none" w:sz="0" w:space="0" w:color="auto"/>
        <w:right w:val="none" w:sz="0" w:space="0" w:color="auto"/>
      </w:divBdr>
    </w:div>
    <w:div w:id="945844560">
      <w:bodyDiv w:val="1"/>
      <w:marLeft w:val="0"/>
      <w:marRight w:val="0"/>
      <w:marTop w:val="0"/>
      <w:marBottom w:val="0"/>
      <w:divBdr>
        <w:top w:val="none" w:sz="0" w:space="0" w:color="auto"/>
        <w:left w:val="none" w:sz="0" w:space="0" w:color="auto"/>
        <w:bottom w:val="none" w:sz="0" w:space="0" w:color="auto"/>
        <w:right w:val="none" w:sz="0" w:space="0" w:color="auto"/>
      </w:divBdr>
    </w:div>
    <w:div w:id="1126041161">
      <w:bodyDiv w:val="1"/>
      <w:marLeft w:val="0"/>
      <w:marRight w:val="0"/>
      <w:marTop w:val="0"/>
      <w:marBottom w:val="0"/>
      <w:divBdr>
        <w:top w:val="none" w:sz="0" w:space="0" w:color="auto"/>
        <w:left w:val="none" w:sz="0" w:space="0" w:color="auto"/>
        <w:bottom w:val="none" w:sz="0" w:space="0" w:color="auto"/>
        <w:right w:val="none" w:sz="0" w:space="0" w:color="auto"/>
      </w:divBdr>
    </w:div>
    <w:div w:id="1252470149">
      <w:bodyDiv w:val="1"/>
      <w:marLeft w:val="0"/>
      <w:marRight w:val="0"/>
      <w:marTop w:val="0"/>
      <w:marBottom w:val="0"/>
      <w:divBdr>
        <w:top w:val="none" w:sz="0" w:space="0" w:color="auto"/>
        <w:left w:val="none" w:sz="0" w:space="0" w:color="auto"/>
        <w:bottom w:val="none" w:sz="0" w:space="0" w:color="auto"/>
        <w:right w:val="none" w:sz="0" w:space="0" w:color="auto"/>
      </w:divBdr>
      <w:divsChild>
        <w:div w:id="368802263">
          <w:marLeft w:val="675"/>
          <w:marRight w:val="0"/>
          <w:marTop w:val="0"/>
          <w:marBottom w:val="0"/>
          <w:divBdr>
            <w:top w:val="none" w:sz="0" w:space="0" w:color="auto"/>
            <w:left w:val="none" w:sz="0" w:space="0" w:color="auto"/>
            <w:bottom w:val="none" w:sz="0" w:space="0" w:color="auto"/>
            <w:right w:val="none" w:sz="0" w:space="0" w:color="auto"/>
          </w:divBdr>
        </w:div>
        <w:div w:id="1787044047">
          <w:marLeft w:val="675"/>
          <w:marRight w:val="0"/>
          <w:marTop w:val="0"/>
          <w:marBottom w:val="0"/>
          <w:divBdr>
            <w:top w:val="none" w:sz="0" w:space="0" w:color="auto"/>
            <w:left w:val="none" w:sz="0" w:space="0" w:color="auto"/>
            <w:bottom w:val="none" w:sz="0" w:space="0" w:color="auto"/>
            <w:right w:val="none" w:sz="0" w:space="0" w:color="auto"/>
          </w:divBdr>
        </w:div>
        <w:div w:id="799693923">
          <w:marLeft w:val="2190"/>
          <w:marRight w:val="0"/>
          <w:marTop w:val="0"/>
          <w:marBottom w:val="0"/>
          <w:divBdr>
            <w:top w:val="none" w:sz="0" w:space="0" w:color="auto"/>
            <w:left w:val="none" w:sz="0" w:space="0" w:color="auto"/>
            <w:bottom w:val="none" w:sz="0" w:space="0" w:color="auto"/>
            <w:right w:val="none" w:sz="0" w:space="0" w:color="auto"/>
          </w:divBdr>
        </w:div>
        <w:div w:id="1849059732">
          <w:marLeft w:val="2190"/>
          <w:marRight w:val="0"/>
          <w:marTop w:val="0"/>
          <w:marBottom w:val="0"/>
          <w:divBdr>
            <w:top w:val="none" w:sz="0" w:space="0" w:color="auto"/>
            <w:left w:val="none" w:sz="0" w:space="0" w:color="auto"/>
            <w:bottom w:val="none" w:sz="0" w:space="0" w:color="auto"/>
            <w:right w:val="none" w:sz="0" w:space="0" w:color="auto"/>
          </w:divBdr>
        </w:div>
        <w:div w:id="1994261593">
          <w:marLeft w:val="2190"/>
          <w:marRight w:val="0"/>
          <w:marTop w:val="0"/>
          <w:marBottom w:val="0"/>
          <w:divBdr>
            <w:top w:val="none" w:sz="0" w:space="0" w:color="auto"/>
            <w:left w:val="none" w:sz="0" w:space="0" w:color="auto"/>
            <w:bottom w:val="none" w:sz="0" w:space="0" w:color="auto"/>
            <w:right w:val="none" w:sz="0" w:space="0" w:color="auto"/>
          </w:divBdr>
        </w:div>
      </w:divsChild>
    </w:div>
    <w:div w:id="1425373957">
      <w:bodyDiv w:val="1"/>
      <w:marLeft w:val="0"/>
      <w:marRight w:val="0"/>
      <w:marTop w:val="0"/>
      <w:marBottom w:val="0"/>
      <w:divBdr>
        <w:top w:val="none" w:sz="0" w:space="0" w:color="auto"/>
        <w:left w:val="none" w:sz="0" w:space="0" w:color="auto"/>
        <w:bottom w:val="none" w:sz="0" w:space="0" w:color="auto"/>
        <w:right w:val="none" w:sz="0" w:space="0" w:color="auto"/>
      </w:divBdr>
      <w:divsChild>
        <w:div w:id="1265841332">
          <w:marLeft w:val="0"/>
          <w:marRight w:val="0"/>
          <w:marTop w:val="0"/>
          <w:marBottom w:val="0"/>
          <w:divBdr>
            <w:top w:val="none" w:sz="0" w:space="0" w:color="auto"/>
            <w:left w:val="none" w:sz="0" w:space="0" w:color="auto"/>
            <w:bottom w:val="none" w:sz="0" w:space="0" w:color="auto"/>
            <w:right w:val="none" w:sz="0" w:space="0" w:color="auto"/>
          </w:divBdr>
        </w:div>
        <w:div w:id="27534794">
          <w:marLeft w:val="0"/>
          <w:marRight w:val="0"/>
          <w:marTop w:val="0"/>
          <w:marBottom w:val="0"/>
          <w:divBdr>
            <w:top w:val="none" w:sz="0" w:space="0" w:color="auto"/>
            <w:left w:val="none" w:sz="0" w:space="0" w:color="auto"/>
            <w:bottom w:val="none" w:sz="0" w:space="0" w:color="auto"/>
            <w:right w:val="none" w:sz="0" w:space="0" w:color="auto"/>
          </w:divBdr>
        </w:div>
      </w:divsChild>
    </w:div>
    <w:div w:id="1477261514">
      <w:bodyDiv w:val="1"/>
      <w:marLeft w:val="0"/>
      <w:marRight w:val="0"/>
      <w:marTop w:val="0"/>
      <w:marBottom w:val="0"/>
      <w:divBdr>
        <w:top w:val="none" w:sz="0" w:space="0" w:color="auto"/>
        <w:left w:val="none" w:sz="0" w:space="0" w:color="auto"/>
        <w:bottom w:val="none" w:sz="0" w:space="0" w:color="auto"/>
        <w:right w:val="none" w:sz="0" w:space="0" w:color="auto"/>
      </w:divBdr>
    </w:div>
    <w:div w:id="1697735543">
      <w:bodyDiv w:val="1"/>
      <w:marLeft w:val="0"/>
      <w:marRight w:val="0"/>
      <w:marTop w:val="0"/>
      <w:marBottom w:val="0"/>
      <w:divBdr>
        <w:top w:val="none" w:sz="0" w:space="0" w:color="auto"/>
        <w:left w:val="none" w:sz="0" w:space="0" w:color="auto"/>
        <w:bottom w:val="none" w:sz="0" w:space="0" w:color="auto"/>
        <w:right w:val="none" w:sz="0" w:space="0" w:color="auto"/>
      </w:divBdr>
    </w:div>
    <w:div w:id="1829830665">
      <w:bodyDiv w:val="1"/>
      <w:marLeft w:val="0"/>
      <w:marRight w:val="0"/>
      <w:marTop w:val="0"/>
      <w:marBottom w:val="0"/>
      <w:divBdr>
        <w:top w:val="none" w:sz="0" w:space="0" w:color="auto"/>
        <w:left w:val="none" w:sz="0" w:space="0" w:color="auto"/>
        <w:bottom w:val="none" w:sz="0" w:space="0" w:color="auto"/>
        <w:right w:val="none" w:sz="0" w:space="0" w:color="auto"/>
      </w:divBdr>
    </w:div>
    <w:div w:id="2014137605">
      <w:bodyDiv w:val="1"/>
      <w:marLeft w:val="0"/>
      <w:marRight w:val="0"/>
      <w:marTop w:val="0"/>
      <w:marBottom w:val="0"/>
      <w:divBdr>
        <w:top w:val="none" w:sz="0" w:space="0" w:color="auto"/>
        <w:left w:val="none" w:sz="0" w:space="0" w:color="auto"/>
        <w:bottom w:val="none" w:sz="0" w:space="0" w:color="auto"/>
        <w:right w:val="none" w:sz="0" w:space="0" w:color="auto"/>
      </w:divBdr>
    </w:div>
    <w:div w:id="2117407170">
      <w:bodyDiv w:val="1"/>
      <w:marLeft w:val="0"/>
      <w:marRight w:val="0"/>
      <w:marTop w:val="0"/>
      <w:marBottom w:val="0"/>
      <w:divBdr>
        <w:top w:val="none" w:sz="0" w:space="0" w:color="auto"/>
        <w:left w:val="none" w:sz="0" w:space="0" w:color="auto"/>
        <w:bottom w:val="none" w:sz="0" w:space="0" w:color="auto"/>
        <w:right w:val="none" w:sz="0" w:space="0" w:color="auto"/>
      </w:divBdr>
    </w:div>
    <w:div w:id="213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za/cases/ZAGPPHC/2021/336.html" TargetMode="External"/><Relationship Id="rId2" Type="http://schemas.openxmlformats.org/officeDocument/2006/relationships/hyperlink" Target="https://www.saflii.org/za/cases/ZAGPJHC/2022/859.html" TargetMode="External"/><Relationship Id="rId1" Type="http://schemas.openxmlformats.org/officeDocument/2006/relationships/hyperlink" Target="https://www.saflii.org/za/cases/ZANWHC/2023/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2912-5D27-49D9-8642-7F3C84E7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8115</Words>
  <Characters>46260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Hitchings</dc:creator>
  <cp:keywords/>
  <dc:description/>
  <cp:lastModifiedBy>Mary Bruce</cp:lastModifiedBy>
  <cp:revision>43</cp:revision>
  <cp:lastPrinted>2023-11-15T09:43:00Z</cp:lastPrinted>
  <dcterms:created xsi:type="dcterms:W3CDTF">2023-11-17T09:29:00Z</dcterms:created>
  <dcterms:modified xsi:type="dcterms:W3CDTF">2023-11-29T05:45:00Z</dcterms:modified>
</cp:coreProperties>
</file>