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27C9"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256212DA"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3E79FDF3"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608819DB" wp14:editId="6054D095">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9103B6D"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2EC4B0DF"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4AC2208B"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146763EB" w14:textId="77777777" w:rsidR="007B7F59" w:rsidRPr="007B7F59" w:rsidRDefault="007B7F59" w:rsidP="007B7F59">
      <w:pPr>
        <w:spacing w:after="0" w:line="240" w:lineRule="auto"/>
        <w:ind w:left="0"/>
        <w:rPr>
          <w:rFonts w:eastAsia="Times New Roman" w:cs="Arial"/>
          <w:szCs w:val="24"/>
          <w:lang w:val="en-ZA"/>
        </w:rPr>
      </w:pPr>
    </w:p>
    <w:p w14:paraId="5D70E5AB" w14:textId="77777777" w:rsidR="007B7F59" w:rsidRPr="007B7F59" w:rsidRDefault="007B7F59" w:rsidP="007B7F59">
      <w:pPr>
        <w:spacing w:after="0" w:line="240" w:lineRule="auto"/>
        <w:ind w:left="0"/>
        <w:rPr>
          <w:rFonts w:eastAsia="Times New Roman" w:cs="Arial"/>
          <w:szCs w:val="24"/>
          <w:lang w:val="en-ZA"/>
        </w:rPr>
      </w:pPr>
    </w:p>
    <w:p w14:paraId="4F27ACE8"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EC015B">
        <w:rPr>
          <w:b/>
          <w:lang w:val="en-ZA"/>
        </w:rPr>
        <w:t>10242/2017</w:t>
      </w: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30D2BECB" wp14:editId="1FEE4358">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4B95BB21" w14:textId="4E83BB85" w:rsidR="00223B20" w:rsidRPr="003B746C" w:rsidRDefault="00573D45" w:rsidP="00573D45">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223B20" w:rsidRPr="003B746C">
                              <w:rPr>
                                <w:rFonts w:cs="Arial"/>
                                <w:sz w:val="18"/>
                                <w:szCs w:val="20"/>
                              </w:rPr>
                              <w:t xml:space="preserve">REPORTABLE: </w:t>
                            </w:r>
                            <w:r w:rsidR="00223B20" w:rsidRPr="001B48C8">
                              <w:rPr>
                                <w:rFonts w:cs="Arial"/>
                                <w:sz w:val="18"/>
                                <w:szCs w:val="20"/>
                              </w:rPr>
                              <w:t xml:space="preserve"> NO</w:t>
                            </w:r>
                          </w:p>
                          <w:p w14:paraId="4A38AE50" w14:textId="76CA6B4F" w:rsidR="00223B20" w:rsidRPr="003B746C" w:rsidRDefault="00573D45" w:rsidP="00573D45">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223B20" w:rsidRPr="003B746C">
                              <w:rPr>
                                <w:rFonts w:cs="Arial"/>
                                <w:sz w:val="18"/>
                                <w:szCs w:val="20"/>
                              </w:rPr>
                              <w:t xml:space="preserve">OF INTEREST TO OTHER JUDGES: </w:t>
                            </w:r>
                            <w:r w:rsidR="00223B20" w:rsidRPr="001B48C8">
                              <w:rPr>
                                <w:rFonts w:cs="Arial"/>
                                <w:sz w:val="18"/>
                                <w:szCs w:val="20"/>
                              </w:rPr>
                              <w:t>NO</w:t>
                            </w:r>
                          </w:p>
                          <w:p w14:paraId="7B841E48" w14:textId="645640E2" w:rsidR="00223B20" w:rsidRPr="003B746C" w:rsidRDefault="00A77EDF" w:rsidP="002B448C">
                            <w:pPr>
                              <w:spacing w:before="240" w:after="0"/>
                              <w:rPr>
                                <w:rFonts w:cs="Arial"/>
                                <w:b/>
                                <w:sz w:val="18"/>
                                <w:szCs w:val="20"/>
                              </w:rPr>
                            </w:pPr>
                            <w:r>
                              <w:rPr>
                                <w:rFonts w:cs="Arial"/>
                                <w:b/>
                                <w:sz w:val="18"/>
                                <w:szCs w:val="20"/>
                              </w:rPr>
                              <w:t xml:space="preserve"> 28 </w:t>
                            </w:r>
                            <w:r w:rsidR="009F6FF8">
                              <w:rPr>
                                <w:rFonts w:cs="Arial"/>
                                <w:b/>
                                <w:sz w:val="18"/>
                                <w:szCs w:val="20"/>
                              </w:rPr>
                              <w:t>November</w:t>
                            </w:r>
                            <w:r w:rsidR="00E10803">
                              <w:rPr>
                                <w:rFonts w:cs="Arial"/>
                                <w:b/>
                                <w:sz w:val="18"/>
                                <w:szCs w:val="20"/>
                              </w:rPr>
                              <w:t xml:space="preserve"> 2023   </w:t>
                            </w:r>
                            <w:r w:rsidR="00223B20" w:rsidRPr="003B746C">
                              <w:rPr>
                                <w:rFonts w:cs="Arial"/>
                                <w:b/>
                                <w:sz w:val="18"/>
                                <w:szCs w:val="20"/>
                              </w:rPr>
                              <w:t>_________________________</w:t>
                            </w:r>
                          </w:p>
                          <w:p w14:paraId="168AAD97" w14:textId="77777777" w:rsidR="00223B20" w:rsidRPr="003B746C" w:rsidRDefault="00223B20"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2BECB"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4B95BB21" w14:textId="4E83BB85" w:rsidR="00223B20" w:rsidRPr="003B746C" w:rsidRDefault="00573D45" w:rsidP="00573D45">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223B20" w:rsidRPr="003B746C">
                        <w:rPr>
                          <w:rFonts w:cs="Arial"/>
                          <w:sz w:val="18"/>
                          <w:szCs w:val="20"/>
                        </w:rPr>
                        <w:t xml:space="preserve">REPORTABLE: </w:t>
                      </w:r>
                      <w:r w:rsidR="00223B20" w:rsidRPr="001B48C8">
                        <w:rPr>
                          <w:rFonts w:cs="Arial"/>
                          <w:sz w:val="18"/>
                          <w:szCs w:val="20"/>
                        </w:rPr>
                        <w:t xml:space="preserve"> NO</w:t>
                      </w:r>
                    </w:p>
                    <w:p w14:paraId="4A38AE50" w14:textId="76CA6B4F" w:rsidR="00223B20" w:rsidRPr="003B746C" w:rsidRDefault="00573D45" w:rsidP="00573D45">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223B20" w:rsidRPr="003B746C">
                        <w:rPr>
                          <w:rFonts w:cs="Arial"/>
                          <w:sz w:val="18"/>
                          <w:szCs w:val="20"/>
                        </w:rPr>
                        <w:t xml:space="preserve">OF INTEREST TO OTHER JUDGES: </w:t>
                      </w:r>
                      <w:r w:rsidR="00223B20" w:rsidRPr="001B48C8">
                        <w:rPr>
                          <w:rFonts w:cs="Arial"/>
                          <w:sz w:val="18"/>
                          <w:szCs w:val="20"/>
                        </w:rPr>
                        <w:t>NO</w:t>
                      </w:r>
                    </w:p>
                    <w:p w14:paraId="7B841E48" w14:textId="645640E2" w:rsidR="00223B20" w:rsidRPr="003B746C" w:rsidRDefault="00A77EDF" w:rsidP="002B448C">
                      <w:pPr>
                        <w:spacing w:before="240" w:after="0"/>
                        <w:rPr>
                          <w:rFonts w:cs="Arial"/>
                          <w:b/>
                          <w:sz w:val="18"/>
                          <w:szCs w:val="20"/>
                        </w:rPr>
                      </w:pPr>
                      <w:r>
                        <w:rPr>
                          <w:rFonts w:cs="Arial"/>
                          <w:b/>
                          <w:sz w:val="18"/>
                          <w:szCs w:val="20"/>
                        </w:rPr>
                        <w:t xml:space="preserve"> 28 </w:t>
                      </w:r>
                      <w:r w:rsidR="009F6FF8">
                        <w:rPr>
                          <w:rFonts w:cs="Arial"/>
                          <w:b/>
                          <w:sz w:val="18"/>
                          <w:szCs w:val="20"/>
                        </w:rPr>
                        <w:t>November</w:t>
                      </w:r>
                      <w:r w:rsidR="00E10803">
                        <w:rPr>
                          <w:rFonts w:cs="Arial"/>
                          <w:b/>
                          <w:sz w:val="18"/>
                          <w:szCs w:val="20"/>
                        </w:rPr>
                        <w:t xml:space="preserve"> 2023   </w:t>
                      </w:r>
                      <w:r w:rsidR="00223B20" w:rsidRPr="003B746C">
                        <w:rPr>
                          <w:rFonts w:cs="Arial"/>
                          <w:b/>
                          <w:sz w:val="18"/>
                          <w:szCs w:val="20"/>
                        </w:rPr>
                        <w:t>_________________________</w:t>
                      </w:r>
                    </w:p>
                    <w:p w14:paraId="168AAD97" w14:textId="77777777" w:rsidR="00223B20" w:rsidRPr="003B746C" w:rsidRDefault="00223B20"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61323007"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5D6962E5"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2F03C9AD"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3F5CCD8F"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6646CD60"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4541C154"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06A28B1C"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24BF719D"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5F764F9A"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58D8B04B"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0BF015ED" w14:textId="77777777" w:rsidR="00EC015B" w:rsidRPr="00EC015B" w:rsidRDefault="00EC015B" w:rsidP="00EC015B">
      <w:pPr>
        <w:pBdr>
          <w:bottom w:val="single" w:sz="12" w:space="1" w:color="auto"/>
        </w:pBdr>
        <w:spacing w:after="0"/>
        <w:ind w:left="0"/>
        <w:rPr>
          <w:rFonts w:eastAsia="Times New Roman" w:cs="Arial"/>
          <w:szCs w:val="24"/>
          <w:lang w:eastAsia="en-GB"/>
        </w:rPr>
      </w:pPr>
      <w:r w:rsidRPr="00EC015B">
        <w:rPr>
          <w:rFonts w:eastAsia="Times New Roman" w:cs="Arial"/>
          <w:b/>
          <w:szCs w:val="24"/>
          <w:lang w:eastAsia="en-GB"/>
        </w:rPr>
        <w:t>THE MEC FOR HEALTH, GAUTENG</w:t>
      </w:r>
      <w:r>
        <w:rPr>
          <w:rFonts w:eastAsia="Times New Roman" w:cs="Arial"/>
          <w:szCs w:val="24"/>
          <w:lang w:eastAsia="en-GB"/>
        </w:rPr>
        <w:tab/>
      </w:r>
      <w:r>
        <w:rPr>
          <w:rFonts w:eastAsia="Times New Roman" w:cs="Arial"/>
          <w:szCs w:val="24"/>
          <w:lang w:eastAsia="en-GB"/>
        </w:rPr>
        <w:tab/>
      </w:r>
      <w:r>
        <w:rPr>
          <w:rFonts w:eastAsia="Times New Roman" w:cs="Arial"/>
          <w:szCs w:val="24"/>
          <w:lang w:eastAsia="en-GB"/>
        </w:rPr>
        <w:tab/>
      </w:r>
      <w:r>
        <w:rPr>
          <w:rFonts w:eastAsia="Times New Roman" w:cs="Arial"/>
          <w:szCs w:val="24"/>
          <w:lang w:eastAsia="en-GB"/>
        </w:rPr>
        <w:tab/>
      </w:r>
      <w:r>
        <w:rPr>
          <w:rFonts w:eastAsia="Times New Roman" w:cs="Arial"/>
          <w:szCs w:val="24"/>
          <w:lang w:eastAsia="en-GB"/>
        </w:rPr>
        <w:tab/>
        <w:t>Applicant</w:t>
      </w:r>
    </w:p>
    <w:p w14:paraId="1485CF0F" w14:textId="77777777" w:rsidR="00EC015B" w:rsidRPr="00EC015B" w:rsidRDefault="00EC015B" w:rsidP="00EC015B">
      <w:pPr>
        <w:pBdr>
          <w:bottom w:val="single" w:sz="12" w:space="1" w:color="auto"/>
        </w:pBdr>
        <w:spacing w:after="0"/>
        <w:ind w:left="0"/>
        <w:rPr>
          <w:rFonts w:eastAsia="Times New Roman" w:cs="Arial"/>
          <w:szCs w:val="24"/>
          <w:lang w:eastAsia="en-GB"/>
        </w:rPr>
      </w:pPr>
    </w:p>
    <w:p w14:paraId="6C65417F" w14:textId="77777777" w:rsidR="00EC015B" w:rsidRPr="00EC015B" w:rsidRDefault="00EC015B" w:rsidP="00EC015B">
      <w:pPr>
        <w:pBdr>
          <w:bottom w:val="single" w:sz="12" w:space="1" w:color="auto"/>
        </w:pBdr>
        <w:spacing w:after="0"/>
        <w:ind w:left="0"/>
        <w:rPr>
          <w:rFonts w:eastAsia="Times New Roman" w:cs="Arial"/>
          <w:szCs w:val="24"/>
          <w:lang w:eastAsia="en-GB"/>
        </w:rPr>
      </w:pPr>
      <w:r w:rsidRPr="00EC015B">
        <w:rPr>
          <w:rFonts w:eastAsia="Times New Roman" w:cs="Arial"/>
          <w:szCs w:val="24"/>
          <w:lang w:eastAsia="en-GB"/>
        </w:rPr>
        <w:t>And</w:t>
      </w:r>
    </w:p>
    <w:p w14:paraId="038E972E" w14:textId="77777777" w:rsidR="00EC015B" w:rsidRPr="00EC015B" w:rsidRDefault="00EC015B" w:rsidP="00EC015B">
      <w:pPr>
        <w:pBdr>
          <w:bottom w:val="single" w:sz="12" w:space="1" w:color="auto"/>
        </w:pBdr>
        <w:spacing w:after="0"/>
        <w:ind w:left="0"/>
        <w:rPr>
          <w:rFonts w:eastAsia="Times New Roman" w:cs="Arial"/>
          <w:szCs w:val="24"/>
          <w:lang w:eastAsia="en-GB"/>
        </w:rPr>
      </w:pPr>
    </w:p>
    <w:p w14:paraId="104A84DF" w14:textId="77777777" w:rsidR="00EC015B" w:rsidRPr="00EC015B" w:rsidRDefault="00EC015B" w:rsidP="00EC015B">
      <w:pPr>
        <w:pBdr>
          <w:bottom w:val="single" w:sz="12" w:space="1" w:color="auto"/>
        </w:pBdr>
        <w:spacing w:after="0"/>
        <w:ind w:left="0"/>
        <w:rPr>
          <w:rFonts w:eastAsia="Times New Roman" w:cs="Arial"/>
          <w:szCs w:val="24"/>
          <w:lang w:eastAsia="en-GB"/>
        </w:rPr>
      </w:pPr>
      <w:r w:rsidRPr="00EC015B">
        <w:rPr>
          <w:rFonts w:eastAsia="Times New Roman" w:cs="Arial"/>
          <w:b/>
          <w:szCs w:val="24"/>
          <w:lang w:eastAsia="en-GB"/>
        </w:rPr>
        <w:t>MTWAZI CIKIZA CYNTHIA</w:t>
      </w:r>
      <w:r>
        <w:rPr>
          <w:rFonts w:eastAsia="Times New Roman" w:cs="Arial"/>
          <w:szCs w:val="24"/>
          <w:lang w:eastAsia="en-GB"/>
        </w:rPr>
        <w:tab/>
      </w:r>
      <w:r>
        <w:rPr>
          <w:rFonts w:eastAsia="Times New Roman" w:cs="Arial"/>
          <w:szCs w:val="24"/>
          <w:lang w:eastAsia="en-GB"/>
        </w:rPr>
        <w:tab/>
      </w:r>
      <w:r>
        <w:rPr>
          <w:rFonts w:eastAsia="Times New Roman" w:cs="Arial"/>
          <w:szCs w:val="24"/>
          <w:lang w:eastAsia="en-GB"/>
        </w:rPr>
        <w:tab/>
      </w:r>
      <w:r>
        <w:rPr>
          <w:rFonts w:eastAsia="Times New Roman" w:cs="Arial"/>
          <w:szCs w:val="24"/>
          <w:lang w:eastAsia="en-GB"/>
        </w:rPr>
        <w:tab/>
      </w:r>
      <w:r>
        <w:rPr>
          <w:rFonts w:eastAsia="Times New Roman" w:cs="Arial"/>
          <w:szCs w:val="24"/>
          <w:lang w:eastAsia="en-GB"/>
        </w:rPr>
        <w:tab/>
      </w:r>
      <w:r>
        <w:rPr>
          <w:rFonts w:eastAsia="Times New Roman" w:cs="Arial"/>
          <w:szCs w:val="24"/>
          <w:lang w:eastAsia="en-GB"/>
        </w:rPr>
        <w:tab/>
        <w:t>Respondent</w:t>
      </w:r>
    </w:p>
    <w:p w14:paraId="15D82B97"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210D0BC3" w14:textId="77777777" w:rsidR="007B7F59" w:rsidRPr="007B7F59" w:rsidRDefault="007B7F59" w:rsidP="007B7F59">
      <w:pPr>
        <w:spacing w:after="0" w:line="240" w:lineRule="auto"/>
        <w:ind w:left="1440" w:hanging="1440"/>
        <w:jc w:val="left"/>
        <w:rPr>
          <w:rFonts w:cs="Arial"/>
          <w:b/>
          <w:szCs w:val="24"/>
        </w:rPr>
      </w:pPr>
    </w:p>
    <w:p w14:paraId="0C88EB65"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1EE401DC" w14:textId="29F539F4" w:rsidR="00CE78C4" w:rsidRDefault="00A67E96" w:rsidP="00A67E96">
      <w:pPr>
        <w:pStyle w:val="JudgmentNumbered"/>
        <w:numPr>
          <w:ilvl w:val="0"/>
          <w:numId w:val="0"/>
        </w:numPr>
        <w:spacing w:after="0"/>
        <w:ind w:left="567" w:hanging="567"/>
        <w:rPr>
          <w:lang w:val="en-CA"/>
        </w:rPr>
      </w:pPr>
      <w:r>
        <w:t>[1]</w:t>
      </w:r>
      <w:r>
        <w:tab/>
      </w:r>
      <w:r w:rsidR="00AD4BAA">
        <w:rPr>
          <w:lang w:val="en-CA"/>
        </w:rPr>
        <w:t>T</w:t>
      </w:r>
      <w:r w:rsidR="002964DB" w:rsidRPr="002964DB">
        <w:rPr>
          <w:lang w:val="en-CA"/>
        </w:rPr>
        <w:t>he applicant appeals against</w:t>
      </w:r>
      <w:r w:rsidR="00ED0ABA" w:rsidRPr="00ED0ABA">
        <w:rPr>
          <w:lang w:val="en-CA"/>
        </w:rPr>
        <w:t xml:space="preserve"> the whole judgment</w:t>
      </w:r>
      <w:r w:rsidR="00AD4BAA">
        <w:rPr>
          <w:lang w:val="en-CA"/>
        </w:rPr>
        <w:t xml:space="preserve"> </w:t>
      </w:r>
      <w:r w:rsidR="00B52F02">
        <w:rPr>
          <w:lang w:val="en-CA"/>
        </w:rPr>
        <w:t xml:space="preserve">and </w:t>
      </w:r>
      <w:r w:rsidR="00ED0ABA" w:rsidRPr="00ED0ABA">
        <w:rPr>
          <w:lang w:val="en-CA"/>
        </w:rPr>
        <w:t xml:space="preserve">costs </w:t>
      </w:r>
      <w:r w:rsidR="00B52F02">
        <w:rPr>
          <w:lang w:val="en-CA"/>
        </w:rPr>
        <w:t xml:space="preserve">order </w:t>
      </w:r>
      <w:r w:rsidR="00AD4BAA">
        <w:rPr>
          <w:lang w:val="en-CA"/>
        </w:rPr>
        <w:t>delivered</w:t>
      </w:r>
      <w:r w:rsidR="00ED0ABA" w:rsidRPr="00ED0ABA">
        <w:rPr>
          <w:lang w:val="en-CA"/>
        </w:rPr>
        <w:t xml:space="preserve"> on 25 April 2</w:t>
      </w:r>
      <w:r w:rsidR="00CE78C4">
        <w:rPr>
          <w:lang w:val="en-CA"/>
        </w:rPr>
        <w:t>0</w:t>
      </w:r>
      <w:r w:rsidR="00ED0ABA" w:rsidRPr="00ED0ABA">
        <w:rPr>
          <w:lang w:val="en-CA"/>
        </w:rPr>
        <w:t>23</w:t>
      </w:r>
      <w:r w:rsidR="008C69F2">
        <w:rPr>
          <w:lang w:val="en-CA"/>
        </w:rPr>
        <w:t>. T</w:t>
      </w:r>
      <w:r w:rsidR="00ED0ABA" w:rsidRPr="00ED0ABA">
        <w:rPr>
          <w:lang w:val="en-CA"/>
        </w:rPr>
        <w:t>he applicant appeals</w:t>
      </w:r>
      <w:r w:rsidR="00962863" w:rsidRPr="00962863">
        <w:rPr>
          <w:lang w:val="en-CA"/>
        </w:rPr>
        <w:t xml:space="preserve"> </w:t>
      </w:r>
      <w:r w:rsidR="007B5C84">
        <w:rPr>
          <w:lang w:val="en-CA"/>
        </w:rPr>
        <w:t>on the basis</w:t>
      </w:r>
      <w:r w:rsidR="00345FFA">
        <w:rPr>
          <w:lang w:val="en-CA"/>
        </w:rPr>
        <w:t xml:space="preserve"> </w:t>
      </w:r>
      <w:r w:rsidR="00962863" w:rsidRPr="00962863">
        <w:rPr>
          <w:lang w:val="en-CA"/>
        </w:rPr>
        <w:t>that</w:t>
      </w:r>
      <w:r w:rsidR="00167589">
        <w:rPr>
          <w:lang w:val="en-CA"/>
        </w:rPr>
        <w:t xml:space="preserve"> </w:t>
      </w:r>
      <w:r w:rsidR="00962863" w:rsidRPr="00962863">
        <w:rPr>
          <w:lang w:val="en-CA"/>
        </w:rPr>
        <w:t xml:space="preserve">the </w:t>
      </w:r>
      <w:r w:rsidR="00C1350F">
        <w:rPr>
          <w:lang w:val="en-CA"/>
        </w:rPr>
        <w:t xml:space="preserve">court </w:t>
      </w:r>
      <w:r w:rsidR="00C1350F" w:rsidRPr="00962863">
        <w:rPr>
          <w:lang w:val="en-CA"/>
        </w:rPr>
        <w:t>erred</w:t>
      </w:r>
      <w:r w:rsidR="00962863" w:rsidRPr="00962863">
        <w:rPr>
          <w:lang w:val="en-CA"/>
        </w:rPr>
        <w:t xml:space="preserve"> on </w:t>
      </w:r>
      <w:r w:rsidR="001773DA">
        <w:rPr>
          <w:lang w:val="en-CA"/>
        </w:rPr>
        <w:t xml:space="preserve">various </w:t>
      </w:r>
      <w:proofErr w:type="gramStart"/>
      <w:r w:rsidR="00962863" w:rsidRPr="00962863">
        <w:rPr>
          <w:lang w:val="en-CA"/>
        </w:rPr>
        <w:t xml:space="preserve">grounds </w:t>
      </w:r>
      <w:r w:rsidR="00687F0F">
        <w:rPr>
          <w:lang w:val="en-CA"/>
        </w:rPr>
        <w:t>:</w:t>
      </w:r>
      <w:proofErr w:type="gramEnd"/>
    </w:p>
    <w:p w14:paraId="7F3B4BB8" w14:textId="3FBCFD9D" w:rsidR="003048B4" w:rsidRDefault="00C1350F" w:rsidP="00C1350F">
      <w:pPr>
        <w:pStyle w:val="JudgmentNumbered"/>
        <w:numPr>
          <w:ilvl w:val="0"/>
          <w:numId w:val="0"/>
        </w:numPr>
        <w:spacing w:after="0"/>
        <w:ind w:left="567" w:hanging="567"/>
        <w:rPr>
          <w:lang w:val="en-CA"/>
        </w:rPr>
      </w:pPr>
      <w:r>
        <w:rPr>
          <w:lang w:val="en-CA"/>
        </w:rPr>
        <w:t xml:space="preserve">     </w:t>
      </w:r>
      <w:r w:rsidR="00477FCC">
        <w:rPr>
          <w:lang w:val="en-CA"/>
        </w:rPr>
        <w:t xml:space="preserve">    By h</w:t>
      </w:r>
      <w:r w:rsidR="00962863" w:rsidRPr="00962863">
        <w:rPr>
          <w:lang w:val="en-CA"/>
        </w:rPr>
        <w:t xml:space="preserve">olding the </w:t>
      </w:r>
      <w:r w:rsidR="00697C19">
        <w:rPr>
          <w:lang w:val="en-CA"/>
        </w:rPr>
        <w:t>app</w:t>
      </w:r>
      <w:r w:rsidR="00C33FA6">
        <w:rPr>
          <w:lang w:val="en-CA"/>
        </w:rPr>
        <w:t xml:space="preserve">licant </w:t>
      </w:r>
      <w:r w:rsidR="00962863" w:rsidRPr="00962863">
        <w:rPr>
          <w:lang w:val="en-CA"/>
        </w:rPr>
        <w:t xml:space="preserve">liable </w:t>
      </w:r>
      <w:r w:rsidR="007966F8">
        <w:rPr>
          <w:lang w:val="en-CA"/>
        </w:rPr>
        <w:t>for</w:t>
      </w:r>
      <w:r w:rsidR="003D13DF">
        <w:rPr>
          <w:lang w:val="en-CA"/>
        </w:rPr>
        <w:t xml:space="preserve"> </w:t>
      </w:r>
      <w:r w:rsidR="000178CC">
        <w:rPr>
          <w:lang w:val="en-CA"/>
        </w:rPr>
        <w:t xml:space="preserve">severance of the </w:t>
      </w:r>
      <w:r w:rsidR="0059531F">
        <w:rPr>
          <w:lang w:val="en-CA"/>
        </w:rPr>
        <w:t>respondent’s</w:t>
      </w:r>
      <w:r w:rsidR="00962863" w:rsidRPr="00962863">
        <w:rPr>
          <w:lang w:val="en-CA"/>
        </w:rPr>
        <w:t xml:space="preserve"> </w:t>
      </w:r>
      <w:r w:rsidR="00851182">
        <w:rPr>
          <w:lang w:val="en-CA"/>
        </w:rPr>
        <w:t xml:space="preserve">sphincter </w:t>
      </w:r>
      <w:r w:rsidR="003D13DF" w:rsidRPr="008E7B5D">
        <w:rPr>
          <w:lang w:val="en-CA"/>
        </w:rPr>
        <w:t>muscle</w:t>
      </w:r>
      <w:r w:rsidR="00035755">
        <w:rPr>
          <w:lang w:val="en-CA"/>
        </w:rPr>
        <w:t xml:space="preserve">, </w:t>
      </w:r>
      <w:r w:rsidR="002309FC" w:rsidRPr="002309FC">
        <w:rPr>
          <w:lang w:val="en-CA"/>
        </w:rPr>
        <w:t>that</w:t>
      </w:r>
      <w:r w:rsidR="00035755">
        <w:rPr>
          <w:lang w:val="en-CA"/>
        </w:rPr>
        <w:t xml:space="preserve"> event</w:t>
      </w:r>
      <w:r w:rsidR="002309FC" w:rsidRPr="002309FC">
        <w:rPr>
          <w:lang w:val="en-CA"/>
        </w:rPr>
        <w:t xml:space="preserve"> co</w:t>
      </w:r>
      <w:r w:rsidR="002309FC">
        <w:rPr>
          <w:lang w:val="en-CA"/>
        </w:rPr>
        <w:t xml:space="preserve">uld </w:t>
      </w:r>
      <w:r w:rsidR="00525376" w:rsidRPr="00525376">
        <w:rPr>
          <w:lang w:val="en-CA"/>
        </w:rPr>
        <w:t>have occu</w:t>
      </w:r>
      <w:r w:rsidR="002309FC">
        <w:rPr>
          <w:lang w:val="en-CA"/>
        </w:rPr>
        <w:t>r</w:t>
      </w:r>
      <w:r w:rsidR="00525376" w:rsidRPr="00525376">
        <w:rPr>
          <w:lang w:val="en-CA"/>
        </w:rPr>
        <w:t xml:space="preserve">red at the time of delivery of the </w:t>
      </w:r>
      <w:r w:rsidR="00697C19">
        <w:rPr>
          <w:lang w:val="en-CA"/>
        </w:rPr>
        <w:t>respondent</w:t>
      </w:r>
      <w:r w:rsidR="0069020E">
        <w:rPr>
          <w:lang w:val="en-CA"/>
        </w:rPr>
        <w:t>’s</w:t>
      </w:r>
      <w:r w:rsidR="00BC033E">
        <w:rPr>
          <w:lang w:val="en-CA"/>
        </w:rPr>
        <w:t xml:space="preserve"> </w:t>
      </w:r>
      <w:r w:rsidR="00525376" w:rsidRPr="00525376">
        <w:rPr>
          <w:lang w:val="en-CA"/>
        </w:rPr>
        <w:t>baby</w:t>
      </w:r>
      <w:r w:rsidR="009209DD">
        <w:rPr>
          <w:lang w:val="en-CA"/>
        </w:rPr>
        <w:t xml:space="preserve"> </w:t>
      </w:r>
      <w:r w:rsidR="009209DD" w:rsidRPr="009209DD">
        <w:rPr>
          <w:lang w:val="en-CA"/>
        </w:rPr>
        <w:t>during the</w:t>
      </w:r>
      <w:r w:rsidR="00525376" w:rsidRPr="00525376">
        <w:rPr>
          <w:lang w:val="en-CA"/>
        </w:rPr>
        <w:t xml:space="preserve"> cutting and suturing of the</w:t>
      </w:r>
      <w:r w:rsidR="00977527">
        <w:rPr>
          <w:lang w:val="en-CA"/>
        </w:rPr>
        <w:t xml:space="preserve"> episiotomy. </w:t>
      </w:r>
      <w:r w:rsidR="009C1BDD">
        <w:rPr>
          <w:lang w:val="en-CA"/>
        </w:rPr>
        <w:t>W</w:t>
      </w:r>
      <w:r w:rsidR="00432A97" w:rsidRPr="00432A97">
        <w:rPr>
          <w:lang w:val="en-CA"/>
        </w:rPr>
        <w:t xml:space="preserve">hen such </w:t>
      </w:r>
      <w:r w:rsidR="00A63058" w:rsidRPr="00A63058">
        <w:rPr>
          <w:lang w:val="en-CA"/>
        </w:rPr>
        <w:t xml:space="preserve">delivery </w:t>
      </w:r>
      <w:r w:rsidR="0069020E">
        <w:rPr>
          <w:lang w:val="en-CA"/>
        </w:rPr>
        <w:t xml:space="preserve">occurred on 28 March 2013, </w:t>
      </w:r>
      <w:r w:rsidR="00FE5411">
        <w:rPr>
          <w:lang w:val="en-CA"/>
        </w:rPr>
        <w:t xml:space="preserve">the </w:t>
      </w:r>
      <w:r w:rsidR="0069020E">
        <w:rPr>
          <w:lang w:val="en-CA"/>
        </w:rPr>
        <w:t>period falls outside the prescription</w:t>
      </w:r>
      <w:r w:rsidR="00CE136D">
        <w:rPr>
          <w:lang w:val="en-CA"/>
        </w:rPr>
        <w:t xml:space="preserve"> period</w:t>
      </w:r>
      <w:r w:rsidR="0069020E">
        <w:rPr>
          <w:lang w:val="en-CA"/>
        </w:rPr>
        <w:t xml:space="preserve"> of three years before the </w:t>
      </w:r>
      <w:r w:rsidR="008E5527" w:rsidRPr="008E5527">
        <w:rPr>
          <w:lang w:val="en-CA"/>
        </w:rPr>
        <w:t>issue of summons on 27 March 2017</w:t>
      </w:r>
      <w:r w:rsidR="008E5527">
        <w:rPr>
          <w:lang w:val="en-CA"/>
        </w:rPr>
        <w:t xml:space="preserve">. </w:t>
      </w:r>
      <w:r w:rsidR="005C46E2">
        <w:rPr>
          <w:lang w:val="en-CA"/>
        </w:rPr>
        <w:t>A</w:t>
      </w:r>
      <w:r w:rsidR="00F745C6" w:rsidRPr="00F745C6">
        <w:rPr>
          <w:lang w:val="en-CA"/>
        </w:rPr>
        <w:t xml:space="preserve"> claim based on </w:t>
      </w:r>
      <w:r w:rsidR="00F745C6" w:rsidRPr="00F745C6">
        <w:rPr>
          <w:lang w:val="en-CA"/>
        </w:rPr>
        <w:lastRenderedPageBreak/>
        <w:t xml:space="preserve">the </w:t>
      </w:r>
      <w:r w:rsidR="000540C7">
        <w:rPr>
          <w:lang w:val="en-CA"/>
        </w:rPr>
        <w:t>episiotomy</w:t>
      </w:r>
      <w:r w:rsidR="00B9575C">
        <w:rPr>
          <w:lang w:val="en-CA"/>
        </w:rPr>
        <w:t xml:space="preserve"> would have accordingly</w:t>
      </w:r>
      <w:r w:rsidR="00B21ACE">
        <w:rPr>
          <w:lang w:val="en-CA"/>
        </w:rPr>
        <w:t xml:space="preserve"> prescribed on 28 March 2016</w:t>
      </w:r>
      <w:r w:rsidR="005A11A3">
        <w:rPr>
          <w:lang w:val="en-CA"/>
        </w:rPr>
        <w:t xml:space="preserve">. </w:t>
      </w:r>
      <w:r w:rsidR="003D37CB">
        <w:rPr>
          <w:lang w:val="en-CA"/>
        </w:rPr>
        <w:t>It contends</w:t>
      </w:r>
      <w:r w:rsidR="001B7B7B">
        <w:rPr>
          <w:lang w:val="en-CA"/>
        </w:rPr>
        <w:t xml:space="preserve"> t</w:t>
      </w:r>
      <w:r w:rsidR="009E204D" w:rsidRPr="009E204D">
        <w:rPr>
          <w:lang w:val="en-CA"/>
        </w:rPr>
        <w:t>he applicant ought not to be held liable for such injury</w:t>
      </w:r>
      <w:r w:rsidR="00F45290">
        <w:rPr>
          <w:lang w:val="en-CA"/>
        </w:rPr>
        <w:t>,</w:t>
      </w:r>
      <w:r w:rsidR="009E204D" w:rsidRPr="009E204D">
        <w:rPr>
          <w:lang w:val="en-CA"/>
        </w:rPr>
        <w:t xml:space="preserve"> which </w:t>
      </w:r>
      <w:r w:rsidR="009C1BDD">
        <w:rPr>
          <w:lang w:val="en-CA"/>
        </w:rPr>
        <w:t xml:space="preserve">could </w:t>
      </w:r>
      <w:r w:rsidR="009E204D" w:rsidRPr="009E204D">
        <w:rPr>
          <w:lang w:val="en-CA"/>
        </w:rPr>
        <w:t>possibly</w:t>
      </w:r>
      <w:r w:rsidR="009C1BDD">
        <w:rPr>
          <w:lang w:val="en-CA"/>
        </w:rPr>
        <w:t xml:space="preserve"> have</w:t>
      </w:r>
      <w:r w:rsidR="009E204D" w:rsidRPr="009E204D">
        <w:rPr>
          <w:lang w:val="en-CA"/>
        </w:rPr>
        <w:t xml:space="preserve"> </w:t>
      </w:r>
      <w:r w:rsidR="000540C7">
        <w:rPr>
          <w:lang w:val="en-CA"/>
        </w:rPr>
        <w:t>occurred</w:t>
      </w:r>
      <w:r w:rsidR="009E204D" w:rsidRPr="009E204D">
        <w:rPr>
          <w:lang w:val="en-CA"/>
        </w:rPr>
        <w:t xml:space="preserve"> 4</w:t>
      </w:r>
      <w:r w:rsidR="009E204D">
        <w:rPr>
          <w:lang w:val="en-CA"/>
        </w:rPr>
        <w:t xml:space="preserve">(four) </w:t>
      </w:r>
      <w:r w:rsidR="009E204D" w:rsidRPr="009E204D">
        <w:rPr>
          <w:lang w:val="en-CA"/>
        </w:rPr>
        <w:t>ye</w:t>
      </w:r>
      <w:r w:rsidR="008501F7">
        <w:rPr>
          <w:lang w:val="en-CA"/>
        </w:rPr>
        <w:t>ar</w:t>
      </w:r>
      <w:r w:rsidR="009E204D" w:rsidRPr="009E204D">
        <w:rPr>
          <w:lang w:val="en-CA"/>
        </w:rPr>
        <w:t xml:space="preserve">s earlier than the issue of </w:t>
      </w:r>
      <w:r w:rsidR="002A3A90">
        <w:rPr>
          <w:lang w:val="en-CA"/>
        </w:rPr>
        <w:t xml:space="preserve">the </w:t>
      </w:r>
      <w:r w:rsidR="009E204D" w:rsidRPr="009E204D">
        <w:rPr>
          <w:lang w:val="en-CA"/>
        </w:rPr>
        <w:t>summons</w:t>
      </w:r>
      <w:r w:rsidR="001B7B7B">
        <w:rPr>
          <w:lang w:val="en-CA"/>
        </w:rPr>
        <w:t>.</w:t>
      </w:r>
    </w:p>
    <w:p w14:paraId="3B538BC1" w14:textId="6BB2F11D" w:rsidR="00E451CF" w:rsidRDefault="00E451CF" w:rsidP="001B7B7B">
      <w:pPr>
        <w:pStyle w:val="JudgmentNumbered"/>
        <w:numPr>
          <w:ilvl w:val="0"/>
          <w:numId w:val="0"/>
        </w:numPr>
        <w:spacing w:after="0"/>
        <w:rPr>
          <w:lang w:val="en-CA"/>
        </w:rPr>
      </w:pPr>
    </w:p>
    <w:p w14:paraId="5DEE5154" w14:textId="37633FE1" w:rsidR="009C6E8E" w:rsidRDefault="003048B4" w:rsidP="00A67E96">
      <w:pPr>
        <w:pStyle w:val="JudgmentNumbered"/>
        <w:numPr>
          <w:ilvl w:val="0"/>
          <w:numId w:val="0"/>
        </w:numPr>
        <w:spacing w:after="0"/>
        <w:ind w:left="567" w:hanging="567"/>
        <w:rPr>
          <w:lang w:val="en-CA"/>
        </w:rPr>
      </w:pPr>
      <w:r>
        <w:rPr>
          <w:lang w:val="en-CA"/>
        </w:rPr>
        <w:t>[2]</w:t>
      </w:r>
      <w:r>
        <w:rPr>
          <w:lang w:val="en-CA"/>
        </w:rPr>
        <w:tab/>
        <w:t>T</w:t>
      </w:r>
      <w:r w:rsidR="008501F7">
        <w:rPr>
          <w:lang w:val="en-CA"/>
        </w:rPr>
        <w:t xml:space="preserve">he applicant contends that the court failed to consider the respondent's case, as </w:t>
      </w:r>
      <w:r w:rsidR="00A479F5">
        <w:rPr>
          <w:lang w:val="en-CA"/>
        </w:rPr>
        <w:t>articulated</w:t>
      </w:r>
      <w:r w:rsidR="008501F7">
        <w:rPr>
          <w:lang w:val="en-CA"/>
        </w:rPr>
        <w:t xml:space="preserve"> in the particulars of the claim</w:t>
      </w:r>
      <w:r w:rsidR="008D204D">
        <w:rPr>
          <w:lang w:val="en-CA"/>
        </w:rPr>
        <w:t>; the</w:t>
      </w:r>
      <w:r w:rsidR="008501F7">
        <w:rPr>
          <w:lang w:val="en-CA"/>
        </w:rPr>
        <w:t xml:space="preserve"> applicant's surgeon was negligent in failing to recognise </w:t>
      </w:r>
      <w:r w:rsidR="00EF3B5F">
        <w:rPr>
          <w:lang w:val="en-CA"/>
        </w:rPr>
        <w:t xml:space="preserve">the </w:t>
      </w:r>
      <w:r w:rsidR="008501F7">
        <w:rPr>
          <w:lang w:val="en-CA"/>
        </w:rPr>
        <w:t xml:space="preserve">harm they caused to the </w:t>
      </w:r>
      <w:r w:rsidR="007D16DF">
        <w:rPr>
          <w:lang w:val="en-CA"/>
        </w:rPr>
        <w:t>responde</w:t>
      </w:r>
      <w:r w:rsidR="008501F7">
        <w:rPr>
          <w:lang w:val="en-CA"/>
        </w:rPr>
        <w:t>nt's</w:t>
      </w:r>
      <w:r w:rsidR="001E53AD" w:rsidRPr="001E53AD">
        <w:rPr>
          <w:lang w:val="en-CA"/>
        </w:rPr>
        <w:t xml:space="preserve"> sphincter muscle on 7 February 2014</w:t>
      </w:r>
      <w:r w:rsidR="00EE7991">
        <w:rPr>
          <w:lang w:val="en-CA"/>
        </w:rPr>
        <w:t>.</w:t>
      </w:r>
      <w:r w:rsidR="007D16DF">
        <w:rPr>
          <w:lang w:val="en-CA"/>
        </w:rPr>
        <w:t xml:space="preserve"> </w:t>
      </w:r>
      <w:r w:rsidR="00EE7991">
        <w:rPr>
          <w:lang w:val="en-CA"/>
        </w:rPr>
        <w:t xml:space="preserve"> </w:t>
      </w:r>
      <w:r w:rsidR="00EE7991" w:rsidRPr="00EE7991">
        <w:rPr>
          <w:lang w:val="en-CA"/>
        </w:rPr>
        <w:t>Furthermore</w:t>
      </w:r>
      <w:r w:rsidR="007D16DF">
        <w:rPr>
          <w:lang w:val="en-CA"/>
        </w:rPr>
        <w:t>,</w:t>
      </w:r>
      <w:r w:rsidR="007B44F0" w:rsidRPr="007B44F0">
        <w:rPr>
          <w:lang w:val="en-CA"/>
        </w:rPr>
        <w:t xml:space="preserve"> the </w:t>
      </w:r>
      <w:r w:rsidR="007B44F0">
        <w:rPr>
          <w:lang w:val="en-CA"/>
        </w:rPr>
        <w:t xml:space="preserve">court erred </w:t>
      </w:r>
      <w:r w:rsidR="007B44F0" w:rsidRPr="007B44F0">
        <w:rPr>
          <w:lang w:val="en-CA"/>
        </w:rPr>
        <w:t>in holding</w:t>
      </w:r>
      <w:r w:rsidR="003F2DE1" w:rsidRPr="003F2DE1">
        <w:rPr>
          <w:lang w:val="en-CA"/>
        </w:rPr>
        <w:t xml:space="preserve"> the </w:t>
      </w:r>
      <w:r w:rsidR="00C107C8">
        <w:rPr>
          <w:lang w:val="en-CA"/>
        </w:rPr>
        <w:t>applica</w:t>
      </w:r>
      <w:r w:rsidR="003F2DE1" w:rsidRPr="003F2DE1">
        <w:rPr>
          <w:lang w:val="en-CA"/>
        </w:rPr>
        <w:t xml:space="preserve">nt liable </w:t>
      </w:r>
      <w:r w:rsidR="00C107C8">
        <w:rPr>
          <w:lang w:val="en-CA"/>
        </w:rPr>
        <w:t xml:space="preserve">for </w:t>
      </w:r>
      <w:r w:rsidR="003F2DE1" w:rsidRPr="003F2DE1">
        <w:rPr>
          <w:lang w:val="en-CA"/>
        </w:rPr>
        <w:t>severance o</w:t>
      </w:r>
      <w:r w:rsidR="00C107C8">
        <w:rPr>
          <w:lang w:val="en-CA"/>
        </w:rPr>
        <w:t>f</w:t>
      </w:r>
      <w:r w:rsidR="003F2DE1" w:rsidRPr="003F2DE1">
        <w:rPr>
          <w:lang w:val="en-CA"/>
        </w:rPr>
        <w:t xml:space="preserve"> the </w:t>
      </w:r>
      <w:r w:rsidR="00BC180D">
        <w:rPr>
          <w:lang w:val="en-CA"/>
        </w:rPr>
        <w:t>respondent’s</w:t>
      </w:r>
      <w:r w:rsidR="003F2DE1" w:rsidRPr="003F2DE1">
        <w:rPr>
          <w:lang w:val="en-CA"/>
        </w:rPr>
        <w:t xml:space="preserve"> </w:t>
      </w:r>
      <w:r w:rsidR="00BC180D">
        <w:rPr>
          <w:lang w:val="en-CA"/>
        </w:rPr>
        <w:t xml:space="preserve">sphincter </w:t>
      </w:r>
      <w:r w:rsidR="003F2DE1" w:rsidRPr="003F2DE1">
        <w:rPr>
          <w:lang w:val="en-CA"/>
        </w:rPr>
        <w:t xml:space="preserve">muscles that could have </w:t>
      </w:r>
      <w:r w:rsidR="00BC180D" w:rsidRPr="003F2DE1">
        <w:rPr>
          <w:lang w:val="en-CA"/>
        </w:rPr>
        <w:t>occurred</w:t>
      </w:r>
      <w:r w:rsidR="003F2DE1" w:rsidRPr="003F2DE1">
        <w:rPr>
          <w:lang w:val="en-CA"/>
        </w:rPr>
        <w:t xml:space="preserve"> at the time of delivery of the baby during the </w:t>
      </w:r>
      <w:r w:rsidR="00BC180D">
        <w:rPr>
          <w:lang w:val="en-CA"/>
        </w:rPr>
        <w:t xml:space="preserve">cutting and </w:t>
      </w:r>
      <w:proofErr w:type="spellStart"/>
      <w:r w:rsidR="00BC180D">
        <w:rPr>
          <w:lang w:val="en-CA"/>
        </w:rPr>
        <w:t>surturing</w:t>
      </w:r>
      <w:proofErr w:type="spellEnd"/>
      <w:r w:rsidR="00BC180D">
        <w:rPr>
          <w:lang w:val="en-CA"/>
        </w:rPr>
        <w:t xml:space="preserve"> </w:t>
      </w:r>
      <w:r w:rsidR="009C6E8E" w:rsidRPr="009C6E8E">
        <w:rPr>
          <w:lang w:val="en-CA"/>
        </w:rPr>
        <w:t xml:space="preserve">of the </w:t>
      </w:r>
      <w:r w:rsidR="004A03C9" w:rsidRPr="009C6E8E">
        <w:rPr>
          <w:lang w:val="en-CA"/>
        </w:rPr>
        <w:t>episiotomy</w:t>
      </w:r>
      <w:r w:rsidR="004A03C9">
        <w:rPr>
          <w:lang w:val="en-CA"/>
        </w:rPr>
        <w:t>. The d</w:t>
      </w:r>
      <w:r w:rsidR="009C6E8E" w:rsidRPr="009C6E8E">
        <w:rPr>
          <w:lang w:val="en-CA"/>
        </w:rPr>
        <w:t>el</w:t>
      </w:r>
      <w:r w:rsidR="009C6E8E">
        <w:rPr>
          <w:lang w:val="en-CA"/>
        </w:rPr>
        <w:t>i</w:t>
      </w:r>
      <w:r w:rsidR="009C6E8E" w:rsidRPr="009C6E8E">
        <w:rPr>
          <w:lang w:val="en-CA"/>
        </w:rPr>
        <w:t xml:space="preserve">very </w:t>
      </w:r>
      <w:r w:rsidR="00F427FA">
        <w:rPr>
          <w:lang w:val="en-CA"/>
        </w:rPr>
        <w:t xml:space="preserve">occurred on 28 March 2013. </w:t>
      </w:r>
      <w:r w:rsidR="00AE6663">
        <w:rPr>
          <w:lang w:val="en-CA"/>
        </w:rPr>
        <w:t>As such</w:t>
      </w:r>
      <w:r w:rsidR="00F46302">
        <w:rPr>
          <w:lang w:val="en-CA"/>
        </w:rPr>
        <w:t>, this period</w:t>
      </w:r>
      <w:r w:rsidR="001A7547">
        <w:rPr>
          <w:lang w:val="en-CA"/>
        </w:rPr>
        <w:t xml:space="preserve"> occurred outside of </w:t>
      </w:r>
      <w:r w:rsidR="0035391C">
        <w:rPr>
          <w:lang w:val="en-CA"/>
        </w:rPr>
        <w:t xml:space="preserve">and </w:t>
      </w:r>
      <w:r w:rsidR="00934946" w:rsidRPr="00934946">
        <w:rPr>
          <w:lang w:val="en-CA"/>
        </w:rPr>
        <w:t xml:space="preserve">before the issue of </w:t>
      </w:r>
      <w:r w:rsidR="002C7ADB">
        <w:rPr>
          <w:lang w:val="en-CA"/>
        </w:rPr>
        <w:t xml:space="preserve">the </w:t>
      </w:r>
      <w:r w:rsidR="00934946" w:rsidRPr="00934946">
        <w:rPr>
          <w:lang w:val="en-CA"/>
        </w:rPr>
        <w:t>summons</w:t>
      </w:r>
      <w:r w:rsidR="00934946">
        <w:rPr>
          <w:lang w:val="en-CA"/>
        </w:rPr>
        <w:t xml:space="preserve">. </w:t>
      </w:r>
      <w:r w:rsidR="00934946" w:rsidRPr="00934946">
        <w:rPr>
          <w:lang w:val="en-CA"/>
        </w:rPr>
        <w:t>A claim based on the</w:t>
      </w:r>
      <w:r w:rsidR="0035391C">
        <w:rPr>
          <w:lang w:val="en-CA"/>
        </w:rPr>
        <w:t xml:space="preserve"> episiotomy </w:t>
      </w:r>
      <w:r w:rsidR="00934946" w:rsidRPr="00934946">
        <w:rPr>
          <w:lang w:val="en-CA"/>
        </w:rPr>
        <w:t>would accordingly have prescribed on 28 March 2016</w:t>
      </w:r>
      <w:r w:rsidR="00B43400">
        <w:rPr>
          <w:lang w:val="en-CA"/>
        </w:rPr>
        <w:t>.</w:t>
      </w:r>
      <w:r w:rsidR="00B43400" w:rsidRPr="00B43400">
        <w:rPr>
          <w:lang w:val="en-CA"/>
        </w:rPr>
        <w:t xml:space="preserve"> </w:t>
      </w:r>
      <w:r w:rsidR="00FA0E1C">
        <w:rPr>
          <w:lang w:val="en-CA"/>
        </w:rPr>
        <w:t>The applicant could n</w:t>
      </w:r>
      <w:r w:rsidR="00B43400" w:rsidRPr="00B43400">
        <w:rPr>
          <w:lang w:val="en-CA"/>
        </w:rPr>
        <w:t xml:space="preserve">ot </w:t>
      </w:r>
      <w:r w:rsidR="002C7ADB">
        <w:rPr>
          <w:lang w:val="en-CA"/>
        </w:rPr>
        <w:t>be held liable for such injury, which occurred</w:t>
      </w:r>
      <w:r w:rsidR="00B43400" w:rsidRPr="00B43400">
        <w:rPr>
          <w:lang w:val="en-CA"/>
        </w:rPr>
        <w:t xml:space="preserve"> four years earlier than the issue of summons</w:t>
      </w:r>
      <w:r w:rsidR="00B43400">
        <w:rPr>
          <w:lang w:val="en-CA"/>
        </w:rPr>
        <w:t xml:space="preserve">. </w:t>
      </w:r>
    </w:p>
    <w:p w14:paraId="49043D32" w14:textId="77777777" w:rsidR="002C7ADB" w:rsidRDefault="002C7ADB" w:rsidP="00A67E96">
      <w:pPr>
        <w:pStyle w:val="JudgmentNumbered"/>
        <w:numPr>
          <w:ilvl w:val="0"/>
          <w:numId w:val="0"/>
        </w:numPr>
        <w:spacing w:after="0"/>
        <w:ind w:left="567" w:hanging="567"/>
        <w:rPr>
          <w:lang w:val="en-CA"/>
        </w:rPr>
      </w:pPr>
    </w:p>
    <w:p w14:paraId="4D6FD97A" w14:textId="03D1F4DA" w:rsidR="00DB1845" w:rsidRDefault="00DB1845" w:rsidP="00A67E96">
      <w:pPr>
        <w:pStyle w:val="JudgmentNumbered"/>
        <w:numPr>
          <w:ilvl w:val="0"/>
          <w:numId w:val="0"/>
        </w:numPr>
        <w:spacing w:after="0"/>
        <w:ind w:left="567" w:hanging="567"/>
        <w:rPr>
          <w:lang w:val="en-CA"/>
        </w:rPr>
      </w:pPr>
      <w:r>
        <w:rPr>
          <w:lang w:val="en-CA"/>
        </w:rPr>
        <w:t>[3]</w:t>
      </w:r>
      <w:r>
        <w:rPr>
          <w:lang w:val="en-CA"/>
        </w:rPr>
        <w:tab/>
      </w:r>
      <w:r w:rsidR="00977385">
        <w:rPr>
          <w:lang w:val="en-CA"/>
        </w:rPr>
        <w:t>I</w:t>
      </w:r>
      <w:r w:rsidR="009B5EB8" w:rsidRPr="009B5EB8">
        <w:rPr>
          <w:lang w:val="en-CA"/>
        </w:rPr>
        <w:t xml:space="preserve">t is also contended that the court </w:t>
      </w:r>
      <w:r w:rsidR="00BE4801">
        <w:rPr>
          <w:lang w:val="en-CA"/>
        </w:rPr>
        <w:t>erred</w:t>
      </w:r>
      <w:r w:rsidR="009B5EB8" w:rsidRPr="009B5EB8">
        <w:rPr>
          <w:lang w:val="en-CA"/>
        </w:rPr>
        <w:t xml:space="preserve"> in failing to consider the respondent</w:t>
      </w:r>
      <w:r w:rsidR="00BE4801">
        <w:rPr>
          <w:lang w:val="en-CA"/>
        </w:rPr>
        <w:t>’s</w:t>
      </w:r>
    </w:p>
    <w:p w14:paraId="2F16B25E" w14:textId="01A47617" w:rsidR="007A20E2" w:rsidRDefault="00BE4801" w:rsidP="00A67E96">
      <w:pPr>
        <w:pStyle w:val="JudgmentNumbered"/>
        <w:numPr>
          <w:ilvl w:val="0"/>
          <w:numId w:val="0"/>
        </w:numPr>
        <w:spacing w:after="0"/>
        <w:ind w:left="567" w:hanging="567"/>
        <w:rPr>
          <w:lang w:val="en-CA"/>
        </w:rPr>
      </w:pPr>
      <w:r>
        <w:rPr>
          <w:lang w:val="en-CA"/>
        </w:rPr>
        <w:t xml:space="preserve">         </w:t>
      </w:r>
      <w:r w:rsidR="00470585" w:rsidRPr="00470585">
        <w:rPr>
          <w:lang w:val="en-CA"/>
        </w:rPr>
        <w:t xml:space="preserve">case as </w:t>
      </w:r>
      <w:r w:rsidR="00D57085">
        <w:rPr>
          <w:lang w:val="en-CA"/>
        </w:rPr>
        <w:t>set out</w:t>
      </w:r>
      <w:r w:rsidR="00A16D40">
        <w:rPr>
          <w:lang w:val="en-CA"/>
        </w:rPr>
        <w:t xml:space="preserve"> </w:t>
      </w:r>
      <w:r w:rsidR="00470585" w:rsidRPr="00470585">
        <w:rPr>
          <w:lang w:val="en-CA"/>
        </w:rPr>
        <w:t xml:space="preserve">in the particulars of </w:t>
      </w:r>
      <w:r w:rsidR="007B492C">
        <w:rPr>
          <w:lang w:val="en-CA"/>
        </w:rPr>
        <w:t xml:space="preserve">the </w:t>
      </w:r>
      <w:r w:rsidR="00470585" w:rsidRPr="00470585">
        <w:rPr>
          <w:lang w:val="en-CA"/>
        </w:rPr>
        <w:t>claim</w:t>
      </w:r>
      <w:r>
        <w:rPr>
          <w:lang w:val="en-CA"/>
        </w:rPr>
        <w:t xml:space="preserve">, where it </w:t>
      </w:r>
      <w:r w:rsidR="00470585" w:rsidRPr="00470585">
        <w:rPr>
          <w:lang w:val="en-CA"/>
        </w:rPr>
        <w:t>alleged that the applicant</w:t>
      </w:r>
      <w:r w:rsidR="00A16D40">
        <w:rPr>
          <w:lang w:val="en-CA"/>
        </w:rPr>
        <w:t>’s</w:t>
      </w:r>
      <w:r w:rsidR="00470585" w:rsidRPr="00470585">
        <w:rPr>
          <w:lang w:val="en-CA"/>
        </w:rPr>
        <w:t xml:space="preserve"> surgeon was negligent in failing to recognise </w:t>
      </w:r>
      <w:r w:rsidR="00F9453D">
        <w:rPr>
          <w:lang w:val="en-CA"/>
        </w:rPr>
        <w:t xml:space="preserve">the </w:t>
      </w:r>
      <w:r w:rsidR="00470585" w:rsidRPr="00470585">
        <w:rPr>
          <w:lang w:val="en-CA"/>
        </w:rPr>
        <w:t>harm</w:t>
      </w:r>
      <w:r w:rsidR="006E3360">
        <w:rPr>
          <w:lang w:val="en-CA"/>
        </w:rPr>
        <w:t xml:space="preserve"> </w:t>
      </w:r>
      <w:r w:rsidR="00470585" w:rsidRPr="00470585">
        <w:rPr>
          <w:lang w:val="en-CA"/>
        </w:rPr>
        <w:t xml:space="preserve">caused </w:t>
      </w:r>
      <w:r w:rsidR="00F9453D">
        <w:rPr>
          <w:lang w:val="en-CA"/>
        </w:rPr>
        <w:t>to</w:t>
      </w:r>
      <w:r w:rsidR="00470585" w:rsidRPr="00470585">
        <w:rPr>
          <w:lang w:val="en-CA"/>
        </w:rPr>
        <w:t xml:space="preserve"> the</w:t>
      </w:r>
      <w:r w:rsidR="006E3360">
        <w:rPr>
          <w:lang w:val="en-CA"/>
        </w:rPr>
        <w:t xml:space="preserve"> </w:t>
      </w:r>
      <w:r w:rsidR="00470585" w:rsidRPr="00470585">
        <w:rPr>
          <w:lang w:val="en-CA"/>
        </w:rPr>
        <w:t>sphincter</w:t>
      </w:r>
      <w:r w:rsidR="00F9453D">
        <w:rPr>
          <w:lang w:val="en-CA"/>
        </w:rPr>
        <w:t xml:space="preserve"> muscle</w:t>
      </w:r>
      <w:r w:rsidR="00470585" w:rsidRPr="00470585">
        <w:rPr>
          <w:lang w:val="en-CA"/>
        </w:rPr>
        <w:t xml:space="preserve"> on 7 February 2014</w:t>
      </w:r>
      <w:r w:rsidR="006E3360">
        <w:rPr>
          <w:lang w:val="en-CA"/>
        </w:rPr>
        <w:t>.</w:t>
      </w:r>
      <w:r w:rsidR="00E97A14">
        <w:rPr>
          <w:lang w:val="en-CA"/>
        </w:rPr>
        <w:t xml:space="preserve"> The court erred </w:t>
      </w:r>
      <w:r w:rsidR="00EE6614">
        <w:rPr>
          <w:lang w:val="en-CA"/>
        </w:rPr>
        <w:t xml:space="preserve">in finding the applicant liable for </w:t>
      </w:r>
      <w:r w:rsidR="00C34161">
        <w:rPr>
          <w:lang w:val="en-CA"/>
        </w:rPr>
        <w:t xml:space="preserve">the </w:t>
      </w:r>
      <w:r w:rsidR="00A70674">
        <w:rPr>
          <w:lang w:val="en-CA"/>
        </w:rPr>
        <w:t>sphincter</w:t>
      </w:r>
      <w:r w:rsidR="00EE6614">
        <w:rPr>
          <w:lang w:val="en-CA"/>
        </w:rPr>
        <w:t xml:space="preserve"> injury that occurred at the time of delivery</w:t>
      </w:r>
      <w:r w:rsidR="00AA0DB4">
        <w:rPr>
          <w:lang w:val="en-CA"/>
        </w:rPr>
        <w:t xml:space="preserve"> when the respondent specifically excluded that period from </w:t>
      </w:r>
      <w:r w:rsidR="00E66636">
        <w:rPr>
          <w:lang w:val="en-CA"/>
        </w:rPr>
        <w:t>its particulars of claim</w:t>
      </w:r>
      <w:r w:rsidR="006B0AA9">
        <w:rPr>
          <w:lang w:val="en-CA"/>
        </w:rPr>
        <w:t xml:space="preserve">, opening address and during </w:t>
      </w:r>
      <w:r w:rsidR="007B492C">
        <w:rPr>
          <w:lang w:val="en-CA"/>
        </w:rPr>
        <w:t xml:space="preserve">the </w:t>
      </w:r>
      <w:r w:rsidR="006B0AA9">
        <w:rPr>
          <w:lang w:val="en-CA"/>
        </w:rPr>
        <w:t>tria</w:t>
      </w:r>
      <w:r w:rsidR="0063738F">
        <w:rPr>
          <w:lang w:val="en-CA"/>
        </w:rPr>
        <w:t>l.</w:t>
      </w:r>
      <w:r w:rsidR="007B492C">
        <w:rPr>
          <w:lang w:val="en-CA"/>
        </w:rPr>
        <w:t xml:space="preserve"> Thus</w:t>
      </w:r>
      <w:r w:rsidR="00C34161">
        <w:rPr>
          <w:lang w:val="en-CA"/>
        </w:rPr>
        <w:t>, it</w:t>
      </w:r>
      <w:r w:rsidR="007B492C">
        <w:rPr>
          <w:lang w:val="en-CA"/>
        </w:rPr>
        <w:t xml:space="preserve"> denied the applicant an opportunity to defend itself against a claim based on </w:t>
      </w:r>
      <w:r w:rsidR="00F5560B">
        <w:rPr>
          <w:lang w:val="en-CA"/>
        </w:rPr>
        <w:t>cutting or suturing of the episiotomy.</w:t>
      </w:r>
    </w:p>
    <w:p w14:paraId="56FF2F18" w14:textId="77777777" w:rsidR="00A3749B" w:rsidRDefault="00A3749B" w:rsidP="00A67E96">
      <w:pPr>
        <w:pStyle w:val="JudgmentNumbered"/>
        <w:numPr>
          <w:ilvl w:val="0"/>
          <w:numId w:val="0"/>
        </w:numPr>
        <w:spacing w:after="0"/>
        <w:ind w:left="567" w:hanging="567"/>
        <w:rPr>
          <w:lang w:val="en-CA"/>
        </w:rPr>
      </w:pPr>
    </w:p>
    <w:p w14:paraId="78951467" w14:textId="32440B2C" w:rsidR="007A20E2" w:rsidRDefault="007A20E2" w:rsidP="00A67E96">
      <w:pPr>
        <w:pStyle w:val="JudgmentNumbered"/>
        <w:numPr>
          <w:ilvl w:val="0"/>
          <w:numId w:val="0"/>
        </w:numPr>
        <w:spacing w:after="0"/>
        <w:ind w:left="567" w:hanging="567"/>
        <w:rPr>
          <w:lang w:val="en-CA"/>
        </w:rPr>
      </w:pPr>
      <w:r>
        <w:rPr>
          <w:lang w:val="en-CA"/>
        </w:rPr>
        <w:t>[4]</w:t>
      </w:r>
      <w:r>
        <w:rPr>
          <w:lang w:val="en-CA"/>
        </w:rPr>
        <w:tab/>
      </w:r>
      <w:r w:rsidR="00C6326B">
        <w:rPr>
          <w:lang w:val="en-CA"/>
        </w:rPr>
        <w:t xml:space="preserve">The court erred in finding that Dr Francis </w:t>
      </w:r>
      <w:r w:rsidR="00A3749B">
        <w:rPr>
          <w:lang w:val="en-CA"/>
        </w:rPr>
        <w:t>did</w:t>
      </w:r>
      <w:r w:rsidR="00C6326B">
        <w:rPr>
          <w:lang w:val="en-CA"/>
        </w:rPr>
        <w:t xml:space="preserve"> not see the </w:t>
      </w:r>
      <w:r w:rsidR="00A3749B">
        <w:rPr>
          <w:lang w:val="en-CA"/>
        </w:rPr>
        <w:t xml:space="preserve">red-striated muscle of the internal </w:t>
      </w:r>
      <w:r w:rsidR="00D57085">
        <w:rPr>
          <w:lang w:val="en-CA"/>
        </w:rPr>
        <w:t>anal</w:t>
      </w:r>
      <w:r w:rsidR="00A3749B">
        <w:rPr>
          <w:lang w:val="en-CA"/>
        </w:rPr>
        <w:t xml:space="preserve"> sphinct</w:t>
      </w:r>
      <w:r w:rsidR="00865728">
        <w:rPr>
          <w:lang w:val="en-CA"/>
        </w:rPr>
        <w:t xml:space="preserve">er. Dr Francis explained </w:t>
      </w:r>
      <w:r w:rsidR="00BF6C3E">
        <w:rPr>
          <w:lang w:val="en-CA"/>
        </w:rPr>
        <w:t xml:space="preserve">it was difficult to distinguish between anatomical structures as </w:t>
      </w:r>
      <w:r w:rsidR="00524FC2">
        <w:rPr>
          <w:lang w:val="en-CA"/>
        </w:rPr>
        <w:t>sepsis distorted them</w:t>
      </w:r>
      <w:r w:rsidR="00FE26C4">
        <w:rPr>
          <w:lang w:val="en-CA"/>
        </w:rPr>
        <w:t>. Dr Francis said that despite the distorted anatomy</w:t>
      </w:r>
      <w:r w:rsidR="00977385">
        <w:rPr>
          <w:lang w:val="en-CA"/>
        </w:rPr>
        <w:t>,</w:t>
      </w:r>
      <w:r w:rsidR="00FE26C4">
        <w:rPr>
          <w:lang w:val="en-CA"/>
        </w:rPr>
        <w:t xml:space="preserve"> he could see the red</w:t>
      </w:r>
      <w:r w:rsidR="00ED0083">
        <w:rPr>
          <w:lang w:val="en-CA"/>
        </w:rPr>
        <w:t xml:space="preserve"> sphincter muscle</w:t>
      </w:r>
      <w:r w:rsidR="007615A3">
        <w:rPr>
          <w:lang w:val="en-CA"/>
        </w:rPr>
        <w:t xml:space="preserve">. The court erred in failing to accept that </w:t>
      </w:r>
      <w:r w:rsidR="00734650">
        <w:rPr>
          <w:lang w:val="en-CA"/>
        </w:rPr>
        <w:t xml:space="preserve">severance of the sphincter muscles is a recognised and normal complication of a </w:t>
      </w:r>
      <w:r w:rsidR="002536DD">
        <w:rPr>
          <w:lang w:val="en-CA"/>
        </w:rPr>
        <w:t>fistulectomy.</w:t>
      </w:r>
      <w:r w:rsidR="00977385">
        <w:rPr>
          <w:lang w:val="en-CA"/>
        </w:rPr>
        <w:t xml:space="preserve"> The surgeon cannot be held liable for the causation of such a normal complication</w:t>
      </w:r>
      <w:r w:rsidR="009417C3">
        <w:rPr>
          <w:lang w:val="en-CA"/>
        </w:rPr>
        <w:t>. Thus</w:t>
      </w:r>
      <w:r w:rsidR="00F53F16">
        <w:rPr>
          <w:lang w:val="en-CA"/>
        </w:rPr>
        <w:t xml:space="preserve">, the court did not consider the trite principle in medical negligence cases that </w:t>
      </w:r>
      <w:proofErr w:type="gramStart"/>
      <w:r w:rsidR="00F538C0">
        <w:rPr>
          <w:lang w:val="en-CA"/>
        </w:rPr>
        <w:t>“ with</w:t>
      </w:r>
      <w:proofErr w:type="gramEnd"/>
      <w:r w:rsidR="00F53F16">
        <w:rPr>
          <w:lang w:val="en-CA"/>
        </w:rPr>
        <w:t xml:space="preserve"> the best will in the world</w:t>
      </w:r>
      <w:r w:rsidR="00AF0EA3">
        <w:rPr>
          <w:lang w:val="en-CA"/>
        </w:rPr>
        <w:t xml:space="preserve"> </w:t>
      </w:r>
      <w:r w:rsidR="00AF0EA3">
        <w:rPr>
          <w:lang w:val="en-CA"/>
        </w:rPr>
        <w:lastRenderedPageBreak/>
        <w:t>things sometimes went amiss in surgical operations or medi</w:t>
      </w:r>
      <w:r w:rsidR="00F538C0">
        <w:rPr>
          <w:lang w:val="en-CA"/>
        </w:rPr>
        <w:t>c</w:t>
      </w:r>
      <w:r w:rsidR="00AF0EA3">
        <w:rPr>
          <w:lang w:val="en-CA"/>
        </w:rPr>
        <w:t xml:space="preserve">al treatment. A doctor was not to be held negligent </w:t>
      </w:r>
      <w:r w:rsidR="00ED57A4">
        <w:rPr>
          <w:lang w:val="en-CA"/>
        </w:rPr>
        <w:t>simpl</w:t>
      </w:r>
      <w:r w:rsidR="00DB4B8E">
        <w:rPr>
          <w:lang w:val="en-CA"/>
        </w:rPr>
        <w:t>y</w:t>
      </w:r>
      <w:r w:rsidR="00ED57A4">
        <w:rPr>
          <w:lang w:val="en-CA"/>
        </w:rPr>
        <w:t xml:space="preserve"> because something </w:t>
      </w:r>
      <w:r w:rsidR="00241707">
        <w:rPr>
          <w:lang w:val="en-CA"/>
        </w:rPr>
        <w:t>went</w:t>
      </w:r>
      <w:r w:rsidR="00ED57A4">
        <w:rPr>
          <w:lang w:val="en-CA"/>
        </w:rPr>
        <w:t xml:space="preserve"> wrong”</w:t>
      </w:r>
      <w:r w:rsidR="00ED57A4">
        <w:rPr>
          <w:rStyle w:val="FootnoteReference"/>
          <w:lang w:val="en-CA"/>
        </w:rPr>
        <w:footnoteReference w:id="1"/>
      </w:r>
      <w:r w:rsidR="00BD3E85">
        <w:rPr>
          <w:lang w:val="en-CA"/>
        </w:rPr>
        <w:t>.</w:t>
      </w:r>
    </w:p>
    <w:p w14:paraId="0514A24F" w14:textId="77777777" w:rsidR="00BD3E85" w:rsidRDefault="00BD3E85" w:rsidP="00A67E96">
      <w:pPr>
        <w:pStyle w:val="JudgmentNumbered"/>
        <w:numPr>
          <w:ilvl w:val="0"/>
          <w:numId w:val="0"/>
        </w:numPr>
        <w:spacing w:after="0"/>
        <w:ind w:left="567" w:hanging="567"/>
        <w:rPr>
          <w:lang w:val="en-CA"/>
        </w:rPr>
      </w:pPr>
    </w:p>
    <w:p w14:paraId="2DF667A4" w14:textId="7697F584" w:rsidR="00BD3E85" w:rsidRDefault="004A0C2B" w:rsidP="00A67E96">
      <w:pPr>
        <w:pStyle w:val="JudgmentNumbered"/>
        <w:numPr>
          <w:ilvl w:val="0"/>
          <w:numId w:val="0"/>
        </w:numPr>
        <w:spacing w:after="0"/>
        <w:ind w:left="567" w:hanging="567"/>
        <w:rPr>
          <w:rFonts w:eastAsia="Times New Roman"/>
          <w:color w:val="000000"/>
          <w:kern w:val="28"/>
          <w:szCs w:val="24"/>
          <w:lang w:val="en-CA" w:eastAsia="en-GB"/>
        </w:rPr>
      </w:pPr>
      <w:r>
        <w:rPr>
          <w:lang w:val="en-CA"/>
        </w:rPr>
        <w:t>[5]</w:t>
      </w:r>
      <w:r>
        <w:rPr>
          <w:lang w:val="en-CA"/>
        </w:rPr>
        <w:tab/>
      </w:r>
      <w:r w:rsidR="00CB1756">
        <w:rPr>
          <w:rFonts w:eastAsia="Times New Roman"/>
          <w:color w:val="000000"/>
          <w:kern w:val="28"/>
          <w:szCs w:val="24"/>
          <w:lang w:val="en-CA" w:eastAsia="en-GB"/>
        </w:rPr>
        <w:t xml:space="preserve">The </w:t>
      </w:r>
      <w:r w:rsidR="00F538C0">
        <w:rPr>
          <w:rFonts w:eastAsia="Times New Roman"/>
          <w:color w:val="000000"/>
          <w:kern w:val="28"/>
          <w:szCs w:val="24"/>
          <w:lang w:val="en-CA" w:eastAsia="en-GB"/>
        </w:rPr>
        <w:t xml:space="preserve">established </w:t>
      </w:r>
      <w:r w:rsidR="00F538C0" w:rsidRPr="00E72DDD">
        <w:rPr>
          <w:rFonts w:eastAsia="Times New Roman"/>
          <w:color w:val="000000"/>
          <w:kern w:val="28"/>
          <w:szCs w:val="24"/>
          <w:lang w:val="en-CA" w:eastAsia="en-GB"/>
        </w:rPr>
        <w:t>test</w:t>
      </w:r>
      <w:r w:rsidR="00E72DDD" w:rsidRPr="00E72DDD">
        <w:rPr>
          <w:rFonts w:eastAsia="Times New Roman"/>
          <w:color w:val="000000"/>
          <w:kern w:val="28"/>
          <w:szCs w:val="24"/>
          <w:lang w:val="en-CA" w:eastAsia="en-GB"/>
        </w:rPr>
        <w:t xml:space="preserve"> for leave to appeal </w:t>
      </w:r>
      <w:r w:rsidR="00053CB7">
        <w:rPr>
          <w:rFonts w:eastAsia="Times New Roman"/>
          <w:color w:val="000000"/>
          <w:kern w:val="28"/>
          <w:szCs w:val="24"/>
          <w:lang w:val="en-CA" w:eastAsia="en-GB"/>
        </w:rPr>
        <w:t>encompassed in</w:t>
      </w:r>
      <w:r w:rsidR="00E72DDD" w:rsidRPr="00E72DDD">
        <w:rPr>
          <w:rFonts w:eastAsia="Times New Roman"/>
          <w:color w:val="000000"/>
          <w:kern w:val="28"/>
          <w:szCs w:val="24"/>
          <w:lang w:val="en-CA" w:eastAsia="en-GB"/>
        </w:rPr>
        <w:t xml:space="preserve"> section 17(1)(a) of the Superior Courts Act 10 of 2013</w:t>
      </w:r>
      <w:r w:rsidR="00205FD0">
        <w:rPr>
          <w:rFonts w:eastAsia="Times New Roman"/>
          <w:color w:val="000000"/>
          <w:kern w:val="28"/>
          <w:szCs w:val="24"/>
          <w:lang w:val="en-CA" w:eastAsia="en-GB"/>
        </w:rPr>
        <w:t xml:space="preserve"> po</w:t>
      </w:r>
      <w:r w:rsidR="009B796C">
        <w:rPr>
          <w:rFonts w:eastAsia="Times New Roman"/>
          <w:color w:val="000000"/>
          <w:kern w:val="28"/>
          <w:szCs w:val="24"/>
          <w:lang w:val="en-CA" w:eastAsia="en-GB"/>
        </w:rPr>
        <w:t xml:space="preserve">sits </w:t>
      </w:r>
      <w:r w:rsidR="00E72DDD" w:rsidRPr="00E72DDD">
        <w:rPr>
          <w:rFonts w:eastAsia="Times New Roman"/>
          <w:color w:val="000000"/>
          <w:kern w:val="28"/>
          <w:szCs w:val="24"/>
          <w:lang w:val="en-CA" w:eastAsia="en-GB"/>
        </w:rPr>
        <w:t xml:space="preserve">whether reasonable prospects of success </w:t>
      </w:r>
      <w:r w:rsidR="00F57E8B">
        <w:rPr>
          <w:rFonts w:eastAsia="Times New Roman"/>
          <w:color w:val="000000"/>
          <w:kern w:val="28"/>
          <w:szCs w:val="24"/>
          <w:lang w:val="en-CA" w:eastAsia="en-GB"/>
        </w:rPr>
        <w:t>exist; the</w:t>
      </w:r>
      <w:r w:rsidR="00E72DDD" w:rsidRPr="00E72DDD">
        <w:rPr>
          <w:rFonts w:eastAsia="Times New Roman"/>
          <w:color w:val="000000"/>
          <w:kern w:val="28"/>
          <w:szCs w:val="24"/>
          <w:lang w:val="en-CA" w:eastAsia="en-GB"/>
        </w:rPr>
        <w:t xml:space="preserve"> tests refer to </w:t>
      </w:r>
      <w:r w:rsidR="009B796C">
        <w:rPr>
          <w:rFonts w:eastAsia="Times New Roman"/>
          <w:color w:val="000000"/>
          <w:kern w:val="28"/>
          <w:szCs w:val="24"/>
          <w:lang w:val="en-CA" w:eastAsia="en-GB"/>
        </w:rPr>
        <w:t>are</w:t>
      </w:r>
      <w:r w:rsidR="00E72DDD" w:rsidRPr="00E72DDD">
        <w:rPr>
          <w:rFonts w:eastAsia="Times New Roman"/>
          <w:color w:val="000000"/>
          <w:kern w:val="28"/>
          <w:szCs w:val="24"/>
          <w:lang w:val="en-CA" w:eastAsia="en-GB"/>
        </w:rPr>
        <w:t xml:space="preserve"> the </w:t>
      </w:r>
      <w:r w:rsidR="00F57E8B">
        <w:rPr>
          <w:rFonts w:eastAsia="Times New Roman"/>
          <w:color w:val="000000"/>
          <w:kern w:val="28"/>
          <w:szCs w:val="24"/>
          <w:lang w:val="en-CA" w:eastAsia="en-GB"/>
        </w:rPr>
        <w:t>oft-cited</w:t>
      </w:r>
      <w:r w:rsidR="00E72DDD" w:rsidRPr="00E72DDD">
        <w:rPr>
          <w:rFonts w:eastAsia="Times New Roman"/>
          <w:color w:val="000000"/>
          <w:kern w:val="28"/>
          <w:szCs w:val="24"/>
          <w:lang w:val="en-CA" w:eastAsia="en-GB"/>
        </w:rPr>
        <w:t xml:space="preserve"> </w:t>
      </w:r>
      <w:r w:rsidR="00E72DDD" w:rsidRPr="00E72DDD">
        <w:rPr>
          <w:rFonts w:eastAsia="Times New Roman"/>
          <w:i/>
          <w:iCs/>
          <w:color w:val="000000"/>
          <w:kern w:val="28"/>
          <w:szCs w:val="24"/>
          <w:lang w:val="en-CA" w:eastAsia="en-GB"/>
        </w:rPr>
        <w:t xml:space="preserve">Mont </w:t>
      </w:r>
      <w:proofErr w:type="spellStart"/>
      <w:r w:rsidR="00E72DDD" w:rsidRPr="00E72DDD">
        <w:rPr>
          <w:rFonts w:eastAsia="Times New Roman"/>
          <w:i/>
          <w:iCs/>
          <w:color w:val="000000"/>
          <w:kern w:val="28"/>
          <w:szCs w:val="24"/>
          <w:lang w:val="en-CA" w:eastAsia="en-GB"/>
        </w:rPr>
        <w:t>Chevaux</w:t>
      </w:r>
      <w:proofErr w:type="spellEnd"/>
      <w:r w:rsidR="00E72DDD" w:rsidRPr="00E72DDD">
        <w:rPr>
          <w:rFonts w:eastAsia="Times New Roman"/>
          <w:i/>
          <w:iCs/>
          <w:color w:val="000000"/>
          <w:kern w:val="28"/>
          <w:szCs w:val="24"/>
          <w:lang w:val="en-CA" w:eastAsia="en-GB"/>
        </w:rPr>
        <w:t xml:space="preserve"> Trust v Goosen</w:t>
      </w:r>
      <w:r w:rsidR="00E72DDD" w:rsidRPr="00E72DDD">
        <w:rPr>
          <w:rFonts w:eastAsia="Times New Roman"/>
          <w:color w:val="000000"/>
          <w:kern w:val="28"/>
          <w:szCs w:val="24"/>
          <w:vertAlign w:val="superscript"/>
          <w:lang w:val="en-CA" w:eastAsia="en-GB"/>
        </w:rPr>
        <w:footnoteReference w:id="2"/>
      </w:r>
      <w:r w:rsidR="00E72DDD" w:rsidRPr="00E72DDD">
        <w:rPr>
          <w:rFonts w:eastAsia="Times New Roman"/>
          <w:color w:val="000000"/>
          <w:kern w:val="28"/>
          <w:szCs w:val="24"/>
          <w:lang w:val="en-CA" w:eastAsia="en-GB"/>
        </w:rPr>
        <w:t xml:space="preserve"> and </w:t>
      </w:r>
      <w:proofErr w:type="spellStart"/>
      <w:r w:rsidR="00E72DDD" w:rsidRPr="00E72DDD">
        <w:rPr>
          <w:rFonts w:eastAsia="Times New Roman"/>
          <w:i/>
          <w:iCs/>
          <w:color w:val="000000"/>
          <w:kern w:val="28"/>
          <w:szCs w:val="24"/>
          <w:lang w:val="en-CA" w:eastAsia="en-GB"/>
        </w:rPr>
        <w:t>Ramakatsa</w:t>
      </w:r>
      <w:proofErr w:type="spellEnd"/>
      <w:r w:rsidR="00E72DDD" w:rsidRPr="00E72DDD">
        <w:rPr>
          <w:rFonts w:eastAsia="Times New Roman"/>
          <w:i/>
          <w:iCs/>
          <w:color w:val="000000"/>
          <w:kern w:val="28"/>
          <w:szCs w:val="24"/>
          <w:lang w:val="en-CA" w:eastAsia="en-GB"/>
        </w:rPr>
        <w:t xml:space="preserve"> and Others v African National Congress and Another</w:t>
      </w:r>
      <w:r w:rsidR="00E72DDD" w:rsidRPr="00E72DDD">
        <w:rPr>
          <w:rFonts w:eastAsia="Times New Roman"/>
          <w:i/>
          <w:iCs/>
          <w:color w:val="000000"/>
          <w:kern w:val="28"/>
          <w:szCs w:val="24"/>
          <w:vertAlign w:val="superscript"/>
          <w:lang w:val="en-CA" w:eastAsia="en-GB"/>
        </w:rPr>
        <w:footnoteReference w:id="3"/>
      </w:r>
      <w:r w:rsidR="00E72DDD" w:rsidRPr="00E72DDD">
        <w:rPr>
          <w:rFonts w:eastAsia="Times New Roman"/>
          <w:i/>
          <w:iCs/>
          <w:color w:val="000000"/>
          <w:kern w:val="28"/>
          <w:szCs w:val="24"/>
          <w:lang w:val="en-CA" w:eastAsia="en-GB"/>
        </w:rPr>
        <w:t xml:space="preserve"> </w:t>
      </w:r>
      <w:r w:rsidR="00E72DDD" w:rsidRPr="00E72DDD">
        <w:rPr>
          <w:rFonts w:eastAsia="Times New Roman"/>
          <w:color w:val="000000"/>
          <w:kern w:val="28"/>
          <w:szCs w:val="24"/>
          <w:lang w:val="en-CA" w:eastAsia="en-GB"/>
        </w:rPr>
        <w:t xml:space="preserve"> where the Supreme Court of Appeal indicated that there might be reasons to entertain an appeal:</w:t>
      </w:r>
    </w:p>
    <w:p w14:paraId="510CF413" w14:textId="3E77928B" w:rsidR="00716473" w:rsidRPr="008D2F39" w:rsidRDefault="00822A3C" w:rsidP="008D2F39">
      <w:pPr>
        <w:pStyle w:val="JudgmentNumbered"/>
        <w:numPr>
          <w:ilvl w:val="0"/>
          <w:numId w:val="0"/>
        </w:numPr>
        <w:spacing w:after="0"/>
        <w:ind w:left="1440"/>
        <w:rPr>
          <w:rFonts w:eastAsia="Times New Roman"/>
          <w:color w:val="242121"/>
          <w:sz w:val="22"/>
          <w:shd w:val="clear" w:color="auto" w:fill="FFFFFF"/>
          <w:lang w:eastAsia="en-GB"/>
        </w:rPr>
      </w:pPr>
      <w:r>
        <w:rPr>
          <w:rFonts w:eastAsia="Times New Roman"/>
          <w:color w:val="242121"/>
          <w:sz w:val="22"/>
          <w:shd w:val="clear" w:color="auto" w:fill="FFFFFF"/>
          <w:lang w:eastAsia="en-GB"/>
        </w:rPr>
        <w:t>[10</w:t>
      </w:r>
      <w:r w:rsidR="00A95191" w:rsidRPr="00A95191">
        <w:rPr>
          <w:rFonts w:eastAsia="Times New Roman"/>
          <w:color w:val="242121"/>
          <w:sz w:val="22"/>
          <w:shd w:val="clear" w:color="auto" w:fill="FFFFFF"/>
          <w:lang w:eastAsia="en-GB"/>
        </w:rPr>
        <w:t>]      Turning the focus to the relevant provisions of the Superior Courts “Act</w:t>
      </w:r>
      <w:bookmarkStart w:id="0" w:name="_ftnref5"/>
      <w:r w:rsidR="00A95191" w:rsidRPr="00A95191">
        <w:rPr>
          <w:rFonts w:eastAsia="Times New Roman"/>
          <w:color w:val="242121"/>
          <w:sz w:val="22"/>
          <w:shd w:val="clear" w:color="auto" w:fill="FFFFFF"/>
          <w:lang w:eastAsia="en-GB"/>
        </w:rPr>
        <w:fldChar w:fldCharType="begin"/>
      </w:r>
      <w:r w:rsidR="00A95191" w:rsidRPr="00A95191">
        <w:rPr>
          <w:rFonts w:eastAsia="Times New Roman"/>
          <w:color w:val="242121"/>
          <w:sz w:val="22"/>
          <w:shd w:val="clear" w:color="auto" w:fill="FFFFFF"/>
          <w:lang w:eastAsia="en-GB"/>
        </w:rPr>
        <w:instrText>HYPERLINK "https://www.saflii.org/za/cases/ZASCA/2021/31.html" \l "_ftn5"</w:instrText>
      </w:r>
      <w:r w:rsidR="00A95191" w:rsidRPr="00A95191">
        <w:rPr>
          <w:rFonts w:eastAsia="Times New Roman"/>
          <w:color w:val="242121"/>
          <w:sz w:val="22"/>
          <w:shd w:val="clear" w:color="auto" w:fill="FFFFFF"/>
          <w:lang w:eastAsia="en-GB"/>
        </w:rPr>
      </w:r>
      <w:r w:rsidR="00A95191" w:rsidRPr="00A95191">
        <w:rPr>
          <w:rFonts w:eastAsia="Times New Roman"/>
          <w:color w:val="242121"/>
          <w:sz w:val="22"/>
          <w:shd w:val="clear" w:color="auto" w:fill="FFFFFF"/>
          <w:lang w:eastAsia="en-GB"/>
        </w:rPr>
        <w:fldChar w:fldCharType="separate"/>
      </w:r>
      <w:r w:rsidR="00A95191" w:rsidRPr="00A95191">
        <w:rPr>
          <w:rFonts w:eastAsia="Times New Roman"/>
          <w:color w:val="0B4B0B"/>
          <w:sz w:val="22"/>
          <w:shd w:val="clear" w:color="auto" w:fill="FFFFFF"/>
          <w:lang w:eastAsia="en-GB"/>
        </w:rPr>
        <w:t>[5]</w:t>
      </w:r>
      <w:r w:rsidR="00A95191" w:rsidRPr="00A95191">
        <w:rPr>
          <w:rFonts w:eastAsia="Times New Roman"/>
          <w:color w:val="242121"/>
          <w:sz w:val="22"/>
          <w:shd w:val="clear" w:color="auto" w:fill="FFFFFF"/>
          <w:lang w:eastAsia="en-GB"/>
        </w:rPr>
        <w:fldChar w:fldCharType="end"/>
      </w:r>
      <w:bookmarkEnd w:id="0"/>
      <w:r w:rsidR="00A95191" w:rsidRPr="00A95191">
        <w:rPr>
          <w:rFonts w:eastAsia="Times New Roman"/>
          <w:color w:val="242121"/>
          <w:sz w:val="22"/>
          <w:shd w:val="clear" w:color="auto" w:fill="FFFFFF"/>
          <w:lang w:eastAsia="en-GB"/>
        </w:rPr>
        <w:t> (the SC Act), leave to appeal may only be granted where the judges concerned are of the opinion that the appeal would have a reasonable prospect of success or there are compelling reasons which exist why the appeal should be heard such as the interests of justice.</w:t>
      </w:r>
      <w:bookmarkStart w:id="1" w:name="_ftnref6"/>
      <w:r w:rsidR="00A95191" w:rsidRPr="00A95191">
        <w:rPr>
          <w:rFonts w:eastAsia="Times New Roman"/>
          <w:color w:val="242121"/>
          <w:sz w:val="22"/>
          <w:shd w:val="clear" w:color="auto" w:fill="FFFFFF"/>
          <w:lang w:eastAsia="en-GB"/>
        </w:rPr>
        <w:fldChar w:fldCharType="begin"/>
      </w:r>
      <w:r w:rsidR="00A95191" w:rsidRPr="00A95191">
        <w:rPr>
          <w:rFonts w:eastAsia="Times New Roman"/>
          <w:color w:val="242121"/>
          <w:sz w:val="22"/>
          <w:shd w:val="clear" w:color="auto" w:fill="FFFFFF"/>
          <w:lang w:eastAsia="en-GB"/>
        </w:rPr>
        <w:instrText>HYPERLINK "https://www.saflii.org/za/cases/ZASCA/2021/31.html" \l "_ftn6"</w:instrText>
      </w:r>
      <w:r w:rsidR="00A95191" w:rsidRPr="00A95191">
        <w:rPr>
          <w:rFonts w:eastAsia="Times New Roman"/>
          <w:color w:val="242121"/>
          <w:sz w:val="22"/>
          <w:shd w:val="clear" w:color="auto" w:fill="FFFFFF"/>
          <w:lang w:eastAsia="en-GB"/>
        </w:rPr>
      </w:r>
      <w:r w:rsidR="00A95191" w:rsidRPr="00A95191">
        <w:rPr>
          <w:rFonts w:eastAsia="Times New Roman"/>
          <w:color w:val="242121"/>
          <w:sz w:val="22"/>
          <w:shd w:val="clear" w:color="auto" w:fill="FFFFFF"/>
          <w:lang w:eastAsia="en-GB"/>
        </w:rPr>
        <w:fldChar w:fldCharType="separate"/>
      </w:r>
      <w:r w:rsidR="00A95191" w:rsidRPr="00A95191">
        <w:rPr>
          <w:rFonts w:eastAsia="Times New Roman"/>
          <w:color w:val="0B4B0B"/>
          <w:sz w:val="22"/>
          <w:shd w:val="clear" w:color="auto" w:fill="FFFFFF"/>
          <w:lang w:eastAsia="en-GB"/>
        </w:rPr>
        <w:t>[6]</w:t>
      </w:r>
      <w:r w:rsidR="00A95191" w:rsidRPr="00A95191">
        <w:rPr>
          <w:rFonts w:eastAsia="Times New Roman"/>
          <w:color w:val="242121"/>
          <w:sz w:val="22"/>
          <w:shd w:val="clear" w:color="auto" w:fill="FFFFFF"/>
          <w:lang w:eastAsia="en-GB"/>
        </w:rPr>
        <w:fldChar w:fldCharType="end"/>
      </w:r>
      <w:bookmarkEnd w:id="1"/>
    </w:p>
    <w:p w14:paraId="544B1D60" w14:textId="77777777" w:rsidR="007A20E2" w:rsidRDefault="007A20E2" w:rsidP="00A67E96">
      <w:pPr>
        <w:pStyle w:val="JudgmentNumbered"/>
        <w:numPr>
          <w:ilvl w:val="0"/>
          <w:numId w:val="0"/>
        </w:numPr>
        <w:spacing w:after="0"/>
        <w:ind w:left="567" w:hanging="567"/>
        <w:rPr>
          <w:lang w:val="en-CA"/>
        </w:rPr>
      </w:pPr>
    </w:p>
    <w:p w14:paraId="2C0E58FA" w14:textId="3EB2CF73" w:rsidR="00716473" w:rsidRDefault="00716473" w:rsidP="00716473">
      <w:pPr>
        <w:pStyle w:val="JudgmentNumbered"/>
        <w:numPr>
          <w:ilvl w:val="0"/>
          <w:numId w:val="0"/>
        </w:numPr>
        <w:spacing w:after="0"/>
        <w:ind w:left="567" w:hanging="567"/>
        <w:rPr>
          <w:lang w:val="en-CA"/>
        </w:rPr>
      </w:pPr>
      <w:r>
        <w:rPr>
          <w:lang w:val="en-CA"/>
        </w:rPr>
        <w:t>[6]</w:t>
      </w:r>
      <w:r w:rsidR="005C2BB2">
        <w:rPr>
          <w:lang w:val="en-CA"/>
        </w:rPr>
        <w:t xml:space="preserve"> </w:t>
      </w:r>
      <w:r w:rsidR="00F57E8B">
        <w:rPr>
          <w:lang w:val="en-CA"/>
        </w:rPr>
        <w:tab/>
      </w:r>
      <w:r w:rsidR="00FE0451">
        <w:rPr>
          <w:lang w:val="en-CA"/>
        </w:rPr>
        <w:t>I h</w:t>
      </w:r>
      <w:r w:rsidR="005C2BB2">
        <w:rPr>
          <w:lang w:val="en-CA"/>
        </w:rPr>
        <w:t>av</w:t>
      </w:r>
      <w:r w:rsidR="00FE0451">
        <w:rPr>
          <w:lang w:val="en-CA"/>
        </w:rPr>
        <w:t>e</w:t>
      </w:r>
      <w:r w:rsidR="005C2BB2">
        <w:rPr>
          <w:lang w:val="en-CA"/>
        </w:rPr>
        <w:t xml:space="preserve"> considered </w:t>
      </w:r>
      <w:r w:rsidR="00A1449D">
        <w:rPr>
          <w:lang w:val="en-CA"/>
        </w:rPr>
        <w:t xml:space="preserve">the </w:t>
      </w:r>
      <w:r w:rsidR="005C2BB2">
        <w:rPr>
          <w:lang w:val="en-CA"/>
        </w:rPr>
        <w:t xml:space="preserve">submissions made </w:t>
      </w:r>
      <w:r w:rsidR="001D457A">
        <w:rPr>
          <w:lang w:val="en-CA"/>
        </w:rPr>
        <w:t>by both</w:t>
      </w:r>
      <w:r w:rsidR="005C2BB2">
        <w:rPr>
          <w:lang w:val="en-CA"/>
        </w:rPr>
        <w:t xml:space="preserve"> </w:t>
      </w:r>
      <w:r w:rsidR="00A1449D">
        <w:rPr>
          <w:lang w:val="en-CA"/>
        </w:rPr>
        <w:t>counsel</w:t>
      </w:r>
      <w:r w:rsidR="005C2BB2">
        <w:rPr>
          <w:lang w:val="en-CA"/>
        </w:rPr>
        <w:t>,</w:t>
      </w:r>
      <w:r w:rsidR="001D457A">
        <w:rPr>
          <w:lang w:val="en-CA"/>
        </w:rPr>
        <w:t xml:space="preserve"> which I thank them for.</w:t>
      </w:r>
      <w:r w:rsidR="003625E1">
        <w:rPr>
          <w:lang w:val="en-CA"/>
        </w:rPr>
        <w:t xml:space="preserve"> </w:t>
      </w:r>
      <w:r w:rsidR="00D81A17">
        <w:rPr>
          <w:lang w:val="en-CA"/>
        </w:rPr>
        <w:t>Having considered the reasons in my judg</w:t>
      </w:r>
      <w:r w:rsidR="005A5BFD">
        <w:rPr>
          <w:lang w:val="en-CA"/>
        </w:rPr>
        <w:t>ment dated April 2023 and counsel</w:t>
      </w:r>
      <w:r w:rsidR="003625E1">
        <w:rPr>
          <w:lang w:val="en-CA"/>
        </w:rPr>
        <w:t xml:space="preserve"> </w:t>
      </w:r>
      <w:r w:rsidR="005A5BFD">
        <w:rPr>
          <w:lang w:val="en-CA"/>
        </w:rPr>
        <w:t>submissions,</w:t>
      </w:r>
      <w:r w:rsidR="003625E1">
        <w:rPr>
          <w:lang w:val="en-CA"/>
        </w:rPr>
        <w:t xml:space="preserve"> </w:t>
      </w:r>
      <w:r w:rsidR="006A27B2">
        <w:rPr>
          <w:lang w:val="en-CA"/>
        </w:rPr>
        <w:t xml:space="preserve">I am of the view that the applicant </w:t>
      </w:r>
      <w:r w:rsidR="00ED61B7">
        <w:rPr>
          <w:lang w:val="en-CA"/>
        </w:rPr>
        <w:t>has</w:t>
      </w:r>
      <w:r w:rsidR="006A27B2">
        <w:rPr>
          <w:lang w:val="en-CA"/>
        </w:rPr>
        <w:t xml:space="preserve"> reasonable prospects of success </w:t>
      </w:r>
      <w:r w:rsidR="00ED61B7">
        <w:rPr>
          <w:lang w:val="en-CA"/>
        </w:rPr>
        <w:t>on appeal.</w:t>
      </w:r>
    </w:p>
    <w:p w14:paraId="4F4A04B3" w14:textId="5E8791BB" w:rsidR="00ED61B7" w:rsidRDefault="00B74716" w:rsidP="00716473">
      <w:pPr>
        <w:pStyle w:val="JudgmentNumbered"/>
        <w:numPr>
          <w:ilvl w:val="0"/>
          <w:numId w:val="0"/>
        </w:numPr>
        <w:spacing w:after="0"/>
        <w:ind w:left="567" w:hanging="567"/>
        <w:rPr>
          <w:lang w:val="en-CA"/>
        </w:rPr>
      </w:pPr>
      <w:r>
        <w:rPr>
          <w:lang w:val="en-CA"/>
        </w:rPr>
        <w:tab/>
      </w:r>
    </w:p>
    <w:p w14:paraId="0A52FA4F" w14:textId="6C0AB4ED" w:rsidR="00B74716" w:rsidRDefault="00B74716" w:rsidP="00716473">
      <w:pPr>
        <w:pStyle w:val="JudgmentNumbered"/>
        <w:numPr>
          <w:ilvl w:val="0"/>
          <w:numId w:val="0"/>
        </w:numPr>
        <w:spacing w:after="0"/>
        <w:ind w:left="567" w:hanging="567"/>
        <w:rPr>
          <w:lang w:val="en-CA"/>
        </w:rPr>
      </w:pPr>
      <w:r>
        <w:rPr>
          <w:lang w:val="en-CA"/>
        </w:rPr>
        <w:tab/>
        <w:t>ORDER</w:t>
      </w:r>
    </w:p>
    <w:p w14:paraId="2C48BC7C" w14:textId="6CCD4A6A" w:rsidR="00ED61B7" w:rsidRDefault="00ED61B7" w:rsidP="00716473">
      <w:pPr>
        <w:pStyle w:val="JudgmentNumbered"/>
        <w:numPr>
          <w:ilvl w:val="0"/>
          <w:numId w:val="0"/>
        </w:numPr>
        <w:spacing w:after="0"/>
        <w:ind w:left="567" w:hanging="567"/>
        <w:rPr>
          <w:lang w:val="en-CA"/>
        </w:rPr>
      </w:pPr>
      <w:r>
        <w:rPr>
          <w:lang w:val="en-CA"/>
        </w:rPr>
        <w:t xml:space="preserve">[7] </w:t>
      </w:r>
      <w:r w:rsidR="00F57E8B">
        <w:rPr>
          <w:lang w:val="en-CA"/>
        </w:rPr>
        <w:tab/>
      </w:r>
      <w:r>
        <w:rPr>
          <w:lang w:val="en-CA"/>
        </w:rPr>
        <w:t>Consequently, I grant the following order</w:t>
      </w:r>
      <w:r w:rsidR="006A1E41">
        <w:rPr>
          <w:lang w:val="en-CA"/>
        </w:rPr>
        <w:t>:</w:t>
      </w:r>
    </w:p>
    <w:p w14:paraId="6D9216C7" w14:textId="152B050A" w:rsidR="00181CC6" w:rsidRDefault="00181CC6" w:rsidP="00F57E8B">
      <w:pPr>
        <w:pStyle w:val="JudgmentNumbered"/>
        <w:numPr>
          <w:ilvl w:val="0"/>
          <w:numId w:val="0"/>
        </w:numPr>
        <w:spacing w:after="0"/>
        <w:ind w:left="567"/>
        <w:rPr>
          <w:lang w:val="en-CA"/>
        </w:rPr>
      </w:pPr>
      <w:r>
        <w:rPr>
          <w:lang w:val="en-CA"/>
        </w:rPr>
        <w:t xml:space="preserve">1. The applicant is granted leave to appeal </w:t>
      </w:r>
      <w:r w:rsidR="008E6859">
        <w:rPr>
          <w:lang w:val="en-CA"/>
        </w:rPr>
        <w:t xml:space="preserve">to the Full Court of this Division </w:t>
      </w:r>
      <w:r w:rsidR="000601E3">
        <w:rPr>
          <w:lang w:val="en-CA"/>
        </w:rPr>
        <w:t>with costs</w:t>
      </w:r>
      <w:r w:rsidR="0053401F">
        <w:rPr>
          <w:lang w:val="en-CA"/>
        </w:rPr>
        <w:t xml:space="preserve"> </w:t>
      </w:r>
      <w:r w:rsidR="000601E3">
        <w:rPr>
          <w:lang w:val="en-CA"/>
        </w:rPr>
        <w:t>to be cost</w:t>
      </w:r>
      <w:r w:rsidR="0053401F">
        <w:rPr>
          <w:lang w:val="en-CA"/>
        </w:rPr>
        <w:t>s</w:t>
      </w:r>
      <w:r w:rsidR="000601E3">
        <w:rPr>
          <w:lang w:val="en-CA"/>
        </w:rPr>
        <w:t xml:space="preserve"> in the appeal.</w:t>
      </w:r>
    </w:p>
    <w:p w14:paraId="4FC06C89" w14:textId="1BB4E42E" w:rsidR="00B14E4D" w:rsidRDefault="00E66636" w:rsidP="003F30AC">
      <w:pPr>
        <w:pStyle w:val="JudgmentNumbered"/>
        <w:numPr>
          <w:ilvl w:val="0"/>
          <w:numId w:val="0"/>
        </w:numPr>
        <w:spacing w:after="0"/>
        <w:ind w:left="567" w:hanging="567"/>
        <w:rPr>
          <w:lang w:val="en-CA"/>
        </w:rPr>
      </w:pPr>
      <w:r>
        <w:rPr>
          <w:lang w:val="en-CA"/>
        </w:rPr>
        <w:t xml:space="preserve"> </w:t>
      </w:r>
    </w:p>
    <w:p w14:paraId="43B59841" w14:textId="77777777" w:rsidR="003F30AC" w:rsidRDefault="003F30AC" w:rsidP="003F30AC">
      <w:pPr>
        <w:pStyle w:val="JudgmentNumbered"/>
        <w:numPr>
          <w:ilvl w:val="0"/>
          <w:numId w:val="0"/>
        </w:numPr>
        <w:spacing w:after="0"/>
        <w:ind w:left="567" w:hanging="567"/>
      </w:pPr>
    </w:p>
    <w:p w14:paraId="241099F0" w14:textId="77777777" w:rsidR="00B14E4D" w:rsidRDefault="00B14E4D" w:rsidP="00EB01DA">
      <w:pPr>
        <w:pStyle w:val="JudgmentNumbered"/>
        <w:numPr>
          <w:ilvl w:val="0"/>
          <w:numId w:val="0"/>
        </w:numPr>
        <w:spacing w:after="0"/>
        <w:ind w:left="567" w:hanging="567"/>
        <w:jc w:val="right"/>
      </w:pPr>
    </w:p>
    <w:p w14:paraId="2BEE61AF"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732633B7" w14:textId="2A27C448" w:rsidR="002B448C" w:rsidRDefault="00A27C6D" w:rsidP="00EB01DA">
      <w:pPr>
        <w:pStyle w:val="JudgmentNumbered"/>
        <w:numPr>
          <w:ilvl w:val="0"/>
          <w:numId w:val="0"/>
        </w:numPr>
        <w:spacing w:after="0"/>
        <w:ind w:left="567" w:hanging="567"/>
        <w:jc w:val="right"/>
        <w:rPr>
          <w:b/>
        </w:rPr>
      </w:pPr>
      <w:r>
        <w:rPr>
          <w:b/>
        </w:rPr>
        <w:t>SC M</w:t>
      </w:r>
      <w:r w:rsidR="00B74716">
        <w:rPr>
          <w:b/>
        </w:rPr>
        <w:t>IA</w:t>
      </w:r>
      <w:r>
        <w:rPr>
          <w:b/>
        </w:rPr>
        <w:t xml:space="preserve"> </w:t>
      </w:r>
    </w:p>
    <w:p w14:paraId="1B9AD5B7" w14:textId="77777777" w:rsidR="002B448C" w:rsidRDefault="002B448C" w:rsidP="00EB01DA">
      <w:pPr>
        <w:pStyle w:val="JudgmentNumbered"/>
        <w:numPr>
          <w:ilvl w:val="0"/>
          <w:numId w:val="0"/>
        </w:numPr>
        <w:spacing w:after="0"/>
        <w:ind w:left="567" w:hanging="567"/>
        <w:jc w:val="right"/>
        <w:rPr>
          <w:b/>
        </w:rPr>
      </w:pPr>
      <w:r>
        <w:rPr>
          <w:b/>
        </w:rPr>
        <w:t>JUDGE OF THE HIGH COURT</w:t>
      </w:r>
    </w:p>
    <w:p w14:paraId="1E05860E" w14:textId="77777777" w:rsidR="00EB01DA" w:rsidRDefault="002B448C" w:rsidP="00EB01DA">
      <w:pPr>
        <w:pStyle w:val="JudgmentNumbered"/>
        <w:numPr>
          <w:ilvl w:val="0"/>
          <w:numId w:val="0"/>
        </w:numPr>
        <w:spacing w:after="0"/>
        <w:ind w:left="567" w:hanging="567"/>
        <w:jc w:val="right"/>
        <w:rPr>
          <w:b/>
        </w:rPr>
        <w:sectPr w:rsidR="00EB01DA">
          <w:pgSz w:w="11906" w:h="16838"/>
          <w:pgMar w:top="1440" w:right="1440" w:bottom="1440" w:left="1440" w:header="708" w:footer="708" w:gutter="0"/>
          <w:cols w:space="708"/>
          <w:docGrid w:linePitch="360"/>
        </w:sectPr>
      </w:pPr>
      <w:r>
        <w:rPr>
          <w:b/>
        </w:rPr>
        <w:t>JOHANNESBURG</w:t>
      </w:r>
    </w:p>
    <w:p w14:paraId="54F47FE1" w14:textId="77777777" w:rsidR="00EB01DA" w:rsidRDefault="00EB01DA" w:rsidP="00EB01DA">
      <w:pPr>
        <w:pStyle w:val="JudgmentNumbered"/>
        <w:numPr>
          <w:ilvl w:val="0"/>
          <w:numId w:val="0"/>
        </w:numPr>
        <w:spacing w:after="0"/>
        <w:ind w:left="567" w:hanging="567"/>
        <w:jc w:val="right"/>
        <w:rPr>
          <w:b/>
        </w:rPr>
        <w:sectPr w:rsidR="00EB01DA" w:rsidSect="00EB01DA">
          <w:type w:val="continuous"/>
          <w:pgSz w:w="11906" w:h="16838"/>
          <w:pgMar w:top="1440" w:right="1440" w:bottom="1440" w:left="1440" w:header="708" w:footer="708" w:gutter="0"/>
          <w:cols w:space="708"/>
          <w:docGrid w:linePitch="360"/>
        </w:sectPr>
      </w:pPr>
    </w:p>
    <w:p w14:paraId="42DACECD" w14:textId="77777777"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lastRenderedPageBreak/>
        <w:t>For the Applicant:</w:t>
      </w:r>
    </w:p>
    <w:p w14:paraId="5F3C762C" w14:textId="77777777" w:rsidR="00EB01DA" w:rsidRPr="003673B7" w:rsidRDefault="00EB01DA" w:rsidP="00EB01DA">
      <w:pPr>
        <w:spacing w:after="0" w:line="240" w:lineRule="auto"/>
        <w:ind w:left="0"/>
        <w:rPr>
          <w:rFonts w:eastAsia="Times New Roman" w:cs="Arial"/>
          <w:szCs w:val="24"/>
          <w:lang w:val="en-ZA"/>
        </w:rPr>
      </w:pPr>
    </w:p>
    <w:p w14:paraId="2D8E5ECF" w14:textId="77777777" w:rsidR="00EB01DA" w:rsidRPr="003673B7" w:rsidRDefault="00EB01DA" w:rsidP="00EB01DA">
      <w:pPr>
        <w:spacing w:after="0" w:line="240" w:lineRule="auto"/>
        <w:ind w:left="0"/>
        <w:rPr>
          <w:rFonts w:eastAsia="Times New Roman" w:cs="Arial"/>
          <w:szCs w:val="24"/>
          <w:lang w:val="en-ZA"/>
        </w:rPr>
      </w:pPr>
    </w:p>
    <w:p w14:paraId="49D80975" w14:textId="77777777"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t>For the Respondent:</w:t>
      </w:r>
    </w:p>
    <w:p w14:paraId="7FEFBAAC" w14:textId="77777777" w:rsidR="00E10803"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br w:type="column"/>
      </w:r>
      <w:r w:rsidR="00EC015B">
        <w:rPr>
          <w:lang w:val="en-ZA"/>
        </w:rPr>
        <w:t>T Masevhe</w:t>
      </w:r>
    </w:p>
    <w:p w14:paraId="2AD94B47" w14:textId="77777777" w:rsidR="00EB01DA" w:rsidRPr="003673B7" w:rsidRDefault="008B546F" w:rsidP="00EB01DA">
      <w:pPr>
        <w:spacing w:after="0" w:line="240" w:lineRule="auto"/>
        <w:ind w:left="0"/>
        <w:rPr>
          <w:rFonts w:eastAsia="Times New Roman" w:cs="Arial"/>
          <w:szCs w:val="24"/>
          <w:lang w:val="en-ZA"/>
        </w:rPr>
      </w:pPr>
      <w:r>
        <w:rPr>
          <w:rFonts w:eastAsia="Times New Roman" w:cs="Arial"/>
          <w:szCs w:val="24"/>
          <w:lang w:val="en-ZA"/>
        </w:rPr>
        <w:t>I</w:t>
      </w:r>
      <w:r w:rsidR="00EB01DA" w:rsidRPr="003673B7">
        <w:rPr>
          <w:rFonts w:eastAsia="Times New Roman" w:cs="Arial"/>
          <w:szCs w:val="24"/>
          <w:lang w:val="en-ZA"/>
        </w:rPr>
        <w:t xml:space="preserve">nstructed by </w:t>
      </w:r>
      <w:r w:rsidR="00EC015B">
        <w:t>State Attorney</w:t>
      </w:r>
    </w:p>
    <w:p w14:paraId="6D29A0C2" w14:textId="77777777" w:rsidR="00EB01DA" w:rsidRPr="003673B7" w:rsidRDefault="00EB01DA" w:rsidP="00EB01DA">
      <w:pPr>
        <w:spacing w:after="0" w:line="240" w:lineRule="auto"/>
        <w:ind w:left="0"/>
        <w:rPr>
          <w:rFonts w:eastAsia="Times New Roman" w:cs="Arial"/>
          <w:szCs w:val="24"/>
          <w:lang w:val="en-ZA"/>
        </w:rPr>
      </w:pPr>
    </w:p>
    <w:p w14:paraId="710914A1" w14:textId="77777777" w:rsidR="00EC015B" w:rsidRDefault="00EC015B" w:rsidP="00EB01DA">
      <w:pPr>
        <w:spacing w:after="0" w:line="240" w:lineRule="auto"/>
        <w:ind w:left="0"/>
        <w:rPr>
          <w:rFonts w:cs="Arial"/>
          <w:szCs w:val="24"/>
        </w:rPr>
      </w:pPr>
      <w:r>
        <w:t>C</w:t>
      </w:r>
      <w:r w:rsidRPr="001F6B40">
        <w:t xml:space="preserve"> Cremen</w:t>
      </w:r>
    </w:p>
    <w:p w14:paraId="046962E5" w14:textId="77777777" w:rsidR="002B448C" w:rsidRDefault="008B546F" w:rsidP="00EB01DA">
      <w:pPr>
        <w:spacing w:after="0" w:line="240" w:lineRule="auto"/>
        <w:ind w:left="0"/>
        <w:rPr>
          <w:lang w:val="en-ZA"/>
        </w:rPr>
      </w:pPr>
      <w:r>
        <w:rPr>
          <w:rFonts w:eastAsia="Times New Roman" w:cs="Arial"/>
          <w:szCs w:val="24"/>
          <w:lang w:val="en-ZA"/>
        </w:rPr>
        <w:t>I</w:t>
      </w:r>
      <w:r w:rsidR="00EB01DA" w:rsidRPr="003673B7">
        <w:rPr>
          <w:rFonts w:eastAsia="Times New Roman" w:cs="Arial"/>
          <w:szCs w:val="24"/>
          <w:lang w:val="en-ZA"/>
        </w:rPr>
        <w:t xml:space="preserve">nstructed by </w:t>
      </w:r>
      <w:r w:rsidR="00EC015B">
        <w:rPr>
          <w:lang w:val="en-ZA"/>
        </w:rPr>
        <w:t xml:space="preserve">Houghton Haper Inc         </w:t>
      </w:r>
    </w:p>
    <w:p w14:paraId="5A03AF26" w14:textId="77777777" w:rsidR="008B546F" w:rsidRDefault="008B546F" w:rsidP="008B546F">
      <w:pPr>
        <w:pStyle w:val="JudgmentNumbered"/>
        <w:numPr>
          <w:ilvl w:val="0"/>
          <w:numId w:val="0"/>
        </w:numPr>
        <w:ind w:left="567" w:hanging="567"/>
        <w:rPr>
          <w:lang w:val="en-ZA"/>
        </w:rPr>
      </w:pPr>
    </w:p>
    <w:p w14:paraId="5A633B57" w14:textId="77777777" w:rsidR="008B546F" w:rsidRDefault="00193277" w:rsidP="008B546F">
      <w:pPr>
        <w:pStyle w:val="JudgmentNumbered"/>
        <w:numPr>
          <w:ilvl w:val="0"/>
          <w:numId w:val="0"/>
        </w:numPr>
        <w:ind w:left="567" w:hanging="567"/>
        <w:rPr>
          <w:lang w:val="en-ZA"/>
        </w:rPr>
      </w:pPr>
      <w:r>
        <w:rPr>
          <w:lang w:val="en-ZA"/>
        </w:rPr>
        <w:t>Heard:</w:t>
      </w:r>
      <w:r>
        <w:rPr>
          <w:lang w:val="en-ZA"/>
        </w:rPr>
        <w:tab/>
      </w:r>
      <w:r w:rsidR="00EC015B">
        <w:rPr>
          <w:lang w:val="en-ZA"/>
        </w:rPr>
        <w:t>03 November 2023</w:t>
      </w:r>
    </w:p>
    <w:p w14:paraId="2BE86015" w14:textId="1880561D" w:rsidR="008B546F" w:rsidRPr="008B546F" w:rsidRDefault="008B546F" w:rsidP="008B546F">
      <w:pPr>
        <w:pStyle w:val="JudgmentNumbered"/>
        <w:numPr>
          <w:ilvl w:val="0"/>
          <w:numId w:val="0"/>
        </w:numPr>
        <w:ind w:left="567" w:hanging="567"/>
        <w:rPr>
          <w:lang w:val="en-ZA"/>
        </w:rPr>
      </w:pPr>
      <w:r>
        <w:rPr>
          <w:lang w:val="en-ZA"/>
        </w:rPr>
        <w:t>Delivered:</w:t>
      </w:r>
      <w:r>
        <w:rPr>
          <w:lang w:val="en-ZA"/>
        </w:rPr>
        <w:tab/>
      </w:r>
      <w:r w:rsidR="00A77EDF">
        <w:rPr>
          <w:lang w:val="en-ZA"/>
        </w:rPr>
        <w:t>28 November 2023</w:t>
      </w:r>
    </w:p>
    <w:sectPr w:rsidR="008B546F" w:rsidRPr="008B546F" w:rsidSect="00223B20">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F8B5" w14:textId="77777777" w:rsidR="00FE5A5A" w:rsidRDefault="00FE5A5A" w:rsidP="00DF2E74">
      <w:pPr>
        <w:spacing w:after="0" w:line="240" w:lineRule="auto"/>
      </w:pPr>
      <w:r>
        <w:separator/>
      </w:r>
    </w:p>
  </w:endnote>
  <w:endnote w:type="continuationSeparator" w:id="0">
    <w:p w14:paraId="2C0B6478" w14:textId="77777777" w:rsidR="00FE5A5A" w:rsidRDefault="00FE5A5A" w:rsidP="00DF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8087" w14:textId="77777777" w:rsidR="00FE5A5A" w:rsidRDefault="00FE5A5A" w:rsidP="00DF2E74">
      <w:pPr>
        <w:spacing w:after="0" w:line="240" w:lineRule="auto"/>
      </w:pPr>
      <w:r>
        <w:separator/>
      </w:r>
    </w:p>
  </w:footnote>
  <w:footnote w:type="continuationSeparator" w:id="0">
    <w:p w14:paraId="25690E59" w14:textId="77777777" w:rsidR="00FE5A5A" w:rsidRDefault="00FE5A5A" w:rsidP="00DF2E74">
      <w:pPr>
        <w:spacing w:after="0" w:line="240" w:lineRule="auto"/>
      </w:pPr>
      <w:r>
        <w:continuationSeparator/>
      </w:r>
    </w:p>
  </w:footnote>
  <w:footnote w:id="1">
    <w:p w14:paraId="31202D1A" w14:textId="78FBFC5B" w:rsidR="00ED57A4" w:rsidRDefault="00ED57A4">
      <w:pPr>
        <w:pStyle w:val="FootnoteText"/>
      </w:pPr>
      <w:r>
        <w:rPr>
          <w:rStyle w:val="FootnoteReference"/>
        </w:rPr>
        <w:footnoteRef/>
      </w:r>
      <w:r>
        <w:t xml:space="preserve"> </w:t>
      </w:r>
      <w:r w:rsidR="008823E6">
        <w:t xml:space="preserve">Lord Denning MR in </w:t>
      </w:r>
      <w:r w:rsidR="008823E6" w:rsidRPr="00BD3E85">
        <w:rPr>
          <w:i/>
          <w:iCs/>
        </w:rPr>
        <w:t>Hucks vs Cole</w:t>
      </w:r>
      <w:r w:rsidR="003252B5">
        <w:t xml:space="preserve"> [1968] 118 New LJ</w:t>
      </w:r>
      <w:r w:rsidR="00BD3E85">
        <w:t xml:space="preserve"> at 469</w:t>
      </w:r>
    </w:p>
  </w:footnote>
  <w:footnote w:id="2">
    <w:p w14:paraId="45B8B2CE" w14:textId="77777777" w:rsidR="00E72DDD" w:rsidRPr="00104A40" w:rsidRDefault="00E72DDD" w:rsidP="00E72DDD">
      <w:pPr>
        <w:pStyle w:val="FootnoteText"/>
      </w:pPr>
      <w:r w:rsidRPr="00104A40">
        <w:rPr>
          <w:rStyle w:val="FootnoteReference"/>
        </w:rPr>
        <w:footnoteRef/>
      </w:r>
      <w:r w:rsidRPr="00104A40">
        <w:t xml:space="preserve"> 2014 JDR 2325 (LCC) at para 5 and 6</w:t>
      </w:r>
    </w:p>
  </w:footnote>
  <w:footnote w:id="3">
    <w:p w14:paraId="59B072DC" w14:textId="77777777" w:rsidR="00E72DDD" w:rsidRPr="00104A40" w:rsidRDefault="00E72DDD" w:rsidP="00E72DDD">
      <w:pPr>
        <w:pStyle w:val="FootnoteText"/>
      </w:pPr>
      <w:r w:rsidRPr="00104A40">
        <w:rPr>
          <w:rStyle w:val="FootnoteReference"/>
        </w:rPr>
        <w:footnoteRef/>
      </w:r>
      <w:r w:rsidRPr="00104A40">
        <w:t xml:space="preserve"> [2021] ZASCA 31 (31 March 2021) Para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2C223DB7"/>
    <w:multiLevelType w:val="multilevel"/>
    <w:tmpl w:val="A70E331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EC32EAB"/>
    <w:multiLevelType w:val="multilevel"/>
    <w:tmpl w:val="ED4AC72E"/>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588"/>
        </w:tabs>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49E2A55"/>
    <w:multiLevelType w:val="multilevel"/>
    <w:tmpl w:val="696A6CF2"/>
    <w:lvl w:ilvl="0">
      <w:start w:val="1"/>
      <w:numFmt w:val="decimal"/>
      <w:lvlText w:val="%1"/>
      <w:lvlJc w:val="left"/>
      <w:pPr>
        <w:ind w:left="360" w:hanging="360"/>
      </w:pPr>
      <w:rPr>
        <w:rFonts w:hint="default"/>
      </w:rPr>
    </w:lvl>
    <w:lvl w:ilvl="1">
      <w:start w:val="1"/>
      <w:numFmt w:val="decimal"/>
      <w:lvlText w:val="%1.%2"/>
      <w:lvlJc w:val="left"/>
      <w:pPr>
        <w:ind w:left="1610" w:hanging="360"/>
      </w:pPr>
      <w:rPr>
        <w:rFonts w:hint="default"/>
      </w:rPr>
    </w:lvl>
    <w:lvl w:ilvl="2">
      <w:start w:val="1"/>
      <w:numFmt w:val="decimal"/>
      <w:lvlText w:val="%1.%2.%3"/>
      <w:lvlJc w:val="left"/>
      <w:pPr>
        <w:ind w:left="3220" w:hanging="720"/>
      </w:pPr>
      <w:rPr>
        <w:rFonts w:hint="default"/>
      </w:rPr>
    </w:lvl>
    <w:lvl w:ilvl="3">
      <w:start w:val="1"/>
      <w:numFmt w:val="decimal"/>
      <w:lvlText w:val="%1.%2.%3.%4"/>
      <w:lvlJc w:val="left"/>
      <w:pPr>
        <w:ind w:left="4830" w:hanging="1080"/>
      </w:pPr>
      <w:rPr>
        <w:rFonts w:hint="default"/>
      </w:rPr>
    </w:lvl>
    <w:lvl w:ilvl="4">
      <w:start w:val="1"/>
      <w:numFmt w:val="decimal"/>
      <w:lvlText w:val="%1.%2.%3.%4.%5"/>
      <w:lvlJc w:val="left"/>
      <w:pPr>
        <w:ind w:left="6080" w:hanging="1080"/>
      </w:pPr>
      <w:rPr>
        <w:rFonts w:hint="default"/>
      </w:rPr>
    </w:lvl>
    <w:lvl w:ilvl="5">
      <w:start w:val="1"/>
      <w:numFmt w:val="decimal"/>
      <w:lvlText w:val="%1.%2.%3.%4.%5.%6"/>
      <w:lvlJc w:val="left"/>
      <w:pPr>
        <w:ind w:left="7690" w:hanging="1440"/>
      </w:pPr>
      <w:rPr>
        <w:rFonts w:hint="default"/>
      </w:rPr>
    </w:lvl>
    <w:lvl w:ilvl="6">
      <w:start w:val="1"/>
      <w:numFmt w:val="decimal"/>
      <w:lvlText w:val="%1.%2.%3.%4.%5.%6.%7"/>
      <w:lvlJc w:val="left"/>
      <w:pPr>
        <w:ind w:left="8940" w:hanging="1440"/>
      </w:pPr>
      <w:rPr>
        <w:rFonts w:hint="default"/>
      </w:rPr>
    </w:lvl>
    <w:lvl w:ilvl="7">
      <w:start w:val="1"/>
      <w:numFmt w:val="decimal"/>
      <w:lvlText w:val="%1.%2.%3.%4.%5.%6.%7.%8"/>
      <w:lvlJc w:val="left"/>
      <w:pPr>
        <w:ind w:left="10550" w:hanging="1800"/>
      </w:pPr>
      <w:rPr>
        <w:rFonts w:hint="default"/>
      </w:rPr>
    </w:lvl>
    <w:lvl w:ilvl="8">
      <w:start w:val="1"/>
      <w:numFmt w:val="decimal"/>
      <w:lvlText w:val="%1.%2.%3.%4.%5.%6.%7.%8.%9"/>
      <w:lvlJc w:val="left"/>
      <w:pPr>
        <w:ind w:left="11800" w:hanging="1800"/>
      </w:pPr>
      <w:rPr>
        <w:rFonts w:hint="default"/>
      </w:rPr>
    </w:lvl>
  </w:abstractNum>
  <w:abstractNum w:abstractNumId="6" w15:restartNumberingAfterBreak="0">
    <w:nsid w:val="4D9C0DC4"/>
    <w:multiLevelType w:val="multilevel"/>
    <w:tmpl w:val="8612E6F2"/>
    <w:lvl w:ilvl="0">
      <w:start w:val="5"/>
      <w:numFmt w:val="decimal"/>
      <w:lvlText w:val="%1"/>
      <w:lvlJc w:val="left"/>
      <w:pPr>
        <w:ind w:left="530" w:hanging="530"/>
      </w:pPr>
      <w:rPr>
        <w:rFonts w:hint="default"/>
      </w:rPr>
    </w:lvl>
    <w:lvl w:ilvl="1">
      <w:start w:val="3"/>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317151625">
    <w:abstractNumId w:val="1"/>
  </w:num>
  <w:num w:numId="2" w16cid:durableId="601570866">
    <w:abstractNumId w:val="4"/>
  </w:num>
  <w:num w:numId="3" w16cid:durableId="2045448263">
    <w:abstractNumId w:val="0"/>
  </w:num>
  <w:num w:numId="4" w16cid:durableId="765461449">
    <w:abstractNumId w:val="1"/>
  </w:num>
  <w:num w:numId="5" w16cid:durableId="1021125417">
    <w:abstractNumId w:val="2"/>
  </w:num>
  <w:num w:numId="6" w16cid:durableId="1811708165">
    <w:abstractNumId w:val="6"/>
  </w:num>
  <w:num w:numId="7" w16cid:durableId="206187346">
    <w:abstractNumId w:val="5"/>
  </w:num>
  <w:num w:numId="8" w16cid:durableId="48308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A37F322-35F3-4134-B72F-9777E3B69AA9}"/>
    <w:docVar w:name="dgnword-eventsink" w:val="1905079123744"/>
  </w:docVars>
  <w:rsids>
    <w:rsidRoot w:val="007B37BE"/>
    <w:rsid w:val="000001CA"/>
    <w:rsid w:val="00011B53"/>
    <w:rsid w:val="000178CC"/>
    <w:rsid w:val="00030893"/>
    <w:rsid w:val="00035755"/>
    <w:rsid w:val="00036C1D"/>
    <w:rsid w:val="0004264E"/>
    <w:rsid w:val="00050073"/>
    <w:rsid w:val="00053CB7"/>
    <w:rsid w:val="000540C7"/>
    <w:rsid w:val="000601E3"/>
    <w:rsid w:val="0006164C"/>
    <w:rsid w:val="00066606"/>
    <w:rsid w:val="0008097A"/>
    <w:rsid w:val="00080A22"/>
    <w:rsid w:val="00094540"/>
    <w:rsid w:val="000B1D63"/>
    <w:rsid w:val="000B75F9"/>
    <w:rsid w:val="000D7736"/>
    <w:rsid w:val="000F775B"/>
    <w:rsid w:val="001073FF"/>
    <w:rsid w:val="00112111"/>
    <w:rsid w:val="0012287B"/>
    <w:rsid w:val="0013227E"/>
    <w:rsid w:val="00167589"/>
    <w:rsid w:val="00170765"/>
    <w:rsid w:val="001773DA"/>
    <w:rsid w:val="00181CC6"/>
    <w:rsid w:val="00190E26"/>
    <w:rsid w:val="00193277"/>
    <w:rsid w:val="001A12C4"/>
    <w:rsid w:val="001A5EB9"/>
    <w:rsid w:val="001A7547"/>
    <w:rsid w:val="001B48C8"/>
    <w:rsid w:val="001B7B7B"/>
    <w:rsid w:val="001C1C3F"/>
    <w:rsid w:val="001C3576"/>
    <w:rsid w:val="001C5042"/>
    <w:rsid w:val="001C7CC3"/>
    <w:rsid w:val="001D03CA"/>
    <w:rsid w:val="001D457A"/>
    <w:rsid w:val="001E53AD"/>
    <w:rsid w:val="001F2ED9"/>
    <w:rsid w:val="00205FD0"/>
    <w:rsid w:val="002119B0"/>
    <w:rsid w:val="002179CD"/>
    <w:rsid w:val="00223B20"/>
    <w:rsid w:val="002309FC"/>
    <w:rsid w:val="00231F7B"/>
    <w:rsid w:val="00241707"/>
    <w:rsid w:val="002536DD"/>
    <w:rsid w:val="002573B0"/>
    <w:rsid w:val="0029320A"/>
    <w:rsid w:val="002964DB"/>
    <w:rsid w:val="002A3A90"/>
    <w:rsid w:val="002B448C"/>
    <w:rsid w:val="002C25B3"/>
    <w:rsid w:val="002C7ADB"/>
    <w:rsid w:val="002D43B7"/>
    <w:rsid w:val="002D5F2A"/>
    <w:rsid w:val="00300542"/>
    <w:rsid w:val="003048B4"/>
    <w:rsid w:val="00307D21"/>
    <w:rsid w:val="00310250"/>
    <w:rsid w:val="0031507E"/>
    <w:rsid w:val="003252B5"/>
    <w:rsid w:val="003367D3"/>
    <w:rsid w:val="003371F4"/>
    <w:rsid w:val="00342C28"/>
    <w:rsid w:val="00344196"/>
    <w:rsid w:val="00344901"/>
    <w:rsid w:val="00345FFA"/>
    <w:rsid w:val="0035391C"/>
    <w:rsid w:val="003625E1"/>
    <w:rsid w:val="00365771"/>
    <w:rsid w:val="003673B7"/>
    <w:rsid w:val="00377EA5"/>
    <w:rsid w:val="00395DD6"/>
    <w:rsid w:val="003A249E"/>
    <w:rsid w:val="003A4A93"/>
    <w:rsid w:val="003B0BEA"/>
    <w:rsid w:val="003B23EE"/>
    <w:rsid w:val="003B5A57"/>
    <w:rsid w:val="003D13DF"/>
    <w:rsid w:val="003D37CB"/>
    <w:rsid w:val="003E1F8E"/>
    <w:rsid w:val="003E4DA7"/>
    <w:rsid w:val="003F2DE1"/>
    <w:rsid w:val="003F30AC"/>
    <w:rsid w:val="004076A7"/>
    <w:rsid w:val="004150AA"/>
    <w:rsid w:val="00420640"/>
    <w:rsid w:val="00424F72"/>
    <w:rsid w:val="0042514F"/>
    <w:rsid w:val="0043235F"/>
    <w:rsid w:val="00432A97"/>
    <w:rsid w:val="00434F9B"/>
    <w:rsid w:val="0043516E"/>
    <w:rsid w:val="004409D5"/>
    <w:rsid w:val="00460203"/>
    <w:rsid w:val="00470585"/>
    <w:rsid w:val="00477FCC"/>
    <w:rsid w:val="00482911"/>
    <w:rsid w:val="004A03C9"/>
    <w:rsid w:val="004A0C2B"/>
    <w:rsid w:val="004A721D"/>
    <w:rsid w:val="004C38A8"/>
    <w:rsid w:val="004C42A5"/>
    <w:rsid w:val="004D73A0"/>
    <w:rsid w:val="004E643D"/>
    <w:rsid w:val="004F2AEA"/>
    <w:rsid w:val="004F6706"/>
    <w:rsid w:val="00513994"/>
    <w:rsid w:val="00524FC2"/>
    <w:rsid w:val="00525376"/>
    <w:rsid w:val="00531BFF"/>
    <w:rsid w:val="0053401F"/>
    <w:rsid w:val="00534A35"/>
    <w:rsid w:val="00551A39"/>
    <w:rsid w:val="005527CE"/>
    <w:rsid w:val="00573D45"/>
    <w:rsid w:val="005830F9"/>
    <w:rsid w:val="0058513B"/>
    <w:rsid w:val="00585A02"/>
    <w:rsid w:val="005876B9"/>
    <w:rsid w:val="0059531F"/>
    <w:rsid w:val="00596FD5"/>
    <w:rsid w:val="00597AAD"/>
    <w:rsid w:val="005A11A3"/>
    <w:rsid w:val="005A1840"/>
    <w:rsid w:val="005A285A"/>
    <w:rsid w:val="005A5BFD"/>
    <w:rsid w:val="005C2BB2"/>
    <w:rsid w:val="005C46E2"/>
    <w:rsid w:val="005D66AF"/>
    <w:rsid w:val="005E5608"/>
    <w:rsid w:val="006127B2"/>
    <w:rsid w:val="0063738F"/>
    <w:rsid w:val="006441F6"/>
    <w:rsid w:val="006449CC"/>
    <w:rsid w:val="006544DF"/>
    <w:rsid w:val="0066070B"/>
    <w:rsid w:val="006615C8"/>
    <w:rsid w:val="00662D97"/>
    <w:rsid w:val="00680A51"/>
    <w:rsid w:val="006817D9"/>
    <w:rsid w:val="00687F0F"/>
    <w:rsid w:val="0069020E"/>
    <w:rsid w:val="00695EAF"/>
    <w:rsid w:val="00697C19"/>
    <w:rsid w:val="006A1E41"/>
    <w:rsid w:val="006A27B2"/>
    <w:rsid w:val="006B0AA9"/>
    <w:rsid w:val="006C09CC"/>
    <w:rsid w:val="006E09AD"/>
    <w:rsid w:val="006E3360"/>
    <w:rsid w:val="006F0237"/>
    <w:rsid w:val="0070575F"/>
    <w:rsid w:val="00713DF4"/>
    <w:rsid w:val="00716473"/>
    <w:rsid w:val="00734650"/>
    <w:rsid w:val="0074626E"/>
    <w:rsid w:val="007615A3"/>
    <w:rsid w:val="00763CEC"/>
    <w:rsid w:val="00766783"/>
    <w:rsid w:val="00784238"/>
    <w:rsid w:val="00792A8C"/>
    <w:rsid w:val="00794DCB"/>
    <w:rsid w:val="007966F8"/>
    <w:rsid w:val="007A20E2"/>
    <w:rsid w:val="007B351D"/>
    <w:rsid w:val="007B37BE"/>
    <w:rsid w:val="007B44F0"/>
    <w:rsid w:val="007B492C"/>
    <w:rsid w:val="007B5C84"/>
    <w:rsid w:val="007B7F59"/>
    <w:rsid w:val="007C54E5"/>
    <w:rsid w:val="007D01AF"/>
    <w:rsid w:val="007D16DF"/>
    <w:rsid w:val="007E5C59"/>
    <w:rsid w:val="007F6ABF"/>
    <w:rsid w:val="00822A3C"/>
    <w:rsid w:val="00824601"/>
    <w:rsid w:val="0083766C"/>
    <w:rsid w:val="008477DE"/>
    <w:rsid w:val="008501F7"/>
    <w:rsid w:val="00851182"/>
    <w:rsid w:val="00860017"/>
    <w:rsid w:val="00865728"/>
    <w:rsid w:val="00875CE9"/>
    <w:rsid w:val="008822A7"/>
    <w:rsid w:val="008823E6"/>
    <w:rsid w:val="00892369"/>
    <w:rsid w:val="008B546F"/>
    <w:rsid w:val="008C2466"/>
    <w:rsid w:val="008C5445"/>
    <w:rsid w:val="008C56EA"/>
    <w:rsid w:val="008C69F2"/>
    <w:rsid w:val="008D204D"/>
    <w:rsid w:val="008D2F39"/>
    <w:rsid w:val="008E3020"/>
    <w:rsid w:val="008E3A83"/>
    <w:rsid w:val="008E5527"/>
    <w:rsid w:val="008E6859"/>
    <w:rsid w:val="008E7B5D"/>
    <w:rsid w:val="008F0242"/>
    <w:rsid w:val="00906717"/>
    <w:rsid w:val="009136F2"/>
    <w:rsid w:val="009143FF"/>
    <w:rsid w:val="009209DD"/>
    <w:rsid w:val="009236E5"/>
    <w:rsid w:val="00934700"/>
    <w:rsid w:val="00934946"/>
    <w:rsid w:val="009417C3"/>
    <w:rsid w:val="0094741D"/>
    <w:rsid w:val="00960C24"/>
    <w:rsid w:val="00960EE4"/>
    <w:rsid w:val="00962863"/>
    <w:rsid w:val="00975ACA"/>
    <w:rsid w:val="00976CE8"/>
    <w:rsid w:val="00977385"/>
    <w:rsid w:val="00977527"/>
    <w:rsid w:val="0099102B"/>
    <w:rsid w:val="00992458"/>
    <w:rsid w:val="009B0B15"/>
    <w:rsid w:val="009B5EB8"/>
    <w:rsid w:val="009B796C"/>
    <w:rsid w:val="009C01F6"/>
    <w:rsid w:val="009C0594"/>
    <w:rsid w:val="009C08C0"/>
    <w:rsid w:val="009C1BDD"/>
    <w:rsid w:val="009C34D1"/>
    <w:rsid w:val="009C6E8E"/>
    <w:rsid w:val="009D3C3F"/>
    <w:rsid w:val="009E204D"/>
    <w:rsid w:val="009E5516"/>
    <w:rsid w:val="009F2592"/>
    <w:rsid w:val="009F6FF8"/>
    <w:rsid w:val="009F79F2"/>
    <w:rsid w:val="00A065BF"/>
    <w:rsid w:val="00A114E0"/>
    <w:rsid w:val="00A1341C"/>
    <w:rsid w:val="00A1449D"/>
    <w:rsid w:val="00A16D40"/>
    <w:rsid w:val="00A1739D"/>
    <w:rsid w:val="00A17452"/>
    <w:rsid w:val="00A23A71"/>
    <w:rsid w:val="00A27C6D"/>
    <w:rsid w:val="00A3749B"/>
    <w:rsid w:val="00A479F5"/>
    <w:rsid w:val="00A63058"/>
    <w:rsid w:val="00A6487B"/>
    <w:rsid w:val="00A64F28"/>
    <w:rsid w:val="00A67E96"/>
    <w:rsid w:val="00A70674"/>
    <w:rsid w:val="00A77EDF"/>
    <w:rsid w:val="00A83A79"/>
    <w:rsid w:val="00A95191"/>
    <w:rsid w:val="00A95B39"/>
    <w:rsid w:val="00AA0DB4"/>
    <w:rsid w:val="00AA68EA"/>
    <w:rsid w:val="00AC53FA"/>
    <w:rsid w:val="00AD2323"/>
    <w:rsid w:val="00AD4BAA"/>
    <w:rsid w:val="00AE3679"/>
    <w:rsid w:val="00AE3F9C"/>
    <w:rsid w:val="00AE4B98"/>
    <w:rsid w:val="00AE6663"/>
    <w:rsid w:val="00AF0EA3"/>
    <w:rsid w:val="00AF54E9"/>
    <w:rsid w:val="00B14E4D"/>
    <w:rsid w:val="00B21ACE"/>
    <w:rsid w:val="00B30124"/>
    <w:rsid w:val="00B330C8"/>
    <w:rsid w:val="00B40BF7"/>
    <w:rsid w:val="00B43400"/>
    <w:rsid w:val="00B52F02"/>
    <w:rsid w:val="00B547AB"/>
    <w:rsid w:val="00B5539D"/>
    <w:rsid w:val="00B71B28"/>
    <w:rsid w:val="00B74716"/>
    <w:rsid w:val="00B84BE6"/>
    <w:rsid w:val="00B9575C"/>
    <w:rsid w:val="00BA6B7B"/>
    <w:rsid w:val="00BA6C85"/>
    <w:rsid w:val="00BB6F4A"/>
    <w:rsid w:val="00BC033E"/>
    <w:rsid w:val="00BC180D"/>
    <w:rsid w:val="00BC3D6E"/>
    <w:rsid w:val="00BC572C"/>
    <w:rsid w:val="00BC6406"/>
    <w:rsid w:val="00BD3E85"/>
    <w:rsid w:val="00BE06DF"/>
    <w:rsid w:val="00BE4801"/>
    <w:rsid w:val="00BE77E5"/>
    <w:rsid w:val="00BF6C3E"/>
    <w:rsid w:val="00C00F2F"/>
    <w:rsid w:val="00C01026"/>
    <w:rsid w:val="00C05214"/>
    <w:rsid w:val="00C107C8"/>
    <w:rsid w:val="00C1350F"/>
    <w:rsid w:val="00C249E2"/>
    <w:rsid w:val="00C27193"/>
    <w:rsid w:val="00C33D44"/>
    <w:rsid w:val="00C33FA6"/>
    <w:rsid w:val="00C34161"/>
    <w:rsid w:val="00C41C24"/>
    <w:rsid w:val="00C43791"/>
    <w:rsid w:val="00C465D4"/>
    <w:rsid w:val="00C6326B"/>
    <w:rsid w:val="00C8275F"/>
    <w:rsid w:val="00CB1756"/>
    <w:rsid w:val="00CB4683"/>
    <w:rsid w:val="00CE136D"/>
    <w:rsid w:val="00CE6FA5"/>
    <w:rsid w:val="00CE78C4"/>
    <w:rsid w:val="00CF08CA"/>
    <w:rsid w:val="00D041BE"/>
    <w:rsid w:val="00D16191"/>
    <w:rsid w:val="00D24343"/>
    <w:rsid w:val="00D24460"/>
    <w:rsid w:val="00D2538F"/>
    <w:rsid w:val="00D36443"/>
    <w:rsid w:val="00D43384"/>
    <w:rsid w:val="00D43BE8"/>
    <w:rsid w:val="00D522A5"/>
    <w:rsid w:val="00D57085"/>
    <w:rsid w:val="00D81A17"/>
    <w:rsid w:val="00D95D0C"/>
    <w:rsid w:val="00DA207F"/>
    <w:rsid w:val="00DB1845"/>
    <w:rsid w:val="00DB4B8E"/>
    <w:rsid w:val="00DC086C"/>
    <w:rsid w:val="00DF2E74"/>
    <w:rsid w:val="00E10803"/>
    <w:rsid w:val="00E12177"/>
    <w:rsid w:val="00E2715D"/>
    <w:rsid w:val="00E31E92"/>
    <w:rsid w:val="00E451CF"/>
    <w:rsid w:val="00E52981"/>
    <w:rsid w:val="00E66636"/>
    <w:rsid w:val="00E72DDD"/>
    <w:rsid w:val="00E72F60"/>
    <w:rsid w:val="00E80023"/>
    <w:rsid w:val="00E82804"/>
    <w:rsid w:val="00E95FEE"/>
    <w:rsid w:val="00E97A14"/>
    <w:rsid w:val="00EB01DA"/>
    <w:rsid w:val="00EB7992"/>
    <w:rsid w:val="00EC00BE"/>
    <w:rsid w:val="00EC015B"/>
    <w:rsid w:val="00EC3BB4"/>
    <w:rsid w:val="00EC4A1A"/>
    <w:rsid w:val="00EC64B6"/>
    <w:rsid w:val="00ED0083"/>
    <w:rsid w:val="00ED0ABA"/>
    <w:rsid w:val="00ED57A4"/>
    <w:rsid w:val="00ED61B7"/>
    <w:rsid w:val="00ED7E1D"/>
    <w:rsid w:val="00EE6614"/>
    <w:rsid w:val="00EE7991"/>
    <w:rsid w:val="00EF1142"/>
    <w:rsid w:val="00EF169E"/>
    <w:rsid w:val="00EF3B5F"/>
    <w:rsid w:val="00F00E56"/>
    <w:rsid w:val="00F07766"/>
    <w:rsid w:val="00F1122D"/>
    <w:rsid w:val="00F202F3"/>
    <w:rsid w:val="00F427FA"/>
    <w:rsid w:val="00F45290"/>
    <w:rsid w:val="00F46302"/>
    <w:rsid w:val="00F52BEE"/>
    <w:rsid w:val="00F531FE"/>
    <w:rsid w:val="00F538C0"/>
    <w:rsid w:val="00F53F16"/>
    <w:rsid w:val="00F5560B"/>
    <w:rsid w:val="00F57E8B"/>
    <w:rsid w:val="00F720DC"/>
    <w:rsid w:val="00F73C51"/>
    <w:rsid w:val="00F745C6"/>
    <w:rsid w:val="00F7684D"/>
    <w:rsid w:val="00F941FE"/>
    <w:rsid w:val="00F9453D"/>
    <w:rsid w:val="00FA0E1C"/>
    <w:rsid w:val="00FA2724"/>
    <w:rsid w:val="00FB7054"/>
    <w:rsid w:val="00FD2D13"/>
    <w:rsid w:val="00FD7270"/>
    <w:rsid w:val="00FE0451"/>
    <w:rsid w:val="00FE26C4"/>
    <w:rsid w:val="00FE5411"/>
    <w:rsid w:val="00FE5A5A"/>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1C162"/>
  <w15:chartTrackingRefBased/>
  <w15:docId w15:val="{1570BEFD-46C5-4027-80D8-81346E4B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
    <w:basedOn w:val="Normal"/>
    <w:link w:val="FootnoteTextChar"/>
    <w:uiPriority w:val="99"/>
    <w:unhideWhenUsed/>
    <w:rsid w:val="00DF2E74"/>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DF2E74"/>
    <w:rPr>
      <w:rFonts w:ascii="Arial" w:hAnsi="Arial"/>
      <w:sz w:val="20"/>
      <w:szCs w:val="20"/>
      <w:lang w:val="en-GB"/>
    </w:rPr>
  </w:style>
  <w:style w:type="character" w:styleId="FootnoteReference">
    <w:name w:val="footnote reference"/>
    <w:basedOn w:val="DefaultParagraphFont"/>
    <w:uiPriority w:val="99"/>
    <w:rsid w:val="00DF2E74"/>
    <w:rPr>
      <w:rFonts w:cs="Times New Roman"/>
      <w:vertAlign w:val="superscript"/>
    </w:rPr>
  </w:style>
  <w:style w:type="paragraph" w:customStyle="1" w:styleId="1">
    <w:name w:val="1"/>
    <w:basedOn w:val="BodyText"/>
    <w:link w:val="1Char"/>
    <w:qFormat/>
    <w:rsid w:val="00231F7B"/>
    <w:pPr>
      <w:numPr>
        <w:numId w:val="8"/>
      </w:numPr>
      <w:spacing w:before="480" w:after="0" w:line="480" w:lineRule="auto"/>
    </w:pPr>
    <w:rPr>
      <w:rFonts w:eastAsia="Times New Roman"/>
      <w:iCs/>
      <w:color w:val="000000"/>
    </w:rPr>
  </w:style>
  <w:style w:type="paragraph" w:customStyle="1" w:styleId="3">
    <w:name w:val="3"/>
    <w:basedOn w:val="2"/>
    <w:qFormat/>
    <w:rsid w:val="00231F7B"/>
    <w:pPr>
      <w:numPr>
        <w:ilvl w:val="2"/>
      </w:numPr>
      <w:tabs>
        <w:tab w:val="clear" w:pos="2552"/>
        <w:tab w:val="num" w:pos="360"/>
        <w:tab w:val="num" w:pos="1701"/>
        <w:tab w:val="num" w:pos="1980"/>
      </w:tabs>
      <w:ind w:left="1980" w:hanging="180"/>
    </w:pPr>
  </w:style>
  <w:style w:type="paragraph" w:customStyle="1" w:styleId="4">
    <w:name w:val="4"/>
    <w:basedOn w:val="2"/>
    <w:qFormat/>
    <w:rsid w:val="00231F7B"/>
    <w:pPr>
      <w:numPr>
        <w:ilvl w:val="3"/>
      </w:numPr>
      <w:tabs>
        <w:tab w:val="clear" w:pos="3062"/>
        <w:tab w:val="num" w:pos="360"/>
        <w:tab w:val="num" w:pos="2700"/>
      </w:tabs>
      <w:ind w:left="2700" w:hanging="360"/>
    </w:pPr>
    <w:rPr>
      <w:iCs w:val="0"/>
    </w:rPr>
  </w:style>
  <w:style w:type="paragraph" w:customStyle="1" w:styleId="5">
    <w:name w:val="5"/>
    <w:basedOn w:val="4"/>
    <w:qFormat/>
    <w:rsid w:val="00231F7B"/>
    <w:pPr>
      <w:numPr>
        <w:ilvl w:val="4"/>
      </w:numPr>
      <w:tabs>
        <w:tab w:val="clear" w:pos="3515"/>
        <w:tab w:val="num" w:pos="360"/>
        <w:tab w:val="num" w:pos="2700"/>
        <w:tab w:val="num" w:pos="3420"/>
      </w:tabs>
      <w:ind w:left="3420" w:hanging="360"/>
    </w:pPr>
    <w:rPr>
      <w:iCs/>
      <w:szCs w:val="16"/>
      <w:lang w:eastAsia="en-ZA"/>
    </w:rPr>
  </w:style>
  <w:style w:type="paragraph" w:customStyle="1" w:styleId="2">
    <w:name w:val="2"/>
    <w:basedOn w:val="1"/>
    <w:qFormat/>
    <w:rsid w:val="00231F7B"/>
    <w:pPr>
      <w:numPr>
        <w:ilvl w:val="1"/>
      </w:numPr>
      <w:tabs>
        <w:tab w:val="clear" w:pos="1588"/>
        <w:tab w:val="num" w:pos="360"/>
      </w:tabs>
      <w:spacing w:before="240"/>
      <w:ind w:left="1134" w:hanging="567"/>
    </w:pPr>
  </w:style>
  <w:style w:type="character" w:customStyle="1" w:styleId="1Char">
    <w:name w:val="1 Char"/>
    <w:basedOn w:val="DefaultParagraphFont"/>
    <w:link w:val="1"/>
    <w:rsid w:val="00231F7B"/>
    <w:rPr>
      <w:rFonts w:ascii="Arial" w:eastAsia="Times New Roman" w:hAnsi="Arial"/>
      <w:iCs/>
      <w:color w:val="000000"/>
      <w:sz w:val="24"/>
      <w:lang w:val="en-GB"/>
    </w:rPr>
  </w:style>
  <w:style w:type="paragraph" w:styleId="BodyText">
    <w:name w:val="Body Text"/>
    <w:basedOn w:val="Normal"/>
    <w:link w:val="BodyTextChar"/>
    <w:uiPriority w:val="99"/>
    <w:semiHidden/>
    <w:unhideWhenUsed/>
    <w:rsid w:val="00231F7B"/>
    <w:pPr>
      <w:spacing w:after="120"/>
    </w:pPr>
  </w:style>
  <w:style w:type="character" w:customStyle="1" w:styleId="BodyTextChar">
    <w:name w:val="Body Text Char"/>
    <w:basedOn w:val="DefaultParagraphFont"/>
    <w:link w:val="BodyText"/>
    <w:uiPriority w:val="99"/>
    <w:semiHidden/>
    <w:rsid w:val="00231F7B"/>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375610">
      <w:bodyDiv w:val="1"/>
      <w:marLeft w:val="0"/>
      <w:marRight w:val="0"/>
      <w:marTop w:val="0"/>
      <w:marBottom w:val="0"/>
      <w:divBdr>
        <w:top w:val="none" w:sz="0" w:space="0" w:color="auto"/>
        <w:left w:val="none" w:sz="0" w:space="0" w:color="auto"/>
        <w:bottom w:val="none" w:sz="0" w:space="0" w:color="auto"/>
        <w:right w:val="none" w:sz="0" w:space="0" w:color="auto"/>
      </w:divBdr>
      <w:divsChild>
        <w:div w:id="117796664">
          <w:marLeft w:val="0"/>
          <w:marRight w:val="0"/>
          <w:marTop w:val="120"/>
          <w:marBottom w:val="0"/>
          <w:divBdr>
            <w:top w:val="none" w:sz="0" w:space="0" w:color="auto"/>
            <w:left w:val="none" w:sz="0" w:space="0" w:color="auto"/>
            <w:bottom w:val="none" w:sz="0" w:space="0" w:color="auto"/>
            <w:right w:val="none" w:sz="0" w:space="0" w:color="auto"/>
          </w:divBdr>
        </w:div>
        <w:div w:id="1855731501">
          <w:marLeft w:val="0"/>
          <w:marRight w:val="0"/>
          <w:marTop w:val="240"/>
          <w:marBottom w:val="24"/>
          <w:divBdr>
            <w:top w:val="none" w:sz="0" w:space="0" w:color="auto"/>
            <w:left w:val="none" w:sz="0" w:space="0" w:color="auto"/>
            <w:bottom w:val="none" w:sz="0" w:space="0" w:color="auto"/>
            <w:right w:val="none" w:sz="0" w:space="0" w:color="auto"/>
          </w:divBdr>
        </w:div>
        <w:div w:id="1254777597">
          <w:marLeft w:val="0"/>
          <w:marRight w:val="0"/>
          <w:marTop w:val="120"/>
          <w:marBottom w:val="0"/>
          <w:divBdr>
            <w:top w:val="none" w:sz="0" w:space="0" w:color="auto"/>
            <w:left w:val="none" w:sz="0" w:space="0" w:color="auto"/>
            <w:bottom w:val="none" w:sz="0" w:space="0" w:color="auto"/>
            <w:right w:val="none" w:sz="0" w:space="0" w:color="auto"/>
          </w:divBdr>
        </w:div>
      </w:divsChild>
    </w:div>
    <w:div w:id="1176380728">
      <w:bodyDiv w:val="1"/>
      <w:marLeft w:val="0"/>
      <w:marRight w:val="0"/>
      <w:marTop w:val="0"/>
      <w:marBottom w:val="0"/>
      <w:divBdr>
        <w:top w:val="none" w:sz="0" w:space="0" w:color="auto"/>
        <w:left w:val="none" w:sz="0" w:space="0" w:color="auto"/>
        <w:bottom w:val="none" w:sz="0" w:space="0" w:color="auto"/>
        <w:right w:val="none" w:sz="0" w:space="0" w:color="auto"/>
      </w:divBdr>
      <w:divsChild>
        <w:div w:id="197663851">
          <w:marLeft w:val="0"/>
          <w:marRight w:val="0"/>
          <w:marTop w:val="120"/>
          <w:marBottom w:val="0"/>
          <w:divBdr>
            <w:top w:val="none" w:sz="0" w:space="0" w:color="auto"/>
            <w:left w:val="none" w:sz="0" w:space="0" w:color="auto"/>
            <w:bottom w:val="none" w:sz="0" w:space="0" w:color="auto"/>
            <w:right w:val="none" w:sz="0" w:space="0" w:color="auto"/>
          </w:divBdr>
        </w:div>
        <w:div w:id="1005743391">
          <w:marLeft w:val="0"/>
          <w:marRight w:val="0"/>
          <w:marTop w:val="240"/>
          <w:marBottom w:val="24"/>
          <w:divBdr>
            <w:top w:val="none" w:sz="0" w:space="0" w:color="auto"/>
            <w:left w:val="none" w:sz="0" w:space="0" w:color="auto"/>
            <w:bottom w:val="none" w:sz="0" w:space="0" w:color="auto"/>
            <w:right w:val="none" w:sz="0" w:space="0" w:color="auto"/>
          </w:divBdr>
        </w:div>
        <w:div w:id="162781483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a\Dropbox\PC\Documents\Judgments%202023\Orkin%20v%20Goldleaf%20New%20Template.dotx"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66137-4972-4932-8038-98624185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Orkin v Goldleaf New Template</Template>
  <TotalTime>7</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Lilitha Mdleleni</cp:lastModifiedBy>
  <cp:revision>3</cp:revision>
  <dcterms:created xsi:type="dcterms:W3CDTF">2023-11-29T06:42:00Z</dcterms:created>
  <dcterms:modified xsi:type="dcterms:W3CDTF">2023-12-01T05:08:00Z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a1c72afcd36c9bd3c298ab9d95c550e1b29c4bc3975fe8e1ce2eacdc4aa514db</vt:lpwstr>
  </property>
</Properties>
</file>