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3E0F" w14:textId="7B7BDEEB" w:rsidR="000708A0" w:rsidRDefault="000708A0" w:rsidP="00CD56FB">
      <w:pPr>
        <w:pStyle w:val="LegalTitle"/>
        <w:spacing w:after="0" w:line="360" w:lineRule="auto"/>
        <w:rPr>
          <w:u w:val="single"/>
        </w:rPr>
      </w:pPr>
      <w:r>
        <w:rPr>
          <w:u w:val="single"/>
        </w:rPr>
        <w:t>REPUBLIC OF SOUTH AFRICA</w:t>
      </w:r>
    </w:p>
    <w:p w14:paraId="79251C61" w14:textId="5B263AA2" w:rsidR="00781994" w:rsidRDefault="000B38D0" w:rsidP="00DA376E">
      <w:pPr>
        <w:pStyle w:val="LegalTitle"/>
        <w:spacing w:before="120" w:after="120" w:line="360" w:lineRule="auto"/>
        <w:rPr>
          <w:u w:val="single"/>
        </w:rPr>
      </w:pPr>
      <w:r>
        <w:rPr>
          <w:noProof/>
          <w:lang w:val="en-ZA" w:eastAsia="en-ZA"/>
        </w:rPr>
        <w:drawing>
          <wp:anchor distT="0" distB="0" distL="114300" distR="114300" simplePos="0" relativeHeight="251662336" behindDoc="0" locked="0" layoutInCell="1" allowOverlap="1" wp14:anchorId="496FA9F9" wp14:editId="0335FA19">
            <wp:simplePos x="0" y="0"/>
            <wp:positionH relativeFrom="column">
              <wp:posOffset>1831975</wp:posOffset>
            </wp:positionH>
            <wp:positionV relativeFrom="paragraph">
              <wp:posOffset>50800</wp:posOffset>
            </wp:positionV>
            <wp:extent cx="1536065" cy="15360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anchor>
        </w:drawing>
      </w:r>
      <w:r w:rsidR="007F45B5">
        <w:rPr>
          <w:u w:val="single"/>
        </w:rPr>
        <w:br w:type="textWrapping" w:clear="all"/>
      </w:r>
      <w:r w:rsidR="00781994">
        <w:rPr>
          <w:u w:val="single"/>
        </w:rPr>
        <w:t>IN THE HIGH COURT OF SOUTH AFRICA</w:t>
      </w:r>
    </w:p>
    <w:p w14:paraId="1FBEBA63" w14:textId="0D6724D0" w:rsidR="00520591" w:rsidRPr="00520591" w:rsidRDefault="000301C4" w:rsidP="006377C9">
      <w:pPr>
        <w:pStyle w:val="LegalTitle"/>
        <w:spacing w:line="360" w:lineRule="auto"/>
        <w:rPr>
          <w:u w:val="single"/>
        </w:rPr>
      </w:pPr>
      <w:r>
        <w:rPr>
          <w:rFonts w:eastAsiaTheme="minorEastAsia"/>
          <w:noProof/>
          <w:lang w:val="en-ZA" w:eastAsia="en-ZA"/>
        </w:rPr>
        <mc:AlternateContent>
          <mc:Choice Requires="wps">
            <w:drawing>
              <wp:anchor distT="0" distB="0" distL="114300" distR="114300" simplePos="0" relativeHeight="251661312" behindDoc="0" locked="0" layoutInCell="1" allowOverlap="1" wp14:anchorId="497C16BE" wp14:editId="3881428D">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47A14B25" w14:textId="5AA02321" w:rsidR="00ED3B66" w:rsidRPr="0038792A" w:rsidRDefault="00005E64" w:rsidP="00005E6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ED3B66">
                              <w:rPr>
                                <w:rFonts w:ascii="Century Gothic" w:hAnsi="Century Gothic"/>
                                <w:sz w:val="20"/>
                                <w:szCs w:val="20"/>
                              </w:rPr>
                              <w:t xml:space="preserve">REPORTABLE: </w:t>
                            </w:r>
                            <w:r w:rsidR="00ED3B66">
                              <w:rPr>
                                <w:rFonts w:ascii="Century Gothic" w:hAnsi="Century Gothic"/>
                                <w:b/>
                                <w:i/>
                                <w:sz w:val="20"/>
                                <w:szCs w:val="20"/>
                              </w:rPr>
                              <w:t>NO</w:t>
                            </w:r>
                          </w:p>
                          <w:p w14:paraId="11CCB717" w14:textId="26886BE6" w:rsidR="00ED3B66" w:rsidRPr="0038792A" w:rsidRDefault="00005E64" w:rsidP="00005E6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ED3B66" w:rsidRPr="0038792A">
                              <w:rPr>
                                <w:rFonts w:ascii="Century Gothic" w:hAnsi="Century Gothic"/>
                                <w:sz w:val="20"/>
                                <w:szCs w:val="20"/>
                              </w:rPr>
                              <w:t xml:space="preserve">OF </w:t>
                            </w:r>
                            <w:r w:rsidR="00ED3B66">
                              <w:rPr>
                                <w:rFonts w:ascii="Century Gothic" w:hAnsi="Century Gothic"/>
                                <w:sz w:val="20"/>
                                <w:szCs w:val="20"/>
                              </w:rPr>
                              <w:t xml:space="preserve">INTEREST TO OTHER JUDGES: </w:t>
                            </w:r>
                            <w:r w:rsidR="00ED3B66">
                              <w:rPr>
                                <w:rFonts w:ascii="Century Gothic" w:hAnsi="Century Gothic"/>
                                <w:b/>
                                <w:i/>
                                <w:sz w:val="20"/>
                                <w:szCs w:val="20"/>
                              </w:rPr>
                              <w:t>NO</w:t>
                            </w:r>
                          </w:p>
                          <w:p w14:paraId="7598AF5D" w14:textId="0F64BBE1" w:rsidR="00ED3B66" w:rsidRPr="0038792A" w:rsidRDefault="00005E64" w:rsidP="00005E64">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ED3B66" w:rsidRPr="0038792A">
                              <w:rPr>
                                <w:rFonts w:ascii="Century Gothic" w:hAnsi="Century Gothic"/>
                                <w:sz w:val="20"/>
                                <w:szCs w:val="20"/>
                              </w:rPr>
                              <w:t xml:space="preserve">REVISED: </w:t>
                            </w:r>
                          </w:p>
                          <w:p w14:paraId="7D8C83F5" w14:textId="3014F7ED" w:rsidR="00ED3B66" w:rsidRPr="000C3AF7" w:rsidRDefault="00ED3B66" w:rsidP="000C3AF7">
                            <w:pPr>
                              <w:rPr>
                                <w:rFonts w:ascii="Century Gothic" w:hAnsi="Century Gothic"/>
                                <w:sz w:val="22"/>
                                <w:szCs w:val="22"/>
                              </w:rPr>
                            </w:pPr>
                            <w:r>
                              <w:rPr>
                                <w:rFonts w:ascii="Century Gothic" w:hAnsi="Century Gothic"/>
                                <w:sz w:val="22"/>
                                <w:szCs w:val="22"/>
                              </w:rPr>
                              <w:t xml:space="preserve">Date: </w:t>
                            </w:r>
                            <w:r>
                              <w:rPr>
                                <w:rFonts w:ascii="Century Gothic" w:hAnsi="Century Gothic"/>
                                <w:b/>
                                <w:i/>
                                <w:sz w:val="22"/>
                                <w:szCs w:val="22"/>
                                <w:u w:val="single"/>
                              </w:rPr>
                              <w:t>29</w:t>
                            </w:r>
                            <w:r w:rsidRPr="00AC2C7B">
                              <w:rPr>
                                <w:rFonts w:ascii="Century Gothic" w:hAnsi="Century Gothic"/>
                                <w:b/>
                                <w:i/>
                                <w:sz w:val="22"/>
                                <w:szCs w:val="22"/>
                                <w:u w:val="single"/>
                                <w:vertAlign w:val="superscript"/>
                              </w:rPr>
                              <w:t>th</w:t>
                            </w:r>
                            <w:r>
                              <w:rPr>
                                <w:rFonts w:ascii="Century Gothic" w:hAnsi="Century Gothic"/>
                                <w:b/>
                                <w:i/>
                                <w:sz w:val="22"/>
                                <w:szCs w:val="22"/>
                                <w:u w:val="single"/>
                              </w:rPr>
                              <w:t xml:space="preserve"> November 2023</w:t>
                            </w:r>
                            <w:r w:rsidRPr="0070234A">
                              <w:rPr>
                                <w:rFonts w:ascii="Century Gothic" w:hAnsi="Century Gothic"/>
                                <w:b/>
                                <w:i/>
                                <w:sz w:val="22"/>
                                <w:szCs w:val="22"/>
                              </w:rPr>
                              <w:t xml:space="preserve"> </w:t>
                            </w:r>
                            <w:r>
                              <w:rPr>
                                <w:rFonts w:ascii="Century Gothic" w:hAnsi="Century Gothic"/>
                                <w:sz w:val="22"/>
                                <w:szCs w:val="22"/>
                              </w:rPr>
                              <w:t>Signature: _____________</w:t>
                            </w:r>
                          </w:p>
                          <w:p w14:paraId="12AF53E7" w14:textId="77777777" w:rsidR="00ED3B66" w:rsidRDefault="00ED3B66" w:rsidP="000C3AF7">
                            <w:pPr>
                              <w:rPr>
                                <w:rFonts w:ascii="Century Gothic" w:hAnsi="Century Gothic"/>
                                <w:sz w:val="28"/>
                                <w:szCs w:val="28"/>
                              </w:rPr>
                            </w:pPr>
                          </w:p>
                          <w:p w14:paraId="6B328F2B" w14:textId="77777777" w:rsidR="00ED3B66" w:rsidRDefault="00ED3B66"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ED3B66" w:rsidRDefault="00ED3B66"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ED3B66" w:rsidRDefault="00ED3B66" w:rsidP="000C3AF7">
                            <w:pPr>
                              <w:rPr>
                                <w:rFonts w:ascii="Century Gothic" w:hAnsi="Century Gothic"/>
                                <w:sz w:val="28"/>
                                <w:szCs w:val="28"/>
                              </w:rPr>
                            </w:pPr>
                          </w:p>
                          <w:p w14:paraId="3E1C7AF5" w14:textId="77777777" w:rsidR="00ED3B66" w:rsidRDefault="00ED3B66" w:rsidP="000C3AF7">
                            <w:pPr>
                              <w:rPr>
                                <w:rFonts w:ascii="Century Gothic" w:hAnsi="Century Gothic"/>
                                <w:sz w:val="28"/>
                                <w:szCs w:val="28"/>
                              </w:rPr>
                            </w:pPr>
                          </w:p>
                          <w:p w14:paraId="65A5D01C" w14:textId="77777777" w:rsidR="00ED3B66" w:rsidRDefault="00ED3B66" w:rsidP="000C3AF7">
                            <w:pPr>
                              <w:rPr>
                                <w:rFonts w:ascii="Century Gothic" w:hAnsi="Century Gothic"/>
                                <w:sz w:val="28"/>
                                <w:szCs w:val="28"/>
                              </w:rPr>
                            </w:pPr>
                          </w:p>
                          <w:p w14:paraId="252DC17A" w14:textId="77777777" w:rsidR="00ED3B66" w:rsidRPr="009533D5" w:rsidRDefault="00ED3B66" w:rsidP="000C3AF7">
                            <w:pPr>
                              <w:rPr>
                                <w:rFonts w:ascii="Century Gothic" w:hAnsi="Century Gothic"/>
                                <w:sz w:val="28"/>
                                <w:szCs w:val="28"/>
                              </w:rPr>
                            </w:pPr>
                          </w:p>
                          <w:p w14:paraId="67643019" w14:textId="77777777" w:rsidR="00ED3B66" w:rsidRDefault="00ED3B66" w:rsidP="000C3AF7">
                            <w:pPr>
                              <w:rPr>
                                <w:rFonts w:ascii="Century Gothic" w:hAnsi="Century Gothic"/>
                                <w:b/>
                                <w:sz w:val="18"/>
                                <w:szCs w:val="18"/>
                              </w:rPr>
                            </w:pPr>
                          </w:p>
                          <w:p w14:paraId="09961391" w14:textId="77777777" w:rsidR="00ED3B66" w:rsidRDefault="00ED3B66" w:rsidP="000C3AF7">
                            <w:pPr>
                              <w:rPr>
                                <w:rFonts w:ascii="Century Gothic" w:hAnsi="Century Gothic"/>
                                <w:b/>
                                <w:sz w:val="18"/>
                                <w:szCs w:val="18"/>
                              </w:rPr>
                            </w:pPr>
                          </w:p>
                          <w:p w14:paraId="5D79450A" w14:textId="77777777" w:rsidR="00ED3B66" w:rsidRDefault="00ED3B66" w:rsidP="000C3AF7">
                            <w:pPr>
                              <w:rPr>
                                <w:rFonts w:ascii="Century Gothic" w:hAnsi="Century Gothic"/>
                                <w:b/>
                                <w:sz w:val="18"/>
                                <w:szCs w:val="18"/>
                              </w:rPr>
                            </w:pPr>
                          </w:p>
                          <w:p w14:paraId="105A86A6" w14:textId="77777777" w:rsidR="00ED3B66" w:rsidRPr="00B93709" w:rsidRDefault="00ED3B66" w:rsidP="000C3AF7">
                            <w:pPr>
                              <w:rPr>
                                <w:rFonts w:ascii="Century Gothic" w:hAnsi="Century Gothic"/>
                                <w:b/>
                                <w:sz w:val="18"/>
                                <w:szCs w:val="18"/>
                              </w:rPr>
                            </w:pPr>
                          </w:p>
                          <w:p w14:paraId="7BEC4500" w14:textId="77777777" w:rsidR="00ED3B66" w:rsidRPr="00B93709" w:rsidRDefault="00ED3B66"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16B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">
                <v:textbox>
                  <w:txbxContent>
                    <w:p w14:paraId="47A14B25" w14:textId="5AA02321" w:rsidR="00ED3B66" w:rsidRPr="0038792A" w:rsidRDefault="00005E64" w:rsidP="00005E6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ED3B66">
                        <w:rPr>
                          <w:rFonts w:ascii="Century Gothic" w:hAnsi="Century Gothic"/>
                          <w:sz w:val="20"/>
                          <w:szCs w:val="20"/>
                        </w:rPr>
                        <w:t xml:space="preserve">REPORTABLE: </w:t>
                      </w:r>
                      <w:r w:rsidR="00ED3B66">
                        <w:rPr>
                          <w:rFonts w:ascii="Century Gothic" w:hAnsi="Century Gothic"/>
                          <w:b/>
                          <w:i/>
                          <w:sz w:val="20"/>
                          <w:szCs w:val="20"/>
                        </w:rPr>
                        <w:t>NO</w:t>
                      </w:r>
                    </w:p>
                    <w:p w14:paraId="11CCB717" w14:textId="26886BE6" w:rsidR="00ED3B66" w:rsidRPr="0038792A" w:rsidRDefault="00005E64" w:rsidP="00005E6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ED3B66" w:rsidRPr="0038792A">
                        <w:rPr>
                          <w:rFonts w:ascii="Century Gothic" w:hAnsi="Century Gothic"/>
                          <w:sz w:val="20"/>
                          <w:szCs w:val="20"/>
                        </w:rPr>
                        <w:t xml:space="preserve">OF </w:t>
                      </w:r>
                      <w:r w:rsidR="00ED3B66">
                        <w:rPr>
                          <w:rFonts w:ascii="Century Gothic" w:hAnsi="Century Gothic"/>
                          <w:sz w:val="20"/>
                          <w:szCs w:val="20"/>
                        </w:rPr>
                        <w:t xml:space="preserve">INTEREST TO OTHER JUDGES: </w:t>
                      </w:r>
                      <w:r w:rsidR="00ED3B66">
                        <w:rPr>
                          <w:rFonts w:ascii="Century Gothic" w:hAnsi="Century Gothic"/>
                          <w:b/>
                          <w:i/>
                          <w:sz w:val="20"/>
                          <w:szCs w:val="20"/>
                        </w:rPr>
                        <w:t>NO</w:t>
                      </w:r>
                    </w:p>
                    <w:p w14:paraId="7598AF5D" w14:textId="0F64BBE1" w:rsidR="00ED3B66" w:rsidRPr="0038792A" w:rsidRDefault="00005E64" w:rsidP="00005E64">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ED3B66" w:rsidRPr="0038792A">
                        <w:rPr>
                          <w:rFonts w:ascii="Century Gothic" w:hAnsi="Century Gothic"/>
                          <w:sz w:val="20"/>
                          <w:szCs w:val="20"/>
                        </w:rPr>
                        <w:t xml:space="preserve">REVISED: </w:t>
                      </w:r>
                    </w:p>
                    <w:p w14:paraId="7D8C83F5" w14:textId="3014F7ED" w:rsidR="00ED3B66" w:rsidRPr="000C3AF7" w:rsidRDefault="00ED3B66" w:rsidP="000C3AF7">
                      <w:pPr>
                        <w:rPr>
                          <w:rFonts w:ascii="Century Gothic" w:hAnsi="Century Gothic"/>
                          <w:sz w:val="22"/>
                          <w:szCs w:val="22"/>
                        </w:rPr>
                      </w:pPr>
                      <w:r>
                        <w:rPr>
                          <w:rFonts w:ascii="Century Gothic" w:hAnsi="Century Gothic"/>
                          <w:sz w:val="22"/>
                          <w:szCs w:val="22"/>
                        </w:rPr>
                        <w:t xml:space="preserve">Date: </w:t>
                      </w:r>
                      <w:r>
                        <w:rPr>
                          <w:rFonts w:ascii="Century Gothic" w:hAnsi="Century Gothic"/>
                          <w:b/>
                          <w:i/>
                          <w:sz w:val="22"/>
                          <w:szCs w:val="22"/>
                          <w:u w:val="single"/>
                        </w:rPr>
                        <w:t>29</w:t>
                      </w:r>
                      <w:r w:rsidRPr="00AC2C7B">
                        <w:rPr>
                          <w:rFonts w:ascii="Century Gothic" w:hAnsi="Century Gothic"/>
                          <w:b/>
                          <w:i/>
                          <w:sz w:val="22"/>
                          <w:szCs w:val="22"/>
                          <w:u w:val="single"/>
                          <w:vertAlign w:val="superscript"/>
                        </w:rPr>
                        <w:t>th</w:t>
                      </w:r>
                      <w:r>
                        <w:rPr>
                          <w:rFonts w:ascii="Century Gothic" w:hAnsi="Century Gothic"/>
                          <w:b/>
                          <w:i/>
                          <w:sz w:val="22"/>
                          <w:szCs w:val="22"/>
                          <w:u w:val="single"/>
                        </w:rPr>
                        <w:t xml:space="preserve"> November 2023</w:t>
                      </w:r>
                      <w:r w:rsidRPr="0070234A">
                        <w:rPr>
                          <w:rFonts w:ascii="Century Gothic" w:hAnsi="Century Gothic"/>
                          <w:b/>
                          <w:i/>
                          <w:sz w:val="22"/>
                          <w:szCs w:val="22"/>
                        </w:rPr>
                        <w:t xml:space="preserve"> </w:t>
                      </w:r>
                      <w:r>
                        <w:rPr>
                          <w:rFonts w:ascii="Century Gothic" w:hAnsi="Century Gothic"/>
                          <w:sz w:val="22"/>
                          <w:szCs w:val="22"/>
                        </w:rPr>
                        <w:t>Signature: _____________</w:t>
                      </w:r>
                    </w:p>
                    <w:p w14:paraId="12AF53E7" w14:textId="77777777" w:rsidR="00ED3B66" w:rsidRDefault="00ED3B66" w:rsidP="000C3AF7">
                      <w:pPr>
                        <w:rPr>
                          <w:rFonts w:ascii="Century Gothic" w:hAnsi="Century Gothic"/>
                          <w:sz w:val="28"/>
                          <w:szCs w:val="28"/>
                        </w:rPr>
                      </w:pPr>
                    </w:p>
                    <w:p w14:paraId="6B328F2B" w14:textId="77777777" w:rsidR="00ED3B66" w:rsidRDefault="00ED3B66"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ED3B66" w:rsidRDefault="00ED3B66"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ED3B66" w:rsidRDefault="00ED3B66" w:rsidP="000C3AF7">
                      <w:pPr>
                        <w:rPr>
                          <w:rFonts w:ascii="Century Gothic" w:hAnsi="Century Gothic"/>
                          <w:sz w:val="28"/>
                          <w:szCs w:val="28"/>
                        </w:rPr>
                      </w:pPr>
                    </w:p>
                    <w:p w14:paraId="3E1C7AF5" w14:textId="77777777" w:rsidR="00ED3B66" w:rsidRDefault="00ED3B66" w:rsidP="000C3AF7">
                      <w:pPr>
                        <w:rPr>
                          <w:rFonts w:ascii="Century Gothic" w:hAnsi="Century Gothic"/>
                          <w:sz w:val="28"/>
                          <w:szCs w:val="28"/>
                        </w:rPr>
                      </w:pPr>
                    </w:p>
                    <w:p w14:paraId="65A5D01C" w14:textId="77777777" w:rsidR="00ED3B66" w:rsidRDefault="00ED3B66" w:rsidP="000C3AF7">
                      <w:pPr>
                        <w:rPr>
                          <w:rFonts w:ascii="Century Gothic" w:hAnsi="Century Gothic"/>
                          <w:sz w:val="28"/>
                          <w:szCs w:val="28"/>
                        </w:rPr>
                      </w:pPr>
                    </w:p>
                    <w:p w14:paraId="252DC17A" w14:textId="77777777" w:rsidR="00ED3B66" w:rsidRPr="009533D5" w:rsidRDefault="00ED3B66" w:rsidP="000C3AF7">
                      <w:pPr>
                        <w:rPr>
                          <w:rFonts w:ascii="Century Gothic" w:hAnsi="Century Gothic"/>
                          <w:sz w:val="28"/>
                          <w:szCs w:val="28"/>
                        </w:rPr>
                      </w:pPr>
                    </w:p>
                    <w:p w14:paraId="67643019" w14:textId="77777777" w:rsidR="00ED3B66" w:rsidRDefault="00ED3B66" w:rsidP="000C3AF7">
                      <w:pPr>
                        <w:rPr>
                          <w:rFonts w:ascii="Century Gothic" w:hAnsi="Century Gothic"/>
                          <w:b/>
                          <w:sz w:val="18"/>
                          <w:szCs w:val="18"/>
                        </w:rPr>
                      </w:pPr>
                    </w:p>
                    <w:p w14:paraId="09961391" w14:textId="77777777" w:rsidR="00ED3B66" w:rsidRDefault="00ED3B66" w:rsidP="000C3AF7">
                      <w:pPr>
                        <w:rPr>
                          <w:rFonts w:ascii="Century Gothic" w:hAnsi="Century Gothic"/>
                          <w:b/>
                          <w:sz w:val="18"/>
                          <w:szCs w:val="18"/>
                        </w:rPr>
                      </w:pPr>
                    </w:p>
                    <w:p w14:paraId="5D79450A" w14:textId="77777777" w:rsidR="00ED3B66" w:rsidRDefault="00ED3B66" w:rsidP="000C3AF7">
                      <w:pPr>
                        <w:rPr>
                          <w:rFonts w:ascii="Century Gothic" w:hAnsi="Century Gothic"/>
                          <w:b/>
                          <w:sz w:val="18"/>
                          <w:szCs w:val="18"/>
                        </w:rPr>
                      </w:pPr>
                    </w:p>
                    <w:p w14:paraId="105A86A6" w14:textId="77777777" w:rsidR="00ED3B66" w:rsidRPr="00B93709" w:rsidRDefault="00ED3B66" w:rsidP="000C3AF7">
                      <w:pPr>
                        <w:rPr>
                          <w:rFonts w:ascii="Century Gothic" w:hAnsi="Century Gothic"/>
                          <w:b/>
                          <w:sz w:val="18"/>
                          <w:szCs w:val="18"/>
                        </w:rPr>
                      </w:pPr>
                    </w:p>
                    <w:p w14:paraId="7BEC4500" w14:textId="77777777" w:rsidR="00ED3B66" w:rsidRPr="00B93709" w:rsidRDefault="00ED3B66"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DIVISION, </w:t>
      </w:r>
      <w:r w:rsidR="000B38D0">
        <w:rPr>
          <w:u w:val="single"/>
        </w:rPr>
        <w:t>JOHANNESBURG</w:t>
      </w:r>
    </w:p>
    <w:p w14:paraId="73013942" w14:textId="77777777" w:rsidR="00781994" w:rsidRDefault="00781994" w:rsidP="00EB0478">
      <w:pPr>
        <w:pStyle w:val="LegalAnnexure"/>
        <w:spacing w:after="240" w:line="360" w:lineRule="auto"/>
        <w:rPr>
          <w:u w:val="single"/>
        </w:rPr>
      </w:pPr>
    </w:p>
    <w:p w14:paraId="10FE9C41" w14:textId="77777777" w:rsidR="004A6C63" w:rsidRDefault="004A6C63" w:rsidP="0044143F">
      <w:pPr>
        <w:pStyle w:val="LegalAnnexure"/>
        <w:spacing w:after="120" w:line="360" w:lineRule="auto"/>
        <w:rPr>
          <w:u w:val="single"/>
        </w:rPr>
      </w:pPr>
    </w:p>
    <w:p w14:paraId="12BD2615" w14:textId="0169F094" w:rsidR="009314F3" w:rsidRDefault="001E5D90" w:rsidP="00C95B02">
      <w:pPr>
        <w:pStyle w:val="LegalAnnexure"/>
        <w:spacing w:before="120" w:after="0" w:line="360" w:lineRule="auto"/>
        <w:rPr>
          <w:b w:val="0"/>
        </w:rPr>
      </w:pPr>
      <w:r>
        <w:rPr>
          <w:u w:val="single"/>
        </w:rPr>
        <w:t xml:space="preserve">APPEAL </w:t>
      </w:r>
      <w:r w:rsidR="009314F3" w:rsidRPr="00A84826">
        <w:rPr>
          <w:u w:val="single"/>
        </w:rPr>
        <w:t>CASE NO</w:t>
      </w:r>
      <w:r w:rsidR="009314F3" w:rsidRPr="0080126D">
        <w:t>:</w:t>
      </w:r>
      <w:r w:rsidR="00F86558">
        <w:t xml:space="preserve"> </w:t>
      </w:r>
      <w:r w:rsidR="000B38D0" w:rsidRPr="004A6C63">
        <w:rPr>
          <w:b w:val="0"/>
        </w:rPr>
        <w:t>A50</w:t>
      </w:r>
      <w:r w:rsidR="00AC2C7B">
        <w:rPr>
          <w:b w:val="0"/>
        </w:rPr>
        <w:t>73</w:t>
      </w:r>
      <w:r w:rsidR="00F86558" w:rsidRPr="004A6C63">
        <w:rPr>
          <w:b w:val="0"/>
        </w:rPr>
        <w:t>/</w:t>
      </w:r>
      <w:r w:rsidR="00DD67D3">
        <w:rPr>
          <w:b w:val="0"/>
        </w:rPr>
        <w:t>20</w:t>
      </w:r>
      <w:r w:rsidR="006D09B0">
        <w:rPr>
          <w:b w:val="0"/>
        </w:rPr>
        <w:t>2</w:t>
      </w:r>
      <w:r w:rsidR="00DA376E">
        <w:rPr>
          <w:b w:val="0"/>
        </w:rPr>
        <w:t>2</w:t>
      </w:r>
    </w:p>
    <w:p w14:paraId="153FEAD1" w14:textId="0AD2FFB1" w:rsidR="001E5D90" w:rsidRDefault="001E5D90" w:rsidP="001E5D90">
      <w:pPr>
        <w:pStyle w:val="LegalAnnexure"/>
        <w:spacing w:after="0" w:line="360" w:lineRule="auto"/>
        <w:rPr>
          <w:b w:val="0"/>
        </w:rPr>
      </w:pPr>
      <w:r>
        <w:rPr>
          <w:u w:val="single"/>
        </w:rPr>
        <w:t xml:space="preserve">COURT </w:t>
      </w:r>
      <w:r w:rsidRPr="001E5D90">
        <w:rPr>
          <w:i/>
          <w:u w:val="single"/>
        </w:rPr>
        <w:t>A QUO</w:t>
      </w:r>
      <w:r>
        <w:rPr>
          <w:u w:val="single"/>
        </w:rPr>
        <w:t xml:space="preserve"> </w:t>
      </w:r>
      <w:r w:rsidRPr="00A84826">
        <w:rPr>
          <w:u w:val="single"/>
        </w:rPr>
        <w:t>CASE NO</w:t>
      </w:r>
      <w:r w:rsidRPr="0080126D">
        <w:t>:</w:t>
      </w:r>
      <w:r>
        <w:t xml:space="preserve"> </w:t>
      </w:r>
      <w:r w:rsidR="00AC2C7B">
        <w:rPr>
          <w:b w:val="0"/>
        </w:rPr>
        <w:t>44394</w:t>
      </w:r>
      <w:r w:rsidRPr="004A6C63">
        <w:rPr>
          <w:b w:val="0"/>
        </w:rPr>
        <w:t>/</w:t>
      </w:r>
      <w:r w:rsidR="00DA376E">
        <w:rPr>
          <w:b w:val="0"/>
        </w:rPr>
        <w:t>202</w:t>
      </w:r>
      <w:r w:rsidR="00AC2C7B">
        <w:rPr>
          <w:b w:val="0"/>
        </w:rPr>
        <w:t>0</w:t>
      </w:r>
    </w:p>
    <w:p w14:paraId="0537C233" w14:textId="1234BE03" w:rsidR="00C95B02" w:rsidRDefault="00C95B02" w:rsidP="00C95B02">
      <w:pPr>
        <w:pStyle w:val="LegalAnnexure"/>
        <w:spacing w:after="120" w:line="360" w:lineRule="auto"/>
      </w:pPr>
      <w:r>
        <w:rPr>
          <w:u w:val="single"/>
        </w:rPr>
        <w:t>DATE</w:t>
      </w:r>
      <w:r w:rsidRPr="0080126D">
        <w:t>:</w:t>
      </w:r>
      <w:r>
        <w:t xml:space="preserve"> </w:t>
      </w:r>
      <w:r w:rsidR="00AC2C7B">
        <w:rPr>
          <w:b w:val="0"/>
        </w:rPr>
        <w:t>29</w:t>
      </w:r>
      <w:r w:rsidR="00AC2C7B" w:rsidRPr="00AC2C7B">
        <w:rPr>
          <w:b w:val="0"/>
          <w:vertAlign w:val="superscript"/>
        </w:rPr>
        <w:t>th</w:t>
      </w:r>
      <w:r w:rsidR="00AC2C7B">
        <w:rPr>
          <w:b w:val="0"/>
        </w:rPr>
        <w:t xml:space="preserve"> november</w:t>
      </w:r>
      <w:r>
        <w:rPr>
          <w:b w:val="0"/>
        </w:rPr>
        <w:t xml:space="preserve"> 202</w:t>
      </w:r>
      <w:r w:rsidR="00DA376E">
        <w:rPr>
          <w:b w:val="0"/>
        </w:rPr>
        <w:t>3</w:t>
      </w:r>
    </w:p>
    <w:p w14:paraId="0C535D76" w14:textId="77777777" w:rsidR="009314F3" w:rsidRPr="00A84826" w:rsidRDefault="009314F3" w:rsidP="00DA376E">
      <w:pPr>
        <w:pStyle w:val="LegalNormal"/>
        <w:spacing w:after="240" w:line="360" w:lineRule="auto"/>
      </w:pPr>
      <w:r w:rsidRPr="00A84826">
        <w:t>In the matter between:</w:t>
      </w:r>
    </w:p>
    <w:p w14:paraId="12A4A4F5" w14:textId="0A40DE9F" w:rsidR="009314F3" w:rsidRDefault="00AC2C7B" w:rsidP="00DA376E">
      <w:pPr>
        <w:pStyle w:val="LegalPlainDef"/>
        <w:spacing w:after="120" w:line="360" w:lineRule="auto"/>
      </w:pPr>
      <w:r>
        <w:rPr>
          <w:b/>
        </w:rPr>
        <w:t>TUHF</w:t>
      </w:r>
      <w:r w:rsidR="00DA376E">
        <w:rPr>
          <w:b/>
        </w:rPr>
        <w:t xml:space="preserve"> LIMITED</w:t>
      </w:r>
      <w:r w:rsidR="007925EA">
        <w:rPr>
          <w:b/>
        </w:rPr>
        <w:t xml:space="preserve"> </w:t>
      </w:r>
      <w:r w:rsidR="0080126D">
        <w:rPr>
          <w:b/>
        </w:rPr>
        <w:tab/>
      </w:r>
      <w:r w:rsidR="001E5D90">
        <w:t>A</w:t>
      </w:r>
      <w:r w:rsidR="000B38D0">
        <w:t xml:space="preserve">ppellant </w:t>
      </w:r>
    </w:p>
    <w:p w14:paraId="60946A6B" w14:textId="77777777" w:rsidR="009314F3" w:rsidRPr="00A84826" w:rsidRDefault="009314F3" w:rsidP="00DA376E">
      <w:pPr>
        <w:pStyle w:val="LegalNormal"/>
        <w:spacing w:after="120" w:line="360" w:lineRule="auto"/>
      </w:pPr>
      <w:r w:rsidRPr="00A84826">
        <w:t>and</w:t>
      </w:r>
    </w:p>
    <w:p w14:paraId="19D9B352" w14:textId="77777777" w:rsidR="00AC2C7B" w:rsidRDefault="00AC2C7B" w:rsidP="00AC2C7B">
      <w:pPr>
        <w:pStyle w:val="LegalPlainDef"/>
        <w:spacing w:after="0" w:line="240" w:lineRule="auto"/>
        <w:rPr>
          <w:b/>
        </w:rPr>
      </w:pPr>
      <w:r>
        <w:rPr>
          <w:b/>
        </w:rPr>
        <w:t>68 WOLMARANS STREET</w:t>
      </w:r>
    </w:p>
    <w:p w14:paraId="38C382D5" w14:textId="1D051C86" w:rsidR="00AA1951" w:rsidRDefault="00AC2C7B" w:rsidP="00C95B02">
      <w:pPr>
        <w:pStyle w:val="LegalPlainDef"/>
        <w:spacing w:after="0" w:line="360" w:lineRule="auto"/>
      </w:pPr>
      <w:r>
        <w:rPr>
          <w:b/>
        </w:rPr>
        <w:t>JOHANNESBURG</w:t>
      </w:r>
      <w:r w:rsidR="00DA376E">
        <w:rPr>
          <w:b/>
        </w:rPr>
        <w:t xml:space="preserve"> (PTY) LIMITED</w:t>
      </w:r>
      <w:r w:rsidR="00C95B02">
        <w:rPr>
          <w:b/>
        </w:rPr>
        <w:t xml:space="preserve"> </w:t>
      </w:r>
      <w:r w:rsidR="00C95B02">
        <w:rPr>
          <w:b/>
        </w:rPr>
        <w:tab/>
      </w:r>
      <w:r w:rsidR="00C95B02">
        <w:t>First R</w:t>
      </w:r>
      <w:r w:rsidR="00AA1951">
        <w:t>espondent</w:t>
      </w:r>
    </w:p>
    <w:p w14:paraId="2C58E449" w14:textId="6CE90709" w:rsidR="00C95B02" w:rsidRDefault="00AC2C7B" w:rsidP="00C95B02">
      <w:pPr>
        <w:pStyle w:val="LegalPlainDef"/>
        <w:spacing w:after="0" w:line="360" w:lineRule="auto"/>
      </w:pPr>
      <w:r>
        <w:rPr>
          <w:b/>
        </w:rPr>
        <w:t>10 FIFE AVENUE BEREA (PTY) LIMITED</w:t>
      </w:r>
      <w:r w:rsidR="00DA376E">
        <w:rPr>
          <w:b/>
        </w:rPr>
        <w:t xml:space="preserve"> </w:t>
      </w:r>
      <w:r w:rsidR="00DA376E">
        <w:rPr>
          <w:b/>
        </w:rPr>
        <w:tab/>
      </w:r>
      <w:r w:rsidR="00A31973">
        <w:t>Second R</w:t>
      </w:r>
      <w:r w:rsidR="00C95B02">
        <w:t>espondent</w:t>
      </w:r>
    </w:p>
    <w:p w14:paraId="589BF767" w14:textId="143B2621" w:rsidR="00C95B02" w:rsidRDefault="00AC2C7B" w:rsidP="00AE5C4A">
      <w:pPr>
        <w:pStyle w:val="LegalPlainDef"/>
        <w:spacing w:after="240" w:line="360" w:lineRule="auto"/>
      </w:pPr>
      <w:r>
        <w:rPr>
          <w:b/>
          <w:u w:val="single"/>
        </w:rPr>
        <w:t>FARBER</w:t>
      </w:r>
      <w:r>
        <w:rPr>
          <w:b/>
        </w:rPr>
        <w:t>, MARK MORRIS</w:t>
      </w:r>
      <w:r w:rsidR="00A31973">
        <w:rPr>
          <w:b/>
        </w:rPr>
        <w:t xml:space="preserve">  </w:t>
      </w:r>
      <w:r w:rsidR="00C95B02">
        <w:rPr>
          <w:b/>
        </w:rPr>
        <w:t xml:space="preserve"> </w:t>
      </w:r>
      <w:r w:rsidR="00C95B02">
        <w:tab/>
      </w:r>
      <w:r w:rsidR="00A31973">
        <w:t>Third R</w:t>
      </w:r>
      <w:r w:rsidR="00C95B02">
        <w:t>espondent</w:t>
      </w:r>
    </w:p>
    <w:p w14:paraId="2C534C98" w14:textId="3CE7431D" w:rsidR="00E020F7" w:rsidRDefault="00E020F7" w:rsidP="006634AE">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AE5C4A">
        <w:rPr>
          <w:rFonts w:cs="Arial"/>
          <w:lang w:val="en-ZA" w:eastAsia="en-US"/>
        </w:rPr>
        <w:t>T</w:t>
      </w:r>
      <w:r w:rsidR="00AE5C4A">
        <w:rPr>
          <w:rFonts w:cs="Arial"/>
          <w:i/>
          <w:lang w:val="en-ZA" w:eastAsia="en-US"/>
        </w:rPr>
        <w:t>UHF</w:t>
      </w:r>
      <w:r>
        <w:rPr>
          <w:rFonts w:cs="Arial"/>
          <w:i/>
          <w:lang w:val="en-ZA" w:eastAsia="en-US"/>
        </w:rPr>
        <w:t xml:space="preserve"> v </w:t>
      </w:r>
      <w:r w:rsidR="00AE5C4A">
        <w:rPr>
          <w:rFonts w:cs="Arial"/>
          <w:i/>
          <w:lang w:val="en-ZA" w:eastAsia="en-US"/>
        </w:rPr>
        <w:t>68 Wolmarans Street Johannesburg and Others (A5073</w:t>
      </w:r>
      <w:r>
        <w:rPr>
          <w:rFonts w:cs="Arial"/>
          <w:i/>
          <w:lang w:val="en-ZA" w:eastAsia="en-US"/>
        </w:rPr>
        <w:t xml:space="preserve">/2022) </w:t>
      </w:r>
      <w:r>
        <w:rPr>
          <w:rFonts w:cs="Arial"/>
          <w:b/>
          <w:lang w:val="en-ZA" w:eastAsia="en-US"/>
        </w:rPr>
        <w:t xml:space="preserve">[2023] ZAGPJHC </w:t>
      </w:r>
      <w:r w:rsidR="00AE5C4A">
        <w:rPr>
          <w:rFonts w:cs="Arial"/>
          <w:b/>
          <w:lang w:val="en-ZA" w:eastAsia="en-US"/>
        </w:rPr>
        <w:t>---</w:t>
      </w:r>
      <w:r>
        <w:rPr>
          <w:rFonts w:cs="Arial"/>
          <w:b/>
          <w:lang w:val="en-ZA" w:eastAsia="en-US"/>
        </w:rPr>
        <w:t xml:space="preserve"> </w:t>
      </w:r>
      <w:r>
        <w:rPr>
          <w:rFonts w:cs="Arial"/>
          <w:lang w:val="en-ZA" w:eastAsia="en-US"/>
        </w:rPr>
        <w:t>(</w:t>
      </w:r>
      <w:r w:rsidR="00AE5C4A">
        <w:rPr>
          <w:rFonts w:cs="Arial"/>
          <w:lang w:val="en-ZA" w:eastAsia="en-US"/>
        </w:rPr>
        <w:t>29</w:t>
      </w:r>
      <w:r>
        <w:rPr>
          <w:rFonts w:cs="Arial"/>
          <w:lang w:val="en-ZA" w:eastAsia="en-US"/>
        </w:rPr>
        <w:t xml:space="preserve"> </w:t>
      </w:r>
      <w:r w:rsidR="00AE5C4A">
        <w:rPr>
          <w:rFonts w:cs="Arial"/>
          <w:lang w:val="en-ZA" w:eastAsia="en-US"/>
        </w:rPr>
        <w:t>November</w:t>
      </w:r>
      <w:r>
        <w:rPr>
          <w:rFonts w:cs="Arial"/>
          <w:lang w:val="en-ZA" w:eastAsia="en-US"/>
        </w:rPr>
        <w:t xml:space="preserve"> 2023)</w:t>
      </w:r>
      <w:r>
        <w:rPr>
          <w:rFonts w:cs="Arial"/>
          <w:b/>
          <w:lang w:val="en-ZA" w:eastAsia="en-US"/>
        </w:rPr>
        <w:t xml:space="preserve"> </w:t>
      </w:r>
      <w:r>
        <w:rPr>
          <w:rFonts w:cs="Arial"/>
          <w:i/>
          <w:lang w:val="en-ZA" w:eastAsia="en-US"/>
        </w:rPr>
        <w:t xml:space="preserve"> </w:t>
      </w:r>
    </w:p>
    <w:p w14:paraId="3F7EF7CD" w14:textId="13A4B306" w:rsidR="006377C9" w:rsidRDefault="006377C9" w:rsidP="00E020F7">
      <w:pPr>
        <w:keepNext/>
        <w:suppressAutoHyphens w:val="0"/>
        <w:spacing w:after="120" w:line="360" w:lineRule="auto"/>
        <w:ind w:left="1440" w:hanging="1440"/>
        <w:rPr>
          <w:rFonts w:cs="Arial"/>
          <w:lang w:val="en-ZA" w:eastAsia="en-US"/>
        </w:rPr>
      </w:pPr>
      <w:r>
        <w:rPr>
          <w:rFonts w:cs="Arial"/>
          <w:b/>
          <w:bCs/>
          <w:lang w:val="en-ZA" w:eastAsia="en-US"/>
        </w:rPr>
        <w:t>Coram:</w:t>
      </w:r>
      <w:r w:rsidR="00D145C3">
        <w:rPr>
          <w:rFonts w:cs="Arial"/>
          <w:lang w:val="en-ZA" w:eastAsia="en-US"/>
        </w:rPr>
        <w:tab/>
      </w:r>
      <w:r w:rsidR="00AE5C4A">
        <w:rPr>
          <w:rFonts w:cs="Arial"/>
          <w:lang w:val="en-ZA" w:eastAsia="en-US"/>
        </w:rPr>
        <w:t>Vally</w:t>
      </w:r>
      <w:r w:rsidR="00DA376E">
        <w:rPr>
          <w:rFonts w:cs="Arial"/>
          <w:lang w:val="en-ZA" w:eastAsia="en-US"/>
        </w:rPr>
        <w:t xml:space="preserve">, </w:t>
      </w:r>
      <w:r w:rsidR="001428B6">
        <w:rPr>
          <w:rFonts w:cs="Arial"/>
          <w:lang w:val="en-ZA" w:eastAsia="en-US"/>
        </w:rPr>
        <w:t>Adams</w:t>
      </w:r>
      <w:r w:rsidR="007925EA">
        <w:rPr>
          <w:rFonts w:cs="Arial"/>
          <w:lang w:val="en-ZA" w:eastAsia="en-US"/>
        </w:rPr>
        <w:t xml:space="preserve"> </w:t>
      </w:r>
      <w:r>
        <w:rPr>
          <w:rFonts w:cs="Arial"/>
          <w:i/>
          <w:lang w:val="en-ZA" w:eastAsia="en-US"/>
        </w:rPr>
        <w:t>et</w:t>
      </w:r>
      <w:r>
        <w:rPr>
          <w:rFonts w:cs="Arial"/>
          <w:lang w:val="en-ZA" w:eastAsia="en-US"/>
        </w:rPr>
        <w:t xml:space="preserve"> </w:t>
      </w:r>
      <w:r w:rsidR="00AE5C4A">
        <w:rPr>
          <w:rFonts w:cs="Arial"/>
          <w:lang w:val="en-ZA" w:eastAsia="en-US"/>
        </w:rPr>
        <w:t>Dlamini</w:t>
      </w:r>
      <w:r w:rsidR="00DA376E">
        <w:rPr>
          <w:rFonts w:cs="Arial"/>
          <w:lang w:val="en-ZA" w:eastAsia="en-US"/>
        </w:rPr>
        <w:t xml:space="preserve"> </w:t>
      </w:r>
      <w:r w:rsidR="008B1422">
        <w:rPr>
          <w:rFonts w:cs="Arial"/>
          <w:lang w:val="en-ZA" w:eastAsia="en-US"/>
        </w:rPr>
        <w:t>J</w:t>
      </w:r>
      <w:r w:rsidR="00DD67D3">
        <w:rPr>
          <w:rFonts w:cs="Arial"/>
          <w:lang w:val="en-ZA" w:eastAsia="en-US"/>
        </w:rPr>
        <w:t>J</w:t>
      </w:r>
    </w:p>
    <w:p w14:paraId="04F545D3" w14:textId="1B8155C3" w:rsidR="00D145C3" w:rsidRDefault="00D145C3" w:rsidP="00D145C3">
      <w:pPr>
        <w:suppressAutoHyphens w:val="0"/>
        <w:spacing w:after="120"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AE5C4A">
        <w:rPr>
          <w:rFonts w:cs="Arial"/>
          <w:lang w:val="en-ZA" w:eastAsia="en-US"/>
        </w:rPr>
        <w:t>0</w:t>
      </w:r>
      <w:r w:rsidR="00DA376E">
        <w:rPr>
          <w:rFonts w:cs="Arial"/>
          <w:lang w:val="en-ZA" w:eastAsia="en-US"/>
        </w:rPr>
        <w:t>6</w:t>
      </w:r>
      <w:r>
        <w:rPr>
          <w:rFonts w:cs="Arial"/>
          <w:lang w:val="en-ZA" w:eastAsia="en-US"/>
        </w:rPr>
        <w:t xml:space="preserve"> </w:t>
      </w:r>
      <w:r w:rsidR="00AE5C4A">
        <w:rPr>
          <w:rFonts w:cs="Arial"/>
          <w:lang w:val="en-ZA" w:eastAsia="en-US"/>
        </w:rPr>
        <w:t>September</w:t>
      </w:r>
      <w:r w:rsidR="00DA376E">
        <w:rPr>
          <w:rFonts w:cs="Arial"/>
          <w:lang w:val="en-ZA" w:eastAsia="en-US"/>
        </w:rPr>
        <w:t xml:space="preserve"> 2023</w:t>
      </w:r>
    </w:p>
    <w:p w14:paraId="508454AB" w14:textId="2FDDB150" w:rsidR="00D145C3" w:rsidRDefault="00D145C3" w:rsidP="00DE2709">
      <w:pPr>
        <w:suppressAutoHyphens w:val="0"/>
        <w:spacing w:after="240" w:line="360" w:lineRule="auto"/>
        <w:ind w:left="1440" w:hanging="1440"/>
        <w:jc w:val="both"/>
        <w:rPr>
          <w:rFonts w:cs="Arial"/>
          <w:lang w:val="en-ZA" w:eastAsia="en-US"/>
        </w:rPr>
      </w:pPr>
      <w:r>
        <w:rPr>
          <w:rFonts w:cs="Arial"/>
          <w:b/>
          <w:lang w:val="en-ZA" w:eastAsia="en-US"/>
        </w:rPr>
        <w:t>Delivered:</w:t>
      </w:r>
      <w:r>
        <w:rPr>
          <w:rFonts w:cs="Arial"/>
          <w:b/>
          <w:lang w:val="en-ZA" w:eastAsia="en-US"/>
        </w:rPr>
        <w:tab/>
      </w:r>
      <w:r w:rsidR="00AE5C4A">
        <w:rPr>
          <w:rFonts w:cs="Arial"/>
          <w:lang w:val="en-ZA" w:eastAsia="en-US"/>
        </w:rPr>
        <w:t>29</w:t>
      </w:r>
      <w:r w:rsidR="00CE2028">
        <w:rPr>
          <w:rFonts w:cs="Arial"/>
          <w:lang w:val="en-ZA" w:eastAsia="en-US"/>
        </w:rPr>
        <w:t xml:space="preserve"> </w:t>
      </w:r>
      <w:r w:rsidR="00AE5C4A">
        <w:rPr>
          <w:rFonts w:cs="Arial"/>
          <w:lang w:val="en-ZA" w:eastAsia="en-US"/>
        </w:rPr>
        <w:t>November</w:t>
      </w:r>
      <w:r w:rsidR="00DA376E">
        <w:rPr>
          <w:rFonts w:cs="Arial"/>
          <w:lang w:val="en-ZA" w:eastAsia="en-US"/>
        </w:rPr>
        <w:t xml:space="preserve"> 2023</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by being uploaded to </w:t>
      </w:r>
      <w:r>
        <w:rPr>
          <w:rFonts w:cs="Arial"/>
          <w:i/>
          <w:lang w:val="en-ZA" w:eastAsia="en-US"/>
        </w:rPr>
        <w:t>CaseLines</w:t>
      </w:r>
      <w:r>
        <w:rPr>
          <w:rFonts w:cs="Arial"/>
          <w:lang w:val="en-ZA" w:eastAsia="en-US"/>
        </w:rPr>
        <w:t xml:space="preserve"> and by release to SAFLII. The date </w:t>
      </w:r>
      <w:r>
        <w:rPr>
          <w:rFonts w:cs="Arial"/>
          <w:lang w:val="en-ZA" w:eastAsia="en-US"/>
        </w:rPr>
        <w:lastRenderedPageBreak/>
        <w:t xml:space="preserve">and time </w:t>
      </w:r>
      <w:r w:rsidR="00872F18">
        <w:rPr>
          <w:rFonts w:cs="Arial"/>
          <w:lang w:val="en-ZA" w:eastAsia="en-US"/>
        </w:rPr>
        <w:t>for hand-down is deemed to be 10</w:t>
      </w:r>
      <w:r w:rsidR="003E4B76">
        <w:rPr>
          <w:rFonts w:cs="Arial"/>
          <w:lang w:val="en-ZA" w:eastAsia="en-US"/>
        </w:rPr>
        <w:t>:</w:t>
      </w:r>
      <w:r w:rsidR="006634AE">
        <w:rPr>
          <w:rFonts w:cs="Arial"/>
          <w:lang w:val="en-ZA" w:eastAsia="en-US"/>
        </w:rPr>
        <w:t>3</w:t>
      </w:r>
      <w:r>
        <w:rPr>
          <w:rFonts w:cs="Arial"/>
          <w:lang w:val="en-ZA" w:eastAsia="en-US"/>
        </w:rPr>
        <w:t xml:space="preserve">0 on </w:t>
      </w:r>
      <w:r w:rsidR="00AE5C4A">
        <w:rPr>
          <w:rFonts w:cs="Arial"/>
          <w:lang w:val="en-ZA" w:eastAsia="en-US"/>
        </w:rPr>
        <w:t>29</w:t>
      </w:r>
      <w:r>
        <w:rPr>
          <w:rFonts w:cs="Arial"/>
          <w:lang w:val="en-ZA" w:eastAsia="en-US"/>
        </w:rPr>
        <w:t xml:space="preserve"> </w:t>
      </w:r>
      <w:r w:rsidR="00AE5C4A">
        <w:rPr>
          <w:rFonts w:cs="Arial"/>
          <w:lang w:val="en-ZA" w:eastAsia="en-US"/>
        </w:rPr>
        <w:t>November</w:t>
      </w:r>
      <w:r w:rsidR="000B7D1E">
        <w:rPr>
          <w:rFonts w:cs="Arial"/>
          <w:lang w:val="en-ZA" w:eastAsia="en-US"/>
        </w:rPr>
        <w:t xml:space="preserve"> 2023</w:t>
      </w:r>
      <w:r>
        <w:rPr>
          <w:rFonts w:cs="Arial"/>
          <w:lang w:val="en-ZA" w:eastAsia="en-US"/>
        </w:rPr>
        <w:t>.</w:t>
      </w:r>
    </w:p>
    <w:p w14:paraId="19DF7C1D" w14:textId="77777777" w:rsidR="006377C9" w:rsidRDefault="006377C9" w:rsidP="00EF3EE8">
      <w:pPr>
        <w:pStyle w:val="LegalTramLines"/>
        <w:keepNext/>
        <w:spacing w:after="360"/>
      </w:pPr>
      <w:r>
        <w:t>ORDER</w:t>
      </w:r>
    </w:p>
    <w:p w14:paraId="2DA9256D" w14:textId="5FCC7959" w:rsidR="006377C9" w:rsidRDefault="006377C9" w:rsidP="007829F1">
      <w:pPr>
        <w:pStyle w:val="LegalMAINHEADING"/>
        <w:spacing w:before="0" w:after="120" w:line="360" w:lineRule="auto"/>
        <w:rPr>
          <w:rFonts w:cs="Arial"/>
          <w:b w:val="0"/>
          <w:caps w:val="0"/>
          <w:lang w:eastAsia="en-US"/>
        </w:rPr>
      </w:pPr>
      <w:r>
        <w:rPr>
          <w:rFonts w:cs="Arial"/>
          <w:caps w:val="0"/>
          <w:lang w:eastAsia="en-US"/>
        </w:rPr>
        <w:t xml:space="preserve">On appeal from: </w:t>
      </w:r>
      <w:r>
        <w:rPr>
          <w:rFonts w:cs="Arial"/>
          <w:b w:val="0"/>
          <w:caps w:val="0"/>
          <w:lang w:eastAsia="en-US"/>
        </w:rPr>
        <w:t xml:space="preserve">The Gauteng Division of the High Court, </w:t>
      </w:r>
      <w:r w:rsidR="00D978CF">
        <w:rPr>
          <w:rFonts w:cs="Arial"/>
          <w:b w:val="0"/>
          <w:caps w:val="0"/>
          <w:lang w:eastAsia="en-US"/>
        </w:rPr>
        <w:t>Johannesburg</w:t>
      </w:r>
      <w:r>
        <w:rPr>
          <w:rFonts w:cs="Arial"/>
          <w:b w:val="0"/>
          <w:caps w:val="0"/>
          <w:lang w:eastAsia="en-US"/>
        </w:rPr>
        <w:t xml:space="preserve"> (</w:t>
      </w:r>
      <w:r w:rsidR="00AE5C4A">
        <w:rPr>
          <w:rFonts w:cs="Arial"/>
          <w:b w:val="0"/>
          <w:caps w:val="0"/>
          <w:lang w:eastAsia="en-US"/>
        </w:rPr>
        <w:t>Senyatsi</w:t>
      </w:r>
      <w:r w:rsidR="00A172CD">
        <w:rPr>
          <w:rFonts w:cs="Arial"/>
          <w:b w:val="0"/>
          <w:caps w:val="0"/>
          <w:lang w:eastAsia="en-US"/>
        </w:rPr>
        <w:t> </w:t>
      </w:r>
      <w:r>
        <w:rPr>
          <w:rFonts w:cs="Arial"/>
          <w:b w:val="0"/>
          <w:caps w:val="0"/>
          <w:lang w:eastAsia="en-US"/>
        </w:rPr>
        <w:t>J sitting as Court of first instance):</w:t>
      </w:r>
    </w:p>
    <w:p w14:paraId="02E97D2B" w14:textId="2EABC9AD" w:rsidR="000D5CD8" w:rsidRDefault="00005E64" w:rsidP="00005E64">
      <w:pPr>
        <w:pStyle w:val="LegalList1"/>
        <w:spacing w:after="120" w:line="360" w:lineRule="auto"/>
        <w:ind w:left="567" w:hanging="567"/>
      </w:pPr>
      <w:r>
        <w:t>(1)</w:t>
      </w:r>
      <w:r>
        <w:tab/>
      </w:r>
      <w:r w:rsidR="005C30E9">
        <w:t>The appellant’s</w:t>
      </w:r>
      <w:r w:rsidR="000D5CD8">
        <w:t xml:space="preserve"> appeal against the order of the court </w:t>
      </w:r>
      <w:r w:rsidR="000D5CD8" w:rsidRPr="002D2AF2">
        <w:rPr>
          <w:i/>
        </w:rPr>
        <w:t>a quo</w:t>
      </w:r>
      <w:r w:rsidR="000D5CD8">
        <w:t xml:space="preserve"> is upheld, with costs.</w:t>
      </w:r>
    </w:p>
    <w:p w14:paraId="52738A0D" w14:textId="26874697" w:rsidR="000D5CD8" w:rsidRDefault="00005E64" w:rsidP="00005E64">
      <w:pPr>
        <w:pStyle w:val="LegalList1"/>
        <w:spacing w:after="0" w:line="360" w:lineRule="auto"/>
        <w:ind w:left="567" w:hanging="567"/>
      </w:pPr>
      <w:r>
        <w:t>(2)</w:t>
      </w:r>
      <w:r>
        <w:tab/>
      </w:r>
      <w:r w:rsidR="000D5CD8">
        <w:t xml:space="preserve">The order </w:t>
      </w:r>
      <w:r w:rsidR="00E4734A">
        <w:t xml:space="preserve">of </w:t>
      </w:r>
      <w:r w:rsidR="000D5CD8">
        <w:t xml:space="preserve">the court </w:t>
      </w:r>
      <w:r w:rsidR="000D5CD8" w:rsidRPr="000A688E">
        <w:rPr>
          <w:i/>
        </w:rPr>
        <w:t>a quo</w:t>
      </w:r>
      <w:r w:rsidR="000D5CD8">
        <w:t xml:space="preserve"> is set aside and in its place is substituted the following: - </w:t>
      </w:r>
    </w:p>
    <w:p w14:paraId="57DBCA7F" w14:textId="79D3570A" w:rsidR="000517C1" w:rsidRPr="000517C1" w:rsidRDefault="000517C1" w:rsidP="000517C1">
      <w:pPr>
        <w:pStyle w:val="LegalList1"/>
        <w:spacing w:after="0" w:line="360" w:lineRule="auto"/>
        <w:ind w:left="851" w:hanging="567"/>
        <w:rPr>
          <w:sz w:val="20"/>
          <w:szCs w:val="20"/>
        </w:rPr>
      </w:pPr>
      <w:r w:rsidRPr="000517C1">
        <w:rPr>
          <w:sz w:val="20"/>
          <w:szCs w:val="20"/>
        </w:rPr>
        <w:t>‘(1)</w:t>
      </w:r>
      <w:r w:rsidRPr="000517C1">
        <w:rPr>
          <w:sz w:val="20"/>
          <w:szCs w:val="20"/>
        </w:rPr>
        <w:tab/>
        <w:t>Judgment is gra</w:t>
      </w:r>
      <w:r>
        <w:rPr>
          <w:sz w:val="20"/>
          <w:szCs w:val="20"/>
        </w:rPr>
        <w:t>nted in favour of the applicant</w:t>
      </w:r>
      <w:r w:rsidRPr="000517C1">
        <w:rPr>
          <w:sz w:val="20"/>
          <w:szCs w:val="20"/>
        </w:rPr>
        <w:t xml:space="preserve"> against the first, the second and the third respondents, jointly and severally, the one</w:t>
      </w:r>
      <w:r>
        <w:rPr>
          <w:sz w:val="20"/>
          <w:szCs w:val="20"/>
        </w:rPr>
        <w:t xml:space="preserve"> paying the other to be absolved, for: - </w:t>
      </w:r>
    </w:p>
    <w:p w14:paraId="707B8094" w14:textId="2A6844D5" w:rsidR="000517C1" w:rsidRDefault="000D5CD8" w:rsidP="000517C1">
      <w:pPr>
        <w:spacing w:line="360" w:lineRule="auto"/>
        <w:ind w:left="851" w:hanging="567"/>
        <w:jc w:val="both"/>
        <w:rPr>
          <w:sz w:val="22"/>
          <w:szCs w:val="22"/>
        </w:rPr>
      </w:pPr>
      <w:r w:rsidRPr="002C2298">
        <w:rPr>
          <w:color w:val="000000"/>
          <w:sz w:val="22"/>
          <w:szCs w:val="22"/>
        </w:rPr>
        <w:t>‘(a)</w:t>
      </w:r>
      <w:r w:rsidRPr="002C2298">
        <w:rPr>
          <w:color w:val="000000"/>
          <w:sz w:val="22"/>
          <w:szCs w:val="22"/>
        </w:rPr>
        <w:tab/>
      </w:r>
      <w:r w:rsidR="000517C1" w:rsidRPr="000517C1">
        <w:rPr>
          <w:sz w:val="22"/>
          <w:szCs w:val="22"/>
        </w:rPr>
        <w:t xml:space="preserve">68 Wolmarans Street Johannesburg (Pty) Ltd, 10 Fife Avenue Berea (Pty) Ltd and Mark Morris Farber </w:t>
      </w:r>
      <w:r w:rsidR="000517C1">
        <w:rPr>
          <w:sz w:val="22"/>
          <w:szCs w:val="22"/>
        </w:rPr>
        <w:t>("the Respondents")</w:t>
      </w:r>
      <w:r w:rsidR="000517C1" w:rsidRPr="000517C1">
        <w:rPr>
          <w:sz w:val="22"/>
          <w:szCs w:val="22"/>
        </w:rPr>
        <w:t xml:space="preserve">, jointly and severally, the one paying the others to be absolved, </w:t>
      </w:r>
      <w:r w:rsidR="000517C1">
        <w:rPr>
          <w:sz w:val="22"/>
          <w:szCs w:val="22"/>
        </w:rPr>
        <w:t>shall pay to the applicant the sum of R4 897 </w:t>
      </w:r>
      <w:r w:rsidR="000517C1" w:rsidRPr="000517C1">
        <w:rPr>
          <w:sz w:val="22"/>
          <w:szCs w:val="22"/>
        </w:rPr>
        <w:t>004.22</w:t>
      </w:r>
      <w:r w:rsidR="000517C1">
        <w:rPr>
          <w:sz w:val="22"/>
          <w:szCs w:val="22"/>
        </w:rPr>
        <w:t xml:space="preserve">, together </w:t>
      </w:r>
      <w:r w:rsidR="000517C1" w:rsidRPr="000517C1">
        <w:rPr>
          <w:sz w:val="22"/>
          <w:szCs w:val="22"/>
        </w:rPr>
        <w:t xml:space="preserve">with interest </w:t>
      </w:r>
      <w:r w:rsidR="000517C1">
        <w:rPr>
          <w:sz w:val="22"/>
          <w:szCs w:val="22"/>
        </w:rPr>
        <w:t xml:space="preserve">thereon </w:t>
      </w:r>
      <w:r w:rsidR="000517C1" w:rsidRPr="000517C1">
        <w:rPr>
          <w:sz w:val="22"/>
          <w:szCs w:val="22"/>
        </w:rPr>
        <w:t xml:space="preserve">at the rate of 2.50% above the commercial banks' prime rate plus 1% per year, calculated daily and compounded monthly in arrears from 1 February 2020 to date of </w:t>
      </w:r>
      <w:r w:rsidR="000517C1">
        <w:rPr>
          <w:sz w:val="22"/>
          <w:szCs w:val="22"/>
        </w:rPr>
        <w:t xml:space="preserve">final </w:t>
      </w:r>
      <w:r w:rsidR="000517C1" w:rsidRPr="000517C1">
        <w:rPr>
          <w:sz w:val="22"/>
          <w:szCs w:val="22"/>
        </w:rPr>
        <w:t>payment, both dates included;</w:t>
      </w:r>
    </w:p>
    <w:p w14:paraId="439BF53E" w14:textId="77353826" w:rsidR="000517C1" w:rsidRPr="000517C1" w:rsidRDefault="00394E07" w:rsidP="00394E07">
      <w:pPr>
        <w:spacing w:line="360" w:lineRule="auto"/>
        <w:ind w:left="851" w:hanging="567"/>
        <w:jc w:val="both"/>
        <w:rPr>
          <w:sz w:val="22"/>
          <w:szCs w:val="22"/>
        </w:rPr>
      </w:pPr>
      <w:r>
        <w:rPr>
          <w:sz w:val="22"/>
          <w:szCs w:val="22"/>
        </w:rPr>
        <w:t xml:space="preserve"> (b)</w:t>
      </w:r>
      <w:r>
        <w:rPr>
          <w:sz w:val="22"/>
          <w:szCs w:val="22"/>
        </w:rPr>
        <w:tab/>
        <w:t>The a</w:t>
      </w:r>
      <w:r w:rsidR="000517C1" w:rsidRPr="000517C1">
        <w:rPr>
          <w:sz w:val="22"/>
          <w:szCs w:val="22"/>
        </w:rPr>
        <w:t>pplicant is</w:t>
      </w:r>
      <w:r>
        <w:rPr>
          <w:sz w:val="22"/>
          <w:szCs w:val="22"/>
        </w:rPr>
        <w:t>,</w:t>
      </w:r>
      <w:r w:rsidR="000517C1" w:rsidRPr="000517C1">
        <w:rPr>
          <w:sz w:val="22"/>
          <w:szCs w:val="22"/>
        </w:rPr>
        <w:t xml:space="preserve"> with immediate effect</w:t>
      </w:r>
      <w:r>
        <w:rPr>
          <w:sz w:val="22"/>
          <w:szCs w:val="22"/>
        </w:rPr>
        <w:t>,</w:t>
      </w:r>
      <w:r w:rsidR="000517C1" w:rsidRPr="000517C1">
        <w:rPr>
          <w:sz w:val="22"/>
          <w:szCs w:val="22"/>
        </w:rPr>
        <w:t xml:space="preserve"> authorised to take cession of any</w:t>
      </w:r>
      <w:r>
        <w:rPr>
          <w:sz w:val="22"/>
          <w:szCs w:val="22"/>
        </w:rPr>
        <w:t xml:space="preserve"> and all</w:t>
      </w:r>
      <w:r w:rsidR="000517C1" w:rsidRPr="000517C1">
        <w:rPr>
          <w:sz w:val="22"/>
          <w:szCs w:val="22"/>
        </w:rPr>
        <w:t xml:space="preserve"> rental amounts payable by every tenant occupying the immovable prope</w:t>
      </w:r>
      <w:r>
        <w:rPr>
          <w:sz w:val="22"/>
          <w:szCs w:val="22"/>
        </w:rPr>
        <w:t>rty known as Wolbane Mansions (“</w:t>
      </w:r>
      <w:r w:rsidR="000517C1" w:rsidRPr="000517C1">
        <w:rPr>
          <w:sz w:val="22"/>
          <w:szCs w:val="22"/>
        </w:rPr>
        <w:t>the Wolbane Mansions</w:t>
      </w:r>
      <w:r>
        <w:rPr>
          <w:sz w:val="22"/>
          <w:szCs w:val="22"/>
        </w:rPr>
        <w:t xml:space="preserve"> tenants”</w:t>
      </w:r>
      <w:r w:rsidR="000517C1" w:rsidRPr="000517C1">
        <w:rPr>
          <w:sz w:val="22"/>
          <w:szCs w:val="22"/>
        </w:rPr>
        <w:t xml:space="preserve">) to </w:t>
      </w:r>
      <w:r w:rsidRPr="000517C1">
        <w:rPr>
          <w:sz w:val="22"/>
          <w:szCs w:val="22"/>
        </w:rPr>
        <w:t>68</w:t>
      </w:r>
      <w:r>
        <w:rPr>
          <w:sz w:val="22"/>
          <w:szCs w:val="22"/>
        </w:rPr>
        <w:t> </w:t>
      </w:r>
      <w:r w:rsidRPr="000517C1">
        <w:rPr>
          <w:sz w:val="22"/>
          <w:szCs w:val="22"/>
        </w:rPr>
        <w:t>Wolmarans Street Johannesburg (Pty) Ltd</w:t>
      </w:r>
      <w:r w:rsidR="000517C1" w:rsidRPr="000517C1">
        <w:rPr>
          <w:sz w:val="22"/>
          <w:szCs w:val="22"/>
        </w:rPr>
        <w:t xml:space="preserve"> (</w:t>
      </w:r>
      <w:r>
        <w:rPr>
          <w:sz w:val="22"/>
          <w:szCs w:val="22"/>
        </w:rPr>
        <w:t>‘the First Respondent’), alternatively to the r</w:t>
      </w:r>
      <w:r w:rsidR="000517C1" w:rsidRPr="000517C1">
        <w:rPr>
          <w:sz w:val="22"/>
          <w:szCs w:val="22"/>
        </w:rPr>
        <w:t>espondents, further alternatively</w:t>
      </w:r>
      <w:r>
        <w:rPr>
          <w:sz w:val="22"/>
          <w:szCs w:val="22"/>
        </w:rPr>
        <w:t>,</w:t>
      </w:r>
      <w:r w:rsidR="000517C1" w:rsidRPr="000517C1">
        <w:rPr>
          <w:sz w:val="22"/>
          <w:szCs w:val="22"/>
        </w:rPr>
        <w:t xml:space="preserve"> to </w:t>
      </w:r>
      <w:r>
        <w:rPr>
          <w:sz w:val="22"/>
          <w:szCs w:val="22"/>
        </w:rPr>
        <w:t>their</w:t>
      </w:r>
      <w:r w:rsidR="000517C1" w:rsidRPr="000517C1">
        <w:rPr>
          <w:sz w:val="22"/>
          <w:szCs w:val="22"/>
        </w:rPr>
        <w:t xml:space="preserve"> duly authorised agent</w:t>
      </w:r>
      <w:r>
        <w:rPr>
          <w:sz w:val="22"/>
          <w:szCs w:val="22"/>
        </w:rPr>
        <w:t xml:space="preserve"> or agents (“the cession”</w:t>
      </w:r>
      <w:r w:rsidR="000517C1" w:rsidRPr="000517C1">
        <w:rPr>
          <w:sz w:val="22"/>
          <w:szCs w:val="22"/>
        </w:rPr>
        <w:t>);</w:t>
      </w:r>
    </w:p>
    <w:p w14:paraId="422257D1" w14:textId="17A39B19" w:rsidR="000517C1" w:rsidRPr="000517C1" w:rsidRDefault="00394E07" w:rsidP="00394E07">
      <w:pPr>
        <w:spacing w:line="360" w:lineRule="auto"/>
        <w:ind w:left="851" w:hanging="567"/>
        <w:jc w:val="both"/>
        <w:rPr>
          <w:sz w:val="22"/>
          <w:szCs w:val="22"/>
        </w:rPr>
      </w:pPr>
      <w:r>
        <w:rPr>
          <w:sz w:val="22"/>
          <w:szCs w:val="22"/>
        </w:rPr>
        <w:t>(c)</w:t>
      </w:r>
      <w:r>
        <w:rPr>
          <w:sz w:val="22"/>
          <w:szCs w:val="22"/>
        </w:rPr>
        <w:tab/>
        <w:t>The r</w:t>
      </w:r>
      <w:r w:rsidR="000517C1" w:rsidRPr="000517C1">
        <w:rPr>
          <w:sz w:val="22"/>
          <w:szCs w:val="22"/>
        </w:rPr>
        <w:t>espondents</w:t>
      </w:r>
      <w:r>
        <w:rPr>
          <w:sz w:val="22"/>
          <w:szCs w:val="22"/>
        </w:rPr>
        <w:t xml:space="preserve"> are ordered and directed to</w:t>
      </w:r>
      <w:r w:rsidR="000517C1" w:rsidRPr="000517C1">
        <w:rPr>
          <w:sz w:val="22"/>
          <w:szCs w:val="22"/>
        </w:rPr>
        <w:t xml:space="preserve"> sign all documents necessary to facilitate</w:t>
      </w:r>
      <w:r>
        <w:rPr>
          <w:sz w:val="22"/>
          <w:szCs w:val="22"/>
        </w:rPr>
        <w:t xml:space="preserve"> and to give effect to </w:t>
      </w:r>
      <w:r w:rsidR="000517C1" w:rsidRPr="000517C1">
        <w:rPr>
          <w:sz w:val="22"/>
          <w:szCs w:val="22"/>
        </w:rPr>
        <w:t xml:space="preserve">the cession in </w:t>
      </w:r>
      <w:r>
        <w:rPr>
          <w:sz w:val="22"/>
          <w:szCs w:val="22"/>
        </w:rPr>
        <w:t>(b)</w:t>
      </w:r>
      <w:r w:rsidR="000517C1" w:rsidRPr="000517C1">
        <w:rPr>
          <w:sz w:val="22"/>
          <w:szCs w:val="22"/>
        </w:rPr>
        <w:t xml:space="preserve"> above, failing which the Sheriff is</w:t>
      </w:r>
      <w:r>
        <w:rPr>
          <w:sz w:val="22"/>
          <w:szCs w:val="22"/>
        </w:rPr>
        <w:t xml:space="preserve"> hereby</w:t>
      </w:r>
      <w:r w:rsidR="000517C1" w:rsidRPr="000517C1">
        <w:rPr>
          <w:sz w:val="22"/>
          <w:szCs w:val="22"/>
        </w:rPr>
        <w:t xml:space="preserve"> authorised to sign all documents necessary to give effect to the cession;</w:t>
      </w:r>
    </w:p>
    <w:p w14:paraId="37FA2830" w14:textId="62B5D8BF" w:rsidR="000517C1" w:rsidRPr="000517C1" w:rsidRDefault="00394E07" w:rsidP="00394E07">
      <w:pPr>
        <w:spacing w:line="360" w:lineRule="auto"/>
        <w:ind w:left="851" w:hanging="567"/>
        <w:jc w:val="both"/>
        <w:rPr>
          <w:sz w:val="22"/>
          <w:szCs w:val="22"/>
        </w:rPr>
      </w:pPr>
      <w:r>
        <w:rPr>
          <w:sz w:val="22"/>
          <w:szCs w:val="22"/>
        </w:rPr>
        <w:t>(d)</w:t>
      </w:r>
      <w:r>
        <w:rPr>
          <w:sz w:val="22"/>
          <w:szCs w:val="22"/>
        </w:rPr>
        <w:tab/>
        <w:t>The r</w:t>
      </w:r>
      <w:r w:rsidR="000517C1" w:rsidRPr="000517C1">
        <w:rPr>
          <w:sz w:val="22"/>
          <w:szCs w:val="22"/>
        </w:rPr>
        <w:t xml:space="preserve">espondents </w:t>
      </w:r>
      <w:r>
        <w:rPr>
          <w:sz w:val="22"/>
          <w:szCs w:val="22"/>
        </w:rPr>
        <w:t>shall furnish the a</w:t>
      </w:r>
      <w:r w:rsidR="000517C1" w:rsidRPr="000517C1">
        <w:rPr>
          <w:sz w:val="22"/>
          <w:szCs w:val="22"/>
        </w:rPr>
        <w:t xml:space="preserve">pplicant, within </w:t>
      </w:r>
      <w:r>
        <w:rPr>
          <w:sz w:val="22"/>
          <w:szCs w:val="22"/>
        </w:rPr>
        <w:t>fifteen</w:t>
      </w:r>
      <w:r w:rsidR="000517C1" w:rsidRPr="000517C1">
        <w:rPr>
          <w:sz w:val="22"/>
          <w:szCs w:val="22"/>
        </w:rPr>
        <w:t xml:space="preserve"> days </w:t>
      </w:r>
      <w:r>
        <w:rPr>
          <w:sz w:val="22"/>
          <w:szCs w:val="22"/>
        </w:rPr>
        <w:t>from date of this o</w:t>
      </w:r>
      <w:r w:rsidR="000517C1" w:rsidRPr="000517C1">
        <w:rPr>
          <w:sz w:val="22"/>
          <w:szCs w:val="22"/>
        </w:rPr>
        <w:t xml:space="preserve">rder, with the names and contact information of the Wolbane Mansions tenants together </w:t>
      </w:r>
      <w:r w:rsidRPr="000517C1">
        <w:rPr>
          <w:sz w:val="22"/>
          <w:szCs w:val="22"/>
        </w:rPr>
        <w:t>with: -</w:t>
      </w:r>
    </w:p>
    <w:p w14:paraId="645AAED4" w14:textId="1BD3C708" w:rsidR="000517C1" w:rsidRPr="00005E64" w:rsidRDefault="00005E64" w:rsidP="00005E64">
      <w:pPr>
        <w:spacing w:line="360" w:lineRule="auto"/>
        <w:ind w:left="1134" w:hanging="283"/>
        <w:jc w:val="both"/>
        <w:rPr>
          <w:sz w:val="22"/>
          <w:szCs w:val="22"/>
        </w:rPr>
      </w:pPr>
      <w:r>
        <w:rPr>
          <w:sz w:val="22"/>
          <w:szCs w:val="22"/>
        </w:rPr>
        <w:lastRenderedPageBreak/>
        <w:t>(i).</w:t>
      </w:r>
      <w:r>
        <w:rPr>
          <w:sz w:val="22"/>
          <w:szCs w:val="22"/>
        </w:rPr>
        <w:tab/>
      </w:r>
      <w:r w:rsidR="000517C1" w:rsidRPr="00005E64">
        <w:rPr>
          <w:sz w:val="22"/>
          <w:szCs w:val="22"/>
        </w:rPr>
        <w:t>Copies of any written lease ag</w:t>
      </w:r>
      <w:r w:rsidR="00394E07" w:rsidRPr="00005E64">
        <w:rPr>
          <w:sz w:val="22"/>
          <w:szCs w:val="22"/>
        </w:rPr>
        <w:t>reements concluded between the first respondent, alternatively the r</w:t>
      </w:r>
      <w:r w:rsidR="000517C1" w:rsidRPr="00005E64">
        <w:rPr>
          <w:sz w:val="22"/>
          <w:szCs w:val="22"/>
        </w:rPr>
        <w:t>espondents, further alternatively</w:t>
      </w:r>
      <w:r w:rsidR="00394E07" w:rsidRPr="00005E64">
        <w:rPr>
          <w:sz w:val="22"/>
          <w:szCs w:val="22"/>
        </w:rPr>
        <w:t>,</w:t>
      </w:r>
      <w:r w:rsidR="000517C1" w:rsidRPr="00005E64">
        <w:rPr>
          <w:sz w:val="22"/>
          <w:szCs w:val="22"/>
        </w:rPr>
        <w:t xml:space="preserve"> </w:t>
      </w:r>
      <w:r w:rsidR="00394E07" w:rsidRPr="00005E64">
        <w:rPr>
          <w:sz w:val="22"/>
          <w:szCs w:val="22"/>
        </w:rPr>
        <w:t>their</w:t>
      </w:r>
      <w:r w:rsidR="000517C1" w:rsidRPr="00005E64">
        <w:rPr>
          <w:sz w:val="22"/>
          <w:szCs w:val="22"/>
        </w:rPr>
        <w:t xml:space="preserve"> duly authorised agent, and the Wolbane Mansions tenants;</w:t>
      </w:r>
    </w:p>
    <w:p w14:paraId="05F1DE26" w14:textId="3EA7FD8C" w:rsidR="000517C1" w:rsidRPr="00005E64" w:rsidRDefault="00005E64" w:rsidP="00005E64">
      <w:pPr>
        <w:spacing w:line="360" w:lineRule="auto"/>
        <w:ind w:left="1134" w:hanging="283"/>
        <w:jc w:val="both"/>
        <w:rPr>
          <w:sz w:val="22"/>
          <w:szCs w:val="22"/>
        </w:rPr>
      </w:pPr>
      <w:r>
        <w:rPr>
          <w:sz w:val="22"/>
          <w:szCs w:val="22"/>
        </w:rPr>
        <w:t>(ii).</w:t>
      </w:r>
      <w:r>
        <w:rPr>
          <w:sz w:val="22"/>
          <w:szCs w:val="22"/>
        </w:rPr>
        <w:tab/>
      </w:r>
      <w:r w:rsidR="000517C1" w:rsidRPr="00005E64">
        <w:rPr>
          <w:sz w:val="22"/>
          <w:szCs w:val="22"/>
        </w:rPr>
        <w:t>Particularity in respect of the terms of any implied and/or oral terms of any lease agreement concluded with the Wolbane Mansions tenants; and</w:t>
      </w:r>
    </w:p>
    <w:p w14:paraId="2AE41732" w14:textId="5338F3F5" w:rsidR="000517C1" w:rsidRPr="00005E64" w:rsidRDefault="00005E64" w:rsidP="00005E64">
      <w:pPr>
        <w:spacing w:line="360" w:lineRule="auto"/>
        <w:ind w:left="1134" w:hanging="283"/>
        <w:jc w:val="both"/>
        <w:rPr>
          <w:sz w:val="22"/>
          <w:szCs w:val="22"/>
        </w:rPr>
      </w:pPr>
      <w:r w:rsidRPr="00394E07">
        <w:rPr>
          <w:sz w:val="22"/>
          <w:szCs w:val="22"/>
        </w:rPr>
        <w:t>(iii).</w:t>
      </w:r>
      <w:r w:rsidRPr="00394E07">
        <w:rPr>
          <w:sz w:val="22"/>
          <w:szCs w:val="22"/>
        </w:rPr>
        <w:tab/>
      </w:r>
      <w:r w:rsidR="000517C1" w:rsidRPr="00005E64">
        <w:rPr>
          <w:sz w:val="22"/>
          <w:szCs w:val="22"/>
        </w:rPr>
        <w:t>Particularity and copies of any existing property management mandates for the management of and rental collection at the Wolbane Mansions;</w:t>
      </w:r>
    </w:p>
    <w:p w14:paraId="0B5AA645" w14:textId="2AEB8EF7" w:rsidR="000517C1" w:rsidRPr="000517C1" w:rsidRDefault="00394E07" w:rsidP="00394E07">
      <w:pPr>
        <w:spacing w:line="360" w:lineRule="auto"/>
        <w:ind w:left="851" w:hanging="567"/>
        <w:jc w:val="both"/>
        <w:rPr>
          <w:sz w:val="22"/>
          <w:szCs w:val="22"/>
        </w:rPr>
      </w:pPr>
      <w:r>
        <w:rPr>
          <w:sz w:val="22"/>
          <w:szCs w:val="22"/>
        </w:rPr>
        <w:t>(e)</w:t>
      </w:r>
      <w:r>
        <w:rPr>
          <w:sz w:val="22"/>
          <w:szCs w:val="22"/>
        </w:rPr>
        <w:tab/>
        <w:t>The a</w:t>
      </w:r>
      <w:r w:rsidR="000517C1" w:rsidRPr="000517C1">
        <w:rPr>
          <w:sz w:val="22"/>
          <w:szCs w:val="22"/>
        </w:rPr>
        <w:t xml:space="preserve">pplicant </w:t>
      </w:r>
      <w:r>
        <w:rPr>
          <w:sz w:val="22"/>
          <w:szCs w:val="22"/>
        </w:rPr>
        <w:t>is granted leave to</w:t>
      </w:r>
      <w:r w:rsidR="000517C1" w:rsidRPr="000517C1">
        <w:rPr>
          <w:sz w:val="22"/>
          <w:szCs w:val="22"/>
        </w:rPr>
        <w:t xml:space="preserve"> take </w:t>
      </w:r>
      <w:r>
        <w:rPr>
          <w:sz w:val="22"/>
          <w:szCs w:val="22"/>
        </w:rPr>
        <w:t xml:space="preserve">whatever </w:t>
      </w:r>
      <w:r w:rsidR="000517C1" w:rsidRPr="000517C1">
        <w:rPr>
          <w:sz w:val="22"/>
          <w:szCs w:val="22"/>
        </w:rPr>
        <w:t>steps necessary for purposes of collecting rental amounts from the Wolbane Mansions tenants;</w:t>
      </w:r>
    </w:p>
    <w:p w14:paraId="0E2F8440" w14:textId="38382443" w:rsidR="000517C1" w:rsidRPr="000517C1" w:rsidRDefault="00D9433B" w:rsidP="00394E07">
      <w:pPr>
        <w:spacing w:line="360" w:lineRule="auto"/>
        <w:ind w:left="851" w:hanging="567"/>
        <w:jc w:val="both"/>
        <w:rPr>
          <w:sz w:val="22"/>
          <w:szCs w:val="22"/>
        </w:rPr>
      </w:pPr>
      <w:r>
        <w:rPr>
          <w:sz w:val="22"/>
          <w:szCs w:val="22"/>
        </w:rPr>
        <w:t>(f)</w:t>
      </w:r>
      <w:r>
        <w:rPr>
          <w:sz w:val="22"/>
          <w:szCs w:val="22"/>
        </w:rPr>
        <w:tab/>
      </w:r>
      <w:r w:rsidR="000517C1" w:rsidRPr="000517C1">
        <w:rPr>
          <w:sz w:val="22"/>
          <w:szCs w:val="22"/>
        </w:rPr>
        <w:t>The immovable property</w:t>
      </w:r>
      <w:r>
        <w:rPr>
          <w:sz w:val="22"/>
          <w:szCs w:val="22"/>
        </w:rPr>
        <w:t xml:space="preserve">, being </w:t>
      </w:r>
      <w:r w:rsidRPr="000517C1">
        <w:rPr>
          <w:sz w:val="22"/>
          <w:szCs w:val="22"/>
        </w:rPr>
        <w:t>Erf 2154 Johannesburg Township</w:t>
      </w:r>
      <w:r>
        <w:rPr>
          <w:sz w:val="22"/>
          <w:szCs w:val="22"/>
        </w:rPr>
        <w:t>, Registration Division IR</w:t>
      </w:r>
      <w:r w:rsidRPr="000517C1">
        <w:rPr>
          <w:sz w:val="22"/>
          <w:szCs w:val="22"/>
        </w:rPr>
        <w:t xml:space="preserve">, </w:t>
      </w:r>
      <w:r>
        <w:rPr>
          <w:sz w:val="22"/>
          <w:szCs w:val="22"/>
        </w:rPr>
        <w:t xml:space="preserve">Gauteng </w:t>
      </w:r>
      <w:r w:rsidRPr="000517C1">
        <w:rPr>
          <w:sz w:val="22"/>
          <w:szCs w:val="22"/>
        </w:rPr>
        <w:t>Province</w:t>
      </w:r>
      <w:r>
        <w:rPr>
          <w:sz w:val="22"/>
          <w:szCs w:val="22"/>
        </w:rPr>
        <w:t>, m</w:t>
      </w:r>
      <w:r w:rsidRPr="000517C1">
        <w:rPr>
          <w:sz w:val="22"/>
          <w:szCs w:val="22"/>
        </w:rPr>
        <w:t>easuring 467 (Four Hundred and Sixty-Seven) Square Metres</w:t>
      </w:r>
      <w:r>
        <w:rPr>
          <w:sz w:val="22"/>
          <w:szCs w:val="22"/>
        </w:rPr>
        <w:t xml:space="preserve">, </w:t>
      </w:r>
      <w:r w:rsidRPr="000517C1">
        <w:rPr>
          <w:sz w:val="22"/>
          <w:szCs w:val="22"/>
        </w:rPr>
        <w:t xml:space="preserve">Held </w:t>
      </w:r>
      <w:r w:rsidR="000517C1" w:rsidRPr="000517C1">
        <w:rPr>
          <w:sz w:val="22"/>
          <w:szCs w:val="22"/>
        </w:rPr>
        <w:t>By Deed of Transfer Number T7596/2014 (</w:t>
      </w:r>
      <w:r>
        <w:rPr>
          <w:sz w:val="22"/>
          <w:szCs w:val="22"/>
        </w:rPr>
        <w:t>“the immovable property”</w:t>
      </w:r>
      <w:r w:rsidR="000517C1" w:rsidRPr="000517C1">
        <w:rPr>
          <w:sz w:val="22"/>
          <w:szCs w:val="22"/>
        </w:rPr>
        <w:t xml:space="preserve">) be </w:t>
      </w:r>
      <w:r>
        <w:rPr>
          <w:sz w:val="22"/>
          <w:szCs w:val="22"/>
        </w:rPr>
        <w:t xml:space="preserve">and is hereby </w:t>
      </w:r>
      <w:r w:rsidR="000517C1" w:rsidRPr="000517C1">
        <w:rPr>
          <w:sz w:val="22"/>
          <w:szCs w:val="22"/>
        </w:rPr>
        <w:t>declared executable, and the applicant is authorised to issue Writs of Attachment calling upon the Sheriff of the Court t</w:t>
      </w:r>
      <w:r>
        <w:rPr>
          <w:sz w:val="22"/>
          <w:szCs w:val="22"/>
        </w:rPr>
        <w:t>o attach the immovable property and to</w:t>
      </w:r>
      <w:r w:rsidR="000517C1" w:rsidRPr="000517C1">
        <w:rPr>
          <w:sz w:val="22"/>
          <w:szCs w:val="22"/>
        </w:rPr>
        <w:t xml:space="preserve"> sell the immovable property in execution;</w:t>
      </w:r>
    </w:p>
    <w:p w14:paraId="7536D4C8" w14:textId="742499A5" w:rsidR="000517C1" w:rsidRDefault="00D9433B" w:rsidP="00394E07">
      <w:pPr>
        <w:spacing w:line="360" w:lineRule="auto"/>
        <w:ind w:left="851" w:hanging="567"/>
        <w:jc w:val="both"/>
        <w:rPr>
          <w:sz w:val="22"/>
          <w:szCs w:val="22"/>
        </w:rPr>
      </w:pPr>
      <w:r>
        <w:rPr>
          <w:sz w:val="22"/>
          <w:szCs w:val="22"/>
        </w:rPr>
        <w:t>(g)</w:t>
      </w:r>
      <w:r>
        <w:rPr>
          <w:sz w:val="22"/>
          <w:szCs w:val="22"/>
        </w:rPr>
        <w:tab/>
        <w:t>The r</w:t>
      </w:r>
      <w:r w:rsidR="000517C1" w:rsidRPr="000517C1">
        <w:rPr>
          <w:sz w:val="22"/>
          <w:szCs w:val="22"/>
        </w:rPr>
        <w:t>espondents be</w:t>
      </w:r>
      <w:r>
        <w:rPr>
          <w:sz w:val="22"/>
          <w:szCs w:val="22"/>
        </w:rPr>
        <w:t xml:space="preserve"> and is hereby</w:t>
      </w:r>
      <w:r w:rsidR="000517C1" w:rsidRPr="000517C1">
        <w:rPr>
          <w:sz w:val="22"/>
          <w:szCs w:val="22"/>
        </w:rPr>
        <w:t xml:space="preserve"> ordered to pay a penalty fee equal to 5% (Five Percent) plus VAT of the monthly outstanding instalment amount in arrears and unpaid by the </w:t>
      </w:r>
      <w:r>
        <w:rPr>
          <w:sz w:val="22"/>
          <w:szCs w:val="22"/>
        </w:rPr>
        <w:t>f</w:t>
      </w:r>
      <w:r w:rsidR="000517C1" w:rsidRPr="000517C1">
        <w:rPr>
          <w:sz w:val="22"/>
          <w:szCs w:val="22"/>
        </w:rPr>
        <w:t xml:space="preserve">irst </w:t>
      </w:r>
      <w:r>
        <w:rPr>
          <w:sz w:val="22"/>
          <w:szCs w:val="22"/>
        </w:rPr>
        <w:t>r</w:t>
      </w:r>
      <w:r w:rsidR="000517C1" w:rsidRPr="000517C1">
        <w:rPr>
          <w:sz w:val="22"/>
          <w:szCs w:val="22"/>
        </w:rPr>
        <w:t xml:space="preserve">espondent within 2 (Two) days of an Instalment Payment Date as from 10 February 2020, to date of payment in full of </w:t>
      </w:r>
      <w:r>
        <w:rPr>
          <w:sz w:val="22"/>
          <w:szCs w:val="22"/>
        </w:rPr>
        <w:t xml:space="preserve">(a) </w:t>
      </w:r>
      <w:r w:rsidR="000517C1" w:rsidRPr="000517C1">
        <w:rPr>
          <w:sz w:val="22"/>
          <w:szCs w:val="22"/>
        </w:rPr>
        <w:t>above, both dates included;</w:t>
      </w:r>
    </w:p>
    <w:p w14:paraId="3583EDBE" w14:textId="0E97339F" w:rsidR="000D5CD8" w:rsidRPr="00D9433B" w:rsidRDefault="00D9433B" w:rsidP="00D9433B">
      <w:pPr>
        <w:spacing w:after="120" w:line="360" w:lineRule="auto"/>
        <w:ind w:left="851" w:hanging="567"/>
        <w:jc w:val="both"/>
        <w:rPr>
          <w:sz w:val="22"/>
          <w:szCs w:val="22"/>
        </w:rPr>
      </w:pPr>
      <w:r>
        <w:rPr>
          <w:sz w:val="22"/>
          <w:szCs w:val="22"/>
        </w:rPr>
        <w:t>(h)</w:t>
      </w:r>
      <w:r>
        <w:rPr>
          <w:sz w:val="22"/>
          <w:szCs w:val="22"/>
        </w:rPr>
        <w:tab/>
        <w:t>the first, the second and the third respondents, jointly and severally, the one paying the other to be absolved, shall pay the applicants’ costs of the application on the scale as between attorney and client</w:t>
      </w:r>
      <w:r w:rsidR="007C2C0B">
        <w:rPr>
          <w:sz w:val="22"/>
          <w:szCs w:val="22"/>
        </w:rPr>
        <w:t>, such costs t</w:t>
      </w:r>
      <w:r w:rsidR="005C30E9">
        <w:rPr>
          <w:sz w:val="22"/>
          <w:szCs w:val="22"/>
        </w:rPr>
        <w:t>o</w:t>
      </w:r>
      <w:r w:rsidR="007C2C0B">
        <w:rPr>
          <w:sz w:val="22"/>
          <w:szCs w:val="22"/>
        </w:rPr>
        <w:t xml:space="preserve"> include the costs consequent upon the employment of </w:t>
      </w:r>
      <w:r w:rsidR="00E4734A">
        <w:rPr>
          <w:sz w:val="22"/>
          <w:szCs w:val="22"/>
        </w:rPr>
        <w:t xml:space="preserve">two Counsel, one being </w:t>
      </w:r>
      <w:r w:rsidR="007C2C0B">
        <w:rPr>
          <w:sz w:val="22"/>
          <w:szCs w:val="22"/>
        </w:rPr>
        <w:t>Senior Counsel</w:t>
      </w:r>
      <w:r w:rsidR="005C30E9">
        <w:rPr>
          <w:sz w:val="22"/>
          <w:szCs w:val="22"/>
        </w:rPr>
        <w:t xml:space="preserve"> (where so employed)</w:t>
      </w:r>
      <w:r w:rsidR="000D5CD8" w:rsidRPr="002C2298">
        <w:rPr>
          <w:sz w:val="22"/>
          <w:szCs w:val="22"/>
        </w:rPr>
        <w:t>.</w:t>
      </w:r>
      <w:r w:rsidR="005C30E9">
        <w:rPr>
          <w:sz w:val="22"/>
          <w:szCs w:val="22"/>
        </w:rPr>
        <w:t>’</w:t>
      </w:r>
    </w:p>
    <w:p w14:paraId="2BA0EF74" w14:textId="1E16D3C9" w:rsidR="000D5CD8" w:rsidRDefault="00005E64" w:rsidP="00005E64">
      <w:pPr>
        <w:pStyle w:val="LegalList1"/>
        <w:spacing w:after="240" w:line="360" w:lineRule="auto"/>
        <w:ind w:left="567" w:hanging="567"/>
      </w:pPr>
      <w:r>
        <w:t>(3)</w:t>
      </w:r>
      <w:r>
        <w:tab/>
      </w:r>
      <w:r w:rsidR="000D5CD8">
        <w:t xml:space="preserve">The </w:t>
      </w:r>
      <w:r w:rsidR="005C30E9">
        <w:t>first</w:t>
      </w:r>
      <w:r w:rsidR="00D9433B">
        <w:t>, the second and the third</w:t>
      </w:r>
      <w:r w:rsidR="005C30E9">
        <w:t xml:space="preserve"> respondent</w:t>
      </w:r>
      <w:r w:rsidR="00D9433B">
        <w:t>s, jointly and severally, the one paying the other to be absolved,</w:t>
      </w:r>
      <w:r w:rsidR="005C30E9">
        <w:t xml:space="preserve"> shall pay the appellant’s</w:t>
      </w:r>
      <w:r w:rsidR="000D5CD8">
        <w:t xml:space="preserve"> costs of the appeal, including the costs of the application for leave to appeal to the court </w:t>
      </w:r>
      <w:r w:rsidR="000D5CD8" w:rsidRPr="000D5CD8">
        <w:rPr>
          <w:i/>
        </w:rPr>
        <w:t>a quo</w:t>
      </w:r>
      <w:r w:rsidR="000D5CD8">
        <w:t>, all such costs to include the costs consequent upon the employment of t</w:t>
      </w:r>
      <w:r w:rsidR="00E4734A">
        <w:t>wo Counsel, one being</w:t>
      </w:r>
      <w:r w:rsidR="000D5CD8">
        <w:t xml:space="preserve"> Senior Counsel</w:t>
      </w:r>
      <w:r w:rsidR="005C30E9">
        <w:t xml:space="preserve"> (where so employed)</w:t>
      </w:r>
      <w:r w:rsidR="000D5CD8">
        <w:t>.</w:t>
      </w:r>
    </w:p>
    <w:p w14:paraId="10A51433" w14:textId="77777777" w:rsidR="009314F3" w:rsidRPr="005E3F79" w:rsidRDefault="00F41CA8" w:rsidP="00C55460">
      <w:pPr>
        <w:pStyle w:val="LegalTramLines"/>
        <w:keepNext/>
        <w:spacing w:after="360"/>
        <w:rPr>
          <w:rFonts w:ascii="Arial" w:hAnsi="Arial" w:cs="Arial"/>
        </w:rPr>
      </w:pPr>
      <w:r w:rsidRPr="005E3F79">
        <w:rPr>
          <w:rFonts w:ascii="Arial" w:hAnsi="Arial" w:cs="Arial"/>
        </w:rPr>
        <w:lastRenderedPageBreak/>
        <w:t>JUDGMENT</w:t>
      </w:r>
    </w:p>
    <w:p w14:paraId="2804AF1D" w14:textId="6A9756EA" w:rsidR="00D63801" w:rsidRPr="00FC489D" w:rsidRDefault="002F5CF6" w:rsidP="005E3F79">
      <w:pPr>
        <w:pStyle w:val="LegalMAINHEADING"/>
        <w:spacing w:before="0" w:after="120" w:line="360" w:lineRule="auto"/>
      </w:pPr>
      <w:r>
        <w:rPr>
          <w:caps w:val="0"/>
        </w:rPr>
        <w:t>Dlamini</w:t>
      </w:r>
      <w:r w:rsidR="00FC7402">
        <w:rPr>
          <w:caps w:val="0"/>
        </w:rPr>
        <w:t xml:space="preserve"> J</w:t>
      </w:r>
      <w:r w:rsidR="00A94BD0">
        <w:rPr>
          <w:caps w:val="0"/>
        </w:rPr>
        <w:t xml:space="preserve"> (</w:t>
      </w:r>
      <w:r>
        <w:rPr>
          <w:caps w:val="0"/>
        </w:rPr>
        <w:t>Vally</w:t>
      </w:r>
      <w:r w:rsidR="00CD56FB">
        <w:rPr>
          <w:caps w:val="0"/>
        </w:rPr>
        <w:t xml:space="preserve"> </w:t>
      </w:r>
      <w:r w:rsidR="00FF1BE6" w:rsidRPr="0035131E">
        <w:rPr>
          <w:i/>
          <w:caps w:val="0"/>
        </w:rPr>
        <w:t>et</w:t>
      </w:r>
      <w:r w:rsidR="00FF1BE6">
        <w:rPr>
          <w:caps w:val="0"/>
        </w:rPr>
        <w:t xml:space="preserve"> </w:t>
      </w:r>
      <w:r>
        <w:rPr>
          <w:caps w:val="0"/>
        </w:rPr>
        <w:t>Adams</w:t>
      </w:r>
      <w:r w:rsidR="000C018C">
        <w:rPr>
          <w:caps w:val="0"/>
        </w:rPr>
        <w:t xml:space="preserve"> </w:t>
      </w:r>
      <w:r w:rsidR="008B1422">
        <w:rPr>
          <w:caps w:val="0"/>
        </w:rPr>
        <w:t>J</w:t>
      </w:r>
      <w:r w:rsidR="00FF1BE6">
        <w:rPr>
          <w:caps w:val="0"/>
        </w:rPr>
        <w:t>J</w:t>
      </w:r>
      <w:r w:rsidR="00FC7402">
        <w:rPr>
          <w:caps w:val="0"/>
        </w:rPr>
        <w:t xml:space="preserve"> concurring</w:t>
      </w:r>
      <w:r w:rsidR="00CD56FB">
        <w:rPr>
          <w:caps w:val="0"/>
        </w:rPr>
        <w:t>)</w:t>
      </w:r>
      <w:r w:rsidR="00FC489D" w:rsidRPr="00FC489D">
        <w:rPr>
          <w:caps w:val="0"/>
        </w:rPr>
        <w:t>:</w:t>
      </w:r>
    </w:p>
    <w:p w14:paraId="07A2C439" w14:textId="1C73B5EC" w:rsidR="002F5CF6" w:rsidRPr="00005E64" w:rsidRDefault="00005E64" w:rsidP="00005E64">
      <w:pPr>
        <w:spacing w:after="240" w:line="360" w:lineRule="auto"/>
        <w:jc w:val="both"/>
        <w:rPr>
          <w:color w:val="000000"/>
        </w:rPr>
      </w:pPr>
      <w:r w:rsidRPr="002F5CF6">
        <w:rPr>
          <w:u w:val="single" w:color="FFFFFF" w:themeColor="background1"/>
        </w:rPr>
        <w:t>[1]</w:t>
      </w:r>
      <w:r w:rsidRPr="002F5CF6">
        <w:rPr>
          <w:u w:val="single" w:color="FFFFFF" w:themeColor="background1"/>
        </w:rPr>
        <w:tab/>
      </w:r>
      <w:r w:rsidR="002F5CF6" w:rsidRPr="00005E64">
        <w:rPr>
          <w:rFonts w:cs="Arial"/>
          <w:lang w:val="en-US"/>
        </w:rPr>
        <w:t xml:space="preserve">This appeal came before us as a result of leave being granted by the </w:t>
      </w:r>
      <w:r w:rsidR="00903CAD" w:rsidRPr="00005E64">
        <w:rPr>
          <w:rFonts w:cs="Arial"/>
          <w:lang w:val="en-US"/>
        </w:rPr>
        <w:t>court</w:t>
      </w:r>
      <w:r w:rsidR="00903CAD" w:rsidRPr="00005E64">
        <w:rPr>
          <w:rFonts w:cs="Arial"/>
          <w:i/>
          <w:iCs/>
          <w:lang w:val="en-US"/>
        </w:rPr>
        <w:t xml:space="preserve"> a quo</w:t>
      </w:r>
      <w:r w:rsidR="002F5CF6" w:rsidRPr="00005E64">
        <w:rPr>
          <w:rFonts w:cs="Arial"/>
          <w:i/>
          <w:iCs/>
          <w:lang w:val="en-US"/>
        </w:rPr>
        <w:t xml:space="preserve"> </w:t>
      </w:r>
      <w:r w:rsidR="002F5CF6" w:rsidRPr="00005E64">
        <w:rPr>
          <w:rFonts w:cs="Arial"/>
          <w:lang w:val="en-US"/>
        </w:rPr>
        <w:t>to this court. The appellant who was cited as the applicant in the court below is appealing against the whole judgment and order made by Senyatsi J, delivered on 17 September 2021, sitting as the court of first instance in the Gauteng, Division, Johannesburg.</w:t>
      </w:r>
    </w:p>
    <w:p w14:paraId="7EFAE12E" w14:textId="6B75275B" w:rsidR="002F5CF6" w:rsidRPr="002F5CF6" w:rsidRDefault="002F5CF6" w:rsidP="00792047">
      <w:pPr>
        <w:pStyle w:val="ListParagraph"/>
        <w:keepNext/>
        <w:spacing w:after="120" w:line="360" w:lineRule="auto"/>
        <w:ind w:left="0"/>
        <w:jc w:val="both"/>
        <w:rPr>
          <w:color w:val="000000"/>
        </w:rPr>
      </w:pPr>
      <w:r w:rsidRPr="002F5CF6">
        <w:rPr>
          <w:rFonts w:cs="Arial"/>
          <w:b/>
          <w:lang w:val="en-US"/>
        </w:rPr>
        <w:t>Background Facts</w:t>
      </w:r>
    </w:p>
    <w:p w14:paraId="3178A73D" w14:textId="2008A0B5" w:rsidR="002F5CF6" w:rsidRPr="00005E64" w:rsidRDefault="00005E64" w:rsidP="00005E64">
      <w:pPr>
        <w:spacing w:after="120" w:line="360" w:lineRule="auto"/>
        <w:jc w:val="both"/>
        <w:rPr>
          <w:color w:val="000000"/>
        </w:rPr>
      </w:pPr>
      <w:r w:rsidRPr="002F5CF6">
        <w:rPr>
          <w:u w:val="single" w:color="FFFFFF" w:themeColor="background1"/>
        </w:rPr>
        <w:t>[2]</w:t>
      </w:r>
      <w:r w:rsidRPr="002F5CF6">
        <w:rPr>
          <w:u w:val="single" w:color="FFFFFF" w:themeColor="background1"/>
        </w:rPr>
        <w:tab/>
      </w:r>
      <w:r w:rsidR="002F5CF6" w:rsidRPr="00005E64">
        <w:rPr>
          <w:rFonts w:cs="Arial"/>
          <w:lang w:val="en-US"/>
        </w:rPr>
        <w:t>The facts underlying this appeal are largely common cause.</w:t>
      </w:r>
    </w:p>
    <w:p w14:paraId="5A8D2B37" w14:textId="4E2A44EB" w:rsidR="00A23301" w:rsidRPr="00005E64" w:rsidRDefault="00005E64" w:rsidP="00005E64">
      <w:pPr>
        <w:spacing w:after="120" w:line="360" w:lineRule="auto"/>
        <w:jc w:val="both"/>
        <w:rPr>
          <w:color w:val="000000"/>
        </w:rPr>
      </w:pPr>
      <w:r w:rsidRPr="00A23301">
        <w:rPr>
          <w:u w:val="single" w:color="FFFFFF" w:themeColor="background1"/>
        </w:rPr>
        <w:t>[3]</w:t>
      </w:r>
      <w:r w:rsidRPr="00A23301">
        <w:rPr>
          <w:u w:val="single" w:color="FFFFFF" w:themeColor="background1"/>
        </w:rPr>
        <w:tab/>
      </w:r>
      <w:r w:rsidR="002F5CF6" w:rsidRPr="00005E64">
        <w:rPr>
          <w:rFonts w:cs="Arial"/>
          <w:lang w:val="en-US"/>
        </w:rPr>
        <w:t>The appellant (TUHF), on or about 23 August 2013, entered into a loan agreement with the first respondent (68 Wolmarans Street) to assist the first respondent with the purchase and refurbishment of an immovable property. The total estimated costs of the loan facility were an amount of R12 223 191. Under the loan agreement and the security for the facility, a mortgage bond was registered over Wolbane Mansions in terms of which 68 Wolmarans Street ceded, assigned, and transferred to TUHF all of its rights, title and interest in and to any rent that would arise in respect of Wolbane Mansions. The second and the third respondents also concluded written unlimited suretyship agreements in favour of TUHF.</w:t>
      </w:r>
    </w:p>
    <w:p w14:paraId="251027E7" w14:textId="519FBADB" w:rsidR="002F5CF6" w:rsidRPr="00005E64" w:rsidRDefault="00005E64" w:rsidP="00005E64">
      <w:pPr>
        <w:spacing w:after="120" w:line="360" w:lineRule="auto"/>
        <w:jc w:val="both"/>
        <w:rPr>
          <w:color w:val="000000"/>
        </w:rPr>
      </w:pPr>
      <w:r w:rsidRPr="002F5CF6">
        <w:rPr>
          <w:u w:val="single" w:color="FFFFFF" w:themeColor="background1"/>
        </w:rPr>
        <w:t>[4]</w:t>
      </w:r>
      <w:r w:rsidRPr="002F5CF6">
        <w:rPr>
          <w:u w:val="single" w:color="FFFFFF" w:themeColor="background1"/>
        </w:rPr>
        <w:tab/>
      </w:r>
      <w:r w:rsidR="002F5CF6" w:rsidRPr="00005E64">
        <w:rPr>
          <w:rFonts w:cs="Arial"/>
          <w:lang w:val="en-US"/>
        </w:rPr>
        <w:t>There was a fallout between the parties and as a result TUHF launched the first application against the respondents under case number 2020/7844, seeking an order claiming the repayment of the monies lent and advanced in terms of the loan agreement (‘the first application’). In that application, the respondents raised a point in their defence that the second respondent's suretyship agreement was void but they (the respondents) did not provide the applicant with alternative security, as they would have been required to do in terms of the loan agreement.</w:t>
      </w:r>
    </w:p>
    <w:p w14:paraId="5A6167A8" w14:textId="11F54528" w:rsidR="002F5CF6" w:rsidRPr="00005E64" w:rsidRDefault="00005E64" w:rsidP="00005E64">
      <w:pPr>
        <w:spacing w:after="120" w:line="360" w:lineRule="auto"/>
        <w:jc w:val="both"/>
        <w:rPr>
          <w:color w:val="000000"/>
        </w:rPr>
      </w:pPr>
      <w:r w:rsidRPr="002F5CF6">
        <w:rPr>
          <w:u w:val="single" w:color="FFFFFF" w:themeColor="background1"/>
        </w:rPr>
        <w:lastRenderedPageBreak/>
        <w:t>[5]</w:t>
      </w:r>
      <w:r w:rsidRPr="002F5CF6">
        <w:rPr>
          <w:u w:val="single" w:color="FFFFFF" w:themeColor="background1"/>
        </w:rPr>
        <w:tab/>
      </w:r>
      <w:r w:rsidR="002F5CF6" w:rsidRPr="00005E64">
        <w:rPr>
          <w:rFonts w:cs="Arial"/>
          <w:lang w:val="en-US"/>
        </w:rPr>
        <w:t>It also appeared that the respondents were in default with their monthly rentals in that they had failed to pay the full monthly installments for months of May and June 2020. This failure, according to the appellant, gave rise to another event of default in terms of the loan agreement.</w:t>
      </w:r>
    </w:p>
    <w:p w14:paraId="7BE97C85" w14:textId="7ED1B33F" w:rsidR="002F5CF6" w:rsidRPr="00005E64" w:rsidRDefault="00005E64" w:rsidP="00005E64">
      <w:pPr>
        <w:spacing w:after="120" w:line="360" w:lineRule="auto"/>
        <w:jc w:val="both"/>
        <w:rPr>
          <w:color w:val="000000"/>
        </w:rPr>
      </w:pPr>
      <w:r w:rsidRPr="0032380F">
        <w:rPr>
          <w:u w:val="single" w:color="FFFFFF" w:themeColor="background1"/>
        </w:rPr>
        <w:t>[6]</w:t>
      </w:r>
      <w:r w:rsidRPr="0032380F">
        <w:rPr>
          <w:u w:val="single" w:color="FFFFFF" w:themeColor="background1"/>
        </w:rPr>
        <w:tab/>
      </w:r>
      <w:r w:rsidR="0032380F" w:rsidRPr="00005E64">
        <w:rPr>
          <w:rFonts w:cs="Arial"/>
          <w:lang w:val="en-US"/>
        </w:rPr>
        <w:t xml:space="preserve">It is the above </w:t>
      </w:r>
      <w:r w:rsidR="002F5CF6" w:rsidRPr="00005E64">
        <w:rPr>
          <w:rFonts w:cs="Arial"/>
          <w:lang w:val="en-US"/>
        </w:rPr>
        <w:t>alleged two events of default that arose after the launch of the first application that gave rise to TUHF launching the second application which is the subject of this appeal.</w:t>
      </w:r>
    </w:p>
    <w:p w14:paraId="066C6789" w14:textId="03792C84" w:rsidR="002F5CF6" w:rsidRPr="00005E64" w:rsidRDefault="00005E64" w:rsidP="00005E64">
      <w:pPr>
        <w:spacing w:after="120" w:line="360" w:lineRule="auto"/>
        <w:jc w:val="both"/>
        <w:rPr>
          <w:color w:val="000000"/>
        </w:rPr>
      </w:pPr>
      <w:r w:rsidRPr="0032380F">
        <w:rPr>
          <w:u w:val="single" w:color="FFFFFF" w:themeColor="background1"/>
        </w:rPr>
        <w:t>[7]</w:t>
      </w:r>
      <w:r w:rsidRPr="0032380F">
        <w:rPr>
          <w:u w:val="single" w:color="FFFFFF" w:themeColor="background1"/>
        </w:rPr>
        <w:tab/>
      </w:r>
      <w:r w:rsidR="002F5CF6" w:rsidRPr="00005E64">
        <w:rPr>
          <w:rFonts w:cs="Arial"/>
          <w:lang w:val="en-US"/>
        </w:rPr>
        <w:t xml:space="preserve">Several issues came up for determination by the </w:t>
      </w:r>
      <w:r w:rsidR="00903CAD" w:rsidRPr="00005E64">
        <w:rPr>
          <w:rFonts w:cs="Arial"/>
          <w:lang w:val="en-US"/>
        </w:rPr>
        <w:t>court</w:t>
      </w:r>
      <w:r w:rsidR="00903CAD" w:rsidRPr="00005E64">
        <w:rPr>
          <w:rFonts w:cs="Arial"/>
          <w:i/>
          <w:iCs/>
          <w:lang w:val="en-US"/>
        </w:rPr>
        <w:t xml:space="preserve"> a quo</w:t>
      </w:r>
      <w:r w:rsidR="002F5CF6" w:rsidRPr="00005E64">
        <w:rPr>
          <w:rFonts w:cs="Arial"/>
          <w:lang w:val="en-US"/>
        </w:rPr>
        <w:t>. In sum, these were</w:t>
      </w:r>
      <w:r w:rsidR="0032380F" w:rsidRPr="00005E64">
        <w:rPr>
          <w:rFonts w:cs="Arial"/>
          <w:lang w:val="en-US"/>
        </w:rPr>
        <w:t xml:space="preserve"> the following:</w:t>
      </w:r>
      <w:r w:rsidR="002F5CF6" w:rsidRPr="00005E64">
        <w:rPr>
          <w:rFonts w:cs="Arial"/>
          <w:lang w:val="en-US"/>
        </w:rPr>
        <w:t xml:space="preserve"> the special plea of </w:t>
      </w:r>
      <w:r w:rsidR="002F5CF6" w:rsidRPr="00005E64">
        <w:rPr>
          <w:rFonts w:cs="Arial"/>
          <w:i/>
          <w:lang w:val="en-US"/>
        </w:rPr>
        <w:t>lis pendens</w:t>
      </w:r>
      <w:r w:rsidR="002F5CF6" w:rsidRPr="00005E64">
        <w:rPr>
          <w:rFonts w:cs="Arial"/>
          <w:lang w:val="en-US"/>
        </w:rPr>
        <w:t xml:space="preserve"> raised by the respondents. Whether there was a breach of the suretyship agreement by the respondents. Whether there was any short payment of the monthly rent by the respondents. Whether the immovable property was executable in terms of rule 46A</w:t>
      </w:r>
      <w:r w:rsidR="0032380F" w:rsidRPr="00005E64">
        <w:rPr>
          <w:rFonts w:cs="Arial"/>
          <w:lang w:val="en-US"/>
        </w:rPr>
        <w:t>,</w:t>
      </w:r>
      <w:r w:rsidR="002F5CF6" w:rsidRPr="00005E64">
        <w:rPr>
          <w:rFonts w:cs="Arial"/>
          <w:lang w:val="en-US"/>
        </w:rPr>
        <w:t xml:space="preserve"> and, lastly whether the launch of the second application by the TUHF amounted to an abuse of the court process.</w:t>
      </w:r>
    </w:p>
    <w:p w14:paraId="418A2AE6" w14:textId="20400C62" w:rsidR="0032380F" w:rsidRPr="00005E64" w:rsidRDefault="00005E64" w:rsidP="00005E64">
      <w:pPr>
        <w:spacing w:after="120" w:line="360" w:lineRule="auto"/>
        <w:jc w:val="both"/>
        <w:rPr>
          <w:color w:val="000000"/>
        </w:rPr>
      </w:pPr>
      <w:r w:rsidRPr="0032380F">
        <w:rPr>
          <w:u w:val="single" w:color="FFFFFF" w:themeColor="background1"/>
        </w:rPr>
        <w:t>[8]</w:t>
      </w:r>
      <w:r w:rsidRPr="0032380F">
        <w:rPr>
          <w:u w:val="single" w:color="FFFFFF" w:themeColor="background1"/>
        </w:rPr>
        <w:tab/>
      </w:r>
      <w:r w:rsidR="002F5CF6" w:rsidRPr="00005E64">
        <w:rPr>
          <w:rFonts w:cs="Arial"/>
          <w:lang w:val="en-US"/>
        </w:rPr>
        <w:t xml:space="preserve">Upon hearing the matter, the </w:t>
      </w:r>
      <w:bookmarkStart w:id="0" w:name="_Hlk152141916"/>
      <w:r w:rsidR="0032380F" w:rsidRPr="00005E64">
        <w:rPr>
          <w:rFonts w:cs="Arial"/>
          <w:lang w:val="en-US"/>
        </w:rPr>
        <w:t>court</w:t>
      </w:r>
      <w:r w:rsidR="00903CAD" w:rsidRPr="00005E64">
        <w:rPr>
          <w:rFonts w:cs="Arial"/>
          <w:i/>
          <w:iCs/>
          <w:lang w:val="en-US"/>
        </w:rPr>
        <w:t xml:space="preserve"> a quo</w:t>
      </w:r>
      <w:r w:rsidR="0032380F" w:rsidRPr="00005E64">
        <w:rPr>
          <w:rFonts w:cs="Arial"/>
          <w:lang w:val="en-US"/>
        </w:rPr>
        <w:t xml:space="preserve"> </w:t>
      </w:r>
      <w:bookmarkEnd w:id="0"/>
      <w:r w:rsidR="0032380F" w:rsidRPr="00005E64">
        <w:rPr>
          <w:rFonts w:cs="Arial"/>
          <w:lang w:val="en-US"/>
        </w:rPr>
        <w:t>upheld the respondent</w:t>
      </w:r>
      <w:r w:rsidR="002F5CF6" w:rsidRPr="00005E64">
        <w:rPr>
          <w:rFonts w:cs="Arial"/>
          <w:lang w:val="en-US"/>
        </w:rPr>
        <w:t>s</w:t>
      </w:r>
      <w:r w:rsidR="0032380F" w:rsidRPr="00005E64">
        <w:rPr>
          <w:rFonts w:cs="Arial"/>
          <w:lang w:val="en-US"/>
        </w:rPr>
        <w:t>’</w:t>
      </w:r>
      <w:r w:rsidR="002F5CF6" w:rsidRPr="00005E64">
        <w:rPr>
          <w:rFonts w:cs="Arial"/>
          <w:lang w:val="en-US"/>
        </w:rPr>
        <w:t xml:space="preserve"> special plea of </w:t>
      </w:r>
      <w:r w:rsidR="002F5CF6" w:rsidRPr="00005E64">
        <w:rPr>
          <w:rFonts w:cs="Arial"/>
          <w:i/>
          <w:lang w:val="en-US"/>
        </w:rPr>
        <w:t>lis pendens</w:t>
      </w:r>
      <w:r w:rsidR="002F5CF6" w:rsidRPr="00005E64">
        <w:rPr>
          <w:rFonts w:cs="Arial"/>
          <w:lang w:val="en-US"/>
        </w:rPr>
        <w:t xml:space="preserve">. The </w:t>
      </w:r>
      <w:r w:rsidR="00903CAD" w:rsidRPr="00005E64">
        <w:rPr>
          <w:rFonts w:cs="Arial"/>
          <w:lang w:val="en-US"/>
        </w:rPr>
        <w:t>court</w:t>
      </w:r>
      <w:r w:rsidR="00903CAD" w:rsidRPr="00005E64">
        <w:rPr>
          <w:rFonts w:cs="Arial"/>
          <w:i/>
          <w:iCs/>
          <w:lang w:val="en-US"/>
        </w:rPr>
        <w:t xml:space="preserve"> a quo</w:t>
      </w:r>
      <w:r w:rsidR="00903CAD" w:rsidRPr="00005E64">
        <w:rPr>
          <w:rFonts w:cs="Arial"/>
          <w:lang w:val="en-US"/>
        </w:rPr>
        <w:t xml:space="preserve"> </w:t>
      </w:r>
      <w:r w:rsidR="002F5CF6" w:rsidRPr="00005E64">
        <w:rPr>
          <w:rFonts w:cs="Arial"/>
          <w:lang w:val="en-US"/>
        </w:rPr>
        <w:t>also upheld the re</w:t>
      </w:r>
      <w:r w:rsidR="0032380F" w:rsidRPr="00005E64">
        <w:rPr>
          <w:rFonts w:cs="Arial"/>
          <w:lang w:val="en-US"/>
        </w:rPr>
        <w:t>spondent</w:t>
      </w:r>
      <w:r w:rsidR="002F5CF6" w:rsidRPr="00005E64">
        <w:rPr>
          <w:rFonts w:cs="Arial"/>
          <w:lang w:val="en-US"/>
        </w:rPr>
        <w:t>s</w:t>
      </w:r>
      <w:r w:rsidR="0032380F" w:rsidRPr="00005E64">
        <w:rPr>
          <w:rFonts w:cs="Arial"/>
          <w:lang w:val="en-US"/>
        </w:rPr>
        <w:t>’ defenc</w:t>
      </w:r>
      <w:r w:rsidR="002F5CF6" w:rsidRPr="00005E64">
        <w:rPr>
          <w:rFonts w:cs="Arial"/>
          <w:lang w:val="en-US"/>
        </w:rPr>
        <w:t xml:space="preserve">e that </w:t>
      </w:r>
      <w:r w:rsidR="0032380F" w:rsidRPr="00005E64">
        <w:rPr>
          <w:rFonts w:cs="Arial"/>
          <w:lang w:val="en-US"/>
        </w:rPr>
        <w:t>there</w:t>
      </w:r>
      <w:r w:rsidR="002F5CF6" w:rsidRPr="00005E64">
        <w:rPr>
          <w:rFonts w:cs="Arial"/>
          <w:lang w:val="en-US"/>
        </w:rPr>
        <w:t xml:space="preserve"> was a signed amendment </w:t>
      </w:r>
      <w:r w:rsidR="0032380F" w:rsidRPr="00005E64">
        <w:rPr>
          <w:rFonts w:cs="Arial"/>
          <w:lang w:val="en-US"/>
        </w:rPr>
        <w:t>of</w:t>
      </w:r>
      <w:r w:rsidR="002F5CF6" w:rsidRPr="00005E64">
        <w:rPr>
          <w:rFonts w:cs="Arial"/>
          <w:lang w:val="en-US"/>
        </w:rPr>
        <w:t xml:space="preserve"> the loan agreement as contemplated in the non-variation clause. Finally, the court below upheld the respondent's claim that TUHF's second application amounted to an abuse of the court process. It must be pointed out </w:t>
      </w:r>
      <w:r w:rsidR="0032380F" w:rsidRPr="00005E64">
        <w:rPr>
          <w:rFonts w:cs="Arial"/>
          <w:lang w:val="en-US"/>
        </w:rPr>
        <w:t xml:space="preserve">that </w:t>
      </w:r>
      <w:r w:rsidR="002F5CF6" w:rsidRPr="00005E64">
        <w:rPr>
          <w:rFonts w:cs="Arial"/>
          <w:lang w:val="en-US"/>
        </w:rPr>
        <w:t xml:space="preserve">the </w:t>
      </w:r>
      <w:r w:rsidR="00903CAD" w:rsidRPr="00005E64">
        <w:rPr>
          <w:rFonts w:cs="Arial"/>
          <w:lang w:val="en-US"/>
        </w:rPr>
        <w:t>court</w:t>
      </w:r>
      <w:r w:rsidR="00903CAD" w:rsidRPr="00005E64">
        <w:rPr>
          <w:rFonts w:cs="Arial"/>
          <w:i/>
          <w:iCs/>
          <w:lang w:val="en-US"/>
        </w:rPr>
        <w:t xml:space="preserve"> a quo</w:t>
      </w:r>
      <w:r w:rsidR="00903CAD" w:rsidRPr="00005E64">
        <w:rPr>
          <w:rFonts w:cs="Arial"/>
          <w:lang w:val="en-US"/>
        </w:rPr>
        <w:t xml:space="preserve"> </w:t>
      </w:r>
      <w:r w:rsidR="002F5CF6" w:rsidRPr="00005E64">
        <w:rPr>
          <w:rFonts w:cs="Arial"/>
          <w:lang w:val="en-US"/>
        </w:rPr>
        <w:t>did not deal with the rest of the issues th</w:t>
      </w:r>
      <w:r w:rsidR="0032380F" w:rsidRPr="00005E64">
        <w:rPr>
          <w:rFonts w:cs="Arial"/>
          <w:lang w:val="en-US"/>
        </w:rPr>
        <w:t>at were raised during the trial in light of his findings relating to the preliminary points raised by the respondents, which, according to the court</w:t>
      </w:r>
      <w:r w:rsidR="0032380F" w:rsidRPr="00005E64">
        <w:rPr>
          <w:rFonts w:cs="Arial"/>
          <w:i/>
          <w:iCs/>
          <w:lang w:val="en-US"/>
        </w:rPr>
        <w:t xml:space="preserve"> a quo</w:t>
      </w:r>
      <w:r w:rsidR="0032380F" w:rsidRPr="00005E64">
        <w:rPr>
          <w:rFonts w:cs="Arial"/>
          <w:lang w:val="en-US"/>
        </w:rPr>
        <w:t>, were dispositive of the matter.</w:t>
      </w:r>
    </w:p>
    <w:p w14:paraId="5C470308" w14:textId="17676E39" w:rsidR="002F5CF6" w:rsidRPr="00005E64" w:rsidRDefault="00005E64" w:rsidP="00005E64">
      <w:pPr>
        <w:spacing w:after="240" w:line="360" w:lineRule="auto"/>
        <w:jc w:val="both"/>
        <w:rPr>
          <w:color w:val="000000"/>
        </w:rPr>
      </w:pPr>
      <w:r w:rsidRPr="0032380F">
        <w:rPr>
          <w:u w:val="single" w:color="FFFFFF" w:themeColor="background1"/>
        </w:rPr>
        <w:t>[9]</w:t>
      </w:r>
      <w:r w:rsidRPr="0032380F">
        <w:rPr>
          <w:u w:val="single" w:color="FFFFFF" w:themeColor="background1"/>
        </w:rPr>
        <w:tab/>
      </w:r>
      <w:r w:rsidR="002F5CF6" w:rsidRPr="00005E64">
        <w:rPr>
          <w:rFonts w:cs="Arial"/>
          <w:lang w:val="en-US"/>
        </w:rPr>
        <w:t xml:space="preserve">Feeling aggrieved by this decision, TUHF filed an application for leave to appeal, which application was granted by the </w:t>
      </w:r>
      <w:r w:rsidR="00903CAD" w:rsidRPr="00005E64">
        <w:rPr>
          <w:rFonts w:cs="Arial"/>
          <w:lang w:val="en-US"/>
        </w:rPr>
        <w:t>court</w:t>
      </w:r>
      <w:r w:rsidR="00903CAD" w:rsidRPr="00005E64">
        <w:rPr>
          <w:rFonts w:cs="Arial"/>
          <w:i/>
          <w:iCs/>
          <w:lang w:val="en-US"/>
        </w:rPr>
        <w:t xml:space="preserve"> a quo</w:t>
      </w:r>
      <w:r w:rsidR="0032380F" w:rsidRPr="00005E64">
        <w:rPr>
          <w:rFonts w:cs="Arial"/>
          <w:lang w:val="en-US"/>
        </w:rPr>
        <w:t xml:space="preserve">, who granted </w:t>
      </w:r>
      <w:r w:rsidR="002F5CF6" w:rsidRPr="00005E64">
        <w:rPr>
          <w:rFonts w:cs="Arial"/>
          <w:lang w:val="en-US"/>
        </w:rPr>
        <w:t xml:space="preserve">leave to appeal to the </w:t>
      </w:r>
      <w:r w:rsidR="0032380F" w:rsidRPr="00005E64">
        <w:rPr>
          <w:rFonts w:cs="Arial"/>
          <w:lang w:val="en-US"/>
        </w:rPr>
        <w:t>Full Court</w:t>
      </w:r>
      <w:r w:rsidR="002F5CF6" w:rsidRPr="00005E64">
        <w:rPr>
          <w:rFonts w:cs="Arial"/>
          <w:lang w:val="en-US"/>
        </w:rPr>
        <w:t xml:space="preserve"> of this court.</w:t>
      </w:r>
    </w:p>
    <w:p w14:paraId="2620643D" w14:textId="161EEC5C" w:rsidR="002F5CF6" w:rsidRPr="0032380F" w:rsidRDefault="0032380F" w:rsidP="00792047">
      <w:pPr>
        <w:pStyle w:val="ListParagraph"/>
        <w:keepNext/>
        <w:spacing w:after="120" w:line="360" w:lineRule="auto"/>
        <w:ind w:left="0"/>
        <w:jc w:val="both"/>
        <w:rPr>
          <w:color w:val="000000"/>
        </w:rPr>
      </w:pPr>
      <w:r w:rsidRPr="0032380F">
        <w:rPr>
          <w:rFonts w:cs="Arial"/>
          <w:b/>
          <w:bCs/>
          <w:lang w:val="en-US"/>
        </w:rPr>
        <w:t>Grounds of Appeal</w:t>
      </w:r>
    </w:p>
    <w:p w14:paraId="2696EE80" w14:textId="7A833DCC" w:rsidR="002F5CF6" w:rsidRPr="00005E64" w:rsidRDefault="00005E64" w:rsidP="00005E64">
      <w:pPr>
        <w:spacing w:after="120" w:line="360" w:lineRule="auto"/>
        <w:jc w:val="both"/>
        <w:rPr>
          <w:color w:val="000000"/>
        </w:rPr>
      </w:pPr>
      <w:r w:rsidRPr="0032380F">
        <w:rPr>
          <w:u w:val="single" w:color="FFFFFF" w:themeColor="background1"/>
        </w:rPr>
        <w:t>[10]</w:t>
      </w:r>
      <w:r w:rsidRPr="0032380F">
        <w:rPr>
          <w:u w:val="single" w:color="FFFFFF" w:themeColor="background1"/>
        </w:rPr>
        <w:tab/>
      </w:r>
      <w:r w:rsidR="002F5CF6" w:rsidRPr="00005E64">
        <w:rPr>
          <w:rFonts w:cs="Arial"/>
          <w:lang w:val="en-US"/>
        </w:rPr>
        <w:t xml:space="preserve">In its grounds of appeal, the appellant alleged the </w:t>
      </w:r>
      <w:r w:rsidR="00B92E03" w:rsidRPr="00005E64">
        <w:rPr>
          <w:rFonts w:cs="Arial"/>
          <w:lang w:val="en-US"/>
        </w:rPr>
        <w:t>following:</w:t>
      </w:r>
      <w:r w:rsidR="0032380F" w:rsidRPr="00005E64">
        <w:rPr>
          <w:rFonts w:cs="Arial"/>
          <w:lang w:val="en-US"/>
        </w:rPr>
        <w:t xml:space="preserve"> -</w:t>
      </w:r>
    </w:p>
    <w:p w14:paraId="7FC29CD9" w14:textId="6E90AB0C" w:rsidR="00470AF3" w:rsidRDefault="00005E64" w:rsidP="00005E64">
      <w:pPr>
        <w:pStyle w:val="LegalHeading2"/>
        <w:numPr>
          <w:ilvl w:val="0"/>
          <w:numId w:val="0"/>
        </w:numPr>
        <w:tabs>
          <w:tab w:val="clear" w:pos="3402"/>
          <w:tab w:val="clear" w:pos="3969"/>
        </w:tabs>
        <w:spacing w:after="120" w:line="360" w:lineRule="auto"/>
        <w:ind w:left="1134" w:hanging="850"/>
        <w:rPr>
          <w:b w:val="0"/>
          <w:lang w:val="en-US"/>
        </w:rPr>
      </w:pPr>
      <w:r>
        <w:rPr>
          <w:b w:val="0"/>
          <w:lang w:val="en-US"/>
        </w:rPr>
        <w:t>10.1</w:t>
      </w:r>
      <w:r>
        <w:rPr>
          <w:b w:val="0"/>
          <w:lang w:val="en-US"/>
        </w:rPr>
        <w:tab/>
      </w:r>
      <w:r w:rsidR="0032380F" w:rsidRPr="00470AF3">
        <w:rPr>
          <w:b w:val="0"/>
          <w:lang w:val="en-US"/>
        </w:rPr>
        <w:t xml:space="preserve">That the learned judge erred by finding that the appellant alleges that the short payment for May and June was central to the number of </w:t>
      </w:r>
      <w:r w:rsidR="0032380F" w:rsidRPr="00470AF3">
        <w:rPr>
          <w:b w:val="0"/>
          <w:lang w:val="en-US"/>
        </w:rPr>
        <w:lastRenderedPageBreak/>
        <w:t>events of default the applicant relied upon, and which gave rise to the launch of the application, and thereby the learned Judge erred by failing to deal with the respondents’ intention to repudiate the security they had provided and their failure to provide the applicant with alternative security.</w:t>
      </w:r>
    </w:p>
    <w:p w14:paraId="46B92D3B" w14:textId="5628995F" w:rsidR="00470AF3" w:rsidRPr="00470AF3" w:rsidRDefault="00005E64" w:rsidP="00005E64">
      <w:pPr>
        <w:pStyle w:val="LegalHeading2"/>
        <w:numPr>
          <w:ilvl w:val="0"/>
          <w:numId w:val="0"/>
        </w:numPr>
        <w:tabs>
          <w:tab w:val="clear" w:pos="3402"/>
          <w:tab w:val="clear" w:pos="3969"/>
        </w:tabs>
        <w:spacing w:after="120" w:line="360" w:lineRule="auto"/>
        <w:ind w:left="1135" w:hanging="851"/>
        <w:rPr>
          <w:b w:val="0"/>
          <w:lang w:val="en-US"/>
        </w:rPr>
      </w:pPr>
      <w:r w:rsidRPr="00470AF3">
        <w:rPr>
          <w:b w:val="0"/>
          <w:lang w:val="en-US"/>
        </w:rPr>
        <w:t>10.2</w:t>
      </w:r>
      <w:r w:rsidRPr="00470AF3">
        <w:rPr>
          <w:b w:val="0"/>
          <w:lang w:val="en-US"/>
        </w:rPr>
        <w:tab/>
      </w:r>
      <w:r w:rsidR="0032380F" w:rsidRPr="00470AF3">
        <w:rPr>
          <w:rFonts w:cs="Arial"/>
          <w:b w:val="0"/>
          <w:lang w:val="en-US"/>
        </w:rPr>
        <w:t>That the learned Judge erred in finding that the respondents have succeeded in proving that the cause of action in the second application is the same as the cause of action in the first appl</w:t>
      </w:r>
      <w:r w:rsidR="00470AF3">
        <w:rPr>
          <w:rFonts w:cs="Arial"/>
          <w:b w:val="0"/>
          <w:lang w:val="en-US"/>
        </w:rPr>
        <w:t>ication and that the respondent</w:t>
      </w:r>
      <w:r w:rsidR="0032380F" w:rsidRPr="00470AF3">
        <w:rPr>
          <w:rFonts w:cs="Arial"/>
          <w:b w:val="0"/>
          <w:lang w:val="en-US"/>
        </w:rPr>
        <w:t>s</w:t>
      </w:r>
      <w:r w:rsidR="00470AF3">
        <w:rPr>
          <w:rFonts w:cs="Arial"/>
          <w:b w:val="0"/>
          <w:lang w:val="en-US"/>
        </w:rPr>
        <w:t>’</w:t>
      </w:r>
      <w:r w:rsidR="0032380F" w:rsidRPr="00470AF3">
        <w:rPr>
          <w:rFonts w:cs="Arial"/>
          <w:b w:val="0"/>
          <w:lang w:val="en-US"/>
        </w:rPr>
        <w:t xml:space="preserve"> special plea of</w:t>
      </w:r>
      <w:r w:rsidR="0032380F" w:rsidRPr="00470AF3">
        <w:rPr>
          <w:rFonts w:cs="Arial"/>
          <w:b w:val="0"/>
          <w:i/>
          <w:lang w:val="en-US"/>
        </w:rPr>
        <w:t xml:space="preserve"> lis pendens</w:t>
      </w:r>
      <w:r w:rsidR="0032380F" w:rsidRPr="00470AF3">
        <w:rPr>
          <w:rFonts w:cs="Arial"/>
          <w:b w:val="0"/>
          <w:lang w:val="en-US"/>
        </w:rPr>
        <w:t xml:space="preserve"> </w:t>
      </w:r>
      <w:r w:rsidR="00470AF3" w:rsidRPr="00470AF3">
        <w:rPr>
          <w:rFonts w:cs="Arial"/>
          <w:b w:val="0"/>
          <w:lang w:val="en-US"/>
        </w:rPr>
        <w:t>s</w:t>
      </w:r>
      <w:r w:rsidR="00470AF3">
        <w:rPr>
          <w:rFonts w:cs="Arial"/>
          <w:b w:val="0"/>
          <w:lang w:val="en-US"/>
        </w:rPr>
        <w:t>hould s</w:t>
      </w:r>
      <w:r w:rsidR="00470AF3" w:rsidRPr="00470AF3">
        <w:rPr>
          <w:rFonts w:cs="Arial"/>
          <w:b w:val="0"/>
          <w:lang w:val="en-US"/>
        </w:rPr>
        <w:t>ucceed</w:t>
      </w:r>
      <w:r w:rsidR="0032380F" w:rsidRPr="00470AF3">
        <w:rPr>
          <w:rFonts w:cs="Arial"/>
          <w:b w:val="0"/>
          <w:lang w:val="en-US"/>
        </w:rPr>
        <w:t>.</w:t>
      </w:r>
    </w:p>
    <w:p w14:paraId="5D76ADAE" w14:textId="60A2872C" w:rsidR="00470AF3" w:rsidRDefault="00005E64" w:rsidP="00005E64">
      <w:pPr>
        <w:pStyle w:val="LegalHeading2"/>
        <w:numPr>
          <w:ilvl w:val="0"/>
          <w:numId w:val="0"/>
        </w:numPr>
        <w:tabs>
          <w:tab w:val="clear" w:pos="3402"/>
          <w:tab w:val="clear" w:pos="3969"/>
        </w:tabs>
        <w:spacing w:after="120" w:line="360" w:lineRule="auto"/>
        <w:ind w:left="1135" w:hanging="851"/>
        <w:rPr>
          <w:rFonts w:cs="Arial"/>
          <w:b w:val="0"/>
          <w:lang w:val="en-US"/>
        </w:rPr>
      </w:pPr>
      <w:r>
        <w:rPr>
          <w:b w:val="0"/>
          <w:lang w:val="en-US"/>
        </w:rPr>
        <w:t>10.3</w:t>
      </w:r>
      <w:r>
        <w:rPr>
          <w:b w:val="0"/>
          <w:lang w:val="en-US"/>
        </w:rPr>
        <w:tab/>
      </w:r>
      <w:r w:rsidR="0032380F" w:rsidRPr="00470AF3">
        <w:rPr>
          <w:rFonts w:cs="Arial"/>
          <w:b w:val="0"/>
          <w:lang w:val="en-US"/>
        </w:rPr>
        <w:t xml:space="preserve">That the learned Judge erred in finding that a dispute of fact had arisen and that the disputed fact on whether there has been a variation to the loan agreement is not of such a serious </w:t>
      </w:r>
      <w:r w:rsidR="00470AF3">
        <w:rPr>
          <w:rFonts w:cs="Arial"/>
          <w:b w:val="0"/>
          <w:lang w:val="en-US"/>
        </w:rPr>
        <w:t>nature.</w:t>
      </w:r>
    </w:p>
    <w:p w14:paraId="558CC39A" w14:textId="03DD6CC5" w:rsidR="00470AF3" w:rsidRDefault="00005E64" w:rsidP="00005E64">
      <w:pPr>
        <w:pStyle w:val="LegalHeading2"/>
        <w:numPr>
          <w:ilvl w:val="0"/>
          <w:numId w:val="0"/>
        </w:numPr>
        <w:tabs>
          <w:tab w:val="clear" w:pos="3402"/>
          <w:tab w:val="clear" w:pos="3969"/>
        </w:tabs>
        <w:spacing w:after="120" w:line="360" w:lineRule="auto"/>
        <w:ind w:left="1135" w:hanging="851"/>
        <w:rPr>
          <w:rFonts w:cs="Arial"/>
          <w:b w:val="0"/>
          <w:lang w:val="en-US"/>
        </w:rPr>
      </w:pPr>
      <w:r>
        <w:rPr>
          <w:b w:val="0"/>
          <w:lang w:val="en-US"/>
        </w:rPr>
        <w:t>10.4</w:t>
      </w:r>
      <w:r>
        <w:rPr>
          <w:b w:val="0"/>
          <w:lang w:val="en-US"/>
        </w:rPr>
        <w:tab/>
      </w:r>
      <w:r w:rsidR="0032380F" w:rsidRPr="00470AF3">
        <w:rPr>
          <w:rFonts w:cs="Arial"/>
          <w:b w:val="0"/>
          <w:lang w:val="en-US"/>
        </w:rPr>
        <w:t>The learned Judge erred in finding that just because the email corres</w:t>
      </w:r>
      <w:r w:rsidR="00470AF3">
        <w:rPr>
          <w:rFonts w:cs="Arial"/>
          <w:b w:val="0"/>
          <w:lang w:val="en-US"/>
        </w:rPr>
        <w:t xml:space="preserve">pondence dated 11 May 2020 was ‘clearly from </w:t>
      </w:r>
      <w:r w:rsidR="00B92E03">
        <w:rPr>
          <w:rFonts w:cs="Arial"/>
          <w:b w:val="0"/>
          <w:lang w:val="en-US"/>
        </w:rPr>
        <w:t>Mr.</w:t>
      </w:r>
      <w:r w:rsidR="0032380F" w:rsidRPr="00470AF3">
        <w:rPr>
          <w:rFonts w:cs="Arial"/>
          <w:b w:val="0"/>
          <w:lang w:val="en-US"/>
        </w:rPr>
        <w:t xml:space="preserve"> Makwela</w:t>
      </w:r>
      <w:r w:rsidR="00470AF3">
        <w:rPr>
          <w:rFonts w:cs="Arial"/>
          <w:b w:val="0"/>
          <w:lang w:val="en-US"/>
        </w:rPr>
        <w:t>’, that constituted</w:t>
      </w:r>
      <w:r w:rsidR="0032380F" w:rsidRPr="00470AF3">
        <w:rPr>
          <w:rFonts w:cs="Arial"/>
          <w:b w:val="0"/>
          <w:lang w:val="en-US"/>
        </w:rPr>
        <w:t xml:space="preserve"> compliance with the requirements of the loan agreement to effect a valid variation of its</w:t>
      </w:r>
      <w:r w:rsidR="00470AF3">
        <w:rPr>
          <w:rFonts w:cs="Arial"/>
          <w:b w:val="0"/>
          <w:lang w:val="en-US"/>
        </w:rPr>
        <w:t xml:space="preserve"> terms</w:t>
      </w:r>
    </w:p>
    <w:p w14:paraId="3A97FB12" w14:textId="0E418D7B" w:rsidR="0032380F" w:rsidRPr="00470AF3" w:rsidRDefault="00005E64" w:rsidP="00005E64">
      <w:pPr>
        <w:pStyle w:val="LegalHeading2"/>
        <w:numPr>
          <w:ilvl w:val="0"/>
          <w:numId w:val="0"/>
        </w:numPr>
        <w:tabs>
          <w:tab w:val="clear" w:pos="3402"/>
          <w:tab w:val="clear" w:pos="3969"/>
        </w:tabs>
        <w:spacing w:after="120" w:line="360" w:lineRule="auto"/>
        <w:ind w:left="1135" w:hanging="851"/>
        <w:rPr>
          <w:rFonts w:cs="Arial"/>
          <w:b w:val="0"/>
          <w:lang w:val="en-US"/>
        </w:rPr>
      </w:pPr>
      <w:r w:rsidRPr="00470AF3">
        <w:rPr>
          <w:b w:val="0"/>
          <w:lang w:val="en-US"/>
        </w:rPr>
        <w:t>10.5</w:t>
      </w:r>
      <w:r w:rsidRPr="00470AF3">
        <w:rPr>
          <w:b w:val="0"/>
          <w:lang w:val="en-US"/>
        </w:rPr>
        <w:tab/>
      </w:r>
      <w:r w:rsidR="0032380F" w:rsidRPr="00470AF3">
        <w:rPr>
          <w:rFonts w:cs="Arial"/>
          <w:b w:val="0"/>
          <w:lang w:val="en-US"/>
        </w:rPr>
        <w:t xml:space="preserve">The learned Judge erred in finding that the applicant's determination to obtain the relief it seeks amounts to an abuse of the court process. </w:t>
      </w:r>
    </w:p>
    <w:p w14:paraId="4E57F6C4" w14:textId="3C226320" w:rsidR="002F5CF6" w:rsidRPr="00005E64" w:rsidRDefault="00005E64" w:rsidP="00005E64">
      <w:pPr>
        <w:spacing w:after="240" w:line="360" w:lineRule="auto"/>
        <w:jc w:val="both"/>
        <w:rPr>
          <w:color w:val="000000"/>
        </w:rPr>
      </w:pPr>
      <w:r w:rsidRPr="00470AF3">
        <w:rPr>
          <w:u w:val="single" w:color="FFFFFF" w:themeColor="background1"/>
        </w:rPr>
        <w:t>[11]</w:t>
      </w:r>
      <w:r w:rsidRPr="00470AF3">
        <w:rPr>
          <w:u w:val="single" w:color="FFFFFF" w:themeColor="background1"/>
        </w:rPr>
        <w:tab/>
      </w:r>
      <w:r w:rsidR="002F5CF6" w:rsidRPr="00005E64">
        <w:rPr>
          <w:rFonts w:cs="Arial"/>
          <w:lang w:val="en-US"/>
        </w:rPr>
        <w:t>Below I deal with the</w:t>
      </w:r>
      <w:r w:rsidR="00470AF3" w:rsidRPr="00005E64">
        <w:rPr>
          <w:rFonts w:cs="Arial"/>
          <w:lang w:val="en-US"/>
        </w:rPr>
        <w:t>se</w:t>
      </w:r>
      <w:r w:rsidR="002F5CF6" w:rsidRPr="00005E64">
        <w:rPr>
          <w:rFonts w:cs="Arial"/>
          <w:lang w:val="en-US"/>
        </w:rPr>
        <w:t xml:space="preserve"> grounds of appeal.</w:t>
      </w:r>
      <w:r w:rsidR="00470AF3" w:rsidRPr="00005E64">
        <w:rPr>
          <w:rFonts w:cs="Arial"/>
          <w:lang w:val="en-US"/>
        </w:rPr>
        <w:t>,</w:t>
      </w:r>
    </w:p>
    <w:p w14:paraId="1FA2A2BC" w14:textId="77D80A58" w:rsidR="002F5CF6" w:rsidRPr="00470AF3" w:rsidRDefault="00470AF3" w:rsidP="00792047">
      <w:pPr>
        <w:pStyle w:val="ListParagraph"/>
        <w:keepNext/>
        <w:spacing w:after="120" w:line="360" w:lineRule="auto"/>
        <w:ind w:left="0"/>
        <w:jc w:val="both"/>
        <w:rPr>
          <w:color w:val="000000"/>
        </w:rPr>
      </w:pPr>
      <w:r w:rsidRPr="00470AF3">
        <w:rPr>
          <w:rFonts w:cs="Arial"/>
          <w:b/>
          <w:i/>
          <w:lang w:val="en-US"/>
        </w:rPr>
        <w:t>Lis Alibi Pendens</w:t>
      </w:r>
    </w:p>
    <w:p w14:paraId="511DCA74" w14:textId="2897B5A5" w:rsidR="002F5CF6" w:rsidRPr="00005E64" w:rsidRDefault="00005E64" w:rsidP="00005E64">
      <w:pPr>
        <w:spacing w:after="120" w:line="360" w:lineRule="auto"/>
        <w:jc w:val="both"/>
        <w:rPr>
          <w:color w:val="000000"/>
        </w:rPr>
      </w:pPr>
      <w:r w:rsidRPr="00470AF3">
        <w:rPr>
          <w:u w:val="single" w:color="FFFFFF" w:themeColor="background1"/>
        </w:rPr>
        <w:t>[12]</w:t>
      </w:r>
      <w:r w:rsidRPr="00470AF3">
        <w:rPr>
          <w:u w:val="single" w:color="FFFFFF" w:themeColor="background1"/>
        </w:rPr>
        <w:tab/>
      </w:r>
      <w:r w:rsidR="002F5CF6" w:rsidRPr="00005E64">
        <w:rPr>
          <w:rFonts w:cs="Arial"/>
          <w:lang w:val="en-US"/>
        </w:rPr>
        <w:t xml:space="preserve">At the hearing of the trial, the respondents raised the special plea of </w:t>
      </w:r>
      <w:r w:rsidR="002F5CF6" w:rsidRPr="00005E64">
        <w:rPr>
          <w:rFonts w:cs="Arial"/>
          <w:i/>
          <w:lang w:val="en-US"/>
        </w:rPr>
        <w:t xml:space="preserve">lis pendens, </w:t>
      </w:r>
      <w:r w:rsidR="002F5CF6" w:rsidRPr="00005E64">
        <w:rPr>
          <w:rFonts w:cs="Arial"/>
          <w:lang w:val="en-US"/>
        </w:rPr>
        <w:t>alleging that the cause of action in the second application is the same as the cause of action in the first application.</w:t>
      </w:r>
    </w:p>
    <w:p w14:paraId="57BA493E" w14:textId="2A613AA2" w:rsidR="002F5CF6" w:rsidRPr="00005E64" w:rsidRDefault="00005E64" w:rsidP="00005E64">
      <w:pPr>
        <w:spacing w:after="120" w:line="360" w:lineRule="auto"/>
        <w:jc w:val="both"/>
        <w:rPr>
          <w:color w:val="000000"/>
        </w:rPr>
      </w:pPr>
      <w:r w:rsidRPr="00470AF3">
        <w:rPr>
          <w:u w:val="single" w:color="FFFFFF" w:themeColor="background1"/>
        </w:rPr>
        <w:t>[13]</w:t>
      </w:r>
      <w:r w:rsidRPr="00470AF3">
        <w:rPr>
          <w:u w:val="single" w:color="FFFFFF" w:themeColor="background1"/>
        </w:rPr>
        <w:tab/>
      </w:r>
      <w:r w:rsidR="002F5CF6" w:rsidRPr="00005E64">
        <w:rPr>
          <w:rFonts w:cs="Arial"/>
          <w:lang w:val="en-US"/>
        </w:rPr>
        <w:t xml:space="preserve">The </w:t>
      </w:r>
      <w:r w:rsidR="00470AF3" w:rsidRPr="00005E64">
        <w:rPr>
          <w:rFonts w:cs="Arial"/>
          <w:lang w:val="en-US"/>
        </w:rPr>
        <w:t xml:space="preserve">legal </w:t>
      </w:r>
      <w:r w:rsidR="002F5CF6" w:rsidRPr="00005E64">
        <w:rPr>
          <w:rFonts w:cs="Arial"/>
          <w:lang w:val="en-US"/>
        </w:rPr>
        <w:t>principle</w:t>
      </w:r>
      <w:r w:rsidR="00470AF3" w:rsidRPr="00005E64">
        <w:rPr>
          <w:rFonts w:cs="Arial"/>
          <w:lang w:val="en-US"/>
        </w:rPr>
        <w:t>s</w:t>
      </w:r>
      <w:r w:rsidR="002F5CF6" w:rsidRPr="00005E64">
        <w:rPr>
          <w:rFonts w:cs="Arial"/>
          <w:lang w:val="en-US"/>
        </w:rPr>
        <w:t xml:space="preserve"> </w:t>
      </w:r>
      <w:r w:rsidR="00470AF3" w:rsidRPr="00005E64">
        <w:rPr>
          <w:rFonts w:cs="Arial"/>
          <w:lang w:val="en-US"/>
        </w:rPr>
        <w:t>relating to</w:t>
      </w:r>
      <w:r w:rsidR="002F5CF6" w:rsidRPr="00005E64">
        <w:rPr>
          <w:rFonts w:cs="Arial"/>
          <w:lang w:val="en-US"/>
        </w:rPr>
        <w:t xml:space="preserve"> </w:t>
      </w:r>
      <w:r w:rsidR="002F5CF6" w:rsidRPr="00005E64">
        <w:rPr>
          <w:rFonts w:cs="Arial"/>
          <w:i/>
          <w:lang w:val="en-US"/>
        </w:rPr>
        <w:t xml:space="preserve">lis pendens alibi </w:t>
      </w:r>
      <w:r w:rsidR="002F5CF6" w:rsidRPr="00005E64">
        <w:rPr>
          <w:rFonts w:cs="Arial"/>
          <w:lang w:val="en-US"/>
        </w:rPr>
        <w:t xml:space="preserve">are trite and have been pronounced </w:t>
      </w:r>
      <w:r w:rsidR="00470AF3" w:rsidRPr="00005E64">
        <w:rPr>
          <w:rFonts w:cs="Arial"/>
          <w:lang w:val="en-US"/>
        </w:rPr>
        <w:t xml:space="preserve">upon </w:t>
      </w:r>
      <w:r w:rsidR="002F5CF6" w:rsidRPr="00005E64">
        <w:rPr>
          <w:rFonts w:cs="Arial"/>
          <w:lang w:val="en-US"/>
        </w:rPr>
        <w:t xml:space="preserve">in a number of our court's decision. A party raising </w:t>
      </w:r>
      <w:r w:rsidR="002F5CF6" w:rsidRPr="00005E64">
        <w:rPr>
          <w:rFonts w:cs="Arial"/>
          <w:i/>
          <w:lang w:val="en-US"/>
        </w:rPr>
        <w:t xml:space="preserve">lis </w:t>
      </w:r>
      <w:r w:rsidR="00470AF3" w:rsidRPr="00005E64">
        <w:rPr>
          <w:rFonts w:cs="Arial"/>
          <w:i/>
          <w:lang w:val="en-US"/>
        </w:rPr>
        <w:t>pendens</w:t>
      </w:r>
      <w:r w:rsidR="002F5CF6" w:rsidRPr="00005E64">
        <w:rPr>
          <w:rFonts w:cs="Arial"/>
          <w:lang w:val="en-US"/>
        </w:rPr>
        <w:t xml:space="preserve"> must allege and prove the </w:t>
      </w:r>
      <w:r w:rsidR="00B92E03" w:rsidRPr="00005E64">
        <w:rPr>
          <w:rFonts w:cs="Arial"/>
          <w:lang w:val="en-US"/>
        </w:rPr>
        <w:t>following:</w:t>
      </w:r>
      <w:r w:rsidR="00470AF3" w:rsidRPr="00005E64">
        <w:rPr>
          <w:rFonts w:cs="Arial"/>
          <w:lang w:val="en-US"/>
        </w:rPr>
        <w:t xml:space="preserve"> -</w:t>
      </w:r>
    </w:p>
    <w:p w14:paraId="304F28F9" w14:textId="6464413A" w:rsidR="00470AF3" w:rsidRDefault="00470AF3" w:rsidP="00470AF3">
      <w:pPr>
        <w:pStyle w:val="ListParagraph"/>
        <w:spacing w:line="360" w:lineRule="auto"/>
        <w:ind w:left="567" w:hanging="567"/>
        <w:jc w:val="both"/>
        <w:rPr>
          <w:rFonts w:cs="Arial"/>
          <w:lang w:val="en-US"/>
        </w:rPr>
      </w:pPr>
      <w:r>
        <w:rPr>
          <w:rFonts w:cs="Arial"/>
          <w:lang w:val="en-US"/>
        </w:rPr>
        <w:t>13.1</w:t>
      </w:r>
      <w:r>
        <w:rPr>
          <w:rFonts w:cs="Arial"/>
          <w:lang w:val="en-US"/>
        </w:rPr>
        <w:tab/>
      </w:r>
      <w:r w:rsidR="002C117C">
        <w:rPr>
          <w:rFonts w:cs="Arial"/>
          <w:lang w:val="en-US"/>
        </w:rPr>
        <w:tab/>
      </w:r>
      <w:r>
        <w:rPr>
          <w:rFonts w:cs="Arial"/>
          <w:lang w:val="en-US"/>
        </w:rPr>
        <w:t xml:space="preserve">that there is pending </w:t>
      </w:r>
      <w:r w:rsidR="00B92E03">
        <w:rPr>
          <w:rFonts w:cs="Arial"/>
          <w:lang w:val="en-US"/>
        </w:rPr>
        <w:t>litigation.</w:t>
      </w:r>
    </w:p>
    <w:p w14:paraId="67E398E5" w14:textId="38D08742" w:rsidR="00470AF3" w:rsidRDefault="00470AF3" w:rsidP="00470AF3">
      <w:pPr>
        <w:pStyle w:val="ListParagraph"/>
        <w:spacing w:line="360" w:lineRule="auto"/>
        <w:ind w:left="567" w:hanging="567"/>
        <w:jc w:val="both"/>
        <w:rPr>
          <w:rFonts w:cs="Arial"/>
          <w:lang w:val="en-US"/>
        </w:rPr>
      </w:pPr>
      <w:r>
        <w:rPr>
          <w:rFonts w:cs="Arial"/>
          <w:lang w:val="en-US"/>
        </w:rPr>
        <w:t>13.2</w:t>
      </w:r>
      <w:r>
        <w:rPr>
          <w:rFonts w:cs="Arial"/>
          <w:lang w:val="en-US"/>
        </w:rPr>
        <w:tab/>
      </w:r>
      <w:r w:rsidR="002C117C">
        <w:rPr>
          <w:rFonts w:cs="Arial"/>
          <w:lang w:val="en-US"/>
        </w:rPr>
        <w:tab/>
      </w:r>
      <w:r>
        <w:rPr>
          <w:rFonts w:cs="Arial"/>
          <w:lang w:val="en-US"/>
        </w:rPr>
        <w:t xml:space="preserve">between the same </w:t>
      </w:r>
      <w:r w:rsidR="00B92E03">
        <w:rPr>
          <w:rFonts w:cs="Arial"/>
          <w:lang w:val="en-US"/>
        </w:rPr>
        <w:t>parties.</w:t>
      </w:r>
    </w:p>
    <w:p w14:paraId="216D6B20" w14:textId="28545ECA" w:rsidR="00470AF3" w:rsidRDefault="00470AF3" w:rsidP="00470AF3">
      <w:pPr>
        <w:pStyle w:val="ListParagraph"/>
        <w:spacing w:line="360" w:lineRule="auto"/>
        <w:ind w:left="567" w:hanging="567"/>
        <w:jc w:val="both"/>
        <w:rPr>
          <w:rFonts w:cs="Arial"/>
          <w:lang w:val="en-US"/>
        </w:rPr>
      </w:pPr>
      <w:r>
        <w:rPr>
          <w:rFonts w:cs="Arial"/>
          <w:lang w:val="en-US"/>
        </w:rPr>
        <w:t>13.3</w:t>
      </w:r>
      <w:r>
        <w:rPr>
          <w:rFonts w:cs="Arial"/>
          <w:lang w:val="en-US"/>
        </w:rPr>
        <w:tab/>
      </w:r>
      <w:r w:rsidR="002C117C">
        <w:rPr>
          <w:rFonts w:cs="Arial"/>
          <w:lang w:val="en-US"/>
        </w:rPr>
        <w:tab/>
      </w:r>
      <w:r>
        <w:rPr>
          <w:rFonts w:cs="Arial"/>
          <w:lang w:val="en-US"/>
        </w:rPr>
        <w:t>based on the same cause of action</w:t>
      </w:r>
      <w:r w:rsidR="002C117C">
        <w:rPr>
          <w:rFonts w:cs="Arial"/>
          <w:lang w:val="en-US"/>
        </w:rPr>
        <w:t>; and</w:t>
      </w:r>
    </w:p>
    <w:p w14:paraId="7DB36D9C" w14:textId="632468AE" w:rsidR="00470AF3" w:rsidRDefault="00470AF3" w:rsidP="002C117C">
      <w:pPr>
        <w:pStyle w:val="ListParagraph"/>
        <w:spacing w:after="120" w:line="360" w:lineRule="auto"/>
        <w:ind w:left="567" w:hanging="567"/>
        <w:jc w:val="both"/>
        <w:rPr>
          <w:rFonts w:cs="Arial"/>
          <w:lang w:val="en-US"/>
        </w:rPr>
      </w:pPr>
      <w:r>
        <w:rPr>
          <w:rFonts w:cs="Arial"/>
          <w:lang w:val="en-US"/>
        </w:rPr>
        <w:lastRenderedPageBreak/>
        <w:t>13.4</w:t>
      </w:r>
      <w:r>
        <w:rPr>
          <w:rFonts w:cs="Arial"/>
          <w:lang w:val="en-US"/>
        </w:rPr>
        <w:tab/>
      </w:r>
      <w:r w:rsidR="002C117C">
        <w:rPr>
          <w:rFonts w:cs="Arial"/>
          <w:lang w:val="en-US"/>
        </w:rPr>
        <w:tab/>
      </w:r>
      <w:r>
        <w:rPr>
          <w:rFonts w:cs="Arial"/>
          <w:lang w:val="en-US"/>
        </w:rPr>
        <w:t>in respect of the same subject matter</w:t>
      </w:r>
    </w:p>
    <w:p w14:paraId="62EB2F36" w14:textId="4B744D8E" w:rsidR="002F5CF6" w:rsidRPr="00005E64" w:rsidRDefault="00005E64" w:rsidP="00005E64">
      <w:pPr>
        <w:spacing w:after="120" w:line="360" w:lineRule="auto"/>
        <w:jc w:val="both"/>
        <w:rPr>
          <w:color w:val="000000"/>
        </w:rPr>
      </w:pPr>
      <w:r w:rsidRPr="002C117C">
        <w:rPr>
          <w:u w:val="single" w:color="FFFFFF" w:themeColor="background1"/>
        </w:rPr>
        <w:t>[14]</w:t>
      </w:r>
      <w:r w:rsidRPr="002C117C">
        <w:rPr>
          <w:u w:val="single" w:color="FFFFFF" w:themeColor="background1"/>
        </w:rPr>
        <w:tab/>
      </w:r>
      <w:r w:rsidR="002F5CF6" w:rsidRPr="00005E64">
        <w:rPr>
          <w:rFonts w:cs="Arial"/>
          <w:lang w:val="en-US"/>
        </w:rPr>
        <w:t xml:space="preserve">In upholding the respondent’s plea of </w:t>
      </w:r>
      <w:r w:rsidR="002F5CF6" w:rsidRPr="00005E64">
        <w:rPr>
          <w:rFonts w:cs="Arial"/>
          <w:i/>
          <w:lang w:val="en-US"/>
        </w:rPr>
        <w:t>lis pendens</w:t>
      </w:r>
      <w:r w:rsidR="002F5CF6" w:rsidRPr="00005E64">
        <w:rPr>
          <w:rFonts w:cs="Arial"/>
          <w:lang w:val="en-US"/>
        </w:rPr>
        <w:t>, Senyatsi J held at [34] that “</w:t>
      </w:r>
      <w:r w:rsidR="002F5CF6" w:rsidRPr="00005E64">
        <w:rPr>
          <w:rFonts w:cs="Arial"/>
          <w:i/>
          <w:lang w:val="en-US"/>
        </w:rPr>
        <w:t xml:space="preserve">As in the first application TUHF seeks judgment against the second respondent based on the same Deed of Suretyship which was argued in the first application. This in my respectful view, meets the second requirement pertaining to the same cause of action for the special plea of </w:t>
      </w:r>
      <w:r w:rsidR="002F5CF6" w:rsidRPr="00005E64">
        <w:rPr>
          <w:rFonts w:cs="Arial"/>
          <w:lang w:val="en-US"/>
        </w:rPr>
        <w:t>lis pendens</w:t>
      </w:r>
      <w:r w:rsidR="002F5CF6" w:rsidRPr="00005E64">
        <w:rPr>
          <w:rFonts w:cs="Arial"/>
          <w:i/>
          <w:lang w:val="en-US"/>
        </w:rPr>
        <w:t xml:space="preserve"> to succeed. I hold the view that the respondents have succeeded in proving that indeed this is the same cause of action”. </w:t>
      </w:r>
    </w:p>
    <w:p w14:paraId="6D926EE0" w14:textId="671FE612" w:rsidR="002F5CF6" w:rsidRPr="00005E64" w:rsidRDefault="00005E64" w:rsidP="00005E64">
      <w:pPr>
        <w:spacing w:after="120" w:line="360" w:lineRule="auto"/>
        <w:jc w:val="both"/>
        <w:rPr>
          <w:color w:val="000000"/>
        </w:rPr>
      </w:pPr>
      <w:r w:rsidRPr="002C117C">
        <w:rPr>
          <w:u w:val="single" w:color="FFFFFF" w:themeColor="background1"/>
        </w:rPr>
        <w:t>[15]</w:t>
      </w:r>
      <w:r w:rsidRPr="002C117C">
        <w:rPr>
          <w:u w:val="single" w:color="FFFFFF" w:themeColor="background1"/>
        </w:rPr>
        <w:tab/>
      </w:r>
      <w:r w:rsidR="002F5CF6" w:rsidRPr="00005E64">
        <w:rPr>
          <w:rFonts w:cs="Arial"/>
          <w:lang w:val="en-US"/>
        </w:rPr>
        <w:t xml:space="preserve">Before us, TUHF contends that the </w:t>
      </w:r>
      <w:r w:rsidR="00903CAD" w:rsidRPr="00005E64">
        <w:rPr>
          <w:rFonts w:cs="Arial"/>
          <w:lang w:val="en-US"/>
        </w:rPr>
        <w:t>court</w:t>
      </w:r>
      <w:r w:rsidR="00903CAD" w:rsidRPr="00005E64">
        <w:rPr>
          <w:rFonts w:cs="Arial"/>
          <w:i/>
          <w:iCs/>
          <w:lang w:val="en-US"/>
        </w:rPr>
        <w:t xml:space="preserve"> a quo</w:t>
      </w:r>
      <w:r w:rsidR="00903CAD" w:rsidRPr="00005E64">
        <w:rPr>
          <w:rFonts w:cs="Arial"/>
          <w:lang w:val="en-US"/>
        </w:rPr>
        <w:t xml:space="preserve"> </w:t>
      </w:r>
      <w:r w:rsidR="002F5CF6" w:rsidRPr="00005E64">
        <w:rPr>
          <w:rFonts w:cs="Arial"/>
          <w:lang w:val="en-US"/>
        </w:rPr>
        <w:t>should have dismissed the special plea of</w:t>
      </w:r>
      <w:r w:rsidR="002F5CF6" w:rsidRPr="00005E64">
        <w:rPr>
          <w:rFonts w:cs="Arial"/>
          <w:i/>
          <w:lang w:val="en-US"/>
        </w:rPr>
        <w:t xml:space="preserve"> lis</w:t>
      </w:r>
      <w:r w:rsidR="002F5CF6" w:rsidRPr="00005E64">
        <w:rPr>
          <w:rFonts w:cs="Arial"/>
          <w:lang w:val="en-US"/>
        </w:rPr>
        <w:t xml:space="preserve"> </w:t>
      </w:r>
      <w:r w:rsidR="002C117C" w:rsidRPr="00005E64">
        <w:rPr>
          <w:rFonts w:cs="Arial"/>
          <w:i/>
          <w:lang w:val="en-US"/>
        </w:rPr>
        <w:t>pendens</w:t>
      </w:r>
      <w:r w:rsidR="002F5CF6" w:rsidRPr="00005E64">
        <w:rPr>
          <w:rFonts w:cs="Arial"/>
          <w:lang w:val="en-US"/>
        </w:rPr>
        <w:t xml:space="preserve"> because the dispute or even the nature of the events of default in the first application was not the same as those in the second application. </w:t>
      </w:r>
      <w:r w:rsidR="002C117C" w:rsidRPr="00005E64">
        <w:rPr>
          <w:rFonts w:cs="Arial"/>
          <w:lang w:val="en-US"/>
        </w:rPr>
        <w:t>And t</w:t>
      </w:r>
      <w:r w:rsidR="002F5CF6" w:rsidRPr="00005E64">
        <w:rPr>
          <w:rFonts w:cs="Arial"/>
          <w:lang w:val="en-US"/>
        </w:rPr>
        <w:t>hat the events of the security breach only arose after the launch of the first application. Finally, there was no litigation pending between the same parties at the time of handing down the order in the second application.</w:t>
      </w:r>
    </w:p>
    <w:p w14:paraId="19B68B08" w14:textId="09ACC8AA" w:rsidR="002F5CF6" w:rsidRPr="00005E64" w:rsidRDefault="00005E64" w:rsidP="00005E64">
      <w:pPr>
        <w:spacing w:after="120" w:line="360" w:lineRule="auto"/>
        <w:jc w:val="both"/>
        <w:rPr>
          <w:color w:val="000000"/>
        </w:rPr>
      </w:pPr>
      <w:r w:rsidRPr="002C117C">
        <w:rPr>
          <w:u w:val="single" w:color="FFFFFF" w:themeColor="background1"/>
        </w:rPr>
        <w:t>[16]</w:t>
      </w:r>
      <w:r w:rsidRPr="002C117C">
        <w:rPr>
          <w:u w:val="single" w:color="FFFFFF" w:themeColor="background1"/>
        </w:rPr>
        <w:tab/>
      </w:r>
      <w:r w:rsidR="002F5CF6" w:rsidRPr="00005E64">
        <w:rPr>
          <w:rFonts w:cs="Arial"/>
          <w:lang w:val="en-US"/>
        </w:rPr>
        <w:t xml:space="preserve">The case made </w:t>
      </w:r>
      <w:r w:rsidR="002C117C" w:rsidRPr="00005E64">
        <w:rPr>
          <w:rFonts w:cs="Arial"/>
          <w:lang w:val="en-US"/>
        </w:rPr>
        <w:t xml:space="preserve">out </w:t>
      </w:r>
      <w:r w:rsidR="002F5CF6" w:rsidRPr="00005E64">
        <w:rPr>
          <w:rFonts w:cs="Arial"/>
          <w:lang w:val="en-US"/>
        </w:rPr>
        <w:t xml:space="preserve">by the respondents is that the central issue in both the first application and the second application before the </w:t>
      </w:r>
      <w:r w:rsidR="00903CAD" w:rsidRPr="00005E64">
        <w:rPr>
          <w:rFonts w:cs="Arial"/>
          <w:lang w:val="en-US"/>
        </w:rPr>
        <w:t>court</w:t>
      </w:r>
      <w:r w:rsidR="00903CAD" w:rsidRPr="00005E64">
        <w:rPr>
          <w:rFonts w:cs="Arial"/>
          <w:i/>
          <w:iCs/>
          <w:lang w:val="en-US"/>
        </w:rPr>
        <w:t xml:space="preserve"> a quo</w:t>
      </w:r>
      <w:r w:rsidR="00903CAD" w:rsidRPr="00005E64">
        <w:rPr>
          <w:rFonts w:cs="Arial"/>
          <w:lang w:val="en-US"/>
        </w:rPr>
        <w:t xml:space="preserve"> </w:t>
      </w:r>
      <w:r w:rsidR="002F5CF6" w:rsidRPr="00005E64">
        <w:rPr>
          <w:rFonts w:cs="Arial"/>
          <w:lang w:val="en-US"/>
        </w:rPr>
        <w:t>were the same, which is the breach by the first respondent of the loan agreement and the mortgage bond and the obligation of the first respondent in terms of the loan agreement and the second and third respondent as sureties to make payment monthly repayments to the TUHF.</w:t>
      </w:r>
    </w:p>
    <w:p w14:paraId="108C7D42" w14:textId="0614A114" w:rsidR="002F5CF6" w:rsidRPr="00005E64" w:rsidRDefault="00005E64" w:rsidP="00005E64">
      <w:pPr>
        <w:spacing w:after="120" w:line="360" w:lineRule="auto"/>
        <w:jc w:val="both"/>
        <w:rPr>
          <w:color w:val="000000"/>
        </w:rPr>
      </w:pPr>
      <w:r w:rsidRPr="002C117C">
        <w:rPr>
          <w:u w:val="single" w:color="FFFFFF" w:themeColor="background1"/>
        </w:rPr>
        <w:t>[17]</w:t>
      </w:r>
      <w:r w:rsidRPr="002C117C">
        <w:rPr>
          <w:u w:val="single" w:color="FFFFFF" w:themeColor="background1"/>
        </w:rPr>
        <w:tab/>
      </w:r>
      <w:r w:rsidR="002C117C" w:rsidRPr="00005E64">
        <w:rPr>
          <w:rFonts w:cs="Arial"/>
          <w:lang w:val="en-US"/>
        </w:rPr>
        <w:t>In adjudicating</w:t>
      </w:r>
      <w:r w:rsidR="002F5CF6" w:rsidRPr="00005E64">
        <w:rPr>
          <w:rFonts w:cs="Arial"/>
          <w:lang w:val="en-US"/>
        </w:rPr>
        <w:t xml:space="preserve"> the </w:t>
      </w:r>
      <w:r w:rsidR="002F5CF6" w:rsidRPr="00005E64">
        <w:rPr>
          <w:rFonts w:cs="Arial"/>
          <w:i/>
          <w:lang w:val="en-US"/>
        </w:rPr>
        <w:t>lis pendens</w:t>
      </w:r>
      <w:r w:rsidR="002F5CF6" w:rsidRPr="00005E64">
        <w:rPr>
          <w:rFonts w:cs="Arial"/>
          <w:lang w:val="en-US"/>
        </w:rPr>
        <w:t xml:space="preserve"> </w:t>
      </w:r>
      <w:r w:rsidR="002C117C" w:rsidRPr="00005E64">
        <w:rPr>
          <w:rFonts w:cs="Arial"/>
          <w:lang w:val="en-US"/>
        </w:rPr>
        <w:t>point</w:t>
      </w:r>
      <w:r w:rsidR="002F5CF6" w:rsidRPr="00005E64">
        <w:rPr>
          <w:rFonts w:cs="Arial"/>
          <w:lang w:val="en-US"/>
        </w:rPr>
        <w:t xml:space="preserve">, </w:t>
      </w:r>
      <w:r w:rsidR="002C117C" w:rsidRPr="00005E64">
        <w:rPr>
          <w:rFonts w:cs="Arial"/>
          <w:lang w:val="en-US"/>
        </w:rPr>
        <w:t>a</w:t>
      </w:r>
      <w:r w:rsidR="002F5CF6" w:rsidRPr="00005E64">
        <w:rPr>
          <w:rFonts w:cs="Arial"/>
          <w:lang w:val="en-US"/>
        </w:rPr>
        <w:t xml:space="preserve"> court has </w:t>
      </w:r>
      <w:r w:rsidR="002C117C" w:rsidRPr="00005E64">
        <w:rPr>
          <w:rFonts w:cs="Arial"/>
          <w:lang w:val="en-US"/>
        </w:rPr>
        <w:t xml:space="preserve">a discretion to hear </w:t>
      </w:r>
      <w:r w:rsidR="002F5CF6" w:rsidRPr="00005E64">
        <w:rPr>
          <w:rFonts w:cs="Arial"/>
          <w:lang w:val="en-US"/>
        </w:rPr>
        <w:t xml:space="preserve">the matter. In </w:t>
      </w:r>
      <w:r w:rsidR="002F5CF6" w:rsidRPr="00005E64">
        <w:rPr>
          <w:rFonts w:cs="Arial"/>
          <w:i/>
          <w:lang w:val="en-US"/>
        </w:rPr>
        <w:t>Gerotek Test Facilities v New Generation Ammunition</w:t>
      </w:r>
      <w:r w:rsidR="002F5CF6">
        <w:rPr>
          <w:rStyle w:val="FootnoteReference"/>
          <w:rFonts w:cs="Arial"/>
          <w:i/>
          <w:lang w:val="en-US"/>
        </w:rPr>
        <w:footnoteReference w:id="1"/>
      </w:r>
      <w:r w:rsidR="002C117C" w:rsidRPr="00005E64">
        <w:rPr>
          <w:rFonts w:cs="Arial"/>
          <w:lang w:val="en-US"/>
        </w:rPr>
        <w:t xml:space="preserve">, </w:t>
      </w:r>
      <w:r w:rsidR="002F5CF6" w:rsidRPr="00005E64">
        <w:rPr>
          <w:rFonts w:cs="Arial"/>
          <w:lang w:val="en-US"/>
        </w:rPr>
        <w:t xml:space="preserve">following the principle laid down in </w:t>
      </w:r>
      <w:r w:rsidR="002F5CF6" w:rsidRPr="00005E64">
        <w:rPr>
          <w:rFonts w:cs="Arial"/>
          <w:i/>
          <w:lang w:val="en-US"/>
        </w:rPr>
        <w:t>Geldenhuys v Kotze</w:t>
      </w:r>
      <w:r w:rsidR="002C117C">
        <w:rPr>
          <w:rStyle w:val="FootnoteReference"/>
          <w:i/>
          <w:lang w:val="en-US"/>
        </w:rPr>
        <w:footnoteReference w:id="2"/>
      </w:r>
      <w:r w:rsidR="002C117C" w:rsidRPr="00005E64">
        <w:rPr>
          <w:rFonts w:cs="Arial"/>
          <w:lang w:val="en-US"/>
        </w:rPr>
        <w:t xml:space="preserve">, it was </w:t>
      </w:r>
      <w:r w:rsidR="002F5CF6" w:rsidRPr="00005E64">
        <w:rPr>
          <w:rFonts w:cs="Arial"/>
          <w:lang w:val="en-US"/>
        </w:rPr>
        <w:t xml:space="preserve">held that a Court should not only consider what would be the correct procedure at the time of hearing the matter, but it </w:t>
      </w:r>
      <w:r w:rsidR="00B92E03" w:rsidRPr="00005E64">
        <w:rPr>
          <w:rFonts w:cs="Arial"/>
          <w:lang w:val="en-US"/>
        </w:rPr>
        <w:t>must</w:t>
      </w:r>
      <w:r w:rsidR="002F5CF6" w:rsidRPr="00005E64">
        <w:rPr>
          <w:rFonts w:cs="Arial"/>
          <w:lang w:val="en-US"/>
        </w:rPr>
        <w:t xml:space="preserve"> delve into all the facts to determine whether equity dictates that the matter should be heard. See also </w:t>
      </w:r>
      <w:r w:rsidR="002F5CF6" w:rsidRPr="00005E64">
        <w:rPr>
          <w:rFonts w:cs="Arial"/>
          <w:i/>
          <w:lang w:val="en-US"/>
        </w:rPr>
        <w:t>Nestle (SA) (PTY) Ltd v Mars Incorporated.</w:t>
      </w:r>
      <w:r w:rsidR="002F5CF6">
        <w:rPr>
          <w:rStyle w:val="FootnoteReference"/>
          <w:rFonts w:cs="Arial"/>
          <w:i/>
          <w:lang w:val="en-US"/>
        </w:rPr>
        <w:footnoteReference w:id="3"/>
      </w:r>
    </w:p>
    <w:p w14:paraId="4493C7FD" w14:textId="05202209" w:rsidR="002F5CF6" w:rsidRPr="00005E64" w:rsidRDefault="00005E64" w:rsidP="00005E64">
      <w:pPr>
        <w:spacing w:line="360" w:lineRule="auto"/>
        <w:jc w:val="both"/>
        <w:rPr>
          <w:color w:val="000000"/>
        </w:rPr>
      </w:pPr>
      <w:r w:rsidRPr="002C117C">
        <w:rPr>
          <w:u w:val="single" w:color="FFFFFF" w:themeColor="background1"/>
        </w:rPr>
        <w:lastRenderedPageBreak/>
        <w:t>[18]</w:t>
      </w:r>
      <w:r w:rsidRPr="002C117C">
        <w:rPr>
          <w:u w:val="single" w:color="FFFFFF" w:themeColor="background1"/>
        </w:rPr>
        <w:tab/>
      </w:r>
      <w:r w:rsidR="002F5CF6" w:rsidRPr="00005E64">
        <w:rPr>
          <w:rFonts w:cs="Arial"/>
          <w:lang w:val="en-US"/>
        </w:rPr>
        <w:t xml:space="preserve">It is useful to restate the provisions of the loan agreement in particular clause 18 headed </w:t>
      </w:r>
      <w:r w:rsidR="002C117C" w:rsidRPr="00005E64">
        <w:rPr>
          <w:rFonts w:cs="Arial"/>
          <w:lang w:val="en-US"/>
        </w:rPr>
        <w:t>‘Events of Default’</w:t>
      </w:r>
      <w:r w:rsidR="002F5CF6" w:rsidRPr="00005E64">
        <w:rPr>
          <w:rFonts w:cs="Arial"/>
          <w:lang w:val="en-US"/>
        </w:rPr>
        <w:t xml:space="preserve">. Relevant to us are the </w:t>
      </w:r>
      <w:r w:rsidR="00B92E03" w:rsidRPr="00005E64">
        <w:rPr>
          <w:rFonts w:cs="Arial"/>
          <w:lang w:val="en-US"/>
        </w:rPr>
        <w:t>following:</w:t>
      </w:r>
      <w:r w:rsidR="002C117C" w:rsidRPr="00005E64">
        <w:rPr>
          <w:rFonts w:cs="Arial"/>
          <w:lang w:val="en-US"/>
        </w:rPr>
        <w:t xml:space="preserve"> -</w:t>
      </w:r>
    </w:p>
    <w:p w14:paraId="41A85668" w14:textId="4FAE41C5" w:rsidR="002C117C" w:rsidRPr="002C117C" w:rsidRDefault="002C117C" w:rsidP="002C117C">
      <w:pPr>
        <w:spacing w:line="360" w:lineRule="auto"/>
        <w:ind w:left="567" w:hanging="567"/>
        <w:jc w:val="both"/>
        <w:rPr>
          <w:rFonts w:cs="Arial"/>
          <w:iCs/>
          <w:sz w:val="20"/>
          <w:szCs w:val="20"/>
          <w:lang w:val="en-US"/>
        </w:rPr>
      </w:pPr>
      <w:r w:rsidRPr="002C117C">
        <w:rPr>
          <w:rFonts w:cs="Arial"/>
          <w:iCs/>
          <w:sz w:val="20"/>
          <w:szCs w:val="20"/>
          <w:lang w:val="en-US"/>
        </w:rPr>
        <w:t>‘18.1</w:t>
      </w:r>
      <w:r w:rsidRPr="002C117C">
        <w:rPr>
          <w:rFonts w:cs="Arial"/>
          <w:iCs/>
          <w:sz w:val="20"/>
          <w:szCs w:val="20"/>
          <w:lang w:val="en-US"/>
        </w:rPr>
        <w:tab/>
        <w:t>Each of the following events of breach shall constitute an Event of Default under the Loan Facility</w:t>
      </w:r>
    </w:p>
    <w:p w14:paraId="7207B017" w14:textId="6D90ECEE" w:rsidR="002C117C" w:rsidRPr="002C117C" w:rsidRDefault="002C117C" w:rsidP="002C117C">
      <w:pPr>
        <w:spacing w:line="360" w:lineRule="auto"/>
        <w:ind w:left="851" w:hanging="851"/>
        <w:jc w:val="both"/>
        <w:rPr>
          <w:rFonts w:cs="Arial"/>
          <w:iCs/>
          <w:sz w:val="20"/>
          <w:szCs w:val="20"/>
          <w:lang w:val="en-US"/>
        </w:rPr>
      </w:pPr>
      <w:r w:rsidRPr="002C117C">
        <w:rPr>
          <w:rFonts w:cs="Arial"/>
          <w:iCs/>
          <w:sz w:val="20"/>
          <w:szCs w:val="20"/>
          <w:lang w:val="en-US"/>
        </w:rPr>
        <w:t>18.1.1</w:t>
      </w:r>
      <w:r w:rsidRPr="002C117C">
        <w:rPr>
          <w:rFonts w:cs="Arial"/>
          <w:iCs/>
          <w:sz w:val="20"/>
          <w:szCs w:val="20"/>
          <w:lang w:val="en-US"/>
        </w:rPr>
        <w:tab/>
        <w:t xml:space="preserve">the Borrower fails to pay any amount(s) due by it in terms of this Agreement on the due date for payment thereof or breaches any other provision of this Agreement and fails to remedy any such breach within any applicable cure </w:t>
      </w:r>
      <w:r w:rsidR="00B92E03" w:rsidRPr="002C117C">
        <w:rPr>
          <w:rFonts w:cs="Arial"/>
          <w:iCs/>
          <w:sz w:val="20"/>
          <w:szCs w:val="20"/>
          <w:lang w:val="en-US"/>
        </w:rPr>
        <w:t>period</w:t>
      </w:r>
      <w:r w:rsidR="00B92E03">
        <w:rPr>
          <w:rFonts w:cs="Arial"/>
          <w:iCs/>
          <w:sz w:val="20"/>
          <w:szCs w:val="20"/>
          <w:lang w:val="en-US"/>
        </w:rPr>
        <w:t>.</w:t>
      </w:r>
    </w:p>
    <w:p w14:paraId="2BFB5A2B" w14:textId="271E7434" w:rsidR="002C117C" w:rsidRDefault="002C117C" w:rsidP="002C117C">
      <w:pPr>
        <w:spacing w:line="360" w:lineRule="auto"/>
        <w:ind w:left="851" w:hanging="851"/>
        <w:jc w:val="both"/>
        <w:rPr>
          <w:rFonts w:cs="Arial"/>
          <w:iCs/>
          <w:sz w:val="20"/>
          <w:szCs w:val="20"/>
          <w:lang w:val="en-US"/>
        </w:rPr>
      </w:pPr>
      <w:r w:rsidRPr="002C117C">
        <w:rPr>
          <w:rFonts w:cs="Arial"/>
          <w:iCs/>
          <w:sz w:val="20"/>
          <w:szCs w:val="20"/>
          <w:lang w:val="en-US"/>
        </w:rPr>
        <w:t>18.1.7</w:t>
      </w:r>
      <w:r w:rsidRPr="002C117C">
        <w:rPr>
          <w:rFonts w:cs="Arial"/>
          <w:iCs/>
          <w:sz w:val="20"/>
          <w:szCs w:val="20"/>
          <w:lang w:val="en-US"/>
        </w:rPr>
        <w:tab/>
        <w:t>the Borrower or any Surety breaches or repudiates or evidences an intention to repudiate any of the provisions of this agreement or the Security to which it is a party and does not remedy any such breach within any applicable notice or cure period calling upon it to do so.</w:t>
      </w:r>
    </w:p>
    <w:p w14:paraId="565CACEE" w14:textId="01B5D1AB" w:rsidR="00947EED" w:rsidRPr="002C117C" w:rsidRDefault="00947EED" w:rsidP="002C117C">
      <w:pPr>
        <w:spacing w:line="360" w:lineRule="auto"/>
        <w:ind w:left="851" w:hanging="851"/>
        <w:jc w:val="both"/>
        <w:rPr>
          <w:rFonts w:cs="Arial"/>
          <w:iCs/>
          <w:sz w:val="20"/>
          <w:szCs w:val="20"/>
          <w:lang w:val="en-US"/>
        </w:rPr>
      </w:pPr>
      <w:r>
        <w:rPr>
          <w:rFonts w:cs="Arial"/>
          <w:iCs/>
          <w:sz w:val="20"/>
          <w:szCs w:val="20"/>
          <w:lang w:val="en-US"/>
        </w:rPr>
        <w:tab/>
        <w:t xml:space="preserve">… … … </w:t>
      </w:r>
    </w:p>
    <w:p w14:paraId="64BEE82E" w14:textId="1BA0396F" w:rsidR="002C117C" w:rsidRPr="002C117C" w:rsidRDefault="002C117C" w:rsidP="002C117C">
      <w:pPr>
        <w:spacing w:line="360" w:lineRule="auto"/>
        <w:ind w:left="851" w:hanging="851"/>
        <w:jc w:val="both"/>
        <w:rPr>
          <w:rFonts w:cs="Arial"/>
          <w:iCs/>
          <w:sz w:val="20"/>
          <w:szCs w:val="20"/>
          <w:lang w:val="en-US"/>
        </w:rPr>
      </w:pPr>
      <w:r w:rsidRPr="002C117C">
        <w:rPr>
          <w:rFonts w:cs="Arial"/>
          <w:iCs/>
          <w:sz w:val="20"/>
          <w:szCs w:val="20"/>
          <w:lang w:val="en-US"/>
        </w:rPr>
        <w:t xml:space="preserve">18.1.10 </w:t>
      </w:r>
      <w:r w:rsidR="00947EED">
        <w:rPr>
          <w:rFonts w:cs="Arial"/>
          <w:iCs/>
          <w:sz w:val="20"/>
          <w:szCs w:val="20"/>
          <w:lang w:val="en-US"/>
        </w:rPr>
        <w:tab/>
      </w:r>
      <w:r w:rsidRPr="002C117C">
        <w:rPr>
          <w:rFonts w:cs="Arial"/>
          <w:iCs/>
          <w:sz w:val="20"/>
          <w:szCs w:val="20"/>
          <w:lang w:val="en-US"/>
        </w:rPr>
        <w:t>any Security or any part thereof shall for any reason cease to be in full force and effect under the applicable law or any part thereof otherwise ceases to constitute valid security in respect of the relevant asset(s) or revenue, and the Borrower fails to restore or procure the restoration of such security or fails to provide additional security to the satisfaction</w:t>
      </w:r>
      <w:r w:rsidR="00947EED">
        <w:rPr>
          <w:rFonts w:cs="Arial"/>
          <w:iCs/>
          <w:sz w:val="20"/>
          <w:szCs w:val="20"/>
          <w:lang w:val="en-US"/>
        </w:rPr>
        <w:t xml:space="preserve"> of the Lender within 10 (ten) </w:t>
      </w:r>
      <w:r w:rsidRPr="002C117C">
        <w:rPr>
          <w:rFonts w:cs="Arial"/>
          <w:iCs/>
          <w:sz w:val="20"/>
          <w:szCs w:val="20"/>
          <w:lang w:val="en-US"/>
        </w:rPr>
        <w:t xml:space="preserve">Business Days of being required to do so or such longer </w:t>
      </w:r>
      <w:r w:rsidR="00947EED">
        <w:rPr>
          <w:rFonts w:cs="Arial"/>
          <w:iCs/>
          <w:sz w:val="20"/>
          <w:szCs w:val="20"/>
          <w:lang w:val="en-US"/>
        </w:rPr>
        <w:t>period as the Lender may agree.’</w:t>
      </w:r>
    </w:p>
    <w:p w14:paraId="08783308" w14:textId="548ECAC9" w:rsidR="002F5CF6" w:rsidRPr="00005E64" w:rsidRDefault="00005E64" w:rsidP="00005E64">
      <w:pPr>
        <w:spacing w:after="120" w:line="360" w:lineRule="auto"/>
        <w:jc w:val="both"/>
        <w:rPr>
          <w:color w:val="000000"/>
        </w:rPr>
      </w:pPr>
      <w:r w:rsidRPr="00947EED">
        <w:rPr>
          <w:u w:val="single" w:color="FFFFFF" w:themeColor="background1"/>
        </w:rPr>
        <w:t>[19]</w:t>
      </w:r>
      <w:r w:rsidRPr="00947EED">
        <w:rPr>
          <w:u w:val="single" w:color="FFFFFF" w:themeColor="background1"/>
        </w:rPr>
        <w:tab/>
      </w:r>
      <w:r w:rsidR="002F5CF6" w:rsidRPr="00005E64">
        <w:rPr>
          <w:rFonts w:cs="Arial"/>
          <w:lang w:val="en-US"/>
        </w:rPr>
        <w:t xml:space="preserve">The principle of interpretation of contracts in our law is well established and has been pronounced upon in a number of our court's decisions. In </w:t>
      </w:r>
      <w:r w:rsidR="00947EED" w:rsidRPr="00005E64">
        <w:rPr>
          <w:rFonts w:cs="Arial"/>
          <w:i/>
          <w:lang w:val="en-US"/>
        </w:rPr>
        <w:t>FirstRand</w:t>
      </w:r>
      <w:r w:rsidR="002F5CF6" w:rsidRPr="00005E64">
        <w:rPr>
          <w:rFonts w:cs="Arial"/>
          <w:i/>
          <w:lang w:val="en-US"/>
        </w:rPr>
        <w:t xml:space="preserve"> Bank </w:t>
      </w:r>
      <w:r w:rsidR="00947EED" w:rsidRPr="00005E64">
        <w:rPr>
          <w:rFonts w:cs="Arial"/>
          <w:i/>
          <w:lang w:val="en-US"/>
        </w:rPr>
        <w:t>Ltd</w:t>
      </w:r>
      <w:r w:rsidR="002F5CF6" w:rsidRPr="00005E64">
        <w:rPr>
          <w:rFonts w:cs="Arial"/>
          <w:i/>
          <w:lang w:val="en-US"/>
        </w:rPr>
        <w:t xml:space="preserve"> v</w:t>
      </w:r>
      <w:r w:rsidR="002F5CF6" w:rsidRPr="00005E64">
        <w:rPr>
          <w:rFonts w:cs="Arial"/>
          <w:lang w:val="en-US"/>
        </w:rPr>
        <w:t xml:space="preserve"> </w:t>
      </w:r>
      <w:r w:rsidR="002F5CF6" w:rsidRPr="00005E64">
        <w:rPr>
          <w:rFonts w:cs="Arial"/>
          <w:i/>
          <w:lang w:val="en-US"/>
        </w:rPr>
        <w:t>KJ Foods</w:t>
      </w:r>
      <w:r w:rsidR="002F5CF6" w:rsidRPr="00005E64">
        <w:rPr>
          <w:rFonts w:cs="Arial"/>
          <w:lang w:val="en-US"/>
        </w:rPr>
        <w:t>,</w:t>
      </w:r>
      <w:r w:rsidR="002F5CF6">
        <w:rPr>
          <w:rStyle w:val="FootnoteReference"/>
          <w:rFonts w:cs="Arial"/>
          <w:lang w:val="en-US"/>
        </w:rPr>
        <w:footnoteReference w:id="4"/>
      </w:r>
      <w:r w:rsidR="002F5CF6" w:rsidRPr="00005E64">
        <w:rPr>
          <w:rFonts w:cs="Arial"/>
          <w:lang w:val="en-US"/>
        </w:rPr>
        <w:t xml:space="preserve"> the Supreme Court of Appeal held that in interpreting terms of contract or legislation as the case may be; the principles enunciated in </w:t>
      </w:r>
      <w:r w:rsidR="002F5CF6" w:rsidRPr="00005E64">
        <w:rPr>
          <w:rFonts w:cs="Arial"/>
          <w:i/>
          <w:lang w:val="en-US"/>
        </w:rPr>
        <w:t>Natal</w:t>
      </w:r>
      <w:r w:rsidR="002F5CF6" w:rsidRPr="00005E64">
        <w:rPr>
          <w:rFonts w:cs="Arial"/>
          <w:lang w:val="en-US"/>
        </w:rPr>
        <w:t xml:space="preserve"> </w:t>
      </w:r>
      <w:r w:rsidR="002F5CF6" w:rsidRPr="00005E64">
        <w:rPr>
          <w:rFonts w:cs="Arial"/>
          <w:i/>
          <w:lang w:val="en-US"/>
        </w:rPr>
        <w:t>Joint Municipal Pension Fund v Endumeni Municipality</w:t>
      </w:r>
      <w:r w:rsidR="002F5CF6">
        <w:rPr>
          <w:rStyle w:val="FootnoteReference"/>
          <w:rFonts w:cs="Arial"/>
          <w:i/>
          <w:lang w:val="en-US"/>
        </w:rPr>
        <w:footnoteReference w:id="5"/>
      </w:r>
      <w:r w:rsidR="002F5CF6" w:rsidRPr="00005E64">
        <w:rPr>
          <w:rFonts w:cs="Arial"/>
          <w:i/>
          <w:lang w:val="en-US"/>
        </w:rPr>
        <w:t xml:space="preserve"> </w:t>
      </w:r>
      <w:r w:rsidR="002F5CF6" w:rsidRPr="00005E64">
        <w:rPr>
          <w:rFonts w:cs="Arial"/>
          <w:lang w:val="en-US"/>
        </w:rPr>
        <w:t>and</w:t>
      </w:r>
      <w:r w:rsidR="002F5CF6" w:rsidRPr="00005E64">
        <w:rPr>
          <w:rFonts w:cs="Arial"/>
          <w:i/>
          <w:lang w:val="en-US"/>
        </w:rPr>
        <w:t xml:space="preserve"> </w:t>
      </w:r>
      <w:r w:rsidR="00947EED" w:rsidRPr="00005E64">
        <w:rPr>
          <w:rFonts w:cs="Arial"/>
          <w:i/>
          <w:lang w:val="en-US"/>
        </w:rPr>
        <w:t>Novartis</w:t>
      </w:r>
      <w:r w:rsidR="002F5CF6" w:rsidRPr="00005E64">
        <w:rPr>
          <w:rFonts w:cs="Arial"/>
          <w:i/>
          <w:lang w:val="en-US"/>
        </w:rPr>
        <w:t xml:space="preserve"> SA</w:t>
      </w:r>
      <w:r w:rsidR="00947EED" w:rsidRPr="00005E64">
        <w:rPr>
          <w:rFonts w:cs="Arial"/>
          <w:i/>
          <w:lang w:val="en-US"/>
        </w:rPr>
        <w:t xml:space="preserve"> (Pty) </w:t>
      </w:r>
      <w:r w:rsidR="002F5CF6" w:rsidRPr="00005E64">
        <w:rPr>
          <w:rFonts w:cs="Arial"/>
          <w:i/>
          <w:lang w:val="en-US"/>
        </w:rPr>
        <w:t>Ltd v Maphil Trading (</w:t>
      </w:r>
      <w:r w:rsidR="00947EED" w:rsidRPr="00005E64">
        <w:rPr>
          <w:rFonts w:cs="Arial"/>
          <w:i/>
          <w:lang w:val="en-US"/>
        </w:rPr>
        <w:t>Pty</w:t>
      </w:r>
      <w:r w:rsidR="002F5CF6" w:rsidRPr="00005E64">
        <w:rPr>
          <w:rFonts w:cs="Arial"/>
          <w:i/>
          <w:lang w:val="en-US"/>
        </w:rPr>
        <w:t>) Ltd</w:t>
      </w:r>
      <w:r w:rsidR="002F5CF6">
        <w:rPr>
          <w:rStyle w:val="FootnoteReference"/>
          <w:rFonts w:cs="Arial"/>
          <w:i/>
          <w:lang w:val="en-US"/>
        </w:rPr>
        <w:footnoteReference w:id="6"/>
      </w:r>
      <w:r w:rsidR="00947EED" w:rsidRPr="00005E64">
        <w:rPr>
          <w:rFonts w:cs="Arial"/>
          <w:lang w:val="en-US"/>
        </w:rPr>
        <w:t xml:space="preserve"> find application. </w:t>
      </w:r>
      <w:r w:rsidR="002F5CF6" w:rsidRPr="00005E64">
        <w:rPr>
          <w:rFonts w:cs="Arial"/>
          <w:lang w:val="en-US"/>
        </w:rPr>
        <w:t>Furtherm</w:t>
      </w:r>
      <w:r w:rsidR="00947EED" w:rsidRPr="00005E64">
        <w:rPr>
          <w:rFonts w:cs="Arial"/>
          <w:lang w:val="en-US"/>
        </w:rPr>
        <w:t>ore, as was said in Endumeni, ‘</w:t>
      </w:r>
      <w:r w:rsidR="002F5CF6" w:rsidRPr="00005E64">
        <w:rPr>
          <w:rFonts w:cs="Arial"/>
          <w:i/>
          <w:lang w:val="en-US"/>
        </w:rPr>
        <w:t>a sensible meaning is to be preferred to that</w:t>
      </w:r>
      <w:r w:rsidR="00947EED" w:rsidRPr="00005E64">
        <w:rPr>
          <w:rFonts w:cs="Arial"/>
          <w:i/>
          <w:lang w:val="en-US"/>
        </w:rPr>
        <w:t xml:space="preserve"> that</w:t>
      </w:r>
      <w:r w:rsidR="002F5CF6" w:rsidRPr="00005E64">
        <w:rPr>
          <w:rFonts w:cs="Arial"/>
          <w:i/>
          <w:lang w:val="en-US"/>
        </w:rPr>
        <w:t xml:space="preserve"> leads to insensible or unbusinesslike </w:t>
      </w:r>
      <w:r w:rsidR="00B92E03" w:rsidRPr="00005E64">
        <w:rPr>
          <w:rFonts w:cs="Arial"/>
          <w:i/>
          <w:lang w:val="en-US"/>
        </w:rPr>
        <w:t>results</w:t>
      </w:r>
      <w:r w:rsidR="00B92E03" w:rsidRPr="00005E64">
        <w:rPr>
          <w:rFonts w:cs="Arial"/>
          <w:lang w:val="en-US"/>
        </w:rPr>
        <w:t>”.</w:t>
      </w:r>
    </w:p>
    <w:p w14:paraId="6EF18A2E" w14:textId="490FAB28" w:rsidR="002F5CF6" w:rsidRPr="00005E64" w:rsidRDefault="00005E64" w:rsidP="00005E64">
      <w:pPr>
        <w:spacing w:after="120" w:line="360" w:lineRule="auto"/>
        <w:jc w:val="both"/>
        <w:rPr>
          <w:color w:val="000000"/>
        </w:rPr>
      </w:pPr>
      <w:r w:rsidRPr="009649D9">
        <w:rPr>
          <w:u w:val="single" w:color="FFFFFF" w:themeColor="background1"/>
        </w:rPr>
        <w:t>[20]</w:t>
      </w:r>
      <w:r w:rsidRPr="009649D9">
        <w:rPr>
          <w:u w:val="single" w:color="FFFFFF" w:themeColor="background1"/>
        </w:rPr>
        <w:tab/>
      </w:r>
      <w:r w:rsidR="002F5CF6" w:rsidRPr="00005E64">
        <w:rPr>
          <w:rFonts w:cs="Arial"/>
          <w:lang w:val="en-US"/>
        </w:rPr>
        <w:t xml:space="preserve">What is common cause in this case is the fact that the action is between the same parties. I disagree with the </w:t>
      </w:r>
      <w:r w:rsidR="00903CAD" w:rsidRPr="00005E64">
        <w:rPr>
          <w:rFonts w:cs="Arial"/>
          <w:lang w:val="en-US"/>
        </w:rPr>
        <w:t>court</w:t>
      </w:r>
      <w:r w:rsidR="00903CAD" w:rsidRPr="00005E64">
        <w:rPr>
          <w:rFonts w:cs="Arial"/>
          <w:i/>
          <w:iCs/>
          <w:lang w:val="en-US"/>
        </w:rPr>
        <w:t xml:space="preserve"> a quo’s</w:t>
      </w:r>
      <w:r w:rsidR="00903CAD" w:rsidRPr="00005E64">
        <w:rPr>
          <w:rFonts w:cs="Arial"/>
          <w:lang w:val="en-US"/>
        </w:rPr>
        <w:t xml:space="preserve"> </w:t>
      </w:r>
      <w:r w:rsidR="002F5CF6" w:rsidRPr="00005E64">
        <w:rPr>
          <w:rFonts w:cs="Arial"/>
          <w:lang w:val="en-US"/>
        </w:rPr>
        <w:t xml:space="preserve">finding that the rest of the requirements of </w:t>
      </w:r>
      <w:r w:rsidR="002F5CF6" w:rsidRPr="00005E64">
        <w:rPr>
          <w:rFonts w:cs="Arial"/>
          <w:i/>
          <w:lang w:val="en-US"/>
        </w:rPr>
        <w:t>lis</w:t>
      </w:r>
      <w:r w:rsidR="002F5CF6" w:rsidRPr="00005E64">
        <w:rPr>
          <w:rFonts w:cs="Arial"/>
          <w:lang w:val="en-US"/>
        </w:rPr>
        <w:t xml:space="preserve"> </w:t>
      </w:r>
      <w:r w:rsidR="00947EED" w:rsidRPr="00005E64">
        <w:rPr>
          <w:rFonts w:cs="Arial"/>
          <w:i/>
          <w:lang w:val="en-US"/>
        </w:rPr>
        <w:t>pendens</w:t>
      </w:r>
      <w:r w:rsidR="002F5CF6" w:rsidRPr="00005E64">
        <w:rPr>
          <w:rFonts w:cs="Arial"/>
          <w:lang w:val="en-US"/>
        </w:rPr>
        <w:t xml:space="preserve"> have been met. This is so because the words used in the</w:t>
      </w:r>
      <w:r w:rsidR="00947EED" w:rsidRPr="00005E64">
        <w:rPr>
          <w:rFonts w:cs="Arial"/>
          <w:lang w:val="en-US"/>
        </w:rPr>
        <w:t xml:space="preserve"> above clauses are plain, clear</w:t>
      </w:r>
      <w:r w:rsidR="002F5CF6" w:rsidRPr="00005E64">
        <w:rPr>
          <w:rFonts w:cs="Arial"/>
          <w:lang w:val="en-US"/>
        </w:rPr>
        <w:t xml:space="preserve"> and unambiguous. Clause 18 postulates that the</w:t>
      </w:r>
      <w:r w:rsidR="00947EED" w:rsidRPr="00005E64">
        <w:rPr>
          <w:rFonts w:cs="Arial"/>
          <w:lang w:val="en-US"/>
        </w:rPr>
        <w:t>re</w:t>
      </w:r>
      <w:r w:rsidR="002F5CF6" w:rsidRPr="00005E64">
        <w:rPr>
          <w:rFonts w:cs="Arial"/>
          <w:lang w:val="en-US"/>
        </w:rPr>
        <w:t xml:space="preserve"> might exist a situation where there will be several events of default that </w:t>
      </w:r>
      <w:r w:rsidR="002F5CF6" w:rsidRPr="00005E64">
        <w:rPr>
          <w:rFonts w:cs="Arial"/>
          <w:lang w:val="en-US"/>
        </w:rPr>
        <w:lastRenderedPageBreak/>
        <w:t>might occur during the existence of the agreement and in the event of the occurrence of each event of such default (there are a number</w:t>
      </w:r>
      <w:r w:rsidR="00947EED" w:rsidRPr="00005E64">
        <w:rPr>
          <w:rFonts w:cs="Arial"/>
          <w:lang w:val="en-US"/>
        </w:rPr>
        <w:t xml:space="preserve"> listed in the loan agreement, </w:t>
      </w:r>
      <w:r w:rsidR="002F5CF6" w:rsidRPr="00005E64">
        <w:rPr>
          <w:rFonts w:cs="Arial"/>
          <w:lang w:val="en-US"/>
        </w:rPr>
        <w:t>I quoted only three above</w:t>
      </w:r>
      <w:r w:rsidR="00947EED" w:rsidRPr="00005E64">
        <w:rPr>
          <w:rFonts w:cs="Arial"/>
          <w:lang w:val="en-US"/>
        </w:rPr>
        <w:t>)</w:t>
      </w:r>
      <w:r w:rsidR="002F5CF6" w:rsidRPr="00005E64">
        <w:rPr>
          <w:rFonts w:cs="Arial"/>
          <w:lang w:val="en-US"/>
        </w:rPr>
        <w:t>, which are relevant to this case, then in that situation, the loan agreement expressly grant TUHF the right sue. In other words, the fact that the appellant had issued the first application is no bar, precluding TUHF from launching a separate application if a new event of breach arises.</w:t>
      </w:r>
    </w:p>
    <w:p w14:paraId="453165B9" w14:textId="29C3046A" w:rsidR="002F5CF6" w:rsidRPr="00005E64" w:rsidRDefault="00005E64" w:rsidP="00005E64">
      <w:pPr>
        <w:spacing w:after="120" w:line="360" w:lineRule="auto"/>
        <w:jc w:val="both"/>
        <w:rPr>
          <w:color w:val="000000"/>
        </w:rPr>
      </w:pPr>
      <w:r w:rsidRPr="009649D9">
        <w:rPr>
          <w:u w:val="single" w:color="FFFFFF" w:themeColor="background1"/>
        </w:rPr>
        <w:t>[21]</w:t>
      </w:r>
      <w:r w:rsidRPr="009649D9">
        <w:rPr>
          <w:u w:val="single" w:color="FFFFFF" w:themeColor="background1"/>
        </w:rPr>
        <w:tab/>
      </w:r>
      <w:r w:rsidR="002F5CF6" w:rsidRPr="00005E64">
        <w:rPr>
          <w:rFonts w:cs="Arial"/>
          <w:lang w:val="en-US"/>
        </w:rPr>
        <w:t>Furthermore, the events of default in the first application have no bearing and are completely unrelated to the events of default in the second application.  In the first application, TUHF sought an order claiming the repayments of the monies lent and advanced to the respondents. In the second application, the appellant’s application is based on two claims. TUHF’s first claim is founded on the basis that the respondent's evidence of an intention to breach the loan agreement by the respondents alleging that the second respondent’s suretys</w:t>
      </w:r>
      <w:r w:rsidR="009649D9" w:rsidRPr="00005E64">
        <w:rPr>
          <w:rFonts w:cs="Arial"/>
          <w:lang w:val="en-US"/>
        </w:rPr>
        <w:t>hip was void and the respondent</w:t>
      </w:r>
      <w:r w:rsidR="002F5CF6" w:rsidRPr="00005E64">
        <w:rPr>
          <w:rFonts w:cs="Arial"/>
          <w:lang w:val="en-US"/>
        </w:rPr>
        <w:t>s</w:t>
      </w:r>
      <w:r w:rsidR="009649D9" w:rsidRPr="00005E64">
        <w:rPr>
          <w:rFonts w:cs="Arial"/>
          <w:lang w:val="en-US"/>
        </w:rPr>
        <w:t>’</w:t>
      </w:r>
      <w:r w:rsidR="002F5CF6" w:rsidRPr="00005E64">
        <w:rPr>
          <w:rFonts w:cs="Arial"/>
          <w:lang w:val="en-US"/>
        </w:rPr>
        <w:t xml:space="preserve"> failure to remedy this breach by restoring the security to TUHF (the security breach). The second claim is the short payment, which is the failure by the respondents to pay the full monthly installments due for May and June 2020, in terms of the loan agreement. The cause of action is therefore the money judgment (the short payment).</w:t>
      </w:r>
    </w:p>
    <w:p w14:paraId="269DDF06" w14:textId="7EC1264F" w:rsidR="002F5CF6" w:rsidRPr="00005E64" w:rsidRDefault="00005E64" w:rsidP="00005E64">
      <w:pPr>
        <w:spacing w:after="120" w:line="360" w:lineRule="auto"/>
        <w:jc w:val="both"/>
        <w:rPr>
          <w:color w:val="000000"/>
        </w:rPr>
      </w:pPr>
      <w:r w:rsidRPr="009649D9">
        <w:rPr>
          <w:u w:val="single" w:color="FFFFFF" w:themeColor="background1"/>
        </w:rPr>
        <w:t>[22]</w:t>
      </w:r>
      <w:r w:rsidRPr="009649D9">
        <w:rPr>
          <w:u w:val="single" w:color="FFFFFF" w:themeColor="background1"/>
        </w:rPr>
        <w:tab/>
      </w:r>
      <w:r w:rsidR="002F5CF6" w:rsidRPr="00005E64">
        <w:rPr>
          <w:rFonts w:cs="Arial"/>
          <w:lang w:val="en-US"/>
        </w:rPr>
        <w:t xml:space="preserve">In general, contracting parties possess enough freedom in choosing how they structure their agreements, and it is not the function of the court to protect consenting parties from bad bargains. The established principle of our law of contract is that legal certainty and the notion of </w:t>
      </w:r>
      <w:r w:rsidR="002F5CF6" w:rsidRPr="00005E64">
        <w:rPr>
          <w:rFonts w:cs="Arial"/>
          <w:i/>
          <w:lang w:val="en-US"/>
        </w:rPr>
        <w:t>pacta sunt serv</w:t>
      </w:r>
      <w:r w:rsidR="009649D9" w:rsidRPr="00005E64">
        <w:rPr>
          <w:rFonts w:cs="Arial"/>
          <w:i/>
          <w:lang w:val="en-US"/>
        </w:rPr>
        <w:t>a</w:t>
      </w:r>
      <w:r w:rsidR="002F5CF6" w:rsidRPr="00005E64">
        <w:rPr>
          <w:rFonts w:cs="Arial"/>
          <w:i/>
          <w:lang w:val="en-US"/>
        </w:rPr>
        <w:t xml:space="preserve">nda </w:t>
      </w:r>
      <w:r w:rsidR="002F5CF6" w:rsidRPr="00005E64">
        <w:rPr>
          <w:rFonts w:cs="Arial"/>
          <w:lang w:val="en-US"/>
        </w:rPr>
        <w:t>must always be honored and enforced by our courts.</w:t>
      </w:r>
    </w:p>
    <w:p w14:paraId="3585FDA4" w14:textId="3341F4D7" w:rsidR="002F5CF6" w:rsidRPr="00005E64" w:rsidRDefault="00005E64" w:rsidP="00005E64">
      <w:pPr>
        <w:spacing w:after="120" w:line="360" w:lineRule="auto"/>
        <w:jc w:val="both"/>
        <w:rPr>
          <w:color w:val="000000"/>
        </w:rPr>
      </w:pPr>
      <w:r w:rsidRPr="009649D9">
        <w:rPr>
          <w:u w:val="single" w:color="FFFFFF" w:themeColor="background1"/>
        </w:rPr>
        <w:t>[23]</w:t>
      </w:r>
      <w:r w:rsidRPr="009649D9">
        <w:rPr>
          <w:u w:val="single" w:color="FFFFFF" w:themeColor="background1"/>
        </w:rPr>
        <w:tab/>
      </w:r>
      <w:r w:rsidR="002F5CF6" w:rsidRPr="00005E64">
        <w:rPr>
          <w:rFonts w:cs="Arial"/>
          <w:lang w:val="en-US"/>
        </w:rPr>
        <w:t>It is therefore evident that the facts and questions that had to be answered in the first application are different from the issues that had to be determined by the court in the second application</w:t>
      </w:r>
      <w:r w:rsidR="009649D9" w:rsidRPr="00005E64">
        <w:rPr>
          <w:rFonts w:cs="Arial"/>
          <w:lang w:val="en-US"/>
        </w:rPr>
        <w:t>,</w:t>
      </w:r>
      <w:r w:rsidR="002F5CF6" w:rsidRPr="00005E64">
        <w:rPr>
          <w:rFonts w:cs="Arial"/>
          <w:lang w:val="en-US"/>
        </w:rPr>
        <w:t xml:space="preserve"> i.e. the security breach and the rental short payment.</w:t>
      </w:r>
    </w:p>
    <w:p w14:paraId="3BAC2F5D" w14:textId="3B0AADE8" w:rsidR="002F5CF6" w:rsidRPr="00005E64" w:rsidRDefault="00005E64" w:rsidP="00005E64">
      <w:pPr>
        <w:spacing w:after="240" w:line="360" w:lineRule="auto"/>
        <w:jc w:val="both"/>
        <w:rPr>
          <w:color w:val="000000"/>
        </w:rPr>
      </w:pPr>
      <w:r w:rsidRPr="009649D9">
        <w:rPr>
          <w:u w:val="single" w:color="FFFFFF" w:themeColor="background1"/>
        </w:rPr>
        <w:lastRenderedPageBreak/>
        <w:t>[24]</w:t>
      </w:r>
      <w:r w:rsidRPr="009649D9">
        <w:rPr>
          <w:u w:val="single" w:color="FFFFFF" w:themeColor="background1"/>
        </w:rPr>
        <w:tab/>
      </w:r>
      <w:r w:rsidR="002F5CF6" w:rsidRPr="00005E64">
        <w:rPr>
          <w:rFonts w:cs="Arial"/>
          <w:lang w:val="en-US"/>
        </w:rPr>
        <w:t xml:space="preserve">In </w:t>
      </w:r>
      <w:r w:rsidR="002F5CF6" w:rsidRPr="00005E64">
        <w:rPr>
          <w:rFonts w:cs="Arial"/>
          <w:i/>
          <w:lang w:val="en-US"/>
        </w:rPr>
        <w:t>National Union of Metal Workers of SA &amp; Others v Bumatech Calcium</w:t>
      </w:r>
      <w:r w:rsidR="002F5CF6" w:rsidRPr="00005E64">
        <w:rPr>
          <w:rFonts w:cs="Arial"/>
          <w:lang w:val="en-US"/>
        </w:rPr>
        <w:t xml:space="preserve"> </w:t>
      </w:r>
      <w:r w:rsidR="002F5CF6" w:rsidRPr="00005E64">
        <w:rPr>
          <w:rFonts w:cs="Arial"/>
          <w:i/>
          <w:lang w:val="en-US"/>
        </w:rPr>
        <w:t>Aluminates</w:t>
      </w:r>
      <w:r w:rsidR="002F5CF6">
        <w:rPr>
          <w:rStyle w:val="FootnoteReference"/>
          <w:rFonts w:cs="Arial"/>
          <w:i/>
          <w:lang w:val="en-US"/>
        </w:rPr>
        <w:footnoteReference w:id="7"/>
      </w:r>
      <w:r w:rsidR="009649D9" w:rsidRPr="00005E64">
        <w:rPr>
          <w:rFonts w:cs="Arial"/>
          <w:lang w:val="en-US"/>
        </w:rPr>
        <w:t xml:space="preserve">, </w:t>
      </w:r>
      <w:r w:rsidR="002F5CF6" w:rsidRPr="00005E64">
        <w:rPr>
          <w:rFonts w:cs="Arial"/>
          <w:lang w:val="en-US"/>
        </w:rPr>
        <w:t xml:space="preserve">the Court held that the factual matrix in the </w:t>
      </w:r>
      <w:r w:rsidR="009649D9" w:rsidRPr="00005E64">
        <w:rPr>
          <w:rFonts w:cs="Arial"/>
          <w:lang w:val="en-US"/>
        </w:rPr>
        <w:t>two matters should be the same.</w:t>
      </w:r>
      <w:r w:rsidR="002F5CF6" w:rsidRPr="00005E64">
        <w:rPr>
          <w:rFonts w:cs="Arial"/>
          <w:lang w:val="en-US"/>
        </w:rPr>
        <w:t xml:space="preserve"> The facts alleged in this case are substantially different from the facts in the first application. As is the case in the second application, different questions had to be answere</w:t>
      </w:r>
      <w:r w:rsidR="009649D9" w:rsidRPr="00005E64">
        <w:rPr>
          <w:rFonts w:cs="Arial"/>
          <w:lang w:val="en-US"/>
        </w:rPr>
        <w:t xml:space="preserve">d in the different proceedings. </w:t>
      </w:r>
      <w:r w:rsidR="002F5CF6" w:rsidRPr="00005E64">
        <w:rPr>
          <w:rFonts w:cs="Arial"/>
          <w:lang w:val="en-US"/>
        </w:rPr>
        <w:t>In light of the above</w:t>
      </w:r>
      <w:r w:rsidR="009649D9" w:rsidRPr="00005E64">
        <w:rPr>
          <w:rFonts w:cs="Arial"/>
          <w:lang w:val="en-US"/>
        </w:rPr>
        <w:t>,</w:t>
      </w:r>
      <w:r w:rsidR="00A9372C" w:rsidRPr="00005E64">
        <w:rPr>
          <w:rFonts w:cs="Arial"/>
          <w:lang w:val="en-US"/>
        </w:rPr>
        <w:t xml:space="preserve"> the court</w:t>
      </w:r>
      <w:r w:rsidR="00A9372C" w:rsidRPr="00005E64">
        <w:rPr>
          <w:rFonts w:cs="Arial"/>
          <w:i/>
          <w:iCs/>
          <w:lang w:val="en-US"/>
        </w:rPr>
        <w:t xml:space="preserve"> a quo</w:t>
      </w:r>
      <w:r w:rsidR="002F5CF6" w:rsidRPr="00005E64">
        <w:rPr>
          <w:rFonts w:cs="Arial"/>
          <w:i/>
          <w:iCs/>
          <w:lang w:val="en-US"/>
        </w:rPr>
        <w:t xml:space="preserve"> </w:t>
      </w:r>
      <w:r w:rsidR="00A9372C" w:rsidRPr="00005E64">
        <w:rPr>
          <w:rFonts w:cs="Arial"/>
          <w:lang w:val="en-US"/>
        </w:rPr>
        <w:t xml:space="preserve">misdirected itself by </w:t>
      </w:r>
      <w:r w:rsidR="002F5CF6" w:rsidRPr="00005E64">
        <w:rPr>
          <w:rFonts w:cs="Arial"/>
          <w:lang w:val="en-US"/>
        </w:rPr>
        <w:t xml:space="preserve">upholding the respondent's special plea of </w:t>
      </w:r>
      <w:r w:rsidR="002F5CF6" w:rsidRPr="00005E64">
        <w:rPr>
          <w:rFonts w:cs="Arial"/>
          <w:i/>
          <w:lang w:val="en-US"/>
        </w:rPr>
        <w:t>lis pendens</w:t>
      </w:r>
      <w:r w:rsidR="002F5CF6" w:rsidRPr="00005E64">
        <w:rPr>
          <w:rFonts w:cs="Arial"/>
          <w:lang w:val="en-US"/>
        </w:rPr>
        <w:t>.</w:t>
      </w:r>
    </w:p>
    <w:p w14:paraId="73F0A1F4" w14:textId="42A24463" w:rsidR="002F5CF6" w:rsidRPr="009649D9" w:rsidRDefault="009649D9" w:rsidP="00792047">
      <w:pPr>
        <w:pStyle w:val="ListParagraph"/>
        <w:keepNext/>
        <w:spacing w:after="120" w:line="360" w:lineRule="auto"/>
        <w:ind w:left="0"/>
        <w:jc w:val="both"/>
        <w:rPr>
          <w:color w:val="000000"/>
        </w:rPr>
      </w:pPr>
      <w:r w:rsidRPr="009649D9">
        <w:rPr>
          <w:rFonts w:cs="Arial"/>
          <w:b/>
          <w:lang w:val="en-US"/>
        </w:rPr>
        <w:t>The Suretyship Agreement</w:t>
      </w:r>
    </w:p>
    <w:p w14:paraId="256568B3" w14:textId="1FE9288F" w:rsidR="002F5CF6" w:rsidRPr="00005E64" w:rsidRDefault="00005E64" w:rsidP="00005E64">
      <w:pPr>
        <w:spacing w:after="120" w:line="360" w:lineRule="auto"/>
        <w:jc w:val="both"/>
        <w:rPr>
          <w:color w:val="000000"/>
        </w:rPr>
      </w:pPr>
      <w:r w:rsidRPr="009649D9">
        <w:rPr>
          <w:u w:val="single" w:color="FFFFFF" w:themeColor="background1"/>
        </w:rPr>
        <w:t>[25]</w:t>
      </w:r>
      <w:r w:rsidRPr="009649D9">
        <w:rPr>
          <w:u w:val="single" w:color="FFFFFF" w:themeColor="background1"/>
        </w:rPr>
        <w:tab/>
      </w:r>
      <w:r w:rsidR="002F5CF6" w:rsidRPr="00005E64">
        <w:rPr>
          <w:rFonts w:cs="Arial"/>
          <w:lang w:val="en-US"/>
        </w:rPr>
        <w:t>The issue for determination in this regard was whether the claim by the respondents that the second respondent’s suretyship agreement was void, was an event of default or breach of t</w:t>
      </w:r>
      <w:r w:rsidR="009649D9" w:rsidRPr="00005E64">
        <w:rPr>
          <w:rFonts w:cs="Arial"/>
          <w:lang w:val="en-US"/>
        </w:rPr>
        <w:t>he loan agreement that entitled</w:t>
      </w:r>
      <w:r w:rsidR="002F5CF6" w:rsidRPr="00005E64">
        <w:rPr>
          <w:rFonts w:cs="Arial"/>
          <w:lang w:val="en-US"/>
        </w:rPr>
        <w:t xml:space="preserve"> </w:t>
      </w:r>
      <w:r w:rsidR="009649D9" w:rsidRPr="00005E64">
        <w:rPr>
          <w:rFonts w:cs="Arial"/>
          <w:lang w:val="en-US"/>
        </w:rPr>
        <w:t>T</w:t>
      </w:r>
      <w:r w:rsidR="002F5CF6" w:rsidRPr="00005E64">
        <w:rPr>
          <w:rFonts w:cs="Arial"/>
          <w:lang w:val="en-US"/>
        </w:rPr>
        <w:t xml:space="preserve">UHF to launch the second application. It should be noted that the </w:t>
      </w:r>
      <w:r w:rsidR="00A9372C" w:rsidRPr="00005E64">
        <w:rPr>
          <w:rFonts w:cs="Arial"/>
          <w:lang w:val="en-US"/>
        </w:rPr>
        <w:t>c</w:t>
      </w:r>
      <w:r w:rsidR="002F5CF6" w:rsidRPr="00005E64">
        <w:rPr>
          <w:rFonts w:cs="Arial"/>
          <w:lang w:val="en-US"/>
        </w:rPr>
        <w:t>ourt</w:t>
      </w:r>
      <w:r w:rsidR="00A9372C" w:rsidRPr="00005E64">
        <w:rPr>
          <w:rFonts w:cs="Arial"/>
          <w:i/>
          <w:iCs/>
          <w:lang w:val="en-US"/>
        </w:rPr>
        <w:t xml:space="preserve"> a quo</w:t>
      </w:r>
      <w:r w:rsidR="002F5CF6" w:rsidRPr="00005E64">
        <w:rPr>
          <w:rFonts w:cs="Arial"/>
          <w:lang w:val="en-US"/>
        </w:rPr>
        <w:t xml:space="preserve"> did not pronounce on this issue and it thus stands to be determined in this appeal.</w:t>
      </w:r>
    </w:p>
    <w:p w14:paraId="2D0ACB65" w14:textId="57542C22" w:rsidR="002F5CF6" w:rsidRPr="00005E64" w:rsidRDefault="00005E64" w:rsidP="00005E64">
      <w:pPr>
        <w:spacing w:after="120" w:line="360" w:lineRule="auto"/>
        <w:jc w:val="both"/>
        <w:rPr>
          <w:color w:val="000000"/>
        </w:rPr>
      </w:pPr>
      <w:r w:rsidRPr="009649D9">
        <w:rPr>
          <w:u w:val="single" w:color="FFFFFF" w:themeColor="background1"/>
        </w:rPr>
        <w:t>[26]</w:t>
      </w:r>
      <w:r w:rsidRPr="009649D9">
        <w:rPr>
          <w:u w:val="single" w:color="FFFFFF" w:themeColor="background1"/>
        </w:rPr>
        <w:tab/>
      </w:r>
      <w:r w:rsidR="002F5CF6" w:rsidRPr="00005E64">
        <w:rPr>
          <w:rFonts w:cs="Arial"/>
          <w:lang w:val="en-US"/>
        </w:rPr>
        <w:t xml:space="preserve">The case made </w:t>
      </w:r>
      <w:r w:rsidR="009649D9" w:rsidRPr="00005E64">
        <w:rPr>
          <w:rFonts w:cs="Arial"/>
          <w:lang w:val="en-US"/>
        </w:rPr>
        <w:t xml:space="preserve">out </w:t>
      </w:r>
      <w:r w:rsidR="002F5CF6" w:rsidRPr="00005E64">
        <w:rPr>
          <w:rFonts w:cs="Arial"/>
          <w:lang w:val="en-US"/>
        </w:rPr>
        <w:t xml:space="preserve">by the appellant is that the claim by the respondents that the second respondent's suretyship agreement is void in terms of sections 45(6) and 46 of the Companies Act 2008, is evidence of an intention to repudiate the provisions of the loan agreement. TUHF says that despite </w:t>
      </w:r>
      <w:r w:rsidR="009649D9" w:rsidRPr="00005E64">
        <w:rPr>
          <w:rFonts w:cs="Arial"/>
          <w:lang w:val="en-US"/>
        </w:rPr>
        <w:t xml:space="preserve">its </w:t>
      </w:r>
      <w:r w:rsidR="002F5CF6" w:rsidRPr="00005E64">
        <w:rPr>
          <w:rFonts w:cs="Arial"/>
          <w:lang w:val="en-US"/>
        </w:rPr>
        <w:t>efforts in requesting the respondents to correct the aforesaid breach and restore the security or at the least to provide alternative security, the respondents have failed to correct the aforesaid breach. As a result, TUHF insists that it had no option but to launch the second application.</w:t>
      </w:r>
    </w:p>
    <w:p w14:paraId="6143992B" w14:textId="0154C551" w:rsidR="002F5CF6" w:rsidRPr="00005E64" w:rsidRDefault="00005E64" w:rsidP="00005E64">
      <w:pPr>
        <w:spacing w:after="120" w:line="360" w:lineRule="auto"/>
        <w:jc w:val="both"/>
        <w:rPr>
          <w:color w:val="000000"/>
        </w:rPr>
      </w:pPr>
      <w:r w:rsidRPr="008966A5">
        <w:rPr>
          <w:u w:val="single" w:color="FFFFFF" w:themeColor="background1"/>
        </w:rPr>
        <w:t>[27]</w:t>
      </w:r>
      <w:r w:rsidRPr="008966A5">
        <w:rPr>
          <w:u w:val="single" w:color="FFFFFF" w:themeColor="background1"/>
        </w:rPr>
        <w:tab/>
      </w:r>
      <w:r w:rsidR="002F5CF6" w:rsidRPr="00005E64">
        <w:rPr>
          <w:rFonts w:cs="Arial"/>
          <w:lang w:val="en-US"/>
        </w:rPr>
        <w:t xml:space="preserve">The </w:t>
      </w:r>
      <w:r w:rsidR="009649D9" w:rsidRPr="00005E64">
        <w:rPr>
          <w:rFonts w:cs="Arial"/>
          <w:lang w:val="en-US"/>
        </w:rPr>
        <w:t>crux of the respondent</w:t>
      </w:r>
      <w:r w:rsidR="002F5CF6" w:rsidRPr="00005E64">
        <w:rPr>
          <w:rFonts w:cs="Arial"/>
          <w:lang w:val="en-US"/>
        </w:rPr>
        <w:t>s</w:t>
      </w:r>
      <w:r w:rsidR="009649D9" w:rsidRPr="00005E64">
        <w:rPr>
          <w:rFonts w:cs="Arial"/>
          <w:lang w:val="en-US"/>
        </w:rPr>
        <w:t>’</w:t>
      </w:r>
      <w:r w:rsidR="002F5CF6" w:rsidRPr="00005E64">
        <w:rPr>
          <w:rFonts w:cs="Arial"/>
          <w:lang w:val="en-US"/>
        </w:rPr>
        <w:t xml:space="preserve"> submission is that the</w:t>
      </w:r>
      <w:r w:rsidR="009649D9" w:rsidRPr="00005E64">
        <w:rPr>
          <w:rFonts w:cs="Arial"/>
          <w:lang w:val="en-US"/>
        </w:rPr>
        <w:t>y</w:t>
      </w:r>
      <w:r w:rsidR="002F5CF6" w:rsidRPr="00005E64">
        <w:rPr>
          <w:rFonts w:cs="Arial"/>
          <w:lang w:val="en-US"/>
        </w:rPr>
        <w:t xml:space="preserve"> could only repudiate the second respondent's suretyship if the respondents</w:t>
      </w:r>
      <w:r w:rsidR="00A9372C" w:rsidRPr="00005E64">
        <w:rPr>
          <w:rFonts w:cs="Arial"/>
          <w:lang w:val="en-US"/>
        </w:rPr>
        <w:t>’</w:t>
      </w:r>
      <w:r w:rsidR="002F5CF6" w:rsidRPr="00005E64">
        <w:rPr>
          <w:rFonts w:cs="Arial"/>
          <w:lang w:val="en-US"/>
        </w:rPr>
        <w:t xml:space="preserve"> assertion that the suretyship is void</w:t>
      </w:r>
      <w:r w:rsidR="009649D9" w:rsidRPr="00005E64">
        <w:rPr>
          <w:rFonts w:cs="Arial"/>
          <w:lang w:val="en-US"/>
        </w:rPr>
        <w:t>,</w:t>
      </w:r>
      <w:r w:rsidR="002F5CF6" w:rsidRPr="00005E64">
        <w:rPr>
          <w:rFonts w:cs="Arial"/>
          <w:lang w:val="en-US"/>
        </w:rPr>
        <w:t xml:space="preserve"> is </w:t>
      </w:r>
      <w:r w:rsidR="00B92E03" w:rsidRPr="00005E64">
        <w:rPr>
          <w:rFonts w:cs="Arial"/>
          <w:lang w:val="en-US"/>
        </w:rPr>
        <w:t>incorrect.</w:t>
      </w:r>
      <w:r w:rsidR="002F5CF6" w:rsidRPr="00005E64">
        <w:rPr>
          <w:rFonts w:cs="Arial"/>
          <w:lang w:val="en-US"/>
        </w:rPr>
        <w:t xml:space="preserve"> Finally, the respondents argue that the assertion that the surety is void in terms of the Companies </w:t>
      </w:r>
      <w:r w:rsidR="00F4580C" w:rsidRPr="00005E64">
        <w:rPr>
          <w:rFonts w:cs="Arial"/>
          <w:lang w:val="en-US"/>
        </w:rPr>
        <w:t xml:space="preserve">Act it </w:t>
      </w:r>
      <w:r w:rsidR="002F5CF6" w:rsidRPr="00005E64">
        <w:rPr>
          <w:rFonts w:cs="Arial"/>
          <w:lang w:val="en-US"/>
        </w:rPr>
        <w:t>did not constitute an event of breach in terms of clause 18.1.7 of the loan agreement.</w:t>
      </w:r>
    </w:p>
    <w:p w14:paraId="3F9AAEE1" w14:textId="732D6191" w:rsidR="002F5CF6" w:rsidRPr="00005E64" w:rsidRDefault="00005E64" w:rsidP="00005E64">
      <w:pPr>
        <w:spacing w:line="360" w:lineRule="auto"/>
        <w:jc w:val="both"/>
        <w:rPr>
          <w:color w:val="000000"/>
        </w:rPr>
      </w:pPr>
      <w:r w:rsidRPr="008966A5">
        <w:rPr>
          <w:u w:val="single" w:color="FFFFFF" w:themeColor="background1"/>
        </w:rPr>
        <w:t>[28]</w:t>
      </w:r>
      <w:r w:rsidRPr="008966A5">
        <w:rPr>
          <w:u w:val="single" w:color="FFFFFF" w:themeColor="background1"/>
        </w:rPr>
        <w:tab/>
      </w:r>
      <w:r w:rsidR="002F5CF6" w:rsidRPr="00005E64">
        <w:rPr>
          <w:rFonts w:cs="Arial"/>
          <w:lang w:val="en-US"/>
        </w:rPr>
        <w:t xml:space="preserve">It is apposite at this stage to look at the relevant provisions of the loan agreement dealing with this aspect, under the heading </w:t>
      </w:r>
      <w:r w:rsidR="008966A5" w:rsidRPr="00005E64">
        <w:rPr>
          <w:rFonts w:cs="Arial"/>
          <w:lang w:val="en-US"/>
        </w:rPr>
        <w:t>‘</w:t>
      </w:r>
      <w:r w:rsidR="002F5CF6" w:rsidRPr="00005E64">
        <w:rPr>
          <w:rFonts w:cs="Arial"/>
          <w:lang w:val="en-US"/>
        </w:rPr>
        <w:t>Events of Default</w:t>
      </w:r>
      <w:r w:rsidR="008966A5" w:rsidRPr="00005E64">
        <w:rPr>
          <w:rFonts w:cs="Arial"/>
          <w:lang w:val="en-US"/>
        </w:rPr>
        <w:t>’</w:t>
      </w:r>
      <w:r w:rsidR="002F5CF6" w:rsidRPr="00005E64">
        <w:rPr>
          <w:rFonts w:cs="Arial"/>
          <w:lang w:val="en-US"/>
        </w:rPr>
        <w:t xml:space="preserve">. Clause 18 </w:t>
      </w:r>
      <w:r w:rsidR="008966A5" w:rsidRPr="00005E64">
        <w:rPr>
          <w:rFonts w:cs="Arial"/>
          <w:lang w:val="en-US"/>
        </w:rPr>
        <w:t>reads, in the relevant, as follows: -</w:t>
      </w:r>
    </w:p>
    <w:p w14:paraId="4B62612C" w14:textId="0AE37833" w:rsidR="008966A5" w:rsidRDefault="008966A5" w:rsidP="008966A5">
      <w:pPr>
        <w:spacing w:line="360" w:lineRule="auto"/>
        <w:ind w:left="851" w:hanging="851"/>
        <w:jc w:val="both"/>
        <w:rPr>
          <w:rFonts w:cs="Arial"/>
          <w:sz w:val="20"/>
          <w:szCs w:val="20"/>
          <w:lang w:val="en-US"/>
        </w:rPr>
      </w:pPr>
      <w:r>
        <w:rPr>
          <w:rFonts w:cs="Arial"/>
          <w:iCs/>
          <w:sz w:val="20"/>
          <w:szCs w:val="20"/>
          <w:lang w:val="en-US"/>
        </w:rPr>
        <w:lastRenderedPageBreak/>
        <w:t>‘</w:t>
      </w:r>
      <w:r w:rsidRPr="008966A5">
        <w:rPr>
          <w:rFonts w:cs="Arial"/>
          <w:iCs/>
          <w:sz w:val="20"/>
          <w:szCs w:val="20"/>
          <w:lang w:val="en-US"/>
        </w:rPr>
        <w:t xml:space="preserve">18.1.7 </w:t>
      </w:r>
      <w:r>
        <w:rPr>
          <w:rFonts w:cs="Arial"/>
          <w:iCs/>
          <w:sz w:val="20"/>
          <w:szCs w:val="20"/>
          <w:lang w:val="en-US"/>
        </w:rPr>
        <w:tab/>
      </w:r>
      <w:r w:rsidRPr="008966A5">
        <w:rPr>
          <w:rFonts w:cs="Arial"/>
          <w:iCs/>
          <w:sz w:val="20"/>
          <w:szCs w:val="20"/>
          <w:lang w:val="en-US"/>
        </w:rPr>
        <w:t>the</w:t>
      </w:r>
      <w:r w:rsidRPr="008966A5">
        <w:rPr>
          <w:rFonts w:cs="Arial"/>
          <w:sz w:val="20"/>
          <w:szCs w:val="20"/>
          <w:lang w:val="en-US"/>
        </w:rPr>
        <w:t xml:space="preserve"> Borrower or any Surety breaches or repudiates or evidences an intention to repudiate any of the provisions of this Agreement or Security to which it is a party and does not remedy such breach within the applicable notice or cure period calling upon it to do so.</w:t>
      </w:r>
    </w:p>
    <w:p w14:paraId="5386F4B9" w14:textId="55BCC739" w:rsidR="008966A5" w:rsidRPr="008966A5" w:rsidRDefault="008966A5" w:rsidP="008966A5">
      <w:pPr>
        <w:spacing w:line="360" w:lineRule="auto"/>
        <w:ind w:left="851" w:hanging="851"/>
        <w:jc w:val="both"/>
        <w:rPr>
          <w:rFonts w:cs="Arial"/>
          <w:sz w:val="20"/>
          <w:szCs w:val="20"/>
          <w:lang w:val="en-US"/>
        </w:rPr>
      </w:pPr>
      <w:r>
        <w:rPr>
          <w:rFonts w:cs="Arial"/>
          <w:sz w:val="20"/>
          <w:szCs w:val="20"/>
          <w:lang w:val="en-US"/>
        </w:rPr>
        <w:tab/>
        <w:t>… … …</w:t>
      </w:r>
    </w:p>
    <w:p w14:paraId="1836B2A6" w14:textId="70D81D01" w:rsidR="008966A5" w:rsidRPr="008966A5" w:rsidRDefault="008966A5" w:rsidP="008966A5">
      <w:pPr>
        <w:spacing w:after="120" w:line="360" w:lineRule="auto"/>
        <w:ind w:left="851" w:hanging="851"/>
        <w:jc w:val="both"/>
        <w:rPr>
          <w:rFonts w:cs="Arial"/>
          <w:sz w:val="20"/>
          <w:szCs w:val="20"/>
          <w:lang w:val="en-US"/>
        </w:rPr>
      </w:pPr>
      <w:r w:rsidRPr="008966A5">
        <w:rPr>
          <w:rFonts w:cs="Arial"/>
          <w:iCs/>
          <w:sz w:val="20"/>
          <w:szCs w:val="20"/>
          <w:lang w:val="en-US"/>
        </w:rPr>
        <w:t xml:space="preserve">18.1.10 </w:t>
      </w:r>
      <w:r>
        <w:rPr>
          <w:rFonts w:cs="Arial"/>
          <w:iCs/>
          <w:sz w:val="20"/>
          <w:szCs w:val="20"/>
          <w:lang w:val="en-US"/>
        </w:rPr>
        <w:tab/>
      </w:r>
      <w:r w:rsidRPr="008966A5">
        <w:rPr>
          <w:rFonts w:cs="Arial"/>
          <w:sz w:val="20"/>
          <w:szCs w:val="20"/>
          <w:lang w:val="en-US"/>
        </w:rPr>
        <w:t>any security or any part thereof shall for any reason cease to be in full force and effect under any applicable law or any part thereof otherwise ceases to constitute valid security in respect of the relevant asset(s) or revenue, and the Borrower fails to procure the restoration of such Security or fails to provide additional security to the satisfaction of the lender within 10 (ten) business days of being required to do so or such longer</w:t>
      </w:r>
      <w:r>
        <w:rPr>
          <w:rFonts w:cs="Arial"/>
          <w:sz w:val="20"/>
          <w:szCs w:val="20"/>
          <w:lang w:val="en-US"/>
        </w:rPr>
        <w:t xml:space="preserve"> period as the Lender may agree.’</w:t>
      </w:r>
    </w:p>
    <w:p w14:paraId="62BE66B9" w14:textId="2498EC49" w:rsidR="002F5CF6" w:rsidRPr="00005E64" w:rsidRDefault="00005E64" w:rsidP="00005E64">
      <w:pPr>
        <w:spacing w:after="240" w:line="360" w:lineRule="auto"/>
        <w:jc w:val="both"/>
        <w:rPr>
          <w:color w:val="000000"/>
        </w:rPr>
      </w:pPr>
      <w:r w:rsidRPr="008966A5">
        <w:rPr>
          <w:u w:val="single" w:color="FFFFFF" w:themeColor="background1"/>
        </w:rPr>
        <w:t>[29]</w:t>
      </w:r>
      <w:r w:rsidRPr="008966A5">
        <w:rPr>
          <w:u w:val="single" w:color="FFFFFF" w:themeColor="background1"/>
        </w:rPr>
        <w:tab/>
      </w:r>
      <w:r w:rsidR="002F5CF6" w:rsidRPr="00005E64">
        <w:rPr>
          <w:rFonts w:cs="Arial"/>
          <w:lang w:val="en-US"/>
        </w:rPr>
        <w:t>In my view, a sensible and businesslike interpretation (</w:t>
      </w:r>
      <w:r w:rsidR="002F5CF6" w:rsidRPr="00005E64">
        <w:rPr>
          <w:rFonts w:cs="Arial"/>
          <w:i/>
          <w:lang w:val="en-US"/>
        </w:rPr>
        <w:t>see First Rand Bank</w:t>
      </w:r>
      <w:r w:rsidR="002F5CF6">
        <w:rPr>
          <w:rStyle w:val="FootnoteReference"/>
          <w:rFonts w:cs="Arial"/>
          <w:i/>
          <w:lang w:val="en-US"/>
        </w:rPr>
        <w:footnoteReference w:id="8"/>
      </w:r>
      <w:r w:rsidR="002F5CF6" w:rsidRPr="00005E64">
        <w:rPr>
          <w:rFonts w:cs="Arial"/>
          <w:lang w:val="en-US"/>
        </w:rPr>
        <w:t>) of the Security clause is that the duty to provide valid security rests on the respondents. There is no obligation on the appellant to investigate whether the security provided by the respondents is valid or not. The duty and</w:t>
      </w:r>
      <w:r w:rsidR="008966A5" w:rsidRPr="00005E64">
        <w:rPr>
          <w:rFonts w:cs="Arial"/>
          <w:lang w:val="en-US"/>
        </w:rPr>
        <w:t xml:space="preserve"> the</w:t>
      </w:r>
      <w:r w:rsidR="002F5CF6" w:rsidRPr="00005E64">
        <w:rPr>
          <w:rFonts w:cs="Arial"/>
          <w:lang w:val="en-US"/>
        </w:rPr>
        <w:t xml:space="preserve"> onus rest on the respondents to ensure that whatever security they provided to TUHF is valid. If, for whatever reason the respondents are alleging that the security they provided is invalid or void, then in that event, the Security clause requires the second respondent to provide additional or alternative valid security as the case may be. TUHF attempted by letter through their attorneys dated 20 September 2020 calling upon the respondents to correct the aforesaid breach and provide the appellant with additional valid security. From the evidence presented before us, the respondents have failed and refused to provide alternative valid security. Therefore, absent the restoration of such security by the respondents, (as they have done), this is tantamount to a breach of the Security </w:t>
      </w:r>
      <w:r w:rsidR="00B92E03" w:rsidRPr="00005E64">
        <w:rPr>
          <w:rFonts w:cs="Arial"/>
          <w:lang w:val="en-US"/>
        </w:rPr>
        <w:t>clause,</w:t>
      </w:r>
      <w:r w:rsidR="002F5CF6" w:rsidRPr="00005E64">
        <w:rPr>
          <w:rFonts w:cs="Arial"/>
          <w:lang w:val="en-US"/>
        </w:rPr>
        <w:t xml:space="preserve"> and it follows therefore that TUHF was in terms of clause 18.1.7 entitled to launch the second application. </w:t>
      </w:r>
    </w:p>
    <w:p w14:paraId="35B9E95F" w14:textId="6B6966B3" w:rsidR="002F5CF6" w:rsidRPr="008966A5" w:rsidRDefault="008966A5" w:rsidP="00792047">
      <w:pPr>
        <w:pStyle w:val="ListParagraph"/>
        <w:keepNext/>
        <w:spacing w:after="120" w:line="360" w:lineRule="auto"/>
        <w:ind w:left="0"/>
        <w:jc w:val="both"/>
        <w:rPr>
          <w:color w:val="000000"/>
        </w:rPr>
      </w:pPr>
      <w:r w:rsidRPr="008966A5">
        <w:rPr>
          <w:rFonts w:cs="Arial"/>
          <w:b/>
          <w:lang w:val="en-US"/>
        </w:rPr>
        <w:t>Short Payment</w:t>
      </w:r>
    </w:p>
    <w:p w14:paraId="3EB10EB2" w14:textId="458851D2" w:rsidR="002F5CF6" w:rsidRPr="00005E64" w:rsidRDefault="00005E64" w:rsidP="00005E64">
      <w:pPr>
        <w:spacing w:after="120" w:line="360" w:lineRule="auto"/>
        <w:jc w:val="both"/>
        <w:rPr>
          <w:color w:val="000000"/>
        </w:rPr>
      </w:pPr>
      <w:r w:rsidRPr="008966A5">
        <w:rPr>
          <w:u w:val="single" w:color="FFFFFF" w:themeColor="background1"/>
        </w:rPr>
        <w:t>[30]</w:t>
      </w:r>
      <w:r w:rsidRPr="008966A5">
        <w:rPr>
          <w:u w:val="single" w:color="FFFFFF" w:themeColor="background1"/>
        </w:rPr>
        <w:tab/>
      </w:r>
      <w:r w:rsidR="002F5CF6" w:rsidRPr="00005E64">
        <w:rPr>
          <w:rFonts w:cs="Arial"/>
          <w:lang w:val="en-US"/>
        </w:rPr>
        <w:t>It was a common cause between the parties that there was short payment of the rental by the respondents for the months of May to June 2</w:t>
      </w:r>
      <w:r w:rsidR="008966A5" w:rsidRPr="00005E64">
        <w:rPr>
          <w:rFonts w:cs="Arial"/>
          <w:lang w:val="en-US"/>
        </w:rPr>
        <w:t>020. In light of the respondent</w:t>
      </w:r>
      <w:r w:rsidR="002F5CF6" w:rsidRPr="00005E64">
        <w:rPr>
          <w:rFonts w:cs="Arial"/>
          <w:lang w:val="en-US"/>
        </w:rPr>
        <w:t>s</w:t>
      </w:r>
      <w:r w:rsidR="008966A5" w:rsidRPr="00005E64">
        <w:rPr>
          <w:rFonts w:cs="Arial"/>
          <w:lang w:val="en-US"/>
        </w:rPr>
        <w:t>’</w:t>
      </w:r>
      <w:r w:rsidR="002F5CF6" w:rsidRPr="00005E64">
        <w:rPr>
          <w:rFonts w:cs="Arial"/>
          <w:lang w:val="en-US"/>
        </w:rPr>
        <w:t xml:space="preserve"> rental short payment as aforesaid, TUHF demanded in a letter </w:t>
      </w:r>
      <w:r w:rsidR="002F5CF6" w:rsidRPr="00005E64">
        <w:rPr>
          <w:rFonts w:cs="Arial"/>
          <w:lang w:val="en-US"/>
        </w:rPr>
        <w:lastRenderedPageBreak/>
        <w:t xml:space="preserve">addressed to the respondents that the first respondents pay the arrear amount within </w:t>
      </w:r>
      <w:r w:rsidR="008966A5" w:rsidRPr="00005E64">
        <w:rPr>
          <w:rFonts w:cs="Arial"/>
          <w:lang w:val="en-US"/>
        </w:rPr>
        <w:t>ten</w:t>
      </w:r>
      <w:r w:rsidR="002F5CF6" w:rsidRPr="00005E64">
        <w:rPr>
          <w:rFonts w:cs="Arial"/>
          <w:lang w:val="en-US"/>
        </w:rPr>
        <w:t xml:space="preserve"> days of receipt of </w:t>
      </w:r>
      <w:r w:rsidR="008966A5" w:rsidRPr="00005E64">
        <w:rPr>
          <w:rFonts w:cs="Arial"/>
          <w:lang w:val="en-US"/>
        </w:rPr>
        <w:t>that</w:t>
      </w:r>
      <w:r w:rsidR="002F5CF6" w:rsidRPr="00005E64">
        <w:rPr>
          <w:rFonts w:cs="Arial"/>
          <w:lang w:val="en-US"/>
        </w:rPr>
        <w:t xml:space="preserve"> letter.</w:t>
      </w:r>
    </w:p>
    <w:p w14:paraId="3AED3930" w14:textId="46067F41" w:rsidR="002F5CF6" w:rsidRPr="00005E64" w:rsidRDefault="00005E64" w:rsidP="00005E64">
      <w:pPr>
        <w:spacing w:after="120" w:line="360" w:lineRule="auto"/>
        <w:jc w:val="both"/>
        <w:rPr>
          <w:color w:val="000000"/>
        </w:rPr>
      </w:pPr>
      <w:r w:rsidRPr="008966A5">
        <w:rPr>
          <w:u w:val="single" w:color="FFFFFF" w:themeColor="background1"/>
        </w:rPr>
        <w:t>[31]</w:t>
      </w:r>
      <w:r w:rsidRPr="008966A5">
        <w:rPr>
          <w:u w:val="single" w:color="FFFFFF" w:themeColor="background1"/>
        </w:rPr>
        <w:tab/>
      </w:r>
      <w:r w:rsidR="002F5CF6" w:rsidRPr="00005E64">
        <w:rPr>
          <w:rFonts w:cs="Arial"/>
          <w:lang w:val="en-US"/>
        </w:rPr>
        <w:t xml:space="preserve">Following this letter of demand, the parties engaged in negotiations to resolve the impasse. Numerous emails were exchanged between </w:t>
      </w:r>
      <w:r w:rsidR="00B92E03" w:rsidRPr="00005E64">
        <w:rPr>
          <w:rFonts w:cs="Arial"/>
          <w:lang w:val="en-US"/>
        </w:rPr>
        <w:t>them,</w:t>
      </w:r>
      <w:r w:rsidR="002F5CF6" w:rsidRPr="00005E64">
        <w:rPr>
          <w:rFonts w:cs="Arial"/>
          <w:lang w:val="en-US"/>
        </w:rPr>
        <w:t xml:space="preserve"> and it appears that there was no successful solution to this conflict, hence the launch of the second application by TUHF. The issue that arose during the trial was whether after the respondents failed to make the monthly payments there was a variation of the loan agreement between the parties that entitled the respondents to make short payments during the aforesaid months. If so, whether the email of 11 May 2020, constitutes a variation agreement and whether Mr Nano Makwela </w:t>
      </w:r>
      <w:r w:rsidR="008966A5" w:rsidRPr="00005E64">
        <w:rPr>
          <w:rFonts w:cs="Arial"/>
          <w:lang w:val="en-US"/>
        </w:rPr>
        <w:t>‘</w:t>
      </w:r>
      <w:r w:rsidR="002F5CF6" w:rsidRPr="00005E64">
        <w:rPr>
          <w:rFonts w:cs="Arial"/>
          <w:lang w:val="en-US"/>
        </w:rPr>
        <w:t>signed</w:t>
      </w:r>
      <w:r w:rsidR="008966A5" w:rsidRPr="00005E64">
        <w:rPr>
          <w:rFonts w:cs="Arial"/>
          <w:lang w:val="en-US"/>
        </w:rPr>
        <w:t>’</w:t>
      </w:r>
      <w:r w:rsidR="002F5CF6" w:rsidRPr="00005E64">
        <w:rPr>
          <w:rFonts w:cs="Arial"/>
          <w:lang w:val="en-US"/>
        </w:rPr>
        <w:t xml:space="preserve"> the email.</w:t>
      </w:r>
    </w:p>
    <w:p w14:paraId="396D6D3D" w14:textId="222CE62F" w:rsidR="00ED3B66" w:rsidRPr="00005E64" w:rsidRDefault="00005E64" w:rsidP="00005E64">
      <w:pPr>
        <w:spacing w:line="360" w:lineRule="auto"/>
        <w:jc w:val="both"/>
        <w:rPr>
          <w:color w:val="000000"/>
        </w:rPr>
      </w:pPr>
      <w:r w:rsidRPr="00ED3B66">
        <w:rPr>
          <w:u w:val="single" w:color="FFFFFF" w:themeColor="background1"/>
        </w:rPr>
        <w:t>[32]</w:t>
      </w:r>
      <w:r w:rsidRPr="00ED3B66">
        <w:rPr>
          <w:u w:val="single" w:color="FFFFFF" w:themeColor="background1"/>
        </w:rPr>
        <w:tab/>
      </w:r>
      <w:r w:rsidR="002F5CF6" w:rsidRPr="00005E64">
        <w:rPr>
          <w:rFonts w:cs="Arial"/>
          <w:lang w:val="en-US"/>
        </w:rPr>
        <w:t xml:space="preserve">In deciding this question, </w:t>
      </w:r>
      <w:r w:rsidR="00B92E03" w:rsidRPr="00005E64">
        <w:rPr>
          <w:rFonts w:cs="Arial"/>
          <w:lang w:val="en-US"/>
        </w:rPr>
        <w:t>the court</w:t>
      </w:r>
      <w:r w:rsidR="002F5CF6" w:rsidRPr="00005E64">
        <w:rPr>
          <w:rFonts w:cs="Arial"/>
          <w:lang w:val="en-US"/>
        </w:rPr>
        <w:t xml:space="preserve"> </w:t>
      </w:r>
      <w:r w:rsidR="0024396F" w:rsidRPr="00005E64">
        <w:rPr>
          <w:rFonts w:cs="Arial"/>
          <w:i/>
          <w:lang w:val="en-US"/>
        </w:rPr>
        <w:t>a quo</w:t>
      </w:r>
      <w:r w:rsidR="0024396F" w:rsidRPr="00005E64">
        <w:rPr>
          <w:rFonts w:cs="Arial"/>
          <w:lang w:val="en-US"/>
        </w:rPr>
        <w:t xml:space="preserve"> </w:t>
      </w:r>
      <w:r w:rsidR="002F5CF6" w:rsidRPr="00005E64">
        <w:rPr>
          <w:rFonts w:cs="Arial"/>
          <w:lang w:val="en-US"/>
        </w:rPr>
        <w:t>held</w:t>
      </w:r>
      <w:r w:rsidR="00ED3B66" w:rsidRPr="00005E64">
        <w:rPr>
          <w:rFonts w:cs="Arial"/>
          <w:lang w:val="en-US"/>
        </w:rPr>
        <w:t xml:space="preserve"> as follows</w:t>
      </w:r>
      <w:r w:rsidR="002F5CF6" w:rsidRPr="00005E64">
        <w:rPr>
          <w:rFonts w:cs="Arial"/>
          <w:lang w:val="en-US"/>
        </w:rPr>
        <w:t xml:space="preserve"> at [46]</w:t>
      </w:r>
      <w:r w:rsidR="00ED3B66" w:rsidRPr="00005E64">
        <w:rPr>
          <w:rFonts w:cs="Arial"/>
          <w:lang w:val="en-US"/>
        </w:rPr>
        <w:t>:</w:t>
      </w:r>
    </w:p>
    <w:p w14:paraId="6856E9E8" w14:textId="709DF948" w:rsidR="00ED3B66" w:rsidRPr="00ED3B66" w:rsidRDefault="00ED3B66" w:rsidP="00ED3B66">
      <w:pPr>
        <w:pStyle w:val="ListParagraph"/>
        <w:spacing w:after="120" w:line="360" w:lineRule="auto"/>
        <w:ind w:left="0"/>
        <w:jc w:val="both"/>
        <w:rPr>
          <w:color w:val="000000"/>
          <w:sz w:val="20"/>
          <w:szCs w:val="20"/>
        </w:rPr>
      </w:pPr>
      <w:r w:rsidRPr="00ED3B66">
        <w:rPr>
          <w:rFonts w:cs="Arial"/>
          <w:sz w:val="20"/>
          <w:szCs w:val="20"/>
          <w:lang w:val="en-US"/>
        </w:rPr>
        <w:t>‘</w:t>
      </w:r>
      <w:r w:rsidR="002F5CF6" w:rsidRPr="00ED3B66">
        <w:rPr>
          <w:rFonts w:cs="Arial"/>
          <w:sz w:val="20"/>
          <w:szCs w:val="20"/>
          <w:lang w:val="en-US"/>
        </w:rPr>
        <w:t xml:space="preserve">TUHF contends that the email by Mr Makwela in terms of which he purports to agree to the reduced payment does not comply with the loan agreement requirement on variation clause and should therefore be ignored. Because he did not attach his signature. This contention is without </w:t>
      </w:r>
      <w:r w:rsidRPr="00ED3B66">
        <w:rPr>
          <w:rFonts w:cs="Arial"/>
          <w:sz w:val="20"/>
          <w:szCs w:val="20"/>
          <w:lang w:val="en-US"/>
        </w:rPr>
        <w:t>merit;</w:t>
      </w:r>
      <w:r w:rsidR="002F5CF6" w:rsidRPr="00ED3B66">
        <w:rPr>
          <w:rFonts w:cs="Arial"/>
          <w:sz w:val="20"/>
          <w:szCs w:val="20"/>
          <w:lang w:val="en-US"/>
        </w:rPr>
        <w:t xml:space="preserve"> it loses sight of the fact that the email (email) is clearly from Mr Makwela. This is a proven fact on the papers. The bare denial does not assis</w:t>
      </w:r>
      <w:r>
        <w:rPr>
          <w:rFonts w:cs="Arial"/>
          <w:sz w:val="20"/>
          <w:szCs w:val="20"/>
          <w:lang w:val="en-US"/>
        </w:rPr>
        <w:t>t TUHF in this regard.’</w:t>
      </w:r>
    </w:p>
    <w:p w14:paraId="3A53A2A5" w14:textId="75B0FB2B" w:rsidR="00ED3B66" w:rsidRPr="00005E64" w:rsidRDefault="00005E64" w:rsidP="00005E64">
      <w:pPr>
        <w:spacing w:line="360" w:lineRule="auto"/>
        <w:jc w:val="both"/>
        <w:rPr>
          <w:color w:val="000000"/>
        </w:rPr>
      </w:pPr>
      <w:r w:rsidRPr="00ED3B66">
        <w:rPr>
          <w:u w:val="single" w:color="FFFFFF" w:themeColor="background1"/>
        </w:rPr>
        <w:t>[33]</w:t>
      </w:r>
      <w:r w:rsidRPr="00ED3B66">
        <w:rPr>
          <w:u w:val="single" w:color="FFFFFF" w:themeColor="background1"/>
        </w:rPr>
        <w:tab/>
      </w:r>
      <w:r w:rsidR="002F5CF6" w:rsidRPr="00005E64">
        <w:rPr>
          <w:rFonts w:cs="Arial"/>
          <w:lang w:val="en-US"/>
        </w:rPr>
        <w:t xml:space="preserve"> </w:t>
      </w:r>
      <w:r w:rsidR="0085497D" w:rsidRPr="00005E64">
        <w:rPr>
          <w:rFonts w:cs="Arial"/>
          <w:lang w:val="en-US"/>
        </w:rPr>
        <w:t xml:space="preserve">The court </w:t>
      </w:r>
      <w:r w:rsidR="0085497D" w:rsidRPr="00005E64">
        <w:rPr>
          <w:rFonts w:cs="Arial"/>
          <w:i/>
          <w:lang w:val="en-US"/>
        </w:rPr>
        <w:t>a quo</w:t>
      </w:r>
      <w:r w:rsidR="0085497D" w:rsidRPr="00005E64">
        <w:rPr>
          <w:rFonts w:cs="Arial"/>
          <w:lang w:val="en-US"/>
        </w:rPr>
        <w:t xml:space="preserve"> </w:t>
      </w:r>
      <w:r w:rsidR="002F5CF6" w:rsidRPr="00005E64">
        <w:rPr>
          <w:rFonts w:cs="Arial"/>
          <w:lang w:val="en-US"/>
        </w:rPr>
        <w:t>continued at [50] and held</w:t>
      </w:r>
      <w:r w:rsidR="00ED3B66" w:rsidRPr="00005E64">
        <w:rPr>
          <w:rFonts w:cs="Arial"/>
          <w:lang w:val="en-US"/>
        </w:rPr>
        <w:t xml:space="preserve">: - </w:t>
      </w:r>
    </w:p>
    <w:p w14:paraId="02ADDF57" w14:textId="55829D66" w:rsidR="002F5CF6" w:rsidRPr="00ED3B66" w:rsidRDefault="00ED3B66" w:rsidP="00ED3B66">
      <w:pPr>
        <w:pStyle w:val="ListParagraph"/>
        <w:spacing w:after="120" w:line="360" w:lineRule="auto"/>
        <w:ind w:left="0"/>
        <w:jc w:val="both"/>
        <w:rPr>
          <w:color w:val="000000"/>
          <w:sz w:val="20"/>
          <w:szCs w:val="20"/>
        </w:rPr>
      </w:pPr>
      <w:r w:rsidRPr="00ED3B66">
        <w:rPr>
          <w:rFonts w:cs="Arial"/>
          <w:sz w:val="20"/>
          <w:szCs w:val="20"/>
          <w:lang w:val="en-US"/>
        </w:rPr>
        <w:t>‘</w:t>
      </w:r>
      <w:r w:rsidR="002F5CF6" w:rsidRPr="00ED3B66">
        <w:rPr>
          <w:rFonts w:cs="Arial"/>
          <w:sz w:val="20"/>
          <w:szCs w:val="20"/>
          <w:lang w:val="en-US"/>
        </w:rPr>
        <w:t>Having regard to the contents of the quote</w:t>
      </w:r>
      <w:r>
        <w:rPr>
          <w:rFonts w:cs="Arial"/>
          <w:sz w:val="20"/>
          <w:szCs w:val="20"/>
          <w:lang w:val="en-US"/>
        </w:rPr>
        <w:t>d</w:t>
      </w:r>
      <w:r w:rsidR="002F5CF6" w:rsidRPr="00ED3B66">
        <w:rPr>
          <w:rFonts w:cs="Arial"/>
          <w:sz w:val="20"/>
          <w:szCs w:val="20"/>
          <w:lang w:val="en-US"/>
        </w:rPr>
        <w:t xml:space="preserve"> email exchanges between the parties and the dispute of fact raised by the respondents based on the said emails, I am not persuaded that the dispute of fact is so far-fetched that it must be rejected on the papers. I hold the view that the first respondent was justified in making reduced payments in accordance with what was proposed and with the rental collected for each property. It follows</w:t>
      </w:r>
      <w:r>
        <w:rPr>
          <w:rFonts w:cs="Arial"/>
          <w:sz w:val="20"/>
          <w:szCs w:val="20"/>
          <w:lang w:val="en-US"/>
        </w:rPr>
        <w:t>,</w:t>
      </w:r>
      <w:r w:rsidR="002F5CF6" w:rsidRPr="00ED3B66">
        <w:rPr>
          <w:rFonts w:cs="Arial"/>
          <w:sz w:val="20"/>
          <w:szCs w:val="20"/>
          <w:lang w:val="en-US"/>
        </w:rPr>
        <w:t xml:space="preserve"> in my respectful view</w:t>
      </w:r>
      <w:r>
        <w:rPr>
          <w:rFonts w:cs="Arial"/>
          <w:sz w:val="20"/>
          <w:szCs w:val="20"/>
          <w:lang w:val="en-US"/>
        </w:rPr>
        <w:t>,</w:t>
      </w:r>
      <w:r w:rsidR="002F5CF6" w:rsidRPr="00ED3B66">
        <w:rPr>
          <w:rFonts w:cs="Arial"/>
          <w:sz w:val="20"/>
          <w:szCs w:val="20"/>
          <w:lang w:val="en-US"/>
        </w:rPr>
        <w:t xml:space="preserve"> that the disputed fact on whether there has been variation to the agreement is not of such of serious nature and, I find no reason to reject the version advance by the first respondent. This matter can the</w:t>
      </w:r>
      <w:r>
        <w:rPr>
          <w:rFonts w:cs="Arial"/>
          <w:sz w:val="20"/>
          <w:szCs w:val="20"/>
          <w:lang w:val="en-US"/>
        </w:rPr>
        <w:t>refore be disposed of on papers.’</w:t>
      </w:r>
    </w:p>
    <w:p w14:paraId="42501073" w14:textId="569EC955" w:rsidR="00ED3B66" w:rsidRPr="00005E64" w:rsidRDefault="00005E64" w:rsidP="00005E64">
      <w:pPr>
        <w:spacing w:after="120" w:line="360" w:lineRule="auto"/>
        <w:jc w:val="both"/>
        <w:rPr>
          <w:color w:val="000000"/>
        </w:rPr>
      </w:pPr>
      <w:r w:rsidRPr="00ED3B66">
        <w:rPr>
          <w:u w:val="single" w:color="FFFFFF" w:themeColor="background1"/>
        </w:rPr>
        <w:t>[34]</w:t>
      </w:r>
      <w:r w:rsidRPr="00ED3B66">
        <w:rPr>
          <w:u w:val="single" w:color="FFFFFF" w:themeColor="background1"/>
        </w:rPr>
        <w:tab/>
      </w:r>
      <w:r w:rsidR="002F5CF6" w:rsidRPr="00005E64">
        <w:rPr>
          <w:rFonts w:cs="Arial"/>
          <w:lang w:val="en-US"/>
        </w:rPr>
        <w:t>TUHF contends t</w:t>
      </w:r>
      <w:r w:rsidR="00ED3B66" w:rsidRPr="00005E64">
        <w:rPr>
          <w:rFonts w:cs="Arial"/>
          <w:lang w:val="en-US"/>
        </w:rPr>
        <w:t xml:space="preserve">hat the 11 May 2020 email by </w:t>
      </w:r>
      <w:r w:rsidR="00B92E03" w:rsidRPr="00005E64">
        <w:rPr>
          <w:rFonts w:cs="Arial"/>
          <w:lang w:val="en-US"/>
        </w:rPr>
        <w:t>Mr.</w:t>
      </w:r>
      <w:r w:rsidR="002F5CF6" w:rsidRPr="00005E64">
        <w:rPr>
          <w:rFonts w:cs="Arial"/>
          <w:lang w:val="en-US"/>
        </w:rPr>
        <w:t xml:space="preserve"> Makwela in terms of which it is alleged he purports to agree to the reduced payment does not comply with the </w:t>
      </w:r>
      <w:r w:rsidR="00ED3B66" w:rsidRPr="00005E64">
        <w:rPr>
          <w:rFonts w:cs="Arial"/>
          <w:lang w:val="en-US"/>
        </w:rPr>
        <w:t xml:space="preserve">non-variation clause of the </w:t>
      </w:r>
      <w:r w:rsidR="002F5CF6" w:rsidRPr="00005E64">
        <w:rPr>
          <w:rFonts w:cs="Arial"/>
          <w:lang w:val="en-US"/>
        </w:rPr>
        <w:t xml:space="preserve">loan agreement requirement and should therefore be ignored because Makwela did not attach his signature. The appellant </w:t>
      </w:r>
      <w:r w:rsidR="00B92E03" w:rsidRPr="00005E64">
        <w:rPr>
          <w:rFonts w:cs="Arial"/>
          <w:lang w:val="en-US"/>
        </w:rPr>
        <w:t>insists</w:t>
      </w:r>
      <w:r w:rsidR="002F5CF6" w:rsidRPr="00005E64">
        <w:rPr>
          <w:rFonts w:cs="Arial"/>
          <w:lang w:val="en-US"/>
        </w:rPr>
        <w:t xml:space="preserve"> that </w:t>
      </w:r>
      <w:r w:rsidR="00ED3B66" w:rsidRPr="00005E64">
        <w:rPr>
          <w:rFonts w:cs="Arial"/>
          <w:lang w:val="en-US"/>
        </w:rPr>
        <w:t>there</w:t>
      </w:r>
      <w:r w:rsidR="002F5CF6" w:rsidRPr="00005E64">
        <w:rPr>
          <w:rFonts w:cs="Arial"/>
          <w:lang w:val="en-US"/>
        </w:rPr>
        <w:t xml:space="preserve"> was no</w:t>
      </w:r>
      <w:r w:rsidR="00ED3B66" w:rsidRPr="00005E64">
        <w:rPr>
          <w:rFonts w:cs="Arial"/>
          <w:lang w:val="en-US"/>
        </w:rPr>
        <w:t xml:space="preserve"> valid </w:t>
      </w:r>
      <w:r w:rsidR="002F5CF6" w:rsidRPr="00005E64">
        <w:rPr>
          <w:rFonts w:cs="Arial"/>
          <w:lang w:val="en-US"/>
        </w:rPr>
        <w:t>variation</w:t>
      </w:r>
      <w:r w:rsidR="00ED3B66" w:rsidRPr="00005E64">
        <w:rPr>
          <w:rFonts w:cs="Arial"/>
          <w:lang w:val="en-US"/>
        </w:rPr>
        <w:t xml:space="preserve"> of the</w:t>
      </w:r>
      <w:r w:rsidR="002F5CF6" w:rsidRPr="00005E64">
        <w:rPr>
          <w:rFonts w:cs="Arial"/>
          <w:lang w:val="en-US"/>
        </w:rPr>
        <w:t xml:space="preserve"> agreement that was entered into between the parties</w:t>
      </w:r>
      <w:r w:rsidR="00ED3B66" w:rsidRPr="00005E64">
        <w:rPr>
          <w:rFonts w:cs="Arial"/>
          <w:lang w:val="en-US"/>
        </w:rPr>
        <w:t xml:space="preserve">. Even if there was a variation agreement (which it denies), </w:t>
      </w:r>
      <w:r w:rsidR="00ED3B66" w:rsidRPr="00005E64">
        <w:rPr>
          <w:rFonts w:cs="Arial"/>
          <w:lang w:val="en-US"/>
        </w:rPr>
        <w:lastRenderedPageBreak/>
        <w:t xml:space="preserve">so TUHF contends, </w:t>
      </w:r>
      <w:r w:rsidR="002F5CF6" w:rsidRPr="00005E64">
        <w:rPr>
          <w:rFonts w:cs="Arial"/>
          <w:lang w:val="en-US"/>
        </w:rPr>
        <w:t>that agreement was</w:t>
      </w:r>
      <w:r w:rsidR="00ED3B66" w:rsidRPr="00005E64">
        <w:rPr>
          <w:rFonts w:cs="Arial"/>
          <w:lang w:val="en-US"/>
        </w:rPr>
        <w:t xml:space="preserve"> not signed by Mr</w:t>
      </w:r>
      <w:r w:rsidR="002F5CF6" w:rsidRPr="00005E64">
        <w:rPr>
          <w:rFonts w:cs="Arial"/>
          <w:lang w:val="en-US"/>
        </w:rPr>
        <w:t xml:space="preserve"> Makwela</w:t>
      </w:r>
      <w:r w:rsidR="00ED3B66" w:rsidRPr="00005E64">
        <w:rPr>
          <w:rFonts w:cs="Arial"/>
          <w:lang w:val="en-US"/>
        </w:rPr>
        <w:t xml:space="preserve"> and is therefore not binding on the parties</w:t>
      </w:r>
      <w:r w:rsidR="002F5CF6" w:rsidRPr="00005E64">
        <w:rPr>
          <w:rFonts w:cs="Arial"/>
          <w:lang w:val="en-US"/>
        </w:rPr>
        <w:t>.</w:t>
      </w:r>
    </w:p>
    <w:p w14:paraId="3E92723A" w14:textId="3967E769" w:rsidR="002F5CF6" w:rsidRPr="00005E64" w:rsidRDefault="00005E64" w:rsidP="00005E64">
      <w:pPr>
        <w:spacing w:after="120" w:line="360" w:lineRule="auto"/>
        <w:jc w:val="both"/>
        <w:rPr>
          <w:color w:val="000000"/>
        </w:rPr>
      </w:pPr>
      <w:r w:rsidRPr="00ED3B66">
        <w:rPr>
          <w:u w:val="single" w:color="FFFFFF" w:themeColor="background1"/>
        </w:rPr>
        <w:t>[35]</w:t>
      </w:r>
      <w:r w:rsidRPr="00ED3B66">
        <w:rPr>
          <w:u w:val="single" w:color="FFFFFF" w:themeColor="background1"/>
        </w:rPr>
        <w:tab/>
      </w:r>
      <w:r w:rsidR="002F5CF6" w:rsidRPr="00005E64">
        <w:rPr>
          <w:rFonts w:cs="Arial"/>
          <w:lang w:val="en-US"/>
        </w:rPr>
        <w:t xml:space="preserve">The respondents </w:t>
      </w:r>
      <w:r w:rsidR="00ED3B66" w:rsidRPr="00005E64">
        <w:rPr>
          <w:rFonts w:cs="Arial"/>
          <w:lang w:val="en-US"/>
        </w:rPr>
        <w:t>remain</w:t>
      </w:r>
      <w:r w:rsidR="002F5CF6" w:rsidRPr="00005E64">
        <w:rPr>
          <w:rFonts w:cs="Arial"/>
          <w:lang w:val="en-US"/>
        </w:rPr>
        <w:t xml:space="preserve"> adamant that there was no </w:t>
      </w:r>
      <w:r w:rsidR="00ED3B66" w:rsidRPr="00005E64">
        <w:rPr>
          <w:rFonts w:cs="Arial"/>
          <w:lang w:val="en-US"/>
        </w:rPr>
        <w:t>‘</w:t>
      </w:r>
      <w:r w:rsidR="002F5CF6" w:rsidRPr="00005E64">
        <w:rPr>
          <w:rFonts w:cs="Arial"/>
          <w:lang w:val="en-US"/>
        </w:rPr>
        <w:t>Event of Default</w:t>
      </w:r>
      <w:r w:rsidR="00ED3B66" w:rsidRPr="00005E64">
        <w:rPr>
          <w:rFonts w:cs="Arial"/>
          <w:lang w:val="en-US"/>
        </w:rPr>
        <w:t>’</w:t>
      </w:r>
      <w:r w:rsidR="002F5CF6" w:rsidRPr="00005E64">
        <w:rPr>
          <w:rFonts w:cs="Arial"/>
          <w:lang w:val="en-US"/>
        </w:rPr>
        <w:t xml:space="preserve"> by way of short payment. </w:t>
      </w:r>
      <w:r w:rsidR="00ED3B66" w:rsidRPr="00005E64">
        <w:rPr>
          <w:rFonts w:cs="Arial"/>
          <w:lang w:val="en-US"/>
        </w:rPr>
        <w:t>They also contend t</w:t>
      </w:r>
      <w:r w:rsidR="002F5CF6" w:rsidRPr="00005E64">
        <w:rPr>
          <w:rFonts w:cs="Arial"/>
          <w:lang w:val="en-US"/>
        </w:rPr>
        <w:t>hat</w:t>
      </w:r>
      <w:r w:rsidR="00ED3B66" w:rsidRPr="00005E64">
        <w:rPr>
          <w:rFonts w:cs="Arial"/>
          <w:lang w:val="en-US"/>
        </w:rPr>
        <w:t>,</w:t>
      </w:r>
      <w:r w:rsidR="002F5CF6" w:rsidRPr="00005E64">
        <w:rPr>
          <w:rFonts w:cs="Arial"/>
          <w:lang w:val="en-US"/>
        </w:rPr>
        <w:t xml:space="preserve"> even if there was a short payment, there was a subsequent variation of the loan agreement between the parties, wherein the parties reached an agreement to the effect that the first respondent could pay a certain percentage of the monthly installments </w:t>
      </w:r>
      <w:r w:rsidR="0085497D" w:rsidRPr="00005E64">
        <w:rPr>
          <w:rFonts w:cs="Arial"/>
          <w:lang w:val="en-US"/>
        </w:rPr>
        <w:t>due</w:t>
      </w:r>
      <w:r w:rsidR="002F5CF6" w:rsidRPr="00005E64">
        <w:rPr>
          <w:rFonts w:cs="Arial"/>
          <w:lang w:val="en-US"/>
        </w:rPr>
        <w:t xml:space="preserve"> in terms of the loan agreement.</w:t>
      </w:r>
    </w:p>
    <w:p w14:paraId="6EB34232" w14:textId="709599DC" w:rsidR="002F5CF6" w:rsidRPr="00005E64" w:rsidRDefault="00005E64" w:rsidP="00005E64">
      <w:pPr>
        <w:spacing w:after="120" w:line="360" w:lineRule="auto"/>
        <w:jc w:val="both"/>
        <w:rPr>
          <w:color w:val="000000"/>
        </w:rPr>
      </w:pPr>
      <w:r w:rsidRPr="00ED3B66">
        <w:rPr>
          <w:u w:val="single" w:color="FFFFFF" w:themeColor="background1"/>
        </w:rPr>
        <w:t>[36]</w:t>
      </w:r>
      <w:r w:rsidRPr="00ED3B66">
        <w:rPr>
          <w:u w:val="single" w:color="FFFFFF" w:themeColor="background1"/>
        </w:rPr>
        <w:tab/>
      </w:r>
      <w:r w:rsidR="002F5CF6" w:rsidRPr="00005E64">
        <w:rPr>
          <w:rFonts w:cs="Arial"/>
          <w:lang w:val="en-US"/>
        </w:rPr>
        <w:t>Alternatively, the respondents argue that there was a</w:t>
      </w:r>
      <w:r w:rsidR="002F5CF6" w:rsidRPr="00005E64">
        <w:rPr>
          <w:rFonts w:cs="Arial"/>
          <w:i/>
          <w:lang w:val="en-US"/>
        </w:rPr>
        <w:t xml:space="preserve"> pactum de non petendo</w:t>
      </w:r>
      <w:r w:rsidR="002F5CF6" w:rsidRPr="00005E64">
        <w:rPr>
          <w:rFonts w:cs="Arial"/>
          <w:lang w:val="en-US"/>
        </w:rPr>
        <w:t xml:space="preserve">, the effect of which was that TUHF would not take steps to enforce the loan agreement for so long as </w:t>
      </w:r>
      <w:r w:rsidR="00ED3B66" w:rsidRPr="00005E64">
        <w:rPr>
          <w:rFonts w:cs="Arial"/>
          <w:lang w:val="en-US"/>
        </w:rPr>
        <w:t>the first respondent paid 48.16</w:t>
      </w:r>
      <w:r w:rsidR="002F5CF6" w:rsidRPr="00005E64">
        <w:rPr>
          <w:rFonts w:cs="Arial"/>
          <w:lang w:val="en-US"/>
        </w:rPr>
        <w:t xml:space="preserve">% of the monthly installments </w:t>
      </w:r>
      <w:r w:rsidR="0085497D" w:rsidRPr="00005E64">
        <w:rPr>
          <w:rFonts w:cs="Arial"/>
          <w:lang w:val="en-US"/>
        </w:rPr>
        <w:t>due</w:t>
      </w:r>
      <w:r w:rsidR="002F5CF6" w:rsidRPr="00005E64">
        <w:rPr>
          <w:rFonts w:cs="Arial"/>
          <w:lang w:val="en-US"/>
        </w:rPr>
        <w:t xml:space="preserve"> in terms of the loan agreement.</w:t>
      </w:r>
    </w:p>
    <w:p w14:paraId="7D7CF719" w14:textId="2F15BDF2" w:rsidR="002F5CF6" w:rsidRPr="00005E64" w:rsidRDefault="00005E64" w:rsidP="00005E64">
      <w:pPr>
        <w:spacing w:line="360" w:lineRule="auto"/>
        <w:jc w:val="both"/>
        <w:rPr>
          <w:color w:val="000000"/>
        </w:rPr>
      </w:pPr>
      <w:r w:rsidRPr="005C516D">
        <w:rPr>
          <w:u w:val="single" w:color="FFFFFF" w:themeColor="background1"/>
        </w:rPr>
        <w:t>[37]</w:t>
      </w:r>
      <w:r w:rsidRPr="005C516D">
        <w:rPr>
          <w:u w:val="single" w:color="FFFFFF" w:themeColor="background1"/>
        </w:rPr>
        <w:tab/>
      </w:r>
      <w:r w:rsidR="002F5CF6" w:rsidRPr="00005E64">
        <w:rPr>
          <w:rFonts w:cs="Arial"/>
          <w:lang w:val="en-US"/>
        </w:rPr>
        <w:t>It is appropriate to revisit the non-variation clause of the loan agreement</w:t>
      </w:r>
      <w:r w:rsidR="005C516D" w:rsidRPr="00005E64">
        <w:rPr>
          <w:rFonts w:cs="Arial"/>
          <w:lang w:val="en-US"/>
        </w:rPr>
        <w:t>,</w:t>
      </w:r>
      <w:r w:rsidR="002F5CF6" w:rsidRPr="00005E64">
        <w:rPr>
          <w:rFonts w:cs="Arial"/>
          <w:lang w:val="en-US"/>
        </w:rPr>
        <w:t xml:space="preserve"> as it is relevant in deciding this issue before us. Clause 29 provides as </w:t>
      </w:r>
      <w:r w:rsidR="005C516D" w:rsidRPr="00005E64">
        <w:rPr>
          <w:rFonts w:cs="Arial"/>
          <w:lang w:val="en-US"/>
        </w:rPr>
        <w:t>follows: -</w:t>
      </w:r>
    </w:p>
    <w:p w14:paraId="108EFBA7" w14:textId="014D3012" w:rsidR="005C516D" w:rsidRPr="005C516D" w:rsidRDefault="005C516D" w:rsidP="005C516D">
      <w:pPr>
        <w:pStyle w:val="ListParagraph"/>
        <w:spacing w:after="120" w:line="360" w:lineRule="auto"/>
        <w:ind w:left="0"/>
        <w:jc w:val="both"/>
        <w:rPr>
          <w:color w:val="000000"/>
          <w:sz w:val="20"/>
          <w:szCs w:val="20"/>
        </w:rPr>
      </w:pPr>
      <w:r>
        <w:rPr>
          <w:rFonts w:cs="Arial"/>
          <w:iCs/>
          <w:sz w:val="20"/>
          <w:szCs w:val="20"/>
          <w:lang w:val="en-US"/>
        </w:rPr>
        <w:t>‘</w:t>
      </w:r>
      <w:r w:rsidRPr="005C516D">
        <w:rPr>
          <w:rFonts w:cs="Arial"/>
          <w:iCs/>
          <w:sz w:val="20"/>
          <w:szCs w:val="20"/>
          <w:lang w:val="en-US"/>
        </w:rPr>
        <w:t>No addition to or variation, consensual cancellation or novation of this agreement and no waiver of any rights arising from this Agreement or its breach or termination shall be of any force or effect unless reduced to writing</w:t>
      </w:r>
      <w:r>
        <w:rPr>
          <w:rFonts w:cs="Arial"/>
          <w:iCs/>
          <w:sz w:val="20"/>
          <w:szCs w:val="20"/>
          <w:lang w:val="en-US"/>
        </w:rPr>
        <w:t xml:space="preserve"> and signed by all the parties.’</w:t>
      </w:r>
      <w:r w:rsidRPr="005C516D">
        <w:rPr>
          <w:rFonts w:cs="Arial"/>
          <w:iCs/>
          <w:sz w:val="20"/>
          <w:szCs w:val="20"/>
          <w:lang w:val="en-US"/>
        </w:rPr>
        <w:t xml:space="preserve"> </w:t>
      </w:r>
    </w:p>
    <w:p w14:paraId="3084C348" w14:textId="738A2454" w:rsidR="002F5CF6" w:rsidRPr="00005E64" w:rsidRDefault="00005E64" w:rsidP="00005E64">
      <w:pPr>
        <w:spacing w:after="120" w:line="360" w:lineRule="auto"/>
        <w:jc w:val="both"/>
        <w:rPr>
          <w:color w:val="000000"/>
        </w:rPr>
      </w:pPr>
      <w:r w:rsidRPr="005C516D">
        <w:rPr>
          <w:u w:val="single" w:color="FFFFFF" w:themeColor="background1"/>
        </w:rPr>
        <w:t>[38]</w:t>
      </w:r>
      <w:r w:rsidRPr="005C516D">
        <w:rPr>
          <w:u w:val="single" w:color="FFFFFF" w:themeColor="background1"/>
        </w:rPr>
        <w:tab/>
      </w:r>
      <w:r w:rsidR="002F5CF6" w:rsidRPr="00005E64">
        <w:rPr>
          <w:rFonts w:cs="Arial"/>
          <w:lang w:val="en-US"/>
        </w:rPr>
        <w:t xml:space="preserve">On a sensible and businesslike interpretation, the 11 May 2020 email does not meet the requirements of clause 29 of the non-variation clause and it does not constitute a variation agreement. In my view, Senyatsi J erred in finding that the aforesaid email constitutes a variation agreement both factually and in law. This is because the aforementioned email does nothing more than capture the discussion between the parties encompassing their attempt to resolve the dispute. At best it indicates that </w:t>
      </w:r>
      <w:r w:rsidR="00B92E03" w:rsidRPr="00005E64">
        <w:rPr>
          <w:rFonts w:cs="Arial"/>
          <w:lang w:val="en-US"/>
        </w:rPr>
        <w:t>Mr.</w:t>
      </w:r>
      <w:r w:rsidR="002F5CF6" w:rsidRPr="00005E64">
        <w:rPr>
          <w:rFonts w:cs="Arial"/>
          <w:lang w:val="en-US"/>
        </w:rPr>
        <w:t xml:space="preserve"> Makwela of the appellant was still awaiting the respondent’s bank statement to enable TUHF to determine whether it was amenable to a settlement and agree on the repayable amount and period. It is therefore evident that the negotiations were inconclusive in that the Bank statements were never sent to TUHF by the respondents which statements would have assisted the appellant in determining the revised monthly repayments and period. I conclude therefore that the email of 11 May 2020 does not constitute a variation agreement.</w:t>
      </w:r>
    </w:p>
    <w:p w14:paraId="77AC63C7" w14:textId="1FF0F8DE" w:rsidR="005C516D" w:rsidRPr="00005E64" w:rsidRDefault="00005E64" w:rsidP="00005E64">
      <w:pPr>
        <w:spacing w:line="360" w:lineRule="auto"/>
        <w:jc w:val="both"/>
        <w:rPr>
          <w:color w:val="000000"/>
        </w:rPr>
      </w:pPr>
      <w:r w:rsidRPr="005C516D">
        <w:rPr>
          <w:u w:val="single" w:color="FFFFFF" w:themeColor="background1"/>
        </w:rPr>
        <w:lastRenderedPageBreak/>
        <w:t>[39]</w:t>
      </w:r>
      <w:r w:rsidRPr="005C516D">
        <w:rPr>
          <w:u w:val="single" w:color="FFFFFF" w:themeColor="background1"/>
        </w:rPr>
        <w:tab/>
      </w:r>
      <w:r w:rsidR="002F5CF6" w:rsidRPr="00005E64">
        <w:rPr>
          <w:rFonts w:cs="Arial"/>
          <w:lang w:val="en-US"/>
        </w:rPr>
        <w:t>In dealing with the issue of the signatures, Senyatsi J, quoting</w:t>
      </w:r>
      <w:r w:rsidR="005C516D" w:rsidRPr="00005E64">
        <w:rPr>
          <w:rFonts w:cs="Arial"/>
          <w:lang w:val="en-US"/>
        </w:rPr>
        <w:t xml:space="preserve"> from the </w:t>
      </w:r>
      <w:r w:rsidR="002F5CF6" w:rsidRPr="00005E64">
        <w:rPr>
          <w:rFonts w:cs="Arial"/>
          <w:lang w:val="en-US"/>
        </w:rPr>
        <w:t>emails</w:t>
      </w:r>
      <w:r w:rsidR="005C516D" w:rsidRPr="00005E64">
        <w:rPr>
          <w:rFonts w:cs="Arial"/>
          <w:lang w:val="en-US"/>
        </w:rPr>
        <w:t>,</w:t>
      </w:r>
      <w:r w:rsidR="002F5CF6" w:rsidRPr="00005E64">
        <w:rPr>
          <w:rFonts w:cs="Arial"/>
          <w:lang w:val="en-US"/>
        </w:rPr>
        <w:t xml:space="preserve"> held </w:t>
      </w:r>
      <w:r w:rsidR="005C516D" w:rsidRPr="00005E64">
        <w:rPr>
          <w:rFonts w:cs="Arial"/>
          <w:lang w:val="en-US"/>
        </w:rPr>
        <w:t xml:space="preserve">as follows </w:t>
      </w:r>
      <w:r w:rsidR="002F5CF6" w:rsidRPr="00005E64">
        <w:rPr>
          <w:rFonts w:cs="Arial"/>
          <w:lang w:val="en-US"/>
        </w:rPr>
        <w:t>at [40]</w:t>
      </w:r>
      <w:r w:rsidR="005C516D" w:rsidRPr="00005E64">
        <w:rPr>
          <w:rFonts w:cs="Arial"/>
          <w:lang w:val="en-US"/>
        </w:rPr>
        <w:t xml:space="preserve">: - </w:t>
      </w:r>
    </w:p>
    <w:p w14:paraId="4F0BB56F" w14:textId="2F1C7777" w:rsidR="005C516D" w:rsidRPr="005C516D" w:rsidRDefault="005C516D" w:rsidP="005C516D">
      <w:pPr>
        <w:pStyle w:val="ListParagraph"/>
        <w:spacing w:line="360" w:lineRule="auto"/>
        <w:ind w:left="0"/>
        <w:jc w:val="both"/>
        <w:rPr>
          <w:color w:val="000000"/>
          <w:sz w:val="20"/>
          <w:szCs w:val="20"/>
        </w:rPr>
      </w:pPr>
      <w:r>
        <w:rPr>
          <w:rFonts w:cs="Arial"/>
          <w:sz w:val="20"/>
          <w:szCs w:val="20"/>
          <w:lang w:val="en-US"/>
        </w:rPr>
        <w:t>‘On the 11 May 2020, Mr</w:t>
      </w:r>
      <w:r w:rsidRPr="005C516D">
        <w:rPr>
          <w:rFonts w:cs="Arial"/>
          <w:sz w:val="20"/>
          <w:szCs w:val="20"/>
          <w:lang w:val="en-US"/>
        </w:rPr>
        <w:t xml:space="preserve"> Makwela then </w:t>
      </w:r>
      <w:r>
        <w:rPr>
          <w:rFonts w:cs="Arial"/>
          <w:sz w:val="20"/>
          <w:szCs w:val="20"/>
          <w:lang w:val="en-US"/>
        </w:rPr>
        <w:t>responded</w:t>
      </w:r>
      <w:r w:rsidRPr="005C516D">
        <w:rPr>
          <w:rFonts w:cs="Arial"/>
          <w:sz w:val="20"/>
          <w:szCs w:val="20"/>
          <w:lang w:val="en-US"/>
        </w:rPr>
        <w:t xml:space="preserve"> as follows by way of email</w:t>
      </w:r>
      <w:r>
        <w:rPr>
          <w:rFonts w:cs="Arial"/>
          <w:sz w:val="20"/>
          <w:szCs w:val="20"/>
          <w:lang w:val="en-US"/>
        </w:rPr>
        <w:t xml:space="preserve"> … … </w:t>
      </w:r>
    </w:p>
    <w:p w14:paraId="0F3C329A" w14:textId="5F04863E" w:rsidR="005C516D" w:rsidRPr="005C516D" w:rsidRDefault="005C516D" w:rsidP="005C516D">
      <w:pPr>
        <w:pStyle w:val="ListParagraph"/>
        <w:spacing w:line="360" w:lineRule="auto"/>
        <w:jc w:val="both"/>
        <w:rPr>
          <w:rFonts w:cs="Arial"/>
          <w:sz w:val="20"/>
          <w:szCs w:val="20"/>
          <w:lang w:val="en-US"/>
        </w:rPr>
      </w:pPr>
      <w:r w:rsidRPr="005C516D">
        <w:rPr>
          <w:rFonts w:cs="Arial"/>
          <w:sz w:val="20"/>
          <w:szCs w:val="20"/>
          <w:lang w:val="en-US"/>
        </w:rPr>
        <w:t xml:space="preserve">   “Dear Mark</w:t>
      </w:r>
      <w:r>
        <w:rPr>
          <w:rFonts w:cs="Arial"/>
          <w:sz w:val="20"/>
          <w:szCs w:val="20"/>
          <w:lang w:val="en-US"/>
        </w:rPr>
        <w:t>.</w:t>
      </w:r>
    </w:p>
    <w:p w14:paraId="136DF82B" w14:textId="77777777" w:rsidR="005C516D" w:rsidRPr="005C516D" w:rsidRDefault="005C516D" w:rsidP="005C516D">
      <w:pPr>
        <w:spacing w:line="360" w:lineRule="auto"/>
        <w:ind w:left="980"/>
        <w:jc w:val="both"/>
        <w:rPr>
          <w:rFonts w:cs="Arial"/>
          <w:sz w:val="20"/>
          <w:szCs w:val="20"/>
          <w:lang w:val="en-US"/>
        </w:rPr>
      </w:pPr>
      <w:r w:rsidRPr="005C516D">
        <w:rPr>
          <w:rFonts w:cs="Arial"/>
          <w:sz w:val="20"/>
          <w:szCs w:val="20"/>
          <w:lang w:val="en-US"/>
        </w:rPr>
        <w:t xml:space="preserve">Agreed, but as per our last communication on the subject matter please send us bank statements. This in a nutshell is what the parties engaged on. </w:t>
      </w:r>
    </w:p>
    <w:p w14:paraId="7CD64243" w14:textId="77777777" w:rsidR="005C516D" w:rsidRPr="005C516D" w:rsidRDefault="005C516D" w:rsidP="005C516D">
      <w:pPr>
        <w:spacing w:line="360" w:lineRule="auto"/>
        <w:ind w:left="980"/>
        <w:jc w:val="both"/>
        <w:rPr>
          <w:rFonts w:cs="Arial"/>
          <w:sz w:val="20"/>
          <w:szCs w:val="20"/>
          <w:lang w:val="en-US"/>
        </w:rPr>
      </w:pPr>
      <w:r w:rsidRPr="005C516D">
        <w:rPr>
          <w:rFonts w:cs="Arial"/>
          <w:sz w:val="20"/>
          <w:szCs w:val="20"/>
          <w:lang w:val="en-US"/>
        </w:rPr>
        <w:t>Kind Regards</w:t>
      </w:r>
    </w:p>
    <w:p w14:paraId="42B910D5" w14:textId="1048C916" w:rsidR="005C516D" w:rsidRPr="005C516D" w:rsidRDefault="005C516D" w:rsidP="005C516D">
      <w:pPr>
        <w:spacing w:line="360" w:lineRule="auto"/>
        <w:ind w:left="980"/>
        <w:jc w:val="both"/>
        <w:rPr>
          <w:rFonts w:cs="Arial"/>
          <w:sz w:val="20"/>
          <w:szCs w:val="20"/>
          <w:lang w:val="en-US"/>
        </w:rPr>
      </w:pPr>
      <w:r>
        <w:rPr>
          <w:rFonts w:cs="Arial"/>
          <w:sz w:val="20"/>
          <w:szCs w:val="20"/>
          <w:lang w:val="en-US"/>
        </w:rPr>
        <w:t>Nano Makwela”</w:t>
      </w:r>
    </w:p>
    <w:p w14:paraId="50C78508" w14:textId="4B36A33A" w:rsidR="005C516D" w:rsidRPr="005C516D" w:rsidRDefault="005C516D" w:rsidP="005C516D">
      <w:pPr>
        <w:spacing w:after="120" w:line="360" w:lineRule="auto"/>
        <w:jc w:val="both"/>
        <w:rPr>
          <w:rFonts w:cs="Arial"/>
          <w:sz w:val="20"/>
          <w:szCs w:val="20"/>
          <w:lang w:val="en-US"/>
        </w:rPr>
      </w:pPr>
      <w:r w:rsidRPr="005C516D">
        <w:rPr>
          <w:rFonts w:cs="Arial"/>
          <w:sz w:val="20"/>
          <w:szCs w:val="20"/>
          <w:lang w:val="en-US"/>
        </w:rPr>
        <w:t>This in a nutshell is what the parties engaged on.</w:t>
      </w:r>
      <w:r>
        <w:rPr>
          <w:rFonts w:cs="Arial"/>
          <w:sz w:val="20"/>
          <w:szCs w:val="20"/>
          <w:lang w:val="en-US"/>
        </w:rPr>
        <w:t>’</w:t>
      </w:r>
    </w:p>
    <w:p w14:paraId="44376E7A" w14:textId="0EBA7337" w:rsidR="002F5CF6" w:rsidRPr="00005E64" w:rsidRDefault="00005E64" w:rsidP="00005E64">
      <w:pPr>
        <w:spacing w:after="120" w:line="360" w:lineRule="auto"/>
        <w:jc w:val="both"/>
        <w:rPr>
          <w:color w:val="000000"/>
        </w:rPr>
      </w:pPr>
      <w:r w:rsidRPr="00B90779">
        <w:rPr>
          <w:u w:val="single" w:color="FFFFFF" w:themeColor="background1"/>
        </w:rPr>
        <w:t>[40]</w:t>
      </w:r>
      <w:r w:rsidRPr="00B90779">
        <w:rPr>
          <w:u w:val="single" w:color="FFFFFF" w:themeColor="background1"/>
        </w:rPr>
        <w:tab/>
      </w:r>
      <w:r w:rsidR="005C516D" w:rsidRPr="00005E64">
        <w:rPr>
          <w:rFonts w:cs="Arial"/>
          <w:lang w:val="en-US"/>
        </w:rPr>
        <w:t>Even if</w:t>
      </w:r>
      <w:r w:rsidR="002F5CF6" w:rsidRPr="00005E64">
        <w:rPr>
          <w:rFonts w:cs="Arial"/>
          <w:lang w:val="en-US"/>
        </w:rPr>
        <w:t xml:space="preserve"> the respondents insist </w:t>
      </w:r>
      <w:r w:rsidR="005C516D" w:rsidRPr="00005E64">
        <w:rPr>
          <w:rFonts w:cs="Arial"/>
          <w:lang w:val="en-US"/>
        </w:rPr>
        <w:t xml:space="preserve">that </w:t>
      </w:r>
      <w:r w:rsidR="002F5CF6" w:rsidRPr="00005E64">
        <w:rPr>
          <w:rFonts w:cs="Arial"/>
          <w:lang w:val="en-US"/>
        </w:rPr>
        <w:t>the 11 M</w:t>
      </w:r>
      <w:r w:rsidR="005C516D" w:rsidRPr="00005E64">
        <w:rPr>
          <w:rFonts w:cs="Arial"/>
          <w:lang w:val="en-US"/>
        </w:rPr>
        <w:t xml:space="preserve">ay 2020 email constitutes a </w:t>
      </w:r>
      <w:r w:rsidR="002F5CF6" w:rsidRPr="00005E64">
        <w:rPr>
          <w:rFonts w:cs="Arial"/>
          <w:lang w:val="en-US"/>
        </w:rPr>
        <w:t>variation agreement (which it does not)</w:t>
      </w:r>
      <w:r w:rsidR="005C516D" w:rsidRPr="00005E64">
        <w:rPr>
          <w:rFonts w:cs="Arial"/>
          <w:lang w:val="en-US"/>
        </w:rPr>
        <w:t>,</w:t>
      </w:r>
      <w:r w:rsidR="002F5CF6" w:rsidRPr="00005E64">
        <w:rPr>
          <w:rFonts w:cs="Arial"/>
          <w:lang w:val="en-US"/>
        </w:rPr>
        <w:t xml:space="preserve"> the aforesaid e</w:t>
      </w:r>
      <w:r w:rsidR="005C516D" w:rsidRPr="00005E64">
        <w:rPr>
          <w:rFonts w:cs="Arial"/>
          <w:lang w:val="en-US"/>
        </w:rPr>
        <w:t>mail was not signed by Mr Makwela. I</w:t>
      </w:r>
      <w:r w:rsidR="002F5CF6" w:rsidRPr="00005E64">
        <w:rPr>
          <w:rFonts w:cs="Arial"/>
          <w:lang w:val="en-US"/>
        </w:rPr>
        <w:t xml:space="preserve">t was thus not compliant with section 13 of the ECTA act and in line with the decision of the court in </w:t>
      </w:r>
      <w:r w:rsidR="002F5CF6" w:rsidRPr="00005E64">
        <w:rPr>
          <w:rFonts w:cs="Arial"/>
          <w:i/>
          <w:lang w:val="en-US"/>
        </w:rPr>
        <w:t>Spring Forest Trading CC</w:t>
      </w:r>
      <w:r w:rsidR="002F5CF6" w:rsidRPr="00005E64">
        <w:rPr>
          <w:rFonts w:cs="Arial"/>
          <w:lang w:val="en-US"/>
        </w:rPr>
        <w:t xml:space="preserve"> </w:t>
      </w:r>
      <w:r w:rsidR="002F5CF6" w:rsidRPr="00005E64">
        <w:rPr>
          <w:rFonts w:cs="Arial"/>
          <w:i/>
          <w:lang w:val="en-US"/>
        </w:rPr>
        <w:t>v Wilberry (Pty) Ltd t/a Ecowash and Another</w:t>
      </w:r>
      <w:r w:rsidR="002F5CF6">
        <w:rPr>
          <w:rStyle w:val="FootnoteReference"/>
          <w:rFonts w:cs="Arial"/>
          <w:i/>
          <w:lang w:val="en-US"/>
        </w:rPr>
        <w:footnoteReference w:id="9"/>
      </w:r>
      <w:r w:rsidR="005C516D" w:rsidRPr="00005E64">
        <w:rPr>
          <w:rFonts w:cs="Arial"/>
          <w:i/>
          <w:lang w:val="en-US"/>
        </w:rPr>
        <w:t>.</w:t>
      </w:r>
      <w:r w:rsidR="002F5CF6" w:rsidRPr="00005E64">
        <w:rPr>
          <w:rFonts w:cs="Arial"/>
          <w:lang w:val="en-US"/>
        </w:rPr>
        <w:t xml:space="preserve"> I say this because the 11 May 2020 email was not signed by Mr Makwela. </w:t>
      </w:r>
      <w:r w:rsidR="005C516D" w:rsidRPr="00005E64">
        <w:rPr>
          <w:rFonts w:cs="Arial"/>
          <w:lang w:val="en-US"/>
        </w:rPr>
        <w:t xml:space="preserve">This email ends with the </w:t>
      </w:r>
      <w:r w:rsidR="003B6DAF" w:rsidRPr="00005E64">
        <w:rPr>
          <w:rFonts w:cs="Arial"/>
          <w:lang w:val="en-US"/>
        </w:rPr>
        <w:t>salutation</w:t>
      </w:r>
      <w:r w:rsidR="005C516D" w:rsidRPr="00005E64">
        <w:rPr>
          <w:rFonts w:cs="Arial"/>
          <w:lang w:val="en-US"/>
        </w:rPr>
        <w:t xml:space="preserve"> ‘</w:t>
      </w:r>
      <w:r w:rsidR="002F5CF6" w:rsidRPr="00005E64">
        <w:rPr>
          <w:rFonts w:cs="Arial"/>
          <w:i/>
          <w:lang w:val="en-US"/>
        </w:rPr>
        <w:t>Kind Regards’.</w:t>
      </w:r>
      <w:r w:rsidR="003B6DAF" w:rsidRPr="00005E64">
        <w:rPr>
          <w:rFonts w:cs="Arial"/>
          <w:lang w:val="en-US"/>
        </w:rPr>
        <w:t xml:space="preserve"> There is no signature </w:t>
      </w:r>
      <w:r w:rsidR="00EA6A9F" w:rsidRPr="00005E64">
        <w:rPr>
          <w:rFonts w:cs="Arial"/>
          <w:lang w:val="en-US"/>
        </w:rPr>
        <w:t>therafter</w:t>
      </w:r>
      <w:r w:rsidR="003B6DAF" w:rsidRPr="00005E64">
        <w:rPr>
          <w:rFonts w:cs="Arial"/>
          <w:lang w:val="en-US"/>
        </w:rPr>
        <w:t xml:space="preserve">. </w:t>
      </w:r>
      <w:r w:rsidR="00EA6A9F" w:rsidRPr="00005E64">
        <w:rPr>
          <w:rFonts w:cs="Arial"/>
          <w:lang w:val="en-US"/>
        </w:rPr>
        <w:t>By itself, it does not, in my view, establish that the agreement was varied</w:t>
      </w:r>
      <w:r w:rsidR="003B6DAF" w:rsidRPr="00005E64">
        <w:rPr>
          <w:rFonts w:cs="Arial"/>
          <w:lang w:val="en-US"/>
        </w:rPr>
        <w:t xml:space="preserve">. </w:t>
      </w:r>
      <w:r w:rsidR="00EA6A9F" w:rsidRPr="00005E64">
        <w:rPr>
          <w:rFonts w:cs="Arial"/>
          <w:lang w:val="en-US"/>
        </w:rPr>
        <w:t xml:space="preserve">The court </w:t>
      </w:r>
      <w:r w:rsidR="00EA6A9F" w:rsidRPr="00005E64">
        <w:rPr>
          <w:rFonts w:cs="Arial"/>
          <w:i/>
          <w:lang w:val="en-US"/>
        </w:rPr>
        <w:t>a quo</w:t>
      </w:r>
      <w:r w:rsidR="00EA6A9F" w:rsidRPr="00005E64">
        <w:rPr>
          <w:rFonts w:cs="Arial"/>
          <w:lang w:val="en-US"/>
        </w:rPr>
        <w:t xml:space="preserve"> erred in finding otherwise.</w:t>
      </w:r>
    </w:p>
    <w:p w14:paraId="2335028B" w14:textId="5862CDAC" w:rsidR="002F5CF6" w:rsidRPr="00005E64" w:rsidRDefault="00005E64" w:rsidP="00005E64">
      <w:pPr>
        <w:spacing w:after="240" w:line="360" w:lineRule="auto"/>
        <w:jc w:val="both"/>
        <w:rPr>
          <w:color w:val="000000"/>
        </w:rPr>
      </w:pPr>
      <w:r w:rsidRPr="00B90779">
        <w:rPr>
          <w:u w:val="single" w:color="FFFFFF" w:themeColor="background1"/>
        </w:rPr>
        <w:t>[41]</w:t>
      </w:r>
      <w:r w:rsidRPr="00B90779">
        <w:rPr>
          <w:u w:val="single" w:color="FFFFFF" w:themeColor="background1"/>
        </w:rPr>
        <w:tab/>
      </w:r>
      <w:r w:rsidR="002F5CF6" w:rsidRPr="00005E64">
        <w:rPr>
          <w:rFonts w:cs="Arial"/>
          <w:lang w:val="en-US"/>
        </w:rPr>
        <w:t>It should follow therefore that the</w:t>
      </w:r>
      <w:r w:rsidR="00B92E03" w:rsidRPr="00005E64">
        <w:rPr>
          <w:rFonts w:cs="Arial"/>
          <w:lang w:val="en-US"/>
        </w:rPr>
        <w:t>re</w:t>
      </w:r>
      <w:r w:rsidR="002F5CF6" w:rsidRPr="00005E64">
        <w:rPr>
          <w:rFonts w:cs="Arial"/>
          <w:lang w:val="en-US"/>
        </w:rPr>
        <w:t xml:space="preserve"> are no material disputes of fact in this case. The respondent's contention that the 11 May 2020 email constitutes a variation agreement and their contention of the existence of the </w:t>
      </w:r>
      <w:r w:rsidR="002F5CF6" w:rsidRPr="00005E64">
        <w:rPr>
          <w:rFonts w:cs="Arial"/>
          <w:i/>
          <w:lang w:val="en-US"/>
        </w:rPr>
        <w:t>pactum</w:t>
      </w:r>
      <w:r w:rsidR="002F5CF6" w:rsidRPr="00005E64">
        <w:rPr>
          <w:rFonts w:cs="Arial"/>
          <w:lang w:val="en-US"/>
        </w:rPr>
        <w:t xml:space="preserve"> is far-fetched and is not </w:t>
      </w:r>
      <w:r w:rsidR="002F5CF6" w:rsidRPr="00005E64">
        <w:rPr>
          <w:rFonts w:cs="Arial"/>
          <w:i/>
          <w:lang w:val="en-US"/>
        </w:rPr>
        <w:t>bona fide</w:t>
      </w:r>
      <w:r w:rsidR="002F5CF6" w:rsidRPr="00005E64">
        <w:rPr>
          <w:rFonts w:cs="Arial"/>
          <w:lang w:val="en-US"/>
        </w:rPr>
        <w:t>. These allegations are raised by the respondents to avoid their obligations to TUHF in terms of the loan agreement and are therefore dismissed.</w:t>
      </w:r>
    </w:p>
    <w:p w14:paraId="357FDF42" w14:textId="7F760F75" w:rsidR="002F5CF6" w:rsidRPr="00B90779" w:rsidRDefault="00B90779" w:rsidP="00792047">
      <w:pPr>
        <w:pStyle w:val="ListParagraph"/>
        <w:keepNext/>
        <w:spacing w:after="120" w:line="360" w:lineRule="auto"/>
        <w:ind w:left="0"/>
        <w:jc w:val="both"/>
        <w:rPr>
          <w:color w:val="000000"/>
        </w:rPr>
      </w:pPr>
      <w:r w:rsidRPr="00B90779">
        <w:rPr>
          <w:rFonts w:cs="Arial"/>
          <w:b/>
          <w:lang w:val="en-US"/>
        </w:rPr>
        <w:t>Abuse of</w:t>
      </w:r>
      <w:r>
        <w:rPr>
          <w:rFonts w:cs="Arial"/>
          <w:b/>
          <w:lang w:val="en-US"/>
        </w:rPr>
        <w:t xml:space="preserve"> t</w:t>
      </w:r>
      <w:r w:rsidRPr="00B90779">
        <w:rPr>
          <w:rFonts w:cs="Arial"/>
          <w:b/>
          <w:lang w:val="en-US"/>
        </w:rPr>
        <w:t>he Court Process</w:t>
      </w:r>
    </w:p>
    <w:p w14:paraId="1D12BD43" w14:textId="6605962A" w:rsidR="002F5CF6" w:rsidRPr="00005E64" w:rsidRDefault="00005E64" w:rsidP="00005E64">
      <w:pPr>
        <w:spacing w:after="120" w:line="360" w:lineRule="auto"/>
        <w:jc w:val="both"/>
        <w:rPr>
          <w:color w:val="000000"/>
        </w:rPr>
      </w:pPr>
      <w:r w:rsidRPr="00B90779">
        <w:rPr>
          <w:u w:val="single" w:color="FFFFFF" w:themeColor="background1"/>
        </w:rPr>
        <w:t>[42]</w:t>
      </w:r>
      <w:r w:rsidRPr="00B90779">
        <w:rPr>
          <w:u w:val="single" w:color="FFFFFF" w:themeColor="background1"/>
        </w:rPr>
        <w:tab/>
      </w:r>
      <w:r w:rsidR="002F5CF6" w:rsidRPr="00005E64">
        <w:rPr>
          <w:rFonts w:cs="Arial"/>
          <w:lang w:val="en-US"/>
        </w:rPr>
        <w:t xml:space="preserve">The </w:t>
      </w:r>
      <w:r w:rsidR="00B90779" w:rsidRPr="00005E64">
        <w:rPr>
          <w:rFonts w:cs="Arial"/>
          <w:lang w:val="en-US"/>
        </w:rPr>
        <w:t>nub</w:t>
      </w:r>
      <w:r w:rsidR="002F5CF6" w:rsidRPr="00005E64">
        <w:rPr>
          <w:rFonts w:cs="Arial"/>
          <w:lang w:val="en-US"/>
        </w:rPr>
        <w:t xml:space="preserve"> of the issue in this regard was whether the launch of the second application by TUHF amounted to an abuse of the court process.</w:t>
      </w:r>
    </w:p>
    <w:p w14:paraId="1D43A486" w14:textId="0EA7AC0F" w:rsidR="00B90779" w:rsidRPr="00005E64" w:rsidRDefault="00005E64" w:rsidP="00005E64">
      <w:pPr>
        <w:spacing w:line="360" w:lineRule="auto"/>
        <w:jc w:val="both"/>
        <w:rPr>
          <w:color w:val="000000"/>
        </w:rPr>
      </w:pPr>
      <w:r w:rsidRPr="00B90779">
        <w:rPr>
          <w:u w:val="single" w:color="FFFFFF" w:themeColor="background1"/>
        </w:rPr>
        <w:t>[43]</w:t>
      </w:r>
      <w:r w:rsidRPr="00B90779">
        <w:rPr>
          <w:u w:val="single" w:color="FFFFFF" w:themeColor="background1"/>
        </w:rPr>
        <w:tab/>
      </w:r>
      <w:r w:rsidR="002F5CF6" w:rsidRPr="00005E64">
        <w:rPr>
          <w:rFonts w:cs="Arial"/>
          <w:lang w:val="en-US"/>
        </w:rPr>
        <w:t>In upholding the respondent's defence that the second application amounts to abuse of the court process, Senyatsi J said the following at [56]</w:t>
      </w:r>
      <w:r w:rsidR="00B90779" w:rsidRPr="00005E64">
        <w:rPr>
          <w:rFonts w:cs="Arial"/>
          <w:lang w:val="en-US"/>
        </w:rPr>
        <w:t>: -</w:t>
      </w:r>
    </w:p>
    <w:p w14:paraId="25054C76" w14:textId="335944A5" w:rsidR="00B90779" w:rsidRPr="00B90779" w:rsidRDefault="00B90779" w:rsidP="00B90779">
      <w:pPr>
        <w:pStyle w:val="ListParagraph"/>
        <w:spacing w:after="120" w:line="360" w:lineRule="auto"/>
        <w:ind w:left="0"/>
        <w:jc w:val="both"/>
        <w:rPr>
          <w:color w:val="000000"/>
          <w:sz w:val="20"/>
          <w:szCs w:val="20"/>
        </w:rPr>
      </w:pPr>
      <w:r>
        <w:rPr>
          <w:rFonts w:cs="Arial"/>
          <w:sz w:val="20"/>
          <w:szCs w:val="20"/>
          <w:lang w:val="en-US"/>
        </w:rPr>
        <w:t>‘</w:t>
      </w:r>
      <w:r w:rsidRPr="00B90779">
        <w:rPr>
          <w:rFonts w:cs="Arial"/>
          <w:sz w:val="20"/>
          <w:szCs w:val="20"/>
          <w:lang w:val="en-US"/>
        </w:rPr>
        <w:t xml:space="preserve">In the instant case, when TUHF initiated this application, it was already busy in another directly related application based on the same loan agreement, mortgage bond and deed of suretyship. </w:t>
      </w:r>
      <w:r w:rsidRPr="00B90779">
        <w:rPr>
          <w:rFonts w:cs="Arial"/>
          <w:sz w:val="20"/>
          <w:szCs w:val="20"/>
          <w:lang w:val="en-US"/>
        </w:rPr>
        <w:lastRenderedPageBreak/>
        <w:t>To hide the true colors (the true extent) of the abuse, TUHF made new averments regarding the defenses that were raised in the first application and used those and the alleged short payments as additional new grounds of breach. This was despite the fact that the other application had not been determined and in the face of a glaring dispute of fact on the averred variation of payments for May and June 2020 as part of the COVID-19 relief. I cannot infer any motivation for launching such legal attack other than it is the abuse of the court process. This unfairly exposed the respondents to multiple actions th</w:t>
      </w:r>
      <w:r>
        <w:rPr>
          <w:rFonts w:cs="Arial"/>
          <w:sz w:val="20"/>
          <w:szCs w:val="20"/>
          <w:lang w:val="en-US"/>
        </w:rPr>
        <w:t>at are all related and the same.’</w:t>
      </w:r>
    </w:p>
    <w:p w14:paraId="0F1FA0C9" w14:textId="2FD6F2B4" w:rsidR="002F5CF6" w:rsidRPr="00005E64" w:rsidRDefault="00005E64" w:rsidP="00005E64">
      <w:pPr>
        <w:spacing w:after="120" w:line="360" w:lineRule="auto"/>
        <w:jc w:val="both"/>
        <w:rPr>
          <w:color w:val="000000"/>
        </w:rPr>
      </w:pPr>
      <w:r w:rsidRPr="00B90779">
        <w:rPr>
          <w:u w:val="single" w:color="FFFFFF" w:themeColor="background1"/>
        </w:rPr>
        <w:t>[44]</w:t>
      </w:r>
      <w:r w:rsidRPr="00B90779">
        <w:rPr>
          <w:u w:val="single" w:color="FFFFFF" w:themeColor="background1"/>
        </w:rPr>
        <w:tab/>
      </w:r>
      <w:r w:rsidR="002F5CF6" w:rsidRPr="00005E64">
        <w:rPr>
          <w:rFonts w:cs="Arial"/>
          <w:lang w:val="en-US"/>
        </w:rPr>
        <w:t xml:space="preserve">The case made </w:t>
      </w:r>
      <w:r w:rsidR="00B90779" w:rsidRPr="00005E64">
        <w:rPr>
          <w:rFonts w:cs="Arial"/>
          <w:lang w:val="en-US"/>
        </w:rPr>
        <w:t xml:space="preserve">out </w:t>
      </w:r>
      <w:r w:rsidR="002F5CF6" w:rsidRPr="00005E64">
        <w:rPr>
          <w:rFonts w:cs="Arial"/>
          <w:lang w:val="en-US"/>
        </w:rPr>
        <w:t>by the appellant is that the court ought to have first determined the parties' respective rights and obligations, which in turn was a matter of interpreting the loan agreement and assessing on the facts whether the respondents were in breach of their obligations, or not. That if there was a breach of these obligations, TUHF insists that it was then entitled to exercise the remedies provided for in the loan agreement. Those remedies according to TUHF entitled it to launch the second application.</w:t>
      </w:r>
    </w:p>
    <w:p w14:paraId="6E335F48" w14:textId="2094BFE8" w:rsidR="002F5CF6" w:rsidRPr="00005E64" w:rsidRDefault="00005E64" w:rsidP="00005E64">
      <w:pPr>
        <w:spacing w:after="120" w:line="360" w:lineRule="auto"/>
        <w:jc w:val="both"/>
        <w:rPr>
          <w:color w:val="000000"/>
        </w:rPr>
      </w:pPr>
      <w:r w:rsidRPr="00B90779">
        <w:rPr>
          <w:u w:val="single" w:color="FFFFFF" w:themeColor="background1"/>
        </w:rPr>
        <w:t>[45]</w:t>
      </w:r>
      <w:r w:rsidRPr="00B90779">
        <w:rPr>
          <w:u w:val="single" w:color="FFFFFF" w:themeColor="background1"/>
        </w:rPr>
        <w:tab/>
      </w:r>
      <w:r w:rsidR="002F5CF6" w:rsidRPr="00005E64">
        <w:rPr>
          <w:rFonts w:cs="Arial"/>
          <w:lang w:val="en-US"/>
        </w:rPr>
        <w:t>In sum, the respondents are adamant that the appellant’s second application was an abuse of the court process. They insist that the appellant should have not instituted the second application but rather should have supplemented the grounds upon which it sought relief in the first application.</w:t>
      </w:r>
    </w:p>
    <w:p w14:paraId="4AC4272D" w14:textId="008AE492" w:rsidR="002F5CF6" w:rsidRPr="00005E64" w:rsidRDefault="00005E64" w:rsidP="00005E64">
      <w:pPr>
        <w:spacing w:after="240" w:line="360" w:lineRule="auto"/>
        <w:jc w:val="both"/>
        <w:rPr>
          <w:color w:val="000000"/>
        </w:rPr>
      </w:pPr>
      <w:r w:rsidRPr="00B90779">
        <w:rPr>
          <w:u w:val="single" w:color="FFFFFF" w:themeColor="background1"/>
        </w:rPr>
        <w:t>[46]</w:t>
      </w:r>
      <w:r w:rsidRPr="00B90779">
        <w:rPr>
          <w:u w:val="single" w:color="FFFFFF" w:themeColor="background1"/>
        </w:rPr>
        <w:tab/>
      </w:r>
      <w:r w:rsidR="002F5CF6" w:rsidRPr="00005E64">
        <w:rPr>
          <w:rFonts w:cs="Arial"/>
          <w:lang w:val="en-US"/>
        </w:rPr>
        <w:t xml:space="preserve">In this appeal, </w:t>
      </w:r>
      <w:r w:rsidR="007C1196" w:rsidRPr="00005E64">
        <w:rPr>
          <w:rFonts w:cs="Arial"/>
          <w:lang w:val="en-US"/>
        </w:rPr>
        <w:t>I</w:t>
      </w:r>
      <w:r w:rsidR="002F5CF6" w:rsidRPr="00005E64">
        <w:rPr>
          <w:rFonts w:cs="Arial"/>
          <w:lang w:val="en-US"/>
        </w:rPr>
        <w:t xml:space="preserve"> have already made a findi</w:t>
      </w:r>
      <w:r w:rsidR="00B90779" w:rsidRPr="00005E64">
        <w:rPr>
          <w:rFonts w:cs="Arial"/>
          <w:lang w:val="en-US"/>
        </w:rPr>
        <w:t>ng and dismissed the respondent</w:t>
      </w:r>
      <w:r w:rsidR="002F5CF6" w:rsidRPr="00005E64">
        <w:rPr>
          <w:rFonts w:cs="Arial"/>
          <w:lang w:val="en-US"/>
        </w:rPr>
        <w:t>s</w:t>
      </w:r>
      <w:r w:rsidR="00B90779" w:rsidRPr="00005E64">
        <w:rPr>
          <w:rFonts w:cs="Arial"/>
          <w:lang w:val="en-US"/>
        </w:rPr>
        <w:t>’</w:t>
      </w:r>
      <w:r w:rsidR="002F5CF6" w:rsidRPr="00005E64">
        <w:rPr>
          <w:rFonts w:cs="Arial"/>
          <w:lang w:val="en-US"/>
        </w:rPr>
        <w:t xml:space="preserve"> plea of</w:t>
      </w:r>
      <w:r w:rsidR="002F5CF6" w:rsidRPr="00005E64">
        <w:rPr>
          <w:rFonts w:cs="Arial"/>
          <w:i/>
          <w:lang w:val="en-US"/>
        </w:rPr>
        <w:t xml:space="preserve"> lis pendens. </w:t>
      </w:r>
      <w:r w:rsidR="007C1196" w:rsidRPr="00005E64">
        <w:rPr>
          <w:rFonts w:cs="Arial"/>
          <w:lang w:val="en-US"/>
        </w:rPr>
        <w:t>My</w:t>
      </w:r>
      <w:r w:rsidR="00B90779" w:rsidRPr="00005E64">
        <w:rPr>
          <w:rFonts w:cs="Arial"/>
          <w:lang w:val="en-US"/>
        </w:rPr>
        <w:t xml:space="preserve"> finding is that the respondent</w:t>
      </w:r>
      <w:r w:rsidR="002F5CF6" w:rsidRPr="00005E64">
        <w:rPr>
          <w:rFonts w:cs="Arial"/>
          <w:lang w:val="en-US"/>
        </w:rPr>
        <w:t>s</w:t>
      </w:r>
      <w:r w:rsidR="00B90779" w:rsidRPr="00005E64">
        <w:rPr>
          <w:rFonts w:cs="Arial"/>
          <w:lang w:val="en-US"/>
        </w:rPr>
        <w:t>’</w:t>
      </w:r>
      <w:r w:rsidR="002F5CF6" w:rsidRPr="00005E64">
        <w:rPr>
          <w:rFonts w:cs="Arial"/>
          <w:lang w:val="en-US"/>
        </w:rPr>
        <w:t xml:space="preserve"> conduct in disputing the validity of the third respondent's suretyship amounted to a</w:t>
      </w:r>
      <w:r w:rsidR="002F5CF6" w:rsidRPr="00005E64">
        <w:rPr>
          <w:rFonts w:cs="Arial"/>
          <w:i/>
          <w:lang w:val="en-US"/>
        </w:rPr>
        <w:t xml:space="preserve"> </w:t>
      </w:r>
      <w:r w:rsidR="002F5CF6" w:rsidRPr="00005E64">
        <w:rPr>
          <w:rFonts w:cs="Arial"/>
          <w:lang w:val="en-US"/>
        </w:rPr>
        <w:t xml:space="preserve">separate breach of the loan agreement which entitled TUHF to launch the second application. Evidently, the breach of the monthly repayments by the respondents is clearly a separate event of default. Our view is that it is the loan agreement's express provision that gave the appellant the right to launch the second application and to seek the relief that </w:t>
      </w:r>
      <w:r w:rsidR="00B90779" w:rsidRPr="00005E64">
        <w:rPr>
          <w:rFonts w:cs="Arial"/>
          <w:lang w:val="en-US"/>
        </w:rPr>
        <w:t>T</w:t>
      </w:r>
      <w:r w:rsidR="002F5CF6" w:rsidRPr="00005E64">
        <w:rPr>
          <w:rFonts w:cs="Arial"/>
          <w:lang w:val="en-US"/>
        </w:rPr>
        <w:t>UHF sought. It must therefore follow that the Senyatsi J erred in finding that TUHF's second application amounted to an abuse of the court process.</w:t>
      </w:r>
    </w:p>
    <w:p w14:paraId="79F9DE4D" w14:textId="6B38B82B" w:rsidR="002F5CF6" w:rsidRPr="00B90779" w:rsidRDefault="00B90779" w:rsidP="00792047">
      <w:pPr>
        <w:pStyle w:val="ListParagraph"/>
        <w:keepNext/>
        <w:spacing w:after="120" w:line="360" w:lineRule="auto"/>
        <w:ind w:left="0"/>
        <w:jc w:val="both"/>
        <w:rPr>
          <w:color w:val="000000"/>
        </w:rPr>
      </w:pPr>
      <w:r>
        <w:rPr>
          <w:rFonts w:cs="Arial"/>
          <w:b/>
          <w:lang w:val="en-US"/>
        </w:rPr>
        <w:t>Rule 46</w:t>
      </w:r>
      <w:r w:rsidR="002F5CF6" w:rsidRPr="00B90779">
        <w:rPr>
          <w:rFonts w:cs="Arial"/>
          <w:b/>
          <w:lang w:val="en-US"/>
        </w:rPr>
        <w:t>A</w:t>
      </w:r>
    </w:p>
    <w:p w14:paraId="76F0E721" w14:textId="36CDBC3D" w:rsidR="002F5CF6" w:rsidRPr="00005E64" w:rsidRDefault="00005E64" w:rsidP="00005E64">
      <w:pPr>
        <w:spacing w:after="120" w:line="360" w:lineRule="auto"/>
        <w:jc w:val="both"/>
        <w:rPr>
          <w:color w:val="000000"/>
        </w:rPr>
      </w:pPr>
      <w:r w:rsidRPr="003F76F0">
        <w:rPr>
          <w:u w:val="single" w:color="FFFFFF" w:themeColor="background1"/>
        </w:rPr>
        <w:t>[47]</w:t>
      </w:r>
      <w:r w:rsidRPr="003F76F0">
        <w:rPr>
          <w:u w:val="single" w:color="FFFFFF" w:themeColor="background1"/>
        </w:rPr>
        <w:tab/>
      </w:r>
      <w:r w:rsidR="002F5CF6" w:rsidRPr="00005E64">
        <w:rPr>
          <w:rFonts w:cs="Arial"/>
          <w:lang w:val="en-US"/>
        </w:rPr>
        <w:t xml:space="preserve">The issue that </w:t>
      </w:r>
      <w:r w:rsidR="00B90779" w:rsidRPr="00005E64">
        <w:rPr>
          <w:rFonts w:cs="Arial"/>
          <w:lang w:val="en-US"/>
        </w:rPr>
        <w:t xml:space="preserve">required </w:t>
      </w:r>
      <w:r w:rsidR="002F5CF6" w:rsidRPr="00005E64">
        <w:rPr>
          <w:rFonts w:cs="Arial"/>
          <w:lang w:val="en-US"/>
        </w:rPr>
        <w:t xml:space="preserve">to be decided by the </w:t>
      </w:r>
      <w:r w:rsidR="007C1196" w:rsidRPr="00005E64">
        <w:rPr>
          <w:rFonts w:cs="Arial"/>
          <w:lang w:val="en-US"/>
        </w:rPr>
        <w:t>c</w:t>
      </w:r>
      <w:r w:rsidR="002F5CF6" w:rsidRPr="00005E64">
        <w:rPr>
          <w:rFonts w:cs="Arial"/>
          <w:lang w:val="en-US"/>
        </w:rPr>
        <w:t>ourt was whether TUHF is entitled to an order to declare the immovable property</w:t>
      </w:r>
      <w:r w:rsidR="00B90779" w:rsidRPr="00005E64">
        <w:rPr>
          <w:rFonts w:cs="Arial"/>
          <w:lang w:val="en-US"/>
        </w:rPr>
        <w:t>, being</w:t>
      </w:r>
      <w:r w:rsidR="002F5CF6" w:rsidRPr="00005E64">
        <w:rPr>
          <w:rFonts w:cs="Arial"/>
          <w:lang w:val="en-US"/>
        </w:rPr>
        <w:t xml:space="preserve"> </w:t>
      </w:r>
      <w:r w:rsidR="00B90779" w:rsidRPr="00005E64">
        <w:rPr>
          <w:rFonts w:cs="Arial"/>
          <w:lang w:val="en-US"/>
        </w:rPr>
        <w:t xml:space="preserve">Erf 2154 Johannesburg Township, Registration Division IR </w:t>
      </w:r>
      <w:r w:rsidR="002F5CF6" w:rsidRPr="00005E64">
        <w:rPr>
          <w:rFonts w:cs="Arial"/>
          <w:lang w:val="en-US"/>
        </w:rPr>
        <w:t>(the immovable property)</w:t>
      </w:r>
      <w:r w:rsidR="00B90779" w:rsidRPr="00005E64">
        <w:rPr>
          <w:rFonts w:cs="Arial"/>
          <w:lang w:val="en-US"/>
        </w:rPr>
        <w:t>,</w:t>
      </w:r>
      <w:r w:rsidR="002F5CF6" w:rsidRPr="00005E64">
        <w:rPr>
          <w:rFonts w:cs="Arial"/>
          <w:lang w:val="en-US"/>
        </w:rPr>
        <w:t xml:space="preserve"> </w:t>
      </w:r>
      <w:r w:rsidR="002F5CF6" w:rsidRPr="00005E64">
        <w:rPr>
          <w:rFonts w:cs="Arial"/>
          <w:lang w:val="en-US"/>
        </w:rPr>
        <w:lastRenderedPageBreak/>
        <w:t>specially executable in</w:t>
      </w:r>
      <w:r w:rsidR="00B90779" w:rsidRPr="00005E64">
        <w:rPr>
          <w:rFonts w:cs="Arial"/>
          <w:lang w:val="en-US"/>
        </w:rPr>
        <w:t xml:space="preserve"> terms Rule 46</w:t>
      </w:r>
      <w:r w:rsidR="002F5CF6" w:rsidRPr="00005E64">
        <w:rPr>
          <w:rFonts w:cs="Arial"/>
          <w:lang w:val="en-US"/>
        </w:rPr>
        <w:t>A of the Uniform Rules of court. However, Senyatsi J did not make any ruling on this aspect as a result this court had to decide in this regard.</w:t>
      </w:r>
    </w:p>
    <w:p w14:paraId="309D3068" w14:textId="3059999E" w:rsidR="002F5CF6" w:rsidRPr="00005E64" w:rsidRDefault="00005E64" w:rsidP="00005E64">
      <w:pPr>
        <w:spacing w:after="120" w:line="360" w:lineRule="auto"/>
        <w:jc w:val="both"/>
        <w:rPr>
          <w:color w:val="000000"/>
        </w:rPr>
      </w:pPr>
      <w:r w:rsidRPr="003F76F0">
        <w:rPr>
          <w:u w:val="single" w:color="FFFFFF" w:themeColor="background1"/>
        </w:rPr>
        <w:t>[48]</w:t>
      </w:r>
      <w:r w:rsidRPr="003F76F0">
        <w:rPr>
          <w:u w:val="single" w:color="FFFFFF" w:themeColor="background1"/>
        </w:rPr>
        <w:tab/>
      </w:r>
      <w:r w:rsidR="002F5CF6" w:rsidRPr="00005E64">
        <w:rPr>
          <w:rFonts w:cs="Arial"/>
          <w:lang w:val="en-US"/>
        </w:rPr>
        <w:t>TUHF insists that it is entitled to the order on the basis that the property is a large multi-unit residential property comprising 51 residential units which are owned by 68 Wolmarans</w:t>
      </w:r>
      <w:r w:rsidR="003F76F0" w:rsidRPr="00005E64">
        <w:rPr>
          <w:rFonts w:cs="Arial"/>
          <w:lang w:val="en-US"/>
        </w:rPr>
        <w:t xml:space="preserve"> Street</w:t>
      </w:r>
      <w:r w:rsidR="002F5CF6" w:rsidRPr="00005E64">
        <w:rPr>
          <w:rFonts w:cs="Arial"/>
          <w:lang w:val="en-US"/>
        </w:rPr>
        <w:t>. According to the appellant, as a legal entity 68 Wolmarans</w:t>
      </w:r>
      <w:r w:rsidR="003F76F0" w:rsidRPr="00005E64">
        <w:rPr>
          <w:rFonts w:cs="Arial"/>
          <w:lang w:val="en-US"/>
        </w:rPr>
        <w:t xml:space="preserve"> Street</w:t>
      </w:r>
      <w:r w:rsidR="002F5CF6" w:rsidRPr="00005E64">
        <w:rPr>
          <w:rFonts w:cs="Arial"/>
          <w:lang w:val="en-US"/>
        </w:rPr>
        <w:t xml:space="preserve"> is not capable of having a primary residence nor is the case being made by the respondents that the third respondent</w:t>
      </w:r>
      <w:r w:rsidR="003F76F0" w:rsidRPr="00005E64">
        <w:rPr>
          <w:rFonts w:cs="Arial"/>
          <w:lang w:val="en-US"/>
        </w:rPr>
        <w:t>,</w:t>
      </w:r>
      <w:r w:rsidR="002F5CF6" w:rsidRPr="00005E64">
        <w:rPr>
          <w:rFonts w:cs="Arial"/>
          <w:lang w:val="en-US"/>
        </w:rPr>
        <w:t xml:space="preserve"> its director</w:t>
      </w:r>
      <w:r w:rsidR="003F76F0" w:rsidRPr="00005E64">
        <w:rPr>
          <w:rFonts w:cs="Arial"/>
          <w:lang w:val="en-US"/>
        </w:rPr>
        <w:t>,</w:t>
      </w:r>
      <w:r w:rsidR="002F5CF6" w:rsidRPr="00005E64">
        <w:rPr>
          <w:rFonts w:cs="Arial"/>
          <w:lang w:val="en-US"/>
        </w:rPr>
        <w:t xml:space="preserve"> or shareholder uses 68 Wolmarans Street as </w:t>
      </w:r>
      <w:r w:rsidR="003F76F0" w:rsidRPr="00005E64">
        <w:rPr>
          <w:rFonts w:cs="Arial"/>
          <w:lang w:val="en-US"/>
        </w:rPr>
        <w:t>their</w:t>
      </w:r>
      <w:r w:rsidR="002F5CF6" w:rsidRPr="00005E64">
        <w:rPr>
          <w:rFonts w:cs="Arial"/>
          <w:lang w:val="en-US"/>
        </w:rPr>
        <w:t xml:space="preserve"> primary residence. </w:t>
      </w:r>
    </w:p>
    <w:p w14:paraId="32A8A123" w14:textId="6C02A847" w:rsidR="002F5CF6" w:rsidRPr="00005E64" w:rsidRDefault="00005E64" w:rsidP="00005E64">
      <w:pPr>
        <w:spacing w:after="120" w:line="360" w:lineRule="auto"/>
        <w:jc w:val="both"/>
        <w:rPr>
          <w:color w:val="000000"/>
        </w:rPr>
      </w:pPr>
      <w:r w:rsidRPr="003F76F0">
        <w:rPr>
          <w:u w:val="single" w:color="FFFFFF" w:themeColor="background1"/>
        </w:rPr>
        <w:t>[49]</w:t>
      </w:r>
      <w:r w:rsidRPr="003F76F0">
        <w:rPr>
          <w:u w:val="single" w:color="FFFFFF" w:themeColor="background1"/>
        </w:rPr>
        <w:tab/>
      </w:r>
      <w:r w:rsidR="002F5CF6" w:rsidRPr="00005E64">
        <w:rPr>
          <w:rFonts w:cs="Arial"/>
          <w:lang w:val="en-US"/>
        </w:rPr>
        <w:t>The core of the respondent's submission is that the fact that the immovable property is owned by the first respondent, being (a juristic entity)</w:t>
      </w:r>
      <w:r w:rsidR="003F76F0" w:rsidRPr="00005E64">
        <w:rPr>
          <w:rFonts w:cs="Arial"/>
          <w:lang w:val="en-US"/>
        </w:rPr>
        <w:t>,</w:t>
      </w:r>
      <w:r w:rsidR="002F5CF6" w:rsidRPr="00005E64">
        <w:rPr>
          <w:rFonts w:cs="Arial"/>
          <w:lang w:val="en-US"/>
        </w:rPr>
        <w:t xml:space="preserve"> and is used for residential purposes, this therefore does not follow that Rule 46A is not applicable. Even though the respondents concede that the immovable property is only occupied by the first respondent's tenants, they insist that the TUHF ought to have given notice of the proceedings to the occupants, that is the persons who would be affected by the execution. Accordingly, argues the respondents, </w:t>
      </w:r>
      <w:r w:rsidR="003F76F0" w:rsidRPr="00005E64">
        <w:rPr>
          <w:rFonts w:cs="Arial"/>
          <w:lang w:val="en-US"/>
        </w:rPr>
        <w:t>the</w:t>
      </w:r>
      <w:r w:rsidR="002F5CF6" w:rsidRPr="00005E64">
        <w:rPr>
          <w:rFonts w:cs="Arial"/>
          <w:lang w:val="en-US"/>
        </w:rPr>
        <w:t xml:space="preserve"> appellant is not entitled to execute against the first respondent’s immovable property. Finally, TUHF's relevant factors being the evaluation of the immovable property were not stated in the appellant'</w:t>
      </w:r>
      <w:r w:rsidR="003F76F0" w:rsidRPr="00005E64">
        <w:rPr>
          <w:rFonts w:cs="Arial"/>
          <w:lang w:val="en-US"/>
        </w:rPr>
        <w:t>s affidavit in terms of Rule 46</w:t>
      </w:r>
      <w:r w:rsidR="002F5CF6" w:rsidRPr="00005E64">
        <w:rPr>
          <w:rFonts w:cs="Arial"/>
          <w:lang w:val="en-US"/>
        </w:rPr>
        <w:t>A (5).</w:t>
      </w:r>
    </w:p>
    <w:p w14:paraId="01B0FAFB" w14:textId="494361FD" w:rsidR="002F5CF6" w:rsidRPr="00005E64" w:rsidRDefault="00005E64" w:rsidP="00005E64">
      <w:pPr>
        <w:spacing w:after="120" w:line="360" w:lineRule="auto"/>
        <w:jc w:val="both"/>
        <w:rPr>
          <w:color w:val="000000"/>
        </w:rPr>
      </w:pPr>
      <w:r w:rsidRPr="003F76F0">
        <w:rPr>
          <w:u w:val="single" w:color="FFFFFF" w:themeColor="background1"/>
        </w:rPr>
        <w:t>[50]</w:t>
      </w:r>
      <w:r w:rsidRPr="003F76F0">
        <w:rPr>
          <w:u w:val="single" w:color="FFFFFF" w:themeColor="background1"/>
        </w:rPr>
        <w:tab/>
      </w:r>
      <w:r w:rsidR="002F5CF6" w:rsidRPr="00005E64">
        <w:rPr>
          <w:rFonts w:cs="Arial"/>
          <w:lang w:val="en-US"/>
        </w:rPr>
        <w:t>The</w:t>
      </w:r>
      <w:r w:rsidR="003F76F0" w:rsidRPr="00005E64">
        <w:rPr>
          <w:rFonts w:cs="Arial"/>
          <w:lang w:val="en-US"/>
        </w:rPr>
        <w:t xml:space="preserve"> principles relating to the</w:t>
      </w:r>
      <w:r w:rsidR="002F5CF6" w:rsidRPr="00005E64">
        <w:rPr>
          <w:rFonts w:cs="Arial"/>
          <w:lang w:val="en-US"/>
        </w:rPr>
        <w:t xml:space="preserve"> provisions of Rule 46A are trite and have been dealt with in numerous decisions of our courts. In my view, the first respondent is a legal entity, it is not an individual and a natural person, therefore the provisions of rule 46 </w:t>
      </w:r>
      <w:r w:rsidR="003F76F0" w:rsidRPr="00005E64">
        <w:rPr>
          <w:rFonts w:cs="Arial"/>
          <w:lang w:val="en-US"/>
        </w:rPr>
        <w:t>A are not applicable to it. See</w:t>
      </w:r>
      <w:r w:rsidR="002F5CF6" w:rsidRPr="00005E64">
        <w:rPr>
          <w:rFonts w:cs="Arial"/>
          <w:lang w:val="en-US"/>
        </w:rPr>
        <w:t xml:space="preserve"> </w:t>
      </w:r>
      <w:r w:rsidR="002F5CF6" w:rsidRPr="00005E64">
        <w:rPr>
          <w:rFonts w:cs="Arial"/>
          <w:i/>
          <w:lang w:val="en-US"/>
        </w:rPr>
        <w:t>Investec Bank Ltd v Fraser N.O and Others</w:t>
      </w:r>
      <w:r w:rsidR="003F76F0">
        <w:rPr>
          <w:rStyle w:val="FootnoteReference"/>
          <w:i/>
          <w:lang w:val="en-US"/>
        </w:rPr>
        <w:footnoteReference w:id="10"/>
      </w:r>
      <w:r w:rsidR="002F5CF6" w:rsidRPr="00005E64">
        <w:rPr>
          <w:rFonts w:cs="Arial"/>
          <w:lang w:val="en-US"/>
        </w:rPr>
        <w:t>.</w:t>
      </w:r>
    </w:p>
    <w:p w14:paraId="77C7D413" w14:textId="51585013" w:rsidR="002F5CF6" w:rsidRPr="00005E64" w:rsidRDefault="00005E64" w:rsidP="00005E64">
      <w:pPr>
        <w:spacing w:after="120" w:line="360" w:lineRule="auto"/>
        <w:jc w:val="both"/>
        <w:rPr>
          <w:color w:val="000000"/>
        </w:rPr>
      </w:pPr>
      <w:r w:rsidRPr="003F76F0">
        <w:rPr>
          <w:u w:val="single" w:color="FFFFFF" w:themeColor="background1"/>
        </w:rPr>
        <w:t>[51]</w:t>
      </w:r>
      <w:r w:rsidRPr="003F76F0">
        <w:rPr>
          <w:u w:val="single" w:color="FFFFFF" w:themeColor="background1"/>
        </w:rPr>
        <w:tab/>
      </w:r>
      <w:r w:rsidR="002F5CF6" w:rsidRPr="00005E64">
        <w:rPr>
          <w:rFonts w:cs="Arial"/>
          <w:lang w:val="en-US"/>
        </w:rPr>
        <w:t xml:space="preserve">Significantly, at the hearing of this appeal, the parties advised us that in a separate case under case number A5015/2022, involving the same parties, a Full Court of this division made a ruling and declared that the immovable property specifically executable and the Full Court authorized TUHF to attach and sell the immovable property in execution. Having regard to all the facts and pleadings in </w:t>
      </w:r>
      <w:r w:rsidR="002F5CF6" w:rsidRPr="00005E64">
        <w:rPr>
          <w:rFonts w:cs="Arial"/>
          <w:lang w:val="en-US"/>
        </w:rPr>
        <w:lastRenderedPageBreak/>
        <w:t>this case, we agree with the full court's decision. This therefore means that until the full court's</w:t>
      </w:r>
      <w:r w:rsidR="003F76F0" w:rsidRPr="00005E64">
        <w:rPr>
          <w:rFonts w:cs="Arial"/>
          <w:lang w:val="en-US"/>
        </w:rPr>
        <w:t xml:space="preserve"> decision </w:t>
      </w:r>
      <w:r w:rsidR="00B92E03" w:rsidRPr="00005E64">
        <w:rPr>
          <w:rFonts w:cs="Arial"/>
          <w:lang w:val="en-US"/>
        </w:rPr>
        <w:t>is set</w:t>
      </w:r>
      <w:r w:rsidR="002F5CF6" w:rsidRPr="00005E64">
        <w:rPr>
          <w:rFonts w:cs="Arial"/>
          <w:lang w:val="en-US"/>
        </w:rPr>
        <w:t xml:space="preserve"> aside, this court is bound by this decision.</w:t>
      </w:r>
    </w:p>
    <w:p w14:paraId="06530A83" w14:textId="46D6ADB6" w:rsidR="002F5CF6" w:rsidRPr="00005E64" w:rsidRDefault="00005E64" w:rsidP="00005E64">
      <w:pPr>
        <w:spacing w:after="240" w:line="360" w:lineRule="auto"/>
        <w:jc w:val="both"/>
        <w:rPr>
          <w:color w:val="000000"/>
        </w:rPr>
      </w:pPr>
      <w:r w:rsidRPr="003F76F0">
        <w:rPr>
          <w:u w:val="single" w:color="FFFFFF" w:themeColor="background1"/>
        </w:rPr>
        <w:t>[52]</w:t>
      </w:r>
      <w:r w:rsidRPr="003F76F0">
        <w:rPr>
          <w:u w:val="single" w:color="FFFFFF" w:themeColor="background1"/>
        </w:rPr>
        <w:tab/>
      </w:r>
      <w:r w:rsidR="003F76F0" w:rsidRPr="00005E64">
        <w:rPr>
          <w:rFonts w:cs="Arial"/>
          <w:lang w:val="en-US"/>
        </w:rPr>
        <w:t>In all the circumstances</w:t>
      </w:r>
      <w:r w:rsidR="002F5CF6" w:rsidRPr="00005E64">
        <w:rPr>
          <w:rFonts w:cs="Arial"/>
          <w:lang w:val="en-US"/>
        </w:rPr>
        <w:t xml:space="preserve">, I am satisfied that the appellant has discharged the </w:t>
      </w:r>
      <w:r w:rsidR="002F5CF6" w:rsidRPr="00005E64">
        <w:rPr>
          <w:rFonts w:cs="Arial"/>
          <w:i/>
          <w:iCs/>
          <w:lang w:val="en-US"/>
        </w:rPr>
        <w:t>onus</w:t>
      </w:r>
      <w:r w:rsidR="002F5CF6" w:rsidRPr="00005E64">
        <w:rPr>
          <w:rFonts w:cs="Arial"/>
          <w:lang w:val="en-US"/>
        </w:rPr>
        <w:t xml:space="preserve"> that rested on its shoulders and the appeal ought to succeed.  There is no reason why the costs should not follow the </w:t>
      </w:r>
      <w:r w:rsidR="00B92E03" w:rsidRPr="00005E64">
        <w:rPr>
          <w:rFonts w:cs="Arial"/>
          <w:lang w:val="en-US"/>
        </w:rPr>
        <w:t>result.</w:t>
      </w:r>
    </w:p>
    <w:p w14:paraId="41F6FD4F" w14:textId="77777777" w:rsidR="00F922A4" w:rsidRDefault="00F922A4" w:rsidP="00F922A4">
      <w:pPr>
        <w:pStyle w:val="LegalMAINHEADING"/>
        <w:spacing w:before="0" w:after="120" w:line="360" w:lineRule="auto"/>
      </w:pPr>
      <w:r>
        <w:rPr>
          <w:caps w:val="0"/>
        </w:rPr>
        <w:t>Order</w:t>
      </w:r>
    </w:p>
    <w:p w14:paraId="3B6087C8" w14:textId="6C07DF93" w:rsidR="00447076" w:rsidRPr="00F922A4" w:rsidRDefault="00005E64" w:rsidP="00005E64">
      <w:pPr>
        <w:pStyle w:val="LegalList1"/>
        <w:spacing w:after="120" w:line="360" w:lineRule="auto"/>
        <w:rPr>
          <w:color w:val="000000"/>
        </w:rPr>
      </w:pPr>
      <w:r w:rsidRPr="00F922A4">
        <w:rPr>
          <w:u w:val="single" w:color="FFFFFF" w:themeColor="background1"/>
        </w:rPr>
        <w:t>[53]</w:t>
      </w:r>
      <w:r w:rsidRPr="00F922A4">
        <w:rPr>
          <w:u w:val="single" w:color="FFFFFF" w:themeColor="background1"/>
        </w:rPr>
        <w:tab/>
      </w:r>
      <w:r w:rsidR="00447076">
        <w:t xml:space="preserve">In the result, </w:t>
      </w:r>
      <w:r w:rsidR="005D0D24">
        <w:t>the following order</w:t>
      </w:r>
      <w:r w:rsidR="00D82EB8">
        <w:t xml:space="preserve"> is </w:t>
      </w:r>
      <w:r w:rsidR="002911F6">
        <w:t>made: -</w:t>
      </w:r>
    </w:p>
    <w:p w14:paraId="6C43B3A7" w14:textId="5520F29A" w:rsidR="00D9433B" w:rsidRDefault="00005E64" w:rsidP="00005E64">
      <w:pPr>
        <w:pStyle w:val="LegalList1"/>
        <w:spacing w:after="120" w:line="360" w:lineRule="auto"/>
        <w:ind w:left="567" w:hanging="567"/>
      </w:pPr>
      <w:r>
        <w:t>(1)</w:t>
      </w:r>
      <w:r>
        <w:tab/>
      </w:r>
      <w:r w:rsidR="00D9433B">
        <w:t xml:space="preserve">The appellant’s appeal against the order of the court </w:t>
      </w:r>
      <w:r w:rsidR="00D9433B" w:rsidRPr="002D2AF2">
        <w:rPr>
          <w:i/>
        </w:rPr>
        <w:t>a quo</w:t>
      </w:r>
      <w:r w:rsidR="00D9433B">
        <w:t xml:space="preserve"> is upheld, with costs.</w:t>
      </w:r>
    </w:p>
    <w:p w14:paraId="7C500CD1" w14:textId="2CE48076" w:rsidR="00D9433B" w:rsidRDefault="00005E64" w:rsidP="00005E64">
      <w:pPr>
        <w:pStyle w:val="LegalList1"/>
        <w:spacing w:after="0" w:line="360" w:lineRule="auto"/>
        <w:ind w:left="567" w:hanging="567"/>
      </w:pPr>
      <w:r>
        <w:t>(2)</w:t>
      </w:r>
      <w:r>
        <w:tab/>
      </w:r>
      <w:r w:rsidR="00D9433B">
        <w:t xml:space="preserve">The order of the court </w:t>
      </w:r>
      <w:r w:rsidR="00D9433B" w:rsidRPr="000A688E">
        <w:rPr>
          <w:i/>
        </w:rPr>
        <w:t>a quo</w:t>
      </w:r>
      <w:r w:rsidR="00D9433B">
        <w:t xml:space="preserve"> is set aside and in its place is substituted the following: - </w:t>
      </w:r>
    </w:p>
    <w:p w14:paraId="2608B792" w14:textId="77777777" w:rsidR="00D9433B" w:rsidRPr="000517C1" w:rsidRDefault="00D9433B" w:rsidP="00D9433B">
      <w:pPr>
        <w:pStyle w:val="LegalList1"/>
        <w:spacing w:after="0" w:line="360" w:lineRule="auto"/>
        <w:ind w:left="851" w:hanging="567"/>
        <w:rPr>
          <w:sz w:val="20"/>
          <w:szCs w:val="20"/>
        </w:rPr>
      </w:pPr>
      <w:r w:rsidRPr="000517C1">
        <w:rPr>
          <w:sz w:val="20"/>
          <w:szCs w:val="20"/>
        </w:rPr>
        <w:t>‘(1)</w:t>
      </w:r>
      <w:r w:rsidRPr="000517C1">
        <w:rPr>
          <w:sz w:val="20"/>
          <w:szCs w:val="20"/>
        </w:rPr>
        <w:tab/>
        <w:t>Judgment is gra</w:t>
      </w:r>
      <w:r>
        <w:rPr>
          <w:sz w:val="20"/>
          <w:szCs w:val="20"/>
        </w:rPr>
        <w:t>nted in favour of the applicant</w:t>
      </w:r>
      <w:r w:rsidRPr="000517C1">
        <w:rPr>
          <w:sz w:val="20"/>
          <w:szCs w:val="20"/>
        </w:rPr>
        <w:t xml:space="preserve"> against the first, the second and the third respondents, jointly and severally, the one</w:t>
      </w:r>
      <w:r>
        <w:rPr>
          <w:sz w:val="20"/>
          <w:szCs w:val="20"/>
        </w:rPr>
        <w:t xml:space="preserve"> paying the other to be absolved, for: - </w:t>
      </w:r>
    </w:p>
    <w:p w14:paraId="37772971" w14:textId="77777777" w:rsidR="00D9433B" w:rsidRDefault="00D9433B" w:rsidP="00D9433B">
      <w:pPr>
        <w:spacing w:line="360" w:lineRule="auto"/>
        <w:ind w:left="851" w:hanging="567"/>
        <w:jc w:val="both"/>
        <w:rPr>
          <w:sz w:val="22"/>
          <w:szCs w:val="22"/>
        </w:rPr>
      </w:pPr>
      <w:r w:rsidRPr="002C2298">
        <w:rPr>
          <w:color w:val="000000"/>
          <w:sz w:val="22"/>
          <w:szCs w:val="22"/>
        </w:rPr>
        <w:t>‘(a)</w:t>
      </w:r>
      <w:r w:rsidRPr="002C2298">
        <w:rPr>
          <w:color w:val="000000"/>
          <w:sz w:val="22"/>
          <w:szCs w:val="22"/>
        </w:rPr>
        <w:tab/>
      </w:r>
      <w:r w:rsidRPr="000517C1">
        <w:rPr>
          <w:sz w:val="22"/>
          <w:szCs w:val="22"/>
        </w:rPr>
        <w:t xml:space="preserve">68 Wolmarans Street Johannesburg (Pty) Ltd, 10 Fife Avenue Berea (Pty) Ltd and Mark Morris Farber </w:t>
      </w:r>
      <w:r>
        <w:rPr>
          <w:sz w:val="22"/>
          <w:szCs w:val="22"/>
        </w:rPr>
        <w:t>("the Respondents")</w:t>
      </w:r>
      <w:r w:rsidRPr="000517C1">
        <w:rPr>
          <w:sz w:val="22"/>
          <w:szCs w:val="22"/>
        </w:rPr>
        <w:t xml:space="preserve">, jointly and severally, the one paying the others to be absolved, </w:t>
      </w:r>
      <w:r>
        <w:rPr>
          <w:sz w:val="22"/>
          <w:szCs w:val="22"/>
        </w:rPr>
        <w:t>shall pay to the applicant the sum of R4 897 </w:t>
      </w:r>
      <w:r w:rsidRPr="000517C1">
        <w:rPr>
          <w:sz w:val="22"/>
          <w:szCs w:val="22"/>
        </w:rPr>
        <w:t>004.22</w:t>
      </w:r>
      <w:r>
        <w:rPr>
          <w:sz w:val="22"/>
          <w:szCs w:val="22"/>
        </w:rPr>
        <w:t xml:space="preserve">, together </w:t>
      </w:r>
      <w:r w:rsidRPr="000517C1">
        <w:rPr>
          <w:sz w:val="22"/>
          <w:szCs w:val="22"/>
        </w:rPr>
        <w:t xml:space="preserve">with interest </w:t>
      </w:r>
      <w:r>
        <w:rPr>
          <w:sz w:val="22"/>
          <w:szCs w:val="22"/>
        </w:rPr>
        <w:t xml:space="preserve">thereon </w:t>
      </w:r>
      <w:r w:rsidRPr="000517C1">
        <w:rPr>
          <w:sz w:val="22"/>
          <w:szCs w:val="22"/>
        </w:rPr>
        <w:t xml:space="preserve">at the rate of 2.50% above the commercial banks' prime rate plus 1% per year, calculated daily and compounded monthly in arrears from 1 February 2020 to date of </w:t>
      </w:r>
      <w:r>
        <w:rPr>
          <w:sz w:val="22"/>
          <w:szCs w:val="22"/>
        </w:rPr>
        <w:t xml:space="preserve">final </w:t>
      </w:r>
      <w:r w:rsidRPr="000517C1">
        <w:rPr>
          <w:sz w:val="22"/>
          <w:szCs w:val="22"/>
        </w:rPr>
        <w:t>payment, both dates included;</w:t>
      </w:r>
    </w:p>
    <w:p w14:paraId="717D9FE0" w14:textId="77777777" w:rsidR="00D9433B" w:rsidRPr="000517C1" w:rsidRDefault="00D9433B" w:rsidP="00D9433B">
      <w:pPr>
        <w:spacing w:line="360" w:lineRule="auto"/>
        <w:ind w:left="851" w:hanging="567"/>
        <w:jc w:val="both"/>
        <w:rPr>
          <w:sz w:val="22"/>
          <w:szCs w:val="22"/>
        </w:rPr>
      </w:pPr>
      <w:r>
        <w:rPr>
          <w:sz w:val="22"/>
          <w:szCs w:val="22"/>
        </w:rPr>
        <w:t xml:space="preserve"> (b)</w:t>
      </w:r>
      <w:r>
        <w:rPr>
          <w:sz w:val="22"/>
          <w:szCs w:val="22"/>
        </w:rPr>
        <w:tab/>
        <w:t>The a</w:t>
      </w:r>
      <w:r w:rsidRPr="000517C1">
        <w:rPr>
          <w:sz w:val="22"/>
          <w:szCs w:val="22"/>
        </w:rPr>
        <w:t>pplicant is</w:t>
      </w:r>
      <w:r>
        <w:rPr>
          <w:sz w:val="22"/>
          <w:szCs w:val="22"/>
        </w:rPr>
        <w:t>,</w:t>
      </w:r>
      <w:r w:rsidRPr="000517C1">
        <w:rPr>
          <w:sz w:val="22"/>
          <w:szCs w:val="22"/>
        </w:rPr>
        <w:t xml:space="preserve"> with immediate effect</w:t>
      </w:r>
      <w:r>
        <w:rPr>
          <w:sz w:val="22"/>
          <w:szCs w:val="22"/>
        </w:rPr>
        <w:t>,</w:t>
      </w:r>
      <w:r w:rsidRPr="000517C1">
        <w:rPr>
          <w:sz w:val="22"/>
          <w:szCs w:val="22"/>
        </w:rPr>
        <w:t xml:space="preserve"> authorised to take cession of any</w:t>
      </w:r>
      <w:r>
        <w:rPr>
          <w:sz w:val="22"/>
          <w:szCs w:val="22"/>
        </w:rPr>
        <w:t xml:space="preserve"> and all</w:t>
      </w:r>
      <w:r w:rsidRPr="000517C1">
        <w:rPr>
          <w:sz w:val="22"/>
          <w:szCs w:val="22"/>
        </w:rPr>
        <w:t xml:space="preserve"> rental amounts payable by every tenant occupying the immovable prope</w:t>
      </w:r>
      <w:r>
        <w:rPr>
          <w:sz w:val="22"/>
          <w:szCs w:val="22"/>
        </w:rPr>
        <w:t>rty known as Wolbane Mansions (“</w:t>
      </w:r>
      <w:r w:rsidRPr="000517C1">
        <w:rPr>
          <w:sz w:val="22"/>
          <w:szCs w:val="22"/>
        </w:rPr>
        <w:t>the Wolbane Mansions</w:t>
      </w:r>
      <w:r>
        <w:rPr>
          <w:sz w:val="22"/>
          <w:szCs w:val="22"/>
        </w:rPr>
        <w:t xml:space="preserve"> tenants”</w:t>
      </w:r>
      <w:r w:rsidRPr="000517C1">
        <w:rPr>
          <w:sz w:val="22"/>
          <w:szCs w:val="22"/>
        </w:rPr>
        <w:t>) to 68</w:t>
      </w:r>
      <w:r>
        <w:rPr>
          <w:sz w:val="22"/>
          <w:szCs w:val="22"/>
        </w:rPr>
        <w:t> </w:t>
      </w:r>
      <w:r w:rsidRPr="000517C1">
        <w:rPr>
          <w:sz w:val="22"/>
          <w:szCs w:val="22"/>
        </w:rPr>
        <w:t>Wolmarans Street Johannesburg (Pty) Ltd (</w:t>
      </w:r>
      <w:r>
        <w:rPr>
          <w:sz w:val="22"/>
          <w:szCs w:val="22"/>
        </w:rPr>
        <w:t>‘the First Respondent’), alternatively to the r</w:t>
      </w:r>
      <w:r w:rsidRPr="000517C1">
        <w:rPr>
          <w:sz w:val="22"/>
          <w:szCs w:val="22"/>
        </w:rPr>
        <w:t>espondents, further alternatively</w:t>
      </w:r>
      <w:r>
        <w:rPr>
          <w:sz w:val="22"/>
          <w:szCs w:val="22"/>
        </w:rPr>
        <w:t>,</w:t>
      </w:r>
      <w:r w:rsidRPr="000517C1">
        <w:rPr>
          <w:sz w:val="22"/>
          <w:szCs w:val="22"/>
        </w:rPr>
        <w:t xml:space="preserve"> to </w:t>
      </w:r>
      <w:r>
        <w:rPr>
          <w:sz w:val="22"/>
          <w:szCs w:val="22"/>
        </w:rPr>
        <w:t>their</w:t>
      </w:r>
      <w:r w:rsidRPr="000517C1">
        <w:rPr>
          <w:sz w:val="22"/>
          <w:szCs w:val="22"/>
        </w:rPr>
        <w:t xml:space="preserve"> duly authorised agent</w:t>
      </w:r>
      <w:r>
        <w:rPr>
          <w:sz w:val="22"/>
          <w:szCs w:val="22"/>
        </w:rPr>
        <w:t xml:space="preserve"> or agents (“the cession”</w:t>
      </w:r>
      <w:r w:rsidRPr="000517C1">
        <w:rPr>
          <w:sz w:val="22"/>
          <w:szCs w:val="22"/>
        </w:rPr>
        <w:t>);</w:t>
      </w:r>
    </w:p>
    <w:p w14:paraId="7B6B4DAE" w14:textId="77777777" w:rsidR="00D9433B" w:rsidRPr="000517C1" w:rsidRDefault="00D9433B" w:rsidP="00D9433B">
      <w:pPr>
        <w:spacing w:line="360" w:lineRule="auto"/>
        <w:ind w:left="851" w:hanging="567"/>
        <w:jc w:val="both"/>
        <w:rPr>
          <w:sz w:val="22"/>
          <w:szCs w:val="22"/>
        </w:rPr>
      </w:pPr>
      <w:r>
        <w:rPr>
          <w:sz w:val="22"/>
          <w:szCs w:val="22"/>
        </w:rPr>
        <w:t>(c)</w:t>
      </w:r>
      <w:r>
        <w:rPr>
          <w:sz w:val="22"/>
          <w:szCs w:val="22"/>
        </w:rPr>
        <w:tab/>
        <w:t>The r</w:t>
      </w:r>
      <w:r w:rsidRPr="000517C1">
        <w:rPr>
          <w:sz w:val="22"/>
          <w:szCs w:val="22"/>
        </w:rPr>
        <w:t>espondents</w:t>
      </w:r>
      <w:r>
        <w:rPr>
          <w:sz w:val="22"/>
          <w:szCs w:val="22"/>
        </w:rPr>
        <w:t xml:space="preserve"> are ordered and directed to</w:t>
      </w:r>
      <w:r w:rsidRPr="000517C1">
        <w:rPr>
          <w:sz w:val="22"/>
          <w:szCs w:val="22"/>
        </w:rPr>
        <w:t xml:space="preserve"> sign all documents necessary to facilitate</w:t>
      </w:r>
      <w:r>
        <w:rPr>
          <w:sz w:val="22"/>
          <w:szCs w:val="22"/>
        </w:rPr>
        <w:t xml:space="preserve"> and to give effect to </w:t>
      </w:r>
      <w:r w:rsidRPr="000517C1">
        <w:rPr>
          <w:sz w:val="22"/>
          <w:szCs w:val="22"/>
        </w:rPr>
        <w:t xml:space="preserve">the cession in </w:t>
      </w:r>
      <w:r>
        <w:rPr>
          <w:sz w:val="22"/>
          <w:szCs w:val="22"/>
        </w:rPr>
        <w:t>(b)</w:t>
      </w:r>
      <w:r w:rsidRPr="000517C1">
        <w:rPr>
          <w:sz w:val="22"/>
          <w:szCs w:val="22"/>
        </w:rPr>
        <w:t xml:space="preserve"> above, failing which the Sheriff is</w:t>
      </w:r>
      <w:r>
        <w:rPr>
          <w:sz w:val="22"/>
          <w:szCs w:val="22"/>
        </w:rPr>
        <w:t xml:space="preserve"> hereby</w:t>
      </w:r>
      <w:r w:rsidRPr="000517C1">
        <w:rPr>
          <w:sz w:val="22"/>
          <w:szCs w:val="22"/>
        </w:rPr>
        <w:t xml:space="preserve"> authorised to sign all documents necessary to give effect to the cession;</w:t>
      </w:r>
    </w:p>
    <w:p w14:paraId="5E900F69" w14:textId="77777777" w:rsidR="00D9433B" w:rsidRPr="000517C1" w:rsidRDefault="00D9433B" w:rsidP="00D9433B">
      <w:pPr>
        <w:spacing w:line="360" w:lineRule="auto"/>
        <w:ind w:left="851" w:hanging="567"/>
        <w:jc w:val="both"/>
        <w:rPr>
          <w:sz w:val="22"/>
          <w:szCs w:val="22"/>
        </w:rPr>
      </w:pPr>
      <w:r>
        <w:rPr>
          <w:sz w:val="22"/>
          <w:szCs w:val="22"/>
        </w:rPr>
        <w:t>(d)</w:t>
      </w:r>
      <w:r>
        <w:rPr>
          <w:sz w:val="22"/>
          <w:szCs w:val="22"/>
        </w:rPr>
        <w:tab/>
        <w:t>The r</w:t>
      </w:r>
      <w:r w:rsidRPr="000517C1">
        <w:rPr>
          <w:sz w:val="22"/>
          <w:szCs w:val="22"/>
        </w:rPr>
        <w:t xml:space="preserve">espondents </w:t>
      </w:r>
      <w:r>
        <w:rPr>
          <w:sz w:val="22"/>
          <w:szCs w:val="22"/>
        </w:rPr>
        <w:t>shall furnish the a</w:t>
      </w:r>
      <w:r w:rsidRPr="000517C1">
        <w:rPr>
          <w:sz w:val="22"/>
          <w:szCs w:val="22"/>
        </w:rPr>
        <w:t xml:space="preserve">pplicant, within </w:t>
      </w:r>
      <w:r>
        <w:rPr>
          <w:sz w:val="22"/>
          <w:szCs w:val="22"/>
        </w:rPr>
        <w:t>fifteen</w:t>
      </w:r>
      <w:r w:rsidRPr="000517C1">
        <w:rPr>
          <w:sz w:val="22"/>
          <w:szCs w:val="22"/>
        </w:rPr>
        <w:t xml:space="preserve"> days </w:t>
      </w:r>
      <w:r>
        <w:rPr>
          <w:sz w:val="22"/>
          <w:szCs w:val="22"/>
        </w:rPr>
        <w:t>from date of this o</w:t>
      </w:r>
      <w:r w:rsidRPr="000517C1">
        <w:rPr>
          <w:sz w:val="22"/>
          <w:szCs w:val="22"/>
        </w:rPr>
        <w:t>rder, with the names and contact information of the Wolbane Mansions tenants together with: -</w:t>
      </w:r>
    </w:p>
    <w:p w14:paraId="57AC0B15" w14:textId="307FAB89" w:rsidR="00D9433B" w:rsidRPr="00005E64" w:rsidRDefault="00005E64" w:rsidP="00005E64">
      <w:pPr>
        <w:spacing w:line="360" w:lineRule="auto"/>
        <w:ind w:left="1134" w:hanging="283"/>
        <w:jc w:val="both"/>
        <w:rPr>
          <w:sz w:val="22"/>
          <w:szCs w:val="22"/>
        </w:rPr>
      </w:pPr>
      <w:r>
        <w:rPr>
          <w:sz w:val="22"/>
          <w:szCs w:val="22"/>
        </w:rPr>
        <w:lastRenderedPageBreak/>
        <w:t>(iv).</w:t>
      </w:r>
      <w:r>
        <w:rPr>
          <w:sz w:val="22"/>
          <w:szCs w:val="22"/>
        </w:rPr>
        <w:tab/>
      </w:r>
      <w:r w:rsidR="00D9433B" w:rsidRPr="00005E64">
        <w:rPr>
          <w:sz w:val="22"/>
          <w:szCs w:val="22"/>
        </w:rPr>
        <w:t>Copies of any written lease agreements concluded between the first respondent, alternatively the respondents, further alternatively, their duly authorised agent, and the Wolbane Mansions tenants;</w:t>
      </w:r>
    </w:p>
    <w:p w14:paraId="7E31F998" w14:textId="3AA8453A" w:rsidR="00D9433B" w:rsidRPr="00005E64" w:rsidRDefault="00005E64" w:rsidP="00005E64">
      <w:pPr>
        <w:spacing w:line="360" w:lineRule="auto"/>
        <w:ind w:left="1134" w:hanging="283"/>
        <w:jc w:val="both"/>
        <w:rPr>
          <w:sz w:val="22"/>
          <w:szCs w:val="22"/>
        </w:rPr>
      </w:pPr>
      <w:r>
        <w:rPr>
          <w:sz w:val="22"/>
          <w:szCs w:val="22"/>
        </w:rPr>
        <w:t>(v).</w:t>
      </w:r>
      <w:r>
        <w:rPr>
          <w:sz w:val="22"/>
          <w:szCs w:val="22"/>
        </w:rPr>
        <w:tab/>
      </w:r>
      <w:r w:rsidR="00D9433B" w:rsidRPr="00005E64">
        <w:rPr>
          <w:sz w:val="22"/>
          <w:szCs w:val="22"/>
        </w:rPr>
        <w:t>Particularity in respect of the terms of any implied and/or oral terms of any lease agreement concluded with the Wolbane Mansions tenants; and</w:t>
      </w:r>
    </w:p>
    <w:p w14:paraId="5E413BAC" w14:textId="308CB761" w:rsidR="00D9433B" w:rsidRPr="00005E64" w:rsidRDefault="00005E64" w:rsidP="00005E64">
      <w:pPr>
        <w:spacing w:line="360" w:lineRule="auto"/>
        <w:ind w:left="1134" w:hanging="283"/>
        <w:jc w:val="both"/>
        <w:rPr>
          <w:sz w:val="22"/>
          <w:szCs w:val="22"/>
        </w:rPr>
      </w:pPr>
      <w:r w:rsidRPr="00394E07">
        <w:rPr>
          <w:sz w:val="22"/>
          <w:szCs w:val="22"/>
        </w:rPr>
        <w:t>(vi).</w:t>
      </w:r>
      <w:r w:rsidRPr="00394E07">
        <w:rPr>
          <w:sz w:val="22"/>
          <w:szCs w:val="22"/>
        </w:rPr>
        <w:tab/>
      </w:r>
      <w:r w:rsidR="00D9433B" w:rsidRPr="00005E64">
        <w:rPr>
          <w:sz w:val="22"/>
          <w:szCs w:val="22"/>
        </w:rPr>
        <w:t>Particularity and copies of any existing property management mandates for the management of and rental collection at the Wolbane Mansions;</w:t>
      </w:r>
      <w:r w:rsidR="00566FFB" w:rsidRPr="00005E64">
        <w:rPr>
          <w:sz w:val="22"/>
          <w:szCs w:val="22"/>
        </w:rPr>
        <w:t xml:space="preserve"> [CHECK NUMBERING]</w:t>
      </w:r>
    </w:p>
    <w:p w14:paraId="079B0E47" w14:textId="77777777" w:rsidR="00D9433B" w:rsidRPr="000517C1" w:rsidRDefault="00D9433B" w:rsidP="00D9433B">
      <w:pPr>
        <w:spacing w:line="360" w:lineRule="auto"/>
        <w:ind w:left="851" w:hanging="567"/>
        <w:jc w:val="both"/>
        <w:rPr>
          <w:sz w:val="22"/>
          <w:szCs w:val="22"/>
        </w:rPr>
      </w:pPr>
      <w:r>
        <w:rPr>
          <w:sz w:val="22"/>
          <w:szCs w:val="22"/>
        </w:rPr>
        <w:t>(e)</w:t>
      </w:r>
      <w:r>
        <w:rPr>
          <w:sz w:val="22"/>
          <w:szCs w:val="22"/>
        </w:rPr>
        <w:tab/>
        <w:t>The a</w:t>
      </w:r>
      <w:r w:rsidRPr="000517C1">
        <w:rPr>
          <w:sz w:val="22"/>
          <w:szCs w:val="22"/>
        </w:rPr>
        <w:t xml:space="preserve">pplicant </w:t>
      </w:r>
      <w:r>
        <w:rPr>
          <w:sz w:val="22"/>
          <w:szCs w:val="22"/>
        </w:rPr>
        <w:t>is granted leave to</w:t>
      </w:r>
      <w:r w:rsidRPr="000517C1">
        <w:rPr>
          <w:sz w:val="22"/>
          <w:szCs w:val="22"/>
        </w:rPr>
        <w:t xml:space="preserve"> take </w:t>
      </w:r>
      <w:r>
        <w:rPr>
          <w:sz w:val="22"/>
          <w:szCs w:val="22"/>
        </w:rPr>
        <w:t xml:space="preserve">whatever </w:t>
      </w:r>
      <w:r w:rsidRPr="000517C1">
        <w:rPr>
          <w:sz w:val="22"/>
          <w:szCs w:val="22"/>
        </w:rPr>
        <w:t>steps necessary for purposes of collecting rental amounts from the Wolbane Mansions tenants;</w:t>
      </w:r>
    </w:p>
    <w:p w14:paraId="627F76A2" w14:textId="79C97A91" w:rsidR="00D9433B" w:rsidRPr="000517C1" w:rsidRDefault="00D9433B" w:rsidP="00D9433B">
      <w:pPr>
        <w:spacing w:line="360" w:lineRule="auto"/>
        <w:ind w:left="851" w:hanging="567"/>
        <w:jc w:val="both"/>
        <w:rPr>
          <w:sz w:val="22"/>
          <w:szCs w:val="22"/>
        </w:rPr>
      </w:pPr>
      <w:r>
        <w:rPr>
          <w:sz w:val="22"/>
          <w:szCs w:val="22"/>
        </w:rPr>
        <w:t>(f)</w:t>
      </w:r>
      <w:r>
        <w:rPr>
          <w:sz w:val="22"/>
          <w:szCs w:val="22"/>
        </w:rPr>
        <w:tab/>
      </w:r>
      <w:r w:rsidRPr="000517C1">
        <w:rPr>
          <w:sz w:val="22"/>
          <w:szCs w:val="22"/>
        </w:rPr>
        <w:t>The immovable property</w:t>
      </w:r>
      <w:r>
        <w:rPr>
          <w:sz w:val="22"/>
          <w:szCs w:val="22"/>
        </w:rPr>
        <w:t xml:space="preserve">, being </w:t>
      </w:r>
      <w:r w:rsidRPr="000517C1">
        <w:rPr>
          <w:sz w:val="22"/>
          <w:szCs w:val="22"/>
        </w:rPr>
        <w:t>Erf 2154 Johannesburg Township</w:t>
      </w:r>
      <w:r>
        <w:rPr>
          <w:sz w:val="22"/>
          <w:szCs w:val="22"/>
        </w:rPr>
        <w:t>, Registration Division IR</w:t>
      </w:r>
      <w:r w:rsidRPr="000517C1">
        <w:rPr>
          <w:sz w:val="22"/>
          <w:szCs w:val="22"/>
        </w:rPr>
        <w:t xml:space="preserve">, </w:t>
      </w:r>
      <w:r>
        <w:rPr>
          <w:sz w:val="22"/>
          <w:szCs w:val="22"/>
        </w:rPr>
        <w:t xml:space="preserve">Gauteng </w:t>
      </w:r>
      <w:r w:rsidRPr="000517C1">
        <w:rPr>
          <w:sz w:val="22"/>
          <w:szCs w:val="22"/>
        </w:rPr>
        <w:t>Province</w:t>
      </w:r>
      <w:r>
        <w:rPr>
          <w:sz w:val="22"/>
          <w:szCs w:val="22"/>
        </w:rPr>
        <w:t>, m</w:t>
      </w:r>
      <w:r w:rsidRPr="000517C1">
        <w:rPr>
          <w:sz w:val="22"/>
          <w:szCs w:val="22"/>
        </w:rPr>
        <w:t>easuring 467 (Four Hundred and Sixty-Seven) Square Metres</w:t>
      </w:r>
      <w:r>
        <w:rPr>
          <w:sz w:val="22"/>
          <w:szCs w:val="22"/>
        </w:rPr>
        <w:t xml:space="preserve">, </w:t>
      </w:r>
      <w:r w:rsidRPr="000517C1">
        <w:rPr>
          <w:sz w:val="22"/>
          <w:szCs w:val="22"/>
        </w:rPr>
        <w:t xml:space="preserve">Held </w:t>
      </w:r>
      <w:r w:rsidR="00792047" w:rsidRPr="000517C1">
        <w:rPr>
          <w:sz w:val="22"/>
          <w:szCs w:val="22"/>
        </w:rPr>
        <w:t>by</w:t>
      </w:r>
      <w:r w:rsidRPr="000517C1">
        <w:rPr>
          <w:sz w:val="22"/>
          <w:szCs w:val="22"/>
        </w:rPr>
        <w:t xml:space="preserve"> Deed of Transfer Number T7596/2014 (</w:t>
      </w:r>
      <w:r>
        <w:rPr>
          <w:sz w:val="22"/>
          <w:szCs w:val="22"/>
        </w:rPr>
        <w:t>“the immovable property”</w:t>
      </w:r>
      <w:r w:rsidRPr="000517C1">
        <w:rPr>
          <w:sz w:val="22"/>
          <w:szCs w:val="22"/>
        </w:rPr>
        <w:t xml:space="preserve">) be </w:t>
      </w:r>
      <w:r>
        <w:rPr>
          <w:sz w:val="22"/>
          <w:szCs w:val="22"/>
        </w:rPr>
        <w:t xml:space="preserve">and is hereby </w:t>
      </w:r>
      <w:r w:rsidRPr="000517C1">
        <w:rPr>
          <w:sz w:val="22"/>
          <w:szCs w:val="22"/>
        </w:rPr>
        <w:t>declared executable, and the applicant is authorised to issue Writs of Attachment calling upon the Sheriff of the Court t</w:t>
      </w:r>
      <w:r>
        <w:rPr>
          <w:sz w:val="22"/>
          <w:szCs w:val="22"/>
        </w:rPr>
        <w:t>o attach the immovable property and to</w:t>
      </w:r>
      <w:r w:rsidRPr="000517C1">
        <w:rPr>
          <w:sz w:val="22"/>
          <w:szCs w:val="22"/>
        </w:rPr>
        <w:t xml:space="preserve"> sell the immovable property in execution;</w:t>
      </w:r>
    </w:p>
    <w:p w14:paraId="4EF71192" w14:textId="77777777" w:rsidR="00D9433B" w:rsidRDefault="00D9433B" w:rsidP="00D9433B">
      <w:pPr>
        <w:spacing w:line="360" w:lineRule="auto"/>
        <w:ind w:left="851" w:hanging="567"/>
        <w:jc w:val="both"/>
        <w:rPr>
          <w:sz w:val="22"/>
          <w:szCs w:val="22"/>
        </w:rPr>
      </w:pPr>
      <w:r>
        <w:rPr>
          <w:sz w:val="22"/>
          <w:szCs w:val="22"/>
        </w:rPr>
        <w:t>(g)</w:t>
      </w:r>
      <w:r>
        <w:rPr>
          <w:sz w:val="22"/>
          <w:szCs w:val="22"/>
        </w:rPr>
        <w:tab/>
        <w:t>The r</w:t>
      </w:r>
      <w:r w:rsidRPr="000517C1">
        <w:rPr>
          <w:sz w:val="22"/>
          <w:szCs w:val="22"/>
        </w:rPr>
        <w:t>espondents be</w:t>
      </w:r>
      <w:r>
        <w:rPr>
          <w:sz w:val="22"/>
          <w:szCs w:val="22"/>
        </w:rPr>
        <w:t xml:space="preserve"> and is hereby</w:t>
      </w:r>
      <w:r w:rsidRPr="000517C1">
        <w:rPr>
          <w:sz w:val="22"/>
          <w:szCs w:val="22"/>
        </w:rPr>
        <w:t xml:space="preserve"> ordered to pay a penalty fee equal to 5% (Five Percent) plus VAT of the monthly outstanding instalment amount in arrears and unpaid by the </w:t>
      </w:r>
      <w:r>
        <w:rPr>
          <w:sz w:val="22"/>
          <w:szCs w:val="22"/>
        </w:rPr>
        <w:t>f</w:t>
      </w:r>
      <w:r w:rsidRPr="000517C1">
        <w:rPr>
          <w:sz w:val="22"/>
          <w:szCs w:val="22"/>
        </w:rPr>
        <w:t xml:space="preserve">irst </w:t>
      </w:r>
      <w:r>
        <w:rPr>
          <w:sz w:val="22"/>
          <w:szCs w:val="22"/>
        </w:rPr>
        <w:t>r</w:t>
      </w:r>
      <w:r w:rsidRPr="000517C1">
        <w:rPr>
          <w:sz w:val="22"/>
          <w:szCs w:val="22"/>
        </w:rPr>
        <w:t xml:space="preserve">espondent within 2 (Two) days of an Instalment Payment Date as from 10 February 2020, to date of payment in full of </w:t>
      </w:r>
      <w:r>
        <w:rPr>
          <w:sz w:val="22"/>
          <w:szCs w:val="22"/>
        </w:rPr>
        <w:t xml:space="preserve">(a) </w:t>
      </w:r>
      <w:r w:rsidRPr="000517C1">
        <w:rPr>
          <w:sz w:val="22"/>
          <w:szCs w:val="22"/>
        </w:rPr>
        <w:t>above, both dates included;</w:t>
      </w:r>
    </w:p>
    <w:p w14:paraId="7769FD61" w14:textId="77777777" w:rsidR="00D9433B" w:rsidRPr="00D9433B" w:rsidRDefault="00D9433B" w:rsidP="00D9433B">
      <w:pPr>
        <w:spacing w:after="120" w:line="360" w:lineRule="auto"/>
        <w:ind w:left="851" w:hanging="567"/>
        <w:jc w:val="both"/>
        <w:rPr>
          <w:sz w:val="22"/>
          <w:szCs w:val="22"/>
        </w:rPr>
      </w:pPr>
      <w:r>
        <w:rPr>
          <w:sz w:val="22"/>
          <w:szCs w:val="22"/>
        </w:rPr>
        <w:t>(h)</w:t>
      </w:r>
      <w:r>
        <w:rPr>
          <w:sz w:val="22"/>
          <w:szCs w:val="22"/>
        </w:rPr>
        <w:tab/>
        <w:t>the first, the second and the third respondents, jointly and severally, the one paying the other to be absolved, shall pay the applicants’ costs of the application on the scale as between attorney and client, such costs to include the costs consequent upon the employment of two Counsel, one being Senior Counsel (where so employed)</w:t>
      </w:r>
      <w:r w:rsidRPr="002C2298">
        <w:rPr>
          <w:sz w:val="22"/>
          <w:szCs w:val="22"/>
        </w:rPr>
        <w:t>.</w:t>
      </w:r>
      <w:r>
        <w:rPr>
          <w:sz w:val="22"/>
          <w:szCs w:val="22"/>
        </w:rPr>
        <w:t>’</w:t>
      </w:r>
    </w:p>
    <w:p w14:paraId="382A6F4B" w14:textId="022C30AC" w:rsidR="00D9433B" w:rsidRDefault="00005E64" w:rsidP="00005E64">
      <w:pPr>
        <w:pStyle w:val="LegalList1"/>
        <w:spacing w:after="240" w:line="360" w:lineRule="auto"/>
        <w:ind w:left="567" w:hanging="567"/>
      </w:pPr>
      <w:r>
        <w:t>(3)</w:t>
      </w:r>
      <w:r>
        <w:tab/>
      </w:r>
      <w:r w:rsidR="00D9433B">
        <w:t xml:space="preserve">The first, the second and the third respondents, jointly and severally, the one paying the other to be absolved, shall pay the appellant’s costs of the appeal, including the costs of the application for leave to appeal to the court </w:t>
      </w:r>
      <w:r w:rsidR="00D9433B" w:rsidRPr="000D5CD8">
        <w:rPr>
          <w:i/>
        </w:rPr>
        <w:t>a quo</w:t>
      </w:r>
      <w:r w:rsidR="00D9433B">
        <w:t>, all such costs to include the costs consequent upon the employment of two Counsel, one being Senior Counsel (where so employed).</w:t>
      </w:r>
    </w:p>
    <w:p w14:paraId="56FFBC86" w14:textId="77777777" w:rsidR="00C55B3C" w:rsidRPr="00C55B3C" w:rsidRDefault="00872370" w:rsidP="00DF5060">
      <w:pPr>
        <w:pStyle w:val="ListParagraph"/>
        <w:keepNext/>
        <w:keepLines/>
        <w:tabs>
          <w:tab w:val="left" w:pos="0"/>
        </w:tabs>
        <w:spacing w:before="1200"/>
        <w:jc w:val="right"/>
        <w:rPr>
          <w:b/>
          <w:u w:val="single"/>
        </w:rPr>
      </w:pPr>
      <w:r>
        <w:rPr>
          <w:b/>
          <w:u w:val="single"/>
        </w:rPr>
        <w:lastRenderedPageBreak/>
        <w:t>______</w:t>
      </w:r>
      <w:r w:rsidR="00C55B3C" w:rsidRPr="00C55B3C">
        <w:rPr>
          <w:b/>
          <w:u w:val="single"/>
        </w:rPr>
        <w:t>__________________________</w:t>
      </w:r>
    </w:p>
    <w:p w14:paraId="2BF04A41" w14:textId="49F0747B" w:rsidR="00C55B3C" w:rsidRPr="00C55B3C" w:rsidRDefault="00792047" w:rsidP="00CD56FB">
      <w:pPr>
        <w:pStyle w:val="ListParagraph"/>
        <w:keepNext/>
        <w:jc w:val="right"/>
        <w:rPr>
          <w:rFonts w:cs="Arial"/>
          <w:b/>
        </w:rPr>
      </w:pPr>
      <w:r>
        <w:rPr>
          <w:rFonts w:cs="Arial"/>
          <w:b/>
        </w:rPr>
        <w:t>J DLAMINI</w:t>
      </w:r>
    </w:p>
    <w:p w14:paraId="3C5D76D5" w14:textId="77777777" w:rsidR="00C55B3C" w:rsidRPr="00C55B3C" w:rsidRDefault="00C55B3C" w:rsidP="00CD56FB">
      <w:pPr>
        <w:pStyle w:val="ListParagraph"/>
        <w:keepNext/>
        <w:jc w:val="right"/>
        <w:rPr>
          <w:rFonts w:cs="Arial"/>
          <w:i/>
        </w:rPr>
      </w:pPr>
      <w:r w:rsidRPr="00C55B3C">
        <w:rPr>
          <w:rFonts w:cs="Arial"/>
          <w:i/>
        </w:rPr>
        <w:t>Judge of the High Court</w:t>
      </w:r>
    </w:p>
    <w:p w14:paraId="68A48D56" w14:textId="1DE48458" w:rsidR="00C55B3C" w:rsidRDefault="00C55B3C" w:rsidP="00FC7402">
      <w:pPr>
        <w:pStyle w:val="ListParagraph"/>
        <w:spacing w:after="120" w:line="360" w:lineRule="auto"/>
        <w:jc w:val="right"/>
        <w:rPr>
          <w:rFonts w:cs="Arial"/>
          <w:i/>
        </w:rPr>
      </w:pPr>
      <w:r w:rsidRPr="00C55B3C">
        <w:rPr>
          <w:rFonts w:cs="Arial"/>
          <w:i/>
        </w:rPr>
        <w:t>Gauteng Division, Johannesburg</w:t>
      </w:r>
    </w:p>
    <w:p w14:paraId="0BCF12C8" w14:textId="77777777" w:rsidR="00341D13" w:rsidRDefault="00341D13" w:rsidP="00C55B3C">
      <w:pPr>
        <w:pBdr>
          <w:bottom w:val="single" w:sz="6" w:space="1" w:color="auto"/>
        </w:pBdr>
        <w:spacing w:after="360"/>
        <w:rPr>
          <w:rFonts w:cs="Arial"/>
          <w:i/>
        </w:rPr>
      </w:pPr>
    </w:p>
    <w:p w14:paraId="3B5FBB07" w14:textId="77777777" w:rsidR="00DF5060" w:rsidRDefault="00DF5060">
      <w:pPr>
        <w:suppressAutoHyphens w:val="0"/>
      </w:pPr>
      <w:r>
        <w:br w:type="page"/>
      </w:r>
    </w:p>
    <w:tbl>
      <w:tblPr>
        <w:tblW w:w="0" w:type="auto"/>
        <w:tblLook w:val="04A0" w:firstRow="1" w:lastRow="0" w:firstColumn="1" w:lastColumn="0" w:noHBand="0" w:noVBand="1"/>
      </w:tblPr>
      <w:tblGrid>
        <w:gridCol w:w="4263"/>
        <w:gridCol w:w="4239"/>
      </w:tblGrid>
      <w:tr w:rsidR="00595DE2" w14:paraId="7FF36FAB" w14:textId="77777777" w:rsidTr="00595DE2">
        <w:tc>
          <w:tcPr>
            <w:tcW w:w="4263" w:type="dxa"/>
            <w:tcMar>
              <w:top w:w="32" w:type="dxa"/>
              <w:left w:w="108" w:type="dxa"/>
              <w:bottom w:w="32" w:type="dxa"/>
              <w:right w:w="108" w:type="dxa"/>
            </w:tcMar>
            <w:vAlign w:val="center"/>
            <w:hideMark/>
          </w:tcPr>
          <w:p w14:paraId="221043C5" w14:textId="58851F5F" w:rsidR="00595DE2" w:rsidRPr="00595DE2" w:rsidRDefault="00595DE2" w:rsidP="00154F14">
            <w:pPr>
              <w:keepNext/>
              <w:spacing w:before="120" w:after="120"/>
            </w:pPr>
            <w:r>
              <w:lastRenderedPageBreak/>
              <w:t>HEARD ON: </w:t>
            </w:r>
          </w:p>
        </w:tc>
        <w:tc>
          <w:tcPr>
            <w:tcW w:w="4239" w:type="dxa"/>
            <w:tcMar>
              <w:top w:w="32" w:type="dxa"/>
              <w:left w:w="108" w:type="dxa"/>
              <w:bottom w:w="32" w:type="dxa"/>
              <w:right w:w="108" w:type="dxa"/>
            </w:tcMar>
            <w:vAlign w:val="center"/>
            <w:hideMark/>
          </w:tcPr>
          <w:p w14:paraId="6504B07C" w14:textId="1D85EF02" w:rsidR="00595DE2" w:rsidRPr="00595DE2" w:rsidRDefault="00E020F7" w:rsidP="00DA4837">
            <w:pPr>
              <w:keepNext/>
              <w:spacing w:before="120" w:after="120"/>
              <w:jc w:val="both"/>
            </w:pPr>
            <w:r>
              <w:t>6</w:t>
            </w:r>
            <w:r w:rsidRPr="00E020F7">
              <w:rPr>
                <w:vertAlign w:val="superscript"/>
              </w:rPr>
              <w:t>th</w:t>
            </w:r>
            <w:r>
              <w:t xml:space="preserve"> </w:t>
            </w:r>
            <w:r w:rsidR="00DA4837">
              <w:t>September</w:t>
            </w:r>
            <w:r>
              <w:t xml:space="preserve"> 2023</w:t>
            </w:r>
          </w:p>
        </w:tc>
      </w:tr>
      <w:tr w:rsidR="00595DE2" w14:paraId="33F45B32" w14:textId="77777777" w:rsidTr="00595DE2">
        <w:tc>
          <w:tcPr>
            <w:tcW w:w="4263" w:type="dxa"/>
            <w:tcMar>
              <w:top w:w="32" w:type="dxa"/>
              <w:left w:w="108" w:type="dxa"/>
              <w:bottom w:w="32" w:type="dxa"/>
              <w:right w:w="108" w:type="dxa"/>
            </w:tcMar>
            <w:vAlign w:val="center"/>
            <w:hideMark/>
          </w:tcPr>
          <w:p w14:paraId="390FDF2B" w14:textId="77777777" w:rsidR="00595DE2" w:rsidRPr="00595DE2" w:rsidRDefault="00595DE2" w:rsidP="00154F14">
            <w:pPr>
              <w:keepNext/>
              <w:spacing w:before="120" w:after="120"/>
            </w:pPr>
            <w:r>
              <w:t>JUDGMENT DATE: </w:t>
            </w:r>
          </w:p>
        </w:tc>
        <w:tc>
          <w:tcPr>
            <w:tcW w:w="4239" w:type="dxa"/>
            <w:tcMar>
              <w:top w:w="32" w:type="dxa"/>
              <w:left w:w="108" w:type="dxa"/>
              <w:bottom w:w="32" w:type="dxa"/>
              <w:right w:w="108" w:type="dxa"/>
            </w:tcMar>
            <w:vAlign w:val="center"/>
            <w:hideMark/>
          </w:tcPr>
          <w:p w14:paraId="30F14BC4" w14:textId="70FD4498" w:rsidR="00595DE2" w:rsidRDefault="00DA4837" w:rsidP="00DA4837">
            <w:pPr>
              <w:keepNext/>
              <w:spacing w:before="120" w:after="120"/>
              <w:jc w:val="both"/>
            </w:pPr>
            <w:r>
              <w:t>29</w:t>
            </w:r>
            <w:r w:rsidRPr="00DA4837">
              <w:rPr>
                <w:vertAlign w:val="superscript"/>
              </w:rPr>
              <w:t>th</w:t>
            </w:r>
            <w:r>
              <w:t xml:space="preserve"> November</w:t>
            </w:r>
            <w:r w:rsidR="00E020F7">
              <w:t xml:space="preserve"> 2023</w:t>
            </w:r>
            <w:r w:rsidR="00595DE2">
              <w:t xml:space="preserve"> – judgment handed down electronically</w:t>
            </w:r>
          </w:p>
        </w:tc>
      </w:tr>
      <w:tr w:rsidR="00595DE2" w14:paraId="57088DC0" w14:textId="77777777" w:rsidTr="00595DE2">
        <w:tc>
          <w:tcPr>
            <w:tcW w:w="4263" w:type="dxa"/>
            <w:tcMar>
              <w:top w:w="32" w:type="dxa"/>
              <w:left w:w="108" w:type="dxa"/>
              <w:bottom w:w="32" w:type="dxa"/>
              <w:right w:w="108" w:type="dxa"/>
            </w:tcMar>
            <w:vAlign w:val="center"/>
            <w:hideMark/>
          </w:tcPr>
          <w:p w14:paraId="405B6175" w14:textId="3A0BB34E" w:rsidR="00595DE2" w:rsidRPr="00595DE2" w:rsidRDefault="00595DE2" w:rsidP="00E020F7">
            <w:pPr>
              <w:keepNext/>
              <w:spacing w:before="120" w:after="120"/>
            </w:pPr>
            <w:r>
              <w:t xml:space="preserve">FOR THE </w:t>
            </w:r>
            <w:r w:rsidR="00865385">
              <w:t>APPELLANT</w:t>
            </w:r>
            <w:r>
              <w:t>: </w:t>
            </w:r>
          </w:p>
        </w:tc>
        <w:tc>
          <w:tcPr>
            <w:tcW w:w="4239" w:type="dxa"/>
            <w:tcMar>
              <w:top w:w="32" w:type="dxa"/>
              <w:left w:w="108" w:type="dxa"/>
              <w:bottom w:w="32" w:type="dxa"/>
              <w:right w:w="108" w:type="dxa"/>
            </w:tcMar>
            <w:vAlign w:val="center"/>
            <w:hideMark/>
          </w:tcPr>
          <w:p w14:paraId="0CB6AC9C" w14:textId="2B71B580" w:rsidR="00595DE2" w:rsidRPr="00595DE2" w:rsidRDefault="00B32C3A" w:rsidP="00DA4837">
            <w:pPr>
              <w:keepNext/>
              <w:spacing w:before="120" w:after="120"/>
            </w:pPr>
            <w:r>
              <w:t>Adv</w:t>
            </w:r>
            <w:r w:rsidR="00595DE2">
              <w:t xml:space="preserve"> </w:t>
            </w:r>
            <w:r w:rsidR="00DA4837">
              <w:t>Adrian</w:t>
            </w:r>
            <w:r w:rsidR="00A94BD0">
              <w:t xml:space="preserve"> </w:t>
            </w:r>
            <w:r w:rsidR="00DA4837">
              <w:t>Botha</w:t>
            </w:r>
            <w:r>
              <w:t xml:space="preserve"> SC</w:t>
            </w:r>
            <w:r w:rsidR="00DA4837">
              <w:t>, together with Adv Elo</w:t>
            </w:r>
            <w:r w:rsidR="00DA4837">
              <w:rPr>
                <w:rFonts w:cs="Arial"/>
              </w:rPr>
              <w:t>ï</w:t>
            </w:r>
            <w:r w:rsidR="00DA4837">
              <w:t>ze Eksteen</w:t>
            </w:r>
          </w:p>
        </w:tc>
      </w:tr>
      <w:tr w:rsidR="00595DE2" w14:paraId="67BDB5ED" w14:textId="77777777" w:rsidTr="00595DE2">
        <w:tc>
          <w:tcPr>
            <w:tcW w:w="4263" w:type="dxa"/>
            <w:tcMar>
              <w:top w:w="32" w:type="dxa"/>
              <w:left w:w="108" w:type="dxa"/>
              <w:bottom w:w="32" w:type="dxa"/>
              <w:right w:w="108" w:type="dxa"/>
            </w:tcMar>
            <w:vAlign w:val="center"/>
            <w:hideMark/>
          </w:tcPr>
          <w:p w14:paraId="7E32D79D" w14:textId="77777777" w:rsidR="00595DE2" w:rsidRPr="00595DE2" w:rsidRDefault="00595DE2" w:rsidP="00154F14">
            <w:pPr>
              <w:keepNext/>
              <w:spacing w:before="120" w:after="120"/>
            </w:pPr>
            <w:r>
              <w:t>INSTRUCTED BY: </w:t>
            </w:r>
          </w:p>
        </w:tc>
        <w:tc>
          <w:tcPr>
            <w:tcW w:w="4239" w:type="dxa"/>
            <w:tcMar>
              <w:top w:w="32" w:type="dxa"/>
              <w:left w:w="108" w:type="dxa"/>
              <w:bottom w:w="32" w:type="dxa"/>
              <w:right w:w="108" w:type="dxa"/>
            </w:tcMar>
            <w:vAlign w:val="center"/>
            <w:hideMark/>
          </w:tcPr>
          <w:p w14:paraId="7F868C34" w14:textId="0F57198F" w:rsidR="00595DE2" w:rsidRPr="00595DE2" w:rsidRDefault="00DA4837" w:rsidP="00DA4837">
            <w:pPr>
              <w:keepNext/>
              <w:spacing w:before="120" w:after="120"/>
            </w:pPr>
            <w:r>
              <w:t>Schindlers</w:t>
            </w:r>
            <w:r w:rsidR="00E020F7">
              <w:t xml:space="preserve"> Attorneys</w:t>
            </w:r>
            <w:r w:rsidR="00486326">
              <w:t>,</w:t>
            </w:r>
            <w:r w:rsidR="00E020F7">
              <w:t xml:space="preserve"> Melrose Arch,</w:t>
            </w:r>
            <w:r>
              <w:t> </w:t>
            </w:r>
            <w:r w:rsidR="00E020F7">
              <w:t>Johannesburg</w:t>
            </w:r>
          </w:p>
        </w:tc>
      </w:tr>
      <w:tr w:rsidR="00595DE2" w14:paraId="5B80B11B" w14:textId="77777777" w:rsidTr="00595DE2">
        <w:tc>
          <w:tcPr>
            <w:tcW w:w="4263" w:type="dxa"/>
            <w:tcMar>
              <w:top w:w="32" w:type="dxa"/>
              <w:left w:w="108" w:type="dxa"/>
              <w:bottom w:w="32" w:type="dxa"/>
              <w:right w:w="108" w:type="dxa"/>
            </w:tcMar>
            <w:vAlign w:val="center"/>
            <w:hideMark/>
          </w:tcPr>
          <w:p w14:paraId="73F93BDB" w14:textId="5FA550DF" w:rsidR="00595DE2" w:rsidRPr="00595DE2" w:rsidRDefault="00595DE2" w:rsidP="00E020F7">
            <w:pPr>
              <w:keepNext/>
              <w:spacing w:before="120" w:after="120"/>
            </w:pPr>
            <w:r>
              <w:t xml:space="preserve">FOR THE </w:t>
            </w:r>
            <w:r w:rsidR="00E020F7">
              <w:t>FIRST</w:t>
            </w:r>
            <w:r w:rsidR="00DA4837">
              <w:t>, SECOND AND THIRD</w:t>
            </w:r>
            <w:r w:rsidR="00E020F7">
              <w:t xml:space="preserve"> RESPONDENT</w:t>
            </w:r>
            <w:r w:rsidR="00DA4837">
              <w:t>S</w:t>
            </w:r>
            <w:r>
              <w:t>: </w:t>
            </w:r>
          </w:p>
        </w:tc>
        <w:tc>
          <w:tcPr>
            <w:tcW w:w="4239" w:type="dxa"/>
            <w:tcMar>
              <w:top w:w="32" w:type="dxa"/>
              <w:left w:w="108" w:type="dxa"/>
              <w:bottom w:w="32" w:type="dxa"/>
              <w:right w:w="108" w:type="dxa"/>
            </w:tcMar>
            <w:vAlign w:val="center"/>
            <w:hideMark/>
          </w:tcPr>
          <w:p w14:paraId="3B7A3CF1" w14:textId="54F11B17" w:rsidR="00595DE2" w:rsidRDefault="00F933D8" w:rsidP="00DA4837">
            <w:pPr>
              <w:keepNext/>
              <w:spacing w:before="120" w:after="120"/>
            </w:pPr>
            <w:r>
              <w:t>Adv</w:t>
            </w:r>
            <w:r w:rsidR="00595DE2">
              <w:t xml:space="preserve"> </w:t>
            </w:r>
            <w:r w:rsidR="00DA4837">
              <w:t>Louis</w:t>
            </w:r>
            <w:r w:rsidR="00E020F7">
              <w:t xml:space="preserve"> </w:t>
            </w:r>
            <w:r w:rsidR="00DA4837">
              <w:t>Hollander</w:t>
            </w:r>
            <w:r>
              <w:t xml:space="preserve"> </w:t>
            </w:r>
          </w:p>
        </w:tc>
      </w:tr>
      <w:tr w:rsidR="00595DE2" w14:paraId="4F06BB27" w14:textId="77777777" w:rsidTr="00595DE2">
        <w:tc>
          <w:tcPr>
            <w:tcW w:w="4263" w:type="dxa"/>
            <w:tcMar>
              <w:top w:w="32" w:type="dxa"/>
              <w:left w:w="108" w:type="dxa"/>
              <w:bottom w:w="32" w:type="dxa"/>
              <w:right w:w="108" w:type="dxa"/>
            </w:tcMar>
            <w:vAlign w:val="center"/>
            <w:hideMark/>
          </w:tcPr>
          <w:p w14:paraId="7317448D" w14:textId="77777777" w:rsidR="00595DE2" w:rsidRPr="00595DE2" w:rsidRDefault="00595DE2" w:rsidP="00154F14">
            <w:pPr>
              <w:keepNext/>
              <w:spacing w:before="120" w:after="120"/>
            </w:pPr>
            <w:r>
              <w:t>INSTRUCTED BY: </w:t>
            </w:r>
          </w:p>
        </w:tc>
        <w:tc>
          <w:tcPr>
            <w:tcW w:w="4239" w:type="dxa"/>
            <w:tcMar>
              <w:top w:w="32" w:type="dxa"/>
              <w:left w:w="108" w:type="dxa"/>
              <w:bottom w:w="32" w:type="dxa"/>
              <w:right w:w="108" w:type="dxa"/>
            </w:tcMar>
            <w:vAlign w:val="center"/>
            <w:hideMark/>
          </w:tcPr>
          <w:p w14:paraId="5EADDD11" w14:textId="1AA0C361" w:rsidR="00595DE2" w:rsidRPr="00595DE2" w:rsidRDefault="00DA4837" w:rsidP="00DA4837">
            <w:pPr>
              <w:keepNext/>
              <w:spacing w:before="120" w:after="120"/>
            </w:pPr>
            <w:r>
              <w:t>Swartz Weil Van der Merwe Green</w:t>
            </w:r>
            <w:r w:rsidR="00894503">
              <w:t xml:space="preserve"> </w:t>
            </w:r>
            <w:r>
              <w:t>Attorneys</w:t>
            </w:r>
            <w:r w:rsidR="00486326">
              <w:t xml:space="preserve">, </w:t>
            </w:r>
            <w:r>
              <w:t>Melrose Estate</w:t>
            </w:r>
            <w:r w:rsidR="00894503">
              <w:t>, Johannesburg</w:t>
            </w:r>
            <w:r w:rsidR="002D2AF2">
              <w:t xml:space="preserve"> </w:t>
            </w:r>
            <w:r w:rsidR="00595DE2">
              <w:t xml:space="preserve">  </w:t>
            </w:r>
          </w:p>
        </w:tc>
      </w:tr>
    </w:tbl>
    <w:p w14:paraId="5046A92C" w14:textId="77777777" w:rsidR="002F15F5" w:rsidRPr="00D63801" w:rsidRDefault="002F15F5" w:rsidP="00894503">
      <w:pPr>
        <w:keepNext/>
        <w:keepLines/>
        <w:tabs>
          <w:tab w:val="left" w:pos="0"/>
        </w:tabs>
        <w:rPr>
          <w:b/>
        </w:rPr>
      </w:pPr>
    </w:p>
    <w:sectPr w:rsidR="002F15F5" w:rsidRPr="00D63801"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27B2" w14:textId="77777777" w:rsidR="005F67D3" w:rsidRDefault="005F67D3">
      <w:pPr>
        <w:spacing w:line="20" w:lineRule="exact"/>
      </w:pPr>
    </w:p>
  </w:endnote>
  <w:endnote w:type="continuationSeparator" w:id="0">
    <w:p w14:paraId="191C8732" w14:textId="77777777" w:rsidR="005F67D3" w:rsidRDefault="005F67D3">
      <w:r>
        <w:t xml:space="preserve"> </w:t>
      </w:r>
    </w:p>
  </w:endnote>
  <w:endnote w:type="continuationNotice" w:id="1">
    <w:p w14:paraId="72A99C0A" w14:textId="77777777" w:rsidR="005F67D3" w:rsidRDefault="005F67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EE8A" w14:textId="77777777" w:rsidR="005F67D3" w:rsidRDefault="005F67D3">
      <w:r>
        <w:separator/>
      </w:r>
    </w:p>
  </w:footnote>
  <w:footnote w:type="continuationSeparator" w:id="0">
    <w:p w14:paraId="31DC6DA5" w14:textId="77777777" w:rsidR="005F67D3" w:rsidRDefault="005F67D3">
      <w:r>
        <w:continuationSeparator/>
      </w:r>
    </w:p>
  </w:footnote>
  <w:footnote w:id="1">
    <w:p w14:paraId="3AC6F857" w14:textId="77777777" w:rsidR="00ED3B66" w:rsidRDefault="00ED3B66" w:rsidP="002F5CF6">
      <w:pPr>
        <w:pStyle w:val="FootnoteText"/>
        <w:rPr>
          <w:rFonts w:asciiTheme="minorHAnsi" w:hAnsiTheme="minorHAnsi" w:cstheme="minorBidi"/>
          <w:sz w:val="20"/>
        </w:rPr>
      </w:pPr>
      <w:r>
        <w:rPr>
          <w:rStyle w:val="FootnoteReference"/>
        </w:rPr>
        <w:footnoteRef/>
      </w:r>
      <w:r>
        <w:t xml:space="preserve"> </w:t>
      </w:r>
      <w:r>
        <w:rPr>
          <w:lang w:val="en-US"/>
        </w:rPr>
        <w:t>[2005] JOL 15779 (T)</w:t>
      </w:r>
    </w:p>
  </w:footnote>
  <w:footnote w:id="2">
    <w:p w14:paraId="231C1154" w14:textId="7DC77ECB" w:rsidR="00ED3B66" w:rsidRDefault="00ED3B66">
      <w:pPr>
        <w:pStyle w:val="FootnoteText"/>
      </w:pPr>
      <w:r>
        <w:rPr>
          <w:rStyle w:val="FootnoteReference"/>
        </w:rPr>
        <w:footnoteRef/>
      </w:r>
      <w:r>
        <w:t xml:space="preserve"> </w:t>
      </w:r>
      <w:r w:rsidRPr="002C117C">
        <w:rPr>
          <w:rFonts w:cs="Arial"/>
          <w:lang w:val="en-US"/>
        </w:rPr>
        <w:t>1964 (2) SA 167 (O)</w:t>
      </w:r>
    </w:p>
  </w:footnote>
  <w:footnote w:id="3">
    <w:p w14:paraId="7E31F6A5" w14:textId="77777777" w:rsidR="00ED3B66" w:rsidRDefault="00ED3B66" w:rsidP="002F5CF6">
      <w:pPr>
        <w:pStyle w:val="FootnoteText"/>
      </w:pPr>
      <w:r>
        <w:rPr>
          <w:rStyle w:val="FootnoteReference"/>
        </w:rPr>
        <w:footnoteRef/>
      </w:r>
      <w:r>
        <w:t xml:space="preserve"> </w:t>
      </w:r>
      <w:r>
        <w:rPr>
          <w:lang w:val="en-US"/>
        </w:rPr>
        <w:t>[ 2001] 4 ALL SA 542 (SCA)</w:t>
      </w:r>
    </w:p>
  </w:footnote>
  <w:footnote w:id="4">
    <w:p w14:paraId="5DD01E5C" w14:textId="77777777" w:rsidR="00ED3B66" w:rsidRDefault="00ED3B66" w:rsidP="002F5CF6">
      <w:pPr>
        <w:pStyle w:val="FootnoteText"/>
      </w:pPr>
      <w:r>
        <w:rPr>
          <w:rStyle w:val="FootnoteReference"/>
        </w:rPr>
        <w:footnoteRef/>
      </w:r>
      <w:r>
        <w:t xml:space="preserve"> </w:t>
      </w:r>
      <w:r>
        <w:rPr>
          <w:lang w:val="en-US"/>
        </w:rPr>
        <w:t>(734/2015)  [2015] ZASCA 50( 26 April 2017)</w:t>
      </w:r>
    </w:p>
  </w:footnote>
  <w:footnote w:id="5">
    <w:p w14:paraId="1429AA88" w14:textId="77777777" w:rsidR="00ED3B66" w:rsidRDefault="00ED3B66" w:rsidP="002F5CF6">
      <w:pPr>
        <w:pStyle w:val="FootnoteText"/>
      </w:pPr>
      <w:r>
        <w:rPr>
          <w:rStyle w:val="FootnoteReference"/>
        </w:rPr>
        <w:footnoteRef/>
      </w:r>
      <w:r>
        <w:t xml:space="preserve"> </w:t>
      </w:r>
      <w:r>
        <w:rPr>
          <w:lang w:val="en-US"/>
        </w:rPr>
        <w:t>(920/2010) [2012] ZASCA 13(15 March 2012)</w:t>
      </w:r>
    </w:p>
  </w:footnote>
  <w:footnote w:id="6">
    <w:p w14:paraId="1D7FE798" w14:textId="77777777" w:rsidR="00ED3B66" w:rsidRDefault="00ED3B66" w:rsidP="002F5CF6">
      <w:pPr>
        <w:pStyle w:val="FootnoteText"/>
      </w:pPr>
      <w:r>
        <w:rPr>
          <w:rStyle w:val="FootnoteReference"/>
        </w:rPr>
        <w:footnoteRef/>
      </w:r>
      <w:r>
        <w:t xml:space="preserve"> </w:t>
      </w:r>
      <w:r>
        <w:rPr>
          <w:lang w:val="en-US"/>
        </w:rPr>
        <w:t>(20229/2014) [2015] ZASCA 111(3 September 20150)</w:t>
      </w:r>
    </w:p>
  </w:footnote>
  <w:footnote w:id="7">
    <w:p w14:paraId="4EE470EF" w14:textId="77777777" w:rsidR="00ED3B66" w:rsidRDefault="00ED3B66" w:rsidP="002F5CF6">
      <w:pPr>
        <w:pStyle w:val="FootnoteText"/>
      </w:pPr>
      <w:r>
        <w:rPr>
          <w:rStyle w:val="FootnoteReference"/>
        </w:rPr>
        <w:footnoteRef/>
      </w:r>
      <w:r>
        <w:t xml:space="preserve"> </w:t>
      </w:r>
      <w:r>
        <w:rPr>
          <w:lang w:val="en-US"/>
        </w:rPr>
        <w:t>(2016) 37 ILJ 2862(LC)</w:t>
      </w:r>
    </w:p>
  </w:footnote>
  <w:footnote w:id="8">
    <w:p w14:paraId="2CCD5BF0" w14:textId="77777777" w:rsidR="00ED3B66" w:rsidRDefault="00ED3B66" w:rsidP="002F5CF6">
      <w:pPr>
        <w:pStyle w:val="FootnoteText"/>
      </w:pPr>
      <w:r>
        <w:rPr>
          <w:rStyle w:val="FootnoteReference"/>
        </w:rPr>
        <w:footnoteRef/>
      </w:r>
      <w:r>
        <w:t xml:space="preserve"> supra</w:t>
      </w:r>
    </w:p>
  </w:footnote>
  <w:footnote w:id="9">
    <w:p w14:paraId="5D4CDB3B" w14:textId="77777777" w:rsidR="00ED3B66" w:rsidRDefault="00ED3B66" w:rsidP="002F5CF6">
      <w:pPr>
        <w:pStyle w:val="FootnoteText"/>
      </w:pPr>
      <w:r>
        <w:rPr>
          <w:rStyle w:val="FootnoteReference"/>
        </w:rPr>
        <w:footnoteRef/>
      </w:r>
      <w:r>
        <w:t xml:space="preserve"> </w:t>
      </w:r>
      <w:r>
        <w:rPr>
          <w:lang w:val="en-US"/>
        </w:rPr>
        <w:t>2015 (2) SA 118 (SCA)</w:t>
      </w:r>
    </w:p>
  </w:footnote>
  <w:footnote w:id="10">
    <w:p w14:paraId="1AEC0F30" w14:textId="6809B561" w:rsidR="003F76F0" w:rsidRDefault="003F76F0">
      <w:pPr>
        <w:pStyle w:val="FootnoteText"/>
      </w:pPr>
      <w:r>
        <w:rPr>
          <w:rStyle w:val="FootnoteReference"/>
        </w:rPr>
        <w:footnoteRef/>
      </w:r>
      <w:r>
        <w:t xml:space="preserve"> </w:t>
      </w:r>
      <w:r w:rsidRPr="003F76F0">
        <w:rPr>
          <w:rFonts w:cs="Arial"/>
          <w:lang w:val="en-US"/>
        </w:rPr>
        <w:t>2020 (6) 211 (GJ)</w:t>
      </w:r>
      <w:r>
        <w:rPr>
          <w:rFonts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AEB2" w14:textId="77777777" w:rsidR="00ED3B66" w:rsidRDefault="00ED3B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2ADE5" w14:textId="77777777" w:rsidR="00ED3B66" w:rsidRDefault="00ED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00283"/>
      <w:docPartObj>
        <w:docPartGallery w:val="Page Numbers (Top of Page)"/>
        <w:docPartUnique/>
      </w:docPartObj>
    </w:sdtPr>
    <w:sdtEndPr>
      <w:rPr>
        <w:noProof/>
      </w:rPr>
    </w:sdtEndPr>
    <w:sdtContent>
      <w:p w14:paraId="4612227B" w14:textId="12F4FB17" w:rsidR="00ED3B66" w:rsidRDefault="00ED3B66">
        <w:pPr>
          <w:pStyle w:val="Header"/>
          <w:jc w:val="right"/>
        </w:pPr>
        <w:r>
          <w:fldChar w:fldCharType="begin"/>
        </w:r>
        <w:r>
          <w:instrText xml:space="preserve"> PAGE   \* MERGEFORMAT </w:instrText>
        </w:r>
        <w:r>
          <w:fldChar w:fldCharType="separate"/>
        </w:r>
        <w:r w:rsidR="0089620C">
          <w:rPr>
            <w:noProof/>
          </w:rPr>
          <w:t>19</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0E0F" w14:textId="77777777" w:rsidR="00ED3B66" w:rsidRDefault="00ED3B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EC7"/>
    <w:multiLevelType w:val="hybridMultilevel"/>
    <w:tmpl w:val="5838C6D0"/>
    <w:lvl w:ilvl="0" w:tplc="FF761D7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6A75CE"/>
    <w:multiLevelType w:val="hybridMultilevel"/>
    <w:tmpl w:val="9596386A"/>
    <w:lvl w:ilvl="0" w:tplc="2D08DB60">
      <w:start w:val="1"/>
      <w:numFmt w:val="lowerLetter"/>
      <w:lvlText w:val="(%1)"/>
      <w:lvlJc w:val="left"/>
      <w:pPr>
        <w:ind w:left="1090" w:hanging="7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FEC6001"/>
    <w:multiLevelType w:val="hybridMultilevel"/>
    <w:tmpl w:val="B264368A"/>
    <w:lvl w:ilvl="0" w:tplc="3044F2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1A6F9A"/>
    <w:multiLevelType w:val="hybridMultilevel"/>
    <w:tmpl w:val="C03C514C"/>
    <w:lvl w:ilvl="0" w:tplc="8E2C96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810054"/>
    <w:multiLevelType w:val="hybridMultilevel"/>
    <w:tmpl w:val="05142A50"/>
    <w:lvl w:ilvl="0" w:tplc="9D6A72C2">
      <w:start w:val="1"/>
      <w:numFmt w:val="lowerRoman"/>
      <w:lvlText w:val="(%1)."/>
      <w:lvlJc w:val="righ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8"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9" w15:restartNumberingAfterBreak="0">
    <w:nsid w:val="560D7F66"/>
    <w:multiLevelType w:val="hybridMultilevel"/>
    <w:tmpl w:val="7B109A50"/>
    <w:lvl w:ilvl="0" w:tplc="31C827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9FE33ED"/>
    <w:multiLevelType w:val="hybridMultilevel"/>
    <w:tmpl w:val="2EE673D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A1948A1"/>
    <w:multiLevelType w:val="hybridMultilevel"/>
    <w:tmpl w:val="3522E77C"/>
    <w:lvl w:ilvl="0" w:tplc="71DA48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B3C3B41"/>
    <w:multiLevelType w:val="hybridMultilevel"/>
    <w:tmpl w:val="4F280E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443999"/>
    <w:multiLevelType w:val="hybridMultilevel"/>
    <w:tmpl w:val="AEFA256A"/>
    <w:lvl w:ilvl="0" w:tplc="1236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CC573F5"/>
    <w:multiLevelType w:val="multilevel"/>
    <w:tmpl w:val="C1E62E8A"/>
    <w:lvl w:ilvl="0">
      <w:start w:val="1"/>
      <w:numFmt w:val="decimal"/>
      <w:lvlText w:val="[%1]"/>
      <w:lvlJc w:val="left"/>
      <w:pPr>
        <w:ind w:left="720" w:hanging="360"/>
      </w:pPr>
      <w:rPr>
        <w:rFonts w:ascii="Arial" w:hAnsi="Arial" w:cs="Arial" w:hint="default"/>
        <w:i w:val="0"/>
        <w:sz w:val="24"/>
        <w:szCs w:val="24"/>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16" w15:restartNumberingAfterBreak="0">
    <w:nsid w:val="7E1A771B"/>
    <w:multiLevelType w:val="hybridMultilevel"/>
    <w:tmpl w:val="463006D4"/>
    <w:lvl w:ilvl="0" w:tplc="0226A8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35710091">
    <w:abstractNumId w:val="4"/>
  </w:num>
  <w:num w:numId="2" w16cid:durableId="1405494035">
    <w:abstractNumId w:val="12"/>
  </w:num>
  <w:num w:numId="3" w16cid:durableId="1153184144">
    <w:abstractNumId w:val="3"/>
    <w:lvlOverride w:ilvl="0">
      <w:startOverride w:val="1"/>
    </w:lvlOverride>
  </w:num>
  <w:num w:numId="4" w16cid:durableId="750154600">
    <w:abstractNumId w:val="2"/>
  </w:num>
  <w:num w:numId="5" w16cid:durableId="1588271963">
    <w:abstractNumId w:val="8"/>
  </w:num>
  <w:num w:numId="6" w16cid:durableId="1851597539">
    <w:abstractNumId w:val="9"/>
  </w:num>
  <w:num w:numId="7" w16cid:durableId="1889607760">
    <w:abstractNumId w:val="16"/>
  </w:num>
  <w:num w:numId="8" w16cid:durableId="1673802348">
    <w:abstractNumId w:val="1"/>
  </w:num>
  <w:num w:numId="9" w16cid:durableId="496577826">
    <w:abstractNumId w:val="14"/>
  </w:num>
  <w:num w:numId="10" w16cid:durableId="2098749969">
    <w:abstractNumId w:val="5"/>
  </w:num>
  <w:num w:numId="11" w16cid:durableId="1501770214">
    <w:abstractNumId w:val="11"/>
  </w:num>
  <w:num w:numId="12" w16cid:durableId="2059813037">
    <w:abstractNumId w:val="6"/>
  </w:num>
  <w:num w:numId="13" w16cid:durableId="1346789388">
    <w:abstractNumId w:val="13"/>
  </w:num>
  <w:num w:numId="14" w16cid:durableId="326060586">
    <w:abstractNumId w:val="10"/>
  </w:num>
  <w:num w:numId="15" w16cid:durableId="1261723580">
    <w:abstractNumId w:val="7"/>
  </w:num>
  <w:num w:numId="16" w16cid:durableId="1571309177">
    <w:abstractNumId w:val="0"/>
  </w:num>
  <w:num w:numId="17" w16cid:durableId="548497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05ED"/>
    <w:rsid w:val="00001A89"/>
    <w:rsid w:val="00002455"/>
    <w:rsid w:val="000024F0"/>
    <w:rsid w:val="00003BAE"/>
    <w:rsid w:val="00004F5A"/>
    <w:rsid w:val="00005D83"/>
    <w:rsid w:val="00005E64"/>
    <w:rsid w:val="0000675A"/>
    <w:rsid w:val="00006C41"/>
    <w:rsid w:val="0000770E"/>
    <w:rsid w:val="00007A2E"/>
    <w:rsid w:val="00007F86"/>
    <w:rsid w:val="00010637"/>
    <w:rsid w:val="0001379D"/>
    <w:rsid w:val="0001683C"/>
    <w:rsid w:val="00016ACF"/>
    <w:rsid w:val="000171A3"/>
    <w:rsid w:val="00020326"/>
    <w:rsid w:val="00020E36"/>
    <w:rsid w:val="000217A4"/>
    <w:rsid w:val="00022C07"/>
    <w:rsid w:val="00022CE5"/>
    <w:rsid w:val="0002492C"/>
    <w:rsid w:val="000262AA"/>
    <w:rsid w:val="00026F19"/>
    <w:rsid w:val="0002728A"/>
    <w:rsid w:val="000275FC"/>
    <w:rsid w:val="0002792E"/>
    <w:rsid w:val="00027F68"/>
    <w:rsid w:val="00027F86"/>
    <w:rsid w:val="000301C4"/>
    <w:rsid w:val="000314D4"/>
    <w:rsid w:val="000315D8"/>
    <w:rsid w:val="000319B4"/>
    <w:rsid w:val="000319BB"/>
    <w:rsid w:val="0003241F"/>
    <w:rsid w:val="00034508"/>
    <w:rsid w:val="0003454F"/>
    <w:rsid w:val="00034EFC"/>
    <w:rsid w:val="00036698"/>
    <w:rsid w:val="00036BB0"/>
    <w:rsid w:val="00036CD5"/>
    <w:rsid w:val="00037036"/>
    <w:rsid w:val="00037CD0"/>
    <w:rsid w:val="00037F15"/>
    <w:rsid w:val="00040B1D"/>
    <w:rsid w:val="00040F61"/>
    <w:rsid w:val="0004105F"/>
    <w:rsid w:val="00041D6B"/>
    <w:rsid w:val="0004218C"/>
    <w:rsid w:val="00043C05"/>
    <w:rsid w:val="00043C8C"/>
    <w:rsid w:val="000445C8"/>
    <w:rsid w:val="0004474A"/>
    <w:rsid w:val="0004491D"/>
    <w:rsid w:val="000450CE"/>
    <w:rsid w:val="0004588C"/>
    <w:rsid w:val="00046070"/>
    <w:rsid w:val="000462E1"/>
    <w:rsid w:val="00046699"/>
    <w:rsid w:val="000469B4"/>
    <w:rsid w:val="00050FB2"/>
    <w:rsid w:val="000517C1"/>
    <w:rsid w:val="00051D9D"/>
    <w:rsid w:val="00051E65"/>
    <w:rsid w:val="00052792"/>
    <w:rsid w:val="00052DA4"/>
    <w:rsid w:val="00054823"/>
    <w:rsid w:val="00055012"/>
    <w:rsid w:val="00055E03"/>
    <w:rsid w:val="000564BD"/>
    <w:rsid w:val="00056998"/>
    <w:rsid w:val="000600F8"/>
    <w:rsid w:val="000603DC"/>
    <w:rsid w:val="00060E74"/>
    <w:rsid w:val="00066C27"/>
    <w:rsid w:val="000702FA"/>
    <w:rsid w:val="000708A0"/>
    <w:rsid w:val="00070D07"/>
    <w:rsid w:val="00071315"/>
    <w:rsid w:val="00071EDF"/>
    <w:rsid w:val="0007272F"/>
    <w:rsid w:val="00073CC1"/>
    <w:rsid w:val="00073CFE"/>
    <w:rsid w:val="00075A0A"/>
    <w:rsid w:val="00076C12"/>
    <w:rsid w:val="00076EE7"/>
    <w:rsid w:val="0007774E"/>
    <w:rsid w:val="00080618"/>
    <w:rsid w:val="000814F0"/>
    <w:rsid w:val="00081D5F"/>
    <w:rsid w:val="0008206F"/>
    <w:rsid w:val="00084043"/>
    <w:rsid w:val="000844E8"/>
    <w:rsid w:val="000861BF"/>
    <w:rsid w:val="00086BE3"/>
    <w:rsid w:val="00090189"/>
    <w:rsid w:val="0009051B"/>
    <w:rsid w:val="000905B3"/>
    <w:rsid w:val="00090E9C"/>
    <w:rsid w:val="00090F50"/>
    <w:rsid w:val="00091D8C"/>
    <w:rsid w:val="00092D03"/>
    <w:rsid w:val="00093F31"/>
    <w:rsid w:val="0009464C"/>
    <w:rsid w:val="00095356"/>
    <w:rsid w:val="0009626A"/>
    <w:rsid w:val="0009689B"/>
    <w:rsid w:val="00096997"/>
    <w:rsid w:val="0009781C"/>
    <w:rsid w:val="00097EE7"/>
    <w:rsid w:val="000A0353"/>
    <w:rsid w:val="000A05DF"/>
    <w:rsid w:val="000A12C9"/>
    <w:rsid w:val="000A4AE1"/>
    <w:rsid w:val="000A56BA"/>
    <w:rsid w:val="000A64D0"/>
    <w:rsid w:val="000A688E"/>
    <w:rsid w:val="000A6A3D"/>
    <w:rsid w:val="000A779C"/>
    <w:rsid w:val="000A7A28"/>
    <w:rsid w:val="000B1D71"/>
    <w:rsid w:val="000B2B7F"/>
    <w:rsid w:val="000B38D0"/>
    <w:rsid w:val="000B4222"/>
    <w:rsid w:val="000B53AD"/>
    <w:rsid w:val="000B64EF"/>
    <w:rsid w:val="000B6C12"/>
    <w:rsid w:val="000B7D1E"/>
    <w:rsid w:val="000C018C"/>
    <w:rsid w:val="000C03D3"/>
    <w:rsid w:val="000C0D64"/>
    <w:rsid w:val="000C1EFC"/>
    <w:rsid w:val="000C2989"/>
    <w:rsid w:val="000C2D84"/>
    <w:rsid w:val="000C3AF7"/>
    <w:rsid w:val="000C5C39"/>
    <w:rsid w:val="000C6C30"/>
    <w:rsid w:val="000C75C8"/>
    <w:rsid w:val="000D0AF6"/>
    <w:rsid w:val="000D2A1D"/>
    <w:rsid w:val="000D3121"/>
    <w:rsid w:val="000D4571"/>
    <w:rsid w:val="000D4ED5"/>
    <w:rsid w:val="000D5219"/>
    <w:rsid w:val="000D5CD8"/>
    <w:rsid w:val="000D5E2F"/>
    <w:rsid w:val="000D6A4C"/>
    <w:rsid w:val="000D6C0E"/>
    <w:rsid w:val="000D7C8C"/>
    <w:rsid w:val="000E0159"/>
    <w:rsid w:val="000E01DD"/>
    <w:rsid w:val="000E11A8"/>
    <w:rsid w:val="000E1836"/>
    <w:rsid w:val="000E2107"/>
    <w:rsid w:val="000E34F7"/>
    <w:rsid w:val="000E398A"/>
    <w:rsid w:val="000E3A95"/>
    <w:rsid w:val="000E3AAB"/>
    <w:rsid w:val="000E536D"/>
    <w:rsid w:val="000E5424"/>
    <w:rsid w:val="000E7536"/>
    <w:rsid w:val="000E777B"/>
    <w:rsid w:val="000E7BDD"/>
    <w:rsid w:val="000F095B"/>
    <w:rsid w:val="000F0DCE"/>
    <w:rsid w:val="000F1A69"/>
    <w:rsid w:val="000F3421"/>
    <w:rsid w:val="000F3B88"/>
    <w:rsid w:val="000F3E77"/>
    <w:rsid w:val="000F546B"/>
    <w:rsid w:val="000F580C"/>
    <w:rsid w:val="000F6192"/>
    <w:rsid w:val="000F6BF8"/>
    <w:rsid w:val="000F70C7"/>
    <w:rsid w:val="00100AEB"/>
    <w:rsid w:val="0010163F"/>
    <w:rsid w:val="00105056"/>
    <w:rsid w:val="00105D82"/>
    <w:rsid w:val="001068F2"/>
    <w:rsid w:val="00106C97"/>
    <w:rsid w:val="00107110"/>
    <w:rsid w:val="00112284"/>
    <w:rsid w:val="00112BE9"/>
    <w:rsid w:val="00113951"/>
    <w:rsid w:val="00113E53"/>
    <w:rsid w:val="0011424F"/>
    <w:rsid w:val="00114D0F"/>
    <w:rsid w:val="00114F15"/>
    <w:rsid w:val="00116135"/>
    <w:rsid w:val="00116661"/>
    <w:rsid w:val="00116675"/>
    <w:rsid w:val="00116AAE"/>
    <w:rsid w:val="00116EF2"/>
    <w:rsid w:val="00117191"/>
    <w:rsid w:val="001171EE"/>
    <w:rsid w:val="001177E5"/>
    <w:rsid w:val="001218BA"/>
    <w:rsid w:val="0012206B"/>
    <w:rsid w:val="0012276A"/>
    <w:rsid w:val="001239B5"/>
    <w:rsid w:val="00123FBA"/>
    <w:rsid w:val="00124452"/>
    <w:rsid w:val="00124B7A"/>
    <w:rsid w:val="00126001"/>
    <w:rsid w:val="00126288"/>
    <w:rsid w:val="00126B66"/>
    <w:rsid w:val="00126F44"/>
    <w:rsid w:val="00127394"/>
    <w:rsid w:val="00127B2C"/>
    <w:rsid w:val="00130737"/>
    <w:rsid w:val="001309B4"/>
    <w:rsid w:val="00131CC6"/>
    <w:rsid w:val="001325AC"/>
    <w:rsid w:val="00132E8D"/>
    <w:rsid w:val="0013390C"/>
    <w:rsid w:val="00134332"/>
    <w:rsid w:val="00134952"/>
    <w:rsid w:val="001358D0"/>
    <w:rsid w:val="0013636C"/>
    <w:rsid w:val="00136E94"/>
    <w:rsid w:val="00137FF9"/>
    <w:rsid w:val="00140558"/>
    <w:rsid w:val="0014119D"/>
    <w:rsid w:val="0014132C"/>
    <w:rsid w:val="00141478"/>
    <w:rsid w:val="00141657"/>
    <w:rsid w:val="001416FB"/>
    <w:rsid w:val="001428B6"/>
    <w:rsid w:val="001429C4"/>
    <w:rsid w:val="00143175"/>
    <w:rsid w:val="00143EBB"/>
    <w:rsid w:val="001443EA"/>
    <w:rsid w:val="00145C2D"/>
    <w:rsid w:val="00145DD9"/>
    <w:rsid w:val="00146288"/>
    <w:rsid w:val="00146B2A"/>
    <w:rsid w:val="001504E7"/>
    <w:rsid w:val="00151A7E"/>
    <w:rsid w:val="0015237E"/>
    <w:rsid w:val="00152616"/>
    <w:rsid w:val="00152C26"/>
    <w:rsid w:val="00152D6A"/>
    <w:rsid w:val="00153684"/>
    <w:rsid w:val="0015369D"/>
    <w:rsid w:val="00154F14"/>
    <w:rsid w:val="00155381"/>
    <w:rsid w:val="001554B4"/>
    <w:rsid w:val="00155B87"/>
    <w:rsid w:val="00155F46"/>
    <w:rsid w:val="00156546"/>
    <w:rsid w:val="001579D0"/>
    <w:rsid w:val="00157D59"/>
    <w:rsid w:val="0016029A"/>
    <w:rsid w:val="00160706"/>
    <w:rsid w:val="00160AC8"/>
    <w:rsid w:val="00160DA1"/>
    <w:rsid w:val="00160E8B"/>
    <w:rsid w:val="001618DF"/>
    <w:rsid w:val="00161C04"/>
    <w:rsid w:val="00161EB4"/>
    <w:rsid w:val="00161FC2"/>
    <w:rsid w:val="001628F3"/>
    <w:rsid w:val="00162E7D"/>
    <w:rsid w:val="00163C01"/>
    <w:rsid w:val="00164997"/>
    <w:rsid w:val="00164FDF"/>
    <w:rsid w:val="00165035"/>
    <w:rsid w:val="00165357"/>
    <w:rsid w:val="0016589D"/>
    <w:rsid w:val="00165D11"/>
    <w:rsid w:val="0016658A"/>
    <w:rsid w:val="001669C3"/>
    <w:rsid w:val="00166C2B"/>
    <w:rsid w:val="00167E11"/>
    <w:rsid w:val="00171416"/>
    <w:rsid w:val="00172D07"/>
    <w:rsid w:val="00172FAC"/>
    <w:rsid w:val="001730A8"/>
    <w:rsid w:val="00173B7F"/>
    <w:rsid w:val="00173FD2"/>
    <w:rsid w:val="00175544"/>
    <w:rsid w:val="00176115"/>
    <w:rsid w:val="00177071"/>
    <w:rsid w:val="001773CD"/>
    <w:rsid w:val="001773DD"/>
    <w:rsid w:val="00177C74"/>
    <w:rsid w:val="0018024F"/>
    <w:rsid w:val="00180970"/>
    <w:rsid w:val="00180A33"/>
    <w:rsid w:val="001814B3"/>
    <w:rsid w:val="00182A17"/>
    <w:rsid w:val="00183384"/>
    <w:rsid w:val="00183726"/>
    <w:rsid w:val="00185055"/>
    <w:rsid w:val="001855CE"/>
    <w:rsid w:val="0019003C"/>
    <w:rsid w:val="0019053A"/>
    <w:rsid w:val="001913C3"/>
    <w:rsid w:val="00191957"/>
    <w:rsid w:val="00192037"/>
    <w:rsid w:val="00192546"/>
    <w:rsid w:val="001927D7"/>
    <w:rsid w:val="001928BF"/>
    <w:rsid w:val="001933D1"/>
    <w:rsid w:val="0019383F"/>
    <w:rsid w:val="00193869"/>
    <w:rsid w:val="00193988"/>
    <w:rsid w:val="00196291"/>
    <w:rsid w:val="0019694E"/>
    <w:rsid w:val="00196C48"/>
    <w:rsid w:val="001970BD"/>
    <w:rsid w:val="00197B48"/>
    <w:rsid w:val="001A0219"/>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257A"/>
    <w:rsid w:val="001B2D32"/>
    <w:rsid w:val="001B447F"/>
    <w:rsid w:val="001B47C1"/>
    <w:rsid w:val="001B4D89"/>
    <w:rsid w:val="001B762A"/>
    <w:rsid w:val="001B76E0"/>
    <w:rsid w:val="001C0074"/>
    <w:rsid w:val="001C0331"/>
    <w:rsid w:val="001C086A"/>
    <w:rsid w:val="001C0A0D"/>
    <w:rsid w:val="001C0EF4"/>
    <w:rsid w:val="001C1B17"/>
    <w:rsid w:val="001C2344"/>
    <w:rsid w:val="001C29CE"/>
    <w:rsid w:val="001C3329"/>
    <w:rsid w:val="001C34AD"/>
    <w:rsid w:val="001C4A43"/>
    <w:rsid w:val="001C4DAD"/>
    <w:rsid w:val="001C5067"/>
    <w:rsid w:val="001C5257"/>
    <w:rsid w:val="001C5F8C"/>
    <w:rsid w:val="001C6E8C"/>
    <w:rsid w:val="001C7045"/>
    <w:rsid w:val="001D14F8"/>
    <w:rsid w:val="001D3495"/>
    <w:rsid w:val="001D3F24"/>
    <w:rsid w:val="001D3F89"/>
    <w:rsid w:val="001D44C7"/>
    <w:rsid w:val="001D49D6"/>
    <w:rsid w:val="001D5D9C"/>
    <w:rsid w:val="001D6ACD"/>
    <w:rsid w:val="001D6AE1"/>
    <w:rsid w:val="001D6DA8"/>
    <w:rsid w:val="001D79C6"/>
    <w:rsid w:val="001E04C6"/>
    <w:rsid w:val="001E15CA"/>
    <w:rsid w:val="001E1E02"/>
    <w:rsid w:val="001E32CB"/>
    <w:rsid w:val="001E3948"/>
    <w:rsid w:val="001E3ED0"/>
    <w:rsid w:val="001E4304"/>
    <w:rsid w:val="001E43BE"/>
    <w:rsid w:val="001E534D"/>
    <w:rsid w:val="001E5D90"/>
    <w:rsid w:val="001E5DD8"/>
    <w:rsid w:val="001E6837"/>
    <w:rsid w:val="001F109D"/>
    <w:rsid w:val="001F1E80"/>
    <w:rsid w:val="001F2460"/>
    <w:rsid w:val="001F3695"/>
    <w:rsid w:val="001F3975"/>
    <w:rsid w:val="001F4049"/>
    <w:rsid w:val="001F4C69"/>
    <w:rsid w:val="001F57B4"/>
    <w:rsid w:val="001F581D"/>
    <w:rsid w:val="001F654D"/>
    <w:rsid w:val="001F6D44"/>
    <w:rsid w:val="001F78C4"/>
    <w:rsid w:val="00200BB5"/>
    <w:rsid w:val="00200F5C"/>
    <w:rsid w:val="002011F8"/>
    <w:rsid w:val="002015D4"/>
    <w:rsid w:val="002022C2"/>
    <w:rsid w:val="002027EC"/>
    <w:rsid w:val="00202AB1"/>
    <w:rsid w:val="00203FC0"/>
    <w:rsid w:val="00205865"/>
    <w:rsid w:val="00205E09"/>
    <w:rsid w:val="00206022"/>
    <w:rsid w:val="00206218"/>
    <w:rsid w:val="0020664E"/>
    <w:rsid w:val="0021007F"/>
    <w:rsid w:val="002100E1"/>
    <w:rsid w:val="00210E02"/>
    <w:rsid w:val="00211645"/>
    <w:rsid w:val="00211B96"/>
    <w:rsid w:val="0021225B"/>
    <w:rsid w:val="00212FA8"/>
    <w:rsid w:val="00213B9F"/>
    <w:rsid w:val="00214522"/>
    <w:rsid w:val="00214E3A"/>
    <w:rsid w:val="0021531D"/>
    <w:rsid w:val="00215DB3"/>
    <w:rsid w:val="00216346"/>
    <w:rsid w:val="002172C8"/>
    <w:rsid w:val="00217BDD"/>
    <w:rsid w:val="00220B1A"/>
    <w:rsid w:val="00220F12"/>
    <w:rsid w:val="0022110D"/>
    <w:rsid w:val="002212EB"/>
    <w:rsid w:val="002227A1"/>
    <w:rsid w:val="002229D4"/>
    <w:rsid w:val="00222B14"/>
    <w:rsid w:val="00222D4A"/>
    <w:rsid w:val="0022346B"/>
    <w:rsid w:val="00224B09"/>
    <w:rsid w:val="00224EDB"/>
    <w:rsid w:val="002251A2"/>
    <w:rsid w:val="00227F9F"/>
    <w:rsid w:val="00230307"/>
    <w:rsid w:val="00230DF6"/>
    <w:rsid w:val="00231436"/>
    <w:rsid w:val="00232075"/>
    <w:rsid w:val="002320B2"/>
    <w:rsid w:val="002327C9"/>
    <w:rsid w:val="00232D4F"/>
    <w:rsid w:val="002331E9"/>
    <w:rsid w:val="00233A6E"/>
    <w:rsid w:val="00234FC7"/>
    <w:rsid w:val="00235EBC"/>
    <w:rsid w:val="002379B1"/>
    <w:rsid w:val="0024000A"/>
    <w:rsid w:val="00240BDD"/>
    <w:rsid w:val="00240E46"/>
    <w:rsid w:val="00241E10"/>
    <w:rsid w:val="0024396F"/>
    <w:rsid w:val="00243E66"/>
    <w:rsid w:val="0024474C"/>
    <w:rsid w:val="00245430"/>
    <w:rsid w:val="00245999"/>
    <w:rsid w:val="00247E96"/>
    <w:rsid w:val="00250EF2"/>
    <w:rsid w:val="0025141A"/>
    <w:rsid w:val="002515D4"/>
    <w:rsid w:val="0025160C"/>
    <w:rsid w:val="00252153"/>
    <w:rsid w:val="00253C44"/>
    <w:rsid w:val="00253CA9"/>
    <w:rsid w:val="0025547B"/>
    <w:rsid w:val="00256B5F"/>
    <w:rsid w:val="00257B4D"/>
    <w:rsid w:val="00257D52"/>
    <w:rsid w:val="00257DCC"/>
    <w:rsid w:val="00260B86"/>
    <w:rsid w:val="00260F93"/>
    <w:rsid w:val="0026120B"/>
    <w:rsid w:val="0026158F"/>
    <w:rsid w:val="002616F0"/>
    <w:rsid w:val="002616F6"/>
    <w:rsid w:val="0026210F"/>
    <w:rsid w:val="0026226E"/>
    <w:rsid w:val="00262C50"/>
    <w:rsid w:val="0026313D"/>
    <w:rsid w:val="0026330F"/>
    <w:rsid w:val="00264161"/>
    <w:rsid w:val="0026464D"/>
    <w:rsid w:val="00264E4B"/>
    <w:rsid w:val="00265504"/>
    <w:rsid w:val="00265F45"/>
    <w:rsid w:val="002671D8"/>
    <w:rsid w:val="00267564"/>
    <w:rsid w:val="00267EC5"/>
    <w:rsid w:val="00271071"/>
    <w:rsid w:val="00272260"/>
    <w:rsid w:val="0027346B"/>
    <w:rsid w:val="00275860"/>
    <w:rsid w:val="00275F90"/>
    <w:rsid w:val="00280B63"/>
    <w:rsid w:val="002819F8"/>
    <w:rsid w:val="00282C16"/>
    <w:rsid w:val="00284751"/>
    <w:rsid w:val="002855D6"/>
    <w:rsid w:val="002855DF"/>
    <w:rsid w:val="00286241"/>
    <w:rsid w:val="00286F5F"/>
    <w:rsid w:val="002870F1"/>
    <w:rsid w:val="002911F6"/>
    <w:rsid w:val="00291414"/>
    <w:rsid w:val="00291440"/>
    <w:rsid w:val="002920DC"/>
    <w:rsid w:val="002924E6"/>
    <w:rsid w:val="00293134"/>
    <w:rsid w:val="002932CB"/>
    <w:rsid w:val="00296BB2"/>
    <w:rsid w:val="00297970"/>
    <w:rsid w:val="002A13C6"/>
    <w:rsid w:val="002A235D"/>
    <w:rsid w:val="002A2443"/>
    <w:rsid w:val="002A2A37"/>
    <w:rsid w:val="002A2A44"/>
    <w:rsid w:val="002A30BD"/>
    <w:rsid w:val="002A312D"/>
    <w:rsid w:val="002A47E3"/>
    <w:rsid w:val="002A4952"/>
    <w:rsid w:val="002A4B8E"/>
    <w:rsid w:val="002A52E4"/>
    <w:rsid w:val="002A7B19"/>
    <w:rsid w:val="002A7E9F"/>
    <w:rsid w:val="002B08E6"/>
    <w:rsid w:val="002B09E2"/>
    <w:rsid w:val="002B0F1B"/>
    <w:rsid w:val="002B16B0"/>
    <w:rsid w:val="002B1ABA"/>
    <w:rsid w:val="002B1DC8"/>
    <w:rsid w:val="002B211A"/>
    <w:rsid w:val="002B2A59"/>
    <w:rsid w:val="002B30F1"/>
    <w:rsid w:val="002B40DA"/>
    <w:rsid w:val="002B4740"/>
    <w:rsid w:val="002B4F7A"/>
    <w:rsid w:val="002B561E"/>
    <w:rsid w:val="002B6B65"/>
    <w:rsid w:val="002B74C5"/>
    <w:rsid w:val="002C08C3"/>
    <w:rsid w:val="002C0FDD"/>
    <w:rsid w:val="002C117C"/>
    <w:rsid w:val="002C13EF"/>
    <w:rsid w:val="002C15A4"/>
    <w:rsid w:val="002C2298"/>
    <w:rsid w:val="002C29D7"/>
    <w:rsid w:val="002C4087"/>
    <w:rsid w:val="002C4B45"/>
    <w:rsid w:val="002C59F2"/>
    <w:rsid w:val="002C5A0D"/>
    <w:rsid w:val="002C5E33"/>
    <w:rsid w:val="002C672A"/>
    <w:rsid w:val="002C686B"/>
    <w:rsid w:val="002C6BC7"/>
    <w:rsid w:val="002C73DB"/>
    <w:rsid w:val="002C7929"/>
    <w:rsid w:val="002C7E04"/>
    <w:rsid w:val="002D2125"/>
    <w:rsid w:val="002D2216"/>
    <w:rsid w:val="002D26C7"/>
    <w:rsid w:val="002D2AF2"/>
    <w:rsid w:val="002D2AF4"/>
    <w:rsid w:val="002D3048"/>
    <w:rsid w:val="002D3E08"/>
    <w:rsid w:val="002D53C3"/>
    <w:rsid w:val="002D59A6"/>
    <w:rsid w:val="002D5D72"/>
    <w:rsid w:val="002D693C"/>
    <w:rsid w:val="002D69BC"/>
    <w:rsid w:val="002D7081"/>
    <w:rsid w:val="002D7D86"/>
    <w:rsid w:val="002E0905"/>
    <w:rsid w:val="002E14D4"/>
    <w:rsid w:val="002E1CED"/>
    <w:rsid w:val="002E1D7A"/>
    <w:rsid w:val="002E2C11"/>
    <w:rsid w:val="002E3469"/>
    <w:rsid w:val="002E47C9"/>
    <w:rsid w:val="002E49A9"/>
    <w:rsid w:val="002E5934"/>
    <w:rsid w:val="002E5CDA"/>
    <w:rsid w:val="002E654A"/>
    <w:rsid w:val="002E65A0"/>
    <w:rsid w:val="002E7DFE"/>
    <w:rsid w:val="002F0055"/>
    <w:rsid w:val="002F0279"/>
    <w:rsid w:val="002F15F5"/>
    <w:rsid w:val="002F2DC2"/>
    <w:rsid w:val="002F355B"/>
    <w:rsid w:val="002F3B8D"/>
    <w:rsid w:val="002F3CFD"/>
    <w:rsid w:val="002F3EA5"/>
    <w:rsid w:val="002F4D1F"/>
    <w:rsid w:val="002F572F"/>
    <w:rsid w:val="002F5AE7"/>
    <w:rsid w:val="002F5CF6"/>
    <w:rsid w:val="002F6423"/>
    <w:rsid w:val="002F6A0D"/>
    <w:rsid w:val="002F6AEF"/>
    <w:rsid w:val="00300053"/>
    <w:rsid w:val="0030029A"/>
    <w:rsid w:val="0030047F"/>
    <w:rsid w:val="00300A80"/>
    <w:rsid w:val="00300EBA"/>
    <w:rsid w:val="00301CBD"/>
    <w:rsid w:val="00301CC2"/>
    <w:rsid w:val="0030348A"/>
    <w:rsid w:val="00304DBB"/>
    <w:rsid w:val="00305093"/>
    <w:rsid w:val="003058A6"/>
    <w:rsid w:val="003058FB"/>
    <w:rsid w:val="00306560"/>
    <w:rsid w:val="00306B39"/>
    <w:rsid w:val="0030724D"/>
    <w:rsid w:val="003075B5"/>
    <w:rsid w:val="00307F74"/>
    <w:rsid w:val="003100DC"/>
    <w:rsid w:val="00310F8B"/>
    <w:rsid w:val="00311156"/>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33F9"/>
    <w:rsid w:val="0032380F"/>
    <w:rsid w:val="00324E14"/>
    <w:rsid w:val="003307F7"/>
    <w:rsid w:val="0033191D"/>
    <w:rsid w:val="003321FE"/>
    <w:rsid w:val="003322B1"/>
    <w:rsid w:val="00332C64"/>
    <w:rsid w:val="003331E4"/>
    <w:rsid w:val="00333485"/>
    <w:rsid w:val="00334479"/>
    <w:rsid w:val="00335C28"/>
    <w:rsid w:val="0033620F"/>
    <w:rsid w:val="003409FA"/>
    <w:rsid w:val="00341D13"/>
    <w:rsid w:val="00341FA6"/>
    <w:rsid w:val="003423D1"/>
    <w:rsid w:val="00343A76"/>
    <w:rsid w:val="003458CA"/>
    <w:rsid w:val="00345ADF"/>
    <w:rsid w:val="003460A3"/>
    <w:rsid w:val="00346D30"/>
    <w:rsid w:val="00347B0C"/>
    <w:rsid w:val="00347FD0"/>
    <w:rsid w:val="00350BC6"/>
    <w:rsid w:val="00350DC2"/>
    <w:rsid w:val="00350E29"/>
    <w:rsid w:val="0035131E"/>
    <w:rsid w:val="003516E1"/>
    <w:rsid w:val="00353027"/>
    <w:rsid w:val="00353CE9"/>
    <w:rsid w:val="00353FBF"/>
    <w:rsid w:val="00355620"/>
    <w:rsid w:val="0035614B"/>
    <w:rsid w:val="003564AA"/>
    <w:rsid w:val="00356747"/>
    <w:rsid w:val="00356A32"/>
    <w:rsid w:val="00356E1C"/>
    <w:rsid w:val="003575D7"/>
    <w:rsid w:val="00357D35"/>
    <w:rsid w:val="00360372"/>
    <w:rsid w:val="00361759"/>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102D"/>
    <w:rsid w:val="00371C46"/>
    <w:rsid w:val="0037249E"/>
    <w:rsid w:val="00372865"/>
    <w:rsid w:val="00373F4F"/>
    <w:rsid w:val="003740F7"/>
    <w:rsid w:val="00374176"/>
    <w:rsid w:val="003748F7"/>
    <w:rsid w:val="003750F5"/>
    <w:rsid w:val="003759CD"/>
    <w:rsid w:val="00375DCC"/>
    <w:rsid w:val="0037722F"/>
    <w:rsid w:val="0037738F"/>
    <w:rsid w:val="00380B0C"/>
    <w:rsid w:val="003819AF"/>
    <w:rsid w:val="00381B82"/>
    <w:rsid w:val="00381D9E"/>
    <w:rsid w:val="00382B81"/>
    <w:rsid w:val="003831C1"/>
    <w:rsid w:val="003833AA"/>
    <w:rsid w:val="0038384D"/>
    <w:rsid w:val="00384A2E"/>
    <w:rsid w:val="00385145"/>
    <w:rsid w:val="00385F8D"/>
    <w:rsid w:val="00386B21"/>
    <w:rsid w:val="00386E27"/>
    <w:rsid w:val="00387CC1"/>
    <w:rsid w:val="003919A1"/>
    <w:rsid w:val="00391C9E"/>
    <w:rsid w:val="003921B4"/>
    <w:rsid w:val="0039230F"/>
    <w:rsid w:val="00392AC0"/>
    <w:rsid w:val="00392F03"/>
    <w:rsid w:val="003931C7"/>
    <w:rsid w:val="00393874"/>
    <w:rsid w:val="00394E07"/>
    <w:rsid w:val="00395A5F"/>
    <w:rsid w:val="00395BFD"/>
    <w:rsid w:val="00395D66"/>
    <w:rsid w:val="0039603A"/>
    <w:rsid w:val="00396231"/>
    <w:rsid w:val="003969C2"/>
    <w:rsid w:val="00397ED4"/>
    <w:rsid w:val="003A0D1E"/>
    <w:rsid w:val="003A0FB9"/>
    <w:rsid w:val="003A0FED"/>
    <w:rsid w:val="003A1B93"/>
    <w:rsid w:val="003A1FE4"/>
    <w:rsid w:val="003A202C"/>
    <w:rsid w:val="003A2810"/>
    <w:rsid w:val="003A3A1A"/>
    <w:rsid w:val="003A45D6"/>
    <w:rsid w:val="003A4D14"/>
    <w:rsid w:val="003A5774"/>
    <w:rsid w:val="003A6CDA"/>
    <w:rsid w:val="003A73DA"/>
    <w:rsid w:val="003B0322"/>
    <w:rsid w:val="003B04CC"/>
    <w:rsid w:val="003B1FE9"/>
    <w:rsid w:val="003B22DD"/>
    <w:rsid w:val="003B29E1"/>
    <w:rsid w:val="003B2D8F"/>
    <w:rsid w:val="003B52DA"/>
    <w:rsid w:val="003B58C3"/>
    <w:rsid w:val="003B6AE7"/>
    <w:rsid w:val="003B6DAF"/>
    <w:rsid w:val="003C2BFE"/>
    <w:rsid w:val="003C30DF"/>
    <w:rsid w:val="003C3CA6"/>
    <w:rsid w:val="003C51CE"/>
    <w:rsid w:val="003C5886"/>
    <w:rsid w:val="003C5FEE"/>
    <w:rsid w:val="003C6C58"/>
    <w:rsid w:val="003C6F44"/>
    <w:rsid w:val="003C7448"/>
    <w:rsid w:val="003D03FD"/>
    <w:rsid w:val="003D1632"/>
    <w:rsid w:val="003D1F45"/>
    <w:rsid w:val="003D285C"/>
    <w:rsid w:val="003D3E2A"/>
    <w:rsid w:val="003D4482"/>
    <w:rsid w:val="003D4FEF"/>
    <w:rsid w:val="003D5A5C"/>
    <w:rsid w:val="003D5E3B"/>
    <w:rsid w:val="003E257F"/>
    <w:rsid w:val="003E2A28"/>
    <w:rsid w:val="003E33C3"/>
    <w:rsid w:val="003E33C4"/>
    <w:rsid w:val="003E3A13"/>
    <w:rsid w:val="003E3A2B"/>
    <w:rsid w:val="003E438B"/>
    <w:rsid w:val="003E4B76"/>
    <w:rsid w:val="003E624C"/>
    <w:rsid w:val="003E7222"/>
    <w:rsid w:val="003E7590"/>
    <w:rsid w:val="003E7988"/>
    <w:rsid w:val="003F0384"/>
    <w:rsid w:val="003F16DA"/>
    <w:rsid w:val="003F22DC"/>
    <w:rsid w:val="003F23BD"/>
    <w:rsid w:val="003F2A54"/>
    <w:rsid w:val="003F2FF2"/>
    <w:rsid w:val="003F35F4"/>
    <w:rsid w:val="003F45C3"/>
    <w:rsid w:val="003F4719"/>
    <w:rsid w:val="003F4FDE"/>
    <w:rsid w:val="003F57FE"/>
    <w:rsid w:val="003F5D3C"/>
    <w:rsid w:val="003F637D"/>
    <w:rsid w:val="003F6478"/>
    <w:rsid w:val="003F687C"/>
    <w:rsid w:val="003F710F"/>
    <w:rsid w:val="003F73E7"/>
    <w:rsid w:val="003F76F0"/>
    <w:rsid w:val="003F7774"/>
    <w:rsid w:val="0040022B"/>
    <w:rsid w:val="0040128B"/>
    <w:rsid w:val="004012AE"/>
    <w:rsid w:val="00401C96"/>
    <w:rsid w:val="004028E9"/>
    <w:rsid w:val="00402D96"/>
    <w:rsid w:val="00403BD5"/>
    <w:rsid w:val="00405FF1"/>
    <w:rsid w:val="00406625"/>
    <w:rsid w:val="00407D88"/>
    <w:rsid w:val="004104E0"/>
    <w:rsid w:val="004108D0"/>
    <w:rsid w:val="00410A52"/>
    <w:rsid w:val="00410C05"/>
    <w:rsid w:val="004112E8"/>
    <w:rsid w:val="00412548"/>
    <w:rsid w:val="00412EB6"/>
    <w:rsid w:val="00412EF8"/>
    <w:rsid w:val="00413331"/>
    <w:rsid w:val="004137A4"/>
    <w:rsid w:val="00413B62"/>
    <w:rsid w:val="0041403F"/>
    <w:rsid w:val="00414CFD"/>
    <w:rsid w:val="00415654"/>
    <w:rsid w:val="004166C4"/>
    <w:rsid w:val="0042102F"/>
    <w:rsid w:val="00421AC5"/>
    <w:rsid w:val="00422DE9"/>
    <w:rsid w:val="00422E2C"/>
    <w:rsid w:val="00422FA4"/>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81C"/>
    <w:rsid w:val="00434B38"/>
    <w:rsid w:val="00435406"/>
    <w:rsid w:val="00435990"/>
    <w:rsid w:val="00435C25"/>
    <w:rsid w:val="004368FD"/>
    <w:rsid w:val="00437E87"/>
    <w:rsid w:val="0044143F"/>
    <w:rsid w:val="00443282"/>
    <w:rsid w:val="0044368B"/>
    <w:rsid w:val="00443B18"/>
    <w:rsid w:val="0044478D"/>
    <w:rsid w:val="004457B3"/>
    <w:rsid w:val="004459C6"/>
    <w:rsid w:val="004460B7"/>
    <w:rsid w:val="00446479"/>
    <w:rsid w:val="004465DC"/>
    <w:rsid w:val="0044670A"/>
    <w:rsid w:val="00447076"/>
    <w:rsid w:val="004511C1"/>
    <w:rsid w:val="004515E6"/>
    <w:rsid w:val="00451ACF"/>
    <w:rsid w:val="00451F69"/>
    <w:rsid w:val="00452228"/>
    <w:rsid w:val="00453830"/>
    <w:rsid w:val="00454E7A"/>
    <w:rsid w:val="004556C2"/>
    <w:rsid w:val="00455AFD"/>
    <w:rsid w:val="00455C10"/>
    <w:rsid w:val="00456058"/>
    <w:rsid w:val="00456135"/>
    <w:rsid w:val="00456543"/>
    <w:rsid w:val="00456D9C"/>
    <w:rsid w:val="00460609"/>
    <w:rsid w:val="00460C6C"/>
    <w:rsid w:val="00460D4D"/>
    <w:rsid w:val="004616E0"/>
    <w:rsid w:val="004623D6"/>
    <w:rsid w:val="00464253"/>
    <w:rsid w:val="00464E13"/>
    <w:rsid w:val="00465D90"/>
    <w:rsid w:val="00466594"/>
    <w:rsid w:val="00466C76"/>
    <w:rsid w:val="00466FDF"/>
    <w:rsid w:val="004676FF"/>
    <w:rsid w:val="0047037F"/>
    <w:rsid w:val="00470AF3"/>
    <w:rsid w:val="00470F99"/>
    <w:rsid w:val="0047183C"/>
    <w:rsid w:val="00472215"/>
    <w:rsid w:val="004725E6"/>
    <w:rsid w:val="004737A6"/>
    <w:rsid w:val="0047436C"/>
    <w:rsid w:val="00474852"/>
    <w:rsid w:val="004754F7"/>
    <w:rsid w:val="00475D2C"/>
    <w:rsid w:val="00476815"/>
    <w:rsid w:val="00477000"/>
    <w:rsid w:val="0047728D"/>
    <w:rsid w:val="0048045C"/>
    <w:rsid w:val="00480709"/>
    <w:rsid w:val="00480C54"/>
    <w:rsid w:val="00481537"/>
    <w:rsid w:val="00481C8F"/>
    <w:rsid w:val="00481FDD"/>
    <w:rsid w:val="004827FF"/>
    <w:rsid w:val="004836A8"/>
    <w:rsid w:val="00486326"/>
    <w:rsid w:val="004866CA"/>
    <w:rsid w:val="00487186"/>
    <w:rsid w:val="00487D66"/>
    <w:rsid w:val="00493890"/>
    <w:rsid w:val="00496C79"/>
    <w:rsid w:val="00496CB7"/>
    <w:rsid w:val="004A0717"/>
    <w:rsid w:val="004A1F96"/>
    <w:rsid w:val="004A2A57"/>
    <w:rsid w:val="004A69D3"/>
    <w:rsid w:val="004A6BFC"/>
    <w:rsid w:val="004A6C63"/>
    <w:rsid w:val="004A72AE"/>
    <w:rsid w:val="004B0B7F"/>
    <w:rsid w:val="004B1029"/>
    <w:rsid w:val="004B1512"/>
    <w:rsid w:val="004B20DB"/>
    <w:rsid w:val="004B218A"/>
    <w:rsid w:val="004B3CCF"/>
    <w:rsid w:val="004B3CD2"/>
    <w:rsid w:val="004B4386"/>
    <w:rsid w:val="004B4812"/>
    <w:rsid w:val="004B495A"/>
    <w:rsid w:val="004B4BCA"/>
    <w:rsid w:val="004B567D"/>
    <w:rsid w:val="004B6483"/>
    <w:rsid w:val="004B73BE"/>
    <w:rsid w:val="004C0503"/>
    <w:rsid w:val="004C140F"/>
    <w:rsid w:val="004C1F3F"/>
    <w:rsid w:val="004C3286"/>
    <w:rsid w:val="004D0041"/>
    <w:rsid w:val="004D070F"/>
    <w:rsid w:val="004D092B"/>
    <w:rsid w:val="004D25E1"/>
    <w:rsid w:val="004D29FB"/>
    <w:rsid w:val="004D2A40"/>
    <w:rsid w:val="004D2C91"/>
    <w:rsid w:val="004D43C2"/>
    <w:rsid w:val="004D4678"/>
    <w:rsid w:val="004D4C7D"/>
    <w:rsid w:val="004D4CB5"/>
    <w:rsid w:val="004D4E20"/>
    <w:rsid w:val="004D5D47"/>
    <w:rsid w:val="004D6A4F"/>
    <w:rsid w:val="004D7D69"/>
    <w:rsid w:val="004E1221"/>
    <w:rsid w:val="004E1EEB"/>
    <w:rsid w:val="004E2632"/>
    <w:rsid w:val="004E284E"/>
    <w:rsid w:val="004E337D"/>
    <w:rsid w:val="004E37E0"/>
    <w:rsid w:val="004E41D3"/>
    <w:rsid w:val="004E4F3C"/>
    <w:rsid w:val="004E510C"/>
    <w:rsid w:val="004E5356"/>
    <w:rsid w:val="004E7355"/>
    <w:rsid w:val="004E7EFD"/>
    <w:rsid w:val="004E7F80"/>
    <w:rsid w:val="004F017E"/>
    <w:rsid w:val="004F1173"/>
    <w:rsid w:val="004F2B4D"/>
    <w:rsid w:val="004F2E24"/>
    <w:rsid w:val="004F34F5"/>
    <w:rsid w:val="004F396E"/>
    <w:rsid w:val="004F3BD2"/>
    <w:rsid w:val="004F58CF"/>
    <w:rsid w:val="004F5E96"/>
    <w:rsid w:val="004F67F1"/>
    <w:rsid w:val="004F7E41"/>
    <w:rsid w:val="00500864"/>
    <w:rsid w:val="00500D81"/>
    <w:rsid w:val="00500E1E"/>
    <w:rsid w:val="00501AFF"/>
    <w:rsid w:val="00501E0C"/>
    <w:rsid w:val="00502033"/>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39A8"/>
    <w:rsid w:val="00513C65"/>
    <w:rsid w:val="00514A25"/>
    <w:rsid w:val="00514B23"/>
    <w:rsid w:val="00515851"/>
    <w:rsid w:val="00516335"/>
    <w:rsid w:val="005166E4"/>
    <w:rsid w:val="005173BB"/>
    <w:rsid w:val="00517DC2"/>
    <w:rsid w:val="00520591"/>
    <w:rsid w:val="005212DB"/>
    <w:rsid w:val="00521CCF"/>
    <w:rsid w:val="00521EE2"/>
    <w:rsid w:val="00522466"/>
    <w:rsid w:val="00523F39"/>
    <w:rsid w:val="00524317"/>
    <w:rsid w:val="00524FE4"/>
    <w:rsid w:val="005265C1"/>
    <w:rsid w:val="0052729C"/>
    <w:rsid w:val="0052767A"/>
    <w:rsid w:val="00530033"/>
    <w:rsid w:val="0053049C"/>
    <w:rsid w:val="005306DB"/>
    <w:rsid w:val="005322AF"/>
    <w:rsid w:val="005330A7"/>
    <w:rsid w:val="00533C08"/>
    <w:rsid w:val="005344EB"/>
    <w:rsid w:val="00535335"/>
    <w:rsid w:val="005353D0"/>
    <w:rsid w:val="00535930"/>
    <w:rsid w:val="00536155"/>
    <w:rsid w:val="00536A1D"/>
    <w:rsid w:val="0054074D"/>
    <w:rsid w:val="00540982"/>
    <w:rsid w:val="00540D08"/>
    <w:rsid w:val="005425A5"/>
    <w:rsid w:val="00542869"/>
    <w:rsid w:val="00542EDC"/>
    <w:rsid w:val="00543339"/>
    <w:rsid w:val="00543568"/>
    <w:rsid w:val="0054426A"/>
    <w:rsid w:val="005446B2"/>
    <w:rsid w:val="005449DE"/>
    <w:rsid w:val="00544BC7"/>
    <w:rsid w:val="00545309"/>
    <w:rsid w:val="0054562C"/>
    <w:rsid w:val="00545A66"/>
    <w:rsid w:val="00545CA8"/>
    <w:rsid w:val="005460F0"/>
    <w:rsid w:val="0054657F"/>
    <w:rsid w:val="00546620"/>
    <w:rsid w:val="00547B0A"/>
    <w:rsid w:val="005509A5"/>
    <w:rsid w:val="00552371"/>
    <w:rsid w:val="005527AB"/>
    <w:rsid w:val="0055292A"/>
    <w:rsid w:val="005529AF"/>
    <w:rsid w:val="00552AD6"/>
    <w:rsid w:val="00552BC5"/>
    <w:rsid w:val="0055313C"/>
    <w:rsid w:val="005546F9"/>
    <w:rsid w:val="00554806"/>
    <w:rsid w:val="0055482B"/>
    <w:rsid w:val="00555166"/>
    <w:rsid w:val="005556B7"/>
    <w:rsid w:val="00555EEB"/>
    <w:rsid w:val="00562776"/>
    <w:rsid w:val="00562B50"/>
    <w:rsid w:val="005637EA"/>
    <w:rsid w:val="005639D2"/>
    <w:rsid w:val="00563A97"/>
    <w:rsid w:val="005642BB"/>
    <w:rsid w:val="00565746"/>
    <w:rsid w:val="0056589D"/>
    <w:rsid w:val="00565A95"/>
    <w:rsid w:val="005665D4"/>
    <w:rsid w:val="00566FFB"/>
    <w:rsid w:val="005675F3"/>
    <w:rsid w:val="00567D89"/>
    <w:rsid w:val="005712CF"/>
    <w:rsid w:val="005717F2"/>
    <w:rsid w:val="00571D14"/>
    <w:rsid w:val="00572554"/>
    <w:rsid w:val="005728CC"/>
    <w:rsid w:val="00573679"/>
    <w:rsid w:val="00573ADC"/>
    <w:rsid w:val="00573C19"/>
    <w:rsid w:val="00573CD2"/>
    <w:rsid w:val="00575835"/>
    <w:rsid w:val="0057661C"/>
    <w:rsid w:val="00576AA4"/>
    <w:rsid w:val="005800B3"/>
    <w:rsid w:val="00580A5E"/>
    <w:rsid w:val="00581E0E"/>
    <w:rsid w:val="00581FBE"/>
    <w:rsid w:val="00582486"/>
    <w:rsid w:val="0058255D"/>
    <w:rsid w:val="0058260D"/>
    <w:rsid w:val="005829F8"/>
    <w:rsid w:val="00583006"/>
    <w:rsid w:val="00583255"/>
    <w:rsid w:val="00583EF7"/>
    <w:rsid w:val="00585BE0"/>
    <w:rsid w:val="00586028"/>
    <w:rsid w:val="00586FD7"/>
    <w:rsid w:val="00587D42"/>
    <w:rsid w:val="00590032"/>
    <w:rsid w:val="005910A3"/>
    <w:rsid w:val="00591596"/>
    <w:rsid w:val="00591A75"/>
    <w:rsid w:val="0059298A"/>
    <w:rsid w:val="00592D1C"/>
    <w:rsid w:val="00593A1F"/>
    <w:rsid w:val="00594408"/>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5A2C"/>
    <w:rsid w:val="005A5F14"/>
    <w:rsid w:val="005A5F64"/>
    <w:rsid w:val="005A625C"/>
    <w:rsid w:val="005A6E66"/>
    <w:rsid w:val="005A7E95"/>
    <w:rsid w:val="005A7F00"/>
    <w:rsid w:val="005B009F"/>
    <w:rsid w:val="005B088E"/>
    <w:rsid w:val="005B0A20"/>
    <w:rsid w:val="005B0FDD"/>
    <w:rsid w:val="005B12A3"/>
    <w:rsid w:val="005B1BB2"/>
    <w:rsid w:val="005B2CAC"/>
    <w:rsid w:val="005B3981"/>
    <w:rsid w:val="005B5043"/>
    <w:rsid w:val="005B64C4"/>
    <w:rsid w:val="005B6767"/>
    <w:rsid w:val="005B6F45"/>
    <w:rsid w:val="005B6F92"/>
    <w:rsid w:val="005B7482"/>
    <w:rsid w:val="005C01E9"/>
    <w:rsid w:val="005C2264"/>
    <w:rsid w:val="005C23F3"/>
    <w:rsid w:val="005C30E9"/>
    <w:rsid w:val="005C3560"/>
    <w:rsid w:val="005C37E0"/>
    <w:rsid w:val="005C511C"/>
    <w:rsid w:val="005C516D"/>
    <w:rsid w:val="005C5220"/>
    <w:rsid w:val="005C5505"/>
    <w:rsid w:val="005C5F0D"/>
    <w:rsid w:val="005C6C5A"/>
    <w:rsid w:val="005C7221"/>
    <w:rsid w:val="005C763B"/>
    <w:rsid w:val="005C7F63"/>
    <w:rsid w:val="005D0832"/>
    <w:rsid w:val="005D0C11"/>
    <w:rsid w:val="005D0D24"/>
    <w:rsid w:val="005D1019"/>
    <w:rsid w:val="005D1799"/>
    <w:rsid w:val="005D2B22"/>
    <w:rsid w:val="005D3521"/>
    <w:rsid w:val="005D3786"/>
    <w:rsid w:val="005D4EB5"/>
    <w:rsid w:val="005D6599"/>
    <w:rsid w:val="005D6F9A"/>
    <w:rsid w:val="005D7057"/>
    <w:rsid w:val="005E0B91"/>
    <w:rsid w:val="005E1428"/>
    <w:rsid w:val="005E1975"/>
    <w:rsid w:val="005E3402"/>
    <w:rsid w:val="005E3606"/>
    <w:rsid w:val="005E3F79"/>
    <w:rsid w:val="005E4026"/>
    <w:rsid w:val="005E4D06"/>
    <w:rsid w:val="005E512B"/>
    <w:rsid w:val="005E5B8D"/>
    <w:rsid w:val="005E6A10"/>
    <w:rsid w:val="005E7500"/>
    <w:rsid w:val="005E7F1B"/>
    <w:rsid w:val="005F00FF"/>
    <w:rsid w:val="005F0301"/>
    <w:rsid w:val="005F0586"/>
    <w:rsid w:val="005F49F5"/>
    <w:rsid w:val="005F5471"/>
    <w:rsid w:val="005F55E7"/>
    <w:rsid w:val="005F5D37"/>
    <w:rsid w:val="005F67D3"/>
    <w:rsid w:val="005F68FD"/>
    <w:rsid w:val="005F72E9"/>
    <w:rsid w:val="005F790E"/>
    <w:rsid w:val="005F7E1D"/>
    <w:rsid w:val="005F7EBF"/>
    <w:rsid w:val="0060018A"/>
    <w:rsid w:val="00600841"/>
    <w:rsid w:val="00600E49"/>
    <w:rsid w:val="00600F23"/>
    <w:rsid w:val="006018C0"/>
    <w:rsid w:val="00602C15"/>
    <w:rsid w:val="00605D39"/>
    <w:rsid w:val="00606248"/>
    <w:rsid w:val="00606862"/>
    <w:rsid w:val="006068F3"/>
    <w:rsid w:val="00607745"/>
    <w:rsid w:val="0061038C"/>
    <w:rsid w:val="006106C9"/>
    <w:rsid w:val="006107F6"/>
    <w:rsid w:val="00610976"/>
    <w:rsid w:val="0061136C"/>
    <w:rsid w:val="00613FCD"/>
    <w:rsid w:val="006142FC"/>
    <w:rsid w:val="00614DB9"/>
    <w:rsid w:val="0061534E"/>
    <w:rsid w:val="0061564B"/>
    <w:rsid w:val="00615E2A"/>
    <w:rsid w:val="00616C68"/>
    <w:rsid w:val="00617A44"/>
    <w:rsid w:val="00620693"/>
    <w:rsid w:val="00620C51"/>
    <w:rsid w:val="00622E68"/>
    <w:rsid w:val="00623029"/>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6A69"/>
    <w:rsid w:val="00636F09"/>
    <w:rsid w:val="0063756B"/>
    <w:rsid w:val="006377C9"/>
    <w:rsid w:val="00637FB7"/>
    <w:rsid w:val="00642074"/>
    <w:rsid w:val="00642A81"/>
    <w:rsid w:val="0064353B"/>
    <w:rsid w:val="00644718"/>
    <w:rsid w:val="006455CE"/>
    <w:rsid w:val="00646160"/>
    <w:rsid w:val="006510F2"/>
    <w:rsid w:val="00651A67"/>
    <w:rsid w:val="0065292C"/>
    <w:rsid w:val="006531B8"/>
    <w:rsid w:val="00654CEF"/>
    <w:rsid w:val="00654FC4"/>
    <w:rsid w:val="0065569F"/>
    <w:rsid w:val="00657245"/>
    <w:rsid w:val="00657643"/>
    <w:rsid w:val="00660376"/>
    <w:rsid w:val="0066205C"/>
    <w:rsid w:val="006625F0"/>
    <w:rsid w:val="006634AE"/>
    <w:rsid w:val="00663831"/>
    <w:rsid w:val="0066473E"/>
    <w:rsid w:val="00664F31"/>
    <w:rsid w:val="00666603"/>
    <w:rsid w:val="006677B0"/>
    <w:rsid w:val="00670C48"/>
    <w:rsid w:val="0067184D"/>
    <w:rsid w:val="00672D0E"/>
    <w:rsid w:val="00673F37"/>
    <w:rsid w:val="00676D30"/>
    <w:rsid w:val="006774A9"/>
    <w:rsid w:val="006808B3"/>
    <w:rsid w:val="00681C24"/>
    <w:rsid w:val="00681EBF"/>
    <w:rsid w:val="00683129"/>
    <w:rsid w:val="00684FB7"/>
    <w:rsid w:val="006874FC"/>
    <w:rsid w:val="00687842"/>
    <w:rsid w:val="00687D77"/>
    <w:rsid w:val="00690068"/>
    <w:rsid w:val="00690B2C"/>
    <w:rsid w:val="00691C51"/>
    <w:rsid w:val="0069319B"/>
    <w:rsid w:val="00693D26"/>
    <w:rsid w:val="006941E1"/>
    <w:rsid w:val="00694473"/>
    <w:rsid w:val="00695932"/>
    <w:rsid w:val="00695B54"/>
    <w:rsid w:val="00695F98"/>
    <w:rsid w:val="0069638C"/>
    <w:rsid w:val="00696FA5"/>
    <w:rsid w:val="00697E88"/>
    <w:rsid w:val="006A0256"/>
    <w:rsid w:val="006A0365"/>
    <w:rsid w:val="006A0722"/>
    <w:rsid w:val="006A0AA9"/>
    <w:rsid w:val="006A0FCA"/>
    <w:rsid w:val="006A1277"/>
    <w:rsid w:val="006A1594"/>
    <w:rsid w:val="006A28A8"/>
    <w:rsid w:val="006A2FCB"/>
    <w:rsid w:val="006A489C"/>
    <w:rsid w:val="006A6ACB"/>
    <w:rsid w:val="006A705F"/>
    <w:rsid w:val="006A7ADE"/>
    <w:rsid w:val="006B11D3"/>
    <w:rsid w:val="006B247E"/>
    <w:rsid w:val="006B2C63"/>
    <w:rsid w:val="006B2E09"/>
    <w:rsid w:val="006B2E96"/>
    <w:rsid w:val="006B31C4"/>
    <w:rsid w:val="006B3AEB"/>
    <w:rsid w:val="006B3EBD"/>
    <w:rsid w:val="006B4667"/>
    <w:rsid w:val="006B4765"/>
    <w:rsid w:val="006B5026"/>
    <w:rsid w:val="006B5760"/>
    <w:rsid w:val="006B5A42"/>
    <w:rsid w:val="006B6D3A"/>
    <w:rsid w:val="006B7CDD"/>
    <w:rsid w:val="006C06CB"/>
    <w:rsid w:val="006C0FF9"/>
    <w:rsid w:val="006C1043"/>
    <w:rsid w:val="006C1948"/>
    <w:rsid w:val="006C27DB"/>
    <w:rsid w:val="006C3A43"/>
    <w:rsid w:val="006C5C23"/>
    <w:rsid w:val="006C5D17"/>
    <w:rsid w:val="006C6D01"/>
    <w:rsid w:val="006C703B"/>
    <w:rsid w:val="006C71C8"/>
    <w:rsid w:val="006C7595"/>
    <w:rsid w:val="006C75AB"/>
    <w:rsid w:val="006C7E88"/>
    <w:rsid w:val="006D09B0"/>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BDC"/>
    <w:rsid w:val="006E4602"/>
    <w:rsid w:val="006E5AB1"/>
    <w:rsid w:val="006E5ABC"/>
    <w:rsid w:val="006E6879"/>
    <w:rsid w:val="006E68E6"/>
    <w:rsid w:val="006E769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6906"/>
    <w:rsid w:val="006F7182"/>
    <w:rsid w:val="0070015E"/>
    <w:rsid w:val="00700254"/>
    <w:rsid w:val="00701273"/>
    <w:rsid w:val="0070234A"/>
    <w:rsid w:val="007024BC"/>
    <w:rsid w:val="007029A5"/>
    <w:rsid w:val="00702F8A"/>
    <w:rsid w:val="00704302"/>
    <w:rsid w:val="00704391"/>
    <w:rsid w:val="00704659"/>
    <w:rsid w:val="007049E7"/>
    <w:rsid w:val="00704B88"/>
    <w:rsid w:val="00705418"/>
    <w:rsid w:val="00705E2F"/>
    <w:rsid w:val="00706232"/>
    <w:rsid w:val="00707AC9"/>
    <w:rsid w:val="00710722"/>
    <w:rsid w:val="00711D9D"/>
    <w:rsid w:val="007133C4"/>
    <w:rsid w:val="00714288"/>
    <w:rsid w:val="007144FE"/>
    <w:rsid w:val="007149EC"/>
    <w:rsid w:val="00715F2C"/>
    <w:rsid w:val="00716FC5"/>
    <w:rsid w:val="00717D05"/>
    <w:rsid w:val="007204C5"/>
    <w:rsid w:val="007221E2"/>
    <w:rsid w:val="00722981"/>
    <w:rsid w:val="0072349E"/>
    <w:rsid w:val="0072354D"/>
    <w:rsid w:val="0072372C"/>
    <w:rsid w:val="00724A71"/>
    <w:rsid w:val="00724B4A"/>
    <w:rsid w:val="00725E16"/>
    <w:rsid w:val="00725E2C"/>
    <w:rsid w:val="00726291"/>
    <w:rsid w:val="00726C25"/>
    <w:rsid w:val="0072772E"/>
    <w:rsid w:val="00727B75"/>
    <w:rsid w:val="00730B84"/>
    <w:rsid w:val="00731749"/>
    <w:rsid w:val="00732BB2"/>
    <w:rsid w:val="00733068"/>
    <w:rsid w:val="007338D1"/>
    <w:rsid w:val="00733BC9"/>
    <w:rsid w:val="00733E81"/>
    <w:rsid w:val="00734A23"/>
    <w:rsid w:val="00734F3D"/>
    <w:rsid w:val="00735FBC"/>
    <w:rsid w:val="007362B7"/>
    <w:rsid w:val="007367C5"/>
    <w:rsid w:val="00736F1A"/>
    <w:rsid w:val="0073706F"/>
    <w:rsid w:val="00737519"/>
    <w:rsid w:val="00737C72"/>
    <w:rsid w:val="00740581"/>
    <w:rsid w:val="00740675"/>
    <w:rsid w:val="00740E18"/>
    <w:rsid w:val="00741B88"/>
    <w:rsid w:val="00742EBA"/>
    <w:rsid w:val="0074384F"/>
    <w:rsid w:val="00743AA6"/>
    <w:rsid w:val="00743F1D"/>
    <w:rsid w:val="007446F2"/>
    <w:rsid w:val="0074480A"/>
    <w:rsid w:val="007458A7"/>
    <w:rsid w:val="00745C2A"/>
    <w:rsid w:val="007471B7"/>
    <w:rsid w:val="00747611"/>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FA7"/>
    <w:rsid w:val="007631E1"/>
    <w:rsid w:val="00763355"/>
    <w:rsid w:val="00763D7C"/>
    <w:rsid w:val="00764DCA"/>
    <w:rsid w:val="00765E70"/>
    <w:rsid w:val="00765F94"/>
    <w:rsid w:val="00765FD6"/>
    <w:rsid w:val="0076623D"/>
    <w:rsid w:val="0076682A"/>
    <w:rsid w:val="00766E81"/>
    <w:rsid w:val="007673AC"/>
    <w:rsid w:val="00770E07"/>
    <w:rsid w:val="00773103"/>
    <w:rsid w:val="00773754"/>
    <w:rsid w:val="0077388E"/>
    <w:rsid w:val="00775522"/>
    <w:rsid w:val="00775D88"/>
    <w:rsid w:val="00776375"/>
    <w:rsid w:val="0077721E"/>
    <w:rsid w:val="00781994"/>
    <w:rsid w:val="00781A1C"/>
    <w:rsid w:val="00781E7A"/>
    <w:rsid w:val="00781EBF"/>
    <w:rsid w:val="00781FB9"/>
    <w:rsid w:val="007829F1"/>
    <w:rsid w:val="00782B4E"/>
    <w:rsid w:val="007845AF"/>
    <w:rsid w:val="007855C0"/>
    <w:rsid w:val="007867F9"/>
    <w:rsid w:val="00787A4F"/>
    <w:rsid w:val="00791B60"/>
    <w:rsid w:val="00791B6A"/>
    <w:rsid w:val="00792047"/>
    <w:rsid w:val="007925EA"/>
    <w:rsid w:val="00792936"/>
    <w:rsid w:val="00792C5A"/>
    <w:rsid w:val="007954F2"/>
    <w:rsid w:val="0079569A"/>
    <w:rsid w:val="0079585B"/>
    <w:rsid w:val="00795B16"/>
    <w:rsid w:val="00797161"/>
    <w:rsid w:val="007A0108"/>
    <w:rsid w:val="007A0658"/>
    <w:rsid w:val="007A0821"/>
    <w:rsid w:val="007A0869"/>
    <w:rsid w:val="007A10AD"/>
    <w:rsid w:val="007A138E"/>
    <w:rsid w:val="007A1C09"/>
    <w:rsid w:val="007A1C5A"/>
    <w:rsid w:val="007A2B58"/>
    <w:rsid w:val="007A31F6"/>
    <w:rsid w:val="007A3EE0"/>
    <w:rsid w:val="007A4012"/>
    <w:rsid w:val="007A4056"/>
    <w:rsid w:val="007A4BD0"/>
    <w:rsid w:val="007A5295"/>
    <w:rsid w:val="007A68AA"/>
    <w:rsid w:val="007A7AED"/>
    <w:rsid w:val="007A7B2A"/>
    <w:rsid w:val="007B0D94"/>
    <w:rsid w:val="007B2826"/>
    <w:rsid w:val="007B282E"/>
    <w:rsid w:val="007B2EED"/>
    <w:rsid w:val="007B3414"/>
    <w:rsid w:val="007B3A09"/>
    <w:rsid w:val="007B3A9E"/>
    <w:rsid w:val="007B3AB3"/>
    <w:rsid w:val="007B4BC1"/>
    <w:rsid w:val="007B4E3B"/>
    <w:rsid w:val="007B4E6C"/>
    <w:rsid w:val="007B5A0B"/>
    <w:rsid w:val="007B5AF2"/>
    <w:rsid w:val="007C1196"/>
    <w:rsid w:val="007C18A4"/>
    <w:rsid w:val="007C2A67"/>
    <w:rsid w:val="007C2C0B"/>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42A"/>
    <w:rsid w:val="007E35AF"/>
    <w:rsid w:val="007E3655"/>
    <w:rsid w:val="007E39F4"/>
    <w:rsid w:val="007E5105"/>
    <w:rsid w:val="007E62D2"/>
    <w:rsid w:val="007E648D"/>
    <w:rsid w:val="007E66CE"/>
    <w:rsid w:val="007E67BB"/>
    <w:rsid w:val="007E6E8B"/>
    <w:rsid w:val="007E7DBC"/>
    <w:rsid w:val="007E7DE7"/>
    <w:rsid w:val="007F14DC"/>
    <w:rsid w:val="007F2FC0"/>
    <w:rsid w:val="007F315B"/>
    <w:rsid w:val="007F3DB4"/>
    <w:rsid w:val="007F3FB4"/>
    <w:rsid w:val="007F431C"/>
    <w:rsid w:val="007F44F9"/>
    <w:rsid w:val="007F45B5"/>
    <w:rsid w:val="007F7AE1"/>
    <w:rsid w:val="00800F99"/>
    <w:rsid w:val="0080111C"/>
    <w:rsid w:val="0080126D"/>
    <w:rsid w:val="0080226C"/>
    <w:rsid w:val="00802904"/>
    <w:rsid w:val="008035B8"/>
    <w:rsid w:val="00804C8A"/>
    <w:rsid w:val="00804D29"/>
    <w:rsid w:val="0080597E"/>
    <w:rsid w:val="008061B9"/>
    <w:rsid w:val="00806FCA"/>
    <w:rsid w:val="008079AD"/>
    <w:rsid w:val="00810FED"/>
    <w:rsid w:val="0081170B"/>
    <w:rsid w:val="00811B25"/>
    <w:rsid w:val="00812BA7"/>
    <w:rsid w:val="00812FFA"/>
    <w:rsid w:val="00814126"/>
    <w:rsid w:val="00814541"/>
    <w:rsid w:val="008157E0"/>
    <w:rsid w:val="00815C99"/>
    <w:rsid w:val="0081654A"/>
    <w:rsid w:val="0082008C"/>
    <w:rsid w:val="00820BA8"/>
    <w:rsid w:val="00820BD5"/>
    <w:rsid w:val="008215DA"/>
    <w:rsid w:val="00821C74"/>
    <w:rsid w:val="00822C92"/>
    <w:rsid w:val="008232BD"/>
    <w:rsid w:val="00824975"/>
    <w:rsid w:val="008256BE"/>
    <w:rsid w:val="0082657C"/>
    <w:rsid w:val="0082682F"/>
    <w:rsid w:val="0082690D"/>
    <w:rsid w:val="0082705A"/>
    <w:rsid w:val="00827EB8"/>
    <w:rsid w:val="00830130"/>
    <w:rsid w:val="008302C6"/>
    <w:rsid w:val="00831200"/>
    <w:rsid w:val="00831AB2"/>
    <w:rsid w:val="00834122"/>
    <w:rsid w:val="00834979"/>
    <w:rsid w:val="00834B98"/>
    <w:rsid w:val="00835F57"/>
    <w:rsid w:val="00836C74"/>
    <w:rsid w:val="008370EA"/>
    <w:rsid w:val="008371D2"/>
    <w:rsid w:val="008376A1"/>
    <w:rsid w:val="008379EC"/>
    <w:rsid w:val="00840E99"/>
    <w:rsid w:val="00841360"/>
    <w:rsid w:val="00841BB6"/>
    <w:rsid w:val="00842598"/>
    <w:rsid w:val="00842ED0"/>
    <w:rsid w:val="00843A04"/>
    <w:rsid w:val="00845264"/>
    <w:rsid w:val="00845C1A"/>
    <w:rsid w:val="00847243"/>
    <w:rsid w:val="0084771B"/>
    <w:rsid w:val="00847A40"/>
    <w:rsid w:val="00847BFB"/>
    <w:rsid w:val="00847EDD"/>
    <w:rsid w:val="008526BD"/>
    <w:rsid w:val="008530C1"/>
    <w:rsid w:val="0085497D"/>
    <w:rsid w:val="00854EE9"/>
    <w:rsid w:val="00855086"/>
    <w:rsid w:val="00855095"/>
    <w:rsid w:val="0085560F"/>
    <w:rsid w:val="00856B33"/>
    <w:rsid w:val="00860324"/>
    <w:rsid w:val="008605B5"/>
    <w:rsid w:val="00860A03"/>
    <w:rsid w:val="00860C31"/>
    <w:rsid w:val="0086121B"/>
    <w:rsid w:val="00862A24"/>
    <w:rsid w:val="008639AD"/>
    <w:rsid w:val="008639D1"/>
    <w:rsid w:val="00863AC6"/>
    <w:rsid w:val="00865325"/>
    <w:rsid w:val="00865385"/>
    <w:rsid w:val="00866B92"/>
    <w:rsid w:val="00867245"/>
    <w:rsid w:val="00867F0B"/>
    <w:rsid w:val="00870844"/>
    <w:rsid w:val="008721A5"/>
    <w:rsid w:val="00872370"/>
    <w:rsid w:val="008724DE"/>
    <w:rsid w:val="00872693"/>
    <w:rsid w:val="00872F18"/>
    <w:rsid w:val="0087416D"/>
    <w:rsid w:val="00874659"/>
    <w:rsid w:val="008747D8"/>
    <w:rsid w:val="0087674C"/>
    <w:rsid w:val="0087713A"/>
    <w:rsid w:val="0087789E"/>
    <w:rsid w:val="00877C2B"/>
    <w:rsid w:val="00880157"/>
    <w:rsid w:val="008808ED"/>
    <w:rsid w:val="008811FB"/>
    <w:rsid w:val="0088180B"/>
    <w:rsid w:val="00882726"/>
    <w:rsid w:val="008827A5"/>
    <w:rsid w:val="00883096"/>
    <w:rsid w:val="00883ABD"/>
    <w:rsid w:val="0088405B"/>
    <w:rsid w:val="00884690"/>
    <w:rsid w:val="008858A0"/>
    <w:rsid w:val="00886610"/>
    <w:rsid w:val="008868A1"/>
    <w:rsid w:val="00890934"/>
    <w:rsid w:val="00890FCD"/>
    <w:rsid w:val="0089177F"/>
    <w:rsid w:val="0089190A"/>
    <w:rsid w:val="00894503"/>
    <w:rsid w:val="008958F2"/>
    <w:rsid w:val="008959D2"/>
    <w:rsid w:val="0089611D"/>
    <w:rsid w:val="0089620C"/>
    <w:rsid w:val="008966A5"/>
    <w:rsid w:val="008967B8"/>
    <w:rsid w:val="00897F57"/>
    <w:rsid w:val="008A0E56"/>
    <w:rsid w:val="008A1B9F"/>
    <w:rsid w:val="008A472E"/>
    <w:rsid w:val="008A509C"/>
    <w:rsid w:val="008A5291"/>
    <w:rsid w:val="008A56B5"/>
    <w:rsid w:val="008A5749"/>
    <w:rsid w:val="008A5EEC"/>
    <w:rsid w:val="008A6039"/>
    <w:rsid w:val="008A603B"/>
    <w:rsid w:val="008A7C9D"/>
    <w:rsid w:val="008B00D0"/>
    <w:rsid w:val="008B092C"/>
    <w:rsid w:val="008B10FB"/>
    <w:rsid w:val="008B1422"/>
    <w:rsid w:val="008B1556"/>
    <w:rsid w:val="008B3633"/>
    <w:rsid w:val="008B3FFD"/>
    <w:rsid w:val="008B4F0A"/>
    <w:rsid w:val="008B5038"/>
    <w:rsid w:val="008B6B2A"/>
    <w:rsid w:val="008B6C6D"/>
    <w:rsid w:val="008B6E91"/>
    <w:rsid w:val="008B6FF9"/>
    <w:rsid w:val="008B723A"/>
    <w:rsid w:val="008B77D6"/>
    <w:rsid w:val="008C128F"/>
    <w:rsid w:val="008C308C"/>
    <w:rsid w:val="008C386E"/>
    <w:rsid w:val="008C390E"/>
    <w:rsid w:val="008C422E"/>
    <w:rsid w:val="008C4F64"/>
    <w:rsid w:val="008C535C"/>
    <w:rsid w:val="008C5D74"/>
    <w:rsid w:val="008C6B7A"/>
    <w:rsid w:val="008C6E46"/>
    <w:rsid w:val="008C7E0F"/>
    <w:rsid w:val="008D0352"/>
    <w:rsid w:val="008D03DA"/>
    <w:rsid w:val="008D1209"/>
    <w:rsid w:val="008D2CA9"/>
    <w:rsid w:val="008D2E6F"/>
    <w:rsid w:val="008D37B4"/>
    <w:rsid w:val="008D5B35"/>
    <w:rsid w:val="008D6ACE"/>
    <w:rsid w:val="008D72BC"/>
    <w:rsid w:val="008E040E"/>
    <w:rsid w:val="008E09F1"/>
    <w:rsid w:val="008E102C"/>
    <w:rsid w:val="008E1630"/>
    <w:rsid w:val="008E1AD5"/>
    <w:rsid w:val="008E1DF1"/>
    <w:rsid w:val="008E4025"/>
    <w:rsid w:val="008E4DD4"/>
    <w:rsid w:val="008E551F"/>
    <w:rsid w:val="008E5563"/>
    <w:rsid w:val="008E561D"/>
    <w:rsid w:val="008E6648"/>
    <w:rsid w:val="008E6752"/>
    <w:rsid w:val="008E6A1C"/>
    <w:rsid w:val="008F01BA"/>
    <w:rsid w:val="008F2E2F"/>
    <w:rsid w:val="008F39ED"/>
    <w:rsid w:val="008F4562"/>
    <w:rsid w:val="008F4C38"/>
    <w:rsid w:val="008F609C"/>
    <w:rsid w:val="008F6ADE"/>
    <w:rsid w:val="008F6FBF"/>
    <w:rsid w:val="008F7758"/>
    <w:rsid w:val="00900348"/>
    <w:rsid w:val="009005BC"/>
    <w:rsid w:val="00900939"/>
    <w:rsid w:val="00900DC1"/>
    <w:rsid w:val="009012D8"/>
    <w:rsid w:val="0090139D"/>
    <w:rsid w:val="00901ACC"/>
    <w:rsid w:val="00903CAD"/>
    <w:rsid w:val="009045CD"/>
    <w:rsid w:val="009051D2"/>
    <w:rsid w:val="00906F3E"/>
    <w:rsid w:val="0090749C"/>
    <w:rsid w:val="00910CE2"/>
    <w:rsid w:val="00910F07"/>
    <w:rsid w:val="0091159C"/>
    <w:rsid w:val="009115DE"/>
    <w:rsid w:val="00911BC4"/>
    <w:rsid w:val="0091209F"/>
    <w:rsid w:val="00912855"/>
    <w:rsid w:val="00912AA9"/>
    <w:rsid w:val="00913242"/>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431C"/>
    <w:rsid w:val="009255A3"/>
    <w:rsid w:val="00925636"/>
    <w:rsid w:val="009256AD"/>
    <w:rsid w:val="00925783"/>
    <w:rsid w:val="00925CE0"/>
    <w:rsid w:val="00925FC0"/>
    <w:rsid w:val="0092650D"/>
    <w:rsid w:val="00926B8C"/>
    <w:rsid w:val="00926D86"/>
    <w:rsid w:val="009271C5"/>
    <w:rsid w:val="00927C0C"/>
    <w:rsid w:val="00930027"/>
    <w:rsid w:val="0093021C"/>
    <w:rsid w:val="009303A1"/>
    <w:rsid w:val="009304A4"/>
    <w:rsid w:val="009313C3"/>
    <w:rsid w:val="009313C5"/>
    <w:rsid w:val="009314F3"/>
    <w:rsid w:val="00932414"/>
    <w:rsid w:val="00934333"/>
    <w:rsid w:val="00935966"/>
    <w:rsid w:val="00935D7D"/>
    <w:rsid w:val="009404B0"/>
    <w:rsid w:val="00940966"/>
    <w:rsid w:val="00941EA1"/>
    <w:rsid w:val="00942342"/>
    <w:rsid w:val="00943043"/>
    <w:rsid w:val="009443A8"/>
    <w:rsid w:val="00945322"/>
    <w:rsid w:val="00946F23"/>
    <w:rsid w:val="00947191"/>
    <w:rsid w:val="0094736F"/>
    <w:rsid w:val="00947E36"/>
    <w:rsid w:val="00947EED"/>
    <w:rsid w:val="00950539"/>
    <w:rsid w:val="00951216"/>
    <w:rsid w:val="009514E6"/>
    <w:rsid w:val="00952064"/>
    <w:rsid w:val="00952079"/>
    <w:rsid w:val="0095289B"/>
    <w:rsid w:val="00952F30"/>
    <w:rsid w:val="00953A0B"/>
    <w:rsid w:val="00953A19"/>
    <w:rsid w:val="00953CCE"/>
    <w:rsid w:val="009564A7"/>
    <w:rsid w:val="009603BB"/>
    <w:rsid w:val="009608D9"/>
    <w:rsid w:val="009610C4"/>
    <w:rsid w:val="00961BAC"/>
    <w:rsid w:val="00961FAA"/>
    <w:rsid w:val="00962EBC"/>
    <w:rsid w:val="009632BC"/>
    <w:rsid w:val="0096333F"/>
    <w:rsid w:val="00963AE3"/>
    <w:rsid w:val="009649D9"/>
    <w:rsid w:val="00964BF7"/>
    <w:rsid w:val="00964C19"/>
    <w:rsid w:val="00964D57"/>
    <w:rsid w:val="00965DFD"/>
    <w:rsid w:val="00965E8B"/>
    <w:rsid w:val="00966B92"/>
    <w:rsid w:val="00966D06"/>
    <w:rsid w:val="00967D07"/>
    <w:rsid w:val="00970376"/>
    <w:rsid w:val="009704CC"/>
    <w:rsid w:val="00970F5B"/>
    <w:rsid w:val="00971499"/>
    <w:rsid w:val="0097165B"/>
    <w:rsid w:val="00971856"/>
    <w:rsid w:val="00972FB6"/>
    <w:rsid w:val="00973243"/>
    <w:rsid w:val="00974839"/>
    <w:rsid w:val="009752B5"/>
    <w:rsid w:val="009757AD"/>
    <w:rsid w:val="00976E82"/>
    <w:rsid w:val="00977702"/>
    <w:rsid w:val="00980229"/>
    <w:rsid w:val="00981168"/>
    <w:rsid w:val="009812F7"/>
    <w:rsid w:val="00981FEC"/>
    <w:rsid w:val="00982963"/>
    <w:rsid w:val="00982CD6"/>
    <w:rsid w:val="00982F62"/>
    <w:rsid w:val="00984E7A"/>
    <w:rsid w:val="009876A4"/>
    <w:rsid w:val="00987D97"/>
    <w:rsid w:val="00990E3B"/>
    <w:rsid w:val="00991F70"/>
    <w:rsid w:val="0099237C"/>
    <w:rsid w:val="00992AA6"/>
    <w:rsid w:val="00992DFC"/>
    <w:rsid w:val="00993738"/>
    <w:rsid w:val="00993DF1"/>
    <w:rsid w:val="009A0BEF"/>
    <w:rsid w:val="009A3E79"/>
    <w:rsid w:val="009A4B16"/>
    <w:rsid w:val="009A5024"/>
    <w:rsid w:val="009A606E"/>
    <w:rsid w:val="009A659B"/>
    <w:rsid w:val="009A6E13"/>
    <w:rsid w:val="009A7E98"/>
    <w:rsid w:val="009B0533"/>
    <w:rsid w:val="009B1265"/>
    <w:rsid w:val="009B1268"/>
    <w:rsid w:val="009B1D96"/>
    <w:rsid w:val="009B2E80"/>
    <w:rsid w:val="009B3069"/>
    <w:rsid w:val="009B48F4"/>
    <w:rsid w:val="009B49FC"/>
    <w:rsid w:val="009B4DE8"/>
    <w:rsid w:val="009B56E5"/>
    <w:rsid w:val="009B586B"/>
    <w:rsid w:val="009B691C"/>
    <w:rsid w:val="009B78F8"/>
    <w:rsid w:val="009B7FD9"/>
    <w:rsid w:val="009C0272"/>
    <w:rsid w:val="009C13C1"/>
    <w:rsid w:val="009C1564"/>
    <w:rsid w:val="009C2069"/>
    <w:rsid w:val="009C20CD"/>
    <w:rsid w:val="009C20CF"/>
    <w:rsid w:val="009C230E"/>
    <w:rsid w:val="009C2F0B"/>
    <w:rsid w:val="009C5162"/>
    <w:rsid w:val="009C532A"/>
    <w:rsid w:val="009C67AD"/>
    <w:rsid w:val="009C7001"/>
    <w:rsid w:val="009D0575"/>
    <w:rsid w:val="009D15B1"/>
    <w:rsid w:val="009D25C0"/>
    <w:rsid w:val="009D2F96"/>
    <w:rsid w:val="009D4310"/>
    <w:rsid w:val="009D52A9"/>
    <w:rsid w:val="009D5AFF"/>
    <w:rsid w:val="009D64A9"/>
    <w:rsid w:val="009D7335"/>
    <w:rsid w:val="009D7A09"/>
    <w:rsid w:val="009D7B03"/>
    <w:rsid w:val="009E07F6"/>
    <w:rsid w:val="009E0BD7"/>
    <w:rsid w:val="009E1743"/>
    <w:rsid w:val="009E2377"/>
    <w:rsid w:val="009E2E82"/>
    <w:rsid w:val="009E301F"/>
    <w:rsid w:val="009E31C2"/>
    <w:rsid w:val="009E3F19"/>
    <w:rsid w:val="009E4764"/>
    <w:rsid w:val="009E599C"/>
    <w:rsid w:val="009E59D0"/>
    <w:rsid w:val="009E5A66"/>
    <w:rsid w:val="009E5CB7"/>
    <w:rsid w:val="009E6A74"/>
    <w:rsid w:val="009E792E"/>
    <w:rsid w:val="009E7B20"/>
    <w:rsid w:val="009F10FD"/>
    <w:rsid w:val="009F1F29"/>
    <w:rsid w:val="009F2CCB"/>
    <w:rsid w:val="009F3463"/>
    <w:rsid w:val="009F3E5E"/>
    <w:rsid w:val="009F5172"/>
    <w:rsid w:val="009F5249"/>
    <w:rsid w:val="009F5D6E"/>
    <w:rsid w:val="009F6C26"/>
    <w:rsid w:val="009F7800"/>
    <w:rsid w:val="009F7AB3"/>
    <w:rsid w:val="00A00293"/>
    <w:rsid w:val="00A00A33"/>
    <w:rsid w:val="00A018AF"/>
    <w:rsid w:val="00A02D07"/>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5F10"/>
    <w:rsid w:val="00A172CD"/>
    <w:rsid w:val="00A1750E"/>
    <w:rsid w:val="00A1765E"/>
    <w:rsid w:val="00A17B1F"/>
    <w:rsid w:val="00A17CA5"/>
    <w:rsid w:val="00A203F4"/>
    <w:rsid w:val="00A20823"/>
    <w:rsid w:val="00A20D4F"/>
    <w:rsid w:val="00A2171C"/>
    <w:rsid w:val="00A22398"/>
    <w:rsid w:val="00A22480"/>
    <w:rsid w:val="00A225EA"/>
    <w:rsid w:val="00A2271E"/>
    <w:rsid w:val="00A22938"/>
    <w:rsid w:val="00A23301"/>
    <w:rsid w:val="00A239E0"/>
    <w:rsid w:val="00A23CF6"/>
    <w:rsid w:val="00A2434F"/>
    <w:rsid w:val="00A2552E"/>
    <w:rsid w:val="00A26A2F"/>
    <w:rsid w:val="00A26B23"/>
    <w:rsid w:val="00A27EF9"/>
    <w:rsid w:val="00A3090D"/>
    <w:rsid w:val="00A309AB"/>
    <w:rsid w:val="00A3141B"/>
    <w:rsid w:val="00A31973"/>
    <w:rsid w:val="00A31F9D"/>
    <w:rsid w:val="00A32117"/>
    <w:rsid w:val="00A32B45"/>
    <w:rsid w:val="00A3331A"/>
    <w:rsid w:val="00A3426F"/>
    <w:rsid w:val="00A348A1"/>
    <w:rsid w:val="00A34932"/>
    <w:rsid w:val="00A34C44"/>
    <w:rsid w:val="00A34C86"/>
    <w:rsid w:val="00A351D9"/>
    <w:rsid w:val="00A366EA"/>
    <w:rsid w:val="00A36F01"/>
    <w:rsid w:val="00A37F9A"/>
    <w:rsid w:val="00A42397"/>
    <w:rsid w:val="00A424FC"/>
    <w:rsid w:val="00A42788"/>
    <w:rsid w:val="00A43C9B"/>
    <w:rsid w:val="00A44EFD"/>
    <w:rsid w:val="00A450B4"/>
    <w:rsid w:val="00A45629"/>
    <w:rsid w:val="00A46163"/>
    <w:rsid w:val="00A472E7"/>
    <w:rsid w:val="00A47796"/>
    <w:rsid w:val="00A47DB5"/>
    <w:rsid w:val="00A51D51"/>
    <w:rsid w:val="00A51E86"/>
    <w:rsid w:val="00A52FC3"/>
    <w:rsid w:val="00A53445"/>
    <w:rsid w:val="00A55736"/>
    <w:rsid w:val="00A566D9"/>
    <w:rsid w:val="00A5695A"/>
    <w:rsid w:val="00A57025"/>
    <w:rsid w:val="00A57346"/>
    <w:rsid w:val="00A57C8A"/>
    <w:rsid w:val="00A6095D"/>
    <w:rsid w:val="00A60B45"/>
    <w:rsid w:val="00A6116B"/>
    <w:rsid w:val="00A614EE"/>
    <w:rsid w:val="00A6157A"/>
    <w:rsid w:val="00A62701"/>
    <w:rsid w:val="00A636C4"/>
    <w:rsid w:val="00A64701"/>
    <w:rsid w:val="00A64891"/>
    <w:rsid w:val="00A64C0B"/>
    <w:rsid w:val="00A66D0F"/>
    <w:rsid w:val="00A6711B"/>
    <w:rsid w:val="00A67E64"/>
    <w:rsid w:val="00A70B1A"/>
    <w:rsid w:val="00A70CDF"/>
    <w:rsid w:val="00A70E7C"/>
    <w:rsid w:val="00A73B4D"/>
    <w:rsid w:val="00A7426C"/>
    <w:rsid w:val="00A74308"/>
    <w:rsid w:val="00A7514E"/>
    <w:rsid w:val="00A7536E"/>
    <w:rsid w:val="00A75924"/>
    <w:rsid w:val="00A75F46"/>
    <w:rsid w:val="00A75FCD"/>
    <w:rsid w:val="00A76D0D"/>
    <w:rsid w:val="00A774EF"/>
    <w:rsid w:val="00A80D38"/>
    <w:rsid w:val="00A811F0"/>
    <w:rsid w:val="00A81EFD"/>
    <w:rsid w:val="00A82947"/>
    <w:rsid w:val="00A82F34"/>
    <w:rsid w:val="00A830DA"/>
    <w:rsid w:val="00A8327C"/>
    <w:rsid w:val="00A8372A"/>
    <w:rsid w:val="00A83E23"/>
    <w:rsid w:val="00A84826"/>
    <w:rsid w:val="00A84A99"/>
    <w:rsid w:val="00A850CE"/>
    <w:rsid w:val="00A8540F"/>
    <w:rsid w:val="00A85661"/>
    <w:rsid w:val="00A86E41"/>
    <w:rsid w:val="00A87399"/>
    <w:rsid w:val="00A87C30"/>
    <w:rsid w:val="00A903A4"/>
    <w:rsid w:val="00A919E9"/>
    <w:rsid w:val="00A92E18"/>
    <w:rsid w:val="00A936DC"/>
    <w:rsid w:val="00A9372C"/>
    <w:rsid w:val="00A93CA5"/>
    <w:rsid w:val="00A946DB"/>
    <w:rsid w:val="00A94BD0"/>
    <w:rsid w:val="00A94DDE"/>
    <w:rsid w:val="00A95E59"/>
    <w:rsid w:val="00A95FF1"/>
    <w:rsid w:val="00A961FA"/>
    <w:rsid w:val="00A979B7"/>
    <w:rsid w:val="00A97BC0"/>
    <w:rsid w:val="00AA092F"/>
    <w:rsid w:val="00AA1951"/>
    <w:rsid w:val="00AA22F2"/>
    <w:rsid w:val="00AA2EB8"/>
    <w:rsid w:val="00AA3C6A"/>
    <w:rsid w:val="00AA4254"/>
    <w:rsid w:val="00AA5335"/>
    <w:rsid w:val="00AA61BA"/>
    <w:rsid w:val="00AA7260"/>
    <w:rsid w:val="00AB02E5"/>
    <w:rsid w:val="00AB1528"/>
    <w:rsid w:val="00AB1BD1"/>
    <w:rsid w:val="00AB1EFE"/>
    <w:rsid w:val="00AB24E9"/>
    <w:rsid w:val="00AB3555"/>
    <w:rsid w:val="00AB49DF"/>
    <w:rsid w:val="00AB4C9C"/>
    <w:rsid w:val="00AB5D2D"/>
    <w:rsid w:val="00AB6B1A"/>
    <w:rsid w:val="00AB70D9"/>
    <w:rsid w:val="00AB74F0"/>
    <w:rsid w:val="00AC0256"/>
    <w:rsid w:val="00AC0562"/>
    <w:rsid w:val="00AC0595"/>
    <w:rsid w:val="00AC0EC0"/>
    <w:rsid w:val="00AC1DFC"/>
    <w:rsid w:val="00AC2341"/>
    <w:rsid w:val="00AC2A27"/>
    <w:rsid w:val="00AC2C7B"/>
    <w:rsid w:val="00AC3358"/>
    <w:rsid w:val="00AC34F5"/>
    <w:rsid w:val="00AC3A9C"/>
    <w:rsid w:val="00AC4262"/>
    <w:rsid w:val="00AC4F0A"/>
    <w:rsid w:val="00AC5BB4"/>
    <w:rsid w:val="00AC69D0"/>
    <w:rsid w:val="00AC6ED9"/>
    <w:rsid w:val="00AD239E"/>
    <w:rsid w:val="00AD25E6"/>
    <w:rsid w:val="00AD2A5A"/>
    <w:rsid w:val="00AD2DEB"/>
    <w:rsid w:val="00AD32FF"/>
    <w:rsid w:val="00AD3E8F"/>
    <w:rsid w:val="00AD4E45"/>
    <w:rsid w:val="00AD50C7"/>
    <w:rsid w:val="00AD5E00"/>
    <w:rsid w:val="00AD63ED"/>
    <w:rsid w:val="00AD675B"/>
    <w:rsid w:val="00AE186F"/>
    <w:rsid w:val="00AE201C"/>
    <w:rsid w:val="00AE3B29"/>
    <w:rsid w:val="00AE54DE"/>
    <w:rsid w:val="00AE5C4A"/>
    <w:rsid w:val="00AE654D"/>
    <w:rsid w:val="00AE69F5"/>
    <w:rsid w:val="00AE6FEB"/>
    <w:rsid w:val="00AE7280"/>
    <w:rsid w:val="00AE7AB7"/>
    <w:rsid w:val="00AF1D18"/>
    <w:rsid w:val="00AF262A"/>
    <w:rsid w:val="00AF280B"/>
    <w:rsid w:val="00AF2FAA"/>
    <w:rsid w:val="00AF2FE4"/>
    <w:rsid w:val="00AF4148"/>
    <w:rsid w:val="00AF44C3"/>
    <w:rsid w:val="00AF6993"/>
    <w:rsid w:val="00AF702A"/>
    <w:rsid w:val="00AF7C5E"/>
    <w:rsid w:val="00B0191C"/>
    <w:rsid w:val="00B0217F"/>
    <w:rsid w:val="00B02D0E"/>
    <w:rsid w:val="00B031A8"/>
    <w:rsid w:val="00B037B0"/>
    <w:rsid w:val="00B05E39"/>
    <w:rsid w:val="00B060DC"/>
    <w:rsid w:val="00B10ACA"/>
    <w:rsid w:val="00B111C1"/>
    <w:rsid w:val="00B11DBC"/>
    <w:rsid w:val="00B12D38"/>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5670"/>
    <w:rsid w:val="00B25AA5"/>
    <w:rsid w:val="00B25BBE"/>
    <w:rsid w:val="00B30389"/>
    <w:rsid w:val="00B306A4"/>
    <w:rsid w:val="00B308E8"/>
    <w:rsid w:val="00B30BD1"/>
    <w:rsid w:val="00B317A2"/>
    <w:rsid w:val="00B31B6D"/>
    <w:rsid w:val="00B32004"/>
    <w:rsid w:val="00B324BE"/>
    <w:rsid w:val="00B32C3A"/>
    <w:rsid w:val="00B33307"/>
    <w:rsid w:val="00B33578"/>
    <w:rsid w:val="00B339B9"/>
    <w:rsid w:val="00B352BF"/>
    <w:rsid w:val="00B35E2D"/>
    <w:rsid w:val="00B368AB"/>
    <w:rsid w:val="00B36B3D"/>
    <w:rsid w:val="00B374C2"/>
    <w:rsid w:val="00B37723"/>
    <w:rsid w:val="00B37A94"/>
    <w:rsid w:val="00B37CD7"/>
    <w:rsid w:val="00B404EF"/>
    <w:rsid w:val="00B40C60"/>
    <w:rsid w:val="00B40FB9"/>
    <w:rsid w:val="00B41DF4"/>
    <w:rsid w:val="00B429B6"/>
    <w:rsid w:val="00B449DC"/>
    <w:rsid w:val="00B44CC5"/>
    <w:rsid w:val="00B46760"/>
    <w:rsid w:val="00B50880"/>
    <w:rsid w:val="00B50B75"/>
    <w:rsid w:val="00B51B6D"/>
    <w:rsid w:val="00B52CA7"/>
    <w:rsid w:val="00B5666D"/>
    <w:rsid w:val="00B5770C"/>
    <w:rsid w:val="00B605EF"/>
    <w:rsid w:val="00B60D3C"/>
    <w:rsid w:val="00B611BB"/>
    <w:rsid w:val="00B61FBF"/>
    <w:rsid w:val="00B624CF"/>
    <w:rsid w:val="00B62AD2"/>
    <w:rsid w:val="00B62B51"/>
    <w:rsid w:val="00B642AF"/>
    <w:rsid w:val="00B642F4"/>
    <w:rsid w:val="00B64A37"/>
    <w:rsid w:val="00B64AA6"/>
    <w:rsid w:val="00B64DDB"/>
    <w:rsid w:val="00B66A4B"/>
    <w:rsid w:val="00B67D92"/>
    <w:rsid w:val="00B70619"/>
    <w:rsid w:val="00B72D35"/>
    <w:rsid w:val="00B72E46"/>
    <w:rsid w:val="00B738EA"/>
    <w:rsid w:val="00B7493D"/>
    <w:rsid w:val="00B74B43"/>
    <w:rsid w:val="00B76290"/>
    <w:rsid w:val="00B764F1"/>
    <w:rsid w:val="00B764FC"/>
    <w:rsid w:val="00B7727A"/>
    <w:rsid w:val="00B77793"/>
    <w:rsid w:val="00B818A8"/>
    <w:rsid w:val="00B8304C"/>
    <w:rsid w:val="00B837AA"/>
    <w:rsid w:val="00B83CD2"/>
    <w:rsid w:val="00B8403F"/>
    <w:rsid w:val="00B84047"/>
    <w:rsid w:val="00B85096"/>
    <w:rsid w:val="00B8552F"/>
    <w:rsid w:val="00B86D7B"/>
    <w:rsid w:val="00B87665"/>
    <w:rsid w:val="00B8786C"/>
    <w:rsid w:val="00B87AEA"/>
    <w:rsid w:val="00B87E15"/>
    <w:rsid w:val="00B9020E"/>
    <w:rsid w:val="00B90779"/>
    <w:rsid w:val="00B9193F"/>
    <w:rsid w:val="00B92B7B"/>
    <w:rsid w:val="00B92E03"/>
    <w:rsid w:val="00B93203"/>
    <w:rsid w:val="00B93A86"/>
    <w:rsid w:val="00B93C48"/>
    <w:rsid w:val="00B944F0"/>
    <w:rsid w:val="00B95F7E"/>
    <w:rsid w:val="00B966A7"/>
    <w:rsid w:val="00B968E3"/>
    <w:rsid w:val="00B96E6F"/>
    <w:rsid w:val="00B96F80"/>
    <w:rsid w:val="00B974CC"/>
    <w:rsid w:val="00B975D6"/>
    <w:rsid w:val="00BA0885"/>
    <w:rsid w:val="00BA13E9"/>
    <w:rsid w:val="00BA17E3"/>
    <w:rsid w:val="00BA1F07"/>
    <w:rsid w:val="00BA22B6"/>
    <w:rsid w:val="00BA2641"/>
    <w:rsid w:val="00BA28C5"/>
    <w:rsid w:val="00BA357D"/>
    <w:rsid w:val="00BA3E3B"/>
    <w:rsid w:val="00BA41DC"/>
    <w:rsid w:val="00BA59CD"/>
    <w:rsid w:val="00BA5F50"/>
    <w:rsid w:val="00BA63F7"/>
    <w:rsid w:val="00BA68F5"/>
    <w:rsid w:val="00BA697C"/>
    <w:rsid w:val="00BA7652"/>
    <w:rsid w:val="00BA7881"/>
    <w:rsid w:val="00BA78E6"/>
    <w:rsid w:val="00BB0E72"/>
    <w:rsid w:val="00BB114B"/>
    <w:rsid w:val="00BB123E"/>
    <w:rsid w:val="00BB1A7F"/>
    <w:rsid w:val="00BB27E8"/>
    <w:rsid w:val="00BB30AC"/>
    <w:rsid w:val="00BB3686"/>
    <w:rsid w:val="00BB4AFE"/>
    <w:rsid w:val="00BB4FBB"/>
    <w:rsid w:val="00BB567F"/>
    <w:rsid w:val="00BB5856"/>
    <w:rsid w:val="00BB5C9F"/>
    <w:rsid w:val="00BB5EF3"/>
    <w:rsid w:val="00BB6CE2"/>
    <w:rsid w:val="00BB6F1B"/>
    <w:rsid w:val="00BC125B"/>
    <w:rsid w:val="00BC13C4"/>
    <w:rsid w:val="00BC1DAE"/>
    <w:rsid w:val="00BC1EB5"/>
    <w:rsid w:val="00BC22AA"/>
    <w:rsid w:val="00BC34ED"/>
    <w:rsid w:val="00BC4204"/>
    <w:rsid w:val="00BC5842"/>
    <w:rsid w:val="00BC6C3F"/>
    <w:rsid w:val="00BC7848"/>
    <w:rsid w:val="00BD0648"/>
    <w:rsid w:val="00BD0BBE"/>
    <w:rsid w:val="00BD10EF"/>
    <w:rsid w:val="00BD231A"/>
    <w:rsid w:val="00BD279E"/>
    <w:rsid w:val="00BD2BCA"/>
    <w:rsid w:val="00BD3A7F"/>
    <w:rsid w:val="00BD4F39"/>
    <w:rsid w:val="00BD6CE1"/>
    <w:rsid w:val="00BD6F06"/>
    <w:rsid w:val="00BD76C3"/>
    <w:rsid w:val="00BD7B71"/>
    <w:rsid w:val="00BD7C00"/>
    <w:rsid w:val="00BE26F7"/>
    <w:rsid w:val="00BE2DB1"/>
    <w:rsid w:val="00BE34C3"/>
    <w:rsid w:val="00BE39B4"/>
    <w:rsid w:val="00BE3FF2"/>
    <w:rsid w:val="00BE4356"/>
    <w:rsid w:val="00BE46C4"/>
    <w:rsid w:val="00BE4917"/>
    <w:rsid w:val="00BE4BE4"/>
    <w:rsid w:val="00BE4CC4"/>
    <w:rsid w:val="00BE4D8C"/>
    <w:rsid w:val="00BE51E6"/>
    <w:rsid w:val="00BE580E"/>
    <w:rsid w:val="00BE6AC8"/>
    <w:rsid w:val="00BF0326"/>
    <w:rsid w:val="00BF03CC"/>
    <w:rsid w:val="00BF4192"/>
    <w:rsid w:val="00BF5386"/>
    <w:rsid w:val="00BF554B"/>
    <w:rsid w:val="00BF6988"/>
    <w:rsid w:val="00BF7681"/>
    <w:rsid w:val="00BF7E1C"/>
    <w:rsid w:val="00C00CCC"/>
    <w:rsid w:val="00C0382B"/>
    <w:rsid w:val="00C03BB7"/>
    <w:rsid w:val="00C04027"/>
    <w:rsid w:val="00C04D03"/>
    <w:rsid w:val="00C04FE4"/>
    <w:rsid w:val="00C059F1"/>
    <w:rsid w:val="00C06345"/>
    <w:rsid w:val="00C0654E"/>
    <w:rsid w:val="00C06A47"/>
    <w:rsid w:val="00C06CB9"/>
    <w:rsid w:val="00C07048"/>
    <w:rsid w:val="00C07127"/>
    <w:rsid w:val="00C101BE"/>
    <w:rsid w:val="00C102B9"/>
    <w:rsid w:val="00C11058"/>
    <w:rsid w:val="00C1137B"/>
    <w:rsid w:val="00C11690"/>
    <w:rsid w:val="00C11DE9"/>
    <w:rsid w:val="00C1204E"/>
    <w:rsid w:val="00C12BFC"/>
    <w:rsid w:val="00C15573"/>
    <w:rsid w:val="00C15E21"/>
    <w:rsid w:val="00C16F1A"/>
    <w:rsid w:val="00C174A9"/>
    <w:rsid w:val="00C17851"/>
    <w:rsid w:val="00C17C33"/>
    <w:rsid w:val="00C2023E"/>
    <w:rsid w:val="00C202E5"/>
    <w:rsid w:val="00C204FF"/>
    <w:rsid w:val="00C2103D"/>
    <w:rsid w:val="00C21767"/>
    <w:rsid w:val="00C22611"/>
    <w:rsid w:val="00C227F3"/>
    <w:rsid w:val="00C22A4E"/>
    <w:rsid w:val="00C22A64"/>
    <w:rsid w:val="00C237F1"/>
    <w:rsid w:val="00C2412B"/>
    <w:rsid w:val="00C24561"/>
    <w:rsid w:val="00C2576D"/>
    <w:rsid w:val="00C26C55"/>
    <w:rsid w:val="00C26C99"/>
    <w:rsid w:val="00C27671"/>
    <w:rsid w:val="00C277EC"/>
    <w:rsid w:val="00C27973"/>
    <w:rsid w:val="00C27BFE"/>
    <w:rsid w:val="00C30AB3"/>
    <w:rsid w:val="00C31797"/>
    <w:rsid w:val="00C32450"/>
    <w:rsid w:val="00C33066"/>
    <w:rsid w:val="00C33E37"/>
    <w:rsid w:val="00C36105"/>
    <w:rsid w:val="00C36FB1"/>
    <w:rsid w:val="00C37402"/>
    <w:rsid w:val="00C379AD"/>
    <w:rsid w:val="00C379D7"/>
    <w:rsid w:val="00C37F92"/>
    <w:rsid w:val="00C40BC5"/>
    <w:rsid w:val="00C40EA0"/>
    <w:rsid w:val="00C422E3"/>
    <w:rsid w:val="00C437FB"/>
    <w:rsid w:val="00C43B14"/>
    <w:rsid w:val="00C44291"/>
    <w:rsid w:val="00C45E3A"/>
    <w:rsid w:val="00C461F1"/>
    <w:rsid w:val="00C462FA"/>
    <w:rsid w:val="00C465A0"/>
    <w:rsid w:val="00C467B4"/>
    <w:rsid w:val="00C46C6C"/>
    <w:rsid w:val="00C4726C"/>
    <w:rsid w:val="00C5038D"/>
    <w:rsid w:val="00C511CE"/>
    <w:rsid w:val="00C51B68"/>
    <w:rsid w:val="00C51CB2"/>
    <w:rsid w:val="00C52A7F"/>
    <w:rsid w:val="00C52EB0"/>
    <w:rsid w:val="00C53334"/>
    <w:rsid w:val="00C54A52"/>
    <w:rsid w:val="00C55197"/>
    <w:rsid w:val="00C55460"/>
    <w:rsid w:val="00C5587A"/>
    <w:rsid w:val="00C558DC"/>
    <w:rsid w:val="00C55B3C"/>
    <w:rsid w:val="00C563D3"/>
    <w:rsid w:val="00C56732"/>
    <w:rsid w:val="00C57975"/>
    <w:rsid w:val="00C57A97"/>
    <w:rsid w:val="00C57C9A"/>
    <w:rsid w:val="00C60510"/>
    <w:rsid w:val="00C6055B"/>
    <w:rsid w:val="00C60C3E"/>
    <w:rsid w:val="00C60D40"/>
    <w:rsid w:val="00C61046"/>
    <w:rsid w:val="00C61E65"/>
    <w:rsid w:val="00C62271"/>
    <w:rsid w:val="00C627E6"/>
    <w:rsid w:val="00C6311D"/>
    <w:rsid w:val="00C63B10"/>
    <w:rsid w:val="00C64433"/>
    <w:rsid w:val="00C645B1"/>
    <w:rsid w:val="00C65436"/>
    <w:rsid w:val="00C65DCF"/>
    <w:rsid w:val="00C66738"/>
    <w:rsid w:val="00C66D7D"/>
    <w:rsid w:val="00C6783F"/>
    <w:rsid w:val="00C70143"/>
    <w:rsid w:val="00C7419C"/>
    <w:rsid w:val="00C747C7"/>
    <w:rsid w:val="00C75943"/>
    <w:rsid w:val="00C77A4E"/>
    <w:rsid w:val="00C8037F"/>
    <w:rsid w:val="00C80BAB"/>
    <w:rsid w:val="00C80DDA"/>
    <w:rsid w:val="00C815D7"/>
    <w:rsid w:val="00C818CC"/>
    <w:rsid w:val="00C82096"/>
    <w:rsid w:val="00C82B5B"/>
    <w:rsid w:val="00C82FE5"/>
    <w:rsid w:val="00C83321"/>
    <w:rsid w:val="00C8430B"/>
    <w:rsid w:val="00C85E38"/>
    <w:rsid w:val="00C86849"/>
    <w:rsid w:val="00C869A2"/>
    <w:rsid w:val="00C870DC"/>
    <w:rsid w:val="00C91944"/>
    <w:rsid w:val="00C93265"/>
    <w:rsid w:val="00C93335"/>
    <w:rsid w:val="00C94478"/>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A3F"/>
    <w:rsid w:val="00CA4B4D"/>
    <w:rsid w:val="00CA5CA7"/>
    <w:rsid w:val="00CA796F"/>
    <w:rsid w:val="00CB00DE"/>
    <w:rsid w:val="00CB0118"/>
    <w:rsid w:val="00CB106F"/>
    <w:rsid w:val="00CB1B49"/>
    <w:rsid w:val="00CB1F81"/>
    <w:rsid w:val="00CB20C0"/>
    <w:rsid w:val="00CB2BEA"/>
    <w:rsid w:val="00CB30BE"/>
    <w:rsid w:val="00CB3B4B"/>
    <w:rsid w:val="00CB40DD"/>
    <w:rsid w:val="00CB492C"/>
    <w:rsid w:val="00CB4E23"/>
    <w:rsid w:val="00CB5224"/>
    <w:rsid w:val="00CB55F6"/>
    <w:rsid w:val="00CB5734"/>
    <w:rsid w:val="00CB5BAB"/>
    <w:rsid w:val="00CB629C"/>
    <w:rsid w:val="00CB64FE"/>
    <w:rsid w:val="00CB7248"/>
    <w:rsid w:val="00CB7E48"/>
    <w:rsid w:val="00CB7ED7"/>
    <w:rsid w:val="00CC1622"/>
    <w:rsid w:val="00CC225F"/>
    <w:rsid w:val="00CC3842"/>
    <w:rsid w:val="00CC3880"/>
    <w:rsid w:val="00CC3911"/>
    <w:rsid w:val="00CC40E7"/>
    <w:rsid w:val="00CC49B0"/>
    <w:rsid w:val="00CC57BE"/>
    <w:rsid w:val="00CC66F1"/>
    <w:rsid w:val="00CC69E4"/>
    <w:rsid w:val="00CD02B0"/>
    <w:rsid w:val="00CD03FA"/>
    <w:rsid w:val="00CD05B8"/>
    <w:rsid w:val="00CD12D6"/>
    <w:rsid w:val="00CD1374"/>
    <w:rsid w:val="00CD1C3C"/>
    <w:rsid w:val="00CD259E"/>
    <w:rsid w:val="00CD2DC0"/>
    <w:rsid w:val="00CD2F33"/>
    <w:rsid w:val="00CD37A3"/>
    <w:rsid w:val="00CD3A8A"/>
    <w:rsid w:val="00CD56F2"/>
    <w:rsid w:val="00CD56FB"/>
    <w:rsid w:val="00CD5726"/>
    <w:rsid w:val="00CD616E"/>
    <w:rsid w:val="00CD6DA9"/>
    <w:rsid w:val="00CE02E1"/>
    <w:rsid w:val="00CE0657"/>
    <w:rsid w:val="00CE0BF9"/>
    <w:rsid w:val="00CE0CED"/>
    <w:rsid w:val="00CE134C"/>
    <w:rsid w:val="00CE2028"/>
    <w:rsid w:val="00CE3785"/>
    <w:rsid w:val="00CE437C"/>
    <w:rsid w:val="00CE5EBE"/>
    <w:rsid w:val="00CE5F0E"/>
    <w:rsid w:val="00CE6144"/>
    <w:rsid w:val="00CE6357"/>
    <w:rsid w:val="00CF01CD"/>
    <w:rsid w:val="00CF0DCC"/>
    <w:rsid w:val="00CF18E6"/>
    <w:rsid w:val="00CF19D8"/>
    <w:rsid w:val="00CF208C"/>
    <w:rsid w:val="00CF2109"/>
    <w:rsid w:val="00CF3D56"/>
    <w:rsid w:val="00CF3F2A"/>
    <w:rsid w:val="00CF72F5"/>
    <w:rsid w:val="00CF7615"/>
    <w:rsid w:val="00CF7F0A"/>
    <w:rsid w:val="00D00157"/>
    <w:rsid w:val="00D01545"/>
    <w:rsid w:val="00D02BE0"/>
    <w:rsid w:val="00D02DAA"/>
    <w:rsid w:val="00D0306D"/>
    <w:rsid w:val="00D03F65"/>
    <w:rsid w:val="00D041F6"/>
    <w:rsid w:val="00D1154B"/>
    <w:rsid w:val="00D11D45"/>
    <w:rsid w:val="00D12949"/>
    <w:rsid w:val="00D12984"/>
    <w:rsid w:val="00D12C7C"/>
    <w:rsid w:val="00D1398A"/>
    <w:rsid w:val="00D145C3"/>
    <w:rsid w:val="00D155AA"/>
    <w:rsid w:val="00D1737C"/>
    <w:rsid w:val="00D20719"/>
    <w:rsid w:val="00D2094A"/>
    <w:rsid w:val="00D2127F"/>
    <w:rsid w:val="00D21E9F"/>
    <w:rsid w:val="00D223E2"/>
    <w:rsid w:val="00D24A16"/>
    <w:rsid w:val="00D250EA"/>
    <w:rsid w:val="00D2522D"/>
    <w:rsid w:val="00D26B7A"/>
    <w:rsid w:val="00D3050F"/>
    <w:rsid w:val="00D30A84"/>
    <w:rsid w:val="00D31218"/>
    <w:rsid w:val="00D31D26"/>
    <w:rsid w:val="00D324D6"/>
    <w:rsid w:val="00D32986"/>
    <w:rsid w:val="00D32BFA"/>
    <w:rsid w:val="00D32E82"/>
    <w:rsid w:val="00D33197"/>
    <w:rsid w:val="00D335FE"/>
    <w:rsid w:val="00D34396"/>
    <w:rsid w:val="00D35082"/>
    <w:rsid w:val="00D3517B"/>
    <w:rsid w:val="00D3646B"/>
    <w:rsid w:val="00D367B8"/>
    <w:rsid w:val="00D36B11"/>
    <w:rsid w:val="00D36C6D"/>
    <w:rsid w:val="00D36EB0"/>
    <w:rsid w:val="00D3701B"/>
    <w:rsid w:val="00D37848"/>
    <w:rsid w:val="00D37870"/>
    <w:rsid w:val="00D379F1"/>
    <w:rsid w:val="00D37C97"/>
    <w:rsid w:val="00D40D99"/>
    <w:rsid w:val="00D40FD9"/>
    <w:rsid w:val="00D41370"/>
    <w:rsid w:val="00D4232D"/>
    <w:rsid w:val="00D42513"/>
    <w:rsid w:val="00D4258B"/>
    <w:rsid w:val="00D42E07"/>
    <w:rsid w:val="00D4400C"/>
    <w:rsid w:val="00D45645"/>
    <w:rsid w:val="00D4579B"/>
    <w:rsid w:val="00D458AC"/>
    <w:rsid w:val="00D4785E"/>
    <w:rsid w:val="00D500BD"/>
    <w:rsid w:val="00D5150A"/>
    <w:rsid w:val="00D52A67"/>
    <w:rsid w:val="00D537B2"/>
    <w:rsid w:val="00D542A6"/>
    <w:rsid w:val="00D545E5"/>
    <w:rsid w:val="00D548C5"/>
    <w:rsid w:val="00D54C2F"/>
    <w:rsid w:val="00D54E77"/>
    <w:rsid w:val="00D55175"/>
    <w:rsid w:val="00D5549D"/>
    <w:rsid w:val="00D55524"/>
    <w:rsid w:val="00D566CC"/>
    <w:rsid w:val="00D56B92"/>
    <w:rsid w:val="00D57593"/>
    <w:rsid w:val="00D57AB5"/>
    <w:rsid w:val="00D60E78"/>
    <w:rsid w:val="00D6134F"/>
    <w:rsid w:val="00D613AF"/>
    <w:rsid w:val="00D62956"/>
    <w:rsid w:val="00D62F7D"/>
    <w:rsid w:val="00D63193"/>
    <w:rsid w:val="00D63801"/>
    <w:rsid w:val="00D641CE"/>
    <w:rsid w:val="00D66175"/>
    <w:rsid w:val="00D663BC"/>
    <w:rsid w:val="00D66687"/>
    <w:rsid w:val="00D67195"/>
    <w:rsid w:val="00D67707"/>
    <w:rsid w:val="00D67B8E"/>
    <w:rsid w:val="00D67C00"/>
    <w:rsid w:val="00D67C20"/>
    <w:rsid w:val="00D709FA"/>
    <w:rsid w:val="00D742AB"/>
    <w:rsid w:val="00D760BA"/>
    <w:rsid w:val="00D775A8"/>
    <w:rsid w:val="00D77F22"/>
    <w:rsid w:val="00D80298"/>
    <w:rsid w:val="00D814DE"/>
    <w:rsid w:val="00D82EB8"/>
    <w:rsid w:val="00D8310E"/>
    <w:rsid w:val="00D8322C"/>
    <w:rsid w:val="00D842C0"/>
    <w:rsid w:val="00D84BCA"/>
    <w:rsid w:val="00D84E91"/>
    <w:rsid w:val="00D8536C"/>
    <w:rsid w:val="00D854AA"/>
    <w:rsid w:val="00D86119"/>
    <w:rsid w:val="00D86A65"/>
    <w:rsid w:val="00D86D64"/>
    <w:rsid w:val="00D8797F"/>
    <w:rsid w:val="00D91274"/>
    <w:rsid w:val="00D9246C"/>
    <w:rsid w:val="00D9263E"/>
    <w:rsid w:val="00D9380A"/>
    <w:rsid w:val="00D93E59"/>
    <w:rsid w:val="00D93E87"/>
    <w:rsid w:val="00D9433B"/>
    <w:rsid w:val="00D9529B"/>
    <w:rsid w:val="00D952B8"/>
    <w:rsid w:val="00D96008"/>
    <w:rsid w:val="00D962F4"/>
    <w:rsid w:val="00D96D5A"/>
    <w:rsid w:val="00D96E0F"/>
    <w:rsid w:val="00D9717D"/>
    <w:rsid w:val="00D974D3"/>
    <w:rsid w:val="00D978CF"/>
    <w:rsid w:val="00D97D8C"/>
    <w:rsid w:val="00DA02E1"/>
    <w:rsid w:val="00DA053E"/>
    <w:rsid w:val="00DA1159"/>
    <w:rsid w:val="00DA13DF"/>
    <w:rsid w:val="00DA1F7C"/>
    <w:rsid w:val="00DA376E"/>
    <w:rsid w:val="00DA3B53"/>
    <w:rsid w:val="00DA434B"/>
    <w:rsid w:val="00DA4714"/>
    <w:rsid w:val="00DA4837"/>
    <w:rsid w:val="00DA4BEF"/>
    <w:rsid w:val="00DA51DA"/>
    <w:rsid w:val="00DA54EB"/>
    <w:rsid w:val="00DA5E46"/>
    <w:rsid w:val="00DA6EB7"/>
    <w:rsid w:val="00DA6EDC"/>
    <w:rsid w:val="00DA6FB9"/>
    <w:rsid w:val="00DA7485"/>
    <w:rsid w:val="00DA763F"/>
    <w:rsid w:val="00DB0C4F"/>
    <w:rsid w:val="00DB13E8"/>
    <w:rsid w:val="00DB1CDB"/>
    <w:rsid w:val="00DB1F68"/>
    <w:rsid w:val="00DB24DB"/>
    <w:rsid w:val="00DB453C"/>
    <w:rsid w:val="00DC0767"/>
    <w:rsid w:val="00DC147F"/>
    <w:rsid w:val="00DC148A"/>
    <w:rsid w:val="00DC20BD"/>
    <w:rsid w:val="00DC2405"/>
    <w:rsid w:val="00DC36A2"/>
    <w:rsid w:val="00DC3E47"/>
    <w:rsid w:val="00DC4C5F"/>
    <w:rsid w:val="00DC4FCB"/>
    <w:rsid w:val="00DC603C"/>
    <w:rsid w:val="00DC658B"/>
    <w:rsid w:val="00DC6CA3"/>
    <w:rsid w:val="00DC766D"/>
    <w:rsid w:val="00DC7B2C"/>
    <w:rsid w:val="00DD03BC"/>
    <w:rsid w:val="00DD0BA4"/>
    <w:rsid w:val="00DD1506"/>
    <w:rsid w:val="00DD1BEC"/>
    <w:rsid w:val="00DD2128"/>
    <w:rsid w:val="00DD2E24"/>
    <w:rsid w:val="00DD55AF"/>
    <w:rsid w:val="00DD5F72"/>
    <w:rsid w:val="00DD67D3"/>
    <w:rsid w:val="00DD74BB"/>
    <w:rsid w:val="00DD7623"/>
    <w:rsid w:val="00DE0054"/>
    <w:rsid w:val="00DE0937"/>
    <w:rsid w:val="00DE16CB"/>
    <w:rsid w:val="00DE226A"/>
    <w:rsid w:val="00DE25F1"/>
    <w:rsid w:val="00DE2709"/>
    <w:rsid w:val="00DE28B8"/>
    <w:rsid w:val="00DE384C"/>
    <w:rsid w:val="00DE50B4"/>
    <w:rsid w:val="00DE5ED2"/>
    <w:rsid w:val="00DE5F74"/>
    <w:rsid w:val="00DE694F"/>
    <w:rsid w:val="00DE6E6D"/>
    <w:rsid w:val="00DE7B3B"/>
    <w:rsid w:val="00DF09B2"/>
    <w:rsid w:val="00DF1AD2"/>
    <w:rsid w:val="00DF20CB"/>
    <w:rsid w:val="00DF2D5B"/>
    <w:rsid w:val="00DF3093"/>
    <w:rsid w:val="00DF34B1"/>
    <w:rsid w:val="00DF5060"/>
    <w:rsid w:val="00DF5B0A"/>
    <w:rsid w:val="00DF5C52"/>
    <w:rsid w:val="00DF7585"/>
    <w:rsid w:val="00DF7D25"/>
    <w:rsid w:val="00E020F7"/>
    <w:rsid w:val="00E02FB2"/>
    <w:rsid w:val="00E03057"/>
    <w:rsid w:val="00E04B6F"/>
    <w:rsid w:val="00E04CC7"/>
    <w:rsid w:val="00E05383"/>
    <w:rsid w:val="00E05A72"/>
    <w:rsid w:val="00E0711D"/>
    <w:rsid w:val="00E10801"/>
    <w:rsid w:val="00E10A18"/>
    <w:rsid w:val="00E1139F"/>
    <w:rsid w:val="00E11BA0"/>
    <w:rsid w:val="00E126EF"/>
    <w:rsid w:val="00E130A5"/>
    <w:rsid w:val="00E13146"/>
    <w:rsid w:val="00E136EC"/>
    <w:rsid w:val="00E1588F"/>
    <w:rsid w:val="00E15D78"/>
    <w:rsid w:val="00E1634B"/>
    <w:rsid w:val="00E17F08"/>
    <w:rsid w:val="00E206ED"/>
    <w:rsid w:val="00E20811"/>
    <w:rsid w:val="00E20F4A"/>
    <w:rsid w:val="00E226AC"/>
    <w:rsid w:val="00E233E4"/>
    <w:rsid w:val="00E237DC"/>
    <w:rsid w:val="00E23FC1"/>
    <w:rsid w:val="00E241FD"/>
    <w:rsid w:val="00E251DD"/>
    <w:rsid w:val="00E2629A"/>
    <w:rsid w:val="00E26F14"/>
    <w:rsid w:val="00E30837"/>
    <w:rsid w:val="00E321FE"/>
    <w:rsid w:val="00E32282"/>
    <w:rsid w:val="00E32689"/>
    <w:rsid w:val="00E33321"/>
    <w:rsid w:val="00E3363D"/>
    <w:rsid w:val="00E3454C"/>
    <w:rsid w:val="00E34A98"/>
    <w:rsid w:val="00E35C3B"/>
    <w:rsid w:val="00E35C5E"/>
    <w:rsid w:val="00E36079"/>
    <w:rsid w:val="00E36644"/>
    <w:rsid w:val="00E37518"/>
    <w:rsid w:val="00E378FA"/>
    <w:rsid w:val="00E400BA"/>
    <w:rsid w:val="00E40A8A"/>
    <w:rsid w:val="00E40B44"/>
    <w:rsid w:val="00E413D1"/>
    <w:rsid w:val="00E42526"/>
    <w:rsid w:val="00E43CD3"/>
    <w:rsid w:val="00E4537D"/>
    <w:rsid w:val="00E45D67"/>
    <w:rsid w:val="00E46FC6"/>
    <w:rsid w:val="00E4734A"/>
    <w:rsid w:val="00E47A52"/>
    <w:rsid w:val="00E47E82"/>
    <w:rsid w:val="00E5020B"/>
    <w:rsid w:val="00E50DB4"/>
    <w:rsid w:val="00E51307"/>
    <w:rsid w:val="00E51848"/>
    <w:rsid w:val="00E52036"/>
    <w:rsid w:val="00E52B9C"/>
    <w:rsid w:val="00E52DB4"/>
    <w:rsid w:val="00E5433D"/>
    <w:rsid w:val="00E54CF7"/>
    <w:rsid w:val="00E54DF1"/>
    <w:rsid w:val="00E5577D"/>
    <w:rsid w:val="00E55E7E"/>
    <w:rsid w:val="00E5622A"/>
    <w:rsid w:val="00E569AF"/>
    <w:rsid w:val="00E56A32"/>
    <w:rsid w:val="00E56E24"/>
    <w:rsid w:val="00E5772E"/>
    <w:rsid w:val="00E57763"/>
    <w:rsid w:val="00E60255"/>
    <w:rsid w:val="00E606CC"/>
    <w:rsid w:val="00E61536"/>
    <w:rsid w:val="00E62243"/>
    <w:rsid w:val="00E625C3"/>
    <w:rsid w:val="00E62A99"/>
    <w:rsid w:val="00E631E7"/>
    <w:rsid w:val="00E63847"/>
    <w:rsid w:val="00E63A64"/>
    <w:rsid w:val="00E64577"/>
    <w:rsid w:val="00E663B7"/>
    <w:rsid w:val="00E667B9"/>
    <w:rsid w:val="00E66BEA"/>
    <w:rsid w:val="00E67C92"/>
    <w:rsid w:val="00E71E80"/>
    <w:rsid w:val="00E724AF"/>
    <w:rsid w:val="00E72C2D"/>
    <w:rsid w:val="00E72E57"/>
    <w:rsid w:val="00E73C1D"/>
    <w:rsid w:val="00E73EF7"/>
    <w:rsid w:val="00E7490F"/>
    <w:rsid w:val="00E74979"/>
    <w:rsid w:val="00E74F5F"/>
    <w:rsid w:val="00E750D6"/>
    <w:rsid w:val="00E751D1"/>
    <w:rsid w:val="00E755E9"/>
    <w:rsid w:val="00E761D9"/>
    <w:rsid w:val="00E779FB"/>
    <w:rsid w:val="00E820CD"/>
    <w:rsid w:val="00E826EF"/>
    <w:rsid w:val="00E832ED"/>
    <w:rsid w:val="00E83BE5"/>
    <w:rsid w:val="00E83E06"/>
    <w:rsid w:val="00E87964"/>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A0335"/>
    <w:rsid w:val="00EA096E"/>
    <w:rsid w:val="00EA13B5"/>
    <w:rsid w:val="00EA200E"/>
    <w:rsid w:val="00EA221B"/>
    <w:rsid w:val="00EA25C7"/>
    <w:rsid w:val="00EA5EB2"/>
    <w:rsid w:val="00EA62E9"/>
    <w:rsid w:val="00EA6A9F"/>
    <w:rsid w:val="00EA79F1"/>
    <w:rsid w:val="00EB0478"/>
    <w:rsid w:val="00EB0FD8"/>
    <w:rsid w:val="00EB10AE"/>
    <w:rsid w:val="00EB1D98"/>
    <w:rsid w:val="00EB2D4C"/>
    <w:rsid w:val="00EB419E"/>
    <w:rsid w:val="00EB4CC9"/>
    <w:rsid w:val="00EB4CFC"/>
    <w:rsid w:val="00EB50AD"/>
    <w:rsid w:val="00EB6693"/>
    <w:rsid w:val="00EC0E8C"/>
    <w:rsid w:val="00EC1410"/>
    <w:rsid w:val="00EC265A"/>
    <w:rsid w:val="00EC2E5F"/>
    <w:rsid w:val="00EC3376"/>
    <w:rsid w:val="00EC47A4"/>
    <w:rsid w:val="00EC4B6D"/>
    <w:rsid w:val="00EC5728"/>
    <w:rsid w:val="00EC59D3"/>
    <w:rsid w:val="00EC5BEC"/>
    <w:rsid w:val="00EC5E00"/>
    <w:rsid w:val="00EC5E9E"/>
    <w:rsid w:val="00EC62D7"/>
    <w:rsid w:val="00EC7F92"/>
    <w:rsid w:val="00ED13C2"/>
    <w:rsid w:val="00ED1897"/>
    <w:rsid w:val="00ED1923"/>
    <w:rsid w:val="00ED3583"/>
    <w:rsid w:val="00ED3B66"/>
    <w:rsid w:val="00ED41E0"/>
    <w:rsid w:val="00ED4502"/>
    <w:rsid w:val="00ED4AFC"/>
    <w:rsid w:val="00ED4D36"/>
    <w:rsid w:val="00ED51DC"/>
    <w:rsid w:val="00ED5DB8"/>
    <w:rsid w:val="00ED65ED"/>
    <w:rsid w:val="00ED671E"/>
    <w:rsid w:val="00ED6A45"/>
    <w:rsid w:val="00ED6E36"/>
    <w:rsid w:val="00ED780A"/>
    <w:rsid w:val="00EE02C2"/>
    <w:rsid w:val="00EE0604"/>
    <w:rsid w:val="00EE0A2C"/>
    <w:rsid w:val="00EE1409"/>
    <w:rsid w:val="00EE183D"/>
    <w:rsid w:val="00EE2A25"/>
    <w:rsid w:val="00EE3473"/>
    <w:rsid w:val="00EE3A37"/>
    <w:rsid w:val="00EE3D84"/>
    <w:rsid w:val="00EE3E25"/>
    <w:rsid w:val="00EE4B25"/>
    <w:rsid w:val="00EE50FB"/>
    <w:rsid w:val="00EE6546"/>
    <w:rsid w:val="00EE7ADB"/>
    <w:rsid w:val="00EE7B1D"/>
    <w:rsid w:val="00EF187A"/>
    <w:rsid w:val="00EF1BEC"/>
    <w:rsid w:val="00EF3C59"/>
    <w:rsid w:val="00EF3EE8"/>
    <w:rsid w:val="00EF430F"/>
    <w:rsid w:val="00EF551B"/>
    <w:rsid w:val="00EF5A2C"/>
    <w:rsid w:val="00EF5C19"/>
    <w:rsid w:val="00EF629B"/>
    <w:rsid w:val="00EF6551"/>
    <w:rsid w:val="00EF6AD2"/>
    <w:rsid w:val="00EF782E"/>
    <w:rsid w:val="00EF7871"/>
    <w:rsid w:val="00EF7D89"/>
    <w:rsid w:val="00F002F6"/>
    <w:rsid w:val="00F00E38"/>
    <w:rsid w:val="00F00F56"/>
    <w:rsid w:val="00F01762"/>
    <w:rsid w:val="00F026D3"/>
    <w:rsid w:val="00F02BCE"/>
    <w:rsid w:val="00F0314B"/>
    <w:rsid w:val="00F033F4"/>
    <w:rsid w:val="00F047E2"/>
    <w:rsid w:val="00F05559"/>
    <w:rsid w:val="00F1011B"/>
    <w:rsid w:val="00F10D6A"/>
    <w:rsid w:val="00F118FC"/>
    <w:rsid w:val="00F12773"/>
    <w:rsid w:val="00F1277D"/>
    <w:rsid w:val="00F12DE2"/>
    <w:rsid w:val="00F148A6"/>
    <w:rsid w:val="00F15313"/>
    <w:rsid w:val="00F16437"/>
    <w:rsid w:val="00F16586"/>
    <w:rsid w:val="00F16AD0"/>
    <w:rsid w:val="00F176FA"/>
    <w:rsid w:val="00F20820"/>
    <w:rsid w:val="00F21850"/>
    <w:rsid w:val="00F23591"/>
    <w:rsid w:val="00F2579D"/>
    <w:rsid w:val="00F263FE"/>
    <w:rsid w:val="00F264B6"/>
    <w:rsid w:val="00F269D2"/>
    <w:rsid w:val="00F26E7E"/>
    <w:rsid w:val="00F27364"/>
    <w:rsid w:val="00F27486"/>
    <w:rsid w:val="00F30F3C"/>
    <w:rsid w:val="00F31510"/>
    <w:rsid w:val="00F31CF2"/>
    <w:rsid w:val="00F34E17"/>
    <w:rsid w:val="00F35F53"/>
    <w:rsid w:val="00F36481"/>
    <w:rsid w:val="00F367B9"/>
    <w:rsid w:val="00F36954"/>
    <w:rsid w:val="00F36C53"/>
    <w:rsid w:val="00F36F65"/>
    <w:rsid w:val="00F3763A"/>
    <w:rsid w:val="00F40A81"/>
    <w:rsid w:val="00F40D5A"/>
    <w:rsid w:val="00F41882"/>
    <w:rsid w:val="00F41CA8"/>
    <w:rsid w:val="00F41D70"/>
    <w:rsid w:val="00F42365"/>
    <w:rsid w:val="00F43813"/>
    <w:rsid w:val="00F43C5D"/>
    <w:rsid w:val="00F446A6"/>
    <w:rsid w:val="00F4580C"/>
    <w:rsid w:val="00F463BC"/>
    <w:rsid w:val="00F46447"/>
    <w:rsid w:val="00F46C19"/>
    <w:rsid w:val="00F472B8"/>
    <w:rsid w:val="00F51434"/>
    <w:rsid w:val="00F52440"/>
    <w:rsid w:val="00F545DC"/>
    <w:rsid w:val="00F548E7"/>
    <w:rsid w:val="00F5534A"/>
    <w:rsid w:val="00F57038"/>
    <w:rsid w:val="00F578D2"/>
    <w:rsid w:val="00F57973"/>
    <w:rsid w:val="00F61545"/>
    <w:rsid w:val="00F6158B"/>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61D"/>
    <w:rsid w:val="00F71A2E"/>
    <w:rsid w:val="00F7243D"/>
    <w:rsid w:val="00F7348C"/>
    <w:rsid w:val="00F737E3"/>
    <w:rsid w:val="00F741F5"/>
    <w:rsid w:val="00F74495"/>
    <w:rsid w:val="00F758E1"/>
    <w:rsid w:val="00F76392"/>
    <w:rsid w:val="00F7672C"/>
    <w:rsid w:val="00F779F3"/>
    <w:rsid w:val="00F77C10"/>
    <w:rsid w:val="00F8050C"/>
    <w:rsid w:val="00F81585"/>
    <w:rsid w:val="00F8162C"/>
    <w:rsid w:val="00F81D10"/>
    <w:rsid w:val="00F81DFE"/>
    <w:rsid w:val="00F8294B"/>
    <w:rsid w:val="00F86558"/>
    <w:rsid w:val="00F86670"/>
    <w:rsid w:val="00F912CF"/>
    <w:rsid w:val="00F91F56"/>
    <w:rsid w:val="00F922A4"/>
    <w:rsid w:val="00F933D8"/>
    <w:rsid w:val="00F9561A"/>
    <w:rsid w:val="00F95715"/>
    <w:rsid w:val="00F96613"/>
    <w:rsid w:val="00F96811"/>
    <w:rsid w:val="00F978F6"/>
    <w:rsid w:val="00F97F13"/>
    <w:rsid w:val="00FA056F"/>
    <w:rsid w:val="00FA11D9"/>
    <w:rsid w:val="00FA1F4F"/>
    <w:rsid w:val="00FA21E7"/>
    <w:rsid w:val="00FA2688"/>
    <w:rsid w:val="00FA3EE2"/>
    <w:rsid w:val="00FA3F80"/>
    <w:rsid w:val="00FA58F0"/>
    <w:rsid w:val="00FA59E0"/>
    <w:rsid w:val="00FA5F90"/>
    <w:rsid w:val="00FB0530"/>
    <w:rsid w:val="00FB0FD6"/>
    <w:rsid w:val="00FB138C"/>
    <w:rsid w:val="00FB1E88"/>
    <w:rsid w:val="00FB43AB"/>
    <w:rsid w:val="00FB5255"/>
    <w:rsid w:val="00FB5962"/>
    <w:rsid w:val="00FB5AE2"/>
    <w:rsid w:val="00FB649E"/>
    <w:rsid w:val="00FB69AE"/>
    <w:rsid w:val="00FB7220"/>
    <w:rsid w:val="00FC02FD"/>
    <w:rsid w:val="00FC0BCD"/>
    <w:rsid w:val="00FC0D65"/>
    <w:rsid w:val="00FC1224"/>
    <w:rsid w:val="00FC3428"/>
    <w:rsid w:val="00FC489D"/>
    <w:rsid w:val="00FC4EFE"/>
    <w:rsid w:val="00FC5E53"/>
    <w:rsid w:val="00FC6AEF"/>
    <w:rsid w:val="00FC7402"/>
    <w:rsid w:val="00FD01F3"/>
    <w:rsid w:val="00FD07DC"/>
    <w:rsid w:val="00FD12A3"/>
    <w:rsid w:val="00FD2418"/>
    <w:rsid w:val="00FD3B83"/>
    <w:rsid w:val="00FD422A"/>
    <w:rsid w:val="00FD61F1"/>
    <w:rsid w:val="00FD7260"/>
    <w:rsid w:val="00FD7282"/>
    <w:rsid w:val="00FE0E84"/>
    <w:rsid w:val="00FE2511"/>
    <w:rsid w:val="00FE2697"/>
    <w:rsid w:val="00FE2871"/>
    <w:rsid w:val="00FE3013"/>
    <w:rsid w:val="00FE44B6"/>
    <w:rsid w:val="00FE56ED"/>
    <w:rsid w:val="00FE57B0"/>
    <w:rsid w:val="00FE5CB2"/>
    <w:rsid w:val="00FE62A4"/>
    <w:rsid w:val="00FE6700"/>
    <w:rsid w:val="00FE681F"/>
    <w:rsid w:val="00FE7075"/>
    <w:rsid w:val="00FE75C6"/>
    <w:rsid w:val="00FE7D9D"/>
    <w:rsid w:val="00FE7F40"/>
    <w:rsid w:val="00FF03CD"/>
    <w:rsid w:val="00FF0418"/>
    <w:rsid w:val="00FF1BE6"/>
    <w:rsid w:val="00FF256E"/>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811BD"/>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uiPriority w:val="99"/>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uiPriority w:val="99"/>
    <w:rsid w:val="002227A1"/>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40943315">
      <w:bodyDiv w:val="1"/>
      <w:marLeft w:val="0"/>
      <w:marRight w:val="0"/>
      <w:marTop w:val="0"/>
      <w:marBottom w:val="0"/>
      <w:divBdr>
        <w:top w:val="none" w:sz="0" w:space="0" w:color="auto"/>
        <w:left w:val="none" w:sz="0" w:space="0" w:color="auto"/>
        <w:bottom w:val="none" w:sz="0" w:space="0" w:color="auto"/>
        <w:right w:val="none" w:sz="0" w:space="0" w:color="auto"/>
      </w:divBdr>
      <w:divsChild>
        <w:div w:id="1141269749">
          <w:marLeft w:val="1293"/>
          <w:marRight w:val="0"/>
          <w:marTop w:val="0"/>
          <w:marBottom w:val="180"/>
          <w:divBdr>
            <w:top w:val="none" w:sz="0" w:space="0" w:color="auto"/>
            <w:left w:val="none" w:sz="0" w:space="0" w:color="auto"/>
            <w:bottom w:val="none" w:sz="0" w:space="0" w:color="auto"/>
            <w:right w:val="none" w:sz="0" w:space="0" w:color="auto"/>
          </w:divBdr>
        </w:div>
        <w:div w:id="1979457009">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693305688">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499346637">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F53BF-EECC-4447-9C9B-1F0616ED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5</TotalTime>
  <Pages>20</Pages>
  <Words>5524</Words>
  <Characters>31491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subject/>
  <dc:creator>ladams</dc:creator>
  <cp:keywords/>
  <dc:description/>
  <cp:lastModifiedBy>Lilitha Mdleleni</cp:lastModifiedBy>
  <cp:revision>3</cp:revision>
  <cp:lastPrinted>2023-11-29T07:27:00Z</cp:lastPrinted>
  <dcterms:created xsi:type="dcterms:W3CDTF">2023-11-29T10:48:00Z</dcterms:created>
  <dcterms:modified xsi:type="dcterms:W3CDTF">2023-12-01T05:50:00Z</dcterms:modified>
</cp:coreProperties>
</file>