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6804" w14:textId="77777777" w:rsidR="004129AA" w:rsidRPr="001F4E10" w:rsidRDefault="00EB3255" w:rsidP="001F4E10">
      <w:pPr>
        <w:pStyle w:val="Body"/>
        <w:tabs>
          <w:tab w:val="center" w:pos="4693"/>
          <w:tab w:val="left" w:pos="8020"/>
        </w:tabs>
        <w:spacing w:line="360" w:lineRule="auto"/>
        <w:rPr>
          <w:rFonts w:hAnsi="Arial" w:cs="Arial"/>
          <w:b/>
          <w:bCs/>
          <w:color w:val="auto"/>
        </w:rPr>
      </w:pPr>
      <w:r w:rsidRPr="001F4E10">
        <w:rPr>
          <w:rFonts w:hAnsi="Arial" w:cs="Arial"/>
          <w:b/>
          <w:bCs/>
          <w:color w:val="auto"/>
        </w:rPr>
        <w:tab/>
      </w:r>
      <w:r w:rsidR="0030033C" w:rsidRPr="001F4E10">
        <w:rPr>
          <w:rFonts w:hAnsi="Arial" w:cs="Arial"/>
          <w:b/>
          <w:bCs/>
          <w:color w:val="auto"/>
        </w:rPr>
        <w:t xml:space="preserve">REPUBLIC OF SOUTH AFRICA </w:t>
      </w:r>
    </w:p>
    <w:p w14:paraId="63133572" w14:textId="77777777" w:rsidR="00D95C10" w:rsidRPr="001F4E10" w:rsidRDefault="004129AA"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184AB892" wp14:editId="05977CC7">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72F64801" w14:textId="77777777" w:rsidR="00D95C10" w:rsidRPr="001F4E10" w:rsidRDefault="00D95C10" w:rsidP="001F4E10">
      <w:pPr>
        <w:pStyle w:val="Body"/>
        <w:spacing w:line="360" w:lineRule="auto"/>
        <w:jc w:val="center"/>
        <w:rPr>
          <w:rFonts w:hAnsi="Arial" w:cs="Arial"/>
          <w:b/>
          <w:bCs/>
          <w:color w:val="auto"/>
        </w:rPr>
      </w:pPr>
    </w:p>
    <w:p w14:paraId="6D353649" w14:textId="77777777" w:rsidR="0030033C" w:rsidRPr="001F4E10" w:rsidRDefault="0030033C" w:rsidP="001F4E10">
      <w:pPr>
        <w:pStyle w:val="Body"/>
        <w:spacing w:line="360" w:lineRule="auto"/>
        <w:jc w:val="center"/>
        <w:rPr>
          <w:rFonts w:hAnsi="Arial" w:cs="Arial"/>
          <w:b/>
          <w:bCs/>
          <w:color w:val="auto"/>
        </w:rPr>
      </w:pPr>
      <w:r w:rsidRPr="001F4E10">
        <w:rPr>
          <w:rFonts w:hAnsi="Arial" w:cs="Arial"/>
          <w:b/>
          <w:bCs/>
          <w:color w:val="auto"/>
        </w:rPr>
        <w:t>IN THE HIGH COURT OF SOUTH AFRICA</w:t>
      </w:r>
    </w:p>
    <w:p w14:paraId="2D708C53" w14:textId="77777777" w:rsidR="007C0FF7" w:rsidRDefault="00D95C10" w:rsidP="00587F37">
      <w:pPr>
        <w:pStyle w:val="Body"/>
        <w:spacing w:line="360" w:lineRule="auto"/>
        <w:jc w:val="center"/>
        <w:rPr>
          <w:rFonts w:hAnsi="Arial" w:cs="Arial"/>
          <w:b/>
          <w:bCs/>
        </w:rPr>
      </w:pPr>
      <w:r w:rsidRPr="001F4E10">
        <w:rPr>
          <w:rFonts w:hAnsi="Arial" w:cs="Arial"/>
          <w:b/>
          <w:bCs/>
          <w:color w:val="auto"/>
        </w:rPr>
        <w:t xml:space="preserve">GAUTENG </w:t>
      </w:r>
      <w:r w:rsidR="00FB58C1" w:rsidRPr="00A24255">
        <w:rPr>
          <w:rFonts w:hAnsi="Arial" w:cs="Arial"/>
          <w:b/>
          <w:bCs/>
          <w:color w:val="000000" w:themeColor="text1"/>
        </w:rPr>
        <w:t>LOCAL</w:t>
      </w:r>
      <w:r w:rsidR="00FB58C1">
        <w:rPr>
          <w:rFonts w:hAnsi="Arial" w:cs="Arial"/>
          <w:b/>
          <w:bCs/>
          <w:color w:val="auto"/>
        </w:rPr>
        <w:t xml:space="preserve"> </w:t>
      </w:r>
      <w:r w:rsidRPr="001F4E10">
        <w:rPr>
          <w:rFonts w:hAnsi="Arial" w:cs="Arial"/>
          <w:b/>
          <w:bCs/>
          <w:color w:val="auto"/>
        </w:rPr>
        <w:t xml:space="preserve">DIVISION, </w:t>
      </w:r>
      <w:r w:rsidR="00A90823">
        <w:rPr>
          <w:rFonts w:hAnsi="Arial" w:cs="Arial"/>
          <w:b/>
          <w:bCs/>
          <w:color w:val="auto"/>
        </w:rPr>
        <w:t>JOHANNESBURG</w:t>
      </w:r>
    </w:p>
    <w:p w14:paraId="51C42517" w14:textId="77777777" w:rsidR="007C0FF7" w:rsidRDefault="007C0FF7" w:rsidP="003C2880">
      <w:pPr>
        <w:pStyle w:val="Body"/>
        <w:ind w:left="5760" w:firstLine="720"/>
        <w:jc w:val="center"/>
        <w:rPr>
          <w:rFonts w:hAnsi="Arial" w:cs="Arial"/>
          <w:b/>
          <w:bCs/>
        </w:rPr>
      </w:pPr>
      <w:r w:rsidRPr="007C0FF7">
        <w:rPr>
          <w:rFonts w:cs="Arial"/>
          <w:b/>
          <w:noProof/>
          <w:u w:val="single"/>
          <w:lang w:val="en-ZA" w:eastAsia="en-ZA"/>
        </w:rPr>
        <mc:AlternateContent>
          <mc:Choice Requires="wps">
            <w:drawing>
              <wp:anchor distT="0" distB="0" distL="114300" distR="114300" simplePos="0" relativeHeight="251659264" behindDoc="0" locked="0" layoutInCell="1" allowOverlap="1" wp14:anchorId="1F9A9990" wp14:editId="0901F6CB">
                <wp:simplePos x="0" y="0"/>
                <wp:positionH relativeFrom="column">
                  <wp:posOffset>-266700</wp:posOffset>
                </wp:positionH>
                <wp:positionV relativeFrom="paragraph">
                  <wp:posOffset>180975</wp:posOffset>
                </wp:positionV>
                <wp:extent cx="2953775" cy="1638300"/>
                <wp:effectExtent l="0" t="0" r="184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638300"/>
                        </a:xfrm>
                        <a:prstGeom prst="rect">
                          <a:avLst/>
                        </a:prstGeom>
                        <a:solidFill>
                          <a:srgbClr val="FFFFFF"/>
                        </a:solidFill>
                        <a:ln w="9525">
                          <a:solidFill>
                            <a:srgbClr val="000000"/>
                          </a:solidFill>
                          <a:miter lim="800000"/>
                          <a:headEnd/>
                          <a:tailEnd/>
                        </a:ln>
                      </wps:spPr>
                      <wps:txbx>
                        <w:txbxContent>
                          <w:p w14:paraId="3FF9E699" w14:textId="5A281BF3"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EB1D04">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14:paraId="7110441C" w14:textId="23B7B85A"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EB1D04">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14:paraId="1811DFC9" w14:textId="3FFB389D"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EB1D04">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14:paraId="00C2CE02" w14:textId="77777777"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14:paraId="4C65C7BE" w14:textId="77777777" w:rsidR="003F0A2F" w:rsidRDefault="003F0A2F" w:rsidP="007C0FF7">
                            <w:pPr>
                              <w:tabs>
                                <w:tab w:val="center" w:pos="4320"/>
                                <w:tab w:val="right" w:pos="8640"/>
                              </w:tabs>
                              <w:ind w:left="720"/>
                              <w:contextualSpacing/>
                              <w:rPr>
                                <w:rFonts w:ascii="Calibri" w:eastAsia="Calibri" w:hAnsi="Calibri" w:cs="Times New Roman"/>
                                <w:sz w:val="20"/>
                                <w:szCs w:val="20"/>
                                <w:lang w:val="af-ZA"/>
                              </w:rPr>
                            </w:pPr>
                          </w:p>
                          <w:p w14:paraId="77AC9385" w14:textId="77777777" w:rsidR="007C0FF7" w:rsidRPr="007C20F4" w:rsidRDefault="00A742A3"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b/>
                                <w:sz w:val="20"/>
                                <w:szCs w:val="20"/>
                              </w:rPr>
                              <w:t xml:space="preserve"> </w:t>
                            </w:r>
                            <w:r w:rsidR="004F30F7">
                              <w:rPr>
                                <w:rFonts w:ascii="Calibri" w:hAnsi="Calibri" w:cs="Times New Roman"/>
                                <w:b/>
                                <w:sz w:val="20"/>
                                <w:szCs w:val="20"/>
                              </w:rPr>
                              <w:t>2</w:t>
                            </w:r>
                            <w:r w:rsidR="006A785D">
                              <w:rPr>
                                <w:rFonts w:ascii="Calibri" w:hAnsi="Calibri" w:cs="Times New Roman"/>
                                <w:b/>
                                <w:sz w:val="20"/>
                                <w:szCs w:val="20"/>
                              </w:rPr>
                              <w:t>9</w:t>
                            </w:r>
                            <w:r w:rsidR="004F30F7">
                              <w:rPr>
                                <w:rFonts w:ascii="Calibri" w:hAnsi="Calibri" w:cs="Times New Roman"/>
                                <w:b/>
                                <w:sz w:val="20"/>
                                <w:szCs w:val="20"/>
                              </w:rPr>
                              <w:t xml:space="preserve"> </w:t>
                            </w:r>
                            <w:r w:rsidR="008D22A5" w:rsidRPr="00EB1D04">
                              <w:rPr>
                                <w:rFonts w:ascii="Calibri" w:hAnsi="Calibri" w:cs="Times New Roman"/>
                                <w:b/>
                                <w:sz w:val="20"/>
                                <w:szCs w:val="20"/>
                              </w:rPr>
                              <w:t>NOVEMBER 2023</w:t>
                            </w:r>
                            <w:r w:rsidR="008D22A5">
                              <w:rPr>
                                <w:rFonts w:ascii="Calibri" w:hAnsi="Calibri" w:cs="Times New Roman"/>
                                <w:sz w:val="20"/>
                                <w:szCs w:val="20"/>
                              </w:rPr>
                              <w:t xml:space="preserve">        </w:t>
                            </w:r>
                          </w:p>
                          <w:p w14:paraId="32A45645" w14:textId="77777777"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3F0A2F">
                              <w:rPr>
                                <w:rFonts w:ascii="Calibri" w:hAnsi="Calibri" w:cs="Times New Roman"/>
                                <w:sz w:val="20"/>
                                <w:szCs w:val="20"/>
                              </w:rPr>
                              <w:t xml:space="preserve">          </w:t>
                            </w:r>
                            <w:r w:rsidRPr="007C20F4">
                              <w:rPr>
                                <w:rFonts w:ascii="Calibri" w:hAnsi="Calibri" w:cs="Times New Roman"/>
                                <w:sz w:val="20"/>
                                <w:szCs w:val="20"/>
                              </w:rPr>
                              <w:t xml:space="preserve">   SIGNATURE</w:t>
                            </w:r>
                            <w:r w:rsidR="00A742A3">
                              <w:rPr>
                                <w:rFonts w:ascii="Calibri" w:hAnsi="Calibri"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A9990" id="_x0000_t202" coordsize="21600,21600" o:spt="202" path="m,l,21600r21600,l21600,xe">
                <v:stroke joinstyle="miter"/>
                <v:path gradientshapeok="t" o:connecttype="rect"/>
              </v:shapetype>
              <v:shape id="Text Box 5" o:spid="_x0000_s1026" type="#_x0000_t202" style="position:absolute;left:0;text-align:left;margin-left:-21pt;margin-top:14.25pt;width:232.6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">
                <v:textbox>
                  <w:txbxContent>
                    <w:p w14:paraId="3FF9E699" w14:textId="5A281BF3"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EB1D04">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14:paraId="7110441C" w14:textId="23B7B85A"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EB1D04">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14:paraId="1811DFC9" w14:textId="3FFB389D" w:rsidR="007C0FF7" w:rsidRPr="007C20F4" w:rsidRDefault="00036852" w:rsidP="0003685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EB1D04">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14:paraId="00C2CE02" w14:textId="77777777"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14:paraId="4C65C7BE" w14:textId="77777777" w:rsidR="003F0A2F" w:rsidRDefault="003F0A2F" w:rsidP="007C0FF7">
                      <w:pPr>
                        <w:tabs>
                          <w:tab w:val="center" w:pos="4320"/>
                          <w:tab w:val="right" w:pos="8640"/>
                        </w:tabs>
                        <w:ind w:left="720"/>
                        <w:contextualSpacing/>
                        <w:rPr>
                          <w:rFonts w:ascii="Calibri" w:eastAsia="Calibri" w:hAnsi="Calibri" w:cs="Times New Roman"/>
                          <w:sz w:val="20"/>
                          <w:szCs w:val="20"/>
                          <w:lang w:val="af-ZA"/>
                        </w:rPr>
                      </w:pPr>
                    </w:p>
                    <w:p w14:paraId="77AC9385" w14:textId="77777777" w:rsidR="007C0FF7" w:rsidRPr="007C20F4" w:rsidRDefault="00A742A3"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b/>
                          <w:sz w:val="20"/>
                          <w:szCs w:val="20"/>
                        </w:rPr>
                        <w:t xml:space="preserve"> </w:t>
                      </w:r>
                      <w:r w:rsidR="004F30F7">
                        <w:rPr>
                          <w:rFonts w:ascii="Calibri" w:hAnsi="Calibri" w:cs="Times New Roman"/>
                          <w:b/>
                          <w:sz w:val="20"/>
                          <w:szCs w:val="20"/>
                        </w:rPr>
                        <w:t>2</w:t>
                      </w:r>
                      <w:r w:rsidR="006A785D">
                        <w:rPr>
                          <w:rFonts w:ascii="Calibri" w:hAnsi="Calibri" w:cs="Times New Roman"/>
                          <w:b/>
                          <w:sz w:val="20"/>
                          <w:szCs w:val="20"/>
                        </w:rPr>
                        <w:t>9</w:t>
                      </w:r>
                      <w:r w:rsidR="004F30F7">
                        <w:rPr>
                          <w:rFonts w:ascii="Calibri" w:hAnsi="Calibri" w:cs="Times New Roman"/>
                          <w:b/>
                          <w:sz w:val="20"/>
                          <w:szCs w:val="20"/>
                        </w:rPr>
                        <w:t xml:space="preserve"> </w:t>
                      </w:r>
                      <w:r w:rsidR="008D22A5" w:rsidRPr="00EB1D04">
                        <w:rPr>
                          <w:rFonts w:ascii="Calibri" w:hAnsi="Calibri" w:cs="Times New Roman"/>
                          <w:b/>
                          <w:sz w:val="20"/>
                          <w:szCs w:val="20"/>
                        </w:rPr>
                        <w:t>NOVEMBER 2023</w:t>
                      </w:r>
                      <w:r w:rsidR="008D22A5">
                        <w:rPr>
                          <w:rFonts w:ascii="Calibri" w:hAnsi="Calibri" w:cs="Times New Roman"/>
                          <w:sz w:val="20"/>
                          <w:szCs w:val="20"/>
                        </w:rPr>
                        <w:t xml:space="preserve">        </w:t>
                      </w:r>
                    </w:p>
                    <w:p w14:paraId="32A45645" w14:textId="77777777"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3F0A2F">
                        <w:rPr>
                          <w:rFonts w:ascii="Calibri" w:hAnsi="Calibri" w:cs="Times New Roman"/>
                          <w:sz w:val="20"/>
                          <w:szCs w:val="20"/>
                        </w:rPr>
                        <w:t xml:space="preserve">          </w:t>
                      </w:r>
                      <w:r w:rsidRPr="007C20F4">
                        <w:rPr>
                          <w:rFonts w:ascii="Calibri" w:hAnsi="Calibri" w:cs="Times New Roman"/>
                          <w:sz w:val="20"/>
                          <w:szCs w:val="20"/>
                        </w:rPr>
                        <w:t xml:space="preserve">   SIGNATURE</w:t>
                      </w:r>
                      <w:r w:rsidR="00A742A3">
                        <w:rPr>
                          <w:rFonts w:ascii="Calibri" w:hAnsi="Calibri" w:cs="Times New Roman"/>
                          <w:sz w:val="20"/>
                          <w:szCs w:val="20"/>
                        </w:rPr>
                        <w:t xml:space="preserve"> </w:t>
                      </w:r>
                    </w:p>
                  </w:txbxContent>
                </v:textbox>
              </v:shape>
            </w:pict>
          </mc:Fallback>
        </mc:AlternateContent>
      </w:r>
      <w:r w:rsidRPr="007C0FF7">
        <w:rPr>
          <w:rFonts w:hAnsi="Arial" w:cs="Arial"/>
          <w:b/>
          <w:bCs/>
        </w:rPr>
        <w:t xml:space="preserve">Case No: </w:t>
      </w:r>
      <w:r w:rsidR="003C2880" w:rsidRPr="003C2880">
        <w:rPr>
          <w:rFonts w:eastAsia="Times New Roman" w:hAnsi="Arial" w:cs="Arial"/>
          <w:b/>
          <w:bCs/>
          <w:lang w:eastAsia="en-ZA"/>
        </w:rPr>
        <w:t>A3051/2022</w:t>
      </w:r>
    </w:p>
    <w:p w14:paraId="6CCFD47F" w14:textId="77777777" w:rsidR="00FD66FB" w:rsidRDefault="00FD66FB" w:rsidP="007C0FF7">
      <w:pPr>
        <w:pStyle w:val="Body"/>
        <w:ind w:left="3600" w:firstLine="720"/>
        <w:jc w:val="center"/>
        <w:rPr>
          <w:rFonts w:hAnsi="Arial" w:cs="Arial"/>
          <w:b/>
          <w:bCs/>
        </w:rPr>
      </w:pPr>
    </w:p>
    <w:p w14:paraId="7C17F09D" w14:textId="77777777" w:rsidR="00FD66FB" w:rsidRDefault="00FD66FB" w:rsidP="007C0FF7">
      <w:pPr>
        <w:pStyle w:val="Body"/>
        <w:ind w:left="3600" w:firstLine="720"/>
        <w:jc w:val="center"/>
        <w:rPr>
          <w:rFonts w:hAnsi="Arial" w:cs="Arial"/>
          <w:b/>
          <w:bCs/>
        </w:rPr>
      </w:pPr>
    </w:p>
    <w:p w14:paraId="3D76A734" w14:textId="77777777" w:rsidR="00FD66FB" w:rsidRDefault="00FD66FB" w:rsidP="007C0FF7">
      <w:pPr>
        <w:pStyle w:val="Body"/>
        <w:ind w:left="3600" w:firstLine="720"/>
        <w:jc w:val="center"/>
        <w:rPr>
          <w:rFonts w:hAnsi="Arial" w:cs="Arial"/>
          <w:b/>
          <w:bCs/>
          <w:color w:val="auto"/>
        </w:rPr>
      </w:pPr>
    </w:p>
    <w:p w14:paraId="0BF94C96" w14:textId="77777777" w:rsidR="00D95C10" w:rsidRPr="001F4E10" w:rsidRDefault="00D95C10" w:rsidP="00587F37">
      <w:pPr>
        <w:pStyle w:val="Body"/>
        <w:spacing w:line="360" w:lineRule="auto"/>
        <w:ind w:left="3600" w:firstLine="720"/>
        <w:rPr>
          <w:rFonts w:hAnsi="Arial" w:cs="Arial"/>
          <w:b/>
          <w:bCs/>
          <w:color w:val="auto"/>
        </w:rPr>
      </w:pPr>
    </w:p>
    <w:p w14:paraId="75FBD009" w14:textId="77777777"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14:paraId="5868D64A" w14:textId="77777777" w:rsidR="007C0FF7" w:rsidRDefault="007C0FF7" w:rsidP="001F4E10">
      <w:pPr>
        <w:pStyle w:val="WWBodyText"/>
        <w:widowControl w:val="0"/>
        <w:rPr>
          <w:rFonts w:cs="Arial"/>
          <w:szCs w:val="24"/>
        </w:rPr>
      </w:pPr>
    </w:p>
    <w:p w14:paraId="48F1B9D0" w14:textId="77777777" w:rsidR="009A281D" w:rsidRDefault="009A281D" w:rsidP="001F4E10">
      <w:pPr>
        <w:pStyle w:val="WWBodyText"/>
        <w:widowControl w:val="0"/>
        <w:rPr>
          <w:rFonts w:cs="Arial"/>
          <w:szCs w:val="24"/>
        </w:rPr>
      </w:pPr>
      <w:r w:rsidRPr="001F4E10">
        <w:rPr>
          <w:rFonts w:cs="Arial"/>
          <w:szCs w:val="24"/>
        </w:rPr>
        <w:t>In the matter between:</w:t>
      </w:r>
      <w:r w:rsidR="001769F5">
        <w:rPr>
          <w:rFonts w:cs="Arial"/>
          <w:szCs w:val="24"/>
        </w:rPr>
        <w:t xml:space="preserve"> </w:t>
      </w:r>
    </w:p>
    <w:p w14:paraId="7C722DBC" w14:textId="77777777" w:rsidR="002C4F8D" w:rsidRPr="00F517DE" w:rsidRDefault="006162F7" w:rsidP="00F517DE">
      <w:pPr>
        <w:pStyle w:val="NoSpacing"/>
        <w:rPr>
          <w:rFonts w:ascii="Arial" w:hAnsi="Arial" w:cs="Arial"/>
          <w:b/>
          <w:bCs/>
          <w:sz w:val="24"/>
          <w:szCs w:val="24"/>
        </w:rPr>
      </w:pPr>
      <w:r>
        <w:rPr>
          <w:rFonts w:ascii="Arial" w:hAnsi="Arial" w:cs="Arial"/>
          <w:b/>
          <w:bCs/>
          <w:sz w:val="24"/>
          <w:szCs w:val="24"/>
        </w:rPr>
        <w:t>MINISTER OF POLICE</w:t>
      </w:r>
      <w:r w:rsidR="00F517DE" w:rsidRP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sidRPr="00F517DE">
        <w:rPr>
          <w:rFonts w:ascii="Arial" w:hAnsi="Arial" w:cs="Arial"/>
          <w:sz w:val="24"/>
          <w:szCs w:val="24"/>
        </w:rPr>
        <w:t>App</w:t>
      </w:r>
      <w:r>
        <w:rPr>
          <w:rFonts w:ascii="Arial" w:hAnsi="Arial" w:cs="Arial"/>
          <w:sz w:val="24"/>
          <w:szCs w:val="24"/>
        </w:rPr>
        <w:t xml:space="preserve">ellant </w:t>
      </w:r>
    </w:p>
    <w:p w14:paraId="435188F2" w14:textId="77777777" w:rsidR="001769F5" w:rsidRPr="004F1DA9" w:rsidRDefault="004F1DA9" w:rsidP="004F1DA9">
      <w:pPr>
        <w:pStyle w:val="WWBodyText"/>
        <w:widowControl w:val="0"/>
        <w:tabs>
          <w:tab w:val="left" w:pos="7569"/>
        </w:tabs>
        <w:rPr>
          <w:rFonts w:cs="Arial"/>
          <w:szCs w:val="24"/>
        </w:rPr>
      </w:pPr>
      <w:r>
        <w:rPr>
          <w:rFonts w:cs="Arial"/>
          <w:szCs w:val="24"/>
        </w:rPr>
        <w:t>and</w:t>
      </w:r>
    </w:p>
    <w:p w14:paraId="29FF8B4D" w14:textId="77777777" w:rsidR="00E13002" w:rsidRDefault="006162F7" w:rsidP="006162F7">
      <w:pPr>
        <w:pStyle w:val="WWBodyText"/>
        <w:spacing w:line="240" w:lineRule="auto"/>
        <w:rPr>
          <w:rFonts w:eastAsia="Arial" w:cs="Arial"/>
          <w:bCs/>
          <w:szCs w:val="24"/>
        </w:rPr>
      </w:pPr>
      <w:r>
        <w:rPr>
          <w:rFonts w:eastAsia="Arial" w:cs="Arial"/>
          <w:b/>
          <w:szCs w:val="24"/>
        </w:rPr>
        <w:t>IS</w:t>
      </w:r>
      <w:r w:rsidR="00961B66">
        <w:rPr>
          <w:rFonts w:eastAsia="Arial" w:cs="Arial"/>
          <w:b/>
          <w:szCs w:val="24"/>
        </w:rPr>
        <w:t>H</w:t>
      </w:r>
      <w:r>
        <w:rPr>
          <w:rFonts w:eastAsia="Arial" w:cs="Arial"/>
          <w:b/>
          <w:szCs w:val="24"/>
        </w:rPr>
        <w:t>MAEL SHIMANE MASIBI</w:t>
      </w:r>
      <w:r>
        <w:rPr>
          <w:rFonts w:eastAsia="Arial" w:cs="Arial"/>
          <w:b/>
          <w:szCs w:val="24"/>
        </w:rPr>
        <w:tab/>
      </w:r>
      <w:r w:rsidR="00F1594E">
        <w:rPr>
          <w:rFonts w:eastAsia="Arial" w:cs="Arial"/>
          <w:b/>
          <w:szCs w:val="24"/>
        </w:rPr>
        <w:tab/>
      </w:r>
      <w:r>
        <w:rPr>
          <w:rFonts w:eastAsia="Arial" w:cs="Arial"/>
          <w:b/>
          <w:szCs w:val="24"/>
        </w:rPr>
        <w:tab/>
      </w:r>
      <w:r w:rsidR="00F1594E">
        <w:rPr>
          <w:rFonts w:eastAsia="Arial" w:cs="Arial"/>
          <w:b/>
          <w:szCs w:val="24"/>
        </w:rPr>
        <w:tab/>
      </w:r>
      <w:r w:rsidR="00F1594E">
        <w:rPr>
          <w:rFonts w:eastAsia="Arial" w:cs="Arial"/>
          <w:b/>
          <w:szCs w:val="24"/>
        </w:rPr>
        <w:tab/>
      </w:r>
      <w:r w:rsidR="00F1594E" w:rsidRPr="00F1594E">
        <w:rPr>
          <w:rFonts w:eastAsia="Arial" w:cs="Arial"/>
          <w:bCs/>
          <w:szCs w:val="24"/>
        </w:rPr>
        <w:t>Respondent</w:t>
      </w:r>
    </w:p>
    <w:p w14:paraId="4B8FC537" w14:textId="77777777" w:rsidR="00E7201C" w:rsidRPr="006162F7" w:rsidRDefault="00E7201C" w:rsidP="006162F7">
      <w:pPr>
        <w:pStyle w:val="WWBodyText"/>
        <w:spacing w:line="240" w:lineRule="auto"/>
        <w:rPr>
          <w:rFonts w:eastAsia="Arial" w:cs="Arial"/>
          <w:bCs/>
          <w:szCs w:val="24"/>
        </w:rPr>
      </w:pPr>
    </w:p>
    <w:p w14:paraId="658DAA51" w14:textId="77777777" w:rsidR="00C873D5" w:rsidRDefault="001017F4" w:rsidP="001017F4">
      <w:pPr>
        <w:pStyle w:val="msonormalcxspmiddlecxspmiddle"/>
        <w:pBdr>
          <w:bottom w:val="single" w:sz="12" w:space="1" w:color="auto"/>
        </w:pBdr>
        <w:spacing w:before="0" w:after="0" w:line="360" w:lineRule="auto"/>
        <w:jc w:val="both"/>
        <w:rPr>
          <w:rFonts w:ascii="Arial" w:hAnsi="Arial" w:cs="Arial"/>
          <w:bCs/>
          <w:color w:val="auto"/>
        </w:rPr>
      </w:pPr>
      <w:r>
        <w:rPr>
          <w:rFonts w:ascii="Arial" w:hAnsi="Arial" w:cs="Arial"/>
          <w:bCs/>
          <w:color w:val="auto"/>
        </w:rPr>
        <w:t xml:space="preserve">Delivered: This judgment was prepared and authored by the Judge whose name is reflected and is handed down electronically by circulation to the Parties /their legal representatives by email and by uploading it to the electronic file of this matter on Case Lines. The date for hand-down is deemed to </w:t>
      </w:r>
      <w:r w:rsidR="00C137FC">
        <w:rPr>
          <w:rFonts w:ascii="Arial" w:hAnsi="Arial" w:cs="Arial"/>
          <w:bCs/>
          <w:color w:val="auto"/>
        </w:rPr>
        <w:t xml:space="preserve">be </w:t>
      </w:r>
      <w:r w:rsidR="00123A58">
        <w:rPr>
          <w:rFonts w:ascii="Arial" w:hAnsi="Arial" w:cs="Arial"/>
          <w:bCs/>
          <w:color w:val="auto"/>
        </w:rPr>
        <w:t>2</w:t>
      </w:r>
      <w:r w:rsidR="006A785D">
        <w:rPr>
          <w:rFonts w:ascii="Arial" w:hAnsi="Arial" w:cs="Arial"/>
          <w:bCs/>
          <w:color w:val="auto"/>
        </w:rPr>
        <w:t>9</w:t>
      </w:r>
      <w:r w:rsidR="00A24255">
        <w:rPr>
          <w:rFonts w:ascii="Arial" w:hAnsi="Arial" w:cs="Arial"/>
          <w:bCs/>
          <w:color w:val="auto"/>
        </w:rPr>
        <w:t xml:space="preserve"> </w:t>
      </w:r>
      <w:r w:rsidR="0068693E">
        <w:rPr>
          <w:rFonts w:ascii="Arial" w:hAnsi="Arial" w:cs="Arial"/>
          <w:bCs/>
          <w:color w:val="auto"/>
        </w:rPr>
        <w:t xml:space="preserve">November </w:t>
      </w:r>
      <w:r>
        <w:rPr>
          <w:rFonts w:ascii="Arial" w:hAnsi="Arial" w:cs="Arial"/>
          <w:bCs/>
          <w:color w:val="auto"/>
        </w:rPr>
        <w:t>2023</w:t>
      </w:r>
    </w:p>
    <w:p w14:paraId="06CBCF61" w14:textId="77777777" w:rsidR="00E13002" w:rsidRDefault="00E13002" w:rsidP="001017F4">
      <w:pPr>
        <w:pStyle w:val="msonormalcxspmiddlecxspmiddle"/>
        <w:pBdr>
          <w:bottom w:val="single" w:sz="12" w:space="1" w:color="auto"/>
        </w:pBdr>
        <w:spacing w:before="0" w:after="0" w:line="360" w:lineRule="auto"/>
        <w:jc w:val="both"/>
        <w:rPr>
          <w:rFonts w:ascii="Arial" w:hAnsi="Arial" w:cs="Arial"/>
          <w:bCs/>
          <w:color w:val="auto"/>
        </w:rPr>
      </w:pPr>
    </w:p>
    <w:p w14:paraId="53DF6992" w14:textId="77777777" w:rsidR="00A24255" w:rsidRDefault="00A24255" w:rsidP="001017F4">
      <w:pPr>
        <w:pStyle w:val="msonormalcxspmiddlecxspmiddle"/>
        <w:pBdr>
          <w:bottom w:val="single" w:sz="12" w:space="1" w:color="auto"/>
        </w:pBdr>
        <w:spacing w:before="0" w:after="0" w:line="360" w:lineRule="auto"/>
        <w:jc w:val="both"/>
        <w:rPr>
          <w:rFonts w:ascii="Arial" w:hAnsi="Arial" w:cs="Arial"/>
          <w:bCs/>
          <w:color w:val="auto"/>
        </w:rPr>
      </w:pPr>
    </w:p>
    <w:p w14:paraId="3CE1DBC2" w14:textId="77777777" w:rsidR="00A24255" w:rsidRPr="001017F4" w:rsidRDefault="00A24255" w:rsidP="001017F4">
      <w:pPr>
        <w:pStyle w:val="msonormalcxspmiddlecxspmiddle"/>
        <w:pBdr>
          <w:bottom w:val="single" w:sz="12" w:space="1" w:color="auto"/>
        </w:pBdr>
        <w:spacing w:before="0" w:after="0" w:line="360" w:lineRule="auto"/>
        <w:jc w:val="both"/>
        <w:rPr>
          <w:rFonts w:ascii="Arial" w:hAnsi="Arial" w:cs="Arial"/>
          <w:bCs/>
          <w:color w:val="auto"/>
        </w:rPr>
      </w:pPr>
    </w:p>
    <w:p w14:paraId="3FB87386" w14:textId="77777777" w:rsidR="001F4E10" w:rsidRPr="001F4E10" w:rsidRDefault="001F4E10" w:rsidP="001F4E10">
      <w:pPr>
        <w:pStyle w:val="msonormalcxspmiddlecxspmiddle"/>
        <w:pBdr>
          <w:top w:val="none" w:sz="0" w:space="0" w:color="auto"/>
        </w:pBdr>
        <w:spacing w:before="0" w:after="0" w:line="360" w:lineRule="auto"/>
        <w:jc w:val="center"/>
        <w:rPr>
          <w:rFonts w:ascii="Arial" w:hAnsi="Arial" w:cs="Arial"/>
          <w:b/>
          <w:bCs/>
          <w:color w:val="auto"/>
        </w:rPr>
      </w:pPr>
    </w:p>
    <w:p w14:paraId="2234B18D" w14:textId="77777777" w:rsidR="00EB3255" w:rsidRPr="001F4E10" w:rsidRDefault="002C4F8D" w:rsidP="001F4E10">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 xml:space="preserve"> JUDGMENT </w:t>
      </w:r>
    </w:p>
    <w:p w14:paraId="5A8C27D7" w14:textId="77777777" w:rsidR="00D95C10" w:rsidRPr="001F4E10" w:rsidRDefault="00EB3255" w:rsidP="001F4E10">
      <w:pPr>
        <w:pStyle w:val="msonormalcxspmiddlecxspmiddle"/>
        <w:pBdr>
          <w:top w:val="none" w:sz="0" w:space="0" w:color="auto"/>
        </w:pBdr>
        <w:spacing w:before="0" w:after="0" w:line="360" w:lineRule="auto"/>
        <w:jc w:val="center"/>
        <w:rPr>
          <w:rFonts w:ascii="Arial" w:hAnsi="Arial" w:cs="Arial"/>
          <w:b/>
          <w:bCs/>
          <w:color w:val="auto"/>
        </w:rPr>
      </w:pPr>
      <w:r w:rsidRPr="001F4E10">
        <w:rPr>
          <w:rFonts w:ascii="Arial" w:hAnsi="Arial" w:cs="Arial"/>
          <w:b/>
          <w:bCs/>
          <w:color w:val="auto"/>
        </w:rPr>
        <w:t>_</w:t>
      </w:r>
      <w:r w:rsidR="00D95C10" w:rsidRPr="001F4E10">
        <w:rPr>
          <w:rFonts w:ascii="Arial" w:hAnsi="Arial" w:cs="Arial"/>
          <w:b/>
          <w:bCs/>
          <w:color w:val="auto"/>
        </w:rPr>
        <w:t>___________________________________</w:t>
      </w:r>
      <w:r w:rsidR="003C2880">
        <w:rPr>
          <w:rFonts w:ascii="Arial" w:hAnsi="Arial" w:cs="Arial"/>
          <w:b/>
          <w:bCs/>
          <w:color w:val="auto"/>
        </w:rPr>
        <w:t>_______________________________</w:t>
      </w:r>
    </w:p>
    <w:p w14:paraId="4DE15718" w14:textId="77777777" w:rsidR="00587F37" w:rsidRPr="006F0A1E" w:rsidRDefault="00587F37" w:rsidP="001F4E10">
      <w:pPr>
        <w:tabs>
          <w:tab w:val="right" w:pos="0"/>
        </w:tabs>
        <w:spacing w:line="360" w:lineRule="auto"/>
        <w:jc w:val="both"/>
        <w:rPr>
          <w:rFonts w:ascii="Arial" w:hAnsi="Arial" w:cs="Arial"/>
          <w:b/>
          <w:sz w:val="24"/>
          <w:szCs w:val="24"/>
          <w:lang w:val="en-ZA"/>
        </w:rPr>
      </w:pPr>
    </w:p>
    <w:p w14:paraId="58D71473" w14:textId="77777777" w:rsidR="00F544C0" w:rsidRPr="006F0A1E" w:rsidRDefault="006449AB" w:rsidP="001017F4">
      <w:pPr>
        <w:tabs>
          <w:tab w:val="right" w:pos="0"/>
        </w:tabs>
        <w:spacing w:line="360" w:lineRule="auto"/>
        <w:jc w:val="both"/>
        <w:rPr>
          <w:rFonts w:ascii="Arial" w:hAnsi="Arial" w:cs="Arial"/>
          <w:b/>
          <w:sz w:val="24"/>
          <w:szCs w:val="24"/>
          <w:u w:val="single"/>
          <w:lang w:val="en-ZA"/>
        </w:rPr>
      </w:pPr>
      <w:r w:rsidRPr="006F0A1E">
        <w:rPr>
          <w:rFonts w:ascii="Arial" w:hAnsi="Arial" w:cs="Arial"/>
          <w:b/>
          <w:sz w:val="24"/>
          <w:szCs w:val="24"/>
          <w:u w:val="single"/>
          <w:lang w:val="en-ZA"/>
        </w:rPr>
        <w:t>BOTSI-THULARE AJ</w:t>
      </w:r>
      <w:r w:rsidR="001D6942" w:rsidRPr="006F0A1E">
        <w:rPr>
          <w:rFonts w:ascii="Arial" w:hAnsi="Arial" w:cs="Arial"/>
          <w:b/>
          <w:sz w:val="24"/>
          <w:szCs w:val="24"/>
          <w:u w:val="single"/>
          <w:lang w:val="en-ZA"/>
        </w:rPr>
        <w:t>:</w:t>
      </w:r>
      <w:r w:rsidR="003C2880" w:rsidRPr="006F0A1E">
        <w:rPr>
          <w:rFonts w:ascii="Arial" w:hAnsi="Arial" w:cs="Arial"/>
          <w:b/>
          <w:sz w:val="24"/>
          <w:szCs w:val="24"/>
          <w:u w:val="single"/>
          <w:lang w:val="en-ZA"/>
        </w:rPr>
        <w:t xml:space="preserve"> </w:t>
      </w:r>
      <w:r w:rsidR="006F0A1E" w:rsidRPr="006F0A1E">
        <w:rPr>
          <w:rFonts w:ascii="Arial" w:hAnsi="Arial" w:cs="Arial"/>
          <w:b/>
          <w:sz w:val="24"/>
          <w:szCs w:val="24"/>
          <w:u w:val="single"/>
          <w:lang w:val="en-ZA"/>
        </w:rPr>
        <w:t>(NOKO</w:t>
      </w:r>
      <w:r w:rsidR="003C2880" w:rsidRPr="006F0A1E">
        <w:rPr>
          <w:rFonts w:ascii="Arial" w:hAnsi="Arial" w:cs="Arial"/>
          <w:b/>
          <w:sz w:val="24"/>
          <w:szCs w:val="24"/>
          <w:u w:val="single"/>
          <w:lang w:val="en-ZA"/>
        </w:rPr>
        <w:t xml:space="preserve"> J</w:t>
      </w:r>
      <w:r w:rsidR="00FB58C1" w:rsidRPr="006F0A1E">
        <w:rPr>
          <w:rFonts w:ascii="Arial" w:hAnsi="Arial" w:cs="Arial"/>
          <w:b/>
          <w:sz w:val="24"/>
          <w:szCs w:val="24"/>
          <w:u w:val="single"/>
          <w:lang w:val="en-ZA"/>
        </w:rPr>
        <w:t xml:space="preserve"> </w:t>
      </w:r>
      <w:r w:rsidR="00160FC8" w:rsidRPr="006F0A1E">
        <w:rPr>
          <w:rFonts w:ascii="Arial" w:hAnsi="Arial" w:cs="Arial"/>
          <w:b/>
          <w:sz w:val="24"/>
          <w:szCs w:val="24"/>
          <w:u w:val="single"/>
          <w:lang w:val="en-ZA"/>
        </w:rPr>
        <w:t>CONCURRING</w:t>
      </w:r>
      <w:r w:rsidR="0068693E" w:rsidRPr="006F0A1E">
        <w:rPr>
          <w:rFonts w:ascii="Arial" w:hAnsi="Arial" w:cs="Arial"/>
          <w:b/>
          <w:sz w:val="24"/>
          <w:szCs w:val="24"/>
          <w:u w:val="single"/>
          <w:lang w:val="en-ZA"/>
        </w:rPr>
        <w:t xml:space="preserve">) </w:t>
      </w:r>
    </w:p>
    <w:p w14:paraId="4E386CB9" w14:textId="77777777" w:rsidR="005F0B57" w:rsidRPr="005F0B57" w:rsidRDefault="006449AB" w:rsidP="005F0B57">
      <w:pPr>
        <w:tabs>
          <w:tab w:val="center" w:pos="860"/>
          <w:tab w:val="center" w:pos="2560"/>
        </w:tabs>
        <w:spacing w:after="0" w:line="259" w:lineRule="auto"/>
        <w:rPr>
          <w:rFonts w:ascii="Arial" w:eastAsia="Arial" w:hAnsi="Arial" w:cs="Arial"/>
          <w:b/>
          <w:i/>
          <w:iCs/>
          <w:sz w:val="24"/>
          <w:szCs w:val="24"/>
        </w:rPr>
      </w:pPr>
      <w:r>
        <w:rPr>
          <w:rFonts w:ascii="Arial" w:eastAsia="Arial" w:hAnsi="Arial" w:cs="Arial"/>
          <w:b/>
          <w:i/>
          <w:iCs/>
          <w:sz w:val="24"/>
          <w:szCs w:val="24"/>
        </w:rPr>
        <w:t>I</w:t>
      </w:r>
      <w:r w:rsidRPr="006449AB">
        <w:rPr>
          <w:rFonts w:ascii="Arial" w:eastAsia="Arial" w:hAnsi="Arial" w:cs="Arial"/>
          <w:b/>
          <w:i/>
          <w:iCs/>
          <w:sz w:val="24"/>
          <w:szCs w:val="24"/>
        </w:rPr>
        <w:t>ntroduction:</w:t>
      </w:r>
    </w:p>
    <w:p w14:paraId="65AFD317" w14:textId="77777777" w:rsidR="00776749" w:rsidRDefault="00776749" w:rsidP="003E56BD">
      <w:pPr>
        <w:spacing w:after="0" w:line="360" w:lineRule="auto"/>
        <w:ind w:right="-34"/>
        <w:jc w:val="both"/>
        <w:rPr>
          <w:rFonts w:ascii="Arial" w:hAnsi="Arial" w:cs="Arial"/>
          <w:sz w:val="24"/>
          <w:szCs w:val="24"/>
        </w:rPr>
      </w:pPr>
    </w:p>
    <w:p w14:paraId="25420A0D" w14:textId="77777777" w:rsidR="00484BAE" w:rsidRDefault="003C5367" w:rsidP="003E56BD">
      <w:pPr>
        <w:spacing w:after="0" w:line="360" w:lineRule="auto"/>
        <w:ind w:right="-34"/>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47F89">
        <w:rPr>
          <w:rFonts w:ascii="Arial" w:hAnsi="Arial" w:cs="Arial"/>
          <w:sz w:val="24"/>
          <w:szCs w:val="24"/>
        </w:rPr>
        <w:t xml:space="preserve"> </w:t>
      </w:r>
      <w:r w:rsidR="006449AB">
        <w:rPr>
          <w:rFonts w:ascii="Arial" w:hAnsi="Arial" w:cs="Arial"/>
          <w:sz w:val="24"/>
          <w:szCs w:val="24"/>
        </w:rPr>
        <w:t>This</w:t>
      </w:r>
      <w:r w:rsidR="004D5198">
        <w:rPr>
          <w:rFonts w:ascii="Arial" w:hAnsi="Arial" w:cs="Arial"/>
          <w:sz w:val="24"/>
          <w:szCs w:val="24"/>
        </w:rPr>
        <w:t xml:space="preserve"> </w:t>
      </w:r>
      <w:r w:rsidR="006162F7">
        <w:rPr>
          <w:rFonts w:ascii="Arial" w:hAnsi="Arial" w:cs="Arial"/>
          <w:sz w:val="24"/>
          <w:szCs w:val="24"/>
        </w:rPr>
        <w:t xml:space="preserve">is an appeal brought by the Minister of Police (appellant) against the </w:t>
      </w:r>
      <w:r w:rsidR="003A351D">
        <w:rPr>
          <w:rFonts w:ascii="Arial" w:hAnsi="Arial" w:cs="Arial"/>
          <w:sz w:val="24"/>
          <w:szCs w:val="24"/>
        </w:rPr>
        <w:t xml:space="preserve">whole </w:t>
      </w:r>
      <w:r w:rsidR="006162F7">
        <w:rPr>
          <w:rFonts w:ascii="Arial" w:hAnsi="Arial" w:cs="Arial"/>
          <w:sz w:val="24"/>
          <w:szCs w:val="24"/>
        </w:rPr>
        <w:t>judgment</w:t>
      </w:r>
      <w:r w:rsidR="00FB58C1">
        <w:rPr>
          <w:rFonts w:ascii="Arial" w:hAnsi="Arial" w:cs="Arial"/>
          <w:sz w:val="24"/>
          <w:szCs w:val="24"/>
        </w:rPr>
        <w:t xml:space="preserve"> and</w:t>
      </w:r>
      <w:r w:rsidR="00123A58">
        <w:rPr>
          <w:rFonts w:ascii="Arial" w:hAnsi="Arial" w:cs="Arial"/>
          <w:sz w:val="24"/>
          <w:szCs w:val="24"/>
        </w:rPr>
        <w:t xml:space="preserve"> </w:t>
      </w:r>
      <w:r w:rsidR="00FB58C1">
        <w:rPr>
          <w:rFonts w:ascii="Arial" w:hAnsi="Arial" w:cs="Arial"/>
          <w:sz w:val="24"/>
          <w:szCs w:val="24"/>
        </w:rPr>
        <w:t>order</w:t>
      </w:r>
      <w:r w:rsidR="006162F7">
        <w:rPr>
          <w:rFonts w:ascii="Arial" w:hAnsi="Arial" w:cs="Arial"/>
          <w:sz w:val="24"/>
          <w:szCs w:val="24"/>
        </w:rPr>
        <w:t xml:space="preserve"> delivered by Magistrate Viana on 10 March 2022 at the Johannesburg Regional Co</w:t>
      </w:r>
      <w:r w:rsidR="003A351D">
        <w:rPr>
          <w:rFonts w:ascii="Arial" w:hAnsi="Arial" w:cs="Arial"/>
          <w:sz w:val="24"/>
          <w:szCs w:val="24"/>
        </w:rPr>
        <w:t>u</w:t>
      </w:r>
      <w:r w:rsidR="006162F7">
        <w:rPr>
          <w:rFonts w:ascii="Arial" w:hAnsi="Arial" w:cs="Arial"/>
          <w:sz w:val="24"/>
          <w:szCs w:val="24"/>
        </w:rPr>
        <w:t xml:space="preserve">rt in </w:t>
      </w:r>
      <w:proofErr w:type="spellStart"/>
      <w:r w:rsidR="006162F7">
        <w:rPr>
          <w:rFonts w:ascii="Arial" w:hAnsi="Arial" w:cs="Arial"/>
          <w:sz w:val="24"/>
          <w:szCs w:val="24"/>
        </w:rPr>
        <w:t>favour</w:t>
      </w:r>
      <w:proofErr w:type="spellEnd"/>
      <w:r w:rsidR="006162F7">
        <w:rPr>
          <w:rFonts w:ascii="Arial" w:hAnsi="Arial" w:cs="Arial"/>
          <w:sz w:val="24"/>
          <w:szCs w:val="24"/>
        </w:rPr>
        <w:t xml:space="preserve"> of Ismael Shimane </w:t>
      </w:r>
      <w:r w:rsidR="003A351D">
        <w:rPr>
          <w:rFonts w:ascii="Arial" w:hAnsi="Arial" w:cs="Arial"/>
          <w:sz w:val="24"/>
          <w:szCs w:val="24"/>
        </w:rPr>
        <w:t>Masibi (</w:t>
      </w:r>
      <w:r w:rsidR="006162F7">
        <w:rPr>
          <w:rFonts w:ascii="Arial" w:hAnsi="Arial" w:cs="Arial"/>
          <w:sz w:val="24"/>
          <w:szCs w:val="24"/>
        </w:rPr>
        <w:t>the respondent</w:t>
      </w:r>
      <w:r w:rsidR="003B593C">
        <w:rPr>
          <w:rFonts w:ascii="Arial" w:hAnsi="Arial" w:cs="Arial"/>
          <w:sz w:val="24"/>
          <w:szCs w:val="24"/>
        </w:rPr>
        <w:t>). The</w:t>
      </w:r>
      <w:r w:rsidR="003A351D">
        <w:rPr>
          <w:rFonts w:ascii="Arial" w:hAnsi="Arial" w:cs="Arial"/>
          <w:sz w:val="24"/>
          <w:szCs w:val="24"/>
        </w:rPr>
        <w:t xml:space="preserve"> learned Magistrate found that the arrest and detention of the respondent on 5 May 2012 to </w:t>
      </w:r>
      <w:r w:rsidR="0029262F">
        <w:rPr>
          <w:rFonts w:ascii="Arial" w:hAnsi="Arial" w:cs="Arial"/>
          <w:sz w:val="24"/>
          <w:szCs w:val="24"/>
        </w:rPr>
        <w:t>12 October</w:t>
      </w:r>
      <w:r w:rsidR="003A351D">
        <w:rPr>
          <w:rFonts w:ascii="Arial" w:hAnsi="Arial" w:cs="Arial"/>
          <w:sz w:val="24"/>
          <w:szCs w:val="24"/>
        </w:rPr>
        <w:t xml:space="preserve"> 2012 w</w:t>
      </w:r>
      <w:r w:rsidR="00E10169">
        <w:rPr>
          <w:rFonts w:ascii="Arial" w:hAnsi="Arial" w:cs="Arial"/>
          <w:sz w:val="24"/>
          <w:szCs w:val="24"/>
        </w:rPr>
        <w:t>ere</w:t>
      </w:r>
      <w:r w:rsidR="003A351D">
        <w:rPr>
          <w:rFonts w:ascii="Arial" w:hAnsi="Arial" w:cs="Arial"/>
          <w:sz w:val="24"/>
          <w:szCs w:val="24"/>
        </w:rPr>
        <w:t xml:space="preserve"> unlawful. </w:t>
      </w:r>
    </w:p>
    <w:p w14:paraId="71884F64" w14:textId="77777777" w:rsidR="00484BAE" w:rsidRPr="005F0B57" w:rsidRDefault="00484BAE" w:rsidP="006162F7">
      <w:pPr>
        <w:spacing w:after="0" w:line="360" w:lineRule="auto"/>
        <w:ind w:right="108"/>
        <w:jc w:val="both"/>
        <w:rPr>
          <w:rFonts w:ascii="Arial" w:hAnsi="Arial" w:cs="Arial"/>
          <w:bCs/>
          <w:sz w:val="24"/>
          <w:szCs w:val="24"/>
          <w:u w:val="single"/>
          <w:lang w:val="en-GB"/>
        </w:rPr>
      </w:pPr>
    </w:p>
    <w:p w14:paraId="155A91C9" w14:textId="77777777" w:rsidR="004F30F7" w:rsidRDefault="002909B3" w:rsidP="005F0B57">
      <w:pPr>
        <w:pStyle w:val="NoSpacing"/>
        <w:spacing w:line="360" w:lineRule="auto"/>
        <w:jc w:val="both"/>
        <w:rPr>
          <w:rFonts w:ascii="Arial" w:hAnsi="Arial" w:cs="Arial"/>
          <w:b/>
          <w:bCs/>
          <w:i/>
          <w:iCs/>
          <w:sz w:val="24"/>
          <w:szCs w:val="24"/>
        </w:rPr>
      </w:pPr>
      <w:r w:rsidRPr="00553971">
        <w:rPr>
          <w:rFonts w:ascii="Arial" w:hAnsi="Arial" w:cs="Arial"/>
          <w:b/>
          <w:bCs/>
          <w:i/>
          <w:iCs/>
          <w:sz w:val="24"/>
          <w:szCs w:val="24"/>
        </w:rPr>
        <w:t>Background Facts</w:t>
      </w:r>
    </w:p>
    <w:p w14:paraId="4E979992" w14:textId="77777777" w:rsidR="003C2880" w:rsidRDefault="002909B3" w:rsidP="005F0B57">
      <w:pPr>
        <w:pStyle w:val="NoSpacing"/>
        <w:spacing w:line="360" w:lineRule="auto"/>
        <w:jc w:val="both"/>
        <w:rPr>
          <w:rFonts w:ascii="Arial" w:hAnsi="Arial" w:cs="Arial"/>
          <w:b/>
          <w:bCs/>
          <w:i/>
          <w:iCs/>
          <w:sz w:val="24"/>
          <w:szCs w:val="24"/>
        </w:rPr>
      </w:pPr>
      <w:r w:rsidRPr="00553971">
        <w:rPr>
          <w:rFonts w:ascii="Arial" w:hAnsi="Arial" w:cs="Arial"/>
          <w:b/>
          <w:bCs/>
          <w:i/>
          <w:iCs/>
          <w:sz w:val="24"/>
          <w:szCs w:val="24"/>
        </w:rPr>
        <w:t xml:space="preserve"> </w:t>
      </w:r>
    </w:p>
    <w:p w14:paraId="28EB4FCE" w14:textId="6D226785" w:rsidR="003E56BD" w:rsidRDefault="003A351D" w:rsidP="003E56BD">
      <w:pPr>
        <w:pStyle w:val="NoSpacing"/>
        <w:spacing w:line="360" w:lineRule="auto"/>
        <w:ind w:right="-176"/>
        <w:jc w:val="both"/>
        <w:rPr>
          <w:rFonts w:ascii="Arial" w:hAnsi="Arial" w:cs="Arial"/>
          <w:sz w:val="24"/>
          <w:szCs w:val="24"/>
        </w:rPr>
      </w:pPr>
      <w:r>
        <w:rPr>
          <w:rFonts w:ascii="Arial" w:hAnsi="Arial" w:cs="Arial"/>
          <w:sz w:val="24"/>
          <w:szCs w:val="24"/>
        </w:rPr>
        <w:t>[2]</w:t>
      </w:r>
      <w:r>
        <w:rPr>
          <w:rFonts w:ascii="Arial" w:hAnsi="Arial" w:cs="Arial"/>
          <w:sz w:val="24"/>
          <w:szCs w:val="24"/>
        </w:rPr>
        <w:tab/>
      </w:r>
      <w:r w:rsidR="003E56BD" w:rsidRPr="003E56BD">
        <w:rPr>
          <w:rFonts w:ascii="Arial" w:hAnsi="Arial" w:cs="Arial"/>
          <w:sz w:val="24"/>
          <w:szCs w:val="24"/>
        </w:rPr>
        <w:t xml:space="preserve">The following facts are largely common cause or are not in dispute between the parties. In the early hours of 05 May 2012, </w:t>
      </w:r>
      <w:r w:rsidR="003B593C">
        <w:rPr>
          <w:rFonts w:ascii="Arial" w:hAnsi="Arial" w:cs="Arial"/>
          <w:sz w:val="24"/>
          <w:szCs w:val="24"/>
        </w:rPr>
        <w:t>respondent</w:t>
      </w:r>
      <w:r w:rsidR="003E56BD" w:rsidRPr="003E56BD">
        <w:rPr>
          <w:rFonts w:ascii="Arial" w:hAnsi="Arial" w:cs="Arial"/>
          <w:sz w:val="24"/>
          <w:szCs w:val="24"/>
        </w:rPr>
        <w:t xml:space="preserve"> was arrested without a</w:t>
      </w:r>
      <w:r w:rsidR="003E56BD">
        <w:rPr>
          <w:rFonts w:ascii="Arial" w:hAnsi="Arial" w:cs="Arial"/>
          <w:sz w:val="24"/>
          <w:szCs w:val="24"/>
        </w:rPr>
        <w:t xml:space="preserve"> </w:t>
      </w:r>
      <w:r w:rsidR="003E56BD" w:rsidRPr="003E56BD">
        <w:rPr>
          <w:rFonts w:ascii="Arial" w:hAnsi="Arial" w:cs="Arial"/>
          <w:sz w:val="24"/>
          <w:szCs w:val="24"/>
        </w:rPr>
        <w:t>warrant b</w:t>
      </w:r>
      <w:r w:rsidR="003E56BD">
        <w:rPr>
          <w:rFonts w:ascii="Arial" w:hAnsi="Arial" w:cs="Arial"/>
          <w:sz w:val="24"/>
          <w:szCs w:val="24"/>
        </w:rPr>
        <w:t xml:space="preserve">y </w:t>
      </w:r>
      <w:r w:rsidR="003E56BD" w:rsidRPr="003E56BD">
        <w:rPr>
          <w:rFonts w:ascii="Arial" w:hAnsi="Arial" w:cs="Arial"/>
          <w:sz w:val="24"/>
          <w:szCs w:val="24"/>
        </w:rPr>
        <w:t>members of the police service (SAPS) on suspicion of business</w:t>
      </w:r>
      <w:r w:rsidR="003E56BD">
        <w:rPr>
          <w:rFonts w:ascii="Arial" w:hAnsi="Arial" w:cs="Arial"/>
          <w:sz w:val="24"/>
          <w:szCs w:val="24"/>
        </w:rPr>
        <w:t xml:space="preserve"> </w:t>
      </w:r>
      <w:r w:rsidR="003E56BD" w:rsidRPr="003E56BD">
        <w:rPr>
          <w:rFonts w:ascii="Arial" w:hAnsi="Arial" w:cs="Arial"/>
          <w:sz w:val="24"/>
          <w:szCs w:val="24"/>
        </w:rPr>
        <w:t>robbery and detained at Mondeor Police Station until his first appearance on 07</w:t>
      </w:r>
      <w:r w:rsidR="00FB58C1">
        <w:rPr>
          <w:rFonts w:ascii="Arial" w:hAnsi="Arial" w:cs="Arial"/>
          <w:sz w:val="24"/>
          <w:szCs w:val="24"/>
        </w:rPr>
        <w:t xml:space="preserve"> </w:t>
      </w:r>
      <w:r w:rsidR="003E56BD" w:rsidRPr="003E56BD">
        <w:rPr>
          <w:rFonts w:ascii="Arial" w:hAnsi="Arial" w:cs="Arial"/>
          <w:sz w:val="24"/>
          <w:szCs w:val="24"/>
        </w:rPr>
        <w:t>May 20</w:t>
      </w:r>
      <w:r w:rsidR="00C327A1">
        <w:rPr>
          <w:rFonts w:ascii="Arial" w:hAnsi="Arial" w:cs="Arial"/>
          <w:sz w:val="24"/>
          <w:szCs w:val="24"/>
        </w:rPr>
        <w:t>1</w:t>
      </w:r>
      <w:r w:rsidR="003E56BD" w:rsidRPr="003E56BD">
        <w:rPr>
          <w:rFonts w:ascii="Arial" w:hAnsi="Arial" w:cs="Arial"/>
          <w:sz w:val="24"/>
          <w:szCs w:val="24"/>
        </w:rPr>
        <w:t xml:space="preserve">2. </w:t>
      </w:r>
    </w:p>
    <w:p w14:paraId="66615C8A" w14:textId="77777777" w:rsidR="003E56BD" w:rsidRDefault="003E56BD" w:rsidP="003E56BD">
      <w:pPr>
        <w:pStyle w:val="NoSpacing"/>
        <w:spacing w:line="360" w:lineRule="auto"/>
        <w:ind w:right="-176"/>
        <w:jc w:val="both"/>
        <w:rPr>
          <w:rFonts w:ascii="Arial" w:hAnsi="Arial" w:cs="Arial"/>
          <w:sz w:val="24"/>
          <w:szCs w:val="24"/>
        </w:rPr>
      </w:pPr>
    </w:p>
    <w:p w14:paraId="4027F7A5" w14:textId="77777777" w:rsidR="003E56BD" w:rsidRDefault="003E56BD" w:rsidP="003E56BD">
      <w:pPr>
        <w:pStyle w:val="NoSpacing"/>
        <w:spacing w:line="360" w:lineRule="auto"/>
        <w:ind w:right="-176"/>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E56BD">
        <w:rPr>
          <w:rFonts w:ascii="Arial" w:hAnsi="Arial" w:cs="Arial"/>
          <w:sz w:val="24"/>
          <w:szCs w:val="24"/>
        </w:rPr>
        <w:t>On 11 May 2012 he attended an identification parade but was not</w:t>
      </w:r>
      <w:r>
        <w:rPr>
          <w:rFonts w:ascii="Arial" w:hAnsi="Arial" w:cs="Arial"/>
          <w:sz w:val="24"/>
          <w:szCs w:val="24"/>
        </w:rPr>
        <w:t xml:space="preserve"> </w:t>
      </w:r>
      <w:r w:rsidRPr="003E56BD">
        <w:rPr>
          <w:rFonts w:ascii="Arial" w:hAnsi="Arial" w:cs="Arial"/>
          <w:sz w:val="24"/>
          <w:szCs w:val="24"/>
        </w:rPr>
        <w:t xml:space="preserve">pointed out by anyone at said parade. He remained in custody </w:t>
      </w:r>
      <w:r w:rsidR="00E10169">
        <w:rPr>
          <w:rFonts w:ascii="Arial" w:hAnsi="Arial" w:cs="Arial"/>
          <w:sz w:val="24"/>
          <w:szCs w:val="24"/>
        </w:rPr>
        <w:t>at</w:t>
      </w:r>
      <w:r>
        <w:rPr>
          <w:rFonts w:ascii="Arial" w:hAnsi="Arial" w:cs="Arial"/>
          <w:sz w:val="24"/>
          <w:szCs w:val="24"/>
        </w:rPr>
        <w:t xml:space="preserve"> </w:t>
      </w:r>
      <w:r w:rsidRPr="003E56BD">
        <w:rPr>
          <w:rFonts w:ascii="Arial" w:hAnsi="Arial" w:cs="Arial"/>
          <w:sz w:val="24"/>
          <w:szCs w:val="24"/>
        </w:rPr>
        <w:t>Mondeor Police Station until his next appearance on 14 May 2012. The matter</w:t>
      </w:r>
      <w:r>
        <w:rPr>
          <w:rFonts w:ascii="Arial" w:hAnsi="Arial" w:cs="Arial"/>
          <w:sz w:val="24"/>
          <w:szCs w:val="24"/>
        </w:rPr>
        <w:t xml:space="preserve"> </w:t>
      </w:r>
      <w:r w:rsidRPr="003E56BD">
        <w:rPr>
          <w:rFonts w:ascii="Arial" w:hAnsi="Arial" w:cs="Arial"/>
          <w:sz w:val="24"/>
          <w:szCs w:val="24"/>
        </w:rPr>
        <w:t xml:space="preserve">was postponed </w:t>
      </w:r>
      <w:r w:rsidR="00E10169">
        <w:rPr>
          <w:rFonts w:ascii="Arial" w:hAnsi="Arial" w:cs="Arial"/>
          <w:sz w:val="24"/>
          <w:szCs w:val="24"/>
        </w:rPr>
        <w:t>again</w:t>
      </w:r>
      <w:r w:rsidRPr="003E56BD">
        <w:rPr>
          <w:rFonts w:ascii="Arial" w:hAnsi="Arial" w:cs="Arial"/>
          <w:sz w:val="24"/>
          <w:szCs w:val="24"/>
        </w:rPr>
        <w:t>,</w:t>
      </w:r>
      <w:r>
        <w:rPr>
          <w:rFonts w:ascii="Arial" w:hAnsi="Arial" w:cs="Arial"/>
          <w:sz w:val="24"/>
          <w:szCs w:val="24"/>
        </w:rPr>
        <w:t xml:space="preserve"> and </w:t>
      </w:r>
      <w:r w:rsidRPr="003E56BD">
        <w:rPr>
          <w:rFonts w:ascii="Arial" w:hAnsi="Arial" w:cs="Arial"/>
          <w:sz w:val="24"/>
          <w:szCs w:val="24"/>
        </w:rPr>
        <w:t xml:space="preserve">the </w:t>
      </w:r>
      <w:r>
        <w:rPr>
          <w:rFonts w:ascii="Arial" w:hAnsi="Arial" w:cs="Arial"/>
          <w:sz w:val="24"/>
          <w:szCs w:val="24"/>
        </w:rPr>
        <w:t xml:space="preserve">respondent was </w:t>
      </w:r>
      <w:r w:rsidRPr="003E56BD">
        <w:rPr>
          <w:rFonts w:ascii="Arial" w:hAnsi="Arial" w:cs="Arial"/>
          <w:sz w:val="24"/>
          <w:szCs w:val="24"/>
        </w:rPr>
        <w:t>transferred to Johannesburg Central</w:t>
      </w:r>
      <w:r>
        <w:rPr>
          <w:rFonts w:ascii="Arial" w:hAnsi="Arial" w:cs="Arial"/>
          <w:sz w:val="24"/>
          <w:szCs w:val="24"/>
        </w:rPr>
        <w:t xml:space="preserve"> </w:t>
      </w:r>
      <w:r w:rsidRPr="003E56BD">
        <w:rPr>
          <w:rFonts w:ascii="Arial" w:hAnsi="Arial" w:cs="Arial"/>
          <w:sz w:val="24"/>
          <w:szCs w:val="24"/>
        </w:rPr>
        <w:t>Prison until 12 October 2012 when the charges against him were withdrawn</w:t>
      </w:r>
      <w:r>
        <w:rPr>
          <w:rFonts w:ascii="Arial" w:hAnsi="Arial" w:cs="Arial"/>
          <w:sz w:val="24"/>
          <w:szCs w:val="24"/>
        </w:rPr>
        <w:t xml:space="preserve"> </w:t>
      </w:r>
      <w:r w:rsidRPr="003E56BD">
        <w:rPr>
          <w:rFonts w:ascii="Arial" w:hAnsi="Arial" w:cs="Arial"/>
          <w:sz w:val="24"/>
          <w:szCs w:val="24"/>
        </w:rPr>
        <w:t>and he was released.</w:t>
      </w:r>
    </w:p>
    <w:p w14:paraId="585442CA" w14:textId="77777777" w:rsidR="003E56BD" w:rsidRPr="003E56BD" w:rsidRDefault="003E56BD" w:rsidP="003E56BD">
      <w:pPr>
        <w:pStyle w:val="NoSpacing"/>
        <w:spacing w:line="360" w:lineRule="auto"/>
        <w:ind w:right="-176"/>
        <w:jc w:val="both"/>
        <w:rPr>
          <w:rFonts w:ascii="Arial" w:hAnsi="Arial" w:cs="Arial"/>
          <w:sz w:val="24"/>
          <w:szCs w:val="24"/>
        </w:rPr>
      </w:pPr>
    </w:p>
    <w:p w14:paraId="33933505" w14:textId="77777777" w:rsidR="003E56BD" w:rsidRDefault="003E56BD" w:rsidP="003E56BD">
      <w:pPr>
        <w:pStyle w:val="NoSpacing"/>
        <w:spacing w:line="360" w:lineRule="auto"/>
        <w:jc w:val="both"/>
        <w:rPr>
          <w:rFonts w:ascii="Arial" w:hAnsi="Arial" w:cs="Arial"/>
          <w:sz w:val="24"/>
          <w:szCs w:val="24"/>
        </w:rPr>
      </w:pPr>
      <w:r w:rsidRPr="003E56BD">
        <w:rPr>
          <w:rFonts w:ascii="Arial" w:hAnsi="Arial" w:cs="Arial"/>
          <w:sz w:val="24"/>
          <w:szCs w:val="24"/>
        </w:rPr>
        <w:t>[</w:t>
      </w:r>
      <w:r>
        <w:rPr>
          <w:rFonts w:ascii="Arial" w:hAnsi="Arial" w:cs="Arial"/>
          <w:sz w:val="24"/>
          <w:szCs w:val="24"/>
        </w:rPr>
        <w:t>4</w:t>
      </w:r>
      <w:r w:rsidRPr="003E56BD">
        <w:rPr>
          <w:rFonts w:ascii="Arial" w:hAnsi="Arial" w:cs="Arial"/>
          <w:sz w:val="24"/>
          <w:szCs w:val="24"/>
        </w:rPr>
        <w:t>]</w:t>
      </w:r>
      <w:r>
        <w:rPr>
          <w:rFonts w:ascii="Arial" w:hAnsi="Arial" w:cs="Arial"/>
          <w:sz w:val="24"/>
          <w:szCs w:val="24"/>
        </w:rPr>
        <w:tab/>
        <w:t xml:space="preserve">The respondent </w:t>
      </w:r>
      <w:r w:rsidRPr="003E56BD">
        <w:rPr>
          <w:rFonts w:ascii="Arial" w:hAnsi="Arial" w:cs="Arial"/>
          <w:sz w:val="24"/>
          <w:szCs w:val="24"/>
        </w:rPr>
        <w:t xml:space="preserve">instituted a </w:t>
      </w:r>
      <w:proofErr w:type="spellStart"/>
      <w:r w:rsidRPr="003E56BD">
        <w:rPr>
          <w:rFonts w:ascii="Arial" w:hAnsi="Arial" w:cs="Arial"/>
          <w:sz w:val="24"/>
          <w:szCs w:val="24"/>
        </w:rPr>
        <w:t>delictual</w:t>
      </w:r>
      <w:proofErr w:type="spellEnd"/>
      <w:r w:rsidRPr="003E56BD">
        <w:rPr>
          <w:rFonts w:ascii="Arial" w:hAnsi="Arial" w:cs="Arial"/>
          <w:sz w:val="24"/>
          <w:szCs w:val="24"/>
        </w:rPr>
        <w:t xml:space="preserve"> claim for unlawful arrest </w:t>
      </w:r>
      <w:r w:rsidR="00314170">
        <w:rPr>
          <w:rFonts w:ascii="Arial" w:hAnsi="Arial" w:cs="Arial"/>
          <w:sz w:val="24"/>
          <w:szCs w:val="24"/>
        </w:rPr>
        <w:t xml:space="preserve">and detention </w:t>
      </w:r>
      <w:r w:rsidRPr="003E56BD">
        <w:rPr>
          <w:rFonts w:ascii="Arial" w:hAnsi="Arial" w:cs="Arial"/>
          <w:sz w:val="24"/>
          <w:szCs w:val="24"/>
        </w:rPr>
        <w:t xml:space="preserve">against the </w:t>
      </w:r>
      <w:r>
        <w:rPr>
          <w:rFonts w:ascii="Arial" w:hAnsi="Arial" w:cs="Arial"/>
          <w:sz w:val="24"/>
          <w:szCs w:val="24"/>
        </w:rPr>
        <w:t>appellant</w:t>
      </w:r>
      <w:r w:rsidRPr="003E56BD">
        <w:rPr>
          <w:rFonts w:ascii="Arial" w:hAnsi="Arial" w:cs="Arial"/>
          <w:sz w:val="24"/>
          <w:szCs w:val="24"/>
        </w:rPr>
        <w:t xml:space="preserve"> with</w:t>
      </w:r>
      <w:r>
        <w:rPr>
          <w:rFonts w:ascii="Arial" w:hAnsi="Arial" w:cs="Arial"/>
          <w:sz w:val="24"/>
          <w:szCs w:val="24"/>
        </w:rPr>
        <w:t xml:space="preserve"> </w:t>
      </w:r>
      <w:r w:rsidRPr="003E56BD">
        <w:rPr>
          <w:rFonts w:ascii="Arial" w:hAnsi="Arial" w:cs="Arial"/>
          <w:sz w:val="24"/>
          <w:szCs w:val="24"/>
        </w:rPr>
        <w:t xml:space="preserve">summons being issued on 03 December 2012. The trial was </w:t>
      </w:r>
      <w:r w:rsidRPr="003E56BD">
        <w:rPr>
          <w:rFonts w:ascii="Arial" w:hAnsi="Arial" w:cs="Arial"/>
          <w:sz w:val="24"/>
          <w:szCs w:val="24"/>
        </w:rPr>
        <w:lastRenderedPageBreak/>
        <w:t>heard on 03</w:t>
      </w:r>
      <w:r>
        <w:rPr>
          <w:rFonts w:ascii="Arial" w:hAnsi="Arial" w:cs="Arial"/>
          <w:sz w:val="24"/>
          <w:szCs w:val="24"/>
        </w:rPr>
        <w:t xml:space="preserve"> </w:t>
      </w:r>
      <w:r w:rsidRPr="003E56BD">
        <w:rPr>
          <w:rFonts w:ascii="Arial" w:hAnsi="Arial" w:cs="Arial"/>
          <w:sz w:val="24"/>
          <w:szCs w:val="24"/>
        </w:rPr>
        <w:t>November 2021 and 02 February 2022. Judgment was granted by the</w:t>
      </w:r>
      <w:r>
        <w:rPr>
          <w:rFonts w:ascii="Arial" w:hAnsi="Arial" w:cs="Arial"/>
          <w:sz w:val="24"/>
          <w:szCs w:val="24"/>
        </w:rPr>
        <w:t xml:space="preserve"> </w:t>
      </w:r>
      <w:r w:rsidRPr="003E56BD">
        <w:rPr>
          <w:rFonts w:ascii="Arial" w:hAnsi="Arial" w:cs="Arial"/>
          <w:sz w:val="24"/>
          <w:szCs w:val="24"/>
        </w:rPr>
        <w:t>Magistrate on 10 March 2022.</w:t>
      </w:r>
    </w:p>
    <w:p w14:paraId="3165E166" w14:textId="77777777" w:rsidR="003E56BD" w:rsidRPr="003E56BD" w:rsidRDefault="003E56BD" w:rsidP="003E56BD">
      <w:pPr>
        <w:pStyle w:val="NoSpacing"/>
        <w:spacing w:line="360" w:lineRule="auto"/>
        <w:jc w:val="both"/>
        <w:rPr>
          <w:rFonts w:ascii="Arial" w:hAnsi="Arial" w:cs="Arial"/>
          <w:sz w:val="24"/>
          <w:szCs w:val="24"/>
        </w:rPr>
      </w:pPr>
    </w:p>
    <w:p w14:paraId="2C84E511" w14:textId="77777777" w:rsidR="006D2201" w:rsidRDefault="003E56BD" w:rsidP="003E56BD">
      <w:pPr>
        <w:pStyle w:val="NoSpacing"/>
        <w:spacing w:line="360" w:lineRule="auto"/>
        <w:jc w:val="both"/>
        <w:rPr>
          <w:rFonts w:ascii="Arial" w:hAnsi="Arial" w:cs="Arial"/>
          <w:sz w:val="24"/>
          <w:szCs w:val="24"/>
        </w:rPr>
      </w:pPr>
      <w:r w:rsidRPr="003E56BD">
        <w:rPr>
          <w:rFonts w:ascii="Arial" w:hAnsi="Arial" w:cs="Arial"/>
          <w:sz w:val="24"/>
          <w:szCs w:val="24"/>
        </w:rPr>
        <w:t>[</w:t>
      </w:r>
      <w:r>
        <w:rPr>
          <w:rFonts w:ascii="Arial" w:hAnsi="Arial" w:cs="Arial"/>
          <w:sz w:val="24"/>
          <w:szCs w:val="24"/>
        </w:rPr>
        <w:t>5</w:t>
      </w:r>
      <w:r w:rsidRPr="003E56BD">
        <w:rPr>
          <w:rFonts w:ascii="Arial" w:hAnsi="Arial" w:cs="Arial"/>
          <w:sz w:val="24"/>
          <w:szCs w:val="24"/>
        </w:rPr>
        <w:t>]</w:t>
      </w:r>
      <w:r>
        <w:rPr>
          <w:rFonts w:ascii="Arial" w:hAnsi="Arial" w:cs="Arial"/>
          <w:sz w:val="24"/>
          <w:szCs w:val="24"/>
        </w:rPr>
        <w:tab/>
      </w:r>
      <w:r w:rsidRPr="003E56BD">
        <w:rPr>
          <w:rFonts w:ascii="Arial" w:hAnsi="Arial" w:cs="Arial"/>
          <w:sz w:val="24"/>
          <w:szCs w:val="24"/>
        </w:rPr>
        <w:t xml:space="preserve">At trial, the </w:t>
      </w:r>
      <w:r>
        <w:rPr>
          <w:rFonts w:ascii="Arial" w:hAnsi="Arial" w:cs="Arial"/>
          <w:sz w:val="24"/>
          <w:szCs w:val="24"/>
        </w:rPr>
        <w:t xml:space="preserve">appellant </w:t>
      </w:r>
      <w:r w:rsidRPr="003E56BD">
        <w:rPr>
          <w:rFonts w:ascii="Arial" w:hAnsi="Arial" w:cs="Arial"/>
          <w:sz w:val="24"/>
          <w:szCs w:val="24"/>
        </w:rPr>
        <w:t xml:space="preserve">called one witness, Constable Sithole </w:t>
      </w:r>
      <w:r w:rsidR="00777AC7">
        <w:rPr>
          <w:rFonts w:ascii="Arial" w:hAnsi="Arial" w:cs="Arial"/>
          <w:sz w:val="24"/>
          <w:szCs w:val="24"/>
        </w:rPr>
        <w:t xml:space="preserve">(Constable) who testified that she was the investigating officer </w:t>
      </w:r>
      <w:r w:rsidR="00E10169">
        <w:rPr>
          <w:rFonts w:ascii="Arial" w:hAnsi="Arial" w:cs="Arial"/>
          <w:sz w:val="24"/>
          <w:szCs w:val="24"/>
        </w:rPr>
        <w:t>assigned</w:t>
      </w:r>
      <w:r w:rsidR="00777AC7">
        <w:rPr>
          <w:rFonts w:ascii="Arial" w:hAnsi="Arial" w:cs="Arial"/>
          <w:sz w:val="24"/>
          <w:szCs w:val="24"/>
        </w:rPr>
        <w:t xml:space="preserve"> to investigate a charge of theft of a motor vehicle and a business robbery that occurred at McDonald</w:t>
      </w:r>
      <w:r w:rsidR="00E10169">
        <w:rPr>
          <w:rFonts w:ascii="Arial" w:hAnsi="Arial" w:cs="Arial"/>
          <w:sz w:val="24"/>
          <w:szCs w:val="24"/>
        </w:rPr>
        <w:t>s</w:t>
      </w:r>
      <w:r w:rsidR="00FB58C1">
        <w:rPr>
          <w:rFonts w:ascii="Arial" w:hAnsi="Arial" w:cs="Arial"/>
          <w:sz w:val="24"/>
          <w:szCs w:val="24"/>
        </w:rPr>
        <w:t xml:space="preserve"> restaurant</w:t>
      </w:r>
      <w:r w:rsidR="00777AC7">
        <w:rPr>
          <w:rFonts w:ascii="Arial" w:hAnsi="Arial" w:cs="Arial"/>
          <w:sz w:val="24"/>
          <w:szCs w:val="24"/>
        </w:rPr>
        <w:t xml:space="preserve"> early in 2012. She attended the scene of </w:t>
      </w:r>
      <w:proofErr w:type="gramStart"/>
      <w:r w:rsidR="00777AC7">
        <w:rPr>
          <w:rFonts w:ascii="Arial" w:hAnsi="Arial" w:cs="Arial"/>
          <w:sz w:val="24"/>
          <w:szCs w:val="24"/>
        </w:rPr>
        <w:t>crime</w:t>
      </w:r>
      <w:proofErr w:type="gramEnd"/>
      <w:r w:rsidR="00777AC7">
        <w:rPr>
          <w:rFonts w:ascii="Arial" w:hAnsi="Arial" w:cs="Arial"/>
          <w:sz w:val="24"/>
          <w:szCs w:val="24"/>
        </w:rPr>
        <w:t xml:space="preserve"> along with Sergeant Rikhotso (Sergeant) to obtain further information and received statements from the staff</w:t>
      </w:r>
      <w:r w:rsidR="00FB58C1">
        <w:rPr>
          <w:rFonts w:ascii="Arial" w:hAnsi="Arial" w:cs="Arial"/>
          <w:sz w:val="24"/>
          <w:szCs w:val="24"/>
        </w:rPr>
        <w:t>. S</w:t>
      </w:r>
      <w:r w:rsidR="00777AC7">
        <w:rPr>
          <w:rFonts w:ascii="Arial" w:hAnsi="Arial" w:cs="Arial"/>
          <w:sz w:val="24"/>
          <w:szCs w:val="24"/>
        </w:rPr>
        <w:t>he was informed that the manager of McDonald</w:t>
      </w:r>
      <w:r w:rsidR="00A24255">
        <w:rPr>
          <w:rFonts w:ascii="Arial" w:hAnsi="Arial" w:cs="Arial"/>
          <w:sz w:val="24"/>
          <w:szCs w:val="24"/>
        </w:rPr>
        <w:t>s</w:t>
      </w:r>
      <w:r w:rsidR="00FB58C1">
        <w:rPr>
          <w:rFonts w:ascii="Arial" w:hAnsi="Arial" w:cs="Arial"/>
          <w:sz w:val="24"/>
          <w:szCs w:val="24"/>
        </w:rPr>
        <w:t>,</w:t>
      </w:r>
      <w:r w:rsidR="00777AC7">
        <w:rPr>
          <w:rFonts w:ascii="Arial" w:hAnsi="Arial" w:cs="Arial"/>
          <w:sz w:val="24"/>
          <w:szCs w:val="24"/>
        </w:rPr>
        <w:t xml:space="preserve"> Bheki </w:t>
      </w:r>
      <w:proofErr w:type="spellStart"/>
      <w:r w:rsidR="00777AC7">
        <w:rPr>
          <w:rFonts w:ascii="Arial" w:hAnsi="Arial" w:cs="Arial"/>
          <w:sz w:val="24"/>
          <w:szCs w:val="24"/>
        </w:rPr>
        <w:t>Ndlebe</w:t>
      </w:r>
      <w:proofErr w:type="spellEnd"/>
      <w:r w:rsidR="00777AC7">
        <w:rPr>
          <w:rFonts w:ascii="Arial" w:hAnsi="Arial" w:cs="Arial"/>
          <w:sz w:val="24"/>
          <w:szCs w:val="24"/>
        </w:rPr>
        <w:t xml:space="preserve"> (Manager) did not return to his shift after the robbery. The Constable and Sergeant then embarked on</w:t>
      </w:r>
      <w:r w:rsidR="004F2060">
        <w:rPr>
          <w:rFonts w:ascii="Arial" w:hAnsi="Arial" w:cs="Arial"/>
          <w:sz w:val="24"/>
          <w:szCs w:val="24"/>
        </w:rPr>
        <w:t xml:space="preserve"> what is called</w:t>
      </w:r>
      <w:r w:rsidR="00777AC7">
        <w:rPr>
          <w:rFonts w:ascii="Arial" w:hAnsi="Arial" w:cs="Arial"/>
          <w:sz w:val="24"/>
          <w:szCs w:val="24"/>
        </w:rPr>
        <w:t xml:space="preserve"> </w:t>
      </w:r>
      <w:r w:rsidR="003B593C">
        <w:rPr>
          <w:rFonts w:ascii="Arial" w:hAnsi="Arial" w:cs="Arial"/>
          <w:sz w:val="24"/>
          <w:szCs w:val="24"/>
        </w:rPr>
        <w:t>“suspect</w:t>
      </w:r>
      <w:r w:rsidR="00777AC7">
        <w:rPr>
          <w:rFonts w:ascii="Arial" w:hAnsi="Arial" w:cs="Arial"/>
          <w:sz w:val="24"/>
          <w:szCs w:val="24"/>
        </w:rPr>
        <w:t xml:space="preserve"> raiding”</w:t>
      </w:r>
      <w:r w:rsidR="004F2060">
        <w:rPr>
          <w:rFonts w:ascii="Arial" w:hAnsi="Arial" w:cs="Arial"/>
          <w:sz w:val="24"/>
          <w:szCs w:val="24"/>
        </w:rPr>
        <w:t xml:space="preserve">. They went to the </w:t>
      </w:r>
      <w:r w:rsidR="00E10169">
        <w:rPr>
          <w:rFonts w:ascii="Arial" w:hAnsi="Arial" w:cs="Arial"/>
          <w:sz w:val="24"/>
          <w:szCs w:val="24"/>
        </w:rPr>
        <w:t xml:space="preserve">manager’s </w:t>
      </w:r>
      <w:r w:rsidR="004F2060">
        <w:rPr>
          <w:rFonts w:ascii="Arial" w:hAnsi="Arial" w:cs="Arial"/>
          <w:sz w:val="24"/>
          <w:szCs w:val="24"/>
        </w:rPr>
        <w:t>place</w:t>
      </w:r>
      <w:r w:rsidR="00E4502D">
        <w:rPr>
          <w:rFonts w:ascii="Arial" w:hAnsi="Arial" w:cs="Arial"/>
          <w:sz w:val="24"/>
          <w:szCs w:val="24"/>
        </w:rPr>
        <w:t xml:space="preserve"> of</w:t>
      </w:r>
      <w:r w:rsidR="004F2060">
        <w:rPr>
          <w:rFonts w:ascii="Arial" w:hAnsi="Arial" w:cs="Arial"/>
          <w:sz w:val="24"/>
          <w:szCs w:val="24"/>
        </w:rPr>
        <w:t xml:space="preserve"> residence </w:t>
      </w:r>
      <w:r w:rsidR="003B593C">
        <w:rPr>
          <w:rFonts w:ascii="Arial" w:hAnsi="Arial" w:cs="Arial"/>
          <w:sz w:val="24"/>
          <w:szCs w:val="24"/>
        </w:rPr>
        <w:t>and arrested</w:t>
      </w:r>
      <w:r w:rsidR="004F2060">
        <w:rPr>
          <w:rFonts w:ascii="Arial" w:hAnsi="Arial" w:cs="Arial"/>
          <w:sz w:val="24"/>
          <w:szCs w:val="24"/>
        </w:rPr>
        <w:t xml:space="preserve"> </w:t>
      </w:r>
      <w:r w:rsidR="003B593C">
        <w:rPr>
          <w:rFonts w:ascii="Arial" w:hAnsi="Arial" w:cs="Arial"/>
          <w:sz w:val="24"/>
          <w:szCs w:val="24"/>
        </w:rPr>
        <w:t>him</w:t>
      </w:r>
      <w:r w:rsidR="00FB58C1">
        <w:rPr>
          <w:rFonts w:ascii="Arial" w:hAnsi="Arial" w:cs="Arial"/>
          <w:sz w:val="24"/>
          <w:szCs w:val="24"/>
        </w:rPr>
        <w:t>.</w:t>
      </w:r>
      <w:r w:rsidR="004F2060">
        <w:rPr>
          <w:rFonts w:ascii="Arial" w:hAnsi="Arial" w:cs="Arial"/>
          <w:sz w:val="24"/>
          <w:szCs w:val="24"/>
        </w:rPr>
        <w:t xml:space="preserve"> </w:t>
      </w:r>
      <w:r w:rsidR="00FB58C1">
        <w:rPr>
          <w:rFonts w:ascii="Arial" w:hAnsi="Arial" w:cs="Arial"/>
          <w:sz w:val="24"/>
          <w:szCs w:val="24"/>
        </w:rPr>
        <w:t>H</w:t>
      </w:r>
      <w:r w:rsidR="004F2060">
        <w:rPr>
          <w:rFonts w:ascii="Arial" w:hAnsi="Arial" w:cs="Arial"/>
          <w:sz w:val="24"/>
          <w:szCs w:val="24"/>
        </w:rPr>
        <w:t xml:space="preserve">e </w:t>
      </w:r>
      <w:r w:rsidR="00F42690">
        <w:rPr>
          <w:rFonts w:ascii="Arial" w:hAnsi="Arial" w:cs="Arial"/>
          <w:sz w:val="24"/>
          <w:szCs w:val="24"/>
        </w:rPr>
        <w:t>pointed at</w:t>
      </w:r>
      <w:r w:rsidR="004F2060">
        <w:rPr>
          <w:rFonts w:ascii="Arial" w:hAnsi="Arial" w:cs="Arial"/>
          <w:sz w:val="24"/>
          <w:szCs w:val="24"/>
        </w:rPr>
        <w:t xml:space="preserve"> another suspect and that pointing led to the arrests of other suspects with the respondent being the last person to </w:t>
      </w:r>
      <w:r w:rsidR="00FB58C1">
        <w:rPr>
          <w:rFonts w:ascii="Arial" w:hAnsi="Arial" w:cs="Arial"/>
          <w:sz w:val="24"/>
          <w:szCs w:val="24"/>
        </w:rPr>
        <w:t xml:space="preserve">be </w:t>
      </w:r>
      <w:proofErr w:type="gramStart"/>
      <w:r w:rsidR="004F2060">
        <w:rPr>
          <w:rFonts w:ascii="Arial" w:hAnsi="Arial" w:cs="Arial"/>
          <w:sz w:val="24"/>
          <w:szCs w:val="24"/>
        </w:rPr>
        <w:t>arrest</w:t>
      </w:r>
      <w:proofErr w:type="gramEnd"/>
      <w:r w:rsidR="006D2201">
        <w:rPr>
          <w:rFonts w:ascii="Arial" w:hAnsi="Arial" w:cs="Arial"/>
          <w:sz w:val="24"/>
          <w:szCs w:val="24"/>
        </w:rPr>
        <w:t xml:space="preserve"> on 5 May 2012. </w:t>
      </w:r>
    </w:p>
    <w:p w14:paraId="01547CF2" w14:textId="77777777" w:rsidR="006D2201" w:rsidRDefault="006D2201" w:rsidP="003E56BD">
      <w:pPr>
        <w:pStyle w:val="NoSpacing"/>
        <w:spacing w:line="360" w:lineRule="auto"/>
        <w:jc w:val="both"/>
        <w:rPr>
          <w:rFonts w:ascii="Arial" w:hAnsi="Arial" w:cs="Arial"/>
          <w:sz w:val="24"/>
          <w:szCs w:val="24"/>
        </w:rPr>
      </w:pPr>
    </w:p>
    <w:p w14:paraId="2149F322" w14:textId="77777777" w:rsidR="006D2201" w:rsidRDefault="006D2201" w:rsidP="00B7504F">
      <w:pPr>
        <w:pStyle w:val="JudgmentNumbered"/>
        <w:numPr>
          <w:ilvl w:val="0"/>
          <w:numId w:val="0"/>
        </w:numPr>
        <w:spacing w:after="0"/>
      </w:pPr>
      <w:r>
        <w:t>[6]</w:t>
      </w:r>
      <w:r>
        <w:tab/>
        <w:t xml:space="preserve">Although </w:t>
      </w:r>
      <w:r w:rsidR="00F42690">
        <w:t xml:space="preserve">the Constable </w:t>
      </w:r>
      <w:r>
        <w:t xml:space="preserve">was at the scene when the </w:t>
      </w:r>
      <w:r w:rsidR="00F42690">
        <w:t>respondent was</w:t>
      </w:r>
      <w:r>
        <w:t xml:space="preserve"> arrested, along with several police officials, she </w:t>
      </w:r>
      <w:r w:rsidR="00FB58C1">
        <w:t xml:space="preserve">was in the police van and </w:t>
      </w:r>
      <w:r>
        <w:t xml:space="preserve">did not </w:t>
      </w:r>
      <w:r w:rsidR="00FB58C1">
        <w:t xml:space="preserve">personally </w:t>
      </w:r>
      <w:r>
        <w:t>effect the arrest</w:t>
      </w:r>
      <w:r w:rsidR="00FB58C1">
        <w:t>.</w:t>
      </w:r>
      <w:r>
        <w:t xml:space="preserve"> Instead, </w:t>
      </w:r>
      <w:r w:rsidR="00E4502D">
        <w:t xml:space="preserve">the </w:t>
      </w:r>
      <w:r w:rsidR="00F42690">
        <w:t>Sergeant</w:t>
      </w:r>
      <w:r w:rsidR="00E4502D">
        <w:t xml:space="preserve"> </w:t>
      </w:r>
      <w:r w:rsidR="001E3D3B">
        <w:t xml:space="preserve">who </w:t>
      </w:r>
      <w:r w:rsidR="00E4502D">
        <w:t>effected the arrest</w:t>
      </w:r>
      <w:r>
        <w:t>. It is noteworthy that these other officials did not testify, as the version w</w:t>
      </w:r>
      <w:r w:rsidR="001E3D3B">
        <w:t>as</w:t>
      </w:r>
      <w:r w:rsidR="00E67063">
        <w:t xml:space="preserve"> that </w:t>
      </w:r>
      <w:r>
        <w:t>they had either retired, resigned or</w:t>
      </w:r>
      <w:r w:rsidR="004F30F7">
        <w:t xml:space="preserve"> were sick.</w:t>
      </w:r>
      <w:r>
        <w:t xml:space="preserve"> Though still a member of SAPS at the hearing of the trial, </w:t>
      </w:r>
      <w:r w:rsidR="00F42690">
        <w:t xml:space="preserve">the </w:t>
      </w:r>
      <w:r>
        <w:t xml:space="preserve">Sergeant, for reasons unknown, did not testify. When asked why a warrant of arrest was not obtained as some time had passed between the robbery and the arrest of the </w:t>
      </w:r>
      <w:proofErr w:type="gramStart"/>
      <w:r w:rsidR="00F42690">
        <w:t>respondent</w:t>
      </w:r>
      <w:proofErr w:type="gramEnd"/>
      <w:r w:rsidR="00E10169">
        <w:t xml:space="preserve"> she </w:t>
      </w:r>
      <w:r>
        <w:t xml:space="preserve">replied that </w:t>
      </w:r>
      <w:bookmarkStart w:id="0" w:name="_Hlk149026919"/>
      <w:r>
        <w:t>Captain Du Toit</w:t>
      </w:r>
      <w:r w:rsidR="00F42690">
        <w:t xml:space="preserve"> (Captain)</w:t>
      </w:r>
      <w:r>
        <w:t xml:space="preserve"> </w:t>
      </w:r>
      <w:bookmarkEnd w:id="0"/>
      <w:r>
        <w:t>was of the view</w:t>
      </w:r>
      <w:r w:rsidR="00F42690">
        <w:t xml:space="preserve"> that</w:t>
      </w:r>
      <w:r>
        <w:t xml:space="preserve"> they had sufficient evidence to effect the arrest. It was</w:t>
      </w:r>
      <w:r w:rsidR="00F42690">
        <w:t xml:space="preserve"> the</w:t>
      </w:r>
      <w:r>
        <w:t xml:space="preserve"> </w:t>
      </w:r>
      <w:r w:rsidR="00F42690" w:rsidRPr="00B61966">
        <w:t>captain</w:t>
      </w:r>
      <w:r w:rsidR="00F42690">
        <w:t>,</w:t>
      </w:r>
      <w:r>
        <w:t xml:space="preserve"> a senior to both </w:t>
      </w:r>
      <w:r w:rsidR="00F42690">
        <w:t>the Constable</w:t>
      </w:r>
      <w:r>
        <w:t xml:space="preserve"> and </w:t>
      </w:r>
      <w:r w:rsidR="00F42690">
        <w:t>Sergeant</w:t>
      </w:r>
      <w:r>
        <w:t xml:space="preserve">, who instructed the latter to arrest the </w:t>
      </w:r>
      <w:r w:rsidR="00F42690">
        <w:t>respondent</w:t>
      </w:r>
      <w:r>
        <w:t xml:space="preserve">. </w:t>
      </w:r>
    </w:p>
    <w:p w14:paraId="2D012111" w14:textId="77777777" w:rsidR="00B7504F" w:rsidRDefault="00B7504F" w:rsidP="00B7504F">
      <w:pPr>
        <w:pStyle w:val="JudgmentNumbered"/>
        <w:numPr>
          <w:ilvl w:val="0"/>
          <w:numId w:val="0"/>
        </w:numPr>
        <w:spacing w:after="0"/>
      </w:pPr>
    </w:p>
    <w:p w14:paraId="1F5E539F" w14:textId="77777777" w:rsidR="006D2201" w:rsidRDefault="00F42690" w:rsidP="00B7504F">
      <w:pPr>
        <w:pStyle w:val="JudgmentNumbered"/>
        <w:numPr>
          <w:ilvl w:val="0"/>
          <w:numId w:val="0"/>
        </w:numPr>
        <w:spacing w:after="0"/>
      </w:pPr>
      <w:r>
        <w:t>[7]</w:t>
      </w:r>
      <w:r>
        <w:tab/>
        <w:t>Constable</w:t>
      </w:r>
      <w:r w:rsidR="006D2201">
        <w:t xml:space="preserve"> was not privy to the discussion between </w:t>
      </w:r>
      <w:r>
        <w:t xml:space="preserve">the </w:t>
      </w:r>
      <w:r w:rsidR="006D2201" w:rsidRPr="00B61966">
        <w:t xml:space="preserve">Captain </w:t>
      </w:r>
      <w:r w:rsidR="006D2201">
        <w:t xml:space="preserve">and </w:t>
      </w:r>
      <w:r>
        <w:t>Sergeant</w:t>
      </w:r>
      <w:r w:rsidR="006D2201">
        <w:t xml:space="preserve">. In this regard, it was her evidence that </w:t>
      </w:r>
      <w:r>
        <w:t>Sergeant</w:t>
      </w:r>
      <w:r w:rsidR="006D2201">
        <w:t xml:space="preserve"> was following </w:t>
      </w:r>
      <w:r>
        <w:t xml:space="preserve">the </w:t>
      </w:r>
      <w:proofErr w:type="gramStart"/>
      <w:r w:rsidR="00CC1739">
        <w:t>Captain’s</w:t>
      </w:r>
      <w:proofErr w:type="gramEnd"/>
      <w:r w:rsidR="006D2201">
        <w:t xml:space="preserve"> instructions regarding the arrest</w:t>
      </w:r>
      <w:r>
        <w:t xml:space="preserve"> and </w:t>
      </w:r>
      <w:r w:rsidR="006D2201">
        <w:t xml:space="preserve">attended to the detention of the </w:t>
      </w:r>
      <w:r>
        <w:t>respondent and</w:t>
      </w:r>
      <w:r w:rsidR="006D2201">
        <w:t xml:space="preserve"> the other arrestees. The </w:t>
      </w:r>
      <w:r>
        <w:t>respondent</w:t>
      </w:r>
      <w:r w:rsidR="006D2201">
        <w:t xml:space="preserve"> was detained at Mondeor Police Station. </w:t>
      </w:r>
    </w:p>
    <w:p w14:paraId="00BAACB5" w14:textId="77777777" w:rsidR="00B7504F" w:rsidRDefault="00B7504F" w:rsidP="00B7504F">
      <w:pPr>
        <w:pStyle w:val="JudgmentNumbered"/>
        <w:numPr>
          <w:ilvl w:val="0"/>
          <w:numId w:val="0"/>
        </w:numPr>
        <w:spacing w:after="0"/>
      </w:pPr>
    </w:p>
    <w:p w14:paraId="14803E7C" w14:textId="77777777" w:rsidR="006D2201" w:rsidRDefault="00F42690" w:rsidP="00B7504F">
      <w:pPr>
        <w:pStyle w:val="JudgmentNumbered"/>
        <w:numPr>
          <w:ilvl w:val="0"/>
          <w:numId w:val="0"/>
        </w:numPr>
        <w:spacing w:after="0"/>
      </w:pPr>
      <w:r>
        <w:lastRenderedPageBreak/>
        <w:t>[8]</w:t>
      </w:r>
      <w:r>
        <w:tab/>
      </w:r>
      <w:r w:rsidR="006D2201">
        <w:t xml:space="preserve">Subsequent to the arrest, an identification parade was held on 11 May 2012. </w:t>
      </w:r>
      <w:r>
        <w:t>The Constable</w:t>
      </w:r>
      <w:r w:rsidR="006D2201">
        <w:t xml:space="preserve">, </w:t>
      </w:r>
      <w:r>
        <w:t xml:space="preserve">who was </w:t>
      </w:r>
      <w:r w:rsidR="006D2201">
        <w:t xml:space="preserve">the investigating officer was not present at the parade and was not aware of its outcome as the docket was with </w:t>
      </w:r>
      <w:r w:rsidR="00990CCD">
        <w:t>t</w:t>
      </w:r>
      <w:r>
        <w:t xml:space="preserve">he </w:t>
      </w:r>
      <w:r w:rsidR="001D088A">
        <w:t>captain</w:t>
      </w:r>
      <w:r w:rsidR="006D2201">
        <w:t xml:space="preserve">. It is common cause that the </w:t>
      </w:r>
      <w:r w:rsidR="0029262F">
        <w:t>respondent was</w:t>
      </w:r>
      <w:r w:rsidR="006D2201">
        <w:t xml:space="preserve"> not identified at the identification parade. During cross-examination </w:t>
      </w:r>
      <w:r w:rsidR="0029262F">
        <w:t xml:space="preserve">the Constable </w:t>
      </w:r>
      <w:r w:rsidR="006D2201">
        <w:t xml:space="preserve">was asked why she failed to bring to the court’s attention the outcome of the parade, she stated, “I see no reason to explain to the court something I did not know”. As investigating officer, it was her duty to bring the docket to court. When asked about the </w:t>
      </w:r>
      <w:r w:rsidR="0029262F">
        <w:t>respondent</w:t>
      </w:r>
      <w:r w:rsidR="006D2201">
        <w:t xml:space="preserve">’s further detention for a further five months, she was of the view that the court must have had reason to remand the </w:t>
      </w:r>
      <w:r w:rsidR="0029262F">
        <w:t>respondent</w:t>
      </w:r>
      <w:r w:rsidR="006D2201">
        <w:t xml:space="preserve"> for a further five months. She stated it was the court’s responsibility to decide whether to keep the</w:t>
      </w:r>
      <w:r w:rsidR="0029262F">
        <w:t xml:space="preserve"> respondent</w:t>
      </w:r>
      <w:r w:rsidR="006D2201">
        <w:t xml:space="preserve"> in custody or release him.</w:t>
      </w:r>
    </w:p>
    <w:p w14:paraId="16E9E904" w14:textId="77777777" w:rsidR="00B7504F" w:rsidRDefault="00B7504F" w:rsidP="00B7504F">
      <w:pPr>
        <w:pStyle w:val="JudgmentNumbered"/>
        <w:numPr>
          <w:ilvl w:val="0"/>
          <w:numId w:val="0"/>
        </w:numPr>
        <w:spacing w:after="0"/>
      </w:pPr>
    </w:p>
    <w:p w14:paraId="269CEA23" w14:textId="77777777" w:rsidR="0029262F" w:rsidRDefault="0029262F" w:rsidP="00B7504F">
      <w:pPr>
        <w:pStyle w:val="JudgmentNumbered"/>
        <w:numPr>
          <w:ilvl w:val="0"/>
          <w:numId w:val="0"/>
        </w:numPr>
        <w:spacing w:after="0"/>
      </w:pPr>
      <w:r>
        <w:rPr>
          <w:szCs w:val="24"/>
        </w:rPr>
        <w:t>[9]</w:t>
      </w:r>
      <w:r>
        <w:rPr>
          <w:szCs w:val="24"/>
        </w:rPr>
        <w:tab/>
        <w:t xml:space="preserve">The respondent testified on his own behalf and said that </w:t>
      </w:r>
      <w:r>
        <w:t xml:space="preserve">he operates a taxi service, and on 01 April 2012, at around 20:00, he was called by </w:t>
      </w:r>
      <w:proofErr w:type="spellStart"/>
      <w:r>
        <w:t>Ramoba</w:t>
      </w:r>
      <w:proofErr w:type="spellEnd"/>
      <w:r>
        <w:t xml:space="preserve"> who request</w:t>
      </w:r>
      <w:r w:rsidR="00990CCD">
        <w:t>ed</w:t>
      </w:r>
      <w:r>
        <w:t xml:space="preserve"> transportation. </w:t>
      </w:r>
      <w:proofErr w:type="spellStart"/>
      <w:r>
        <w:t>Ramoba</w:t>
      </w:r>
      <w:proofErr w:type="spellEnd"/>
      <w:r>
        <w:t xml:space="preserve"> was no stranger to the respondent as he used to transport </w:t>
      </w:r>
      <w:proofErr w:type="spellStart"/>
      <w:r>
        <w:t>Ramoba’s</w:t>
      </w:r>
      <w:proofErr w:type="spellEnd"/>
      <w:r>
        <w:t xml:space="preserve"> child to school. The respondent picked </w:t>
      </w:r>
      <w:proofErr w:type="spellStart"/>
      <w:r>
        <w:t>Ramoba</w:t>
      </w:r>
      <w:proofErr w:type="spellEnd"/>
      <w:r>
        <w:t xml:space="preserve"> and another person (Galela) at the agreed</w:t>
      </w:r>
      <w:r w:rsidR="00123A58">
        <w:t xml:space="preserve"> location </w:t>
      </w:r>
      <w:r>
        <w:t xml:space="preserve">He charged them a fee and the two men asked to be dropped off at the McDonald’s and that is what he did. </w:t>
      </w:r>
    </w:p>
    <w:p w14:paraId="6CCF1695" w14:textId="77777777" w:rsidR="0029262F" w:rsidRDefault="0029262F" w:rsidP="0029262F">
      <w:pPr>
        <w:pStyle w:val="JudgmentNumbered"/>
        <w:numPr>
          <w:ilvl w:val="0"/>
          <w:numId w:val="0"/>
        </w:numPr>
        <w:spacing w:after="0"/>
      </w:pPr>
    </w:p>
    <w:p w14:paraId="5FA2321C" w14:textId="77777777" w:rsidR="0029262F" w:rsidRDefault="0029262F" w:rsidP="0029262F">
      <w:pPr>
        <w:pStyle w:val="JudgmentNumbered"/>
        <w:numPr>
          <w:ilvl w:val="0"/>
          <w:numId w:val="0"/>
        </w:numPr>
        <w:spacing w:after="0"/>
      </w:pPr>
      <w:r>
        <w:t>[10]</w:t>
      </w:r>
      <w:r>
        <w:tab/>
        <w:t xml:space="preserve">As he was about to depart, the respondent was again approached by </w:t>
      </w:r>
      <w:bookmarkStart w:id="1" w:name="_Hlk149029144"/>
      <w:proofErr w:type="spellStart"/>
      <w:r>
        <w:t>Ramoba</w:t>
      </w:r>
      <w:proofErr w:type="spellEnd"/>
      <w:r>
        <w:t xml:space="preserve"> and Galela </w:t>
      </w:r>
      <w:bookmarkEnd w:id="1"/>
      <w:r>
        <w:t xml:space="preserve">who required further transport to their respective homes. </w:t>
      </w:r>
      <w:r w:rsidR="00373589">
        <w:t>He charged</w:t>
      </w:r>
      <w:r>
        <w:t xml:space="preserve"> them a</w:t>
      </w:r>
      <w:r w:rsidR="00123A58">
        <w:t>n agreed amount</w:t>
      </w:r>
      <w:r w:rsidR="001D088A">
        <w:t>.</w:t>
      </w:r>
      <w:r w:rsidR="00123A58">
        <w:t xml:space="preserve"> </w:t>
      </w:r>
      <w:r>
        <w:t>It appears from the record that the respondent may have stayed a few minutes after dropping off</w:t>
      </w:r>
      <w:r w:rsidR="00776749">
        <w:t xml:space="preserve"> </w:t>
      </w:r>
      <w:bookmarkStart w:id="2" w:name="_Hlk149029814"/>
      <w:proofErr w:type="spellStart"/>
      <w:r w:rsidRPr="00037930">
        <w:t>Ramoba</w:t>
      </w:r>
      <w:proofErr w:type="spellEnd"/>
      <w:r w:rsidRPr="00037930">
        <w:t xml:space="preserve"> and Galela</w:t>
      </w:r>
      <w:bookmarkEnd w:id="2"/>
      <w:r>
        <w:t xml:space="preserve">. When cross-examined on this, he explained he had insufficient space to turn and had to turn around to exit through the drive-through, and whilst on his way to the exit he encountered </w:t>
      </w:r>
      <w:proofErr w:type="spellStart"/>
      <w:r w:rsidRPr="003107AB">
        <w:t>Ramoba</w:t>
      </w:r>
      <w:proofErr w:type="spellEnd"/>
      <w:r w:rsidRPr="003107AB">
        <w:t xml:space="preserve"> and Galela</w:t>
      </w:r>
      <w:r>
        <w:t xml:space="preserve"> again who asked him to return them to their respective homes.  </w:t>
      </w:r>
    </w:p>
    <w:p w14:paraId="6C69503C" w14:textId="77777777" w:rsidR="0029262F" w:rsidRDefault="0029262F" w:rsidP="0029262F">
      <w:pPr>
        <w:pStyle w:val="JudgmentNumbered"/>
        <w:numPr>
          <w:ilvl w:val="0"/>
          <w:numId w:val="0"/>
        </w:numPr>
        <w:spacing w:after="0"/>
      </w:pPr>
    </w:p>
    <w:p w14:paraId="1F37F580" w14:textId="77777777" w:rsidR="00E13002" w:rsidRDefault="0029262F" w:rsidP="00B7504F">
      <w:pPr>
        <w:pStyle w:val="JudgmentNumbered"/>
        <w:numPr>
          <w:ilvl w:val="0"/>
          <w:numId w:val="0"/>
        </w:numPr>
        <w:spacing w:after="0"/>
      </w:pPr>
      <w:r>
        <w:t>[11]</w:t>
      </w:r>
      <w:r>
        <w:tab/>
        <w:t xml:space="preserve">The Magistrate found no discrepancies between the </w:t>
      </w:r>
      <w:r w:rsidR="00CF781E">
        <w:t>respondent’s</w:t>
      </w:r>
      <w:r>
        <w:t xml:space="preserve"> warning statement and his evidence during examination in chief regarding the dropping off and picking up of </w:t>
      </w:r>
      <w:proofErr w:type="spellStart"/>
      <w:r w:rsidRPr="00CD23C4">
        <w:t>Ramoba</w:t>
      </w:r>
      <w:proofErr w:type="spellEnd"/>
      <w:r w:rsidRPr="00CD23C4">
        <w:t xml:space="preserve"> and Galela</w:t>
      </w:r>
      <w:r>
        <w:t xml:space="preserve">. In the court </w:t>
      </w:r>
      <w:r w:rsidRPr="00C32014">
        <w:rPr>
          <w:i/>
          <w:iCs/>
        </w:rPr>
        <w:t>a quo</w:t>
      </w:r>
      <w:r>
        <w:t xml:space="preserve">’s view, the respondent merely confirmed with more detail his version mentioned to the police in his warning statement, </w:t>
      </w:r>
      <w:r>
        <w:lastRenderedPageBreak/>
        <w:t>during examination in chief. The court found that the warning statement was terse, giving only a brief explanation of the events</w:t>
      </w:r>
      <w:r w:rsidR="00990CCD">
        <w:t>.</w:t>
      </w:r>
      <w:r>
        <w:t xml:space="preserve"> That at court, the </w:t>
      </w:r>
      <w:r w:rsidR="00CF781E">
        <w:t>respondent had</w:t>
      </w:r>
      <w:r>
        <w:t xml:space="preserve"> the opportunity to explain more fully what transpired at McDonald’s. </w:t>
      </w:r>
    </w:p>
    <w:p w14:paraId="40D1F1F6" w14:textId="77777777" w:rsidR="00B7504F" w:rsidRPr="00B7504F" w:rsidRDefault="00B7504F" w:rsidP="00B7504F">
      <w:pPr>
        <w:pStyle w:val="JudgmentNumbered"/>
        <w:numPr>
          <w:ilvl w:val="0"/>
          <w:numId w:val="0"/>
        </w:numPr>
        <w:spacing w:after="0"/>
      </w:pPr>
    </w:p>
    <w:p w14:paraId="513C48A0" w14:textId="77777777" w:rsidR="00CF781E" w:rsidRDefault="00CF781E" w:rsidP="00B7504F">
      <w:pPr>
        <w:pStyle w:val="JudgmentNumbered"/>
        <w:numPr>
          <w:ilvl w:val="0"/>
          <w:numId w:val="0"/>
        </w:numPr>
        <w:spacing w:after="0"/>
        <w:rPr>
          <w:u w:val="single"/>
        </w:rPr>
      </w:pPr>
      <w:r w:rsidRPr="00B7504F">
        <w:rPr>
          <w:u w:val="single"/>
        </w:rPr>
        <w:t xml:space="preserve">Court a quo’s findings </w:t>
      </w:r>
    </w:p>
    <w:p w14:paraId="10BB0F4C" w14:textId="77777777" w:rsidR="006A785D" w:rsidRPr="00B7504F" w:rsidRDefault="006A785D" w:rsidP="00B7504F">
      <w:pPr>
        <w:pStyle w:val="JudgmentNumbered"/>
        <w:numPr>
          <w:ilvl w:val="0"/>
          <w:numId w:val="0"/>
        </w:numPr>
        <w:spacing w:after="0"/>
        <w:rPr>
          <w:u w:val="single"/>
        </w:rPr>
      </w:pPr>
    </w:p>
    <w:p w14:paraId="7346A309" w14:textId="77777777" w:rsidR="00CF781E" w:rsidRDefault="00CF781E" w:rsidP="00B7504F">
      <w:pPr>
        <w:pStyle w:val="JudgmentNumbered"/>
        <w:numPr>
          <w:ilvl w:val="0"/>
          <w:numId w:val="0"/>
        </w:numPr>
        <w:spacing w:after="0"/>
      </w:pPr>
      <w:r>
        <w:t>[12]</w:t>
      </w:r>
      <w:r>
        <w:tab/>
        <w:t xml:space="preserve">The court </w:t>
      </w:r>
      <w:r w:rsidRPr="0046756F">
        <w:rPr>
          <w:i/>
          <w:iCs/>
        </w:rPr>
        <w:t>a quo</w:t>
      </w:r>
      <w:r>
        <w:t xml:space="preserve"> rejected the Constable’s evidence, finding </w:t>
      </w:r>
      <w:r w:rsidR="00990CCD">
        <w:t xml:space="preserve">that </w:t>
      </w:r>
      <w:r>
        <w:t xml:space="preserve">it was mostly inadmissible hearsay. Further, that there was no evidence directly or indirectly implicating the respondent in the robbery. Furthermore, there was no evidence showing that the respondent benefitted from the spoils of the robbery nor was there evidence to show that he was aware that </w:t>
      </w:r>
      <w:proofErr w:type="spellStart"/>
      <w:r>
        <w:t>Ramoba</w:t>
      </w:r>
      <w:proofErr w:type="spellEnd"/>
      <w:r>
        <w:t xml:space="preserve"> and Galela were involved in a robbery. </w:t>
      </w:r>
    </w:p>
    <w:p w14:paraId="77E97498" w14:textId="77777777" w:rsidR="003C2880" w:rsidRDefault="003C2880" w:rsidP="003C2880">
      <w:pPr>
        <w:pStyle w:val="JudgmentNumbered"/>
        <w:numPr>
          <w:ilvl w:val="0"/>
          <w:numId w:val="0"/>
        </w:numPr>
        <w:spacing w:after="0"/>
      </w:pPr>
    </w:p>
    <w:p w14:paraId="522AF3D0" w14:textId="77777777" w:rsidR="00CF781E" w:rsidRDefault="00CF781E" w:rsidP="003C2880">
      <w:pPr>
        <w:pStyle w:val="JudgmentNumbered"/>
        <w:numPr>
          <w:ilvl w:val="0"/>
          <w:numId w:val="0"/>
        </w:numPr>
        <w:spacing w:after="0"/>
      </w:pPr>
      <w:r>
        <w:t>[13]</w:t>
      </w:r>
      <w:r>
        <w:tab/>
        <w:t xml:space="preserve">In finding </w:t>
      </w:r>
      <w:r w:rsidR="00424AEB">
        <w:t xml:space="preserve">that </w:t>
      </w:r>
      <w:r>
        <w:t xml:space="preserve">the respondent’s arrest </w:t>
      </w:r>
      <w:r w:rsidR="00424AEB">
        <w:t xml:space="preserve">and detention </w:t>
      </w:r>
      <w:r>
        <w:t>w</w:t>
      </w:r>
      <w:r w:rsidR="001D088A">
        <w:t>ere</w:t>
      </w:r>
      <w:r>
        <w:t xml:space="preserve"> unlawful the court considered the jurisdictional facts that must be present for an arrest without warrant</w:t>
      </w:r>
      <w:r w:rsidR="00424AEB">
        <w:t xml:space="preserve"> in terms of</w:t>
      </w:r>
      <w:r>
        <w:t xml:space="preserve"> (s 40 (1)(b) of the Criminal Procedure Act</w:t>
      </w:r>
      <w:r>
        <w:rPr>
          <w:rStyle w:val="FootnoteReference"/>
        </w:rPr>
        <w:footnoteReference w:id="1"/>
      </w:r>
      <w:r>
        <w:t xml:space="preserve"> (CPA)</w:t>
      </w:r>
      <w:r w:rsidR="00424AEB">
        <w:t>, which provides that a</w:t>
      </w:r>
      <w:r>
        <w:t>n arrest without a warrant is only permissible where a police officer has a reasonable suspicion that the person so arrested has committed an office listed in Schedule 1. Once these jurisdictional facts are present, the discretion to arrest or not arises.</w:t>
      </w:r>
      <w:r>
        <w:rPr>
          <w:rStyle w:val="FootnoteReference"/>
        </w:rPr>
        <w:footnoteReference w:id="2"/>
      </w:r>
      <w:r>
        <w:t xml:space="preserve"> The court accepted </w:t>
      </w:r>
      <w:r w:rsidR="00424AEB">
        <w:t>the Constable</w:t>
      </w:r>
      <w:r>
        <w:t xml:space="preserve">’s evidence that she did not carry out the arrest, but rather </w:t>
      </w:r>
      <w:r w:rsidR="00424AEB">
        <w:t>the Sergeant</w:t>
      </w:r>
      <w:r>
        <w:t xml:space="preserve">, in the presence of other police officials. This he did on the instructions of </w:t>
      </w:r>
      <w:bookmarkStart w:id="3" w:name="_Hlk149034583"/>
      <w:r w:rsidR="00424AEB">
        <w:t xml:space="preserve">the </w:t>
      </w:r>
      <w:proofErr w:type="gramStart"/>
      <w:r>
        <w:t>Captain</w:t>
      </w:r>
      <w:bookmarkEnd w:id="3"/>
      <w:proofErr w:type="gramEnd"/>
      <w:r>
        <w:t>. Accordingly, the court found, it was</w:t>
      </w:r>
      <w:r w:rsidR="00424AEB">
        <w:t xml:space="preserve"> the </w:t>
      </w:r>
      <w:proofErr w:type="gramStart"/>
      <w:r w:rsidR="00424AEB">
        <w:t>Captain</w:t>
      </w:r>
      <w:proofErr w:type="gramEnd"/>
      <w:r>
        <w:t xml:space="preserve"> who carried out the arrest and it was he, who must harbour the reasonable suspicion. Neither </w:t>
      </w:r>
      <w:r w:rsidR="00424AEB">
        <w:t>the Sergeant</w:t>
      </w:r>
      <w:r>
        <w:t xml:space="preserve"> nor</w:t>
      </w:r>
      <w:r w:rsidR="00597813">
        <w:t xml:space="preserve"> the</w:t>
      </w:r>
      <w:r>
        <w:t xml:space="preserve"> </w:t>
      </w:r>
      <w:proofErr w:type="gramStart"/>
      <w:r w:rsidRPr="00702008">
        <w:t>Captain</w:t>
      </w:r>
      <w:proofErr w:type="gramEnd"/>
      <w:r w:rsidR="00597813">
        <w:t xml:space="preserve"> testified. </w:t>
      </w:r>
      <w:r>
        <w:t xml:space="preserve">Therefore, </w:t>
      </w:r>
      <w:r w:rsidR="00424AEB">
        <w:t xml:space="preserve">the </w:t>
      </w:r>
      <w:r w:rsidRPr="00702008">
        <w:t>Captain</w:t>
      </w:r>
      <w:r>
        <w:t xml:space="preserve">’s true state of mind and what suspicion he harboured remained unknown. </w:t>
      </w:r>
    </w:p>
    <w:p w14:paraId="54D8517F" w14:textId="77777777" w:rsidR="003C2880" w:rsidRDefault="003C2880" w:rsidP="003C2880">
      <w:pPr>
        <w:pStyle w:val="JudgmentNumbered"/>
        <w:numPr>
          <w:ilvl w:val="0"/>
          <w:numId w:val="0"/>
        </w:numPr>
        <w:spacing w:after="0"/>
      </w:pPr>
    </w:p>
    <w:p w14:paraId="09BB544D" w14:textId="77777777" w:rsidR="00CF781E" w:rsidRDefault="00424AEB" w:rsidP="00B7504F">
      <w:pPr>
        <w:pStyle w:val="JudgmentNumbered"/>
        <w:numPr>
          <w:ilvl w:val="0"/>
          <w:numId w:val="0"/>
        </w:numPr>
        <w:spacing w:after="0"/>
      </w:pPr>
      <w:r>
        <w:t>[14]</w:t>
      </w:r>
      <w:r>
        <w:tab/>
      </w:r>
      <w:r w:rsidR="00CF781E">
        <w:t xml:space="preserve">Even </w:t>
      </w:r>
      <w:r w:rsidR="00191F3A">
        <w:t xml:space="preserve">the </w:t>
      </w:r>
      <w:r w:rsidR="00CF781E" w:rsidRPr="00BF204B">
        <w:t xml:space="preserve">Captain </w:t>
      </w:r>
      <w:r w:rsidR="00CF781E">
        <w:t xml:space="preserve">harboured a suspicion based on the information about the vehicle the </w:t>
      </w:r>
      <w:r w:rsidR="00191F3A">
        <w:t>respondent</w:t>
      </w:r>
      <w:r w:rsidR="00CF781E">
        <w:t xml:space="preserve"> was driving (a green Honda), it must be shown that such suspicion was reasonable. Relying on </w:t>
      </w:r>
      <w:r w:rsidR="00CF781E" w:rsidRPr="00783968">
        <w:rPr>
          <w:i/>
          <w:iCs/>
        </w:rPr>
        <w:t>Barnard v Minister of Police and Another</w:t>
      </w:r>
      <w:r w:rsidR="00CF781E">
        <w:rPr>
          <w:i/>
          <w:iCs/>
        </w:rPr>
        <w:t>,</w:t>
      </w:r>
      <w:r w:rsidR="00CF781E">
        <w:rPr>
          <w:rStyle w:val="FootnoteReference"/>
        </w:rPr>
        <w:footnoteReference w:id="3"/>
      </w:r>
      <w:r w:rsidR="00CF781E">
        <w:rPr>
          <w:i/>
          <w:iCs/>
        </w:rPr>
        <w:t xml:space="preserve"> </w:t>
      </w:r>
      <w:r w:rsidR="00CF781E">
        <w:t>the court found</w:t>
      </w:r>
      <w:r w:rsidR="00191F3A">
        <w:t xml:space="preserve"> that the</w:t>
      </w:r>
      <w:r w:rsidR="00CF781E">
        <w:t xml:space="preserve"> </w:t>
      </w:r>
      <w:proofErr w:type="gramStart"/>
      <w:r w:rsidR="00CF781E">
        <w:t>Captain</w:t>
      </w:r>
      <w:proofErr w:type="gramEnd"/>
      <w:r w:rsidR="00CF781E">
        <w:t xml:space="preserve"> did not investigate exculpatory statements offered by the </w:t>
      </w:r>
      <w:r w:rsidR="00CF781E">
        <w:lastRenderedPageBreak/>
        <w:t xml:space="preserve">suspect (the </w:t>
      </w:r>
      <w:r w:rsidR="00287047">
        <w:t>respondent</w:t>
      </w:r>
      <w:r w:rsidR="00CF781E">
        <w:t xml:space="preserve">) before he formed a reasonable suspicion for purposes of a lawful arrest. The evidence was that at the time of arrest, he was asked if he was Shakes, he answered in the affirmative and then he was told he </w:t>
      </w:r>
      <w:r w:rsidR="00597813">
        <w:t xml:space="preserve">is </w:t>
      </w:r>
      <w:r w:rsidR="00CF781E">
        <w:t xml:space="preserve">under arrest for business robbery. He explained </w:t>
      </w:r>
      <w:r w:rsidR="00DF6141">
        <w:t xml:space="preserve">that </w:t>
      </w:r>
      <w:r w:rsidR="00CF781E">
        <w:t xml:space="preserve">he knew nothing about a robbery. All information the police obtained, information the court assumed was also available to </w:t>
      </w:r>
      <w:bookmarkStart w:id="4" w:name="_Hlk149038349"/>
      <w:r w:rsidR="00287047">
        <w:t xml:space="preserve">the </w:t>
      </w:r>
      <w:bookmarkEnd w:id="4"/>
      <w:proofErr w:type="gramStart"/>
      <w:r w:rsidR="00287047">
        <w:t>Captain</w:t>
      </w:r>
      <w:proofErr w:type="gramEnd"/>
      <w:r w:rsidR="00287047">
        <w:t xml:space="preserve"> was</w:t>
      </w:r>
      <w:r w:rsidR="00CF781E">
        <w:t xml:space="preserve"> received from </w:t>
      </w:r>
      <w:proofErr w:type="spellStart"/>
      <w:r w:rsidR="00CF781E">
        <w:t>Ramoba</w:t>
      </w:r>
      <w:proofErr w:type="spellEnd"/>
      <w:r w:rsidR="00CF781E">
        <w:t xml:space="preserve">. </w:t>
      </w:r>
      <w:r w:rsidR="00CF781E" w:rsidRPr="0068693E">
        <w:rPr>
          <w:color w:val="000000" w:themeColor="text1"/>
        </w:rPr>
        <w:t xml:space="preserve">The statement by </w:t>
      </w:r>
      <w:proofErr w:type="spellStart"/>
      <w:r w:rsidR="00CF781E" w:rsidRPr="0068693E">
        <w:rPr>
          <w:color w:val="000000" w:themeColor="text1"/>
        </w:rPr>
        <w:t>Ramoba</w:t>
      </w:r>
      <w:proofErr w:type="spellEnd"/>
      <w:r w:rsidR="00CF781E" w:rsidRPr="0068693E">
        <w:rPr>
          <w:color w:val="000000" w:themeColor="text1"/>
        </w:rPr>
        <w:t xml:space="preserve"> merely states the </w:t>
      </w:r>
      <w:r w:rsidR="00287047" w:rsidRPr="0068693E">
        <w:rPr>
          <w:color w:val="000000" w:themeColor="text1"/>
        </w:rPr>
        <w:t>respondent was</w:t>
      </w:r>
      <w:r w:rsidR="00CF781E" w:rsidRPr="0068693E">
        <w:rPr>
          <w:color w:val="000000" w:themeColor="text1"/>
        </w:rPr>
        <w:t xml:space="preserve"> contacted for transportation, it does not implicate him in a robbery</w:t>
      </w:r>
      <w:r w:rsidR="00CF781E">
        <w:t>. There was no evidence on how</w:t>
      </w:r>
      <w:r w:rsidR="00287047">
        <w:t xml:space="preserve"> the</w:t>
      </w:r>
      <w:r w:rsidR="00CF781E">
        <w:t xml:space="preserve"> </w:t>
      </w:r>
      <w:proofErr w:type="gramStart"/>
      <w:r w:rsidR="00CF781E" w:rsidRPr="002260BE">
        <w:t>Captain</w:t>
      </w:r>
      <w:proofErr w:type="gramEnd"/>
      <w:r w:rsidR="00CF781E" w:rsidRPr="002260BE">
        <w:t xml:space="preserve"> </w:t>
      </w:r>
      <w:r w:rsidR="00CF781E">
        <w:t>proce</w:t>
      </w:r>
      <w:r w:rsidR="005A5093">
        <w:t xml:space="preserve">ssed </w:t>
      </w:r>
      <w:r w:rsidR="00CF781E">
        <w:t xml:space="preserve">the information. The court found that </w:t>
      </w:r>
      <w:r w:rsidR="00287047">
        <w:t>the respondent was</w:t>
      </w:r>
      <w:r w:rsidR="00CF781E">
        <w:t xml:space="preserve"> not questioned, and his exculpatory explanation was not investigated, even in a cursory </w:t>
      </w:r>
      <w:r w:rsidR="00597813">
        <w:t>manner, he</w:t>
      </w:r>
      <w:r w:rsidR="00CF781E">
        <w:t xml:space="preserve"> was simply arrested. In the</w:t>
      </w:r>
      <w:r w:rsidR="00597813">
        <w:t>se</w:t>
      </w:r>
      <w:r w:rsidR="00CF781E">
        <w:t xml:space="preserve"> circumstances, the court </w:t>
      </w:r>
      <w:r w:rsidR="00CF781E" w:rsidRPr="00895CE8">
        <w:rPr>
          <w:i/>
          <w:iCs/>
        </w:rPr>
        <w:t>a quo</w:t>
      </w:r>
      <w:r w:rsidR="00CF781E">
        <w:t xml:space="preserve"> held it cannot be said that</w:t>
      </w:r>
      <w:r w:rsidR="00287047">
        <w:t xml:space="preserve"> the</w:t>
      </w:r>
      <w:r w:rsidR="00CF781E">
        <w:t xml:space="preserve"> Captain and </w:t>
      </w:r>
      <w:r w:rsidR="00287047">
        <w:t xml:space="preserve">Sergeant </w:t>
      </w:r>
      <w:r w:rsidR="00CF781E">
        <w:t xml:space="preserve">had sufficient information to form a reasonable suspicion. Accordingly, the </w:t>
      </w:r>
      <w:r w:rsidR="00597813">
        <w:t>appellant</w:t>
      </w:r>
      <w:r w:rsidR="00CF781E">
        <w:t xml:space="preserve"> had failed to show the jurisdictional facts that should be present to effect a lawful arrest </w:t>
      </w:r>
      <w:r w:rsidR="00DF6141">
        <w:t xml:space="preserve">of the </w:t>
      </w:r>
      <w:r w:rsidR="005A5093">
        <w:t xml:space="preserve">respondent </w:t>
      </w:r>
      <w:r w:rsidR="00043E08">
        <w:t>w</w:t>
      </w:r>
      <w:r w:rsidR="005A5093">
        <w:t>ithout</w:t>
      </w:r>
      <w:r w:rsidR="00043E08">
        <w:t xml:space="preserve"> a </w:t>
      </w:r>
      <w:r w:rsidR="00CF781E">
        <w:t>warrant</w:t>
      </w:r>
      <w:r w:rsidR="00DF6141">
        <w:t>.</w:t>
      </w:r>
      <w:r w:rsidR="00CF781E">
        <w:t xml:space="preserve"> </w:t>
      </w:r>
    </w:p>
    <w:p w14:paraId="729DB54F" w14:textId="77777777" w:rsidR="00B7504F" w:rsidRDefault="00B7504F" w:rsidP="00B7504F">
      <w:pPr>
        <w:pStyle w:val="JudgmentNumbered"/>
        <w:numPr>
          <w:ilvl w:val="0"/>
          <w:numId w:val="0"/>
        </w:numPr>
        <w:spacing w:after="0"/>
      </w:pPr>
    </w:p>
    <w:p w14:paraId="27417F67" w14:textId="77777777" w:rsidR="00CF781E" w:rsidRDefault="00287047" w:rsidP="00B7504F">
      <w:pPr>
        <w:pStyle w:val="JudgmentNumbered"/>
        <w:numPr>
          <w:ilvl w:val="0"/>
          <w:numId w:val="0"/>
        </w:numPr>
        <w:spacing w:after="0"/>
      </w:pPr>
      <w:r>
        <w:t>[15]</w:t>
      </w:r>
      <w:r>
        <w:tab/>
      </w:r>
      <w:r w:rsidR="00CF781E">
        <w:t xml:space="preserve">On the </w:t>
      </w:r>
      <w:r w:rsidR="007A0D34">
        <w:t>respondent’s</w:t>
      </w:r>
      <w:r w:rsidR="00CF781E">
        <w:t xml:space="preserve"> detention for a period of 174 days, the court </w:t>
      </w:r>
      <w:r w:rsidR="00CF781E" w:rsidRPr="00EF0B39">
        <w:rPr>
          <w:i/>
          <w:iCs/>
        </w:rPr>
        <w:t>a quo</w:t>
      </w:r>
      <w:r w:rsidR="00CF781E">
        <w:t xml:space="preserve"> had no doubt on the liability of the </w:t>
      </w:r>
      <w:r w:rsidR="00B7504F">
        <w:t>appellant</w:t>
      </w:r>
      <w:r w:rsidR="00CF781E">
        <w:t xml:space="preserve"> for the unlawful detention from 05 May 2012 until 14 May 2012, a period of days. The court found the </w:t>
      </w:r>
      <w:r w:rsidR="007A0D34">
        <w:t>appellant</w:t>
      </w:r>
      <w:r w:rsidR="00CF781E">
        <w:t xml:space="preserve"> liable for the further detention of the </w:t>
      </w:r>
      <w:r w:rsidR="007A0D34">
        <w:t>respondent from</w:t>
      </w:r>
      <w:r w:rsidR="00CF781E">
        <w:t xml:space="preserve"> 14 May 2012 until 12 October 2012. Relying on </w:t>
      </w:r>
      <w:r w:rsidR="00CF781E" w:rsidRPr="009E1318">
        <w:rPr>
          <w:i/>
          <w:iCs/>
        </w:rPr>
        <w:t>De Klerk v Minister of Police</w:t>
      </w:r>
      <w:r w:rsidR="00CF781E">
        <w:rPr>
          <w:rStyle w:val="FootnoteReference"/>
        </w:rPr>
        <w:footnoteReference w:id="4"/>
      </w:r>
      <w:r w:rsidR="00CF781E">
        <w:t xml:space="preserve"> where the majority of the Constitutional Court held</w:t>
      </w:r>
      <w:r w:rsidR="005A5093">
        <w:t xml:space="preserve"> </w:t>
      </w:r>
      <w:r w:rsidR="00373589">
        <w:t>that the</w:t>
      </w:r>
      <w:r w:rsidR="00CF781E">
        <w:t xml:space="preserve"> Magistrate concerned should not be exclusively liable for the court-ordered detention after the unlawful arrest, given the original delict by the arresting officer and a subjective foresight of the subsequent detention and the harm associated therewith, the court </w:t>
      </w:r>
      <w:r w:rsidR="00CF781E" w:rsidRPr="00915E7D">
        <w:rPr>
          <w:i/>
          <w:iCs/>
        </w:rPr>
        <w:t>a quo</w:t>
      </w:r>
      <w:r w:rsidR="00CF781E">
        <w:t xml:space="preserve"> held the defendant liable for this period. This was compounded by the fact that </w:t>
      </w:r>
      <w:r w:rsidR="007A0D34">
        <w:t>the Constable</w:t>
      </w:r>
      <w:r w:rsidR="00CF781E">
        <w:t>, despite being the investigating officer, did not acquaint herself with the contents of the docket, nor did she bring it to the attention of the court the outcome of the identification parade. This failure, so found the court, led to the</w:t>
      </w:r>
      <w:r w:rsidR="00597813">
        <w:t xml:space="preserve"> respondent </w:t>
      </w:r>
      <w:r w:rsidR="00CF781E">
        <w:t xml:space="preserve">appearing another 15 times and remaining in custody for nearly 6 months. The court noted the lacklustre approach to the matter by members of the SAPS and their failure to bring essential information to the attention of the prosecutor or court. That the matter </w:t>
      </w:r>
      <w:r w:rsidR="00CF781E">
        <w:lastRenderedPageBreak/>
        <w:t xml:space="preserve">was simply left in the court’s hands, whilst the </w:t>
      </w:r>
      <w:r w:rsidR="00597813">
        <w:t>appellant</w:t>
      </w:r>
      <w:r w:rsidR="00CF781E">
        <w:t>’s employees were aware the matter would be mechanically remanded.</w:t>
      </w:r>
    </w:p>
    <w:p w14:paraId="16C154E2" w14:textId="77777777" w:rsidR="00B7504F" w:rsidRDefault="00B7504F" w:rsidP="00B7504F">
      <w:pPr>
        <w:pStyle w:val="JudgmentNumbered"/>
        <w:numPr>
          <w:ilvl w:val="0"/>
          <w:numId w:val="0"/>
        </w:numPr>
        <w:spacing w:after="0"/>
      </w:pPr>
    </w:p>
    <w:p w14:paraId="11E21A00" w14:textId="77777777" w:rsidR="001E3D3B" w:rsidRDefault="007A0D34" w:rsidP="00B7504F">
      <w:pPr>
        <w:pStyle w:val="JudgmentNumbered"/>
        <w:numPr>
          <w:ilvl w:val="0"/>
          <w:numId w:val="0"/>
        </w:numPr>
        <w:spacing w:after="0"/>
      </w:pPr>
      <w:r>
        <w:t>[16]</w:t>
      </w:r>
      <w:r>
        <w:tab/>
      </w:r>
      <w:r w:rsidR="00CF781E">
        <w:t xml:space="preserve">Having considered the principles enunciated in </w:t>
      </w:r>
      <w:r w:rsidR="00CF781E" w:rsidRPr="00C17555">
        <w:rPr>
          <w:i/>
          <w:iCs/>
        </w:rPr>
        <w:t>Seymour</w:t>
      </w:r>
      <w:r w:rsidR="00CF781E">
        <w:rPr>
          <w:rStyle w:val="FootnoteReference"/>
        </w:rPr>
        <w:footnoteReference w:id="5"/>
      </w:r>
      <w:r w:rsidR="00CF781E">
        <w:t xml:space="preserve"> on the trial judge’s wide discretion to award what it considers to be fair and adequate compensation, the fact that he was awoken at night whilst at home with this family, pointed with a firearm and arrested in their presence, the conditions of the cell he was incarcerated in, and embarking on a comparative study of similar case</w:t>
      </w:r>
      <w:r w:rsidR="00DF6141">
        <w:t xml:space="preserve"> </w:t>
      </w:r>
      <w:r w:rsidR="00CF781E">
        <w:t xml:space="preserve">law, the court awarded the plaintiff </w:t>
      </w:r>
    </w:p>
    <w:p w14:paraId="2A0C38CF" w14:textId="77777777" w:rsidR="00CF781E" w:rsidRDefault="00CF781E" w:rsidP="00B7504F">
      <w:pPr>
        <w:pStyle w:val="JudgmentNumbered"/>
        <w:numPr>
          <w:ilvl w:val="0"/>
          <w:numId w:val="0"/>
        </w:numPr>
        <w:spacing w:after="0"/>
      </w:pPr>
      <w:r>
        <w:t xml:space="preserve">R 400 000.00 plus interest at 15.5% </w:t>
      </w:r>
      <w:r w:rsidR="00891B68">
        <w:t>from</w:t>
      </w:r>
      <w:r w:rsidR="00043E08">
        <w:t xml:space="preserve"> </w:t>
      </w:r>
      <w:r w:rsidR="00891B68">
        <w:rPr>
          <w:szCs w:val="24"/>
        </w:rPr>
        <w:t xml:space="preserve">11 January 2013 being </w:t>
      </w:r>
      <w:r w:rsidR="00043E08">
        <w:t>the</w:t>
      </w:r>
      <w:r>
        <w:t xml:space="preserve"> date of issue of the </w:t>
      </w:r>
      <w:r w:rsidR="00891B68">
        <w:t xml:space="preserve">demand. </w:t>
      </w:r>
    </w:p>
    <w:p w14:paraId="31EC29A1" w14:textId="77777777" w:rsidR="00B7504F" w:rsidRDefault="00B7504F" w:rsidP="00B7504F">
      <w:pPr>
        <w:pStyle w:val="JudgmentNumbered"/>
        <w:numPr>
          <w:ilvl w:val="0"/>
          <w:numId w:val="0"/>
        </w:numPr>
        <w:spacing w:after="0"/>
      </w:pPr>
    </w:p>
    <w:p w14:paraId="4C05C374" w14:textId="77777777" w:rsidR="004A5537" w:rsidRDefault="004A5537" w:rsidP="00B7504F">
      <w:pPr>
        <w:pStyle w:val="JudgmentNumbered"/>
        <w:numPr>
          <w:ilvl w:val="0"/>
          <w:numId w:val="0"/>
        </w:numPr>
        <w:spacing w:after="0"/>
        <w:rPr>
          <w:bCs/>
          <w:u w:val="single"/>
        </w:rPr>
      </w:pPr>
      <w:r w:rsidRPr="00B7504F">
        <w:rPr>
          <w:bCs/>
          <w:u w:val="single"/>
        </w:rPr>
        <w:t xml:space="preserve">Grounds for appeal </w:t>
      </w:r>
    </w:p>
    <w:p w14:paraId="14281B4D" w14:textId="77777777" w:rsidR="006A785D" w:rsidRPr="00B7504F" w:rsidRDefault="006A785D" w:rsidP="00B7504F">
      <w:pPr>
        <w:pStyle w:val="JudgmentNumbered"/>
        <w:numPr>
          <w:ilvl w:val="0"/>
          <w:numId w:val="0"/>
        </w:numPr>
        <w:spacing w:after="0"/>
        <w:rPr>
          <w:bCs/>
          <w:u w:val="single"/>
        </w:rPr>
      </w:pPr>
    </w:p>
    <w:p w14:paraId="61AC0A80" w14:textId="77777777" w:rsidR="000C6C96" w:rsidRDefault="000C6C96" w:rsidP="000C6C96">
      <w:pPr>
        <w:pStyle w:val="JudgmentNumbered"/>
        <w:numPr>
          <w:ilvl w:val="0"/>
          <w:numId w:val="0"/>
        </w:numPr>
        <w:ind w:left="567" w:hanging="567"/>
      </w:pPr>
      <w:r>
        <w:t xml:space="preserve">[17] </w:t>
      </w:r>
      <w:r>
        <w:tab/>
        <w:t xml:space="preserve">The appellant alleges the court </w:t>
      </w:r>
      <w:r w:rsidRPr="007A73AA">
        <w:rPr>
          <w:i/>
          <w:iCs/>
        </w:rPr>
        <w:t>a quo</w:t>
      </w:r>
      <w:r>
        <w:t xml:space="preserve"> misdirected itself in several aspects and raises these grounds of appeal:</w:t>
      </w:r>
    </w:p>
    <w:p w14:paraId="201BACD0" w14:textId="20ADA0B6" w:rsidR="000C6C96" w:rsidRDefault="00036852" w:rsidP="00036852">
      <w:pPr>
        <w:pStyle w:val="JudgmentNumbered"/>
        <w:numPr>
          <w:ilvl w:val="0"/>
          <w:numId w:val="0"/>
        </w:numPr>
        <w:ind w:left="1035" w:hanging="468"/>
      </w:pPr>
      <w:r>
        <w:t>17.1</w:t>
      </w:r>
      <w:r>
        <w:tab/>
      </w:r>
      <w:r w:rsidR="000C6C96">
        <w:t xml:space="preserve"> That the Magistrate misdirected himself </w:t>
      </w:r>
      <w:bookmarkStart w:id="5" w:name="_Hlk148987888"/>
      <w:r w:rsidR="000C6C96">
        <w:t xml:space="preserve">or made an error in law when </w:t>
      </w:r>
      <w:r w:rsidR="00A97E24">
        <w:t xml:space="preserve">he </w:t>
      </w:r>
      <w:r w:rsidR="000C6C96">
        <w:t xml:space="preserve">found </w:t>
      </w:r>
      <w:bookmarkEnd w:id="5"/>
      <w:r w:rsidR="00A97E24">
        <w:t xml:space="preserve">that </w:t>
      </w:r>
      <w:r w:rsidR="000C6C96">
        <w:t xml:space="preserve">the evidence of the Constable was inadmissible hearsay – that no evidence was shown that the </w:t>
      </w:r>
      <w:r w:rsidR="00597813">
        <w:t xml:space="preserve">respondent </w:t>
      </w:r>
      <w:r w:rsidR="000C6C96">
        <w:t>was either directly or indirectly implicated in the robbery that occurred at McDonald’s.</w:t>
      </w:r>
    </w:p>
    <w:p w14:paraId="60C17902" w14:textId="68E47D73" w:rsidR="000C6C96" w:rsidRDefault="00036852" w:rsidP="00036852">
      <w:pPr>
        <w:pStyle w:val="JudgmentNumbered"/>
        <w:numPr>
          <w:ilvl w:val="0"/>
          <w:numId w:val="0"/>
        </w:numPr>
        <w:ind w:left="1035" w:hanging="468"/>
      </w:pPr>
      <w:r>
        <w:t>17.2</w:t>
      </w:r>
      <w:proofErr w:type="gramStart"/>
      <w:r>
        <w:tab/>
      </w:r>
      <w:r w:rsidR="00F764E5">
        <w:t xml:space="preserve"> </w:t>
      </w:r>
      <w:r w:rsidR="000C6C96">
        <w:t xml:space="preserve"> That</w:t>
      </w:r>
      <w:proofErr w:type="gramEnd"/>
      <w:r w:rsidR="000C6C96">
        <w:t xml:space="preserve"> he misdirected himself </w:t>
      </w:r>
      <w:r w:rsidR="000C6C96" w:rsidRPr="007A73AA">
        <w:t>or made an error in law when</w:t>
      </w:r>
      <w:r w:rsidR="000C6C96">
        <w:t xml:space="preserve"> he</w:t>
      </w:r>
      <w:r w:rsidR="000C6C96" w:rsidRPr="007A73AA">
        <w:t xml:space="preserve"> found </w:t>
      </w:r>
      <w:r w:rsidR="000C6C96">
        <w:t xml:space="preserve">that </w:t>
      </w:r>
      <w:r w:rsidR="00597813">
        <w:t>the arrest</w:t>
      </w:r>
      <w:r w:rsidR="000C6C96">
        <w:t xml:space="preserve"> was effected on the command of the Captain, though the physical part of the arrest was carried out by the Sergeant. </w:t>
      </w:r>
      <w:r w:rsidR="000C6C96" w:rsidRPr="0015231E">
        <w:t>Accordingly, that it was</w:t>
      </w:r>
      <w:r w:rsidR="000C6C96">
        <w:t xml:space="preserve"> the </w:t>
      </w:r>
      <w:proofErr w:type="gramStart"/>
      <w:r w:rsidR="000C6C96" w:rsidRPr="0015231E">
        <w:t>Captain</w:t>
      </w:r>
      <w:proofErr w:type="gramEnd"/>
      <w:r w:rsidR="000C6C96" w:rsidRPr="0015231E">
        <w:t xml:space="preserve"> who carried out the arrest</w:t>
      </w:r>
      <w:r w:rsidR="000C6C96">
        <w:t xml:space="preserve">. </w:t>
      </w:r>
    </w:p>
    <w:p w14:paraId="794C2C92" w14:textId="00200ECD" w:rsidR="000C6C96" w:rsidRDefault="00036852" w:rsidP="00036852">
      <w:pPr>
        <w:pStyle w:val="JudgmentNumbered"/>
        <w:numPr>
          <w:ilvl w:val="0"/>
          <w:numId w:val="0"/>
        </w:numPr>
        <w:ind w:left="1035" w:hanging="468"/>
      </w:pPr>
      <w:r>
        <w:t>17.3</w:t>
      </w:r>
      <w:r>
        <w:tab/>
      </w:r>
      <w:r w:rsidR="00F764E5">
        <w:t xml:space="preserve"> </w:t>
      </w:r>
      <w:r w:rsidR="000C6C96">
        <w:t xml:space="preserve">That </w:t>
      </w:r>
      <w:bookmarkStart w:id="6" w:name="_Hlk148988772"/>
      <w:r w:rsidR="000C6C96">
        <w:t xml:space="preserve">he misdirected himself </w:t>
      </w:r>
      <w:bookmarkEnd w:id="6"/>
      <w:r w:rsidR="000C6C96">
        <w:t>by finding that appellant failed to show the</w:t>
      </w:r>
      <w:r w:rsidR="00597813">
        <w:t xml:space="preserve"> </w:t>
      </w:r>
      <w:r w:rsidR="000C6C96">
        <w:t xml:space="preserve">jurisdictional facts that should be present to effect a lawful arrest. </w:t>
      </w:r>
    </w:p>
    <w:p w14:paraId="7A56DDFD" w14:textId="05754D38" w:rsidR="000C6C96" w:rsidRDefault="00036852" w:rsidP="00036852">
      <w:pPr>
        <w:pStyle w:val="JudgmentNumbered"/>
        <w:numPr>
          <w:ilvl w:val="0"/>
          <w:numId w:val="0"/>
        </w:numPr>
        <w:ind w:left="1035" w:hanging="468"/>
      </w:pPr>
      <w:r>
        <w:lastRenderedPageBreak/>
        <w:t>17.4</w:t>
      </w:r>
      <w:r>
        <w:tab/>
      </w:r>
      <w:r w:rsidR="000C6C96">
        <w:t xml:space="preserve"> That </w:t>
      </w:r>
      <w:r w:rsidR="000C6C96" w:rsidRPr="00327FA0">
        <w:t>he misdirected himself</w:t>
      </w:r>
      <w:r w:rsidR="000C6C96">
        <w:t xml:space="preserve"> </w:t>
      </w:r>
      <w:r w:rsidR="003C2880">
        <w:t xml:space="preserve">when he granted the respondent </w:t>
      </w:r>
      <w:r w:rsidR="000C6C96">
        <w:t>the amount of R 400 000.00 with interest from 11 January 2013 the date the letter of demand was issued.</w:t>
      </w:r>
    </w:p>
    <w:p w14:paraId="718F23F9" w14:textId="4C5F776C" w:rsidR="000C6C96" w:rsidRDefault="00036852" w:rsidP="00036852">
      <w:pPr>
        <w:pStyle w:val="JudgmentNumbered"/>
        <w:numPr>
          <w:ilvl w:val="0"/>
          <w:numId w:val="0"/>
        </w:numPr>
        <w:spacing w:after="0"/>
        <w:ind w:left="1035" w:hanging="468"/>
      </w:pPr>
      <w:r>
        <w:t>17.5</w:t>
      </w:r>
      <w:r>
        <w:tab/>
      </w:r>
      <w:r w:rsidR="000C6C96">
        <w:t xml:space="preserve"> That he misdirected himself when he awarded interest at the rate of 15.5%</w:t>
      </w:r>
      <w:r w:rsidR="008F5CD8">
        <w:t xml:space="preserve"> </w:t>
      </w:r>
      <w:r w:rsidR="000C6C96">
        <w:t>when the current rate is 7.5%</w:t>
      </w:r>
      <w:r w:rsidR="008F5CD8">
        <w:t xml:space="preserve">. </w:t>
      </w:r>
    </w:p>
    <w:p w14:paraId="1B640B69" w14:textId="77777777" w:rsidR="00777AC7" w:rsidRPr="003A351D" w:rsidRDefault="00777AC7" w:rsidP="00B7504F">
      <w:pPr>
        <w:pStyle w:val="NoSpacing"/>
        <w:spacing w:line="360" w:lineRule="auto"/>
        <w:jc w:val="both"/>
        <w:rPr>
          <w:rFonts w:ascii="Arial" w:hAnsi="Arial" w:cs="Arial"/>
          <w:sz w:val="24"/>
          <w:szCs w:val="24"/>
        </w:rPr>
      </w:pPr>
    </w:p>
    <w:p w14:paraId="681669AC" w14:textId="77777777" w:rsidR="00F87CB3" w:rsidRDefault="005A4EA6" w:rsidP="00B7504F">
      <w:pPr>
        <w:tabs>
          <w:tab w:val="right" w:pos="709"/>
        </w:tabs>
        <w:spacing w:after="0" w:line="360" w:lineRule="auto"/>
        <w:jc w:val="both"/>
        <w:rPr>
          <w:rFonts w:ascii="Arial" w:hAnsi="Arial" w:cs="Arial"/>
          <w:b/>
          <w:i/>
          <w:iCs/>
          <w:sz w:val="24"/>
          <w:szCs w:val="24"/>
          <w:lang w:val="en-GB"/>
        </w:rPr>
      </w:pPr>
      <w:r>
        <w:rPr>
          <w:rFonts w:ascii="Arial" w:hAnsi="Arial" w:cs="Arial"/>
          <w:b/>
          <w:i/>
          <w:iCs/>
          <w:sz w:val="24"/>
          <w:szCs w:val="24"/>
          <w:lang w:val="en-GB"/>
        </w:rPr>
        <w:t>I</w:t>
      </w:r>
      <w:r w:rsidR="00430BD6" w:rsidRPr="00F40D22">
        <w:rPr>
          <w:rFonts w:ascii="Arial" w:hAnsi="Arial" w:cs="Arial"/>
          <w:b/>
          <w:i/>
          <w:iCs/>
          <w:sz w:val="24"/>
          <w:szCs w:val="24"/>
          <w:lang w:val="en-GB"/>
        </w:rPr>
        <w:t>ss</w:t>
      </w:r>
      <w:r w:rsidR="00F87CB3">
        <w:rPr>
          <w:rFonts w:ascii="Arial" w:hAnsi="Arial" w:cs="Arial"/>
          <w:b/>
          <w:i/>
          <w:iCs/>
          <w:sz w:val="24"/>
          <w:szCs w:val="24"/>
          <w:lang w:val="en-GB"/>
        </w:rPr>
        <w:t xml:space="preserve">ues for determination </w:t>
      </w:r>
      <w:r w:rsidR="00436A34">
        <w:rPr>
          <w:rFonts w:ascii="Arial" w:hAnsi="Arial" w:cs="Arial"/>
          <w:b/>
          <w:i/>
          <w:iCs/>
          <w:sz w:val="24"/>
          <w:szCs w:val="24"/>
          <w:lang w:val="en-GB"/>
        </w:rPr>
        <w:tab/>
      </w:r>
    </w:p>
    <w:p w14:paraId="3EE0E3F8" w14:textId="77777777" w:rsidR="00776749" w:rsidRDefault="00776749" w:rsidP="00B7504F">
      <w:pPr>
        <w:tabs>
          <w:tab w:val="left" w:pos="709"/>
          <w:tab w:val="right" w:pos="9180"/>
        </w:tabs>
        <w:spacing w:after="0" w:line="360" w:lineRule="auto"/>
        <w:jc w:val="both"/>
        <w:rPr>
          <w:rFonts w:ascii="Arial" w:hAnsi="Arial" w:cs="Arial"/>
          <w:bCs/>
          <w:sz w:val="24"/>
          <w:szCs w:val="24"/>
          <w:lang w:val="en-GB"/>
        </w:rPr>
      </w:pPr>
    </w:p>
    <w:p w14:paraId="54967DEE" w14:textId="77777777" w:rsidR="003704BB" w:rsidRDefault="00436A34" w:rsidP="00F82BD9">
      <w:pPr>
        <w:tabs>
          <w:tab w:val="left" w:pos="567"/>
          <w:tab w:val="right" w:pos="9180"/>
        </w:tabs>
        <w:spacing w:after="0" w:line="360" w:lineRule="auto"/>
        <w:jc w:val="both"/>
        <w:rPr>
          <w:rFonts w:ascii="Arial" w:hAnsi="Arial" w:cs="Arial"/>
          <w:bCs/>
          <w:sz w:val="24"/>
          <w:szCs w:val="24"/>
          <w:lang w:val="en-GB"/>
        </w:rPr>
      </w:pPr>
      <w:r>
        <w:rPr>
          <w:rFonts w:ascii="Arial" w:hAnsi="Arial" w:cs="Arial"/>
          <w:bCs/>
          <w:sz w:val="24"/>
          <w:szCs w:val="24"/>
          <w:lang w:val="en-GB"/>
        </w:rPr>
        <w:t>[</w:t>
      </w:r>
      <w:r w:rsidR="005805EB">
        <w:rPr>
          <w:rFonts w:ascii="Arial" w:hAnsi="Arial" w:cs="Arial"/>
          <w:bCs/>
          <w:sz w:val="24"/>
          <w:szCs w:val="24"/>
          <w:lang w:val="en-GB"/>
        </w:rPr>
        <w:t>1</w:t>
      </w:r>
      <w:r w:rsidR="000C6C96">
        <w:rPr>
          <w:rFonts w:ascii="Arial" w:hAnsi="Arial" w:cs="Arial"/>
          <w:bCs/>
          <w:sz w:val="24"/>
          <w:szCs w:val="24"/>
          <w:lang w:val="en-GB"/>
        </w:rPr>
        <w:t>8</w:t>
      </w:r>
      <w:r>
        <w:rPr>
          <w:rFonts w:ascii="Arial" w:hAnsi="Arial" w:cs="Arial"/>
          <w:bCs/>
          <w:sz w:val="24"/>
          <w:szCs w:val="24"/>
          <w:lang w:val="en-GB"/>
        </w:rPr>
        <w:t>]</w:t>
      </w:r>
      <w:r>
        <w:rPr>
          <w:rFonts w:ascii="Arial" w:hAnsi="Arial" w:cs="Arial"/>
          <w:bCs/>
          <w:sz w:val="24"/>
          <w:szCs w:val="24"/>
          <w:lang w:val="en-GB"/>
        </w:rPr>
        <w:tab/>
      </w:r>
      <w:r w:rsidR="002A233A">
        <w:rPr>
          <w:rFonts w:ascii="Arial" w:hAnsi="Arial" w:cs="Arial"/>
          <w:bCs/>
          <w:sz w:val="24"/>
          <w:szCs w:val="24"/>
          <w:lang w:val="en-GB"/>
        </w:rPr>
        <w:t xml:space="preserve">The issued to be determined in this matter are the </w:t>
      </w:r>
      <w:r w:rsidR="00C873D5">
        <w:rPr>
          <w:rFonts w:ascii="Arial" w:hAnsi="Arial" w:cs="Arial"/>
          <w:bCs/>
          <w:sz w:val="24"/>
          <w:szCs w:val="24"/>
          <w:lang w:val="en-GB"/>
        </w:rPr>
        <w:t>following:</w:t>
      </w:r>
    </w:p>
    <w:p w14:paraId="2C69EF53" w14:textId="77777777" w:rsidR="007A0D34" w:rsidRDefault="000C6C96" w:rsidP="00B7504F">
      <w:pPr>
        <w:tabs>
          <w:tab w:val="left" w:pos="709"/>
          <w:tab w:val="right" w:pos="9180"/>
        </w:tabs>
        <w:spacing w:line="360" w:lineRule="auto"/>
        <w:ind w:left="567"/>
        <w:jc w:val="both"/>
        <w:rPr>
          <w:rFonts w:ascii="Arial" w:hAnsi="Arial" w:cs="Arial"/>
          <w:bCs/>
          <w:sz w:val="24"/>
          <w:szCs w:val="24"/>
          <w:lang w:val="en-GB"/>
        </w:rPr>
      </w:pPr>
      <w:r>
        <w:rPr>
          <w:rFonts w:ascii="Arial" w:hAnsi="Arial" w:cs="Arial"/>
          <w:bCs/>
          <w:sz w:val="24"/>
          <w:szCs w:val="24"/>
          <w:lang w:val="en-GB"/>
        </w:rPr>
        <w:t>18</w:t>
      </w:r>
      <w:r w:rsidR="007A0D34">
        <w:rPr>
          <w:rFonts w:ascii="Arial" w:hAnsi="Arial" w:cs="Arial"/>
          <w:bCs/>
          <w:sz w:val="24"/>
          <w:szCs w:val="24"/>
          <w:lang w:val="en-GB"/>
        </w:rPr>
        <w:t xml:space="preserve">.1 Whether the evidence </w:t>
      </w:r>
      <w:r w:rsidR="00A97E24">
        <w:rPr>
          <w:rFonts w:ascii="Arial" w:hAnsi="Arial" w:cs="Arial"/>
          <w:bCs/>
          <w:sz w:val="24"/>
          <w:szCs w:val="24"/>
          <w:lang w:val="en-GB"/>
        </w:rPr>
        <w:t xml:space="preserve">led </w:t>
      </w:r>
      <w:r w:rsidR="007A0D34">
        <w:rPr>
          <w:rFonts w:ascii="Arial" w:hAnsi="Arial" w:cs="Arial"/>
          <w:bCs/>
          <w:sz w:val="24"/>
          <w:szCs w:val="24"/>
          <w:lang w:val="en-GB"/>
        </w:rPr>
        <w:t xml:space="preserve">by the Constable </w:t>
      </w:r>
      <w:r w:rsidR="00A97E24">
        <w:rPr>
          <w:rFonts w:ascii="Arial" w:hAnsi="Arial" w:cs="Arial"/>
          <w:bCs/>
          <w:sz w:val="24"/>
          <w:szCs w:val="24"/>
          <w:lang w:val="en-GB"/>
        </w:rPr>
        <w:t xml:space="preserve">before the </w:t>
      </w:r>
      <w:r w:rsidR="007A0D34">
        <w:rPr>
          <w:rFonts w:ascii="Arial" w:hAnsi="Arial" w:cs="Arial"/>
          <w:bCs/>
          <w:sz w:val="24"/>
          <w:szCs w:val="24"/>
          <w:lang w:val="en-GB"/>
        </w:rPr>
        <w:t xml:space="preserve">court </w:t>
      </w:r>
      <w:r w:rsidR="007A0D34" w:rsidRPr="0004556D">
        <w:rPr>
          <w:rFonts w:ascii="Arial" w:hAnsi="Arial" w:cs="Arial"/>
          <w:bCs/>
          <w:i/>
          <w:iCs/>
          <w:sz w:val="24"/>
          <w:szCs w:val="24"/>
          <w:lang w:val="en-GB"/>
        </w:rPr>
        <w:t>a</w:t>
      </w:r>
      <w:r w:rsidR="0004556D" w:rsidRPr="0004556D">
        <w:rPr>
          <w:rFonts w:ascii="Arial" w:hAnsi="Arial" w:cs="Arial"/>
          <w:bCs/>
          <w:i/>
          <w:iCs/>
          <w:sz w:val="24"/>
          <w:szCs w:val="24"/>
          <w:lang w:val="en-GB"/>
        </w:rPr>
        <w:t xml:space="preserve"> </w:t>
      </w:r>
      <w:r w:rsidR="007A0D34" w:rsidRPr="0004556D">
        <w:rPr>
          <w:rFonts w:ascii="Arial" w:hAnsi="Arial" w:cs="Arial"/>
          <w:bCs/>
          <w:i/>
          <w:iCs/>
          <w:sz w:val="24"/>
          <w:szCs w:val="24"/>
          <w:lang w:val="en-GB"/>
        </w:rPr>
        <w:t xml:space="preserve">quo </w:t>
      </w:r>
      <w:r w:rsidR="00A97E24">
        <w:rPr>
          <w:rFonts w:ascii="Arial" w:hAnsi="Arial" w:cs="Arial"/>
          <w:bCs/>
          <w:sz w:val="24"/>
          <w:szCs w:val="24"/>
          <w:lang w:val="en-GB"/>
        </w:rPr>
        <w:t>regarding the</w:t>
      </w:r>
      <w:r w:rsidR="007A0D34">
        <w:rPr>
          <w:rFonts w:ascii="Arial" w:hAnsi="Arial" w:cs="Arial"/>
          <w:bCs/>
          <w:sz w:val="24"/>
          <w:szCs w:val="24"/>
          <w:lang w:val="en-GB"/>
        </w:rPr>
        <w:t xml:space="preserve"> unlawful arrest and detention was hearsay?</w:t>
      </w:r>
    </w:p>
    <w:p w14:paraId="770F1126" w14:textId="77777777" w:rsidR="000C6C96" w:rsidRDefault="000C6C96" w:rsidP="00B7504F">
      <w:pPr>
        <w:tabs>
          <w:tab w:val="left" w:pos="709"/>
          <w:tab w:val="right" w:pos="9180"/>
        </w:tabs>
        <w:spacing w:line="360" w:lineRule="auto"/>
        <w:ind w:left="567"/>
        <w:jc w:val="both"/>
        <w:rPr>
          <w:rFonts w:ascii="Arial" w:hAnsi="Arial" w:cs="Arial"/>
          <w:bCs/>
          <w:sz w:val="24"/>
          <w:szCs w:val="24"/>
          <w:lang w:val="en-GB"/>
        </w:rPr>
      </w:pPr>
      <w:r>
        <w:rPr>
          <w:rFonts w:ascii="Arial" w:hAnsi="Arial" w:cs="Arial"/>
          <w:bCs/>
          <w:sz w:val="24"/>
          <w:szCs w:val="24"/>
          <w:lang w:val="en-GB"/>
        </w:rPr>
        <w:t>18.2 Whether the jurisdictional requirements of a lawful arrest and detention without warrant were met?</w:t>
      </w:r>
    </w:p>
    <w:p w14:paraId="1811E262" w14:textId="77777777" w:rsidR="00164C64" w:rsidRDefault="000C6C96" w:rsidP="00B7504F">
      <w:pPr>
        <w:tabs>
          <w:tab w:val="left" w:pos="709"/>
          <w:tab w:val="right" w:pos="9180"/>
        </w:tabs>
        <w:spacing w:line="360" w:lineRule="auto"/>
        <w:ind w:left="567"/>
        <w:jc w:val="both"/>
        <w:rPr>
          <w:rFonts w:ascii="Arial" w:hAnsi="Arial" w:cs="Arial"/>
          <w:bCs/>
          <w:sz w:val="24"/>
          <w:szCs w:val="24"/>
          <w:lang w:val="en-GB"/>
        </w:rPr>
      </w:pPr>
      <w:r>
        <w:rPr>
          <w:rFonts w:ascii="Arial" w:hAnsi="Arial" w:cs="Arial"/>
          <w:bCs/>
          <w:sz w:val="24"/>
          <w:szCs w:val="24"/>
          <w:lang w:val="en-GB"/>
        </w:rPr>
        <w:t xml:space="preserve">18.3 Whether </w:t>
      </w:r>
      <w:r w:rsidR="00164C64">
        <w:rPr>
          <w:rFonts w:ascii="Arial" w:hAnsi="Arial" w:cs="Arial"/>
          <w:bCs/>
          <w:sz w:val="24"/>
          <w:szCs w:val="24"/>
          <w:lang w:val="en-GB"/>
        </w:rPr>
        <w:t>the claim amount granted with interest is payable as at the date of letter of demand or at the date of the judgement</w:t>
      </w:r>
      <w:r w:rsidR="00597813">
        <w:rPr>
          <w:rFonts w:ascii="Arial" w:hAnsi="Arial" w:cs="Arial"/>
          <w:bCs/>
          <w:sz w:val="24"/>
          <w:szCs w:val="24"/>
          <w:lang w:val="en-GB"/>
        </w:rPr>
        <w:t>?</w:t>
      </w:r>
    </w:p>
    <w:p w14:paraId="01267B95" w14:textId="77777777" w:rsidR="000C6C96" w:rsidRDefault="00164C64" w:rsidP="00B7504F">
      <w:pPr>
        <w:tabs>
          <w:tab w:val="left" w:pos="709"/>
          <w:tab w:val="right" w:pos="9180"/>
        </w:tabs>
        <w:spacing w:line="360" w:lineRule="auto"/>
        <w:ind w:left="567"/>
        <w:jc w:val="both"/>
        <w:rPr>
          <w:rFonts w:ascii="Arial" w:hAnsi="Arial" w:cs="Arial"/>
          <w:bCs/>
          <w:sz w:val="24"/>
          <w:szCs w:val="24"/>
          <w:lang w:val="en-GB"/>
        </w:rPr>
      </w:pPr>
      <w:r>
        <w:rPr>
          <w:rFonts w:ascii="Arial" w:hAnsi="Arial" w:cs="Arial"/>
          <w:bCs/>
          <w:sz w:val="24"/>
          <w:szCs w:val="24"/>
          <w:lang w:val="en-GB"/>
        </w:rPr>
        <w:t>18.4 Whether the awarded interest is at the prescribed rate as gazette</w:t>
      </w:r>
      <w:r w:rsidR="00597813">
        <w:rPr>
          <w:rFonts w:ascii="Arial" w:hAnsi="Arial" w:cs="Arial"/>
          <w:bCs/>
          <w:sz w:val="24"/>
          <w:szCs w:val="24"/>
          <w:lang w:val="en-GB"/>
        </w:rPr>
        <w:t>?</w:t>
      </w:r>
    </w:p>
    <w:p w14:paraId="3C5FBC86" w14:textId="77777777" w:rsidR="00597813" w:rsidRDefault="00597813" w:rsidP="00B7504F">
      <w:pPr>
        <w:tabs>
          <w:tab w:val="left" w:pos="709"/>
          <w:tab w:val="left" w:pos="851"/>
        </w:tabs>
        <w:spacing w:after="0" w:line="360" w:lineRule="auto"/>
        <w:jc w:val="both"/>
        <w:rPr>
          <w:rFonts w:ascii="Arial" w:hAnsi="Arial" w:cs="Arial"/>
          <w:b/>
          <w:i/>
          <w:iCs/>
          <w:sz w:val="24"/>
          <w:szCs w:val="24"/>
          <w:lang w:val="en-GB"/>
        </w:rPr>
      </w:pPr>
    </w:p>
    <w:p w14:paraId="3FD03FC4" w14:textId="77777777" w:rsidR="003C2880" w:rsidRDefault="00777613" w:rsidP="00C24909">
      <w:pPr>
        <w:tabs>
          <w:tab w:val="left" w:pos="6512"/>
          <w:tab w:val="right" w:pos="9180"/>
        </w:tabs>
        <w:spacing w:after="0" w:line="360" w:lineRule="auto"/>
        <w:rPr>
          <w:rFonts w:ascii="Arial" w:hAnsi="Arial" w:cs="Arial"/>
          <w:b/>
          <w:i/>
          <w:iCs/>
          <w:sz w:val="24"/>
          <w:szCs w:val="24"/>
          <w:lang w:val="en-GB"/>
        </w:rPr>
      </w:pPr>
      <w:r w:rsidRPr="00777613">
        <w:rPr>
          <w:rFonts w:ascii="Arial" w:hAnsi="Arial" w:cs="Arial"/>
          <w:b/>
          <w:i/>
          <w:iCs/>
          <w:sz w:val="24"/>
          <w:szCs w:val="24"/>
          <w:lang w:val="en-GB"/>
        </w:rPr>
        <w:t>Law applicable to the facts</w:t>
      </w:r>
    </w:p>
    <w:p w14:paraId="332B1467" w14:textId="77777777" w:rsidR="00776749" w:rsidRDefault="00776749" w:rsidP="00B7504F">
      <w:pPr>
        <w:pStyle w:val="JudgmentNumbered"/>
        <w:numPr>
          <w:ilvl w:val="0"/>
          <w:numId w:val="0"/>
        </w:numPr>
        <w:spacing w:after="0"/>
        <w:rPr>
          <w:shd w:val="clear" w:color="auto" w:fill="FFFFFF"/>
        </w:rPr>
      </w:pPr>
    </w:p>
    <w:p w14:paraId="16BA70DD" w14:textId="77777777" w:rsidR="004A5537" w:rsidRPr="0015231E" w:rsidRDefault="004A5537" w:rsidP="00B7504F">
      <w:pPr>
        <w:pStyle w:val="JudgmentNumbered"/>
        <w:numPr>
          <w:ilvl w:val="0"/>
          <w:numId w:val="0"/>
        </w:numPr>
        <w:spacing w:after="0"/>
        <w:rPr>
          <w:shd w:val="clear" w:color="auto" w:fill="FFFFFF"/>
        </w:rPr>
      </w:pPr>
      <w:r>
        <w:rPr>
          <w:shd w:val="clear" w:color="auto" w:fill="FFFFFF"/>
        </w:rPr>
        <w:t>[19]</w:t>
      </w:r>
      <w:r>
        <w:rPr>
          <w:shd w:val="clear" w:color="auto" w:fill="FFFFFF"/>
        </w:rPr>
        <w:tab/>
      </w:r>
      <w:r w:rsidRPr="0015231E">
        <w:rPr>
          <w:shd w:val="clear" w:color="auto" w:fill="FFFFFF"/>
        </w:rPr>
        <w:t>It is generally accepted that a court of appeal would not be inclined to reject the factual findings of the trial court in the absence of demonstrable and material misdirection by the trial court. The findings of fact by the trial court are presumed to be correct and would only be disregarded if the recorded evidence showed them to be clearly wrong.</w:t>
      </w:r>
      <w:r w:rsidR="00F82BD9" w:rsidRPr="00F82BD9">
        <w:rPr>
          <w:rStyle w:val="FootnoteReference"/>
          <w:shd w:val="clear" w:color="auto" w:fill="FFFFFF"/>
        </w:rPr>
        <w:t xml:space="preserve"> </w:t>
      </w:r>
      <w:r w:rsidR="00F82BD9" w:rsidRPr="0015231E">
        <w:rPr>
          <w:rStyle w:val="FootnoteReference"/>
          <w:shd w:val="clear" w:color="auto" w:fill="FFFFFF"/>
        </w:rPr>
        <w:footnoteReference w:id="6"/>
      </w:r>
      <w:r w:rsidR="00F82BD9" w:rsidRPr="0015231E">
        <w:rPr>
          <w:shd w:val="clear" w:color="auto" w:fill="FFFFFF"/>
        </w:rPr>
        <w:t xml:space="preserve"> </w:t>
      </w:r>
      <w:r w:rsidRPr="0015231E">
        <w:rPr>
          <w:shd w:val="clear" w:color="auto" w:fill="FFFFFF"/>
        </w:rPr>
        <w:t xml:space="preserve"> I have not been able to find any demonstrable errors on the part of the trial court to justify interference with its credibility findings. </w:t>
      </w:r>
    </w:p>
    <w:p w14:paraId="09887FAB" w14:textId="77777777" w:rsidR="00706840" w:rsidRPr="00706840" w:rsidRDefault="00706840" w:rsidP="00B7504F">
      <w:pPr>
        <w:tabs>
          <w:tab w:val="left" w:pos="6512"/>
          <w:tab w:val="right" w:pos="9180"/>
        </w:tabs>
        <w:spacing w:after="0" w:line="360" w:lineRule="auto"/>
        <w:rPr>
          <w:rFonts w:ascii="Arial" w:hAnsi="Arial" w:cs="Arial"/>
          <w:i/>
          <w:iCs/>
          <w:sz w:val="24"/>
          <w:szCs w:val="24"/>
          <w:u w:val="single"/>
          <w:lang w:val="en-GB"/>
        </w:rPr>
      </w:pPr>
    </w:p>
    <w:p w14:paraId="54966B22" w14:textId="77777777" w:rsidR="007A0D34" w:rsidRDefault="004A5537" w:rsidP="00B7504F">
      <w:pPr>
        <w:pStyle w:val="JudgmentNumbered"/>
        <w:numPr>
          <w:ilvl w:val="0"/>
          <w:numId w:val="0"/>
        </w:numPr>
        <w:spacing w:after="0"/>
        <w:rPr>
          <w:lang w:val="en-ZA"/>
        </w:rPr>
      </w:pPr>
      <w:r>
        <w:rPr>
          <w:lang w:val="en-ZA"/>
        </w:rPr>
        <w:lastRenderedPageBreak/>
        <w:t>[20]</w:t>
      </w:r>
      <w:r>
        <w:rPr>
          <w:lang w:val="en-ZA"/>
        </w:rPr>
        <w:tab/>
      </w:r>
      <w:r w:rsidR="007A0D34" w:rsidRPr="00FE6764">
        <w:rPr>
          <w:lang w:val="en-ZA"/>
        </w:rPr>
        <w:t xml:space="preserve">It is </w:t>
      </w:r>
      <w:r w:rsidR="007A0D34">
        <w:rPr>
          <w:lang w:val="en-ZA"/>
        </w:rPr>
        <w:t>trite</w:t>
      </w:r>
      <w:r w:rsidR="007A0D34" w:rsidRPr="00FE6764">
        <w:rPr>
          <w:lang w:val="en-ZA"/>
        </w:rPr>
        <w:t xml:space="preserve"> that an appellate court will not lightly interfere with the decision of a lower court</w:t>
      </w:r>
      <w:r>
        <w:rPr>
          <w:lang w:val="en-ZA"/>
        </w:rPr>
        <w:t xml:space="preserve"> </w:t>
      </w:r>
      <w:r w:rsidR="007A0D34" w:rsidRPr="00FE6764">
        <w:rPr>
          <w:lang w:val="en-ZA"/>
        </w:rPr>
        <w:t>exercising a discretion when determining an issue unless the discretion was not exercised judicially and properly. Put differently, when a lower court exercises a discretion in the true sense, it would ordinarily be inappropriate for an appellate court to interfere unless it is satisfied that this discretion was not exercised judicially, or that it had been influenced by wrong principles or a misdirection of the facts.  To achieve this, the appellate court must investigate whether the discretion was in the true sense or in the loose sens</w:t>
      </w:r>
      <w:r w:rsidR="007A0D34">
        <w:rPr>
          <w:lang w:val="en-ZA"/>
        </w:rPr>
        <w:t>e.</w:t>
      </w:r>
      <w:r w:rsidR="009C3FA6">
        <w:rPr>
          <w:rStyle w:val="FootnoteReference"/>
          <w:lang w:val="en-ZA"/>
        </w:rPr>
        <w:footnoteReference w:id="7"/>
      </w:r>
    </w:p>
    <w:p w14:paraId="2998D10B" w14:textId="77777777" w:rsidR="00933510" w:rsidRDefault="00933510" w:rsidP="009C3FA6">
      <w:pPr>
        <w:pStyle w:val="JudgmentNumbered"/>
        <w:numPr>
          <w:ilvl w:val="0"/>
          <w:numId w:val="0"/>
        </w:numPr>
        <w:spacing w:after="0"/>
        <w:rPr>
          <w:lang w:val="en-ZA"/>
        </w:rPr>
      </w:pPr>
    </w:p>
    <w:p w14:paraId="669856BB" w14:textId="77777777" w:rsidR="00933510" w:rsidRDefault="009C3FA6" w:rsidP="009C3FA6">
      <w:pPr>
        <w:pStyle w:val="JudgmentNumbered"/>
        <w:numPr>
          <w:ilvl w:val="0"/>
          <w:numId w:val="0"/>
        </w:numPr>
        <w:spacing w:after="0"/>
      </w:pPr>
      <w:r>
        <w:t>[21]</w:t>
      </w:r>
      <w:r>
        <w:tab/>
      </w:r>
      <w:r w:rsidR="00933510">
        <w:t xml:space="preserve">In </w:t>
      </w:r>
      <w:proofErr w:type="spellStart"/>
      <w:r w:rsidR="00933510" w:rsidRPr="00D63132">
        <w:rPr>
          <w:i/>
          <w:iCs/>
        </w:rPr>
        <w:t>Trencon</w:t>
      </w:r>
      <w:proofErr w:type="spellEnd"/>
      <w:r w:rsidR="00933510" w:rsidRPr="00D63132">
        <w:rPr>
          <w:i/>
          <w:iCs/>
        </w:rPr>
        <w:t xml:space="preserve"> Construction v Industrial Development Corporation of South Africa Limited and Another</w:t>
      </w:r>
      <w:r w:rsidR="00933510">
        <w:rPr>
          <w:rStyle w:val="FootnoteReference"/>
        </w:rPr>
        <w:footnoteReference w:id="8"/>
      </w:r>
      <w:r w:rsidR="00933510">
        <w:t xml:space="preserve"> the court, dealing with the issue of the court exercising a discretion stated the following:</w:t>
      </w:r>
    </w:p>
    <w:p w14:paraId="7D442590" w14:textId="77777777" w:rsidR="003C2880" w:rsidRDefault="003C2880" w:rsidP="009C3FA6">
      <w:pPr>
        <w:pStyle w:val="JudgmentNumbered"/>
        <w:numPr>
          <w:ilvl w:val="0"/>
          <w:numId w:val="0"/>
        </w:numPr>
        <w:spacing w:after="0"/>
      </w:pPr>
    </w:p>
    <w:p w14:paraId="3A61F927" w14:textId="77777777" w:rsidR="00933510" w:rsidRPr="009C3FA6" w:rsidRDefault="00933510" w:rsidP="00933510">
      <w:pPr>
        <w:pStyle w:val="JudgmentNumbered"/>
        <w:numPr>
          <w:ilvl w:val="0"/>
          <w:numId w:val="0"/>
        </w:numPr>
        <w:spacing w:after="0"/>
        <w:ind w:left="873"/>
        <w:rPr>
          <w:i/>
          <w:iCs/>
          <w:sz w:val="22"/>
        </w:rPr>
      </w:pPr>
      <w:r w:rsidRPr="009C3FA6">
        <w:rPr>
          <w:i/>
          <w:iCs/>
          <w:sz w:val="22"/>
        </w:rPr>
        <w:t xml:space="preserve">“[85] A discretion in the true sense is found where the lower court has a wide range of equally permissible options available to it. This type of discretion has been found by this Court in many instances, including matters of costs, damages and in the award of a remedy in terms of section 35 of their Restitution of Land Rights Act. It is “true” in that the lower court has an election of which option it will </w:t>
      </w:r>
      <w:proofErr w:type="gramStart"/>
      <w:r w:rsidRPr="009C3FA6">
        <w:rPr>
          <w:i/>
          <w:iCs/>
          <w:sz w:val="22"/>
        </w:rPr>
        <w:t>apply</w:t>
      </w:r>
      <w:proofErr w:type="gramEnd"/>
      <w:r w:rsidRPr="009C3FA6">
        <w:rPr>
          <w:i/>
          <w:iCs/>
          <w:sz w:val="22"/>
        </w:rPr>
        <w:t xml:space="preserve"> and any option can never be said to be wrong as each is entirely permissible.</w:t>
      </w:r>
    </w:p>
    <w:p w14:paraId="5BA0201D" w14:textId="77777777" w:rsidR="00933510" w:rsidRPr="009C3FA6" w:rsidRDefault="00933510" w:rsidP="00933510">
      <w:pPr>
        <w:pStyle w:val="JudgmentNumbered"/>
        <w:numPr>
          <w:ilvl w:val="0"/>
          <w:numId w:val="0"/>
        </w:numPr>
        <w:spacing w:after="0"/>
        <w:ind w:left="851"/>
        <w:rPr>
          <w:i/>
          <w:iCs/>
          <w:sz w:val="22"/>
        </w:rPr>
      </w:pPr>
      <w:r w:rsidRPr="009C3FA6">
        <w:rPr>
          <w:i/>
          <w:iCs/>
          <w:sz w:val="22"/>
        </w:rPr>
        <w:t>[86] In contrast, where a court has a discretion in the loose sense, it does not necessarily have a choice between equally permissible options. Instead, as described in Knox, a discretion in the loose sense-</w:t>
      </w:r>
    </w:p>
    <w:p w14:paraId="28FCD54C" w14:textId="77777777" w:rsidR="00933510" w:rsidRPr="009C3FA6" w:rsidRDefault="00933510" w:rsidP="00933510">
      <w:pPr>
        <w:pStyle w:val="JudgmentNumbered"/>
        <w:numPr>
          <w:ilvl w:val="0"/>
          <w:numId w:val="0"/>
        </w:numPr>
        <w:spacing w:after="0"/>
        <w:ind w:left="1440"/>
        <w:rPr>
          <w:i/>
          <w:iCs/>
          <w:sz w:val="22"/>
        </w:rPr>
      </w:pPr>
      <w:r w:rsidRPr="009C3FA6">
        <w:rPr>
          <w:i/>
          <w:iCs/>
          <w:sz w:val="22"/>
        </w:rPr>
        <w:t>‘</w:t>
      </w:r>
      <w:proofErr w:type="gramStart"/>
      <w:r w:rsidRPr="009C3FA6">
        <w:rPr>
          <w:i/>
          <w:iCs/>
          <w:sz w:val="20"/>
          <w:szCs w:val="20"/>
        </w:rPr>
        <w:t>means</w:t>
      </w:r>
      <w:proofErr w:type="gramEnd"/>
      <w:r w:rsidRPr="009C3FA6">
        <w:rPr>
          <w:i/>
          <w:iCs/>
          <w:sz w:val="20"/>
          <w:szCs w:val="20"/>
        </w:rPr>
        <w:t xml:space="preserve"> no more than that the court is entitled to have regard to a number of disparate and incommensurable features in coming to a decision.</w:t>
      </w:r>
      <w:r w:rsidRPr="009C3FA6">
        <w:rPr>
          <w:i/>
          <w:iCs/>
          <w:sz w:val="22"/>
        </w:rPr>
        <w:t>’</w:t>
      </w:r>
    </w:p>
    <w:p w14:paraId="068F9982" w14:textId="77777777" w:rsidR="00164C64" w:rsidRPr="00D24499" w:rsidRDefault="00933510" w:rsidP="00D24499">
      <w:pPr>
        <w:pStyle w:val="JudgmentNumbered"/>
        <w:numPr>
          <w:ilvl w:val="0"/>
          <w:numId w:val="0"/>
        </w:numPr>
        <w:spacing w:after="0"/>
        <w:ind w:left="851"/>
        <w:rPr>
          <w:i/>
          <w:iCs/>
          <w:sz w:val="22"/>
        </w:rPr>
      </w:pPr>
      <w:r w:rsidRPr="009C3FA6">
        <w:rPr>
          <w:i/>
          <w:iCs/>
          <w:sz w:val="22"/>
        </w:rPr>
        <w:t>[87] This court has, on many occasions, accepted and applied the principles enunciated in Knox and Media Workers Association. An appellate court must heed the standard of interference applicable to either of the discretions. In the instance of a discretion in the loose sense, an appellate court is equally capable of determining that matter in the same manner as the court of first instance and can therefore substitute its own exercise of the discretion without first having to find that the court</w:t>
      </w:r>
      <w:r w:rsidRPr="00154288">
        <w:rPr>
          <w:sz w:val="22"/>
        </w:rPr>
        <w:t xml:space="preserve"> </w:t>
      </w:r>
      <w:r w:rsidRPr="009C3FA6">
        <w:rPr>
          <w:i/>
          <w:iCs/>
          <w:sz w:val="22"/>
        </w:rPr>
        <w:t xml:space="preserve">of first instance did not act judicially. However, even where a discretion in the loose sense is </w:t>
      </w:r>
      <w:r w:rsidRPr="009C3FA6">
        <w:rPr>
          <w:i/>
          <w:iCs/>
          <w:sz w:val="22"/>
        </w:rPr>
        <w:lastRenderedPageBreak/>
        <w:t>conferred on a lower court, an appellate court’s power to interfere may be curtailed by broader policy considerations. Therefore, whenever an appellate court interferes with a discretion in the loose sense, it must be guarded.”</w:t>
      </w:r>
    </w:p>
    <w:p w14:paraId="4E00BBFC" w14:textId="77777777" w:rsidR="00933510" w:rsidRPr="00DD1421" w:rsidRDefault="00933510" w:rsidP="00B7504F">
      <w:pPr>
        <w:pStyle w:val="JudgmentNumbered"/>
        <w:numPr>
          <w:ilvl w:val="0"/>
          <w:numId w:val="0"/>
        </w:numPr>
        <w:spacing w:after="0"/>
        <w:rPr>
          <w:sz w:val="22"/>
        </w:rPr>
      </w:pPr>
    </w:p>
    <w:p w14:paraId="0D388F63" w14:textId="77777777" w:rsidR="00933510" w:rsidRDefault="009C3FA6" w:rsidP="00890FBD">
      <w:pPr>
        <w:pStyle w:val="JudgmentNumbered"/>
        <w:numPr>
          <w:ilvl w:val="0"/>
          <w:numId w:val="0"/>
        </w:numPr>
        <w:spacing w:after="0"/>
        <w:ind w:left="567" w:hanging="567"/>
      </w:pPr>
      <w:r>
        <w:t>[22]</w:t>
      </w:r>
      <w:r>
        <w:tab/>
      </w:r>
      <w:r w:rsidR="00933510">
        <w:t xml:space="preserve">An appellate court’s discretion is therefore restricted. </w:t>
      </w:r>
    </w:p>
    <w:p w14:paraId="4DE17E77" w14:textId="77777777" w:rsidR="001862CD" w:rsidRDefault="001862CD" w:rsidP="00B7504F">
      <w:pPr>
        <w:pStyle w:val="JudgmentNumbered"/>
        <w:numPr>
          <w:ilvl w:val="0"/>
          <w:numId w:val="0"/>
        </w:numPr>
        <w:spacing w:after="0"/>
      </w:pPr>
    </w:p>
    <w:p w14:paraId="5EBD693B" w14:textId="77777777" w:rsidR="006A785D" w:rsidRPr="001862CD" w:rsidRDefault="00890FBD" w:rsidP="006A785D">
      <w:pPr>
        <w:pStyle w:val="JudgmentNumbered"/>
        <w:numPr>
          <w:ilvl w:val="0"/>
          <w:numId w:val="0"/>
        </w:numPr>
        <w:spacing w:after="0"/>
        <w:ind w:left="567" w:hanging="567"/>
        <w:rPr>
          <w:b/>
          <w:bCs/>
          <w:i/>
          <w:iCs/>
        </w:rPr>
      </w:pPr>
      <w:r w:rsidRPr="00890FBD">
        <w:rPr>
          <w:b/>
          <w:bCs/>
          <w:i/>
          <w:iCs/>
        </w:rPr>
        <w:t>Application</w:t>
      </w:r>
    </w:p>
    <w:p w14:paraId="237AD9A5" w14:textId="77777777" w:rsidR="003C2880" w:rsidRDefault="00933510" w:rsidP="00890FBD">
      <w:pPr>
        <w:pStyle w:val="JudgmentNumbered"/>
        <w:numPr>
          <w:ilvl w:val="0"/>
          <w:numId w:val="0"/>
        </w:numPr>
        <w:spacing w:after="0"/>
        <w:rPr>
          <w:szCs w:val="24"/>
          <w:u w:val="single"/>
        </w:rPr>
      </w:pPr>
      <w:r w:rsidRPr="001862CD">
        <w:rPr>
          <w:szCs w:val="24"/>
          <w:u w:val="single"/>
        </w:rPr>
        <w:t xml:space="preserve">First Ground </w:t>
      </w:r>
    </w:p>
    <w:p w14:paraId="3AFC6748" w14:textId="77777777" w:rsidR="006A785D" w:rsidRPr="001862CD" w:rsidRDefault="006A785D" w:rsidP="00890FBD">
      <w:pPr>
        <w:pStyle w:val="JudgmentNumbered"/>
        <w:numPr>
          <w:ilvl w:val="0"/>
          <w:numId w:val="0"/>
        </w:numPr>
        <w:spacing w:after="0"/>
        <w:rPr>
          <w:szCs w:val="24"/>
          <w:u w:val="single"/>
        </w:rPr>
      </w:pPr>
    </w:p>
    <w:p w14:paraId="001314EB" w14:textId="77777777" w:rsidR="00890FBD" w:rsidRDefault="009C3FA6" w:rsidP="001862CD">
      <w:pPr>
        <w:pStyle w:val="JudgmentNumbered"/>
        <w:numPr>
          <w:ilvl w:val="0"/>
          <w:numId w:val="0"/>
        </w:numPr>
        <w:spacing w:after="0"/>
      </w:pPr>
      <w:r>
        <w:t>[23]</w:t>
      </w:r>
      <w:r>
        <w:tab/>
      </w:r>
      <w:r w:rsidR="00933510">
        <w:t xml:space="preserve">The </w:t>
      </w:r>
      <w:r w:rsidR="00273578">
        <w:t>appellant</w:t>
      </w:r>
      <w:r w:rsidR="00933510">
        <w:t xml:space="preserve"> takes issue with the finding by the court </w:t>
      </w:r>
      <w:r w:rsidR="00933510" w:rsidRPr="000904FB">
        <w:rPr>
          <w:i/>
          <w:iCs/>
        </w:rPr>
        <w:t>a quo</w:t>
      </w:r>
      <w:r w:rsidR="00933510">
        <w:t xml:space="preserve"> that the evidence of </w:t>
      </w:r>
      <w:r>
        <w:t>the Constable</w:t>
      </w:r>
      <w:r w:rsidR="00933510">
        <w:t xml:space="preserve"> was inadmissible hearsay evidence. In its heads of argument, the</w:t>
      </w:r>
      <w:r>
        <w:t xml:space="preserve"> appellant</w:t>
      </w:r>
      <w:r w:rsidR="00933510">
        <w:t xml:space="preserve"> goes into detail on the involvement of </w:t>
      </w:r>
      <w:r>
        <w:t>the Constable</w:t>
      </w:r>
      <w:r w:rsidR="00890FBD">
        <w:t xml:space="preserve"> </w:t>
      </w:r>
      <w:r w:rsidR="00933510">
        <w:t>as investigating officer, in the investigation of the robbery and the eventual apprehension of the alleged suspects. Essentially, the</w:t>
      </w:r>
      <w:r w:rsidR="00890FBD">
        <w:t xml:space="preserve"> appellant</w:t>
      </w:r>
      <w:r w:rsidR="00933510">
        <w:t xml:space="preserve"> seeks to show that </w:t>
      </w:r>
      <w:r w:rsidR="00890FBD">
        <w:t xml:space="preserve">Constable </w:t>
      </w:r>
      <w:r w:rsidR="00933510">
        <w:t xml:space="preserve">had deep and intimate knowledge of the matter and all the arrests. It is conceded that though she did not </w:t>
      </w:r>
      <w:proofErr w:type="spellStart"/>
      <w:r w:rsidR="00933510">
        <w:t>effect</w:t>
      </w:r>
      <w:proofErr w:type="spellEnd"/>
      <w:r w:rsidR="00933510">
        <w:t xml:space="preserve"> the physical arrest of the</w:t>
      </w:r>
      <w:r w:rsidR="00890FBD">
        <w:t xml:space="preserve"> respondent,</w:t>
      </w:r>
      <w:r w:rsidR="00933510">
        <w:t xml:space="preserve"> she was present on the day and said arrest was done after the investigation was done. Accordingly, it is submitted he</w:t>
      </w:r>
      <w:r w:rsidR="00D24499">
        <w:t xml:space="preserve">r </w:t>
      </w:r>
      <w:r w:rsidR="00933510">
        <w:t xml:space="preserve">evidence cannot be classified as inadmissible hearsay as she was always involved in the arrest of the </w:t>
      </w:r>
      <w:r w:rsidR="00890FBD">
        <w:t>respondent on</w:t>
      </w:r>
      <w:r w:rsidR="00933510">
        <w:t xml:space="preserve"> the reasonable suspicion that he has committed the offence. </w:t>
      </w:r>
    </w:p>
    <w:p w14:paraId="77163417" w14:textId="77777777" w:rsidR="001862CD" w:rsidRDefault="001862CD" w:rsidP="001862CD">
      <w:pPr>
        <w:pStyle w:val="JudgmentNumbered"/>
        <w:numPr>
          <w:ilvl w:val="0"/>
          <w:numId w:val="0"/>
        </w:numPr>
        <w:spacing w:after="0"/>
      </w:pPr>
    </w:p>
    <w:p w14:paraId="29D94374" w14:textId="77777777" w:rsidR="00933510" w:rsidRDefault="00890FBD" w:rsidP="001862CD">
      <w:pPr>
        <w:pStyle w:val="JudgmentNumbered"/>
        <w:numPr>
          <w:ilvl w:val="0"/>
          <w:numId w:val="0"/>
        </w:numPr>
        <w:spacing w:after="0"/>
      </w:pPr>
      <w:r>
        <w:t>[24]</w:t>
      </w:r>
      <w:r>
        <w:tab/>
      </w:r>
      <w:r w:rsidR="00933510">
        <w:t>The</w:t>
      </w:r>
      <w:r>
        <w:t xml:space="preserve"> </w:t>
      </w:r>
      <w:r w:rsidRPr="0068693E">
        <w:rPr>
          <w:color w:val="000000" w:themeColor="text1"/>
        </w:rPr>
        <w:t>respondent</w:t>
      </w:r>
      <w:r w:rsidRPr="00D24499">
        <w:t xml:space="preserve"> </w:t>
      </w:r>
      <w:r w:rsidR="00933510">
        <w:t xml:space="preserve">contends the court </w:t>
      </w:r>
      <w:r w:rsidR="00933510" w:rsidRPr="00F8327A">
        <w:rPr>
          <w:i/>
          <w:iCs/>
        </w:rPr>
        <w:t>a quo</w:t>
      </w:r>
      <w:r w:rsidR="00933510">
        <w:t xml:space="preserve"> made no misdirection regarding</w:t>
      </w:r>
      <w:r>
        <w:t xml:space="preserve"> the </w:t>
      </w:r>
      <w:r w:rsidR="003C2880">
        <w:rPr>
          <w:color w:val="000000" w:themeColor="text1"/>
        </w:rPr>
        <w:t>C</w:t>
      </w:r>
      <w:r w:rsidRPr="0068693E">
        <w:rPr>
          <w:color w:val="000000" w:themeColor="text1"/>
        </w:rPr>
        <w:t>onstable</w:t>
      </w:r>
      <w:r w:rsidR="00933510" w:rsidRPr="0068693E">
        <w:rPr>
          <w:color w:val="000000" w:themeColor="text1"/>
        </w:rPr>
        <w:t>’s</w:t>
      </w:r>
      <w:r w:rsidR="003C2880">
        <w:rPr>
          <w:color w:val="000000" w:themeColor="text1"/>
        </w:rPr>
        <w:t xml:space="preserve"> S</w:t>
      </w:r>
      <w:r w:rsidR="00D24499" w:rsidRPr="0068693E">
        <w:rPr>
          <w:color w:val="000000" w:themeColor="text1"/>
        </w:rPr>
        <w:t xml:space="preserve">ithole </w:t>
      </w:r>
      <w:r w:rsidR="00933510">
        <w:t xml:space="preserve">evidence. She was not the arresting officer as she was not physically present when the arrest was </w:t>
      </w:r>
      <w:proofErr w:type="gramStart"/>
      <w:r w:rsidR="00933510">
        <w:t>effected</w:t>
      </w:r>
      <w:proofErr w:type="gramEnd"/>
      <w:r w:rsidR="00933510">
        <w:t xml:space="preserve"> and therefore could not testify regarding the jurisdictional requirements set out in s 40 (1)(b) of the CPA. </w:t>
      </w:r>
    </w:p>
    <w:p w14:paraId="0EFD8C64" w14:textId="77777777" w:rsidR="001862CD" w:rsidRDefault="001862CD" w:rsidP="001862CD">
      <w:pPr>
        <w:pStyle w:val="JudgmentNumbered"/>
        <w:numPr>
          <w:ilvl w:val="0"/>
          <w:numId w:val="0"/>
        </w:numPr>
        <w:spacing w:after="0"/>
      </w:pPr>
    </w:p>
    <w:p w14:paraId="2FFF843D" w14:textId="77777777" w:rsidR="00933510" w:rsidRDefault="00EF2356" w:rsidP="001862CD">
      <w:pPr>
        <w:pStyle w:val="JudgmentNumbered"/>
        <w:numPr>
          <w:ilvl w:val="0"/>
          <w:numId w:val="0"/>
        </w:numPr>
        <w:spacing w:after="0"/>
        <w:rPr>
          <w:lang w:val="en-ZA"/>
        </w:rPr>
      </w:pPr>
      <w:r>
        <w:rPr>
          <w:lang w:val="en-ZA"/>
        </w:rPr>
        <w:t>[25]</w:t>
      </w:r>
      <w:r>
        <w:rPr>
          <w:lang w:val="en-ZA"/>
        </w:rPr>
        <w:tab/>
      </w:r>
      <w:r w:rsidR="00933510">
        <w:rPr>
          <w:lang w:val="en-ZA"/>
        </w:rPr>
        <w:t>Hearsay evidence is regulated by s 3 of the Law of Evidence Amendment Act.</w:t>
      </w:r>
      <w:r w:rsidR="00933510">
        <w:rPr>
          <w:rStyle w:val="FootnoteReference"/>
          <w:lang w:val="en-ZA"/>
        </w:rPr>
        <w:footnoteReference w:id="9"/>
      </w:r>
      <w:r w:rsidR="00933510">
        <w:rPr>
          <w:lang w:val="en-ZA"/>
        </w:rPr>
        <w:t xml:space="preserve"> It provides:</w:t>
      </w:r>
    </w:p>
    <w:p w14:paraId="7880DC91" w14:textId="77777777" w:rsidR="00933510" w:rsidRPr="00890FBD" w:rsidRDefault="00933510" w:rsidP="001862CD">
      <w:pPr>
        <w:spacing w:after="0"/>
        <w:rPr>
          <w:rFonts w:ascii="Arial" w:hAnsi="Arial" w:cs="Arial"/>
          <w:i/>
          <w:iCs/>
        </w:rPr>
      </w:pPr>
      <w:r w:rsidRPr="00890FBD">
        <w:rPr>
          <w:rFonts w:ascii="Arial" w:hAnsi="Arial" w:cs="Arial"/>
          <w:i/>
          <w:iCs/>
        </w:rPr>
        <w:t>“3. Hearsay evidence</w:t>
      </w:r>
    </w:p>
    <w:p w14:paraId="029AA0AA" w14:textId="77777777" w:rsidR="00933510" w:rsidRPr="00890FBD" w:rsidRDefault="00933510" w:rsidP="00933510">
      <w:pPr>
        <w:spacing w:after="0"/>
        <w:rPr>
          <w:rFonts w:ascii="Arial" w:hAnsi="Arial" w:cs="Arial"/>
          <w:i/>
          <w:iCs/>
        </w:rPr>
      </w:pPr>
      <w:r w:rsidRPr="00890FBD">
        <w:rPr>
          <w:rFonts w:ascii="Arial" w:hAnsi="Arial" w:cs="Arial"/>
          <w:i/>
          <w:iCs/>
        </w:rPr>
        <w:t>(1) Subject to the provisions of any other law, hearsay evidence shall not be admitted as evidence at criminal or civil proceedings, unless-</w:t>
      </w:r>
    </w:p>
    <w:p w14:paraId="01124226" w14:textId="77777777" w:rsidR="00933510" w:rsidRPr="00890FBD" w:rsidRDefault="00933510" w:rsidP="00933510">
      <w:pPr>
        <w:spacing w:after="0"/>
        <w:ind w:left="720"/>
        <w:rPr>
          <w:rFonts w:ascii="Arial" w:hAnsi="Arial" w:cs="Arial"/>
          <w:i/>
          <w:iCs/>
        </w:rPr>
      </w:pPr>
      <w:r w:rsidRPr="00890FBD">
        <w:rPr>
          <w:rFonts w:ascii="Arial" w:hAnsi="Arial" w:cs="Arial"/>
          <w:i/>
          <w:iCs/>
        </w:rPr>
        <w:lastRenderedPageBreak/>
        <w:t>(a) each party against whom the evidence is to be adduced agrees to the admission thereof as evidence at such proceedings;</w:t>
      </w:r>
    </w:p>
    <w:p w14:paraId="34805B9D" w14:textId="77777777" w:rsidR="00933510" w:rsidRPr="00890FBD" w:rsidRDefault="00933510" w:rsidP="00933510">
      <w:pPr>
        <w:spacing w:after="0"/>
        <w:ind w:left="720"/>
        <w:rPr>
          <w:rFonts w:ascii="Arial" w:hAnsi="Arial" w:cs="Arial"/>
          <w:i/>
          <w:iCs/>
        </w:rPr>
      </w:pPr>
      <w:r w:rsidRPr="00890FBD">
        <w:rPr>
          <w:rFonts w:ascii="Arial" w:hAnsi="Arial" w:cs="Arial"/>
          <w:i/>
          <w:iCs/>
        </w:rPr>
        <w:t>(b) the person upon whose credibility the probative value of such evidence depends, himself testifies at such proceedings; or</w:t>
      </w:r>
    </w:p>
    <w:p w14:paraId="3B475C2A" w14:textId="77777777" w:rsidR="00933510" w:rsidRPr="00890FBD" w:rsidRDefault="00933510" w:rsidP="00933510">
      <w:pPr>
        <w:spacing w:after="0"/>
        <w:ind w:firstLine="720"/>
        <w:rPr>
          <w:rFonts w:ascii="Arial" w:hAnsi="Arial" w:cs="Arial"/>
          <w:i/>
          <w:iCs/>
        </w:rPr>
      </w:pPr>
      <w:r w:rsidRPr="00890FBD">
        <w:rPr>
          <w:rFonts w:ascii="Arial" w:hAnsi="Arial" w:cs="Arial"/>
          <w:i/>
          <w:iCs/>
        </w:rPr>
        <w:t>(c) the court, having regard to-</w:t>
      </w:r>
    </w:p>
    <w:p w14:paraId="3BA77E8D" w14:textId="77777777" w:rsidR="00933510" w:rsidRPr="00890FBD" w:rsidRDefault="00933510" w:rsidP="00933510">
      <w:pPr>
        <w:spacing w:after="0"/>
        <w:ind w:left="720" w:firstLine="720"/>
        <w:rPr>
          <w:rFonts w:ascii="Arial" w:hAnsi="Arial" w:cs="Arial"/>
          <w:i/>
          <w:iCs/>
        </w:rPr>
      </w:pPr>
      <w:r w:rsidRPr="00890FBD">
        <w:rPr>
          <w:rFonts w:ascii="Arial" w:hAnsi="Arial" w:cs="Arial"/>
          <w:i/>
          <w:iCs/>
        </w:rPr>
        <w:t>(</w:t>
      </w:r>
      <w:proofErr w:type="spellStart"/>
      <w:r w:rsidRPr="00890FBD">
        <w:rPr>
          <w:rFonts w:ascii="Arial" w:hAnsi="Arial" w:cs="Arial"/>
          <w:i/>
          <w:iCs/>
        </w:rPr>
        <w:t>i</w:t>
      </w:r>
      <w:proofErr w:type="spellEnd"/>
      <w:r w:rsidRPr="00890FBD">
        <w:rPr>
          <w:rFonts w:ascii="Arial" w:hAnsi="Arial" w:cs="Arial"/>
          <w:i/>
          <w:iCs/>
        </w:rPr>
        <w:t>) the nature of the proceedings;</w:t>
      </w:r>
    </w:p>
    <w:p w14:paraId="23AECDBA" w14:textId="77777777" w:rsidR="00933510" w:rsidRPr="00890FBD" w:rsidRDefault="00933510" w:rsidP="00933510">
      <w:pPr>
        <w:spacing w:after="0"/>
        <w:ind w:left="720" w:firstLine="720"/>
        <w:rPr>
          <w:rFonts w:ascii="Arial" w:hAnsi="Arial" w:cs="Arial"/>
          <w:i/>
          <w:iCs/>
        </w:rPr>
      </w:pPr>
      <w:r w:rsidRPr="00890FBD">
        <w:rPr>
          <w:rFonts w:ascii="Arial" w:hAnsi="Arial" w:cs="Arial"/>
          <w:i/>
          <w:iCs/>
        </w:rPr>
        <w:t>(ii) the nature of the evidence;</w:t>
      </w:r>
    </w:p>
    <w:p w14:paraId="04171EA2" w14:textId="77777777" w:rsidR="00933510" w:rsidRPr="00890FBD" w:rsidRDefault="00933510" w:rsidP="00933510">
      <w:pPr>
        <w:spacing w:after="0"/>
        <w:ind w:left="720" w:firstLine="720"/>
        <w:rPr>
          <w:rFonts w:ascii="Arial" w:hAnsi="Arial" w:cs="Arial"/>
          <w:i/>
          <w:iCs/>
        </w:rPr>
      </w:pPr>
      <w:r w:rsidRPr="00890FBD">
        <w:rPr>
          <w:rFonts w:ascii="Arial" w:hAnsi="Arial" w:cs="Arial"/>
          <w:i/>
          <w:iCs/>
        </w:rPr>
        <w:t>(iii) the purpose for which the evidence is tendered;</w:t>
      </w:r>
    </w:p>
    <w:p w14:paraId="05FED9F6" w14:textId="77777777" w:rsidR="00933510" w:rsidRPr="00890FBD" w:rsidRDefault="00933510" w:rsidP="00933510">
      <w:pPr>
        <w:spacing w:after="0"/>
        <w:ind w:left="720" w:firstLine="720"/>
        <w:rPr>
          <w:rFonts w:ascii="Arial" w:hAnsi="Arial" w:cs="Arial"/>
          <w:i/>
          <w:iCs/>
        </w:rPr>
      </w:pPr>
      <w:r w:rsidRPr="00890FBD">
        <w:rPr>
          <w:rFonts w:ascii="Arial" w:hAnsi="Arial" w:cs="Arial"/>
          <w:i/>
          <w:iCs/>
        </w:rPr>
        <w:t>(iv) the probative value of the evidence;</w:t>
      </w:r>
    </w:p>
    <w:p w14:paraId="1CFC732F" w14:textId="77777777" w:rsidR="00933510" w:rsidRPr="00890FBD" w:rsidRDefault="00933510" w:rsidP="00933510">
      <w:pPr>
        <w:spacing w:after="0"/>
        <w:ind w:left="1440"/>
        <w:rPr>
          <w:rFonts w:ascii="Arial" w:hAnsi="Arial" w:cs="Arial"/>
          <w:i/>
          <w:iCs/>
        </w:rPr>
      </w:pPr>
      <w:r w:rsidRPr="00890FBD">
        <w:rPr>
          <w:rFonts w:ascii="Arial" w:hAnsi="Arial" w:cs="Arial"/>
          <w:i/>
          <w:iCs/>
        </w:rPr>
        <w:t>(v) the reason why the evidence is not given by the person upon whose credibility the probative value of such evidence depends;</w:t>
      </w:r>
    </w:p>
    <w:p w14:paraId="1BDB8A20" w14:textId="77777777" w:rsidR="00933510" w:rsidRPr="00890FBD" w:rsidRDefault="00933510" w:rsidP="00933510">
      <w:pPr>
        <w:spacing w:after="0"/>
        <w:ind w:left="1440"/>
        <w:rPr>
          <w:rFonts w:ascii="Arial" w:hAnsi="Arial" w:cs="Arial"/>
          <w:i/>
          <w:iCs/>
        </w:rPr>
      </w:pPr>
      <w:r w:rsidRPr="00890FBD">
        <w:rPr>
          <w:rFonts w:ascii="Arial" w:hAnsi="Arial" w:cs="Arial"/>
          <w:i/>
          <w:iCs/>
        </w:rPr>
        <w:t>(vi) any prejudice to a party which the admission of such evidence might entail; and</w:t>
      </w:r>
    </w:p>
    <w:p w14:paraId="504E9C01" w14:textId="77777777" w:rsidR="00933510" w:rsidRPr="00890FBD" w:rsidRDefault="00933510" w:rsidP="00933510">
      <w:pPr>
        <w:spacing w:after="0"/>
        <w:ind w:left="1440"/>
        <w:rPr>
          <w:rFonts w:ascii="Arial" w:hAnsi="Arial" w:cs="Arial"/>
          <w:i/>
          <w:iCs/>
        </w:rPr>
      </w:pPr>
      <w:r w:rsidRPr="00890FBD">
        <w:rPr>
          <w:rFonts w:ascii="Arial" w:hAnsi="Arial" w:cs="Arial"/>
          <w:i/>
          <w:iCs/>
        </w:rPr>
        <w:t xml:space="preserve">(vii) any other factor which should in the opinion of the court be </w:t>
      </w:r>
      <w:proofErr w:type="gramStart"/>
      <w:r w:rsidRPr="00890FBD">
        <w:rPr>
          <w:rFonts w:ascii="Arial" w:hAnsi="Arial" w:cs="Arial"/>
          <w:i/>
          <w:iCs/>
        </w:rPr>
        <w:t>taken into account</w:t>
      </w:r>
      <w:proofErr w:type="gramEnd"/>
      <w:r w:rsidRPr="00890FBD">
        <w:rPr>
          <w:rFonts w:ascii="Arial" w:hAnsi="Arial" w:cs="Arial"/>
          <w:i/>
          <w:iCs/>
        </w:rPr>
        <w:t>,</w:t>
      </w:r>
    </w:p>
    <w:p w14:paraId="72C3BCE9" w14:textId="77777777" w:rsidR="00933510" w:rsidRPr="00890FBD" w:rsidRDefault="00933510" w:rsidP="00933510">
      <w:pPr>
        <w:spacing w:after="0"/>
        <w:ind w:left="720"/>
        <w:rPr>
          <w:rFonts w:ascii="Arial" w:hAnsi="Arial" w:cs="Arial"/>
          <w:i/>
          <w:iCs/>
        </w:rPr>
      </w:pPr>
      <w:r w:rsidRPr="00890FBD">
        <w:rPr>
          <w:rFonts w:ascii="Arial" w:hAnsi="Arial" w:cs="Arial"/>
          <w:i/>
          <w:iCs/>
        </w:rPr>
        <w:t>is of the opinion that such evidence should be admitted in the interests of justice.</w:t>
      </w:r>
    </w:p>
    <w:p w14:paraId="5A331BB9" w14:textId="77777777" w:rsidR="00933510" w:rsidRPr="00890FBD" w:rsidRDefault="00933510" w:rsidP="008D22A5">
      <w:pPr>
        <w:spacing w:after="0"/>
        <w:jc w:val="both"/>
        <w:rPr>
          <w:rFonts w:ascii="Arial" w:hAnsi="Arial" w:cs="Arial"/>
          <w:i/>
          <w:iCs/>
        </w:rPr>
      </w:pPr>
      <w:r w:rsidRPr="00890FBD">
        <w:rPr>
          <w:rFonts w:ascii="Arial" w:hAnsi="Arial" w:cs="Arial"/>
          <w:i/>
          <w:iCs/>
        </w:rPr>
        <w:t>(2) The provisions of subsection (1) shall not render admissible any evidence which is inadmissible on any ground other than that such evidence is hearsay evidence.</w:t>
      </w:r>
    </w:p>
    <w:p w14:paraId="75BB6364" w14:textId="77777777" w:rsidR="00933510" w:rsidRPr="00890FBD" w:rsidRDefault="00933510" w:rsidP="008D22A5">
      <w:pPr>
        <w:spacing w:after="0"/>
        <w:jc w:val="both"/>
        <w:rPr>
          <w:rFonts w:ascii="Arial" w:hAnsi="Arial" w:cs="Arial"/>
          <w:i/>
          <w:iCs/>
        </w:rPr>
      </w:pPr>
      <w:r w:rsidRPr="00890FBD">
        <w:rPr>
          <w:rFonts w:ascii="Arial" w:hAnsi="Arial" w:cs="Arial"/>
          <w:i/>
          <w:iCs/>
        </w:rPr>
        <w:t>(3) Hearsay evidence may be provisionally admitted in terms of subsection (1)(b) if the court is informed that the person upon whose credibility the probative value of such evidence depends, will himself testify in such proceedings: Provided that if such person does not later testify in such proceedings, the hearsay evidence shall be left out of account unless the hearsay evidence is admitted in terms of paragraph (a) of subsection (1) or is admitted by the court in terms of paragraph (c) of that subsection.</w:t>
      </w:r>
    </w:p>
    <w:p w14:paraId="30E0F5B4" w14:textId="77777777" w:rsidR="00933510" w:rsidRPr="00890FBD" w:rsidRDefault="00933510" w:rsidP="008D22A5">
      <w:pPr>
        <w:spacing w:after="0"/>
        <w:jc w:val="both"/>
        <w:rPr>
          <w:rFonts w:ascii="Arial" w:hAnsi="Arial" w:cs="Arial"/>
          <w:i/>
          <w:iCs/>
        </w:rPr>
      </w:pPr>
      <w:r w:rsidRPr="00890FBD">
        <w:rPr>
          <w:rFonts w:ascii="Arial" w:hAnsi="Arial" w:cs="Arial"/>
          <w:i/>
          <w:iCs/>
        </w:rPr>
        <w:t>(4) For the purposes of this section-</w:t>
      </w:r>
    </w:p>
    <w:p w14:paraId="413ED654" w14:textId="77777777" w:rsidR="00933510" w:rsidRPr="00890FBD" w:rsidRDefault="00933510" w:rsidP="008D22A5">
      <w:pPr>
        <w:spacing w:after="0"/>
        <w:jc w:val="both"/>
        <w:rPr>
          <w:rFonts w:ascii="Arial" w:hAnsi="Arial" w:cs="Arial"/>
          <w:i/>
          <w:iCs/>
        </w:rPr>
      </w:pPr>
      <w:r w:rsidRPr="00890FBD">
        <w:rPr>
          <w:rFonts w:ascii="Arial" w:hAnsi="Arial" w:cs="Arial"/>
          <w:i/>
          <w:iCs/>
        </w:rPr>
        <w:t>“</w:t>
      </w:r>
      <w:r w:rsidRPr="00890FBD">
        <w:rPr>
          <w:rFonts w:ascii="Arial" w:hAnsi="Arial" w:cs="Arial"/>
          <w:b/>
          <w:bCs/>
          <w:i/>
          <w:iCs/>
        </w:rPr>
        <w:t>hearsay evidence</w:t>
      </w:r>
      <w:r w:rsidRPr="00890FBD">
        <w:rPr>
          <w:rFonts w:ascii="Arial" w:hAnsi="Arial" w:cs="Arial"/>
          <w:i/>
          <w:iCs/>
        </w:rPr>
        <w:t>” means evidence, whether oral or in writing, the probative value of which depends upon the credibility of any person other than the person giving such evidence;</w:t>
      </w:r>
    </w:p>
    <w:p w14:paraId="22B1297D" w14:textId="77777777" w:rsidR="00933510" w:rsidRDefault="00933510" w:rsidP="008D22A5">
      <w:pPr>
        <w:spacing w:after="0"/>
        <w:jc w:val="both"/>
        <w:rPr>
          <w:rFonts w:ascii="Arial" w:hAnsi="Arial" w:cs="Arial"/>
          <w:i/>
          <w:iCs/>
        </w:rPr>
      </w:pPr>
      <w:r w:rsidRPr="00890FBD">
        <w:rPr>
          <w:rFonts w:ascii="Arial" w:hAnsi="Arial" w:cs="Arial"/>
          <w:i/>
          <w:iCs/>
        </w:rPr>
        <w:t>“</w:t>
      </w:r>
      <w:r w:rsidRPr="00890FBD">
        <w:rPr>
          <w:rFonts w:ascii="Arial" w:hAnsi="Arial" w:cs="Arial"/>
          <w:b/>
          <w:bCs/>
          <w:i/>
          <w:iCs/>
        </w:rPr>
        <w:t>party</w:t>
      </w:r>
      <w:r w:rsidRPr="00890FBD">
        <w:rPr>
          <w:rFonts w:ascii="Arial" w:hAnsi="Arial" w:cs="Arial"/>
          <w:i/>
          <w:iCs/>
        </w:rPr>
        <w:t>” means the accused or party against whom hearsay evidence is to be adduced, including the prosecution.”</w:t>
      </w:r>
    </w:p>
    <w:p w14:paraId="01915324" w14:textId="77777777" w:rsidR="00890FBD" w:rsidRPr="00B7504F" w:rsidRDefault="00890FBD" w:rsidP="00933510">
      <w:pPr>
        <w:spacing w:after="0"/>
        <w:rPr>
          <w:rFonts w:ascii="Arial" w:hAnsi="Arial" w:cs="Arial"/>
        </w:rPr>
      </w:pPr>
    </w:p>
    <w:p w14:paraId="3F2F3E6E" w14:textId="77777777" w:rsidR="00933510" w:rsidRDefault="00933510" w:rsidP="001862CD">
      <w:pPr>
        <w:pStyle w:val="JudgmentNumbered"/>
        <w:numPr>
          <w:ilvl w:val="0"/>
          <w:numId w:val="0"/>
        </w:numPr>
        <w:spacing w:after="0"/>
        <w:ind w:left="567" w:hanging="567"/>
        <w:rPr>
          <w:bCs/>
          <w:u w:val="single"/>
          <w:lang w:val="en-ZA"/>
        </w:rPr>
      </w:pPr>
      <w:r w:rsidRPr="001862CD">
        <w:rPr>
          <w:bCs/>
          <w:u w:val="single"/>
          <w:lang w:val="en-ZA"/>
        </w:rPr>
        <w:t xml:space="preserve">Second and Third Grounds </w:t>
      </w:r>
    </w:p>
    <w:p w14:paraId="127ADE34" w14:textId="77777777" w:rsidR="00DD11F5" w:rsidRPr="001862CD" w:rsidRDefault="00DD11F5" w:rsidP="001862CD">
      <w:pPr>
        <w:pStyle w:val="JudgmentNumbered"/>
        <w:numPr>
          <w:ilvl w:val="0"/>
          <w:numId w:val="0"/>
        </w:numPr>
        <w:spacing w:after="0"/>
        <w:ind w:left="567" w:hanging="567"/>
        <w:rPr>
          <w:bCs/>
          <w:u w:val="single"/>
          <w:lang w:val="en-ZA"/>
        </w:rPr>
      </w:pPr>
    </w:p>
    <w:p w14:paraId="0EAB2079" w14:textId="77777777" w:rsidR="00933510" w:rsidRDefault="00890FBD" w:rsidP="001862CD">
      <w:pPr>
        <w:pStyle w:val="JudgmentNumbered"/>
        <w:numPr>
          <w:ilvl w:val="0"/>
          <w:numId w:val="0"/>
        </w:numPr>
        <w:spacing w:after="0"/>
        <w:rPr>
          <w:lang w:val="en-US"/>
        </w:rPr>
      </w:pPr>
      <w:r w:rsidRPr="00890FBD">
        <w:rPr>
          <w:lang w:val="en-ZA"/>
        </w:rPr>
        <w:t>[</w:t>
      </w:r>
      <w:r w:rsidR="00273578">
        <w:rPr>
          <w:lang w:val="en-ZA"/>
        </w:rPr>
        <w:t>26</w:t>
      </w:r>
      <w:r w:rsidRPr="00890FBD">
        <w:rPr>
          <w:lang w:val="en-ZA"/>
        </w:rPr>
        <w:t>]</w:t>
      </w:r>
      <w:r>
        <w:rPr>
          <w:i/>
          <w:iCs/>
          <w:lang w:val="en-ZA"/>
        </w:rPr>
        <w:tab/>
      </w:r>
      <w:r w:rsidR="00933510" w:rsidRPr="00546AFC">
        <w:rPr>
          <w:i/>
          <w:iCs/>
          <w:lang w:val="en-ZA"/>
        </w:rPr>
        <w:t>Duncan</w:t>
      </w:r>
      <w:r w:rsidR="00933510" w:rsidRPr="00A844F4">
        <w:rPr>
          <w:rStyle w:val="FootnoteReference"/>
          <w:lang w:val="en-ZA"/>
        </w:rPr>
        <w:footnoteReference w:id="10"/>
      </w:r>
      <w:r w:rsidR="00933510">
        <w:rPr>
          <w:lang w:val="en-ZA"/>
        </w:rPr>
        <w:t xml:space="preserve"> is the leading case on the jurisdictional facts that must be present for an arrest without warrant to be lawful. </w:t>
      </w:r>
      <w:r w:rsidR="00933510" w:rsidRPr="00672F53">
        <w:rPr>
          <w:lang w:val="en-US"/>
        </w:rPr>
        <w:t xml:space="preserve">The onus of proof for </w:t>
      </w:r>
      <w:r w:rsidR="00D66C7F">
        <w:rPr>
          <w:lang w:val="en-US"/>
        </w:rPr>
        <w:t xml:space="preserve">lawful </w:t>
      </w:r>
      <w:r w:rsidR="00933510" w:rsidRPr="00672F53">
        <w:rPr>
          <w:lang w:val="en-US"/>
        </w:rPr>
        <w:t xml:space="preserve">arrest rests with the </w:t>
      </w:r>
      <w:r>
        <w:rPr>
          <w:lang w:val="en-US"/>
        </w:rPr>
        <w:t>appellant</w:t>
      </w:r>
      <w:r w:rsidR="00933510" w:rsidRPr="00672F53">
        <w:rPr>
          <w:lang w:val="en-US"/>
        </w:rPr>
        <w:t xml:space="preserve">, who should, on a balance of </w:t>
      </w:r>
      <w:r w:rsidRPr="00672F53">
        <w:rPr>
          <w:lang w:val="en-US"/>
        </w:rPr>
        <w:t>probabilities,</w:t>
      </w:r>
      <w:r w:rsidR="00933510" w:rsidRPr="00672F53">
        <w:rPr>
          <w:lang w:val="en-US"/>
        </w:rPr>
        <w:t xml:space="preserve"> show and satisfy the court that the peace officer reasonably suspected that the </w:t>
      </w:r>
      <w:r>
        <w:rPr>
          <w:lang w:val="en-US"/>
        </w:rPr>
        <w:t xml:space="preserve">respondent </w:t>
      </w:r>
      <w:r w:rsidR="00933510" w:rsidRPr="00672F53">
        <w:rPr>
          <w:lang w:val="en-US"/>
        </w:rPr>
        <w:t xml:space="preserve">committed an offence referred to in Schedule 1. Section 40(1)(b) does not necessarily require direct evidence but rather the arresting officer should hold a suspicion which should be formed on reasonable grounds. Accordingly, the circumstances giving rise to the suspicion must </w:t>
      </w:r>
      <w:r w:rsidR="00933510" w:rsidRPr="00672F53">
        <w:rPr>
          <w:lang w:val="en-US"/>
        </w:rPr>
        <w:lastRenderedPageBreak/>
        <w:t>be such as would ordinarily move a reasonable man to form the suspicion that the arrestee has committed a Schedule 1 offence.</w:t>
      </w:r>
    </w:p>
    <w:p w14:paraId="5609828B" w14:textId="77777777" w:rsidR="001862CD" w:rsidRPr="00D62018" w:rsidRDefault="001862CD" w:rsidP="001862CD">
      <w:pPr>
        <w:pStyle w:val="JudgmentNumbered"/>
        <w:numPr>
          <w:ilvl w:val="0"/>
          <w:numId w:val="0"/>
        </w:numPr>
        <w:spacing w:after="0"/>
        <w:rPr>
          <w:lang w:val="en-ZA"/>
        </w:rPr>
      </w:pPr>
    </w:p>
    <w:p w14:paraId="45E1FE5D" w14:textId="77777777" w:rsidR="00933510" w:rsidRPr="00D62018" w:rsidRDefault="00890FBD" w:rsidP="001862CD">
      <w:pPr>
        <w:pStyle w:val="JudgmentNumbered"/>
        <w:numPr>
          <w:ilvl w:val="0"/>
          <w:numId w:val="0"/>
        </w:numPr>
        <w:spacing w:after="0"/>
      </w:pPr>
      <w:r>
        <w:rPr>
          <w:lang w:val="en-ZA"/>
        </w:rPr>
        <w:t>[2</w:t>
      </w:r>
      <w:r w:rsidR="00273578">
        <w:rPr>
          <w:lang w:val="en-ZA"/>
        </w:rPr>
        <w:t>7</w:t>
      </w:r>
      <w:r>
        <w:rPr>
          <w:lang w:val="en-ZA"/>
        </w:rPr>
        <w:t>]</w:t>
      </w:r>
      <w:r>
        <w:rPr>
          <w:lang w:val="en-ZA"/>
        </w:rPr>
        <w:tab/>
      </w:r>
      <w:r w:rsidR="00933510" w:rsidRPr="00D62018">
        <w:rPr>
          <w:lang w:val="en-ZA"/>
        </w:rPr>
        <w:t xml:space="preserve">Reaffirming </w:t>
      </w:r>
      <w:r w:rsidR="00933510" w:rsidRPr="00D62018">
        <w:rPr>
          <w:i/>
          <w:iCs/>
          <w:lang w:val="en-US"/>
        </w:rPr>
        <w:t>Duncan</w:t>
      </w:r>
      <w:r w:rsidR="00933510">
        <w:rPr>
          <w:lang w:val="en-US"/>
        </w:rPr>
        <w:t xml:space="preserve">, the court in </w:t>
      </w:r>
      <w:r w:rsidR="00933510" w:rsidRPr="00D62018">
        <w:rPr>
          <w:i/>
          <w:iCs/>
          <w:lang w:val="en-US"/>
        </w:rPr>
        <w:t>Mabona and Another v Minister of Law and Order</w:t>
      </w:r>
      <w:r w:rsidR="00933510" w:rsidRPr="00D62018">
        <w:rPr>
          <w:vertAlign w:val="superscript"/>
          <w:lang w:val="en-US"/>
        </w:rPr>
        <w:footnoteReference w:id="11"/>
      </w:r>
      <w:r w:rsidR="00933510" w:rsidRPr="00D62018">
        <w:rPr>
          <w:lang w:val="en-US"/>
        </w:rPr>
        <w:t xml:space="preserve"> stated the following on reasonable suspicion:</w:t>
      </w:r>
    </w:p>
    <w:p w14:paraId="09E816E5" w14:textId="77777777" w:rsidR="00933510" w:rsidRDefault="00933510" w:rsidP="009A38C9">
      <w:pPr>
        <w:pStyle w:val="JudgmentNumbered"/>
        <w:numPr>
          <w:ilvl w:val="0"/>
          <w:numId w:val="0"/>
        </w:numPr>
        <w:spacing w:after="0"/>
        <w:ind w:left="720"/>
        <w:rPr>
          <w:i/>
          <w:iCs/>
          <w:sz w:val="22"/>
        </w:rPr>
      </w:pPr>
      <w:r w:rsidRPr="009A38C9">
        <w:rPr>
          <w:i/>
          <w:iCs/>
          <w:sz w:val="22"/>
        </w:rPr>
        <w:t xml:space="preserve">“There can be no doubt that he was given information which caused him subjectively to suspect the plaintiffs of involvement in the robbery. The question is whether his suspicion was reasonable. The test of whether a suspicion is reasonably entertained within the meaning of s 40(1)(b) is objective (S v Nel and Another 1980 (4) SA 28 (E) at 33H). 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that in evaluating his information a reasonable man would bear in mind that the section authorises drastic police action. It authorises an arrest on the strength of a suspicion and without the need to swear out a warrant, </w:t>
      </w:r>
      <w:proofErr w:type="gramStart"/>
      <w:r w:rsidR="00D05860" w:rsidRPr="009A38C9">
        <w:rPr>
          <w:i/>
          <w:iCs/>
          <w:sz w:val="22"/>
        </w:rPr>
        <w:t>i.e.</w:t>
      </w:r>
      <w:proofErr w:type="gramEnd"/>
      <w:r w:rsidRPr="009A38C9">
        <w:rPr>
          <w:i/>
          <w:iCs/>
          <w:sz w:val="22"/>
        </w:rPr>
        <w:t xml:space="preserv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w:t>
      </w:r>
    </w:p>
    <w:p w14:paraId="27C31241" w14:textId="77777777" w:rsidR="009A38C9" w:rsidRPr="009A38C9" w:rsidRDefault="009A38C9" w:rsidP="009A38C9">
      <w:pPr>
        <w:pStyle w:val="JudgmentNumbered"/>
        <w:numPr>
          <w:ilvl w:val="0"/>
          <w:numId w:val="0"/>
        </w:numPr>
        <w:spacing w:after="0"/>
        <w:ind w:left="720"/>
        <w:rPr>
          <w:i/>
          <w:iCs/>
          <w:sz w:val="22"/>
          <w:lang w:val="en-US"/>
        </w:rPr>
      </w:pPr>
    </w:p>
    <w:p w14:paraId="01A010E6" w14:textId="77777777" w:rsidR="00933510" w:rsidRDefault="009A38C9" w:rsidP="009A38C9">
      <w:pPr>
        <w:pStyle w:val="JudgmentNumbered"/>
        <w:numPr>
          <w:ilvl w:val="0"/>
          <w:numId w:val="0"/>
        </w:numPr>
        <w:spacing w:after="0"/>
        <w:rPr>
          <w:lang w:val="en-US"/>
        </w:rPr>
      </w:pPr>
      <w:r>
        <w:rPr>
          <w:lang w:val="en-US"/>
        </w:rPr>
        <w:t>[2</w:t>
      </w:r>
      <w:r w:rsidR="00273578">
        <w:rPr>
          <w:lang w:val="en-US"/>
        </w:rPr>
        <w:t>8</w:t>
      </w:r>
      <w:r>
        <w:rPr>
          <w:lang w:val="en-US"/>
        </w:rPr>
        <w:t>]</w:t>
      </w:r>
      <w:r>
        <w:rPr>
          <w:lang w:val="en-US"/>
        </w:rPr>
        <w:tab/>
      </w:r>
      <w:r w:rsidR="00933510">
        <w:rPr>
          <w:lang w:val="en-US"/>
        </w:rPr>
        <w:t xml:space="preserve">To ascertain </w:t>
      </w:r>
      <w:r w:rsidR="00933510" w:rsidRPr="00F864BD">
        <w:rPr>
          <w:lang w:val="en-US"/>
        </w:rPr>
        <w:t>whether a suspicion that a Schedule 1 offence has been committed is “reasonable”, there must obviously be an investigation into the essentials relevant to each particular offence</w:t>
      </w:r>
      <w:r w:rsidR="00933510">
        <w:rPr>
          <w:lang w:val="en-US"/>
        </w:rPr>
        <w:t>.</w:t>
      </w:r>
      <w:r w:rsidR="00933510">
        <w:rPr>
          <w:rStyle w:val="FootnoteReference"/>
          <w:lang w:val="en-US"/>
        </w:rPr>
        <w:footnoteReference w:id="12"/>
      </w:r>
    </w:p>
    <w:p w14:paraId="74B4ED64" w14:textId="77777777" w:rsidR="009A38C9" w:rsidRPr="00310572" w:rsidRDefault="009A38C9" w:rsidP="009A38C9">
      <w:pPr>
        <w:pStyle w:val="JudgmentNumbered"/>
        <w:numPr>
          <w:ilvl w:val="0"/>
          <w:numId w:val="0"/>
        </w:numPr>
        <w:spacing w:after="0"/>
        <w:rPr>
          <w:lang w:val="en-ZA"/>
        </w:rPr>
      </w:pPr>
    </w:p>
    <w:p w14:paraId="5C040B1D" w14:textId="77777777" w:rsidR="00933510" w:rsidRPr="001937F8" w:rsidRDefault="009A38C9" w:rsidP="009A38C9">
      <w:pPr>
        <w:pStyle w:val="JudgmentNumbered"/>
        <w:numPr>
          <w:ilvl w:val="0"/>
          <w:numId w:val="0"/>
        </w:numPr>
      </w:pPr>
      <w:r>
        <w:rPr>
          <w:lang w:val="en-US"/>
        </w:rPr>
        <w:t>[</w:t>
      </w:r>
      <w:r w:rsidR="00273578">
        <w:rPr>
          <w:lang w:val="en-US"/>
        </w:rPr>
        <w:t>29</w:t>
      </w:r>
      <w:r>
        <w:rPr>
          <w:lang w:val="en-US"/>
        </w:rPr>
        <w:t>]</w:t>
      </w:r>
      <w:r>
        <w:rPr>
          <w:lang w:val="en-US"/>
        </w:rPr>
        <w:tab/>
      </w:r>
      <w:r w:rsidR="00933510">
        <w:rPr>
          <w:lang w:val="en-US"/>
        </w:rPr>
        <w:t xml:space="preserve">In </w:t>
      </w:r>
      <w:r w:rsidR="00933510" w:rsidRPr="00C6586A">
        <w:rPr>
          <w:lang w:val="en-US"/>
        </w:rPr>
        <w:t xml:space="preserve">Law </w:t>
      </w:r>
      <w:r w:rsidR="00933510">
        <w:rPr>
          <w:lang w:val="en-US"/>
        </w:rPr>
        <w:t>of</w:t>
      </w:r>
      <w:r w:rsidR="00A24255">
        <w:rPr>
          <w:lang w:val="en-US"/>
        </w:rPr>
        <w:t xml:space="preserve"> </w:t>
      </w:r>
      <w:r w:rsidR="00933510">
        <w:rPr>
          <w:lang w:val="en-US"/>
        </w:rPr>
        <w:t>D</w:t>
      </w:r>
      <w:r w:rsidR="00933510" w:rsidRPr="00C6586A">
        <w:rPr>
          <w:lang w:val="en-US"/>
        </w:rPr>
        <w:t>amages</w:t>
      </w:r>
      <w:r w:rsidR="00933510">
        <w:rPr>
          <w:rStyle w:val="FootnoteReference"/>
          <w:lang w:val="en-US"/>
        </w:rPr>
        <w:footnoteReference w:id="13"/>
      </w:r>
      <w:r w:rsidR="00933510">
        <w:rPr>
          <w:lang w:val="en-US"/>
        </w:rPr>
        <w:t>, the authors</w:t>
      </w:r>
      <w:r w:rsidR="00933510" w:rsidRPr="00C6586A">
        <w:rPr>
          <w:lang w:val="en-US"/>
        </w:rPr>
        <w:t xml:space="preserve"> state </w:t>
      </w:r>
      <w:r w:rsidR="00933510">
        <w:rPr>
          <w:lang w:val="en-US"/>
        </w:rPr>
        <w:t xml:space="preserve">that in wrongful or malicious arrest cases, </w:t>
      </w:r>
      <w:r w:rsidR="00933510" w:rsidRPr="00C6586A">
        <w:rPr>
          <w:lang w:val="en-US"/>
        </w:rPr>
        <w:t>the following factors play a role in the assessment of damages</w:t>
      </w:r>
      <w:r w:rsidR="00933510">
        <w:rPr>
          <w:lang w:val="en-US"/>
        </w:rPr>
        <w:t>:</w:t>
      </w:r>
    </w:p>
    <w:p w14:paraId="222B5198" w14:textId="77777777" w:rsidR="009A38C9" w:rsidRDefault="00933510" w:rsidP="00B7504F">
      <w:pPr>
        <w:pStyle w:val="JudgmentNumbered"/>
        <w:numPr>
          <w:ilvl w:val="0"/>
          <w:numId w:val="0"/>
        </w:numPr>
        <w:spacing w:after="0"/>
        <w:ind w:left="1134"/>
        <w:rPr>
          <w:i/>
          <w:iCs/>
          <w:sz w:val="22"/>
          <w:lang w:val="en-US"/>
        </w:rPr>
      </w:pPr>
      <w:r w:rsidRPr="009A38C9">
        <w:rPr>
          <w:i/>
          <w:iCs/>
          <w:sz w:val="22"/>
          <w:lang w:val="en-US"/>
        </w:rPr>
        <w:lastRenderedPageBreak/>
        <w:t>“[</w:t>
      </w:r>
      <w:r w:rsidR="00E7201C">
        <w:rPr>
          <w:i/>
          <w:iCs/>
          <w:sz w:val="22"/>
          <w:lang w:val="en-US"/>
        </w:rPr>
        <w:t>T</w:t>
      </w:r>
      <w:r w:rsidRPr="009A38C9">
        <w:rPr>
          <w:i/>
          <w:iCs/>
          <w:sz w:val="22"/>
          <w:lang w:val="en-US"/>
        </w:rPr>
        <w:t xml:space="preserve">he circumstances under which the deprivation of liberty took place; the presence or absence of “improper motive” or “malice” on the part of the defendant; the harsh conduct of the defendants; the duration and nature of the deprivation of liberty; the status, standing, age, health and disability of the plaintiff; the extent of the publicity given to the deprivation of liberty: the presence or absence of an apology or satisfactory explanation of the events by the defendants; awards in comparable cases; the fact that in addition to physical freedom, other personality interests such as </w:t>
      </w:r>
      <w:proofErr w:type="spellStart"/>
      <w:r w:rsidRPr="009A38C9">
        <w:rPr>
          <w:i/>
          <w:iCs/>
          <w:sz w:val="22"/>
          <w:lang w:val="en-US"/>
        </w:rPr>
        <w:t>honour</w:t>
      </w:r>
      <w:proofErr w:type="spellEnd"/>
      <w:r w:rsidRPr="009A38C9">
        <w:rPr>
          <w:i/>
          <w:iCs/>
          <w:sz w:val="22"/>
          <w:lang w:val="en-US"/>
        </w:rPr>
        <w:t xml:space="preserve"> and good name as well as constitutionality protected fundamental rights have been infringed; the high value of the right to physical liberty; the effect of inflation; the fact that the plaintiff contributed to his or her misfortune; the effect that the award may have on the public purse; and according to some, the view that </w:t>
      </w:r>
      <w:proofErr w:type="spellStart"/>
      <w:r w:rsidRPr="009A38C9">
        <w:rPr>
          <w:i/>
          <w:iCs/>
          <w:sz w:val="22"/>
          <w:lang w:val="en-US"/>
        </w:rPr>
        <w:t>actio</w:t>
      </w:r>
      <w:proofErr w:type="spellEnd"/>
      <w:r w:rsidRPr="009A38C9">
        <w:rPr>
          <w:i/>
          <w:iCs/>
          <w:sz w:val="22"/>
          <w:lang w:val="en-US"/>
        </w:rPr>
        <w:t xml:space="preserve"> </w:t>
      </w:r>
      <w:proofErr w:type="spellStart"/>
      <w:r w:rsidRPr="009A38C9">
        <w:rPr>
          <w:i/>
          <w:iCs/>
          <w:sz w:val="22"/>
          <w:lang w:val="en-US"/>
        </w:rPr>
        <w:t>iniuriarum</w:t>
      </w:r>
      <w:proofErr w:type="spellEnd"/>
      <w:r w:rsidRPr="009A38C9">
        <w:rPr>
          <w:i/>
          <w:iCs/>
          <w:sz w:val="22"/>
          <w:lang w:val="en-US"/>
        </w:rPr>
        <w:t xml:space="preserve"> also has a punitive function”.</w:t>
      </w:r>
      <w:r w:rsidRPr="009A38C9">
        <w:rPr>
          <w:rStyle w:val="FootnoteReference"/>
          <w:i/>
          <w:iCs/>
          <w:sz w:val="22"/>
          <w:lang w:val="en-US"/>
        </w:rPr>
        <w:footnoteReference w:id="14"/>
      </w:r>
    </w:p>
    <w:p w14:paraId="72E609EF" w14:textId="77777777" w:rsidR="00B7504F" w:rsidRPr="003C2880" w:rsidRDefault="00B7504F" w:rsidP="00B7504F">
      <w:pPr>
        <w:pStyle w:val="JudgmentNumbered"/>
        <w:numPr>
          <w:ilvl w:val="0"/>
          <w:numId w:val="0"/>
        </w:numPr>
        <w:spacing w:after="0"/>
        <w:ind w:left="1134"/>
        <w:rPr>
          <w:i/>
          <w:iCs/>
          <w:sz w:val="22"/>
          <w:lang w:val="en-US"/>
        </w:rPr>
      </w:pPr>
    </w:p>
    <w:p w14:paraId="7E180E3B" w14:textId="77777777" w:rsidR="00933510" w:rsidRDefault="009A38C9" w:rsidP="00B7504F">
      <w:pPr>
        <w:pStyle w:val="JudgmentNumbered"/>
        <w:numPr>
          <w:ilvl w:val="0"/>
          <w:numId w:val="0"/>
        </w:numPr>
        <w:spacing w:after="0"/>
        <w:rPr>
          <w:lang w:val="en-US"/>
        </w:rPr>
      </w:pPr>
      <w:r>
        <w:rPr>
          <w:lang w:val="en-US"/>
        </w:rPr>
        <w:t>[3</w:t>
      </w:r>
      <w:r w:rsidR="00273578">
        <w:rPr>
          <w:lang w:val="en-US"/>
        </w:rPr>
        <w:t>0</w:t>
      </w:r>
      <w:r>
        <w:rPr>
          <w:lang w:val="en-US"/>
        </w:rPr>
        <w:t>]</w:t>
      </w:r>
      <w:r>
        <w:rPr>
          <w:lang w:val="en-US"/>
        </w:rPr>
        <w:tab/>
      </w:r>
      <w:r w:rsidR="00933510">
        <w:rPr>
          <w:lang w:val="en-US"/>
        </w:rPr>
        <w:t xml:space="preserve">On the authority of </w:t>
      </w:r>
      <w:proofErr w:type="spellStart"/>
      <w:r w:rsidR="00933510" w:rsidRPr="00E5712B">
        <w:rPr>
          <w:i/>
          <w:iCs/>
          <w:lang w:val="en-US"/>
        </w:rPr>
        <w:t>Bhika</w:t>
      </w:r>
      <w:proofErr w:type="spellEnd"/>
      <w:r w:rsidR="00933510" w:rsidRPr="00E5712B">
        <w:rPr>
          <w:i/>
          <w:iCs/>
          <w:lang w:val="en-US"/>
        </w:rPr>
        <w:t xml:space="preserve"> v Minister of Justice and Another</w:t>
      </w:r>
      <w:r w:rsidR="00933510">
        <w:rPr>
          <w:rStyle w:val="FootnoteReference"/>
          <w:lang w:val="en-US"/>
        </w:rPr>
        <w:footnoteReference w:id="15"/>
      </w:r>
      <w:r w:rsidR="00933510">
        <w:rPr>
          <w:lang w:val="en-US"/>
        </w:rPr>
        <w:t xml:space="preserve"> it is abundantly clear that even though the physical act of arrest may have been carried out by subordinates, the officer ordering the arrest is to be considered the arrestor. </w:t>
      </w:r>
    </w:p>
    <w:p w14:paraId="7BE6E9BC" w14:textId="77777777" w:rsidR="003C2880" w:rsidRPr="007342FB" w:rsidRDefault="003C2880" w:rsidP="003C2880">
      <w:pPr>
        <w:pStyle w:val="JudgmentNumbered"/>
        <w:numPr>
          <w:ilvl w:val="0"/>
          <w:numId w:val="0"/>
        </w:numPr>
        <w:spacing w:after="0" w:line="240" w:lineRule="auto"/>
        <w:rPr>
          <w:lang w:val="en-ZA"/>
        </w:rPr>
      </w:pPr>
    </w:p>
    <w:p w14:paraId="64A1DEAF" w14:textId="77777777" w:rsidR="00933510" w:rsidRPr="00590694" w:rsidRDefault="009A38C9" w:rsidP="003C2880">
      <w:pPr>
        <w:pStyle w:val="JudgmentNumbered"/>
        <w:numPr>
          <w:ilvl w:val="0"/>
          <w:numId w:val="0"/>
        </w:numPr>
        <w:spacing w:after="0"/>
        <w:rPr>
          <w:lang w:val="en-ZA"/>
        </w:rPr>
      </w:pPr>
      <w:r>
        <w:rPr>
          <w:lang w:val="en-US"/>
        </w:rPr>
        <w:t>[3</w:t>
      </w:r>
      <w:r w:rsidR="00273578">
        <w:rPr>
          <w:lang w:val="en-US"/>
        </w:rPr>
        <w:t>1</w:t>
      </w:r>
      <w:r>
        <w:rPr>
          <w:lang w:val="en-US"/>
        </w:rPr>
        <w:t>]</w:t>
      </w:r>
      <w:r>
        <w:rPr>
          <w:lang w:val="en-US"/>
        </w:rPr>
        <w:tab/>
      </w:r>
      <w:r w:rsidR="00933510">
        <w:rPr>
          <w:lang w:val="en-US"/>
        </w:rPr>
        <w:t xml:space="preserve"> It is uncontested that </w:t>
      </w:r>
      <w:r>
        <w:rPr>
          <w:lang w:val="en-US"/>
        </w:rPr>
        <w:t>the Constable</w:t>
      </w:r>
      <w:r w:rsidR="00933510">
        <w:rPr>
          <w:lang w:val="en-US"/>
        </w:rPr>
        <w:t xml:space="preserve"> did not </w:t>
      </w:r>
      <w:proofErr w:type="spellStart"/>
      <w:r w:rsidR="00933510">
        <w:rPr>
          <w:lang w:val="en-US"/>
        </w:rPr>
        <w:t>effect</w:t>
      </w:r>
      <w:proofErr w:type="spellEnd"/>
      <w:r w:rsidR="00933510">
        <w:rPr>
          <w:lang w:val="en-US"/>
        </w:rPr>
        <w:t xml:space="preserve"> the physical arrest of the plaintiff, rather </w:t>
      </w:r>
      <w:r>
        <w:rPr>
          <w:lang w:val="en-US"/>
        </w:rPr>
        <w:t xml:space="preserve">the </w:t>
      </w:r>
      <w:r w:rsidRPr="0068693E">
        <w:rPr>
          <w:color w:val="000000" w:themeColor="text1"/>
          <w:lang w:val="en-US"/>
        </w:rPr>
        <w:t>Sergeant</w:t>
      </w:r>
      <w:r w:rsidR="00D24499" w:rsidRPr="0068693E">
        <w:rPr>
          <w:color w:val="000000" w:themeColor="text1"/>
          <w:lang w:val="en-US"/>
        </w:rPr>
        <w:t xml:space="preserve"> </w:t>
      </w:r>
      <w:r w:rsidR="0089648C">
        <w:rPr>
          <w:color w:val="000000" w:themeColor="text1"/>
          <w:lang w:val="en-US"/>
        </w:rPr>
        <w:t xml:space="preserve">arrested </w:t>
      </w:r>
      <w:r w:rsidR="00933510">
        <w:rPr>
          <w:lang w:val="en-US"/>
        </w:rPr>
        <w:t xml:space="preserve">on the orders </w:t>
      </w:r>
      <w:r>
        <w:rPr>
          <w:lang w:val="en-US"/>
        </w:rPr>
        <w:t xml:space="preserve">of the </w:t>
      </w:r>
      <w:r w:rsidR="00933510" w:rsidRPr="0068693E">
        <w:rPr>
          <w:color w:val="000000" w:themeColor="text1"/>
          <w:lang w:val="en-US"/>
        </w:rPr>
        <w:t>Captain</w:t>
      </w:r>
      <w:r w:rsidR="00933510">
        <w:rPr>
          <w:lang w:val="en-US"/>
        </w:rPr>
        <w:t xml:space="preserve">. This, the </w:t>
      </w:r>
      <w:r>
        <w:rPr>
          <w:lang w:val="en-US"/>
        </w:rPr>
        <w:t>respondent contends</w:t>
      </w:r>
      <w:r w:rsidR="00933510">
        <w:rPr>
          <w:lang w:val="en-US"/>
        </w:rPr>
        <w:t xml:space="preserve"> in his heads of argument</w:t>
      </w:r>
      <w:r w:rsidR="0089648C">
        <w:rPr>
          <w:lang w:val="en-US"/>
        </w:rPr>
        <w:t>,</w:t>
      </w:r>
      <w:r w:rsidR="00933510">
        <w:rPr>
          <w:lang w:val="en-US"/>
        </w:rPr>
        <w:t xml:space="preserve"> is on its own unlawful. Neither </w:t>
      </w:r>
      <w:r>
        <w:rPr>
          <w:lang w:val="en-US"/>
        </w:rPr>
        <w:t>the Sergeant nor</w:t>
      </w:r>
      <w:r w:rsidR="00933510">
        <w:rPr>
          <w:lang w:val="en-US"/>
        </w:rPr>
        <w:t xml:space="preserve"> </w:t>
      </w:r>
      <w:r>
        <w:rPr>
          <w:lang w:val="en-US"/>
        </w:rPr>
        <w:t xml:space="preserve">the </w:t>
      </w:r>
      <w:r w:rsidR="00933510" w:rsidRPr="009C6488">
        <w:rPr>
          <w:lang w:val="en-US"/>
        </w:rPr>
        <w:t>Captain</w:t>
      </w:r>
      <w:r w:rsidR="00933510">
        <w:rPr>
          <w:lang w:val="en-US"/>
        </w:rPr>
        <w:t xml:space="preserve"> testified </w:t>
      </w:r>
      <w:r>
        <w:rPr>
          <w:lang w:val="en-US"/>
        </w:rPr>
        <w:t>to</w:t>
      </w:r>
      <w:r w:rsidR="00933510">
        <w:rPr>
          <w:lang w:val="en-US"/>
        </w:rPr>
        <w:t xml:space="preserve"> their suspicion and the reasonableness thereof.</w:t>
      </w:r>
    </w:p>
    <w:p w14:paraId="30E8D67D" w14:textId="77777777" w:rsidR="003C2880" w:rsidRDefault="003C2880" w:rsidP="003C2880">
      <w:pPr>
        <w:pStyle w:val="JudgmentNumbered"/>
        <w:numPr>
          <w:ilvl w:val="0"/>
          <w:numId w:val="0"/>
        </w:numPr>
        <w:spacing w:after="0"/>
        <w:ind w:left="567" w:hanging="567"/>
        <w:rPr>
          <w:i/>
          <w:iCs/>
          <w:lang w:val="en-US"/>
        </w:rPr>
      </w:pPr>
    </w:p>
    <w:p w14:paraId="6F793700" w14:textId="77777777" w:rsidR="00933510" w:rsidRDefault="00933510" w:rsidP="001862CD">
      <w:pPr>
        <w:pStyle w:val="JudgmentNumbered"/>
        <w:numPr>
          <w:ilvl w:val="0"/>
          <w:numId w:val="0"/>
        </w:numPr>
        <w:spacing w:after="0"/>
        <w:ind w:left="567" w:hanging="567"/>
        <w:rPr>
          <w:u w:val="single"/>
          <w:lang w:val="en-US"/>
        </w:rPr>
      </w:pPr>
      <w:r w:rsidRPr="001862CD">
        <w:rPr>
          <w:u w:val="single"/>
          <w:lang w:val="en-US"/>
        </w:rPr>
        <w:t>Fourth and Fifth Grounds</w:t>
      </w:r>
    </w:p>
    <w:p w14:paraId="183FE0AE" w14:textId="77777777" w:rsidR="006A785D" w:rsidRPr="001862CD" w:rsidRDefault="006A785D" w:rsidP="001862CD">
      <w:pPr>
        <w:pStyle w:val="JudgmentNumbered"/>
        <w:numPr>
          <w:ilvl w:val="0"/>
          <w:numId w:val="0"/>
        </w:numPr>
        <w:spacing w:after="0"/>
        <w:ind w:left="567" w:hanging="567"/>
        <w:rPr>
          <w:u w:val="single"/>
          <w:lang w:val="en-ZA"/>
        </w:rPr>
      </w:pPr>
    </w:p>
    <w:p w14:paraId="659B396B" w14:textId="77777777" w:rsidR="00933510" w:rsidRDefault="009A38C9" w:rsidP="001862CD">
      <w:pPr>
        <w:pStyle w:val="JudgmentNumbered"/>
        <w:numPr>
          <w:ilvl w:val="0"/>
          <w:numId w:val="0"/>
        </w:numPr>
        <w:spacing w:after="0"/>
        <w:rPr>
          <w:lang w:val="en-ZA"/>
        </w:rPr>
      </w:pPr>
      <w:r>
        <w:rPr>
          <w:lang w:val="en-ZA"/>
        </w:rPr>
        <w:t>[3</w:t>
      </w:r>
      <w:r w:rsidR="00273578">
        <w:rPr>
          <w:lang w:val="en-ZA"/>
        </w:rPr>
        <w:t>2</w:t>
      </w:r>
      <w:r>
        <w:rPr>
          <w:lang w:val="en-ZA"/>
        </w:rPr>
        <w:t>]</w:t>
      </w:r>
      <w:r>
        <w:rPr>
          <w:lang w:val="en-ZA"/>
        </w:rPr>
        <w:tab/>
      </w:r>
      <w:r w:rsidR="00933510">
        <w:rPr>
          <w:lang w:val="en-ZA"/>
        </w:rPr>
        <w:t xml:space="preserve"> </w:t>
      </w:r>
      <w:r w:rsidR="00273578">
        <w:rPr>
          <w:lang w:val="en-ZA"/>
        </w:rPr>
        <w:t>T</w:t>
      </w:r>
      <w:r w:rsidR="00933510">
        <w:rPr>
          <w:lang w:val="en-ZA"/>
        </w:rPr>
        <w:t xml:space="preserve">his is the ground most seriously contested by the </w:t>
      </w:r>
      <w:r w:rsidR="00381CFF">
        <w:rPr>
          <w:lang w:val="en-ZA"/>
        </w:rPr>
        <w:t>appellant</w:t>
      </w:r>
      <w:r w:rsidR="00933510">
        <w:rPr>
          <w:lang w:val="en-ZA"/>
        </w:rPr>
        <w:t xml:space="preserve"> and such contestation</w:t>
      </w:r>
      <w:r w:rsidR="0089648C">
        <w:rPr>
          <w:lang w:val="en-ZA"/>
        </w:rPr>
        <w:t>s</w:t>
      </w:r>
      <w:r w:rsidR="00933510">
        <w:rPr>
          <w:lang w:val="en-ZA"/>
        </w:rPr>
        <w:t xml:space="preserve"> have some merit. </w:t>
      </w:r>
    </w:p>
    <w:p w14:paraId="0EF69F48" w14:textId="77777777" w:rsidR="001862CD" w:rsidRDefault="001862CD" w:rsidP="001862CD">
      <w:pPr>
        <w:pStyle w:val="JudgmentNumbered"/>
        <w:numPr>
          <w:ilvl w:val="0"/>
          <w:numId w:val="0"/>
        </w:numPr>
        <w:spacing w:after="0"/>
        <w:rPr>
          <w:lang w:val="en-ZA"/>
        </w:rPr>
      </w:pPr>
    </w:p>
    <w:p w14:paraId="264945BB" w14:textId="77777777" w:rsidR="00933510" w:rsidRDefault="009A38C9" w:rsidP="001862CD">
      <w:pPr>
        <w:pStyle w:val="JudgmentNumbered"/>
        <w:numPr>
          <w:ilvl w:val="0"/>
          <w:numId w:val="0"/>
        </w:numPr>
        <w:spacing w:after="0"/>
        <w:rPr>
          <w:lang w:val="en-ZA"/>
        </w:rPr>
      </w:pPr>
      <w:r>
        <w:rPr>
          <w:lang w:val="en-ZA"/>
        </w:rPr>
        <w:t>[3</w:t>
      </w:r>
      <w:r w:rsidR="00273578">
        <w:rPr>
          <w:lang w:val="en-ZA"/>
        </w:rPr>
        <w:t>3</w:t>
      </w:r>
      <w:r>
        <w:rPr>
          <w:lang w:val="en-ZA"/>
        </w:rPr>
        <w:t>]</w:t>
      </w:r>
      <w:r>
        <w:rPr>
          <w:lang w:val="en-ZA"/>
        </w:rPr>
        <w:tab/>
      </w:r>
      <w:r w:rsidR="00933510">
        <w:rPr>
          <w:lang w:val="en-ZA"/>
        </w:rPr>
        <w:t xml:space="preserve">Judgment was granted in favour of the </w:t>
      </w:r>
      <w:r w:rsidR="0068693E">
        <w:rPr>
          <w:color w:val="000000" w:themeColor="text1"/>
          <w:lang w:val="en-ZA"/>
        </w:rPr>
        <w:t xml:space="preserve">respondent </w:t>
      </w:r>
      <w:proofErr w:type="gramStart"/>
      <w:r w:rsidR="00933510">
        <w:rPr>
          <w:lang w:val="en-ZA"/>
        </w:rPr>
        <w:t>for the amount of</w:t>
      </w:r>
      <w:proofErr w:type="gramEnd"/>
      <w:r w:rsidR="00933510">
        <w:rPr>
          <w:lang w:val="en-ZA"/>
        </w:rPr>
        <w:t xml:space="preserve"> R 400 000.00, including interest from 11 January 2013, when the letter of demand was issued. The defendant complains that the interest awarded was based on the rate of </w:t>
      </w:r>
      <w:r w:rsidR="00933510">
        <w:rPr>
          <w:lang w:val="en-ZA"/>
        </w:rPr>
        <w:lastRenderedPageBreak/>
        <w:t>15.5% and not the prevailing rate, 7.5% for illiquid debt at the time of judgment. In the</w:t>
      </w:r>
      <w:r w:rsidR="007118D3">
        <w:rPr>
          <w:lang w:val="en-ZA"/>
        </w:rPr>
        <w:t xml:space="preserve"> </w:t>
      </w:r>
      <w:r w:rsidR="007118D3" w:rsidRPr="0068693E">
        <w:rPr>
          <w:color w:val="000000" w:themeColor="text1"/>
          <w:lang w:val="en-ZA"/>
        </w:rPr>
        <w:t>respondent’s</w:t>
      </w:r>
      <w:r w:rsidR="00933510" w:rsidRPr="007A360D">
        <w:rPr>
          <w:color w:val="FF0000"/>
          <w:lang w:val="en-ZA"/>
        </w:rPr>
        <w:t xml:space="preserve"> </w:t>
      </w:r>
      <w:r w:rsidR="00933510">
        <w:rPr>
          <w:lang w:val="en-ZA"/>
        </w:rPr>
        <w:t xml:space="preserve">heads of argument, the contention is that the rate is </w:t>
      </w:r>
      <w:proofErr w:type="gramStart"/>
      <w:r w:rsidR="00933510">
        <w:rPr>
          <w:lang w:val="en-ZA"/>
        </w:rPr>
        <w:t>actually 7.25%</w:t>
      </w:r>
      <w:proofErr w:type="gramEnd"/>
      <w:r w:rsidR="00933510">
        <w:rPr>
          <w:lang w:val="en-ZA"/>
        </w:rPr>
        <w:t xml:space="preserve"> and not 7.5%. </w:t>
      </w:r>
    </w:p>
    <w:p w14:paraId="6404CFBA" w14:textId="77777777" w:rsidR="001862CD" w:rsidRDefault="001862CD" w:rsidP="001862CD">
      <w:pPr>
        <w:pStyle w:val="JudgmentNumbered"/>
        <w:numPr>
          <w:ilvl w:val="0"/>
          <w:numId w:val="0"/>
        </w:numPr>
        <w:spacing w:after="0"/>
        <w:rPr>
          <w:lang w:val="en-ZA"/>
        </w:rPr>
      </w:pPr>
    </w:p>
    <w:p w14:paraId="27A206A3" w14:textId="77777777" w:rsidR="007A360D" w:rsidRDefault="00022B99" w:rsidP="00022B99">
      <w:pPr>
        <w:pStyle w:val="JudgmentNumbered"/>
        <w:numPr>
          <w:ilvl w:val="0"/>
          <w:numId w:val="0"/>
        </w:numPr>
        <w:rPr>
          <w:szCs w:val="24"/>
          <w:lang w:val="en-ZA"/>
        </w:rPr>
      </w:pPr>
      <w:r>
        <w:rPr>
          <w:lang w:val="en-ZA"/>
        </w:rPr>
        <w:t>[3</w:t>
      </w:r>
      <w:r w:rsidR="00273578">
        <w:rPr>
          <w:lang w:val="en-ZA"/>
        </w:rPr>
        <w:t>4</w:t>
      </w:r>
      <w:r>
        <w:rPr>
          <w:lang w:val="en-ZA"/>
        </w:rPr>
        <w:t>]</w:t>
      </w:r>
      <w:r>
        <w:rPr>
          <w:lang w:val="en-ZA"/>
        </w:rPr>
        <w:tab/>
      </w:r>
      <w:r w:rsidR="00933510">
        <w:rPr>
          <w:lang w:val="en-ZA"/>
        </w:rPr>
        <w:t xml:space="preserve">The </w:t>
      </w:r>
      <w:r w:rsidRPr="00107FD8">
        <w:rPr>
          <w:lang w:val="en-ZA"/>
        </w:rPr>
        <w:t>appellant</w:t>
      </w:r>
      <w:r w:rsidR="007A360D" w:rsidRPr="00107FD8">
        <w:rPr>
          <w:lang w:val="en-ZA"/>
        </w:rPr>
        <w:t xml:space="preserve"> </w:t>
      </w:r>
      <w:r>
        <w:rPr>
          <w:lang w:val="en-ZA"/>
        </w:rPr>
        <w:t>submits</w:t>
      </w:r>
      <w:r w:rsidR="00933510">
        <w:rPr>
          <w:lang w:val="en-ZA"/>
        </w:rPr>
        <w:t xml:space="preserve"> that the interest should have been granted from </w:t>
      </w:r>
      <w:r w:rsidR="00933510" w:rsidRPr="00A04630">
        <w:rPr>
          <w:u w:val="single"/>
          <w:lang w:val="en-ZA"/>
        </w:rPr>
        <w:t>the date of payment of judgment</w:t>
      </w:r>
      <w:r w:rsidR="00933510">
        <w:rPr>
          <w:lang w:val="en-ZA"/>
        </w:rPr>
        <w:t xml:space="preserve"> at the </w:t>
      </w:r>
      <w:r w:rsidR="00933510" w:rsidRPr="00624291">
        <w:rPr>
          <w:u w:val="single"/>
          <w:lang w:val="en-ZA"/>
        </w:rPr>
        <w:t>legal rate at the time of judgment</w:t>
      </w:r>
      <w:r w:rsidR="00933510">
        <w:rPr>
          <w:lang w:val="en-ZA"/>
        </w:rPr>
        <w:t>. That, at the date when summons was issued</w:t>
      </w:r>
      <w:r w:rsidR="00765AAF">
        <w:rPr>
          <w:lang w:val="en-ZA"/>
        </w:rPr>
        <w:t xml:space="preserve"> on </w:t>
      </w:r>
      <w:r w:rsidR="00765AAF" w:rsidRPr="003E56BD">
        <w:rPr>
          <w:szCs w:val="24"/>
        </w:rPr>
        <w:t>03 December 2012</w:t>
      </w:r>
      <w:r w:rsidR="00933510">
        <w:rPr>
          <w:lang w:val="en-ZA"/>
        </w:rPr>
        <w:t xml:space="preserve">, there was no debt due to the </w:t>
      </w:r>
      <w:r w:rsidR="00381CFF">
        <w:rPr>
          <w:lang w:val="en-ZA"/>
        </w:rPr>
        <w:t>respondent as</w:t>
      </w:r>
      <w:r w:rsidR="00933510">
        <w:rPr>
          <w:lang w:val="en-ZA"/>
        </w:rPr>
        <w:t xml:space="preserve"> the claim is </w:t>
      </w:r>
      <w:proofErr w:type="spellStart"/>
      <w:r w:rsidR="00933510">
        <w:rPr>
          <w:lang w:val="en-ZA"/>
        </w:rPr>
        <w:t>delictual</w:t>
      </w:r>
      <w:proofErr w:type="spellEnd"/>
      <w:r w:rsidR="00933510">
        <w:rPr>
          <w:lang w:val="en-ZA"/>
        </w:rPr>
        <w:t xml:space="preserve"> in nature and would only be due once judgment was granted in favour of the </w:t>
      </w:r>
      <w:r w:rsidR="007118D3">
        <w:rPr>
          <w:lang w:val="en-ZA"/>
        </w:rPr>
        <w:t>respondent and</w:t>
      </w:r>
      <w:r w:rsidR="00933510">
        <w:rPr>
          <w:lang w:val="en-ZA"/>
        </w:rPr>
        <w:t xml:space="preserve"> once the amount due is determined. If this quantification on this rate </w:t>
      </w:r>
      <w:r w:rsidR="00933510" w:rsidRPr="005C21DA">
        <w:rPr>
          <w:szCs w:val="24"/>
          <w:lang w:val="en-ZA"/>
        </w:rPr>
        <w:t xml:space="preserve">is allowed, the in </w:t>
      </w:r>
      <w:proofErr w:type="spellStart"/>
      <w:r w:rsidR="00933510" w:rsidRPr="005C21DA">
        <w:rPr>
          <w:i/>
          <w:iCs/>
          <w:szCs w:val="24"/>
          <w:lang w:val="en-ZA"/>
        </w:rPr>
        <w:t>duplum</w:t>
      </w:r>
      <w:proofErr w:type="spellEnd"/>
      <w:r w:rsidR="00933510" w:rsidRPr="005C21DA">
        <w:rPr>
          <w:i/>
          <w:iCs/>
          <w:szCs w:val="24"/>
          <w:lang w:val="en-ZA"/>
        </w:rPr>
        <w:t xml:space="preserve"> </w:t>
      </w:r>
      <w:r w:rsidR="00933510" w:rsidRPr="005C21DA">
        <w:rPr>
          <w:szCs w:val="24"/>
          <w:lang w:val="en-ZA"/>
        </w:rPr>
        <w:t xml:space="preserve">rule will be violated. </w:t>
      </w:r>
    </w:p>
    <w:p w14:paraId="0DE55C8E" w14:textId="77777777" w:rsidR="00933510" w:rsidRDefault="00C67A72" w:rsidP="001862CD">
      <w:pPr>
        <w:pStyle w:val="JudgmentNumbered"/>
        <w:numPr>
          <w:ilvl w:val="0"/>
          <w:numId w:val="0"/>
        </w:numPr>
        <w:spacing w:after="0"/>
        <w:rPr>
          <w:szCs w:val="24"/>
          <w:lang w:val="en-ZA"/>
        </w:rPr>
      </w:pPr>
      <w:r>
        <w:rPr>
          <w:szCs w:val="24"/>
          <w:lang w:val="en-ZA"/>
        </w:rPr>
        <w:t>[3</w:t>
      </w:r>
      <w:r w:rsidR="004D7028">
        <w:rPr>
          <w:szCs w:val="24"/>
          <w:lang w:val="en-ZA"/>
        </w:rPr>
        <w:t>5</w:t>
      </w:r>
      <w:r>
        <w:rPr>
          <w:szCs w:val="24"/>
          <w:lang w:val="en-ZA"/>
        </w:rPr>
        <w:t>]</w:t>
      </w:r>
      <w:r>
        <w:rPr>
          <w:szCs w:val="24"/>
          <w:lang w:val="en-ZA"/>
        </w:rPr>
        <w:tab/>
      </w:r>
      <w:r w:rsidR="005C21DA" w:rsidRPr="005C21DA">
        <w:rPr>
          <w:szCs w:val="24"/>
          <w:lang w:val="en-ZA"/>
        </w:rPr>
        <w:t>In</w:t>
      </w:r>
      <w:r w:rsidR="005C21DA">
        <w:rPr>
          <w:szCs w:val="24"/>
          <w:lang w:val="en-ZA"/>
        </w:rPr>
        <w:t xml:space="preserve"> </w:t>
      </w:r>
      <w:r w:rsidR="005C21DA" w:rsidRPr="00B52C6B">
        <w:rPr>
          <w:i/>
          <w:iCs/>
          <w:szCs w:val="24"/>
          <w:lang w:val="en-ZA"/>
        </w:rPr>
        <w:t xml:space="preserve">MEC: Police, Roads and Transport Free State Provincial Government v </w:t>
      </w:r>
      <w:proofErr w:type="spellStart"/>
      <w:r w:rsidR="005C21DA" w:rsidRPr="00B52C6B">
        <w:rPr>
          <w:i/>
          <w:iCs/>
          <w:szCs w:val="24"/>
          <w:lang w:val="en-ZA"/>
        </w:rPr>
        <w:t>Bovicon</w:t>
      </w:r>
      <w:proofErr w:type="spellEnd"/>
      <w:r w:rsidR="005C21DA" w:rsidRPr="00B52C6B">
        <w:rPr>
          <w:i/>
          <w:iCs/>
          <w:szCs w:val="24"/>
          <w:lang w:val="en-ZA"/>
        </w:rPr>
        <w:t xml:space="preserve"> Consulting Engineers CC and Another,</w:t>
      </w:r>
      <w:r w:rsidR="00B52C6B">
        <w:rPr>
          <w:rStyle w:val="FootnoteReference"/>
          <w:i/>
          <w:iCs/>
          <w:szCs w:val="24"/>
          <w:lang w:val="en-ZA"/>
        </w:rPr>
        <w:footnoteReference w:id="16"/>
      </w:r>
      <w:r w:rsidR="005C21DA">
        <w:rPr>
          <w:szCs w:val="24"/>
          <w:lang w:val="en-ZA"/>
        </w:rPr>
        <w:t xml:space="preserve"> the court confirmed the settled position of </w:t>
      </w:r>
      <w:r w:rsidR="005C21DA" w:rsidRPr="00B52C6B">
        <w:rPr>
          <w:i/>
          <w:iCs/>
          <w:szCs w:val="24"/>
          <w:lang w:val="en-ZA"/>
        </w:rPr>
        <w:t xml:space="preserve">Paulsen and Another v Slip Knot Investment 777 (Pty) </w:t>
      </w:r>
      <w:r w:rsidR="00CC1739" w:rsidRPr="00B52C6B">
        <w:rPr>
          <w:i/>
          <w:iCs/>
          <w:szCs w:val="24"/>
          <w:lang w:val="en-ZA"/>
        </w:rPr>
        <w:t>Limited</w:t>
      </w:r>
      <w:r w:rsidR="00CC1739">
        <w:rPr>
          <w:szCs w:val="24"/>
          <w:lang w:val="en-ZA"/>
        </w:rPr>
        <w:t xml:space="preserve"> [</w:t>
      </w:r>
      <w:r w:rsidR="005C21DA">
        <w:rPr>
          <w:szCs w:val="24"/>
          <w:lang w:val="en-ZA"/>
        </w:rPr>
        <w:t xml:space="preserve">2015] (3) SA 479 </w:t>
      </w:r>
      <w:r w:rsidR="00B52C6B">
        <w:rPr>
          <w:szCs w:val="24"/>
          <w:lang w:val="en-ZA"/>
        </w:rPr>
        <w:t>(CC</w:t>
      </w:r>
      <w:r w:rsidR="005C21DA">
        <w:rPr>
          <w:szCs w:val="24"/>
          <w:lang w:val="en-ZA"/>
        </w:rPr>
        <w:t xml:space="preserve">) and held that interests run anew from the date that the judgment debt is due and payable. </w:t>
      </w:r>
      <w:r w:rsidR="00B52C6B">
        <w:rPr>
          <w:szCs w:val="24"/>
          <w:lang w:val="en-ZA"/>
        </w:rPr>
        <w:t xml:space="preserve">The rule is that the arrear interest stops accruing when the sum of unpaid interest stops equals the extend of the outstanding capital. </w:t>
      </w:r>
    </w:p>
    <w:p w14:paraId="331C760C" w14:textId="77777777" w:rsidR="001862CD" w:rsidRDefault="001862CD" w:rsidP="001862CD">
      <w:pPr>
        <w:pStyle w:val="JudgmentNumbered"/>
        <w:numPr>
          <w:ilvl w:val="0"/>
          <w:numId w:val="0"/>
        </w:numPr>
        <w:spacing w:after="0"/>
        <w:rPr>
          <w:lang w:val="en-ZA"/>
        </w:rPr>
      </w:pPr>
    </w:p>
    <w:p w14:paraId="65E9889E" w14:textId="77777777" w:rsidR="00933510" w:rsidRPr="00487B41" w:rsidRDefault="005714D8" w:rsidP="001862CD">
      <w:pPr>
        <w:pStyle w:val="JudgmentNumbered"/>
        <w:numPr>
          <w:ilvl w:val="0"/>
          <w:numId w:val="0"/>
        </w:numPr>
        <w:spacing w:after="0"/>
        <w:rPr>
          <w:lang w:val="en-ZA"/>
        </w:rPr>
      </w:pPr>
      <w:r>
        <w:t>[3</w:t>
      </w:r>
      <w:r w:rsidR="004D7028">
        <w:t>6</w:t>
      </w:r>
      <w:r>
        <w:t>]</w:t>
      </w:r>
      <w:r>
        <w:tab/>
      </w:r>
      <w:r w:rsidR="00933510">
        <w:t xml:space="preserve">On the question on when interest should begin to accumulate on unliquidated claims, Ledwaba DJP stated the law thus in </w:t>
      </w:r>
      <w:proofErr w:type="spellStart"/>
      <w:r w:rsidR="00933510" w:rsidRPr="00F95305">
        <w:rPr>
          <w:i/>
          <w:iCs/>
        </w:rPr>
        <w:t>Blything</w:t>
      </w:r>
      <w:proofErr w:type="spellEnd"/>
      <w:r w:rsidR="00933510" w:rsidRPr="00F95305">
        <w:rPr>
          <w:i/>
          <w:iCs/>
        </w:rPr>
        <w:t xml:space="preserve"> v Minister of Safety and Security</w:t>
      </w:r>
      <w:r w:rsidR="00933510" w:rsidRPr="00487B41">
        <w:t>,</w:t>
      </w:r>
      <w:r w:rsidR="00933510">
        <w:rPr>
          <w:rStyle w:val="FootnoteReference"/>
        </w:rPr>
        <w:footnoteReference w:id="17"/>
      </w:r>
      <w:r w:rsidR="00933510">
        <w:rPr>
          <w:i/>
          <w:iCs/>
        </w:rPr>
        <w:t xml:space="preserve"> </w:t>
      </w:r>
      <w:r w:rsidR="00933510" w:rsidRPr="00FC0DEC">
        <w:t xml:space="preserve">a matter not dissimilar to the one in </w:t>
      </w:r>
      <w:proofErr w:type="spellStart"/>
      <w:r w:rsidR="00933510" w:rsidRPr="004C4CE4">
        <w:rPr>
          <w:i/>
          <w:iCs/>
        </w:rPr>
        <w:t>casu</w:t>
      </w:r>
      <w:proofErr w:type="spellEnd"/>
      <w:r w:rsidR="00933510">
        <w:rPr>
          <w:i/>
          <w:iCs/>
        </w:rPr>
        <w:t xml:space="preserve"> </w:t>
      </w:r>
      <w:r w:rsidR="00933510">
        <w:t xml:space="preserve">involving damages for unlawful arrest and detention – </w:t>
      </w:r>
    </w:p>
    <w:p w14:paraId="4B2B0292" w14:textId="77777777" w:rsidR="00933510" w:rsidRPr="00314170" w:rsidRDefault="00933510" w:rsidP="00933510">
      <w:pPr>
        <w:pStyle w:val="JudgmentNumbered"/>
        <w:numPr>
          <w:ilvl w:val="0"/>
          <w:numId w:val="0"/>
        </w:numPr>
        <w:spacing w:after="0"/>
        <w:ind w:left="720"/>
        <w:rPr>
          <w:b/>
          <w:i/>
          <w:iCs/>
          <w:sz w:val="22"/>
          <w:lang w:val="en-ZA"/>
        </w:rPr>
      </w:pPr>
    </w:p>
    <w:p w14:paraId="4C0E6777" w14:textId="77777777" w:rsidR="00933510" w:rsidRPr="00314170" w:rsidRDefault="00933510" w:rsidP="00933510">
      <w:pPr>
        <w:pStyle w:val="JudgmentNumbered"/>
        <w:numPr>
          <w:ilvl w:val="0"/>
          <w:numId w:val="0"/>
        </w:numPr>
        <w:spacing w:after="0"/>
        <w:ind w:left="567" w:firstLine="153"/>
        <w:rPr>
          <w:b/>
          <w:i/>
          <w:iCs/>
          <w:sz w:val="22"/>
          <w:lang w:val="en-ZA"/>
        </w:rPr>
      </w:pPr>
      <w:r w:rsidRPr="00314170">
        <w:rPr>
          <w:b/>
          <w:i/>
          <w:iCs/>
          <w:sz w:val="22"/>
          <w:u w:val="single"/>
          <w:lang w:val="en-ZA"/>
        </w:rPr>
        <w:t>The Law</w:t>
      </w:r>
      <w:r w:rsidRPr="00314170">
        <w:rPr>
          <w:b/>
          <w:i/>
          <w:iCs/>
          <w:sz w:val="22"/>
          <w:lang w:val="en-ZA"/>
        </w:rPr>
        <w:t>:</w:t>
      </w:r>
    </w:p>
    <w:p w14:paraId="5FA4248F"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[11]   Before the introduction of section 2A</w:t>
      </w:r>
      <w:bookmarkStart w:id="7" w:name="0-0-0-770263"/>
      <w:bookmarkEnd w:id="7"/>
      <w:r w:rsidRPr="005714D8">
        <w:rPr>
          <w:i/>
          <w:iCs/>
          <w:sz w:val="22"/>
          <w:lang w:val="en-ZA"/>
        </w:rPr>
        <w:t> (hereinafter referred to as "Act 55 of 1975"), no common law principle or statutory enactment provided for the award of pre-judgment interest on unliquidated damages. </w:t>
      </w:r>
      <w:bookmarkStart w:id="8" w:name="0-0-0-770267"/>
      <w:bookmarkEnd w:id="8"/>
      <w:r w:rsidRPr="005714D8">
        <w:rPr>
          <w:i/>
          <w:iCs/>
          <w:sz w:val="22"/>
          <w:lang w:val="en-ZA"/>
        </w:rPr>
        <w:t xml:space="preserve"> </w:t>
      </w:r>
    </w:p>
    <w:p w14:paraId="371B641B" w14:textId="77777777" w:rsidR="00933510" w:rsidRPr="005714D8" w:rsidRDefault="00933510" w:rsidP="00933510">
      <w:pPr>
        <w:pStyle w:val="JudgmentNumbered"/>
        <w:numPr>
          <w:ilvl w:val="0"/>
          <w:numId w:val="0"/>
        </w:numPr>
        <w:spacing w:after="0"/>
        <w:ind w:left="567" w:firstLine="153"/>
        <w:rPr>
          <w:i/>
          <w:iCs/>
          <w:sz w:val="22"/>
          <w:lang w:val="en-ZA"/>
        </w:rPr>
      </w:pPr>
      <w:r w:rsidRPr="005714D8">
        <w:rPr>
          <w:i/>
          <w:iCs/>
          <w:sz w:val="22"/>
          <w:lang w:val="en-ZA"/>
        </w:rPr>
        <w:t>[12]   Section 2A reads as follows:</w:t>
      </w:r>
    </w:p>
    <w:p w14:paraId="30DC37B3" w14:textId="77777777" w:rsidR="00933510" w:rsidRPr="005714D8" w:rsidRDefault="00933510" w:rsidP="00933510">
      <w:pPr>
        <w:pStyle w:val="JudgmentNumbered"/>
        <w:numPr>
          <w:ilvl w:val="0"/>
          <w:numId w:val="0"/>
        </w:numPr>
        <w:spacing w:after="0"/>
        <w:ind w:left="567"/>
        <w:rPr>
          <w:i/>
          <w:iCs/>
          <w:sz w:val="22"/>
          <w:lang w:val="en-ZA"/>
        </w:rPr>
      </w:pPr>
      <w:r w:rsidRPr="005714D8">
        <w:rPr>
          <w:i/>
          <w:iCs/>
          <w:sz w:val="22"/>
          <w:lang w:val="en-ZA"/>
        </w:rPr>
        <w:t xml:space="preserve">    "2A. Interest on unliquidated </w:t>
      </w:r>
      <w:proofErr w:type="gramStart"/>
      <w:r w:rsidRPr="005714D8">
        <w:rPr>
          <w:i/>
          <w:iCs/>
          <w:sz w:val="22"/>
          <w:lang w:val="en-ZA"/>
        </w:rPr>
        <w:t>debts.-</w:t>
      </w:r>
      <w:proofErr w:type="gramEnd"/>
    </w:p>
    <w:p w14:paraId="0B51AA58" w14:textId="6CBDE74D" w:rsidR="00933510" w:rsidRPr="005714D8" w:rsidRDefault="00036852" w:rsidP="00036852">
      <w:pPr>
        <w:pStyle w:val="JudgmentNumbered"/>
        <w:numPr>
          <w:ilvl w:val="0"/>
          <w:numId w:val="0"/>
        </w:numPr>
        <w:spacing w:after="0"/>
        <w:ind w:left="1930" w:hanging="490"/>
        <w:rPr>
          <w:i/>
          <w:iCs/>
          <w:sz w:val="22"/>
          <w:lang w:val="en-ZA"/>
        </w:rPr>
      </w:pPr>
      <w:r w:rsidRPr="005714D8">
        <w:rPr>
          <w:i/>
          <w:iCs/>
          <w:sz w:val="22"/>
          <w:lang w:val="en-ZA"/>
        </w:rPr>
        <w:lastRenderedPageBreak/>
        <w:t>(1)</w:t>
      </w:r>
      <w:r w:rsidRPr="005714D8">
        <w:rPr>
          <w:i/>
          <w:iCs/>
          <w:sz w:val="22"/>
          <w:lang w:val="en-ZA"/>
        </w:rPr>
        <w:tab/>
      </w:r>
      <w:r w:rsidR="00933510" w:rsidRPr="005714D8">
        <w:rPr>
          <w:i/>
          <w:iCs/>
          <w:sz w:val="22"/>
          <w:lang w:val="en-ZA"/>
        </w:rPr>
        <w:t>Subject to the provisions of this section the amount of every unliquidated debt as determined by a court of law, shall bear interest as contemplated in s 1.</w:t>
      </w:r>
    </w:p>
    <w:p w14:paraId="57009D0D" w14:textId="77777777" w:rsidR="00933510" w:rsidRPr="005714D8" w:rsidRDefault="00933510" w:rsidP="00933510">
      <w:pPr>
        <w:pStyle w:val="JudgmentNumbered"/>
        <w:numPr>
          <w:ilvl w:val="0"/>
          <w:numId w:val="0"/>
        </w:numPr>
        <w:spacing w:after="0"/>
        <w:ind w:left="1930"/>
        <w:rPr>
          <w:i/>
          <w:iCs/>
          <w:sz w:val="22"/>
          <w:lang w:val="en-ZA"/>
        </w:rPr>
      </w:pPr>
      <w:r w:rsidRPr="005714D8">
        <w:rPr>
          <w:i/>
          <w:iCs/>
          <w:sz w:val="22"/>
          <w:lang w:val="en-ZA"/>
        </w:rPr>
        <w:t>(2) (a) Subject to any other agreement between the parties and the provisions of the National Credit Act, 2005 the interest contemplated in subs (1) shall run from the date on which payment of the debt is claimed by the service on the debtor of a demand or summons, whichever date is the earlier.</w:t>
      </w:r>
    </w:p>
    <w:p w14:paraId="4D95E692" w14:textId="77777777" w:rsidR="00933510" w:rsidRPr="005714D8" w:rsidRDefault="00933510" w:rsidP="00933510">
      <w:pPr>
        <w:pStyle w:val="JudgmentNumbered"/>
        <w:numPr>
          <w:ilvl w:val="0"/>
          <w:numId w:val="0"/>
        </w:numPr>
        <w:spacing w:after="0"/>
        <w:ind w:left="1440"/>
        <w:rPr>
          <w:i/>
          <w:iCs/>
          <w:sz w:val="22"/>
          <w:lang w:val="en-ZA"/>
        </w:rPr>
      </w:pPr>
      <w:r w:rsidRPr="005714D8">
        <w:rPr>
          <w:i/>
          <w:iCs/>
          <w:sz w:val="22"/>
          <w:lang w:val="en-ZA"/>
        </w:rPr>
        <w:t xml:space="preserve">   (</w:t>
      </w:r>
      <w:proofErr w:type="gramStart"/>
      <w:r w:rsidR="007A360D">
        <w:rPr>
          <w:i/>
          <w:iCs/>
          <w:sz w:val="22"/>
          <w:lang w:val="en-ZA"/>
        </w:rPr>
        <w:t xml:space="preserve">5 </w:t>
      </w:r>
      <w:r w:rsidRPr="005714D8">
        <w:rPr>
          <w:i/>
          <w:iCs/>
          <w:sz w:val="22"/>
          <w:lang w:val="en-ZA"/>
        </w:rPr>
        <w:t>)</w:t>
      </w:r>
      <w:proofErr w:type="gramEnd"/>
      <w:r w:rsidRPr="005714D8">
        <w:rPr>
          <w:i/>
          <w:iCs/>
          <w:sz w:val="22"/>
          <w:lang w:val="en-ZA"/>
        </w:rPr>
        <w:t xml:space="preserve">   Notwithstanding the provisions of this Act but subject to any other law or an agreement between the parties, a court of law, .... may make such an order as appears just in respect of the payment of interest on an unliquidated debt, the rate at which interest shall accrue and the date which interest shall run.</w:t>
      </w:r>
    </w:p>
    <w:p w14:paraId="0ABB49A2" w14:textId="77777777" w:rsidR="00933510" w:rsidRPr="005714D8" w:rsidRDefault="007A360D" w:rsidP="00933510">
      <w:pPr>
        <w:pStyle w:val="JudgmentNumbered"/>
        <w:numPr>
          <w:ilvl w:val="0"/>
          <w:numId w:val="0"/>
        </w:numPr>
        <w:spacing w:after="0"/>
        <w:ind w:left="720"/>
        <w:rPr>
          <w:i/>
          <w:iCs/>
          <w:sz w:val="22"/>
          <w:lang w:val="en-ZA"/>
        </w:rPr>
      </w:pPr>
      <w:r w:rsidRPr="005714D8">
        <w:rPr>
          <w:i/>
          <w:iCs/>
          <w:sz w:val="22"/>
          <w:lang w:val="en-ZA"/>
        </w:rPr>
        <w:t xml:space="preserve"> </w:t>
      </w:r>
      <w:r w:rsidR="00933510" w:rsidRPr="005714D8">
        <w:rPr>
          <w:i/>
          <w:iCs/>
          <w:sz w:val="22"/>
          <w:lang w:val="en-ZA"/>
        </w:rPr>
        <w:t xml:space="preserve">[17]   The position in respect of unliquidated damages has been set out in several judgments in our law and in Coetzee AJ in </w:t>
      </w:r>
      <w:r w:rsidR="00933510" w:rsidRPr="005714D8">
        <w:rPr>
          <w:b/>
          <w:bCs/>
          <w:i/>
          <w:iCs/>
          <w:sz w:val="22"/>
          <w:lang w:val="en-ZA"/>
        </w:rPr>
        <w:t xml:space="preserve">Du Plooy v Venter Joubert </w:t>
      </w:r>
      <w:proofErr w:type="spellStart"/>
      <w:r w:rsidR="00933510" w:rsidRPr="005714D8">
        <w:rPr>
          <w:b/>
          <w:bCs/>
          <w:i/>
          <w:iCs/>
          <w:sz w:val="22"/>
          <w:lang w:val="en-ZA"/>
        </w:rPr>
        <w:t>lng</w:t>
      </w:r>
      <w:proofErr w:type="spellEnd"/>
      <w:r w:rsidR="00933510" w:rsidRPr="005714D8">
        <w:rPr>
          <w:b/>
          <w:bCs/>
          <w:i/>
          <w:iCs/>
          <w:sz w:val="22"/>
          <w:lang w:val="en-ZA"/>
        </w:rPr>
        <w:t xml:space="preserve">. </w:t>
      </w:r>
      <w:proofErr w:type="spellStart"/>
      <w:r w:rsidR="00933510" w:rsidRPr="005714D8">
        <w:rPr>
          <w:b/>
          <w:bCs/>
          <w:i/>
          <w:iCs/>
          <w:sz w:val="22"/>
          <w:lang w:val="en-ZA"/>
        </w:rPr>
        <w:t>en</w:t>
      </w:r>
      <w:proofErr w:type="spellEnd"/>
      <w:r w:rsidR="00933510" w:rsidRPr="005714D8">
        <w:rPr>
          <w:b/>
          <w:bCs/>
          <w:i/>
          <w:iCs/>
          <w:sz w:val="22"/>
          <w:lang w:val="en-ZA"/>
        </w:rPr>
        <w:t xml:space="preserve"> Ander</w:t>
      </w:r>
      <w:r w:rsidR="00933510" w:rsidRPr="005714D8">
        <w:rPr>
          <w:i/>
          <w:iCs/>
          <w:sz w:val="22"/>
          <w:lang w:val="en-ZA"/>
        </w:rPr>
        <w:t xml:space="preserve"> at paragraph [23] states as follows:</w:t>
      </w:r>
    </w:p>
    <w:p w14:paraId="4E04701E" w14:textId="77777777" w:rsidR="00DD11F5" w:rsidRDefault="00DD11F5" w:rsidP="00933510">
      <w:pPr>
        <w:pStyle w:val="JudgmentNumbered"/>
        <w:numPr>
          <w:ilvl w:val="0"/>
          <w:numId w:val="0"/>
        </w:numPr>
        <w:spacing w:after="0"/>
        <w:ind w:left="1440"/>
        <w:rPr>
          <w:i/>
          <w:iCs/>
          <w:sz w:val="22"/>
          <w:lang w:val="en-ZA"/>
        </w:rPr>
      </w:pPr>
    </w:p>
    <w:p w14:paraId="1B4E0571" w14:textId="77777777" w:rsidR="00933510" w:rsidRPr="005714D8" w:rsidRDefault="00933510" w:rsidP="00933510">
      <w:pPr>
        <w:pStyle w:val="JudgmentNumbered"/>
        <w:numPr>
          <w:ilvl w:val="0"/>
          <w:numId w:val="0"/>
        </w:numPr>
        <w:spacing w:after="0"/>
        <w:ind w:left="1440"/>
        <w:rPr>
          <w:i/>
          <w:iCs/>
          <w:sz w:val="22"/>
          <w:lang w:val="en-ZA"/>
        </w:rPr>
      </w:pPr>
      <w:r w:rsidRPr="005714D8">
        <w:rPr>
          <w:i/>
          <w:iCs/>
          <w:sz w:val="22"/>
          <w:lang w:val="en-ZA"/>
        </w:rPr>
        <w:t>"In as far as s 1 do not provide for the calculation of interest on unliquidated debts, Grosskopf JA, prior to s 2A being enacted, in SA Eagle Insurance Co Ltd v Hartley, remarked as follows:</w:t>
      </w:r>
    </w:p>
    <w:p w14:paraId="1B339206" w14:textId="77777777" w:rsidR="00933510" w:rsidRDefault="00933510" w:rsidP="00933510">
      <w:pPr>
        <w:pStyle w:val="JudgmentNumbered"/>
        <w:numPr>
          <w:ilvl w:val="0"/>
          <w:numId w:val="0"/>
        </w:numPr>
        <w:spacing w:after="0"/>
        <w:ind w:left="2160"/>
        <w:rPr>
          <w:i/>
          <w:iCs/>
          <w:sz w:val="22"/>
          <w:lang w:val="en-ZA"/>
        </w:rPr>
      </w:pPr>
      <w:r w:rsidRPr="005714D8">
        <w:rPr>
          <w:i/>
          <w:iCs/>
          <w:sz w:val="22"/>
          <w:lang w:val="en-ZA"/>
        </w:rPr>
        <w:t xml:space="preserve">'.... If a plaintiff through no fault of his own </w:t>
      </w:r>
      <w:proofErr w:type="gramStart"/>
      <w:r w:rsidRPr="005714D8">
        <w:rPr>
          <w:i/>
          <w:iCs/>
          <w:sz w:val="22"/>
          <w:lang w:val="en-ZA"/>
        </w:rPr>
        <w:t>has to</w:t>
      </w:r>
      <w:proofErr w:type="gramEnd"/>
      <w:r w:rsidRPr="005714D8">
        <w:rPr>
          <w:i/>
          <w:iCs/>
          <w:sz w:val="22"/>
          <w:lang w:val="en-ZA"/>
        </w:rPr>
        <w:t xml:space="preserve"> wait a substantial period of time to establish his claim it seems unfair that he should be paid in depreciated currency. Of course, in respect of many debts this problem is resolved (or partially resolved) by an order for the payment of interest, and the Prescribed Rates of Interest Act 55 of 1975 is flexible enough to permit the Minister of Justice to prescribe rates of interest which reflect the influence of inflation on the level of rates generally (see s 1(2). Its application is, however, limited to debts bearing interest (s 1(1)); and it is trite law that there can be no mora, and accordingly no mora interest in respect of unliquidated claims of damages. See Victoria Falls &amp; Transvaal Power Co Ltd v Consolidated </w:t>
      </w:r>
      <w:proofErr w:type="spellStart"/>
      <w:r w:rsidRPr="005714D8">
        <w:rPr>
          <w:i/>
          <w:iCs/>
          <w:sz w:val="22"/>
          <w:lang w:val="en-ZA"/>
        </w:rPr>
        <w:t>Langlaagte</w:t>
      </w:r>
      <w:proofErr w:type="spellEnd"/>
      <w:r w:rsidRPr="005714D8">
        <w:rPr>
          <w:i/>
          <w:iCs/>
          <w:sz w:val="22"/>
          <w:lang w:val="en-ZA"/>
        </w:rPr>
        <w:t xml:space="preserve"> Mines Ltd 1915 AD at 31-33, a decision which has been consistently applied and followed, also in this Court. It follows that there is no mechanism by which a court can compensate a plaintiff like the present for the ravages of inflation in respect of monetary losses incurred prior to the trial.'</w:t>
      </w:r>
    </w:p>
    <w:p w14:paraId="2475BF15" w14:textId="77777777" w:rsidR="00DD11F5" w:rsidRPr="005714D8" w:rsidRDefault="00DD11F5" w:rsidP="00933510">
      <w:pPr>
        <w:pStyle w:val="JudgmentNumbered"/>
        <w:numPr>
          <w:ilvl w:val="0"/>
          <w:numId w:val="0"/>
        </w:numPr>
        <w:spacing w:after="0"/>
        <w:ind w:left="2160"/>
        <w:rPr>
          <w:i/>
          <w:iCs/>
          <w:sz w:val="22"/>
          <w:lang w:val="en-ZA"/>
        </w:rPr>
      </w:pPr>
    </w:p>
    <w:p w14:paraId="5430465E" w14:textId="77777777" w:rsidR="00933510" w:rsidRDefault="00933510" w:rsidP="00933510">
      <w:pPr>
        <w:pStyle w:val="JudgmentNumbered"/>
        <w:numPr>
          <w:ilvl w:val="0"/>
          <w:numId w:val="0"/>
        </w:numPr>
        <w:spacing w:after="0"/>
        <w:ind w:left="720"/>
        <w:rPr>
          <w:i/>
          <w:iCs/>
          <w:sz w:val="22"/>
          <w:lang w:val="en-ZA"/>
        </w:rPr>
      </w:pPr>
      <w:r w:rsidRPr="005714D8">
        <w:rPr>
          <w:i/>
          <w:iCs/>
          <w:sz w:val="22"/>
          <w:lang w:val="en-ZA"/>
        </w:rPr>
        <w:t xml:space="preserve">[18]   In terms of the Prescribed Rates of Interest Act it is permissible to recover mora interest on amounts awarded by a court which, but for such award, were unliquidated. Once judgment is granted such interest </w:t>
      </w:r>
      <w:r w:rsidRPr="00D05860">
        <w:rPr>
          <w:i/>
          <w:iCs/>
          <w:sz w:val="22"/>
          <w:u w:val="single"/>
          <w:lang w:val="en-ZA"/>
        </w:rPr>
        <w:t>shall run from the date on which payment of the debt is claimed by the service on the debtor of a demand or summons,</w:t>
      </w:r>
      <w:r w:rsidRPr="005714D8">
        <w:rPr>
          <w:i/>
          <w:iCs/>
          <w:sz w:val="22"/>
          <w:lang w:val="en-ZA"/>
        </w:rPr>
        <w:t xml:space="preserve"> whichever date is earlier - section 2</w:t>
      </w:r>
      <w:proofErr w:type="gramStart"/>
      <w:r w:rsidRPr="005714D8">
        <w:rPr>
          <w:i/>
          <w:iCs/>
          <w:sz w:val="22"/>
          <w:lang w:val="en-ZA"/>
        </w:rPr>
        <w:t>A(</w:t>
      </w:r>
      <w:proofErr w:type="gramEnd"/>
      <w:r w:rsidRPr="005714D8">
        <w:rPr>
          <w:i/>
          <w:iCs/>
          <w:sz w:val="22"/>
          <w:lang w:val="en-ZA"/>
        </w:rPr>
        <w:t>2) (a) of Act 55 of 1975. The word "demand" is defined in the Act to mean a written demand setting out the creditor's claim in such a manner as to enable the debtor reasonably to assess the quantum thereof. </w:t>
      </w:r>
      <w:bookmarkStart w:id="9" w:name="0-0-0-770295"/>
      <w:bookmarkEnd w:id="9"/>
      <w:r w:rsidRPr="005714D8">
        <w:rPr>
          <w:i/>
          <w:iCs/>
          <w:sz w:val="22"/>
          <w:lang w:val="en-ZA"/>
        </w:rPr>
        <w:t xml:space="preserve"> </w:t>
      </w:r>
    </w:p>
    <w:p w14:paraId="5B0877C3" w14:textId="77777777" w:rsidR="00DD11F5" w:rsidRPr="005714D8" w:rsidRDefault="00DD11F5" w:rsidP="00933510">
      <w:pPr>
        <w:pStyle w:val="JudgmentNumbered"/>
        <w:numPr>
          <w:ilvl w:val="0"/>
          <w:numId w:val="0"/>
        </w:numPr>
        <w:spacing w:after="0"/>
        <w:ind w:left="720"/>
        <w:rPr>
          <w:i/>
          <w:iCs/>
          <w:sz w:val="22"/>
          <w:lang w:val="en-ZA"/>
        </w:rPr>
      </w:pPr>
    </w:p>
    <w:p w14:paraId="6EE75817"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[19]   In the </w:t>
      </w:r>
      <w:r w:rsidRPr="005714D8">
        <w:rPr>
          <w:b/>
          <w:bCs/>
          <w:i/>
          <w:iCs/>
          <w:sz w:val="22"/>
          <w:lang w:val="en-ZA"/>
        </w:rPr>
        <w:t>Kwenda case</w:t>
      </w:r>
      <w:r w:rsidRPr="005714D8">
        <w:rPr>
          <w:i/>
          <w:iCs/>
          <w:sz w:val="22"/>
          <w:lang w:val="en-ZA"/>
        </w:rPr>
        <w:t xml:space="preserve">, Murphy J accepted that in the </w:t>
      </w:r>
      <w:proofErr w:type="gramStart"/>
      <w:r w:rsidRPr="005714D8">
        <w:rPr>
          <w:i/>
          <w:iCs/>
          <w:sz w:val="22"/>
          <w:lang w:val="en-ZA"/>
        </w:rPr>
        <w:t>particular case</w:t>
      </w:r>
      <w:proofErr w:type="gramEnd"/>
      <w:r w:rsidRPr="005714D8">
        <w:rPr>
          <w:i/>
          <w:iCs/>
          <w:sz w:val="22"/>
          <w:lang w:val="en-ZA"/>
        </w:rPr>
        <w:t>, it was reasonably possible for the defendant to assess the quantum once the summons was issued.</w:t>
      </w:r>
    </w:p>
    <w:p w14:paraId="3C2B6BE8"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[20]   In </w:t>
      </w:r>
      <w:r w:rsidRPr="005714D8">
        <w:rPr>
          <w:b/>
          <w:bCs/>
          <w:i/>
          <w:iCs/>
          <w:sz w:val="22"/>
          <w:lang w:val="en-ZA"/>
        </w:rPr>
        <w:t>Eden &amp; Another v Pienaar</w:t>
      </w:r>
      <w:bookmarkStart w:id="10" w:name="0-0-0-770299"/>
      <w:bookmarkEnd w:id="10"/>
      <w:r w:rsidRPr="005714D8">
        <w:rPr>
          <w:i/>
          <w:iCs/>
          <w:sz w:val="22"/>
          <w:lang w:val="en-ZA"/>
        </w:rPr>
        <w:t> referring to the criticism in </w:t>
      </w:r>
      <w:r w:rsidRPr="005714D8">
        <w:rPr>
          <w:b/>
          <w:bCs/>
          <w:i/>
          <w:iCs/>
          <w:sz w:val="22"/>
          <w:lang w:val="en-ZA"/>
        </w:rPr>
        <w:t>Hartley's case</w:t>
      </w:r>
      <w:bookmarkStart w:id="11" w:name="0-0-0-770303"/>
      <w:bookmarkEnd w:id="11"/>
      <w:r w:rsidRPr="005714D8">
        <w:rPr>
          <w:i/>
          <w:iCs/>
          <w:sz w:val="22"/>
          <w:lang w:val="en-ZA"/>
        </w:rPr>
        <w:t> the Full Court of the then WLD, stated that the effect of the inserted section 2A, is that; "the position in our law is now both liquidated and unliquidated debt beat interest (the latter from the date on which payment is demanded or claimed by summons) at the rate prescribed by the Minister of Justice in terms of s 1(2)."</w:t>
      </w:r>
    </w:p>
    <w:p w14:paraId="68D77F5E"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[21]   The Supreme Court of Appeal in </w:t>
      </w:r>
      <w:r w:rsidRPr="005714D8">
        <w:rPr>
          <w:b/>
          <w:bCs/>
          <w:i/>
          <w:iCs/>
          <w:sz w:val="22"/>
          <w:lang w:val="en-ZA"/>
        </w:rPr>
        <w:t>Thorough Breeders Association v Price Waterhouse</w:t>
      </w:r>
      <w:bookmarkStart w:id="12" w:name="0-0-0-770307"/>
      <w:bookmarkEnd w:id="12"/>
      <w:r w:rsidRPr="005714D8">
        <w:rPr>
          <w:i/>
          <w:iCs/>
          <w:sz w:val="22"/>
          <w:lang w:val="en-ZA"/>
        </w:rPr>
        <w:t> </w:t>
      </w:r>
      <w:r w:rsidRPr="00D05860">
        <w:rPr>
          <w:i/>
          <w:iCs/>
          <w:sz w:val="22"/>
          <w:u w:val="single"/>
          <w:lang w:val="en-ZA"/>
        </w:rPr>
        <w:t>it was held that in the absence of a letter of demand</w:t>
      </w:r>
      <w:r w:rsidRPr="005714D8">
        <w:rPr>
          <w:i/>
          <w:iCs/>
          <w:sz w:val="22"/>
          <w:lang w:val="en-ZA"/>
        </w:rPr>
        <w:t>, section 2A of Act 55 of 1975, ordained mora interest at 15.5% per annum from the date of summons. The court observed that "if the award was one for mora interest there is no reason why, having regard to s2A of the Act, interest should only run from the date of judgment and not from the date of summons."</w:t>
      </w:r>
      <w:bookmarkStart w:id="13" w:name="0-0-0-770311"/>
      <w:bookmarkEnd w:id="13"/>
      <w:r w:rsidRPr="005714D8">
        <w:rPr>
          <w:i/>
          <w:iCs/>
          <w:sz w:val="22"/>
          <w:lang w:val="en-ZA"/>
        </w:rPr>
        <w:t> In paragraph [79] the court concludes: "since no demand prior to summons was proved, the date for the commencement for the calculation would therefore be the date upon which summons was served."</w:t>
      </w:r>
    </w:p>
    <w:p w14:paraId="2E3E1C0E"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[22]   The Supreme Court of Appeal further held, in</w:t>
      </w:r>
      <w:r w:rsidR="00DD11F5">
        <w:rPr>
          <w:i/>
          <w:iCs/>
          <w:sz w:val="22"/>
          <w:lang w:val="en-ZA"/>
        </w:rPr>
        <w:t xml:space="preserve"> </w:t>
      </w:r>
      <w:r w:rsidRPr="005714D8">
        <w:rPr>
          <w:i/>
          <w:iCs/>
          <w:sz w:val="22"/>
          <w:lang w:val="en-ZA"/>
        </w:rPr>
        <w:t> </w:t>
      </w:r>
      <w:r w:rsidRPr="005714D8">
        <w:rPr>
          <w:b/>
          <w:bCs/>
          <w:i/>
          <w:iCs/>
          <w:sz w:val="22"/>
          <w:lang w:val="en-ZA"/>
        </w:rPr>
        <w:t>Steyn NO v Ronald Bobroff</w:t>
      </w:r>
      <w:bookmarkStart w:id="14" w:name="0-0-0-770315"/>
      <w:bookmarkEnd w:id="14"/>
      <w:r w:rsidRPr="005714D8">
        <w:rPr>
          <w:i/>
          <w:iCs/>
          <w:sz w:val="22"/>
          <w:u w:val="single"/>
          <w:lang w:val="en-ZA"/>
        </w:rPr>
        <w:fldChar w:fldCharType="begin"/>
      </w:r>
      <w:r w:rsidRPr="005714D8">
        <w:rPr>
          <w:i/>
          <w:iCs/>
          <w:sz w:val="22"/>
          <w:u w:val="single"/>
          <w:lang w:val="en-ZA"/>
        </w:rPr>
        <w:instrText>HYPERLINK "https://jutastat.juta.co.za/nxt/gateway.dll/jcuj/851/21998/23603/23656?f=templates$fn=document-frameset.htm$q=%5bfield%20folio-destination-name:%27JDR20161653%27%5d$x=Advanced&amp;foliolinks=true" \l "end_0-0-0-770317"</w:instrText>
      </w:r>
      <w:r w:rsidRPr="005714D8">
        <w:rPr>
          <w:i/>
          <w:iCs/>
          <w:sz w:val="22"/>
          <w:u w:val="single"/>
          <w:lang w:val="en-ZA"/>
        </w:rPr>
      </w:r>
      <w:r w:rsidRPr="005714D8">
        <w:rPr>
          <w:i/>
          <w:iCs/>
          <w:sz w:val="22"/>
          <w:u w:val="single"/>
          <w:lang w:val="en-ZA"/>
        </w:rPr>
        <w:fldChar w:fldCharType="end"/>
      </w:r>
      <w:r w:rsidRPr="005714D8">
        <w:rPr>
          <w:i/>
          <w:iCs/>
          <w:sz w:val="22"/>
          <w:lang w:val="en-ZA"/>
        </w:rPr>
        <w:t> tha</w:t>
      </w:r>
      <w:r w:rsidR="00DD11F5">
        <w:rPr>
          <w:i/>
          <w:iCs/>
          <w:sz w:val="22"/>
          <w:lang w:val="en-ZA"/>
        </w:rPr>
        <w:t>t th</w:t>
      </w:r>
      <w:r w:rsidRPr="005714D8">
        <w:rPr>
          <w:i/>
          <w:iCs/>
          <w:sz w:val="22"/>
          <w:lang w:val="en-ZA"/>
        </w:rPr>
        <w:t>e term mora simply means delay or default. The mora interest provided for in the Act is thus intended to place the creditor, who has not received due payment ... in the position that he or she would have occupied had the payment been made" when it was first requested from the defendant.</w:t>
      </w:r>
    </w:p>
    <w:p w14:paraId="1FC715F0"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 xml:space="preserve">[23]   In </w:t>
      </w:r>
      <w:r w:rsidRPr="005714D8">
        <w:rPr>
          <w:b/>
          <w:bCs/>
          <w:i/>
          <w:iCs/>
          <w:sz w:val="22"/>
          <w:lang w:val="en-ZA"/>
        </w:rPr>
        <w:t>Minister of Safety and Security and others v Janse van der Walt</w:t>
      </w:r>
      <w:r w:rsidRPr="005714D8">
        <w:rPr>
          <w:i/>
          <w:iCs/>
          <w:sz w:val="22"/>
          <w:lang w:val="en-ZA"/>
        </w:rPr>
        <w:t xml:space="preserve"> and another</w:t>
      </w:r>
      <w:bookmarkStart w:id="15" w:name="0-0-0-770319"/>
      <w:bookmarkEnd w:id="15"/>
      <w:r w:rsidRPr="005714D8">
        <w:rPr>
          <w:i/>
          <w:iCs/>
          <w:sz w:val="22"/>
          <w:lang w:val="en-ZA"/>
        </w:rPr>
        <w:t xml:space="preserve"> the Supreme Court of Appeal ordered the first defendant to pay the interest on the </w:t>
      </w:r>
      <w:proofErr w:type="gramStart"/>
      <w:r w:rsidRPr="005714D8">
        <w:rPr>
          <w:i/>
          <w:iCs/>
          <w:sz w:val="22"/>
          <w:lang w:val="en-ZA"/>
        </w:rPr>
        <w:t>amount</w:t>
      </w:r>
      <w:proofErr w:type="gramEnd"/>
      <w:r w:rsidRPr="005714D8">
        <w:rPr>
          <w:i/>
          <w:iCs/>
          <w:sz w:val="22"/>
          <w:lang w:val="en-ZA"/>
        </w:rPr>
        <w:t xml:space="preserve"> of damages awarded at the rate of 15.5% per annum from the date of demand to the date of payment. </w:t>
      </w:r>
      <w:r w:rsidR="003C2880" w:rsidRPr="005714D8">
        <w:rPr>
          <w:i/>
          <w:iCs/>
          <w:sz w:val="22"/>
          <w:lang w:val="en-ZA"/>
        </w:rPr>
        <w:t>Similarly,</w:t>
      </w:r>
      <w:r w:rsidRPr="005714D8">
        <w:rPr>
          <w:i/>
          <w:iCs/>
          <w:sz w:val="22"/>
          <w:lang w:val="en-ZA"/>
        </w:rPr>
        <w:t xml:space="preserve"> the Supreme Court of Appeal in </w:t>
      </w:r>
      <w:proofErr w:type="spellStart"/>
      <w:r w:rsidRPr="005714D8">
        <w:rPr>
          <w:b/>
          <w:bCs/>
          <w:i/>
          <w:iCs/>
          <w:sz w:val="22"/>
          <w:lang w:val="en-ZA"/>
        </w:rPr>
        <w:t>Woji</w:t>
      </w:r>
      <w:proofErr w:type="spellEnd"/>
      <w:r w:rsidRPr="005714D8">
        <w:rPr>
          <w:b/>
          <w:bCs/>
          <w:i/>
          <w:iCs/>
          <w:sz w:val="22"/>
          <w:lang w:val="en-ZA"/>
        </w:rPr>
        <w:t xml:space="preserve"> v The </w:t>
      </w:r>
      <w:r w:rsidRPr="005714D8">
        <w:rPr>
          <w:b/>
          <w:bCs/>
          <w:i/>
          <w:iCs/>
          <w:sz w:val="22"/>
          <w:lang w:val="en-ZA"/>
        </w:rPr>
        <w:lastRenderedPageBreak/>
        <w:t>Minister of Police</w:t>
      </w:r>
      <w:bookmarkStart w:id="16" w:name="0-0-0-770323"/>
      <w:bookmarkEnd w:id="16"/>
      <w:r w:rsidRPr="005714D8">
        <w:rPr>
          <w:i/>
          <w:iCs/>
          <w:sz w:val="22"/>
          <w:lang w:val="en-ZA"/>
        </w:rPr>
        <w:t> ordered the defendant to pay interest on the sum of R500 000.00 at the rate of 15.5% per annum a </w:t>
      </w:r>
      <w:proofErr w:type="gramStart"/>
      <w:r w:rsidRPr="005714D8">
        <w:rPr>
          <w:i/>
          <w:iCs/>
          <w:sz w:val="22"/>
          <w:lang w:val="en-ZA"/>
        </w:rPr>
        <w:t>tempore morae</w:t>
      </w:r>
      <w:proofErr w:type="gramEnd"/>
      <w:r w:rsidRPr="005714D8">
        <w:rPr>
          <w:i/>
          <w:iCs/>
          <w:sz w:val="22"/>
          <w:lang w:val="en-ZA"/>
        </w:rPr>
        <w:t> from date of demand to date of payment. </w:t>
      </w:r>
      <w:bookmarkStart w:id="17" w:name="0-0-0-770327"/>
      <w:bookmarkEnd w:id="17"/>
      <w:r w:rsidRPr="005714D8">
        <w:rPr>
          <w:i/>
          <w:iCs/>
          <w:sz w:val="22"/>
          <w:lang w:val="en-ZA"/>
        </w:rPr>
        <w:t xml:space="preserve"> </w:t>
      </w:r>
    </w:p>
    <w:p w14:paraId="33A14B4A"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 xml:space="preserve">[24]   Having regard to the above-mentioned case law and the reasoning therein concluding that interest in illiquid claims for damages may be awarded interest a tempore morae from the date of demand or summons, whichever is earlier, in terms of section 2A (2)(a) of Act 55 of 1975, it is clear in Takawira case the court in finding that interest on an illiquid claim for damages, </w:t>
      </w:r>
      <w:r w:rsidRPr="002A59D9">
        <w:rPr>
          <w:i/>
          <w:iCs/>
          <w:sz w:val="22"/>
          <w:lang w:val="en-ZA"/>
        </w:rPr>
        <w:t>can be determined from the date of judgment.</w:t>
      </w:r>
    </w:p>
    <w:p w14:paraId="4DD22B13" w14:textId="77777777" w:rsidR="00933510" w:rsidRPr="005714D8" w:rsidRDefault="00933510" w:rsidP="00933510">
      <w:pPr>
        <w:pStyle w:val="JudgmentNumbered"/>
        <w:numPr>
          <w:ilvl w:val="0"/>
          <w:numId w:val="0"/>
        </w:numPr>
        <w:spacing w:after="0"/>
        <w:rPr>
          <w:i/>
          <w:iCs/>
          <w:sz w:val="22"/>
          <w:lang w:val="en-ZA"/>
        </w:rPr>
      </w:pPr>
      <w:r w:rsidRPr="005714D8">
        <w:rPr>
          <w:i/>
          <w:iCs/>
          <w:sz w:val="22"/>
          <w:lang w:val="en-ZA"/>
        </w:rPr>
        <w:t>   </w:t>
      </w:r>
      <w:r w:rsidRPr="005714D8">
        <w:rPr>
          <w:i/>
          <w:iCs/>
          <w:sz w:val="22"/>
          <w:lang w:val="en-ZA"/>
        </w:rPr>
        <w:tab/>
      </w:r>
      <w:r w:rsidRPr="005714D8">
        <w:rPr>
          <w:i/>
          <w:iCs/>
          <w:sz w:val="22"/>
          <w:u w:val="single"/>
          <w:lang w:val="en-ZA"/>
        </w:rPr>
        <w:t>Discretion in terms of section 2A (5)</w:t>
      </w:r>
      <w:r w:rsidRPr="005714D8">
        <w:rPr>
          <w:i/>
          <w:iCs/>
          <w:sz w:val="22"/>
          <w:lang w:val="en-ZA"/>
        </w:rPr>
        <w:t>:</w:t>
      </w:r>
    </w:p>
    <w:p w14:paraId="12CB65E6"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[25]   In the unreported case of </w:t>
      </w:r>
      <w:r w:rsidRPr="005714D8">
        <w:rPr>
          <w:b/>
          <w:bCs/>
          <w:i/>
          <w:iCs/>
          <w:sz w:val="22"/>
          <w:lang w:val="en-ZA"/>
        </w:rPr>
        <w:t>Nel v Minister of Safety and Security</w:t>
      </w:r>
      <w:bookmarkStart w:id="18" w:name="0-0-0-770331"/>
      <w:bookmarkEnd w:id="18"/>
      <w:r w:rsidRPr="005714D8">
        <w:rPr>
          <w:i/>
          <w:iCs/>
          <w:sz w:val="22"/>
          <w:u w:val="single"/>
          <w:lang w:val="en-ZA"/>
        </w:rPr>
        <w:fldChar w:fldCharType="begin"/>
      </w:r>
      <w:r w:rsidRPr="005714D8">
        <w:rPr>
          <w:i/>
          <w:iCs/>
          <w:sz w:val="22"/>
          <w:u w:val="single"/>
          <w:lang w:val="en-ZA"/>
        </w:rPr>
        <w:instrText>HYPERLINK "https://jutastat.juta.co.za/nxt/gateway.dll/jcuj/851/21998/23603/23656?f=templates$fn=document-frameset.htm$q=%5bfield%20folio-destination-name:%27JDR20161653%27%5d$x=Advanced&amp;foliolinks=true" \l "end_0-0-0-770333"</w:instrText>
      </w:r>
      <w:r w:rsidRPr="005714D8">
        <w:rPr>
          <w:i/>
          <w:iCs/>
          <w:sz w:val="22"/>
          <w:u w:val="single"/>
          <w:lang w:val="en-ZA"/>
        </w:rPr>
      </w:r>
      <w:r w:rsidRPr="005714D8">
        <w:rPr>
          <w:i/>
          <w:iCs/>
          <w:sz w:val="22"/>
          <w:u w:val="single"/>
          <w:lang w:val="en-ZA"/>
        </w:rPr>
        <w:fldChar w:fldCharType="end"/>
      </w:r>
      <w:r w:rsidRPr="005714D8">
        <w:rPr>
          <w:i/>
          <w:iCs/>
          <w:sz w:val="22"/>
          <w:lang w:val="en-ZA"/>
        </w:rPr>
        <w:t> </w:t>
      </w:r>
      <w:proofErr w:type="spellStart"/>
      <w:r w:rsidRPr="005714D8">
        <w:rPr>
          <w:i/>
          <w:iCs/>
          <w:sz w:val="22"/>
          <w:lang w:val="en-ZA"/>
        </w:rPr>
        <w:t>Kubushi</w:t>
      </w:r>
      <w:proofErr w:type="spellEnd"/>
      <w:r w:rsidRPr="005714D8">
        <w:rPr>
          <w:i/>
          <w:iCs/>
          <w:sz w:val="22"/>
          <w:lang w:val="en-ZA"/>
        </w:rPr>
        <w:t xml:space="preserve"> J held that: The default position of the Act is that the amount of every unliquidated debt as determined by any court of law shall bear interest at the prescribed rate a tempore morae, unless a court of law orders otherwise. Where a court deviates from this position, an order that it may make, must appear just in the circumstances of that case."</w:t>
      </w:r>
    </w:p>
    <w:p w14:paraId="2010F4E9" w14:textId="77777777" w:rsidR="00933510" w:rsidRPr="005714D8" w:rsidRDefault="00933510" w:rsidP="00933510">
      <w:pPr>
        <w:pStyle w:val="JudgmentNumbered"/>
        <w:numPr>
          <w:ilvl w:val="0"/>
          <w:numId w:val="0"/>
        </w:numPr>
        <w:spacing w:after="0"/>
        <w:ind w:left="720"/>
        <w:rPr>
          <w:i/>
          <w:iCs/>
          <w:sz w:val="22"/>
          <w:lang w:val="en-ZA"/>
        </w:rPr>
      </w:pPr>
      <w:r w:rsidRPr="005714D8">
        <w:rPr>
          <w:i/>
          <w:iCs/>
          <w:sz w:val="22"/>
          <w:lang w:val="en-ZA"/>
        </w:rPr>
        <w:t xml:space="preserve">[26]   In the current matter, I find no circumstances justifying the deviation from the prescribed rate.” </w:t>
      </w:r>
    </w:p>
    <w:p w14:paraId="459045A4" w14:textId="77777777" w:rsidR="00933510" w:rsidRPr="00CD2B65" w:rsidRDefault="00933510" w:rsidP="00933510">
      <w:pPr>
        <w:pStyle w:val="JudgmentNumbered"/>
        <w:numPr>
          <w:ilvl w:val="0"/>
          <w:numId w:val="0"/>
        </w:numPr>
        <w:spacing w:after="0"/>
        <w:ind w:left="567" w:hanging="567"/>
        <w:rPr>
          <w:sz w:val="22"/>
          <w:lang w:val="en-ZA"/>
        </w:rPr>
      </w:pPr>
    </w:p>
    <w:p w14:paraId="4ACC8ADB" w14:textId="77777777" w:rsidR="00933510" w:rsidRDefault="005714D8" w:rsidP="00B7504F">
      <w:pPr>
        <w:pStyle w:val="JudgmentNumbered"/>
        <w:numPr>
          <w:ilvl w:val="0"/>
          <w:numId w:val="0"/>
        </w:numPr>
        <w:spacing w:after="0"/>
        <w:rPr>
          <w:lang w:val="en-ZA"/>
        </w:rPr>
      </w:pPr>
      <w:r>
        <w:rPr>
          <w:lang w:val="en-ZA"/>
        </w:rPr>
        <w:t>[3</w:t>
      </w:r>
      <w:r w:rsidR="004D7028">
        <w:rPr>
          <w:lang w:val="en-ZA"/>
        </w:rPr>
        <w:t>7</w:t>
      </w:r>
      <w:r>
        <w:rPr>
          <w:lang w:val="en-ZA"/>
        </w:rPr>
        <w:t>]</w:t>
      </w:r>
      <w:r>
        <w:rPr>
          <w:lang w:val="en-ZA"/>
        </w:rPr>
        <w:tab/>
      </w:r>
      <w:r w:rsidR="00933510">
        <w:rPr>
          <w:lang w:val="en-ZA"/>
        </w:rPr>
        <w:t xml:space="preserve">The court then proceeded to order interest at the rate of 15.5% per annum </w:t>
      </w:r>
      <w:r w:rsidR="00933510" w:rsidRPr="009853C7">
        <w:rPr>
          <w:u w:val="single"/>
          <w:lang w:val="en-ZA"/>
        </w:rPr>
        <w:t>as from the date of demand</w:t>
      </w:r>
      <w:r w:rsidR="00933510">
        <w:rPr>
          <w:lang w:val="en-ZA"/>
        </w:rPr>
        <w:t xml:space="preserve"> (which was 07 June 2021) to date of final payment.</w:t>
      </w:r>
    </w:p>
    <w:p w14:paraId="23F7CB14" w14:textId="77777777" w:rsidR="00B7504F" w:rsidRDefault="00B7504F" w:rsidP="00B7504F">
      <w:pPr>
        <w:pStyle w:val="JudgmentNumbered"/>
        <w:numPr>
          <w:ilvl w:val="0"/>
          <w:numId w:val="0"/>
        </w:numPr>
        <w:spacing w:after="0"/>
        <w:rPr>
          <w:lang w:val="en-ZA"/>
        </w:rPr>
      </w:pPr>
    </w:p>
    <w:p w14:paraId="743677BC" w14:textId="77777777" w:rsidR="004D7028" w:rsidRDefault="005714D8" w:rsidP="00B7504F">
      <w:pPr>
        <w:pStyle w:val="JudgmentNumbered"/>
        <w:numPr>
          <w:ilvl w:val="0"/>
          <w:numId w:val="0"/>
        </w:numPr>
        <w:spacing w:after="0"/>
        <w:rPr>
          <w:lang w:val="en-ZA"/>
        </w:rPr>
      </w:pPr>
      <w:r>
        <w:rPr>
          <w:lang w:val="en-ZA"/>
        </w:rPr>
        <w:t>[3</w:t>
      </w:r>
      <w:r w:rsidR="004D7028">
        <w:rPr>
          <w:lang w:val="en-ZA"/>
        </w:rPr>
        <w:t>8</w:t>
      </w:r>
      <w:r>
        <w:rPr>
          <w:lang w:val="en-ZA"/>
        </w:rPr>
        <w:t>]</w:t>
      </w:r>
      <w:r>
        <w:rPr>
          <w:lang w:val="en-ZA"/>
        </w:rPr>
        <w:tab/>
      </w:r>
      <w:r w:rsidR="00933510">
        <w:rPr>
          <w:lang w:val="en-ZA"/>
        </w:rPr>
        <w:t xml:space="preserve">Section 2A (5) gives a court a discretion. There are </w:t>
      </w:r>
      <w:proofErr w:type="gramStart"/>
      <w:r w:rsidR="00933510">
        <w:rPr>
          <w:lang w:val="en-ZA"/>
        </w:rPr>
        <w:t>a number of</w:t>
      </w:r>
      <w:proofErr w:type="gramEnd"/>
      <w:r w:rsidR="00933510">
        <w:rPr>
          <w:lang w:val="en-ZA"/>
        </w:rPr>
        <w:t xml:space="preserve"> factors the court can consider: the length of time from service of summons to date of the order of the court </w:t>
      </w:r>
      <w:r w:rsidR="00933510" w:rsidRPr="003A2917">
        <w:rPr>
          <w:i/>
          <w:iCs/>
          <w:lang w:val="en-ZA"/>
        </w:rPr>
        <w:t>a quo</w:t>
      </w:r>
      <w:r w:rsidR="00933510">
        <w:rPr>
          <w:lang w:val="en-ZA"/>
        </w:rPr>
        <w:t xml:space="preserve">; the in </w:t>
      </w:r>
      <w:proofErr w:type="spellStart"/>
      <w:r w:rsidR="00933510" w:rsidRPr="003A2917">
        <w:rPr>
          <w:i/>
          <w:iCs/>
          <w:lang w:val="en-ZA"/>
        </w:rPr>
        <w:t>duplum</w:t>
      </w:r>
      <w:proofErr w:type="spellEnd"/>
      <w:r w:rsidR="00933510">
        <w:rPr>
          <w:lang w:val="en-ZA"/>
        </w:rPr>
        <w:t xml:space="preserve"> rule; the fact that money depreciates with time. </w:t>
      </w:r>
    </w:p>
    <w:p w14:paraId="689C4D59" w14:textId="77777777" w:rsidR="00B7504F" w:rsidRDefault="00B7504F" w:rsidP="00B7504F">
      <w:pPr>
        <w:pStyle w:val="JudgmentNumbered"/>
        <w:numPr>
          <w:ilvl w:val="0"/>
          <w:numId w:val="0"/>
        </w:numPr>
        <w:spacing w:after="0"/>
        <w:rPr>
          <w:lang w:val="en-ZA"/>
        </w:rPr>
      </w:pPr>
    </w:p>
    <w:p w14:paraId="4F503875" w14:textId="77777777" w:rsidR="00933510" w:rsidRDefault="004D7028" w:rsidP="008E49B6">
      <w:pPr>
        <w:pStyle w:val="JudgmentNumbered"/>
        <w:numPr>
          <w:ilvl w:val="0"/>
          <w:numId w:val="0"/>
        </w:numPr>
        <w:spacing w:after="0"/>
        <w:rPr>
          <w:lang w:val="en-ZA"/>
        </w:rPr>
      </w:pPr>
      <w:r>
        <w:rPr>
          <w:lang w:val="en-ZA"/>
        </w:rPr>
        <w:t>[39]</w:t>
      </w:r>
      <w:r>
        <w:rPr>
          <w:lang w:val="en-ZA"/>
        </w:rPr>
        <w:tab/>
      </w:r>
      <w:r w:rsidR="00933510">
        <w:rPr>
          <w:lang w:val="en-ZA"/>
        </w:rPr>
        <w:t xml:space="preserve">Essentially, what is fair in this case? In </w:t>
      </w:r>
      <w:r w:rsidR="00933510" w:rsidRPr="009D33A0">
        <w:rPr>
          <w:i/>
          <w:iCs/>
          <w:lang w:val="en-ZA"/>
        </w:rPr>
        <w:t>Da Cruz v Bernardo</w:t>
      </w:r>
      <w:r w:rsidR="00933510">
        <w:rPr>
          <w:rStyle w:val="FootnoteReference"/>
          <w:lang w:val="en-ZA"/>
        </w:rPr>
        <w:footnoteReference w:id="18"/>
      </w:r>
      <w:r w:rsidR="00933510" w:rsidRPr="00865057">
        <w:rPr>
          <w:lang w:val="en-ZA"/>
        </w:rPr>
        <w:t xml:space="preserve"> </w:t>
      </w:r>
      <w:r w:rsidR="00933510">
        <w:rPr>
          <w:lang w:val="en-ZA"/>
        </w:rPr>
        <w:t xml:space="preserve">one of the factors </w:t>
      </w:r>
      <w:r w:rsidR="005714D8">
        <w:rPr>
          <w:lang w:val="en-ZA"/>
        </w:rPr>
        <w:t>considered</w:t>
      </w:r>
      <w:r w:rsidR="00933510">
        <w:rPr>
          <w:lang w:val="en-ZA"/>
        </w:rPr>
        <w:t xml:space="preserve"> for purposes of interest was delays in litigation with the court stating:</w:t>
      </w:r>
    </w:p>
    <w:p w14:paraId="5392B446" w14:textId="77777777" w:rsidR="00933510" w:rsidRDefault="00933510" w:rsidP="008E49B6">
      <w:pPr>
        <w:pStyle w:val="JudgmentNumbered"/>
        <w:numPr>
          <w:ilvl w:val="0"/>
          <w:numId w:val="0"/>
        </w:numPr>
        <w:spacing w:after="0"/>
        <w:ind w:left="720"/>
        <w:rPr>
          <w:i/>
          <w:iCs/>
          <w:sz w:val="22"/>
          <w:lang w:val="en-ZA"/>
        </w:rPr>
      </w:pPr>
      <w:r w:rsidRPr="005714D8">
        <w:rPr>
          <w:i/>
          <w:iCs/>
          <w:sz w:val="22"/>
          <w:lang w:val="en-ZA"/>
        </w:rPr>
        <w:t xml:space="preserve">“[61] Delays in litigation may run longer than it took for the interest to equal the capital at the applicable mora interest rate. In these circumstances it was preferable, as a matter of public policy and in the interests of justice, for the court to retain a discretion on how interest should be awarded, exercised on the facts of each case. Where the court had such a discretion, it could exercise that discretion to limit interest payable to a dilatory plaintiff or to allow that interest where the defendant was the reason for the delay. Section 1(1) of the Prescribed Rate of Interest Act provides the court with that discretion. </w:t>
      </w:r>
      <w:r w:rsidRPr="005714D8">
        <w:rPr>
          <w:i/>
          <w:iCs/>
          <w:sz w:val="22"/>
          <w:lang w:val="en-ZA"/>
        </w:rPr>
        <w:lastRenderedPageBreak/>
        <w:t>The 'special circumstances' which give a court the discretion set out in s 1(1) of the Prescribed Rate of Interest Act would include circumstances where a plaintiff had been dilatory or where delay ought not to be visited on one of the parties.”</w:t>
      </w:r>
    </w:p>
    <w:p w14:paraId="3E1ABE1E" w14:textId="77777777" w:rsidR="00B7504F" w:rsidRPr="005714D8" w:rsidRDefault="00B7504F" w:rsidP="00B7504F">
      <w:pPr>
        <w:pStyle w:val="JudgmentNumbered"/>
        <w:numPr>
          <w:ilvl w:val="0"/>
          <w:numId w:val="0"/>
        </w:numPr>
        <w:spacing w:after="0"/>
        <w:ind w:left="720"/>
        <w:rPr>
          <w:i/>
          <w:iCs/>
          <w:sz w:val="22"/>
          <w:lang w:val="en-ZA"/>
        </w:rPr>
      </w:pPr>
    </w:p>
    <w:p w14:paraId="22FC52D3" w14:textId="77777777" w:rsidR="0068693E" w:rsidRDefault="005714D8" w:rsidP="00B7504F">
      <w:pPr>
        <w:pStyle w:val="JudgmentNumbered"/>
        <w:numPr>
          <w:ilvl w:val="0"/>
          <w:numId w:val="0"/>
        </w:numPr>
        <w:spacing w:after="0"/>
        <w:rPr>
          <w:lang w:val="en-ZA"/>
        </w:rPr>
      </w:pPr>
      <w:r>
        <w:rPr>
          <w:lang w:val="en-ZA"/>
        </w:rPr>
        <w:t>[</w:t>
      </w:r>
      <w:r w:rsidR="004D7028">
        <w:rPr>
          <w:lang w:val="en-ZA"/>
        </w:rPr>
        <w:t>40</w:t>
      </w:r>
      <w:r>
        <w:rPr>
          <w:lang w:val="en-ZA"/>
        </w:rPr>
        <w:t>]</w:t>
      </w:r>
      <w:r>
        <w:rPr>
          <w:lang w:val="en-ZA"/>
        </w:rPr>
        <w:tab/>
      </w:r>
      <w:r w:rsidR="00314170">
        <w:rPr>
          <w:lang w:val="en-ZA"/>
        </w:rPr>
        <w:t xml:space="preserve">In </w:t>
      </w:r>
      <w:proofErr w:type="spellStart"/>
      <w:r w:rsidR="0002785F" w:rsidRPr="0002785F">
        <w:rPr>
          <w:i/>
          <w:iCs/>
          <w:szCs w:val="24"/>
          <w:shd w:val="clear" w:color="auto" w:fill="FFFFFF"/>
        </w:rPr>
        <w:t>Motladile</w:t>
      </w:r>
      <w:proofErr w:type="spellEnd"/>
      <w:r w:rsidR="0002785F" w:rsidRPr="0002785F">
        <w:rPr>
          <w:i/>
          <w:iCs/>
          <w:szCs w:val="24"/>
          <w:shd w:val="clear" w:color="auto" w:fill="FFFFFF"/>
        </w:rPr>
        <w:t xml:space="preserve"> v Minister of Police</w:t>
      </w:r>
      <w:r w:rsidR="009A3F3E">
        <w:rPr>
          <w:rStyle w:val="FootnoteReference"/>
          <w:i/>
          <w:iCs/>
          <w:szCs w:val="24"/>
          <w:shd w:val="clear" w:color="auto" w:fill="FFFFFF"/>
        </w:rPr>
        <w:footnoteReference w:id="19"/>
      </w:r>
      <w:r w:rsidR="0002785F" w:rsidRPr="0002785F">
        <w:rPr>
          <w:szCs w:val="24"/>
          <w:shd w:val="clear" w:color="auto" w:fill="FFFFFF"/>
        </w:rPr>
        <w:t> </w:t>
      </w:r>
      <w:r w:rsidR="0002785F">
        <w:rPr>
          <w:color w:val="242121"/>
          <w:sz w:val="27"/>
          <w:szCs w:val="27"/>
          <w:shd w:val="clear" w:color="auto" w:fill="FFFFFF"/>
        </w:rPr>
        <w:t> </w:t>
      </w:r>
      <w:r w:rsidR="00314170">
        <w:rPr>
          <w:color w:val="242121"/>
          <w:sz w:val="27"/>
          <w:szCs w:val="27"/>
          <w:shd w:val="clear" w:color="auto" w:fill="FFFFFF"/>
        </w:rPr>
        <w:t xml:space="preserve">the SCA </w:t>
      </w:r>
      <w:r w:rsidR="00933510">
        <w:rPr>
          <w:lang w:val="en-ZA"/>
        </w:rPr>
        <w:t xml:space="preserve">awarded damages with interest at 7% (the prevailing rate at the time) from </w:t>
      </w:r>
      <w:r w:rsidR="0002785F">
        <w:rPr>
          <w:lang w:val="en-ZA"/>
        </w:rPr>
        <w:t xml:space="preserve">the date </w:t>
      </w:r>
      <w:r w:rsidR="001862CD">
        <w:rPr>
          <w:lang w:val="en-ZA"/>
        </w:rPr>
        <w:t>of service</w:t>
      </w:r>
      <w:r w:rsidR="0002785F">
        <w:rPr>
          <w:lang w:val="en-ZA"/>
        </w:rPr>
        <w:t xml:space="preserve"> of summons to </w:t>
      </w:r>
      <w:r w:rsidR="00314170">
        <w:rPr>
          <w:lang w:val="en-ZA"/>
        </w:rPr>
        <w:t xml:space="preserve">the </w:t>
      </w:r>
      <w:r w:rsidR="00933510">
        <w:rPr>
          <w:lang w:val="en-ZA"/>
        </w:rPr>
        <w:t xml:space="preserve">date of </w:t>
      </w:r>
      <w:r w:rsidR="00CC1739">
        <w:rPr>
          <w:lang w:val="en-ZA"/>
        </w:rPr>
        <w:t>payment.</w:t>
      </w:r>
    </w:p>
    <w:p w14:paraId="45023EE5" w14:textId="77777777" w:rsidR="002F6809" w:rsidRDefault="002F6809" w:rsidP="003C2880">
      <w:pPr>
        <w:pStyle w:val="JudgmentNumbered"/>
        <w:numPr>
          <w:ilvl w:val="0"/>
          <w:numId w:val="0"/>
        </w:numPr>
        <w:spacing w:after="0"/>
        <w:ind w:left="567" w:hanging="567"/>
        <w:rPr>
          <w:lang w:val="en-ZA"/>
        </w:rPr>
      </w:pPr>
    </w:p>
    <w:p w14:paraId="0233B3A8" w14:textId="77777777" w:rsidR="005714D8" w:rsidRDefault="0089648C" w:rsidP="00B7504F">
      <w:pPr>
        <w:pStyle w:val="JudgmentNumbered"/>
        <w:numPr>
          <w:ilvl w:val="0"/>
          <w:numId w:val="0"/>
        </w:numPr>
        <w:spacing w:after="0"/>
        <w:ind w:left="567" w:hanging="567"/>
        <w:rPr>
          <w:b/>
          <w:bCs/>
          <w:i/>
          <w:iCs/>
          <w:lang w:val="en-ZA"/>
        </w:rPr>
      </w:pPr>
      <w:r>
        <w:rPr>
          <w:b/>
          <w:bCs/>
          <w:i/>
          <w:iCs/>
          <w:lang w:val="en-ZA"/>
        </w:rPr>
        <w:t>Conclusion</w:t>
      </w:r>
    </w:p>
    <w:p w14:paraId="147FED0E" w14:textId="77777777" w:rsidR="006A785D" w:rsidRDefault="006A785D" w:rsidP="00B7504F">
      <w:pPr>
        <w:pStyle w:val="JudgmentNumbered"/>
        <w:numPr>
          <w:ilvl w:val="0"/>
          <w:numId w:val="0"/>
        </w:numPr>
        <w:spacing w:after="0"/>
        <w:ind w:left="567" w:hanging="567"/>
        <w:rPr>
          <w:b/>
          <w:bCs/>
          <w:i/>
          <w:iCs/>
          <w:lang w:val="en-ZA"/>
        </w:rPr>
      </w:pPr>
    </w:p>
    <w:p w14:paraId="0AB5EE56" w14:textId="77777777" w:rsidR="005714D8" w:rsidRDefault="005714D8" w:rsidP="00B7504F">
      <w:pPr>
        <w:pStyle w:val="JudgmentNumbered"/>
        <w:numPr>
          <w:ilvl w:val="0"/>
          <w:numId w:val="0"/>
        </w:numPr>
        <w:spacing w:after="0"/>
        <w:rPr>
          <w:lang w:val="en-US"/>
        </w:rPr>
      </w:pPr>
      <w:r>
        <w:rPr>
          <w:lang w:val="en-US"/>
        </w:rPr>
        <w:t>[</w:t>
      </w:r>
      <w:r w:rsidR="00EF2356">
        <w:rPr>
          <w:lang w:val="en-US"/>
        </w:rPr>
        <w:t>4</w:t>
      </w:r>
      <w:r w:rsidR="0020025A">
        <w:rPr>
          <w:lang w:val="en-US"/>
        </w:rPr>
        <w:t>1</w:t>
      </w:r>
      <w:r>
        <w:rPr>
          <w:lang w:val="en-US"/>
        </w:rPr>
        <w:t>]</w:t>
      </w:r>
      <w:r>
        <w:rPr>
          <w:lang w:val="en-US"/>
        </w:rPr>
        <w:tab/>
      </w:r>
      <w:r w:rsidR="00381CFF">
        <w:rPr>
          <w:lang w:val="en-US"/>
        </w:rPr>
        <w:t xml:space="preserve">Given that there was no reasonable suspicion to arrest the </w:t>
      </w:r>
      <w:r w:rsidR="00911B6C">
        <w:rPr>
          <w:lang w:val="en-US"/>
        </w:rPr>
        <w:t>respondent,</w:t>
      </w:r>
      <w:r w:rsidR="00381CFF">
        <w:rPr>
          <w:lang w:val="en-US"/>
        </w:rPr>
        <w:t xml:space="preserve"> and that the said arrestor did not give testimony in court, it is an indication that</w:t>
      </w:r>
      <w:r>
        <w:rPr>
          <w:lang w:val="en-US"/>
        </w:rPr>
        <w:t xml:space="preserve"> jurisdictional facts have not been met</w:t>
      </w:r>
      <w:r w:rsidR="00381CFF">
        <w:rPr>
          <w:lang w:val="en-US"/>
        </w:rPr>
        <w:t xml:space="preserve"> and therefore the evidence given by the Constable since she was not the arrestor is an inadmissible hearsay.</w:t>
      </w:r>
      <w:r>
        <w:rPr>
          <w:lang w:val="en-US"/>
        </w:rPr>
        <w:t xml:space="preserve"> Therefore, in my view, the findings of the court </w:t>
      </w:r>
      <w:r w:rsidRPr="00B03053">
        <w:rPr>
          <w:i/>
          <w:iCs/>
          <w:lang w:val="en-US"/>
        </w:rPr>
        <w:t>a quo</w:t>
      </w:r>
      <w:r>
        <w:rPr>
          <w:lang w:val="en-US"/>
        </w:rPr>
        <w:t xml:space="preserve"> in this regard, cannot be faulted</w:t>
      </w:r>
      <w:r w:rsidR="00381CFF">
        <w:rPr>
          <w:lang w:val="en-US"/>
        </w:rPr>
        <w:t xml:space="preserve">. </w:t>
      </w:r>
    </w:p>
    <w:p w14:paraId="0084FEDC" w14:textId="77777777" w:rsidR="00160FC8" w:rsidRDefault="00160FC8" w:rsidP="00B7504F">
      <w:pPr>
        <w:pStyle w:val="JudgmentNumbered"/>
        <w:numPr>
          <w:ilvl w:val="0"/>
          <w:numId w:val="0"/>
        </w:numPr>
        <w:spacing w:after="0"/>
        <w:rPr>
          <w:lang w:val="en-US"/>
        </w:rPr>
      </w:pPr>
    </w:p>
    <w:p w14:paraId="0931F872" w14:textId="77777777" w:rsidR="00B7504F" w:rsidRPr="00305B13" w:rsidRDefault="00911B6C" w:rsidP="008E49B6">
      <w:pPr>
        <w:pStyle w:val="JudgmentNumbered"/>
        <w:numPr>
          <w:ilvl w:val="0"/>
          <w:numId w:val="0"/>
        </w:numPr>
        <w:spacing w:after="0"/>
        <w:rPr>
          <w:lang w:val="en-US"/>
        </w:rPr>
      </w:pPr>
      <w:r>
        <w:rPr>
          <w:lang w:val="en-US"/>
        </w:rPr>
        <w:t>[</w:t>
      </w:r>
      <w:r w:rsidR="00EF2356">
        <w:rPr>
          <w:lang w:val="en-US"/>
        </w:rPr>
        <w:t>4</w:t>
      </w:r>
      <w:r w:rsidR="0020025A">
        <w:rPr>
          <w:lang w:val="en-US"/>
        </w:rPr>
        <w:t>2</w:t>
      </w:r>
      <w:r>
        <w:rPr>
          <w:lang w:val="en-US"/>
        </w:rPr>
        <w:t>]</w:t>
      </w:r>
      <w:r>
        <w:rPr>
          <w:lang w:val="en-US"/>
        </w:rPr>
        <w:tab/>
        <w:t>I find that the interest should run from the date of the</w:t>
      </w:r>
      <w:r w:rsidR="0020025A">
        <w:rPr>
          <w:lang w:val="en-US"/>
        </w:rPr>
        <w:t xml:space="preserve"> service of summons in accordance </w:t>
      </w:r>
      <w:r w:rsidR="001862CD">
        <w:rPr>
          <w:lang w:val="en-US"/>
        </w:rPr>
        <w:t>with the</w:t>
      </w:r>
      <w:r w:rsidR="0020025A">
        <w:rPr>
          <w:lang w:val="en-US"/>
        </w:rPr>
        <w:t xml:space="preserve"> prevailing </w:t>
      </w:r>
      <w:r w:rsidR="001862CD">
        <w:rPr>
          <w:lang w:val="en-US"/>
        </w:rPr>
        <w:t xml:space="preserve">interest </w:t>
      </w:r>
      <w:r w:rsidR="00765AAF">
        <w:rPr>
          <w:lang w:val="en-US"/>
        </w:rPr>
        <w:t xml:space="preserve">rate </w:t>
      </w:r>
      <w:r w:rsidR="008F5CD8">
        <w:rPr>
          <w:lang w:val="en-US"/>
        </w:rPr>
        <w:t xml:space="preserve">of 7% </w:t>
      </w:r>
      <w:r w:rsidR="00765AAF">
        <w:rPr>
          <w:lang w:val="en-US"/>
        </w:rPr>
        <w:t xml:space="preserve">at the time of the Magistrate Court judgment </w:t>
      </w:r>
      <w:r w:rsidR="008F5CD8">
        <w:rPr>
          <w:lang w:val="en-US"/>
        </w:rPr>
        <w:t xml:space="preserve">on 10 March </w:t>
      </w:r>
      <w:r w:rsidR="008F7D3B">
        <w:rPr>
          <w:lang w:val="en-US"/>
        </w:rPr>
        <w:t>2022</w:t>
      </w:r>
      <w:r w:rsidR="00305B13">
        <w:rPr>
          <w:color w:val="000000" w:themeColor="text1"/>
          <w:lang w:val="en-US"/>
        </w:rPr>
        <w:t>.</w:t>
      </w:r>
      <w:r w:rsidR="00305B13">
        <w:rPr>
          <w:rStyle w:val="FootnoteReference"/>
          <w:color w:val="000000" w:themeColor="text1"/>
          <w:lang w:val="en-US"/>
        </w:rPr>
        <w:footnoteReference w:id="20"/>
      </w:r>
    </w:p>
    <w:p w14:paraId="5D14DB92" w14:textId="77777777" w:rsidR="00925B0A" w:rsidRPr="00305B13" w:rsidRDefault="00925B0A" w:rsidP="008E49B6">
      <w:pPr>
        <w:pStyle w:val="JudgmentNumbered"/>
        <w:numPr>
          <w:ilvl w:val="0"/>
          <w:numId w:val="0"/>
        </w:numPr>
        <w:spacing w:after="0"/>
        <w:rPr>
          <w:lang w:val="en-US"/>
        </w:rPr>
      </w:pPr>
    </w:p>
    <w:p w14:paraId="04385130" w14:textId="77777777" w:rsidR="00925B0A" w:rsidRPr="00761E39" w:rsidRDefault="00925B0A" w:rsidP="006A785D">
      <w:pPr>
        <w:pStyle w:val="1"/>
        <w:numPr>
          <w:ilvl w:val="0"/>
          <w:numId w:val="0"/>
        </w:numPr>
        <w:rPr>
          <w:color w:val="000000" w:themeColor="text1"/>
        </w:rPr>
      </w:pPr>
      <w:r w:rsidRPr="00761E39">
        <w:rPr>
          <w:color w:val="000000" w:themeColor="text1"/>
          <w:lang w:val="en-US"/>
        </w:rPr>
        <w:t>[43]</w:t>
      </w:r>
      <w:r w:rsidRPr="00761E39">
        <w:rPr>
          <w:color w:val="000000" w:themeColor="text1"/>
          <w:lang w:val="en-US"/>
        </w:rPr>
        <w:tab/>
      </w:r>
      <w:r w:rsidRPr="00761E39">
        <w:rPr>
          <w:color w:val="000000" w:themeColor="text1"/>
        </w:rPr>
        <w:t xml:space="preserve">This court has partially allowed the appeal. For this reason, the cost order made   by the court </w:t>
      </w:r>
      <w:r w:rsidRPr="00761E39">
        <w:rPr>
          <w:i/>
          <w:iCs w:val="0"/>
          <w:color w:val="000000" w:themeColor="text1"/>
        </w:rPr>
        <w:t xml:space="preserve">a quo </w:t>
      </w:r>
      <w:r w:rsidRPr="00761E39">
        <w:rPr>
          <w:color w:val="000000" w:themeColor="text1"/>
        </w:rPr>
        <w:t xml:space="preserve">should be </w:t>
      </w:r>
      <w:r w:rsidR="001A0070" w:rsidRPr="00761E39">
        <w:rPr>
          <w:color w:val="000000" w:themeColor="text1"/>
        </w:rPr>
        <w:t>amended</w:t>
      </w:r>
      <w:r w:rsidRPr="00761E39">
        <w:rPr>
          <w:color w:val="000000" w:themeColor="text1"/>
        </w:rPr>
        <w:t>. The appellant’s grounds of appeal cannot be construed to have been unreasonable in as far as the interest rate in concerned</w:t>
      </w:r>
      <w:r w:rsidR="008979EE" w:rsidRPr="00761E39">
        <w:rPr>
          <w:color w:val="000000" w:themeColor="text1"/>
        </w:rPr>
        <w:t>. With regards to the appeal relating to the merits</w:t>
      </w:r>
      <w:r w:rsidR="001A0070" w:rsidRPr="00761E39">
        <w:rPr>
          <w:color w:val="000000" w:themeColor="text1"/>
        </w:rPr>
        <w:t xml:space="preserve"> and quantum</w:t>
      </w:r>
      <w:r w:rsidR="008979EE" w:rsidRPr="00761E39">
        <w:rPr>
          <w:color w:val="000000" w:themeColor="text1"/>
        </w:rPr>
        <w:t xml:space="preserve"> the opposition was reasonable hence the appeal could not be sustained. To this end the costs in the appeal should be that each party pay respective costs whereas 50% of the respondent’s cost in the court </w:t>
      </w:r>
      <w:r w:rsidR="001A0070" w:rsidRPr="00761E39">
        <w:rPr>
          <w:color w:val="000000" w:themeColor="text1"/>
        </w:rPr>
        <w:t xml:space="preserve">a quo </w:t>
      </w:r>
      <w:r w:rsidR="008979EE" w:rsidRPr="00761E39">
        <w:rPr>
          <w:color w:val="000000" w:themeColor="text1"/>
        </w:rPr>
        <w:t>should be for the respondent’s account</w:t>
      </w:r>
      <w:r w:rsidR="001A0070" w:rsidRPr="00761E39">
        <w:rPr>
          <w:color w:val="000000" w:themeColor="text1"/>
        </w:rPr>
        <w:t>.</w:t>
      </w:r>
      <w:r w:rsidRPr="00761E39">
        <w:rPr>
          <w:color w:val="000000" w:themeColor="text1"/>
        </w:rPr>
        <w:t xml:space="preserve"> </w:t>
      </w:r>
    </w:p>
    <w:p w14:paraId="7F8F51D6" w14:textId="77777777" w:rsidR="006A785D" w:rsidRDefault="006A785D" w:rsidP="00925B0A">
      <w:pPr>
        <w:pStyle w:val="1"/>
        <w:numPr>
          <w:ilvl w:val="0"/>
          <w:numId w:val="0"/>
        </w:numPr>
        <w:ind w:left="720" w:hanging="720"/>
        <w:rPr>
          <w:b/>
          <w:bCs/>
          <w:color w:val="000000" w:themeColor="text1"/>
        </w:rPr>
      </w:pPr>
    </w:p>
    <w:p w14:paraId="38436FCF" w14:textId="77777777" w:rsidR="00A865C3" w:rsidRPr="00761E39" w:rsidRDefault="001A0070" w:rsidP="00925B0A">
      <w:pPr>
        <w:pStyle w:val="1"/>
        <w:numPr>
          <w:ilvl w:val="0"/>
          <w:numId w:val="0"/>
        </w:numPr>
        <w:ind w:left="720" w:hanging="720"/>
        <w:rPr>
          <w:b/>
          <w:bCs/>
          <w:color w:val="000000" w:themeColor="text1"/>
        </w:rPr>
      </w:pPr>
      <w:r w:rsidRPr="00761E39">
        <w:rPr>
          <w:b/>
          <w:bCs/>
          <w:color w:val="000000" w:themeColor="text1"/>
        </w:rPr>
        <w:lastRenderedPageBreak/>
        <w:t>Order</w:t>
      </w:r>
    </w:p>
    <w:p w14:paraId="0E2535CA" w14:textId="77777777" w:rsidR="00A865C3" w:rsidRPr="00761E39" w:rsidRDefault="00A865C3" w:rsidP="00925B0A">
      <w:pPr>
        <w:pStyle w:val="1"/>
        <w:numPr>
          <w:ilvl w:val="0"/>
          <w:numId w:val="0"/>
        </w:numPr>
        <w:ind w:left="720" w:hanging="720"/>
        <w:rPr>
          <w:color w:val="000000" w:themeColor="text1"/>
        </w:rPr>
      </w:pPr>
      <w:r w:rsidRPr="00761E39">
        <w:rPr>
          <w:color w:val="000000" w:themeColor="text1"/>
        </w:rPr>
        <w:t>In the premises I make the following order.</w:t>
      </w:r>
    </w:p>
    <w:p w14:paraId="448D34D7" w14:textId="4B6D7293" w:rsidR="00925B0A" w:rsidRPr="00761E39" w:rsidRDefault="00036852" w:rsidP="00036852">
      <w:pPr>
        <w:pStyle w:val="1"/>
        <w:numPr>
          <w:ilvl w:val="0"/>
          <w:numId w:val="0"/>
        </w:numPr>
        <w:tabs>
          <w:tab w:val="left" w:pos="1701"/>
        </w:tabs>
        <w:ind w:left="1701" w:hanging="992"/>
        <w:rPr>
          <w:color w:val="000000" w:themeColor="text1"/>
        </w:rPr>
      </w:pPr>
      <w:r w:rsidRPr="00761E39">
        <w:rPr>
          <w:color w:val="000000" w:themeColor="text1"/>
        </w:rPr>
        <w:t>1.1</w:t>
      </w:r>
      <w:r w:rsidRPr="00761E39">
        <w:rPr>
          <w:color w:val="000000" w:themeColor="text1"/>
        </w:rPr>
        <w:tab/>
      </w:r>
      <w:r w:rsidR="00925B0A" w:rsidRPr="00761E39">
        <w:rPr>
          <w:color w:val="000000" w:themeColor="text1"/>
        </w:rPr>
        <w:t xml:space="preserve">The appeal is </w:t>
      </w:r>
      <w:r w:rsidR="008979EE" w:rsidRPr="00761E39">
        <w:rPr>
          <w:color w:val="000000" w:themeColor="text1"/>
        </w:rPr>
        <w:t xml:space="preserve">dismissed </w:t>
      </w:r>
      <w:r w:rsidR="00AB5A8C" w:rsidRPr="00761E39">
        <w:rPr>
          <w:color w:val="000000" w:themeColor="text1"/>
        </w:rPr>
        <w:t xml:space="preserve">in relation to the merits and </w:t>
      </w:r>
      <w:r w:rsidR="00A865C3" w:rsidRPr="00761E39">
        <w:rPr>
          <w:color w:val="000000" w:themeColor="text1"/>
        </w:rPr>
        <w:t xml:space="preserve">quantum and </w:t>
      </w:r>
      <w:r w:rsidR="00AB5A8C" w:rsidRPr="00761E39">
        <w:rPr>
          <w:color w:val="000000" w:themeColor="text1"/>
        </w:rPr>
        <w:t>each party to pay their respective legal costs</w:t>
      </w:r>
      <w:r w:rsidR="00925B0A" w:rsidRPr="00761E39">
        <w:rPr>
          <w:color w:val="000000" w:themeColor="text1"/>
        </w:rPr>
        <w:t>.</w:t>
      </w:r>
    </w:p>
    <w:p w14:paraId="7830E741" w14:textId="072256ED" w:rsidR="008979EE" w:rsidRPr="00761E39" w:rsidRDefault="00036852" w:rsidP="00036852">
      <w:pPr>
        <w:pStyle w:val="1"/>
        <w:numPr>
          <w:ilvl w:val="0"/>
          <w:numId w:val="0"/>
        </w:numPr>
        <w:tabs>
          <w:tab w:val="left" w:pos="1701"/>
        </w:tabs>
        <w:ind w:left="1701" w:hanging="992"/>
        <w:rPr>
          <w:color w:val="000000" w:themeColor="text1"/>
        </w:rPr>
      </w:pPr>
      <w:r w:rsidRPr="00761E39">
        <w:rPr>
          <w:color w:val="000000" w:themeColor="text1"/>
        </w:rPr>
        <w:t>1.2</w:t>
      </w:r>
      <w:r w:rsidRPr="00761E39">
        <w:rPr>
          <w:color w:val="000000" w:themeColor="text1"/>
        </w:rPr>
        <w:tab/>
      </w:r>
      <w:r w:rsidR="00925B0A" w:rsidRPr="00761E39">
        <w:rPr>
          <w:color w:val="000000" w:themeColor="text1"/>
        </w:rPr>
        <w:t xml:space="preserve">The appeal is partially upheld </w:t>
      </w:r>
      <w:r w:rsidR="008979EE" w:rsidRPr="00761E39">
        <w:rPr>
          <w:color w:val="000000" w:themeColor="text1"/>
        </w:rPr>
        <w:t>and the order for the court a quo is substituted as follows:</w:t>
      </w:r>
    </w:p>
    <w:p w14:paraId="0724AFF0" w14:textId="6FFAE4A4" w:rsidR="00AB5A8C" w:rsidRPr="00761E39" w:rsidRDefault="00036852" w:rsidP="00036852">
      <w:pPr>
        <w:pStyle w:val="1"/>
        <w:numPr>
          <w:ilvl w:val="0"/>
          <w:numId w:val="0"/>
        </w:numPr>
        <w:ind w:left="2977" w:hanging="1276"/>
        <w:rPr>
          <w:i/>
          <w:iCs w:val="0"/>
          <w:color w:val="000000" w:themeColor="text1"/>
        </w:rPr>
      </w:pPr>
      <w:r w:rsidRPr="00761E39">
        <w:rPr>
          <w:iCs w:val="0"/>
          <w:color w:val="000000" w:themeColor="text1"/>
        </w:rPr>
        <w:t>1.2.1.</w:t>
      </w:r>
      <w:r w:rsidRPr="00761E39">
        <w:rPr>
          <w:iCs w:val="0"/>
          <w:color w:val="000000" w:themeColor="text1"/>
        </w:rPr>
        <w:tab/>
      </w:r>
      <w:r w:rsidR="00A865C3" w:rsidRPr="00761E39">
        <w:rPr>
          <w:i/>
          <w:iCs w:val="0"/>
          <w:color w:val="000000" w:themeColor="text1"/>
        </w:rPr>
        <w:t>“Judgment in favour of the plaintiff for R400 000.00 plus interest at the rate of 7% per annum from date of service of summons to date of payment.</w:t>
      </w:r>
    </w:p>
    <w:p w14:paraId="257E3F77" w14:textId="77777777" w:rsidR="00925B0A" w:rsidRPr="00761E39" w:rsidRDefault="00925B0A" w:rsidP="00925B0A">
      <w:pPr>
        <w:ind w:left="567" w:hanging="567"/>
        <w:rPr>
          <w:i/>
          <w:color w:val="000000" w:themeColor="text1"/>
        </w:rPr>
      </w:pPr>
    </w:p>
    <w:p w14:paraId="77557153" w14:textId="213100DD" w:rsidR="00305B13" w:rsidRPr="00305B13" w:rsidRDefault="00036852" w:rsidP="00036852">
      <w:pPr>
        <w:pStyle w:val="1"/>
        <w:numPr>
          <w:ilvl w:val="0"/>
          <w:numId w:val="0"/>
        </w:numPr>
        <w:tabs>
          <w:tab w:val="left" w:pos="1701"/>
        </w:tabs>
        <w:ind w:left="1286" w:firstLine="415"/>
        <w:rPr>
          <w:rFonts w:eastAsiaTheme="minorHAnsi" w:cs="Arial"/>
          <w:color w:val="FF0000"/>
        </w:rPr>
      </w:pPr>
      <w:r w:rsidRPr="00305B13">
        <w:rPr>
          <w:rFonts w:eastAsiaTheme="minorHAnsi" w:cs="Arial"/>
          <w:color w:val="000000" w:themeColor="text1"/>
        </w:rPr>
        <w:t>1.2.2.</w:t>
      </w:r>
      <w:r w:rsidRPr="00305B13">
        <w:rPr>
          <w:rFonts w:eastAsiaTheme="minorHAnsi" w:cs="Arial"/>
          <w:color w:val="000000" w:themeColor="text1"/>
        </w:rPr>
        <w:tab/>
      </w:r>
      <w:r w:rsidR="00AB5A8C" w:rsidRPr="00761E39">
        <w:rPr>
          <w:i/>
          <w:iCs w:val="0"/>
          <w:color w:val="000000" w:themeColor="text1"/>
        </w:rPr>
        <w:t>Defendant is ordered to pay 50% the plaintiff legal costs.</w:t>
      </w:r>
      <w:r w:rsidR="00A865C3" w:rsidRPr="00761E39">
        <w:rPr>
          <w:i/>
          <w:iCs w:val="0"/>
          <w:color w:val="000000" w:themeColor="text1"/>
        </w:rPr>
        <w:t>”</w:t>
      </w:r>
      <w:r w:rsidR="00AB5A8C" w:rsidRPr="00761E39">
        <w:rPr>
          <w:color w:val="000000" w:themeColor="text1"/>
        </w:rPr>
        <w:t xml:space="preserve"> </w:t>
      </w:r>
    </w:p>
    <w:p w14:paraId="23E966BA" w14:textId="77777777" w:rsidR="00305B13" w:rsidRDefault="00305B13" w:rsidP="00305B13">
      <w:pPr>
        <w:pStyle w:val="ListParagraph"/>
        <w:rPr>
          <w:color w:val="000000" w:themeColor="text1"/>
        </w:rPr>
      </w:pPr>
    </w:p>
    <w:p w14:paraId="4C16C4DD" w14:textId="73A878D9" w:rsidR="00D11D18" w:rsidRPr="001A0070" w:rsidRDefault="00036852" w:rsidP="00036852">
      <w:pPr>
        <w:pStyle w:val="1"/>
        <w:numPr>
          <w:ilvl w:val="0"/>
          <w:numId w:val="0"/>
        </w:numPr>
        <w:tabs>
          <w:tab w:val="left" w:pos="1701"/>
        </w:tabs>
        <w:ind w:left="1286" w:firstLine="415"/>
        <w:rPr>
          <w:rFonts w:eastAsiaTheme="minorHAnsi" w:cs="Arial"/>
          <w:color w:val="FF0000"/>
        </w:rPr>
      </w:pPr>
      <w:r w:rsidRPr="001A0070">
        <w:rPr>
          <w:rFonts w:eastAsiaTheme="minorHAnsi" w:cs="Arial"/>
          <w:color w:val="000000" w:themeColor="text1"/>
        </w:rPr>
        <w:t>1.2.3.</w:t>
      </w:r>
      <w:r w:rsidRPr="001A0070">
        <w:rPr>
          <w:rFonts w:eastAsiaTheme="minorHAnsi" w:cs="Arial"/>
          <w:color w:val="000000" w:themeColor="text1"/>
        </w:rPr>
        <w:tab/>
      </w:r>
      <w:r w:rsidR="00925B0A" w:rsidRPr="00761E39">
        <w:rPr>
          <w:color w:val="000000" w:themeColor="text1"/>
        </w:rPr>
        <w:br w:type="page"/>
      </w:r>
    </w:p>
    <w:p w14:paraId="208B1D37" w14:textId="77777777" w:rsidR="00D11D18" w:rsidRDefault="00D11D18" w:rsidP="00EB1D04">
      <w:pPr>
        <w:snapToGrid w:val="0"/>
        <w:spacing w:after="0" w:line="240" w:lineRule="auto"/>
        <w:ind w:left="1440" w:hanging="720"/>
        <w:jc w:val="right"/>
        <w:rPr>
          <w:rFonts w:ascii="Arial" w:eastAsia="Times New Roman" w:hAnsi="Arial" w:cs="Arial"/>
          <w:sz w:val="24"/>
          <w:szCs w:val="24"/>
          <w:lang w:val="en-ZA" w:eastAsia="en-GB"/>
        </w:rPr>
      </w:pPr>
    </w:p>
    <w:p w14:paraId="13EC9309" w14:textId="77777777" w:rsidR="003C2880" w:rsidRPr="0073176F" w:rsidRDefault="003C2880" w:rsidP="00EB1D04">
      <w:pPr>
        <w:snapToGrid w:val="0"/>
        <w:spacing w:after="0" w:line="240" w:lineRule="auto"/>
        <w:ind w:left="1440" w:hanging="720"/>
        <w:jc w:val="right"/>
        <w:rPr>
          <w:rFonts w:ascii="Arial" w:eastAsia="Times New Roman" w:hAnsi="Arial" w:cs="Arial"/>
          <w:sz w:val="24"/>
          <w:szCs w:val="24"/>
          <w:lang w:val="en-ZA" w:eastAsia="en-GB"/>
        </w:rPr>
      </w:pPr>
      <w:r w:rsidRPr="0073176F">
        <w:rPr>
          <w:rFonts w:ascii="Arial" w:eastAsia="Times New Roman" w:hAnsi="Arial" w:cs="Arial"/>
          <w:sz w:val="24"/>
          <w:szCs w:val="24"/>
          <w:lang w:val="en-ZA" w:eastAsia="en-GB"/>
        </w:rPr>
        <w:t>________________________</w:t>
      </w:r>
    </w:p>
    <w:p w14:paraId="75D181C1" w14:textId="77777777" w:rsidR="00EB1D04" w:rsidRDefault="00EB1D04" w:rsidP="003C2880">
      <w:pPr>
        <w:spacing w:after="0" w:line="360" w:lineRule="auto"/>
        <w:jc w:val="right"/>
        <w:rPr>
          <w:rFonts w:ascii="Arial" w:eastAsia="Times New Roman" w:hAnsi="Arial" w:cs="Arial"/>
          <w:b/>
          <w:sz w:val="24"/>
          <w:szCs w:val="16"/>
          <w:lang w:val="en-ZA" w:eastAsia="en-GB"/>
        </w:rPr>
      </w:pPr>
    </w:p>
    <w:p w14:paraId="016BBFE1" w14:textId="77777777" w:rsidR="003C2880" w:rsidRPr="0073176F" w:rsidRDefault="003C2880" w:rsidP="003C2880">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MD BOTSI-THULARE</w:t>
      </w:r>
    </w:p>
    <w:p w14:paraId="1DACCA78" w14:textId="77777777" w:rsidR="003C2880" w:rsidRDefault="003C2880" w:rsidP="001862CD">
      <w:pPr>
        <w:snapToGrid w:val="0"/>
        <w:spacing w:before="240" w:after="240" w:line="360" w:lineRule="auto"/>
        <w:ind w:left="1440" w:hanging="720"/>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ACTING </w:t>
      </w:r>
      <w:r w:rsidRPr="0073176F">
        <w:rPr>
          <w:rFonts w:ascii="Arial" w:eastAsia="Times New Roman" w:hAnsi="Arial" w:cs="Arial"/>
          <w:b/>
          <w:sz w:val="24"/>
          <w:szCs w:val="24"/>
          <w:lang w:val="en-ZA" w:eastAsia="en-GB"/>
        </w:rPr>
        <w:t xml:space="preserve">JUDGE OF THE HIGH COURT, </w:t>
      </w:r>
      <w:r>
        <w:rPr>
          <w:rFonts w:ascii="Arial" w:eastAsia="Times New Roman" w:hAnsi="Arial" w:cs="Arial"/>
          <w:b/>
          <w:sz w:val="24"/>
          <w:szCs w:val="24"/>
          <w:lang w:val="en-ZA" w:eastAsia="en-GB"/>
        </w:rPr>
        <w:t xml:space="preserve">JOHANNESBURG </w:t>
      </w:r>
    </w:p>
    <w:p w14:paraId="08E02C20" w14:textId="77777777" w:rsidR="00C0003C" w:rsidRDefault="00C0003C" w:rsidP="00C0003C">
      <w:pPr>
        <w:snapToGrid w:val="0"/>
        <w:spacing w:before="240" w:after="240" w:line="360" w:lineRule="auto"/>
        <w:rPr>
          <w:rFonts w:ascii="Arial" w:eastAsia="Times New Roman" w:hAnsi="Arial" w:cs="Arial"/>
          <w:sz w:val="24"/>
          <w:szCs w:val="24"/>
          <w:lang w:val="en-ZA" w:eastAsia="en-GB"/>
        </w:rPr>
      </w:pPr>
    </w:p>
    <w:p w14:paraId="1B096E07" w14:textId="77777777" w:rsidR="003C2880" w:rsidRPr="009F6ECA" w:rsidRDefault="00F63580" w:rsidP="00C0003C">
      <w:pPr>
        <w:snapToGrid w:val="0"/>
        <w:spacing w:before="240" w:after="240" w:line="360" w:lineRule="auto"/>
        <w:ind w:left="4320" w:firstLine="720"/>
        <w:rPr>
          <w:rFonts w:ascii="Arial" w:eastAsia="Times New Roman" w:hAnsi="Arial" w:cs="Arial"/>
          <w:b/>
          <w:i/>
          <w:sz w:val="24"/>
          <w:szCs w:val="24"/>
          <w:lang w:val="en-ZA" w:eastAsia="en-GB"/>
        </w:rPr>
      </w:pPr>
      <w:r>
        <w:rPr>
          <w:rFonts w:ascii="Arial" w:eastAsia="Times New Roman" w:hAnsi="Arial" w:cs="Arial"/>
          <w:b/>
          <w:i/>
          <w:sz w:val="24"/>
          <w:szCs w:val="24"/>
          <w:lang w:val="en-ZA" w:eastAsia="en-GB"/>
        </w:rPr>
        <w:t xml:space="preserve"> </w:t>
      </w:r>
      <w:r w:rsidR="003C2880" w:rsidRPr="009F6ECA">
        <w:rPr>
          <w:rFonts w:ascii="Arial" w:eastAsia="Times New Roman" w:hAnsi="Arial" w:cs="Arial"/>
          <w:b/>
          <w:i/>
          <w:sz w:val="24"/>
          <w:szCs w:val="24"/>
          <w:lang w:val="en-ZA" w:eastAsia="en-GB"/>
        </w:rPr>
        <w:t xml:space="preserve">IT IS AGREED AND SO ORDERED </w:t>
      </w:r>
    </w:p>
    <w:p w14:paraId="53CECCAF" w14:textId="77777777" w:rsidR="00F63580" w:rsidRDefault="00F63580" w:rsidP="000A7C29">
      <w:pPr>
        <w:snapToGrid w:val="0"/>
        <w:spacing w:before="240" w:after="240" w:line="360" w:lineRule="auto"/>
        <w:ind w:left="5760"/>
        <w:rPr>
          <w:rFonts w:ascii="Arial" w:eastAsia="Times New Roman" w:hAnsi="Arial" w:cs="Arial"/>
          <w:sz w:val="24"/>
          <w:szCs w:val="24"/>
          <w:lang w:val="en-ZA" w:eastAsia="en-GB"/>
        </w:rPr>
      </w:pPr>
    </w:p>
    <w:p w14:paraId="3F8F385E" w14:textId="77777777" w:rsidR="003C2880" w:rsidRPr="003C2880" w:rsidRDefault="003C2880" w:rsidP="000A7C29">
      <w:pPr>
        <w:snapToGrid w:val="0"/>
        <w:spacing w:before="240" w:after="240" w:line="360" w:lineRule="auto"/>
        <w:ind w:left="5760"/>
        <w:rPr>
          <w:rFonts w:ascii="Arial" w:eastAsia="Times New Roman" w:hAnsi="Arial" w:cs="Arial"/>
          <w:sz w:val="24"/>
          <w:szCs w:val="24"/>
          <w:lang w:val="en-ZA" w:eastAsia="en-GB"/>
        </w:rPr>
      </w:pPr>
      <w:r w:rsidRPr="003C2880">
        <w:rPr>
          <w:rFonts w:ascii="Arial" w:eastAsia="Times New Roman" w:hAnsi="Arial" w:cs="Arial"/>
          <w:sz w:val="24"/>
          <w:szCs w:val="24"/>
          <w:lang w:val="en-ZA" w:eastAsia="en-GB"/>
        </w:rPr>
        <w:t>_________________________</w:t>
      </w:r>
    </w:p>
    <w:p w14:paraId="747247C3" w14:textId="77777777" w:rsidR="003C2880" w:rsidRDefault="003C2880" w:rsidP="003C2880">
      <w:pPr>
        <w:snapToGrid w:val="0"/>
        <w:spacing w:before="240" w:after="240" w:line="360" w:lineRule="auto"/>
        <w:ind w:left="1440" w:hanging="720"/>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M </w:t>
      </w:r>
      <w:r w:rsidR="002A7C78">
        <w:rPr>
          <w:rFonts w:ascii="Arial" w:eastAsia="Times New Roman" w:hAnsi="Arial" w:cs="Arial"/>
          <w:b/>
          <w:sz w:val="24"/>
          <w:szCs w:val="24"/>
          <w:lang w:val="en-ZA" w:eastAsia="en-GB"/>
        </w:rPr>
        <w:t xml:space="preserve">V </w:t>
      </w:r>
      <w:r>
        <w:rPr>
          <w:rFonts w:ascii="Arial" w:eastAsia="Times New Roman" w:hAnsi="Arial" w:cs="Arial"/>
          <w:b/>
          <w:sz w:val="24"/>
          <w:szCs w:val="24"/>
          <w:lang w:val="en-ZA" w:eastAsia="en-GB"/>
        </w:rPr>
        <w:t xml:space="preserve">NOKO </w:t>
      </w:r>
    </w:p>
    <w:p w14:paraId="5F37E6F8" w14:textId="77777777" w:rsidR="001862CD" w:rsidRDefault="003C2880" w:rsidP="001862CD">
      <w:pPr>
        <w:snapToGrid w:val="0"/>
        <w:spacing w:before="240" w:after="240" w:line="360" w:lineRule="auto"/>
        <w:ind w:left="1440" w:hanging="720"/>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JUDGE OF THE HIGH COURT, JOHANNESBURG </w:t>
      </w:r>
    </w:p>
    <w:p w14:paraId="7EA49DEB" w14:textId="77777777" w:rsidR="003C2880" w:rsidRPr="0073176F" w:rsidRDefault="003C2880" w:rsidP="003C2880">
      <w:pPr>
        <w:snapToGrid w:val="0"/>
        <w:spacing w:before="240" w:after="240" w:line="360" w:lineRule="auto"/>
        <w:rPr>
          <w:rFonts w:ascii="Arial" w:eastAsia="Times New Roman" w:hAnsi="Arial" w:cs="Arial"/>
          <w:b/>
          <w:sz w:val="24"/>
          <w:szCs w:val="24"/>
          <w:lang w:val="en-ZA" w:eastAsia="en-GB"/>
        </w:rPr>
      </w:pPr>
      <w:r w:rsidRPr="0073176F">
        <w:rPr>
          <w:rFonts w:ascii="Arial" w:eastAsia="Times New Roman" w:hAnsi="Arial" w:cs="Arial"/>
          <w:b/>
          <w:sz w:val="24"/>
          <w:szCs w:val="24"/>
          <w:lang w:val="en-ZA" w:eastAsia="en-GB"/>
        </w:rPr>
        <w:t>APPEARANCES:</w:t>
      </w:r>
    </w:p>
    <w:p w14:paraId="0C4B3ACF" w14:textId="77777777" w:rsidR="003C2880" w:rsidRDefault="003C2880" w:rsidP="003C2880">
      <w:pPr>
        <w:spacing w:after="0" w:line="360" w:lineRule="auto"/>
        <w:rPr>
          <w:rFonts w:ascii="Arial" w:eastAsia="Times New Roman" w:hAnsi="Arial" w:cs="Arial"/>
          <w:sz w:val="24"/>
          <w:szCs w:val="24"/>
          <w:lang w:val="en-ZA" w:eastAsia="en-GB"/>
        </w:rPr>
      </w:pPr>
      <w:r w:rsidRPr="001862CD">
        <w:rPr>
          <w:rFonts w:ascii="Arial" w:eastAsia="Times New Roman" w:hAnsi="Arial" w:cs="Arial"/>
          <w:b/>
          <w:bCs/>
          <w:sz w:val="24"/>
          <w:szCs w:val="24"/>
          <w:lang w:val="en-ZA" w:eastAsia="en-GB"/>
        </w:rPr>
        <w:t>App</w:t>
      </w:r>
      <w:r w:rsidR="00FE6221" w:rsidRPr="001862CD">
        <w:rPr>
          <w:rFonts w:ascii="Arial" w:eastAsia="Times New Roman" w:hAnsi="Arial" w:cs="Arial"/>
          <w:b/>
          <w:bCs/>
          <w:sz w:val="24"/>
          <w:szCs w:val="24"/>
          <w:lang w:val="en-ZA" w:eastAsia="en-GB"/>
        </w:rPr>
        <w:t>ellant</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p>
    <w:p w14:paraId="3D1BC32F" w14:textId="77777777" w:rsidR="00776749" w:rsidRDefault="00776749" w:rsidP="003C2880">
      <w:pPr>
        <w:spacing w:after="0" w:line="360" w:lineRule="auto"/>
        <w:rPr>
          <w:rFonts w:ascii="Arial" w:eastAsia="Times New Roman" w:hAnsi="Arial" w:cs="Arial"/>
          <w:sz w:val="24"/>
          <w:szCs w:val="24"/>
          <w:lang w:val="en-ZA" w:eastAsia="en-GB"/>
        </w:rPr>
      </w:pPr>
    </w:p>
    <w:p w14:paraId="6D1BAD73" w14:textId="77777777" w:rsidR="003C2880" w:rsidRDefault="003C2880" w:rsidP="003C2880">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Counsel for the App</w:t>
      </w:r>
      <w:r w:rsidR="00FE6221">
        <w:rPr>
          <w:rFonts w:ascii="Arial" w:eastAsia="Times New Roman" w:hAnsi="Arial" w:cs="Arial"/>
          <w:sz w:val="24"/>
          <w:szCs w:val="24"/>
          <w:lang w:val="en-ZA" w:eastAsia="en-GB"/>
        </w:rPr>
        <w:t>ellant</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sidR="001862CD">
        <w:rPr>
          <w:rFonts w:ascii="Arial" w:eastAsia="Times New Roman" w:hAnsi="Arial" w:cs="Arial"/>
          <w:sz w:val="24"/>
          <w:szCs w:val="24"/>
          <w:lang w:val="en-ZA" w:eastAsia="en-GB"/>
        </w:rPr>
        <w:tab/>
      </w:r>
      <w:r>
        <w:rPr>
          <w:rFonts w:ascii="Arial" w:eastAsia="Times New Roman" w:hAnsi="Arial" w:cs="Arial"/>
          <w:sz w:val="24"/>
          <w:szCs w:val="24"/>
          <w:lang w:val="en-ZA" w:eastAsia="en-GB"/>
        </w:rPr>
        <w:t xml:space="preserve">: Adv S </w:t>
      </w:r>
      <w:proofErr w:type="spellStart"/>
      <w:r>
        <w:rPr>
          <w:rFonts w:ascii="Arial" w:eastAsia="Times New Roman" w:hAnsi="Arial" w:cs="Arial"/>
          <w:sz w:val="24"/>
          <w:szCs w:val="24"/>
          <w:lang w:val="en-ZA" w:eastAsia="en-GB"/>
        </w:rPr>
        <w:t>Magaqa</w:t>
      </w:r>
      <w:proofErr w:type="spellEnd"/>
    </w:p>
    <w:p w14:paraId="59DA0AA3" w14:textId="77777777" w:rsidR="003C2880" w:rsidRDefault="003C2880" w:rsidP="003C2880">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Instructed by </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sidR="001862CD">
        <w:rPr>
          <w:rFonts w:ascii="Arial" w:eastAsia="Times New Roman" w:hAnsi="Arial" w:cs="Arial"/>
          <w:sz w:val="24"/>
          <w:szCs w:val="24"/>
          <w:lang w:val="en-ZA" w:eastAsia="en-GB"/>
        </w:rPr>
        <w:tab/>
      </w:r>
      <w:r>
        <w:rPr>
          <w:rFonts w:ascii="Arial" w:eastAsia="Times New Roman" w:hAnsi="Arial" w:cs="Arial"/>
          <w:sz w:val="24"/>
          <w:szCs w:val="24"/>
          <w:lang w:val="en-ZA" w:eastAsia="en-GB"/>
        </w:rPr>
        <w:t>: State Attorney</w:t>
      </w:r>
    </w:p>
    <w:p w14:paraId="1CD704C8" w14:textId="77777777" w:rsidR="003C2880" w:rsidRDefault="003C2880" w:rsidP="003C2880">
      <w:pPr>
        <w:spacing w:after="0" w:line="360" w:lineRule="auto"/>
        <w:rPr>
          <w:rFonts w:ascii="Arial" w:eastAsia="Times New Roman" w:hAnsi="Arial" w:cs="Arial"/>
          <w:sz w:val="24"/>
          <w:szCs w:val="24"/>
          <w:lang w:val="en-ZA" w:eastAsia="en-GB"/>
        </w:rPr>
      </w:pPr>
    </w:p>
    <w:p w14:paraId="7FDF1FE7" w14:textId="77777777" w:rsidR="00DB3315" w:rsidRDefault="00DB3315" w:rsidP="003C2880">
      <w:pPr>
        <w:spacing w:after="0" w:line="360" w:lineRule="auto"/>
        <w:rPr>
          <w:rFonts w:ascii="Arial" w:eastAsia="Times New Roman" w:hAnsi="Arial" w:cs="Arial"/>
          <w:b/>
          <w:bCs/>
          <w:sz w:val="24"/>
          <w:szCs w:val="24"/>
          <w:lang w:val="en-ZA" w:eastAsia="en-GB"/>
        </w:rPr>
      </w:pPr>
    </w:p>
    <w:p w14:paraId="2DD7EA6A" w14:textId="77777777" w:rsidR="00DB3315" w:rsidRDefault="00DB3315" w:rsidP="003C2880">
      <w:pPr>
        <w:spacing w:after="0" w:line="360" w:lineRule="auto"/>
        <w:rPr>
          <w:rFonts w:ascii="Arial" w:eastAsia="Times New Roman" w:hAnsi="Arial" w:cs="Arial"/>
          <w:b/>
          <w:bCs/>
          <w:sz w:val="24"/>
          <w:szCs w:val="24"/>
          <w:lang w:val="en-ZA" w:eastAsia="en-GB"/>
        </w:rPr>
      </w:pPr>
    </w:p>
    <w:p w14:paraId="4F48A3F9" w14:textId="77777777" w:rsidR="003C2880" w:rsidRDefault="00FE6221" w:rsidP="003C2880">
      <w:pPr>
        <w:spacing w:after="0" w:line="360" w:lineRule="auto"/>
        <w:rPr>
          <w:rFonts w:ascii="Arial" w:eastAsia="Times New Roman" w:hAnsi="Arial" w:cs="Arial"/>
          <w:sz w:val="24"/>
          <w:szCs w:val="24"/>
          <w:lang w:val="en-ZA" w:eastAsia="en-GB"/>
        </w:rPr>
      </w:pPr>
      <w:r w:rsidRPr="001862CD">
        <w:rPr>
          <w:rFonts w:ascii="Arial" w:eastAsia="Times New Roman" w:hAnsi="Arial" w:cs="Arial"/>
          <w:b/>
          <w:bCs/>
          <w:sz w:val="24"/>
          <w:szCs w:val="24"/>
          <w:lang w:val="en-ZA" w:eastAsia="en-GB"/>
        </w:rPr>
        <w:t>Respondent</w:t>
      </w:r>
      <w:r>
        <w:rPr>
          <w:rFonts w:ascii="Arial" w:eastAsia="Times New Roman" w:hAnsi="Arial" w:cs="Arial"/>
          <w:sz w:val="24"/>
          <w:szCs w:val="24"/>
          <w:lang w:val="en-ZA" w:eastAsia="en-GB"/>
        </w:rPr>
        <w:t xml:space="preserve"> </w:t>
      </w:r>
      <w:r w:rsidR="003C2880">
        <w:rPr>
          <w:rFonts w:ascii="Arial" w:eastAsia="Times New Roman" w:hAnsi="Arial" w:cs="Arial"/>
          <w:sz w:val="24"/>
          <w:szCs w:val="24"/>
          <w:lang w:val="en-ZA" w:eastAsia="en-GB"/>
        </w:rPr>
        <w:tab/>
      </w:r>
      <w:r w:rsidR="003C2880">
        <w:rPr>
          <w:rFonts w:ascii="Arial" w:eastAsia="Times New Roman" w:hAnsi="Arial" w:cs="Arial"/>
          <w:sz w:val="24"/>
          <w:szCs w:val="24"/>
          <w:lang w:val="en-ZA" w:eastAsia="en-GB"/>
        </w:rPr>
        <w:tab/>
      </w:r>
      <w:r w:rsidR="001862CD">
        <w:rPr>
          <w:rFonts w:ascii="Arial" w:eastAsia="Times New Roman" w:hAnsi="Arial" w:cs="Arial"/>
          <w:sz w:val="24"/>
          <w:szCs w:val="24"/>
          <w:lang w:val="en-ZA" w:eastAsia="en-GB"/>
        </w:rPr>
        <w:tab/>
      </w:r>
      <w:r w:rsidR="001862CD">
        <w:rPr>
          <w:rFonts w:ascii="Arial" w:eastAsia="Times New Roman" w:hAnsi="Arial" w:cs="Arial"/>
          <w:sz w:val="24"/>
          <w:szCs w:val="24"/>
          <w:lang w:val="en-ZA" w:eastAsia="en-GB"/>
        </w:rPr>
        <w:tab/>
      </w:r>
    </w:p>
    <w:p w14:paraId="30C75B87" w14:textId="77777777" w:rsidR="003C2880" w:rsidRDefault="00FE6221" w:rsidP="003C2880">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Counsel for the </w:t>
      </w:r>
      <w:r w:rsidR="003C2880">
        <w:rPr>
          <w:rFonts w:ascii="Arial" w:eastAsia="Times New Roman" w:hAnsi="Arial" w:cs="Arial"/>
          <w:sz w:val="24"/>
          <w:szCs w:val="24"/>
          <w:lang w:val="en-ZA" w:eastAsia="en-GB"/>
        </w:rPr>
        <w:t>Respondent</w:t>
      </w:r>
      <w:r w:rsidR="003C2880">
        <w:rPr>
          <w:rFonts w:ascii="Arial" w:eastAsia="Times New Roman" w:hAnsi="Arial" w:cs="Arial"/>
          <w:sz w:val="24"/>
          <w:szCs w:val="24"/>
          <w:lang w:val="en-ZA" w:eastAsia="en-GB"/>
        </w:rPr>
        <w:tab/>
      </w:r>
      <w:r w:rsidR="003C2880">
        <w:rPr>
          <w:rFonts w:ascii="Arial" w:eastAsia="Times New Roman" w:hAnsi="Arial" w:cs="Arial"/>
          <w:sz w:val="24"/>
          <w:szCs w:val="24"/>
          <w:lang w:val="en-ZA" w:eastAsia="en-GB"/>
        </w:rPr>
        <w:tab/>
        <w:t xml:space="preserve">: Adv FF Opperman </w:t>
      </w:r>
    </w:p>
    <w:p w14:paraId="6B0F1C3D" w14:textId="77777777" w:rsidR="003C2880" w:rsidRDefault="003C2880" w:rsidP="001862CD">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Instructed by </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sidR="001862CD">
        <w:rPr>
          <w:rFonts w:ascii="Arial" w:eastAsia="Times New Roman" w:hAnsi="Arial" w:cs="Arial"/>
          <w:sz w:val="24"/>
          <w:szCs w:val="24"/>
          <w:lang w:val="en-ZA" w:eastAsia="en-GB"/>
        </w:rPr>
        <w:tab/>
      </w:r>
      <w:r>
        <w:rPr>
          <w:rFonts w:ascii="Arial" w:eastAsia="Times New Roman" w:hAnsi="Arial" w:cs="Arial"/>
          <w:sz w:val="24"/>
          <w:szCs w:val="24"/>
          <w:lang w:val="en-ZA" w:eastAsia="en-GB"/>
        </w:rPr>
        <w:t xml:space="preserve">: M Gowrie Attorneys </w:t>
      </w:r>
    </w:p>
    <w:p w14:paraId="3DBB33F7" w14:textId="77777777" w:rsidR="001862CD" w:rsidRPr="001862CD" w:rsidRDefault="001862CD" w:rsidP="001862CD">
      <w:pPr>
        <w:spacing w:after="0" w:line="360" w:lineRule="auto"/>
        <w:rPr>
          <w:rFonts w:ascii="Arial" w:eastAsia="Times New Roman" w:hAnsi="Arial" w:cs="Arial"/>
          <w:sz w:val="24"/>
          <w:szCs w:val="24"/>
          <w:lang w:val="en-ZA" w:eastAsia="en-GB"/>
        </w:rPr>
      </w:pPr>
    </w:p>
    <w:p w14:paraId="51C56279" w14:textId="77777777" w:rsidR="003C2880" w:rsidRPr="00F764E5" w:rsidRDefault="003C2880" w:rsidP="001862CD">
      <w:pPr>
        <w:spacing w:after="0" w:line="360" w:lineRule="auto"/>
        <w:rPr>
          <w:rFonts w:ascii="Arial" w:hAnsi="Arial" w:cs="Arial"/>
          <w:b/>
          <w:sz w:val="24"/>
          <w:szCs w:val="24"/>
          <w:lang w:val="en-ZA"/>
        </w:rPr>
      </w:pPr>
      <w:r w:rsidRPr="00F764E5">
        <w:rPr>
          <w:rFonts w:ascii="Arial" w:hAnsi="Arial" w:cs="Arial"/>
          <w:b/>
          <w:sz w:val="24"/>
          <w:szCs w:val="24"/>
          <w:lang w:val="en-ZA"/>
        </w:rPr>
        <w:t>DATE OF HEARING</w:t>
      </w:r>
      <w:r w:rsidR="005A1D53">
        <w:rPr>
          <w:rFonts w:ascii="Arial" w:hAnsi="Arial" w:cs="Arial"/>
          <w:b/>
          <w:sz w:val="24"/>
          <w:szCs w:val="24"/>
          <w:lang w:val="en-ZA"/>
        </w:rPr>
        <w:tab/>
      </w:r>
      <w:r w:rsidR="005A1D53">
        <w:rPr>
          <w:rFonts w:ascii="Arial" w:hAnsi="Arial" w:cs="Arial"/>
          <w:b/>
          <w:sz w:val="24"/>
          <w:szCs w:val="24"/>
          <w:lang w:val="en-ZA"/>
        </w:rPr>
        <w:tab/>
      </w:r>
      <w:r w:rsidR="005A1D53">
        <w:rPr>
          <w:rFonts w:ascii="Arial" w:hAnsi="Arial" w:cs="Arial"/>
          <w:b/>
          <w:sz w:val="24"/>
          <w:szCs w:val="24"/>
          <w:lang w:val="en-ZA"/>
        </w:rPr>
        <w:tab/>
      </w:r>
      <w:r w:rsidR="002A7C78">
        <w:rPr>
          <w:rFonts w:ascii="Arial" w:hAnsi="Arial" w:cs="Arial"/>
          <w:b/>
          <w:sz w:val="24"/>
          <w:szCs w:val="24"/>
          <w:lang w:val="en-ZA"/>
        </w:rPr>
        <w:t xml:space="preserve">: </w:t>
      </w:r>
      <w:r w:rsidRPr="00FE6221">
        <w:rPr>
          <w:rFonts w:ascii="Arial" w:hAnsi="Arial" w:cs="Arial"/>
          <w:bCs/>
          <w:sz w:val="24"/>
          <w:szCs w:val="24"/>
          <w:lang w:val="en-ZA"/>
        </w:rPr>
        <w:t>04 October 2023</w:t>
      </w:r>
    </w:p>
    <w:p w14:paraId="1C5F8A56" w14:textId="77777777" w:rsidR="00B10F35" w:rsidRDefault="003C2880" w:rsidP="001862CD">
      <w:pPr>
        <w:pStyle w:val="JudgmentNumbered"/>
        <w:numPr>
          <w:ilvl w:val="0"/>
          <w:numId w:val="0"/>
        </w:numPr>
        <w:spacing w:after="0"/>
        <w:rPr>
          <w:szCs w:val="24"/>
        </w:rPr>
      </w:pPr>
      <w:r w:rsidRPr="00F764E5">
        <w:rPr>
          <w:b/>
          <w:szCs w:val="24"/>
          <w:lang w:val="en-ZA"/>
        </w:rPr>
        <w:t>DATE OF JUDGMENT</w:t>
      </w:r>
      <w:r w:rsidRPr="00F764E5">
        <w:rPr>
          <w:b/>
          <w:szCs w:val="24"/>
          <w:lang w:val="en-ZA"/>
        </w:rPr>
        <w:tab/>
      </w:r>
      <w:r w:rsidR="005A1D53">
        <w:rPr>
          <w:b/>
          <w:szCs w:val="24"/>
          <w:lang w:val="en-ZA"/>
        </w:rPr>
        <w:tab/>
      </w:r>
      <w:r w:rsidR="005A1D53">
        <w:rPr>
          <w:b/>
          <w:szCs w:val="24"/>
          <w:lang w:val="en-ZA"/>
        </w:rPr>
        <w:tab/>
      </w:r>
      <w:r w:rsidR="002A7C78">
        <w:rPr>
          <w:b/>
          <w:szCs w:val="24"/>
          <w:lang w:val="en-ZA"/>
        </w:rPr>
        <w:t xml:space="preserve">: </w:t>
      </w:r>
      <w:r w:rsidR="00DB3315">
        <w:rPr>
          <w:bCs/>
          <w:szCs w:val="24"/>
          <w:lang w:val="en-ZA"/>
        </w:rPr>
        <w:t>2</w:t>
      </w:r>
      <w:r w:rsidR="003C04C9">
        <w:rPr>
          <w:bCs/>
          <w:szCs w:val="24"/>
          <w:lang w:val="en-ZA"/>
        </w:rPr>
        <w:t>9</w:t>
      </w:r>
      <w:r w:rsidR="00DB3315">
        <w:rPr>
          <w:bCs/>
          <w:szCs w:val="24"/>
          <w:lang w:val="en-ZA"/>
        </w:rPr>
        <w:t xml:space="preserve"> </w:t>
      </w:r>
      <w:r w:rsidRPr="00FE6221">
        <w:rPr>
          <w:bCs/>
          <w:szCs w:val="24"/>
          <w:lang w:val="en-ZA"/>
        </w:rPr>
        <w:t>November 2023</w:t>
      </w:r>
    </w:p>
    <w:sectPr w:rsidR="00B10F35" w:rsidSect="00DA2C03">
      <w:headerReference w:type="default" r:id="rId9"/>
      <w:footerReference w:type="default" r:id="rId10"/>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9EA7" w14:textId="77777777" w:rsidR="00774641" w:rsidRDefault="00774641" w:rsidP="006E31DA">
      <w:pPr>
        <w:spacing w:after="0" w:line="240" w:lineRule="auto"/>
      </w:pPr>
      <w:r>
        <w:separator/>
      </w:r>
    </w:p>
  </w:endnote>
  <w:endnote w:type="continuationSeparator" w:id="0">
    <w:p w14:paraId="435A7FC2" w14:textId="77777777" w:rsidR="00774641" w:rsidRDefault="00774641"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79668"/>
      <w:docPartObj>
        <w:docPartGallery w:val="Page Numbers (Bottom of Page)"/>
        <w:docPartUnique/>
      </w:docPartObj>
    </w:sdtPr>
    <w:sdtEndPr>
      <w:rPr>
        <w:noProof/>
      </w:rPr>
    </w:sdtEndPr>
    <w:sdtContent>
      <w:p w14:paraId="473A0B42" w14:textId="0C23FFD0" w:rsidR="00DA2C03" w:rsidRDefault="00DA2C03">
        <w:pPr>
          <w:pStyle w:val="Footer"/>
          <w:jc w:val="right"/>
        </w:pPr>
        <w:r>
          <w:fldChar w:fldCharType="begin"/>
        </w:r>
        <w:r>
          <w:instrText xml:space="preserve"> PAGE   \* MERGEFORMAT </w:instrText>
        </w:r>
        <w:r>
          <w:fldChar w:fldCharType="separate"/>
        </w:r>
        <w:r w:rsidR="00C37CB5">
          <w:rPr>
            <w:noProof/>
          </w:rPr>
          <w:t>20</w:t>
        </w:r>
        <w:r>
          <w:rPr>
            <w:noProof/>
          </w:rPr>
          <w:fldChar w:fldCharType="end"/>
        </w:r>
      </w:p>
    </w:sdtContent>
  </w:sdt>
  <w:p w14:paraId="18CEADFC" w14:textId="77777777"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BD8" w14:textId="77777777" w:rsidR="00774641" w:rsidRDefault="00774641" w:rsidP="006E31DA">
      <w:pPr>
        <w:spacing w:after="0" w:line="240" w:lineRule="auto"/>
      </w:pPr>
      <w:r>
        <w:separator/>
      </w:r>
    </w:p>
  </w:footnote>
  <w:footnote w:type="continuationSeparator" w:id="0">
    <w:p w14:paraId="2AD90504" w14:textId="77777777" w:rsidR="00774641" w:rsidRDefault="00774641" w:rsidP="006E31DA">
      <w:pPr>
        <w:spacing w:after="0" w:line="240" w:lineRule="auto"/>
      </w:pPr>
      <w:r>
        <w:continuationSeparator/>
      </w:r>
    </w:p>
  </w:footnote>
  <w:footnote w:id="1">
    <w:p w14:paraId="028A6AC8" w14:textId="77777777" w:rsidR="00CF781E" w:rsidRPr="00D726F8" w:rsidRDefault="00CF781E" w:rsidP="00CF781E">
      <w:pPr>
        <w:pStyle w:val="FootnoteText"/>
        <w:rPr>
          <w:sz w:val="18"/>
          <w:szCs w:val="18"/>
        </w:rPr>
      </w:pPr>
      <w:r w:rsidRPr="00D726F8">
        <w:rPr>
          <w:rStyle w:val="FootnoteReference"/>
          <w:sz w:val="18"/>
          <w:szCs w:val="18"/>
        </w:rPr>
        <w:footnoteRef/>
      </w:r>
      <w:r w:rsidRPr="00D726F8">
        <w:rPr>
          <w:sz w:val="18"/>
          <w:szCs w:val="18"/>
        </w:rPr>
        <w:t xml:space="preserve"> 51 of 1977.</w:t>
      </w:r>
    </w:p>
  </w:footnote>
  <w:footnote w:id="2">
    <w:p w14:paraId="132F1FE6" w14:textId="77777777" w:rsidR="00CF781E" w:rsidRPr="00D726F8" w:rsidRDefault="00CF781E" w:rsidP="00CF781E">
      <w:pPr>
        <w:pStyle w:val="FootnoteText"/>
        <w:rPr>
          <w:sz w:val="18"/>
          <w:szCs w:val="18"/>
        </w:rPr>
      </w:pPr>
      <w:r w:rsidRPr="00D726F8">
        <w:rPr>
          <w:rStyle w:val="FootnoteReference"/>
          <w:sz w:val="18"/>
          <w:szCs w:val="18"/>
        </w:rPr>
        <w:footnoteRef/>
      </w:r>
      <w:r w:rsidRPr="00D726F8">
        <w:rPr>
          <w:sz w:val="18"/>
          <w:szCs w:val="18"/>
        </w:rPr>
        <w:t xml:space="preserve"> </w:t>
      </w:r>
      <w:r w:rsidRPr="00D726F8">
        <w:rPr>
          <w:i/>
          <w:iCs/>
          <w:sz w:val="18"/>
          <w:szCs w:val="18"/>
        </w:rPr>
        <w:t xml:space="preserve">Duncan v Minister of </w:t>
      </w:r>
      <w:r w:rsidR="00C67A72" w:rsidRPr="00D726F8">
        <w:rPr>
          <w:i/>
          <w:iCs/>
          <w:sz w:val="18"/>
          <w:szCs w:val="18"/>
        </w:rPr>
        <w:t>Law-and-Order</w:t>
      </w:r>
      <w:r w:rsidRPr="00D726F8">
        <w:rPr>
          <w:sz w:val="18"/>
          <w:szCs w:val="18"/>
        </w:rPr>
        <w:t xml:space="preserve"> 1986 (2) SA 805 (A) at 818AG-H (“</w:t>
      </w:r>
      <w:r w:rsidRPr="00D726F8">
        <w:rPr>
          <w:i/>
          <w:iCs/>
          <w:sz w:val="18"/>
          <w:szCs w:val="18"/>
        </w:rPr>
        <w:t>Duncan</w:t>
      </w:r>
      <w:r w:rsidRPr="00D726F8">
        <w:rPr>
          <w:sz w:val="18"/>
          <w:szCs w:val="18"/>
        </w:rPr>
        <w:t>”).</w:t>
      </w:r>
    </w:p>
  </w:footnote>
  <w:footnote w:id="3">
    <w:p w14:paraId="11E7789A" w14:textId="77777777" w:rsidR="00CF781E" w:rsidRPr="00D726F8" w:rsidRDefault="00CF781E" w:rsidP="00CF781E">
      <w:pPr>
        <w:pStyle w:val="FootnoteText"/>
        <w:rPr>
          <w:sz w:val="18"/>
          <w:szCs w:val="18"/>
        </w:rPr>
      </w:pPr>
      <w:r w:rsidRPr="00D726F8">
        <w:rPr>
          <w:rStyle w:val="FootnoteReference"/>
          <w:sz w:val="18"/>
          <w:szCs w:val="18"/>
        </w:rPr>
        <w:footnoteRef/>
      </w:r>
      <w:r w:rsidRPr="00D726F8">
        <w:rPr>
          <w:sz w:val="18"/>
          <w:szCs w:val="18"/>
        </w:rPr>
        <w:t xml:space="preserve"> 2019 (2) SACR 31 (ECG).</w:t>
      </w:r>
    </w:p>
  </w:footnote>
  <w:footnote w:id="4">
    <w:p w14:paraId="780A5F58" w14:textId="77777777" w:rsidR="00CF781E" w:rsidRPr="00D726F8" w:rsidRDefault="00CF781E" w:rsidP="00CF781E">
      <w:pPr>
        <w:pStyle w:val="FootnoteText"/>
        <w:rPr>
          <w:sz w:val="18"/>
          <w:szCs w:val="18"/>
        </w:rPr>
      </w:pPr>
      <w:r w:rsidRPr="00D726F8">
        <w:rPr>
          <w:rStyle w:val="FootnoteReference"/>
          <w:sz w:val="18"/>
          <w:szCs w:val="18"/>
        </w:rPr>
        <w:footnoteRef/>
      </w:r>
      <w:r w:rsidRPr="00D726F8">
        <w:rPr>
          <w:sz w:val="18"/>
          <w:szCs w:val="18"/>
        </w:rPr>
        <w:t xml:space="preserve"> 2021 (4) SA 585 (CC).</w:t>
      </w:r>
    </w:p>
  </w:footnote>
  <w:footnote w:id="5">
    <w:p w14:paraId="40F8A409" w14:textId="77777777" w:rsidR="00CF781E" w:rsidRPr="00D726F8" w:rsidRDefault="00CF781E" w:rsidP="00CF781E">
      <w:pPr>
        <w:pStyle w:val="FootnoteText"/>
        <w:rPr>
          <w:sz w:val="18"/>
          <w:szCs w:val="18"/>
        </w:rPr>
      </w:pPr>
      <w:r w:rsidRPr="00D726F8">
        <w:rPr>
          <w:rStyle w:val="FootnoteReference"/>
          <w:sz w:val="18"/>
          <w:szCs w:val="18"/>
        </w:rPr>
        <w:footnoteRef/>
      </w:r>
      <w:r w:rsidRPr="00D726F8">
        <w:rPr>
          <w:sz w:val="18"/>
          <w:szCs w:val="18"/>
        </w:rPr>
        <w:t xml:space="preserve"> </w:t>
      </w:r>
      <w:r w:rsidRPr="00D726F8">
        <w:rPr>
          <w:i/>
          <w:iCs/>
          <w:sz w:val="18"/>
          <w:szCs w:val="18"/>
        </w:rPr>
        <w:t xml:space="preserve">Minister of Safety and Security v Seymour </w:t>
      </w:r>
      <w:r w:rsidRPr="00D726F8">
        <w:rPr>
          <w:sz w:val="18"/>
          <w:szCs w:val="18"/>
        </w:rPr>
        <w:t>2006 (6) SA 320 (SCA).</w:t>
      </w:r>
    </w:p>
  </w:footnote>
  <w:footnote w:id="6">
    <w:p w14:paraId="1DB9CADB" w14:textId="77777777" w:rsidR="00F82BD9" w:rsidRPr="00D726F8" w:rsidRDefault="00F82BD9" w:rsidP="00F82BD9">
      <w:pPr>
        <w:pStyle w:val="FootnoteText"/>
        <w:rPr>
          <w:sz w:val="18"/>
          <w:szCs w:val="18"/>
        </w:rPr>
      </w:pPr>
      <w:r w:rsidRPr="00D726F8">
        <w:rPr>
          <w:rStyle w:val="FootnoteReference"/>
          <w:sz w:val="18"/>
          <w:szCs w:val="18"/>
        </w:rPr>
        <w:footnoteRef/>
      </w:r>
      <w:r w:rsidRPr="00D726F8">
        <w:rPr>
          <w:sz w:val="18"/>
          <w:szCs w:val="18"/>
        </w:rPr>
        <w:t xml:space="preserve"> </w:t>
      </w:r>
      <w:r w:rsidRPr="00D726F8">
        <w:rPr>
          <w:i/>
          <w:sz w:val="18"/>
          <w:szCs w:val="18"/>
        </w:rPr>
        <w:t>S</w:t>
      </w:r>
      <w:r w:rsidRPr="00D726F8">
        <w:rPr>
          <w:sz w:val="18"/>
          <w:szCs w:val="18"/>
        </w:rPr>
        <w:t xml:space="preserve"> </w:t>
      </w:r>
      <w:r w:rsidRPr="00BC177B">
        <w:rPr>
          <w:i/>
          <w:iCs/>
          <w:sz w:val="18"/>
          <w:szCs w:val="18"/>
        </w:rPr>
        <w:t xml:space="preserve">v </w:t>
      </w:r>
      <w:r w:rsidRPr="00D726F8">
        <w:rPr>
          <w:i/>
          <w:sz w:val="18"/>
          <w:szCs w:val="18"/>
        </w:rPr>
        <w:t>Livanje</w:t>
      </w:r>
      <w:r w:rsidRPr="00D726F8">
        <w:rPr>
          <w:sz w:val="18"/>
          <w:szCs w:val="18"/>
        </w:rPr>
        <w:t xml:space="preserve"> 2020 (2) SACR 451 (SCA) at para18.</w:t>
      </w:r>
    </w:p>
  </w:footnote>
  <w:footnote w:id="7">
    <w:p w14:paraId="7BA80860" w14:textId="77777777" w:rsidR="009C3FA6" w:rsidRPr="009C3FA6" w:rsidRDefault="009C3FA6">
      <w:pPr>
        <w:pStyle w:val="FootnoteText"/>
        <w:rPr>
          <w:lang w:val="en-ZA"/>
        </w:rPr>
      </w:pPr>
      <w:r>
        <w:rPr>
          <w:rStyle w:val="FootnoteReference"/>
        </w:rPr>
        <w:footnoteRef/>
      </w:r>
      <w:r>
        <w:t xml:space="preserve"> </w:t>
      </w:r>
      <w:r w:rsidRPr="000B017F">
        <w:rPr>
          <w:color w:val="242121"/>
          <w:szCs w:val="24"/>
        </w:rPr>
        <w:t>S</w:t>
      </w:r>
      <w:r w:rsidRPr="005C1C3C">
        <w:rPr>
          <w:i/>
          <w:iCs/>
          <w:color w:val="242121"/>
          <w:szCs w:val="24"/>
        </w:rPr>
        <w:t> v Francis</w:t>
      </w:r>
      <w:r w:rsidRPr="009C3FA6">
        <w:rPr>
          <w:color w:val="000000" w:themeColor="text1"/>
        </w:rPr>
        <w:t xml:space="preserve"> </w:t>
      </w:r>
      <w:hyperlink r:id="rId1" w:tooltip="View LawCiteRecord" w:history="1">
        <w:r w:rsidRPr="009C3FA6">
          <w:rPr>
            <w:rStyle w:val="Hyperlink"/>
            <w:color w:val="000000" w:themeColor="text1"/>
            <w:u w:val="none"/>
          </w:rPr>
          <w:t>1991 (1) SACR 198</w:t>
        </w:r>
      </w:hyperlink>
      <w:r w:rsidRPr="00DA7706">
        <w:rPr>
          <w:color w:val="242121"/>
        </w:rPr>
        <w:t xml:space="preserve"> (A) at </w:t>
      </w:r>
      <w:r>
        <w:rPr>
          <w:color w:val="242121"/>
        </w:rPr>
        <w:t xml:space="preserve">para </w:t>
      </w:r>
      <w:r w:rsidRPr="00DA7706">
        <w:rPr>
          <w:color w:val="242121"/>
        </w:rPr>
        <w:t>204c-e</w:t>
      </w:r>
      <w:r>
        <w:rPr>
          <w:color w:val="242121"/>
        </w:rPr>
        <w:t>.</w:t>
      </w:r>
    </w:p>
  </w:footnote>
  <w:footnote w:id="8">
    <w:p w14:paraId="78563C63" w14:textId="77777777" w:rsidR="00933510" w:rsidRPr="00D726F8" w:rsidRDefault="00933510" w:rsidP="00933510">
      <w:pPr>
        <w:pStyle w:val="FootnoteText"/>
        <w:rPr>
          <w:sz w:val="18"/>
          <w:szCs w:val="18"/>
        </w:rPr>
      </w:pPr>
      <w:r w:rsidRPr="00D726F8">
        <w:rPr>
          <w:rStyle w:val="FootnoteReference"/>
          <w:sz w:val="18"/>
          <w:szCs w:val="18"/>
        </w:rPr>
        <w:footnoteRef/>
      </w:r>
      <w:r w:rsidRPr="00D726F8">
        <w:rPr>
          <w:sz w:val="18"/>
          <w:szCs w:val="18"/>
        </w:rPr>
        <w:t xml:space="preserve"> </w:t>
      </w:r>
      <w:r w:rsidRPr="00D63132">
        <w:rPr>
          <w:sz w:val="18"/>
          <w:szCs w:val="18"/>
        </w:rPr>
        <w:t>2015 (5) SA 245 (CC)</w:t>
      </w:r>
      <w:r w:rsidRPr="00D726F8">
        <w:rPr>
          <w:sz w:val="18"/>
          <w:szCs w:val="18"/>
        </w:rPr>
        <w:t>.</w:t>
      </w:r>
    </w:p>
  </w:footnote>
  <w:footnote w:id="9">
    <w:p w14:paraId="1F57A95D" w14:textId="77777777" w:rsidR="00933510" w:rsidRPr="00D726F8" w:rsidRDefault="00933510" w:rsidP="00933510">
      <w:pPr>
        <w:pStyle w:val="FootnoteText"/>
        <w:rPr>
          <w:sz w:val="18"/>
          <w:szCs w:val="18"/>
        </w:rPr>
      </w:pPr>
      <w:r w:rsidRPr="00D726F8">
        <w:rPr>
          <w:rStyle w:val="FootnoteReference"/>
          <w:sz w:val="18"/>
          <w:szCs w:val="18"/>
        </w:rPr>
        <w:footnoteRef/>
      </w:r>
      <w:r w:rsidRPr="00D726F8">
        <w:rPr>
          <w:sz w:val="18"/>
          <w:szCs w:val="18"/>
        </w:rPr>
        <w:t xml:space="preserve"> 45 of 1988.</w:t>
      </w:r>
    </w:p>
  </w:footnote>
  <w:footnote w:id="10">
    <w:p w14:paraId="010910F5" w14:textId="77777777" w:rsidR="00933510" w:rsidRDefault="00933510" w:rsidP="00933510">
      <w:pPr>
        <w:pStyle w:val="FootnoteText"/>
      </w:pPr>
      <w:r w:rsidRPr="00D726F8">
        <w:rPr>
          <w:rStyle w:val="FootnoteReference"/>
          <w:sz w:val="18"/>
          <w:szCs w:val="18"/>
        </w:rPr>
        <w:footnoteRef/>
      </w:r>
      <w:r w:rsidRPr="00D726F8">
        <w:rPr>
          <w:sz w:val="18"/>
          <w:szCs w:val="18"/>
        </w:rPr>
        <w:t xml:space="preserve"> </w:t>
      </w:r>
      <w:r w:rsidRPr="00D726F8">
        <w:rPr>
          <w:i/>
          <w:iCs/>
          <w:sz w:val="18"/>
          <w:szCs w:val="18"/>
        </w:rPr>
        <w:t>Duncan</w:t>
      </w:r>
      <w:r w:rsidRPr="00D726F8">
        <w:rPr>
          <w:sz w:val="18"/>
          <w:szCs w:val="18"/>
        </w:rPr>
        <w:t xml:space="preserve"> above n 3.  </w:t>
      </w:r>
    </w:p>
  </w:footnote>
  <w:footnote w:id="11">
    <w:p w14:paraId="53DC3502" w14:textId="77777777" w:rsidR="00933510" w:rsidRPr="00EA4321" w:rsidRDefault="00933510" w:rsidP="00933510">
      <w:pPr>
        <w:pStyle w:val="FootnoteText"/>
        <w:rPr>
          <w:sz w:val="18"/>
          <w:szCs w:val="18"/>
        </w:rPr>
      </w:pPr>
      <w:r w:rsidRPr="00EA4321">
        <w:rPr>
          <w:rStyle w:val="FootnoteReference"/>
          <w:sz w:val="18"/>
          <w:szCs w:val="18"/>
        </w:rPr>
        <w:footnoteRef/>
      </w:r>
      <w:r w:rsidRPr="00EA4321">
        <w:rPr>
          <w:sz w:val="18"/>
          <w:szCs w:val="18"/>
        </w:rPr>
        <w:t xml:space="preserve"> </w:t>
      </w:r>
      <w:r w:rsidRPr="00EA4321">
        <w:rPr>
          <w:rFonts w:cs="Arial"/>
          <w:sz w:val="18"/>
          <w:szCs w:val="18"/>
        </w:rPr>
        <w:t>1988</w:t>
      </w:r>
      <w:r>
        <w:rPr>
          <w:rFonts w:cs="Arial"/>
          <w:sz w:val="18"/>
          <w:szCs w:val="18"/>
        </w:rPr>
        <w:t xml:space="preserve"> </w:t>
      </w:r>
      <w:r w:rsidRPr="00EA4321">
        <w:rPr>
          <w:rFonts w:cs="Arial"/>
          <w:sz w:val="18"/>
          <w:szCs w:val="18"/>
        </w:rPr>
        <w:t>(2) SA 654 (SE)</w:t>
      </w:r>
      <w:r>
        <w:rPr>
          <w:rFonts w:cs="Arial"/>
          <w:sz w:val="18"/>
          <w:szCs w:val="18"/>
        </w:rPr>
        <w:t xml:space="preserve"> at </w:t>
      </w:r>
      <w:r w:rsidRPr="00D62018">
        <w:rPr>
          <w:rFonts w:cs="Arial"/>
          <w:sz w:val="18"/>
          <w:szCs w:val="18"/>
        </w:rPr>
        <w:t>658D-H</w:t>
      </w:r>
      <w:r>
        <w:rPr>
          <w:rFonts w:cs="Arial"/>
          <w:sz w:val="18"/>
          <w:szCs w:val="18"/>
        </w:rPr>
        <w:t>.</w:t>
      </w:r>
    </w:p>
  </w:footnote>
  <w:footnote w:id="12">
    <w:p w14:paraId="41EA7BCC" w14:textId="77777777" w:rsidR="00933510" w:rsidRDefault="00933510" w:rsidP="00933510">
      <w:pPr>
        <w:pStyle w:val="FootnoteText"/>
      </w:pPr>
      <w:r>
        <w:rPr>
          <w:rStyle w:val="FootnoteReference"/>
        </w:rPr>
        <w:footnoteRef/>
      </w:r>
      <w:r>
        <w:t xml:space="preserve"> </w:t>
      </w:r>
      <w:r w:rsidRPr="00F864BD">
        <w:rPr>
          <w:i/>
          <w:iCs/>
        </w:rPr>
        <w:t>Ramakulukusha v Commander, Venda National Force</w:t>
      </w:r>
      <w:r>
        <w:rPr>
          <w:i/>
          <w:iCs/>
        </w:rPr>
        <w:t xml:space="preserve"> </w:t>
      </w:r>
      <w:r w:rsidRPr="00F864BD">
        <w:t>1989 (2) SA 813 (V) at 836G – 837B.</w:t>
      </w:r>
    </w:p>
  </w:footnote>
  <w:footnote w:id="13">
    <w:p w14:paraId="5B9C1FE4" w14:textId="77777777" w:rsidR="00933510" w:rsidRDefault="00933510" w:rsidP="00933510">
      <w:pPr>
        <w:pStyle w:val="FootnoteText"/>
      </w:pPr>
      <w:r w:rsidRPr="00EA4321">
        <w:rPr>
          <w:rStyle w:val="FootnoteReference"/>
          <w:sz w:val="18"/>
          <w:szCs w:val="18"/>
        </w:rPr>
        <w:footnoteRef/>
      </w:r>
      <w:r w:rsidRPr="00EA4321">
        <w:rPr>
          <w:sz w:val="18"/>
          <w:szCs w:val="18"/>
        </w:rPr>
        <w:t xml:space="preserve"> Potgieter, Steynberg and Floyd </w:t>
      </w:r>
      <w:r w:rsidRPr="00EA4321">
        <w:rPr>
          <w:i/>
          <w:iCs/>
          <w:sz w:val="18"/>
          <w:szCs w:val="18"/>
        </w:rPr>
        <w:t>Visser &amp; Potgieter Law of Damages</w:t>
      </w:r>
      <w:r w:rsidRPr="00EA4321">
        <w:rPr>
          <w:sz w:val="18"/>
          <w:szCs w:val="18"/>
        </w:rPr>
        <w:t xml:space="preserve"> 3 ed (Juta, 2012).</w:t>
      </w:r>
    </w:p>
  </w:footnote>
  <w:footnote w:id="14">
    <w:p w14:paraId="0F80656B" w14:textId="77777777" w:rsidR="00933510" w:rsidRPr="00EA4321" w:rsidRDefault="00933510" w:rsidP="00933510">
      <w:pPr>
        <w:pStyle w:val="FootnoteText"/>
        <w:rPr>
          <w:sz w:val="18"/>
          <w:szCs w:val="18"/>
        </w:rPr>
      </w:pPr>
      <w:r w:rsidRPr="00EA4321">
        <w:rPr>
          <w:rStyle w:val="FootnoteReference"/>
          <w:sz w:val="18"/>
          <w:szCs w:val="18"/>
        </w:rPr>
        <w:footnoteRef/>
      </w:r>
      <w:r w:rsidRPr="00EA4321">
        <w:rPr>
          <w:sz w:val="18"/>
          <w:szCs w:val="18"/>
        </w:rPr>
        <w:t xml:space="preserve"> Id at 15.3.9.</w:t>
      </w:r>
    </w:p>
  </w:footnote>
  <w:footnote w:id="15">
    <w:p w14:paraId="4BBF6973" w14:textId="77777777" w:rsidR="00933510" w:rsidRDefault="00933510" w:rsidP="00933510">
      <w:pPr>
        <w:pStyle w:val="FootnoteText"/>
      </w:pPr>
      <w:r>
        <w:rPr>
          <w:rStyle w:val="FootnoteReference"/>
        </w:rPr>
        <w:footnoteRef/>
      </w:r>
      <w:r>
        <w:t xml:space="preserve"> 1965 (4) SA 399 (W). The court here following the authority in earlier cases </w:t>
      </w:r>
      <w:r w:rsidRPr="004A40AB">
        <w:rPr>
          <w:i/>
          <w:iCs/>
        </w:rPr>
        <w:t>Birch v Johannesburg City Counci</w:t>
      </w:r>
      <w:r w:rsidRPr="004A40AB">
        <w:t>l 1949 (1) SA 231 (T)</w:t>
      </w:r>
      <w:r>
        <w:t xml:space="preserve"> and </w:t>
      </w:r>
      <w:r w:rsidRPr="004A40AB">
        <w:rPr>
          <w:i/>
          <w:iCs/>
        </w:rPr>
        <w:t>Minister of Justice v Ndala</w:t>
      </w:r>
      <w:r w:rsidRPr="004A40AB">
        <w:t xml:space="preserve"> 1956 (2) SA 777 (T)</w:t>
      </w:r>
      <w:r>
        <w:t>.</w:t>
      </w:r>
    </w:p>
  </w:footnote>
  <w:footnote w:id="16">
    <w:p w14:paraId="093D47BC" w14:textId="77777777" w:rsidR="00B52C6B" w:rsidRPr="00043E08" w:rsidRDefault="00B52C6B">
      <w:pPr>
        <w:pStyle w:val="FootnoteText"/>
        <w:rPr>
          <w:lang w:val="en-ZA"/>
        </w:rPr>
      </w:pPr>
      <w:r w:rsidRPr="00043E08">
        <w:rPr>
          <w:rStyle w:val="FootnoteReference"/>
        </w:rPr>
        <w:footnoteRef/>
      </w:r>
      <w:r w:rsidRPr="00043E08">
        <w:t xml:space="preserve"> </w:t>
      </w:r>
      <w:r w:rsidRPr="00043E08">
        <w:rPr>
          <w:lang w:val="en-ZA"/>
        </w:rPr>
        <w:t>[2023] ZASCA 99.</w:t>
      </w:r>
    </w:p>
  </w:footnote>
  <w:footnote w:id="17">
    <w:p w14:paraId="0EF59A71" w14:textId="77777777" w:rsidR="00933510" w:rsidRPr="00314170" w:rsidRDefault="00933510" w:rsidP="00933510">
      <w:pPr>
        <w:pStyle w:val="FootnoteText"/>
        <w:rPr>
          <w:szCs w:val="18"/>
        </w:rPr>
      </w:pPr>
      <w:r w:rsidRPr="00314170">
        <w:rPr>
          <w:rStyle w:val="FootnoteReference"/>
          <w:szCs w:val="18"/>
        </w:rPr>
        <w:footnoteRef/>
      </w:r>
      <w:r w:rsidRPr="00314170">
        <w:rPr>
          <w:szCs w:val="18"/>
        </w:rPr>
        <w:t xml:space="preserve"> 2016 JDR 1653 (GP).</w:t>
      </w:r>
    </w:p>
  </w:footnote>
  <w:footnote w:id="18">
    <w:p w14:paraId="7F329BCB" w14:textId="77777777" w:rsidR="00933510" w:rsidRPr="00865057" w:rsidRDefault="00933510" w:rsidP="00933510">
      <w:pPr>
        <w:pStyle w:val="FootnoteText"/>
        <w:rPr>
          <w:sz w:val="18"/>
          <w:szCs w:val="18"/>
        </w:rPr>
      </w:pPr>
      <w:r w:rsidRPr="00865057">
        <w:rPr>
          <w:rStyle w:val="FootnoteReference"/>
          <w:sz w:val="18"/>
          <w:szCs w:val="18"/>
        </w:rPr>
        <w:footnoteRef/>
      </w:r>
      <w:r w:rsidRPr="00865057">
        <w:rPr>
          <w:sz w:val="18"/>
          <w:szCs w:val="18"/>
        </w:rPr>
        <w:t xml:space="preserve"> </w:t>
      </w:r>
      <w:r w:rsidRPr="00865057">
        <w:rPr>
          <w:sz w:val="18"/>
          <w:szCs w:val="18"/>
          <w:lang w:val="en-ZA"/>
        </w:rPr>
        <w:t>2022 (2) SA 185 (GJ).</w:t>
      </w:r>
    </w:p>
  </w:footnote>
  <w:footnote w:id="19">
    <w:p w14:paraId="538FA42B" w14:textId="77777777" w:rsidR="009A3F3E" w:rsidRPr="001A0070" w:rsidRDefault="009A3F3E">
      <w:pPr>
        <w:pStyle w:val="FootnoteText"/>
        <w:rPr>
          <w:sz w:val="18"/>
          <w:szCs w:val="18"/>
          <w:lang w:val="en-ZA"/>
        </w:rPr>
      </w:pPr>
      <w:r w:rsidRPr="001A0070">
        <w:rPr>
          <w:rStyle w:val="FootnoteReference"/>
          <w:sz w:val="18"/>
          <w:szCs w:val="18"/>
        </w:rPr>
        <w:footnoteRef/>
      </w:r>
      <w:r w:rsidRPr="001A0070">
        <w:rPr>
          <w:sz w:val="18"/>
          <w:szCs w:val="18"/>
        </w:rPr>
        <w:t xml:space="preserve"> </w:t>
      </w:r>
      <w:r w:rsidR="008F0EAA" w:rsidRPr="001A0070">
        <w:rPr>
          <w:sz w:val="18"/>
          <w:szCs w:val="18"/>
        </w:rPr>
        <w:t>2023(</w:t>
      </w:r>
      <w:r w:rsidR="00765AAF" w:rsidRPr="001A0070">
        <w:rPr>
          <w:sz w:val="18"/>
          <w:szCs w:val="18"/>
        </w:rPr>
        <w:t>2) SACR</w:t>
      </w:r>
      <w:r w:rsidR="008F0EAA" w:rsidRPr="001A0070">
        <w:rPr>
          <w:sz w:val="18"/>
          <w:szCs w:val="18"/>
        </w:rPr>
        <w:t xml:space="preserve"> 274 (SCA)</w:t>
      </w:r>
      <w:r w:rsidR="001A0070">
        <w:rPr>
          <w:sz w:val="18"/>
          <w:szCs w:val="18"/>
        </w:rPr>
        <w:t xml:space="preserve"> </w:t>
      </w:r>
    </w:p>
  </w:footnote>
  <w:footnote w:id="20">
    <w:p w14:paraId="4899F557" w14:textId="77777777" w:rsidR="00305B13" w:rsidRPr="00305B13" w:rsidRDefault="00305B13">
      <w:pPr>
        <w:pStyle w:val="FootnoteText"/>
        <w:rPr>
          <w:lang w:val="en-ZA"/>
        </w:rPr>
      </w:pPr>
      <w:r>
        <w:rPr>
          <w:rStyle w:val="FootnoteReference"/>
        </w:rPr>
        <w:footnoteRef/>
      </w:r>
      <w:r>
        <w:t xml:space="preserve"> </w:t>
      </w:r>
      <w:r w:rsidRPr="00305B13">
        <w:rPr>
          <w:rFonts w:cs="Arial"/>
          <w:color w:val="000000" w:themeColor="text1"/>
          <w:shd w:val="clear" w:color="auto" w:fill="FFFFFF"/>
        </w:rPr>
        <w:t>Published under Government Notice </w:t>
      </w:r>
      <w:r w:rsidRPr="00305B13">
        <w:rPr>
          <w:rStyle w:val="Emphasis"/>
          <w:rFonts w:cs="Arial"/>
          <w:color w:val="000000" w:themeColor="text1"/>
          <w:shd w:val="clear" w:color="auto" w:fill="FFFFFF"/>
        </w:rPr>
        <w:t>R1182</w:t>
      </w:r>
      <w:r w:rsidRPr="00305B13">
        <w:rPr>
          <w:rFonts w:cs="Arial"/>
          <w:color w:val="000000" w:themeColor="text1"/>
          <w:shd w:val="clear" w:color="auto" w:fill="FFFFFF"/>
        </w:rPr>
        <w:t> in </w:t>
      </w:r>
      <w:r w:rsidRPr="00305B13">
        <w:rPr>
          <w:rStyle w:val="Emphasis"/>
          <w:rFonts w:cs="Arial"/>
          <w:i w:val="0"/>
          <w:iCs w:val="0"/>
          <w:color w:val="000000" w:themeColor="text1"/>
          <w:shd w:val="clear" w:color="auto" w:fill="FFFFFF"/>
        </w:rPr>
        <w:t>Government Gazette</w:t>
      </w:r>
      <w:r w:rsidRPr="00305B13">
        <w:rPr>
          <w:rFonts w:cs="Arial"/>
          <w:color w:val="000000" w:themeColor="text1"/>
          <w:shd w:val="clear" w:color="auto" w:fill="FFFFFF"/>
        </w:rPr>
        <w:t xml:space="preserve"> No </w:t>
      </w:r>
      <w:r w:rsidRPr="00305B13">
        <w:t xml:space="preserve">43873 </w:t>
      </w:r>
      <w:r w:rsidRPr="00305B13">
        <w:rPr>
          <w:rFonts w:cs="Arial"/>
          <w:color w:val="000000" w:themeColor="text1"/>
          <w:shd w:val="clear" w:color="auto" w:fill="FFFFFF"/>
        </w:rPr>
        <w:t>of 6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6DA3" w14:textId="77777777" w:rsidR="007A150A" w:rsidRDefault="007A150A" w:rsidP="0059230D">
    <w:pPr>
      <w:pStyle w:val="Header"/>
      <w:pBdr>
        <w:bottom w:val="single" w:sz="4" w:space="1" w:color="D9D9D9" w:themeColor="background1" w:themeShade="D9"/>
      </w:pBdr>
      <w:jc w:val="center"/>
      <w:rPr>
        <w:b/>
        <w:bCs/>
      </w:rPr>
    </w:pPr>
  </w:p>
  <w:p w14:paraId="64C8C0CF" w14:textId="77777777" w:rsidR="007A150A" w:rsidRDefault="007A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7D624A"/>
    <w:multiLevelType w:val="hybridMultilevel"/>
    <w:tmpl w:val="22906D4A"/>
    <w:lvl w:ilvl="0" w:tplc="E7A0765C">
      <w:start w:val="1"/>
      <w:numFmt w:val="decimal"/>
      <w:lvlText w:val="(%1)"/>
      <w:lvlJc w:val="left"/>
      <w:pPr>
        <w:ind w:left="1930" w:hanging="4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lvlText w:val="%1.%2"/>
      <w:lvlJc w:val="left"/>
      <w:pPr>
        <w:tabs>
          <w:tab w:val="num" w:pos="1701"/>
        </w:tabs>
        <w:ind w:left="1701" w:hanging="1134"/>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4" w15:restartNumberingAfterBreak="0">
    <w:nsid w:val="38735D83"/>
    <w:multiLevelType w:val="multilevel"/>
    <w:tmpl w:val="64B28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B122BAA"/>
    <w:multiLevelType w:val="multilevel"/>
    <w:tmpl w:val="B93221A6"/>
    <w:lvl w:ilvl="0">
      <w:start w:val="17"/>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7209F6"/>
    <w:multiLevelType w:val="multilevel"/>
    <w:tmpl w:val="ED0A4582"/>
    <w:lvl w:ilvl="0">
      <w:start w:val="1"/>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color w:val="000000" w:themeColor="text1"/>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16cid:durableId="716704624">
    <w:abstractNumId w:val="7"/>
  </w:num>
  <w:num w:numId="2" w16cid:durableId="1481463556">
    <w:abstractNumId w:val="1"/>
  </w:num>
  <w:num w:numId="3" w16cid:durableId="1036202537">
    <w:abstractNumId w:val="0"/>
  </w:num>
  <w:num w:numId="4" w16cid:durableId="1938564054">
    <w:abstractNumId w:val="5"/>
  </w:num>
  <w:num w:numId="5" w16cid:durableId="606356206">
    <w:abstractNumId w:val="2"/>
  </w:num>
  <w:num w:numId="6" w16cid:durableId="2003386676">
    <w:abstractNumId w:val="3"/>
  </w:num>
  <w:num w:numId="7" w16cid:durableId="1951009953">
    <w:abstractNumId w:val="6"/>
  </w:num>
  <w:num w:numId="8" w16cid:durableId="1303659724">
    <w:abstractNumId w:val="4"/>
  </w:num>
  <w:num w:numId="9" w16cid:durableId="639768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7442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3183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806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US" w:vendorID="64" w:dllVersion="0" w:nlCheck="1" w:checkStyle="0"/>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C4"/>
    <w:rsid w:val="000001DE"/>
    <w:rsid w:val="000015C1"/>
    <w:rsid w:val="00001A90"/>
    <w:rsid w:val="00001DDE"/>
    <w:rsid w:val="000028EA"/>
    <w:rsid w:val="00003FEB"/>
    <w:rsid w:val="00005DD3"/>
    <w:rsid w:val="00006C29"/>
    <w:rsid w:val="0000717E"/>
    <w:rsid w:val="00007B52"/>
    <w:rsid w:val="00007C7F"/>
    <w:rsid w:val="00007F1C"/>
    <w:rsid w:val="0001196B"/>
    <w:rsid w:val="00011A4B"/>
    <w:rsid w:val="00011A99"/>
    <w:rsid w:val="00011F37"/>
    <w:rsid w:val="00013AC4"/>
    <w:rsid w:val="000150EC"/>
    <w:rsid w:val="00015F74"/>
    <w:rsid w:val="000163BC"/>
    <w:rsid w:val="000165B6"/>
    <w:rsid w:val="00020196"/>
    <w:rsid w:val="00021401"/>
    <w:rsid w:val="00022B99"/>
    <w:rsid w:val="00022D04"/>
    <w:rsid w:val="00022F89"/>
    <w:rsid w:val="00023E4D"/>
    <w:rsid w:val="00024D1A"/>
    <w:rsid w:val="00025414"/>
    <w:rsid w:val="0002593E"/>
    <w:rsid w:val="00025E1D"/>
    <w:rsid w:val="000267EB"/>
    <w:rsid w:val="0002785F"/>
    <w:rsid w:val="00027C7D"/>
    <w:rsid w:val="00027FE2"/>
    <w:rsid w:val="00030157"/>
    <w:rsid w:val="0003029C"/>
    <w:rsid w:val="00032265"/>
    <w:rsid w:val="0003276E"/>
    <w:rsid w:val="00032EBE"/>
    <w:rsid w:val="0003303F"/>
    <w:rsid w:val="00033453"/>
    <w:rsid w:val="000336CB"/>
    <w:rsid w:val="00034516"/>
    <w:rsid w:val="00034957"/>
    <w:rsid w:val="000362DC"/>
    <w:rsid w:val="00036852"/>
    <w:rsid w:val="00036B57"/>
    <w:rsid w:val="00036D20"/>
    <w:rsid w:val="00037D07"/>
    <w:rsid w:val="000401EB"/>
    <w:rsid w:val="00041A89"/>
    <w:rsid w:val="00042878"/>
    <w:rsid w:val="00042CDE"/>
    <w:rsid w:val="00043A99"/>
    <w:rsid w:val="00043E08"/>
    <w:rsid w:val="00043E60"/>
    <w:rsid w:val="00045454"/>
    <w:rsid w:val="0004556D"/>
    <w:rsid w:val="000464AF"/>
    <w:rsid w:val="00046836"/>
    <w:rsid w:val="00047355"/>
    <w:rsid w:val="00047F11"/>
    <w:rsid w:val="000517AF"/>
    <w:rsid w:val="00051F77"/>
    <w:rsid w:val="00052BFE"/>
    <w:rsid w:val="00052DB2"/>
    <w:rsid w:val="000544A0"/>
    <w:rsid w:val="000551DD"/>
    <w:rsid w:val="00055B43"/>
    <w:rsid w:val="00056A25"/>
    <w:rsid w:val="00057725"/>
    <w:rsid w:val="00057C4B"/>
    <w:rsid w:val="00057DD3"/>
    <w:rsid w:val="00057FC2"/>
    <w:rsid w:val="0006000D"/>
    <w:rsid w:val="00060514"/>
    <w:rsid w:val="00060D31"/>
    <w:rsid w:val="00062386"/>
    <w:rsid w:val="00062613"/>
    <w:rsid w:val="000631FD"/>
    <w:rsid w:val="00063A5F"/>
    <w:rsid w:val="00063B12"/>
    <w:rsid w:val="000645D1"/>
    <w:rsid w:val="00065798"/>
    <w:rsid w:val="0006579A"/>
    <w:rsid w:val="00065E6F"/>
    <w:rsid w:val="00066204"/>
    <w:rsid w:val="000668EA"/>
    <w:rsid w:val="0006695C"/>
    <w:rsid w:val="0006723F"/>
    <w:rsid w:val="0006746A"/>
    <w:rsid w:val="0007073A"/>
    <w:rsid w:val="0007250A"/>
    <w:rsid w:val="000744B2"/>
    <w:rsid w:val="000759DB"/>
    <w:rsid w:val="000769B7"/>
    <w:rsid w:val="0007760A"/>
    <w:rsid w:val="00077CA2"/>
    <w:rsid w:val="00077D3F"/>
    <w:rsid w:val="000804C6"/>
    <w:rsid w:val="0008152D"/>
    <w:rsid w:val="00081773"/>
    <w:rsid w:val="0008196D"/>
    <w:rsid w:val="0008326D"/>
    <w:rsid w:val="00085E45"/>
    <w:rsid w:val="0008635E"/>
    <w:rsid w:val="00086860"/>
    <w:rsid w:val="00087363"/>
    <w:rsid w:val="0009008B"/>
    <w:rsid w:val="000902C1"/>
    <w:rsid w:val="00090C19"/>
    <w:rsid w:val="000915AC"/>
    <w:rsid w:val="0009167A"/>
    <w:rsid w:val="000924B2"/>
    <w:rsid w:val="00092513"/>
    <w:rsid w:val="00092F7C"/>
    <w:rsid w:val="00093688"/>
    <w:rsid w:val="00093ED4"/>
    <w:rsid w:val="00094379"/>
    <w:rsid w:val="00094656"/>
    <w:rsid w:val="00094874"/>
    <w:rsid w:val="00094D83"/>
    <w:rsid w:val="000950D3"/>
    <w:rsid w:val="0009654A"/>
    <w:rsid w:val="00097A6C"/>
    <w:rsid w:val="000A16C6"/>
    <w:rsid w:val="000A2FC4"/>
    <w:rsid w:val="000A3673"/>
    <w:rsid w:val="000A3E34"/>
    <w:rsid w:val="000A4228"/>
    <w:rsid w:val="000A4329"/>
    <w:rsid w:val="000A5185"/>
    <w:rsid w:val="000A53E9"/>
    <w:rsid w:val="000A68A9"/>
    <w:rsid w:val="000A6987"/>
    <w:rsid w:val="000A71FB"/>
    <w:rsid w:val="000A733A"/>
    <w:rsid w:val="000A7C29"/>
    <w:rsid w:val="000B185F"/>
    <w:rsid w:val="000B1975"/>
    <w:rsid w:val="000B2122"/>
    <w:rsid w:val="000B252D"/>
    <w:rsid w:val="000B2785"/>
    <w:rsid w:val="000B593C"/>
    <w:rsid w:val="000B5F42"/>
    <w:rsid w:val="000B7880"/>
    <w:rsid w:val="000C0B3C"/>
    <w:rsid w:val="000C0BA3"/>
    <w:rsid w:val="000C0C41"/>
    <w:rsid w:val="000C0ECC"/>
    <w:rsid w:val="000C0EDA"/>
    <w:rsid w:val="000C1503"/>
    <w:rsid w:val="000C2C4F"/>
    <w:rsid w:val="000C3B10"/>
    <w:rsid w:val="000C3BBF"/>
    <w:rsid w:val="000C490C"/>
    <w:rsid w:val="000C5161"/>
    <w:rsid w:val="000C5FCE"/>
    <w:rsid w:val="000C6534"/>
    <w:rsid w:val="000C6C96"/>
    <w:rsid w:val="000C77FD"/>
    <w:rsid w:val="000C7FD7"/>
    <w:rsid w:val="000D07F4"/>
    <w:rsid w:val="000D11AD"/>
    <w:rsid w:val="000D142D"/>
    <w:rsid w:val="000D2B16"/>
    <w:rsid w:val="000D356E"/>
    <w:rsid w:val="000D4CEC"/>
    <w:rsid w:val="000D6BEA"/>
    <w:rsid w:val="000D70C6"/>
    <w:rsid w:val="000D7935"/>
    <w:rsid w:val="000D7A9B"/>
    <w:rsid w:val="000E1175"/>
    <w:rsid w:val="000E23C6"/>
    <w:rsid w:val="000E2B73"/>
    <w:rsid w:val="000E2F2D"/>
    <w:rsid w:val="000E3ACF"/>
    <w:rsid w:val="000E4AD9"/>
    <w:rsid w:val="000E4B47"/>
    <w:rsid w:val="000E5562"/>
    <w:rsid w:val="000E5764"/>
    <w:rsid w:val="000E5A50"/>
    <w:rsid w:val="000E7ABB"/>
    <w:rsid w:val="000F05E8"/>
    <w:rsid w:val="000F0AF4"/>
    <w:rsid w:val="000F10B9"/>
    <w:rsid w:val="000F18B6"/>
    <w:rsid w:val="000F1BD0"/>
    <w:rsid w:val="000F24F0"/>
    <w:rsid w:val="000F2D9B"/>
    <w:rsid w:val="000F2EEE"/>
    <w:rsid w:val="000F3954"/>
    <w:rsid w:val="000F5694"/>
    <w:rsid w:val="000F5A03"/>
    <w:rsid w:val="000F6512"/>
    <w:rsid w:val="000F7A69"/>
    <w:rsid w:val="001010F0"/>
    <w:rsid w:val="001017F4"/>
    <w:rsid w:val="00101B9A"/>
    <w:rsid w:val="001023FE"/>
    <w:rsid w:val="001032D4"/>
    <w:rsid w:val="0010394E"/>
    <w:rsid w:val="0010524D"/>
    <w:rsid w:val="00105756"/>
    <w:rsid w:val="00105EE6"/>
    <w:rsid w:val="00106535"/>
    <w:rsid w:val="001066AB"/>
    <w:rsid w:val="001069E4"/>
    <w:rsid w:val="00106ADD"/>
    <w:rsid w:val="00107FD8"/>
    <w:rsid w:val="00110007"/>
    <w:rsid w:val="001100DE"/>
    <w:rsid w:val="001117B9"/>
    <w:rsid w:val="00112982"/>
    <w:rsid w:val="0011302F"/>
    <w:rsid w:val="001154B5"/>
    <w:rsid w:val="00115837"/>
    <w:rsid w:val="0012055B"/>
    <w:rsid w:val="00120FF2"/>
    <w:rsid w:val="0012132C"/>
    <w:rsid w:val="001217A4"/>
    <w:rsid w:val="00123A58"/>
    <w:rsid w:val="001255EF"/>
    <w:rsid w:val="0012607A"/>
    <w:rsid w:val="001266B3"/>
    <w:rsid w:val="001268E9"/>
    <w:rsid w:val="00127505"/>
    <w:rsid w:val="00130A4E"/>
    <w:rsid w:val="00130A86"/>
    <w:rsid w:val="001311E6"/>
    <w:rsid w:val="00131EFD"/>
    <w:rsid w:val="0013248F"/>
    <w:rsid w:val="00132574"/>
    <w:rsid w:val="00132B3A"/>
    <w:rsid w:val="001374F1"/>
    <w:rsid w:val="0013760B"/>
    <w:rsid w:val="00137827"/>
    <w:rsid w:val="00140D82"/>
    <w:rsid w:val="00140F1B"/>
    <w:rsid w:val="001414E6"/>
    <w:rsid w:val="001416BA"/>
    <w:rsid w:val="00142546"/>
    <w:rsid w:val="00143C73"/>
    <w:rsid w:val="001441CF"/>
    <w:rsid w:val="00146B83"/>
    <w:rsid w:val="00146EB6"/>
    <w:rsid w:val="00147092"/>
    <w:rsid w:val="0014769A"/>
    <w:rsid w:val="0015177C"/>
    <w:rsid w:val="00151941"/>
    <w:rsid w:val="00151D72"/>
    <w:rsid w:val="00153218"/>
    <w:rsid w:val="001549D3"/>
    <w:rsid w:val="00154EE2"/>
    <w:rsid w:val="001553F3"/>
    <w:rsid w:val="00155786"/>
    <w:rsid w:val="00155995"/>
    <w:rsid w:val="00156709"/>
    <w:rsid w:val="001568E0"/>
    <w:rsid w:val="001577B5"/>
    <w:rsid w:val="00157FE2"/>
    <w:rsid w:val="00160FC8"/>
    <w:rsid w:val="00162329"/>
    <w:rsid w:val="0016277F"/>
    <w:rsid w:val="001628AE"/>
    <w:rsid w:val="001638C4"/>
    <w:rsid w:val="00164757"/>
    <w:rsid w:val="00164C64"/>
    <w:rsid w:val="00164C82"/>
    <w:rsid w:val="00165754"/>
    <w:rsid w:val="00165FC7"/>
    <w:rsid w:val="001660D0"/>
    <w:rsid w:val="001665C0"/>
    <w:rsid w:val="001665E1"/>
    <w:rsid w:val="001675F8"/>
    <w:rsid w:val="00167B4E"/>
    <w:rsid w:val="001733AB"/>
    <w:rsid w:val="0017427F"/>
    <w:rsid w:val="00174DF3"/>
    <w:rsid w:val="00175517"/>
    <w:rsid w:val="001755E7"/>
    <w:rsid w:val="00176658"/>
    <w:rsid w:val="001769F5"/>
    <w:rsid w:val="001771EE"/>
    <w:rsid w:val="0017724C"/>
    <w:rsid w:val="00180B42"/>
    <w:rsid w:val="00180E7B"/>
    <w:rsid w:val="0018195F"/>
    <w:rsid w:val="00181D5D"/>
    <w:rsid w:val="00181D79"/>
    <w:rsid w:val="001828F9"/>
    <w:rsid w:val="00182B73"/>
    <w:rsid w:val="00182F46"/>
    <w:rsid w:val="00183003"/>
    <w:rsid w:val="001839BF"/>
    <w:rsid w:val="001839C4"/>
    <w:rsid w:val="001843A1"/>
    <w:rsid w:val="00184F5F"/>
    <w:rsid w:val="001862CD"/>
    <w:rsid w:val="0018774F"/>
    <w:rsid w:val="00187C4D"/>
    <w:rsid w:val="001901D0"/>
    <w:rsid w:val="001901EF"/>
    <w:rsid w:val="00190E15"/>
    <w:rsid w:val="00191683"/>
    <w:rsid w:val="00191B7E"/>
    <w:rsid w:val="00191B9F"/>
    <w:rsid w:val="00191F3A"/>
    <w:rsid w:val="00192966"/>
    <w:rsid w:val="00193B45"/>
    <w:rsid w:val="00196701"/>
    <w:rsid w:val="00196D40"/>
    <w:rsid w:val="00196F06"/>
    <w:rsid w:val="001970F1"/>
    <w:rsid w:val="00197F9F"/>
    <w:rsid w:val="001A0070"/>
    <w:rsid w:val="001A0532"/>
    <w:rsid w:val="001A1849"/>
    <w:rsid w:val="001A19C3"/>
    <w:rsid w:val="001A249A"/>
    <w:rsid w:val="001A2908"/>
    <w:rsid w:val="001A2FB4"/>
    <w:rsid w:val="001A32B5"/>
    <w:rsid w:val="001A34C8"/>
    <w:rsid w:val="001A4979"/>
    <w:rsid w:val="001A5CF2"/>
    <w:rsid w:val="001A68E2"/>
    <w:rsid w:val="001A69A0"/>
    <w:rsid w:val="001A6A6C"/>
    <w:rsid w:val="001A78AD"/>
    <w:rsid w:val="001A7F76"/>
    <w:rsid w:val="001B0350"/>
    <w:rsid w:val="001B0D27"/>
    <w:rsid w:val="001B0DED"/>
    <w:rsid w:val="001B2244"/>
    <w:rsid w:val="001B29D9"/>
    <w:rsid w:val="001B2C0B"/>
    <w:rsid w:val="001B3B45"/>
    <w:rsid w:val="001B4A07"/>
    <w:rsid w:val="001B5230"/>
    <w:rsid w:val="001B6413"/>
    <w:rsid w:val="001B7537"/>
    <w:rsid w:val="001C020F"/>
    <w:rsid w:val="001C0BAC"/>
    <w:rsid w:val="001C0CC3"/>
    <w:rsid w:val="001C0E5C"/>
    <w:rsid w:val="001C1536"/>
    <w:rsid w:val="001C1A7B"/>
    <w:rsid w:val="001C291F"/>
    <w:rsid w:val="001C42D3"/>
    <w:rsid w:val="001C5366"/>
    <w:rsid w:val="001C5B0A"/>
    <w:rsid w:val="001C5B56"/>
    <w:rsid w:val="001C5F78"/>
    <w:rsid w:val="001C60DF"/>
    <w:rsid w:val="001C61A9"/>
    <w:rsid w:val="001C7056"/>
    <w:rsid w:val="001C73C2"/>
    <w:rsid w:val="001C7E3C"/>
    <w:rsid w:val="001D0536"/>
    <w:rsid w:val="001D088A"/>
    <w:rsid w:val="001D0F32"/>
    <w:rsid w:val="001D1F37"/>
    <w:rsid w:val="001D208A"/>
    <w:rsid w:val="001D215D"/>
    <w:rsid w:val="001D2160"/>
    <w:rsid w:val="001D44B6"/>
    <w:rsid w:val="001D4799"/>
    <w:rsid w:val="001D53F8"/>
    <w:rsid w:val="001D554F"/>
    <w:rsid w:val="001D6942"/>
    <w:rsid w:val="001D74B3"/>
    <w:rsid w:val="001D7BB4"/>
    <w:rsid w:val="001E0217"/>
    <w:rsid w:val="001E0427"/>
    <w:rsid w:val="001E058C"/>
    <w:rsid w:val="001E1030"/>
    <w:rsid w:val="001E1554"/>
    <w:rsid w:val="001E15D5"/>
    <w:rsid w:val="001E225D"/>
    <w:rsid w:val="001E26EB"/>
    <w:rsid w:val="001E2D96"/>
    <w:rsid w:val="001E2F15"/>
    <w:rsid w:val="001E3D3B"/>
    <w:rsid w:val="001E45DC"/>
    <w:rsid w:val="001E5B15"/>
    <w:rsid w:val="001E5DF4"/>
    <w:rsid w:val="001E6D54"/>
    <w:rsid w:val="001E771E"/>
    <w:rsid w:val="001E7892"/>
    <w:rsid w:val="001F0292"/>
    <w:rsid w:val="001F143B"/>
    <w:rsid w:val="001F2069"/>
    <w:rsid w:val="001F326B"/>
    <w:rsid w:val="001F376D"/>
    <w:rsid w:val="001F3AEF"/>
    <w:rsid w:val="001F3DC8"/>
    <w:rsid w:val="001F4026"/>
    <w:rsid w:val="001F4E10"/>
    <w:rsid w:val="001F58E2"/>
    <w:rsid w:val="001F5F9B"/>
    <w:rsid w:val="001F6184"/>
    <w:rsid w:val="001F633A"/>
    <w:rsid w:val="001F79AC"/>
    <w:rsid w:val="0020010E"/>
    <w:rsid w:val="00200158"/>
    <w:rsid w:val="0020025A"/>
    <w:rsid w:val="0020149B"/>
    <w:rsid w:val="0020165D"/>
    <w:rsid w:val="0020202C"/>
    <w:rsid w:val="00202D3B"/>
    <w:rsid w:val="00203389"/>
    <w:rsid w:val="00203840"/>
    <w:rsid w:val="00203A5B"/>
    <w:rsid w:val="00205D97"/>
    <w:rsid w:val="00206580"/>
    <w:rsid w:val="00206D11"/>
    <w:rsid w:val="00207829"/>
    <w:rsid w:val="002078B7"/>
    <w:rsid w:val="0020794E"/>
    <w:rsid w:val="00207CD9"/>
    <w:rsid w:val="002111B1"/>
    <w:rsid w:val="0021159A"/>
    <w:rsid w:val="00212CBB"/>
    <w:rsid w:val="00212CF9"/>
    <w:rsid w:val="00212E32"/>
    <w:rsid w:val="00213A70"/>
    <w:rsid w:val="002145A9"/>
    <w:rsid w:val="00215708"/>
    <w:rsid w:val="00216B9D"/>
    <w:rsid w:val="002172CF"/>
    <w:rsid w:val="0021731F"/>
    <w:rsid w:val="00217CF0"/>
    <w:rsid w:val="0022048D"/>
    <w:rsid w:val="00220710"/>
    <w:rsid w:val="00221701"/>
    <w:rsid w:val="00221BEB"/>
    <w:rsid w:val="00221CDD"/>
    <w:rsid w:val="00221E44"/>
    <w:rsid w:val="002239EF"/>
    <w:rsid w:val="002245DC"/>
    <w:rsid w:val="00224E0A"/>
    <w:rsid w:val="0022537D"/>
    <w:rsid w:val="00225500"/>
    <w:rsid w:val="00225AF4"/>
    <w:rsid w:val="00225BA9"/>
    <w:rsid w:val="00226191"/>
    <w:rsid w:val="00227425"/>
    <w:rsid w:val="0022752D"/>
    <w:rsid w:val="00227D5E"/>
    <w:rsid w:val="00231831"/>
    <w:rsid w:val="00233151"/>
    <w:rsid w:val="002334B1"/>
    <w:rsid w:val="002345D6"/>
    <w:rsid w:val="0023593D"/>
    <w:rsid w:val="00235C46"/>
    <w:rsid w:val="00235C79"/>
    <w:rsid w:val="00235CAB"/>
    <w:rsid w:val="00236C24"/>
    <w:rsid w:val="00236EDE"/>
    <w:rsid w:val="00237194"/>
    <w:rsid w:val="00237708"/>
    <w:rsid w:val="00237D53"/>
    <w:rsid w:val="00240ECF"/>
    <w:rsid w:val="0024118E"/>
    <w:rsid w:val="0024162C"/>
    <w:rsid w:val="00241FA1"/>
    <w:rsid w:val="002425A9"/>
    <w:rsid w:val="00244878"/>
    <w:rsid w:val="00244C25"/>
    <w:rsid w:val="00244DB9"/>
    <w:rsid w:val="00245C7E"/>
    <w:rsid w:val="00245F4A"/>
    <w:rsid w:val="00245FBC"/>
    <w:rsid w:val="00246530"/>
    <w:rsid w:val="002471B4"/>
    <w:rsid w:val="002472AC"/>
    <w:rsid w:val="0024754E"/>
    <w:rsid w:val="0024758E"/>
    <w:rsid w:val="00247CF7"/>
    <w:rsid w:val="00250717"/>
    <w:rsid w:val="00250AAE"/>
    <w:rsid w:val="00251B39"/>
    <w:rsid w:val="00251D2E"/>
    <w:rsid w:val="00251EBA"/>
    <w:rsid w:val="00252111"/>
    <w:rsid w:val="00252893"/>
    <w:rsid w:val="002546E2"/>
    <w:rsid w:val="00255A7D"/>
    <w:rsid w:val="00255C29"/>
    <w:rsid w:val="0025606C"/>
    <w:rsid w:val="00256C01"/>
    <w:rsid w:val="002574E8"/>
    <w:rsid w:val="00261B71"/>
    <w:rsid w:val="00265B34"/>
    <w:rsid w:val="00265BB0"/>
    <w:rsid w:val="00266462"/>
    <w:rsid w:val="00266CFE"/>
    <w:rsid w:val="0026727B"/>
    <w:rsid w:val="00267332"/>
    <w:rsid w:val="00272140"/>
    <w:rsid w:val="00272E64"/>
    <w:rsid w:val="00273578"/>
    <w:rsid w:val="00273826"/>
    <w:rsid w:val="002753D7"/>
    <w:rsid w:val="00275D2E"/>
    <w:rsid w:val="00275F4C"/>
    <w:rsid w:val="002760AF"/>
    <w:rsid w:val="0027691E"/>
    <w:rsid w:val="002770C1"/>
    <w:rsid w:val="00277BCA"/>
    <w:rsid w:val="0028068D"/>
    <w:rsid w:val="002807D8"/>
    <w:rsid w:val="00281451"/>
    <w:rsid w:val="002818AD"/>
    <w:rsid w:val="00281B09"/>
    <w:rsid w:val="002823DE"/>
    <w:rsid w:val="00282737"/>
    <w:rsid w:val="00282B65"/>
    <w:rsid w:val="002831DD"/>
    <w:rsid w:val="0028522D"/>
    <w:rsid w:val="0028612B"/>
    <w:rsid w:val="00287047"/>
    <w:rsid w:val="0028741C"/>
    <w:rsid w:val="00287A28"/>
    <w:rsid w:val="00287CAE"/>
    <w:rsid w:val="002909B3"/>
    <w:rsid w:val="00290A21"/>
    <w:rsid w:val="0029197D"/>
    <w:rsid w:val="0029262F"/>
    <w:rsid w:val="00293114"/>
    <w:rsid w:val="00294215"/>
    <w:rsid w:val="00295443"/>
    <w:rsid w:val="0029590D"/>
    <w:rsid w:val="00295EB3"/>
    <w:rsid w:val="00295F71"/>
    <w:rsid w:val="00296AA0"/>
    <w:rsid w:val="0029737D"/>
    <w:rsid w:val="002979D2"/>
    <w:rsid w:val="00297F74"/>
    <w:rsid w:val="002A0642"/>
    <w:rsid w:val="002A0A21"/>
    <w:rsid w:val="002A12CC"/>
    <w:rsid w:val="002A233A"/>
    <w:rsid w:val="002A25E4"/>
    <w:rsid w:val="002A2D26"/>
    <w:rsid w:val="002A3775"/>
    <w:rsid w:val="002A3D30"/>
    <w:rsid w:val="002A4950"/>
    <w:rsid w:val="002A59D9"/>
    <w:rsid w:val="002A6245"/>
    <w:rsid w:val="002A72F1"/>
    <w:rsid w:val="002A7C78"/>
    <w:rsid w:val="002B0083"/>
    <w:rsid w:val="002B02E6"/>
    <w:rsid w:val="002B07B3"/>
    <w:rsid w:val="002B0F2E"/>
    <w:rsid w:val="002B21E9"/>
    <w:rsid w:val="002B2677"/>
    <w:rsid w:val="002B3785"/>
    <w:rsid w:val="002B4094"/>
    <w:rsid w:val="002B445A"/>
    <w:rsid w:val="002B4CF6"/>
    <w:rsid w:val="002B4F19"/>
    <w:rsid w:val="002B5BB1"/>
    <w:rsid w:val="002B5C49"/>
    <w:rsid w:val="002B62B1"/>
    <w:rsid w:val="002B6AFF"/>
    <w:rsid w:val="002B6D19"/>
    <w:rsid w:val="002B7CC0"/>
    <w:rsid w:val="002C06FB"/>
    <w:rsid w:val="002C0848"/>
    <w:rsid w:val="002C1F4F"/>
    <w:rsid w:val="002C29BB"/>
    <w:rsid w:val="002C29C4"/>
    <w:rsid w:val="002C2D54"/>
    <w:rsid w:val="002C3C3A"/>
    <w:rsid w:val="002C3F30"/>
    <w:rsid w:val="002C40C1"/>
    <w:rsid w:val="002C48B2"/>
    <w:rsid w:val="002C4F8D"/>
    <w:rsid w:val="002C56AA"/>
    <w:rsid w:val="002C5963"/>
    <w:rsid w:val="002C674D"/>
    <w:rsid w:val="002C696E"/>
    <w:rsid w:val="002C69E6"/>
    <w:rsid w:val="002C7932"/>
    <w:rsid w:val="002D19FC"/>
    <w:rsid w:val="002D1BF1"/>
    <w:rsid w:val="002D1C63"/>
    <w:rsid w:val="002D28A9"/>
    <w:rsid w:val="002D363A"/>
    <w:rsid w:val="002D38BD"/>
    <w:rsid w:val="002D41F1"/>
    <w:rsid w:val="002D451A"/>
    <w:rsid w:val="002D4B27"/>
    <w:rsid w:val="002D52D4"/>
    <w:rsid w:val="002D5B3A"/>
    <w:rsid w:val="002D5E13"/>
    <w:rsid w:val="002D63E4"/>
    <w:rsid w:val="002D7865"/>
    <w:rsid w:val="002D7A1B"/>
    <w:rsid w:val="002E0FB1"/>
    <w:rsid w:val="002E1677"/>
    <w:rsid w:val="002E1CFD"/>
    <w:rsid w:val="002E1EBD"/>
    <w:rsid w:val="002E33B4"/>
    <w:rsid w:val="002E3709"/>
    <w:rsid w:val="002E3BAA"/>
    <w:rsid w:val="002E4884"/>
    <w:rsid w:val="002E4F0E"/>
    <w:rsid w:val="002E5237"/>
    <w:rsid w:val="002E5E2B"/>
    <w:rsid w:val="002E62D8"/>
    <w:rsid w:val="002E6775"/>
    <w:rsid w:val="002E6AF3"/>
    <w:rsid w:val="002F0959"/>
    <w:rsid w:val="002F095C"/>
    <w:rsid w:val="002F0D73"/>
    <w:rsid w:val="002F0F0E"/>
    <w:rsid w:val="002F1ACA"/>
    <w:rsid w:val="002F29F4"/>
    <w:rsid w:val="002F472E"/>
    <w:rsid w:val="002F47A7"/>
    <w:rsid w:val="002F48AD"/>
    <w:rsid w:val="002F4DB5"/>
    <w:rsid w:val="002F4EDC"/>
    <w:rsid w:val="002F661D"/>
    <w:rsid w:val="002F6809"/>
    <w:rsid w:val="002F78DF"/>
    <w:rsid w:val="0030033C"/>
    <w:rsid w:val="0030062F"/>
    <w:rsid w:val="0030176A"/>
    <w:rsid w:val="00301F4E"/>
    <w:rsid w:val="00303054"/>
    <w:rsid w:val="0030536B"/>
    <w:rsid w:val="00305B13"/>
    <w:rsid w:val="00305B72"/>
    <w:rsid w:val="003061D0"/>
    <w:rsid w:val="00306603"/>
    <w:rsid w:val="003107B4"/>
    <w:rsid w:val="00310D31"/>
    <w:rsid w:val="00310E4D"/>
    <w:rsid w:val="00311102"/>
    <w:rsid w:val="00311D23"/>
    <w:rsid w:val="00312110"/>
    <w:rsid w:val="003126CC"/>
    <w:rsid w:val="00312A5B"/>
    <w:rsid w:val="00312AD7"/>
    <w:rsid w:val="00312C09"/>
    <w:rsid w:val="00312C2C"/>
    <w:rsid w:val="00313065"/>
    <w:rsid w:val="003133D6"/>
    <w:rsid w:val="003134B5"/>
    <w:rsid w:val="00313B96"/>
    <w:rsid w:val="00313F06"/>
    <w:rsid w:val="00314170"/>
    <w:rsid w:val="00314AF4"/>
    <w:rsid w:val="00314BB4"/>
    <w:rsid w:val="00316616"/>
    <w:rsid w:val="00316BA2"/>
    <w:rsid w:val="00317578"/>
    <w:rsid w:val="003206C0"/>
    <w:rsid w:val="00320961"/>
    <w:rsid w:val="00320D53"/>
    <w:rsid w:val="00321674"/>
    <w:rsid w:val="00321FBA"/>
    <w:rsid w:val="003228B5"/>
    <w:rsid w:val="00323969"/>
    <w:rsid w:val="003240BC"/>
    <w:rsid w:val="00324FC5"/>
    <w:rsid w:val="003252B6"/>
    <w:rsid w:val="003255D1"/>
    <w:rsid w:val="00326CE2"/>
    <w:rsid w:val="003272B7"/>
    <w:rsid w:val="00327672"/>
    <w:rsid w:val="00327754"/>
    <w:rsid w:val="00327DEB"/>
    <w:rsid w:val="00327FF8"/>
    <w:rsid w:val="003303D5"/>
    <w:rsid w:val="00331E33"/>
    <w:rsid w:val="00332232"/>
    <w:rsid w:val="00332C05"/>
    <w:rsid w:val="0033318A"/>
    <w:rsid w:val="00334754"/>
    <w:rsid w:val="00335FD7"/>
    <w:rsid w:val="003364D4"/>
    <w:rsid w:val="0033699B"/>
    <w:rsid w:val="00336ED6"/>
    <w:rsid w:val="0033749A"/>
    <w:rsid w:val="003375C3"/>
    <w:rsid w:val="00337D9E"/>
    <w:rsid w:val="00340CC5"/>
    <w:rsid w:val="00341160"/>
    <w:rsid w:val="00342007"/>
    <w:rsid w:val="00342BD9"/>
    <w:rsid w:val="00342C91"/>
    <w:rsid w:val="003441E9"/>
    <w:rsid w:val="003442EF"/>
    <w:rsid w:val="00344BD4"/>
    <w:rsid w:val="00344D27"/>
    <w:rsid w:val="0034629A"/>
    <w:rsid w:val="00347835"/>
    <w:rsid w:val="00353054"/>
    <w:rsid w:val="0035314E"/>
    <w:rsid w:val="003540D3"/>
    <w:rsid w:val="00354AAB"/>
    <w:rsid w:val="003555D4"/>
    <w:rsid w:val="00355966"/>
    <w:rsid w:val="00355D7F"/>
    <w:rsid w:val="00357577"/>
    <w:rsid w:val="003577EA"/>
    <w:rsid w:val="00357D03"/>
    <w:rsid w:val="00357EF5"/>
    <w:rsid w:val="00360478"/>
    <w:rsid w:val="00360BE1"/>
    <w:rsid w:val="00360F06"/>
    <w:rsid w:val="003619AF"/>
    <w:rsid w:val="00361E34"/>
    <w:rsid w:val="003620C0"/>
    <w:rsid w:val="00362A0E"/>
    <w:rsid w:val="00362D9B"/>
    <w:rsid w:val="00364FB7"/>
    <w:rsid w:val="00365115"/>
    <w:rsid w:val="00365333"/>
    <w:rsid w:val="00365701"/>
    <w:rsid w:val="00367098"/>
    <w:rsid w:val="003670B6"/>
    <w:rsid w:val="003670C4"/>
    <w:rsid w:val="0037040C"/>
    <w:rsid w:val="003704BB"/>
    <w:rsid w:val="003714A1"/>
    <w:rsid w:val="003728B5"/>
    <w:rsid w:val="00373589"/>
    <w:rsid w:val="00373CAE"/>
    <w:rsid w:val="00374456"/>
    <w:rsid w:val="0037462A"/>
    <w:rsid w:val="003747E2"/>
    <w:rsid w:val="00374B29"/>
    <w:rsid w:val="0037553A"/>
    <w:rsid w:val="0037573E"/>
    <w:rsid w:val="0037635D"/>
    <w:rsid w:val="003773F6"/>
    <w:rsid w:val="00380312"/>
    <w:rsid w:val="0038059B"/>
    <w:rsid w:val="00380C1F"/>
    <w:rsid w:val="00380E73"/>
    <w:rsid w:val="00381083"/>
    <w:rsid w:val="00381515"/>
    <w:rsid w:val="003819C4"/>
    <w:rsid w:val="00381CFF"/>
    <w:rsid w:val="00381E1D"/>
    <w:rsid w:val="00382DE5"/>
    <w:rsid w:val="003845CD"/>
    <w:rsid w:val="00384EB9"/>
    <w:rsid w:val="00385C4C"/>
    <w:rsid w:val="00386337"/>
    <w:rsid w:val="0038687B"/>
    <w:rsid w:val="00386B56"/>
    <w:rsid w:val="003871A4"/>
    <w:rsid w:val="00387C03"/>
    <w:rsid w:val="00387FC5"/>
    <w:rsid w:val="00390DAC"/>
    <w:rsid w:val="003928A4"/>
    <w:rsid w:val="00392BED"/>
    <w:rsid w:val="003930C8"/>
    <w:rsid w:val="00393DA5"/>
    <w:rsid w:val="00395439"/>
    <w:rsid w:val="003959BC"/>
    <w:rsid w:val="00396863"/>
    <w:rsid w:val="00396CF5"/>
    <w:rsid w:val="00397306"/>
    <w:rsid w:val="0039792A"/>
    <w:rsid w:val="00397BD3"/>
    <w:rsid w:val="003A161C"/>
    <w:rsid w:val="003A351D"/>
    <w:rsid w:val="003A4E16"/>
    <w:rsid w:val="003A59C4"/>
    <w:rsid w:val="003A5AC7"/>
    <w:rsid w:val="003A70FE"/>
    <w:rsid w:val="003A71FF"/>
    <w:rsid w:val="003A77BD"/>
    <w:rsid w:val="003A7DB6"/>
    <w:rsid w:val="003B049D"/>
    <w:rsid w:val="003B07C0"/>
    <w:rsid w:val="003B0CD5"/>
    <w:rsid w:val="003B0E13"/>
    <w:rsid w:val="003B1AA5"/>
    <w:rsid w:val="003B1B3F"/>
    <w:rsid w:val="003B337B"/>
    <w:rsid w:val="003B4A4A"/>
    <w:rsid w:val="003B4E00"/>
    <w:rsid w:val="003B593C"/>
    <w:rsid w:val="003B5BC9"/>
    <w:rsid w:val="003B5E8E"/>
    <w:rsid w:val="003B5F4B"/>
    <w:rsid w:val="003B64E6"/>
    <w:rsid w:val="003B6D11"/>
    <w:rsid w:val="003B7E76"/>
    <w:rsid w:val="003C04C9"/>
    <w:rsid w:val="003C0949"/>
    <w:rsid w:val="003C0E4F"/>
    <w:rsid w:val="003C1425"/>
    <w:rsid w:val="003C1BF6"/>
    <w:rsid w:val="003C25DA"/>
    <w:rsid w:val="003C2880"/>
    <w:rsid w:val="003C2F52"/>
    <w:rsid w:val="003C3442"/>
    <w:rsid w:val="003C3A49"/>
    <w:rsid w:val="003C5367"/>
    <w:rsid w:val="003C59AE"/>
    <w:rsid w:val="003C5A1E"/>
    <w:rsid w:val="003C70F9"/>
    <w:rsid w:val="003C748A"/>
    <w:rsid w:val="003C785F"/>
    <w:rsid w:val="003C7B47"/>
    <w:rsid w:val="003D0EB8"/>
    <w:rsid w:val="003D1533"/>
    <w:rsid w:val="003D170A"/>
    <w:rsid w:val="003D2CA8"/>
    <w:rsid w:val="003D2F99"/>
    <w:rsid w:val="003D432D"/>
    <w:rsid w:val="003D4A5A"/>
    <w:rsid w:val="003D567C"/>
    <w:rsid w:val="003D5F0B"/>
    <w:rsid w:val="003D7020"/>
    <w:rsid w:val="003D72E7"/>
    <w:rsid w:val="003E0075"/>
    <w:rsid w:val="003E1FEF"/>
    <w:rsid w:val="003E20D9"/>
    <w:rsid w:val="003E3890"/>
    <w:rsid w:val="003E3897"/>
    <w:rsid w:val="003E3CC1"/>
    <w:rsid w:val="003E3EC3"/>
    <w:rsid w:val="003E42FD"/>
    <w:rsid w:val="003E481C"/>
    <w:rsid w:val="003E4B42"/>
    <w:rsid w:val="003E4DCB"/>
    <w:rsid w:val="003E4DEC"/>
    <w:rsid w:val="003E56BD"/>
    <w:rsid w:val="003E5B16"/>
    <w:rsid w:val="003E7DF1"/>
    <w:rsid w:val="003F00EC"/>
    <w:rsid w:val="003F0A2F"/>
    <w:rsid w:val="003F2D16"/>
    <w:rsid w:val="003F32F9"/>
    <w:rsid w:val="003F3B5D"/>
    <w:rsid w:val="003F3E6E"/>
    <w:rsid w:val="003F4AA1"/>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5166"/>
    <w:rsid w:val="00406560"/>
    <w:rsid w:val="00407FC5"/>
    <w:rsid w:val="0041039F"/>
    <w:rsid w:val="00410D58"/>
    <w:rsid w:val="00411BC6"/>
    <w:rsid w:val="004129AA"/>
    <w:rsid w:val="00412FF4"/>
    <w:rsid w:val="00413136"/>
    <w:rsid w:val="00413BC9"/>
    <w:rsid w:val="00413BF1"/>
    <w:rsid w:val="00414104"/>
    <w:rsid w:val="004157B2"/>
    <w:rsid w:val="00415A9A"/>
    <w:rsid w:val="004167AC"/>
    <w:rsid w:val="004169EC"/>
    <w:rsid w:val="00416EE8"/>
    <w:rsid w:val="00421AE5"/>
    <w:rsid w:val="00421CEE"/>
    <w:rsid w:val="00421FF8"/>
    <w:rsid w:val="0042218C"/>
    <w:rsid w:val="00423747"/>
    <w:rsid w:val="00423766"/>
    <w:rsid w:val="00423C6D"/>
    <w:rsid w:val="0042403F"/>
    <w:rsid w:val="0042423C"/>
    <w:rsid w:val="00424AEB"/>
    <w:rsid w:val="00425361"/>
    <w:rsid w:val="0042563B"/>
    <w:rsid w:val="00426FE5"/>
    <w:rsid w:val="00427BE9"/>
    <w:rsid w:val="00430BD6"/>
    <w:rsid w:val="0043149E"/>
    <w:rsid w:val="0043177D"/>
    <w:rsid w:val="004343CF"/>
    <w:rsid w:val="00434797"/>
    <w:rsid w:val="00434CD9"/>
    <w:rsid w:val="00434D3A"/>
    <w:rsid w:val="004352DA"/>
    <w:rsid w:val="00435FAC"/>
    <w:rsid w:val="00436A34"/>
    <w:rsid w:val="00437FCE"/>
    <w:rsid w:val="00440A51"/>
    <w:rsid w:val="004420D5"/>
    <w:rsid w:val="00442CAF"/>
    <w:rsid w:val="004437A9"/>
    <w:rsid w:val="0044497A"/>
    <w:rsid w:val="004471BC"/>
    <w:rsid w:val="004471ED"/>
    <w:rsid w:val="0044791F"/>
    <w:rsid w:val="0045021E"/>
    <w:rsid w:val="00450AF9"/>
    <w:rsid w:val="0045258A"/>
    <w:rsid w:val="00452C64"/>
    <w:rsid w:val="00454447"/>
    <w:rsid w:val="00454EAD"/>
    <w:rsid w:val="004558C4"/>
    <w:rsid w:val="00460481"/>
    <w:rsid w:val="004604D3"/>
    <w:rsid w:val="004648B3"/>
    <w:rsid w:val="00464B87"/>
    <w:rsid w:val="00464E43"/>
    <w:rsid w:val="00465829"/>
    <w:rsid w:val="00465977"/>
    <w:rsid w:val="00465EF9"/>
    <w:rsid w:val="004664B4"/>
    <w:rsid w:val="0046668A"/>
    <w:rsid w:val="00467456"/>
    <w:rsid w:val="0046772A"/>
    <w:rsid w:val="004705D5"/>
    <w:rsid w:val="00471262"/>
    <w:rsid w:val="0047193A"/>
    <w:rsid w:val="00471F29"/>
    <w:rsid w:val="00472677"/>
    <w:rsid w:val="00473766"/>
    <w:rsid w:val="0047412A"/>
    <w:rsid w:val="004747F4"/>
    <w:rsid w:val="00474DA6"/>
    <w:rsid w:val="0047546A"/>
    <w:rsid w:val="004757FF"/>
    <w:rsid w:val="00475879"/>
    <w:rsid w:val="00475DDB"/>
    <w:rsid w:val="00477A60"/>
    <w:rsid w:val="00477BE2"/>
    <w:rsid w:val="0048199B"/>
    <w:rsid w:val="00481B46"/>
    <w:rsid w:val="00481D3A"/>
    <w:rsid w:val="00481DC7"/>
    <w:rsid w:val="00482370"/>
    <w:rsid w:val="00482D79"/>
    <w:rsid w:val="0048343D"/>
    <w:rsid w:val="00483F71"/>
    <w:rsid w:val="00484A34"/>
    <w:rsid w:val="00484BAE"/>
    <w:rsid w:val="0048510B"/>
    <w:rsid w:val="00485699"/>
    <w:rsid w:val="00485813"/>
    <w:rsid w:val="0048584B"/>
    <w:rsid w:val="00485AEB"/>
    <w:rsid w:val="00485E47"/>
    <w:rsid w:val="00487AB5"/>
    <w:rsid w:val="0049096F"/>
    <w:rsid w:val="00490A73"/>
    <w:rsid w:val="00492974"/>
    <w:rsid w:val="00493280"/>
    <w:rsid w:val="0049586D"/>
    <w:rsid w:val="0049614E"/>
    <w:rsid w:val="00496172"/>
    <w:rsid w:val="004962C9"/>
    <w:rsid w:val="00496F5F"/>
    <w:rsid w:val="00497133"/>
    <w:rsid w:val="004A01C7"/>
    <w:rsid w:val="004A01F9"/>
    <w:rsid w:val="004A05E6"/>
    <w:rsid w:val="004A13A3"/>
    <w:rsid w:val="004A25B3"/>
    <w:rsid w:val="004A2F9B"/>
    <w:rsid w:val="004A46B9"/>
    <w:rsid w:val="004A5537"/>
    <w:rsid w:val="004A5678"/>
    <w:rsid w:val="004A5B54"/>
    <w:rsid w:val="004A61FA"/>
    <w:rsid w:val="004A7D51"/>
    <w:rsid w:val="004B0155"/>
    <w:rsid w:val="004B095E"/>
    <w:rsid w:val="004B13BB"/>
    <w:rsid w:val="004B140A"/>
    <w:rsid w:val="004B1C11"/>
    <w:rsid w:val="004B2707"/>
    <w:rsid w:val="004B2886"/>
    <w:rsid w:val="004B487D"/>
    <w:rsid w:val="004B4AFF"/>
    <w:rsid w:val="004B4B93"/>
    <w:rsid w:val="004B4D07"/>
    <w:rsid w:val="004B586B"/>
    <w:rsid w:val="004B5948"/>
    <w:rsid w:val="004B594C"/>
    <w:rsid w:val="004B59F8"/>
    <w:rsid w:val="004B6C53"/>
    <w:rsid w:val="004B6CDB"/>
    <w:rsid w:val="004B7392"/>
    <w:rsid w:val="004C07CD"/>
    <w:rsid w:val="004C2000"/>
    <w:rsid w:val="004C3948"/>
    <w:rsid w:val="004C3DAB"/>
    <w:rsid w:val="004C4AEA"/>
    <w:rsid w:val="004C713F"/>
    <w:rsid w:val="004C794F"/>
    <w:rsid w:val="004D0C61"/>
    <w:rsid w:val="004D2F79"/>
    <w:rsid w:val="004D34CF"/>
    <w:rsid w:val="004D4534"/>
    <w:rsid w:val="004D45C2"/>
    <w:rsid w:val="004D4A8C"/>
    <w:rsid w:val="004D5198"/>
    <w:rsid w:val="004D577A"/>
    <w:rsid w:val="004D5788"/>
    <w:rsid w:val="004D6298"/>
    <w:rsid w:val="004D6661"/>
    <w:rsid w:val="004D7028"/>
    <w:rsid w:val="004D7370"/>
    <w:rsid w:val="004D793D"/>
    <w:rsid w:val="004D7C3D"/>
    <w:rsid w:val="004E0082"/>
    <w:rsid w:val="004E0A8A"/>
    <w:rsid w:val="004E1026"/>
    <w:rsid w:val="004E1C6A"/>
    <w:rsid w:val="004E21E7"/>
    <w:rsid w:val="004E23D8"/>
    <w:rsid w:val="004E2F91"/>
    <w:rsid w:val="004E3B92"/>
    <w:rsid w:val="004E5614"/>
    <w:rsid w:val="004E58BE"/>
    <w:rsid w:val="004F0D5B"/>
    <w:rsid w:val="004F1DA9"/>
    <w:rsid w:val="004F2060"/>
    <w:rsid w:val="004F2FCF"/>
    <w:rsid w:val="004F30F7"/>
    <w:rsid w:val="004F31E3"/>
    <w:rsid w:val="004F3AAB"/>
    <w:rsid w:val="004F4544"/>
    <w:rsid w:val="004F4C97"/>
    <w:rsid w:val="004F53BF"/>
    <w:rsid w:val="004F559D"/>
    <w:rsid w:val="004F5681"/>
    <w:rsid w:val="004F5698"/>
    <w:rsid w:val="004F62F5"/>
    <w:rsid w:val="004F7585"/>
    <w:rsid w:val="004F78D7"/>
    <w:rsid w:val="004F7C45"/>
    <w:rsid w:val="005010C1"/>
    <w:rsid w:val="005011AE"/>
    <w:rsid w:val="00502963"/>
    <w:rsid w:val="00503395"/>
    <w:rsid w:val="00503DCA"/>
    <w:rsid w:val="00504734"/>
    <w:rsid w:val="00504823"/>
    <w:rsid w:val="005052B2"/>
    <w:rsid w:val="00505974"/>
    <w:rsid w:val="00507922"/>
    <w:rsid w:val="005079AC"/>
    <w:rsid w:val="00507C0A"/>
    <w:rsid w:val="00507F63"/>
    <w:rsid w:val="00510B07"/>
    <w:rsid w:val="00510B0C"/>
    <w:rsid w:val="00511380"/>
    <w:rsid w:val="00512475"/>
    <w:rsid w:val="00513796"/>
    <w:rsid w:val="005142A1"/>
    <w:rsid w:val="00514DC8"/>
    <w:rsid w:val="005167D5"/>
    <w:rsid w:val="00516C7E"/>
    <w:rsid w:val="00516E8E"/>
    <w:rsid w:val="005176CC"/>
    <w:rsid w:val="00517A4C"/>
    <w:rsid w:val="00520640"/>
    <w:rsid w:val="00520ECB"/>
    <w:rsid w:val="00521AEB"/>
    <w:rsid w:val="00521C25"/>
    <w:rsid w:val="0052332D"/>
    <w:rsid w:val="0052380E"/>
    <w:rsid w:val="0052581A"/>
    <w:rsid w:val="00525C85"/>
    <w:rsid w:val="00526074"/>
    <w:rsid w:val="00530556"/>
    <w:rsid w:val="00530BB6"/>
    <w:rsid w:val="00531B17"/>
    <w:rsid w:val="005321B7"/>
    <w:rsid w:val="00532F7E"/>
    <w:rsid w:val="00535539"/>
    <w:rsid w:val="005359E8"/>
    <w:rsid w:val="0053627D"/>
    <w:rsid w:val="00537A43"/>
    <w:rsid w:val="005408B9"/>
    <w:rsid w:val="005422CE"/>
    <w:rsid w:val="005423A9"/>
    <w:rsid w:val="00542F08"/>
    <w:rsid w:val="00543145"/>
    <w:rsid w:val="0054432A"/>
    <w:rsid w:val="00544725"/>
    <w:rsid w:val="00546075"/>
    <w:rsid w:val="00546CCE"/>
    <w:rsid w:val="00546E9E"/>
    <w:rsid w:val="0054757E"/>
    <w:rsid w:val="00550934"/>
    <w:rsid w:val="00552104"/>
    <w:rsid w:val="005525CC"/>
    <w:rsid w:val="00552C44"/>
    <w:rsid w:val="00553308"/>
    <w:rsid w:val="005535F8"/>
    <w:rsid w:val="00553971"/>
    <w:rsid w:val="00553E40"/>
    <w:rsid w:val="00553F55"/>
    <w:rsid w:val="0055509E"/>
    <w:rsid w:val="0055553A"/>
    <w:rsid w:val="00556388"/>
    <w:rsid w:val="005571B4"/>
    <w:rsid w:val="0055765F"/>
    <w:rsid w:val="0056136D"/>
    <w:rsid w:val="00561C86"/>
    <w:rsid w:val="00562478"/>
    <w:rsid w:val="00564061"/>
    <w:rsid w:val="0056526B"/>
    <w:rsid w:val="00566115"/>
    <w:rsid w:val="00567BB0"/>
    <w:rsid w:val="005714D8"/>
    <w:rsid w:val="00572468"/>
    <w:rsid w:val="00572DBA"/>
    <w:rsid w:val="005748BF"/>
    <w:rsid w:val="0057505E"/>
    <w:rsid w:val="00575866"/>
    <w:rsid w:val="00575FC0"/>
    <w:rsid w:val="00576905"/>
    <w:rsid w:val="005805EB"/>
    <w:rsid w:val="00580613"/>
    <w:rsid w:val="00581A71"/>
    <w:rsid w:val="00582F3C"/>
    <w:rsid w:val="00583C37"/>
    <w:rsid w:val="00583D86"/>
    <w:rsid w:val="0058433E"/>
    <w:rsid w:val="00584AA8"/>
    <w:rsid w:val="005863C6"/>
    <w:rsid w:val="00586898"/>
    <w:rsid w:val="0058692B"/>
    <w:rsid w:val="00586CAA"/>
    <w:rsid w:val="00587F37"/>
    <w:rsid w:val="005902C0"/>
    <w:rsid w:val="0059140F"/>
    <w:rsid w:val="00591CB4"/>
    <w:rsid w:val="00592201"/>
    <w:rsid w:val="0059230D"/>
    <w:rsid w:val="005929EE"/>
    <w:rsid w:val="00592DFA"/>
    <w:rsid w:val="00593772"/>
    <w:rsid w:val="00594495"/>
    <w:rsid w:val="00594716"/>
    <w:rsid w:val="005949FB"/>
    <w:rsid w:val="00595CC8"/>
    <w:rsid w:val="0059608D"/>
    <w:rsid w:val="00596178"/>
    <w:rsid w:val="00596539"/>
    <w:rsid w:val="00596EE5"/>
    <w:rsid w:val="00597363"/>
    <w:rsid w:val="00597813"/>
    <w:rsid w:val="005A0133"/>
    <w:rsid w:val="005A086F"/>
    <w:rsid w:val="005A177D"/>
    <w:rsid w:val="005A17C9"/>
    <w:rsid w:val="005A1BF6"/>
    <w:rsid w:val="005A1D53"/>
    <w:rsid w:val="005A4061"/>
    <w:rsid w:val="005A4EA6"/>
    <w:rsid w:val="005A5093"/>
    <w:rsid w:val="005A6A4F"/>
    <w:rsid w:val="005A6BA0"/>
    <w:rsid w:val="005A6D0E"/>
    <w:rsid w:val="005A735C"/>
    <w:rsid w:val="005A738E"/>
    <w:rsid w:val="005B0627"/>
    <w:rsid w:val="005B0980"/>
    <w:rsid w:val="005B0B93"/>
    <w:rsid w:val="005B0C44"/>
    <w:rsid w:val="005B15E8"/>
    <w:rsid w:val="005B19B0"/>
    <w:rsid w:val="005B23E6"/>
    <w:rsid w:val="005B2945"/>
    <w:rsid w:val="005B393F"/>
    <w:rsid w:val="005B4731"/>
    <w:rsid w:val="005B50A4"/>
    <w:rsid w:val="005B68CE"/>
    <w:rsid w:val="005B70AD"/>
    <w:rsid w:val="005C15AB"/>
    <w:rsid w:val="005C21DA"/>
    <w:rsid w:val="005C2345"/>
    <w:rsid w:val="005C2CF7"/>
    <w:rsid w:val="005C3AC2"/>
    <w:rsid w:val="005C6068"/>
    <w:rsid w:val="005D0AF4"/>
    <w:rsid w:val="005D16D6"/>
    <w:rsid w:val="005D19E7"/>
    <w:rsid w:val="005D1DCE"/>
    <w:rsid w:val="005D2913"/>
    <w:rsid w:val="005D4387"/>
    <w:rsid w:val="005D4914"/>
    <w:rsid w:val="005D4C99"/>
    <w:rsid w:val="005D500D"/>
    <w:rsid w:val="005D6F4C"/>
    <w:rsid w:val="005D711A"/>
    <w:rsid w:val="005D73E2"/>
    <w:rsid w:val="005D7726"/>
    <w:rsid w:val="005D7D2B"/>
    <w:rsid w:val="005D7D9C"/>
    <w:rsid w:val="005E0362"/>
    <w:rsid w:val="005E0403"/>
    <w:rsid w:val="005E0FCD"/>
    <w:rsid w:val="005E11B9"/>
    <w:rsid w:val="005E1EDD"/>
    <w:rsid w:val="005E2565"/>
    <w:rsid w:val="005E3048"/>
    <w:rsid w:val="005E3906"/>
    <w:rsid w:val="005E522F"/>
    <w:rsid w:val="005E55D4"/>
    <w:rsid w:val="005F042D"/>
    <w:rsid w:val="005F0B57"/>
    <w:rsid w:val="005F0B82"/>
    <w:rsid w:val="005F0BEF"/>
    <w:rsid w:val="005F1B2C"/>
    <w:rsid w:val="005F25ED"/>
    <w:rsid w:val="005F30BE"/>
    <w:rsid w:val="005F3DD2"/>
    <w:rsid w:val="005F4C47"/>
    <w:rsid w:val="005F53AC"/>
    <w:rsid w:val="005F647E"/>
    <w:rsid w:val="005F6553"/>
    <w:rsid w:val="005F787A"/>
    <w:rsid w:val="005F79D9"/>
    <w:rsid w:val="006017A2"/>
    <w:rsid w:val="0060470D"/>
    <w:rsid w:val="00604EED"/>
    <w:rsid w:val="006053AD"/>
    <w:rsid w:val="0060552E"/>
    <w:rsid w:val="00607992"/>
    <w:rsid w:val="0061131C"/>
    <w:rsid w:val="006117EF"/>
    <w:rsid w:val="006131E1"/>
    <w:rsid w:val="0061357F"/>
    <w:rsid w:val="00614058"/>
    <w:rsid w:val="00614B0A"/>
    <w:rsid w:val="00615477"/>
    <w:rsid w:val="00615D6A"/>
    <w:rsid w:val="00615E21"/>
    <w:rsid w:val="006161D1"/>
    <w:rsid w:val="006162F7"/>
    <w:rsid w:val="006178D6"/>
    <w:rsid w:val="006179CB"/>
    <w:rsid w:val="006179E4"/>
    <w:rsid w:val="006209AE"/>
    <w:rsid w:val="00620FEE"/>
    <w:rsid w:val="006211BD"/>
    <w:rsid w:val="0062285E"/>
    <w:rsid w:val="00622B07"/>
    <w:rsid w:val="0062347F"/>
    <w:rsid w:val="00623C8B"/>
    <w:rsid w:val="00624283"/>
    <w:rsid w:val="006246A2"/>
    <w:rsid w:val="0062486F"/>
    <w:rsid w:val="00625160"/>
    <w:rsid w:val="00625B6C"/>
    <w:rsid w:val="006260A6"/>
    <w:rsid w:val="00626664"/>
    <w:rsid w:val="006271CA"/>
    <w:rsid w:val="0062720B"/>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482"/>
    <w:rsid w:val="006368B6"/>
    <w:rsid w:val="00636DFE"/>
    <w:rsid w:val="00637222"/>
    <w:rsid w:val="006406AA"/>
    <w:rsid w:val="00640A43"/>
    <w:rsid w:val="00640AA6"/>
    <w:rsid w:val="00640BBA"/>
    <w:rsid w:val="00641485"/>
    <w:rsid w:val="0064172F"/>
    <w:rsid w:val="00641771"/>
    <w:rsid w:val="00642CF5"/>
    <w:rsid w:val="006449AB"/>
    <w:rsid w:val="00644D93"/>
    <w:rsid w:val="00645F62"/>
    <w:rsid w:val="006462F6"/>
    <w:rsid w:val="00647965"/>
    <w:rsid w:val="0065063D"/>
    <w:rsid w:val="0065309A"/>
    <w:rsid w:val="00654FA9"/>
    <w:rsid w:val="00655C61"/>
    <w:rsid w:val="006564F2"/>
    <w:rsid w:val="0065703E"/>
    <w:rsid w:val="00657278"/>
    <w:rsid w:val="0066089B"/>
    <w:rsid w:val="00660B8A"/>
    <w:rsid w:val="006616AD"/>
    <w:rsid w:val="006619A3"/>
    <w:rsid w:val="00662AE6"/>
    <w:rsid w:val="006635EE"/>
    <w:rsid w:val="00663811"/>
    <w:rsid w:val="00663BE1"/>
    <w:rsid w:val="006667EA"/>
    <w:rsid w:val="00666EA7"/>
    <w:rsid w:val="00670003"/>
    <w:rsid w:val="00671A4E"/>
    <w:rsid w:val="00672AD1"/>
    <w:rsid w:val="006730F6"/>
    <w:rsid w:val="0067377B"/>
    <w:rsid w:val="0067395E"/>
    <w:rsid w:val="00673E3D"/>
    <w:rsid w:val="00673F24"/>
    <w:rsid w:val="00674937"/>
    <w:rsid w:val="00674DC9"/>
    <w:rsid w:val="0067525C"/>
    <w:rsid w:val="006759AF"/>
    <w:rsid w:val="0067600B"/>
    <w:rsid w:val="0067619F"/>
    <w:rsid w:val="00676615"/>
    <w:rsid w:val="00676659"/>
    <w:rsid w:val="00676C4B"/>
    <w:rsid w:val="00677CCC"/>
    <w:rsid w:val="006805CA"/>
    <w:rsid w:val="00680D37"/>
    <w:rsid w:val="006810AC"/>
    <w:rsid w:val="0068149D"/>
    <w:rsid w:val="00681764"/>
    <w:rsid w:val="00684372"/>
    <w:rsid w:val="006865E7"/>
    <w:rsid w:val="0068693E"/>
    <w:rsid w:val="0068703A"/>
    <w:rsid w:val="00687504"/>
    <w:rsid w:val="006917AD"/>
    <w:rsid w:val="00692618"/>
    <w:rsid w:val="00692715"/>
    <w:rsid w:val="00694526"/>
    <w:rsid w:val="00694A0C"/>
    <w:rsid w:val="00694E05"/>
    <w:rsid w:val="00695108"/>
    <w:rsid w:val="00695CE7"/>
    <w:rsid w:val="00697F34"/>
    <w:rsid w:val="006A076B"/>
    <w:rsid w:val="006A0888"/>
    <w:rsid w:val="006A0BEE"/>
    <w:rsid w:val="006A1BD9"/>
    <w:rsid w:val="006A1F34"/>
    <w:rsid w:val="006A1F7B"/>
    <w:rsid w:val="006A21DA"/>
    <w:rsid w:val="006A247C"/>
    <w:rsid w:val="006A3A66"/>
    <w:rsid w:val="006A4519"/>
    <w:rsid w:val="006A4D21"/>
    <w:rsid w:val="006A5600"/>
    <w:rsid w:val="006A5752"/>
    <w:rsid w:val="006A59B5"/>
    <w:rsid w:val="006A6A01"/>
    <w:rsid w:val="006A785D"/>
    <w:rsid w:val="006B05FA"/>
    <w:rsid w:val="006B0683"/>
    <w:rsid w:val="006B30DA"/>
    <w:rsid w:val="006B36F9"/>
    <w:rsid w:val="006B4273"/>
    <w:rsid w:val="006B588B"/>
    <w:rsid w:val="006B5A32"/>
    <w:rsid w:val="006B5B17"/>
    <w:rsid w:val="006B6047"/>
    <w:rsid w:val="006B6215"/>
    <w:rsid w:val="006B6E44"/>
    <w:rsid w:val="006B6F96"/>
    <w:rsid w:val="006B741C"/>
    <w:rsid w:val="006C0202"/>
    <w:rsid w:val="006C04BA"/>
    <w:rsid w:val="006C1C83"/>
    <w:rsid w:val="006C282B"/>
    <w:rsid w:val="006C2F5A"/>
    <w:rsid w:val="006C436F"/>
    <w:rsid w:val="006C5069"/>
    <w:rsid w:val="006C6B86"/>
    <w:rsid w:val="006D0855"/>
    <w:rsid w:val="006D0A17"/>
    <w:rsid w:val="006D0E1C"/>
    <w:rsid w:val="006D0F84"/>
    <w:rsid w:val="006D10BB"/>
    <w:rsid w:val="006D1363"/>
    <w:rsid w:val="006D162B"/>
    <w:rsid w:val="006D1AA0"/>
    <w:rsid w:val="006D1D8D"/>
    <w:rsid w:val="006D2201"/>
    <w:rsid w:val="006D2475"/>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1E4F"/>
    <w:rsid w:val="006E2866"/>
    <w:rsid w:val="006E2E19"/>
    <w:rsid w:val="006E31DA"/>
    <w:rsid w:val="006E360D"/>
    <w:rsid w:val="006E4649"/>
    <w:rsid w:val="006E4A7A"/>
    <w:rsid w:val="006E4B86"/>
    <w:rsid w:val="006E5452"/>
    <w:rsid w:val="006E5D8F"/>
    <w:rsid w:val="006E5F07"/>
    <w:rsid w:val="006E6CA8"/>
    <w:rsid w:val="006E7429"/>
    <w:rsid w:val="006E7500"/>
    <w:rsid w:val="006F01BE"/>
    <w:rsid w:val="006F0A1E"/>
    <w:rsid w:val="006F0C35"/>
    <w:rsid w:val="006F158E"/>
    <w:rsid w:val="006F1772"/>
    <w:rsid w:val="006F199B"/>
    <w:rsid w:val="006F1CBD"/>
    <w:rsid w:val="006F3C35"/>
    <w:rsid w:val="006F4458"/>
    <w:rsid w:val="006F498B"/>
    <w:rsid w:val="006F6C5D"/>
    <w:rsid w:val="0070036C"/>
    <w:rsid w:val="007014E7"/>
    <w:rsid w:val="007017E7"/>
    <w:rsid w:val="0070193B"/>
    <w:rsid w:val="0070315C"/>
    <w:rsid w:val="007044F2"/>
    <w:rsid w:val="00704776"/>
    <w:rsid w:val="0070525D"/>
    <w:rsid w:val="0070565F"/>
    <w:rsid w:val="00706840"/>
    <w:rsid w:val="00706CC8"/>
    <w:rsid w:val="00707796"/>
    <w:rsid w:val="007077D3"/>
    <w:rsid w:val="00707914"/>
    <w:rsid w:val="00710864"/>
    <w:rsid w:val="007109A2"/>
    <w:rsid w:val="007118D3"/>
    <w:rsid w:val="00711BAA"/>
    <w:rsid w:val="007126FC"/>
    <w:rsid w:val="00712DA4"/>
    <w:rsid w:val="007135C3"/>
    <w:rsid w:val="00714582"/>
    <w:rsid w:val="007168EE"/>
    <w:rsid w:val="007173CF"/>
    <w:rsid w:val="007203A6"/>
    <w:rsid w:val="007206F6"/>
    <w:rsid w:val="0072080E"/>
    <w:rsid w:val="00721BF4"/>
    <w:rsid w:val="00721C27"/>
    <w:rsid w:val="00722066"/>
    <w:rsid w:val="007237A1"/>
    <w:rsid w:val="00724702"/>
    <w:rsid w:val="00724FD3"/>
    <w:rsid w:val="00725637"/>
    <w:rsid w:val="0072646C"/>
    <w:rsid w:val="00726F36"/>
    <w:rsid w:val="007304F9"/>
    <w:rsid w:val="007307A2"/>
    <w:rsid w:val="00731161"/>
    <w:rsid w:val="0073176F"/>
    <w:rsid w:val="007318D2"/>
    <w:rsid w:val="007327C8"/>
    <w:rsid w:val="00732E4F"/>
    <w:rsid w:val="00735D11"/>
    <w:rsid w:val="007369EC"/>
    <w:rsid w:val="00736A55"/>
    <w:rsid w:val="00736EC0"/>
    <w:rsid w:val="00737A43"/>
    <w:rsid w:val="00737B5F"/>
    <w:rsid w:val="00737C1F"/>
    <w:rsid w:val="00737CFA"/>
    <w:rsid w:val="007401EF"/>
    <w:rsid w:val="00740990"/>
    <w:rsid w:val="007411F9"/>
    <w:rsid w:val="0074166C"/>
    <w:rsid w:val="00742052"/>
    <w:rsid w:val="00742A71"/>
    <w:rsid w:val="00742AD7"/>
    <w:rsid w:val="0074336B"/>
    <w:rsid w:val="00744269"/>
    <w:rsid w:val="00746253"/>
    <w:rsid w:val="007462D3"/>
    <w:rsid w:val="0074666C"/>
    <w:rsid w:val="00746B50"/>
    <w:rsid w:val="007471BC"/>
    <w:rsid w:val="00747C9A"/>
    <w:rsid w:val="00747CDF"/>
    <w:rsid w:val="00747FEC"/>
    <w:rsid w:val="007502F5"/>
    <w:rsid w:val="0075092D"/>
    <w:rsid w:val="00750B27"/>
    <w:rsid w:val="00751078"/>
    <w:rsid w:val="007511C3"/>
    <w:rsid w:val="00751487"/>
    <w:rsid w:val="007524DF"/>
    <w:rsid w:val="007525F4"/>
    <w:rsid w:val="00753EBB"/>
    <w:rsid w:val="00755F77"/>
    <w:rsid w:val="00755FCD"/>
    <w:rsid w:val="00756EF8"/>
    <w:rsid w:val="007601C5"/>
    <w:rsid w:val="00760465"/>
    <w:rsid w:val="00760B2F"/>
    <w:rsid w:val="00761E39"/>
    <w:rsid w:val="00762D92"/>
    <w:rsid w:val="0076557F"/>
    <w:rsid w:val="00765848"/>
    <w:rsid w:val="00765985"/>
    <w:rsid w:val="00765AAF"/>
    <w:rsid w:val="00765D3F"/>
    <w:rsid w:val="00765E39"/>
    <w:rsid w:val="007671F1"/>
    <w:rsid w:val="00770033"/>
    <w:rsid w:val="00770655"/>
    <w:rsid w:val="00770B57"/>
    <w:rsid w:val="00770F3E"/>
    <w:rsid w:val="007717CF"/>
    <w:rsid w:val="00771BB8"/>
    <w:rsid w:val="0077287B"/>
    <w:rsid w:val="00774641"/>
    <w:rsid w:val="00774CF5"/>
    <w:rsid w:val="007750B4"/>
    <w:rsid w:val="007751A3"/>
    <w:rsid w:val="00775BFD"/>
    <w:rsid w:val="00775C90"/>
    <w:rsid w:val="00775DA1"/>
    <w:rsid w:val="00776749"/>
    <w:rsid w:val="00776B4C"/>
    <w:rsid w:val="00777613"/>
    <w:rsid w:val="007776CF"/>
    <w:rsid w:val="00777865"/>
    <w:rsid w:val="00777AC7"/>
    <w:rsid w:val="00777D90"/>
    <w:rsid w:val="00781701"/>
    <w:rsid w:val="00781F8B"/>
    <w:rsid w:val="00782888"/>
    <w:rsid w:val="00782D9E"/>
    <w:rsid w:val="00782FF2"/>
    <w:rsid w:val="007830DE"/>
    <w:rsid w:val="00784212"/>
    <w:rsid w:val="0078606A"/>
    <w:rsid w:val="007863F1"/>
    <w:rsid w:val="00786709"/>
    <w:rsid w:val="007867EF"/>
    <w:rsid w:val="007868F2"/>
    <w:rsid w:val="00786DC4"/>
    <w:rsid w:val="00787238"/>
    <w:rsid w:val="007907BD"/>
    <w:rsid w:val="007915E6"/>
    <w:rsid w:val="0079179F"/>
    <w:rsid w:val="00792781"/>
    <w:rsid w:val="007928F1"/>
    <w:rsid w:val="00793A61"/>
    <w:rsid w:val="00793D1F"/>
    <w:rsid w:val="00794EBD"/>
    <w:rsid w:val="00796EB7"/>
    <w:rsid w:val="00797E03"/>
    <w:rsid w:val="007A01B8"/>
    <w:rsid w:val="007A0D34"/>
    <w:rsid w:val="007A109D"/>
    <w:rsid w:val="007A1332"/>
    <w:rsid w:val="007A150A"/>
    <w:rsid w:val="007A1BEA"/>
    <w:rsid w:val="007A1D36"/>
    <w:rsid w:val="007A254E"/>
    <w:rsid w:val="007A360D"/>
    <w:rsid w:val="007A43E8"/>
    <w:rsid w:val="007A56EE"/>
    <w:rsid w:val="007A7BD6"/>
    <w:rsid w:val="007B11AB"/>
    <w:rsid w:val="007B11C9"/>
    <w:rsid w:val="007B1BE9"/>
    <w:rsid w:val="007B25E5"/>
    <w:rsid w:val="007B3175"/>
    <w:rsid w:val="007B3474"/>
    <w:rsid w:val="007B411B"/>
    <w:rsid w:val="007B4995"/>
    <w:rsid w:val="007B49F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19C8"/>
    <w:rsid w:val="007C3139"/>
    <w:rsid w:val="007C3302"/>
    <w:rsid w:val="007C4914"/>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801"/>
    <w:rsid w:val="007E1132"/>
    <w:rsid w:val="007E26BA"/>
    <w:rsid w:val="007E29EE"/>
    <w:rsid w:val="007E4109"/>
    <w:rsid w:val="007E45D4"/>
    <w:rsid w:val="007E4EF2"/>
    <w:rsid w:val="007E5F36"/>
    <w:rsid w:val="007E6543"/>
    <w:rsid w:val="007F028C"/>
    <w:rsid w:val="007F04D1"/>
    <w:rsid w:val="007F0D23"/>
    <w:rsid w:val="007F17ED"/>
    <w:rsid w:val="007F1812"/>
    <w:rsid w:val="007F23C4"/>
    <w:rsid w:val="007F47AD"/>
    <w:rsid w:val="007F6051"/>
    <w:rsid w:val="007F61C0"/>
    <w:rsid w:val="007F6871"/>
    <w:rsid w:val="007F6939"/>
    <w:rsid w:val="007F6C06"/>
    <w:rsid w:val="007F7604"/>
    <w:rsid w:val="008002D7"/>
    <w:rsid w:val="00800552"/>
    <w:rsid w:val="00800B29"/>
    <w:rsid w:val="008018F9"/>
    <w:rsid w:val="00802864"/>
    <w:rsid w:val="00803898"/>
    <w:rsid w:val="008039EE"/>
    <w:rsid w:val="00803E08"/>
    <w:rsid w:val="00803E9C"/>
    <w:rsid w:val="0080532B"/>
    <w:rsid w:val="00805AE9"/>
    <w:rsid w:val="00806128"/>
    <w:rsid w:val="00806151"/>
    <w:rsid w:val="00806AD7"/>
    <w:rsid w:val="00807CF6"/>
    <w:rsid w:val="0081030A"/>
    <w:rsid w:val="00810583"/>
    <w:rsid w:val="008112F2"/>
    <w:rsid w:val="00812270"/>
    <w:rsid w:val="00813D34"/>
    <w:rsid w:val="00813FB2"/>
    <w:rsid w:val="008145DF"/>
    <w:rsid w:val="0081492C"/>
    <w:rsid w:val="00814B42"/>
    <w:rsid w:val="00815FE8"/>
    <w:rsid w:val="0081683C"/>
    <w:rsid w:val="00816C23"/>
    <w:rsid w:val="00816DFD"/>
    <w:rsid w:val="008207E5"/>
    <w:rsid w:val="008208E0"/>
    <w:rsid w:val="008211BA"/>
    <w:rsid w:val="00821311"/>
    <w:rsid w:val="0082272F"/>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3AA"/>
    <w:rsid w:val="0083487F"/>
    <w:rsid w:val="0083527A"/>
    <w:rsid w:val="0083682F"/>
    <w:rsid w:val="00836BAC"/>
    <w:rsid w:val="00836E9F"/>
    <w:rsid w:val="008422BA"/>
    <w:rsid w:val="00843899"/>
    <w:rsid w:val="00843CAB"/>
    <w:rsid w:val="00844572"/>
    <w:rsid w:val="00844A8A"/>
    <w:rsid w:val="00844C17"/>
    <w:rsid w:val="008453E2"/>
    <w:rsid w:val="00846CF3"/>
    <w:rsid w:val="008478C9"/>
    <w:rsid w:val="00850378"/>
    <w:rsid w:val="0085069D"/>
    <w:rsid w:val="00850FA1"/>
    <w:rsid w:val="00851242"/>
    <w:rsid w:val="0085224E"/>
    <w:rsid w:val="00853D71"/>
    <w:rsid w:val="0085483B"/>
    <w:rsid w:val="00854D24"/>
    <w:rsid w:val="00856D83"/>
    <w:rsid w:val="008579EE"/>
    <w:rsid w:val="00860332"/>
    <w:rsid w:val="00860AE5"/>
    <w:rsid w:val="0086151F"/>
    <w:rsid w:val="00861B41"/>
    <w:rsid w:val="0086263E"/>
    <w:rsid w:val="00862802"/>
    <w:rsid w:val="00862B00"/>
    <w:rsid w:val="00863444"/>
    <w:rsid w:val="0086493E"/>
    <w:rsid w:val="00864EEF"/>
    <w:rsid w:val="008653A8"/>
    <w:rsid w:val="00870B5C"/>
    <w:rsid w:val="00871625"/>
    <w:rsid w:val="0087228D"/>
    <w:rsid w:val="0087266E"/>
    <w:rsid w:val="00873447"/>
    <w:rsid w:val="0087353E"/>
    <w:rsid w:val="0087364F"/>
    <w:rsid w:val="00873A24"/>
    <w:rsid w:val="00873E2B"/>
    <w:rsid w:val="008756DC"/>
    <w:rsid w:val="00875E52"/>
    <w:rsid w:val="00876089"/>
    <w:rsid w:val="00876B36"/>
    <w:rsid w:val="008772DD"/>
    <w:rsid w:val="0088252A"/>
    <w:rsid w:val="008828D4"/>
    <w:rsid w:val="008832BA"/>
    <w:rsid w:val="00883E7F"/>
    <w:rsid w:val="00883F52"/>
    <w:rsid w:val="00884DB2"/>
    <w:rsid w:val="00885F1C"/>
    <w:rsid w:val="00886419"/>
    <w:rsid w:val="00886B50"/>
    <w:rsid w:val="0088770E"/>
    <w:rsid w:val="0088780C"/>
    <w:rsid w:val="00887D67"/>
    <w:rsid w:val="00890FBD"/>
    <w:rsid w:val="00891B68"/>
    <w:rsid w:val="00891C05"/>
    <w:rsid w:val="008926F6"/>
    <w:rsid w:val="00892AB1"/>
    <w:rsid w:val="00892B70"/>
    <w:rsid w:val="00893FC6"/>
    <w:rsid w:val="008947E9"/>
    <w:rsid w:val="00894EDA"/>
    <w:rsid w:val="00895052"/>
    <w:rsid w:val="00895272"/>
    <w:rsid w:val="008957F8"/>
    <w:rsid w:val="00896250"/>
    <w:rsid w:val="0089648C"/>
    <w:rsid w:val="008970B5"/>
    <w:rsid w:val="008979EE"/>
    <w:rsid w:val="008A0746"/>
    <w:rsid w:val="008A0A7F"/>
    <w:rsid w:val="008A1115"/>
    <w:rsid w:val="008A148C"/>
    <w:rsid w:val="008A1822"/>
    <w:rsid w:val="008A22D1"/>
    <w:rsid w:val="008A269B"/>
    <w:rsid w:val="008A2F57"/>
    <w:rsid w:val="008A3E15"/>
    <w:rsid w:val="008A4639"/>
    <w:rsid w:val="008A596B"/>
    <w:rsid w:val="008A5B25"/>
    <w:rsid w:val="008A6459"/>
    <w:rsid w:val="008A74EC"/>
    <w:rsid w:val="008A7664"/>
    <w:rsid w:val="008A76EC"/>
    <w:rsid w:val="008A79A1"/>
    <w:rsid w:val="008B01B8"/>
    <w:rsid w:val="008B0DDF"/>
    <w:rsid w:val="008B0E12"/>
    <w:rsid w:val="008B1C69"/>
    <w:rsid w:val="008B217C"/>
    <w:rsid w:val="008B2651"/>
    <w:rsid w:val="008B454F"/>
    <w:rsid w:val="008B4F90"/>
    <w:rsid w:val="008B59B6"/>
    <w:rsid w:val="008B7387"/>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D08B7"/>
    <w:rsid w:val="008D1363"/>
    <w:rsid w:val="008D22A5"/>
    <w:rsid w:val="008D2FCD"/>
    <w:rsid w:val="008D38E5"/>
    <w:rsid w:val="008D4A25"/>
    <w:rsid w:val="008D6031"/>
    <w:rsid w:val="008D69A2"/>
    <w:rsid w:val="008D7223"/>
    <w:rsid w:val="008D7406"/>
    <w:rsid w:val="008D7C90"/>
    <w:rsid w:val="008E01B4"/>
    <w:rsid w:val="008E1121"/>
    <w:rsid w:val="008E3197"/>
    <w:rsid w:val="008E3388"/>
    <w:rsid w:val="008E41F0"/>
    <w:rsid w:val="008E49B6"/>
    <w:rsid w:val="008E537C"/>
    <w:rsid w:val="008E5A0C"/>
    <w:rsid w:val="008E5C42"/>
    <w:rsid w:val="008E6B2C"/>
    <w:rsid w:val="008E6E3B"/>
    <w:rsid w:val="008E78F9"/>
    <w:rsid w:val="008F0016"/>
    <w:rsid w:val="008F03C6"/>
    <w:rsid w:val="008F0EAA"/>
    <w:rsid w:val="008F0F76"/>
    <w:rsid w:val="008F1A1D"/>
    <w:rsid w:val="008F2101"/>
    <w:rsid w:val="008F344C"/>
    <w:rsid w:val="008F3B89"/>
    <w:rsid w:val="008F5CD8"/>
    <w:rsid w:val="008F6335"/>
    <w:rsid w:val="008F6820"/>
    <w:rsid w:val="008F6AFB"/>
    <w:rsid w:val="008F7D3B"/>
    <w:rsid w:val="008F7E44"/>
    <w:rsid w:val="00900309"/>
    <w:rsid w:val="009005C1"/>
    <w:rsid w:val="009022E4"/>
    <w:rsid w:val="00902846"/>
    <w:rsid w:val="00903341"/>
    <w:rsid w:val="00903361"/>
    <w:rsid w:val="0090407A"/>
    <w:rsid w:val="0090434C"/>
    <w:rsid w:val="009056D5"/>
    <w:rsid w:val="0090579A"/>
    <w:rsid w:val="009057D9"/>
    <w:rsid w:val="0090595D"/>
    <w:rsid w:val="009073C9"/>
    <w:rsid w:val="00907B0A"/>
    <w:rsid w:val="00907CB4"/>
    <w:rsid w:val="00907F8F"/>
    <w:rsid w:val="00910846"/>
    <w:rsid w:val="00911266"/>
    <w:rsid w:val="0091142E"/>
    <w:rsid w:val="0091153C"/>
    <w:rsid w:val="00911833"/>
    <w:rsid w:val="00911B6C"/>
    <w:rsid w:val="00912614"/>
    <w:rsid w:val="00912D00"/>
    <w:rsid w:val="009130B2"/>
    <w:rsid w:val="00913966"/>
    <w:rsid w:val="00913DE8"/>
    <w:rsid w:val="009141A0"/>
    <w:rsid w:val="0091421A"/>
    <w:rsid w:val="0091430F"/>
    <w:rsid w:val="00914CF9"/>
    <w:rsid w:val="00914FFD"/>
    <w:rsid w:val="009162D2"/>
    <w:rsid w:val="00916D90"/>
    <w:rsid w:val="00917DB9"/>
    <w:rsid w:val="00920C1C"/>
    <w:rsid w:val="0092121B"/>
    <w:rsid w:val="00921875"/>
    <w:rsid w:val="009247CD"/>
    <w:rsid w:val="00924923"/>
    <w:rsid w:val="00924DE1"/>
    <w:rsid w:val="009252F0"/>
    <w:rsid w:val="0092530D"/>
    <w:rsid w:val="00925B0A"/>
    <w:rsid w:val="00926141"/>
    <w:rsid w:val="0093046D"/>
    <w:rsid w:val="00930F0B"/>
    <w:rsid w:val="0093170E"/>
    <w:rsid w:val="0093174C"/>
    <w:rsid w:val="009318C2"/>
    <w:rsid w:val="00931AA4"/>
    <w:rsid w:val="00931FF7"/>
    <w:rsid w:val="00932196"/>
    <w:rsid w:val="009328E4"/>
    <w:rsid w:val="009334FD"/>
    <w:rsid w:val="00933510"/>
    <w:rsid w:val="0093362B"/>
    <w:rsid w:val="00933840"/>
    <w:rsid w:val="00933DF4"/>
    <w:rsid w:val="00936053"/>
    <w:rsid w:val="00936982"/>
    <w:rsid w:val="00936B91"/>
    <w:rsid w:val="00936FE9"/>
    <w:rsid w:val="009376FE"/>
    <w:rsid w:val="009377E0"/>
    <w:rsid w:val="0094061C"/>
    <w:rsid w:val="0094081A"/>
    <w:rsid w:val="00940842"/>
    <w:rsid w:val="0094134F"/>
    <w:rsid w:val="00941BDE"/>
    <w:rsid w:val="00941EE3"/>
    <w:rsid w:val="0094208F"/>
    <w:rsid w:val="009426C1"/>
    <w:rsid w:val="00942B5A"/>
    <w:rsid w:val="00943199"/>
    <w:rsid w:val="00943983"/>
    <w:rsid w:val="00946570"/>
    <w:rsid w:val="00947B3E"/>
    <w:rsid w:val="00947C9C"/>
    <w:rsid w:val="00950AE4"/>
    <w:rsid w:val="00952B56"/>
    <w:rsid w:val="00952BA9"/>
    <w:rsid w:val="00953C02"/>
    <w:rsid w:val="00953F8F"/>
    <w:rsid w:val="009559C3"/>
    <w:rsid w:val="00955B27"/>
    <w:rsid w:val="00956B9E"/>
    <w:rsid w:val="00956D16"/>
    <w:rsid w:val="0095715D"/>
    <w:rsid w:val="00957338"/>
    <w:rsid w:val="00957F8A"/>
    <w:rsid w:val="0096051D"/>
    <w:rsid w:val="009608A7"/>
    <w:rsid w:val="00961849"/>
    <w:rsid w:val="00961B66"/>
    <w:rsid w:val="00962F7A"/>
    <w:rsid w:val="00964268"/>
    <w:rsid w:val="00964928"/>
    <w:rsid w:val="00965876"/>
    <w:rsid w:val="00966892"/>
    <w:rsid w:val="00966CBF"/>
    <w:rsid w:val="00970706"/>
    <w:rsid w:val="00970C55"/>
    <w:rsid w:val="00971A9D"/>
    <w:rsid w:val="009755AC"/>
    <w:rsid w:val="00975819"/>
    <w:rsid w:val="00976EB3"/>
    <w:rsid w:val="0098056C"/>
    <w:rsid w:val="009806FB"/>
    <w:rsid w:val="00981E37"/>
    <w:rsid w:val="00981FBD"/>
    <w:rsid w:val="00982614"/>
    <w:rsid w:val="009835CB"/>
    <w:rsid w:val="00985A41"/>
    <w:rsid w:val="00986907"/>
    <w:rsid w:val="00987C25"/>
    <w:rsid w:val="00990841"/>
    <w:rsid w:val="00990CCD"/>
    <w:rsid w:val="00990FFA"/>
    <w:rsid w:val="009924FE"/>
    <w:rsid w:val="009925A8"/>
    <w:rsid w:val="009939A9"/>
    <w:rsid w:val="00993D46"/>
    <w:rsid w:val="00993D96"/>
    <w:rsid w:val="00994772"/>
    <w:rsid w:val="00994D90"/>
    <w:rsid w:val="00996590"/>
    <w:rsid w:val="0099701B"/>
    <w:rsid w:val="0099756A"/>
    <w:rsid w:val="0099759B"/>
    <w:rsid w:val="009A0F29"/>
    <w:rsid w:val="009A1946"/>
    <w:rsid w:val="009A26BD"/>
    <w:rsid w:val="009A281D"/>
    <w:rsid w:val="009A34F6"/>
    <w:rsid w:val="009A3796"/>
    <w:rsid w:val="009A38C9"/>
    <w:rsid w:val="009A3F3E"/>
    <w:rsid w:val="009A442F"/>
    <w:rsid w:val="009A57E1"/>
    <w:rsid w:val="009A59EF"/>
    <w:rsid w:val="009A60D1"/>
    <w:rsid w:val="009A616D"/>
    <w:rsid w:val="009A7975"/>
    <w:rsid w:val="009A7DEC"/>
    <w:rsid w:val="009B02F0"/>
    <w:rsid w:val="009B0757"/>
    <w:rsid w:val="009B09B4"/>
    <w:rsid w:val="009B0E20"/>
    <w:rsid w:val="009B1048"/>
    <w:rsid w:val="009B1D1B"/>
    <w:rsid w:val="009B23A3"/>
    <w:rsid w:val="009B273A"/>
    <w:rsid w:val="009B28AB"/>
    <w:rsid w:val="009B3AAD"/>
    <w:rsid w:val="009B4040"/>
    <w:rsid w:val="009B4A66"/>
    <w:rsid w:val="009B51B7"/>
    <w:rsid w:val="009B53CE"/>
    <w:rsid w:val="009B59C5"/>
    <w:rsid w:val="009B5CE0"/>
    <w:rsid w:val="009B5DDA"/>
    <w:rsid w:val="009B6C97"/>
    <w:rsid w:val="009B7E80"/>
    <w:rsid w:val="009C0DEC"/>
    <w:rsid w:val="009C0F0F"/>
    <w:rsid w:val="009C115E"/>
    <w:rsid w:val="009C2337"/>
    <w:rsid w:val="009C2392"/>
    <w:rsid w:val="009C2EC1"/>
    <w:rsid w:val="009C3377"/>
    <w:rsid w:val="009C3FA6"/>
    <w:rsid w:val="009C453C"/>
    <w:rsid w:val="009C5BE4"/>
    <w:rsid w:val="009C5C80"/>
    <w:rsid w:val="009C758C"/>
    <w:rsid w:val="009D0974"/>
    <w:rsid w:val="009D1656"/>
    <w:rsid w:val="009D1C4F"/>
    <w:rsid w:val="009D1E01"/>
    <w:rsid w:val="009D2209"/>
    <w:rsid w:val="009D30DD"/>
    <w:rsid w:val="009D36F3"/>
    <w:rsid w:val="009D377B"/>
    <w:rsid w:val="009D3C90"/>
    <w:rsid w:val="009D44CC"/>
    <w:rsid w:val="009D4814"/>
    <w:rsid w:val="009D52E6"/>
    <w:rsid w:val="009D5447"/>
    <w:rsid w:val="009D6B7A"/>
    <w:rsid w:val="009D6FA2"/>
    <w:rsid w:val="009D7EB6"/>
    <w:rsid w:val="009E029B"/>
    <w:rsid w:val="009E0EBB"/>
    <w:rsid w:val="009E0F8C"/>
    <w:rsid w:val="009E1B7F"/>
    <w:rsid w:val="009E1D40"/>
    <w:rsid w:val="009E234D"/>
    <w:rsid w:val="009E2628"/>
    <w:rsid w:val="009E26CF"/>
    <w:rsid w:val="009E338E"/>
    <w:rsid w:val="009E3ED0"/>
    <w:rsid w:val="009E4298"/>
    <w:rsid w:val="009E5098"/>
    <w:rsid w:val="009E59FB"/>
    <w:rsid w:val="009E6729"/>
    <w:rsid w:val="009E67DC"/>
    <w:rsid w:val="009F08EC"/>
    <w:rsid w:val="009F1C12"/>
    <w:rsid w:val="009F1F89"/>
    <w:rsid w:val="009F246B"/>
    <w:rsid w:val="009F2B82"/>
    <w:rsid w:val="009F32AD"/>
    <w:rsid w:val="009F3CC7"/>
    <w:rsid w:val="009F430D"/>
    <w:rsid w:val="009F5C3B"/>
    <w:rsid w:val="009F5CE2"/>
    <w:rsid w:val="009F60BB"/>
    <w:rsid w:val="009F627B"/>
    <w:rsid w:val="009F6A85"/>
    <w:rsid w:val="009F6ECA"/>
    <w:rsid w:val="009F6F0E"/>
    <w:rsid w:val="009F6F89"/>
    <w:rsid w:val="009F7156"/>
    <w:rsid w:val="009F755D"/>
    <w:rsid w:val="009F75EB"/>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1040A"/>
    <w:rsid w:val="00A10A0E"/>
    <w:rsid w:val="00A10B54"/>
    <w:rsid w:val="00A110EB"/>
    <w:rsid w:val="00A114F1"/>
    <w:rsid w:val="00A11E48"/>
    <w:rsid w:val="00A13768"/>
    <w:rsid w:val="00A140D9"/>
    <w:rsid w:val="00A14E95"/>
    <w:rsid w:val="00A151AA"/>
    <w:rsid w:val="00A151D8"/>
    <w:rsid w:val="00A155F9"/>
    <w:rsid w:val="00A158CE"/>
    <w:rsid w:val="00A16023"/>
    <w:rsid w:val="00A16D8B"/>
    <w:rsid w:val="00A16D98"/>
    <w:rsid w:val="00A20ABC"/>
    <w:rsid w:val="00A20E3C"/>
    <w:rsid w:val="00A2131D"/>
    <w:rsid w:val="00A22F37"/>
    <w:rsid w:val="00A22F7F"/>
    <w:rsid w:val="00A24255"/>
    <w:rsid w:val="00A24B0A"/>
    <w:rsid w:val="00A30566"/>
    <w:rsid w:val="00A30C89"/>
    <w:rsid w:val="00A30CFA"/>
    <w:rsid w:val="00A31B14"/>
    <w:rsid w:val="00A321A0"/>
    <w:rsid w:val="00A3302A"/>
    <w:rsid w:val="00A335BE"/>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219"/>
    <w:rsid w:val="00A464D7"/>
    <w:rsid w:val="00A46D7A"/>
    <w:rsid w:val="00A47021"/>
    <w:rsid w:val="00A5010E"/>
    <w:rsid w:val="00A50314"/>
    <w:rsid w:val="00A51368"/>
    <w:rsid w:val="00A528B9"/>
    <w:rsid w:val="00A545F5"/>
    <w:rsid w:val="00A549BF"/>
    <w:rsid w:val="00A5516C"/>
    <w:rsid w:val="00A55657"/>
    <w:rsid w:val="00A557F7"/>
    <w:rsid w:val="00A559B5"/>
    <w:rsid w:val="00A56956"/>
    <w:rsid w:val="00A56D8D"/>
    <w:rsid w:val="00A577D5"/>
    <w:rsid w:val="00A601D0"/>
    <w:rsid w:val="00A61103"/>
    <w:rsid w:val="00A623C0"/>
    <w:rsid w:val="00A62EDA"/>
    <w:rsid w:val="00A6317C"/>
    <w:rsid w:val="00A633BB"/>
    <w:rsid w:val="00A63DCD"/>
    <w:rsid w:val="00A65261"/>
    <w:rsid w:val="00A65420"/>
    <w:rsid w:val="00A656FE"/>
    <w:rsid w:val="00A660FA"/>
    <w:rsid w:val="00A66440"/>
    <w:rsid w:val="00A66D4F"/>
    <w:rsid w:val="00A67653"/>
    <w:rsid w:val="00A67BFF"/>
    <w:rsid w:val="00A7176F"/>
    <w:rsid w:val="00A717A5"/>
    <w:rsid w:val="00A72300"/>
    <w:rsid w:val="00A728CA"/>
    <w:rsid w:val="00A742A3"/>
    <w:rsid w:val="00A747C2"/>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4D7F"/>
    <w:rsid w:val="00A85441"/>
    <w:rsid w:val="00A865C3"/>
    <w:rsid w:val="00A86C53"/>
    <w:rsid w:val="00A87819"/>
    <w:rsid w:val="00A87B90"/>
    <w:rsid w:val="00A87F3D"/>
    <w:rsid w:val="00A90008"/>
    <w:rsid w:val="00A90823"/>
    <w:rsid w:val="00A90D97"/>
    <w:rsid w:val="00A92474"/>
    <w:rsid w:val="00A92E22"/>
    <w:rsid w:val="00A94E86"/>
    <w:rsid w:val="00A95690"/>
    <w:rsid w:val="00A9597B"/>
    <w:rsid w:val="00A97E24"/>
    <w:rsid w:val="00A97E60"/>
    <w:rsid w:val="00AA04C2"/>
    <w:rsid w:val="00AA0ED7"/>
    <w:rsid w:val="00AA15B2"/>
    <w:rsid w:val="00AA16E5"/>
    <w:rsid w:val="00AA391B"/>
    <w:rsid w:val="00AA4100"/>
    <w:rsid w:val="00AA41CA"/>
    <w:rsid w:val="00AA4CDE"/>
    <w:rsid w:val="00AA57B6"/>
    <w:rsid w:val="00AA57EC"/>
    <w:rsid w:val="00AA5854"/>
    <w:rsid w:val="00AA615C"/>
    <w:rsid w:val="00AA6470"/>
    <w:rsid w:val="00AA71C7"/>
    <w:rsid w:val="00AB0D0B"/>
    <w:rsid w:val="00AB236A"/>
    <w:rsid w:val="00AB2B01"/>
    <w:rsid w:val="00AB33AF"/>
    <w:rsid w:val="00AB3CE9"/>
    <w:rsid w:val="00AB3CF3"/>
    <w:rsid w:val="00AB4832"/>
    <w:rsid w:val="00AB4B01"/>
    <w:rsid w:val="00AB56D3"/>
    <w:rsid w:val="00AB5A8C"/>
    <w:rsid w:val="00AB5AF9"/>
    <w:rsid w:val="00AB6DBA"/>
    <w:rsid w:val="00AB705F"/>
    <w:rsid w:val="00AB7B88"/>
    <w:rsid w:val="00AB7D64"/>
    <w:rsid w:val="00AB7E8B"/>
    <w:rsid w:val="00AC009A"/>
    <w:rsid w:val="00AC115C"/>
    <w:rsid w:val="00AC1E74"/>
    <w:rsid w:val="00AC251F"/>
    <w:rsid w:val="00AC268C"/>
    <w:rsid w:val="00AC2B16"/>
    <w:rsid w:val="00AC2EFD"/>
    <w:rsid w:val="00AC33CE"/>
    <w:rsid w:val="00AC3DCA"/>
    <w:rsid w:val="00AC3E1D"/>
    <w:rsid w:val="00AC4624"/>
    <w:rsid w:val="00AC5069"/>
    <w:rsid w:val="00AC51A0"/>
    <w:rsid w:val="00AC68BB"/>
    <w:rsid w:val="00AC7CFE"/>
    <w:rsid w:val="00AD2031"/>
    <w:rsid w:val="00AD2DEE"/>
    <w:rsid w:val="00AD3E48"/>
    <w:rsid w:val="00AD43D2"/>
    <w:rsid w:val="00AD68B6"/>
    <w:rsid w:val="00AD7064"/>
    <w:rsid w:val="00AD7929"/>
    <w:rsid w:val="00AD7F2F"/>
    <w:rsid w:val="00AE1104"/>
    <w:rsid w:val="00AE17D7"/>
    <w:rsid w:val="00AE2933"/>
    <w:rsid w:val="00AE3266"/>
    <w:rsid w:val="00AE3D17"/>
    <w:rsid w:val="00AE4C27"/>
    <w:rsid w:val="00AE5DA6"/>
    <w:rsid w:val="00AE6F20"/>
    <w:rsid w:val="00AE77E5"/>
    <w:rsid w:val="00AE7A43"/>
    <w:rsid w:val="00AF24FC"/>
    <w:rsid w:val="00AF293D"/>
    <w:rsid w:val="00AF38F0"/>
    <w:rsid w:val="00AF3BFF"/>
    <w:rsid w:val="00AF50B5"/>
    <w:rsid w:val="00AF5719"/>
    <w:rsid w:val="00AF5971"/>
    <w:rsid w:val="00AF5F03"/>
    <w:rsid w:val="00AF7D2C"/>
    <w:rsid w:val="00B00794"/>
    <w:rsid w:val="00B00BCF"/>
    <w:rsid w:val="00B01228"/>
    <w:rsid w:val="00B0131F"/>
    <w:rsid w:val="00B0136A"/>
    <w:rsid w:val="00B013C5"/>
    <w:rsid w:val="00B01C29"/>
    <w:rsid w:val="00B03E22"/>
    <w:rsid w:val="00B057FE"/>
    <w:rsid w:val="00B07894"/>
    <w:rsid w:val="00B07B9B"/>
    <w:rsid w:val="00B07BA2"/>
    <w:rsid w:val="00B07FD3"/>
    <w:rsid w:val="00B10D58"/>
    <w:rsid w:val="00B10F35"/>
    <w:rsid w:val="00B1250F"/>
    <w:rsid w:val="00B12C42"/>
    <w:rsid w:val="00B13ED3"/>
    <w:rsid w:val="00B14330"/>
    <w:rsid w:val="00B14EF0"/>
    <w:rsid w:val="00B16F4B"/>
    <w:rsid w:val="00B176FB"/>
    <w:rsid w:val="00B17876"/>
    <w:rsid w:val="00B17CE7"/>
    <w:rsid w:val="00B17F51"/>
    <w:rsid w:val="00B210F1"/>
    <w:rsid w:val="00B2156F"/>
    <w:rsid w:val="00B22236"/>
    <w:rsid w:val="00B22733"/>
    <w:rsid w:val="00B228A1"/>
    <w:rsid w:val="00B231AD"/>
    <w:rsid w:val="00B23EAC"/>
    <w:rsid w:val="00B25063"/>
    <w:rsid w:val="00B25158"/>
    <w:rsid w:val="00B25FE5"/>
    <w:rsid w:val="00B26A73"/>
    <w:rsid w:val="00B27746"/>
    <w:rsid w:val="00B27A58"/>
    <w:rsid w:val="00B31A6D"/>
    <w:rsid w:val="00B322F9"/>
    <w:rsid w:val="00B348AF"/>
    <w:rsid w:val="00B35230"/>
    <w:rsid w:val="00B35278"/>
    <w:rsid w:val="00B3527D"/>
    <w:rsid w:val="00B35E3C"/>
    <w:rsid w:val="00B3601F"/>
    <w:rsid w:val="00B3669B"/>
    <w:rsid w:val="00B36DA7"/>
    <w:rsid w:val="00B370EC"/>
    <w:rsid w:val="00B4172C"/>
    <w:rsid w:val="00B41CD0"/>
    <w:rsid w:val="00B41EA8"/>
    <w:rsid w:val="00B423F4"/>
    <w:rsid w:val="00B43360"/>
    <w:rsid w:val="00B43A1E"/>
    <w:rsid w:val="00B47004"/>
    <w:rsid w:val="00B478C1"/>
    <w:rsid w:val="00B50C4B"/>
    <w:rsid w:val="00B51C0E"/>
    <w:rsid w:val="00B52C6B"/>
    <w:rsid w:val="00B533EF"/>
    <w:rsid w:val="00B53416"/>
    <w:rsid w:val="00B5350A"/>
    <w:rsid w:val="00B53634"/>
    <w:rsid w:val="00B54DCE"/>
    <w:rsid w:val="00B55362"/>
    <w:rsid w:val="00B57D6D"/>
    <w:rsid w:val="00B57E51"/>
    <w:rsid w:val="00B6026F"/>
    <w:rsid w:val="00B6036E"/>
    <w:rsid w:val="00B61589"/>
    <w:rsid w:val="00B61A20"/>
    <w:rsid w:val="00B61D55"/>
    <w:rsid w:val="00B641F2"/>
    <w:rsid w:val="00B64620"/>
    <w:rsid w:val="00B64A91"/>
    <w:rsid w:val="00B64F6C"/>
    <w:rsid w:val="00B65647"/>
    <w:rsid w:val="00B65CB0"/>
    <w:rsid w:val="00B66676"/>
    <w:rsid w:val="00B666B5"/>
    <w:rsid w:val="00B6691B"/>
    <w:rsid w:val="00B66F74"/>
    <w:rsid w:val="00B6787B"/>
    <w:rsid w:val="00B6788A"/>
    <w:rsid w:val="00B704C3"/>
    <w:rsid w:val="00B70555"/>
    <w:rsid w:val="00B707E0"/>
    <w:rsid w:val="00B7296B"/>
    <w:rsid w:val="00B74445"/>
    <w:rsid w:val="00B74AF4"/>
    <w:rsid w:val="00B74C34"/>
    <w:rsid w:val="00B7504F"/>
    <w:rsid w:val="00B75765"/>
    <w:rsid w:val="00B76124"/>
    <w:rsid w:val="00B765C7"/>
    <w:rsid w:val="00B76B39"/>
    <w:rsid w:val="00B77CBB"/>
    <w:rsid w:val="00B80048"/>
    <w:rsid w:val="00B801DD"/>
    <w:rsid w:val="00B80285"/>
    <w:rsid w:val="00B804B8"/>
    <w:rsid w:val="00B80C35"/>
    <w:rsid w:val="00B80F56"/>
    <w:rsid w:val="00B8112F"/>
    <w:rsid w:val="00B81A50"/>
    <w:rsid w:val="00B81D05"/>
    <w:rsid w:val="00B82D24"/>
    <w:rsid w:val="00B831A8"/>
    <w:rsid w:val="00B8325F"/>
    <w:rsid w:val="00B86649"/>
    <w:rsid w:val="00B86C54"/>
    <w:rsid w:val="00B86E77"/>
    <w:rsid w:val="00B87880"/>
    <w:rsid w:val="00B90865"/>
    <w:rsid w:val="00B91101"/>
    <w:rsid w:val="00B9118A"/>
    <w:rsid w:val="00B9175F"/>
    <w:rsid w:val="00B91DE6"/>
    <w:rsid w:val="00B92AA3"/>
    <w:rsid w:val="00B92C75"/>
    <w:rsid w:val="00B9452E"/>
    <w:rsid w:val="00B952AF"/>
    <w:rsid w:val="00B956AB"/>
    <w:rsid w:val="00B9570C"/>
    <w:rsid w:val="00B96623"/>
    <w:rsid w:val="00BA07AE"/>
    <w:rsid w:val="00BA0A4B"/>
    <w:rsid w:val="00BA108E"/>
    <w:rsid w:val="00BA1666"/>
    <w:rsid w:val="00BA1717"/>
    <w:rsid w:val="00BA2031"/>
    <w:rsid w:val="00BA2399"/>
    <w:rsid w:val="00BA29E7"/>
    <w:rsid w:val="00BA2FE6"/>
    <w:rsid w:val="00BA42AB"/>
    <w:rsid w:val="00BA43C5"/>
    <w:rsid w:val="00BA48C6"/>
    <w:rsid w:val="00BA6387"/>
    <w:rsid w:val="00BA650F"/>
    <w:rsid w:val="00BA7142"/>
    <w:rsid w:val="00BA7A37"/>
    <w:rsid w:val="00BA7CDE"/>
    <w:rsid w:val="00BB051B"/>
    <w:rsid w:val="00BB06DC"/>
    <w:rsid w:val="00BB0D9B"/>
    <w:rsid w:val="00BB0F79"/>
    <w:rsid w:val="00BB17C2"/>
    <w:rsid w:val="00BB1F7B"/>
    <w:rsid w:val="00BB2FD2"/>
    <w:rsid w:val="00BB3BB7"/>
    <w:rsid w:val="00BB3CE0"/>
    <w:rsid w:val="00BB4A02"/>
    <w:rsid w:val="00BB4ECC"/>
    <w:rsid w:val="00BB5C87"/>
    <w:rsid w:val="00BB66E9"/>
    <w:rsid w:val="00BB724B"/>
    <w:rsid w:val="00BC0785"/>
    <w:rsid w:val="00BC0A65"/>
    <w:rsid w:val="00BC0AA2"/>
    <w:rsid w:val="00BC24A4"/>
    <w:rsid w:val="00BC32BA"/>
    <w:rsid w:val="00BC378D"/>
    <w:rsid w:val="00BC45B8"/>
    <w:rsid w:val="00BC4833"/>
    <w:rsid w:val="00BC566B"/>
    <w:rsid w:val="00BC5C8C"/>
    <w:rsid w:val="00BC6FF7"/>
    <w:rsid w:val="00BC7BE0"/>
    <w:rsid w:val="00BC7E9A"/>
    <w:rsid w:val="00BD0044"/>
    <w:rsid w:val="00BD0792"/>
    <w:rsid w:val="00BD0CA1"/>
    <w:rsid w:val="00BD12A8"/>
    <w:rsid w:val="00BD142C"/>
    <w:rsid w:val="00BD244D"/>
    <w:rsid w:val="00BD3E3A"/>
    <w:rsid w:val="00BD4340"/>
    <w:rsid w:val="00BD548A"/>
    <w:rsid w:val="00BD6621"/>
    <w:rsid w:val="00BD742E"/>
    <w:rsid w:val="00BD7EFF"/>
    <w:rsid w:val="00BE05B2"/>
    <w:rsid w:val="00BE0973"/>
    <w:rsid w:val="00BE0CF7"/>
    <w:rsid w:val="00BE0F42"/>
    <w:rsid w:val="00BE0FCD"/>
    <w:rsid w:val="00BE1E93"/>
    <w:rsid w:val="00BE2033"/>
    <w:rsid w:val="00BE360C"/>
    <w:rsid w:val="00BE3A01"/>
    <w:rsid w:val="00BE437C"/>
    <w:rsid w:val="00BE5338"/>
    <w:rsid w:val="00BE5ABB"/>
    <w:rsid w:val="00BE7C8A"/>
    <w:rsid w:val="00BF0606"/>
    <w:rsid w:val="00BF24E9"/>
    <w:rsid w:val="00BF2808"/>
    <w:rsid w:val="00BF32FE"/>
    <w:rsid w:val="00BF340D"/>
    <w:rsid w:val="00BF348B"/>
    <w:rsid w:val="00BF3985"/>
    <w:rsid w:val="00BF3B6D"/>
    <w:rsid w:val="00BF5B8D"/>
    <w:rsid w:val="00BF6891"/>
    <w:rsid w:val="00C0003C"/>
    <w:rsid w:val="00C00B81"/>
    <w:rsid w:val="00C02429"/>
    <w:rsid w:val="00C02DAE"/>
    <w:rsid w:val="00C03534"/>
    <w:rsid w:val="00C03879"/>
    <w:rsid w:val="00C04FE0"/>
    <w:rsid w:val="00C05E3F"/>
    <w:rsid w:val="00C06D65"/>
    <w:rsid w:val="00C07037"/>
    <w:rsid w:val="00C102BD"/>
    <w:rsid w:val="00C10B40"/>
    <w:rsid w:val="00C11E6D"/>
    <w:rsid w:val="00C120AE"/>
    <w:rsid w:val="00C12BF8"/>
    <w:rsid w:val="00C130C4"/>
    <w:rsid w:val="00C137FC"/>
    <w:rsid w:val="00C13A51"/>
    <w:rsid w:val="00C13B24"/>
    <w:rsid w:val="00C14322"/>
    <w:rsid w:val="00C149B7"/>
    <w:rsid w:val="00C1552D"/>
    <w:rsid w:val="00C1560F"/>
    <w:rsid w:val="00C16714"/>
    <w:rsid w:val="00C1799A"/>
    <w:rsid w:val="00C17B94"/>
    <w:rsid w:val="00C17EFE"/>
    <w:rsid w:val="00C2025C"/>
    <w:rsid w:val="00C2141E"/>
    <w:rsid w:val="00C22047"/>
    <w:rsid w:val="00C22084"/>
    <w:rsid w:val="00C2278C"/>
    <w:rsid w:val="00C22AC6"/>
    <w:rsid w:val="00C22D37"/>
    <w:rsid w:val="00C23156"/>
    <w:rsid w:val="00C23198"/>
    <w:rsid w:val="00C2357E"/>
    <w:rsid w:val="00C23ECA"/>
    <w:rsid w:val="00C24909"/>
    <w:rsid w:val="00C24F92"/>
    <w:rsid w:val="00C25BDC"/>
    <w:rsid w:val="00C25D7C"/>
    <w:rsid w:val="00C2603C"/>
    <w:rsid w:val="00C26508"/>
    <w:rsid w:val="00C26C86"/>
    <w:rsid w:val="00C27F73"/>
    <w:rsid w:val="00C30B52"/>
    <w:rsid w:val="00C30DC7"/>
    <w:rsid w:val="00C317D8"/>
    <w:rsid w:val="00C327A1"/>
    <w:rsid w:val="00C33402"/>
    <w:rsid w:val="00C3373A"/>
    <w:rsid w:val="00C351F7"/>
    <w:rsid w:val="00C35808"/>
    <w:rsid w:val="00C3646A"/>
    <w:rsid w:val="00C36C0D"/>
    <w:rsid w:val="00C37CB5"/>
    <w:rsid w:val="00C37F0E"/>
    <w:rsid w:val="00C408CB"/>
    <w:rsid w:val="00C40B54"/>
    <w:rsid w:val="00C42E15"/>
    <w:rsid w:val="00C44861"/>
    <w:rsid w:val="00C44A80"/>
    <w:rsid w:val="00C45663"/>
    <w:rsid w:val="00C45B84"/>
    <w:rsid w:val="00C46043"/>
    <w:rsid w:val="00C46351"/>
    <w:rsid w:val="00C46787"/>
    <w:rsid w:val="00C473A1"/>
    <w:rsid w:val="00C4750A"/>
    <w:rsid w:val="00C47619"/>
    <w:rsid w:val="00C47A81"/>
    <w:rsid w:val="00C47AAA"/>
    <w:rsid w:val="00C509D7"/>
    <w:rsid w:val="00C515AD"/>
    <w:rsid w:val="00C518DA"/>
    <w:rsid w:val="00C524E3"/>
    <w:rsid w:val="00C55089"/>
    <w:rsid w:val="00C551B0"/>
    <w:rsid w:val="00C5688F"/>
    <w:rsid w:val="00C5790E"/>
    <w:rsid w:val="00C57BEF"/>
    <w:rsid w:val="00C609A9"/>
    <w:rsid w:val="00C61382"/>
    <w:rsid w:val="00C61527"/>
    <w:rsid w:val="00C61820"/>
    <w:rsid w:val="00C6254E"/>
    <w:rsid w:val="00C62981"/>
    <w:rsid w:val="00C6388C"/>
    <w:rsid w:val="00C6484A"/>
    <w:rsid w:val="00C66F98"/>
    <w:rsid w:val="00C678A9"/>
    <w:rsid w:val="00C67A21"/>
    <w:rsid w:val="00C67A72"/>
    <w:rsid w:val="00C712EC"/>
    <w:rsid w:val="00C71A04"/>
    <w:rsid w:val="00C71E0B"/>
    <w:rsid w:val="00C71E4E"/>
    <w:rsid w:val="00C72596"/>
    <w:rsid w:val="00C72D58"/>
    <w:rsid w:val="00C73E94"/>
    <w:rsid w:val="00C7469B"/>
    <w:rsid w:val="00C74923"/>
    <w:rsid w:val="00C758BC"/>
    <w:rsid w:val="00C76610"/>
    <w:rsid w:val="00C773BC"/>
    <w:rsid w:val="00C77E1D"/>
    <w:rsid w:val="00C77FED"/>
    <w:rsid w:val="00C80DD2"/>
    <w:rsid w:val="00C81295"/>
    <w:rsid w:val="00C81889"/>
    <w:rsid w:val="00C818A5"/>
    <w:rsid w:val="00C81B6C"/>
    <w:rsid w:val="00C81C54"/>
    <w:rsid w:val="00C82729"/>
    <w:rsid w:val="00C8287A"/>
    <w:rsid w:val="00C82F95"/>
    <w:rsid w:val="00C83B0C"/>
    <w:rsid w:val="00C85457"/>
    <w:rsid w:val="00C873D5"/>
    <w:rsid w:val="00C87AA7"/>
    <w:rsid w:val="00C916AA"/>
    <w:rsid w:val="00C92CE9"/>
    <w:rsid w:val="00C94E01"/>
    <w:rsid w:val="00C94FE6"/>
    <w:rsid w:val="00C954AD"/>
    <w:rsid w:val="00C95DA4"/>
    <w:rsid w:val="00C962FF"/>
    <w:rsid w:val="00C96673"/>
    <w:rsid w:val="00C97EF3"/>
    <w:rsid w:val="00CA06D2"/>
    <w:rsid w:val="00CA13A1"/>
    <w:rsid w:val="00CA1820"/>
    <w:rsid w:val="00CA511D"/>
    <w:rsid w:val="00CA7924"/>
    <w:rsid w:val="00CA7CDC"/>
    <w:rsid w:val="00CB0DF8"/>
    <w:rsid w:val="00CB188B"/>
    <w:rsid w:val="00CB2201"/>
    <w:rsid w:val="00CB2423"/>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142E"/>
    <w:rsid w:val="00CC1739"/>
    <w:rsid w:val="00CC2C6E"/>
    <w:rsid w:val="00CC2E3F"/>
    <w:rsid w:val="00CC3BE9"/>
    <w:rsid w:val="00CC3DCA"/>
    <w:rsid w:val="00CC405D"/>
    <w:rsid w:val="00CC47EA"/>
    <w:rsid w:val="00CC4F88"/>
    <w:rsid w:val="00CD1A76"/>
    <w:rsid w:val="00CD2A6B"/>
    <w:rsid w:val="00CD30D8"/>
    <w:rsid w:val="00CD340C"/>
    <w:rsid w:val="00CD3832"/>
    <w:rsid w:val="00CD3C20"/>
    <w:rsid w:val="00CD3E71"/>
    <w:rsid w:val="00CD44F4"/>
    <w:rsid w:val="00CD5398"/>
    <w:rsid w:val="00CD597B"/>
    <w:rsid w:val="00CD66A7"/>
    <w:rsid w:val="00CD66AE"/>
    <w:rsid w:val="00CD67E8"/>
    <w:rsid w:val="00CD7FBA"/>
    <w:rsid w:val="00CE0456"/>
    <w:rsid w:val="00CE0DC7"/>
    <w:rsid w:val="00CE11A0"/>
    <w:rsid w:val="00CE1655"/>
    <w:rsid w:val="00CE3021"/>
    <w:rsid w:val="00CE3E9E"/>
    <w:rsid w:val="00CE4634"/>
    <w:rsid w:val="00CE50C3"/>
    <w:rsid w:val="00CE7296"/>
    <w:rsid w:val="00CE78C5"/>
    <w:rsid w:val="00CE7D7C"/>
    <w:rsid w:val="00CF1887"/>
    <w:rsid w:val="00CF19F5"/>
    <w:rsid w:val="00CF2C91"/>
    <w:rsid w:val="00CF2E75"/>
    <w:rsid w:val="00CF3AF2"/>
    <w:rsid w:val="00CF430B"/>
    <w:rsid w:val="00CF49E0"/>
    <w:rsid w:val="00CF5396"/>
    <w:rsid w:val="00CF5AA1"/>
    <w:rsid w:val="00CF7247"/>
    <w:rsid w:val="00CF781E"/>
    <w:rsid w:val="00D006B1"/>
    <w:rsid w:val="00D012A1"/>
    <w:rsid w:val="00D01738"/>
    <w:rsid w:val="00D0234E"/>
    <w:rsid w:val="00D02AF2"/>
    <w:rsid w:val="00D02F67"/>
    <w:rsid w:val="00D03527"/>
    <w:rsid w:val="00D035F5"/>
    <w:rsid w:val="00D039C6"/>
    <w:rsid w:val="00D042D7"/>
    <w:rsid w:val="00D04E57"/>
    <w:rsid w:val="00D05426"/>
    <w:rsid w:val="00D05860"/>
    <w:rsid w:val="00D07574"/>
    <w:rsid w:val="00D07F01"/>
    <w:rsid w:val="00D10236"/>
    <w:rsid w:val="00D10D8B"/>
    <w:rsid w:val="00D1189A"/>
    <w:rsid w:val="00D11D18"/>
    <w:rsid w:val="00D13B9A"/>
    <w:rsid w:val="00D141C3"/>
    <w:rsid w:val="00D14E78"/>
    <w:rsid w:val="00D16886"/>
    <w:rsid w:val="00D171F0"/>
    <w:rsid w:val="00D17743"/>
    <w:rsid w:val="00D17BFE"/>
    <w:rsid w:val="00D17C2B"/>
    <w:rsid w:val="00D20D5B"/>
    <w:rsid w:val="00D21A57"/>
    <w:rsid w:val="00D222FB"/>
    <w:rsid w:val="00D22446"/>
    <w:rsid w:val="00D22E3F"/>
    <w:rsid w:val="00D23181"/>
    <w:rsid w:val="00D241F8"/>
    <w:rsid w:val="00D24499"/>
    <w:rsid w:val="00D250F7"/>
    <w:rsid w:val="00D25922"/>
    <w:rsid w:val="00D30454"/>
    <w:rsid w:val="00D30A99"/>
    <w:rsid w:val="00D30E78"/>
    <w:rsid w:val="00D319BB"/>
    <w:rsid w:val="00D32458"/>
    <w:rsid w:val="00D32A89"/>
    <w:rsid w:val="00D333A8"/>
    <w:rsid w:val="00D33831"/>
    <w:rsid w:val="00D340AB"/>
    <w:rsid w:val="00D3520D"/>
    <w:rsid w:val="00D40B0E"/>
    <w:rsid w:val="00D416BD"/>
    <w:rsid w:val="00D42075"/>
    <w:rsid w:val="00D43C6D"/>
    <w:rsid w:val="00D44004"/>
    <w:rsid w:val="00D448FA"/>
    <w:rsid w:val="00D456F9"/>
    <w:rsid w:val="00D46218"/>
    <w:rsid w:val="00D47A53"/>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56FCE"/>
    <w:rsid w:val="00D61AC9"/>
    <w:rsid w:val="00D61BA2"/>
    <w:rsid w:val="00D63001"/>
    <w:rsid w:val="00D63D5C"/>
    <w:rsid w:val="00D64136"/>
    <w:rsid w:val="00D641C7"/>
    <w:rsid w:val="00D66120"/>
    <w:rsid w:val="00D66412"/>
    <w:rsid w:val="00D66C7F"/>
    <w:rsid w:val="00D67831"/>
    <w:rsid w:val="00D706A3"/>
    <w:rsid w:val="00D721DE"/>
    <w:rsid w:val="00D7348F"/>
    <w:rsid w:val="00D73605"/>
    <w:rsid w:val="00D73776"/>
    <w:rsid w:val="00D741F6"/>
    <w:rsid w:val="00D74A7D"/>
    <w:rsid w:val="00D75699"/>
    <w:rsid w:val="00D75861"/>
    <w:rsid w:val="00D76211"/>
    <w:rsid w:val="00D77A97"/>
    <w:rsid w:val="00D8016C"/>
    <w:rsid w:val="00D80538"/>
    <w:rsid w:val="00D8057A"/>
    <w:rsid w:val="00D814B8"/>
    <w:rsid w:val="00D815AD"/>
    <w:rsid w:val="00D81627"/>
    <w:rsid w:val="00D8171C"/>
    <w:rsid w:val="00D81ACF"/>
    <w:rsid w:val="00D81CBF"/>
    <w:rsid w:val="00D8321C"/>
    <w:rsid w:val="00D834E0"/>
    <w:rsid w:val="00D84B8D"/>
    <w:rsid w:val="00D84E39"/>
    <w:rsid w:val="00D84FA2"/>
    <w:rsid w:val="00D8544F"/>
    <w:rsid w:val="00D8583B"/>
    <w:rsid w:val="00D85AA3"/>
    <w:rsid w:val="00D86BF0"/>
    <w:rsid w:val="00D9080F"/>
    <w:rsid w:val="00D90A88"/>
    <w:rsid w:val="00D9158E"/>
    <w:rsid w:val="00D91865"/>
    <w:rsid w:val="00D918D0"/>
    <w:rsid w:val="00D92146"/>
    <w:rsid w:val="00D928B6"/>
    <w:rsid w:val="00D92C0E"/>
    <w:rsid w:val="00D94026"/>
    <w:rsid w:val="00D94222"/>
    <w:rsid w:val="00D95C10"/>
    <w:rsid w:val="00D961C6"/>
    <w:rsid w:val="00D965B2"/>
    <w:rsid w:val="00D96602"/>
    <w:rsid w:val="00D96729"/>
    <w:rsid w:val="00D9707B"/>
    <w:rsid w:val="00D97447"/>
    <w:rsid w:val="00D974DC"/>
    <w:rsid w:val="00DA1040"/>
    <w:rsid w:val="00DA10D1"/>
    <w:rsid w:val="00DA28B6"/>
    <w:rsid w:val="00DA2C03"/>
    <w:rsid w:val="00DA2F78"/>
    <w:rsid w:val="00DA36EA"/>
    <w:rsid w:val="00DA3736"/>
    <w:rsid w:val="00DA3903"/>
    <w:rsid w:val="00DA4998"/>
    <w:rsid w:val="00DA4B11"/>
    <w:rsid w:val="00DA4C41"/>
    <w:rsid w:val="00DA52BD"/>
    <w:rsid w:val="00DA5CBE"/>
    <w:rsid w:val="00DA5E33"/>
    <w:rsid w:val="00DA71D6"/>
    <w:rsid w:val="00DA7D21"/>
    <w:rsid w:val="00DB27AD"/>
    <w:rsid w:val="00DB2972"/>
    <w:rsid w:val="00DB3315"/>
    <w:rsid w:val="00DB3AF0"/>
    <w:rsid w:val="00DB489D"/>
    <w:rsid w:val="00DB5AD6"/>
    <w:rsid w:val="00DB63D3"/>
    <w:rsid w:val="00DB67A8"/>
    <w:rsid w:val="00DB73DB"/>
    <w:rsid w:val="00DB773C"/>
    <w:rsid w:val="00DB7C51"/>
    <w:rsid w:val="00DC0AC3"/>
    <w:rsid w:val="00DC13D3"/>
    <w:rsid w:val="00DC13E5"/>
    <w:rsid w:val="00DC17E1"/>
    <w:rsid w:val="00DD01C2"/>
    <w:rsid w:val="00DD0F5C"/>
    <w:rsid w:val="00DD11F5"/>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5A6"/>
    <w:rsid w:val="00DE4775"/>
    <w:rsid w:val="00DE5782"/>
    <w:rsid w:val="00DE6983"/>
    <w:rsid w:val="00DE7580"/>
    <w:rsid w:val="00DE787C"/>
    <w:rsid w:val="00DF0512"/>
    <w:rsid w:val="00DF0D5C"/>
    <w:rsid w:val="00DF17E8"/>
    <w:rsid w:val="00DF22B3"/>
    <w:rsid w:val="00DF31D7"/>
    <w:rsid w:val="00DF33E1"/>
    <w:rsid w:val="00DF3ECD"/>
    <w:rsid w:val="00DF42E5"/>
    <w:rsid w:val="00DF44E7"/>
    <w:rsid w:val="00DF45CB"/>
    <w:rsid w:val="00DF4BF3"/>
    <w:rsid w:val="00DF6141"/>
    <w:rsid w:val="00DF6590"/>
    <w:rsid w:val="00DF6918"/>
    <w:rsid w:val="00DF7068"/>
    <w:rsid w:val="00DF7465"/>
    <w:rsid w:val="00E0083C"/>
    <w:rsid w:val="00E02749"/>
    <w:rsid w:val="00E02867"/>
    <w:rsid w:val="00E032B4"/>
    <w:rsid w:val="00E040E4"/>
    <w:rsid w:val="00E0441F"/>
    <w:rsid w:val="00E05A31"/>
    <w:rsid w:val="00E05E7C"/>
    <w:rsid w:val="00E07DB6"/>
    <w:rsid w:val="00E10169"/>
    <w:rsid w:val="00E108BA"/>
    <w:rsid w:val="00E11040"/>
    <w:rsid w:val="00E11380"/>
    <w:rsid w:val="00E12C67"/>
    <w:rsid w:val="00E12D8E"/>
    <w:rsid w:val="00E13002"/>
    <w:rsid w:val="00E132D9"/>
    <w:rsid w:val="00E13ACC"/>
    <w:rsid w:val="00E13B5E"/>
    <w:rsid w:val="00E13CA2"/>
    <w:rsid w:val="00E14410"/>
    <w:rsid w:val="00E15049"/>
    <w:rsid w:val="00E155DC"/>
    <w:rsid w:val="00E16211"/>
    <w:rsid w:val="00E1638F"/>
    <w:rsid w:val="00E16601"/>
    <w:rsid w:val="00E167A8"/>
    <w:rsid w:val="00E170D8"/>
    <w:rsid w:val="00E172D0"/>
    <w:rsid w:val="00E174D3"/>
    <w:rsid w:val="00E17DFB"/>
    <w:rsid w:val="00E218A6"/>
    <w:rsid w:val="00E21A03"/>
    <w:rsid w:val="00E21BAC"/>
    <w:rsid w:val="00E23513"/>
    <w:rsid w:val="00E244E2"/>
    <w:rsid w:val="00E24520"/>
    <w:rsid w:val="00E24875"/>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59C1"/>
    <w:rsid w:val="00E3693C"/>
    <w:rsid w:val="00E3706B"/>
    <w:rsid w:val="00E4028B"/>
    <w:rsid w:val="00E41E60"/>
    <w:rsid w:val="00E4228D"/>
    <w:rsid w:val="00E42C2E"/>
    <w:rsid w:val="00E4332E"/>
    <w:rsid w:val="00E44F4F"/>
    <w:rsid w:val="00E4502D"/>
    <w:rsid w:val="00E4612E"/>
    <w:rsid w:val="00E464AB"/>
    <w:rsid w:val="00E46DC4"/>
    <w:rsid w:val="00E50361"/>
    <w:rsid w:val="00E5209A"/>
    <w:rsid w:val="00E548A6"/>
    <w:rsid w:val="00E554AD"/>
    <w:rsid w:val="00E5636C"/>
    <w:rsid w:val="00E56AB9"/>
    <w:rsid w:val="00E57C51"/>
    <w:rsid w:val="00E57E9C"/>
    <w:rsid w:val="00E6051B"/>
    <w:rsid w:val="00E60F86"/>
    <w:rsid w:val="00E6132A"/>
    <w:rsid w:val="00E614ED"/>
    <w:rsid w:val="00E61D54"/>
    <w:rsid w:val="00E64583"/>
    <w:rsid w:val="00E64FDD"/>
    <w:rsid w:val="00E659CD"/>
    <w:rsid w:val="00E65D3D"/>
    <w:rsid w:val="00E65F12"/>
    <w:rsid w:val="00E6680B"/>
    <w:rsid w:val="00E67063"/>
    <w:rsid w:val="00E676DA"/>
    <w:rsid w:val="00E70880"/>
    <w:rsid w:val="00E70AA2"/>
    <w:rsid w:val="00E71505"/>
    <w:rsid w:val="00E71614"/>
    <w:rsid w:val="00E7201C"/>
    <w:rsid w:val="00E722E7"/>
    <w:rsid w:val="00E73805"/>
    <w:rsid w:val="00E7380C"/>
    <w:rsid w:val="00E74F0A"/>
    <w:rsid w:val="00E74F64"/>
    <w:rsid w:val="00E755F8"/>
    <w:rsid w:val="00E76A48"/>
    <w:rsid w:val="00E776EC"/>
    <w:rsid w:val="00E821F6"/>
    <w:rsid w:val="00E82367"/>
    <w:rsid w:val="00E8264E"/>
    <w:rsid w:val="00E82DEC"/>
    <w:rsid w:val="00E83678"/>
    <w:rsid w:val="00E84FAD"/>
    <w:rsid w:val="00E85E98"/>
    <w:rsid w:val="00E85FC6"/>
    <w:rsid w:val="00E87221"/>
    <w:rsid w:val="00E87476"/>
    <w:rsid w:val="00E87A40"/>
    <w:rsid w:val="00E87AAD"/>
    <w:rsid w:val="00E87F92"/>
    <w:rsid w:val="00E905EF"/>
    <w:rsid w:val="00E91146"/>
    <w:rsid w:val="00E91A11"/>
    <w:rsid w:val="00E935AA"/>
    <w:rsid w:val="00E93C4E"/>
    <w:rsid w:val="00E93C55"/>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7B55"/>
    <w:rsid w:val="00EA7F81"/>
    <w:rsid w:val="00EB07EE"/>
    <w:rsid w:val="00EB1ACE"/>
    <w:rsid w:val="00EB1D04"/>
    <w:rsid w:val="00EB2163"/>
    <w:rsid w:val="00EB2258"/>
    <w:rsid w:val="00EB24D8"/>
    <w:rsid w:val="00EB2853"/>
    <w:rsid w:val="00EB2D90"/>
    <w:rsid w:val="00EB3255"/>
    <w:rsid w:val="00EB3DA6"/>
    <w:rsid w:val="00EB3E01"/>
    <w:rsid w:val="00EB458F"/>
    <w:rsid w:val="00EB4FF9"/>
    <w:rsid w:val="00EB51E3"/>
    <w:rsid w:val="00EB56F7"/>
    <w:rsid w:val="00EB62AD"/>
    <w:rsid w:val="00EB6634"/>
    <w:rsid w:val="00EB6AD5"/>
    <w:rsid w:val="00EB786F"/>
    <w:rsid w:val="00EC0507"/>
    <w:rsid w:val="00EC1A80"/>
    <w:rsid w:val="00EC1B89"/>
    <w:rsid w:val="00EC3CFC"/>
    <w:rsid w:val="00EC42F7"/>
    <w:rsid w:val="00EC571E"/>
    <w:rsid w:val="00EC5A71"/>
    <w:rsid w:val="00EC721E"/>
    <w:rsid w:val="00EC776D"/>
    <w:rsid w:val="00ED08FB"/>
    <w:rsid w:val="00ED0EA9"/>
    <w:rsid w:val="00ED11E3"/>
    <w:rsid w:val="00ED1F2B"/>
    <w:rsid w:val="00ED2C3F"/>
    <w:rsid w:val="00ED385D"/>
    <w:rsid w:val="00ED3ADE"/>
    <w:rsid w:val="00ED4739"/>
    <w:rsid w:val="00ED4BE8"/>
    <w:rsid w:val="00ED5AEE"/>
    <w:rsid w:val="00ED7458"/>
    <w:rsid w:val="00ED7DE4"/>
    <w:rsid w:val="00ED7E12"/>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2356"/>
    <w:rsid w:val="00EF4F41"/>
    <w:rsid w:val="00EF6782"/>
    <w:rsid w:val="00EF6CDA"/>
    <w:rsid w:val="00EF7719"/>
    <w:rsid w:val="00EF7A9F"/>
    <w:rsid w:val="00F01C2F"/>
    <w:rsid w:val="00F021E2"/>
    <w:rsid w:val="00F02536"/>
    <w:rsid w:val="00F02576"/>
    <w:rsid w:val="00F02A63"/>
    <w:rsid w:val="00F0310C"/>
    <w:rsid w:val="00F03BB6"/>
    <w:rsid w:val="00F03C5F"/>
    <w:rsid w:val="00F060BE"/>
    <w:rsid w:val="00F068E5"/>
    <w:rsid w:val="00F068F6"/>
    <w:rsid w:val="00F07111"/>
    <w:rsid w:val="00F10035"/>
    <w:rsid w:val="00F11561"/>
    <w:rsid w:val="00F122B0"/>
    <w:rsid w:val="00F13C79"/>
    <w:rsid w:val="00F13C93"/>
    <w:rsid w:val="00F1474D"/>
    <w:rsid w:val="00F1594E"/>
    <w:rsid w:val="00F179B1"/>
    <w:rsid w:val="00F2005B"/>
    <w:rsid w:val="00F20560"/>
    <w:rsid w:val="00F20593"/>
    <w:rsid w:val="00F20D15"/>
    <w:rsid w:val="00F21A7B"/>
    <w:rsid w:val="00F224A4"/>
    <w:rsid w:val="00F22932"/>
    <w:rsid w:val="00F22D14"/>
    <w:rsid w:val="00F235D8"/>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433"/>
    <w:rsid w:val="00F377C5"/>
    <w:rsid w:val="00F37C52"/>
    <w:rsid w:val="00F40257"/>
    <w:rsid w:val="00F40D22"/>
    <w:rsid w:val="00F418E1"/>
    <w:rsid w:val="00F425A0"/>
    <w:rsid w:val="00F42690"/>
    <w:rsid w:val="00F42D2D"/>
    <w:rsid w:val="00F42E99"/>
    <w:rsid w:val="00F42EAE"/>
    <w:rsid w:val="00F43E45"/>
    <w:rsid w:val="00F46485"/>
    <w:rsid w:val="00F46877"/>
    <w:rsid w:val="00F4700C"/>
    <w:rsid w:val="00F47CF8"/>
    <w:rsid w:val="00F50704"/>
    <w:rsid w:val="00F5116B"/>
    <w:rsid w:val="00F51271"/>
    <w:rsid w:val="00F517DE"/>
    <w:rsid w:val="00F52902"/>
    <w:rsid w:val="00F539E1"/>
    <w:rsid w:val="00F542CB"/>
    <w:rsid w:val="00F544C0"/>
    <w:rsid w:val="00F55D8B"/>
    <w:rsid w:val="00F60216"/>
    <w:rsid w:val="00F60A96"/>
    <w:rsid w:val="00F60F3B"/>
    <w:rsid w:val="00F61626"/>
    <w:rsid w:val="00F61C75"/>
    <w:rsid w:val="00F628B3"/>
    <w:rsid w:val="00F63580"/>
    <w:rsid w:val="00F6388F"/>
    <w:rsid w:val="00F6555B"/>
    <w:rsid w:val="00F6559D"/>
    <w:rsid w:val="00F659E2"/>
    <w:rsid w:val="00F65B63"/>
    <w:rsid w:val="00F65E3C"/>
    <w:rsid w:val="00F6613F"/>
    <w:rsid w:val="00F6688F"/>
    <w:rsid w:val="00F66FF5"/>
    <w:rsid w:val="00F67E7C"/>
    <w:rsid w:val="00F70341"/>
    <w:rsid w:val="00F7149B"/>
    <w:rsid w:val="00F73DDB"/>
    <w:rsid w:val="00F74013"/>
    <w:rsid w:val="00F7479A"/>
    <w:rsid w:val="00F74A93"/>
    <w:rsid w:val="00F74B23"/>
    <w:rsid w:val="00F74C6A"/>
    <w:rsid w:val="00F751DC"/>
    <w:rsid w:val="00F7571A"/>
    <w:rsid w:val="00F764E5"/>
    <w:rsid w:val="00F76535"/>
    <w:rsid w:val="00F76824"/>
    <w:rsid w:val="00F7729D"/>
    <w:rsid w:val="00F81101"/>
    <w:rsid w:val="00F817EC"/>
    <w:rsid w:val="00F81822"/>
    <w:rsid w:val="00F81C08"/>
    <w:rsid w:val="00F8218C"/>
    <w:rsid w:val="00F82AF3"/>
    <w:rsid w:val="00F82BD9"/>
    <w:rsid w:val="00F838C7"/>
    <w:rsid w:val="00F84984"/>
    <w:rsid w:val="00F857B4"/>
    <w:rsid w:val="00F869A8"/>
    <w:rsid w:val="00F875D0"/>
    <w:rsid w:val="00F87CB3"/>
    <w:rsid w:val="00F901B6"/>
    <w:rsid w:val="00F90649"/>
    <w:rsid w:val="00F90909"/>
    <w:rsid w:val="00F91B98"/>
    <w:rsid w:val="00F92E1E"/>
    <w:rsid w:val="00F92EA7"/>
    <w:rsid w:val="00F931CD"/>
    <w:rsid w:val="00F933CD"/>
    <w:rsid w:val="00F9384F"/>
    <w:rsid w:val="00F974D4"/>
    <w:rsid w:val="00F9756A"/>
    <w:rsid w:val="00F97BC9"/>
    <w:rsid w:val="00FA05E6"/>
    <w:rsid w:val="00FA09EC"/>
    <w:rsid w:val="00FA1547"/>
    <w:rsid w:val="00FA1B05"/>
    <w:rsid w:val="00FA1CE8"/>
    <w:rsid w:val="00FA2852"/>
    <w:rsid w:val="00FA28B3"/>
    <w:rsid w:val="00FA293E"/>
    <w:rsid w:val="00FA2F84"/>
    <w:rsid w:val="00FA2FEA"/>
    <w:rsid w:val="00FA35B3"/>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8C1"/>
    <w:rsid w:val="00FB5E58"/>
    <w:rsid w:val="00FB5E97"/>
    <w:rsid w:val="00FB5F4E"/>
    <w:rsid w:val="00FB657C"/>
    <w:rsid w:val="00FB73A9"/>
    <w:rsid w:val="00FB75CF"/>
    <w:rsid w:val="00FC0918"/>
    <w:rsid w:val="00FC092A"/>
    <w:rsid w:val="00FC0E66"/>
    <w:rsid w:val="00FC1394"/>
    <w:rsid w:val="00FC140A"/>
    <w:rsid w:val="00FC15AF"/>
    <w:rsid w:val="00FC1A8B"/>
    <w:rsid w:val="00FC1CED"/>
    <w:rsid w:val="00FC30B4"/>
    <w:rsid w:val="00FC340F"/>
    <w:rsid w:val="00FC39CF"/>
    <w:rsid w:val="00FC538F"/>
    <w:rsid w:val="00FC5637"/>
    <w:rsid w:val="00FC72A1"/>
    <w:rsid w:val="00FD003B"/>
    <w:rsid w:val="00FD0A21"/>
    <w:rsid w:val="00FD0D91"/>
    <w:rsid w:val="00FD126A"/>
    <w:rsid w:val="00FD2AEF"/>
    <w:rsid w:val="00FD3493"/>
    <w:rsid w:val="00FD4C07"/>
    <w:rsid w:val="00FD5391"/>
    <w:rsid w:val="00FD66FB"/>
    <w:rsid w:val="00FD6D01"/>
    <w:rsid w:val="00FE0556"/>
    <w:rsid w:val="00FE084B"/>
    <w:rsid w:val="00FE096A"/>
    <w:rsid w:val="00FE0E49"/>
    <w:rsid w:val="00FE2236"/>
    <w:rsid w:val="00FE2364"/>
    <w:rsid w:val="00FE23B8"/>
    <w:rsid w:val="00FE4352"/>
    <w:rsid w:val="00FE4A88"/>
    <w:rsid w:val="00FE5DDC"/>
    <w:rsid w:val="00FE61AF"/>
    <w:rsid w:val="00FE6221"/>
    <w:rsid w:val="00FE6FA4"/>
    <w:rsid w:val="00FE787A"/>
    <w:rsid w:val="00FE7A46"/>
    <w:rsid w:val="00FF00E1"/>
    <w:rsid w:val="00FF08D5"/>
    <w:rsid w:val="00FF102E"/>
    <w:rsid w:val="00FF139E"/>
    <w:rsid w:val="00FF1499"/>
    <w:rsid w:val="00FF23B2"/>
    <w:rsid w:val="00FF3572"/>
    <w:rsid w:val="00FF3CAB"/>
    <w:rsid w:val="00FF4508"/>
    <w:rsid w:val="00FF4592"/>
    <w:rsid w:val="00FF4FBA"/>
    <w:rsid w:val="00FF695E"/>
    <w:rsid w:val="00FF79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B5D2C"/>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character" w:customStyle="1" w:styleId="lphit">
    <w:name w:val="lphit"/>
    <w:basedOn w:val="DefaultParagraphFont"/>
    <w:rsid w:val="00065E6F"/>
  </w:style>
  <w:style w:type="paragraph" w:customStyle="1" w:styleId="pr-a">
    <w:name w:val="pr-a"/>
    <w:basedOn w:val="Normal"/>
    <w:rsid w:val="007B49F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earchhit">
    <w:name w:val="searchhit"/>
    <w:basedOn w:val="DefaultParagraphFont"/>
    <w:rsid w:val="007B49F5"/>
  </w:style>
  <w:style w:type="paragraph" w:customStyle="1" w:styleId="lg-section">
    <w:name w:val="lg-section"/>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s-link">
    <w:name w:val="ws-link"/>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opup-link">
    <w:name w:val="popup-link"/>
    <w:basedOn w:val="DefaultParagraphFont"/>
    <w:rsid w:val="00EB6AD5"/>
  </w:style>
  <w:style w:type="paragraph" w:customStyle="1" w:styleId="normal-text">
    <w:name w:val="normal-text"/>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3">
    <w:name w:val="lg-para3"/>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4">
    <w:name w:val="lg-para4"/>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
    <w:name w:val="lg-i"/>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hit-location">
    <w:name w:val="hit-location"/>
    <w:basedOn w:val="Normal"/>
    <w:rsid w:val="001E042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b-anytext">
    <w:name w:val="prb-anytext"/>
    <w:basedOn w:val="Normal"/>
    <w:rsid w:val="001E042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JudgmentNumbered">
    <w:name w:val="Judgment Numbered"/>
    <w:basedOn w:val="Normal"/>
    <w:link w:val="JudgmentNumberedChar"/>
    <w:qFormat/>
    <w:rsid w:val="006D2201"/>
    <w:pPr>
      <w:numPr>
        <w:numId w:val="3"/>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6D2201"/>
    <w:rPr>
      <w:rFonts w:ascii="Arial" w:hAnsi="Arial" w:cs="Arial"/>
      <w:sz w:val="24"/>
      <w:lang w:val="en-GB"/>
    </w:rPr>
  </w:style>
  <w:style w:type="character" w:styleId="Emphasis">
    <w:name w:val="Emphasis"/>
    <w:basedOn w:val="DefaultParagraphFont"/>
    <w:uiPriority w:val="20"/>
    <w:qFormat/>
    <w:rsid w:val="005C21DA"/>
    <w:rPr>
      <w:i/>
      <w:iCs/>
    </w:rPr>
  </w:style>
  <w:style w:type="character" w:styleId="FollowedHyperlink">
    <w:name w:val="FollowedHyperlink"/>
    <w:basedOn w:val="DefaultParagraphFont"/>
    <w:uiPriority w:val="99"/>
    <w:semiHidden/>
    <w:unhideWhenUsed/>
    <w:rsid w:val="008F0EAA"/>
    <w:rPr>
      <w:color w:val="954F72" w:themeColor="followedHyperlink"/>
      <w:u w:val="single"/>
    </w:rPr>
  </w:style>
  <w:style w:type="paragraph" w:customStyle="1" w:styleId="1">
    <w:name w:val="1"/>
    <w:basedOn w:val="Normal"/>
    <w:link w:val="1Char"/>
    <w:qFormat/>
    <w:rsid w:val="00925B0A"/>
    <w:pPr>
      <w:numPr>
        <w:numId w:val="6"/>
      </w:numPr>
      <w:spacing w:before="240" w:after="0" w:line="360" w:lineRule="auto"/>
      <w:jc w:val="both"/>
    </w:pPr>
    <w:rPr>
      <w:rFonts w:ascii="Arial" w:eastAsia="Times New Roman" w:hAnsi="Arial" w:cs="Times New Roman"/>
      <w:iCs/>
      <w:color w:val="000000"/>
      <w:sz w:val="24"/>
      <w:lang w:val="en-GB"/>
    </w:rPr>
  </w:style>
  <w:style w:type="character" w:customStyle="1" w:styleId="1Char">
    <w:name w:val="1 Char"/>
    <w:link w:val="1"/>
    <w:rsid w:val="00925B0A"/>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196241965">
      <w:bodyDiv w:val="1"/>
      <w:marLeft w:val="0"/>
      <w:marRight w:val="0"/>
      <w:marTop w:val="0"/>
      <w:marBottom w:val="0"/>
      <w:divBdr>
        <w:top w:val="none" w:sz="0" w:space="0" w:color="auto"/>
        <w:left w:val="none" w:sz="0" w:space="0" w:color="auto"/>
        <w:bottom w:val="none" w:sz="0" w:space="0" w:color="auto"/>
        <w:right w:val="none" w:sz="0" w:space="0" w:color="auto"/>
      </w:divBdr>
    </w:div>
    <w:div w:id="276061306">
      <w:bodyDiv w:val="1"/>
      <w:marLeft w:val="0"/>
      <w:marRight w:val="0"/>
      <w:marTop w:val="0"/>
      <w:marBottom w:val="0"/>
      <w:divBdr>
        <w:top w:val="none" w:sz="0" w:space="0" w:color="auto"/>
        <w:left w:val="none" w:sz="0" w:space="0" w:color="auto"/>
        <w:bottom w:val="none" w:sz="0" w:space="0" w:color="auto"/>
        <w:right w:val="none" w:sz="0" w:space="0" w:color="auto"/>
      </w:divBdr>
      <w:divsChild>
        <w:div w:id="510487142">
          <w:marLeft w:val="0"/>
          <w:marRight w:val="0"/>
          <w:marTop w:val="120"/>
          <w:marBottom w:val="0"/>
          <w:divBdr>
            <w:top w:val="none" w:sz="0" w:space="0" w:color="auto"/>
            <w:left w:val="none" w:sz="0" w:space="0" w:color="auto"/>
            <w:bottom w:val="none" w:sz="0" w:space="0" w:color="auto"/>
            <w:right w:val="none" w:sz="0" w:space="0" w:color="auto"/>
          </w:divBdr>
        </w:div>
        <w:div w:id="1869564991">
          <w:marLeft w:val="0"/>
          <w:marRight w:val="0"/>
          <w:marTop w:val="120"/>
          <w:marBottom w:val="0"/>
          <w:divBdr>
            <w:top w:val="none" w:sz="0" w:space="0" w:color="auto"/>
            <w:left w:val="none" w:sz="0" w:space="0" w:color="auto"/>
            <w:bottom w:val="none" w:sz="0" w:space="0" w:color="auto"/>
            <w:right w:val="none" w:sz="0" w:space="0" w:color="auto"/>
          </w:divBdr>
        </w:div>
        <w:div w:id="584657482">
          <w:marLeft w:val="0"/>
          <w:marRight w:val="0"/>
          <w:marTop w:val="120"/>
          <w:marBottom w:val="0"/>
          <w:divBdr>
            <w:top w:val="none" w:sz="0" w:space="0" w:color="auto"/>
            <w:left w:val="none" w:sz="0" w:space="0" w:color="auto"/>
            <w:bottom w:val="none" w:sz="0" w:space="0" w:color="auto"/>
            <w:right w:val="none" w:sz="0" w:space="0" w:color="auto"/>
          </w:divBdr>
        </w:div>
        <w:div w:id="1724213740">
          <w:marLeft w:val="0"/>
          <w:marRight w:val="0"/>
          <w:marTop w:val="120"/>
          <w:marBottom w:val="0"/>
          <w:divBdr>
            <w:top w:val="none" w:sz="0" w:space="0" w:color="auto"/>
            <w:left w:val="none" w:sz="0" w:space="0" w:color="auto"/>
            <w:bottom w:val="none" w:sz="0" w:space="0" w:color="auto"/>
            <w:right w:val="none" w:sz="0" w:space="0" w:color="auto"/>
          </w:divBdr>
        </w:div>
        <w:div w:id="852887032">
          <w:marLeft w:val="0"/>
          <w:marRight w:val="0"/>
          <w:marTop w:val="120"/>
          <w:marBottom w:val="0"/>
          <w:divBdr>
            <w:top w:val="none" w:sz="0" w:space="0" w:color="auto"/>
            <w:left w:val="none" w:sz="0" w:space="0" w:color="auto"/>
            <w:bottom w:val="none" w:sz="0" w:space="0" w:color="auto"/>
            <w:right w:val="none" w:sz="0" w:space="0" w:color="auto"/>
          </w:divBdr>
        </w:div>
      </w:divsChild>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3064054">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542063445">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19047475">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303921427">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541897919">
      <w:bodyDiv w:val="1"/>
      <w:marLeft w:val="0"/>
      <w:marRight w:val="0"/>
      <w:marTop w:val="0"/>
      <w:marBottom w:val="0"/>
      <w:divBdr>
        <w:top w:val="none" w:sz="0" w:space="0" w:color="auto"/>
        <w:left w:val="none" w:sz="0" w:space="0" w:color="auto"/>
        <w:bottom w:val="none" w:sz="0" w:space="0" w:color="auto"/>
        <w:right w:val="none" w:sz="0" w:space="0" w:color="auto"/>
      </w:divBdr>
    </w:div>
    <w:div w:id="1591507854">
      <w:bodyDiv w:val="1"/>
      <w:marLeft w:val="0"/>
      <w:marRight w:val="0"/>
      <w:marTop w:val="0"/>
      <w:marBottom w:val="0"/>
      <w:divBdr>
        <w:top w:val="none" w:sz="0" w:space="0" w:color="auto"/>
        <w:left w:val="none" w:sz="0" w:space="0" w:color="auto"/>
        <w:bottom w:val="none" w:sz="0" w:space="0" w:color="auto"/>
        <w:right w:val="none" w:sz="0" w:space="0" w:color="auto"/>
      </w:divBdr>
    </w:div>
    <w:div w:id="1650208511">
      <w:bodyDiv w:val="1"/>
      <w:marLeft w:val="0"/>
      <w:marRight w:val="0"/>
      <w:marTop w:val="0"/>
      <w:marBottom w:val="0"/>
      <w:divBdr>
        <w:top w:val="none" w:sz="0" w:space="0" w:color="auto"/>
        <w:left w:val="none" w:sz="0" w:space="0" w:color="auto"/>
        <w:bottom w:val="none" w:sz="0" w:space="0" w:color="auto"/>
        <w:right w:val="none" w:sz="0" w:space="0" w:color="auto"/>
      </w:divBdr>
      <w:divsChild>
        <w:div w:id="2128113320">
          <w:marLeft w:val="0"/>
          <w:marRight w:val="0"/>
          <w:marTop w:val="120"/>
          <w:marBottom w:val="0"/>
          <w:divBdr>
            <w:top w:val="none" w:sz="0" w:space="0" w:color="auto"/>
            <w:left w:val="none" w:sz="0" w:space="0" w:color="auto"/>
            <w:bottom w:val="none" w:sz="0" w:space="0" w:color="auto"/>
            <w:right w:val="none" w:sz="0" w:space="0" w:color="auto"/>
          </w:divBdr>
        </w:div>
        <w:div w:id="1368985230">
          <w:marLeft w:val="0"/>
          <w:marRight w:val="0"/>
          <w:marTop w:val="120"/>
          <w:marBottom w:val="0"/>
          <w:divBdr>
            <w:top w:val="none" w:sz="0" w:space="0" w:color="auto"/>
            <w:left w:val="none" w:sz="0" w:space="0" w:color="auto"/>
            <w:bottom w:val="none" w:sz="0" w:space="0" w:color="auto"/>
            <w:right w:val="none" w:sz="0" w:space="0" w:color="auto"/>
          </w:divBdr>
        </w:div>
      </w:divsChild>
    </w:div>
    <w:div w:id="1705449292">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1914579961">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 w:id="20938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1%20%281%29%20SACR%20198"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243C-9E9B-4B44-A816-69F1E4ED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Lilitha Mdleleni</cp:lastModifiedBy>
  <cp:revision>3</cp:revision>
  <cp:lastPrinted>2023-08-06T16:14:00Z</cp:lastPrinted>
  <dcterms:created xsi:type="dcterms:W3CDTF">2023-11-29T10:58:00Z</dcterms:created>
  <dcterms:modified xsi:type="dcterms:W3CDTF">2023-12-01T06:06:00Z</dcterms:modified>
</cp:coreProperties>
</file>