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7D8D9" w14:textId="77777777" w:rsidR="00E5251A" w:rsidRPr="00E5251A" w:rsidRDefault="00E5251A" w:rsidP="00E5251A">
      <w:pPr>
        <w:spacing w:after="0" w:line="360" w:lineRule="auto"/>
        <w:ind w:left="305" w:hangingChars="127" w:hanging="305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  <w:r w:rsidRPr="00E5251A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>REPUBLIC OF SOUTH AFRICA</w:t>
      </w:r>
    </w:p>
    <w:p w14:paraId="21B6F219" w14:textId="77777777" w:rsidR="00E5251A" w:rsidRPr="00E5251A" w:rsidRDefault="00E5251A" w:rsidP="00E5251A">
      <w:pPr>
        <w:spacing w:after="0" w:line="360" w:lineRule="auto"/>
        <w:ind w:left="305" w:hangingChars="127" w:hanging="305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  <w:r w:rsidRPr="00E5251A">
        <w:rPr>
          <w:rFonts w:ascii="Arial" w:eastAsia="MS Mincho" w:hAnsi="Arial" w:cs="Arial"/>
          <w:b/>
          <w:noProof/>
          <w:sz w:val="24"/>
          <w:szCs w:val="24"/>
          <w:lang w:val="en-ZA" w:eastAsia="en-ZA"/>
          <w14:ligatures w14:val="none"/>
        </w:rPr>
        <w:drawing>
          <wp:inline distT="0" distB="0" distL="0" distR="0" wp14:anchorId="20B443EA" wp14:editId="3E9E2FDD">
            <wp:extent cx="14732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266D4" w14:textId="77777777" w:rsidR="00E5251A" w:rsidRPr="00E5251A" w:rsidRDefault="00E5251A" w:rsidP="00E5251A">
      <w:pPr>
        <w:spacing w:after="0" w:line="360" w:lineRule="auto"/>
        <w:ind w:left="305" w:hangingChars="127" w:hanging="305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  <w:r w:rsidRPr="00E5251A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>IN THE HIGH COURT OF SOUTH AFRICA</w:t>
      </w:r>
    </w:p>
    <w:p w14:paraId="79DF79E6" w14:textId="77777777" w:rsidR="00E5251A" w:rsidRPr="00E5251A" w:rsidRDefault="00E5251A" w:rsidP="00E5251A">
      <w:pPr>
        <w:spacing w:after="0" w:line="360" w:lineRule="auto"/>
        <w:ind w:left="305" w:hangingChars="127" w:hanging="305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  <w:r w:rsidRPr="00E5251A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>GAUTENG LOCAL DIVISION, JOHANNESBURG</w:t>
      </w:r>
    </w:p>
    <w:p w14:paraId="0D54772E" w14:textId="77777777" w:rsidR="00E5251A" w:rsidRPr="00E5251A" w:rsidRDefault="00E5251A" w:rsidP="00E5251A">
      <w:pPr>
        <w:spacing w:after="0" w:line="360" w:lineRule="auto"/>
        <w:ind w:left="305" w:hangingChars="127" w:hanging="305"/>
        <w:jc w:val="center"/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</w:pPr>
    </w:p>
    <w:p w14:paraId="7C6CC53F" w14:textId="77777777" w:rsidR="00E5251A" w:rsidRPr="00E5251A" w:rsidRDefault="00E5251A" w:rsidP="00E5251A">
      <w:pPr>
        <w:spacing w:after="0" w:line="360" w:lineRule="auto"/>
        <w:ind w:left="305" w:hangingChars="127" w:hanging="305"/>
        <w:jc w:val="right"/>
        <w:rPr>
          <w:rFonts w:ascii="Arial" w:eastAsia="Times New Roman" w:hAnsi="Arial" w:cs="Arial"/>
          <w:b/>
          <w:kern w:val="25"/>
          <w:sz w:val="24"/>
          <w:szCs w:val="24"/>
          <w:lang w:eastAsia="en-GB"/>
          <w14:ligatures w14:val="none"/>
        </w:rPr>
      </w:pPr>
      <w:r w:rsidRPr="00E5251A">
        <w:rPr>
          <w:rFonts w:ascii="Arial" w:eastAsia="MS Mincho" w:hAnsi="Arial" w:cs="Arial"/>
          <w:noProof/>
          <w:sz w:val="24"/>
          <w:szCs w:val="24"/>
          <w:lang w:val="en-ZA" w:eastAsia="en-Z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F128B" wp14:editId="52972F7E">
                <wp:simplePos x="0" y="0"/>
                <wp:positionH relativeFrom="margin">
                  <wp:align>left</wp:align>
                </wp:positionH>
                <wp:positionV relativeFrom="paragraph">
                  <wp:posOffset>168909</wp:posOffset>
                </wp:positionV>
                <wp:extent cx="3314700" cy="12287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07B82" w14:textId="77777777" w:rsidR="00E5251A" w:rsidRPr="004120A8" w:rsidRDefault="00E5251A" w:rsidP="00E525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14:paraId="6E8F0AE2" w14:textId="77777777" w:rsidR="00E5251A" w:rsidRPr="004120A8" w:rsidRDefault="00E5251A" w:rsidP="00E525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REPORTABLE: </w:t>
                            </w: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0A16615" w14:textId="77777777" w:rsidR="00E5251A" w:rsidRPr="004120A8" w:rsidRDefault="00E5251A" w:rsidP="00E525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F INTEREST TO OTHER JUDGES: </w:t>
                            </w: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AD5EF59" w14:textId="0E466724" w:rsidR="00E5251A" w:rsidRDefault="00E5251A" w:rsidP="00E5251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B32B0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0C4BFA42" w14:textId="77777777" w:rsidR="00E5251A" w:rsidRDefault="00E5251A" w:rsidP="00E5251A">
                            <w:pPr>
                              <w:spacing w:after="0"/>
                              <w:ind w:left="90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9CC7B82" w14:textId="77777777" w:rsidR="00E5251A" w:rsidRPr="00CE3BCB" w:rsidRDefault="00E5251A" w:rsidP="00E5251A">
                            <w:pPr>
                              <w:spacing w:after="0"/>
                              <w:ind w:left="90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4AB19A6" w14:textId="4F678362" w:rsidR="00E5251A" w:rsidRPr="004120A8" w:rsidRDefault="00E5251A" w:rsidP="00E5251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…………..………….............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</w:t>
                            </w:r>
                            <w:r w:rsidR="00A61DD7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/11/2023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14:paraId="0303AC9B" w14:textId="77777777" w:rsidR="00E5251A" w:rsidRPr="004120A8" w:rsidRDefault="00E5251A" w:rsidP="00E5251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3F016BBC" w14:textId="77777777" w:rsidR="00E5251A" w:rsidRPr="004120A8" w:rsidRDefault="00E5251A" w:rsidP="00E5251A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59F128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3.3pt;width:261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">
                <v:textbox>
                  <w:txbxContent>
                    <w:p w14:paraId="35007B82" w14:textId="77777777" w:rsidR="00E5251A" w:rsidRPr="004120A8" w:rsidRDefault="00E5251A" w:rsidP="00E5251A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  <w:p w14:paraId="6E8F0AE2" w14:textId="77777777" w:rsidR="00E5251A" w:rsidRPr="004120A8" w:rsidRDefault="00E5251A" w:rsidP="00E525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REPORTABLE: </w:t>
                      </w: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NO</w:t>
                      </w:r>
                    </w:p>
                    <w:p w14:paraId="00A16615" w14:textId="77777777" w:rsidR="00E5251A" w:rsidRPr="004120A8" w:rsidRDefault="00E5251A" w:rsidP="00E525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F INTEREST TO OTHER JUDGES: </w:t>
                      </w: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NO</w:t>
                      </w:r>
                    </w:p>
                    <w:p w14:paraId="4AD5EF59" w14:textId="0E466724" w:rsidR="00E5251A" w:rsidRDefault="00E5251A" w:rsidP="00E5251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REVISED: </w:t>
                      </w:r>
                      <w:r w:rsidR="00B32B01">
                        <w:rPr>
                          <w:rFonts w:ascii="Century Gothic" w:hAnsi="Century Gothic"/>
                          <w:sz w:val="18"/>
                          <w:szCs w:val="18"/>
                        </w:rPr>
                        <w:t>YES</w:t>
                      </w:r>
                    </w:p>
                    <w:p w14:paraId="0C4BFA42" w14:textId="77777777" w:rsidR="00E5251A" w:rsidRDefault="00E5251A" w:rsidP="00E5251A">
                      <w:pPr>
                        <w:spacing w:after="0"/>
                        <w:ind w:left="90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9CC7B82" w14:textId="77777777" w:rsidR="00E5251A" w:rsidRPr="00CE3BCB" w:rsidRDefault="00E5251A" w:rsidP="00E5251A">
                      <w:pPr>
                        <w:spacing w:after="0"/>
                        <w:ind w:left="90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14AB19A6" w14:textId="4F678362" w:rsidR="00E5251A" w:rsidRPr="004120A8" w:rsidRDefault="00E5251A" w:rsidP="00E5251A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…………..………….............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</w:t>
                      </w:r>
                      <w:r w:rsidR="00A61DD7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30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/11/2023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14:paraId="0303AC9B" w14:textId="77777777" w:rsidR="00E5251A" w:rsidRPr="004120A8" w:rsidRDefault="00E5251A" w:rsidP="00E5251A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3F016BBC" w14:textId="77777777" w:rsidR="00E5251A" w:rsidRPr="004120A8" w:rsidRDefault="00E5251A" w:rsidP="00E5251A">
                      <w:pPr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251A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</w:r>
      <w:r w:rsidRPr="00E5251A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</w:r>
      <w:r w:rsidRPr="00E5251A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</w:r>
      <w:r w:rsidRPr="00E5251A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</w:r>
      <w:r w:rsidRPr="00E5251A">
        <w:rPr>
          <w:rFonts w:ascii="Arial" w:eastAsia="Times New Roman" w:hAnsi="Arial" w:cs="Arial"/>
          <w:b/>
          <w:sz w:val="24"/>
          <w:szCs w:val="24"/>
          <w:lang w:val="en-ZA" w:eastAsia="en-GB"/>
          <w14:ligatures w14:val="none"/>
        </w:rPr>
        <w:tab/>
        <w:t>CASE NO:</w:t>
      </w:r>
      <w:r w:rsidRPr="00E5251A">
        <w:rPr>
          <w:rFonts w:ascii="Arial" w:eastAsia="Times New Roman" w:hAnsi="Arial" w:cs="Arial"/>
          <w:b/>
          <w:kern w:val="25"/>
          <w:sz w:val="24"/>
          <w:szCs w:val="24"/>
          <w:lang w:eastAsia="en-GB"/>
          <w14:ligatures w14:val="none"/>
        </w:rPr>
        <w:t xml:space="preserve"> 027545/2023</w:t>
      </w:r>
    </w:p>
    <w:p w14:paraId="73D80229" w14:textId="77777777" w:rsidR="00E5251A" w:rsidRPr="00E5251A" w:rsidRDefault="00E5251A" w:rsidP="00E5251A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  <w14:ligatures w14:val="none"/>
        </w:rPr>
      </w:pPr>
    </w:p>
    <w:p w14:paraId="40D7DDE6" w14:textId="77777777" w:rsidR="00E5251A" w:rsidRPr="00E5251A" w:rsidRDefault="00E5251A" w:rsidP="00E5251A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  <w14:ligatures w14:val="none"/>
        </w:rPr>
      </w:pPr>
    </w:p>
    <w:p w14:paraId="346895E6" w14:textId="77777777" w:rsidR="00E5251A" w:rsidRPr="00E5251A" w:rsidRDefault="00E5251A" w:rsidP="00E5251A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  <w14:ligatures w14:val="none"/>
        </w:rPr>
      </w:pPr>
    </w:p>
    <w:p w14:paraId="2B4B6E20" w14:textId="77777777" w:rsidR="00E5251A" w:rsidRPr="00E5251A" w:rsidRDefault="00E5251A" w:rsidP="00E5251A">
      <w:pPr>
        <w:spacing w:after="0" w:line="360" w:lineRule="auto"/>
        <w:ind w:left="305" w:hangingChars="127" w:hanging="305"/>
        <w:jc w:val="both"/>
        <w:rPr>
          <w:rFonts w:ascii="Arial" w:eastAsia="Calibri" w:hAnsi="Arial" w:cs="Arial"/>
          <w:sz w:val="24"/>
          <w:szCs w:val="24"/>
          <w:lang w:val="en-ZA"/>
          <w14:ligatures w14:val="none"/>
        </w:rPr>
      </w:pPr>
    </w:p>
    <w:p w14:paraId="07CC85BD" w14:textId="77777777"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</w:pPr>
    </w:p>
    <w:p w14:paraId="4C335B68" w14:textId="77777777"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600" w:lineRule="auto"/>
        <w:ind w:left="305" w:hangingChars="127" w:hanging="305"/>
        <w:jc w:val="both"/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  <w:t>In the matter between:</w:t>
      </w:r>
    </w:p>
    <w:p w14:paraId="69468403" w14:textId="77777777"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600" w:lineRule="auto"/>
        <w:ind w:left="305" w:hangingChars="127" w:hanging="305"/>
        <w:jc w:val="both"/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b/>
          <w:bCs/>
          <w:color w:val="1B1919"/>
          <w:sz w:val="24"/>
          <w:szCs w:val="24"/>
          <w:lang w:eastAsia="ja-JP"/>
          <w14:ligatures w14:val="none"/>
        </w:rPr>
        <w:t>BODY CORPORATE ASHWOOD MANOR</w:t>
      </w:r>
      <w:r w:rsidRPr="00E5251A">
        <w:rPr>
          <w:rFonts w:ascii="Arial" w:eastAsia="MS Mincho" w:hAnsi="Arial" w:cs="Arial"/>
          <w:bCs/>
          <w:color w:val="1B1919"/>
          <w:sz w:val="24"/>
          <w:szCs w:val="24"/>
          <w:lang w:eastAsia="ja-JP"/>
          <w14:ligatures w14:val="none"/>
        </w:rPr>
        <w:tab/>
      </w:r>
      <w:bookmarkStart w:id="0" w:name="_GoBack"/>
      <w:bookmarkEnd w:id="0"/>
      <w:r w:rsidRPr="00E5251A">
        <w:rPr>
          <w:rFonts w:ascii="Arial" w:eastAsia="MS Mincho" w:hAnsi="Arial" w:cs="Arial"/>
          <w:bCs/>
          <w:color w:val="1B1919"/>
          <w:sz w:val="24"/>
          <w:szCs w:val="24"/>
          <w:lang w:eastAsia="ja-JP"/>
          <w14:ligatures w14:val="none"/>
        </w:rPr>
        <w:tab/>
        <w:t xml:space="preserve"> </w:t>
      </w:r>
      <w:r w:rsidRPr="00E5251A">
        <w:rPr>
          <w:rFonts w:ascii="Arial" w:eastAsia="MS Mincho" w:hAnsi="Arial" w:cs="Arial"/>
          <w:b/>
          <w:bCs/>
          <w:color w:val="1B1919"/>
          <w:sz w:val="24"/>
          <w:szCs w:val="24"/>
          <w:lang w:eastAsia="ja-JP"/>
          <w14:ligatures w14:val="none"/>
        </w:rPr>
        <w:tab/>
      </w:r>
      <w:r w:rsidRPr="00E5251A">
        <w:rPr>
          <w:rFonts w:ascii="Arial" w:eastAsia="MS Mincho" w:hAnsi="Arial" w:cs="Arial"/>
          <w:b/>
          <w:bCs/>
          <w:color w:val="1B1919"/>
          <w:sz w:val="24"/>
          <w:szCs w:val="24"/>
          <w:lang w:eastAsia="ja-JP"/>
          <w14:ligatures w14:val="none"/>
        </w:rPr>
        <w:tab/>
      </w: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>Applicant</w:t>
      </w:r>
      <w:r w:rsidRPr="00E5251A"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  <w:t xml:space="preserve"> </w:t>
      </w:r>
    </w:p>
    <w:p w14:paraId="5143621F" w14:textId="77777777"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600" w:lineRule="auto"/>
        <w:ind w:left="305" w:hangingChars="127" w:hanging="305"/>
        <w:jc w:val="both"/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  <w:t>and</w:t>
      </w:r>
    </w:p>
    <w:p w14:paraId="211822D8" w14:textId="77777777"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600" w:lineRule="auto"/>
        <w:ind w:left="305" w:hangingChars="127" w:hanging="305"/>
        <w:jc w:val="both"/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>ROBERT CLARK MACGREGOR</w:t>
      </w: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ab/>
      </w: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ab/>
      </w: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ab/>
      </w: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ab/>
      </w: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ab/>
      </w: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ab/>
        <w:t>Respondent</w:t>
      </w:r>
      <w:r w:rsidRPr="00E5251A">
        <w:rPr>
          <w:rFonts w:ascii="Arial" w:eastAsia="MS Mincho" w:hAnsi="Arial" w:cs="Arial"/>
          <w:color w:val="1B1919"/>
          <w:sz w:val="24"/>
          <w:szCs w:val="24"/>
          <w:lang w:eastAsia="ja-JP"/>
          <w14:ligatures w14:val="none"/>
        </w:rPr>
        <w:t xml:space="preserve"> </w:t>
      </w:r>
    </w:p>
    <w:p w14:paraId="35FD7B4E" w14:textId="77777777" w:rsidR="00E5251A" w:rsidRPr="00E5251A" w:rsidRDefault="00E5251A" w:rsidP="00E5251A">
      <w:pPr>
        <w:tabs>
          <w:tab w:val="left" w:pos="0"/>
        </w:tabs>
        <w:spacing w:after="0" w:line="480" w:lineRule="auto"/>
        <w:ind w:left="-709"/>
        <w:jc w:val="center"/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</w:pP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</w:p>
    <w:p w14:paraId="58703A13" w14:textId="537EDD3C" w:rsidR="00E5251A" w:rsidRPr="00E5251A" w:rsidRDefault="00E5251A" w:rsidP="00E5251A">
      <w:pPr>
        <w:tabs>
          <w:tab w:val="left" w:pos="0"/>
        </w:tabs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E101A"/>
          <w:sz w:val="24"/>
          <w:szCs w:val="24"/>
          <w:lang w:val="en-ZA" w:eastAsia="en-ZA"/>
          <w14:ligatures w14:val="none"/>
        </w:rPr>
      </w:pPr>
      <w:r>
        <w:rPr>
          <w:rFonts w:ascii="Arial" w:eastAsia="Times New Roman" w:hAnsi="Arial" w:cs="Arial"/>
          <w:b/>
          <w:color w:val="0E101A"/>
          <w:sz w:val="24"/>
          <w:szCs w:val="24"/>
          <w:lang w:val="en-ZA" w:eastAsia="en-ZA"/>
          <w14:ligatures w14:val="none"/>
        </w:rPr>
        <w:t xml:space="preserve">LEAVE TO APPEAL </w:t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lang w:val="en-ZA" w:eastAsia="en-ZA"/>
          <w14:ligatures w14:val="none"/>
        </w:rPr>
        <w:t xml:space="preserve">REASONS  </w:t>
      </w:r>
    </w:p>
    <w:p w14:paraId="6470C377" w14:textId="77777777" w:rsidR="00E5251A" w:rsidRPr="00E5251A" w:rsidRDefault="00E5251A" w:rsidP="00E5251A">
      <w:pPr>
        <w:tabs>
          <w:tab w:val="left" w:pos="0"/>
        </w:tabs>
        <w:spacing w:after="0" w:line="480" w:lineRule="auto"/>
        <w:ind w:left="-709"/>
        <w:jc w:val="center"/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</w:pP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  <w:r w:rsidRPr="00E5251A">
        <w:rPr>
          <w:rFonts w:ascii="Arial" w:eastAsia="Times New Roman" w:hAnsi="Arial" w:cs="Arial"/>
          <w:b/>
          <w:color w:val="0E101A"/>
          <w:sz w:val="24"/>
          <w:szCs w:val="24"/>
          <w:u w:val="single"/>
          <w:lang w:val="en-ZA" w:eastAsia="en-ZA"/>
          <w14:ligatures w14:val="none"/>
        </w:rPr>
        <w:tab/>
      </w:r>
    </w:p>
    <w:p w14:paraId="541D7A2F" w14:textId="44FA34DE"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600" w:lineRule="auto"/>
        <w:jc w:val="both"/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b/>
          <w:color w:val="1B1919"/>
          <w:sz w:val="24"/>
          <w:szCs w:val="24"/>
          <w:lang w:eastAsia="ja-JP"/>
          <w14:ligatures w14:val="none"/>
        </w:rPr>
        <w:t xml:space="preserve">MANOIM J: </w:t>
      </w:r>
    </w:p>
    <w:p w14:paraId="370E4FE9" w14:textId="4C0AC467" w:rsidR="00337D7D" w:rsidRPr="002363D8" w:rsidRDefault="00E5251A" w:rsidP="00E5251A">
      <w:pPr>
        <w:spacing w:after="360" w:line="480" w:lineRule="auto"/>
        <w:ind w:left="720" w:hanging="720"/>
        <w:jc w:val="both"/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</w:r>
      <w:r w:rsidR="002363D8" w:rsidRPr="00E5251A">
        <w:rPr>
          <w:rFonts w:ascii="Arial" w:hAnsi="Arial" w:cs="Arial"/>
          <w:sz w:val="24"/>
          <w:szCs w:val="24"/>
        </w:rPr>
        <w:t>This is an application for leave to appeal that emerged from a matter I heard on the unopposed motion roll on</w:t>
      </w:r>
      <w:r w:rsidR="009866EC" w:rsidRPr="00E5251A">
        <w:rPr>
          <w:rFonts w:ascii="Arial" w:hAnsi="Arial" w:cs="Arial"/>
          <w:sz w:val="24"/>
          <w:szCs w:val="24"/>
        </w:rPr>
        <w:t xml:space="preserve"> 31 August 2023.</w:t>
      </w:r>
    </w:p>
    <w:p w14:paraId="3B32AAAC" w14:textId="02AA951C" w:rsidR="002363D8" w:rsidRPr="002363D8" w:rsidRDefault="00E5251A" w:rsidP="00E5251A">
      <w:pPr>
        <w:spacing w:after="360" w:line="480" w:lineRule="auto"/>
        <w:ind w:left="720" w:hanging="720"/>
        <w:jc w:val="both"/>
      </w:pPr>
      <w:r>
        <w:rPr>
          <w:rFonts w:ascii="Arial" w:hAnsi="Arial" w:cs="Arial"/>
          <w:sz w:val="24"/>
          <w:szCs w:val="24"/>
        </w:rPr>
        <w:lastRenderedPageBreak/>
        <w:t>[2]</w:t>
      </w:r>
      <w:r>
        <w:rPr>
          <w:rFonts w:ascii="Arial" w:hAnsi="Arial" w:cs="Arial"/>
          <w:sz w:val="24"/>
          <w:szCs w:val="24"/>
        </w:rPr>
        <w:tab/>
      </w:r>
      <w:r w:rsidR="002363D8" w:rsidRPr="00E5251A">
        <w:rPr>
          <w:rFonts w:ascii="Arial" w:hAnsi="Arial" w:cs="Arial"/>
          <w:sz w:val="24"/>
          <w:szCs w:val="24"/>
        </w:rPr>
        <w:t>Briefly</w:t>
      </w:r>
      <w:r w:rsidR="009866EC" w:rsidRPr="00E5251A">
        <w:rPr>
          <w:rFonts w:ascii="Arial" w:hAnsi="Arial" w:cs="Arial"/>
          <w:sz w:val="24"/>
          <w:szCs w:val="24"/>
        </w:rPr>
        <w:t>,</w:t>
      </w:r>
      <w:r w:rsidR="002363D8" w:rsidRPr="00E5251A">
        <w:rPr>
          <w:rFonts w:ascii="Arial" w:hAnsi="Arial" w:cs="Arial"/>
          <w:sz w:val="24"/>
          <w:szCs w:val="24"/>
        </w:rPr>
        <w:t xml:space="preserve"> the applicant</w:t>
      </w:r>
      <w:r w:rsidR="009866EC" w:rsidRPr="00E5251A">
        <w:rPr>
          <w:rFonts w:ascii="Arial" w:hAnsi="Arial" w:cs="Arial"/>
          <w:sz w:val="24"/>
          <w:szCs w:val="24"/>
        </w:rPr>
        <w:t>,</w:t>
      </w:r>
      <w:r w:rsidR="002363D8" w:rsidRPr="00E5251A">
        <w:rPr>
          <w:rFonts w:ascii="Arial" w:hAnsi="Arial" w:cs="Arial"/>
          <w:sz w:val="24"/>
          <w:szCs w:val="24"/>
        </w:rPr>
        <w:t xml:space="preserve"> a body corporate</w:t>
      </w:r>
      <w:r w:rsidR="009866EC" w:rsidRPr="00E5251A">
        <w:rPr>
          <w:rFonts w:ascii="Arial" w:hAnsi="Arial" w:cs="Arial"/>
          <w:sz w:val="24"/>
          <w:szCs w:val="24"/>
        </w:rPr>
        <w:t>,</w:t>
      </w:r>
      <w:r w:rsidR="002363D8" w:rsidRPr="00E5251A">
        <w:rPr>
          <w:rFonts w:ascii="Arial" w:hAnsi="Arial" w:cs="Arial"/>
          <w:sz w:val="24"/>
          <w:szCs w:val="24"/>
        </w:rPr>
        <w:t xml:space="preserve"> sought </w:t>
      </w:r>
      <w:r w:rsidR="00485879">
        <w:rPr>
          <w:rFonts w:ascii="Arial" w:hAnsi="Arial" w:cs="Arial"/>
          <w:sz w:val="24"/>
          <w:szCs w:val="24"/>
        </w:rPr>
        <w:t>various</w:t>
      </w:r>
      <w:r w:rsidR="002363D8" w:rsidRPr="00E5251A">
        <w:rPr>
          <w:rFonts w:ascii="Arial" w:hAnsi="Arial" w:cs="Arial"/>
          <w:sz w:val="24"/>
          <w:szCs w:val="24"/>
        </w:rPr>
        <w:t xml:space="preserve"> different prayers against </w:t>
      </w:r>
      <w:r w:rsidR="00485879">
        <w:rPr>
          <w:rFonts w:ascii="Arial" w:hAnsi="Arial" w:cs="Arial"/>
          <w:sz w:val="24"/>
          <w:szCs w:val="24"/>
        </w:rPr>
        <w:t xml:space="preserve">the respondent, </w:t>
      </w:r>
      <w:r w:rsidR="002363D8" w:rsidRPr="00E5251A">
        <w:rPr>
          <w:rFonts w:ascii="Arial" w:hAnsi="Arial" w:cs="Arial"/>
          <w:sz w:val="24"/>
          <w:szCs w:val="24"/>
        </w:rPr>
        <w:t>an owner in the relevant scheme; to claim in respect of arrear</w:t>
      </w:r>
      <w:r w:rsidR="00485879">
        <w:rPr>
          <w:rFonts w:ascii="Arial" w:hAnsi="Arial" w:cs="Arial"/>
          <w:sz w:val="24"/>
          <w:szCs w:val="24"/>
        </w:rPr>
        <w:t xml:space="preserve">s; more specifically, </w:t>
      </w:r>
      <w:r w:rsidR="002363D8" w:rsidRPr="00E5251A">
        <w:rPr>
          <w:rFonts w:ascii="Arial" w:hAnsi="Arial" w:cs="Arial"/>
          <w:sz w:val="24"/>
          <w:szCs w:val="24"/>
        </w:rPr>
        <w:t xml:space="preserve"> levies, payments to the Community Schemes Ombud Service, a maintenance levy, sewerage charges and electricity charges. This amount totalled R94 180.18 of which the electricity component was </w:t>
      </w:r>
      <w:r w:rsidR="009866EC" w:rsidRPr="00E5251A">
        <w:rPr>
          <w:rFonts w:ascii="Arial" w:hAnsi="Arial" w:cs="Arial"/>
          <w:sz w:val="24"/>
          <w:szCs w:val="24"/>
        </w:rPr>
        <w:t>R24 168.26 in respect of arrear electricity consumption charges for the period November 2019 to July 2022</w:t>
      </w:r>
      <w:r w:rsidR="00A61DD7">
        <w:rPr>
          <w:rFonts w:ascii="Arial" w:hAnsi="Arial" w:cs="Arial"/>
          <w:sz w:val="24"/>
          <w:szCs w:val="24"/>
        </w:rPr>
        <w:t>.</w:t>
      </w:r>
      <w:r w:rsidR="00B32B01">
        <w:rPr>
          <w:rFonts w:ascii="Arial" w:hAnsi="Arial" w:cs="Arial"/>
          <w:sz w:val="24"/>
          <w:szCs w:val="24"/>
        </w:rPr>
        <w:t xml:space="preserve"> There was also a claim for interest on that sum. I granted this relief, and this does not form part of the leave to appeal.</w:t>
      </w:r>
    </w:p>
    <w:p w14:paraId="26432303" w14:textId="062B20EA" w:rsidR="002363D8" w:rsidRPr="00482B2D" w:rsidRDefault="00E5251A" w:rsidP="00E5251A">
      <w:pPr>
        <w:spacing w:after="360" w:line="480" w:lineRule="auto"/>
        <w:ind w:left="720" w:hanging="720"/>
        <w:jc w:val="both"/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2363D8" w:rsidRPr="00E5251A">
        <w:rPr>
          <w:rFonts w:ascii="Arial" w:hAnsi="Arial" w:cs="Arial"/>
          <w:sz w:val="24"/>
          <w:szCs w:val="24"/>
        </w:rPr>
        <w:t xml:space="preserve">What </w:t>
      </w:r>
      <w:r w:rsidR="00B32B01">
        <w:rPr>
          <w:rFonts w:ascii="Arial" w:hAnsi="Arial" w:cs="Arial"/>
          <w:sz w:val="24"/>
          <w:szCs w:val="24"/>
        </w:rPr>
        <w:t xml:space="preserve">does, is that </w:t>
      </w:r>
      <w:r w:rsidR="002363D8" w:rsidRPr="00E5251A">
        <w:rPr>
          <w:rFonts w:ascii="Arial" w:hAnsi="Arial" w:cs="Arial"/>
          <w:sz w:val="24"/>
          <w:szCs w:val="24"/>
        </w:rPr>
        <w:t>I did not grant a further prayer (number 3 on the draft order) which sought the following relief:</w:t>
      </w:r>
    </w:p>
    <w:p w14:paraId="1ED19283" w14:textId="677DE765" w:rsidR="00482B2D" w:rsidRPr="00482B2D" w:rsidRDefault="00E5251A" w:rsidP="00E5251A">
      <w:pPr>
        <w:pStyle w:val="ListParagraph"/>
        <w:spacing w:after="360" w:line="480" w:lineRule="auto"/>
        <w:ind w:left="21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“</w:t>
      </w:r>
      <w:r w:rsidR="00482B2D" w:rsidRPr="00482B2D">
        <w:rPr>
          <w:rFonts w:ascii="Arial" w:hAnsi="Arial" w:cs="Arial"/>
          <w:i/>
          <w:iCs/>
          <w:color w:val="000000"/>
          <w:sz w:val="24"/>
          <w:szCs w:val="24"/>
        </w:rPr>
        <w:t>In the event that the Respondent does no</w:t>
      </w:r>
      <w:r w:rsidR="00482B2D">
        <w:rPr>
          <w:rFonts w:ascii="Arial" w:hAnsi="Arial" w:cs="Arial"/>
          <w:i/>
          <w:iCs/>
          <w:color w:val="000000"/>
          <w:sz w:val="24"/>
          <w:szCs w:val="24"/>
        </w:rPr>
        <w:t>t</w:t>
      </w:r>
      <w:r w:rsidR="00482B2D" w:rsidRPr="00482B2D">
        <w:rPr>
          <w:rFonts w:ascii="Arial" w:hAnsi="Arial" w:cs="Arial"/>
          <w:i/>
          <w:iCs/>
          <w:color w:val="000000"/>
          <w:sz w:val="24"/>
          <w:szCs w:val="24"/>
        </w:rPr>
        <w:t xml:space="preserve"> effect payment as per paragraph 1 and 2 within 10 days of granting of is order, the Applicant is authorised to engage the services of an elec</w:t>
      </w:r>
      <w:r w:rsidR="00482B2D">
        <w:rPr>
          <w:rFonts w:ascii="Arial" w:hAnsi="Arial" w:cs="Arial"/>
          <w:i/>
          <w:iCs/>
          <w:color w:val="000000"/>
          <w:sz w:val="24"/>
          <w:szCs w:val="24"/>
        </w:rPr>
        <w:t>tri</w:t>
      </w:r>
      <w:r w:rsidR="00482B2D" w:rsidRPr="00482B2D">
        <w:rPr>
          <w:rFonts w:ascii="Arial" w:hAnsi="Arial" w:cs="Arial"/>
          <w:i/>
          <w:iCs/>
          <w:color w:val="000000"/>
          <w:sz w:val="24"/>
          <w:szCs w:val="24"/>
        </w:rPr>
        <w:t xml:space="preserve">cian at a reasonable fee, registered with the Electrical Contractors </w:t>
      </w:r>
      <w:r w:rsidR="00482B2D">
        <w:rPr>
          <w:rFonts w:ascii="Arial" w:hAnsi="Arial" w:cs="Arial"/>
          <w:i/>
          <w:iCs/>
          <w:color w:val="000000"/>
          <w:sz w:val="24"/>
          <w:szCs w:val="24"/>
        </w:rPr>
        <w:t>a</w:t>
      </w:r>
      <w:r w:rsidR="00482B2D" w:rsidRPr="00482B2D">
        <w:rPr>
          <w:rFonts w:ascii="Arial" w:hAnsi="Arial" w:cs="Arial"/>
          <w:i/>
          <w:iCs/>
          <w:color w:val="000000"/>
          <w:sz w:val="24"/>
          <w:szCs w:val="24"/>
        </w:rPr>
        <w:t>ssociation of South Africa, in order to disconnect the electricity s</w:t>
      </w:r>
      <w:r w:rsidR="00482B2D">
        <w:rPr>
          <w:rFonts w:ascii="Arial" w:hAnsi="Arial" w:cs="Arial"/>
          <w:i/>
          <w:iCs/>
          <w:color w:val="000000"/>
          <w:sz w:val="24"/>
          <w:szCs w:val="24"/>
        </w:rPr>
        <w:t>upply</w:t>
      </w:r>
      <w:r w:rsidR="00482B2D" w:rsidRPr="00482B2D">
        <w:rPr>
          <w:rFonts w:ascii="Arial" w:hAnsi="Arial" w:cs="Arial"/>
          <w:i/>
          <w:iCs/>
          <w:color w:val="000000"/>
          <w:sz w:val="24"/>
          <w:szCs w:val="24"/>
        </w:rPr>
        <w:t xml:space="preserve"> to the Respondent's section being: section 73, Holkam Road, Pauls of, Ext 52, Gauteng. The electricity supply shall remain disconnected until payment of the aforesaid amount has been effected.</w:t>
      </w:r>
    </w:p>
    <w:p w14:paraId="7CB893E7" w14:textId="3F9A7019" w:rsidR="00482B2D" w:rsidRPr="00E5251A" w:rsidRDefault="00E5251A" w:rsidP="00E5251A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[4]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82B2D" w:rsidRPr="00E5251A">
        <w:rPr>
          <w:rFonts w:ascii="Arial" w:hAnsi="Arial" w:cs="Arial"/>
          <w:color w:val="000000"/>
          <w:sz w:val="24"/>
          <w:szCs w:val="24"/>
        </w:rPr>
        <w:t>In doing so I followed the only decision that I have been made aware of in this division</w:t>
      </w:r>
      <w:r w:rsidR="00B32B01">
        <w:rPr>
          <w:rFonts w:ascii="Arial" w:hAnsi="Arial" w:cs="Arial"/>
          <w:color w:val="000000"/>
          <w:sz w:val="24"/>
          <w:szCs w:val="24"/>
        </w:rPr>
        <w:t>,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 xml:space="preserve"> of Wilson J in n </w:t>
      </w:r>
      <w:r w:rsidR="00482B2D" w:rsidRPr="00E5251A">
        <w:rPr>
          <w:rFonts w:ascii="Arial" w:hAnsi="Arial" w:cs="Arial"/>
          <w:i/>
          <w:iCs/>
          <w:color w:val="000000"/>
          <w:sz w:val="24"/>
          <w:szCs w:val="24"/>
        </w:rPr>
        <w:t>Lion Ridge Body Corporate v Alexander and Others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 xml:space="preserve"> (17074/2022; 18106/2022; 19220/2022) [2022] ZAGP JHC 666 (21 September 2022)</w:t>
      </w:r>
    </w:p>
    <w:p w14:paraId="606A22E5" w14:textId="3C26AA06" w:rsidR="00482B2D" w:rsidRPr="00E5251A" w:rsidRDefault="00E5251A" w:rsidP="00E5251A">
      <w:pPr>
        <w:spacing w:after="360"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[5]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82B2D" w:rsidRPr="00E5251A">
        <w:rPr>
          <w:rFonts w:ascii="Arial" w:hAnsi="Arial" w:cs="Arial"/>
          <w:color w:val="000000"/>
          <w:sz w:val="24"/>
          <w:szCs w:val="24"/>
        </w:rPr>
        <w:t xml:space="preserve">In that matter Wilson J held: </w:t>
      </w:r>
    </w:p>
    <w:p w14:paraId="3E3C0F3A" w14:textId="0249475A" w:rsidR="00482B2D" w:rsidRPr="0016504B" w:rsidRDefault="00E5251A" w:rsidP="00E5251A">
      <w:pPr>
        <w:pStyle w:val="ListParagraph"/>
        <w:spacing w:after="360" w:line="480" w:lineRule="auto"/>
        <w:ind w:left="21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r w:rsidR="00482B2D" w:rsidRPr="0016504B">
        <w:rPr>
          <w:rFonts w:ascii="Arial" w:hAnsi="Arial" w:cs="Arial"/>
          <w:i/>
          <w:iCs/>
          <w:color w:val="000000"/>
          <w:sz w:val="24"/>
          <w:szCs w:val="24"/>
        </w:rPr>
        <w:t>Neither the Sectional Titles Act nor the standard Management and Conduct Rules promulgated under it empower a body corporate to interfere with a member's utility supply, and Lion Ridge does not allege any other common law or statutory power to do so. It follows that Lion Ridge has not</w:t>
      </w:r>
      <w:r w:rsidR="009866E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482B2D" w:rsidRPr="0016504B">
        <w:rPr>
          <w:rFonts w:ascii="Arial" w:hAnsi="Arial" w:cs="Arial"/>
          <w:i/>
          <w:iCs/>
          <w:color w:val="000000"/>
          <w:sz w:val="24"/>
          <w:szCs w:val="24"/>
        </w:rPr>
        <w:t>identified the source of its alleged right to disconnect or limit the respondents</w:t>
      </w:r>
      <w:r w:rsidR="009866EC">
        <w:rPr>
          <w:rFonts w:ascii="Arial" w:hAnsi="Arial" w:cs="Arial"/>
          <w:i/>
          <w:iCs/>
          <w:color w:val="000000"/>
          <w:sz w:val="24"/>
          <w:szCs w:val="24"/>
        </w:rPr>
        <w:t xml:space="preserve"> u</w:t>
      </w:r>
      <w:r w:rsidR="00482B2D" w:rsidRPr="0016504B">
        <w:rPr>
          <w:rFonts w:ascii="Arial" w:hAnsi="Arial" w:cs="Arial"/>
          <w:i/>
          <w:iCs/>
          <w:color w:val="000000"/>
          <w:sz w:val="24"/>
          <w:szCs w:val="24"/>
        </w:rPr>
        <w:t>tilities. Critically, Lion Ridge does not allege that</w:t>
      </w:r>
      <w:r w:rsidR="009866EC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482B2D" w:rsidRPr="0016504B">
        <w:rPr>
          <w:rFonts w:ascii="Arial" w:hAnsi="Arial" w:cs="Arial"/>
          <w:i/>
          <w:iCs/>
          <w:color w:val="000000"/>
          <w:sz w:val="24"/>
          <w:szCs w:val="24"/>
        </w:rPr>
        <w:t>it has adopted a specific rule, in terms of section 10 of the Act or section 6 of the Regulations, that empowers it to disconnect its members'</w:t>
      </w:r>
      <w:r w:rsidR="009866EC">
        <w:rPr>
          <w:rFonts w:ascii="Arial" w:hAnsi="Arial" w:cs="Arial"/>
          <w:i/>
          <w:iCs/>
          <w:color w:val="000000"/>
          <w:sz w:val="24"/>
          <w:szCs w:val="24"/>
        </w:rPr>
        <w:t xml:space="preserve"> uti</w:t>
      </w:r>
      <w:r w:rsidR="00482B2D" w:rsidRPr="0016504B">
        <w:rPr>
          <w:rFonts w:ascii="Arial" w:hAnsi="Arial" w:cs="Arial"/>
          <w:i/>
          <w:iCs/>
          <w:color w:val="000000"/>
          <w:sz w:val="24"/>
          <w:szCs w:val="24"/>
        </w:rPr>
        <w:t>lities to recover outstanding levies.</w:t>
      </w:r>
      <w:r>
        <w:rPr>
          <w:rFonts w:ascii="Arial" w:hAnsi="Arial" w:cs="Arial"/>
          <w:i/>
          <w:iCs/>
          <w:color w:val="000000"/>
          <w:sz w:val="24"/>
          <w:szCs w:val="24"/>
        </w:rPr>
        <w:t>”</w:t>
      </w:r>
    </w:p>
    <w:p w14:paraId="6854B1D3" w14:textId="0A55E81D" w:rsidR="00482B2D" w:rsidRPr="00E5251A" w:rsidRDefault="00E5251A" w:rsidP="00E5251A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[6]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82B2D" w:rsidRPr="00E5251A">
        <w:rPr>
          <w:rFonts w:ascii="Arial" w:hAnsi="Arial" w:cs="Arial"/>
          <w:color w:val="000000"/>
          <w:sz w:val="24"/>
          <w:szCs w:val="24"/>
        </w:rPr>
        <w:t>There was nothing in the current application which suggested what power the body corporate in this matter sought to act</w:t>
      </w:r>
      <w:r w:rsidR="00B32B01">
        <w:rPr>
          <w:rFonts w:ascii="Arial" w:hAnsi="Arial" w:cs="Arial"/>
          <w:color w:val="000000"/>
          <w:sz w:val="24"/>
          <w:szCs w:val="24"/>
        </w:rPr>
        <w:t xml:space="preserve"> in terms of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>. However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,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 xml:space="preserve"> in the application for leave to </w:t>
      </w:r>
      <w:r w:rsidR="00B32B01" w:rsidRPr="00E5251A">
        <w:rPr>
          <w:rFonts w:ascii="Arial" w:hAnsi="Arial" w:cs="Arial"/>
          <w:color w:val="000000"/>
          <w:sz w:val="24"/>
          <w:szCs w:val="24"/>
        </w:rPr>
        <w:t>appea</w:t>
      </w:r>
      <w:r w:rsidR="00B32B01">
        <w:rPr>
          <w:rFonts w:ascii="Arial" w:hAnsi="Arial" w:cs="Arial"/>
          <w:color w:val="000000"/>
          <w:sz w:val="24"/>
          <w:szCs w:val="24"/>
        </w:rPr>
        <w:t>l,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 xml:space="preserve"> counsel for the applicant</w:t>
      </w:r>
      <w:r w:rsidR="00B32B01">
        <w:rPr>
          <w:rFonts w:ascii="Arial" w:hAnsi="Arial" w:cs="Arial"/>
          <w:color w:val="000000"/>
          <w:sz w:val="24"/>
          <w:szCs w:val="24"/>
        </w:rPr>
        <w:t>,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 xml:space="preserve"> now relies on section 1(i) of Sectional Titles Management Act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8 of 2011, (</w:t>
      </w:r>
      <w:r w:rsidR="00A61DD7">
        <w:rPr>
          <w:rFonts w:ascii="Arial" w:hAnsi="Arial" w:cs="Arial"/>
          <w:color w:val="000000"/>
          <w:sz w:val="24"/>
          <w:szCs w:val="24"/>
        </w:rPr>
        <w:t>“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the Act</w:t>
      </w:r>
      <w:r w:rsidR="00A61DD7">
        <w:rPr>
          <w:rFonts w:ascii="Arial" w:hAnsi="Arial" w:cs="Arial"/>
          <w:color w:val="000000"/>
          <w:sz w:val="24"/>
          <w:szCs w:val="24"/>
        </w:rPr>
        <w:t>”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) 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>which states:</w:t>
      </w:r>
    </w:p>
    <w:p w14:paraId="4E1AEDC4" w14:textId="151DD671" w:rsidR="0016504B" w:rsidRPr="0016504B" w:rsidRDefault="00E5251A" w:rsidP="00E5251A">
      <w:pPr>
        <w:pStyle w:val="ListParagraph"/>
        <w:spacing w:after="360" w:line="480" w:lineRule="auto"/>
        <w:ind w:left="21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“</w:t>
      </w:r>
      <w:r w:rsidR="0016504B" w:rsidRPr="0016504B">
        <w:rPr>
          <w:rFonts w:ascii="Arial" w:hAnsi="Arial" w:cs="Arial"/>
          <w:i/>
          <w:iCs/>
          <w:sz w:val="24"/>
          <w:szCs w:val="24"/>
        </w:rPr>
        <w:t>The body corporate may exercise the powers conferred upon it by or under this Act or the rules, and such powers include the power — ... to do all things reasonably necessary for the enforcement of the rules and for the management and administration of the common property.</w:t>
      </w:r>
      <w:r>
        <w:rPr>
          <w:rFonts w:ascii="Arial" w:hAnsi="Arial" w:cs="Arial"/>
          <w:i/>
          <w:iCs/>
          <w:sz w:val="24"/>
          <w:szCs w:val="24"/>
        </w:rPr>
        <w:t>”</w:t>
      </w:r>
    </w:p>
    <w:p w14:paraId="27465945" w14:textId="3C135E71" w:rsidR="00482B2D" w:rsidRPr="00482B2D" w:rsidRDefault="00482B2D" w:rsidP="00E5251A">
      <w:pPr>
        <w:pStyle w:val="ListParagraph"/>
        <w:spacing w:after="360"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AE79EF4" w14:textId="1D6305E1" w:rsidR="00482B2D" w:rsidRPr="00E5251A" w:rsidRDefault="00E5251A" w:rsidP="00E5251A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[7]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482B2D" w:rsidRPr="00E5251A">
        <w:rPr>
          <w:rFonts w:ascii="Arial" w:hAnsi="Arial" w:cs="Arial"/>
          <w:color w:val="000000"/>
          <w:sz w:val="24"/>
          <w:szCs w:val="24"/>
        </w:rPr>
        <w:t>This is not alleged in the application papers. However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,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 xml:space="preserve"> counsel says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paragraphs</w:t>
      </w:r>
      <w:r w:rsidR="00482B2D" w:rsidRPr="00E5251A">
        <w:rPr>
          <w:rFonts w:ascii="Arial" w:hAnsi="Arial" w:cs="Arial"/>
          <w:color w:val="000000"/>
          <w:sz w:val="24"/>
          <w:szCs w:val="24"/>
        </w:rPr>
        <w:t xml:space="preserve"> 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8 and 10 of the founding papers can be read to set out the factual basis for this power and it was not necessary for the applicant to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specifically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plead that it acted in terms of this statutory power. (See </w:t>
      </w:r>
      <w:r w:rsidR="009B0E1D" w:rsidRPr="00E5251A">
        <w:rPr>
          <w:rFonts w:ascii="Arial" w:hAnsi="Arial" w:cs="Arial"/>
          <w:i/>
          <w:iCs/>
          <w:color w:val="000000"/>
          <w:sz w:val="24"/>
          <w:szCs w:val="24"/>
        </w:rPr>
        <w:t xml:space="preserve">Fundtrust Pty Ltd v Van Deventer 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>1997(1) SA 710.)</w:t>
      </w:r>
    </w:p>
    <w:p w14:paraId="0AEEFECF" w14:textId="79A99F84" w:rsidR="009B0E1D" w:rsidRPr="00E5251A" w:rsidRDefault="00E5251A" w:rsidP="00E5251A">
      <w:pPr>
        <w:spacing w:after="360" w:line="48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[8]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B0E1D" w:rsidRPr="00E5251A">
        <w:rPr>
          <w:rFonts w:ascii="Arial" w:hAnsi="Arial" w:cs="Arial"/>
          <w:color w:val="000000"/>
          <w:sz w:val="24"/>
          <w:szCs w:val="24"/>
        </w:rPr>
        <w:t>Whether this has been sufficiently pleaded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</w:t>
      </w:r>
      <w:r w:rsidR="009866EC" w:rsidRPr="00A61DD7">
        <w:rPr>
          <w:rFonts w:ascii="Arial" w:hAnsi="Arial" w:cs="Arial"/>
          <w:i/>
          <w:iCs/>
          <w:color w:val="000000"/>
          <w:sz w:val="24"/>
          <w:szCs w:val="24"/>
        </w:rPr>
        <w:t>in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</w:t>
      </w:r>
      <w:r w:rsidR="009866EC" w:rsidRPr="00A61DD7">
        <w:rPr>
          <w:rFonts w:ascii="Arial" w:hAnsi="Arial" w:cs="Arial"/>
          <w:i/>
          <w:iCs/>
          <w:color w:val="000000"/>
          <w:sz w:val="24"/>
          <w:szCs w:val="24"/>
        </w:rPr>
        <w:t>casu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I express no view</w:t>
      </w:r>
      <w:r w:rsidR="00B32B01">
        <w:rPr>
          <w:rFonts w:ascii="Arial" w:hAnsi="Arial" w:cs="Arial"/>
          <w:color w:val="000000"/>
          <w:sz w:val="24"/>
          <w:szCs w:val="24"/>
        </w:rPr>
        <w:t xml:space="preserve"> on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5019DFB" w14:textId="1E461872" w:rsidR="009866EC" w:rsidRPr="00E5251A" w:rsidRDefault="00E5251A" w:rsidP="00E5251A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[9]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What I am persuaded by is an argument that courts in this division have sometimes granted such relief </w:t>
      </w:r>
      <w:r w:rsidR="00B32B01">
        <w:rPr>
          <w:rFonts w:ascii="Arial" w:hAnsi="Arial" w:cs="Arial"/>
          <w:color w:val="000000"/>
          <w:sz w:val="24"/>
          <w:szCs w:val="24"/>
        </w:rPr>
        <w:t xml:space="preserve">i.e. the disconnection relief, 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whilst others have not. Nor is it clear to me that the argument relying on section 4(i)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of the Act 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>has been made sufficiently clearly before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,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as it has now on appeal. This is probably because most of these cases came on the unopposed motion roll as did this one.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Many b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>ody corporates are like the applicant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,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faced with a similar problem in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subsidising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the electrical debts of a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defaulting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owner on an ongoing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basis.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Whether this argument prevails or not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,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legal clarity on this point is in the best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interests</w:t>
      </w:r>
      <w:r w:rsidR="009B0E1D" w:rsidRPr="00E5251A">
        <w:rPr>
          <w:rFonts w:ascii="Arial" w:hAnsi="Arial" w:cs="Arial"/>
          <w:color w:val="000000"/>
          <w:sz w:val="24"/>
          <w:szCs w:val="24"/>
        </w:rPr>
        <w:t xml:space="preserve"> of both body corporates 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and owners.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If </w:t>
      </w:r>
      <w:r w:rsidR="00485879">
        <w:rPr>
          <w:rFonts w:ascii="Arial" w:hAnsi="Arial" w:cs="Arial"/>
          <w:color w:val="000000"/>
          <w:sz w:val="24"/>
          <w:szCs w:val="24"/>
        </w:rPr>
        <w:t>the applicant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 do</w:t>
      </w:r>
      <w:r w:rsidR="00485879">
        <w:rPr>
          <w:rFonts w:ascii="Arial" w:hAnsi="Arial" w:cs="Arial"/>
          <w:color w:val="000000"/>
          <w:sz w:val="24"/>
          <w:szCs w:val="24"/>
        </w:rPr>
        <w:t>es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 not succeed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>,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 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then </w:t>
      </w:r>
      <w:r w:rsidR="00485879">
        <w:rPr>
          <w:rFonts w:ascii="Arial" w:hAnsi="Arial" w:cs="Arial"/>
          <w:color w:val="000000"/>
          <w:sz w:val="24"/>
          <w:szCs w:val="24"/>
        </w:rPr>
        <w:t xml:space="preserve">it, and others similarly situated,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must know that they must consider alternatives </w:t>
      </w:r>
      <w:r w:rsidR="00485879">
        <w:rPr>
          <w:rFonts w:ascii="Arial" w:hAnsi="Arial" w:cs="Arial"/>
          <w:color w:val="000000"/>
          <w:sz w:val="24"/>
          <w:szCs w:val="24"/>
        </w:rPr>
        <w:t xml:space="preserve">including those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suggested by Wilson J. 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>This need for clarity and the prevalence of these cases in the courts, is a sufficiently compelling reason for leave to be granted in terms of section 17(1)(a)(ii) of the Superior Courts Act.</w:t>
      </w:r>
    </w:p>
    <w:p w14:paraId="5E279424" w14:textId="3463F435" w:rsidR="009866EC" w:rsidRPr="00E5251A" w:rsidRDefault="00E5251A" w:rsidP="00E5251A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[10]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9866EC" w:rsidRPr="00E5251A">
        <w:rPr>
          <w:rFonts w:ascii="Arial" w:hAnsi="Arial" w:cs="Arial"/>
          <w:color w:val="000000"/>
          <w:sz w:val="24"/>
          <w:szCs w:val="24"/>
        </w:rPr>
        <w:t>What this case also raises</w:t>
      </w:r>
      <w:r w:rsidR="00122FBF" w:rsidRPr="00E5251A">
        <w:rPr>
          <w:rFonts w:ascii="Arial" w:hAnsi="Arial" w:cs="Arial"/>
          <w:color w:val="000000"/>
          <w:sz w:val="24"/>
          <w:szCs w:val="24"/>
        </w:rPr>
        <w:t>,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and was not argued in the leave to appeal</w:t>
      </w:r>
      <w:r w:rsidR="00122FBF" w:rsidRPr="00E5251A">
        <w:rPr>
          <w:rFonts w:ascii="Arial" w:hAnsi="Arial" w:cs="Arial"/>
          <w:color w:val="000000"/>
          <w:sz w:val="24"/>
          <w:szCs w:val="24"/>
        </w:rPr>
        <w:t>,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and I have only considered belatedly</w:t>
      </w:r>
      <w:r w:rsidR="00122FBF" w:rsidRPr="00E5251A">
        <w:rPr>
          <w:rFonts w:ascii="Arial" w:hAnsi="Arial" w:cs="Arial"/>
          <w:color w:val="000000"/>
          <w:sz w:val="24"/>
          <w:szCs w:val="24"/>
        </w:rPr>
        <w:t>,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is that even if there is such a power to disconnect</w:t>
      </w:r>
      <w:r w:rsidR="00122FBF" w:rsidRPr="00E5251A">
        <w:rPr>
          <w:rFonts w:ascii="Arial" w:hAnsi="Arial" w:cs="Arial"/>
          <w:color w:val="000000"/>
          <w:sz w:val="24"/>
          <w:szCs w:val="24"/>
        </w:rPr>
        <w:t>,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</w:t>
      </w:r>
      <w:r w:rsidR="00485879">
        <w:rPr>
          <w:rFonts w:ascii="Arial" w:hAnsi="Arial" w:cs="Arial"/>
          <w:color w:val="000000"/>
          <w:sz w:val="24"/>
          <w:szCs w:val="24"/>
        </w:rPr>
        <w:t>does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that power </w:t>
      </w:r>
      <w:r w:rsidR="00485879">
        <w:rPr>
          <w:rFonts w:ascii="Arial" w:hAnsi="Arial" w:cs="Arial"/>
          <w:color w:val="000000"/>
          <w:sz w:val="24"/>
          <w:szCs w:val="24"/>
        </w:rPr>
        <w:t>extend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to </w:t>
      </w:r>
      <w:r w:rsidR="0048587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recovery of all the arrears debts ( as was the case </w:t>
      </w:r>
      <w:r w:rsidR="009866EC" w:rsidRPr="00A61DD7">
        <w:rPr>
          <w:rFonts w:ascii="Arial" w:hAnsi="Arial" w:cs="Arial"/>
          <w:i/>
          <w:iCs/>
          <w:color w:val="000000"/>
          <w:sz w:val="24"/>
          <w:szCs w:val="24"/>
        </w:rPr>
        <w:t>in casu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>) or only the arrear electricity debt (a lower amount</w:t>
      </w:r>
      <w:r w:rsidR="00485879">
        <w:rPr>
          <w:rFonts w:ascii="Arial" w:hAnsi="Arial" w:cs="Arial"/>
          <w:color w:val="000000"/>
          <w:sz w:val="24"/>
          <w:szCs w:val="24"/>
        </w:rPr>
        <w:t>,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in this case of R24 168.26)</w:t>
      </w:r>
    </w:p>
    <w:p w14:paraId="5073FB59" w14:textId="0343E629" w:rsidR="009B0E1D" w:rsidRPr="00E5251A" w:rsidRDefault="00E5251A" w:rsidP="00E5251A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[11]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9401D" w:rsidRPr="00E5251A">
        <w:rPr>
          <w:rFonts w:ascii="Arial" w:hAnsi="Arial" w:cs="Arial"/>
          <w:color w:val="000000"/>
          <w:sz w:val="24"/>
          <w:szCs w:val="24"/>
        </w:rPr>
        <w:t>For this reason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>,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 I would grant leave to appeal but as there are no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conflicting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 written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judgments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 that I have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been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 made aware o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f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 I would grant leave to a full court of this division</w:t>
      </w:r>
      <w:r w:rsidR="009866EC" w:rsidRPr="00E5251A">
        <w:rPr>
          <w:rFonts w:ascii="Arial" w:hAnsi="Arial" w:cs="Arial"/>
          <w:color w:val="000000"/>
          <w:sz w:val="24"/>
          <w:szCs w:val="24"/>
        </w:rPr>
        <w:t xml:space="preserve"> not the SCA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. </w:t>
      </w:r>
      <w:r w:rsidR="0059401D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1"/>
      </w:r>
    </w:p>
    <w:p w14:paraId="1A38F077" w14:textId="27856F8F" w:rsidR="0059401D" w:rsidRDefault="00E5251A" w:rsidP="00E5251A">
      <w:pPr>
        <w:spacing w:after="36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[12]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I have also made the unusual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additional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 order that I appoint counsel to argue </w:t>
      </w:r>
      <w:r w:rsidR="00B32B01">
        <w:rPr>
          <w:rFonts w:ascii="Arial" w:hAnsi="Arial" w:cs="Arial"/>
          <w:color w:val="000000"/>
          <w:sz w:val="24"/>
          <w:szCs w:val="24"/>
        </w:rPr>
        <w:t xml:space="preserve">an </w:t>
      </w:r>
      <w:r w:rsidR="00B32B01" w:rsidRPr="00B32B01">
        <w:rPr>
          <w:rFonts w:ascii="Arial" w:hAnsi="Arial" w:cs="Arial"/>
          <w:i/>
          <w:iCs/>
          <w:color w:val="000000"/>
          <w:sz w:val="24"/>
          <w:szCs w:val="24"/>
        </w:rPr>
        <w:t>amicus curiae</w:t>
      </w:r>
      <w:r w:rsidR="00B32B01">
        <w:rPr>
          <w:rFonts w:ascii="Arial" w:hAnsi="Arial" w:cs="Arial"/>
          <w:color w:val="000000"/>
          <w:sz w:val="24"/>
          <w:szCs w:val="24"/>
        </w:rPr>
        <w:t xml:space="preserve"> brief 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>as well. This is so the full court has the benefit o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n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 a matter of public interest to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 xml:space="preserve">hearing 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an </w:t>
      </w:r>
      <w:r w:rsidR="0016504B" w:rsidRPr="00E5251A">
        <w:rPr>
          <w:rFonts w:ascii="Arial" w:hAnsi="Arial" w:cs="Arial"/>
          <w:color w:val="000000"/>
          <w:sz w:val="24"/>
          <w:szCs w:val="24"/>
        </w:rPr>
        <w:t>alternative</w:t>
      </w:r>
      <w:r w:rsidR="0059401D" w:rsidRPr="00E5251A">
        <w:rPr>
          <w:rFonts w:ascii="Arial" w:hAnsi="Arial" w:cs="Arial"/>
          <w:color w:val="000000"/>
          <w:sz w:val="24"/>
          <w:szCs w:val="24"/>
        </w:rPr>
        <w:t xml:space="preserve"> argument. </w:t>
      </w:r>
    </w:p>
    <w:p w14:paraId="4EACAD34" w14:textId="77777777" w:rsidR="00E5251A" w:rsidRPr="0090557B" w:rsidRDefault="00E5251A" w:rsidP="00E5251A">
      <w:pPr>
        <w:spacing w:after="200" w:line="480" w:lineRule="auto"/>
        <w:ind w:firstLine="720"/>
        <w:jc w:val="both"/>
        <w:rPr>
          <w:rFonts w:ascii="Arial" w:eastAsia="MS Mincho" w:hAnsi="Arial" w:cs="Arial"/>
          <w:b/>
          <w:sz w:val="24"/>
          <w:szCs w:val="24"/>
          <w:u w:val="single"/>
          <w:lang w:eastAsia="ja-JP"/>
          <w14:ligatures w14:val="none"/>
        </w:rPr>
      </w:pPr>
      <w:r w:rsidRPr="0090557B">
        <w:rPr>
          <w:rFonts w:ascii="Arial" w:eastAsia="MS Mincho" w:hAnsi="Arial" w:cs="Arial"/>
          <w:b/>
          <w:sz w:val="24"/>
          <w:szCs w:val="24"/>
          <w:u w:val="single"/>
          <w:lang w:eastAsia="ja-JP"/>
          <w14:ligatures w14:val="none"/>
        </w:rPr>
        <w:t>ORDER:-</w:t>
      </w:r>
    </w:p>
    <w:p w14:paraId="2EE3DAF8" w14:textId="1035B752" w:rsidR="0059401D" w:rsidRPr="00E5251A" w:rsidRDefault="00E5251A" w:rsidP="00E5251A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eastAsia="ja-JP"/>
          <w14:ligatures w14:val="none"/>
        </w:rPr>
      </w:pPr>
      <w:r w:rsidRPr="0090557B">
        <w:rPr>
          <w:rFonts w:ascii="Arial" w:eastAsia="MS Mincho" w:hAnsi="Arial" w:cs="Arial"/>
          <w:sz w:val="24"/>
          <w:szCs w:val="24"/>
          <w:lang w:eastAsia="ja-JP"/>
          <w14:ligatures w14:val="none"/>
        </w:rPr>
        <w:t>[</w:t>
      </w:r>
      <w:r>
        <w:rPr>
          <w:rFonts w:ascii="Arial" w:eastAsia="MS Mincho" w:hAnsi="Arial" w:cs="Arial"/>
          <w:sz w:val="24"/>
          <w:szCs w:val="24"/>
          <w:lang w:eastAsia="ja-JP"/>
          <w14:ligatures w14:val="none"/>
        </w:rPr>
        <w:t>13</w:t>
      </w:r>
      <w:r w:rsidRPr="0090557B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] </w:t>
      </w:r>
      <w:r w:rsidRPr="0090557B">
        <w:rPr>
          <w:rFonts w:ascii="Arial" w:eastAsia="MS Mincho" w:hAnsi="Arial" w:cs="Arial"/>
          <w:sz w:val="24"/>
          <w:szCs w:val="24"/>
          <w:lang w:eastAsia="ja-JP"/>
          <w14:ligatures w14:val="none"/>
        </w:rPr>
        <w:tab/>
        <w:t>In the result the following order is made:</w:t>
      </w:r>
    </w:p>
    <w:p w14:paraId="2A3197AE" w14:textId="6530CBA4" w:rsidR="0059401D" w:rsidRPr="0059401D" w:rsidRDefault="0059401D" w:rsidP="0088432C">
      <w:pPr>
        <w:pStyle w:val="ListParagraph"/>
        <w:numPr>
          <w:ilvl w:val="0"/>
          <w:numId w:val="1"/>
        </w:numPr>
        <w:spacing w:after="360" w:line="480" w:lineRule="auto"/>
        <w:ind w:left="1066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Leave to appeal to a full court of this division is granted.</w:t>
      </w:r>
    </w:p>
    <w:p w14:paraId="3DA229E5" w14:textId="41ACC9A4" w:rsidR="0059401D" w:rsidRPr="0059401D" w:rsidRDefault="0059401D" w:rsidP="0088432C">
      <w:pPr>
        <w:pStyle w:val="ListParagraph"/>
        <w:numPr>
          <w:ilvl w:val="0"/>
          <w:numId w:val="1"/>
        </w:numPr>
        <w:spacing w:after="360" w:line="480" w:lineRule="auto"/>
        <w:ind w:left="1066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applicant is to approach </w:t>
      </w:r>
      <w:r w:rsidR="0016504B">
        <w:rPr>
          <w:rFonts w:ascii="Arial" w:hAnsi="Arial" w:cs="Arial"/>
          <w:color w:val="000000"/>
          <w:sz w:val="24"/>
          <w:szCs w:val="24"/>
        </w:rPr>
        <w:t>Manoim</w:t>
      </w:r>
      <w:r>
        <w:rPr>
          <w:rFonts w:ascii="Arial" w:hAnsi="Arial" w:cs="Arial"/>
          <w:color w:val="000000"/>
          <w:sz w:val="24"/>
          <w:szCs w:val="24"/>
        </w:rPr>
        <w:t xml:space="preserve"> J</w:t>
      </w:r>
      <w:r w:rsidR="00122FB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or </w:t>
      </w:r>
      <w:r w:rsidR="0016504B">
        <w:rPr>
          <w:rFonts w:ascii="Arial" w:hAnsi="Arial" w:cs="Arial"/>
          <w:color w:val="000000"/>
          <w:sz w:val="24"/>
          <w:szCs w:val="24"/>
        </w:rPr>
        <w:t>failing</w:t>
      </w:r>
      <w:r>
        <w:rPr>
          <w:rFonts w:ascii="Arial" w:hAnsi="Arial" w:cs="Arial"/>
          <w:color w:val="000000"/>
          <w:sz w:val="24"/>
          <w:szCs w:val="24"/>
        </w:rPr>
        <w:t xml:space="preserve"> him the Deputy Judge </w:t>
      </w:r>
      <w:r w:rsidR="0016504B">
        <w:rPr>
          <w:rFonts w:ascii="Arial" w:hAnsi="Arial" w:cs="Arial"/>
          <w:color w:val="000000"/>
          <w:sz w:val="24"/>
          <w:szCs w:val="24"/>
        </w:rPr>
        <w:t>President,</w:t>
      </w:r>
      <w:r>
        <w:rPr>
          <w:rFonts w:ascii="Arial" w:hAnsi="Arial" w:cs="Arial"/>
          <w:color w:val="000000"/>
          <w:sz w:val="24"/>
          <w:szCs w:val="24"/>
        </w:rPr>
        <w:t xml:space="preserve"> when the registrar has advised it of the date of set down</w:t>
      </w:r>
      <w:r w:rsidR="00122FBF">
        <w:rPr>
          <w:rFonts w:ascii="Arial" w:hAnsi="Arial" w:cs="Arial"/>
          <w:color w:val="000000"/>
          <w:sz w:val="24"/>
          <w:szCs w:val="24"/>
        </w:rPr>
        <w:t xml:space="preserve"> of the appeal</w:t>
      </w:r>
      <w:r w:rsidR="0016504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so that counsel can </w:t>
      </w:r>
      <w:r w:rsidR="00B32B01">
        <w:rPr>
          <w:rFonts w:ascii="Arial" w:hAnsi="Arial" w:cs="Arial"/>
          <w:color w:val="000000"/>
          <w:sz w:val="24"/>
          <w:szCs w:val="24"/>
        </w:rPr>
        <w:t xml:space="preserve">timeously </w:t>
      </w:r>
      <w:r>
        <w:rPr>
          <w:rFonts w:ascii="Arial" w:hAnsi="Arial" w:cs="Arial"/>
          <w:color w:val="000000"/>
          <w:sz w:val="24"/>
          <w:szCs w:val="24"/>
        </w:rPr>
        <w:t xml:space="preserve">be briefed </w:t>
      </w:r>
      <w:r w:rsidR="00B32B01" w:rsidRPr="00B32B01">
        <w:rPr>
          <w:rFonts w:ascii="Arial" w:hAnsi="Arial" w:cs="Arial"/>
          <w:i/>
          <w:iCs/>
          <w:color w:val="000000"/>
          <w:sz w:val="24"/>
          <w:szCs w:val="24"/>
        </w:rPr>
        <w:t>amicus curiae</w:t>
      </w:r>
      <w:r w:rsidR="00B32B0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argue the matter</w:t>
      </w:r>
      <w:r w:rsidR="0016504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including to file heads of argument.</w:t>
      </w:r>
    </w:p>
    <w:p w14:paraId="2CFC0280" w14:textId="4DFB20DA" w:rsidR="0059401D" w:rsidRPr="00E5251A" w:rsidRDefault="0059401D" w:rsidP="0088432C">
      <w:pPr>
        <w:pStyle w:val="ListParagraph"/>
        <w:numPr>
          <w:ilvl w:val="0"/>
          <w:numId w:val="1"/>
        </w:numPr>
        <w:spacing w:after="360" w:line="480" w:lineRule="auto"/>
        <w:ind w:left="1066" w:hanging="35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Costs to be costs in the appeal.</w:t>
      </w:r>
    </w:p>
    <w:p w14:paraId="0D60FDC2" w14:textId="77777777" w:rsidR="00E5251A" w:rsidRDefault="00E5251A" w:rsidP="00E525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AE7BFB0" w14:textId="77777777" w:rsidR="00E5251A" w:rsidRDefault="00E5251A" w:rsidP="00E525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EBC6ACE" w14:textId="77777777" w:rsidR="00E5251A" w:rsidRDefault="00E5251A" w:rsidP="00E525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38E34FF" w14:textId="77777777" w:rsidR="00E5251A" w:rsidRDefault="00E5251A" w:rsidP="00E525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039EA7B" w14:textId="77777777" w:rsidR="00E5251A" w:rsidRDefault="00E5251A" w:rsidP="00E525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C7280F2" w14:textId="77777777" w:rsidR="00E5251A" w:rsidRPr="00E5251A" w:rsidRDefault="00E5251A" w:rsidP="00E5251A">
      <w:pPr>
        <w:spacing w:after="0" w:line="480" w:lineRule="auto"/>
        <w:jc w:val="right"/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  <w:t>_____________________________</w:t>
      </w:r>
    </w:p>
    <w:p w14:paraId="5FC9AD69" w14:textId="77777777" w:rsidR="00E5251A" w:rsidRPr="00E5251A" w:rsidRDefault="00E5251A" w:rsidP="00E5251A">
      <w:pPr>
        <w:spacing w:after="0" w:line="360" w:lineRule="auto"/>
        <w:jc w:val="right"/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  <w:t>N.  MANOIM</w:t>
      </w:r>
    </w:p>
    <w:p w14:paraId="570E8BC1" w14:textId="77777777" w:rsidR="00E5251A" w:rsidRPr="00E5251A" w:rsidRDefault="00E5251A" w:rsidP="00E5251A">
      <w:pPr>
        <w:spacing w:after="0" w:line="360" w:lineRule="auto"/>
        <w:jc w:val="right"/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  <w:t>JUDGE OF THE HIGH COURT</w:t>
      </w:r>
    </w:p>
    <w:p w14:paraId="6414598E" w14:textId="77777777" w:rsidR="00E5251A" w:rsidRPr="00E5251A" w:rsidRDefault="00E5251A" w:rsidP="00E5251A">
      <w:pPr>
        <w:spacing w:after="0" w:line="360" w:lineRule="auto"/>
        <w:jc w:val="right"/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  <w:t xml:space="preserve">GAUTENG DIVISION </w:t>
      </w:r>
    </w:p>
    <w:p w14:paraId="7BBC92BF" w14:textId="77777777" w:rsidR="00E5251A" w:rsidRPr="00E5251A" w:rsidRDefault="00E5251A" w:rsidP="00E5251A">
      <w:pPr>
        <w:spacing w:after="200" w:line="276" w:lineRule="auto"/>
        <w:jc w:val="right"/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b/>
          <w:sz w:val="24"/>
          <w:szCs w:val="24"/>
          <w:lang w:eastAsia="ja-JP"/>
          <w14:ligatures w14:val="none"/>
        </w:rPr>
        <w:t xml:space="preserve">JOHNANNESBURG </w:t>
      </w:r>
    </w:p>
    <w:p w14:paraId="0C569463" w14:textId="77777777" w:rsidR="00E5251A" w:rsidRDefault="00E5251A" w:rsidP="00E5251A">
      <w:pPr>
        <w:spacing w:after="200" w:line="240" w:lineRule="auto"/>
        <w:jc w:val="both"/>
        <w:rPr>
          <w:rFonts w:ascii="Arial" w:eastAsia="MS Mincho" w:hAnsi="Arial" w:cs="Arial"/>
          <w:sz w:val="24"/>
          <w:szCs w:val="24"/>
          <w:lang w:eastAsia="ja-JP"/>
          <w14:ligatures w14:val="none"/>
        </w:rPr>
      </w:pPr>
    </w:p>
    <w:p w14:paraId="5F128C3B" w14:textId="4CE58363" w:rsidR="00E5251A" w:rsidRPr="00E5251A" w:rsidRDefault="001B543A" w:rsidP="00E5251A">
      <w:pPr>
        <w:spacing w:after="200" w:line="240" w:lineRule="auto"/>
        <w:jc w:val="both"/>
        <w:rPr>
          <w:rFonts w:ascii="Arial" w:eastAsia="MS Mincho" w:hAnsi="Arial" w:cs="Arial"/>
          <w:sz w:val="24"/>
          <w:szCs w:val="24"/>
          <w:lang w:eastAsia="ja-JP"/>
          <w14:ligatures w14:val="none"/>
        </w:rPr>
      </w:pPr>
      <w:r>
        <w:rPr>
          <w:rFonts w:ascii="Arial" w:eastAsia="MS Mincho" w:hAnsi="Arial" w:cs="Arial"/>
          <w:sz w:val="24"/>
          <w:szCs w:val="24"/>
          <w:lang w:eastAsia="ja-JP"/>
          <w14:ligatures w14:val="none"/>
        </w:rPr>
        <w:t>Date of Hearing: 29 November 2023</w:t>
      </w:r>
    </w:p>
    <w:p w14:paraId="70875C20" w14:textId="63C4EA0C" w:rsidR="00E5251A" w:rsidRPr="00E5251A" w:rsidRDefault="00E5251A" w:rsidP="001B543A">
      <w:pPr>
        <w:spacing w:after="120" w:line="720" w:lineRule="auto"/>
        <w:jc w:val="both"/>
        <w:rPr>
          <w:rFonts w:ascii="Arial" w:eastAsia="MS Mincho" w:hAnsi="Arial" w:cs="Arial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Date of Reasons: </w:t>
      </w:r>
      <w:r w:rsidR="001B543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>30</w:t>
      </w: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  <w14:ligatures w14:val="none"/>
        </w:rPr>
        <w:t>November</w:t>
      </w: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 2023</w:t>
      </w:r>
    </w:p>
    <w:p w14:paraId="13E62061" w14:textId="77777777" w:rsidR="00E5251A" w:rsidRPr="00E5251A" w:rsidRDefault="00E5251A" w:rsidP="001B543A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Appearances: </w:t>
      </w:r>
    </w:p>
    <w:p w14:paraId="7E74DA50" w14:textId="3E3BC3FA" w:rsidR="00E5251A" w:rsidRPr="00E5251A" w:rsidRDefault="00E5251A" w:rsidP="001B543A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Counsel for the Applicant:                  </w:t>
      </w: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ab/>
      </w:r>
      <w:r>
        <w:rPr>
          <w:rFonts w:ascii="Arial" w:eastAsia="MS Mincho" w:hAnsi="Arial" w:cs="Arial"/>
          <w:sz w:val="24"/>
          <w:szCs w:val="24"/>
          <w:lang w:eastAsia="ja-JP"/>
          <w14:ligatures w14:val="none"/>
        </w:rPr>
        <w:t>M Cajee</w:t>
      </w: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 </w:t>
      </w:r>
    </w:p>
    <w:p w14:paraId="63E82E4A" w14:textId="77777777" w:rsidR="00E5251A" w:rsidRPr="00E5251A" w:rsidRDefault="00E5251A" w:rsidP="00E5251A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eastAsia="ja-JP"/>
          <w14:ligatures w14:val="none"/>
        </w:rPr>
      </w:pP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 xml:space="preserve">Instructed by.                                      </w:t>
      </w:r>
      <w:r w:rsidRPr="00E5251A">
        <w:rPr>
          <w:rFonts w:ascii="Arial" w:eastAsia="MS Mincho" w:hAnsi="Arial" w:cs="Arial"/>
          <w:sz w:val="24"/>
          <w:szCs w:val="24"/>
          <w:lang w:eastAsia="ja-JP"/>
          <w14:ligatures w14:val="none"/>
        </w:rPr>
        <w:tab/>
        <w:t>Biccari Bollo Mariano Inc</w:t>
      </w:r>
    </w:p>
    <w:p w14:paraId="457B2765" w14:textId="77777777" w:rsidR="00E5251A" w:rsidRPr="00E5251A" w:rsidRDefault="00E5251A" w:rsidP="00E5251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E5251A" w:rsidRPr="00E5251A" w:rsidSect="00E5251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1F7A" w14:textId="77777777" w:rsidR="00C268B6" w:rsidRDefault="00C268B6" w:rsidP="0059401D">
      <w:pPr>
        <w:spacing w:after="0" w:line="240" w:lineRule="auto"/>
      </w:pPr>
      <w:r>
        <w:separator/>
      </w:r>
    </w:p>
  </w:endnote>
  <w:endnote w:type="continuationSeparator" w:id="0">
    <w:p w14:paraId="236FB2D6" w14:textId="77777777" w:rsidR="00C268B6" w:rsidRDefault="00C268B6" w:rsidP="0059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58F9" w14:textId="77777777" w:rsidR="00C268B6" w:rsidRDefault="00C268B6" w:rsidP="0059401D">
      <w:pPr>
        <w:spacing w:after="0" w:line="240" w:lineRule="auto"/>
      </w:pPr>
      <w:r>
        <w:separator/>
      </w:r>
    </w:p>
  </w:footnote>
  <w:footnote w:type="continuationSeparator" w:id="0">
    <w:p w14:paraId="1450C11D" w14:textId="77777777" w:rsidR="00C268B6" w:rsidRDefault="00C268B6" w:rsidP="0059401D">
      <w:pPr>
        <w:spacing w:after="0" w:line="240" w:lineRule="auto"/>
      </w:pPr>
      <w:r>
        <w:continuationSeparator/>
      </w:r>
    </w:p>
  </w:footnote>
  <w:footnote w:id="1">
    <w:p w14:paraId="60D4CB6F" w14:textId="42DC8CEB" w:rsidR="0059401D" w:rsidRPr="00E5251A" w:rsidRDefault="0059401D" w:rsidP="00E5251A">
      <w:pPr>
        <w:pStyle w:val="FootnoteText"/>
        <w:jc w:val="both"/>
        <w:rPr>
          <w:rFonts w:ascii="Arial" w:hAnsi="Arial" w:cs="Arial"/>
          <w:lang w:val="en-US"/>
        </w:rPr>
      </w:pPr>
      <w:r w:rsidRPr="00E5251A">
        <w:rPr>
          <w:rStyle w:val="FootnoteReference"/>
          <w:rFonts w:ascii="Arial" w:hAnsi="Arial" w:cs="Arial"/>
        </w:rPr>
        <w:footnoteRef/>
      </w:r>
      <w:r w:rsidRPr="00E5251A">
        <w:rPr>
          <w:rFonts w:ascii="Arial" w:hAnsi="Arial" w:cs="Arial"/>
        </w:rPr>
        <w:t xml:space="preserve"> </w:t>
      </w:r>
      <w:r w:rsidRPr="00E5251A">
        <w:rPr>
          <w:rFonts w:ascii="Arial" w:hAnsi="Arial" w:cs="Arial"/>
          <w:lang w:val="en-US"/>
        </w:rPr>
        <w:t>I was referred to the judgment of Schippers J in the Western Cap</w:t>
      </w:r>
      <w:r w:rsidR="00485879">
        <w:rPr>
          <w:rFonts w:ascii="Arial" w:hAnsi="Arial" w:cs="Arial"/>
          <w:lang w:val="en-US"/>
        </w:rPr>
        <w:t>e</w:t>
      </w:r>
      <w:r w:rsidRPr="00E5251A">
        <w:rPr>
          <w:rFonts w:ascii="Arial" w:hAnsi="Arial" w:cs="Arial"/>
          <w:lang w:val="en-US"/>
        </w:rPr>
        <w:t xml:space="preserve">  in</w:t>
      </w:r>
      <w:r w:rsidRPr="00E5251A">
        <w:rPr>
          <w:rFonts w:ascii="Arial" w:hAnsi="Arial" w:cs="Arial"/>
          <w:i/>
          <w:iCs/>
          <w:lang w:val="en-US"/>
        </w:rPr>
        <w:t xml:space="preserve"> Anva Properties CC v End Street Entertainment Enterprises CC </w:t>
      </w:r>
      <w:r w:rsidRPr="00E5251A">
        <w:rPr>
          <w:rFonts w:ascii="Arial" w:hAnsi="Arial" w:cs="Arial"/>
          <w:lang w:val="en-US"/>
        </w:rPr>
        <w:t>(22109/2014) [2015] ZAWCHC 66 (14 April 201 where an order of disconnection was granted to a landlord. However</w:t>
      </w:r>
      <w:r w:rsidR="00485879">
        <w:rPr>
          <w:rFonts w:ascii="Arial" w:hAnsi="Arial" w:cs="Arial"/>
          <w:lang w:val="en-US"/>
        </w:rPr>
        <w:t>,</w:t>
      </w:r>
      <w:r w:rsidRPr="00E5251A">
        <w:rPr>
          <w:rFonts w:ascii="Arial" w:hAnsi="Arial" w:cs="Arial"/>
          <w:lang w:val="en-US"/>
        </w:rPr>
        <w:t xml:space="preserve"> that case did not deal with the Sectional Titles Act</w:t>
      </w:r>
      <w:r w:rsidR="00485879">
        <w:rPr>
          <w:rFonts w:ascii="Arial" w:hAnsi="Arial" w:cs="Arial"/>
          <w:lang w:val="en-US"/>
        </w:rPr>
        <w:t>,</w:t>
      </w:r>
      <w:r w:rsidRPr="00E5251A">
        <w:rPr>
          <w:rFonts w:ascii="Arial" w:hAnsi="Arial" w:cs="Arial"/>
          <w:lang w:val="en-US"/>
        </w:rPr>
        <w:t xml:space="preserve"> nor does it deal with some of th</w:t>
      </w:r>
      <w:r w:rsidR="0088432C">
        <w:rPr>
          <w:rFonts w:ascii="Arial" w:hAnsi="Arial" w:cs="Arial"/>
          <w:lang w:val="en-US"/>
        </w:rPr>
        <w:t>e</w:t>
      </w:r>
      <w:r w:rsidRPr="00E5251A">
        <w:rPr>
          <w:rFonts w:ascii="Arial" w:hAnsi="Arial" w:cs="Arial"/>
          <w:lang w:val="en-US"/>
        </w:rPr>
        <w:t xml:space="preserve"> issues Wilson J raises and so I do not consider this in point.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988647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6666F8B" w14:textId="14E1D105" w:rsidR="00E5251A" w:rsidRPr="00E5251A" w:rsidRDefault="00E5251A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E5251A">
          <w:rPr>
            <w:rFonts w:ascii="Arial" w:hAnsi="Arial" w:cs="Arial"/>
            <w:sz w:val="24"/>
            <w:szCs w:val="24"/>
          </w:rPr>
          <w:fldChar w:fldCharType="begin"/>
        </w:r>
        <w:r w:rsidRPr="00E5251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5251A">
          <w:rPr>
            <w:rFonts w:ascii="Arial" w:hAnsi="Arial" w:cs="Arial"/>
            <w:sz w:val="24"/>
            <w:szCs w:val="24"/>
          </w:rPr>
          <w:fldChar w:fldCharType="separate"/>
        </w:r>
        <w:r w:rsidR="007D548A">
          <w:rPr>
            <w:rFonts w:ascii="Arial" w:hAnsi="Arial" w:cs="Arial"/>
            <w:noProof/>
            <w:sz w:val="24"/>
            <w:szCs w:val="24"/>
          </w:rPr>
          <w:t>6</w:t>
        </w:r>
        <w:r w:rsidRPr="00E5251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F2DAE8D" w14:textId="77777777" w:rsidR="00E5251A" w:rsidRDefault="00E52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6CB1A6E"/>
    <w:multiLevelType w:val="hybridMultilevel"/>
    <w:tmpl w:val="FD204036"/>
    <w:lvl w:ilvl="0" w:tplc="E22EC472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D8"/>
    <w:rsid w:val="000A73BE"/>
    <w:rsid w:val="001002F6"/>
    <w:rsid w:val="00122FBF"/>
    <w:rsid w:val="0016504B"/>
    <w:rsid w:val="001B543A"/>
    <w:rsid w:val="001B57D5"/>
    <w:rsid w:val="002363D8"/>
    <w:rsid w:val="00337D7D"/>
    <w:rsid w:val="00482B2D"/>
    <w:rsid w:val="00485879"/>
    <w:rsid w:val="0059401D"/>
    <w:rsid w:val="0061451E"/>
    <w:rsid w:val="007D548A"/>
    <w:rsid w:val="0088432C"/>
    <w:rsid w:val="008D32F9"/>
    <w:rsid w:val="00945629"/>
    <w:rsid w:val="009866EC"/>
    <w:rsid w:val="009B0E1D"/>
    <w:rsid w:val="00A61DD7"/>
    <w:rsid w:val="00B32B01"/>
    <w:rsid w:val="00C268B6"/>
    <w:rsid w:val="00C4019F"/>
    <w:rsid w:val="00C66021"/>
    <w:rsid w:val="00D05D3A"/>
    <w:rsid w:val="00D92B2D"/>
    <w:rsid w:val="00E203F7"/>
    <w:rsid w:val="00E5251A"/>
    <w:rsid w:val="00F736F3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4A11F0"/>
  <w15:chartTrackingRefBased/>
  <w15:docId w15:val="{9C6A8DD4-F867-4BF1-82B1-C620CCD8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92B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Cs/>
      <w:color w:val="000000" w:themeColor="text1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B2D"/>
    <w:rPr>
      <w:rFonts w:ascii="Times New Roman" w:eastAsia="Times New Roman" w:hAnsi="Times New Roman" w:cs="Times New Roman"/>
      <w:iCs/>
      <w:color w:val="000000" w:themeColor="text1"/>
      <w:szCs w:val="24"/>
      <w:lang w:val="en-US"/>
    </w:rPr>
  </w:style>
  <w:style w:type="paragraph" w:customStyle="1" w:styleId="Style1">
    <w:name w:val="Style1"/>
    <w:basedOn w:val="IntenseQuote"/>
    <w:link w:val="Style1Char"/>
    <w:autoRedefine/>
    <w:qFormat/>
    <w:rsid w:val="001002F6"/>
    <w:pPr>
      <w:spacing w:line="259" w:lineRule="auto"/>
    </w:pPr>
    <w:rPr>
      <w:rFonts w:cs="Arial"/>
      <w:bCs/>
      <w:iCs w:val="0"/>
    </w:rPr>
  </w:style>
  <w:style w:type="character" w:customStyle="1" w:styleId="Style1Char">
    <w:name w:val="Style1 Char"/>
    <w:basedOn w:val="IntenseQuoteChar"/>
    <w:link w:val="Style1"/>
    <w:rsid w:val="001002F6"/>
    <w:rPr>
      <w:rFonts w:ascii="Times New Roman" w:eastAsia="Times New Roman" w:hAnsi="Times New Roman" w:cs="Arial"/>
      <w:bCs/>
      <w:iCs w:val="0"/>
      <w:color w:val="000000" w:themeColor="text1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363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40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0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401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1A"/>
  </w:style>
  <w:style w:type="paragraph" w:styleId="Footer">
    <w:name w:val="footer"/>
    <w:basedOn w:val="Normal"/>
    <w:link w:val="FooterChar"/>
    <w:uiPriority w:val="99"/>
    <w:unhideWhenUsed/>
    <w:rsid w:val="00E52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Manoim</dc:creator>
  <cp:keywords/>
  <dc:description/>
  <cp:lastModifiedBy>Tshwarelo Mabina</cp:lastModifiedBy>
  <cp:revision>2</cp:revision>
  <dcterms:created xsi:type="dcterms:W3CDTF">2023-12-01T06:40:00Z</dcterms:created>
  <dcterms:modified xsi:type="dcterms:W3CDTF">2023-12-01T06:40:00Z</dcterms:modified>
</cp:coreProperties>
</file>