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BE32" w14:textId="77777777" w:rsidR="00633CD8" w:rsidRDefault="00633CD8" w:rsidP="00633CD8">
      <w:pPr>
        <w:pStyle w:val="LegalNormal"/>
        <w:spacing w:after="0" w:line="360" w:lineRule="auto"/>
        <w:jc w:val="center"/>
      </w:pPr>
      <w:r w:rsidRPr="00D0071D">
        <w:rPr>
          <w:noProof/>
          <w:color w:val="1F497D"/>
          <w:lang w:val="en-ZA" w:eastAsia="en-ZA"/>
        </w:rPr>
        <w:drawing>
          <wp:inline distT="0" distB="0" distL="0" distR="0" wp14:anchorId="78C146CB" wp14:editId="29C5D24F">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92963EC" w14:textId="77777777" w:rsidR="00F11A88" w:rsidRDefault="00F11A88" w:rsidP="00633CD8">
      <w:pPr>
        <w:pStyle w:val="LegalTitle"/>
        <w:spacing w:after="0" w:line="360" w:lineRule="auto"/>
        <w:rPr>
          <w:u w:val="single"/>
        </w:rPr>
      </w:pPr>
    </w:p>
    <w:p w14:paraId="23EB33D2" w14:textId="77777777" w:rsidR="00633CD8" w:rsidRPr="00520591" w:rsidRDefault="00633CD8" w:rsidP="00633CD8">
      <w:pPr>
        <w:pStyle w:val="LegalTitle"/>
        <w:spacing w:after="0" w:line="360" w:lineRule="auto"/>
        <w:rPr>
          <w:u w:val="single"/>
        </w:rPr>
      </w:pPr>
      <w:r w:rsidRPr="00520591">
        <w:rPr>
          <w:u w:val="single"/>
        </w:rPr>
        <w:t>IN THE HIGH COURT of south africa</w:t>
      </w:r>
    </w:p>
    <w:p w14:paraId="112FC606" w14:textId="653276FF" w:rsidR="00633CD8" w:rsidRDefault="00633CD8" w:rsidP="00633CD8">
      <w:pPr>
        <w:pStyle w:val="LegalTitle"/>
        <w:spacing w:after="0" w:line="360" w:lineRule="auto"/>
        <w:rPr>
          <w:u w:val="single"/>
        </w:rPr>
      </w:pPr>
      <w:r w:rsidRPr="00520591">
        <w:rPr>
          <w:u w:val="single"/>
        </w:rPr>
        <w:t xml:space="preserve">GAUTENG </w:t>
      </w:r>
      <w:r w:rsidR="00707CAF">
        <w:rPr>
          <w:u w:val="single"/>
        </w:rPr>
        <w:t xml:space="preserve">LOCAL </w:t>
      </w:r>
      <w:r w:rsidRPr="00520591">
        <w:rPr>
          <w:u w:val="single"/>
        </w:rPr>
        <w:t xml:space="preserve">DIVISION, </w:t>
      </w:r>
      <w:r>
        <w:rPr>
          <w:u w:val="single"/>
        </w:rPr>
        <w:t>JOHANNESBURG</w:t>
      </w:r>
    </w:p>
    <w:p w14:paraId="70CC99A3" w14:textId="77777777" w:rsidR="00633CD8" w:rsidRDefault="00822193" w:rsidP="00633CD8">
      <w:pPr>
        <w:pStyle w:val="LegalAnnexure"/>
        <w:spacing w:after="960" w:line="360" w:lineRule="auto"/>
        <w:rPr>
          <w:u w:val="single"/>
        </w:rPr>
      </w:pPr>
      <w:r>
        <w:rPr>
          <w:noProof/>
          <w:lang w:val="en-ZA" w:eastAsia="en-ZA"/>
        </w:rPr>
        <mc:AlternateContent>
          <mc:Choice Requires="wps">
            <w:drawing>
              <wp:anchor distT="0" distB="0" distL="114300" distR="114300" simplePos="0" relativeHeight="251659264" behindDoc="0" locked="0" layoutInCell="1" allowOverlap="1" wp14:anchorId="2521DE38" wp14:editId="1F56C2B1">
                <wp:simplePos x="0" y="0"/>
                <wp:positionH relativeFrom="column">
                  <wp:posOffset>-127635</wp:posOffset>
                </wp:positionH>
                <wp:positionV relativeFrom="paragraph">
                  <wp:posOffset>173355</wp:posOffset>
                </wp:positionV>
                <wp:extent cx="3619500" cy="857250"/>
                <wp:effectExtent l="0" t="0" r="0" b="6350"/>
                <wp:wrapNone/>
                <wp:docPr id="20022529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57250"/>
                        </a:xfrm>
                        <a:prstGeom prst="rect">
                          <a:avLst/>
                        </a:prstGeom>
                        <a:solidFill>
                          <a:srgbClr val="FFFFFF"/>
                        </a:solidFill>
                        <a:ln w="9525">
                          <a:solidFill>
                            <a:srgbClr val="000000"/>
                          </a:solidFill>
                          <a:miter lim="800000"/>
                          <a:headEnd/>
                          <a:tailEnd/>
                        </a:ln>
                      </wps:spPr>
                      <wps:txbx>
                        <w:txbxContent>
                          <w:p w14:paraId="43B6DE1F" w14:textId="7A634DB8" w:rsidR="00633CD8" w:rsidRDefault="00400D76" w:rsidP="00400D7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597435BC" w14:textId="05BB3816" w:rsidR="00633CD8" w:rsidRDefault="00400D76" w:rsidP="00400D7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5A3E4B68" w14:textId="00FD0526" w:rsidR="00633CD8" w:rsidRDefault="00400D76" w:rsidP="00400D7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22DFB404"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1DE38" id="_x0000_t202" coordsize="21600,21600" o:spt="202" path="m,l,21600r21600,l21600,xe">
                <v:stroke joinstyle="miter"/>
                <v:path gradientshapeok="t" o:connecttype="rect"/>
              </v:shapetype>
              <v:shape id="Text Box 1" o:spid="_x0000_s1026" type="#_x0000_t202" style="position:absolute;left:0;text-align:left;margin-left:-10.05pt;margin-top:13.65pt;width:2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">
                <v:path arrowok="t"/>
                <v:textbox>
                  <w:txbxContent>
                    <w:p w14:paraId="43B6DE1F" w14:textId="7A634DB8" w:rsidR="00633CD8" w:rsidRDefault="00400D76" w:rsidP="00400D7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597435BC" w14:textId="05BB3816" w:rsidR="00633CD8" w:rsidRDefault="00400D76" w:rsidP="00400D7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5A3E4B68" w14:textId="00FD0526" w:rsidR="00633CD8" w:rsidRDefault="00400D76" w:rsidP="00400D7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22DFB404"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v:textbox>
              </v:shape>
            </w:pict>
          </mc:Fallback>
        </mc:AlternateContent>
      </w:r>
    </w:p>
    <w:p w14:paraId="742EEAA9" w14:textId="77777777" w:rsidR="00633CD8" w:rsidRDefault="00633CD8" w:rsidP="00633CD8">
      <w:pPr>
        <w:pStyle w:val="LegalAnnexure"/>
        <w:spacing w:after="0" w:line="360" w:lineRule="auto"/>
      </w:pPr>
    </w:p>
    <w:p w14:paraId="46ED5DB0" w14:textId="77777777" w:rsidR="00633CD8" w:rsidRPr="001C6F28" w:rsidRDefault="00633CD8" w:rsidP="00633CD8">
      <w:pPr>
        <w:pStyle w:val="LegalAnnexure"/>
        <w:spacing w:after="0" w:line="360" w:lineRule="auto"/>
      </w:pPr>
      <w:r>
        <w:rPr>
          <w:u w:val="single"/>
        </w:rPr>
        <w:t>CASE</w:t>
      </w:r>
      <w:r w:rsidRPr="00A84826">
        <w:rPr>
          <w:u w:val="single"/>
        </w:rPr>
        <w:t xml:space="preserve"> NO</w:t>
      </w:r>
      <w:r w:rsidRPr="002D4810">
        <w:rPr>
          <w:b w:val="0"/>
        </w:rPr>
        <w:t>:</w:t>
      </w:r>
      <w:r w:rsidR="006E34E4">
        <w:rPr>
          <w:b w:val="0"/>
        </w:rPr>
        <w:t xml:space="preserve"> </w:t>
      </w:r>
      <w:r w:rsidR="00A649E7">
        <w:rPr>
          <w:b w:val="0"/>
        </w:rPr>
        <w:t>19556/2020</w:t>
      </w:r>
    </w:p>
    <w:p w14:paraId="1B30125D" w14:textId="77777777" w:rsidR="00633CD8" w:rsidRPr="0076063C" w:rsidRDefault="00633CD8" w:rsidP="00633CD8">
      <w:pPr>
        <w:pStyle w:val="LegalNormal"/>
        <w:spacing w:after="0" w:line="360" w:lineRule="auto"/>
        <w:jc w:val="right"/>
      </w:pPr>
      <w:r w:rsidRPr="0076063C">
        <w:rPr>
          <w:b/>
          <w:u w:val="single"/>
        </w:rPr>
        <w:t>DATE</w:t>
      </w:r>
      <w:r>
        <w:rPr>
          <w:b/>
        </w:rPr>
        <w:t>:</w:t>
      </w:r>
      <w:r w:rsidR="008770E9">
        <w:rPr>
          <w:b/>
        </w:rPr>
        <w:t>  </w:t>
      </w:r>
      <w:r w:rsidR="00A67BBD">
        <w:rPr>
          <w:b/>
        </w:rPr>
        <w:t>30</w:t>
      </w:r>
      <w:r w:rsidR="00A649E7">
        <w:rPr>
          <w:b/>
        </w:rPr>
        <w:t xml:space="preserve"> November 2023</w:t>
      </w:r>
      <w:r>
        <w:rPr>
          <w:b/>
        </w:rPr>
        <w:t xml:space="preserve"> </w:t>
      </w:r>
    </w:p>
    <w:p w14:paraId="1E3D4311" w14:textId="77777777" w:rsidR="00633CD8" w:rsidRPr="00A84826" w:rsidRDefault="00633CD8" w:rsidP="00633CD8">
      <w:pPr>
        <w:pStyle w:val="LegalNormal"/>
        <w:spacing w:after="240" w:line="360" w:lineRule="auto"/>
      </w:pPr>
      <w:r w:rsidRPr="00A84826">
        <w:t>In the matter between:</w:t>
      </w:r>
    </w:p>
    <w:tbl>
      <w:tblPr>
        <w:tblW w:w="8810" w:type="dxa"/>
        <w:tblLayout w:type="fixed"/>
        <w:tblLook w:val="0000" w:firstRow="0" w:lastRow="0" w:firstColumn="0" w:lastColumn="0" w:noHBand="0" w:noVBand="0"/>
      </w:tblPr>
      <w:tblGrid>
        <w:gridCol w:w="6204"/>
        <w:gridCol w:w="2606"/>
      </w:tblGrid>
      <w:tr w:rsidR="006E34E4" w:rsidRPr="00D905E4" w14:paraId="6AB3A0E9" w14:textId="77777777" w:rsidTr="006E34E4">
        <w:tc>
          <w:tcPr>
            <w:tcW w:w="6204" w:type="dxa"/>
          </w:tcPr>
          <w:p w14:paraId="2F42AF61" w14:textId="77777777" w:rsidR="007A3836" w:rsidRPr="00707CAF" w:rsidRDefault="00616303" w:rsidP="00707CAF">
            <w:pPr>
              <w:pStyle w:val="Title"/>
              <w:rPr>
                <w:b/>
                <w:sz w:val="21"/>
              </w:rPr>
            </w:pPr>
            <w:r>
              <w:rPr>
                <w:b/>
                <w:sz w:val="21"/>
              </w:rPr>
              <w:t>ALF’S TIPPERS CC</w:t>
            </w:r>
          </w:p>
        </w:tc>
        <w:tc>
          <w:tcPr>
            <w:tcW w:w="2606" w:type="dxa"/>
          </w:tcPr>
          <w:p w14:paraId="2C4EEBAA" w14:textId="77777777" w:rsidR="006E34E4" w:rsidRPr="00D905E4" w:rsidRDefault="00616303">
            <w:pPr>
              <w:pStyle w:val="Title"/>
              <w:spacing w:line="360" w:lineRule="auto"/>
              <w:jc w:val="right"/>
              <w:rPr>
                <w:sz w:val="21"/>
              </w:rPr>
            </w:pPr>
            <w:r>
              <w:rPr>
                <w:sz w:val="21"/>
              </w:rPr>
              <w:t xml:space="preserve">Applicant </w:t>
            </w:r>
          </w:p>
        </w:tc>
      </w:tr>
      <w:tr w:rsidR="006E34E4" w:rsidRPr="00D905E4" w14:paraId="24F850BD" w14:textId="77777777" w:rsidTr="006E34E4">
        <w:tc>
          <w:tcPr>
            <w:tcW w:w="6204" w:type="dxa"/>
          </w:tcPr>
          <w:p w14:paraId="083107C7" w14:textId="77777777" w:rsidR="006E34E4" w:rsidRPr="00D905E4" w:rsidRDefault="006E34E4">
            <w:pPr>
              <w:pStyle w:val="Title"/>
              <w:spacing w:line="360" w:lineRule="auto"/>
              <w:rPr>
                <w:sz w:val="21"/>
              </w:rPr>
            </w:pPr>
          </w:p>
        </w:tc>
        <w:tc>
          <w:tcPr>
            <w:tcW w:w="2606" w:type="dxa"/>
          </w:tcPr>
          <w:p w14:paraId="5C041DCE" w14:textId="77777777" w:rsidR="006E34E4" w:rsidRPr="00D905E4" w:rsidRDefault="006E34E4">
            <w:pPr>
              <w:pStyle w:val="Title"/>
              <w:spacing w:line="360" w:lineRule="auto"/>
              <w:rPr>
                <w:sz w:val="21"/>
              </w:rPr>
            </w:pPr>
          </w:p>
        </w:tc>
      </w:tr>
      <w:tr w:rsidR="006E34E4" w:rsidRPr="00D905E4" w14:paraId="56D7A4BC" w14:textId="77777777" w:rsidTr="006E34E4">
        <w:tc>
          <w:tcPr>
            <w:tcW w:w="6204" w:type="dxa"/>
          </w:tcPr>
          <w:p w14:paraId="653E2186" w14:textId="77777777" w:rsidR="006E34E4" w:rsidRPr="00D905E4" w:rsidRDefault="003C7511">
            <w:pPr>
              <w:pStyle w:val="Title"/>
              <w:spacing w:after="120"/>
              <w:rPr>
                <w:b/>
                <w:sz w:val="21"/>
              </w:rPr>
            </w:pPr>
            <w:r w:rsidRPr="003C7511">
              <w:rPr>
                <w:bCs/>
                <w:sz w:val="21"/>
              </w:rPr>
              <w:t>and</w:t>
            </w:r>
            <w:r w:rsidR="006E34E4" w:rsidRPr="00D905E4">
              <w:rPr>
                <w:b/>
                <w:sz w:val="21"/>
              </w:rPr>
              <w:fldChar w:fldCharType="begin"/>
            </w:r>
            <w:r w:rsidR="006E34E4" w:rsidRPr="00D905E4">
              <w:rPr>
                <w:b/>
                <w:sz w:val="21"/>
              </w:rPr>
              <w:instrText xml:space="preserve">  </w:instrText>
            </w:r>
            <w:r w:rsidR="006E34E4" w:rsidRPr="00D905E4">
              <w:rPr>
                <w:b/>
                <w:sz w:val="21"/>
              </w:rPr>
              <w:fldChar w:fldCharType="end"/>
            </w:r>
          </w:p>
        </w:tc>
        <w:tc>
          <w:tcPr>
            <w:tcW w:w="2606" w:type="dxa"/>
          </w:tcPr>
          <w:p w14:paraId="1B98FABB" w14:textId="77777777" w:rsidR="006E34E4" w:rsidRPr="00D905E4" w:rsidRDefault="006E34E4">
            <w:pPr>
              <w:pStyle w:val="Title"/>
              <w:spacing w:line="360" w:lineRule="auto"/>
              <w:jc w:val="right"/>
              <w:rPr>
                <w:sz w:val="21"/>
              </w:rPr>
            </w:pPr>
          </w:p>
        </w:tc>
      </w:tr>
      <w:tr w:rsidR="006E34E4" w:rsidRPr="00D905E4" w14:paraId="1B99E130" w14:textId="77777777" w:rsidTr="006E34E4">
        <w:tc>
          <w:tcPr>
            <w:tcW w:w="6204" w:type="dxa"/>
          </w:tcPr>
          <w:p w14:paraId="29D7A11B" w14:textId="77777777" w:rsidR="006E34E4" w:rsidRPr="00D905E4" w:rsidRDefault="006E34E4">
            <w:pPr>
              <w:pStyle w:val="Title"/>
              <w:rPr>
                <w:bCs/>
                <w:sz w:val="21"/>
              </w:rPr>
            </w:pPr>
          </w:p>
        </w:tc>
        <w:tc>
          <w:tcPr>
            <w:tcW w:w="2606" w:type="dxa"/>
          </w:tcPr>
          <w:p w14:paraId="504C565C" w14:textId="77777777" w:rsidR="006E34E4" w:rsidRPr="00D905E4" w:rsidRDefault="006E34E4">
            <w:pPr>
              <w:pStyle w:val="Title"/>
              <w:spacing w:line="360" w:lineRule="auto"/>
              <w:jc w:val="right"/>
              <w:rPr>
                <w:sz w:val="21"/>
              </w:rPr>
            </w:pPr>
          </w:p>
        </w:tc>
      </w:tr>
      <w:tr w:rsidR="003C7511" w:rsidRPr="00D905E4" w14:paraId="6317A9B4" w14:textId="77777777" w:rsidTr="006E34E4">
        <w:tc>
          <w:tcPr>
            <w:tcW w:w="6204" w:type="dxa"/>
          </w:tcPr>
          <w:p w14:paraId="7960B923" w14:textId="77777777" w:rsidR="003C7511" w:rsidRPr="003C7511" w:rsidRDefault="00616303">
            <w:pPr>
              <w:pStyle w:val="Title"/>
              <w:rPr>
                <w:b/>
                <w:sz w:val="21"/>
              </w:rPr>
            </w:pPr>
            <w:r>
              <w:rPr>
                <w:b/>
                <w:sz w:val="21"/>
              </w:rPr>
              <w:t>BALOYI, PAUL CAMBO</w:t>
            </w:r>
          </w:p>
        </w:tc>
        <w:tc>
          <w:tcPr>
            <w:tcW w:w="2606" w:type="dxa"/>
          </w:tcPr>
          <w:p w14:paraId="0EAB7798" w14:textId="77777777" w:rsidR="003C7511" w:rsidRPr="00D905E4" w:rsidRDefault="00707CAF">
            <w:pPr>
              <w:pStyle w:val="Title"/>
              <w:spacing w:line="360" w:lineRule="auto"/>
              <w:jc w:val="right"/>
              <w:rPr>
                <w:sz w:val="21"/>
              </w:rPr>
            </w:pPr>
            <w:r>
              <w:rPr>
                <w:sz w:val="21"/>
              </w:rPr>
              <w:t xml:space="preserve">First </w:t>
            </w:r>
            <w:r w:rsidR="00616303">
              <w:rPr>
                <w:sz w:val="21"/>
              </w:rPr>
              <w:t xml:space="preserve">Respondent </w:t>
            </w:r>
          </w:p>
        </w:tc>
      </w:tr>
      <w:tr w:rsidR="00707CAF" w:rsidRPr="00D905E4" w14:paraId="559AB7A2" w14:textId="77777777" w:rsidTr="006E34E4">
        <w:tc>
          <w:tcPr>
            <w:tcW w:w="6204" w:type="dxa"/>
          </w:tcPr>
          <w:p w14:paraId="1DD65408" w14:textId="77777777" w:rsidR="00707CAF" w:rsidRPr="00616303" w:rsidRDefault="00616303">
            <w:pPr>
              <w:pStyle w:val="Title"/>
              <w:rPr>
                <w:b/>
                <w:sz w:val="21"/>
              </w:rPr>
            </w:pPr>
            <w:r>
              <w:rPr>
                <w:b/>
                <w:sz w:val="21"/>
              </w:rPr>
              <w:t>CASTLE, DARRYLL JOHN</w:t>
            </w:r>
          </w:p>
        </w:tc>
        <w:tc>
          <w:tcPr>
            <w:tcW w:w="2606" w:type="dxa"/>
          </w:tcPr>
          <w:p w14:paraId="42627120" w14:textId="77777777" w:rsidR="00707CAF" w:rsidRDefault="00707CAF">
            <w:pPr>
              <w:pStyle w:val="Title"/>
              <w:spacing w:line="360" w:lineRule="auto"/>
              <w:jc w:val="right"/>
              <w:rPr>
                <w:sz w:val="21"/>
              </w:rPr>
            </w:pPr>
            <w:r>
              <w:rPr>
                <w:sz w:val="21"/>
              </w:rPr>
              <w:t xml:space="preserve">Second </w:t>
            </w:r>
            <w:r w:rsidR="00616303">
              <w:rPr>
                <w:sz w:val="21"/>
              </w:rPr>
              <w:t xml:space="preserve">Respondent </w:t>
            </w:r>
          </w:p>
        </w:tc>
      </w:tr>
      <w:tr w:rsidR="00616303" w:rsidRPr="00D905E4" w14:paraId="6D464DEA" w14:textId="77777777" w:rsidTr="006E34E4">
        <w:tc>
          <w:tcPr>
            <w:tcW w:w="6204" w:type="dxa"/>
          </w:tcPr>
          <w:p w14:paraId="2B83A7FB" w14:textId="77777777" w:rsidR="00616303" w:rsidRDefault="00616303">
            <w:pPr>
              <w:pStyle w:val="Title"/>
              <w:rPr>
                <w:b/>
                <w:sz w:val="21"/>
              </w:rPr>
            </w:pPr>
            <w:r>
              <w:rPr>
                <w:b/>
                <w:sz w:val="21"/>
              </w:rPr>
              <w:t>LUVHENGO, SHAMMY AREWANGA</w:t>
            </w:r>
          </w:p>
        </w:tc>
        <w:tc>
          <w:tcPr>
            <w:tcW w:w="2606" w:type="dxa"/>
          </w:tcPr>
          <w:p w14:paraId="74D011C3" w14:textId="77777777" w:rsidR="00616303" w:rsidRDefault="00616303">
            <w:pPr>
              <w:pStyle w:val="Title"/>
              <w:spacing w:line="360" w:lineRule="auto"/>
              <w:jc w:val="right"/>
              <w:rPr>
                <w:sz w:val="21"/>
              </w:rPr>
            </w:pPr>
            <w:r>
              <w:rPr>
                <w:sz w:val="21"/>
              </w:rPr>
              <w:t xml:space="preserve">Third Respondent </w:t>
            </w:r>
          </w:p>
        </w:tc>
      </w:tr>
      <w:tr w:rsidR="00616303" w:rsidRPr="00D905E4" w14:paraId="5FA33A49" w14:textId="77777777" w:rsidTr="006E34E4">
        <w:tc>
          <w:tcPr>
            <w:tcW w:w="6204" w:type="dxa"/>
          </w:tcPr>
          <w:p w14:paraId="3D27EF63" w14:textId="77777777" w:rsidR="00616303" w:rsidRDefault="00616303">
            <w:pPr>
              <w:pStyle w:val="Title"/>
              <w:rPr>
                <w:b/>
                <w:sz w:val="21"/>
              </w:rPr>
            </w:pPr>
            <w:r>
              <w:rPr>
                <w:b/>
                <w:sz w:val="21"/>
              </w:rPr>
              <w:t>MANNING, CLAUDIA ESTELLE</w:t>
            </w:r>
          </w:p>
        </w:tc>
        <w:tc>
          <w:tcPr>
            <w:tcW w:w="2606" w:type="dxa"/>
          </w:tcPr>
          <w:p w14:paraId="401779AA" w14:textId="77777777" w:rsidR="00616303" w:rsidRDefault="00616303">
            <w:pPr>
              <w:pStyle w:val="Title"/>
              <w:spacing w:line="360" w:lineRule="auto"/>
              <w:jc w:val="right"/>
              <w:rPr>
                <w:sz w:val="21"/>
              </w:rPr>
            </w:pPr>
            <w:r>
              <w:rPr>
                <w:sz w:val="21"/>
              </w:rPr>
              <w:t xml:space="preserve">Fourth Respondent </w:t>
            </w:r>
          </w:p>
        </w:tc>
      </w:tr>
      <w:tr w:rsidR="00616303" w:rsidRPr="00D905E4" w14:paraId="514057DC" w14:textId="77777777" w:rsidTr="006E34E4">
        <w:tc>
          <w:tcPr>
            <w:tcW w:w="6204" w:type="dxa"/>
          </w:tcPr>
          <w:p w14:paraId="13FFDFF5" w14:textId="77777777" w:rsidR="00616303" w:rsidRDefault="00616303">
            <w:pPr>
              <w:pStyle w:val="Title"/>
              <w:rPr>
                <w:b/>
                <w:sz w:val="21"/>
              </w:rPr>
            </w:pPr>
            <w:r>
              <w:rPr>
                <w:b/>
                <w:sz w:val="21"/>
              </w:rPr>
              <w:t>MAPASA, KHATHUTSHELO</w:t>
            </w:r>
          </w:p>
        </w:tc>
        <w:tc>
          <w:tcPr>
            <w:tcW w:w="2606" w:type="dxa"/>
          </w:tcPr>
          <w:p w14:paraId="5A3F80E3" w14:textId="77777777" w:rsidR="00616303" w:rsidRDefault="00616303">
            <w:pPr>
              <w:pStyle w:val="Title"/>
              <w:spacing w:line="360" w:lineRule="auto"/>
              <w:jc w:val="right"/>
              <w:rPr>
                <w:sz w:val="21"/>
              </w:rPr>
            </w:pPr>
            <w:r>
              <w:rPr>
                <w:sz w:val="21"/>
              </w:rPr>
              <w:t xml:space="preserve">Fifth Respondent </w:t>
            </w:r>
          </w:p>
        </w:tc>
      </w:tr>
      <w:tr w:rsidR="00616303" w:rsidRPr="00D905E4" w14:paraId="7CC311AF" w14:textId="77777777" w:rsidTr="006E34E4">
        <w:tc>
          <w:tcPr>
            <w:tcW w:w="6204" w:type="dxa"/>
          </w:tcPr>
          <w:p w14:paraId="2C777322" w14:textId="77777777" w:rsidR="00616303" w:rsidRDefault="00616303">
            <w:pPr>
              <w:pStyle w:val="Title"/>
              <w:rPr>
                <w:b/>
                <w:sz w:val="21"/>
              </w:rPr>
            </w:pPr>
            <w:r>
              <w:rPr>
                <w:b/>
                <w:sz w:val="21"/>
              </w:rPr>
              <w:t>NDONI, ANDISWA THANDEKA</w:t>
            </w:r>
          </w:p>
        </w:tc>
        <w:tc>
          <w:tcPr>
            <w:tcW w:w="2606" w:type="dxa"/>
          </w:tcPr>
          <w:p w14:paraId="7D889B84" w14:textId="77777777" w:rsidR="00616303" w:rsidRDefault="00616303">
            <w:pPr>
              <w:pStyle w:val="Title"/>
              <w:spacing w:line="360" w:lineRule="auto"/>
              <w:jc w:val="right"/>
              <w:rPr>
                <w:sz w:val="21"/>
              </w:rPr>
            </w:pPr>
            <w:r>
              <w:rPr>
                <w:sz w:val="21"/>
              </w:rPr>
              <w:t xml:space="preserve">Sixth Respondent </w:t>
            </w:r>
          </w:p>
        </w:tc>
      </w:tr>
      <w:tr w:rsidR="00616303" w:rsidRPr="00D905E4" w14:paraId="11D8C43C" w14:textId="77777777" w:rsidTr="006E34E4">
        <w:tc>
          <w:tcPr>
            <w:tcW w:w="6204" w:type="dxa"/>
          </w:tcPr>
          <w:p w14:paraId="628A54CB" w14:textId="77777777" w:rsidR="00616303" w:rsidRDefault="00616303">
            <w:pPr>
              <w:pStyle w:val="Title"/>
              <w:rPr>
                <w:b/>
                <w:sz w:val="21"/>
              </w:rPr>
            </w:pPr>
            <w:r>
              <w:rPr>
                <w:b/>
                <w:sz w:val="21"/>
              </w:rPr>
              <w:t>SEFOLO, TSHEGOFATSO</w:t>
            </w:r>
          </w:p>
        </w:tc>
        <w:tc>
          <w:tcPr>
            <w:tcW w:w="2606" w:type="dxa"/>
          </w:tcPr>
          <w:p w14:paraId="6FE3D113" w14:textId="77777777" w:rsidR="00616303" w:rsidRDefault="00616303">
            <w:pPr>
              <w:pStyle w:val="Title"/>
              <w:spacing w:line="360" w:lineRule="auto"/>
              <w:jc w:val="right"/>
              <w:rPr>
                <w:sz w:val="21"/>
              </w:rPr>
            </w:pPr>
            <w:r>
              <w:rPr>
                <w:sz w:val="21"/>
              </w:rPr>
              <w:t xml:space="preserve">Seventh Respondent </w:t>
            </w:r>
          </w:p>
        </w:tc>
      </w:tr>
    </w:tbl>
    <w:p w14:paraId="43ECEEDD" w14:textId="77777777" w:rsidR="006E34E4" w:rsidRPr="00D905E4" w:rsidRDefault="006E34E4" w:rsidP="006E34E4">
      <w:pPr>
        <w:pStyle w:val="Title"/>
        <w:rPr>
          <w:sz w:val="21"/>
        </w:rPr>
      </w:pPr>
    </w:p>
    <w:p w14:paraId="73946F8C" w14:textId="77777777" w:rsidR="00633CD8" w:rsidRDefault="00633CD8" w:rsidP="006E34E4">
      <w:pPr>
        <w:tabs>
          <w:tab w:val="left" w:pos="1418"/>
        </w:tabs>
        <w:spacing w:before="120" w:after="120"/>
        <w:rPr>
          <w:rFonts w:cs="Arial"/>
        </w:rPr>
      </w:pPr>
      <w:r>
        <w:rPr>
          <w:rFonts w:cs="Arial"/>
          <w:b/>
          <w:bCs/>
        </w:rPr>
        <w:t>Coram:</w:t>
      </w:r>
      <w:r>
        <w:rPr>
          <w:rFonts w:cs="Arial"/>
        </w:rPr>
        <w:tab/>
      </w:r>
      <w:r w:rsidR="003C7511">
        <w:rPr>
          <w:rFonts w:cs="Arial"/>
        </w:rPr>
        <w:tab/>
        <w:t>Ternent AJ</w:t>
      </w:r>
    </w:p>
    <w:p w14:paraId="208830D8" w14:textId="77777777" w:rsidR="00633CD8" w:rsidRDefault="00633CD8" w:rsidP="00633CD8">
      <w:pPr>
        <w:spacing w:after="120"/>
        <w:ind w:left="1418" w:hanging="1418"/>
        <w:rPr>
          <w:rFonts w:cs="Arial"/>
          <w:b/>
        </w:rPr>
      </w:pPr>
      <w:r>
        <w:rPr>
          <w:rFonts w:cs="Arial"/>
          <w:b/>
          <w:bCs/>
        </w:rPr>
        <w:t>Heard on</w:t>
      </w:r>
      <w:r>
        <w:rPr>
          <w:rFonts w:cs="Arial"/>
        </w:rPr>
        <w:t>:</w:t>
      </w:r>
      <w:r>
        <w:rPr>
          <w:rFonts w:cs="Arial"/>
        </w:rPr>
        <w:tab/>
      </w:r>
      <w:r w:rsidR="00BD0A56">
        <w:rPr>
          <w:rFonts w:cs="Arial"/>
        </w:rPr>
        <w:t>23 November</w:t>
      </w:r>
      <w:r w:rsidR="00616303">
        <w:rPr>
          <w:rFonts w:cs="Arial"/>
        </w:rPr>
        <w:t xml:space="preserve"> </w:t>
      </w:r>
      <w:r w:rsidR="00615156">
        <w:rPr>
          <w:rFonts w:cs="Arial"/>
        </w:rPr>
        <w:t>2023</w:t>
      </w:r>
    </w:p>
    <w:p w14:paraId="23C68000" w14:textId="77777777" w:rsidR="00633CD8" w:rsidRDefault="00633CD8" w:rsidP="00633CD8">
      <w:pPr>
        <w:tabs>
          <w:tab w:val="left" w:pos="1418"/>
        </w:tabs>
        <w:spacing w:after="120"/>
        <w:ind w:left="1418" w:hanging="1418"/>
        <w:rPr>
          <w:rFonts w:cs="Arial"/>
          <w:b/>
        </w:rPr>
      </w:pPr>
      <w:r>
        <w:rPr>
          <w:rFonts w:cs="Arial"/>
          <w:b/>
        </w:rPr>
        <w:t>Delivered:</w:t>
      </w:r>
      <w:r>
        <w:rPr>
          <w:rFonts w:cs="Arial"/>
          <w:b/>
        </w:rPr>
        <w:tab/>
      </w:r>
      <w:r w:rsidR="00A67BBD">
        <w:rPr>
          <w:rFonts w:cs="Arial"/>
          <w:b/>
        </w:rPr>
        <w:t>30</w:t>
      </w:r>
      <w:r w:rsidR="00A649E7">
        <w:rPr>
          <w:rFonts w:cs="Arial"/>
          <w:b/>
        </w:rPr>
        <w:t xml:space="preserve"> November 2023 </w:t>
      </w:r>
    </w:p>
    <w:p w14:paraId="112935F4" w14:textId="77777777" w:rsidR="00A649E7" w:rsidRPr="003C7511" w:rsidRDefault="00A649E7" w:rsidP="00633CD8">
      <w:pPr>
        <w:tabs>
          <w:tab w:val="left" w:pos="1418"/>
        </w:tabs>
        <w:spacing w:after="120"/>
        <w:ind w:left="1418" w:hanging="1418"/>
        <w:rPr>
          <w:rFonts w:cs="Arial"/>
          <w:bCs/>
        </w:rPr>
      </w:pPr>
      <w:r>
        <w:rPr>
          <w:rFonts w:cs="Arial"/>
          <w:b/>
        </w:rPr>
        <w:t>Summary:</w:t>
      </w:r>
    </w:p>
    <w:p w14:paraId="75077CB9" w14:textId="77777777" w:rsidR="00A649E7" w:rsidRDefault="00A649E7" w:rsidP="00A649E7">
      <w:pPr>
        <w:spacing w:after="120"/>
        <w:ind w:left="1871" w:hanging="1871"/>
        <w:rPr>
          <w:rFonts w:cs="Arial"/>
          <w:i/>
          <w:szCs w:val="24"/>
        </w:rPr>
      </w:pPr>
    </w:p>
    <w:p w14:paraId="3B48B00E" w14:textId="77777777" w:rsidR="00A649E7" w:rsidRDefault="00A649E7" w:rsidP="00A649E7">
      <w:pPr>
        <w:spacing w:after="120"/>
        <w:ind w:left="1871" w:hanging="1871"/>
        <w:rPr>
          <w:rFonts w:cs="Arial"/>
          <w:i/>
          <w:szCs w:val="24"/>
        </w:rPr>
      </w:pPr>
    </w:p>
    <w:p w14:paraId="6E96E3D2" w14:textId="77777777" w:rsidR="00A649E7" w:rsidRDefault="00A649E7" w:rsidP="00A649E7">
      <w:pPr>
        <w:spacing w:after="120"/>
        <w:ind w:left="1871" w:hanging="1871"/>
        <w:rPr>
          <w:rFonts w:cs="Arial"/>
          <w:i/>
          <w:szCs w:val="24"/>
        </w:rPr>
      </w:pPr>
      <w:r>
        <w:rPr>
          <w:rFonts w:cs="Arial"/>
          <w:i/>
          <w:szCs w:val="24"/>
        </w:rPr>
        <w:lastRenderedPageBreak/>
        <w:t>Delivered:</w:t>
      </w:r>
      <w:r>
        <w:rPr>
          <w:rFonts w:cs="Arial"/>
          <w:i/>
          <w:szCs w:val="24"/>
        </w:rPr>
        <w:tab/>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A67BBD">
        <w:rPr>
          <w:rFonts w:cs="Arial"/>
          <w:i/>
          <w:szCs w:val="24"/>
        </w:rPr>
        <w:t>12h00 on 30</w:t>
      </w:r>
      <w:r>
        <w:rPr>
          <w:rFonts w:cs="Arial"/>
          <w:i/>
          <w:szCs w:val="24"/>
        </w:rPr>
        <w:t xml:space="preserve"> </w:t>
      </w:r>
      <w:r w:rsidR="00A67BBD">
        <w:rPr>
          <w:rFonts w:cs="Arial"/>
          <w:i/>
          <w:szCs w:val="24"/>
        </w:rPr>
        <w:t xml:space="preserve">November </w:t>
      </w:r>
      <w:r>
        <w:rPr>
          <w:rFonts w:cs="Arial"/>
          <w:i/>
          <w:szCs w:val="24"/>
        </w:rPr>
        <w:t>2023.</w:t>
      </w:r>
    </w:p>
    <w:p w14:paraId="2DAEEE38" w14:textId="77777777" w:rsidR="00A649E7" w:rsidRDefault="00A649E7" w:rsidP="00633CD8">
      <w:pPr>
        <w:spacing w:after="240"/>
        <w:rPr>
          <w:rFonts w:cs="Arial"/>
        </w:rPr>
      </w:pPr>
    </w:p>
    <w:p w14:paraId="2AF5A8CC" w14:textId="77777777" w:rsidR="00633CD8" w:rsidRPr="00A84826" w:rsidRDefault="00A67BBD" w:rsidP="00633CD8">
      <w:pPr>
        <w:pStyle w:val="LegalTramLines"/>
        <w:spacing w:after="240"/>
      </w:pPr>
      <w:r>
        <w:t xml:space="preserve">APPLICATION FOR LEAVE TO APPEAL </w:t>
      </w:r>
      <w:r w:rsidR="00633CD8">
        <w:t xml:space="preserve">JUDGMENT </w:t>
      </w:r>
    </w:p>
    <w:p w14:paraId="2D595468" w14:textId="77777777" w:rsidR="00A67BBD" w:rsidRDefault="00A67BBD" w:rsidP="00A67BBD">
      <w:pPr>
        <w:pStyle w:val="Heading1"/>
        <w:keepNext/>
        <w:numPr>
          <w:ilvl w:val="0"/>
          <w:numId w:val="0"/>
        </w:numPr>
        <w:spacing w:after="120"/>
        <w:ind w:left="862" w:hanging="862"/>
        <w:rPr>
          <w:b/>
          <w:bCs/>
          <w:u w:val="single"/>
        </w:rPr>
      </w:pPr>
      <w:bookmarkStart w:id="0" w:name="_Hlk81386236"/>
      <w:bookmarkStart w:id="1" w:name="_Hlk81386419"/>
    </w:p>
    <w:p w14:paraId="5707D965" w14:textId="77777777" w:rsidR="006F7C73" w:rsidRDefault="005F5D78" w:rsidP="00A34D30">
      <w:pPr>
        <w:pStyle w:val="Heading1"/>
        <w:keepNext/>
        <w:numPr>
          <w:ilvl w:val="0"/>
          <w:numId w:val="0"/>
        </w:numPr>
        <w:ind w:left="862" w:hanging="862"/>
      </w:pPr>
      <w:r w:rsidRPr="000460FA">
        <w:rPr>
          <w:b/>
          <w:bCs/>
          <w:u w:val="single"/>
        </w:rPr>
        <w:t>TERNENT</w:t>
      </w:r>
      <w:r w:rsidR="00833533" w:rsidRPr="000460FA">
        <w:rPr>
          <w:b/>
          <w:bCs/>
          <w:u w:val="single"/>
        </w:rPr>
        <w:t>, AJ</w:t>
      </w:r>
      <w:r w:rsidR="002A19E4" w:rsidRPr="005F5D78">
        <w:t>:</w:t>
      </w:r>
      <w:bookmarkEnd w:id="0"/>
    </w:p>
    <w:p w14:paraId="632BD9B2" w14:textId="0293F3CF" w:rsidR="00F140EB" w:rsidRDefault="00400D76" w:rsidP="00400D76">
      <w:pPr>
        <w:pStyle w:val="Heading1"/>
        <w:numPr>
          <w:ilvl w:val="0"/>
          <w:numId w:val="0"/>
        </w:numPr>
        <w:tabs>
          <w:tab w:val="left" w:pos="862"/>
        </w:tabs>
        <w:ind w:left="862" w:hanging="862"/>
      </w:pPr>
      <w:bookmarkStart w:id="2" w:name="_Hlk81386320"/>
      <w:r>
        <w:t>[1]</w:t>
      </w:r>
      <w:r>
        <w:tab/>
      </w:r>
      <w:r w:rsidR="00A67BBD">
        <w:t xml:space="preserve">For convenience, I shall refer to the parties as they are in the trial action.  </w:t>
      </w:r>
      <w:r w:rsidR="00D02FE3">
        <w:t>A</w:t>
      </w:r>
      <w:r w:rsidR="00A67BBD">
        <w:t xml:space="preserve">ll the defendants </w:t>
      </w:r>
      <w:r w:rsidR="00D02FE3">
        <w:t>(albeit pertinently the fifth defendant)</w:t>
      </w:r>
      <w:r w:rsidR="00A67BBD">
        <w:t xml:space="preserve"> seek leave to appeal against my order </w:t>
      </w:r>
      <w:r w:rsidR="00F140EB">
        <w:t xml:space="preserve">ordering </w:t>
      </w:r>
      <w:r w:rsidR="00A67BBD">
        <w:t xml:space="preserve">the fifth defendant </w:t>
      </w:r>
      <w:r w:rsidR="00F140EB">
        <w:t xml:space="preserve"> to </w:t>
      </w:r>
      <w:r w:rsidR="00A67BBD">
        <w:t>comply with the plaintiff’s notice in terms of Rule 35(3) and provide it with the documents requested from him</w:t>
      </w:r>
      <w:r w:rsidR="00F81C54">
        <w:t>. This it does because he is still employed</w:t>
      </w:r>
      <w:r w:rsidR="00A67BBD">
        <w:t xml:space="preserve"> in his capacity as the Chief Executive Officer of Basil Read Limited (Registration No. 1962/002313/06) (in business rescue).</w:t>
      </w:r>
    </w:p>
    <w:p w14:paraId="244B71FC" w14:textId="1C9E5E4A" w:rsidR="00F140EB" w:rsidRDefault="00400D76" w:rsidP="00400D76">
      <w:pPr>
        <w:pStyle w:val="Heading1"/>
        <w:numPr>
          <w:ilvl w:val="0"/>
          <w:numId w:val="0"/>
        </w:numPr>
        <w:tabs>
          <w:tab w:val="left" w:pos="862"/>
        </w:tabs>
        <w:ind w:left="862" w:hanging="862"/>
      </w:pPr>
      <w:r>
        <w:t>[2]</w:t>
      </w:r>
      <w:r>
        <w:tab/>
      </w:r>
      <w:r w:rsidR="00A67BBD">
        <w:t>The leave to appeal persists with the argument that the fifth defendant</w:t>
      </w:r>
      <w:r w:rsidR="00F140EB">
        <w:t>,</w:t>
      </w:r>
      <w:r w:rsidR="00A67BBD">
        <w:t xml:space="preserve"> who concedes that he has access to the documents and</w:t>
      </w:r>
      <w:r w:rsidR="00F140EB">
        <w:t>,</w:t>
      </w:r>
      <w:r w:rsidR="00A67BBD">
        <w:t xml:space="preserve"> furthermore</w:t>
      </w:r>
      <w:r w:rsidR="00F140EB">
        <w:t>,</w:t>
      </w:r>
      <w:r w:rsidR="00A67BBD">
        <w:t xml:space="preserve"> that the plaintiff is entitled to them argues that he is not in </w:t>
      </w:r>
      <w:r w:rsidR="00A67BBD">
        <w:rPr>
          <w:i/>
          <w:iCs/>
        </w:rPr>
        <w:t>“possession”</w:t>
      </w:r>
      <w:r w:rsidR="00A67BBD">
        <w:t xml:space="preserve"> of these documents in terms of Rule 35 and that the documents should be obtained from</w:t>
      </w:r>
      <w:r w:rsidR="00F81C54">
        <w:t xml:space="preserve"> variously Basil Read or</w:t>
      </w:r>
      <w:r w:rsidR="00A67BBD">
        <w:t xml:space="preserve"> the business rescue practitioners who are managing </w:t>
      </w:r>
      <w:r w:rsidR="00402157">
        <w:t xml:space="preserve">Basil Read in business rescue.  </w:t>
      </w:r>
    </w:p>
    <w:p w14:paraId="7D608EBC" w14:textId="48310BCC" w:rsidR="00F140EB" w:rsidRDefault="00400D76" w:rsidP="00400D76">
      <w:pPr>
        <w:pStyle w:val="Heading1"/>
        <w:numPr>
          <w:ilvl w:val="0"/>
          <w:numId w:val="0"/>
        </w:numPr>
        <w:tabs>
          <w:tab w:val="left" w:pos="862"/>
        </w:tabs>
        <w:ind w:left="862" w:hanging="862"/>
      </w:pPr>
      <w:r>
        <w:t>[3]</w:t>
      </w:r>
      <w:r>
        <w:tab/>
      </w:r>
      <w:r w:rsidR="00F140EB">
        <w:t>T</w:t>
      </w:r>
      <w:r w:rsidR="00402157">
        <w:t xml:space="preserve">he defendants </w:t>
      </w:r>
      <w:r w:rsidR="00F140EB">
        <w:t xml:space="preserve">also </w:t>
      </w:r>
      <w:r w:rsidR="00402157">
        <w:t xml:space="preserve">contend not only for reliance on the provisions of section 17(1)(a)(i) that </w:t>
      </w:r>
      <w:r w:rsidR="00402157">
        <w:rPr>
          <w:i/>
          <w:iCs/>
        </w:rPr>
        <w:t>“the appeal would have a reasonable prospect of success”</w:t>
      </w:r>
      <w:r w:rsidR="00402157">
        <w:t>, but</w:t>
      </w:r>
      <w:r w:rsidR="00F81C54">
        <w:t xml:space="preserve"> </w:t>
      </w:r>
      <w:r w:rsidR="00402157">
        <w:t xml:space="preserve">the provisions of section 17(1)(a)(ii) of the Superior Courts Act 10 of 2013 that </w:t>
      </w:r>
      <w:r w:rsidR="00F140EB">
        <w:t>“</w:t>
      </w:r>
      <w:r w:rsidR="00402157" w:rsidRPr="00F140EB">
        <w:rPr>
          <w:i/>
          <w:iCs/>
        </w:rPr>
        <w:t xml:space="preserve">there is some other compelling reason why the appeal </w:t>
      </w:r>
      <w:r w:rsidR="00402157" w:rsidRPr="00F140EB">
        <w:rPr>
          <w:i/>
          <w:iCs/>
        </w:rPr>
        <w:lastRenderedPageBreak/>
        <w:t>should be heard, including conflicting judgments</w:t>
      </w:r>
      <w:r w:rsidR="00F140EB">
        <w:t>”</w:t>
      </w:r>
      <w:r w:rsidR="00402157">
        <w:t xml:space="preserve"> on the matter under consideration. </w:t>
      </w:r>
    </w:p>
    <w:p w14:paraId="7C50B95B" w14:textId="0C44D877" w:rsidR="00A67BBD" w:rsidRDefault="00400D76" w:rsidP="00400D76">
      <w:pPr>
        <w:pStyle w:val="Heading1"/>
        <w:numPr>
          <w:ilvl w:val="0"/>
          <w:numId w:val="0"/>
        </w:numPr>
        <w:tabs>
          <w:tab w:val="left" w:pos="862"/>
        </w:tabs>
        <w:ind w:left="862" w:hanging="862"/>
      </w:pPr>
      <w:r>
        <w:t>[4]</w:t>
      </w:r>
      <w:r>
        <w:tab/>
      </w:r>
      <w:r w:rsidR="00402157">
        <w:t>The test</w:t>
      </w:r>
      <w:r w:rsidR="00F140EB">
        <w:t>,</w:t>
      </w:r>
      <w:r w:rsidR="00402157">
        <w:t xml:space="preserve"> as provided for in section 17(1)(a)</w:t>
      </w:r>
      <w:r w:rsidR="00F140EB">
        <w:t>,</w:t>
      </w:r>
      <w:r w:rsidR="00402157">
        <w:t xml:space="preserve"> is that leave to appeal may only be granted where the Judge concerned is of the opinion that the appeal would have a </w:t>
      </w:r>
      <w:r w:rsidR="00402157" w:rsidRPr="00402157">
        <w:rPr>
          <w:i/>
          <w:iCs/>
        </w:rPr>
        <w:t>“reasonable prospect of success”</w:t>
      </w:r>
      <w:r w:rsidR="00402157">
        <w:t xml:space="preserve"> (section 17(1)(a)(i)).  In this regard the Supreme Court of Appeal in </w:t>
      </w:r>
      <w:r w:rsidR="00402157">
        <w:rPr>
          <w:b/>
          <w:bCs/>
          <w:i/>
          <w:iCs/>
        </w:rPr>
        <w:t>Notshokovu v S</w:t>
      </w:r>
      <w:r w:rsidR="00402157" w:rsidRPr="00402157">
        <w:rPr>
          <w:rStyle w:val="FootnoteReference"/>
        </w:rPr>
        <w:footnoteReference w:id="1"/>
      </w:r>
      <w:r w:rsidR="00402157" w:rsidRPr="00402157">
        <w:t xml:space="preserve"> confirm</w:t>
      </w:r>
      <w:r w:rsidR="001B2D8A">
        <w:t>ed</w:t>
      </w:r>
      <w:r w:rsidR="00402157">
        <w:t xml:space="preserve"> that </w:t>
      </w:r>
      <w:r w:rsidR="00402157">
        <w:rPr>
          <w:i/>
          <w:iCs/>
        </w:rPr>
        <w:t>“It is clear that the threshold for granting leave to appeal against the judgment of a High Court has been raised in the new Act.  The former test whether leave to appeal should be granted was a reasonable prospect that another Court might come to a different conclusion.  The use of the word “would” in the new statute indicates a measure of certainty that another Court will differ from the Court whose judgment is sought to be appealed against.”</w:t>
      </w:r>
    </w:p>
    <w:p w14:paraId="3FE3CA06" w14:textId="553FD114" w:rsidR="00F140EB" w:rsidRDefault="00400D76" w:rsidP="00400D76">
      <w:pPr>
        <w:pStyle w:val="Heading1"/>
        <w:numPr>
          <w:ilvl w:val="0"/>
          <w:numId w:val="0"/>
        </w:numPr>
        <w:tabs>
          <w:tab w:val="left" w:pos="862"/>
        </w:tabs>
        <w:ind w:left="862" w:hanging="862"/>
      </w:pPr>
      <w:r>
        <w:t>[5]</w:t>
      </w:r>
      <w:r>
        <w:tab/>
      </w:r>
      <w:r w:rsidR="001B2D8A">
        <w:t>The Supreme Court of Appeal has explained that the prospects of success must not be remote, but there must exist a reasonable chance of succeeding.  An applicant who applies for leave to appeal must show that there is a sound and rational basis for the conclusion that there are prospects of success.</w:t>
      </w:r>
      <w:r w:rsidR="001B2D8A">
        <w:rPr>
          <w:rStyle w:val="FootnoteReference"/>
        </w:rPr>
        <w:footnoteReference w:id="2"/>
      </w:r>
      <w:r w:rsidR="001B2D8A">
        <w:t xml:space="preserve">  An applicant must convince the Court on proper grounds that he has prospects of success on appeal and those prospects are not remote, but have a realistic chance of succeeding.</w:t>
      </w:r>
    </w:p>
    <w:p w14:paraId="20CA2CA9" w14:textId="65D270D7" w:rsidR="00A67BBD" w:rsidRDefault="00400D76" w:rsidP="00400D76">
      <w:pPr>
        <w:pStyle w:val="Heading1"/>
        <w:numPr>
          <w:ilvl w:val="0"/>
          <w:numId w:val="0"/>
        </w:numPr>
        <w:tabs>
          <w:tab w:val="left" w:pos="862"/>
        </w:tabs>
        <w:ind w:left="862" w:hanging="862"/>
      </w:pPr>
      <w:r>
        <w:t>[6]</w:t>
      </w:r>
      <w:r>
        <w:tab/>
      </w:r>
      <w:r w:rsidR="001B2D8A">
        <w:t>More is required than a mere possibility of success, or that the case is arguable on appeal, or that the case cannot be categorised as hopeless.</w:t>
      </w:r>
      <w:r w:rsidR="00EF5740">
        <w:rPr>
          <w:rStyle w:val="FootnoteReference"/>
        </w:rPr>
        <w:footnoteReference w:id="3"/>
      </w:r>
      <w:r w:rsidR="00EF5740">
        <w:t xml:space="preserve">  In the decision of </w:t>
      </w:r>
      <w:r w:rsidR="00EF5740">
        <w:rPr>
          <w:b/>
          <w:bCs/>
          <w:i/>
          <w:iCs/>
        </w:rPr>
        <w:t>Dexgroup (Pty) Ltd v Trustco Group International (Pty) Ltd and Others</w:t>
      </w:r>
      <w:r w:rsidR="00EF5740" w:rsidRPr="00EF5740">
        <w:rPr>
          <w:rStyle w:val="FootnoteReference"/>
        </w:rPr>
        <w:footnoteReference w:id="4"/>
      </w:r>
      <w:r w:rsidR="00EF5740" w:rsidRPr="00EF5740">
        <w:t xml:space="preserve"> Wallis, JA</w:t>
      </w:r>
      <w:r w:rsidR="00EF5740">
        <w:t xml:space="preserve"> observed that a Court should not grant </w:t>
      </w:r>
      <w:r w:rsidR="00EF5740">
        <w:lastRenderedPageBreak/>
        <w:t>leave to appeal and indeed is under a duty not to do so where the threshold which warrants such leave has not been cleared by an applicant in an application for leave to appeal:</w:t>
      </w:r>
    </w:p>
    <w:p w14:paraId="07201921" w14:textId="77777777" w:rsidR="00EF5740" w:rsidRPr="00EF5740" w:rsidRDefault="00EF5740" w:rsidP="00EF5740">
      <w:pPr>
        <w:ind w:left="3022" w:hanging="3022"/>
        <w:rPr>
          <w:i/>
          <w:iCs/>
        </w:rPr>
      </w:pPr>
      <w:r>
        <w:tab/>
      </w:r>
      <w:r>
        <w:tab/>
      </w:r>
      <w:r>
        <w:rPr>
          <w:i/>
          <w:iCs/>
        </w:rPr>
        <w:t>“[24]</w:t>
      </w:r>
      <w:r>
        <w:rPr>
          <w:i/>
          <w:iCs/>
        </w:rPr>
        <w:tab/>
        <w:t xml:space="preserve">… </w:t>
      </w:r>
      <w:r w:rsidRPr="00EF5740">
        <w:rPr>
          <w:i/>
          <w:iCs/>
        </w:rPr>
        <w:t>The need to obtain leave to appeal is a valuable tool in ensuring that scarce judicial resources are not spent on appeals that lack merit. It should in this case have been deployed by refusing leave to appeal.</w:t>
      </w:r>
      <w:r>
        <w:rPr>
          <w:i/>
          <w:iCs/>
        </w:rPr>
        <w:t>”</w:t>
      </w:r>
    </w:p>
    <w:p w14:paraId="7570B045" w14:textId="6E3E4463" w:rsidR="00F140EB" w:rsidRDefault="00400D76" w:rsidP="00400D76">
      <w:pPr>
        <w:pStyle w:val="Heading1"/>
        <w:numPr>
          <w:ilvl w:val="0"/>
          <w:numId w:val="0"/>
        </w:numPr>
        <w:tabs>
          <w:tab w:val="left" w:pos="862"/>
        </w:tabs>
        <w:ind w:left="862" w:hanging="862"/>
      </w:pPr>
      <w:r>
        <w:t>[7]</w:t>
      </w:r>
      <w:r>
        <w:tab/>
      </w:r>
      <w:r w:rsidR="00EF5740">
        <w:t>Accordingly, it is required of a lower Court that it act as a filter to ensure that the Appeal Court’s time is spent only on hearing appeals that are truly deserving of its attention and that the test for the grant of leave to appeal should thus be scrupulously followed.</w:t>
      </w:r>
    </w:p>
    <w:p w14:paraId="7F274A7D" w14:textId="2FAF2C2B" w:rsidR="00DD650F" w:rsidRDefault="00400D76" w:rsidP="00400D76">
      <w:pPr>
        <w:pStyle w:val="Heading1"/>
        <w:numPr>
          <w:ilvl w:val="0"/>
          <w:numId w:val="0"/>
        </w:numPr>
        <w:tabs>
          <w:tab w:val="left" w:pos="862"/>
        </w:tabs>
        <w:ind w:left="862" w:hanging="862"/>
      </w:pPr>
      <w:r>
        <w:t>[8]</w:t>
      </w:r>
      <w:r>
        <w:tab/>
      </w:r>
      <w:r w:rsidR="0066675E">
        <w:t>Mr Bokaba</w:t>
      </w:r>
      <w:r w:rsidR="00F140EB">
        <w:t>, counsel for the defendants</w:t>
      </w:r>
      <w:r w:rsidR="0066675E">
        <w:t xml:space="preserve"> first</w:t>
      </w:r>
      <w:r w:rsidR="00F140EB">
        <w:t xml:space="preserve"> submission is that </w:t>
      </w:r>
      <w:r w:rsidR="0066675E">
        <w:t xml:space="preserve">on the interpretation of the words </w:t>
      </w:r>
      <w:r w:rsidR="0066675E">
        <w:rPr>
          <w:i/>
          <w:iCs/>
        </w:rPr>
        <w:t xml:space="preserve">“possession and/or control” </w:t>
      </w:r>
      <w:r w:rsidR="0066675E">
        <w:t>within the meaning of Rule 35 there are two divergent interpretations</w:t>
      </w:r>
      <w:r w:rsidR="00F140EB">
        <w:t>. He submits that</w:t>
      </w:r>
      <w:r w:rsidR="0066675E">
        <w:t xml:space="preserve"> </w:t>
      </w:r>
      <w:r w:rsidR="00F140EB">
        <w:t xml:space="preserve">a consideration of </w:t>
      </w:r>
      <w:r w:rsidR="0066675E">
        <w:t>the judgments in this division</w:t>
      </w:r>
      <w:r w:rsidR="00F140EB">
        <w:t>,</w:t>
      </w:r>
      <w:r w:rsidR="0066675E">
        <w:t xml:space="preserve"> to which I have referred in my judgment</w:t>
      </w:r>
      <w:r w:rsidR="00F140EB">
        <w:t>, namely</w:t>
      </w:r>
      <w:r w:rsidR="0066675E">
        <w:t xml:space="preserve"> the </w:t>
      </w:r>
      <w:r w:rsidR="0058561A">
        <w:rPr>
          <w:b/>
          <w:bCs/>
          <w:i/>
          <w:iCs/>
        </w:rPr>
        <w:t>Loureiro</w:t>
      </w:r>
      <w:r w:rsidR="0058561A">
        <w:rPr>
          <w:rStyle w:val="FootnoteReference"/>
          <w:b/>
          <w:bCs/>
          <w:i/>
          <w:iCs/>
        </w:rPr>
        <w:footnoteReference w:id="5"/>
      </w:r>
      <w:r w:rsidR="0058561A">
        <w:rPr>
          <w:b/>
          <w:bCs/>
          <w:i/>
          <w:iCs/>
        </w:rPr>
        <w:t xml:space="preserve"> </w:t>
      </w:r>
      <w:r w:rsidR="0058561A">
        <w:t xml:space="preserve">judgment which followed </w:t>
      </w:r>
      <w:r w:rsidR="0058561A">
        <w:rPr>
          <w:b/>
          <w:bCs/>
          <w:i/>
          <w:iCs/>
        </w:rPr>
        <w:t>Copalcor</w:t>
      </w:r>
      <w:r w:rsidR="0058561A" w:rsidRPr="0058561A">
        <w:rPr>
          <w:rStyle w:val="FootnoteReference"/>
        </w:rPr>
        <w:footnoteReference w:id="6"/>
      </w:r>
      <w:r w:rsidR="00F81C54">
        <w:t xml:space="preserve">, </w:t>
      </w:r>
      <w:r w:rsidR="0058561A">
        <w:t>which adopted a wider interpretation of the word possession</w:t>
      </w:r>
      <w:r w:rsidR="00F81C54">
        <w:t>,</w:t>
      </w:r>
      <w:r w:rsidR="00F140EB">
        <w:t xml:space="preserve"> are in conflict with two judgments</w:t>
      </w:r>
      <w:r w:rsidR="00F81C54">
        <w:t xml:space="preserve"> in other divisions</w:t>
      </w:r>
      <w:r w:rsidR="0058561A">
        <w:t>. I</w:t>
      </w:r>
      <w:r w:rsidR="00F81C54">
        <w:t>t</w:t>
      </w:r>
      <w:r w:rsidR="0058561A">
        <w:t xml:space="preserve"> was again impressed upon </w:t>
      </w:r>
      <w:r w:rsidR="00F81C54">
        <w:t xml:space="preserve"> me </w:t>
      </w:r>
      <w:r w:rsidR="0058561A">
        <w:t>that</w:t>
      </w:r>
      <w:r w:rsidR="00F81C54">
        <w:t xml:space="preserve"> in</w:t>
      </w:r>
      <w:r w:rsidR="0058561A">
        <w:t xml:space="preserve"> the decision of </w:t>
      </w:r>
      <w:r w:rsidR="0018027A" w:rsidRPr="0018027A">
        <w:rPr>
          <w:b/>
          <w:bCs/>
          <w:i/>
          <w:iCs/>
        </w:rPr>
        <w:t>Tooch v Greenaway</w:t>
      </w:r>
      <w:r w:rsidR="0018027A" w:rsidRPr="0018027A">
        <w:rPr>
          <w:rStyle w:val="FootnoteReference"/>
          <w:b/>
          <w:bCs/>
        </w:rPr>
        <w:footnoteReference w:id="7"/>
      </w:r>
      <w:r w:rsidR="0018027A" w:rsidRPr="0018027A">
        <w:t xml:space="preserve"> 1922 CPD 331</w:t>
      </w:r>
      <w:r w:rsidR="0018027A">
        <w:t xml:space="preserve"> Watermeyer AJ determined</w:t>
      </w:r>
      <w:r w:rsidR="00F140EB">
        <w:t>,</w:t>
      </w:r>
      <w:r w:rsidR="0018027A">
        <w:t xml:space="preserve"> in consideration of </w:t>
      </w:r>
      <w:r w:rsidR="003325C0">
        <w:t>Rule of Court No. 333 of the</w:t>
      </w:r>
      <w:r w:rsidR="00F140EB">
        <w:t xml:space="preserve"> prevailing</w:t>
      </w:r>
      <w:r w:rsidR="003325C0">
        <w:t xml:space="preserve"> Rules of Court</w:t>
      </w:r>
      <w:r w:rsidR="00F140EB">
        <w:t>,</w:t>
      </w:r>
      <w:r w:rsidR="003325C0">
        <w:t xml:space="preserve"> no longer applicable today</w:t>
      </w:r>
      <w:r w:rsidR="00F140EB">
        <w:t>,</w:t>
      </w:r>
      <w:r w:rsidR="003325C0">
        <w:t xml:space="preserve"> </w:t>
      </w:r>
      <w:r w:rsidR="00F140EB">
        <w:t xml:space="preserve">that </w:t>
      </w:r>
      <w:r w:rsidR="003325C0">
        <w:t xml:space="preserve">the word </w:t>
      </w:r>
      <w:r w:rsidR="003325C0">
        <w:rPr>
          <w:i/>
          <w:iCs/>
        </w:rPr>
        <w:t>“possession”</w:t>
      </w:r>
      <w:r w:rsidR="003325C0">
        <w:t xml:space="preserve"> </w:t>
      </w:r>
      <w:r w:rsidR="00F140EB">
        <w:t>must be interpreted i</w:t>
      </w:r>
      <w:r w:rsidR="003325C0">
        <w:t>n a narrow sense</w:t>
      </w:r>
      <w:r w:rsidR="00F140EB">
        <w:t xml:space="preserve">. As such </w:t>
      </w:r>
      <w:r w:rsidR="00F81C54">
        <w:t>t</w:t>
      </w:r>
      <w:r w:rsidR="00F140EB">
        <w:t>he</w:t>
      </w:r>
      <w:r w:rsidR="00F81C54">
        <w:t xml:space="preserve"> learned judge</w:t>
      </w:r>
      <w:r w:rsidR="00F140EB">
        <w:t xml:space="preserve"> found</w:t>
      </w:r>
      <w:r w:rsidR="003325C0">
        <w:t xml:space="preserve"> that because the</w:t>
      </w:r>
      <w:r w:rsidR="00DD650F">
        <w:t xml:space="preserve"> required</w:t>
      </w:r>
      <w:r w:rsidR="003325C0">
        <w:t xml:space="preserve"> income tax return was in the possession of the Receiver of Revenue it could be called as a witness at the trial to produce it if is relevant.</w:t>
      </w:r>
      <w:r w:rsidR="00F81C54">
        <w:t xml:space="preserve"> </w:t>
      </w:r>
      <w:r w:rsidR="00DD650F">
        <w:t>In addition, t</w:t>
      </w:r>
      <w:r w:rsidR="003325C0">
        <w:t>he judgment i</w:t>
      </w:r>
      <w:r w:rsidR="00DD650F">
        <w:t>n</w:t>
      </w:r>
      <w:r w:rsidR="003325C0">
        <w:t xml:space="preserve"> </w:t>
      </w:r>
      <w:r w:rsidR="003325C0">
        <w:rPr>
          <w:b/>
          <w:bCs/>
          <w:i/>
          <w:iCs/>
        </w:rPr>
        <w:lastRenderedPageBreak/>
        <w:t>Ramakarane v Centlec (Pty) Ltd</w:t>
      </w:r>
      <w:r w:rsidR="003325C0" w:rsidRPr="003325C0">
        <w:t>,</w:t>
      </w:r>
      <w:r w:rsidR="003325C0" w:rsidRPr="003325C0">
        <w:rPr>
          <w:rStyle w:val="FootnoteReference"/>
        </w:rPr>
        <w:footnoteReference w:id="8"/>
      </w:r>
      <w:r w:rsidR="003325C0" w:rsidRPr="003325C0">
        <w:t xml:space="preserve"> a</w:t>
      </w:r>
      <w:r w:rsidR="003325C0">
        <w:rPr>
          <w:b/>
          <w:bCs/>
          <w:i/>
          <w:iCs/>
        </w:rPr>
        <w:t xml:space="preserve"> </w:t>
      </w:r>
      <w:r w:rsidR="003325C0">
        <w:t>decision of the Free State Division in Bloemfontein</w:t>
      </w:r>
      <w:r w:rsidR="00DD650F">
        <w:t>,</w:t>
      </w:r>
      <w:r w:rsidR="00F81C54">
        <w:t xml:space="preserve"> was mentioned again</w:t>
      </w:r>
      <w:r w:rsidR="003325C0">
        <w:t xml:space="preserve"> </w:t>
      </w:r>
      <w:r w:rsidR="00DD650F">
        <w:t xml:space="preserve">where the </w:t>
      </w:r>
      <w:r w:rsidR="00D02FE3">
        <w:t>defendant</w:t>
      </w:r>
      <w:r w:rsidR="00DD650F">
        <w:t xml:space="preserve"> had been </w:t>
      </w:r>
      <w:r w:rsidR="003325C0">
        <w:t>compelled to discover under Rule 35(3)</w:t>
      </w:r>
      <w:r w:rsidR="00F81C54">
        <w:t>, and Pienaar AJ</w:t>
      </w:r>
      <w:r w:rsidR="003325C0">
        <w:t xml:space="preserve"> </w:t>
      </w:r>
      <w:r w:rsidR="00DD650F">
        <w:t>found</w:t>
      </w:r>
      <w:r w:rsidR="003325C0">
        <w:t xml:space="preserve"> that the documentation was not </w:t>
      </w:r>
      <w:r w:rsidR="003325C0" w:rsidRPr="003325C0">
        <w:rPr>
          <w:i/>
          <w:iCs/>
        </w:rPr>
        <w:t>“in her possession and the documents are also not readily available”</w:t>
      </w:r>
      <w:r w:rsidR="00FF7C71">
        <w:t>.</w:t>
      </w:r>
      <w:r w:rsidR="00FF7C71">
        <w:rPr>
          <w:i/>
          <w:iCs/>
        </w:rPr>
        <w:t xml:space="preserve"> </w:t>
      </w:r>
      <w:r w:rsidR="00FF7C71">
        <w:t>The applicant submitted that the documents were in her possession even though she did not have physical copies thereof.  The documents</w:t>
      </w:r>
      <w:r w:rsidR="00DD650F">
        <w:t>, so the applicant said</w:t>
      </w:r>
      <w:r w:rsidR="00D57F7D">
        <w:t>,</w:t>
      </w:r>
      <w:r w:rsidR="00DD650F">
        <w:t xml:space="preserve"> could be</w:t>
      </w:r>
      <w:r w:rsidR="00FF7C71">
        <w:t xml:space="preserve"> requested </w:t>
      </w:r>
      <w:r w:rsidR="00DD650F">
        <w:t>and</w:t>
      </w:r>
      <w:r w:rsidR="00F81C54">
        <w:t xml:space="preserve"> </w:t>
      </w:r>
      <w:r w:rsidR="00FF7C71">
        <w:t xml:space="preserve">obtained from the bank and SARS.  The Court applied the reasoning in </w:t>
      </w:r>
      <w:r w:rsidR="00FF7C71">
        <w:rPr>
          <w:b/>
          <w:bCs/>
          <w:i/>
          <w:iCs/>
        </w:rPr>
        <w:t xml:space="preserve">Copalcor </w:t>
      </w:r>
      <w:r w:rsidR="00FF7C71">
        <w:t xml:space="preserve">but then interpreted Rule 35(3) and the word </w:t>
      </w:r>
      <w:r w:rsidR="00FF7C71">
        <w:rPr>
          <w:i/>
          <w:iCs/>
        </w:rPr>
        <w:t xml:space="preserve">“possession” </w:t>
      </w:r>
      <w:r w:rsidR="00FF7C71">
        <w:t xml:space="preserve">as </w:t>
      </w:r>
      <w:r w:rsidR="00D02FE3" w:rsidRPr="00D57F7D">
        <w:t>denoting physical possession</w:t>
      </w:r>
      <w:r w:rsidR="00F81C54" w:rsidRPr="00D57F7D">
        <w:t>.</w:t>
      </w:r>
      <w:r w:rsidR="00F81C54">
        <w:t xml:space="preserve"> The learned judge</w:t>
      </w:r>
      <w:r w:rsidR="00FF7C71">
        <w:t xml:space="preserve"> </w:t>
      </w:r>
      <w:r w:rsidR="00DD650F">
        <w:t>found</w:t>
      </w:r>
      <w:r w:rsidR="00FF7C71">
        <w:t xml:space="preserve"> that</w:t>
      </w:r>
      <w:r w:rsidR="00DD650F">
        <w:t xml:space="preserve"> if </w:t>
      </w:r>
      <w:r w:rsidR="00F81C54">
        <w:t xml:space="preserve">the </w:t>
      </w:r>
      <w:r w:rsidR="00D02FE3">
        <w:t>defendant</w:t>
      </w:r>
      <w:r w:rsidR="00DD650F">
        <w:t xml:space="preserve"> was required to obtain the documents</w:t>
      </w:r>
      <w:r w:rsidR="00FF7C71">
        <w:t xml:space="preserve"> the requirement</w:t>
      </w:r>
      <w:r w:rsidR="00DD650F">
        <w:t xml:space="preserve"> in the rule stipulating</w:t>
      </w:r>
      <w:r w:rsidR="00FF7C71">
        <w:t xml:space="preserve"> that if the documents were not in her possession she should state their whereabouts</w:t>
      </w:r>
      <w:r w:rsidR="00DD650F">
        <w:t>,</w:t>
      </w:r>
      <w:r w:rsidR="00FF7C71">
        <w:t xml:space="preserve"> if known</w:t>
      </w:r>
      <w:r w:rsidR="00DD650F">
        <w:t>,</w:t>
      </w:r>
      <w:r w:rsidR="00FF7C71">
        <w:t xml:space="preserve"> would be rendered superfluous. The learned Judge also referred to </w:t>
      </w:r>
      <w:r w:rsidR="00FF7C71">
        <w:rPr>
          <w:b/>
          <w:bCs/>
          <w:i/>
          <w:iCs/>
        </w:rPr>
        <w:t xml:space="preserve">Tooch </w:t>
      </w:r>
      <w:r w:rsidR="00FF7C71">
        <w:t xml:space="preserve">and </w:t>
      </w:r>
      <w:r w:rsidR="00DD650F">
        <w:t>other</w:t>
      </w:r>
      <w:r w:rsidR="00FF7C71">
        <w:t xml:space="preserve"> decisions and said that the law has not changed.</w:t>
      </w:r>
      <w:r w:rsidR="00BA104A">
        <w:t xml:space="preserve"> The learned judge also emphasised that under Rule 35(7) he has a discretion in applications to compel discovery</w:t>
      </w:r>
      <w:r w:rsidR="00B962BF">
        <w:t xml:space="preserve"> </w:t>
      </w:r>
      <w:r w:rsidR="00BA104A">
        <w:t xml:space="preserve">and that he is not inclined to exercise his discretion in favour of the plaintiff. </w:t>
      </w:r>
      <w:r w:rsidR="00FF7C71">
        <w:t>Notably, the Judge</w:t>
      </w:r>
      <w:r w:rsidR="00D57F7D">
        <w:t xml:space="preserve"> could</w:t>
      </w:r>
      <w:r w:rsidR="00FF7C71">
        <w:t xml:space="preserve"> not refer to the </w:t>
      </w:r>
      <w:r w:rsidR="00FF7C71" w:rsidRPr="00B962BF">
        <w:rPr>
          <w:b/>
          <w:bCs/>
          <w:i/>
          <w:iCs/>
        </w:rPr>
        <w:t>Loureir</w:t>
      </w:r>
      <w:r w:rsidR="008353F0" w:rsidRPr="00B962BF">
        <w:rPr>
          <w:b/>
          <w:bCs/>
          <w:i/>
          <w:iCs/>
        </w:rPr>
        <w:t>o</w:t>
      </w:r>
      <w:r w:rsidR="00FF7C71" w:rsidRPr="00B962BF">
        <w:rPr>
          <w:b/>
          <w:bCs/>
          <w:i/>
          <w:iCs/>
        </w:rPr>
        <w:t xml:space="preserve"> </w:t>
      </w:r>
      <w:r w:rsidR="00FF7C71">
        <w:t>decision as it only transpired three years later.</w:t>
      </w:r>
      <w:r w:rsidR="008353F0">
        <w:t xml:space="preserve">  </w:t>
      </w:r>
    </w:p>
    <w:p w14:paraId="21618E54" w14:textId="4F634DDE" w:rsidR="00A67BBD" w:rsidRDefault="00400D76" w:rsidP="00400D76">
      <w:pPr>
        <w:pStyle w:val="Heading1"/>
        <w:numPr>
          <w:ilvl w:val="0"/>
          <w:numId w:val="0"/>
        </w:numPr>
        <w:tabs>
          <w:tab w:val="left" w:pos="862"/>
        </w:tabs>
        <w:ind w:left="862" w:hanging="862"/>
      </w:pPr>
      <w:r>
        <w:t>[9]</w:t>
      </w:r>
      <w:r>
        <w:tab/>
      </w:r>
      <w:r w:rsidR="008353F0">
        <w:t xml:space="preserve">In essence the point that has been taken relates to </w:t>
      </w:r>
      <w:r w:rsidR="008353F0" w:rsidRPr="008353F0">
        <w:rPr>
          <w:i/>
          <w:iCs/>
        </w:rPr>
        <w:t>stare decisis</w:t>
      </w:r>
      <w:r w:rsidR="008353F0">
        <w:t xml:space="preserve"> and whether or not I am bound by these decisions in the Cape and Free State.</w:t>
      </w:r>
      <w:r w:rsidR="00D02FE3">
        <w:t xml:space="preserve"> Divisions.</w:t>
      </w:r>
      <w:r w:rsidR="008353F0">
        <w:t xml:space="preserve">  As already stated in my judgment I am not and there is authority for this point.</w:t>
      </w:r>
      <w:r w:rsidR="008353F0">
        <w:rPr>
          <w:rStyle w:val="FootnoteReference"/>
        </w:rPr>
        <w:footnoteReference w:id="9"/>
      </w:r>
      <w:r w:rsidR="008119A9">
        <w:t xml:space="preserve">  I am</w:t>
      </w:r>
      <w:r w:rsidR="00DD650F">
        <w:t>,</w:t>
      </w:r>
      <w:r w:rsidR="008119A9">
        <w:t xml:space="preserve"> however</w:t>
      </w:r>
      <w:r w:rsidR="00DD650F">
        <w:t>,</w:t>
      </w:r>
      <w:r w:rsidR="008119A9">
        <w:t xml:space="preserve"> bound by the judgments in my division and the application of a broader </w:t>
      </w:r>
      <w:r w:rsidR="00D57F7D">
        <w:t>interpretation</w:t>
      </w:r>
      <w:r w:rsidR="008119A9">
        <w:t xml:space="preserve"> to </w:t>
      </w:r>
      <w:r w:rsidR="00F81C54">
        <w:t>“</w:t>
      </w:r>
      <w:r w:rsidR="008119A9" w:rsidRPr="00D57F7D">
        <w:rPr>
          <w:i/>
          <w:iCs/>
        </w:rPr>
        <w:t>possession</w:t>
      </w:r>
      <w:r w:rsidR="00D57F7D">
        <w:rPr>
          <w:i/>
          <w:iCs/>
        </w:rPr>
        <w:t xml:space="preserve"> and</w:t>
      </w:r>
      <w:r w:rsidR="00D57F7D" w:rsidRPr="00D57F7D">
        <w:rPr>
          <w:i/>
          <w:iCs/>
        </w:rPr>
        <w:t>/</w:t>
      </w:r>
      <w:r w:rsidR="00D57F7D">
        <w:rPr>
          <w:i/>
          <w:iCs/>
        </w:rPr>
        <w:t xml:space="preserve">or </w:t>
      </w:r>
      <w:r w:rsidR="00D57F7D" w:rsidRPr="00D57F7D">
        <w:rPr>
          <w:i/>
          <w:iCs/>
        </w:rPr>
        <w:t>control</w:t>
      </w:r>
      <w:r w:rsidR="00F81C54">
        <w:t>”</w:t>
      </w:r>
      <w:r w:rsidR="008119A9">
        <w:t xml:space="preserve"> has been confirmed in those judgments</w:t>
      </w:r>
      <w:r w:rsidR="00F81C54">
        <w:t xml:space="preserve"> mentioned </w:t>
      </w:r>
      <w:r w:rsidR="008119A9">
        <w:t>in my judgment</w:t>
      </w:r>
      <w:r w:rsidR="00315C8B">
        <w:t>.</w:t>
      </w:r>
      <w:r w:rsidR="008119A9" w:rsidRPr="000F04D0">
        <w:rPr>
          <w:rStyle w:val="FootnoteReference"/>
        </w:rPr>
        <w:footnoteReference w:id="10"/>
      </w:r>
      <w:r w:rsidR="008119A9">
        <w:rPr>
          <w:b/>
          <w:bCs/>
          <w:i/>
          <w:iCs/>
        </w:rPr>
        <w:t xml:space="preserve"> </w:t>
      </w:r>
    </w:p>
    <w:p w14:paraId="369DFC2A" w14:textId="5A216D19" w:rsidR="00DD650F" w:rsidRDefault="00400D76" w:rsidP="00400D76">
      <w:pPr>
        <w:pStyle w:val="Heading1"/>
        <w:numPr>
          <w:ilvl w:val="0"/>
          <w:numId w:val="0"/>
        </w:numPr>
        <w:tabs>
          <w:tab w:val="left" w:pos="862"/>
        </w:tabs>
        <w:ind w:left="862" w:hanging="862"/>
      </w:pPr>
      <w:r>
        <w:lastRenderedPageBreak/>
        <w:t>[10]</w:t>
      </w:r>
      <w:r>
        <w:tab/>
      </w:r>
      <w:r w:rsidR="008173DB">
        <w:t>Insofar as the prospects of success</w:t>
      </w:r>
      <w:r w:rsidR="00315C8B">
        <w:t xml:space="preserve"> on appeal</w:t>
      </w:r>
      <w:r w:rsidR="008173DB">
        <w:t xml:space="preserve"> </w:t>
      </w:r>
      <w:r w:rsidR="00315C8B">
        <w:t>are</w:t>
      </w:r>
      <w:r w:rsidR="008173DB">
        <w:t xml:space="preserve"> concerned, it was submitted to me that I have erred </w:t>
      </w:r>
      <w:r w:rsidR="00DD650F">
        <w:t xml:space="preserve">in not giving </w:t>
      </w:r>
      <w:r w:rsidR="008173DB">
        <w:t>consideration to the business rescue principle</w:t>
      </w:r>
      <w:r w:rsidR="00DD650F">
        <w:t>s</w:t>
      </w:r>
      <w:r w:rsidR="008173DB">
        <w:t xml:space="preserve"> and disregarded the fact that Basil Read (in business rescue) is managed by </w:t>
      </w:r>
      <w:r w:rsidR="00DD650F">
        <w:t>its</w:t>
      </w:r>
      <w:r w:rsidR="008173DB">
        <w:t xml:space="preserve"> business rescue practitioner</w:t>
      </w:r>
      <w:r w:rsidR="00DD650F">
        <w:t>s</w:t>
      </w:r>
      <w:r w:rsidR="008173DB">
        <w:t xml:space="preserve">.  </w:t>
      </w:r>
      <w:r w:rsidR="00D57F7D">
        <w:t xml:space="preserve">As a consequence Basil Read is a third party  and the Rule does not  require the fifth defendant to seek documents from third parties. </w:t>
      </w:r>
      <w:r w:rsidR="008173DB">
        <w:t xml:space="preserve">Relying on the </w:t>
      </w:r>
      <w:r w:rsidR="008173DB">
        <w:rPr>
          <w:b/>
          <w:bCs/>
          <w:i/>
          <w:iCs/>
        </w:rPr>
        <w:t xml:space="preserve">Ramakarane </w:t>
      </w:r>
      <w:r w:rsidR="008173DB">
        <w:t xml:space="preserve">judgment, it was submitted to me that the judgment is compelling given the similarity of facts and that the documents </w:t>
      </w:r>
      <w:r w:rsidR="00315C8B">
        <w:t>are</w:t>
      </w:r>
      <w:r w:rsidR="008173DB">
        <w:t xml:space="preserve"> held by a third party and that Basil Read is </w:t>
      </w:r>
      <w:r w:rsidR="00D57F7D">
        <w:t xml:space="preserve"> also </w:t>
      </w:r>
      <w:r w:rsidR="008173DB">
        <w:t>not a party to the proceedings.</w:t>
      </w:r>
    </w:p>
    <w:p w14:paraId="65DFB451" w14:textId="29CA8A1E" w:rsidR="00DD650F" w:rsidRDefault="00400D76" w:rsidP="00400D76">
      <w:pPr>
        <w:pStyle w:val="Heading1"/>
        <w:numPr>
          <w:ilvl w:val="0"/>
          <w:numId w:val="0"/>
        </w:numPr>
        <w:tabs>
          <w:tab w:val="left" w:pos="862"/>
        </w:tabs>
        <w:ind w:left="862" w:hanging="862"/>
      </w:pPr>
      <w:r>
        <w:t>[11]</w:t>
      </w:r>
      <w:r>
        <w:tab/>
      </w:r>
      <w:r w:rsidR="008173DB">
        <w:t xml:space="preserve">I have already set out that I am not bound to follow the </w:t>
      </w:r>
      <w:r w:rsidR="008173DB">
        <w:rPr>
          <w:b/>
          <w:bCs/>
          <w:i/>
          <w:iCs/>
        </w:rPr>
        <w:t xml:space="preserve">Ramakarane </w:t>
      </w:r>
      <w:r w:rsidR="008173DB">
        <w:t>judgment and</w:t>
      </w:r>
      <w:r w:rsidR="00DD650F">
        <w:t>,</w:t>
      </w:r>
      <w:r w:rsidR="008173DB">
        <w:t xml:space="preserve"> in any event do not agree with it</w:t>
      </w:r>
      <w:r w:rsidR="00DD650F">
        <w:t xml:space="preserve">, </w:t>
      </w:r>
      <w:r w:rsidR="008173DB">
        <w:t xml:space="preserve">in the light of the judgments in this division and the interpretation of </w:t>
      </w:r>
      <w:r w:rsidR="008173DB">
        <w:rPr>
          <w:i/>
          <w:iCs/>
        </w:rPr>
        <w:t>“possession”</w:t>
      </w:r>
      <w:r w:rsidR="008173DB">
        <w:t xml:space="preserve"> in a broader manner with the need for a fair trial and the constitutional obligations to ensure that a trial is run in </w:t>
      </w:r>
      <w:r w:rsidR="00DD650F">
        <w:t>an efficient</w:t>
      </w:r>
      <w:r w:rsidR="008173DB">
        <w:t xml:space="preserve"> manner. </w:t>
      </w:r>
      <w:r w:rsidR="00DD650F">
        <w:t xml:space="preserve"> I do not accept that the plaintiff must be expected to </w:t>
      </w:r>
      <w:r w:rsidR="00A22ADD">
        <w:t>issue</w:t>
      </w:r>
      <w:r w:rsidR="00DD650F">
        <w:t xml:space="preserve"> subpoenas at great cost when the  fifth defendant</w:t>
      </w:r>
      <w:r w:rsidR="008173DB">
        <w:t xml:space="preserve"> </w:t>
      </w:r>
      <w:r w:rsidR="00DD650F">
        <w:t>can simply request and obtain the documents from the business practitioners, with ease.</w:t>
      </w:r>
      <w:r w:rsidR="00AC13F4">
        <w:t xml:space="preserve"> I too have exercised my discretion under Rule 35(7) and compelled discovery by the fifth defendant.</w:t>
      </w:r>
    </w:p>
    <w:p w14:paraId="52157831" w14:textId="49284ACE" w:rsidR="008173DB" w:rsidRDefault="00400D76" w:rsidP="00400D76">
      <w:pPr>
        <w:pStyle w:val="Heading1"/>
        <w:numPr>
          <w:ilvl w:val="0"/>
          <w:numId w:val="0"/>
        </w:numPr>
        <w:tabs>
          <w:tab w:val="left" w:pos="862"/>
        </w:tabs>
        <w:ind w:left="862" w:hanging="862"/>
      </w:pPr>
      <w:r>
        <w:t>[12]</w:t>
      </w:r>
      <w:r>
        <w:tab/>
      </w:r>
      <w:r w:rsidR="00DD650F">
        <w:t>In so far as the issue of the fifth defendant’s role in Basil Read (in business rescue) is concerned</w:t>
      </w:r>
      <w:r w:rsidR="00D57F7D">
        <w:t>, and whether it is a third party,</w:t>
      </w:r>
      <w:r w:rsidR="008173DB">
        <w:t xml:space="preserve"> I am confined to the affidavits that were filed in this matter </w:t>
      </w:r>
      <w:r w:rsidR="00DD650F">
        <w:t xml:space="preserve">by </w:t>
      </w:r>
      <w:r w:rsidR="00315C8B">
        <w:t>him where he</w:t>
      </w:r>
      <w:r w:rsidR="008173DB">
        <w:t xml:space="preserve"> confirmed that he had access to the documents</w:t>
      </w:r>
      <w:r w:rsidR="00DD650F">
        <w:t>.</w:t>
      </w:r>
      <w:r w:rsidR="008173DB">
        <w:rPr>
          <w:rStyle w:val="FootnoteReference"/>
        </w:rPr>
        <w:footnoteReference w:id="11"/>
      </w:r>
    </w:p>
    <w:p w14:paraId="1CB0D7CE" w14:textId="4C85EED5" w:rsidR="00DD650F" w:rsidRDefault="00400D76" w:rsidP="00400D76">
      <w:pPr>
        <w:pStyle w:val="Heading1"/>
        <w:numPr>
          <w:ilvl w:val="0"/>
          <w:numId w:val="0"/>
        </w:numPr>
        <w:tabs>
          <w:tab w:val="left" w:pos="862"/>
        </w:tabs>
        <w:ind w:left="862" w:hanging="862"/>
      </w:pPr>
      <w:r>
        <w:t>[13]</w:t>
      </w:r>
      <w:r>
        <w:tab/>
      </w:r>
      <w:r w:rsidR="00DD650F">
        <w:t xml:space="preserve">In his </w:t>
      </w:r>
      <w:r w:rsidR="00D57F7D">
        <w:t>Rule 35 d</w:t>
      </w:r>
      <w:r w:rsidR="00A22ADD">
        <w:t xml:space="preserve">iscovery </w:t>
      </w:r>
      <w:r w:rsidR="00DD650F">
        <w:t>affidavit</w:t>
      </w:r>
      <w:r w:rsidR="00315C8B">
        <w:t xml:space="preserve"> </w:t>
      </w:r>
      <w:r w:rsidR="00A22ADD">
        <w:t>he said:</w:t>
      </w:r>
    </w:p>
    <w:p w14:paraId="4753B1CF" w14:textId="77777777" w:rsidR="008173DB" w:rsidRDefault="008173DB" w:rsidP="005C6451">
      <w:pPr>
        <w:ind w:left="3022" w:hanging="3022"/>
        <w:rPr>
          <w:i/>
          <w:iCs/>
        </w:rPr>
      </w:pPr>
      <w:r>
        <w:tab/>
      </w:r>
      <w:r>
        <w:tab/>
      </w:r>
      <w:r>
        <w:rPr>
          <w:i/>
          <w:iCs/>
        </w:rPr>
        <w:t>“1.</w:t>
      </w:r>
      <w:r>
        <w:rPr>
          <w:i/>
          <w:iCs/>
        </w:rPr>
        <w:tab/>
        <w:t xml:space="preserve">I am an adult male, employed as the Chief Executive Officer of Basil Read Limited (In Business Rescue) and executing my duties in the aforesaid capacity at </w:t>
      </w:r>
      <w:r>
        <w:rPr>
          <w:i/>
          <w:iCs/>
        </w:rPr>
        <w:lastRenderedPageBreak/>
        <w:t xml:space="preserve">the </w:t>
      </w:r>
      <w:r w:rsidR="005C6451">
        <w:rPr>
          <w:i/>
          <w:iCs/>
        </w:rPr>
        <w:t xml:space="preserve">Defendants’ </w:t>
      </w:r>
      <w:r>
        <w:rPr>
          <w:i/>
          <w:iCs/>
        </w:rPr>
        <w:t xml:space="preserve">place of business situated at Corporate Office: Block B, </w:t>
      </w:r>
      <w:r w:rsidR="005C6451">
        <w:rPr>
          <w:i/>
          <w:iCs/>
        </w:rPr>
        <w:t>Viscount Office Park, Bedfordview, Gauteng Province.</w:t>
      </w:r>
    </w:p>
    <w:p w14:paraId="70D91FF9" w14:textId="77777777" w:rsidR="005C6451" w:rsidRDefault="005C6451" w:rsidP="005C6451">
      <w:pPr>
        <w:ind w:left="3022" w:hanging="3022"/>
        <w:rPr>
          <w:i/>
          <w:iCs/>
        </w:rPr>
      </w:pPr>
      <w:r>
        <w:rPr>
          <w:i/>
          <w:iCs/>
        </w:rPr>
        <w:tab/>
      </w:r>
      <w:r>
        <w:rPr>
          <w:i/>
          <w:iCs/>
        </w:rPr>
        <w:tab/>
        <w:t>2.</w:t>
      </w:r>
      <w:r>
        <w:rPr>
          <w:i/>
          <w:iCs/>
        </w:rPr>
        <w:tab/>
        <w:t>I am duly authorised to depose to this affidavit on behalf of the Defendants as I have access to the documents related to the abovementioned matter.”</w:t>
      </w:r>
    </w:p>
    <w:p w14:paraId="54AC8220" w14:textId="71D9D324" w:rsidR="00A22ADD" w:rsidRDefault="00400D76" w:rsidP="00400D76">
      <w:pPr>
        <w:pStyle w:val="Heading1"/>
        <w:numPr>
          <w:ilvl w:val="0"/>
          <w:numId w:val="0"/>
        </w:numPr>
        <w:tabs>
          <w:tab w:val="left" w:pos="862"/>
        </w:tabs>
        <w:ind w:left="862" w:hanging="862"/>
      </w:pPr>
      <w:r>
        <w:t>[14]</w:t>
      </w:r>
      <w:r>
        <w:tab/>
      </w:r>
      <w:r w:rsidR="005C6451">
        <w:t xml:space="preserve">The fifth defendant </w:t>
      </w:r>
      <w:r w:rsidR="00315C8B">
        <w:t xml:space="preserve">listed and disclosed, </w:t>
      </w:r>
      <w:r w:rsidR="005C6451">
        <w:t>in Part A of the First Schedule to his discovery affidavit</w:t>
      </w:r>
      <w:r w:rsidR="00315C8B">
        <w:t>,</w:t>
      </w:r>
      <w:r w:rsidR="005C6451">
        <w:t xml:space="preserve"> a number of documents </w:t>
      </w:r>
      <w:r w:rsidR="005C6451" w:rsidRPr="00110B46">
        <w:rPr>
          <w:i/>
        </w:rPr>
        <w:t>inter alia</w:t>
      </w:r>
      <w:r w:rsidR="005C6451">
        <w:t xml:space="preserve"> Basil Read’s financial statement for the year ended 31 December 2016, memoranda from Basil Read, ledgers, quotations from the plaintiff, purchase orders, minutes of </w:t>
      </w:r>
      <w:r w:rsidR="004A665C">
        <w:t xml:space="preserve">the Board of Directors meeting </w:t>
      </w:r>
      <w:r w:rsidR="004A665C" w:rsidRPr="00110B46">
        <w:rPr>
          <w:i/>
        </w:rPr>
        <w:t>inter alia</w:t>
      </w:r>
      <w:r w:rsidR="00315C8B">
        <w:rPr>
          <w:i/>
        </w:rPr>
        <w:t>.</w:t>
      </w:r>
      <w:r w:rsidR="004A665C">
        <w:t xml:space="preserve"> </w:t>
      </w:r>
      <w:r w:rsidR="00315C8B">
        <w:t xml:space="preserve"> This to my mind is </w:t>
      </w:r>
      <w:r w:rsidR="004A665C">
        <w:t>all documentation</w:t>
      </w:r>
      <w:r w:rsidR="00517493">
        <w:t xml:space="preserve">, </w:t>
      </w:r>
      <w:r w:rsidR="004A665C">
        <w:t xml:space="preserve">which if </w:t>
      </w:r>
      <w:r w:rsidR="00315C8B">
        <w:t>he was still not involved</w:t>
      </w:r>
      <w:r w:rsidR="0006231D">
        <w:t xml:space="preserve"> (having been so authorised by the business rescue practitioners)</w:t>
      </w:r>
      <w:r w:rsidR="00315C8B">
        <w:t xml:space="preserve"> in </w:t>
      </w:r>
      <w:r w:rsidR="004A665C">
        <w:t xml:space="preserve">the management of </w:t>
      </w:r>
      <w:r w:rsidR="00315C8B">
        <w:t>Basil Read</w:t>
      </w:r>
      <w:r w:rsidR="00517493">
        <w:t>,</w:t>
      </w:r>
      <w:r w:rsidR="00D57F7D">
        <w:t xml:space="preserve"> </w:t>
      </w:r>
      <w:r w:rsidR="00517493">
        <w:t xml:space="preserve"> which </w:t>
      </w:r>
      <w:r w:rsidR="00D57F7D">
        <w:t xml:space="preserve">would not be </w:t>
      </w:r>
      <w:r w:rsidR="00315C8B">
        <w:t xml:space="preserve">his possession and </w:t>
      </w:r>
      <w:r w:rsidR="004A665C">
        <w:t xml:space="preserve">control and one would expect he would not have access </w:t>
      </w:r>
      <w:r w:rsidR="00315C8B">
        <w:t>there</w:t>
      </w:r>
      <w:r w:rsidR="004A665C">
        <w:t>to.</w:t>
      </w:r>
    </w:p>
    <w:p w14:paraId="7908EA67" w14:textId="6A69A488" w:rsidR="00A22ADD" w:rsidRDefault="00400D76" w:rsidP="00400D76">
      <w:pPr>
        <w:pStyle w:val="Heading1"/>
        <w:numPr>
          <w:ilvl w:val="0"/>
          <w:numId w:val="0"/>
        </w:numPr>
        <w:tabs>
          <w:tab w:val="left" w:pos="862"/>
        </w:tabs>
        <w:ind w:left="862" w:hanging="862"/>
      </w:pPr>
      <w:r>
        <w:t>[15]</w:t>
      </w:r>
      <w:r>
        <w:tab/>
      </w:r>
      <w:r w:rsidR="00D57F7D">
        <w:t xml:space="preserve">In </w:t>
      </w:r>
      <w:r w:rsidR="004A665C">
        <w:t xml:space="preserve">his reply to the Rule 35(3) </w:t>
      </w:r>
      <w:r w:rsidR="00A22ADD">
        <w:t>notice</w:t>
      </w:r>
      <w:r w:rsidR="00A22ADD">
        <w:rPr>
          <w:rStyle w:val="FootnoteReference"/>
        </w:rPr>
        <w:footnoteReference w:id="12"/>
      </w:r>
      <w:r w:rsidR="00D57F7D">
        <w:t>, he again affirms his position as CE</w:t>
      </w:r>
      <w:r w:rsidR="00517493">
        <w:t>O</w:t>
      </w:r>
      <w:r w:rsidR="00D57F7D">
        <w:t>, a</w:t>
      </w:r>
      <w:r w:rsidR="004A665C">
        <w:t xml:space="preserve">lthough </w:t>
      </w:r>
      <w:r w:rsidR="00A22ADD">
        <w:t>he</w:t>
      </w:r>
      <w:r w:rsidR="004A665C">
        <w:t xml:space="preserve"> says that these documents are in the possession of Basil Read Limited (in business rescue), if they exist.  </w:t>
      </w:r>
    </w:p>
    <w:p w14:paraId="66155705" w14:textId="6E666CD2" w:rsidR="00A22ADD" w:rsidRDefault="00400D76" w:rsidP="00400D76">
      <w:pPr>
        <w:pStyle w:val="Heading1"/>
        <w:numPr>
          <w:ilvl w:val="0"/>
          <w:numId w:val="0"/>
        </w:numPr>
        <w:tabs>
          <w:tab w:val="left" w:pos="862"/>
        </w:tabs>
        <w:ind w:left="862" w:hanging="862"/>
      </w:pPr>
      <w:r>
        <w:t>[16]</w:t>
      </w:r>
      <w:r>
        <w:tab/>
      </w:r>
      <w:r w:rsidR="004A665C">
        <w:t xml:space="preserve">In </w:t>
      </w:r>
      <w:r w:rsidR="00A22ADD">
        <w:t>his</w:t>
      </w:r>
      <w:r w:rsidR="004A665C">
        <w:t xml:space="preserve"> affidavit opposing this application, the fifth defendant says that Basil Read is in business rescue and under the control of its duly appointed business rescue practitioners but no more</w:t>
      </w:r>
      <w:r w:rsidR="00A22ADD">
        <w:t xml:space="preserve"> than that</w:t>
      </w:r>
      <w:r w:rsidR="004A665C">
        <w:t>.  He</w:t>
      </w:r>
      <w:r w:rsidR="00A22ADD">
        <w:t xml:space="preserve"> also</w:t>
      </w:r>
      <w:r w:rsidR="004A665C">
        <w:t xml:space="preserve"> s</w:t>
      </w:r>
      <w:r w:rsidR="00315C8B">
        <w:t>ays</w:t>
      </w:r>
      <w:r w:rsidR="004A665C">
        <w:t xml:space="preserve"> that because Basil Read is not a party to the proceedings and is a separate juristic entity, the plaintiff is under a misguided assumption that he has Basil Read’s financial information.</w:t>
      </w:r>
    </w:p>
    <w:p w14:paraId="115ED604" w14:textId="330F5617" w:rsidR="007349E3" w:rsidRDefault="00400D76" w:rsidP="00400D76">
      <w:pPr>
        <w:pStyle w:val="Heading1"/>
        <w:numPr>
          <w:ilvl w:val="0"/>
          <w:numId w:val="0"/>
        </w:numPr>
        <w:tabs>
          <w:tab w:val="left" w:pos="862"/>
        </w:tabs>
        <w:ind w:left="862" w:hanging="862"/>
      </w:pPr>
      <w:r>
        <w:t>[17]</w:t>
      </w:r>
      <w:r>
        <w:tab/>
      </w:r>
      <w:r w:rsidR="004A665C">
        <w:t xml:space="preserve">He notably </w:t>
      </w:r>
      <w:r w:rsidR="00A22ADD">
        <w:t xml:space="preserve">accedes, however, </w:t>
      </w:r>
      <w:r w:rsidR="004A665C">
        <w:t xml:space="preserve">to the plaintiff gaining access to the </w:t>
      </w:r>
      <w:r w:rsidR="004A665C">
        <w:lastRenderedPageBreak/>
        <w:t>requested documents.</w:t>
      </w:r>
      <w:r w:rsidR="004A665C">
        <w:rPr>
          <w:rStyle w:val="FootnoteReference"/>
        </w:rPr>
        <w:footnoteReference w:id="13"/>
      </w:r>
      <w:r w:rsidR="004A665C">
        <w:t xml:space="preserve">  He asserts</w:t>
      </w:r>
      <w:r w:rsidR="0006231D">
        <w:t>, however,</w:t>
      </w:r>
      <w:r w:rsidR="004A665C">
        <w:t xml:space="preserve"> that the documentation belongs to Basil Read and can be requested from it or the business rescue practitioners. </w:t>
      </w:r>
      <w:r w:rsidR="00FD68D5">
        <w:t xml:space="preserve"> He affirms</w:t>
      </w:r>
      <w:r w:rsidR="00315C8B">
        <w:t xml:space="preserve"> again</w:t>
      </w:r>
      <w:r w:rsidR="00FD68D5">
        <w:t xml:space="preserve"> that he is </w:t>
      </w:r>
      <w:r w:rsidR="00FD68D5">
        <w:rPr>
          <w:i/>
          <w:iCs/>
        </w:rPr>
        <w:t>“an executive director in my capacity as the Chief Executive Officer of Basil Read”</w:t>
      </w:r>
      <w:r w:rsidR="00FD68D5">
        <w:rPr>
          <w:rStyle w:val="FootnoteReference"/>
        </w:rPr>
        <w:footnoteReference w:id="14"/>
      </w:r>
      <w:r w:rsidR="00FD68D5">
        <w:rPr>
          <w:i/>
          <w:iCs/>
        </w:rPr>
        <w:t xml:space="preserve"> </w:t>
      </w:r>
      <w:r w:rsidR="00FD68D5">
        <w:t xml:space="preserve">and simply states that he is not in possession of the documents. </w:t>
      </w:r>
    </w:p>
    <w:p w14:paraId="68901533" w14:textId="6E32EF32" w:rsidR="007349E3" w:rsidRDefault="00400D76" w:rsidP="00400D76">
      <w:pPr>
        <w:pStyle w:val="Heading1"/>
        <w:numPr>
          <w:ilvl w:val="0"/>
          <w:numId w:val="0"/>
        </w:numPr>
        <w:tabs>
          <w:tab w:val="left" w:pos="862"/>
        </w:tabs>
        <w:ind w:left="862" w:hanging="862"/>
      </w:pPr>
      <w:r>
        <w:t>[18]</w:t>
      </w:r>
      <w:r>
        <w:tab/>
      </w:r>
      <w:r w:rsidR="007349E3">
        <w:t xml:space="preserve">In </w:t>
      </w:r>
      <w:r w:rsidR="007349E3" w:rsidRPr="00553181">
        <w:rPr>
          <w:b/>
          <w:bCs/>
          <w:i/>
          <w:iCs/>
        </w:rPr>
        <w:t>Ragavan and Others v Optimum Coal Terminal (Pty) Ltd</w:t>
      </w:r>
      <w:r w:rsidR="007349E3">
        <w:t>,</w:t>
      </w:r>
      <w:r w:rsidR="007349E3">
        <w:rPr>
          <w:rStyle w:val="FootnoteReference"/>
        </w:rPr>
        <w:footnoteReference w:id="15"/>
      </w:r>
      <w:r w:rsidR="007349E3">
        <w:t xml:space="preserve"> the Court looked at the tension between the roles of the business rescue </w:t>
      </w:r>
      <w:r w:rsidR="00553181">
        <w:t>practitioners</w:t>
      </w:r>
      <w:r w:rsidR="007349E3">
        <w:t xml:space="preserve"> and the directors during business rescue proceedings. Although the court  found that the directors  were significantly limited and the business rescue practitioners had “</w:t>
      </w:r>
      <w:r w:rsidR="007349E3" w:rsidRPr="007349E3">
        <w:rPr>
          <w:i/>
          <w:iCs/>
        </w:rPr>
        <w:t>full management con</w:t>
      </w:r>
      <w:r w:rsidR="007349E3">
        <w:rPr>
          <w:i/>
          <w:iCs/>
        </w:rPr>
        <w:t>t</w:t>
      </w:r>
      <w:r w:rsidR="007349E3" w:rsidRPr="007349E3">
        <w:rPr>
          <w:i/>
          <w:iCs/>
        </w:rPr>
        <w:t>rol of the company in  substitution for its board and pre</w:t>
      </w:r>
      <w:r w:rsidR="00AA6D85">
        <w:rPr>
          <w:i/>
          <w:iCs/>
        </w:rPr>
        <w:t xml:space="preserve"> </w:t>
      </w:r>
      <w:r w:rsidR="007349E3" w:rsidRPr="007349E3">
        <w:rPr>
          <w:i/>
          <w:iCs/>
        </w:rPr>
        <w:t>- existing management</w:t>
      </w:r>
      <w:r w:rsidR="007349E3">
        <w:t>”</w:t>
      </w:r>
      <w:r w:rsidR="007349E3">
        <w:rPr>
          <w:rStyle w:val="FootnoteReference"/>
        </w:rPr>
        <w:footnoteReference w:id="16"/>
      </w:r>
      <w:r w:rsidR="00AA6D85">
        <w:t>.</w:t>
      </w:r>
      <w:r w:rsidR="007349E3">
        <w:t xml:space="preserve"> </w:t>
      </w:r>
      <w:r w:rsidR="00AA6D85">
        <w:t xml:space="preserve"> Yet, </w:t>
      </w:r>
      <w:r w:rsidR="007349E3">
        <w:t>the business rescue practitioners “</w:t>
      </w:r>
      <w:r w:rsidR="007349E3" w:rsidRPr="00AA6D85">
        <w:rPr>
          <w:i/>
          <w:iCs/>
        </w:rPr>
        <w:t>may delegate any power or function of the practitioner</w:t>
      </w:r>
      <w:r w:rsidR="00AA6D85" w:rsidRPr="00AA6D85">
        <w:rPr>
          <w:i/>
          <w:iCs/>
        </w:rPr>
        <w:t xml:space="preserve"> to a person who was part of the board or pre-existing management of the company</w:t>
      </w:r>
      <w:r w:rsidR="00AA6D85">
        <w:t>”.</w:t>
      </w:r>
      <w:r w:rsidR="00AA6D85">
        <w:rPr>
          <w:rStyle w:val="FootnoteReference"/>
        </w:rPr>
        <w:footnoteReference w:id="17"/>
      </w:r>
    </w:p>
    <w:p w14:paraId="375531CF" w14:textId="2DECBD9D" w:rsidR="00AA6D85" w:rsidRDefault="00400D76" w:rsidP="00400D76">
      <w:pPr>
        <w:pStyle w:val="Heading1"/>
        <w:numPr>
          <w:ilvl w:val="0"/>
          <w:numId w:val="0"/>
        </w:numPr>
        <w:tabs>
          <w:tab w:val="left" w:pos="862"/>
        </w:tabs>
        <w:ind w:left="862" w:hanging="862"/>
      </w:pPr>
      <w:r>
        <w:t>[19]</w:t>
      </w:r>
      <w:r>
        <w:tab/>
      </w:r>
      <w:r w:rsidR="00AA6D85">
        <w:t>The fifth defendant says “</w:t>
      </w:r>
      <w:r w:rsidR="00AA6D85" w:rsidRPr="00AA6D85">
        <w:rPr>
          <w:i/>
          <w:iCs/>
        </w:rPr>
        <w:t>The Applicant fails to establish a nexus between the business rescue practitioners resolving to</w:t>
      </w:r>
      <w:r w:rsidR="00D57F7D">
        <w:rPr>
          <w:i/>
          <w:iCs/>
        </w:rPr>
        <w:t xml:space="preserve"> </w:t>
      </w:r>
      <w:r w:rsidR="00AA6D85" w:rsidRPr="00AA6D85">
        <w:rPr>
          <w:i/>
          <w:iCs/>
        </w:rPr>
        <w:t>utilise the expertise of management to consider appropriate aspects of the Turnaround Plan when developing the Business Rescu</w:t>
      </w:r>
      <w:r w:rsidR="00AA6D85">
        <w:rPr>
          <w:i/>
          <w:iCs/>
        </w:rPr>
        <w:t>e</w:t>
      </w:r>
      <w:r w:rsidR="00AA6D85" w:rsidRPr="00AA6D85">
        <w:rPr>
          <w:i/>
          <w:iCs/>
        </w:rPr>
        <w:t xml:space="preserve"> Plan and its allegations that the Respondents are in possession or control of the documents requested. The business rescue practitioners gleaning wisdom from management does not mean that the documents requested by the Applicant are in the Respondent’s possession or control.</w:t>
      </w:r>
      <w:r w:rsidR="00AA6D85">
        <w:rPr>
          <w:i/>
          <w:iCs/>
        </w:rPr>
        <w:t>”</w:t>
      </w:r>
      <w:r w:rsidR="00AA6D85">
        <w:rPr>
          <w:rStyle w:val="FootnoteReference"/>
          <w:i/>
          <w:iCs/>
        </w:rPr>
        <w:footnoteReference w:id="18"/>
      </w:r>
    </w:p>
    <w:p w14:paraId="1B0994A2" w14:textId="4D7573EA" w:rsidR="00AA6D85" w:rsidRDefault="00400D76" w:rsidP="00400D76">
      <w:pPr>
        <w:pStyle w:val="Heading1"/>
        <w:numPr>
          <w:ilvl w:val="0"/>
          <w:numId w:val="0"/>
        </w:numPr>
        <w:tabs>
          <w:tab w:val="left" w:pos="862"/>
        </w:tabs>
        <w:ind w:left="862" w:hanging="862"/>
      </w:pPr>
      <w:r>
        <w:lastRenderedPageBreak/>
        <w:t>[20]</w:t>
      </w:r>
      <w:r>
        <w:tab/>
      </w:r>
      <w:r w:rsidR="00AA6D85">
        <w:t xml:space="preserve">In my view the statement misconstrues the requirements for discovery and seeks to place a narrow interpretation on </w:t>
      </w:r>
      <w:r w:rsidR="00553181">
        <w:t>possession</w:t>
      </w:r>
      <w:r w:rsidR="00AA6D85">
        <w:t xml:space="preserve"> or control, in circumstances where the fifth defendant affirms</w:t>
      </w:r>
      <w:r w:rsidR="00553181">
        <w:t xml:space="preserve"> </w:t>
      </w:r>
      <w:r w:rsidR="00AA6D85">
        <w:t>the business rescue practitioners are continuing to use the expertise and wisdom of management.</w:t>
      </w:r>
    </w:p>
    <w:p w14:paraId="46894E87" w14:textId="28653380" w:rsidR="00A22ADD" w:rsidRDefault="00400D76" w:rsidP="00400D76">
      <w:pPr>
        <w:pStyle w:val="Heading1"/>
        <w:numPr>
          <w:ilvl w:val="0"/>
          <w:numId w:val="0"/>
        </w:numPr>
        <w:tabs>
          <w:tab w:val="left" w:pos="862"/>
        </w:tabs>
        <w:ind w:left="862" w:hanging="862"/>
      </w:pPr>
      <w:r>
        <w:t>[21]</w:t>
      </w:r>
      <w:r>
        <w:tab/>
      </w:r>
      <w:r w:rsidR="00FD68D5">
        <w:t xml:space="preserve">I </w:t>
      </w:r>
      <w:r w:rsidR="00553181">
        <w:t xml:space="preserve"> remain </w:t>
      </w:r>
      <w:r w:rsidR="00FD68D5">
        <w:t>of the view, that in the light of the judgments</w:t>
      </w:r>
      <w:r w:rsidR="00A22ADD">
        <w:t xml:space="preserve"> favouring </w:t>
      </w:r>
      <w:r w:rsidR="00FD68D5">
        <w:t>the wide interpretation of possession,</w:t>
      </w:r>
      <w:r w:rsidR="00A22ADD">
        <w:t xml:space="preserve"> </w:t>
      </w:r>
      <w:r w:rsidR="00553181">
        <w:t xml:space="preserve"> and </w:t>
      </w:r>
      <w:r w:rsidR="00A22ADD">
        <w:t xml:space="preserve">a </w:t>
      </w:r>
      <w:r w:rsidR="00315C8B">
        <w:t>pragmatic</w:t>
      </w:r>
      <w:r w:rsidR="00A22ADD">
        <w:t xml:space="preserve"> approach</w:t>
      </w:r>
      <w:r w:rsidR="00315C8B">
        <w:t xml:space="preserve"> to discovery</w:t>
      </w:r>
      <w:r w:rsidR="00553181">
        <w:rPr>
          <w:rStyle w:val="FootnoteReference"/>
        </w:rPr>
        <w:footnoteReference w:id="19"/>
      </w:r>
      <w:r w:rsidR="00A22ADD">
        <w:t>,</w:t>
      </w:r>
      <w:r w:rsidR="00FD68D5">
        <w:t xml:space="preserve"> the fifth defendant has done very little to demonstrate that the documentation is not within his possession and control.</w:t>
      </w:r>
      <w:r w:rsidR="00A22ADD">
        <w:t xml:space="preserve"> He</w:t>
      </w:r>
      <w:r w:rsidR="00FD68D5">
        <w:t xml:space="preserve"> does</w:t>
      </w:r>
      <w:r w:rsidR="00315C8B">
        <w:t xml:space="preserve"> not</w:t>
      </w:r>
      <w:r w:rsidR="00FD68D5">
        <w:t xml:space="preserve"> say that the business rescue practitioners have delegated to him a limited role</w:t>
      </w:r>
      <w:r w:rsidR="00A22ADD">
        <w:t xml:space="preserve"> in Basil Read</w:t>
      </w:r>
      <w:r w:rsidR="00FD68D5">
        <w:t xml:space="preserve"> and that he cannot obtain these documents</w:t>
      </w:r>
      <w:r w:rsidR="00A22ADD">
        <w:t xml:space="preserve"> without their authorisation</w:t>
      </w:r>
      <w:r w:rsidR="00FD68D5">
        <w:t>.</w:t>
      </w:r>
      <w:r w:rsidR="00A22ADD">
        <w:t xml:space="preserve"> He is silent in his affidavit as to why the plaintiff must be burdened with this task.</w:t>
      </w:r>
    </w:p>
    <w:p w14:paraId="1C9673BA" w14:textId="3D3C8040" w:rsidR="00A22ADD" w:rsidRDefault="00400D76" w:rsidP="00400D76">
      <w:pPr>
        <w:pStyle w:val="Heading1"/>
        <w:numPr>
          <w:ilvl w:val="0"/>
          <w:numId w:val="0"/>
        </w:numPr>
        <w:tabs>
          <w:tab w:val="left" w:pos="862"/>
        </w:tabs>
        <w:ind w:left="862" w:hanging="862"/>
      </w:pPr>
      <w:r>
        <w:t>[22]</w:t>
      </w:r>
      <w:r>
        <w:tab/>
      </w:r>
      <w:r w:rsidR="00FD68D5">
        <w:t>It is</w:t>
      </w:r>
      <w:r w:rsidR="00DA2B03">
        <w:t>,</w:t>
      </w:r>
      <w:r w:rsidR="00FD68D5">
        <w:t xml:space="preserve"> of course, of no assistance to the defendants that Basil Read (in business rescue) or the business rescue practitioners are not cited in these proceedings.  If they had been</w:t>
      </w:r>
      <w:r w:rsidR="00A22ADD">
        <w:t xml:space="preserve"> sued</w:t>
      </w:r>
      <w:r w:rsidR="00315C8B">
        <w:t xml:space="preserve"> in this action, in which they have no interest,</w:t>
      </w:r>
      <w:r w:rsidR="00A22ADD">
        <w:t xml:space="preserve"> this </w:t>
      </w:r>
      <w:r w:rsidR="00FD68D5">
        <w:t xml:space="preserve">would have </w:t>
      </w:r>
      <w:r w:rsidR="00A22ADD">
        <w:t xml:space="preserve">constituted </w:t>
      </w:r>
      <w:r w:rsidR="00FD68D5">
        <w:t xml:space="preserve">a material misjoinder.  </w:t>
      </w:r>
    </w:p>
    <w:p w14:paraId="52E26283" w14:textId="62C1BB54" w:rsidR="000F4C5E" w:rsidRDefault="00400D76" w:rsidP="00400D76">
      <w:pPr>
        <w:pStyle w:val="Heading1"/>
        <w:numPr>
          <w:ilvl w:val="0"/>
          <w:numId w:val="0"/>
        </w:numPr>
        <w:tabs>
          <w:tab w:val="left" w:pos="862"/>
        </w:tabs>
        <w:ind w:left="862" w:hanging="862"/>
      </w:pPr>
      <w:r>
        <w:t>[23]</w:t>
      </w:r>
      <w:r>
        <w:tab/>
      </w:r>
      <w:r w:rsidR="00FD68D5">
        <w:t>This is</w:t>
      </w:r>
      <w:r w:rsidR="00315C8B">
        <w:t>, moreover,</w:t>
      </w:r>
      <w:r w:rsidR="00FD68D5">
        <w:t xml:space="preserve"> not a situation where Basil Read</w:t>
      </w:r>
      <w:r w:rsidR="000F4C5E">
        <w:t>,</w:t>
      </w:r>
      <w:r w:rsidR="00FD68D5">
        <w:t xml:space="preserve"> albeit in business rescue</w:t>
      </w:r>
      <w:r w:rsidR="000F4C5E">
        <w:t>,</w:t>
      </w:r>
      <w:r w:rsidR="00FD68D5">
        <w:t xml:space="preserve"> is a </w:t>
      </w:r>
      <w:r w:rsidR="00D02FE3">
        <w:t xml:space="preserve"> third </w:t>
      </w:r>
      <w:r w:rsidR="00FD68D5">
        <w:t>party independent of and disconnected</w:t>
      </w:r>
      <w:r w:rsidR="000F4C5E">
        <w:t xml:space="preserve"> from</w:t>
      </w:r>
      <w:r w:rsidR="00FD68D5">
        <w:t xml:space="preserve"> the fifth defendant</w:t>
      </w:r>
      <w:r w:rsidR="00315C8B">
        <w:t>, who continues in his employment as its CEO</w:t>
      </w:r>
      <w:r w:rsidR="00FD68D5">
        <w:t>.</w:t>
      </w:r>
    </w:p>
    <w:p w14:paraId="51EA216B" w14:textId="42697531" w:rsidR="000F4C5E" w:rsidRDefault="00400D76" w:rsidP="00400D76">
      <w:pPr>
        <w:pStyle w:val="Heading1"/>
        <w:numPr>
          <w:ilvl w:val="0"/>
          <w:numId w:val="0"/>
        </w:numPr>
        <w:tabs>
          <w:tab w:val="left" w:pos="862"/>
        </w:tabs>
        <w:ind w:left="862" w:hanging="862"/>
      </w:pPr>
      <w:r>
        <w:t>[24]</w:t>
      </w:r>
      <w:r>
        <w:tab/>
      </w:r>
      <w:r w:rsidR="0028289C">
        <w:t xml:space="preserve">The final </w:t>
      </w:r>
      <w:r w:rsidR="000F4C5E">
        <w:t>ground for leave</w:t>
      </w:r>
      <w:r w:rsidR="0028289C">
        <w:t xml:space="preserve"> related to </w:t>
      </w:r>
      <w:r w:rsidR="00315C8B">
        <w:t>my</w:t>
      </w:r>
      <w:r w:rsidR="0028289C">
        <w:t xml:space="preserve"> </w:t>
      </w:r>
      <w:r w:rsidR="000F4C5E">
        <w:t xml:space="preserve">factual </w:t>
      </w:r>
      <w:r w:rsidR="0028289C">
        <w:t>finding that the remaining defendants were directors and part of the management of Basil Read.  As the order was only made against the fifth defendant, this point and my finding would have no impact on the order made.  It is trite that Court orders are appealed and not the reasoning underpinning such orders.</w:t>
      </w:r>
      <w:r w:rsidR="000F4C5E">
        <w:t xml:space="preserve"> Mr Bokaba did not seriously pursue this ground of appeal.</w:t>
      </w:r>
      <w:r w:rsidR="0028289C">
        <w:t xml:space="preserve"> </w:t>
      </w:r>
    </w:p>
    <w:p w14:paraId="1E10D9F1" w14:textId="77603F4D" w:rsidR="005C6451" w:rsidRDefault="00400D76" w:rsidP="00400D76">
      <w:pPr>
        <w:pStyle w:val="Heading1"/>
        <w:numPr>
          <w:ilvl w:val="0"/>
          <w:numId w:val="0"/>
        </w:numPr>
        <w:tabs>
          <w:tab w:val="left" w:pos="862"/>
        </w:tabs>
        <w:ind w:left="862" w:hanging="862"/>
      </w:pPr>
      <w:r>
        <w:lastRenderedPageBreak/>
        <w:t>[25]</w:t>
      </w:r>
      <w:r>
        <w:tab/>
      </w:r>
      <w:r w:rsidR="0028289C">
        <w:t xml:space="preserve"> I am therefore of the view that because much of the argument presented in this application is the same as that made by the defendants’ junior counsel at the hearing of the application, another Court </w:t>
      </w:r>
      <w:r w:rsidR="00702DA1">
        <w:t>would not consider the submissions made</w:t>
      </w:r>
      <w:r w:rsidR="000F4C5E">
        <w:t xml:space="preserve"> to</w:t>
      </w:r>
      <w:r w:rsidR="00702DA1">
        <w:t xml:space="preserve"> be sufficiently persuasive or meritorious to justify leave.  Furthermore, the only significant new argument is that of judicial precedence and given the view that I hold, holds no sway</w:t>
      </w:r>
      <w:r w:rsidR="000F4C5E">
        <w:t xml:space="preserve"> either</w:t>
      </w:r>
      <w:r w:rsidR="00702DA1">
        <w:t>.</w:t>
      </w:r>
    </w:p>
    <w:p w14:paraId="0785C4C0" w14:textId="48621F86" w:rsidR="00702DA1" w:rsidRDefault="00400D76" w:rsidP="00400D76">
      <w:pPr>
        <w:pStyle w:val="Heading1"/>
        <w:numPr>
          <w:ilvl w:val="0"/>
          <w:numId w:val="0"/>
        </w:numPr>
        <w:tabs>
          <w:tab w:val="left" w:pos="862"/>
        </w:tabs>
        <w:ind w:left="862" w:hanging="862"/>
      </w:pPr>
      <w:r>
        <w:t>[26]</w:t>
      </w:r>
      <w:r>
        <w:tab/>
      </w:r>
      <w:r w:rsidR="00702DA1">
        <w:t>There is no measure of certainty that another Court would hold differently from this Court and there are no other compelling reasons including conflicting judgments</w:t>
      </w:r>
      <w:r w:rsidR="000F4C5E">
        <w:t xml:space="preserve"> in this division</w:t>
      </w:r>
      <w:r w:rsidR="00702DA1">
        <w:t xml:space="preserve"> to grant leave to appeal.</w:t>
      </w:r>
    </w:p>
    <w:p w14:paraId="31D9B731" w14:textId="3A938500" w:rsidR="001471ED" w:rsidRPr="00D842FD" w:rsidRDefault="00400D76" w:rsidP="00400D76">
      <w:pPr>
        <w:pStyle w:val="Heading1"/>
        <w:numPr>
          <w:ilvl w:val="0"/>
          <w:numId w:val="0"/>
        </w:numPr>
        <w:tabs>
          <w:tab w:val="left" w:pos="862"/>
        </w:tabs>
        <w:ind w:left="862" w:hanging="862"/>
      </w:pPr>
      <w:r w:rsidRPr="00D842FD">
        <w:t>[27]</w:t>
      </w:r>
      <w:r w:rsidRPr="00D842FD">
        <w:tab/>
      </w:r>
      <w:r w:rsidR="000E687A">
        <w:t>I</w:t>
      </w:r>
      <w:r w:rsidR="00702DA1">
        <w:t>n the circumstances the following order is made:</w:t>
      </w:r>
    </w:p>
    <w:p w14:paraId="0855AA8C" w14:textId="62CBAC07" w:rsidR="00702DA1" w:rsidRDefault="00400D76" w:rsidP="00400D76">
      <w:pPr>
        <w:ind w:left="1877" w:hanging="1021"/>
      </w:pPr>
      <w:r>
        <w:t>1.</w:t>
      </w:r>
      <w:r>
        <w:tab/>
      </w:r>
      <w:r w:rsidR="00702DA1">
        <w:t>The application for leave to appeal is dismissed with costs.</w:t>
      </w:r>
    </w:p>
    <w:p w14:paraId="597C64DF" w14:textId="77777777" w:rsidR="006E34E4" w:rsidRDefault="006E34E4" w:rsidP="006E34E4">
      <w:pPr>
        <w:keepNext/>
        <w:keepLines/>
        <w:tabs>
          <w:tab w:val="left" w:pos="0"/>
        </w:tabs>
        <w:spacing w:before="240" w:after="0" w:line="240" w:lineRule="auto"/>
        <w:jc w:val="right"/>
        <w:rPr>
          <w:b/>
          <w:u w:val="single"/>
        </w:rPr>
      </w:pPr>
      <w:r>
        <w:rPr>
          <w:b/>
          <w:u w:val="single"/>
        </w:rPr>
        <w:t>______________________________________</w:t>
      </w:r>
    </w:p>
    <w:p w14:paraId="143698B4" w14:textId="77777777" w:rsidR="006E34E4" w:rsidRDefault="006E34E4" w:rsidP="006E34E4">
      <w:pPr>
        <w:keepNext/>
        <w:spacing w:after="0" w:line="240" w:lineRule="auto"/>
        <w:jc w:val="right"/>
        <w:rPr>
          <w:rFonts w:cs="Arial"/>
          <w:b/>
        </w:rPr>
      </w:pPr>
      <w:r>
        <w:rPr>
          <w:rFonts w:cs="Arial"/>
          <w:b/>
        </w:rPr>
        <w:t>P V TERNENT</w:t>
      </w:r>
    </w:p>
    <w:p w14:paraId="0D8CF521" w14:textId="77777777" w:rsidR="006E34E4" w:rsidRPr="0084771B" w:rsidRDefault="006E34E4" w:rsidP="006E34E4">
      <w:pPr>
        <w:keepNext/>
        <w:spacing w:after="0" w:line="240" w:lineRule="auto"/>
        <w:jc w:val="right"/>
        <w:rPr>
          <w:rFonts w:cs="Arial"/>
          <w:i/>
        </w:rPr>
      </w:pPr>
      <w:r>
        <w:rPr>
          <w:rFonts w:cs="Arial"/>
          <w:i/>
        </w:rPr>
        <w:t xml:space="preserve">Acting </w:t>
      </w:r>
      <w:r w:rsidRPr="0084771B">
        <w:rPr>
          <w:rFonts w:cs="Arial"/>
          <w:i/>
        </w:rPr>
        <w:t>Judge of the High Court</w:t>
      </w:r>
      <w:r>
        <w:rPr>
          <w:rFonts w:cs="Arial"/>
          <w:i/>
        </w:rPr>
        <w:t xml:space="preserve"> of South Africa</w:t>
      </w:r>
    </w:p>
    <w:p w14:paraId="73A4AE41" w14:textId="77777777" w:rsidR="006E34E4" w:rsidRDefault="006E34E4" w:rsidP="006E34E4">
      <w:pPr>
        <w:spacing w:after="120"/>
        <w:jc w:val="right"/>
        <w:rPr>
          <w:rFonts w:cs="Arial"/>
          <w:i/>
        </w:rPr>
      </w:pPr>
      <w:r w:rsidRPr="0084771B">
        <w:rPr>
          <w:rFonts w:cs="Arial"/>
          <w:i/>
        </w:rPr>
        <w:t xml:space="preserve">Gauteng Division, </w:t>
      </w:r>
      <w:r>
        <w:rPr>
          <w:rFonts w:cs="Arial"/>
          <w:i/>
        </w:rPr>
        <w:t>Johannesburg</w:t>
      </w:r>
    </w:p>
    <w:p w14:paraId="0FBDE775" w14:textId="77777777" w:rsidR="00EA5BC8" w:rsidRDefault="00EA5BC8" w:rsidP="006E34E4">
      <w:pPr>
        <w:spacing w:after="120"/>
        <w:jc w:val="right"/>
        <w:rPr>
          <w:rFonts w:cs="Arial"/>
          <w:i/>
        </w:rPr>
      </w:pPr>
    </w:p>
    <w:p w14:paraId="03652017" w14:textId="77777777" w:rsidR="00EA5BC8" w:rsidRDefault="00EA5BC8" w:rsidP="006E34E4">
      <w:pPr>
        <w:spacing w:after="120"/>
        <w:jc w:val="right"/>
        <w:rPr>
          <w:rFonts w:cs="Arial"/>
          <w:i/>
        </w:rPr>
      </w:pPr>
    </w:p>
    <w:p w14:paraId="598CC8C1" w14:textId="77777777" w:rsidR="006E34E4" w:rsidRDefault="006E34E4" w:rsidP="006E34E4">
      <w:pPr>
        <w:keepNext/>
        <w:keepLines/>
        <w:tabs>
          <w:tab w:val="left" w:pos="0"/>
        </w:tabs>
        <w:spacing w:before="240"/>
        <w:rPr>
          <w:b/>
          <w:u w:val="single"/>
        </w:rPr>
      </w:pPr>
      <w:r>
        <w:rPr>
          <w:b/>
          <w:u w:val="single"/>
        </w:rPr>
        <w:t>______________________________________</w:t>
      </w:r>
    </w:p>
    <w:p w14:paraId="08FE6903" w14:textId="77777777" w:rsidR="006E34E4" w:rsidRDefault="006E34E4" w:rsidP="006E34E4">
      <w:pPr>
        <w:pBdr>
          <w:bottom w:val="single" w:sz="6" w:space="1" w:color="auto"/>
        </w:pBdr>
        <w:spacing w:after="360"/>
        <w:rPr>
          <w:rFonts w:cs="Arial"/>
          <w:i/>
        </w:rPr>
      </w:pPr>
    </w:p>
    <w:tbl>
      <w:tblPr>
        <w:tblW w:w="9144" w:type="dxa"/>
        <w:tblLook w:val="04A0" w:firstRow="1" w:lastRow="0" w:firstColumn="1" w:lastColumn="0" w:noHBand="0" w:noVBand="1"/>
      </w:tblPr>
      <w:tblGrid>
        <w:gridCol w:w="3936"/>
        <w:gridCol w:w="5208"/>
      </w:tblGrid>
      <w:tr w:rsidR="006E34E4" w14:paraId="7F7B53FB" w14:textId="77777777">
        <w:tc>
          <w:tcPr>
            <w:tcW w:w="3936" w:type="dxa"/>
            <w:tcMar>
              <w:top w:w="32" w:type="dxa"/>
              <w:left w:w="108" w:type="dxa"/>
              <w:bottom w:w="32" w:type="dxa"/>
              <w:right w:w="108" w:type="dxa"/>
            </w:tcMar>
            <w:vAlign w:val="center"/>
            <w:hideMark/>
          </w:tcPr>
          <w:p w14:paraId="230F43DA" w14:textId="77777777" w:rsidR="006E34E4" w:rsidRDefault="006E34E4" w:rsidP="007154C1">
            <w:pPr>
              <w:keepNext/>
              <w:spacing w:before="120" w:after="0" w:line="240" w:lineRule="auto"/>
              <w:rPr>
                <w:sz w:val="22"/>
                <w:szCs w:val="22"/>
              </w:rPr>
            </w:pPr>
            <w:r>
              <w:lastRenderedPageBreak/>
              <w:t>HEARD ON: </w:t>
            </w:r>
          </w:p>
        </w:tc>
        <w:tc>
          <w:tcPr>
            <w:tcW w:w="5208" w:type="dxa"/>
            <w:tcMar>
              <w:top w:w="32" w:type="dxa"/>
              <w:left w:w="108" w:type="dxa"/>
              <w:bottom w:w="32" w:type="dxa"/>
              <w:right w:w="108" w:type="dxa"/>
            </w:tcMar>
            <w:vAlign w:val="center"/>
            <w:hideMark/>
          </w:tcPr>
          <w:p w14:paraId="1BAAB8AC" w14:textId="77777777" w:rsidR="006E34E4" w:rsidRDefault="00702DA1" w:rsidP="00C240DF">
            <w:pPr>
              <w:keepNext/>
              <w:spacing w:after="0" w:line="240" w:lineRule="auto"/>
              <w:rPr>
                <w:sz w:val="22"/>
                <w:szCs w:val="22"/>
              </w:rPr>
            </w:pPr>
            <w:r>
              <w:rPr>
                <w:sz w:val="22"/>
                <w:szCs w:val="22"/>
              </w:rPr>
              <w:t>23</w:t>
            </w:r>
            <w:r w:rsidR="00036510" w:rsidRPr="00036510">
              <w:rPr>
                <w:sz w:val="22"/>
                <w:szCs w:val="22"/>
              </w:rPr>
              <w:t xml:space="preserve"> </w:t>
            </w:r>
            <w:r>
              <w:rPr>
                <w:sz w:val="22"/>
                <w:szCs w:val="22"/>
              </w:rPr>
              <w:t xml:space="preserve">November </w:t>
            </w:r>
            <w:r w:rsidR="00831AD2">
              <w:rPr>
                <w:sz w:val="22"/>
                <w:szCs w:val="22"/>
              </w:rPr>
              <w:t>2023</w:t>
            </w:r>
          </w:p>
        </w:tc>
      </w:tr>
      <w:tr w:rsidR="006E34E4" w14:paraId="1A6F5AC1" w14:textId="77777777">
        <w:tc>
          <w:tcPr>
            <w:tcW w:w="3936" w:type="dxa"/>
            <w:tcMar>
              <w:top w:w="32" w:type="dxa"/>
              <w:left w:w="108" w:type="dxa"/>
              <w:bottom w:w="32" w:type="dxa"/>
              <w:right w:w="108" w:type="dxa"/>
            </w:tcMar>
            <w:vAlign w:val="center"/>
            <w:hideMark/>
          </w:tcPr>
          <w:p w14:paraId="3951B88C" w14:textId="77777777" w:rsidR="006E34E4" w:rsidRDefault="006E34E4" w:rsidP="007154C1">
            <w:pPr>
              <w:keepNext/>
              <w:spacing w:before="120" w:after="0" w:line="240" w:lineRule="auto"/>
            </w:pPr>
            <w:r>
              <w:t>DATE OF JUDGMENT:</w:t>
            </w:r>
          </w:p>
        </w:tc>
        <w:tc>
          <w:tcPr>
            <w:tcW w:w="5208" w:type="dxa"/>
            <w:tcMar>
              <w:top w:w="32" w:type="dxa"/>
              <w:left w:w="108" w:type="dxa"/>
              <w:bottom w:w="32" w:type="dxa"/>
              <w:right w:w="108" w:type="dxa"/>
            </w:tcMar>
            <w:vAlign w:val="center"/>
            <w:hideMark/>
          </w:tcPr>
          <w:p w14:paraId="0F21B026" w14:textId="77777777" w:rsidR="006E34E4" w:rsidRDefault="00702DA1" w:rsidP="00C240DF">
            <w:pPr>
              <w:keepNext/>
              <w:spacing w:after="0" w:line="240" w:lineRule="auto"/>
            </w:pPr>
            <w:r>
              <w:t xml:space="preserve">30 November </w:t>
            </w:r>
            <w:r w:rsidR="00831AD2">
              <w:t>2023</w:t>
            </w:r>
          </w:p>
        </w:tc>
      </w:tr>
      <w:tr w:rsidR="006E34E4" w14:paraId="7D27DCD4" w14:textId="77777777">
        <w:tc>
          <w:tcPr>
            <w:tcW w:w="3936" w:type="dxa"/>
            <w:tcMar>
              <w:top w:w="32" w:type="dxa"/>
              <w:left w:w="108" w:type="dxa"/>
              <w:bottom w:w="32" w:type="dxa"/>
              <w:right w:w="108" w:type="dxa"/>
            </w:tcMar>
            <w:vAlign w:val="center"/>
            <w:hideMark/>
          </w:tcPr>
          <w:p w14:paraId="3CF95363" w14:textId="77777777" w:rsidR="006E34E4" w:rsidRDefault="006E34E4" w:rsidP="00143DA0">
            <w:pPr>
              <w:keepNext/>
              <w:spacing w:before="120" w:after="0" w:line="240" w:lineRule="auto"/>
              <w:ind w:right="-108"/>
              <w:jc w:val="left"/>
            </w:pPr>
            <w:r>
              <w:t xml:space="preserve">FOR </w:t>
            </w:r>
            <w:r w:rsidR="00702DA1">
              <w:t>PLAINTIFF</w:t>
            </w:r>
            <w:r>
              <w:t>:</w:t>
            </w:r>
          </w:p>
        </w:tc>
        <w:tc>
          <w:tcPr>
            <w:tcW w:w="5208" w:type="dxa"/>
            <w:tcMar>
              <w:top w:w="32" w:type="dxa"/>
              <w:left w:w="108" w:type="dxa"/>
              <w:bottom w:w="32" w:type="dxa"/>
              <w:right w:w="108" w:type="dxa"/>
            </w:tcMar>
            <w:vAlign w:val="center"/>
            <w:hideMark/>
          </w:tcPr>
          <w:p w14:paraId="4400DC6C" w14:textId="77777777" w:rsidR="00DB42AA" w:rsidRDefault="00831AD2" w:rsidP="00C240DF">
            <w:pPr>
              <w:keepNext/>
              <w:spacing w:after="0" w:line="240" w:lineRule="auto"/>
            </w:pPr>
            <w:r>
              <w:t xml:space="preserve">Advocate </w:t>
            </w:r>
            <w:r w:rsidR="00036510">
              <w:t>C van der Merwe</w:t>
            </w:r>
          </w:p>
          <w:p w14:paraId="701504CE" w14:textId="77777777" w:rsidR="00DB42AA" w:rsidRDefault="00DB42AA" w:rsidP="00C240DF">
            <w:pPr>
              <w:keepNext/>
              <w:spacing w:after="0" w:line="240" w:lineRule="auto"/>
            </w:pPr>
            <w:r>
              <w:t xml:space="preserve">E-mail: </w:t>
            </w:r>
            <w:hyperlink r:id="rId9" w:history="1">
              <w:r w:rsidR="00036510" w:rsidRPr="00735034">
                <w:rPr>
                  <w:rStyle w:val="Hyperlink"/>
                  <w:sz w:val="22"/>
                  <w:szCs w:val="18"/>
                </w:rPr>
                <w:t>dominus.cvdm@gmail.com</w:t>
              </w:r>
            </w:hyperlink>
            <w:r w:rsidR="009804A8">
              <w:rPr>
                <w:rStyle w:val="Hyperlink"/>
              </w:rPr>
              <w:t xml:space="preserve"> </w:t>
            </w:r>
            <w:r w:rsidR="00831AD2">
              <w:t xml:space="preserve"> </w:t>
            </w:r>
          </w:p>
          <w:p w14:paraId="7166506A" w14:textId="77777777" w:rsidR="00831AD2" w:rsidRDefault="00831AD2" w:rsidP="00C240DF">
            <w:pPr>
              <w:keepNext/>
              <w:spacing w:after="0" w:line="240" w:lineRule="auto"/>
            </w:pPr>
            <w:r>
              <w:t>Cell: 08</w:t>
            </w:r>
            <w:r w:rsidR="00036510">
              <w:t>2</w:t>
            </w:r>
            <w:r>
              <w:t> </w:t>
            </w:r>
            <w:r w:rsidR="00036510">
              <w:t>788</w:t>
            </w:r>
            <w:r>
              <w:t xml:space="preserve"> </w:t>
            </w:r>
            <w:r w:rsidR="00036510">
              <w:t>3911</w:t>
            </w:r>
          </w:p>
        </w:tc>
      </w:tr>
      <w:tr w:rsidR="006E34E4" w14:paraId="22DB7027" w14:textId="77777777">
        <w:tc>
          <w:tcPr>
            <w:tcW w:w="3936" w:type="dxa"/>
            <w:tcMar>
              <w:top w:w="32" w:type="dxa"/>
              <w:left w:w="108" w:type="dxa"/>
              <w:bottom w:w="32" w:type="dxa"/>
              <w:right w:w="108" w:type="dxa"/>
            </w:tcMar>
            <w:vAlign w:val="center"/>
            <w:hideMark/>
          </w:tcPr>
          <w:p w14:paraId="7D4FA7A0"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73DE93A4" w14:textId="77777777" w:rsidR="00D478B5" w:rsidRDefault="00036510" w:rsidP="00D478B5">
            <w:pPr>
              <w:spacing w:after="0" w:line="240" w:lineRule="auto"/>
              <w:ind w:left="3022" w:hanging="3022"/>
            </w:pPr>
            <w:r>
              <w:t xml:space="preserve">Warffemius </w:t>
            </w:r>
            <w:r w:rsidR="00702DA1">
              <w:t>v</w:t>
            </w:r>
            <w:r>
              <w:t>an der Merwe Inc.</w:t>
            </w:r>
          </w:p>
          <w:p w14:paraId="3CD2F7C9" w14:textId="77777777" w:rsidR="00C240DF" w:rsidRDefault="003202ED" w:rsidP="00C240DF">
            <w:pPr>
              <w:keepNext/>
              <w:spacing w:after="0" w:line="240" w:lineRule="auto"/>
              <w:rPr>
                <w:sz w:val="22"/>
                <w:szCs w:val="22"/>
              </w:rPr>
            </w:pPr>
            <w:r>
              <w:rPr>
                <w:sz w:val="22"/>
                <w:szCs w:val="22"/>
              </w:rPr>
              <w:t xml:space="preserve">E-mail: </w:t>
            </w:r>
            <w:hyperlink r:id="rId10" w:history="1">
              <w:r w:rsidR="00036510" w:rsidRPr="00735034">
                <w:rPr>
                  <w:rStyle w:val="Hyperlink"/>
                  <w:sz w:val="22"/>
                  <w:szCs w:val="22"/>
                </w:rPr>
                <w:t>jaco@wminc.co.za</w:t>
              </w:r>
            </w:hyperlink>
            <w:r w:rsidR="0012080E">
              <w:rPr>
                <w:sz w:val="22"/>
                <w:szCs w:val="22"/>
              </w:rPr>
              <w:t xml:space="preserve"> </w:t>
            </w:r>
          </w:p>
          <w:p w14:paraId="0478A194" w14:textId="77777777" w:rsidR="00831AD2" w:rsidRDefault="00036510" w:rsidP="00C240DF">
            <w:pPr>
              <w:keepNext/>
              <w:spacing w:after="0" w:line="240" w:lineRule="auto"/>
              <w:rPr>
                <w:sz w:val="22"/>
                <w:szCs w:val="22"/>
              </w:rPr>
            </w:pPr>
            <w:r>
              <w:rPr>
                <w:sz w:val="22"/>
                <w:szCs w:val="22"/>
              </w:rPr>
              <w:t>C</w:t>
            </w:r>
            <w:r>
              <w:rPr>
                <w:szCs w:val="22"/>
              </w:rPr>
              <w:t>ell</w:t>
            </w:r>
            <w:r w:rsidR="00831AD2">
              <w:rPr>
                <w:sz w:val="22"/>
                <w:szCs w:val="22"/>
              </w:rPr>
              <w:t xml:space="preserve">: </w:t>
            </w:r>
            <w:r>
              <w:rPr>
                <w:sz w:val="22"/>
                <w:szCs w:val="22"/>
              </w:rPr>
              <w:t>0</w:t>
            </w:r>
            <w:r>
              <w:rPr>
                <w:szCs w:val="22"/>
              </w:rPr>
              <w:t>82 821 3281</w:t>
            </w:r>
          </w:p>
        </w:tc>
      </w:tr>
      <w:tr w:rsidR="006E34E4" w14:paraId="768E0E92" w14:textId="77777777">
        <w:tc>
          <w:tcPr>
            <w:tcW w:w="3936" w:type="dxa"/>
            <w:tcMar>
              <w:top w:w="32" w:type="dxa"/>
              <w:left w:w="108" w:type="dxa"/>
              <w:bottom w:w="32" w:type="dxa"/>
              <w:right w:w="108" w:type="dxa"/>
            </w:tcMar>
            <w:vAlign w:val="center"/>
            <w:hideMark/>
          </w:tcPr>
          <w:p w14:paraId="576A4349" w14:textId="77777777" w:rsidR="006E34E4" w:rsidRDefault="006E34E4" w:rsidP="00C240DF">
            <w:pPr>
              <w:keepNext/>
              <w:spacing w:before="120" w:after="0" w:line="240" w:lineRule="auto"/>
              <w:jc w:val="left"/>
              <w:rPr>
                <w:sz w:val="22"/>
                <w:szCs w:val="22"/>
              </w:rPr>
            </w:pPr>
            <w:r>
              <w:t xml:space="preserve">FOR </w:t>
            </w:r>
            <w:r w:rsidR="00702DA1">
              <w:t>DEFENDANTS</w:t>
            </w:r>
            <w:r>
              <w:t>: </w:t>
            </w:r>
          </w:p>
        </w:tc>
        <w:tc>
          <w:tcPr>
            <w:tcW w:w="5208" w:type="dxa"/>
            <w:tcMar>
              <w:top w:w="32" w:type="dxa"/>
              <w:left w:w="108" w:type="dxa"/>
              <w:bottom w:w="32" w:type="dxa"/>
              <w:right w:w="108" w:type="dxa"/>
            </w:tcMar>
            <w:vAlign w:val="center"/>
            <w:hideMark/>
          </w:tcPr>
          <w:p w14:paraId="22A42D6D" w14:textId="77777777" w:rsidR="00702DA1" w:rsidRDefault="00702DA1" w:rsidP="00C240DF">
            <w:pPr>
              <w:keepNext/>
              <w:spacing w:after="0" w:line="240" w:lineRule="auto"/>
            </w:pPr>
            <w:r>
              <w:t>Advocate T J B Bokaba SC</w:t>
            </w:r>
          </w:p>
          <w:p w14:paraId="0F6F6347" w14:textId="77777777" w:rsidR="00702DA1" w:rsidRDefault="00702DA1" w:rsidP="00C240DF">
            <w:pPr>
              <w:keepNext/>
              <w:spacing w:after="0" w:line="240" w:lineRule="auto"/>
            </w:pPr>
            <w:r>
              <w:t xml:space="preserve">E-mail: </w:t>
            </w:r>
            <w:hyperlink r:id="rId11" w:history="1">
              <w:r w:rsidRPr="00CE22FC">
                <w:rPr>
                  <w:rStyle w:val="Hyperlink"/>
                </w:rPr>
                <w:t>bokaba@mweb.co.za</w:t>
              </w:r>
            </w:hyperlink>
            <w:r>
              <w:t xml:space="preserve"> </w:t>
            </w:r>
          </w:p>
          <w:p w14:paraId="3F404281" w14:textId="77777777" w:rsidR="00702DA1" w:rsidRDefault="00702DA1" w:rsidP="00C240DF">
            <w:pPr>
              <w:keepNext/>
              <w:spacing w:after="0" w:line="240" w:lineRule="auto"/>
            </w:pPr>
            <w:r>
              <w:t>Cell: 083 271 2975</w:t>
            </w:r>
          </w:p>
          <w:p w14:paraId="1F44330B" w14:textId="77777777" w:rsidR="00702DA1" w:rsidRDefault="00702DA1" w:rsidP="00C240DF">
            <w:pPr>
              <w:keepNext/>
              <w:spacing w:after="0" w:line="240" w:lineRule="auto"/>
            </w:pPr>
            <w:r>
              <w:t>and</w:t>
            </w:r>
          </w:p>
          <w:p w14:paraId="16670138" w14:textId="77777777" w:rsidR="006E34E4" w:rsidRDefault="00EA5BC8" w:rsidP="00C240DF">
            <w:pPr>
              <w:keepNext/>
              <w:spacing w:after="0" w:line="240" w:lineRule="auto"/>
            </w:pPr>
            <w:r>
              <w:t xml:space="preserve">Advocate </w:t>
            </w:r>
            <w:r w:rsidR="00036510">
              <w:t>M Salukazana</w:t>
            </w:r>
          </w:p>
          <w:p w14:paraId="08A67B1E" w14:textId="77777777" w:rsidR="00C240DF" w:rsidRDefault="00C240DF" w:rsidP="00C240DF">
            <w:pPr>
              <w:keepNext/>
              <w:spacing w:after="0" w:line="240" w:lineRule="auto"/>
              <w:rPr>
                <w:szCs w:val="22"/>
              </w:rPr>
            </w:pPr>
            <w:r>
              <w:rPr>
                <w:szCs w:val="22"/>
              </w:rPr>
              <w:t xml:space="preserve">E-mail: </w:t>
            </w:r>
            <w:hyperlink r:id="rId12" w:history="1">
              <w:r w:rsidR="00036510" w:rsidRPr="00036510">
                <w:rPr>
                  <w:rStyle w:val="Hyperlink"/>
                  <w:sz w:val="22"/>
                  <w:szCs w:val="18"/>
                </w:rPr>
                <w:t xml:space="preserve">Salukazana@thulamelachambers.co.za </w:t>
              </w:r>
            </w:hyperlink>
            <w:r w:rsidR="0012080E" w:rsidRPr="00036510">
              <w:rPr>
                <w:rStyle w:val="Hyperlink"/>
                <w:sz w:val="22"/>
              </w:rPr>
              <w:t xml:space="preserve"> </w:t>
            </w:r>
            <w:r w:rsidR="00EA5BC8" w:rsidRPr="00036510">
              <w:rPr>
                <w:sz w:val="22"/>
              </w:rPr>
              <w:t xml:space="preserve"> </w:t>
            </w:r>
          </w:p>
          <w:p w14:paraId="75CDE318" w14:textId="77777777" w:rsidR="00EA5BC8" w:rsidRDefault="00EA5BC8" w:rsidP="00C240DF">
            <w:pPr>
              <w:keepNext/>
              <w:spacing w:after="0" w:line="240" w:lineRule="auto"/>
              <w:rPr>
                <w:sz w:val="22"/>
                <w:szCs w:val="22"/>
              </w:rPr>
            </w:pPr>
            <w:r>
              <w:rPr>
                <w:szCs w:val="22"/>
              </w:rPr>
              <w:t xml:space="preserve">Cell: </w:t>
            </w:r>
            <w:r w:rsidR="0012080E">
              <w:rPr>
                <w:szCs w:val="22"/>
              </w:rPr>
              <w:t>0</w:t>
            </w:r>
            <w:r w:rsidR="00036510">
              <w:rPr>
                <w:szCs w:val="22"/>
              </w:rPr>
              <w:t>82</w:t>
            </w:r>
            <w:r>
              <w:rPr>
                <w:szCs w:val="22"/>
              </w:rPr>
              <w:t> </w:t>
            </w:r>
            <w:r w:rsidR="00036510">
              <w:rPr>
                <w:szCs w:val="22"/>
              </w:rPr>
              <w:t>813</w:t>
            </w:r>
            <w:r>
              <w:rPr>
                <w:szCs w:val="22"/>
              </w:rPr>
              <w:t xml:space="preserve"> </w:t>
            </w:r>
            <w:r w:rsidR="00036510">
              <w:rPr>
                <w:szCs w:val="22"/>
              </w:rPr>
              <w:t>7094</w:t>
            </w:r>
          </w:p>
        </w:tc>
      </w:tr>
      <w:tr w:rsidR="006E34E4" w14:paraId="28E22A36" w14:textId="77777777">
        <w:tc>
          <w:tcPr>
            <w:tcW w:w="3936" w:type="dxa"/>
            <w:tcMar>
              <w:top w:w="32" w:type="dxa"/>
              <w:left w:w="108" w:type="dxa"/>
              <w:bottom w:w="32" w:type="dxa"/>
              <w:right w:w="108" w:type="dxa"/>
            </w:tcMar>
            <w:vAlign w:val="center"/>
            <w:hideMark/>
          </w:tcPr>
          <w:p w14:paraId="42D1E4CF"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0943B717" w14:textId="77777777" w:rsidR="00EA5BC8" w:rsidRDefault="00036510" w:rsidP="00C240DF">
            <w:pPr>
              <w:keepNext/>
              <w:spacing w:after="0" w:line="240" w:lineRule="auto"/>
            </w:pPr>
            <w:r>
              <w:t>Gwina Attorneys Inc.</w:t>
            </w:r>
          </w:p>
          <w:p w14:paraId="05D39153" w14:textId="77777777" w:rsidR="00867F57" w:rsidRDefault="00C240DF" w:rsidP="00C240DF">
            <w:pPr>
              <w:keepNext/>
              <w:spacing w:after="0" w:line="240" w:lineRule="auto"/>
            </w:pPr>
            <w:r>
              <w:t>E-mail:</w:t>
            </w:r>
            <w:r w:rsidR="00143DA0">
              <w:t xml:space="preserve"> </w:t>
            </w:r>
            <w:hyperlink r:id="rId13" w:history="1">
              <w:r w:rsidR="00867F57" w:rsidRPr="00735034">
                <w:rPr>
                  <w:rStyle w:val="Hyperlink"/>
                  <w:sz w:val="22"/>
                  <w:szCs w:val="18"/>
                </w:rPr>
                <w:t>mahlakuk@gwinaattorneys.co.za</w:t>
              </w:r>
            </w:hyperlink>
            <w:r w:rsidR="0012080E">
              <w:t xml:space="preserve"> </w:t>
            </w:r>
          </w:p>
          <w:p w14:paraId="207AD7D3" w14:textId="77777777" w:rsidR="00867F57" w:rsidRDefault="00000000" w:rsidP="00C240DF">
            <w:pPr>
              <w:keepNext/>
              <w:spacing w:after="0" w:line="240" w:lineRule="auto"/>
            </w:pPr>
            <w:hyperlink r:id="rId14" w:history="1">
              <w:r w:rsidR="00867F57" w:rsidRPr="00867F57">
                <w:rPr>
                  <w:rStyle w:val="Hyperlink"/>
                  <w:sz w:val="22"/>
                  <w:szCs w:val="18"/>
                </w:rPr>
                <w:t>mthembun@gwinaattorneys.co.za</w:t>
              </w:r>
            </w:hyperlink>
          </w:p>
          <w:p w14:paraId="23B675BF" w14:textId="77777777" w:rsidR="007154C1" w:rsidRDefault="00000000" w:rsidP="00C240DF">
            <w:pPr>
              <w:keepNext/>
              <w:spacing w:after="0" w:line="240" w:lineRule="auto"/>
              <w:rPr>
                <w:rStyle w:val="Hyperlink"/>
              </w:rPr>
            </w:pPr>
            <w:hyperlink r:id="rId15" w:history="1">
              <w:r w:rsidR="00867F57" w:rsidRPr="00867F57">
                <w:rPr>
                  <w:rStyle w:val="Hyperlink"/>
                  <w:sz w:val="22"/>
                  <w:szCs w:val="18"/>
                </w:rPr>
                <w:t>mabokelag@gwinaattorneys.co.za</w:t>
              </w:r>
            </w:hyperlink>
            <w:r w:rsidR="00867F57">
              <w:t xml:space="preserve">  </w:t>
            </w:r>
            <w:r w:rsidR="00143DA0">
              <w:t xml:space="preserve"> </w:t>
            </w:r>
            <w:hyperlink r:id="rId16" w:history="1">
              <w:r w:rsidR="00143DA0" w:rsidRPr="006C446C">
                <w:rPr>
                  <w:rStyle w:val="Hyperlink"/>
                </w:rPr>
                <w:t xml:space="preserve">      </w:t>
              </w:r>
            </w:hyperlink>
          </w:p>
          <w:p w14:paraId="29CFEDCA" w14:textId="77777777" w:rsidR="00EA5BC8" w:rsidRDefault="00867F57" w:rsidP="00C240DF">
            <w:pPr>
              <w:keepNext/>
              <w:spacing w:after="0" w:line="240" w:lineRule="auto"/>
              <w:rPr>
                <w:sz w:val="22"/>
                <w:szCs w:val="22"/>
              </w:rPr>
            </w:pPr>
            <w:r>
              <w:rPr>
                <w:sz w:val="22"/>
                <w:szCs w:val="22"/>
              </w:rPr>
              <w:t>Cell: 072 548 8745</w:t>
            </w:r>
          </w:p>
        </w:tc>
      </w:tr>
      <w:bookmarkEnd w:id="1"/>
      <w:bookmarkEnd w:id="2"/>
    </w:tbl>
    <w:p w14:paraId="077A2C91" w14:textId="77777777" w:rsidR="006E34E4" w:rsidRDefault="006E34E4" w:rsidP="006E34E4">
      <w:pPr>
        <w:pStyle w:val="Heading2"/>
        <w:numPr>
          <w:ilvl w:val="0"/>
          <w:numId w:val="0"/>
        </w:numPr>
      </w:pPr>
    </w:p>
    <w:p w14:paraId="750C6D12" w14:textId="77777777" w:rsidR="00EA5BC8" w:rsidRPr="00964F05" w:rsidRDefault="00EA5BC8" w:rsidP="006E34E4">
      <w:pPr>
        <w:pStyle w:val="Heading2"/>
        <w:numPr>
          <w:ilvl w:val="0"/>
          <w:numId w:val="0"/>
        </w:numPr>
      </w:pPr>
    </w:p>
    <w:sectPr w:rsidR="00EA5BC8" w:rsidRPr="00964F05" w:rsidSect="00CF7049">
      <w:headerReference w:type="even" r:id="rId17"/>
      <w:headerReference w:type="default" r:id="rId18"/>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7CC5" w14:textId="77777777" w:rsidR="00601BBD" w:rsidRDefault="00601BBD" w:rsidP="00B958BA">
      <w:pPr>
        <w:pStyle w:val="Title"/>
      </w:pPr>
      <w:r>
        <w:separator/>
      </w:r>
    </w:p>
  </w:endnote>
  <w:endnote w:type="continuationSeparator" w:id="0">
    <w:p w14:paraId="6185710F" w14:textId="77777777" w:rsidR="00601BBD" w:rsidRDefault="00601BBD"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499B" w14:textId="77777777" w:rsidR="00601BBD" w:rsidRDefault="00601BBD" w:rsidP="00B958BA">
      <w:pPr>
        <w:pStyle w:val="Title"/>
      </w:pPr>
      <w:r>
        <w:separator/>
      </w:r>
    </w:p>
  </w:footnote>
  <w:footnote w:type="continuationSeparator" w:id="0">
    <w:p w14:paraId="0721E080" w14:textId="77777777" w:rsidR="00601BBD" w:rsidRDefault="00601BBD" w:rsidP="00B958BA">
      <w:pPr>
        <w:pStyle w:val="Title"/>
      </w:pPr>
      <w:r>
        <w:continuationSeparator/>
      </w:r>
    </w:p>
  </w:footnote>
  <w:footnote w:id="1">
    <w:p w14:paraId="6910665F" w14:textId="77777777" w:rsidR="00402157" w:rsidRDefault="00402157">
      <w:pPr>
        <w:pStyle w:val="FootnoteText"/>
      </w:pPr>
      <w:r>
        <w:rPr>
          <w:rStyle w:val="FootnoteReference"/>
        </w:rPr>
        <w:footnoteRef/>
      </w:r>
      <w:r>
        <w:t xml:space="preserve"> </w:t>
      </w:r>
      <w:r>
        <w:tab/>
      </w:r>
      <w:r>
        <w:rPr>
          <w:b/>
          <w:bCs/>
          <w:i/>
          <w:iCs/>
        </w:rPr>
        <w:t>Notshokovu v S</w:t>
      </w:r>
      <w:r>
        <w:t xml:space="preserve"> [2016] ZASCA 112 (7 September 2016)</w:t>
      </w:r>
    </w:p>
  </w:footnote>
  <w:footnote w:id="2">
    <w:p w14:paraId="353428EC" w14:textId="77777777" w:rsidR="001B2D8A" w:rsidRPr="001B2D8A" w:rsidRDefault="001B2D8A">
      <w:pPr>
        <w:pStyle w:val="FootnoteText"/>
      </w:pPr>
      <w:r>
        <w:rPr>
          <w:rStyle w:val="FootnoteReference"/>
        </w:rPr>
        <w:footnoteRef/>
      </w:r>
      <w:r>
        <w:t xml:space="preserve"> </w:t>
      </w:r>
      <w:r>
        <w:tab/>
      </w:r>
      <w:r>
        <w:rPr>
          <w:b/>
          <w:bCs/>
          <w:i/>
          <w:iCs/>
        </w:rPr>
        <w:t xml:space="preserve">Ramakatsa and Others v African National Congress and Another </w:t>
      </w:r>
      <w:r>
        <w:t>(724/29) [2021] ZASCA 31 (31 March 2021)</w:t>
      </w:r>
    </w:p>
  </w:footnote>
  <w:footnote w:id="3">
    <w:p w14:paraId="2D12BA7B" w14:textId="77777777" w:rsidR="00EF5740" w:rsidRPr="00EF5740" w:rsidRDefault="00EF5740">
      <w:pPr>
        <w:pStyle w:val="FootnoteText"/>
      </w:pPr>
      <w:r>
        <w:rPr>
          <w:rStyle w:val="FootnoteReference"/>
        </w:rPr>
        <w:footnoteRef/>
      </w:r>
      <w:r>
        <w:t xml:space="preserve"> </w:t>
      </w:r>
      <w:r>
        <w:tab/>
      </w:r>
      <w:r>
        <w:rPr>
          <w:b/>
          <w:bCs/>
          <w:i/>
          <w:iCs/>
        </w:rPr>
        <w:t xml:space="preserve">S v Smith </w:t>
      </w:r>
      <w:r>
        <w:t>2012 (1) SACR 567 (SCA)</w:t>
      </w:r>
    </w:p>
  </w:footnote>
  <w:footnote w:id="4">
    <w:p w14:paraId="4288C4DE" w14:textId="77777777" w:rsidR="00EF5740" w:rsidRDefault="00EF5740">
      <w:pPr>
        <w:pStyle w:val="FootnoteText"/>
      </w:pPr>
      <w:r>
        <w:rPr>
          <w:rStyle w:val="FootnoteReference"/>
        </w:rPr>
        <w:footnoteRef/>
      </w:r>
      <w:r>
        <w:t xml:space="preserve"> </w:t>
      </w:r>
      <w:r>
        <w:tab/>
      </w:r>
      <w:r>
        <w:rPr>
          <w:b/>
          <w:bCs/>
          <w:i/>
          <w:iCs/>
        </w:rPr>
        <w:t>Dexgroup (Pty) Ltd v Trustco Group International (Pty) Ltd and Others</w:t>
      </w:r>
      <w:r>
        <w:t xml:space="preserve"> 2013 (6) SA 520 (SCA)</w:t>
      </w:r>
    </w:p>
  </w:footnote>
  <w:footnote w:id="5">
    <w:p w14:paraId="13F55DBB" w14:textId="77777777" w:rsidR="0058561A" w:rsidRDefault="0058561A">
      <w:pPr>
        <w:pStyle w:val="FootnoteText"/>
      </w:pPr>
      <w:r>
        <w:rPr>
          <w:rStyle w:val="FootnoteReference"/>
        </w:rPr>
        <w:footnoteRef/>
      </w:r>
      <w:r>
        <w:t xml:space="preserve"> </w:t>
      </w:r>
      <w:r>
        <w:tab/>
      </w:r>
      <w:r>
        <w:rPr>
          <w:b/>
          <w:bCs/>
          <w:i/>
          <w:iCs/>
        </w:rPr>
        <w:t>L</w:t>
      </w:r>
      <w:r w:rsidR="008353F0">
        <w:rPr>
          <w:b/>
          <w:bCs/>
          <w:i/>
          <w:iCs/>
        </w:rPr>
        <w:t>oureiro</w:t>
      </w:r>
      <w:r>
        <w:rPr>
          <w:b/>
          <w:bCs/>
          <w:i/>
          <w:iCs/>
        </w:rPr>
        <w:t xml:space="preserve"> and Three Others v Imvula Quality Protection (Pty) Ltd </w:t>
      </w:r>
      <w:r>
        <w:t>2019 [JOL] 43169 GJ at paras 61-67</w:t>
      </w:r>
    </w:p>
  </w:footnote>
  <w:footnote w:id="6">
    <w:p w14:paraId="471983AF" w14:textId="77777777" w:rsidR="0058561A" w:rsidRDefault="0058561A">
      <w:pPr>
        <w:pStyle w:val="FootnoteText"/>
      </w:pPr>
      <w:r>
        <w:rPr>
          <w:rStyle w:val="FootnoteReference"/>
        </w:rPr>
        <w:footnoteRef/>
      </w:r>
      <w:r>
        <w:t xml:space="preserve"> </w:t>
      </w:r>
      <w:r>
        <w:tab/>
      </w:r>
      <w:r>
        <w:rPr>
          <w:b/>
          <w:bCs/>
          <w:i/>
          <w:iCs/>
        </w:rPr>
        <w:t xml:space="preserve">Copalcor Manufacturing (Pty) Ltd and Another v GDC Hauliers (Pty) Ltd (formerly GDC Hauliers CC) </w:t>
      </w:r>
      <w:r>
        <w:t xml:space="preserve">2000 (3) SA 181 (W) </w:t>
      </w:r>
    </w:p>
  </w:footnote>
  <w:footnote w:id="7">
    <w:p w14:paraId="38DDA59E" w14:textId="77777777" w:rsidR="0018027A" w:rsidRDefault="0018027A">
      <w:pPr>
        <w:pStyle w:val="FootnoteText"/>
      </w:pPr>
      <w:r>
        <w:rPr>
          <w:rStyle w:val="FootnoteReference"/>
        </w:rPr>
        <w:footnoteRef/>
      </w:r>
      <w:r>
        <w:t xml:space="preserve"> </w:t>
      </w:r>
      <w:r>
        <w:tab/>
      </w:r>
      <w:r w:rsidRPr="0018027A">
        <w:rPr>
          <w:b/>
          <w:bCs/>
          <w:i/>
          <w:iCs/>
        </w:rPr>
        <w:t>Tooch v Greenaway</w:t>
      </w:r>
      <w:r w:rsidRPr="0018027A">
        <w:t xml:space="preserve"> 1922 CPD 331</w:t>
      </w:r>
    </w:p>
  </w:footnote>
  <w:footnote w:id="8">
    <w:p w14:paraId="2A277E75" w14:textId="77777777" w:rsidR="003325C0" w:rsidRDefault="003325C0">
      <w:pPr>
        <w:pStyle w:val="FootnoteText"/>
      </w:pPr>
      <w:r>
        <w:rPr>
          <w:rStyle w:val="FootnoteReference"/>
        </w:rPr>
        <w:footnoteRef/>
      </w:r>
      <w:r>
        <w:t xml:space="preserve"> </w:t>
      </w:r>
      <w:r>
        <w:tab/>
      </w:r>
      <w:r>
        <w:rPr>
          <w:b/>
          <w:bCs/>
          <w:i/>
          <w:iCs/>
        </w:rPr>
        <w:t>Ramakarane v Centlec (Pty) Ltd</w:t>
      </w:r>
      <w:r>
        <w:t xml:space="preserve"> (4907/2006) [2016] ZAFSHSC 51 (18 February 2016)</w:t>
      </w:r>
    </w:p>
  </w:footnote>
  <w:footnote w:id="9">
    <w:p w14:paraId="482B2319" w14:textId="77777777" w:rsidR="008353F0" w:rsidRPr="00AC13F4" w:rsidRDefault="008353F0">
      <w:pPr>
        <w:pStyle w:val="FootnoteText"/>
        <w:rPr>
          <w:i/>
          <w:iCs/>
        </w:rPr>
      </w:pPr>
      <w:r>
        <w:rPr>
          <w:rStyle w:val="FootnoteReference"/>
        </w:rPr>
        <w:footnoteRef/>
      </w:r>
      <w:r>
        <w:t xml:space="preserve"> </w:t>
      </w:r>
      <w:r>
        <w:tab/>
      </w:r>
      <w:r w:rsidR="00AC13F4">
        <w:rPr>
          <w:b/>
          <w:bCs/>
          <w:i/>
          <w:iCs/>
        </w:rPr>
        <w:t xml:space="preserve">Erasmus commentary to Rule 17(6)(i) </w:t>
      </w:r>
      <w:r w:rsidR="00AC13F4">
        <w:rPr>
          <w:i/>
          <w:iCs/>
        </w:rPr>
        <w:t>at OS 2023, page D-116 and cases mentioned there</w:t>
      </w:r>
    </w:p>
  </w:footnote>
  <w:footnote w:id="10">
    <w:p w14:paraId="39EE52B2" w14:textId="77777777" w:rsidR="00315C8B" w:rsidRDefault="008119A9" w:rsidP="00315C8B">
      <w:pPr>
        <w:pStyle w:val="FootnoteText"/>
      </w:pPr>
      <w:r>
        <w:rPr>
          <w:rStyle w:val="FootnoteReference"/>
        </w:rPr>
        <w:footnoteRef/>
      </w:r>
      <w:r>
        <w:t xml:space="preserve"> </w:t>
      </w:r>
      <w:r>
        <w:tab/>
      </w:r>
      <w:r>
        <w:rPr>
          <w:b/>
          <w:bCs/>
          <w:i/>
          <w:iCs/>
        </w:rPr>
        <w:t>Alf’s Tippers CC v Martha Susanna Steyn</w:t>
      </w:r>
      <w:r>
        <w:t>, Unreported decision, Case No. 11407/2019 dated 19 May 2020</w:t>
      </w:r>
      <w:r w:rsidR="00315C8B">
        <w:t xml:space="preserve"> and </w:t>
      </w:r>
      <w:r w:rsidR="00315C8B">
        <w:rPr>
          <w:b/>
          <w:bCs/>
          <w:i/>
          <w:iCs/>
        </w:rPr>
        <w:t>Hilbert Plant Hire CC v JS Brider and J Brider</w:t>
      </w:r>
      <w:r w:rsidR="00315C8B">
        <w:rPr>
          <w:i/>
          <w:iCs/>
        </w:rPr>
        <w:t xml:space="preserve">, </w:t>
      </w:r>
      <w:r w:rsidR="00315C8B">
        <w:t xml:space="preserve">Unreported decision, Case No. 41890/19 (dated 3 August 2021) </w:t>
      </w:r>
    </w:p>
    <w:p w14:paraId="06E73DA0" w14:textId="77777777" w:rsidR="008119A9" w:rsidRDefault="008119A9" w:rsidP="008119A9">
      <w:pPr>
        <w:pStyle w:val="FootnoteText"/>
      </w:pPr>
    </w:p>
  </w:footnote>
  <w:footnote w:id="11">
    <w:p w14:paraId="7033D71F" w14:textId="77777777" w:rsidR="008173DB" w:rsidRDefault="008173DB">
      <w:pPr>
        <w:pStyle w:val="FootnoteText"/>
      </w:pPr>
      <w:r>
        <w:rPr>
          <w:rStyle w:val="FootnoteReference"/>
        </w:rPr>
        <w:footnoteRef/>
      </w:r>
      <w:r>
        <w:t xml:space="preserve"> </w:t>
      </w:r>
      <w:r>
        <w:tab/>
        <w:t>CaseLines, 048-60</w:t>
      </w:r>
    </w:p>
  </w:footnote>
  <w:footnote w:id="12">
    <w:p w14:paraId="0FD0C2B7" w14:textId="77777777" w:rsidR="00A22ADD" w:rsidRPr="004A665C" w:rsidRDefault="00A22ADD" w:rsidP="00A22ADD">
      <w:pPr>
        <w:pStyle w:val="FootnoteText"/>
        <w:rPr>
          <w:bCs/>
        </w:rPr>
      </w:pPr>
      <w:r>
        <w:rPr>
          <w:rStyle w:val="FootnoteReference"/>
        </w:rPr>
        <w:footnoteRef/>
      </w:r>
      <w:r>
        <w:t xml:space="preserve"> </w:t>
      </w:r>
      <w:r>
        <w:tab/>
        <w:t xml:space="preserve">CaseLines, </w:t>
      </w:r>
      <w:r w:rsidRPr="00BF0ACB">
        <w:t xml:space="preserve">Annexure </w:t>
      </w:r>
      <w:r w:rsidRPr="00BF0ACB">
        <w:rPr>
          <w:b/>
        </w:rPr>
        <w:t>“</w:t>
      </w:r>
      <w:r>
        <w:rPr>
          <w:b/>
        </w:rPr>
        <w:t>FA6”</w:t>
      </w:r>
      <w:r>
        <w:rPr>
          <w:bCs/>
        </w:rPr>
        <w:t>, 048-67</w:t>
      </w:r>
    </w:p>
  </w:footnote>
  <w:footnote w:id="13">
    <w:p w14:paraId="56CAA319" w14:textId="77777777" w:rsidR="004A665C" w:rsidRDefault="004A665C">
      <w:pPr>
        <w:pStyle w:val="FootnoteText"/>
      </w:pPr>
      <w:r>
        <w:rPr>
          <w:rStyle w:val="FootnoteReference"/>
        </w:rPr>
        <w:footnoteRef/>
      </w:r>
      <w:r>
        <w:t xml:space="preserve"> </w:t>
      </w:r>
      <w:r>
        <w:tab/>
        <w:t>CaseLines, 048-98, para 20</w:t>
      </w:r>
    </w:p>
  </w:footnote>
  <w:footnote w:id="14">
    <w:p w14:paraId="36DFCDE6" w14:textId="77777777" w:rsidR="00FD68D5" w:rsidRDefault="00FD68D5">
      <w:pPr>
        <w:pStyle w:val="FootnoteText"/>
      </w:pPr>
      <w:r>
        <w:rPr>
          <w:rStyle w:val="FootnoteReference"/>
        </w:rPr>
        <w:footnoteRef/>
      </w:r>
      <w:r>
        <w:t xml:space="preserve"> </w:t>
      </w:r>
      <w:r>
        <w:tab/>
        <w:t>CaseLines, 048-103, para 37</w:t>
      </w:r>
    </w:p>
  </w:footnote>
  <w:footnote w:id="15">
    <w:p w14:paraId="45BE6CED" w14:textId="23CAB0B3" w:rsidR="007349E3" w:rsidRPr="007349E3" w:rsidRDefault="007349E3">
      <w:pPr>
        <w:pStyle w:val="FootnoteText"/>
        <w:rPr>
          <w:lang w:val="en-US"/>
        </w:rPr>
      </w:pPr>
      <w:r>
        <w:rPr>
          <w:rStyle w:val="FootnoteReference"/>
        </w:rPr>
        <w:footnoteRef/>
      </w:r>
      <w:r>
        <w:t xml:space="preserve"> </w:t>
      </w:r>
      <w:r>
        <w:rPr>
          <w:lang w:val="en-US"/>
        </w:rPr>
        <w:t>2022(3) SA512(GJ)</w:t>
      </w:r>
    </w:p>
  </w:footnote>
  <w:footnote w:id="16">
    <w:p w14:paraId="0536F3BB" w14:textId="020DF9F1" w:rsidR="007349E3" w:rsidRPr="007349E3" w:rsidRDefault="007349E3">
      <w:pPr>
        <w:pStyle w:val="FootnoteText"/>
        <w:rPr>
          <w:lang w:val="en-US"/>
        </w:rPr>
      </w:pPr>
      <w:r>
        <w:rPr>
          <w:rStyle w:val="FootnoteReference"/>
        </w:rPr>
        <w:footnoteRef/>
      </w:r>
      <w:r>
        <w:t xml:space="preserve"> </w:t>
      </w:r>
      <w:r>
        <w:rPr>
          <w:lang w:val="en-US"/>
        </w:rPr>
        <w:t>Section 140</w:t>
      </w:r>
      <w:r w:rsidR="00AA6D85">
        <w:rPr>
          <w:lang w:val="en-US"/>
        </w:rPr>
        <w:t xml:space="preserve"> (1) (a)</w:t>
      </w:r>
      <w:r>
        <w:rPr>
          <w:lang w:val="en-US"/>
        </w:rPr>
        <w:t xml:space="preserve"> Companies Act 71 of 2008</w:t>
      </w:r>
    </w:p>
  </w:footnote>
  <w:footnote w:id="17">
    <w:p w14:paraId="6106DCAD" w14:textId="485F4D0B" w:rsidR="00AA6D85" w:rsidRPr="00AA6D85" w:rsidRDefault="00AA6D85">
      <w:pPr>
        <w:pStyle w:val="FootnoteText"/>
        <w:rPr>
          <w:lang w:val="en-US"/>
        </w:rPr>
      </w:pPr>
      <w:r>
        <w:rPr>
          <w:rStyle w:val="FootnoteReference"/>
        </w:rPr>
        <w:footnoteRef/>
      </w:r>
      <w:r>
        <w:t xml:space="preserve"> </w:t>
      </w:r>
      <w:r>
        <w:rPr>
          <w:lang w:val="en-US"/>
        </w:rPr>
        <w:t>Section 140(1)(b) Companies Act 71 of 2008</w:t>
      </w:r>
    </w:p>
  </w:footnote>
  <w:footnote w:id="18">
    <w:p w14:paraId="1FE3C657" w14:textId="57C5D074" w:rsidR="00AA6D85" w:rsidRPr="00AA6D85" w:rsidRDefault="00AA6D85">
      <w:pPr>
        <w:pStyle w:val="FootnoteText"/>
        <w:rPr>
          <w:lang w:val="en-US"/>
        </w:rPr>
      </w:pPr>
      <w:r>
        <w:rPr>
          <w:rStyle w:val="FootnoteReference"/>
        </w:rPr>
        <w:footnoteRef/>
      </w:r>
      <w:r>
        <w:t xml:space="preserve"> </w:t>
      </w:r>
      <w:r>
        <w:rPr>
          <w:lang w:val="en-US"/>
        </w:rPr>
        <w:t xml:space="preserve"> Caselines 048-106</w:t>
      </w:r>
    </w:p>
  </w:footnote>
  <w:footnote w:id="19">
    <w:p w14:paraId="487E5DAC" w14:textId="13C8958D" w:rsidR="00553181" w:rsidRPr="00553181" w:rsidRDefault="00553181">
      <w:pPr>
        <w:pStyle w:val="FootnoteText"/>
        <w:rPr>
          <w:lang w:val="en-US"/>
        </w:rPr>
      </w:pPr>
      <w:r>
        <w:rPr>
          <w:rStyle w:val="FootnoteReference"/>
        </w:rPr>
        <w:footnoteRef/>
      </w:r>
      <w:r>
        <w:t xml:space="preserve"> </w:t>
      </w:r>
      <w:r w:rsidRPr="00DA2B03">
        <w:rPr>
          <w:b/>
          <w:bCs/>
          <w:i/>
          <w:iCs/>
          <w:lang w:val="en-US"/>
        </w:rPr>
        <w:t>Alf’s Tippers CC v Steyn</w:t>
      </w:r>
      <w:r w:rsidR="00DA2B03" w:rsidRPr="00DA2B03">
        <w:rPr>
          <w:b/>
          <w:bCs/>
          <w:i/>
          <w:iCs/>
          <w:lang w:val="en-US"/>
        </w:rPr>
        <w:t xml:space="preserve"> supra</w:t>
      </w:r>
      <w:r>
        <w:rPr>
          <w:lang w:val="en-US"/>
        </w:rPr>
        <w:t xml:space="preserve"> at paras </w:t>
      </w:r>
      <w:r w:rsidR="00DA2B03">
        <w:rPr>
          <w:lang w:val="en-US"/>
        </w:rPr>
        <w:t>[9] to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7EFC"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42657F42" w14:textId="77777777" w:rsidR="00853FC4" w:rsidRDefault="00853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21655"/>
      <w:docPartObj>
        <w:docPartGallery w:val="Page Numbers (Top of Page)"/>
        <w:docPartUnique/>
      </w:docPartObj>
    </w:sdtPr>
    <w:sdtEndPr>
      <w:rPr>
        <w:noProof/>
        <w:sz w:val="24"/>
        <w:szCs w:val="24"/>
      </w:rPr>
    </w:sdtEndPr>
    <w:sdtContent>
      <w:p w14:paraId="25FE8BEF" w14:textId="505F5180" w:rsidR="00CF7049" w:rsidRPr="00E928E8" w:rsidRDefault="00CF7049">
        <w:pPr>
          <w:pStyle w:val="Header"/>
          <w:jc w:val="right"/>
          <w:rPr>
            <w:sz w:val="24"/>
            <w:szCs w:val="24"/>
          </w:rPr>
        </w:pPr>
        <w:r w:rsidRPr="00E928E8">
          <w:rPr>
            <w:sz w:val="24"/>
            <w:szCs w:val="24"/>
          </w:rPr>
          <w:fldChar w:fldCharType="begin"/>
        </w:r>
        <w:r w:rsidRPr="00E928E8">
          <w:rPr>
            <w:sz w:val="24"/>
            <w:szCs w:val="24"/>
          </w:rPr>
          <w:instrText xml:space="preserve"> PAGE   \* MERGEFORMAT </w:instrText>
        </w:r>
        <w:r w:rsidRPr="00E928E8">
          <w:rPr>
            <w:sz w:val="24"/>
            <w:szCs w:val="24"/>
          </w:rPr>
          <w:fldChar w:fldCharType="separate"/>
        </w:r>
        <w:r w:rsidR="006C6903">
          <w:rPr>
            <w:noProof/>
            <w:sz w:val="24"/>
            <w:szCs w:val="24"/>
          </w:rPr>
          <w:t>11</w:t>
        </w:r>
        <w:r w:rsidRPr="00E928E8">
          <w:rPr>
            <w:noProof/>
            <w:sz w:val="24"/>
            <w:szCs w:val="24"/>
          </w:rPr>
          <w:fldChar w:fldCharType="end"/>
        </w:r>
      </w:p>
    </w:sdtContent>
  </w:sdt>
  <w:p w14:paraId="314B0FF7" w14:textId="77777777" w:rsidR="00853FC4" w:rsidRDefault="00853FC4">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52B"/>
    <w:multiLevelType w:val="hybridMultilevel"/>
    <w:tmpl w:val="3A925C82"/>
    <w:lvl w:ilvl="0" w:tplc="A740E922">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AB15D65"/>
    <w:multiLevelType w:val="hybridMultilevel"/>
    <w:tmpl w:val="97424382"/>
    <w:lvl w:ilvl="0" w:tplc="0C9C1414">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3" w15:restartNumberingAfterBreak="0">
    <w:nsid w:val="154C3444"/>
    <w:multiLevelType w:val="multilevel"/>
    <w:tmpl w:val="CFDE2536"/>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4" w15:restartNumberingAfterBreak="0">
    <w:nsid w:val="311536CB"/>
    <w:multiLevelType w:val="multilevel"/>
    <w:tmpl w:val="9F646534"/>
    <w:lvl w:ilvl="0">
      <w:start w:val="5"/>
      <w:numFmt w:val="decimal"/>
      <w:lvlText w:val="%1"/>
      <w:lvlJc w:val="left"/>
      <w:pPr>
        <w:ind w:left="360" w:hanging="360"/>
      </w:pPr>
      <w:rPr>
        <w:rFonts w:hint="default"/>
      </w:rPr>
    </w:lvl>
    <w:lvl w:ilvl="1">
      <w:start w:val="1"/>
      <w:numFmt w:val="decimal"/>
      <w:lvlText w:val="%1.%2"/>
      <w:lvlJc w:val="left"/>
      <w:pPr>
        <w:ind w:left="2235" w:hanging="360"/>
      </w:pPr>
      <w:rPr>
        <w:rFonts w:hint="default"/>
      </w:rPr>
    </w:lvl>
    <w:lvl w:ilvl="2">
      <w:start w:val="1"/>
      <w:numFmt w:val="decimal"/>
      <w:lvlText w:val="%1.%2.%3"/>
      <w:lvlJc w:val="left"/>
      <w:pPr>
        <w:ind w:left="4470" w:hanging="720"/>
      </w:pPr>
      <w:rPr>
        <w:rFonts w:hint="default"/>
      </w:rPr>
    </w:lvl>
    <w:lvl w:ilvl="3">
      <w:start w:val="1"/>
      <w:numFmt w:val="decimal"/>
      <w:lvlText w:val="%1.%2.%3.%4"/>
      <w:lvlJc w:val="left"/>
      <w:pPr>
        <w:ind w:left="6705" w:hanging="1080"/>
      </w:pPr>
      <w:rPr>
        <w:rFonts w:hint="default"/>
      </w:rPr>
    </w:lvl>
    <w:lvl w:ilvl="4">
      <w:start w:val="1"/>
      <w:numFmt w:val="decimal"/>
      <w:lvlText w:val="%1.%2.%3.%4.%5"/>
      <w:lvlJc w:val="left"/>
      <w:pPr>
        <w:ind w:left="8580" w:hanging="108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abstractNum w:abstractNumId="5" w15:restartNumberingAfterBreak="0">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6" w15:restartNumberingAfterBreak="0">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46D72"/>
    <w:multiLevelType w:val="multilevel"/>
    <w:tmpl w:val="0EDECADA"/>
    <w:lvl w:ilvl="0">
      <w:start w:val="1"/>
      <w:numFmt w:val="decimal"/>
      <w:lvlText w:val="%1"/>
      <w:lvlJc w:val="left"/>
      <w:pPr>
        <w:ind w:left="1140" w:hanging="1140"/>
      </w:pPr>
      <w:rPr>
        <w:rFonts w:hint="default"/>
      </w:rPr>
    </w:lvl>
    <w:lvl w:ilvl="1">
      <w:start w:val="1"/>
      <w:numFmt w:val="decimal"/>
      <w:lvlText w:val="%1.%2"/>
      <w:lvlJc w:val="left"/>
      <w:pPr>
        <w:ind w:left="3015" w:hanging="1140"/>
      </w:pPr>
      <w:rPr>
        <w:rFonts w:hint="default"/>
      </w:rPr>
    </w:lvl>
    <w:lvl w:ilvl="2">
      <w:start w:val="1"/>
      <w:numFmt w:val="decimal"/>
      <w:lvlText w:val="%1.%2.%3"/>
      <w:lvlJc w:val="left"/>
      <w:pPr>
        <w:ind w:left="4890" w:hanging="1140"/>
      </w:pPr>
      <w:rPr>
        <w:rFonts w:hint="default"/>
      </w:rPr>
    </w:lvl>
    <w:lvl w:ilvl="3">
      <w:start w:val="1"/>
      <w:numFmt w:val="decimal"/>
      <w:lvlText w:val="%1.%2.%3.%4"/>
      <w:lvlJc w:val="left"/>
      <w:pPr>
        <w:ind w:left="6765" w:hanging="1140"/>
      </w:pPr>
      <w:rPr>
        <w:rFonts w:hint="default"/>
      </w:rPr>
    </w:lvl>
    <w:lvl w:ilvl="4">
      <w:start w:val="1"/>
      <w:numFmt w:val="decimal"/>
      <w:lvlText w:val="%1.%2.%3.%4.%5"/>
      <w:lvlJc w:val="left"/>
      <w:pPr>
        <w:ind w:left="8640" w:hanging="114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abstractNum w:abstractNumId="8" w15:restartNumberingAfterBreak="0">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9" w15:restartNumberingAfterBreak="0">
    <w:nsid w:val="59607BD3"/>
    <w:multiLevelType w:val="hybridMultilevel"/>
    <w:tmpl w:val="D3D66EFA"/>
    <w:lvl w:ilvl="0" w:tplc="FB405C28">
      <w:start w:val="1"/>
      <w:numFmt w:val="lowerLetter"/>
      <w:lvlText w:val="(%1)"/>
      <w:lvlJc w:val="left"/>
      <w:pPr>
        <w:ind w:left="2242" w:hanging="36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10" w15:restartNumberingAfterBreak="0">
    <w:nsid w:val="59AD1D2E"/>
    <w:multiLevelType w:val="hybridMultilevel"/>
    <w:tmpl w:val="D982CEFC"/>
    <w:lvl w:ilvl="0" w:tplc="CE08C4DC">
      <w:start w:val="1"/>
      <w:numFmt w:val="decimal"/>
      <w:lvlText w:val="%1."/>
      <w:lvlJc w:val="left"/>
      <w:pPr>
        <w:ind w:left="1875" w:hanging="102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1" w15:restartNumberingAfterBreak="0">
    <w:nsid w:val="72FA435D"/>
    <w:multiLevelType w:val="hybridMultilevel"/>
    <w:tmpl w:val="5CCC7F2E"/>
    <w:lvl w:ilvl="0" w:tplc="AFF0F7F0">
      <w:start w:val="1"/>
      <w:numFmt w:val="lowerLetter"/>
      <w:lvlText w:val="(%1)"/>
      <w:lvlJc w:val="left"/>
      <w:pPr>
        <w:ind w:left="3022" w:hanging="114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12" w15:restartNumberingAfterBreak="0">
    <w:nsid w:val="7A3F0572"/>
    <w:multiLevelType w:val="multilevel"/>
    <w:tmpl w:val="0EDECADA"/>
    <w:lvl w:ilvl="0">
      <w:start w:val="1"/>
      <w:numFmt w:val="decimal"/>
      <w:lvlText w:val="%1"/>
      <w:lvlJc w:val="left"/>
      <w:pPr>
        <w:ind w:left="1140" w:hanging="1140"/>
      </w:pPr>
      <w:rPr>
        <w:rFonts w:hint="default"/>
      </w:rPr>
    </w:lvl>
    <w:lvl w:ilvl="1">
      <w:start w:val="1"/>
      <w:numFmt w:val="decimal"/>
      <w:lvlText w:val="%1.%2"/>
      <w:lvlJc w:val="left"/>
      <w:pPr>
        <w:ind w:left="3015" w:hanging="1140"/>
      </w:pPr>
      <w:rPr>
        <w:rFonts w:hint="default"/>
      </w:rPr>
    </w:lvl>
    <w:lvl w:ilvl="2">
      <w:start w:val="1"/>
      <w:numFmt w:val="decimal"/>
      <w:lvlText w:val="%1.%2.%3"/>
      <w:lvlJc w:val="left"/>
      <w:pPr>
        <w:ind w:left="4890" w:hanging="1140"/>
      </w:pPr>
      <w:rPr>
        <w:rFonts w:hint="default"/>
      </w:rPr>
    </w:lvl>
    <w:lvl w:ilvl="3">
      <w:start w:val="1"/>
      <w:numFmt w:val="decimal"/>
      <w:lvlText w:val="%1.%2.%3.%4"/>
      <w:lvlJc w:val="left"/>
      <w:pPr>
        <w:ind w:left="6765" w:hanging="1140"/>
      </w:pPr>
      <w:rPr>
        <w:rFonts w:hint="default"/>
      </w:rPr>
    </w:lvl>
    <w:lvl w:ilvl="4">
      <w:start w:val="1"/>
      <w:numFmt w:val="decimal"/>
      <w:lvlText w:val="%1.%2.%3.%4.%5"/>
      <w:lvlJc w:val="left"/>
      <w:pPr>
        <w:ind w:left="8640" w:hanging="114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num w:numId="1" w16cid:durableId="1479760378">
    <w:abstractNumId w:val="3"/>
  </w:num>
  <w:num w:numId="2" w16cid:durableId="1489591436">
    <w:abstractNumId w:val="3"/>
  </w:num>
  <w:num w:numId="3" w16cid:durableId="64887858">
    <w:abstractNumId w:val="3"/>
  </w:num>
  <w:num w:numId="4" w16cid:durableId="1803502216">
    <w:abstractNumId w:val="3"/>
  </w:num>
  <w:num w:numId="5" w16cid:durableId="59905803">
    <w:abstractNumId w:val="3"/>
  </w:num>
  <w:num w:numId="6" w16cid:durableId="1429542723">
    <w:abstractNumId w:val="3"/>
  </w:num>
  <w:num w:numId="7" w16cid:durableId="1802186826">
    <w:abstractNumId w:val="3"/>
  </w:num>
  <w:num w:numId="8" w16cid:durableId="746926999">
    <w:abstractNumId w:val="3"/>
  </w:num>
  <w:num w:numId="9" w16cid:durableId="850333908">
    <w:abstractNumId w:val="3"/>
  </w:num>
  <w:num w:numId="10" w16cid:durableId="1705402326">
    <w:abstractNumId w:val="3"/>
  </w:num>
  <w:num w:numId="11" w16cid:durableId="1322343216">
    <w:abstractNumId w:val="3"/>
  </w:num>
  <w:num w:numId="12" w16cid:durableId="80300092">
    <w:abstractNumId w:val="3"/>
  </w:num>
  <w:num w:numId="13" w16cid:durableId="1386568577">
    <w:abstractNumId w:val="3"/>
  </w:num>
  <w:num w:numId="14" w16cid:durableId="2047023476">
    <w:abstractNumId w:val="3"/>
  </w:num>
  <w:num w:numId="15" w16cid:durableId="2087258577">
    <w:abstractNumId w:val="3"/>
  </w:num>
  <w:num w:numId="16" w16cid:durableId="2021807811">
    <w:abstractNumId w:val="3"/>
  </w:num>
  <w:num w:numId="17" w16cid:durableId="1280067096">
    <w:abstractNumId w:val="3"/>
  </w:num>
  <w:num w:numId="18" w16cid:durableId="458962940">
    <w:abstractNumId w:val="3"/>
  </w:num>
  <w:num w:numId="19" w16cid:durableId="961886982">
    <w:abstractNumId w:val="3"/>
  </w:num>
  <w:num w:numId="20" w16cid:durableId="456609780">
    <w:abstractNumId w:val="3"/>
  </w:num>
  <w:num w:numId="21" w16cid:durableId="2146775121">
    <w:abstractNumId w:val="3"/>
  </w:num>
  <w:num w:numId="22" w16cid:durableId="1857646674">
    <w:abstractNumId w:val="3"/>
  </w:num>
  <w:num w:numId="23" w16cid:durableId="334068443">
    <w:abstractNumId w:val="3"/>
  </w:num>
  <w:num w:numId="24" w16cid:durableId="1656453811">
    <w:abstractNumId w:val="3"/>
  </w:num>
  <w:num w:numId="25" w16cid:durableId="2060085974">
    <w:abstractNumId w:val="3"/>
  </w:num>
  <w:num w:numId="26" w16cid:durableId="2094693912">
    <w:abstractNumId w:val="3"/>
  </w:num>
  <w:num w:numId="27" w16cid:durableId="1647274879">
    <w:abstractNumId w:val="3"/>
  </w:num>
  <w:num w:numId="28" w16cid:durableId="1169560245">
    <w:abstractNumId w:val="3"/>
  </w:num>
  <w:num w:numId="29" w16cid:durableId="1733577246">
    <w:abstractNumId w:val="3"/>
  </w:num>
  <w:num w:numId="30" w16cid:durableId="757214469">
    <w:abstractNumId w:val="3"/>
  </w:num>
  <w:num w:numId="31" w16cid:durableId="6248896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1611710">
    <w:abstractNumId w:val="3"/>
  </w:num>
  <w:num w:numId="33" w16cid:durableId="1769307797">
    <w:abstractNumId w:val="3"/>
  </w:num>
  <w:num w:numId="34" w16cid:durableId="1115639659">
    <w:abstractNumId w:val="5"/>
  </w:num>
  <w:num w:numId="35" w16cid:durableId="20207468">
    <w:abstractNumId w:val="8"/>
  </w:num>
  <w:num w:numId="36" w16cid:durableId="2040936112">
    <w:abstractNumId w:val="6"/>
  </w:num>
  <w:num w:numId="37" w16cid:durableId="1155668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47072557">
    <w:abstractNumId w:val="9"/>
  </w:num>
  <w:num w:numId="39" w16cid:durableId="1888955205">
    <w:abstractNumId w:val="11"/>
  </w:num>
  <w:num w:numId="40" w16cid:durableId="1140346492">
    <w:abstractNumId w:val="2"/>
  </w:num>
  <w:num w:numId="41" w16cid:durableId="1800561913">
    <w:abstractNumId w:val="0"/>
  </w:num>
  <w:num w:numId="42" w16cid:durableId="1668173030">
    <w:abstractNumId w:val="7"/>
  </w:num>
  <w:num w:numId="43" w16cid:durableId="519658553">
    <w:abstractNumId w:val="12"/>
  </w:num>
  <w:num w:numId="44" w16cid:durableId="1383020793">
    <w:abstractNumId w:val="4"/>
  </w:num>
  <w:num w:numId="45" w16cid:durableId="11112387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4"/>
    <w:rsid w:val="00000058"/>
    <w:rsid w:val="00006720"/>
    <w:rsid w:val="00013916"/>
    <w:rsid w:val="00013F13"/>
    <w:rsid w:val="00013F66"/>
    <w:rsid w:val="00016FCE"/>
    <w:rsid w:val="000206B9"/>
    <w:rsid w:val="00021572"/>
    <w:rsid w:val="000223E2"/>
    <w:rsid w:val="00024069"/>
    <w:rsid w:val="00024EC0"/>
    <w:rsid w:val="000269A0"/>
    <w:rsid w:val="000330AA"/>
    <w:rsid w:val="00033689"/>
    <w:rsid w:val="00035295"/>
    <w:rsid w:val="00035850"/>
    <w:rsid w:val="00036510"/>
    <w:rsid w:val="00040532"/>
    <w:rsid w:val="000449C9"/>
    <w:rsid w:val="00045C2A"/>
    <w:rsid w:val="000460FA"/>
    <w:rsid w:val="000463D4"/>
    <w:rsid w:val="0005193C"/>
    <w:rsid w:val="00056698"/>
    <w:rsid w:val="000600AD"/>
    <w:rsid w:val="00060B83"/>
    <w:rsid w:val="0006231D"/>
    <w:rsid w:val="00062E02"/>
    <w:rsid w:val="00064ABB"/>
    <w:rsid w:val="00076A3C"/>
    <w:rsid w:val="000806A3"/>
    <w:rsid w:val="00081824"/>
    <w:rsid w:val="00090BBB"/>
    <w:rsid w:val="00096D51"/>
    <w:rsid w:val="000A3B02"/>
    <w:rsid w:val="000A4A93"/>
    <w:rsid w:val="000A5255"/>
    <w:rsid w:val="000A7277"/>
    <w:rsid w:val="000B0F7E"/>
    <w:rsid w:val="000B2270"/>
    <w:rsid w:val="000B57CF"/>
    <w:rsid w:val="000C3DC6"/>
    <w:rsid w:val="000C3E53"/>
    <w:rsid w:val="000C42FC"/>
    <w:rsid w:val="000C4BAD"/>
    <w:rsid w:val="000C6E46"/>
    <w:rsid w:val="000D17F5"/>
    <w:rsid w:val="000D45A1"/>
    <w:rsid w:val="000E201A"/>
    <w:rsid w:val="000E51FA"/>
    <w:rsid w:val="000E5E70"/>
    <w:rsid w:val="000E687A"/>
    <w:rsid w:val="000E7C01"/>
    <w:rsid w:val="000F04D0"/>
    <w:rsid w:val="000F0879"/>
    <w:rsid w:val="000F4C5E"/>
    <w:rsid w:val="000F50B7"/>
    <w:rsid w:val="000F562D"/>
    <w:rsid w:val="000F6E3C"/>
    <w:rsid w:val="0010300F"/>
    <w:rsid w:val="0010379E"/>
    <w:rsid w:val="001073B8"/>
    <w:rsid w:val="00117066"/>
    <w:rsid w:val="0012080E"/>
    <w:rsid w:val="0012130E"/>
    <w:rsid w:val="00121468"/>
    <w:rsid w:val="0012684E"/>
    <w:rsid w:val="00127FB4"/>
    <w:rsid w:val="001348C7"/>
    <w:rsid w:val="0013761F"/>
    <w:rsid w:val="00141EEC"/>
    <w:rsid w:val="00142F93"/>
    <w:rsid w:val="00143DA0"/>
    <w:rsid w:val="001471ED"/>
    <w:rsid w:val="0014737C"/>
    <w:rsid w:val="00150259"/>
    <w:rsid w:val="00153383"/>
    <w:rsid w:val="0015742D"/>
    <w:rsid w:val="00161D1A"/>
    <w:rsid w:val="0016510E"/>
    <w:rsid w:val="00165DA8"/>
    <w:rsid w:val="001662A9"/>
    <w:rsid w:val="00167703"/>
    <w:rsid w:val="00171857"/>
    <w:rsid w:val="0017394F"/>
    <w:rsid w:val="001740EB"/>
    <w:rsid w:val="00176C16"/>
    <w:rsid w:val="0017730A"/>
    <w:rsid w:val="0018027A"/>
    <w:rsid w:val="0018046C"/>
    <w:rsid w:val="00191E78"/>
    <w:rsid w:val="00193B63"/>
    <w:rsid w:val="00193BA1"/>
    <w:rsid w:val="00196B94"/>
    <w:rsid w:val="001B2D8A"/>
    <w:rsid w:val="001B3615"/>
    <w:rsid w:val="001B4598"/>
    <w:rsid w:val="001B4819"/>
    <w:rsid w:val="001B48CB"/>
    <w:rsid w:val="001C1534"/>
    <w:rsid w:val="001C4CC1"/>
    <w:rsid w:val="001D151A"/>
    <w:rsid w:val="001D5D9B"/>
    <w:rsid w:val="001E24C1"/>
    <w:rsid w:val="001E3056"/>
    <w:rsid w:val="001E48C8"/>
    <w:rsid w:val="001E5695"/>
    <w:rsid w:val="001E6155"/>
    <w:rsid w:val="0020226C"/>
    <w:rsid w:val="00204CA6"/>
    <w:rsid w:val="00206B44"/>
    <w:rsid w:val="00207BCE"/>
    <w:rsid w:val="00210EF6"/>
    <w:rsid w:val="00211229"/>
    <w:rsid w:val="00212F35"/>
    <w:rsid w:val="00213776"/>
    <w:rsid w:val="002167A8"/>
    <w:rsid w:val="00220088"/>
    <w:rsid w:val="002231BF"/>
    <w:rsid w:val="002238E5"/>
    <w:rsid w:val="00233C3C"/>
    <w:rsid w:val="00233C6D"/>
    <w:rsid w:val="002369F2"/>
    <w:rsid w:val="00244807"/>
    <w:rsid w:val="00245902"/>
    <w:rsid w:val="00247B19"/>
    <w:rsid w:val="0025399F"/>
    <w:rsid w:val="00272D1E"/>
    <w:rsid w:val="002754D8"/>
    <w:rsid w:val="002757F0"/>
    <w:rsid w:val="002800C5"/>
    <w:rsid w:val="0028289C"/>
    <w:rsid w:val="00283838"/>
    <w:rsid w:val="00284C8A"/>
    <w:rsid w:val="002856E1"/>
    <w:rsid w:val="00285FB4"/>
    <w:rsid w:val="002912A7"/>
    <w:rsid w:val="00292568"/>
    <w:rsid w:val="002929B8"/>
    <w:rsid w:val="00294114"/>
    <w:rsid w:val="00294E30"/>
    <w:rsid w:val="002A19E4"/>
    <w:rsid w:val="002A1E37"/>
    <w:rsid w:val="002A2729"/>
    <w:rsid w:val="002A3918"/>
    <w:rsid w:val="002A554A"/>
    <w:rsid w:val="002B02A3"/>
    <w:rsid w:val="002C6134"/>
    <w:rsid w:val="002E082A"/>
    <w:rsid w:val="002E1EEC"/>
    <w:rsid w:val="002E703F"/>
    <w:rsid w:val="002F0615"/>
    <w:rsid w:val="002F30AA"/>
    <w:rsid w:val="002F39A3"/>
    <w:rsid w:val="00300F41"/>
    <w:rsid w:val="00310029"/>
    <w:rsid w:val="00311DAF"/>
    <w:rsid w:val="00315C8B"/>
    <w:rsid w:val="0031638A"/>
    <w:rsid w:val="00316597"/>
    <w:rsid w:val="003202ED"/>
    <w:rsid w:val="003204FF"/>
    <w:rsid w:val="00324245"/>
    <w:rsid w:val="003325C0"/>
    <w:rsid w:val="003366C1"/>
    <w:rsid w:val="0033693B"/>
    <w:rsid w:val="00337192"/>
    <w:rsid w:val="00340B40"/>
    <w:rsid w:val="003414B0"/>
    <w:rsid w:val="003458D7"/>
    <w:rsid w:val="00345C84"/>
    <w:rsid w:val="003470FF"/>
    <w:rsid w:val="003504CE"/>
    <w:rsid w:val="00351515"/>
    <w:rsid w:val="00352048"/>
    <w:rsid w:val="003521B3"/>
    <w:rsid w:val="0035315B"/>
    <w:rsid w:val="00354DFA"/>
    <w:rsid w:val="00357F85"/>
    <w:rsid w:val="00365157"/>
    <w:rsid w:val="0037012A"/>
    <w:rsid w:val="0037230C"/>
    <w:rsid w:val="003724BA"/>
    <w:rsid w:val="00374A10"/>
    <w:rsid w:val="0038171B"/>
    <w:rsid w:val="00390FA1"/>
    <w:rsid w:val="00395E13"/>
    <w:rsid w:val="003969E9"/>
    <w:rsid w:val="003A1760"/>
    <w:rsid w:val="003A4CE2"/>
    <w:rsid w:val="003B13EC"/>
    <w:rsid w:val="003B1EC4"/>
    <w:rsid w:val="003B42D5"/>
    <w:rsid w:val="003C0382"/>
    <w:rsid w:val="003C2823"/>
    <w:rsid w:val="003C2889"/>
    <w:rsid w:val="003C3E35"/>
    <w:rsid w:val="003C6767"/>
    <w:rsid w:val="003C68E4"/>
    <w:rsid w:val="003C6B86"/>
    <w:rsid w:val="003C7511"/>
    <w:rsid w:val="003D0EF9"/>
    <w:rsid w:val="003D20CC"/>
    <w:rsid w:val="003D30FA"/>
    <w:rsid w:val="003D5E64"/>
    <w:rsid w:val="003E2E2E"/>
    <w:rsid w:val="003E3B3D"/>
    <w:rsid w:val="003E4735"/>
    <w:rsid w:val="003E5F9A"/>
    <w:rsid w:val="003E6F1C"/>
    <w:rsid w:val="003F1E6B"/>
    <w:rsid w:val="003F4D15"/>
    <w:rsid w:val="003F7203"/>
    <w:rsid w:val="00400D76"/>
    <w:rsid w:val="00402157"/>
    <w:rsid w:val="004031B7"/>
    <w:rsid w:val="00407878"/>
    <w:rsid w:val="00407BBF"/>
    <w:rsid w:val="00410657"/>
    <w:rsid w:val="00415AE9"/>
    <w:rsid w:val="00417C15"/>
    <w:rsid w:val="00421296"/>
    <w:rsid w:val="00421F93"/>
    <w:rsid w:val="00424920"/>
    <w:rsid w:val="004253C5"/>
    <w:rsid w:val="00426B56"/>
    <w:rsid w:val="00427341"/>
    <w:rsid w:val="00430AE3"/>
    <w:rsid w:val="00430D78"/>
    <w:rsid w:val="004363DF"/>
    <w:rsid w:val="004447F3"/>
    <w:rsid w:val="00446DF2"/>
    <w:rsid w:val="0044753A"/>
    <w:rsid w:val="00447580"/>
    <w:rsid w:val="004521D0"/>
    <w:rsid w:val="00457F34"/>
    <w:rsid w:val="00463B1B"/>
    <w:rsid w:val="0046533B"/>
    <w:rsid w:val="00465FDC"/>
    <w:rsid w:val="00470040"/>
    <w:rsid w:val="00481C88"/>
    <w:rsid w:val="0048459E"/>
    <w:rsid w:val="004845DF"/>
    <w:rsid w:val="00484D33"/>
    <w:rsid w:val="00484FE7"/>
    <w:rsid w:val="0049082C"/>
    <w:rsid w:val="0049324B"/>
    <w:rsid w:val="00496A2E"/>
    <w:rsid w:val="004A12A6"/>
    <w:rsid w:val="004A12D0"/>
    <w:rsid w:val="004A2102"/>
    <w:rsid w:val="004A4B36"/>
    <w:rsid w:val="004A665C"/>
    <w:rsid w:val="004B214D"/>
    <w:rsid w:val="004B544B"/>
    <w:rsid w:val="004C24E9"/>
    <w:rsid w:val="004D671B"/>
    <w:rsid w:val="004D6885"/>
    <w:rsid w:val="004D7EB1"/>
    <w:rsid w:val="004F18B2"/>
    <w:rsid w:val="004F2C82"/>
    <w:rsid w:val="00500CF6"/>
    <w:rsid w:val="00501216"/>
    <w:rsid w:val="00501614"/>
    <w:rsid w:val="00504A4D"/>
    <w:rsid w:val="00504C83"/>
    <w:rsid w:val="0050502F"/>
    <w:rsid w:val="00505AA1"/>
    <w:rsid w:val="00505F6E"/>
    <w:rsid w:val="00511FC0"/>
    <w:rsid w:val="0051663B"/>
    <w:rsid w:val="00517493"/>
    <w:rsid w:val="0052278C"/>
    <w:rsid w:val="005361BD"/>
    <w:rsid w:val="00542D61"/>
    <w:rsid w:val="00545B8F"/>
    <w:rsid w:val="00547233"/>
    <w:rsid w:val="00552DA5"/>
    <w:rsid w:val="00553181"/>
    <w:rsid w:val="005546A8"/>
    <w:rsid w:val="00554864"/>
    <w:rsid w:val="00555319"/>
    <w:rsid w:val="005601A9"/>
    <w:rsid w:val="005615A7"/>
    <w:rsid w:val="00561695"/>
    <w:rsid w:val="0056639C"/>
    <w:rsid w:val="0058561A"/>
    <w:rsid w:val="00586DEC"/>
    <w:rsid w:val="00586E1D"/>
    <w:rsid w:val="005953BC"/>
    <w:rsid w:val="00597C6F"/>
    <w:rsid w:val="005A0D18"/>
    <w:rsid w:val="005A415D"/>
    <w:rsid w:val="005A5817"/>
    <w:rsid w:val="005A6491"/>
    <w:rsid w:val="005A66C2"/>
    <w:rsid w:val="005A70BF"/>
    <w:rsid w:val="005B230A"/>
    <w:rsid w:val="005B3E15"/>
    <w:rsid w:val="005B6B8D"/>
    <w:rsid w:val="005C5F65"/>
    <w:rsid w:val="005C6062"/>
    <w:rsid w:val="005C6451"/>
    <w:rsid w:val="005D08C4"/>
    <w:rsid w:val="005E22C9"/>
    <w:rsid w:val="005E4649"/>
    <w:rsid w:val="005E7DCC"/>
    <w:rsid w:val="005F3902"/>
    <w:rsid w:val="005F4A06"/>
    <w:rsid w:val="005F58FB"/>
    <w:rsid w:val="005F5D78"/>
    <w:rsid w:val="005F5DEF"/>
    <w:rsid w:val="00601150"/>
    <w:rsid w:val="00601BBD"/>
    <w:rsid w:val="00615156"/>
    <w:rsid w:val="0061578A"/>
    <w:rsid w:val="0061629E"/>
    <w:rsid w:val="006162C1"/>
    <w:rsid w:val="00616303"/>
    <w:rsid w:val="006211E1"/>
    <w:rsid w:val="006247CE"/>
    <w:rsid w:val="0062734B"/>
    <w:rsid w:val="00630EFF"/>
    <w:rsid w:val="00633CD8"/>
    <w:rsid w:val="00636673"/>
    <w:rsid w:val="00640BF2"/>
    <w:rsid w:val="00642B95"/>
    <w:rsid w:val="006435B6"/>
    <w:rsid w:val="00644462"/>
    <w:rsid w:val="006474D2"/>
    <w:rsid w:val="0065099B"/>
    <w:rsid w:val="00654EE3"/>
    <w:rsid w:val="006566CD"/>
    <w:rsid w:val="00660DC9"/>
    <w:rsid w:val="00662EF2"/>
    <w:rsid w:val="00664022"/>
    <w:rsid w:val="0066675E"/>
    <w:rsid w:val="0067053A"/>
    <w:rsid w:val="006714D1"/>
    <w:rsid w:val="00677A91"/>
    <w:rsid w:val="00682D44"/>
    <w:rsid w:val="0068303E"/>
    <w:rsid w:val="00683DBE"/>
    <w:rsid w:val="00684176"/>
    <w:rsid w:val="006844B0"/>
    <w:rsid w:val="00686FCD"/>
    <w:rsid w:val="00690157"/>
    <w:rsid w:val="00690B26"/>
    <w:rsid w:val="006923FD"/>
    <w:rsid w:val="006A09E7"/>
    <w:rsid w:val="006A0B4E"/>
    <w:rsid w:val="006A2B3F"/>
    <w:rsid w:val="006A31BB"/>
    <w:rsid w:val="006A563E"/>
    <w:rsid w:val="006A5E45"/>
    <w:rsid w:val="006A6B54"/>
    <w:rsid w:val="006B11CE"/>
    <w:rsid w:val="006B154A"/>
    <w:rsid w:val="006B19F7"/>
    <w:rsid w:val="006B5704"/>
    <w:rsid w:val="006B5DAC"/>
    <w:rsid w:val="006B6D95"/>
    <w:rsid w:val="006C2652"/>
    <w:rsid w:val="006C53ED"/>
    <w:rsid w:val="006C6903"/>
    <w:rsid w:val="006D02DC"/>
    <w:rsid w:val="006D03AA"/>
    <w:rsid w:val="006D0E5D"/>
    <w:rsid w:val="006D4E2B"/>
    <w:rsid w:val="006E34E4"/>
    <w:rsid w:val="006E3C40"/>
    <w:rsid w:val="006E42A9"/>
    <w:rsid w:val="006E5155"/>
    <w:rsid w:val="006E522B"/>
    <w:rsid w:val="006E557B"/>
    <w:rsid w:val="006E73B9"/>
    <w:rsid w:val="006E77C0"/>
    <w:rsid w:val="006F0B86"/>
    <w:rsid w:val="006F1EF6"/>
    <w:rsid w:val="006F7C73"/>
    <w:rsid w:val="00700CC4"/>
    <w:rsid w:val="00702DA1"/>
    <w:rsid w:val="00707CAF"/>
    <w:rsid w:val="00710FD9"/>
    <w:rsid w:val="00713C91"/>
    <w:rsid w:val="007154C1"/>
    <w:rsid w:val="00716A2D"/>
    <w:rsid w:val="0072246D"/>
    <w:rsid w:val="00723EE1"/>
    <w:rsid w:val="00724F3C"/>
    <w:rsid w:val="00733979"/>
    <w:rsid w:val="00733E99"/>
    <w:rsid w:val="007349E3"/>
    <w:rsid w:val="00741025"/>
    <w:rsid w:val="007425AB"/>
    <w:rsid w:val="00756B54"/>
    <w:rsid w:val="00757DB9"/>
    <w:rsid w:val="00760FFF"/>
    <w:rsid w:val="007619B3"/>
    <w:rsid w:val="00763C6D"/>
    <w:rsid w:val="00771A66"/>
    <w:rsid w:val="0077321B"/>
    <w:rsid w:val="00774612"/>
    <w:rsid w:val="00776F15"/>
    <w:rsid w:val="007773AC"/>
    <w:rsid w:val="00785236"/>
    <w:rsid w:val="00792018"/>
    <w:rsid w:val="00796047"/>
    <w:rsid w:val="007A04FD"/>
    <w:rsid w:val="007A2ABB"/>
    <w:rsid w:val="007A3836"/>
    <w:rsid w:val="007A4FC5"/>
    <w:rsid w:val="007B2070"/>
    <w:rsid w:val="007B4E86"/>
    <w:rsid w:val="007B7744"/>
    <w:rsid w:val="007B7DE0"/>
    <w:rsid w:val="007B7E35"/>
    <w:rsid w:val="007C00E6"/>
    <w:rsid w:val="007C0237"/>
    <w:rsid w:val="007C3EBD"/>
    <w:rsid w:val="007C4EAB"/>
    <w:rsid w:val="007C6E1E"/>
    <w:rsid w:val="007C7824"/>
    <w:rsid w:val="007D03A3"/>
    <w:rsid w:val="007D459F"/>
    <w:rsid w:val="007D4A8A"/>
    <w:rsid w:val="007D63CE"/>
    <w:rsid w:val="007D7235"/>
    <w:rsid w:val="007E126A"/>
    <w:rsid w:val="007E1556"/>
    <w:rsid w:val="007F0F35"/>
    <w:rsid w:val="007F446F"/>
    <w:rsid w:val="007F5466"/>
    <w:rsid w:val="008051A7"/>
    <w:rsid w:val="00806985"/>
    <w:rsid w:val="008119A9"/>
    <w:rsid w:val="008150D5"/>
    <w:rsid w:val="008173DB"/>
    <w:rsid w:val="00822193"/>
    <w:rsid w:val="008255C7"/>
    <w:rsid w:val="00825EB5"/>
    <w:rsid w:val="00831AD2"/>
    <w:rsid w:val="008326F1"/>
    <w:rsid w:val="00833533"/>
    <w:rsid w:val="00833792"/>
    <w:rsid w:val="008353F0"/>
    <w:rsid w:val="00844404"/>
    <w:rsid w:val="00844EA1"/>
    <w:rsid w:val="00846E44"/>
    <w:rsid w:val="008509BE"/>
    <w:rsid w:val="0085264E"/>
    <w:rsid w:val="00853F12"/>
    <w:rsid w:val="00853FC4"/>
    <w:rsid w:val="008555DE"/>
    <w:rsid w:val="00855658"/>
    <w:rsid w:val="00860B9E"/>
    <w:rsid w:val="0086223F"/>
    <w:rsid w:val="008624E2"/>
    <w:rsid w:val="0086270F"/>
    <w:rsid w:val="00863A38"/>
    <w:rsid w:val="00864519"/>
    <w:rsid w:val="008653CC"/>
    <w:rsid w:val="00867F57"/>
    <w:rsid w:val="0087175B"/>
    <w:rsid w:val="008739CB"/>
    <w:rsid w:val="00873D0F"/>
    <w:rsid w:val="008770E9"/>
    <w:rsid w:val="0088113C"/>
    <w:rsid w:val="00885048"/>
    <w:rsid w:val="00885F18"/>
    <w:rsid w:val="0089156D"/>
    <w:rsid w:val="008923E1"/>
    <w:rsid w:val="008924CA"/>
    <w:rsid w:val="00895C40"/>
    <w:rsid w:val="00897206"/>
    <w:rsid w:val="008A129D"/>
    <w:rsid w:val="008A1AC9"/>
    <w:rsid w:val="008A2E5B"/>
    <w:rsid w:val="008A6D05"/>
    <w:rsid w:val="008A78E7"/>
    <w:rsid w:val="008A7EC7"/>
    <w:rsid w:val="008B1DDB"/>
    <w:rsid w:val="008C0814"/>
    <w:rsid w:val="008C2196"/>
    <w:rsid w:val="008C4C23"/>
    <w:rsid w:val="008D0F9C"/>
    <w:rsid w:val="008D66A9"/>
    <w:rsid w:val="008E129B"/>
    <w:rsid w:val="008E407B"/>
    <w:rsid w:val="008F63B3"/>
    <w:rsid w:val="008F6C0F"/>
    <w:rsid w:val="00902987"/>
    <w:rsid w:val="0090528A"/>
    <w:rsid w:val="00907BBD"/>
    <w:rsid w:val="00912C24"/>
    <w:rsid w:val="00915EBA"/>
    <w:rsid w:val="0092135E"/>
    <w:rsid w:val="00922F8F"/>
    <w:rsid w:val="0092318D"/>
    <w:rsid w:val="00926FC3"/>
    <w:rsid w:val="00937FB2"/>
    <w:rsid w:val="00947A8C"/>
    <w:rsid w:val="0095600B"/>
    <w:rsid w:val="00964991"/>
    <w:rsid w:val="00964F05"/>
    <w:rsid w:val="00965FAA"/>
    <w:rsid w:val="009777C7"/>
    <w:rsid w:val="009804A8"/>
    <w:rsid w:val="009874C6"/>
    <w:rsid w:val="00992E21"/>
    <w:rsid w:val="00994CFE"/>
    <w:rsid w:val="009A0BD5"/>
    <w:rsid w:val="009A1259"/>
    <w:rsid w:val="009A4CDC"/>
    <w:rsid w:val="009B12AD"/>
    <w:rsid w:val="009B7BD3"/>
    <w:rsid w:val="009C256C"/>
    <w:rsid w:val="009D24C2"/>
    <w:rsid w:val="009D4549"/>
    <w:rsid w:val="009E00E3"/>
    <w:rsid w:val="009E2CB7"/>
    <w:rsid w:val="009E65C0"/>
    <w:rsid w:val="009F0396"/>
    <w:rsid w:val="009F0AC2"/>
    <w:rsid w:val="009F2F16"/>
    <w:rsid w:val="00A00585"/>
    <w:rsid w:val="00A03C6A"/>
    <w:rsid w:val="00A10756"/>
    <w:rsid w:val="00A124D5"/>
    <w:rsid w:val="00A15DD5"/>
    <w:rsid w:val="00A1796E"/>
    <w:rsid w:val="00A22ADD"/>
    <w:rsid w:val="00A27FA6"/>
    <w:rsid w:val="00A3251B"/>
    <w:rsid w:val="00A34D30"/>
    <w:rsid w:val="00A34EE3"/>
    <w:rsid w:val="00A35BB8"/>
    <w:rsid w:val="00A36EB9"/>
    <w:rsid w:val="00A4202C"/>
    <w:rsid w:val="00A42064"/>
    <w:rsid w:val="00A424AC"/>
    <w:rsid w:val="00A433AA"/>
    <w:rsid w:val="00A439B0"/>
    <w:rsid w:val="00A60DA6"/>
    <w:rsid w:val="00A629A8"/>
    <w:rsid w:val="00A649E7"/>
    <w:rsid w:val="00A67BBD"/>
    <w:rsid w:val="00A7023E"/>
    <w:rsid w:val="00A70EDD"/>
    <w:rsid w:val="00A71CAA"/>
    <w:rsid w:val="00A802F7"/>
    <w:rsid w:val="00A80C25"/>
    <w:rsid w:val="00A80FBE"/>
    <w:rsid w:val="00A8182A"/>
    <w:rsid w:val="00A81DEE"/>
    <w:rsid w:val="00A91D4E"/>
    <w:rsid w:val="00A93999"/>
    <w:rsid w:val="00A96295"/>
    <w:rsid w:val="00A975C1"/>
    <w:rsid w:val="00AA14E7"/>
    <w:rsid w:val="00AA282F"/>
    <w:rsid w:val="00AA6D85"/>
    <w:rsid w:val="00AB65AA"/>
    <w:rsid w:val="00AC13F4"/>
    <w:rsid w:val="00AC33C6"/>
    <w:rsid w:val="00AC3F61"/>
    <w:rsid w:val="00AC56D3"/>
    <w:rsid w:val="00AC743C"/>
    <w:rsid w:val="00AD2B7D"/>
    <w:rsid w:val="00AD2B8A"/>
    <w:rsid w:val="00AD780A"/>
    <w:rsid w:val="00AE4675"/>
    <w:rsid w:val="00AE546A"/>
    <w:rsid w:val="00AF0C2E"/>
    <w:rsid w:val="00AF1308"/>
    <w:rsid w:val="00AF2E72"/>
    <w:rsid w:val="00AF5EAC"/>
    <w:rsid w:val="00AF72EB"/>
    <w:rsid w:val="00B0132A"/>
    <w:rsid w:val="00B11B7B"/>
    <w:rsid w:val="00B158CB"/>
    <w:rsid w:val="00B17D38"/>
    <w:rsid w:val="00B21804"/>
    <w:rsid w:val="00B21985"/>
    <w:rsid w:val="00B236D8"/>
    <w:rsid w:val="00B42B08"/>
    <w:rsid w:val="00B453DC"/>
    <w:rsid w:val="00B63A10"/>
    <w:rsid w:val="00B663AB"/>
    <w:rsid w:val="00B66B19"/>
    <w:rsid w:val="00B76DE9"/>
    <w:rsid w:val="00B77395"/>
    <w:rsid w:val="00B77DE1"/>
    <w:rsid w:val="00B82DF7"/>
    <w:rsid w:val="00B93E5F"/>
    <w:rsid w:val="00B958BA"/>
    <w:rsid w:val="00B962BF"/>
    <w:rsid w:val="00B96E0E"/>
    <w:rsid w:val="00B97B71"/>
    <w:rsid w:val="00BA104A"/>
    <w:rsid w:val="00BB1870"/>
    <w:rsid w:val="00BB4FFF"/>
    <w:rsid w:val="00BD0A56"/>
    <w:rsid w:val="00BE2224"/>
    <w:rsid w:val="00BE33E3"/>
    <w:rsid w:val="00BE788A"/>
    <w:rsid w:val="00BF06A5"/>
    <w:rsid w:val="00BF2BEC"/>
    <w:rsid w:val="00BF34C6"/>
    <w:rsid w:val="00C01FF9"/>
    <w:rsid w:val="00C0292E"/>
    <w:rsid w:val="00C04B0E"/>
    <w:rsid w:val="00C050C9"/>
    <w:rsid w:val="00C05564"/>
    <w:rsid w:val="00C14F08"/>
    <w:rsid w:val="00C15A7F"/>
    <w:rsid w:val="00C17582"/>
    <w:rsid w:val="00C22F42"/>
    <w:rsid w:val="00C240DF"/>
    <w:rsid w:val="00C24A03"/>
    <w:rsid w:val="00C25A16"/>
    <w:rsid w:val="00C332DE"/>
    <w:rsid w:val="00C35AE6"/>
    <w:rsid w:val="00C35F34"/>
    <w:rsid w:val="00C55EC2"/>
    <w:rsid w:val="00C5712B"/>
    <w:rsid w:val="00C63194"/>
    <w:rsid w:val="00C63391"/>
    <w:rsid w:val="00C66445"/>
    <w:rsid w:val="00C74E36"/>
    <w:rsid w:val="00C76854"/>
    <w:rsid w:val="00C77169"/>
    <w:rsid w:val="00C77411"/>
    <w:rsid w:val="00C808A9"/>
    <w:rsid w:val="00C85248"/>
    <w:rsid w:val="00C860FB"/>
    <w:rsid w:val="00C8788C"/>
    <w:rsid w:val="00C906EC"/>
    <w:rsid w:val="00C956DF"/>
    <w:rsid w:val="00C96454"/>
    <w:rsid w:val="00CA268A"/>
    <w:rsid w:val="00CA4A2B"/>
    <w:rsid w:val="00CA78DD"/>
    <w:rsid w:val="00CB0D15"/>
    <w:rsid w:val="00CB20B2"/>
    <w:rsid w:val="00CB2503"/>
    <w:rsid w:val="00CB3AFB"/>
    <w:rsid w:val="00CB4DB9"/>
    <w:rsid w:val="00CC17D9"/>
    <w:rsid w:val="00CC5BF0"/>
    <w:rsid w:val="00CD50F3"/>
    <w:rsid w:val="00CD6D6A"/>
    <w:rsid w:val="00CE4A6C"/>
    <w:rsid w:val="00CE6950"/>
    <w:rsid w:val="00CF3964"/>
    <w:rsid w:val="00CF7049"/>
    <w:rsid w:val="00CF7F6C"/>
    <w:rsid w:val="00D02FE3"/>
    <w:rsid w:val="00D10CBB"/>
    <w:rsid w:val="00D127B9"/>
    <w:rsid w:val="00D134CE"/>
    <w:rsid w:val="00D1692F"/>
    <w:rsid w:val="00D22F94"/>
    <w:rsid w:val="00D31952"/>
    <w:rsid w:val="00D31B6A"/>
    <w:rsid w:val="00D3360D"/>
    <w:rsid w:val="00D3373C"/>
    <w:rsid w:val="00D34D64"/>
    <w:rsid w:val="00D36320"/>
    <w:rsid w:val="00D4019A"/>
    <w:rsid w:val="00D42865"/>
    <w:rsid w:val="00D43327"/>
    <w:rsid w:val="00D478B5"/>
    <w:rsid w:val="00D52B3B"/>
    <w:rsid w:val="00D52E36"/>
    <w:rsid w:val="00D552FC"/>
    <w:rsid w:val="00D57F7D"/>
    <w:rsid w:val="00D60D2D"/>
    <w:rsid w:val="00D65172"/>
    <w:rsid w:val="00D75DBC"/>
    <w:rsid w:val="00D842FD"/>
    <w:rsid w:val="00D905E4"/>
    <w:rsid w:val="00D90FD8"/>
    <w:rsid w:val="00D912C4"/>
    <w:rsid w:val="00D964BA"/>
    <w:rsid w:val="00D96639"/>
    <w:rsid w:val="00D97DE4"/>
    <w:rsid w:val="00DA2B03"/>
    <w:rsid w:val="00DA332F"/>
    <w:rsid w:val="00DA3F1D"/>
    <w:rsid w:val="00DA4E0C"/>
    <w:rsid w:val="00DB0B8E"/>
    <w:rsid w:val="00DB1590"/>
    <w:rsid w:val="00DB42AA"/>
    <w:rsid w:val="00DB4489"/>
    <w:rsid w:val="00DB7D1C"/>
    <w:rsid w:val="00DC027A"/>
    <w:rsid w:val="00DC0AD9"/>
    <w:rsid w:val="00DD650F"/>
    <w:rsid w:val="00DD651B"/>
    <w:rsid w:val="00DE0AE6"/>
    <w:rsid w:val="00DE0B7B"/>
    <w:rsid w:val="00DE3255"/>
    <w:rsid w:val="00DE41F0"/>
    <w:rsid w:val="00DF1F5C"/>
    <w:rsid w:val="00DF4A7A"/>
    <w:rsid w:val="00DF5DA1"/>
    <w:rsid w:val="00E00E1B"/>
    <w:rsid w:val="00E00FDF"/>
    <w:rsid w:val="00E02B6E"/>
    <w:rsid w:val="00E02C94"/>
    <w:rsid w:val="00E05230"/>
    <w:rsid w:val="00E13867"/>
    <w:rsid w:val="00E13A1D"/>
    <w:rsid w:val="00E156EB"/>
    <w:rsid w:val="00E23510"/>
    <w:rsid w:val="00E25969"/>
    <w:rsid w:val="00E26023"/>
    <w:rsid w:val="00E303AF"/>
    <w:rsid w:val="00E34CF6"/>
    <w:rsid w:val="00E36B92"/>
    <w:rsid w:val="00E37DD8"/>
    <w:rsid w:val="00E50CC7"/>
    <w:rsid w:val="00E51266"/>
    <w:rsid w:val="00E51A50"/>
    <w:rsid w:val="00E53D8B"/>
    <w:rsid w:val="00E54DAA"/>
    <w:rsid w:val="00E55495"/>
    <w:rsid w:val="00E558C3"/>
    <w:rsid w:val="00E63CD1"/>
    <w:rsid w:val="00E75408"/>
    <w:rsid w:val="00E77851"/>
    <w:rsid w:val="00E81456"/>
    <w:rsid w:val="00E82176"/>
    <w:rsid w:val="00E858B8"/>
    <w:rsid w:val="00E877EE"/>
    <w:rsid w:val="00E87D02"/>
    <w:rsid w:val="00E91505"/>
    <w:rsid w:val="00E927E5"/>
    <w:rsid w:val="00E928E8"/>
    <w:rsid w:val="00E940B8"/>
    <w:rsid w:val="00E94884"/>
    <w:rsid w:val="00EA240C"/>
    <w:rsid w:val="00EA4FA7"/>
    <w:rsid w:val="00EA5BC8"/>
    <w:rsid w:val="00EA6B5D"/>
    <w:rsid w:val="00EA6CD4"/>
    <w:rsid w:val="00EA788F"/>
    <w:rsid w:val="00EB5796"/>
    <w:rsid w:val="00EB6F17"/>
    <w:rsid w:val="00ED2946"/>
    <w:rsid w:val="00EE1978"/>
    <w:rsid w:val="00EE1F1C"/>
    <w:rsid w:val="00EF2ED0"/>
    <w:rsid w:val="00EF2F5C"/>
    <w:rsid w:val="00EF45EB"/>
    <w:rsid w:val="00EF5740"/>
    <w:rsid w:val="00EF57E7"/>
    <w:rsid w:val="00EF5857"/>
    <w:rsid w:val="00F033F2"/>
    <w:rsid w:val="00F04A6E"/>
    <w:rsid w:val="00F0722B"/>
    <w:rsid w:val="00F07E82"/>
    <w:rsid w:val="00F11A88"/>
    <w:rsid w:val="00F140EB"/>
    <w:rsid w:val="00F15C35"/>
    <w:rsid w:val="00F26D06"/>
    <w:rsid w:val="00F334D0"/>
    <w:rsid w:val="00F44665"/>
    <w:rsid w:val="00F44D75"/>
    <w:rsid w:val="00F554DB"/>
    <w:rsid w:val="00F606EA"/>
    <w:rsid w:val="00F67FE3"/>
    <w:rsid w:val="00F81C54"/>
    <w:rsid w:val="00F851FE"/>
    <w:rsid w:val="00F95C27"/>
    <w:rsid w:val="00F97B1F"/>
    <w:rsid w:val="00FA0C06"/>
    <w:rsid w:val="00FA13A5"/>
    <w:rsid w:val="00FA5336"/>
    <w:rsid w:val="00FA75A0"/>
    <w:rsid w:val="00FB12E7"/>
    <w:rsid w:val="00FB42CF"/>
    <w:rsid w:val="00FB60F0"/>
    <w:rsid w:val="00FC4520"/>
    <w:rsid w:val="00FC48B7"/>
    <w:rsid w:val="00FC50BF"/>
    <w:rsid w:val="00FC52B8"/>
    <w:rsid w:val="00FD4554"/>
    <w:rsid w:val="00FD4C4B"/>
    <w:rsid w:val="00FD68D5"/>
    <w:rsid w:val="00FE38D9"/>
    <w:rsid w:val="00FE5C07"/>
    <w:rsid w:val="00FE6896"/>
    <w:rsid w:val="00FF0F2C"/>
    <w:rsid w:val="00FF1374"/>
    <w:rsid w:val="00FF7C71"/>
    <w:rsid w:val="00FF7FB7"/>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49F3"/>
  <w15:docId w15:val="{F4616BA8-200D-4F1B-B6E6-307BA651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545B8F"/>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1">
    <w:name w:val="Unresolved Mention1"/>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5137">
      <w:bodyDiv w:val="1"/>
      <w:marLeft w:val="0"/>
      <w:marRight w:val="0"/>
      <w:marTop w:val="0"/>
      <w:marBottom w:val="0"/>
      <w:divBdr>
        <w:top w:val="none" w:sz="0" w:space="0" w:color="auto"/>
        <w:left w:val="none" w:sz="0" w:space="0" w:color="auto"/>
        <w:bottom w:val="none" w:sz="0" w:space="0" w:color="auto"/>
        <w:right w:val="none" w:sz="0" w:space="0" w:color="auto"/>
      </w:divBdr>
    </w:div>
    <w:div w:id="664436645">
      <w:bodyDiv w:val="1"/>
      <w:marLeft w:val="0"/>
      <w:marRight w:val="0"/>
      <w:marTop w:val="0"/>
      <w:marBottom w:val="0"/>
      <w:divBdr>
        <w:top w:val="none" w:sz="0" w:space="0" w:color="auto"/>
        <w:left w:val="none" w:sz="0" w:space="0" w:color="auto"/>
        <w:bottom w:val="none" w:sz="0" w:space="0" w:color="auto"/>
        <w:right w:val="none" w:sz="0" w:space="0" w:color="auto"/>
      </w:divBdr>
    </w:div>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714040656">
      <w:bodyDiv w:val="1"/>
      <w:marLeft w:val="0"/>
      <w:marRight w:val="0"/>
      <w:marTop w:val="0"/>
      <w:marBottom w:val="0"/>
      <w:divBdr>
        <w:top w:val="none" w:sz="0" w:space="0" w:color="auto"/>
        <w:left w:val="none" w:sz="0" w:space="0" w:color="auto"/>
        <w:bottom w:val="none" w:sz="0" w:space="0" w:color="auto"/>
        <w:right w:val="none" w:sz="0" w:space="0" w:color="auto"/>
      </w:divBdr>
    </w:div>
    <w:div w:id="801846258">
      <w:bodyDiv w:val="1"/>
      <w:marLeft w:val="0"/>
      <w:marRight w:val="0"/>
      <w:marTop w:val="0"/>
      <w:marBottom w:val="0"/>
      <w:divBdr>
        <w:top w:val="none" w:sz="0" w:space="0" w:color="auto"/>
        <w:left w:val="none" w:sz="0" w:space="0" w:color="auto"/>
        <w:bottom w:val="none" w:sz="0" w:space="0" w:color="auto"/>
        <w:right w:val="none" w:sz="0" w:space="0" w:color="auto"/>
      </w:divBdr>
    </w:div>
    <w:div w:id="822309839">
      <w:bodyDiv w:val="1"/>
      <w:marLeft w:val="0"/>
      <w:marRight w:val="0"/>
      <w:marTop w:val="0"/>
      <w:marBottom w:val="0"/>
      <w:divBdr>
        <w:top w:val="none" w:sz="0" w:space="0" w:color="auto"/>
        <w:left w:val="none" w:sz="0" w:space="0" w:color="auto"/>
        <w:bottom w:val="none" w:sz="0" w:space="0" w:color="auto"/>
        <w:right w:val="none" w:sz="0" w:space="0" w:color="auto"/>
      </w:divBdr>
      <w:divsChild>
        <w:div w:id="717097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175460938">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434083898">
      <w:bodyDiv w:val="1"/>
      <w:marLeft w:val="0"/>
      <w:marRight w:val="0"/>
      <w:marTop w:val="0"/>
      <w:marBottom w:val="0"/>
      <w:divBdr>
        <w:top w:val="none" w:sz="0" w:space="0" w:color="auto"/>
        <w:left w:val="none" w:sz="0" w:space="0" w:color="auto"/>
        <w:bottom w:val="none" w:sz="0" w:space="0" w:color="auto"/>
        <w:right w:val="none" w:sz="0" w:space="0" w:color="auto"/>
      </w:divBdr>
    </w:div>
    <w:div w:id="1444616439">
      <w:bodyDiv w:val="1"/>
      <w:marLeft w:val="0"/>
      <w:marRight w:val="0"/>
      <w:marTop w:val="0"/>
      <w:marBottom w:val="0"/>
      <w:divBdr>
        <w:top w:val="none" w:sz="0" w:space="0" w:color="auto"/>
        <w:left w:val="none" w:sz="0" w:space="0" w:color="auto"/>
        <w:bottom w:val="none" w:sz="0" w:space="0" w:color="auto"/>
        <w:right w:val="none" w:sz="0" w:space="0" w:color="auto"/>
      </w:divBdr>
    </w:div>
    <w:div w:id="1677222819">
      <w:bodyDiv w:val="1"/>
      <w:marLeft w:val="0"/>
      <w:marRight w:val="0"/>
      <w:marTop w:val="0"/>
      <w:marBottom w:val="0"/>
      <w:divBdr>
        <w:top w:val="none" w:sz="0" w:space="0" w:color="auto"/>
        <w:left w:val="none" w:sz="0" w:space="0" w:color="auto"/>
        <w:bottom w:val="none" w:sz="0" w:space="0" w:color="auto"/>
        <w:right w:val="none" w:sz="0" w:space="0" w:color="auto"/>
      </w:divBdr>
    </w:div>
    <w:div w:id="1883863398">
      <w:bodyDiv w:val="1"/>
      <w:marLeft w:val="0"/>
      <w:marRight w:val="0"/>
      <w:marTop w:val="0"/>
      <w:marBottom w:val="0"/>
      <w:divBdr>
        <w:top w:val="none" w:sz="0" w:space="0" w:color="auto"/>
        <w:left w:val="none" w:sz="0" w:space="0" w:color="auto"/>
        <w:bottom w:val="none" w:sz="0" w:space="0" w:color="auto"/>
        <w:right w:val="none" w:sz="0" w:space="0" w:color="auto"/>
      </w:divBdr>
    </w:div>
    <w:div w:id="2019042913">
      <w:bodyDiv w:val="1"/>
      <w:marLeft w:val="0"/>
      <w:marRight w:val="0"/>
      <w:marTop w:val="0"/>
      <w:marBottom w:val="0"/>
      <w:divBdr>
        <w:top w:val="none" w:sz="0" w:space="0" w:color="auto"/>
        <w:left w:val="none" w:sz="0" w:space="0" w:color="auto"/>
        <w:bottom w:val="none" w:sz="0" w:space="0" w:color="auto"/>
        <w:right w:val="none" w:sz="0" w:space="0" w:color="auto"/>
      </w:divBdr>
    </w:div>
    <w:div w:id="2121685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0BF16.DA35A980" TargetMode="External"/><Relationship Id="rId13" Type="http://schemas.openxmlformats.org/officeDocument/2006/relationships/hyperlink" Target="mailto:mahlakuk@gwinaattorneys.co.za"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lukazana@thulamelachambers.co.za%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ana@phattorneys.co.za%20%20%20%20%20%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kaba@mweb.co.za" TargetMode="External"/><Relationship Id="rId5" Type="http://schemas.openxmlformats.org/officeDocument/2006/relationships/footnotes" Target="footnotes.xml"/><Relationship Id="rId15" Type="http://schemas.openxmlformats.org/officeDocument/2006/relationships/hyperlink" Target="mailto:mabokelag@gwinaattorneys.co.za" TargetMode="External"/><Relationship Id="rId10" Type="http://schemas.openxmlformats.org/officeDocument/2006/relationships/hyperlink" Target="mailto:jaco@wminc.co.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inus.cvdm@gmail.com" TargetMode="External"/><Relationship Id="rId14" Type="http://schemas.openxmlformats.org/officeDocument/2006/relationships/hyperlink" Target="mailto:mthembun@gwinaattorneys.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Template>
  <TotalTime>3</TotalTime>
  <Pages>11</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VL</dc:creator>
  <cp:keywords/>
  <dc:description/>
  <cp:lastModifiedBy>Lilitha Mdleleni</cp:lastModifiedBy>
  <cp:revision>3</cp:revision>
  <cp:lastPrinted>2023-11-30T06:29:00Z</cp:lastPrinted>
  <dcterms:created xsi:type="dcterms:W3CDTF">2023-12-01T07:04:00Z</dcterms:created>
  <dcterms:modified xsi:type="dcterms:W3CDTF">2023-12-06T11:27:00Z</dcterms:modified>
</cp:coreProperties>
</file>