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E365A" w14:textId="77777777" w:rsidR="007B7F59" w:rsidRPr="009E72F9" w:rsidRDefault="007B7F59" w:rsidP="007B7F59">
      <w:pPr>
        <w:tabs>
          <w:tab w:val="left" w:pos="2342"/>
          <w:tab w:val="center" w:pos="4513"/>
        </w:tabs>
        <w:spacing w:after="0" w:line="240" w:lineRule="auto"/>
        <w:ind w:left="0"/>
        <w:jc w:val="center"/>
        <w:outlineLvl w:val="0"/>
        <w:rPr>
          <w:rFonts w:eastAsia="Times New Roman" w:cs="Arial"/>
          <w:b/>
          <w:szCs w:val="24"/>
          <w:lang w:eastAsia="en-ZA"/>
        </w:rPr>
      </w:pPr>
      <w:r w:rsidRPr="009E72F9">
        <w:rPr>
          <w:rFonts w:eastAsia="Times New Roman" w:cs="Arial"/>
          <w:b/>
          <w:szCs w:val="24"/>
          <w:lang w:eastAsia="en-ZA"/>
        </w:rPr>
        <w:t>REPUBLIC OF SOUTH AFRICA</w:t>
      </w:r>
    </w:p>
    <w:p w14:paraId="4E57D5F7" w14:textId="77777777" w:rsidR="007B7F59" w:rsidRPr="009E72F9" w:rsidRDefault="007B7F59" w:rsidP="007B7F59">
      <w:pPr>
        <w:tabs>
          <w:tab w:val="left" w:pos="2342"/>
          <w:tab w:val="center" w:pos="4513"/>
        </w:tabs>
        <w:spacing w:after="0" w:line="240" w:lineRule="auto"/>
        <w:ind w:left="0"/>
        <w:jc w:val="center"/>
        <w:outlineLvl w:val="0"/>
        <w:rPr>
          <w:rFonts w:eastAsia="Times New Roman" w:cs="Arial"/>
          <w:b/>
          <w:szCs w:val="24"/>
          <w:lang w:eastAsia="en-ZA"/>
        </w:rPr>
      </w:pPr>
    </w:p>
    <w:p w14:paraId="1AB83235" w14:textId="77777777" w:rsidR="007B7F59" w:rsidRPr="009E72F9" w:rsidRDefault="007B7F59" w:rsidP="007B7F59">
      <w:pPr>
        <w:tabs>
          <w:tab w:val="left" w:pos="2342"/>
          <w:tab w:val="center" w:pos="4513"/>
        </w:tabs>
        <w:spacing w:after="0" w:line="240" w:lineRule="auto"/>
        <w:ind w:left="0"/>
        <w:jc w:val="center"/>
        <w:outlineLvl w:val="0"/>
        <w:rPr>
          <w:rFonts w:eastAsia="Times New Roman" w:cs="Arial"/>
          <w:szCs w:val="24"/>
        </w:rPr>
      </w:pPr>
      <w:r w:rsidRPr="009E72F9">
        <w:rPr>
          <w:rFonts w:eastAsia="Times New Roman" w:cs="Arial"/>
          <w:noProof/>
          <w:szCs w:val="24"/>
          <w:lang w:val="en-ZA" w:eastAsia="en-ZA"/>
        </w:rPr>
        <w:drawing>
          <wp:inline distT="0" distB="0" distL="0" distR="0" wp14:anchorId="1C74716E" wp14:editId="3A3046ED">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76AEE0D" w14:textId="77777777" w:rsidR="007B7F59" w:rsidRPr="009E72F9" w:rsidRDefault="007B7F59" w:rsidP="007B7F59">
      <w:pPr>
        <w:spacing w:after="0" w:line="240" w:lineRule="auto"/>
        <w:ind w:left="0"/>
        <w:jc w:val="center"/>
        <w:outlineLvl w:val="0"/>
        <w:rPr>
          <w:rFonts w:eastAsia="Times New Roman" w:cs="Arial"/>
          <w:b/>
          <w:szCs w:val="24"/>
        </w:rPr>
      </w:pPr>
    </w:p>
    <w:p w14:paraId="4C3B378C" w14:textId="77777777" w:rsidR="007B7F59" w:rsidRPr="009E72F9" w:rsidRDefault="007B7F59" w:rsidP="007B7F59">
      <w:pPr>
        <w:spacing w:after="0" w:line="240" w:lineRule="auto"/>
        <w:ind w:left="0"/>
        <w:jc w:val="center"/>
        <w:outlineLvl w:val="0"/>
        <w:rPr>
          <w:rFonts w:eastAsia="Times New Roman" w:cs="Arial"/>
          <w:b/>
          <w:szCs w:val="24"/>
        </w:rPr>
      </w:pPr>
      <w:r w:rsidRPr="009E72F9">
        <w:rPr>
          <w:rFonts w:eastAsia="Times New Roman" w:cs="Arial"/>
          <w:b/>
          <w:szCs w:val="24"/>
        </w:rPr>
        <w:t>IN THE HIGH COURT OF SOUTH AFRICA</w:t>
      </w:r>
    </w:p>
    <w:p w14:paraId="16CED300" w14:textId="77777777" w:rsidR="007B7F59" w:rsidRPr="009E72F9" w:rsidRDefault="007B7F59" w:rsidP="007B7F59">
      <w:pPr>
        <w:spacing w:after="0" w:line="240" w:lineRule="auto"/>
        <w:ind w:left="0"/>
        <w:jc w:val="center"/>
        <w:outlineLvl w:val="0"/>
        <w:rPr>
          <w:rFonts w:eastAsia="Times New Roman" w:cs="Arial"/>
          <w:b/>
          <w:szCs w:val="24"/>
        </w:rPr>
      </w:pPr>
      <w:r w:rsidRPr="009E72F9">
        <w:rPr>
          <w:rFonts w:eastAsia="Times New Roman" w:cs="Arial"/>
          <w:b/>
          <w:szCs w:val="24"/>
        </w:rPr>
        <w:t>GAUTENG LOCAL DIVISION, JOHANNESBURG</w:t>
      </w:r>
    </w:p>
    <w:p w14:paraId="17815203" w14:textId="77777777" w:rsidR="007B7F59" w:rsidRPr="009E72F9" w:rsidRDefault="007B7F59" w:rsidP="007B7F59">
      <w:pPr>
        <w:spacing w:after="0" w:line="240" w:lineRule="auto"/>
        <w:ind w:left="0"/>
        <w:rPr>
          <w:rFonts w:eastAsia="Times New Roman" w:cs="Arial"/>
          <w:szCs w:val="24"/>
        </w:rPr>
      </w:pPr>
    </w:p>
    <w:p w14:paraId="5733FA9B" w14:textId="77777777" w:rsidR="007B7F59" w:rsidRPr="009E72F9" w:rsidRDefault="007B7F59" w:rsidP="007B7F59">
      <w:pPr>
        <w:spacing w:after="0" w:line="240" w:lineRule="auto"/>
        <w:ind w:left="0"/>
        <w:rPr>
          <w:rFonts w:eastAsia="Times New Roman" w:cs="Arial"/>
          <w:szCs w:val="24"/>
        </w:rPr>
      </w:pPr>
    </w:p>
    <w:p w14:paraId="0021EB06" w14:textId="5C430626" w:rsidR="007B7F59" w:rsidRPr="009E72F9" w:rsidRDefault="007B7F59" w:rsidP="007B7F59">
      <w:pPr>
        <w:tabs>
          <w:tab w:val="right" w:pos="9029"/>
        </w:tabs>
        <w:spacing w:after="0" w:line="240" w:lineRule="auto"/>
        <w:ind w:left="0"/>
        <w:rPr>
          <w:rFonts w:eastAsia="Times New Roman" w:cs="Arial"/>
          <w:bCs/>
          <w:szCs w:val="24"/>
        </w:rPr>
      </w:pPr>
      <w:r w:rsidRPr="009E72F9">
        <w:rPr>
          <w:rFonts w:eastAsia="Times New Roman" w:cs="Arial"/>
          <w:szCs w:val="24"/>
        </w:rPr>
        <w:tab/>
      </w:r>
      <w:r w:rsidRPr="009E72F9">
        <w:rPr>
          <w:rFonts w:eastAsia="Times New Roman" w:cs="Arial"/>
          <w:bCs/>
          <w:szCs w:val="24"/>
        </w:rPr>
        <w:t xml:space="preserve">Case Number: </w:t>
      </w:r>
      <w:r w:rsidR="00E4186F" w:rsidRPr="009E72F9">
        <w:rPr>
          <w:rFonts w:eastAsia="Times New Roman" w:cs="Arial"/>
          <w:bCs/>
          <w:szCs w:val="24"/>
        </w:rPr>
        <w:t>14816/2019</w:t>
      </w:r>
    </w:p>
    <w:p w14:paraId="3041E912" w14:textId="77777777" w:rsidR="007B7F59" w:rsidRPr="009E72F9" w:rsidRDefault="007B7F59" w:rsidP="007B7F59">
      <w:pPr>
        <w:tabs>
          <w:tab w:val="right" w:pos="9029"/>
        </w:tabs>
        <w:spacing w:after="0" w:line="240" w:lineRule="auto"/>
        <w:ind w:left="0"/>
        <w:rPr>
          <w:rFonts w:eastAsia="Times New Roman" w:cs="Arial"/>
          <w:szCs w:val="24"/>
        </w:rPr>
      </w:pPr>
      <w:r w:rsidRPr="009E72F9">
        <w:rPr>
          <w:rFonts w:cs="Arial"/>
          <w:noProof/>
          <w:szCs w:val="24"/>
          <w:lang w:val="en-ZA" w:eastAsia="en-ZA"/>
        </w:rPr>
        <mc:AlternateContent>
          <mc:Choice Requires="wps">
            <w:drawing>
              <wp:anchor distT="0" distB="0" distL="114300" distR="114300" simplePos="0" relativeHeight="251658240" behindDoc="0" locked="0" layoutInCell="1" allowOverlap="1" wp14:anchorId="691DD440" wp14:editId="38649981">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0661C62E" w14:textId="77777777" w:rsidR="007B7F59" w:rsidRPr="003B746C"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REPORTABLE: </w:t>
                            </w:r>
                            <w:r w:rsidRPr="00FA3D16">
                              <w:rPr>
                                <w:rFonts w:cs="Arial"/>
                                <w:strike/>
                                <w:sz w:val="18"/>
                                <w:szCs w:val="20"/>
                              </w:rPr>
                              <w:t>YES</w:t>
                            </w:r>
                            <w:r w:rsidRPr="00FA3D16">
                              <w:rPr>
                                <w:rFonts w:cs="Arial"/>
                                <w:sz w:val="18"/>
                                <w:szCs w:val="20"/>
                              </w:rPr>
                              <w:t xml:space="preserve"> / NO</w:t>
                            </w:r>
                          </w:p>
                          <w:p w14:paraId="6FFC7DCB" w14:textId="77777777" w:rsidR="007B7F59" w:rsidRPr="003B746C"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OF INTEREST TO OTHER JUDGES: </w:t>
                            </w:r>
                            <w:r w:rsidRPr="00FA3D16">
                              <w:rPr>
                                <w:rFonts w:cs="Arial"/>
                                <w:strike/>
                                <w:sz w:val="18"/>
                                <w:szCs w:val="20"/>
                              </w:rPr>
                              <w:t>YES</w:t>
                            </w:r>
                            <w:r w:rsidRPr="00FA3D16">
                              <w:rPr>
                                <w:rFonts w:cs="Arial"/>
                                <w:sz w:val="18"/>
                                <w:szCs w:val="20"/>
                              </w:rPr>
                              <w:t>/NO</w:t>
                            </w:r>
                          </w:p>
                          <w:p w14:paraId="4472BF98" w14:textId="77777777" w:rsidR="007B7F59"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REVISED: </w:t>
                            </w:r>
                            <w:r w:rsidRPr="00FA3D16">
                              <w:rPr>
                                <w:rFonts w:cs="Arial"/>
                                <w:strike/>
                                <w:sz w:val="18"/>
                                <w:szCs w:val="20"/>
                              </w:rPr>
                              <w:t>YES</w:t>
                            </w:r>
                            <w:r w:rsidRPr="00FA3D16">
                              <w:rPr>
                                <w:rFonts w:cs="Arial"/>
                                <w:sz w:val="18"/>
                                <w:szCs w:val="20"/>
                              </w:rPr>
                              <w:t>/NO</w:t>
                            </w:r>
                          </w:p>
                          <w:p w14:paraId="012D04F6"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37240392"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1DD440"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frgGJ+AAAAALAQAADwAAAGRycy9kb3ducmV2LnhtbEyPQU/DMAyF70j8h8hIXBBL&#10;yaBsXdMJgUBwg4HgmjVeW5E4pcm68u8xJ7hYenr28/vK9eSdGHGIXSANF7MMBFIdbEeNhrfX+/MF&#10;iJgMWeMCoYZvjLCujo9KU9hwoBccN6kRHEKxMBralPpCyli36E2chR6JvV0YvEksh0bawRw43Dup&#10;siyX3nTEH1rT422L9edm7zUsLh/Hj/g0f36v851bprPr8eFr0Pr0ZLpb8bhZgUg4pb8L+GXg/lBx&#10;sW3Yk43CaWCapGGuQLB5pRTrLW/lSwWyKuV/huoHAAD//wMAUEsBAi0AFAAGAAgAAAAhALaDOJL+&#10;AAAA4QEAABMAAAAAAAAAAAAAAAAAAAAAAFtDb250ZW50X1R5cGVzXS54bWxQSwECLQAUAAYACAAA&#10;ACEAOP0h/9YAAACUAQAACwAAAAAAAAAAAAAAAAAvAQAAX3JlbHMvLnJlbHNQSwECLQAUAAYACAAA&#10;ACEAAf++ZBUCAAAsBAAADgAAAAAAAAAAAAAAAAAuAgAAZHJzL2Uyb0RvYy54bWxQSwECLQAUAAYA&#10;CAAAACEAfrgGJ+AAAAALAQAADwAAAAAAAAAAAAAAAABvBAAAZHJzL2Rvd25yZXYueG1sUEsFBgAA&#10;AAAEAAQA8wAAAHwFAAAAAA==&#10;">
                <v:textbox>
                  <w:txbxContent>
                    <w:p w14:paraId="0661C62E" w14:textId="77777777" w:rsidR="007B7F59" w:rsidRPr="003B746C"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REPORTABLE: </w:t>
                      </w:r>
                      <w:r w:rsidRPr="00FA3D16">
                        <w:rPr>
                          <w:rFonts w:cs="Arial"/>
                          <w:strike/>
                          <w:sz w:val="18"/>
                          <w:szCs w:val="20"/>
                        </w:rPr>
                        <w:t>YES</w:t>
                      </w:r>
                      <w:r w:rsidRPr="00FA3D16">
                        <w:rPr>
                          <w:rFonts w:cs="Arial"/>
                          <w:sz w:val="18"/>
                          <w:szCs w:val="20"/>
                        </w:rPr>
                        <w:t xml:space="preserve"> / NO</w:t>
                      </w:r>
                    </w:p>
                    <w:p w14:paraId="6FFC7DCB" w14:textId="77777777" w:rsidR="007B7F59" w:rsidRPr="003B746C"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OF INTEREST TO OTHER JUDGES: </w:t>
                      </w:r>
                      <w:r w:rsidRPr="00FA3D16">
                        <w:rPr>
                          <w:rFonts w:cs="Arial"/>
                          <w:strike/>
                          <w:sz w:val="18"/>
                          <w:szCs w:val="20"/>
                        </w:rPr>
                        <w:t>YES</w:t>
                      </w:r>
                      <w:r w:rsidRPr="00FA3D16">
                        <w:rPr>
                          <w:rFonts w:cs="Arial"/>
                          <w:sz w:val="18"/>
                          <w:szCs w:val="20"/>
                        </w:rPr>
                        <w:t>/NO</w:t>
                      </w:r>
                    </w:p>
                    <w:p w14:paraId="4472BF98" w14:textId="77777777" w:rsidR="007B7F59"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REVISED: </w:t>
                      </w:r>
                      <w:r w:rsidRPr="00FA3D16">
                        <w:rPr>
                          <w:rFonts w:cs="Arial"/>
                          <w:strike/>
                          <w:sz w:val="18"/>
                          <w:szCs w:val="20"/>
                        </w:rPr>
                        <w:t>YES</w:t>
                      </w:r>
                      <w:r w:rsidRPr="00FA3D16">
                        <w:rPr>
                          <w:rFonts w:cs="Arial"/>
                          <w:sz w:val="18"/>
                          <w:szCs w:val="20"/>
                        </w:rPr>
                        <w:t>/NO</w:t>
                      </w:r>
                    </w:p>
                    <w:p w14:paraId="012D04F6"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37240392"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6B97319A" w14:textId="77777777" w:rsidR="007B7F59" w:rsidRPr="009E72F9" w:rsidRDefault="007B7F59" w:rsidP="007B7F59">
      <w:pPr>
        <w:tabs>
          <w:tab w:val="left" w:pos="8998"/>
        </w:tabs>
        <w:spacing w:after="0" w:line="240" w:lineRule="auto"/>
        <w:ind w:left="0"/>
        <w:rPr>
          <w:rFonts w:eastAsia="Times New Roman" w:cs="Arial"/>
          <w:szCs w:val="24"/>
        </w:rPr>
      </w:pPr>
    </w:p>
    <w:p w14:paraId="2256D5E9" w14:textId="77777777" w:rsidR="007B7F59" w:rsidRPr="009E72F9" w:rsidRDefault="007B7F59" w:rsidP="007B7F59">
      <w:pPr>
        <w:tabs>
          <w:tab w:val="left" w:pos="8998"/>
        </w:tabs>
        <w:spacing w:after="0" w:line="240" w:lineRule="auto"/>
        <w:ind w:left="0"/>
        <w:rPr>
          <w:rFonts w:eastAsia="Times New Roman" w:cs="Arial"/>
          <w:szCs w:val="24"/>
        </w:rPr>
      </w:pPr>
    </w:p>
    <w:p w14:paraId="785913F2" w14:textId="77777777" w:rsidR="007B7F59" w:rsidRPr="009E72F9" w:rsidRDefault="007B7F59" w:rsidP="007B7F59">
      <w:pPr>
        <w:tabs>
          <w:tab w:val="left" w:pos="8998"/>
        </w:tabs>
        <w:spacing w:after="0" w:line="240" w:lineRule="auto"/>
        <w:ind w:left="0"/>
        <w:rPr>
          <w:rFonts w:eastAsia="Times New Roman" w:cs="Arial"/>
          <w:szCs w:val="24"/>
        </w:rPr>
      </w:pPr>
      <w:r w:rsidRPr="009E72F9">
        <w:rPr>
          <w:rFonts w:eastAsia="Times New Roman" w:cs="Arial"/>
          <w:szCs w:val="24"/>
        </w:rPr>
        <w:t>In the matter between:</w:t>
      </w:r>
    </w:p>
    <w:p w14:paraId="0C5F35FC" w14:textId="77777777" w:rsidR="007B7F59" w:rsidRPr="009E72F9" w:rsidRDefault="007B7F59" w:rsidP="007B7F59">
      <w:pPr>
        <w:tabs>
          <w:tab w:val="right" w:pos="9029"/>
        </w:tabs>
        <w:spacing w:after="0" w:line="240" w:lineRule="auto"/>
        <w:ind w:left="0"/>
        <w:rPr>
          <w:rFonts w:eastAsia="Times New Roman" w:cs="Arial"/>
          <w:szCs w:val="24"/>
        </w:rPr>
      </w:pPr>
    </w:p>
    <w:p w14:paraId="3BA6BCD2" w14:textId="77777777" w:rsidR="007B7F59" w:rsidRPr="009E72F9" w:rsidRDefault="007B7F59" w:rsidP="007B7F59">
      <w:pPr>
        <w:tabs>
          <w:tab w:val="right" w:pos="9029"/>
        </w:tabs>
        <w:spacing w:after="0" w:line="240" w:lineRule="auto"/>
        <w:ind w:left="0"/>
        <w:rPr>
          <w:rFonts w:eastAsia="Times New Roman" w:cs="Arial"/>
          <w:szCs w:val="24"/>
        </w:rPr>
      </w:pPr>
    </w:p>
    <w:p w14:paraId="06A68794" w14:textId="77777777" w:rsidR="007B7F59" w:rsidRPr="009E72F9" w:rsidRDefault="007B7F59" w:rsidP="007B7F59">
      <w:pPr>
        <w:tabs>
          <w:tab w:val="right" w:pos="9029"/>
        </w:tabs>
        <w:spacing w:after="0" w:line="240" w:lineRule="auto"/>
        <w:ind w:left="0"/>
        <w:contextualSpacing/>
        <w:rPr>
          <w:rFonts w:eastAsia="Times New Roman" w:cs="Arial"/>
          <w:b/>
          <w:szCs w:val="24"/>
        </w:rPr>
      </w:pPr>
    </w:p>
    <w:p w14:paraId="3DABF096" w14:textId="77777777" w:rsidR="007B7F59" w:rsidRPr="009E72F9" w:rsidRDefault="007B7F59" w:rsidP="007B7F59">
      <w:pPr>
        <w:tabs>
          <w:tab w:val="right" w:pos="9029"/>
        </w:tabs>
        <w:spacing w:after="0" w:line="240" w:lineRule="auto"/>
        <w:ind w:left="0"/>
        <w:contextualSpacing/>
        <w:rPr>
          <w:rFonts w:eastAsia="Times New Roman" w:cs="Arial"/>
          <w:b/>
          <w:szCs w:val="24"/>
        </w:rPr>
      </w:pPr>
    </w:p>
    <w:p w14:paraId="083990B3" w14:textId="77777777" w:rsidR="007B7F59" w:rsidRPr="009E72F9" w:rsidRDefault="007B7F59" w:rsidP="007B7F59">
      <w:pPr>
        <w:tabs>
          <w:tab w:val="right" w:pos="9029"/>
        </w:tabs>
        <w:spacing w:after="0" w:line="240" w:lineRule="auto"/>
        <w:ind w:left="0"/>
        <w:contextualSpacing/>
        <w:rPr>
          <w:rFonts w:eastAsia="Times New Roman" w:cs="Arial"/>
          <w:szCs w:val="24"/>
        </w:rPr>
      </w:pPr>
      <w:r w:rsidRPr="009E72F9">
        <w:rPr>
          <w:rFonts w:eastAsia="Times New Roman" w:cs="Arial"/>
          <w:szCs w:val="24"/>
        </w:rPr>
        <w:t>In the matter between:</w:t>
      </w:r>
    </w:p>
    <w:p w14:paraId="2370CD37" w14:textId="77777777" w:rsidR="007B7F59" w:rsidRPr="009E72F9" w:rsidRDefault="007B7F59" w:rsidP="007B7F59">
      <w:pPr>
        <w:tabs>
          <w:tab w:val="right" w:pos="9029"/>
        </w:tabs>
        <w:spacing w:after="0" w:line="240" w:lineRule="auto"/>
        <w:ind w:left="0"/>
        <w:contextualSpacing/>
        <w:rPr>
          <w:rFonts w:eastAsia="Times New Roman" w:cs="Arial"/>
          <w:b/>
          <w:szCs w:val="24"/>
        </w:rPr>
      </w:pPr>
    </w:p>
    <w:p w14:paraId="397D7492" w14:textId="77777777" w:rsidR="007B7F59" w:rsidRPr="009E72F9" w:rsidRDefault="007B7F59" w:rsidP="007B7F59">
      <w:pPr>
        <w:tabs>
          <w:tab w:val="right" w:pos="9029"/>
        </w:tabs>
        <w:spacing w:after="0" w:line="240" w:lineRule="auto"/>
        <w:ind w:left="0"/>
        <w:contextualSpacing/>
        <w:rPr>
          <w:rFonts w:eastAsia="Times New Roman" w:cs="Arial"/>
          <w:b/>
          <w:szCs w:val="24"/>
        </w:rPr>
      </w:pPr>
    </w:p>
    <w:p w14:paraId="1CEDEAB8" w14:textId="1A28CEDE" w:rsidR="007B7F59" w:rsidRPr="009E72F9" w:rsidRDefault="00E4186F" w:rsidP="007B7F59">
      <w:pPr>
        <w:tabs>
          <w:tab w:val="right" w:pos="9029"/>
        </w:tabs>
        <w:spacing w:after="0" w:line="240" w:lineRule="auto"/>
        <w:ind w:left="0"/>
        <w:contextualSpacing/>
        <w:rPr>
          <w:rFonts w:eastAsia="Times New Roman" w:cs="Arial"/>
          <w:szCs w:val="24"/>
        </w:rPr>
      </w:pPr>
      <w:r w:rsidRPr="00852D73">
        <w:rPr>
          <w:rFonts w:eastAsia="Times New Roman" w:cs="Arial"/>
          <w:b/>
          <w:kern w:val="28"/>
          <w:szCs w:val="24"/>
          <w:lang w:eastAsia="en-GB"/>
        </w:rPr>
        <w:t>GROBBELAAR</w:t>
      </w:r>
      <w:r w:rsidRPr="0011184A">
        <w:rPr>
          <w:rFonts w:eastAsia="Times New Roman" w:cs="Arial"/>
          <w:b/>
          <w:kern w:val="28"/>
          <w:szCs w:val="24"/>
          <w:lang w:eastAsia="en-GB"/>
        </w:rPr>
        <w:t>,</w:t>
      </w:r>
      <w:r w:rsidRPr="009E72F9">
        <w:rPr>
          <w:rFonts w:eastAsia="Times New Roman" w:cs="Arial"/>
          <w:b/>
          <w:kern w:val="28"/>
          <w:szCs w:val="24"/>
          <w:lang w:eastAsia="en-GB"/>
        </w:rPr>
        <w:t xml:space="preserve"> CLASINA VEENEBOER </w:t>
      </w:r>
      <w:r w:rsidR="007B7F59" w:rsidRPr="009E72F9">
        <w:rPr>
          <w:rFonts w:eastAsia="Times New Roman" w:cs="Arial"/>
          <w:b/>
          <w:szCs w:val="24"/>
        </w:rPr>
        <w:tab/>
      </w:r>
      <w:r w:rsidRPr="009E72F9">
        <w:rPr>
          <w:rFonts w:eastAsia="Times New Roman" w:cs="Arial"/>
          <w:szCs w:val="24"/>
        </w:rPr>
        <w:t>Plaintiff</w:t>
      </w:r>
    </w:p>
    <w:p w14:paraId="68790342" w14:textId="2A94E1E8" w:rsidR="007B7F59" w:rsidRPr="009E72F9" w:rsidRDefault="007B7F59" w:rsidP="007B7F59">
      <w:pPr>
        <w:tabs>
          <w:tab w:val="right" w:pos="9029"/>
        </w:tabs>
        <w:spacing w:after="0" w:line="240" w:lineRule="auto"/>
        <w:ind w:left="0"/>
        <w:contextualSpacing/>
        <w:rPr>
          <w:rFonts w:eastAsia="Times New Roman" w:cs="Arial"/>
          <w:b/>
          <w:szCs w:val="24"/>
        </w:rPr>
      </w:pPr>
    </w:p>
    <w:p w14:paraId="057EDE1C" w14:textId="77777777" w:rsidR="007B7F59" w:rsidRPr="009E72F9" w:rsidRDefault="007B7F59" w:rsidP="007B7F59">
      <w:pPr>
        <w:tabs>
          <w:tab w:val="right" w:pos="9029"/>
        </w:tabs>
        <w:spacing w:after="0" w:line="240" w:lineRule="auto"/>
        <w:ind w:left="0"/>
        <w:contextualSpacing/>
        <w:rPr>
          <w:rFonts w:eastAsia="Times New Roman" w:cs="Arial"/>
          <w:szCs w:val="24"/>
        </w:rPr>
      </w:pPr>
    </w:p>
    <w:p w14:paraId="6F1B978F" w14:textId="77777777" w:rsidR="007B7F59" w:rsidRPr="009E72F9" w:rsidRDefault="007B7F59" w:rsidP="007B7F59">
      <w:pPr>
        <w:tabs>
          <w:tab w:val="right" w:pos="9029"/>
        </w:tabs>
        <w:spacing w:after="0" w:line="240" w:lineRule="auto"/>
        <w:ind w:left="0"/>
        <w:contextualSpacing/>
        <w:rPr>
          <w:rFonts w:eastAsia="Times New Roman" w:cs="Arial"/>
          <w:szCs w:val="24"/>
        </w:rPr>
      </w:pPr>
      <w:r w:rsidRPr="009E72F9">
        <w:rPr>
          <w:rFonts w:eastAsia="Times New Roman" w:cs="Arial"/>
          <w:szCs w:val="24"/>
        </w:rPr>
        <w:t>and</w:t>
      </w:r>
    </w:p>
    <w:p w14:paraId="10923C6B" w14:textId="77777777" w:rsidR="007B7F59" w:rsidRPr="009E72F9" w:rsidRDefault="007B7F59" w:rsidP="007B7F59">
      <w:pPr>
        <w:tabs>
          <w:tab w:val="right" w:pos="9029"/>
        </w:tabs>
        <w:spacing w:after="0" w:line="240" w:lineRule="auto"/>
        <w:ind w:left="0"/>
        <w:contextualSpacing/>
        <w:rPr>
          <w:rFonts w:eastAsia="Times New Roman" w:cs="Arial"/>
          <w:szCs w:val="24"/>
        </w:rPr>
      </w:pPr>
    </w:p>
    <w:p w14:paraId="552484E6" w14:textId="06F5D188" w:rsidR="007B7F59" w:rsidRPr="009E72F9" w:rsidRDefault="00E4186F" w:rsidP="007B7F59">
      <w:pPr>
        <w:tabs>
          <w:tab w:val="right" w:pos="9029"/>
        </w:tabs>
        <w:spacing w:after="0" w:line="240" w:lineRule="auto"/>
        <w:ind w:left="0"/>
        <w:contextualSpacing/>
        <w:rPr>
          <w:rFonts w:eastAsia="Times New Roman" w:cs="Arial"/>
          <w:szCs w:val="24"/>
        </w:rPr>
      </w:pPr>
      <w:r w:rsidRPr="009E72F9">
        <w:rPr>
          <w:rFonts w:cs="Arial"/>
          <w:b/>
          <w:szCs w:val="24"/>
        </w:rPr>
        <w:t>ROAD ACCIDENT FUND</w:t>
      </w:r>
      <w:r w:rsidR="007B7F59" w:rsidRPr="009E72F9">
        <w:rPr>
          <w:rFonts w:cs="Arial"/>
          <w:b/>
          <w:szCs w:val="24"/>
        </w:rPr>
        <w:tab/>
      </w:r>
      <w:r w:rsidRPr="009E72F9">
        <w:rPr>
          <w:rFonts w:eastAsia="Times New Roman" w:cs="Arial"/>
          <w:szCs w:val="24"/>
        </w:rPr>
        <w:t>Defendant</w:t>
      </w:r>
    </w:p>
    <w:p w14:paraId="78D16DFB" w14:textId="5B96040D" w:rsidR="00E4186F" w:rsidRPr="009E72F9" w:rsidRDefault="00E4186F" w:rsidP="00E4186F">
      <w:pPr>
        <w:pStyle w:val="JudgmentNumbered"/>
        <w:numPr>
          <w:ilvl w:val="0"/>
          <w:numId w:val="0"/>
        </w:numPr>
        <w:ind w:left="567" w:hanging="567"/>
        <w:rPr>
          <w:szCs w:val="24"/>
        </w:rPr>
      </w:pPr>
      <w:r w:rsidRPr="009E72F9">
        <w:rPr>
          <w:szCs w:val="24"/>
        </w:rPr>
        <w:t>(Link no.: 4453783)</w:t>
      </w:r>
      <w:bookmarkStart w:id="0" w:name="_GoBack"/>
      <w:bookmarkEnd w:id="0"/>
    </w:p>
    <w:p w14:paraId="34BF9B42" w14:textId="77777777" w:rsidR="007B7F59" w:rsidRPr="009E72F9" w:rsidRDefault="007B7F59" w:rsidP="007B7F59">
      <w:pPr>
        <w:pBdr>
          <w:bottom w:val="single" w:sz="12" w:space="1" w:color="auto"/>
        </w:pBdr>
        <w:spacing w:after="0" w:line="240" w:lineRule="auto"/>
        <w:ind w:left="0"/>
        <w:jc w:val="left"/>
        <w:rPr>
          <w:rFonts w:cs="Arial"/>
          <w:b/>
          <w:szCs w:val="24"/>
        </w:rPr>
      </w:pPr>
    </w:p>
    <w:p w14:paraId="35B3EF99" w14:textId="77777777" w:rsidR="007B7F59" w:rsidRPr="009E72F9" w:rsidRDefault="007B7F59" w:rsidP="007B7F59">
      <w:pPr>
        <w:spacing w:after="0" w:line="240" w:lineRule="auto"/>
        <w:ind w:left="1440" w:hanging="1440"/>
        <w:jc w:val="left"/>
        <w:rPr>
          <w:rFonts w:cs="Arial"/>
          <w:b/>
          <w:szCs w:val="24"/>
        </w:rPr>
      </w:pPr>
    </w:p>
    <w:p w14:paraId="52FB7FAC" w14:textId="77777777" w:rsidR="007B7F59" w:rsidRPr="009E72F9" w:rsidRDefault="007B7F59" w:rsidP="007B7F59">
      <w:pPr>
        <w:pBdr>
          <w:bottom w:val="single" w:sz="12" w:space="1" w:color="auto"/>
        </w:pBdr>
        <w:spacing w:line="480" w:lineRule="auto"/>
        <w:ind w:left="0"/>
        <w:jc w:val="center"/>
        <w:rPr>
          <w:rFonts w:cs="Arial"/>
          <w:b/>
          <w:szCs w:val="24"/>
        </w:rPr>
      </w:pPr>
      <w:r w:rsidRPr="009E72F9">
        <w:rPr>
          <w:rFonts w:cs="Arial"/>
          <w:b/>
          <w:szCs w:val="24"/>
        </w:rPr>
        <w:t>JUDGMENT</w:t>
      </w:r>
    </w:p>
    <w:p w14:paraId="155DC114" w14:textId="1E4EF0FB" w:rsidR="007B7F59" w:rsidRPr="00852D73" w:rsidRDefault="00E4186F" w:rsidP="007B7F59">
      <w:pPr>
        <w:spacing w:after="0" w:line="240" w:lineRule="auto"/>
        <w:ind w:left="0"/>
        <w:jc w:val="left"/>
        <w:rPr>
          <w:rFonts w:cs="Arial"/>
          <w:b/>
          <w:szCs w:val="24"/>
        </w:rPr>
      </w:pPr>
      <w:r w:rsidRPr="00852D73">
        <w:rPr>
          <w:rFonts w:cs="Arial"/>
          <w:b/>
          <w:szCs w:val="24"/>
        </w:rPr>
        <w:t>KOM, AJ</w:t>
      </w:r>
    </w:p>
    <w:p w14:paraId="48C4DCB4" w14:textId="77777777" w:rsidR="007B7F59" w:rsidRPr="009E72F9" w:rsidRDefault="007B7F59" w:rsidP="007B7F59">
      <w:pPr>
        <w:spacing w:after="0" w:line="240" w:lineRule="auto"/>
        <w:ind w:left="0"/>
        <w:jc w:val="left"/>
        <w:rPr>
          <w:rFonts w:cs="Arial"/>
          <w:szCs w:val="24"/>
        </w:rPr>
      </w:pPr>
    </w:p>
    <w:p w14:paraId="4353C752" w14:textId="77777777" w:rsidR="007B7F59" w:rsidRPr="009E72F9" w:rsidRDefault="007B7F59" w:rsidP="00852D73">
      <w:pPr>
        <w:pStyle w:val="NoSpacing"/>
      </w:pPr>
    </w:p>
    <w:p w14:paraId="00127E24" w14:textId="6F795347" w:rsidR="00794DCB" w:rsidRPr="00FA3D16" w:rsidRDefault="00FA3D16" w:rsidP="007B7F59">
      <w:pPr>
        <w:pStyle w:val="JudgmentHeading"/>
        <w:rPr>
          <w:iCs/>
          <w:szCs w:val="24"/>
        </w:rPr>
      </w:pPr>
      <w:r w:rsidRPr="00FA3D16">
        <w:rPr>
          <w:iCs/>
          <w:szCs w:val="24"/>
        </w:rPr>
        <w:t xml:space="preserve">Introduction </w:t>
      </w:r>
    </w:p>
    <w:p w14:paraId="607DED63" w14:textId="1DF1B7CD" w:rsidR="007B7F59" w:rsidRPr="009E72F9" w:rsidRDefault="00E4186F" w:rsidP="007B7F59">
      <w:pPr>
        <w:pStyle w:val="JudgmentNumbered"/>
        <w:rPr>
          <w:szCs w:val="24"/>
        </w:rPr>
      </w:pPr>
      <w:r w:rsidRPr="009E72F9">
        <w:rPr>
          <w:szCs w:val="24"/>
        </w:rPr>
        <w:t xml:space="preserve">The plaintiff instituted action against the Road Accident Fund (“the </w:t>
      </w:r>
      <w:r w:rsidR="00FA3D16">
        <w:rPr>
          <w:szCs w:val="24"/>
        </w:rPr>
        <w:t>F</w:t>
      </w:r>
      <w:r w:rsidRPr="009E72F9">
        <w:rPr>
          <w:szCs w:val="24"/>
        </w:rPr>
        <w:t xml:space="preserve">und”) for damages as result of </w:t>
      </w:r>
      <w:r w:rsidR="008A24C8">
        <w:rPr>
          <w:szCs w:val="24"/>
        </w:rPr>
        <w:t xml:space="preserve">injuries sustained from </w:t>
      </w:r>
      <w:r w:rsidRPr="009E72F9">
        <w:rPr>
          <w:szCs w:val="24"/>
        </w:rPr>
        <w:t xml:space="preserve">a motor vehicle accident that occurred on 29 </w:t>
      </w:r>
      <w:r w:rsidR="00534A3F" w:rsidRPr="009E72F9">
        <w:rPr>
          <w:szCs w:val="24"/>
        </w:rPr>
        <w:t>December 2017.</w:t>
      </w:r>
    </w:p>
    <w:p w14:paraId="0701A480" w14:textId="1A0848A0" w:rsidR="00534A3F" w:rsidRPr="009E72F9" w:rsidRDefault="00534A3F" w:rsidP="007B7F59">
      <w:pPr>
        <w:pStyle w:val="JudgmentNumbered"/>
        <w:rPr>
          <w:szCs w:val="24"/>
        </w:rPr>
      </w:pPr>
      <w:r w:rsidRPr="009E72F9">
        <w:rPr>
          <w:szCs w:val="24"/>
        </w:rPr>
        <w:lastRenderedPageBreak/>
        <w:t>Prior to the hearing of</w:t>
      </w:r>
      <w:r w:rsidR="00F35A33" w:rsidRPr="009E72F9">
        <w:rPr>
          <w:szCs w:val="24"/>
        </w:rPr>
        <w:t xml:space="preserve"> </w:t>
      </w:r>
      <w:r w:rsidR="003D22C9" w:rsidRPr="009E72F9">
        <w:rPr>
          <w:szCs w:val="24"/>
        </w:rPr>
        <w:t xml:space="preserve">the trial, </w:t>
      </w:r>
      <w:r w:rsidRPr="009E72F9">
        <w:rPr>
          <w:szCs w:val="24"/>
        </w:rPr>
        <w:t xml:space="preserve">the </w:t>
      </w:r>
      <w:r w:rsidR="00FA3D16">
        <w:rPr>
          <w:szCs w:val="24"/>
        </w:rPr>
        <w:t>F</w:t>
      </w:r>
      <w:r w:rsidRPr="009E72F9">
        <w:rPr>
          <w:szCs w:val="24"/>
        </w:rPr>
        <w:t>und conceded to the merits of the matter and accepted 100% liability for the plaintiff's proven damages.</w:t>
      </w:r>
    </w:p>
    <w:p w14:paraId="7F9526FD" w14:textId="1E5A9658" w:rsidR="00A23A2A" w:rsidRPr="009E72F9" w:rsidRDefault="00A23A2A" w:rsidP="007B7F59">
      <w:pPr>
        <w:pStyle w:val="JudgmentNumbered"/>
        <w:rPr>
          <w:szCs w:val="24"/>
        </w:rPr>
      </w:pPr>
      <w:r w:rsidRPr="009E72F9">
        <w:rPr>
          <w:szCs w:val="24"/>
        </w:rPr>
        <w:t xml:space="preserve">The parties had also </w:t>
      </w:r>
      <w:r w:rsidR="006003BA" w:rsidRPr="009E72F9">
        <w:rPr>
          <w:szCs w:val="24"/>
        </w:rPr>
        <w:t xml:space="preserve">settled the plaintiff’s claim </w:t>
      </w:r>
      <w:r w:rsidR="00206F8E">
        <w:rPr>
          <w:szCs w:val="24"/>
        </w:rPr>
        <w:t>for</w:t>
      </w:r>
      <w:r w:rsidR="006003BA" w:rsidRPr="009E72F9">
        <w:rPr>
          <w:szCs w:val="24"/>
        </w:rPr>
        <w:t xml:space="preserve"> general damages </w:t>
      </w:r>
      <w:r w:rsidR="00356249" w:rsidRPr="009E72F9">
        <w:rPr>
          <w:szCs w:val="24"/>
        </w:rPr>
        <w:t>prior to the trial date.</w:t>
      </w:r>
    </w:p>
    <w:p w14:paraId="150EEA67" w14:textId="0719F2F5" w:rsidR="00534A3F" w:rsidRPr="009E72F9" w:rsidRDefault="00534A3F" w:rsidP="00534A3F">
      <w:pPr>
        <w:pStyle w:val="JudgmentNumbered"/>
        <w:rPr>
          <w:szCs w:val="24"/>
        </w:rPr>
      </w:pPr>
      <w:r w:rsidRPr="009E72F9">
        <w:rPr>
          <w:szCs w:val="24"/>
        </w:rPr>
        <w:t xml:space="preserve">It was ordered by the interlocutory court on 3 June 2022 that the </w:t>
      </w:r>
      <w:r w:rsidR="00850F73">
        <w:rPr>
          <w:szCs w:val="24"/>
        </w:rPr>
        <w:t>F</w:t>
      </w:r>
      <w:r w:rsidRPr="009E72F9">
        <w:rPr>
          <w:szCs w:val="24"/>
        </w:rPr>
        <w:t>und’s defence is struck out and that the trial should proceed by way of default.</w:t>
      </w:r>
    </w:p>
    <w:p w14:paraId="698163DD" w14:textId="77777777" w:rsidR="00534A3F" w:rsidRPr="009E72F9" w:rsidRDefault="00534A3F" w:rsidP="00534A3F">
      <w:pPr>
        <w:pStyle w:val="JudgmentNumbered"/>
        <w:rPr>
          <w:szCs w:val="24"/>
        </w:rPr>
      </w:pPr>
      <w:r w:rsidRPr="009E72F9">
        <w:rPr>
          <w:szCs w:val="24"/>
        </w:rPr>
        <w:t>At the commencement of the trial, the plaintiff made an application in terms of rule 38(2) of the Uniform Rules of Court for the admission of evidence on affidavit.</w:t>
      </w:r>
    </w:p>
    <w:p w14:paraId="3FFD5FE8" w14:textId="16DF5679" w:rsidR="00D55E05" w:rsidRPr="009E72F9" w:rsidRDefault="00C97DD9" w:rsidP="00534A3F">
      <w:pPr>
        <w:pStyle w:val="JudgmentNumbered"/>
        <w:rPr>
          <w:szCs w:val="24"/>
        </w:rPr>
      </w:pPr>
      <w:r w:rsidRPr="009E72F9">
        <w:rPr>
          <w:szCs w:val="24"/>
        </w:rPr>
        <w:t xml:space="preserve">The </w:t>
      </w:r>
      <w:r w:rsidR="00380826" w:rsidRPr="009E72F9">
        <w:rPr>
          <w:szCs w:val="24"/>
        </w:rPr>
        <w:t xml:space="preserve">chief </w:t>
      </w:r>
      <w:r w:rsidRPr="009E72F9">
        <w:rPr>
          <w:szCs w:val="24"/>
        </w:rPr>
        <w:t>purpose for</w:t>
      </w:r>
      <w:r w:rsidR="008F493C" w:rsidRPr="009E72F9">
        <w:rPr>
          <w:szCs w:val="24"/>
        </w:rPr>
        <w:t xml:space="preserve"> the</w:t>
      </w:r>
      <w:r w:rsidRPr="009E72F9">
        <w:rPr>
          <w:szCs w:val="24"/>
        </w:rPr>
        <w:t xml:space="preserve"> penning</w:t>
      </w:r>
      <w:r w:rsidR="00F166DF" w:rsidRPr="009E72F9">
        <w:rPr>
          <w:szCs w:val="24"/>
        </w:rPr>
        <w:t xml:space="preserve"> of</w:t>
      </w:r>
      <w:r w:rsidRPr="009E72F9">
        <w:rPr>
          <w:szCs w:val="24"/>
        </w:rPr>
        <w:t xml:space="preserve"> this judgment is to give reasons for the court’s decisions in respect </w:t>
      </w:r>
      <w:r w:rsidR="0003613F" w:rsidRPr="009E72F9">
        <w:rPr>
          <w:szCs w:val="24"/>
        </w:rPr>
        <w:t xml:space="preserve">of </w:t>
      </w:r>
      <w:r w:rsidRPr="009E72F9">
        <w:rPr>
          <w:szCs w:val="24"/>
        </w:rPr>
        <w:t>the plaintiff’s claim for past</w:t>
      </w:r>
      <w:r w:rsidR="005F110B" w:rsidRPr="009E72F9">
        <w:rPr>
          <w:szCs w:val="24"/>
        </w:rPr>
        <w:t xml:space="preserve"> hospital and</w:t>
      </w:r>
      <w:r w:rsidRPr="009E72F9">
        <w:rPr>
          <w:szCs w:val="24"/>
        </w:rPr>
        <w:t xml:space="preserve"> medical expenses and the</w:t>
      </w:r>
      <w:r w:rsidR="00B64AC9" w:rsidRPr="009E72F9">
        <w:rPr>
          <w:szCs w:val="24"/>
        </w:rPr>
        <w:t xml:space="preserve"> claim for</w:t>
      </w:r>
      <w:r w:rsidRPr="009E72F9">
        <w:rPr>
          <w:szCs w:val="24"/>
        </w:rPr>
        <w:t xml:space="preserve"> loss </w:t>
      </w:r>
      <w:r w:rsidR="00D55E05" w:rsidRPr="009E72F9">
        <w:rPr>
          <w:szCs w:val="24"/>
        </w:rPr>
        <w:t xml:space="preserve">of </w:t>
      </w:r>
      <w:r w:rsidRPr="009E72F9">
        <w:rPr>
          <w:szCs w:val="24"/>
        </w:rPr>
        <w:t xml:space="preserve">earnings suffered </w:t>
      </w:r>
      <w:r w:rsidR="00D55E05" w:rsidRPr="009E72F9">
        <w:rPr>
          <w:szCs w:val="24"/>
        </w:rPr>
        <w:t xml:space="preserve">by the plaintiff </w:t>
      </w:r>
      <w:r w:rsidRPr="009E72F9">
        <w:rPr>
          <w:szCs w:val="24"/>
        </w:rPr>
        <w:t xml:space="preserve">as a result of </w:t>
      </w:r>
      <w:r w:rsidR="00380826" w:rsidRPr="009E72F9">
        <w:rPr>
          <w:szCs w:val="24"/>
        </w:rPr>
        <w:t>a</w:t>
      </w:r>
      <w:r w:rsidRPr="009E72F9">
        <w:rPr>
          <w:szCs w:val="24"/>
        </w:rPr>
        <w:t xml:space="preserve"> motor vehicle accident.</w:t>
      </w:r>
    </w:p>
    <w:p w14:paraId="6C39E9D2" w14:textId="33C7D038" w:rsidR="00311515" w:rsidRDefault="00D55E05" w:rsidP="00311515">
      <w:pPr>
        <w:pStyle w:val="JudgmentNumbered"/>
      </w:pPr>
      <w:r w:rsidRPr="009E72F9">
        <w:t>The need for a written judgmen</w:t>
      </w:r>
      <w:r w:rsidR="003C7B84">
        <w:t>t</w:t>
      </w:r>
      <w:r w:rsidRPr="009E72F9">
        <w:t xml:space="preserve"> in respect of the past medical expenses is </w:t>
      </w:r>
      <w:r w:rsidR="003C7B84">
        <w:t xml:space="preserve">especially </w:t>
      </w:r>
      <w:r w:rsidRPr="009E72F9">
        <w:t xml:space="preserve">necessary given the flurry of activity and controversy surrounding the </w:t>
      </w:r>
      <w:r w:rsidR="008A6EB6">
        <w:t>F</w:t>
      </w:r>
      <w:r w:rsidRPr="009E72F9">
        <w:t>und’s internal directive of August 2022</w:t>
      </w:r>
      <w:r w:rsidR="00262701" w:rsidRPr="009E72F9">
        <w:t>,</w:t>
      </w:r>
      <w:r w:rsidRPr="009E72F9">
        <w:t xml:space="preserve"> which reads as follows:</w:t>
      </w:r>
    </w:p>
    <w:p w14:paraId="5E1E8EE5" w14:textId="1DEB7024" w:rsidR="00871574" w:rsidRPr="00852D73" w:rsidRDefault="00D55E05" w:rsidP="00E94FC9">
      <w:pPr>
        <w:pStyle w:val="JudgmentNumbered"/>
        <w:numPr>
          <w:ilvl w:val="0"/>
          <w:numId w:val="0"/>
        </w:numPr>
        <w:ind w:left="567"/>
        <w:rPr>
          <w:sz w:val="22"/>
        </w:rPr>
      </w:pPr>
      <w:r w:rsidRPr="00852D73">
        <w:rPr>
          <w:sz w:val="22"/>
        </w:rPr>
        <w:t>“</w:t>
      </w:r>
      <w:r w:rsidRPr="00852D73">
        <w:rPr>
          <w:i/>
          <w:iCs/>
          <w:sz w:val="22"/>
        </w:rPr>
        <w:t>All Regional Managers must ensure that their teams implement the attached process to assess claims for past medical expenses. All RAF offices are required to assess claims for past medical expenses and reject the medical expenses claimed if the Medical Aid has already paid for the medical expenses. The regions must use the prepared template rejection letter (see attached) to communicate the rejection. The reason to be provided for the repudiation will be that the claimant has sustained no loss or incurred any expenses relating to the past medical expenses claimed. Therefore, there is no duty on the RAF to reimburse the claimant.  Also attached is a list of Medical Schemes. Required outcome: immediate implementation of the process and 100% compliance to the process.</w:t>
      </w:r>
      <w:r w:rsidRPr="00852D73">
        <w:rPr>
          <w:sz w:val="22"/>
        </w:rPr>
        <w:t>”</w:t>
      </w:r>
    </w:p>
    <w:p w14:paraId="334A6479" w14:textId="519E0EFB" w:rsidR="00380826" w:rsidRPr="00311515" w:rsidRDefault="00262701" w:rsidP="00311515">
      <w:pPr>
        <w:pStyle w:val="JudgmentNumbered"/>
      </w:pPr>
      <w:r w:rsidRPr="009E72F9">
        <w:t xml:space="preserve">In respect of the issue of the plaintiff’s </w:t>
      </w:r>
      <w:r w:rsidR="00380826" w:rsidRPr="009E72F9">
        <w:t xml:space="preserve">claim for </w:t>
      </w:r>
      <w:r w:rsidRPr="009E72F9">
        <w:t xml:space="preserve">loss of earnings, this court has identified an irregularity in the plaintiff’s evidence in </w:t>
      </w:r>
      <w:r w:rsidR="00380826" w:rsidRPr="009E72F9">
        <w:t xml:space="preserve">the </w:t>
      </w:r>
      <w:r w:rsidRPr="009E72F9">
        <w:t>computati</w:t>
      </w:r>
      <w:r w:rsidR="00380826" w:rsidRPr="009E72F9">
        <w:t>on</w:t>
      </w:r>
      <w:r w:rsidRPr="009E72F9">
        <w:t xml:space="preserve"> </w:t>
      </w:r>
      <w:r w:rsidR="00380826" w:rsidRPr="009E72F9">
        <w:t xml:space="preserve">of </w:t>
      </w:r>
      <w:r w:rsidRPr="009E72F9">
        <w:t xml:space="preserve">the plaintiff’s claim </w:t>
      </w:r>
      <w:r w:rsidR="00F00131">
        <w:t>and th</w:t>
      </w:r>
      <w:r w:rsidR="005C1D44">
        <w:t>at this</w:t>
      </w:r>
      <w:r w:rsidRPr="009E72F9">
        <w:t xml:space="preserve"> has </w:t>
      </w:r>
      <w:r w:rsidR="00380826" w:rsidRPr="009E72F9">
        <w:t xml:space="preserve">a </w:t>
      </w:r>
      <w:r w:rsidRPr="009E72F9">
        <w:t xml:space="preserve">negative effect </w:t>
      </w:r>
      <w:r w:rsidR="00492E6C" w:rsidRPr="009E72F9">
        <w:t>on</w:t>
      </w:r>
      <w:r w:rsidRPr="009E72F9">
        <w:t xml:space="preserve"> the plaintiff’s total claim for damages against the </w:t>
      </w:r>
      <w:r w:rsidR="00311515">
        <w:t>F</w:t>
      </w:r>
      <w:r w:rsidRPr="009E72F9">
        <w:t>und.</w:t>
      </w:r>
    </w:p>
    <w:p w14:paraId="59B82E79" w14:textId="77777777" w:rsidR="004D487C" w:rsidRDefault="004D487C" w:rsidP="00CE7E54">
      <w:pPr>
        <w:pStyle w:val="JudgmentNumbered"/>
        <w:numPr>
          <w:ilvl w:val="0"/>
          <w:numId w:val="0"/>
        </w:numPr>
        <w:ind w:left="567" w:hanging="567"/>
        <w:rPr>
          <w:i/>
          <w:iCs/>
          <w:szCs w:val="24"/>
        </w:rPr>
      </w:pPr>
    </w:p>
    <w:p w14:paraId="194E5F32" w14:textId="72D1124E" w:rsidR="00380826" w:rsidRPr="00852D73" w:rsidRDefault="00380826" w:rsidP="00CE7E54">
      <w:pPr>
        <w:pStyle w:val="JudgmentNumbered"/>
        <w:numPr>
          <w:ilvl w:val="0"/>
          <w:numId w:val="0"/>
        </w:numPr>
        <w:ind w:left="567" w:hanging="567"/>
        <w:rPr>
          <w:i/>
          <w:iCs/>
          <w:szCs w:val="24"/>
        </w:rPr>
      </w:pPr>
      <w:r w:rsidRPr="00852D73">
        <w:rPr>
          <w:i/>
          <w:iCs/>
          <w:szCs w:val="24"/>
        </w:rPr>
        <w:lastRenderedPageBreak/>
        <w:t>Evidence</w:t>
      </w:r>
    </w:p>
    <w:p w14:paraId="6534995F" w14:textId="5CDB5E15" w:rsidR="001A1CB4" w:rsidRPr="009E72F9" w:rsidRDefault="001A1CB4" w:rsidP="00CE7E54">
      <w:pPr>
        <w:pStyle w:val="JudgmentNumbered"/>
        <w:rPr>
          <w:szCs w:val="24"/>
        </w:rPr>
      </w:pPr>
      <w:r w:rsidRPr="009E72F9">
        <w:rPr>
          <w:szCs w:val="24"/>
        </w:rPr>
        <w:t>In respect of the plaintiff’s past medical expenses</w:t>
      </w:r>
      <w:r w:rsidR="00617E1F">
        <w:rPr>
          <w:szCs w:val="24"/>
        </w:rPr>
        <w:t>,</w:t>
      </w:r>
      <w:r w:rsidRPr="009E72F9">
        <w:rPr>
          <w:szCs w:val="24"/>
        </w:rPr>
        <w:t xml:space="preserve"> this court </w:t>
      </w:r>
      <w:r w:rsidR="00617E1F">
        <w:rPr>
          <w:szCs w:val="24"/>
        </w:rPr>
        <w:t>takes</w:t>
      </w:r>
      <w:r w:rsidRPr="009E72F9">
        <w:rPr>
          <w:szCs w:val="24"/>
        </w:rPr>
        <w:t xml:space="preserve"> cognisance of the following:</w:t>
      </w:r>
    </w:p>
    <w:p w14:paraId="6BBEDB52" w14:textId="1BFA1CEE" w:rsidR="00380826" w:rsidRPr="009E72F9" w:rsidRDefault="00380826" w:rsidP="001A1CB4">
      <w:pPr>
        <w:pStyle w:val="JudgmentNumbered"/>
        <w:numPr>
          <w:ilvl w:val="1"/>
          <w:numId w:val="4"/>
        </w:numPr>
        <w:rPr>
          <w:szCs w:val="24"/>
        </w:rPr>
      </w:pPr>
      <w:r w:rsidRPr="009E72F9">
        <w:rPr>
          <w:szCs w:val="24"/>
        </w:rPr>
        <w:t>The plaintiff sustained the following injuries from the accident:</w:t>
      </w:r>
    </w:p>
    <w:p w14:paraId="7AD7FDC9" w14:textId="20512F3F" w:rsidR="007B7F59" w:rsidRPr="009E72F9" w:rsidRDefault="00CE7E54" w:rsidP="001A1CB4">
      <w:pPr>
        <w:pStyle w:val="JudgmentNumbered"/>
        <w:numPr>
          <w:ilvl w:val="2"/>
          <w:numId w:val="1"/>
        </w:numPr>
        <w:rPr>
          <w:szCs w:val="24"/>
        </w:rPr>
      </w:pPr>
      <w:r w:rsidRPr="009E72F9">
        <w:rPr>
          <w:szCs w:val="24"/>
        </w:rPr>
        <w:t>Concussive (diffuse) brain injury;</w:t>
      </w:r>
    </w:p>
    <w:p w14:paraId="43FEFDD0" w14:textId="2AF28ED6" w:rsidR="00CE7E54" w:rsidRPr="009E72F9" w:rsidRDefault="00CE7E54" w:rsidP="001A1CB4">
      <w:pPr>
        <w:pStyle w:val="JudgmentNumbered"/>
        <w:numPr>
          <w:ilvl w:val="2"/>
          <w:numId w:val="1"/>
        </w:numPr>
        <w:rPr>
          <w:szCs w:val="24"/>
        </w:rPr>
      </w:pPr>
      <w:r w:rsidRPr="009E72F9">
        <w:rPr>
          <w:szCs w:val="24"/>
        </w:rPr>
        <w:t>Right parietal cerebral contusion;</w:t>
      </w:r>
    </w:p>
    <w:p w14:paraId="5E84D201" w14:textId="735A7D93" w:rsidR="00CE7E54" w:rsidRPr="009E72F9" w:rsidRDefault="00CE7E54" w:rsidP="001A1CB4">
      <w:pPr>
        <w:pStyle w:val="JudgmentNumbered"/>
        <w:numPr>
          <w:ilvl w:val="2"/>
          <w:numId w:val="1"/>
        </w:numPr>
        <w:rPr>
          <w:szCs w:val="24"/>
        </w:rPr>
      </w:pPr>
      <w:r w:rsidRPr="009E72F9">
        <w:rPr>
          <w:szCs w:val="24"/>
        </w:rPr>
        <w:t>Subdural and subarachnoid haemorrhages;</w:t>
      </w:r>
    </w:p>
    <w:p w14:paraId="4CCCA106" w14:textId="1F0E2839" w:rsidR="00CE7E54" w:rsidRPr="009E72F9" w:rsidRDefault="00CE7E54" w:rsidP="001A1CB4">
      <w:pPr>
        <w:pStyle w:val="JudgmentNumbered"/>
        <w:numPr>
          <w:ilvl w:val="2"/>
          <w:numId w:val="1"/>
        </w:numPr>
        <w:rPr>
          <w:szCs w:val="24"/>
        </w:rPr>
      </w:pPr>
      <w:r w:rsidRPr="009E72F9">
        <w:rPr>
          <w:szCs w:val="24"/>
        </w:rPr>
        <w:t>Fracture of the left humerus;</w:t>
      </w:r>
    </w:p>
    <w:p w14:paraId="48B2D314" w14:textId="30F3E9C6" w:rsidR="00CE7E54" w:rsidRPr="009E72F9" w:rsidRDefault="00CE7E54" w:rsidP="001A1CB4">
      <w:pPr>
        <w:pStyle w:val="JudgmentNumbered"/>
        <w:numPr>
          <w:ilvl w:val="2"/>
          <w:numId w:val="1"/>
        </w:numPr>
        <w:rPr>
          <w:szCs w:val="24"/>
        </w:rPr>
      </w:pPr>
      <w:r w:rsidRPr="009E72F9">
        <w:rPr>
          <w:szCs w:val="24"/>
        </w:rPr>
        <w:t>Soft tissue haematoma of the left thigh; and</w:t>
      </w:r>
    </w:p>
    <w:p w14:paraId="1F6C4113" w14:textId="7FBFBB1F" w:rsidR="00CE7E54" w:rsidRPr="009E72F9" w:rsidRDefault="00CE7E54" w:rsidP="001A1CB4">
      <w:pPr>
        <w:pStyle w:val="JudgmentNumbered"/>
        <w:numPr>
          <w:ilvl w:val="2"/>
          <w:numId w:val="1"/>
        </w:numPr>
        <w:rPr>
          <w:szCs w:val="24"/>
        </w:rPr>
      </w:pPr>
      <w:r w:rsidRPr="009E72F9">
        <w:rPr>
          <w:szCs w:val="24"/>
        </w:rPr>
        <w:t>Bruising and haematoma on the left cheek.</w:t>
      </w:r>
    </w:p>
    <w:p w14:paraId="4B300AD8" w14:textId="1D8E45AF" w:rsidR="00A83A79" w:rsidRPr="009E72F9" w:rsidRDefault="00CE7E54" w:rsidP="0036173B">
      <w:pPr>
        <w:pStyle w:val="JudgmentNumbered"/>
        <w:rPr>
          <w:szCs w:val="24"/>
        </w:rPr>
      </w:pPr>
      <w:r w:rsidRPr="009E72F9">
        <w:rPr>
          <w:szCs w:val="24"/>
        </w:rPr>
        <w:t>The plaintiff was transported by ambulance to the Netcare Union Hospital where she received the following treatments or examinations:</w:t>
      </w:r>
    </w:p>
    <w:p w14:paraId="0D1CE001" w14:textId="2A2BB32B" w:rsidR="00A83A79" w:rsidRPr="009E72F9" w:rsidRDefault="00CE7E54" w:rsidP="0036173B">
      <w:pPr>
        <w:pStyle w:val="JudgmentNumbered"/>
        <w:numPr>
          <w:ilvl w:val="1"/>
          <w:numId w:val="1"/>
        </w:numPr>
        <w:rPr>
          <w:szCs w:val="24"/>
        </w:rPr>
      </w:pPr>
      <w:r w:rsidRPr="009E72F9">
        <w:rPr>
          <w:szCs w:val="24"/>
        </w:rPr>
        <w:t>CT brain scan;</w:t>
      </w:r>
    </w:p>
    <w:p w14:paraId="39BF35CB" w14:textId="72AFE2D5" w:rsidR="00CE7E54" w:rsidRPr="009E72F9" w:rsidRDefault="00CE7E54" w:rsidP="0036173B">
      <w:pPr>
        <w:pStyle w:val="JudgmentNumbered"/>
        <w:numPr>
          <w:ilvl w:val="1"/>
          <w:numId w:val="1"/>
        </w:numPr>
        <w:rPr>
          <w:szCs w:val="24"/>
        </w:rPr>
      </w:pPr>
      <w:r w:rsidRPr="009E72F9">
        <w:rPr>
          <w:szCs w:val="24"/>
        </w:rPr>
        <w:t>MRI scan;</w:t>
      </w:r>
    </w:p>
    <w:p w14:paraId="2A0F4DE1" w14:textId="12FEAEED" w:rsidR="00CE7E54" w:rsidRPr="009E72F9" w:rsidRDefault="00CE7E54" w:rsidP="0036173B">
      <w:pPr>
        <w:pStyle w:val="JudgmentNumbered"/>
        <w:numPr>
          <w:ilvl w:val="1"/>
          <w:numId w:val="1"/>
        </w:numPr>
        <w:rPr>
          <w:szCs w:val="24"/>
        </w:rPr>
      </w:pPr>
      <w:r w:rsidRPr="009E72F9">
        <w:rPr>
          <w:szCs w:val="24"/>
        </w:rPr>
        <w:t>X-rays;</w:t>
      </w:r>
    </w:p>
    <w:p w14:paraId="67AD6185" w14:textId="779E52A7" w:rsidR="00CE7E54" w:rsidRPr="009E72F9" w:rsidRDefault="00CE7E54" w:rsidP="0036173B">
      <w:pPr>
        <w:pStyle w:val="JudgmentNumbered"/>
        <w:numPr>
          <w:ilvl w:val="1"/>
          <w:numId w:val="1"/>
        </w:numPr>
        <w:rPr>
          <w:szCs w:val="24"/>
        </w:rPr>
      </w:pPr>
      <w:r w:rsidRPr="009E72F9">
        <w:rPr>
          <w:szCs w:val="24"/>
        </w:rPr>
        <w:t>A urinary catheter was inserted; and</w:t>
      </w:r>
    </w:p>
    <w:p w14:paraId="4FA97EB5" w14:textId="2E7594A5" w:rsidR="00CE7E54" w:rsidRPr="009E72F9" w:rsidRDefault="00CE7E54" w:rsidP="0036173B">
      <w:pPr>
        <w:pStyle w:val="JudgmentNumbered"/>
        <w:numPr>
          <w:ilvl w:val="1"/>
          <w:numId w:val="1"/>
        </w:numPr>
        <w:rPr>
          <w:szCs w:val="24"/>
        </w:rPr>
      </w:pPr>
      <w:r w:rsidRPr="009E72F9">
        <w:rPr>
          <w:szCs w:val="24"/>
        </w:rPr>
        <w:t>An intravenous drip was erected.</w:t>
      </w:r>
    </w:p>
    <w:p w14:paraId="3B72BC4B" w14:textId="468C2C30" w:rsidR="00CE7E54" w:rsidRPr="009E72F9" w:rsidRDefault="00CE7E54" w:rsidP="0036173B">
      <w:pPr>
        <w:pStyle w:val="JudgmentNumbered"/>
        <w:rPr>
          <w:szCs w:val="24"/>
        </w:rPr>
      </w:pPr>
      <w:r w:rsidRPr="009E72F9">
        <w:rPr>
          <w:szCs w:val="24"/>
        </w:rPr>
        <w:t>The plaintiff was then transferred to Netcare Montana Hospital where she was admitted to the intensive care unit for 6 days whereafter she was transferred to a general ward.</w:t>
      </w:r>
    </w:p>
    <w:p w14:paraId="20F9100B" w14:textId="6869AEEC" w:rsidR="00CE7E54" w:rsidRPr="009E72F9" w:rsidRDefault="00CE7E54" w:rsidP="0036173B">
      <w:pPr>
        <w:pStyle w:val="JudgmentNumbered"/>
        <w:rPr>
          <w:szCs w:val="24"/>
        </w:rPr>
      </w:pPr>
      <w:r w:rsidRPr="009E72F9">
        <w:rPr>
          <w:szCs w:val="24"/>
        </w:rPr>
        <w:t>The plaintiff was finally transferred to the 1 Military Hospital where she remained an inpatient until her discharge.</w:t>
      </w:r>
    </w:p>
    <w:p w14:paraId="76DE8AF5" w14:textId="09DAB65C" w:rsidR="00CE7E54" w:rsidRPr="009E72F9" w:rsidRDefault="00CE7E54" w:rsidP="0036173B">
      <w:pPr>
        <w:pStyle w:val="JudgmentNumbered"/>
        <w:rPr>
          <w:szCs w:val="24"/>
        </w:rPr>
      </w:pPr>
      <w:r w:rsidRPr="009E72F9">
        <w:rPr>
          <w:szCs w:val="24"/>
        </w:rPr>
        <w:t xml:space="preserve">The plaintiff was hospitalised for approximately 3 months </w:t>
      </w:r>
      <w:r w:rsidR="0053220C" w:rsidRPr="009E72F9">
        <w:rPr>
          <w:szCs w:val="24"/>
        </w:rPr>
        <w:t>after</w:t>
      </w:r>
      <w:r w:rsidRPr="009E72F9">
        <w:rPr>
          <w:szCs w:val="24"/>
        </w:rPr>
        <w:t xml:space="preserve"> the accident.</w:t>
      </w:r>
    </w:p>
    <w:p w14:paraId="27CA508B" w14:textId="3FAFBDB8" w:rsidR="007B7F59" w:rsidRPr="0015339B" w:rsidRDefault="006B6DAC" w:rsidP="0036173B">
      <w:pPr>
        <w:pStyle w:val="JudgmentNumbered"/>
        <w:rPr>
          <w:szCs w:val="24"/>
        </w:rPr>
      </w:pPr>
      <w:r w:rsidRPr="004E12FA">
        <w:rPr>
          <w:szCs w:val="24"/>
        </w:rPr>
        <w:lastRenderedPageBreak/>
        <w:t>Statements of account or invoices</w:t>
      </w:r>
      <w:r w:rsidR="00226B86" w:rsidRPr="004E12FA">
        <w:rPr>
          <w:szCs w:val="24"/>
        </w:rPr>
        <w:t>, drawn in the name of the plaintiff’s husband,</w:t>
      </w:r>
      <w:r w:rsidRPr="0015339B">
        <w:rPr>
          <w:szCs w:val="24"/>
        </w:rPr>
        <w:t xml:space="preserve"> for the plaintiff’s past hospital and medical expenses have been filed </w:t>
      </w:r>
      <w:r w:rsidR="00770C8D">
        <w:rPr>
          <w:szCs w:val="24"/>
        </w:rPr>
        <w:t>of</w:t>
      </w:r>
      <w:r w:rsidRPr="004E12FA">
        <w:rPr>
          <w:szCs w:val="24"/>
        </w:rPr>
        <w:t xml:space="preserve"> record.</w:t>
      </w:r>
    </w:p>
    <w:p w14:paraId="62BF46E3" w14:textId="4F4768C1" w:rsidR="00C3345C" w:rsidRPr="009E72F9" w:rsidRDefault="00C3345C" w:rsidP="0036173B">
      <w:pPr>
        <w:pStyle w:val="JudgmentNumbered"/>
        <w:rPr>
          <w:szCs w:val="24"/>
        </w:rPr>
      </w:pPr>
      <w:r w:rsidRPr="009E72F9">
        <w:rPr>
          <w:szCs w:val="24"/>
        </w:rPr>
        <w:t>T</w:t>
      </w:r>
      <w:r w:rsidR="006B6DAC" w:rsidRPr="009E72F9">
        <w:rPr>
          <w:szCs w:val="24"/>
        </w:rPr>
        <w:t>he plaintiff’s husband was the primary member of their medical aid scheme</w:t>
      </w:r>
      <w:r w:rsidR="00BD6294" w:rsidRPr="009E72F9">
        <w:rPr>
          <w:szCs w:val="24"/>
        </w:rPr>
        <w:t xml:space="preserve">, </w:t>
      </w:r>
      <w:r w:rsidR="006B6DAC" w:rsidRPr="009E72F9">
        <w:rPr>
          <w:szCs w:val="24"/>
        </w:rPr>
        <w:t>The Regular Force Medical Continuation Fund</w:t>
      </w:r>
      <w:r w:rsidRPr="009E72F9">
        <w:rPr>
          <w:szCs w:val="24"/>
        </w:rPr>
        <w:t>. The plaintiff’s husband ceded his claim, for the costs of the medical treatment</w:t>
      </w:r>
      <w:r w:rsidR="00226B86" w:rsidRPr="009E72F9">
        <w:rPr>
          <w:szCs w:val="24"/>
        </w:rPr>
        <w:t>s</w:t>
      </w:r>
      <w:r w:rsidRPr="009E72F9">
        <w:rPr>
          <w:szCs w:val="24"/>
        </w:rPr>
        <w:t xml:space="preserve"> received by the plaintiff, to the plaintiff.</w:t>
      </w:r>
    </w:p>
    <w:p w14:paraId="6B9A9826" w14:textId="77777777" w:rsidR="004B78A2" w:rsidRPr="009E72F9" w:rsidRDefault="00226B86" w:rsidP="004B78A2">
      <w:pPr>
        <w:pStyle w:val="JudgmentNumbered"/>
        <w:rPr>
          <w:szCs w:val="24"/>
        </w:rPr>
      </w:pPr>
      <w:r w:rsidRPr="009E72F9">
        <w:rPr>
          <w:szCs w:val="24"/>
        </w:rPr>
        <w:t>In a supplementary affidavit, the plaintiff’s husband</w:t>
      </w:r>
      <w:r w:rsidR="001A1CB4" w:rsidRPr="009E72F9">
        <w:rPr>
          <w:szCs w:val="24"/>
        </w:rPr>
        <w:t xml:space="preserve"> confirmed that all the medical expenses were comprehensively paid for by their medical scheme and that the medical scheme paid directly to the relevant medical service providers</w:t>
      </w:r>
      <w:r w:rsidR="004B78A2" w:rsidRPr="009E72F9">
        <w:rPr>
          <w:szCs w:val="24"/>
        </w:rPr>
        <w:t>.</w:t>
      </w:r>
    </w:p>
    <w:p w14:paraId="171D47CF" w14:textId="4DAD9588" w:rsidR="004B78A2" w:rsidRPr="009E72F9" w:rsidRDefault="004B78A2" w:rsidP="004B78A2">
      <w:pPr>
        <w:pStyle w:val="JudgmentNumbered"/>
        <w:rPr>
          <w:szCs w:val="24"/>
        </w:rPr>
      </w:pPr>
      <w:r w:rsidRPr="009E72F9">
        <w:rPr>
          <w:szCs w:val="24"/>
        </w:rPr>
        <w:t xml:space="preserve">The plaintiff </w:t>
      </w:r>
      <w:r w:rsidR="00311515">
        <w:rPr>
          <w:szCs w:val="24"/>
        </w:rPr>
        <w:t xml:space="preserve">appointed the following experts to </w:t>
      </w:r>
      <w:r w:rsidRPr="009E72F9">
        <w:rPr>
          <w:szCs w:val="24"/>
        </w:rPr>
        <w:t xml:space="preserve">procure </w:t>
      </w:r>
      <w:r w:rsidR="00311515">
        <w:rPr>
          <w:szCs w:val="24"/>
        </w:rPr>
        <w:t>the necessary medico-legal</w:t>
      </w:r>
      <w:r w:rsidRPr="009E72F9">
        <w:rPr>
          <w:szCs w:val="24"/>
        </w:rPr>
        <w:t xml:space="preserve"> reports for</w:t>
      </w:r>
      <w:r w:rsidRPr="009E72F9">
        <w:rPr>
          <w:spacing w:val="-5"/>
          <w:szCs w:val="24"/>
        </w:rPr>
        <w:t xml:space="preserve"> </w:t>
      </w:r>
      <w:r w:rsidRPr="009E72F9">
        <w:rPr>
          <w:szCs w:val="24"/>
        </w:rPr>
        <w:t>trial:</w:t>
      </w:r>
    </w:p>
    <w:p w14:paraId="74C7C1F4" w14:textId="77777777" w:rsidR="004B78A2" w:rsidRPr="009E72F9" w:rsidRDefault="004B78A2" w:rsidP="004B78A2">
      <w:pPr>
        <w:pStyle w:val="JudgmentNumbered"/>
        <w:numPr>
          <w:ilvl w:val="1"/>
          <w:numId w:val="4"/>
        </w:numPr>
        <w:rPr>
          <w:szCs w:val="24"/>
        </w:rPr>
      </w:pPr>
      <w:r w:rsidRPr="009E72F9">
        <w:rPr>
          <w:szCs w:val="24"/>
        </w:rPr>
        <w:t>Dr Preddy, Orthopaedic</w:t>
      </w:r>
      <w:r w:rsidRPr="009E72F9">
        <w:rPr>
          <w:spacing w:val="-3"/>
          <w:szCs w:val="24"/>
        </w:rPr>
        <w:t xml:space="preserve"> </w:t>
      </w:r>
      <w:r w:rsidRPr="009E72F9">
        <w:rPr>
          <w:szCs w:val="24"/>
        </w:rPr>
        <w:t>Surgeon;</w:t>
      </w:r>
    </w:p>
    <w:p w14:paraId="739089D8" w14:textId="77777777" w:rsidR="004B78A2" w:rsidRPr="009E72F9" w:rsidRDefault="004B78A2" w:rsidP="004B78A2">
      <w:pPr>
        <w:pStyle w:val="JudgmentNumbered"/>
        <w:numPr>
          <w:ilvl w:val="1"/>
          <w:numId w:val="4"/>
        </w:numPr>
        <w:rPr>
          <w:szCs w:val="24"/>
        </w:rPr>
      </w:pPr>
      <w:r w:rsidRPr="009E72F9">
        <w:rPr>
          <w:szCs w:val="24"/>
        </w:rPr>
        <w:t>Dr Marus,</w:t>
      </w:r>
      <w:r w:rsidRPr="009E72F9">
        <w:rPr>
          <w:spacing w:val="-2"/>
          <w:szCs w:val="24"/>
        </w:rPr>
        <w:t xml:space="preserve"> </w:t>
      </w:r>
      <w:r w:rsidRPr="009E72F9">
        <w:rPr>
          <w:szCs w:val="24"/>
        </w:rPr>
        <w:t>Neurosurgeon;</w:t>
      </w:r>
    </w:p>
    <w:p w14:paraId="69DAA574" w14:textId="77777777" w:rsidR="004B78A2" w:rsidRPr="009E72F9" w:rsidRDefault="004B78A2" w:rsidP="004B78A2">
      <w:pPr>
        <w:pStyle w:val="JudgmentNumbered"/>
        <w:numPr>
          <w:ilvl w:val="1"/>
          <w:numId w:val="4"/>
        </w:numPr>
        <w:rPr>
          <w:szCs w:val="24"/>
        </w:rPr>
      </w:pPr>
      <w:r w:rsidRPr="009E72F9">
        <w:rPr>
          <w:szCs w:val="24"/>
        </w:rPr>
        <w:t>Dr Berkowitz, Plastic</w:t>
      </w:r>
      <w:r w:rsidRPr="009E72F9">
        <w:rPr>
          <w:spacing w:val="-3"/>
          <w:szCs w:val="24"/>
        </w:rPr>
        <w:t xml:space="preserve"> </w:t>
      </w:r>
      <w:r w:rsidRPr="009E72F9">
        <w:rPr>
          <w:szCs w:val="24"/>
        </w:rPr>
        <w:t>Surgeon;</w:t>
      </w:r>
    </w:p>
    <w:p w14:paraId="2129CD0B" w14:textId="77777777" w:rsidR="004B78A2" w:rsidRPr="009E72F9" w:rsidRDefault="004B78A2" w:rsidP="004B78A2">
      <w:pPr>
        <w:pStyle w:val="JudgmentNumbered"/>
        <w:numPr>
          <w:ilvl w:val="1"/>
          <w:numId w:val="4"/>
        </w:numPr>
        <w:rPr>
          <w:szCs w:val="24"/>
        </w:rPr>
      </w:pPr>
      <w:r w:rsidRPr="009E72F9">
        <w:rPr>
          <w:szCs w:val="24"/>
        </w:rPr>
        <w:t>Ms Nicole Healy, Clinical</w:t>
      </w:r>
      <w:r w:rsidRPr="009E72F9">
        <w:rPr>
          <w:spacing w:val="-3"/>
          <w:szCs w:val="24"/>
        </w:rPr>
        <w:t xml:space="preserve"> </w:t>
      </w:r>
      <w:r w:rsidRPr="009E72F9">
        <w:rPr>
          <w:szCs w:val="24"/>
        </w:rPr>
        <w:t>Psychologist;</w:t>
      </w:r>
    </w:p>
    <w:p w14:paraId="3BA7BE38" w14:textId="77777777" w:rsidR="004B78A2" w:rsidRPr="009E72F9" w:rsidRDefault="004B78A2" w:rsidP="004B78A2">
      <w:pPr>
        <w:pStyle w:val="JudgmentNumbered"/>
        <w:numPr>
          <w:ilvl w:val="1"/>
          <w:numId w:val="4"/>
        </w:numPr>
        <w:rPr>
          <w:szCs w:val="24"/>
        </w:rPr>
      </w:pPr>
      <w:r w:rsidRPr="009E72F9">
        <w:rPr>
          <w:szCs w:val="24"/>
        </w:rPr>
        <w:t>Ms Gail Vlok, Occupational</w:t>
      </w:r>
      <w:r w:rsidRPr="009E72F9">
        <w:rPr>
          <w:spacing w:val="-3"/>
          <w:szCs w:val="24"/>
        </w:rPr>
        <w:t xml:space="preserve"> </w:t>
      </w:r>
      <w:r w:rsidRPr="009E72F9">
        <w:rPr>
          <w:szCs w:val="24"/>
        </w:rPr>
        <w:t>Therapist;</w:t>
      </w:r>
    </w:p>
    <w:p w14:paraId="38CAF9AB" w14:textId="77777777" w:rsidR="004B78A2" w:rsidRPr="009E72F9" w:rsidRDefault="004B78A2" w:rsidP="004B78A2">
      <w:pPr>
        <w:pStyle w:val="JudgmentNumbered"/>
        <w:numPr>
          <w:ilvl w:val="1"/>
          <w:numId w:val="4"/>
        </w:numPr>
        <w:rPr>
          <w:szCs w:val="24"/>
        </w:rPr>
      </w:pPr>
      <w:r w:rsidRPr="009E72F9">
        <w:rPr>
          <w:szCs w:val="24"/>
        </w:rPr>
        <w:t>Ms Tania Vermaak, Industrial</w:t>
      </w:r>
      <w:r w:rsidRPr="009E72F9">
        <w:rPr>
          <w:spacing w:val="-3"/>
          <w:szCs w:val="24"/>
        </w:rPr>
        <w:t xml:space="preserve"> </w:t>
      </w:r>
      <w:r w:rsidRPr="009E72F9">
        <w:rPr>
          <w:szCs w:val="24"/>
        </w:rPr>
        <w:t>Psychologist;</w:t>
      </w:r>
    </w:p>
    <w:p w14:paraId="14337DBA" w14:textId="77777777" w:rsidR="004B78A2" w:rsidRPr="009E72F9" w:rsidRDefault="004B78A2" w:rsidP="004B78A2">
      <w:pPr>
        <w:pStyle w:val="JudgmentNumbered"/>
        <w:numPr>
          <w:ilvl w:val="1"/>
          <w:numId w:val="4"/>
        </w:numPr>
        <w:rPr>
          <w:szCs w:val="24"/>
        </w:rPr>
      </w:pPr>
      <w:r w:rsidRPr="009E72F9">
        <w:rPr>
          <w:szCs w:val="24"/>
        </w:rPr>
        <w:t>Mr Gregory Whittaker,</w:t>
      </w:r>
      <w:r w:rsidRPr="009E72F9">
        <w:rPr>
          <w:spacing w:val="-4"/>
          <w:szCs w:val="24"/>
        </w:rPr>
        <w:t xml:space="preserve"> </w:t>
      </w:r>
      <w:r w:rsidRPr="009E72F9">
        <w:rPr>
          <w:szCs w:val="24"/>
        </w:rPr>
        <w:t>Actuary.</w:t>
      </w:r>
    </w:p>
    <w:p w14:paraId="459BD379" w14:textId="18912B36" w:rsidR="004B78A2" w:rsidRPr="009E72F9" w:rsidRDefault="004B78A2" w:rsidP="004B78A2">
      <w:pPr>
        <w:pStyle w:val="JudgmentNumbered"/>
        <w:rPr>
          <w:szCs w:val="24"/>
        </w:rPr>
      </w:pPr>
      <w:r w:rsidRPr="009E72F9">
        <w:rPr>
          <w:szCs w:val="24"/>
        </w:rPr>
        <w:t>Dr Preddy reported</w:t>
      </w:r>
      <w:r w:rsidRPr="009E72F9">
        <w:rPr>
          <w:spacing w:val="-3"/>
          <w:szCs w:val="24"/>
        </w:rPr>
        <w:t xml:space="preserve"> </w:t>
      </w:r>
      <w:r w:rsidRPr="009E72F9">
        <w:rPr>
          <w:szCs w:val="24"/>
        </w:rPr>
        <w:t>that:</w:t>
      </w:r>
    </w:p>
    <w:p w14:paraId="656652EA" w14:textId="77777777" w:rsidR="004B78A2" w:rsidRPr="009E72F9" w:rsidRDefault="004B78A2" w:rsidP="00E01452">
      <w:pPr>
        <w:pStyle w:val="JudgmentNumbered"/>
        <w:numPr>
          <w:ilvl w:val="1"/>
          <w:numId w:val="4"/>
        </w:numPr>
        <w:rPr>
          <w:szCs w:val="24"/>
        </w:rPr>
      </w:pPr>
      <w:r w:rsidRPr="009E72F9">
        <w:rPr>
          <w:szCs w:val="24"/>
        </w:rPr>
        <w:t>Due loss to a of full flexion, abduction, and internal rotation of the plaintiff’s left arm the plaintiff is unable to lift her arm fully above her head or reach behind her back;</w:t>
      </w:r>
    </w:p>
    <w:p w14:paraId="70FB3761" w14:textId="77777777" w:rsidR="004B78A2" w:rsidRPr="009E72F9" w:rsidRDefault="004B78A2" w:rsidP="00E01452">
      <w:pPr>
        <w:pStyle w:val="JudgmentNumbered"/>
        <w:numPr>
          <w:ilvl w:val="1"/>
          <w:numId w:val="4"/>
        </w:numPr>
        <w:rPr>
          <w:szCs w:val="24"/>
        </w:rPr>
      </w:pPr>
      <w:r w:rsidRPr="009E72F9">
        <w:rPr>
          <w:szCs w:val="24"/>
        </w:rPr>
        <w:t>The plaintiff presents with crepitus and the shoulder appears to be subluxated;</w:t>
      </w:r>
    </w:p>
    <w:p w14:paraId="54072A76" w14:textId="77777777" w:rsidR="004B78A2" w:rsidRPr="009E72F9" w:rsidRDefault="004B78A2" w:rsidP="00E01452">
      <w:pPr>
        <w:pStyle w:val="JudgmentNumbered"/>
        <w:numPr>
          <w:ilvl w:val="1"/>
          <w:numId w:val="4"/>
        </w:numPr>
        <w:rPr>
          <w:szCs w:val="24"/>
        </w:rPr>
      </w:pPr>
      <w:r w:rsidRPr="009E72F9">
        <w:rPr>
          <w:szCs w:val="24"/>
        </w:rPr>
        <w:t>There is wasting of the deltoid muscles and of the upper arm circumference;</w:t>
      </w:r>
    </w:p>
    <w:p w14:paraId="7A818C32" w14:textId="422D08D4" w:rsidR="004B78A2" w:rsidRPr="009E72F9" w:rsidRDefault="004B78A2" w:rsidP="00E01452">
      <w:pPr>
        <w:pStyle w:val="JudgmentNumbered"/>
        <w:numPr>
          <w:ilvl w:val="1"/>
          <w:numId w:val="4"/>
        </w:numPr>
        <w:rPr>
          <w:szCs w:val="24"/>
        </w:rPr>
      </w:pPr>
      <w:r w:rsidRPr="009E72F9">
        <w:rPr>
          <w:szCs w:val="24"/>
        </w:rPr>
        <w:lastRenderedPageBreak/>
        <w:t>The</w:t>
      </w:r>
      <w:r w:rsidRPr="009E72F9">
        <w:rPr>
          <w:spacing w:val="-1"/>
          <w:szCs w:val="24"/>
        </w:rPr>
        <w:t xml:space="preserve"> </w:t>
      </w:r>
      <w:r w:rsidRPr="009E72F9">
        <w:rPr>
          <w:szCs w:val="24"/>
        </w:rPr>
        <w:t xml:space="preserve">plaintiff has a loss of full function of the left shoulder, especially </w:t>
      </w:r>
      <w:r w:rsidRPr="009E72F9">
        <w:rPr>
          <w:spacing w:val="-6"/>
          <w:szCs w:val="24"/>
        </w:rPr>
        <w:t xml:space="preserve">in </w:t>
      </w:r>
      <w:r w:rsidRPr="009E72F9">
        <w:rPr>
          <w:szCs w:val="24"/>
        </w:rPr>
        <w:t>attempting to do activities such as carry objects,</w:t>
      </w:r>
      <w:r w:rsidR="00311515">
        <w:rPr>
          <w:spacing w:val="48"/>
          <w:szCs w:val="24"/>
        </w:rPr>
        <w:t xml:space="preserve"> </w:t>
      </w:r>
      <w:r w:rsidRPr="009E72F9">
        <w:rPr>
          <w:szCs w:val="24"/>
        </w:rPr>
        <w:t>work overhead, lift objects up onto a shelf and do recreational activities;</w:t>
      </w:r>
    </w:p>
    <w:p w14:paraId="3C85A173" w14:textId="77777777" w:rsidR="004B78A2" w:rsidRPr="009E72F9" w:rsidRDefault="004B78A2" w:rsidP="00E01452">
      <w:pPr>
        <w:pStyle w:val="JudgmentNumbered"/>
        <w:rPr>
          <w:szCs w:val="24"/>
        </w:rPr>
      </w:pPr>
      <w:r w:rsidRPr="009E72F9">
        <w:rPr>
          <w:szCs w:val="24"/>
        </w:rPr>
        <w:t>Dr Berkowitz reported that the plaintiff presented</w:t>
      </w:r>
      <w:r w:rsidRPr="009E72F9">
        <w:rPr>
          <w:spacing w:val="-6"/>
          <w:szCs w:val="24"/>
        </w:rPr>
        <w:t xml:space="preserve"> </w:t>
      </w:r>
      <w:r w:rsidRPr="009E72F9">
        <w:rPr>
          <w:szCs w:val="24"/>
        </w:rPr>
        <w:t>with:</w:t>
      </w:r>
    </w:p>
    <w:p w14:paraId="23CDA8FF" w14:textId="77777777" w:rsidR="004B78A2" w:rsidRPr="009E72F9" w:rsidRDefault="004B78A2" w:rsidP="00E01452">
      <w:pPr>
        <w:pStyle w:val="JudgmentNumbered"/>
        <w:numPr>
          <w:ilvl w:val="1"/>
          <w:numId w:val="4"/>
        </w:numPr>
        <w:rPr>
          <w:szCs w:val="24"/>
        </w:rPr>
      </w:pPr>
      <w:r w:rsidRPr="009E72F9">
        <w:rPr>
          <w:szCs w:val="24"/>
        </w:rPr>
        <w:t>a</w:t>
      </w:r>
      <w:r w:rsidRPr="009E72F9">
        <w:rPr>
          <w:spacing w:val="-10"/>
          <w:szCs w:val="24"/>
        </w:rPr>
        <w:t xml:space="preserve"> </w:t>
      </w:r>
      <w:r w:rsidRPr="009E72F9">
        <w:rPr>
          <w:szCs w:val="24"/>
        </w:rPr>
        <w:t>scar</w:t>
      </w:r>
      <w:r w:rsidRPr="009E72F9">
        <w:rPr>
          <w:spacing w:val="-10"/>
          <w:szCs w:val="24"/>
        </w:rPr>
        <w:t xml:space="preserve"> </w:t>
      </w:r>
      <w:r w:rsidRPr="009E72F9">
        <w:rPr>
          <w:szCs w:val="24"/>
        </w:rPr>
        <w:t>measuring</w:t>
      </w:r>
      <w:r w:rsidRPr="009E72F9">
        <w:rPr>
          <w:spacing w:val="-10"/>
          <w:szCs w:val="24"/>
        </w:rPr>
        <w:t xml:space="preserve"> </w:t>
      </w:r>
      <w:r w:rsidRPr="009E72F9">
        <w:rPr>
          <w:szCs w:val="24"/>
        </w:rPr>
        <w:t>15</w:t>
      </w:r>
      <w:r w:rsidRPr="009E72F9">
        <w:rPr>
          <w:spacing w:val="-10"/>
          <w:szCs w:val="24"/>
        </w:rPr>
        <w:t xml:space="preserve"> </w:t>
      </w:r>
      <w:r w:rsidRPr="009E72F9">
        <w:rPr>
          <w:szCs w:val="24"/>
        </w:rPr>
        <w:t>mm</w:t>
      </w:r>
      <w:r w:rsidRPr="009E72F9">
        <w:rPr>
          <w:spacing w:val="-10"/>
          <w:szCs w:val="24"/>
        </w:rPr>
        <w:t xml:space="preserve"> </w:t>
      </w:r>
      <w:r w:rsidRPr="009E72F9">
        <w:rPr>
          <w:szCs w:val="24"/>
        </w:rPr>
        <w:t>x</w:t>
      </w:r>
      <w:r w:rsidRPr="009E72F9">
        <w:rPr>
          <w:spacing w:val="-9"/>
          <w:szCs w:val="24"/>
        </w:rPr>
        <w:t xml:space="preserve"> </w:t>
      </w:r>
      <w:r w:rsidRPr="009E72F9">
        <w:rPr>
          <w:szCs w:val="24"/>
        </w:rPr>
        <w:t>3</w:t>
      </w:r>
      <w:r w:rsidRPr="009E72F9">
        <w:rPr>
          <w:spacing w:val="-10"/>
          <w:szCs w:val="24"/>
        </w:rPr>
        <w:t xml:space="preserve"> </w:t>
      </w:r>
      <w:r w:rsidRPr="009E72F9">
        <w:rPr>
          <w:szCs w:val="24"/>
        </w:rPr>
        <w:t>mm</w:t>
      </w:r>
      <w:r w:rsidRPr="009E72F9">
        <w:rPr>
          <w:spacing w:val="-10"/>
          <w:szCs w:val="24"/>
        </w:rPr>
        <w:t xml:space="preserve"> </w:t>
      </w:r>
      <w:r w:rsidRPr="009E72F9">
        <w:rPr>
          <w:szCs w:val="24"/>
        </w:rPr>
        <w:t>lying</w:t>
      </w:r>
      <w:r w:rsidRPr="009E72F9">
        <w:rPr>
          <w:spacing w:val="-10"/>
          <w:szCs w:val="24"/>
        </w:rPr>
        <w:t xml:space="preserve"> </w:t>
      </w:r>
      <w:r w:rsidRPr="009E72F9">
        <w:rPr>
          <w:szCs w:val="24"/>
        </w:rPr>
        <w:t>longitudinally</w:t>
      </w:r>
      <w:r w:rsidRPr="009E72F9">
        <w:rPr>
          <w:spacing w:val="-10"/>
          <w:szCs w:val="24"/>
        </w:rPr>
        <w:t xml:space="preserve"> </w:t>
      </w:r>
      <w:r w:rsidRPr="009E72F9">
        <w:rPr>
          <w:szCs w:val="24"/>
        </w:rPr>
        <w:t>on</w:t>
      </w:r>
      <w:r w:rsidRPr="009E72F9">
        <w:rPr>
          <w:spacing w:val="-9"/>
          <w:szCs w:val="24"/>
        </w:rPr>
        <w:t xml:space="preserve"> </w:t>
      </w:r>
      <w:r w:rsidRPr="009E72F9">
        <w:rPr>
          <w:szCs w:val="24"/>
        </w:rPr>
        <w:t>the</w:t>
      </w:r>
      <w:r w:rsidRPr="009E72F9">
        <w:rPr>
          <w:spacing w:val="-10"/>
          <w:szCs w:val="24"/>
        </w:rPr>
        <w:t xml:space="preserve"> </w:t>
      </w:r>
      <w:r w:rsidRPr="009E72F9">
        <w:rPr>
          <w:szCs w:val="24"/>
        </w:rPr>
        <w:t>lateral</w:t>
      </w:r>
      <w:r w:rsidRPr="009E72F9">
        <w:rPr>
          <w:spacing w:val="-10"/>
          <w:szCs w:val="24"/>
        </w:rPr>
        <w:t xml:space="preserve"> </w:t>
      </w:r>
      <w:r w:rsidRPr="009E72F9">
        <w:rPr>
          <w:spacing w:val="-3"/>
          <w:szCs w:val="24"/>
        </w:rPr>
        <w:t xml:space="preserve">aspect </w:t>
      </w:r>
      <w:r w:rsidRPr="009E72F9">
        <w:rPr>
          <w:szCs w:val="24"/>
        </w:rPr>
        <w:t>of the middle third of the left</w:t>
      </w:r>
      <w:r w:rsidRPr="009E72F9">
        <w:rPr>
          <w:spacing w:val="-3"/>
          <w:szCs w:val="24"/>
        </w:rPr>
        <w:t xml:space="preserve"> </w:t>
      </w:r>
      <w:r w:rsidRPr="009E72F9">
        <w:rPr>
          <w:szCs w:val="24"/>
        </w:rPr>
        <w:t>thigh.</w:t>
      </w:r>
    </w:p>
    <w:p w14:paraId="717AE078" w14:textId="2F81DB7A" w:rsidR="004B78A2" w:rsidRPr="009E72F9" w:rsidRDefault="004B78A2" w:rsidP="00E01452">
      <w:pPr>
        <w:pStyle w:val="JudgmentNumbered"/>
        <w:numPr>
          <w:ilvl w:val="1"/>
          <w:numId w:val="4"/>
        </w:numPr>
        <w:rPr>
          <w:szCs w:val="24"/>
        </w:rPr>
      </w:pPr>
      <w:r w:rsidRPr="009E72F9">
        <w:rPr>
          <w:szCs w:val="24"/>
        </w:rPr>
        <w:t>a serious permanent disfigurement of her left</w:t>
      </w:r>
      <w:r w:rsidRPr="009E72F9">
        <w:rPr>
          <w:spacing w:val="-6"/>
          <w:szCs w:val="24"/>
        </w:rPr>
        <w:t xml:space="preserve"> </w:t>
      </w:r>
      <w:r w:rsidRPr="009E72F9">
        <w:rPr>
          <w:szCs w:val="24"/>
        </w:rPr>
        <w:t>shoulder.</w:t>
      </w:r>
    </w:p>
    <w:p w14:paraId="035FE465" w14:textId="77777777" w:rsidR="004B78A2" w:rsidRPr="009E72F9" w:rsidRDefault="004B78A2" w:rsidP="00E01452">
      <w:pPr>
        <w:pStyle w:val="JudgmentNumbered"/>
        <w:rPr>
          <w:szCs w:val="24"/>
        </w:rPr>
      </w:pPr>
      <w:r w:rsidRPr="009E72F9">
        <w:rPr>
          <w:szCs w:val="24"/>
        </w:rPr>
        <w:t>Dr Marus reported</w:t>
      </w:r>
      <w:r w:rsidRPr="009E72F9">
        <w:rPr>
          <w:spacing w:val="-4"/>
          <w:szCs w:val="24"/>
        </w:rPr>
        <w:t xml:space="preserve"> </w:t>
      </w:r>
      <w:r w:rsidRPr="009E72F9">
        <w:rPr>
          <w:szCs w:val="24"/>
        </w:rPr>
        <w:t>that brain scans confirmed that the plaintiff presents</w:t>
      </w:r>
      <w:r w:rsidRPr="009E72F9">
        <w:rPr>
          <w:spacing w:val="-3"/>
          <w:szCs w:val="24"/>
        </w:rPr>
        <w:t xml:space="preserve"> </w:t>
      </w:r>
      <w:r w:rsidRPr="009E72F9">
        <w:rPr>
          <w:szCs w:val="24"/>
        </w:rPr>
        <w:t>with:</w:t>
      </w:r>
    </w:p>
    <w:p w14:paraId="571E69A4" w14:textId="77777777" w:rsidR="004B78A2" w:rsidRPr="009E72F9" w:rsidRDefault="004B78A2" w:rsidP="00E01452">
      <w:pPr>
        <w:pStyle w:val="JudgmentNumbered"/>
        <w:numPr>
          <w:ilvl w:val="1"/>
          <w:numId w:val="4"/>
        </w:numPr>
        <w:rPr>
          <w:szCs w:val="24"/>
        </w:rPr>
      </w:pPr>
      <w:r w:rsidRPr="009E72F9">
        <w:rPr>
          <w:szCs w:val="24"/>
        </w:rPr>
        <w:t>various intracranial</w:t>
      </w:r>
      <w:r w:rsidRPr="009E72F9">
        <w:rPr>
          <w:spacing w:val="-2"/>
          <w:szCs w:val="24"/>
        </w:rPr>
        <w:t xml:space="preserve"> </w:t>
      </w:r>
      <w:r w:rsidRPr="009E72F9">
        <w:rPr>
          <w:szCs w:val="24"/>
        </w:rPr>
        <w:t>haemorrhages;</w:t>
      </w:r>
    </w:p>
    <w:p w14:paraId="2B14730C" w14:textId="1DB61184" w:rsidR="004B78A2" w:rsidRPr="009E72F9" w:rsidRDefault="004B78A2" w:rsidP="00E01452">
      <w:pPr>
        <w:pStyle w:val="JudgmentNumbered"/>
        <w:numPr>
          <w:ilvl w:val="1"/>
          <w:numId w:val="4"/>
        </w:numPr>
        <w:rPr>
          <w:szCs w:val="24"/>
        </w:rPr>
      </w:pPr>
      <w:r w:rsidRPr="009E72F9">
        <w:rPr>
          <w:szCs w:val="24"/>
        </w:rPr>
        <w:t>a subdural,</w:t>
      </w:r>
      <w:r w:rsidR="00E01452" w:rsidRPr="009E72F9">
        <w:rPr>
          <w:szCs w:val="24"/>
        </w:rPr>
        <w:t xml:space="preserve"> </w:t>
      </w:r>
      <w:r w:rsidRPr="009E72F9">
        <w:rPr>
          <w:szCs w:val="24"/>
        </w:rPr>
        <w:t xml:space="preserve">subarachnoid </w:t>
      </w:r>
      <w:r w:rsidR="00E01452" w:rsidRPr="009E72F9">
        <w:rPr>
          <w:szCs w:val="24"/>
        </w:rPr>
        <w:t>haemorrhage</w:t>
      </w:r>
      <w:r w:rsidRPr="009E72F9">
        <w:rPr>
          <w:szCs w:val="24"/>
        </w:rPr>
        <w:t xml:space="preserve">, together with </w:t>
      </w:r>
      <w:r w:rsidRPr="009E72F9">
        <w:rPr>
          <w:spacing w:val="-13"/>
          <w:szCs w:val="24"/>
        </w:rPr>
        <w:t xml:space="preserve">a </w:t>
      </w:r>
      <w:r w:rsidRPr="009E72F9">
        <w:rPr>
          <w:szCs w:val="24"/>
        </w:rPr>
        <w:t>small right parietal cerebral</w:t>
      </w:r>
      <w:r w:rsidRPr="009E72F9">
        <w:rPr>
          <w:spacing w:val="-3"/>
          <w:szCs w:val="24"/>
        </w:rPr>
        <w:t xml:space="preserve"> </w:t>
      </w:r>
      <w:r w:rsidR="00E01452" w:rsidRPr="009E72F9">
        <w:rPr>
          <w:szCs w:val="24"/>
        </w:rPr>
        <w:t>haemorrhage</w:t>
      </w:r>
      <w:r w:rsidRPr="009E72F9">
        <w:rPr>
          <w:szCs w:val="24"/>
        </w:rPr>
        <w:t>;</w:t>
      </w:r>
    </w:p>
    <w:p w14:paraId="54B966F2" w14:textId="644C896E" w:rsidR="00E01452" w:rsidRPr="009E72F9" w:rsidRDefault="004B78A2" w:rsidP="00E01452">
      <w:pPr>
        <w:pStyle w:val="JudgmentNumbered"/>
        <w:numPr>
          <w:ilvl w:val="1"/>
          <w:numId w:val="4"/>
        </w:numPr>
        <w:tabs>
          <w:tab w:val="left" w:pos="1543"/>
          <w:tab w:val="left" w:pos="1544"/>
        </w:tabs>
        <w:spacing w:before="10"/>
        <w:rPr>
          <w:szCs w:val="24"/>
        </w:rPr>
      </w:pPr>
      <w:r w:rsidRPr="009E72F9">
        <w:rPr>
          <w:szCs w:val="24"/>
        </w:rPr>
        <w:t>bilateral</w:t>
      </w:r>
      <w:r w:rsidR="00E01452" w:rsidRPr="009E72F9">
        <w:rPr>
          <w:szCs w:val="24"/>
        </w:rPr>
        <w:t xml:space="preserve"> </w:t>
      </w:r>
      <w:r w:rsidRPr="009E72F9">
        <w:rPr>
          <w:szCs w:val="24"/>
        </w:rPr>
        <w:t>subdural</w:t>
      </w:r>
      <w:r w:rsidR="00E01452" w:rsidRPr="009E72F9">
        <w:rPr>
          <w:szCs w:val="24"/>
        </w:rPr>
        <w:t xml:space="preserve"> </w:t>
      </w:r>
      <w:r w:rsidRPr="009E72F9">
        <w:rPr>
          <w:szCs w:val="24"/>
        </w:rPr>
        <w:t>and</w:t>
      </w:r>
      <w:r w:rsidRPr="009E72F9">
        <w:rPr>
          <w:szCs w:val="24"/>
        </w:rPr>
        <w:tab/>
        <w:t>subarachnoid</w:t>
      </w:r>
      <w:r w:rsidR="00E01452" w:rsidRPr="009E72F9">
        <w:rPr>
          <w:szCs w:val="24"/>
        </w:rPr>
        <w:t xml:space="preserve"> haemorrhages</w:t>
      </w:r>
      <w:r w:rsidRPr="009E72F9">
        <w:rPr>
          <w:szCs w:val="24"/>
        </w:rPr>
        <w:t>, together with a right parietal intracerebral contusion;</w:t>
      </w:r>
    </w:p>
    <w:p w14:paraId="430C5E09" w14:textId="1EF2156A" w:rsidR="00E01452" w:rsidRPr="009E72F9" w:rsidRDefault="009E72F9" w:rsidP="00E01452">
      <w:pPr>
        <w:pStyle w:val="JudgmentNumbered"/>
        <w:rPr>
          <w:szCs w:val="24"/>
        </w:rPr>
      </w:pPr>
      <w:r w:rsidRPr="009E72F9">
        <w:rPr>
          <w:szCs w:val="24"/>
        </w:rPr>
        <w:t>Further in his report, Dr Marus states that t</w:t>
      </w:r>
      <w:r w:rsidR="004B78A2" w:rsidRPr="009E72F9">
        <w:rPr>
          <w:szCs w:val="24"/>
        </w:rPr>
        <w:t>he plaintiff</w:t>
      </w:r>
      <w:r w:rsidR="004B78A2" w:rsidRPr="009E72F9">
        <w:rPr>
          <w:spacing w:val="-2"/>
          <w:szCs w:val="24"/>
        </w:rPr>
        <w:t xml:space="preserve"> </w:t>
      </w:r>
      <w:r w:rsidR="004B78A2" w:rsidRPr="009E72F9">
        <w:rPr>
          <w:szCs w:val="24"/>
        </w:rPr>
        <w:t>sustained:</w:t>
      </w:r>
    </w:p>
    <w:p w14:paraId="33052F3E" w14:textId="0E894442" w:rsidR="004B78A2" w:rsidRPr="009E72F9" w:rsidRDefault="004B78A2" w:rsidP="00E01452">
      <w:pPr>
        <w:pStyle w:val="ListParagraph"/>
        <w:numPr>
          <w:ilvl w:val="1"/>
          <w:numId w:val="4"/>
        </w:numPr>
        <w:spacing w:before="90" w:line="480" w:lineRule="auto"/>
        <w:ind w:right="151"/>
        <w:jc w:val="both"/>
        <w:rPr>
          <w:sz w:val="24"/>
          <w:szCs w:val="24"/>
          <w:lang w:val="en-GB"/>
        </w:rPr>
      </w:pPr>
      <w:r w:rsidRPr="009E72F9">
        <w:rPr>
          <w:sz w:val="24"/>
          <w:szCs w:val="24"/>
          <w:lang w:val="en-GB"/>
        </w:rPr>
        <w:t>significant head trauma with a period of post-traumatic amnesia;</w:t>
      </w:r>
    </w:p>
    <w:p w14:paraId="5BD5DFF7" w14:textId="77777777" w:rsidR="004B78A2" w:rsidRPr="009E72F9" w:rsidRDefault="004B78A2" w:rsidP="00E01452">
      <w:pPr>
        <w:pStyle w:val="ListParagraph"/>
        <w:numPr>
          <w:ilvl w:val="1"/>
          <w:numId w:val="4"/>
        </w:numPr>
        <w:spacing w:before="90" w:line="480" w:lineRule="auto"/>
        <w:ind w:right="151"/>
        <w:jc w:val="both"/>
        <w:rPr>
          <w:sz w:val="24"/>
          <w:szCs w:val="24"/>
          <w:lang w:val="en-GB"/>
        </w:rPr>
      </w:pPr>
      <w:r w:rsidRPr="009E72F9">
        <w:rPr>
          <w:sz w:val="24"/>
          <w:szCs w:val="24"/>
          <w:lang w:val="en-GB"/>
        </w:rPr>
        <w:t>a moderate to severe concussive diffuse brain injury;</w:t>
      </w:r>
    </w:p>
    <w:p w14:paraId="11BF16DC" w14:textId="3B3E16EC" w:rsidR="004B78A2" w:rsidRPr="009E72F9" w:rsidRDefault="004B78A2" w:rsidP="00E01452">
      <w:pPr>
        <w:pStyle w:val="ListParagraph"/>
        <w:numPr>
          <w:ilvl w:val="1"/>
          <w:numId w:val="4"/>
        </w:numPr>
        <w:spacing w:before="90" w:line="480" w:lineRule="auto"/>
        <w:ind w:right="151"/>
        <w:jc w:val="both"/>
        <w:rPr>
          <w:sz w:val="24"/>
          <w:szCs w:val="24"/>
          <w:lang w:val="en-GB"/>
        </w:rPr>
      </w:pPr>
      <w:r w:rsidRPr="009E72F9">
        <w:rPr>
          <w:sz w:val="24"/>
          <w:szCs w:val="24"/>
          <w:lang w:val="en-GB"/>
        </w:rPr>
        <w:t xml:space="preserve">right parietal intracerebral </w:t>
      </w:r>
      <w:r w:rsidR="00311515" w:rsidRPr="009E72F9">
        <w:rPr>
          <w:sz w:val="24"/>
          <w:szCs w:val="24"/>
          <w:lang w:val="en-GB"/>
        </w:rPr>
        <w:t>haemorrhage</w:t>
      </w:r>
      <w:r w:rsidRPr="009E72F9">
        <w:rPr>
          <w:sz w:val="24"/>
          <w:szCs w:val="24"/>
          <w:lang w:val="en-GB"/>
        </w:rPr>
        <w:t xml:space="preserve"> complicating her diffuse brain injury and increasing the likelihood of long- term cognitive dysfunction.</w:t>
      </w:r>
    </w:p>
    <w:p w14:paraId="0C3222B5" w14:textId="77777777" w:rsidR="004B78A2" w:rsidRDefault="004B78A2" w:rsidP="00E01452">
      <w:pPr>
        <w:pStyle w:val="ListParagraph"/>
        <w:numPr>
          <w:ilvl w:val="1"/>
          <w:numId w:val="4"/>
        </w:numPr>
        <w:spacing w:before="90" w:line="480" w:lineRule="auto"/>
        <w:ind w:right="151"/>
        <w:jc w:val="both"/>
        <w:rPr>
          <w:sz w:val="24"/>
          <w:szCs w:val="24"/>
          <w:lang w:val="en-GB"/>
        </w:rPr>
      </w:pPr>
      <w:r w:rsidRPr="009E72F9">
        <w:rPr>
          <w:sz w:val="24"/>
          <w:szCs w:val="24"/>
          <w:lang w:val="en-GB"/>
        </w:rPr>
        <w:t>The plaintiff remains at risk for the development of late post traumatic epilepsy.</w:t>
      </w:r>
    </w:p>
    <w:p w14:paraId="59525354" w14:textId="0FA84B68" w:rsidR="001F6A72" w:rsidRPr="009E72F9" w:rsidRDefault="001F6A72" w:rsidP="001F6A72">
      <w:pPr>
        <w:pStyle w:val="JudgmentNumbered"/>
      </w:pPr>
      <w:r w:rsidRPr="001F6A72">
        <w:t>Dr Marus</w:t>
      </w:r>
      <w:r>
        <w:t xml:space="preserve"> c</w:t>
      </w:r>
      <w:r w:rsidRPr="001F6A72">
        <w:t>onclude</w:t>
      </w:r>
      <w:r>
        <w:t>d</w:t>
      </w:r>
      <w:r w:rsidRPr="001F6A72">
        <w:t xml:space="preserve"> in his report that </w:t>
      </w:r>
      <w:r>
        <w:t>the plaintiff’s</w:t>
      </w:r>
      <w:r w:rsidRPr="001F6A72">
        <w:t xml:space="preserve"> brain injury has had a significant alteration in her mental wellbeing and functional capacity as a wife, social worker and </w:t>
      </w:r>
      <w:r w:rsidR="00F40725">
        <w:t>as an</w:t>
      </w:r>
      <w:r w:rsidRPr="001F6A72">
        <w:t xml:space="preserve"> integrated member of society.</w:t>
      </w:r>
    </w:p>
    <w:p w14:paraId="6D1FFAED" w14:textId="77777777" w:rsidR="009E72F9" w:rsidRPr="009E72F9" w:rsidRDefault="004B78A2" w:rsidP="009E72F9">
      <w:pPr>
        <w:pStyle w:val="JudgmentNumbered"/>
        <w:rPr>
          <w:szCs w:val="24"/>
        </w:rPr>
      </w:pPr>
      <w:r w:rsidRPr="009E72F9">
        <w:rPr>
          <w:szCs w:val="24"/>
        </w:rPr>
        <w:t>Ms Healy reported that:</w:t>
      </w:r>
    </w:p>
    <w:p w14:paraId="10219008" w14:textId="5307B5F7" w:rsidR="004B78A2" w:rsidRPr="009E72F9" w:rsidRDefault="004B78A2" w:rsidP="009E72F9">
      <w:pPr>
        <w:pStyle w:val="JudgmentNumbered"/>
        <w:numPr>
          <w:ilvl w:val="1"/>
          <w:numId w:val="4"/>
        </w:numPr>
        <w:rPr>
          <w:szCs w:val="24"/>
        </w:rPr>
      </w:pPr>
      <w:r w:rsidRPr="009E72F9">
        <w:rPr>
          <w:szCs w:val="24"/>
        </w:rPr>
        <w:lastRenderedPageBreak/>
        <w:t>Following the collision, the plaintiff’s behaviour is consistent with poor frontal lobe control over her behaviour. The plaintiff has difficulty with attention and working memory, slowed double tracking, slowed processing speed, poor numerical reasoning, and a reduced speed of expressive language and language processing.</w:t>
      </w:r>
    </w:p>
    <w:p w14:paraId="0AD8DEE5" w14:textId="77777777" w:rsidR="009E72F9" w:rsidRPr="009E72F9" w:rsidRDefault="004B78A2" w:rsidP="009E72F9">
      <w:pPr>
        <w:pStyle w:val="JudgmentNumbered"/>
        <w:numPr>
          <w:ilvl w:val="1"/>
          <w:numId w:val="4"/>
        </w:numPr>
        <w:rPr>
          <w:szCs w:val="24"/>
        </w:rPr>
      </w:pPr>
      <w:r w:rsidRPr="009E72F9">
        <w:rPr>
          <w:szCs w:val="24"/>
        </w:rPr>
        <w:t>The plaintiff’s deficits are generally mild to moderate but are probably reflective of a moderate to severe brain injury.</w:t>
      </w:r>
    </w:p>
    <w:p w14:paraId="18730FF3" w14:textId="6FF8B2A6" w:rsidR="004B78A2" w:rsidRPr="009E72F9" w:rsidRDefault="004B78A2" w:rsidP="009E72F9">
      <w:pPr>
        <w:pStyle w:val="JudgmentNumbered"/>
        <w:numPr>
          <w:ilvl w:val="1"/>
          <w:numId w:val="4"/>
        </w:numPr>
        <w:rPr>
          <w:szCs w:val="24"/>
        </w:rPr>
      </w:pPr>
      <w:r w:rsidRPr="009E72F9">
        <w:rPr>
          <w:szCs w:val="24"/>
        </w:rPr>
        <w:t>The plaintiff’s brain injury contributes to her increased emotional lability, social withdrawal and increased levels of fatigue.</w:t>
      </w:r>
    </w:p>
    <w:p w14:paraId="5DD0C770" w14:textId="77777777" w:rsidR="004B78A2" w:rsidRPr="009E72F9" w:rsidRDefault="004B78A2" w:rsidP="009E72F9">
      <w:pPr>
        <w:pStyle w:val="JudgmentNumbered"/>
        <w:numPr>
          <w:ilvl w:val="1"/>
          <w:numId w:val="4"/>
        </w:numPr>
        <w:rPr>
          <w:szCs w:val="24"/>
        </w:rPr>
      </w:pPr>
      <w:r w:rsidRPr="009E72F9">
        <w:rPr>
          <w:szCs w:val="24"/>
        </w:rPr>
        <w:t>The plaintiff’s injuries have resulted in reduced cognitive functions and weakened work capacity.</w:t>
      </w:r>
    </w:p>
    <w:p w14:paraId="0BB4AFE7" w14:textId="77777777" w:rsidR="004B78A2" w:rsidRPr="009E72F9" w:rsidRDefault="004B78A2" w:rsidP="009E72F9">
      <w:pPr>
        <w:pStyle w:val="JudgmentNumbered"/>
        <w:numPr>
          <w:ilvl w:val="1"/>
          <w:numId w:val="4"/>
        </w:numPr>
        <w:rPr>
          <w:szCs w:val="24"/>
        </w:rPr>
      </w:pPr>
      <w:r w:rsidRPr="009E72F9">
        <w:rPr>
          <w:szCs w:val="24"/>
        </w:rPr>
        <w:t>The plaintiff’s development of a highly disabling obsessive-compulsive disorder (OCD) is associated with the brain injury with a causal link between the organic injury and the disorder.</w:t>
      </w:r>
    </w:p>
    <w:p w14:paraId="259BF94A" w14:textId="77777777" w:rsidR="004B78A2" w:rsidRPr="009E72F9" w:rsidRDefault="004B78A2" w:rsidP="009E72F9">
      <w:pPr>
        <w:pStyle w:val="JudgmentNumbered"/>
        <w:numPr>
          <w:ilvl w:val="1"/>
          <w:numId w:val="4"/>
        </w:numPr>
        <w:rPr>
          <w:szCs w:val="24"/>
        </w:rPr>
      </w:pPr>
      <w:r w:rsidRPr="009E72F9">
        <w:rPr>
          <w:szCs w:val="24"/>
        </w:rPr>
        <w:t>The Obsessive-Compulsive Disorder being triggered by the collision and its sequelae, resulted in a watershed in terms of the plaintiff’s quality of life and affects her ability to function normally in society.</w:t>
      </w:r>
    </w:p>
    <w:p w14:paraId="5F1A6DA8" w14:textId="683214F0" w:rsidR="009E72F9" w:rsidRPr="009E72F9" w:rsidRDefault="004B78A2" w:rsidP="009E72F9">
      <w:pPr>
        <w:pStyle w:val="JudgmentNumbered"/>
        <w:numPr>
          <w:ilvl w:val="1"/>
          <w:numId w:val="4"/>
        </w:numPr>
        <w:rPr>
          <w:szCs w:val="24"/>
        </w:rPr>
      </w:pPr>
      <w:r w:rsidRPr="009E72F9">
        <w:rPr>
          <w:szCs w:val="24"/>
        </w:rPr>
        <w:t xml:space="preserve">The plaintiff’s symptoms primarily meet the criteria for an obsessive- compulsive disorder (OCD), with good insight. Secondary to </w:t>
      </w:r>
      <w:r w:rsidRPr="009E72F9">
        <w:rPr>
          <w:spacing w:val="-4"/>
          <w:szCs w:val="24"/>
        </w:rPr>
        <w:t xml:space="preserve">this </w:t>
      </w:r>
      <w:r w:rsidRPr="009E72F9">
        <w:rPr>
          <w:szCs w:val="24"/>
        </w:rPr>
        <w:t>disorder is residual posttraumatic stress disorder (PTSD), a Major Depressive Disorder, as well as</w:t>
      </w:r>
      <w:r w:rsidRPr="009E72F9">
        <w:rPr>
          <w:spacing w:val="-1"/>
          <w:szCs w:val="24"/>
        </w:rPr>
        <w:t xml:space="preserve"> </w:t>
      </w:r>
      <w:r w:rsidRPr="009E72F9">
        <w:rPr>
          <w:szCs w:val="24"/>
        </w:rPr>
        <w:t>Agoraphobia.</w:t>
      </w:r>
    </w:p>
    <w:p w14:paraId="0CBD90DC" w14:textId="77777777" w:rsidR="009E72F9" w:rsidRPr="009E72F9" w:rsidRDefault="004B78A2" w:rsidP="009E72F9">
      <w:pPr>
        <w:pStyle w:val="JudgmentNumbered"/>
        <w:numPr>
          <w:ilvl w:val="1"/>
          <w:numId w:val="4"/>
        </w:numPr>
        <w:rPr>
          <w:szCs w:val="24"/>
        </w:rPr>
      </w:pPr>
      <w:r w:rsidRPr="009E72F9">
        <w:rPr>
          <w:szCs w:val="24"/>
        </w:rPr>
        <w:t xml:space="preserve">Due to the plaintiff’s organic brain injury, the therapy and intervention could have a limited efficacy, particularly where some of the </w:t>
      </w:r>
      <w:r w:rsidRPr="009E72F9">
        <w:rPr>
          <w:spacing w:val="-4"/>
          <w:szCs w:val="24"/>
        </w:rPr>
        <w:t xml:space="preserve">OCD </w:t>
      </w:r>
      <w:r w:rsidRPr="009E72F9">
        <w:rPr>
          <w:szCs w:val="24"/>
        </w:rPr>
        <w:t xml:space="preserve">symptoms arise because of brain lesions. The therapy is most likely </w:t>
      </w:r>
      <w:r w:rsidRPr="009E72F9">
        <w:rPr>
          <w:spacing w:val="-6"/>
          <w:szCs w:val="24"/>
        </w:rPr>
        <w:t xml:space="preserve">to </w:t>
      </w:r>
      <w:r w:rsidRPr="009E72F9">
        <w:rPr>
          <w:szCs w:val="24"/>
        </w:rPr>
        <w:t>be primarily supportive and educationally focused, rather than</w:t>
      </w:r>
      <w:r w:rsidRPr="009E72F9">
        <w:rPr>
          <w:spacing w:val="-4"/>
          <w:szCs w:val="24"/>
        </w:rPr>
        <w:t xml:space="preserve"> </w:t>
      </w:r>
      <w:r w:rsidRPr="009E72F9">
        <w:rPr>
          <w:szCs w:val="24"/>
        </w:rPr>
        <w:t>curative</w:t>
      </w:r>
      <w:r w:rsidR="009E72F9" w:rsidRPr="009E72F9">
        <w:rPr>
          <w:szCs w:val="24"/>
        </w:rPr>
        <w:t>.</w:t>
      </w:r>
    </w:p>
    <w:p w14:paraId="19CF13CB" w14:textId="77777777" w:rsidR="009E72F9" w:rsidRPr="009E72F9" w:rsidRDefault="004B78A2" w:rsidP="009E72F9">
      <w:pPr>
        <w:pStyle w:val="JudgmentNumbered"/>
        <w:numPr>
          <w:ilvl w:val="1"/>
          <w:numId w:val="4"/>
        </w:numPr>
        <w:rPr>
          <w:szCs w:val="24"/>
        </w:rPr>
      </w:pPr>
      <w:r w:rsidRPr="009E72F9">
        <w:rPr>
          <w:szCs w:val="24"/>
        </w:rPr>
        <w:t>The</w:t>
      </w:r>
      <w:r w:rsidRPr="009E72F9">
        <w:rPr>
          <w:spacing w:val="-14"/>
          <w:szCs w:val="24"/>
        </w:rPr>
        <w:t xml:space="preserve"> </w:t>
      </w:r>
      <w:r w:rsidRPr="009E72F9">
        <w:rPr>
          <w:szCs w:val="24"/>
        </w:rPr>
        <w:t>impact</w:t>
      </w:r>
      <w:r w:rsidRPr="009E72F9">
        <w:rPr>
          <w:spacing w:val="-15"/>
          <w:szCs w:val="24"/>
        </w:rPr>
        <w:t xml:space="preserve"> </w:t>
      </w:r>
      <w:r w:rsidRPr="009E72F9">
        <w:rPr>
          <w:szCs w:val="24"/>
        </w:rPr>
        <w:t>on</w:t>
      </w:r>
      <w:r w:rsidRPr="009E72F9">
        <w:rPr>
          <w:spacing w:val="-14"/>
          <w:szCs w:val="24"/>
        </w:rPr>
        <w:t xml:space="preserve"> </w:t>
      </w:r>
      <w:r w:rsidRPr="009E72F9">
        <w:rPr>
          <w:szCs w:val="24"/>
        </w:rPr>
        <w:t>the</w:t>
      </w:r>
      <w:r w:rsidRPr="009E72F9">
        <w:rPr>
          <w:spacing w:val="-14"/>
          <w:szCs w:val="24"/>
        </w:rPr>
        <w:t xml:space="preserve"> </w:t>
      </w:r>
      <w:r w:rsidRPr="009E72F9">
        <w:rPr>
          <w:szCs w:val="24"/>
        </w:rPr>
        <w:t>plaintiff’s</w:t>
      </w:r>
      <w:r w:rsidRPr="009E72F9">
        <w:rPr>
          <w:spacing w:val="-14"/>
          <w:szCs w:val="24"/>
        </w:rPr>
        <w:t xml:space="preserve"> </w:t>
      </w:r>
      <w:r w:rsidRPr="009E72F9">
        <w:rPr>
          <w:szCs w:val="24"/>
        </w:rPr>
        <w:t>work</w:t>
      </w:r>
      <w:r w:rsidRPr="009E72F9">
        <w:rPr>
          <w:spacing w:val="-14"/>
          <w:szCs w:val="24"/>
        </w:rPr>
        <w:t xml:space="preserve"> </w:t>
      </w:r>
      <w:r w:rsidRPr="009E72F9">
        <w:rPr>
          <w:szCs w:val="24"/>
        </w:rPr>
        <w:t>capacity</w:t>
      </w:r>
      <w:r w:rsidRPr="009E72F9">
        <w:rPr>
          <w:spacing w:val="-14"/>
          <w:szCs w:val="24"/>
        </w:rPr>
        <w:t xml:space="preserve"> </w:t>
      </w:r>
      <w:r w:rsidRPr="009E72F9">
        <w:rPr>
          <w:szCs w:val="24"/>
        </w:rPr>
        <w:t>has</w:t>
      </w:r>
      <w:r w:rsidRPr="009E72F9">
        <w:rPr>
          <w:spacing w:val="-14"/>
          <w:szCs w:val="24"/>
        </w:rPr>
        <w:t xml:space="preserve"> </w:t>
      </w:r>
      <w:r w:rsidRPr="009E72F9">
        <w:rPr>
          <w:szCs w:val="24"/>
        </w:rPr>
        <w:t>been</w:t>
      </w:r>
      <w:r w:rsidRPr="009E72F9">
        <w:rPr>
          <w:spacing w:val="-13"/>
          <w:szCs w:val="24"/>
        </w:rPr>
        <w:t xml:space="preserve"> </w:t>
      </w:r>
      <w:r w:rsidRPr="009E72F9">
        <w:rPr>
          <w:szCs w:val="24"/>
        </w:rPr>
        <w:t>significant,</w:t>
      </w:r>
      <w:r w:rsidRPr="009E72F9">
        <w:rPr>
          <w:spacing w:val="-14"/>
          <w:szCs w:val="24"/>
        </w:rPr>
        <w:t xml:space="preserve"> </w:t>
      </w:r>
      <w:r w:rsidRPr="009E72F9">
        <w:rPr>
          <w:szCs w:val="24"/>
        </w:rPr>
        <w:t>and</w:t>
      </w:r>
      <w:r w:rsidRPr="009E72F9">
        <w:rPr>
          <w:spacing w:val="-14"/>
          <w:szCs w:val="24"/>
        </w:rPr>
        <w:t xml:space="preserve"> </w:t>
      </w:r>
      <w:r w:rsidRPr="009E72F9">
        <w:rPr>
          <w:szCs w:val="24"/>
        </w:rPr>
        <w:t>early retirement</w:t>
      </w:r>
      <w:r w:rsidRPr="009E72F9">
        <w:rPr>
          <w:spacing w:val="-11"/>
          <w:szCs w:val="24"/>
        </w:rPr>
        <w:t xml:space="preserve"> </w:t>
      </w:r>
      <w:r w:rsidRPr="009E72F9">
        <w:rPr>
          <w:szCs w:val="24"/>
        </w:rPr>
        <w:t>is</w:t>
      </w:r>
      <w:r w:rsidRPr="009E72F9">
        <w:rPr>
          <w:spacing w:val="-11"/>
          <w:szCs w:val="24"/>
        </w:rPr>
        <w:t xml:space="preserve"> </w:t>
      </w:r>
      <w:r w:rsidRPr="009E72F9">
        <w:rPr>
          <w:szCs w:val="24"/>
        </w:rPr>
        <w:t>appropriate.</w:t>
      </w:r>
      <w:r w:rsidRPr="009E72F9">
        <w:rPr>
          <w:spacing w:val="-11"/>
          <w:szCs w:val="24"/>
        </w:rPr>
        <w:t xml:space="preserve"> </w:t>
      </w:r>
      <w:r w:rsidRPr="009E72F9">
        <w:rPr>
          <w:szCs w:val="24"/>
        </w:rPr>
        <w:t>If</w:t>
      </w:r>
      <w:r w:rsidRPr="009E72F9">
        <w:rPr>
          <w:spacing w:val="-10"/>
          <w:szCs w:val="24"/>
        </w:rPr>
        <w:t xml:space="preserve"> </w:t>
      </w:r>
      <w:r w:rsidRPr="009E72F9">
        <w:rPr>
          <w:szCs w:val="24"/>
        </w:rPr>
        <w:t>the</w:t>
      </w:r>
      <w:r w:rsidRPr="009E72F9">
        <w:rPr>
          <w:spacing w:val="-11"/>
          <w:szCs w:val="24"/>
        </w:rPr>
        <w:t xml:space="preserve"> </w:t>
      </w:r>
      <w:r w:rsidRPr="009E72F9">
        <w:rPr>
          <w:szCs w:val="24"/>
        </w:rPr>
        <w:t>plaintiff</w:t>
      </w:r>
      <w:r w:rsidRPr="009E72F9">
        <w:rPr>
          <w:spacing w:val="-11"/>
          <w:szCs w:val="24"/>
        </w:rPr>
        <w:t xml:space="preserve"> </w:t>
      </w:r>
      <w:r w:rsidRPr="009E72F9">
        <w:rPr>
          <w:szCs w:val="24"/>
        </w:rPr>
        <w:t>where</w:t>
      </w:r>
      <w:r w:rsidRPr="009E72F9">
        <w:rPr>
          <w:spacing w:val="-11"/>
          <w:szCs w:val="24"/>
        </w:rPr>
        <w:t xml:space="preserve"> </w:t>
      </w:r>
      <w:r w:rsidRPr="009E72F9">
        <w:rPr>
          <w:szCs w:val="24"/>
        </w:rPr>
        <w:t>to</w:t>
      </w:r>
      <w:r w:rsidRPr="009E72F9">
        <w:rPr>
          <w:spacing w:val="-10"/>
          <w:szCs w:val="24"/>
        </w:rPr>
        <w:t xml:space="preserve"> </w:t>
      </w:r>
      <w:r w:rsidRPr="009E72F9">
        <w:rPr>
          <w:szCs w:val="24"/>
        </w:rPr>
        <w:t>stay</w:t>
      </w:r>
      <w:r w:rsidRPr="009E72F9">
        <w:rPr>
          <w:spacing w:val="-11"/>
          <w:szCs w:val="24"/>
        </w:rPr>
        <w:t xml:space="preserve"> </w:t>
      </w:r>
      <w:r w:rsidRPr="009E72F9">
        <w:rPr>
          <w:szCs w:val="24"/>
        </w:rPr>
        <w:t>on,</w:t>
      </w:r>
      <w:r w:rsidRPr="009E72F9">
        <w:rPr>
          <w:spacing w:val="-11"/>
          <w:szCs w:val="24"/>
        </w:rPr>
        <w:t xml:space="preserve"> </w:t>
      </w:r>
      <w:r w:rsidRPr="009E72F9">
        <w:rPr>
          <w:szCs w:val="24"/>
        </w:rPr>
        <w:t>she</w:t>
      </w:r>
      <w:r w:rsidRPr="009E72F9">
        <w:rPr>
          <w:spacing w:val="-10"/>
          <w:szCs w:val="24"/>
        </w:rPr>
        <w:t xml:space="preserve"> </w:t>
      </w:r>
      <w:r w:rsidRPr="009E72F9">
        <w:rPr>
          <w:szCs w:val="24"/>
        </w:rPr>
        <w:t>would</w:t>
      </w:r>
      <w:r w:rsidRPr="009E72F9">
        <w:rPr>
          <w:spacing w:val="-11"/>
          <w:szCs w:val="24"/>
        </w:rPr>
        <w:t xml:space="preserve"> </w:t>
      </w:r>
      <w:r w:rsidRPr="009E72F9">
        <w:rPr>
          <w:szCs w:val="24"/>
        </w:rPr>
        <w:t xml:space="preserve">have to be moved out of a managerial position into a far more routine, less responsible position. The impact on her self-esteem would then be </w:t>
      </w:r>
      <w:r w:rsidRPr="009E72F9">
        <w:rPr>
          <w:szCs w:val="24"/>
        </w:rPr>
        <w:lastRenderedPageBreak/>
        <w:t>considerable.</w:t>
      </w:r>
      <w:r w:rsidRPr="009E72F9">
        <w:rPr>
          <w:spacing w:val="-15"/>
          <w:szCs w:val="24"/>
        </w:rPr>
        <w:t xml:space="preserve"> </w:t>
      </w:r>
      <w:r w:rsidRPr="009E72F9">
        <w:rPr>
          <w:szCs w:val="24"/>
        </w:rPr>
        <w:t>Even</w:t>
      </w:r>
      <w:r w:rsidRPr="009E72F9">
        <w:rPr>
          <w:spacing w:val="-15"/>
          <w:szCs w:val="24"/>
        </w:rPr>
        <w:t xml:space="preserve"> </w:t>
      </w:r>
      <w:r w:rsidRPr="009E72F9">
        <w:rPr>
          <w:szCs w:val="24"/>
        </w:rPr>
        <w:t>in</w:t>
      </w:r>
      <w:r w:rsidRPr="009E72F9">
        <w:rPr>
          <w:spacing w:val="-15"/>
          <w:szCs w:val="24"/>
        </w:rPr>
        <w:t xml:space="preserve"> </w:t>
      </w:r>
      <w:r w:rsidRPr="009E72F9">
        <w:rPr>
          <w:szCs w:val="24"/>
        </w:rPr>
        <w:t>a</w:t>
      </w:r>
      <w:r w:rsidRPr="009E72F9">
        <w:rPr>
          <w:spacing w:val="-15"/>
          <w:szCs w:val="24"/>
        </w:rPr>
        <w:t xml:space="preserve"> </w:t>
      </w:r>
      <w:r w:rsidRPr="009E72F9">
        <w:rPr>
          <w:szCs w:val="24"/>
        </w:rPr>
        <w:t>routine</w:t>
      </w:r>
      <w:r w:rsidRPr="009E72F9">
        <w:rPr>
          <w:spacing w:val="-15"/>
          <w:szCs w:val="24"/>
        </w:rPr>
        <w:t xml:space="preserve"> </w:t>
      </w:r>
      <w:r w:rsidRPr="009E72F9">
        <w:rPr>
          <w:szCs w:val="24"/>
        </w:rPr>
        <w:t>and</w:t>
      </w:r>
      <w:r w:rsidRPr="009E72F9">
        <w:rPr>
          <w:spacing w:val="-15"/>
          <w:szCs w:val="24"/>
        </w:rPr>
        <w:t xml:space="preserve"> </w:t>
      </w:r>
      <w:r w:rsidRPr="009E72F9">
        <w:rPr>
          <w:szCs w:val="24"/>
        </w:rPr>
        <w:t>supervised</w:t>
      </w:r>
      <w:r w:rsidRPr="009E72F9">
        <w:rPr>
          <w:spacing w:val="-15"/>
          <w:szCs w:val="24"/>
        </w:rPr>
        <w:t xml:space="preserve"> </w:t>
      </w:r>
      <w:r w:rsidRPr="009E72F9">
        <w:rPr>
          <w:szCs w:val="24"/>
        </w:rPr>
        <w:t>position,</w:t>
      </w:r>
      <w:r w:rsidRPr="009E72F9">
        <w:rPr>
          <w:spacing w:val="-15"/>
          <w:szCs w:val="24"/>
        </w:rPr>
        <w:t xml:space="preserve"> </w:t>
      </w:r>
      <w:r w:rsidRPr="009E72F9">
        <w:rPr>
          <w:szCs w:val="24"/>
        </w:rPr>
        <w:t>she</w:t>
      </w:r>
      <w:r w:rsidRPr="009E72F9">
        <w:rPr>
          <w:spacing w:val="-15"/>
          <w:szCs w:val="24"/>
        </w:rPr>
        <w:t xml:space="preserve"> </w:t>
      </w:r>
      <w:r w:rsidRPr="009E72F9">
        <w:rPr>
          <w:szCs w:val="24"/>
        </w:rPr>
        <w:t>would</w:t>
      </w:r>
      <w:r w:rsidRPr="009E72F9">
        <w:rPr>
          <w:spacing w:val="-15"/>
          <w:szCs w:val="24"/>
        </w:rPr>
        <w:t xml:space="preserve"> </w:t>
      </w:r>
      <w:r w:rsidRPr="009E72F9">
        <w:rPr>
          <w:szCs w:val="24"/>
        </w:rPr>
        <w:t xml:space="preserve">battle to cope due to the impact of OCD rituals and fears. Her work speed would probably not be competitive, and the position may require </w:t>
      </w:r>
      <w:r w:rsidRPr="009E72F9">
        <w:rPr>
          <w:spacing w:val="-15"/>
          <w:szCs w:val="24"/>
        </w:rPr>
        <w:t xml:space="preserve">a </w:t>
      </w:r>
      <w:r w:rsidRPr="009E72F9">
        <w:rPr>
          <w:szCs w:val="24"/>
        </w:rPr>
        <w:t>sympathetic element.</w:t>
      </w:r>
    </w:p>
    <w:p w14:paraId="303087BC" w14:textId="3B2FB3F4" w:rsidR="004B78A2" w:rsidRPr="001F6A72" w:rsidRDefault="004B78A2" w:rsidP="001F6A72">
      <w:pPr>
        <w:pStyle w:val="JudgmentNumbered"/>
        <w:numPr>
          <w:ilvl w:val="1"/>
          <w:numId w:val="4"/>
        </w:numPr>
        <w:rPr>
          <w:szCs w:val="24"/>
        </w:rPr>
      </w:pPr>
      <w:r w:rsidRPr="009E72F9">
        <w:rPr>
          <w:szCs w:val="24"/>
        </w:rPr>
        <w:t>Early retirement will remain her best</w:t>
      </w:r>
      <w:r w:rsidRPr="009E72F9">
        <w:rPr>
          <w:spacing w:val="-4"/>
          <w:szCs w:val="24"/>
        </w:rPr>
        <w:t xml:space="preserve"> </w:t>
      </w:r>
      <w:r w:rsidRPr="009E72F9">
        <w:rPr>
          <w:szCs w:val="24"/>
        </w:rPr>
        <w:t>option</w:t>
      </w:r>
      <w:r w:rsidR="001F6A72">
        <w:rPr>
          <w:szCs w:val="24"/>
        </w:rPr>
        <w:t>.</w:t>
      </w:r>
    </w:p>
    <w:p w14:paraId="03F89454" w14:textId="42E27103" w:rsidR="004B78A2" w:rsidRPr="009E72F9" w:rsidRDefault="009E72F9" w:rsidP="0011719C">
      <w:pPr>
        <w:pStyle w:val="JudgmentNumbered"/>
        <w:rPr>
          <w:szCs w:val="24"/>
        </w:rPr>
      </w:pPr>
      <w:r w:rsidRPr="009E72F9">
        <w:rPr>
          <w:szCs w:val="24"/>
        </w:rPr>
        <w:t>Ms Fourie reports:</w:t>
      </w:r>
    </w:p>
    <w:p w14:paraId="2F5C249C" w14:textId="77777777" w:rsidR="009E72F9" w:rsidRPr="009E72F9" w:rsidRDefault="004B78A2" w:rsidP="009E72F9">
      <w:pPr>
        <w:pStyle w:val="JudgmentNumbered"/>
        <w:numPr>
          <w:ilvl w:val="1"/>
          <w:numId w:val="4"/>
        </w:numPr>
        <w:rPr>
          <w:szCs w:val="24"/>
        </w:rPr>
      </w:pPr>
      <w:r w:rsidRPr="009E72F9">
        <w:rPr>
          <w:szCs w:val="24"/>
        </w:rPr>
        <w:t>The plaintiff demonstrated the physical strength to cope with work that falls within the light physical demand range. The plaintiff meets all the described physical demands of her current job, except for her ability on the unilateral carry tasks with her left upper limb.</w:t>
      </w:r>
    </w:p>
    <w:p w14:paraId="1113CC7B" w14:textId="77777777" w:rsidR="009E72F9" w:rsidRPr="009E72F9" w:rsidRDefault="004B78A2" w:rsidP="009E72F9">
      <w:pPr>
        <w:pStyle w:val="JudgmentNumbered"/>
        <w:numPr>
          <w:ilvl w:val="1"/>
          <w:numId w:val="4"/>
        </w:numPr>
        <w:rPr>
          <w:szCs w:val="24"/>
        </w:rPr>
      </w:pPr>
      <w:r w:rsidRPr="009E72F9">
        <w:rPr>
          <w:szCs w:val="24"/>
        </w:rPr>
        <w:t>The plaintiff is best suited to tasks within the sedentary to light physical parameters to lessen the strain on her affected joint in the long run.</w:t>
      </w:r>
    </w:p>
    <w:p w14:paraId="2924BC1D" w14:textId="77777777" w:rsidR="009E72F9" w:rsidRPr="009E72F9" w:rsidRDefault="004B78A2" w:rsidP="009E72F9">
      <w:pPr>
        <w:pStyle w:val="JudgmentNumbered"/>
        <w:numPr>
          <w:ilvl w:val="1"/>
          <w:numId w:val="4"/>
        </w:numPr>
        <w:rPr>
          <w:szCs w:val="24"/>
        </w:rPr>
      </w:pPr>
      <w:r w:rsidRPr="009E72F9">
        <w:rPr>
          <w:szCs w:val="24"/>
        </w:rPr>
        <w:t>The presence of emotional and cognitive sequelae have reduced the plaintiff’s competitiveness in the open labour market.</w:t>
      </w:r>
    </w:p>
    <w:p w14:paraId="617CDD3A" w14:textId="2535FADA" w:rsidR="004B78A2" w:rsidRPr="009E72F9" w:rsidRDefault="004B78A2" w:rsidP="009E72F9">
      <w:pPr>
        <w:pStyle w:val="JudgmentNumbered"/>
        <w:numPr>
          <w:ilvl w:val="1"/>
          <w:numId w:val="4"/>
        </w:numPr>
        <w:rPr>
          <w:szCs w:val="24"/>
        </w:rPr>
      </w:pPr>
      <w:r w:rsidRPr="009E72F9">
        <w:rPr>
          <w:szCs w:val="24"/>
        </w:rPr>
        <w:t>The plaintiff’s emotional changes will have a negative impact in terms of occupational performance such as poor work habits, her ability to cope under pressure and manage stress, and could impact on her interpersonal relationships with co-workers and clients.</w:t>
      </w:r>
    </w:p>
    <w:p w14:paraId="70EAECD8" w14:textId="77777777" w:rsidR="004B78A2" w:rsidRPr="009E72F9" w:rsidRDefault="004B78A2" w:rsidP="009E72F9">
      <w:pPr>
        <w:pStyle w:val="JudgmentNumbered"/>
        <w:numPr>
          <w:ilvl w:val="1"/>
          <w:numId w:val="4"/>
        </w:numPr>
        <w:rPr>
          <w:szCs w:val="24"/>
        </w:rPr>
      </w:pPr>
      <w:r w:rsidRPr="009E72F9">
        <w:rPr>
          <w:szCs w:val="24"/>
        </w:rPr>
        <w:t>The plaintiff will have trouble in handling and adjusting to new and challenging situations due to presenting cognitive problems.</w:t>
      </w:r>
    </w:p>
    <w:p w14:paraId="21FB1A58" w14:textId="77777777" w:rsidR="004B78A2" w:rsidRPr="009E72F9" w:rsidRDefault="004B78A2" w:rsidP="009E72F9">
      <w:pPr>
        <w:pStyle w:val="JudgmentNumbered"/>
        <w:numPr>
          <w:ilvl w:val="1"/>
          <w:numId w:val="4"/>
        </w:numPr>
        <w:rPr>
          <w:szCs w:val="24"/>
        </w:rPr>
      </w:pPr>
      <w:r w:rsidRPr="009E72F9">
        <w:rPr>
          <w:szCs w:val="24"/>
        </w:rPr>
        <w:t>Due to her impaired cognitive functioning, she would struggle to follow instructions, retain important information and complete an activity in a given timeframe.</w:t>
      </w:r>
    </w:p>
    <w:p w14:paraId="014A9B42" w14:textId="77777777" w:rsidR="004B78A2" w:rsidRPr="009E72F9" w:rsidRDefault="004B78A2" w:rsidP="009E72F9">
      <w:pPr>
        <w:pStyle w:val="JudgmentNumbered"/>
        <w:numPr>
          <w:ilvl w:val="1"/>
          <w:numId w:val="4"/>
        </w:numPr>
        <w:rPr>
          <w:szCs w:val="24"/>
        </w:rPr>
      </w:pPr>
      <w:r w:rsidRPr="009E72F9">
        <w:rPr>
          <w:szCs w:val="24"/>
        </w:rPr>
        <w:t>The plaintiff struggled to cope occupationally post-collision and has subsequently resigned /retired from her employment. This was probably unavoidable and a direct result of the injuries and sequelae thereof.</w:t>
      </w:r>
    </w:p>
    <w:p w14:paraId="5309E2A1" w14:textId="0EF60A2A" w:rsidR="00852D73" w:rsidRPr="00852D73" w:rsidRDefault="004B78A2" w:rsidP="00852D73">
      <w:pPr>
        <w:pStyle w:val="JudgmentNumbered"/>
        <w:numPr>
          <w:ilvl w:val="1"/>
          <w:numId w:val="4"/>
        </w:numPr>
        <w:rPr>
          <w:szCs w:val="24"/>
        </w:rPr>
      </w:pPr>
      <w:r w:rsidRPr="009E72F9">
        <w:rPr>
          <w:szCs w:val="24"/>
        </w:rPr>
        <w:t>The plaintiff has been rendered permanently vulnerable and uncompetitive in the open labour market</w:t>
      </w:r>
      <w:r w:rsidR="00DA48F9">
        <w:rPr>
          <w:szCs w:val="24"/>
        </w:rPr>
        <w:t>.</w:t>
      </w:r>
    </w:p>
    <w:p w14:paraId="0DC8A05D" w14:textId="77777777" w:rsidR="00852D73" w:rsidRDefault="00915099" w:rsidP="00852D73">
      <w:pPr>
        <w:pStyle w:val="JudgmentNumbered"/>
      </w:pPr>
      <w:r w:rsidRPr="00852D73">
        <w:lastRenderedPageBreak/>
        <w:t xml:space="preserve">In respect of the plaintiff’s employment outcomes, </w:t>
      </w:r>
      <w:r w:rsidR="004B78A2" w:rsidRPr="00852D73">
        <w:t>Ms Vermaak reported</w:t>
      </w:r>
      <w:r w:rsidR="004B78A2" w:rsidRPr="00852D73">
        <w:rPr>
          <w:spacing w:val="-2"/>
        </w:rPr>
        <w:t xml:space="preserve"> </w:t>
      </w:r>
      <w:r w:rsidR="004B78A2" w:rsidRPr="00852D73">
        <w:t>th</w:t>
      </w:r>
      <w:r w:rsidR="00852D73" w:rsidRPr="00852D73">
        <w:t>at:</w:t>
      </w:r>
    </w:p>
    <w:p w14:paraId="7D08FC63" w14:textId="022A51A5" w:rsidR="00915099" w:rsidRPr="00852D73" w:rsidRDefault="004B78A2" w:rsidP="00852D73">
      <w:pPr>
        <w:pStyle w:val="JudgmentNumbered"/>
        <w:numPr>
          <w:ilvl w:val="1"/>
          <w:numId w:val="4"/>
        </w:numPr>
      </w:pPr>
      <w:r w:rsidRPr="00852D73">
        <w:t>At the time of the collision, the plaintiff was employed as a social services programme manager at Rata Social Services (Pty) Ltd, earning a monthly salary of R 13 500.00 per month</w:t>
      </w:r>
      <w:r w:rsidR="00813B66">
        <w:t>.</w:t>
      </w:r>
    </w:p>
    <w:p w14:paraId="197275B8" w14:textId="78660634" w:rsidR="004B78A2" w:rsidRPr="00915099" w:rsidRDefault="004B78A2" w:rsidP="00915099">
      <w:pPr>
        <w:pStyle w:val="JudgmentNumbered"/>
        <w:numPr>
          <w:ilvl w:val="1"/>
          <w:numId w:val="4"/>
        </w:numPr>
        <w:rPr>
          <w:szCs w:val="24"/>
        </w:rPr>
      </w:pPr>
      <w:r w:rsidRPr="00915099">
        <w:rPr>
          <w:szCs w:val="24"/>
        </w:rPr>
        <w:t>But for the collision:</w:t>
      </w:r>
    </w:p>
    <w:p w14:paraId="4B2493EA" w14:textId="77777777" w:rsidR="004B78A2" w:rsidRPr="00915099" w:rsidRDefault="004B78A2" w:rsidP="00915099">
      <w:pPr>
        <w:pStyle w:val="JudgmentNumbered"/>
        <w:numPr>
          <w:ilvl w:val="2"/>
          <w:numId w:val="4"/>
        </w:numPr>
        <w:rPr>
          <w:szCs w:val="24"/>
        </w:rPr>
      </w:pPr>
      <w:r w:rsidRPr="00915099">
        <w:rPr>
          <w:szCs w:val="24"/>
        </w:rPr>
        <w:t>the plaintiff would have continued to work and earn as a social services programme manager or possibly entered into alternative employment in a position relevant to her educational background and occupational experience;</w:t>
      </w:r>
    </w:p>
    <w:p w14:paraId="5E6DDC7E" w14:textId="77777777" w:rsidR="004B78A2" w:rsidRPr="00915099" w:rsidRDefault="004B78A2" w:rsidP="00915099">
      <w:pPr>
        <w:pStyle w:val="JudgmentNumbered"/>
        <w:numPr>
          <w:ilvl w:val="2"/>
          <w:numId w:val="4"/>
        </w:numPr>
        <w:rPr>
          <w:szCs w:val="24"/>
        </w:rPr>
      </w:pPr>
      <w:r w:rsidRPr="00915099">
        <w:rPr>
          <w:szCs w:val="24"/>
        </w:rPr>
        <w:t>the plaintiff would have earned in line with her employment as a social services programme manager with inflationary increases until retirement age 65.</w:t>
      </w:r>
    </w:p>
    <w:p w14:paraId="0C9D5F46" w14:textId="77777777" w:rsidR="004B78A2" w:rsidRPr="00915099" w:rsidRDefault="004B78A2" w:rsidP="00915099">
      <w:pPr>
        <w:pStyle w:val="JudgmentNumbered"/>
        <w:numPr>
          <w:ilvl w:val="1"/>
          <w:numId w:val="4"/>
        </w:numPr>
        <w:rPr>
          <w:szCs w:val="24"/>
        </w:rPr>
      </w:pPr>
      <w:r w:rsidRPr="00915099">
        <w:rPr>
          <w:szCs w:val="24"/>
        </w:rPr>
        <w:t>Having regard of the collision, the plaintiff:</w:t>
      </w:r>
    </w:p>
    <w:p w14:paraId="33E6849B" w14:textId="77777777" w:rsidR="004B78A2" w:rsidRPr="00915099" w:rsidRDefault="004B78A2" w:rsidP="00915099">
      <w:pPr>
        <w:pStyle w:val="JudgmentNumbered"/>
        <w:numPr>
          <w:ilvl w:val="2"/>
          <w:numId w:val="4"/>
        </w:numPr>
        <w:rPr>
          <w:szCs w:val="24"/>
        </w:rPr>
      </w:pPr>
      <w:r w:rsidRPr="00915099">
        <w:rPr>
          <w:szCs w:val="24"/>
        </w:rPr>
        <w:t>was absent from work for three months during which time she was fully remunerated;</w:t>
      </w:r>
    </w:p>
    <w:p w14:paraId="5D04D947" w14:textId="67BFA49B" w:rsidR="004B78A2" w:rsidRPr="00E24EC4" w:rsidRDefault="004B78A2" w:rsidP="00E24EC4">
      <w:pPr>
        <w:pStyle w:val="JudgmentNumbered"/>
        <w:numPr>
          <w:ilvl w:val="2"/>
          <w:numId w:val="4"/>
        </w:numPr>
        <w:rPr>
          <w:szCs w:val="24"/>
        </w:rPr>
      </w:pPr>
      <w:r w:rsidRPr="00915099">
        <w:rPr>
          <w:szCs w:val="24"/>
        </w:rPr>
        <w:t>returned to her pre-accident employment position as a social services programme manager at Rata Social Services (Pty) Ltd</w:t>
      </w:r>
      <w:r w:rsidR="00E24EC4">
        <w:rPr>
          <w:szCs w:val="24"/>
        </w:rPr>
        <w:t xml:space="preserve"> and </w:t>
      </w:r>
      <w:r w:rsidRPr="00E24EC4">
        <w:rPr>
          <w:szCs w:val="24"/>
        </w:rPr>
        <w:t>continued her pre-morbid employment until December 2019 when she resigned and entered early retirement;</w:t>
      </w:r>
    </w:p>
    <w:p w14:paraId="5596963E" w14:textId="77777777" w:rsidR="00915099" w:rsidRDefault="004B78A2" w:rsidP="00915099">
      <w:pPr>
        <w:pStyle w:val="JudgmentNumbered"/>
        <w:numPr>
          <w:ilvl w:val="1"/>
          <w:numId w:val="4"/>
        </w:numPr>
        <w:rPr>
          <w:szCs w:val="24"/>
        </w:rPr>
      </w:pPr>
      <w:r w:rsidRPr="00915099">
        <w:rPr>
          <w:szCs w:val="24"/>
        </w:rPr>
        <w:t>has been rendered an uncompetitive competitor in the open labour market as she will not regain her pre-collision employment and earning capacity;</w:t>
      </w:r>
    </w:p>
    <w:p w14:paraId="0B219C15" w14:textId="22B98ECA" w:rsidR="004B78A2" w:rsidRPr="00915099" w:rsidRDefault="004B78A2" w:rsidP="004B78A2">
      <w:pPr>
        <w:pStyle w:val="JudgmentNumbered"/>
        <w:numPr>
          <w:ilvl w:val="1"/>
          <w:numId w:val="4"/>
        </w:numPr>
        <w:rPr>
          <w:szCs w:val="24"/>
        </w:rPr>
      </w:pPr>
      <w:r w:rsidRPr="00915099">
        <w:rPr>
          <w:szCs w:val="24"/>
        </w:rPr>
        <w:t xml:space="preserve">the plaintiff </w:t>
      </w:r>
      <w:r w:rsidR="00915099">
        <w:rPr>
          <w:szCs w:val="24"/>
        </w:rPr>
        <w:t xml:space="preserve">will </w:t>
      </w:r>
      <w:r w:rsidRPr="00915099">
        <w:rPr>
          <w:szCs w:val="24"/>
        </w:rPr>
        <w:t>continue to suffer a loss of income.</w:t>
      </w:r>
    </w:p>
    <w:p w14:paraId="25142256" w14:textId="3E9161B9" w:rsidR="00915099" w:rsidRPr="00915099" w:rsidRDefault="00915099" w:rsidP="00915099">
      <w:pPr>
        <w:pStyle w:val="JudgmentNumbered"/>
        <w:rPr>
          <w:szCs w:val="24"/>
        </w:rPr>
      </w:pPr>
      <w:r>
        <w:rPr>
          <w:szCs w:val="24"/>
        </w:rPr>
        <w:t>The actuarial calculations</w:t>
      </w:r>
      <w:r w:rsidR="00852D73">
        <w:rPr>
          <w:szCs w:val="24"/>
        </w:rPr>
        <w:t>,</w:t>
      </w:r>
      <w:r>
        <w:rPr>
          <w:szCs w:val="24"/>
        </w:rPr>
        <w:t xml:space="preserve"> by Mr </w:t>
      </w:r>
      <w:r w:rsidR="00A05B83">
        <w:rPr>
          <w:szCs w:val="24"/>
        </w:rPr>
        <w:t>Whittaker</w:t>
      </w:r>
      <w:r w:rsidR="00852D73">
        <w:rPr>
          <w:szCs w:val="24"/>
        </w:rPr>
        <w:t>,</w:t>
      </w:r>
      <w:r>
        <w:rPr>
          <w:szCs w:val="24"/>
        </w:rPr>
        <w:t xml:space="preserve"> are premised on his instructions that in respect of the plaintiff’s p</w:t>
      </w:r>
      <w:r w:rsidR="004B78A2" w:rsidRPr="00915099">
        <w:rPr>
          <w:bCs/>
          <w:iCs/>
          <w:szCs w:val="24"/>
        </w:rPr>
        <w:t>re-accident</w:t>
      </w:r>
      <w:r w:rsidR="004B78A2" w:rsidRPr="00915099">
        <w:rPr>
          <w:bCs/>
          <w:iCs/>
          <w:spacing w:val="-2"/>
          <w:szCs w:val="24"/>
        </w:rPr>
        <w:t xml:space="preserve"> </w:t>
      </w:r>
      <w:r w:rsidR="004B78A2" w:rsidRPr="00915099">
        <w:rPr>
          <w:bCs/>
          <w:iCs/>
          <w:szCs w:val="24"/>
        </w:rPr>
        <w:t>earnings</w:t>
      </w:r>
      <w:r w:rsidRPr="00915099">
        <w:rPr>
          <w:bCs/>
          <w:iCs/>
          <w:szCs w:val="24"/>
        </w:rPr>
        <w:t>:</w:t>
      </w:r>
    </w:p>
    <w:p w14:paraId="5399AEA9" w14:textId="10374A26" w:rsidR="00915099" w:rsidRDefault="00915099" w:rsidP="00915099">
      <w:pPr>
        <w:pStyle w:val="JudgmentNumbered"/>
        <w:numPr>
          <w:ilvl w:val="1"/>
          <w:numId w:val="4"/>
        </w:numPr>
        <w:rPr>
          <w:bCs/>
          <w:iCs/>
          <w:szCs w:val="24"/>
        </w:rPr>
      </w:pPr>
      <w:r>
        <w:rPr>
          <w:bCs/>
          <w:iCs/>
          <w:szCs w:val="24"/>
        </w:rPr>
        <w:t>T</w:t>
      </w:r>
      <w:r w:rsidR="004B78A2" w:rsidRPr="00915099">
        <w:rPr>
          <w:bCs/>
          <w:iCs/>
          <w:szCs w:val="24"/>
        </w:rPr>
        <w:t>here is no evidence of a past loss of income up</w:t>
      </w:r>
      <w:r w:rsidR="004B78A2" w:rsidRPr="00915099">
        <w:rPr>
          <w:bCs/>
          <w:iCs/>
          <w:spacing w:val="21"/>
          <w:szCs w:val="24"/>
        </w:rPr>
        <w:t xml:space="preserve"> </w:t>
      </w:r>
      <w:r w:rsidR="004B78A2" w:rsidRPr="00915099">
        <w:rPr>
          <w:bCs/>
          <w:iCs/>
          <w:szCs w:val="24"/>
        </w:rPr>
        <w:t>to</w:t>
      </w:r>
      <w:r>
        <w:rPr>
          <w:bCs/>
          <w:iCs/>
          <w:szCs w:val="24"/>
        </w:rPr>
        <w:t xml:space="preserve"> </w:t>
      </w:r>
      <w:r w:rsidR="004B78A2" w:rsidRPr="00915099">
        <w:rPr>
          <w:bCs/>
          <w:iCs/>
          <w:szCs w:val="24"/>
        </w:rPr>
        <w:t>31 December 2019</w:t>
      </w:r>
      <w:r>
        <w:rPr>
          <w:bCs/>
          <w:iCs/>
          <w:szCs w:val="24"/>
        </w:rPr>
        <w:t>.</w:t>
      </w:r>
    </w:p>
    <w:p w14:paraId="1CF8CB26" w14:textId="1670116A" w:rsidR="00EC7661" w:rsidRPr="00EC7661" w:rsidRDefault="00915099" w:rsidP="00EC7661">
      <w:pPr>
        <w:pStyle w:val="JudgmentNumbered"/>
        <w:rPr>
          <w:bCs/>
          <w:iCs/>
        </w:rPr>
      </w:pPr>
      <w:r>
        <w:lastRenderedPageBreak/>
        <w:t xml:space="preserve">Mr </w:t>
      </w:r>
      <w:r w:rsidR="00A05B83">
        <w:t>Whittaker</w:t>
      </w:r>
      <w:r>
        <w:t xml:space="preserve"> was further instructed that the plaintiff’s </w:t>
      </w:r>
      <w:r>
        <w:rPr>
          <w:bCs/>
          <w:iCs/>
          <w:szCs w:val="24"/>
        </w:rPr>
        <w:t>p</w:t>
      </w:r>
      <w:r w:rsidR="004B78A2" w:rsidRPr="00915099">
        <w:rPr>
          <w:bCs/>
          <w:iCs/>
          <w:szCs w:val="24"/>
        </w:rPr>
        <w:t>ost-accident</w:t>
      </w:r>
      <w:r w:rsidR="004B78A2" w:rsidRPr="00915099">
        <w:rPr>
          <w:bCs/>
          <w:iCs/>
          <w:spacing w:val="-7"/>
          <w:szCs w:val="24"/>
        </w:rPr>
        <w:t xml:space="preserve"> </w:t>
      </w:r>
      <w:r w:rsidR="004B78A2" w:rsidRPr="00915099">
        <w:rPr>
          <w:bCs/>
          <w:iCs/>
          <w:szCs w:val="24"/>
        </w:rPr>
        <w:t>earnings</w:t>
      </w:r>
      <w:r w:rsidR="004B78A2" w:rsidRPr="00915099">
        <w:rPr>
          <w:bCs/>
          <w:iCs/>
          <w:spacing w:val="-7"/>
          <w:szCs w:val="24"/>
        </w:rPr>
        <w:t xml:space="preserve"> </w:t>
      </w:r>
      <w:r w:rsidR="004B78A2" w:rsidRPr="00915099">
        <w:rPr>
          <w:bCs/>
          <w:iCs/>
          <w:szCs w:val="24"/>
        </w:rPr>
        <w:t>are</w:t>
      </w:r>
      <w:r w:rsidR="004B78A2" w:rsidRPr="00915099">
        <w:rPr>
          <w:bCs/>
          <w:iCs/>
          <w:spacing w:val="-7"/>
          <w:szCs w:val="24"/>
        </w:rPr>
        <w:t xml:space="preserve"> </w:t>
      </w:r>
      <w:r w:rsidR="004B78A2" w:rsidRPr="00915099">
        <w:rPr>
          <w:bCs/>
          <w:iCs/>
          <w:szCs w:val="24"/>
        </w:rPr>
        <w:t>taken</w:t>
      </w:r>
      <w:r w:rsidR="004B78A2" w:rsidRPr="00915099">
        <w:rPr>
          <w:bCs/>
          <w:iCs/>
          <w:spacing w:val="-6"/>
          <w:szCs w:val="24"/>
        </w:rPr>
        <w:t xml:space="preserve"> </w:t>
      </w:r>
      <w:r w:rsidR="004B78A2" w:rsidRPr="00915099">
        <w:rPr>
          <w:bCs/>
          <w:iCs/>
          <w:szCs w:val="24"/>
        </w:rPr>
        <w:t>as</w:t>
      </w:r>
      <w:r w:rsidR="004B78A2" w:rsidRPr="00915099">
        <w:rPr>
          <w:bCs/>
          <w:iCs/>
          <w:spacing w:val="-7"/>
          <w:szCs w:val="24"/>
        </w:rPr>
        <w:t xml:space="preserve"> </w:t>
      </w:r>
      <w:r w:rsidR="004B78A2" w:rsidRPr="00915099">
        <w:rPr>
          <w:bCs/>
          <w:iCs/>
          <w:szCs w:val="24"/>
        </w:rPr>
        <w:t>nil</w:t>
      </w:r>
      <w:r w:rsidR="004B78A2" w:rsidRPr="00915099">
        <w:rPr>
          <w:bCs/>
          <w:iCs/>
          <w:spacing w:val="-7"/>
          <w:szCs w:val="24"/>
        </w:rPr>
        <w:t xml:space="preserve"> </w:t>
      </w:r>
      <w:r w:rsidR="004B78A2" w:rsidRPr="00915099">
        <w:rPr>
          <w:bCs/>
          <w:iCs/>
          <w:szCs w:val="24"/>
        </w:rPr>
        <w:t>from</w:t>
      </w:r>
      <w:r w:rsidR="004B78A2" w:rsidRPr="00915099">
        <w:rPr>
          <w:bCs/>
          <w:iCs/>
          <w:spacing w:val="-6"/>
          <w:szCs w:val="24"/>
        </w:rPr>
        <w:t xml:space="preserve"> </w:t>
      </w:r>
      <w:r w:rsidR="004B78A2" w:rsidRPr="00915099">
        <w:rPr>
          <w:bCs/>
          <w:iCs/>
          <w:szCs w:val="24"/>
        </w:rPr>
        <w:t>1</w:t>
      </w:r>
      <w:r w:rsidR="004B78A2" w:rsidRPr="00915099">
        <w:rPr>
          <w:bCs/>
          <w:iCs/>
          <w:spacing w:val="-7"/>
          <w:szCs w:val="24"/>
        </w:rPr>
        <w:t xml:space="preserve"> </w:t>
      </w:r>
      <w:r w:rsidR="004B78A2" w:rsidRPr="00915099">
        <w:rPr>
          <w:bCs/>
          <w:iCs/>
          <w:szCs w:val="24"/>
        </w:rPr>
        <w:t>January 2020</w:t>
      </w:r>
      <w:r>
        <w:rPr>
          <w:bCs/>
          <w:iCs/>
          <w:szCs w:val="24"/>
        </w:rPr>
        <w:t xml:space="preserve"> and that t</w:t>
      </w:r>
      <w:r w:rsidR="004B78A2" w:rsidRPr="00915099">
        <w:rPr>
          <w:bCs/>
          <w:iCs/>
          <w:szCs w:val="24"/>
        </w:rPr>
        <w:t>he plaintiff receives a small pension funded by</w:t>
      </w:r>
      <w:r w:rsidR="00EC7661">
        <w:rPr>
          <w:bCs/>
          <w:iCs/>
          <w:szCs w:val="24"/>
        </w:rPr>
        <w:t xml:space="preserve"> her</w:t>
      </w:r>
      <w:r w:rsidR="004B78A2" w:rsidRPr="00915099">
        <w:rPr>
          <w:bCs/>
          <w:iCs/>
          <w:szCs w:val="24"/>
        </w:rPr>
        <w:t xml:space="preserve"> past savings and was </w:t>
      </w:r>
      <w:r w:rsidR="00EC7661" w:rsidRPr="00915099">
        <w:rPr>
          <w:bCs/>
          <w:iCs/>
          <w:szCs w:val="24"/>
        </w:rPr>
        <w:t>therefore</w:t>
      </w:r>
      <w:r w:rsidR="004B78A2" w:rsidRPr="00915099">
        <w:rPr>
          <w:bCs/>
          <w:iCs/>
          <w:spacing w:val="-3"/>
          <w:szCs w:val="24"/>
        </w:rPr>
        <w:t xml:space="preserve"> </w:t>
      </w:r>
      <w:r w:rsidR="004B78A2" w:rsidRPr="00915099">
        <w:rPr>
          <w:bCs/>
          <w:iCs/>
          <w:szCs w:val="24"/>
        </w:rPr>
        <w:t>ignored</w:t>
      </w:r>
      <w:r w:rsidR="00EC7661">
        <w:rPr>
          <w:bCs/>
          <w:iCs/>
          <w:szCs w:val="24"/>
        </w:rPr>
        <w:t xml:space="preserve"> in his calculations</w:t>
      </w:r>
      <w:r w:rsidR="004B78A2" w:rsidRPr="00915099">
        <w:rPr>
          <w:bCs/>
          <w:iCs/>
          <w:szCs w:val="24"/>
        </w:rPr>
        <w:t>.</w:t>
      </w:r>
    </w:p>
    <w:p w14:paraId="027E1325" w14:textId="3F9E484B" w:rsidR="004B78A2" w:rsidRPr="00EC7661" w:rsidRDefault="00EC7661" w:rsidP="00EC7661">
      <w:pPr>
        <w:pStyle w:val="JudgmentNumbered"/>
        <w:rPr>
          <w:bCs/>
          <w:iCs/>
        </w:rPr>
      </w:pPr>
      <w:r>
        <w:rPr>
          <w:bCs/>
          <w:iCs/>
          <w:szCs w:val="24"/>
        </w:rPr>
        <w:t xml:space="preserve">Mr </w:t>
      </w:r>
      <w:r w:rsidR="00A05B83">
        <w:rPr>
          <w:bCs/>
          <w:iCs/>
          <w:szCs w:val="24"/>
        </w:rPr>
        <w:t>Whittaker’s</w:t>
      </w:r>
      <w:r>
        <w:rPr>
          <w:bCs/>
          <w:iCs/>
          <w:szCs w:val="24"/>
        </w:rPr>
        <w:t xml:space="preserve"> </w:t>
      </w:r>
      <w:r>
        <w:t>summary of his actuarial calculations are as follows:</w:t>
      </w:r>
    </w:p>
    <w:tbl>
      <w:tblPr>
        <w:tblW w:w="0" w:type="auto"/>
        <w:tblInd w:w="564" w:type="dxa"/>
        <w:tblLayout w:type="fixed"/>
        <w:tblCellMar>
          <w:left w:w="0" w:type="dxa"/>
          <w:right w:w="0" w:type="dxa"/>
        </w:tblCellMar>
        <w:tblLook w:val="01E0" w:firstRow="1" w:lastRow="1" w:firstColumn="1" w:lastColumn="1" w:noHBand="0" w:noVBand="0"/>
      </w:tblPr>
      <w:tblGrid>
        <w:gridCol w:w="3659"/>
        <w:gridCol w:w="1114"/>
        <w:gridCol w:w="1345"/>
      </w:tblGrid>
      <w:tr w:rsidR="004B78A2" w:rsidRPr="009E72F9" w14:paraId="70952C24" w14:textId="77777777" w:rsidTr="00FA3D16">
        <w:trPr>
          <w:trHeight w:val="410"/>
        </w:trPr>
        <w:tc>
          <w:tcPr>
            <w:tcW w:w="3659" w:type="dxa"/>
          </w:tcPr>
          <w:p w14:paraId="69C44EDB" w14:textId="77777777" w:rsidR="004B78A2" w:rsidRPr="009E72F9" w:rsidRDefault="004B78A2" w:rsidP="00487B48">
            <w:pPr>
              <w:pStyle w:val="TableParagraph"/>
              <w:spacing w:line="268" w:lineRule="exact"/>
              <w:ind w:left="50"/>
              <w:rPr>
                <w:b/>
                <w:sz w:val="24"/>
                <w:szCs w:val="24"/>
                <w:lang w:val="en-GB"/>
              </w:rPr>
            </w:pPr>
            <w:r w:rsidRPr="009E72F9">
              <w:rPr>
                <w:b/>
                <w:sz w:val="24"/>
                <w:szCs w:val="24"/>
                <w:u w:val="thick"/>
                <w:lang w:val="en-GB"/>
              </w:rPr>
              <w:t>Past loss</w:t>
            </w:r>
          </w:p>
        </w:tc>
        <w:tc>
          <w:tcPr>
            <w:tcW w:w="2459" w:type="dxa"/>
            <w:gridSpan w:val="2"/>
          </w:tcPr>
          <w:p w14:paraId="2B121AA6" w14:textId="77777777" w:rsidR="004B78A2" w:rsidRPr="009E72F9" w:rsidRDefault="004B78A2" w:rsidP="00487B48">
            <w:pPr>
              <w:pStyle w:val="TableParagraph"/>
              <w:rPr>
                <w:sz w:val="24"/>
                <w:szCs w:val="24"/>
                <w:lang w:val="en-GB"/>
              </w:rPr>
            </w:pPr>
          </w:p>
        </w:tc>
      </w:tr>
      <w:tr w:rsidR="004B78A2" w:rsidRPr="009E72F9" w14:paraId="7A8D0FAF" w14:textId="77777777" w:rsidTr="00FA3D16">
        <w:trPr>
          <w:trHeight w:val="552"/>
        </w:trPr>
        <w:tc>
          <w:tcPr>
            <w:tcW w:w="3659" w:type="dxa"/>
          </w:tcPr>
          <w:p w14:paraId="25CB591D" w14:textId="77777777" w:rsidR="004B78A2" w:rsidRPr="009E72F9" w:rsidRDefault="004B78A2" w:rsidP="00487B48">
            <w:pPr>
              <w:pStyle w:val="TableParagraph"/>
              <w:spacing w:before="134"/>
              <w:ind w:left="50"/>
              <w:rPr>
                <w:sz w:val="24"/>
                <w:szCs w:val="24"/>
                <w:lang w:val="en-GB"/>
              </w:rPr>
            </w:pPr>
            <w:r w:rsidRPr="009E72F9">
              <w:rPr>
                <w:sz w:val="24"/>
                <w:szCs w:val="24"/>
                <w:lang w:val="en-GB"/>
              </w:rPr>
              <w:t>Value of income uninjured:</w:t>
            </w:r>
          </w:p>
        </w:tc>
        <w:tc>
          <w:tcPr>
            <w:tcW w:w="1114" w:type="dxa"/>
          </w:tcPr>
          <w:p w14:paraId="05268714" w14:textId="77777777" w:rsidR="004B78A2" w:rsidRPr="009E72F9" w:rsidRDefault="004B78A2" w:rsidP="00487B48">
            <w:pPr>
              <w:pStyle w:val="TableParagraph"/>
              <w:rPr>
                <w:sz w:val="24"/>
                <w:szCs w:val="24"/>
                <w:lang w:val="en-GB"/>
              </w:rPr>
            </w:pPr>
          </w:p>
        </w:tc>
        <w:tc>
          <w:tcPr>
            <w:tcW w:w="1345" w:type="dxa"/>
          </w:tcPr>
          <w:p w14:paraId="3218C011" w14:textId="58B7AE15" w:rsidR="004B78A2" w:rsidRPr="009E72F9" w:rsidRDefault="00661986" w:rsidP="00852D73">
            <w:pPr>
              <w:pStyle w:val="TableParagraph"/>
              <w:spacing w:before="134"/>
              <w:ind w:right="49"/>
              <w:jc w:val="center"/>
              <w:rPr>
                <w:sz w:val="24"/>
                <w:szCs w:val="24"/>
                <w:lang w:val="en-GB"/>
              </w:rPr>
            </w:pPr>
            <w:r>
              <w:rPr>
                <w:sz w:val="24"/>
                <w:szCs w:val="24"/>
                <w:lang w:val="en-GB"/>
              </w:rPr>
              <w:t xml:space="preserve"> </w:t>
            </w:r>
            <w:r w:rsidR="004B78A2" w:rsidRPr="009E72F9">
              <w:rPr>
                <w:sz w:val="24"/>
                <w:szCs w:val="24"/>
                <w:lang w:val="en-GB"/>
              </w:rPr>
              <w:t>R 770,854</w:t>
            </w:r>
          </w:p>
        </w:tc>
      </w:tr>
      <w:tr w:rsidR="004B78A2" w:rsidRPr="009E72F9" w14:paraId="63214000" w14:textId="77777777" w:rsidTr="00FA3D16">
        <w:trPr>
          <w:trHeight w:val="410"/>
        </w:trPr>
        <w:tc>
          <w:tcPr>
            <w:tcW w:w="3659" w:type="dxa"/>
          </w:tcPr>
          <w:p w14:paraId="109F9FAB" w14:textId="77777777" w:rsidR="004B78A2" w:rsidRPr="009E72F9" w:rsidRDefault="004B78A2" w:rsidP="00487B48">
            <w:pPr>
              <w:pStyle w:val="TableParagraph"/>
              <w:spacing w:before="134" w:line="256" w:lineRule="exact"/>
              <w:ind w:left="50"/>
              <w:rPr>
                <w:sz w:val="24"/>
                <w:szCs w:val="24"/>
                <w:lang w:val="en-GB"/>
              </w:rPr>
            </w:pPr>
            <w:r w:rsidRPr="009E72F9">
              <w:rPr>
                <w:sz w:val="24"/>
                <w:szCs w:val="24"/>
                <w:lang w:val="en-GB"/>
              </w:rPr>
              <w:t>Less contingency deduction:</w:t>
            </w:r>
          </w:p>
        </w:tc>
        <w:tc>
          <w:tcPr>
            <w:tcW w:w="1114" w:type="dxa"/>
          </w:tcPr>
          <w:p w14:paraId="56BD1699" w14:textId="77777777" w:rsidR="004B78A2" w:rsidRPr="009E72F9" w:rsidRDefault="004B78A2" w:rsidP="00487B48">
            <w:pPr>
              <w:pStyle w:val="TableParagraph"/>
              <w:spacing w:before="134" w:line="256" w:lineRule="exact"/>
              <w:ind w:left="579"/>
              <w:rPr>
                <w:sz w:val="24"/>
                <w:szCs w:val="24"/>
                <w:lang w:val="en-GB"/>
              </w:rPr>
            </w:pPr>
            <w:r w:rsidRPr="009E72F9">
              <w:rPr>
                <w:sz w:val="24"/>
                <w:szCs w:val="24"/>
                <w:lang w:val="en-GB"/>
              </w:rPr>
              <w:t>5%</w:t>
            </w:r>
          </w:p>
        </w:tc>
        <w:tc>
          <w:tcPr>
            <w:tcW w:w="1345" w:type="dxa"/>
          </w:tcPr>
          <w:p w14:paraId="2F18BD41" w14:textId="77777777" w:rsidR="004B78A2" w:rsidRPr="009E72F9" w:rsidRDefault="004B78A2" w:rsidP="00852D73">
            <w:pPr>
              <w:pStyle w:val="TableParagraph"/>
              <w:spacing w:before="134" w:line="256" w:lineRule="exact"/>
              <w:ind w:right="49"/>
              <w:jc w:val="center"/>
              <w:rPr>
                <w:sz w:val="24"/>
                <w:szCs w:val="24"/>
                <w:lang w:val="en-GB"/>
              </w:rPr>
            </w:pPr>
            <w:r w:rsidRPr="009E72F9">
              <w:rPr>
                <w:sz w:val="24"/>
                <w:szCs w:val="24"/>
                <w:u w:val="single"/>
                <w:lang w:val="en-GB"/>
              </w:rPr>
              <w:t>R 38,543</w:t>
            </w:r>
          </w:p>
        </w:tc>
      </w:tr>
    </w:tbl>
    <w:p w14:paraId="0DA13498" w14:textId="77777777" w:rsidR="004B78A2" w:rsidRPr="009E72F9" w:rsidRDefault="004B78A2" w:rsidP="004B78A2">
      <w:pPr>
        <w:pStyle w:val="BodyText"/>
        <w:rPr>
          <w:b/>
          <w:lang w:val="en-GB"/>
        </w:rPr>
      </w:pPr>
    </w:p>
    <w:p w14:paraId="70238D56" w14:textId="1AF1A332" w:rsidR="004B78A2" w:rsidRPr="009E72F9" w:rsidRDefault="004B78A2" w:rsidP="00FA3D16">
      <w:pPr>
        <w:tabs>
          <w:tab w:val="left" w:pos="7859"/>
        </w:tabs>
        <w:spacing w:before="92"/>
        <w:ind w:left="976" w:hanging="409"/>
        <w:rPr>
          <w:rFonts w:cs="Arial"/>
          <w:b/>
          <w:szCs w:val="24"/>
        </w:rPr>
      </w:pPr>
      <w:r w:rsidRPr="009E72F9">
        <w:rPr>
          <w:rFonts w:cs="Arial"/>
          <w:szCs w:val="24"/>
        </w:rPr>
        <w:t>Net</w:t>
      </w:r>
      <w:r w:rsidRPr="009E72F9">
        <w:rPr>
          <w:rFonts w:cs="Arial"/>
          <w:spacing w:val="-1"/>
          <w:szCs w:val="24"/>
        </w:rPr>
        <w:t xml:space="preserve"> </w:t>
      </w:r>
      <w:r w:rsidRPr="009E72F9">
        <w:rPr>
          <w:rFonts w:cs="Arial"/>
          <w:szCs w:val="24"/>
        </w:rPr>
        <w:t>past</w:t>
      </w:r>
      <w:r w:rsidRPr="009E72F9">
        <w:rPr>
          <w:rFonts w:cs="Arial"/>
          <w:spacing w:val="-1"/>
          <w:szCs w:val="24"/>
        </w:rPr>
        <w:t xml:space="preserve"> </w:t>
      </w:r>
      <w:r w:rsidRPr="009E72F9">
        <w:rPr>
          <w:rFonts w:cs="Arial"/>
          <w:szCs w:val="24"/>
        </w:rPr>
        <w:t>loss</w:t>
      </w:r>
      <w:r w:rsidR="00C00FD8">
        <w:rPr>
          <w:rFonts w:cs="Arial"/>
          <w:szCs w:val="24"/>
        </w:rPr>
        <w:t xml:space="preserve">                                                      </w:t>
      </w:r>
      <w:r w:rsidRPr="009E72F9">
        <w:rPr>
          <w:rFonts w:cs="Arial"/>
          <w:b/>
          <w:szCs w:val="24"/>
        </w:rPr>
        <w:t>R 732,311</w:t>
      </w:r>
    </w:p>
    <w:p w14:paraId="204B4D1D" w14:textId="77777777" w:rsidR="004B78A2" w:rsidRPr="009E72F9" w:rsidRDefault="004B78A2" w:rsidP="004B78A2">
      <w:pPr>
        <w:pStyle w:val="BodyText"/>
        <w:spacing w:before="8"/>
        <w:rPr>
          <w:b/>
          <w:lang w:val="en-GB"/>
        </w:rPr>
      </w:pPr>
    </w:p>
    <w:tbl>
      <w:tblPr>
        <w:tblW w:w="0" w:type="auto"/>
        <w:tblInd w:w="567" w:type="dxa"/>
        <w:tblLayout w:type="fixed"/>
        <w:tblCellMar>
          <w:left w:w="0" w:type="dxa"/>
          <w:right w:w="0" w:type="dxa"/>
        </w:tblCellMar>
        <w:tblLook w:val="01E0" w:firstRow="1" w:lastRow="1" w:firstColumn="1" w:lastColumn="1" w:noHBand="0" w:noVBand="0"/>
      </w:tblPr>
      <w:tblGrid>
        <w:gridCol w:w="3766"/>
        <w:gridCol w:w="1074"/>
        <w:gridCol w:w="3251"/>
      </w:tblGrid>
      <w:tr w:rsidR="004B78A2" w:rsidRPr="009E72F9" w14:paraId="4CDE9CE2" w14:textId="77777777" w:rsidTr="00FA3D16">
        <w:trPr>
          <w:trHeight w:val="962"/>
        </w:trPr>
        <w:tc>
          <w:tcPr>
            <w:tcW w:w="3766" w:type="dxa"/>
          </w:tcPr>
          <w:p w14:paraId="03DA08B0" w14:textId="77777777" w:rsidR="004B78A2" w:rsidRPr="009E72F9" w:rsidRDefault="004B78A2" w:rsidP="00487B48">
            <w:pPr>
              <w:pStyle w:val="TableParagraph"/>
              <w:spacing w:line="268" w:lineRule="exact"/>
              <w:ind w:left="50"/>
              <w:rPr>
                <w:b/>
                <w:sz w:val="24"/>
                <w:szCs w:val="24"/>
                <w:lang w:val="en-GB"/>
              </w:rPr>
            </w:pPr>
            <w:r w:rsidRPr="009E72F9">
              <w:rPr>
                <w:b/>
                <w:sz w:val="24"/>
                <w:szCs w:val="24"/>
                <w:u w:val="thick"/>
                <w:lang w:val="en-GB"/>
              </w:rPr>
              <w:t>Future Loss</w:t>
            </w:r>
          </w:p>
          <w:p w14:paraId="5E8BEF6C" w14:textId="77777777" w:rsidR="004B78A2" w:rsidRPr="009E72F9" w:rsidRDefault="004B78A2" w:rsidP="00487B48">
            <w:pPr>
              <w:pStyle w:val="TableParagraph"/>
              <w:rPr>
                <w:b/>
                <w:sz w:val="24"/>
                <w:szCs w:val="24"/>
                <w:lang w:val="en-GB"/>
              </w:rPr>
            </w:pPr>
          </w:p>
          <w:p w14:paraId="396CF7DF" w14:textId="77777777" w:rsidR="004B78A2" w:rsidRPr="009E72F9" w:rsidRDefault="004B78A2" w:rsidP="00487B48">
            <w:pPr>
              <w:pStyle w:val="TableParagraph"/>
              <w:ind w:left="50"/>
              <w:rPr>
                <w:sz w:val="24"/>
                <w:szCs w:val="24"/>
                <w:lang w:val="en-GB"/>
              </w:rPr>
            </w:pPr>
            <w:r w:rsidRPr="009E72F9">
              <w:rPr>
                <w:sz w:val="24"/>
                <w:szCs w:val="24"/>
                <w:lang w:val="en-GB"/>
              </w:rPr>
              <w:t>Value of the income uninjured:</w:t>
            </w:r>
          </w:p>
        </w:tc>
        <w:tc>
          <w:tcPr>
            <w:tcW w:w="1074" w:type="dxa"/>
          </w:tcPr>
          <w:p w14:paraId="246E0699" w14:textId="77777777" w:rsidR="004B78A2" w:rsidRPr="009E72F9" w:rsidRDefault="004B78A2" w:rsidP="00487B48">
            <w:pPr>
              <w:pStyle w:val="TableParagraph"/>
              <w:rPr>
                <w:sz w:val="24"/>
                <w:szCs w:val="24"/>
                <w:lang w:val="en-GB"/>
              </w:rPr>
            </w:pPr>
          </w:p>
        </w:tc>
        <w:tc>
          <w:tcPr>
            <w:tcW w:w="3251" w:type="dxa"/>
          </w:tcPr>
          <w:p w14:paraId="2BFFD43B" w14:textId="77777777" w:rsidR="004B78A2" w:rsidRPr="009E72F9" w:rsidRDefault="004B78A2" w:rsidP="00487B48">
            <w:pPr>
              <w:pStyle w:val="TableParagraph"/>
              <w:rPr>
                <w:b/>
                <w:sz w:val="24"/>
                <w:szCs w:val="24"/>
                <w:lang w:val="en-GB"/>
              </w:rPr>
            </w:pPr>
          </w:p>
          <w:p w14:paraId="107D9B33" w14:textId="77777777" w:rsidR="004B78A2" w:rsidRPr="009E72F9" w:rsidRDefault="004B78A2" w:rsidP="00487B48">
            <w:pPr>
              <w:pStyle w:val="TableParagraph"/>
              <w:spacing w:before="3"/>
              <w:rPr>
                <w:b/>
                <w:sz w:val="24"/>
                <w:szCs w:val="24"/>
                <w:lang w:val="en-GB"/>
              </w:rPr>
            </w:pPr>
          </w:p>
          <w:p w14:paraId="3DB7BD1B" w14:textId="77777777" w:rsidR="004B78A2" w:rsidRPr="009E72F9" w:rsidRDefault="004B78A2" w:rsidP="00487B48">
            <w:pPr>
              <w:pStyle w:val="TableParagraph"/>
              <w:ind w:left="118"/>
              <w:rPr>
                <w:sz w:val="24"/>
                <w:szCs w:val="24"/>
                <w:lang w:val="en-GB"/>
              </w:rPr>
            </w:pPr>
            <w:r w:rsidRPr="009E72F9">
              <w:rPr>
                <w:sz w:val="24"/>
                <w:szCs w:val="24"/>
                <w:lang w:val="en-GB"/>
              </w:rPr>
              <w:t>R 987,162</w:t>
            </w:r>
          </w:p>
        </w:tc>
      </w:tr>
      <w:tr w:rsidR="004B78A2" w:rsidRPr="009E72F9" w14:paraId="55071869" w14:textId="77777777" w:rsidTr="00FA3D16">
        <w:trPr>
          <w:trHeight w:val="962"/>
        </w:trPr>
        <w:tc>
          <w:tcPr>
            <w:tcW w:w="3766" w:type="dxa"/>
          </w:tcPr>
          <w:p w14:paraId="13356F68" w14:textId="77777777" w:rsidR="004B78A2" w:rsidRPr="009E72F9" w:rsidRDefault="004B78A2" w:rsidP="00487B48">
            <w:pPr>
              <w:pStyle w:val="TableParagraph"/>
              <w:spacing w:before="134"/>
              <w:ind w:left="50"/>
              <w:rPr>
                <w:sz w:val="24"/>
                <w:szCs w:val="24"/>
                <w:lang w:val="en-GB"/>
              </w:rPr>
            </w:pPr>
            <w:r w:rsidRPr="009E72F9">
              <w:rPr>
                <w:sz w:val="24"/>
                <w:szCs w:val="24"/>
                <w:lang w:val="en-GB"/>
              </w:rPr>
              <w:t>Less contingency deduction:</w:t>
            </w:r>
          </w:p>
          <w:p w14:paraId="03FFB271" w14:textId="77777777" w:rsidR="004B78A2" w:rsidRPr="009E72F9" w:rsidRDefault="004B78A2" w:rsidP="00487B48">
            <w:pPr>
              <w:pStyle w:val="TableParagraph"/>
              <w:rPr>
                <w:b/>
                <w:sz w:val="24"/>
                <w:szCs w:val="24"/>
                <w:lang w:val="en-GB"/>
              </w:rPr>
            </w:pPr>
          </w:p>
          <w:p w14:paraId="036D3B5F" w14:textId="77777777" w:rsidR="004B78A2" w:rsidRPr="009E72F9" w:rsidRDefault="004B78A2" w:rsidP="00487B48">
            <w:pPr>
              <w:pStyle w:val="TableParagraph"/>
              <w:spacing w:line="256" w:lineRule="exact"/>
              <w:ind w:left="50"/>
              <w:rPr>
                <w:sz w:val="24"/>
                <w:szCs w:val="24"/>
                <w:lang w:val="en-GB"/>
              </w:rPr>
            </w:pPr>
            <w:r w:rsidRPr="009E72F9">
              <w:rPr>
                <w:sz w:val="24"/>
                <w:szCs w:val="24"/>
                <w:lang w:val="en-GB"/>
              </w:rPr>
              <w:t>Net future loss</w:t>
            </w:r>
          </w:p>
        </w:tc>
        <w:tc>
          <w:tcPr>
            <w:tcW w:w="1074" w:type="dxa"/>
          </w:tcPr>
          <w:p w14:paraId="108B6655" w14:textId="77777777" w:rsidR="004B78A2" w:rsidRPr="009E72F9" w:rsidRDefault="004B78A2" w:rsidP="00487B48">
            <w:pPr>
              <w:pStyle w:val="TableParagraph"/>
              <w:spacing w:before="134"/>
              <w:ind w:left="472"/>
              <w:rPr>
                <w:sz w:val="24"/>
                <w:szCs w:val="24"/>
                <w:lang w:val="en-GB"/>
              </w:rPr>
            </w:pPr>
            <w:r w:rsidRPr="009E72F9">
              <w:rPr>
                <w:sz w:val="24"/>
                <w:szCs w:val="24"/>
                <w:lang w:val="en-GB"/>
              </w:rPr>
              <w:t>10%</w:t>
            </w:r>
          </w:p>
        </w:tc>
        <w:tc>
          <w:tcPr>
            <w:tcW w:w="3251" w:type="dxa"/>
          </w:tcPr>
          <w:p w14:paraId="4EE194E8" w14:textId="77777777" w:rsidR="004B78A2" w:rsidRPr="009E72F9" w:rsidRDefault="004B78A2" w:rsidP="00487B48">
            <w:pPr>
              <w:pStyle w:val="TableParagraph"/>
              <w:spacing w:before="134"/>
              <w:ind w:left="118"/>
              <w:rPr>
                <w:sz w:val="24"/>
                <w:szCs w:val="24"/>
                <w:lang w:val="en-GB"/>
              </w:rPr>
            </w:pPr>
            <w:r w:rsidRPr="009E72F9">
              <w:rPr>
                <w:sz w:val="24"/>
                <w:szCs w:val="24"/>
                <w:u w:val="single"/>
                <w:lang w:val="en-GB"/>
              </w:rPr>
              <w:t>R 98,716</w:t>
            </w:r>
          </w:p>
          <w:p w14:paraId="3F1A73CE" w14:textId="77777777" w:rsidR="004B78A2" w:rsidRPr="009E72F9" w:rsidRDefault="004B78A2" w:rsidP="00487B48">
            <w:pPr>
              <w:pStyle w:val="TableParagraph"/>
              <w:rPr>
                <w:b/>
                <w:sz w:val="24"/>
                <w:szCs w:val="24"/>
                <w:lang w:val="en-GB"/>
              </w:rPr>
            </w:pPr>
          </w:p>
          <w:p w14:paraId="74D97269" w14:textId="6EAABAB2" w:rsidR="004B78A2" w:rsidRPr="009E72F9" w:rsidRDefault="00C00FD8" w:rsidP="00852D73">
            <w:pPr>
              <w:pStyle w:val="TableParagraph"/>
              <w:spacing w:line="256" w:lineRule="exact"/>
              <w:rPr>
                <w:b/>
                <w:sz w:val="24"/>
                <w:szCs w:val="24"/>
                <w:lang w:val="en-GB"/>
              </w:rPr>
            </w:pPr>
            <w:r>
              <w:rPr>
                <w:b/>
                <w:sz w:val="24"/>
                <w:szCs w:val="24"/>
                <w:lang w:val="en-GB"/>
              </w:rPr>
              <w:t xml:space="preserve">  </w:t>
            </w:r>
            <w:r w:rsidR="004B78A2" w:rsidRPr="009E72F9">
              <w:rPr>
                <w:b/>
                <w:sz w:val="24"/>
                <w:szCs w:val="24"/>
                <w:lang w:val="en-GB"/>
              </w:rPr>
              <w:t>R 888,446</w:t>
            </w:r>
          </w:p>
        </w:tc>
      </w:tr>
    </w:tbl>
    <w:p w14:paraId="6575A783" w14:textId="77777777" w:rsidR="004B78A2" w:rsidRDefault="004B78A2" w:rsidP="004B78A2">
      <w:pPr>
        <w:pStyle w:val="BodyText"/>
        <w:spacing w:before="11"/>
        <w:rPr>
          <w:b/>
          <w:lang w:val="en-GB"/>
        </w:rPr>
      </w:pPr>
    </w:p>
    <w:p w14:paraId="4663CB63" w14:textId="77777777" w:rsidR="00EC7661" w:rsidRPr="009E72F9" w:rsidRDefault="00EC7661" w:rsidP="004B78A2">
      <w:pPr>
        <w:pStyle w:val="BodyText"/>
        <w:spacing w:before="11"/>
        <w:rPr>
          <w:b/>
          <w:lang w:val="en-GB"/>
        </w:rPr>
      </w:pPr>
    </w:p>
    <w:p w14:paraId="6DA841ED" w14:textId="430E6977" w:rsidR="004B78A2" w:rsidRPr="009E72F9" w:rsidRDefault="004B78A2" w:rsidP="00852D73">
      <w:pPr>
        <w:pStyle w:val="Heading1"/>
        <w:tabs>
          <w:tab w:val="left" w:pos="7513"/>
        </w:tabs>
        <w:spacing w:before="92"/>
        <w:ind w:left="976" w:hanging="550"/>
        <w:rPr>
          <w:u w:val="none"/>
          <w:lang w:val="en-GB"/>
        </w:rPr>
      </w:pPr>
      <w:r w:rsidRPr="009E72F9">
        <w:rPr>
          <w:u w:val="none"/>
          <w:lang w:val="en-GB"/>
        </w:rPr>
        <w:t>Total</w:t>
      </w:r>
      <w:r w:rsidRPr="009E72F9">
        <w:rPr>
          <w:spacing w:val="-1"/>
          <w:u w:val="none"/>
          <w:lang w:val="en-GB"/>
        </w:rPr>
        <w:t xml:space="preserve"> </w:t>
      </w:r>
      <w:r w:rsidRPr="009E72F9">
        <w:rPr>
          <w:u w:val="none"/>
          <w:lang w:val="en-GB"/>
        </w:rPr>
        <w:t>net</w:t>
      </w:r>
      <w:r w:rsidRPr="009E72F9">
        <w:rPr>
          <w:spacing w:val="-1"/>
          <w:u w:val="none"/>
          <w:lang w:val="en-GB"/>
        </w:rPr>
        <w:t xml:space="preserve"> </w:t>
      </w:r>
      <w:r w:rsidRPr="009E72F9">
        <w:rPr>
          <w:u w:val="none"/>
          <w:lang w:val="en-GB"/>
        </w:rPr>
        <w:t>loss:</w:t>
      </w:r>
      <w:r w:rsidR="00C00FD8">
        <w:rPr>
          <w:u w:val="none"/>
          <w:lang w:val="en-GB"/>
        </w:rPr>
        <w:t xml:space="preserve">                                                    </w:t>
      </w:r>
      <w:r w:rsidRPr="009E72F9">
        <w:rPr>
          <w:u w:val="none"/>
          <w:lang w:val="en-GB"/>
        </w:rPr>
        <w:t>R1,620,757</w:t>
      </w:r>
    </w:p>
    <w:p w14:paraId="0CDA0129" w14:textId="77777777" w:rsidR="00123E94" w:rsidRPr="009E72F9" w:rsidRDefault="00123E94" w:rsidP="00123E94">
      <w:pPr>
        <w:pStyle w:val="JudgmentNumbered"/>
        <w:numPr>
          <w:ilvl w:val="0"/>
          <w:numId w:val="0"/>
        </w:numPr>
        <w:rPr>
          <w:szCs w:val="24"/>
        </w:rPr>
      </w:pPr>
    </w:p>
    <w:p w14:paraId="6AF1508F" w14:textId="46AC7C6E" w:rsidR="00123E94" w:rsidRPr="009E72F9" w:rsidRDefault="00123E94" w:rsidP="00123E94">
      <w:pPr>
        <w:pStyle w:val="JudgmentNumbered"/>
        <w:numPr>
          <w:ilvl w:val="0"/>
          <w:numId w:val="0"/>
        </w:numPr>
        <w:ind w:left="567" w:hanging="567"/>
        <w:rPr>
          <w:i/>
          <w:iCs/>
          <w:szCs w:val="24"/>
        </w:rPr>
      </w:pPr>
      <w:r w:rsidRPr="009E72F9">
        <w:rPr>
          <w:i/>
          <w:iCs/>
          <w:szCs w:val="24"/>
        </w:rPr>
        <w:t>Issues</w:t>
      </w:r>
    </w:p>
    <w:p w14:paraId="41D8423D" w14:textId="167343FF" w:rsidR="00A83A79" w:rsidRPr="009E72F9" w:rsidRDefault="00123E94" w:rsidP="00A83A79">
      <w:pPr>
        <w:pStyle w:val="JudgmentNumbered"/>
        <w:rPr>
          <w:szCs w:val="24"/>
        </w:rPr>
      </w:pPr>
      <w:r w:rsidRPr="009E72F9">
        <w:rPr>
          <w:szCs w:val="24"/>
        </w:rPr>
        <w:t>As the issue of merits and general damages had been settled between the parties, and that the plaintiff had received an undertaking for future medical expenses, the court was only required to quantify the plaintiff’s claim for past medical expenses and the plaintiff’s loss of earnings as result of the accident.</w:t>
      </w:r>
    </w:p>
    <w:p w14:paraId="739726E6" w14:textId="6D84DB3D" w:rsidR="00FB7112" w:rsidRPr="009E72F9" w:rsidRDefault="00FB7112" w:rsidP="00A83A79">
      <w:pPr>
        <w:pStyle w:val="JudgmentNumbered"/>
        <w:rPr>
          <w:szCs w:val="24"/>
        </w:rPr>
      </w:pPr>
      <w:r w:rsidRPr="009E72F9">
        <w:rPr>
          <w:szCs w:val="24"/>
        </w:rPr>
        <w:t>The</w:t>
      </w:r>
      <w:r w:rsidR="003F476A" w:rsidRPr="009E72F9">
        <w:rPr>
          <w:szCs w:val="24"/>
        </w:rPr>
        <w:t xml:space="preserve"> point of contention</w:t>
      </w:r>
      <w:r w:rsidRPr="009E72F9">
        <w:rPr>
          <w:szCs w:val="24"/>
        </w:rPr>
        <w:t xml:space="preserve"> in dealing with the plaintiff’s claim for the recovery of past medical expenses is the fund</w:t>
      </w:r>
      <w:r w:rsidR="003F476A" w:rsidRPr="009E72F9">
        <w:rPr>
          <w:szCs w:val="24"/>
        </w:rPr>
        <w:t>’</w:t>
      </w:r>
      <w:r w:rsidRPr="009E72F9">
        <w:rPr>
          <w:szCs w:val="24"/>
        </w:rPr>
        <w:t>s internal directive of August 2022 an</w:t>
      </w:r>
      <w:r w:rsidR="003F476A" w:rsidRPr="009E72F9">
        <w:rPr>
          <w:szCs w:val="24"/>
        </w:rPr>
        <w:t>d the litigation that has ensued as a result of the directive.</w:t>
      </w:r>
    </w:p>
    <w:p w14:paraId="44699D0A" w14:textId="51DC5337" w:rsidR="003F476A" w:rsidRPr="009E72F9" w:rsidRDefault="003F476A" w:rsidP="003F476A">
      <w:pPr>
        <w:pStyle w:val="JudgmentNumbered"/>
        <w:numPr>
          <w:ilvl w:val="0"/>
          <w:numId w:val="0"/>
        </w:numPr>
        <w:rPr>
          <w:i/>
          <w:iCs/>
          <w:szCs w:val="24"/>
        </w:rPr>
      </w:pPr>
      <w:r w:rsidRPr="009E72F9">
        <w:rPr>
          <w:i/>
          <w:iCs/>
          <w:szCs w:val="24"/>
        </w:rPr>
        <w:t>Current Applicable Law</w:t>
      </w:r>
    </w:p>
    <w:p w14:paraId="77F0C732" w14:textId="02B7CC69" w:rsidR="00B12041" w:rsidRPr="009E72F9" w:rsidRDefault="00B12041" w:rsidP="004A1F1E">
      <w:pPr>
        <w:pStyle w:val="JudgmentNumbered"/>
        <w:rPr>
          <w:szCs w:val="24"/>
        </w:rPr>
      </w:pPr>
      <w:r w:rsidRPr="009E72F9">
        <w:rPr>
          <w:szCs w:val="24"/>
        </w:rPr>
        <w:t xml:space="preserve">In civil cases the measure of proof </w:t>
      </w:r>
      <w:r w:rsidR="004E520F" w:rsidRPr="009E72F9">
        <w:rPr>
          <w:szCs w:val="24"/>
        </w:rPr>
        <w:t xml:space="preserve">remains </w:t>
      </w:r>
      <w:r w:rsidRPr="009E72F9">
        <w:rPr>
          <w:szCs w:val="24"/>
        </w:rPr>
        <w:t xml:space="preserve">a preponderance or </w:t>
      </w:r>
      <w:r w:rsidR="00EC7661">
        <w:rPr>
          <w:szCs w:val="24"/>
        </w:rPr>
        <w:t xml:space="preserve">on a </w:t>
      </w:r>
      <w:r w:rsidRPr="009E72F9">
        <w:rPr>
          <w:szCs w:val="24"/>
        </w:rPr>
        <w:t xml:space="preserve">balance of probability. This means that the plaintiff must prove that </w:t>
      </w:r>
      <w:r w:rsidR="00C51B89" w:rsidRPr="009E72F9">
        <w:rPr>
          <w:szCs w:val="24"/>
        </w:rPr>
        <w:t>s</w:t>
      </w:r>
      <w:r w:rsidRPr="009E72F9">
        <w:rPr>
          <w:szCs w:val="24"/>
        </w:rPr>
        <w:t xml:space="preserve">he has more </w:t>
      </w:r>
      <w:r w:rsidR="00EC7661">
        <w:rPr>
          <w:szCs w:val="24"/>
        </w:rPr>
        <w:t xml:space="preserve">than </w:t>
      </w:r>
      <w:r w:rsidRPr="009E72F9">
        <w:rPr>
          <w:szCs w:val="24"/>
        </w:rPr>
        <w:t xml:space="preserve">likely </w:t>
      </w:r>
      <w:r w:rsidRPr="009E72F9">
        <w:rPr>
          <w:szCs w:val="24"/>
        </w:rPr>
        <w:lastRenderedPageBreak/>
        <w:t xml:space="preserve">suffered certain heads or categories of damage and </w:t>
      </w:r>
      <w:r w:rsidR="00C51B89" w:rsidRPr="009E72F9">
        <w:rPr>
          <w:szCs w:val="24"/>
        </w:rPr>
        <w:t>s</w:t>
      </w:r>
      <w:r w:rsidRPr="009E72F9">
        <w:rPr>
          <w:szCs w:val="24"/>
        </w:rPr>
        <w:t>he must also prove the exact amount of damages that</w:t>
      </w:r>
      <w:r w:rsidR="00EC7661">
        <w:rPr>
          <w:szCs w:val="24"/>
        </w:rPr>
        <w:t xml:space="preserve"> she</w:t>
      </w:r>
      <w:r w:rsidRPr="009E72F9">
        <w:rPr>
          <w:szCs w:val="24"/>
        </w:rPr>
        <w:t xml:space="preserve"> should be awarded to compensate for that loss.</w:t>
      </w:r>
    </w:p>
    <w:p w14:paraId="1C187B13" w14:textId="4371817E" w:rsidR="004F1EF0" w:rsidRPr="009E72F9" w:rsidRDefault="004A1F1E" w:rsidP="004A1F1E">
      <w:pPr>
        <w:pStyle w:val="JudgmentNumbered"/>
        <w:rPr>
          <w:szCs w:val="24"/>
        </w:rPr>
      </w:pPr>
      <w:r w:rsidRPr="009E72F9">
        <w:rPr>
          <w:szCs w:val="24"/>
        </w:rPr>
        <w:t xml:space="preserve">In the matter of </w:t>
      </w:r>
      <w:r w:rsidRPr="009E72F9">
        <w:rPr>
          <w:i/>
          <w:iCs/>
          <w:szCs w:val="24"/>
        </w:rPr>
        <w:t>Discovery Health (Pty) Limited v Road Accident Fund and Another</w:t>
      </w:r>
      <w:r w:rsidR="00D973F6">
        <w:rPr>
          <w:rStyle w:val="FootnoteReference"/>
          <w:i/>
          <w:iCs/>
          <w:szCs w:val="24"/>
        </w:rPr>
        <w:footnoteReference w:id="2"/>
      </w:r>
      <w:r w:rsidRPr="009E72F9">
        <w:rPr>
          <w:szCs w:val="24"/>
        </w:rPr>
        <w:t>, Mbongwe J canvassed the liability of the fund</w:t>
      </w:r>
      <w:r w:rsidR="004F1EF0" w:rsidRPr="009E72F9">
        <w:rPr>
          <w:szCs w:val="24"/>
        </w:rPr>
        <w:t xml:space="preserve"> as set out in section 17(1) of the Road Accident Fund Act</w:t>
      </w:r>
      <w:r w:rsidR="00E007B8">
        <w:rPr>
          <w:rStyle w:val="FootnoteReference"/>
          <w:szCs w:val="24"/>
        </w:rPr>
        <w:footnoteReference w:id="3"/>
      </w:r>
      <w:r w:rsidR="004F1EF0" w:rsidRPr="009E72F9">
        <w:rPr>
          <w:szCs w:val="24"/>
        </w:rPr>
        <w:t xml:space="preserve"> (as amended),(“the Act’’)</w:t>
      </w:r>
      <w:r w:rsidR="004E520F" w:rsidRPr="009E72F9">
        <w:rPr>
          <w:szCs w:val="24"/>
        </w:rPr>
        <w:t>:</w:t>
      </w:r>
    </w:p>
    <w:p w14:paraId="39B8C43E" w14:textId="73FF3BBC" w:rsidR="004F1EF0" w:rsidRPr="00852D73" w:rsidRDefault="004F1EF0" w:rsidP="001F3C06">
      <w:pPr>
        <w:pStyle w:val="JudgmentNumbered"/>
        <w:numPr>
          <w:ilvl w:val="0"/>
          <w:numId w:val="0"/>
        </w:numPr>
        <w:ind w:left="567"/>
        <w:rPr>
          <w:sz w:val="22"/>
          <w:szCs w:val="24"/>
        </w:rPr>
      </w:pPr>
      <w:r w:rsidRPr="00852D73">
        <w:rPr>
          <w:sz w:val="22"/>
          <w:szCs w:val="24"/>
        </w:rPr>
        <w:t>“</w:t>
      </w:r>
      <w:r w:rsidRPr="00852D73">
        <w:rPr>
          <w:i/>
          <w:iCs/>
          <w:sz w:val="22"/>
          <w:szCs w:val="24"/>
        </w:rPr>
        <w:t>… to compensate any person (the third party) for any loss or  damage which the third party has suffered as a result of any bodily injury to himself or herself or the death of or any bodily injury to any other person at any place within the Republic, if the injury or death is due to the negligence or other wrongful act of the driver or of the owner of the motor vehicle or his or her employee in the performance of the employee’s duties as employee...</w:t>
      </w:r>
      <w:r w:rsidRPr="00852D73">
        <w:rPr>
          <w:sz w:val="22"/>
          <w:szCs w:val="24"/>
        </w:rPr>
        <w:t>”</w:t>
      </w:r>
    </w:p>
    <w:p w14:paraId="5CCF2B7E" w14:textId="01FCDDDD" w:rsidR="008F3A67" w:rsidRPr="009E72F9" w:rsidRDefault="008F3A67" w:rsidP="008F3A67">
      <w:pPr>
        <w:pStyle w:val="JudgmentNumbered"/>
        <w:rPr>
          <w:szCs w:val="24"/>
        </w:rPr>
      </w:pPr>
      <w:r w:rsidRPr="009E72F9">
        <w:rPr>
          <w:szCs w:val="24"/>
        </w:rPr>
        <w:t>The court held that:</w:t>
      </w:r>
    </w:p>
    <w:p w14:paraId="66F81A00" w14:textId="6E27ADD5" w:rsidR="008F3A67" w:rsidRPr="00852D73" w:rsidRDefault="008F3A67" w:rsidP="001F3C06">
      <w:pPr>
        <w:pStyle w:val="JudgmentNumbered"/>
        <w:numPr>
          <w:ilvl w:val="0"/>
          <w:numId w:val="0"/>
        </w:numPr>
        <w:ind w:left="567"/>
        <w:rPr>
          <w:sz w:val="22"/>
          <w:szCs w:val="24"/>
        </w:rPr>
      </w:pPr>
      <w:r w:rsidRPr="00852D73">
        <w:rPr>
          <w:sz w:val="22"/>
          <w:szCs w:val="24"/>
        </w:rPr>
        <w:t>“</w:t>
      </w:r>
      <w:r w:rsidRPr="00852D73">
        <w:rPr>
          <w:i/>
          <w:iCs/>
          <w:sz w:val="22"/>
          <w:szCs w:val="24"/>
        </w:rPr>
        <w:t xml:space="preserve">[40] Not only is the impugned decision arbitrary, it is a transgression of the enabling statutory provisions and the dictates of PAJA. The action of the [the Fund] unfathomably points to an oblivion that the schemes do not cover only motor </w:t>
      </w:r>
      <w:r w:rsidR="00A539F2" w:rsidRPr="00852D73">
        <w:rPr>
          <w:i/>
          <w:iCs/>
          <w:sz w:val="22"/>
          <w:szCs w:val="24"/>
        </w:rPr>
        <w:t>accident-related</w:t>
      </w:r>
      <w:r w:rsidRPr="00852D73">
        <w:rPr>
          <w:i/>
          <w:iCs/>
          <w:sz w:val="22"/>
          <w:szCs w:val="24"/>
        </w:rPr>
        <w:t xml:space="preserve"> matters of their clients, but their clients’ other health related aspects necessitating hospitalisation and medical treatment for which the schemes are obliged to pay – an obligation that would be impossible to discharge were the decision of [the Fund] to be left unchecked. Worst still, the decision is unlawful for its variance with the provisions of section 17 quoted above, which renders it irrational as well.</w:t>
      </w:r>
      <w:r w:rsidRPr="00852D73">
        <w:rPr>
          <w:sz w:val="22"/>
          <w:szCs w:val="24"/>
        </w:rPr>
        <w:t>”</w:t>
      </w:r>
    </w:p>
    <w:p w14:paraId="319F0272" w14:textId="2C919C25" w:rsidR="00016D2A" w:rsidRPr="00016D2A" w:rsidRDefault="00CC4F73" w:rsidP="009543BA">
      <w:pPr>
        <w:pStyle w:val="JudgmentNumbered"/>
        <w:rPr>
          <w:szCs w:val="24"/>
        </w:rPr>
      </w:pPr>
      <w:r>
        <w:t xml:space="preserve">In the matter of </w:t>
      </w:r>
      <w:r w:rsidRPr="00852D73">
        <w:rPr>
          <w:i/>
        </w:rPr>
        <w:t>Zysset and Others v Santam Ltd</w:t>
      </w:r>
      <w:r w:rsidR="00F61B3E">
        <w:rPr>
          <w:rStyle w:val="FootnoteReference"/>
          <w:i/>
        </w:rPr>
        <w:footnoteReference w:id="4"/>
      </w:r>
      <w:r w:rsidR="00213CF1">
        <w:rPr>
          <w:i/>
        </w:rPr>
        <w:t>,</w:t>
      </w:r>
      <w:r>
        <w:t xml:space="preserve"> which was cited by Mbongwe J</w:t>
      </w:r>
      <w:r w:rsidR="00016D2A">
        <w:t>, the confirmed principle is that b</w:t>
      </w:r>
      <w:r w:rsidR="00016D2A" w:rsidRPr="00016D2A">
        <w:t xml:space="preserve">enefits received by a claimant from the benevolence of a third party or a private insurance policy are not considered for purposes of determining the quantum of a claimant’s damages against the </w:t>
      </w:r>
      <w:r w:rsidR="00016D2A">
        <w:t>Fund.</w:t>
      </w:r>
    </w:p>
    <w:p w14:paraId="076C5B61" w14:textId="24BAE990" w:rsidR="0036173B" w:rsidRPr="00016D2A" w:rsidRDefault="00A71536" w:rsidP="009543BA">
      <w:pPr>
        <w:pStyle w:val="JudgmentNumbered"/>
        <w:rPr>
          <w:szCs w:val="24"/>
        </w:rPr>
      </w:pPr>
      <w:r w:rsidRPr="00016D2A">
        <w:rPr>
          <w:szCs w:val="24"/>
        </w:rPr>
        <w:t xml:space="preserve">Mbongwe J </w:t>
      </w:r>
      <w:r w:rsidR="00AA1551" w:rsidRPr="00016D2A">
        <w:rPr>
          <w:szCs w:val="24"/>
        </w:rPr>
        <w:t>ordered</w:t>
      </w:r>
      <w:r w:rsidRPr="00016D2A">
        <w:rPr>
          <w:szCs w:val="24"/>
        </w:rPr>
        <w:t xml:space="preserve"> that the fund’s directive of 12 August 2022 is declared unlawful</w:t>
      </w:r>
      <w:r w:rsidR="00AA1551" w:rsidRPr="00016D2A">
        <w:rPr>
          <w:szCs w:val="24"/>
        </w:rPr>
        <w:t xml:space="preserve">, </w:t>
      </w:r>
      <w:r w:rsidR="008F3A67" w:rsidRPr="00016D2A">
        <w:rPr>
          <w:szCs w:val="24"/>
        </w:rPr>
        <w:t xml:space="preserve">that </w:t>
      </w:r>
      <w:r w:rsidRPr="00016D2A">
        <w:rPr>
          <w:szCs w:val="24"/>
        </w:rPr>
        <w:t>the directive was reviewed and set aside</w:t>
      </w:r>
      <w:r w:rsidR="00AA1551" w:rsidRPr="00016D2A">
        <w:rPr>
          <w:szCs w:val="24"/>
        </w:rPr>
        <w:t xml:space="preserve"> and that the Fund is interdicted and restrained from implementing the impugned directive</w:t>
      </w:r>
      <w:r w:rsidRPr="00016D2A">
        <w:rPr>
          <w:szCs w:val="24"/>
        </w:rPr>
        <w:t>.</w:t>
      </w:r>
    </w:p>
    <w:p w14:paraId="255E27E5" w14:textId="108C97D7" w:rsidR="00AA1551" w:rsidRPr="009E72F9" w:rsidRDefault="00AA1551" w:rsidP="0036173B">
      <w:pPr>
        <w:pStyle w:val="JudgmentNumbered"/>
        <w:rPr>
          <w:szCs w:val="24"/>
        </w:rPr>
      </w:pPr>
      <w:r w:rsidRPr="009E72F9">
        <w:rPr>
          <w:szCs w:val="24"/>
        </w:rPr>
        <w:lastRenderedPageBreak/>
        <w:t xml:space="preserve">The Fund </w:t>
      </w:r>
      <w:r w:rsidR="008F3A67" w:rsidRPr="009E72F9">
        <w:rPr>
          <w:szCs w:val="24"/>
        </w:rPr>
        <w:t>attempted to take the Discovery Health decision on appeal to the Supreme Court of Appeal (the SCA) and to the Constitutional Court (the Con Court); however, both the SCA and the Con Court have dismissed the Fund</w:t>
      </w:r>
      <w:r w:rsidR="00DA2DD9" w:rsidRPr="009E72F9">
        <w:rPr>
          <w:szCs w:val="24"/>
        </w:rPr>
        <w:t>’</w:t>
      </w:r>
      <w:r w:rsidR="008F3A67" w:rsidRPr="009E72F9">
        <w:rPr>
          <w:szCs w:val="24"/>
        </w:rPr>
        <w:t>s applications for leave to appeal.</w:t>
      </w:r>
    </w:p>
    <w:p w14:paraId="53C538CC" w14:textId="69200DD5" w:rsidR="00760E5F" w:rsidRPr="009F56BF" w:rsidRDefault="00760E5F" w:rsidP="0036173B">
      <w:pPr>
        <w:pStyle w:val="JudgmentNumbered"/>
        <w:rPr>
          <w:szCs w:val="24"/>
        </w:rPr>
      </w:pPr>
      <w:r w:rsidRPr="009F56BF">
        <w:rPr>
          <w:szCs w:val="24"/>
        </w:rPr>
        <w:t>As per sections 18(1) read together with section 18(3) of the Superior Courts Act</w:t>
      </w:r>
      <w:r w:rsidR="000E0177">
        <w:rPr>
          <w:rStyle w:val="FootnoteReference"/>
          <w:szCs w:val="24"/>
        </w:rPr>
        <w:footnoteReference w:id="5"/>
      </w:r>
      <w:r w:rsidRPr="009F56BF">
        <w:rPr>
          <w:szCs w:val="24"/>
        </w:rPr>
        <w:t>, the Funds attempts to appeal the decision resulted in the suspension of the operation and execution of the court</w:t>
      </w:r>
      <w:r w:rsidR="00E24EC4" w:rsidRPr="009F56BF">
        <w:rPr>
          <w:szCs w:val="24"/>
        </w:rPr>
        <w:t xml:space="preserve"> </w:t>
      </w:r>
      <w:r w:rsidR="00E24EC4" w:rsidRPr="009F56BF">
        <w:rPr>
          <w:i/>
          <w:iCs/>
          <w:szCs w:val="24"/>
        </w:rPr>
        <w:t>a quo</w:t>
      </w:r>
      <w:r w:rsidR="00E24EC4" w:rsidRPr="009F56BF">
        <w:rPr>
          <w:szCs w:val="24"/>
        </w:rPr>
        <w:t>’s</w:t>
      </w:r>
      <w:r w:rsidRPr="009F56BF">
        <w:rPr>
          <w:szCs w:val="24"/>
        </w:rPr>
        <w:t xml:space="preserve"> decision</w:t>
      </w:r>
      <w:r w:rsidR="00DA2DD9" w:rsidRPr="009F56BF">
        <w:rPr>
          <w:szCs w:val="24"/>
        </w:rPr>
        <w:t xml:space="preserve"> pending the outcome of the appellate courts’ respective decisions.</w:t>
      </w:r>
    </w:p>
    <w:p w14:paraId="5742E0A2" w14:textId="3A995E5F" w:rsidR="004B1DAB" w:rsidRPr="005924C1" w:rsidRDefault="00BE5AC7" w:rsidP="005924C1">
      <w:pPr>
        <w:pStyle w:val="JudgmentNumbered"/>
        <w:rPr>
          <w:szCs w:val="24"/>
        </w:rPr>
      </w:pPr>
      <w:r w:rsidRPr="009E72F9">
        <w:rPr>
          <w:szCs w:val="24"/>
        </w:rPr>
        <w:t xml:space="preserve">Consequently, </w:t>
      </w:r>
      <w:r w:rsidR="00E24EC4">
        <w:rPr>
          <w:szCs w:val="24"/>
        </w:rPr>
        <w:t xml:space="preserve">as both the SCA and the Con Court have dismissed the Fund’s applications, </w:t>
      </w:r>
      <w:r w:rsidRPr="009E72F9">
        <w:rPr>
          <w:szCs w:val="24"/>
        </w:rPr>
        <w:t>there ought not to be any confusion that the Fund’s impugned directive has been set aside and that the Fund is interdicted from applying the directive.</w:t>
      </w:r>
    </w:p>
    <w:p w14:paraId="3D82B634" w14:textId="449F7C81" w:rsidR="00DA2DD9" w:rsidRPr="009E72F9" w:rsidRDefault="00BE3EB1" w:rsidP="00DA2DD9">
      <w:pPr>
        <w:pStyle w:val="JudgmentNumbered"/>
        <w:numPr>
          <w:ilvl w:val="0"/>
          <w:numId w:val="0"/>
        </w:numPr>
        <w:rPr>
          <w:i/>
          <w:iCs/>
          <w:szCs w:val="24"/>
        </w:rPr>
      </w:pPr>
      <w:r>
        <w:rPr>
          <w:i/>
          <w:iCs/>
          <w:szCs w:val="24"/>
        </w:rPr>
        <w:t>Findings</w:t>
      </w:r>
    </w:p>
    <w:p w14:paraId="14DCF94D" w14:textId="1BE6CCC1" w:rsidR="00ED650B" w:rsidRDefault="00ED650B" w:rsidP="00ED650B">
      <w:pPr>
        <w:pStyle w:val="JudgmentNumbered"/>
      </w:pPr>
      <w:r>
        <w:t xml:space="preserve">Rule 38(2) confers on the court the power to order that all or any evidence adduced, at any trial be given on affidavit or that the affidavit of any witness be read at the hearing, on such terms and conditions as it may seem meet: </w:t>
      </w:r>
      <w:r w:rsidR="00FA3696">
        <w:t>p</w:t>
      </w:r>
      <w:r>
        <w:t>rovided that where it appears to the court that any other party reasonably requires the attendance of a witness for cross-examination, and such witness can be produced, the evidence of such witness shall not be given on affidavit.</w:t>
      </w:r>
    </w:p>
    <w:p w14:paraId="25107D1F" w14:textId="368FAF82" w:rsidR="00ED650B" w:rsidRDefault="00ED650B" w:rsidP="00ED650B">
      <w:pPr>
        <w:pStyle w:val="JudgmentNumbered"/>
      </w:pPr>
      <w:r>
        <w:t xml:space="preserve">At no material time were the plaintiff or the plaintiff’s medico-legal experts called to be subjected to cross-examination by the Fund and, in the interest of expediency to finalise such matters, this court finds no difficulty in ordering that the plaintiff’s affidavit, the plaintiff’s husband’s </w:t>
      </w:r>
      <w:r w:rsidR="00FA3696">
        <w:t xml:space="preserve">affidavit </w:t>
      </w:r>
      <w:r>
        <w:t>or the medico-legal experts’ affidavits and their respective medico-legal reports be admitted into evidence. In terms of section 3(1) of the Law of Evidence Amendment Act</w:t>
      </w:r>
      <w:r w:rsidR="000E0177">
        <w:rPr>
          <w:rStyle w:val="FootnoteReference"/>
        </w:rPr>
        <w:footnoteReference w:id="6"/>
      </w:r>
      <w:r>
        <w:t>, read with section 34(1)(ii) of the Civil Proceedings Evidence Act</w:t>
      </w:r>
      <w:r w:rsidR="000E0177">
        <w:rPr>
          <w:rStyle w:val="FootnoteReference"/>
        </w:rPr>
        <w:footnoteReference w:id="7"/>
      </w:r>
      <w:r>
        <w:t xml:space="preserve"> this court accepts into evidence the hospital and clinical records on which the respective </w:t>
      </w:r>
      <w:r w:rsidR="00580662">
        <w:t>medico</w:t>
      </w:r>
      <w:r>
        <w:t xml:space="preserve">-legal experts based their respective </w:t>
      </w:r>
      <w:r w:rsidR="00580662">
        <w:t xml:space="preserve">reports </w:t>
      </w:r>
      <w:r>
        <w:t>on.</w:t>
      </w:r>
    </w:p>
    <w:p w14:paraId="06CF3580" w14:textId="77777777" w:rsidR="00EC54EF" w:rsidRDefault="001F6E48" w:rsidP="00E24EC4">
      <w:pPr>
        <w:pStyle w:val="JudgmentNumbered"/>
      </w:pPr>
      <w:r w:rsidRPr="001F6E48">
        <w:lastRenderedPageBreak/>
        <w:t xml:space="preserve">The actuary </w:t>
      </w:r>
      <w:r w:rsidR="00EC54EF">
        <w:t>records the following statement in his report:</w:t>
      </w:r>
    </w:p>
    <w:p w14:paraId="0D0A8FFE" w14:textId="7ECEFCE8" w:rsidR="00EC54EF" w:rsidRPr="00852D73" w:rsidRDefault="00EC54EF" w:rsidP="005924C1">
      <w:pPr>
        <w:pStyle w:val="JudgmentNumbered"/>
        <w:numPr>
          <w:ilvl w:val="0"/>
          <w:numId w:val="0"/>
        </w:numPr>
        <w:ind w:left="567"/>
        <w:rPr>
          <w:sz w:val="22"/>
        </w:rPr>
      </w:pPr>
      <w:r w:rsidRPr="00852D73">
        <w:rPr>
          <w:sz w:val="22"/>
        </w:rPr>
        <w:t>“</w:t>
      </w:r>
      <w:r w:rsidRPr="00852D73">
        <w:rPr>
          <w:i/>
          <w:iCs/>
          <w:sz w:val="22"/>
        </w:rPr>
        <w:t xml:space="preserve">In light of Ms Vermaak’s report we have valued the following pre-accident earnings, noting that there </w:t>
      </w:r>
      <w:r w:rsidRPr="00852D73">
        <w:rPr>
          <w:i/>
          <w:iCs/>
          <w:sz w:val="22"/>
          <w:u w:val="single"/>
        </w:rPr>
        <w:t>is no evidence of a past loss of income</w:t>
      </w:r>
      <w:r w:rsidRPr="00852D73">
        <w:rPr>
          <w:i/>
          <w:iCs/>
          <w:sz w:val="22"/>
        </w:rPr>
        <w:t xml:space="preserve"> up to 31 December 2019.</w:t>
      </w:r>
      <w:r w:rsidRPr="00852D73">
        <w:rPr>
          <w:sz w:val="22"/>
        </w:rPr>
        <w:t>” (emphasis added)</w:t>
      </w:r>
    </w:p>
    <w:p w14:paraId="3F68A852" w14:textId="3AAF910B" w:rsidR="001F6E48" w:rsidRDefault="001F6E48" w:rsidP="00E24EC4">
      <w:pPr>
        <w:pStyle w:val="JudgmentNumbered"/>
      </w:pPr>
      <w:r w:rsidRPr="001F6E48">
        <w:t xml:space="preserve">The plaintiff had received her full salary for the three months after the accident, while she recovered, and thereafter she returned to her premorbid employment until she resigned </w:t>
      </w:r>
      <w:r>
        <w:t xml:space="preserve">on 31 </w:t>
      </w:r>
      <w:r w:rsidRPr="001F6E48">
        <w:t>December 2019. The actuary calculates the plaintiff’s future loss of earnings, but for the accident, from 1 January 2020 which is the date immediately after the plaintiff</w:t>
      </w:r>
      <w:r>
        <w:t>’s resignation</w:t>
      </w:r>
      <w:r w:rsidRPr="001F6E48">
        <w:t>.</w:t>
      </w:r>
      <w:r w:rsidR="00BE3EB1">
        <w:t xml:space="preserve"> As such this court finds that the plaintiff was unable to prove her loss of past earnings</w:t>
      </w:r>
      <w:r w:rsidR="00580662">
        <w:t>, consequently, the total of the award has been calculated to exclude the alleged past loss of earnings.</w:t>
      </w:r>
    </w:p>
    <w:p w14:paraId="073699D9" w14:textId="7EBB0CF7" w:rsidR="00DA2DD9" w:rsidRDefault="002525C8" w:rsidP="00E24EC4">
      <w:pPr>
        <w:pStyle w:val="JudgmentNumbered"/>
      </w:pPr>
      <w:r w:rsidRPr="002525C8">
        <w:t xml:space="preserve">Having regard to the industrial psychologist’s report, this court notes with grave concern that the actuary was instructed to include a calculation for the plaintiff’s alleged past loss of earnings when it was confirmed that there is no evidence of such. </w:t>
      </w:r>
      <w:r w:rsidR="00E00249">
        <w:t xml:space="preserve">Although it may have been an earnest error on the part of the plaintiff’s legal representatives, </w:t>
      </w:r>
      <w:r w:rsidR="007778D9">
        <w:t xml:space="preserve">the inclusion of the plaintiff’s alleged past loss </w:t>
      </w:r>
      <w:r w:rsidR="005377DC">
        <w:t>of earning</w:t>
      </w:r>
      <w:r w:rsidR="00175D03">
        <w:t xml:space="preserve">s in the total </w:t>
      </w:r>
      <w:r w:rsidR="007E4FE6">
        <w:t>amount</w:t>
      </w:r>
      <w:r w:rsidR="005377DC">
        <w:t xml:space="preserve"> in the draft order appears to be </w:t>
      </w:r>
      <w:r w:rsidR="00175D03">
        <w:t>opportunistic</w:t>
      </w:r>
      <w:r w:rsidR="005377DC">
        <w:t>.</w:t>
      </w:r>
    </w:p>
    <w:p w14:paraId="1A8707F9" w14:textId="766D6835" w:rsidR="00C3495C" w:rsidRDefault="00AA5052" w:rsidP="00E24EC4">
      <w:pPr>
        <w:pStyle w:val="JudgmentNumbered"/>
      </w:pPr>
      <w:r>
        <w:t>Turning to the plaintiff’s claim for her future loss of earnings and earning capacity, t</w:t>
      </w:r>
      <w:r w:rsidR="00CF7A19">
        <w:t xml:space="preserve">he various medico-legal experts each respectively conclude that the plaintiff suffered significant injury </w:t>
      </w:r>
      <w:r w:rsidR="007327CA">
        <w:t>as a result of</w:t>
      </w:r>
      <w:r w:rsidR="00CF7A19">
        <w:t xml:space="preserve"> the accident</w:t>
      </w:r>
      <w:r w:rsidR="00A13AFF">
        <w:t xml:space="preserve">. The injuries have </w:t>
      </w:r>
      <w:r w:rsidR="00CF7A19">
        <w:t xml:space="preserve">resulted in </w:t>
      </w:r>
      <w:r w:rsidR="00A13AFF">
        <w:t xml:space="preserve">a </w:t>
      </w:r>
      <w:r w:rsidR="00CF7A19">
        <w:t xml:space="preserve">continued mechanical impairment to the plaintiff’s left arm and </w:t>
      </w:r>
      <w:r w:rsidR="00A13AFF">
        <w:t xml:space="preserve">that the plaintiff suffers with </w:t>
      </w:r>
      <w:r w:rsidR="00CF7A19">
        <w:t xml:space="preserve">symptoms consistent with a not insignificant brain injury. </w:t>
      </w:r>
      <w:r w:rsidR="006D09C3">
        <w:t>From the plaintiff’s husband’s supporting affidavit</w:t>
      </w:r>
      <w:r w:rsidR="00A13AFF">
        <w:t>,</w:t>
      </w:r>
      <w:r w:rsidR="006D09C3">
        <w:t xml:space="preserve"> dated 17 July 2023</w:t>
      </w:r>
      <w:r w:rsidR="00A13AFF">
        <w:t>,</w:t>
      </w:r>
      <w:r w:rsidR="006D09C3">
        <w:t xml:space="preserve"> wherein he details the plaintiff’s daily difficulties subsequent to the accident, i</w:t>
      </w:r>
      <w:r w:rsidR="00CF7A19">
        <w:t>t is evident that the plaintiff is suffering from long lasting effects</w:t>
      </w:r>
      <w:r w:rsidR="006D09C3">
        <w:t xml:space="preserve"> from the accident</w:t>
      </w:r>
      <w:r w:rsidR="00E90DCD">
        <w:t xml:space="preserve">, including </w:t>
      </w:r>
      <w:r w:rsidR="006D09C3">
        <w:t xml:space="preserve">depression and an obsessive-compulsive disorder. </w:t>
      </w:r>
      <w:r w:rsidR="00E90DCD">
        <w:t>Given the plaintiff’s moderately advanced age, the injuries sustained from the accident and the seq</w:t>
      </w:r>
      <w:r w:rsidR="0047157E">
        <w:t xml:space="preserve">uelae therefrom, </w:t>
      </w:r>
      <w:r w:rsidR="006D09C3">
        <w:t xml:space="preserve">the plaintiff has proven </w:t>
      </w:r>
      <w:r w:rsidR="00A13AFF">
        <w:t xml:space="preserve">on a balance of probability </w:t>
      </w:r>
      <w:r w:rsidR="006D09C3">
        <w:t>that she is unemployable as a direct consequence of the accident</w:t>
      </w:r>
      <w:r w:rsidR="00A13AFF">
        <w:t xml:space="preserve"> and that her potential to earn future income has been compromised.</w:t>
      </w:r>
    </w:p>
    <w:p w14:paraId="1BC991DD" w14:textId="23BBBFA0" w:rsidR="000842AD" w:rsidRDefault="000842AD" w:rsidP="00E24EC4">
      <w:pPr>
        <w:pStyle w:val="JudgmentNumbered"/>
      </w:pPr>
      <w:r w:rsidRPr="000842AD">
        <w:lastRenderedPageBreak/>
        <w:t>The court finds the actuaries applied contingency deduction of 10% to the plaintiff’s future loss of earnings and earning capacity to be fair and equitable given the plaintiff’s age</w:t>
      </w:r>
      <w:r>
        <w:t xml:space="preserve">, injuries sustained and the </w:t>
      </w:r>
      <w:r w:rsidRPr="000842AD">
        <w:t>sequelae</w:t>
      </w:r>
      <w:r w:rsidR="00FA3D16">
        <w:t xml:space="preserve"> suffered by the plaintiff as a result of the accident.</w:t>
      </w:r>
    </w:p>
    <w:p w14:paraId="20511B29" w14:textId="36DACDDA" w:rsidR="00ED650B" w:rsidRDefault="00CC4F73" w:rsidP="00E24EC4">
      <w:pPr>
        <w:pStyle w:val="JudgmentNumbered"/>
      </w:pPr>
      <w:r>
        <w:t>In respect of the past medical and hospital expenses claimed for by the plaintiff, the court</w:t>
      </w:r>
      <w:r w:rsidR="007E4890">
        <w:t xml:space="preserve"> finds that despite the fact that </w:t>
      </w:r>
      <w:r w:rsidR="00FA3D16">
        <w:t xml:space="preserve">the </w:t>
      </w:r>
      <w:r w:rsidR="007E4890">
        <w:t>plaintiff was comprehensively covered by a medical scheme through her husband, the Fund remains liable for the loss suffered by plaintiff</w:t>
      </w:r>
      <w:r w:rsidR="00637011">
        <w:t>. Such would be congruent with the settled law</w:t>
      </w:r>
    </w:p>
    <w:p w14:paraId="6D7F633B" w14:textId="13D42259" w:rsidR="007E4890" w:rsidRPr="007E4890" w:rsidRDefault="007E4890" w:rsidP="00DA2DD9">
      <w:pPr>
        <w:pStyle w:val="JudgmentNumbered"/>
        <w:numPr>
          <w:ilvl w:val="0"/>
          <w:numId w:val="0"/>
        </w:numPr>
        <w:rPr>
          <w:szCs w:val="24"/>
        </w:rPr>
      </w:pPr>
      <w:r w:rsidRPr="007E4890">
        <w:rPr>
          <w:i/>
          <w:iCs/>
          <w:szCs w:val="24"/>
        </w:rPr>
        <w:t>Order</w:t>
      </w:r>
    </w:p>
    <w:p w14:paraId="6BD3CD0A" w14:textId="447D9218" w:rsidR="00A83A79" w:rsidRPr="00C00FD8" w:rsidRDefault="007E4890">
      <w:pPr>
        <w:pStyle w:val="JudgmentNumbered"/>
        <w:rPr>
          <w:szCs w:val="24"/>
        </w:rPr>
      </w:pPr>
      <w:r w:rsidRPr="00C00FD8">
        <w:rPr>
          <w:szCs w:val="24"/>
        </w:rPr>
        <w:t>In the result I make the following order:</w:t>
      </w:r>
    </w:p>
    <w:p w14:paraId="7F7838F9" w14:textId="40EE644D" w:rsidR="002C48CA" w:rsidRPr="00C00FD8" w:rsidRDefault="002C48CA" w:rsidP="00852D73">
      <w:pPr>
        <w:pStyle w:val="BodyText"/>
        <w:numPr>
          <w:ilvl w:val="0"/>
          <w:numId w:val="14"/>
        </w:numPr>
        <w:spacing w:line="360" w:lineRule="auto"/>
        <w:jc w:val="both"/>
        <w:rPr>
          <w:lang w:val="en-GB"/>
        </w:rPr>
      </w:pPr>
      <w:r w:rsidRPr="00C00FD8">
        <w:rPr>
          <w:lang w:val="en-GB"/>
        </w:rPr>
        <w:t xml:space="preserve">The Fund is to pay to the </w:t>
      </w:r>
      <w:r w:rsidR="000842AD" w:rsidRPr="00C00FD8">
        <w:rPr>
          <w:lang w:val="en-GB"/>
        </w:rPr>
        <w:t>p</w:t>
      </w:r>
      <w:r w:rsidRPr="00C00FD8">
        <w:rPr>
          <w:lang w:val="en-GB"/>
        </w:rPr>
        <w:t>laintiff:</w:t>
      </w:r>
    </w:p>
    <w:p w14:paraId="111223B4" w14:textId="77777777" w:rsidR="002C48CA" w:rsidRPr="00C00FD8" w:rsidRDefault="002C48CA" w:rsidP="00852D73">
      <w:pPr>
        <w:pStyle w:val="BodyText"/>
        <w:spacing w:line="360" w:lineRule="auto"/>
        <w:ind w:left="567"/>
        <w:jc w:val="both"/>
        <w:rPr>
          <w:lang w:val="en-GB"/>
        </w:rPr>
      </w:pPr>
    </w:p>
    <w:p w14:paraId="2BDD8B7D" w14:textId="792EE253" w:rsidR="002C48CA" w:rsidRPr="00C00FD8" w:rsidRDefault="002C48CA" w:rsidP="00852D73">
      <w:pPr>
        <w:pStyle w:val="BodyText"/>
        <w:numPr>
          <w:ilvl w:val="1"/>
          <w:numId w:val="14"/>
        </w:numPr>
        <w:spacing w:line="360" w:lineRule="auto"/>
        <w:jc w:val="both"/>
        <w:rPr>
          <w:lang w:val="en-GB"/>
        </w:rPr>
      </w:pPr>
      <w:r w:rsidRPr="00C00FD8">
        <w:rPr>
          <w:lang w:val="en-GB"/>
        </w:rPr>
        <w:t>the amount of R983,397.77 (nine hundred eighty</w:t>
      </w:r>
      <w:r w:rsidR="000842AD" w:rsidRPr="00C00FD8">
        <w:rPr>
          <w:lang w:val="en-GB"/>
        </w:rPr>
        <w:t>-</w:t>
      </w:r>
      <w:r w:rsidRPr="00C00FD8">
        <w:rPr>
          <w:lang w:val="en-GB"/>
        </w:rPr>
        <w:t>three thousand three hundred ninety-seven rand and seventy-seven cents (“the capital sum”), comprising the amounts of: R94,951.77 in respect for past hospital and medical expenses and R888,446.00 relating to future loss of earnings and earning capacity.</w:t>
      </w:r>
    </w:p>
    <w:p w14:paraId="6D3D14EC" w14:textId="77777777" w:rsidR="002C48CA" w:rsidRPr="00C00FD8" w:rsidRDefault="002C48CA" w:rsidP="00852D73">
      <w:pPr>
        <w:pStyle w:val="BodyText"/>
        <w:spacing w:line="360" w:lineRule="auto"/>
        <w:jc w:val="both"/>
        <w:rPr>
          <w:lang w:val="en-GB"/>
        </w:rPr>
      </w:pPr>
    </w:p>
    <w:p w14:paraId="5B588BC2" w14:textId="77777777" w:rsidR="002C48CA" w:rsidRPr="00C00FD8" w:rsidRDefault="002C48CA" w:rsidP="00852D73">
      <w:pPr>
        <w:pStyle w:val="BodyText"/>
        <w:numPr>
          <w:ilvl w:val="0"/>
          <w:numId w:val="14"/>
        </w:numPr>
        <w:spacing w:line="360" w:lineRule="auto"/>
        <w:jc w:val="both"/>
        <w:rPr>
          <w:lang w:val="en-GB"/>
        </w:rPr>
      </w:pPr>
      <w:r w:rsidRPr="00C00FD8">
        <w:rPr>
          <w:lang w:val="en-GB"/>
        </w:rPr>
        <w:t>Payment of the capital sum shall be made directly into the plaintiff’s attorneys trust account within 180 (hundred and eighty) days from date of this order, the details of the trust banking account are as follows:</w:t>
      </w:r>
    </w:p>
    <w:p w14:paraId="6EF66C36" w14:textId="77777777" w:rsidR="002C48CA" w:rsidRPr="00C00FD8" w:rsidRDefault="002C48CA" w:rsidP="00852D73">
      <w:pPr>
        <w:pStyle w:val="BodyText"/>
        <w:spacing w:line="360" w:lineRule="auto"/>
        <w:jc w:val="both"/>
        <w:rPr>
          <w:lang w:val="en-GB"/>
        </w:rPr>
      </w:pPr>
    </w:p>
    <w:p w14:paraId="7EA2528B" w14:textId="158049EC" w:rsidR="002C48CA" w:rsidRPr="00C00FD8" w:rsidRDefault="002C48CA" w:rsidP="00852D73">
      <w:pPr>
        <w:pStyle w:val="BodyText"/>
        <w:numPr>
          <w:ilvl w:val="1"/>
          <w:numId w:val="14"/>
        </w:numPr>
        <w:spacing w:line="360" w:lineRule="auto"/>
        <w:jc w:val="both"/>
        <w:rPr>
          <w:lang w:val="en-GB"/>
        </w:rPr>
      </w:pPr>
      <w:r w:rsidRPr="00C00FD8">
        <w:rPr>
          <w:lang w:val="en-GB"/>
        </w:rPr>
        <w:t>Clive Unsworth Attorney</w:t>
      </w:r>
      <w:r w:rsidR="00FA3D16" w:rsidRPr="00C00FD8">
        <w:rPr>
          <w:lang w:val="en-GB"/>
        </w:rPr>
        <w:t>s</w:t>
      </w:r>
      <w:r w:rsidRPr="00C00FD8">
        <w:rPr>
          <w:lang w:val="en-GB"/>
        </w:rPr>
        <w:t xml:space="preserve"> Trust Account (account number 000926221) maintained at the Standard Bank of South Africa.</w:t>
      </w:r>
    </w:p>
    <w:p w14:paraId="3445934F" w14:textId="77777777" w:rsidR="002C48CA" w:rsidRPr="00C00FD8" w:rsidRDefault="002C48CA" w:rsidP="00852D73">
      <w:pPr>
        <w:pStyle w:val="BodyText"/>
        <w:spacing w:line="360" w:lineRule="auto"/>
        <w:jc w:val="both"/>
        <w:rPr>
          <w:lang w:val="en-GB"/>
        </w:rPr>
      </w:pPr>
    </w:p>
    <w:p w14:paraId="6C311E6E" w14:textId="77777777" w:rsidR="002C48CA" w:rsidRPr="00C00FD8" w:rsidRDefault="002C48CA" w:rsidP="00852D73">
      <w:pPr>
        <w:pStyle w:val="BodyText"/>
        <w:numPr>
          <w:ilvl w:val="0"/>
          <w:numId w:val="14"/>
        </w:numPr>
        <w:spacing w:line="360" w:lineRule="auto"/>
        <w:jc w:val="both"/>
        <w:rPr>
          <w:lang w:val="en-GB"/>
        </w:rPr>
      </w:pPr>
      <w:r w:rsidRPr="00C00FD8">
        <w:rPr>
          <w:lang w:val="en-GB"/>
        </w:rPr>
        <w:t>Interest</w:t>
      </w:r>
      <w:r w:rsidRPr="00C00FD8">
        <w:rPr>
          <w:i/>
          <w:iCs/>
          <w:lang w:val="en-GB"/>
        </w:rPr>
        <w:t xml:space="preserve"> a tempore morae</w:t>
      </w:r>
      <w:r w:rsidRPr="00C00FD8">
        <w:rPr>
          <w:lang w:val="en-GB"/>
        </w:rPr>
        <w:t xml:space="preserve"> calculated in accordance with the Prescribed Rate of Interest Act 55 of 1975, read with section 17(3)(a) of the Road Accident Fund Act 56 of 1996.</w:t>
      </w:r>
    </w:p>
    <w:p w14:paraId="33694EE8" w14:textId="77777777" w:rsidR="002C48CA" w:rsidRPr="00C00FD8" w:rsidRDefault="002C48CA" w:rsidP="00852D73">
      <w:pPr>
        <w:pStyle w:val="BodyText"/>
        <w:spacing w:line="360" w:lineRule="auto"/>
        <w:jc w:val="both"/>
        <w:rPr>
          <w:lang w:val="en-GB"/>
        </w:rPr>
      </w:pPr>
    </w:p>
    <w:p w14:paraId="6A04F850" w14:textId="26D1CE39" w:rsidR="002C48CA" w:rsidRPr="00C00FD8" w:rsidRDefault="002C48CA" w:rsidP="00852D73">
      <w:pPr>
        <w:pStyle w:val="BodyText"/>
        <w:numPr>
          <w:ilvl w:val="0"/>
          <w:numId w:val="14"/>
        </w:numPr>
        <w:spacing w:line="360" w:lineRule="auto"/>
        <w:jc w:val="both"/>
        <w:rPr>
          <w:lang w:val="en-GB"/>
        </w:rPr>
      </w:pPr>
      <w:r w:rsidRPr="00C00FD8">
        <w:rPr>
          <w:lang w:val="en-GB"/>
        </w:rPr>
        <w:t xml:space="preserve">The </w:t>
      </w:r>
      <w:r w:rsidR="000842AD" w:rsidRPr="00C00FD8">
        <w:rPr>
          <w:lang w:val="en-GB"/>
        </w:rPr>
        <w:t>p</w:t>
      </w:r>
      <w:r w:rsidRPr="00C00FD8">
        <w:rPr>
          <w:lang w:val="en-GB"/>
        </w:rPr>
        <w:t>laintiff’s party and party costs, as taxed or agreed:</w:t>
      </w:r>
    </w:p>
    <w:p w14:paraId="5BB713B1" w14:textId="77777777" w:rsidR="002C48CA" w:rsidRPr="00C00FD8" w:rsidRDefault="002C48CA" w:rsidP="00852D73">
      <w:pPr>
        <w:pStyle w:val="BodyText"/>
        <w:spacing w:line="360" w:lineRule="auto"/>
        <w:jc w:val="both"/>
        <w:rPr>
          <w:lang w:val="en-GB"/>
        </w:rPr>
      </w:pPr>
    </w:p>
    <w:p w14:paraId="197B4618" w14:textId="75A090D0" w:rsidR="002C48CA" w:rsidRPr="00C00FD8" w:rsidRDefault="002C48CA" w:rsidP="00852D73">
      <w:pPr>
        <w:pStyle w:val="BodyText"/>
        <w:numPr>
          <w:ilvl w:val="1"/>
          <w:numId w:val="14"/>
        </w:numPr>
        <w:spacing w:line="360" w:lineRule="auto"/>
        <w:jc w:val="both"/>
        <w:rPr>
          <w:lang w:val="en-GB"/>
        </w:rPr>
      </w:pPr>
      <w:r w:rsidRPr="00C00FD8">
        <w:rPr>
          <w:lang w:val="en-GB"/>
        </w:rPr>
        <w:lastRenderedPageBreak/>
        <w:t>including, the costs attendant upon the preparation of reports and/or joint minutes and the preparation fees, if any, of:</w:t>
      </w:r>
    </w:p>
    <w:p w14:paraId="293CC390" w14:textId="77777777" w:rsidR="002C48CA" w:rsidRPr="00C00FD8" w:rsidRDefault="002C48CA" w:rsidP="00852D73">
      <w:pPr>
        <w:pStyle w:val="BodyText"/>
        <w:spacing w:line="360" w:lineRule="auto"/>
        <w:jc w:val="both"/>
        <w:rPr>
          <w:lang w:val="en-GB"/>
        </w:rPr>
      </w:pPr>
    </w:p>
    <w:p w14:paraId="1B2731AC" w14:textId="77777777" w:rsidR="002C48CA" w:rsidRPr="00C00FD8" w:rsidRDefault="002C48CA" w:rsidP="00852D73">
      <w:pPr>
        <w:pStyle w:val="BodyText"/>
        <w:numPr>
          <w:ilvl w:val="2"/>
          <w:numId w:val="14"/>
        </w:numPr>
        <w:spacing w:line="360" w:lineRule="auto"/>
        <w:jc w:val="both"/>
        <w:rPr>
          <w:lang w:val="en-GB"/>
        </w:rPr>
      </w:pPr>
      <w:r w:rsidRPr="00C00FD8">
        <w:rPr>
          <w:lang w:val="en-GB"/>
        </w:rPr>
        <w:t>Dr Preddy, Orthopaedic Surgeon;</w:t>
      </w:r>
    </w:p>
    <w:p w14:paraId="49A95C77" w14:textId="77777777" w:rsidR="002C48CA" w:rsidRPr="00C00FD8" w:rsidRDefault="002C48CA" w:rsidP="00852D73">
      <w:pPr>
        <w:pStyle w:val="BodyText"/>
        <w:spacing w:line="360" w:lineRule="auto"/>
        <w:jc w:val="both"/>
        <w:rPr>
          <w:lang w:val="en-GB"/>
        </w:rPr>
      </w:pPr>
    </w:p>
    <w:p w14:paraId="014D17ED" w14:textId="77777777" w:rsidR="002C48CA" w:rsidRPr="00C00FD8" w:rsidRDefault="002C48CA" w:rsidP="00852D73">
      <w:pPr>
        <w:pStyle w:val="BodyText"/>
        <w:numPr>
          <w:ilvl w:val="2"/>
          <w:numId w:val="14"/>
        </w:numPr>
        <w:spacing w:line="360" w:lineRule="auto"/>
        <w:jc w:val="both"/>
        <w:rPr>
          <w:lang w:val="en-GB"/>
        </w:rPr>
      </w:pPr>
      <w:r w:rsidRPr="00C00FD8">
        <w:rPr>
          <w:lang w:val="en-GB"/>
        </w:rPr>
        <w:t>Dr Marus, Neurosurgeon;</w:t>
      </w:r>
    </w:p>
    <w:p w14:paraId="059B98A5" w14:textId="77777777" w:rsidR="002C48CA" w:rsidRPr="00C00FD8" w:rsidRDefault="002C48CA" w:rsidP="00852D73">
      <w:pPr>
        <w:pStyle w:val="BodyText"/>
        <w:spacing w:line="360" w:lineRule="auto"/>
        <w:jc w:val="both"/>
        <w:rPr>
          <w:lang w:val="en-GB"/>
        </w:rPr>
      </w:pPr>
    </w:p>
    <w:p w14:paraId="3D3BB89A" w14:textId="77777777" w:rsidR="002C48CA" w:rsidRPr="00C00FD8" w:rsidRDefault="002C48CA" w:rsidP="00852D73">
      <w:pPr>
        <w:pStyle w:val="BodyText"/>
        <w:numPr>
          <w:ilvl w:val="2"/>
          <w:numId w:val="14"/>
        </w:numPr>
        <w:spacing w:line="360" w:lineRule="auto"/>
        <w:jc w:val="both"/>
        <w:rPr>
          <w:lang w:val="en-GB"/>
        </w:rPr>
      </w:pPr>
      <w:r w:rsidRPr="00C00FD8">
        <w:rPr>
          <w:lang w:val="en-GB"/>
        </w:rPr>
        <w:t>Dr Berkowitz, Plastic Surgeon;</w:t>
      </w:r>
    </w:p>
    <w:p w14:paraId="3725B5EF" w14:textId="77777777" w:rsidR="002C48CA" w:rsidRPr="00C00FD8" w:rsidRDefault="002C48CA" w:rsidP="00852D73">
      <w:pPr>
        <w:pStyle w:val="BodyText"/>
        <w:spacing w:line="360" w:lineRule="auto"/>
        <w:jc w:val="both"/>
        <w:rPr>
          <w:lang w:val="en-GB"/>
        </w:rPr>
      </w:pPr>
    </w:p>
    <w:p w14:paraId="3CC15F13" w14:textId="77777777" w:rsidR="002C48CA" w:rsidRPr="00C00FD8" w:rsidRDefault="002C48CA" w:rsidP="00852D73">
      <w:pPr>
        <w:pStyle w:val="BodyText"/>
        <w:numPr>
          <w:ilvl w:val="2"/>
          <w:numId w:val="14"/>
        </w:numPr>
        <w:spacing w:line="360" w:lineRule="auto"/>
        <w:jc w:val="both"/>
        <w:rPr>
          <w:lang w:val="en-GB"/>
        </w:rPr>
      </w:pPr>
      <w:r w:rsidRPr="00C00FD8">
        <w:rPr>
          <w:lang w:val="en-GB"/>
        </w:rPr>
        <w:t>Ms Nicole Healy, Clinical Psychologist;</w:t>
      </w:r>
    </w:p>
    <w:p w14:paraId="61694028" w14:textId="77777777" w:rsidR="002C48CA" w:rsidRPr="00C00FD8" w:rsidRDefault="002C48CA" w:rsidP="00852D73">
      <w:pPr>
        <w:pStyle w:val="BodyText"/>
        <w:spacing w:line="360" w:lineRule="auto"/>
        <w:jc w:val="both"/>
        <w:rPr>
          <w:lang w:val="en-GB"/>
        </w:rPr>
      </w:pPr>
    </w:p>
    <w:p w14:paraId="1DCF19B9" w14:textId="77777777" w:rsidR="002C48CA" w:rsidRPr="00C00FD8" w:rsidRDefault="002C48CA" w:rsidP="00852D73">
      <w:pPr>
        <w:pStyle w:val="BodyText"/>
        <w:numPr>
          <w:ilvl w:val="2"/>
          <w:numId w:val="14"/>
        </w:numPr>
        <w:spacing w:line="360" w:lineRule="auto"/>
        <w:jc w:val="both"/>
        <w:rPr>
          <w:lang w:val="en-GB"/>
        </w:rPr>
      </w:pPr>
      <w:r w:rsidRPr="00C00FD8">
        <w:rPr>
          <w:lang w:val="en-GB"/>
        </w:rPr>
        <w:t>Ms Gail Vlok, Occupational Therapist;</w:t>
      </w:r>
    </w:p>
    <w:p w14:paraId="2D1A83DB" w14:textId="77777777" w:rsidR="002C48CA" w:rsidRPr="00C00FD8" w:rsidRDefault="002C48CA" w:rsidP="00852D73">
      <w:pPr>
        <w:pStyle w:val="BodyText"/>
        <w:spacing w:line="360" w:lineRule="auto"/>
        <w:jc w:val="both"/>
        <w:rPr>
          <w:lang w:val="en-GB"/>
        </w:rPr>
      </w:pPr>
    </w:p>
    <w:p w14:paraId="6D41447E" w14:textId="77777777" w:rsidR="002C48CA" w:rsidRPr="00C00FD8" w:rsidRDefault="002C48CA" w:rsidP="00852D73">
      <w:pPr>
        <w:pStyle w:val="BodyText"/>
        <w:numPr>
          <w:ilvl w:val="2"/>
          <w:numId w:val="14"/>
        </w:numPr>
        <w:spacing w:line="360" w:lineRule="auto"/>
        <w:jc w:val="both"/>
        <w:rPr>
          <w:lang w:val="en-GB"/>
        </w:rPr>
      </w:pPr>
      <w:r w:rsidRPr="00C00FD8">
        <w:rPr>
          <w:lang w:val="en-GB"/>
        </w:rPr>
        <w:t>Ms Tania Vermaak, Industrial Psychologist;</w:t>
      </w:r>
    </w:p>
    <w:p w14:paraId="7BED911A" w14:textId="77777777" w:rsidR="002C48CA" w:rsidRPr="00C00FD8" w:rsidRDefault="002C48CA" w:rsidP="00852D73">
      <w:pPr>
        <w:pStyle w:val="BodyText"/>
        <w:spacing w:line="360" w:lineRule="auto"/>
        <w:jc w:val="both"/>
        <w:rPr>
          <w:lang w:val="en-GB"/>
        </w:rPr>
      </w:pPr>
    </w:p>
    <w:p w14:paraId="63E4920C" w14:textId="77777777" w:rsidR="002C48CA" w:rsidRPr="00C00FD8" w:rsidRDefault="002C48CA" w:rsidP="00852D73">
      <w:pPr>
        <w:pStyle w:val="BodyText"/>
        <w:numPr>
          <w:ilvl w:val="2"/>
          <w:numId w:val="14"/>
        </w:numPr>
        <w:spacing w:line="360" w:lineRule="auto"/>
        <w:jc w:val="both"/>
        <w:rPr>
          <w:lang w:val="en-GB"/>
        </w:rPr>
      </w:pPr>
      <w:r w:rsidRPr="00C00FD8">
        <w:rPr>
          <w:lang w:val="en-GB"/>
        </w:rPr>
        <w:t>Mr Gregory Whittaker, Actuary.</w:t>
      </w:r>
    </w:p>
    <w:p w14:paraId="52C3BD16" w14:textId="77777777" w:rsidR="002C48CA" w:rsidRPr="00C00FD8" w:rsidRDefault="002C48CA" w:rsidP="00852D73">
      <w:pPr>
        <w:pStyle w:val="BodyText"/>
        <w:spacing w:line="360" w:lineRule="auto"/>
        <w:jc w:val="both"/>
        <w:rPr>
          <w:lang w:val="en-GB"/>
        </w:rPr>
      </w:pPr>
    </w:p>
    <w:p w14:paraId="3A39CFF5" w14:textId="77777777" w:rsidR="002C48CA" w:rsidRPr="00C00FD8" w:rsidRDefault="002C48CA" w:rsidP="00852D73">
      <w:pPr>
        <w:pStyle w:val="BodyText"/>
        <w:numPr>
          <w:ilvl w:val="1"/>
          <w:numId w:val="14"/>
        </w:numPr>
        <w:spacing w:line="360" w:lineRule="auto"/>
        <w:jc w:val="both"/>
        <w:rPr>
          <w:lang w:val="en-GB"/>
        </w:rPr>
      </w:pPr>
      <w:r w:rsidRPr="00C00FD8">
        <w:rPr>
          <w:lang w:val="en-GB"/>
        </w:rPr>
        <w:t>inclusive of the costs of counsel;</w:t>
      </w:r>
    </w:p>
    <w:p w14:paraId="56EBB11C" w14:textId="77777777" w:rsidR="002C48CA" w:rsidRPr="00C00FD8" w:rsidRDefault="002C48CA" w:rsidP="00852D73">
      <w:pPr>
        <w:pStyle w:val="BodyText"/>
        <w:spacing w:line="360" w:lineRule="auto"/>
        <w:jc w:val="both"/>
        <w:rPr>
          <w:lang w:val="en-GB"/>
        </w:rPr>
      </w:pPr>
    </w:p>
    <w:p w14:paraId="2AF66779" w14:textId="2C401032" w:rsidR="002C48CA" w:rsidRPr="00C00FD8" w:rsidRDefault="002C48CA" w:rsidP="00852D73">
      <w:pPr>
        <w:pStyle w:val="BodyText"/>
        <w:numPr>
          <w:ilvl w:val="1"/>
          <w:numId w:val="14"/>
        </w:numPr>
        <w:spacing w:line="360" w:lineRule="auto"/>
        <w:jc w:val="both"/>
        <w:rPr>
          <w:lang w:val="en-GB"/>
        </w:rPr>
      </w:pPr>
      <w:r w:rsidRPr="00C00FD8">
        <w:rPr>
          <w:lang w:val="en-GB"/>
        </w:rPr>
        <w:t xml:space="preserve">on the basis that no contingency fee agreement had been concluded between the </w:t>
      </w:r>
      <w:r w:rsidR="000842AD" w:rsidRPr="00C00FD8">
        <w:rPr>
          <w:lang w:val="en-GB"/>
        </w:rPr>
        <w:t>p</w:t>
      </w:r>
      <w:r w:rsidRPr="00C00FD8">
        <w:rPr>
          <w:lang w:val="en-GB"/>
        </w:rPr>
        <w:t>laintiff and her attorney;</w:t>
      </w:r>
    </w:p>
    <w:p w14:paraId="49EC60CD" w14:textId="77777777" w:rsidR="002C48CA" w:rsidRPr="00C00FD8" w:rsidRDefault="002C48CA" w:rsidP="00852D73">
      <w:pPr>
        <w:pStyle w:val="BodyText"/>
        <w:spacing w:line="360" w:lineRule="auto"/>
        <w:jc w:val="both"/>
        <w:rPr>
          <w:lang w:val="en-GB"/>
        </w:rPr>
      </w:pPr>
    </w:p>
    <w:p w14:paraId="6AAC5796" w14:textId="6C3C7278" w:rsidR="000842AD" w:rsidRPr="00C00FD8" w:rsidRDefault="002C48CA" w:rsidP="00852D73">
      <w:pPr>
        <w:pStyle w:val="BodyText"/>
        <w:numPr>
          <w:ilvl w:val="1"/>
          <w:numId w:val="14"/>
        </w:numPr>
        <w:spacing w:line="360" w:lineRule="auto"/>
        <w:jc w:val="both"/>
        <w:rPr>
          <w:lang w:val="en-GB"/>
        </w:rPr>
      </w:pPr>
      <w:r w:rsidRPr="00C00FD8">
        <w:rPr>
          <w:lang w:val="en-GB"/>
        </w:rPr>
        <w:t xml:space="preserve">subject thereto that the </w:t>
      </w:r>
      <w:r w:rsidR="000842AD" w:rsidRPr="00C00FD8">
        <w:rPr>
          <w:lang w:val="en-GB"/>
        </w:rPr>
        <w:t>p</w:t>
      </w:r>
      <w:r w:rsidRPr="00C00FD8">
        <w:rPr>
          <w:lang w:val="en-GB"/>
        </w:rPr>
        <w:t>laintiff shall:</w:t>
      </w:r>
    </w:p>
    <w:p w14:paraId="70A8F45A" w14:textId="77777777" w:rsidR="000842AD" w:rsidRPr="00852D73" w:rsidRDefault="000842AD" w:rsidP="00852D73">
      <w:pPr>
        <w:pStyle w:val="ListParagraph"/>
        <w:spacing w:line="360" w:lineRule="auto"/>
        <w:jc w:val="both"/>
        <w:rPr>
          <w:sz w:val="24"/>
          <w:szCs w:val="24"/>
          <w:lang w:val="en-GB"/>
        </w:rPr>
      </w:pPr>
    </w:p>
    <w:p w14:paraId="429FD202" w14:textId="77777777" w:rsidR="000842AD" w:rsidRPr="00C00FD8" w:rsidRDefault="002C48CA" w:rsidP="00852D73">
      <w:pPr>
        <w:pStyle w:val="BodyText"/>
        <w:numPr>
          <w:ilvl w:val="2"/>
          <w:numId w:val="14"/>
        </w:numPr>
        <w:spacing w:line="360" w:lineRule="auto"/>
        <w:jc w:val="both"/>
        <w:rPr>
          <w:lang w:val="en-GB"/>
        </w:rPr>
      </w:pPr>
      <w:r w:rsidRPr="00C00FD8">
        <w:rPr>
          <w:lang w:val="en-GB"/>
        </w:rPr>
        <w:t>serve the notice of taxation on the Fund’s attorneys of record, in</w:t>
      </w:r>
      <w:r w:rsidR="000842AD" w:rsidRPr="00C00FD8">
        <w:rPr>
          <w:lang w:val="en-GB"/>
        </w:rPr>
        <w:t xml:space="preserve"> </w:t>
      </w:r>
      <w:r w:rsidRPr="00C00FD8">
        <w:rPr>
          <w:lang w:val="en-GB"/>
        </w:rPr>
        <w:t>the event that such costs are not agreed;</w:t>
      </w:r>
    </w:p>
    <w:p w14:paraId="5BA65848" w14:textId="77777777" w:rsidR="000842AD" w:rsidRPr="00C00FD8" w:rsidRDefault="000842AD" w:rsidP="00852D73">
      <w:pPr>
        <w:pStyle w:val="BodyText"/>
        <w:spacing w:line="360" w:lineRule="auto"/>
        <w:ind w:left="1985"/>
        <w:jc w:val="both"/>
        <w:rPr>
          <w:lang w:val="en-GB"/>
        </w:rPr>
      </w:pPr>
    </w:p>
    <w:p w14:paraId="73680759" w14:textId="08486063" w:rsidR="002C48CA" w:rsidRPr="00C00FD8" w:rsidRDefault="002C48CA" w:rsidP="00852D73">
      <w:pPr>
        <w:pStyle w:val="BodyText"/>
        <w:numPr>
          <w:ilvl w:val="2"/>
          <w:numId w:val="14"/>
        </w:numPr>
        <w:spacing w:line="360" w:lineRule="auto"/>
        <w:jc w:val="both"/>
        <w:rPr>
          <w:lang w:val="en-GB"/>
        </w:rPr>
      </w:pPr>
      <w:r w:rsidRPr="00C00FD8">
        <w:rPr>
          <w:lang w:val="en-GB"/>
        </w:rPr>
        <w:t>allow the Fund 15 court days to make a full payment of the taxed costs.</w:t>
      </w:r>
    </w:p>
    <w:p w14:paraId="78EEC5CF" w14:textId="77777777" w:rsidR="002C48CA" w:rsidRPr="00C00FD8" w:rsidRDefault="002C48CA" w:rsidP="00852D73">
      <w:pPr>
        <w:pStyle w:val="BodyText"/>
        <w:spacing w:line="360" w:lineRule="auto"/>
        <w:jc w:val="both"/>
        <w:rPr>
          <w:lang w:val="en-GB"/>
        </w:rPr>
      </w:pPr>
    </w:p>
    <w:p w14:paraId="7B27865D" w14:textId="5E439E7B" w:rsidR="002C48CA" w:rsidRPr="00C00FD8" w:rsidRDefault="002C48CA" w:rsidP="00852D73">
      <w:pPr>
        <w:pStyle w:val="BodyText"/>
        <w:numPr>
          <w:ilvl w:val="0"/>
          <w:numId w:val="14"/>
        </w:numPr>
        <w:spacing w:line="360" w:lineRule="auto"/>
        <w:jc w:val="both"/>
        <w:rPr>
          <w:lang w:val="en-GB"/>
        </w:rPr>
      </w:pPr>
      <w:r w:rsidRPr="00C00FD8">
        <w:rPr>
          <w:lang w:val="en-GB"/>
        </w:rPr>
        <w:t>The Fund shall furnish an undertaking as envisaged in Section 17(4)(a) of the Road Accident Fund Act,</w:t>
      </w:r>
      <w:r w:rsidR="007E6A71">
        <w:rPr>
          <w:lang w:val="en-GB"/>
        </w:rPr>
        <w:t xml:space="preserve"> </w:t>
      </w:r>
      <w:r w:rsidRPr="00C00FD8">
        <w:rPr>
          <w:lang w:val="en-GB"/>
        </w:rPr>
        <w:t xml:space="preserve">56 of 1996, as amended, to the effect that the Fund shall compensate the </w:t>
      </w:r>
      <w:r w:rsidR="000842AD" w:rsidRPr="00C00FD8">
        <w:rPr>
          <w:lang w:val="en-GB"/>
        </w:rPr>
        <w:t>p</w:t>
      </w:r>
      <w:r w:rsidRPr="00C00FD8">
        <w:rPr>
          <w:lang w:val="en-GB"/>
        </w:rPr>
        <w:t>laintiff in respect of 100% of:</w:t>
      </w:r>
    </w:p>
    <w:p w14:paraId="365A9AD7" w14:textId="77777777" w:rsidR="002C48CA" w:rsidRPr="00C00FD8" w:rsidRDefault="002C48CA" w:rsidP="00852D73">
      <w:pPr>
        <w:pStyle w:val="BodyText"/>
        <w:spacing w:line="360" w:lineRule="auto"/>
        <w:jc w:val="both"/>
        <w:rPr>
          <w:lang w:val="en-GB"/>
        </w:rPr>
      </w:pPr>
    </w:p>
    <w:p w14:paraId="4CF30A17" w14:textId="4CCAB3E8" w:rsidR="002C48CA" w:rsidRPr="00C00FD8" w:rsidRDefault="002C48CA" w:rsidP="00852D73">
      <w:pPr>
        <w:pStyle w:val="BodyText"/>
        <w:numPr>
          <w:ilvl w:val="1"/>
          <w:numId w:val="14"/>
        </w:numPr>
        <w:spacing w:line="360" w:lineRule="auto"/>
        <w:jc w:val="both"/>
        <w:rPr>
          <w:lang w:val="en-GB"/>
        </w:rPr>
      </w:pPr>
      <w:r w:rsidRPr="00C00FD8">
        <w:rPr>
          <w:lang w:val="en-GB"/>
        </w:rPr>
        <w:lastRenderedPageBreak/>
        <w:t xml:space="preserve">the costs of the future accommodation of the </w:t>
      </w:r>
      <w:r w:rsidR="000842AD" w:rsidRPr="00C00FD8">
        <w:rPr>
          <w:lang w:val="en-GB"/>
        </w:rPr>
        <w:t>pl</w:t>
      </w:r>
      <w:r w:rsidRPr="00C00FD8">
        <w:rPr>
          <w:lang w:val="en-GB"/>
        </w:rPr>
        <w:t>aintiff in a hospital or nursing home;</w:t>
      </w:r>
    </w:p>
    <w:p w14:paraId="22D6E1FC" w14:textId="77777777" w:rsidR="002C48CA" w:rsidRPr="00C00FD8" w:rsidRDefault="002C48CA" w:rsidP="00852D73">
      <w:pPr>
        <w:pStyle w:val="BodyText"/>
        <w:spacing w:line="360" w:lineRule="auto"/>
        <w:jc w:val="both"/>
        <w:rPr>
          <w:lang w:val="en-GB"/>
        </w:rPr>
      </w:pPr>
    </w:p>
    <w:p w14:paraId="28A83AEB" w14:textId="0E5E2290" w:rsidR="002C48CA" w:rsidRPr="00C00FD8" w:rsidRDefault="002C48CA" w:rsidP="00852D73">
      <w:pPr>
        <w:pStyle w:val="BodyText"/>
        <w:numPr>
          <w:ilvl w:val="1"/>
          <w:numId w:val="14"/>
        </w:numPr>
        <w:spacing w:line="360" w:lineRule="auto"/>
        <w:jc w:val="both"/>
        <w:rPr>
          <w:lang w:val="en-GB"/>
        </w:rPr>
      </w:pPr>
      <w:r w:rsidRPr="00C00FD8">
        <w:rPr>
          <w:lang w:val="en-GB"/>
        </w:rPr>
        <w:t xml:space="preserve">the treatment of the </w:t>
      </w:r>
      <w:r w:rsidR="000842AD" w:rsidRPr="00C00FD8">
        <w:rPr>
          <w:lang w:val="en-GB"/>
        </w:rPr>
        <w:t>p</w:t>
      </w:r>
      <w:r w:rsidRPr="00C00FD8">
        <w:rPr>
          <w:lang w:val="en-GB"/>
        </w:rPr>
        <w:t>laintiff;</w:t>
      </w:r>
    </w:p>
    <w:p w14:paraId="58E90FF4" w14:textId="77777777" w:rsidR="002C48CA" w:rsidRPr="00C00FD8" w:rsidRDefault="002C48CA" w:rsidP="00852D73">
      <w:pPr>
        <w:pStyle w:val="BodyText"/>
        <w:spacing w:line="360" w:lineRule="auto"/>
        <w:jc w:val="both"/>
        <w:rPr>
          <w:lang w:val="en-GB"/>
        </w:rPr>
      </w:pPr>
    </w:p>
    <w:p w14:paraId="0015E188" w14:textId="31D837CE" w:rsidR="002C48CA" w:rsidRPr="00C00FD8" w:rsidRDefault="002C48CA" w:rsidP="00852D73">
      <w:pPr>
        <w:pStyle w:val="BodyText"/>
        <w:numPr>
          <w:ilvl w:val="1"/>
          <w:numId w:val="14"/>
        </w:numPr>
        <w:spacing w:line="360" w:lineRule="auto"/>
        <w:jc w:val="both"/>
        <w:rPr>
          <w:lang w:val="en-GB"/>
        </w:rPr>
      </w:pPr>
      <w:r w:rsidRPr="00C00FD8">
        <w:rPr>
          <w:lang w:val="en-GB"/>
        </w:rPr>
        <w:t xml:space="preserve">the rendering of a service to the </w:t>
      </w:r>
      <w:r w:rsidR="000842AD" w:rsidRPr="00C00FD8">
        <w:rPr>
          <w:lang w:val="en-GB"/>
        </w:rPr>
        <w:t>p</w:t>
      </w:r>
      <w:r w:rsidRPr="00C00FD8">
        <w:rPr>
          <w:lang w:val="en-GB"/>
        </w:rPr>
        <w:t>laintiff; and</w:t>
      </w:r>
    </w:p>
    <w:p w14:paraId="6279C25F" w14:textId="77777777" w:rsidR="002C48CA" w:rsidRPr="00C00FD8" w:rsidRDefault="002C48CA" w:rsidP="00852D73">
      <w:pPr>
        <w:pStyle w:val="BodyText"/>
        <w:spacing w:line="360" w:lineRule="auto"/>
        <w:jc w:val="both"/>
        <w:rPr>
          <w:lang w:val="en-GB"/>
        </w:rPr>
      </w:pPr>
    </w:p>
    <w:p w14:paraId="7422978B" w14:textId="444F1EAA" w:rsidR="002C48CA" w:rsidRPr="00C00FD8" w:rsidRDefault="002C48CA" w:rsidP="00852D73">
      <w:pPr>
        <w:pStyle w:val="BodyText"/>
        <w:numPr>
          <w:ilvl w:val="1"/>
          <w:numId w:val="14"/>
        </w:numPr>
        <w:spacing w:line="360" w:lineRule="auto"/>
        <w:jc w:val="both"/>
        <w:rPr>
          <w:lang w:val="en-GB"/>
        </w:rPr>
      </w:pPr>
      <w:r w:rsidRPr="00C00FD8">
        <w:rPr>
          <w:lang w:val="en-GB"/>
        </w:rPr>
        <w:t xml:space="preserve">the supplying of goods to the </w:t>
      </w:r>
      <w:r w:rsidR="000842AD" w:rsidRPr="00C00FD8">
        <w:rPr>
          <w:lang w:val="en-GB"/>
        </w:rPr>
        <w:t>p</w:t>
      </w:r>
      <w:r w:rsidRPr="00C00FD8">
        <w:rPr>
          <w:lang w:val="en-GB"/>
        </w:rPr>
        <w:t>laintiff,</w:t>
      </w:r>
    </w:p>
    <w:p w14:paraId="6E1C9F96" w14:textId="77777777" w:rsidR="002C48CA" w:rsidRPr="00C00FD8" w:rsidRDefault="002C48CA" w:rsidP="00852D73">
      <w:pPr>
        <w:pStyle w:val="BodyText"/>
        <w:spacing w:line="360" w:lineRule="auto"/>
        <w:jc w:val="both"/>
        <w:rPr>
          <w:lang w:val="en-GB"/>
        </w:rPr>
      </w:pPr>
    </w:p>
    <w:p w14:paraId="707BB8FF" w14:textId="175880BA" w:rsidR="002C48CA" w:rsidRPr="00C00FD8" w:rsidRDefault="002C48CA" w:rsidP="00852D73">
      <w:pPr>
        <w:pStyle w:val="BodyText"/>
        <w:spacing w:line="360" w:lineRule="auto"/>
        <w:ind w:left="567"/>
        <w:jc w:val="both"/>
        <w:rPr>
          <w:lang w:val="en-GB"/>
        </w:rPr>
      </w:pPr>
      <w:r w:rsidRPr="00C00FD8">
        <w:rPr>
          <w:lang w:val="en-GB"/>
        </w:rPr>
        <w:t>after such costs have been incurred and on proof thereof arising from injuries</w:t>
      </w:r>
      <w:r w:rsidR="000842AD" w:rsidRPr="00C00FD8">
        <w:rPr>
          <w:lang w:val="en-GB"/>
        </w:rPr>
        <w:t xml:space="preserve"> </w:t>
      </w:r>
      <w:r w:rsidRPr="00C00FD8">
        <w:rPr>
          <w:lang w:val="en-GB"/>
        </w:rPr>
        <w:t xml:space="preserve">sustained by the </w:t>
      </w:r>
      <w:r w:rsidR="000842AD" w:rsidRPr="00C00FD8">
        <w:rPr>
          <w:lang w:val="en-GB"/>
        </w:rPr>
        <w:t>p</w:t>
      </w:r>
      <w:r w:rsidRPr="00C00FD8">
        <w:rPr>
          <w:lang w:val="en-GB"/>
        </w:rPr>
        <w:t>laintiff, which forms the subject matter of this action.</w:t>
      </w:r>
    </w:p>
    <w:p w14:paraId="5575065F" w14:textId="77777777" w:rsidR="002C48CA" w:rsidRPr="00C00FD8" w:rsidRDefault="002C48CA" w:rsidP="00852D73">
      <w:pPr>
        <w:pStyle w:val="BodyText"/>
        <w:spacing w:line="360" w:lineRule="auto"/>
        <w:jc w:val="both"/>
        <w:rPr>
          <w:lang w:val="en-GB"/>
        </w:rPr>
      </w:pPr>
    </w:p>
    <w:p w14:paraId="05824E8B" w14:textId="77777777" w:rsidR="002C48CA" w:rsidRPr="00C00FD8" w:rsidRDefault="002C48CA" w:rsidP="00852D73">
      <w:pPr>
        <w:pStyle w:val="BodyText"/>
        <w:numPr>
          <w:ilvl w:val="0"/>
          <w:numId w:val="14"/>
        </w:numPr>
        <w:spacing w:line="360" w:lineRule="auto"/>
        <w:jc w:val="both"/>
        <w:rPr>
          <w:lang w:val="en-GB"/>
        </w:rPr>
      </w:pPr>
      <w:r w:rsidRPr="00C00FD8">
        <w:rPr>
          <w:lang w:val="en-GB"/>
        </w:rPr>
        <w:t>The plaintiff’s attorney shall upon receipt of payment of the Capital Sum mentioned above, pay the past medical and hospital costs and expenses less any pro rata portion in respect of attorney and own client costs to directly to the Regular Force Medical Continuation Fund (RFMCF).</w:t>
      </w:r>
    </w:p>
    <w:p w14:paraId="2E043235" w14:textId="77777777" w:rsidR="000842AD" w:rsidRPr="000842AD" w:rsidRDefault="000842AD" w:rsidP="000842AD">
      <w:pPr>
        <w:pStyle w:val="BodyText"/>
        <w:spacing w:line="360" w:lineRule="auto"/>
        <w:ind w:left="567"/>
        <w:rPr>
          <w:lang w:val="en-GB"/>
        </w:rPr>
      </w:pPr>
    </w:p>
    <w:p w14:paraId="48DEA9FB" w14:textId="0ADCE47C" w:rsidR="007E4890" w:rsidRDefault="007E4890" w:rsidP="007E4890">
      <w:pPr>
        <w:pStyle w:val="Normal1"/>
      </w:pPr>
    </w:p>
    <w:p w14:paraId="0D96F955" w14:textId="77777777" w:rsidR="00852D73" w:rsidRPr="00852D73" w:rsidRDefault="00852D73" w:rsidP="00852D73">
      <w:pPr>
        <w:pStyle w:val="JudgmentHeading"/>
      </w:pPr>
    </w:p>
    <w:p w14:paraId="5BDB1E93" w14:textId="77777777" w:rsidR="002B448C" w:rsidRPr="009E72F9" w:rsidRDefault="002B448C" w:rsidP="00EB01DA">
      <w:pPr>
        <w:pStyle w:val="JudgmentNumbered"/>
        <w:numPr>
          <w:ilvl w:val="0"/>
          <w:numId w:val="0"/>
        </w:numPr>
        <w:spacing w:after="0"/>
        <w:ind w:left="567" w:hanging="567"/>
        <w:jc w:val="right"/>
        <w:rPr>
          <w:szCs w:val="24"/>
        </w:rPr>
      </w:pPr>
      <w:r w:rsidRPr="009E72F9">
        <w:rPr>
          <w:szCs w:val="24"/>
        </w:rPr>
        <w:t>___________</w:t>
      </w:r>
      <w:r w:rsidR="00EB01DA" w:rsidRPr="009E72F9">
        <w:rPr>
          <w:szCs w:val="24"/>
        </w:rPr>
        <w:t>__</w:t>
      </w:r>
      <w:r w:rsidRPr="009E72F9">
        <w:rPr>
          <w:szCs w:val="24"/>
        </w:rPr>
        <w:t>______________</w:t>
      </w:r>
    </w:p>
    <w:p w14:paraId="0030DBC7" w14:textId="31417CE3" w:rsidR="002B448C" w:rsidRPr="009E72F9" w:rsidRDefault="000842AD" w:rsidP="00EB01DA">
      <w:pPr>
        <w:pStyle w:val="JudgmentNumbered"/>
        <w:numPr>
          <w:ilvl w:val="0"/>
          <w:numId w:val="0"/>
        </w:numPr>
        <w:spacing w:after="0"/>
        <w:ind w:left="567" w:hanging="567"/>
        <w:jc w:val="right"/>
        <w:rPr>
          <w:b/>
          <w:szCs w:val="24"/>
        </w:rPr>
      </w:pPr>
      <w:r>
        <w:rPr>
          <w:b/>
          <w:szCs w:val="24"/>
        </w:rPr>
        <w:t>KOM AJ</w:t>
      </w:r>
    </w:p>
    <w:p w14:paraId="6D6C03C2" w14:textId="77777777" w:rsidR="002B448C" w:rsidRPr="009E72F9" w:rsidRDefault="002B448C" w:rsidP="00EB01DA">
      <w:pPr>
        <w:pStyle w:val="JudgmentNumbered"/>
        <w:numPr>
          <w:ilvl w:val="0"/>
          <w:numId w:val="0"/>
        </w:numPr>
        <w:spacing w:after="0"/>
        <w:ind w:left="567" w:hanging="567"/>
        <w:jc w:val="right"/>
        <w:rPr>
          <w:b/>
          <w:szCs w:val="24"/>
        </w:rPr>
      </w:pPr>
      <w:r w:rsidRPr="009E72F9">
        <w:rPr>
          <w:b/>
          <w:szCs w:val="24"/>
        </w:rPr>
        <w:t>JUDGE OF THE HIGH COURT</w:t>
      </w:r>
    </w:p>
    <w:p w14:paraId="0319C194" w14:textId="77777777" w:rsidR="00EB01DA" w:rsidRDefault="002B448C" w:rsidP="00EB01DA">
      <w:pPr>
        <w:pStyle w:val="JudgmentNumbered"/>
        <w:numPr>
          <w:ilvl w:val="0"/>
          <w:numId w:val="0"/>
        </w:numPr>
        <w:spacing w:after="0"/>
        <w:ind w:left="567" w:hanging="567"/>
        <w:jc w:val="right"/>
        <w:rPr>
          <w:b/>
          <w:szCs w:val="24"/>
        </w:rPr>
      </w:pPr>
      <w:r w:rsidRPr="009E72F9">
        <w:rPr>
          <w:b/>
          <w:szCs w:val="24"/>
        </w:rPr>
        <w:t>JOHANNESBURG</w:t>
      </w:r>
      <w:r w:rsidR="00EB2022">
        <w:rPr>
          <w:b/>
          <w:szCs w:val="24"/>
        </w:rPr>
        <w:t xml:space="preserve">    </w:t>
      </w:r>
    </w:p>
    <w:p w14:paraId="1403178A" w14:textId="77777777" w:rsidR="00EB2022" w:rsidRDefault="00EB2022" w:rsidP="00EB01DA">
      <w:pPr>
        <w:pStyle w:val="JudgmentNumbered"/>
        <w:numPr>
          <w:ilvl w:val="0"/>
          <w:numId w:val="0"/>
        </w:numPr>
        <w:spacing w:after="0"/>
        <w:ind w:left="567" w:hanging="567"/>
        <w:jc w:val="right"/>
        <w:rPr>
          <w:b/>
          <w:szCs w:val="24"/>
        </w:rPr>
      </w:pPr>
    </w:p>
    <w:p w14:paraId="13DE69A8" w14:textId="77777777" w:rsidR="00EB2022" w:rsidRDefault="00EB2022" w:rsidP="00EB2022">
      <w:pPr>
        <w:pStyle w:val="JudgmentNumbered"/>
        <w:numPr>
          <w:ilvl w:val="0"/>
          <w:numId w:val="0"/>
        </w:numPr>
        <w:spacing w:after="0"/>
        <w:ind w:left="567" w:hanging="567"/>
        <w:rPr>
          <w:b/>
          <w:szCs w:val="24"/>
        </w:rPr>
      </w:pPr>
    </w:p>
    <w:p w14:paraId="5687FDDD" w14:textId="3EC2348A" w:rsidR="00EB2022" w:rsidRDefault="00EB2022" w:rsidP="00EB2022">
      <w:pPr>
        <w:spacing w:after="0" w:line="240" w:lineRule="auto"/>
        <w:ind w:left="0"/>
        <w:rPr>
          <w:rFonts w:eastAsia="Times New Roman" w:cs="Arial"/>
          <w:szCs w:val="24"/>
        </w:rPr>
      </w:pPr>
      <w:r w:rsidRPr="004E12FA">
        <w:rPr>
          <w:rFonts w:eastAsia="Times New Roman" w:cs="Arial"/>
          <w:szCs w:val="24"/>
        </w:rPr>
        <w:t xml:space="preserve">For the </w:t>
      </w:r>
      <w:r w:rsidR="00F45E78">
        <w:rPr>
          <w:rFonts w:eastAsia="Times New Roman" w:cs="Arial"/>
          <w:szCs w:val="24"/>
        </w:rPr>
        <w:t>Plaintiff</w:t>
      </w:r>
      <w:r w:rsidRPr="004E12FA">
        <w:rPr>
          <w:rFonts w:eastAsia="Times New Roman" w:cs="Arial"/>
          <w:szCs w:val="24"/>
        </w:rPr>
        <w:t>:</w:t>
      </w:r>
      <w:r w:rsidR="00852D73">
        <w:rPr>
          <w:rFonts w:eastAsia="Times New Roman" w:cs="Arial"/>
          <w:szCs w:val="24"/>
        </w:rPr>
        <w:tab/>
      </w:r>
      <w:r w:rsidR="00852D73">
        <w:rPr>
          <w:rFonts w:eastAsia="Times New Roman" w:cs="Arial"/>
          <w:szCs w:val="24"/>
        </w:rPr>
        <w:tab/>
        <w:t>Adv P Uys</w:t>
      </w:r>
    </w:p>
    <w:p w14:paraId="12E8FE24" w14:textId="50F05216" w:rsidR="00852D73" w:rsidRPr="00852D73" w:rsidRDefault="00852D73" w:rsidP="00852D73">
      <w:pPr>
        <w:pStyle w:val="JudgmentNumbered"/>
        <w:numPr>
          <w:ilvl w:val="0"/>
          <w:numId w:val="0"/>
        </w:numPr>
        <w:ind w:left="567" w:hanging="567"/>
      </w:pPr>
      <w:r>
        <w:tab/>
      </w:r>
      <w:r>
        <w:tab/>
      </w:r>
      <w:r>
        <w:tab/>
      </w:r>
      <w:r>
        <w:tab/>
      </w:r>
      <w:r>
        <w:tab/>
        <w:t>Instructed by Mr C Unsworth of Clive Unsworth Attorneys</w:t>
      </w:r>
    </w:p>
    <w:p w14:paraId="3A22EB17" w14:textId="77777777" w:rsidR="00EB2022" w:rsidRPr="0015339B" w:rsidRDefault="00EB2022" w:rsidP="00EB2022">
      <w:pPr>
        <w:spacing w:after="0" w:line="240" w:lineRule="auto"/>
        <w:ind w:left="0"/>
        <w:rPr>
          <w:rFonts w:eastAsia="Times New Roman" w:cs="Arial"/>
          <w:szCs w:val="24"/>
        </w:rPr>
      </w:pPr>
    </w:p>
    <w:p w14:paraId="68A1A918" w14:textId="77777777" w:rsidR="00EB2022" w:rsidRPr="0015339B" w:rsidRDefault="00EB2022" w:rsidP="00EB2022">
      <w:pPr>
        <w:spacing w:after="0" w:line="240" w:lineRule="auto"/>
        <w:ind w:left="0"/>
        <w:rPr>
          <w:rFonts w:eastAsia="Times New Roman" w:cs="Arial"/>
          <w:szCs w:val="24"/>
        </w:rPr>
      </w:pPr>
    </w:p>
    <w:p w14:paraId="1A9175D5" w14:textId="1D46F601" w:rsidR="007C3A5F" w:rsidRPr="007C3A5F" w:rsidRDefault="00EB2022" w:rsidP="007C3A5F">
      <w:pPr>
        <w:spacing w:after="0" w:line="240" w:lineRule="auto"/>
        <w:ind w:left="0"/>
        <w:rPr>
          <w:rFonts w:eastAsia="Times New Roman" w:cs="Arial"/>
          <w:szCs w:val="24"/>
        </w:rPr>
        <w:sectPr w:rsidR="007C3A5F" w:rsidRPr="007C3A5F" w:rsidSect="00EB01DA">
          <w:headerReference w:type="default" r:id="rId10"/>
          <w:footerReference w:type="default" r:id="rId11"/>
          <w:type w:val="continuous"/>
          <w:pgSz w:w="11906" w:h="16838"/>
          <w:pgMar w:top="1440" w:right="1440" w:bottom="1440" w:left="1440" w:header="708" w:footer="708" w:gutter="0"/>
          <w:cols w:space="708"/>
          <w:docGrid w:linePitch="360"/>
        </w:sectPr>
      </w:pPr>
      <w:r w:rsidRPr="007A42F6">
        <w:rPr>
          <w:rFonts w:eastAsia="Times New Roman" w:cs="Arial"/>
          <w:szCs w:val="24"/>
        </w:rPr>
        <w:t xml:space="preserve">For the </w:t>
      </w:r>
      <w:r w:rsidR="00F45E78">
        <w:rPr>
          <w:rFonts w:eastAsia="Times New Roman" w:cs="Arial"/>
          <w:szCs w:val="24"/>
        </w:rPr>
        <w:t>Defendant</w:t>
      </w:r>
      <w:r w:rsidRPr="007A42F6">
        <w:rPr>
          <w:rFonts w:eastAsia="Times New Roman" w:cs="Arial"/>
          <w:szCs w:val="24"/>
        </w:rPr>
        <w:t xml:space="preserve">: </w:t>
      </w:r>
      <w:r w:rsidRPr="00852D73">
        <w:rPr>
          <w:rFonts w:eastAsia="Times New Roman" w:cs="Arial"/>
          <w:szCs w:val="24"/>
        </w:rPr>
        <w:t xml:space="preserve"> </w:t>
      </w:r>
      <w:r w:rsidR="00F45E78">
        <w:rPr>
          <w:rFonts w:eastAsia="Times New Roman" w:cs="Arial"/>
          <w:szCs w:val="24"/>
        </w:rPr>
        <w:tab/>
      </w:r>
      <w:r w:rsidR="00852D73">
        <w:rPr>
          <w:rFonts w:eastAsia="Times New Roman" w:cs="Arial"/>
          <w:szCs w:val="24"/>
        </w:rPr>
        <w:tab/>
        <w:t>Not applicab</w:t>
      </w:r>
      <w:r w:rsidR="00F45E78">
        <w:rPr>
          <w:rFonts w:eastAsia="Times New Roman" w:cs="Arial"/>
          <w:szCs w:val="24"/>
        </w:rPr>
        <w:t>le</w:t>
      </w:r>
    </w:p>
    <w:p w14:paraId="56A1E8FF" w14:textId="2D1BCB0A" w:rsidR="002B448C" w:rsidRPr="009E72F9" w:rsidRDefault="002B448C" w:rsidP="00F45E78">
      <w:pPr>
        <w:pStyle w:val="Normal1"/>
      </w:pPr>
    </w:p>
    <w:sectPr w:rsidR="002B448C" w:rsidRPr="009E72F9" w:rsidSect="009559B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9A8A7" w14:textId="77777777" w:rsidR="00EE5017" w:rsidRDefault="00EE5017" w:rsidP="00185066">
      <w:pPr>
        <w:spacing w:after="0" w:line="240" w:lineRule="auto"/>
      </w:pPr>
      <w:r>
        <w:separator/>
      </w:r>
    </w:p>
  </w:endnote>
  <w:endnote w:type="continuationSeparator" w:id="0">
    <w:p w14:paraId="1E7A1139" w14:textId="77777777" w:rsidR="00EE5017" w:rsidRDefault="00EE5017" w:rsidP="00185066">
      <w:pPr>
        <w:spacing w:after="0" w:line="240" w:lineRule="auto"/>
      </w:pPr>
      <w:r>
        <w:continuationSeparator/>
      </w:r>
    </w:p>
  </w:endnote>
  <w:endnote w:type="continuationNotice" w:id="1">
    <w:p w14:paraId="5757B9BB" w14:textId="77777777" w:rsidR="00EE5017" w:rsidRDefault="00EE50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BE03" w14:textId="6DCBBC0D" w:rsidR="004B78A2" w:rsidRDefault="004B78A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58024" w14:textId="77777777" w:rsidR="00EE5017" w:rsidRDefault="00EE5017" w:rsidP="00185066">
      <w:pPr>
        <w:spacing w:after="0" w:line="240" w:lineRule="auto"/>
      </w:pPr>
      <w:r>
        <w:separator/>
      </w:r>
    </w:p>
  </w:footnote>
  <w:footnote w:type="continuationSeparator" w:id="0">
    <w:p w14:paraId="04A73351" w14:textId="77777777" w:rsidR="00EE5017" w:rsidRDefault="00EE5017" w:rsidP="00185066">
      <w:pPr>
        <w:spacing w:after="0" w:line="240" w:lineRule="auto"/>
      </w:pPr>
      <w:r>
        <w:continuationSeparator/>
      </w:r>
    </w:p>
  </w:footnote>
  <w:footnote w:type="continuationNotice" w:id="1">
    <w:p w14:paraId="45383780" w14:textId="77777777" w:rsidR="00EE5017" w:rsidRDefault="00EE5017">
      <w:pPr>
        <w:spacing w:after="0" w:line="240" w:lineRule="auto"/>
      </w:pPr>
    </w:p>
  </w:footnote>
  <w:footnote w:id="2">
    <w:p w14:paraId="06B851DC" w14:textId="33C71855" w:rsidR="00D973F6" w:rsidRPr="00852D73" w:rsidRDefault="00D973F6">
      <w:pPr>
        <w:pStyle w:val="FootnoteText"/>
        <w:rPr>
          <w:sz w:val="18"/>
          <w:szCs w:val="18"/>
        </w:rPr>
      </w:pPr>
      <w:r w:rsidRPr="00852D73">
        <w:rPr>
          <w:rStyle w:val="FootnoteReference"/>
          <w:sz w:val="18"/>
          <w:szCs w:val="18"/>
        </w:rPr>
        <w:footnoteRef/>
      </w:r>
      <w:r w:rsidRPr="00852D73">
        <w:rPr>
          <w:sz w:val="18"/>
          <w:szCs w:val="18"/>
        </w:rPr>
        <w:t xml:space="preserve"> </w:t>
      </w:r>
      <w:r w:rsidR="00451411" w:rsidRPr="00852D73">
        <w:rPr>
          <w:sz w:val="18"/>
          <w:szCs w:val="18"/>
        </w:rPr>
        <w:t xml:space="preserve">2022 JDR 3179 (GP). </w:t>
      </w:r>
    </w:p>
  </w:footnote>
  <w:footnote w:id="3">
    <w:p w14:paraId="0EF64F5E" w14:textId="0A9E9A81" w:rsidR="00E007B8" w:rsidRPr="00852D73" w:rsidRDefault="00E007B8">
      <w:pPr>
        <w:pStyle w:val="FootnoteText"/>
        <w:rPr>
          <w:sz w:val="18"/>
          <w:lang w:val="en-ZA"/>
        </w:rPr>
      </w:pPr>
      <w:r w:rsidRPr="00852D73">
        <w:rPr>
          <w:rStyle w:val="FootnoteReference"/>
          <w:sz w:val="18"/>
        </w:rPr>
        <w:footnoteRef/>
      </w:r>
      <w:r w:rsidRPr="00852D73">
        <w:rPr>
          <w:sz w:val="18"/>
        </w:rPr>
        <w:t xml:space="preserve"> 56 of 1996.</w:t>
      </w:r>
    </w:p>
  </w:footnote>
  <w:footnote w:id="4">
    <w:p w14:paraId="53D6CB00" w14:textId="45C1C3ED" w:rsidR="00F61B3E" w:rsidRPr="00852D73" w:rsidRDefault="00F61B3E">
      <w:pPr>
        <w:pStyle w:val="FootnoteText"/>
        <w:rPr>
          <w:lang w:val="en-ZA"/>
        </w:rPr>
      </w:pPr>
      <w:r w:rsidRPr="00852D73">
        <w:rPr>
          <w:rStyle w:val="FootnoteReference"/>
          <w:sz w:val="18"/>
          <w:szCs w:val="18"/>
        </w:rPr>
        <w:footnoteRef/>
      </w:r>
      <w:r w:rsidRPr="00852D73">
        <w:rPr>
          <w:sz w:val="18"/>
          <w:szCs w:val="18"/>
        </w:rPr>
        <w:t xml:space="preserve"> 1996 (1) SA 273 (C).</w:t>
      </w:r>
      <w:r>
        <w:t xml:space="preserve"> </w:t>
      </w:r>
    </w:p>
  </w:footnote>
  <w:footnote w:id="5">
    <w:p w14:paraId="4DACCF43" w14:textId="3ACBFE11" w:rsidR="000E0177" w:rsidRPr="00852D73" w:rsidRDefault="000E0177">
      <w:pPr>
        <w:pStyle w:val="FootnoteText"/>
        <w:rPr>
          <w:sz w:val="18"/>
          <w:szCs w:val="18"/>
          <w:lang w:val="en-ZA"/>
        </w:rPr>
      </w:pPr>
      <w:r w:rsidRPr="00852D73">
        <w:rPr>
          <w:rStyle w:val="FootnoteReference"/>
          <w:sz w:val="18"/>
          <w:szCs w:val="18"/>
        </w:rPr>
        <w:footnoteRef/>
      </w:r>
      <w:r w:rsidRPr="00852D73">
        <w:rPr>
          <w:sz w:val="18"/>
          <w:szCs w:val="18"/>
        </w:rPr>
        <w:t xml:space="preserve"> 10 of 2013. </w:t>
      </w:r>
    </w:p>
  </w:footnote>
  <w:footnote w:id="6">
    <w:p w14:paraId="6BA340D3" w14:textId="692DAEA0" w:rsidR="000E0177" w:rsidRPr="00852D73" w:rsidRDefault="000E0177">
      <w:pPr>
        <w:pStyle w:val="FootnoteText"/>
        <w:rPr>
          <w:sz w:val="18"/>
          <w:szCs w:val="18"/>
          <w:lang w:val="en-ZA"/>
        </w:rPr>
      </w:pPr>
      <w:r w:rsidRPr="00852D73">
        <w:rPr>
          <w:rStyle w:val="FootnoteReference"/>
          <w:sz w:val="18"/>
          <w:szCs w:val="18"/>
        </w:rPr>
        <w:footnoteRef/>
      </w:r>
      <w:r w:rsidRPr="00852D73">
        <w:rPr>
          <w:sz w:val="18"/>
          <w:szCs w:val="18"/>
        </w:rPr>
        <w:t xml:space="preserve"> 45 of 1988. </w:t>
      </w:r>
    </w:p>
  </w:footnote>
  <w:footnote w:id="7">
    <w:p w14:paraId="552ED743" w14:textId="1FC8949B" w:rsidR="000E0177" w:rsidRPr="00852D73" w:rsidRDefault="000E0177">
      <w:pPr>
        <w:pStyle w:val="FootnoteText"/>
        <w:rPr>
          <w:lang w:val="en-ZA"/>
        </w:rPr>
      </w:pPr>
      <w:r w:rsidRPr="00852D73">
        <w:rPr>
          <w:rStyle w:val="FootnoteReference"/>
          <w:sz w:val="18"/>
          <w:szCs w:val="18"/>
        </w:rPr>
        <w:footnoteRef/>
      </w:r>
      <w:r w:rsidRPr="00852D73">
        <w:rPr>
          <w:sz w:val="18"/>
          <w:szCs w:val="18"/>
        </w:rPr>
        <w:t xml:space="preserve"> 25 of 1965.</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1DBE" w14:textId="20F98AC0" w:rsidR="004B78A2" w:rsidRDefault="004B78A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5CB9"/>
    <w:multiLevelType w:val="multilevel"/>
    <w:tmpl w:val="E3FA92A2"/>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384737"/>
    <w:multiLevelType w:val="multilevel"/>
    <w:tmpl w:val="BB02C298"/>
    <w:styleLink w:val="CurrentList5"/>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772337F"/>
    <w:multiLevelType w:val="multilevel"/>
    <w:tmpl w:val="27AAFC74"/>
    <w:lvl w:ilvl="0">
      <w:start w:val="4"/>
      <w:numFmt w:val="decimal"/>
      <w:lvlText w:val="%1."/>
      <w:lvlJc w:val="left"/>
      <w:pPr>
        <w:ind w:left="805" w:hanging="680"/>
      </w:pPr>
      <w:rPr>
        <w:rFonts w:ascii="Arial" w:eastAsia="Arial" w:hAnsi="Arial" w:cs="Arial" w:hint="default"/>
        <w:w w:val="100"/>
        <w:sz w:val="24"/>
        <w:szCs w:val="24"/>
      </w:rPr>
    </w:lvl>
    <w:lvl w:ilvl="1">
      <w:start w:val="1"/>
      <w:numFmt w:val="decimal"/>
      <w:lvlText w:val="%1.%2."/>
      <w:lvlJc w:val="left"/>
      <w:pPr>
        <w:ind w:left="1543" w:hanging="738"/>
      </w:pPr>
      <w:rPr>
        <w:rFonts w:hint="default"/>
        <w:w w:val="100"/>
      </w:rPr>
    </w:lvl>
    <w:lvl w:ilvl="2">
      <w:start w:val="1"/>
      <w:numFmt w:val="decimal"/>
      <w:lvlText w:val="%1.%2.%3."/>
      <w:lvlJc w:val="left"/>
      <w:pPr>
        <w:ind w:left="2960" w:hanging="738"/>
      </w:pPr>
      <w:rPr>
        <w:rFonts w:ascii="Arial" w:eastAsia="Arial" w:hAnsi="Arial" w:cs="Arial" w:hint="default"/>
        <w:w w:val="100"/>
        <w:sz w:val="24"/>
        <w:szCs w:val="24"/>
      </w:rPr>
    </w:lvl>
    <w:lvl w:ilvl="3">
      <w:start w:val="1"/>
      <w:numFmt w:val="decimal"/>
      <w:lvlText w:val="%1.%2.%3.%4."/>
      <w:lvlJc w:val="left"/>
      <w:pPr>
        <w:ind w:left="4094" w:hanging="738"/>
      </w:pPr>
      <w:rPr>
        <w:rFonts w:ascii="Arial" w:eastAsia="Arial" w:hAnsi="Arial" w:cs="Arial" w:hint="default"/>
        <w:w w:val="100"/>
        <w:sz w:val="24"/>
        <w:szCs w:val="24"/>
      </w:rPr>
    </w:lvl>
    <w:lvl w:ilvl="4">
      <w:numFmt w:val="bullet"/>
      <w:lvlText w:val="•"/>
      <w:lvlJc w:val="left"/>
      <w:pPr>
        <w:ind w:left="4100" w:hanging="738"/>
      </w:pPr>
      <w:rPr>
        <w:rFonts w:hint="default"/>
      </w:rPr>
    </w:lvl>
    <w:lvl w:ilvl="5">
      <w:numFmt w:val="bullet"/>
      <w:lvlText w:val="•"/>
      <w:lvlJc w:val="left"/>
      <w:pPr>
        <w:ind w:left="4967" w:hanging="738"/>
      </w:pPr>
      <w:rPr>
        <w:rFonts w:hint="default"/>
      </w:rPr>
    </w:lvl>
    <w:lvl w:ilvl="6">
      <w:numFmt w:val="bullet"/>
      <w:lvlText w:val="•"/>
      <w:lvlJc w:val="left"/>
      <w:pPr>
        <w:ind w:left="5835" w:hanging="738"/>
      </w:pPr>
      <w:rPr>
        <w:rFonts w:hint="default"/>
      </w:rPr>
    </w:lvl>
    <w:lvl w:ilvl="7">
      <w:numFmt w:val="bullet"/>
      <w:lvlText w:val="•"/>
      <w:lvlJc w:val="left"/>
      <w:pPr>
        <w:ind w:left="6702" w:hanging="738"/>
      </w:pPr>
      <w:rPr>
        <w:rFonts w:hint="default"/>
      </w:rPr>
    </w:lvl>
    <w:lvl w:ilvl="8">
      <w:numFmt w:val="bullet"/>
      <w:lvlText w:val="•"/>
      <w:lvlJc w:val="left"/>
      <w:pPr>
        <w:ind w:left="7570" w:hanging="738"/>
      </w:pPr>
      <w:rPr>
        <w:rFonts w:hint="default"/>
      </w:rPr>
    </w:lvl>
  </w:abstractNum>
  <w:abstractNum w:abstractNumId="4" w15:restartNumberingAfterBreak="0">
    <w:nsid w:val="1DB4328F"/>
    <w:multiLevelType w:val="multilevel"/>
    <w:tmpl w:val="BB02C298"/>
    <w:styleLink w:val="CurrentList4"/>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45473B"/>
    <w:multiLevelType w:val="multilevel"/>
    <w:tmpl w:val="850C8DA6"/>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sz w:val="24"/>
        <w:szCs w:val="24"/>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41367BAC"/>
    <w:multiLevelType w:val="multilevel"/>
    <w:tmpl w:val="78BEAD6E"/>
    <w:lvl w:ilvl="0">
      <w:start w:val="3"/>
      <w:numFmt w:val="decimal"/>
      <w:lvlText w:val="%1"/>
      <w:lvlJc w:val="left"/>
      <w:pPr>
        <w:ind w:left="1543" w:hanging="738"/>
      </w:pPr>
      <w:rPr>
        <w:rFonts w:hint="default"/>
      </w:rPr>
    </w:lvl>
    <w:lvl w:ilvl="1">
      <w:start w:val="1"/>
      <w:numFmt w:val="decimal"/>
      <w:lvlText w:val="%1.%2."/>
      <w:lvlJc w:val="left"/>
      <w:pPr>
        <w:ind w:left="1543" w:hanging="738"/>
      </w:pPr>
      <w:rPr>
        <w:rFonts w:ascii="Arial" w:eastAsia="Arial" w:hAnsi="Arial" w:cs="Arial" w:hint="default"/>
        <w:w w:val="100"/>
        <w:sz w:val="24"/>
        <w:szCs w:val="24"/>
      </w:rPr>
    </w:lvl>
    <w:lvl w:ilvl="2">
      <w:start w:val="1"/>
      <w:numFmt w:val="decimal"/>
      <w:lvlText w:val="%1.%2.%3."/>
      <w:lvlJc w:val="left"/>
      <w:pPr>
        <w:ind w:left="2960" w:hanging="1417"/>
      </w:pPr>
      <w:rPr>
        <w:rFonts w:ascii="Arial" w:eastAsia="Arial" w:hAnsi="Arial" w:cs="Arial" w:hint="default"/>
        <w:w w:val="100"/>
        <w:sz w:val="24"/>
        <w:szCs w:val="24"/>
      </w:rPr>
    </w:lvl>
    <w:lvl w:ilvl="3">
      <w:numFmt w:val="bullet"/>
      <w:lvlText w:val="•"/>
      <w:lvlJc w:val="left"/>
      <w:pPr>
        <w:ind w:left="4370" w:hanging="1417"/>
      </w:pPr>
      <w:rPr>
        <w:rFonts w:hint="default"/>
      </w:rPr>
    </w:lvl>
    <w:lvl w:ilvl="4">
      <w:numFmt w:val="bullet"/>
      <w:lvlText w:val="•"/>
      <w:lvlJc w:val="left"/>
      <w:pPr>
        <w:ind w:left="5075" w:hanging="1417"/>
      </w:pPr>
      <w:rPr>
        <w:rFonts w:hint="default"/>
      </w:rPr>
    </w:lvl>
    <w:lvl w:ilvl="5">
      <w:numFmt w:val="bullet"/>
      <w:lvlText w:val="•"/>
      <w:lvlJc w:val="left"/>
      <w:pPr>
        <w:ind w:left="5780" w:hanging="1417"/>
      </w:pPr>
      <w:rPr>
        <w:rFonts w:hint="default"/>
      </w:rPr>
    </w:lvl>
    <w:lvl w:ilvl="6">
      <w:numFmt w:val="bullet"/>
      <w:lvlText w:val="•"/>
      <w:lvlJc w:val="left"/>
      <w:pPr>
        <w:ind w:left="6485" w:hanging="1417"/>
      </w:pPr>
      <w:rPr>
        <w:rFonts w:hint="default"/>
      </w:rPr>
    </w:lvl>
    <w:lvl w:ilvl="7">
      <w:numFmt w:val="bullet"/>
      <w:lvlText w:val="•"/>
      <w:lvlJc w:val="left"/>
      <w:pPr>
        <w:ind w:left="7190" w:hanging="1417"/>
      </w:pPr>
      <w:rPr>
        <w:rFonts w:hint="default"/>
      </w:rPr>
    </w:lvl>
    <w:lvl w:ilvl="8">
      <w:numFmt w:val="bullet"/>
      <w:lvlText w:val="•"/>
      <w:lvlJc w:val="left"/>
      <w:pPr>
        <w:ind w:left="7895" w:hanging="1417"/>
      </w:pPr>
      <w:rPr>
        <w:rFonts w:hint="default"/>
      </w:rPr>
    </w:lvl>
  </w:abstractNum>
  <w:abstractNum w:abstractNumId="8" w15:restartNumberingAfterBreak="0">
    <w:nsid w:val="4F6F1708"/>
    <w:multiLevelType w:val="multilevel"/>
    <w:tmpl w:val="2F9E39B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FE6020E"/>
    <w:multiLevelType w:val="multilevel"/>
    <w:tmpl w:val="4C06D7EA"/>
    <w:styleLink w:val="CurrentList1"/>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sz w:val="24"/>
        <w:szCs w:val="24"/>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6C607543"/>
    <w:multiLevelType w:val="multilevel"/>
    <w:tmpl w:val="0809001F"/>
    <w:styleLink w:val="Current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3456C6"/>
    <w:multiLevelType w:val="multilevel"/>
    <w:tmpl w:val="A40E4EEE"/>
    <w:styleLink w:val="CurrentList3"/>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418"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2"/>
  </w:num>
  <w:num w:numId="4">
    <w:abstractNumId w:val="5"/>
  </w:num>
  <w:num w:numId="5">
    <w:abstractNumId w:val="5"/>
  </w:num>
  <w:num w:numId="6">
    <w:abstractNumId w:val="3"/>
  </w:num>
  <w:num w:numId="7">
    <w:abstractNumId w:val="7"/>
  </w:num>
  <w:num w:numId="8">
    <w:abstractNumId w:val="5"/>
  </w:num>
  <w:num w:numId="9">
    <w:abstractNumId w:val="5"/>
  </w:num>
  <w:num w:numId="10">
    <w:abstractNumId w:val="9"/>
  </w:num>
  <w:num w:numId="11">
    <w:abstractNumId w:val="5"/>
  </w:num>
  <w:num w:numId="12">
    <w:abstractNumId w:val="5"/>
  </w:num>
  <w:num w:numId="13">
    <w:abstractNumId w:val="0"/>
  </w:num>
  <w:num w:numId="14">
    <w:abstractNumId w:val="8"/>
  </w:num>
  <w:num w:numId="15">
    <w:abstractNumId w:val="10"/>
  </w:num>
  <w:num w:numId="16">
    <w:abstractNumId w:val="11"/>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6F"/>
    <w:rsid w:val="00000A35"/>
    <w:rsid w:val="00016D2A"/>
    <w:rsid w:val="0003613F"/>
    <w:rsid w:val="000842AD"/>
    <w:rsid w:val="000A5476"/>
    <w:rsid w:val="000B75F9"/>
    <w:rsid w:val="000D7697"/>
    <w:rsid w:val="000E0177"/>
    <w:rsid w:val="000F7B0E"/>
    <w:rsid w:val="00103C6B"/>
    <w:rsid w:val="001060AE"/>
    <w:rsid w:val="0011184A"/>
    <w:rsid w:val="001118FD"/>
    <w:rsid w:val="001152D9"/>
    <w:rsid w:val="00123E94"/>
    <w:rsid w:val="00125C5A"/>
    <w:rsid w:val="0014399E"/>
    <w:rsid w:val="0015339B"/>
    <w:rsid w:val="00165839"/>
    <w:rsid w:val="00175D03"/>
    <w:rsid w:val="00185066"/>
    <w:rsid w:val="00186C30"/>
    <w:rsid w:val="001A1CB4"/>
    <w:rsid w:val="001C3576"/>
    <w:rsid w:val="001C5042"/>
    <w:rsid w:val="001D03CA"/>
    <w:rsid w:val="001F2612"/>
    <w:rsid w:val="001F3C06"/>
    <w:rsid w:val="001F4D0E"/>
    <w:rsid w:val="001F6A72"/>
    <w:rsid w:val="001F6E48"/>
    <w:rsid w:val="00206F8E"/>
    <w:rsid w:val="002103AE"/>
    <w:rsid w:val="002114F1"/>
    <w:rsid w:val="00213CF1"/>
    <w:rsid w:val="002161D9"/>
    <w:rsid w:val="00226B86"/>
    <w:rsid w:val="0023493A"/>
    <w:rsid w:val="00237933"/>
    <w:rsid w:val="002525C8"/>
    <w:rsid w:val="002573B0"/>
    <w:rsid w:val="00262701"/>
    <w:rsid w:val="00270778"/>
    <w:rsid w:val="00290E3C"/>
    <w:rsid w:val="002B448C"/>
    <w:rsid w:val="002B5EA0"/>
    <w:rsid w:val="002C48CA"/>
    <w:rsid w:val="002C66DB"/>
    <w:rsid w:val="002E4CE4"/>
    <w:rsid w:val="00311515"/>
    <w:rsid w:val="00331A2B"/>
    <w:rsid w:val="003338B4"/>
    <w:rsid w:val="00356249"/>
    <w:rsid w:val="0036173B"/>
    <w:rsid w:val="003673B7"/>
    <w:rsid w:val="00380826"/>
    <w:rsid w:val="003957E1"/>
    <w:rsid w:val="003B0BEA"/>
    <w:rsid w:val="003C789B"/>
    <w:rsid w:val="003C7B84"/>
    <w:rsid w:val="003D22C9"/>
    <w:rsid w:val="003F476A"/>
    <w:rsid w:val="00414D22"/>
    <w:rsid w:val="00447402"/>
    <w:rsid w:val="00451411"/>
    <w:rsid w:val="0047157E"/>
    <w:rsid w:val="00492E6C"/>
    <w:rsid w:val="004A1F1E"/>
    <w:rsid w:val="004B1DAB"/>
    <w:rsid w:val="004B78A2"/>
    <w:rsid w:val="004C5C5D"/>
    <w:rsid w:val="004C79CE"/>
    <w:rsid w:val="004D487C"/>
    <w:rsid w:val="004E12FA"/>
    <w:rsid w:val="004E1FFE"/>
    <w:rsid w:val="004E2EB4"/>
    <w:rsid w:val="004E520F"/>
    <w:rsid w:val="004F1EF0"/>
    <w:rsid w:val="005135B1"/>
    <w:rsid w:val="0053220C"/>
    <w:rsid w:val="00534A3F"/>
    <w:rsid w:val="005377DC"/>
    <w:rsid w:val="00580662"/>
    <w:rsid w:val="005924C1"/>
    <w:rsid w:val="00595ABF"/>
    <w:rsid w:val="00597EEC"/>
    <w:rsid w:val="005B254C"/>
    <w:rsid w:val="005C1D44"/>
    <w:rsid w:val="005E4457"/>
    <w:rsid w:val="005F110B"/>
    <w:rsid w:val="005F3D8A"/>
    <w:rsid w:val="006003BA"/>
    <w:rsid w:val="00617E1F"/>
    <w:rsid w:val="0063218B"/>
    <w:rsid w:val="00637011"/>
    <w:rsid w:val="00661986"/>
    <w:rsid w:val="0068016B"/>
    <w:rsid w:val="00681C65"/>
    <w:rsid w:val="006B0DE9"/>
    <w:rsid w:val="006B38F8"/>
    <w:rsid w:val="006B6DAC"/>
    <w:rsid w:val="006D09C3"/>
    <w:rsid w:val="006F02E6"/>
    <w:rsid w:val="007327CA"/>
    <w:rsid w:val="00756774"/>
    <w:rsid w:val="00760E5F"/>
    <w:rsid w:val="00770C8D"/>
    <w:rsid w:val="007778D9"/>
    <w:rsid w:val="00786BD9"/>
    <w:rsid w:val="00794DCB"/>
    <w:rsid w:val="007A42F6"/>
    <w:rsid w:val="007A587E"/>
    <w:rsid w:val="007B7F59"/>
    <w:rsid w:val="007C3A5F"/>
    <w:rsid w:val="007C5F83"/>
    <w:rsid w:val="007D3EE9"/>
    <w:rsid w:val="007E4890"/>
    <w:rsid w:val="007E4FE6"/>
    <w:rsid w:val="007E6A71"/>
    <w:rsid w:val="00813A94"/>
    <w:rsid w:val="00813B66"/>
    <w:rsid w:val="008141DA"/>
    <w:rsid w:val="00835F06"/>
    <w:rsid w:val="00850F73"/>
    <w:rsid w:val="00852D73"/>
    <w:rsid w:val="00871574"/>
    <w:rsid w:val="00881AFA"/>
    <w:rsid w:val="00893651"/>
    <w:rsid w:val="00897EBE"/>
    <w:rsid w:val="008A24C8"/>
    <w:rsid w:val="008A42AD"/>
    <w:rsid w:val="008A6EB6"/>
    <w:rsid w:val="008F3A67"/>
    <w:rsid w:val="008F493C"/>
    <w:rsid w:val="009037DD"/>
    <w:rsid w:val="00915099"/>
    <w:rsid w:val="00925978"/>
    <w:rsid w:val="00955118"/>
    <w:rsid w:val="00960C24"/>
    <w:rsid w:val="00980088"/>
    <w:rsid w:val="009A0867"/>
    <w:rsid w:val="009A2729"/>
    <w:rsid w:val="009B488F"/>
    <w:rsid w:val="009C08C0"/>
    <w:rsid w:val="009E5E1E"/>
    <w:rsid w:val="009E72F9"/>
    <w:rsid w:val="009F0CE0"/>
    <w:rsid w:val="009F56BF"/>
    <w:rsid w:val="00A05B83"/>
    <w:rsid w:val="00A13AFF"/>
    <w:rsid w:val="00A23A2A"/>
    <w:rsid w:val="00A267C9"/>
    <w:rsid w:val="00A539F2"/>
    <w:rsid w:val="00A71536"/>
    <w:rsid w:val="00A83A79"/>
    <w:rsid w:val="00AA1551"/>
    <w:rsid w:val="00AA5052"/>
    <w:rsid w:val="00AC5F91"/>
    <w:rsid w:val="00AE6669"/>
    <w:rsid w:val="00B12041"/>
    <w:rsid w:val="00B37EFC"/>
    <w:rsid w:val="00B64AC9"/>
    <w:rsid w:val="00B92BE7"/>
    <w:rsid w:val="00BC1E01"/>
    <w:rsid w:val="00BD6294"/>
    <w:rsid w:val="00BE3EB1"/>
    <w:rsid w:val="00BE5AC7"/>
    <w:rsid w:val="00BF0D88"/>
    <w:rsid w:val="00BF79F8"/>
    <w:rsid w:val="00C00FD8"/>
    <w:rsid w:val="00C106BB"/>
    <w:rsid w:val="00C24B40"/>
    <w:rsid w:val="00C3345C"/>
    <w:rsid w:val="00C3495C"/>
    <w:rsid w:val="00C36619"/>
    <w:rsid w:val="00C50BF8"/>
    <w:rsid w:val="00C51B89"/>
    <w:rsid w:val="00C678E2"/>
    <w:rsid w:val="00C97DD9"/>
    <w:rsid w:val="00CA078B"/>
    <w:rsid w:val="00CA1867"/>
    <w:rsid w:val="00CC4F73"/>
    <w:rsid w:val="00CE0922"/>
    <w:rsid w:val="00CE7E54"/>
    <w:rsid w:val="00CF4C22"/>
    <w:rsid w:val="00CF7A19"/>
    <w:rsid w:val="00D14143"/>
    <w:rsid w:val="00D15066"/>
    <w:rsid w:val="00D17C57"/>
    <w:rsid w:val="00D17D30"/>
    <w:rsid w:val="00D25A87"/>
    <w:rsid w:val="00D31F65"/>
    <w:rsid w:val="00D35302"/>
    <w:rsid w:val="00D55E05"/>
    <w:rsid w:val="00D55EF5"/>
    <w:rsid w:val="00D80788"/>
    <w:rsid w:val="00D853CD"/>
    <w:rsid w:val="00D973F6"/>
    <w:rsid w:val="00DA2DD9"/>
    <w:rsid w:val="00DA4044"/>
    <w:rsid w:val="00DA48F9"/>
    <w:rsid w:val="00DB642A"/>
    <w:rsid w:val="00DD4F45"/>
    <w:rsid w:val="00DD7FAA"/>
    <w:rsid w:val="00DE0BB8"/>
    <w:rsid w:val="00DE328F"/>
    <w:rsid w:val="00DF30C6"/>
    <w:rsid w:val="00E00249"/>
    <w:rsid w:val="00E007B8"/>
    <w:rsid w:val="00E01452"/>
    <w:rsid w:val="00E06AB3"/>
    <w:rsid w:val="00E24EC4"/>
    <w:rsid w:val="00E4186F"/>
    <w:rsid w:val="00E6281E"/>
    <w:rsid w:val="00E90DCD"/>
    <w:rsid w:val="00E94FC9"/>
    <w:rsid w:val="00EA3542"/>
    <w:rsid w:val="00EB01DA"/>
    <w:rsid w:val="00EB2022"/>
    <w:rsid w:val="00EC0FB2"/>
    <w:rsid w:val="00EC54EF"/>
    <w:rsid w:val="00EC7661"/>
    <w:rsid w:val="00ED650B"/>
    <w:rsid w:val="00EE5017"/>
    <w:rsid w:val="00F00131"/>
    <w:rsid w:val="00F02950"/>
    <w:rsid w:val="00F166DF"/>
    <w:rsid w:val="00F30AA6"/>
    <w:rsid w:val="00F35A33"/>
    <w:rsid w:val="00F40725"/>
    <w:rsid w:val="00F4272C"/>
    <w:rsid w:val="00F45E78"/>
    <w:rsid w:val="00F61B3E"/>
    <w:rsid w:val="00F62AAE"/>
    <w:rsid w:val="00F75E5B"/>
    <w:rsid w:val="00F916EE"/>
    <w:rsid w:val="00F928DD"/>
    <w:rsid w:val="00F92A21"/>
    <w:rsid w:val="00F962B9"/>
    <w:rsid w:val="00FA3696"/>
    <w:rsid w:val="00FA3D16"/>
    <w:rsid w:val="00FB7112"/>
    <w:rsid w:val="00FC2145"/>
    <w:rsid w:val="00FD1D36"/>
    <w:rsid w:val="00FD54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906E9"/>
  <w15:chartTrackingRefBased/>
  <w15:docId w15:val="{9A953C0D-403A-3B4C-9EA7-8B24FD8A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1">
    <w:name w:val="heading 1"/>
    <w:basedOn w:val="Normal"/>
    <w:link w:val="Heading1Char"/>
    <w:uiPriority w:val="9"/>
    <w:qFormat/>
    <w:rsid w:val="004B78A2"/>
    <w:pPr>
      <w:widowControl w:val="0"/>
      <w:autoSpaceDE w:val="0"/>
      <w:autoSpaceDN w:val="0"/>
      <w:spacing w:after="0" w:line="240" w:lineRule="auto"/>
      <w:ind w:left="125"/>
      <w:jc w:val="left"/>
      <w:outlineLvl w:val="0"/>
    </w:pPr>
    <w:rPr>
      <w:rFonts w:eastAsia="Arial" w:cs="Arial"/>
      <w:b/>
      <w:bCs/>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basedOn w:val="Normal"/>
    <w:link w:val="FootnoteTextChar"/>
    <w:uiPriority w:val="99"/>
    <w:semiHidden/>
    <w:unhideWhenUsed/>
    <w:rsid w:val="001850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066"/>
    <w:rPr>
      <w:rFonts w:ascii="Arial" w:hAnsi="Arial"/>
      <w:sz w:val="20"/>
      <w:szCs w:val="20"/>
      <w:lang w:val="en-GB"/>
    </w:rPr>
  </w:style>
  <w:style w:type="character" w:styleId="FootnoteReference">
    <w:name w:val="footnote reference"/>
    <w:basedOn w:val="DefaultParagraphFont"/>
    <w:uiPriority w:val="99"/>
    <w:semiHidden/>
    <w:unhideWhenUsed/>
    <w:rsid w:val="00185066"/>
    <w:rPr>
      <w:vertAlign w:val="superscript"/>
    </w:rPr>
  </w:style>
  <w:style w:type="paragraph" w:styleId="Header">
    <w:name w:val="header"/>
    <w:basedOn w:val="Normal"/>
    <w:link w:val="HeaderChar"/>
    <w:uiPriority w:val="99"/>
    <w:unhideWhenUsed/>
    <w:rsid w:val="00C36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619"/>
    <w:rPr>
      <w:rFonts w:ascii="Arial" w:hAnsi="Arial"/>
      <w:sz w:val="24"/>
      <w:lang w:val="en-GB"/>
    </w:rPr>
  </w:style>
  <w:style w:type="paragraph" w:styleId="Footer">
    <w:name w:val="footer"/>
    <w:basedOn w:val="Normal"/>
    <w:link w:val="FooterChar"/>
    <w:uiPriority w:val="99"/>
    <w:unhideWhenUsed/>
    <w:rsid w:val="00C36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619"/>
    <w:rPr>
      <w:rFonts w:ascii="Arial" w:hAnsi="Arial"/>
      <w:sz w:val="24"/>
      <w:lang w:val="en-GB"/>
    </w:rPr>
  </w:style>
  <w:style w:type="character" w:customStyle="1" w:styleId="Heading1Char">
    <w:name w:val="Heading 1 Char"/>
    <w:basedOn w:val="DefaultParagraphFont"/>
    <w:link w:val="Heading1"/>
    <w:uiPriority w:val="9"/>
    <w:rsid w:val="004B78A2"/>
    <w:rPr>
      <w:rFonts w:ascii="Arial" w:eastAsia="Arial" w:hAnsi="Arial" w:cs="Arial"/>
      <w:b/>
      <w:bCs/>
      <w:sz w:val="24"/>
      <w:szCs w:val="24"/>
      <w:u w:val="single" w:color="000000"/>
      <w:lang w:val="en-US"/>
    </w:rPr>
  </w:style>
  <w:style w:type="paragraph" w:styleId="BodyText">
    <w:name w:val="Body Text"/>
    <w:basedOn w:val="Normal"/>
    <w:link w:val="BodyTextChar"/>
    <w:uiPriority w:val="1"/>
    <w:qFormat/>
    <w:rsid w:val="004B78A2"/>
    <w:pPr>
      <w:widowControl w:val="0"/>
      <w:autoSpaceDE w:val="0"/>
      <w:autoSpaceDN w:val="0"/>
      <w:spacing w:after="0" w:line="240" w:lineRule="auto"/>
      <w:ind w:left="0"/>
      <w:jc w:val="left"/>
    </w:pPr>
    <w:rPr>
      <w:rFonts w:eastAsia="Arial" w:cs="Arial"/>
      <w:szCs w:val="24"/>
      <w:lang w:val="en-US"/>
    </w:rPr>
  </w:style>
  <w:style w:type="character" w:customStyle="1" w:styleId="BodyTextChar">
    <w:name w:val="Body Text Char"/>
    <w:basedOn w:val="DefaultParagraphFont"/>
    <w:link w:val="BodyText"/>
    <w:uiPriority w:val="1"/>
    <w:rsid w:val="004B78A2"/>
    <w:rPr>
      <w:rFonts w:ascii="Arial" w:eastAsia="Arial" w:hAnsi="Arial" w:cs="Arial"/>
      <w:sz w:val="24"/>
      <w:szCs w:val="24"/>
      <w:lang w:val="en-US"/>
    </w:rPr>
  </w:style>
  <w:style w:type="paragraph" w:styleId="ListParagraph">
    <w:name w:val="List Paragraph"/>
    <w:basedOn w:val="Normal"/>
    <w:uiPriority w:val="34"/>
    <w:qFormat/>
    <w:rsid w:val="004B78A2"/>
    <w:pPr>
      <w:widowControl w:val="0"/>
      <w:autoSpaceDE w:val="0"/>
      <w:autoSpaceDN w:val="0"/>
      <w:spacing w:after="0" w:line="240" w:lineRule="auto"/>
      <w:ind w:left="1543" w:hanging="739"/>
      <w:jc w:val="left"/>
    </w:pPr>
    <w:rPr>
      <w:rFonts w:eastAsia="Arial" w:cs="Arial"/>
      <w:sz w:val="22"/>
      <w:lang w:val="en-US"/>
    </w:rPr>
  </w:style>
  <w:style w:type="paragraph" w:customStyle="1" w:styleId="TableParagraph">
    <w:name w:val="Table Paragraph"/>
    <w:basedOn w:val="Normal"/>
    <w:uiPriority w:val="1"/>
    <w:qFormat/>
    <w:rsid w:val="004B78A2"/>
    <w:pPr>
      <w:widowControl w:val="0"/>
      <w:autoSpaceDE w:val="0"/>
      <w:autoSpaceDN w:val="0"/>
      <w:spacing w:after="0" w:line="240" w:lineRule="auto"/>
      <w:ind w:left="0"/>
      <w:jc w:val="left"/>
    </w:pPr>
    <w:rPr>
      <w:rFonts w:eastAsia="Arial" w:cs="Arial"/>
      <w:sz w:val="22"/>
      <w:lang w:val="en-US"/>
    </w:rPr>
  </w:style>
  <w:style w:type="numbering" w:customStyle="1" w:styleId="CurrentList1">
    <w:name w:val="Current List1"/>
    <w:uiPriority w:val="99"/>
    <w:rsid w:val="009E72F9"/>
    <w:pPr>
      <w:numPr>
        <w:numId w:val="10"/>
      </w:numPr>
    </w:pPr>
  </w:style>
  <w:style w:type="character" w:styleId="Hyperlink">
    <w:name w:val="Hyperlink"/>
    <w:basedOn w:val="DefaultParagraphFont"/>
    <w:uiPriority w:val="99"/>
    <w:semiHidden/>
    <w:unhideWhenUsed/>
    <w:rsid w:val="00CC4F73"/>
    <w:rPr>
      <w:color w:val="0000FF"/>
      <w:u w:val="single"/>
    </w:rPr>
  </w:style>
  <w:style w:type="numbering" w:customStyle="1" w:styleId="CurrentList2">
    <w:name w:val="Current List2"/>
    <w:uiPriority w:val="99"/>
    <w:rsid w:val="002C48CA"/>
    <w:pPr>
      <w:numPr>
        <w:numId w:val="15"/>
      </w:numPr>
    </w:pPr>
  </w:style>
  <w:style w:type="numbering" w:customStyle="1" w:styleId="CurrentList3">
    <w:name w:val="Current List3"/>
    <w:uiPriority w:val="99"/>
    <w:rsid w:val="000842AD"/>
    <w:pPr>
      <w:numPr>
        <w:numId w:val="16"/>
      </w:numPr>
    </w:pPr>
  </w:style>
  <w:style w:type="numbering" w:customStyle="1" w:styleId="CurrentList4">
    <w:name w:val="Current List4"/>
    <w:uiPriority w:val="99"/>
    <w:rsid w:val="000842AD"/>
    <w:pPr>
      <w:numPr>
        <w:numId w:val="17"/>
      </w:numPr>
    </w:pPr>
  </w:style>
  <w:style w:type="numbering" w:customStyle="1" w:styleId="CurrentList5">
    <w:name w:val="Current List5"/>
    <w:uiPriority w:val="99"/>
    <w:rsid w:val="000842AD"/>
    <w:pPr>
      <w:numPr>
        <w:numId w:val="18"/>
      </w:numPr>
    </w:pPr>
  </w:style>
  <w:style w:type="paragraph" w:styleId="BalloonText">
    <w:name w:val="Balloon Text"/>
    <w:basedOn w:val="Normal"/>
    <w:link w:val="BalloonTextChar"/>
    <w:uiPriority w:val="99"/>
    <w:semiHidden/>
    <w:unhideWhenUsed/>
    <w:rsid w:val="00111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4A"/>
    <w:rPr>
      <w:rFonts w:ascii="Segoe UI" w:hAnsi="Segoe UI" w:cs="Segoe UI"/>
      <w:sz w:val="18"/>
      <w:szCs w:val="18"/>
      <w:lang w:val="en-GB"/>
    </w:rPr>
  </w:style>
  <w:style w:type="paragraph" w:styleId="NoSpacing">
    <w:name w:val="No Spacing"/>
    <w:uiPriority w:val="1"/>
    <w:qFormat/>
    <w:rsid w:val="0011184A"/>
    <w:pPr>
      <w:spacing w:after="0" w:line="240" w:lineRule="auto"/>
      <w:ind w:left="567"/>
      <w:jc w:val="both"/>
    </w:pPr>
    <w:rPr>
      <w:rFonts w:ascii="Arial" w:hAnsi="Arial"/>
      <w:sz w:val="24"/>
      <w:lang w:val="en-GB"/>
    </w:rPr>
  </w:style>
  <w:style w:type="paragraph" w:styleId="Revision">
    <w:name w:val="Revision"/>
    <w:hidden/>
    <w:uiPriority w:val="99"/>
    <w:semiHidden/>
    <w:rsid w:val="000A5476"/>
    <w:pPr>
      <w:spacing w:after="0" w:line="240" w:lineRule="auto"/>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4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elani\AppData\Local\Microsoft\Windows\INetCache\Content.Outlook\Q6GK97CK\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92064-3A18-41D0-805E-1A4F02CF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Template>
  <TotalTime>1</TotalTime>
  <Pages>16</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Tshwarelo Mabina</cp:lastModifiedBy>
  <cp:revision>2</cp:revision>
  <dcterms:created xsi:type="dcterms:W3CDTF">2023-12-01T07:53:00Z</dcterms:created>
  <dcterms:modified xsi:type="dcterms:W3CDTF">2023-12-01T07:53:00Z</dcterms:modified>
</cp:coreProperties>
</file>