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D2039" w14:textId="77777777" w:rsidR="00300D09" w:rsidRDefault="00300D09" w:rsidP="00300D09">
      <w:pPr>
        <w:jc w:val="center"/>
        <w:rPr>
          <w:rFonts w:cs="Arial"/>
          <w:b/>
          <w:bCs/>
          <w:lang w:eastAsia="en-GB"/>
        </w:rPr>
      </w:pPr>
      <w:r w:rsidRPr="009624B9">
        <w:rPr>
          <w:rFonts w:cs="Arial"/>
          <w:b/>
          <w:bCs/>
          <w:lang w:eastAsia="en-GB"/>
        </w:rPr>
        <w:t>REPUBLIC OF SOUTH AFRICA</w:t>
      </w:r>
    </w:p>
    <w:p w14:paraId="5EE3CE51" w14:textId="77777777" w:rsidR="0026493D" w:rsidRPr="009624B9" w:rsidRDefault="0026493D" w:rsidP="00300D09">
      <w:pPr>
        <w:jc w:val="center"/>
        <w:rPr>
          <w:rFonts w:cs="Arial"/>
          <w:b/>
          <w:bCs/>
          <w:lang w:eastAsia="en-GB"/>
        </w:rPr>
      </w:pPr>
    </w:p>
    <w:p w14:paraId="347A0320" w14:textId="77777777" w:rsidR="006E45F7" w:rsidRPr="009624B9" w:rsidRDefault="006E45F7" w:rsidP="00300D09">
      <w:pPr>
        <w:jc w:val="center"/>
        <w:rPr>
          <w:rFonts w:cs="Arial"/>
          <w:lang w:eastAsia="en-GB"/>
        </w:rPr>
      </w:pPr>
    </w:p>
    <w:p w14:paraId="47D6A2FD" w14:textId="77777777" w:rsidR="00300D09" w:rsidRDefault="00033914" w:rsidP="00300D09">
      <w:pPr>
        <w:jc w:val="center"/>
        <w:rPr>
          <w:rFonts w:cs="Arial"/>
          <w:lang w:eastAsia="en-GB"/>
        </w:rPr>
      </w:pPr>
      <w:r w:rsidRPr="009624B9">
        <w:rPr>
          <w:rFonts w:cs="Arial"/>
          <w:noProof/>
          <w:lang w:val="en-ZA" w:eastAsia="en-ZA"/>
        </w:rPr>
        <w:drawing>
          <wp:inline distT="0" distB="0" distL="0" distR="0" wp14:anchorId="243F16CF" wp14:editId="235AD2DA">
            <wp:extent cx="914400" cy="9144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AFC25C2" w14:textId="77777777" w:rsidR="0026493D" w:rsidRPr="009624B9" w:rsidRDefault="0026493D" w:rsidP="00300D09">
      <w:pPr>
        <w:jc w:val="center"/>
        <w:rPr>
          <w:rFonts w:cs="Arial"/>
          <w:lang w:eastAsia="en-GB"/>
        </w:rPr>
      </w:pPr>
    </w:p>
    <w:p w14:paraId="10379EE0" w14:textId="77777777" w:rsidR="006E45F7" w:rsidRPr="009624B9" w:rsidRDefault="006E45F7" w:rsidP="00300D09">
      <w:pPr>
        <w:jc w:val="center"/>
        <w:rPr>
          <w:rFonts w:cs="Arial"/>
          <w:lang w:eastAsia="en-GB"/>
        </w:rPr>
      </w:pPr>
    </w:p>
    <w:p w14:paraId="40D6BE7B" w14:textId="77777777" w:rsidR="00300D09" w:rsidRPr="009624B9" w:rsidRDefault="00300D09" w:rsidP="00300D09">
      <w:pPr>
        <w:jc w:val="center"/>
        <w:rPr>
          <w:rFonts w:cs="Arial"/>
          <w:b/>
          <w:bCs/>
          <w:lang w:eastAsia="en-GB"/>
        </w:rPr>
      </w:pPr>
      <w:r w:rsidRPr="009624B9">
        <w:rPr>
          <w:rFonts w:cs="Arial"/>
          <w:b/>
          <w:bCs/>
          <w:lang w:eastAsia="en-GB"/>
        </w:rPr>
        <w:t>IN THE HIGH COURT OF SOUTH AFRICA</w:t>
      </w:r>
    </w:p>
    <w:p w14:paraId="09565CFD" w14:textId="77777777" w:rsidR="00300D09" w:rsidRDefault="00300D09" w:rsidP="00300D09">
      <w:pPr>
        <w:jc w:val="center"/>
        <w:rPr>
          <w:rFonts w:cs="Arial"/>
          <w:b/>
          <w:bCs/>
          <w:lang w:eastAsia="en-GB"/>
        </w:rPr>
      </w:pPr>
      <w:r w:rsidRPr="009624B9">
        <w:rPr>
          <w:rFonts w:cs="Arial"/>
          <w:b/>
          <w:bCs/>
          <w:lang w:eastAsia="en-GB"/>
        </w:rPr>
        <w:t xml:space="preserve">GAUTENG </w:t>
      </w:r>
      <w:r w:rsidR="007846CA">
        <w:rPr>
          <w:rFonts w:cs="Arial"/>
          <w:b/>
          <w:bCs/>
          <w:lang w:eastAsia="en-GB"/>
        </w:rPr>
        <w:t xml:space="preserve">LOCAL </w:t>
      </w:r>
      <w:r w:rsidRPr="009624B9">
        <w:rPr>
          <w:rFonts w:cs="Arial"/>
          <w:b/>
          <w:bCs/>
          <w:lang w:eastAsia="en-GB"/>
        </w:rPr>
        <w:t xml:space="preserve">DIVISION, </w:t>
      </w:r>
      <w:r w:rsidR="00682D2A" w:rsidRPr="009624B9">
        <w:rPr>
          <w:rFonts w:cs="Arial"/>
          <w:b/>
          <w:bCs/>
          <w:lang w:eastAsia="en-GB"/>
        </w:rPr>
        <w:t xml:space="preserve">JOHANNESBURG </w:t>
      </w:r>
    </w:p>
    <w:p w14:paraId="3777381E" w14:textId="77777777" w:rsidR="001F187E" w:rsidRDefault="001F187E" w:rsidP="00300D09">
      <w:pPr>
        <w:jc w:val="center"/>
        <w:rPr>
          <w:rFonts w:cs="Arial"/>
          <w:b/>
          <w:bCs/>
          <w:lang w:eastAsia="en-GB"/>
        </w:rPr>
      </w:pPr>
    </w:p>
    <w:p w14:paraId="0EC9419C" w14:textId="77777777" w:rsidR="0026493D" w:rsidRPr="009624B9" w:rsidRDefault="0026493D" w:rsidP="00300D09">
      <w:pPr>
        <w:jc w:val="center"/>
        <w:rPr>
          <w:rFonts w:cs="Arial"/>
          <w:b/>
          <w:bCs/>
          <w:lang w:eastAsia="en-GB"/>
        </w:rPr>
      </w:pPr>
    </w:p>
    <w:p w14:paraId="513A0364" w14:textId="77777777" w:rsidR="00300D09" w:rsidRPr="009624B9" w:rsidRDefault="00300D09" w:rsidP="00300D09">
      <w:pPr>
        <w:tabs>
          <w:tab w:val="left" w:pos="4917"/>
        </w:tabs>
        <w:jc w:val="right"/>
        <w:rPr>
          <w:rFonts w:cs="Arial"/>
          <w:b/>
          <w:sz w:val="28"/>
          <w:szCs w:val="28"/>
          <w:u w:val="single"/>
        </w:rPr>
      </w:pPr>
    </w:p>
    <w:p w14:paraId="39A0F6FC" w14:textId="5FD04185" w:rsidR="00BB3A62" w:rsidRDefault="00BB3A62" w:rsidP="00BB3A62">
      <w:pPr>
        <w:jc w:val="right"/>
        <w:outlineLvl w:val="0"/>
        <w:rPr>
          <w:rFonts w:cs="Arial"/>
          <w:b/>
        </w:rPr>
      </w:pPr>
      <w:r w:rsidRPr="009624B9">
        <w:rPr>
          <w:rFonts w:cs="Arial"/>
          <w:b/>
        </w:rPr>
        <w:t>Case No:</w:t>
      </w:r>
      <w:r w:rsidR="009624B9">
        <w:rPr>
          <w:rFonts w:cs="Arial"/>
          <w:b/>
        </w:rPr>
        <w:t xml:space="preserve"> </w:t>
      </w:r>
      <w:r w:rsidR="00D3097E">
        <w:rPr>
          <w:rFonts w:cs="Arial"/>
          <w:b/>
        </w:rPr>
        <w:t>A5072/2021</w:t>
      </w:r>
    </w:p>
    <w:p w14:paraId="59121B84" w14:textId="77777777" w:rsidR="001F187E" w:rsidRDefault="001F187E" w:rsidP="00BB3A62">
      <w:pPr>
        <w:jc w:val="right"/>
        <w:outlineLvl w:val="0"/>
        <w:rPr>
          <w:rFonts w:cs="Arial"/>
          <w:b/>
        </w:rPr>
      </w:pPr>
    </w:p>
    <w:p w14:paraId="0282CC58" w14:textId="77777777" w:rsidR="0026493D" w:rsidRPr="009624B9" w:rsidRDefault="0026493D" w:rsidP="00BB3A62">
      <w:pPr>
        <w:jc w:val="right"/>
        <w:outlineLvl w:val="0"/>
        <w:rPr>
          <w:rFonts w:cs="Arial"/>
          <w:b/>
        </w:rPr>
      </w:pPr>
    </w:p>
    <w:p w14:paraId="6F2FEB59" w14:textId="77777777" w:rsidR="00BB3A62" w:rsidRPr="009624B9" w:rsidRDefault="00BB3A62" w:rsidP="00BB3A62">
      <w:pPr>
        <w:jc w:val="right"/>
        <w:rPr>
          <w:rFonts w:cs="Arial"/>
        </w:rPr>
      </w:pPr>
      <w:r w:rsidRPr="009624B9">
        <w:rPr>
          <w:rFonts w:cs="Arial"/>
          <w:noProof/>
          <w:lang w:val="en-ZA" w:eastAsia="en-ZA"/>
        </w:rPr>
        <mc:AlternateContent>
          <mc:Choice Requires="wps">
            <w:drawing>
              <wp:anchor distT="0" distB="0" distL="114300" distR="114300" simplePos="0" relativeHeight="251659264" behindDoc="0" locked="0" layoutInCell="1" allowOverlap="1" wp14:anchorId="6E57ABE4" wp14:editId="346A3A99">
                <wp:simplePos x="0" y="0"/>
                <wp:positionH relativeFrom="column">
                  <wp:posOffset>-104775</wp:posOffset>
                </wp:positionH>
                <wp:positionV relativeFrom="paragraph">
                  <wp:posOffset>240665</wp:posOffset>
                </wp:positionV>
                <wp:extent cx="3314700" cy="1389380"/>
                <wp:effectExtent l="0" t="0" r="19050" b="2032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314700" cy="1389380"/>
                        </a:xfrm>
                        <a:prstGeom prst="rect">
                          <a:avLst/>
                        </a:prstGeom>
                        <a:solidFill>
                          <a:srgbClr val="FFFFFF"/>
                        </a:solidFill>
                        <a:ln w="9525">
                          <a:solidFill>
                            <a:srgbClr val="000000"/>
                          </a:solidFill>
                          <a:miter lim="800000"/>
                          <a:headEnd/>
                          <a:tailEnd/>
                        </a:ln>
                      </wps:spPr>
                      <wps:txbx>
                        <w:txbxContent>
                          <w:p w14:paraId="0DCD95D9" w14:textId="77777777" w:rsidR="000A22A8" w:rsidRPr="004120A8" w:rsidRDefault="000A22A8" w:rsidP="00BB3A62">
                            <w:pPr>
                              <w:jc w:val="center"/>
                              <w:rPr>
                                <w:rFonts w:ascii="Century Gothic" w:hAnsi="Century Gothic"/>
                                <w:b/>
                                <w:sz w:val="2"/>
                                <w:szCs w:val="18"/>
                              </w:rPr>
                            </w:pPr>
                          </w:p>
                          <w:p w14:paraId="22FA4FA5" w14:textId="0354E832" w:rsidR="000A22A8" w:rsidRPr="004120A8" w:rsidRDefault="004832B9" w:rsidP="004832B9">
                            <w:pPr>
                              <w:tabs>
                                <w:tab w:val="left" w:pos="900"/>
                              </w:tabs>
                              <w:spacing w:line="360" w:lineRule="auto"/>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0A22A8">
                              <w:rPr>
                                <w:rFonts w:ascii="Century Gothic" w:hAnsi="Century Gothic"/>
                                <w:sz w:val="18"/>
                                <w:szCs w:val="18"/>
                              </w:rPr>
                              <w:t xml:space="preserve">REPORTABLE: </w:t>
                            </w:r>
                            <w:r w:rsidR="00E500E6">
                              <w:rPr>
                                <w:rFonts w:ascii="Century Gothic" w:hAnsi="Century Gothic"/>
                                <w:sz w:val="18"/>
                                <w:szCs w:val="18"/>
                              </w:rPr>
                              <w:t>NO</w:t>
                            </w:r>
                          </w:p>
                          <w:p w14:paraId="77CE2E0D" w14:textId="51C81184" w:rsidR="000A22A8" w:rsidRPr="004120A8" w:rsidRDefault="004832B9" w:rsidP="004832B9">
                            <w:pPr>
                              <w:tabs>
                                <w:tab w:val="left" w:pos="900"/>
                              </w:tabs>
                              <w:spacing w:line="360" w:lineRule="auto"/>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0A22A8" w:rsidRPr="004120A8">
                              <w:rPr>
                                <w:rFonts w:ascii="Century Gothic" w:hAnsi="Century Gothic"/>
                                <w:sz w:val="18"/>
                                <w:szCs w:val="18"/>
                              </w:rPr>
                              <w:t>O</w:t>
                            </w:r>
                            <w:r w:rsidR="000A22A8">
                              <w:rPr>
                                <w:rFonts w:ascii="Century Gothic" w:hAnsi="Century Gothic"/>
                                <w:sz w:val="18"/>
                                <w:szCs w:val="18"/>
                              </w:rPr>
                              <w:t xml:space="preserve">F INTEREST TO OTHER JUDGES:  </w:t>
                            </w:r>
                            <w:r w:rsidR="00E500E6">
                              <w:rPr>
                                <w:rFonts w:ascii="Century Gothic" w:hAnsi="Century Gothic"/>
                                <w:sz w:val="18"/>
                                <w:szCs w:val="18"/>
                              </w:rPr>
                              <w:t>NO</w:t>
                            </w:r>
                          </w:p>
                          <w:p w14:paraId="3BC9A302" w14:textId="0FAF43C8" w:rsidR="000A22A8" w:rsidRPr="004120A8" w:rsidRDefault="004832B9" w:rsidP="004832B9">
                            <w:pPr>
                              <w:tabs>
                                <w:tab w:val="left" w:pos="900"/>
                              </w:tabs>
                              <w:spacing w:line="360" w:lineRule="auto"/>
                              <w:ind w:left="900" w:hanging="720"/>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0A22A8" w:rsidRPr="004120A8">
                              <w:rPr>
                                <w:rFonts w:ascii="Century Gothic" w:hAnsi="Century Gothic"/>
                                <w:sz w:val="18"/>
                                <w:szCs w:val="18"/>
                              </w:rPr>
                              <w:t xml:space="preserve">REVISED. </w:t>
                            </w:r>
                          </w:p>
                          <w:p w14:paraId="417F47FD" w14:textId="77777777" w:rsidR="000A22A8" w:rsidRPr="004120A8" w:rsidRDefault="000A22A8" w:rsidP="00BB3A62">
                            <w:pPr>
                              <w:rPr>
                                <w:rFonts w:ascii="Century Gothic" w:hAnsi="Century Gothic"/>
                                <w:b/>
                                <w:sz w:val="18"/>
                                <w:szCs w:val="18"/>
                              </w:rPr>
                            </w:pPr>
                          </w:p>
                          <w:p w14:paraId="4AF97A98" w14:textId="77777777" w:rsidR="000A22A8" w:rsidRPr="004120A8" w:rsidRDefault="000A22A8" w:rsidP="00BB3A62">
                            <w:pPr>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p>
                          <w:p w14:paraId="5FE0F035" w14:textId="77777777" w:rsidR="000A22A8" w:rsidRPr="004120A8" w:rsidRDefault="000A22A8" w:rsidP="00BB3A62">
                            <w:pPr>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536C1D09" w14:textId="77777777" w:rsidR="000A22A8" w:rsidRPr="004120A8" w:rsidRDefault="000A22A8" w:rsidP="00BB3A62">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7ABE4" id="_x0000_t202" coordsize="21600,21600" o:spt="202" path="m,l,21600r21600,l21600,xe">
                <v:stroke joinstyle="miter"/>
                <v:path gradientshapeok="t" o:connecttype="rect"/>
              </v:shapetype>
              <v:shape id="Text Box 2" o:spid="_x0000_s1026" type="#_x0000_t202" style="position:absolute;left:0;text-align:left;margin-left:-8.25pt;margin-top:18.95pt;width:261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">
                <o:lock v:ext="edit" aspectratio="t" verticies="t" text="t" shapetype="t"/>
                <v:textbox>
                  <w:txbxContent>
                    <w:p w14:paraId="0DCD95D9" w14:textId="77777777" w:rsidR="000A22A8" w:rsidRPr="004120A8" w:rsidRDefault="000A22A8" w:rsidP="00BB3A62">
                      <w:pPr>
                        <w:jc w:val="center"/>
                        <w:rPr>
                          <w:rFonts w:ascii="Century Gothic" w:hAnsi="Century Gothic"/>
                          <w:b/>
                          <w:sz w:val="2"/>
                          <w:szCs w:val="18"/>
                        </w:rPr>
                      </w:pPr>
                    </w:p>
                    <w:p w14:paraId="22FA4FA5" w14:textId="0354E832" w:rsidR="000A22A8" w:rsidRPr="004120A8" w:rsidRDefault="004832B9" w:rsidP="004832B9">
                      <w:pPr>
                        <w:tabs>
                          <w:tab w:val="left" w:pos="900"/>
                        </w:tabs>
                        <w:spacing w:line="360" w:lineRule="auto"/>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0A22A8">
                        <w:rPr>
                          <w:rFonts w:ascii="Century Gothic" w:hAnsi="Century Gothic"/>
                          <w:sz w:val="18"/>
                          <w:szCs w:val="18"/>
                        </w:rPr>
                        <w:t xml:space="preserve">REPORTABLE: </w:t>
                      </w:r>
                      <w:r w:rsidR="00E500E6">
                        <w:rPr>
                          <w:rFonts w:ascii="Century Gothic" w:hAnsi="Century Gothic"/>
                          <w:sz w:val="18"/>
                          <w:szCs w:val="18"/>
                        </w:rPr>
                        <w:t>NO</w:t>
                      </w:r>
                    </w:p>
                    <w:p w14:paraId="77CE2E0D" w14:textId="51C81184" w:rsidR="000A22A8" w:rsidRPr="004120A8" w:rsidRDefault="004832B9" w:rsidP="004832B9">
                      <w:pPr>
                        <w:tabs>
                          <w:tab w:val="left" w:pos="900"/>
                        </w:tabs>
                        <w:spacing w:line="360" w:lineRule="auto"/>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0A22A8" w:rsidRPr="004120A8">
                        <w:rPr>
                          <w:rFonts w:ascii="Century Gothic" w:hAnsi="Century Gothic"/>
                          <w:sz w:val="18"/>
                          <w:szCs w:val="18"/>
                        </w:rPr>
                        <w:t>O</w:t>
                      </w:r>
                      <w:r w:rsidR="000A22A8">
                        <w:rPr>
                          <w:rFonts w:ascii="Century Gothic" w:hAnsi="Century Gothic"/>
                          <w:sz w:val="18"/>
                          <w:szCs w:val="18"/>
                        </w:rPr>
                        <w:t xml:space="preserve">F INTEREST TO OTHER JUDGES:  </w:t>
                      </w:r>
                      <w:r w:rsidR="00E500E6">
                        <w:rPr>
                          <w:rFonts w:ascii="Century Gothic" w:hAnsi="Century Gothic"/>
                          <w:sz w:val="18"/>
                          <w:szCs w:val="18"/>
                        </w:rPr>
                        <w:t>NO</w:t>
                      </w:r>
                    </w:p>
                    <w:p w14:paraId="3BC9A302" w14:textId="0FAF43C8" w:rsidR="000A22A8" w:rsidRPr="004120A8" w:rsidRDefault="004832B9" w:rsidP="004832B9">
                      <w:pPr>
                        <w:tabs>
                          <w:tab w:val="left" w:pos="900"/>
                        </w:tabs>
                        <w:spacing w:line="360" w:lineRule="auto"/>
                        <w:ind w:left="900" w:hanging="720"/>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0A22A8" w:rsidRPr="004120A8">
                        <w:rPr>
                          <w:rFonts w:ascii="Century Gothic" w:hAnsi="Century Gothic"/>
                          <w:sz w:val="18"/>
                          <w:szCs w:val="18"/>
                        </w:rPr>
                        <w:t xml:space="preserve">REVISED. </w:t>
                      </w:r>
                    </w:p>
                    <w:p w14:paraId="417F47FD" w14:textId="77777777" w:rsidR="000A22A8" w:rsidRPr="004120A8" w:rsidRDefault="000A22A8" w:rsidP="00BB3A62">
                      <w:pPr>
                        <w:rPr>
                          <w:rFonts w:ascii="Century Gothic" w:hAnsi="Century Gothic"/>
                          <w:b/>
                          <w:sz w:val="18"/>
                          <w:szCs w:val="18"/>
                        </w:rPr>
                      </w:pPr>
                    </w:p>
                    <w:p w14:paraId="4AF97A98" w14:textId="77777777" w:rsidR="000A22A8" w:rsidRPr="004120A8" w:rsidRDefault="000A22A8" w:rsidP="00BB3A62">
                      <w:pPr>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p>
                    <w:p w14:paraId="5FE0F035" w14:textId="77777777" w:rsidR="000A22A8" w:rsidRPr="004120A8" w:rsidRDefault="000A22A8" w:rsidP="00BB3A62">
                      <w:pPr>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536C1D09" w14:textId="77777777" w:rsidR="000A22A8" w:rsidRPr="004120A8" w:rsidRDefault="000A22A8" w:rsidP="00BB3A62">
                      <w:pPr>
                        <w:rPr>
                          <w:rFonts w:ascii="Century Gothic" w:hAnsi="Century Gothic"/>
                          <w:b/>
                          <w:sz w:val="2"/>
                          <w:szCs w:val="18"/>
                        </w:rPr>
                      </w:pPr>
                    </w:p>
                  </w:txbxContent>
                </v:textbox>
              </v:shape>
            </w:pict>
          </mc:Fallback>
        </mc:AlternateContent>
      </w:r>
    </w:p>
    <w:p w14:paraId="1C64B251" w14:textId="77777777" w:rsidR="00BB3A62" w:rsidRPr="009624B9" w:rsidRDefault="00BB3A62" w:rsidP="00BB3A62">
      <w:pPr>
        <w:jc w:val="right"/>
        <w:rPr>
          <w:rFonts w:cs="Arial"/>
          <w:b/>
        </w:rPr>
      </w:pPr>
    </w:p>
    <w:p w14:paraId="5E198000" w14:textId="77777777" w:rsidR="00BB3A62" w:rsidRPr="009624B9" w:rsidRDefault="00BB3A62" w:rsidP="00BB3A62">
      <w:pPr>
        <w:jc w:val="left"/>
        <w:rPr>
          <w:rFonts w:cs="Arial"/>
          <w:u w:val="single"/>
        </w:rPr>
      </w:pPr>
    </w:p>
    <w:p w14:paraId="13507125" w14:textId="77777777" w:rsidR="00BB3A62" w:rsidRPr="009624B9" w:rsidRDefault="00BB3A62" w:rsidP="00BB3A62">
      <w:pPr>
        <w:jc w:val="left"/>
        <w:rPr>
          <w:rFonts w:cs="Arial"/>
          <w:u w:val="single"/>
        </w:rPr>
      </w:pPr>
    </w:p>
    <w:p w14:paraId="1011568F" w14:textId="77777777" w:rsidR="00300D09" w:rsidRPr="009624B9" w:rsidRDefault="00300D09" w:rsidP="00300D09">
      <w:pPr>
        <w:tabs>
          <w:tab w:val="left" w:pos="4917"/>
        </w:tabs>
        <w:jc w:val="right"/>
        <w:rPr>
          <w:rFonts w:cs="Arial"/>
          <w:b/>
          <w:sz w:val="28"/>
          <w:szCs w:val="28"/>
          <w:u w:val="single"/>
        </w:rPr>
      </w:pPr>
    </w:p>
    <w:p w14:paraId="043275AF" w14:textId="77777777" w:rsidR="00DF46CB" w:rsidRPr="009624B9" w:rsidRDefault="00DF46CB" w:rsidP="00300D09">
      <w:pPr>
        <w:tabs>
          <w:tab w:val="left" w:pos="4917"/>
        </w:tabs>
        <w:jc w:val="right"/>
        <w:rPr>
          <w:rFonts w:cs="Arial"/>
          <w:b/>
          <w:sz w:val="28"/>
          <w:szCs w:val="28"/>
          <w:u w:val="single"/>
        </w:rPr>
      </w:pPr>
    </w:p>
    <w:p w14:paraId="1ED963DD" w14:textId="77777777" w:rsidR="00DF46CB" w:rsidRPr="009624B9" w:rsidRDefault="00DF46CB" w:rsidP="00300D09">
      <w:pPr>
        <w:tabs>
          <w:tab w:val="left" w:pos="4917"/>
        </w:tabs>
        <w:jc w:val="right"/>
        <w:rPr>
          <w:rFonts w:cs="Arial"/>
          <w:b/>
          <w:sz w:val="28"/>
          <w:szCs w:val="28"/>
          <w:u w:val="single"/>
        </w:rPr>
      </w:pPr>
    </w:p>
    <w:p w14:paraId="14D8CBFC" w14:textId="77777777" w:rsidR="00DF46CB" w:rsidRPr="009624B9" w:rsidRDefault="00DF46CB" w:rsidP="00300D09">
      <w:pPr>
        <w:tabs>
          <w:tab w:val="left" w:pos="4917"/>
        </w:tabs>
        <w:jc w:val="right"/>
        <w:rPr>
          <w:rFonts w:cs="Arial"/>
          <w:b/>
          <w:sz w:val="28"/>
          <w:szCs w:val="28"/>
          <w:u w:val="single"/>
        </w:rPr>
      </w:pPr>
    </w:p>
    <w:p w14:paraId="5C164CF3" w14:textId="77777777" w:rsidR="00DF46CB" w:rsidRPr="009624B9" w:rsidRDefault="00DF46CB" w:rsidP="00300D09">
      <w:pPr>
        <w:tabs>
          <w:tab w:val="left" w:pos="4917"/>
        </w:tabs>
        <w:jc w:val="right"/>
        <w:rPr>
          <w:rFonts w:cs="Arial"/>
          <w:b/>
          <w:sz w:val="28"/>
          <w:szCs w:val="28"/>
          <w:u w:val="single"/>
        </w:rPr>
      </w:pPr>
    </w:p>
    <w:p w14:paraId="5E92EE47" w14:textId="77777777" w:rsidR="00DF46CB" w:rsidRPr="009624B9" w:rsidRDefault="00DF46CB" w:rsidP="00300D09">
      <w:pPr>
        <w:tabs>
          <w:tab w:val="left" w:pos="4917"/>
        </w:tabs>
        <w:jc w:val="right"/>
        <w:rPr>
          <w:rFonts w:cs="Arial"/>
          <w:b/>
          <w:sz w:val="28"/>
          <w:szCs w:val="28"/>
          <w:u w:val="single"/>
        </w:rPr>
      </w:pPr>
    </w:p>
    <w:p w14:paraId="45CBF821" w14:textId="77777777" w:rsidR="00DF46CB" w:rsidRPr="009624B9" w:rsidRDefault="00DF46CB" w:rsidP="00300D09">
      <w:pPr>
        <w:tabs>
          <w:tab w:val="left" w:pos="4917"/>
        </w:tabs>
        <w:jc w:val="right"/>
        <w:rPr>
          <w:rFonts w:cs="Arial"/>
          <w:b/>
          <w:sz w:val="28"/>
          <w:szCs w:val="28"/>
          <w:u w:val="single"/>
        </w:rPr>
      </w:pPr>
    </w:p>
    <w:p w14:paraId="3CFAD7C4" w14:textId="77777777" w:rsidR="00300D09" w:rsidRPr="009624B9" w:rsidRDefault="00300D09" w:rsidP="00300D09">
      <w:r w:rsidRPr="009624B9">
        <w:t xml:space="preserve">In the matter </w:t>
      </w:r>
      <w:r w:rsidR="00DA1EC5">
        <w:t>between</w:t>
      </w:r>
      <w:r w:rsidRPr="009624B9">
        <w:t>:</w:t>
      </w:r>
    </w:p>
    <w:p w14:paraId="7E344281" w14:textId="77777777" w:rsidR="00300D09" w:rsidRPr="009624B9" w:rsidRDefault="00300D09" w:rsidP="00300D09">
      <w:pPr>
        <w:pStyle w:val="Parties"/>
      </w:pPr>
    </w:p>
    <w:p w14:paraId="35E859EE" w14:textId="77777777" w:rsidR="00DF46CB" w:rsidRPr="009624B9" w:rsidRDefault="00DF46CB" w:rsidP="00300D09">
      <w:pPr>
        <w:pStyle w:val="Parties"/>
      </w:pPr>
    </w:p>
    <w:p w14:paraId="2DCEDE19" w14:textId="77777777" w:rsidR="00DF46CB" w:rsidRPr="009624B9" w:rsidRDefault="00DF46CB" w:rsidP="00300D09">
      <w:pPr>
        <w:pStyle w:val="Parties"/>
      </w:pPr>
    </w:p>
    <w:p w14:paraId="742B285D" w14:textId="4130940D" w:rsidR="00A524D1" w:rsidRDefault="00AF69C1" w:rsidP="00A524D1">
      <w:pPr>
        <w:pStyle w:val="Parties"/>
      </w:pPr>
      <w:r>
        <w:rPr>
          <w:b/>
          <w:bCs/>
        </w:rPr>
        <w:t>AIRPORTS COMPANY OF SOUTH AF</w:t>
      </w:r>
      <w:r w:rsidR="007C750F">
        <w:rPr>
          <w:b/>
          <w:bCs/>
        </w:rPr>
        <w:t>RICA SOC LIMITED</w:t>
      </w:r>
      <w:r w:rsidR="00A524D1" w:rsidRPr="009624B9">
        <w:rPr>
          <w:b/>
          <w:bCs/>
        </w:rPr>
        <w:tab/>
      </w:r>
      <w:r w:rsidR="007C750F">
        <w:t>1</w:t>
      </w:r>
      <w:r w:rsidR="007C750F" w:rsidRPr="007C750F">
        <w:rPr>
          <w:vertAlign w:val="superscript"/>
        </w:rPr>
        <w:t>st</w:t>
      </w:r>
      <w:r w:rsidR="007C750F">
        <w:t xml:space="preserve"> </w:t>
      </w:r>
      <w:r w:rsidR="00A524D1" w:rsidRPr="009624B9">
        <w:t>A</w:t>
      </w:r>
      <w:r w:rsidR="007C750F">
        <w:t>ppellant</w:t>
      </w:r>
    </w:p>
    <w:p w14:paraId="17F98F98" w14:textId="77777777" w:rsidR="00D10F2C" w:rsidRDefault="00D10F2C" w:rsidP="00A524D1">
      <w:pPr>
        <w:pStyle w:val="Parties"/>
        <w:rPr>
          <w:b/>
          <w:bCs/>
        </w:rPr>
      </w:pPr>
      <w:r>
        <w:rPr>
          <w:b/>
          <w:bCs/>
        </w:rPr>
        <w:t xml:space="preserve">                                                                                                                </w:t>
      </w:r>
    </w:p>
    <w:p w14:paraId="5E86AF28" w14:textId="63EA38A0" w:rsidR="00A524D1" w:rsidRPr="00D10F2C" w:rsidRDefault="001B0CBC" w:rsidP="00A524D1">
      <w:pPr>
        <w:pStyle w:val="Parties"/>
      </w:pPr>
      <w:r w:rsidRPr="00D10F2C">
        <w:rPr>
          <w:b/>
          <w:bCs/>
        </w:rPr>
        <w:t>MPOFU: NOMPUMELELO</w:t>
      </w:r>
      <w:r w:rsidR="00D10F2C">
        <w:rPr>
          <w:b/>
          <w:bCs/>
        </w:rPr>
        <w:t xml:space="preserve">                                                                    </w:t>
      </w:r>
      <w:r w:rsidR="00D10F2C">
        <w:t>2</w:t>
      </w:r>
      <w:r w:rsidR="00D10F2C" w:rsidRPr="00D10F2C">
        <w:rPr>
          <w:vertAlign w:val="superscript"/>
        </w:rPr>
        <w:t>nd</w:t>
      </w:r>
      <w:r w:rsidR="00D10F2C">
        <w:t xml:space="preserve"> Appellant</w:t>
      </w:r>
    </w:p>
    <w:p w14:paraId="2C831303" w14:textId="77777777" w:rsidR="001B0CBC" w:rsidRDefault="001B0CBC" w:rsidP="00A524D1">
      <w:pPr>
        <w:pStyle w:val="Parties"/>
      </w:pPr>
    </w:p>
    <w:p w14:paraId="4B01FCDE" w14:textId="149942F5" w:rsidR="001B0CBC" w:rsidRPr="00D10F2C" w:rsidRDefault="001B0CBC" w:rsidP="00A524D1">
      <w:pPr>
        <w:pStyle w:val="Parties"/>
      </w:pPr>
      <w:r w:rsidRPr="00D10F2C">
        <w:rPr>
          <w:b/>
          <w:bCs/>
        </w:rPr>
        <w:t>MATSHEGO: BADISA</w:t>
      </w:r>
      <w:r w:rsidR="00D10F2C">
        <w:rPr>
          <w:b/>
          <w:bCs/>
        </w:rPr>
        <w:t xml:space="preserve">                                                                           </w:t>
      </w:r>
      <w:r w:rsidR="00D10F2C" w:rsidRPr="00D10F2C">
        <w:t>3</w:t>
      </w:r>
      <w:r w:rsidR="00D10F2C" w:rsidRPr="00D10F2C">
        <w:rPr>
          <w:vertAlign w:val="superscript"/>
        </w:rPr>
        <w:t>rd</w:t>
      </w:r>
      <w:r w:rsidR="00D10F2C" w:rsidRPr="00D10F2C">
        <w:t xml:space="preserve"> Appellant</w:t>
      </w:r>
    </w:p>
    <w:p w14:paraId="6ABD8B05" w14:textId="77777777" w:rsidR="001B0CBC" w:rsidRDefault="001B0CBC" w:rsidP="00A524D1">
      <w:pPr>
        <w:pStyle w:val="Parties"/>
      </w:pPr>
    </w:p>
    <w:p w14:paraId="6D0EB3B6" w14:textId="16EBE1C5" w:rsidR="001B0CBC" w:rsidRPr="00D10F2C" w:rsidRDefault="001B0CBC" w:rsidP="00A524D1">
      <w:pPr>
        <w:pStyle w:val="Parties"/>
        <w:rPr>
          <w:b/>
          <w:bCs/>
        </w:rPr>
      </w:pPr>
      <w:r w:rsidRPr="00D10F2C">
        <w:rPr>
          <w:b/>
          <w:bCs/>
        </w:rPr>
        <w:t>MBOMVU: BONGIWE</w:t>
      </w:r>
      <w:r w:rsidR="00D10F2C">
        <w:rPr>
          <w:b/>
          <w:bCs/>
        </w:rPr>
        <w:t xml:space="preserve">                                                                            </w:t>
      </w:r>
      <w:r w:rsidR="00D10F2C" w:rsidRPr="00D10F2C">
        <w:t>4</w:t>
      </w:r>
      <w:r w:rsidR="00D10F2C" w:rsidRPr="00D10F2C">
        <w:rPr>
          <w:vertAlign w:val="superscript"/>
        </w:rPr>
        <w:t>th</w:t>
      </w:r>
      <w:r w:rsidR="00D10F2C" w:rsidRPr="00D10F2C">
        <w:t xml:space="preserve"> Appellant</w:t>
      </w:r>
    </w:p>
    <w:p w14:paraId="702EBE34" w14:textId="77777777" w:rsidR="00D10F2C" w:rsidRDefault="00D10F2C" w:rsidP="00BB3A62">
      <w:pPr>
        <w:pStyle w:val="Parties"/>
        <w:tabs>
          <w:tab w:val="clear" w:pos="8732"/>
          <w:tab w:val="left" w:pos="5525"/>
        </w:tabs>
      </w:pPr>
    </w:p>
    <w:p w14:paraId="6FFA690B" w14:textId="7089C3F0" w:rsidR="00A524D1" w:rsidRPr="009624B9" w:rsidRDefault="00A524D1" w:rsidP="00BB3A62">
      <w:pPr>
        <w:pStyle w:val="Parties"/>
        <w:tabs>
          <w:tab w:val="clear" w:pos="8732"/>
          <w:tab w:val="left" w:pos="5525"/>
        </w:tabs>
      </w:pPr>
      <w:r w:rsidRPr="009624B9">
        <w:t>and</w:t>
      </w:r>
      <w:r w:rsidR="00BB3A62" w:rsidRPr="009624B9">
        <w:tab/>
      </w:r>
    </w:p>
    <w:p w14:paraId="3F122AEE" w14:textId="77777777" w:rsidR="00A524D1" w:rsidRPr="009624B9" w:rsidRDefault="00A524D1" w:rsidP="00A524D1">
      <w:pPr>
        <w:pStyle w:val="Parties"/>
      </w:pPr>
    </w:p>
    <w:p w14:paraId="3705B61E" w14:textId="5AA69E17" w:rsidR="00A524D1" w:rsidRDefault="00D10F2C" w:rsidP="00A524D1">
      <w:pPr>
        <w:pStyle w:val="Parties"/>
      </w:pPr>
      <w:r>
        <w:rPr>
          <w:b/>
          <w:bCs/>
        </w:rPr>
        <w:t xml:space="preserve">CT MED AND TRAUMA (PTY) LTD t/a CAPE MEDICS                 </w:t>
      </w:r>
      <w:r>
        <w:t xml:space="preserve">        </w:t>
      </w:r>
      <w:r w:rsidR="00A524D1" w:rsidRPr="009624B9">
        <w:t>Respondent</w:t>
      </w:r>
    </w:p>
    <w:p w14:paraId="71286594" w14:textId="77777777" w:rsidR="009624B9" w:rsidRDefault="009624B9" w:rsidP="00A524D1">
      <w:pPr>
        <w:pStyle w:val="Parties"/>
      </w:pPr>
    </w:p>
    <w:p w14:paraId="13B22723" w14:textId="77777777" w:rsidR="005F0E0A" w:rsidRDefault="005F0E0A" w:rsidP="00A524D1">
      <w:pPr>
        <w:pStyle w:val="Parties"/>
        <w:rPr>
          <w:b/>
          <w:bCs/>
        </w:rPr>
      </w:pPr>
    </w:p>
    <w:p w14:paraId="1AA969F2" w14:textId="57971AD6" w:rsidR="009624B9" w:rsidRDefault="0084213C" w:rsidP="00A524D1">
      <w:pPr>
        <w:pStyle w:val="Parties"/>
        <w:rPr>
          <w:b/>
          <w:bCs/>
        </w:rPr>
      </w:pPr>
      <w:r>
        <w:rPr>
          <w:b/>
          <w:bCs/>
        </w:rPr>
        <w:t>Heard</w:t>
      </w:r>
      <w:r w:rsidR="0012673A">
        <w:rPr>
          <w:b/>
          <w:bCs/>
        </w:rPr>
        <w:t>:</w:t>
      </w:r>
      <w:r w:rsidR="005F0E0A">
        <w:rPr>
          <w:b/>
          <w:bCs/>
        </w:rPr>
        <w:t xml:space="preserve"> </w:t>
      </w:r>
      <w:r w:rsidR="005A0CC4" w:rsidRPr="005A0CC4">
        <w:t>19 April 2023</w:t>
      </w:r>
    </w:p>
    <w:p w14:paraId="6F1A6E09" w14:textId="77777777" w:rsidR="0012673A" w:rsidRDefault="0012673A" w:rsidP="00A524D1">
      <w:pPr>
        <w:pStyle w:val="Parties"/>
        <w:rPr>
          <w:b/>
          <w:bCs/>
        </w:rPr>
      </w:pPr>
    </w:p>
    <w:p w14:paraId="36BC0F3B" w14:textId="77777777" w:rsidR="00E500E6" w:rsidRDefault="00E500E6" w:rsidP="00A524D1">
      <w:pPr>
        <w:pStyle w:val="Parties"/>
        <w:rPr>
          <w:b/>
          <w:bCs/>
        </w:rPr>
      </w:pPr>
    </w:p>
    <w:p w14:paraId="604294FB" w14:textId="35E32525" w:rsidR="0012673A" w:rsidRPr="005A0CC4" w:rsidRDefault="0012673A" w:rsidP="00A524D1">
      <w:pPr>
        <w:pStyle w:val="Parties"/>
      </w:pPr>
      <w:r>
        <w:rPr>
          <w:b/>
          <w:bCs/>
        </w:rPr>
        <w:lastRenderedPageBreak/>
        <w:t>Delivered:</w:t>
      </w:r>
      <w:r w:rsidR="005A0CC4">
        <w:rPr>
          <w:b/>
          <w:bCs/>
        </w:rPr>
        <w:t xml:space="preserve"> </w:t>
      </w:r>
      <w:r w:rsidR="005A0CC4">
        <w:t xml:space="preserve"> </w:t>
      </w:r>
      <w:r w:rsidR="00E500E6">
        <w:t xml:space="preserve">30 </w:t>
      </w:r>
      <w:r w:rsidR="005A0CC4">
        <w:t>November 2023</w:t>
      </w:r>
    </w:p>
    <w:p w14:paraId="0A14B49E" w14:textId="77777777" w:rsidR="0012673A" w:rsidRDefault="0012673A" w:rsidP="00A524D1">
      <w:pPr>
        <w:pStyle w:val="Parties"/>
        <w:rPr>
          <w:b/>
          <w:bCs/>
        </w:rPr>
      </w:pPr>
    </w:p>
    <w:p w14:paraId="01C7982A" w14:textId="77777777" w:rsidR="00B7538B" w:rsidRDefault="00B7538B" w:rsidP="00A524D1">
      <w:pPr>
        <w:pStyle w:val="Parties"/>
        <w:rPr>
          <w:b/>
          <w:bCs/>
        </w:rPr>
      </w:pPr>
    </w:p>
    <w:p w14:paraId="5FC734A5" w14:textId="5D9394FD" w:rsidR="0012673A" w:rsidRPr="005A0CC4" w:rsidRDefault="0012673A" w:rsidP="00A524D1">
      <w:pPr>
        <w:pStyle w:val="Parties"/>
      </w:pPr>
      <w:r>
        <w:rPr>
          <w:b/>
          <w:bCs/>
        </w:rPr>
        <w:t>Summary:</w:t>
      </w:r>
      <w:r w:rsidR="005A0CC4">
        <w:rPr>
          <w:b/>
          <w:bCs/>
        </w:rPr>
        <w:t xml:space="preserve"> </w:t>
      </w:r>
      <w:r w:rsidR="006138F9">
        <w:t>Contempt of court proceedings - Wilfulness and mala fides</w:t>
      </w:r>
      <w:r w:rsidR="00331F9E">
        <w:t xml:space="preserve"> considered in the context of </w:t>
      </w:r>
      <w:r w:rsidR="005845A4">
        <w:t>an arbitration clause embodied in an agreement made an order of court</w:t>
      </w:r>
      <w:r w:rsidR="00B368DE">
        <w:t xml:space="preserve"> – although stay of proceedings to </w:t>
      </w:r>
      <w:r w:rsidR="00D90DE9">
        <w:t>have the dispute</w:t>
      </w:r>
      <w:r w:rsidR="00EE67AB">
        <w:t>s</w:t>
      </w:r>
      <w:r w:rsidR="00D90DE9">
        <w:t xml:space="preserve"> determined in terms of the arbitration clause not squarely requested, </w:t>
      </w:r>
      <w:r w:rsidR="00B7538B">
        <w:t>court should</w:t>
      </w:r>
      <w:r w:rsidR="00B73C84">
        <w:t xml:space="preserve"> have </w:t>
      </w:r>
      <w:r w:rsidR="00B7538B">
        <w:t xml:space="preserve">had </w:t>
      </w:r>
      <w:r w:rsidR="00B73C84">
        <w:t xml:space="preserve">regard to it for purposes of assessing </w:t>
      </w:r>
      <w:r w:rsidR="00186FBA">
        <w:t>wilfulness and mala fides</w:t>
      </w:r>
      <w:r w:rsidR="00B7538B">
        <w:t xml:space="preserve"> in the context of this case as contemnor relied upon such clause albeit for a different purpose i.e. that it constituted a bar per se</w:t>
      </w:r>
      <w:r w:rsidR="00186FBA">
        <w:t>.</w:t>
      </w:r>
    </w:p>
    <w:p w14:paraId="70522262" w14:textId="77777777" w:rsidR="00A524D1" w:rsidRPr="009624B9" w:rsidRDefault="00A524D1" w:rsidP="00A524D1">
      <w:pPr>
        <w:pStyle w:val="Parties"/>
      </w:pPr>
    </w:p>
    <w:p w14:paraId="3BC9FE97" w14:textId="4DBA2D9A" w:rsidR="002A04A6" w:rsidRDefault="002A04A6" w:rsidP="00DA1EC5">
      <w:pPr>
        <w:rPr>
          <w:color w:val="000000"/>
          <w:shd w:val="clear" w:color="auto" w:fill="FFFFFF"/>
        </w:rPr>
      </w:pPr>
    </w:p>
    <w:p w14:paraId="4F733C44" w14:textId="77777777" w:rsidR="002A04A6" w:rsidRDefault="002A04A6" w:rsidP="00DA1EC5">
      <w:pPr>
        <w:rPr>
          <w:color w:val="000000"/>
          <w:shd w:val="clear" w:color="auto" w:fill="FFFFFF"/>
        </w:rPr>
      </w:pPr>
    </w:p>
    <w:p w14:paraId="6E84BD7C" w14:textId="5E8A1894" w:rsidR="0012673A" w:rsidRDefault="002F29C0" w:rsidP="00DA1EC5">
      <w:pPr>
        <w:rPr>
          <w:b/>
          <w:bCs/>
          <w:color w:val="000000"/>
          <w:shd w:val="clear" w:color="auto" w:fill="FFFFFF"/>
        </w:rPr>
      </w:pPr>
      <w:r>
        <w:rPr>
          <w:color w:val="000000"/>
          <w:shd w:val="clear" w:color="auto" w:fill="FFFFFF"/>
        </w:rPr>
        <w:t xml:space="preserve">                                               </w:t>
      </w:r>
      <w:r w:rsidR="00B0559D">
        <w:rPr>
          <w:color w:val="000000"/>
          <w:shd w:val="clear" w:color="auto" w:fill="FFFFFF"/>
        </w:rPr>
        <w:t xml:space="preserve">             </w:t>
      </w:r>
      <w:r w:rsidRPr="00B0559D">
        <w:rPr>
          <w:b/>
          <w:bCs/>
          <w:color w:val="000000"/>
          <w:shd w:val="clear" w:color="auto" w:fill="FFFFFF"/>
        </w:rPr>
        <w:t>ORDER</w:t>
      </w:r>
    </w:p>
    <w:p w14:paraId="0DECF17A" w14:textId="77777777" w:rsidR="002A04A6" w:rsidRPr="00B0559D" w:rsidRDefault="002A04A6" w:rsidP="00DA1EC5">
      <w:pPr>
        <w:rPr>
          <w:b/>
          <w:bCs/>
          <w:color w:val="000000"/>
          <w:shd w:val="clear" w:color="auto" w:fill="FFFFFF"/>
        </w:rPr>
      </w:pPr>
    </w:p>
    <w:p w14:paraId="5A6DF24B" w14:textId="77777777" w:rsidR="002F29C0" w:rsidRDefault="002F29C0" w:rsidP="00DA1EC5">
      <w:pPr>
        <w:rPr>
          <w:color w:val="000000"/>
          <w:shd w:val="clear" w:color="auto" w:fill="FFFFFF"/>
        </w:rPr>
      </w:pPr>
    </w:p>
    <w:p w14:paraId="43621632" w14:textId="6969EFF9" w:rsidR="002F29C0" w:rsidRPr="002A04A6" w:rsidRDefault="002F29C0" w:rsidP="00DA1EC5">
      <w:pPr>
        <w:rPr>
          <w:color w:val="000000"/>
          <w:shd w:val="clear" w:color="auto" w:fill="FFFFFF"/>
        </w:rPr>
      </w:pPr>
      <w:r w:rsidRPr="002A04A6">
        <w:rPr>
          <w:color w:val="000000"/>
          <w:shd w:val="clear" w:color="auto" w:fill="FFFFFF"/>
        </w:rPr>
        <w:t>On appeal from: Gauteng Division of the High Court, Johannesburg (Cr</w:t>
      </w:r>
      <w:r w:rsidR="00B0559D" w:rsidRPr="002A04A6">
        <w:rPr>
          <w:color w:val="000000"/>
          <w:shd w:val="clear" w:color="auto" w:fill="FFFFFF"/>
        </w:rPr>
        <w:t>utchfield AJ):</w:t>
      </w:r>
    </w:p>
    <w:p w14:paraId="154D4D66" w14:textId="77777777" w:rsidR="00E60B36" w:rsidRPr="002A04A6" w:rsidRDefault="00E60B36" w:rsidP="00DA1EC5">
      <w:pPr>
        <w:rPr>
          <w:color w:val="000000"/>
          <w:shd w:val="clear" w:color="auto" w:fill="FFFFFF"/>
        </w:rPr>
      </w:pPr>
    </w:p>
    <w:p w14:paraId="3A3F6FC4" w14:textId="75F9EABD" w:rsidR="00E60B36" w:rsidRPr="002A04A6" w:rsidRDefault="004832B9" w:rsidP="004832B9">
      <w:pPr>
        <w:pStyle w:val="2"/>
        <w:numPr>
          <w:ilvl w:val="0"/>
          <w:numId w:val="0"/>
        </w:numPr>
        <w:tabs>
          <w:tab w:val="left" w:pos="2268"/>
        </w:tabs>
        <w:ind w:left="1134" w:hanging="567"/>
        <w:rPr>
          <w:szCs w:val="24"/>
        </w:rPr>
      </w:pPr>
      <w:r w:rsidRPr="002A04A6">
        <w:rPr>
          <w:szCs w:val="24"/>
        </w:rPr>
        <w:t>(a)</w:t>
      </w:r>
      <w:r w:rsidRPr="002A04A6">
        <w:rPr>
          <w:szCs w:val="24"/>
        </w:rPr>
        <w:tab/>
      </w:r>
      <w:r w:rsidR="00E60B36" w:rsidRPr="002A04A6">
        <w:rPr>
          <w:szCs w:val="24"/>
        </w:rPr>
        <w:t>The appeal is upheld with each party to pay their own costs.</w:t>
      </w:r>
    </w:p>
    <w:p w14:paraId="2EAF7318" w14:textId="70D6A80D" w:rsidR="00E60B36" w:rsidRPr="002A04A6" w:rsidRDefault="004832B9" w:rsidP="004832B9">
      <w:pPr>
        <w:pStyle w:val="2"/>
        <w:numPr>
          <w:ilvl w:val="0"/>
          <w:numId w:val="0"/>
        </w:numPr>
        <w:tabs>
          <w:tab w:val="left" w:pos="2268"/>
        </w:tabs>
        <w:ind w:left="1134" w:hanging="567"/>
        <w:rPr>
          <w:szCs w:val="24"/>
        </w:rPr>
      </w:pPr>
      <w:r w:rsidRPr="002A04A6">
        <w:rPr>
          <w:szCs w:val="24"/>
        </w:rPr>
        <w:t>(b)</w:t>
      </w:r>
      <w:r w:rsidRPr="002A04A6">
        <w:rPr>
          <w:szCs w:val="24"/>
        </w:rPr>
        <w:tab/>
      </w:r>
      <w:r w:rsidR="00E60B36" w:rsidRPr="002A04A6">
        <w:rPr>
          <w:szCs w:val="24"/>
        </w:rPr>
        <w:t xml:space="preserve">The order of the court </w:t>
      </w:r>
      <w:r w:rsidR="00E60B36" w:rsidRPr="002A04A6">
        <w:rPr>
          <w:i/>
          <w:iCs w:val="0"/>
          <w:szCs w:val="24"/>
        </w:rPr>
        <w:t>a quo</w:t>
      </w:r>
      <w:r w:rsidR="00E60B36" w:rsidRPr="002A04A6">
        <w:rPr>
          <w:szCs w:val="24"/>
        </w:rPr>
        <w:t xml:space="preserve"> is set aside and replaced with the following:</w:t>
      </w:r>
    </w:p>
    <w:p w14:paraId="1BDF1EBC" w14:textId="77777777" w:rsidR="00E60B36" w:rsidRPr="002A04A6" w:rsidRDefault="00E60B36" w:rsidP="00E60B36">
      <w:pPr>
        <w:pStyle w:val="2"/>
        <w:numPr>
          <w:ilvl w:val="0"/>
          <w:numId w:val="0"/>
        </w:numPr>
        <w:ind w:left="1134"/>
        <w:rPr>
          <w:szCs w:val="24"/>
        </w:rPr>
      </w:pPr>
      <w:r w:rsidRPr="002A04A6">
        <w:rPr>
          <w:szCs w:val="24"/>
        </w:rPr>
        <w:t>‘The application is dismissed. Each party is to pay their own costs.’</w:t>
      </w:r>
    </w:p>
    <w:p w14:paraId="5E7143B5" w14:textId="77777777" w:rsidR="00E60B36" w:rsidRPr="002A04A6" w:rsidRDefault="00E60B36" w:rsidP="00DA1EC5">
      <w:pPr>
        <w:rPr>
          <w:color w:val="000000"/>
          <w:shd w:val="clear" w:color="auto" w:fill="FFFFFF"/>
        </w:rPr>
      </w:pPr>
    </w:p>
    <w:p w14:paraId="155087C1" w14:textId="77777777" w:rsidR="005F0E0A" w:rsidRDefault="005F0E0A" w:rsidP="005F0E0A">
      <w:pPr>
        <w:rPr>
          <w:sz w:val="22"/>
          <w:szCs w:val="22"/>
          <w:shd w:val="clear" w:color="auto" w:fill="FFFFFF"/>
        </w:rPr>
      </w:pPr>
    </w:p>
    <w:p w14:paraId="4B90D0BC" w14:textId="5F0ACDB9" w:rsidR="00246913" w:rsidRPr="00246913" w:rsidRDefault="00246913" w:rsidP="005F0E0A">
      <w:pPr>
        <w:rPr>
          <w:color w:val="000000"/>
          <w:sz w:val="22"/>
          <w:szCs w:val="22"/>
          <w:shd w:val="clear" w:color="auto" w:fill="FFFFFF"/>
        </w:rPr>
      </w:pPr>
      <w:r w:rsidRPr="00246913">
        <w:rPr>
          <w:sz w:val="22"/>
          <w:szCs w:val="22"/>
          <w:shd w:val="clear" w:color="auto" w:fill="FFFFFF"/>
        </w:rPr>
        <w:t>This judgment was handed down electronically by circulation to the parties’ legal representatives by email. The date and time for hand-down is deemed to be</w:t>
      </w:r>
      <w:r w:rsidR="00E500E6">
        <w:rPr>
          <w:sz w:val="22"/>
          <w:szCs w:val="22"/>
          <w:shd w:val="clear" w:color="auto" w:fill="FFFFFF"/>
        </w:rPr>
        <w:t xml:space="preserve"> 30</w:t>
      </w:r>
      <w:r w:rsidRPr="00246913">
        <w:rPr>
          <w:sz w:val="22"/>
          <w:szCs w:val="22"/>
          <w:shd w:val="clear" w:color="auto" w:fill="FFFFFF"/>
        </w:rPr>
        <w:t xml:space="preserve"> November </w:t>
      </w:r>
      <w:r w:rsidRPr="00246913">
        <w:rPr>
          <w:color w:val="000000"/>
          <w:sz w:val="22"/>
          <w:szCs w:val="22"/>
          <w:shd w:val="clear" w:color="auto" w:fill="FFFFFF"/>
        </w:rPr>
        <w:t>2023.</w:t>
      </w:r>
    </w:p>
    <w:p w14:paraId="3AB12CD3" w14:textId="77777777" w:rsidR="00B0559D" w:rsidRPr="002A04A6" w:rsidRDefault="00B0559D" w:rsidP="00DA1EC5"/>
    <w:p w14:paraId="4C40B984" w14:textId="77777777" w:rsidR="006D7F36" w:rsidRPr="009624B9" w:rsidRDefault="00CC22D8" w:rsidP="00573270">
      <w:pPr>
        <w:pStyle w:val="Parties"/>
        <w:tabs>
          <w:tab w:val="center" w:pos="4111"/>
        </w:tabs>
      </w:pPr>
      <w:r w:rsidRPr="009624B9">
        <w:tab/>
      </w:r>
    </w:p>
    <w:p w14:paraId="6A19D9A3" w14:textId="77777777" w:rsidR="00927518" w:rsidRPr="009624B9" w:rsidRDefault="002A4D60" w:rsidP="00DA1EC5">
      <w:pPr>
        <w:pStyle w:val="TramLines"/>
      </w:pPr>
      <w:r w:rsidRPr="009624B9">
        <w:t>JUDGMENT</w:t>
      </w:r>
    </w:p>
    <w:p w14:paraId="7CBF3680" w14:textId="77777777" w:rsidR="00CC22D8" w:rsidRPr="009624B9" w:rsidRDefault="00CC22D8" w:rsidP="00CC22D8"/>
    <w:p w14:paraId="2321ED59" w14:textId="0396251E" w:rsidR="006E45F7" w:rsidRDefault="00827607" w:rsidP="00CC22D8">
      <w:pPr>
        <w:rPr>
          <w:b/>
          <w:bCs/>
        </w:rPr>
      </w:pPr>
      <w:r>
        <w:rPr>
          <w:b/>
          <w:bCs/>
        </w:rPr>
        <w:t>I</w:t>
      </w:r>
      <w:r w:rsidR="009C3C4D">
        <w:rPr>
          <w:b/>
          <w:bCs/>
        </w:rPr>
        <w:t>ngrid Opperman</w:t>
      </w:r>
      <w:r>
        <w:rPr>
          <w:b/>
          <w:bCs/>
        </w:rPr>
        <w:t xml:space="preserve"> J</w:t>
      </w:r>
      <w:r w:rsidR="009C3C4D">
        <w:rPr>
          <w:b/>
          <w:bCs/>
        </w:rPr>
        <w:t xml:space="preserve"> (Copp</w:t>
      </w:r>
      <w:r w:rsidR="007B5E17">
        <w:rPr>
          <w:b/>
          <w:bCs/>
        </w:rPr>
        <w:t>i</w:t>
      </w:r>
      <w:r w:rsidR="009C3C4D">
        <w:rPr>
          <w:b/>
          <w:bCs/>
        </w:rPr>
        <w:t>n</w:t>
      </w:r>
      <w:r w:rsidR="00775D48">
        <w:rPr>
          <w:b/>
          <w:bCs/>
        </w:rPr>
        <w:t xml:space="preserve"> and Dippenaar</w:t>
      </w:r>
      <w:r w:rsidR="00B512E4">
        <w:rPr>
          <w:b/>
          <w:bCs/>
        </w:rPr>
        <w:t xml:space="preserve"> JJ concurring)</w:t>
      </w:r>
    </w:p>
    <w:p w14:paraId="7EFC5F42" w14:textId="77777777" w:rsidR="001537AF" w:rsidRDefault="001537AF" w:rsidP="00CC22D8">
      <w:pPr>
        <w:rPr>
          <w:b/>
          <w:bCs/>
        </w:rPr>
      </w:pPr>
    </w:p>
    <w:p w14:paraId="64424293" w14:textId="77777777" w:rsidR="006C226C" w:rsidRDefault="006C226C" w:rsidP="00CC22D8">
      <w:pPr>
        <w:rPr>
          <w:b/>
          <w:bCs/>
          <w:u w:val="single"/>
        </w:rPr>
      </w:pPr>
    </w:p>
    <w:p w14:paraId="3F8EC0FF" w14:textId="2F4AD10A" w:rsidR="001537AF" w:rsidRDefault="001537AF" w:rsidP="00CC22D8">
      <w:pPr>
        <w:rPr>
          <w:b/>
          <w:bCs/>
          <w:u w:val="single"/>
        </w:rPr>
      </w:pPr>
      <w:r w:rsidRPr="001537AF">
        <w:rPr>
          <w:b/>
          <w:bCs/>
          <w:u w:val="single"/>
        </w:rPr>
        <w:t>Introduction</w:t>
      </w:r>
    </w:p>
    <w:p w14:paraId="7F8D840A" w14:textId="77777777" w:rsidR="001537AF" w:rsidRPr="001537AF" w:rsidRDefault="001537AF" w:rsidP="00CC22D8">
      <w:pPr>
        <w:rPr>
          <w:b/>
          <w:u w:val="single"/>
        </w:rPr>
      </w:pPr>
    </w:p>
    <w:p w14:paraId="0819AA9E" w14:textId="31F721C1" w:rsidR="00A34C7F" w:rsidRDefault="004832B9" w:rsidP="004832B9">
      <w:pPr>
        <w:pStyle w:val="1"/>
        <w:numPr>
          <w:ilvl w:val="0"/>
          <w:numId w:val="0"/>
        </w:numPr>
        <w:tabs>
          <w:tab w:val="left" w:pos="567"/>
        </w:tabs>
      </w:pPr>
      <w:r>
        <w:t>[2]</w:t>
      </w:r>
      <w:r>
        <w:tab/>
      </w:r>
      <w:r w:rsidR="00B6012E">
        <w:t>The Airports Company South Africa</w:t>
      </w:r>
      <w:r w:rsidR="00190021">
        <w:t xml:space="preserve"> Soc Limited</w:t>
      </w:r>
      <w:r w:rsidR="00B6012E">
        <w:t xml:space="preserve"> (</w:t>
      </w:r>
      <w:r w:rsidR="00B6012E" w:rsidRPr="001537AF">
        <w:rPr>
          <w:i/>
          <w:iCs w:val="0"/>
        </w:rPr>
        <w:t>ACSA</w:t>
      </w:r>
      <w:r w:rsidR="00B6012E">
        <w:t>)</w:t>
      </w:r>
      <w:r w:rsidR="002E796A">
        <w:t xml:space="preserve"> and its responsible executives</w:t>
      </w:r>
      <w:r w:rsidR="0073224D">
        <w:t xml:space="preserve">, </w:t>
      </w:r>
      <w:r w:rsidR="002E796A">
        <w:t>the se</w:t>
      </w:r>
      <w:r w:rsidR="0073224D">
        <w:t>c</w:t>
      </w:r>
      <w:r w:rsidR="002E796A">
        <w:t>ond, third and fourth</w:t>
      </w:r>
      <w:r w:rsidR="0073224D">
        <w:t xml:space="preserve"> appellants, were </w:t>
      </w:r>
      <w:r w:rsidR="004A581D">
        <w:t>held in contempt of an Order of Court</w:t>
      </w:r>
      <w:r w:rsidR="000E308F">
        <w:t xml:space="preserve"> issued on 10 June 2020 (</w:t>
      </w:r>
      <w:r w:rsidR="000E308F" w:rsidRPr="001537AF">
        <w:rPr>
          <w:i/>
          <w:iCs w:val="0"/>
        </w:rPr>
        <w:t>the Court Order</w:t>
      </w:r>
      <w:r w:rsidR="000E308F">
        <w:t>)</w:t>
      </w:r>
      <w:r w:rsidR="00BD30DA">
        <w:t xml:space="preserve">. The Court Order incorporated a </w:t>
      </w:r>
      <w:r w:rsidR="000E308F">
        <w:t xml:space="preserve">written </w:t>
      </w:r>
      <w:r w:rsidR="00E81B1F">
        <w:t xml:space="preserve">settlement agreement </w:t>
      </w:r>
      <w:r w:rsidR="00BD30DA">
        <w:t xml:space="preserve">that had been </w:t>
      </w:r>
      <w:r w:rsidR="00E81B1F">
        <w:t xml:space="preserve">entered into between ACSA and the </w:t>
      </w:r>
      <w:r w:rsidR="00E81B1F">
        <w:lastRenderedPageBreak/>
        <w:t>respondent (</w:t>
      </w:r>
      <w:r w:rsidR="00E81B1F" w:rsidRPr="001537AF">
        <w:rPr>
          <w:i/>
          <w:iCs w:val="0"/>
        </w:rPr>
        <w:t>Cape Medics</w:t>
      </w:r>
      <w:r w:rsidR="00E81B1F">
        <w:t>)</w:t>
      </w:r>
      <w:r w:rsidR="004D2078">
        <w:t>,</w:t>
      </w:r>
      <w:r w:rsidR="00BD30DA">
        <w:t xml:space="preserve"> which settlement agreement made provision for the </w:t>
      </w:r>
      <w:r w:rsidR="0085318B">
        <w:t xml:space="preserve">settlement </w:t>
      </w:r>
      <w:r w:rsidR="00BD30DA">
        <w:t>agreement itself to be made an order of court</w:t>
      </w:r>
      <w:r w:rsidR="00E87C8F">
        <w:t>.</w:t>
      </w:r>
      <w:r w:rsidR="00D0716C">
        <w:t xml:space="preserve"> The Court Order</w:t>
      </w:r>
      <w:r w:rsidR="008D52E6">
        <w:t xml:space="preserve"> and </w:t>
      </w:r>
      <w:r w:rsidR="002861E8">
        <w:t>ACSA</w:t>
      </w:r>
      <w:r w:rsidR="00BD30DA">
        <w:t>’s knowledge thereof</w:t>
      </w:r>
      <w:r w:rsidR="002861E8">
        <w:t xml:space="preserve"> </w:t>
      </w:r>
      <w:r w:rsidR="008D52E6">
        <w:t xml:space="preserve">are </w:t>
      </w:r>
      <w:r w:rsidR="00E70FFE">
        <w:t>common cause</w:t>
      </w:r>
      <w:r w:rsidR="00C9383E">
        <w:t xml:space="preserve"> in this appeal. </w:t>
      </w:r>
      <w:r w:rsidR="00D8612B">
        <w:t>The issue is whether ACSA failed to discharge the evidential burden in relation to wil</w:t>
      </w:r>
      <w:r w:rsidR="00A53684">
        <w:t xml:space="preserve">fulness and </w:t>
      </w:r>
      <w:r w:rsidR="00A53684" w:rsidRPr="001537AF">
        <w:rPr>
          <w:i/>
          <w:iCs w:val="0"/>
        </w:rPr>
        <w:t>mala fides</w:t>
      </w:r>
      <w:r w:rsidR="00A53684">
        <w:rPr>
          <w:rStyle w:val="FootnoteReference"/>
          <w:i/>
          <w:iCs w:val="0"/>
        </w:rPr>
        <w:footnoteReference w:id="1"/>
      </w:r>
      <w:r w:rsidR="00A53684">
        <w:t>.</w:t>
      </w:r>
      <w:r w:rsidR="00B2062F">
        <w:t xml:space="preserve"> </w:t>
      </w:r>
    </w:p>
    <w:p w14:paraId="432B49B9" w14:textId="6A008B91" w:rsidR="001F187E" w:rsidRPr="00E500E6" w:rsidRDefault="004832B9" w:rsidP="004832B9">
      <w:pPr>
        <w:pStyle w:val="1"/>
        <w:numPr>
          <w:ilvl w:val="0"/>
          <w:numId w:val="0"/>
        </w:numPr>
        <w:tabs>
          <w:tab w:val="left" w:pos="567"/>
        </w:tabs>
      </w:pPr>
      <w:r w:rsidRPr="00E500E6">
        <w:t>[3]</w:t>
      </w:r>
      <w:r w:rsidRPr="00E500E6">
        <w:tab/>
      </w:r>
      <w:r w:rsidR="00C7595E">
        <w:t>Before exploring this</w:t>
      </w:r>
      <w:r w:rsidR="00B7538B">
        <w:t xml:space="preserve"> </w:t>
      </w:r>
      <w:r w:rsidR="00BD30DA">
        <w:t xml:space="preserve">question I need to unpack </w:t>
      </w:r>
      <w:r w:rsidR="00C7595E">
        <w:t>t</w:t>
      </w:r>
      <w:r w:rsidR="006275B7">
        <w:t xml:space="preserve">he </w:t>
      </w:r>
      <w:r w:rsidR="007860F1">
        <w:t xml:space="preserve">dispute </w:t>
      </w:r>
      <w:r w:rsidR="006275B7">
        <w:t xml:space="preserve">which culminated in the </w:t>
      </w:r>
      <w:r w:rsidR="00ED6D1C">
        <w:t>conclusion of the</w:t>
      </w:r>
      <w:r w:rsidR="00746A5A">
        <w:t xml:space="preserve"> </w:t>
      </w:r>
      <w:r w:rsidR="006275B7">
        <w:t>settlement agreement</w:t>
      </w:r>
      <w:r w:rsidR="00BD30DA">
        <w:t>.</w:t>
      </w:r>
    </w:p>
    <w:p w14:paraId="2406A8C0" w14:textId="77777777" w:rsidR="006C226C" w:rsidRDefault="006C226C" w:rsidP="001F03FC">
      <w:pPr>
        <w:pStyle w:val="1"/>
        <w:numPr>
          <w:ilvl w:val="0"/>
          <w:numId w:val="0"/>
        </w:numPr>
        <w:rPr>
          <w:b/>
          <w:bCs/>
          <w:u w:val="single"/>
        </w:rPr>
      </w:pPr>
    </w:p>
    <w:p w14:paraId="20E032CA" w14:textId="3F6BC238" w:rsidR="005F3112" w:rsidRPr="001F03FC" w:rsidRDefault="007205DA" w:rsidP="001F03FC">
      <w:pPr>
        <w:pStyle w:val="1"/>
        <w:numPr>
          <w:ilvl w:val="0"/>
          <w:numId w:val="0"/>
        </w:numPr>
        <w:rPr>
          <w:b/>
          <w:bCs/>
          <w:u w:val="single"/>
        </w:rPr>
      </w:pPr>
      <w:r w:rsidRPr="001F03FC">
        <w:rPr>
          <w:b/>
          <w:bCs/>
          <w:u w:val="single"/>
        </w:rPr>
        <w:t xml:space="preserve">The facts underpinning the </w:t>
      </w:r>
      <w:r w:rsidR="001F03FC" w:rsidRPr="001F03FC">
        <w:rPr>
          <w:b/>
          <w:bCs/>
          <w:u w:val="single"/>
        </w:rPr>
        <w:t xml:space="preserve">contractual </w:t>
      </w:r>
      <w:r w:rsidRPr="001F03FC">
        <w:rPr>
          <w:b/>
          <w:bCs/>
          <w:u w:val="single"/>
        </w:rPr>
        <w:t>relationship between ACSA and Cape Medics</w:t>
      </w:r>
    </w:p>
    <w:p w14:paraId="100CBDD9" w14:textId="041D1022" w:rsidR="005E75DF" w:rsidRDefault="004832B9" w:rsidP="004832B9">
      <w:pPr>
        <w:pStyle w:val="1"/>
        <w:numPr>
          <w:ilvl w:val="0"/>
          <w:numId w:val="0"/>
        </w:numPr>
        <w:tabs>
          <w:tab w:val="left" w:pos="567"/>
        </w:tabs>
      </w:pPr>
      <w:r>
        <w:t>[4]</w:t>
      </w:r>
      <w:r>
        <w:tab/>
      </w:r>
      <w:r w:rsidR="00711BB5" w:rsidRPr="00711BB5">
        <w:t xml:space="preserve">In terms of the Airports Company Act 44 of 1993, ACSA is the organ of state responsible for the maintenance, management, control and operations of airports in South Africa. The three airports </w:t>
      </w:r>
      <w:r w:rsidR="007860F1">
        <w:t xml:space="preserve">implicated in </w:t>
      </w:r>
      <w:r w:rsidR="00711BB5" w:rsidRPr="00711BB5">
        <w:t>the present app</w:t>
      </w:r>
      <w:r w:rsidR="0052029A">
        <w:t>eal</w:t>
      </w:r>
      <w:r w:rsidR="00711BB5" w:rsidRPr="00711BB5">
        <w:t xml:space="preserve"> are OR Tambo International Airport (</w:t>
      </w:r>
      <w:r w:rsidR="00711BB5" w:rsidRPr="00F0122A">
        <w:rPr>
          <w:i/>
          <w:iCs w:val="0"/>
        </w:rPr>
        <w:t>ORTIA</w:t>
      </w:r>
      <w:r w:rsidR="00711BB5" w:rsidRPr="00711BB5">
        <w:t xml:space="preserve">) </w:t>
      </w:r>
      <w:r w:rsidR="007860F1">
        <w:t xml:space="preserve">in Johannesburg, </w:t>
      </w:r>
      <w:r w:rsidR="00711BB5" w:rsidRPr="00711BB5">
        <w:t>Cape Town International Airport (</w:t>
      </w:r>
      <w:r w:rsidR="00711BB5" w:rsidRPr="00F0122A">
        <w:rPr>
          <w:i/>
          <w:iCs w:val="0"/>
        </w:rPr>
        <w:t>CTIA</w:t>
      </w:r>
      <w:r w:rsidR="00711BB5" w:rsidRPr="00711BB5">
        <w:t>) and King Shaka International Airport (</w:t>
      </w:r>
      <w:r w:rsidR="00711BB5" w:rsidRPr="00F0122A">
        <w:rPr>
          <w:i/>
          <w:iCs w:val="0"/>
        </w:rPr>
        <w:t>KSIA</w:t>
      </w:r>
      <w:r w:rsidR="00711BB5" w:rsidRPr="00711BB5">
        <w:t>)</w:t>
      </w:r>
      <w:r w:rsidR="007860F1">
        <w:t xml:space="preserve"> in Durban, </w:t>
      </w:r>
      <w:r w:rsidR="005E75DF">
        <w:t>(</w:t>
      </w:r>
      <w:r w:rsidR="00711BB5" w:rsidRPr="00711BB5">
        <w:t xml:space="preserve">collectively </w:t>
      </w:r>
      <w:r w:rsidR="00D84270">
        <w:t>‘</w:t>
      </w:r>
      <w:r w:rsidR="005E75DF" w:rsidRPr="005E75DF">
        <w:rPr>
          <w:i/>
          <w:iCs w:val="0"/>
        </w:rPr>
        <w:t>t</w:t>
      </w:r>
      <w:r w:rsidR="00711BB5" w:rsidRPr="005E75DF">
        <w:rPr>
          <w:i/>
          <w:iCs w:val="0"/>
        </w:rPr>
        <w:t>he airports</w:t>
      </w:r>
      <w:r w:rsidR="00D84270">
        <w:rPr>
          <w:i/>
          <w:iCs w:val="0"/>
        </w:rPr>
        <w:t>’</w:t>
      </w:r>
      <w:r w:rsidR="005E75DF">
        <w:t>).</w:t>
      </w:r>
      <w:r w:rsidR="00711BB5" w:rsidRPr="00711BB5">
        <w:t xml:space="preserve"> </w:t>
      </w:r>
    </w:p>
    <w:p w14:paraId="04ECBAB5" w14:textId="6ABA3200" w:rsidR="00A1256C" w:rsidRDefault="004832B9" w:rsidP="004832B9">
      <w:pPr>
        <w:pStyle w:val="1"/>
        <w:numPr>
          <w:ilvl w:val="0"/>
          <w:numId w:val="0"/>
        </w:numPr>
        <w:tabs>
          <w:tab w:val="left" w:pos="567"/>
        </w:tabs>
      </w:pPr>
      <w:r>
        <w:t>[5]</w:t>
      </w:r>
      <w:r>
        <w:tab/>
      </w:r>
      <w:r w:rsidR="00344EEC">
        <w:t>O</w:t>
      </w:r>
      <w:r w:rsidR="00344EEC" w:rsidRPr="00802F04">
        <w:t xml:space="preserve">n 19 January 2018 </w:t>
      </w:r>
      <w:r w:rsidR="00344EEC">
        <w:t>and i</w:t>
      </w:r>
      <w:r w:rsidR="00802F04" w:rsidRPr="00802F04">
        <w:t xml:space="preserve">n order to procure various services to the airports, including emergency medical services, ACSA issued Request for Proposal No. COR130/2016 being </w:t>
      </w:r>
      <w:r w:rsidR="007860F1">
        <w:t xml:space="preserve">a </w:t>
      </w:r>
      <w:r w:rsidR="00802F04" w:rsidRPr="00802F04">
        <w:t>"</w:t>
      </w:r>
      <w:r w:rsidR="00802F04" w:rsidRPr="00D47BB9">
        <w:rPr>
          <w:i/>
          <w:iCs w:val="0"/>
        </w:rPr>
        <w:t>Request for Proposals for the Provision of Legislative Medical and Emergency Medical Services, Occupational Medicals and Low Cost Medical Aid at Airports Company of South Africa's Airports</w:t>
      </w:r>
      <w:r w:rsidR="00802F04" w:rsidRPr="00802F04">
        <w:t>" (</w:t>
      </w:r>
      <w:r w:rsidR="00802F04" w:rsidRPr="004D037A">
        <w:rPr>
          <w:i/>
          <w:iCs w:val="0"/>
        </w:rPr>
        <w:t>the RFP</w:t>
      </w:r>
      <w:r w:rsidR="004D037A">
        <w:rPr>
          <w:i/>
          <w:iCs w:val="0"/>
        </w:rPr>
        <w:t>)</w:t>
      </w:r>
      <w:r w:rsidR="00802F04" w:rsidRPr="00802F04">
        <w:t>. The RFP comprised five parts, being:</w:t>
      </w:r>
      <w:r w:rsidR="004D037A">
        <w:t xml:space="preserve"> </w:t>
      </w:r>
      <w:r w:rsidR="00780D30" w:rsidRPr="00780D30">
        <w:t xml:space="preserve">Part A: Occupational Services; Part B: Supply of Emergency Medical Assistance and Emergency Medical Transportation; Part C: Supply of Ambulances </w:t>
      </w:r>
      <w:r w:rsidR="00780D30" w:rsidRPr="00780D30">
        <w:lastRenderedPageBreak/>
        <w:t xml:space="preserve">(fully converted) (small type ambulance); Part D: Supply of Medical Equipment; and Part E: Supply of Furniture. </w:t>
      </w:r>
    </w:p>
    <w:p w14:paraId="7ACD61CF" w14:textId="2CC3B317" w:rsidR="00802F04" w:rsidRDefault="004832B9" w:rsidP="004832B9">
      <w:pPr>
        <w:pStyle w:val="1"/>
        <w:numPr>
          <w:ilvl w:val="0"/>
          <w:numId w:val="0"/>
        </w:numPr>
        <w:tabs>
          <w:tab w:val="left" w:pos="567"/>
        </w:tabs>
      </w:pPr>
      <w:r>
        <w:t>[6]</w:t>
      </w:r>
      <w:r>
        <w:tab/>
      </w:r>
      <w:r w:rsidR="00780D30" w:rsidRPr="00780D30">
        <w:t>Part A of the RFP was awarded by ACSA to Novamix</w:t>
      </w:r>
      <w:r w:rsidR="00085776">
        <w:t xml:space="preserve"> and </w:t>
      </w:r>
      <w:r w:rsidR="00780D30" w:rsidRPr="00780D30">
        <w:t>Part B to Cape Medics</w:t>
      </w:r>
      <w:r w:rsidR="00085776">
        <w:t>.</w:t>
      </w:r>
      <w:r w:rsidR="00780D30" w:rsidRPr="00780D30">
        <w:t xml:space="preserve"> </w:t>
      </w:r>
      <w:r w:rsidR="00085776">
        <w:t>P</w:t>
      </w:r>
      <w:r w:rsidR="00780D30" w:rsidRPr="00780D30">
        <w:t>ursuant thereto ACSA and Cape Medics entered into a written Service Level Agreement on</w:t>
      </w:r>
      <w:r w:rsidR="00453278">
        <w:t xml:space="preserve"> 25 June 2018 (</w:t>
      </w:r>
      <w:r w:rsidR="00453278" w:rsidRPr="00453278">
        <w:rPr>
          <w:i/>
          <w:iCs w:val="0"/>
        </w:rPr>
        <w:t>the SLA</w:t>
      </w:r>
      <w:r w:rsidR="00453278">
        <w:t>).</w:t>
      </w:r>
      <w:r w:rsidR="0080337F">
        <w:t xml:space="preserve"> Cape Medics was thus only awarded Part B.</w:t>
      </w:r>
    </w:p>
    <w:p w14:paraId="220CBE1C" w14:textId="1E11D276" w:rsidR="00296B0A" w:rsidRDefault="004832B9" w:rsidP="004832B9">
      <w:pPr>
        <w:pStyle w:val="1"/>
        <w:numPr>
          <w:ilvl w:val="0"/>
          <w:numId w:val="0"/>
        </w:numPr>
        <w:tabs>
          <w:tab w:val="left" w:pos="567"/>
        </w:tabs>
      </w:pPr>
      <w:r>
        <w:t>[7]</w:t>
      </w:r>
      <w:r>
        <w:tab/>
      </w:r>
      <w:r w:rsidR="00D8653A" w:rsidRPr="00D8653A">
        <w:t>At the time of the award by ACSA of Part A to Novamix, and of Part B to Cape Medics, no award was made by ACSA in respect of Part</w:t>
      </w:r>
      <w:r w:rsidR="00085776">
        <w:t>s</w:t>
      </w:r>
      <w:r w:rsidR="00D8653A" w:rsidRPr="00D8653A">
        <w:t xml:space="preserve"> C, D or E of the RFP.</w:t>
      </w:r>
      <w:r w:rsidR="0088633E">
        <w:t xml:space="preserve"> </w:t>
      </w:r>
      <w:r w:rsidR="00D8653A" w:rsidRPr="00D8653A">
        <w:t xml:space="preserve">Accordingly, as at the effective date of the SLA, no service provider had been appointed by ACSA to supply </w:t>
      </w:r>
      <w:r w:rsidR="007860F1" w:rsidRPr="00780D30">
        <w:t>Ambulances (</w:t>
      </w:r>
      <w:r w:rsidR="007860F1">
        <w:t xml:space="preserve">in terms of Part C), </w:t>
      </w:r>
      <w:r w:rsidR="00D8653A" w:rsidRPr="00D8653A">
        <w:t xml:space="preserve">the medical equipment (in terms of Part D) </w:t>
      </w:r>
      <w:r w:rsidR="007860F1">
        <w:t>n</w:t>
      </w:r>
      <w:r w:rsidR="00D8653A" w:rsidRPr="00D8653A">
        <w:t>or the furniture (in terms of Part E) of the RFP</w:t>
      </w:r>
      <w:r w:rsidR="009925B5">
        <w:t xml:space="preserve">. </w:t>
      </w:r>
      <w:r w:rsidR="0006446B">
        <w:t>W</w:t>
      </w:r>
      <w:r w:rsidR="00AD6901" w:rsidRPr="00AD6901">
        <w:t xml:space="preserve">ithout the </w:t>
      </w:r>
      <w:r w:rsidR="0006446B">
        <w:t xml:space="preserve">medical </w:t>
      </w:r>
      <w:r w:rsidR="00AD6901" w:rsidRPr="00AD6901">
        <w:t xml:space="preserve">equipment and the furniture which </w:t>
      </w:r>
      <w:r w:rsidR="0006446B">
        <w:t>was</w:t>
      </w:r>
      <w:r w:rsidR="00AD6901" w:rsidRPr="00AD6901">
        <w:t xml:space="preserve"> needed to be able to render emergency medical services, such services </w:t>
      </w:r>
      <w:r w:rsidR="006C04E0">
        <w:t xml:space="preserve">could </w:t>
      </w:r>
      <w:r w:rsidR="007860F1">
        <w:t xml:space="preserve">apparently </w:t>
      </w:r>
      <w:r w:rsidR="006C04E0">
        <w:t>not</w:t>
      </w:r>
      <w:r w:rsidR="00AD6901" w:rsidRPr="00AD6901">
        <w:t xml:space="preserve"> be rendered</w:t>
      </w:r>
      <w:r w:rsidR="006C04E0">
        <w:t>.</w:t>
      </w:r>
      <w:r w:rsidR="00AD6901" w:rsidRPr="00AD6901">
        <w:t xml:space="preserve"> To have emergency medical staff on standby, but without the necessary equipment and furniture,</w:t>
      </w:r>
      <w:r w:rsidR="00524E1A">
        <w:t xml:space="preserve"> was, argued Cape Medics,</w:t>
      </w:r>
      <w:r w:rsidR="00AD6901" w:rsidRPr="00AD6901">
        <w:t xml:space="preserve"> tantamount to sending troops into combat w</w:t>
      </w:r>
      <w:r w:rsidR="00B7538B">
        <w:t xml:space="preserve">ithout weapons and ammunition - </w:t>
      </w:r>
      <w:r w:rsidR="00AD6901" w:rsidRPr="00AD6901">
        <w:t xml:space="preserve">they </w:t>
      </w:r>
      <w:r w:rsidR="00524E1A">
        <w:t>were</w:t>
      </w:r>
      <w:r w:rsidR="00AD6901" w:rsidRPr="00AD6901">
        <w:t xml:space="preserve"> rendered impotent and ineffectual</w:t>
      </w:r>
      <w:r w:rsidR="00524E1A">
        <w:t>.</w:t>
      </w:r>
    </w:p>
    <w:p w14:paraId="0254523D" w14:textId="40DA9EFB" w:rsidR="00BA07FC" w:rsidRDefault="004832B9" w:rsidP="004832B9">
      <w:pPr>
        <w:pStyle w:val="1"/>
        <w:numPr>
          <w:ilvl w:val="0"/>
          <w:numId w:val="0"/>
        </w:numPr>
        <w:tabs>
          <w:tab w:val="left" w:pos="567"/>
        </w:tabs>
      </w:pPr>
      <w:r>
        <w:t>[8]</w:t>
      </w:r>
      <w:r>
        <w:tab/>
      </w:r>
      <w:r w:rsidR="003A6EDD">
        <w:t>O</w:t>
      </w:r>
      <w:r w:rsidR="00296B0A">
        <w:t>n 13 March 2020,</w:t>
      </w:r>
      <w:r w:rsidR="003A6EDD">
        <w:t xml:space="preserve"> ACSA</w:t>
      </w:r>
      <w:r w:rsidR="00296B0A">
        <w:t xml:space="preserve"> sent a notice of termination to Cape </w:t>
      </w:r>
      <w:r w:rsidR="006631D9">
        <w:t>M</w:t>
      </w:r>
      <w:r w:rsidR="00296B0A">
        <w:t>edics.</w:t>
      </w:r>
      <w:r w:rsidR="00524E1A">
        <w:t xml:space="preserve"> </w:t>
      </w:r>
      <w:r w:rsidR="00786F2B">
        <w:t xml:space="preserve"> </w:t>
      </w:r>
      <w:r w:rsidR="0009638B">
        <w:t>In response and b</w:t>
      </w:r>
      <w:r w:rsidR="00974D21">
        <w:t xml:space="preserve">y virtue of ACSA’s alleged </w:t>
      </w:r>
      <w:r w:rsidR="00CB0746" w:rsidRPr="00CB0746">
        <w:t>breach</w:t>
      </w:r>
      <w:r w:rsidR="00974D21">
        <w:t>es</w:t>
      </w:r>
      <w:r w:rsidR="00CB0746" w:rsidRPr="00CB0746">
        <w:t xml:space="preserve"> of the SLA to perform various of its contractual obligations in terms of the SLA</w:t>
      </w:r>
      <w:r w:rsidR="00E07841">
        <w:t xml:space="preserve">, </w:t>
      </w:r>
      <w:r w:rsidR="00CB0746" w:rsidRPr="00CB0746">
        <w:t>Cape Medics launch</w:t>
      </w:r>
      <w:r w:rsidR="004862C8">
        <w:t>ed</w:t>
      </w:r>
      <w:r w:rsidR="00CB0746" w:rsidRPr="00CB0746">
        <w:t xml:space="preserve"> an application under case number 10223/2020 (</w:t>
      </w:r>
      <w:r w:rsidR="00CB0746" w:rsidRPr="003571FA">
        <w:rPr>
          <w:i/>
          <w:iCs w:val="0"/>
        </w:rPr>
        <w:t>the SLA application</w:t>
      </w:r>
      <w:r w:rsidR="00CB0746" w:rsidRPr="00CB0746">
        <w:t>)</w:t>
      </w:r>
      <w:r w:rsidR="00D109A2">
        <w:t xml:space="preserve"> </w:t>
      </w:r>
      <w:r w:rsidR="00CB0746" w:rsidRPr="00CB0746">
        <w:t>which in turn culminated in the Settlement Agreement and Court Order</w:t>
      </w:r>
      <w:r w:rsidR="00BA07FC">
        <w:t>.</w:t>
      </w:r>
      <w:r w:rsidR="007F67A2">
        <w:t xml:space="preserve"> </w:t>
      </w:r>
      <w:r w:rsidR="00FD329A">
        <w:t xml:space="preserve">In Part A, the urgent </w:t>
      </w:r>
      <w:r w:rsidR="0087482A">
        <w:t>part of</w:t>
      </w:r>
      <w:r w:rsidR="000203BD">
        <w:t xml:space="preserve"> the SLA application</w:t>
      </w:r>
      <w:r w:rsidR="00FD329A">
        <w:t>, the relief sought was to interdict the termination of the SLA whilst in Part B</w:t>
      </w:r>
      <w:r w:rsidR="00AB09FC">
        <w:t xml:space="preserve"> of the SLA application</w:t>
      </w:r>
      <w:r w:rsidR="0087482A">
        <w:t xml:space="preserve"> (the ordinary course</w:t>
      </w:r>
      <w:r w:rsidR="004E7D44">
        <w:t xml:space="preserve"> part of the SLA application</w:t>
      </w:r>
      <w:r w:rsidR="0087482A">
        <w:t>)</w:t>
      </w:r>
      <w:r w:rsidR="00E13A0B">
        <w:t>,</w:t>
      </w:r>
      <w:r w:rsidR="00BB09F4">
        <w:t xml:space="preserve"> Cape Medics sou</w:t>
      </w:r>
      <w:r w:rsidR="00E13A0B">
        <w:t>ght</w:t>
      </w:r>
      <w:r w:rsidR="00BB09F4">
        <w:t xml:space="preserve"> the review and setting aside of the decision by ACSA to terminate the SLA.</w:t>
      </w:r>
    </w:p>
    <w:p w14:paraId="5CEFCCBE" w14:textId="5C83A194" w:rsidR="00587977" w:rsidRDefault="004832B9" w:rsidP="004832B9">
      <w:pPr>
        <w:pStyle w:val="1"/>
        <w:numPr>
          <w:ilvl w:val="0"/>
          <w:numId w:val="0"/>
        </w:numPr>
        <w:tabs>
          <w:tab w:val="left" w:pos="567"/>
        </w:tabs>
      </w:pPr>
      <w:r>
        <w:lastRenderedPageBreak/>
        <w:t>[9]</w:t>
      </w:r>
      <w:r>
        <w:tab/>
      </w:r>
      <w:r w:rsidR="00C17522" w:rsidRPr="00C17522">
        <w:t>In terms of the Settlement Agreement</w:t>
      </w:r>
      <w:r w:rsidR="002309C2">
        <w:t xml:space="preserve"> (which settled both Parts A and B)</w:t>
      </w:r>
      <w:r w:rsidR="00C17522" w:rsidRPr="00C17522">
        <w:t>, ACSA rescinded the purported notice of termination and it was agreed that the SLA, with its full terms and conditions save as otherwise recorded in the Settlement Agreement, wou</w:t>
      </w:r>
      <w:r w:rsidR="00B7538B">
        <w:t>ld remain effective for the five</w:t>
      </w:r>
      <w:r w:rsidR="00C17522" w:rsidRPr="00C17522">
        <w:t xml:space="preserve"> year period thereof. </w:t>
      </w:r>
    </w:p>
    <w:p w14:paraId="67440581" w14:textId="57BF2F3A" w:rsidR="005E57B5" w:rsidRDefault="004832B9" w:rsidP="004832B9">
      <w:pPr>
        <w:pStyle w:val="1"/>
        <w:numPr>
          <w:ilvl w:val="0"/>
          <w:numId w:val="0"/>
        </w:numPr>
        <w:tabs>
          <w:tab w:val="left" w:pos="567"/>
        </w:tabs>
      </w:pPr>
      <w:r>
        <w:t>[10]</w:t>
      </w:r>
      <w:r>
        <w:tab/>
      </w:r>
      <w:r w:rsidR="005E57B5" w:rsidRPr="00E30EAE">
        <w:t xml:space="preserve">The breach by ACSA of its obligations to provide the required ambulances featured prominently in the SLA application, but in terms of the Settlement Agreement, </w:t>
      </w:r>
      <w:r w:rsidR="005E57B5">
        <w:t xml:space="preserve">it </w:t>
      </w:r>
      <w:r w:rsidR="005E57B5" w:rsidRPr="00E30EAE">
        <w:t>was agreed that ACSA would be relieved of the obligation to provide the ambulances required for the provision of emergency medical services at the airports, and that at no extra cost</w:t>
      </w:r>
      <w:r w:rsidR="008F7A0B">
        <w:t>,</w:t>
      </w:r>
      <w:r w:rsidR="005E57B5" w:rsidRPr="00E30EAE">
        <w:t xml:space="preserve"> Cape Medics would utilise its own ambulances in providing these services.</w:t>
      </w:r>
    </w:p>
    <w:p w14:paraId="29737F88" w14:textId="6347E23D" w:rsidR="001F187E" w:rsidRPr="00E500E6" w:rsidRDefault="004832B9" w:rsidP="004832B9">
      <w:pPr>
        <w:pStyle w:val="1"/>
        <w:numPr>
          <w:ilvl w:val="0"/>
          <w:numId w:val="0"/>
        </w:numPr>
        <w:tabs>
          <w:tab w:val="left" w:pos="567"/>
        </w:tabs>
      </w:pPr>
      <w:r w:rsidRPr="00E500E6">
        <w:t>[11]</w:t>
      </w:r>
      <w:r w:rsidRPr="00E500E6">
        <w:tab/>
      </w:r>
      <w:r w:rsidR="00824A9E">
        <w:t xml:space="preserve">Non-compliance </w:t>
      </w:r>
      <w:r w:rsidR="007860F1">
        <w:t xml:space="preserve">with </w:t>
      </w:r>
      <w:r w:rsidR="00C17522" w:rsidRPr="00C17522">
        <w:t>clauses 5.1.5</w:t>
      </w:r>
      <w:r w:rsidR="00824A9E">
        <w:t xml:space="preserve"> </w:t>
      </w:r>
      <w:r w:rsidR="00C17522" w:rsidRPr="00C17522">
        <w:t>and 5.1.10</w:t>
      </w:r>
      <w:r w:rsidR="00824A9E">
        <w:t xml:space="preserve"> </w:t>
      </w:r>
      <w:r w:rsidR="00C17522" w:rsidRPr="00C17522">
        <w:t xml:space="preserve">of the Settlement Agreement </w:t>
      </w:r>
      <w:r w:rsidR="00824A9E">
        <w:t xml:space="preserve"> formed the focal point</w:t>
      </w:r>
      <w:r w:rsidR="00681A50">
        <w:t xml:space="preserve"> of the </w:t>
      </w:r>
      <w:r w:rsidR="00C27200">
        <w:t xml:space="preserve">contempt application in the court </w:t>
      </w:r>
      <w:r w:rsidR="00C27200" w:rsidRPr="002B48B0">
        <w:rPr>
          <w:i/>
          <w:iCs w:val="0"/>
        </w:rPr>
        <w:t>a quo</w:t>
      </w:r>
      <w:r w:rsidR="00C27200">
        <w:t xml:space="preserve">. </w:t>
      </w:r>
      <w:r w:rsidR="00BA6091">
        <w:t xml:space="preserve"> The breaches by ACSA of the Settlement Agreement </w:t>
      </w:r>
      <w:r w:rsidR="00516FF2">
        <w:t xml:space="preserve">which founded the </w:t>
      </w:r>
      <w:r w:rsidR="007860F1">
        <w:t xml:space="preserve">contempt </w:t>
      </w:r>
      <w:r w:rsidR="00516FF2">
        <w:t>relief claimed related to n</w:t>
      </w:r>
      <w:r w:rsidR="00494E4F">
        <w:t>i</w:t>
      </w:r>
      <w:r w:rsidR="00516FF2">
        <w:t xml:space="preserve">ne categories of equipment which ACSA </w:t>
      </w:r>
      <w:r w:rsidR="00494E4F">
        <w:t xml:space="preserve">had allegedly </w:t>
      </w:r>
      <w:r w:rsidR="00516FF2">
        <w:t>remained in default of providing.</w:t>
      </w:r>
    </w:p>
    <w:p w14:paraId="2AAE9BA5" w14:textId="77777777" w:rsidR="006C226C" w:rsidRDefault="006C226C" w:rsidP="00B12C89">
      <w:pPr>
        <w:pStyle w:val="1"/>
        <w:numPr>
          <w:ilvl w:val="0"/>
          <w:numId w:val="0"/>
        </w:numPr>
        <w:rPr>
          <w:b/>
          <w:bCs/>
          <w:u w:val="single"/>
        </w:rPr>
      </w:pPr>
    </w:p>
    <w:p w14:paraId="167A46DF" w14:textId="1023061F" w:rsidR="00C27200" w:rsidRPr="00B12C89" w:rsidRDefault="00B12C89" w:rsidP="00B12C89">
      <w:pPr>
        <w:pStyle w:val="1"/>
        <w:numPr>
          <w:ilvl w:val="0"/>
          <w:numId w:val="0"/>
        </w:numPr>
        <w:rPr>
          <w:b/>
          <w:bCs/>
          <w:u w:val="single"/>
        </w:rPr>
      </w:pPr>
      <w:r w:rsidRPr="00B12C89">
        <w:rPr>
          <w:b/>
          <w:bCs/>
          <w:u w:val="single"/>
        </w:rPr>
        <w:t>The SLA</w:t>
      </w:r>
      <w:r w:rsidR="003C6D8E">
        <w:rPr>
          <w:b/>
          <w:bCs/>
          <w:u w:val="single"/>
        </w:rPr>
        <w:t xml:space="preserve"> and the Settlement Agreement</w:t>
      </w:r>
    </w:p>
    <w:p w14:paraId="02C85B4B" w14:textId="74E07DD2" w:rsidR="00B12C89" w:rsidRDefault="004832B9" w:rsidP="004832B9">
      <w:pPr>
        <w:pStyle w:val="1"/>
        <w:numPr>
          <w:ilvl w:val="0"/>
          <w:numId w:val="0"/>
        </w:numPr>
        <w:tabs>
          <w:tab w:val="left" w:pos="567"/>
        </w:tabs>
      </w:pPr>
      <w:r>
        <w:t>[12]</w:t>
      </w:r>
      <w:r>
        <w:tab/>
      </w:r>
      <w:r w:rsidR="000A5E06">
        <w:t xml:space="preserve">The SLA </w:t>
      </w:r>
      <w:r w:rsidR="003C6D8E">
        <w:t xml:space="preserve">was </w:t>
      </w:r>
      <w:r w:rsidR="000A5E06">
        <w:t>concluded on</w:t>
      </w:r>
      <w:r w:rsidR="003C6D8E">
        <w:t xml:space="preserve"> 25 June 2018 and was for a duration of 5 years</w:t>
      </w:r>
      <w:r w:rsidR="00E7274A">
        <w:t xml:space="preserve"> from its conclusion.</w:t>
      </w:r>
      <w:r w:rsidR="0053181E">
        <w:t xml:space="preserve"> The settlement agreement was concluded</w:t>
      </w:r>
      <w:r w:rsidR="00443A63">
        <w:t xml:space="preserve"> on</w:t>
      </w:r>
      <w:r w:rsidR="003A23DB">
        <w:t xml:space="preserve"> 10 June 2020 and </w:t>
      </w:r>
      <w:r w:rsidR="009D47DF">
        <w:t xml:space="preserve">was to </w:t>
      </w:r>
      <w:r w:rsidR="003A23DB">
        <w:t>subsist for</w:t>
      </w:r>
      <w:r w:rsidR="009D47DF">
        <w:t xml:space="preserve"> the term of the SLA.</w:t>
      </w:r>
      <w:r w:rsidR="0090221D">
        <w:t xml:space="preserve"> </w:t>
      </w:r>
      <w:r w:rsidR="00352C3F">
        <w:t>The Settlement Agreement incorporated by reference</w:t>
      </w:r>
      <w:r w:rsidR="00A051BB">
        <w:t xml:space="preserve"> the terms of the SLA</w:t>
      </w:r>
      <w:r w:rsidR="00B40F87">
        <w:t>. It</w:t>
      </w:r>
      <w:r w:rsidR="00A452FE">
        <w:t xml:space="preserve"> recorded that such terms remained effective save as expressly provided in </w:t>
      </w:r>
      <w:r w:rsidR="00FB78B1">
        <w:t>the Settlement Agreement.</w:t>
      </w:r>
    </w:p>
    <w:p w14:paraId="14BDF9DD" w14:textId="59177B42" w:rsidR="00C27200" w:rsidRDefault="004832B9" w:rsidP="004832B9">
      <w:pPr>
        <w:pStyle w:val="1"/>
        <w:numPr>
          <w:ilvl w:val="0"/>
          <w:numId w:val="0"/>
        </w:numPr>
        <w:tabs>
          <w:tab w:val="left" w:pos="567"/>
        </w:tabs>
      </w:pPr>
      <w:r>
        <w:t>[13]</w:t>
      </w:r>
      <w:r>
        <w:tab/>
      </w:r>
      <w:r w:rsidR="00A37C8E">
        <w:t>In terms of c</w:t>
      </w:r>
      <w:r w:rsidR="006669E2">
        <w:t>lause 5.1.5</w:t>
      </w:r>
      <w:r w:rsidR="00A37C8E">
        <w:t xml:space="preserve">, </w:t>
      </w:r>
      <w:r w:rsidR="00034F78">
        <w:t>ACSA w</w:t>
      </w:r>
      <w:r w:rsidR="00A37C8E">
        <w:t>as to</w:t>
      </w:r>
      <w:r w:rsidR="00034F78">
        <w:t xml:space="preserve"> provide the </w:t>
      </w:r>
      <w:r w:rsidR="0015401D">
        <w:t xml:space="preserve">equipment that </w:t>
      </w:r>
      <w:r w:rsidR="00F63D41">
        <w:t>was</w:t>
      </w:r>
      <w:r w:rsidR="0015401D">
        <w:t xml:space="preserve"> required and necessary for the operation </w:t>
      </w:r>
      <w:r w:rsidR="00F63D41">
        <w:t>of</w:t>
      </w:r>
      <w:r w:rsidR="0015401D">
        <w:t xml:space="preserve"> Parts D and E</w:t>
      </w:r>
      <w:r w:rsidR="00573E13">
        <w:t xml:space="preserve"> of the RFP</w:t>
      </w:r>
      <w:r w:rsidR="00052D2C">
        <w:t xml:space="preserve"> and Clause 5.1.</w:t>
      </w:r>
      <w:r w:rsidR="00EB3FDD">
        <w:t xml:space="preserve">10 dealt </w:t>
      </w:r>
      <w:r w:rsidR="00EB3FDD">
        <w:lastRenderedPageBreak/>
        <w:t xml:space="preserve">with ACSA’s obligations to enable Cape Medics to approach the KZN Department of Health for licensing </w:t>
      </w:r>
      <w:r w:rsidR="00C6286F">
        <w:t>at KSIA</w:t>
      </w:r>
      <w:r w:rsidR="003F3BF3">
        <w:t xml:space="preserve">. </w:t>
      </w:r>
    </w:p>
    <w:p w14:paraId="7B74DF2C" w14:textId="449D1410" w:rsidR="00C27200" w:rsidRDefault="004832B9" w:rsidP="004832B9">
      <w:pPr>
        <w:pStyle w:val="1"/>
        <w:numPr>
          <w:ilvl w:val="0"/>
          <w:numId w:val="0"/>
        </w:numPr>
        <w:tabs>
          <w:tab w:val="left" w:pos="567"/>
        </w:tabs>
      </w:pPr>
      <w:r>
        <w:t>[14]</w:t>
      </w:r>
      <w:r>
        <w:tab/>
      </w:r>
      <w:r w:rsidR="00820208">
        <w:t xml:space="preserve">A clause which </w:t>
      </w:r>
      <w:r w:rsidR="00171C73">
        <w:t>took centre stage during the appeal</w:t>
      </w:r>
      <w:r w:rsidR="00D938F2">
        <w:t xml:space="preserve"> hearing</w:t>
      </w:r>
      <w:r w:rsidR="00E75D72">
        <w:t xml:space="preserve">, is the </w:t>
      </w:r>
      <w:r w:rsidR="00060E1C">
        <w:t>dispute resolution clause</w:t>
      </w:r>
      <w:r w:rsidR="007B0A46">
        <w:t xml:space="preserve"> 1.1.18</w:t>
      </w:r>
      <w:r w:rsidR="00FE70BF">
        <w:t xml:space="preserve"> in the Sett</w:t>
      </w:r>
      <w:r w:rsidR="007B0A46">
        <w:t>l</w:t>
      </w:r>
      <w:r w:rsidR="00FE70BF">
        <w:t>ement Agreement:</w:t>
      </w:r>
    </w:p>
    <w:p w14:paraId="74DC5C27" w14:textId="5F182C8B" w:rsidR="00FE70BF" w:rsidRPr="00D47BB9" w:rsidRDefault="007B0A46" w:rsidP="007B0A46">
      <w:pPr>
        <w:pStyle w:val="1"/>
        <w:numPr>
          <w:ilvl w:val="0"/>
          <w:numId w:val="0"/>
        </w:numPr>
        <w:spacing w:line="360" w:lineRule="auto"/>
        <w:ind w:left="1134"/>
        <w:rPr>
          <w:sz w:val="22"/>
        </w:rPr>
      </w:pPr>
      <w:r w:rsidRPr="00D47BB9">
        <w:t>‘</w:t>
      </w:r>
      <w:r w:rsidRPr="00D47BB9">
        <w:rPr>
          <w:sz w:val="22"/>
        </w:rPr>
        <w:t>…….</w:t>
      </w:r>
      <w:r w:rsidR="00D940D6" w:rsidRPr="00D47BB9">
        <w:rPr>
          <w:sz w:val="22"/>
        </w:rPr>
        <w:t>In an event of an</w:t>
      </w:r>
      <w:r w:rsidRPr="00D47BB9">
        <w:rPr>
          <w:sz w:val="22"/>
        </w:rPr>
        <w:t>y</w:t>
      </w:r>
      <w:r w:rsidR="00D940D6" w:rsidRPr="00D47BB9">
        <w:rPr>
          <w:sz w:val="22"/>
        </w:rPr>
        <w:t xml:space="preserve"> dispute, such a</w:t>
      </w:r>
      <w:r w:rsidRPr="00D47BB9">
        <w:rPr>
          <w:sz w:val="22"/>
        </w:rPr>
        <w:t>f</w:t>
      </w:r>
      <w:r w:rsidR="00D940D6" w:rsidRPr="00D47BB9">
        <w:rPr>
          <w:sz w:val="22"/>
        </w:rPr>
        <w:t>fected party shall invoke the Dispute Resolution Mechanism as set out in the SLA.</w:t>
      </w:r>
      <w:r w:rsidR="003A1FB4" w:rsidRPr="00D47BB9">
        <w:rPr>
          <w:sz w:val="22"/>
        </w:rPr>
        <w:t>’</w:t>
      </w:r>
    </w:p>
    <w:p w14:paraId="265D5A66" w14:textId="77777777" w:rsidR="007B0A46" w:rsidRDefault="007B0A46" w:rsidP="007B0A46">
      <w:pPr>
        <w:pStyle w:val="1"/>
        <w:numPr>
          <w:ilvl w:val="0"/>
          <w:numId w:val="0"/>
        </w:numPr>
        <w:spacing w:line="360" w:lineRule="auto"/>
        <w:ind w:left="1134"/>
      </w:pPr>
    </w:p>
    <w:p w14:paraId="50522C5D" w14:textId="06E61AC1" w:rsidR="003A1FB4" w:rsidRDefault="004832B9" w:rsidP="004832B9">
      <w:pPr>
        <w:pStyle w:val="1"/>
        <w:numPr>
          <w:ilvl w:val="0"/>
          <w:numId w:val="0"/>
        </w:numPr>
        <w:tabs>
          <w:tab w:val="left" w:pos="567"/>
        </w:tabs>
      </w:pPr>
      <w:r>
        <w:t>[15]</w:t>
      </w:r>
      <w:r>
        <w:tab/>
      </w:r>
      <w:r w:rsidR="005A430D">
        <w:t>The Dispute Resolution Mechanism</w:t>
      </w:r>
      <w:r w:rsidR="00694563">
        <w:t xml:space="preserve"> as set out in clause 25</w:t>
      </w:r>
      <w:r w:rsidR="00215F5A">
        <w:t>.1.1</w:t>
      </w:r>
      <w:r w:rsidR="00694563">
        <w:t xml:space="preserve"> of the SLA provides, in relevant parts, </w:t>
      </w:r>
      <w:r w:rsidR="003446E9">
        <w:t xml:space="preserve">for arbitration </w:t>
      </w:r>
      <w:r w:rsidR="00694563">
        <w:t>as follows:</w:t>
      </w:r>
    </w:p>
    <w:p w14:paraId="4B2EBA78" w14:textId="1AEFCFF3" w:rsidR="00694563" w:rsidRPr="00D47BB9" w:rsidRDefault="00ED25A9" w:rsidP="00ED25A9">
      <w:pPr>
        <w:pStyle w:val="1"/>
        <w:numPr>
          <w:ilvl w:val="0"/>
          <w:numId w:val="0"/>
        </w:numPr>
        <w:spacing w:line="360" w:lineRule="auto"/>
        <w:ind w:left="1134"/>
        <w:rPr>
          <w:sz w:val="22"/>
        </w:rPr>
      </w:pPr>
      <w:r w:rsidRPr="00D47BB9">
        <w:rPr>
          <w:sz w:val="22"/>
        </w:rPr>
        <w:t>‘</w:t>
      </w:r>
      <w:r w:rsidR="00215F5A" w:rsidRPr="00D47BB9">
        <w:rPr>
          <w:sz w:val="22"/>
        </w:rPr>
        <w:t>Any dispute of whatsoever nature which arises out of or in connection with this Agreement, including any dispute as to the validity, existence, enforceability, interpretation, application, implementation, bre</w:t>
      </w:r>
      <w:r w:rsidR="003A1928" w:rsidRPr="00D47BB9">
        <w:rPr>
          <w:sz w:val="22"/>
        </w:rPr>
        <w:t>a</w:t>
      </w:r>
      <w:r w:rsidR="00215F5A" w:rsidRPr="00D47BB9">
        <w:rPr>
          <w:sz w:val="22"/>
        </w:rPr>
        <w:t xml:space="preserve">ch, termination or cancellation of this Agreement or </w:t>
      </w:r>
      <w:r w:rsidRPr="00D47BB9">
        <w:rPr>
          <w:sz w:val="22"/>
        </w:rPr>
        <w:t>a</w:t>
      </w:r>
      <w:r w:rsidR="00215F5A" w:rsidRPr="00D47BB9">
        <w:rPr>
          <w:sz w:val="22"/>
        </w:rPr>
        <w:t>s to th</w:t>
      </w:r>
      <w:r w:rsidRPr="00D47BB9">
        <w:rPr>
          <w:sz w:val="22"/>
        </w:rPr>
        <w:t>e</w:t>
      </w:r>
      <w:r w:rsidR="00215F5A" w:rsidRPr="00D47BB9">
        <w:rPr>
          <w:sz w:val="22"/>
        </w:rPr>
        <w:t xml:space="preserve"> P</w:t>
      </w:r>
      <w:r w:rsidRPr="00D47BB9">
        <w:rPr>
          <w:sz w:val="22"/>
        </w:rPr>
        <w:t>arties’</w:t>
      </w:r>
      <w:r w:rsidR="00E12A08" w:rsidRPr="00D47BB9">
        <w:rPr>
          <w:sz w:val="22"/>
        </w:rPr>
        <w:t xml:space="preserve"> rights</w:t>
      </w:r>
      <w:r w:rsidR="00215F5A" w:rsidRPr="00D47BB9">
        <w:rPr>
          <w:sz w:val="22"/>
        </w:rPr>
        <w:t xml:space="preserve"> and/or obligations in terms of this Agreement or in connection with any documents furnished by the Parties in terms of </w:t>
      </w:r>
      <w:r w:rsidR="00E15C51" w:rsidRPr="00D47BB9">
        <w:rPr>
          <w:sz w:val="22"/>
        </w:rPr>
        <w:t>th</w:t>
      </w:r>
      <w:r w:rsidR="00215F5A" w:rsidRPr="00D47BB9">
        <w:rPr>
          <w:sz w:val="22"/>
        </w:rPr>
        <w:t xml:space="preserve">is Agreement, </w:t>
      </w:r>
      <w:r w:rsidR="00215F5A" w:rsidRPr="00BE5FF8">
        <w:rPr>
          <w:b/>
          <w:bCs/>
          <w:sz w:val="22"/>
        </w:rPr>
        <w:t>sh</w:t>
      </w:r>
      <w:r w:rsidR="00E12A08" w:rsidRPr="00BE5FF8">
        <w:rPr>
          <w:b/>
          <w:bCs/>
          <w:sz w:val="22"/>
        </w:rPr>
        <w:t>a</w:t>
      </w:r>
      <w:r w:rsidR="00215F5A" w:rsidRPr="00BE5FF8">
        <w:rPr>
          <w:b/>
          <w:bCs/>
          <w:sz w:val="22"/>
        </w:rPr>
        <w:t>ll be submitted to binding arbitration</w:t>
      </w:r>
      <w:r w:rsidR="00215F5A" w:rsidRPr="00D47BB9">
        <w:rPr>
          <w:sz w:val="22"/>
        </w:rPr>
        <w:t xml:space="preserve"> before a single arbitrator in terms of this clause 25 (D</w:t>
      </w:r>
      <w:r w:rsidR="00E12A08" w:rsidRPr="00D47BB9">
        <w:rPr>
          <w:sz w:val="22"/>
        </w:rPr>
        <w:t>ispute Resolution)</w:t>
      </w:r>
      <w:r w:rsidR="00215F5A" w:rsidRPr="00D47BB9">
        <w:rPr>
          <w:sz w:val="22"/>
        </w:rPr>
        <w:t xml:space="preserve"> and, except </w:t>
      </w:r>
      <w:r w:rsidR="0055103C" w:rsidRPr="00D47BB9">
        <w:rPr>
          <w:sz w:val="22"/>
        </w:rPr>
        <w:t>a</w:t>
      </w:r>
      <w:r w:rsidR="00215F5A" w:rsidRPr="00D47BB9">
        <w:rPr>
          <w:sz w:val="22"/>
        </w:rPr>
        <w:t>s otherwise provided herein, the rules for the time being as stipulated by the Arbitration Foundation of Southern Africa.</w:t>
      </w:r>
      <w:r w:rsidRPr="00D47BB9">
        <w:rPr>
          <w:sz w:val="22"/>
        </w:rPr>
        <w:t>’</w:t>
      </w:r>
      <w:r w:rsidR="00BE5FF8">
        <w:rPr>
          <w:sz w:val="22"/>
        </w:rPr>
        <w:t xml:space="preserve"> (</w:t>
      </w:r>
      <w:r w:rsidR="006A2B87">
        <w:rPr>
          <w:sz w:val="22"/>
        </w:rPr>
        <w:t>emphasis provided)</w:t>
      </w:r>
    </w:p>
    <w:p w14:paraId="56A3FAF9" w14:textId="77777777" w:rsidR="00775C8A" w:rsidRPr="00ED25A9" w:rsidRDefault="00775C8A" w:rsidP="00ED25A9">
      <w:pPr>
        <w:pStyle w:val="1"/>
        <w:numPr>
          <w:ilvl w:val="0"/>
          <w:numId w:val="0"/>
        </w:numPr>
        <w:spacing w:line="360" w:lineRule="auto"/>
        <w:ind w:left="1134"/>
        <w:rPr>
          <w:sz w:val="22"/>
        </w:rPr>
      </w:pPr>
    </w:p>
    <w:p w14:paraId="5D276C1E" w14:textId="5D00E88C" w:rsidR="00CE6118" w:rsidRDefault="004832B9" w:rsidP="004832B9">
      <w:pPr>
        <w:pStyle w:val="1"/>
        <w:numPr>
          <w:ilvl w:val="0"/>
          <w:numId w:val="0"/>
        </w:numPr>
        <w:tabs>
          <w:tab w:val="left" w:pos="567"/>
        </w:tabs>
      </w:pPr>
      <w:r>
        <w:t>[16]</w:t>
      </w:r>
      <w:r>
        <w:tab/>
      </w:r>
      <w:r w:rsidR="008B5E3A">
        <w:t>Clause 25.2 authorises the</w:t>
      </w:r>
      <w:r w:rsidR="002E2700">
        <w:t xml:space="preserve"> approach to the High Court </w:t>
      </w:r>
      <w:r w:rsidR="001D77BF">
        <w:t>for urgent or interim relief. I</w:t>
      </w:r>
      <w:r w:rsidR="00CB6140">
        <w:t>t</w:t>
      </w:r>
      <w:r w:rsidR="001D77BF">
        <w:t xml:space="preserve"> stands undisputed that the breach of clauses 5.1.</w:t>
      </w:r>
      <w:r w:rsidR="000A1B80">
        <w:t>5 and 5.1.10</w:t>
      </w:r>
      <w:r w:rsidR="00CB6140">
        <w:t xml:space="preserve"> </w:t>
      </w:r>
      <w:r w:rsidR="00FF3369">
        <w:t>and the approach to the High Court for a f</w:t>
      </w:r>
      <w:r w:rsidR="00D4113F">
        <w:t>inding of contempt</w:t>
      </w:r>
      <w:r w:rsidR="00C61341">
        <w:t xml:space="preserve"> by virtue thereof</w:t>
      </w:r>
      <w:r w:rsidR="00D4113F">
        <w:t xml:space="preserve">, did not occur urgently nor was the relief sought interim in nature. The exception provided for in clause </w:t>
      </w:r>
      <w:r w:rsidR="00775C8A">
        <w:t xml:space="preserve">25.2 of the SLA does </w:t>
      </w:r>
      <w:r w:rsidR="00C61341">
        <w:t xml:space="preserve">therefore </w:t>
      </w:r>
      <w:r w:rsidR="00775C8A">
        <w:t>not have application.</w:t>
      </w:r>
    </w:p>
    <w:p w14:paraId="01EC6E9F" w14:textId="51F271B4" w:rsidR="008D315B" w:rsidRDefault="004832B9" w:rsidP="004832B9">
      <w:pPr>
        <w:pStyle w:val="1"/>
        <w:numPr>
          <w:ilvl w:val="0"/>
          <w:numId w:val="0"/>
        </w:numPr>
        <w:tabs>
          <w:tab w:val="left" w:pos="567"/>
        </w:tabs>
      </w:pPr>
      <w:r>
        <w:t>[17]</w:t>
      </w:r>
      <w:r>
        <w:tab/>
      </w:r>
      <w:r w:rsidR="00F85C7B">
        <w:t xml:space="preserve">Mr Mokhari SC, representing ACSA, argued that </w:t>
      </w:r>
      <w:r w:rsidR="00800F87">
        <w:t>Cape Medics’ failure to have acted in accordance with clause 25, is fatal</w:t>
      </w:r>
      <w:r w:rsidR="003C3A14">
        <w:t xml:space="preserve"> to a finding of contempt</w:t>
      </w:r>
      <w:r w:rsidR="003446E9">
        <w:t xml:space="preserve"> as the steps provided for, submitting the dispute to determination by an arbitrator in accordance </w:t>
      </w:r>
      <w:r w:rsidR="003446E9" w:rsidRPr="00D47BB9">
        <w:rPr>
          <w:szCs w:val="24"/>
        </w:rPr>
        <w:lastRenderedPageBreak/>
        <w:t>with the rules for the time being as stipulated by the Arbitration Foundation of Southern Africa, and the consequential determination of that arbitration were an essential pre-requisite before any contempt proceedings could be brought by Cape Medics</w:t>
      </w:r>
      <w:r w:rsidR="00E93388" w:rsidRPr="003446E9">
        <w:t>.</w:t>
      </w:r>
      <w:r w:rsidR="003446E9">
        <w:t xml:space="preserve"> I should mention that of course if Mr Mokhari is correct then the arbitrator’s award would still have to be made an order of court in terms of s</w:t>
      </w:r>
      <w:r w:rsidR="00BE3DE3">
        <w:t>ection</w:t>
      </w:r>
      <w:r w:rsidR="003446E9">
        <w:t xml:space="preserve"> 31 the Arbitration Act 42 of 1965</w:t>
      </w:r>
      <w:r w:rsidR="00E500E6">
        <w:t xml:space="preserve">, </w:t>
      </w:r>
      <w:r w:rsidR="003446E9">
        <w:t>as amended (</w:t>
      </w:r>
      <w:r w:rsidR="003446E9">
        <w:rPr>
          <w:i/>
          <w:iCs w:val="0"/>
        </w:rPr>
        <w:t xml:space="preserve">the Arbitration Act) </w:t>
      </w:r>
      <w:r w:rsidR="003446E9">
        <w:t>before the award could form the basis of a contempt application as an arbitrator’s award must first be made an order of court before it can form the foundation of a finding of contempt, s</w:t>
      </w:r>
      <w:r w:rsidR="00BE3DE3">
        <w:t xml:space="preserve">ection </w:t>
      </w:r>
      <w:r w:rsidR="004E3C86">
        <w:t>31 of the Arbitration Act</w:t>
      </w:r>
      <w:r w:rsidR="003446E9">
        <w:t xml:space="preserve"> reading: </w:t>
      </w:r>
    </w:p>
    <w:p w14:paraId="34092853" w14:textId="2C67E9EC" w:rsidR="003446E9" w:rsidRPr="004E3C86" w:rsidRDefault="00EC2DD1" w:rsidP="004E3C86">
      <w:pPr>
        <w:pStyle w:val="NormalWeb"/>
        <w:spacing w:line="360" w:lineRule="auto"/>
        <w:ind w:left="720"/>
        <w:jc w:val="both"/>
        <w:rPr>
          <w:rFonts w:cs="Arial"/>
          <w:sz w:val="22"/>
          <w:szCs w:val="22"/>
          <w:lang w:val="en-ZA"/>
        </w:rPr>
      </w:pPr>
      <w:r>
        <w:t>‘</w:t>
      </w:r>
      <w:r w:rsidR="003446E9" w:rsidRPr="004E3C86">
        <w:rPr>
          <w:rFonts w:cs="Arial"/>
          <w:color w:val="282828"/>
          <w:sz w:val="22"/>
          <w:szCs w:val="22"/>
          <w:lang w:val="en-ZA"/>
        </w:rPr>
        <w:t>31(</w:t>
      </w:r>
      <w:r w:rsidR="00FF05BC" w:rsidRPr="004E3C86">
        <w:rPr>
          <w:rFonts w:cs="Arial"/>
          <w:color w:val="282828"/>
          <w:sz w:val="22"/>
          <w:szCs w:val="22"/>
          <w:lang w:val="en-ZA"/>
        </w:rPr>
        <w:t>1</w:t>
      </w:r>
      <w:r w:rsidR="003446E9" w:rsidRPr="004E3C86">
        <w:rPr>
          <w:rFonts w:cs="Arial"/>
          <w:color w:val="282828"/>
          <w:sz w:val="22"/>
          <w:szCs w:val="22"/>
          <w:lang w:val="en-ZA"/>
        </w:rPr>
        <w:t xml:space="preserve">) An award may, on the application to a court of competent jurisdiction by any party to the reference after due notice to the other party or parties, be made an order of court. </w:t>
      </w:r>
    </w:p>
    <w:p w14:paraId="5E5CB88D" w14:textId="77777777" w:rsidR="003446E9" w:rsidRPr="004E3C86" w:rsidRDefault="003446E9" w:rsidP="004E3C86">
      <w:pPr>
        <w:spacing w:before="100" w:beforeAutospacing="1" w:after="100" w:afterAutospacing="1" w:line="360" w:lineRule="auto"/>
        <w:ind w:left="720"/>
        <w:rPr>
          <w:rFonts w:cs="Arial"/>
          <w:sz w:val="22"/>
          <w:szCs w:val="22"/>
          <w:lang w:val="en-ZA" w:eastAsia="en-GB"/>
        </w:rPr>
      </w:pPr>
      <w:r w:rsidRPr="004E3C86">
        <w:rPr>
          <w:rFonts w:cs="Arial"/>
          <w:color w:val="282828"/>
          <w:sz w:val="22"/>
          <w:szCs w:val="22"/>
          <w:lang w:val="en-ZA" w:eastAsia="en-GB"/>
        </w:rPr>
        <w:t xml:space="preserve">(2) The court to which application is so made, may, before making the award an order of court. correct in the award any clerical mistake or any patent error arising from any accidental slip or omission. </w:t>
      </w:r>
    </w:p>
    <w:p w14:paraId="73AC5654" w14:textId="518C1CCF" w:rsidR="003446E9" w:rsidRPr="00B7538B" w:rsidRDefault="003446E9" w:rsidP="00B7538B">
      <w:pPr>
        <w:spacing w:before="100" w:beforeAutospacing="1" w:after="100" w:afterAutospacing="1" w:line="360" w:lineRule="auto"/>
        <w:ind w:left="720"/>
        <w:rPr>
          <w:rFonts w:cs="Arial"/>
          <w:sz w:val="22"/>
          <w:szCs w:val="22"/>
          <w:lang w:val="en-ZA" w:eastAsia="en-GB"/>
        </w:rPr>
      </w:pPr>
      <w:r w:rsidRPr="004E3C86">
        <w:rPr>
          <w:rFonts w:cs="Arial"/>
          <w:color w:val="282828"/>
          <w:sz w:val="22"/>
          <w:szCs w:val="22"/>
          <w:lang w:val="en-ZA" w:eastAsia="en-GB"/>
        </w:rPr>
        <w:t xml:space="preserve">(3) An award which has been made an order of court may be enforced in the same manner as any judgment or order to the same effect. </w:t>
      </w:r>
      <w:r w:rsidR="00EC2DD1" w:rsidRPr="004E3C86">
        <w:rPr>
          <w:rFonts w:cs="Arial"/>
          <w:color w:val="282828"/>
          <w:sz w:val="22"/>
          <w:szCs w:val="22"/>
          <w:lang w:val="en-ZA" w:eastAsia="en-GB"/>
        </w:rPr>
        <w:t>‘</w:t>
      </w:r>
    </w:p>
    <w:p w14:paraId="2DEE37A0" w14:textId="161C2CE1" w:rsidR="000D38D1" w:rsidRPr="00D47BB9" w:rsidRDefault="004832B9" w:rsidP="004832B9">
      <w:pPr>
        <w:pStyle w:val="1"/>
        <w:numPr>
          <w:ilvl w:val="0"/>
          <w:numId w:val="0"/>
        </w:numPr>
        <w:tabs>
          <w:tab w:val="left" w:pos="567"/>
        </w:tabs>
        <w:rPr>
          <w:i/>
          <w:iCs w:val="0"/>
        </w:rPr>
      </w:pPr>
      <w:r w:rsidRPr="00D47BB9">
        <w:rPr>
          <w:iCs w:val="0"/>
        </w:rPr>
        <w:t>[18]</w:t>
      </w:r>
      <w:r w:rsidRPr="00D47BB9">
        <w:rPr>
          <w:iCs w:val="0"/>
        </w:rPr>
        <w:tab/>
      </w:r>
      <w:r w:rsidR="00A873C9">
        <w:t xml:space="preserve">Prior to the hearing in the court below, </w:t>
      </w:r>
      <w:r w:rsidR="00B56E1B">
        <w:t xml:space="preserve">ACSA submitted a supplementary affidavit, </w:t>
      </w:r>
      <w:r w:rsidR="00356D90">
        <w:t xml:space="preserve">the </w:t>
      </w:r>
      <w:r w:rsidR="00B56E1B">
        <w:t xml:space="preserve">receipt </w:t>
      </w:r>
      <w:r w:rsidR="00356D90">
        <w:t xml:space="preserve">of which by the court below </w:t>
      </w:r>
      <w:r w:rsidR="00B56E1B">
        <w:t xml:space="preserve">was not opposed. </w:t>
      </w:r>
      <w:r w:rsidR="00D256BC">
        <w:t xml:space="preserve">The </w:t>
      </w:r>
      <w:r w:rsidR="00D227F0">
        <w:t>Group</w:t>
      </w:r>
      <w:r w:rsidR="00D256BC">
        <w:t xml:space="preserve"> Legal Counsel for ACSA, </w:t>
      </w:r>
      <w:r w:rsidR="00D227F0">
        <w:t>Mr Ntsonkota</w:t>
      </w:r>
      <w:r w:rsidR="00C47FAD">
        <w:t>,</w:t>
      </w:r>
      <w:r w:rsidR="00BB2825">
        <w:t xml:space="preserve"> </w:t>
      </w:r>
      <w:r w:rsidR="00C57C7C">
        <w:t>sought leave to file the affidavit</w:t>
      </w:r>
      <w:r w:rsidR="004C0186">
        <w:t xml:space="preserve"> arguing that the content of the affidavit was primarily a legal point but </w:t>
      </w:r>
      <w:r w:rsidR="008F1D94">
        <w:t>that it is intertwined with the facts</w:t>
      </w:r>
      <w:r w:rsidR="00580D5C">
        <w:t xml:space="preserve"> and as such</w:t>
      </w:r>
      <w:r w:rsidR="00A42BEA">
        <w:t>,</w:t>
      </w:r>
      <w:r w:rsidR="00580D5C">
        <w:t xml:space="preserve"> could not ‘</w:t>
      </w:r>
      <w:r w:rsidR="00580D5C" w:rsidRPr="00C47FAD">
        <w:rPr>
          <w:i/>
          <w:iCs w:val="0"/>
        </w:rPr>
        <w:t>solely be raised from the bar’</w:t>
      </w:r>
      <w:r w:rsidR="00580D5C">
        <w:t>.</w:t>
      </w:r>
      <w:r w:rsidR="008F1D94">
        <w:t xml:space="preserve"> </w:t>
      </w:r>
      <w:r w:rsidR="00356D90">
        <w:t xml:space="preserve">It was received by the court </w:t>
      </w:r>
      <w:r w:rsidR="00356D90" w:rsidRPr="00D47BB9">
        <w:rPr>
          <w:i/>
          <w:iCs w:val="0"/>
        </w:rPr>
        <w:t>a quo.</w:t>
      </w:r>
    </w:p>
    <w:p w14:paraId="54C31164" w14:textId="76E3A41F" w:rsidR="005B7193" w:rsidRDefault="004832B9" w:rsidP="004832B9">
      <w:pPr>
        <w:pStyle w:val="1"/>
        <w:numPr>
          <w:ilvl w:val="0"/>
          <w:numId w:val="0"/>
        </w:numPr>
        <w:tabs>
          <w:tab w:val="left" w:pos="567"/>
        </w:tabs>
      </w:pPr>
      <w:r>
        <w:t>[19]</w:t>
      </w:r>
      <w:r>
        <w:tab/>
      </w:r>
      <w:r w:rsidR="00A96846">
        <w:t xml:space="preserve">Mr Ntsonkota </w:t>
      </w:r>
      <w:r w:rsidR="00356D90">
        <w:t>may for purposes of this judgement be considered ‘</w:t>
      </w:r>
      <w:r w:rsidR="00A96846">
        <w:t>the mind’ of ACSA</w:t>
      </w:r>
      <w:r w:rsidR="007B57E0">
        <w:t xml:space="preserve">, </w:t>
      </w:r>
      <w:r w:rsidR="00356D90">
        <w:t xml:space="preserve">and, </w:t>
      </w:r>
      <w:r w:rsidR="007B57E0">
        <w:t>speaking to ‘wilfulness and mala fides’</w:t>
      </w:r>
      <w:r w:rsidR="00356D90">
        <w:t xml:space="preserve"> on behalf of ACSA h</w:t>
      </w:r>
      <w:r w:rsidR="000C39A1">
        <w:t>e says:</w:t>
      </w:r>
    </w:p>
    <w:p w14:paraId="61618BC2" w14:textId="77777777" w:rsidR="00B7538B" w:rsidRDefault="00B7538B" w:rsidP="005F467B">
      <w:pPr>
        <w:pStyle w:val="1"/>
        <w:numPr>
          <w:ilvl w:val="0"/>
          <w:numId w:val="0"/>
        </w:numPr>
        <w:spacing w:line="360" w:lineRule="auto"/>
        <w:ind w:left="1134"/>
        <w:rPr>
          <w:sz w:val="22"/>
        </w:rPr>
      </w:pPr>
    </w:p>
    <w:p w14:paraId="02E91B7B" w14:textId="72F94F3B" w:rsidR="00A562FA" w:rsidRPr="00D47BB9" w:rsidRDefault="000C39A1" w:rsidP="005F467B">
      <w:pPr>
        <w:pStyle w:val="1"/>
        <w:numPr>
          <w:ilvl w:val="0"/>
          <w:numId w:val="0"/>
        </w:numPr>
        <w:spacing w:line="360" w:lineRule="auto"/>
        <w:ind w:left="1134"/>
        <w:rPr>
          <w:sz w:val="22"/>
        </w:rPr>
      </w:pPr>
      <w:r w:rsidRPr="00D47BB9">
        <w:rPr>
          <w:sz w:val="22"/>
        </w:rPr>
        <w:lastRenderedPageBreak/>
        <w:t>’15.</w:t>
      </w:r>
      <w:r w:rsidR="000F0514" w:rsidRPr="00D47BB9">
        <w:rPr>
          <w:sz w:val="22"/>
        </w:rPr>
        <w:t xml:space="preserve"> I am advised that an Order of this nature is not capable </w:t>
      </w:r>
      <w:r w:rsidR="00BA2A7E" w:rsidRPr="00D47BB9">
        <w:rPr>
          <w:sz w:val="22"/>
        </w:rPr>
        <w:t>of being breached, and even if not complied with, does not give rise to contempt of Court.</w:t>
      </w:r>
      <w:r w:rsidR="000B44D3" w:rsidRPr="00D47BB9">
        <w:rPr>
          <w:sz w:val="22"/>
        </w:rPr>
        <w:t xml:space="preserve"> </w:t>
      </w:r>
      <w:r w:rsidR="00860A22" w:rsidRPr="00D47BB9">
        <w:rPr>
          <w:sz w:val="22"/>
        </w:rPr>
        <w:t>The question that arises is what happens if one of the parties to this agreement breaches any of the terms of the agreement set out in clause 5.1. Does that entitle the aggrieved party to approach Court for contempt. The answer is found in paragraph 28 of the settlement agreement (SLA). Clause 28 deals with breach. It provides as follows:</w:t>
      </w:r>
    </w:p>
    <w:p w14:paraId="6570FD32" w14:textId="2F87B8B1" w:rsidR="00945013" w:rsidRPr="00D47BB9" w:rsidRDefault="00412A22" w:rsidP="005F467B">
      <w:pPr>
        <w:pStyle w:val="1"/>
        <w:numPr>
          <w:ilvl w:val="0"/>
          <w:numId w:val="0"/>
        </w:numPr>
        <w:spacing w:line="240" w:lineRule="auto"/>
        <w:ind w:left="2410"/>
        <w:rPr>
          <w:sz w:val="20"/>
          <w:szCs w:val="20"/>
        </w:rPr>
      </w:pPr>
      <w:r w:rsidRPr="00D47BB9">
        <w:rPr>
          <w:sz w:val="20"/>
          <w:szCs w:val="20"/>
        </w:rPr>
        <w:t>"Without derogating from the provisions of clause 26 (</w:t>
      </w:r>
      <w:r w:rsidR="00484220" w:rsidRPr="00D47BB9">
        <w:rPr>
          <w:i/>
          <w:iCs w:val="0"/>
          <w:sz w:val="20"/>
          <w:szCs w:val="20"/>
        </w:rPr>
        <w:t>T</w:t>
      </w:r>
      <w:r w:rsidRPr="00D47BB9">
        <w:rPr>
          <w:i/>
          <w:iCs w:val="0"/>
          <w:sz w:val="20"/>
          <w:szCs w:val="20"/>
        </w:rPr>
        <w:t>ermination</w:t>
      </w:r>
      <w:r w:rsidRPr="00D47BB9">
        <w:rPr>
          <w:sz w:val="20"/>
          <w:szCs w:val="20"/>
        </w:rPr>
        <w:t xml:space="preserve">) above, if any </w:t>
      </w:r>
      <w:r w:rsidR="00484220" w:rsidRPr="00D47BB9">
        <w:rPr>
          <w:sz w:val="20"/>
          <w:szCs w:val="20"/>
        </w:rPr>
        <w:t>P</w:t>
      </w:r>
      <w:r w:rsidRPr="00D47BB9">
        <w:rPr>
          <w:sz w:val="20"/>
          <w:szCs w:val="20"/>
        </w:rPr>
        <w:t xml:space="preserve">arty breaches any provision or term of this </w:t>
      </w:r>
      <w:r w:rsidR="00575D23" w:rsidRPr="00D47BB9">
        <w:rPr>
          <w:sz w:val="20"/>
          <w:szCs w:val="20"/>
        </w:rPr>
        <w:t>A</w:t>
      </w:r>
      <w:r w:rsidRPr="00D47BB9">
        <w:rPr>
          <w:sz w:val="20"/>
          <w:szCs w:val="20"/>
        </w:rPr>
        <w:t xml:space="preserve">greement and fails to remedy such breach within 10 days of receipt of written notice requiring it to do so then the aggrieved </w:t>
      </w:r>
      <w:r w:rsidR="00575D23" w:rsidRPr="00D47BB9">
        <w:rPr>
          <w:sz w:val="20"/>
          <w:szCs w:val="20"/>
        </w:rPr>
        <w:t>P</w:t>
      </w:r>
      <w:r w:rsidRPr="00D47BB9">
        <w:rPr>
          <w:sz w:val="20"/>
          <w:szCs w:val="20"/>
        </w:rPr>
        <w:t xml:space="preserve">arty shall be entitled, without notice and in addition to any other remedy available to it at law or under this </w:t>
      </w:r>
      <w:r w:rsidR="004108FF" w:rsidRPr="00D47BB9">
        <w:rPr>
          <w:sz w:val="20"/>
          <w:szCs w:val="20"/>
        </w:rPr>
        <w:t>A</w:t>
      </w:r>
      <w:r w:rsidRPr="00D47BB9">
        <w:rPr>
          <w:sz w:val="20"/>
          <w:szCs w:val="20"/>
        </w:rPr>
        <w:t xml:space="preserve">greement (including obtaining an interdict but excluding cancellation or termination of this </w:t>
      </w:r>
      <w:r w:rsidR="004108FF" w:rsidRPr="00D47BB9">
        <w:rPr>
          <w:sz w:val="20"/>
          <w:szCs w:val="20"/>
        </w:rPr>
        <w:t>A</w:t>
      </w:r>
      <w:r w:rsidRPr="00D47BB9">
        <w:rPr>
          <w:sz w:val="20"/>
          <w:szCs w:val="20"/>
        </w:rPr>
        <w:t xml:space="preserve">greement which remedy shall only be available to the </w:t>
      </w:r>
      <w:r w:rsidR="00802B56" w:rsidRPr="00D47BB9">
        <w:rPr>
          <w:sz w:val="20"/>
          <w:szCs w:val="20"/>
        </w:rPr>
        <w:t>P</w:t>
      </w:r>
      <w:r w:rsidRPr="00D47BB9">
        <w:rPr>
          <w:sz w:val="20"/>
          <w:szCs w:val="20"/>
        </w:rPr>
        <w:t>arties in terms of clause 26 (</w:t>
      </w:r>
      <w:r w:rsidR="00802B56" w:rsidRPr="00D47BB9">
        <w:rPr>
          <w:i/>
          <w:iCs w:val="0"/>
          <w:sz w:val="20"/>
          <w:szCs w:val="20"/>
        </w:rPr>
        <w:t>T</w:t>
      </w:r>
      <w:r w:rsidRPr="00D47BB9">
        <w:rPr>
          <w:i/>
          <w:iCs w:val="0"/>
          <w:sz w:val="20"/>
          <w:szCs w:val="20"/>
        </w:rPr>
        <w:t>ermination</w:t>
      </w:r>
      <w:r w:rsidRPr="00D47BB9">
        <w:rPr>
          <w:sz w:val="20"/>
          <w:szCs w:val="20"/>
        </w:rPr>
        <w:t>) above</w:t>
      </w:r>
      <w:r w:rsidR="00802B56" w:rsidRPr="00D47BB9">
        <w:rPr>
          <w:sz w:val="20"/>
          <w:szCs w:val="20"/>
        </w:rPr>
        <w:t>)</w:t>
      </w:r>
      <w:r w:rsidRPr="00D47BB9">
        <w:rPr>
          <w:sz w:val="20"/>
          <w:szCs w:val="20"/>
        </w:rPr>
        <w:t xml:space="preserve"> to claim specific performance of any obligation whether or not the due date for performance has arrived, in either event without prejudice to the aggrieved </w:t>
      </w:r>
      <w:r w:rsidR="001E50EA" w:rsidRPr="00D47BB9">
        <w:rPr>
          <w:sz w:val="20"/>
          <w:szCs w:val="20"/>
        </w:rPr>
        <w:t>P</w:t>
      </w:r>
      <w:r w:rsidRPr="00D47BB9">
        <w:rPr>
          <w:sz w:val="20"/>
          <w:szCs w:val="20"/>
        </w:rPr>
        <w:t xml:space="preserve">arty's right to claim damages." </w:t>
      </w:r>
    </w:p>
    <w:p w14:paraId="6161504B" w14:textId="77777777" w:rsidR="005F467B" w:rsidRPr="005F467B" w:rsidRDefault="005F467B" w:rsidP="005F467B">
      <w:pPr>
        <w:pStyle w:val="1"/>
        <w:numPr>
          <w:ilvl w:val="0"/>
          <w:numId w:val="0"/>
        </w:numPr>
        <w:spacing w:line="240" w:lineRule="auto"/>
        <w:ind w:left="2410"/>
        <w:rPr>
          <w:sz w:val="22"/>
        </w:rPr>
      </w:pPr>
    </w:p>
    <w:p w14:paraId="1853A58D" w14:textId="06917024" w:rsidR="00446172" w:rsidRDefault="00412A22" w:rsidP="005F467B">
      <w:pPr>
        <w:pStyle w:val="1"/>
        <w:numPr>
          <w:ilvl w:val="0"/>
          <w:numId w:val="0"/>
        </w:numPr>
        <w:spacing w:line="360" w:lineRule="auto"/>
        <w:ind w:left="1134"/>
        <w:rPr>
          <w:sz w:val="22"/>
        </w:rPr>
      </w:pPr>
      <w:r w:rsidRPr="00D47BB9">
        <w:rPr>
          <w:sz w:val="22"/>
        </w:rPr>
        <w:t>16</w:t>
      </w:r>
      <w:r w:rsidR="00945013" w:rsidRPr="00D47BB9">
        <w:rPr>
          <w:sz w:val="22"/>
        </w:rPr>
        <w:t xml:space="preserve">. </w:t>
      </w:r>
      <w:r w:rsidRPr="00D47BB9">
        <w:rPr>
          <w:sz w:val="22"/>
        </w:rPr>
        <w:t>The remedy of an aggrieved party is founded in clause 28 and not in contempt proceedings. It was therefore incumbent upon the applicant to have invoked clause 28 if it believed that the respondents have breached the SLA. The settlement agreement cannot be divorced from the SLA because</w:t>
      </w:r>
      <w:r w:rsidR="00E02C41" w:rsidRPr="00D47BB9">
        <w:rPr>
          <w:sz w:val="22"/>
        </w:rPr>
        <w:t xml:space="preserve"> it has been incorporated into the SLA. The remedies provided for in the SLA are the remedies which must be resorted to by the parties to the agreement</w:t>
      </w:r>
      <w:r w:rsidR="00E02C41" w:rsidRPr="005F467B">
        <w:rPr>
          <w:sz w:val="22"/>
        </w:rPr>
        <w:t>.</w:t>
      </w:r>
      <w:r w:rsidR="00446172" w:rsidRPr="005F467B">
        <w:rPr>
          <w:sz w:val="22"/>
        </w:rPr>
        <w:t>’</w:t>
      </w:r>
    </w:p>
    <w:p w14:paraId="37896067" w14:textId="77777777" w:rsidR="00D47BB9" w:rsidRPr="005F467B" w:rsidRDefault="00D47BB9" w:rsidP="005F467B">
      <w:pPr>
        <w:pStyle w:val="1"/>
        <w:numPr>
          <w:ilvl w:val="0"/>
          <w:numId w:val="0"/>
        </w:numPr>
        <w:spacing w:line="360" w:lineRule="auto"/>
        <w:ind w:left="1134"/>
        <w:rPr>
          <w:sz w:val="22"/>
        </w:rPr>
      </w:pPr>
    </w:p>
    <w:p w14:paraId="10609679" w14:textId="2BAF15CA" w:rsidR="00446172" w:rsidRDefault="004832B9" w:rsidP="004832B9">
      <w:pPr>
        <w:pStyle w:val="1"/>
        <w:numPr>
          <w:ilvl w:val="0"/>
          <w:numId w:val="0"/>
        </w:numPr>
        <w:tabs>
          <w:tab w:val="left" w:pos="567"/>
        </w:tabs>
      </w:pPr>
      <w:r>
        <w:t>[20]</w:t>
      </w:r>
      <w:r>
        <w:tab/>
      </w:r>
      <w:r w:rsidR="00FF5013">
        <w:t xml:space="preserve">This, </w:t>
      </w:r>
      <w:r w:rsidR="004E0B4C">
        <w:t xml:space="preserve">contends Mr </w:t>
      </w:r>
      <w:r w:rsidR="00FC6A02">
        <w:t xml:space="preserve">Ntsonkota, </w:t>
      </w:r>
      <w:r w:rsidR="00FF5013">
        <w:t>coupled with the already quoted</w:t>
      </w:r>
      <w:r w:rsidR="00BE7A08">
        <w:t xml:space="preserve"> paragraph 25</w:t>
      </w:r>
      <w:r w:rsidR="00A814D2">
        <w:t xml:space="preserve"> arbitration clause,</w:t>
      </w:r>
      <w:r w:rsidR="004E0B4C">
        <w:t xml:space="preserve"> precluded Cape Medics from proceeding with contempt proc</w:t>
      </w:r>
      <w:r w:rsidR="00A814D2">
        <w:t>e</w:t>
      </w:r>
      <w:r w:rsidR="004E0B4C">
        <w:t>edings.</w:t>
      </w:r>
      <w:r w:rsidR="00A814D2">
        <w:t xml:space="preserve"> </w:t>
      </w:r>
    </w:p>
    <w:p w14:paraId="611CD142" w14:textId="6902CE3E" w:rsidR="005D7E6D" w:rsidRDefault="004832B9" w:rsidP="004832B9">
      <w:pPr>
        <w:pStyle w:val="1"/>
        <w:numPr>
          <w:ilvl w:val="0"/>
          <w:numId w:val="0"/>
        </w:numPr>
        <w:tabs>
          <w:tab w:val="left" w:pos="567"/>
        </w:tabs>
      </w:pPr>
      <w:r>
        <w:t>[21]</w:t>
      </w:r>
      <w:r>
        <w:tab/>
      </w:r>
      <w:r w:rsidR="00FF1F8D">
        <w:t xml:space="preserve">Mr Mokhari was challenged </w:t>
      </w:r>
      <w:r w:rsidR="00356D90">
        <w:t xml:space="preserve">by me </w:t>
      </w:r>
      <w:r w:rsidR="00FF1F8D">
        <w:t xml:space="preserve">during </w:t>
      </w:r>
      <w:r w:rsidR="002341F8">
        <w:t>the hearing to explain</w:t>
      </w:r>
      <w:r w:rsidR="004E34BF">
        <w:t xml:space="preserve"> whether </w:t>
      </w:r>
      <w:r w:rsidR="000D1A4B">
        <w:t>the</w:t>
      </w:r>
      <w:r w:rsidR="004E34BF">
        <w:t xml:space="preserve"> argument came down to one which ousted the jurisdiction of the court. He </w:t>
      </w:r>
      <w:r w:rsidR="00492B73">
        <w:t xml:space="preserve">stated unequivocally </w:t>
      </w:r>
      <w:r w:rsidR="002E786A">
        <w:t xml:space="preserve">that it did not. My understanding of </w:t>
      </w:r>
      <w:r w:rsidR="004D01EC">
        <w:t>the</w:t>
      </w:r>
      <w:r w:rsidR="002E786A">
        <w:t xml:space="preserve"> argument</w:t>
      </w:r>
      <w:r w:rsidR="00F63321">
        <w:t xml:space="preserve"> is this: ACSA </w:t>
      </w:r>
      <w:r w:rsidR="00371507">
        <w:t>held the view</w:t>
      </w:r>
      <w:r w:rsidR="00CE40F0">
        <w:t xml:space="preserve">, based on </w:t>
      </w:r>
      <w:r w:rsidR="00CE40F0" w:rsidRPr="00D47BB9">
        <w:rPr>
          <w:i/>
          <w:iCs w:val="0"/>
        </w:rPr>
        <w:t>bona fide</w:t>
      </w:r>
      <w:r w:rsidR="00CE40F0">
        <w:t xml:space="preserve"> legal advice received, that</w:t>
      </w:r>
      <w:r w:rsidR="00C854C3">
        <w:t xml:space="preserve"> t</w:t>
      </w:r>
      <w:r w:rsidR="00296635">
        <w:t xml:space="preserve">he SLA as amended by the Settlement </w:t>
      </w:r>
      <w:r w:rsidR="00356D90">
        <w:t>A</w:t>
      </w:r>
      <w:r w:rsidR="00296635">
        <w:t xml:space="preserve">greement </w:t>
      </w:r>
      <w:r w:rsidR="00BC45AA">
        <w:t>and embodied in the Court Order, precluded</w:t>
      </w:r>
      <w:r w:rsidR="00A3682E">
        <w:t xml:space="preserve"> an approach to court for specific performance using contempt of court proceedings</w:t>
      </w:r>
      <w:r w:rsidR="00356D90">
        <w:t>, at least until the pre-requisite steps had been taken, as outlined above</w:t>
      </w:r>
      <w:r w:rsidR="00A3682E">
        <w:t>.</w:t>
      </w:r>
      <w:r w:rsidR="000A1F65">
        <w:t xml:space="preserve"> In addition, the invoking of the </w:t>
      </w:r>
      <w:r w:rsidR="000A1F65">
        <w:lastRenderedPageBreak/>
        <w:t xml:space="preserve">arbitration clause, precluded reliance on contempt of court </w:t>
      </w:r>
      <w:r w:rsidR="002A5411">
        <w:t>proceedings</w:t>
      </w:r>
      <w:r w:rsidR="00033952">
        <w:t>. Both of these feat</w:t>
      </w:r>
      <w:r w:rsidR="0087023C">
        <w:t>ures</w:t>
      </w:r>
      <w:r w:rsidR="00F11340">
        <w:t xml:space="preserve">, if he is correct, would </w:t>
      </w:r>
      <w:r w:rsidR="00033952">
        <w:t>negative ‘wilfulness and mala fides</w:t>
      </w:r>
      <w:r w:rsidR="00D47BB9">
        <w:t>’</w:t>
      </w:r>
      <w:r w:rsidR="00F11340">
        <w:t xml:space="preserve"> as they could only be present once the prior steps upon which the parties had agreed</w:t>
      </w:r>
      <w:r w:rsidR="00D2595E">
        <w:t>,</w:t>
      </w:r>
      <w:r w:rsidR="00F11340">
        <w:t xml:space="preserve"> had been taken. </w:t>
      </w:r>
    </w:p>
    <w:p w14:paraId="0CA48151" w14:textId="62B8DCFD" w:rsidR="004A7F47" w:rsidRDefault="004832B9" w:rsidP="004832B9">
      <w:pPr>
        <w:pStyle w:val="1"/>
        <w:numPr>
          <w:ilvl w:val="0"/>
          <w:numId w:val="0"/>
        </w:numPr>
        <w:tabs>
          <w:tab w:val="left" w:pos="567"/>
        </w:tabs>
      </w:pPr>
      <w:r>
        <w:t>[22]</w:t>
      </w:r>
      <w:r>
        <w:tab/>
      </w:r>
      <w:r w:rsidR="00F11340">
        <w:t xml:space="preserve">The </w:t>
      </w:r>
      <w:r w:rsidR="0088506F">
        <w:t xml:space="preserve">court </w:t>
      </w:r>
      <w:r w:rsidR="0088506F" w:rsidRPr="00D47BB9">
        <w:rPr>
          <w:i/>
          <w:iCs w:val="0"/>
        </w:rPr>
        <w:t>a quo</w:t>
      </w:r>
      <w:r w:rsidR="00C54E52">
        <w:t xml:space="preserve"> found</w:t>
      </w:r>
      <w:r w:rsidR="00392990">
        <w:t xml:space="preserve"> that although the settlement agreement, once made an order of court</w:t>
      </w:r>
      <w:r w:rsidR="007D0BB8">
        <w:t xml:space="preserve">, retained its features as a settlement agreement, it </w:t>
      </w:r>
      <w:r w:rsidR="00381D0F">
        <w:t xml:space="preserve">took on new and additional features pursuant to being made an order of court which included </w:t>
      </w:r>
      <w:r w:rsidR="00F11340">
        <w:t xml:space="preserve">that it could be </w:t>
      </w:r>
      <w:r w:rsidR="00381D0F">
        <w:t>enforce</w:t>
      </w:r>
      <w:r w:rsidR="00F11340">
        <w:t>d</w:t>
      </w:r>
      <w:r w:rsidR="00381D0F">
        <w:t xml:space="preserve"> by way of contempt proc</w:t>
      </w:r>
      <w:r w:rsidR="00FC58B8">
        <w:t>eedings.</w:t>
      </w:r>
      <w:r w:rsidR="00F11340">
        <w:t xml:space="preserve"> </w:t>
      </w:r>
    </w:p>
    <w:p w14:paraId="03889CF5" w14:textId="0D467310" w:rsidR="00C471A3" w:rsidRDefault="004832B9" w:rsidP="004832B9">
      <w:pPr>
        <w:pStyle w:val="1"/>
        <w:numPr>
          <w:ilvl w:val="0"/>
          <w:numId w:val="0"/>
        </w:numPr>
        <w:tabs>
          <w:tab w:val="left" w:pos="567"/>
        </w:tabs>
      </w:pPr>
      <w:r>
        <w:t>[23]</w:t>
      </w:r>
      <w:r>
        <w:tab/>
      </w:r>
      <w:r w:rsidR="00F11340">
        <w:t>Could wilfulness and mala fides be imputed at the stage at which they were, or was the gun jumped?</w:t>
      </w:r>
    </w:p>
    <w:p w14:paraId="6B0A11CF" w14:textId="4A432746" w:rsidR="00446172" w:rsidRPr="00C471A3" w:rsidRDefault="004832B9" w:rsidP="004832B9">
      <w:pPr>
        <w:pStyle w:val="1"/>
        <w:numPr>
          <w:ilvl w:val="0"/>
          <w:numId w:val="0"/>
        </w:numPr>
        <w:tabs>
          <w:tab w:val="left" w:pos="567"/>
        </w:tabs>
      </w:pPr>
      <w:r w:rsidRPr="00C471A3">
        <w:t>[24]</w:t>
      </w:r>
      <w:r w:rsidRPr="00C471A3">
        <w:tab/>
      </w:r>
      <w:r w:rsidR="00114399">
        <w:t xml:space="preserve">Acting Deputy Chief </w:t>
      </w:r>
      <w:r w:rsidR="005224D2">
        <w:t>Justice Khampepe</w:t>
      </w:r>
      <w:r w:rsidR="00B5403A">
        <w:t xml:space="preserve"> (as she then was) </w:t>
      </w:r>
      <w:r w:rsidR="004716A9">
        <w:t>held in</w:t>
      </w:r>
      <w:r w:rsidR="00B977C8">
        <w:t xml:space="preserve"> </w:t>
      </w:r>
      <w:r w:rsidR="00B977C8" w:rsidRPr="00C471A3">
        <w:rPr>
          <w:rFonts w:cs="Arial"/>
          <w:i/>
          <w:iCs w:val="0"/>
          <w:color w:val="000000" w:themeColor="text1"/>
        </w:rPr>
        <w:t>Secretary of the Judicial Commission of Inquiry into Allegations of State Capture, Corruption and Fraud in the Public Sector including Organs of State v Zuma and Others</w:t>
      </w:r>
      <w:r w:rsidR="00707D62">
        <w:rPr>
          <w:rStyle w:val="FootnoteReference"/>
          <w:rFonts w:cs="Arial"/>
          <w:i/>
          <w:iCs w:val="0"/>
          <w:color w:val="000000" w:themeColor="text1"/>
        </w:rPr>
        <w:footnoteReference w:id="2"/>
      </w:r>
      <w:r w:rsidR="00B977C8" w:rsidRPr="00C471A3">
        <w:t>:</w:t>
      </w:r>
    </w:p>
    <w:p w14:paraId="2DAB3F8A" w14:textId="177F3148" w:rsidR="00397C50" w:rsidRPr="00D47BB9" w:rsidRDefault="003164E3" w:rsidP="003164E3">
      <w:pPr>
        <w:pStyle w:val="1"/>
        <w:numPr>
          <w:ilvl w:val="0"/>
          <w:numId w:val="0"/>
        </w:numPr>
        <w:spacing w:line="360" w:lineRule="auto"/>
        <w:ind w:left="1134"/>
        <w:rPr>
          <w:sz w:val="22"/>
        </w:rPr>
      </w:pPr>
      <w:r w:rsidRPr="00D47BB9">
        <w:rPr>
          <w:sz w:val="22"/>
        </w:rPr>
        <w:t>‘</w:t>
      </w:r>
      <w:r w:rsidR="004716A9" w:rsidRPr="00D47BB9">
        <w:rPr>
          <w:sz w:val="22"/>
        </w:rPr>
        <w:t>[27]</w:t>
      </w:r>
      <w:r w:rsidR="004716A9" w:rsidRPr="00D47BB9">
        <w:t xml:space="preserve"> </w:t>
      </w:r>
      <w:r w:rsidR="00397C50" w:rsidRPr="00D47BB9">
        <w:rPr>
          <w:sz w:val="22"/>
        </w:rPr>
        <w:t>Contempt of court proceedings exist to protect the rule of law and the authority of the Judiciary.  As the applicant correctly avers, “the authority of courts and obedience of their orders – the very foundation of a constitutional order founded on the rule of law – depends on public trust and respect for the courts”.  Any disregard for this Court’s order and the judicial process requires this Court to intervene</w:t>
      </w:r>
      <w:r w:rsidRPr="00D47BB9">
        <w:rPr>
          <w:sz w:val="22"/>
        </w:rPr>
        <w:t>…….’</w:t>
      </w:r>
    </w:p>
    <w:p w14:paraId="1B763F60" w14:textId="37AA8CB6" w:rsidR="00A461D0" w:rsidRPr="00D47BB9" w:rsidRDefault="00A461D0" w:rsidP="003164E3">
      <w:pPr>
        <w:pStyle w:val="1"/>
        <w:numPr>
          <w:ilvl w:val="0"/>
          <w:numId w:val="0"/>
        </w:numPr>
        <w:spacing w:line="360" w:lineRule="auto"/>
        <w:ind w:left="1134"/>
        <w:rPr>
          <w:sz w:val="22"/>
        </w:rPr>
      </w:pPr>
      <w:r w:rsidRPr="00D47BB9">
        <w:rPr>
          <w:sz w:val="22"/>
        </w:rPr>
        <w:t xml:space="preserve">And further </w:t>
      </w:r>
      <w:r w:rsidR="00ED6A5A" w:rsidRPr="00D47BB9">
        <w:rPr>
          <w:sz w:val="22"/>
        </w:rPr>
        <w:t>at [87]</w:t>
      </w:r>
    </w:p>
    <w:p w14:paraId="00AB2BC8" w14:textId="2970406D" w:rsidR="00ED6A5A" w:rsidRPr="00D47BB9" w:rsidRDefault="00175227" w:rsidP="003164E3">
      <w:pPr>
        <w:pStyle w:val="1"/>
        <w:numPr>
          <w:ilvl w:val="0"/>
          <w:numId w:val="0"/>
        </w:numPr>
        <w:spacing w:line="360" w:lineRule="auto"/>
        <w:ind w:left="1134"/>
        <w:rPr>
          <w:rFonts w:cs="Arial"/>
          <w:color w:val="242121"/>
          <w:sz w:val="22"/>
          <w:shd w:val="clear" w:color="auto" w:fill="FFFFFF"/>
        </w:rPr>
      </w:pPr>
      <w:r w:rsidRPr="00D47BB9">
        <w:rPr>
          <w:rFonts w:cs="Arial"/>
          <w:color w:val="242121"/>
          <w:sz w:val="22"/>
          <w:shd w:val="clear" w:color="auto" w:fill="FFFFFF"/>
        </w:rPr>
        <w:t>‘…..Here, I repeat myself: court orders must be obeyed.  If the impression were to be created that court orders are not binding, or can be flouted with impunity, the future of the Judiciary, and the rule of law, would indeed be bleak….’ </w:t>
      </w:r>
    </w:p>
    <w:p w14:paraId="4DD8968B" w14:textId="77777777" w:rsidR="008455CB" w:rsidRPr="00175227" w:rsidRDefault="008455CB" w:rsidP="003164E3">
      <w:pPr>
        <w:pStyle w:val="1"/>
        <w:numPr>
          <w:ilvl w:val="0"/>
          <w:numId w:val="0"/>
        </w:numPr>
        <w:spacing w:line="360" w:lineRule="auto"/>
        <w:ind w:left="1134"/>
        <w:rPr>
          <w:rFonts w:cs="Arial"/>
          <w:sz w:val="22"/>
        </w:rPr>
      </w:pPr>
    </w:p>
    <w:p w14:paraId="2F4A7658" w14:textId="31F9767B" w:rsidR="00397C50" w:rsidRDefault="004832B9" w:rsidP="004832B9">
      <w:pPr>
        <w:pStyle w:val="1"/>
        <w:numPr>
          <w:ilvl w:val="0"/>
          <w:numId w:val="0"/>
        </w:numPr>
        <w:tabs>
          <w:tab w:val="left" w:pos="567"/>
        </w:tabs>
      </w:pPr>
      <w:r>
        <w:t>[25]</w:t>
      </w:r>
      <w:r>
        <w:tab/>
      </w:r>
      <w:r w:rsidR="001959BD">
        <w:t>Th</w:t>
      </w:r>
      <w:r w:rsidR="005F4D4B">
        <w:t xml:space="preserve">e finding by Crutchfield AJ (as she then was) is </w:t>
      </w:r>
      <w:r w:rsidR="009C3B37">
        <w:t xml:space="preserve">undoubtedly correct </w:t>
      </w:r>
      <w:r w:rsidR="00F11340">
        <w:t>i.e.</w:t>
      </w:r>
      <w:r w:rsidR="009C3B37">
        <w:t xml:space="preserve"> that the Court Order was enforceable by way of contempt proceedings</w:t>
      </w:r>
      <w:r w:rsidR="00D947CE">
        <w:t>. The question is</w:t>
      </w:r>
      <w:r w:rsidR="005D62CB">
        <w:t>,</w:t>
      </w:r>
      <w:r w:rsidR="00D947CE">
        <w:t xml:space="preserve"> </w:t>
      </w:r>
      <w:r w:rsidR="00D947CE">
        <w:lastRenderedPageBreak/>
        <w:t>was</w:t>
      </w:r>
      <w:r w:rsidR="00F275B1">
        <w:t xml:space="preserve"> it </w:t>
      </w:r>
      <w:r w:rsidR="00F11340">
        <w:t>re</w:t>
      </w:r>
      <w:r w:rsidR="001C7130">
        <w:t>asonable</w:t>
      </w:r>
      <w:r w:rsidR="00F11340">
        <w:t xml:space="preserve"> </w:t>
      </w:r>
      <w:r w:rsidR="00F275B1">
        <w:t xml:space="preserve">under the circumstances </w:t>
      </w:r>
      <w:r w:rsidR="00C21FC7">
        <w:t xml:space="preserve">for </w:t>
      </w:r>
      <w:r w:rsidR="00F275B1">
        <w:t xml:space="preserve">ACSA </w:t>
      </w:r>
      <w:r w:rsidR="00F11340">
        <w:t xml:space="preserve">and its responsible executives </w:t>
      </w:r>
      <w:r w:rsidR="00F275B1">
        <w:t xml:space="preserve">to </w:t>
      </w:r>
      <w:r w:rsidR="00F665F3">
        <w:t xml:space="preserve">expect that the provisions of the SLA would be implemented </w:t>
      </w:r>
      <w:r w:rsidR="0053687E">
        <w:t xml:space="preserve">i.e. that the </w:t>
      </w:r>
      <w:r w:rsidR="00F665F3">
        <w:t xml:space="preserve">prior </w:t>
      </w:r>
      <w:r w:rsidR="00F13206">
        <w:t xml:space="preserve">agreed upon dispute resolution clauses (including their implied terms) </w:t>
      </w:r>
      <w:r w:rsidR="000826EB">
        <w:t>would be</w:t>
      </w:r>
      <w:r w:rsidR="00F13206">
        <w:t xml:space="preserve"> exhausted before </w:t>
      </w:r>
      <w:r w:rsidR="00F665F3">
        <w:t xml:space="preserve">such a drastic step </w:t>
      </w:r>
      <w:r w:rsidR="00F13206">
        <w:t>could be taken</w:t>
      </w:r>
      <w:r w:rsidR="000826EB">
        <w:t>?</w:t>
      </w:r>
      <w:r w:rsidR="00F13206">
        <w:t xml:space="preserve"> </w:t>
      </w:r>
      <w:r w:rsidR="00851213">
        <w:t>If</w:t>
      </w:r>
      <w:r w:rsidR="00F13206">
        <w:t xml:space="preserve"> they subjectively understood the position differently</w:t>
      </w:r>
      <w:r w:rsidR="00851213">
        <w:t xml:space="preserve"> </w:t>
      </w:r>
      <w:r w:rsidR="00F665F3">
        <w:t>does this</w:t>
      </w:r>
      <w:r w:rsidR="00FE7507">
        <w:t xml:space="preserve"> understanding negative wilfulness or mala fides?</w:t>
      </w:r>
    </w:p>
    <w:p w14:paraId="45ECE32D" w14:textId="644E7C0A" w:rsidR="006F1B50" w:rsidRPr="00877CC3" w:rsidRDefault="004832B9" w:rsidP="004832B9">
      <w:pPr>
        <w:pStyle w:val="1"/>
        <w:numPr>
          <w:ilvl w:val="0"/>
          <w:numId w:val="0"/>
        </w:numPr>
        <w:tabs>
          <w:tab w:val="left" w:pos="567"/>
        </w:tabs>
      </w:pPr>
      <w:r w:rsidRPr="00877CC3">
        <w:t>[26]</w:t>
      </w:r>
      <w:r w:rsidRPr="00877CC3">
        <w:tab/>
      </w:r>
      <w:r w:rsidR="006F1B50" w:rsidRPr="00694B95">
        <w:rPr>
          <w:rFonts w:cs="Arial"/>
          <w:szCs w:val="24"/>
        </w:rPr>
        <w:t xml:space="preserve">Where committal </w:t>
      </w:r>
      <w:r w:rsidR="00F13206">
        <w:rPr>
          <w:rFonts w:cs="Arial"/>
          <w:szCs w:val="24"/>
        </w:rPr>
        <w:t xml:space="preserve">to prison </w:t>
      </w:r>
      <w:r w:rsidR="006F1B50" w:rsidRPr="00694B95">
        <w:rPr>
          <w:rFonts w:cs="Arial"/>
          <w:szCs w:val="24"/>
        </w:rPr>
        <w:t xml:space="preserve">is sought, contempt of </w:t>
      </w:r>
      <w:r w:rsidR="006F1B50">
        <w:rPr>
          <w:rFonts w:cs="Arial"/>
          <w:szCs w:val="24"/>
        </w:rPr>
        <w:t>court</w:t>
      </w:r>
      <w:r w:rsidR="006F1B50" w:rsidRPr="00694B95">
        <w:rPr>
          <w:rFonts w:cs="Arial"/>
          <w:szCs w:val="24"/>
        </w:rPr>
        <w:t xml:space="preserve"> constitutes a criminal offence.</w:t>
      </w:r>
      <w:r w:rsidR="006F1B50" w:rsidRPr="00AA53D7">
        <w:rPr>
          <w:rStyle w:val="FootnoteReference"/>
          <w:rFonts w:cs="Arial"/>
          <w:szCs w:val="24"/>
        </w:rPr>
        <w:footnoteReference w:id="3"/>
      </w:r>
      <w:r w:rsidR="006F1B50" w:rsidRPr="00694B95">
        <w:rPr>
          <w:rFonts w:cs="Arial"/>
          <w:szCs w:val="24"/>
        </w:rPr>
        <w:t xml:space="preserve"> </w:t>
      </w:r>
      <w:r w:rsidR="006F1B50">
        <w:rPr>
          <w:rFonts w:cs="Arial"/>
          <w:szCs w:val="24"/>
        </w:rPr>
        <w:t xml:space="preserve"> </w:t>
      </w:r>
      <w:r w:rsidR="006F1B50" w:rsidRPr="00694B95">
        <w:rPr>
          <w:rFonts w:cs="Arial"/>
          <w:szCs w:val="24"/>
        </w:rPr>
        <w:t xml:space="preserve">In this respect, all major jurisdictions in the world are </w:t>
      </w:r>
      <w:r w:rsidR="006F1B50" w:rsidRPr="00694B95">
        <w:rPr>
          <w:rFonts w:cs="Arial"/>
          <w:i/>
          <w:szCs w:val="24"/>
        </w:rPr>
        <w:t>ad idem</w:t>
      </w:r>
      <w:r w:rsidR="006F1B50" w:rsidRPr="00694B95">
        <w:rPr>
          <w:rFonts w:cs="Arial"/>
          <w:szCs w:val="24"/>
        </w:rPr>
        <w:t>.</w:t>
      </w:r>
      <w:r w:rsidR="006F1B50" w:rsidRPr="00AA53D7">
        <w:rPr>
          <w:rStyle w:val="FootnoteReference"/>
          <w:rFonts w:cs="Arial"/>
          <w:szCs w:val="24"/>
        </w:rPr>
        <w:footnoteReference w:id="4"/>
      </w:r>
    </w:p>
    <w:p w14:paraId="2BD4072C" w14:textId="03B57B79" w:rsidR="006F1B50" w:rsidRPr="00694B95" w:rsidRDefault="004832B9" w:rsidP="004832B9">
      <w:pPr>
        <w:pStyle w:val="1"/>
        <w:numPr>
          <w:ilvl w:val="0"/>
          <w:numId w:val="0"/>
        </w:numPr>
        <w:tabs>
          <w:tab w:val="left" w:pos="567"/>
        </w:tabs>
      </w:pPr>
      <w:r w:rsidRPr="00694B95">
        <w:t>[27]</w:t>
      </w:r>
      <w:r w:rsidRPr="00694B95">
        <w:tab/>
      </w:r>
      <w:r w:rsidR="006F1B50" w:rsidRPr="00877CC3">
        <w:rPr>
          <w:rFonts w:cs="Arial"/>
          <w:szCs w:val="24"/>
        </w:rPr>
        <w:t xml:space="preserve">Given the extraordinary nature of contempt proceedings, and due to the serious consequences of incarceration, our </w:t>
      </w:r>
      <w:r w:rsidR="006F1B50">
        <w:rPr>
          <w:rFonts w:cs="Arial"/>
          <w:szCs w:val="24"/>
        </w:rPr>
        <w:t>Court</w:t>
      </w:r>
      <w:r w:rsidR="006F1B50" w:rsidRPr="00877CC3">
        <w:rPr>
          <w:rFonts w:cs="Arial"/>
          <w:szCs w:val="24"/>
        </w:rPr>
        <w:t xml:space="preserve">s have held that committal for contempt for non-compliance with </w:t>
      </w:r>
      <w:r w:rsidR="006F1B50">
        <w:rPr>
          <w:rFonts w:cs="Arial"/>
          <w:szCs w:val="24"/>
        </w:rPr>
        <w:t>Court</w:t>
      </w:r>
      <w:r w:rsidR="006F1B50" w:rsidRPr="00877CC3">
        <w:rPr>
          <w:rFonts w:cs="Arial"/>
          <w:szCs w:val="24"/>
        </w:rPr>
        <w:t xml:space="preserve"> orders should only be engaged as a matter of last resort.</w:t>
      </w:r>
      <w:r w:rsidR="006F1B50" w:rsidRPr="00AA53D7">
        <w:rPr>
          <w:rStyle w:val="FootnoteReference"/>
          <w:rFonts w:cs="Arial"/>
          <w:szCs w:val="24"/>
        </w:rPr>
        <w:footnoteReference w:id="5"/>
      </w:r>
      <w:r w:rsidR="006F1B50" w:rsidRPr="00877CC3">
        <w:rPr>
          <w:rFonts w:cs="Arial"/>
          <w:szCs w:val="24"/>
        </w:rPr>
        <w:t xml:space="preserve"> </w:t>
      </w:r>
      <w:r w:rsidR="006F1B50">
        <w:rPr>
          <w:rFonts w:cs="Arial"/>
          <w:szCs w:val="24"/>
        </w:rPr>
        <w:t xml:space="preserve"> </w:t>
      </w:r>
      <w:r w:rsidR="006F1B50" w:rsidRPr="00877CC3">
        <w:rPr>
          <w:rFonts w:cs="Arial"/>
          <w:szCs w:val="24"/>
        </w:rPr>
        <w:t xml:space="preserve">This position is consistent with the position taken on the issue by Lord Omrod, in </w:t>
      </w:r>
      <w:r w:rsidR="006F1B50" w:rsidRPr="00877CC3">
        <w:rPr>
          <w:rFonts w:cs="Arial"/>
          <w:i/>
          <w:szCs w:val="24"/>
        </w:rPr>
        <w:t>Ansah v Ansah</w:t>
      </w:r>
      <w:r w:rsidR="006F1B50" w:rsidRPr="00877CC3">
        <w:rPr>
          <w:rFonts w:cs="Arial"/>
          <w:szCs w:val="24"/>
        </w:rPr>
        <w:t>:</w:t>
      </w:r>
      <w:r w:rsidR="006F1B50" w:rsidRPr="00AA53D7">
        <w:rPr>
          <w:rStyle w:val="FootnoteReference"/>
          <w:rFonts w:cs="Arial"/>
          <w:szCs w:val="24"/>
          <w:shd w:val="clear" w:color="auto" w:fill="FFFFFF"/>
        </w:rPr>
        <w:footnoteReference w:id="6"/>
      </w:r>
    </w:p>
    <w:p w14:paraId="0023E3F4" w14:textId="77777777" w:rsidR="006F1B50" w:rsidRDefault="006F1B50" w:rsidP="006F1B50">
      <w:pPr>
        <w:pStyle w:val="1"/>
        <w:numPr>
          <w:ilvl w:val="0"/>
          <w:numId w:val="0"/>
        </w:numPr>
        <w:spacing w:line="360" w:lineRule="auto"/>
        <w:ind w:left="1134"/>
        <w:rPr>
          <w:sz w:val="22"/>
          <w:shd w:val="clear" w:color="auto" w:fill="FFFFFF"/>
        </w:rPr>
      </w:pPr>
      <w:r w:rsidRPr="00877CC3">
        <w:rPr>
          <w:sz w:val="22"/>
        </w:rPr>
        <w:t>“</w:t>
      </w:r>
      <w:r w:rsidRPr="00D47BB9">
        <w:rPr>
          <w:sz w:val="22"/>
        </w:rPr>
        <w:t>Such a breach or breaches of an injunction in the circumstances of such a case as this do not justify</w:t>
      </w:r>
      <w:r w:rsidRPr="00D47BB9">
        <w:rPr>
          <w:sz w:val="22"/>
          <w:shd w:val="clear" w:color="auto" w:fill="FFFFFF"/>
        </w:rPr>
        <w:t xml:space="preserve"> the making of a committal order, suspended or otherwise. Breach of such an order is, perhaps unfortunately, called contempt of court, the conventional remedy for which is a summons for committal. But the real purpose of bringing the matter back to the court, in most cases, is not so much to punish the disobedience, as to secure compliance with the order in the future. It will often be wiser to bring the matter before the court again for further direction before applying for committal order. Committal orders are remedies of last resort.”</w:t>
      </w:r>
    </w:p>
    <w:p w14:paraId="7251971D" w14:textId="77777777" w:rsidR="001F187E" w:rsidRPr="00D47BB9" w:rsidRDefault="001F187E" w:rsidP="006F1B50">
      <w:pPr>
        <w:pStyle w:val="1"/>
        <w:numPr>
          <w:ilvl w:val="0"/>
          <w:numId w:val="0"/>
        </w:numPr>
        <w:spacing w:line="360" w:lineRule="auto"/>
        <w:ind w:left="1134"/>
        <w:rPr>
          <w:sz w:val="22"/>
          <w:shd w:val="clear" w:color="auto" w:fill="FFFFFF"/>
        </w:rPr>
      </w:pPr>
    </w:p>
    <w:p w14:paraId="0829EE3F" w14:textId="77777777" w:rsidR="006C226C" w:rsidRPr="006C226C" w:rsidRDefault="006C226C" w:rsidP="006C226C">
      <w:pPr>
        <w:pStyle w:val="1"/>
        <w:numPr>
          <w:ilvl w:val="0"/>
          <w:numId w:val="0"/>
        </w:numPr>
      </w:pPr>
    </w:p>
    <w:p w14:paraId="7BECA742" w14:textId="71C3E858" w:rsidR="006F1B50" w:rsidRPr="00D47BB9" w:rsidRDefault="004832B9" w:rsidP="004832B9">
      <w:pPr>
        <w:pStyle w:val="1"/>
        <w:numPr>
          <w:ilvl w:val="0"/>
          <w:numId w:val="0"/>
        </w:numPr>
        <w:tabs>
          <w:tab w:val="left" w:pos="567"/>
        </w:tabs>
      </w:pPr>
      <w:r w:rsidRPr="00D47BB9">
        <w:lastRenderedPageBreak/>
        <w:t>[28]</w:t>
      </w:r>
      <w:r w:rsidRPr="00D47BB9">
        <w:tab/>
      </w:r>
      <w:r w:rsidR="006F1B50" w:rsidRPr="00F13206">
        <w:rPr>
          <w:rFonts w:cs="Arial"/>
          <w:szCs w:val="24"/>
        </w:rPr>
        <w:t xml:space="preserve">In </w:t>
      </w:r>
      <w:r w:rsidR="006F1B50" w:rsidRPr="00D47BB9">
        <w:rPr>
          <w:rFonts w:cs="Arial"/>
          <w:i/>
          <w:iCs w:val="0"/>
          <w:szCs w:val="24"/>
        </w:rPr>
        <w:t>Dezius</w:t>
      </w:r>
      <w:r w:rsidR="006F1B50" w:rsidRPr="00F13206">
        <w:rPr>
          <w:rFonts w:cs="Arial"/>
          <w:szCs w:val="24"/>
        </w:rPr>
        <w:t>,</w:t>
      </w:r>
      <w:r w:rsidR="006F1B50" w:rsidRPr="00F13206">
        <w:rPr>
          <w:rStyle w:val="FootnoteReference"/>
          <w:rFonts w:cs="Arial"/>
          <w:szCs w:val="24"/>
        </w:rPr>
        <w:footnoteReference w:id="7"/>
      </w:r>
      <w:r w:rsidR="006F1B50" w:rsidRPr="00F13206">
        <w:rPr>
          <w:rFonts w:cs="Arial"/>
          <w:szCs w:val="24"/>
        </w:rPr>
        <w:t xml:space="preserve"> the Pretoria High Court held as follows</w:t>
      </w:r>
      <w:r w:rsidR="006F1B50" w:rsidRPr="00D47BB9">
        <w:rPr>
          <w:rFonts w:cs="Arial"/>
          <w:szCs w:val="24"/>
        </w:rPr>
        <w:t>:</w:t>
      </w:r>
    </w:p>
    <w:p w14:paraId="40D981D8" w14:textId="394E371E" w:rsidR="006F1B50" w:rsidRPr="00694B95" w:rsidRDefault="006C0465" w:rsidP="006F1B50">
      <w:pPr>
        <w:pStyle w:val="1"/>
        <w:numPr>
          <w:ilvl w:val="0"/>
          <w:numId w:val="0"/>
        </w:numPr>
        <w:spacing w:line="360" w:lineRule="auto"/>
        <w:ind w:left="1134"/>
      </w:pPr>
      <w:r w:rsidRPr="00D47BB9">
        <w:rPr>
          <w:rFonts w:cs="Arial"/>
          <w:sz w:val="22"/>
        </w:rPr>
        <w:t>‘</w:t>
      </w:r>
      <w:r w:rsidR="006F1B50" w:rsidRPr="00D47BB9">
        <w:rPr>
          <w:rFonts w:cs="Arial"/>
          <w:iCs w:val="0"/>
          <w:color w:val="242121"/>
          <w:sz w:val="22"/>
        </w:rPr>
        <w:t>An offender should not be deprived of his liberty except in accordance with the precepts of fundamental justice</w:t>
      </w:r>
      <w:r w:rsidR="006F1B50" w:rsidRPr="00D47BB9">
        <w:rPr>
          <w:rStyle w:val="apple-converted-space"/>
          <w:rFonts w:cs="Arial"/>
          <w:iCs w:val="0"/>
          <w:color w:val="242121"/>
          <w:sz w:val="22"/>
        </w:rPr>
        <w:t> </w:t>
      </w:r>
      <w:r w:rsidR="006F1B50" w:rsidRPr="00D47BB9">
        <w:rPr>
          <w:rFonts w:cs="Arial"/>
          <w:iCs w:val="0"/>
          <w:color w:val="242121"/>
          <w:sz w:val="22"/>
        </w:rPr>
        <w:t>and in compliance with procedural safeguards. The public sanction of imprisonment for disobedience of a court order requires conclusive proof. It is, therefore, imperative that before a committal order is issued the court should scrutinise the facts with great care</w:t>
      </w:r>
      <w:r w:rsidR="006F1B50">
        <w:rPr>
          <w:rFonts w:cs="Arial"/>
          <w:iCs w:val="0"/>
          <w:color w:val="242121"/>
          <w:sz w:val="22"/>
        </w:rPr>
        <w:t>.</w:t>
      </w:r>
      <w:r>
        <w:rPr>
          <w:rFonts w:cs="Arial"/>
          <w:color w:val="242121"/>
          <w:sz w:val="22"/>
        </w:rPr>
        <w:t>’</w:t>
      </w:r>
    </w:p>
    <w:p w14:paraId="35C205D5" w14:textId="6F0A1B3D" w:rsidR="00150969" w:rsidRDefault="004832B9" w:rsidP="004832B9">
      <w:pPr>
        <w:pStyle w:val="1"/>
        <w:numPr>
          <w:ilvl w:val="0"/>
          <w:numId w:val="0"/>
        </w:numPr>
        <w:tabs>
          <w:tab w:val="left" w:pos="567"/>
        </w:tabs>
      </w:pPr>
      <w:r>
        <w:t>[29]</w:t>
      </w:r>
      <w:r>
        <w:tab/>
      </w:r>
      <w:r w:rsidR="006F1B50" w:rsidRPr="00BC7164">
        <w:rPr>
          <w:rFonts w:cs="Arial"/>
          <w:szCs w:val="24"/>
        </w:rPr>
        <w:t>We are charged to scrutinise the facts</w:t>
      </w:r>
      <w:r w:rsidR="00960EB2">
        <w:rPr>
          <w:rFonts w:cs="Arial"/>
          <w:szCs w:val="24"/>
        </w:rPr>
        <w:t xml:space="preserve"> </w:t>
      </w:r>
      <w:r w:rsidR="005C70FA">
        <w:t xml:space="preserve">as </w:t>
      </w:r>
      <w:r w:rsidR="0033526D">
        <w:t xml:space="preserve">they </w:t>
      </w:r>
      <w:r w:rsidR="005C70FA">
        <w:t>feed into the wilfulness and mala fides issue</w:t>
      </w:r>
      <w:r w:rsidR="0033526D">
        <w:t xml:space="preserve">, </w:t>
      </w:r>
      <w:r w:rsidR="00F13206">
        <w:t xml:space="preserve">and these </w:t>
      </w:r>
      <w:r w:rsidR="005C70FA">
        <w:t>need to be considered</w:t>
      </w:r>
      <w:r w:rsidR="005255AB">
        <w:t>.</w:t>
      </w:r>
    </w:p>
    <w:p w14:paraId="013218A1" w14:textId="2B22BF1A" w:rsidR="001F187E" w:rsidRPr="00E500E6" w:rsidRDefault="004832B9" w:rsidP="004832B9">
      <w:pPr>
        <w:pStyle w:val="1"/>
        <w:numPr>
          <w:ilvl w:val="0"/>
          <w:numId w:val="0"/>
        </w:numPr>
        <w:tabs>
          <w:tab w:val="left" w:pos="567"/>
        </w:tabs>
      </w:pPr>
      <w:r w:rsidRPr="00E500E6">
        <w:t>[30]</w:t>
      </w:r>
      <w:r w:rsidRPr="00E500E6">
        <w:tab/>
      </w:r>
      <w:r w:rsidR="00F13206">
        <w:t xml:space="preserve">Having unpacked the </w:t>
      </w:r>
      <w:r w:rsidR="00B76955">
        <w:t>SLA</w:t>
      </w:r>
      <w:r w:rsidR="00104D3F">
        <w:t xml:space="preserve"> and settlement </w:t>
      </w:r>
      <w:r w:rsidR="00F13206">
        <w:t>agreement and the dispute that flowed therefrom</w:t>
      </w:r>
      <w:r w:rsidR="00104D3F">
        <w:t>,</w:t>
      </w:r>
      <w:r w:rsidR="00F13206">
        <w:t xml:space="preserve"> I now turn to the non-compliance with the contractual obligations and the infer</w:t>
      </w:r>
      <w:r w:rsidR="00D47BB9">
        <w:t>e</w:t>
      </w:r>
      <w:r w:rsidR="00F13206">
        <w:t>nces drawn.</w:t>
      </w:r>
    </w:p>
    <w:p w14:paraId="7A81A463" w14:textId="77777777" w:rsidR="006C226C" w:rsidRDefault="006C226C" w:rsidP="00DC448C">
      <w:pPr>
        <w:pStyle w:val="1"/>
        <w:numPr>
          <w:ilvl w:val="0"/>
          <w:numId w:val="0"/>
        </w:numPr>
        <w:rPr>
          <w:b/>
          <w:bCs/>
          <w:u w:val="single"/>
        </w:rPr>
      </w:pPr>
    </w:p>
    <w:p w14:paraId="3081232D" w14:textId="72DF45B2" w:rsidR="005255AB" w:rsidRPr="00DC448C" w:rsidRDefault="00E91F9B" w:rsidP="00DC448C">
      <w:pPr>
        <w:pStyle w:val="1"/>
        <w:numPr>
          <w:ilvl w:val="0"/>
          <w:numId w:val="0"/>
        </w:numPr>
        <w:rPr>
          <w:b/>
          <w:bCs/>
          <w:u w:val="single"/>
        </w:rPr>
      </w:pPr>
      <w:r w:rsidRPr="00DC448C">
        <w:rPr>
          <w:b/>
          <w:bCs/>
          <w:u w:val="single"/>
        </w:rPr>
        <w:t>Non-compliance with the contractual obligations and the inferences drawn</w:t>
      </w:r>
    </w:p>
    <w:p w14:paraId="1554857F" w14:textId="14375E20" w:rsidR="0080705C" w:rsidRDefault="004832B9" w:rsidP="004832B9">
      <w:pPr>
        <w:pStyle w:val="1"/>
        <w:numPr>
          <w:ilvl w:val="0"/>
          <w:numId w:val="0"/>
        </w:numPr>
        <w:tabs>
          <w:tab w:val="left" w:pos="567"/>
        </w:tabs>
      </w:pPr>
      <w:r>
        <w:t>[31]</w:t>
      </w:r>
      <w:r>
        <w:tab/>
      </w:r>
      <w:r w:rsidR="0057225A">
        <w:t>The court below found that</w:t>
      </w:r>
      <w:r w:rsidR="00DC448C">
        <w:t>:</w:t>
      </w:r>
      <w:r w:rsidR="0057225A">
        <w:t xml:space="preserve"> </w:t>
      </w:r>
    </w:p>
    <w:p w14:paraId="2A18308C" w14:textId="4CFE149F" w:rsidR="000F75E0" w:rsidRPr="00DC448C" w:rsidRDefault="00623B82" w:rsidP="00DC448C">
      <w:pPr>
        <w:pStyle w:val="1"/>
        <w:numPr>
          <w:ilvl w:val="0"/>
          <w:numId w:val="0"/>
        </w:numPr>
        <w:spacing w:line="360" w:lineRule="auto"/>
        <w:ind w:left="1134"/>
        <w:rPr>
          <w:sz w:val="22"/>
        </w:rPr>
      </w:pPr>
      <w:r w:rsidRPr="00DC448C">
        <w:rPr>
          <w:sz w:val="22"/>
        </w:rPr>
        <w:t>‘</w:t>
      </w:r>
      <w:r w:rsidR="0080705C" w:rsidRPr="00D47BB9">
        <w:rPr>
          <w:sz w:val="22"/>
        </w:rPr>
        <w:t xml:space="preserve">Objectively considered, </w:t>
      </w:r>
      <w:r w:rsidRPr="00D47BB9">
        <w:rPr>
          <w:sz w:val="22"/>
        </w:rPr>
        <w:t>the respondents did not provide an exculpatory version for their non-compliance. A finding of wilfulness and ma</w:t>
      </w:r>
      <w:r w:rsidR="000D2F64" w:rsidRPr="00D47BB9">
        <w:rPr>
          <w:sz w:val="22"/>
        </w:rPr>
        <w:t>la fides</w:t>
      </w:r>
      <w:r w:rsidR="00F04407" w:rsidRPr="00D47BB9">
        <w:rPr>
          <w:sz w:val="22"/>
        </w:rPr>
        <w:t xml:space="preserve"> against the respondents is justified. It is the only inference established by the respondents’ conduct.</w:t>
      </w:r>
      <w:r w:rsidR="00F04407" w:rsidRPr="00DC448C">
        <w:rPr>
          <w:sz w:val="22"/>
        </w:rPr>
        <w:t>’</w:t>
      </w:r>
      <w:r w:rsidR="00DC448C">
        <w:rPr>
          <w:rStyle w:val="FootnoteReference"/>
          <w:sz w:val="22"/>
        </w:rPr>
        <w:footnoteReference w:id="8"/>
      </w:r>
    </w:p>
    <w:p w14:paraId="0AD5C914" w14:textId="67DFEA96" w:rsidR="0080705C" w:rsidRDefault="004832B9" w:rsidP="004832B9">
      <w:pPr>
        <w:pStyle w:val="1"/>
        <w:numPr>
          <w:ilvl w:val="0"/>
          <w:numId w:val="0"/>
        </w:numPr>
        <w:tabs>
          <w:tab w:val="left" w:pos="567"/>
        </w:tabs>
      </w:pPr>
      <w:r>
        <w:t>[32]</w:t>
      </w:r>
      <w:r>
        <w:tab/>
      </w:r>
      <w:r w:rsidR="001E486C">
        <w:t>The Court below meticulously examined the nine alleged instances of breach</w:t>
      </w:r>
      <w:r w:rsidR="00D23B4F">
        <w:t xml:space="preserve"> and having done so concluded</w:t>
      </w:r>
      <w:r w:rsidR="00385CF6">
        <w:t xml:space="preserve"> that </w:t>
      </w:r>
      <w:r w:rsidR="00A037B4">
        <w:t>ACSA had no defences in law to the contractual breaches and</w:t>
      </w:r>
      <w:r w:rsidR="005B5943">
        <w:t xml:space="preserve"> from this conclusion inferred wilfulness and mala fides.</w:t>
      </w:r>
      <w:r w:rsidR="00F13206">
        <w:t xml:space="preserve"> </w:t>
      </w:r>
    </w:p>
    <w:p w14:paraId="6643006F" w14:textId="7F0E6FB2" w:rsidR="00D17C87" w:rsidRDefault="004832B9" w:rsidP="004832B9">
      <w:pPr>
        <w:pStyle w:val="1"/>
        <w:numPr>
          <w:ilvl w:val="0"/>
          <w:numId w:val="0"/>
        </w:numPr>
        <w:tabs>
          <w:tab w:val="left" w:pos="567"/>
        </w:tabs>
      </w:pPr>
      <w:r>
        <w:t>[33]</w:t>
      </w:r>
      <w:r>
        <w:tab/>
      </w:r>
      <w:r w:rsidR="00D17C87">
        <w:t>I take no issue with the finding</w:t>
      </w:r>
      <w:r w:rsidR="00DB56AA">
        <w:t xml:space="preserve"> by the court below that</w:t>
      </w:r>
      <w:r w:rsidR="003E2F4A">
        <w:t xml:space="preserve"> ACSA failed to comply with its obligations but do take issue</w:t>
      </w:r>
      <w:r w:rsidR="00DD3E85">
        <w:t xml:space="preserve"> with the inference drawn that such non-compliance justifies a conclusion of mala fides or wilfulness.</w:t>
      </w:r>
      <w:r w:rsidR="00F13206">
        <w:t xml:space="preserve"> </w:t>
      </w:r>
    </w:p>
    <w:p w14:paraId="30A12B82" w14:textId="7169B33F" w:rsidR="00F13206" w:rsidRDefault="004832B9" w:rsidP="004832B9">
      <w:pPr>
        <w:pStyle w:val="1"/>
        <w:numPr>
          <w:ilvl w:val="0"/>
          <w:numId w:val="0"/>
        </w:numPr>
        <w:tabs>
          <w:tab w:val="left" w:pos="567"/>
        </w:tabs>
      </w:pPr>
      <w:r>
        <w:lastRenderedPageBreak/>
        <w:t>[34]</w:t>
      </w:r>
      <w:r>
        <w:tab/>
      </w:r>
      <w:r w:rsidR="00901108" w:rsidRPr="003B5622">
        <w:rPr>
          <w:u w:val="single"/>
        </w:rPr>
        <w:t>Ventilators</w:t>
      </w:r>
      <w:r w:rsidR="00901108">
        <w:t>: The</w:t>
      </w:r>
      <w:r w:rsidR="00F13206">
        <w:t xml:space="preserve">se items </w:t>
      </w:r>
      <w:r w:rsidR="00901108">
        <w:t>were not delivered</w:t>
      </w:r>
      <w:r w:rsidR="00F13206">
        <w:t>,</w:t>
      </w:r>
      <w:r w:rsidR="00901108">
        <w:t xml:space="preserve"> which was common cause.</w:t>
      </w:r>
      <w:r w:rsidR="001C2194">
        <w:t xml:space="preserve"> ACSA contended that they were unavailable due to the prevailing Covid pandemic</w:t>
      </w:r>
      <w:r w:rsidR="00D10008">
        <w:t xml:space="preserve"> which version was rejected because of an inadequacy of </w:t>
      </w:r>
      <w:r w:rsidR="005C1E14">
        <w:t xml:space="preserve">evidence. It is common cause that Cape Medics had used its own </w:t>
      </w:r>
      <w:r w:rsidR="00205A8A">
        <w:t xml:space="preserve">ventilators. ACSA contended that it occurred by virtue of an agreement </w:t>
      </w:r>
      <w:r w:rsidR="008435CE">
        <w:t>between the parties in terms of which ACSA would compensate</w:t>
      </w:r>
      <w:r w:rsidR="00677235">
        <w:t xml:space="preserve"> Cape Medics for such use. The court </w:t>
      </w:r>
      <w:r w:rsidR="00E246C1">
        <w:t>rejected this agreement on the basis</w:t>
      </w:r>
      <w:r w:rsidR="0024005C">
        <w:t xml:space="preserve"> that it was unlikely that such agreement would have been concluded having regard to the</w:t>
      </w:r>
      <w:r w:rsidR="00C12F6A">
        <w:t xml:space="preserve"> debt owed to Cape Medics </w:t>
      </w:r>
      <w:r w:rsidR="00F13206">
        <w:t xml:space="preserve">and </w:t>
      </w:r>
      <w:r w:rsidR="00C12F6A">
        <w:t>having regard to</w:t>
      </w:r>
      <w:r w:rsidR="008B093A">
        <w:t xml:space="preserve"> the debt owed as recorded in clause 5.1.16 of the S</w:t>
      </w:r>
      <w:r w:rsidR="00AE58AE">
        <w:t>ettlement Agreement</w:t>
      </w:r>
      <w:r w:rsidR="00493E23">
        <w:t xml:space="preserve">. </w:t>
      </w:r>
    </w:p>
    <w:p w14:paraId="0D224280" w14:textId="0556E3B1" w:rsidR="007B59DC" w:rsidRDefault="004832B9" w:rsidP="004832B9">
      <w:pPr>
        <w:pStyle w:val="1"/>
        <w:numPr>
          <w:ilvl w:val="0"/>
          <w:numId w:val="0"/>
        </w:numPr>
        <w:tabs>
          <w:tab w:val="left" w:pos="567"/>
        </w:tabs>
      </w:pPr>
      <w:r>
        <w:t>[35]</w:t>
      </w:r>
      <w:r>
        <w:tab/>
      </w:r>
      <w:r w:rsidR="008638EB">
        <w:t xml:space="preserve">That finding might be support </w:t>
      </w:r>
      <w:r w:rsidR="00F34246">
        <w:t xml:space="preserve">for </w:t>
      </w:r>
      <w:r w:rsidR="008638EB">
        <w:t xml:space="preserve">the conclusion that there was no compliance with the </w:t>
      </w:r>
      <w:r w:rsidR="00C74969">
        <w:t xml:space="preserve">contractual obligation but </w:t>
      </w:r>
      <w:r w:rsidR="00296E2E">
        <w:t>in my view, weighs on the discharge of ACSA</w:t>
      </w:r>
      <w:r w:rsidR="00E11A7E">
        <w:t xml:space="preserve">’s evidentiary burden in respect of </w:t>
      </w:r>
      <w:r w:rsidR="00CB45EE">
        <w:t xml:space="preserve">the wilfulness enquiry. </w:t>
      </w:r>
      <w:r w:rsidR="002578D8">
        <w:t>ACSA might not have done enough to procure alternate vent</w:t>
      </w:r>
      <w:r w:rsidR="00602CE4">
        <w:t xml:space="preserve">ilators and its explanation for its failure can rightly be labelled ‘insufficient’ but this does not </w:t>
      </w:r>
      <w:r w:rsidR="0016473A">
        <w:t>make</w:t>
      </w:r>
      <w:r w:rsidR="00C75C04">
        <w:t xml:space="preserve"> its non-compliance intentional. Had the dispute resolution clause been </w:t>
      </w:r>
      <w:r w:rsidR="0049731A">
        <w:t>implemented, this inadequacy could have been explored</w:t>
      </w:r>
      <w:r w:rsidR="00C427CA">
        <w:t>.</w:t>
      </w:r>
    </w:p>
    <w:p w14:paraId="0A1D3649" w14:textId="2758663C" w:rsidR="00C427CA" w:rsidRDefault="004832B9" w:rsidP="004832B9">
      <w:pPr>
        <w:pStyle w:val="1"/>
        <w:numPr>
          <w:ilvl w:val="0"/>
          <w:numId w:val="0"/>
        </w:numPr>
        <w:tabs>
          <w:tab w:val="left" w:pos="567"/>
        </w:tabs>
      </w:pPr>
      <w:r>
        <w:t>[36]</w:t>
      </w:r>
      <w:r>
        <w:tab/>
      </w:r>
      <w:r w:rsidR="00C427CA" w:rsidRPr="003B5622">
        <w:rPr>
          <w:u w:val="single"/>
        </w:rPr>
        <w:t>Defibrillators</w:t>
      </w:r>
      <w:r w:rsidR="00C427CA">
        <w:t xml:space="preserve">: </w:t>
      </w:r>
      <w:r w:rsidR="00082CE4">
        <w:t>The defibrilla</w:t>
      </w:r>
      <w:r w:rsidR="00FF5E97">
        <w:t>tors provided by ACSA were not fit for purpose and</w:t>
      </w:r>
      <w:r w:rsidR="00493116">
        <w:t xml:space="preserve"> the court below accordingly held there to be non-compliance with the obligation</w:t>
      </w:r>
      <w:r w:rsidR="00D962EA">
        <w:t>s</w:t>
      </w:r>
      <w:r w:rsidR="00493116">
        <w:t xml:space="preserve"> embodied in the </w:t>
      </w:r>
      <w:r w:rsidR="00AE58AE">
        <w:t>Settlement Agreem</w:t>
      </w:r>
      <w:r w:rsidR="006410E3">
        <w:t>ent</w:t>
      </w:r>
      <w:r w:rsidR="00F94F9A">
        <w:t>. It does not follow from this that it was done wilfully or mala fide.</w:t>
      </w:r>
    </w:p>
    <w:p w14:paraId="313F62C8" w14:textId="7549B2AC" w:rsidR="00EF6840" w:rsidRDefault="004832B9" w:rsidP="004832B9">
      <w:pPr>
        <w:pStyle w:val="1"/>
        <w:numPr>
          <w:ilvl w:val="0"/>
          <w:numId w:val="0"/>
        </w:numPr>
        <w:tabs>
          <w:tab w:val="left" w:pos="567"/>
        </w:tabs>
      </w:pPr>
      <w:r>
        <w:t>[37]</w:t>
      </w:r>
      <w:r>
        <w:tab/>
      </w:r>
      <w:r w:rsidR="00EF6840" w:rsidRPr="003B5622">
        <w:rPr>
          <w:u w:val="single"/>
        </w:rPr>
        <w:t xml:space="preserve">Medical </w:t>
      </w:r>
      <w:r w:rsidR="001A5CD8" w:rsidRPr="003B5622">
        <w:rPr>
          <w:u w:val="single"/>
        </w:rPr>
        <w:t>privacy curtains</w:t>
      </w:r>
      <w:r w:rsidR="001A5CD8">
        <w:t xml:space="preserve">: </w:t>
      </w:r>
      <w:r w:rsidR="002D4622">
        <w:t>ACSA contended that the existing curtains were functional</w:t>
      </w:r>
      <w:r w:rsidR="00EF44F0">
        <w:t xml:space="preserve"> and alleged financial constrain</w:t>
      </w:r>
      <w:r w:rsidR="0057164C">
        <w:t xml:space="preserve">ts. Once again the court below rejected the </w:t>
      </w:r>
      <w:r w:rsidR="00093ACF">
        <w:t>explanation</w:t>
      </w:r>
      <w:r w:rsidR="00FE3283">
        <w:t xml:space="preserve"> contend</w:t>
      </w:r>
      <w:r w:rsidR="00686578">
        <w:t>ing that</w:t>
      </w:r>
      <w:r w:rsidR="00FE3283">
        <w:t xml:space="preserve"> it was inadequate</w:t>
      </w:r>
      <w:r w:rsidR="00093ACF">
        <w:t>.</w:t>
      </w:r>
    </w:p>
    <w:p w14:paraId="33389CA7" w14:textId="29030E56" w:rsidR="000D3C52" w:rsidRPr="00915E77" w:rsidRDefault="004832B9" w:rsidP="004832B9">
      <w:pPr>
        <w:pStyle w:val="1"/>
        <w:numPr>
          <w:ilvl w:val="0"/>
          <w:numId w:val="0"/>
        </w:numPr>
        <w:tabs>
          <w:tab w:val="left" w:pos="567"/>
        </w:tabs>
        <w:rPr>
          <w:i/>
          <w:iCs w:val="0"/>
        </w:rPr>
      </w:pPr>
      <w:r w:rsidRPr="00915E77">
        <w:rPr>
          <w:iCs w:val="0"/>
        </w:rPr>
        <w:lastRenderedPageBreak/>
        <w:t>[38]</w:t>
      </w:r>
      <w:r w:rsidRPr="00915E77">
        <w:rPr>
          <w:iCs w:val="0"/>
        </w:rPr>
        <w:tab/>
      </w:r>
      <w:r w:rsidR="000D3C52">
        <w:t xml:space="preserve">It is unnecessary to go through all the </w:t>
      </w:r>
      <w:r w:rsidR="00D225A4">
        <w:t>breaches as they all have one thing in common</w:t>
      </w:r>
      <w:r w:rsidR="00255695">
        <w:t>,</w:t>
      </w:r>
      <w:r w:rsidR="00D225A4">
        <w:t xml:space="preserve"> being a finding </w:t>
      </w:r>
      <w:r w:rsidR="00AA55CB">
        <w:t>that the explanation advanced was supported by inadequate</w:t>
      </w:r>
      <w:r w:rsidR="000658B9">
        <w:t xml:space="preserve"> </w:t>
      </w:r>
      <w:r w:rsidR="00704C22">
        <w:t>supporting evidence</w:t>
      </w:r>
      <w:r w:rsidR="000629CE">
        <w:t xml:space="preserve">, did not constitute a defence in law at all or </w:t>
      </w:r>
      <w:r w:rsidR="003E45E8">
        <w:t>did not r</w:t>
      </w:r>
      <w:r w:rsidR="00DF684D">
        <w:t>ise</w:t>
      </w:r>
      <w:r w:rsidR="00DF1309">
        <w:t xml:space="preserve"> to the level of factual</w:t>
      </w:r>
      <w:r w:rsidR="003E45E8">
        <w:t xml:space="preserve"> disputes</w:t>
      </w:r>
      <w:r w:rsidR="00DF1309">
        <w:t xml:space="preserve"> as envisaged in </w:t>
      </w:r>
      <w:r w:rsidR="00DF1309" w:rsidRPr="00DF1309">
        <w:rPr>
          <w:i/>
          <w:iCs w:val="0"/>
        </w:rPr>
        <w:t>Plascon-Evans.</w:t>
      </w:r>
      <w:r w:rsidR="00DF1309">
        <w:rPr>
          <w:rStyle w:val="FootnoteReference"/>
          <w:i/>
          <w:iCs w:val="0"/>
        </w:rPr>
        <w:footnoteReference w:id="9"/>
      </w:r>
    </w:p>
    <w:p w14:paraId="04DE0933" w14:textId="336AF343" w:rsidR="00337DD1" w:rsidRPr="004F1064" w:rsidRDefault="004832B9" w:rsidP="004832B9">
      <w:pPr>
        <w:pStyle w:val="1"/>
        <w:numPr>
          <w:ilvl w:val="0"/>
          <w:numId w:val="0"/>
        </w:numPr>
        <w:tabs>
          <w:tab w:val="left" w:pos="567"/>
        </w:tabs>
        <w:rPr>
          <w:i/>
          <w:iCs w:val="0"/>
        </w:rPr>
      </w:pPr>
      <w:r w:rsidRPr="004F1064">
        <w:rPr>
          <w:iCs w:val="0"/>
        </w:rPr>
        <w:t>[39]</w:t>
      </w:r>
      <w:r w:rsidRPr="004F1064">
        <w:rPr>
          <w:iCs w:val="0"/>
        </w:rPr>
        <w:tab/>
      </w:r>
      <w:r w:rsidR="004A4FE8">
        <w:t xml:space="preserve">ACSA’s </w:t>
      </w:r>
      <w:r w:rsidR="00337DD1">
        <w:t>explanations</w:t>
      </w:r>
      <w:r w:rsidR="007D73B9">
        <w:t xml:space="preserve"> for </w:t>
      </w:r>
      <w:r w:rsidR="004A4FE8">
        <w:t>its</w:t>
      </w:r>
      <w:r w:rsidR="006424ED">
        <w:t xml:space="preserve"> </w:t>
      </w:r>
      <w:r w:rsidR="007D73B9">
        <w:t>failure to comply coupled with the evidenc</w:t>
      </w:r>
      <w:r w:rsidR="003F197A">
        <w:t>e</w:t>
      </w:r>
      <w:r w:rsidR="007D73B9">
        <w:t xml:space="preserve"> </w:t>
      </w:r>
      <w:r w:rsidR="003F197A">
        <w:t xml:space="preserve">of </w:t>
      </w:r>
      <w:r w:rsidR="006424ED">
        <w:t xml:space="preserve">its </w:t>
      </w:r>
      <w:r w:rsidR="007D73B9">
        <w:t>attempts to comply substantially with the Settlement Agr</w:t>
      </w:r>
      <w:r w:rsidR="005C6432">
        <w:t>e</w:t>
      </w:r>
      <w:r w:rsidR="007D73B9">
        <w:t>ement</w:t>
      </w:r>
      <w:r w:rsidR="00ED2A0B">
        <w:t>,</w:t>
      </w:r>
      <w:r w:rsidR="007D73B9">
        <w:t xml:space="preserve"> </w:t>
      </w:r>
      <w:r w:rsidR="00A53D76">
        <w:t xml:space="preserve">in my view, </w:t>
      </w:r>
      <w:r w:rsidR="007D73B9">
        <w:t>negative</w:t>
      </w:r>
      <w:r w:rsidR="005C6432">
        <w:t>s</w:t>
      </w:r>
      <w:r w:rsidR="007D73B9">
        <w:t xml:space="preserve"> </w:t>
      </w:r>
      <w:r w:rsidR="003F197A">
        <w:t>wilfulness</w:t>
      </w:r>
      <w:r w:rsidR="007D73B9">
        <w:t xml:space="preserve"> and mala fides</w:t>
      </w:r>
      <w:r w:rsidR="00A53D76">
        <w:t xml:space="preserve"> because, t</w:t>
      </w:r>
      <w:r w:rsidR="00ED2A0B">
        <w:t xml:space="preserve">he point is, they tried. The fact that they did so </w:t>
      </w:r>
      <w:r w:rsidR="00CE6337">
        <w:t>poorly o</w:t>
      </w:r>
      <w:r w:rsidR="00CF2A13">
        <w:t>r</w:t>
      </w:r>
      <w:r w:rsidR="00CE6337">
        <w:t xml:space="preserve"> inadequately does not lead to a finding that they disobeyed</w:t>
      </w:r>
      <w:r w:rsidR="00CF2A13">
        <w:t xml:space="preserve"> the Court Order wilfully or </w:t>
      </w:r>
      <w:r w:rsidR="00600D93">
        <w:t xml:space="preserve">with </w:t>
      </w:r>
      <w:r w:rsidR="0022100D">
        <w:t>mala fide</w:t>
      </w:r>
      <w:r w:rsidR="00600D93">
        <w:t>s</w:t>
      </w:r>
      <w:r w:rsidR="0022100D">
        <w:t>.</w:t>
      </w:r>
      <w:r w:rsidR="00CE6337">
        <w:t xml:space="preserve"> </w:t>
      </w:r>
    </w:p>
    <w:p w14:paraId="6EB4F406" w14:textId="00B4CEB7" w:rsidR="00447E49" w:rsidRPr="00EE3602" w:rsidRDefault="004832B9" w:rsidP="004832B9">
      <w:pPr>
        <w:pStyle w:val="1"/>
        <w:numPr>
          <w:ilvl w:val="0"/>
          <w:numId w:val="0"/>
        </w:numPr>
        <w:tabs>
          <w:tab w:val="left" w:pos="567"/>
        </w:tabs>
        <w:rPr>
          <w:i/>
          <w:iCs w:val="0"/>
        </w:rPr>
      </w:pPr>
      <w:r w:rsidRPr="00EE3602">
        <w:rPr>
          <w:iCs w:val="0"/>
        </w:rPr>
        <w:t>[40]</w:t>
      </w:r>
      <w:r w:rsidRPr="00EE3602">
        <w:rPr>
          <w:iCs w:val="0"/>
        </w:rPr>
        <w:tab/>
      </w:r>
      <w:r w:rsidR="004F1064">
        <w:t>In my view, the court below placed undue emphasis on</w:t>
      </w:r>
      <w:r w:rsidR="006424ED">
        <w:t xml:space="preserve">, as </w:t>
      </w:r>
      <w:r w:rsidR="00361584">
        <w:t>it</w:t>
      </w:r>
      <w:r w:rsidR="006424ED">
        <w:t xml:space="preserve"> labelled it, ‘</w:t>
      </w:r>
      <w:r w:rsidR="004B0DD6">
        <w:t xml:space="preserve">the </w:t>
      </w:r>
      <w:r w:rsidR="00B34F44">
        <w:t>aggressi</w:t>
      </w:r>
      <w:r w:rsidR="00ED6B54">
        <w:t>ve and accusatory tone</w:t>
      </w:r>
      <w:r w:rsidR="006424ED">
        <w:t>’</w:t>
      </w:r>
      <w:r w:rsidR="00ED6B54">
        <w:t xml:space="preserve"> adopted by ACSA in its </w:t>
      </w:r>
      <w:r w:rsidR="004F1064">
        <w:t>correspondence exchanges</w:t>
      </w:r>
      <w:r w:rsidR="00EE3602">
        <w:t xml:space="preserve"> and too little heed was given to the caution expressed by Cameron JA (as he then was) in </w:t>
      </w:r>
      <w:r w:rsidR="00EE3602" w:rsidRPr="00004064">
        <w:rPr>
          <w:i/>
          <w:iCs w:val="0"/>
        </w:rPr>
        <w:t>Fakie</w:t>
      </w:r>
      <w:r w:rsidR="00EE3602">
        <w:t>:</w:t>
      </w:r>
    </w:p>
    <w:p w14:paraId="19383E35" w14:textId="77777777" w:rsidR="00AC4A0B" w:rsidRDefault="00AC4A0B" w:rsidP="00004064">
      <w:pPr>
        <w:pStyle w:val="1"/>
        <w:numPr>
          <w:ilvl w:val="0"/>
          <w:numId w:val="0"/>
        </w:numPr>
        <w:spacing w:line="360" w:lineRule="auto"/>
        <w:ind w:left="1134"/>
        <w:rPr>
          <w:sz w:val="22"/>
        </w:rPr>
      </w:pPr>
      <w:r w:rsidRPr="00004064">
        <w:rPr>
          <w:sz w:val="22"/>
        </w:rPr>
        <w:t>“The test for when disobedience of a civil order constitutes contempt has come to be stated as whether the breach was committed ‘deliberately and mala fide’.</w:t>
      </w:r>
      <w:r w:rsidRPr="00004064">
        <w:rPr>
          <w:b/>
          <w:bCs/>
          <w:sz w:val="22"/>
          <w:vertAlign w:val="superscript"/>
        </w:rPr>
        <w:t xml:space="preserve"> </w:t>
      </w:r>
      <w:r w:rsidRPr="00004064">
        <w:rPr>
          <w:sz w:val="22"/>
        </w:rPr>
        <w:t>A deliberate disregard is not enough, since the non-complier may genuinely, albeit mistakenly, believe him- or herself entitled to act in the way claimed to constitute the contempt. In such a case good faith avoids the infraction.</w:t>
      </w:r>
      <w:r w:rsidRPr="00004064">
        <w:rPr>
          <w:b/>
          <w:bCs/>
          <w:sz w:val="22"/>
          <w:vertAlign w:val="superscript"/>
        </w:rPr>
        <w:t xml:space="preserve"> </w:t>
      </w:r>
      <w:r w:rsidRPr="00004064">
        <w:rPr>
          <w:sz w:val="22"/>
        </w:rPr>
        <w:t>Even a refusal to comply that is objectively unreasonable may be bona fide (though unreasonableness could evidence lack of good faith).”</w:t>
      </w:r>
      <w:r w:rsidRPr="00004064">
        <w:rPr>
          <w:rStyle w:val="FootnoteReference"/>
          <w:rFonts w:cs="Arial"/>
          <w:color w:val="242121"/>
          <w:sz w:val="22"/>
        </w:rPr>
        <w:footnoteReference w:id="10"/>
      </w:r>
    </w:p>
    <w:p w14:paraId="450ADC38" w14:textId="77777777" w:rsidR="001F187E" w:rsidRPr="00004064" w:rsidRDefault="001F187E" w:rsidP="00004064">
      <w:pPr>
        <w:pStyle w:val="1"/>
        <w:numPr>
          <w:ilvl w:val="0"/>
          <w:numId w:val="0"/>
        </w:numPr>
        <w:spacing w:line="360" w:lineRule="auto"/>
        <w:ind w:left="1134"/>
        <w:rPr>
          <w:sz w:val="22"/>
        </w:rPr>
      </w:pPr>
    </w:p>
    <w:p w14:paraId="0F6D3060" w14:textId="54169090" w:rsidR="009E6443" w:rsidRDefault="004832B9" w:rsidP="004832B9">
      <w:pPr>
        <w:pStyle w:val="1"/>
        <w:numPr>
          <w:ilvl w:val="0"/>
          <w:numId w:val="0"/>
        </w:numPr>
        <w:tabs>
          <w:tab w:val="left" w:pos="567"/>
        </w:tabs>
      </w:pPr>
      <w:r>
        <w:t>[41]</w:t>
      </w:r>
      <w:r>
        <w:tab/>
      </w:r>
      <w:r w:rsidR="00253A46">
        <w:t xml:space="preserve">It is </w:t>
      </w:r>
      <w:r w:rsidR="008C3B80">
        <w:t xml:space="preserve">further </w:t>
      </w:r>
      <w:r w:rsidR="00253A46">
        <w:t>regrettable that the dispute resolution clause</w:t>
      </w:r>
      <w:r w:rsidR="001F0803">
        <w:t>,</w:t>
      </w:r>
      <w:r w:rsidR="00663679">
        <w:t xml:space="preserve"> which provided for a speedy resolution of the disputes (real or perceived)</w:t>
      </w:r>
      <w:r w:rsidR="001F0803">
        <w:t xml:space="preserve">, was not resorted to. </w:t>
      </w:r>
      <w:r w:rsidR="009E6443">
        <w:t>I must say that I do think that it was wise to provide for arbitration in the circumstances of this agreement</w:t>
      </w:r>
      <w:r w:rsidR="00255695">
        <w:t>. T</w:t>
      </w:r>
      <w:r w:rsidR="009E6443">
        <w:t xml:space="preserve">he three airports mentioned are the three largest in the country, the </w:t>
      </w:r>
      <w:r w:rsidR="009E6443">
        <w:lastRenderedPageBreak/>
        <w:t>provision of emergency medical services is no straightforward matter and the evidence of witnesses, potentially experts in the field specific to each airport, would seem to me to be the kind of evidence which an arbitrator would be ideally suited to receive and make a determination (an award) on before the sword of Damocles that is a finding of contempt could fall on either party or their responsible executives.</w:t>
      </w:r>
    </w:p>
    <w:p w14:paraId="0110E90A" w14:textId="60B3281B" w:rsidR="00061343" w:rsidRPr="009E6443" w:rsidRDefault="004832B9" w:rsidP="004832B9">
      <w:pPr>
        <w:pStyle w:val="1"/>
        <w:numPr>
          <w:ilvl w:val="0"/>
          <w:numId w:val="0"/>
        </w:numPr>
        <w:tabs>
          <w:tab w:val="left" w:pos="567"/>
        </w:tabs>
        <w:rPr>
          <w:i/>
          <w:iCs w:val="0"/>
        </w:rPr>
      </w:pPr>
      <w:r w:rsidRPr="009E6443">
        <w:rPr>
          <w:iCs w:val="0"/>
        </w:rPr>
        <w:t>[42]</w:t>
      </w:r>
      <w:r w:rsidRPr="009E6443">
        <w:rPr>
          <w:iCs w:val="0"/>
        </w:rPr>
        <w:tab/>
      </w:r>
      <w:r w:rsidR="00E860F8">
        <w:t>I find that</w:t>
      </w:r>
      <w:r w:rsidR="00501D19">
        <w:t xml:space="preserve"> ACSA’s </w:t>
      </w:r>
      <w:r w:rsidR="00ED3B86">
        <w:t>expectation that Cape Medics would first</w:t>
      </w:r>
      <w:r w:rsidR="00A01A8D">
        <w:t xml:space="preserve"> implement the dispute resolution clause, prior to approaching a court for </w:t>
      </w:r>
      <w:r w:rsidR="00E954AB">
        <w:t>‘</w:t>
      </w:r>
      <w:r w:rsidR="00E954AB" w:rsidRPr="009E6443">
        <w:rPr>
          <w:i/>
          <w:iCs w:val="0"/>
        </w:rPr>
        <w:t>a remedy of last resort</w:t>
      </w:r>
      <w:r w:rsidR="00800779">
        <w:t>,</w:t>
      </w:r>
      <w:r w:rsidR="00E954AB">
        <w:t>’</w:t>
      </w:r>
      <w:r w:rsidR="00BC768B">
        <w:rPr>
          <w:rStyle w:val="FootnoteReference"/>
        </w:rPr>
        <w:footnoteReference w:id="11"/>
      </w:r>
      <w:r w:rsidR="00114A00">
        <w:t xml:space="preserve"> was </w:t>
      </w:r>
      <w:r w:rsidR="00BE7EB1">
        <w:t>reasonable</w:t>
      </w:r>
      <w:r w:rsidR="00E97AC5">
        <w:t>.</w:t>
      </w:r>
      <w:r w:rsidR="0094777F" w:rsidRPr="009E6443">
        <w:rPr>
          <w:i/>
          <w:iCs w:val="0"/>
        </w:rPr>
        <w:t xml:space="preserve"> </w:t>
      </w:r>
      <w:r w:rsidR="005B0817">
        <w:t xml:space="preserve">ACSA held the view, based on </w:t>
      </w:r>
      <w:r w:rsidR="005B0817" w:rsidRPr="00D41654">
        <w:rPr>
          <w:i/>
          <w:iCs w:val="0"/>
        </w:rPr>
        <w:t>bona fide</w:t>
      </w:r>
      <w:r w:rsidR="005B0817">
        <w:t xml:space="preserve"> legal advice received, that the SLA as amended by the Settlement agreement and embodied in the Court Order, precluded an approach to court for specific performance using contempt of court proceedings.</w:t>
      </w:r>
      <w:r w:rsidR="00061343">
        <w:t xml:space="preserve"> In the circumstances of this case</w:t>
      </w:r>
      <w:r w:rsidR="006F5954">
        <w:t xml:space="preserve">, </w:t>
      </w:r>
      <w:r w:rsidR="00061343">
        <w:t>having regard to the road the parties had travelled to get to court on 10 June 202</w:t>
      </w:r>
      <w:r w:rsidR="00D5720E">
        <w:t>0</w:t>
      </w:r>
      <w:r w:rsidR="006F5954">
        <w:t xml:space="preserve"> and </w:t>
      </w:r>
      <w:r w:rsidR="00D5720E">
        <w:t>although t</w:t>
      </w:r>
      <w:r w:rsidR="006F5954">
        <w:t>he</w:t>
      </w:r>
      <w:r w:rsidR="00D5720E">
        <w:t xml:space="preserve"> </w:t>
      </w:r>
      <w:r w:rsidR="004A37CD">
        <w:t>advice</w:t>
      </w:r>
      <w:r w:rsidR="00D5720E">
        <w:t xml:space="preserve"> was wrong</w:t>
      </w:r>
      <w:r w:rsidR="004A37CD">
        <w:t xml:space="preserve"> ie that </w:t>
      </w:r>
      <w:r w:rsidR="0074456F">
        <w:t>the court could not be approached for a finding in respect of contempt</w:t>
      </w:r>
      <w:r w:rsidR="00D5720E">
        <w:t xml:space="preserve"> (having regard to the </w:t>
      </w:r>
      <w:r w:rsidR="00D5720E" w:rsidRPr="00D41654">
        <w:rPr>
          <w:i/>
          <w:iCs w:val="0"/>
        </w:rPr>
        <w:t>Zuma</w:t>
      </w:r>
      <w:r w:rsidR="00D5720E">
        <w:t xml:space="preserve"> dicta)</w:t>
      </w:r>
      <w:r w:rsidR="002516EE">
        <w:t>, it was not unreasonable</w:t>
      </w:r>
      <w:r w:rsidR="0039447D">
        <w:t xml:space="preserve"> in the circumstances of this case</w:t>
      </w:r>
      <w:r w:rsidR="002516EE">
        <w:t xml:space="preserve"> </w:t>
      </w:r>
      <w:r w:rsidR="00843F11">
        <w:t>to</w:t>
      </w:r>
      <w:r w:rsidR="002516EE">
        <w:t xml:space="preserve"> have laboured under this impression.</w:t>
      </w:r>
    </w:p>
    <w:p w14:paraId="6E9B8ED7" w14:textId="0AB1C3DA" w:rsidR="00C8411D" w:rsidRPr="00C8411D" w:rsidRDefault="004832B9" w:rsidP="004832B9">
      <w:pPr>
        <w:pStyle w:val="1"/>
        <w:numPr>
          <w:ilvl w:val="0"/>
          <w:numId w:val="0"/>
        </w:numPr>
        <w:tabs>
          <w:tab w:val="left" w:pos="567"/>
        </w:tabs>
        <w:rPr>
          <w:i/>
          <w:iCs w:val="0"/>
        </w:rPr>
      </w:pPr>
      <w:r w:rsidRPr="00C8411D">
        <w:rPr>
          <w:iCs w:val="0"/>
        </w:rPr>
        <w:t>[43]</w:t>
      </w:r>
      <w:r w:rsidRPr="00C8411D">
        <w:rPr>
          <w:iCs w:val="0"/>
        </w:rPr>
        <w:tab/>
      </w:r>
      <w:r w:rsidR="005B0817">
        <w:t xml:space="preserve"> </w:t>
      </w:r>
      <w:r w:rsidR="00D72DC6">
        <w:t>T</w:t>
      </w:r>
      <w:r w:rsidR="005B0817">
        <w:t>he invoking of the arbitration clause</w:t>
      </w:r>
      <w:r w:rsidR="00C35829">
        <w:t xml:space="preserve"> did not</w:t>
      </w:r>
      <w:r w:rsidR="005B0817">
        <w:t xml:space="preserve"> preclude reliance on contempt of court proceedings</w:t>
      </w:r>
      <w:r w:rsidR="001C3C50">
        <w:t xml:space="preserve"> but the court </w:t>
      </w:r>
      <w:r w:rsidR="001C3C50" w:rsidRPr="00B81788">
        <w:rPr>
          <w:i/>
          <w:iCs w:val="0"/>
        </w:rPr>
        <w:t>a quo</w:t>
      </w:r>
      <w:r w:rsidR="001C3C50">
        <w:t xml:space="preserve"> ought to have</w:t>
      </w:r>
      <w:r w:rsidR="000A018E">
        <w:t xml:space="preserve"> expressly</w:t>
      </w:r>
      <w:r w:rsidR="00E462D5">
        <w:t xml:space="preserve"> engaged with the question whether</w:t>
      </w:r>
      <w:r w:rsidR="00CF7DB5">
        <w:t xml:space="preserve"> the proceedings before it ought to have been stayed. </w:t>
      </w:r>
      <w:r w:rsidR="00CC6EBF">
        <w:t xml:space="preserve">This is perhaps because </w:t>
      </w:r>
      <w:r w:rsidR="00B81788">
        <w:t xml:space="preserve">a stay </w:t>
      </w:r>
      <w:r w:rsidR="00CC6EBF">
        <w:t>was n</w:t>
      </w:r>
      <w:r w:rsidR="00B81788">
        <w:t xml:space="preserve">ot </w:t>
      </w:r>
      <w:r w:rsidR="00CC6EBF">
        <w:t xml:space="preserve">sought expressly as is required </w:t>
      </w:r>
      <w:r w:rsidR="00EB5C77">
        <w:t xml:space="preserve">in terms of  </w:t>
      </w:r>
      <w:r w:rsidR="00EB5C77" w:rsidRPr="00662E8E">
        <w:rPr>
          <w:i/>
          <w:lang w:val="en-US"/>
        </w:rPr>
        <w:t>Parekh v Shah Jehan Cinemas (Pty) Ltd and Others</w:t>
      </w:r>
      <w:r w:rsidR="00A3413A">
        <w:rPr>
          <w:rStyle w:val="FootnoteReference"/>
          <w:i/>
        </w:rPr>
        <w:footnoteReference w:id="12"/>
      </w:r>
      <w:r w:rsidR="00A3413A">
        <w:rPr>
          <w:i/>
          <w:lang w:val="en-US"/>
        </w:rPr>
        <w:t xml:space="preserve"> </w:t>
      </w:r>
      <w:r w:rsidR="00A3413A" w:rsidRPr="00A3413A">
        <w:rPr>
          <w:iCs w:val="0"/>
          <w:lang w:val="en-US"/>
        </w:rPr>
        <w:t>per Didcott J</w:t>
      </w:r>
      <w:r w:rsidR="00454C29">
        <w:t xml:space="preserve"> </w:t>
      </w:r>
      <w:r w:rsidR="00A3413A">
        <w:t>and the authorities following thereon.</w:t>
      </w:r>
      <w:r w:rsidR="005B0817">
        <w:t xml:space="preserve"> </w:t>
      </w:r>
    </w:p>
    <w:p w14:paraId="720DEF60" w14:textId="24CDEAB4" w:rsidR="009E7430" w:rsidRPr="009E7430" w:rsidRDefault="004832B9" w:rsidP="004832B9">
      <w:pPr>
        <w:pStyle w:val="1"/>
        <w:numPr>
          <w:ilvl w:val="0"/>
          <w:numId w:val="0"/>
        </w:numPr>
        <w:tabs>
          <w:tab w:val="left" w:pos="567"/>
        </w:tabs>
        <w:rPr>
          <w:i/>
          <w:iCs w:val="0"/>
        </w:rPr>
      </w:pPr>
      <w:r w:rsidRPr="009E7430">
        <w:rPr>
          <w:iCs w:val="0"/>
        </w:rPr>
        <w:lastRenderedPageBreak/>
        <w:t>[44]</w:t>
      </w:r>
      <w:r w:rsidRPr="009E7430">
        <w:rPr>
          <w:iCs w:val="0"/>
        </w:rPr>
        <w:tab/>
      </w:r>
      <w:r w:rsidR="000B036A">
        <w:t>Ordinarily</w:t>
      </w:r>
      <w:r w:rsidR="00E26D87">
        <w:t xml:space="preserve"> and without </w:t>
      </w:r>
      <w:r w:rsidR="002A380A">
        <w:t>the existence of a court order, s</w:t>
      </w:r>
      <w:r w:rsidR="00EA104B">
        <w:t xml:space="preserve">hould a party take an arbitral dispute </w:t>
      </w:r>
      <w:r w:rsidR="00ED0EE1">
        <w:t>straight</w:t>
      </w:r>
      <w:r w:rsidR="00EA104B">
        <w:t xml:space="preserve"> to Court</w:t>
      </w:r>
      <w:r w:rsidR="002A380A">
        <w:t xml:space="preserve"> </w:t>
      </w:r>
      <w:r w:rsidR="00C950EC">
        <w:t>and the other party does not object, the litigation follows its normal course</w:t>
      </w:r>
      <w:r w:rsidR="002D140A">
        <w:t>.</w:t>
      </w:r>
      <w:r w:rsidR="00ED0EE1">
        <w:t xml:space="preserve"> </w:t>
      </w:r>
      <w:r w:rsidR="004511B4">
        <w:t>A stay of the proc</w:t>
      </w:r>
      <w:r w:rsidR="00A52670">
        <w:t>eedings</w:t>
      </w:r>
      <w:r w:rsidR="000B036A">
        <w:t xml:space="preserve"> must be sought a</w:t>
      </w:r>
      <w:r w:rsidR="00363184">
        <w:t>t</w:t>
      </w:r>
      <w:r w:rsidR="000B036A">
        <w:t xml:space="preserve"> which point the court will exercise a discretion whether to</w:t>
      </w:r>
      <w:r w:rsidR="009E7430">
        <w:t xml:space="preserve"> hold the parties to the dispute resolution clause</w:t>
      </w:r>
      <w:r w:rsidR="002D52E9">
        <w:t xml:space="preserve"> or not</w:t>
      </w:r>
      <w:r w:rsidR="009E7430">
        <w:t>.</w:t>
      </w:r>
    </w:p>
    <w:p w14:paraId="54BEED76" w14:textId="724038BF" w:rsidR="00090BAE" w:rsidRPr="00090BAE" w:rsidRDefault="004832B9" w:rsidP="004832B9">
      <w:pPr>
        <w:pStyle w:val="1"/>
        <w:numPr>
          <w:ilvl w:val="0"/>
          <w:numId w:val="0"/>
        </w:numPr>
        <w:tabs>
          <w:tab w:val="left" w:pos="567"/>
        </w:tabs>
        <w:rPr>
          <w:i/>
          <w:iCs w:val="0"/>
        </w:rPr>
      </w:pPr>
      <w:r w:rsidRPr="00090BAE">
        <w:rPr>
          <w:iCs w:val="0"/>
        </w:rPr>
        <w:t>[45]</w:t>
      </w:r>
      <w:r w:rsidRPr="00090BAE">
        <w:rPr>
          <w:iCs w:val="0"/>
        </w:rPr>
        <w:tab/>
      </w:r>
      <w:r w:rsidR="00AC7545">
        <w:t>The distinguishing feature in this case</w:t>
      </w:r>
      <w:r w:rsidR="002D52E9">
        <w:t>,</w:t>
      </w:r>
      <w:r w:rsidR="00AC7545">
        <w:t xml:space="preserve"> and what should be remembered in this case</w:t>
      </w:r>
      <w:r w:rsidR="00932556">
        <w:t>,</w:t>
      </w:r>
      <w:r w:rsidR="00AC7545">
        <w:t xml:space="preserve"> is</w:t>
      </w:r>
      <w:r w:rsidR="00D84C96">
        <w:t xml:space="preserve"> that the court on </w:t>
      </w:r>
      <w:r w:rsidR="00090BAE">
        <w:t>1</w:t>
      </w:r>
      <w:r w:rsidR="00D84C96">
        <w:t xml:space="preserve">0 June 2020, when making the settlement agreement an order of court, also made the dispute resolution clause a part of that order. </w:t>
      </w:r>
      <w:r w:rsidR="00F90C3D">
        <w:t xml:space="preserve"> A party to such an arrangement could very well </w:t>
      </w:r>
      <w:r w:rsidR="00B64145">
        <w:t>labour under the impression that it will only face contempt proceedings after the arbitration proceedings have been completed and if a finding adverse to them</w:t>
      </w:r>
      <w:r w:rsidR="006068BA">
        <w:t xml:space="preserve"> is made, after such award is made an order of court.</w:t>
      </w:r>
    </w:p>
    <w:p w14:paraId="7817518D" w14:textId="7865BE3E" w:rsidR="001F187E" w:rsidRPr="00E500E6" w:rsidRDefault="004832B9" w:rsidP="004832B9">
      <w:pPr>
        <w:pStyle w:val="1"/>
        <w:numPr>
          <w:ilvl w:val="0"/>
          <w:numId w:val="0"/>
        </w:numPr>
        <w:tabs>
          <w:tab w:val="left" w:pos="567"/>
        </w:tabs>
        <w:rPr>
          <w:i/>
          <w:iCs w:val="0"/>
        </w:rPr>
      </w:pPr>
      <w:r w:rsidRPr="00E500E6">
        <w:rPr>
          <w:iCs w:val="0"/>
        </w:rPr>
        <w:t>[46]</w:t>
      </w:r>
      <w:r w:rsidRPr="00E500E6">
        <w:rPr>
          <w:iCs w:val="0"/>
        </w:rPr>
        <w:tab/>
      </w:r>
      <w:r w:rsidR="00932556">
        <w:t>A stay of the proceedings for purposes of implementin</w:t>
      </w:r>
      <w:r w:rsidR="00747B49">
        <w:t>g the dispute resolution clause was</w:t>
      </w:r>
      <w:r w:rsidR="00F91A1B">
        <w:t>, as</w:t>
      </w:r>
      <w:r w:rsidR="00A52670">
        <w:t xml:space="preserve"> </w:t>
      </w:r>
      <w:r w:rsidR="00FC6083">
        <w:t xml:space="preserve">already pointed out, </w:t>
      </w:r>
      <w:r w:rsidR="00A52670">
        <w:t>not squarely sought</w:t>
      </w:r>
      <w:r w:rsidR="006068BA">
        <w:t xml:space="preserve"> in this case</w:t>
      </w:r>
      <w:r w:rsidR="00A52670">
        <w:t xml:space="preserve">. The court below did </w:t>
      </w:r>
      <w:r w:rsidR="0049619C">
        <w:t xml:space="preserve">therefore </w:t>
      </w:r>
      <w:r w:rsidR="00A52670">
        <w:t>not exercise a discretion</w:t>
      </w:r>
      <w:r w:rsidR="00F472C4">
        <w:t xml:space="preserve"> whether to call a halt </w:t>
      </w:r>
      <w:r w:rsidR="0049619C">
        <w:t xml:space="preserve">to the proceedings </w:t>
      </w:r>
      <w:r w:rsidR="00F472C4">
        <w:t xml:space="preserve">or not. </w:t>
      </w:r>
      <w:r w:rsidR="00184492">
        <w:t xml:space="preserve">It </w:t>
      </w:r>
      <w:r w:rsidR="00F472C4">
        <w:t>simply tackled the disputes and</w:t>
      </w:r>
      <w:r w:rsidR="005A64D1">
        <w:t xml:space="preserve"> made a finding. Whilst this is admirable</w:t>
      </w:r>
      <w:r w:rsidR="00747B49">
        <w:t>,</w:t>
      </w:r>
      <w:r w:rsidR="005A64D1">
        <w:t xml:space="preserve"> the nuanced position advance</w:t>
      </w:r>
      <w:r w:rsidR="00747B49">
        <w:t>d</w:t>
      </w:r>
      <w:r w:rsidR="005A64D1">
        <w:t xml:space="preserve"> by ACSA was overlooked being</w:t>
      </w:r>
      <w:r w:rsidR="005F1782">
        <w:t xml:space="preserve"> that where a dispute resolution </w:t>
      </w:r>
      <w:r w:rsidR="00B52314">
        <w:t xml:space="preserve">clause </w:t>
      </w:r>
      <w:r w:rsidR="005F1782">
        <w:t>exists</w:t>
      </w:r>
      <w:r w:rsidR="00FC6083">
        <w:t>,</w:t>
      </w:r>
      <w:r w:rsidR="005F1782">
        <w:t xml:space="preserve"> and the court has </w:t>
      </w:r>
      <w:r w:rsidR="00EA1594">
        <w:t xml:space="preserve">incorporated it by reference into a court order (as is the case here) </w:t>
      </w:r>
      <w:r w:rsidR="006475E3">
        <w:t>a party may labour under</w:t>
      </w:r>
      <w:r w:rsidR="002740A4">
        <w:t xml:space="preserve"> an impression (mistaken) that it will be enforced prior to </w:t>
      </w:r>
      <w:r w:rsidR="00AF2454">
        <w:t>resorting to contempt proceedings.</w:t>
      </w:r>
      <w:r w:rsidR="00ED0EE1">
        <w:t xml:space="preserve"> </w:t>
      </w:r>
      <w:r w:rsidR="009D5ADA">
        <w:t xml:space="preserve">This, in my view, </w:t>
      </w:r>
      <w:r w:rsidR="005B0817">
        <w:t>negatives ‘wilfulness and mala fides’.</w:t>
      </w:r>
    </w:p>
    <w:p w14:paraId="4721C055" w14:textId="77777777" w:rsidR="006C226C" w:rsidRDefault="006C226C" w:rsidP="007E4C05">
      <w:pPr>
        <w:pStyle w:val="1"/>
        <w:numPr>
          <w:ilvl w:val="0"/>
          <w:numId w:val="0"/>
        </w:numPr>
        <w:rPr>
          <w:b/>
          <w:bCs/>
          <w:u w:val="single"/>
        </w:rPr>
      </w:pPr>
    </w:p>
    <w:p w14:paraId="76374F7D" w14:textId="7731A8B3" w:rsidR="007E4C05" w:rsidRPr="007E4C05" w:rsidRDefault="007E4C05" w:rsidP="007E4C05">
      <w:pPr>
        <w:pStyle w:val="1"/>
        <w:numPr>
          <w:ilvl w:val="0"/>
          <w:numId w:val="0"/>
        </w:numPr>
        <w:rPr>
          <w:b/>
          <w:bCs/>
          <w:i/>
          <w:iCs w:val="0"/>
          <w:u w:val="single"/>
        </w:rPr>
      </w:pPr>
      <w:r w:rsidRPr="007E4C05">
        <w:rPr>
          <w:b/>
          <w:bCs/>
          <w:u w:val="single"/>
        </w:rPr>
        <w:t>Conclusion</w:t>
      </w:r>
    </w:p>
    <w:p w14:paraId="607798DD" w14:textId="6BECD9A0" w:rsidR="001F187E" w:rsidRPr="00E500E6" w:rsidRDefault="004832B9" w:rsidP="004832B9">
      <w:pPr>
        <w:pStyle w:val="1"/>
        <w:numPr>
          <w:ilvl w:val="0"/>
          <w:numId w:val="0"/>
        </w:numPr>
        <w:tabs>
          <w:tab w:val="left" w:pos="567"/>
        </w:tabs>
        <w:rPr>
          <w:i/>
          <w:iCs w:val="0"/>
        </w:rPr>
      </w:pPr>
      <w:r w:rsidRPr="00E500E6">
        <w:rPr>
          <w:iCs w:val="0"/>
        </w:rPr>
        <w:t>[47]</w:t>
      </w:r>
      <w:r w:rsidRPr="00E500E6">
        <w:rPr>
          <w:iCs w:val="0"/>
        </w:rPr>
        <w:tab/>
      </w:r>
      <w:r w:rsidR="009D5ADA">
        <w:t>T</w:t>
      </w:r>
      <w:r w:rsidR="00115F23">
        <w:t xml:space="preserve">he evidence considered </w:t>
      </w:r>
      <w:r w:rsidR="00300835">
        <w:t>holistically,</w:t>
      </w:r>
      <w:r w:rsidR="00735FF6">
        <w:t xml:space="preserve"> </w:t>
      </w:r>
      <w:r w:rsidR="00B64240">
        <w:t>and the considerations referred to</w:t>
      </w:r>
      <w:r w:rsidR="008E1D6F">
        <w:t xml:space="preserve"> herein</w:t>
      </w:r>
      <w:r w:rsidR="003E521C">
        <w:t xml:space="preserve">, </w:t>
      </w:r>
      <w:r w:rsidR="008E1D6F">
        <w:t xml:space="preserve">in my view, </w:t>
      </w:r>
      <w:r w:rsidR="00735FF6">
        <w:t>establishes a reasonable doubt</w:t>
      </w:r>
      <w:r w:rsidR="001D7F9A" w:rsidRPr="001459A2">
        <w:rPr>
          <w:i/>
          <w:iCs w:val="0"/>
        </w:rPr>
        <w:t xml:space="preserve"> </w:t>
      </w:r>
      <w:r w:rsidR="0083635F" w:rsidRPr="00191573">
        <w:t>as to whether non-compliance</w:t>
      </w:r>
      <w:r w:rsidR="001D7F9A">
        <w:t xml:space="preserve"> with the </w:t>
      </w:r>
      <w:r w:rsidR="001D7F9A">
        <w:lastRenderedPageBreak/>
        <w:t xml:space="preserve">obligations embodied in the Settlement agreement </w:t>
      </w:r>
      <w:r w:rsidR="00FD1333">
        <w:t>and Court Order</w:t>
      </w:r>
      <w:r w:rsidR="003E521C">
        <w:t>,</w:t>
      </w:r>
      <w:r w:rsidR="0083635F" w:rsidRPr="00191573">
        <w:t xml:space="preserve"> was wilful and mala fide</w:t>
      </w:r>
      <w:r w:rsidR="00FD1333">
        <w:t>.</w:t>
      </w:r>
      <w:r w:rsidR="003E521C">
        <w:t xml:space="preserve"> ACSA is entitled to this doubt</w:t>
      </w:r>
      <w:r w:rsidR="009147A7">
        <w:t xml:space="preserve"> and I accordingly find that it discharged the evidentiary burden</w:t>
      </w:r>
      <w:r w:rsidR="006878A3">
        <w:t xml:space="preserve"> and the findings in the court </w:t>
      </w:r>
      <w:r w:rsidR="006878A3" w:rsidRPr="009E01BF">
        <w:rPr>
          <w:i/>
          <w:iCs w:val="0"/>
        </w:rPr>
        <w:t>a quo</w:t>
      </w:r>
      <w:r w:rsidR="006878A3">
        <w:t xml:space="preserve"> fall to be set aside.</w:t>
      </w:r>
      <w:r w:rsidR="009147A7">
        <w:t xml:space="preserve"> </w:t>
      </w:r>
    </w:p>
    <w:p w14:paraId="69EFFEBB" w14:textId="3C3C2F3C" w:rsidR="00EE67AB" w:rsidRPr="00EE67AB" w:rsidRDefault="004832B9" w:rsidP="004832B9">
      <w:pPr>
        <w:pStyle w:val="1"/>
        <w:numPr>
          <w:ilvl w:val="0"/>
          <w:numId w:val="0"/>
        </w:numPr>
        <w:tabs>
          <w:tab w:val="left" w:pos="567"/>
        </w:tabs>
        <w:rPr>
          <w:i/>
          <w:iCs w:val="0"/>
        </w:rPr>
      </w:pPr>
      <w:r w:rsidRPr="00EE67AB">
        <w:rPr>
          <w:iCs w:val="0"/>
        </w:rPr>
        <w:t>[48]</w:t>
      </w:r>
      <w:r w:rsidRPr="00EE67AB">
        <w:rPr>
          <w:iCs w:val="0"/>
        </w:rPr>
        <w:tab/>
      </w:r>
      <w:r w:rsidR="00E500E6">
        <w:t>I need to add this</w:t>
      </w:r>
      <w:r w:rsidR="00EE67AB">
        <w:t xml:space="preserve"> though</w:t>
      </w:r>
      <w:r w:rsidR="00E500E6">
        <w:t>: The manner in which Cape Medics was treated by ACSA and the obstacles they had to overcome in order to do what they were contracted to do</w:t>
      </w:r>
      <w:r w:rsidR="00EE67AB">
        <w:t>,</w:t>
      </w:r>
      <w:r w:rsidR="00E500E6">
        <w:t xml:space="preserve"> placed them in an unenviable position. It is not unsurprising that they turned to the courts for help. </w:t>
      </w:r>
    </w:p>
    <w:p w14:paraId="3C517540" w14:textId="3674DC82" w:rsidR="00EE67AB" w:rsidRPr="00EE67AB" w:rsidRDefault="004832B9" w:rsidP="004832B9">
      <w:pPr>
        <w:pStyle w:val="1"/>
        <w:numPr>
          <w:ilvl w:val="0"/>
          <w:numId w:val="0"/>
        </w:numPr>
        <w:tabs>
          <w:tab w:val="left" w:pos="567"/>
        </w:tabs>
        <w:rPr>
          <w:i/>
          <w:iCs w:val="0"/>
        </w:rPr>
      </w:pPr>
      <w:r w:rsidRPr="00EE67AB">
        <w:rPr>
          <w:iCs w:val="0"/>
        </w:rPr>
        <w:t>[49]</w:t>
      </w:r>
      <w:r w:rsidRPr="00EE67AB">
        <w:rPr>
          <w:iCs w:val="0"/>
        </w:rPr>
        <w:tab/>
      </w:r>
      <w:r w:rsidR="00EE67AB">
        <w:t>C</w:t>
      </w:r>
      <w:r w:rsidR="00E500E6">
        <w:t>ontempt is (when not exclusively coercive) about the relationship between the contemnor and the court. That being so, one would have expected affidavits from all the executives implicated (the cited respondents)</w:t>
      </w:r>
      <w:r w:rsidR="00EE67AB">
        <w:t>,</w:t>
      </w:r>
      <w:r w:rsidR="00E500E6">
        <w:t xml:space="preserve"> giving chapter and verse of their und</w:t>
      </w:r>
      <w:r w:rsidR="00EE67AB">
        <w:t>erstanding of the law, when the</w:t>
      </w:r>
      <w:r w:rsidR="00E500E6">
        <w:t xml:space="preserve"> advice</w:t>
      </w:r>
      <w:r w:rsidR="00EE67AB">
        <w:t xml:space="preserve"> relied upon</w:t>
      </w:r>
      <w:r w:rsidR="00E500E6">
        <w:t xml:space="preserve"> was dispensed</w:t>
      </w:r>
      <w:r w:rsidR="0079219D">
        <w:t>, by whom</w:t>
      </w:r>
      <w:r w:rsidR="00E500E6">
        <w:t xml:space="preserve"> and how it impacted upon </w:t>
      </w:r>
      <w:r w:rsidR="00EE67AB">
        <w:t xml:space="preserve">their, and consequently </w:t>
      </w:r>
      <w:r w:rsidR="00E500E6">
        <w:t>ACSA’s</w:t>
      </w:r>
      <w:r w:rsidR="00EE67AB">
        <w:t>,</w:t>
      </w:r>
      <w:r w:rsidR="00E500E6">
        <w:t xml:space="preserve"> decisions. ACSA’s argued position was that it held the view, based on </w:t>
      </w:r>
      <w:r w:rsidR="00E500E6" w:rsidRPr="00E500E6">
        <w:rPr>
          <w:i/>
          <w:iCs w:val="0"/>
        </w:rPr>
        <w:t>bona fide</w:t>
      </w:r>
      <w:r w:rsidR="00E500E6">
        <w:t xml:space="preserve"> legal advice received, that the SLA as amended by the Settlement Agreement and embodied in the Court Order, precluded an approach to court for specific performance using contempt of court proceedings, at least until the arbitration route had been followed. </w:t>
      </w:r>
      <w:r w:rsidR="00EE67AB">
        <w:t xml:space="preserve">What we have found is that this advice was wrong. It does not constitute a bar </w:t>
      </w:r>
      <w:r w:rsidR="00EE67AB" w:rsidRPr="0079219D">
        <w:rPr>
          <w:i/>
        </w:rPr>
        <w:t>per se</w:t>
      </w:r>
      <w:r w:rsidR="00EE67AB">
        <w:t xml:space="preserve"> but</w:t>
      </w:r>
      <w:r w:rsidR="0079219D">
        <w:t xml:space="preserve"> did</w:t>
      </w:r>
      <w:r w:rsidR="00EE67AB">
        <w:t xml:space="preserve"> in the context of this case, and because the dispute resolution clause was made an order of court, the court </w:t>
      </w:r>
      <w:r w:rsidR="0079219D" w:rsidRPr="0079219D">
        <w:rPr>
          <w:i/>
        </w:rPr>
        <w:t>a</w:t>
      </w:r>
      <w:r w:rsidR="00EE67AB" w:rsidRPr="0079219D">
        <w:rPr>
          <w:i/>
        </w:rPr>
        <w:t xml:space="preserve"> quo</w:t>
      </w:r>
      <w:r w:rsidR="00EE67AB">
        <w:t xml:space="preserve"> ought to have explored a stay of the proceedings and erred in not exercising a discretion whether to continue with the proceedings.</w:t>
      </w:r>
    </w:p>
    <w:p w14:paraId="7D4B1601" w14:textId="1600C43C" w:rsidR="00E500E6" w:rsidRPr="00E500E6" w:rsidRDefault="004832B9" w:rsidP="004832B9">
      <w:pPr>
        <w:pStyle w:val="1"/>
        <w:numPr>
          <w:ilvl w:val="0"/>
          <w:numId w:val="0"/>
        </w:numPr>
        <w:tabs>
          <w:tab w:val="left" w:pos="567"/>
        </w:tabs>
        <w:rPr>
          <w:i/>
          <w:iCs w:val="0"/>
        </w:rPr>
      </w:pPr>
      <w:r w:rsidRPr="00E500E6">
        <w:rPr>
          <w:iCs w:val="0"/>
        </w:rPr>
        <w:t>[50]</w:t>
      </w:r>
      <w:r w:rsidRPr="00E500E6">
        <w:rPr>
          <w:iCs w:val="0"/>
        </w:rPr>
        <w:tab/>
      </w:r>
      <w:r w:rsidR="00E500E6">
        <w:t>What is lacking in this ca</w:t>
      </w:r>
      <w:r w:rsidR="00EE67AB">
        <w:t>se is detail of the legal advice</w:t>
      </w:r>
      <w:r w:rsidR="00E500E6">
        <w:t xml:space="preserve"> which should be extensive such as, the extent of the advice, the basis for the advice and the date on which ACSA received the advice.</w:t>
      </w:r>
    </w:p>
    <w:p w14:paraId="0143071F" w14:textId="115C1E3D" w:rsidR="0079219D" w:rsidRDefault="004832B9" w:rsidP="004832B9">
      <w:pPr>
        <w:pStyle w:val="1"/>
        <w:numPr>
          <w:ilvl w:val="0"/>
          <w:numId w:val="0"/>
        </w:numPr>
        <w:tabs>
          <w:tab w:val="left" w:pos="567"/>
        </w:tabs>
      </w:pPr>
      <w:r>
        <w:lastRenderedPageBreak/>
        <w:t>[51]</w:t>
      </w:r>
      <w:r>
        <w:tab/>
      </w:r>
      <w:r w:rsidR="00E500E6">
        <w:t xml:space="preserve">This Court is entitled (perhaps even obliged) to have regard to the source of the legal advice.  In </w:t>
      </w:r>
      <w:r w:rsidR="00E500E6" w:rsidRPr="00984748">
        <w:rPr>
          <w:i/>
          <w:iCs w:val="0"/>
        </w:rPr>
        <w:t>S v Gibson</w:t>
      </w:r>
      <w:r w:rsidR="00E500E6" w:rsidRPr="00A164F8">
        <w:rPr>
          <w:rStyle w:val="FootnoteReference"/>
          <w:iCs w:val="0"/>
        </w:rPr>
        <w:footnoteReference w:id="13"/>
      </w:r>
      <w:r w:rsidR="00E500E6">
        <w:t xml:space="preserve"> the Court rejected the contention that the accused had acted recklessly after he had acted on legal advice from a firm of attorneys described in the judgment as highly experienced in the relevant field of law. The same does not hold true in this case.  The source of the advice in this case is not spelled out.  Although the </w:t>
      </w:r>
      <w:r w:rsidR="00E500E6" w:rsidRPr="001D6642">
        <w:t>threshold</w:t>
      </w:r>
      <w:r w:rsidR="00E500E6">
        <w:t xml:space="preserve"> for rejecting legal advice as a defence is high, by virtue of the inadequacy of evidence presented to the court, ACSA narrowly escaped this consequence. </w:t>
      </w:r>
    </w:p>
    <w:p w14:paraId="63A5C843" w14:textId="12F30D91" w:rsidR="00E500E6" w:rsidRPr="00E500E6" w:rsidRDefault="004832B9" w:rsidP="004832B9">
      <w:pPr>
        <w:pStyle w:val="1"/>
        <w:numPr>
          <w:ilvl w:val="0"/>
          <w:numId w:val="0"/>
        </w:numPr>
        <w:tabs>
          <w:tab w:val="left" w:pos="567"/>
        </w:tabs>
      </w:pPr>
      <w:r w:rsidRPr="00E500E6">
        <w:t>[52]</w:t>
      </w:r>
      <w:r w:rsidRPr="00E500E6">
        <w:tab/>
      </w:r>
      <w:r w:rsidR="00E500E6">
        <w:t>I intend expressing my displeasure at the inadequacy of the evidenc</w:t>
      </w:r>
      <w:r w:rsidR="0079219D">
        <w:t>e in an appropriate costs order in denying the victors, ACSA and its executives, the ordinary consequences of success.</w:t>
      </w:r>
    </w:p>
    <w:p w14:paraId="338B9580" w14:textId="77777777" w:rsidR="006C226C" w:rsidRDefault="006C226C" w:rsidP="00BC768B">
      <w:pPr>
        <w:pStyle w:val="1"/>
        <w:numPr>
          <w:ilvl w:val="0"/>
          <w:numId w:val="0"/>
        </w:numPr>
        <w:rPr>
          <w:b/>
          <w:bCs/>
          <w:u w:val="single"/>
        </w:rPr>
      </w:pPr>
    </w:p>
    <w:p w14:paraId="297F71AA" w14:textId="1DDC9D4F" w:rsidR="00AC4A0B" w:rsidRPr="00BC768B" w:rsidRDefault="00A01A8D" w:rsidP="00BC768B">
      <w:pPr>
        <w:pStyle w:val="1"/>
        <w:numPr>
          <w:ilvl w:val="0"/>
          <w:numId w:val="0"/>
        </w:numPr>
        <w:rPr>
          <w:b/>
          <w:bCs/>
          <w:u w:val="single"/>
        </w:rPr>
      </w:pPr>
      <w:r w:rsidRPr="00BC768B">
        <w:rPr>
          <w:b/>
          <w:bCs/>
          <w:u w:val="single"/>
        </w:rPr>
        <w:t xml:space="preserve"> </w:t>
      </w:r>
      <w:r w:rsidR="009D05B0" w:rsidRPr="00BC768B">
        <w:rPr>
          <w:b/>
          <w:bCs/>
          <w:u w:val="single"/>
        </w:rPr>
        <w:t>Limited scop</w:t>
      </w:r>
      <w:r w:rsidR="009C0FE0" w:rsidRPr="00BC768B">
        <w:rPr>
          <w:b/>
          <w:bCs/>
          <w:u w:val="single"/>
        </w:rPr>
        <w:t>e</w:t>
      </w:r>
      <w:r w:rsidR="009D05B0" w:rsidRPr="00BC768B">
        <w:rPr>
          <w:b/>
          <w:bCs/>
          <w:u w:val="single"/>
        </w:rPr>
        <w:t xml:space="preserve"> of the appeal</w:t>
      </w:r>
    </w:p>
    <w:p w14:paraId="1F1C8CF7" w14:textId="0AEBCBB8" w:rsidR="009C0FE0" w:rsidRPr="00B85721" w:rsidRDefault="004832B9" w:rsidP="004832B9">
      <w:pPr>
        <w:pStyle w:val="1"/>
        <w:numPr>
          <w:ilvl w:val="0"/>
          <w:numId w:val="0"/>
        </w:numPr>
        <w:tabs>
          <w:tab w:val="left" w:pos="567"/>
        </w:tabs>
      </w:pPr>
      <w:r w:rsidRPr="00B85721">
        <w:t>[53]</w:t>
      </w:r>
      <w:r w:rsidRPr="00B85721">
        <w:tab/>
      </w:r>
      <w:r w:rsidR="001A041B" w:rsidRPr="00B85721">
        <w:t>The appellants applied for leave to appeal against the whole judgment and Orders of the Court</w:t>
      </w:r>
      <w:r w:rsidR="000D56C8">
        <w:t xml:space="preserve"> </w:t>
      </w:r>
      <w:r w:rsidR="000D56C8" w:rsidRPr="000D56C8">
        <w:rPr>
          <w:i/>
          <w:iCs w:val="0"/>
        </w:rPr>
        <w:t>a qu</w:t>
      </w:r>
      <w:r w:rsidR="001C566E">
        <w:rPr>
          <w:i/>
          <w:iCs w:val="0"/>
        </w:rPr>
        <w:t xml:space="preserve">o </w:t>
      </w:r>
      <w:r w:rsidR="00F65480">
        <w:rPr>
          <w:i/>
          <w:iCs w:val="0"/>
        </w:rPr>
        <w:t xml:space="preserve">. </w:t>
      </w:r>
      <w:r w:rsidR="00F65480">
        <w:rPr>
          <w:iCs w:val="0"/>
        </w:rPr>
        <w:t xml:space="preserve">They </w:t>
      </w:r>
      <w:r w:rsidR="001C566E" w:rsidRPr="001C566E">
        <w:t>w</w:t>
      </w:r>
      <w:r w:rsidR="00F65480">
        <w:t>ere</w:t>
      </w:r>
      <w:r w:rsidR="001A041B" w:rsidRPr="001C566E">
        <w:t xml:space="preserve"> </w:t>
      </w:r>
      <w:r w:rsidR="001A041B" w:rsidRPr="00B85721">
        <w:t>granted leave to appe</w:t>
      </w:r>
      <w:r w:rsidR="009E01BF">
        <w:t xml:space="preserve">al </w:t>
      </w:r>
      <w:r w:rsidR="001A041B" w:rsidRPr="00B85721">
        <w:t xml:space="preserve">to the Full Court of the Gauteng Local Division on the ground of whether or not the </w:t>
      </w:r>
      <w:r w:rsidR="003C35F8">
        <w:t>r</w:t>
      </w:r>
      <w:r w:rsidR="001A041B" w:rsidRPr="00B85721">
        <w:t>espondents</w:t>
      </w:r>
      <w:r w:rsidR="00E500E6">
        <w:t>’</w:t>
      </w:r>
      <w:r w:rsidR="001C566E">
        <w:t xml:space="preserve"> n</w:t>
      </w:r>
      <w:r w:rsidR="001A041B" w:rsidRPr="00B85721">
        <w:t>on</w:t>
      </w:r>
      <w:r w:rsidR="001C566E">
        <w:t>-</w:t>
      </w:r>
      <w:r w:rsidR="001A041B" w:rsidRPr="00B85721">
        <w:t>compliance with the Court Order granted on 10 June 2020</w:t>
      </w:r>
      <w:r w:rsidR="003C35F8">
        <w:t xml:space="preserve"> </w:t>
      </w:r>
      <w:r w:rsidR="001A041B" w:rsidRPr="00B85721">
        <w:t xml:space="preserve">was both </w:t>
      </w:r>
      <w:r w:rsidR="001C566E" w:rsidRPr="00B85721">
        <w:t>wilful</w:t>
      </w:r>
      <w:r w:rsidR="001A041B" w:rsidRPr="00B85721">
        <w:t xml:space="preserve"> and mala</w:t>
      </w:r>
      <w:r w:rsidR="001C566E">
        <w:t xml:space="preserve"> fide.</w:t>
      </w:r>
    </w:p>
    <w:p w14:paraId="095B0601" w14:textId="51ECF7D0" w:rsidR="00BF13F7" w:rsidRDefault="004832B9" w:rsidP="004832B9">
      <w:pPr>
        <w:pStyle w:val="1"/>
        <w:numPr>
          <w:ilvl w:val="0"/>
          <w:numId w:val="0"/>
        </w:numPr>
        <w:tabs>
          <w:tab w:val="left" w:pos="567"/>
        </w:tabs>
      </w:pPr>
      <w:r>
        <w:t>[54]</w:t>
      </w:r>
      <w:r>
        <w:tab/>
      </w:r>
      <w:r w:rsidR="00C0649C">
        <w:t xml:space="preserve">Relying </w:t>
      </w:r>
      <w:r w:rsidR="00C0649C" w:rsidRPr="00F83C4F">
        <w:rPr>
          <w:i/>
          <w:iCs w:val="0"/>
        </w:rPr>
        <w:t xml:space="preserve">on </w:t>
      </w:r>
      <w:r w:rsidR="00BF13F7" w:rsidRPr="00F83C4F">
        <w:rPr>
          <w:i/>
          <w:iCs w:val="0"/>
        </w:rPr>
        <w:t>Leeuw v First National Bank Ltd</w:t>
      </w:r>
      <w:r w:rsidR="00BF13F7" w:rsidRPr="00B85721">
        <w:t>,</w:t>
      </w:r>
      <w:r w:rsidR="00F83C4F">
        <w:rPr>
          <w:rStyle w:val="FootnoteReference"/>
        </w:rPr>
        <w:footnoteReference w:id="14"/>
      </w:r>
      <w:r w:rsidR="00BF13F7" w:rsidRPr="00B85721">
        <w:t xml:space="preserve"> </w:t>
      </w:r>
      <w:r w:rsidR="00C0649C">
        <w:t xml:space="preserve">where </w:t>
      </w:r>
      <w:r w:rsidR="00BF13F7" w:rsidRPr="00B85721">
        <w:t>the Supreme Court of Appeal held that a Court hearing an appeal is entitled to make findings in relation to any matter dealt with in the impugned judgment provided the basis therefor ha</w:t>
      </w:r>
      <w:r w:rsidR="00480563">
        <w:t>s</w:t>
      </w:r>
      <w:r w:rsidR="00BF13F7" w:rsidRPr="00B85721">
        <w:t xml:space="preserve"> been laid in the notice of appeal and heads of argument</w:t>
      </w:r>
      <w:r w:rsidR="003C35F8">
        <w:t>, t</w:t>
      </w:r>
      <w:r w:rsidR="00BF13F7" w:rsidRPr="00B85721">
        <w:t>his</w:t>
      </w:r>
      <w:r w:rsidR="00B85721" w:rsidRPr="00B85721">
        <w:t xml:space="preserve"> Court </w:t>
      </w:r>
      <w:r w:rsidR="001A2499">
        <w:t>was</w:t>
      </w:r>
      <w:r w:rsidR="00B85721" w:rsidRPr="00B85721">
        <w:t xml:space="preserve"> invited to consider the </w:t>
      </w:r>
      <w:r w:rsidR="003C35F8">
        <w:t>a</w:t>
      </w:r>
      <w:r w:rsidR="00B85721" w:rsidRPr="00B85721">
        <w:t>ppellants'</w:t>
      </w:r>
      <w:r w:rsidR="001A2499">
        <w:t xml:space="preserve"> a</w:t>
      </w:r>
      <w:r w:rsidR="00B85721" w:rsidRPr="00B85721">
        <w:t>ppeal on all the grounds set out in the notice of appeal.</w:t>
      </w:r>
    </w:p>
    <w:p w14:paraId="23DE4081" w14:textId="64780C18" w:rsidR="007B4161" w:rsidRPr="00D51646" w:rsidRDefault="004832B9" w:rsidP="004832B9">
      <w:pPr>
        <w:pStyle w:val="1"/>
        <w:numPr>
          <w:ilvl w:val="0"/>
          <w:numId w:val="0"/>
        </w:numPr>
        <w:tabs>
          <w:tab w:val="left" w:pos="567"/>
        </w:tabs>
      </w:pPr>
      <w:r w:rsidRPr="00D51646">
        <w:lastRenderedPageBreak/>
        <w:t>[55]</w:t>
      </w:r>
      <w:r w:rsidRPr="00D51646">
        <w:tab/>
      </w:r>
      <w:r w:rsidR="00B5782A">
        <w:t xml:space="preserve">Cape Medics did not take issue with the legal principle distilled from </w:t>
      </w:r>
      <w:r w:rsidR="006E20CF" w:rsidRPr="00032BEF">
        <w:rPr>
          <w:i/>
        </w:rPr>
        <w:t>Leeuw</w:t>
      </w:r>
      <w:r w:rsidR="006E0AC8">
        <w:t xml:space="preserve"> and as it turned out, this court made its finding on the </w:t>
      </w:r>
      <w:r w:rsidR="000B0031">
        <w:t>issue of wilfulness and mala fides only</w:t>
      </w:r>
      <w:r w:rsidR="00165468">
        <w:t xml:space="preserve"> ie the issue on which leave to appeal was granted. It is accordingly not necessary to consider this feature further.</w:t>
      </w:r>
    </w:p>
    <w:p w14:paraId="71C5EED3" w14:textId="09B43C5B" w:rsidR="006C226C" w:rsidRDefault="006C226C" w:rsidP="00CD43FE">
      <w:pPr>
        <w:pStyle w:val="1"/>
        <w:numPr>
          <w:ilvl w:val="0"/>
          <w:numId w:val="0"/>
        </w:numPr>
        <w:rPr>
          <w:b/>
          <w:bCs/>
          <w:u w:val="single"/>
        </w:rPr>
      </w:pPr>
    </w:p>
    <w:p w14:paraId="51D471E3" w14:textId="31C871E3" w:rsidR="000B0031" w:rsidRPr="00CD43FE" w:rsidRDefault="000B0031" w:rsidP="00CD43FE">
      <w:pPr>
        <w:pStyle w:val="1"/>
        <w:numPr>
          <w:ilvl w:val="0"/>
          <w:numId w:val="0"/>
        </w:numPr>
        <w:rPr>
          <w:b/>
          <w:bCs/>
          <w:u w:val="single"/>
        </w:rPr>
      </w:pPr>
      <w:r w:rsidRPr="00CD43FE">
        <w:rPr>
          <w:b/>
          <w:bCs/>
          <w:u w:val="single"/>
        </w:rPr>
        <w:t>Costs</w:t>
      </w:r>
    </w:p>
    <w:p w14:paraId="7BA0889E" w14:textId="69D67CA1" w:rsidR="000B0031" w:rsidRDefault="004832B9" w:rsidP="004832B9">
      <w:pPr>
        <w:pStyle w:val="1"/>
        <w:numPr>
          <w:ilvl w:val="0"/>
          <w:numId w:val="0"/>
        </w:numPr>
        <w:tabs>
          <w:tab w:val="left" w:pos="567"/>
        </w:tabs>
      </w:pPr>
      <w:r>
        <w:t>[56]</w:t>
      </w:r>
      <w:r>
        <w:tab/>
      </w:r>
      <w:r w:rsidR="00013899">
        <w:t>The court below was correct in its criticisms of the inadequacy of proof present</w:t>
      </w:r>
      <w:r w:rsidR="00BD2D37">
        <w:t xml:space="preserve">ed in what </w:t>
      </w:r>
      <w:r w:rsidR="002253F7">
        <w:t>was</w:t>
      </w:r>
      <w:r w:rsidR="00BD2D37">
        <w:t xml:space="preserve"> a most serious case. </w:t>
      </w:r>
      <w:r w:rsidR="00D67636">
        <w:t>T</w:t>
      </w:r>
      <w:r w:rsidR="00BD2D37">
        <w:t>he failure by any of the executives</w:t>
      </w:r>
      <w:r w:rsidR="002253F7">
        <w:t xml:space="preserve"> (the second, third and fourth respondents)</w:t>
      </w:r>
      <w:r w:rsidR="00013899">
        <w:t xml:space="preserve"> </w:t>
      </w:r>
      <w:r w:rsidR="002253F7">
        <w:t>to have deposed to affidavits setting out their states of mind, the advice received</w:t>
      </w:r>
      <w:r w:rsidR="00D67636">
        <w:t>, when so received</w:t>
      </w:r>
      <w:r w:rsidR="00917213">
        <w:t xml:space="preserve"> and</w:t>
      </w:r>
      <w:r w:rsidR="00745F7C">
        <w:t xml:space="preserve"> the like, is startling</w:t>
      </w:r>
      <w:r w:rsidR="00917213">
        <w:t>.</w:t>
      </w:r>
      <w:r w:rsidR="00745F7C">
        <w:t xml:space="preserve"> Although successful</w:t>
      </w:r>
      <w:r w:rsidR="003378F6">
        <w:t xml:space="preserve">, </w:t>
      </w:r>
      <w:r w:rsidR="00785192">
        <w:t>I have a discretion in awarding costs to the successful party</w:t>
      </w:r>
      <w:r w:rsidR="0045613C">
        <w:t>/ies</w:t>
      </w:r>
      <w:r w:rsidR="00785192">
        <w:t xml:space="preserve"> and intend </w:t>
      </w:r>
      <w:r w:rsidR="00630FCD">
        <w:t>exercising it against ACSA and the other appellants.</w:t>
      </w:r>
    </w:p>
    <w:p w14:paraId="42C9F38B" w14:textId="16843AF5" w:rsidR="00630FCD" w:rsidRDefault="004832B9" w:rsidP="004832B9">
      <w:pPr>
        <w:pStyle w:val="1"/>
        <w:numPr>
          <w:ilvl w:val="0"/>
          <w:numId w:val="0"/>
        </w:numPr>
        <w:tabs>
          <w:tab w:val="left" w:pos="567"/>
        </w:tabs>
      </w:pPr>
      <w:r>
        <w:t>[57]</w:t>
      </w:r>
      <w:r>
        <w:tab/>
      </w:r>
      <w:r w:rsidR="00630FCD">
        <w:t>I accordingly make the following order:</w:t>
      </w:r>
    </w:p>
    <w:p w14:paraId="565589FF" w14:textId="38C27160" w:rsidR="00630FCD" w:rsidRDefault="004832B9" w:rsidP="004832B9">
      <w:pPr>
        <w:pStyle w:val="2"/>
        <w:numPr>
          <w:ilvl w:val="0"/>
          <w:numId w:val="0"/>
        </w:numPr>
        <w:tabs>
          <w:tab w:val="left" w:pos="2268"/>
        </w:tabs>
        <w:ind w:left="1134" w:hanging="567"/>
      </w:pPr>
      <w:r>
        <w:t>(a)</w:t>
      </w:r>
      <w:r>
        <w:tab/>
      </w:r>
      <w:r w:rsidR="00416FFF">
        <w:t>The appeal is upheld with each party to pay their own costs.</w:t>
      </w:r>
    </w:p>
    <w:p w14:paraId="49A093BF" w14:textId="369978F7" w:rsidR="00416FFF" w:rsidRDefault="004832B9" w:rsidP="004832B9">
      <w:pPr>
        <w:pStyle w:val="2"/>
        <w:numPr>
          <w:ilvl w:val="0"/>
          <w:numId w:val="0"/>
        </w:numPr>
        <w:tabs>
          <w:tab w:val="left" w:pos="2268"/>
        </w:tabs>
        <w:ind w:left="1134" w:hanging="567"/>
      </w:pPr>
      <w:r>
        <w:t>(b)</w:t>
      </w:r>
      <w:r>
        <w:tab/>
      </w:r>
      <w:r w:rsidR="00416FFF">
        <w:t xml:space="preserve">The </w:t>
      </w:r>
      <w:r w:rsidR="001A656E">
        <w:t>order of the court</w:t>
      </w:r>
      <w:r w:rsidR="008772AD">
        <w:t xml:space="preserve"> </w:t>
      </w:r>
      <w:r w:rsidR="008772AD" w:rsidRPr="008772AD">
        <w:rPr>
          <w:i/>
          <w:iCs w:val="0"/>
        </w:rPr>
        <w:t>a quo</w:t>
      </w:r>
      <w:r w:rsidR="001A656E">
        <w:t xml:space="preserve"> is set aside and replaced with the following:</w:t>
      </w:r>
    </w:p>
    <w:p w14:paraId="2E71F462" w14:textId="6F3D0350" w:rsidR="001A656E" w:rsidRDefault="00351FDF" w:rsidP="00351FDF">
      <w:pPr>
        <w:pStyle w:val="2"/>
        <w:numPr>
          <w:ilvl w:val="0"/>
          <w:numId w:val="0"/>
        </w:numPr>
        <w:ind w:left="1134"/>
      </w:pPr>
      <w:r>
        <w:t>‘The application is dismissed. Each party is to pay their own costs.’</w:t>
      </w:r>
    </w:p>
    <w:p w14:paraId="12B518B0" w14:textId="39A4E3C5" w:rsidR="006C226C" w:rsidRDefault="006C226C" w:rsidP="00351FDF">
      <w:pPr>
        <w:pStyle w:val="2"/>
        <w:numPr>
          <w:ilvl w:val="0"/>
          <w:numId w:val="0"/>
        </w:numPr>
        <w:ind w:left="1134"/>
      </w:pPr>
    </w:p>
    <w:p w14:paraId="05C2E10D" w14:textId="77777777" w:rsidR="006C226C" w:rsidRDefault="006C226C" w:rsidP="006C226C">
      <w:pPr>
        <w:pStyle w:val="2"/>
        <w:numPr>
          <w:ilvl w:val="0"/>
          <w:numId w:val="0"/>
        </w:numPr>
        <w:ind w:left="1134" w:hanging="567"/>
      </w:pPr>
    </w:p>
    <w:p w14:paraId="26F0111E" w14:textId="77777777" w:rsidR="00B92CBC" w:rsidRDefault="00B92CBC" w:rsidP="00BA523B">
      <w:pPr>
        <w:pStyle w:val="2"/>
        <w:numPr>
          <w:ilvl w:val="0"/>
          <w:numId w:val="0"/>
        </w:numPr>
      </w:pPr>
    </w:p>
    <w:p w14:paraId="431D266D" w14:textId="77777777" w:rsidR="00321949" w:rsidRPr="009624B9" w:rsidRDefault="00321949" w:rsidP="00321949">
      <w:pPr>
        <w:tabs>
          <w:tab w:val="left" w:pos="851"/>
          <w:tab w:val="left" w:pos="1701"/>
          <w:tab w:val="left" w:pos="2835"/>
          <w:tab w:val="left" w:pos="3969"/>
          <w:tab w:val="right" w:pos="8222"/>
        </w:tabs>
        <w:ind w:left="691"/>
        <w:contextualSpacing/>
        <w:jc w:val="right"/>
        <w:rPr>
          <w:rFonts w:cs="Arial"/>
        </w:rPr>
      </w:pPr>
      <w:r w:rsidRPr="009624B9">
        <w:rPr>
          <w:rFonts w:cs="Arial"/>
        </w:rPr>
        <w:t>___________________________</w:t>
      </w:r>
    </w:p>
    <w:p w14:paraId="5057FCE9" w14:textId="3E70DFE7" w:rsidR="00862A46" w:rsidRDefault="00DC397F" w:rsidP="00321949">
      <w:pPr>
        <w:ind w:left="691"/>
        <w:jc w:val="right"/>
        <w:rPr>
          <w:rFonts w:cs="Arial"/>
        </w:rPr>
      </w:pPr>
      <w:r>
        <w:rPr>
          <w:rFonts w:cs="Arial"/>
        </w:rPr>
        <w:t>I Opperman</w:t>
      </w:r>
    </w:p>
    <w:p w14:paraId="5A8E6443" w14:textId="77777777" w:rsidR="00321949" w:rsidRPr="009624B9" w:rsidRDefault="00321949" w:rsidP="00321949">
      <w:pPr>
        <w:ind w:left="691"/>
        <w:jc w:val="right"/>
        <w:rPr>
          <w:rFonts w:cs="Arial"/>
        </w:rPr>
      </w:pPr>
      <w:r w:rsidRPr="009624B9">
        <w:rPr>
          <w:rFonts w:cs="Arial"/>
        </w:rPr>
        <w:t>Judge of the High Court</w:t>
      </w:r>
    </w:p>
    <w:p w14:paraId="23A95494" w14:textId="77777777" w:rsidR="00321949" w:rsidRDefault="00000F16" w:rsidP="00000F16">
      <w:pPr>
        <w:ind w:left="691"/>
        <w:jc w:val="right"/>
        <w:rPr>
          <w:rFonts w:cs="Arial"/>
        </w:rPr>
      </w:pPr>
      <w:r>
        <w:rPr>
          <w:rFonts w:cs="Arial"/>
        </w:rPr>
        <w:t>Gauteng Division, Johannesburg</w:t>
      </w:r>
    </w:p>
    <w:p w14:paraId="381FEB8F" w14:textId="77777777" w:rsidR="00B92CBC" w:rsidRDefault="00B92CBC" w:rsidP="00000F16">
      <w:pPr>
        <w:ind w:left="691"/>
        <w:jc w:val="right"/>
        <w:rPr>
          <w:rFonts w:cs="Arial"/>
        </w:rPr>
      </w:pPr>
    </w:p>
    <w:p w14:paraId="321E7D5F" w14:textId="77777777" w:rsidR="009B12B1" w:rsidRDefault="009B12B1" w:rsidP="00000F16">
      <w:pPr>
        <w:ind w:left="691"/>
        <w:jc w:val="right"/>
        <w:rPr>
          <w:rFonts w:cs="Arial"/>
        </w:rPr>
      </w:pPr>
    </w:p>
    <w:p w14:paraId="56BC638D" w14:textId="77777777" w:rsidR="009B12B1" w:rsidRDefault="009B12B1" w:rsidP="00000F16">
      <w:pPr>
        <w:ind w:left="691"/>
        <w:jc w:val="right"/>
        <w:rPr>
          <w:rFonts w:cs="Arial"/>
        </w:rPr>
      </w:pPr>
    </w:p>
    <w:p w14:paraId="1444015A" w14:textId="77777777" w:rsidR="00000F16" w:rsidRPr="009624B9" w:rsidRDefault="00000F16" w:rsidP="00000F16">
      <w:pPr>
        <w:ind w:left="691"/>
        <w:jc w:val="right"/>
        <w:rPr>
          <w:rFonts w:cs="Arial"/>
        </w:rPr>
      </w:pPr>
    </w:p>
    <w:p w14:paraId="391A5FC4" w14:textId="5A942B54" w:rsidR="00B92CBC" w:rsidRDefault="00B92CBC" w:rsidP="00321949">
      <w:pPr>
        <w:pStyle w:val="BodyText"/>
        <w:tabs>
          <w:tab w:val="left" w:pos="567"/>
        </w:tabs>
        <w:spacing w:before="120"/>
        <w:outlineLvl w:val="0"/>
        <w:rPr>
          <w:rFonts w:cs="Arial"/>
          <w:b/>
          <w:sz w:val="22"/>
          <w:szCs w:val="22"/>
        </w:rPr>
      </w:pPr>
    </w:p>
    <w:p w14:paraId="47B6C0A6" w14:textId="63C63A56" w:rsidR="006C226C" w:rsidRDefault="006C226C" w:rsidP="00321949">
      <w:pPr>
        <w:pStyle w:val="BodyText"/>
        <w:tabs>
          <w:tab w:val="left" w:pos="567"/>
        </w:tabs>
        <w:spacing w:before="120"/>
        <w:outlineLvl w:val="0"/>
        <w:rPr>
          <w:rFonts w:cs="Arial"/>
          <w:b/>
          <w:sz w:val="22"/>
          <w:szCs w:val="22"/>
        </w:rPr>
      </w:pPr>
    </w:p>
    <w:p w14:paraId="1E48632B" w14:textId="77777777" w:rsidR="006C226C" w:rsidRDefault="006C226C" w:rsidP="00321949">
      <w:pPr>
        <w:pStyle w:val="BodyText"/>
        <w:tabs>
          <w:tab w:val="left" w:pos="567"/>
        </w:tabs>
        <w:spacing w:before="120"/>
        <w:outlineLvl w:val="0"/>
        <w:rPr>
          <w:rFonts w:cs="Arial"/>
          <w:b/>
          <w:sz w:val="22"/>
          <w:szCs w:val="22"/>
        </w:rPr>
      </w:pPr>
    </w:p>
    <w:p w14:paraId="6C766662" w14:textId="77777777" w:rsidR="00B92CBC" w:rsidRDefault="00B92CBC" w:rsidP="00321949">
      <w:pPr>
        <w:pStyle w:val="BodyText"/>
        <w:tabs>
          <w:tab w:val="left" w:pos="567"/>
        </w:tabs>
        <w:spacing w:before="120"/>
        <w:outlineLvl w:val="0"/>
        <w:rPr>
          <w:rFonts w:cs="Arial"/>
          <w:b/>
          <w:sz w:val="22"/>
          <w:szCs w:val="22"/>
        </w:rPr>
      </w:pPr>
    </w:p>
    <w:p w14:paraId="016DE611" w14:textId="43D8BA78" w:rsidR="00862A46" w:rsidRPr="00E96783" w:rsidRDefault="00064C3E" w:rsidP="00321949">
      <w:pPr>
        <w:pStyle w:val="BodyText"/>
        <w:tabs>
          <w:tab w:val="left" w:pos="567"/>
        </w:tabs>
        <w:spacing w:before="120"/>
        <w:outlineLvl w:val="0"/>
        <w:rPr>
          <w:rFonts w:cs="Arial"/>
          <w:bCs/>
          <w:sz w:val="22"/>
          <w:szCs w:val="22"/>
        </w:rPr>
      </w:pPr>
      <w:r>
        <w:rPr>
          <w:rFonts w:cs="Arial"/>
          <w:b/>
          <w:sz w:val="22"/>
          <w:szCs w:val="22"/>
        </w:rPr>
        <w:t xml:space="preserve">Counsel for the </w:t>
      </w:r>
      <w:r w:rsidR="00DC397F">
        <w:rPr>
          <w:rFonts w:cs="Arial"/>
          <w:b/>
          <w:sz w:val="22"/>
          <w:szCs w:val="22"/>
        </w:rPr>
        <w:t>Appellants:</w:t>
      </w:r>
      <w:r w:rsidR="009003AC">
        <w:rPr>
          <w:rFonts w:cs="Arial"/>
          <w:b/>
          <w:sz w:val="22"/>
          <w:szCs w:val="22"/>
        </w:rPr>
        <w:t xml:space="preserve"> </w:t>
      </w:r>
      <w:r w:rsidR="009003AC" w:rsidRPr="00E96783">
        <w:rPr>
          <w:rFonts w:cs="Arial"/>
          <w:bCs/>
          <w:sz w:val="22"/>
          <w:szCs w:val="22"/>
        </w:rPr>
        <w:t>Adv WR Mokhare SC</w:t>
      </w:r>
      <w:r w:rsidR="00BE4C7A" w:rsidRPr="00E96783">
        <w:rPr>
          <w:rFonts w:cs="Arial"/>
          <w:bCs/>
          <w:sz w:val="22"/>
          <w:szCs w:val="22"/>
        </w:rPr>
        <w:t xml:space="preserve"> and Adv MD Skhosana</w:t>
      </w:r>
    </w:p>
    <w:p w14:paraId="4F209304" w14:textId="38FD9E73" w:rsidR="00CE6920" w:rsidRPr="00DC397F" w:rsidRDefault="00321949" w:rsidP="00321949">
      <w:pPr>
        <w:pStyle w:val="BodyText"/>
        <w:tabs>
          <w:tab w:val="left" w:pos="567"/>
        </w:tabs>
        <w:spacing w:before="120"/>
        <w:rPr>
          <w:rFonts w:cs="Arial"/>
          <w:sz w:val="22"/>
          <w:szCs w:val="22"/>
        </w:rPr>
      </w:pPr>
      <w:r w:rsidRPr="00064C3E">
        <w:rPr>
          <w:rFonts w:cs="Arial"/>
          <w:b/>
          <w:sz w:val="22"/>
          <w:szCs w:val="22"/>
        </w:rPr>
        <w:t>Instructed by</w:t>
      </w:r>
      <w:r w:rsidRPr="009624B9">
        <w:rPr>
          <w:rFonts w:cs="Arial"/>
          <w:sz w:val="22"/>
          <w:szCs w:val="22"/>
        </w:rPr>
        <w:t xml:space="preserve">: </w:t>
      </w:r>
      <w:r w:rsidR="000C5E5C">
        <w:rPr>
          <w:rFonts w:cs="Arial"/>
          <w:sz w:val="22"/>
          <w:szCs w:val="22"/>
        </w:rPr>
        <w:t>Mashia</w:t>
      </w:r>
      <w:r w:rsidR="001F0066">
        <w:rPr>
          <w:rFonts w:cs="Arial"/>
          <w:sz w:val="22"/>
          <w:szCs w:val="22"/>
        </w:rPr>
        <w:t>ne Moodley Monama Attorneys</w:t>
      </w:r>
    </w:p>
    <w:p w14:paraId="29DF9E5E" w14:textId="2822BEE4" w:rsidR="00064C3E" w:rsidRPr="00064C3E" w:rsidRDefault="00064C3E" w:rsidP="00DC397F">
      <w:pPr>
        <w:pStyle w:val="BodyText"/>
        <w:tabs>
          <w:tab w:val="left" w:pos="567"/>
        </w:tabs>
        <w:spacing w:before="120"/>
        <w:rPr>
          <w:rFonts w:cs="Arial"/>
          <w:sz w:val="22"/>
          <w:szCs w:val="22"/>
        </w:rPr>
      </w:pPr>
      <w:r w:rsidRPr="00064C3E">
        <w:rPr>
          <w:rFonts w:cs="Arial"/>
          <w:b/>
          <w:sz w:val="22"/>
          <w:szCs w:val="22"/>
        </w:rPr>
        <w:t xml:space="preserve">Counsel for the </w:t>
      </w:r>
      <w:r w:rsidR="00BE4C7A">
        <w:rPr>
          <w:rFonts w:cs="Arial"/>
          <w:b/>
          <w:sz w:val="22"/>
          <w:szCs w:val="22"/>
        </w:rPr>
        <w:t xml:space="preserve">Respondent: </w:t>
      </w:r>
      <w:r w:rsidR="00BE4C7A" w:rsidRPr="00E96783">
        <w:rPr>
          <w:rFonts w:cs="Arial"/>
          <w:bCs/>
          <w:sz w:val="22"/>
          <w:szCs w:val="22"/>
        </w:rPr>
        <w:t>Adv PT Rood SC</w:t>
      </w:r>
      <w:r w:rsidR="00E96783">
        <w:rPr>
          <w:rFonts w:cs="Arial"/>
          <w:bCs/>
          <w:sz w:val="22"/>
          <w:szCs w:val="22"/>
        </w:rPr>
        <w:t xml:space="preserve"> </w:t>
      </w:r>
    </w:p>
    <w:p w14:paraId="5395692B" w14:textId="070A466A" w:rsidR="00CE6920" w:rsidRPr="00DC397F" w:rsidRDefault="00321949" w:rsidP="00321949">
      <w:pPr>
        <w:pStyle w:val="BodyText"/>
        <w:tabs>
          <w:tab w:val="left" w:pos="567"/>
        </w:tabs>
        <w:spacing w:before="120"/>
        <w:rPr>
          <w:rFonts w:cs="Arial"/>
          <w:sz w:val="22"/>
          <w:szCs w:val="22"/>
        </w:rPr>
      </w:pPr>
      <w:r w:rsidRPr="00064C3E">
        <w:rPr>
          <w:rFonts w:cs="Arial"/>
          <w:b/>
          <w:sz w:val="22"/>
          <w:szCs w:val="22"/>
        </w:rPr>
        <w:t>Instructed by</w:t>
      </w:r>
      <w:r w:rsidRPr="009624B9">
        <w:rPr>
          <w:rFonts w:cs="Arial"/>
          <w:sz w:val="22"/>
          <w:szCs w:val="22"/>
        </w:rPr>
        <w:t xml:space="preserve">: </w:t>
      </w:r>
      <w:r w:rsidR="001F0066">
        <w:rPr>
          <w:rFonts w:cs="Arial"/>
          <w:sz w:val="22"/>
          <w:szCs w:val="22"/>
        </w:rPr>
        <w:t>MMfusi &amp; Co Attorneys</w:t>
      </w:r>
    </w:p>
    <w:p w14:paraId="4DA8DCD7" w14:textId="7B2EFE02" w:rsidR="00DC397F" w:rsidRPr="00000F16" w:rsidRDefault="00321949" w:rsidP="00DC397F">
      <w:pPr>
        <w:pStyle w:val="BodyText"/>
        <w:tabs>
          <w:tab w:val="left" w:pos="567"/>
        </w:tabs>
        <w:spacing w:before="120"/>
        <w:rPr>
          <w:rFonts w:cs="Arial"/>
          <w:b/>
          <w:sz w:val="22"/>
          <w:szCs w:val="22"/>
        </w:rPr>
      </w:pPr>
      <w:r w:rsidRPr="00000F16">
        <w:rPr>
          <w:rFonts w:cs="Arial"/>
          <w:b/>
          <w:sz w:val="22"/>
          <w:szCs w:val="22"/>
        </w:rPr>
        <w:t>Date of hearing</w:t>
      </w:r>
      <w:r w:rsidRPr="009624B9">
        <w:rPr>
          <w:rFonts w:cs="Arial"/>
          <w:sz w:val="22"/>
          <w:szCs w:val="22"/>
        </w:rPr>
        <w:t xml:space="preserve">: </w:t>
      </w:r>
      <w:r w:rsidR="003B5622">
        <w:rPr>
          <w:rFonts w:cs="Arial"/>
          <w:sz w:val="22"/>
          <w:szCs w:val="22"/>
        </w:rPr>
        <w:t>19 April 2023</w:t>
      </w:r>
    </w:p>
    <w:p w14:paraId="74420823" w14:textId="09ED700D" w:rsidR="00321949" w:rsidRPr="009624B9" w:rsidRDefault="00321949" w:rsidP="00321949">
      <w:pPr>
        <w:pStyle w:val="BodyText"/>
        <w:rPr>
          <w:rFonts w:cs="Arial"/>
          <w:sz w:val="24"/>
          <w:szCs w:val="24"/>
        </w:rPr>
      </w:pPr>
      <w:r w:rsidRPr="00000F16">
        <w:rPr>
          <w:rFonts w:cs="Arial"/>
          <w:b/>
          <w:sz w:val="22"/>
          <w:szCs w:val="22"/>
        </w:rPr>
        <w:t>Date of Judgment</w:t>
      </w:r>
      <w:r w:rsidR="00CE6920" w:rsidRPr="009624B9">
        <w:rPr>
          <w:rFonts w:cs="Arial"/>
          <w:sz w:val="22"/>
          <w:szCs w:val="22"/>
        </w:rPr>
        <w:t>:</w:t>
      </w:r>
      <w:r w:rsidR="006C226C">
        <w:rPr>
          <w:rFonts w:cs="Arial"/>
          <w:sz w:val="22"/>
          <w:szCs w:val="22"/>
        </w:rPr>
        <w:t xml:space="preserve"> 30 </w:t>
      </w:r>
      <w:r w:rsidR="003B5622">
        <w:rPr>
          <w:rFonts w:cs="Arial"/>
          <w:sz w:val="22"/>
          <w:szCs w:val="22"/>
        </w:rPr>
        <w:t>November 2023</w:t>
      </w:r>
    </w:p>
    <w:sectPr w:rsidR="00321949" w:rsidRPr="009624B9" w:rsidSect="00F315F2">
      <w:headerReference w:type="default" r:id="rId9"/>
      <w:headerReference w:type="firs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652F4" w14:textId="77777777" w:rsidR="006948ED" w:rsidRDefault="006948ED" w:rsidP="00115245">
      <w:r>
        <w:separator/>
      </w:r>
    </w:p>
  </w:endnote>
  <w:endnote w:type="continuationSeparator" w:id="0">
    <w:p w14:paraId="26408F17" w14:textId="77777777" w:rsidR="006948ED" w:rsidRDefault="006948ED"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20A9D" w14:textId="77777777" w:rsidR="006948ED" w:rsidRDefault="006948ED" w:rsidP="00115245">
      <w:r>
        <w:separator/>
      </w:r>
    </w:p>
  </w:footnote>
  <w:footnote w:type="continuationSeparator" w:id="0">
    <w:p w14:paraId="2C08D8B5" w14:textId="77777777" w:rsidR="006948ED" w:rsidRDefault="006948ED" w:rsidP="00115245">
      <w:r>
        <w:continuationSeparator/>
      </w:r>
    </w:p>
  </w:footnote>
  <w:footnote w:id="1">
    <w:p w14:paraId="116CA8B2" w14:textId="7836590F" w:rsidR="00A53684" w:rsidRPr="00A53684" w:rsidRDefault="00A53684">
      <w:pPr>
        <w:pStyle w:val="FootnoteText"/>
        <w:rPr>
          <w:lang w:val="en-US"/>
        </w:rPr>
      </w:pPr>
      <w:r>
        <w:rPr>
          <w:rStyle w:val="FootnoteReference"/>
        </w:rPr>
        <w:footnoteRef/>
      </w:r>
      <w:r>
        <w:t xml:space="preserve"> </w:t>
      </w:r>
      <w:r w:rsidR="005B604E" w:rsidRPr="006909CE">
        <w:rPr>
          <w:i/>
          <w:iCs/>
          <w:lang w:val="en-US"/>
        </w:rPr>
        <w:t>Fakie N.O</w:t>
      </w:r>
      <w:r w:rsidR="00C22F29" w:rsidRPr="006909CE">
        <w:rPr>
          <w:i/>
          <w:iCs/>
          <w:lang w:val="en-US"/>
        </w:rPr>
        <w:t>. v CCII Systems (Pty)Ltd</w:t>
      </w:r>
      <w:r w:rsidR="00C22F29">
        <w:rPr>
          <w:lang w:val="en-US"/>
        </w:rPr>
        <w:t>, 2006 (4</w:t>
      </w:r>
      <w:r w:rsidR="006909CE">
        <w:rPr>
          <w:lang w:val="en-US"/>
        </w:rPr>
        <w:t>) SA 326 (SCA)</w:t>
      </w:r>
    </w:p>
  </w:footnote>
  <w:footnote w:id="2">
    <w:p w14:paraId="779DB9C3" w14:textId="7EA18CC1" w:rsidR="00707D62" w:rsidRPr="005F4DE0" w:rsidRDefault="00707D62">
      <w:pPr>
        <w:pStyle w:val="FootnoteText"/>
        <w:rPr>
          <w:color w:val="000000" w:themeColor="text1"/>
          <w:sz w:val="20"/>
          <w:szCs w:val="20"/>
          <w:lang w:val="en-US"/>
        </w:rPr>
      </w:pPr>
      <w:r w:rsidRPr="005F4DE0">
        <w:rPr>
          <w:rStyle w:val="FootnoteReference"/>
          <w:sz w:val="20"/>
          <w:szCs w:val="20"/>
        </w:rPr>
        <w:footnoteRef/>
      </w:r>
      <w:r w:rsidRPr="005F4DE0">
        <w:rPr>
          <w:sz w:val="20"/>
          <w:szCs w:val="20"/>
        </w:rPr>
        <w:t xml:space="preserve"> </w:t>
      </w:r>
      <w:r w:rsidRPr="005F4DE0">
        <w:rPr>
          <w:sz w:val="20"/>
          <w:szCs w:val="20"/>
          <w:lang w:val="en-US"/>
        </w:rPr>
        <w:t xml:space="preserve"> </w:t>
      </w:r>
      <w:r w:rsidRPr="005F4DE0">
        <w:rPr>
          <w:rFonts w:cs="Arial"/>
          <w:color w:val="000000" w:themeColor="text1"/>
          <w:sz w:val="20"/>
          <w:szCs w:val="20"/>
        </w:rPr>
        <w:t>(CCT 52/21) [2021] ZACC 18; 2021 (9) BCLR 992 (CC); 2021 (5) SA 327 (CC) (29 June 2021)</w:t>
      </w:r>
    </w:p>
  </w:footnote>
  <w:footnote w:id="3">
    <w:p w14:paraId="4167CC60" w14:textId="4218F8C5" w:rsidR="006F1B50" w:rsidRPr="00A164F8" w:rsidRDefault="006F1B50" w:rsidP="006F1B50">
      <w:pPr>
        <w:pStyle w:val="FootnoteText"/>
        <w:spacing w:after="0"/>
        <w:ind w:left="0" w:firstLine="0"/>
        <w:rPr>
          <w:rFonts w:cs="Arial"/>
          <w:b/>
          <w:szCs w:val="18"/>
        </w:rPr>
      </w:pPr>
      <w:r w:rsidRPr="00A164F8">
        <w:rPr>
          <w:rStyle w:val="FootnoteReference"/>
          <w:rFonts w:cs="Arial"/>
          <w:szCs w:val="18"/>
        </w:rPr>
        <w:footnoteRef/>
      </w:r>
      <w:r w:rsidRPr="00A164F8">
        <w:rPr>
          <w:rFonts w:cs="Arial"/>
          <w:szCs w:val="18"/>
        </w:rPr>
        <w:t xml:space="preserve"> </w:t>
      </w:r>
      <w:r w:rsidRPr="00A164F8">
        <w:rPr>
          <w:rFonts w:cs="Arial"/>
          <w:bCs/>
          <w:i/>
          <w:iCs/>
          <w:szCs w:val="18"/>
        </w:rPr>
        <w:t>Jayiya v MEC for Welfare, Eastern Cape</w:t>
      </w:r>
      <w:r w:rsidRPr="00A164F8">
        <w:rPr>
          <w:rFonts w:cs="Arial"/>
          <w:bCs/>
          <w:szCs w:val="18"/>
        </w:rPr>
        <w:t xml:space="preserve"> </w:t>
      </w:r>
      <w:r w:rsidRPr="00A164F8">
        <w:rPr>
          <w:rFonts w:cs="Arial"/>
          <w:bCs/>
          <w:i/>
          <w:szCs w:val="18"/>
        </w:rPr>
        <w:t xml:space="preserve">Provincial Government and Another </w:t>
      </w:r>
      <w:r w:rsidRPr="00A164F8">
        <w:rPr>
          <w:rFonts w:cs="Arial"/>
          <w:bCs/>
          <w:szCs w:val="18"/>
        </w:rPr>
        <w:t xml:space="preserve">2004 (2) SA 611 (SCA) at para 18; </w:t>
      </w:r>
      <w:r w:rsidRPr="00A164F8">
        <w:rPr>
          <w:rFonts w:cs="Arial"/>
          <w:bCs/>
          <w:i/>
          <w:iCs/>
          <w:szCs w:val="18"/>
        </w:rPr>
        <w:t>S v Beyers</w:t>
      </w:r>
      <w:r w:rsidRPr="00A164F8">
        <w:rPr>
          <w:rFonts w:cs="Arial"/>
          <w:bCs/>
          <w:szCs w:val="18"/>
        </w:rPr>
        <w:t xml:space="preserve"> 1968 (3) SA 70 (A) at 80</w:t>
      </w:r>
      <w:r w:rsidRPr="00796402">
        <w:rPr>
          <w:rFonts w:cs="Arial"/>
          <w:bCs/>
          <w:szCs w:val="18"/>
        </w:rPr>
        <w:t>A-B</w:t>
      </w:r>
      <w:r w:rsidRPr="00A164F8">
        <w:rPr>
          <w:rFonts w:cs="Arial"/>
          <w:bCs/>
          <w:szCs w:val="18"/>
        </w:rPr>
        <w:t xml:space="preserve">; </w:t>
      </w:r>
      <w:r w:rsidRPr="00A164F8">
        <w:rPr>
          <w:rFonts w:cs="Arial"/>
          <w:bCs/>
          <w:i/>
          <w:iCs/>
          <w:szCs w:val="18"/>
        </w:rPr>
        <w:t>Butchart v Butchart</w:t>
      </w:r>
      <w:r w:rsidRPr="00A164F8">
        <w:rPr>
          <w:rFonts w:cs="Arial"/>
          <w:bCs/>
          <w:szCs w:val="18"/>
        </w:rPr>
        <w:t xml:space="preserve"> 1996 (2) SA 581 (W) at 586</w:t>
      </w:r>
      <w:r w:rsidRPr="00796402">
        <w:rPr>
          <w:rFonts w:cs="Arial"/>
          <w:bCs/>
          <w:szCs w:val="18"/>
        </w:rPr>
        <w:t>C</w:t>
      </w:r>
      <w:r w:rsidRPr="00A164F8">
        <w:rPr>
          <w:rFonts w:cs="Arial"/>
          <w:bCs/>
          <w:szCs w:val="18"/>
        </w:rPr>
        <w:t xml:space="preserve">; </w:t>
      </w:r>
      <w:r w:rsidRPr="00A164F8">
        <w:rPr>
          <w:rFonts w:cs="Arial"/>
          <w:bCs/>
          <w:i/>
          <w:iCs/>
          <w:szCs w:val="18"/>
        </w:rPr>
        <w:t>H</w:t>
      </w:r>
      <w:r w:rsidRPr="00796402">
        <w:rPr>
          <w:rFonts w:cs="Arial"/>
          <w:bCs/>
          <w:i/>
          <w:iCs/>
          <w:szCs w:val="18"/>
        </w:rPr>
        <w:t>ö</w:t>
      </w:r>
      <w:r w:rsidRPr="00A164F8">
        <w:rPr>
          <w:rFonts w:cs="Arial"/>
          <w:bCs/>
          <w:i/>
          <w:iCs/>
          <w:szCs w:val="18"/>
        </w:rPr>
        <w:t>ltz v Douglas &amp; Associates</w:t>
      </w:r>
      <w:r w:rsidRPr="00A164F8">
        <w:rPr>
          <w:rFonts w:cs="Arial"/>
          <w:bCs/>
          <w:szCs w:val="18"/>
        </w:rPr>
        <w:t xml:space="preserve"> </w:t>
      </w:r>
      <w:r w:rsidRPr="00796402">
        <w:rPr>
          <w:rFonts w:cs="Arial"/>
          <w:bCs/>
          <w:szCs w:val="18"/>
        </w:rPr>
        <w:t xml:space="preserve">(OFS) CC </w:t>
      </w:r>
      <w:r w:rsidR="00694983">
        <w:rPr>
          <w:rFonts w:cs="Arial"/>
          <w:bCs/>
          <w:szCs w:val="18"/>
        </w:rPr>
        <w:t>e</w:t>
      </w:r>
      <w:r w:rsidRPr="00796402">
        <w:rPr>
          <w:rFonts w:cs="Arial"/>
          <w:bCs/>
          <w:szCs w:val="18"/>
        </w:rPr>
        <w:t>n Andere 1</w:t>
      </w:r>
      <w:r w:rsidRPr="00A164F8">
        <w:rPr>
          <w:rFonts w:cs="Arial"/>
          <w:bCs/>
          <w:szCs w:val="18"/>
        </w:rPr>
        <w:t>991 (2) SA 797 (O) at 802;</w:t>
      </w:r>
      <w:r w:rsidRPr="00A164F8">
        <w:rPr>
          <w:rFonts w:cs="Arial"/>
          <w:bCs/>
          <w:i/>
          <w:iCs/>
          <w:szCs w:val="18"/>
        </w:rPr>
        <w:t xml:space="preserve"> S v Baloyi</w:t>
      </w:r>
      <w:r w:rsidRPr="00A164F8">
        <w:rPr>
          <w:rFonts w:cs="Arial"/>
          <w:bCs/>
          <w:szCs w:val="18"/>
        </w:rPr>
        <w:t xml:space="preserve"> </w:t>
      </w:r>
      <w:r w:rsidRPr="00A164F8">
        <w:rPr>
          <w:rFonts w:cs="Arial"/>
          <w:bCs/>
          <w:i/>
          <w:szCs w:val="18"/>
        </w:rPr>
        <w:t>(Minister of Justice and Another Intervening)</w:t>
      </w:r>
      <w:r w:rsidRPr="00796402">
        <w:rPr>
          <w:rFonts w:cs="Arial"/>
          <w:bCs/>
          <w:szCs w:val="18"/>
        </w:rPr>
        <w:t xml:space="preserve"> </w:t>
      </w:r>
      <w:r w:rsidRPr="00A164F8">
        <w:rPr>
          <w:rFonts w:cs="Arial"/>
          <w:bCs/>
          <w:szCs w:val="18"/>
        </w:rPr>
        <w:t>2000 (2) SA 425 (CC) at para 22</w:t>
      </w:r>
    </w:p>
  </w:footnote>
  <w:footnote w:id="4">
    <w:p w14:paraId="46185498" w14:textId="20B51DCD" w:rsidR="006F1B50" w:rsidRPr="00A164F8" w:rsidRDefault="006F1B50" w:rsidP="006F1B50">
      <w:pPr>
        <w:pStyle w:val="FootnoteText"/>
        <w:spacing w:after="0"/>
        <w:ind w:left="0" w:firstLine="0"/>
        <w:rPr>
          <w:rFonts w:cs="Arial"/>
          <w:b/>
          <w:szCs w:val="18"/>
        </w:rPr>
      </w:pPr>
      <w:r w:rsidRPr="00A164F8">
        <w:rPr>
          <w:rStyle w:val="FootnoteReference"/>
          <w:rFonts w:cs="Arial"/>
          <w:szCs w:val="18"/>
        </w:rPr>
        <w:footnoteRef/>
      </w:r>
      <w:r w:rsidRPr="00A164F8">
        <w:rPr>
          <w:rFonts w:cs="Arial"/>
          <w:szCs w:val="18"/>
        </w:rPr>
        <w:t xml:space="preserve"> </w:t>
      </w:r>
      <w:r w:rsidRPr="00A164F8">
        <w:rPr>
          <w:rFonts w:cs="Arial"/>
          <w:szCs w:val="18"/>
          <w:lang w:val="en-US"/>
        </w:rPr>
        <w:t xml:space="preserve">See, for example, </w:t>
      </w:r>
      <w:r w:rsidRPr="00A164F8">
        <w:rPr>
          <w:rFonts w:cs="Arial"/>
          <w:i/>
          <w:szCs w:val="18"/>
        </w:rPr>
        <w:t>Comet Products UK Ltd v</w:t>
      </w:r>
      <w:r w:rsidR="00D4335F">
        <w:rPr>
          <w:rFonts w:cs="Arial"/>
          <w:i/>
          <w:szCs w:val="18"/>
        </w:rPr>
        <w:t xml:space="preserve"> </w:t>
      </w:r>
      <w:r w:rsidRPr="00A164F8">
        <w:rPr>
          <w:rFonts w:cs="Arial"/>
          <w:i/>
          <w:szCs w:val="18"/>
        </w:rPr>
        <w:t xml:space="preserve"> Hawkex Plastics Ltd </w:t>
      </w:r>
      <w:r w:rsidRPr="00A164F8">
        <w:rPr>
          <w:rFonts w:cs="Arial"/>
          <w:bCs/>
          <w:szCs w:val="18"/>
        </w:rPr>
        <w:t>[1971] 1 A</w:t>
      </w:r>
      <w:r w:rsidRPr="00796402">
        <w:rPr>
          <w:rFonts w:cs="Arial"/>
          <w:bCs/>
          <w:szCs w:val="18"/>
        </w:rPr>
        <w:t xml:space="preserve">ll </w:t>
      </w:r>
      <w:r w:rsidRPr="00A164F8">
        <w:rPr>
          <w:rFonts w:cs="Arial"/>
          <w:bCs/>
          <w:szCs w:val="18"/>
        </w:rPr>
        <w:t>ER 1141 (CA) at 1143</w:t>
      </w:r>
      <w:r w:rsidRPr="00A164F8">
        <w:rPr>
          <w:rFonts w:cs="Arial"/>
          <w:b/>
          <w:szCs w:val="18"/>
        </w:rPr>
        <w:t xml:space="preserve">; </w:t>
      </w:r>
      <w:r w:rsidRPr="00A164F8">
        <w:rPr>
          <w:rFonts w:cs="Arial"/>
          <w:bCs/>
          <w:i/>
          <w:iCs/>
          <w:szCs w:val="18"/>
        </w:rPr>
        <w:t>Hinch and Macquarie Broadcasting Holdings Limited v Attorney-General for the State of Victoria</w:t>
      </w:r>
      <w:r w:rsidRPr="00A164F8">
        <w:rPr>
          <w:rFonts w:cs="Arial"/>
          <w:bCs/>
          <w:szCs w:val="18"/>
        </w:rPr>
        <w:t xml:space="preserve"> (1987) 164 CLR 15 at 49; and </w:t>
      </w:r>
      <w:r w:rsidRPr="00796402">
        <w:rPr>
          <w:rFonts w:cs="Arial"/>
          <w:bCs/>
          <w:i/>
          <w:iCs/>
          <w:szCs w:val="18"/>
        </w:rPr>
        <w:t>Videotron Ltée v Industries Microlec Produits Électroniques Inc</w:t>
      </w:r>
      <w:r w:rsidRPr="00796402">
        <w:rPr>
          <w:rFonts w:cs="Arial"/>
          <w:bCs/>
          <w:szCs w:val="18"/>
        </w:rPr>
        <w:t>(1992) 96 DLR (4</w:t>
      </w:r>
      <w:r w:rsidRPr="00A164F8">
        <w:rPr>
          <w:rFonts w:cs="Arial"/>
          <w:bCs/>
          <w:szCs w:val="18"/>
          <w:vertAlign w:val="superscript"/>
        </w:rPr>
        <w:t>th</w:t>
      </w:r>
      <w:r w:rsidRPr="00796402">
        <w:rPr>
          <w:rFonts w:cs="Arial"/>
          <w:bCs/>
          <w:szCs w:val="18"/>
        </w:rPr>
        <w:t>) 376.</w:t>
      </w:r>
    </w:p>
  </w:footnote>
  <w:footnote w:id="5">
    <w:p w14:paraId="2E721D44" w14:textId="77777777" w:rsidR="006F1B50" w:rsidRPr="00A164F8" w:rsidRDefault="006F1B50" w:rsidP="006F1B50">
      <w:pPr>
        <w:pStyle w:val="FootnoteText"/>
        <w:spacing w:after="0"/>
        <w:ind w:left="0" w:firstLine="0"/>
        <w:rPr>
          <w:rFonts w:cs="Arial"/>
          <w:szCs w:val="18"/>
        </w:rPr>
      </w:pPr>
      <w:r w:rsidRPr="00A164F8">
        <w:rPr>
          <w:rStyle w:val="FootnoteReference"/>
          <w:rFonts w:cs="Arial"/>
          <w:szCs w:val="18"/>
        </w:rPr>
        <w:footnoteRef/>
      </w:r>
      <w:r w:rsidRPr="00A164F8">
        <w:rPr>
          <w:rFonts w:cs="Arial"/>
          <w:szCs w:val="18"/>
        </w:rPr>
        <w:t xml:space="preserve"> </w:t>
      </w:r>
      <w:r w:rsidRPr="00A164F8">
        <w:rPr>
          <w:rFonts w:cs="Arial"/>
          <w:i/>
          <w:iCs/>
          <w:szCs w:val="18"/>
        </w:rPr>
        <w:t xml:space="preserve">Dezius v Dezius </w:t>
      </w:r>
      <w:r w:rsidRPr="00796402">
        <w:rPr>
          <w:rFonts w:cs="Arial"/>
          <w:szCs w:val="18"/>
        </w:rPr>
        <w:t>2006 (6) SA 395 (T)</w:t>
      </w:r>
      <w:r w:rsidRPr="00A164F8">
        <w:rPr>
          <w:rFonts w:cs="Arial"/>
          <w:szCs w:val="18"/>
        </w:rPr>
        <w:t xml:space="preserve"> at para 5.</w:t>
      </w:r>
    </w:p>
  </w:footnote>
  <w:footnote w:id="6">
    <w:p w14:paraId="6AD98F92" w14:textId="77777777" w:rsidR="006F1B50" w:rsidRPr="00A164F8" w:rsidRDefault="006F1B50" w:rsidP="006F1B50">
      <w:pPr>
        <w:pStyle w:val="FootnoteText"/>
        <w:spacing w:after="0"/>
        <w:ind w:left="0" w:firstLine="0"/>
        <w:rPr>
          <w:rFonts w:cs="Arial"/>
          <w:szCs w:val="18"/>
        </w:rPr>
      </w:pPr>
      <w:r w:rsidRPr="00A164F8">
        <w:rPr>
          <w:rStyle w:val="FootnoteReference"/>
          <w:rFonts w:cs="Arial"/>
          <w:szCs w:val="18"/>
        </w:rPr>
        <w:footnoteRef/>
      </w:r>
      <w:r w:rsidRPr="00A164F8">
        <w:rPr>
          <w:rFonts w:cs="Arial"/>
          <w:szCs w:val="18"/>
        </w:rPr>
        <w:t xml:space="preserve"> </w:t>
      </w:r>
      <w:r w:rsidRPr="00A164F8">
        <w:rPr>
          <w:rFonts w:cs="Arial"/>
          <w:i/>
          <w:iCs/>
          <w:szCs w:val="18"/>
          <w:lang w:val="en-US"/>
        </w:rPr>
        <w:t xml:space="preserve">Ansah v Ansah </w:t>
      </w:r>
      <w:r w:rsidRPr="00A164F8">
        <w:rPr>
          <w:rFonts w:cs="Arial"/>
          <w:szCs w:val="18"/>
          <w:lang w:val="en-US"/>
        </w:rPr>
        <w:t>[1977] 2 All ER 638 (CA) at 643A-C.</w:t>
      </w:r>
    </w:p>
  </w:footnote>
  <w:footnote w:id="7">
    <w:p w14:paraId="3765B406" w14:textId="0A8A09B2" w:rsidR="006F1B50" w:rsidRPr="005F305D" w:rsidRDefault="006F1B50" w:rsidP="006F1B50">
      <w:pPr>
        <w:pStyle w:val="FootnoteText"/>
        <w:spacing w:after="0"/>
        <w:ind w:left="0" w:firstLine="0"/>
        <w:rPr>
          <w:rFonts w:cs="Arial"/>
          <w:szCs w:val="18"/>
        </w:rPr>
      </w:pPr>
      <w:r w:rsidRPr="00A164F8">
        <w:rPr>
          <w:rStyle w:val="FootnoteReference"/>
          <w:rFonts w:cs="Arial"/>
          <w:szCs w:val="18"/>
        </w:rPr>
        <w:footnoteRef/>
      </w:r>
      <w:r w:rsidRPr="00A164F8">
        <w:rPr>
          <w:rFonts w:cs="Arial"/>
          <w:szCs w:val="18"/>
        </w:rPr>
        <w:t xml:space="preserve"> </w:t>
      </w:r>
      <w:r w:rsidR="0086215E" w:rsidRPr="00A164F8">
        <w:rPr>
          <w:rFonts w:cs="Arial"/>
          <w:i/>
          <w:iCs/>
          <w:szCs w:val="18"/>
        </w:rPr>
        <w:t xml:space="preserve">Dezius v Dezius </w:t>
      </w:r>
      <w:r w:rsidR="0086215E" w:rsidRPr="00796402">
        <w:rPr>
          <w:rFonts w:cs="Arial"/>
          <w:szCs w:val="18"/>
        </w:rPr>
        <w:t>2006 (6) SA 395 (T)</w:t>
      </w:r>
      <w:r w:rsidR="0086215E" w:rsidRPr="00A164F8">
        <w:rPr>
          <w:rFonts w:cs="Arial"/>
          <w:szCs w:val="18"/>
        </w:rPr>
        <w:t xml:space="preserve"> at para 5.</w:t>
      </w:r>
    </w:p>
  </w:footnote>
  <w:footnote w:id="8">
    <w:p w14:paraId="117F3CBA" w14:textId="42A19C83" w:rsidR="00DC448C" w:rsidRPr="00DC448C" w:rsidRDefault="00DC448C">
      <w:pPr>
        <w:pStyle w:val="FootnoteText"/>
        <w:rPr>
          <w:lang w:val="en-US"/>
        </w:rPr>
      </w:pPr>
      <w:r>
        <w:rPr>
          <w:rStyle w:val="FootnoteReference"/>
        </w:rPr>
        <w:footnoteRef/>
      </w:r>
      <w:r>
        <w:t xml:space="preserve"> </w:t>
      </w:r>
      <w:r>
        <w:rPr>
          <w:lang w:val="en-US"/>
        </w:rPr>
        <w:t>Paragraph</w:t>
      </w:r>
      <w:r w:rsidR="00FD02E4">
        <w:rPr>
          <w:lang w:val="en-US"/>
        </w:rPr>
        <w:t xml:space="preserve"> [110] of the judgment</w:t>
      </w:r>
    </w:p>
  </w:footnote>
  <w:footnote w:id="9">
    <w:p w14:paraId="51D750CF" w14:textId="4DA833F0" w:rsidR="00DF1309" w:rsidRPr="00DF1309" w:rsidRDefault="00DF1309">
      <w:pPr>
        <w:pStyle w:val="FootnoteText"/>
        <w:rPr>
          <w:lang w:val="en-US"/>
        </w:rPr>
      </w:pPr>
      <w:r>
        <w:rPr>
          <w:rStyle w:val="FootnoteReference"/>
        </w:rPr>
        <w:footnoteRef/>
      </w:r>
      <w:r>
        <w:t xml:space="preserve"> </w:t>
      </w:r>
      <w:r>
        <w:rPr>
          <w:lang w:val="en-US"/>
        </w:rPr>
        <w:t xml:space="preserve"> </w:t>
      </w:r>
      <w:r w:rsidR="004E6A2B" w:rsidRPr="00915E77">
        <w:rPr>
          <w:i/>
          <w:iCs/>
          <w:lang w:val="en-US"/>
        </w:rPr>
        <w:t>Plascon-Evans Paints Ltd v Van Riebeeck Paints (Pty)Ltd,</w:t>
      </w:r>
      <w:r w:rsidR="004E6A2B">
        <w:rPr>
          <w:lang w:val="en-US"/>
        </w:rPr>
        <w:t xml:space="preserve"> 1984</w:t>
      </w:r>
      <w:r w:rsidR="00915E77">
        <w:rPr>
          <w:lang w:val="en-US"/>
        </w:rPr>
        <w:t xml:space="preserve"> (3) SA 623 (AD)</w:t>
      </w:r>
    </w:p>
  </w:footnote>
  <w:footnote w:id="10">
    <w:p w14:paraId="1DB73A9E" w14:textId="77777777" w:rsidR="00AC4A0B" w:rsidRPr="00796402" w:rsidRDefault="00AC4A0B" w:rsidP="00AC4A0B">
      <w:pPr>
        <w:pStyle w:val="FootnoteText"/>
        <w:spacing w:after="0"/>
        <w:ind w:left="0" w:firstLine="0"/>
        <w:rPr>
          <w:rFonts w:cs="Arial"/>
          <w:szCs w:val="18"/>
          <w:lang w:val="en-US"/>
        </w:rPr>
      </w:pPr>
      <w:r w:rsidRPr="00796402">
        <w:rPr>
          <w:rStyle w:val="FootnoteReference"/>
          <w:rFonts w:cs="Arial"/>
          <w:szCs w:val="18"/>
        </w:rPr>
        <w:footnoteRef/>
      </w:r>
      <w:r w:rsidRPr="00796402">
        <w:rPr>
          <w:rFonts w:cs="Arial"/>
          <w:szCs w:val="18"/>
        </w:rPr>
        <w:t xml:space="preserve"> </w:t>
      </w:r>
      <w:r w:rsidRPr="00A164F8">
        <w:rPr>
          <w:rFonts w:cs="Arial"/>
          <w:iCs/>
          <w:szCs w:val="18"/>
          <w:lang w:val="en-US"/>
        </w:rPr>
        <w:t>Id</w:t>
      </w:r>
      <w:r w:rsidRPr="00796402">
        <w:rPr>
          <w:rFonts w:cs="Arial"/>
          <w:i/>
          <w:iCs/>
          <w:szCs w:val="18"/>
          <w:lang w:val="en-US"/>
        </w:rPr>
        <w:t xml:space="preserve"> </w:t>
      </w:r>
      <w:r w:rsidRPr="00796402">
        <w:rPr>
          <w:rFonts w:cs="Arial"/>
          <w:szCs w:val="18"/>
          <w:lang w:val="en-US"/>
        </w:rPr>
        <w:t>at para 9.</w:t>
      </w:r>
    </w:p>
  </w:footnote>
  <w:footnote w:id="11">
    <w:p w14:paraId="2E05AEBC" w14:textId="77777777" w:rsidR="007E111D" w:rsidRPr="00A164F8" w:rsidRDefault="00BC768B" w:rsidP="007E111D">
      <w:pPr>
        <w:pStyle w:val="FootnoteText"/>
        <w:spacing w:after="0"/>
        <w:ind w:left="0" w:firstLine="0"/>
        <w:rPr>
          <w:rFonts w:cs="Arial"/>
          <w:szCs w:val="18"/>
        </w:rPr>
      </w:pPr>
      <w:r>
        <w:rPr>
          <w:rStyle w:val="FootnoteReference"/>
        </w:rPr>
        <w:footnoteRef/>
      </w:r>
      <w:r>
        <w:t xml:space="preserve"> </w:t>
      </w:r>
      <w:r w:rsidR="007E111D" w:rsidRPr="00A164F8">
        <w:rPr>
          <w:rFonts w:cs="Arial"/>
          <w:i/>
          <w:iCs/>
          <w:szCs w:val="18"/>
          <w:lang w:val="en-US"/>
        </w:rPr>
        <w:t xml:space="preserve">Ansah v Ansah </w:t>
      </w:r>
      <w:r w:rsidR="007E111D" w:rsidRPr="00A164F8">
        <w:rPr>
          <w:rFonts w:cs="Arial"/>
          <w:szCs w:val="18"/>
          <w:lang w:val="en-US"/>
        </w:rPr>
        <w:t>[1977] 2 All ER 638 (CA) at 643A-C.</w:t>
      </w:r>
    </w:p>
    <w:p w14:paraId="6D4AE511" w14:textId="2B0D1B65" w:rsidR="00BC768B" w:rsidRPr="00BC768B" w:rsidRDefault="00BC768B">
      <w:pPr>
        <w:pStyle w:val="FootnoteText"/>
        <w:rPr>
          <w:lang w:val="en-US"/>
        </w:rPr>
      </w:pPr>
    </w:p>
  </w:footnote>
  <w:footnote w:id="12">
    <w:p w14:paraId="3DE5F0FB" w14:textId="77777777" w:rsidR="00A3413A" w:rsidRPr="0035685F" w:rsidRDefault="00A3413A" w:rsidP="00A3413A">
      <w:pPr>
        <w:pStyle w:val="FootnoteText"/>
        <w:rPr>
          <w:lang w:val="en-US"/>
        </w:rPr>
      </w:pPr>
      <w:r>
        <w:rPr>
          <w:rStyle w:val="FootnoteReference"/>
        </w:rPr>
        <w:footnoteRef/>
      </w:r>
      <w:r>
        <w:t xml:space="preserve"> </w:t>
      </w:r>
      <w:r w:rsidRPr="00662E8E">
        <w:rPr>
          <w:i/>
          <w:iCs/>
          <w:lang w:val="en-US"/>
        </w:rPr>
        <w:t>Parekh v Shah Jehan Cinemas (Pty) Ltd and Others</w:t>
      </w:r>
      <w:r>
        <w:rPr>
          <w:lang w:val="en-US"/>
        </w:rPr>
        <w:t xml:space="preserve">, 1980 (1) SA 301 (D) at 305 G-H; </w:t>
      </w:r>
      <w:r w:rsidRPr="007A1500">
        <w:rPr>
          <w:i/>
          <w:iCs/>
          <w:lang w:val="en-US"/>
        </w:rPr>
        <w:t>Tahilram v Trustees, Lukamber Trust and Another</w:t>
      </w:r>
      <w:r>
        <w:rPr>
          <w:lang w:val="en-US"/>
        </w:rPr>
        <w:t>, 2022 (2) SA 436 (SCA) paragraph [13]</w:t>
      </w:r>
    </w:p>
    <w:p w14:paraId="73886E8C" w14:textId="395AAA78" w:rsidR="00A3413A" w:rsidRPr="00A3413A" w:rsidRDefault="00A3413A">
      <w:pPr>
        <w:pStyle w:val="FootnoteText"/>
        <w:rPr>
          <w:lang w:val="en-US"/>
        </w:rPr>
      </w:pPr>
    </w:p>
  </w:footnote>
  <w:footnote w:id="13">
    <w:p w14:paraId="039C8474" w14:textId="77777777" w:rsidR="00E500E6" w:rsidRPr="00796402" w:rsidRDefault="00E500E6" w:rsidP="00E500E6">
      <w:pPr>
        <w:pStyle w:val="FootnoteText"/>
        <w:spacing w:after="0"/>
        <w:ind w:left="0" w:firstLine="0"/>
        <w:rPr>
          <w:rFonts w:cs="Arial"/>
          <w:szCs w:val="18"/>
        </w:rPr>
      </w:pPr>
      <w:r w:rsidRPr="00796402">
        <w:rPr>
          <w:rStyle w:val="FootnoteReference"/>
          <w:rFonts w:cs="Arial"/>
          <w:szCs w:val="18"/>
        </w:rPr>
        <w:footnoteRef/>
      </w:r>
      <w:r w:rsidRPr="00796402">
        <w:rPr>
          <w:rFonts w:cs="Arial"/>
          <w:szCs w:val="18"/>
        </w:rPr>
        <w:t xml:space="preserve"> 1979 (4) SA 115 (D) at 131-132.</w:t>
      </w:r>
    </w:p>
  </w:footnote>
  <w:footnote w:id="14">
    <w:p w14:paraId="49D429D0" w14:textId="5002AF2B" w:rsidR="00F83C4F" w:rsidRPr="00F83C4F" w:rsidRDefault="00F83C4F">
      <w:pPr>
        <w:pStyle w:val="FootnoteText"/>
        <w:rPr>
          <w:lang w:val="en-US"/>
        </w:rPr>
      </w:pPr>
      <w:r>
        <w:rPr>
          <w:rStyle w:val="FootnoteReference"/>
        </w:rPr>
        <w:footnoteRef/>
      </w:r>
      <w:r>
        <w:t xml:space="preserve"> </w:t>
      </w:r>
      <w:r w:rsidR="00230F16">
        <w:rPr>
          <w:lang w:val="en-US"/>
        </w:rPr>
        <w:t>2010 (3) SA 410 (SCA) at para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554399"/>
      <w:docPartObj>
        <w:docPartGallery w:val="Page Numbers (Top of Page)"/>
        <w:docPartUnique/>
      </w:docPartObj>
    </w:sdtPr>
    <w:sdtEndPr>
      <w:rPr>
        <w:noProof/>
      </w:rPr>
    </w:sdtEndPr>
    <w:sdtContent>
      <w:p w14:paraId="4A0C461C" w14:textId="72ABE0EF" w:rsidR="00F315F2" w:rsidRDefault="00F315F2">
        <w:pPr>
          <w:pStyle w:val="Header"/>
          <w:jc w:val="right"/>
        </w:pPr>
        <w:r>
          <w:fldChar w:fldCharType="begin"/>
        </w:r>
        <w:r>
          <w:instrText xml:space="preserve"> PAGE   \* MERGEFORMAT </w:instrText>
        </w:r>
        <w:r>
          <w:fldChar w:fldCharType="separate"/>
        </w:r>
        <w:r w:rsidR="00F1141F">
          <w:rPr>
            <w:noProof/>
          </w:rPr>
          <w:t>2</w:t>
        </w:r>
        <w:r>
          <w:rPr>
            <w:noProof/>
          </w:rPr>
          <w:fldChar w:fldCharType="end"/>
        </w:r>
      </w:p>
    </w:sdtContent>
  </w:sdt>
  <w:p w14:paraId="511BBD19" w14:textId="77777777" w:rsidR="000A22A8" w:rsidRDefault="000A22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609541"/>
      <w:docPartObj>
        <w:docPartGallery w:val="Page Numbers (Top of Page)"/>
        <w:docPartUnique/>
      </w:docPartObj>
    </w:sdtPr>
    <w:sdtEndPr>
      <w:rPr>
        <w:noProof/>
      </w:rPr>
    </w:sdtEndPr>
    <w:sdtContent>
      <w:p w14:paraId="245DFAFC" w14:textId="591337D6" w:rsidR="00ED69D0" w:rsidRDefault="00ED69D0">
        <w:pPr>
          <w:pStyle w:val="Header"/>
          <w:jc w:val="right"/>
        </w:pPr>
        <w:r>
          <w:fldChar w:fldCharType="begin"/>
        </w:r>
        <w:r>
          <w:instrText xml:space="preserve"> PAGE   \* MERGEFORMAT </w:instrText>
        </w:r>
        <w:r>
          <w:fldChar w:fldCharType="separate"/>
        </w:r>
        <w:r w:rsidR="00F1141F">
          <w:rPr>
            <w:noProof/>
          </w:rPr>
          <w:t>1</w:t>
        </w:r>
        <w:r>
          <w:rPr>
            <w:noProof/>
          </w:rPr>
          <w:fldChar w:fldCharType="end"/>
        </w:r>
      </w:p>
    </w:sdtContent>
  </w:sdt>
  <w:p w14:paraId="72CA9330" w14:textId="77777777" w:rsidR="00ED69D0" w:rsidRDefault="00ED6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7" style="width:0;height:1.5pt" o:hralign="center" o:bullet="t" o:hrstd="t" o:hr="t" fillcolor="#a0a0a0" stroked="f"/>
    </w:pict>
  </w:numPicBullet>
  <w:abstractNum w:abstractNumId="0" w15:restartNumberingAfterBreak="0">
    <w:nsid w:val="FFFFFF88"/>
    <w:multiLevelType w:val="singleLevel"/>
    <w:tmpl w:val="958E17E6"/>
    <w:lvl w:ilvl="0">
      <w:start w:val="1"/>
      <w:numFmt w:val="decimal"/>
      <w:pStyle w:val="ListNumber"/>
      <w:lvlText w:val="%1."/>
      <w:lvlJc w:val="left"/>
      <w:pPr>
        <w:ind w:left="360" w:hanging="360"/>
      </w:pPr>
    </w:lvl>
  </w:abstractNum>
  <w:abstractNum w:abstractNumId="1" w15:restartNumberingAfterBreak="0">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0000005"/>
    <w:multiLevelType w:val="singleLevel"/>
    <w:tmpl w:val="00000005"/>
    <w:name w:val="WW8Num7"/>
    <w:lvl w:ilvl="0">
      <w:start w:val="1"/>
      <w:numFmt w:val="lowerLetter"/>
      <w:lvlText w:val="(%1)"/>
      <w:lvlJc w:val="left"/>
      <w:pPr>
        <w:ind w:left="795" w:hanging="435"/>
      </w:pPr>
    </w:lvl>
  </w:abstractNum>
  <w:abstractNum w:abstractNumId="3" w15:restartNumberingAfterBreak="0">
    <w:nsid w:val="06D36E6E"/>
    <w:multiLevelType w:val="hybridMultilevel"/>
    <w:tmpl w:val="961C13F2"/>
    <w:lvl w:ilvl="0" w:tplc="6088989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0E784648"/>
    <w:multiLevelType w:val="multilevel"/>
    <w:tmpl w:val="84C86D44"/>
    <w:lvl w:ilvl="0">
      <w:start w:val="1"/>
      <w:numFmt w:val="upperLetter"/>
      <w:pStyle w:val="Annexures"/>
      <w:lvlText w:val="Annexure %1"/>
      <w:lvlJc w:val="center"/>
      <w:pPr>
        <w:ind w:left="473" w:hanging="360"/>
      </w:pPr>
      <w:rPr>
        <w:rFonts w:hint="default"/>
        <w:b/>
        <w:i w:val="0"/>
        <w:sz w:val="20"/>
        <w:szCs w:val="20"/>
        <w:u w:val="none"/>
      </w:rPr>
    </w:lvl>
    <w:lvl w:ilvl="1">
      <w:start w:val="1"/>
      <w:numFmt w:val="decimal"/>
      <w:isLgl/>
      <w:lvlText w:val="%1.%2"/>
      <w:lvlJc w:val="left"/>
      <w:pPr>
        <w:tabs>
          <w:tab w:val="num" w:pos="1656"/>
        </w:tabs>
        <w:ind w:left="1656" w:hanging="936"/>
      </w:pPr>
      <w:rPr>
        <w:rFonts w:hint="default"/>
        <w:u w:val="none"/>
      </w:rPr>
    </w:lvl>
    <w:lvl w:ilvl="2">
      <w:start w:val="1"/>
      <w:numFmt w:val="decimal"/>
      <w:isLgl/>
      <w:lvlText w:val="%1.%2.%3"/>
      <w:lvlJc w:val="left"/>
      <w:pPr>
        <w:tabs>
          <w:tab w:val="num" w:pos="2736"/>
        </w:tabs>
        <w:ind w:left="2736" w:hanging="1080"/>
      </w:pPr>
      <w:rPr>
        <w:rFonts w:hint="default"/>
        <w:u w:val="none"/>
      </w:rPr>
    </w:lvl>
    <w:lvl w:ilvl="3">
      <w:start w:val="1"/>
      <w:numFmt w:val="decimal"/>
      <w:isLgl/>
      <w:lvlText w:val="%1.%2.%3.%4"/>
      <w:lvlJc w:val="left"/>
      <w:pPr>
        <w:tabs>
          <w:tab w:val="num" w:pos="4320"/>
        </w:tabs>
        <w:ind w:left="4320" w:hanging="1440"/>
      </w:pPr>
      <w:rPr>
        <w:rFonts w:hint="default"/>
        <w:u w:val="none"/>
      </w:rPr>
    </w:lvl>
    <w:lvl w:ilvl="4">
      <w:start w:val="1"/>
      <w:numFmt w:val="decimal"/>
      <w:isLgl/>
      <w:lvlText w:val="%1.%2.%3.%4.%5"/>
      <w:lvlJc w:val="left"/>
      <w:pPr>
        <w:tabs>
          <w:tab w:val="num" w:pos="4320"/>
        </w:tabs>
        <w:ind w:left="4320" w:hanging="1440"/>
      </w:pPr>
      <w:rPr>
        <w:rFonts w:hint="default"/>
        <w:u w:val="none"/>
      </w:rPr>
    </w:lvl>
    <w:lvl w:ilvl="5">
      <w:start w:val="1"/>
      <w:numFmt w:val="decimal"/>
      <w:isLgl/>
      <w:lvlText w:val="%1.%2.%3.%4.%5.%6"/>
      <w:lvlJc w:val="left"/>
      <w:pPr>
        <w:tabs>
          <w:tab w:val="num" w:pos="5328"/>
        </w:tabs>
        <w:ind w:left="5328" w:hanging="1728"/>
      </w:pPr>
      <w:rPr>
        <w:rFonts w:hint="default"/>
        <w:u w:val="none"/>
      </w:rPr>
    </w:lvl>
    <w:lvl w:ilvl="6">
      <w:start w:val="1"/>
      <w:numFmt w:val="decimal"/>
      <w:isLgl/>
      <w:lvlText w:val="%1.%2.%3.%4.%5.%6.%7"/>
      <w:lvlJc w:val="left"/>
      <w:pPr>
        <w:tabs>
          <w:tab w:val="num" w:pos="6192"/>
        </w:tabs>
        <w:ind w:left="6192" w:hanging="1872"/>
      </w:pPr>
      <w:rPr>
        <w:rFonts w:hint="default"/>
        <w:u w:val="none"/>
      </w:rPr>
    </w:lvl>
    <w:lvl w:ilvl="7">
      <w:start w:val="1"/>
      <w:numFmt w:val="decimal"/>
      <w:isLgl/>
      <w:lvlText w:val="%1.%2.%3.%4.%5.%6.%7.%8"/>
      <w:lvlJc w:val="left"/>
      <w:pPr>
        <w:tabs>
          <w:tab w:val="num" w:pos="7128"/>
        </w:tabs>
        <w:ind w:left="7128" w:hanging="2088"/>
      </w:pPr>
      <w:rPr>
        <w:rFonts w:hint="default"/>
        <w:u w:val="none"/>
      </w:rPr>
    </w:lvl>
    <w:lvl w:ilvl="8">
      <w:start w:val="1"/>
      <w:numFmt w:val="decimal"/>
      <w:isLgl/>
      <w:lvlText w:val="%1.%2.%3.%4.%5.%6.%7.%8.%9"/>
      <w:lvlJc w:val="left"/>
      <w:pPr>
        <w:tabs>
          <w:tab w:val="num" w:pos="8064"/>
        </w:tabs>
        <w:ind w:left="8064" w:hanging="2304"/>
      </w:pPr>
      <w:rPr>
        <w:rFonts w:hint="default"/>
        <w:u w:val="none"/>
      </w:rPr>
    </w:lvl>
  </w:abstractNum>
  <w:abstractNum w:abstractNumId="6" w15:restartNumberingAfterBreak="0">
    <w:nsid w:val="1A904A42"/>
    <w:multiLevelType w:val="hybridMultilevel"/>
    <w:tmpl w:val="CAC6BDFC"/>
    <w:lvl w:ilvl="0" w:tplc="9086CC24">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8912DE"/>
    <w:multiLevelType w:val="multilevel"/>
    <w:tmpl w:val="F43097E8"/>
    <w:lvl w:ilvl="0">
      <w:start w:val="4"/>
      <w:numFmt w:val="decimal"/>
      <w:lvlText w:val="%1"/>
      <w:lvlJc w:val="left"/>
      <w:pPr>
        <w:ind w:left="500" w:hanging="500"/>
      </w:pPr>
      <w:rPr>
        <w:rFonts w:hint="default"/>
      </w:rPr>
    </w:lvl>
    <w:lvl w:ilvl="1">
      <w:start w:val="1"/>
      <w:numFmt w:val="decimal"/>
      <w:lvlText w:val="%1.%2"/>
      <w:lvlJc w:val="left"/>
      <w:pPr>
        <w:ind w:left="1350" w:hanging="500"/>
      </w:pPr>
      <w:rPr>
        <w:rFonts w:hint="default"/>
      </w:rPr>
    </w:lvl>
    <w:lvl w:ilvl="2">
      <w:start w:val="3"/>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8" w15:restartNumberingAfterBreak="0">
    <w:nsid w:val="267E7650"/>
    <w:multiLevelType w:val="hybridMultilevel"/>
    <w:tmpl w:val="D52EFF8E"/>
    <w:lvl w:ilvl="0" w:tplc="D136C130">
      <w:start w:val="102"/>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C47D4"/>
    <w:multiLevelType w:val="hybridMultilevel"/>
    <w:tmpl w:val="87F420EA"/>
    <w:lvl w:ilvl="0" w:tplc="F852E3C4">
      <w:start w:val="102"/>
      <w:numFmt w:val="decimal"/>
      <w:lvlText w:val="%1."/>
      <w:lvlJc w:val="left"/>
      <w:pPr>
        <w:ind w:left="1280" w:hanging="460"/>
      </w:pPr>
      <w:rPr>
        <w:rFonts w:hint="default"/>
        <w:i w:val="0"/>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0" w15:restartNumberingAfterBreak="0">
    <w:nsid w:val="2E830FDC"/>
    <w:multiLevelType w:val="hybridMultilevel"/>
    <w:tmpl w:val="999C99B4"/>
    <w:lvl w:ilvl="0" w:tplc="9B4894EC">
      <w:start w:val="18"/>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1" w15:restartNumberingAfterBreak="0">
    <w:nsid w:val="2EC32EAB"/>
    <w:multiLevelType w:val="multilevel"/>
    <w:tmpl w:val="FEAA5C48"/>
    <w:lvl w:ilvl="0">
      <w:start w:val="1"/>
      <w:numFmt w:val="decimal"/>
      <w:pStyle w:val="1"/>
      <w:lvlText w:val="[%1]"/>
      <w:lvlJc w:val="left"/>
      <w:pPr>
        <w:tabs>
          <w:tab w:val="num" w:pos="680"/>
        </w:tabs>
        <w:ind w:left="680" w:hanging="680"/>
      </w:pPr>
      <w:rPr>
        <w:rFonts w:hint="default"/>
        <w:b w:val="0"/>
        <w:i w:val="0"/>
      </w:rPr>
    </w:lvl>
    <w:lvl w:ilvl="1">
      <w:start w:val="1"/>
      <w:numFmt w:val="lowerLetter"/>
      <w:pStyle w:val="2"/>
      <w:lvlText w:val="(%2)"/>
      <w:lvlJc w:val="left"/>
      <w:pPr>
        <w:tabs>
          <w:tab w:val="num" w:pos="2268"/>
        </w:tabs>
        <w:ind w:left="2268" w:hanging="1134"/>
      </w:pPr>
      <w:rPr>
        <w:rFonts w:hint="default"/>
        <w:b w:val="0"/>
        <w:i w:val="0"/>
      </w:rPr>
    </w:lvl>
    <w:lvl w:ilvl="2">
      <w:start w:val="1"/>
      <w:numFmt w:val="decimal"/>
      <w:pStyle w:val="3"/>
      <w:lvlText w:val="%1.%2.%3"/>
      <w:lvlJc w:val="left"/>
      <w:pPr>
        <w:tabs>
          <w:tab w:val="num" w:pos="3402"/>
        </w:tabs>
        <w:ind w:left="3402" w:hanging="1134"/>
      </w:pPr>
      <w:rPr>
        <w:rFonts w:hint="default"/>
        <w:b w:val="0"/>
        <w:i w:val="0"/>
      </w:rPr>
    </w:lvl>
    <w:lvl w:ilvl="3">
      <w:start w:val="1"/>
      <w:numFmt w:val="lowerLetter"/>
      <w:pStyle w:val="4"/>
      <w:lvlText w:val="(%4)"/>
      <w:lvlJc w:val="left"/>
      <w:pPr>
        <w:tabs>
          <w:tab w:val="num" w:pos="4536"/>
        </w:tabs>
        <w:ind w:left="4536" w:hanging="1134"/>
      </w:pPr>
      <w:rPr>
        <w:rFonts w:hint="default"/>
      </w:rPr>
    </w:lvl>
    <w:lvl w:ilvl="4">
      <w:start w:val="1"/>
      <w:numFmt w:val="lowerRoman"/>
      <w:pStyle w:val="5"/>
      <w:lvlText w:val="(%5)"/>
      <w:lvlJc w:val="left"/>
      <w:pPr>
        <w:tabs>
          <w:tab w:val="num" w:pos="5670"/>
        </w:tabs>
        <w:ind w:left="5670" w:hanging="1134"/>
      </w:pPr>
      <w:rPr>
        <w:rFonts w:hint="default"/>
        <w:b w:val="0"/>
        <w:i w:val="0"/>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7938"/>
        </w:tabs>
        <w:ind w:left="7938" w:hanging="1134"/>
      </w:pPr>
      <w:rPr>
        <w:rFonts w:hint="default"/>
      </w:rPr>
    </w:lvl>
    <w:lvl w:ilvl="7">
      <w:start w:val="1"/>
      <w:numFmt w:val="decimal"/>
      <w:lvlText w:val="%1.%2.%3.%4.%5.%6.%7.%8"/>
      <w:lvlJc w:val="left"/>
      <w:pPr>
        <w:tabs>
          <w:tab w:val="num" w:pos="9072"/>
        </w:tabs>
        <w:ind w:left="9072" w:hanging="1134"/>
      </w:pPr>
      <w:rPr>
        <w:rFonts w:hint="default"/>
      </w:rPr>
    </w:lvl>
    <w:lvl w:ilvl="8">
      <w:start w:val="1"/>
      <w:numFmt w:val="decimal"/>
      <w:lvlText w:val="%1.%2.%3.%4.%5.%6.%7.%8.%9"/>
      <w:lvlJc w:val="left"/>
      <w:pPr>
        <w:tabs>
          <w:tab w:val="num" w:pos="10206"/>
        </w:tabs>
        <w:ind w:left="10206" w:hanging="1134"/>
      </w:pPr>
      <w:rPr>
        <w:rFonts w:hint="default"/>
      </w:rPr>
    </w:lvl>
  </w:abstractNum>
  <w:abstractNum w:abstractNumId="12" w15:restartNumberingAfterBreak="0">
    <w:nsid w:val="36A33F42"/>
    <w:multiLevelType w:val="hybridMultilevel"/>
    <w:tmpl w:val="B4300AAE"/>
    <w:lvl w:ilvl="0" w:tplc="1214025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15:restartNumberingAfterBreak="0">
    <w:nsid w:val="3C8C05EF"/>
    <w:multiLevelType w:val="multilevel"/>
    <w:tmpl w:val="BF86EA56"/>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D15111"/>
    <w:multiLevelType w:val="multilevel"/>
    <w:tmpl w:val="BDF0170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3751468"/>
    <w:multiLevelType w:val="hybridMultilevel"/>
    <w:tmpl w:val="7304DAAA"/>
    <w:lvl w:ilvl="0" w:tplc="4022E388">
      <w:start w:val="1"/>
      <w:numFmt w:val="lowerLetter"/>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16" w15:restartNumberingAfterBreak="0">
    <w:nsid w:val="47111C5C"/>
    <w:multiLevelType w:val="hybridMultilevel"/>
    <w:tmpl w:val="BAA287E4"/>
    <w:lvl w:ilvl="0" w:tplc="C99E4280">
      <w:start w:val="1"/>
      <w:numFmt w:val="decimal"/>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7" w15:restartNumberingAfterBreak="0">
    <w:nsid w:val="51236D39"/>
    <w:multiLevelType w:val="multilevel"/>
    <w:tmpl w:val="737610C8"/>
    <w:lvl w:ilvl="0">
      <w:start w:val="1"/>
      <w:numFmt w:val="decimal"/>
      <w:lvlText w:val="%1."/>
      <w:lvlJc w:val="left"/>
      <w:pPr>
        <w:ind w:left="2061" w:hanging="360"/>
      </w:pPr>
      <w:rPr>
        <w:rFonts w:hint="default"/>
      </w:rPr>
    </w:lvl>
    <w:lvl w:ilvl="1">
      <w:start w:val="2"/>
      <w:numFmt w:val="decimal"/>
      <w:isLgl/>
      <w:lvlText w:val="%1.%2"/>
      <w:lvlJc w:val="left"/>
      <w:pPr>
        <w:ind w:left="2161" w:hanging="4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501" w:hanging="1800"/>
      </w:pPr>
      <w:rPr>
        <w:rFonts w:hint="default"/>
      </w:rPr>
    </w:lvl>
  </w:abstractNum>
  <w:abstractNum w:abstractNumId="18" w15:restartNumberingAfterBreak="0">
    <w:nsid w:val="51BB2E2A"/>
    <w:multiLevelType w:val="multilevel"/>
    <w:tmpl w:val="6736E41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F20011"/>
    <w:multiLevelType w:val="multilevel"/>
    <w:tmpl w:val="4C1E7444"/>
    <w:lvl w:ilvl="0">
      <w:start w:val="1"/>
      <w:numFmt w:val="decimal"/>
      <w:lvlText w:val="[%1]"/>
      <w:lvlJc w:val="left"/>
      <w:pPr>
        <w:tabs>
          <w:tab w:val="num" w:pos="851"/>
        </w:tabs>
        <w:ind w:left="851" w:hanging="851"/>
      </w:pPr>
      <w:rPr>
        <w:b w:val="0"/>
        <w:i w:val="0"/>
        <w:sz w:val="24"/>
        <w:szCs w:val="24"/>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cs="Times New Roman" w:hint="default"/>
        <w:sz w:val="24"/>
        <w:szCs w:val="24"/>
      </w:rPr>
    </w:lvl>
    <w:lvl w:ilvl="5">
      <w:start w:val="1"/>
      <w:numFmt w:val="decimal"/>
      <w:lvlText w:val="%1.%2.%3.%4.%5.%6."/>
      <w:lvlJc w:val="left"/>
      <w:pPr>
        <w:tabs>
          <w:tab w:val="num" w:pos="5106"/>
        </w:tabs>
        <w:ind w:left="5106" w:hanging="851"/>
      </w:pPr>
    </w:lvl>
    <w:lvl w:ilvl="6">
      <w:start w:val="1"/>
      <w:numFmt w:val="decimal"/>
      <w:lvlText w:val="%1.%2.%3.%4.%5.%6.%7."/>
      <w:lvlJc w:val="left"/>
      <w:pPr>
        <w:tabs>
          <w:tab w:val="num" w:pos="5957"/>
        </w:tabs>
        <w:ind w:left="5957" w:hanging="851"/>
      </w:pPr>
    </w:lvl>
    <w:lvl w:ilvl="7">
      <w:start w:val="1"/>
      <w:numFmt w:val="decimal"/>
      <w:lvlText w:val="%1.%2.%3.%4.%5.%6.%7.%8."/>
      <w:lvlJc w:val="left"/>
      <w:pPr>
        <w:tabs>
          <w:tab w:val="num" w:pos="6808"/>
        </w:tabs>
        <w:ind w:left="6808" w:hanging="851"/>
      </w:pPr>
    </w:lvl>
    <w:lvl w:ilvl="8">
      <w:start w:val="1"/>
      <w:numFmt w:val="decimal"/>
      <w:lvlText w:val="%1.%2.%3.%4.%5.%6.%7.%8.%9."/>
      <w:lvlJc w:val="left"/>
      <w:pPr>
        <w:tabs>
          <w:tab w:val="num" w:pos="7659"/>
        </w:tabs>
        <w:ind w:left="7659" w:hanging="851"/>
      </w:pPr>
    </w:lvl>
  </w:abstractNum>
  <w:abstractNum w:abstractNumId="20" w15:restartNumberingAfterBreak="0">
    <w:nsid w:val="54700BEB"/>
    <w:multiLevelType w:val="hybridMultilevel"/>
    <w:tmpl w:val="D924CDFA"/>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1" w15:restartNumberingAfterBreak="0">
    <w:nsid w:val="55D20F77"/>
    <w:multiLevelType w:val="multilevel"/>
    <w:tmpl w:val="EA0EA7B6"/>
    <w:lvl w:ilvl="0">
      <w:start w:val="1"/>
      <w:numFmt w:val="decimal"/>
      <w:lvlText w:val="%1."/>
      <w:lvlJc w:val="left"/>
      <w:pPr>
        <w:ind w:left="666" w:hanging="567"/>
      </w:pPr>
      <w:rPr>
        <w:rFonts w:ascii="Arial" w:eastAsia="Arial" w:hAnsi="Arial" w:cs="Arial" w:hint="default"/>
        <w:b w:val="0"/>
        <w:bCs w:val="0"/>
        <w:i w:val="0"/>
        <w:iCs w:val="0"/>
        <w:w w:val="100"/>
        <w:sz w:val="24"/>
        <w:szCs w:val="24"/>
        <w:lang w:val="en-ZA" w:eastAsia="en-US" w:bidi="ar-SA"/>
      </w:rPr>
    </w:lvl>
    <w:lvl w:ilvl="1">
      <w:start w:val="1"/>
      <w:numFmt w:val="decimal"/>
      <w:lvlText w:val="%1.%2."/>
      <w:lvlJc w:val="left"/>
      <w:pPr>
        <w:ind w:left="1377" w:hanging="711"/>
      </w:pPr>
      <w:rPr>
        <w:rFonts w:ascii="Arial" w:eastAsia="Arial" w:hAnsi="Arial" w:cs="Arial" w:hint="default"/>
        <w:b w:val="0"/>
        <w:bCs w:val="0"/>
        <w:i w:val="0"/>
        <w:iCs w:val="0"/>
        <w:w w:val="99"/>
        <w:sz w:val="24"/>
        <w:szCs w:val="24"/>
        <w:lang w:val="en-ZA" w:eastAsia="en-US" w:bidi="ar-SA"/>
      </w:rPr>
    </w:lvl>
    <w:lvl w:ilvl="2">
      <w:numFmt w:val="bullet"/>
      <w:lvlText w:val="•"/>
      <w:lvlJc w:val="left"/>
      <w:pPr>
        <w:ind w:left="2291" w:hanging="711"/>
      </w:pPr>
      <w:rPr>
        <w:rFonts w:hint="default"/>
        <w:lang w:val="en-ZA" w:eastAsia="en-US" w:bidi="ar-SA"/>
      </w:rPr>
    </w:lvl>
    <w:lvl w:ilvl="3">
      <w:numFmt w:val="bullet"/>
      <w:lvlText w:val="•"/>
      <w:lvlJc w:val="left"/>
      <w:pPr>
        <w:ind w:left="3202" w:hanging="711"/>
      </w:pPr>
      <w:rPr>
        <w:rFonts w:hint="default"/>
        <w:lang w:val="en-ZA" w:eastAsia="en-US" w:bidi="ar-SA"/>
      </w:rPr>
    </w:lvl>
    <w:lvl w:ilvl="4">
      <w:numFmt w:val="bullet"/>
      <w:lvlText w:val="•"/>
      <w:lvlJc w:val="left"/>
      <w:pPr>
        <w:ind w:left="4113" w:hanging="711"/>
      </w:pPr>
      <w:rPr>
        <w:rFonts w:hint="default"/>
        <w:lang w:val="en-ZA" w:eastAsia="en-US" w:bidi="ar-SA"/>
      </w:rPr>
    </w:lvl>
    <w:lvl w:ilvl="5">
      <w:numFmt w:val="bullet"/>
      <w:lvlText w:val="•"/>
      <w:lvlJc w:val="left"/>
      <w:pPr>
        <w:ind w:left="5024" w:hanging="711"/>
      </w:pPr>
      <w:rPr>
        <w:rFonts w:hint="default"/>
        <w:lang w:val="en-ZA" w:eastAsia="en-US" w:bidi="ar-SA"/>
      </w:rPr>
    </w:lvl>
    <w:lvl w:ilvl="6">
      <w:numFmt w:val="bullet"/>
      <w:lvlText w:val="•"/>
      <w:lvlJc w:val="left"/>
      <w:pPr>
        <w:ind w:left="5935" w:hanging="711"/>
      </w:pPr>
      <w:rPr>
        <w:rFonts w:hint="default"/>
        <w:lang w:val="en-ZA" w:eastAsia="en-US" w:bidi="ar-SA"/>
      </w:rPr>
    </w:lvl>
    <w:lvl w:ilvl="7">
      <w:numFmt w:val="bullet"/>
      <w:lvlText w:val="•"/>
      <w:lvlJc w:val="left"/>
      <w:pPr>
        <w:ind w:left="6846" w:hanging="711"/>
      </w:pPr>
      <w:rPr>
        <w:rFonts w:hint="default"/>
        <w:lang w:val="en-ZA" w:eastAsia="en-US" w:bidi="ar-SA"/>
      </w:rPr>
    </w:lvl>
    <w:lvl w:ilvl="8">
      <w:numFmt w:val="bullet"/>
      <w:lvlText w:val="•"/>
      <w:lvlJc w:val="left"/>
      <w:pPr>
        <w:ind w:left="7757" w:hanging="711"/>
      </w:pPr>
      <w:rPr>
        <w:rFonts w:hint="default"/>
        <w:lang w:val="en-ZA" w:eastAsia="en-US" w:bidi="ar-SA"/>
      </w:rPr>
    </w:lvl>
  </w:abstractNum>
  <w:abstractNum w:abstractNumId="22" w15:restartNumberingAfterBreak="0">
    <w:nsid w:val="5A9C5182"/>
    <w:multiLevelType w:val="hybridMultilevel"/>
    <w:tmpl w:val="632E59A0"/>
    <w:lvl w:ilvl="0" w:tplc="AE90735A">
      <w:start w:val="103"/>
      <w:numFmt w:val="decimal"/>
      <w:lvlText w:val="%1."/>
      <w:lvlJc w:val="left"/>
      <w:pPr>
        <w:ind w:left="1280" w:hanging="4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CE45FF1"/>
    <w:multiLevelType w:val="multilevel"/>
    <w:tmpl w:val="887C6168"/>
    <w:lvl w:ilvl="0">
      <w:start w:val="1"/>
      <w:numFmt w:val="decimal"/>
      <w:pStyle w:val="XClause1Head"/>
      <w:isLgl/>
      <w:lvlText w:val="%1."/>
      <w:lvlJc w:val="left"/>
      <w:pPr>
        <w:tabs>
          <w:tab w:val="num" w:pos="720"/>
        </w:tabs>
        <w:ind w:left="720" w:hanging="720"/>
      </w:pPr>
      <w:rPr>
        <w:rFonts w:ascii="Arial" w:hAnsi="Arial" w:cs="Arial" w:hint="default"/>
        <w:b w:val="0"/>
        <w:i w:val="0"/>
        <w:sz w:val="24"/>
        <w:szCs w:val="24"/>
      </w:rPr>
    </w:lvl>
    <w:lvl w:ilvl="1">
      <w:start w:val="1"/>
      <w:numFmt w:val="decimal"/>
      <w:pStyle w:val="XClause2Sub"/>
      <w:lvlText w:val="%1.%2."/>
      <w:lvlJc w:val="left"/>
      <w:pPr>
        <w:tabs>
          <w:tab w:val="num" w:pos="1440"/>
        </w:tabs>
        <w:ind w:left="1440" w:hanging="720"/>
      </w:pPr>
      <w:rPr>
        <w:rFonts w:ascii="Arial" w:hAnsi="Arial" w:cs="Arial" w:hint="default"/>
        <w:b w:val="0"/>
        <w:i w:val="0"/>
        <w:sz w:val="24"/>
        <w:szCs w:val="24"/>
      </w:rPr>
    </w:lvl>
    <w:lvl w:ilvl="2">
      <w:start w:val="1"/>
      <w:numFmt w:val="decimal"/>
      <w:pStyle w:val="XClause3Sub"/>
      <w:lvlText w:val="%1.%2.%3."/>
      <w:lvlJc w:val="left"/>
      <w:pPr>
        <w:tabs>
          <w:tab w:val="num" w:pos="2552"/>
        </w:tabs>
        <w:ind w:left="2552" w:hanging="1112"/>
      </w:pPr>
      <w:rPr>
        <w:rFonts w:ascii="Arial" w:hAnsi="Arial" w:cs="Arial" w:hint="default"/>
        <w:b w:val="0"/>
        <w:bCs w:val="0"/>
        <w:sz w:val="24"/>
        <w:szCs w:val="24"/>
      </w:rPr>
    </w:lvl>
    <w:lvl w:ilvl="3">
      <w:start w:val="1"/>
      <w:numFmt w:val="decimal"/>
      <w:pStyle w:val="XClause4Sub"/>
      <w:lvlText w:val="%1.%2.%3.%4."/>
      <w:lvlJc w:val="left"/>
      <w:pPr>
        <w:tabs>
          <w:tab w:val="num" w:pos="3600"/>
        </w:tabs>
        <w:ind w:left="3600" w:hanging="1048"/>
      </w:pPr>
      <w:rPr>
        <w:rFonts w:hint="default"/>
      </w:rPr>
    </w:lvl>
    <w:lvl w:ilvl="4">
      <w:start w:val="1"/>
      <w:numFmt w:val="decimal"/>
      <w:pStyle w:val="XClause5Sub"/>
      <w:lvlText w:val="%1.%2.%3.%4.%5."/>
      <w:lvlJc w:val="left"/>
      <w:pPr>
        <w:tabs>
          <w:tab w:val="num" w:pos="5041"/>
        </w:tabs>
        <w:ind w:left="5041" w:hanging="1441"/>
      </w:pPr>
      <w:rPr>
        <w:rFonts w:hint="default"/>
      </w:rPr>
    </w:lvl>
    <w:lvl w:ilvl="5">
      <w:start w:val="1"/>
      <w:numFmt w:val="decimal"/>
      <w:pStyle w:val="XClause6Sub"/>
      <w:lvlText w:val="%1.%2.%3.%4.%5.%6."/>
      <w:lvlJc w:val="left"/>
      <w:pPr>
        <w:tabs>
          <w:tab w:val="num" w:pos="6481"/>
        </w:tabs>
        <w:ind w:left="6481" w:hanging="1440"/>
      </w:pPr>
      <w:rPr>
        <w:rFonts w:hint="default"/>
      </w:rPr>
    </w:lvl>
    <w:lvl w:ilvl="6">
      <w:start w:val="1"/>
      <w:numFmt w:val="decimal"/>
      <w:pStyle w:val="XClause7Sub"/>
      <w:lvlText w:val="%1.%2.%3.%4.%5.%6.%7."/>
      <w:lvlJc w:val="left"/>
      <w:pPr>
        <w:tabs>
          <w:tab w:val="num" w:pos="7201"/>
        </w:tabs>
        <w:ind w:left="7201" w:hanging="1871"/>
      </w:pPr>
      <w:rPr>
        <w:rFonts w:hint="default"/>
      </w:rPr>
    </w:lvl>
    <w:lvl w:ilvl="7">
      <w:start w:val="1"/>
      <w:numFmt w:val="decimal"/>
      <w:pStyle w:val="XClause8Sub"/>
      <w:lvlText w:val="%1.%2.%3.%4.%5.%6.%7.%8."/>
      <w:lvlJc w:val="left"/>
      <w:pPr>
        <w:tabs>
          <w:tab w:val="num" w:pos="7921"/>
        </w:tabs>
        <w:ind w:left="7921" w:hanging="1967"/>
      </w:pPr>
      <w:rPr>
        <w:rFonts w:hint="default"/>
      </w:rPr>
    </w:lvl>
    <w:lvl w:ilvl="8">
      <w:start w:val="1"/>
      <w:numFmt w:val="decimal"/>
      <w:pStyle w:val="XClause9Sub"/>
      <w:isLgl/>
      <w:lvlText w:val="%1.%2.%3.%4.%5.%6.%7.%8.%9."/>
      <w:lvlJc w:val="left"/>
      <w:pPr>
        <w:tabs>
          <w:tab w:val="num" w:pos="8222"/>
        </w:tabs>
        <w:ind w:left="8222" w:hanging="1730"/>
      </w:pPr>
      <w:rPr>
        <w:rFonts w:hint="default"/>
      </w:rPr>
    </w:lvl>
  </w:abstractNum>
  <w:abstractNum w:abstractNumId="24" w15:restartNumberingAfterBreak="0">
    <w:nsid w:val="693F6581"/>
    <w:multiLevelType w:val="multilevel"/>
    <w:tmpl w:val="E3F4A790"/>
    <w:lvl w:ilvl="0">
      <w:start w:val="1"/>
      <w:numFmt w:val="decimal"/>
      <w:pStyle w:val="Myown"/>
      <w:lvlText w:val="%1."/>
      <w:lvlJc w:val="left"/>
      <w:pPr>
        <w:ind w:left="360" w:hanging="360"/>
      </w:pPr>
      <w:rPr>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600373A"/>
    <w:multiLevelType w:val="hybridMultilevel"/>
    <w:tmpl w:val="286CFB52"/>
    <w:lvl w:ilvl="0" w:tplc="9F3E962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7CB86740"/>
    <w:multiLevelType w:val="hybridMultilevel"/>
    <w:tmpl w:val="59E8737C"/>
    <w:lvl w:ilvl="0" w:tplc="3C96BFC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551966439">
    <w:abstractNumId w:val="11"/>
  </w:num>
  <w:num w:numId="2" w16cid:durableId="1414546340">
    <w:abstractNumId w:val="0"/>
  </w:num>
  <w:num w:numId="3" w16cid:durableId="930772540">
    <w:abstractNumId w:val="6"/>
  </w:num>
  <w:num w:numId="4" w16cid:durableId="4536463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5627781">
    <w:abstractNumId w:val="25"/>
  </w:num>
  <w:num w:numId="6" w16cid:durableId="639111624">
    <w:abstractNumId w:val="26"/>
  </w:num>
  <w:num w:numId="7" w16cid:durableId="1178888587">
    <w:abstractNumId w:val="20"/>
  </w:num>
  <w:num w:numId="8" w16cid:durableId="2783366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4267569">
    <w:abstractNumId w:val="3"/>
  </w:num>
  <w:num w:numId="10" w16cid:durableId="949245664">
    <w:abstractNumId w:val="17"/>
  </w:num>
  <w:num w:numId="11" w16cid:durableId="424617989">
    <w:abstractNumId w:val="16"/>
  </w:num>
  <w:num w:numId="12" w16cid:durableId="260841588">
    <w:abstractNumId w:val="15"/>
  </w:num>
  <w:num w:numId="13" w16cid:durableId="316569748">
    <w:abstractNumId w:val="13"/>
  </w:num>
  <w:num w:numId="14" w16cid:durableId="1494443024">
    <w:abstractNumId w:val="4"/>
  </w:num>
  <w:num w:numId="15" w16cid:durableId="12168909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95736332">
    <w:abstractNumId w:val="21"/>
  </w:num>
  <w:num w:numId="17" w16cid:durableId="644747714">
    <w:abstractNumId w:val="14"/>
  </w:num>
  <w:num w:numId="18" w16cid:durableId="1621255467">
    <w:abstractNumId w:val="12"/>
  </w:num>
  <w:num w:numId="19" w16cid:durableId="295378343">
    <w:abstractNumId w:val="5"/>
  </w:num>
  <w:num w:numId="20" w16cid:durableId="1632860155">
    <w:abstractNumId w:val="23"/>
  </w:num>
  <w:num w:numId="21" w16cid:durableId="1774089274">
    <w:abstractNumId w:val="24"/>
  </w:num>
  <w:num w:numId="22" w16cid:durableId="1559048378">
    <w:abstractNumId w:val="10"/>
  </w:num>
  <w:num w:numId="23" w16cid:durableId="721831075">
    <w:abstractNumId w:val="18"/>
  </w:num>
  <w:num w:numId="24" w16cid:durableId="324550530">
    <w:abstractNumId w:val="7"/>
  </w:num>
  <w:num w:numId="25" w16cid:durableId="685861656">
    <w:abstractNumId w:val="8"/>
  </w:num>
  <w:num w:numId="26" w16cid:durableId="601494573">
    <w:abstractNumId w:val="9"/>
  </w:num>
  <w:num w:numId="27" w16cid:durableId="1404067226">
    <w:abstractNumId w:val="19"/>
  </w:num>
  <w:num w:numId="28" w16cid:durableId="1917668031">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B4C"/>
    <w:rsid w:val="00000E6B"/>
    <w:rsid w:val="00000F16"/>
    <w:rsid w:val="00000F35"/>
    <w:rsid w:val="00001F2D"/>
    <w:rsid w:val="000025D3"/>
    <w:rsid w:val="000026D9"/>
    <w:rsid w:val="00002E04"/>
    <w:rsid w:val="00003CBC"/>
    <w:rsid w:val="00003D4F"/>
    <w:rsid w:val="00004064"/>
    <w:rsid w:val="000043C3"/>
    <w:rsid w:val="0000489E"/>
    <w:rsid w:val="00004B4B"/>
    <w:rsid w:val="00004C50"/>
    <w:rsid w:val="00004FF5"/>
    <w:rsid w:val="00005393"/>
    <w:rsid w:val="00005635"/>
    <w:rsid w:val="00006927"/>
    <w:rsid w:val="00006D89"/>
    <w:rsid w:val="00006FFA"/>
    <w:rsid w:val="0000721E"/>
    <w:rsid w:val="000075D6"/>
    <w:rsid w:val="00007A1E"/>
    <w:rsid w:val="00007BEB"/>
    <w:rsid w:val="00011275"/>
    <w:rsid w:val="00011D5E"/>
    <w:rsid w:val="00011D7E"/>
    <w:rsid w:val="00011F6D"/>
    <w:rsid w:val="00012BC9"/>
    <w:rsid w:val="00013899"/>
    <w:rsid w:val="00013956"/>
    <w:rsid w:val="00013C32"/>
    <w:rsid w:val="0001479D"/>
    <w:rsid w:val="00014A75"/>
    <w:rsid w:val="00014C27"/>
    <w:rsid w:val="00015055"/>
    <w:rsid w:val="00016B15"/>
    <w:rsid w:val="00016D7D"/>
    <w:rsid w:val="000178A7"/>
    <w:rsid w:val="000203BD"/>
    <w:rsid w:val="000205BB"/>
    <w:rsid w:val="00020C06"/>
    <w:rsid w:val="00021839"/>
    <w:rsid w:val="000223BA"/>
    <w:rsid w:val="00024B45"/>
    <w:rsid w:val="0002513B"/>
    <w:rsid w:val="0002589A"/>
    <w:rsid w:val="00025AB9"/>
    <w:rsid w:val="00026013"/>
    <w:rsid w:val="000267B0"/>
    <w:rsid w:val="00026EF4"/>
    <w:rsid w:val="00027523"/>
    <w:rsid w:val="000278DA"/>
    <w:rsid w:val="00027E31"/>
    <w:rsid w:val="00027E97"/>
    <w:rsid w:val="00027F4F"/>
    <w:rsid w:val="000311C2"/>
    <w:rsid w:val="00031A80"/>
    <w:rsid w:val="00031AD4"/>
    <w:rsid w:val="00032191"/>
    <w:rsid w:val="000327C4"/>
    <w:rsid w:val="00032BEF"/>
    <w:rsid w:val="00033914"/>
    <w:rsid w:val="00033952"/>
    <w:rsid w:val="00033A8B"/>
    <w:rsid w:val="00033BB4"/>
    <w:rsid w:val="00034F78"/>
    <w:rsid w:val="00035C54"/>
    <w:rsid w:val="00035CA2"/>
    <w:rsid w:val="00036839"/>
    <w:rsid w:val="00036B3C"/>
    <w:rsid w:val="00036CBB"/>
    <w:rsid w:val="00036E35"/>
    <w:rsid w:val="00037B4A"/>
    <w:rsid w:val="00037E9A"/>
    <w:rsid w:val="00040CFF"/>
    <w:rsid w:val="0004166E"/>
    <w:rsid w:val="0004179B"/>
    <w:rsid w:val="00041A35"/>
    <w:rsid w:val="00042120"/>
    <w:rsid w:val="00042144"/>
    <w:rsid w:val="0004225B"/>
    <w:rsid w:val="00042883"/>
    <w:rsid w:val="00042910"/>
    <w:rsid w:val="00042E5D"/>
    <w:rsid w:val="00043330"/>
    <w:rsid w:val="00043B8D"/>
    <w:rsid w:val="0004454D"/>
    <w:rsid w:val="00044CB9"/>
    <w:rsid w:val="0004629A"/>
    <w:rsid w:val="00046726"/>
    <w:rsid w:val="0004700B"/>
    <w:rsid w:val="000471C4"/>
    <w:rsid w:val="00047380"/>
    <w:rsid w:val="00047496"/>
    <w:rsid w:val="00047864"/>
    <w:rsid w:val="00047964"/>
    <w:rsid w:val="00051139"/>
    <w:rsid w:val="000526FC"/>
    <w:rsid w:val="00052D2C"/>
    <w:rsid w:val="00053DD2"/>
    <w:rsid w:val="000541F4"/>
    <w:rsid w:val="00054540"/>
    <w:rsid w:val="00054912"/>
    <w:rsid w:val="00054932"/>
    <w:rsid w:val="00054B84"/>
    <w:rsid w:val="00054C0A"/>
    <w:rsid w:val="000552C4"/>
    <w:rsid w:val="000554AC"/>
    <w:rsid w:val="000569B1"/>
    <w:rsid w:val="0005715D"/>
    <w:rsid w:val="0005747E"/>
    <w:rsid w:val="00057FA6"/>
    <w:rsid w:val="00057FE1"/>
    <w:rsid w:val="000603D2"/>
    <w:rsid w:val="000606D4"/>
    <w:rsid w:val="00060E1C"/>
    <w:rsid w:val="00061062"/>
    <w:rsid w:val="0006122D"/>
    <w:rsid w:val="00061343"/>
    <w:rsid w:val="000614DC"/>
    <w:rsid w:val="00061632"/>
    <w:rsid w:val="0006281D"/>
    <w:rsid w:val="000629CE"/>
    <w:rsid w:val="00062AC4"/>
    <w:rsid w:val="000630C0"/>
    <w:rsid w:val="00063197"/>
    <w:rsid w:val="00063347"/>
    <w:rsid w:val="00063586"/>
    <w:rsid w:val="00064037"/>
    <w:rsid w:val="00064329"/>
    <w:rsid w:val="00064398"/>
    <w:rsid w:val="000643EE"/>
    <w:rsid w:val="00064417"/>
    <w:rsid w:val="0006446B"/>
    <w:rsid w:val="000648C6"/>
    <w:rsid w:val="00064C3E"/>
    <w:rsid w:val="00064CAE"/>
    <w:rsid w:val="000658B9"/>
    <w:rsid w:val="00065D25"/>
    <w:rsid w:val="00065DBA"/>
    <w:rsid w:val="000670BE"/>
    <w:rsid w:val="00067403"/>
    <w:rsid w:val="0007054D"/>
    <w:rsid w:val="00070FB2"/>
    <w:rsid w:val="000713C6"/>
    <w:rsid w:val="000715B5"/>
    <w:rsid w:val="00071C04"/>
    <w:rsid w:val="0007238B"/>
    <w:rsid w:val="00073213"/>
    <w:rsid w:val="000734AD"/>
    <w:rsid w:val="000743C1"/>
    <w:rsid w:val="00074490"/>
    <w:rsid w:val="00074931"/>
    <w:rsid w:val="00075A7B"/>
    <w:rsid w:val="000761CF"/>
    <w:rsid w:val="000768B7"/>
    <w:rsid w:val="00076AEB"/>
    <w:rsid w:val="00076C32"/>
    <w:rsid w:val="00077229"/>
    <w:rsid w:val="00077A72"/>
    <w:rsid w:val="00077DA0"/>
    <w:rsid w:val="00080163"/>
    <w:rsid w:val="00081B44"/>
    <w:rsid w:val="000821DD"/>
    <w:rsid w:val="000826EB"/>
    <w:rsid w:val="00082997"/>
    <w:rsid w:val="00082CE4"/>
    <w:rsid w:val="00083DA8"/>
    <w:rsid w:val="00084A85"/>
    <w:rsid w:val="00085710"/>
    <w:rsid w:val="00085776"/>
    <w:rsid w:val="00087F0F"/>
    <w:rsid w:val="00090BAE"/>
    <w:rsid w:val="00090D1E"/>
    <w:rsid w:val="00090E6B"/>
    <w:rsid w:val="0009189F"/>
    <w:rsid w:val="00091EF1"/>
    <w:rsid w:val="00092FE0"/>
    <w:rsid w:val="00093ACF"/>
    <w:rsid w:val="00093F5D"/>
    <w:rsid w:val="00094423"/>
    <w:rsid w:val="00094488"/>
    <w:rsid w:val="00095093"/>
    <w:rsid w:val="00095CA6"/>
    <w:rsid w:val="00095F1C"/>
    <w:rsid w:val="0009617B"/>
    <w:rsid w:val="000962CD"/>
    <w:rsid w:val="0009638B"/>
    <w:rsid w:val="000968A2"/>
    <w:rsid w:val="000975B2"/>
    <w:rsid w:val="00097C41"/>
    <w:rsid w:val="000A018E"/>
    <w:rsid w:val="000A0398"/>
    <w:rsid w:val="000A1B6E"/>
    <w:rsid w:val="000A1B80"/>
    <w:rsid w:val="000A1C84"/>
    <w:rsid w:val="000A1CF7"/>
    <w:rsid w:val="000A1D47"/>
    <w:rsid w:val="000A1F65"/>
    <w:rsid w:val="000A22A8"/>
    <w:rsid w:val="000A2515"/>
    <w:rsid w:val="000A3154"/>
    <w:rsid w:val="000A4529"/>
    <w:rsid w:val="000A5992"/>
    <w:rsid w:val="000A5E06"/>
    <w:rsid w:val="000A6549"/>
    <w:rsid w:val="000A7F92"/>
    <w:rsid w:val="000B0031"/>
    <w:rsid w:val="000B036A"/>
    <w:rsid w:val="000B0497"/>
    <w:rsid w:val="000B1B70"/>
    <w:rsid w:val="000B2B54"/>
    <w:rsid w:val="000B2C72"/>
    <w:rsid w:val="000B2E1A"/>
    <w:rsid w:val="000B3A8F"/>
    <w:rsid w:val="000B44D3"/>
    <w:rsid w:val="000B4A7E"/>
    <w:rsid w:val="000B4E9C"/>
    <w:rsid w:val="000B5438"/>
    <w:rsid w:val="000B5890"/>
    <w:rsid w:val="000B66A1"/>
    <w:rsid w:val="000B77A3"/>
    <w:rsid w:val="000B7D2E"/>
    <w:rsid w:val="000B7F3F"/>
    <w:rsid w:val="000C07AB"/>
    <w:rsid w:val="000C0C9A"/>
    <w:rsid w:val="000C0E29"/>
    <w:rsid w:val="000C12AC"/>
    <w:rsid w:val="000C15AC"/>
    <w:rsid w:val="000C2D83"/>
    <w:rsid w:val="000C2E2C"/>
    <w:rsid w:val="000C3186"/>
    <w:rsid w:val="000C39A1"/>
    <w:rsid w:val="000C4EA2"/>
    <w:rsid w:val="000C5E4D"/>
    <w:rsid w:val="000C5E5C"/>
    <w:rsid w:val="000C7203"/>
    <w:rsid w:val="000C726A"/>
    <w:rsid w:val="000C7D3C"/>
    <w:rsid w:val="000D06D8"/>
    <w:rsid w:val="000D0A14"/>
    <w:rsid w:val="000D1047"/>
    <w:rsid w:val="000D1A4B"/>
    <w:rsid w:val="000D1A9F"/>
    <w:rsid w:val="000D1DE1"/>
    <w:rsid w:val="000D22FD"/>
    <w:rsid w:val="000D26DF"/>
    <w:rsid w:val="000D2F64"/>
    <w:rsid w:val="000D3864"/>
    <w:rsid w:val="000D38D1"/>
    <w:rsid w:val="000D3C52"/>
    <w:rsid w:val="000D4A71"/>
    <w:rsid w:val="000D531E"/>
    <w:rsid w:val="000D56C8"/>
    <w:rsid w:val="000D5E07"/>
    <w:rsid w:val="000D64DB"/>
    <w:rsid w:val="000D7CFD"/>
    <w:rsid w:val="000E0006"/>
    <w:rsid w:val="000E0F39"/>
    <w:rsid w:val="000E1448"/>
    <w:rsid w:val="000E14B4"/>
    <w:rsid w:val="000E1C17"/>
    <w:rsid w:val="000E1D43"/>
    <w:rsid w:val="000E244F"/>
    <w:rsid w:val="000E2D6F"/>
    <w:rsid w:val="000E308F"/>
    <w:rsid w:val="000E3218"/>
    <w:rsid w:val="000E3453"/>
    <w:rsid w:val="000E3A32"/>
    <w:rsid w:val="000E3A64"/>
    <w:rsid w:val="000E3F6A"/>
    <w:rsid w:val="000E43C6"/>
    <w:rsid w:val="000E4996"/>
    <w:rsid w:val="000E4A37"/>
    <w:rsid w:val="000E4B30"/>
    <w:rsid w:val="000E5A5D"/>
    <w:rsid w:val="000E5EE7"/>
    <w:rsid w:val="000E6584"/>
    <w:rsid w:val="000E6EA6"/>
    <w:rsid w:val="000E7114"/>
    <w:rsid w:val="000E7904"/>
    <w:rsid w:val="000E7913"/>
    <w:rsid w:val="000F0069"/>
    <w:rsid w:val="000F04AB"/>
    <w:rsid w:val="000F0514"/>
    <w:rsid w:val="000F0FDF"/>
    <w:rsid w:val="000F12F3"/>
    <w:rsid w:val="000F1B35"/>
    <w:rsid w:val="000F1DD5"/>
    <w:rsid w:val="000F1FCB"/>
    <w:rsid w:val="000F201C"/>
    <w:rsid w:val="000F2614"/>
    <w:rsid w:val="000F3660"/>
    <w:rsid w:val="000F390B"/>
    <w:rsid w:val="000F4590"/>
    <w:rsid w:val="000F4661"/>
    <w:rsid w:val="000F4836"/>
    <w:rsid w:val="000F4FE4"/>
    <w:rsid w:val="000F58E7"/>
    <w:rsid w:val="000F6E19"/>
    <w:rsid w:val="000F71BA"/>
    <w:rsid w:val="000F75E0"/>
    <w:rsid w:val="00100355"/>
    <w:rsid w:val="00101A4E"/>
    <w:rsid w:val="00103F18"/>
    <w:rsid w:val="00104A24"/>
    <w:rsid w:val="00104A46"/>
    <w:rsid w:val="00104D3F"/>
    <w:rsid w:val="00105000"/>
    <w:rsid w:val="001055C2"/>
    <w:rsid w:val="001060C1"/>
    <w:rsid w:val="00106268"/>
    <w:rsid w:val="00107408"/>
    <w:rsid w:val="00107844"/>
    <w:rsid w:val="001078C0"/>
    <w:rsid w:val="00110900"/>
    <w:rsid w:val="00111AB2"/>
    <w:rsid w:val="00111BE6"/>
    <w:rsid w:val="00112F70"/>
    <w:rsid w:val="00114399"/>
    <w:rsid w:val="001143E8"/>
    <w:rsid w:val="00114A00"/>
    <w:rsid w:val="00114AC5"/>
    <w:rsid w:val="00114D89"/>
    <w:rsid w:val="00115245"/>
    <w:rsid w:val="00115F23"/>
    <w:rsid w:val="00116524"/>
    <w:rsid w:val="00116775"/>
    <w:rsid w:val="00116ADA"/>
    <w:rsid w:val="0011705A"/>
    <w:rsid w:val="001173C1"/>
    <w:rsid w:val="0011763B"/>
    <w:rsid w:val="0011783C"/>
    <w:rsid w:val="0012061B"/>
    <w:rsid w:val="00120D0F"/>
    <w:rsid w:val="00120DB7"/>
    <w:rsid w:val="001210C6"/>
    <w:rsid w:val="00121310"/>
    <w:rsid w:val="001214B2"/>
    <w:rsid w:val="00122942"/>
    <w:rsid w:val="0012364D"/>
    <w:rsid w:val="00123DC2"/>
    <w:rsid w:val="0012426D"/>
    <w:rsid w:val="00124662"/>
    <w:rsid w:val="00125093"/>
    <w:rsid w:val="001250BB"/>
    <w:rsid w:val="00125437"/>
    <w:rsid w:val="00125973"/>
    <w:rsid w:val="00125BDA"/>
    <w:rsid w:val="0012605F"/>
    <w:rsid w:val="0012673A"/>
    <w:rsid w:val="00126A19"/>
    <w:rsid w:val="00126ABB"/>
    <w:rsid w:val="00127ADA"/>
    <w:rsid w:val="00130F92"/>
    <w:rsid w:val="00131007"/>
    <w:rsid w:val="001312AE"/>
    <w:rsid w:val="001316BC"/>
    <w:rsid w:val="00131CCD"/>
    <w:rsid w:val="00132013"/>
    <w:rsid w:val="00133466"/>
    <w:rsid w:val="00133A23"/>
    <w:rsid w:val="00133B3D"/>
    <w:rsid w:val="00134036"/>
    <w:rsid w:val="00134B79"/>
    <w:rsid w:val="00135AB9"/>
    <w:rsid w:val="00135D48"/>
    <w:rsid w:val="00137B70"/>
    <w:rsid w:val="001401AA"/>
    <w:rsid w:val="00140B02"/>
    <w:rsid w:val="00141AF1"/>
    <w:rsid w:val="0014208E"/>
    <w:rsid w:val="00142DA7"/>
    <w:rsid w:val="00143201"/>
    <w:rsid w:val="00143E0F"/>
    <w:rsid w:val="00143F69"/>
    <w:rsid w:val="001441DA"/>
    <w:rsid w:val="001453D4"/>
    <w:rsid w:val="00145483"/>
    <w:rsid w:val="001459A2"/>
    <w:rsid w:val="00145B6A"/>
    <w:rsid w:val="001468BA"/>
    <w:rsid w:val="00146DDD"/>
    <w:rsid w:val="00147A7E"/>
    <w:rsid w:val="0015010C"/>
    <w:rsid w:val="00150969"/>
    <w:rsid w:val="00150C6C"/>
    <w:rsid w:val="0015121B"/>
    <w:rsid w:val="00151489"/>
    <w:rsid w:val="001537AF"/>
    <w:rsid w:val="00153BCD"/>
    <w:rsid w:val="0015401D"/>
    <w:rsid w:val="00154728"/>
    <w:rsid w:val="001550FF"/>
    <w:rsid w:val="00155FC8"/>
    <w:rsid w:val="0015650B"/>
    <w:rsid w:val="0015676D"/>
    <w:rsid w:val="001567D0"/>
    <w:rsid w:val="00157759"/>
    <w:rsid w:val="0015786A"/>
    <w:rsid w:val="00157C3E"/>
    <w:rsid w:val="00160D27"/>
    <w:rsid w:val="00160F54"/>
    <w:rsid w:val="00161B42"/>
    <w:rsid w:val="00162B37"/>
    <w:rsid w:val="0016348C"/>
    <w:rsid w:val="0016473A"/>
    <w:rsid w:val="00164BE7"/>
    <w:rsid w:val="00164DBA"/>
    <w:rsid w:val="00164DC2"/>
    <w:rsid w:val="001650A8"/>
    <w:rsid w:val="001652B4"/>
    <w:rsid w:val="00165468"/>
    <w:rsid w:val="0016546B"/>
    <w:rsid w:val="00165AC4"/>
    <w:rsid w:val="00165F11"/>
    <w:rsid w:val="00167B5A"/>
    <w:rsid w:val="00167BB4"/>
    <w:rsid w:val="0017016C"/>
    <w:rsid w:val="00170479"/>
    <w:rsid w:val="00170D47"/>
    <w:rsid w:val="0017129E"/>
    <w:rsid w:val="00171543"/>
    <w:rsid w:val="00171C73"/>
    <w:rsid w:val="00172E31"/>
    <w:rsid w:val="00172F5D"/>
    <w:rsid w:val="00173B17"/>
    <w:rsid w:val="00173B6E"/>
    <w:rsid w:val="00173C62"/>
    <w:rsid w:val="00173DFC"/>
    <w:rsid w:val="0017472F"/>
    <w:rsid w:val="0017491B"/>
    <w:rsid w:val="00174C8F"/>
    <w:rsid w:val="00174EBF"/>
    <w:rsid w:val="00174ECE"/>
    <w:rsid w:val="001750DB"/>
    <w:rsid w:val="0017518A"/>
    <w:rsid w:val="00175227"/>
    <w:rsid w:val="00175E7C"/>
    <w:rsid w:val="001779BC"/>
    <w:rsid w:val="00180CD7"/>
    <w:rsid w:val="001812DE"/>
    <w:rsid w:val="001822E1"/>
    <w:rsid w:val="00183192"/>
    <w:rsid w:val="00183E73"/>
    <w:rsid w:val="00184492"/>
    <w:rsid w:val="00184934"/>
    <w:rsid w:val="00186FBA"/>
    <w:rsid w:val="001879BC"/>
    <w:rsid w:val="00190021"/>
    <w:rsid w:val="00191573"/>
    <w:rsid w:val="00192693"/>
    <w:rsid w:val="00193169"/>
    <w:rsid w:val="0019325C"/>
    <w:rsid w:val="00193712"/>
    <w:rsid w:val="00193F31"/>
    <w:rsid w:val="00194234"/>
    <w:rsid w:val="0019451B"/>
    <w:rsid w:val="00195605"/>
    <w:rsid w:val="0019568E"/>
    <w:rsid w:val="001959BD"/>
    <w:rsid w:val="00196AFF"/>
    <w:rsid w:val="00197075"/>
    <w:rsid w:val="00197791"/>
    <w:rsid w:val="00197C67"/>
    <w:rsid w:val="001A00C1"/>
    <w:rsid w:val="001A0391"/>
    <w:rsid w:val="001A041B"/>
    <w:rsid w:val="001A20AA"/>
    <w:rsid w:val="001A2212"/>
    <w:rsid w:val="001A2499"/>
    <w:rsid w:val="001A2FD7"/>
    <w:rsid w:val="001A308A"/>
    <w:rsid w:val="001A4F94"/>
    <w:rsid w:val="001A594A"/>
    <w:rsid w:val="001A5CD8"/>
    <w:rsid w:val="001A6457"/>
    <w:rsid w:val="001A656E"/>
    <w:rsid w:val="001A7273"/>
    <w:rsid w:val="001A7558"/>
    <w:rsid w:val="001A7D24"/>
    <w:rsid w:val="001B053D"/>
    <w:rsid w:val="001B0765"/>
    <w:rsid w:val="001B07E0"/>
    <w:rsid w:val="001B091A"/>
    <w:rsid w:val="001B09A6"/>
    <w:rsid w:val="001B09DA"/>
    <w:rsid w:val="001B0CBC"/>
    <w:rsid w:val="001B0E3A"/>
    <w:rsid w:val="001B1309"/>
    <w:rsid w:val="001B1629"/>
    <w:rsid w:val="001B2181"/>
    <w:rsid w:val="001B2D50"/>
    <w:rsid w:val="001B4871"/>
    <w:rsid w:val="001B65A6"/>
    <w:rsid w:val="001B6D87"/>
    <w:rsid w:val="001C057A"/>
    <w:rsid w:val="001C0ADA"/>
    <w:rsid w:val="001C0BDD"/>
    <w:rsid w:val="001C2194"/>
    <w:rsid w:val="001C318A"/>
    <w:rsid w:val="001C3706"/>
    <w:rsid w:val="001C38A1"/>
    <w:rsid w:val="001C3B8B"/>
    <w:rsid w:val="001C3C50"/>
    <w:rsid w:val="001C566E"/>
    <w:rsid w:val="001C58CC"/>
    <w:rsid w:val="001C5BE4"/>
    <w:rsid w:val="001C5EF4"/>
    <w:rsid w:val="001C5FF8"/>
    <w:rsid w:val="001C61FF"/>
    <w:rsid w:val="001C7130"/>
    <w:rsid w:val="001C77DD"/>
    <w:rsid w:val="001C7BF6"/>
    <w:rsid w:val="001C7C4D"/>
    <w:rsid w:val="001D0DC4"/>
    <w:rsid w:val="001D204D"/>
    <w:rsid w:val="001D2565"/>
    <w:rsid w:val="001D260C"/>
    <w:rsid w:val="001D397D"/>
    <w:rsid w:val="001D41F1"/>
    <w:rsid w:val="001D4275"/>
    <w:rsid w:val="001D4DF8"/>
    <w:rsid w:val="001D55F9"/>
    <w:rsid w:val="001D5949"/>
    <w:rsid w:val="001D636C"/>
    <w:rsid w:val="001D6642"/>
    <w:rsid w:val="001D6D38"/>
    <w:rsid w:val="001D77BF"/>
    <w:rsid w:val="001D7859"/>
    <w:rsid w:val="001D7F9A"/>
    <w:rsid w:val="001E0460"/>
    <w:rsid w:val="001E060F"/>
    <w:rsid w:val="001E0613"/>
    <w:rsid w:val="001E0775"/>
    <w:rsid w:val="001E1114"/>
    <w:rsid w:val="001E1345"/>
    <w:rsid w:val="001E142F"/>
    <w:rsid w:val="001E1E7C"/>
    <w:rsid w:val="001E1F7D"/>
    <w:rsid w:val="001E23CC"/>
    <w:rsid w:val="001E2974"/>
    <w:rsid w:val="001E3931"/>
    <w:rsid w:val="001E447A"/>
    <w:rsid w:val="001E486C"/>
    <w:rsid w:val="001E50EA"/>
    <w:rsid w:val="001E5131"/>
    <w:rsid w:val="001E77C7"/>
    <w:rsid w:val="001E7D22"/>
    <w:rsid w:val="001E7DA7"/>
    <w:rsid w:val="001F0066"/>
    <w:rsid w:val="001F03FC"/>
    <w:rsid w:val="001F0581"/>
    <w:rsid w:val="001F05C0"/>
    <w:rsid w:val="001F0803"/>
    <w:rsid w:val="001F1468"/>
    <w:rsid w:val="001F1531"/>
    <w:rsid w:val="001F187E"/>
    <w:rsid w:val="001F1D54"/>
    <w:rsid w:val="001F2977"/>
    <w:rsid w:val="001F2D4E"/>
    <w:rsid w:val="001F2E35"/>
    <w:rsid w:val="001F36A0"/>
    <w:rsid w:val="001F3CAE"/>
    <w:rsid w:val="001F3D8E"/>
    <w:rsid w:val="001F6B28"/>
    <w:rsid w:val="001F7561"/>
    <w:rsid w:val="001F7976"/>
    <w:rsid w:val="001F7FC2"/>
    <w:rsid w:val="0020161E"/>
    <w:rsid w:val="00201FE1"/>
    <w:rsid w:val="0020229A"/>
    <w:rsid w:val="00202F97"/>
    <w:rsid w:val="00203048"/>
    <w:rsid w:val="00203FBE"/>
    <w:rsid w:val="002053DD"/>
    <w:rsid w:val="00205A8A"/>
    <w:rsid w:val="00206AB2"/>
    <w:rsid w:val="00207AFE"/>
    <w:rsid w:val="00207F92"/>
    <w:rsid w:val="002101BB"/>
    <w:rsid w:val="00210A60"/>
    <w:rsid w:val="00211100"/>
    <w:rsid w:val="00211E3E"/>
    <w:rsid w:val="00212B52"/>
    <w:rsid w:val="002130C1"/>
    <w:rsid w:val="00213264"/>
    <w:rsid w:val="00213914"/>
    <w:rsid w:val="00213BDE"/>
    <w:rsid w:val="00214970"/>
    <w:rsid w:val="00214D52"/>
    <w:rsid w:val="00214EC6"/>
    <w:rsid w:val="00215B90"/>
    <w:rsid w:val="00215F5A"/>
    <w:rsid w:val="002169E8"/>
    <w:rsid w:val="00216A84"/>
    <w:rsid w:val="00216E31"/>
    <w:rsid w:val="002172D6"/>
    <w:rsid w:val="00217A1B"/>
    <w:rsid w:val="002204A3"/>
    <w:rsid w:val="002209DE"/>
    <w:rsid w:val="0022100D"/>
    <w:rsid w:val="00221808"/>
    <w:rsid w:val="0022241E"/>
    <w:rsid w:val="002235CA"/>
    <w:rsid w:val="00223928"/>
    <w:rsid w:val="00223968"/>
    <w:rsid w:val="00223AC3"/>
    <w:rsid w:val="0022426E"/>
    <w:rsid w:val="002253F7"/>
    <w:rsid w:val="00226087"/>
    <w:rsid w:val="002265CC"/>
    <w:rsid w:val="00227680"/>
    <w:rsid w:val="0023099F"/>
    <w:rsid w:val="002309C2"/>
    <w:rsid w:val="00230D61"/>
    <w:rsid w:val="00230F16"/>
    <w:rsid w:val="00231437"/>
    <w:rsid w:val="00232418"/>
    <w:rsid w:val="00232962"/>
    <w:rsid w:val="00232E52"/>
    <w:rsid w:val="00233F36"/>
    <w:rsid w:val="002341F8"/>
    <w:rsid w:val="002346DB"/>
    <w:rsid w:val="00234C6F"/>
    <w:rsid w:val="00234E67"/>
    <w:rsid w:val="00234F35"/>
    <w:rsid w:val="00234F48"/>
    <w:rsid w:val="0023625A"/>
    <w:rsid w:val="00236918"/>
    <w:rsid w:val="0023769E"/>
    <w:rsid w:val="002376B6"/>
    <w:rsid w:val="0023795E"/>
    <w:rsid w:val="00237B60"/>
    <w:rsid w:val="0024005C"/>
    <w:rsid w:val="002400E6"/>
    <w:rsid w:val="00241917"/>
    <w:rsid w:val="00242380"/>
    <w:rsid w:val="002423C2"/>
    <w:rsid w:val="00242CFB"/>
    <w:rsid w:val="00243294"/>
    <w:rsid w:val="00243730"/>
    <w:rsid w:val="002437F9"/>
    <w:rsid w:val="0024456B"/>
    <w:rsid w:val="00245436"/>
    <w:rsid w:val="00245747"/>
    <w:rsid w:val="00245933"/>
    <w:rsid w:val="00246473"/>
    <w:rsid w:val="0024690C"/>
    <w:rsid w:val="00246913"/>
    <w:rsid w:val="00246FA7"/>
    <w:rsid w:val="002470CD"/>
    <w:rsid w:val="00247A69"/>
    <w:rsid w:val="00250982"/>
    <w:rsid w:val="00251183"/>
    <w:rsid w:val="002516EE"/>
    <w:rsid w:val="00251D3D"/>
    <w:rsid w:val="00252625"/>
    <w:rsid w:val="00253A46"/>
    <w:rsid w:val="00253B4E"/>
    <w:rsid w:val="002543D0"/>
    <w:rsid w:val="00254988"/>
    <w:rsid w:val="00254CD9"/>
    <w:rsid w:val="00254E57"/>
    <w:rsid w:val="00254EFF"/>
    <w:rsid w:val="00255695"/>
    <w:rsid w:val="0025579B"/>
    <w:rsid w:val="0025707E"/>
    <w:rsid w:val="00257764"/>
    <w:rsid w:val="002578D8"/>
    <w:rsid w:val="00257EED"/>
    <w:rsid w:val="0026073B"/>
    <w:rsid w:val="00260C2D"/>
    <w:rsid w:val="00261A62"/>
    <w:rsid w:val="00261B4D"/>
    <w:rsid w:val="0026229C"/>
    <w:rsid w:val="00262464"/>
    <w:rsid w:val="00262CEA"/>
    <w:rsid w:val="00263E02"/>
    <w:rsid w:val="0026449D"/>
    <w:rsid w:val="0026493D"/>
    <w:rsid w:val="00264DCB"/>
    <w:rsid w:val="00264F6C"/>
    <w:rsid w:val="002651F6"/>
    <w:rsid w:val="002665ED"/>
    <w:rsid w:val="00266C60"/>
    <w:rsid w:val="00266D99"/>
    <w:rsid w:val="0026703D"/>
    <w:rsid w:val="00270F2A"/>
    <w:rsid w:val="00272701"/>
    <w:rsid w:val="002730CD"/>
    <w:rsid w:val="002738C6"/>
    <w:rsid w:val="00273E45"/>
    <w:rsid w:val="00273FB9"/>
    <w:rsid w:val="002740A4"/>
    <w:rsid w:val="00274568"/>
    <w:rsid w:val="002749DA"/>
    <w:rsid w:val="00275010"/>
    <w:rsid w:val="0027593C"/>
    <w:rsid w:val="00275C46"/>
    <w:rsid w:val="00276A99"/>
    <w:rsid w:val="00276AA7"/>
    <w:rsid w:val="0027781A"/>
    <w:rsid w:val="0027791B"/>
    <w:rsid w:val="00277E90"/>
    <w:rsid w:val="00280979"/>
    <w:rsid w:val="0028118C"/>
    <w:rsid w:val="00281B0E"/>
    <w:rsid w:val="00282000"/>
    <w:rsid w:val="0028385F"/>
    <w:rsid w:val="00283DF8"/>
    <w:rsid w:val="0028471A"/>
    <w:rsid w:val="00285E30"/>
    <w:rsid w:val="002861E8"/>
    <w:rsid w:val="00286941"/>
    <w:rsid w:val="00286E0F"/>
    <w:rsid w:val="00287E8B"/>
    <w:rsid w:val="00290D42"/>
    <w:rsid w:val="00290D86"/>
    <w:rsid w:val="002919F1"/>
    <w:rsid w:val="00292736"/>
    <w:rsid w:val="00293CC6"/>
    <w:rsid w:val="002941ED"/>
    <w:rsid w:val="002945C4"/>
    <w:rsid w:val="00295B13"/>
    <w:rsid w:val="002964EC"/>
    <w:rsid w:val="00296635"/>
    <w:rsid w:val="00296715"/>
    <w:rsid w:val="00296B0A"/>
    <w:rsid w:val="00296E2E"/>
    <w:rsid w:val="00296FA6"/>
    <w:rsid w:val="00297AB2"/>
    <w:rsid w:val="00297B28"/>
    <w:rsid w:val="00297CD4"/>
    <w:rsid w:val="002A02E1"/>
    <w:rsid w:val="002A033E"/>
    <w:rsid w:val="002A04A6"/>
    <w:rsid w:val="002A05D9"/>
    <w:rsid w:val="002A0B6B"/>
    <w:rsid w:val="002A155E"/>
    <w:rsid w:val="002A20ED"/>
    <w:rsid w:val="002A27C9"/>
    <w:rsid w:val="002A29CB"/>
    <w:rsid w:val="002A380A"/>
    <w:rsid w:val="002A3E4C"/>
    <w:rsid w:val="002A414E"/>
    <w:rsid w:val="002A41E2"/>
    <w:rsid w:val="002A42E3"/>
    <w:rsid w:val="002A4D60"/>
    <w:rsid w:val="002A53A6"/>
    <w:rsid w:val="002A5411"/>
    <w:rsid w:val="002A6480"/>
    <w:rsid w:val="002A72E7"/>
    <w:rsid w:val="002B04FF"/>
    <w:rsid w:val="002B1040"/>
    <w:rsid w:val="002B1672"/>
    <w:rsid w:val="002B3426"/>
    <w:rsid w:val="002B3869"/>
    <w:rsid w:val="002B4223"/>
    <w:rsid w:val="002B48B0"/>
    <w:rsid w:val="002B4B3D"/>
    <w:rsid w:val="002B6034"/>
    <w:rsid w:val="002C0251"/>
    <w:rsid w:val="002C0292"/>
    <w:rsid w:val="002C2FC7"/>
    <w:rsid w:val="002C3D8A"/>
    <w:rsid w:val="002C3E50"/>
    <w:rsid w:val="002C47ED"/>
    <w:rsid w:val="002C4854"/>
    <w:rsid w:val="002C4AE6"/>
    <w:rsid w:val="002C4E67"/>
    <w:rsid w:val="002C5866"/>
    <w:rsid w:val="002C72C1"/>
    <w:rsid w:val="002C78D8"/>
    <w:rsid w:val="002C7E8F"/>
    <w:rsid w:val="002D0463"/>
    <w:rsid w:val="002D06B4"/>
    <w:rsid w:val="002D0D85"/>
    <w:rsid w:val="002D1185"/>
    <w:rsid w:val="002D140A"/>
    <w:rsid w:val="002D1A05"/>
    <w:rsid w:val="002D1DCA"/>
    <w:rsid w:val="002D203C"/>
    <w:rsid w:val="002D2604"/>
    <w:rsid w:val="002D307B"/>
    <w:rsid w:val="002D34CB"/>
    <w:rsid w:val="002D3BDC"/>
    <w:rsid w:val="002D3EC9"/>
    <w:rsid w:val="002D4178"/>
    <w:rsid w:val="002D436D"/>
    <w:rsid w:val="002D4426"/>
    <w:rsid w:val="002D4622"/>
    <w:rsid w:val="002D494B"/>
    <w:rsid w:val="002D4F6A"/>
    <w:rsid w:val="002D52E9"/>
    <w:rsid w:val="002D54F2"/>
    <w:rsid w:val="002D5B68"/>
    <w:rsid w:val="002D616A"/>
    <w:rsid w:val="002D6260"/>
    <w:rsid w:val="002D635F"/>
    <w:rsid w:val="002D64B9"/>
    <w:rsid w:val="002D6A5F"/>
    <w:rsid w:val="002D71F1"/>
    <w:rsid w:val="002D7496"/>
    <w:rsid w:val="002D750A"/>
    <w:rsid w:val="002E0599"/>
    <w:rsid w:val="002E1E8E"/>
    <w:rsid w:val="002E2700"/>
    <w:rsid w:val="002E30D6"/>
    <w:rsid w:val="002E3223"/>
    <w:rsid w:val="002E3F05"/>
    <w:rsid w:val="002E3F75"/>
    <w:rsid w:val="002E48E8"/>
    <w:rsid w:val="002E4B25"/>
    <w:rsid w:val="002E4F54"/>
    <w:rsid w:val="002E59C3"/>
    <w:rsid w:val="002E5FF6"/>
    <w:rsid w:val="002E68D9"/>
    <w:rsid w:val="002E6C8A"/>
    <w:rsid w:val="002E70D5"/>
    <w:rsid w:val="002E724B"/>
    <w:rsid w:val="002E786A"/>
    <w:rsid w:val="002E796A"/>
    <w:rsid w:val="002E7BB3"/>
    <w:rsid w:val="002E7E73"/>
    <w:rsid w:val="002F03B7"/>
    <w:rsid w:val="002F12CF"/>
    <w:rsid w:val="002F13F9"/>
    <w:rsid w:val="002F179E"/>
    <w:rsid w:val="002F23AD"/>
    <w:rsid w:val="002F269D"/>
    <w:rsid w:val="002F29C0"/>
    <w:rsid w:val="002F3120"/>
    <w:rsid w:val="002F38B6"/>
    <w:rsid w:val="002F3D9A"/>
    <w:rsid w:val="002F3F6E"/>
    <w:rsid w:val="002F4438"/>
    <w:rsid w:val="002F44A8"/>
    <w:rsid w:val="002F450F"/>
    <w:rsid w:val="002F4DB3"/>
    <w:rsid w:val="002F5701"/>
    <w:rsid w:val="002F5E51"/>
    <w:rsid w:val="002F6A67"/>
    <w:rsid w:val="002F7953"/>
    <w:rsid w:val="002F7E5A"/>
    <w:rsid w:val="00300835"/>
    <w:rsid w:val="00300D09"/>
    <w:rsid w:val="00301246"/>
    <w:rsid w:val="003015A2"/>
    <w:rsid w:val="003020E0"/>
    <w:rsid w:val="003027FB"/>
    <w:rsid w:val="00302CA8"/>
    <w:rsid w:val="00302F6F"/>
    <w:rsid w:val="0030423E"/>
    <w:rsid w:val="00306A46"/>
    <w:rsid w:val="00306F13"/>
    <w:rsid w:val="0030786B"/>
    <w:rsid w:val="0030786F"/>
    <w:rsid w:val="00307ADD"/>
    <w:rsid w:val="0031001C"/>
    <w:rsid w:val="0031072D"/>
    <w:rsid w:val="00310E3A"/>
    <w:rsid w:val="00311540"/>
    <w:rsid w:val="00313F09"/>
    <w:rsid w:val="003142CB"/>
    <w:rsid w:val="00314652"/>
    <w:rsid w:val="00314713"/>
    <w:rsid w:val="00314EB8"/>
    <w:rsid w:val="00315C08"/>
    <w:rsid w:val="003164E3"/>
    <w:rsid w:val="0031674B"/>
    <w:rsid w:val="00320434"/>
    <w:rsid w:val="0032085D"/>
    <w:rsid w:val="00320976"/>
    <w:rsid w:val="003210CC"/>
    <w:rsid w:val="00321382"/>
    <w:rsid w:val="00321949"/>
    <w:rsid w:val="00321AF2"/>
    <w:rsid w:val="00321B2B"/>
    <w:rsid w:val="00321B77"/>
    <w:rsid w:val="00322320"/>
    <w:rsid w:val="0032281E"/>
    <w:rsid w:val="00322C65"/>
    <w:rsid w:val="00322FFF"/>
    <w:rsid w:val="003233E5"/>
    <w:rsid w:val="003237DC"/>
    <w:rsid w:val="00323B14"/>
    <w:rsid w:val="003243A3"/>
    <w:rsid w:val="00324CE5"/>
    <w:rsid w:val="00325DA4"/>
    <w:rsid w:val="00326267"/>
    <w:rsid w:val="00327290"/>
    <w:rsid w:val="003277DB"/>
    <w:rsid w:val="003304D2"/>
    <w:rsid w:val="00331F9E"/>
    <w:rsid w:val="00332113"/>
    <w:rsid w:val="0033242B"/>
    <w:rsid w:val="00332969"/>
    <w:rsid w:val="00332E2C"/>
    <w:rsid w:val="00333BED"/>
    <w:rsid w:val="00333EAB"/>
    <w:rsid w:val="00334DDA"/>
    <w:rsid w:val="0033526D"/>
    <w:rsid w:val="0033663E"/>
    <w:rsid w:val="00337520"/>
    <w:rsid w:val="003377E4"/>
    <w:rsid w:val="003378F6"/>
    <w:rsid w:val="0033792D"/>
    <w:rsid w:val="003379B6"/>
    <w:rsid w:val="00337BFA"/>
    <w:rsid w:val="00337DD1"/>
    <w:rsid w:val="0034022B"/>
    <w:rsid w:val="003402BE"/>
    <w:rsid w:val="00340833"/>
    <w:rsid w:val="00340D11"/>
    <w:rsid w:val="003411B4"/>
    <w:rsid w:val="0034200E"/>
    <w:rsid w:val="0034225F"/>
    <w:rsid w:val="003423FB"/>
    <w:rsid w:val="00343D1C"/>
    <w:rsid w:val="00344380"/>
    <w:rsid w:val="003446E9"/>
    <w:rsid w:val="00344AA2"/>
    <w:rsid w:val="00344EEC"/>
    <w:rsid w:val="00345162"/>
    <w:rsid w:val="00345E57"/>
    <w:rsid w:val="00346597"/>
    <w:rsid w:val="00346CD5"/>
    <w:rsid w:val="0034732B"/>
    <w:rsid w:val="00347644"/>
    <w:rsid w:val="00347A57"/>
    <w:rsid w:val="00347D50"/>
    <w:rsid w:val="0035082C"/>
    <w:rsid w:val="00350E9F"/>
    <w:rsid w:val="00351867"/>
    <w:rsid w:val="00351EB9"/>
    <w:rsid w:val="00351FDF"/>
    <w:rsid w:val="00352816"/>
    <w:rsid w:val="0035298A"/>
    <w:rsid w:val="00352C3F"/>
    <w:rsid w:val="00353582"/>
    <w:rsid w:val="00354229"/>
    <w:rsid w:val="00355250"/>
    <w:rsid w:val="003552D4"/>
    <w:rsid w:val="0035551B"/>
    <w:rsid w:val="00355B81"/>
    <w:rsid w:val="0035666A"/>
    <w:rsid w:val="0035685F"/>
    <w:rsid w:val="00356D90"/>
    <w:rsid w:val="003571FA"/>
    <w:rsid w:val="003574FA"/>
    <w:rsid w:val="003605CA"/>
    <w:rsid w:val="00361584"/>
    <w:rsid w:val="0036173D"/>
    <w:rsid w:val="00361B40"/>
    <w:rsid w:val="00361C31"/>
    <w:rsid w:val="0036200C"/>
    <w:rsid w:val="00362780"/>
    <w:rsid w:val="00362E58"/>
    <w:rsid w:val="00363184"/>
    <w:rsid w:val="003631D1"/>
    <w:rsid w:val="00363775"/>
    <w:rsid w:val="003640A3"/>
    <w:rsid w:val="00364101"/>
    <w:rsid w:val="00364692"/>
    <w:rsid w:val="00365830"/>
    <w:rsid w:val="00365917"/>
    <w:rsid w:val="00365A12"/>
    <w:rsid w:val="00365BE3"/>
    <w:rsid w:val="003663D8"/>
    <w:rsid w:val="00366B8C"/>
    <w:rsid w:val="003675A8"/>
    <w:rsid w:val="00367714"/>
    <w:rsid w:val="0037030F"/>
    <w:rsid w:val="003703CE"/>
    <w:rsid w:val="00370D8B"/>
    <w:rsid w:val="00371507"/>
    <w:rsid w:val="003718A7"/>
    <w:rsid w:val="00372CBD"/>
    <w:rsid w:val="00372D14"/>
    <w:rsid w:val="00373547"/>
    <w:rsid w:val="003739AA"/>
    <w:rsid w:val="00373C3F"/>
    <w:rsid w:val="00373C7E"/>
    <w:rsid w:val="00373F9A"/>
    <w:rsid w:val="00374764"/>
    <w:rsid w:val="00375BE7"/>
    <w:rsid w:val="00376B0F"/>
    <w:rsid w:val="003773F2"/>
    <w:rsid w:val="00377B92"/>
    <w:rsid w:val="00377B94"/>
    <w:rsid w:val="003800E2"/>
    <w:rsid w:val="003804B1"/>
    <w:rsid w:val="00381242"/>
    <w:rsid w:val="0038157E"/>
    <w:rsid w:val="00381D0F"/>
    <w:rsid w:val="00381DE5"/>
    <w:rsid w:val="00382434"/>
    <w:rsid w:val="00382E36"/>
    <w:rsid w:val="003848B1"/>
    <w:rsid w:val="00384ED6"/>
    <w:rsid w:val="00385006"/>
    <w:rsid w:val="00385579"/>
    <w:rsid w:val="00385CF6"/>
    <w:rsid w:val="00386437"/>
    <w:rsid w:val="00386BC7"/>
    <w:rsid w:val="00387DE2"/>
    <w:rsid w:val="0039031B"/>
    <w:rsid w:val="00390810"/>
    <w:rsid w:val="00390B8B"/>
    <w:rsid w:val="00391307"/>
    <w:rsid w:val="00392844"/>
    <w:rsid w:val="00392990"/>
    <w:rsid w:val="0039447D"/>
    <w:rsid w:val="00394779"/>
    <w:rsid w:val="003947BF"/>
    <w:rsid w:val="00395DFD"/>
    <w:rsid w:val="0039615F"/>
    <w:rsid w:val="00396313"/>
    <w:rsid w:val="00396697"/>
    <w:rsid w:val="0039673B"/>
    <w:rsid w:val="00396FE4"/>
    <w:rsid w:val="00397C50"/>
    <w:rsid w:val="00397D1B"/>
    <w:rsid w:val="003A0085"/>
    <w:rsid w:val="003A01AE"/>
    <w:rsid w:val="003A0313"/>
    <w:rsid w:val="003A0790"/>
    <w:rsid w:val="003A0CB9"/>
    <w:rsid w:val="003A0E19"/>
    <w:rsid w:val="003A0F42"/>
    <w:rsid w:val="003A1665"/>
    <w:rsid w:val="003A1928"/>
    <w:rsid w:val="003A1FB4"/>
    <w:rsid w:val="003A23DB"/>
    <w:rsid w:val="003A2561"/>
    <w:rsid w:val="003A269B"/>
    <w:rsid w:val="003A3548"/>
    <w:rsid w:val="003A367D"/>
    <w:rsid w:val="003A3A10"/>
    <w:rsid w:val="003A463D"/>
    <w:rsid w:val="003A5026"/>
    <w:rsid w:val="003A54CA"/>
    <w:rsid w:val="003A54EC"/>
    <w:rsid w:val="003A56C5"/>
    <w:rsid w:val="003A60E8"/>
    <w:rsid w:val="003A64C9"/>
    <w:rsid w:val="003A6ED6"/>
    <w:rsid w:val="003A6EDD"/>
    <w:rsid w:val="003A793D"/>
    <w:rsid w:val="003B0110"/>
    <w:rsid w:val="003B0573"/>
    <w:rsid w:val="003B1034"/>
    <w:rsid w:val="003B1DD8"/>
    <w:rsid w:val="003B1EFC"/>
    <w:rsid w:val="003B2C36"/>
    <w:rsid w:val="003B2D29"/>
    <w:rsid w:val="003B2DE0"/>
    <w:rsid w:val="003B3ACE"/>
    <w:rsid w:val="003B3B38"/>
    <w:rsid w:val="003B428A"/>
    <w:rsid w:val="003B49E4"/>
    <w:rsid w:val="003B4A1F"/>
    <w:rsid w:val="003B4F6D"/>
    <w:rsid w:val="003B528B"/>
    <w:rsid w:val="003B54C7"/>
    <w:rsid w:val="003B5608"/>
    <w:rsid w:val="003B5622"/>
    <w:rsid w:val="003B6F8B"/>
    <w:rsid w:val="003B7156"/>
    <w:rsid w:val="003B7524"/>
    <w:rsid w:val="003B760B"/>
    <w:rsid w:val="003C060F"/>
    <w:rsid w:val="003C075C"/>
    <w:rsid w:val="003C0D92"/>
    <w:rsid w:val="003C0DF1"/>
    <w:rsid w:val="003C20C9"/>
    <w:rsid w:val="003C35F8"/>
    <w:rsid w:val="003C3A14"/>
    <w:rsid w:val="003C40D7"/>
    <w:rsid w:val="003C42BE"/>
    <w:rsid w:val="003C4599"/>
    <w:rsid w:val="003C46C0"/>
    <w:rsid w:val="003C4E9C"/>
    <w:rsid w:val="003C5975"/>
    <w:rsid w:val="003C6D8E"/>
    <w:rsid w:val="003C6F44"/>
    <w:rsid w:val="003C7290"/>
    <w:rsid w:val="003C74B4"/>
    <w:rsid w:val="003C76B2"/>
    <w:rsid w:val="003C785A"/>
    <w:rsid w:val="003C7EF1"/>
    <w:rsid w:val="003D130B"/>
    <w:rsid w:val="003D139F"/>
    <w:rsid w:val="003D2367"/>
    <w:rsid w:val="003D26A6"/>
    <w:rsid w:val="003D295D"/>
    <w:rsid w:val="003D2EA8"/>
    <w:rsid w:val="003D2F08"/>
    <w:rsid w:val="003D3D85"/>
    <w:rsid w:val="003D4381"/>
    <w:rsid w:val="003D4542"/>
    <w:rsid w:val="003D4EFC"/>
    <w:rsid w:val="003D5332"/>
    <w:rsid w:val="003D6C2F"/>
    <w:rsid w:val="003D6D58"/>
    <w:rsid w:val="003D7FD0"/>
    <w:rsid w:val="003E0545"/>
    <w:rsid w:val="003E0F70"/>
    <w:rsid w:val="003E24EA"/>
    <w:rsid w:val="003E2957"/>
    <w:rsid w:val="003E2F4A"/>
    <w:rsid w:val="003E36B6"/>
    <w:rsid w:val="003E3ADD"/>
    <w:rsid w:val="003E45E8"/>
    <w:rsid w:val="003E4764"/>
    <w:rsid w:val="003E4A0B"/>
    <w:rsid w:val="003E521C"/>
    <w:rsid w:val="003E5F73"/>
    <w:rsid w:val="003E63AC"/>
    <w:rsid w:val="003E63C2"/>
    <w:rsid w:val="003E64CD"/>
    <w:rsid w:val="003E6788"/>
    <w:rsid w:val="003E754A"/>
    <w:rsid w:val="003E7624"/>
    <w:rsid w:val="003F018C"/>
    <w:rsid w:val="003F01F3"/>
    <w:rsid w:val="003F09BA"/>
    <w:rsid w:val="003F0B99"/>
    <w:rsid w:val="003F0E59"/>
    <w:rsid w:val="003F197A"/>
    <w:rsid w:val="003F3BF3"/>
    <w:rsid w:val="003F462F"/>
    <w:rsid w:val="003F5B4E"/>
    <w:rsid w:val="003F6BE7"/>
    <w:rsid w:val="003F7FBE"/>
    <w:rsid w:val="004008D2"/>
    <w:rsid w:val="00400A31"/>
    <w:rsid w:val="0040158D"/>
    <w:rsid w:val="0040188D"/>
    <w:rsid w:val="00401DC8"/>
    <w:rsid w:val="00402DEF"/>
    <w:rsid w:val="00403234"/>
    <w:rsid w:val="00404108"/>
    <w:rsid w:val="00404F05"/>
    <w:rsid w:val="00404F42"/>
    <w:rsid w:val="00405E30"/>
    <w:rsid w:val="0040616D"/>
    <w:rsid w:val="0040676E"/>
    <w:rsid w:val="00406923"/>
    <w:rsid w:val="00407776"/>
    <w:rsid w:val="0041008C"/>
    <w:rsid w:val="004102F8"/>
    <w:rsid w:val="0041032D"/>
    <w:rsid w:val="004108FF"/>
    <w:rsid w:val="00411184"/>
    <w:rsid w:val="004112E3"/>
    <w:rsid w:val="00411ECB"/>
    <w:rsid w:val="00412A22"/>
    <w:rsid w:val="00412D3E"/>
    <w:rsid w:val="004138A7"/>
    <w:rsid w:val="00413A73"/>
    <w:rsid w:val="00413B22"/>
    <w:rsid w:val="00414491"/>
    <w:rsid w:val="00414F15"/>
    <w:rsid w:val="004158AA"/>
    <w:rsid w:val="004159A7"/>
    <w:rsid w:val="004163D1"/>
    <w:rsid w:val="00416FFF"/>
    <w:rsid w:val="00417B55"/>
    <w:rsid w:val="00420462"/>
    <w:rsid w:val="0042067C"/>
    <w:rsid w:val="004225C0"/>
    <w:rsid w:val="0042348C"/>
    <w:rsid w:val="004236B7"/>
    <w:rsid w:val="0042399B"/>
    <w:rsid w:val="0042504D"/>
    <w:rsid w:val="0042517A"/>
    <w:rsid w:val="0042610A"/>
    <w:rsid w:val="004263DD"/>
    <w:rsid w:val="00427140"/>
    <w:rsid w:val="00427A9D"/>
    <w:rsid w:val="00430E10"/>
    <w:rsid w:val="00431021"/>
    <w:rsid w:val="0043126A"/>
    <w:rsid w:val="004315A6"/>
    <w:rsid w:val="00431E90"/>
    <w:rsid w:val="00432602"/>
    <w:rsid w:val="00432B1E"/>
    <w:rsid w:val="00432DF3"/>
    <w:rsid w:val="00433693"/>
    <w:rsid w:val="0043380F"/>
    <w:rsid w:val="00434260"/>
    <w:rsid w:val="004343C6"/>
    <w:rsid w:val="00434441"/>
    <w:rsid w:val="0043494A"/>
    <w:rsid w:val="0043552E"/>
    <w:rsid w:val="00436996"/>
    <w:rsid w:val="004370E8"/>
    <w:rsid w:val="00437849"/>
    <w:rsid w:val="00437CC8"/>
    <w:rsid w:val="00440B4D"/>
    <w:rsid w:val="00440D55"/>
    <w:rsid w:val="0044120F"/>
    <w:rsid w:val="0044146E"/>
    <w:rsid w:val="00441696"/>
    <w:rsid w:val="0044236C"/>
    <w:rsid w:val="00442C23"/>
    <w:rsid w:val="00443A63"/>
    <w:rsid w:val="004444FE"/>
    <w:rsid w:val="00445B9B"/>
    <w:rsid w:val="00446172"/>
    <w:rsid w:val="004462A3"/>
    <w:rsid w:val="004469AE"/>
    <w:rsid w:val="00446D3E"/>
    <w:rsid w:val="00446DAF"/>
    <w:rsid w:val="004472C4"/>
    <w:rsid w:val="004475C5"/>
    <w:rsid w:val="0044775E"/>
    <w:rsid w:val="00447E49"/>
    <w:rsid w:val="0045091A"/>
    <w:rsid w:val="00450988"/>
    <w:rsid w:val="00450A43"/>
    <w:rsid w:val="004511B4"/>
    <w:rsid w:val="00451B01"/>
    <w:rsid w:val="00452EDC"/>
    <w:rsid w:val="00452F24"/>
    <w:rsid w:val="00453278"/>
    <w:rsid w:val="00454018"/>
    <w:rsid w:val="004548FA"/>
    <w:rsid w:val="00454C29"/>
    <w:rsid w:val="00455CF9"/>
    <w:rsid w:val="0045613C"/>
    <w:rsid w:val="00456D6B"/>
    <w:rsid w:val="00456FFD"/>
    <w:rsid w:val="00457466"/>
    <w:rsid w:val="004574B7"/>
    <w:rsid w:val="004579D5"/>
    <w:rsid w:val="00457DD8"/>
    <w:rsid w:val="004609DA"/>
    <w:rsid w:val="0046101D"/>
    <w:rsid w:val="00461699"/>
    <w:rsid w:val="00461849"/>
    <w:rsid w:val="00461C68"/>
    <w:rsid w:val="00462590"/>
    <w:rsid w:val="00463089"/>
    <w:rsid w:val="004634A3"/>
    <w:rsid w:val="00464048"/>
    <w:rsid w:val="004643C0"/>
    <w:rsid w:val="00464948"/>
    <w:rsid w:val="00464FCF"/>
    <w:rsid w:val="004651B8"/>
    <w:rsid w:val="00465206"/>
    <w:rsid w:val="0046580B"/>
    <w:rsid w:val="004661F8"/>
    <w:rsid w:val="00466EED"/>
    <w:rsid w:val="00467E72"/>
    <w:rsid w:val="00467EFD"/>
    <w:rsid w:val="0047035C"/>
    <w:rsid w:val="00470636"/>
    <w:rsid w:val="004711BE"/>
    <w:rsid w:val="004712CC"/>
    <w:rsid w:val="004716A9"/>
    <w:rsid w:val="00471CD6"/>
    <w:rsid w:val="00471DAE"/>
    <w:rsid w:val="004724C4"/>
    <w:rsid w:val="00473818"/>
    <w:rsid w:val="00474025"/>
    <w:rsid w:val="004742B6"/>
    <w:rsid w:val="0047447E"/>
    <w:rsid w:val="004744FB"/>
    <w:rsid w:val="00474622"/>
    <w:rsid w:val="00474AD0"/>
    <w:rsid w:val="00475159"/>
    <w:rsid w:val="004751E6"/>
    <w:rsid w:val="0047571E"/>
    <w:rsid w:val="00475A8C"/>
    <w:rsid w:val="00475B92"/>
    <w:rsid w:val="004763AB"/>
    <w:rsid w:val="00476EC1"/>
    <w:rsid w:val="004776BE"/>
    <w:rsid w:val="00480563"/>
    <w:rsid w:val="00480AAB"/>
    <w:rsid w:val="004818C0"/>
    <w:rsid w:val="00481F55"/>
    <w:rsid w:val="0048276D"/>
    <w:rsid w:val="00482EB0"/>
    <w:rsid w:val="004832B9"/>
    <w:rsid w:val="00484220"/>
    <w:rsid w:val="00484575"/>
    <w:rsid w:val="0048472E"/>
    <w:rsid w:val="00484DFD"/>
    <w:rsid w:val="00485D93"/>
    <w:rsid w:val="00485F07"/>
    <w:rsid w:val="004862C8"/>
    <w:rsid w:val="004868D6"/>
    <w:rsid w:val="00486E27"/>
    <w:rsid w:val="0048727C"/>
    <w:rsid w:val="00487843"/>
    <w:rsid w:val="004907DD"/>
    <w:rsid w:val="0049096C"/>
    <w:rsid w:val="00491252"/>
    <w:rsid w:val="0049143A"/>
    <w:rsid w:val="0049176E"/>
    <w:rsid w:val="00491EE2"/>
    <w:rsid w:val="004922F0"/>
    <w:rsid w:val="004927FF"/>
    <w:rsid w:val="004928D9"/>
    <w:rsid w:val="00492B73"/>
    <w:rsid w:val="00493116"/>
    <w:rsid w:val="00493426"/>
    <w:rsid w:val="004937E8"/>
    <w:rsid w:val="00493E23"/>
    <w:rsid w:val="00494E4F"/>
    <w:rsid w:val="004956AD"/>
    <w:rsid w:val="0049619C"/>
    <w:rsid w:val="004962E9"/>
    <w:rsid w:val="00496FF2"/>
    <w:rsid w:val="0049731A"/>
    <w:rsid w:val="004A02B0"/>
    <w:rsid w:val="004A1806"/>
    <w:rsid w:val="004A1968"/>
    <w:rsid w:val="004A1EA1"/>
    <w:rsid w:val="004A37CD"/>
    <w:rsid w:val="004A383D"/>
    <w:rsid w:val="004A468E"/>
    <w:rsid w:val="004A4FE8"/>
    <w:rsid w:val="004A581D"/>
    <w:rsid w:val="004A5A06"/>
    <w:rsid w:val="004A63CC"/>
    <w:rsid w:val="004A6508"/>
    <w:rsid w:val="004A6819"/>
    <w:rsid w:val="004A7F47"/>
    <w:rsid w:val="004B08C4"/>
    <w:rsid w:val="004B0DD6"/>
    <w:rsid w:val="004B0E80"/>
    <w:rsid w:val="004B1421"/>
    <w:rsid w:val="004B2BDB"/>
    <w:rsid w:val="004B2F40"/>
    <w:rsid w:val="004B3290"/>
    <w:rsid w:val="004B3E28"/>
    <w:rsid w:val="004B4530"/>
    <w:rsid w:val="004B45BF"/>
    <w:rsid w:val="004B5119"/>
    <w:rsid w:val="004B5C5F"/>
    <w:rsid w:val="004B5EE2"/>
    <w:rsid w:val="004B6E2D"/>
    <w:rsid w:val="004B770C"/>
    <w:rsid w:val="004C0186"/>
    <w:rsid w:val="004C0BEF"/>
    <w:rsid w:val="004C248D"/>
    <w:rsid w:val="004C24F9"/>
    <w:rsid w:val="004C3192"/>
    <w:rsid w:val="004C39F9"/>
    <w:rsid w:val="004C3C81"/>
    <w:rsid w:val="004C3EAD"/>
    <w:rsid w:val="004C3F04"/>
    <w:rsid w:val="004C45CA"/>
    <w:rsid w:val="004C4AC2"/>
    <w:rsid w:val="004C5160"/>
    <w:rsid w:val="004C5CD9"/>
    <w:rsid w:val="004C6609"/>
    <w:rsid w:val="004C69D8"/>
    <w:rsid w:val="004C701E"/>
    <w:rsid w:val="004C75A4"/>
    <w:rsid w:val="004C7739"/>
    <w:rsid w:val="004C79F3"/>
    <w:rsid w:val="004D01EC"/>
    <w:rsid w:val="004D037A"/>
    <w:rsid w:val="004D0AF6"/>
    <w:rsid w:val="004D10BA"/>
    <w:rsid w:val="004D1892"/>
    <w:rsid w:val="004D1B97"/>
    <w:rsid w:val="004D1C16"/>
    <w:rsid w:val="004D2078"/>
    <w:rsid w:val="004D27EB"/>
    <w:rsid w:val="004D2A60"/>
    <w:rsid w:val="004D2D34"/>
    <w:rsid w:val="004D37A4"/>
    <w:rsid w:val="004D3988"/>
    <w:rsid w:val="004D3B5E"/>
    <w:rsid w:val="004D4143"/>
    <w:rsid w:val="004D452A"/>
    <w:rsid w:val="004D457C"/>
    <w:rsid w:val="004D464C"/>
    <w:rsid w:val="004D551D"/>
    <w:rsid w:val="004D615C"/>
    <w:rsid w:val="004D6199"/>
    <w:rsid w:val="004D70F5"/>
    <w:rsid w:val="004D737C"/>
    <w:rsid w:val="004D757C"/>
    <w:rsid w:val="004D7A0D"/>
    <w:rsid w:val="004D7A4A"/>
    <w:rsid w:val="004D7BD2"/>
    <w:rsid w:val="004D7BE4"/>
    <w:rsid w:val="004E0260"/>
    <w:rsid w:val="004E0498"/>
    <w:rsid w:val="004E06EC"/>
    <w:rsid w:val="004E06FF"/>
    <w:rsid w:val="004E0B4C"/>
    <w:rsid w:val="004E135E"/>
    <w:rsid w:val="004E17AF"/>
    <w:rsid w:val="004E1D23"/>
    <w:rsid w:val="004E2560"/>
    <w:rsid w:val="004E269A"/>
    <w:rsid w:val="004E299F"/>
    <w:rsid w:val="004E34BF"/>
    <w:rsid w:val="004E3C86"/>
    <w:rsid w:val="004E444F"/>
    <w:rsid w:val="004E4B03"/>
    <w:rsid w:val="004E4FE3"/>
    <w:rsid w:val="004E596A"/>
    <w:rsid w:val="004E5D50"/>
    <w:rsid w:val="004E5EEE"/>
    <w:rsid w:val="004E61C4"/>
    <w:rsid w:val="004E6A2B"/>
    <w:rsid w:val="004E7445"/>
    <w:rsid w:val="004E7CA6"/>
    <w:rsid w:val="004E7D44"/>
    <w:rsid w:val="004F0181"/>
    <w:rsid w:val="004F054E"/>
    <w:rsid w:val="004F0CC5"/>
    <w:rsid w:val="004F0F34"/>
    <w:rsid w:val="004F1064"/>
    <w:rsid w:val="004F1B26"/>
    <w:rsid w:val="004F1EAF"/>
    <w:rsid w:val="004F2CEC"/>
    <w:rsid w:val="004F31FC"/>
    <w:rsid w:val="004F412C"/>
    <w:rsid w:val="004F42BF"/>
    <w:rsid w:val="004F4393"/>
    <w:rsid w:val="004F4A02"/>
    <w:rsid w:val="004F4F72"/>
    <w:rsid w:val="004F530C"/>
    <w:rsid w:val="004F6227"/>
    <w:rsid w:val="004F68B9"/>
    <w:rsid w:val="004F6A3A"/>
    <w:rsid w:val="004F6F6F"/>
    <w:rsid w:val="004F731B"/>
    <w:rsid w:val="004F7339"/>
    <w:rsid w:val="004F751F"/>
    <w:rsid w:val="004F782B"/>
    <w:rsid w:val="005017C8"/>
    <w:rsid w:val="00501D19"/>
    <w:rsid w:val="00501DE9"/>
    <w:rsid w:val="00502C53"/>
    <w:rsid w:val="0050338C"/>
    <w:rsid w:val="00503410"/>
    <w:rsid w:val="005035D5"/>
    <w:rsid w:val="00503CDE"/>
    <w:rsid w:val="00503F68"/>
    <w:rsid w:val="005044F3"/>
    <w:rsid w:val="00504CC9"/>
    <w:rsid w:val="005052C4"/>
    <w:rsid w:val="00505D97"/>
    <w:rsid w:val="00507D25"/>
    <w:rsid w:val="00510489"/>
    <w:rsid w:val="0051064B"/>
    <w:rsid w:val="005109B3"/>
    <w:rsid w:val="005114A5"/>
    <w:rsid w:val="00511B85"/>
    <w:rsid w:val="00513291"/>
    <w:rsid w:val="005135C7"/>
    <w:rsid w:val="0051369A"/>
    <w:rsid w:val="005136CD"/>
    <w:rsid w:val="00513836"/>
    <w:rsid w:val="0051406F"/>
    <w:rsid w:val="00514229"/>
    <w:rsid w:val="00514CC8"/>
    <w:rsid w:val="0051516F"/>
    <w:rsid w:val="005154BB"/>
    <w:rsid w:val="005156AA"/>
    <w:rsid w:val="00515EAB"/>
    <w:rsid w:val="00516FF2"/>
    <w:rsid w:val="005174EF"/>
    <w:rsid w:val="00517ABC"/>
    <w:rsid w:val="00517E89"/>
    <w:rsid w:val="0052029A"/>
    <w:rsid w:val="005203C2"/>
    <w:rsid w:val="0052064E"/>
    <w:rsid w:val="00520868"/>
    <w:rsid w:val="005209FD"/>
    <w:rsid w:val="00520E50"/>
    <w:rsid w:val="00522162"/>
    <w:rsid w:val="005222C1"/>
    <w:rsid w:val="005223A3"/>
    <w:rsid w:val="005224D2"/>
    <w:rsid w:val="005237B7"/>
    <w:rsid w:val="00524E1A"/>
    <w:rsid w:val="005252B6"/>
    <w:rsid w:val="005255AB"/>
    <w:rsid w:val="00525D24"/>
    <w:rsid w:val="00525F13"/>
    <w:rsid w:val="00526978"/>
    <w:rsid w:val="00530D60"/>
    <w:rsid w:val="00530E68"/>
    <w:rsid w:val="0053146C"/>
    <w:rsid w:val="005314DD"/>
    <w:rsid w:val="0053181E"/>
    <w:rsid w:val="00531925"/>
    <w:rsid w:val="00532A43"/>
    <w:rsid w:val="00532D77"/>
    <w:rsid w:val="005332D4"/>
    <w:rsid w:val="0053416B"/>
    <w:rsid w:val="005344E4"/>
    <w:rsid w:val="00534716"/>
    <w:rsid w:val="005354EB"/>
    <w:rsid w:val="00535879"/>
    <w:rsid w:val="0053687E"/>
    <w:rsid w:val="005373A1"/>
    <w:rsid w:val="005378F6"/>
    <w:rsid w:val="005409BD"/>
    <w:rsid w:val="005415D2"/>
    <w:rsid w:val="00542771"/>
    <w:rsid w:val="0054290D"/>
    <w:rsid w:val="00543214"/>
    <w:rsid w:val="005434FB"/>
    <w:rsid w:val="00543CB2"/>
    <w:rsid w:val="00543D3A"/>
    <w:rsid w:val="00545B27"/>
    <w:rsid w:val="00546262"/>
    <w:rsid w:val="00546717"/>
    <w:rsid w:val="0054707B"/>
    <w:rsid w:val="0054767E"/>
    <w:rsid w:val="0054796A"/>
    <w:rsid w:val="00547FD4"/>
    <w:rsid w:val="005507D0"/>
    <w:rsid w:val="00550EAC"/>
    <w:rsid w:val="0055103C"/>
    <w:rsid w:val="00551A73"/>
    <w:rsid w:val="00552147"/>
    <w:rsid w:val="00554224"/>
    <w:rsid w:val="00554CD7"/>
    <w:rsid w:val="00555F21"/>
    <w:rsid w:val="00560A41"/>
    <w:rsid w:val="00560DD0"/>
    <w:rsid w:val="00561227"/>
    <w:rsid w:val="00561C6F"/>
    <w:rsid w:val="005637A2"/>
    <w:rsid w:val="00563923"/>
    <w:rsid w:val="00564495"/>
    <w:rsid w:val="0056519F"/>
    <w:rsid w:val="0056552B"/>
    <w:rsid w:val="005659BE"/>
    <w:rsid w:val="00565D72"/>
    <w:rsid w:val="00566106"/>
    <w:rsid w:val="00567620"/>
    <w:rsid w:val="00567967"/>
    <w:rsid w:val="00570225"/>
    <w:rsid w:val="00570362"/>
    <w:rsid w:val="00570F1E"/>
    <w:rsid w:val="0057164C"/>
    <w:rsid w:val="005716B7"/>
    <w:rsid w:val="005718E1"/>
    <w:rsid w:val="00571C4F"/>
    <w:rsid w:val="00571F3E"/>
    <w:rsid w:val="0057225A"/>
    <w:rsid w:val="0057274A"/>
    <w:rsid w:val="00573058"/>
    <w:rsid w:val="00573270"/>
    <w:rsid w:val="00573692"/>
    <w:rsid w:val="00573E13"/>
    <w:rsid w:val="005741C7"/>
    <w:rsid w:val="0057450D"/>
    <w:rsid w:val="00574DBE"/>
    <w:rsid w:val="005756DD"/>
    <w:rsid w:val="00575D23"/>
    <w:rsid w:val="00575F5B"/>
    <w:rsid w:val="00576299"/>
    <w:rsid w:val="00576984"/>
    <w:rsid w:val="00576BEF"/>
    <w:rsid w:val="00577105"/>
    <w:rsid w:val="0057755A"/>
    <w:rsid w:val="00577A0F"/>
    <w:rsid w:val="00577A8F"/>
    <w:rsid w:val="00580AB3"/>
    <w:rsid w:val="00580D5C"/>
    <w:rsid w:val="005812AB"/>
    <w:rsid w:val="00581451"/>
    <w:rsid w:val="00581460"/>
    <w:rsid w:val="0058281E"/>
    <w:rsid w:val="0058288F"/>
    <w:rsid w:val="00582927"/>
    <w:rsid w:val="00582F7F"/>
    <w:rsid w:val="00583CB0"/>
    <w:rsid w:val="00584275"/>
    <w:rsid w:val="005843B7"/>
    <w:rsid w:val="005845A4"/>
    <w:rsid w:val="00585497"/>
    <w:rsid w:val="005854CE"/>
    <w:rsid w:val="00585F96"/>
    <w:rsid w:val="00586A1F"/>
    <w:rsid w:val="00586B39"/>
    <w:rsid w:val="00587977"/>
    <w:rsid w:val="0059041D"/>
    <w:rsid w:val="00590D69"/>
    <w:rsid w:val="0059103F"/>
    <w:rsid w:val="00591472"/>
    <w:rsid w:val="00591A7E"/>
    <w:rsid w:val="00594369"/>
    <w:rsid w:val="0059452C"/>
    <w:rsid w:val="00594751"/>
    <w:rsid w:val="00595AAE"/>
    <w:rsid w:val="005960DB"/>
    <w:rsid w:val="0059768D"/>
    <w:rsid w:val="005A0255"/>
    <w:rsid w:val="005A0CC4"/>
    <w:rsid w:val="005A147A"/>
    <w:rsid w:val="005A1BFF"/>
    <w:rsid w:val="005A214E"/>
    <w:rsid w:val="005A295E"/>
    <w:rsid w:val="005A32FD"/>
    <w:rsid w:val="005A33A3"/>
    <w:rsid w:val="005A3500"/>
    <w:rsid w:val="005A3D8D"/>
    <w:rsid w:val="005A4303"/>
    <w:rsid w:val="005A430D"/>
    <w:rsid w:val="005A486A"/>
    <w:rsid w:val="005A4E6B"/>
    <w:rsid w:val="005A4F6A"/>
    <w:rsid w:val="005A5949"/>
    <w:rsid w:val="005A5D07"/>
    <w:rsid w:val="005A64D1"/>
    <w:rsid w:val="005A69D9"/>
    <w:rsid w:val="005A6AC1"/>
    <w:rsid w:val="005B0196"/>
    <w:rsid w:val="005B0817"/>
    <w:rsid w:val="005B1165"/>
    <w:rsid w:val="005B16DB"/>
    <w:rsid w:val="005B1C40"/>
    <w:rsid w:val="005B1E71"/>
    <w:rsid w:val="005B2585"/>
    <w:rsid w:val="005B2D4C"/>
    <w:rsid w:val="005B2DB9"/>
    <w:rsid w:val="005B376C"/>
    <w:rsid w:val="005B3CF1"/>
    <w:rsid w:val="005B413D"/>
    <w:rsid w:val="005B46F0"/>
    <w:rsid w:val="005B489E"/>
    <w:rsid w:val="005B4B09"/>
    <w:rsid w:val="005B57B7"/>
    <w:rsid w:val="005B5912"/>
    <w:rsid w:val="005B5943"/>
    <w:rsid w:val="005B604E"/>
    <w:rsid w:val="005B6A29"/>
    <w:rsid w:val="005B7193"/>
    <w:rsid w:val="005B78AA"/>
    <w:rsid w:val="005B7B61"/>
    <w:rsid w:val="005C00A7"/>
    <w:rsid w:val="005C0A86"/>
    <w:rsid w:val="005C131F"/>
    <w:rsid w:val="005C16CD"/>
    <w:rsid w:val="005C1E14"/>
    <w:rsid w:val="005C2295"/>
    <w:rsid w:val="005C29A7"/>
    <w:rsid w:val="005C2D99"/>
    <w:rsid w:val="005C3F98"/>
    <w:rsid w:val="005C6432"/>
    <w:rsid w:val="005C6D9F"/>
    <w:rsid w:val="005C70FA"/>
    <w:rsid w:val="005C7C32"/>
    <w:rsid w:val="005C7DAA"/>
    <w:rsid w:val="005D0375"/>
    <w:rsid w:val="005D089A"/>
    <w:rsid w:val="005D1156"/>
    <w:rsid w:val="005D1ECB"/>
    <w:rsid w:val="005D244E"/>
    <w:rsid w:val="005D3D10"/>
    <w:rsid w:val="005D400D"/>
    <w:rsid w:val="005D62CB"/>
    <w:rsid w:val="005D7E6D"/>
    <w:rsid w:val="005E02A8"/>
    <w:rsid w:val="005E04CB"/>
    <w:rsid w:val="005E07B1"/>
    <w:rsid w:val="005E15AE"/>
    <w:rsid w:val="005E2689"/>
    <w:rsid w:val="005E26D9"/>
    <w:rsid w:val="005E26F0"/>
    <w:rsid w:val="005E2D0C"/>
    <w:rsid w:val="005E352B"/>
    <w:rsid w:val="005E380E"/>
    <w:rsid w:val="005E4870"/>
    <w:rsid w:val="005E490F"/>
    <w:rsid w:val="005E4ACF"/>
    <w:rsid w:val="005E57B5"/>
    <w:rsid w:val="005E5C08"/>
    <w:rsid w:val="005E6E48"/>
    <w:rsid w:val="005E6F74"/>
    <w:rsid w:val="005E75DF"/>
    <w:rsid w:val="005E7E2F"/>
    <w:rsid w:val="005E7F90"/>
    <w:rsid w:val="005F0A5B"/>
    <w:rsid w:val="005F0D5D"/>
    <w:rsid w:val="005F0E0A"/>
    <w:rsid w:val="005F11AB"/>
    <w:rsid w:val="005F137A"/>
    <w:rsid w:val="005F15F6"/>
    <w:rsid w:val="005F1782"/>
    <w:rsid w:val="005F2BD3"/>
    <w:rsid w:val="005F305D"/>
    <w:rsid w:val="005F3112"/>
    <w:rsid w:val="005F371F"/>
    <w:rsid w:val="005F3F0C"/>
    <w:rsid w:val="005F445F"/>
    <w:rsid w:val="005F44AE"/>
    <w:rsid w:val="005F467B"/>
    <w:rsid w:val="005F4D4B"/>
    <w:rsid w:val="005F4DE0"/>
    <w:rsid w:val="005F530F"/>
    <w:rsid w:val="005F53A4"/>
    <w:rsid w:val="005F6E02"/>
    <w:rsid w:val="005F6FC0"/>
    <w:rsid w:val="005F778B"/>
    <w:rsid w:val="005F7989"/>
    <w:rsid w:val="005F7C6A"/>
    <w:rsid w:val="005F7CD1"/>
    <w:rsid w:val="00600B0A"/>
    <w:rsid w:val="00600D93"/>
    <w:rsid w:val="006011F7"/>
    <w:rsid w:val="00601661"/>
    <w:rsid w:val="00602A19"/>
    <w:rsid w:val="00602CE4"/>
    <w:rsid w:val="00603007"/>
    <w:rsid w:val="00603A0A"/>
    <w:rsid w:val="00603B35"/>
    <w:rsid w:val="006056DC"/>
    <w:rsid w:val="006068BA"/>
    <w:rsid w:val="00606C62"/>
    <w:rsid w:val="00606DD4"/>
    <w:rsid w:val="0061204F"/>
    <w:rsid w:val="006134D3"/>
    <w:rsid w:val="006134FA"/>
    <w:rsid w:val="006138F9"/>
    <w:rsid w:val="0061444D"/>
    <w:rsid w:val="006144EF"/>
    <w:rsid w:val="00614802"/>
    <w:rsid w:val="00614AD0"/>
    <w:rsid w:val="00614BC6"/>
    <w:rsid w:val="00614D83"/>
    <w:rsid w:val="00615E79"/>
    <w:rsid w:val="00615FF8"/>
    <w:rsid w:val="006164F1"/>
    <w:rsid w:val="0061657B"/>
    <w:rsid w:val="006168FB"/>
    <w:rsid w:val="006201EB"/>
    <w:rsid w:val="00620825"/>
    <w:rsid w:val="00620BC4"/>
    <w:rsid w:val="006212FE"/>
    <w:rsid w:val="006225D4"/>
    <w:rsid w:val="006231E7"/>
    <w:rsid w:val="00623739"/>
    <w:rsid w:val="00623974"/>
    <w:rsid w:val="00623B82"/>
    <w:rsid w:val="006243CA"/>
    <w:rsid w:val="00624549"/>
    <w:rsid w:val="006247F6"/>
    <w:rsid w:val="00625859"/>
    <w:rsid w:val="00626111"/>
    <w:rsid w:val="00626420"/>
    <w:rsid w:val="00626A03"/>
    <w:rsid w:val="006272A6"/>
    <w:rsid w:val="006275B7"/>
    <w:rsid w:val="006278F6"/>
    <w:rsid w:val="006302C0"/>
    <w:rsid w:val="00630E40"/>
    <w:rsid w:val="00630FCD"/>
    <w:rsid w:val="006314E0"/>
    <w:rsid w:val="0063243A"/>
    <w:rsid w:val="00632AC5"/>
    <w:rsid w:val="00633359"/>
    <w:rsid w:val="00633445"/>
    <w:rsid w:val="006340A2"/>
    <w:rsid w:val="006349FC"/>
    <w:rsid w:val="00634B78"/>
    <w:rsid w:val="006350B9"/>
    <w:rsid w:val="00635408"/>
    <w:rsid w:val="00635651"/>
    <w:rsid w:val="00635A39"/>
    <w:rsid w:val="00635B97"/>
    <w:rsid w:val="00635CB9"/>
    <w:rsid w:val="006360E4"/>
    <w:rsid w:val="00636258"/>
    <w:rsid w:val="0063684F"/>
    <w:rsid w:val="00636BB7"/>
    <w:rsid w:val="0063748C"/>
    <w:rsid w:val="006379C7"/>
    <w:rsid w:val="006405B9"/>
    <w:rsid w:val="00640825"/>
    <w:rsid w:val="006410E3"/>
    <w:rsid w:val="0064115D"/>
    <w:rsid w:val="00641993"/>
    <w:rsid w:val="006424ED"/>
    <w:rsid w:val="006425B9"/>
    <w:rsid w:val="00643734"/>
    <w:rsid w:val="006437E7"/>
    <w:rsid w:val="006437EC"/>
    <w:rsid w:val="00643CC5"/>
    <w:rsid w:val="00644327"/>
    <w:rsid w:val="00644E64"/>
    <w:rsid w:val="0064511D"/>
    <w:rsid w:val="00645CAF"/>
    <w:rsid w:val="00646B84"/>
    <w:rsid w:val="00647518"/>
    <w:rsid w:val="006475E3"/>
    <w:rsid w:val="00647762"/>
    <w:rsid w:val="00647F50"/>
    <w:rsid w:val="00650A4A"/>
    <w:rsid w:val="00652AC7"/>
    <w:rsid w:val="00652D48"/>
    <w:rsid w:val="00653292"/>
    <w:rsid w:val="00653B76"/>
    <w:rsid w:val="0065480C"/>
    <w:rsid w:val="00654C02"/>
    <w:rsid w:val="00654E38"/>
    <w:rsid w:val="00655A7B"/>
    <w:rsid w:val="0065617A"/>
    <w:rsid w:val="0065693F"/>
    <w:rsid w:val="00656E37"/>
    <w:rsid w:val="00657D53"/>
    <w:rsid w:val="00657E4C"/>
    <w:rsid w:val="00660BBF"/>
    <w:rsid w:val="00660DF9"/>
    <w:rsid w:val="0066240C"/>
    <w:rsid w:val="0066294A"/>
    <w:rsid w:val="00662B17"/>
    <w:rsid w:val="00662E8E"/>
    <w:rsid w:val="006631D9"/>
    <w:rsid w:val="006634D7"/>
    <w:rsid w:val="00663523"/>
    <w:rsid w:val="006635B3"/>
    <w:rsid w:val="00663679"/>
    <w:rsid w:val="00663E15"/>
    <w:rsid w:val="0066468B"/>
    <w:rsid w:val="00664C6F"/>
    <w:rsid w:val="00664D3A"/>
    <w:rsid w:val="00665010"/>
    <w:rsid w:val="00665CAD"/>
    <w:rsid w:val="006665CA"/>
    <w:rsid w:val="006669E2"/>
    <w:rsid w:val="00666A0C"/>
    <w:rsid w:val="00666ACF"/>
    <w:rsid w:val="00670E31"/>
    <w:rsid w:val="00671882"/>
    <w:rsid w:val="00673703"/>
    <w:rsid w:val="00673B13"/>
    <w:rsid w:val="00673D00"/>
    <w:rsid w:val="00673E94"/>
    <w:rsid w:val="00675363"/>
    <w:rsid w:val="00676B91"/>
    <w:rsid w:val="00677235"/>
    <w:rsid w:val="00677A92"/>
    <w:rsid w:val="00677B1F"/>
    <w:rsid w:val="00677CB8"/>
    <w:rsid w:val="00677D95"/>
    <w:rsid w:val="00680F4C"/>
    <w:rsid w:val="00681A50"/>
    <w:rsid w:val="0068236E"/>
    <w:rsid w:val="0068254C"/>
    <w:rsid w:val="006825DC"/>
    <w:rsid w:val="0068298C"/>
    <w:rsid w:val="006829E9"/>
    <w:rsid w:val="00682D2A"/>
    <w:rsid w:val="006831D1"/>
    <w:rsid w:val="00683827"/>
    <w:rsid w:val="00683D4E"/>
    <w:rsid w:val="00684128"/>
    <w:rsid w:val="00684812"/>
    <w:rsid w:val="006848ED"/>
    <w:rsid w:val="00686578"/>
    <w:rsid w:val="00687227"/>
    <w:rsid w:val="006873DA"/>
    <w:rsid w:val="006878A3"/>
    <w:rsid w:val="0069030E"/>
    <w:rsid w:val="006909CE"/>
    <w:rsid w:val="00690E83"/>
    <w:rsid w:val="00690E99"/>
    <w:rsid w:val="00692E50"/>
    <w:rsid w:val="00694529"/>
    <w:rsid w:val="00694563"/>
    <w:rsid w:val="006948ED"/>
    <w:rsid w:val="00694983"/>
    <w:rsid w:val="00694A20"/>
    <w:rsid w:val="00694B95"/>
    <w:rsid w:val="00694BF1"/>
    <w:rsid w:val="00694F2E"/>
    <w:rsid w:val="006958AF"/>
    <w:rsid w:val="0069614B"/>
    <w:rsid w:val="00696898"/>
    <w:rsid w:val="00696913"/>
    <w:rsid w:val="00696963"/>
    <w:rsid w:val="006971FD"/>
    <w:rsid w:val="006975D3"/>
    <w:rsid w:val="00697DB8"/>
    <w:rsid w:val="00697E7B"/>
    <w:rsid w:val="006A0596"/>
    <w:rsid w:val="006A0705"/>
    <w:rsid w:val="006A07EA"/>
    <w:rsid w:val="006A10AE"/>
    <w:rsid w:val="006A1EC8"/>
    <w:rsid w:val="006A2951"/>
    <w:rsid w:val="006A2B87"/>
    <w:rsid w:val="006A301A"/>
    <w:rsid w:val="006A3476"/>
    <w:rsid w:val="006A3835"/>
    <w:rsid w:val="006A51B7"/>
    <w:rsid w:val="006A5ADF"/>
    <w:rsid w:val="006A5B0B"/>
    <w:rsid w:val="006A62CC"/>
    <w:rsid w:val="006A661B"/>
    <w:rsid w:val="006A6C14"/>
    <w:rsid w:val="006A71A4"/>
    <w:rsid w:val="006A79E4"/>
    <w:rsid w:val="006B05C9"/>
    <w:rsid w:val="006B11CF"/>
    <w:rsid w:val="006B14A8"/>
    <w:rsid w:val="006B1B2D"/>
    <w:rsid w:val="006B3381"/>
    <w:rsid w:val="006B371E"/>
    <w:rsid w:val="006B3CD6"/>
    <w:rsid w:val="006B3E27"/>
    <w:rsid w:val="006B3E48"/>
    <w:rsid w:val="006B448A"/>
    <w:rsid w:val="006B54B3"/>
    <w:rsid w:val="006B5BDC"/>
    <w:rsid w:val="006B633B"/>
    <w:rsid w:val="006B6563"/>
    <w:rsid w:val="006B6800"/>
    <w:rsid w:val="006B7635"/>
    <w:rsid w:val="006B7A6F"/>
    <w:rsid w:val="006B7FF0"/>
    <w:rsid w:val="006C0309"/>
    <w:rsid w:val="006C0465"/>
    <w:rsid w:val="006C04E0"/>
    <w:rsid w:val="006C0608"/>
    <w:rsid w:val="006C0C3F"/>
    <w:rsid w:val="006C1344"/>
    <w:rsid w:val="006C1D50"/>
    <w:rsid w:val="006C1E95"/>
    <w:rsid w:val="006C226C"/>
    <w:rsid w:val="006C32E4"/>
    <w:rsid w:val="006C3BF5"/>
    <w:rsid w:val="006C3ED9"/>
    <w:rsid w:val="006C400A"/>
    <w:rsid w:val="006C4978"/>
    <w:rsid w:val="006C4B20"/>
    <w:rsid w:val="006C4C0A"/>
    <w:rsid w:val="006C54B0"/>
    <w:rsid w:val="006C5B02"/>
    <w:rsid w:val="006C6176"/>
    <w:rsid w:val="006C67B4"/>
    <w:rsid w:val="006C74DC"/>
    <w:rsid w:val="006C7E80"/>
    <w:rsid w:val="006D06C8"/>
    <w:rsid w:val="006D0932"/>
    <w:rsid w:val="006D2119"/>
    <w:rsid w:val="006D2757"/>
    <w:rsid w:val="006D37D9"/>
    <w:rsid w:val="006D3DBA"/>
    <w:rsid w:val="006D3E4B"/>
    <w:rsid w:val="006D4089"/>
    <w:rsid w:val="006D420D"/>
    <w:rsid w:val="006D4568"/>
    <w:rsid w:val="006D5F06"/>
    <w:rsid w:val="006D66EA"/>
    <w:rsid w:val="006D6C0F"/>
    <w:rsid w:val="006D735D"/>
    <w:rsid w:val="006D7476"/>
    <w:rsid w:val="006D7F36"/>
    <w:rsid w:val="006E041D"/>
    <w:rsid w:val="006E0AC8"/>
    <w:rsid w:val="006E0D36"/>
    <w:rsid w:val="006E0D59"/>
    <w:rsid w:val="006E105F"/>
    <w:rsid w:val="006E1413"/>
    <w:rsid w:val="006E1923"/>
    <w:rsid w:val="006E1CB7"/>
    <w:rsid w:val="006E20CF"/>
    <w:rsid w:val="006E26B8"/>
    <w:rsid w:val="006E2DEB"/>
    <w:rsid w:val="006E2EE5"/>
    <w:rsid w:val="006E3828"/>
    <w:rsid w:val="006E45F7"/>
    <w:rsid w:val="006E46A0"/>
    <w:rsid w:val="006E510B"/>
    <w:rsid w:val="006E5254"/>
    <w:rsid w:val="006E66C6"/>
    <w:rsid w:val="006E67BF"/>
    <w:rsid w:val="006E69D3"/>
    <w:rsid w:val="006E6DBD"/>
    <w:rsid w:val="006F06A4"/>
    <w:rsid w:val="006F0DEA"/>
    <w:rsid w:val="006F19D7"/>
    <w:rsid w:val="006F1B50"/>
    <w:rsid w:val="006F5732"/>
    <w:rsid w:val="006F58A2"/>
    <w:rsid w:val="006F5954"/>
    <w:rsid w:val="006F60E8"/>
    <w:rsid w:val="006F7949"/>
    <w:rsid w:val="006F7B56"/>
    <w:rsid w:val="00700290"/>
    <w:rsid w:val="00700A55"/>
    <w:rsid w:val="00701423"/>
    <w:rsid w:val="007014D6"/>
    <w:rsid w:val="00701632"/>
    <w:rsid w:val="00701889"/>
    <w:rsid w:val="00701D75"/>
    <w:rsid w:val="00701E1F"/>
    <w:rsid w:val="00702242"/>
    <w:rsid w:val="0070335C"/>
    <w:rsid w:val="007037FE"/>
    <w:rsid w:val="00703D7C"/>
    <w:rsid w:val="007040AC"/>
    <w:rsid w:val="0070488C"/>
    <w:rsid w:val="00704C22"/>
    <w:rsid w:val="00704D22"/>
    <w:rsid w:val="00705C94"/>
    <w:rsid w:val="00705D89"/>
    <w:rsid w:val="00706140"/>
    <w:rsid w:val="00706A08"/>
    <w:rsid w:val="00707995"/>
    <w:rsid w:val="00707D62"/>
    <w:rsid w:val="00707DB5"/>
    <w:rsid w:val="007105AB"/>
    <w:rsid w:val="0071125E"/>
    <w:rsid w:val="00711BB5"/>
    <w:rsid w:val="00713272"/>
    <w:rsid w:val="00713BD4"/>
    <w:rsid w:val="00714501"/>
    <w:rsid w:val="007156CE"/>
    <w:rsid w:val="00716002"/>
    <w:rsid w:val="0071715A"/>
    <w:rsid w:val="00717D57"/>
    <w:rsid w:val="007202B6"/>
    <w:rsid w:val="00720343"/>
    <w:rsid w:val="007205DA"/>
    <w:rsid w:val="00721116"/>
    <w:rsid w:val="0072136B"/>
    <w:rsid w:val="007220C0"/>
    <w:rsid w:val="0072431A"/>
    <w:rsid w:val="00724763"/>
    <w:rsid w:val="00724CD2"/>
    <w:rsid w:val="00725C37"/>
    <w:rsid w:val="00725FD3"/>
    <w:rsid w:val="007262BD"/>
    <w:rsid w:val="0072660A"/>
    <w:rsid w:val="00726980"/>
    <w:rsid w:val="0072758D"/>
    <w:rsid w:val="007277E3"/>
    <w:rsid w:val="00727D45"/>
    <w:rsid w:val="007307FF"/>
    <w:rsid w:val="00730D43"/>
    <w:rsid w:val="00730E35"/>
    <w:rsid w:val="00731295"/>
    <w:rsid w:val="007319C3"/>
    <w:rsid w:val="0073224D"/>
    <w:rsid w:val="00732DA4"/>
    <w:rsid w:val="00733185"/>
    <w:rsid w:val="00734401"/>
    <w:rsid w:val="00734865"/>
    <w:rsid w:val="00735525"/>
    <w:rsid w:val="007358AF"/>
    <w:rsid w:val="00735C5A"/>
    <w:rsid w:val="00735FF6"/>
    <w:rsid w:val="0073663F"/>
    <w:rsid w:val="0073666E"/>
    <w:rsid w:val="007370DF"/>
    <w:rsid w:val="00737564"/>
    <w:rsid w:val="00737D83"/>
    <w:rsid w:val="00740030"/>
    <w:rsid w:val="0074035A"/>
    <w:rsid w:val="007406EC"/>
    <w:rsid w:val="00740DA0"/>
    <w:rsid w:val="00742FA2"/>
    <w:rsid w:val="007433CC"/>
    <w:rsid w:val="00744098"/>
    <w:rsid w:val="007443F6"/>
    <w:rsid w:val="0074456F"/>
    <w:rsid w:val="00744DFA"/>
    <w:rsid w:val="00744F0D"/>
    <w:rsid w:val="00745768"/>
    <w:rsid w:val="00745C13"/>
    <w:rsid w:val="00745F7C"/>
    <w:rsid w:val="0074679E"/>
    <w:rsid w:val="00746A5A"/>
    <w:rsid w:val="00747B49"/>
    <w:rsid w:val="00750099"/>
    <w:rsid w:val="007503A3"/>
    <w:rsid w:val="00750B5E"/>
    <w:rsid w:val="0075157A"/>
    <w:rsid w:val="0075163F"/>
    <w:rsid w:val="00751C88"/>
    <w:rsid w:val="007522A3"/>
    <w:rsid w:val="00752481"/>
    <w:rsid w:val="0075271B"/>
    <w:rsid w:val="00752873"/>
    <w:rsid w:val="00752A47"/>
    <w:rsid w:val="00752FE8"/>
    <w:rsid w:val="0075329F"/>
    <w:rsid w:val="00753438"/>
    <w:rsid w:val="007543BD"/>
    <w:rsid w:val="007545DE"/>
    <w:rsid w:val="00756F9A"/>
    <w:rsid w:val="00757FCD"/>
    <w:rsid w:val="00760288"/>
    <w:rsid w:val="0076049F"/>
    <w:rsid w:val="00760DF5"/>
    <w:rsid w:val="00762368"/>
    <w:rsid w:val="007624B7"/>
    <w:rsid w:val="00762563"/>
    <w:rsid w:val="00762B49"/>
    <w:rsid w:val="00762BDD"/>
    <w:rsid w:val="007631D4"/>
    <w:rsid w:val="00763E1F"/>
    <w:rsid w:val="00763F63"/>
    <w:rsid w:val="0076445E"/>
    <w:rsid w:val="0076475C"/>
    <w:rsid w:val="00764957"/>
    <w:rsid w:val="00764DE2"/>
    <w:rsid w:val="007650E4"/>
    <w:rsid w:val="0076510E"/>
    <w:rsid w:val="007675FB"/>
    <w:rsid w:val="0076762D"/>
    <w:rsid w:val="00767692"/>
    <w:rsid w:val="00767ACF"/>
    <w:rsid w:val="00770D88"/>
    <w:rsid w:val="00770ED5"/>
    <w:rsid w:val="00770F33"/>
    <w:rsid w:val="00771DED"/>
    <w:rsid w:val="00772095"/>
    <w:rsid w:val="00772615"/>
    <w:rsid w:val="00772C04"/>
    <w:rsid w:val="00772FC3"/>
    <w:rsid w:val="00773303"/>
    <w:rsid w:val="00773941"/>
    <w:rsid w:val="00773F00"/>
    <w:rsid w:val="00774613"/>
    <w:rsid w:val="00774F4F"/>
    <w:rsid w:val="0077521D"/>
    <w:rsid w:val="007754AE"/>
    <w:rsid w:val="00775C8A"/>
    <w:rsid w:val="00775D48"/>
    <w:rsid w:val="00775E63"/>
    <w:rsid w:val="00775F68"/>
    <w:rsid w:val="00776F85"/>
    <w:rsid w:val="00777B30"/>
    <w:rsid w:val="0078013D"/>
    <w:rsid w:val="0078019A"/>
    <w:rsid w:val="00780D30"/>
    <w:rsid w:val="00780F93"/>
    <w:rsid w:val="00781041"/>
    <w:rsid w:val="00781091"/>
    <w:rsid w:val="0078122A"/>
    <w:rsid w:val="007827DA"/>
    <w:rsid w:val="00784137"/>
    <w:rsid w:val="007846CA"/>
    <w:rsid w:val="00785192"/>
    <w:rsid w:val="00785920"/>
    <w:rsid w:val="00785A50"/>
    <w:rsid w:val="007860F1"/>
    <w:rsid w:val="00786F2B"/>
    <w:rsid w:val="00786F58"/>
    <w:rsid w:val="0079015D"/>
    <w:rsid w:val="007906AA"/>
    <w:rsid w:val="00790FC5"/>
    <w:rsid w:val="007911A4"/>
    <w:rsid w:val="007920D3"/>
    <w:rsid w:val="0079219D"/>
    <w:rsid w:val="0079269D"/>
    <w:rsid w:val="007929DC"/>
    <w:rsid w:val="00792CC9"/>
    <w:rsid w:val="0079309E"/>
    <w:rsid w:val="00793C30"/>
    <w:rsid w:val="00793EFA"/>
    <w:rsid w:val="00794BBA"/>
    <w:rsid w:val="00794CC2"/>
    <w:rsid w:val="00795C4E"/>
    <w:rsid w:val="00796402"/>
    <w:rsid w:val="0079646F"/>
    <w:rsid w:val="007965AD"/>
    <w:rsid w:val="007977DE"/>
    <w:rsid w:val="007A014D"/>
    <w:rsid w:val="007A0722"/>
    <w:rsid w:val="007A1500"/>
    <w:rsid w:val="007A1ECE"/>
    <w:rsid w:val="007A2891"/>
    <w:rsid w:val="007A55A8"/>
    <w:rsid w:val="007A568E"/>
    <w:rsid w:val="007A6675"/>
    <w:rsid w:val="007A689E"/>
    <w:rsid w:val="007A7B28"/>
    <w:rsid w:val="007B0A46"/>
    <w:rsid w:val="007B0C41"/>
    <w:rsid w:val="007B0DE6"/>
    <w:rsid w:val="007B2965"/>
    <w:rsid w:val="007B2D43"/>
    <w:rsid w:val="007B3E84"/>
    <w:rsid w:val="007B4161"/>
    <w:rsid w:val="007B450F"/>
    <w:rsid w:val="007B4E80"/>
    <w:rsid w:val="007B50BF"/>
    <w:rsid w:val="007B57E0"/>
    <w:rsid w:val="007B59DC"/>
    <w:rsid w:val="007B59ED"/>
    <w:rsid w:val="007B5BB2"/>
    <w:rsid w:val="007B5E17"/>
    <w:rsid w:val="007B6C1D"/>
    <w:rsid w:val="007B75B7"/>
    <w:rsid w:val="007B7606"/>
    <w:rsid w:val="007B7F2D"/>
    <w:rsid w:val="007C02D9"/>
    <w:rsid w:val="007C1127"/>
    <w:rsid w:val="007C196E"/>
    <w:rsid w:val="007C21A0"/>
    <w:rsid w:val="007C242C"/>
    <w:rsid w:val="007C2689"/>
    <w:rsid w:val="007C2CE8"/>
    <w:rsid w:val="007C30ED"/>
    <w:rsid w:val="007C3A70"/>
    <w:rsid w:val="007C3C7D"/>
    <w:rsid w:val="007C4370"/>
    <w:rsid w:val="007C53E3"/>
    <w:rsid w:val="007C56D1"/>
    <w:rsid w:val="007C5B4E"/>
    <w:rsid w:val="007C5CE6"/>
    <w:rsid w:val="007C5DC8"/>
    <w:rsid w:val="007C5E58"/>
    <w:rsid w:val="007C6854"/>
    <w:rsid w:val="007C68A8"/>
    <w:rsid w:val="007C750F"/>
    <w:rsid w:val="007D0BB8"/>
    <w:rsid w:val="007D1519"/>
    <w:rsid w:val="007D1F48"/>
    <w:rsid w:val="007D243A"/>
    <w:rsid w:val="007D2CE2"/>
    <w:rsid w:val="007D32D0"/>
    <w:rsid w:val="007D358D"/>
    <w:rsid w:val="007D3E38"/>
    <w:rsid w:val="007D5FE2"/>
    <w:rsid w:val="007D653E"/>
    <w:rsid w:val="007D66A8"/>
    <w:rsid w:val="007D67F3"/>
    <w:rsid w:val="007D6B5E"/>
    <w:rsid w:val="007D6E06"/>
    <w:rsid w:val="007D73B9"/>
    <w:rsid w:val="007D79CB"/>
    <w:rsid w:val="007E01AE"/>
    <w:rsid w:val="007E0FA8"/>
    <w:rsid w:val="007E111D"/>
    <w:rsid w:val="007E2713"/>
    <w:rsid w:val="007E3A9B"/>
    <w:rsid w:val="007E3B9D"/>
    <w:rsid w:val="007E4398"/>
    <w:rsid w:val="007E48FF"/>
    <w:rsid w:val="007E4C05"/>
    <w:rsid w:val="007E5101"/>
    <w:rsid w:val="007E5C89"/>
    <w:rsid w:val="007E691B"/>
    <w:rsid w:val="007E6C31"/>
    <w:rsid w:val="007E71AC"/>
    <w:rsid w:val="007E71F7"/>
    <w:rsid w:val="007F00FA"/>
    <w:rsid w:val="007F1245"/>
    <w:rsid w:val="007F1A45"/>
    <w:rsid w:val="007F1CA7"/>
    <w:rsid w:val="007F2A01"/>
    <w:rsid w:val="007F37D9"/>
    <w:rsid w:val="007F4619"/>
    <w:rsid w:val="007F479E"/>
    <w:rsid w:val="007F499D"/>
    <w:rsid w:val="007F5315"/>
    <w:rsid w:val="007F5AE5"/>
    <w:rsid w:val="007F5CCA"/>
    <w:rsid w:val="007F5F88"/>
    <w:rsid w:val="007F60B8"/>
    <w:rsid w:val="007F67A2"/>
    <w:rsid w:val="007F6941"/>
    <w:rsid w:val="007F7E8B"/>
    <w:rsid w:val="00800525"/>
    <w:rsid w:val="00800779"/>
    <w:rsid w:val="00800C33"/>
    <w:rsid w:val="00800F34"/>
    <w:rsid w:val="00800F87"/>
    <w:rsid w:val="0080214C"/>
    <w:rsid w:val="008027CE"/>
    <w:rsid w:val="00802B56"/>
    <w:rsid w:val="00802F04"/>
    <w:rsid w:val="0080337F"/>
    <w:rsid w:val="00803A24"/>
    <w:rsid w:val="00803C5E"/>
    <w:rsid w:val="00804017"/>
    <w:rsid w:val="008045FB"/>
    <w:rsid w:val="00804C90"/>
    <w:rsid w:val="00804E77"/>
    <w:rsid w:val="008059C4"/>
    <w:rsid w:val="008061A4"/>
    <w:rsid w:val="008064BE"/>
    <w:rsid w:val="0080705C"/>
    <w:rsid w:val="008078B5"/>
    <w:rsid w:val="00810E43"/>
    <w:rsid w:val="00810EA8"/>
    <w:rsid w:val="008119F1"/>
    <w:rsid w:val="00812C54"/>
    <w:rsid w:val="00812ED0"/>
    <w:rsid w:val="00812FB2"/>
    <w:rsid w:val="00814625"/>
    <w:rsid w:val="0081504C"/>
    <w:rsid w:val="00815488"/>
    <w:rsid w:val="008159FC"/>
    <w:rsid w:val="00816560"/>
    <w:rsid w:val="0081678C"/>
    <w:rsid w:val="00817040"/>
    <w:rsid w:val="00820208"/>
    <w:rsid w:val="00820579"/>
    <w:rsid w:val="008209B0"/>
    <w:rsid w:val="00821003"/>
    <w:rsid w:val="008210C1"/>
    <w:rsid w:val="00821B93"/>
    <w:rsid w:val="00822054"/>
    <w:rsid w:val="00822349"/>
    <w:rsid w:val="00822BBA"/>
    <w:rsid w:val="00824A9E"/>
    <w:rsid w:val="008253AC"/>
    <w:rsid w:val="00825566"/>
    <w:rsid w:val="00825AC0"/>
    <w:rsid w:val="00825FE0"/>
    <w:rsid w:val="00826263"/>
    <w:rsid w:val="00827368"/>
    <w:rsid w:val="00827607"/>
    <w:rsid w:val="00827999"/>
    <w:rsid w:val="00830470"/>
    <w:rsid w:val="00830B4C"/>
    <w:rsid w:val="00831F61"/>
    <w:rsid w:val="00832644"/>
    <w:rsid w:val="008338AF"/>
    <w:rsid w:val="00833C0B"/>
    <w:rsid w:val="00833D39"/>
    <w:rsid w:val="008349D3"/>
    <w:rsid w:val="008357F0"/>
    <w:rsid w:val="008359C4"/>
    <w:rsid w:val="008362A6"/>
    <w:rsid w:val="0083635F"/>
    <w:rsid w:val="008363C8"/>
    <w:rsid w:val="00836F39"/>
    <w:rsid w:val="00840BE7"/>
    <w:rsid w:val="008410D2"/>
    <w:rsid w:val="0084213C"/>
    <w:rsid w:val="008424C5"/>
    <w:rsid w:val="00842AAE"/>
    <w:rsid w:val="00842AFB"/>
    <w:rsid w:val="00843037"/>
    <w:rsid w:val="008435CE"/>
    <w:rsid w:val="008438D4"/>
    <w:rsid w:val="00843A42"/>
    <w:rsid w:val="00843BB0"/>
    <w:rsid w:val="00843F11"/>
    <w:rsid w:val="00843FA1"/>
    <w:rsid w:val="00844108"/>
    <w:rsid w:val="008445F5"/>
    <w:rsid w:val="00844F2D"/>
    <w:rsid w:val="008455CB"/>
    <w:rsid w:val="008468AE"/>
    <w:rsid w:val="0084742B"/>
    <w:rsid w:val="00847780"/>
    <w:rsid w:val="00847BD5"/>
    <w:rsid w:val="00847C74"/>
    <w:rsid w:val="00847F8A"/>
    <w:rsid w:val="00851213"/>
    <w:rsid w:val="00851D1F"/>
    <w:rsid w:val="00851FD6"/>
    <w:rsid w:val="00852E12"/>
    <w:rsid w:val="00852E62"/>
    <w:rsid w:val="0085318B"/>
    <w:rsid w:val="00853536"/>
    <w:rsid w:val="00854A3A"/>
    <w:rsid w:val="00855E69"/>
    <w:rsid w:val="00856A9E"/>
    <w:rsid w:val="00856D5E"/>
    <w:rsid w:val="00856DAB"/>
    <w:rsid w:val="00857A49"/>
    <w:rsid w:val="00860A22"/>
    <w:rsid w:val="00860D4E"/>
    <w:rsid w:val="00861F11"/>
    <w:rsid w:val="00862109"/>
    <w:rsid w:val="0086215E"/>
    <w:rsid w:val="00862519"/>
    <w:rsid w:val="00862A46"/>
    <w:rsid w:val="00862F60"/>
    <w:rsid w:val="008638BB"/>
    <w:rsid w:val="008638EB"/>
    <w:rsid w:val="00863980"/>
    <w:rsid w:val="00863B86"/>
    <w:rsid w:val="008651CC"/>
    <w:rsid w:val="008654FC"/>
    <w:rsid w:val="00865B22"/>
    <w:rsid w:val="00865B99"/>
    <w:rsid w:val="00866C20"/>
    <w:rsid w:val="00867108"/>
    <w:rsid w:val="0086727D"/>
    <w:rsid w:val="00867CF3"/>
    <w:rsid w:val="00867E33"/>
    <w:rsid w:val="0087023C"/>
    <w:rsid w:val="008706EE"/>
    <w:rsid w:val="008707B4"/>
    <w:rsid w:val="00873332"/>
    <w:rsid w:val="00874731"/>
    <w:rsid w:val="0087478D"/>
    <w:rsid w:val="0087482A"/>
    <w:rsid w:val="00874B70"/>
    <w:rsid w:val="008750D3"/>
    <w:rsid w:val="00876DD7"/>
    <w:rsid w:val="008772AD"/>
    <w:rsid w:val="00877A07"/>
    <w:rsid w:val="00877CC3"/>
    <w:rsid w:val="008810CB"/>
    <w:rsid w:val="0088132A"/>
    <w:rsid w:val="008821AD"/>
    <w:rsid w:val="00882FB4"/>
    <w:rsid w:val="00884004"/>
    <w:rsid w:val="008842FC"/>
    <w:rsid w:val="0088506F"/>
    <w:rsid w:val="008850FF"/>
    <w:rsid w:val="0088586C"/>
    <w:rsid w:val="008858EC"/>
    <w:rsid w:val="00885A5C"/>
    <w:rsid w:val="0088633E"/>
    <w:rsid w:val="00886B20"/>
    <w:rsid w:val="008875ED"/>
    <w:rsid w:val="00890FB1"/>
    <w:rsid w:val="00891A26"/>
    <w:rsid w:val="00891EA3"/>
    <w:rsid w:val="008926CC"/>
    <w:rsid w:val="00892BE1"/>
    <w:rsid w:val="00893049"/>
    <w:rsid w:val="0089310B"/>
    <w:rsid w:val="00893168"/>
    <w:rsid w:val="008959C6"/>
    <w:rsid w:val="00895B8D"/>
    <w:rsid w:val="008960A8"/>
    <w:rsid w:val="00896CAB"/>
    <w:rsid w:val="00896D9E"/>
    <w:rsid w:val="00897F04"/>
    <w:rsid w:val="008A08E2"/>
    <w:rsid w:val="008A159E"/>
    <w:rsid w:val="008A1627"/>
    <w:rsid w:val="008A19A5"/>
    <w:rsid w:val="008A32BD"/>
    <w:rsid w:val="008A3F8C"/>
    <w:rsid w:val="008A4065"/>
    <w:rsid w:val="008A49ED"/>
    <w:rsid w:val="008A4B81"/>
    <w:rsid w:val="008A6277"/>
    <w:rsid w:val="008A77E4"/>
    <w:rsid w:val="008A7F86"/>
    <w:rsid w:val="008B093A"/>
    <w:rsid w:val="008B1AA3"/>
    <w:rsid w:val="008B234F"/>
    <w:rsid w:val="008B2EAF"/>
    <w:rsid w:val="008B3E3C"/>
    <w:rsid w:val="008B483D"/>
    <w:rsid w:val="008B5955"/>
    <w:rsid w:val="008B5E3A"/>
    <w:rsid w:val="008B6D68"/>
    <w:rsid w:val="008B725B"/>
    <w:rsid w:val="008B757A"/>
    <w:rsid w:val="008B772F"/>
    <w:rsid w:val="008B7969"/>
    <w:rsid w:val="008B7C46"/>
    <w:rsid w:val="008B7F1A"/>
    <w:rsid w:val="008C16F9"/>
    <w:rsid w:val="008C304F"/>
    <w:rsid w:val="008C3899"/>
    <w:rsid w:val="008C3B80"/>
    <w:rsid w:val="008C3BEE"/>
    <w:rsid w:val="008C4FB3"/>
    <w:rsid w:val="008C5C40"/>
    <w:rsid w:val="008C7383"/>
    <w:rsid w:val="008C74CE"/>
    <w:rsid w:val="008C78A8"/>
    <w:rsid w:val="008C7B3C"/>
    <w:rsid w:val="008D0049"/>
    <w:rsid w:val="008D02AC"/>
    <w:rsid w:val="008D0F44"/>
    <w:rsid w:val="008D1A80"/>
    <w:rsid w:val="008D2338"/>
    <w:rsid w:val="008D24C1"/>
    <w:rsid w:val="008D24E7"/>
    <w:rsid w:val="008D2B99"/>
    <w:rsid w:val="008D2C10"/>
    <w:rsid w:val="008D2D00"/>
    <w:rsid w:val="008D315B"/>
    <w:rsid w:val="008D38A6"/>
    <w:rsid w:val="008D4069"/>
    <w:rsid w:val="008D469C"/>
    <w:rsid w:val="008D4DED"/>
    <w:rsid w:val="008D52E6"/>
    <w:rsid w:val="008D5E87"/>
    <w:rsid w:val="008D732C"/>
    <w:rsid w:val="008D7367"/>
    <w:rsid w:val="008D7A44"/>
    <w:rsid w:val="008D7CD1"/>
    <w:rsid w:val="008E0664"/>
    <w:rsid w:val="008E0CEC"/>
    <w:rsid w:val="008E0E6C"/>
    <w:rsid w:val="008E18B1"/>
    <w:rsid w:val="008E1986"/>
    <w:rsid w:val="008E1D6F"/>
    <w:rsid w:val="008E26B2"/>
    <w:rsid w:val="008E36FB"/>
    <w:rsid w:val="008E3EBB"/>
    <w:rsid w:val="008E4383"/>
    <w:rsid w:val="008E49F1"/>
    <w:rsid w:val="008E4ADD"/>
    <w:rsid w:val="008E4DFA"/>
    <w:rsid w:val="008E5751"/>
    <w:rsid w:val="008E5DCC"/>
    <w:rsid w:val="008E6313"/>
    <w:rsid w:val="008E6F91"/>
    <w:rsid w:val="008E718A"/>
    <w:rsid w:val="008E7BB1"/>
    <w:rsid w:val="008F0029"/>
    <w:rsid w:val="008F0155"/>
    <w:rsid w:val="008F01E4"/>
    <w:rsid w:val="008F19A2"/>
    <w:rsid w:val="008F1D94"/>
    <w:rsid w:val="008F32D2"/>
    <w:rsid w:val="008F341C"/>
    <w:rsid w:val="008F3A0B"/>
    <w:rsid w:val="008F3BDF"/>
    <w:rsid w:val="008F487F"/>
    <w:rsid w:val="008F572D"/>
    <w:rsid w:val="008F574A"/>
    <w:rsid w:val="008F5EEC"/>
    <w:rsid w:val="008F69D1"/>
    <w:rsid w:val="008F6B7A"/>
    <w:rsid w:val="008F70CD"/>
    <w:rsid w:val="008F7A0B"/>
    <w:rsid w:val="008F7B60"/>
    <w:rsid w:val="008F7CAD"/>
    <w:rsid w:val="009003AC"/>
    <w:rsid w:val="00900624"/>
    <w:rsid w:val="009009A9"/>
    <w:rsid w:val="00901108"/>
    <w:rsid w:val="009013F0"/>
    <w:rsid w:val="0090145E"/>
    <w:rsid w:val="0090221D"/>
    <w:rsid w:val="0090244B"/>
    <w:rsid w:val="00902884"/>
    <w:rsid w:val="009032E4"/>
    <w:rsid w:val="009033EB"/>
    <w:rsid w:val="00903581"/>
    <w:rsid w:val="0090409B"/>
    <w:rsid w:val="00905E20"/>
    <w:rsid w:val="009060D3"/>
    <w:rsid w:val="009062FF"/>
    <w:rsid w:val="00906D64"/>
    <w:rsid w:val="00906EF4"/>
    <w:rsid w:val="00907883"/>
    <w:rsid w:val="00911273"/>
    <w:rsid w:val="00912ED8"/>
    <w:rsid w:val="00912F9A"/>
    <w:rsid w:val="009147A7"/>
    <w:rsid w:val="009148DD"/>
    <w:rsid w:val="00915E77"/>
    <w:rsid w:val="009160CF"/>
    <w:rsid w:val="00917213"/>
    <w:rsid w:val="00917287"/>
    <w:rsid w:val="009205B0"/>
    <w:rsid w:val="0092080C"/>
    <w:rsid w:val="0092134B"/>
    <w:rsid w:val="009221AC"/>
    <w:rsid w:val="009224F2"/>
    <w:rsid w:val="009225B3"/>
    <w:rsid w:val="00922A15"/>
    <w:rsid w:val="0092456D"/>
    <w:rsid w:val="00924C9C"/>
    <w:rsid w:val="00925590"/>
    <w:rsid w:val="00925C68"/>
    <w:rsid w:val="00925EBC"/>
    <w:rsid w:val="0092657F"/>
    <w:rsid w:val="00926967"/>
    <w:rsid w:val="00927518"/>
    <w:rsid w:val="009278B4"/>
    <w:rsid w:val="00927953"/>
    <w:rsid w:val="00927BD5"/>
    <w:rsid w:val="00927C79"/>
    <w:rsid w:val="00927FC3"/>
    <w:rsid w:val="00930557"/>
    <w:rsid w:val="00930815"/>
    <w:rsid w:val="009312C7"/>
    <w:rsid w:val="0093170E"/>
    <w:rsid w:val="00932556"/>
    <w:rsid w:val="00932A22"/>
    <w:rsid w:val="009332BA"/>
    <w:rsid w:val="00933397"/>
    <w:rsid w:val="00933706"/>
    <w:rsid w:val="0093465C"/>
    <w:rsid w:val="009346C4"/>
    <w:rsid w:val="00934A8F"/>
    <w:rsid w:val="009350BF"/>
    <w:rsid w:val="009359A1"/>
    <w:rsid w:val="009367D9"/>
    <w:rsid w:val="009401A8"/>
    <w:rsid w:val="00941909"/>
    <w:rsid w:val="00942453"/>
    <w:rsid w:val="00942A67"/>
    <w:rsid w:val="009435CD"/>
    <w:rsid w:val="0094396D"/>
    <w:rsid w:val="0094420F"/>
    <w:rsid w:val="00944518"/>
    <w:rsid w:val="00944846"/>
    <w:rsid w:val="00945013"/>
    <w:rsid w:val="0094586B"/>
    <w:rsid w:val="00945EA1"/>
    <w:rsid w:val="009469B5"/>
    <w:rsid w:val="00946B41"/>
    <w:rsid w:val="009473CE"/>
    <w:rsid w:val="00947563"/>
    <w:rsid w:val="0094777F"/>
    <w:rsid w:val="00947A5C"/>
    <w:rsid w:val="009508D4"/>
    <w:rsid w:val="00950D10"/>
    <w:rsid w:val="00950F84"/>
    <w:rsid w:val="00951606"/>
    <w:rsid w:val="00952128"/>
    <w:rsid w:val="00952B7A"/>
    <w:rsid w:val="0095425C"/>
    <w:rsid w:val="00954DC0"/>
    <w:rsid w:val="009556D1"/>
    <w:rsid w:val="00955978"/>
    <w:rsid w:val="009560F0"/>
    <w:rsid w:val="009566EF"/>
    <w:rsid w:val="00957B1D"/>
    <w:rsid w:val="00957BF9"/>
    <w:rsid w:val="00960031"/>
    <w:rsid w:val="00960EB2"/>
    <w:rsid w:val="00960EC8"/>
    <w:rsid w:val="009624B9"/>
    <w:rsid w:val="009637F9"/>
    <w:rsid w:val="00963AA1"/>
    <w:rsid w:val="009646D8"/>
    <w:rsid w:val="009658B2"/>
    <w:rsid w:val="009659E0"/>
    <w:rsid w:val="00966710"/>
    <w:rsid w:val="009674A0"/>
    <w:rsid w:val="00967B54"/>
    <w:rsid w:val="00967BA9"/>
    <w:rsid w:val="0097051F"/>
    <w:rsid w:val="00970AD2"/>
    <w:rsid w:val="0097113C"/>
    <w:rsid w:val="00971C7B"/>
    <w:rsid w:val="00971DA8"/>
    <w:rsid w:val="00971DDD"/>
    <w:rsid w:val="0097213C"/>
    <w:rsid w:val="00972753"/>
    <w:rsid w:val="00973026"/>
    <w:rsid w:val="00974119"/>
    <w:rsid w:val="009741CB"/>
    <w:rsid w:val="00974D21"/>
    <w:rsid w:val="00974E3E"/>
    <w:rsid w:val="00976794"/>
    <w:rsid w:val="00976A8C"/>
    <w:rsid w:val="00976B73"/>
    <w:rsid w:val="0097721C"/>
    <w:rsid w:val="009825E4"/>
    <w:rsid w:val="00982912"/>
    <w:rsid w:val="00982918"/>
    <w:rsid w:val="00982AEF"/>
    <w:rsid w:val="00982E37"/>
    <w:rsid w:val="00983AAA"/>
    <w:rsid w:val="00983F4B"/>
    <w:rsid w:val="0098418F"/>
    <w:rsid w:val="00984748"/>
    <w:rsid w:val="00984A6F"/>
    <w:rsid w:val="009859D1"/>
    <w:rsid w:val="009875D2"/>
    <w:rsid w:val="00987BE7"/>
    <w:rsid w:val="00990DA1"/>
    <w:rsid w:val="00990FFB"/>
    <w:rsid w:val="00991A9C"/>
    <w:rsid w:val="009925B5"/>
    <w:rsid w:val="009925C5"/>
    <w:rsid w:val="00992BEB"/>
    <w:rsid w:val="00992EA9"/>
    <w:rsid w:val="00992F5E"/>
    <w:rsid w:val="00993083"/>
    <w:rsid w:val="009931DC"/>
    <w:rsid w:val="00993E78"/>
    <w:rsid w:val="00995141"/>
    <w:rsid w:val="0099555B"/>
    <w:rsid w:val="009964E9"/>
    <w:rsid w:val="00996DF6"/>
    <w:rsid w:val="009972CA"/>
    <w:rsid w:val="009972EC"/>
    <w:rsid w:val="009A0846"/>
    <w:rsid w:val="009A0F21"/>
    <w:rsid w:val="009A120F"/>
    <w:rsid w:val="009A1561"/>
    <w:rsid w:val="009A1BFB"/>
    <w:rsid w:val="009A1FE5"/>
    <w:rsid w:val="009A2632"/>
    <w:rsid w:val="009A2DD9"/>
    <w:rsid w:val="009A32DF"/>
    <w:rsid w:val="009A42CF"/>
    <w:rsid w:val="009A4886"/>
    <w:rsid w:val="009A48FD"/>
    <w:rsid w:val="009A4A88"/>
    <w:rsid w:val="009A5A3F"/>
    <w:rsid w:val="009A6F33"/>
    <w:rsid w:val="009B07A9"/>
    <w:rsid w:val="009B08D9"/>
    <w:rsid w:val="009B08DD"/>
    <w:rsid w:val="009B12B1"/>
    <w:rsid w:val="009B140A"/>
    <w:rsid w:val="009B16A0"/>
    <w:rsid w:val="009B179E"/>
    <w:rsid w:val="009B1CF9"/>
    <w:rsid w:val="009B34C8"/>
    <w:rsid w:val="009B4D01"/>
    <w:rsid w:val="009B546B"/>
    <w:rsid w:val="009B5D2F"/>
    <w:rsid w:val="009B60C4"/>
    <w:rsid w:val="009B752F"/>
    <w:rsid w:val="009B7AFD"/>
    <w:rsid w:val="009C05EC"/>
    <w:rsid w:val="009C08DC"/>
    <w:rsid w:val="009C0B76"/>
    <w:rsid w:val="009C0FE0"/>
    <w:rsid w:val="009C1126"/>
    <w:rsid w:val="009C1F07"/>
    <w:rsid w:val="009C201E"/>
    <w:rsid w:val="009C2615"/>
    <w:rsid w:val="009C3B37"/>
    <w:rsid w:val="009C3C4D"/>
    <w:rsid w:val="009C3DF8"/>
    <w:rsid w:val="009C6CED"/>
    <w:rsid w:val="009C6D40"/>
    <w:rsid w:val="009C79AD"/>
    <w:rsid w:val="009C7A03"/>
    <w:rsid w:val="009D0335"/>
    <w:rsid w:val="009D05B0"/>
    <w:rsid w:val="009D2508"/>
    <w:rsid w:val="009D363A"/>
    <w:rsid w:val="009D37D2"/>
    <w:rsid w:val="009D3DA2"/>
    <w:rsid w:val="009D47DF"/>
    <w:rsid w:val="009D4E2D"/>
    <w:rsid w:val="009D51E8"/>
    <w:rsid w:val="009D5ADA"/>
    <w:rsid w:val="009D5C39"/>
    <w:rsid w:val="009D6C16"/>
    <w:rsid w:val="009D7263"/>
    <w:rsid w:val="009D7321"/>
    <w:rsid w:val="009D745C"/>
    <w:rsid w:val="009E0074"/>
    <w:rsid w:val="009E013A"/>
    <w:rsid w:val="009E01BF"/>
    <w:rsid w:val="009E0ACD"/>
    <w:rsid w:val="009E0F0D"/>
    <w:rsid w:val="009E1F33"/>
    <w:rsid w:val="009E37DC"/>
    <w:rsid w:val="009E41D3"/>
    <w:rsid w:val="009E4A49"/>
    <w:rsid w:val="009E51C0"/>
    <w:rsid w:val="009E5634"/>
    <w:rsid w:val="009E6205"/>
    <w:rsid w:val="009E6290"/>
    <w:rsid w:val="009E6443"/>
    <w:rsid w:val="009E6539"/>
    <w:rsid w:val="009E66F7"/>
    <w:rsid w:val="009E69EF"/>
    <w:rsid w:val="009E6B90"/>
    <w:rsid w:val="009E72F0"/>
    <w:rsid w:val="009E7430"/>
    <w:rsid w:val="009E762B"/>
    <w:rsid w:val="009E7E96"/>
    <w:rsid w:val="009F138A"/>
    <w:rsid w:val="009F24F8"/>
    <w:rsid w:val="009F262A"/>
    <w:rsid w:val="009F2D01"/>
    <w:rsid w:val="009F301C"/>
    <w:rsid w:val="009F39A9"/>
    <w:rsid w:val="009F438A"/>
    <w:rsid w:val="009F4566"/>
    <w:rsid w:val="009F50E2"/>
    <w:rsid w:val="009F6121"/>
    <w:rsid w:val="009F64CA"/>
    <w:rsid w:val="009F65CA"/>
    <w:rsid w:val="009F687A"/>
    <w:rsid w:val="009F7160"/>
    <w:rsid w:val="00A007F4"/>
    <w:rsid w:val="00A01A8D"/>
    <w:rsid w:val="00A01EB1"/>
    <w:rsid w:val="00A01F4C"/>
    <w:rsid w:val="00A02412"/>
    <w:rsid w:val="00A025B8"/>
    <w:rsid w:val="00A02857"/>
    <w:rsid w:val="00A02C66"/>
    <w:rsid w:val="00A02E79"/>
    <w:rsid w:val="00A032A2"/>
    <w:rsid w:val="00A033BB"/>
    <w:rsid w:val="00A037B4"/>
    <w:rsid w:val="00A03D1A"/>
    <w:rsid w:val="00A03E8F"/>
    <w:rsid w:val="00A0428E"/>
    <w:rsid w:val="00A046F1"/>
    <w:rsid w:val="00A04956"/>
    <w:rsid w:val="00A051BB"/>
    <w:rsid w:val="00A0549E"/>
    <w:rsid w:val="00A05AA7"/>
    <w:rsid w:val="00A06472"/>
    <w:rsid w:val="00A06780"/>
    <w:rsid w:val="00A1051B"/>
    <w:rsid w:val="00A10862"/>
    <w:rsid w:val="00A10E25"/>
    <w:rsid w:val="00A115D7"/>
    <w:rsid w:val="00A11867"/>
    <w:rsid w:val="00A119CF"/>
    <w:rsid w:val="00A1256C"/>
    <w:rsid w:val="00A12853"/>
    <w:rsid w:val="00A12CC4"/>
    <w:rsid w:val="00A12EEB"/>
    <w:rsid w:val="00A13DFB"/>
    <w:rsid w:val="00A13FE8"/>
    <w:rsid w:val="00A140DE"/>
    <w:rsid w:val="00A14634"/>
    <w:rsid w:val="00A1482E"/>
    <w:rsid w:val="00A15343"/>
    <w:rsid w:val="00A164F8"/>
    <w:rsid w:val="00A16A32"/>
    <w:rsid w:val="00A16D1F"/>
    <w:rsid w:val="00A173FC"/>
    <w:rsid w:val="00A1749E"/>
    <w:rsid w:val="00A17F10"/>
    <w:rsid w:val="00A207E2"/>
    <w:rsid w:val="00A20856"/>
    <w:rsid w:val="00A20CD2"/>
    <w:rsid w:val="00A21616"/>
    <w:rsid w:val="00A21B87"/>
    <w:rsid w:val="00A21C40"/>
    <w:rsid w:val="00A21D69"/>
    <w:rsid w:val="00A21DA5"/>
    <w:rsid w:val="00A22328"/>
    <w:rsid w:val="00A228C0"/>
    <w:rsid w:val="00A22E58"/>
    <w:rsid w:val="00A22F56"/>
    <w:rsid w:val="00A236D2"/>
    <w:rsid w:val="00A2426D"/>
    <w:rsid w:val="00A24FB8"/>
    <w:rsid w:val="00A250D6"/>
    <w:rsid w:val="00A25931"/>
    <w:rsid w:val="00A260ED"/>
    <w:rsid w:val="00A26CCB"/>
    <w:rsid w:val="00A27838"/>
    <w:rsid w:val="00A27CCB"/>
    <w:rsid w:val="00A30051"/>
    <w:rsid w:val="00A32998"/>
    <w:rsid w:val="00A32BC1"/>
    <w:rsid w:val="00A32CC3"/>
    <w:rsid w:val="00A3340F"/>
    <w:rsid w:val="00A3413A"/>
    <w:rsid w:val="00A341FD"/>
    <w:rsid w:val="00A3466E"/>
    <w:rsid w:val="00A34895"/>
    <w:rsid w:val="00A34BA1"/>
    <w:rsid w:val="00A34C7F"/>
    <w:rsid w:val="00A35947"/>
    <w:rsid w:val="00A36150"/>
    <w:rsid w:val="00A36570"/>
    <w:rsid w:val="00A3682E"/>
    <w:rsid w:val="00A36EFC"/>
    <w:rsid w:val="00A37B47"/>
    <w:rsid w:val="00A37C8E"/>
    <w:rsid w:val="00A404AE"/>
    <w:rsid w:val="00A40A1A"/>
    <w:rsid w:val="00A412F3"/>
    <w:rsid w:val="00A4180C"/>
    <w:rsid w:val="00A42BEA"/>
    <w:rsid w:val="00A4317E"/>
    <w:rsid w:val="00A43F39"/>
    <w:rsid w:val="00A44477"/>
    <w:rsid w:val="00A451F7"/>
    <w:rsid w:val="00A452FE"/>
    <w:rsid w:val="00A4563A"/>
    <w:rsid w:val="00A461D0"/>
    <w:rsid w:val="00A4777D"/>
    <w:rsid w:val="00A47A26"/>
    <w:rsid w:val="00A47D88"/>
    <w:rsid w:val="00A50383"/>
    <w:rsid w:val="00A509E7"/>
    <w:rsid w:val="00A51C05"/>
    <w:rsid w:val="00A51D06"/>
    <w:rsid w:val="00A52252"/>
    <w:rsid w:val="00A524D1"/>
    <w:rsid w:val="00A52670"/>
    <w:rsid w:val="00A5267E"/>
    <w:rsid w:val="00A53684"/>
    <w:rsid w:val="00A5370E"/>
    <w:rsid w:val="00A53D76"/>
    <w:rsid w:val="00A54851"/>
    <w:rsid w:val="00A54B30"/>
    <w:rsid w:val="00A54C58"/>
    <w:rsid w:val="00A562FA"/>
    <w:rsid w:val="00A56A25"/>
    <w:rsid w:val="00A570FA"/>
    <w:rsid w:val="00A57955"/>
    <w:rsid w:val="00A60E51"/>
    <w:rsid w:val="00A6129B"/>
    <w:rsid w:val="00A61B38"/>
    <w:rsid w:val="00A61DF7"/>
    <w:rsid w:val="00A63A59"/>
    <w:rsid w:val="00A6420B"/>
    <w:rsid w:val="00A64AB2"/>
    <w:rsid w:val="00A65FDE"/>
    <w:rsid w:val="00A70411"/>
    <w:rsid w:val="00A71BD4"/>
    <w:rsid w:val="00A72319"/>
    <w:rsid w:val="00A7270E"/>
    <w:rsid w:val="00A727F1"/>
    <w:rsid w:val="00A73822"/>
    <w:rsid w:val="00A73CDA"/>
    <w:rsid w:val="00A73EDC"/>
    <w:rsid w:val="00A74F5C"/>
    <w:rsid w:val="00A75ADF"/>
    <w:rsid w:val="00A766F3"/>
    <w:rsid w:val="00A77D81"/>
    <w:rsid w:val="00A77E1A"/>
    <w:rsid w:val="00A8043B"/>
    <w:rsid w:val="00A80682"/>
    <w:rsid w:val="00A80808"/>
    <w:rsid w:val="00A80CE8"/>
    <w:rsid w:val="00A814D2"/>
    <w:rsid w:val="00A82192"/>
    <w:rsid w:val="00A82341"/>
    <w:rsid w:val="00A82D49"/>
    <w:rsid w:val="00A832D7"/>
    <w:rsid w:val="00A8358C"/>
    <w:rsid w:val="00A83592"/>
    <w:rsid w:val="00A83993"/>
    <w:rsid w:val="00A844C6"/>
    <w:rsid w:val="00A84595"/>
    <w:rsid w:val="00A84B94"/>
    <w:rsid w:val="00A86059"/>
    <w:rsid w:val="00A86680"/>
    <w:rsid w:val="00A873C9"/>
    <w:rsid w:val="00A8753B"/>
    <w:rsid w:val="00A876EC"/>
    <w:rsid w:val="00A877D4"/>
    <w:rsid w:val="00A9023D"/>
    <w:rsid w:val="00A9137B"/>
    <w:rsid w:val="00A91780"/>
    <w:rsid w:val="00A91AA7"/>
    <w:rsid w:val="00A91B4E"/>
    <w:rsid w:val="00A91E97"/>
    <w:rsid w:val="00A92874"/>
    <w:rsid w:val="00A928FE"/>
    <w:rsid w:val="00A92CAD"/>
    <w:rsid w:val="00A94125"/>
    <w:rsid w:val="00A948E2"/>
    <w:rsid w:val="00A9519E"/>
    <w:rsid w:val="00A9562E"/>
    <w:rsid w:val="00A959DD"/>
    <w:rsid w:val="00A95DDE"/>
    <w:rsid w:val="00A95E8E"/>
    <w:rsid w:val="00A96846"/>
    <w:rsid w:val="00A96857"/>
    <w:rsid w:val="00A9685E"/>
    <w:rsid w:val="00A97660"/>
    <w:rsid w:val="00A97746"/>
    <w:rsid w:val="00A97D68"/>
    <w:rsid w:val="00AA00FD"/>
    <w:rsid w:val="00AA01EC"/>
    <w:rsid w:val="00AA114C"/>
    <w:rsid w:val="00AA2332"/>
    <w:rsid w:val="00AA2B8C"/>
    <w:rsid w:val="00AA2D83"/>
    <w:rsid w:val="00AA38F5"/>
    <w:rsid w:val="00AA480F"/>
    <w:rsid w:val="00AA5121"/>
    <w:rsid w:val="00AA55CB"/>
    <w:rsid w:val="00AA5956"/>
    <w:rsid w:val="00AA5994"/>
    <w:rsid w:val="00AA5B6C"/>
    <w:rsid w:val="00AA67F1"/>
    <w:rsid w:val="00AA70D2"/>
    <w:rsid w:val="00AA7A56"/>
    <w:rsid w:val="00AB03AC"/>
    <w:rsid w:val="00AB0892"/>
    <w:rsid w:val="00AB09FC"/>
    <w:rsid w:val="00AB0B4A"/>
    <w:rsid w:val="00AB0DFF"/>
    <w:rsid w:val="00AB1DF9"/>
    <w:rsid w:val="00AB22A1"/>
    <w:rsid w:val="00AB3207"/>
    <w:rsid w:val="00AB3BC2"/>
    <w:rsid w:val="00AB3FB3"/>
    <w:rsid w:val="00AB4AA7"/>
    <w:rsid w:val="00AB4EF7"/>
    <w:rsid w:val="00AB6EEA"/>
    <w:rsid w:val="00AB79AE"/>
    <w:rsid w:val="00AC0D99"/>
    <w:rsid w:val="00AC0F80"/>
    <w:rsid w:val="00AC118A"/>
    <w:rsid w:val="00AC1EA2"/>
    <w:rsid w:val="00AC24B0"/>
    <w:rsid w:val="00AC2D2F"/>
    <w:rsid w:val="00AC47DD"/>
    <w:rsid w:val="00AC4A0B"/>
    <w:rsid w:val="00AC4D76"/>
    <w:rsid w:val="00AC6021"/>
    <w:rsid w:val="00AC614B"/>
    <w:rsid w:val="00AC6694"/>
    <w:rsid w:val="00AC7545"/>
    <w:rsid w:val="00AC79F2"/>
    <w:rsid w:val="00AC7B02"/>
    <w:rsid w:val="00AD01AC"/>
    <w:rsid w:val="00AD1587"/>
    <w:rsid w:val="00AD1821"/>
    <w:rsid w:val="00AD184D"/>
    <w:rsid w:val="00AD2776"/>
    <w:rsid w:val="00AD3534"/>
    <w:rsid w:val="00AD43A8"/>
    <w:rsid w:val="00AD6705"/>
    <w:rsid w:val="00AD6901"/>
    <w:rsid w:val="00AD6FCE"/>
    <w:rsid w:val="00AD7476"/>
    <w:rsid w:val="00AD7F4C"/>
    <w:rsid w:val="00AE06BD"/>
    <w:rsid w:val="00AE06EC"/>
    <w:rsid w:val="00AE128A"/>
    <w:rsid w:val="00AE38AB"/>
    <w:rsid w:val="00AE3A8E"/>
    <w:rsid w:val="00AE4E26"/>
    <w:rsid w:val="00AE53D5"/>
    <w:rsid w:val="00AE58AE"/>
    <w:rsid w:val="00AE5D03"/>
    <w:rsid w:val="00AE62EA"/>
    <w:rsid w:val="00AE661C"/>
    <w:rsid w:val="00AE687E"/>
    <w:rsid w:val="00AE75EF"/>
    <w:rsid w:val="00AE78F3"/>
    <w:rsid w:val="00AF1043"/>
    <w:rsid w:val="00AF113D"/>
    <w:rsid w:val="00AF1A00"/>
    <w:rsid w:val="00AF1CA0"/>
    <w:rsid w:val="00AF1F18"/>
    <w:rsid w:val="00AF2454"/>
    <w:rsid w:val="00AF3CEB"/>
    <w:rsid w:val="00AF3EB7"/>
    <w:rsid w:val="00AF4849"/>
    <w:rsid w:val="00AF4B9E"/>
    <w:rsid w:val="00AF4D70"/>
    <w:rsid w:val="00AF53D5"/>
    <w:rsid w:val="00AF5521"/>
    <w:rsid w:val="00AF69C1"/>
    <w:rsid w:val="00AF7AE6"/>
    <w:rsid w:val="00B00195"/>
    <w:rsid w:val="00B00C9E"/>
    <w:rsid w:val="00B00ED7"/>
    <w:rsid w:val="00B019F5"/>
    <w:rsid w:val="00B0264A"/>
    <w:rsid w:val="00B0291F"/>
    <w:rsid w:val="00B02C04"/>
    <w:rsid w:val="00B02C2F"/>
    <w:rsid w:val="00B034D6"/>
    <w:rsid w:val="00B0369E"/>
    <w:rsid w:val="00B03B24"/>
    <w:rsid w:val="00B03D6A"/>
    <w:rsid w:val="00B03DDF"/>
    <w:rsid w:val="00B05234"/>
    <w:rsid w:val="00B05306"/>
    <w:rsid w:val="00B0559D"/>
    <w:rsid w:val="00B056E4"/>
    <w:rsid w:val="00B05B94"/>
    <w:rsid w:val="00B06003"/>
    <w:rsid w:val="00B06489"/>
    <w:rsid w:val="00B076ED"/>
    <w:rsid w:val="00B10B00"/>
    <w:rsid w:val="00B11B4C"/>
    <w:rsid w:val="00B12C89"/>
    <w:rsid w:val="00B14837"/>
    <w:rsid w:val="00B149AA"/>
    <w:rsid w:val="00B14B3C"/>
    <w:rsid w:val="00B15609"/>
    <w:rsid w:val="00B16527"/>
    <w:rsid w:val="00B16B0B"/>
    <w:rsid w:val="00B17562"/>
    <w:rsid w:val="00B17B9C"/>
    <w:rsid w:val="00B200F3"/>
    <w:rsid w:val="00B2062F"/>
    <w:rsid w:val="00B20781"/>
    <w:rsid w:val="00B20AFE"/>
    <w:rsid w:val="00B20F0D"/>
    <w:rsid w:val="00B211D4"/>
    <w:rsid w:val="00B212CF"/>
    <w:rsid w:val="00B2132A"/>
    <w:rsid w:val="00B21860"/>
    <w:rsid w:val="00B22017"/>
    <w:rsid w:val="00B22FCF"/>
    <w:rsid w:val="00B235A8"/>
    <w:rsid w:val="00B23C00"/>
    <w:rsid w:val="00B2420A"/>
    <w:rsid w:val="00B24E1C"/>
    <w:rsid w:val="00B25EAE"/>
    <w:rsid w:val="00B25FF6"/>
    <w:rsid w:val="00B2664A"/>
    <w:rsid w:val="00B26929"/>
    <w:rsid w:val="00B26C1C"/>
    <w:rsid w:val="00B26E73"/>
    <w:rsid w:val="00B27154"/>
    <w:rsid w:val="00B27628"/>
    <w:rsid w:val="00B3047B"/>
    <w:rsid w:val="00B31BB7"/>
    <w:rsid w:val="00B31E4B"/>
    <w:rsid w:val="00B328F5"/>
    <w:rsid w:val="00B33055"/>
    <w:rsid w:val="00B33297"/>
    <w:rsid w:val="00B341F9"/>
    <w:rsid w:val="00B34EFE"/>
    <w:rsid w:val="00B34F3E"/>
    <w:rsid w:val="00B34F44"/>
    <w:rsid w:val="00B35619"/>
    <w:rsid w:val="00B35A69"/>
    <w:rsid w:val="00B36038"/>
    <w:rsid w:val="00B368DE"/>
    <w:rsid w:val="00B36A1A"/>
    <w:rsid w:val="00B375B2"/>
    <w:rsid w:val="00B37DD9"/>
    <w:rsid w:val="00B40F87"/>
    <w:rsid w:val="00B413CC"/>
    <w:rsid w:val="00B41431"/>
    <w:rsid w:val="00B4160D"/>
    <w:rsid w:val="00B42339"/>
    <w:rsid w:val="00B424C7"/>
    <w:rsid w:val="00B4275E"/>
    <w:rsid w:val="00B42C26"/>
    <w:rsid w:val="00B43CD0"/>
    <w:rsid w:val="00B43DFF"/>
    <w:rsid w:val="00B43E5F"/>
    <w:rsid w:val="00B43EBB"/>
    <w:rsid w:val="00B44267"/>
    <w:rsid w:val="00B44F57"/>
    <w:rsid w:val="00B45A37"/>
    <w:rsid w:val="00B45F99"/>
    <w:rsid w:val="00B46537"/>
    <w:rsid w:val="00B5029A"/>
    <w:rsid w:val="00B507B2"/>
    <w:rsid w:val="00B512E4"/>
    <w:rsid w:val="00B51E2D"/>
    <w:rsid w:val="00B52314"/>
    <w:rsid w:val="00B53BDD"/>
    <w:rsid w:val="00B5403A"/>
    <w:rsid w:val="00B55BA1"/>
    <w:rsid w:val="00B55C52"/>
    <w:rsid w:val="00B5601E"/>
    <w:rsid w:val="00B56360"/>
    <w:rsid w:val="00B564D4"/>
    <w:rsid w:val="00B56E1B"/>
    <w:rsid w:val="00B56EFE"/>
    <w:rsid w:val="00B5782A"/>
    <w:rsid w:val="00B57ECC"/>
    <w:rsid w:val="00B6012E"/>
    <w:rsid w:val="00B60F2B"/>
    <w:rsid w:val="00B60FB6"/>
    <w:rsid w:val="00B61DBC"/>
    <w:rsid w:val="00B61DC2"/>
    <w:rsid w:val="00B622EE"/>
    <w:rsid w:val="00B62A91"/>
    <w:rsid w:val="00B62D98"/>
    <w:rsid w:val="00B63AF6"/>
    <w:rsid w:val="00B64145"/>
    <w:rsid w:val="00B64240"/>
    <w:rsid w:val="00B64CDB"/>
    <w:rsid w:val="00B65848"/>
    <w:rsid w:val="00B66974"/>
    <w:rsid w:val="00B67790"/>
    <w:rsid w:val="00B679A5"/>
    <w:rsid w:val="00B67C37"/>
    <w:rsid w:val="00B705FE"/>
    <w:rsid w:val="00B7094C"/>
    <w:rsid w:val="00B7225A"/>
    <w:rsid w:val="00B72FAB"/>
    <w:rsid w:val="00B73C84"/>
    <w:rsid w:val="00B73EEB"/>
    <w:rsid w:val="00B7408F"/>
    <w:rsid w:val="00B74321"/>
    <w:rsid w:val="00B75339"/>
    <w:rsid w:val="00B7538B"/>
    <w:rsid w:val="00B755FE"/>
    <w:rsid w:val="00B75A6A"/>
    <w:rsid w:val="00B75B7C"/>
    <w:rsid w:val="00B75E01"/>
    <w:rsid w:val="00B75E95"/>
    <w:rsid w:val="00B76565"/>
    <w:rsid w:val="00B76955"/>
    <w:rsid w:val="00B807B2"/>
    <w:rsid w:val="00B810A6"/>
    <w:rsid w:val="00B81788"/>
    <w:rsid w:val="00B81AB1"/>
    <w:rsid w:val="00B82EB4"/>
    <w:rsid w:val="00B83B8A"/>
    <w:rsid w:val="00B84055"/>
    <w:rsid w:val="00B8429E"/>
    <w:rsid w:val="00B8496B"/>
    <w:rsid w:val="00B85721"/>
    <w:rsid w:val="00B85875"/>
    <w:rsid w:val="00B860AD"/>
    <w:rsid w:val="00B86D25"/>
    <w:rsid w:val="00B87065"/>
    <w:rsid w:val="00B87EDE"/>
    <w:rsid w:val="00B903E3"/>
    <w:rsid w:val="00B90439"/>
    <w:rsid w:val="00B904C2"/>
    <w:rsid w:val="00B92CBC"/>
    <w:rsid w:val="00B92E14"/>
    <w:rsid w:val="00B92E2E"/>
    <w:rsid w:val="00B92FB3"/>
    <w:rsid w:val="00B931FD"/>
    <w:rsid w:val="00B93683"/>
    <w:rsid w:val="00B93A29"/>
    <w:rsid w:val="00B942B8"/>
    <w:rsid w:val="00B949F0"/>
    <w:rsid w:val="00B94BB4"/>
    <w:rsid w:val="00B960D2"/>
    <w:rsid w:val="00B9679B"/>
    <w:rsid w:val="00B96E7C"/>
    <w:rsid w:val="00B977C8"/>
    <w:rsid w:val="00BA0588"/>
    <w:rsid w:val="00BA07FC"/>
    <w:rsid w:val="00BA0903"/>
    <w:rsid w:val="00BA1483"/>
    <w:rsid w:val="00BA184E"/>
    <w:rsid w:val="00BA221F"/>
    <w:rsid w:val="00BA2A7E"/>
    <w:rsid w:val="00BA2F49"/>
    <w:rsid w:val="00BA327F"/>
    <w:rsid w:val="00BA38F2"/>
    <w:rsid w:val="00BA401C"/>
    <w:rsid w:val="00BA45CD"/>
    <w:rsid w:val="00BA523B"/>
    <w:rsid w:val="00BA574E"/>
    <w:rsid w:val="00BA5FBC"/>
    <w:rsid w:val="00BA607B"/>
    <w:rsid w:val="00BA6091"/>
    <w:rsid w:val="00BA6266"/>
    <w:rsid w:val="00BA66DE"/>
    <w:rsid w:val="00BA7927"/>
    <w:rsid w:val="00BA7AE5"/>
    <w:rsid w:val="00BB0495"/>
    <w:rsid w:val="00BB0834"/>
    <w:rsid w:val="00BB09F4"/>
    <w:rsid w:val="00BB1344"/>
    <w:rsid w:val="00BB1D4A"/>
    <w:rsid w:val="00BB1EDF"/>
    <w:rsid w:val="00BB2825"/>
    <w:rsid w:val="00BB289D"/>
    <w:rsid w:val="00BB2F5A"/>
    <w:rsid w:val="00BB3064"/>
    <w:rsid w:val="00BB35C6"/>
    <w:rsid w:val="00BB3724"/>
    <w:rsid w:val="00BB3A62"/>
    <w:rsid w:val="00BB56FA"/>
    <w:rsid w:val="00BB5EF5"/>
    <w:rsid w:val="00BB624C"/>
    <w:rsid w:val="00BB683C"/>
    <w:rsid w:val="00BB69C8"/>
    <w:rsid w:val="00BB7CDE"/>
    <w:rsid w:val="00BC0CF7"/>
    <w:rsid w:val="00BC1041"/>
    <w:rsid w:val="00BC1ED0"/>
    <w:rsid w:val="00BC39D5"/>
    <w:rsid w:val="00BC3B90"/>
    <w:rsid w:val="00BC45AA"/>
    <w:rsid w:val="00BC4C9C"/>
    <w:rsid w:val="00BC7164"/>
    <w:rsid w:val="00BC73AB"/>
    <w:rsid w:val="00BC768B"/>
    <w:rsid w:val="00BD1083"/>
    <w:rsid w:val="00BD138A"/>
    <w:rsid w:val="00BD1F09"/>
    <w:rsid w:val="00BD1F42"/>
    <w:rsid w:val="00BD20DD"/>
    <w:rsid w:val="00BD27C2"/>
    <w:rsid w:val="00BD2907"/>
    <w:rsid w:val="00BD2D37"/>
    <w:rsid w:val="00BD30DA"/>
    <w:rsid w:val="00BD3A5E"/>
    <w:rsid w:val="00BD3AD6"/>
    <w:rsid w:val="00BD486C"/>
    <w:rsid w:val="00BD5FFB"/>
    <w:rsid w:val="00BD6168"/>
    <w:rsid w:val="00BD61A3"/>
    <w:rsid w:val="00BD67F8"/>
    <w:rsid w:val="00BD6B8C"/>
    <w:rsid w:val="00BD6DDB"/>
    <w:rsid w:val="00BE2B70"/>
    <w:rsid w:val="00BE3C7F"/>
    <w:rsid w:val="00BE3DE3"/>
    <w:rsid w:val="00BE4C7A"/>
    <w:rsid w:val="00BE5FF8"/>
    <w:rsid w:val="00BE6336"/>
    <w:rsid w:val="00BE7551"/>
    <w:rsid w:val="00BE77AA"/>
    <w:rsid w:val="00BE7A08"/>
    <w:rsid w:val="00BE7EB1"/>
    <w:rsid w:val="00BF005C"/>
    <w:rsid w:val="00BF0801"/>
    <w:rsid w:val="00BF0A6B"/>
    <w:rsid w:val="00BF0C0E"/>
    <w:rsid w:val="00BF0E01"/>
    <w:rsid w:val="00BF13F7"/>
    <w:rsid w:val="00BF15BC"/>
    <w:rsid w:val="00BF15C6"/>
    <w:rsid w:val="00BF1C93"/>
    <w:rsid w:val="00BF259F"/>
    <w:rsid w:val="00BF283E"/>
    <w:rsid w:val="00BF2A64"/>
    <w:rsid w:val="00BF2ACC"/>
    <w:rsid w:val="00BF2DC5"/>
    <w:rsid w:val="00BF3235"/>
    <w:rsid w:val="00BF3A70"/>
    <w:rsid w:val="00BF45C3"/>
    <w:rsid w:val="00BF4885"/>
    <w:rsid w:val="00BF5426"/>
    <w:rsid w:val="00BF5433"/>
    <w:rsid w:val="00BF596E"/>
    <w:rsid w:val="00BF73BF"/>
    <w:rsid w:val="00BF758A"/>
    <w:rsid w:val="00BF76FD"/>
    <w:rsid w:val="00BF7779"/>
    <w:rsid w:val="00BF7CCF"/>
    <w:rsid w:val="00C010AE"/>
    <w:rsid w:val="00C010D5"/>
    <w:rsid w:val="00C02A93"/>
    <w:rsid w:val="00C035FF"/>
    <w:rsid w:val="00C05755"/>
    <w:rsid w:val="00C06498"/>
    <w:rsid w:val="00C0649C"/>
    <w:rsid w:val="00C06B36"/>
    <w:rsid w:val="00C06E5D"/>
    <w:rsid w:val="00C0716E"/>
    <w:rsid w:val="00C071A7"/>
    <w:rsid w:val="00C074E8"/>
    <w:rsid w:val="00C0764D"/>
    <w:rsid w:val="00C07F85"/>
    <w:rsid w:val="00C10361"/>
    <w:rsid w:val="00C103ED"/>
    <w:rsid w:val="00C10E39"/>
    <w:rsid w:val="00C10FBC"/>
    <w:rsid w:val="00C112C3"/>
    <w:rsid w:val="00C11451"/>
    <w:rsid w:val="00C118E8"/>
    <w:rsid w:val="00C11DAC"/>
    <w:rsid w:val="00C1209F"/>
    <w:rsid w:val="00C126A0"/>
    <w:rsid w:val="00C127A8"/>
    <w:rsid w:val="00C12A1C"/>
    <w:rsid w:val="00C12D89"/>
    <w:rsid w:val="00C12F6A"/>
    <w:rsid w:val="00C141AF"/>
    <w:rsid w:val="00C142C3"/>
    <w:rsid w:val="00C14926"/>
    <w:rsid w:val="00C16C0F"/>
    <w:rsid w:val="00C16CAD"/>
    <w:rsid w:val="00C17522"/>
    <w:rsid w:val="00C20F08"/>
    <w:rsid w:val="00C20FE8"/>
    <w:rsid w:val="00C21FC7"/>
    <w:rsid w:val="00C22453"/>
    <w:rsid w:val="00C22F29"/>
    <w:rsid w:val="00C2463A"/>
    <w:rsid w:val="00C247CB"/>
    <w:rsid w:val="00C252D9"/>
    <w:rsid w:val="00C25792"/>
    <w:rsid w:val="00C2593E"/>
    <w:rsid w:val="00C2596A"/>
    <w:rsid w:val="00C263D3"/>
    <w:rsid w:val="00C26569"/>
    <w:rsid w:val="00C26A53"/>
    <w:rsid w:val="00C26AB4"/>
    <w:rsid w:val="00C27053"/>
    <w:rsid w:val="00C27200"/>
    <w:rsid w:val="00C27D9E"/>
    <w:rsid w:val="00C30B78"/>
    <w:rsid w:val="00C32E15"/>
    <w:rsid w:val="00C33017"/>
    <w:rsid w:val="00C3330B"/>
    <w:rsid w:val="00C34566"/>
    <w:rsid w:val="00C349D9"/>
    <w:rsid w:val="00C34DBA"/>
    <w:rsid w:val="00C357F0"/>
    <w:rsid w:val="00C35829"/>
    <w:rsid w:val="00C36C31"/>
    <w:rsid w:val="00C37011"/>
    <w:rsid w:val="00C40C52"/>
    <w:rsid w:val="00C414D4"/>
    <w:rsid w:val="00C427CA"/>
    <w:rsid w:val="00C42A4B"/>
    <w:rsid w:val="00C43046"/>
    <w:rsid w:val="00C43D09"/>
    <w:rsid w:val="00C43E31"/>
    <w:rsid w:val="00C44EE0"/>
    <w:rsid w:val="00C4514C"/>
    <w:rsid w:val="00C45374"/>
    <w:rsid w:val="00C453BE"/>
    <w:rsid w:val="00C45936"/>
    <w:rsid w:val="00C4679F"/>
    <w:rsid w:val="00C46B2D"/>
    <w:rsid w:val="00C46B64"/>
    <w:rsid w:val="00C471A3"/>
    <w:rsid w:val="00C4724E"/>
    <w:rsid w:val="00C47CB9"/>
    <w:rsid w:val="00C47FAD"/>
    <w:rsid w:val="00C50205"/>
    <w:rsid w:val="00C51740"/>
    <w:rsid w:val="00C51992"/>
    <w:rsid w:val="00C5270F"/>
    <w:rsid w:val="00C52D4A"/>
    <w:rsid w:val="00C5334D"/>
    <w:rsid w:val="00C53392"/>
    <w:rsid w:val="00C543C1"/>
    <w:rsid w:val="00C54751"/>
    <w:rsid w:val="00C54E52"/>
    <w:rsid w:val="00C556FD"/>
    <w:rsid w:val="00C55E9A"/>
    <w:rsid w:val="00C56536"/>
    <w:rsid w:val="00C5659F"/>
    <w:rsid w:val="00C56662"/>
    <w:rsid w:val="00C56742"/>
    <w:rsid w:val="00C56FF6"/>
    <w:rsid w:val="00C5744D"/>
    <w:rsid w:val="00C57C7C"/>
    <w:rsid w:val="00C61341"/>
    <w:rsid w:val="00C62853"/>
    <w:rsid w:val="00C6286F"/>
    <w:rsid w:val="00C63AFE"/>
    <w:rsid w:val="00C64264"/>
    <w:rsid w:val="00C64350"/>
    <w:rsid w:val="00C646B8"/>
    <w:rsid w:val="00C651C1"/>
    <w:rsid w:val="00C652BD"/>
    <w:rsid w:val="00C65FE0"/>
    <w:rsid w:val="00C6651C"/>
    <w:rsid w:val="00C66BC7"/>
    <w:rsid w:val="00C66D9C"/>
    <w:rsid w:val="00C6755C"/>
    <w:rsid w:val="00C678BA"/>
    <w:rsid w:val="00C706BB"/>
    <w:rsid w:val="00C714B0"/>
    <w:rsid w:val="00C71FC2"/>
    <w:rsid w:val="00C71FF5"/>
    <w:rsid w:val="00C72161"/>
    <w:rsid w:val="00C72AC2"/>
    <w:rsid w:val="00C73F80"/>
    <w:rsid w:val="00C7426C"/>
    <w:rsid w:val="00C74969"/>
    <w:rsid w:val="00C74A38"/>
    <w:rsid w:val="00C74CFA"/>
    <w:rsid w:val="00C75627"/>
    <w:rsid w:val="00C75736"/>
    <w:rsid w:val="00C7595E"/>
    <w:rsid w:val="00C75C04"/>
    <w:rsid w:val="00C76864"/>
    <w:rsid w:val="00C7696D"/>
    <w:rsid w:val="00C76D05"/>
    <w:rsid w:val="00C775F9"/>
    <w:rsid w:val="00C77E56"/>
    <w:rsid w:val="00C803D9"/>
    <w:rsid w:val="00C81152"/>
    <w:rsid w:val="00C81894"/>
    <w:rsid w:val="00C81AC4"/>
    <w:rsid w:val="00C827D8"/>
    <w:rsid w:val="00C834E2"/>
    <w:rsid w:val="00C8409A"/>
    <w:rsid w:val="00C8411D"/>
    <w:rsid w:val="00C842F0"/>
    <w:rsid w:val="00C8490E"/>
    <w:rsid w:val="00C85194"/>
    <w:rsid w:val="00C85249"/>
    <w:rsid w:val="00C85257"/>
    <w:rsid w:val="00C854C3"/>
    <w:rsid w:val="00C85D5A"/>
    <w:rsid w:val="00C865A8"/>
    <w:rsid w:val="00C86959"/>
    <w:rsid w:val="00C873F4"/>
    <w:rsid w:val="00C87F3D"/>
    <w:rsid w:val="00C90017"/>
    <w:rsid w:val="00C902DE"/>
    <w:rsid w:val="00C9058F"/>
    <w:rsid w:val="00C9202E"/>
    <w:rsid w:val="00C92D9D"/>
    <w:rsid w:val="00C93095"/>
    <w:rsid w:val="00C9353A"/>
    <w:rsid w:val="00C9383E"/>
    <w:rsid w:val="00C938CF"/>
    <w:rsid w:val="00C950EC"/>
    <w:rsid w:val="00C95A13"/>
    <w:rsid w:val="00C95B24"/>
    <w:rsid w:val="00C96627"/>
    <w:rsid w:val="00C96D93"/>
    <w:rsid w:val="00C9783D"/>
    <w:rsid w:val="00C97AAA"/>
    <w:rsid w:val="00C97B5F"/>
    <w:rsid w:val="00C97FDB"/>
    <w:rsid w:val="00CA0354"/>
    <w:rsid w:val="00CA041E"/>
    <w:rsid w:val="00CA0791"/>
    <w:rsid w:val="00CA085D"/>
    <w:rsid w:val="00CA14CE"/>
    <w:rsid w:val="00CA1DB5"/>
    <w:rsid w:val="00CA1EFC"/>
    <w:rsid w:val="00CA28B9"/>
    <w:rsid w:val="00CA29EC"/>
    <w:rsid w:val="00CA46CA"/>
    <w:rsid w:val="00CA5789"/>
    <w:rsid w:val="00CA60F4"/>
    <w:rsid w:val="00CA61C9"/>
    <w:rsid w:val="00CA680B"/>
    <w:rsid w:val="00CA6D0E"/>
    <w:rsid w:val="00CA70EF"/>
    <w:rsid w:val="00CA7224"/>
    <w:rsid w:val="00CA7C91"/>
    <w:rsid w:val="00CB0746"/>
    <w:rsid w:val="00CB2501"/>
    <w:rsid w:val="00CB29CE"/>
    <w:rsid w:val="00CB39E0"/>
    <w:rsid w:val="00CB3BA5"/>
    <w:rsid w:val="00CB3E90"/>
    <w:rsid w:val="00CB3F60"/>
    <w:rsid w:val="00CB45EE"/>
    <w:rsid w:val="00CB4D0E"/>
    <w:rsid w:val="00CB5F33"/>
    <w:rsid w:val="00CB6140"/>
    <w:rsid w:val="00CB62BA"/>
    <w:rsid w:val="00CB657A"/>
    <w:rsid w:val="00CB68A7"/>
    <w:rsid w:val="00CB6C62"/>
    <w:rsid w:val="00CB7462"/>
    <w:rsid w:val="00CB7710"/>
    <w:rsid w:val="00CB7765"/>
    <w:rsid w:val="00CC08BA"/>
    <w:rsid w:val="00CC0B78"/>
    <w:rsid w:val="00CC18CF"/>
    <w:rsid w:val="00CC2172"/>
    <w:rsid w:val="00CC22D8"/>
    <w:rsid w:val="00CC414D"/>
    <w:rsid w:val="00CC4311"/>
    <w:rsid w:val="00CC4529"/>
    <w:rsid w:val="00CC45F3"/>
    <w:rsid w:val="00CC4676"/>
    <w:rsid w:val="00CC4E00"/>
    <w:rsid w:val="00CC6EBF"/>
    <w:rsid w:val="00CC741D"/>
    <w:rsid w:val="00CC78F3"/>
    <w:rsid w:val="00CD0394"/>
    <w:rsid w:val="00CD12FC"/>
    <w:rsid w:val="00CD173B"/>
    <w:rsid w:val="00CD24F1"/>
    <w:rsid w:val="00CD2F77"/>
    <w:rsid w:val="00CD3399"/>
    <w:rsid w:val="00CD3673"/>
    <w:rsid w:val="00CD43FE"/>
    <w:rsid w:val="00CD446B"/>
    <w:rsid w:val="00CD457C"/>
    <w:rsid w:val="00CD5619"/>
    <w:rsid w:val="00CD69AF"/>
    <w:rsid w:val="00CD6F99"/>
    <w:rsid w:val="00CE0174"/>
    <w:rsid w:val="00CE025E"/>
    <w:rsid w:val="00CE0287"/>
    <w:rsid w:val="00CE0B6C"/>
    <w:rsid w:val="00CE1961"/>
    <w:rsid w:val="00CE1C99"/>
    <w:rsid w:val="00CE2859"/>
    <w:rsid w:val="00CE2CBD"/>
    <w:rsid w:val="00CE3DF0"/>
    <w:rsid w:val="00CE3ED3"/>
    <w:rsid w:val="00CE40F0"/>
    <w:rsid w:val="00CE5298"/>
    <w:rsid w:val="00CE5995"/>
    <w:rsid w:val="00CE6118"/>
    <w:rsid w:val="00CE6337"/>
    <w:rsid w:val="00CE6920"/>
    <w:rsid w:val="00CE701B"/>
    <w:rsid w:val="00CE71D7"/>
    <w:rsid w:val="00CE73BD"/>
    <w:rsid w:val="00CE7AA0"/>
    <w:rsid w:val="00CF20CD"/>
    <w:rsid w:val="00CF258E"/>
    <w:rsid w:val="00CF2A13"/>
    <w:rsid w:val="00CF2B39"/>
    <w:rsid w:val="00CF3231"/>
    <w:rsid w:val="00CF4CC5"/>
    <w:rsid w:val="00CF4F71"/>
    <w:rsid w:val="00CF5366"/>
    <w:rsid w:val="00CF6FC2"/>
    <w:rsid w:val="00CF73FA"/>
    <w:rsid w:val="00CF7DB5"/>
    <w:rsid w:val="00D002C5"/>
    <w:rsid w:val="00D00748"/>
    <w:rsid w:val="00D00CFF"/>
    <w:rsid w:val="00D00D65"/>
    <w:rsid w:val="00D00FEA"/>
    <w:rsid w:val="00D01967"/>
    <w:rsid w:val="00D01DD5"/>
    <w:rsid w:val="00D02211"/>
    <w:rsid w:val="00D025D0"/>
    <w:rsid w:val="00D031C9"/>
    <w:rsid w:val="00D0376A"/>
    <w:rsid w:val="00D0395C"/>
    <w:rsid w:val="00D0399A"/>
    <w:rsid w:val="00D048CF"/>
    <w:rsid w:val="00D04DF4"/>
    <w:rsid w:val="00D04F8D"/>
    <w:rsid w:val="00D05020"/>
    <w:rsid w:val="00D0553E"/>
    <w:rsid w:val="00D05BBC"/>
    <w:rsid w:val="00D06F0E"/>
    <w:rsid w:val="00D0716C"/>
    <w:rsid w:val="00D0760C"/>
    <w:rsid w:val="00D076E6"/>
    <w:rsid w:val="00D077DA"/>
    <w:rsid w:val="00D10008"/>
    <w:rsid w:val="00D109A2"/>
    <w:rsid w:val="00D10D24"/>
    <w:rsid w:val="00D10EA1"/>
    <w:rsid w:val="00D10F2C"/>
    <w:rsid w:val="00D11194"/>
    <w:rsid w:val="00D11FA9"/>
    <w:rsid w:val="00D12082"/>
    <w:rsid w:val="00D13012"/>
    <w:rsid w:val="00D1440D"/>
    <w:rsid w:val="00D159C4"/>
    <w:rsid w:val="00D168D8"/>
    <w:rsid w:val="00D176F7"/>
    <w:rsid w:val="00D17C87"/>
    <w:rsid w:val="00D17E00"/>
    <w:rsid w:val="00D207D4"/>
    <w:rsid w:val="00D21C3F"/>
    <w:rsid w:val="00D225A4"/>
    <w:rsid w:val="00D227F0"/>
    <w:rsid w:val="00D22F16"/>
    <w:rsid w:val="00D22FD5"/>
    <w:rsid w:val="00D2369D"/>
    <w:rsid w:val="00D23769"/>
    <w:rsid w:val="00D23B4F"/>
    <w:rsid w:val="00D23EE7"/>
    <w:rsid w:val="00D24CBA"/>
    <w:rsid w:val="00D25395"/>
    <w:rsid w:val="00D256BC"/>
    <w:rsid w:val="00D2595E"/>
    <w:rsid w:val="00D25DBD"/>
    <w:rsid w:val="00D26F58"/>
    <w:rsid w:val="00D27517"/>
    <w:rsid w:val="00D3097E"/>
    <w:rsid w:val="00D31438"/>
    <w:rsid w:val="00D32C7D"/>
    <w:rsid w:val="00D32E03"/>
    <w:rsid w:val="00D3382F"/>
    <w:rsid w:val="00D338BB"/>
    <w:rsid w:val="00D33EE7"/>
    <w:rsid w:val="00D33F62"/>
    <w:rsid w:val="00D341DC"/>
    <w:rsid w:val="00D35312"/>
    <w:rsid w:val="00D35DF4"/>
    <w:rsid w:val="00D3649E"/>
    <w:rsid w:val="00D37305"/>
    <w:rsid w:val="00D37642"/>
    <w:rsid w:val="00D376C0"/>
    <w:rsid w:val="00D37993"/>
    <w:rsid w:val="00D37BCB"/>
    <w:rsid w:val="00D4113F"/>
    <w:rsid w:val="00D41654"/>
    <w:rsid w:val="00D4193B"/>
    <w:rsid w:val="00D4196F"/>
    <w:rsid w:val="00D42C25"/>
    <w:rsid w:val="00D4335F"/>
    <w:rsid w:val="00D4396B"/>
    <w:rsid w:val="00D4401F"/>
    <w:rsid w:val="00D44CDB"/>
    <w:rsid w:val="00D45D66"/>
    <w:rsid w:val="00D46150"/>
    <w:rsid w:val="00D46968"/>
    <w:rsid w:val="00D47700"/>
    <w:rsid w:val="00D47BB9"/>
    <w:rsid w:val="00D50060"/>
    <w:rsid w:val="00D507A7"/>
    <w:rsid w:val="00D51393"/>
    <w:rsid w:val="00D51646"/>
    <w:rsid w:val="00D51672"/>
    <w:rsid w:val="00D51A92"/>
    <w:rsid w:val="00D51E6A"/>
    <w:rsid w:val="00D52E5E"/>
    <w:rsid w:val="00D52EF1"/>
    <w:rsid w:val="00D5324B"/>
    <w:rsid w:val="00D53CD8"/>
    <w:rsid w:val="00D53D39"/>
    <w:rsid w:val="00D53D78"/>
    <w:rsid w:val="00D553B3"/>
    <w:rsid w:val="00D55E23"/>
    <w:rsid w:val="00D56109"/>
    <w:rsid w:val="00D568DC"/>
    <w:rsid w:val="00D5720E"/>
    <w:rsid w:val="00D57375"/>
    <w:rsid w:val="00D57693"/>
    <w:rsid w:val="00D576AA"/>
    <w:rsid w:val="00D5777B"/>
    <w:rsid w:val="00D57E34"/>
    <w:rsid w:val="00D60673"/>
    <w:rsid w:val="00D608B5"/>
    <w:rsid w:val="00D60AD5"/>
    <w:rsid w:val="00D60B1C"/>
    <w:rsid w:val="00D60C31"/>
    <w:rsid w:val="00D6148A"/>
    <w:rsid w:val="00D61911"/>
    <w:rsid w:val="00D61CFA"/>
    <w:rsid w:val="00D64062"/>
    <w:rsid w:val="00D65D5A"/>
    <w:rsid w:val="00D6608B"/>
    <w:rsid w:val="00D6627E"/>
    <w:rsid w:val="00D663C7"/>
    <w:rsid w:val="00D66825"/>
    <w:rsid w:val="00D66FFB"/>
    <w:rsid w:val="00D67636"/>
    <w:rsid w:val="00D67994"/>
    <w:rsid w:val="00D679EF"/>
    <w:rsid w:val="00D7074C"/>
    <w:rsid w:val="00D70F76"/>
    <w:rsid w:val="00D716D2"/>
    <w:rsid w:val="00D71A6F"/>
    <w:rsid w:val="00D71C18"/>
    <w:rsid w:val="00D72DC6"/>
    <w:rsid w:val="00D738B5"/>
    <w:rsid w:val="00D74158"/>
    <w:rsid w:val="00D762BC"/>
    <w:rsid w:val="00D7703D"/>
    <w:rsid w:val="00D80209"/>
    <w:rsid w:val="00D80430"/>
    <w:rsid w:val="00D8088B"/>
    <w:rsid w:val="00D80BCF"/>
    <w:rsid w:val="00D80F11"/>
    <w:rsid w:val="00D818EE"/>
    <w:rsid w:val="00D81D75"/>
    <w:rsid w:val="00D81F8C"/>
    <w:rsid w:val="00D82485"/>
    <w:rsid w:val="00D82750"/>
    <w:rsid w:val="00D82A5E"/>
    <w:rsid w:val="00D82F69"/>
    <w:rsid w:val="00D834CD"/>
    <w:rsid w:val="00D83B83"/>
    <w:rsid w:val="00D84270"/>
    <w:rsid w:val="00D845F9"/>
    <w:rsid w:val="00D84BBF"/>
    <w:rsid w:val="00D84C96"/>
    <w:rsid w:val="00D85710"/>
    <w:rsid w:val="00D85CAB"/>
    <w:rsid w:val="00D8612B"/>
    <w:rsid w:val="00D861A9"/>
    <w:rsid w:val="00D8653A"/>
    <w:rsid w:val="00D86F52"/>
    <w:rsid w:val="00D90116"/>
    <w:rsid w:val="00D90404"/>
    <w:rsid w:val="00D90C81"/>
    <w:rsid w:val="00D90DE9"/>
    <w:rsid w:val="00D91726"/>
    <w:rsid w:val="00D922C4"/>
    <w:rsid w:val="00D9238D"/>
    <w:rsid w:val="00D924BD"/>
    <w:rsid w:val="00D938F2"/>
    <w:rsid w:val="00D93976"/>
    <w:rsid w:val="00D940D6"/>
    <w:rsid w:val="00D941ED"/>
    <w:rsid w:val="00D942E4"/>
    <w:rsid w:val="00D947CE"/>
    <w:rsid w:val="00D9528F"/>
    <w:rsid w:val="00D95662"/>
    <w:rsid w:val="00D957F8"/>
    <w:rsid w:val="00D962EA"/>
    <w:rsid w:val="00D96BE5"/>
    <w:rsid w:val="00D96C8D"/>
    <w:rsid w:val="00D9718A"/>
    <w:rsid w:val="00D97E1A"/>
    <w:rsid w:val="00DA0713"/>
    <w:rsid w:val="00DA11B6"/>
    <w:rsid w:val="00DA16FC"/>
    <w:rsid w:val="00DA18AA"/>
    <w:rsid w:val="00DA1B54"/>
    <w:rsid w:val="00DA1BE2"/>
    <w:rsid w:val="00DA1EC5"/>
    <w:rsid w:val="00DA1F0E"/>
    <w:rsid w:val="00DA223F"/>
    <w:rsid w:val="00DA32FC"/>
    <w:rsid w:val="00DA495B"/>
    <w:rsid w:val="00DA556F"/>
    <w:rsid w:val="00DA74E7"/>
    <w:rsid w:val="00DA7C83"/>
    <w:rsid w:val="00DA7CF8"/>
    <w:rsid w:val="00DA7FE2"/>
    <w:rsid w:val="00DB0693"/>
    <w:rsid w:val="00DB0846"/>
    <w:rsid w:val="00DB0F71"/>
    <w:rsid w:val="00DB16A2"/>
    <w:rsid w:val="00DB17B4"/>
    <w:rsid w:val="00DB2646"/>
    <w:rsid w:val="00DB307C"/>
    <w:rsid w:val="00DB3894"/>
    <w:rsid w:val="00DB3A0B"/>
    <w:rsid w:val="00DB3EEC"/>
    <w:rsid w:val="00DB42DC"/>
    <w:rsid w:val="00DB4C26"/>
    <w:rsid w:val="00DB5484"/>
    <w:rsid w:val="00DB56AA"/>
    <w:rsid w:val="00DB657A"/>
    <w:rsid w:val="00DB6DB7"/>
    <w:rsid w:val="00DB6FBB"/>
    <w:rsid w:val="00DB73E4"/>
    <w:rsid w:val="00DB7AD3"/>
    <w:rsid w:val="00DB7C70"/>
    <w:rsid w:val="00DB7E20"/>
    <w:rsid w:val="00DC0555"/>
    <w:rsid w:val="00DC1372"/>
    <w:rsid w:val="00DC186D"/>
    <w:rsid w:val="00DC1C08"/>
    <w:rsid w:val="00DC1E0D"/>
    <w:rsid w:val="00DC2E24"/>
    <w:rsid w:val="00DC2F64"/>
    <w:rsid w:val="00DC321B"/>
    <w:rsid w:val="00DC34D0"/>
    <w:rsid w:val="00DC397F"/>
    <w:rsid w:val="00DC3E3C"/>
    <w:rsid w:val="00DC41FC"/>
    <w:rsid w:val="00DC448C"/>
    <w:rsid w:val="00DC45AD"/>
    <w:rsid w:val="00DC55DE"/>
    <w:rsid w:val="00DC5D66"/>
    <w:rsid w:val="00DC688C"/>
    <w:rsid w:val="00DC6C2C"/>
    <w:rsid w:val="00DC7052"/>
    <w:rsid w:val="00DC7CDF"/>
    <w:rsid w:val="00DC7E32"/>
    <w:rsid w:val="00DD04B7"/>
    <w:rsid w:val="00DD0ACD"/>
    <w:rsid w:val="00DD1169"/>
    <w:rsid w:val="00DD2A50"/>
    <w:rsid w:val="00DD2F24"/>
    <w:rsid w:val="00DD3319"/>
    <w:rsid w:val="00DD3B1D"/>
    <w:rsid w:val="00DD3E85"/>
    <w:rsid w:val="00DD3F54"/>
    <w:rsid w:val="00DD430A"/>
    <w:rsid w:val="00DD5083"/>
    <w:rsid w:val="00DD5278"/>
    <w:rsid w:val="00DD5881"/>
    <w:rsid w:val="00DD5B48"/>
    <w:rsid w:val="00DD6B38"/>
    <w:rsid w:val="00DD7529"/>
    <w:rsid w:val="00DE0B30"/>
    <w:rsid w:val="00DE129A"/>
    <w:rsid w:val="00DE13C9"/>
    <w:rsid w:val="00DE19BA"/>
    <w:rsid w:val="00DE1BAF"/>
    <w:rsid w:val="00DE1DE6"/>
    <w:rsid w:val="00DE1F37"/>
    <w:rsid w:val="00DE247B"/>
    <w:rsid w:val="00DE3218"/>
    <w:rsid w:val="00DE34E4"/>
    <w:rsid w:val="00DE38B6"/>
    <w:rsid w:val="00DE3D30"/>
    <w:rsid w:val="00DE3F78"/>
    <w:rsid w:val="00DE4A8B"/>
    <w:rsid w:val="00DE5238"/>
    <w:rsid w:val="00DE5293"/>
    <w:rsid w:val="00DE65BE"/>
    <w:rsid w:val="00DE6C2D"/>
    <w:rsid w:val="00DE7019"/>
    <w:rsid w:val="00DE7737"/>
    <w:rsid w:val="00DE7BDF"/>
    <w:rsid w:val="00DF10A4"/>
    <w:rsid w:val="00DF1309"/>
    <w:rsid w:val="00DF1343"/>
    <w:rsid w:val="00DF2220"/>
    <w:rsid w:val="00DF2C5C"/>
    <w:rsid w:val="00DF4572"/>
    <w:rsid w:val="00DF46CB"/>
    <w:rsid w:val="00DF614A"/>
    <w:rsid w:val="00DF684D"/>
    <w:rsid w:val="00DF7B85"/>
    <w:rsid w:val="00DF7D60"/>
    <w:rsid w:val="00DF7ED7"/>
    <w:rsid w:val="00E01F65"/>
    <w:rsid w:val="00E0204C"/>
    <w:rsid w:val="00E02C41"/>
    <w:rsid w:val="00E02DEA"/>
    <w:rsid w:val="00E03A22"/>
    <w:rsid w:val="00E03C2B"/>
    <w:rsid w:val="00E04410"/>
    <w:rsid w:val="00E04926"/>
    <w:rsid w:val="00E04A3E"/>
    <w:rsid w:val="00E053AE"/>
    <w:rsid w:val="00E074F0"/>
    <w:rsid w:val="00E07841"/>
    <w:rsid w:val="00E07FFD"/>
    <w:rsid w:val="00E10761"/>
    <w:rsid w:val="00E10D7F"/>
    <w:rsid w:val="00E11A7E"/>
    <w:rsid w:val="00E12A08"/>
    <w:rsid w:val="00E12C19"/>
    <w:rsid w:val="00E12FB6"/>
    <w:rsid w:val="00E138DB"/>
    <w:rsid w:val="00E13A0B"/>
    <w:rsid w:val="00E13C60"/>
    <w:rsid w:val="00E14205"/>
    <w:rsid w:val="00E14CF1"/>
    <w:rsid w:val="00E15148"/>
    <w:rsid w:val="00E15C51"/>
    <w:rsid w:val="00E15C6C"/>
    <w:rsid w:val="00E16401"/>
    <w:rsid w:val="00E177A0"/>
    <w:rsid w:val="00E17C64"/>
    <w:rsid w:val="00E20852"/>
    <w:rsid w:val="00E21533"/>
    <w:rsid w:val="00E21675"/>
    <w:rsid w:val="00E217F5"/>
    <w:rsid w:val="00E21F6A"/>
    <w:rsid w:val="00E23955"/>
    <w:rsid w:val="00E23AD4"/>
    <w:rsid w:val="00E246C1"/>
    <w:rsid w:val="00E249F3"/>
    <w:rsid w:val="00E24E2B"/>
    <w:rsid w:val="00E25339"/>
    <w:rsid w:val="00E25833"/>
    <w:rsid w:val="00E25964"/>
    <w:rsid w:val="00E25CA1"/>
    <w:rsid w:val="00E260FB"/>
    <w:rsid w:val="00E267CE"/>
    <w:rsid w:val="00E26817"/>
    <w:rsid w:val="00E26D87"/>
    <w:rsid w:val="00E27BE9"/>
    <w:rsid w:val="00E3087F"/>
    <w:rsid w:val="00E309D6"/>
    <w:rsid w:val="00E30AA8"/>
    <w:rsid w:val="00E30EAE"/>
    <w:rsid w:val="00E31247"/>
    <w:rsid w:val="00E32342"/>
    <w:rsid w:val="00E3397C"/>
    <w:rsid w:val="00E33F98"/>
    <w:rsid w:val="00E33FAF"/>
    <w:rsid w:val="00E3547F"/>
    <w:rsid w:val="00E3598C"/>
    <w:rsid w:val="00E366D2"/>
    <w:rsid w:val="00E37146"/>
    <w:rsid w:val="00E401D6"/>
    <w:rsid w:val="00E40533"/>
    <w:rsid w:val="00E41665"/>
    <w:rsid w:val="00E416B1"/>
    <w:rsid w:val="00E42227"/>
    <w:rsid w:val="00E424C9"/>
    <w:rsid w:val="00E42A97"/>
    <w:rsid w:val="00E438B0"/>
    <w:rsid w:val="00E43D8B"/>
    <w:rsid w:val="00E43E50"/>
    <w:rsid w:val="00E446AA"/>
    <w:rsid w:val="00E44BF9"/>
    <w:rsid w:val="00E4503E"/>
    <w:rsid w:val="00E4550D"/>
    <w:rsid w:val="00E45943"/>
    <w:rsid w:val="00E462D5"/>
    <w:rsid w:val="00E464DF"/>
    <w:rsid w:val="00E472A8"/>
    <w:rsid w:val="00E47FBE"/>
    <w:rsid w:val="00E500E6"/>
    <w:rsid w:val="00E507D1"/>
    <w:rsid w:val="00E50E29"/>
    <w:rsid w:val="00E50E6C"/>
    <w:rsid w:val="00E51649"/>
    <w:rsid w:val="00E51A96"/>
    <w:rsid w:val="00E52518"/>
    <w:rsid w:val="00E531EB"/>
    <w:rsid w:val="00E5359B"/>
    <w:rsid w:val="00E535DF"/>
    <w:rsid w:val="00E53AFB"/>
    <w:rsid w:val="00E548E9"/>
    <w:rsid w:val="00E553E7"/>
    <w:rsid w:val="00E55AD4"/>
    <w:rsid w:val="00E5704C"/>
    <w:rsid w:val="00E60B36"/>
    <w:rsid w:val="00E61A39"/>
    <w:rsid w:val="00E61BBA"/>
    <w:rsid w:val="00E61BBC"/>
    <w:rsid w:val="00E62519"/>
    <w:rsid w:val="00E62920"/>
    <w:rsid w:val="00E62FE6"/>
    <w:rsid w:val="00E63364"/>
    <w:rsid w:val="00E6492A"/>
    <w:rsid w:val="00E64A0A"/>
    <w:rsid w:val="00E66EA9"/>
    <w:rsid w:val="00E6738D"/>
    <w:rsid w:val="00E677BE"/>
    <w:rsid w:val="00E67E88"/>
    <w:rsid w:val="00E70FFE"/>
    <w:rsid w:val="00E71FAB"/>
    <w:rsid w:val="00E72056"/>
    <w:rsid w:val="00E7242C"/>
    <w:rsid w:val="00E7274A"/>
    <w:rsid w:val="00E729BB"/>
    <w:rsid w:val="00E72AAE"/>
    <w:rsid w:val="00E72B09"/>
    <w:rsid w:val="00E72F07"/>
    <w:rsid w:val="00E7311B"/>
    <w:rsid w:val="00E75135"/>
    <w:rsid w:val="00E75D72"/>
    <w:rsid w:val="00E7641E"/>
    <w:rsid w:val="00E765D9"/>
    <w:rsid w:val="00E76712"/>
    <w:rsid w:val="00E76CA3"/>
    <w:rsid w:val="00E8039D"/>
    <w:rsid w:val="00E8148D"/>
    <w:rsid w:val="00E81518"/>
    <w:rsid w:val="00E81B1F"/>
    <w:rsid w:val="00E82475"/>
    <w:rsid w:val="00E824B1"/>
    <w:rsid w:val="00E82D79"/>
    <w:rsid w:val="00E83E8D"/>
    <w:rsid w:val="00E856C3"/>
    <w:rsid w:val="00E85F2C"/>
    <w:rsid w:val="00E860F8"/>
    <w:rsid w:val="00E864DD"/>
    <w:rsid w:val="00E86E87"/>
    <w:rsid w:val="00E87129"/>
    <w:rsid w:val="00E873DA"/>
    <w:rsid w:val="00E87449"/>
    <w:rsid w:val="00E87C8F"/>
    <w:rsid w:val="00E9037C"/>
    <w:rsid w:val="00E90458"/>
    <w:rsid w:val="00E91199"/>
    <w:rsid w:val="00E91F9B"/>
    <w:rsid w:val="00E9288B"/>
    <w:rsid w:val="00E93388"/>
    <w:rsid w:val="00E934CE"/>
    <w:rsid w:val="00E9421B"/>
    <w:rsid w:val="00E94ABC"/>
    <w:rsid w:val="00E94AFB"/>
    <w:rsid w:val="00E95202"/>
    <w:rsid w:val="00E952A7"/>
    <w:rsid w:val="00E954AB"/>
    <w:rsid w:val="00E95E1B"/>
    <w:rsid w:val="00E962BC"/>
    <w:rsid w:val="00E9661F"/>
    <w:rsid w:val="00E96783"/>
    <w:rsid w:val="00E96872"/>
    <w:rsid w:val="00E972E4"/>
    <w:rsid w:val="00E97AC5"/>
    <w:rsid w:val="00E97C51"/>
    <w:rsid w:val="00EA06E1"/>
    <w:rsid w:val="00EA088F"/>
    <w:rsid w:val="00EA0D78"/>
    <w:rsid w:val="00EA104B"/>
    <w:rsid w:val="00EA1161"/>
    <w:rsid w:val="00EA1594"/>
    <w:rsid w:val="00EA1879"/>
    <w:rsid w:val="00EA19DF"/>
    <w:rsid w:val="00EA1D45"/>
    <w:rsid w:val="00EA2B5B"/>
    <w:rsid w:val="00EA4A28"/>
    <w:rsid w:val="00EA5083"/>
    <w:rsid w:val="00EA556B"/>
    <w:rsid w:val="00EA563F"/>
    <w:rsid w:val="00EA5833"/>
    <w:rsid w:val="00EA5900"/>
    <w:rsid w:val="00EA5B72"/>
    <w:rsid w:val="00EA5F06"/>
    <w:rsid w:val="00EA6992"/>
    <w:rsid w:val="00EA7A20"/>
    <w:rsid w:val="00EA7CFD"/>
    <w:rsid w:val="00EA7F8B"/>
    <w:rsid w:val="00EB0280"/>
    <w:rsid w:val="00EB0E90"/>
    <w:rsid w:val="00EB2C18"/>
    <w:rsid w:val="00EB2C92"/>
    <w:rsid w:val="00EB3CBE"/>
    <w:rsid w:val="00EB3FDD"/>
    <w:rsid w:val="00EB43A2"/>
    <w:rsid w:val="00EB441F"/>
    <w:rsid w:val="00EB484C"/>
    <w:rsid w:val="00EB4C30"/>
    <w:rsid w:val="00EB5C77"/>
    <w:rsid w:val="00EB5F4A"/>
    <w:rsid w:val="00EB6036"/>
    <w:rsid w:val="00EB608C"/>
    <w:rsid w:val="00EB66BC"/>
    <w:rsid w:val="00EB6F5F"/>
    <w:rsid w:val="00EB70CC"/>
    <w:rsid w:val="00EC000E"/>
    <w:rsid w:val="00EC00F5"/>
    <w:rsid w:val="00EC07B6"/>
    <w:rsid w:val="00EC0D88"/>
    <w:rsid w:val="00EC1505"/>
    <w:rsid w:val="00EC1905"/>
    <w:rsid w:val="00EC2110"/>
    <w:rsid w:val="00EC2BF7"/>
    <w:rsid w:val="00EC2C46"/>
    <w:rsid w:val="00EC2DD1"/>
    <w:rsid w:val="00EC307B"/>
    <w:rsid w:val="00EC31AA"/>
    <w:rsid w:val="00EC381B"/>
    <w:rsid w:val="00EC6135"/>
    <w:rsid w:val="00EC6750"/>
    <w:rsid w:val="00EC6778"/>
    <w:rsid w:val="00EC75C9"/>
    <w:rsid w:val="00EC7BFE"/>
    <w:rsid w:val="00ED071B"/>
    <w:rsid w:val="00ED0EE1"/>
    <w:rsid w:val="00ED1706"/>
    <w:rsid w:val="00ED1978"/>
    <w:rsid w:val="00ED25A9"/>
    <w:rsid w:val="00ED25D4"/>
    <w:rsid w:val="00ED2A0B"/>
    <w:rsid w:val="00ED3634"/>
    <w:rsid w:val="00ED3B86"/>
    <w:rsid w:val="00ED4223"/>
    <w:rsid w:val="00ED57DB"/>
    <w:rsid w:val="00ED65F5"/>
    <w:rsid w:val="00ED6676"/>
    <w:rsid w:val="00ED674B"/>
    <w:rsid w:val="00ED67A7"/>
    <w:rsid w:val="00ED69D0"/>
    <w:rsid w:val="00ED6A5A"/>
    <w:rsid w:val="00ED6B54"/>
    <w:rsid w:val="00ED6D1C"/>
    <w:rsid w:val="00ED6E72"/>
    <w:rsid w:val="00ED77BD"/>
    <w:rsid w:val="00ED77F6"/>
    <w:rsid w:val="00ED7B55"/>
    <w:rsid w:val="00EE010B"/>
    <w:rsid w:val="00EE0952"/>
    <w:rsid w:val="00EE0DBA"/>
    <w:rsid w:val="00EE0DED"/>
    <w:rsid w:val="00EE22DD"/>
    <w:rsid w:val="00EE2537"/>
    <w:rsid w:val="00EE26AD"/>
    <w:rsid w:val="00EE26C3"/>
    <w:rsid w:val="00EE289E"/>
    <w:rsid w:val="00EE2E2D"/>
    <w:rsid w:val="00EE33D5"/>
    <w:rsid w:val="00EE3602"/>
    <w:rsid w:val="00EE3E5F"/>
    <w:rsid w:val="00EE4CFD"/>
    <w:rsid w:val="00EE4D8B"/>
    <w:rsid w:val="00EE5485"/>
    <w:rsid w:val="00EE5914"/>
    <w:rsid w:val="00EE59EC"/>
    <w:rsid w:val="00EE66CF"/>
    <w:rsid w:val="00EE67AB"/>
    <w:rsid w:val="00EE6A53"/>
    <w:rsid w:val="00EE6A78"/>
    <w:rsid w:val="00EE6D73"/>
    <w:rsid w:val="00EE72F8"/>
    <w:rsid w:val="00EF1B56"/>
    <w:rsid w:val="00EF1EB3"/>
    <w:rsid w:val="00EF3060"/>
    <w:rsid w:val="00EF3FB5"/>
    <w:rsid w:val="00EF4193"/>
    <w:rsid w:val="00EF44F0"/>
    <w:rsid w:val="00EF4CAC"/>
    <w:rsid w:val="00EF4DB0"/>
    <w:rsid w:val="00EF52BC"/>
    <w:rsid w:val="00EF6840"/>
    <w:rsid w:val="00EF6A39"/>
    <w:rsid w:val="00EF6B09"/>
    <w:rsid w:val="00EF723F"/>
    <w:rsid w:val="00EF7346"/>
    <w:rsid w:val="00EF7991"/>
    <w:rsid w:val="00F006F6"/>
    <w:rsid w:val="00F00C41"/>
    <w:rsid w:val="00F00EE5"/>
    <w:rsid w:val="00F0122A"/>
    <w:rsid w:val="00F0146A"/>
    <w:rsid w:val="00F019F5"/>
    <w:rsid w:val="00F01AFA"/>
    <w:rsid w:val="00F01BE0"/>
    <w:rsid w:val="00F02014"/>
    <w:rsid w:val="00F023F4"/>
    <w:rsid w:val="00F025B9"/>
    <w:rsid w:val="00F02E4E"/>
    <w:rsid w:val="00F030B1"/>
    <w:rsid w:val="00F03363"/>
    <w:rsid w:val="00F03F47"/>
    <w:rsid w:val="00F04261"/>
    <w:rsid w:val="00F04407"/>
    <w:rsid w:val="00F04595"/>
    <w:rsid w:val="00F05EE2"/>
    <w:rsid w:val="00F06439"/>
    <w:rsid w:val="00F0772A"/>
    <w:rsid w:val="00F07DA8"/>
    <w:rsid w:val="00F10565"/>
    <w:rsid w:val="00F10DB3"/>
    <w:rsid w:val="00F1101C"/>
    <w:rsid w:val="00F11340"/>
    <w:rsid w:val="00F1141F"/>
    <w:rsid w:val="00F1268C"/>
    <w:rsid w:val="00F13206"/>
    <w:rsid w:val="00F13C84"/>
    <w:rsid w:val="00F141AD"/>
    <w:rsid w:val="00F14830"/>
    <w:rsid w:val="00F14B7E"/>
    <w:rsid w:val="00F15789"/>
    <w:rsid w:val="00F15C36"/>
    <w:rsid w:val="00F16107"/>
    <w:rsid w:val="00F165B2"/>
    <w:rsid w:val="00F168F6"/>
    <w:rsid w:val="00F16D33"/>
    <w:rsid w:val="00F16E3A"/>
    <w:rsid w:val="00F17416"/>
    <w:rsid w:val="00F174B6"/>
    <w:rsid w:val="00F178B7"/>
    <w:rsid w:val="00F17C5A"/>
    <w:rsid w:val="00F203DB"/>
    <w:rsid w:val="00F20BA3"/>
    <w:rsid w:val="00F21396"/>
    <w:rsid w:val="00F21AC4"/>
    <w:rsid w:val="00F222E5"/>
    <w:rsid w:val="00F2265B"/>
    <w:rsid w:val="00F22EE6"/>
    <w:rsid w:val="00F23E14"/>
    <w:rsid w:val="00F24B83"/>
    <w:rsid w:val="00F25227"/>
    <w:rsid w:val="00F25353"/>
    <w:rsid w:val="00F255C6"/>
    <w:rsid w:val="00F25AC3"/>
    <w:rsid w:val="00F25E76"/>
    <w:rsid w:val="00F27153"/>
    <w:rsid w:val="00F275B1"/>
    <w:rsid w:val="00F2787A"/>
    <w:rsid w:val="00F27B63"/>
    <w:rsid w:val="00F27CE9"/>
    <w:rsid w:val="00F30D92"/>
    <w:rsid w:val="00F30FD9"/>
    <w:rsid w:val="00F310F1"/>
    <w:rsid w:val="00F315F2"/>
    <w:rsid w:val="00F317CF"/>
    <w:rsid w:val="00F31AF1"/>
    <w:rsid w:val="00F31DA7"/>
    <w:rsid w:val="00F31F35"/>
    <w:rsid w:val="00F31FF5"/>
    <w:rsid w:val="00F32365"/>
    <w:rsid w:val="00F33530"/>
    <w:rsid w:val="00F34246"/>
    <w:rsid w:val="00F35ED4"/>
    <w:rsid w:val="00F36064"/>
    <w:rsid w:val="00F3654D"/>
    <w:rsid w:val="00F368A4"/>
    <w:rsid w:val="00F36CAF"/>
    <w:rsid w:val="00F36CB0"/>
    <w:rsid w:val="00F37339"/>
    <w:rsid w:val="00F37B0F"/>
    <w:rsid w:val="00F37E92"/>
    <w:rsid w:val="00F4005A"/>
    <w:rsid w:val="00F40C86"/>
    <w:rsid w:val="00F40E13"/>
    <w:rsid w:val="00F40E83"/>
    <w:rsid w:val="00F41688"/>
    <w:rsid w:val="00F42033"/>
    <w:rsid w:val="00F42EDF"/>
    <w:rsid w:val="00F4372E"/>
    <w:rsid w:val="00F4529B"/>
    <w:rsid w:val="00F46513"/>
    <w:rsid w:val="00F46586"/>
    <w:rsid w:val="00F46A07"/>
    <w:rsid w:val="00F472C4"/>
    <w:rsid w:val="00F47562"/>
    <w:rsid w:val="00F47710"/>
    <w:rsid w:val="00F47C42"/>
    <w:rsid w:val="00F505DC"/>
    <w:rsid w:val="00F509A4"/>
    <w:rsid w:val="00F51491"/>
    <w:rsid w:val="00F5220C"/>
    <w:rsid w:val="00F52BE6"/>
    <w:rsid w:val="00F53995"/>
    <w:rsid w:val="00F53A2C"/>
    <w:rsid w:val="00F53C00"/>
    <w:rsid w:val="00F546AE"/>
    <w:rsid w:val="00F567F4"/>
    <w:rsid w:val="00F57458"/>
    <w:rsid w:val="00F574BB"/>
    <w:rsid w:val="00F57EBA"/>
    <w:rsid w:val="00F57FD0"/>
    <w:rsid w:val="00F60C31"/>
    <w:rsid w:val="00F60F89"/>
    <w:rsid w:val="00F61531"/>
    <w:rsid w:val="00F62BD0"/>
    <w:rsid w:val="00F63321"/>
    <w:rsid w:val="00F63621"/>
    <w:rsid w:val="00F63D41"/>
    <w:rsid w:val="00F644C2"/>
    <w:rsid w:val="00F648D6"/>
    <w:rsid w:val="00F64B26"/>
    <w:rsid w:val="00F64CD9"/>
    <w:rsid w:val="00F65480"/>
    <w:rsid w:val="00F665F3"/>
    <w:rsid w:val="00F66EF3"/>
    <w:rsid w:val="00F66F44"/>
    <w:rsid w:val="00F70954"/>
    <w:rsid w:val="00F71912"/>
    <w:rsid w:val="00F72258"/>
    <w:rsid w:val="00F72A90"/>
    <w:rsid w:val="00F74A5D"/>
    <w:rsid w:val="00F75882"/>
    <w:rsid w:val="00F7665C"/>
    <w:rsid w:val="00F766A5"/>
    <w:rsid w:val="00F76A03"/>
    <w:rsid w:val="00F76C5B"/>
    <w:rsid w:val="00F8053A"/>
    <w:rsid w:val="00F80AA2"/>
    <w:rsid w:val="00F80B0D"/>
    <w:rsid w:val="00F80E32"/>
    <w:rsid w:val="00F824CA"/>
    <w:rsid w:val="00F82F0A"/>
    <w:rsid w:val="00F83AF7"/>
    <w:rsid w:val="00F83C4F"/>
    <w:rsid w:val="00F846B8"/>
    <w:rsid w:val="00F84882"/>
    <w:rsid w:val="00F84F60"/>
    <w:rsid w:val="00F8532C"/>
    <w:rsid w:val="00F85C7B"/>
    <w:rsid w:val="00F8649E"/>
    <w:rsid w:val="00F87CF3"/>
    <w:rsid w:val="00F90464"/>
    <w:rsid w:val="00F90C3D"/>
    <w:rsid w:val="00F90ED0"/>
    <w:rsid w:val="00F91A03"/>
    <w:rsid w:val="00F91A1B"/>
    <w:rsid w:val="00F91A66"/>
    <w:rsid w:val="00F92818"/>
    <w:rsid w:val="00F92A92"/>
    <w:rsid w:val="00F92AF5"/>
    <w:rsid w:val="00F92C3B"/>
    <w:rsid w:val="00F92CE8"/>
    <w:rsid w:val="00F93EA8"/>
    <w:rsid w:val="00F94907"/>
    <w:rsid w:val="00F94F9A"/>
    <w:rsid w:val="00F9522A"/>
    <w:rsid w:val="00F958FE"/>
    <w:rsid w:val="00F967B0"/>
    <w:rsid w:val="00F96877"/>
    <w:rsid w:val="00F96A33"/>
    <w:rsid w:val="00F97BE5"/>
    <w:rsid w:val="00FA055D"/>
    <w:rsid w:val="00FA089C"/>
    <w:rsid w:val="00FA1820"/>
    <w:rsid w:val="00FA198B"/>
    <w:rsid w:val="00FA35D2"/>
    <w:rsid w:val="00FA373E"/>
    <w:rsid w:val="00FA393F"/>
    <w:rsid w:val="00FA3BF1"/>
    <w:rsid w:val="00FA4097"/>
    <w:rsid w:val="00FA7360"/>
    <w:rsid w:val="00FA738F"/>
    <w:rsid w:val="00FA7475"/>
    <w:rsid w:val="00FA7AF7"/>
    <w:rsid w:val="00FB2364"/>
    <w:rsid w:val="00FB2D63"/>
    <w:rsid w:val="00FB3053"/>
    <w:rsid w:val="00FB35E4"/>
    <w:rsid w:val="00FB3BA3"/>
    <w:rsid w:val="00FB4099"/>
    <w:rsid w:val="00FB4520"/>
    <w:rsid w:val="00FB4C02"/>
    <w:rsid w:val="00FB4CAC"/>
    <w:rsid w:val="00FB4CCC"/>
    <w:rsid w:val="00FB5CF5"/>
    <w:rsid w:val="00FB6031"/>
    <w:rsid w:val="00FB6E80"/>
    <w:rsid w:val="00FB6F32"/>
    <w:rsid w:val="00FB71F5"/>
    <w:rsid w:val="00FB7376"/>
    <w:rsid w:val="00FB76EF"/>
    <w:rsid w:val="00FB7742"/>
    <w:rsid w:val="00FB784A"/>
    <w:rsid w:val="00FB78B1"/>
    <w:rsid w:val="00FC0E69"/>
    <w:rsid w:val="00FC1E0D"/>
    <w:rsid w:val="00FC24BB"/>
    <w:rsid w:val="00FC313F"/>
    <w:rsid w:val="00FC47FA"/>
    <w:rsid w:val="00FC5508"/>
    <w:rsid w:val="00FC58B8"/>
    <w:rsid w:val="00FC5BF0"/>
    <w:rsid w:val="00FC5DD8"/>
    <w:rsid w:val="00FC5F07"/>
    <w:rsid w:val="00FC6083"/>
    <w:rsid w:val="00FC61FF"/>
    <w:rsid w:val="00FC6260"/>
    <w:rsid w:val="00FC67A2"/>
    <w:rsid w:val="00FC6997"/>
    <w:rsid w:val="00FC6A02"/>
    <w:rsid w:val="00FC7AFA"/>
    <w:rsid w:val="00FD00EC"/>
    <w:rsid w:val="00FD02E4"/>
    <w:rsid w:val="00FD049B"/>
    <w:rsid w:val="00FD0B2A"/>
    <w:rsid w:val="00FD1333"/>
    <w:rsid w:val="00FD2793"/>
    <w:rsid w:val="00FD2BBF"/>
    <w:rsid w:val="00FD329A"/>
    <w:rsid w:val="00FD3C03"/>
    <w:rsid w:val="00FD456C"/>
    <w:rsid w:val="00FD4660"/>
    <w:rsid w:val="00FD53C3"/>
    <w:rsid w:val="00FD5CCF"/>
    <w:rsid w:val="00FD5FCB"/>
    <w:rsid w:val="00FD62AD"/>
    <w:rsid w:val="00FD64FD"/>
    <w:rsid w:val="00FD7BD2"/>
    <w:rsid w:val="00FE00D5"/>
    <w:rsid w:val="00FE0164"/>
    <w:rsid w:val="00FE0EF5"/>
    <w:rsid w:val="00FE17DC"/>
    <w:rsid w:val="00FE1E10"/>
    <w:rsid w:val="00FE23A2"/>
    <w:rsid w:val="00FE2820"/>
    <w:rsid w:val="00FE3283"/>
    <w:rsid w:val="00FE33CF"/>
    <w:rsid w:val="00FE358D"/>
    <w:rsid w:val="00FE37B9"/>
    <w:rsid w:val="00FE41E3"/>
    <w:rsid w:val="00FE4447"/>
    <w:rsid w:val="00FE4F1A"/>
    <w:rsid w:val="00FE51D1"/>
    <w:rsid w:val="00FE5640"/>
    <w:rsid w:val="00FE5BA4"/>
    <w:rsid w:val="00FE70BF"/>
    <w:rsid w:val="00FE73B4"/>
    <w:rsid w:val="00FE7507"/>
    <w:rsid w:val="00FE7B1A"/>
    <w:rsid w:val="00FE7FA1"/>
    <w:rsid w:val="00FF034B"/>
    <w:rsid w:val="00FF05BC"/>
    <w:rsid w:val="00FF0804"/>
    <w:rsid w:val="00FF18DE"/>
    <w:rsid w:val="00FF1F8D"/>
    <w:rsid w:val="00FF278C"/>
    <w:rsid w:val="00FF3215"/>
    <w:rsid w:val="00FF3369"/>
    <w:rsid w:val="00FF3EDE"/>
    <w:rsid w:val="00FF4979"/>
    <w:rsid w:val="00FF5013"/>
    <w:rsid w:val="00FF5E97"/>
    <w:rsid w:val="00FF6849"/>
    <w:rsid w:val="00FF70EF"/>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2D6ACB"/>
  <w15:docId w15:val="{9C929A28-FB7F-4198-BD1F-D5163604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D09"/>
    <w:pPr>
      <w:jc w:val="both"/>
    </w:pPr>
    <w:rPr>
      <w:rFonts w:ascii="Arial" w:hAnsi="Arial"/>
      <w:sz w:val="24"/>
      <w:szCs w:val="24"/>
      <w:lang w:eastAsia="en-US"/>
    </w:rPr>
  </w:style>
  <w:style w:type="paragraph" w:styleId="Heading1">
    <w:name w:val="heading 1"/>
    <w:basedOn w:val="Normal"/>
    <w:next w:val="1"/>
    <w:link w:val="Heading1Char"/>
    <w:qFormat/>
    <w:rsid w:val="00321949"/>
    <w:pPr>
      <w:keepNext/>
      <w:autoSpaceDE w:val="0"/>
      <w:autoSpaceDN w:val="0"/>
      <w:adjustRightInd w:val="0"/>
      <w:spacing w:before="240" w:line="480" w:lineRule="auto"/>
      <w:outlineLvl w:val="0"/>
    </w:pPr>
    <w:rPr>
      <w:b/>
      <w:bCs/>
      <w:szCs w:val="28"/>
    </w:rPr>
  </w:style>
  <w:style w:type="paragraph" w:styleId="Heading2">
    <w:name w:val="heading 2"/>
    <w:basedOn w:val="Normal"/>
    <w:next w:val="1"/>
    <w:link w:val="Heading2Char"/>
    <w:unhideWhenUsed/>
    <w:qFormat/>
    <w:rsid w:val="00300D09"/>
    <w:pPr>
      <w:keepNext/>
      <w:autoSpaceDE w:val="0"/>
      <w:autoSpaceDN w:val="0"/>
      <w:adjustRightInd w:val="0"/>
      <w:spacing w:before="240" w:line="480" w:lineRule="auto"/>
      <w:outlineLvl w:val="1"/>
    </w:pPr>
    <w:rPr>
      <w:b/>
      <w:bCs/>
      <w:i/>
      <w:szCs w:val="26"/>
    </w:rPr>
  </w:style>
  <w:style w:type="paragraph" w:styleId="Heading3">
    <w:name w:val="heading 3"/>
    <w:basedOn w:val="Normal"/>
    <w:next w:val="1"/>
    <w:link w:val="Heading3Char"/>
    <w:qFormat/>
    <w:rsid w:val="00300D09"/>
    <w:pPr>
      <w:keepNext/>
      <w:autoSpaceDE w:val="0"/>
      <w:autoSpaceDN w:val="0"/>
      <w:adjustRightInd w:val="0"/>
      <w:spacing w:before="240" w:line="480" w:lineRule="auto"/>
      <w:outlineLvl w:val="2"/>
    </w:pPr>
    <w:rPr>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Char"/>
    <w:qFormat/>
    <w:rsid w:val="00586B39"/>
    <w:pPr>
      <w:numPr>
        <w:numId w:val="1"/>
      </w:numPr>
      <w:spacing w:before="120" w:line="480" w:lineRule="auto"/>
    </w:pPr>
    <w:rPr>
      <w:iCs/>
      <w:color w:val="000000"/>
      <w:szCs w:val="22"/>
    </w:rPr>
  </w:style>
  <w:style w:type="character" w:customStyle="1" w:styleId="Heading1Char">
    <w:name w:val="Heading 1 Char"/>
    <w:link w:val="Heading1"/>
    <w:rsid w:val="00321949"/>
    <w:rPr>
      <w:rFonts w:ascii="Arial" w:hAnsi="Arial"/>
      <w:b/>
      <w:bCs/>
      <w:sz w:val="24"/>
      <w:szCs w:val="28"/>
      <w:lang w:eastAsia="en-US"/>
    </w:rPr>
  </w:style>
  <w:style w:type="character" w:customStyle="1" w:styleId="Heading2Char">
    <w:name w:val="Heading 2 Char"/>
    <w:link w:val="Heading2"/>
    <w:rsid w:val="00300D09"/>
    <w:rPr>
      <w:rFonts w:ascii="Arial" w:hAnsi="Arial"/>
      <w:b/>
      <w:bCs/>
      <w:i/>
      <w:sz w:val="24"/>
      <w:szCs w:val="26"/>
      <w:lang w:eastAsia="en-US"/>
    </w:rPr>
  </w:style>
  <w:style w:type="character" w:customStyle="1" w:styleId="Heading3Char">
    <w:name w:val="Heading 3 Char"/>
    <w:link w:val="Heading3"/>
    <w:rsid w:val="00300D09"/>
    <w:rPr>
      <w:rFonts w:ascii="Arial" w:hAnsi="Arial"/>
      <w:bCs/>
      <w:sz w:val="24"/>
      <w:szCs w:val="24"/>
      <w:u w:val="single"/>
      <w:lang w:val="x-none" w:eastAsia="x-none"/>
    </w:rPr>
  </w:style>
  <w:style w:type="paragraph" w:customStyle="1" w:styleId="2">
    <w:name w:val="2"/>
    <w:basedOn w:val="1"/>
    <w:link w:val="2Char"/>
    <w:qFormat/>
    <w:rsid w:val="007C1127"/>
    <w:pPr>
      <w:numPr>
        <w:ilvl w:val="1"/>
      </w:numPr>
      <w:ind w:left="1134" w:hanging="567"/>
    </w:pPr>
  </w:style>
  <w:style w:type="paragraph" w:customStyle="1" w:styleId="3">
    <w:name w:val="3"/>
    <w:basedOn w:val="2"/>
    <w:qFormat/>
    <w:rsid w:val="00300D09"/>
    <w:pPr>
      <w:numPr>
        <w:ilvl w:val="2"/>
      </w:numPr>
    </w:pPr>
  </w:style>
  <w:style w:type="paragraph" w:customStyle="1" w:styleId="4">
    <w:name w:val="4"/>
    <w:basedOn w:val="2"/>
    <w:qFormat/>
    <w:rsid w:val="00300D09"/>
    <w:pPr>
      <w:numPr>
        <w:ilvl w:val="3"/>
      </w:numPr>
    </w:pPr>
    <w:rPr>
      <w:iCs w:val="0"/>
    </w:rPr>
  </w:style>
  <w:style w:type="paragraph" w:customStyle="1" w:styleId="5">
    <w:name w:val="5"/>
    <w:basedOn w:val="4"/>
    <w:qFormat/>
    <w:rsid w:val="00300D09"/>
    <w:pPr>
      <w:numPr>
        <w:ilvl w:val="4"/>
      </w:numPr>
    </w:pPr>
    <w:rPr>
      <w:iCs/>
      <w:szCs w:val="16"/>
      <w:lang w:eastAsia="en-ZA"/>
    </w:rPr>
  </w:style>
  <w:style w:type="paragraph" w:styleId="Footer">
    <w:name w:val="footer"/>
    <w:basedOn w:val="Normal"/>
    <w:link w:val="FooterChar"/>
    <w:uiPriority w:val="99"/>
    <w:unhideWhenUsed/>
    <w:rsid w:val="00300D09"/>
    <w:pPr>
      <w:tabs>
        <w:tab w:val="center" w:pos="4513"/>
        <w:tab w:val="right" w:pos="9026"/>
      </w:tabs>
    </w:pPr>
    <w:rPr>
      <w:sz w:val="22"/>
    </w:rPr>
  </w:style>
  <w:style w:type="character" w:customStyle="1" w:styleId="FooterChar">
    <w:name w:val="Footer Char"/>
    <w:link w:val="Footer"/>
    <w:uiPriority w:val="99"/>
    <w:rsid w:val="00300D09"/>
    <w:rPr>
      <w:rFonts w:ascii="Arial" w:hAnsi="Arial"/>
      <w:sz w:val="22"/>
      <w:szCs w:val="24"/>
      <w:lang w:eastAsia="en-US"/>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uiPriority w:val="99"/>
    <w:unhideWhenUsed/>
    <w:qFormat/>
    <w:rsid w:val="00300D09"/>
    <w:rPr>
      <w:vertAlign w:val="superscript"/>
      <w:lang w:val="en-GB"/>
    </w:rPr>
  </w:style>
  <w:style w:type="paragraph" w:styleId="FootnoteText">
    <w:name w:val="footnote text"/>
    <w:aliases w:val="Footnote Text Char Char Char,Footnote Text Char Char,Footnote Text Char1,Footnote Text Char1 Char Char,Footnote Text Char Char Char Char Char,Footnote Text Char Char1 Char Char,Footnote Text Char Char1 Char,Footnote Text Char Char1,fn,ft"/>
    <w:basedOn w:val="Normal"/>
    <w:link w:val="FootnoteTextChar"/>
    <w:uiPriority w:val="99"/>
    <w:qFormat/>
    <w:rsid w:val="00300D09"/>
    <w:pPr>
      <w:spacing w:after="120"/>
      <w:ind w:left="284" w:hanging="284"/>
    </w:pPr>
    <w:rPr>
      <w:sz w:val="18"/>
      <w:szCs w:val="22"/>
    </w:rPr>
  </w:style>
  <w:style w:type="character" w:customStyle="1" w:styleId="FootnoteTextChar">
    <w:name w:val="Footnote Text Char"/>
    <w:aliases w:val="Footnote Text Char Char Char Char,Footnote Text Char Char Char1,Footnote Text Char1 Char,Footnote Text Char1 Char Char Char,Footnote Text Char Char Char Char Char Char,Footnote Text Char Char1 Char Char Char,fn Char,ft Char"/>
    <w:link w:val="FootnoteText"/>
    <w:uiPriority w:val="99"/>
    <w:rsid w:val="00300D09"/>
    <w:rPr>
      <w:rFonts w:ascii="Arial" w:hAnsi="Arial"/>
      <w:sz w:val="18"/>
      <w:szCs w:val="22"/>
      <w:lang w:eastAsia="en-US"/>
    </w:rPr>
  </w:style>
  <w:style w:type="paragraph" w:styleId="Header">
    <w:name w:val="header"/>
    <w:basedOn w:val="Normal"/>
    <w:link w:val="HeaderChar"/>
    <w:uiPriority w:val="99"/>
    <w:unhideWhenUsed/>
    <w:rsid w:val="00300D09"/>
    <w:pPr>
      <w:tabs>
        <w:tab w:val="center" w:pos="4513"/>
        <w:tab w:val="right" w:pos="9026"/>
      </w:tabs>
    </w:pPr>
  </w:style>
  <w:style w:type="character" w:customStyle="1" w:styleId="HeaderChar">
    <w:name w:val="Header Char"/>
    <w:link w:val="Header"/>
    <w:uiPriority w:val="99"/>
    <w:rsid w:val="00300D09"/>
    <w:rPr>
      <w:rFonts w:ascii="Arial" w:hAnsi="Arial"/>
      <w:sz w:val="24"/>
      <w:szCs w:val="24"/>
      <w:lang w:eastAsia="en-US"/>
    </w:rPr>
  </w:style>
  <w:style w:type="paragraph" w:styleId="Quote">
    <w:name w:val="Quote"/>
    <w:basedOn w:val="Normal"/>
    <w:link w:val="QuoteChar"/>
    <w:uiPriority w:val="29"/>
    <w:qFormat/>
    <w:rsid w:val="00D31438"/>
    <w:pPr>
      <w:spacing w:before="120" w:line="360" w:lineRule="auto"/>
      <w:ind w:left="1701"/>
    </w:pPr>
    <w:rPr>
      <w:rFonts w:eastAsia="Calibri"/>
      <w:iCs/>
      <w:color w:val="000000"/>
      <w:sz w:val="22"/>
      <w:szCs w:val="22"/>
    </w:rPr>
  </w:style>
  <w:style w:type="character" w:customStyle="1" w:styleId="QuoteChar">
    <w:name w:val="Quote Char"/>
    <w:link w:val="Quote"/>
    <w:uiPriority w:val="29"/>
    <w:rsid w:val="00D31438"/>
    <w:rPr>
      <w:rFonts w:ascii="Arial" w:eastAsia="Calibri" w:hAnsi="Arial"/>
      <w:iCs/>
      <w:color w:val="000000"/>
      <w:sz w:val="22"/>
      <w:szCs w:val="22"/>
      <w:lang w:eastAsia="en-US"/>
    </w:rPr>
  </w:style>
  <w:style w:type="paragraph" w:styleId="IntenseQuote">
    <w:name w:val="Intense Quote"/>
    <w:basedOn w:val="Quote"/>
    <w:next w:val="Normal"/>
    <w:link w:val="IntenseQuoteChar"/>
    <w:uiPriority w:val="30"/>
    <w:qFormat/>
    <w:rsid w:val="00F40E13"/>
    <w:pPr>
      <w:spacing w:after="120"/>
    </w:pPr>
    <w:rPr>
      <w:b/>
      <w:bCs/>
      <w:i/>
      <w:iCs w:val="0"/>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300D09"/>
    <w:pPr>
      <w:numPr>
        <w:numId w:val="3"/>
      </w:numPr>
      <w:spacing w:before="120"/>
    </w:pPr>
    <w:rPr>
      <w:sz w:val="22"/>
      <w:szCs w:val="16"/>
      <w:lang w:eastAsia="en-ZA"/>
    </w:rPr>
  </w:style>
  <w:style w:type="paragraph" w:styleId="TOC1">
    <w:name w:val="toc 1"/>
    <w:basedOn w:val="Normal"/>
    <w:next w:val="Normal"/>
    <w:autoRedefine/>
    <w:uiPriority w:val="39"/>
    <w:unhideWhenUsed/>
    <w:rsid w:val="00300D09"/>
    <w:pPr>
      <w:spacing w:before="200" w:after="100"/>
    </w:pPr>
    <w:rPr>
      <w:b/>
      <w:sz w:val="22"/>
    </w:rPr>
  </w:style>
  <w:style w:type="paragraph" w:styleId="TOC2">
    <w:name w:val="toc 2"/>
    <w:basedOn w:val="Normal"/>
    <w:next w:val="Normal"/>
    <w:autoRedefine/>
    <w:uiPriority w:val="39"/>
    <w:unhideWhenUsed/>
    <w:rsid w:val="00300D09"/>
    <w:pPr>
      <w:spacing w:after="100"/>
      <w:ind w:left="240"/>
    </w:pPr>
    <w:rPr>
      <w:i/>
      <w:sz w:val="22"/>
    </w:rPr>
  </w:style>
  <w:style w:type="paragraph" w:styleId="TOC3">
    <w:name w:val="toc 3"/>
    <w:basedOn w:val="Normal"/>
    <w:next w:val="Normal"/>
    <w:autoRedefine/>
    <w:uiPriority w:val="39"/>
    <w:unhideWhenUsed/>
    <w:rsid w:val="00300D09"/>
    <w:pPr>
      <w:tabs>
        <w:tab w:val="right" w:leader="dot" w:pos="8755"/>
      </w:tabs>
      <w:spacing w:before="120" w:after="100"/>
      <w:ind w:left="480"/>
    </w:pPr>
    <w:rPr>
      <w:noProof/>
      <w:sz w:val="22"/>
    </w:rPr>
  </w:style>
  <w:style w:type="paragraph" w:customStyle="1" w:styleId="quote2">
    <w:name w:val="quote2"/>
    <w:basedOn w:val="Quote"/>
    <w:rsid w:val="00F40E13"/>
    <w:rPr>
      <w:b/>
    </w:rPr>
  </w:style>
  <w:style w:type="paragraph" w:customStyle="1" w:styleId="Parties">
    <w:name w:val="Parties"/>
    <w:basedOn w:val="Normal"/>
    <w:rsid w:val="00300D09"/>
    <w:pPr>
      <w:tabs>
        <w:tab w:val="right" w:pos="8732"/>
      </w:tabs>
      <w:suppressAutoHyphens/>
    </w:pPr>
    <w:rPr>
      <w:szCs w:val="20"/>
    </w:rPr>
  </w:style>
  <w:style w:type="paragraph" w:customStyle="1" w:styleId="TramLines">
    <w:name w:val="TramLines"/>
    <w:basedOn w:val="Normal"/>
    <w:next w:val="1"/>
    <w:qFormat/>
    <w:rsid w:val="00300D09"/>
    <w:pPr>
      <w:pBdr>
        <w:top w:val="single" w:sz="8" w:space="12" w:color="auto"/>
        <w:bottom w:val="single" w:sz="8" w:space="12" w:color="auto"/>
      </w:pBdr>
      <w:suppressAutoHyphens/>
      <w:spacing w:after="320"/>
      <w:jc w:val="center"/>
    </w:pPr>
    <w:rPr>
      <w:b/>
      <w:szCs w:val="20"/>
    </w:rPr>
  </w:style>
  <w:style w:type="character" w:styleId="PageNumber">
    <w:name w:val="page number"/>
    <w:rsid w:val="00300D09"/>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link w:val="BalloonText"/>
    <w:uiPriority w:val="99"/>
    <w:semiHidden/>
    <w:rsid w:val="001E77C7"/>
    <w:rPr>
      <w:rFonts w:ascii="Tahoma" w:hAnsi="Tahoma" w:cs="Tahoma"/>
      <w:sz w:val="16"/>
      <w:szCs w:val="16"/>
      <w:lang w:eastAsia="en-ZA"/>
    </w:rPr>
  </w:style>
  <w:style w:type="character" w:styleId="Hyperlink">
    <w:name w:val="Hyperlink"/>
    <w:uiPriority w:val="99"/>
    <w:unhideWhenUsed/>
    <w:rsid w:val="00340D11"/>
    <w:rPr>
      <w:color w:val="0000FF"/>
      <w:u w:val="single"/>
    </w:rPr>
  </w:style>
  <w:style w:type="paragraph" w:styleId="ListNumber2">
    <w:name w:val="List Number 2"/>
    <w:basedOn w:val="ListNumber"/>
    <w:uiPriority w:val="99"/>
    <w:semiHidden/>
    <w:unhideWhenUsed/>
    <w:rsid w:val="00300D09"/>
  </w:style>
  <w:style w:type="paragraph" w:styleId="NormalWeb">
    <w:name w:val="Normal (Web)"/>
    <w:basedOn w:val="Normal"/>
    <w:uiPriority w:val="99"/>
    <w:unhideWhenUsed/>
    <w:rsid w:val="006D37D9"/>
    <w:pPr>
      <w:spacing w:before="100" w:beforeAutospacing="1" w:after="100" w:afterAutospacing="1"/>
      <w:jc w:val="left"/>
    </w:pPr>
    <w:rPr>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Calibr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link w:val="EndnoteText"/>
    <w:uiPriority w:val="99"/>
    <w:rsid w:val="00EE0DBA"/>
    <w:rPr>
      <w:rFonts w:ascii="Arial" w:hAnsi="Arial"/>
      <w:lang w:eastAsia="en-ZA"/>
    </w:rPr>
  </w:style>
  <w:style w:type="character" w:styleId="EndnoteReference">
    <w:name w:val="endnote reference"/>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39"/>
    <w:rsid w:val="00300D09"/>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9637F9"/>
    <w:pPr>
      <w:spacing w:before="60" w:after="60"/>
      <w:jc w:val="left"/>
    </w:pPr>
    <w:rPr>
      <w:sz w:val="20"/>
      <w:szCs w:val="20"/>
    </w:rPr>
  </w:style>
  <w:style w:type="character" w:customStyle="1" w:styleId="BodyTextChar">
    <w:name w:val="Body Text Char"/>
    <w:link w:val="BodyText"/>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Calibr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1Char">
    <w:name w:val="1 Char"/>
    <w:link w:val="1"/>
    <w:rsid w:val="00586B39"/>
    <w:rPr>
      <w:rFonts w:ascii="Arial" w:hAnsi="Arial"/>
      <w:iCs/>
      <w:color w:val="000000"/>
      <w:sz w:val="24"/>
      <w:szCs w:val="22"/>
      <w:lang w:eastAsia="en-US"/>
    </w:rPr>
  </w:style>
  <w:style w:type="character" w:customStyle="1" w:styleId="2Char">
    <w:name w:val="2 Char"/>
    <w:link w:val="2"/>
    <w:rsid w:val="007C1127"/>
    <w:rPr>
      <w:rFonts w:ascii="Arial" w:hAnsi="Arial"/>
      <w:iCs/>
      <w:color w:val="000000"/>
      <w:sz w:val="24"/>
      <w:szCs w:val="22"/>
      <w:lang w:eastAsia="en-US"/>
    </w:rPr>
  </w:style>
  <w:style w:type="paragraph" w:styleId="ListNumber">
    <w:name w:val="List Number"/>
    <w:basedOn w:val="Normal"/>
    <w:uiPriority w:val="99"/>
    <w:unhideWhenUsed/>
    <w:rsid w:val="00300D09"/>
    <w:pPr>
      <w:numPr>
        <w:numId w:val="2"/>
      </w:numPr>
      <w:spacing w:before="9738"/>
    </w:pPr>
  </w:style>
  <w:style w:type="paragraph" w:customStyle="1" w:styleId="Style1">
    <w:name w:val="Style1"/>
    <w:basedOn w:val="Normal"/>
    <w:next w:val="1"/>
    <w:link w:val="Style1Char"/>
    <w:qFormat/>
    <w:rsid w:val="00300D09"/>
    <w:pPr>
      <w:keepNext/>
      <w:spacing w:before="240" w:line="480" w:lineRule="auto"/>
    </w:pPr>
    <w:rPr>
      <w:b/>
    </w:rPr>
  </w:style>
  <w:style w:type="character" w:customStyle="1" w:styleId="Style1Char">
    <w:name w:val="Style1 Char"/>
    <w:link w:val="Style1"/>
    <w:rsid w:val="00300D09"/>
    <w:rPr>
      <w:rFonts w:ascii="Arial" w:hAnsi="Arial"/>
      <w:b/>
      <w:sz w:val="24"/>
      <w:szCs w:val="24"/>
      <w:lang w:eastAsia="en-US"/>
    </w:rPr>
  </w:style>
  <w:style w:type="paragraph" w:styleId="Subtitle">
    <w:name w:val="Subtitle"/>
    <w:basedOn w:val="Normal"/>
    <w:next w:val="Normal"/>
    <w:link w:val="SubtitleChar"/>
    <w:uiPriority w:val="11"/>
    <w:rsid w:val="00300D09"/>
    <w:pPr>
      <w:numPr>
        <w:ilvl w:val="1"/>
      </w:numPr>
      <w:spacing w:after="160"/>
    </w:pPr>
    <w:rPr>
      <w:rFonts w:ascii="Calibri" w:hAnsi="Calibri"/>
      <w:color w:val="5A5A5A"/>
      <w:spacing w:val="15"/>
    </w:rPr>
  </w:style>
  <w:style w:type="character" w:customStyle="1" w:styleId="SubtitleChar">
    <w:name w:val="Subtitle Char"/>
    <w:link w:val="Subtitle"/>
    <w:uiPriority w:val="11"/>
    <w:rsid w:val="00300D09"/>
    <w:rPr>
      <w:color w:val="5A5A5A"/>
      <w:spacing w:val="15"/>
      <w:sz w:val="24"/>
      <w:szCs w:val="24"/>
      <w:lang w:eastAsia="en-US"/>
    </w:rPr>
  </w:style>
  <w:style w:type="paragraph" w:styleId="TOCHeading">
    <w:name w:val="TOC Heading"/>
    <w:basedOn w:val="Heading1"/>
    <w:next w:val="Normal"/>
    <w:uiPriority w:val="39"/>
    <w:unhideWhenUsed/>
    <w:qFormat/>
    <w:rsid w:val="00300D09"/>
    <w:pPr>
      <w:keepLines/>
      <w:autoSpaceDE/>
      <w:autoSpaceDN/>
      <w:adjustRightInd/>
      <w:jc w:val="center"/>
      <w:outlineLvl w:val="9"/>
    </w:pPr>
    <w:rPr>
      <w:b w:val="0"/>
      <w:bCs w:val="0"/>
      <w:szCs w:val="32"/>
      <w:lang w:val="en-US"/>
    </w:rPr>
  </w:style>
  <w:style w:type="paragraph" w:customStyle="1" w:styleId="western">
    <w:name w:val="western"/>
    <w:basedOn w:val="Normal"/>
    <w:rsid w:val="00B56EFE"/>
    <w:pPr>
      <w:spacing w:before="100" w:beforeAutospacing="1" w:after="100" w:afterAutospacing="1"/>
      <w:jc w:val="left"/>
    </w:pPr>
    <w:rPr>
      <w:rFonts w:ascii="Times New Roman" w:hAnsi="Times New Roman"/>
      <w:lang w:eastAsia="en-GB"/>
    </w:rPr>
  </w:style>
  <w:style w:type="character" w:styleId="Emphasis">
    <w:name w:val="Emphasis"/>
    <w:uiPriority w:val="20"/>
    <w:qFormat/>
    <w:rsid w:val="00820579"/>
    <w:rPr>
      <w:i/>
      <w:iCs/>
    </w:rPr>
  </w:style>
  <w:style w:type="character" w:styleId="CommentReference">
    <w:name w:val="annotation reference"/>
    <w:basedOn w:val="DefaultParagraphFont"/>
    <w:uiPriority w:val="99"/>
    <w:semiHidden/>
    <w:unhideWhenUsed/>
    <w:rsid w:val="00BB3A62"/>
    <w:rPr>
      <w:sz w:val="16"/>
      <w:szCs w:val="16"/>
    </w:rPr>
  </w:style>
  <w:style w:type="paragraph" w:styleId="CommentText">
    <w:name w:val="annotation text"/>
    <w:basedOn w:val="Normal"/>
    <w:link w:val="CommentTextChar"/>
    <w:uiPriority w:val="99"/>
    <w:semiHidden/>
    <w:unhideWhenUsed/>
    <w:rsid w:val="00BB3A62"/>
    <w:rPr>
      <w:sz w:val="20"/>
      <w:szCs w:val="20"/>
    </w:rPr>
  </w:style>
  <w:style w:type="character" w:customStyle="1" w:styleId="CommentTextChar">
    <w:name w:val="Comment Text Char"/>
    <w:basedOn w:val="DefaultParagraphFont"/>
    <w:link w:val="CommentText"/>
    <w:uiPriority w:val="99"/>
    <w:semiHidden/>
    <w:rsid w:val="00BB3A6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B3A62"/>
    <w:rPr>
      <w:b/>
      <w:bCs/>
    </w:rPr>
  </w:style>
  <w:style w:type="character" w:customStyle="1" w:styleId="CommentSubjectChar">
    <w:name w:val="Comment Subject Char"/>
    <w:basedOn w:val="CommentTextChar"/>
    <w:link w:val="CommentSubject"/>
    <w:uiPriority w:val="99"/>
    <w:semiHidden/>
    <w:rsid w:val="00BB3A62"/>
    <w:rPr>
      <w:rFonts w:ascii="Arial" w:hAnsi="Arial"/>
      <w:b/>
      <w:bCs/>
      <w:lang w:eastAsia="en-US"/>
    </w:rPr>
  </w:style>
  <w:style w:type="paragraph" w:customStyle="1" w:styleId="XClause1Head">
    <w:name w:val="XClause1Head"/>
    <w:basedOn w:val="Normal"/>
    <w:rsid w:val="00F141AD"/>
    <w:pPr>
      <w:numPr>
        <w:numId w:val="20"/>
      </w:numPr>
      <w:spacing w:after="240" w:line="360" w:lineRule="atLeast"/>
    </w:pPr>
    <w:rPr>
      <w:rFonts w:ascii="Times New Roman" w:hAnsi="Times New Roman"/>
      <w:szCs w:val="20"/>
      <w:lang w:val="en-ZA" w:eastAsia="en-GB"/>
    </w:rPr>
  </w:style>
  <w:style w:type="paragraph" w:customStyle="1" w:styleId="XClause2Sub">
    <w:name w:val="XClause2Sub"/>
    <w:basedOn w:val="Normal"/>
    <w:rsid w:val="00F141AD"/>
    <w:pPr>
      <w:numPr>
        <w:ilvl w:val="1"/>
        <w:numId w:val="20"/>
      </w:numPr>
      <w:spacing w:after="240" w:line="360" w:lineRule="atLeast"/>
    </w:pPr>
    <w:rPr>
      <w:rFonts w:ascii="Times New Roman" w:hAnsi="Times New Roman"/>
      <w:szCs w:val="20"/>
      <w:lang w:val="en-ZA" w:eastAsia="en-GB"/>
    </w:rPr>
  </w:style>
  <w:style w:type="paragraph" w:customStyle="1" w:styleId="XClause3Sub">
    <w:name w:val="XClause3Sub"/>
    <w:basedOn w:val="Normal"/>
    <w:rsid w:val="00F141AD"/>
    <w:pPr>
      <w:numPr>
        <w:ilvl w:val="2"/>
        <w:numId w:val="20"/>
      </w:numPr>
    </w:pPr>
    <w:rPr>
      <w:rFonts w:ascii="Times New Roman" w:hAnsi="Times New Roman"/>
      <w:szCs w:val="20"/>
      <w:lang w:val="en-ZA" w:eastAsia="en-GB"/>
    </w:rPr>
  </w:style>
  <w:style w:type="paragraph" w:customStyle="1" w:styleId="XClause4Sub">
    <w:name w:val="XClause4Sub"/>
    <w:basedOn w:val="Normal"/>
    <w:rsid w:val="00F141AD"/>
    <w:pPr>
      <w:numPr>
        <w:ilvl w:val="3"/>
        <w:numId w:val="20"/>
      </w:numPr>
    </w:pPr>
    <w:rPr>
      <w:rFonts w:ascii="Times New Roman" w:hAnsi="Times New Roman"/>
      <w:szCs w:val="20"/>
      <w:lang w:val="en-ZA" w:eastAsia="en-GB"/>
    </w:rPr>
  </w:style>
  <w:style w:type="paragraph" w:customStyle="1" w:styleId="XClause5Sub">
    <w:name w:val="XClause5Sub"/>
    <w:basedOn w:val="Normal"/>
    <w:rsid w:val="00F141AD"/>
    <w:pPr>
      <w:numPr>
        <w:ilvl w:val="4"/>
        <w:numId w:val="20"/>
      </w:numPr>
    </w:pPr>
    <w:rPr>
      <w:rFonts w:ascii="Times New Roman" w:hAnsi="Times New Roman"/>
      <w:szCs w:val="20"/>
      <w:lang w:val="en-ZA" w:eastAsia="en-GB"/>
    </w:rPr>
  </w:style>
  <w:style w:type="paragraph" w:customStyle="1" w:styleId="XClause6Sub">
    <w:name w:val="XClause6Sub"/>
    <w:basedOn w:val="Normal"/>
    <w:rsid w:val="00F141AD"/>
    <w:pPr>
      <w:numPr>
        <w:ilvl w:val="5"/>
        <w:numId w:val="20"/>
      </w:numPr>
    </w:pPr>
    <w:rPr>
      <w:rFonts w:ascii="Times New Roman" w:hAnsi="Times New Roman"/>
      <w:szCs w:val="20"/>
      <w:lang w:val="en-ZA" w:eastAsia="en-GB"/>
    </w:rPr>
  </w:style>
  <w:style w:type="paragraph" w:customStyle="1" w:styleId="XClause7Sub">
    <w:name w:val="XClause7Sub"/>
    <w:basedOn w:val="Normal"/>
    <w:rsid w:val="00F141AD"/>
    <w:pPr>
      <w:numPr>
        <w:ilvl w:val="6"/>
        <w:numId w:val="20"/>
      </w:numPr>
    </w:pPr>
    <w:rPr>
      <w:rFonts w:ascii="Times New Roman" w:hAnsi="Times New Roman"/>
      <w:szCs w:val="20"/>
      <w:lang w:val="en-ZA" w:eastAsia="en-GB"/>
    </w:rPr>
  </w:style>
  <w:style w:type="paragraph" w:customStyle="1" w:styleId="XClause8Sub">
    <w:name w:val="XClause8Sub"/>
    <w:basedOn w:val="Normal"/>
    <w:rsid w:val="00F141AD"/>
    <w:pPr>
      <w:numPr>
        <w:ilvl w:val="7"/>
        <w:numId w:val="20"/>
      </w:numPr>
    </w:pPr>
    <w:rPr>
      <w:rFonts w:ascii="Times New Roman" w:hAnsi="Times New Roman"/>
      <w:szCs w:val="20"/>
      <w:lang w:val="en-ZA" w:eastAsia="en-GB"/>
    </w:rPr>
  </w:style>
  <w:style w:type="paragraph" w:customStyle="1" w:styleId="XClause9Sub">
    <w:name w:val="XClause9Sub"/>
    <w:basedOn w:val="Normal"/>
    <w:rsid w:val="00F141AD"/>
    <w:pPr>
      <w:numPr>
        <w:ilvl w:val="8"/>
        <w:numId w:val="20"/>
      </w:numPr>
    </w:pPr>
    <w:rPr>
      <w:rFonts w:ascii="Times New Roman" w:hAnsi="Times New Roman"/>
      <w:szCs w:val="20"/>
      <w:lang w:val="en-ZA" w:eastAsia="en-GB"/>
    </w:rPr>
  </w:style>
  <w:style w:type="paragraph" w:customStyle="1" w:styleId="Annexures">
    <w:name w:val="Annexures"/>
    <w:basedOn w:val="Normal"/>
    <w:next w:val="Normal"/>
    <w:rsid w:val="00F141AD"/>
    <w:pPr>
      <w:numPr>
        <w:numId w:val="19"/>
      </w:numPr>
      <w:jc w:val="right"/>
    </w:pPr>
    <w:rPr>
      <w:rFonts w:ascii="Times New Roman" w:hAnsi="Times New Roman"/>
      <w:b/>
      <w:lang w:val="en-ZA" w:eastAsia="en-GB"/>
    </w:rPr>
  </w:style>
  <w:style w:type="paragraph" w:customStyle="1" w:styleId="Default">
    <w:name w:val="Default"/>
    <w:rsid w:val="00F141AD"/>
    <w:pPr>
      <w:autoSpaceDE w:val="0"/>
      <w:autoSpaceDN w:val="0"/>
      <w:adjustRightInd w:val="0"/>
    </w:pPr>
    <w:rPr>
      <w:rFonts w:ascii="Times New Roman" w:hAnsi="Times New Roman"/>
      <w:color w:val="000000"/>
      <w:sz w:val="24"/>
      <w:szCs w:val="24"/>
      <w:lang w:eastAsia="en-US"/>
    </w:rPr>
  </w:style>
  <w:style w:type="paragraph" w:customStyle="1" w:styleId="Myown">
    <w:name w:val="My own"/>
    <w:basedOn w:val="Normal"/>
    <w:rsid w:val="00944518"/>
    <w:pPr>
      <w:numPr>
        <w:numId w:val="21"/>
      </w:numPr>
      <w:spacing w:before="240" w:after="240" w:line="480" w:lineRule="auto"/>
    </w:pPr>
    <w:rPr>
      <w:lang w:val="en-ZA"/>
    </w:rPr>
  </w:style>
  <w:style w:type="paragraph" w:styleId="Revision">
    <w:name w:val="Revision"/>
    <w:hidden/>
    <w:uiPriority w:val="99"/>
    <w:semiHidden/>
    <w:rsid w:val="00E45943"/>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31796672">
      <w:bodyDiv w:val="1"/>
      <w:marLeft w:val="0"/>
      <w:marRight w:val="0"/>
      <w:marTop w:val="0"/>
      <w:marBottom w:val="0"/>
      <w:divBdr>
        <w:top w:val="none" w:sz="0" w:space="0" w:color="auto"/>
        <w:left w:val="none" w:sz="0" w:space="0" w:color="auto"/>
        <w:bottom w:val="none" w:sz="0" w:space="0" w:color="auto"/>
        <w:right w:val="none" w:sz="0" w:space="0" w:color="auto"/>
      </w:divBdr>
      <w:divsChild>
        <w:div w:id="1337460540">
          <w:marLeft w:val="0"/>
          <w:marRight w:val="0"/>
          <w:marTop w:val="0"/>
          <w:marBottom w:val="0"/>
          <w:divBdr>
            <w:top w:val="none" w:sz="0" w:space="0" w:color="auto"/>
            <w:left w:val="none" w:sz="0" w:space="0" w:color="auto"/>
            <w:bottom w:val="none" w:sz="0" w:space="0" w:color="auto"/>
            <w:right w:val="none" w:sz="0" w:space="0" w:color="auto"/>
          </w:divBdr>
          <w:divsChild>
            <w:div w:id="494999332">
              <w:marLeft w:val="0"/>
              <w:marRight w:val="0"/>
              <w:marTop w:val="0"/>
              <w:marBottom w:val="0"/>
              <w:divBdr>
                <w:top w:val="none" w:sz="0" w:space="0" w:color="auto"/>
                <w:left w:val="none" w:sz="0" w:space="0" w:color="auto"/>
                <w:bottom w:val="none" w:sz="0" w:space="0" w:color="auto"/>
                <w:right w:val="none" w:sz="0" w:space="0" w:color="auto"/>
              </w:divBdr>
              <w:divsChild>
                <w:div w:id="2063409055">
                  <w:marLeft w:val="0"/>
                  <w:marRight w:val="0"/>
                  <w:marTop w:val="0"/>
                  <w:marBottom w:val="0"/>
                  <w:divBdr>
                    <w:top w:val="none" w:sz="0" w:space="0" w:color="auto"/>
                    <w:left w:val="none" w:sz="0" w:space="0" w:color="auto"/>
                    <w:bottom w:val="none" w:sz="0" w:space="0" w:color="auto"/>
                    <w:right w:val="none" w:sz="0" w:space="0" w:color="auto"/>
                  </w:divBdr>
                  <w:divsChild>
                    <w:div w:id="17464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1193">
          <w:marLeft w:val="0"/>
          <w:marRight w:val="0"/>
          <w:marTop w:val="0"/>
          <w:marBottom w:val="225"/>
          <w:divBdr>
            <w:top w:val="single" w:sz="24" w:space="0" w:color="auto"/>
            <w:left w:val="single" w:sz="24" w:space="0" w:color="auto"/>
            <w:bottom w:val="single" w:sz="36" w:space="0" w:color="003300"/>
            <w:right w:val="single" w:sz="24" w:space="0" w:color="auto"/>
          </w:divBdr>
        </w:div>
      </w:divsChild>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68969709">
      <w:bodyDiv w:val="1"/>
      <w:marLeft w:val="0"/>
      <w:marRight w:val="0"/>
      <w:marTop w:val="0"/>
      <w:marBottom w:val="0"/>
      <w:divBdr>
        <w:top w:val="none" w:sz="0" w:space="0" w:color="auto"/>
        <w:left w:val="none" w:sz="0" w:space="0" w:color="auto"/>
        <w:bottom w:val="none" w:sz="0" w:space="0" w:color="auto"/>
        <w:right w:val="none" w:sz="0" w:space="0" w:color="auto"/>
      </w:divBdr>
    </w:div>
    <w:div w:id="313877184">
      <w:bodyDiv w:val="1"/>
      <w:marLeft w:val="0"/>
      <w:marRight w:val="0"/>
      <w:marTop w:val="0"/>
      <w:marBottom w:val="0"/>
      <w:divBdr>
        <w:top w:val="none" w:sz="0" w:space="0" w:color="auto"/>
        <w:left w:val="none" w:sz="0" w:space="0" w:color="auto"/>
        <w:bottom w:val="none" w:sz="0" w:space="0" w:color="auto"/>
        <w:right w:val="none" w:sz="0" w:space="0" w:color="auto"/>
      </w:divBdr>
    </w:div>
    <w:div w:id="344214132">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394743514">
      <w:bodyDiv w:val="1"/>
      <w:marLeft w:val="0"/>
      <w:marRight w:val="0"/>
      <w:marTop w:val="0"/>
      <w:marBottom w:val="0"/>
      <w:divBdr>
        <w:top w:val="none" w:sz="0" w:space="0" w:color="auto"/>
        <w:left w:val="none" w:sz="0" w:space="0" w:color="auto"/>
        <w:bottom w:val="none" w:sz="0" w:space="0" w:color="auto"/>
        <w:right w:val="none" w:sz="0" w:space="0" w:color="auto"/>
      </w:divBdr>
      <w:divsChild>
        <w:div w:id="204324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655093">
          <w:blockQuote w:val="1"/>
          <w:marLeft w:val="720"/>
          <w:marRight w:val="720"/>
          <w:marTop w:val="100"/>
          <w:marBottom w:val="100"/>
          <w:divBdr>
            <w:top w:val="none" w:sz="0" w:space="0" w:color="auto"/>
            <w:left w:val="none" w:sz="0" w:space="0" w:color="auto"/>
            <w:bottom w:val="none" w:sz="0" w:space="0" w:color="auto"/>
            <w:right w:val="none" w:sz="0" w:space="0" w:color="auto"/>
          </w:divBdr>
        </w:div>
        <w:div w:id="778061266">
          <w:blockQuote w:val="1"/>
          <w:marLeft w:val="720"/>
          <w:marRight w:val="720"/>
          <w:marTop w:val="100"/>
          <w:marBottom w:val="100"/>
          <w:divBdr>
            <w:top w:val="none" w:sz="0" w:space="0" w:color="auto"/>
            <w:left w:val="none" w:sz="0" w:space="0" w:color="auto"/>
            <w:bottom w:val="none" w:sz="0" w:space="0" w:color="auto"/>
            <w:right w:val="none" w:sz="0" w:space="0" w:color="auto"/>
          </w:divBdr>
        </w:div>
        <w:div w:id="514998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9695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302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16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3090">
          <w:blockQuote w:val="1"/>
          <w:marLeft w:val="720"/>
          <w:marRight w:val="720"/>
          <w:marTop w:val="100"/>
          <w:marBottom w:val="100"/>
          <w:divBdr>
            <w:top w:val="none" w:sz="0" w:space="0" w:color="auto"/>
            <w:left w:val="none" w:sz="0" w:space="0" w:color="auto"/>
            <w:bottom w:val="none" w:sz="0" w:space="0" w:color="auto"/>
            <w:right w:val="none" w:sz="0" w:space="0" w:color="auto"/>
          </w:divBdr>
        </w:div>
        <w:div w:id="742141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910004">
      <w:bodyDiv w:val="1"/>
      <w:marLeft w:val="0"/>
      <w:marRight w:val="0"/>
      <w:marTop w:val="0"/>
      <w:marBottom w:val="0"/>
      <w:divBdr>
        <w:top w:val="none" w:sz="0" w:space="0" w:color="auto"/>
        <w:left w:val="none" w:sz="0" w:space="0" w:color="auto"/>
        <w:bottom w:val="none" w:sz="0" w:space="0" w:color="auto"/>
        <w:right w:val="none" w:sz="0" w:space="0" w:color="auto"/>
      </w:divBdr>
    </w:div>
    <w:div w:id="489256612">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93366436">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662124181">
      <w:bodyDiv w:val="1"/>
      <w:marLeft w:val="0"/>
      <w:marRight w:val="0"/>
      <w:marTop w:val="0"/>
      <w:marBottom w:val="0"/>
      <w:divBdr>
        <w:top w:val="none" w:sz="0" w:space="0" w:color="auto"/>
        <w:left w:val="none" w:sz="0" w:space="0" w:color="auto"/>
        <w:bottom w:val="none" w:sz="0" w:space="0" w:color="auto"/>
        <w:right w:val="none" w:sz="0" w:space="0" w:color="auto"/>
      </w:divBdr>
      <w:divsChild>
        <w:div w:id="868029979">
          <w:marLeft w:val="0"/>
          <w:marRight w:val="0"/>
          <w:marTop w:val="0"/>
          <w:marBottom w:val="0"/>
          <w:divBdr>
            <w:top w:val="none" w:sz="0" w:space="0" w:color="auto"/>
            <w:left w:val="none" w:sz="0" w:space="0" w:color="auto"/>
            <w:bottom w:val="none" w:sz="0" w:space="0" w:color="auto"/>
            <w:right w:val="none" w:sz="0" w:space="0" w:color="auto"/>
          </w:divBdr>
          <w:divsChild>
            <w:div w:id="1401246260">
              <w:marLeft w:val="0"/>
              <w:marRight w:val="0"/>
              <w:marTop w:val="0"/>
              <w:marBottom w:val="0"/>
              <w:divBdr>
                <w:top w:val="none" w:sz="0" w:space="0" w:color="auto"/>
                <w:left w:val="none" w:sz="0" w:space="0" w:color="auto"/>
                <w:bottom w:val="none" w:sz="0" w:space="0" w:color="auto"/>
                <w:right w:val="none" w:sz="0" w:space="0" w:color="auto"/>
              </w:divBdr>
              <w:divsChild>
                <w:div w:id="1786076112">
                  <w:marLeft w:val="0"/>
                  <w:marRight w:val="0"/>
                  <w:marTop w:val="0"/>
                  <w:marBottom w:val="0"/>
                  <w:divBdr>
                    <w:top w:val="none" w:sz="0" w:space="0" w:color="auto"/>
                    <w:left w:val="none" w:sz="0" w:space="0" w:color="auto"/>
                    <w:bottom w:val="none" w:sz="0" w:space="0" w:color="auto"/>
                    <w:right w:val="none" w:sz="0" w:space="0" w:color="auto"/>
                  </w:divBdr>
                  <w:divsChild>
                    <w:div w:id="198616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936862386">
      <w:bodyDiv w:val="1"/>
      <w:marLeft w:val="0"/>
      <w:marRight w:val="0"/>
      <w:marTop w:val="0"/>
      <w:marBottom w:val="0"/>
      <w:divBdr>
        <w:top w:val="none" w:sz="0" w:space="0" w:color="auto"/>
        <w:left w:val="none" w:sz="0" w:space="0" w:color="auto"/>
        <w:bottom w:val="none" w:sz="0" w:space="0" w:color="auto"/>
        <w:right w:val="none" w:sz="0" w:space="0" w:color="auto"/>
      </w:divBdr>
    </w:div>
    <w:div w:id="947473251">
      <w:bodyDiv w:val="1"/>
      <w:marLeft w:val="0"/>
      <w:marRight w:val="0"/>
      <w:marTop w:val="0"/>
      <w:marBottom w:val="0"/>
      <w:divBdr>
        <w:top w:val="none" w:sz="0" w:space="0" w:color="auto"/>
        <w:left w:val="none" w:sz="0" w:space="0" w:color="auto"/>
        <w:bottom w:val="none" w:sz="0" w:space="0" w:color="auto"/>
        <w:right w:val="none" w:sz="0" w:space="0" w:color="auto"/>
      </w:divBdr>
    </w:div>
    <w:div w:id="961113929">
      <w:bodyDiv w:val="1"/>
      <w:marLeft w:val="0"/>
      <w:marRight w:val="0"/>
      <w:marTop w:val="0"/>
      <w:marBottom w:val="0"/>
      <w:divBdr>
        <w:top w:val="none" w:sz="0" w:space="0" w:color="auto"/>
        <w:left w:val="none" w:sz="0" w:space="0" w:color="auto"/>
        <w:bottom w:val="none" w:sz="0" w:space="0" w:color="auto"/>
        <w:right w:val="none" w:sz="0" w:space="0" w:color="auto"/>
      </w:divBdr>
    </w:div>
    <w:div w:id="974606439">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31490510">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121605988">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926697">
      <w:bodyDiv w:val="1"/>
      <w:marLeft w:val="0"/>
      <w:marRight w:val="0"/>
      <w:marTop w:val="0"/>
      <w:marBottom w:val="0"/>
      <w:divBdr>
        <w:top w:val="none" w:sz="0" w:space="0" w:color="auto"/>
        <w:left w:val="none" w:sz="0" w:space="0" w:color="auto"/>
        <w:bottom w:val="none" w:sz="0" w:space="0" w:color="auto"/>
        <w:right w:val="none" w:sz="0" w:space="0" w:color="auto"/>
      </w:divBdr>
    </w:div>
    <w:div w:id="1348600422">
      <w:bodyDiv w:val="1"/>
      <w:marLeft w:val="0"/>
      <w:marRight w:val="0"/>
      <w:marTop w:val="0"/>
      <w:marBottom w:val="0"/>
      <w:divBdr>
        <w:top w:val="none" w:sz="0" w:space="0" w:color="auto"/>
        <w:left w:val="none" w:sz="0" w:space="0" w:color="auto"/>
        <w:bottom w:val="none" w:sz="0" w:space="0" w:color="auto"/>
        <w:right w:val="none" w:sz="0" w:space="0" w:color="auto"/>
      </w:divBdr>
    </w:div>
    <w:div w:id="1374496912">
      <w:bodyDiv w:val="1"/>
      <w:marLeft w:val="0"/>
      <w:marRight w:val="0"/>
      <w:marTop w:val="0"/>
      <w:marBottom w:val="0"/>
      <w:divBdr>
        <w:top w:val="none" w:sz="0" w:space="0" w:color="auto"/>
        <w:left w:val="none" w:sz="0" w:space="0" w:color="auto"/>
        <w:bottom w:val="none" w:sz="0" w:space="0" w:color="auto"/>
        <w:right w:val="none" w:sz="0" w:space="0" w:color="auto"/>
      </w:divBdr>
    </w:div>
    <w:div w:id="1411581431">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560751684">
      <w:bodyDiv w:val="1"/>
      <w:marLeft w:val="0"/>
      <w:marRight w:val="0"/>
      <w:marTop w:val="0"/>
      <w:marBottom w:val="0"/>
      <w:divBdr>
        <w:top w:val="none" w:sz="0" w:space="0" w:color="auto"/>
        <w:left w:val="none" w:sz="0" w:space="0" w:color="auto"/>
        <w:bottom w:val="none" w:sz="0" w:space="0" w:color="auto"/>
        <w:right w:val="none" w:sz="0" w:space="0" w:color="auto"/>
      </w:divBdr>
    </w:div>
    <w:div w:id="1635212905">
      <w:bodyDiv w:val="1"/>
      <w:marLeft w:val="0"/>
      <w:marRight w:val="0"/>
      <w:marTop w:val="0"/>
      <w:marBottom w:val="0"/>
      <w:divBdr>
        <w:top w:val="none" w:sz="0" w:space="0" w:color="auto"/>
        <w:left w:val="none" w:sz="0" w:space="0" w:color="auto"/>
        <w:bottom w:val="none" w:sz="0" w:space="0" w:color="auto"/>
        <w:right w:val="none" w:sz="0" w:space="0" w:color="auto"/>
      </w:divBdr>
    </w:div>
    <w:div w:id="1689288382">
      <w:bodyDiv w:val="1"/>
      <w:marLeft w:val="0"/>
      <w:marRight w:val="0"/>
      <w:marTop w:val="0"/>
      <w:marBottom w:val="0"/>
      <w:divBdr>
        <w:top w:val="none" w:sz="0" w:space="0" w:color="auto"/>
        <w:left w:val="none" w:sz="0" w:space="0" w:color="auto"/>
        <w:bottom w:val="none" w:sz="0" w:space="0" w:color="auto"/>
        <w:right w:val="none" w:sz="0" w:space="0" w:color="auto"/>
      </w:divBdr>
    </w:div>
    <w:div w:id="1889367639">
      <w:bodyDiv w:val="1"/>
      <w:marLeft w:val="0"/>
      <w:marRight w:val="0"/>
      <w:marTop w:val="0"/>
      <w:marBottom w:val="0"/>
      <w:divBdr>
        <w:top w:val="none" w:sz="0" w:space="0" w:color="auto"/>
        <w:left w:val="none" w:sz="0" w:space="0" w:color="auto"/>
        <w:bottom w:val="none" w:sz="0" w:space="0" w:color="auto"/>
        <w:right w:val="none" w:sz="0" w:space="0" w:color="auto"/>
      </w:divBdr>
    </w:div>
    <w:div w:id="1923761642">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2031829676">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Desktop\Judgment.dotm"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AD688-E717-4780-92EB-32EB4A2C3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3</TotalTime>
  <Pages>19</Pages>
  <Words>4454</Words>
  <Characters>25389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cp:lastModifiedBy>Lilitha Mdleleni</cp:lastModifiedBy>
  <cp:revision>3</cp:revision>
  <cp:lastPrinted>2023-11-30T06:56:00Z</cp:lastPrinted>
  <dcterms:created xsi:type="dcterms:W3CDTF">2023-12-01T10:35:00Z</dcterms:created>
  <dcterms:modified xsi:type="dcterms:W3CDTF">2023-12-06T13:17:00Z</dcterms:modified>
</cp:coreProperties>
</file>