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568409F3" w:rsidR="006C43D7" w:rsidRPr="006C43D7" w:rsidRDefault="006C43D7" w:rsidP="006C43D7">
      <w:pPr>
        <w:spacing w:after="120" w:line="360" w:lineRule="auto"/>
        <w:jc w:val="center"/>
        <w:rPr>
          <w:rFonts w:cs="Arial"/>
          <w:b/>
          <w:bCs/>
        </w:rPr>
      </w:pPr>
      <w:bookmarkStart w:id="0" w:name="_GoBack"/>
      <w:bookmarkEnd w:id="0"/>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3BF8F1E2" w:rsidR="006C43D7" w:rsidRPr="006C43D7" w:rsidRDefault="006C43D7" w:rsidP="006C43D7">
      <w:pPr>
        <w:spacing w:line="360" w:lineRule="auto"/>
        <w:jc w:val="right"/>
        <w:rPr>
          <w:b/>
        </w:rPr>
      </w:pPr>
      <w:r w:rsidRPr="006C43D7">
        <w:rPr>
          <w:b/>
        </w:rPr>
        <w:t xml:space="preserve">CASE NO: </w:t>
      </w:r>
      <w:r w:rsidR="00D34AFB">
        <w:rPr>
          <w:b/>
        </w:rPr>
        <w:t>2020/</w:t>
      </w:r>
      <w:r w:rsidR="007D6488">
        <w:rPr>
          <w:b/>
        </w:rPr>
        <w:t>13723</w:t>
      </w:r>
    </w:p>
    <w:p w14:paraId="0AF8DD38" w14:textId="77777777" w:rsidR="006C43D7" w:rsidRPr="006C43D7" w:rsidRDefault="006C43D7" w:rsidP="006C43D7">
      <w:pPr>
        <w:spacing w:line="360" w:lineRule="auto"/>
        <w:jc w:val="right"/>
      </w:pPr>
      <w:r w:rsidRPr="006C43D7">
        <w:rPr>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095CF99F" w:rsidR="00D645C6" w:rsidRDefault="002E3660" w:rsidP="002E366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8D4C93">
                              <w:rPr>
                                <w:rFonts w:ascii="Century Gothic" w:hAnsi="Century Gothic"/>
                                <w:sz w:val="20"/>
                                <w:szCs w:val="20"/>
                              </w:rPr>
                              <w:t>NO</w:t>
                            </w:r>
                          </w:p>
                          <w:p w14:paraId="3A4C7296" w14:textId="53FF6F48" w:rsidR="00D645C6" w:rsidRPr="001D3CC2" w:rsidRDefault="002E3660" w:rsidP="002E3660">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8D4C93">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095CF99F" w:rsidR="00D645C6" w:rsidRDefault="002E3660" w:rsidP="002E366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8D4C93">
                        <w:rPr>
                          <w:rFonts w:ascii="Century Gothic" w:hAnsi="Century Gothic"/>
                          <w:sz w:val="20"/>
                          <w:szCs w:val="20"/>
                        </w:rPr>
                        <w:t>NO</w:t>
                      </w:r>
                    </w:p>
                    <w:p w14:paraId="3A4C7296" w14:textId="53FF6F48" w:rsidR="00D645C6" w:rsidRPr="001D3CC2" w:rsidRDefault="002E3660" w:rsidP="002E3660">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8D4C93">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1888"/>
      </w:tblGrid>
      <w:tr w:rsidR="002104BF" w14:paraId="4E86F7E7" w14:textId="77777777" w:rsidTr="008D4C93">
        <w:tc>
          <w:tcPr>
            <w:tcW w:w="6663" w:type="dxa"/>
          </w:tcPr>
          <w:p w14:paraId="74EE3EDE" w14:textId="4509BFCE" w:rsidR="002104BF" w:rsidRDefault="008D4C93" w:rsidP="00AA7A76">
            <w:pPr>
              <w:spacing w:line="480" w:lineRule="auto"/>
              <w:jc w:val="both"/>
              <w:rPr>
                <w:rFonts w:cs="Arial"/>
                <w:szCs w:val="22"/>
              </w:rPr>
            </w:pPr>
            <w:r>
              <w:rPr>
                <w:b/>
                <w:lang w:val="en-GB"/>
              </w:rPr>
              <w:t>DOOLA, RIYADH</w:t>
            </w:r>
          </w:p>
        </w:tc>
        <w:tc>
          <w:tcPr>
            <w:tcW w:w="1888" w:type="dxa"/>
          </w:tcPr>
          <w:p w14:paraId="72EECEF8" w14:textId="11B75D3A" w:rsidR="002104BF" w:rsidRDefault="002104BF" w:rsidP="00AA7A76">
            <w:pPr>
              <w:spacing w:line="480" w:lineRule="auto"/>
              <w:jc w:val="both"/>
              <w:rPr>
                <w:rFonts w:cs="Arial"/>
                <w:szCs w:val="22"/>
              </w:rPr>
            </w:pPr>
            <w:r>
              <w:rPr>
                <w:rFonts w:cs="Arial"/>
                <w:szCs w:val="22"/>
              </w:rPr>
              <w:t>Applicant</w:t>
            </w:r>
          </w:p>
        </w:tc>
      </w:tr>
      <w:tr w:rsidR="002104BF" w14:paraId="64E42908" w14:textId="77777777" w:rsidTr="008D4C93">
        <w:tc>
          <w:tcPr>
            <w:tcW w:w="6663" w:type="dxa"/>
          </w:tcPr>
          <w:p w14:paraId="6E1E5BEB" w14:textId="61C88D93" w:rsidR="002104BF" w:rsidRDefault="008D4C93" w:rsidP="00AA7A76">
            <w:pPr>
              <w:spacing w:line="480" w:lineRule="auto"/>
              <w:jc w:val="both"/>
              <w:rPr>
                <w:b/>
                <w:szCs w:val="22"/>
              </w:rPr>
            </w:pPr>
            <w:r>
              <w:rPr>
                <w:b/>
                <w:szCs w:val="22"/>
              </w:rPr>
              <w:t>A</w:t>
            </w:r>
            <w:r w:rsidR="002104BF">
              <w:rPr>
                <w:b/>
                <w:szCs w:val="22"/>
              </w:rPr>
              <w:t>nd</w:t>
            </w:r>
          </w:p>
        </w:tc>
        <w:tc>
          <w:tcPr>
            <w:tcW w:w="1888" w:type="dxa"/>
          </w:tcPr>
          <w:p w14:paraId="1DB932F2" w14:textId="77777777" w:rsidR="002104BF" w:rsidRDefault="002104BF" w:rsidP="00AA7A76">
            <w:pPr>
              <w:spacing w:line="480" w:lineRule="auto"/>
              <w:jc w:val="both"/>
              <w:rPr>
                <w:rFonts w:cs="Arial"/>
                <w:szCs w:val="22"/>
              </w:rPr>
            </w:pPr>
          </w:p>
        </w:tc>
      </w:tr>
      <w:tr w:rsidR="002104BF" w14:paraId="3BCAF70A" w14:textId="77777777" w:rsidTr="008D4C93">
        <w:tc>
          <w:tcPr>
            <w:tcW w:w="6663" w:type="dxa"/>
          </w:tcPr>
          <w:p w14:paraId="58EF44C8" w14:textId="3623CCA7" w:rsidR="00C549F4" w:rsidRPr="00516E87" w:rsidRDefault="008D4C93" w:rsidP="00C549F4">
            <w:pPr>
              <w:tabs>
                <w:tab w:val="right" w:pos="8931"/>
              </w:tabs>
              <w:contextualSpacing/>
              <w:rPr>
                <w:b/>
                <w:lang w:val="en-GB"/>
              </w:rPr>
            </w:pPr>
            <w:r>
              <w:rPr>
                <w:b/>
                <w:lang w:val="en-GB"/>
              </w:rPr>
              <w:t xml:space="preserve">FIRST RAND BANK LTD trading inter alia as RMB PRIVATE BANK </w:t>
            </w:r>
            <w:r w:rsidRPr="008D4C93">
              <w:rPr>
                <w:b/>
                <w:sz w:val="18"/>
                <w:szCs w:val="20"/>
                <w:lang w:val="en-GB"/>
              </w:rPr>
              <w:t>and as</w:t>
            </w:r>
            <w:r>
              <w:rPr>
                <w:b/>
                <w:lang w:val="en-GB"/>
              </w:rPr>
              <w:t xml:space="preserve"> FNB </w:t>
            </w:r>
          </w:p>
          <w:p w14:paraId="0E8BF73D" w14:textId="6E2E80CC" w:rsidR="002104BF" w:rsidRDefault="00C549F4" w:rsidP="00C549F4">
            <w:pPr>
              <w:spacing w:line="480" w:lineRule="auto"/>
              <w:jc w:val="both"/>
              <w:rPr>
                <w:b/>
                <w:szCs w:val="22"/>
              </w:rPr>
            </w:pPr>
            <w:r w:rsidRPr="00516E87">
              <w:rPr>
                <w:b/>
                <w:lang w:val="en-GB"/>
              </w:rPr>
              <w:t>(Registration Number: 2011/009111/07)</w:t>
            </w:r>
          </w:p>
        </w:tc>
        <w:tc>
          <w:tcPr>
            <w:tcW w:w="1888" w:type="dxa"/>
          </w:tcPr>
          <w:p w14:paraId="2A989CFA" w14:textId="166EFBFC" w:rsidR="002104BF" w:rsidRDefault="002104BF" w:rsidP="00AA7A76">
            <w:pPr>
              <w:spacing w:line="480" w:lineRule="auto"/>
              <w:jc w:val="both"/>
              <w:rPr>
                <w:rFonts w:cs="Arial"/>
                <w:szCs w:val="22"/>
              </w:rPr>
            </w:pPr>
            <w:r>
              <w:rPr>
                <w:rFonts w:cs="Arial"/>
                <w:szCs w:val="22"/>
              </w:rPr>
              <w:t>Respondent</w:t>
            </w:r>
          </w:p>
        </w:tc>
      </w:tr>
    </w:tbl>
    <w:p w14:paraId="387BBDD6" w14:textId="77777777" w:rsidR="00BF086D" w:rsidRPr="006C43D7"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5E1312C0" w:rsidR="00C460A0" w:rsidRDefault="00C460A0" w:rsidP="008B2BC6">
      <w:pPr>
        <w:keepNext/>
        <w:spacing w:after="480" w:line="360" w:lineRule="auto"/>
        <w:jc w:val="both"/>
        <w:rPr>
          <w:rFonts w:cs="Arial"/>
          <w:bCs/>
          <w:i/>
          <w:iCs/>
          <w:szCs w:val="20"/>
          <w:u w:val="single"/>
        </w:rPr>
      </w:pPr>
      <w:r w:rsidRPr="003D19C3">
        <w:rPr>
          <w:rFonts w:cs="Arial"/>
          <w:bCs/>
          <w:i/>
          <w:iCs/>
          <w:szCs w:val="20"/>
          <w:u w:val="single"/>
        </w:rPr>
        <w:lastRenderedPageBreak/>
        <w:t>Summary</w:t>
      </w:r>
    </w:p>
    <w:p w14:paraId="7970FE70" w14:textId="11659E58" w:rsidR="007535CE" w:rsidRDefault="007535CE" w:rsidP="008B2BC6">
      <w:pPr>
        <w:keepNext/>
        <w:spacing w:after="480" w:line="360" w:lineRule="auto"/>
        <w:jc w:val="both"/>
        <w:rPr>
          <w:rFonts w:eastAsia="Calibri" w:cs="Arial"/>
          <w:i/>
          <w:iCs/>
          <w:szCs w:val="22"/>
        </w:rPr>
      </w:pPr>
      <w:r w:rsidRPr="007535CE">
        <w:rPr>
          <w:rFonts w:cs="Arial"/>
          <w:bCs/>
          <w:i/>
          <w:iCs/>
          <w:szCs w:val="20"/>
        </w:rPr>
        <w:t>Application for leave to appeal – section 17</w:t>
      </w:r>
      <w:r w:rsidRPr="007535CE">
        <w:rPr>
          <w:rFonts w:eastAsia="Calibri" w:cs="Arial"/>
          <w:i/>
          <w:iCs/>
          <w:szCs w:val="22"/>
        </w:rPr>
        <w:t xml:space="preserve"> (1)(a)(i) and (ii) of the Superior Courts Act</w:t>
      </w:r>
      <w:r>
        <w:rPr>
          <w:rFonts w:eastAsia="Calibri" w:cs="Arial"/>
          <w:i/>
          <w:iCs/>
          <w:szCs w:val="22"/>
        </w:rPr>
        <w:t>, 10 of 2013 – reasonable prospects of success</w:t>
      </w:r>
    </w:p>
    <w:p w14:paraId="7134A7D1" w14:textId="3E284CCE" w:rsidR="00CC51C4" w:rsidRDefault="007535CE" w:rsidP="008B2BC6">
      <w:pPr>
        <w:keepNext/>
        <w:spacing w:after="480" w:line="360" w:lineRule="auto"/>
        <w:jc w:val="both"/>
        <w:rPr>
          <w:rFonts w:eastAsia="Calibri" w:cs="Arial"/>
          <w:i/>
          <w:iCs/>
          <w:szCs w:val="22"/>
        </w:rPr>
      </w:pPr>
      <w:r>
        <w:rPr>
          <w:rFonts w:eastAsia="Calibri" w:cs="Arial"/>
          <w:i/>
          <w:iCs/>
          <w:szCs w:val="22"/>
        </w:rPr>
        <w:t xml:space="preserve">Appealability of </w:t>
      </w:r>
      <w:r w:rsidR="00152028">
        <w:rPr>
          <w:rFonts w:eastAsia="Calibri" w:cs="Arial"/>
          <w:i/>
          <w:iCs/>
          <w:szCs w:val="22"/>
        </w:rPr>
        <w:t>interlocutory</w:t>
      </w:r>
      <w:r>
        <w:rPr>
          <w:rFonts w:eastAsia="Calibri" w:cs="Arial"/>
          <w:i/>
          <w:iCs/>
          <w:szCs w:val="22"/>
        </w:rPr>
        <w:t xml:space="preserve"> orders – interests of justice</w:t>
      </w:r>
    </w:p>
    <w:p w14:paraId="16E4FFFB" w14:textId="40F7AA76" w:rsidR="007535CE" w:rsidRDefault="00CC51C4" w:rsidP="008B2BC6">
      <w:pPr>
        <w:keepNext/>
        <w:spacing w:after="480" w:line="360" w:lineRule="auto"/>
        <w:jc w:val="both"/>
        <w:rPr>
          <w:rFonts w:eastAsia="Calibri" w:cs="Arial"/>
          <w:i/>
          <w:iCs/>
          <w:szCs w:val="22"/>
        </w:rPr>
      </w:pPr>
      <w:r>
        <w:rPr>
          <w:rFonts w:eastAsia="Calibri" w:cs="Arial"/>
          <w:i/>
          <w:iCs/>
          <w:szCs w:val="22"/>
        </w:rPr>
        <w:t>S</w:t>
      </w:r>
      <w:r w:rsidR="007535CE">
        <w:rPr>
          <w:rFonts w:eastAsia="Calibri" w:cs="Arial"/>
          <w:i/>
          <w:iCs/>
          <w:szCs w:val="22"/>
        </w:rPr>
        <w:t>ection 17(1)(c) of Superior Courts Act</w:t>
      </w:r>
      <w:r w:rsidR="00F6458E">
        <w:rPr>
          <w:rFonts w:eastAsia="Calibri" w:cs="Arial"/>
          <w:i/>
          <w:iCs/>
          <w:szCs w:val="22"/>
        </w:rPr>
        <w:t xml:space="preserve"> – </w:t>
      </w:r>
      <w:r w:rsidR="00152028">
        <w:rPr>
          <w:rFonts w:eastAsia="Calibri" w:cs="Arial"/>
          <w:i/>
          <w:iCs/>
          <w:szCs w:val="22"/>
        </w:rPr>
        <w:t>interlocutory</w:t>
      </w:r>
      <w:r>
        <w:rPr>
          <w:rFonts w:eastAsia="Calibri" w:cs="Arial"/>
          <w:i/>
          <w:iCs/>
          <w:szCs w:val="22"/>
        </w:rPr>
        <w:t xml:space="preserve"> order may be </w:t>
      </w:r>
      <w:r w:rsidR="00F6458E">
        <w:rPr>
          <w:rFonts w:eastAsia="Calibri" w:cs="Arial"/>
          <w:i/>
          <w:iCs/>
          <w:szCs w:val="22"/>
        </w:rPr>
        <w:t>appealable</w:t>
      </w:r>
      <w:r w:rsidR="00994C0D">
        <w:rPr>
          <w:rFonts w:eastAsia="Calibri" w:cs="Arial"/>
          <w:i/>
          <w:iCs/>
          <w:szCs w:val="22"/>
        </w:rPr>
        <w:t xml:space="preserve"> inter alia</w:t>
      </w:r>
      <w:r w:rsidR="00F6458E">
        <w:rPr>
          <w:rFonts w:eastAsia="Calibri" w:cs="Arial"/>
          <w:i/>
          <w:iCs/>
          <w:szCs w:val="22"/>
        </w:rPr>
        <w:t xml:space="preserve"> when order </w:t>
      </w:r>
      <w:r w:rsidR="00F6458E" w:rsidRPr="005B6588">
        <w:rPr>
          <w:rFonts w:cs="Arial"/>
          <w:i/>
          <w:iCs/>
          <w:szCs w:val="22"/>
        </w:rPr>
        <w:t>dispose</w:t>
      </w:r>
      <w:r>
        <w:rPr>
          <w:rFonts w:cs="Arial"/>
          <w:i/>
          <w:iCs/>
          <w:szCs w:val="22"/>
        </w:rPr>
        <w:t>s</w:t>
      </w:r>
      <w:r w:rsidR="00F6458E" w:rsidRPr="005B6588">
        <w:rPr>
          <w:rFonts w:cs="Arial"/>
          <w:i/>
          <w:iCs/>
          <w:szCs w:val="22"/>
        </w:rPr>
        <w:t xml:space="preserve"> of any issue or any portion of the issue in the</w:t>
      </w:r>
      <w:r w:rsidR="00F6458E">
        <w:rPr>
          <w:rFonts w:cs="Arial"/>
          <w:i/>
          <w:iCs/>
          <w:szCs w:val="22"/>
        </w:rPr>
        <w:t xml:space="preserve"> litigation</w:t>
      </w:r>
    </w:p>
    <w:p w14:paraId="1CE84C84" w14:textId="77777777" w:rsidR="007535CE" w:rsidRPr="007535CE" w:rsidRDefault="007535CE" w:rsidP="008B2BC6">
      <w:pPr>
        <w:keepNext/>
        <w:spacing w:after="480" w:line="360" w:lineRule="auto"/>
        <w:jc w:val="both"/>
        <w:rPr>
          <w:rFonts w:cs="Arial"/>
          <w:bCs/>
          <w:i/>
          <w:iCs/>
          <w:szCs w:val="20"/>
        </w:rPr>
      </w:pPr>
    </w:p>
    <w:p w14:paraId="18AFD427" w14:textId="71D91557" w:rsidR="00BE6AB8" w:rsidRPr="00BE6AB8" w:rsidRDefault="00BE6AB8" w:rsidP="008B2BC6">
      <w:pPr>
        <w:keepNext/>
        <w:spacing w:after="480" w:line="360" w:lineRule="auto"/>
        <w:jc w:val="both"/>
        <w:rPr>
          <w:rFonts w:cs="Arial"/>
          <w:bCs/>
          <w:szCs w:val="22"/>
          <w:u w:val="single"/>
        </w:rPr>
      </w:pPr>
      <w:r>
        <w:rPr>
          <w:rFonts w:cs="Arial"/>
          <w:bCs/>
          <w:szCs w:val="22"/>
          <w:u w:val="single"/>
        </w:rPr>
        <w:t>Order</w:t>
      </w:r>
    </w:p>
    <w:p w14:paraId="00B584BA" w14:textId="2E141892" w:rsidR="00313056" w:rsidRPr="00D5386E" w:rsidRDefault="002E3660" w:rsidP="002E3660">
      <w:pPr>
        <w:tabs>
          <w:tab w:val="left" w:pos="567"/>
        </w:tabs>
        <w:spacing w:before="240" w:after="240" w:line="360" w:lineRule="auto"/>
        <w:jc w:val="both"/>
        <w:rPr>
          <w:rFonts w:cs="Arial"/>
          <w:bCs/>
          <w:i/>
          <w:iCs/>
          <w:szCs w:val="22"/>
        </w:rPr>
      </w:pPr>
      <w:r w:rsidRPr="00D5386E">
        <w:rPr>
          <w:rFonts w:cs="Arial"/>
          <w:bCs/>
          <w:iCs/>
          <w:szCs w:val="22"/>
        </w:rPr>
        <w:t>[1]</w:t>
      </w:r>
      <w:r w:rsidRPr="00D5386E">
        <w:rPr>
          <w:rFonts w:cs="Arial"/>
          <w:bCs/>
          <w:iCs/>
          <w:szCs w:val="22"/>
        </w:rPr>
        <w:tab/>
      </w:r>
      <w:r w:rsidR="003B4100" w:rsidRPr="00E73772">
        <w:rPr>
          <w:rFonts w:cs="Arial"/>
          <w:bCs/>
          <w:szCs w:val="22"/>
        </w:rPr>
        <w:t xml:space="preserve">In this </w:t>
      </w:r>
      <w:r w:rsidR="00B56906" w:rsidRPr="00E73772">
        <w:rPr>
          <w:rFonts w:cs="Arial"/>
          <w:bCs/>
          <w:szCs w:val="22"/>
        </w:rPr>
        <w:t xml:space="preserve">matter </w:t>
      </w:r>
      <w:r w:rsidR="00C460A0" w:rsidRPr="00E73772">
        <w:rPr>
          <w:rFonts w:cs="Arial"/>
          <w:bCs/>
          <w:szCs w:val="22"/>
        </w:rPr>
        <w:t>I make the following order:</w:t>
      </w:r>
    </w:p>
    <w:p w14:paraId="5E0EF6E2" w14:textId="7845EFF9" w:rsidR="00A42EA2" w:rsidRPr="002E3660" w:rsidRDefault="002E3660" w:rsidP="002E3660">
      <w:pPr>
        <w:spacing w:before="240" w:after="240" w:line="360" w:lineRule="auto"/>
        <w:ind w:left="360" w:hanging="360"/>
        <w:jc w:val="both"/>
        <w:rPr>
          <w:rFonts w:cs="Arial"/>
          <w:bCs/>
          <w:i/>
          <w:iCs/>
          <w:szCs w:val="22"/>
        </w:rPr>
      </w:pPr>
      <w:r>
        <w:rPr>
          <w:rFonts w:cs="Arial"/>
          <w:bCs/>
          <w:i/>
          <w:iCs/>
          <w:szCs w:val="22"/>
        </w:rPr>
        <w:t>1.</w:t>
      </w:r>
      <w:r>
        <w:rPr>
          <w:rFonts w:cs="Arial"/>
          <w:bCs/>
          <w:i/>
          <w:iCs/>
          <w:szCs w:val="22"/>
        </w:rPr>
        <w:tab/>
      </w:r>
      <w:r w:rsidR="00A42EA2" w:rsidRPr="002E3660">
        <w:rPr>
          <w:rFonts w:cs="Arial"/>
          <w:bCs/>
          <w:i/>
          <w:iCs/>
          <w:szCs w:val="22"/>
        </w:rPr>
        <w:t>The late filing of the application is condoned;</w:t>
      </w:r>
    </w:p>
    <w:p w14:paraId="21E0628A" w14:textId="1A14C1DF" w:rsidR="00D5386E" w:rsidRPr="002E3660" w:rsidRDefault="002E3660" w:rsidP="002E3660">
      <w:pPr>
        <w:spacing w:before="240" w:after="240" w:line="360" w:lineRule="auto"/>
        <w:ind w:left="360" w:hanging="360"/>
        <w:jc w:val="both"/>
        <w:rPr>
          <w:rFonts w:cs="Arial"/>
          <w:bCs/>
          <w:i/>
          <w:iCs/>
          <w:szCs w:val="22"/>
        </w:rPr>
      </w:pPr>
      <w:r w:rsidRPr="00A85949">
        <w:rPr>
          <w:rFonts w:cs="Arial"/>
          <w:bCs/>
          <w:i/>
          <w:iCs/>
          <w:szCs w:val="22"/>
        </w:rPr>
        <w:t>2.</w:t>
      </w:r>
      <w:r w:rsidRPr="00A85949">
        <w:rPr>
          <w:rFonts w:cs="Arial"/>
          <w:bCs/>
          <w:i/>
          <w:iCs/>
          <w:szCs w:val="22"/>
        </w:rPr>
        <w:tab/>
      </w:r>
      <w:r w:rsidR="00A85949" w:rsidRPr="002E3660">
        <w:rPr>
          <w:rFonts w:cs="Arial"/>
          <w:bCs/>
          <w:i/>
          <w:iCs/>
          <w:szCs w:val="22"/>
        </w:rPr>
        <w:t>The application for leave to appeal is dismissed;</w:t>
      </w:r>
    </w:p>
    <w:p w14:paraId="63B56A88" w14:textId="45FC057E" w:rsidR="00A85949" w:rsidRPr="002E3660" w:rsidRDefault="002E3660" w:rsidP="002E3660">
      <w:pPr>
        <w:spacing w:before="240" w:after="240" w:line="360" w:lineRule="auto"/>
        <w:ind w:left="360" w:hanging="360"/>
        <w:jc w:val="both"/>
        <w:rPr>
          <w:rFonts w:cs="Arial"/>
          <w:bCs/>
          <w:i/>
          <w:iCs/>
          <w:szCs w:val="22"/>
        </w:rPr>
      </w:pPr>
      <w:r w:rsidRPr="00A85949">
        <w:rPr>
          <w:rFonts w:cs="Arial"/>
          <w:bCs/>
          <w:i/>
          <w:iCs/>
          <w:szCs w:val="22"/>
        </w:rPr>
        <w:t>3.</w:t>
      </w:r>
      <w:r w:rsidRPr="00A85949">
        <w:rPr>
          <w:rFonts w:cs="Arial"/>
          <w:bCs/>
          <w:i/>
          <w:iCs/>
          <w:szCs w:val="22"/>
        </w:rPr>
        <w:tab/>
      </w:r>
      <w:r w:rsidR="00A85949" w:rsidRPr="002E3660">
        <w:rPr>
          <w:rFonts w:cs="Arial"/>
          <w:bCs/>
          <w:i/>
          <w:iCs/>
          <w:szCs w:val="22"/>
        </w:rPr>
        <w:t>The applicant is ordered to pay the costs of the application</w:t>
      </w:r>
      <w:r w:rsidR="00A42EA2" w:rsidRPr="002E3660">
        <w:rPr>
          <w:rFonts w:cs="Arial"/>
          <w:bCs/>
          <w:i/>
          <w:iCs/>
          <w:szCs w:val="22"/>
        </w:rPr>
        <w:t xml:space="preserve"> for condonation and for leave to appeal</w:t>
      </w:r>
      <w:r w:rsidR="00A85949" w:rsidRPr="002E3660">
        <w:rPr>
          <w:rFonts w:cs="Arial"/>
          <w:bCs/>
          <w:i/>
          <w:iCs/>
          <w:szCs w:val="22"/>
        </w:rPr>
        <w:t xml:space="preserve"> on the attorney and client scale.</w:t>
      </w:r>
    </w:p>
    <w:p w14:paraId="08540072" w14:textId="29E3E8A5" w:rsidR="00C9310B" w:rsidRPr="002E3660" w:rsidRDefault="002E3660" w:rsidP="002E3660">
      <w:pPr>
        <w:widowControl w:val="0"/>
        <w:tabs>
          <w:tab w:val="left" w:pos="567"/>
        </w:tabs>
        <w:spacing w:before="480" w:after="480" w:line="360" w:lineRule="auto"/>
        <w:jc w:val="both"/>
        <w:rPr>
          <w:rFonts w:cs="Arial"/>
          <w:bCs/>
          <w:szCs w:val="22"/>
          <w:u w:val="single"/>
        </w:rPr>
      </w:pPr>
      <w:r w:rsidRPr="00E73772">
        <w:rPr>
          <w:rFonts w:cs="Arial"/>
          <w:bCs/>
          <w:szCs w:val="22"/>
        </w:rPr>
        <w:t>[2]</w:t>
      </w:r>
      <w:r w:rsidRPr="00E73772">
        <w:rPr>
          <w:rFonts w:cs="Arial"/>
          <w:bCs/>
          <w:szCs w:val="22"/>
        </w:rPr>
        <w:tab/>
      </w:r>
      <w:r w:rsidR="00573FF9" w:rsidRPr="002E3660">
        <w:rPr>
          <w:rFonts w:cs="Arial"/>
          <w:bCs/>
          <w:szCs w:val="22"/>
        </w:rPr>
        <w:t>The reasons for the order follow below.</w:t>
      </w:r>
    </w:p>
    <w:p w14:paraId="2BD670EA" w14:textId="77777777" w:rsidR="00152028" w:rsidRDefault="00152028" w:rsidP="008B2BC6">
      <w:pPr>
        <w:keepNext/>
        <w:widowControl w:val="0"/>
        <w:spacing w:before="480" w:after="480" w:line="360" w:lineRule="auto"/>
        <w:jc w:val="both"/>
        <w:rPr>
          <w:rFonts w:cs="Arial"/>
          <w:bCs/>
          <w:szCs w:val="22"/>
          <w:u w:val="single"/>
        </w:rPr>
      </w:pPr>
    </w:p>
    <w:p w14:paraId="3658C913" w14:textId="7853399F" w:rsidR="00573FF9" w:rsidRPr="00E73772" w:rsidRDefault="00D0526F" w:rsidP="008B2BC6">
      <w:pPr>
        <w:keepNext/>
        <w:widowControl w:val="0"/>
        <w:spacing w:before="480" w:after="480" w:line="360" w:lineRule="auto"/>
        <w:jc w:val="both"/>
        <w:rPr>
          <w:rFonts w:cs="Arial"/>
          <w:bCs/>
          <w:szCs w:val="22"/>
          <w:u w:val="single"/>
        </w:rPr>
      </w:pPr>
      <w:r w:rsidRPr="00E73772">
        <w:rPr>
          <w:rFonts w:cs="Arial"/>
          <w:bCs/>
          <w:szCs w:val="22"/>
          <w:u w:val="single"/>
        </w:rPr>
        <w:t>INTRODUCTION</w:t>
      </w:r>
    </w:p>
    <w:p w14:paraId="7DA4430B" w14:textId="599D240B" w:rsidR="00A42EA2" w:rsidRDefault="002E3660" w:rsidP="002E3660">
      <w:pPr>
        <w:keepNext/>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A42EA2">
        <w:rPr>
          <w:rFonts w:cs="Arial"/>
          <w:bCs/>
          <w:szCs w:val="22"/>
        </w:rPr>
        <w:t>This is an application for leave to appeal against a decision</w:t>
      </w:r>
      <w:r w:rsidR="00A42EA2">
        <w:rPr>
          <w:rStyle w:val="FootnoteReference"/>
          <w:rFonts w:cs="Arial"/>
          <w:bCs/>
          <w:szCs w:val="22"/>
        </w:rPr>
        <w:footnoteReference w:id="1"/>
      </w:r>
      <w:r w:rsidR="00A42EA2">
        <w:rPr>
          <w:rFonts w:cs="Arial"/>
          <w:bCs/>
          <w:szCs w:val="22"/>
        </w:rPr>
        <w:t xml:space="preserve"> I handed down on 27 October 2022. The application was brought out of time and the application for </w:t>
      </w:r>
      <w:r w:rsidR="00A42EA2">
        <w:rPr>
          <w:rFonts w:cs="Arial"/>
          <w:bCs/>
          <w:szCs w:val="22"/>
        </w:rPr>
        <w:lastRenderedPageBreak/>
        <w:t>condonation for the late filing is not opposed. The late filing is condoned.</w:t>
      </w:r>
    </w:p>
    <w:p w14:paraId="73AC129D" w14:textId="34EF40FE" w:rsidR="00A42EA2" w:rsidRPr="00A42EA2" w:rsidRDefault="002E3660" w:rsidP="002E3660">
      <w:pPr>
        <w:keepNext/>
        <w:widowControl w:val="0"/>
        <w:tabs>
          <w:tab w:val="left" w:pos="567"/>
        </w:tabs>
        <w:spacing w:before="480" w:after="480" w:line="360" w:lineRule="auto"/>
        <w:jc w:val="both"/>
        <w:rPr>
          <w:rFonts w:cs="Arial"/>
          <w:bCs/>
          <w:szCs w:val="22"/>
        </w:rPr>
      </w:pPr>
      <w:r w:rsidRPr="00A42EA2">
        <w:rPr>
          <w:rFonts w:cs="Arial"/>
          <w:bCs/>
          <w:szCs w:val="22"/>
        </w:rPr>
        <w:t>[4]</w:t>
      </w:r>
      <w:r w:rsidRPr="00A42EA2">
        <w:rPr>
          <w:rFonts w:cs="Arial"/>
          <w:bCs/>
          <w:szCs w:val="22"/>
        </w:rPr>
        <w:tab/>
      </w:r>
      <w:r w:rsidR="00A42EA2">
        <w:rPr>
          <w:rFonts w:cs="Arial"/>
          <w:bCs/>
          <w:szCs w:val="22"/>
        </w:rPr>
        <w:t>I refer to the parties as in the judgment</w:t>
      </w:r>
      <w:r w:rsidR="0078382D">
        <w:rPr>
          <w:rFonts w:cs="Arial"/>
          <w:bCs/>
          <w:szCs w:val="22"/>
        </w:rPr>
        <w:t>;</w:t>
      </w:r>
      <w:r w:rsidR="00A42EA2">
        <w:rPr>
          <w:rFonts w:cs="Arial"/>
          <w:bCs/>
          <w:szCs w:val="22"/>
        </w:rPr>
        <w:t xml:space="preserve"> to the applicant for leave to appeal as the surety and to the respondent as the bank.</w:t>
      </w:r>
    </w:p>
    <w:p w14:paraId="5688EAA5" w14:textId="5F96BD76" w:rsidR="009C32F8" w:rsidRDefault="002E3660" w:rsidP="002E3660">
      <w:pPr>
        <w:widowControl w:val="0"/>
        <w:tabs>
          <w:tab w:val="left" w:pos="567"/>
        </w:tabs>
        <w:spacing w:before="480" w:after="480" w:line="360" w:lineRule="auto"/>
        <w:jc w:val="both"/>
        <w:rPr>
          <w:rFonts w:cs="Arial"/>
          <w:bCs/>
          <w:szCs w:val="22"/>
        </w:rPr>
      </w:pPr>
      <w:r>
        <w:rPr>
          <w:rFonts w:cs="Arial"/>
          <w:bCs/>
          <w:szCs w:val="22"/>
        </w:rPr>
        <w:t>[5]</w:t>
      </w:r>
      <w:r>
        <w:rPr>
          <w:rFonts w:cs="Arial"/>
          <w:bCs/>
          <w:szCs w:val="22"/>
        </w:rPr>
        <w:tab/>
      </w:r>
      <w:r w:rsidR="009C32F8">
        <w:rPr>
          <w:rFonts w:cs="Arial"/>
          <w:bCs/>
          <w:szCs w:val="22"/>
        </w:rPr>
        <w:t>In paragraph 7 of my judgment reference is made to a pending Rule 30 application and an application to strike out parts of the replying affidavit in the main application. These applications came before my Brother Malungana AJ who on 9 May 2023 set aside the Rule 30 application as an irregular step, dismissed the application to strike, and granted a punitive cost order. In the course of his judgement</w:t>
      </w:r>
      <w:r w:rsidR="009C32F8">
        <w:rPr>
          <w:rStyle w:val="FootnoteReference"/>
          <w:rFonts w:cs="Arial"/>
          <w:bCs/>
          <w:szCs w:val="22"/>
        </w:rPr>
        <w:footnoteReference w:id="2"/>
      </w:r>
      <w:r w:rsidR="009C32F8">
        <w:rPr>
          <w:rFonts w:cs="Arial"/>
          <w:bCs/>
          <w:szCs w:val="22"/>
        </w:rPr>
        <w:t xml:space="preserve"> Malungana AJ held that the Rule 35(12) </w:t>
      </w:r>
      <w:r w:rsidR="007535CE">
        <w:rPr>
          <w:rFonts w:cs="Arial"/>
          <w:bCs/>
          <w:szCs w:val="22"/>
        </w:rPr>
        <w:t>notice</w:t>
      </w:r>
      <w:r w:rsidR="009C32F8">
        <w:rPr>
          <w:rFonts w:cs="Arial"/>
          <w:bCs/>
          <w:szCs w:val="22"/>
        </w:rPr>
        <w:t xml:space="preserve"> </w:t>
      </w:r>
      <w:r w:rsidR="007535CE">
        <w:rPr>
          <w:rFonts w:cs="Arial"/>
          <w:bCs/>
          <w:szCs w:val="22"/>
        </w:rPr>
        <w:t xml:space="preserve">referred to herein </w:t>
      </w:r>
      <w:r w:rsidR="009C32F8">
        <w:rPr>
          <w:rFonts w:cs="Arial"/>
          <w:bCs/>
          <w:szCs w:val="22"/>
        </w:rPr>
        <w:t>amounted to a further step in the proceedings.</w:t>
      </w:r>
      <w:r w:rsidR="009C32F8">
        <w:rPr>
          <w:rStyle w:val="FootnoteReference"/>
          <w:rFonts w:cs="Arial"/>
          <w:bCs/>
          <w:szCs w:val="22"/>
        </w:rPr>
        <w:footnoteReference w:id="3"/>
      </w:r>
      <w:r w:rsidR="009C32F8">
        <w:rPr>
          <w:rFonts w:cs="Arial"/>
          <w:bCs/>
          <w:szCs w:val="22"/>
        </w:rPr>
        <w:t xml:space="preserve"> </w:t>
      </w:r>
      <w:r w:rsidR="00625916">
        <w:rPr>
          <w:rFonts w:cs="Arial"/>
          <w:bCs/>
          <w:szCs w:val="22"/>
        </w:rPr>
        <w:t>He therefore answered the question I left open in paragraph 12 of my judgment.</w:t>
      </w:r>
    </w:p>
    <w:p w14:paraId="3422A441" w14:textId="3B7DAE5B" w:rsidR="007535CE" w:rsidRPr="00A85949" w:rsidRDefault="002E3660" w:rsidP="002E3660">
      <w:pPr>
        <w:keepNext/>
        <w:widowControl w:val="0"/>
        <w:tabs>
          <w:tab w:val="left" w:pos="567"/>
        </w:tabs>
        <w:spacing w:before="480" w:after="480" w:line="360" w:lineRule="auto"/>
        <w:jc w:val="both"/>
        <w:rPr>
          <w:rFonts w:cs="Arial"/>
          <w:bCs/>
          <w:szCs w:val="22"/>
        </w:rPr>
      </w:pPr>
      <w:r w:rsidRPr="00A85949">
        <w:rPr>
          <w:rFonts w:cs="Arial"/>
          <w:bCs/>
          <w:szCs w:val="22"/>
        </w:rPr>
        <w:t>[6]</w:t>
      </w:r>
      <w:r w:rsidRPr="00A85949">
        <w:rPr>
          <w:rFonts w:cs="Arial"/>
          <w:bCs/>
          <w:szCs w:val="22"/>
        </w:rPr>
        <w:tab/>
      </w:r>
      <w:r w:rsidR="00D5386E" w:rsidRPr="00D5386E">
        <w:rPr>
          <w:rFonts w:eastAsia="Calibri" w:cs="Arial"/>
          <w:szCs w:val="22"/>
        </w:rPr>
        <w:t>Section 17(1)(a)(i) and (ii) of the Superior Courts Act provides that leave to appeal may only be given where the judge or judges concerned are of the opinion that the appeal would have a reasonable prospect of success or there is some other compelling reason why the appeal should be heard, including conflicting judgments on the matter under consideration.</w:t>
      </w:r>
      <w:r w:rsidR="00D5386E" w:rsidRPr="00D5386E">
        <w:rPr>
          <w:rFonts w:cs="Arial"/>
          <w:szCs w:val="22"/>
        </w:rPr>
        <w:t xml:space="preserve"> </w:t>
      </w:r>
      <w:r w:rsidR="007535CE" w:rsidRPr="00D5386E">
        <w:rPr>
          <w:rFonts w:eastAsia="Calibri" w:cs="Arial"/>
          <w:szCs w:val="22"/>
        </w:rPr>
        <w:t xml:space="preserve">An </w:t>
      </w:r>
      <w:r w:rsidR="007535CE">
        <w:rPr>
          <w:rFonts w:eastAsia="Calibri" w:cs="Arial"/>
          <w:szCs w:val="22"/>
        </w:rPr>
        <w:t>applicant</w:t>
      </w:r>
      <w:r w:rsidR="007535CE" w:rsidRPr="00D5386E">
        <w:rPr>
          <w:rFonts w:eastAsia="Calibri" w:cs="Arial"/>
          <w:szCs w:val="22"/>
        </w:rPr>
        <w:t xml:space="preserve"> in an application for leave to appeal must convince the court that the prospects of success are not remote but have a realistic chance of succeeding. A mere possibility of success is not enough. There must be a sound and rational basis for the conclusion that there are reasonable prospect of success on appeal. </w:t>
      </w:r>
    </w:p>
    <w:p w14:paraId="5F5CDF64" w14:textId="5E6A9FB4" w:rsidR="00D5386E" w:rsidRPr="002D0186" w:rsidRDefault="002E3660" w:rsidP="002E3660">
      <w:pPr>
        <w:widowControl w:val="0"/>
        <w:tabs>
          <w:tab w:val="left" w:pos="567"/>
        </w:tabs>
        <w:spacing w:before="480" w:after="480" w:line="360" w:lineRule="auto"/>
        <w:jc w:val="both"/>
        <w:rPr>
          <w:rFonts w:cs="Arial"/>
          <w:bCs/>
          <w:szCs w:val="22"/>
        </w:rPr>
      </w:pPr>
      <w:r w:rsidRPr="002D0186">
        <w:rPr>
          <w:rFonts w:cs="Arial"/>
          <w:bCs/>
          <w:szCs w:val="22"/>
        </w:rPr>
        <w:t>[7]</w:t>
      </w:r>
      <w:r w:rsidRPr="002D0186">
        <w:rPr>
          <w:rFonts w:cs="Arial"/>
          <w:bCs/>
          <w:szCs w:val="22"/>
        </w:rPr>
        <w:tab/>
      </w:r>
      <w:r w:rsidR="00D5386E" w:rsidRPr="002D0186">
        <w:rPr>
          <w:rFonts w:cs="Arial"/>
          <w:bCs/>
          <w:szCs w:val="22"/>
        </w:rPr>
        <w:t xml:space="preserve">In </w:t>
      </w:r>
      <w:r w:rsidR="00D5386E" w:rsidRPr="002D0186">
        <w:rPr>
          <w:rStyle w:val="searchhit"/>
          <w:rFonts w:cs="Arial"/>
          <w:i/>
          <w:iCs/>
          <w:color w:val="000000"/>
          <w:szCs w:val="22"/>
          <w:bdr w:val="none" w:sz="0" w:space="0" w:color="auto" w:frame="1"/>
          <w:shd w:val="clear" w:color="auto" w:fill="F9F9F9"/>
        </w:rPr>
        <w:t>Ramakatsa</w:t>
      </w:r>
      <w:r w:rsidR="00D5386E" w:rsidRPr="002D0186">
        <w:rPr>
          <w:rFonts w:cs="Arial"/>
          <w:i/>
          <w:iCs/>
          <w:color w:val="000000"/>
          <w:szCs w:val="22"/>
          <w:shd w:val="clear" w:color="auto" w:fill="F9F9F9"/>
        </w:rPr>
        <w:t> and others v African National Congress and another</w:t>
      </w:r>
      <w:r w:rsidR="00D5386E" w:rsidRPr="002D0186">
        <w:rPr>
          <w:rStyle w:val="FootnoteReference"/>
          <w:rFonts w:cs="Arial"/>
          <w:bCs/>
          <w:i/>
          <w:iCs/>
          <w:szCs w:val="22"/>
        </w:rPr>
        <w:t xml:space="preserve"> </w:t>
      </w:r>
      <w:r w:rsidR="00D5386E" w:rsidRPr="002D0186">
        <w:rPr>
          <w:rStyle w:val="FootnoteReference"/>
          <w:rFonts w:cs="Arial"/>
          <w:bCs/>
          <w:i/>
          <w:iCs/>
          <w:szCs w:val="22"/>
        </w:rPr>
        <w:footnoteReference w:id="4"/>
      </w:r>
      <w:r w:rsidR="00D5386E" w:rsidRPr="002D0186">
        <w:rPr>
          <w:rFonts w:cs="Arial"/>
          <w:bCs/>
          <w:i/>
          <w:iCs/>
          <w:szCs w:val="22"/>
        </w:rPr>
        <w:t xml:space="preserve"> </w:t>
      </w:r>
      <w:r w:rsidR="00D5386E" w:rsidRPr="002D0186">
        <w:rPr>
          <w:rFonts w:cs="Arial"/>
          <w:bCs/>
          <w:szCs w:val="22"/>
        </w:rPr>
        <w:t xml:space="preserve"> Dlodlo JA </w:t>
      </w:r>
      <w:r w:rsidR="00D5386E">
        <w:rPr>
          <w:rFonts w:cs="Arial"/>
          <w:bCs/>
          <w:szCs w:val="22"/>
        </w:rPr>
        <w:t>dealt with the authorities as follows:</w:t>
      </w:r>
    </w:p>
    <w:p w14:paraId="08F2E0BD" w14:textId="59E1192B" w:rsidR="00D5386E" w:rsidRPr="002D0186" w:rsidRDefault="00D5386E" w:rsidP="008B2BC6">
      <w:pPr>
        <w:widowControl w:val="0"/>
        <w:spacing w:before="480" w:after="480" w:line="360" w:lineRule="auto"/>
        <w:ind w:left="1440"/>
        <w:jc w:val="both"/>
        <w:rPr>
          <w:rFonts w:cs="Arial"/>
          <w:bCs/>
          <w:i/>
          <w:iCs/>
          <w:szCs w:val="22"/>
        </w:rPr>
      </w:pPr>
      <w:r w:rsidRPr="002D0186">
        <w:rPr>
          <w:rFonts w:cs="Arial"/>
          <w:bCs/>
          <w:i/>
          <w:iCs/>
          <w:szCs w:val="22"/>
        </w:rPr>
        <w:t xml:space="preserve">“[10] </w:t>
      </w:r>
      <w:r w:rsidR="00FD538F">
        <w:rPr>
          <w:rFonts w:cs="Arial"/>
          <w:bCs/>
          <w:i/>
          <w:iCs/>
          <w:szCs w:val="22"/>
        </w:rPr>
        <w:t xml:space="preserve">… </w:t>
      </w:r>
      <w:r w:rsidRPr="002D0186">
        <w:rPr>
          <w:rFonts w:cs="Arial"/>
          <w:i/>
          <w:iCs/>
          <w:szCs w:val="22"/>
        </w:rPr>
        <w:t xml:space="preserve">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w:t>
      </w:r>
      <w:r w:rsidRPr="002D0186">
        <w:rPr>
          <w:rFonts w:cs="Arial"/>
          <w:i/>
          <w:iCs/>
          <w:szCs w:val="22"/>
        </w:rPr>
        <w:lastRenderedPageBreak/>
        <w:t>reasonable chance of succeeding. A sound rational basis for the conclusion that there are prospects of success must be shown to exist.</w:t>
      </w:r>
      <w:r w:rsidRPr="002D0186">
        <w:rPr>
          <w:rFonts w:cs="Arial"/>
          <w:bCs/>
          <w:i/>
          <w:iCs/>
          <w:szCs w:val="22"/>
        </w:rPr>
        <w:t>”</w:t>
      </w:r>
      <w:r w:rsidRPr="002D0186">
        <w:rPr>
          <w:rStyle w:val="FootnoteReference"/>
          <w:rFonts w:cs="Arial"/>
          <w:bCs/>
          <w:i/>
          <w:iCs/>
          <w:szCs w:val="22"/>
        </w:rPr>
        <w:footnoteReference w:id="5"/>
      </w:r>
    </w:p>
    <w:p w14:paraId="47C4A3BF" w14:textId="2E67C7D9" w:rsidR="006C6A2F" w:rsidRPr="00B129C7" w:rsidRDefault="002E3660" w:rsidP="002E3660">
      <w:pPr>
        <w:widowControl w:val="0"/>
        <w:tabs>
          <w:tab w:val="left" w:pos="567"/>
        </w:tabs>
        <w:spacing w:before="480" w:after="480" w:line="360" w:lineRule="auto"/>
        <w:jc w:val="both"/>
        <w:rPr>
          <w:rFonts w:cs="Arial"/>
          <w:bCs/>
          <w:szCs w:val="22"/>
        </w:rPr>
      </w:pPr>
      <w:r w:rsidRPr="00B129C7">
        <w:rPr>
          <w:rFonts w:cs="Arial"/>
          <w:bCs/>
          <w:szCs w:val="22"/>
        </w:rPr>
        <w:t>[8]</w:t>
      </w:r>
      <w:r w:rsidRPr="00B129C7">
        <w:rPr>
          <w:rFonts w:cs="Arial"/>
          <w:bCs/>
          <w:szCs w:val="22"/>
        </w:rPr>
        <w:tab/>
      </w:r>
      <w:r w:rsidR="007D6488" w:rsidRPr="007D6488">
        <w:t xml:space="preserve">In </w:t>
      </w:r>
      <w:r w:rsidR="007D6488" w:rsidRPr="00FC088C">
        <w:rPr>
          <w:i/>
          <w:iCs/>
        </w:rPr>
        <w:t>Dexgroup (Pty) Ltd v Trustco Group International (Pty) Ltd and Others</w:t>
      </w:r>
      <w:r w:rsidR="007D6488">
        <w:rPr>
          <w:rStyle w:val="FootnoteReference"/>
          <w:i/>
          <w:iCs/>
        </w:rPr>
        <w:footnoteReference w:id="6"/>
      </w:r>
      <w:r w:rsidR="007D6488">
        <w:t xml:space="preserve"> </w:t>
      </w:r>
      <w:r w:rsidR="00A85949">
        <w:t xml:space="preserve">Wallis JA </w:t>
      </w:r>
      <w:r w:rsidR="00B129C7">
        <w:t>said that:</w:t>
      </w:r>
    </w:p>
    <w:p w14:paraId="19932A4E" w14:textId="75ACBE5A" w:rsidR="00B129C7" w:rsidRPr="00B129C7" w:rsidRDefault="00B129C7" w:rsidP="008B2BC6">
      <w:pPr>
        <w:spacing w:before="120" w:after="240" w:line="360" w:lineRule="auto"/>
        <w:ind w:left="1440"/>
        <w:rPr>
          <w:i/>
          <w:iCs/>
        </w:rPr>
      </w:pPr>
      <w:r w:rsidRPr="00B129C7">
        <w:rPr>
          <w:i/>
          <w:iCs/>
        </w:rPr>
        <w:t>“The need to obtain leave to appeal is a valuable tool in ensuring that scarce judicial resources are not spent on appeals that lack merit.”</w:t>
      </w:r>
    </w:p>
    <w:p w14:paraId="30E35FB2" w14:textId="0F50EB83" w:rsidR="009C32F8" w:rsidRPr="009C32F8" w:rsidRDefault="002E3660" w:rsidP="002E3660">
      <w:pPr>
        <w:widowControl w:val="0"/>
        <w:tabs>
          <w:tab w:val="left" w:pos="567"/>
        </w:tabs>
        <w:spacing w:before="480" w:after="480" w:line="360" w:lineRule="auto"/>
        <w:jc w:val="both"/>
        <w:rPr>
          <w:rFonts w:cs="Arial"/>
          <w:bCs/>
          <w:color w:val="000000" w:themeColor="text1"/>
          <w:szCs w:val="22"/>
        </w:rPr>
      </w:pPr>
      <w:r w:rsidRPr="009C32F8">
        <w:rPr>
          <w:rFonts w:cs="Arial"/>
          <w:bCs/>
          <w:szCs w:val="22"/>
        </w:rPr>
        <w:t>[9]</w:t>
      </w:r>
      <w:r w:rsidRPr="009C32F8">
        <w:rPr>
          <w:rFonts w:cs="Arial"/>
          <w:bCs/>
          <w:szCs w:val="22"/>
        </w:rPr>
        <w:tab/>
      </w:r>
      <w:r w:rsidR="009C32F8">
        <w:rPr>
          <w:rFonts w:cs="Arial"/>
          <w:bCs/>
          <w:color w:val="000000" w:themeColor="text1"/>
          <w:szCs w:val="22"/>
        </w:rPr>
        <w:t>I approach this application on the basis set out above and mindful of the fact that I am not called upon to decide whether my judgment was right or wrong. The test is and remains</w:t>
      </w:r>
      <w:r w:rsidR="00450A9C">
        <w:rPr>
          <w:rFonts w:cs="Arial"/>
          <w:bCs/>
          <w:color w:val="000000" w:themeColor="text1"/>
          <w:szCs w:val="22"/>
        </w:rPr>
        <w:t xml:space="preserve"> that of</w:t>
      </w:r>
      <w:r w:rsidR="009C32F8">
        <w:rPr>
          <w:rFonts w:cs="Arial"/>
          <w:bCs/>
          <w:color w:val="000000" w:themeColor="text1"/>
          <w:szCs w:val="22"/>
        </w:rPr>
        <w:t xml:space="preserve"> a reasonable prospect of success</w:t>
      </w:r>
      <w:r w:rsidR="007535CE">
        <w:rPr>
          <w:rFonts w:cs="Arial"/>
          <w:bCs/>
          <w:color w:val="000000" w:themeColor="text1"/>
          <w:szCs w:val="22"/>
        </w:rPr>
        <w:t xml:space="preserve"> that is not remote, and that is based on sound and rational grounds</w:t>
      </w:r>
      <w:r w:rsidR="009C32F8">
        <w:rPr>
          <w:rFonts w:cs="Arial"/>
          <w:bCs/>
          <w:color w:val="000000" w:themeColor="text1"/>
          <w:szCs w:val="22"/>
        </w:rPr>
        <w:t>.</w:t>
      </w:r>
    </w:p>
    <w:p w14:paraId="7E720473" w14:textId="77777777" w:rsidR="009C32F8" w:rsidRDefault="009C32F8" w:rsidP="008B2BC6">
      <w:pPr>
        <w:widowControl w:val="0"/>
        <w:spacing w:before="480" w:after="480" w:line="360" w:lineRule="auto"/>
        <w:jc w:val="both"/>
        <w:rPr>
          <w:rFonts w:cs="Arial"/>
          <w:bCs/>
          <w:szCs w:val="22"/>
          <w:u w:val="single"/>
        </w:rPr>
      </w:pPr>
    </w:p>
    <w:p w14:paraId="6E824813" w14:textId="7FEB6759" w:rsidR="00625916" w:rsidRPr="00E10B8A" w:rsidRDefault="00877DCC" w:rsidP="008B2BC6">
      <w:pPr>
        <w:widowControl w:val="0"/>
        <w:spacing w:before="480" w:after="480" w:line="360" w:lineRule="auto"/>
        <w:jc w:val="both"/>
        <w:rPr>
          <w:rFonts w:cs="Arial"/>
          <w:bCs/>
          <w:szCs w:val="22"/>
          <w:u w:val="single"/>
        </w:rPr>
      </w:pPr>
      <w:r w:rsidRPr="00E10B8A">
        <w:rPr>
          <w:rFonts w:cs="Arial"/>
          <w:bCs/>
          <w:szCs w:val="22"/>
          <w:u w:val="single"/>
        </w:rPr>
        <w:t>NON</w:t>
      </w:r>
      <w:r>
        <w:rPr>
          <w:rFonts w:cs="Arial"/>
          <w:bCs/>
          <w:szCs w:val="22"/>
          <w:u w:val="single"/>
        </w:rPr>
        <w:t>-</w:t>
      </w:r>
      <w:r w:rsidRPr="00E10B8A">
        <w:rPr>
          <w:rFonts w:cs="Arial"/>
          <w:bCs/>
          <w:szCs w:val="22"/>
          <w:u w:val="single"/>
        </w:rPr>
        <w:t>COMPLIANCE WITH RULE 35(13).</w:t>
      </w:r>
    </w:p>
    <w:p w14:paraId="77C82939" w14:textId="7678B1FB" w:rsidR="00BE064C" w:rsidRDefault="002E3660" w:rsidP="002E3660">
      <w:pPr>
        <w:widowControl w:val="0"/>
        <w:tabs>
          <w:tab w:val="left" w:pos="567"/>
        </w:tabs>
        <w:spacing w:before="480" w:after="480" w:line="360" w:lineRule="auto"/>
        <w:jc w:val="both"/>
        <w:rPr>
          <w:rFonts w:cs="Arial"/>
          <w:bCs/>
          <w:szCs w:val="22"/>
        </w:rPr>
      </w:pPr>
      <w:r>
        <w:rPr>
          <w:rFonts w:cs="Arial"/>
          <w:bCs/>
          <w:szCs w:val="22"/>
        </w:rPr>
        <w:t>[10]</w:t>
      </w:r>
      <w:r>
        <w:rPr>
          <w:rFonts w:cs="Arial"/>
          <w:bCs/>
          <w:szCs w:val="22"/>
        </w:rPr>
        <w:tab/>
      </w:r>
      <w:r w:rsidR="00625916">
        <w:rPr>
          <w:rFonts w:cs="Arial"/>
          <w:bCs/>
          <w:szCs w:val="22"/>
        </w:rPr>
        <w:t>It is argued on behalf of the bank that the surety failed to invoke the provisions of Rule 35(13) and could not rely on Rule 35(12). However, rule 35(12)</w:t>
      </w:r>
      <w:r w:rsidR="00C8018E">
        <w:rPr>
          <w:rFonts w:cs="Arial"/>
          <w:bCs/>
          <w:szCs w:val="22"/>
        </w:rPr>
        <w:t>,</w:t>
      </w:r>
      <w:r w:rsidR="00625916">
        <w:rPr>
          <w:rFonts w:cs="Arial"/>
          <w:bCs/>
          <w:szCs w:val="22"/>
        </w:rPr>
        <w:t xml:space="preserve"> unlike Rule 35(1), (2), (3), and (14)</w:t>
      </w:r>
      <w:r w:rsidR="00C8018E">
        <w:rPr>
          <w:rFonts w:cs="Arial"/>
          <w:bCs/>
          <w:szCs w:val="22"/>
        </w:rPr>
        <w:t>,</w:t>
      </w:r>
      <w:r w:rsidR="00625916">
        <w:rPr>
          <w:rFonts w:cs="Arial"/>
          <w:bCs/>
          <w:szCs w:val="22"/>
        </w:rPr>
        <w:t xml:space="preserve"> appl</w:t>
      </w:r>
      <w:r w:rsidR="00C8018E">
        <w:rPr>
          <w:rFonts w:cs="Arial"/>
          <w:bCs/>
          <w:szCs w:val="22"/>
        </w:rPr>
        <w:t>ies</w:t>
      </w:r>
      <w:r w:rsidR="00625916">
        <w:rPr>
          <w:rFonts w:cs="Arial"/>
          <w:bCs/>
          <w:szCs w:val="22"/>
        </w:rPr>
        <w:t xml:space="preserve"> to any proceedings and not only to action proceedings.</w:t>
      </w:r>
      <w:r w:rsidR="007535CE">
        <w:rPr>
          <w:rFonts w:cs="Arial"/>
          <w:bCs/>
          <w:szCs w:val="22"/>
        </w:rPr>
        <w:t xml:space="preserve"> Rule 35(13) does not </w:t>
      </w:r>
      <w:r w:rsidR="00C8018E">
        <w:rPr>
          <w:rFonts w:cs="Arial"/>
          <w:bCs/>
          <w:szCs w:val="22"/>
        </w:rPr>
        <w:t>govern</w:t>
      </w:r>
      <w:r w:rsidR="007535CE">
        <w:rPr>
          <w:rFonts w:cs="Arial"/>
          <w:bCs/>
          <w:szCs w:val="22"/>
        </w:rPr>
        <w:t xml:space="preserve"> to Rule 35(12).</w:t>
      </w:r>
      <w:r w:rsidR="00625916">
        <w:rPr>
          <w:rStyle w:val="FootnoteReference"/>
          <w:rFonts w:cs="Arial"/>
          <w:bCs/>
          <w:szCs w:val="22"/>
        </w:rPr>
        <w:footnoteReference w:id="7"/>
      </w:r>
      <w:r w:rsidR="00625916">
        <w:rPr>
          <w:rFonts w:cs="Arial"/>
          <w:bCs/>
          <w:szCs w:val="22"/>
        </w:rPr>
        <w:t xml:space="preserve"> </w:t>
      </w:r>
    </w:p>
    <w:p w14:paraId="7472C673" w14:textId="17A3802B" w:rsidR="00625916" w:rsidRDefault="002E3660" w:rsidP="002E3660">
      <w:pPr>
        <w:widowControl w:val="0"/>
        <w:tabs>
          <w:tab w:val="left" w:pos="567"/>
        </w:tabs>
        <w:spacing w:before="480" w:after="480" w:line="360" w:lineRule="auto"/>
        <w:jc w:val="both"/>
        <w:rPr>
          <w:rFonts w:cs="Arial"/>
          <w:bCs/>
          <w:szCs w:val="22"/>
        </w:rPr>
      </w:pPr>
      <w:r>
        <w:rPr>
          <w:rFonts w:cs="Arial"/>
          <w:bCs/>
          <w:szCs w:val="22"/>
        </w:rPr>
        <w:t>[11]</w:t>
      </w:r>
      <w:r>
        <w:rPr>
          <w:rFonts w:cs="Arial"/>
          <w:bCs/>
          <w:szCs w:val="22"/>
        </w:rPr>
        <w:tab/>
      </w:r>
      <w:r w:rsidR="00BE064C">
        <w:rPr>
          <w:rFonts w:cs="Arial"/>
          <w:bCs/>
          <w:szCs w:val="22"/>
        </w:rPr>
        <w:t>T</w:t>
      </w:r>
      <w:r w:rsidR="00625916">
        <w:rPr>
          <w:rFonts w:cs="Arial"/>
          <w:bCs/>
          <w:szCs w:val="22"/>
        </w:rPr>
        <w:t>here is no merit in the submission that the surety was not entitled to invoke Rule 35(12).</w:t>
      </w:r>
    </w:p>
    <w:p w14:paraId="3FF32940" w14:textId="77777777" w:rsidR="00625916" w:rsidRDefault="00625916" w:rsidP="008B2BC6">
      <w:pPr>
        <w:widowControl w:val="0"/>
        <w:spacing w:before="480" w:after="480" w:line="360" w:lineRule="auto"/>
        <w:jc w:val="both"/>
        <w:rPr>
          <w:rFonts w:cs="Arial"/>
          <w:bCs/>
          <w:szCs w:val="22"/>
          <w:u w:val="single"/>
        </w:rPr>
      </w:pPr>
    </w:p>
    <w:p w14:paraId="79E9507E" w14:textId="362704A1" w:rsidR="009C32F8" w:rsidRPr="009C32F8" w:rsidRDefault="00877DCC" w:rsidP="00152028">
      <w:pPr>
        <w:keepNext/>
        <w:widowControl w:val="0"/>
        <w:spacing w:before="480" w:after="480" w:line="360" w:lineRule="auto"/>
        <w:jc w:val="both"/>
        <w:rPr>
          <w:rFonts w:cs="Arial"/>
          <w:bCs/>
          <w:szCs w:val="22"/>
          <w:u w:val="single"/>
        </w:rPr>
      </w:pPr>
      <w:r w:rsidRPr="009C32F8">
        <w:rPr>
          <w:rFonts w:cs="Arial"/>
          <w:bCs/>
          <w:szCs w:val="22"/>
          <w:u w:val="single"/>
        </w:rPr>
        <w:lastRenderedPageBreak/>
        <w:t>APPEALABILITY</w:t>
      </w:r>
      <w:r>
        <w:rPr>
          <w:rFonts w:cs="Arial"/>
          <w:bCs/>
          <w:szCs w:val="22"/>
          <w:u w:val="single"/>
        </w:rPr>
        <w:t xml:space="preserve"> OF INTERLOCUTORY ORDERS</w:t>
      </w:r>
    </w:p>
    <w:p w14:paraId="20AB8D43" w14:textId="7ABF4ABF" w:rsidR="00953AB5" w:rsidRPr="007556DF" w:rsidRDefault="002E3660" w:rsidP="002E3660">
      <w:pPr>
        <w:keepNext/>
        <w:widowControl w:val="0"/>
        <w:tabs>
          <w:tab w:val="left" w:pos="567"/>
        </w:tabs>
        <w:spacing w:before="480" w:after="480" w:line="360" w:lineRule="auto"/>
        <w:jc w:val="both"/>
        <w:rPr>
          <w:rFonts w:cs="Arial"/>
          <w:bCs/>
          <w:color w:val="000000" w:themeColor="text1"/>
          <w:szCs w:val="22"/>
        </w:rPr>
      </w:pPr>
      <w:r w:rsidRPr="007556DF">
        <w:rPr>
          <w:rFonts w:cs="Arial"/>
          <w:bCs/>
          <w:szCs w:val="22"/>
        </w:rPr>
        <w:t>[12]</w:t>
      </w:r>
      <w:r w:rsidRPr="007556DF">
        <w:rPr>
          <w:rFonts w:cs="Arial"/>
          <w:bCs/>
          <w:szCs w:val="22"/>
        </w:rPr>
        <w:tab/>
      </w:r>
      <w:r w:rsidR="00954CD7" w:rsidRPr="007556DF">
        <w:rPr>
          <w:rFonts w:cs="Arial"/>
          <w:szCs w:val="22"/>
        </w:rPr>
        <w:t xml:space="preserve">Interlocutory orders that are not final in effect are incidental to pending </w:t>
      </w:r>
      <w:r w:rsidR="007556DF" w:rsidRPr="007556DF">
        <w:rPr>
          <w:rFonts w:cs="Arial"/>
          <w:szCs w:val="22"/>
        </w:rPr>
        <w:t>proceedings</w:t>
      </w:r>
      <w:r w:rsidR="00954CD7" w:rsidRPr="007556DF">
        <w:rPr>
          <w:rFonts w:cs="Arial"/>
          <w:szCs w:val="22"/>
        </w:rPr>
        <w:t xml:space="preserve"> and are orders made in the course of the progress of the litigation through the court </w:t>
      </w:r>
      <w:r w:rsidR="005827A6">
        <w:rPr>
          <w:rFonts w:cs="Arial"/>
          <w:szCs w:val="22"/>
        </w:rPr>
        <w:t xml:space="preserve">and </w:t>
      </w:r>
      <w:r w:rsidR="00954CD7" w:rsidRPr="007556DF">
        <w:rPr>
          <w:rFonts w:cs="Arial"/>
          <w:szCs w:val="22"/>
        </w:rPr>
        <w:t>without determining the main issue in the action.</w:t>
      </w:r>
      <w:r w:rsidR="00954CD7" w:rsidRPr="005B6588">
        <w:rPr>
          <w:rStyle w:val="FootnoteReference"/>
          <w:rFonts w:cs="Arial"/>
          <w:szCs w:val="22"/>
        </w:rPr>
        <w:footnoteReference w:id="8"/>
      </w:r>
      <w:r w:rsidR="00954CD7" w:rsidRPr="007556DF">
        <w:rPr>
          <w:rFonts w:cs="Arial"/>
          <w:szCs w:val="22"/>
        </w:rPr>
        <w:t xml:space="preserve"> Such orders are generally not appealable. </w:t>
      </w:r>
      <w:r w:rsidR="00954CD7" w:rsidRPr="007556DF">
        <w:rPr>
          <w:rFonts w:cs="Arial"/>
          <w:color w:val="000000" w:themeColor="text1"/>
          <w:szCs w:val="22"/>
          <w:shd w:val="clear" w:color="auto" w:fill="FFFFFF"/>
        </w:rPr>
        <w:t>The policy considerations underlying the principle include discouraging piecemeal appeals.</w:t>
      </w:r>
      <w:r w:rsidR="00954CD7" w:rsidRPr="005B6588">
        <w:rPr>
          <w:rStyle w:val="FootnoteReference"/>
          <w:rFonts w:cs="Arial"/>
          <w:color w:val="000000" w:themeColor="text1"/>
          <w:szCs w:val="22"/>
          <w:shd w:val="clear" w:color="auto" w:fill="FFFFFF"/>
        </w:rPr>
        <w:footnoteReference w:id="9"/>
      </w:r>
      <w:r w:rsidR="00954CD7" w:rsidRPr="007556DF">
        <w:rPr>
          <w:rFonts w:cs="Arial"/>
          <w:bCs/>
          <w:color w:val="000000" w:themeColor="text1"/>
          <w:szCs w:val="22"/>
        </w:rPr>
        <w:t xml:space="preserve"> Orders for discovery or the production of documents are not appealable for this reason</w:t>
      </w:r>
      <w:r w:rsidR="007556DF">
        <w:rPr>
          <w:rFonts w:cs="Arial"/>
          <w:bCs/>
          <w:color w:val="000000" w:themeColor="text1"/>
          <w:szCs w:val="22"/>
        </w:rPr>
        <w:t xml:space="preserve"> – these are </w:t>
      </w:r>
      <w:r w:rsidR="00953AB5" w:rsidRPr="007556DF">
        <w:rPr>
          <w:rFonts w:cs="Arial"/>
          <w:color w:val="000000" w:themeColor="text1"/>
          <w:szCs w:val="22"/>
          <w:shd w:val="clear" w:color="auto" w:fill="FFFFFF"/>
        </w:rPr>
        <w:t>interlocutory orders in effect as well as in form</w:t>
      </w:r>
      <w:r w:rsidR="00E10B8A" w:rsidRPr="007556DF">
        <w:rPr>
          <w:rFonts w:cs="Arial"/>
          <w:color w:val="000000" w:themeColor="text1"/>
          <w:szCs w:val="22"/>
          <w:shd w:val="clear" w:color="auto" w:fill="FFFFFF"/>
        </w:rPr>
        <w:t>.</w:t>
      </w:r>
      <w:r w:rsidR="007556DF" w:rsidRPr="005B6588">
        <w:rPr>
          <w:rStyle w:val="FootnoteReference"/>
          <w:rFonts w:cs="Arial"/>
          <w:bCs/>
          <w:color w:val="000000" w:themeColor="text1"/>
          <w:szCs w:val="22"/>
        </w:rPr>
        <w:footnoteReference w:id="10"/>
      </w:r>
    </w:p>
    <w:p w14:paraId="51971CB9" w14:textId="45C6E801" w:rsidR="00954CD7" w:rsidRPr="005B6588" w:rsidRDefault="002E3660" w:rsidP="002E3660">
      <w:pPr>
        <w:widowControl w:val="0"/>
        <w:tabs>
          <w:tab w:val="left" w:pos="567"/>
        </w:tabs>
        <w:spacing w:before="480" w:after="480" w:line="360" w:lineRule="auto"/>
        <w:jc w:val="both"/>
        <w:rPr>
          <w:rFonts w:cs="Arial"/>
          <w:bCs/>
          <w:szCs w:val="22"/>
        </w:rPr>
      </w:pPr>
      <w:r w:rsidRPr="005B6588">
        <w:rPr>
          <w:rFonts w:cs="Arial"/>
          <w:bCs/>
          <w:szCs w:val="22"/>
        </w:rPr>
        <w:t>[13]</w:t>
      </w:r>
      <w:r w:rsidRPr="005B6588">
        <w:rPr>
          <w:rFonts w:cs="Arial"/>
          <w:bCs/>
          <w:szCs w:val="22"/>
        </w:rPr>
        <w:tab/>
      </w:r>
      <w:r w:rsidR="00954CD7" w:rsidRPr="005B6588">
        <w:rPr>
          <w:rFonts w:cs="Arial"/>
          <w:bCs/>
          <w:szCs w:val="22"/>
        </w:rPr>
        <w:t xml:space="preserve">In </w:t>
      </w:r>
      <w:r w:rsidR="00954CD7" w:rsidRPr="005B6588">
        <w:rPr>
          <w:rFonts w:cs="Arial"/>
          <w:i/>
          <w:iCs/>
          <w:szCs w:val="22"/>
        </w:rPr>
        <w:t>South Cape Corporation (Pty) Ltd v Engineering Management Services (Pty) Ltd</w:t>
      </w:r>
      <w:r w:rsidR="00954CD7" w:rsidRPr="005B6588">
        <w:rPr>
          <w:rStyle w:val="FootnoteReference"/>
          <w:rFonts w:cs="Arial"/>
          <w:i/>
          <w:iCs/>
          <w:szCs w:val="22"/>
        </w:rPr>
        <w:footnoteReference w:id="11"/>
      </w:r>
      <w:r w:rsidR="00954CD7" w:rsidRPr="005B6588">
        <w:rPr>
          <w:rFonts w:cs="Arial"/>
          <w:i/>
          <w:iCs/>
          <w:szCs w:val="22"/>
        </w:rPr>
        <w:t xml:space="preserve"> </w:t>
      </w:r>
      <w:r w:rsidR="00954CD7" w:rsidRPr="005B6588">
        <w:rPr>
          <w:rFonts w:cs="Arial"/>
          <w:szCs w:val="22"/>
        </w:rPr>
        <w:t xml:space="preserve">Corbett JA distinguished between </w:t>
      </w:r>
      <w:r w:rsidR="00954CD7" w:rsidRPr="005B6588">
        <w:rPr>
          <w:rFonts w:cs="Arial"/>
          <w:szCs w:val="22"/>
          <w:lang w:val="en-GB"/>
        </w:rPr>
        <w:t xml:space="preserve">simple interlocutory orders that are not appealable and other interlocutory orders that are or may be appealable. The distinction was described as follows by Schreiner JA in the majority judgment in </w:t>
      </w:r>
      <w:r w:rsidR="00954CD7" w:rsidRPr="005B6588">
        <w:rPr>
          <w:rFonts w:cs="Arial"/>
          <w:i/>
          <w:iCs/>
          <w:color w:val="000000" w:themeColor="text1"/>
          <w:szCs w:val="22"/>
        </w:rPr>
        <w:t>Pretoria Garrison Institutes v Danish Variety Products (Pty) Ltd</w:t>
      </w:r>
      <w:r w:rsidR="00954CD7" w:rsidRPr="005B6588">
        <w:rPr>
          <w:rStyle w:val="FootnoteReference"/>
          <w:rFonts w:cs="Arial"/>
          <w:color w:val="000000" w:themeColor="text1"/>
          <w:szCs w:val="22"/>
        </w:rPr>
        <w:footnoteReference w:id="12"/>
      </w:r>
      <w:r w:rsidR="00954CD7" w:rsidRPr="005B6588">
        <w:rPr>
          <w:rFonts w:cs="Arial"/>
          <w:color w:val="000000" w:themeColor="text1"/>
          <w:szCs w:val="22"/>
        </w:rPr>
        <w:t xml:space="preserve"> with reference to the judgment of the Appeal Court in </w:t>
      </w:r>
      <w:r w:rsidR="00954CD7" w:rsidRPr="005B6588">
        <w:rPr>
          <w:rFonts w:cs="Arial"/>
          <w:i/>
          <w:iCs/>
          <w:color w:val="000000" w:themeColor="text1"/>
          <w:szCs w:val="22"/>
        </w:rPr>
        <w:t>Globe and Phoenix G.M. Company v Rhodesian Corporation</w:t>
      </w:r>
      <w:r w:rsidR="00954CD7" w:rsidRPr="005B6588">
        <w:rPr>
          <w:rFonts w:cs="Arial"/>
          <w:color w:val="000000" w:themeColor="text1"/>
          <w:szCs w:val="22"/>
        </w:rPr>
        <w:t>:</w:t>
      </w:r>
      <w:r w:rsidR="00954CD7" w:rsidRPr="005B6588">
        <w:rPr>
          <w:rStyle w:val="FootnoteReference"/>
          <w:rFonts w:cs="Arial"/>
          <w:color w:val="000000" w:themeColor="text1"/>
          <w:szCs w:val="22"/>
        </w:rPr>
        <w:footnoteReference w:id="13"/>
      </w:r>
      <w:r w:rsidR="00954CD7" w:rsidRPr="005B6588">
        <w:rPr>
          <w:rFonts w:cs="Arial"/>
          <w:color w:val="000000" w:themeColor="text1"/>
          <w:szCs w:val="22"/>
        </w:rPr>
        <w:t> </w:t>
      </w:r>
      <w:r w:rsidR="00954CD7" w:rsidRPr="005B6588">
        <w:rPr>
          <w:rFonts w:cs="Arial"/>
          <w:bCs/>
          <w:szCs w:val="22"/>
        </w:rPr>
        <w:t xml:space="preserve"> </w:t>
      </w:r>
    </w:p>
    <w:p w14:paraId="2D35B9BA" w14:textId="2B2F37E1" w:rsidR="00954CD7" w:rsidRPr="005B6588" w:rsidRDefault="00954CD7" w:rsidP="00152028">
      <w:pPr>
        <w:spacing w:line="360" w:lineRule="auto"/>
        <w:ind w:left="1440"/>
        <w:jc w:val="both"/>
        <w:rPr>
          <w:rFonts w:cs="Arial"/>
          <w:i/>
          <w:iCs/>
          <w:color w:val="000000" w:themeColor="text1"/>
          <w:szCs w:val="22"/>
        </w:rPr>
      </w:pPr>
      <w:r w:rsidRPr="005B6588">
        <w:rPr>
          <w:rFonts w:cs="Arial"/>
          <w:i/>
          <w:iCs/>
          <w:szCs w:val="22"/>
        </w:rPr>
        <w:t>“From the judgments of WESSELS and CURLEWIS, JJ.A., the principle emerges that a preparatory or procedural order is a simple interlocutory order and therefore not appealable unless it is such as to 'dispose of any issue or any portion of the issue in the main action or suit' or, which amounts, I think, to the same thing, unless it 'irreparably anticipates or precludes some of the relief which would or might be given at the hearing'.</w:t>
      </w:r>
      <w:r w:rsidRPr="005B6588">
        <w:rPr>
          <w:rFonts w:cs="Arial"/>
          <w:i/>
          <w:iCs/>
          <w:color w:val="000000" w:themeColor="text1"/>
          <w:szCs w:val="22"/>
          <w:shd w:val="clear" w:color="auto" w:fill="FFFFFF"/>
        </w:rPr>
        <w:t xml:space="preserve"> The earlier judgments were interpreted in that case and a clear indication was given that regard should be had, not to whether the one party or the other has by the order suffered an inconvenience or disadvantage in the litigation which nothing but an appeal could put right, but to whether the order bears directly upon and in that way affects the decision in the main suit.</w:t>
      </w:r>
      <w:r w:rsidRPr="005B6588">
        <w:rPr>
          <w:rFonts w:cs="Arial"/>
          <w:i/>
          <w:iCs/>
          <w:color w:val="000000" w:themeColor="text1"/>
          <w:szCs w:val="22"/>
        </w:rPr>
        <w:t>” </w:t>
      </w:r>
    </w:p>
    <w:p w14:paraId="0122EA38" w14:textId="37A165B0" w:rsidR="00954CD7" w:rsidRPr="005B6588" w:rsidRDefault="002E3660" w:rsidP="002E3660">
      <w:pPr>
        <w:widowControl w:val="0"/>
        <w:tabs>
          <w:tab w:val="left" w:pos="567"/>
        </w:tabs>
        <w:spacing w:before="480" w:after="480" w:line="360" w:lineRule="auto"/>
        <w:jc w:val="both"/>
        <w:rPr>
          <w:rFonts w:cs="Arial"/>
          <w:bCs/>
          <w:szCs w:val="22"/>
        </w:rPr>
      </w:pPr>
      <w:r w:rsidRPr="005B6588">
        <w:rPr>
          <w:rFonts w:cs="Arial"/>
          <w:bCs/>
          <w:szCs w:val="22"/>
        </w:rPr>
        <w:lastRenderedPageBreak/>
        <w:t>[14]</w:t>
      </w:r>
      <w:r w:rsidRPr="005B6588">
        <w:rPr>
          <w:rFonts w:cs="Arial"/>
          <w:bCs/>
          <w:szCs w:val="22"/>
        </w:rPr>
        <w:tab/>
      </w:r>
      <w:r w:rsidR="00954CD7" w:rsidRPr="005B6588">
        <w:rPr>
          <w:rFonts w:cs="Arial"/>
          <w:bCs/>
          <w:szCs w:val="22"/>
        </w:rPr>
        <w:t>The majority held that an order</w:t>
      </w:r>
      <w:r w:rsidR="00B34AFD">
        <w:rPr>
          <w:rFonts w:cs="Arial"/>
          <w:bCs/>
          <w:szCs w:val="22"/>
        </w:rPr>
        <w:t xml:space="preserve"> by the magistrate</w:t>
      </w:r>
      <w:r w:rsidR="00954CD7" w:rsidRPr="005B6588">
        <w:rPr>
          <w:rFonts w:cs="Arial"/>
          <w:bCs/>
          <w:szCs w:val="22"/>
        </w:rPr>
        <w:t xml:space="preserve"> directing the furnishing of further particulars was not appealable.</w:t>
      </w:r>
    </w:p>
    <w:p w14:paraId="3F461E5B" w14:textId="3F68EEE4" w:rsidR="006851BE" w:rsidRPr="006851BE" w:rsidRDefault="002E3660" w:rsidP="002E3660">
      <w:pPr>
        <w:widowControl w:val="0"/>
        <w:tabs>
          <w:tab w:val="left" w:pos="567"/>
        </w:tabs>
        <w:spacing w:before="480" w:after="480" w:line="360" w:lineRule="auto"/>
        <w:jc w:val="both"/>
        <w:rPr>
          <w:rFonts w:cs="Arial"/>
          <w:bCs/>
          <w:color w:val="000000" w:themeColor="text1"/>
          <w:szCs w:val="22"/>
        </w:rPr>
      </w:pPr>
      <w:r w:rsidRPr="006851BE">
        <w:rPr>
          <w:rFonts w:cs="Arial"/>
          <w:bCs/>
          <w:szCs w:val="22"/>
        </w:rPr>
        <w:t>[15]</w:t>
      </w:r>
      <w:r w:rsidRPr="006851BE">
        <w:rPr>
          <w:rFonts w:cs="Arial"/>
          <w:bCs/>
          <w:szCs w:val="22"/>
        </w:rPr>
        <w:tab/>
      </w:r>
      <w:r w:rsidR="00954CD7" w:rsidRPr="005B6588">
        <w:rPr>
          <w:rFonts w:cs="Arial"/>
          <w:bCs/>
          <w:szCs w:val="22"/>
        </w:rPr>
        <w:t xml:space="preserve">The principle that </w:t>
      </w:r>
      <w:r w:rsidR="00954CD7" w:rsidRPr="005B6588">
        <w:rPr>
          <w:rFonts w:cs="Arial"/>
          <w:bCs/>
          <w:szCs w:val="22"/>
          <w:lang w:val="en-GB"/>
        </w:rPr>
        <w:t xml:space="preserve">appealability hinges on whether the order sought to be appealed is definitive of the rights of the parties and disposes of at least a substantial portion of the relief grant in the main proceedings is </w:t>
      </w:r>
      <w:r w:rsidR="00B6305F">
        <w:rPr>
          <w:rFonts w:cs="Arial"/>
          <w:bCs/>
          <w:szCs w:val="22"/>
          <w:lang w:val="en-GB"/>
        </w:rPr>
        <w:t>of long standing</w:t>
      </w:r>
      <w:r w:rsidR="00954CD7">
        <w:rPr>
          <w:rFonts w:cs="Arial"/>
          <w:bCs/>
          <w:szCs w:val="22"/>
          <w:lang w:val="en-GB"/>
        </w:rPr>
        <w:t>,</w:t>
      </w:r>
      <w:r w:rsidR="002623D6" w:rsidRPr="005B6588">
        <w:rPr>
          <w:rStyle w:val="FootnoteReference"/>
          <w:rFonts w:cs="Arial"/>
          <w:szCs w:val="22"/>
        </w:rPr>
        <w:footnoteReference w:id="14"/>
      </w:r>
      <w:r w:rsidR="00954CD7">
        <w:rPr>
          <w:rFonts w:cs="Arial"/>
          <w:bCs/>
          <w:szCs w:val="22"/>
          <w:lang w:val="en-GB"/>
        </w:rPr>
        <w:t xml:space="preserve"> but the older authorities must be read with the caveat that Constitutional values have introduced </w:t>
      </w:r>
      <w:r w:rsidR="00954CD7" w:rsidRPr="00AF7809">
        <w:rPr>
          <w:rFonts w:cs="Arial"/>
          <w:bCs/>
          <w:color w:val="000000" w:themeColor="text1"/>
          <w:szCs w:val="22"/>
          <w:lang w:val="en-GB"/>
        </w:rPr>
        <w:t xml:space="preserve">the more </w:t>
      </w:r>
      <w:r w:rsidR="00954CD7" w:rsidRPr="00AF7809">
        <w:rPr>
          <w:rFonts w:cs="Arial"/>
          <w:bCs/>
          <w:i/>
          <w:iCs/>
          <w:color w:val="000000" w:themeColor="text1"/>
          <w:szCs w:val="22"/>
          <w:lang w:val="en-GB"/>
        </w:rPr>
        <w:t>“</w:t>
      </w:r>
      <w:r w:rsidR="00954CD7" w:rsidRPr="00AF7809">
        <w:rPr>
          <w:rFonts w:cs="Arial"/>
          <w:i/>
          <w:iCs/>
          <w:color w:val="000000" w:themeColor="text1"/>
          <w:szCs w:val="22"/>
          <w:shd w:val="clear" w:color="auto" w:fill="FFFFFF"/>
        </w:rPr>
        <w:t>context-sensitive standard of the interests of justice</w:t>
      </w:r>
      <w:r w:rsidR="00954CD7">
        <w:rPr>
          <w:rStyle w:val="FootnoteReference"/>
          <w:rFonts w:cs="Arial"/>
          <w:color w:val="000000" w:themeColor="text1"/>
          <w:szCs w:val="22"/>
          <w:shd w:val="clear" w:color="auto" w:fill="FFFFFF"/>
          <w:lang w:val="en-GB"/>
        </w:rPr>
        <w:footnoteReference w:id="15"/>
      </w:r>
      <w:r w:rsidR="00954CD7" w:rsidRPr="00AF7809">
        <w:rPr>
          <w:rFonts w:cs="Arial"/>
          <w:i/>
          <w:iCs/>
          <w:color w:val="000000" w:themeColor="text1"/>
          <w:szCs w:val="22"/>
          <w:shd w:val="clear" w:color="auto" w:fill="FFFFFF"/>
        </w:rPr>
        <w:t xml:space="preserve"> favoured by our Constitution</w:t>
      </w:r>
      <w:r w:rsidR="00954CD7" w:rsidRPr="00AF7809">
        <w:rPr>
          <w:rFonts w:cs="Arial"/>
          <w:bCs/>
          <w:i/>
          <w:iCs/>
          <w:color w:val="000000" w:themeColor="text1"/>
          <w:szCs w:val="22"/>
          <w:lang w:val="en-GB"/>
        </w:rPr>
        <w:t>”</w:t>
      </w:r>
      <w:r w:rsidR="00954CD7" w:rsidRPr="00AF7809">
        <w:rPr>
          <w:rFonts w:cs="Arial"/>
          <w:bCs/>
          <w:color w:val="000000" w:themeColor="text1"/>
          <w:szCs w:val="22"/>
          <w:lang w:val="en-GB"/>
        </w:rPr>
        <w:t xml:space="preserve"> </w:t>
      </w:r>
      <w:r w:rsidR="00954CD7">
        <w:rPr>
          <w:rFonts w:cs="Arial"/>
          <w:bCs/>
          <w:color w:val="000000" w:themeColor="text1"/>
          <w:szCs w:val="22"/>
          <w:lang w:val="en-GB"/>
        </w:rPr>
        <w:t xml:space="preserve">when considering appeals against </w:t>
      </w:r>
      <w:r w:rsidR="005827A6">
        <w:rPr>
          <w:rFonts w:cs="Arial"/>
          <w:bCs/>
          <w:color w:val="000000" w:themeColor="text1"/>
          <w:szCs w:val="22"/>
          <w:lang w:val="en-GB"/>
        </w:rPr>
        <w:t>interlocutory</w:t>
      </w:r>
      <w:r w:rsidR="00954CD7">
        <w:rPr>
          <w:rFonts w:cs="Arial"/>
          <w:bCs/>
          <w:color w:val="000000" w:themeColor="text1"/>
          <w:szCs w:val="22"/>
          <w:lang w:val="en-GB"/>
        </w:rPr>
        <w:t xml:space="preserve"> orders.</w:t>
      </w:r>
      <w:r w:rsidR="00954CD7">
        <w:rPr>
          <w:rStyle w:val="FootnoteReference"/>
          <w:rFonts w:cs="Arial"/>
          <w:bCs/>
          <w:color w:val="000000" w:themeColor="text1"/>
          <w:szCs w:val="22"/>
          <w:lang w:val="en-GB"/>
        </w:rPr>
        <w:footnoteReference w:id="16"/>
      </w:r>
      <w:r w:rsidR="00F6458E">
        <w:rPr>
          <w:rFonts w:cs="Arial"/>
          <w:bCs/>
          <w:color w:val="000000" w:themeColor="text1"/>
          <w:szCs w:val="22"/>
          <w:lang w:val="en-GB"/>
        </w:rPr>
        <w:t xml:space="preserve"> </w:t>
      </w:r>
    </w:p>
    <w:p w14:paraId="33800B0F" w14:textId="04B56ED1" w:rsidR="00954CD7" w:rsidRPr="006851BE" w:rsidRDefault="002E3660" w:rsidP="002E3660">
      <w:pPr>
        <w:widowControl w:val="0"/>
        <w:tabs>
          <w:tab w:val="left" w:pos="567"/>
        </w:tabs>
        <w:spacing w:before="480" w:after="480" w:line="360" w:lineRule="auto"/>
        <w:jc w:val="both"/>
        <w:rPr>
          <w:rFonts w:cs="Arial"/>
          <w:bCs/>
          <w:color w:val="000000" w:themeColor="text1"/>
          <w:szCs w:val="22"/>
        </w:rPr>
      </w:pPr>
      <w:r w:rsidRPr="006851BE">
        <w:rPr>
          <w:rFonts w:cs="Arial"/>
          <w:bCs/>
          <w:szCs w:val="22"/>
        </w:rPr>
        <w:t>[16]</w:t>
      </w:r>
      <w:r w:rsidRPr="006851BE">
        <w:rPr>
          <w:rFonts w:cs="Arial"/>
          <w:bCs/>
          <w:szCs w:val="22"/>
        </w:rPr>
        <w:tab/>
      </w:r>
      <w:r w:rsidR="00F6458E">
        <w:rPr>
          <w:rFonts w:cs="Arial"/>
          <w:bCs/>
          <w:color w:val="000000" w:themeColor="text1"/>
          <w:szCs w:val="22"/>
          <w:lang w:val="en-GB"/>
        </w:rPr>
        <w:t xml:space="preserve">The judgment by the Supreme Court of Appeal in </w:t>
      </w:r>
      <w:r w:rsidR="00F6458E" w:rsidRPr="00B6305F">
        <w:rPr>
          <w:i/>
          <w:iCs/>
        </w:rPr>
        <w:t>Philani-Ma-Afrika and Others v Mailula and Others</w:t>
      </w:r>
      <w:r w:rsidR="00F6458E">
        <w:rPr>
          <w:rStyle w:val="FootnoteReference"/>
          <w:i/>
          <w:iCs/>
        </w:rPr>
        <w:footnoteReference w:id="17"/>
      </w:r>
      <w:r w:rsidR="00F6458E">
        <w:t xml:space="preserve"> provides a</w:t>
      </w:r>
      <w:r w:rsidR="00152028">
        <w:t>n</w:t>
      </w:r>
      <w:r w:rsidR="00F6458E">
        <w:t xml:space="preserve"> illustration of the operation of </w:t>
      </w:r>
      <w:r w:rsidR="005827A6">
        <w:t>C</w:t>
      </w:r>
      <w:r w:rsidR="00F6458E">
        <w:t xml:space="preserve">onstitutional interest of justice principles: </w:t>
      </w:r>
      <w:r w:rsidR="00F6458E">
        <w:rPr>
          <w:i/>
          <w:iCs/>
        </w:rPr>
        <w:t xml:space="preserve"> </w:t>
      </w:r>
      <w:r w:rsidR="00632E93">
        <w:t xml:space="preserve">The High Court granted leave to appeal and granted leave to execute pending the outcome of the appeal. </w:t>
      </w:r>
      <w:r w:rsidR="006851BE">
        <w:t>The question arose whether the order granting leave to execute was appealable. Farlam JA said</w:t>
      </w:r>
      <w:r w:rsidR="008B2BC6">
        <w:t xml:space="preserve"> in the Supreme Court of Appeal</w:t>
      </w:r>
      <w:r w:rsidR="006851BE">
        <w:t>:</w:t>
      </w:r>
    </w:p>
    <w:p w14:paraId="57FED202" w14:textId="315B39D1" w:rsidR="006851BE" w:rsidRPr="00AF7809" w:rsidRDefault="006851BE" w:rsidP="00152028">
      <w:pPr>
        <w:widowControl w:val="0"/>
        <w:spacing w:before="480" w:after="480" w:line="360" w:lineRule="auto"/>
        <w:ind w:left="1440"/>
        <w:jc w:val="both"/>
        <w:rPr>
          <w:rFonts w:cs="Arial"/>
          <w:bCs/>
          <w:color w:val="000000" w:themeColor="text1"/>
          <w:szCs w:val="22"/>
        </w:rPr>
      </w:pPr>
      <w:r>
        <w:rPr>
          <w:rFonts w:cs="Arial"/>
          <w:i/>
          <w:iCs/>
          <w:color w:val="000000" w:themeColor="text1"/>
          <w:szCs w:val="22"/>
        </w:rPr>
        <w:t>“</w:t>
      </w:r>
      <w:r w:rsidRPr="002571CF">
        <w:rPr>
          <w:rFonts w:cs="Arial"/>
          <w:i/>
          <w:iCs/>
          <w:color w:val="000000" w:themeColor="text1"/>
          <w:szCs w:val="22"/>
        </w:rPr>
        <w:t>[20] It remains for me to deal with the issue referred to this court by the Constitutional Court. The application was brought in the Constitutional Court because it was believed that the execution order was not susceptible to appeal to the full bench of the High Court or to this court. That belief was erroneous. It is clear from such cases as S v Western Areas Ltd and Others</w:t>
      </w:r>
      <w:r w:rsidR="008B2BC6">
        <w:rPr>
          <w:rStyle w:val="FootnoteReference"/>
          <w:rFonts w:cs="Arial"/>
          <w:i/>
          <w:iCs/>
          <w:color w:val="000000" w:themeColor="text1"/>
          <w:szCs w:val="22"/>
        </w:rPr>
        <w:footnoteReference w:id="18"/>
      </w:r>
      <w:r w:rsidRPr="002571CF">
        <w:rPr>
          <w:rFonts w:cs="Arial"/>
          <w:i/>
          <w:iCs/>
          <w:color w:val="000000" w:themeColor="text1"/>
          <w:szCs w:val="22"/>
        </w:rPr>
        <w:t> </w:t>
      </w:r>
      <w:hyperlink r:id="rId9" w:history="1">
        <w:r w:rsidRPr="002571CF">
          <w:rPr>
            <w:rStyle w:val="Hyperlink"/>
            <w:rFonts w:cs="Arial"/>
            <w:i/>
            <w:iCs/>
            <w:color w:val="000000" w:themeColor="text1"/>
            <w:szCs w:val="22"/>
            <w:u w:val="none"/>
          </w:rPr>
          <w:t>2005 (5) SA 214 (SCA)</w:t>
        </w:r>
      </w:hyperlink>
      <w:r w:rsidRPr="002571CF">
        <w:rPr>
          <w:rFonts w:cs="Arial"/>
          <w:i/>
          <w:iCs/>
          <w:color w:val="000000" w:themeColor="text1"/>
          <w:szCs w:val="22"/>
        </w:rPr>
        <w:t> (2005 (1) SACR 441) in paras 25 and 26 at 226A - E that what is of paramount importance in deciding whether a judgment is appealable is the interests of justice. See also Khumalo and Others v Holomisa</w:t>
      </w:r>
      <w:r w:rsidR="008B2BC6">
        <w:rPr>
          <w:rStyle w:val="FootnoteReference"/>
          <w:rFonts w:cs="Arial"/>
          <w:i/>
          <w:iCs/>
          <w:color w:val="000000" w:themeColor="text1"/>
          <w:szCs w:val="22"/>
        </w:rPr>
        <w:footnoteReference w:id="19"/>
      </w:r>
      <w:r w:rsidRPr="002571CF">
        <w:rPr>
          <w:rFonts w:cs="Arial"/>
          <w:i/>
          <w:iCs/>
          <w:color w:val="000000" w:themeColor="text1"/>
          <w:szCs w:val="22"/>
        </w:rPr>
        <w:t> </w:t>
      </w:r>
      <w:hyperlink r:id="rId10" w:history="1">
        <w:r w:rsidRPr="002571CF">
          <w:rPr>
            <w:rStyle w:val="Hyperlink"/>
            <w:rFonts w:cs="Arial"/>
            <w:i/>
            <w:iCs/>
            <w:color w:val="000000" w:themeColor="text1"/>
            <w:szCs w:val="22"/>
            <w:u w:val="none"/>
          </w:rPr>
          <w:t>2002 (5) SA 401 (CC)</w:t>
        </w:r>
      </w:hyperlink>
      <w:r w:rsidRPr="002571CF">
        <w:rPr>
          <w:rFonts w:cs="Arial"/>
          <w:i/>
          <w:iCs/>
          <w:color w:val="000000" w:themeColor="text1"/>
          <w:szCs w:val="22"/>
        </w:rPr>
        <w:t xml:space="preserve"> (2002 (8) BCLR 771) in para 8 at 411A - B. The facts of this case provide a striking illustration of the need for orders of the nature of the execution order to be </w:t>
      </w:r>
      <w:r w:rsidRPr="002571CF">
        <w:rPr>
          <w:rFonts w:cs="Arial"/>
          <w:i/>
          <w:iCs/>
          <w:color w:val="000000" w:themeColor="text1"/>
          <w:szCs w:val="22"/>
        </w:rPr>
        <w:lastRenderedPageBreak/>
        <w:t>regarded as appealable in the interests of justice. Counsel were agreed that if the appeal on the merits of the eviction order were to succeed no further attention need be paid to the application for leave to appeal against the execution order - the latter being premised on the former. In any event, in view of the suspension of the execution order by the Constitutional Court, the point, as counsel agreed, became moot. In the circumstances no order is required in respect thereof</w:t>
      </w:r>
      <w:r>
        <w:rPr>
          <w:rFonts w:cs="Arial"/>
          <w:i/>
          <w:iCs/>
          <w:color w:val="000000" w:themeColor="text1"/>
          <w:szCs w:val="22"/>
        </w:rPr>
        <w:t>.”</w:t>
      </w:r>
    </w:p>
    <w:p w14:paraId="66C41083" w14:textId="60DEB07D" w:rsidR="006851BE" w:rsidRPr="006851BE" w:rsidRDefault="006851BE" w:rsidP="008B2BC6">
      <w:pPr>
        <w:widowControl w:val="0"/>
        <w:spacing w:before="480" w:after="480" w:line="360" w:lineRule="auto"/>
        <w:jc w:val="both"/>
      </w:pPr>
      <w:r>
        <w:t>If the eviction order were to be executed only for the appeal against the order to succeed later, harm would have been done to the appellants and there would be no justification for the eviction itself. It may be argued that the eviction order was final in effect in the context of the case – once it is done it cannot be undone.</w:t>
      </w:r>
    </w:p>
    <w:p w14:paraId="53830DBB" w14:textId="5949F128" w:rsidR="002623D6" w:rsidRPr="0069768D" w:rsidRDefault="002E3660" w:rsidP="002E3660">
      <w:pPr>
        <w:widowControl w:val="0"/>
        <w:tabs>
          <w:tab w:val="left" w:pos="567"/>
        </w:tabs>
        <w:spacing w:before="480" w:after="480" w:line="360" w:lineRule="auto"/>
        <w:jc w:val="both"/>
      </w:pPr>
      <w:r w:rsidRPr="0069768D">
        <w:t>[17]</w:t>
      </w:r>
      <w:r w:rsidRPr="0069768D">
        <w:tab/>
      </w:r>
      <w:r w:rsidR="00B6305F">
        <w:rPr>
          <w:rFonts w:cs="Arial"/>
          <w:bCs/>
          <w:szCs w:val="22"/>
          <w:lang w:val="en-GB"/>
        </w:rPr>
        <w:t>I</w:t>
      </w:r>
      <w:r w:rsidR="00954CD7">
        <w:rPr>
          <w:rFonts w:cs="Arial"/>
          <w:bCs/>
          <w:szCs w:val="22"/>
          <w:lang w:val="en-GB"/>
        </w:rPr>
        <w:t xml:space="preserve">n </w:t>
      </w:r>
      <w:r w:rsidR="00954CD7" w:rsidRPr="005B6588">
        <w:rPr>
          <w:i/>
          <w:iCs/>
        </w:rPr>
        <w:t>Nova Property Group Holdings Ltd and Others v Cobbett and Another</w:t>
      </w:r>
      <w:r w:rsidR="00954CD7">
        <w:rPr>
          <w:rStyle w:val="FootnoteReference"/>
          <w:i/>
          <w:iCs/>
        </w:rPr>
        <w:footnoteReference w:id="20"/>
      </w:r>
      <w:r w:rsidR="00954CD7" w:rsidRPr="005B6588">
        <w:rPr>
          <w:rFonts w:cs="Arial"/>
          <w:bCs/>
          <w:szCs w:val="22"/>
          <w:lang w:val="en-GB"/>
        </w:rPr>
        <w:t xml:space="preserve"> </w:t>
      </w:r>
      <w:r w:rsidR="00B6305F">
        <w:rPr>
          <w:rFonts w:cs="Arial"/>
          <w:bCs/>
          <w:szCs w:val="22"/>
          <w:lang w:val="en-GB"/>
        </w:rPr>
        <w:t>t</w:t>
      </w:r>
      <w:r w:rsidR="002623D6">
        <w:rPr>
          <w:rFonts w:cs="Arial"/>
          <w:bCs/>
          <w:szCs w:val="22"/>
          <w:lang w:val="en-GB"/>
        </w:rPr>
        <w:t xml:space="preserve">he Supreme Court </w:t>
      </w:r>
      <w:r w:rsidR="007556DF">
        <w:rPr>
          <w:rFonts w:cs="Arial"/>
          <w:bCs/>
          <w:szCs w:val="22"/>
          <w:lang w:val="en-GB"/>
        </w:rPr>
        <w:t xml:space="preserve">of Appeal </w:t>
      </w:r>
      <w:r w:rsidR="002623D6">
        <w:rPr>
          <w:rFonts w:cs="Arial"/>
          <w:bCs/>
          <w:szCs w:val="22"/>
          <w:lang w:val="en-GB"/>
        </w:rPr>
        <w:t>dealt with the appealability of an order dismissing an application for discovery made in terms of Rule 35(14) of the Uniform Rules of Court.</w:t>
      </w:r>
      <w:r w:rsidR="002623D6" w:rsidRPr="002623D6">
        <w:t xml:space="preserve"> </w:t>
      </w:r>
      <w:r w:rsidR="002623D6" w:rsidRPr="008C4A6F">
        <w:t>Kathree-Setiloane AJA (as she then was)</w:t>
      </w:r>
      <w:r w:rsidR="002623D6">
        <w:t xml:space="preserve"> said that the enquir</w:t>
      </w:r>
      <w:r w:rsidR="00B6305F">
        <w:t>y</w:t>
      </w:r>
      <w:r w:rsidR="002623D6">
        <w:t xml:space="preserve"> to determine what is in the interests of justice is fact-dependent</w:t>
      </w:r>
      <w:r w:rsidR="007B66CE">
        <w:t xml:space="preserve">. There were four conflicting judgments that merited the attention of the Supreme Court of Appeal, and it also was common cause between the parties that if the Judge </w:t>
      </w:r>
      <w:r w:rsidR="007B66CE" w:rsidRPr="007B66CE">
        <w:rPr>
          <w:i/>
          <w:iCs/>
        </w:rPr>
        <w:t>a quo</w:t>
      </w:r>
      <w:r w:rsidR="007B66CE">
        <w:t>’s interpretation of a provision of the Companies Act</w:t>
      </w:r>
      <w:r w:rsidR="007B66CE">
        <w:rPr>
          <w:rStyle w:val="FootnoteReference"/>
        </w:rPr>
        <w:footnoteReference w:id="21"/>
      </w:r>
      <w:r w:rsidR="007B66CE">
        <w:t xml:space="preserve"> </w:t>
      </w:r>
      <w:r w:rsidR="00B4670B">
        <w:t xml:space="preserve">was correct </w:t>
      </w:r>
      <w:r w:rsidR="007B66CE">
        <w:t xml:space="preserve">then the real issue in the main application would be resolved as envisaged in section 17(1)(c) of the Superior Courts Act. It would </w:t>
      </w:r>
      <w:r w:rsidR="007B66CE" w:rsidRPr="007B66CE">
        <w:rPr>
          <w:i/>
          <w:iCs/>
        </w:rPr>
        <w:t>“lead to a just and prompt resolution of the real issues between the parties”</w:t>
      </w:r>
      <w:r w:rsidR="003540D6">
        <w:rPr>
          <w:i/>
          <w:iCs/>
        </w:rPr>
        <w:t xml:space="preserve"> </w:t>
      </w:r>
      <w:r w:rsidR="003540D6" w:rsidRPr="0069768D">
        <w:t>as required by section 17(1)(c)</w:t>
      </w:r>
      <w:r w:rsidR="005827A6">
        <w:t xml:space="preserve"> of the Superior Courts Act</w:t>
      </w:r>
      <w:r w:rsidR="003540D6" w:rsidRPr="0069768D">
        <w:t>.</w:t>
      </w:r>
    </w:p>
    <w:p w14:paraId="6CF67C42" w14:textId="564968E5" w:rsidR="004056A0" w:rsidRPr="005F7075" w:rsidRDefault="002E3660" w:rsidP="002E3660">
      <w:pPr>
        <w:widowControl w:val="0"/>
        <w:tabs>
          <w:tab w:val="left" w:pos="567"/>
        </w:tabs>
        <w:spacing w:before="480" w:after="480" w:line="360" w:lineRule="auto"/>
        <w:jc w:val="both"/>
        <w:rPr>
          <w:rFonts w:cs="Arial"/>
          <w:bCs/>
          <w:szCs w:val="22"/>
          <w:u w:val="single"/>
        </w:rPr>
      </w:pPr>
      <w:r w:rsidRPr="005F7075">
        <w:rPr>
          <w:rFonts w:cs="Arial"/>
          <w:bCs/>
          <w:szCs w:val="22"/>
        </w:rPr>
        <w:t>[18]</w:t>
      </w:r>
      <w:r w:rsidRPr="005F7075">
        <w:rPr>
          <w:rFonts w:cs="Arial"/>
          <w:bCs/>
          <w:szCs w:val="22"/>
        </w:rPr>
        <w:tab/>
      </w:r>
      <w:r w:rsidR="00D309C2" w:rsidRPr="005F7075">
        <w:rPr>
          <w:rFonts w:cs="Arial"/>
          <w:bCs/>
          <w:color w:val="000000" w:themeColor="text1"/>
          <w:szCs w:val="22"/>
        </w:rPr>
        <w:t xml:space="preserve">In deciding this application for leave to appeal one must therefore not </w:t>
      </w:r>
      <w:r w:rsidR="00D8711B" w:rsidRPr="005F7075">
        <w:rPr>
          <w:rFonts w:cs="Arial"/>
          <w:bCs/>
          <w:color w:val="000000" w:themeColor="text1"/>
          <w:szCs w:val="22"/>
        </w:rPr>
        <w:t xml:space="preserve">look at the </w:t>
      </w:r>
      <w:r w:rsidR="00D309C2" w:rsidRPr="005F7075">
        <w:rPr>
          <w:rFonts w:cs="Arial"/>
          <w:bCs/>
          <w:color w:val="000000" w:themeColor="text1"/>
          <w:szCs w:val="22"/>
        </w:rPr>
        <w:t>interlocutory nature of the order</w:t>
      </w:r>
      <w:r w:rsidR="002F7F41" w:rsidRPr="005F7075">
        <w:rPr>
          <w:rFonts w:cs="Arial"/>
          <w:bCs/>
          <w:color w:val="000000" w:themeColor="text1"/>
          <w:szCs w:val="22"/>
        </w:rPr>
        <w:t xml:space="preserve"> in isolation</w:t>
      </w:r>
      <w:r w:rsidR="00D309C2" w:rsidRPr="005F7075">
        <w:rPr>
          <w:rFonts w:cs="Arial"/>
          <w:bCs/>
          <w:color w:val="000000" w:themeColor="text1"/>
          <w:szCs w:val="22"/>
        </w:rPr>
        <w:t>, but decide whether it is in the interests of justice to grant leave based on the facts of the case</w:t>
      </w:r>
      <w:r w:rsidR="002F7F41" w:rsidRPr="005F7075">
        <w:rPr>
          <w:rFonts w:cs="Arial"/>
          <w:bCs/>
          <w:color w:val="000000" w:themeColor="text1"/>
          <w:szCs w:val="22"/>
        </w:rPr>
        <w:t xml:space="preserve"> read with the legislation and the authorities</w:t>
      </w:r>
      <w:r w:rsidR="00D309C2" w:rsidRPr="005F7075">
        <w:rPr>
          <w:rFonts w:cs="Arial"/>
          <w:bCs/>
          <w:color w:val="000000" w:themeColor="text1"/>
          <w:szCs w:val="22"/>
        </w:rPr>
        <w:t>.</w:t>
      </w:r>
      <w:r w:rsidR="005F7075" w:rsidRPr="005F7075">
        <w:rPr>
          <w:rFonts w:cs="Arial"/>
          <w:bCs/>
          <w:color w:val="000000" w:themeColor="text1"/>
          <w:szCs w:val="22"/>
        </w:rPr>
        <w:t xml:space="preserve"> </w:t>
      </w:r>
      <w:r w:rsidR="00D8711B" w:rsidRPr="005F7075">
        <w:rPr>
          <w:rFonts w:cs="Arial"/>
          <w:bCs/>
          <w:color w:val="000000" w:themeColor="text1"/>
          <w:szCs w:val="22"/>
        </w:rPr>
        <w:t>For the reasons set out below I hold that</w:t>
      </w:r>
      <w:r w:rsidR="007556DF" w:rsidRPr="005F7075">
        <w:rPr>
          <w:rFonts w:cs="Arial"/>
          <w:bCs/>
          <w:color w:val="000000" w:themeColor="text1"/>
          <w:szCs w:val="22"/>
        </w:rPr>
        <w:t xml:space="preserve"> there are no interest of justice considerations that would merit an order granting leave to appeal. </w:t>
      </w:r>
    </w:p>
    <w:p w14:paraId="30D57DEF" w14:textId="47850CD0" w:rsidR="009565E0" w:rsidRPr="007556DF" w:rsidRDefault="002E3660" w:rsidP="002E3660">
      <w:pPr>
        <w:widowControl w:val="0"/>
        <w:tabs>
          <w:tab w:val="left" w:pos="567"/>
        </w:tabs>
        <w:spacing w:before="480" w:after="480" w:line="360" w:lineRule="auto"/>
        <w:jc w:val="both"/>
        <w:rPr>
          <w:rFonts w:cs="Arial"/>
          <w:bCs/>
          <w:szCs w:val="22"/>
          <w:u w:val="single"/>
        </w:rPr>
      </w:pPr>
      <w:r w:rsidRPr="007556DF">
        <w:rPr>
          <w:rFonts w:cs="Arial"/>
          <w:bCs/>
          <w:szCs w:val="22"/>
        </w:rPr>
        <w:t>[19]</w:t>
      </w:r>
      <w:r w:rsidRPr="007556DF">
        <w:rPr>
          <w:rFonts w:cs="Arial"/>
          <w:bCs/>
          <w:szCs w:val="22"/>
        </w:rPr>
        <w:tab/>
      </w:r>
      <w:r w:rsidR="009565E0">
        <w:rPr>
          <w:rFonts w:cs="Arial"/>
          <w:bCs/>
          <w:color w:val="000000" w:themeColor="text1"/>
          <w:szCs w:val="22"/>
        </w:rPr>
        <w:t>I deal with the issues raised in argument under different headings below.</w:t>
      </w:r>
    </w:p>
    <w:p w14:paraId="7BC1D654" w14:textId="77777777" w:rsidR="009565E0" w:rsidRDefault="009565E0" w:rsidP="008B2BC6">
      <w:pPr>
        <w:widowControl w:val="0"/>
        <w:spacing w:before="480" w:after="480" w:line="360" w:lineRule="auto"/>
        <w:jc w:val="both"/>
        <w:rPr>
          <w:rFonts w:cs="Arial"/>
          <w:bCs/>
          <w:szCs w:val="22"/>
          <w:u w:val="single"/>
        </w:rPr>
      </w:pPr>
    </w:p>
    <w:p w14:paraId="05F3CF8F" w14:textId="3D90A445" w:rsidR="00D309C2" w:rsidRPr="00446DFE" w:rsidRDefault="00877DCC" w:rsidP="008B2BC6">
      <w:pPr>
        <w:widowControl w:val="0"/>
        <w:spacing w:before="480" w:after="480" w:line="360" w:lineRule="auto"/>
        <w:jc w:val="both"/>
        <w:rPr>
          <w:rFonts w:cs="Arial"/>
          <w:bCs/>
          <w:szCs w:val="22"/>
          <w:u w:val="single"/>
        </w:rPr>
      </w:pPr>
      <w:r w:rsidRPr="00446DFE">
        <w:rPr>
          <w:rFonts w:cs="Arial"/>
          <w:bCs/>
          <w:szCs w:val="22"/>
          <w:u w:val="single"/>
        </w:rPr>
        <w:t>AUTHORITY OF THE BANK’S DEPONENT</w:t>
      </w:r>
    </w:p>
    <w:p w14:paraId="53C01FCE" w14:textId="6CF67F78" w:rsidR="00883EE8" w:rsidRDefault="002E3660" w:rsidP="002E3660">
      <w:pPr>
        <w:widowControl w:val="0"/>
        <w:tabs>
          <w:tab w:val="left" w:pos="567"/>
        </w:tabs>
        <w:spacing w:before="480" w:after="480" w:line="360" w:lineRule="auto"/>
        <w:jc w:val="both"/>
        <w:rPr>
          <w:rFonts w:cs="Arial"/>
          <w:bCs/>
          <w:szCs w:val="22"/>
        </w:rPr>
      </w:pPr>
      <w:r>
        <w:rPr>
          <w:rFonts w:cs="Arial"/>
          <w:bCs/>
          <w:szCs w:val="22"/>
        </w:rPr>
        <w:t>[20]</w:t>
      </w:r>
      <w:r>
        <w:rPr>
          <w:rFonts w:cs="Arial"/>
          <w:bCs/>
          <w:szCs w:val="22"/>
        </w:rPr>
        <w:tab/>
      </w:r>
      <w:r w:rsidR="00446DFE">
        <w:rPr>
          <w:rFonts w:cs="Arial"/>
          <w:bCs/>
          <w:szCs w:val="22"/>
        </w:rPr>
        <w:t xml:space="preserve">I dealt with the authority of the bank’s deponent in paragraphs 13 to 16 of the judgment. </w:t>
      </w:r>
      <w:r w:rsidR="00A85949">
        <w:rPr>
          <w:rFonts w:cs="Arial"/>
          <w:bCs/>
          <w:szCs w:val="22"/>
        </w:rPr>
        <w:t xml:space="preserve">I am satisfied that the authority of the deponent was established in the founding affidavit in the main application. </w:t>
      </w:r>
    </w:p>
    <w:p w14:paraId="32D464CF" w14:textId="338413C0" w:rsidR="00883EE8" w:rsidRPr="00883EE8" w:rsidRDefault="002E3660" w:rsidP="002E3660">
      <w:pPr>
        <w:widowControl w:val="0"/>
        <w:tabs>
          <w:tab w:val="left" w:pos="567"/>
        </w:tabs>
        <w:spacing w:before="480" w:after="480" w:line="360" w:lineRule="auto"/>
        <w:jc w:val="both"/>
        <w:rPr>
          <w:rFonts w:cs="Arial"/>
          <w:bCs/>
          <w:szCs w:val="22"/>
        </w:rPr>
      </w:pPr>
      <w:r w:rsidRPr="00883EE8">
        <w:rPr>
          <w:rFonts w:cs="Arial"/>
          <w:bCs/>
          <w:szCs w:val="22"/>
        </w:rPr>
        <w:t>[21]</w:t>
      </w:r>
      <w:r w:rsidRPr="00883EE8">
        <w:rPr>
          <w:rFonts w:cs="Arial"/>
          <w:bCs/>
          <w:szCs w:val="22"/>
        </w:rPr>
        <w:tab/>
      </w:r>
      <w:r w:rsidR="00A85949">
        <w:rPr>
          <w:rFonts w:cs="Arial"/>
          <w:bCs/>
          <w:szCs w:val="22"/>
        </w:rPr>
        <w:t xml:space="preserve">The </w:t>
      </w:r>
      <w:r w:rsidR="00A42EA2">
        <w:rPr>
          <w:rFonts w:cs="Arial"/>
          <w:bCs/>
          <w:szCs w:val="22"/>
        </w:rPr>
        <w:t>surety</w:t>
      </w:r>
      <w:r w:rsidR="00A85949">
        <w:rPr>
          <w:rFonts w:cs="Arial"/>
          <w:bCs/>
          <w:szCs w:val="22"/>
        </w:rPr>
        <w:t xml:space="preserve"> never invoked Rule 7</w:t>
      </w:r>
      <w:r w:rsidR="00BE064C">
        <w:rPr>
          <w:rFonts w:cs="Arial"/>
          <w:bCs/>
          <w:szCs w:val="22"/>
        </w:rPr>
        <w:t xml:space="preserve"> of the Uniform Rules</w:t>
      </w:r>
      <w:r w:rsidR="00A85949">
        <w:rPr>
          <w:rFonts w:cs="Arial"/>
          <w:bCs/>
          <w:szCs w:val="22"/>
        </w:rPr>
        <w:t>.</w:t>
      </w:r>
    </w:p>
    <w:p w14:paraId="14D70B4F" w14:textId="77777777" w:rsidR="00446DFE" w:rsidRDefault="00446DFE" w:rsidP="008B2BC6">
      <w:pPr>
        <w:widowControl w:val="0"/>
        <w:spacing w:before="480" w:after="480" w:line="360" w:lineRule="auto"/>
        <w:jc w:val="both"/>
        <w:rPr>
          <w:rFonts w:cs="Arial"/>
          <w:bCs/>
          <w:szCs w:val="22"/>
          <w:u w:val="single"/>
        </w:rPr>
      </w:pPr>
    </w:p>
    <w:p w14:paraId="0C7438BE" w14:textId="6601D50C" w:rsidR="00446DFE" w:rsidRPr="00446DFE" w:rsidRDefault="00877DCC" w:rsidP="008B2BC6">
      <w:pPr>
        <w:widowControl w:val="0"/>
        <w:spacing w:before="480" w:after="480" w:line="360" w:lineRule="auto"/>
        <w:jc w:val="both"/>
        <w:rPr>
          <w:rFonts w:cs="Arial"/>
          <w:bCs/>
          <w:szCs w:val="22"/>
          <w:u w:val="single"/>
        </w:rPr>
      </w:pPr>
      <w:r w:rsidRPr="00446DFE">
        <w:rPr>
          <w:rFonts w:cs="Arial"/>
          <w:bCs/>
          <w:szCs w:val="22"/>
          <w:u w:val="single"/>
        </w:rPr>
        <w:t>THE STRIKING OUT APPLICATION</w:t>
      </w:r>
    </w:p>
    <w:p w14:paraId="500C87E1" w14:textId="342CBE0F" w:rsidR="007F50C6" w:rsidRDefault="002E3660" w:rsidP="002E3660">
      <w:pPr>
        <w:widowControl w:val="0"/>
        <w:tabs>
          <w:tab w:val="left" w:pos="567"/>
        </w:tabs>
        <w:spacing w:before="480" w:after="480" w:line="360" w:lineRule="auto"/>
        <w:jc w:val="both"/>
        <w:rPr>
          <w:rFonts w:cs="Arial"/>
          <w:bCs/>
          <w:szCs w:val="22"/>
        </w:rPr>
      </w:pPr>
      <w:r>
        <w:rPr>
          <w:rFonts w:cs="Arial"/>
          <w:bCs/>
          <w:szCs w:val="22"/>
        </w:rPr>
        <w:t>[22]</w:t>
      </w:r>
      <w:r>
        <w:rPr>
          <w:rFonts w:cs="Arial"/>
          <w:bCs/>
          <w:szCs w:val="22"/>
        </w:rPr>
        <w:tab/>
      </w:r>
      <w:r w:rsidR="00446DFE">
        <w:rPr>
          <w:rFonts w:cs="Arial"/>
          <w:bCs/>
          <w:szCs w:val="22"/>
        </w:rPr>
        <w:t xml:space="preserve">I dealt with the striking out application in paragraphs 17 to 22 of the judgment. </w:t>
      </w:r>
      <w:r w:rsidR="002E0401">
        <w:rPr>
          <w:rFonts w:cs="Arial"/>
          <w:bCs/>
          <w:szCs w:val="22"/>
        </w:rPr>
        <w:t xml:space="preserve">The </w:t>
      </w:r>
      <w:r w:rsidR="00A42EA2">
        <w:rPr>
          <w:rFonts w:cs="Arial"/>
          <w:bCs/>
          <w:szCs w:val="22"/>
        </w:rPr>
        <w:t>surety</w:t>
      </w:r>
      <w:r w:rsidR="002E0401">
        <w:rPr>
          <w:rFonts w:cs="Arial"/>
          <w:bCs/>
          <w:szCs w:val="22"/>
        </w:rPr>
        <w:t xml:space="preserve"> did not seek to make out a case of prejudice in the event that the </w:t>
      </w:r>
      <w:r w:rsidR="002E0401" w:rsidRPr="005F7075">
        <w:rPr>
          <w:rFonts w:cs="Arial"/>
          <w:bCs/>
          <w:i/>
          <w:iCs/>
          <w:szCs w:val="22"/>
        </w:rPr>
        <w:t xml:space="preserve">“offending” </w:t>
      </w:r>
      <w:r w:rsidR="002E0401">
        <w:rPr>
          <w:rFonts w:cs="Arial"/>
          <w:bCs/>
          <w:szCs w:val="22"/>
        </w:rPr>
        <w:t>material was not struck out, and I found that the averments made were relevant in the context of the application and the case th</w:t>
      </w:r>
      <w:r w:rsidR="00FA431F">
        <w:rPr>
          <w:rFonts w:cs="Arial"/>
          <w:bCs/>
          <w:szCs w:val="22"/>
        </w:rPr>
        <w:t>at the</w:t>
      </w:r>
      <w:r w:rsidR="002E0401">
        <w:rPr>
          <w:rFonts w:cs="Arial"/>
          <w:bCs/>
          <w:szCs w:val="22"/>
        </w:rPr>
        <w:t xml:space="preserve"> </w:t>
      </w:r>
      <w:r w:rsidR="00A42EA2">
        <w:rPr>
          <w:rFonts w:cs="Arial"/>
          <w:bCs/>
          <w:szCs w:val="22"/>
        </w:rPr>
        <w:t>bank</w:t>
      </w:r>
      <w:r w:rsidR="002E0401">
        <w:rPr>
          <w:rFonts w:cs="Arial"/>
          <w:bCs/>
          <w:szCs w:val="22"/>
        </w:rPr>
        <w:t xml:space="preserve"> was answering.</w:t>
      </w:r>
    </w:p>
    <w:p w14:paraId="09C56D58" w14:textId="22626797" w:rsidR="005827A6" w:rsidRDefault="002E3660" w:rsidP="002E3660">
      <w:pPr>
        <w:widowControl w:val="0"/>
        <w:tabs>
          <w:tab w:val="left" w:pos="567"/>
        </w:tabs>
        <w:spacing w:before="480" w:after="480" w:line="360" w:lineRule="auto"/>
        <w:jc w:val="both"/>
        <w:rPr>
          <w:rFonts w:cs="Arial"/>
          <w:bCs/>
          <w:szCs w:val="22"/>
        </w:rPr>
      </w:pPr>
      <w:r>
        <w:rPr>
          <w:rFonts w:cs="Arial"/>
          <w:bCs/>
          <w:szCs w:val="22"/>
        </w:rPr>
        <w:t>[23]</w:t>
      </w:r>
      <w:r>
        <w:rPr>
          <w:rFonts w:cs="Arial"/>
          <w:bCs/>
          <w:szCs w:val="22"/>
        </w:rPr>
        <w:tab/>
      </w:r>
      <w:r w:rsidR="005827A6">
        <w:rPr>
          <w:rFonts w:cs="Arial"/>
          <w:bCs/>
          <w:szCs w:val="22"/>
        </w:rPr>
        <w:t>Even if I were wrong in holding that the averments were relevant, the striking out application would still fail because of the absence of prejudice.</w:t>
      </w:r>
      <w:r w:rsidR="00BE064C">
        <w:rPr>
          <w:rFonts w:cs="Arial"/>
          <w:bCs/>
          <w:szCs w:val="22"/>
        </w:rPr>
        <w:t xml:space="preserve"> If they were irrelevant they could be merely ignored.</w:t>
      </w:r>
    </w:p>
    <w:p w14:paraId="2D7F4F98" w14:textId="77777777" w:rsidR="007F50C6" w:rsidRDefault="007F50C6" w:rsidP="008B2BC6">
      <w:pPr>
        <w:widowControl w:val="0"/>
        <w:spacing w:before="480" w:after="480" w:line="360" w:lineRule="auto"/>
        <w:jc w:val="both"/>
        <w:rPr>
          <w:rFonts w:cs="Arial"/>
          <w:bCs/>
          <w:szCs w:val="22"/>
          <w:u w:val="single"/>
        </w:rPr>
      </w:pPr>
    </w:p>
    <w:p w14:paraId="37A744D8" w14:textId="5D84EAA7" w:rsidR="007F50C6" w:rsidRPr="007F50C6" w:rsidRDefault="00877DCC" w:rsidP="008B2BC6">
      <w:pPr>
        <w:widowControl w:val="0"/>
        <w:spacing w:before="480" w:after="480" w:line="360" w:lineRule="auto"/>
        <w:jc w:val="both"/>
        <w:rPr>
          <w:rFonts w:cs="Arial"/>
          <w:bCs/>
          <w:szCs w:val="22"/>
          <w:u w:val="single"/>
        </w:rPr>
      </w:pPr>
      <w:r w:rsidRPr="007F50C6">
        <w:rPr>
          <w:rFonts w:cs="Arial"/>
          <w:bCs/>
          <w:szCs w:val="22"/>
          <w:u w:val="single"/>
        </w:rPr>
        <w:t>THE DOCUMENTS SOUGHT IN THE RULE 35(12) NOTICE</w:t>
      </w:r>
    </w:p>
    <w:p w14:paraId="286E77DE" w14:textId="053020AE" w:rsidR="00446DFE" w:rsidRPr="00FA431F" w:rsidRDefault="002E3660" w:rsidP="002E3660">
      <w:pPr>
        <w:widowControl w:val="0"/>
        <w:tabs>
          <w:tab w:val="left" w:pos="567"/>
        </w:tabs>
        <w:spacing w:before="480" w:after="480" w:line="360" w:lineRule="auto"/>
        <w:jc w:val="both"/>
        <w:rPr>
          <w:rFonts w:cs="Arial"/>
          <w:bCs/>
          <w:szCs w:val="22"/>
        </w:rPr>
      </w:pPr>
      <w:r w:rsidRPr="00FA431F">
        <w:rPr>
          <w:rFonts w:cs="Arial"/>
          <w:bCs/>
          <w:szCs w:val="22"/>
        </w:rPr>
        <w:t>[24]</w:t>
      </w:r>
      <w:r w:rsidRPr="00FA431F">
        <w:rPr>
          <w:rFonts w:cs="Arial"/>
          <w:bCs/>
          <w:szCs w:val="22"/>
        </w:rPr>
        <w:tab/>
      </w:r>
      <w:r w:rsidR="007F50C6" w:rsidRPr="00FA431F">
        <w:rPr>
          <w:rFonts w:cs="Arial"/>
          <w:bCs/>
          <w:szCs w:val="22"/>
        </w:rPr>
        <w:t xml:space="preserve">I dealt with Rule 35(12) in paragraphs 23 to 27 of the </w:t>
      </w:r>
      <w:r w:rsidR="00FA431F" w:rsidRPr="00FA431F">
        <w:rPr>
          <w:rFonts w:cs="Arial"/>
          <w:bCs/>
          <w:szCs w:val="22"/>
        </w:rPr>
        <w:t xml:space="preserve">judgment. </w:t>
      </w:r>
      <w:r w:rsidR="007F50C6" w:rsidRPr="00FA431F">
        <w:rPr>
          <w:rFonts w:cs="Arial"/>
          <w:bCs/>
          <w:szCs w:val="22"/>
        </w:rPr>
        <w:t>The test under Rule 35(12) is relevance.</w:t>
      </w:r>
      <w:r w:rsidR="007F50C6">
        <w:rPr>
          <w:rStyle w:val="FootnoteReference"/>
          <w:rFonts w:cs="Arial"/>
          <w:bCs/>
          <w:szCs w:val="22"/>
        </w:rPr>
        <w:footnoteReference w:id="22"/>
      </w:r>
      <w:r w:rsidR="007F50C6" w:rsidRPr="00FA431F">
        <w:rPr>
          <w:rFonts w:cs="Arial"/>
          <w:bCs/>
          <w:szCs w:val="22"/>
        </w:rPr>
        <w:t xml:space="preserve"> A party is not entitled to a document merely because it is referred to, but is entitled to it when it is relevant. The </w:t>
      </w:r>
      <w:r w:rsidR="00A42EA2" w:rsidRPr="00FA431F">
        <w:rPr>
          <w:rFonts w:cs="Arial"/>
          <w:bCs/>
          <w:szCs w:val="22"/>
        </w:rPr>
        <w:t>surety</w:t>
      </w:r>
      <w:r w:rsidR="007F50C6" w:rsidRPr="00FA431F">
        <w:rPr>
          <w:rFonts w:cs="Arial"/>
          <w:bCs/>
          <w:szCs w:val="22"/>
        </w:rPr>
        <w:t xml:space="preserve"> did not seek to make out a case for relevance</w:t>
      </w:r>
      <w:r w:rsidR="00FA431F">
        <w:rPr>
          <w:rFonts w:cs="Arial"/>
          <w:bCs/>
          <w:szCs w:val="22"/>
        </w:rPr>
        <w:t>.</w:t>
      </w:r>
    </w:p>
    <w:p w14:paraId="186FC697" w14:textId="0F0B92BE" w:rsidR="007F50C6" w:rsidRDefault="002E3660" w:rsidP="002E3660">
      <w:pPr>
        <w:widowControl w:val="0"/>
        <w:tabs>
          <w:tab w:val="left" w:pos="567"/>
        </w:tabs>
        <w:spacing w:before="480" w:after="480" w:line="360" w:lineRule="auto"/>
        <w:jc w:val="both"/>
        <w:rPr>
          <w:rFonts w:cs="Arial"/>
          <w:bCs/>
          <w:szCs w:val="22"/>
        </w:rPr>
      </w:pPr>
      <w:r>
        <w:rPr>
          <w:rFonts w:cs="Arial"/>
          <w:bCs/>
          <w:szCs w:val="22"/>
        </w:rPr>
        <w:lastRenderedPageBreak/>
        <w:t>[25]</w:t>
      </w:r>
      <w:r>
        <w:rPr>
          <w:rFonts w:cs="Arial"/>
          <w:bCs/>
          <w:szCs w:val="22"/>
        </w:rPr>
        <w:tab/>
      </w:r>
      <w:r w:rsidR="007F50C6">
        <w:rPr>
          <w:rFonts w:cs="Arial"/>
          <w:bCs/>
          <w:szCs w:val="22"/>
        </w:rPr>
        <w:t xml:space="preserve">He does say that he needs the documents to lay criminal </w:t>
      </w:r>
      <w:r w:rsidR="00242D29">
        <w:rPr>
          <w:rFonts w:cs="Arial"/>
          <w:bCs/>
          <w:szCs w:val="22"/>
        </w:rPr>
        <w:t>charges. The fact that he wishes to pursue unidentified criminal charges against the bank</w:t>
      </w:r>
      <w:r w:rsidR="00FA431F">
        <w:rPr>
          <w:rFonts w:cs="Arial"/>
          <w:bCs/>
          <w:szCs w:val="22"/>
        </w:rPr>
        <w:t xml:space="preserve"> or </w:t>
      </w:r>
      <w:r w:rsidR="00242D29">
        <w:rPr>
          <w:rFonts w:cs="Arial"/>
          <w:bCs/>
          <w:szCs w:val="22"/>
        </w:rPr>
        <w:t>bank officials does not make the document</w:t>
      </w:r>
      <w:r w:rsidR="00CF4D1E">
        <w:rPr>
          <w:rFonts w:cs="Arial"/>
          <w:bCs/>
          <w:szCs w:val="22"/>
        </w:rPr>
        <w:t>s</w:t>
      </w:r>
      <w:r w:rsidR="00242D29">
        <w:rPr>
          <w:rFonts w:cs="Arial"/>
          <w:bCs/>
          <w:szCs w:val="22"/>
        </w:rPr>
        <w:t xml:space="preserve"> relevant to these proceedings.</w:t>
      </w:r>
    </w:p>
    <w:p w14:paraId="2FC0E812" w14:textId="24F2BB63" w:rsidR="00A35004" w:rsidRPr="00A35004" w:rsidRDefault="002E3660" w:rsidP="002E3660">
      <w:pPr>
        <w:widowControl w:val="0"/>
        <w:tabs>
          <w:tab w:val="left" w:pos="567"/>
        </w:tabs>
        <w:spacing w:before="480" w:after="480" w:line="360" w:lineRule="auto"/>
        <w:jc w:val="both"/>
        <w:rPr>
          <w:rFonts w:cs="Arial"/>
          <w:bCs/>
          <w:szCs w:val="22"/>
        </w:rPr>
      </w:pPr>
      <w:r w:rsidRPr="00A35004">
        <w:rPr>
          <w:rFonts w:cs="Arial"/>
          <w:bCs/>
          <w:szCs w:val="22"/>
        </w:rPr>
        <w:t>[26]</w:t>
      </w:r>
      <w:r w:rsidRPr="00A35004">
        <w:rPr>
          <w:rFonts w:cs="Arial"/>
          <w:bCs/>
          <w:szCs w:val="22"/>
        </w:rPr>
        <w:tab/>
      </w:r>
      <w:r w:rsidR="00D309C2">
        <w:rPr>
          <w:rFonts w:cs="Arial"/>
          <w:bCs/>
          <w:szCs w:val="22"/>
        </w:rPr>
        <w:t xml:space="preserve">The </w:t>
      </w:r>
      <w:r w:rsidR="00D309C2">
        <w:t xml:space="preserve">National Credit Act, 34 of 2005 does not apply to the agreement for the reasons set out in paragraph 6 of the judgment. This is not a finding as suggested in the notice of appeal but a statement of common cause facts on common cause legislation. </w:t>
      </w:r>
      <w:r w:rsidR="00E313B3">
        <w:t xml:space="preserve">It is obviously so that had different parties entered into different agreements not now before Court, then different legal principles might have been applicable. </w:t>
      </w:r>
      <w:r w:rsidR="00FA431F">
        <w:t xml:space="preserve">The surety’s argument is that had he and not Northend been the principal debtor then the National Credit Act would have applied as he is a natural person rather than a juristic person, and if that were the case then the reckless credit provisions of the National Credit Act would have applied, and therefore the reckless credit provisions do apply. </w:t>
      </w:r>
    </w:p>
    <w:p w14:paraId="3A4A8040" w14:textId="683DC671" w:rsidR="00242D29" w:rsidRPr="00A35004" w:rsidRDefault="002E3660" w:rsidP="002E3660">
      <w:pPr>
        <w:widowControl w:val="0"/>
        <w:tabs>
          <w:tab w:val="left" w:pos="567"/>
        </w:tabs>
        <w:spacing w:before="480" w:after="480" w:line="360" w:lineRule="auto"/>
        <w:jc w:val="both"/>
        <w:rPr>
          <w:rFonts w:cs="Arial"/>
          <w:bCs/>
          <w:szCs w:val="22"/>
        </w:rPr>
      </w:pPr>
      <w:r w:rsidRPr="00A35004">
        <w:rPr>
          <w:rFonts w:cs="Arial"/>
          <w:bCs/>
          <w:szCs w:val="22"/>
        </w:rPr>
        <w:t>[27]</w:t>
      </w:r>
      <w:r w:rsidRPr="00A35004">
        <w:rPr>
          <w:rFonts w:cs="Arial"/>
          <w:bCs/>
          <w:szCs w:val="22"/>
        </w:rPr>
        <w:tab/>
      </w:r>
      <w:r w:rsidR="00FA431F">
        <w:t>The argument is devoid of logic.</w:t>
      </w:r>
      <w:r w:rsidR="00A35004">
        <w:t xml:space="preserve"> </w:t>
      </w:r>
      <w:r w:rsidR="00242D29" w:rsidRPr="00A35004">
        <w:rPr>
          <w:rFonts w:cs="Arial"/>
          <w:bCs/>
          <w:szCs w:val="22"/>
        </w:rPr>
        <w:t xml:space="preserve">When credit was extended, it was extended to a juristic person with turnover in excess of the prescribed minimum. There was, on common cause facts, no need to apply the reckless credit provisions of the National Credit Act. The </w:t>
      </w:r>
      <w:r w:rsidR="00A42EA2" w:rsidRPr="00A35004">
        <w:rPr>
          <w:rFonts w:cs="Arial"/>
          <w:bCs/>
          <w:szCs w:val="22"/>
        </w:rPr>
        <w:t>surety</w:t>
      </w:r>
      <w:r w:rsidR="00242D29" w:rsidRPr="00A35004">
        <w:rPr>
          <w:rFonts w:cs="Arial"/>
          <w:bCs/>
          <w:szCs w:val="22"/>
        </w:rPr>
        <w:t xml:space="preserve"> argues that had he entered into the agreement as the principal debtor the reckless credit provisions would have been applicable but the fallacy lies in the fact that this is not what happened.</w:t>
      </w:r>
    </w:p>
    <w:p w14:paraId="1B326EF8" w14:textId="341D6F26" w:rsidR="00242D29" w:rsidRDefault="002E3660" w:rsidP="002E3660">
      <w:pPr>
        <w:widowControl w:val="0"/>
        <w:tabs>
          <w:tab w:val="left" w:pos="567"/>
        </w:tabs>
        <w:spacing w:before="480" w:after="480" w:line="360" w:lineRule="auto"/>
        <w:jc w:val="both"/>
        <w:rPr>
          <w:rFonts w:cs="Arial"/>
          <w:bCs/>
          <w:szCs w:val="22"/>
        </w:rPr>
      </w:pPr>
      <w:r>
        <w:rPr>
          <w:rFonts w:cs="Arial"/>
          <w:bCs/>
          <w:szCs w:val="22"/>
        </w:rPr>
        <w:t>[28]</w:t>
      </w:r>
      <w:r>
        <w:rPr>
          <w:rFonts w:cs="Arial"/>
          <w:bCs/>
          <w:szCs w:val="22"/>
        </w:rPr>
        <w:tab/>
      </w:r>
      <w:r w:rsidR="00E229B8">
        <w:rPr>
          <w:rFonts w:cs="Arial"/>
          <w:bCs/>
          <w:szCs w:val="22"/>
        </w:rPr>
        <w:t>Most</w:t>
      </w:r>
      <w:r w:rsidR="00801B4F">
        <w:rPr>
          <w:rFonts w:cs="Arial"/>
          <w:bCs/>
          <w:szCs w:val="22"/>
        </w:rPr>
        <w:t xml:space="preserve"> if not all</w:t>
      </w:r>
      <w:r w:rsidR="00E229B8">
        <w:rPr>
          <w:rFonts w:cs="Arial"/>
          <w:bCs/>
          <w:szCs w:val="22"/>
        </w:rPr>
        <w:t xml:space="preserve"> of t</w:t>
      </w:r>
      <w:r w:rsidR="00242D29">
        <w:rPr>
          <w:rFonts w:cs="Arial"/>
          <w:bCs/>
          <w:szCs w:val="22"/>
        </w:rPr>
        <w:t xml:space="preserve">he documents referred to in paragraph 33 </w:t>
      </w:r>
      <w:r w:rsidR="00CF4D1E">
        <w:rPr>
          <w:rFonts w:cs="Arial"/>
          <w:bCs/>
          <w:szCs w:val="22"/>
        </w:rPr>
        <w:t xml:space="preserve">of the judgment </w:t>
      </w:r>
      <w:r w:rsidR="00242D29">
        <w:rPr>
          <w:rFonts w:cs="Arial"/>
          <w:bCs/>
          <w:szCs w:val="22"/>
        </w:rPr>
        <w:t xml:space="preserve">fall into this category. It must also be noted that all the documents referred to, whether forming part of the </w:t>
      </w:r>
      <w:r w:rsidR="00000A92">
        <w:rPr>
          <w:rFonts w:cs="Arial"/>
          <w:bCs/>
          <w:szCs w:val="22"/>
        </w:rPr>
        <w:t xml:space="preserve">credit </w:t>
      </w:r>
      <w:r w:rsidR="00242D29">
        <w:rPr>
          <w:rFonts w:cs="Arial"/>
          <w:bCs/>
          <w:szCs w:val="22"/>
        </w:rPr>
        <w:t>application or not, would have emanated from Northend</w:t>
      </w:r>
      <w:r w:rsidR="00000A92">
        <w:rPr>
          <w:rFonts w:cs="Arial"/>
          <w:bCs/>
          <w:szCs w:val="22"/>
        </w:rPr>
        <w:t xml:space="preserve"> or from the surety</w:t>
      </w:r>
      <w:r w:rsidR="00242D29">
        <w:rPr>
          <w:rFonts w:cs="Arial"/>
          <w:bCs/>
          <w:szCs w:val="22"/>
        </w:rPr>
        <w:t xml:space="preserve">. </w:t>
      </w:r>
      <w:r w:rsidR="00E229B8">
        <w:rPr>
          <w:rFonts w:cs="Arial"/>
          <w:bCs/>
          <w:szCs w:val="22"/>
        </w:rPr>
        <w:t xml:space="preserve">The </w:t>
      </w:r>
      <w:r w:rsidR="00A42EA2">
        <w:rPr>
          <w:rFonts w:cs="Arial"/>
          <w:bCs/>
          <w:szCs w:val="22"/>
        </w:rPr>
        <w:t>surety</w:t>
      </w:r>
      <w:r w:rsidR="007D6C24">
        <w:rPr>
          <w:rFonts w:cs="Arial"/>
          <w:bCs/>
          <w:szCs w:val="22"/>
        </w:rPr>
        <w:t xml:space="preserve"> </w:t>
      </w:r>
      <w:r w:rsidR="00E229B8">
        <w:rPr>
          <w:rFonts w:cs="Arial"/>
          <w:bCs/>
          <w:szCs w:val="22"/>
        </w:rPr>
        <w:t xml:space="preserve">represented Northend in its dealings with the bank. </w:t>
      </w:r>
    </w:p>
    <w:p w14:paraId="3C033FF0" w14:textId="4023AFD6" w:rsidR="00242D29" w:rsidRDefault="002E3660" w:rsidP="002E3660">
      <w:pPr>
        <w:widowControl w:val="0"/>
        <w:tabs>
          <w:tab w:val="left" w:pos="567"/>
        </w:tabs>
        <w:spacing w:before="480" w:after="480" w:line="360" w:lineRule="auto"/>
        <w:jc w:val="both"/>
        <w:rPr>
          <w:rFonts w:cs="Arial"/>
          <w:bCs/>
          <w:szCs w:val="22"/>
        </w:rPr>
      </w:pPr>
      <w:r>
        <w:rPr>
          <w:rFonts w:cs="Arial"/>
          <w:bCs/>
          <w:szCs w:val="22"/>
        </w:rPr>
        <w:t>[29]</w:t>
      </w:r>
      <w:r>
        <w:rPr>
          <w:rFonts w:cs="Arial"/>
          <w:bCs/>
          <w:szCs w:val="22"/>
        </w:rPr>
        <w:tab/>
      </w:r>
      <w:r w:rsidR="00E229B8">
        <w:rPr>
          <w:rFonts w:cs="Arial"/>
          <w:bCs/>
          <w:szCs w:val="22"/>
        </w:rPr>
        <w:t xml:space="preserve">The </w:t>
      </w:r>
      <w:r w:rsidR="00A42EA2">
        <w:rPr>
          <w:rFonts w:cs="Arial"/>
          <w:bCs/>
          <w:szCs w:val="22"/>
        </w:rPr>
        <w:t>surety</w:t>
      </w:r>
      <w:r w:rsidR="00E229B8">
        <w:rPr>
          <w:rFonts w:cs="Arial"/>
          <w:bCs/>
          <w:szCs w:val="22"/>
        </w:rPr>
        <w:t xml:space="preserve"> also referred to documents that are not referred to</w:t>
      </w:r>
      <w:r w:rsidR="00CF4D1E">
        <w:rPr>
          <w:rFonts w:cs="Arial"/>
          <w:bCs/>
          <w:szCs w:val="22"/>
        </w:rPr>
        <w:t xml:space="preserve"> </w:t>
      </w:r>
      <w:r w:rsidR="00E229B8">
        <w:rPr>
          <w:rFonts w:cs="Arial"/>
          <w:bCs/>
          <w:szCs w:val="22"/>
        </w:rPr>
        <w:t xml:space="preserve">in the </w:t>
      </w:r>
      <w:r w:rsidR="00A42EA2">
        <w:rPr>
          <w:rFonts w:cs="Arial"/>
          <w:bCs/>
          <w:szCs w:val="22"/>
        </w:rPr>
        <w:t>bank</w:t>
      </w:r>
      <w:r w:rsidR="00CF4D1E">
        <w:rPr>
          <w:rFonts w:cs="Arial"/>
          <w:bCs/>
          <w:szCs w:val="22"/>
        </w:rPr>
        <w:t xml:space="preserve">’s </w:t>
      </w:r>
      <w:r w:rsidR="00E229B8">
        <w:rPr>
          <w:rFonts w:cs="Arial"/>
          <w:bCs/>
          <w:szCs w:val="22"/>
        </w:rPr>
        <w:t>founding affidavit</w:t>
      </w:r>
      <w:r w:rsidR="00CF4D1E">
        <w:rPr>
          <w:rFonts w:cs="Arial"/>
          <w:bCs/>
          <w:szCs w:val="22"/>
        </w:rPr>
        <w:t xml:space="preserve"> in the main application</w:t>
      </w:r>
      <w:r w:rsidR="00E229B8">
        <w:rPr>
          <w:rFonts w:cs="Arial"/>
          <w:bCs/>
          <w:szCs w:val="22"/>
        </w:rPr>
        <w:t xml:space="preserve">. These are listed in paragraph 34 of the judgment. When a </w:t>
      </w:r>
      <w:r w:rsidR="00C422FC">
        <w:rPr>
          <w:rFonts w:cs="Arial"/>
          <w:bCs/>
          <w:szCs w:val="22"/>
        </w:rPr>
        <w:t>party</w:t>
      </w:r>
      <w:r w:rsidR="00E229B8">
        <w:rPr>
          <w:rFonts w:cs="Arial"/>
          <w:bCs/>
          <w:szCs w:val="22"/>
        </w:rPr>
        <w:t xml:space="preserve"> in an application seeks discovery of a document that he or she suspects to exist but that is not referred to in the opposition’s affidavit, the correct machinery to obtain discovery is to </w:t>
      </w:r>
      <w:r w:rsidR="00CF4D1E">
        <w:rPr>
          <w:rFonts w:cs="Arial"/>
          <w:bCs/>
          <w:szCs w:val="22"/>
        </w:rPr>
        <w:t>utilise the machinery provided by Rule 35(1), (2), (3)</w:t>
      </w:r>
      <w:r w:rsidR="00C422FC">
        <w:rPr>
          <w:rFonts w:cs="Arial"/>
          <w:bCs/>
          <w:szCs w:val="22"/>
        </w:rPr>
        <w:t xml:space="preserve"> and (14) </w:t>
      </w:r>
      <w:r w:rsidR="00CF4D1E">
        <w:rPr>
          <w:rFonts w:cs="Arial"/>
          <w:bCs/>
          <w:szCs w:val="22"/>
        </w:rPr>
        <w:t>read with Rule 35(13)</w:t>
      </w:r>
      <w:r w:rsidR="00C422FC">
        <w:rPr>
          <w:rFonts w:cs="Arial"/>
          <w:bCs/>
          <w:szCs w:val="22"/>
        </w:rPr>
        <w:t>, and to do so at the appropriate time</w:t>
      </w:r>
      <w:r w:rsidR="00CF4D1E">
        <w:rPr>
          <w:rFonts w:cs="Arial"/>
          <w:bCs/>
          <w:szCs w:val="22"/>
        </w:rPr>
        <w:t xml:space="preserve">. </w:t>
      </w:r>
    </w:p>
    <w:p w14:paraId="40CAF79C" w14:textId="24D2A57F" w:rsidR="00242D29" w:rsidRDefault="002E3660" w:rsidP="002E3660">
      <w:pPr>
        <w:widowControl w:val="0"/>
        <w:tabs>
          <w:tab w:val="left" w:pos="567"/>
        </w:tabs>
        <w:spacing w:before="480" w:after="480" w:line="360" w:lineRule="auto"/>
        <w:jc w:val="both"/>
        <w:rPr>
          <w:rFonts w:cs="Arial"/>
          <w:bCs/>
          <w:szCs w:val="22"/>
        </w:rPr>
      </w:pPr>
      <w:r>
        <w:rPr>
          <w:rFonts w:cs="Arial"/>
          <w:bCs/>
          <w:szCs w:val="22"/>
        </w:rPr>
        <w:t>[30]</w:t>
      </w:r>
      <w:r>
        <w:rPr>
          <w:rFonts w:cs="Arial"/>
          <w:bCs/>
          <w:szCs w:val="22"/>
        </w:rPr>
        <w:tab/>
      </w:r>
      <w:r w:rsidR="00C422FC">
        <w:rPr>
          <w:rFonts w:cs="Arial"/>
          <w:bCs/>
          <w:szCs w:val="22"/>
        </w:rPr>
        <w:t>As is the case with the documents listed in paragraph 33 of the judgment, no facts are alleged to substantiate an argument that the documents listed in paragraphs 36, 37 and 38 of the judgment are relevant to the pending application.</w:t>
      </w:r>
    </w:p>
    <w:p w14:paraId="68C07EE8" w14:textId="1EC91FB8" w:rsidR="00A35004" w:rsidRDefault="002E3660" w:rsidP="002E3660">
      <w:pPr>
        <w:widowControl w:val="0"/>
        <w:tabs>
          <w:tab w:val="left" w:pos="567"/>
        </w:tabs>
        <w:spacing w:before="480" w:after="480" w:line="360" w:lineRule="auto"/>
        <w:jc w:val="both"/>
        <w:rPr>
          <w:rFonts w:cs="Arial"/>
          <w:bCs/>
          <w:szCs w:val="22"/>
        </w:rPr>
      </w:pPr>
      <w:r>
        <w:rPr>
          <w:rFonts w:cs="Arial"/>
          <w:bCs/>
          <w:szCs w:val="22"/>
        </w:rPr>
        <w:lastRenderedPageBreak/>
        <w:t>[31]</w:t>
      </w:r>
      <w:r>
        <w:rPr>
          <w:rFonts w:cs="Arial"/>
          <w:bCs/>
          <w:szCs w:val="22"/>
        </w:rPr>
        <w:tab/>
      </w:r>
      <w:r w:rsidR="005A3519">
        <w:rPr>
          <w:rFonts w:cs="Arial"/>
          <w:bCs/>
          <w:szCs w:val="22"/>
        </w:rPr>
        <w:t xml:space="preserve">It is argued on behalf of the surety that in the Rule 35(12) notice and subsequent application the surety was not seeking an order that the bank discover the documents sought, but merely an order that the bank </w:t>
      </w:r>
      <w:r w:rsidR="005A3519" w:rsidRPr="00A35004">
        <w:rPr>
          <w:rFonts w:cs="Arial"/>
          <w:bCs/>
          <w:i/>
          <w:iCs/>
          <w:szCs w:val="22"/>
        </w:rPr>
        <w:t>respond</w:t>
      </w:r>
      <w:r w:rsidR="005A3519">
        <w:rPr>
          <w:rFonts w:cs="Arial"/>
          <w:bCs/>
          <w:szCs w:val="22"/>
        </w:rPr>
        <w:t xml:space="preserve"> to the Rule 35(12) notice</w:t>
      </w:r>
      <w:r w:rsidR="00204B07">
        <w:rPr>
          <w:rFonts w:cs="Arial"/>
          <w:bCs/>
          <w:szCs w:val="22"/>
        </w:rPr>
        <w:t xml:space="preserve"> as required by Rule 35(12)(a)</w:t>
      </w:r>
      <w:r w:rsidR="00BE064C">
        <w:rPr>
          <w:rFonts w:cs="Arial"/>
          <w:bCs/>
          <w:szCs w:val="22"/>
        </w:rPr>
        <w:t xml:space="preserve">(i), </w:t>
      </w:r>
      <w:r w:rsidR="00204B07">
        <w:rPr>
          <w:rFonts w:cs="Arial"/>
          <w:bCs/>
          <w:szCs w:val="22"/>
        </w:rPr>
        <w:t xml:space="preserve">(ii) or (iii). </w:t>
      </w:r>
      <w:r w:rsidR="001839B2">
        <w:rPr>
          <w:rFonts w:cs="Arial"/>
          <w:bCs/>
          <w:szCs w:val="22"/>
        </w:rPr>
        <w:t>This is a semantic argument – discovery in terms of Rule 35(12) and in the ordinary meaning of the word in th</w:t>
      </w:r>
      <w:r w:rsidR="00000A92">
        <w:rPr>
          <w:rFonts w:cs="Arial"/>
          <w:bCs/>
          <w:szCs w:val="22"/>
        </w:rPr>
        <w:t>is</w:t>
      </w:r>
      <w:r w:rsidR="001839B2">
        <w:rPr>
          <w:rFonts w:cs="Arial"/>
          <w:bCs/>
          <w:szCs w:val="22"/>
        </w:rPr>
        <w:t xml:space="preserve"> context is that a party discovers by acting in one of the three ways listed in paragraphs (i), (ii), or (ii) of Rule 35(12)(a).</w:t>
      </w:r>
    </w:p>
    <w:p w14:paraId="1DB48AD2" w14:textId="3FC5B54D" w:rsidR="00994C0D" w:rsidRDefault="002E3660" w:rsidP="002E3660">
      <w:pPr>
        <w:widowControl w:val="0"/>
        <w:tabs>
          <w:tab w:val="left" w:pos="567"/>
        </w:tabs>
        <w:spacing w:before="480" w:after="480" w:line="360" w:lineRule="auto"/>
        <w:jc w:val="both"/>
        <w:rPr>
          <w:rFonts w:cs="Arial"/>
          <w:bCs/>
          <w:szCs w:val="22"/>
        </w:rPr>
      </w:pPr>
      <w:r>
        <w:rPr>
          <w:rFonts w:cs="Arial"/>
          <w:bCs/>
          <w:szCs w:val="22"/>
        </w:rPr>
        <w:t>[32]</w:t>
      </w:r>
      <w:r>
        <w:rPr>
          <w:rFonts w:cs="Arial"/>
          <w:bCs/>
          <w:szCs w:val="22"/>
        </w:rPr>
        <w:tab/>
      </w:r>
      <w:r w:rsidR="00625916">
        <w:rPr>
          <w:rFonts w:cs="Arial"/>
          <w:bCs/>
          <w:szCs w:val="22"/>
        </w:rPr>
        <w:t xml:space="preserve">In this matter the bank failed to respond and the surety brought an application to compel in terms of Rule 35(12). In order to succeed, the surety had to make out a case that it was entitled to the relief; this at the very least included averments that the documents sought are relevant to the pending main application – if not, the application to compel discovery is merely academic. </w:t>
      </w:r>
    </w:p>
    <w:p w14:paraId="44C3E4F6" w14:textId="188CA99D" w:rsidR="00152028" w:rsidRDefault="00994C0D" w:rsidP="00152028">
      <w:pPr>
        <w:widowControl w:val="0"/>
        <w:spacing w:before="480" w:after="480" w:line="360" w:lineRule="auto"/>
        <w:jc w:val="both"/>
        <w:rPr>
          <w:rFonts w:cs="Arial"/>
          <w:bCs/>
          <w:szCs w:val="22"/>
        </w:rPr>
      </w:pPr>
      <w:r>
        <w:rPr>
          <w:rFonts w:cs="Arial"/>
          <w:bCs/>
          <w:szCs w:val="22"/>
        </w:rPr>
        <w:t>Had the surety made the necessary averments in the founding affidavit, the bank would of course have been required to deal with the point.</w:t>
      </w:r>
      <w:r w:rsidR="00152028" w:rsidRPr="00152028">
        <w:rPr>
          <w:rFonts w:cs="Arial"/>
          <w:bCs/>
          <w:szCs w:val="22"/>
        </w:rPr>
        <w:t xml:space="preserve"> </w:t>
      </w:r>
      <w:r w:rsidR="00152028">
        <w:rPr>
          <w:rFonts w:cs="Arial"/>
          <w:bCs/>
          <w:szCs w:val="22"/>
        </w:rPr>
        <w:t xml:space="preserve">The surety made out no case for relevance and on the facts of this case, must fail. </w:t>
      </w:r>
    </w:p>
    <w:p w14:paraId="3E970D07" w14:textId="00CC7C35" w:rsidR="001839B2" w:rsidRDefault="002E3660" w:rsidP="002E3660">
      <w:pPr>
        <w:widowControl w:val="0"/>
        <w:tabs>
          <w:tab w:val="left" w:pos="567"/>
        </w:tabs>
        <w:spacing w:before="480" w:after="480" w:line="360" w:lineRule="auto"/>
        <w:jc w:val="both"/>
        <w:rPr>
          <w:rFonts w:cs="Arial"/>
          <w:bCs/>
          <w:szCs w:val="22"/>
        </w:rPr>
      </w:pPr>
      <w:r>
        <w:rPr>
          <w:rFonts w:cs="Arial"/>
          <w:bCs/>
          <w:szCs w:val="22"/>
        </w:rPr>
        <w:t>[33]</w:t>
      </w:r>
      <w:r>
        <w:rPr>
          <w:rFonts w:cs="Arial"/>
          <w:bCs/>
          <w:szCs w:val="22"/>
        </w:rPr>
        <w:tab/>
      </w:r>
      <w:r w:rsidR="00E91F0D">
        <w:rPr>
          <w:rFonts w:cs="Arial"/>
          <w:bCs/>
          <w:szCs w:val="22"/>
        </w:rPr>
        <w:t>Ordering the bank to object to the production of the documents in writing in terms of Rule 35(12)(a)(ii) would in my view be placing form over substance, given that the bank had not produced the documents or filed an affidavit stating that the documents were not in possession of the bank.</w:t>
      </w:r>
    </w:p>
    <w:p w14:paraId="14D72F6D" w14:textId="77777777" w:rsidR="004209F4" w:rsidRDefault="004209F4" w:rsidP="008B2BC6">
      <w:pPr>
        <w:widowControl w:val="0"/>
        <w:spacing w:before="480" w:after="480" w:line="360" w:lineRule="auto"/>
        <w:jc w:val="both"/>
        <w:rPr>
          <w:szCs w:val="22"/>
          <w:u w:val="single"/>
        </w:rPr>
      </w:pPr>
    </w:p>
    <w:p w14:paraId="281331D1" w14:textId="73CE959E" w:rsidR="00242D29" w:rsidRPr="009D6087" w:rsidRDefault="00877DCC" w:rsidP="008B2BC6">
      <w:pPr>
        <w:widowControl w:val="0"/>
        <w:spacing w:before="480" w:after="480" w:line="360" w:lineRule="auto"/>
        <w:jc w:val="both"/>
        <w:rPr>
          <w:rFonts w:cs="Arial"/>
          <w:bCs/>
          <w:szCs w:val="22"/>
          <w:u w:val="single"/>
        </w:rPr>
      </w:pPr>
      <w:r w:rsidRPr="009D6087">
        <w:rPr>
          <w:szCs w:val="22"/>
          <w:u w:val="single"/>
        </w:rPr>
        <w:t>THE WASTED COSTS OF THE ENROLMENT IN APRIL 2022</w:t>
      </w:r>
      <w:r>
        <w:rPr>
          <w:szCs w:val="22"/>
          <w:u w:val="single"/>
        </w:rPr>
        <w:t xml:space="preserve"> AND THE COSTS OF THE APPLICATION</w:t>
      </w:r>
    </w:p>
    <w:p w14:paraId="352A7EAD" w14:textId="0427AAB4" w:rsidR="00242D29" w:rsidRDefault="002E3660" w:rsidP="002E3660">
      <w:pPr>
        <w:widowControl w:val="0"/>
        <w:tabs>
          <w:tab w:val="left" w:pos="567"/>
        </w:tabs>
        <w:spacing w:before="480" w:after="480" w:line="360" w:lineRule="auto"/>
        <w:jc w:val="both"/>
        <w:rPr>
          <w:rFonts w:cs="Arial"/>
          <w:bCs/>
          <w:szCs w:val="22"/>
        </w:rPr>
      </w:pPr>
      <w:r>
        <w:rPr>
          <w:rFonts w:cs="Arial"/>
          <w:bCs/>
          <w:szCs w:val="22"/>
        </w:rPr>
        <w:t>[34]</w:t>
      </w:r>
      <w:r>
        <w:rPr>
          <w:rFonts w:cs="Arial"/>
          <w:bCs/>
          <w:szCs w:val="22"/>
        </w:rPr>
        <w:tab/>
      </w:r>
      <w:r w:rsidR="009D6087">
        <w:rPr>
          <w:rFonts w:cs="Arial"/>
          <w:bCs/>
          <w:szCs w:val="22"/>
        </w:rPr>
        <w:t xml:space="preserve">The </w:t>
      </w:r>
      <w:r w:rsidR="00A42EA2">
        <w:rPr>
          <w:rFonts w:cs="Arial"/>
          <w:bCs/>
          <w:szCs w:val="22"/>
        </w:rPr>
        <w:t>surety</w:t>
      </w:r>
      <w:r w:rsidR="009D6087">
        <w:rPr>
          <w:rFonts w:cs="Arial"/>
          <w:bCs/>
          <w:szCs w:val="22"/>
        </w:rPr>
        <w:t xml:space="preserve"> seeks leave to appeal the order I made in respect of the wasted costs of an earlier appearance</w:t>
      </w:r>
      <w:r w:rsidR="00A35004">
        <w:rPr>
          <w:rFonts w:cs="Arial"/>
          <w:bCs/>
          <w:szCs w:val="22"/>
        </w:rPr>
        <w:t xml:space="preserve"> and also seeks to appeal the cost order in the application as argued before me</w:t>
      </w:r>
      <w:r w:rsidR="009D6087">
        <w:rPr>
          <w:rFonts w:cs="Arial"/>
          <w:bCs/>
          <w:szCs w:val="22"/>
        </w:rPr>
        <w:t>. I dealt with th</w:t>
      </w:r>
      <w:r w:rsidR="00A35004">
        <w:rPr>
          <w:rFonts w:cs="Arial"/>
          <w:bCs/>
          <w:szCs w:val="22"/>
        </w:rPr>
        <w:t>e cost</w:t>
      </w:r>
      <w:r w:rsidR="009D6087">
        <w:rPr>
          <w:rFonts w:cs="Arial"/>
          <w:bCs/>
          <w:szCs w:val="22"/>
        </w:rPr>
        <w:t xml:space="preserve"> aspect of the case in paragraphs 40 to 4</w:t>
      </w:r>
      <w:r w:rsidR="00A35004">
        <w:rPr>
          <w:rFonts w:cs="Arial"/>
          <w:bCs/>
          <w:szCs w:val="22"/>
        </w:rPr>
        <w:t>9</w:t>
      </w:r>
      <w:r w:rsidR="009D6087">
        <w:rPr>
          <w:rFonts w:cs="Arial"/>
          <w:bCs/>
          <w:szCs w:val="22"/>
        </w:rPr>
        <w:t xml:space="preserve"> of the judgment. I am of the view that this ground</w:t>
      </w:r>
      <w:r w:rsidR="00A35004">
        <w:rPr>
          <w:rFonts w:cs="Arial"/>
          <w:bCs/>
          <w:szCs w:val="22"/>
        </w:rPr>
        <w:t xml:space="preserve"> for leave to appeal</w:t>
      </w:r>
      <w:r w:rsidR="009D6087">
        <w:rPr>
          <w:rFonts w:cs="Arial"/>
          <w:bCs/>
          <w:szCs w:val="22"/>
        </w:rPr>
        <w:t xml:space="preserve"> stands or falls with the rest of the application for leave to appeal as an order granting leave to appeal only in respect of the cost order would not be justified by virtue of section </w:t>
      </w:r>
      <w:r w:rsidR="004209F4">
        <w:rPr>
          <w:rFonts w:cs="Arial"/>
          <w:bCs/>
          <w:szCs w:val="22"/>
        </w:rPr>
        <w:t>16(2)(a)(ii) of the Superior Courts Act</w:t>
      </w:r>
      <w:r w:rsidR="00A35004">
        <w:rPr>
          <w:rFonts w:cs="Arial"/>
          <w:bCs/>
          <w:szCs w:val="22"/>
        </w:rPr>
        <w:t>.</w:t>
      </w:r>
      <w:r w:rsidR="004209F4">
        <w:rPr>
          <w:rFonts w:cs="Arial"/>
          <w:bCs/>
          <w:szCs w:val="22"/>
        </w:rPr>
        <w:t xml:space="preserve"> </w:t>
      </w:r>
      <w:r w:rsidR="00A35004">
        <w:rPr>
          <w:rFonts w:cs="Arial"/>
          <w:bCs/>
          <w:szCs w:val="22"/>
        </w:rPr>
        <w:t>N</w:t>
      </w:r>
      <w:r w:rsidR="004209F4">
        <w:rPr>
          <w:rFonts w:cs="Arial"/>
          <w:bCs/>
          <w:szCs w:val="22"/>
        </w:rPr>
        <w:t>o exceptional circumstances exist and such an appeal against costs only would have no practical effect or result.</w:t>
      </w:r>
      <w:r w:rsidR="00A35004">
        <w:rPr>
          <w:rFonts w:cs="Arial"/>
          <w:bCs/>
          <w:szCs w:val="22"/>
        </w:rPr>
        <w:t xml:space="preserve"> Conversely, if leave were granted, the costs </w:t>
      </w:r>
      <w:r w:rsidR="00A35004">
        <w:rPr>
          <w:rFonts w:cs="Arial"/>
          <w:bCs/>
          <w:szCs w:val="22"/>
        </w:rPr>
        <w:lastRenderedPageBreak/>
        <w:t>orders will be argued on appeal as well.</w:t>
      </w:r>
    </w:p>
    <w:p w14:paraId="3AF432F0" w14:textId="77777777" w:rsidR="00E91F0D" w:rsidRDefault="00E91F0D" w:rsidP="008B2BC6">
      <w:pPr>
        <w:widowControl w:val="0"/>
        <w:spacing w:before="480" w:after="480" w:line="360" w:lineRule="auto"/>
        <w:jc w:val="both"/>
        <w:rPr>
          <w:rFonts w:cs="Arial"/>
          <w:bCs/>
          <w:szCs w:val="22"/>
          <w:u w:val="single"/>
        </w:rPr>
      </w:pPr>
    </w:p>
    <w:p w14:paraId="13AF2781" w14:textId="1B45AA51" w:rsidR="004209F4" w:rsidRDefault="00877DCC" w:rsidP="00877DCC">
      <w:pPr>
        <w:keepNext/>
        <w:widowControl w:val="0"/>
        <w:spacing w:before="480" w:after="480" w:line="360" w:lineRule="auto"/>
        <w:jc w:val="both"/>
        <w:rPr>
          <w:rFonts w:cs="Arial"/>
          <w:bCs/>
          <w:szCs w:val="22"/>
          <w:u w:val="single"/>
        </w:rPr>
      </w:pPr>
      <w:r w:rsidRPr="00841468">
        <w:rPr>
          <w:rFonts w:cs="Arial"/>
          <w:bCs/>
          <w:szCs w:val="22"/>
          <w:u w:val="single"/>
        </w:rPr>
        <w:t>THE PAPERS BEFORE THE COURT</w:t>
      </w:r>
    </w:p>
    <w:p w14:paraId="7B525C4B" w14:textId="6B2EF987" w:rsidR="00841468" w:rsidRDefault="002E3660" w:rsidP="002E3660">
      <w:pPr>
        <w:keepNext/>
        <w:widowControl w:val="0"/>
        <w:tabs>
          <w:tab w:val="left" w:pos="567"/>
        </w:tabs>
        <w:spacing w:before="480" w:after="480" w:line="360" w:lineRule="auto"/>
        <w:jc w:val="both"/>
        <w:rPr>
          <w:rFonts w:cs="Arial"/>
          <w:bCs/>
          <w:szCs w:val="22"/>
        </w:rPr>
      </w:pPr>
      <w:r>
        <w:rPr>
          <w:rFonts w:cs="Arial"/>
          <w:bCs/>
          <w:szCs w:val="22"/>
        </w:rPr>
        <w:t>[35]</w:t>
      </w:r>
      <w:r>
        <w:rPr>
          <w:rFonts w:cs="Arial"/>
          <w:bCs/>
          <w:szCs w:val="22"/>
        </w:rPr>
        <w:tab/>
      </w:r>
      <w:r w:rsidR="00841468" w:rsidRPr="00841468">
        <w:rPr>
          <w:rFonts w:cs="Arial"/>
          <w:bCs/>
          <w:szCs w:val="22"/>
        </w:rPr>
        <w:t xml:space="preserve">The </w:t>
      </w:r>
      <w:r w:rsidR="00841468">
        <w:rPr>
          <w:rFonts w:cs="Arial"/>
          <w:bCs/>
          <w:szCs w:val="22"/>
        </w:rPr>
        <w:t xml:space="preserve">Court file as it was placed before me on the Caselines platform contained the notice of motion and founding affidavit in the main application, the counter – application, the answering affidavit that also served as a founding affidavit in the counter-application, the bank’s replying affidavit, and </w:t>
      </w:r>
      <w:r w:rsidR="00A35004">
        <w:rPr>
          <w:rFonts w:cs="Arial"/>
          <w:bCs/>
          <w:szCs w:val="22"/>
        </w:rPr>
        <w:t xml:space="preserve">the </w:t>
      </w:r>
      <w:r w:rsidR="00841468">
        <w:rPr>
          <w:rFonts w:cs="Arial"/>
          <w:bCs/>
          <w:szCs w:val="22"/>
        </w:rPr>
        <w:t>various notices.</w:t>
      </w:r>
    </w:p>
    <w:p w14:paraId="72BFB0AB" w14:textId="32511212" w:rsidR="00841468" w:rsidRDefault="002E3660" w:rsidP="002E3660">
      <w:pPr>
        <w:widowControl w:val="0"/>
        <w:tabs>
          <w:tab w:val="left" w:pos="567"/>
        </w:tabs>
        <w:spacing w:before="480" w:after="480" w:line="360" w:lineRule="auto"/>
        <w:jc w:val="both"/>
        <w:rPr>
          <w:rFonts w:cs="Arial"/>
          <w:bCs/>
          <w:szCs w:val="22"/>
        </w:rPr>
      </w:pPr>
      <w:r>
        <w:rPr>
          <w:rFonts w:cs="Arial"/>
          <w:bCs/>
          <w:szCs w:val="22"/>
        </w:rPr>
        <w:t>[36]</w:t>
      </w:r>
      <w:r>
        <w:rPr>
          <w:rFonts w:cs="Arial"/>
          <w:bCs/>
          <w:szCs w:val="22"/>
        </w:rPr>
        <w:tab/>
      </w:r>
      <w:r w:rsidR="000B1551">
        <w:rPr>
          <w:rFonts w:cs="Arial"/>
          <w:bCs/>
          <w:szCs w:val="22"/>
        </w:rPr>
        <w:t xml:space="preserve">The history of the matter is set out in paragraphs 4 to 12 of the judgment. It provides background information and do not constitute findings. For instance, </w:t>
      </w:r>
      <w:r w:rsidR="00411CC6">
        <w:rPr>
          <w:rFonts w:cs="Arial"/>
          <w:bCs/>
          <w:szCs w:val="22"/>
        </w:rPr>
        <w:t xml:space="preserve">no finding was required that the </w:t>
      </w:r>
      <w:r w:rsidR="000B1551">
        <w:rPr>
          <w:rFonts w:cs="Arial"/>
          <w:bCs/>
          <w:szCs w:val="22"/>
        </w:rPr>
        <w:t xml:space="preserve">Rule 30 notice of 26 July 2021 was out of time. Notice was clearly given more than ten days after the </w:t>
      </w:r>
      <w:r w:rsidR="00411CC6">
        <w:rPr>
          <w:rFonts w:cs="Arial"/>
          <w:bCs/>
          <w:szCs w:val="22"/>
        </w:rPr>
        <w:t>delivery of the affidavit and I merely stated this fact as background to the application before me.</w:t>
      </w:r>
      <w:r w:rsidR="00A35004">
        <w:rPr>
          <w:rFonts w:cs="Arial"/>
          <w:bCs/>
          <w:szCs w:val="22"/>
        </w:rPr>
        <w:t xml:space="preserve"> I did not have to decide whether it was properly before Court and what should happen because </w:t>
      </w:r>
      <w:r w:rsidR="00000A92">
        <w:rPr>
          <w:rFonts w:cs="Arial"/>
          <w:bCs/>
          <w:szCs w:val="22"/>
        </w:rPr>
        <w:t>notice</w:t>
      </w:r>
      <w:r w:rsidR="00A35004">
        <w:rPr>
          <w:rFonts w:cs="Arial"/>
          <w:bCs/>
          <w:szCs w:val="22"/>
        </w:rPr>
        <w:t xml:space="preserve"> was given after expiry of the relevant period. </w:t>
      </w:r>
      <w:r w:rsidR="00411CC6">
        <w:rPr>
          <w:rFonts w:cs="Arial"/>
          <w:bCs/>
          <w:szCs w:val="22"/>
        </w:rPr>
        <w:t xml:space="preserve"> The fact that mediation had not delivered the desired results</w:t>
      </w:r>
      <w:r w:rsidR="00A35004">
        <w:rPr>
          <w:rFonts w:cs="Arial"/>
          <w:bCs/>
          <w:szCs w:val="22"/>
        </w:rPr>
        <w:t xml:space="preserve"> was a common cause fact and </w:t>
      </w:r>
      <w:r w:rsidR="00000A92">
        <w:rPr>
          <w:rFonts w:cs="Arial"/>
          <w:bCs/>
          <w:szCs w:val="22"/>
        </w:rPr>
        <w:t xml:space="preserve">also </w:t>
      </w:r>
      <w:r w:rsidR="00A35004">
        <w:rPr>
          <w:rFonts w:cs="Arial"/>
          <w:bCs/>
          <w:szCs w:val="22"/>
        </w:rPr>
        <w:t>did not require a finding by me.</w:t>
      </w:r>
    </w:p>
    <w:p w14:paraId="0E57E356" w14:textId="4C77FDD1" w:rsidR="00411CC6" w:rsidRDefault="002E3660" w:rsidP="002E3660">
      <w:pPr>
        <w:widowControl w:val="0"/>
        <w:tabs>
          <w:tab w:val="left" w:pos="567"/>
        </w:tabs>
        <w:spacing w:before="480" w:after="480" w:line="360" w:lineRule="auto"/>
        <w:jc w:val="both"/>
        <w:rPr>
          <w:rFonts w:cs="Arial"/>
          <w:bCs/>
          <w:szCs w:val="22"/>
        </w:rPr>
      </w:pPr>
      <w:r>
        <w:rPr>
          <w:rFonts w:cs="Arial"/>
          <w:bCs/>
          <w:szCs w:val="22"/>
        </w:rPr>
        <w:t>[37]</w:t>
      </w:r>
      <w:r>
        <w:rPr>
          <w:rFonts w:cs="Arial"/>
          <w:bCs/>
          <w:szCs w:val="22"/>
        </w:rPr>
        <w:tab/>
      </w:r>
      <w:r w:rsidR="00411CC6">
        <w:rPr>
          <w:rFonts w:cs="Arial"/>
          <w:bCs/>
          <w:szCs w:val="22"/>
        </w:rPr>
        <w:t>No finding of negligence was made in paragraph 12 of the judgment as is alleged in the notice of application for leave to appeal.</w:t>
      </w:r>
    </w:p>
    <w:p w14:paraId="1CF35C04" w14:textId="77777777" w:rsidR="00E91F0D" w:rsidRDefault="00E91F0D" w:rsidP="008B2BC6">
      <w:pPr>
        <w:widowControl w:val="0"/>
        <w:spacing w:before="480" w:after="480" w:line="360" w:lineRule="auto"/>
        <w:jc w:val="both"/>
        <w:rPr>
          <w:rFonts w:cs="Arial"/>
          <w:bCs/>
          <w:szCs w:val="22"/>
          <w:u w:val="single"/>
        </w:rPr>
      </w:pPr>
    </w:p>
    <w:p w14:paraId="49A132C8" w14:textId="01790863" w:rsidR="004209F4" w:rsidRPr="004209F4" w:rsidRDefault="00877DCC" w:rsidP="008B2BC6">
      <w:pPr>
        <w:widowControl w:val="0"/>
        <w:spacing w:before="480" w:after="480" w:line="360" w:lineRule="auto"/>
        <w:jc w:val="both"/>
        <w:rPr>
          <w:rFonts w:cs="Arial"/>
          <w:bCs/>
          <w:szCs w:val="22"/>
          <w:u w:val="single"/>
        </w:rPr>
      </w:pPr>
      <w:r w:rsidRPr="004209F4">
        <w:rPr>
          <w:rFonts w:cs="Arial"/>
          <w:bCs/>
          <w:szCs w:val="22"/>
          <w:u w:val="single"/>
        </w:rPr>
        <w:t>COSTS</w:t>
      </w:r>
    </w:p>
    <w:p w14:paraId="785D2C8B" w14:textId="7D47F467" w:rsidR="007F50C6" w:rsidRDefault="002E3660" w:rsidP="002E3660">
      <w:pPr>
        <w:widowControl w:val="0"/>
        <w:tabs>
          <w:tab w:val="left" w:pos="567"/>
        </w:tabs>
        <w:spacing w:before="480" w:after="480" w:line="360" w:lineRule="auto"/>
        <w:jc w:val="both"/>
        <w:rPr>
          <w:rFonts w:cs="Arial"/>
          <w:bCs/>
          <w:szCs w:val="22"/>
        </w:rPr>
      </w:pPr>
      <w:r>
        <w:rPr>
          <w:rFonts w:cs="Arial"/>
          <w:bCs/>
          <w:szCs w:val="22"/>
        </w:rPr>
        <w:t>[38]</w:t>
      </w:r>
      <w:r>
        <w:rPr>
          <w:rFonts w:cs="Arial"/>
          <w:bCs/>
          <w:szCs w:val="22"/>
        </w:rPr>
        <w:tab/>
      </w:r>
      <w:r w:rsidR="004209F4">
        <w:rPr>
          <w:rFonts w:cs="Arial"/>
          <w:bCs/>
          <w:szCs w:val="22"/>
        </w:rPr>
        <w:t xml:space="preserve">There is no reason to deviate from the grounds upon which a punitive cost order was granted and I make such an order. </w:t>
      </w:r>
    </w:p>
    <w:p w14:paraId="760C2351" w14:textId="77777777" w:rsidR="00000A92" w:rsidRDefault="00000A92" w:rsidP="00000A92">
      <w:pPr>
        <w:widowControl w:val="0"/>
        <w:spacing w:before="480" w:after="480" w:line="360" w:lineRule="auto"/>
        <w:jc w:val="both"/>
        <w:rPr>
          <w:rFonts w:cs="Arial"/>
          <w:bCs/>
          <w:szCs w:val="22"/>
          <w:u w:val="single"/>
        </w:rPr>
      </w:pPr>
    </w:p>
    <w:p w14:paraId="31CD637B" w14:textId="14E111BE" w:rsidR="00000A92" w:rsidRPr="00000A92" w:rsidRDefault="00877DCC" w:rsidP="00152028">
      <w:pPr>
        <w:keepNext/>
        <w:widowControl w:val="0"/>
        <w:spacing w:before="480" w:after="480" w:line="360" w:lineRule="auto"/>
        <w:jc w:val="both"/>
        <w:rPr>
          <w:rFonts w:cs="Arial"/>
          <w:bCs/>
          <w:szCs w:val="22"/>
          <w:u w:val="single"/>
        </w:rPr>
      </w:pPr>
      <w:r w:rsidRPr="00000A92">
        <w:rPr>
          <w:rFonts w:cs="Arial"/>
          <w:bCs/>
          <w:szCs w:val="22"/>
          <w:u w:val="single"/>
        </w:rPr>
        <w:lastRenderedPageBreak/>
        <w:t>CONCLUSION</w:t>
      </w:r>
    </w:p>
    <w:p w14:paraId="2F6E23F3" w14:textId="651F4FDE" w:rsidR="00000A92" w:rsidRPr="00841468" w:rsidRDefault="002E3660" w:rsidP="002E3660">
      <w:pPr>
        <w:keepNext/>
        <w:widowControl w:val="0"/>
        <w:tabs>
          <w:tab w:val="left" w:pos="567"/>
        </w:tabs>
        <w:spacing w:before="480" w:after="480" w:line="360" w:lineRule="auto"/>
        <w:jc w:val="both"/>
        <w:rPr>
          <w:rFonts w:cs="Arial"/>
          <w:bCs/>
          <w:szCs w:val="22"/>
        </w:rPr>
      </w:pPr>
      <w:r w:rsidRPr="00841468">
        <w:rPr>
          <w:rFonts w:cs="Arial"/>
          <w:bCs/>
          <w:szCs w:val="22"/>
        </w:rPr>
        <w:t>[39]</w:t>
      </w:r>
      <w:r w:rsidRPr="00841468">
        <w:rPr>
          <w:rFonts w:cs="Arial"/>
          <w:bCs/>
          <w:szCs w:val="22"/>
        </w:rPr>
        <w:tab/>
      </w:r>
      <w:r w:rsidR="00000A92">
        <w:rPr>
          <w:rFonts w:cs="Arial"/>
          <w:bCs/>
          <w:szCs w:val="22"/>
        </w:rPr>
        <w:t>No case is made out for leave to appeal in this interlocutory application and no interests of justice issues are raised to merit leave to appeal.</w:t>
      </w:r>
    </w:p>
    <w:p w14:paraId="3DE296C8" w14:textId="4FEA2877" w:rsidR="004209F4" w:rsidRDefault="002E3660" w:rsidP="002E3660">
      <w:pPr>
        <w:widowControl w:val="0"/>
        <w:tabs>
          <w:tab w:val="left" w:pos="567"/>
        </w:tabs>
        <w:spacing w:before="480" w:after="480" w:line="360" w:lineRule="auto"/>
        <w:jc w:val="both"/>
        <w:rPr>
          <w:rFonts w:cs="Arial"/>
          <w:bCs/>
          <w:szCs w:val="22"/>
        </w:rPr>
      </w:pPr>
      <w:r>
        <w:rPr>
          <w:rFonts w:cs="Arial"/>
          <w:bCs/>
          <w:szCs w:val="22"/>
        </w:rPr>
        <w:t>[40]</w:t>
      </w:r>
      <w:r>
        <w:rPr>
          <w:rFonts w:cs="Arial"/>
          <w:bCs/>
          <w:szCs w:val="22"/>
        </w:rPr>
        <w:tab/>
      </w:r>
      <w:r w:rsidR="004209F4">
        <w:rPr>
          <w:rFonts w:cs="Arial"/>
          <w:bCs/>
          <w:szCs w:val="22"/>
        </w:rPr>
        <w:t>I therefore grant the order in paragraph 1 above.</w:t>
      </w:r>
    </w:p>
    <w:p w14:paraId="4EDD50A4" w14:textId="34F7EF83" w:rsidR="00C1370F" w:rsidRPr="00C1370F" w:rsidRDefault="00C1370F" w:rsidP="00C1370F">
      <w:pPr>
        <w:widowControl w:val="0"/>
        <w:spacing w:before="480" w:after="480" w:line="480" w:lineRule="auto"/>
        <w:jc w:val="both"/>
        <w:rPr>
          <w:rFonts w:cs="Arial"/>
          <w:bCs/>
          <w:szCs w:val="22"/>
          <w:u w:val="single"/>
        </w:rPr>
      </w:pPr>
    </w:p>
    <w:p w14:paraId="7301B79D" w14:textId="6116B005" w:rsidR="00E71CE6" w:rsidRPr="00E73772" w:rsidRDefault="00E71CE6" w:rsidP="006C43D7">
      <w:pPr>
        <w:tabs>
          <w:tab w:val="right" w:pos="0"/>
        </w:tabs>
        <w:spacing w:line="360" w:lineRule="auto"/>
        <w:contextualSpacing/>
        <w:jc w:val="right"/>
        <w:rPr>
          <w:rFonts w:cs="Arial"/>
          <w:b/>
          <w:szCs w:val="22"/>
        </w:rPr>
      </w:pPr>
    </w:p>
    <w:p w14:paraId="3E6BA7DA" w14:textId="7577E0DE" w:rsidR="00AE287F" w:rsidRPr="00E73772" w:rsidRDefault="00F83079" w:rsidP="006C43D7">
      <w:pPr>
        <w:tabs>
          <w:tab w:val="right" w:pos="0"/>
        </w:tabs>
        <w:spacing w:line="360" w:lineRule="auto"/>
        <w:contextualSpacing/>
        <w:jc w:val="right"/>
        <w:rPr>
          <w:rFonts w:cs="Arial"/>
          <w:b/>
          <w:szCs w:val="22"/>
        </w:rPr>
      </w:pPr>
      <w:r>
        <w:rPr>
          <w:rFonts w:cs="Arial"/>
          <w:b/>
          <w:szCs w:val="22"/>
        </w:rPr>
        <w:t>_____________</w:t>
      </w:r>
    </w:p>
    <w:p w14:paraId="0CCB9BFE" w14:textId="7ABE564D" w:rsidR="006C43D7" w:rsidRPr="00E73772" w:rsidRDefault="00C676F3" w:rsidP="006C43D7">
      <w:pPr>
        <w:tabs>
          <w:tab w:val="right" w:pos="0"/>
        </w:tabs>
        <w:spacing w:line="360" w:lineRule="auto"/>
        <w:contextualSpacing/>
        <w:jc w:val="right"/>
        <w:rPr>
          <w:rFonts w:cs="Arial"/>
          <w:b/>
          <w:szCs w:val="22"/>
        </w:rPr>
      </w:pPr>
      <w:r w:rsidRPr="00E73772">
        <w:rPr>
          <w:rFonts w:cs="Arial"/>
          <w:b/>
          <w:szCs w:val="22"/>
        </w:rPr>
        <w:t>J MOORCROFT</w:t>
      </w:r>
    </w:p>
    <w:p w14:paraId="7A2C1059" w14:textId="77777777" w:rsidR="006C43D7" w:rsidRPr="00E73772" w:rsidRDefault="006C43D7" w:rsidP="006C43D7">
      <w:pPr>
        <w:tabs>
          <w:tab w:val="right" w:pos="0"/>
        </w:tabs>
        <w:spacing w:line="360" w:lineRule="auto"/>
        <w:contextualSpacing/>
        <w:jc w:val="right"/>
        <w:rPr>
          <w:rFonts w:cs="Arial"/>
          <w:b/>
          <w:szCs w:val="22"/>
        </w:rPr>
      </w:pPr>
      <w:r w:rsidRPr="00E73772">
        <w:rPr>
          <w:rFonts w:cs="Arial"/>
          <w:b/>
          <w:szCs w:val="22"/>
        </w:rPr>
        <w:t>ACTING JUDGE OF THE HIGH COURT OF SOUTH AFRICA</w:t>
      </w:r>
    </w:p>
    <w:p w14:paraId="077C2590" w14:textId="7452355B"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GAUTENG DIVISION</w:t>
      </w:r>
    </w:p>
    <w:p w14:paraId="40B9C946" w14:textId="77777777"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JOHANNESBURG</w:t>
      </w:r>
    </w:p>
    <w:p w14:paraId="326B529B" w14:textId="77777777" w:rsidR="006C43D7" w:rsidRPr="00E73772"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E73772" w:rsidRDefault="006C43D7" w:rsidP="006C43D7">
      <w:pPr>
        <w:spacing w:after="200" w:line="480" w:lineRule="auto"/>
        <w:contextualSpacing/>
        <w:jc w:val="right"/>
        <w:rPr>
          <w:rFonts w:cs="Arial"/>
          <w:b/>
          <w:i/>
          <w:iCs/>
          <w:szCs w:val="22"/>
        </w:rPr>
      </w:pPr>
      <w:r w:rsidRPr="00E73772">
        <w:rPr>
          <w:rFonts w:cs="Arial"/>
          <w:b/>
          <w:i/>
          <w:iCs/>
          <w:szCs w:val="22"/>
        </w:rPr>
        <w:t>Electronically submitted</w:t>
      </w:r>
    </w:p>
    <w:p w14:paraId="4E3E9427" w14:textId="77777777" w:rsidR="006C43D7" w:rsidRPr="00E73772" w:rsidRDefault="006C43D7" w:rsidP="006C43D7">
      <w:pPr>
        <w:spacing w:after="200" w:line="360" w:lineRule="auto"/>
        <w:contextualSpacing/>
        <w:jc w:val="both"/>
        <w:rPr>
          <w:rFonts w:eastAsia="Arial Unicode MS" w:cs="Arial"/>
          <w:bCs/>
          <w:szCs w:val="22"/>
        </w:rPr>
      </w:pPr>
    </w:p>
    <w:p w14:paraId="51C686CA" w14:textId="0BEDF5A4" w:rsidR="006C43D7" w:rsidRPr="00E73772" w:rsidRDefault="006C43D7" w:rsidP="006C43D7">
      <w:pPr>
        <w:spacing w:after="200" w:line="360" w:lineRule="auto"/>
        <w:contextualSpacing/>
        <w:jc w:val="both"/>
        <w:rPr>
          <w:rFonts w:eastAsia="Arial Unicode MS" w:cs="Arial"/>
          <w:b/>
          <w:bCs/>
          <w:szCs w:val="22"/>
        </w:rPr>
      </w:pPr>
      <w:r w:rsidRPr="00E73772">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E73772">
        <w:rPr>
          <w:rFonts w:eastAsia="Arial Unicode MS" w:cs="Arial"/>
          <w:bCs/>
          <w:szCs w:val="22"/>
        </w:rPr>
        <w:t xml:space="preserve"> </w:t>
      </w:r>
      <w:r w:rsidR="00000A92">
        <w:rPr>
          <w:rFonts w:eastAsia="Arial Unicode MS" w:cs="Arial"/>
          <w:b/>
          <w:bCs/>
          <w:szCs w:val="22"/>
        </w:rPr>
        <w:t>7 DECEMBER</w:t>
      </w:r>
      <w:r w:rsidR="00237FF9" w:rsidRPr="00E73772">
        <w:rPr>
          <w:rFonts w:eastAsia="Arial Unicode MS" w:cs="Arial"/>
          <w:b/>
          <w:bCs/>
          <w:szCs w:val="22"/>
        </w:rPr>
        <w:t xml:space="preserve"> 202</w:t>
      </w:r>
      <w:r w:rsidR="006C6A2F">
        <w:rPr>
          <w:rFonts w:eastAsia="Arial Unicode MS" w:cs="Arial"/>
          <w:b/>
          <w:bCs/>
          <w:szCs w:val="22"/>
        </w:rPr>
        <w:t>3</w:t>
      </w:r>
    </w:p>
    <w:p w14:paraId="482DDF6E" w14:textId="77777777" w:rsidR="006C43D7" w:rsidRPr="00E73772" w:rsidRDefault="006C43D7" w:rsidP="006C43D7">
      <w:pPr>
        <w:tabs>
          <w:tab w:val="right" w:pos="0"/>
          <w:tab w:val="left" w:pos="4253"/>
        </w:tabs>
        <w:spacing w:line="360" w:lineRule="auto"/>
        <w:contextualSpacing/>
        <w:jc w:val="center"/>
        <w:rPr>
          <w:rFonts w:cs="Arial"/>
          <w:b/>
          <w:szCs w:val="22"/>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49"/>
      </w:tblGrid>
      <w:tr w:rsidR="009D35B5" w:rsidRPr="00E73772" w14:paraId="493AF0D7" w14:textId="77777777" w:rsidTr="00DC621D">
        <w:tc>
          <w:tcPr>
            <w:tcW w:w="3964" w:type="dxa"/>
          </w:tcPr>
          <w:p w14:paraId="6A05541A" w14:textId="2D2B6520" w:rsidR="009D35B5" w:rsidRPr="00D5386E" w:rsidRDefault="009D35B5" w:rsidP="006C43D7">
            <w:pPr>
              <w:tabs>
                <w:tab w:val="right" w:pos="0"/>
                <w:tab w:val="left" w:pos="4253"/>
              </w:tabs>
              <w:spacing w:line="360" w:lineRule="auto"/>
              <w:contextualSpacing/>
              <w:jc w:val="both"/>
              <w:rPr>
                <w:rFonts w:cs="Arial"/>
                <w:color w:val="000000" w:themeColor="text1"/>
                <w:szCs w:val="22"/>
              </w:rPr>
            </w:pPr>
            <w:r w:rsidRPr="00D5386E">
              <w:rPr>
                <w:rFonts w:cs="Arial"/>
                <w:color w:val="000000" w:themeColor="text1"/>
                <w:szCs w:val="22"/>
              </w:rPr>
              <w:t>COUNSEL FOR THE APPLICANT:</w:t>
            </w:r>
          </w:p>
        </w:tc>
        <w:tc>
          <w:tcPr>
            <w:tcW w:w="4649" w:type="dxa"/>
          </w:tcPr>
          <w:p w14:paraId="69785AA9" w14:textId="2A3DCE0A" w:rsidR="009D35B5" w:rsidRPr="00D5386E" w:rsidRDefault="008A359C" w:rsidP="009D35B5">
            <w:pPr>
              <w:tabs>
                <w:tab w:val="right" w:pos="0"/>
                <w:tab w:val="left" w:pos="4253"/>
              </w:tabs>
              <w:spacing w:line="360" w:lineRule="auto"/>
              <w:contextualSpacing/>
              <w:jc w:val="right"/>
              <w:rPr>
                <w:rFonts w:cs="Arial"/>
                <w:color w:val="000000" w:themeColor="text1"/>
                <w:szCs w:val="22"/>
              </w:rPr>
            </w:pPr>
            <w:r w:rsidRPr="00D5386E">
              <w:rPr>
                <w:rFonts w:cs="Arial"/>
                <w:color w:val="000000" w:themeColor="text1"/>
                <w:szCs w:val="22"/>
              </w:rPr>
              <w:t>G NEL SC</w:t>
            </w:r>
          </w:p>
        </w:tc>
      </w:tr>
      <w:tr w:rsidR="009D35B5" w:rsidRPr="00E73772" w14:paraId="183C176D" w14:textId="77777777" w:rsidTr="00DC621D">
        <w:tc>
          <w:tcPr>
            <w:tcW w:w="3964" w:type="dxa"/>
          </w:tcPr>
          <w:p w14:paraId="75365413" w14:textId="4D497E49" w:rsidR="009D35B5" w:rsidRPr="00D5386E" w:rsidRDefault="009D35B5" w:rsidP="006C43D7">
            <w:pPr>
              <w:tabs>
                <w:tab w:val="right" w:pos="0"/>
                <w:tab w:val="left" w:pos="4253"/>
              </w:tabs>
              <w:spacing w:line="360" w:lineRule="auto"/>
              <w:contextualSpacing/>
              <w:jc w:val="both"/>
              <w:rPr>
                <w:rFonts w:cs="Arial"/>
                <w:color w:val="000000" w:themeColor="text1"/>
                <w:szCs w:val="22"/>
              </w:rPr>
            </w:pPr>
            <w:r w:rsidRPr="00D5386E">
              <w:rPr>
                <w:rFonts w:cs="Arial"/>
                <w:color w:val="000000" w:themeColor="text1"/>
                <w:szCs w:val="22"/>
              </w:rPr>
              <w:t>INSTRUCTED BY:</w:t>
            </w:r>
          </w:p>
        </w:tc>
        <w:tc>
          <w:tcPr>
            <w:tcW w:w="4649" w:type="dxa"/>
          </w:tcPr>
          <w:p w14:paraId="4044534A" w14:textId="55088819" w:rsidR="009D35B5" w:rsidRPr="00D5386E" w:rsidRDefault="008A359C" w:rsidP="009D35B5">
            <w:pPr>
              <w:tabs>
                <w:tab w:val="right" w:pos="0"/>
                <w:tab w:val="left" w:pos="4253"/>
              </w:tabs>
              <w:spacing w:line="360" w:lineRule="auto"/>
              <w:contextualSpacing/>
              <w:jc w:val="right"/>
              <w:rPr>
                <w:rFonts w:cs="Arial"/>
                <w:color w:val="000000" w:themeColor="text1"/>
                <w:szCs w:val="22"/>
              </w:rPr>
            </w:pPr>
            <w:r w:rsidRPr="00D5386E">
              <w:rPr>
                <w:rFonts w:cs="Arial"/>
                <w:color w:val="000000" w:themeColor="text1"/>
                <w:szCs w:val="22"/>
              </w:rPr>
              <w:t>VALLY CHAGAN &amp; ASSOCIATES</w:t>
            </w:r>
            <w:r w:rsidR="009D35B5" w:rsidRPr="00D5386E">
              <w:rPr>
                <w:rFonts w:cs="Arial"/>
                <w:color w:val="000000" w:themeColor="text1"/>
                <w:szCs w:val="22"/>
              </w:rPr>
              <w:t xml:space="preserve"> ATTORNEYS</w:t>
            </w:r>
          </w:p>
        </w:tc>
      </w:tr>
      <w:tr w:rsidR="009D35B5" w:rsidRPr="00E73772" w14:paraId="6E2BF966" w14:textId="77777777" w:rsidTr="00DC621D">
        <w:tc>
          <w:tcPr>
            <w:tcW w:w="3964" w:type="dxa"/>
          </w:tcPr>
          <w:p w14:paraId="545B6665" w14:textId="1A8E54D2" w:rsidR="009D35B5" w:rsidRPr="00D5386E" w:rsidRDefault="009D35B5" w:rsidP="006C43D7">
            <w:pPr>
              <w:tabs>
                <w:tab w:val="right" w:pos="0"/>
                <w:tab w:val="left" w:pos="4253"/>
              </w:tabs>
              <w:spacing w:line="360" w:lineRule="auto"/>
              <w:contextualSpacing/>
              <w:jc w:val="both"/>
              <w:rPr>
                <w:rFonts w:cs="Arial"/>
                <w:color w:val="000000" w:themeColor="text1"/>
                <w:szCs w:val="22"/>
              </w:rPr>
            </w:pPr>
            <w:r w:rsidRPr="00D5386E">
              <w:rPr>
                <w:rFonts w:cs="Arial"/>
                <w:color w:val="000000" w:themeColor="text1"/>
                <w:szCs w:val="22"/>
              </w:rPr>
              <w:t>COUNSEL FOR RESPONDENT:</w:t>
            </w:r>
          </w:p>
        </w:tc>
        <w:tc>
          <w:tcPr>
            <w:tcW w:w="4649" w:type="dxa"/>
          </w:tcPr>
          <w:p w14:paraId="51741A90" w14:textId="41432524" w:rsidR="009D35B5" w:rsidRPr="00D5386E" w:rsidRDefault="008A359C" w:rsidP="009D35B5">
            <w:pPr>
              <w:tabs>
                <w:tab w:val="right" w:pos="0"/>
                <w:tab w:val="left" w:pos="4253"/>
              </w:tabs>
              <w:spacing w:line="360" w:lineRule="auto"/>
              <w:contextualSpacing/>
              <w:jc w:val="right"/>
              <w:rPr>
                <w:rFonts w:cs="Arial"/>
                <w:color w:val="000000" w:themeColor="text1"/>
                <w:szCs w:val="22"/>
              </w:rPr>
            </w:pPr>
            <w:r w:rsidRPr="00D5386E">
              <w:rPr>
                <w:rFonts w:cs="Arial"/>
                <w:color w:val="000000" w:themeColor="text1"/>
                <w:szCs w:val="22"/>
              </w:rPr>
              <w:t>R SHEPSTONE</w:t>
            </w:r>
          </w:p>
        </w:tc>
      </w:tr>
      <w:tr w:rsidR="009D35B5" w:rsidRPr="00E73772" w14:paraId="1EC4105A" w14:textId="77777777" w:rsidTr="00DC621D">
        <w:tc>
          <w:tcPr>
            <w:tcW w:w="3964" w:type="dxa"/>
          </w:tcPr>
          <w:p w14:paraId="184EC2ED" w14:textId="079A555C" w:rsidR="009D35B5" w:rsidRPr="00D5386E" w:rsidRDefault="009D35B5" w:rsidP="006C43D7">
            <w:pPr>
              <w:tabs>
                <w:tab w:val="right" w:pos="0"/>
                <w:tab w:val="left" w:pos="4253"/>
              </w:tabs>
              <w:spacing w:line="360" w:lineRule="auto"/>
              <w:contextualSpacing/>
              <w:jc w:val="both"/>
              <w:rPr>
                <w:rFonts w:cs="Arial"/>
                <w:color w:val="000000" w:themeColor="text1"/>
                <w:szCs w:val="22"/>
              </w:rPr>
            </w:pPr>
            <w:r w:rsidRPr="00D5386E">
              <w:rPr>
                <w:rFonts w:cs="Arial"/>
                <w:color w:val="000000" w:themeColor="text1"/>
                <w:szCs w:val="22"/>
              </w:rPr>
              <w:t>INSTRUCTED BY:</w:t>
            </w:r>
          </w:p>
        </w:tc>
        <w:tc>
          <w:tcPr>
            <w:tcW w:w="4649" w:type="dxa"/>
          </w:tcPr>
          <w:p w14:paraId="2098BE2A" w14:textId="3EA85340" w:rsidR="009D35B5" w:rsidRPr="00D5386E" w:rsidRDefault="00A86A7A" w:rsidP="009D35B5">
            <w:pPr>
              <w:tabs>
                <w:tab w:val="right" w:pos="0"/>
                <w:tab w:val="left" w:pos="4253"/>
              </w:tabs>
              <w:spacing w:line="360" w:lineRule="auto"/>
              <w:contextualSpacing/>
              <w:jc w:val="right"/>
              <w:rPr>
                <w:rFonts w:cs="Arial"/>
                <w:color w:val="000000" w:themeColor="text1"/>
                <w:szCs w:val="22"/>
              </w:rPr>
            </w:pPr>
            <w:r w:rsidRPr="00D5386E">
              <w:rPr>
                <w:rFonts w:cs="Arial"/>
                <w:color w:val="000000" w:themeColor="text1"/>
                <w:szCs w:val="22"/>
              </w:rPr>
              <w:t>A D HERTZBERG</w:t>
            </w:r>
            <w:r w:rsidR="009D35B5" w:rsidRPr="00D5386E">
              <w:rPr>
                <w:rFonts w:cs="Arial"/>
                <w:color w:val="000000" w:themeColor="text1"/>
                <w:szCs w:val="22"/>
              </w:rPr>
              <w:t xml:space="preserve"> ATTORNEYS </w:t>
            </w:r>
          </w:p>
        </w:tc>
      </w:tr>
      <w:tr w:rsidR="009D35B5" w:rsidRPr="00E73772" w14:paraId="2A3FE2B1" w14:textId="77777777" w:rsidTr="00DC621D">
        <w:tc>
          <w:tcPr>
            <w:tcW w:w="3964" w:type="dxa"/>
          </w:tcPr>
          <w:p w14:paraId="0767D0FE" w14:textId="6078230F"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THE HEARING:</w:t>
            </w:r>
          </w:p>
        </w:tc>
        <w:tc>
          <w:tcPr>
            <w:tcW w:w="4649" w:type="dxa"/>
          </w:tcPr>
          <w:p w14:paraId="34C95147" w14:textId="3ACEBECF" w:rsidR="009D35B5" w:rsidRPr="00E73772" w:rsidRDefault="00D5386E" w:rsidP="009D35B5">
            <w:pPr>
              <w:tabs>
                <w:tab w:val="right" w:pos="0"/>
                <w:tab w:val="left" w:pos="4253"/>
              </w:tabs>
              <w:spacing w:line="360" w:lineRule="auto"/>
              <w:contextualSpacing/>
              <w:jc w:val="right"/>
              <w:rPr>
                <w:rFonts w:cs="Arial"/>
                <w:szCs w:val="22"/>
              </w:rPr>
            </w:pPr>
            <w:r>
              <w:rPr>
                <w:rFonts w:cs="Arial"/>
                <w:szCs w:val="22"/>
              </w:rPr>
              <w:t xml:space="preserve">29 NOVEMBER </w:t>
            </w:r>
            <w:r w:rsidR="006C6A2F">
              <w:rPr>
                <w:rFonts w:cs="Arial"/>
                <w:szCs w:val="22"/>
              </w:rPr>
              <w:t>2023</w:t>
            </w:r>
          </w:p>
        </w:tc>
      </w:tr>
      <w:tr w:rsidR="009D35B5" w:rsidRPr="00E73772" w14:paraId="757AA656" w14:textId="77777777" w:rsidTr="00DC621D">
        <w:tc>
          <w:tcPr>
            <w:tcW w:w="3964" w:type="dxa"/>
          </w:tcPr>
          <w:p w14:paraId="05387251" w14:textId="5A778948"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JUDGMENT:</w:t>
            </w:r>
          </w:p>
        </w:tc>
        <w:tc>
          <w:tcPr>
            <w:tcW w:w="4649" w:type="dxa"/>
          </w:tcPr>
          <w:p w14:paraId="61863A62" w14:textId="42F55491" w:rsidR="009D35B5" w:rsidRPr="00E73772" w:rsidRDefault="00D5386E" w:rsidP="009D35B5">
            <w:pPr>
              <w:tabs>
                <w:tab w:val="right" w:pos="0"/>
                <w:tab w:val="left" w:pos="4253"/>
              </w:tabs>
              <w:spacing w:line="360" w:lineRule="auto"/>
              <w:contextualSpacing/>
              <w:jc w:val="right"/>
              <w:rPr>
                <w:rFonts w:cs="Arial"/>
                <w:szCs w:val="22"/>
              </w:rPr>
            </w:pPr>
            <w:r>
              <w:rPr>
                <w:rFonts w:cs="Arial"/>
                <w:szCs w:val="22"/>
              </w:rPr>
              <w:t>7 DECEMBER</w:t>
            </w:r>
            <w:r w:rsidR="00000A92">
              <w:rPr>
                <w:rFonts w:cs="Arial"/>
                <w:szCs w:val="22"/>
              </w:rPr>
              <w:t xml:space="preserve"> </w:t>
            </w:r>
            <w:r w:rsidR="006C6A2F">
              <w:rPr>
                <w:rFonts w:cs="Arial"/>
                <w:szCs w:val="22"/>
              </w:rPr>
              <w:t>2023</w:t>
            </w:r>
          </w:p>
        </w:tc>
      </w:tr>
    </w:tbl>
    <w:p w14:paraId="1BD8F4EB" w14:textId="24205645" w:rsidR="00A402F6" w:rsidRPr="00E73772" w:rsidRDefault="00A402F6" w:rsidP="00A402F6">
      <w:pPr>
        <w:tabs>
          <w:tab w:val="right" w:pos="8647"/>
        </w:tabs>
        <w:spacing w:line="360" w:lineRule="auto"/>
        <w:contextualSpacing/>
        <w:jc w:val="both"/>
        <w:rPr>
          <w:rFonts w:cs="Arial"/>
          <w:szCs w:val="22"/>
        </w:rPr>
      </w:pPr>
      <w:r w:rsidRPr="00E73772">
        <w:rPr>
          <w:rFonts w:cs="Arial"/>
          <w:szCs w:val="22"/>
        </w:rPr>
        <w:tab/>
      </w:r>
    </w:p>
    <w:sectPr w:rsidR="00A402F6" w:rsidRPr="00E73772" w:rsidSect="009869F2">
      <w:headerReference w:type="default" r:id="rId11"/>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EC791" w14:textId="77777777" w:rsidR="00A05080" w:rsidRDefault="00A05080">
      <w:r>
        <w:separator/>
      </w:r>
    </w:p>
  </w:endnote>
  <w:endnote w:type="continuationSeparator" w:id="0">
    <w:p w14:paraId="237AFD12" w14:textId="77777777" w:rsidR="00A05080" w:rsidRDefault="00A0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2265E" w14:textId="77777777" w:rsidR="00A05080" w:rsidRDefault="00A05080">
      <w:r>
        <w:separator/>
      </w:r>
    </w:p>
  </w:footnote>
  <w:footnote w:type="continuationSeparator" w:id="0">
    <w:p w14:paraId="40F0D77B" w14:textId="77777777" w:rsidR="00A05080" w:rsidRDefault="00A05080">
      <w:r>
        <w:continuationSeparator/>
      </w:r>
    </w:p>
  </w:footnote>
  <w:footnote w:id="1">
    <w:p w14:paraId="20A1C789" w14:textId="3AD891C0" w:rsidR="00A42EA2" w:rsidRDefault="00A42EA2">
      <w:pPr>
        <w:pStyle w:val="FootnoteText"/>
      </w:pPr>
      <w:r>
        <w:rPr>
          <w:rStyle w:val="FootnoteReference"/>
        </w:rPr>
        <w:footnoteRef/>
      </w:r>
      <w:r>
        <w:t xml:space="preserve"> </w:t>
      </w:r>
      <w:r>
        <w:tab/>
      </w:r>
      <w:r w:rsidRPr="00A42EA2">
        <w:rPr>
          <w:i/>
          <w:iCs/>
        </w:rPr>
        <w:t>Doola v Firs</w:t>
      </w:r>
      <w:r w:rsidR="00FB6306">
        <w:rPr>
          <w:i/>
          <w:iCs/>
        </w:rPr>
        <w:t>t</w:t>
      </w:r>
      <w:r w:rsidRPr="00A42EA2">
        <w:rPr>
          <w:i/>
          <w:iCs/>
        </w:rPr>
        <w:t>rand Bank Ltd trading inter alia as RNB Private Bank and as FNB</w:t>
      </w:r>
      <w:r w:rsidRPr="00A42EA2">
        <w:t xml:space="preserve"> [2022] ZAGPJHC 837</w:t>
      </w:r>
      <w:r>
        <w:t xml:space="preserve">, </w:t>
      </w:r>
      <w:r w:rsidRPr="00A42EA2">
        <w:t>2022 JDR 3215 (GJ), [2022] JOL 56118 (GJ)</w:t>
      </w:r>
      <w:r>
        <w:t>.</w:t>
      </w:r>
    </w:p>
  </w:footnote>
  <w:footnote w:id="2">
    <w:p w14:paraId="28F03F4D" w14:textId="77777777" w:rsidR="009C32F8" w:rsidRDefault="009C32F8" w:rsidP="009C32F8">
      <w:pPr>
        <w:pStyle w:val="FootnoteText"/>
      </w:pPr>
      <w:r>
        <w:rPr>
          <w:rStyle w:val="FootnoteReference"/>
        </w:rPr>
        <w:footnoteRef/>
      </w:r>
      <w:r>
        <w:t xml:space="preserve"> </w:t>
      </w:r>
      <w:r>
        <w:tab/>
      </w:r>
      <w:r w:rsidRPr="00271D07">
        <w:rPr>
          <w:i/>
          <w:iCs/>
          <w:lang w:eastAsia="en-ZA"/>
        </w:rPr>
        <w:t>First Rand Bank Limited t/a RMB Private Bank and as FNB v Doola</w:t>
      </w:r>
      <w:r w:rsidRPr="00271D07">
        <w:rPr>
          <w:lang w:eastAsia="en-ZA"/>
        </w:rPr>
        <w:t xml:space="preserve">  [2023] ZAGPJHC 456</w:t>
      </w:r>
      <w:r>
        <w:rPr>
          <w:lang w:eastAsia="en-ZA"/>
        </w:rPr>
        <w:t>.</w:t>
      </w:r>
    </w:p>
  </w:footnote>
  <w:footnote w:id="3">
    <w:p w14:paraId="23B946BD" w14:textId="77777777" w:rsidR="009C32F8" w:rsidRDefault="009C32F8" w:rsidP="009C32F8">
      <w:pPr>
        <w:pStyle w:val="FootnoteText"/>
      </w:pPr>
      <w:r>
        <w:rPr>
          <w:rStyle w:val="FootnoteReference"/>
        </w:rPr>
        <w:footnoteRef/>
      </w:r>
      <w:r>
        <w:t xml:space="preserve"> </w:t>
      </w:r>
      <w:r>
        <w:tab/>
        <w:t>Ibid para 12.</w:t>
      </w:r>
    </w:p>
  </w:footnote>
  <w:footnote w:id="4">
    <w:p w14:paraId="68A46B3B" w14:textId="0A2E42CC" w:rsidR="00D5386E" w:rsidRDefault="00D5386E" w:rsidP="00D5386E">
      <w:pPr>
        <w:pStyle w:val="FootnoteText"/>
      </w:pPr>
      <w:r w:rsidRPr="00B83232">
        <w:rPr>
          <w:rStyle w:val="FootnoteReference"/>
          <w:rFonts w:cs="Arial"/>
        </w:rPr>
        <w:footnoteRef/>
      </w:r>
      <w:r w:rsidRPr="00B83232">
        <w:rPr>
          <w:rFonts w:cs="Arial"/>
        </w:rPr>
        <w:t xml:space="preserve"> </w:t>
      </w:r>
      <w:r w:rsidRPr="00B83232">
        <w:rPr>
          <w:rFonts w:cs="Arial"/>
        </w:rPr>
        <w:tab/>
      </w:r>
      <w:r w:rsidRPr="00B83232">
        <w:rPr>
          <w:rStyle w:val="searchhit"/>
          <w:rFonts w:cs="Arial"/>
          <w:i/>
          <w:iCs/>
          <w:color w:val="000000"/>
          <w:bdr w:val="none" w:sz="0" w:space="0" w:color="auto" w:frame="1"/>
          <w:shd w:val="clear" w:color="auto" w:fill="F9F9F9"/>
        </w:rPr>
        <w:t>Ramakatsa</w:t>
      </w:r>
      <w:r w:rsidRPr="00B83232">
        <w:rPr>
          <w:rFonts w:cs="Arial"/>
          <w:i/>
          <w:iCs/>
          <w:color w:val="000000"/>
          <w:shd w:val="clear" w:color="auto" w:fill="F9F9F9"/>
        </w:rPr>
        <w:t> and others v African National Congress and another</w:t>
      </w:r>
      <w:r w:rsidRPr="00B83232">
        <w:rPr>
          <w:rFonts w:cs="Arial"/>
          <w:color w:val="000000"/>
          <w:shd w:val="clear" w:color="auto" w:fill="F9F9F9"/>
        </w:rPr>
        <w:t xml:space="preserve"> [2021] JOL 49993 (SCA)</w:t>
      </w:r>
      <w:r>
        <w:rPr>
          <w:rFonts w:cs="Arial"/>
          <w:color w:val="000000"/>
          <w:shd w:val="clear" w:color="auto" w:fill="F9F9F9"/>
        </w:rPr>
        <w:t xml:space="preserve">, also reported as </w:t>
      </w:r>
      <w:r w:rsidRPr="00B83232">
        <w:rPr>
          <w:rFonts w:cs="Arial"/>
          <w:i/>
          <w:iCs/>
        </w:rPr>
        <w:t>Ramakatsa</w:t>
      </w:r>
      <w:r w:rsidRPr="00B83232">
        <w:rPr>
          <w:i/>
          <w:iCs/>
        </w:rPr>
        <w:t xml:space="preserve"> v ANC</w:t>
      </w:r>
      <w:r w:rsidRPr="00B83232">
        <w:t xml:space="preserve"> </w:t>
      </w:r>
      <w:r>
        <w:t>[</w:t>
      </w:r>
      <w:r w:rsidRPr="00B83232">
        <w:t>2021</w:t>
      </w:r>
      <w:r>
        <w:t>]</w:t>
      </w:r>
      <w:r w:rsidRPr="00B83232">
        <w:t xml:space="preserve"> ZASCA 31</w:t>
      </w:r>
      <w:r>
        <w:t>.</w:t>
      </w:r>
      <w:r w:rsidR="00FD538F">
        <w:t xml:space="preserve"> See also the various authorities listed in</w:t>
      </w:r>
      <w:r w:rsidR="00FD538F" w:rsidRPr="00FD538F">
        <w:t xml:space="preserve"> </w:t>
      </w:r>
      <w:r w:rsidR="00FD538F" w:rsidRPr="00FD538F">
        <w:rPr>
          <w:i/>
          <w:iCs/>
        </w:rPr>
        <w:t>Altech Radio Holdings (Pty) Ltd v Aeonova360 Management Services (Pty) Ltd and another</w:t>
      </w:r>
      <w:r w:rsidR="00FD538F">
        <w:t xml:space="preserve"> </w:t>
      </w:r>
      <w:r w:rsidR="00FD538F" w:rsidRPr="00A0751B">
        <w:t>2023 JDR 3696 (GJ)</w:t>
      </w:r>
      <w:r w:rsidR="00FD538F">
        <w:t xml:space="preserve"> footnotes 4 to 10.</w:t>
      </w:r>
    </w:p>
  </w:footnote>
  <w:footnote w:id="5">
    <w:p w14:paraId="044CE013" w14:textId="77777777" w:rsidR="00D5386E" w:rsidRDefault="00D5386E" w:rsidP="00D5386E">
      <w:pPr>
        <w:pStyle w:val="FootnoteText"/>
      </w:pPr>
      <w:r>
        <w:rPr>
          <w:rStyle w:val="FootnoteReference"/>
        </w:rPr>
        <w:footnoteRef/>
      </w:r>
      <w:r>
        <w:t xml:space="preserve"> </w:t>
      </w:r>
      <w:r>
        <w:tab/>
        <w:t>Footnote 9 in the judgment reads as follows: “</w:t>
      </w:r>
      <w:r w:rsidRPr="00F06FCF">
        <w:rPr>
          <w:i/>
          <w:iCs/>
        </w:rPr>
        <w:t>See Smith v S [2011] ZASCA 15; 2012 (1) SACR 567 (SCA); MEC Health, Eastern Cape v Mkhitha [2016] ZASCA 176 para 17</w:t>
      </w:r>
      <w:r>
        <w:rPr>
          <w:i/>
          <w:iCs/>
        </w:rPr>
        <w:t>.</w:t>
      </w:r>
      <w:r w:rsidRPr="00F06FCF">
        <w:rPr>
          <w:i/>
          <w:iCs/>
        </w:rPr>
        <w:t>”</w:t>
      </w:r>
    </w:p>
  </w:footnote>
  <w:footnote w:id="6">
    <w:p w14:paraId="1FA05846" w14:textId="6D144B4C" w:rsidR="007D6488" w:rsidRDefault="007D6488">
      <w:pPr>
        <w:pStyle w:val="FootnoteText"/>
      </w:pPr>
      <w:r>
        <w:rPr>
          <w:rStyle w:val="FootnoteReference"/>
        </w:rPr>
        <w:footnoteRef/>
      </w:r>
      <w:r>
        <w:t xml:space="preserve"> </w:t>
      </w:r>
      <w:r>
        <w:tab/>
      </w:r>
      <w:r w:rsidRPr="00FC088C">
        <w:rPr>
          <w:i/>
          <w:iCs/>
        </w:rPr>
        <w:t>Dexgroup (Pty) Ltd v Trustco Group International (Pty) Ltd and Others</w:t>
      </w:r>
      <w:r>
        <w:t xml:space="preserve"> </w:t>
      </w:r>
      <w:r w:rsidRPr="00FC088C">
        <w:t>2013 (6) SA 520 (SCA)</w:t>
      </w:r>
      <w:r>
        <w:t xml:space="preserve"> para 24</w:t>
      </w:r>
      <w:r w:rsidR="00B129C7">
        <w:t>.</w:t>
      </w:r>
    </w:p>
  </w:footnote>
  <w:footnote w:id="7">
    <w:p w14:paraId="72342C00" w14:textId="77777777" w:rsidR="00625916" w:rsidRPr="006D4867" w:rsidRDefault="00625916" w:rsidP="00625916">
      <w:pPr>
        <w:pStyle w:val="FootnoteText"/>
        <w:rPr>
          <w:rFonts w:cs="Arial"/>
          <w:color w:val="000000" w:themeColor="text1"/>
        </w:rPr>
      </w:pPr>
      <w:r>
        <w:rPr>
          <w:rStyle w:val="FootnoteReference"/>
        </w:rPr>
        <w:footnoteRef/>
      </w:r>
      <w:r>
        <w:t xml:space="preserve"> </w:t>
      </w:r>
      <w:r>
        <w:tab/>
      </w:r>
      <w:r w:rsidRPr="006D4867">
        <w:rPr>
          <w:rFonts w:cs="Arial"/>
          <w:i/>
          <w:iCs/>
          <w:color w:val="000000" w:themeColor="text1"/>
          <w:shd w:val="clear" w:color="auto" w:fill="FFFFFF"/>
        </w:rPr>
        <w:t>Moulded Components &amp; Rotomoulding SA (Pty) Ltd v Coucourakis</w:t>
      </w:r>
      <w:r w:rsidRPr="006D4867">
        <w:rPr>
          <w:rFonts w:cs="Arial"/>
          <w:color w:val="000000" w:themeColor="text1"/>
          <w:shd w:val="clear" w:color="auto" w:fill="FFFFFF"/>
        </w:rPr>
        <w:t> </w:t>
      </w:r>
      <w:hyperlink r:id="rId1" w:anchor="y1979v2SApg457" w:history="1">
        <w:r w:rsidRPr="006D4867">
          <w:rPr>
            <w:rFonts w:cs="Arial"/>
            <w:color w:val="000000" w:themeColor="text1"/>
            <w:shd w:val="clear" w:color="auto" w:fill="FFFFFF"/>
          </w:rPr>
          <w:t>1979 (2) SA 457 (W)</w:t>
        </w:r>
      </w:hyperlink>
      <w:r w:rsidRPr="006D4867">
        <w:rPr>
          <w:rFonts w:cs="Arial"/>
          <w:color w:val="000000" w:themeColor="text1"/>
          <w:shd w:val="clear" w:color="auto" w:fill="FFFFFF"/>
        </w:rPr>
        <w:t xml:space="preserve"> 459B–C. See </w:t>
      </w:r>
      <w:r w:rsidRPr="006D4867">
        <w:rPr>
          <w:rStyle w:val="metadata-item"/>
          <w:rFonts w:cs="Arial"/>
          <w:color w:val="000000" w:themeColor="text1"/>
        </w:rPr>
        <w:t xml:space="preserve">Cilliers, Loots &amp; Nel </w:t>
      </w:r>
      <w:r w:rsidRPr="006D4867">
        <w:rPr>
          <w:rStyle w:val="metadata-item"/>
          <w:rFonts w:cs="Arial"/>
          <w:i/>
          <w:iCs/>
          <w:color w:val="000000" w:themeColor="text1"/>
        </w:rPr>
        <w:t>Herbstein and Van Winsen: Civil Practice of the High Courts and the Supreme Court of Appeal of South Africa</w:t>
      </w:r>
      <w:r w:rsidRPr="006D4867">
        <w:rPr>
          <w:rStyle w:val="metadata-item"/>
          <w:rFonts w:cs="Arial"/>
          <w:color w:val="000000" w:themeColor="text1"/>
        </w:rPr>
        <w:t>, 5</w:t>
      </w:r>
      <w:r w:rsidRPr="006D4867">
        <w:rPr>
          <w:rStyle w:val="metadata-item"/>
          <w:rFonts w:cs="Arial"/>
          <w:color w:val="000000" w:themeColor="text1"/>
          <w:vertAlign w:val="superscript"/>
        </w:rPr>
        <w:t>th</w:t>
      </w:r>
      <w:r w:rsidRPr="006D4867">
        <w:rPr>
          <w:rStyle w:val="metadata-item"/>
          <w:rFonts w:cs="Arial"/>
          <w:color w:val="000000" w:themeColor="text1"/>
        </w:rPr>
        <w:t xml:space="preserve"> ed 2009, 789</w:t>
      </w:r>
      <w:r>
        <w:rPr>
          <w:rStyle w:val="metadata-item"/>
          <w:rFonts w:cs="Arial"/>
          <w:color w:val="000000" w:themeColor="text1"/>
        </w:rPr>
        <w:t>.</w:t>
      </w:r>
    </w:p>
  </w:footnote>
  <w:footnote w:id="8">
    <w:p w14:paraId="49137A07" w14:textId="0F85A959" w:rsidR="00954CD7" w:rsidRPr="005B6588" w:rsidRDefault="00954CD7" w:rsidP="00954CD7">
      <w:pPr>
        <w:pStyle w:val="FootnoteText"/>
      </w:pPr>
      <w:r w:rsidRPr="005B6588">
        <w:rPr>
          <w:rStyle w:val="FootnoteReference"/>
        </w:rPr>
        <w:footnoteRef/>
      </w:r>
      <w:r w:rsidRPr="005B6588">
        <w:t xml:space="preserve"> </w:t>
      </w:r>
      <w:r w:rsidRPr="005B6588">
        <w:tab/>
      </w:r>
      <w:r w:rsidRPr="005B6588">
        <w:rPr>
          <w:i/>
          <w:iCs/>
        </w:rPr>
        <w:t>Guardian National Insurance Co Ltd v Searle</w:t>
      </w:r>
      <w:r w:rsidRPr="005B6588">
        <w:t xml:space="preserve"> NO 1999 (3) SA 296 (SCA).</w:t>
      </w:r>
    </w:p>
  </w:footnote>
  <w:footnote w:id="9">
    <w:p w14:paraId="0B3D4A5E" w14:textId="77777777" w:rsidR="00954CD7" w:rsidRPr="005B6588" w:rsidRDefault="00954CD7" w:rsidP="00954CD7">
      <w:pPr>
        <w:pStyle w:val="FootnoteText"/>
      </w:pPr>
      <w:r w:rsidRPr="005B6588">
        <w:rPr>
          <w:rStyle w:val="FootnoteReference"/>
        </w:rPr>
        <w:footnoteRef/>
      </w:r>
      <w:r w:rsidRPr="005B6588">
        <w:t xml:space="preserve"> </w:t>
      </w:r>
      <w:r w:rsidRPr="005B6588">
        <w:tab/>
      </w:r>
      <w:r w:rsidRPr="005B6588">
        <w:rPr>
          <w:color w:val="000000" w:themeColor="text1"/>
        </w:rPr>
        <w:t xml:space="preserve">See </w:t>
      </w:r>
      <w:r w:rsidRPr="005B6588">
        <w:rPr>
          <w:i/>
          <w:iCs/>
          <w:color w:val="000000" w:themeColor="text1"/>
        </w:rPr>
        <w:t>Health Professions Council of South Africa v Emergency Medical Supplies and Trading CC t/a EMS</w:t>
      </w:r>
      <w:r w:rsidRPr="005B6588">
        <w:rPr>
          <w:color w:val="000000" w:themeColor="text1"/>
        </w:rPr>
        <w:t> </w:t>
      </w:r>
      <w:hyperlink r:id="rId2" w:anchor="y2010v6SApg469" w:history="1">
        <w:r w:rsidRPr="005B6588">
          <w:rPr>
            <w:rStyle w:val="Hyperlink"/>
            <w:color w:val="000000" w:themeColor="text1"/>
            <w:u w:val="none"/>
          </w:rPr>
          <w:t>2010 (6) SA 469 (SCA)</w:t>
        </w:r>
      </w:hyperlink>
      <w:r w:rsidRPr="005B6588">
        <w:rPr>
          <w:color w:val="000000" w:themeColor="text1"/>
        </w:rPr>
        <w:t> </w:t>
      </w:r>
      <w:r>
        <w:rPr>
          <w:color w:val="000000" w:themeColor="text1"/>
        </w:rPr>
        <w:t>paras 17 to 19.</w:t>
      </w:r>
    </w:p>
  </w:footnote>
  <w:footnote w:id="10">
    <w:p w14:paraId="169073D7" w14:textId="77777777" w:rsidR="007556DF" w:rsidRPr="005B6588" w:rsidRDefault="007556DF" w:rsidP="007556DF">
      <w:pPr>
        <w:pStyle w:val="FootnoteText"/>
      </w:pPr>
      <w:r w:rsidRPr="005B6588">
        <w:rPr>
          <w:rStyle w:val="FootnoteReference"/>
        </w:rPr>
        <w:footnoteRef/>
      </w:r>
      <w:r w:rsidRPr="005B6588">
        <w:t xml:space="preserve"> </w:t>
      </w:r>
      <w:r w:rsidRPr="005B6588">
        <w:tab/>
        <w:t xml:space="preserve">See </w:t>
      </w:r>
      <w:r w:rsidRPr="00E10B8A">
        <w:rPr>
          <w:rFonts w:cs="Arial"/>
          <w:i/>
          <w:iCs/>
          <w:color w:val="000000" w:themeColor="text1"/>
          <w:shd w:val="clear" w:color="auto" w:fill="FFFFFF"/>
        </w:rPr>
        <w:t>Mylchreest v European Diamond Mining Co Ltd</w:t>
      </w:r>
      <w:r w:rsidRPr="00E10B8A">
        <w:rPr>
          <w:rFonts w:cs="Arial"/>
          <w:color w:val="000000" w:themeColor="text1"/>
          <w:shd w:val="clear" w:color="auto" w:fill="FFFFFF"/>
        </w:rPr>
        <w:t> (1885) 3 HCG 270</w:t>
      </w:r>
      <w:r>
        <w:rPr>
          <w:rFonts w:cs="Arial"/>
          <w:color w:val="000000" w:themeColor="text1"/>
          <w:shd w:val="clear" w:color="auto" w:fill="FFFFFF"/>
        </w:rPr>
        <w:t xml:space="preserve">, </w:t>
      </w:r>
      <w:r w:rsidRPr="005B6588">
        <w:rPr>
          <w:i/>
          <w:iCs/>
        </w:rPr>
        <w:t>McLaren v Wasser</w:t>
      </w:r>
      <w:r w:rsidRPr="005B6588">
        <w:t xml:space="preserve"> 1915 EDL 153, </w:t>
      </w:r>
      <w:r w:rsidRPr="005B6588">
        <w:rPr>
          <w:i/>
          <w:iCs/>
        </w:rPr>
        <w:t>Le Roux v Montgomery</w:t>
      </w:r>
      <w:r w:rsidRPr="005B6588">
        <w:t xml:space="preserve"> 1918 TPD 384, and </w:t>
      </w:r>
      <w:r w:rsidRPr="005B6588">
        <w:rPr>
          <w:i/>
          <w:iCs/>
        </w:rPr>
        <w:t>Zweni v Minister of Law and Order</w:t>
      </w:r>
      <w:r w:rsidRPr="005B6588">
        <w:t xml:space="preserve"> 1993 (1) SA 523 (A).</w:t>
      </w:r>
    </w:p>
  </w:footnote>
  <w:footnote w:id="11">
    <w:p w14:paraId="38A77194" w14:textId="77777777" w:rsidR="00954CD7" w:rsidRPr="005B6588" w:rsidRDefault="00954CD7" w:rsidP="00954CD7">
      <w:pPr>
        <w:pStyle w:val="FootnoteText"/>
      </w:pPr>
      <w:r w:rsidRPr="005B6588">
        <w:rPr>
          <w:rStyle w:val="FootnoteReference"/>
        </w:rPr>
        <w:footnoteRef/>
      </w:r>
      <w:r w:rsidRPr="005B6588">
        <w:t xml:space="preserve"> </w:t>
      </w:r>
      <w:r w:rsidRPr="005B6588">
        <w:tab/>
      </w:r>
      <w:r w:rsidRPr="005B6588">
        <w:rPr>
          <w:i/>
          <w:iCs/>
        </w:rPr>
        <w:t xml:space="preserve">South Cape Corporation (Pty) Ltd v Engineering Management Services (Pty) Ltd </w:t>
      </w:r>
      <w:hyperlink r:id="rId3" w:anchor="y1977v3SApg534" w:history="1">
        <w:r w:rsidRPr="005B6588">
          <w:rPr>
            <w:rStyle w:val="Hyperlink"/>
            <w:color w:val="000000" w:themeColor="text1"/>
            <w:u w:val="none"/>
          </w:rPr>
          <w:t>1977 (3) SA 534 (A</w:t>
        </w:r>
      </w:hyperlink>
      <w:r w:rsidRPr="005B6588">
        <w:rPr>
          <w:color w:val="000000" w:themeColor="text1"/>
        </w:rPr>
        <w:t>)</w:t>
      </w:r>
      <w:r>
        <w:rPr>
          <w:color w:val="000000" w:themeColor="text1"/>
        </w:rPr>
        <w:t>.</w:t>
      </w:r>
    </w:p>
  </w:footnote>
  <w:footnote w:id="12">
    <w:p w14:paraId="0ABD162F" w14:textId="77777777" w:rsidR="00954CD7" w:rsidRPr="005B6588" w:rsidRDefault="00954CD7" w:rsidP="00954CD7">
      <w:pPr>
        <w:pStyle w:val="FootnoteText"/>
      </w:pPr>
      <w:r w:rsidRPr="005B6588">
        <w:rPr>
          <w:rStyle w:val="FootnoteReference"/>
        </w:rPr>
        <w:footnoteRef/>
      </w:r>
      <w:r w:rsidRPr="005B6588">
        <w:t xml:space="preserve"> </w:t>
      </w:r>
      <w:r w:rsidRPr="005B6588">
        <w:tab/>
      </w:r>
      <w:r w:rsidRPr="005B6588">
        <w:rPr>
          <w:rFonts w:cs="Arial"/>
          <w:i/>
          <w:iCs/>
          <w:color w:val="000000" w:themeColor="text1"/>
        </w:rPr>
        <w:t>Pretoria Garrison Institutes v Danish Variety Products (Pty) Ltd</w:t>
      </w:r>
      <w:r w:rsidRPr="005B6588">
        <w:rPr>
          <w:rFonts w:cs="Arial"/>
          <w:color w:val="000000" w:themeColor="text1"/>
        </w:rPr>
        <w:t xml:space="preserve"> </w:t>
      </w:r>
      <w:hyperlink r:id="rId4" w:anchor="y1948v1SApg839" w:history="1">
        <w:r w:rsidRPr="005B6588">
          <w:rPr>
            <w:rStyle w:val="Hyperlink"/>
            <w:rFonts w:cs="Arial"/>
            <w:color w:val="000000" w:themeColor="text1"/>
            <w:u w:val="none"/>
            <w:shd w:val="clear" w:color="auto" w:fill="FFFFFF"/>
          </w:rPr>
          <w:t>1948 (1) SA 839 (A)</w:t>
        </w:r>
      </w:hyperlink>
      <w:r w:rsidRPr="005B6588">
        <w:rPr>
          <w:rFonts w:cs="Arial"/>
          <w:color w:val="000000" w:themeColor="text1"/>
          <w:shd w:val="clear" w:color="auto" w:fill="FFFFFF"/>
        </w:rPr>
        <w:t> 870.</w:t>
      </w:r>
    </w:p>
  </w:footnote>
  <w:footnote w:id="13">
    <w:p w14:paraId="1308AD45" w14:textId="77777777" w:rsidR="00954CD7" w:rsidRPr="005B6588" w:rsidRDefault="00954CD7" w:rsidP="00954CD7">
      <w:pPr>
        <w:pStyle w:val="FootnoteText"/>
      </w:pPr>
      <w:r w:rsidRPr="005B6588">
        <w:rPr>
          <w:rStyle w:val="FootnoteReference"/>
        </w:rPr>
        <w:footnoteRef/>
      </w:r>
      <w:r w:rsidRPr="005B6588">
        <w:t xml:space="preserve"> </w:t>
      </w:r>
      <w:r w:rsidRPr="005B6588">
        <w:tab/>
      </w:r>
      <w:r w:rsidRPr="005B6588">
        <w:rPr>
          <w:i/>
          <w:iCs/>
          <w:color w:val="000000" w:themeColor="text1"/>
        </w:rPr>
        <w:t>Globe and Phoenix G.M. Company v Rhodesian Corporation</w:t>
      </w:r>
      <w:r w:rsidRPr="005B6588">
        <w:rPr>
          <w:color w:val="000000" w:themeColor="text1"/>
        </w:rPr>
        <w:t> </w:t>
      </w:r>
      <w:hyperlink r:id="rId5" w:history="1">
        <w:r w:rsidRPr="005B6588">
          <w:rPr>
            <w:rStyle w:val="Hyperlink"/>
            <w:color w:val="000000" w:themeColor="text1"/>
            <w:u w:val="none"/>
          </w:rPr>
          <w:t>1932 AD 146</w:t>
        </w:r>
      </w:hyperlink>
      <w:r w:rsidRPr="005B6588">
        <w:rPr>
          <w:color w:val="000000" w:themeColor="text1"/>
        </w:rPr>
        <w:t>.</w:t>
      </w:r>
      <w:r>
        <w:rPr>
          <w:color w:val="000000" w:themeColor="text1"/>
        </w:rPr>
        <w:t xml:space="preserve"> See also </w:t>
      </w:r>
      <w:r w:rsidRPr="005B6588">
        <w:rPr>
          <w:i/>
          <w:iCs/>
          <w:color w:val="000000" w:themeColor="text1"/>
        </w:rPr>
        <w:t>Mathale v Linda</w:t>
      </w:r>
      <w:r w:rsidRPr="005B6588">
        <w:rPr>
          <w:color w:val="000000" w:themeColor="text1"/>
        </w:rPr>
        <w:t> </w:t>
      </w:r>
      <w:hyperlink r:id="rId6" w:anchor="y2016v2SApg461" w:history="1">
        <w:r w:rsidRPr="005B6588">
          <w:rPr>
            <w:rStyle w:val="Hyperlink"/>
            <w:color w:val="000000" w:themeColor="text1"/>
            <w:u w:val="none"/>
          </w:rPr>
          <w:t>2016 (2) SA 461 (CC)</w:t>
        </w:r>
      </w:hyperlink>
      <w:r>
        <w:rPr>
          <w:rStyle w:val="Hyperlink"/>
          <w:color w:val="000000" w:themeColor="text1"/>
          <w:u w:val="none"/>
        </w:rPr>
        <w:t>.</w:t>
      </w:r>
    </w:p>
  </w:footnote>
  <w:footnote w:id="14">
    <w:p w14:paraId="081E6565" w14:textId="77777777" w:rsidR="002623D6" w:rsidRPr="005B6588" w:rsidRDefault="002623D6" w:rsidP="002623D6">
      <w:pPr>
        <w:pStyle w:val="FootnoteText"/>
      </w:pPr>
      <w:r w:rsidRPr="00B34AFD">
        <w:rPr>
          <w:rStyle w:val="FootnoteReference"/>
        </w:rPr>
        <w:footnoteRef/>
      </w:r>
      <w:r w:rsidRPr="00B34AFD">
        <w:t xml:space="preserve"> </w:t>
      </w:r>
      <w:r w:rsidRPr="00B34AFD">
        <w:tab/>
      </w:r>
      <w:r w:rsidRPr="00B34AFD">
        <w:rPr>
          <w:i/>
          <w:iCs/>
        </w:rPr>
        <w:t>Zweni v Minister of Law and Order</w:t>
      </w:r>
      <w:r w:rsidRPr="005B6588">
        <w:t xml:space="preserve"> 1993 (1) SA 523 (A) 531</w:t>
      </w:r>
      <w:r>
        <w:t>E</w:t>
      </w:r>
      <w:r w:rsidRPr="005B6588">
        <w:t xml:space="preserve"> to 533B</w:t>
      </w:r>
      <w:r>
        <w:t>.</w:t>
      </w:r>
    </w:p>
  </w:footnote>
  <w:footnote w:id="15">
    <w:p w14:paraId="4EEBD947" w14:textId="77777777" w:rsidR="00954CD7" w:rsidRDefault="00954CD7" w:rsidP="00954CD7">
      <w:pPr>
        <w:pStyle w:val="FootnoteText"/>
      </w:pPr>
      <w:r>
        <w:rPr>
          <w:rStyle w:val="FootnoteReference"/>
        </w:rPr>
        <w:footnoteRef/>
      </w:r>
      <w:r>
        <w:t xml:space="preserve"> </w:t>
      </w:r>
      <w:r>
        <w:tab/>
      </w:r>
      <w:r>
        <w:rPr>
          <w:rFonts w:cs="Arial"/>
          <w:color w:val="000000" w:themeColor="text1"/>
          <w:szCs w:val="22"/>
          <w:shd w:val="clear" w:color="auto" w:fill="FFFFFF"/>
          <w:lang w:val="en-GB"/>
        </w:rPr>
        <w:t xml:space="preserve">The Constitutional Court has also held in respect of an appeal directly to the Constitutional Court against the granting of an interim interdict in terms of section 167(6)(b) of the Constitution, 1996, the </w:t>
      </w:r>
      <w:r w:rsidRPr="00B0141D">
        <w:t xml:space="preserve">common-law requirements for appealability of interim orders was now subsumed under </w:t>
      </w:r>
      <w:r>
        <w:t xml:space="preserve">the </w:t>
      </w:r>
      <w:r w:rsidRPr="00B0141D">
        <w:t xml:space="preserve">constitutional </w:t>
      </w:r>
      <w:r w:rsidRPr="00667154">
        <w:rPr>
          <w:i/>
          <w:iCs/>
        </w:rPr>
        <w:t>“interest of justice”</w:t>
      </w:r>
      <w:r w:rsidRPr="00B0141D">
        <w:t xml:space="preserve"> standard</w:t>
      </w:r>
      <w:r>
        <w:t xml:space="preserve">: </w:t>
      </w:r>
      <w:r w:rsidRPr="004318C5">
        <w:rPr>
          <w:i/>
          <w:iCs/>
        </w:rPr>
        <w:t>Tshwane City v Afriforum and Another</w:t>
      </w:r>
      <w:r>
        <w:t xml:space="preserve"> </w:t>
      </w:r>
      <w:r w:rsidRPr="00B0141D">
        <w:t>2016 (6) SA 279 (CC)</w:t>
      </w:r>
      <w:r>
        <w:t xml:space="preserve"> paras 40, 41 and 179.</w:t>
      </w:r>
    </w:p>
  </w:footnote>
  <w:footnote w:id="16">
    <w:p w14:paraId="48FB4EE3" w14:textId="00075CAF" w:rsidR="00954CD7" w:rsidRPr="00B34AFD" w:rsidRDefault="00954CD7" w:rsidP="00954CD7">
      <w:pPr>
        <w:pStyle w:val="FootnoteText"/>
      </w:pPr>
      <w:r>
        <w:rPr>
          <w:rStyle w:val="FootnoteReference"/>
        </w:rPr>
        <w:footnoteRef/>
      </w:r>
      <w:r>
        <w:t xml:space="preserve"> </w:t>
      </w:r>
      <w:r>
        <w:tab/>
      </w:r>
      <w:r w:rsidRPr="00B34AFD">
        <w:rPr>
          <w:rFonts w:cs="Arial"/>
          <w:i/>
          <w:iCs/>
          <w:color w:val="000000" w:themeColor="text1"/>
          <w:shd w:val="clear" w:color="auto" w:fill="FFFFFF"/>
        </w:rPr>
        <w:t>International Trade Administration Commission v SCAW South Africa (Pty) Ltd</w:t>
      </w:r>
      <w:r w:rsidRPr="00B34AFD">
        <w:rPr>
          <w:rFonts w:cs="Arial"/>
          <w:color w:val="000000" w:themeColor="text1"/>
          <w:shd w:val="clear" w:color="auto" w:fill="FFFFFF"/>
        </w:rPr>
        <w:t> </w:t>
      </w:r>
      <w:hyperlink r:id="rId7" w:history="1">
        <w:r w:rsidRPr="00B34AFD">
          <w:rPr>
            <w:rStyle w:val="Hyperlink"/>
            <w:rFonts w:cs="Arial"/>
            <w:color w:val="000000" w:themeColor="text1"/>
            <w:u w:val="none"/>
            <w:shd w:val="clear" w:color="auto" w:fill="FFFFFF"/>
          </w:rPr>
          <w:t>2012 (4) SA 618 (CC)</w:t>
        </w:r>
      </w:hyperlink>
      <w:r w:rsidRPr="00B34AFD">
        <w:rPr>
          <w:rFonts w:cs="Arial"/>
          <w:color w:val="000000" w:themeColor="text1"/>
        </w:rPr>
        <w:t xml:space="preserve"> para 53.</w:t>
      </w:r>
      <w:r w:rsidR="00B6305F">
        <w:rPr>
          <w:rFonts w:cs="Arial"/>
          <w:color w:val="000000" w:themeColor="text1"/>
        </w:rPr>
        <w:t xml:space="preserve"> See also</w:t>
      </w:r>
      <w:r w:rsidR="00B6305F">
        <w:t xml:space="preserve"> </w:t>
      </w:r>
      <w:r w:rsidR="00B6305F" w:rsidRPr="00B6305F">
        <w:rPr>
          <w:i/>
          <w:iCs/>
        </w:rPr>
        <w:t>Khumalo and Others v Holomisa</w:t>
      </w:r>
      <w:r w:rsidR="00B6305F" w:rsidRPr="002B55C7">
        <w:t xml:space="preserve"> 2002 (5) SA 401 (CC)</w:t>
      </w:r>
      <w:r w:rsidR="00B6305F">
        <w:t xml:space="preserve"> </w:t>
      </w:r>
      <w:r w:rsidR="00B6305F" w:rsidRPr="002B55C7">
        <w:t>para 8</w:t>
      </w:r>
      <w:r w:rsidR="00B6305F">
        <w:t xml:space="preserve">, </w:t>
      </w:r>
      <w:r w:rsidR="00B6305F" w:rsidRPr="00B6305F">
        <w:rPr>
          <w:i/>
          <w:iCs/>
        </w:rPr>
        <w:t>S v Western Areas Ltd and Others</w:t>
      </w:r>
      <w:r w:rsidR="00B6305F" w:rsidRPr="002B55C7">
        <w:t xml:space="preserve"> 2005 (5) SA 214 (SCA) paras 25 – 26</w:t>
      </w:r>
    </w:p>
  </w:footnote>
  <w:footnote w:id="17">
    <w:p w14:paraId="0EE3B84E" w14:textId="17517FA3" w:rsidR="00F6458E" w:rsidRDefault="00F6458E">
      <w:pPr>
        <w:pStyle w:val="FootnoteText"/>
      </w:pPr>
      <w:r>
        <w:rPr>
          <w:rStyle w:val="FootnoteReference"/>
        </w:rPr>
        <w:footnoteRef/>
      </w:r>
      <w:r>
        <w:t xml:space="preserve"> </w:t>
      </w:r>
      <w:r>
        <w:tab/>
      </w:r>
      <w:r w:rsidRPr="00B6305F">
        <w:rPr>
          <w:i/>
          <w:iCs/>
        </w:rPr>
        <w:t>Philani-Ma-Afrika and Others v Mailula and Others</w:t>
      </w:r>
      <w:r w:rsidRPr="002B55C7">
        <w:t xml:space="preserve"> 2010 (2) SA 573 (SCA)</w:t>
      </w:r>
      <w:r w:rsidR="006851BE">
        <w:t xml:space="preserve"> para 20.</w:t>
      </w:r>
    </w:p>
  </w:footnote>
  <w:footnote w:id="18">
    <w:p w14:paraId="13C5C951" w14:textId="0951D376" w:rsidR="008B2BC6" w:rsidRDefault="008B2BC6">
      <w:pPr>
        <w:pStyle w:val="FootnoteText"/>
      </w:pPr>
      <w:r>
        <w:rPr>
          <w:rStyle w:val="FootnoteReference"/>
        </w:rPr>
        <w:footnoteRef/>
      </w:r>
      <w:r>
        <w:t xml:space="preserve"> </w:t>
      </w:r>
      <w:r>
        <w:tab/>
        <w:t>This judgment was concerned with the dismissal of an objection to an indictment or charge in criminal proceedings.</w:t>
      </w:r>
    </w:p>
  </w:footnote>
  <w:footnote w:id="19">
    <w:p w14:paraId="44F75299" w14:textId="652AADD2" w:rsidR="008B2BC6" w:rsidRDefault="008B2BC6">
      <w:pPr>
        <w:pStyle w:val="FootnoteText"/>
      </w:pPr>
      <w:r>
        <w:rPr>
          <w:rStyle w:val="FootnoteReference"/>
        </w:rPr>
        <w:footnoteRef/>
      </w:r>
      <w:r>
        <w:t xml:space="preserve"> </w:t>
      </w:r>
      <w:r>
        <w:tab/>
        <w:t>In this case the Constitutional Court was seized with an application for leave to appeal on a constitutional matter.</w:t>
      </w:r>
    </w:p>
  </w:footnote>
  <w:footnote w:id="20">
    <w:p w14:paraId="6C0E28FD" w14:textId="7C0B3885" w:rsidR="00954CD7" w:rsidRPr="00B34AFD" w:rsidRDefault="00954CD7" w:rsidP="00954CD7">
      <w:pPr>
        <w:pStyle w:val="FootnoteText"/>
      </w:pPr>
      <w:r w:rsidRPr="00B34AFD">
        <w:rPr>
          <w:rStyle w:val="FootnoteReference"/>
        </w:rPr>
        <w:footnoteRef/>
      </w:r>
      <w:r w:rsidRPr="00B34AFD">
        <w:t xml:space="preserve"> </w:t>
      </w:r>
      <w:r w:rsidRPr="00B34AFD">
        <w:tab/>
      </w:r>
      <w:r w:rsidRPr="00B34AFD">
        <w:rPr>
          <w:i/>
          <w:iCs/>
        </w:rPr>
        <w:t>Nova Property Group Holdings Ltd and Others v Cobbett and Another</w:t>
      </w:r>
      <w:r w:rsidRPr="00B34AFD">
        <w:t xml:space="preserve"> 2016 (4) SA 317 (SCA)</w:t>
      </w:r>
      <w:r w:rsidR="002623D6">
        <w:t xml:space="preserve"> paras 8 to 11</w:t>
      </w:r>
      <w:r w:rsidRPr="00B34AFD">
        <w:t>.</w:t>
      </w:r>
      <w:r w:rsidR="00B6305F">
        <w:t xml:space="preserve"> </w:t>
      </w:r>
    </w:p>
  </w:footnote>
  <w:footnote w:id="21">
    <w:p w14:paraId="737F46ED" w14:textId="625549ED" w:rsidR="007B66CE" w:rsidRDefault="007B66CE">
      <w:pPr>
        <w:pStyle w:val="FootnoteText"/>
      </w:pPr>
      <w:r>
        <w:rPr>
          <w:rStyle w:val="FootnoteReference"/>
        </w:rPr>
        <w:footnoteRef/>
      </w:r>
      <w:r>
        <w:t xml:space="preserve"> </w:t>
      </w:r>
      <w:r>
        <w:tab/>
        <w:t>Section 26(2) of the Companies Act, 71 of 2008.</w:t>
      </w:r>
    </w:p>
  </w:footnote>
  <w:footnote w:id="22">
    <w:p w14:paraId="45368938" w14:textId="7A7FF257" w:rsidR="007F50C6" w:rsidRDefault="007F50C6">
      <w:pPr>
        <w:pStyle w:val="FootnoteText"/>
      </w:pPr>
      <w:r>
        <w:rPr>
          <w:rStyle w:val="FootnoteReference"/>
        </w:rPr>
        <w:footnoteRef/>
      </w:r>
      <w:r>
        <w:t xml:space="preserve"> </w:t>
      </w:r>
      <w:r>
        <w:rPr>
          <w:i/>
          <w:iCs/>
        </w:rPr>
        <w:t xml:space="preserve">Democratic Alliance v Mkhwebane </w:t>
      </w:r>
      <w:r>
        <w:t>2021 (3) SA 403 (SCA) para 41.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080FA257"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2E3660">
      <w:rPr>
        <w:rFonts w:cs="Arial"/>
        <w:noProof/>
        <w:sz w:val="20"/>
        <w:szCs w:val="20"/>
        <w:lang w:val="en-GB"/>
      </w:rPr>
      <w:t>12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92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D6D2F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
  </w:num>
  <w:num w:numId="2">
    <w:abstractNumId w:val="2"/>
  </w:num>
  <w:num w:numId="3">
    <w:abstractNumId w:val="10"/>
  </w:num>
  <w:num w:numId="4">
    <w:abstractNumId w:val="5"/>
  </w:num>
  <w:num w:numId="5">
    <w:abstractNumId w:val="9"/>
  </w:num>
  <w:num w:numId="6">
    <w:abstractNumId w:val="8"/>
  </w:num>
  <w:num w:numId="7">
    <w:abstractNumId w:val="1"/>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92"/>
    <w:rsid w:val="00006113"/>
    <w:rsid w:val="0001111B"/>
    <w:rsid w:val="0001140A"/>
    <w:rsid w:val="00011522"/>
    <w:rsid w:val="00012021"/>
    <w:rsid w:val="00013B7F"/>
    <w:rsid w:val="00015D74"/>
    <w:rsid w:val="000179FE"/>
    <w:rsid w:val="00024A29"/>
    <w:rsid w:val="000262B3"/>
    <w:rsid w:val="000325E2"/>
    <w:rsid w:val="00041783"/>
    <w:rsid w:val="00041975"/>
    <w:rsid w:val="00047F26"/>
    <w:rsid w:val="00050086"/>
    <w:rsid w:val="000504F1"/>
    <w:rsid w:val="00057775"/>
    <w:rsid w:val="00057B83"/>
    <w:rsid w:val="000617FB"/>
    <w:rsid w:val="00063F7B"/>
    <w:rsid w:val="0006504D"/>
    <w:rsid w:val="00070EBF"/>
    <w:rsid w:val="000737E1"/>
    <w:rsid w:val="00073E30"/>
    <w:rsid w:val="00074F4A"/>
    <w:rsid w:val="00075D16"/>
    <w:rsid w:val="000833BB"/>
    <w:rsid w:val="0009488C"/>
    <w:rsid w:val="00096EAD"/>
    <w:rsid w:val="00097968"/>
    <w:rsid w:val="00097CC2"/>
    <w:rsid w:val="000A6AD8"/>
    <w:rsid w:val="000B0222"/>
    <w:rsid w:val="000B1551"/>
    <w:rsid w:val="000B21DA"/>
    <w:rsid w:val="000D1F6D"/>
    <w:rsid w:val="000D55D3"/>
    <w:rsid w:val="000D5760"/>
    <w:rsid w:val="000D7C9A"/>
    <w:rsid w:val="000D7D6A"/>
    <w:rsid w:val="000E5343"/>
    <w:rsid w:val="000E5BD9"/>
    <w:rsid w:val="000F59F8"/>
    <w:rsid w:val="00104142"/>
    <w:rsid w:val="001130FD"/>
    <w:rsid w:val="00113B92"/>
    <w:rsid w:val="001142D1"/>
    <w:rsid w:val="00120FB1"/>
    <w:rsid w:val="00130253"/>
    <w:rsid w:val="00133E81"/>
    <w:rsid w:val="00140CED"/>
    <w:rsid w:val="00142746"/>
    <w:rsid w:val="00147FF5"/>
    <w:rsid w:val="00152028"/>
    <w:rsid w:val="00152899"/>
    <w:rsid w:val="00155A21"/>
    <w:rsid w:val="0015688A"/>
    <w:rsid w:val="00163904"/>
    <w:rsid w:val="001671C1"/>
    <w:rsid w:val="00172628"/>
    <w:rsid w:val="00174CC4"/>
    <w:rsid w:val="001839B2"/>
    <w:rsid w:val="00185ACF"/>
    <w:rsid w:val="00190579"/>
    <w:rsid w:val="00196E14"/>
    <w:rsid w:val="001A522A"/>
    <w:rsid w:val="001B1D39"/>
    <w:rsid w:val="001B2A05"/>
    <w:rsid w:val="001B3EF2"/>
    <w:rsid w:val="001B4217"/>
    <w:rsid w:val="001B5D3E"/>
    <w:rsid w:val="001B606B"/>
    <w:rsid w:val="001C2935"/>
    <w:rsid w:val="001C5F77"/>
    <w:rsid w:val="001D3CC2"/>
    <w:rsid w:val="001E2EED"/>
    <w:rsid w:val="001F0A29"/>
    <w:rsid w:val="001F0E46"/>
    <w:rsid w:val="001F1C0B"/>
    <w:rsid w:val="001F3DBD"/>
    <w:rsid w:val="001F648A"/>
    <w:rsid w:val="001F653E"/>
    <w:rsid w:val="001F72D5"/>
    <w:rsid w:val="00201620"/>
    <w:rsid w:val="00204B07"/>
    <w:rsid w:val="00205392"/>
    <w:rsid w:val="002104BF"/>
    <w:rsid w:val="002120E9"/>
    <w:rsid w:val="00215824"/>
    <w:rsid w:val="00216BC8"/>
    <w:rsid w:val="0022218D"/>
    <w:rsid w:val="00224216"/>
    <w:rsid w:val="00226926"/>
    <w:rsid w:val="00232528"/>
    <w:rsid w:val="00237FF9"/>
    <w:rsid w:val="00242D29"/>
    <w:rsid w:val="00244F23"/>
    <w:rsid w:val="00253F38"/>
    <w:rsid w:val="002623D6"/>
    <w:rsid w:val="00262819"/>
    <w:rsid w:val="002775D6"/>
    <w:rsid w:val="00280459"/>
    <w:rsid w:val="002811B1"/>
    <w:rsid w:val="00281EB7"/>
    <w:rsid w:val="00285040"/>
    <w:rsid w:val="00285062"/>
    <w:rsid w:val="002A030C"/>
    <w:rsid w:val="002C15AC"/>
    <w:rsid w:val="002C39B3"/>
    <w:rsid w:val="002C4687"/>
    <w:rsid w:val="002C7670"/>
    <w:rsid w:val="002D23B9"/>
    <w:rsid w:val="002D418D"/>
    <w:rsid w:val="002D47B3"/>
    <w:rsid w:val="002E0401"/>
    <w:rsid w:val="002E3660"/>
    <w:rsid w:val="002E5B57"/>
    <w:rsid w:val="002E6CD7"/>
    <w:rsid w:val="002E753F"/>
    <w:rsid w:val="002F1C4D"/>
    <w:rsid w:val="002F72D3"/>
    <w:rsid w:val="002F7F41"/>
    <w:rsid w:val="00302290"/>
    <w:rsid w:val="00302C31"/>
    <w:rsid w:val="003047C2"/>
    <w:rsid w:val="0030653F"/>
    <w:rsid w:val="003102C8"/>
    <w:rsid w:val="003108A1"/>
    <w:rsid w:val="0031117B"/>
    <w:rsid w:val="00312EBC"/>
    <w:rsid w:val="00313056"/>
    <w:rsid w:val="00313301"/>
    <w:rsid w:val="003141A1"/>
    <w:rsid w:val="00315155"/>
    <w:rsid w:val="0033385A"/>
    <w:rsid w:val="00337135"/>
    <w:rsid w:val="0034147B"/>
    <w:rsid w:val="00342E02"/>
    <w:rsid w:val="003463D6"/>
    <w:rsid w:val="00346D31"/>
    <w:rsid w:val="00346DE6"/>
    <w:rsid w:val="003540D6"/>
    <w:rsid w:val="003543C5"/>
    <w:rsid w:val="00354EF2"/>
    <w:rsid w:val="00357081"/>
    <w:rsid w:val="00357D35"/>
    <w:rsid w:val="00363FCD"/>
    <w:rsid w:val="0036436B"/>
    <w:rsid w:val="00364C43"/>
    <w:rsid w:val="00367720"/>
    <w:rsid w:val="0037029D"/>
    <w:rsid w:val="00373181"/>
    <w:rsid w:val="00381213"/>
    <w:rsid w:val="003840EC"/>
    <w:rsid w:val="00390C3F"/>
    <w:rsid w:val="00393127"/>
    <w:rsid w:val="003A09D9"/>
    <w:rsid w:val="003A7864"/>
    <w:rsid w:val="003B4100"/>
    <w:rsid w:val="003C1A16"/>
    <w:rsid w:val="003C1E91"/>
    <w:rsid w:val="003C650E"/>
    <w:rsid w:val="003C79F4"/>
    <w:rsid w:val="003D19C3"/>
    <w:rsid w:val="003D36F9"/>
    <w:rsid w:val="003D77F1"/>
    <w:rsid w:val="003E0A89"/>
    <w:rsid w:val="003E6422"/>
    <w:rsid w:val="003F1F49"/>
    <w:rsid w:val="003F3EE4"/>
    <w:rsid w:val="003F7448"/>
    <w:rsid w:val="004056A0"/>
    <w:rsid w:val="00407F28"/>
    <w:rsid w:val="0041100A"/>
    <w:rsid w:val="00411CC6"/>
    <w:rsid w:val="004131C5"/>
    <w:rsid w:val="00416FFE"/>
    <w:rsid w:val="004209F4"/>
    <w:rsid w:val="0042423E"/>
    <w:rsid w:val="004339E6"/>
    <w:rsid w:val="0043683A"/>
    <w:rsid w:val="00440564"/>
    <w:rsid w:val="00441422"/>
    <w:rsid w:val="00445DCB"/>
    <w:rsid w:val="00446DFE"/>
    <w:rsid w:val="0045044C"/>
    <w:rsid w:val="00450A9C"/>
    <w:rsid w:val="00460495"/>
    <w:rsid w:val="004630B6"/>
    <w:rsid w:val="00474607"/>
    <w:rsid w:val="00474910"/>
    <w:rsid w:val="004749AF"/>
    <w:rsid w:val="00475410"/>
    <w:rsid w:val="004802AA"/>
    <w:rsid w:val="00484116"/>
    <w:rsid w:val="0048424E"/>
    <w:rsid w:val="00486F42"/>
    <w:rsid w:val="00487D14"/>
    <w:rsid w:val="00490D65"/>
    <w:rsid w:val="00492C65"/>
    <w:rsid w:val="004A2C7E"/>
    <w:rsid w:val="004A6625"/>
    <w:rsid w:val="004A7DFE"/>
    <w:rsid w:val="004B21D9"/>
    <w:rsid w:val="004B52E4"/>
    <w:rsid w:val="004C0CE3"/>
    <w:rsid w:val="004C368B"/>
    <w:rsid w:val="004C4BEA"/>
    <w:rsid w:val="004D1A31"/>
    <w:rsid w:val="004D262A"/>
    <w:rsid w:val="004D2C6F"/>
    <w:rsid w:val="004D2E01"/>
    <w:rsid w:val="004E232C"/>
    <w:rsid w:val="004E568C"/>
    <w:rsid w:val="004E589C"/>
    <w:rsid w:val="004E5AD8"/>
    <w:rsid w:val="004F12D8"/>
    <w:rsid w:val="004F22A6"/>
    <w:rsid w:val="00504B53"/>
    <w:rsid w:val="00507B16"/>
    <w:rsid w:val="0051015D"/>
    <w:rsid w:val="00511960"/>
    <w:rsid w:val="0051292D"/>
    <w:rsid w:val="0051442D"/>
    <w:rsid w:val="00515BE7"/>
    <w:rsid w:val="0051622D"/>
    <w:rsid w:val="00517634"/>
    <w:rsid w:val="005219EB"/>
    <w:rsid w:val="005222CB"/>
    <w:rsid w:val="005262C2"/>
    <w:rsid w:val="0052705A"/>
    <w:rsid w:val="005338F3"/>
    <w:rsid w:val="005356E2"/>
    <w:rsid w:val="00537A72"/>
    <w:rsid w:val="00543A74"/>
    <w:rsid w:val="0054492E"/>
    <w:rsid w:val="00556E08"/>
    <w:rsid w:val="00571E81"/>
    <w:rsid w:val="005722EC"/>
    <w:rsid w:val="00573FF9"/>
    <w:rsid w:val="005746DF"/>
    <w:rsid w:val="00576B16"/>
    <w:rsid w:val="005827A6"/>
    <w:rsid w:val="00582CCA"/>
    <w:rsid w:val="00590BEE"/>
    <w:rsid w:val="0059527A"/>
    <w:rsid w:val="00595988"/>
    <w:rsid w:val="005A0947"/>
    <w:rsid w:val="005A1221"/>
    <w:rsid w:val="005A313A"/>
    <w:rsid w:val="005A3519"/>
    <w:rsid w:val="005A680F"/>
    <w:rsid w:val="005B07CB"/>
    <w:rsid w:val="005B2FF9"/>
    <w:rsid w:val="005B51B7"/>
    <w:rsid w:val="005B6D81"/>
    <w:rsid w:val="005B7DD3"/>
    <w:rsid w:val="005C7FC2"/>
    <w:rsid w:val="005D2408"/>
    <w:rsid w:val="005D2A8B"/>
    <w:rsid w:val="005D505C"/>
    <w:rsid w:val="005D6122"/>
    <w:rsid w:val="005D6E80"/>
    <w:rsid w:val="005E04C5"/>
    <w:rsid w:val="005E2F7B"/>
    <w:rsid w:val="005E3720"/>
    <w:rsid w:val="005E3C94"/>
    <w:rsid w:val="005E5C01"/>
    <w:rsid w:val="005E7118"/>
    <w:rsid w:val="005F37A4"/>
    <w:rsid w:val="005F7075"/>
    <w:rsid w:val="006007DB"/>
    <w:rsid w:val="00602403"/>
    <w:rsid w:val="006041A4"/>
    <w:rsid w:val="006109EC"/>
    <w:rsid w:val="00611D8A"/>
    <w:rsid w:val="006150CE"/>
    <w:rsid w:val="006165F4"/>
    <w:rsid w:val="0062327C"/>
    <w:rsid w:val="00625916"/>
    <w:rsid w:val="00627578"/>
    <w:rsid w:val="00632C84"/>
    <w:rsid w:val="00632E93"/>
    <w:rsid w:val="006330D9"/>
    <w:rsid w:val="00635A69"/>
    <w:rsid w:val="00636520"/>
    <w:rsid w:val="00642664"/>
    <w:rsid w:val="00644BBE"/>
    <w:rsid w:val="0064589D"/>
    <w:rsid w:val="00647DDD"/>
    <w:rsid w:val="00653BA4"/>
    <w:rsid w:val="00657EDA"/>
    <w:rsid w:val="006609A2"/>
    <w:rsid w:val="00660C84"/>
    <w:rsid w:val="0066194B"/>
    <w:rsid w:val="00666567"/>
    <w:rsid w:val="00666D4D"/>
    <w:rsid w:val="00675A19"/>
    <w:rsid w:val="00683FD5"/>
    <w:rsid w:val="006851BE"/>
    <w:rsid w:val="006858DA"/>
    <w:rsid w:val="006902F1"/>
    <w:rsid w:val="006906EF"/>
    <w:rsid w:val="006918E9"/>
    <w:rsid w:val="006951CE"/>
    <w:rsid w:val="0069768D"/>
    <w:rsid w:val="006A438B"/>
    <w:rsid w:val="006B1E87"/>
    <w:rsid w:val="006B437C"/>
    <w:rsid w:val="006B514A"/>
    <w:rsid w:val="006C4213"/>
    <w:rsid w:val="006C43D7"/>
    <w:rsid w:val="006C5694"/>
    <w:rsid w:val="006C6A2F"/>
    <w:rsid w:val="006D2280"/>
    <w:rsid w:val="006D4128"/>
    <w:rsid w:val="006D4867"/>
    <w:rsid w:val="006E68E6"/>
    <w:rsid w:val="006E6FF1"/>
    <w:rsid w:val="006F25E5"/>
    <w:rsid w:val="006F2FCE"/>
    <w:rsid w:val="006F415C"/>
    <w:rsid w:val="00706E4E"/>
    <w:rsid w:val="0071437E"/>
    <w:rsid w:val="0071441C"/>
    <w:rsid w:val="007205BF"/>
    <w:rsid w:val="007241D4"/>
    <w:rsid w:val="00724D82"/>
    <w:rsid w:val="00732A6F"/>
    <w:rsid w:val="007347D1"/>
    <w:rsid w:val="00736453"/>
    <w:rsid w:val="0074214D"/>
    <w:rsid w:val="00742764"/>
    <w:rsid w:val="00751452"/>
    <w:rsid w:val="0075156A"/>
    <w:rsid w:val="00751F90"/>
    <w:rsid w:val="007535CE"/>
    <w:rsid w:val="007536B7"/>
    <w:rsid w:val="00754833"/>
    <w:rsid w:val="007556DF"/>
    <w:rsid w:val="00761C35"/>
    <w:rsid w:val="007656EA"/>
    <w:rsid w:val="00766026"/>
    <w:rsid w:val="00772025"/>
    <w:rsid w:val="00781AA0"/>
    <w:rsid w:val="0078382D"/>
    <w:rsid w:val="007A6E29"/>
    <w:rsid w:val="007B088D"/>
    <w:rsid w:val="007B165A"/>
    <w:rsid w:val="007B2DAD"/>
    <w:rsid w:val="007B66CE"/>
    <w:rsid w:val="007B7246"/>
    <w:rsid w:val="007B78C2"/>
    <w:rsid w:val="007C23FF"/>
    <w:rsid w:val="007C5008"/>
    <w:rsid w:val="007D1E79"/>
    <w:rsid w:val="007D27CF"/>
    <w:rsid w:val="007D4DAF"/>
    <w:rsid w:val="007D6488"/>
    <w:rsid w:val="007D6C24"/>
    <w:rsid w:val="007E1F4F"/>
    <w:rsid w:val="007E468A"/>
    <w:rsid w:val="007E58FC"/>
    <w:rsid w:val="007F207F"/>
    <w:rsid w:val="007F50C6"/>
    <w:rsid w:val="007F5B91"/>
    <w:rsid w:val="00801B4F"/>
    <w:rsid w:val="00803CEC"/>
    <w:rsid w:val="00803D40"/>
    <w:rsid w:val="00810CA3"/>
    <w:rsid w:val="0082054C"/>
    <w:rsid w:val="00822050"/>
    <w:rsid w:val="00830952"/>
    <w:rsid w:val="00830F84"/>
    <w:rsid w:val="00841468"/>
    <w:rsid w:val="00842F52"/>
    <w:rsid w:val="00843AD1"/>
    <w:rsid w:val="008443A9"/>
    <w:rsid w:val="008469B3"/>
    <w:rsid w:val="00852390"/>
    <w:rsid w:val="00860576"/>
    <w:rsid w:val="008674AA"/>
    <w:rsid w:val="008675CC"/>
    <w:rsid w:val="00870DDD"/>
    <w:rsid w:val="00877DCC"/>
    <w:rsid w:val="0088094C"/>
    <w:rsid w:val="00881004"/>
    <w:rsid w:val="00882C40"/>
    <w:rsid w:val="00883EE8"/>
    <w:rsid w:val="00884467"/>
    <w:rsid w:val="008942FC"/>
    <w:rsid w:val="008944EC"/>
    <w:rsid w:val="00895598"/>
    <w:rsid w:val="0089586A"/>
    <w:rsid w:val="008A082A"/>
    <w:rsid w:val="008A359C"/>
    <w:rsid w:val="008A4DF4"/>
    <w:rsid w:val="008B1DA9"/>
    <w:rsid w:val="008B2BC6"/>
    <w:rsid w:val="008B6162"/>
    <w:rsid w:val="008C0B63"/>
    <w:rsid w:val="008C20E7"/>
    <w:rsid w:val="008C3EBC"/>
    <w:rsid w:val="008C57F6"/>
    <w:rsid w:val="008C5DB7"/>
    <w:rsid w:val="008C69FC"/>
    <w:rsid w:val="008C6BA7"/>
    <w:rsid w:val="008D33A3"/>
    <w:rsid w:val="008D4715"/>
    <w:rsid w:val="008D4C93"/>
    <w:rsid w:val="008E0756"/>
    <w:rsid w:val="008F189C"/>
    <w:rsid w:val="008F1FE1"/>
    <w:rsid w:val="008F25A7"/>
    <w:rsid w:val="008F4486"/>
    <w:rsid w:val="008F4FC6"/>
    <w:rsid w:val="00900F7B"/>
    <w:rsid w:val="00902179"/>
    <w:rsid w:val="00911DD6"/>
    <w:rsid w:val="0091544C"/>
    <w:rsid w:val="009164BE"/>
    <w:rsid w:val="00921D03"/>
    <w:rsid w:val="00922AFC"/>
    <w:rsid w:val="00925CD2"/>
    <w:rsid w:val="00933065"/>
    <w:rsid w:val="00933569"/>
    <w:rsid w:val="009365B1"/>
    <w:rsid w:val="0093799C"/>
    <w:rsid w:val="00937DF3"/>
    <w:rsid w:val="00944804"/>
    <w:rsid w:val="009473D8"/>
    <w:rsid w:val="00951D23"/>
    <w:rsid w:val="00953AB5"/>
    <w:rsid w:val="00954CD7"/>
    <w:rsid w:val="009565E0"/>
    <w:rsid w:val="009606EC"/>
    <w:rsid w:val="00960ADF"/>
    <w:rsid w:val="00963A0C"/>
    <w:rsid w:val="00974A92"/>
    <w:rsid w:val="00975270"/>
    <w:rsid w:val="00975BA1"/>
    <w:rsid w:val="00977D45"/>
    <w:rsid w:val="009835E3"/>
    <w:rsid w:val="009869F2"/>
    <w:rsid w:val="00987CDB"/>
    <w:rsid w:val="00994C0D"/>
    <w:rsid w:val="009A2726"/>
    <w:rsid w:val="009A30E0"/>
    <w:rsid w:val="009A3205"/>
    <w:rsid w:val="009A3619"/>
    <w:rsid w:val="009B08AF"/>
    <w:rsid w:val="009B226E"/>
    <w:rsid w:val="009B3DFC"/>
    <w:rsid w:val="009B793E"/>
    <w:rsid w:val="009C0CB4"/>
    <w:rsid w:val="009C1188"/>
    <w:rsid w:val="009C32F8"/>
    <w:rsid w:val="009C37B9"/>
    <w:rsid w:val="009C38E7"/>
    <w:rsid w:val="009D0BFB"/>
    <w:rsid w:val="009D32BD"/>
    <w:rsid w:val="009D35B5"/>
    <w:rsid w:val="009D4486"/>
    <w:rsid w:val="009D6087"/>
    <w:rsid w:val="009E1434"/>
    <w:rsid w:val="009E3300"/>
    <w:rsid w:val="009F211E"/>
    <w:rsid w:val="009F294E"/>
    <w:rsid w:val="009F30F1"/>
    <w:rsid w:val="009F37C7"/>
    <w:rsid w:val="009F50AB"/>
    <w:rsid w:val="009F5F9A"/>
    <w:rsid w:val="00A005F6"/>
    <w:rsid w:val="00A0115D"/>
    <w:rsid w:val="00A0424F"/>
    <w:rsid w:val="00A05080"/>
    <w:rsid w:val="00A06585"/>
    <w:rsid w:val="00A111A4"/>
    <w:rsid w:val="00A23E58"/>
    <w:rsid w:val="00A26214"/>
    <w:rsid w:val="00A35004"/>
    <w:rsid w:val="00A37BA4"/>
    <w:rsid w:val="00A402F6"/>
    <w:rsid w:val="00A42EA2"/>
    <w:rsid w:val="00A43739"/>
    <w:rsid w:val="00A47A18"/>
    <w:rsid w:val="00A51092"/>
    <w:rsid w:val="00A51200"/>
    <w:rsid w:val="00A539CB"/>
    <w:rsid w:val="00A56531"/>
    <w:rsid w:val="00A61C7B"/>
    <w:rsid w:val="00A649E6"/>
    <w:rsid w:val="00A660AF"/>
    <w:rsid w:val="00A70A95"/>
    <w:rsid w:val="00A7621E"/>
    <w:rsid w:val="00A8325E"/>
    <w:rsid w:val="00A85949"/>
    <w:rsid w:val="00A86A7A"/>
    <w:rsid w:val="00A93351"/>
    <w:rsid w:val="00AA0013"/>
    <w:rsid w:val="00AA0A1F"/>
    <w:rsid w:val="00AA26FF"/>
    <w:rsid w:val="00AA343B"/>
    <w:rsid w:val="00AA4B3B"/>
    <w:rsid w:val="00AA6E8C"/>
    <w:rsid w:val="00AA6F19"/>
    <w:rsid w:val="00AA79A8"/>
    <w:rsid w:val="00AA7A76"/>
    <w:rsid w:val="00AB0286"/>
    <w:rsid w:val="00AB4C6D"/>
    <w:rsid w:val="00AB4CE3"/>
    <w:rsid w:val="00AB4DFE"/>
    <w:rsid w:val="00AB511A"/>
    <w:rsid w:val="00AC3DDD"/>
    <w:rsid w:val="00AC4165"/>
    <w:rsid w:val="00AC556A"/>
    <w:rsid w:val="00AC6E56"/>
    <w:rsid w:val="00AD2631"/>
    <w:rsid w:val="00AE287F"/>
    <w:rsid w:val="00AE5F90"/>
    <w:rsid w:val="00AE63BD"/>
    <w:rsid w:val="00AF0B2B"/>
    <w:rsid w:val="00AF285E"/>
    <w:rsid w:val="00AF2914"/>
    <w:rsid w:val="00AF363F"/>
    <w:rsid w:val="00AF3E4F"/>
    <w:rsid w:val="00AF6C6A"/>
    <w:rsid w:val="00B071FF"/>
    <w:rsid w:val="00B11505"/>
    <w:rsid w:val="00B11DC2"/>
    <w:rsid w:val="00B129C7"/>
    <w:rsid w:val="00B139BF"/>
    <w:rsid w:val="00B15142"/>
    <w:rsid w:val="00B224B3"/>
    <w:rsid w:val="00B230F3"/>
    <w:rsid w:val="00B27002"/>
    <w:rsid w:val="00B34AFD"/>
    <w:rsid w:val="00B42807"/>
    <w:rsid w:val="00B428A6"/>
    <w:rsid w:val="00B4670B"/>
    <w:rsid w:val="00B5157D"/>
    <w:rsid w:val="00B52E9E"/>
    <w:rsid w:val="00B53913"/>
    <w:rsid w:val="00B554D4"/>
    <w:rsid w:val="00B56906"/>
    <w:rsid w:val="00B6305F"/>
    <w:rsid w:val="00B7178E"/>
    <w:rsid w:val="00B71CB5"/>
    <w:rsid w:val="00B71D2D"/>
    <w:rsid w:val="00B72922"/>
    <w:rsid w:val="00B72A13"/>
    <w:rsid w:val="00B72ADA"/>
    <w:rsid w:val="00B76CDD"/>
    <w:rsid w:val="00B77BCC"/>
    <w:rsid w:val="00B84DD5"/>
    <w:rsid w:val="00B9026B"/>
    <w:rsid w:val="00B90E3C"/>
    <w:rsid w:val="00B93A82"/>
    <w:rsid w:val="00B9487E"/>
    <w:rsid w:val="00B95910"/>
    <w:rsid w:val="00BA29E7"/>
    <w:rsid w:val="00BA3A4C"/>
    <w:rsid w:val="00BB0F20"/>
    <w:rsid w:val="00BB3911"/>
    <w:rsid w:val="00BB7BF7"/>
    <w:rsid w:val="00BC415B"/>
    <w:rsid w:val="00BD2329"/>
    <w:rsid w:val="00BD2CDE"/>
    <w:rsid w:val="00BD41CF"/>
    <w:rsid w:val="00BE0164"/>
    <w:rsid w:val="00BE064C"/>
    <w:rsid w:val="00BE087D"/>
    <w:rsid w:val="00BE12BD"/>
    <w:rsid w:val="00BE2ED7"/>
    <w:rsid w:val="00BE439B"/>
    <w:rsid w:val="00BE4DD1"/>
    <w:rsid w:val="00BE6AB8"/>
    <w:rsid w:val="00BF086D"/>
    <w:rsid w:val="00BF2167"/>
    <w:rsid w:val="00C04139"/>
    <w:rsid w:val="00C05091"/>
    <w:rsid w:val="00C13353"/>
    <w:rsid w:val="00C1370F"/>
    <w:rsid w:val="00C21B3D"/>
    <w:rsid w:val="00C2763B"/>
    <w:rsid w:val="00C2788D"/>
    <w:rsid w:val="00C32420"/>
    <w:rsid w:val="00C361F6"/>
    <w:rsid w:val="00C3669A"/>
    <w:rsid w:val="00C36742"/>
    <w:rsid w:val="00C40635"/>
    <w:rsid w:val="00C422FC"/>
    <w:rsid w:val="00C423E3"/>
    <w:rsid w:val="00C44BAC"/>
    <w:rsid w:val="00C45551"/>
    <w:rsid w:val="00C45626"/>
    <w:rsid w:val="00C458AF"/>
    <w:rsid w:val="00C460A0"/>
    <w:rsid w:val="00C470C4"/>
    <w:rsid w:val="00C47924"/>
    <w:rsid w:val="00C50068"/>
    <w:rsid w:val="00C5426E"/>
    <w:rsid w:val="00C549F4"/>
    <w:rsid w:val="00C56068"/>
    <w:rsid w:val="00C676F3"/>
    <w:rsid w:val="00C7290C"/>
    <w:rsid w:val="00C75909"/>
    <w:rsid w:val="00C77EFD"/>
    <w:rsid w:val="00C8018E"/>
    <w:rsid w:val="00C819E2"/>
    <w:rsid w:val="00C81A10"/>
    <w:rsid w:val="00C821B3"/>
    <w:rsid w:val="00C8244D"/>
    <w:rsid w:val="00C829DF"/>
    <w:rsid w:val="00C84021"/>
    <w:rsid w:val="00C858D0"/>
    <w:rsid w:val="00C85A9A"/>
    <w:rsid w:val="00C875AE"/>
    <w:rsid w:val="00C930C5"/>
    <w:rsid w:val="00C9310B"/>
    <w:rsid w:val="00CB1536"/>
    <w:rsid w:val="00CB3907"/>
    <w:rsid w:val="00CC0C54"/>
    <w:rsid w:val="00CC1016"/>
    <w:rsid w:val="00CC51C4"/>
    <w:rsid w:val="00CD1721"/>
    <w:rsid w:val="00CD4DDC"/>
    <w:rsid w:val="00CF0BE6"/>
    <w:rsid w:val="00CF2008"/>
    <w:rsid w:val="00CF4188"/>
    <w:rsid w:val="00CF4D1E"/>
    <w:rsid w:val="00CF4E9E"/>
    <w:rsid w:val="00CF7446"/>
    <w:rsid w:val="00CF7848"/>
    <w:rsid w:val="00D0526F"/>
    <w:rsid w:val="00D06213"/>
    <w:rsid w:val="00D10010"/>
    <w:rsid w:val="00D1208B"/>
    <w:rsid w:val="00D12BB7"/>
    <w:rsid w:val="00D13C56"/>
    <w:rsid w:val="00D16646"/>
    <w:rsid w:val="00D21B3F"/>
    <w:rsid w:val="00D309C2"/>
    <w:rsid w:val="00D31882"/>
    <w:rsid w:val="00D31BAB"/>
    <w:rsid w:val="00D34AFB"/>
    <w:rsid w:val="00D35A03"/>
    <w:rsid w:val="00D37377"/>
    <w:rsid w:val="00D45B8C"/>
    <w:rsid w:val="00D5386E"/>
    <w:rsid w:val="00D567E0"/>
    <w:rsid w:val="00D56A09"/>
    <w:rsid w:val="00D630DE"/>
    <w:rsid w:val="00D645C6"/>
    <w:rsid w:val="00D65905"/>
    <w:rsid w:val="00D6600C"/>
    <w:rsid w:val="00D70131"/>
    <w:rsid w:val="00D72F5B"/>
    <w:rsid w:val="00D7327A"/>
    <w:rsid w:val="00D8121C"/>
    <w:rsid w:val="00D828F9"/>
    <w:rsid w:val="00D866B9"/>
    <w:rsid w:val="00D8711B"/>
    <w:rsid w:val="00D9086C"/>
    <w:rsid w:val="00D912E6"/>
    <w:rsid w:val="00D94745"/>
    <w:rsid w:val="00D963D5"/>
    <w:rsid w:val="00DA05C5"/>
    <w:rsid w:val="00DA2ED1"/>
    <w:rsid w:val="00DA41B2"/>
    <w:rsid w:val="00DA5D06"/>
    <w:rsid w:val="00DA7B20"/>
    <w:rsid w:val="00DB3DA4"/>
    <w:rsid w:val="00DB5FC3"/>
    <w:rsid w:val="00DC3BEA"/>
    <w:rsid w:val="00DC621D"/>
    <w:rsid w:val="00DC6A98"/>
    <w:rsid w:val="00DC7245"/>
    <w:rsid w:val="00DC730A"/>
    <w:rsid w:val="00DD12FC"/>
    <w:rsid w:val="00DE080A"/>
    <w:rsid w:val="00DE130A"/>
    <w:rsid w:val="00DE1F21"/>
    <w:rsid w:val="00DE36C4"/>
    <w:rsid w:val="00DE38B2"/>
    <w:rsid w:val="00DF4926"/>
    <w:rsid w:val="00DF71D5"/>
    <w:rsid w:val="00E05572"/>
    <w:rsid w:val="00E05B51"/>
    <w:rsid w:val="00E10B8A"/>
    <w:rsid w:val="00E166FD"/>
    <w:rsid w:val="00E21E66"/>
    <w:rsid w:val="00E229B8"/>
    <w:rsid w:val="00E25706"/>
    <w:rsid w:val="00E264BB"/>
    <w:rsid w:val="00E276DF"/>
    <w:rsid w:val="00E30596"/>
    <w:rsid w:val="00E313B3"/>
    <w:rsid w:val="00E3297F"/>
    <w:rsid w:val="00E33434"/>
    <w:rsid w:val="00E37A5B"/>
    <w:rsid w:val="00E41A7C"/>
    <w:rsid w:val="00E43C23"/>
    <w:rsid w:val="00E45E6A"/>
    <w:rsid w:val="00E50A42"/>
    <w:rsid w:val="00E51A7F"/>
    <w:rsid w:val="00E51E25"/>
    <w:rsid w:val="00E534A9"/>
    <w:rsid w:val="00E56D64"/>
    <w:rsid w:val="00E65BC0"/>
    <w:rsid w:val="00E65FFF"/>
    <w:rsid w:val="00E71CE6"/>
    <w:rsid w:val="00E71E16"/>
    <w:rsid w:val="00E73772"/>
    <w:rsid w:val="00E76641"/>
    <w:rsid w:val="00E80D1F"/>
    <w:rsid w:val="00E84D18"/>
    <w:rsid w:val="00E851E8"/>
    <w:rsid w:val="00E86200"/>
    <w:rsid w:val="00E91F0D"/>
    <w:rsid w:val="00E95703"/>
    <w:rsid w:val="00EA0297"/>
    <w:rsid w:val="00EA3F05"/>
    <w:rsid w:val="00EA57DC"/>
    <w:rsid w:val="00EA5E85"/>
    <w:rsid w:val="00EB0B07"/>
    <w:rsid w:val="00EB1B82"/>
    <w:rsid w:val="00EB635D"/>
    <w:rsid w:val="00EC2D5A"/>
    <w:rsid w:val="00EC3D1E"/>
    <w:rsid w:val="00EC70BC"/>
    <w:rsid w:val="00ED018E"/>
    <w:rsid w:val="00EE23B6"/>
    <w:rsid w:val="00EE2EA9"/>
    <w:rsid w:val="00EE4B1C"/>
    <w:rsid w:val="00EE55F9"/>
    <w:rsid w:val="00EE62A5"/>
    <w:rsid w:val="00F07D68"/>
    <w:rsid w:val="00F11454"/>
    <w:rsid w:val="00F221FC"/>
    <w:rsid w:val="00F228EE"/>
    <w:rsid w:val="00F33609"/>
    <w:rsid w:val="00F3521A"/>
    <w:rsid w:val="00F418BD"/>
    <w:rsid w:val="00F42383"/>
    <w:rsid w:val="00F57AFC"/>
    <w:rsid w:val="00F627E4"/>
    <w:rsid w:val="00F6458E"/>
    <w:rsid w:val="00F65DBD"/>
    <w:rsid w:val="00F669B9"/>
    <w:rsid w:val="00F70C47"/>
    <w:rsid w:val="00F73649"/>
    <w:rsid w:val="00F76329"/>
    <w:rsid w:val="00F80CEE"/>
    <w:rsid w:val="00F83079"/>
    <w:rsid w:val="00F85F62"/>
    <w:rsid w:val="00F86BC7"/>
    <w:rsid w:val="00F92AA4"/>
    <w:rsid w:val="00FA431F"/>
    <w:rsid w:val="00FB59A0"/>
    <w:rsid w:val="00FB6306"/>
    <w:rsid w:val="00FC032F"/>
    <w:rsid w:val="00FC42BD"/>
    <w:rsid w:val="00FC4AC5"/>
    <w:rsid w:val="00FD2E9B"/>
    <w:rsid w:val="00FD538F"/>
    <w:rsid w:val="00FE065B"/>
    <w:rsid w:val="00FE17D2"/>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690A9337-93C8-400D-8FB4-5341E25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ullout">
    <w:name w:val="parafullout"/>
    <w:basedOn w:val="Normal"/>
    <w:rsid w:val="00AB4DFE"/>
    <w:pPr>
      <w:adjustRightInd w:val="0"/>
      <w:spacing w:before="180"/>
      <w:jc w:val="both"/>
      <w:textAlignment w:val="baseline"/>
    </w:pPr>
    <w:rPr>
      <w:rFonts w:ascii="Verdana" w:hAnsi="Verdana"/>
      <w:sz w:val="18"/>
      <w:szCs w:val="20"/>
      <w:lang w:val="en-US" w:eastAsia="en-ZA"/>
    </w:rPr>
  </w:style>
  <w:style w:type="paragraph" w:customStyle="1" w:styleId="footnotes">
    <w:name w:val="footnotes"/>
    <w:basedOn w:val="Normal"/>
    <w:rsid w:val="00AB4DFE"/>
    <w:pPr>
      <w:tabs>
        <w:tab w:val="right" w:pos="397"/>
        <w:tab w:val="left" w:pos="567"/>
      </w:tabs>
      <w:adjustRightInd w:val="0"/>
      <w:ind w:left="567" w:hanging="567"/>
      <w:jc w:val="both"/>
      <w:textAlignment w:val="baseline"/>
    </w:pPr>
    <w:rPr>
      <w:rFonts w:ascii="Verdana" w:hAnsi="Verdana"/>
      <w:sz w:val="16"/>
      <w:szCs w:val="20"/>
      <w:lang w:val="en-US" w:eastAsia="en-ZA"/>
    </w:rPr>
  </w:style>
  <w:style w:type="paragraph" w:customStyle="1" w:styleId="Quote2">
    <w:name w:val="Quote2"/>
    <w:basedOn w:val="Normal"/>
    <w:rsid w:val="00AB4DFE"/>
    <w:pPr>
      <w:adjustRightInd w:val="0"/>
      <w:spacing w:before="120"/>
      <w:ind w:left="567" w:right="567"/>
      <w:jc w:val="both"/>
      <w:textAlignment w:val="baseline"/>
    </w:pPr>
    <w:rPr>
      <w:rFonts w:ascii="Verdana" w:hAnsi="Verdana"/>
      <w:sz w:val="16"/>
      <w:szCs w:val="20"/>
      <w:lang w:val="en-US" w:eastAsia="en-ZA"/>
    </w:rPr>
  </w:style>
  <w:style w:type="character" w:customStyle="1" w:styleId="searchhit">
    <w:name w:val="searchhit"/>
    <w:basedOn w:val="DefaultParagraphFont"/>
    <w:rsid w:val="009606EC"/>
  </w:style>
  <w:style w:type="character" w:customStyle="1" w:styleId="metadata-item">
    <w:name w:val="metadata-item"/>
    <w:basedOn w:val="DefaultParagraphFont"/>
    <w:rsid w:val="006D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252588246">
      <w:bodyDiv w:val="1"/>
      <w:marLeft w:val="0"/>
      <w:marRight w:val="0"/>
      <w:marTop w:val="0"/>
      <w:marBottom w:val="0"/>
      <w:divBdr>
        <w:top w:val="none" w:sz="0" w:space="0" w:color="auto"/>
        <w:left w:val="none" w:sz="0" w:space="0" w:color="auto"/>
        <w:bottom w:val="none" w:sz="0" w:space="0" w:color="auto"/>
        <w:right w:val="none" w:sz="0" w:space="0" w:color="auto"/>
      </w:divBdr>
      <w:divsChild>
        <w:div w:id="49892297">
          <w:marLeft w:val="0"/>
          <w:marRight w:val="0"/>
          <w:marTop w:val="120"/>
          <w:marBottom w:val="0"/>
          <w:divBdr>
            <w:top w:val="none" w:sz="0" w:space="0" w:color="auto"/>
            <w:left w:val="none" w:sz="0" w:space="0" w:color="auto"/>
            <w:bottom w:val="none" w:sz="0" w:space="0" w:color="auto"/>
            <w:right w:val="none" w:sz="0" w:space="0" w:color="auto"/>
          </w:divBdr>
        </w:div>
        <w:div w:id="1064525761">
          <w:marLeft w:val="0"/>
          <w:marRight w:val="0"/>
          <w:marTop w:val="240"/>
          <w:marBottom w:val="0"/>
          <w:divBdr>
            <w:top w:val="none" w:sz="0" w:space="0" w:color="auto"/>
            <w:left w:val="none" w:sz="0" w:space="0" w:color="auto"/>
            <w:bottom w:val="none" w:sz="0" w:space="0" w:color="auto"/>
            <w:right w:val="none" w:sz="0" w:space="0" w:color="auto"/>
          </w:divBdr>
        </w:div>
        <w:div w:id="1917322377">
          <w:marLeft w:val="567"/>
          <w:marRight w:val="567"/>
          <w:marTop w:val="20"/>
          <w:marBottom w:val="20"/>
          <w:divBdr>
            <w:top w:val="none" w:sz="0" w:space="0" w:color="auto"/>
            <w:left w:val="none" w:sz="0" w:space="0" w:color="auto"/>
            <w:bottom w:val="none" w:sz="0" w:space="0" w:color="auto"/>
            <w:right w:val="none" w:sz="0" w:space="0" w:color="auto"/>
          </w:divBdr>
        </w:div>
        <w:div w:id="2020813544">
          <w:marLeft w:val="0"/>
          <w:marRight w:val="0"/>
          <w:marTop w:val="120"/>
          <w:marBottom w:val="0"/>
          <w:divBdr>
            <w:top w:val="none" w:sz="0" w:space="0" w:color="auto"/>
            <w:left w:val="none" w:sz="0" w:space="0" w:color="auto"/>
            <w:bottom w:val="none" w:sz="0" w:space="0" w:color="auto"/>
            <w:right w:val="none" w:sz="0" w:space="0" w:color="auto"/>
          </w:divBdr>
        </w:div>
      </w:divsChild>
    </w:div>
    <w:div w:id="284778942">
      <w:bodyDiv w:val="1"/>
      <w:marLeft w:val="0"/>
      <w:marRight w:val="0"/>
      <w:marTop w:val="0"/>
      <w:marBottom w:val="0"/>
      <w:divBdr>
        <w:top w:val="none" w:sz="0" w:space="0" w:color="auto"/>
        <w:left w:val="none" w:sz="0" w:space="0" w:color="auto"/>
        <w:bottom w:val="none" w:sz="0" w:space="0" w:color="auto"/>
        <w:right w:val="none" w:sz="0" w:space="0" w:color="auto"/>
      </w:divBdr>
      <w:divsChild>
        <w:div w:id="714618553">
          <w:marLeft w:val="0"/>
          <w:marRight w:val="0"/>
          <w:marTop w:val="60"/>
          <w:marBottom w:val="0"/>
          <w:divBdr>
            <w:top w:val="none" w:sz="0" w:space="0" w:color="auto"/>
            <w:left w:val="none" w:sz="0" w:space="0" w:color="auto"/>
            <w:bottom w:val="none" w:sz="0" w:space="0" w:color="auto"/>
            <w:right w:val="none" w:sz="0" w:space="0" w:color="auto"/>
          </w:divBdr>
        </w:div>
        <w:div w:id="1936938427">
          <w:marLeft w:val="907"/>
          <w:marRight w:val="0"/>
          <w:marTop w:val="60"/>
          <w:marBottom w:val="0"/>
          <w:divBdr>
            <w:top w:val="none" w:sz="0" w:space="0" w:color="auto"/>
            <w:left w:val="none" w:sz="0" w:space="0" w:color="auto"/>
            <w:bottom w:val="none" w:sz="0" w:space="0" w:color="auto"/>
            <w:right w:val="none" w:sz="0" w:space="0" w:color="auto"/>
          </w:divBdr>
        </w:div>
        <w:div w:id="2048291471">
          <w:marLeft w:val="907"/>
          <w:marRight w:val="0"/>
          <w:marTop w:val="60"/>
          <w:marBottom w:val="0"/>
          <w:divBdr>
            <w:top w:val="none" w:sz="0" w:space="0" w:color="auto"/>
            <w:left w:val="none" w:sz="0" w:space="0" w:color="auto"/>
            <w:bottom w:val="none" w:sz="0" w:space="0" w:color="auto"/>
            <w:right w:val="none" w:sz="0" w:space="0" w:color="auto"/>
          </w:divBdr>
        </w:div>
        <w:div w:id="256669641">
          <w:marLeft w:val="907"/>
          <w:marRight w:val="0"/>
          <w:marTop w:val="6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604074602">
      <w:bodyDiv w:val="1"/>
      <w:marLeft w:val="0"/>
      <w:marRight w:val="0"/>
      <w:marTop w:val="0"/>
      <w:marBottom w:val="0"/>
      <w:divBdr>
        <w:top w:val="none" w:sz="0" w:space="0" w:color="auto"/>
        <w:left w:val="none" w:sz="0" w:space="0" w:color="auto"/>
        <w:bottom w:val="none" w:sz="0" w:space="0" w:color="auto"/>
        <w:right w:val="none" w:sz="0" w:space="0" w:color="auto"/>
      </w:divBdr>
    </w:div>
    <w:div w:id="668750477">
      <w:bodyDiv w:val="1"/>
      <w:marLeft w:val="0"/>
      <w:marRight w:val="0"/>
      <w:marTop w:val="0"/>
      <w:marBottom w:val="0"/>
      <w:divBdr>
        <w:top w:val="none" w:sz="0" w:space="0" w:color="auto"/>
        <w:left w:val="none" w:sz="0" w:space="0" w:color="auto"/>
        <w:bottom w:val="none" w:sz="0" w:space="0" w:color="auto"/>
        <w:right w:val="none" w:sz="0" w:space="0" w:color="auto"/>
      </w:divBdr>
      <w:divsChild>
        <w:div w:id="682166126">
          <w:marLeft w:val="0"/>
          <w:marRight w:val="0"/>
          <w:marTop w:val="60"/>
          <w:marBottom w:val="0"/>
          <w:divBdr>
            <w:top w:val="none" w:sz="0" w:space="0" w:color="auto"/>
            <w:left w:val="none" w:sz="0" w:space="0" w:color="auto"/>
            <w:bottom w:val="none" w:sz="0" w:space="0" w:color="auto"/>
            <w:right w:val="none" w:sz="0" w:space="0" w:color="auto"/>
          </w:divBdr>
        </w:div>
        <w:div w:id="498888483">
          <w:marLeft w:val="907"/>
          <w:marRight w:val="0"/>
          <w:marTop w:val="60"/>
          <w:marBottom w:val="0"/>
          <w:divBdr>
            <w:top w:val="none" w:sz="0" w:space="0" w:color="auto"/>
            <w:left w:val="none" w:sz="0" w:space="0" w:color="auto"/>
            <w:bottom w:val="none" w:sz="0" w:space="0" w:color="auto"/>
            <w:right w:val="none" w:sz="0" w:space="0" w:color="auto"/>
          </w:divBdr>
        </w:div>
        <w:div w:id="714041698">
          <w:marLeft w:val="907"/>
          <w:marRight w:val="0"/>
          <w:marTop w:val="60"/>
          <w:marBottom w:val="0"/>
          <w:divBdr>
            <w:top w:val="none" w:sz="0" w:space="0" w:color="auto"/>
            <w:left w:val="none" w:sz="0" w:space="0" w:color="auto"/>
            <w:bottom w:val="none" w:sz="0" w:space="0" w:color="auto"/>
            <w:right w:val="none" w:sz="0" w:space="0" w:color="auto"/>
          </w:divBdr>
        </w:div>
        <w:div w:id="1830436199">
          <w:marLeft w:val="907"/>
          <w:marRight w:val="0"/>
          <w:marTop w:val="60"/>
          <w:marBottom w:val="0"/>
          <w:divBdr>
            <w:top w:val="none" w:sz="0" w:space="0" w:color="auto"/>
            <w:left w:val="none" w:sz="0" w:space="0" w:color="auto"/>
            <w:bottom w:val="none" w:sz="0" w:space="0" w:color="auto"/>
            <w:right w:val="none" w:sz="0" w:space="0" w:color="auto"/>
          </w:divBdr>
        </w:div>
      </w:divsChild>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06481393">
      <w:bodyDiv w:val="1"/>
      <w:marLeft w:val="0"/>
      <w:marRight w:val="0"/>
      <w:marTop w:val="0"/>
      <w:marBottom w:val="0"/>
      <w:divBdr>
        <w:top w:val="none" w:sz="0" w:space="0" w:color="auto"/>
        <w:left w:val="none" w:sz="0" w:space="0" w:color="auto"/>
        <w:bottom w:val="none" w:sz="0" w:space="0" w:color="auto"/>
        <w:right w:val="none" w:sz="0" w:space="0" w:color="auto"/>
      </w:divBdr>
      <w:divsChild>
        <w:div w:id="1857650587">
          <w:marLeft w:val="0"/>
          <w:marRight w:val="0"/>
          <w:marTop w:val="60"/>
          <w:marBottom w:val="0"/>
          <w:divBdr>
            <w:top w:val="none" w:sz="0" w:space="0" w:color="auto"/>
            <w:left w:val="none" w:sz="0" w:space="0" w:color="auto"/>
            <w:bottom w:val="none" w:sz="0" w:space="0" w:color="auto"/>
            <w:right w:val="none" w:sz="0" w:space="0" w:color="auto"/>
          </w:divBdr>
        </w:div>
        <w:div w:id="156000933">
          <w:marLeft w:val="907"/>
          <w:marRight w:val="0"/>
          <w:marTop w:val="60"/>
          <w:marBottom w:val="0"/>
          <w:divBdr>
            <w:top w:val="none" w:sz="0" w:space="0" w:color="auto"/>
            <w:left w:val="none" w:sz="0" w:space="0" w:color="auto"/>
            <w:bottom w:val="none" w:sz="0" w:space="0" w:color="auto"/>
            <w:right w:val="none" w:sz="0" w:space="0" w:color="auto"/>
          </w:divBdr>
        </w:div>
        <w:div w:id="2057384879">
          <w:marLeft w:val="907"/>
          <w:marRight w:val="0"/>
          <w:marTop w:val="60"/>
          <w:marBottom w:val="0"/>
          <w:divBdr>
            <w:top w:val="none" w:sz="0" w:space="0" w:color="auto"/>
            <w:left w:val="none" w:sz="0" w:space="0" w:color="auto"/>
            <w:bottom w:val="none" w:sz="0" w:space="0" w:color="auto"/>
            <w:right w:val="none" w:sz="0" w:space="0" w:color="auto"/>
          </w:divBdr>
        </w:div>
        <w:div w:id="1718429253">
          <w:marLeft w:val="907"/>
          <w:marRight w:val="0"/>
          <w:marTop w:val="60"/>
          <w:marBottom w:val="0"/>
          <w:divBdr>
            <w:top w:val="none" w:sz="0" w:space="0" w:color="auto"/>
            <w:left w:val="none" w:sz="0" w:space="0" w:color="auto"/>
            <w:bottom w:val="none" w:sz="0" w:space="0" w:color="auto"/>
            <w:right w:val="none" w:sz="0" w:space="0" w:color="auto"/>
          </w:divBdr>
        </w:div>
      </w:divsChild>
    </w:div>
    <w:div w:id="1266842727">
      <w:bodyDiv w:val="1"/>
      <w:marLeft w:val="0"/>
      <w:marRight w:val="0"/>
      <w:marTop w:val="0"/>
      <w:marBottom w:val="0"/>
      <w:divBdr>
        <w:top w:val="none" w:sz="0" w:space="0" w:color="auto"/>
        <w:left w:val="none" w:sz="0" w:space="0" w:color="auto"/>
        <w:bottom w:val="none" w:sz="0" w:space="0" w:color="auto"/>
        <w:right w:val="none" w:sz="0" w:space="0" w:color="auto"/>
      </w:divBdr>
      <w:divsChild>
        <w:div w:id="231085769">
          <w:marLeft w:val="0"/>
          <w:marRight w:val="0"/>
          <w:marTop w:val="60"/>
          <w:marBottom w:val="0"/>
          <w:divBdr>
            <w:top w:val="none" w:sz="0" w:space="0" w:color="auto"/>
            <w:left w:val="none" w:sz="0" w:space="0" w:color="auto"/>
            <w:bottom w:val="none" w:sz="0" w:space="0" w:color="auto"/>
            <w:right w:val="none" w:sz="0" w:space="0" w:color="auto"/>
          </w:divBdr>
        </w:div>
        <w:div w:id="1031418643">
          <w:marLeft w:val="907"/>
          <w:marRight w:val="0"/>
          <w:marTop w:val="60"/>
          <w:marBottom w:val="0"/>
          <w:divBdr>
            <w:top w:val="none" w:sz="0" w:space="0" w:color="auto"/>
            <w:left w:val="none" w:sz="0" w:space="0" w:color="auto"/>
            <w:bottom w:val="none" w:sz="0" w:space="0" w:color="auto"/>
            <w:right w:val="none" w:sz="0" w:space="0" w:color="auto"/>
          </w:divBdr>
        </w:div>
        <w:div w:id="1881940920">
          <w:marLeft w:val="907"/>
          <w:marRight w:val="0"/>
          <w:marTop w:val="60"/>
          <w:marBottom w:val="0"/>
          <w:divBdr>
            <w:top w:val="none" w:sz="0" w:space="0" w:color="auto"/>
            <w:left w:val="none" w:sz="0" w:space="0" w:color="auto"/>
            <w:bottom w:val="none" w:sz="0" w:space="0" w:color="auto"/>
            <w:right w:val="none" w:sz="0" w:space="0" w:color="auto"/>
          </w:divBdr>
        </w:div>
        <w:div w:id="1579905618">
          <w:marLeft w:val="907"/>
          <w:marRight w:val="0"/>
          <w:marTop w:val="60"/>
          <w:marBottom w:val="0"/>
          <w:divBdr>
            <w:top w:val="none" w:sz="0" w:space="0" w:color="auto"/>
            <w:left w:val="none" w:sz="0" w:space="0" w:color="auto"/>
            <w:bottom w:val="none" w:sz="0" w:space="0" w:color="auto"/>
            <w:right w:val="none" w:sz="0" w:space="0" w:color="auto"/>
          </w:divBdr>
        </w:div>
      </w:divsChild>
    </w:div>
    <w:div w:id="1298268213">
      <w:bodyDiv w:val="1"/>
      <w:marLeft w:val="0"/>
      <w:marRight w:val="0"/>
      <w:marTop w:val="0"/>
      <w:marBottom w:val="0"/>
      <w:divBdr>
        <w:top w:val="none" w:sz="0" w:space="0" w:color="auto"/>
        <w:left w:val="none" w:sz="0" w:space="0" w:color="auto"/>
        <w:bottom w:val="none" w:sz="0" w:space="0" w:color="auto"/>
        <w:right w:val="none" w:sz="0" w:space="0" w:color="auto"/>
      </w:divBdr>
      <w:divsChild>
        <w:div w:id="39675981">
          <w:marLeft w:val="0"/>
          <w:marRight w:val="0"/>
          <w:marTop w:val="60"/>
          <w:marBottom w:val="0"/>
          <w:divBdr>
            <w:top w:val="none" w:sz="0" w:space="0" w:color="auto"/>
            <w:left w:val="none" w:sz="0" w:space="0" w:color="auto"/>
            <w:bottom w:val="none" w:sz="0" w:space="0" w:color="auto"/>
            <w:right w:val="none" w:sz="0" w:space="0" w:color="auto"/>
          </w:divBdr>
        </w:div>
        <w:div w:id="30501681">
          <w:marLeft w:val="907"/>
          <w:marRight w:val="0"/>
          <w:marTop w:val="60"/>
          <w:marBottom w:val="0"/>
          <w:divBdr>
            <w:top w:val="none" w:sz="0" w:space="0" w:color="auto"/>
            <w:left w:val="none" w:sz="0" w:space="0" w:color="auto"/>
            <w:bottom w:val="none" w:sz="0" w:space="0" w:color="auto"/>
            <w:right w:val="none" w:sz="0" w:space="0" w:color="auto"/>
          </w:divBdr>
        </w:div>
        <w:div w:id="1283272573">
          <w:marLeft w:val="907"/>
          <w:marRight w:val="0"/>
          <w:marTop w:val="60"/>
          <w:marBottom w:val="0"/>
          <w:divBdr>
            <w:top w:val="none" w:sz="0" w:space="0" w:color="auto"/>
            <w:left w:val="none" w:sz="0" w:space="0" w:color="auto"/>
            <w:bottom w:val="none" w:sz="0" w:space="0" w:color="auto"/>
            <w:right w:val="none" w:sz="0" w:space="0" w:color="auto"/>
          </w:divBdr>
        </w:div>
        <w:div w:id="1607538968">
          <w:marLeft w:val="907"/>
          <w:marRight w:val="0"/>
          <w:marTop w:val="6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448964507">
      <w:bodyDiv w:val="1"/>
      <w:marLeft w:val="0"/>
      <w:marRight w:val="0"/>
      <w:marTop w:val="0"/>
      <w:marBottom w:val="0"/>
      <w:divBdr>
        <w:top w:val="none" w:sz="0" w:space="0" w:color="auto"/>
        <w:left w:val="none" w:sz="0" w:space="0" w:color="auto"/>
        <w:bottom w:val="none" w:sz="0" w:space="0" w:color="auto"/>
        <w:right w:val="none" w:sz="0" w:space="0" w:color="auto"/>
      </w:divBdr>
      <w:divsChild>
        <w:div w:id="1470005196">
          <w:marLeft w:val="0"/>
          <w:marRight w:val="0"/>
          <w:marTop w:val="60"/>
          <w:marBottom w:val="0"/>
          <w:divBdr>
            <w:top w:val="none" w:sz="0" w:space="0" w:color="auto"/>
            <w:left w:val="none" w:sz="0" w:space="0" w:color="auto"/>
            <w:bottom w:val="none" w:sz="0" w:space="0" w:color="auto"/>
            <w:right w:val="none" w:sz="0" w:space="0" w:color="auto"/>
          </w:divBdr>
        </w:div>
        <w:div w:id="1977946957">
          <w:marLeft w:val="907"/>
          <w:marRight w:val="0"/>
          <w:marTop w:val="60"/>
          <w:marBottom w:val="0"/>
          <w:divBdr>
            <w:top w:val="none" w:sz="0" w:space="0" w:color="auto"/>
            <w:left w:val="none" w:sz="0" w:space="0" w:color="auto"/>
            <w:bottom w:val="none" w:sz="0" w:space="0" w:color="auto"/>
            <w:right w:val="none" w:sz="0" w:space="0" w:color="auto"/>
          </w:divBdr>
        </w:div>
        <w:div w:id="2050641833">
          <w:marLeft w:val="907"/>
          <w:marRight w:val="0"/>
          <w:marTop w:val="60"/>
          <w:marBottom w:val="0"/>
          <w:divBdr>
            <w:top w:val="none" w:sz="0" w:space="0" w:color="auto"/>
            <w:left w:val="none" w:sz="0" w:space="0" w:color="auto"/>
            <w:bottom w:val="none" w:sz="0" w:space="0" w:color="auto"/>
            <w:right w:val="none" w:sz="0" w:space="0" w:color="auto"/>
          </w:divBdr>
        </w:div>
        <w:div w:id="412313219">
          <w:marLeft w:val="907"/>
          <w:marRight w:val="0"/>
          <w:marTop w:val="60"/>
          <w:marBottom w:val="0"/>
          <w:divBdr>
            <w:top w:val="none" w:sz="0" w:space="0" w:color="auto"/>
            <w:left w:val="none" w:sz="0" w:space="0" w:color="auto"/>
            <w:bottom w:val="none" w:sz="0" w:space="0" w:color="auto"/>
            <w:right w:val="none" w:sz="0" w:space="0" w:color="auto"/>
          </w:divBdr>
        </w:div>
      </w:divsChild>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sChild>
        <w:div w:id="182087482">
          <w:marLeft w:val="675"/>
          <w:marRight w:val="0"/>
          <w:marTop w:val="0"/>
          <w:marBottom w:val="0"/>
          <w:divBdr>
            <w:top w:val="none" w:sz="0" w:space="0" w:color="auto"/>
            <w:left w:val="none" w:sz="0" w:space="0" w:color="auto"/>
            <w:bottom w:val="none" w:sz="0" w:space="0" w:color="auto"/>
            <w:right w:val="none" w:sz="0" w:space="0" w:color="auto"/>
          </w:divBdr>
        </w:div>
        <w:div w:id="211230294">
          <w:marLeft w:val="675"/>
          <w:marRight w:val="0"/>
          <w:marTop w:val="0"/>
          <w:marBottom w:val="0"/>
          <w:divBdr>
            <w:top w:val="none" w:sz="0" w:space="0" w:color="auto"/>
            <w:left w:val="none" w:sz="0" w:space="0" w:color="auto"/>
            <w:bottom w:val="none" w:sz="0" w:space="0" w:color="auto"/>
            <w:right w:val="none" w:sz="0" w:space="0" w:color="auto"/>
          </w:divBdr>
        </w:div>
        <w:div w:id="890920715">
          <w:marLeft w:val="675"/>
          <w:marRight w:val="0"/>
          <w:marTop w:val="0"/>
          <w:marBottom w:val="0"/>
          <w:divBdr>
            <w:top w:val="none" w:sz="0" w:space="0" w:color="auto"/>
            <w:left w:val="none" w:sz="0" w:space="0" w:color="auto"/>
            <w:bottom w:val="none" w:sz="0" w:space="0" w:color="auto"/>
            <w:right w:val="none" w:sz="0" w:space="0" w:color="auto"/>
          </w:divBdr>
        </w:div>
        <w:div w:id="1291858439">
          <w:marLeft w:val="675"/>
          <w:marRight w:val="0"/>
          <w:marTop w:val="0"/>
          <w:marBottom w:val="0"/>
          <w:divBdr>
            <w:top w:val="none" w:sz="0" w:space="0" w:color="auto"/>
            <w:left w:val="none" w:sz="0" w:space="0" w:color="auto"/>
            <w:bottom w:val="none" w:sz="0" w:space="0" w:color="auto"/>
            <w:right w:val="none" w:sz="0" w:space="0" w:color="auto"/>
          </w:divBdr>
        </w:div>
        <w:div w:id="1309630420">
          <w:marLeft w:val="675"/>
          <w:marRight w:val="0"/>
          <w:marTop w:val="0"/>
          <w:marBottom w:val="0"/>
          <w:divBdr>
            <w:top w:val="none" w:sz="0" w:space="0" w:color="auto"/>
            <w:left w:val="none" w:sz="0" w:space="0" w:color="auto"/>
            <w:bottom w:val="none" w:sz="0" w:space="0" w:color="auto"/>
            <w:right w:val="none" w:sz="0" w:space="0" w:color="auto"/>
          </w:divBdr>
        </w:div>
        <w:div w:id="1329602963">
          <w:marLeft w:val="675"/>
          <w:marRight w:val="0"/>
          <w:marTop w:val="0"/>
          <w:marBottom w:val="0"/>
          <w:divBdr>
            <w:top w:val="none" w:sz="0" w:space="0" w:color="auto"/>
            <w:left w:val="none" w:sz="0" w:space="0" w:color="auto"/>
            <w:bottom w:val="none" w:sz="0" w:space="0" w:color="auto"/>
            <w:right w:val="none" w:sz="0" w:space="0" w:color="auto"/>
          </w:divBdr>
        </w:div>
        <w:div w:id="1638492141">
          <w:marLeft w:val="675"/>
          <w:marRight w:val="0"/>
          <w:marTop w:val="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89915361">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60"/>
          <w:marBottom w:val="0"/>
          <w:divBdr>
            <w:top w:val="none" w:sz="0" w:space="0" w:color="auto"/>
            <w:left w:val="none" w:sz="0" w:space="0" w:color="auto"/>
            <w:bottom w:val="none" w:sz="0" w:space="0" w:color="auto"/>
            <w:right w:val="none" w:sz="0" w:space="0" w:color="auto"/>
          </w:divBdr>
        </w:div>
        <w:div w:id="1680278707">
          <w:marLeft w:val="907"/>
          <w:marRight w:val="0"/>
          <w:marTop w:val="60"/>
          <w:marBottom w:val="0"/>
          <w:divBdr>
            <w:top w:val="none" w:sz="0" w:space="0" w:color="auto"/>
            <w:left w:val="none" w:sz="0" w:space="0" w:color="auto"/>
            <w:bottom w:val="none" w:sz="0" w:space="0" w:color="auto"/>
            <w:right w:val="none" w:sz="0" w:space="0" w:color="auto"/>
          </w:divBdr>
        </w:div>
        <w:div w:id="1381441234">
          <w:marLeft w:val="907"/>
          <w:marRight w:val="0"/>
          <w:marTop w:val="60"/>
          <w:marBottom w:val="0"/>
          <w:divBdr>
            <w:top w:val="none" w:sz="0" w:space="0" w:color="auto"/>
            <w:left w:val="none" w:sz="0" w:space="0" w:color="auto"/>
            <w:bottom w:val="none" w:sz="0" w:space="0" w:color="auto"/>
            <w:right w:val="none" w:sz="0" w:space="0" w:color="auto"/>
          </w:divBdr>
        </w:div>
        <w:div w:id="2023506844">
          <w:marLeft w:val="907"/>
          <w:marRight w:val="0"/>
          <w:marTop w:val="60"/>
          <w:marBottom w:val="0"/>
          <w:divBdr>
            <w:top w:val="none" w:sz="0" w:space="0" w:color="auto"/>
            <w:left w:val="none" w:sz="0" w:space="0" w:color="auto"/>
            <w:bottom w:val="none" w:sz="0" w:space="0" w:color="auto"/>
            <w:right w:val="none" w:sz="0" w:space="0" w:color="auto"/>
          </w:divBdr>
        </w:div>
      </w:divsChild>
    </w:div>
    <w:div w:id="1754155600">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821773757">
      <w:bodyDiv w:val="1"/>
      <w:marLeft w:val="0"/>
      <w:marRight w:val="0"/>
      <w:marTop w:val="0"/>
      <w:marBottom w:val="0"/>
      <w:divBdr>
        <w:top w:val="none" w:sz="0" w:space="0" w:color="auto"/>
        <w:left w:val="none" w:sz="0" w:space="0" w:color="auto"/>
        <w:bottom w:val="none" w:sz="0" w:space="0" w:color="auto"/>
        <w:right w:val="none" w:sz="0" w:space="0" w:color="auto"/>
      </w:divBdr>
      <w:divsChild>
        <w:div w:id="169177830">
          <w:marLeft w:val="567"/>
          <w:marRight w:val="0"/>
          <w:marTop w:val="40"/>
          <w:marBottom w:val="0"/>
          <w:divBdr>
            <w:top w:val="none" w:sz="0" w:space="0" w:color="auto"/>
            <w:left w:val="none" w:sz="0" w:space="0" w:color="auto"/>
            <w:bottom w:val="none" w:sz="0" w:space="0" w:color="auto"/>
            <w:right w:val="none" w:sz="0" w:space="0" w:color="auto"/>
          </w:divBdr>
        </w:div>
        <w:div w:id="149904520">
          <w:marLeft w:val="567"/>
          <w:marRight w:val="0"/>
          <w:marTop w:val="40"/>
          <w:marBottom w:val="0"/>
          <w:divBdr>
            <w:top w:val="none" w:sz="0" w:space="0" w:color="auto"/>
            <w:left w:val="none" w:sz="0" w:space="0" w:color="auto"/>
            <w:bottom w:val="none" w:sz="0" w:space="0" w:color="auto"/>
            <w:right w:val="none" w:sz="0" w:space="0" w:color="auto"/>
          </w:divBdr>
        </w:div>
      </w:divsChild>
    </w:div>
    <w:div w:id="1938630150">
      <w:bodyDiv w:val="1"/>
      <w:marLeft w:val="0"/>
      <w:marRight w:val="0"/>
      <w:marTop w:val="0"/>
      <w:marBottom w:val="0"/>
      <w:divBdr>
        <w:top w:val="none" w:sz="0" w:space="0" w:color="auto"/>
        <w:left w:val="none" w:sz="0" w:space="0" w:color="auto"/>
        <w:bottom w:val="none" w:sz="0" w:space="0" w:color="auto"/>
        <w:right w:val="none" w:sz="0" w:space="0" w:color="auto"/>
      </w:divBdr>
      <w:divsChild>
        <w:div w:id="1734505151">
          <w:marLeft w:val="0"/>
          <w:marRight w:val="0"/>
          <w:marTop w:val="60"/>
          <w:marBottom w:val="0"/>
          <w:divBdr>
            <w:top w:val="none" w:sz="0" w:space="0" w:color="auto"/>
            <w:left w:val="none" w:sz="0" w:space="0" w:color="auto"/>
            <w:bottom w:val="none" w:sz="0" w:space="0" w:color="auto"/>
            <w:right w:val="none" w:sz="0" w:space="0" w:color="auto"/>
          </w:divBdr>
        </w:div>
        <w:div w:id="1046904167">
          <w:marLeft w:val="907"/>
          <w:marRight w:val="0"/>
          <w:marTop w:val="60"/>
          <w:marBottom w:val="0"/>
          <w:divBdr>
            <w:top w:val="none" w:sz="0" w:space="0" w:color="auto"/>
            <w:left w:val="none" w:sz="0" w:space="0" w:color="auto"/>
            <w:bottom w:val="none" w:sz="0" w:space="0" w:color="auto"/>
            <w:right w:val="none" w:sz="0" w:space="0" w:color="auto"/>
          </w:divBdr>
        </w:div>
        <w:div w:id="130904806">
          <w:marLeft w:val="907"/>
          <w:marRight w:val="0"/>
          <w:marTop w:val="60"/>
          <w:marBottom w:val="0"/>
          <w:divBdr>
            <w:top w:val="none" w:sz="0" w:space="0" w:color="auto"/>
            <w:left w:val="none" w:sz="0" w:space="0" w:color="auto"/>
            <w:bottom w:val="none" w:sz="0" w:space="0" w:color="auto"/>
            <w:right w:val="none" w:sz="0" w:space="0" w:color="auto"/>
          </w:divBdr>
        </w:div>
        <w:div w:id="435711317">
          <w:marLeft w:val="907"/>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12645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y2002v5SApg401" TargetMode="External"/><Relationship Id="rId4" Type="http://schemas.openxmlformats.org/officeDocument/2006/relationships/settings" Target="settings.xml"/><Relationship Id="rId9" Type="http://schemas.openxmlformats.org/officeDocument/2006/relationships/hyperlink" Target="https://app.jutastatevolve.co.za/y2005v5SApg2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77v3SApg534" TargetMode="External"/><Relationship Id="rId7" Type="http://schemas.openxmlformats.org/officeDocument/2006/relationships/hyperlink" Target="https://app.jutastatevolve.co.za/y2012v4SApg618" TargetMode="External"/><Relationship Id="rId2" Type="http://schemas.openxmlformats.org/officeDocument/2006/relationships/hyperlink" Target="https://app.jutastatevolve.co.za/y2010v6SApg469" TargetMode="External"/><Relationship Id="rId1" Type="http://schemas.openxmlformats.org/officeDocument/2006/relationships/hyperlink" Target="https://app.jutastatevolve.co.za/y1979v2SApg457" TargetMode="External"/><Relationship Id="rId6" Type="http://schemas.openxmlformats.org/officeDocument/2006/relationships/hyperlink" Target="https://app.jutastatevolve.co.za/y2016v2SApg461" TargetMode="External"/><Relationship Id="rId5" Type="http://schemas.openxmlformats.org/officeDocument/2006/relationships/hyperlink" Target="https://app.jutastatevolve.co.za/y1932ADpg146" TargetMode="External"/><Relationship Id="rId4" Type="http://schemas.openxmlformats.org/officeDocument/2006/relationships/hyperlink" Target="https://app.jutastatevolve.co.za/y1948v1SApg8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C127-6121-40F3-91B3-2A332285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12</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Mary Bruce</cp:lastModifiedBy>
  <cp:revision>3</cp:revision>
  <cp:lastPrinted>2023-12-06T16:17:00Z</cp:lastPrinted>
  <dcterms:created xsi:type="dcterms:W3CDTF">2023-12-07T10:26:00Z</dcterms:created>
  <dcterms:modified xsi:type="dcterms:W3CDTF">2023-12-07T11:48:00Z</dcterms:modified>
</cp:coreProperties>
</file>