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4A0" w:firstRow="1" w:lastRow="0" w:firstColumn="1" w:lastColumn="0" w:noHBand="0" w:noVBand="1"/>
      </w:tblPr>
      <w:tblGrid>
        <w:gridCol w:w="3543"/>
        <w:gridCol w:w="5529"/>
      </w:tblGrid>
      <w:tr w:rsidR="00E02D1F" w:rsidRPr="0013732A" w14:paraId="2C347924" w14:textId="77777777" w:rsidTr="00792ADD">
        <w:trPr>
          <w:trHeight w:val="495"/>
        </w:trPr>
        <w:tc>
          <w:tcPr>
            <w:tcW w:w="9072" w:type="dxa"/>
            <w:gridSpan w:val="2"/>
            <w:hideMark/>
          </w:tcPr>
          <w:p w14:paraId="04299EC7" w14:textId="56660B06" w:rsidR="00E02D1F" w:rsidRPr="004275AB" w:rsidRDefault="00E02D1F" w:rsidP="00792ADD">
            <w:pPr>
              <w:spacing w:before="0" w:after="0" w:line="240" w:lineRule="auto"/>
              <w:ind w:left="0" w:right="0" w:firstLine="0"/>
              <w:jc w:val="center"/>
              <w:rPr>
                <w:rFonts w:ascii="Arial" w:eastAsia="Times New Roman" w:hAnsi="Arial" w:cs="Arial"/>
                <w:b/>
                <w:bCs/>
                <w:kern w:val="0"/>
                <w:sz w:val="28"/>
                <w:szCs w:val="28"/>
                <w:lang w:val="en-ZA"/>
                <w14:ligatures w14:val="none"/>
              </w:rPr>
            </w:pPr>
            <w:bookmarkStart w:id="0" w:name="_GoBack"/>
            <w:bookmarkEnd w:id="0"/>
            <w:r w:rsidRPr="004275AB">
              <w:rPr>
                <w:rFonts w:ascii="Arial" w:eastAsia="Times New Roman" w:hAnsi="Arial" w:cs="Arial"/>
                <w:b/>
                <w:bCs/>
                <w:kern w:val="0"/>
                <w:sz w:val="28"/>
                <w:szCs w:val="28"/>
                <w:lang w:val="en-ZA"/>
                <w14:ligatures w14:val="none"/>
              </w:rPr>
              <w:t>IN THE HIGH COURT OF SOUTH AFRICA</w:t>
            </w:r>
          </w:p>
          <w:p w14:paraId="4BBCFCA1" w14:textId="77777777" w:rsidR="00E02D1F" w:rsidRPr="004275AB" w:rsidRDefault="00E02D1F" w:rsidP="00792ADD">
            <w:pPr>
              <w:spacing w:before="0" w:after="0" w:line="240" w:lineRule="auto"/>
              <w:ind w:left="0" w:right="0" w:firstLine="0"/>
              <w:jc w:val="center"/>
              <w:rPr>
                <w:rFonts w:ascii="Arial" w:eastAsia="Times New Roman" w:hAnsi="Arial" w:cs="Arial"/>
                <w:b/>
                <w:bCs/>
                <w:kern w:val="0"/>
                <w:sz w:val="28"/>
                <w:szCs w:val="28"/>
                <w:lang w:val="en-ZA"/>
                <w14:ligatures w14:val="none"/>
              </w:rPr>
            </w:pPr>
            <w:r w:rsidRPr="004275AB">
              <w:rPr>
                <w:rFonts w:ascii="Arial" w:eastAsia="Times New Roman" w:hAnsi="Arial" w:cs="Arial"/>
                <w:b/>
                <w:bCs/>
                <w:kern w:val="0"/>
                <w:sz w:val="28"/>
                <w:szCs w:val="28"/>
                <w:lang w:val="en-ZA"/>
                <w14:ligatures w14:val="none"/>
              </w:rPr>
              <w:t>GAUTENG LOCAL DIVISION, JOHANNESBURG</w:t>
            </w:r>
          </w:p>
        </w:tc>
      </w:tr>
      <w:tr w:rsidR="00E02D1F" w:rsidRPr="004275AB" w14:paraId="5E813C12" w14:textId="77777777" w:rsidTr="00792ADD">
        <w:trPr>
          <w:gridAfter w:val="1"/>
          <w:wAfter w:w="5529" w:type="dxa"/>
        </w:trPr>
        <w:tc>
          <w:tcPr>
            <w:tcW w:w="3543" w:type="dxa"/>
          </w:tcPr>
          <w:p w14:paraId="74182CF2" w14:textId="77777777" w:rsidR="00E02D1F" w:rsidRPr="004275AB" w:rsidRDefault="00E02D1F" w:rsidP="00792ADD">
            <w:pPr>
              <w:spacing w:before="0" w:after="0" w:line="240" w:lineRule="auto"/>
              <w:ind w:left="0" w:right="0" w:firstLine="0"/>
              <w:jc w:val="left"/>
              <w:rPr>
                <w:rFonts w:ascii="Arial" w:eastAsia="Times New Roman" w:hAnsi="Arial" w:cs="Arial"/>
                <w:b/>
                <w:bCs/>
                <w:kern w:val="0"/>
                <w:sz w:val="28"/>
                <w:szCs w:val="28"/>
                <w:lang w:val="en-ZA"/>
                <w14:ligatures w14:val="none"/>
              </w:rPr>
            </w:pPr>
          </w:p>
        </w:tc>
      </w:tr>
      <w:tr w:rsidR="00E02D1F" w:rsidRPr="0013732A" w14:paraId="1F309435" w14:textId="77777777" w:rsidTr="00792ADD">
        <w:tc>
          <w:tcPr>
            <w:tcW w:w="9072" w:type="dxa"/>
            <w:gridSpan w:val="2"/>
            <w:hideMark/>
          </w:tcPr>
          <w:p w14:paraId="1EEA57A2" w14:textId="74CD5860" w:rsidR="00E02D1F" w:rsidRPr="004275AB" w:rsidRDefault="00E02D1F" w:rsidP="00792ADD">
            <w:pPr>
              <w:spacing w:before="0" w:after="0" w:line="240" w:lineRule="auto"/>
              <w:ind w:left="0" w:right="0" w:firstLine="0"/>
              <w:jc w:val="right"/>
              <w:rPr>
                <w:rFonts w:ascii="Arial" w:eastAsia="Times New Roman" w:hAnsi="Arial" w:cs="Arial"/>
                <w:b/>
                <w:bCs/>
                <w:kern w:val="0"/>
                <w:sz w:val="28"/>
                <w:szCs w:val="28"/>
                <w:lang w:val="en-ZA"/>
                <w14:ligatures w14:val="none"/>
              </w:rPr>
            </w:pPr>
            <w:r w:rsidRPr="004275AB">
              <w:rPr>
                <w:rFonts w:ascii="Arial" w:eastAsia="Times New Roman" w:hAnsi="Arial" w:cs="Arial"/>
                <w:b/>
                <w:bCs/>
                <w:kern w:val="0"/>
                <w:sz w:val="28"/>
                <w:szCs w:val="28"/>
                <w:lang w:val="en-ZA"/>
                <w14:ligatures w14:val="none"/>
              </w:rPr>
              <w:t>Case No: 00</w:t>
            </w:r>
            <w:r w:rsidR="00762652" w:rsidRPr="004275AB">
              <w:rPr>
                <w:rFonts w:ascii="Arial" w:eastAsia="Times New Roman" w:hAnsi="Arial" w:cs="Arial"/>
                <w:b/>
                <w:bCs/>
                <w:kern w:val="0"/>
                <w:sz w:val="28"/>
                <w:szCs w:val="28"/>
                <w:lang w:val="en-ZA"/>
                <w14:ligatures w14:val="none"/>
              </w:rPr>
              <w:t>5278</w:t>
            </w:r>
            <w:r w:rsidRPr="004275AB">
              <w:rPr>
                <w:rFonts w:ascii="Arial" w:eastAsia="Times New Roman" w:hAnsi="Arial" w:cs="Arial"/>
                <w:b/>
                <w:bCs/>
                <w:kern w:val="0"/>
                <w:sz w:val="28"/>
                <w:szCs w:val="28"/>
                <w:lang w:val="en-ZA"/>
                <w14:ligatures w14:val="none"/>
              </w:rPr>
              <w:t>/2023</w:t>
            </w:r>
          </w:p>
        </w:tc>
      </w:tr>
    </w:tbl>
    <w:p w14:paraId="419A74FA" w14:textId="39CB9ADB" w:rsidR="00644633" w:rsidRPr="00AD4315" w:rsidRDefault="00644633" w:rsidP="00AD4315">
      <w:pPr>
        <w:tabs>
          <w:tab w:val="left" w:pos="2342"/>
          <w:tab w:val="center" w:pos="4513"/>
        </w:tabs>
        <w:spacing w:before="0" w:after="0" w:line="240" w:lineRule="auto"/>
        <w:ind w:left="0" w:right="0" w:firstLine="0"/>
        <w:outlineLvl w:val="0"/>
        <w:rPr>
          <w:rFonts w:ascii="Arial" w:eastAsia="Times New Roman" w:hAnsi="Arial" w:cs="Arial"/>
          <w:kern w:val="0"/>
          <w:lang w:val="en-ZA"/>
          <w14:ligatures w14:val="none"/>
        </w:rPr>
      </w:pPr>
      <w:r w:rsidRPr="0013732A">
        <w:rPr>
          <w:rFonts w:ascii="Arial" w:eastAsia="Times New Roman" w:hAnsi="Arial" w:cs="Arial"/>
          <w:noProof/>
          <w:kern w:val="0"/>
          <w:lang w:val="en-ZA" w:eastAsia="en-ZA"/>
          <w14:ligatures w14:val="none"/>
        </w:rPr>
        <w:drawing>
          <wp:anchor distT="0" distB="0" distL="114300" distR="114300" simplePos="0" relativeHeight="251658240" behindDoc="1" locked="0" layoutInCell="1" allowOverlap="1" wp14:anchorId="75420EAF" wp14:editId="14FB6AA1">
            <wp:simplePos x="0" y="0"/>
            <wp:positionH relativeFrom="margin">
              <wp:posOffset>2057400</wp:posOffset>
            </wp:positionH>
            <wp:positionV relativeFrom="paragraph">
              <wp:posOffset>-817879</wp:posOffset>
            </wp:positionV>
            <wp:extent cx="1390650" cy="1390650"/>
            <wp:effectExtent l="0" t="0" r="0" b="0"/>
            <wp:wrapTight wrapText="bothSides">
              <wp:wrapPolygon edited="0">
                <wp:start x="0" y="0"/>
                <wp:lineTo x="0" y="21304"/>
                <wp:lineTo x="21304" y="21304"/>
                <wp:lineTo x="21304" y="0"/>
                <wp:lineTo x="0" y="0"/>
              </wp:wrapPolygon>
            </wp:wrapTight>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88546104"/>
      <w:r w:rsidRPr="007B7F59">
        <w:rPr>
          <w:rFonts w:cs="Arial"/>
          <w:noProof/>
          <w:lang w:val="en-ZA" w:eastAsia="en-ZA"/>
        </w:rPr>
        <mc:AlternateContent>
          <mc:Choice Requires="wps">
            <w:drawing>
              <wp:anchor distT="0" distB="0" distL="114300" distR="114300" simplePos="0" relativeHeight="251664384" behindDoc="1" locked="0" layoutInCell="1" allowOverlap="1" wp14:anchorId="76906D2C" wp14:editId="36D5930E">
                <wp:simplePos x="0" y="0"/>
                <wp:positionH relativeFrom="margin">
                  <wp:posOffset>285750</wp:posOffset>
                </wp:positionH>
                <wp:positionV relativeFrom="paragraph">
                  <wp:posOffset>239395</wp:posOffset>
                </wp:positionV>
                <wp:extent cx="3028950" cy="11239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23950"/>
                        </a:xfrm>
                        <a:prstGeom prst="rect">
                          <a:avLst/>
                        </a:prstGeom>
                        <a:solidFill>
                          <a:srgbClr val="FFFFFF"/>
                        </a:solidFill>
                        <a:ln w="9525">
                          <a:solidFill>
                            <a:srgbClr val="000000"/>
                          </a:solidFill>
                          <a:miter lim="800000"/>
                          <a:headEnd/>
                          <a:tailEnd/>
                        </a:ln>
                      </wps:spPr>
                      <wps:txbx>
                        <w:txbxContent>
                          <w:p w14:paraId="3B01BFED" w14:textId="3979AEAB" w:rsidR="00644633" w:rsidRPr="003B746C" w:rsidRDefault="00D15956" w:rsidP="00D15956">
                            <w:pPr>
                              <w:tabs>
                                <w:tab w:val="left" w:pos="900"/>
                              </w:tabs>
                              <w:spacing w:before="0" w:after="0" w:line="240" w:lineRule="auto"/>
                              <w:ind w:left="900" w:right="0"/>
                              <w:jc w:val="left"/>
                              <w:rPr>
                                <w:rFonts w:cs="Arial"/>
                                <w:sz w:val="18"/>
                                <w:szCs w:val="20"/>
                              </w:rPr>
                            </w:pPr>
                            <w:r w:rsidRPr="003B746C">
                              <w:rPr>
                                <w:rFonts w:cs="Arial"/>
                                <w:sz w:val="18"/>
                                <w:szCs w:val="20"/>
                              </w:rPr>
                              <w:t>(1)</w:t>
                            </w:r>
                            <w:r w:rsidRPr="003B746C">
                              <w:rPr>
                                <w:rFonts w:cs="Arial"/>
                                <w:sz w:val="18"/>
                                <w:szCs w:val="20"/>
                              </w:rPr>
                              <w:tab/>
                            </w:r>
                            <w:r w:rsidR="00644633" w:rsidRPr="003B746C">
                              <w:rPr>
                                <w:rFonts w:cs="Arial"/>
                                <w:sz w:val="18"/>
                                <w:szCs w:val="20"/>
                              </w:rPr>
                              <w:t xml:space="preserve">REPORTABLE: </w:t>
                            </w:r>
                            <w:r w:rsidR="00644633" w:rsidRPr="003767D6">
                              <w:rPr>
                                <w:rFonts w:cs="Arial"/>
                                <w:strike/>
                                <w:sz w:val="18"/>
                                <w:szCs w:val="20"/>
                              </w:rPr>
                              <w:t>YES /</w:t>
                            </w:r>
                            <w:r w:rsidR="00644633" w:rsidRPr="003767D6">
                              <w:rPr>
                                <w:rFonts w:cs="Arial"/>
                                <w:sz w:val="18"/>
                                <w:szCs w:val="20"/>
                              </w:rPr>
                              <w:t xml:space="preserve"> NO</w:t>
                            </w:r>
                          </w:p>
                          <w:p w14:paraId="4D2CC68E" w14:textId="2B09FE9E" w:rsidR="00644633" w:rsidRPr="003B746C" w:rsidRDefault="00D15956" w:rsidP="00D15956">
                            <w:pPr>
                              <w:tabs>
                                <w:tab w:val="left" w:pos="900"/>
                              </w:tabs>
                              <w:spacing w:before="0" w:after="0" w:line="240" w:lineRule="auto"/>
                              <w:ind w:left="900" w:right="0"/>
                              <w:jc w:val="left"/>
                              <w:rPr>
                                <w:rFonts w:cs="Arial"/>
                                <w:sz w:val="18"/>
                                <w:szCs w:val="20"/>
                              </w:rPr>
                            </w:pPr>
                            <w:r w:rsidRPr="003B746C">
                              <w:rPr>
                                <w:rFonts w:cs="Arial"/>
                                <w:sz w:val="18"/>
                                <w:szCs w:val="20"/>
                              </w:rPr>
                              <w:t>(2)</w:t>
                            </w:r>
                            <w:r w:rsidRPr="003B746C">
                              <w:rPr>
                                <w:rFonts w:cs="Arial"/>
                                <w:sz w:val="18"/>
                                <w:szCs w:val="20"/>
                              </w:rPr>
                              <w:tab/>
                            </w:r>
                            <w:r w:rsidR="00644633" w:rsidRPr="003B746C">
                              <w:rPr>
                                <w:rFonts w:cs="Arial"/>
                                <w:sz w:val="18"/>
                                <w:szCs w:val="20"/>
                              </w:rPr>
                              <w:t>OF INTEREST TO OTHER JUDGES</w:t>
                            </w:r>
                            <w:r w:rsidR="00644633" w:rsidRPr="003767D6">
                              <w:rPr>
                                <w:rFonts w:cs="Arial"/>
                                <w:strike/>
                                <w:sz w:val="18"/>
                                <w:szCs w:val="20"/>
                              </w:rPr>
                              <w:t>: YES/</w:t>
                            </w:r>
                            <w:r w:rsidR="00644633" w:rsidRPr="003767D6">
                              <w:rPr>
                                <w:rFonts w:cs="Arial"/>
                                <w:sz w:val="18"/>
                                <w:szCs w:val="20"/>
                              </w:rPr>
                              <w:t>NO</w:t>
                            </w:r>
                          </w:p>
                          <w:p w14:paraId="49CA1F29" w14:textId="78C4A565" w:rsidR="00644633" w:rsidRDefault="00D15956" w:rsidP="00D15956">
                            <w:pPr>
                              <w:tabs>
                                <w:tab w:val="left" w:pos="900"/>
                              </w:tabs>
                              <w:spacing w:before="0" w:after="0" w:line="240" w:lineRule="auto"/>
                              <w:ind w:left="900" w:right="0"/>
                              <w:jc w:val="left"/>
                              <w:rPr>
                                <w:rFonts w:cs="Arial"/>
                                <w:sz w:val="18"/>
                                <w:szCs w:val="20"/>
                              </w:rPr>
                            </w:pPr>
                            <w:r>
                              <w:rPr>
                                <w:rFonts w:cs="Arial"/>
                                <w:sz w:val="18"/>
                                <w:szCs w:val="20"/>
                              </w:rPr>
                              <w:t>(3)</w:t>
                            </w:r>
                            <w:r>
                              <w:rPr>
                                <w:rFonts w:cs="Arial"/>
                                <w:sz w:val="18"/>
                                <w:szCs w:val="20"/>
                              </w:rPr>
                              <w:tab/>
                            </w:r>
                            <w:r w:rsidR="003767D6">
                              <w:rPr>
                                <w:rFonts w:cs="Arial"/>
                                <w:sz w:val="18"/>
                                <w:szCs w:val="20"/>
                              </w:rPr>
                              <w:t>REVISED: YES</w:t>
                            </w:r>
                          </w:p>
                          <w:p w14:paraId="038B78D6" w14:textId="0E356F70" w:rsidR="00644633" w:rsidRDefault="00644633" w:rsidP="00644633">
                            <w:pPr>
                              <w:spacing w:before="240" w:after="0" w:line="240" w:lineRule="auto"/>
                              <w:ind w:left="180" w:firstLine="0"/>
                              <w:rPr>
                                <w:rFonts w:cs="Arial"/>
                                <w:b/>
                                <w:sz w:val="18"/>
                                <w:szCs w:val="20"/>
                              </w:rPr>
                            </w:pPr>
                          </w:p>
                          <w:p w14:paraId="1A9BEBFD" w14:textId="3A49A033" w:rsidR="00644633" w:rsidRPr="00644633" w:rsidRDefault="00644633" w:rsidP="00644633">
                            <w:pPr>
                              <w:spacing w:before="0" w:after="0" w:line="240" w:lineRule="auto"/>
                              <w:ind w:left="180" w:firstLine="0"/>
                              <w:rPr>
                                <w:rFonts w:cs="Arial"/>
                                <w:b/>
                                <w:noProof/>
                                <w:sz w:val="18"/>
                                <w:szCs w:val="20"/>
                                <w:lang w:val="en-US"/>
                              </w:rPr>
                            </w:pPr>
                            <w:r>
                              <w:rPr>
                                <w:rFonts w:cs="Arial"/>
                                <w:b/>
                                <w:sz w:val="18"/>
                                <w:szCs w:val="20"/>
                              </w:rPr>
                              <w:t>………………………………</w:t>
                            </w:r>
                            <w:r w:rsidR="007B2048">
                              <w:rPr>
                                <w:rFonts w:cs="Arial"/>
                                <w:b/>
                                <w:sz w:val="18"/>
                                <w:szCs w:val="20"/>
                              </w:rPr>
                              <w:t xml:space="preserve">                   </w:t>
                            </w:r>
                            <w:r w:rsidR="007B2048">
                              <w:rPr>
                                <w:rFonts w:cs="Arial"/>
                                <w:b/>
                                <w:noProof/>
                                <w:sz w:val="18"/>
                                <w:szCs w:val="20"/>
                              </w:rPr>
                              <w:t>6 December 2023</w:t>
                            </w:r>
                          </w:p>
                          <w:p w14:paraId="4354131A" w14:textId="3694C414" w:rsidR="00644633" w:rsidRDefault="00644633" w:rsidP="00644633">
                            <w:pPr>
                              <w:spacing w:before="0" w:after="0" w:line="240" w:lineRule="auto"/>
                              <w:ind w:left="180" w:firstLine="0"/>
                              <w:rPr>
                                <w:rFonts w:cs="Arial"/>
                                <w:b/>
                                <w:sz w:val="18"/>
                                <w:szCs w:val="20"/>
                              </w:rPr>
                            </w:pPr>
                            <w:r>
                              <w:rPr>
                                <w:rFonts w:cs="Arial"/>
                                <w:b/>
                                <w:sz w:val="18"/>
                                <w:szCs w:val="20"/>
                              </w:rPr>
                              <w:t xml:space="preserve">SIGNATURE </w:t>
                            </w:r>
                            <w:r>
                              <w:rPr>
                                <w:rFonts w:cs="Arial"/>
                                <w:b/>
                                <w:sz w:val="18"/>
                                <w:szCs w:val="20"/>
                              </w:rPr>
                              <w:tab/>
                            </w:r>
                            <w:r>
                              <w:rPr>
                                <w:rFonts w:cs="Arial"/>
                                <w:b/>
                                <w:sz w:val="18"/>
                                <w:szCs w:val="20"/>
                              </w:rPr>
                              <w:tab/>
                            </w:r>
                            <w:r w:rsidR="007B2048">
                              <w:rPr>
                                <w:rFonts w:cs="Arial"/>
                                <w:b/>
                                <w:sz w:val="18"/>
                                <w:szCs w:val="20"/>
                              </w:rPr>
                              <w:t xml:space="preserve"> </w:t>
                            </w:r>
                            <w:r>
                              <w:rPr>
                                <w:rFonts w:cs="Arial"/>
                                <w:b/>
                                <w:sz w:val="18"/>
                                <w:szCs w:val="20"/>
                              </w:rPr>
                              <w:tab/>
                              <w:t>DATE</w:t>
                            </w:r>
                          </w:p>
                          <w:p w14:paraId="071B1387" w14:textId="1F282B66" w:rsidR="00644633" w:rsidRPr="00644633" w:rsidRDefault="00644633" w:rsidP="00644633">
                            <w:pPr>
                              <w:spacing w:before="240" w:after="0" w:line="240" w:lineRule="auto"/>
                              <w:ind w:left="180" w:firstLine="0"/>
                              <w:rPr>
                                <w:rFonts w:cs="Arial"/>
                                <w:b/>
                                <w:sz w:val="18"/>
                                <w:szCs w:val="20"/>
                              </w:rPr>
                            </w:pPr>
                          </w:p>
                          <w:p w14:paraId="18A76F34" w14:textId="74799E8E" w:rsidR="00644633" w:rsidRPr="00D15956" w:rsidRDefault="00D15956" w:rsidP="00D15956">
                            <w:pPr>
                              <w:tabs>
                                <w:tab w:val="left" w:pos="900"/>
                              </w:tabs>
                              <w:ind w:left="900"/>
                              <w:rPr>
                                <w:rFonts w:cs="Arial"/>
                                <w:sz w:val="18"/>
                                <w:szCs w:val="20"/>
                              </w:rPr>
                            </w:pPr>
                            <w:r w:rsidRPr="00644633">
                              <w:rPr>
                                <w:rFonts w:cs="Arial"/>
                                <w:sz w:val="18"/>
                                <w:szCs w:val="20"/>
                              </w:rPr>
                              <w:t>(4)</w:t>
                            </w:r>
                            <w:r w:rsidRPr="00644633">
                              <w:rPr>
                                <w:rFonts w:cs="Arial"/>
                                <w:sz w:val="18"/>
                                <w:szCs w:val="20"/>
                              </w:rPr>
                              <w:tab/>
                            </w:r>
                            <w:r w:rsidR="00644633" w:rsidRPr="00D15956">
                              <w:rPr>
                                <w:rFonts w:cs="Arial"/>
                                <w:sz w:val="18"/>
                                <w:szCs w:val="20"/>
                              </w:rPr>
                              <w:t>DATE</w:t>
                            </w:r>
                            <w:r w:rsidR="00644633" w:rsidRPr="00D15956">
                              <w:rPr>
                                <w:rFonts w:cs="Arial"/>
                                <w:sz w:val="18"/>
                                <w:szCs w:val="20"/>
                              </w:rPr>
                              <w:tab/>
                            </w:r>
                            <w:r w:rsidR="00644633" w:rsidRPr="00D15956">
                              <w:rPr>
                                <w:rFonts w:cs="Arial"/>
                                <w:sz w:val="18"/>
                                <w:szCs w:val="20"/>
                              </w:rPr>
                              <w:tab/>
                              <w:t xml:space="preserve"> SIGNATURE</w:t>
                            </w:r>
                          </w:p>
                          <w:p w14:paraId="6A1A3F1C" w14:textId="66204FD8" w:rsidR="00644633" w:rsidRPr="003B746C" w:rsidRDefault="00644633" w:rsidP="00644633">
                            <w:pPr>
                              <w:spacing w:before="240" w:after="0"/>
                              <w:ind w:left="0" w:firstLine="0"/>
                              <w:rPr>
                                <w:rFonts w:cs="Arial"/>
                                <w:b/>
                                <w:sz w:val="18"/>
                                <w:szCs w:val="20"/>
                              </w:rPr>
                            </w:pPr>
                          </w:p>
                          <w:p w14:paraId="0BF3FF80" w14:textId="77777777" w:rsidR="00644633" w:rsidRPr="003B746C" w:rsidRDefault="00644633" w:rsidP="00644633">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06D2C" id="_x0000_t202" coordsize="21600,21600" o:spt="202" path="m,l,21600r21600,l21600,xe">
                <v:stroke joinstyle="miter"/>
                <v:path gradientshapeok="t" o:connecttype="rect"/>
              </v:shapetype>
              <v:shape id="Text Box 2" o:spid="_x0000_s1026" type="#_x0000_t202" style="position:absolute;left:0;text-align:left;margin-left:22.5pt;margin-top:18.85pt;width:238.5pt;height:8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S4KAIAAFE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">
                <v:textbox>
                  <w:txbxContent>
                    <w:p w14:paraId="3B01BFED" w14:textId="3979AEAB" w:rsidR="00644633" w:rsidRPr="003B746C" w:rsidRDefault="00D15956" w:rsidP="00D15956">
                      <w:pPr>
                        <w:tabs>
                          <w:tab w:val="left" w:pos="900"/>
                        </w:tabs>
                        <w:spacing w:before="0" w:after="0" w:line="240" w:lineRule="auto"/>
                        <w:ind w:left="900" w:right="0"/>
                        <w:jc w:val="left"/>
                        <w:rPr>
                          <w:rFonts w:cs="Arial"/>
                          <w:sz w:val="18"/>
                          <w:szCs w:val="20"/>
                        </w:rPr>
                      </w:pPr>
                      <w:r w:rsidRPr="003B746C">
                        <w:rPr>
                          <w:rFonts w:cs="Arial"/>
                          <w:sz w:val="18"/>
                          <w:szCs w:val="20"/>
                        </w:rPr>
                        <w:t>(1)</w:t>
                      </w:r>
                      <w:r w:rsidRPr="003B746C">
                        <w:rPr>
                          <w:rFonts w:cs="Arial"/>
                          <w:sz w:val="18"/>
                          <w:szCs w:val="20"/>
                        </w:rPr>
                        <w:tab/>
                      </w:r>
                      <w:r w:rsidR="00644633" w:rsidRPr="003B746C">
                        <w:rPr>
                          <w:rFonts w:cs="Arial"/>
                          <w:sz w:val="18"/>
                          <w:szCs w:val="20"/>
                        </w:rPr>
                        <w:t xml:space="preserve">REPORTABLE: </w:t>
                      </w:r>
                      <w:r w:rsidR="00644633" w:rsidRPr="003767D6">
                        <w:rPr>
                          <w:rFonts w:cs="Arial"/>
                          <w:strike/>
                          <w:sz w:val="18"/>
                          <w:szCs w:val="20"/>
                        </w:rPr>
                        <w:t>YES /</w:t>
                      </w:r>
                      <w:r w:rsidR="00644633" w:rsidRPr="003767D6">
                        <w:rPr>
                          <w:rFonts w:cs="Arial"/>
                          <w:sz w:val="18"/>
                          <w:szCs w:val="20"/>
                        </w:rPr>
                        <w:t xml:space="preserve"> NO</w:t>
                      </w:r>
                    </w:p>
                    <w:p w14:paraId="4D2CC68E" w14:textId="2B09FE9E" w:rsidR="00644633" w:rsidRPr="003B746C" w:rsidRDefault="00D15956" w:rsidP="00D15956">
                      <w:pPr>
                        <w:tabs>
                          <w:tab w:val="left" w:pos="900"/>
                        </w:tabs>
                        <w:spacing w:before="0" w:after="0" w:line="240" w:lineRule="auto"/>
                        <w:ind w:left="900" w:right="0"/>
                        <w:jc w:val="left"/>
                        <w:rPr>
                          <w:rFonts w:cs="Arial"/>
                          <w:sz w:val="18"/>
                          <w:szCs w:val="20"/>
                        </w:rPr>
                      </w:pPr>
                      <w:r w:rsidRPr="003B746C">
                        <w:rPr>
                          <w:rFonts w:cs="Arial"/>
                          <w:sz w:val="18"/>
                          <w:szCs w:val="20"/>
                        </w:rPr>
                        <w:t>(2)</w:t>
                      </w:r>
                      <w:r w:rsidRPr="003B746C">
                        <w:rPr>
                          <w:rFonts w:cs="Arial"/>
                          <w:sz w:val="18"/>
                          <w:szCs w:val="20"/>
                        </w:rPr>
                        <w:tab/>
                      </w:r>
                      <w:r w:rsidR="00644633" w:rsidRPr="003B746C">
                        <w:rPr>
                          <w:rFonts w:cs="Arial"/>
                          <w:sz w:val="18"/>
                          <w:szCs w:val="20"/>
                        </w:rPr>
                        <w:t>OF INTEREST TO OTHER JUDGES</w:t>
                      </w:r>
                      <w:r w:rsidR="00644633" w:rsidRPr="003767D6">
                        <w:rPr>
                          <w:rFonts w:cs="Arial"/>
                          <w:strike/>
                          <w:sz w:val="18"/>
                          <w:szCs w:val="20"/>
                        </w:rPr>
                        <w:t>: YES/</w:t>
                      </w:r>
                      <w:r w:rsidR="00644633" w:rsidRPr="003767D6">
                        <w:rPr>
                          <w:rFonts w:cs="Arial"/>
                          <w:sz w:val="18"/>
                          <w:szCs w:val="20"/>
                        </w:rPr>
                        <w:t>NO</w:t>
                      </w:r>
                    </w:p>
                    <w:p w14:paraId="49CA1F29" w14:textId="78C4A565" w:rsidR="00644633" w:rsidRDefault="00D15956" w:rsidP="00D15956">
                      <w:pPr>
                        <w:tabs>
                          <w:tab w:val="left" w:pos="900"/>
                        </w:tabs>
                        <w:spacing w:before="0" w:after="0" w:line="240" w:lineRule="auto"/>
                        <w:ind w:left="900" w:right="0"/>
                        <w:jc w:val="left"/>
                        <w:rPr>
                          <w:rFonts w:cs="Arial"/>
                          <w:sz w:val="18"/>
                          <w:szCs w:val="20"/>
                        </w:rPr>
                      </w:pPr>
                      <w:r>
                        <w:rPr>
                          <w:rFonts w:cs="Arial"/>
                          <w:sz w:val="18"/>
                          <w:szCs w:val="20"/>
                        </w:rPr>
                        <w:t>(3)</w:t>
                      </w:r>
                      <w:r>
                        <w:rPr>
                          <w:rFonts w:cs="Arial"/>
                          <w:sz w:val="18"/>
                          <w:szCs w:val="20"/>
                        </w:rPr>
                        <w:tab/>
                      </w:r>
                      <w:r w:rsidR="003767D6">
                        <w:rPr>
                          <w:rFonts w:cs="Arial"/>
                          <w:sz w:val="18"/>
                          <w:szCs w:val="20"/>
                        </w:rPr>
                        <w:t>REVISED: YES</w:t>
                      </w:r>
                    </w:p>
                    <w:p w14:paraId="038B78D6" w14:textId="0E356F70" w:rsidR="00644633" w:rsidRDefault="00644633" w:rsidP="00644633">
                      <w:pPr>
                        <w:spacing w:before="240" w:after="0" w:line="240" w:lineRule="auto"/>
                        <w:ind w:left="180" w:firstLine="0"/>
                        <w:rPr>
                          <w:rFonts w:cs="Arial"/>
                          <w:b/>
                          <w:sz w:val="18"/>
                          <w:szCs w:val="20"/>
                        </w:rPr>
                      </w:pPr>
                    </w:p>
                    <w:p w14:paraId="1A9BEBFD" w14:textId="3A49A033" w:rsidR="00644633" w:rsidRPr="00644633" w:rsidRDefault="00644633" w:rsidP="00644633">
                      <w:pPr>
                        <w:spacing w:before="0" w:after="0" w:line="240" w:lineRule="auto"/>
                        <w:ind w:left="180" w:firstLine="0"/>
                        <w:rPr>
                          <w:rFonts w:cs="Arial"/>
                          <w:b/>
                          <w:noProof/>
                          <w:sz w:val="18"/>
                          <w:szCs w:val="20"/>
                          <w:lang w:val="en-US"/>
                        </w:rPr>
                      </w:pPr>
                      <w:r>
                        <w:rPr>
                          <w:rFonts w:cs="Arial"/>
                          <w:b/>
                          <w:sz w:val="18"/>
                          <w:szCs w:val="20"/>
                        </w:rPr>
                        <w:t>………………………………</w:t>
                      </w:r>
                      <w:r w:rsidR="007B2048">
                        <w:rPr>
                          <w:rFonts w:cs="Arial"/>
                          <w:b/>
                          <w:sz w:val="18"/>
                          <w:szCs w:val="20"/>
                        </w:rPr>
                        <w:t xml:space="preserve">                   </w:t>
                      </w:r>
                      <w:r w:rsidR="007B2048">
                        <w:rPr>
                          <w:rFonts w:cs="Arial"/>
                          <w:b/>
                          <w:noProof/>
                          <w:sz w:val="18"/>
                          <w:szCs w:val="20"/>
                        </w:rPr>
                        <w:t>6 December 2023</w:t>
                      </w:r>
                    </w:p>
                    <w:p w14:paraId="4354131A" w14:textId="3694C414" w:rsidR="00644633" w:rsidRDefault="00644633" w:rsidP="00644633">
                      <w:pPr>
                        <w:spacing w:before="0" w:after="0" w:line="240" w:lineRule="auto"/>
                        <w:ind w:left="180" w:firstLine="0"/>
                        <w:rPr>
                          <w:rFonts w:cs="Arial"/>
                          <w:b/>
                          <w:sz w:val="18"/>
                          <w:szCs w:val="20"/>
                        </w:rPr>
                      </w:pPr>
                      <w:r>
                        <w:rPr>
                          <w:rFonts w:cs="Arial"/>
                          <w:b/>
                          <w:sz w:val="18"/>
                          <w:szCs w:val="20"/>
                        </w:rPr>
                        <w:t xml:space="preserve">SIGNATURE </w:t>
                      </w:r>
                      <w:r>
                        <w:rPr>
                          <w:rFonts w:cs="Arial"/>
                          <w:b/>
                          <w:sz w:val="18"/>
                          <w:szCs w:val="20"/>
                        </w:rPr>
                        <w:tab/>
                      </w:r>
                      <w:r>
                        <w:rPr>
                          <w:rFonts w:cs="Arial"/>
                          <w:b/>
                          <w:sz w:val="18"/>
                          <w:szCs w:val="20"/>
                        </w:rPr>
                        <w:tab/>
                      </w:r>
                      <w:r w:rsidR="007B2048">
                        <w:rPr>
                          <w:rFonts w:cs="Arial"/>
                          <w:b/>
                          <w:sz w:val="18"/>
                          <w:szCs w:val="20"/>
                        </w:rPr>
                        <w:t xml:space="preserve"> </w:t>
                      </w:r>
                      <w:r>
                        <w:rPr>
                          <w:rFonts w:cs="Arial"/>
                          <w:b/>
                          <w:sz w:val="18"/>
                          <w:szCs w:val="20"/>
                        </w:rPr>
                        <w:tab/>
                        <w:t>DATE</w:t>
                      </w:r>
                    </w:p>
                    <w:p w14:paraId="071B1387" w14:textId="1F282B66" w:rsidR="00644633" w:rsidRPr="00644633" w:rsidRDefault="00644633" w:rsidP="00644633">
                      <w:pPr>
                        <w:spacing w:before="240" w:after="0" w:line="240" w:lineRule="auto"/>
                        <w:ind w:left="180" w:firstLine="0"/>
                        <w:rPr>
                          <w:rFonts w:cs="Arial"/>
                          <w:b/>
                          <w:sz w:val="18"/>
                          <w:szCs w:val="20"/>
                        </w:rPr>
                      </w:pPr>
                    </w:p>
                    <w:p w14:paraId="18A76F34" w14:textId="74799E8E" w:rsidR="00644633" w:rsidRPr="00D15956" w:rsidRDefault="00D15956" w:rsidP="00D15956">
                      <w:pPr>
                        <w:tabs>
                          <w:tab w:val="left" w:pos="900"/>
                        </w:tabs>
                        <w:ind w:left="900"/>
                        <w:rPr>
                          <w:rFonts w:cs="Arial"/>
                          <w:sz w:val="18"/>
                          <w:szCs w:val="20"/>
                        </w:rPr>
                      </w:pPr>
                      <w:r w:rsidRPr="00644633">
                        <w:rPr>
                          <w:rFonts w:cs="Arial"/>
                          <w:sz w:val="18"/>
                          <w:szCs w:val="20"/>
                        </w:rPr>
                        <w:t>(4)</w:t>
                      </w:r>
                      <w:r w:rsidRPr="00644633">
                        <w:rPr>
                          <w:rFonts w:cs="Arial"/>
                          <w:sz w:val="18"/>
                          <w:szCs w:val="20"/>
                        </w:rPr>
                        <w:tab/>
                      </w:r>
                      <w:r w:rsidR="00644633" w:rsidRPr="00D15956">
                        <w:rPr>
                          <w:rFonts w:cs="Arial"/>
                          <w:sz w:val="18"/>
                          <w:szCs w:val="20"/>
                        </w:rPr>
                        <w:t>DATE</w:t>
                      </w:r>
                      <w:r w:rsidR="00644633" w:rsidRPr="00D15956">
                        <w:rPr>
                          <w:rFonts w:cs="Arial"/>
                          <w:sz w:val="18"/>
                          <w:szCs w:val="20"/>
                        </w:rPr>
                        <w:tab/>
                      </w:r>
                      <w:r w:rsidR="00644633" w:rsidRPr="00D15956">
                        <w:rPr>
                          <w:rFonts w:cs="Arial"/>
                          <w:sz w:val="18"/>
                          <w:szCs w:val="20"/>
                        </w:rPr>
                        <w:tab/>
                        <w:t xml:space="preserve"> SIGNATURE</w:t>
                      </w:r>
                    </w:p>
                    <w:p w14:paraId="6A1A3F1C" w14:textId="66204FD8" w:rsidR="00644633" w:rsidRPr="003B746C" w:rsidRDefault="00644633" w:rsidP="00644633">
                      <w:pPr>
                        <w:spacing w:before="240" w:after="0"/>
                        <w:ind w:left="0" w:firstLine="0"/>
                        <w:rPr>
                          <w:rFonts w:cs="Arial"/>
                          <w:b/>
                          <w:sz w:val="18"/>
                          <w:szCs w:val="20"/>
                        </w:rPr>
                      </w:pPr>
                    </w:p>
                    <w:p w14:paraId="0BF3FF80" w14:textId="77777777" w:rsidR="00644633" w:rsidRPr="003B746C" w:rsidRDefault="00644633" w:rsidP="00644633">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type="tight" anchorx="margin"/>
              </v:shape>
            </w:pict>
          </mc:Fallback>
        </mc:AlternateContent>
      </w:r>
    </w:p>
    <w:p w14:paraId="76FD865B" w14:textId="6939B20A" w:rsidR="00644633" w:rsidRDefault="00644633" w:rsidP="00644633">
      <w:pPr>
        <w:tabs>
          <w:tab w:val="left" w:pos="1305"/>
        </w:tabs>
        <w:rPr>
          <w:rFonts w:ascii="Times New Roman" w:eastAsia="Times New Roman" w:hAnsi="Times New Roman"/>
          <w:sz w:val="2"/>
          <w:szCs w:val="2"/>
        </w:rPr>
      </w:pPr>
    </w:p>
    <w:p w14:paraId="7F952D2E" w14:textId="40F1FCBC" w:rsidR="00644633" w:rsidRDefault="00644633" w:rsidP="00644633">
      <w:pPr>
        <w:tabs>
          <w:tab w:val="left" w:pos="1305"/>
        </w:tabs>
        <w:rPr>
          <w:rFonts w:ascii="Times New Roman" w:eastAsia="Times New Roman" w:hAnsi="Times New Roman"/>
          <w:sz w:val="2"/>
          <w:szCs w:val="2"/>
        </w:rPr>
      </w:pPr>
    </w:p>
    <w:p w14:paraId="576E0FEE" w14:textId="5EE867A6" w:rsidR="00644633" w:rsidRDefault="00644633" w:rsidP="00644633">
      <w:pPr>
        <w:tabs>
          <w:tab w:val="left" w:pos="1305"/>
        </w:tabs>
        <w:rPr>
          <w:rFonts w:ascii="Times New Roman" w:eastAsia="Times New Roman" w:hAnsi="Times New Roman"/>
          <w:sz w:val="2"/>
          <w:szCs w:val="2"/>
        </w:rPr>
      </w:pPr>
    </w:p>
    <w:p w14:paraId="4535BC3C" w14:textId="281FD8F7" w:rsidR="00644633" w:rsidRPr="00644633" w:rsidRDefault="003767D6" w:rsidP="007B2048">
      <w:pPr>
        <w:tabs>
          <w:tab w:val="left" w:pos="7950"/>
        </w:tabs>
        <w:rPr>
          <w:rFonts w:ascii="Times New Roman" w:eastAsia="Times New Roman" w:hAnsi="Times New Roman"/>
          <w:sz w:val="2"/>
          <w:szCs w:val="2"/>
        </w:rPr>
      </w:pPr>
      <w:r>
        <w:rPr>
          <w:rFonts w:ascii="Times New Roman" w:eastAsia="Times New Roman" w:hAnsi="Times New Roman"/>
          <w:sz w:val="2"/>
          <w:szCs w:val="2"/>
        </w:rPr>
        <w:tab/>
      </w:r>
      <w:r>
        <w:rPr>
          <w:rFonts w:ascii="Times New Roman" w:eastAsia="Times New Roman" w:hAnsi="Times New Roman"/>
          <w:sz w:val="2"/>
          <w:szCs w:val="2"/>
        </w:rPr>
        <w:tab/>
      </w:r>
    </w:p>
    <w:tbl>
      <w:tblPr>
        <w:tblW w:w="8613" w:type="dxa"/>
        <w:tblLook w:val="04A0" w:firstRow="1" w:lastRow="0" w:firstColumn="1" w:lastColumn="0" w:noHBand="0" w:noVBand="1"/>
      </w:tblPr>
      <w:tblGrid>
        <w:gridCol w:w="5495"/>
        <w:gridCol w:w="3118"/>
      </w:tblGrid>
      <w:tr w:rsidR="00E02D1F" w:rsidRPr="0013732A" w14:paraId="19A02142" w14:textId="77777777" w:rsidTr="00212B6A">
        <w:tc>
          <w:tcPr>
            <w:tcW w:w="5495" w:type="dxa"/>
            <w:hideMark/>
          </w:tcPr>
          <w:bookmarkEnd w:id="1"/>
          <w:p w14:paraId="08782568" w14:textId="42251E5D"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In the matter between:</w:t>
            </w:r>
          </w:p>
        </w:tc>
        <w:tc>
          <w:tcPr>
            <w:tcW w:w="3118" w:type="dxa"/>
          </w:tcPr>
          <w:p w14:paraId="043FAB6D"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r>
      <w:tr w:rsidR="00E02D1F" w:rsidRPr="0013732A" w14:paraId="35255985" w14:textId="77777777" w:rsidTr="00212B6A">
        <w:tc>
          <w:tcPr>
            <w:tcW w:w="5495" w:type="dxa"/>
          </w:tcPr>
          <w:p w14:paraId="2F289E58" w14:textId="3D9F9F41"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c>
          <w:tcPr>
            <w:tcW w:w="3118" w:type="dxa"/>
          </w:tcPr>
          <w:p w14:paraId="444F66BE"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r>
      <w:tr w:rsidR="00E02D1F" w:rsidRPr="0013732A" w14:paraId="02851420" w14:textId="77777777" w:rsidTr="00212B6A">
        <w:tc>
          <w:tcPr>
            <w:tcW w:w="5495" w:type="dxa"/>
            <w:hideMark/>
          </w:tcPr>
          <w:p w14:paraId="74E81CA1" w14:textId="7BB6A8B6" w:rsidR="00E02D1F" w:rsidRPr="004275AB" w:rsidRDefault="00762652" w:rsidP="00792ADD">
            <w:pPr>
              <w:spacing w:before="0" w:after="0" w:line="240" w:lineRule="auto"/>
              <w:ind w:left="0" w:right="0" w:firstLine="0"/>
              <w:jc w:val="lef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RISE SECURITY SERVICES (PTY) LTD</w:t>
            </w:r>
          </w:p>
        </w:tc>
        <w:tc>
          <w:tcPr>
            <w:tcW w:w="3118" w:type="dxa"/>
            <w:hideMark/>
          </w:tcPr>
          <w:p w14:paraId="079F3A1D" w14:textId="377EA51F" w:rsidR="00E02D1F" w:rsidRPr="004275AB" w:rsidRDefault="00762652" w:rsidP="00792ADD">
            <w:pPr>
              <w:spacing w:before="0" w:after="0" w:line="240" w:lineRule="auto"/>
              <w:ind w:left="0" w:right="0" w:firstLine="0"/>
              <w:jc w:val="righ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Plaintiff</w:t>
            </w:r>
            <w:r w:rsidR="000F588B" w:rsidRPr="004275AB">
              <w:rPr>
                <w:rFonts w:ascii="Arial" w:eastAsia="Times New Roman" w:hAnsi="Arial" w:cs="Arial"/>
                <w:b/>
                <w:bCs/>
                <w:kern w:val="0"/>
                <w:lang w:val="en-ZA"/>
                <w14:ligatures w14:val="none"/>
              </w:rPr>
              <w:t xml:space="preserve"> (</w:t>
            </w:r>
            <w:r w:rsidR="00BE6CDE" w:rsidRPr="004275AB">
              <w:rPr>
                <w:rFonts w:ascii="Arial" w:eastAsia="Times New Roman" w:hAnsi="Arial" w:cs="Arial"/>
                <w:b/>
                <w:bCs/>
                <w:i/>
                <w:iCs/>
                <w:kern w:val="0"/>
                <w:lang w:val="en-ZA"/>
                <w14:ligatures w14:val="none"/>
              </w:rPr>
              <w:t>qua</w:t>
            </w:r>
            <w:r w:rsidR="00BE6CDE" w:rsidRPr="004275AB">
              <w:rPr>
                <w:rFonts w:ascii="Arial" w:eastAsia="Times New Roman" w:hAnsi="Arial" w:cs="Arial"/>
                <w:b/>
                <w:bCs/>
                <w:kern w:val="0"/>
                <w:lang w:val="en-ZA"/>
                <w14:ligatures w14:val="none"/>
              </w:rPr>
              <w:t xml:space="preserve"> applicant)</w:t>
            </w:r>
          </w:p>
        </w:tc>
      </w:tr>
      <w:tr w:rsidR="00E02D1F" w:rsidRPr="0013732A" w14:paraId="0F58E5E6" w14:textId="77777777" w:rsidTr="00212B6A">
        <w:tc>
          <w:tcPr>
            <w:tcW w:w="5495" w:type="dxa"/>
          </w:tcPr>
          <w:p w14:paraId="4661BBD5" w14:textId="5A87D730"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c>
          <w:tcPr>
            <w:tcW w:w="3118" w:type="dxa"/>
          </w:tcPr>
          <w:p w14:paraId="2E6FBAAA"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r>
      <w:tr w:rsidR="00E02D1F" w:rsidRPr="0013732A" w14:paraId="0C958067" w14:textId="77777777" w:rsidTr="00212B6A">
        <w:tc>
          <w:tcPr>
            <w:tcW w:w="5495" w:type="dxa"/>
            <w:hideMark/>
          </w:tcPr>
          <w:p w14:paraId="60786FBC"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and</w:t>
            </w:r>
          </w:p>
        </w:tc>
        <w:tc>
          <w:tcPr>
            <w:tcW w:w="3118" w:type="dxa"/>
          </w:tcPr>
          <w:p w14:paraId="07636E92"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r>
      <w:tr w:rsidR="00E02D1F" w:rsidRPr="0013732A" w14:paraId="06DDC4CF" w14:textId="77777777" w:rsidTr="00212B6A">
        <w:tc>
          <w:tcPr>
            <w:tcW w:w="5495" w:type="dxa"/>
          </w:tcPr>
          <w:p w14:paraId="5E6BAD15"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c>
          <w:tcPr>
            <w:tcW w:w="3118" w:type="dxa"/>
          </w:tcPr>
          <w:p w14:paraId="63DBEB46"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r>
      <w:tr w:rsidR="00E02D1F" w:rsidRPr="0013732A" w14:paraId="259B7A49" w14:textId="77777777" w:rsidTr="00212B6A">
        <w:tc>
          <w:tcPr>
            <w:tcW w:w="5495" w:type="dxa"/>
          </w:tcPr>
          <w:p w14:paraId="04D3EDA7" w14:textId="47D4F1B3" w:rsidR="00E02D1F" w:rsidRPr="004275AB" w:rsidRDefault="00762652" w:rsidP="00792ADD">
            <w:pPr>
              <w:spacing w:before="0" w:after="0" w:line="240" w:lineRule="auto"/>
              <w:ind w:left="0" w:right="0" w:firstLine="0"/>
              <w:jc w:val="lef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NATIONAL YOUTH DEVELOPMENT AGENCY</w:t>
            </w:r>
          </w:p>
        </w:tc>
        <w:tc>
          <w:tcPr>
            <w:tcW w:w="3118" w:type="dxa"/>
          </w:tcPr>
          <w:p w14:paraId="5150D8D6" w14:textId="7CAE7FC2" w:rsidR="00E02D1F" w:rsidRPr="004275AB" w:rsidRDefault="00762652" w:rsidP="00792ADD">
            <w:pPr>
              <w:spacing w:before="0" w:after="0" w:line="240" w:lineRule="auto"/>
              <w:ind w:left="0" w:right="0" w:firstLine="0"/>
              <w:jc w:val="right"/>
              <w:rPr>
                <w:rFonts w:ascii="Arial" w:eastAsia="Times New Roman" w:hAnsi="Arial" w:cs="Arial"/>
                <w:b/>
                <w:bCs/>
                <w:kern w:val="0"/>
                <w:lang w:val="en-ZA"/>
                <w14:ligatures w14:val="none"/>
              </w:rPr>
            </w:pPr>
            <w:r w:rsidRPr="004275AB">
              <w:rPr>
                <w:rFonts w:ascii="Arial" w:eastAsia="Times New Roman" w:hAnsi="Arial" w:cs="Arial"/>
                <w:b/>
                <w:bCs/>
                <w:kern w:val="0"/>
                <w:lang w:val="en-ZA"/>
                <w14:ligatures w14:val="none"/>
              </w:rPr>
              <w:t>Defendant</w:t>
            </w:r>
            <w:r w:rsidR="00BE6CDE" w:rsidRPr="004275AB">
              <w:rPr>
                <w:rFonts w:ascii="Arial" w:eastAsia="Times New Roman" w:hAnsi="Arial" w:cs="Arial"/>
                <w:b/>
                <w:bCs/>
                <w:kern w:val="0"/>
                <w:lang w:val="en-ZA"/>
                <w14:ligatures w14:val="none"/>
              </w:rPr>
              <w:t xml:space="preserve"> (</w:t>
            </w:r>
            <w:r w:rsidR="00BE6CDE" w:rsidRPr="004275AB">
              <w:rPr>
                <w:rFonts w:ascii="Arial" w:eastAsia="Times New Roman" w:hAnsi="Arial" w:cs="Arial"/>
                <w:b/>
                <w:bCs/>
                <w:i/>
                <w:iCs/>
                <w:kern w:val="0"/>
                <w:lang w:val="en-ZA"/>
                <w14:ligatures w14:val="none"/>
              </w:rPr>
              <w:t>qua</w:t>
            </w:r>
            <w:r w:rsidR="00BE6CDE" w:rsidRPr="004275AB">
              <w:rPr>
                <w:rFonts w:ascii="Arial" w:eastAsia="Times New Roman" w:hAnsi="Arial" w:cs="Arial"/>
                <w:b/>
                <w:bCs/>
                <w:kern w:val="0"/>
                <w:lang w:val="en-ZA"/>
                <w14:ligatures w14:val="none"/>
              </w:rPr>
              <w:t xml:space="preserve"> </w:t>
            </w:r>
            <w:r w:rsidR="0022237A" w:rsidRPr="004275AB">
              <w:rPr>
                <w:rFonts w:ascii="Arial" w:eastAsia="Times New Roman" w:hAnsi="Arial" w:cs="Arial"/>
                <w:b/>
                <w:bCs/>
                <w:kern w:val="0"/>
                <w:lang w:val="en-ZA"/>
                <w14:ligatures w14:val="none"/>
              </w:rPr>
              <w:t>respondent)</w:t>
            </w:r>
          </w:p>
        </w:tc>
      </w:tr>
      <w:tr w:rsidR="00E02D1F" w:rsidRPr="0013732A" w14:paraId="6F2482F2" w14:textId="77777777" w:rsidTr="00212B6A">
        <w:tc>
          <w:tcPr>
            <w:tcW w:w="5495" w:type="dxa"/>
          </w:tcPr>
          <w:p w14:paraId="58AF159D" w14:textId="77777777" w:rsidR="00E02D1F" w:rsidRPr="004275AB" w:rsidRDefault="00E02D1F" w:rsidP="00792ADD">
            <w:pPr>
              <w:spacing w:before="0" w:after="0" w:line="240" w:lineRule="auto"/>
              <w:ind w:left="0" w:right="0" w:firstLine="0"/>
              <w:jc w:val="left"/>
              <w:rPr>
                <w:rFonts w:ascii="Arial" w:eastAsia="Times New Roman" w:hAnsi="Arial" w:cs="Arial"/>
                <w:b/>
                <w:bCs/>
                <w:kern w:val="0"/>
                <w:lang w:val="en-ZA"/>
                <w14:ligatures w14:val="none"/>
              </w:rPr>
            </w:pPr>
          </w:p>
        </w:tc>
        <w:tc>
          <w:tcPr>
            <w:tcW w:w="3118" w:type="dxa"/>
          </w:tcPr>
          <w:p w14:paraId="4FDD12BB" w14:textId="77777777" w:rsidR="00E02D1F" w:rsidRPr="004275AB" w:rsidRDefault="00E02D1F" w:rsidP="00792ADD">
            <w:pPr>
              <w:spacing w:before="0" w:after="0" w:line="240" w:lineRule="auto"/>
              <w:ind w:left="0" w:right="0" w:firstLine="0"/>
              <w:jc w:val="right"/>
              <w:rPr>
                <w:rFonts w:ascii="Arial" w:eastAsia="Times New Roman" w:hAnsi="Arial" w:cs="Arial"/>
                <w:b/>
                <w:bCs/>
                <w:kern w:val="0"/>
                <w:lang w:val="en-ZA"/>
                <w14:ligatures w14:val="none"/>
              </w:rPr>
            </w:pPr>
          </w:p>
        </w:tc>
      </w:tr>
      <w:tr w:rsidR="00E02D1F" w:rsidRPr="0013732A" w14:paraId="35B9656D" w14:textId="77777777" w:rsidTr="00212B6A">
        <w:tc>
          <w:tcPr>
            <w:tcW w:w="8613" w:type="dxa"/>
            <w:gridSpan w:val="2"/>
          </w:tcPr>
          <w:p w14:paraId="4B05B9E5" w14:textId="19EB20A5" w:rsidR="00E02D1F" w:rsidRPr="004275AB" w:rsidRDefault="00E02D1F" w:rsidP="00792ADD">
            <w:pPr>
              <w:spacing w:before="0" w:after="0" w:line="240" w:lineRule="auto"/>
              <w:ind w:left="0" w:right="0" w:firstLine="0"/>
              <w:rPr>
                <w:rFonts w:ascii="Arial" w:eastAsia="Times New Roman" w:hAnsi="Arial" w:cs="Arial"/>
                <w:b/>
                <w:bCs/>
                <w:kern w:val="0"/>
                <w:sz w:val="26"/>
                <w:szCs w:val="26"/>
                <w:lang w:val="en-ZA"/>
                <w14:ligatures w14:val="none"/>
              </w:rPr>
            </w:pPr>
            <w:r w:rsidRPr="004275AB">
              <w:rPr>
                <w:rFonts w:ascii="Arial" w:eastAsia="Times New Roman" w:hAnsi="Arial" w:cs="Arial"/>
                <w:b/>
                <w:bCs/>
                <w:kern w:val="0"/>
                <w:sz w:val="22"/>
                <w:szCs w:val="22"/>
                <w:lang w:val="en-ZA"/>
                <w14:ligatures w14:val="none"/>
              </w:rPr>
              <w:t>Delivere</w:t>
            </w:r>
            <w:r w:rsidRPr="004275AB">
              <w:rPr>
                <w:rFonts w:ascii="Arial" w:eastAsia="Times New Roman" w:hAnsi="Arial" w:cs="Arial"/>
                <w:kern w:val="0"/>
                <w:sz w:val="22"/>
                <w:szCs w:val="22"/>
                <w:lang w:val="en-ZA"/>
                <w14:ligatures w14:val="none"/>
              </w:rPr>
              <w:t xml:space="preserve">d:  This judgment was prepared and authored by the Judge whose name is reflected in it and is handed down electronically by circulation to the parties/their legal representatives by email and by uploading it to the electronic file of this matter on CaseLines.  The date for hand-down is deemed to be </w:t>
            </w:r>
            <w:r w:rsidR="00AE0D89" w:rsidRPr="004275AB">
              <w:rPr>
                <w:rFonts w:ascii="Arial" w:eastAsia="Times New Roman" w:hAnsi="Arial" w:cs="Arial"/>
                <w:kern w:val="0"/>
                <w:sz w:val="22"/>
                <w:szCs w:val="22"/>
                <w:lang w:val="en-ZA"/>
                <w14:ligatures w14:val="none"/>
              </w:rPr>
              <w:t>6</w:t>
            </w:r>
            <w:r w:rsidRPr="004275AB">
              <w:rPr>
                <w:rFonts w:ascii="Arial" w:eastAsia="Times New Roman" w:hAnsi="Arial" w:cs="Arial"/>
                <w:kern w:val="0"/>
                <w:sz w:val="22"/>
                <w:szCs w:val="22"/>
                <w:lang w:val="en-ZA"/>
                <w14:ligatures w14:val="none"/>
              </w:rPr>
              <w:t xml:space="preserve"> </w:t>
            </w:r>
            <w:r w:rsidR="00021CB6" w:rsidRPr="004275AB">
              <w:rPr>
                <w:rFonts w:ascii="Arial" w:eastAsia="Times New Roman" w:hAnsi="Arial" w:cs="Arial"/>
                <w:kern w:val="0"/>
                <w:sz w:val="22"/>
                <w:szCs w:val="22"/>
                <w:lang w:val="en-ZA"/>
                <w14:ligatures w14:val="none"/>
              </w:rPr>
              <w:t>Dec</w:t>
            </w:r>
            <w:r w:rsidR="00762652" w:rsidRPr="004275AB">
              <w:rPr>
                <w:rFonts w:ascii="Arial" w:eastAsia="Times New Roman" w:hAnsi="Arial" w:cs="Arial"/>
                <w:kern w:val="0"/>
                <w:sz w:val="22"/>
                <w:szCs w:val="22"/>
                <w:lang w:val="en-ZA"/>
                <w14:ligatures w14:val="none"/>
              </w:rPr>
              <w:t>em</w:t>
            </w:r>
            <w:r w:rsidRPr="004275AB">
              <w:rPr>
                <w:rFonts w:ascii="Arial" w:eastAsia="Times New Roman" w:hAnsi="Arial" w:cs="Arial"/>
                <w:kern w:val="0"/>
                <w:sz w:val="22"/>
                <w:szCs w:val="22"/>
                <w:lang w:val="en-ZA"/>
                <w14:ligatures w14:val="none"/>
              </w:rPr>
              <w:t>ber 2023.</w:t>
            </w:r>
          </w:p>
        </w:tc>
      </w:tr>
    </w:tbl>
    <w:p w14:paraId="2474DB45" w14:textId="77777777" w:rsidR="00E02D1F" w:rsidRPr="004275AB" w:rsidRDefault="00E02D1F" w:rsidP="00E02D1F">
      <w:pPr>
        <w:pBdr>
          <w:top w:val="single" w:sz="6" w:space="18" w:color="auto"/>
          <w:bottom w:val="single" w:sz="6" w:space="18" w:color="auto"/>
        </w:pBdr>
        <w:spacing w:before="0" w:after="0" w:line="240" w:lineRule="auto"/>
        <w:ind w:left="0" w:right="0" w:firstLine="0"/>
        <w:jc w:val="center"/>
        <w:rPr>
          <w:rFonts w:ascii="Arial" w:eastAsia="Times New Roman" w:hAnsi="Arial" w:cs="Arial"/>
          <w:b/>
          <w:bCs/>
          <w:caps/>
          <w:kern w:val="28"/>
          <w:sz w:val="28"/>
          <w:szCs w:val="28"/>
          <w:lang w:val="en-ZA"/>
          <w14:ligatures w14:val="none"/>
        </w:rPr>
      </w:pPr>
      <w:r w:rsidRPr="004275AB">
        <w:rPr>
          <w:rFonts w:ascii="Arial" w:eastAsia="Times New Roman" w:hAnsi="Arial" w:cs="Arial"/>
          <w:b/>
          <w:bCs/>
          <w:caps/>
          <w:kern w:val="28"/>
          <w:sz w:val="28"/>
          <w:szCs w:val="28"/>
          <w:lang w:val="en-ZA"/>
          <w14:ligatures w14:val="none"/>
        </w:rPr>
        <w:t>JUDGMENT</w:t>
      </w:r>
    </w:p>
    <w:p w14:paraId="3A1690E2" w14:textId="77777777" w:rsidR="00AD4315" w:rsidRPr="00AD4315" w:rsidRDefault="00E02D1F" w:rsidP="00AD4315">
      <w:pPr>
        <w:spacing w:line="276" w:lineRule="auto"/>
        <w:ind w:left="0" w:right="0" w:firstLine="0"/>
        <w:rPr>
          <w:rFonts w:ascii="Arial" w:eastAsia="Times New Roman" w:hAnsi="Arial" w:cs="Arial"/>
          <w:b/>
          <w:bCs/>
          <w:kern w:val="0"/>
          <w:sz w:val="28"/>
          <w:szCs w:val="28"/>
          <w14:ligatures w14:val="none"/>
        </w:rPr>
      </w:pPr>
      <w:r w:rsidRPr="00AD4315">
        <w:rPr>
          <w:rFonts w:ascii="Arial" w:eastAsia="Times New Roman" w:hAnsi="Arial" w:cs="Arial"/>
          <w:b/>
          <w:bCs/>
          <w:kern w:val="0"/>
          <w:sz w:val="28"/>
          <w:szCs w:val="28"/>
          <w:u w:val="single"/>
          <w14:ligatures w14:val="none"/>
        </w:rPr>
        <w:t>DUNN AJ</w:t>
      </w:r>
      <w:r w:rsidRPr="00AD4315">
        <w:rPr>
          <w:rFonts w:ascii="Arial" w:eastAsia="Times New Roman" w:hAnsi="Arial" w:cs="Arial"/>
          <w:kern w:val="0"/>
          <w:sz w:val="28"/>
          <w:szCs w:val="28"/>
          <w14:ligatures w14:val="none"/>
        </w:rPr>
        <w:t>:</w:t>
      </w:r>
    </w:p>
    <w:p w14:paraId="456779A7" w14:textId="52058D9D" w:rsidR="00027DA8" w:rsidRPr="00AD4315" w:rsidRDefault="00762652" w:rsidP="00AD4315">
      <w:pPr>
        <w:spacing w:line="276" w:lineRule="auto"/>
        <w:ind w:left="0" w:right="0" w:firstLine="0"/>
        <w:rPr>
          <w:rFonts w:ascii="Times New Roman" w:eastAsia="Times New Roman" w:hAnsi="Times New Roman"/>
          <w:b/>
          <w:bCs/>
          <w:kern w:val="0"/>
          <w:sz w:val="28"/>
          <w:szCs w:val="28"/>
          <w:u w:val="single"/>
          <w14:ligatures w14:val="none"/>
        </w:rPr>
      </w:pPr>
      <w:r w:rsidRPr="00AD4315">
        <w:rPr>
          <w:rFonts w:ascii="Arial" w:hAnsi="Arial" w:cs="Arial"/>
          <w:b/>
          <w:bCs/>
          <w:u w:val="single"/>
        </w:rPr>
        <w:t>INTRODUCTION</w:t>
      </w:r>
    </w:p>
    <w:p w14:paraId="5370DFE7" w14:textId="44BE4597" w:rsidR="00753CDC" w:rsidRPr="00D15956" w:rsidRDefault="00D15956" w:rsidP="00D15956">
      <w:pPr>
        <w:spacing w:line="480" w:lineRule="auto"/>
        <w:ind w:left="720"/>
        <w:rPr>
          <w:rFonts w:ascii="Times New Roman" w:hAnsi="Times New Roman"/>
        </w:rPr>
      </w:pPr>
      <w:r>
        <w:rPr>
          <w:rFonts w:ascii="Arial" w:hAnsi="Arial" w:cs="Arial"/>
        </w:rPr>
        <w:t>[1].</w:t>
      </w:r>
      <w:r>
        <w:rPr>
          <w:rFonts w:ascii="Arial" w:hAnsi="Arial" w:cs="Arial"/>
        </w:rPr>
        <w:tab/>
      </w:r>
      <w:r w:rsidR="007524E3" w:rsidRPr="00D15956">
        <w:rPr>
          <w:rFonts w:ascii="Arial" w:hAnsi="Arial" w:cs="Arial"/>
        </w:rPr>
        <w:t xml:space="preserve">The </w:t>
      </w:r>
      <w:r w:rsidR="005D61D4" w:rsidRPr="00D15956">
        <w:rPr>
          <w:rFonts w:ascii="Arial" w:hAnsi="Arial" w:cs="Arial"/>
        </w:rPr>
        <w:t>plaintiff</w:t>
      </w:r>
      <w:r w:rsidR="00CD32B8" w:rsidRPr="00D15956">
        <w:rPr>
          <w:rFonts w:ascii="Arial" w:hAnsi="Arial" w:cs="Arial"/>
        </w:rPr>
        <w:t xml:space="preserve">, </w:t>
      </w:r>
      <w:r w:rsidR="002C422B" w:rsidRPr="00D15956">
        <w:rPr>
          <w:rFonts w:ascii="Arial" w:hAnsi="Arial" w:cs="Arial"/>
        </w:rPr>
        <w:t xml:space="preserve">i.e., </w:t>
      </w:r>
      <w:r w:rsidR="00CD32B8" w:rsidRPr="00D15956">
        <w:rPr>
          <w:rFonts w:ascii="Arial" w:hAnsi="Arial" w:cs="Arial"/>
        </w:rPr>
        <w:t>Rise Security Services</w:t>
      </w:r>
      <w:r w:rsidR="000C4C89" w:rsidRPr="00D15956">
        <w:rPr>
          <w:rFonts w:ascii="Arial" w:hAnsi="Arial" w:cs="Arial"/>
        </w:rPr>
        <w:t xml:space="preserve"> (Pty) Ltd (</w:t>
      </w:r>
      <w:r w:rsidR="000C4C89" w:rsidRPr="00D15956">
        <w:rPr>
          <w:rFonts w:ascii="Arial" w:hAnsi="Arial" w:cs="Arial"/>
          <w:b/>
          <w:bCs/>
        </w:rPr>
        <w:t>Rise Security</w:t>
      </w:r>
      <w:r w:rsidR="000C4C89" w:rsidRPr="00D15956">
        <w:rPr>
          <w:rFonts w:ascii="Arial" w:hAnsi="Arial" w:cs="Arial"/>
        </w:rPr>
        <w:t>)</w:t>
      </w:r>
      <w:r w:rsidR="002C422B" w:rsidRPr="00D15956">
        <w:rPr>
          <w:rFonts w:ascii="Arial" w:hAnsi="Arial" w:cs="Arial"/>
        </w:rPr>
        <w:t>, instituted action against the defendant</w:t>
      </w:r>
      <w:r w:rsidR="007C4004" w:rsidRPr="00D15956">
        <w:rPr>
          <w:rFonts w:ascii="Arial" w:hAnsi="Arial" w:cs="Arial"/>
        </w:rPr>
        <w:t>, i.e., The National Youth Development Agency (</w:t>
      </w:r>
      <w:r w:rsidR="007C4004" w:rsidRPr="00D15956">
        <w:rPr>
          <w:rFonts w:ascii="Arial" w:hAnsi="Arial" w:cs="Arial"/>
          <w:b/>
          <w:bCs/>
        </w:rPr>
        <w:t>NYDA</w:t>
      </w:r>
      <w:r w:rsidR="007C4004" w:rsidRPr="00D15956">
        <w:rPr>
          <w:rFonts w:ascii="Arial" w:hAnsi="Arial" w:cs="Arial"/>
        </w:rPr>
        <w:t xml:space="preserve">), </w:t>
      </w:r>
      <w:r w:rsidR="00194DAA" w:rsidRPr="00D15956">
        <w:rPr>
          <w:rFonts w:ascii="Arial" w:hAnsi="Arial" w:cs="Arial"/>
        </w:rPr>
        <w:t xml:space="preserve">for payment </w:t>
      </w:r>
      <w:r w:rsidR="0044631F" w:rsidRPr="00D15956">
        <w:rPr>
          <w:rFonts w:ascii="Arial" w:hAnsi="Arial" w:cs="Arial"/>
        </w:rPr>
        <w:t xml:space="preserve">of </w:t>
      </w:r>
      <w:r w:rsidR="001C235B" w:rsidRPr="00D15956">
        <w:rPr>
          <w:rFonts w:ascii="Arial" w:hAnsi="Arial" w:cs="Arial"/>
        </w:rPr>
        <w:t xml:space="preserve">the sum of </w:t>
      </w:r>
      <w:r w:rsidR="00194DAA" w:rsidRPr="00D15956">
        <w:rPr>
          <w:rFonts w:ascii="Arial" w:hAnsi="Arial" w:cs="Arial"/>
        </w:rPr>
        <w:t>R863 998.16</w:t>
      </w:r>
      <w:r w:rsidR="009D4B99" w:rsidRPr="00D15956">
        <w:rPr>
          <w:rFonts w:ascii="Times New Roman" w:hAnsi="Times New Roman"/>
        </w:rPr>
        <w:t xml:space="preserve">.  </w:t>
      </w:r>
    </w:p>
    <w:p w14:paraId="70EF46F7" w14:textId="5F62AFD6" w:rsidR="009D5238" w:rsidRPr="00D15956" w:rsidRDefault="00D15956" w:rsidP="00D15956">
      <w:pPr>
        <w:spacing w:line="480" w:lineRule="auto"/>
        <w:ind w:left="720"/>
        <w:rPr>
          <w:rFonts w:ascii="Arial" w:hAnsi="Arial" w:cs="Arial"/>
        </w:rPr>
      </w:pPr>
      <w:r w:rsidRPr="004275AB">
        <w:rPr>
          <w:rFonts w:ascii="Arial" w:hAnsi="Arial" w:cs="Arial"/>
        </w:rPr>
        <w:lastRenderedPageBreak/>
        <w:t>[2].</w:t>
      </w:r>
      <w:r w:rsidRPr="004275AB">
        <w:rPr>
          <w:rFonts w:ascii="Arial" w:hAnsi="Arial" w:cs="Arial"/>
        </w:rPr>
        <w:tab/>
      </w:r>
      <w:r w:rsidR="00BF424E" w:rsidRPr="00D15956">
        <w:rPr>
          <w:rFonts w:ascii="Arial" w:hAnsi="Arial" w:cs="Arial"/>
        </w:rPr>
        <w:t xml:space="preserve">The amount claimed by Rise Security </w:t>
      </w:r>
      <w:r w:rsidR="00C42417" w:rsidRPr="00D15956">
        <w:rPr>
          <w:rFonts w:ascii="Arial" w:hAnsi="Arial" w:cs="Arial"/>
        </w:rPr>
        <w:t xml:space="preserve">from the NYDA </w:t>
      </w:r>
      <w:r w:rsidR="009D4B99" w:rsidRPr="00D15956">
        <w:rPr>
          <w:rFonts w:ascii="Arial" w:hAnsi="Arial" w:cs="Arial"/>
        </w:rPr>
        <w:t>is alleged to be due and payable</w:t>
      </w:r>
      <w:r w:rsidR="0078036E" w:rsidRPr="00D15956">
        <w:rPr>
          <w:rFonts w:ascii="Arial" w:hAnsi="Arial" w:cs="Arial"/>
        </w:rPr>
        <w:t xml:space="preserve"> </w:t>
      </w:r>
      <w:r w:rsidR="001E6EB4" w:rsidRPr="00D15956">
        <w:rPr>
          <w:rFonts w:ascii="Arial" w:hAnsi="Arial" w:cs="Arial"/>
        </w:rPr>
        <w:t xml:space="preserve">in respect of </w:t>
      </w:r>
      <w:r w:rsidR="0078036E" w:rsidRPr="00D15956">
        <w:rPr>
          <w:rFonts w:ascii="Arial" w:hAnsi="Arial" w:cs="Arial"/>
        </w:rPr>
        <w:t>security services</w:t>
      </w:r>
      <w:r w:rsidR="008C31D2" w:rsidRPr="00D15956">
        <w:rPr>
          <w:rFonts w:ascii="Arial" w:hAnsi="Arial" w:cs="Arial"/>
        </w:rPr>
        <w:t xml:space="preserve"> </w:t>
      </w:r>
      <w:r w:rsidR="009A21D9" w:rsidRPr="00D15956">
        <w:rPr>
          <w:rFonts w:ascii="Arial" w:hAnsi="Arial" w:cs="Arial"/>
        </w:rPr>
        <w:t xml:space="preserve">rendered under an </w:t>
      </w:r>
      <w:r w:rsidR="0084038D" w:rsidRPr="00D15956">
        <w:rPr>
          <w:rFonts w:ascii="Arial" w:hAnsi="Arial" w:cs="Arial"/>
        </w:rPr>
        <w:t>agreement concluded between these parties</w:t>
      </w:r>
      <w:r w:rsidR="00C353F0" w:rsidRPr="00D15956">
        <w:rPr>
          <w:rFonts w:ascii="Arial" w:hAnsi="Arial" w:cs="Arial"/>
        </w:rPr>
        <w:t xml:space="preserve"> during October 2022</w:t>
      </w:r>
      <w:r w:rsidR="006D45A9" w:rsidRPr="00D15956">
        <w:rPr>
          <w:rFonts w:ascii="Arial" w:hAnsi="Arial" w:cs="Arial"/>
        </w:rPr>
        <w:t xml:space="preserve"> (</w:t>
      </w:r>
      <w:r w:rsidR="006D45A9" w:rsidRPr="00D15956">
        <w:rPr>
          <w:rFonts w:ascii="Arial" w:hAnsi="Arial" w:cs="Arial"/>
          <w:b/>
          <w:bCs/>
        </w:rPr>
        <w:t xml:space="preserve">the </w:t>
      </w:r>
      <w:r w:rsidR="00A818DB" w:rsidRPr="00D15956">
        <w:rPr>
          <w:rFonts w:ascii="Arial" w:hAnsi="Arial" w:cs="Arial"/>
          <w:b/>
          <w:bCs/>
        </w:rPr>
        <w:t xml:space="preserve">security </w:t>
      </w:r>
      <w:r w:rsidR="006D45A9" w:rsidRPr="00D15956">
        <w:rPr>
          <w:rFonts w:ascii="Arial" w:hAnsi="Arial" w:cs="Arial"/>
          <w:b/>
          <w:bCs/>
        </w:rPr>
        <w:t>contract</w:t>
      </w:r>
      <w:r w:rsidR="006D45A9" w:rsidRPr="00D15956">
        <w:rPr>
          <w:rFonts w:ascii="Arial" w:hAnsi="Arial" w:cs="Arial"/>
        </w:rPr>
        <w:t>)</w:t>
      </w:r>
      <w:r w:rsidR="00C353F0" w:rsidRPr="00D15956">
        <w:rPr>
          <w:rFonts w:ascii="Arial" w:hAnsi="Arial" w:cs="Arial"/>
        </w:rPr>
        <w:t>.</w:t>
      </w:r>
      <w:r w:rsidR="00EB3ED7" w:rsidRPr="004275AB">
        <w:rPr>
          <w:rStyle w:val="FootnoteReference"/>
          <w:rFonts w:ascii="Arial" w:hAnsi="Arial" w:cs="Arial"/>
        </w:rPr>
        <w:footnoteReference w:id="1"/>
      </w:r>
    </w:p>
    <w:p w14:paraId="635B554E" w14:textId="34125D1B" w:rsidR="00AA5023" w:rsidRPr="00D15956" w:rsidRDefault="00D15956" w:rsidP="00D15956">
      <w:pPr>
        <w:spacing w:line="480" w:lineRule="auto"/>
        <w:ind w:left="720"/>
        <w:rPr>
          <w:rFonts w:ascii="Arial" w:hAnsi="Arial" w:cs="Arial"/>
        </w:rPr>
      </w:pPr>
      <w:r w:rsidRPr="004275AB">
        <w:rPr>
          <w:rFonts w:ascii="Arial" w:hAnsi="Arial" w:cs="Arial"/>
        </w:rPr>
        <w:t>[3].</w:t>
      </w:r>
      <w:r w:rsidRPr="004275AB">
        <w:rPr>
          <w:rFonts w:ascii="Arial" w:hAnsi="Arial" w:cs="Arial"/>
        </w:rPr>
        <w:tab/>
      </w:r>
      <w:r w:rsidR="00F8799D" w:rsidRPr="00D15956">
        <w:rPr>
          <w:rFonts w:ascii="Arial" w:hAnsi="Arial" w:cs="Arial"/>
        </w:rPr>
        <w:t xml:space="preserve">Rise </w:t>
      </w:r>
      <w:r w:rsidR="00CE6C5C" w:rsidRPr="00D15956">
        <w:rPr>
          <w:rFonts w:ascii="Arial" w:hAnsi="Arial" w:cs="Arial"/>
        </w:rPr>
        <w:t>Security’s particulars of claim alleges that the security contract</w:t>
      </w:r>
      <w:r w:rsidR="00E31A44" w:rsidRPr="00D15956">
        <w:rPr>
          <w:rFonts w:ascii="Arial" w:hAnsi="Arial" w:cs="Arial"/>
        </w:rPr>
        <w:t xml:space="preserve"> was concluded partly in writing and</w:t>
      </w:r>
      <w:r w:rsidR="00D43946" w:rsidRPr="00D15956">
        <w:rPr>
          <w:rFonts w:ascii="Arial" w:hAnsi="Arial" w:cs="Arial"/>
        </w:rPr>
        <w:t xml:space="preserve"> partly orally</w:t>
      </w:r>
      <w:r w:rsidR="007B6E34" w:rsidRPr="00D15956">
        <w:rPr>
          <w:rFonts w:ascii="Arial" w:hAnsi="Arial" w:cs="Arial"/>
        </w:rPr>
        <w:t xml:space="preserve">.  </w:t>
      </w:r>
      <w:r w:rsidR="009E1395" w:rsidRPr="00D15956">
        <w:rPr>
          <w:rFonts w:ascii="Arial" w:hAnsi="Arial" w:cs="Arial"/>
        </w:rPr>
        <w:t>The written portion thereof is attached to the particulars of claim as annexure ‘</w:t>
      </w:r>
      <w:r w:rsidR="009E1395" w:rsidRPr="00D15956">
        <w:rPr>
          <w:rFonts w:ascii="Arial" w:hAnsi="Arial" w:cs="Arial"/>
          <w:b/>
          <w:bCs/>
        </w:rPr>
        <w:t>POC 1</w:t>
      </w:r>
      <w:r w:rsidR="009E1395" w:rsidRPr="00D15956">
        <w:rPr>
          <w:rFonts w:ascii="Arial" w:hAnsi="Arial" w:cs="Arial"/>
        </w:rPr>
        <w:t>’.</w:t>
      </w:r>
    </w:p>
    <w:p w14:paraId="54BC4DD4" w14:textId="3A12E192" w:rsidR="00C166B2" w:rsidRPr="00D15956" w:rsidRDefault="00D15956" w:rsidP="00D15956">
      <w:pPr>
        <w:spacing w:line="480" w:lineRule="auto"/>
        <w:ind w:left="720"/>
        <w:rPr>
          <w:rFonts w:ascii="Times New Roman" w:hAnsi="Times New Roman"/>
        </w:rPr>
      </w:pPr>
      <w:r>
        <w:rPr>
          <w:rFonts w:ascii="Arial" w:hAnsi="Arial" w:cs="Arial"/>
        </w:rPr>
        <w:t>[4].</w:t>
      </w:r>
      <w:r>
        <w:rPr>
          <w:rFonts w:ascii="Arial" w:hAnsi="Arial" w:cs="Arial"/>
        </w:rPr>
        <w:tab/>
      </w:r>
      <w:r w:rsidR="00C166B2" w:rsidRPr="00D15956">
        <w:rPr>
          <w:rFonts w:ascii="Arial" w:hAnsi="Arial" w:cs="Arial"/>
        </w:rPr>
        <w:t>Annexure ‘</w:t>
      </w:r>
      <w:r w:rsidR="00C166B2" w:rsidRPr="00D15956">
        <w:rPr>
          <w:rFonts w:ascii="Arial" w:hAnsi="Arial" w:cs="Arial"/>
          <w:b/>
          <w:bCs/>
        </w:rPr>
        <w:t>POC 1</w:t>
      </w:r>
      <w:r w:rsidR="00C166B2" w:rsidRPr="00D15956">
        <w:rPr>
          <w:rFonts w:ascii="Arial" w:hAnsi="Arial" w:cs="Arial"/>
        </w:rPr>
        <w:t xml:space="preserve">’ is </w:t>
      </w:r>
      <w:r w:rsidR="00F24E3C" w:rsidRPr="00D15956">
        <w:rPr>
          <w:rFonts w:ascii="Arial" w:hAnsi="Arial" w:cs="Arial"/>
        </w:rPr>
        <w:t xml:space="preserve">essentially </w:t>
      </w:r>
      <w:r w:rsidR="00C166B2" w:rsidRPr="00D15956">
        <w:rPr>
          <w:rFonts w:ascii="Arial" w:hAnsi="Arial" w:cs="Arial"/>
        </w:rPr>
        <w:t>comprised of t</w:t>
      </w:r>
      <w:r w:rsidR="00F24E3C" w:rsidRPr="00D15956">
        <w:rPr>
          <w:rFonts w:ascii="Arial" w:hAnsi="Arial" w:cs="Arial"/>
        </w:rPr>
        <w:t>wo</w:t>
      </w:r>
      <w:r w:rsidR="00C166B2" w:rsidRPr="00D15956">
        <w:rPr>
          <w:rFonts w:ascii="Arial" w:hAnsi="Arial" w:cs="Arial"/>
        </w:rPr>
        <w:t xml:space="preserve"> documents</w:t>
      </w:r>
      <w:r w:rsidR="00CD7EEC" w:rsidRPr="00D15956">
        <w:rPr>
          <w:rFonts w:ascii="Arial" w:hAnsi="Arial" w:cs="Arial"/>
        </w:rPr>
        <w:t xml:space="preserve">.  </w:t>
      </w:r>
      <w:r w:rsidR="00CD1813" w:rsidRPr="00D15956">
        <w:rPr>
          <w:rFonts w:ascii="Arial" w:hAnsi="Arial" w:cs="Arial"/>
        </w:rPr>
        <w:t>T</w:t>
      </w:r>
      <w:r w:rsidR="00F24E3C" w:rsidRPr="00D15956">
        <w:rPr>
          <w:rFonts w:ascii="Arial" w:hAnsi="Arial" w:cs="Arial"/>
        </w:rPr>
        <w:t xml:space="preserve">he first </w:t>
      </w:r>
      <w:r w:rsidR="0079605A" w:rsidRPr="00D15956">
        <w:rPr>
          <w:rFonts w:ascii="Arial" w:hAnsi="Arial" w:cs="Arial"/>
        </w:rPr>
        <w:t xml:space="preserve">document </w:t>
      </w:r>
      <w:r w:rsidR="00F24E3C" w:rsidRPr="00D15956">
        <w:rPr>
          <w:rFonts w:ascii="Arial" w:hAnsi="Arial" w:cs="Arial"/>
        </w:rPr>
        <w:t>is an email</w:t>
      </w:r>
      <w:r w:rsidR="00AF69D9" w:rsidRPr="00D15956">
        <w:rPr>
          <w:rFonts w:ascii="Arial" w:hAnsi="Arial" w:cs="Arial"/>
        </w:rPr>
        <w:t xml:space="preserve"> dated</w:t>
      </w:r>
      <w:r w:rsidR="004F1FF6" w:rsidRPr="00D15956">
        <w:rPr>
          <w:rFonts w:ascii="Arial" w:hAnsi="Arial" w:cs="Arial"/>
        </w:rPr>
        <w:t xml:space="preserve"> Friday, 28 October 2022</w:t>
      </w:r>
      <w:r w:rsidR="001C4538" w:rsidRPr="00D15956">
        <w:rPr>
          <w:rFonts w:ascii="Arial" w:hAnsi="Arial" w:cs="Arial"/>
        </w:rPr>
        <w:t xml:space="preserve">, addressed to </w:t>
      </w:r>
      <w:r w:rsidR="004F1FF6" w:rsidRPr="00D15956">
        <w:rPr>
          <w:rFonts w:ascii="Arial" w:hAnsi="Arial" w:cs="Arial"/>
        </w:rPr>
        <w:t xml:space="preserve">Mr </w:t>
      </w:r>
      <w:bookmarkStart w:id="3" w:name="_Hlk151472130"/>
      <w:r w:rsidR="00A64DF2" w:rsidRPr="00D15956">
        <w:rPr>
          <w:rFonts w:ascii="Arial" w:hAnsi="Arial" w:cs="Arial"/>
        </w:rPr>
        <w:t>Kenosi Moraka</w:t>
      </w:r>
      <w:bookmarkEnd w:id="3"/>
      <w:r w:rsidR="00A64DF2" w:rsidRPr="00D15956">
        <w:rPr>
          <w:rFonts w:ascii="Arial" w:hAnsi="Arial" w:cs="Arial"/>
        </w:rPr>
        <w:t xml:space="preserve"> </w:t>
      </w:r>
      <w:r w:rsidR="00954714" w:rsidRPr="00D15956">
        <w:rPr>
          <w:rFonts w:ascii="Arial" w:hAnsi="Arial" w:cs="Arial"/>
        </w:rPr>
        <w:t>of the NYDA</w:t>
      </w:r>
      <w:r w:rsidR="00BD1442" w:rsidRPr="00D15956">
        <w:rPr>
          <w:rFonts w:ascii="Arial" w:hAnsi="Arial" w:cs="Arial"/>
        </w:rPr>
        <w:t>,</w:t>
      </w:r>
      <w:r w:rsidR="00304CFD" w:rsidRPr="004275AB">
        <w:rPr>
          <w:rStyle w:val="FootnoteReference"/>
          <w:rFonts w:ascii="Arial" w:hAnsi="Arial" w:cs="Arial"/>
        </w:rPr>
        <w:footnoteReference w:id="2"/>
      </w:r>
      <w:r w:rsidR="00954714" w:rsidRPr="00D15956">
        <w:rPr>
          <w:rFonts w:ascii="Arial" w:hAnsi="Arial" w:cs="Arial"/>
        </w:rPr>
        <w:t xml:space="preserve"> together with </w:t>
      </w:r>
      <w:r w:rsidR="00D172BD" w:rsidRPr="00D15956">
        <w:rPr>
          <w:rFonts w:ascii="Arial" w:hAnsi="Arial" w:cs="Arial"/>
        </w:rPr>
        <w:t xml:space="preserve">a letter attached </w:t>
      </w:r>
      <w:r w:rsidR="009C2E58" w:rsidRPr="00D15956">
        <w:rPr>
          <w:rFonts w:ascii="Arial" w:hAnsi="Arial" w:cs="Arial"/>
        </w:rPr>
        <w:t>thereto.  The</w:t>
      </w:r>
      <w:r w:rsidR="00D172BD" w:rsidRPr="00D15956">
        <w:rPr>
          <w:rFonts w:ascii="Arial" w:hAnsi="Arial" w:cs="Arial"/>
        </w:rPr>
        <w:t xml:space="preserve"> </w:t>
      </w:r>
      <w:r w:rsidR="007B20AC" w:rsidRPr="00D15956">
        <w:rPr>
          <w:rFonts w:ascii="Arial" w:hAnsi="Arial" w:cs="Arial"/>
        </w:rPr>
        <w:t xml:space="preserve">attached </w:t>
      </w:r>
      <w:r w:rsidR="00D172BD" w:rsidRPr="00D15956">
        <w:rPr>
          <w:rFonts w:ascii="Arial" w:hAnsi="Arial" w:cs="Arial"/>
        </w:rPr>
        <w:t>letter</w:t>
      </w:r>
      <w:r w:rsidR="009C2E58" w:rsidRPr="00D15956">
        <w:rPr>
          <w:rFonts w:ascii="Arial" w:hAnsi="Arial" w:cs="Arial"/>
        </w:rPr>
        <w:t xml:space="preserve">, also dated 28 October 2022, </w:t>
      </w:r>
      <w:r w:rsidR="00CA1EC4" w:rsidRPr="00D15956">
        <w:rPr>
          <w:rFonts w:ascii="Arial" w:hAnsi="Arial" w:cs="Arial"/>
        </w:rPr>
        <w:t xml:space="preserve">contains </w:t>
      </w:r>
      <w:r w:rsidR="0098303C" w:rsidRPr="00D15956">
        <w:rPr>
          <w:rFonts w:ascii="Arial" w:hAnsi="Arial" w:cs="Arial"/>
        </w:rPr>
        <w:t>Rise Security’s</w:t>
      </w:r>
      <w:r w:rsidR="00EC019B" w:rsidRPr="00D15956">
        <w:rPr>
          <w:rFonts w:ascii="Arial" w:hAnsi="Arial" w:cs="Arial"/>
        </w:rPr>
        <w:t xml:space="preserve"> written quotation</w:t>
      </w:r>
      <w:r w:rsidR="001D34EB" w:rsidRPr="00D15956">
        <w:rPr>
          <w:rFonts w:ascii="Arial" w:hAnsi="Arial" w:cs="Arial"/>
        </w:rPr>
        <w:t xml:space="preserve"> for security services</w:t>
      </w:r>
      <w:r w:rsidR="007D7E41" w:rsidRPr="00D15956">
        <w:rPr>
          <w:rFonts w:ascii="Arial" w:hAnsi="Arial" w:cs="Arial"/>
        </w:rPr>
        <w:t xml:space="preserve"> to be rendered at the NYDA’s</w:t>
      </w:r>
      <w:r w:rsidR="001B2161" w:rsidRPr="00D15956">
        <w:rPr>
          <w:rFonts w:ascii="Arial" w:hAnsi="Arial" w:cs="Arial"/>
        </w:rPr>
        <w:t xml:space="preserve"> branch and district offices</w:t>
      </w:r>
      <w:r w:rsidR="00331C59" w:rsidRPr="00D15956">
        <w:rPr>
          <w:rFonts w:ascii="Arial" w:hAnsi="Arial" w:cs="Arial"/>
        </w:rPr>
        <w:t xml:space="preserve"> during the period 1 November 2022 </w:t>
      </w:r>
      <w:r w:rsidR="002D51C9" w:rsidRPr="00D15956">
        <w:rPr>
          <w:rFonts w:ascii="Arial" w:hAnsi="Arial" w:cs="Arial"/>
        </w:rPr>
        <w:t xml:space="preserve">to 31 December 2022.  </w:t>
      </w:r>
      <w:r w:rsidR="000C181D" w:rsidRPr="00D15956">
        <w:rPr>
          <w:rFonts w:ascii="Arial" w:hAnsi="Arial" w:cs="Arial"/>
        </w:rPr>
        <w:t>The material portion of this quotation reads as follows</w:t>
      </w:r>
      <w:r w:rsidR="000C181D" w:rsidRPr="00D15956">
        <w:rPr>
          <w:rFonts w:ascii="Times New Roman" w:hAnsi="Times New Roman"/>
        </w:rPr>
        <w:t>:</w:t>
      </w:r>
      <w:r w:rsidR="00003C3F">
        <w:rPr>
          <w:rStyle w:val="FootnoteReference"/>
          <w:rFonts w:ascii="Times New Roman" w:hAnsi="Times New Roman"/>
        </w:rPr>
        <w:footnoteReference w:id="3"/>
      </w:r>
    </w:p>
    <w:p w14:paraId="1941A344" w14:textId="0BB0F3AF" w:rsidR="000C181D" w:rsidRPr="004275AB" w:rsidRDefault="00800C32" w:rsidP="00B30D68">
      <w:pPr>
        <w:pStyle w:val="ListParagraph"/>
        <w:spacing w:before="120" w:line="240" w:lineRule="auto"/>
        <w:ind w:left="1440" w:firstLine="0"/>
        <w:contextualSpacing w:val="0"/>
        <w:rPr>
          <w:rFonts w:ascii="Arial" w:hAnsi="Arial" w:cs="Arial"/>
          <w:i/>
          <w:sz w:val="22"/>
          <w:szCs w:val="22"/>
        </w:rPr>
      </w:pPr>
      <w:r>
        <w:rPr>
          <w:rFonts w:ascii="Times New Roman" w:hAnsi="Times New Roman"/>
        </w:rPr>
        <w:t>‘</w:t>
      </w:r>
      <w:r w:rsidRPr="004275AB">
        <w:rPr>
          <w:rFonts w:ascii="Arial" w:hAnsi="Arial" w:cs="Arial"/>
          <w:i/>
          <w:sz w:val="22"/>
          <w:szCs w:val="22"/>
        </w:rPr>
        <w:t>Att</w:t>
      </w:r>
      <w:r w:rsidR="00093D74" w:rsidRPr="004275AB">
        <w:rPr>
          <w:rFonts w:ascii="Arial" w:hAnsi="Arial" w:cs="Arial"/>
          <w:i/>
          <w:sz w:val="22"/>
          <w:szCs w:val="22"/>
        </w:rPr>
        <w:t>: Kenosi Moraka</w:t>
      </w:r>
    </w:p>
    <w:p w14:paraId="00053A73" w14:textId="520BC700" w:rsidR="00C21120" w:rsidRPr="004275AB" w:rsidRDefault="000F0BC6" w:rsidP="00B30D68">
      <w:pPr>
        <w:pStyle w:val="ListParagraph"/>
        <w:spacing w:before="120" w:line="240" w:lineRule="auto"/>
        <w:ind w:left="1440" w:firstLine="0"/>
        <w:contextualSpacing w:val="0"/>
        <w:rPr>
          <w:rFonts w:ascii="Arial" w:hAnsi="Arial" w:cs="Arial"/>
          <w:i/>
          <w:sz w:val="22"/>
          <w:szCs w:val="22"/>
        </w:rPr>
      </w:pPr>
      <w:r w:rsidRPr="004275AB">
        <w:rPr>
          <w:rFonts w:ascii="Arial" w:hAnsi="Arial" w:cs="Arial"/>
          <w:i/>
          <w:sz w:val="22"/>
          <w:szCs w:val="22"/>
        </w:rPr>
        <w:t>I</w:t>
      </w:r>
      <w:r w:rsidR="00A6713A" w:rsidRPr="004275AB">
        <w:rPr>
          <w:rFonts w:ascii="Arial" w:hAnsi="Arial" w:cs="Arial"/>
          <w:i/>
          <w:sz w:val="22"/>
          <w:szCs w:val="22"/>
        </w:rPr>
        <w:t xml:space="preserve"> thank you for affording us this opportunity to quote for security services </w:t>
      </w:r>
      <w:r w:rsidRPr="004275AB">
        <w:rPr>
          <w:rFonts w:ascii="Arial" w:hAnsi="Arial" w:cs="Arial"/>
          <w:i/>
          <w:sz w:val="22"/>
          <w:szCs w:val="22"/>
        </w:rPr>
        <w:t>*</w:t>
      </w:r>
      <w:r w:rsidR="00A6713A" w:rsidRPr="004275AB">
        <w:rPr>
          <w:rFonts w:ascii="Arial" w:hAnsi="Arial" w:cs="Arial"/>
          <w:i/>
          <w:sz w:val="22"/>
          <w:szCs w:val="22"/>
        </w:rPr>
        <w:t>[</w:t>
      </w:r>
      <w:r w:rsidR="00A6713A" w:rsidRPr="004275AB">
        <w:rPr>
          <w:rFonts w:ascii="Arial" w:hAnsi="Arial" w:cs="Arial"/>
          <w:b/>
          <w:bCs/>
          <w:i/>
          <w:sz w:val="22"/>
          <w:szCs w:val="22"/>
        </w:rPr>
        <w:t>sic</w:t>
      </w:r>
      <w:r w:rsidR="006A315C" w:rsidRPr="004275AB">
        <w:rPr>
          <w:rFonts w:ascii="Arial" w:hAnsi="Arial" w:cs="Arial"/>
          <w:i/>
          <w:sz w:val="22"/>
          <w:szCs w:val="22"/>
        </w:rPr>
        <w:t xml:space="preserve">] NYDA security services.  </w:t>
      </w:r>
      <w:r w:rsidR="006066F5" w:rsidRPr="004275AB">
        <w:rPr>
          <w:rFonts w:ascii="Arial" w:hAnsi="Arial" w:cs="Arial"/>
          <w:i/>
          <w:sz w:val="22"/>
          <w:szCs w:val="22"/>
        </w:rPr>
        <w:t>I have great pleasure in submitting the following quotation from 1 November 2022 to 31 December 2022 for your consideration.</w:t>
      </w:r>
      <w:r w:rsidR="002D4954" w:rsidRPr="004275AB">
        <w:rPr>
          <w:rFonts w:ascii="Arial" w:hAnsi="Arial" w:cs="Arial"/>
          <w:i/>
          <w:sz w:val="22"/>
          <w:szCs w:val="22"/>
        </w:rPr>
        <w:t xml:space="preserve">  </w:t>
      </w:r>
      <w:r w:rsidRPr="004275AB">
        <w:rPr>
          <w:rFonts w:ascii="Arial" w:hAnsi="Arial" w:cs="Arial"/>
          <w:i/>
          <w:sz w:val="22"/>
          <w:szCs w:val="22"/>
        </w:rPr>
        <w:t>(Own *insertion).</w:t>
      </w:r>
    </w:p>
    <w:p w14:paraId="5FDE8F90" w14:textId="2A7682AF" w:rsidR="00093D74" w:rsidRPr="004275AB" w:rsidRDefault="00AB2EA5" w:rsidP="00B30D68">
      <w:pPr>
        <w:pStyle w:val="ListParagraph"/>
        <w:spacing w:before="120" w:line="240" w:lineRule="auto"/>
        <w:ind w:left="1440" w:firstLine="0"/>
        <w:contextualSpacing w:val="0"/>
        <w:rPr>
          <w:rFonts w:ascii="Arial" w:hAnsi="Arial" w:cs="Arial"/>
          <w:i/>
          <w:sz w:val="22"/>
          <w:szCs w:val="22"/>
        </w:rPr>
      </w:pPr>
      <w:r w:rsidRPr="004275AB">
        <w:rPr>
          <w:rFonts w:ascii="Arial" w:hAnsi="Arial" w:cs="Arial"/>
          <w:i/>
          <w:sz w:val="22"/>
          <w:szCs w:val="22"/>
        </w:rPr>
        <w:t>DESCRIPTION: QUOTATION FOR PROVISION OF SECURITY SERVICES @ NYDA OFFICES</w:t>
      </w:r>
    </w:p>
    <w:tbl>
      <w:tblPr>
        <w:tblStyle w:val="TableGrid"/>
        <w:tblW w:w="7807" w:type="dxa"/>
        <w:tblInd w:w="1440" w:type="dxa"/>
        <w:tblLook w:val="04A0" w:firstRow="1" w:lastRow="0" w:firstColumn="1" w:lastColumn="0" w:noHBand="0" w:noVBand="1"/>
      </w:tblPr>
      <w:tblGrid>
        <w:gridCol w:w="698"/>
        <w:gridCol w:w="1388"/>
        <w:gridCol w:w="1423"/>
        <w:gridCol w:w="1459"/>
        <w:gridCol w:w="1228"/>
        <w:gridCol w:w="97"/>
        <w:gridCol w:w="1346"/>
        <w:gridCol w:w="168"/>
      </w:tblGrid>
      <w:tr w:rsidR="00294541" w:rsidRPr="004275AB" w14:paraId="19572B8E" w14:textId="77777777" w:rsidTr="00294541">
        <w:tc>
          <w:tcPr>
            <w:tcW w:w="605" w:type="dxa"/>
          </w:tcPr>
          <w:p w14:paraId="156C7B8F" w14:textId="33A0BE2B" w:rsidR="00270351" w:rsidRPr="004275AB" w:rsidRDefault="00541F45" w:rsidP="004F4352">
            <w:pPr>
              <w:pStyle w:val="ListParagraph"/>
              <w:spacing w:before="120" w:line="240" w:lineRule="auto"/>
              <w:ind w:left="0" w:firstLine="0"/>
              <w:contextualSpacing w:val="0"/>
              <w:jc w:val="center"/>
              <w:rPr>
                <w:rFonts w:ascii="Arial" w:hAnsi="Arial" w:cs="Arial"/>
                <w:b/>
                <w:bCs/>
                <w:i/>
                <w:sz w:val="22"/>
                <w:szCs w:val="22"/>
              </w:rPr>
            </w:pPr>
            <w:r w:rsidRPr="004275AB">
              <w:rPr>
                <w:rFonts w:ascii="Arial" w:hAnsi="Arial" w:cs="Arial"/>
                <w:b/>
                <w:bCs/>
                <w:i/>
                <w:sz w:val="22"/>
                <w:szCs w:val="22"/>
              </w:rPr>
              <w:t>Item</w:t>
            </w:r>
          </w:p>
        </w:tc>
        <w:tc>
          <w:tcPr>
            <w:tcW w:w="2107" w:type="dxa"/>
          </w:tcPr>
          <w:p w14:paraId="7DCCDB49" w14:textId="4314AC30" w:rsidR="00270351" w:rsidRPr="004275AB" w:rsidRDefault="00541F45" w:rsidP="00B30D68">
            <w:pPr>
              <w:pStyle w:val="ListParagraph"/>
              <w:spacing w:before="120" w:line="240" w:lineRule="auto"/>
              <w:ind w:left="-33" w:firstLine="0"/>
              <w:contextualSpacing w:val="0"/>
              <w:jc w:val="center"/>
              <w:rPr>
                <w:rFonts w:ascii="Arial" w:hAnsi="Arial" w:cs="Arial"/>
                <w:b/>
                <w:bCs/>
                <w:i/>
                <w:sz w:val="22"/>
                <w:szCs w:val="22"/>
              </w:rPr>
            </w:pPr>
            <w:r w:rsidRPr="004275AB">
              <w:rPr>
                <w:rFonts w:ascii="Arial" w:hAnsi="Arial" w:cs="Arial"/>
                <w:b/>
                <w:bCs/>
                <w:i/>
                <w:sz w:val="22"/>
                <w:szCs w:val="22"/>
              </w:rPr>
              <w:t>Services Required</w:t>
            </w:r>
          </w:p>
        </w:tc>
        <w:tc>
          <w:tcPr>
            <w:tcW w:w="1606" w:type="dxa"/>
          </w:tcPr>
          <w:p w14:paraId="37058485" w14:textId="2FCAC2DA" w:rsidR="00270351" w:rsidRPr="004275AB" w:rsidRDefault="00541F45" w:rsidP="00B30D68">
            <w:pPr>
              <w:pStyle w:val="ListParagraph"/>
              <w:spacing w:before="120" w:line="240" w:lineRule="auto"/>
              <w:ind w:left="-33" w:firstLine="0"/>
              <w:contextualSpacing w:val="0"/>
              <w:jc w:val="right"/>
              <w:rPr>
                <w:rFonts w:ascii="Arial" w:hAnsi="Arial" w:cs="Arial"/>
                <w:b/>
                <w:bCs/>
                <w:i/>
                <w:sz w:val="22"/>
                <w:szCs w:val="22"/>
              </w:rPr>
            </w:pPr>
            <w:r w:rsidRPr="004275AB">
              <w:rPr>
                <w:rFonts w:ascii="Arial" w:hAnsi="Arial" w:cs="Arial"/>
                <w:b/>
                <w:bCs/>
                <w:i/>
                <w:sz w:val="22"/>
                <w:szCs w:val="22"/>
              </w:rPr>
              <w:t>Description</w:t>
            </w:r>
          </w:p>
        </w:tc>
        <w:tc>
          <w:tcPr>
            <w:tcW w:w="1213" w:type="dxa"/>
          </w:tcPr>
          <w:p w14:paraId="69B9A5AD" w14:textId="2E3E166C" w:rsidR="00270351" w:rsidRPr="004275AB" w:rsidRDefault="00541F45" w:rsidP="00B30D68">
            <w:pPr>
              <w:pStyle w:val="ListParagraph"/>
              <w:spacing w:before="120" w:line="240" w:lineRule="auto"/>
              <w:ind w:left="-33" w:firstLine="0"/>
              <w:contextualSpacing w:val="0"/>
              <w:jc w:val="center"/>
              <w:rPr>
                <w:rFonts w:ascii="Arial" w:hAnsi="Arial" w:cs="Arial"/>
                <w:b/>
                <w:bCs/>
                <w:i/>
                <w:sz w:val="22"/>
                <w:szCs w:val="22"/>
              </w:rPr>
            </w:pPr>
            <w:r w:rsidRPr="004275AB">
              <w:rPr>
                <w:rFonts w:ascii="Arial" w:hAnsi="Arial" w:cs="Arial"/>
                <w:b/>
                <w:bCs/>
                <w:i/>
                <w:sz w:val="22"/>
                <w:szCs w:val="22"/>
              </w:rPr>
              <w:t>Office</w:t>
            </w:r>
          </w:p>
        </w:tc>
        <w:tc>
          <w:tcPr>
            <w:tcW w:w="1109" w:type="dxa"/>
            <w:gridSpan w:val="2"/>
          </w:tcPr>
          <w:p w14:paraId="1215C301" w14:textId="50B32F4F" w:rsidR="00270351" w:rsidRPr="004275AB" w:rsidRDefault="00541F45" w:rsidP="00B30D68">
            <w:pPr>
              <w:pStyle w:val="ListParagraph"/>
              <w:spacing w:before="120" w:line="240" w:lineRule="auto"/>
              <w:ind w:left="-33" w:firstLine="0"/>
              <w:contextualSpacing w:val="0"/>
              <w:jc w:val="center"/>
              <w:rPr>
                <w:rFonts w:ascii="Arial" w:hAnsi="Arial" w:cs="Arial"/>
                <w:b/>
                <w:bCs/>
                <w:i/>
                <w:sz w:val="22"/>
                <w:szCs w:val="22"/>
              </w:rPr>
            </w:pPr>
            <w:r w:rsidRPr="004275AB">
              <w:rPr>
                <w:rFonts w:ascii="Arial" w:hAnsi="Arial" w:cs="Arial"/>
                <w:b/>
                <w:bCs/>
                <w:i/>
                <w:sz w:val="22"/>
                <w:szCs w:val="22"/>
              </w:rPr>
              <w:t>Unit Cost Per Shift</w:t>
            </w:r>
          </w:p>
        </w:tc>
        <w:tc>
          <w:tcPr>
            <w:tcW w:w="1167" w:type="dxa"/>
            <w:gridSpan w:val="2"/>
          </w:tcPr>
          <w:p w14:paraId="67E6B914" w14:textId="56B5DE9F" w:rsidR="00270351" w:rsidRPr="004275AB" w:rsidRDefault="00541F45" w:rsidP="00294541">
            <w:pPr>
              <w:pStyle w:val="ListParagraph"/>
              <w:spacing w:before="120" w:line="240" w:lineRule="auto"/>
              <w:ind w:left="-33" w:right="-88" w:firstLine="0"/>
              <w:contextualSpacing w:val="0"/>
              <w:jc w:val="center"/>
              <w:rPr>
                <w:rFonts w:ascii="Arial" w:hAnsi="Arial" w:cs="Arial"/>
                <w:b/>
                <w:bCs/>
                <w:i/>
                <w:sz w:val="22"/>
                <w:szCs w:val="22"/>
              </w:rPr>
            </w:pPr>
            <w:r w:rsidRPr="004275AB">
              <w:rPr>
                <w:rFonts w:ascii="Arial" w:hAnsi="Arial" w:cs="Arial"/>
                <w:b/>
                <w:bCs/>
                <w:i/>
                <w:sz w:val="22"/>
                <w:szCs w:val="22"/>
              </w:rPr>
              <w:t>Total Cost</w:t>
            </w:r>
          </w:p>
        </w:tc>
      </w:tr>
      <w:tr w:rsidR="00294541" w:rsidRPr="004275AB" w14:paraId="66FF2166" w14:textId="77777777" w:rsidTr="00294541">
        <w:tc>
          <w:tcPr>
            <w:tcW w:w="605" w:type="dxa"/>
          </w:tcPr>
          <w:p w14:paraId="402EA0A8" w14:textId="77777777" w:rsidR="00270351" w:rsidRPr="004275AB" w:rsidRDefault="00270351" w:rsidP="004F4352">
            <w:pPr>
              <w:pStyle w:val="ListParagraph"/>
              <w:spacing w:before="120" w:line="240" w:lineRule="auto"/>
              <w:ind w:left="0" w:firstLine="0"/>
              <w:contextualSpacing w:val="0"/>
              <w:rPr>
                <w:rFonts w:ascii="Arial" w:hAnsi="Arial" w:cs="Arial"/>
                <w:i/>
                <w:sz w:val="22"/>
                <w:szCs w:val="22"/>
              </w:rPr>
            </w:pPr>
          </w:p>
        </w:tc>
        <w:tc>
          <w:tcPr>
            <w:tcW w:w="2107" w:type="dxa"/>
            <w:tcBorders>
              <w:right w:val="nil"/>
            </w:tcBorders>
          </w:tcPr>
          <w:p w14:paraId="57D61E1A" w14:textId="682661CE" w:rsidR="00270351" w:rsidRPr="004275AB" w:rsidRDefault="00C21120" w:rsidP="00B30D68">
            <w:pPr>
              <w:pStyle w:val="ListParagraph"/>
              <w:spacing w:before="120" w:line="240" w:lineRule="auto"/>
              <w:ind w:left="-33" w:firstLine="0"/>
              <w:contextualSpacing w:val="0"/>
              <w:jc w:val="right"/>
              <w:rPr>
                <w:rFonts w:ascii="Arial" w:hAnsi="Arial" w:cs="Arial"/>
                <w:i/>
                <w:sz w:val="22"/>
                <w:szCs w:val="22"/>
              </w:rPr>
            </w:pPr>
            <w:r w:rsidRPr="004275AB">
              <w:rPr>
                <w:rFonts w:ascii="Arial" w:hAnsi="Arial" w:cs="Arial"/>
                <w:b/>
                <w:bCs/>
                <w:i/>
                <w:sz w:val="22"/>
                <w:szCs w:val="22"/>
              </w:rPr>
              <w:t>PRICING</w:t>
            </w:r>
          </w:p>
        </w:tc>
        <w:tc>
          <w:tcPr>
            <w:tcW w:w="1606" w:type="dxa"/>
            <w:tcBorders>
              <w:left w:val="nil"/>
            </w:tcBorders>
          </w:tcPr>
          <w:p w14:paraId="4C4DB9D0" w14:textId="77777777" w:rsidR="00270351" w:rsidRPr="004275AB" w:rsidRDefault="00270351" w:rsidP="00B30D68">
            <w:pPr>
              <w:pStyle w:val="ListParagraph"/>
              <w:spacing w:before="120" w:line="240" w:lineRule="auto"/>
              <w:ind w:left="-33" w:firstLine="0"/>
              <w:contextualSpacing w:val="0"/>
              <w:rPr>
                <w:rFonts w:ascii="Arial" w:hAnsi="Arial" w:cs="Arial"/>
                <w:i/>
                <w:sz w:val="22"/>
                <w:szCs w:val="22"/>
              </w:rPr>
            </w:pPr>
          </w:p>
        </w:tc>
        <w:tc>
          <w:tcPr>
            <w:tcW w:w="1213" w:type="dxa"/>
          </w:tcPr>
          <w:p w14:paraId="5CDE4FC1" w14:textId="77777777" w:rsidR="00270351" w:rsidRPr="004275AB" w:rsidRDefault="00270351" w:rsidP="00B30D68">
            <w:pPr>
              <w:pStyle w:val="ListParagraph"/>
              <w:spacing w:before="120" w:line="240" w:lineRule="auto"/>
              <w:ind w:left="-33" w:firstLine="0"/>
              <w:contextualSpacing w:val="0"/>
              <w:rPr>
                <w:rFonts w:ascii="Arial" w:hAnsi="Arial" w:cs="Arial"/>
                <w:i/>
                <w:sz w:val="22"/>
                <w:szCs w:val="22"/>
              </w:rPr>
            </w:pPr>
          </w:p>
        </w:tc>
        <w:tc>
          <w:tcPr>
            <w:tcW w:w="1109" w:type="dxa"/>
            <w:gridSpan w:val="2"/>
          </w:tcPr>
          <w:p w14:paraId="57A68E3B" w14:textId="77777777" w:rsidR="00270351" w:rsidRPr="004275AB" w:rsidRDefault="00270351" w:rsidP="00B30D68">
            <w:pPr>
              <w:pStyle w:val="ListParagraph"/>
              <w:spacing w:before="120" w:line="240" w:lineRule="auto"/>
              <w:ind w:left="-33" w:firstLine="0"/>
              <w:contextualSpacing w:val="0"/>
              <w:rPr>
                <w:rFonts w:ascii="Arial" w:hAnsi="Arial" w:cs="Arial"/>
                <w:i/>
                <w:sz w:val="22"/>
                <w:szCs w:val="22"/>
              </w:rPr>
            </w:pPr>
          </w:p>
        </w:tc>
        <w:tc>
          <w:tcPr>
            <w:tcW w:w="1167" w:type="dxa"/>
            <w:gridSpan w:val="2"/>
          </w:tcPr>
          <w:p w14:paraId="2BAB5596" w14:textId="77777777" w:rsidR="00270351" w:rsidRPr="004275AB" w:rsidRDefault="00270351" w:rsidP="00294541">
            <w:pPr>
              <w:pStyle w:val="ListParagraph"/>
              <w:spacing w:before="120" w:line="240" w:lineRule="auto"/>
              <w:ind w:left="-33" w:right="-88" w:firstLine="0"/>
              <w:contextualSpacing w:val="0"/>
              <w:rPr>
                <w:rFonts w:ascii="Arial" w:hAnsi="Arial" w:cs="Arial"/>
                <w:i/>
                <w:sz w:val="22"/>
                <w:szCs w:val="22"/>
              </w:rPr>
            </w:pPr>
          </w:p>
        </w:tc>
      </w:tr>
      <w:tr w:rsidR="00294541" w:rsidRPr="004275AB" w14:paraId="5E23BB3D" w14:textId="77777777" w:rsidTr="00294541">
        <w:tc>
          <w:tcPr>
            <w:tcW w:w="605" w:type="dxa"/>
          </w:tcPr>
          <w:p w14:paraId="64B131F3" w14:textId="77777777" w:rsidR="00270351" w:rsidRPr="004275AB" w:rsidRDefault="00270351" w:rsidP="004F4352">
            <w:pPr>
              <w:pStyle w:val="ListParagraph"/>
              <w:spacing w:before="120" w:line="240" w:lineRule="auto"/>
              <w:ind w:left="0" w:firstLine="0"/>
              <w:contextualSpacing w:val="0"/>
              <w:rPr>
                <w:rFonts w:ascii="Arial" w:hAnsi="Arial" w:cs="Arial"/>
                <w:i/>
                <w:sz w:val="22"/>
                <w:szCs w:val="22"/>
              </w:rPr>
            </w:pPr>
            <w:bookmarkStart w:id="4" w:name="_Hlk151473289"/>
          </w:p>
        </w:tc>
        <w:tc>
          <w:tcPr>
            <w:tcW w:w="2107" w:type="dxa"/>
          </w:tcPr>
          <w:p w14:paraId="7CD626B1" w14:textId="732E92F9" w:rsidR="00270351" w:rsidRPr="004275AB" w:rsidRDefault="00C21120" w:rsidP="00B30D68">
            <w:pPr>
              <w:pStyle w:val="ListParagraph"/>
              <w:spacing w:before="120" w:line="240" w:lineRule="auto"/>
              <w:ind w:left="-33" w:firstLine="0"/>
              <w:contextualSpacing w:val="0"/>
              <w:rPr>
                <w:rFonts w:ascii="Arial" w:hAnsi="Arial" w:cs="Arial"/>
                <w:b/>
                <w:bCs/>
                <w:i/>
                <w:sz w:val="22"/>
                <w:szCs w:val="22"/>
              </w:rPr>
            </w:pPr>
            <w:r w:rsidRPr="004275AB">
              <w:rPr>
                <w:rFonts w:ascii="Arial" w:hAnsi="Arial" w:cs="Arial"/>
                <w:b/>
                <w:bCs/>
                <w:i/>
                <w:sz w:val="22"/>
                <w:szCs w:val="22"/>
              </w:rPr>
              <w:t>DAY SHIFT</w:t>
            </w:r>
          </w:p>
        </w:tc>
        <w:tc>
          <w:tcPr>
            <w:tcW w:w="1606" w:type="dxa"/>
          </w:tcPr>
          <w:p w14:paraId="3E975853" w14:textId="312C93CC" w:rsidR="00270351" w:rsidRPr="004275AB" w:rsidRDefault="00C21120" w:rsidP="00B30D68">
            <w:pPr>
              <w:pStyle w:val="ListParagraph"/>
              <w:spacing w:before="120" w:line="240" w:lineRule="auto"/>
              <w:ind w:left="-33" w:firstLine="0"/>
              <w:contextualSpacing w:val="0"/>
              <w:rPr>
                <w:rFonts w:ascii="Arial" w:hAnsi="Arial" w:cs="Arial"/>
                <w:b/>
                <w:bCs/>
                <w:i/>
                <w:sz w:val="22"/>
                <w:szCs w:val="22"/>
              </w:rPr>
            </w:pPr>
            <w:r w:rsidRPr="004275AB">
              <w:rPr>
                <w:rFonts w:ascii="Arial" w:hAnsi="Arial" w:cs="Arial"/>
                <w:b/>
                <w:bCs/>
                <w:i/>
                <w:sz w:val="22"/>
                <w:szCs w:val="22"/>
              </w:rPr>
              <w:t>07H00 – 16H00</w:t>
            </w:r>
          </w:p>
        </w:tc>
        <w:tc>
          <w:tcPr>
            <w:tcW w:w="1213" w:type="dxa"/>
          </w:tcPr>
          <w:p w14:paraId="4F244417" w14:textId="0D620E3B" w:rsidR="00270351" w:rsidRPr="004275AB" w:rsidRDefault="00270351" w:rsidP="00B30D68">
            <w:pPr>
              <w:pStyle w:val="ListParagraph"/>
              <w:spacing w:before="120" w:line="240" w:lineRule="auto"/>
              <w:ind w:left="-33" w:firstLine="0"/>
              <w:contextualSpacing w:val="0"/>
              <w:rPr>
                <w:rFonts w:ascii="Arial" w:hAnsi="Arial" w:cs="Arial"/>
                <w:i/>
                <w:sz w:val="22"/>
                <w:szCs w:val="22"/>
              </w:rPr>
            </w:pPr>
          </w:p>
        </w:tc>
        <w:tc>
          <w:tcPr>
            <w:tcW w:w="1109" w:type="dxa"/>
            <w:gridSpan w:val="2"/>
          </w:tcPr>
          <w:p w14:paraId="3D54FB53" w14:textId="0009A741" w:rsidR="00270351" w:rsidRPr="004275AB" w:rsidRDefault="00270351" w:rsidP="00B30D68">
            <w:pPr>
              <w:pStyle w:val="ListParagraph"/>
              <w:spacing w:before="120" w:line="240" w:lineRule="auto"/>
              <w:ind w:left="-33" w:firstLine="0"/>
              <w:contextualSpacing w:val="0"/>
              <w:rPr>
                <w:rFonts w:ascii="Arial" w:hAnsi="Arial" w:cs="Arial"/>
                <w:i/>
                <w:sz w:val="22"/>
                <w:szCs w:val="22"/>
              </w:rPr>
            </w:pPr>
          </w:p>
        </w:tc>
        <w:tc>
          <w:tcPr>
            <w:tcW w:w="1167" w:type="dxa"/>
            <w:gridSpan w:val="2"/>
          </w:tcPr>
          <w:p w14:paraId="003A783F" w14:textId="0719B38C" w:rsidR="00270351" w:rsidRPr="004275AB" w:rsidRDefault="00270351" w:rsidP="00294541">
            <w:pPr>
              <w:pStyle w:val="ListParagraph"/>
              <w:spacing w:before="120" w:line="240" w:lineRule="auto"/>
              <w:ind w:left="-33" w:right="-88" w:firstLine="0"/>
              <w:contextualSpacing w:val="0"/>
              <w:rPr>
                <w:rFonts w:ascii="Arial" w:hAnsi="Arial" w:cs="Arial"/>
                <w:i/>
                <w:sz w:val="22"/>
                <w:szCs w:val="22"/>
              </w:rPr>
            </w:pPr>
          </w:p>
        </w:tc>
      </w:tr>
      <w:bookmarkEnd w:id="4"/>
      <w:tr w:rsidR="00294541" w:rsidRPr="004275AB" w14:paraId="1446603A" w14:textId="77777777" w:rsidTr="00294541">
        <w:tc>
          <w:tcPr>
            <w:tcW w:w="605" w:type="dxa"/>
          </w:tcPr>
          <w:p w14:paraId="1BD2EF67" w14:textId="3730EBE1" w:rsidR="00595420" w:rsidRPr="004275AB" w:rsidRDefault="00C21120" w:rsidP="00595420">
            <w:pPr>
              <w:pStyle w:val="ListParagraph"/>
              <w:spacing w:before="120" w:line="240" w:lineRule="auto"/>
              <w:ind w:left="0" w:firstLine="0"/>
              <w:contextualSpacing w:val="0"/>
              <w:rPr>
                <w:rFonts w:ascii="Arial" w:hAnsi="Arial" w:cs="Arial"/>
                <w:sz w:val="22"/>
                <w:szCs w:val="22"/>
              </w:rPr>
            </w:pPr>
            <w:r w:rsidRPr="004275AB">
              <w:rPr>
                <w:rFonts w:ascii="Arial" w:hAnsi="Arial" w:cs="Arial"/>
                <w:sz w:val="22"/>
                <w:szCs w:val="22"/>
              </w:rPr>
              <w:lastRenderedPageBreak/>
              <w:t>1</w:t>
            </w:r>
          </w:p>
        </w:tc>
        <w:tc>
          <w:tcPr>
            <w:tcW w:w="2107" w:type="dxa"/>
          </w:tcPr>
          <w:p w14:paraId="0636F4EC" w14:textId="4A9377E0"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SECURITY OFFICER</w:t>
            </w:r>
          </w:p>
        </w:tc>
        <w:tc>
          <w:tcPr>
            <w:tcW w:w="1606" w:type="dxa"/>
          </w:tcPr>
          <w:p w14:paraId="055EC58C" w14:textId="14C21A4B"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GRADE C DAY SHIFT</w:t>
            </w:r>
          </w:p>
        </w:tc>
        <w:tc>
          <w:tcPr>
            <w:tcW w:w="1213" w:type="dxa"/>
          </w:tcPr>
          <w:p w14:paraId="1FCD4E19" w14:textId="013297F3"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BRANCHES &amp; DISTRICTS</w:t>
            </w:r>
          </w:p>
        </w:tc>
        <w:tc>
          <w:tcPr>
            <w:tcW w:w="1109" w:type="dxa"/>
            <w:gridSpan w:val="2"/>
          </w:tcPr>
          <w:p w14:paraId="2239DE70" w14:textId="3AF2C53C"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R7 517.51</w:t>
            </w:r>
          </w:p>
        </w:tc>
        <w:tc>
          <w:tcPr>
            <w:tcW w:w="1167" w:type="dxa"/>
            <w:gridSpan w:val="2"/>
          </w:tcPr>
          <w:p w14:paraId="211741DC" w14:textId="2C643583" w:rsidR="00595420" w:rsidRPr="004275AB" w:rsidRDefault="00C21120" w:rsidP="00294541">
            <w:pPr>
              <w:pStyle w:val="ListParagraph"/>
              <w:spacing w:before="120" w:line="240" w:lineRule="auto"/>
              <w:ind w:left="-33" w:right="-88" w:firstLine="0"/>
              <w:contextualSpacing w:val="0"/>
              <w:rPr>
                <w:rFonts w:ascii="Arial" w:hAnsi="Arial" w:cs="Arial"/>
                <w:b/>
                <w:bCs/>
                <w:sz w:val="22"/>
                <w:szCs w:val="22"/>
              </w:rPr>
            </w:pPr>
            <w:r w:rsidRPr="004275AB">
              <w:rPr>
                <w:rFonts w:ascii="Arial" w:hAnsi="Arial" w:cs="Arial"/>
                <w:b/>
                <w:bCs/>
                <w:sz w:val="22"/>
                <w:szCs w:val="22"/>
              </w:rPr>
              <w:t>R356 823.98</w:t>
            </w:r>
          </w:p>
        </w:tc>
      </w:tr>
      <w:tr w:rsidR="000F0BC6" w:rsidRPr="004275AB" w14:paraId="21C4F08D" w14:textId="77777777" w:rsidTr="00294541">
        <w:tc>
          <w:tcPr>
            <w:tcW w:w="605" w:type="dxa"/>
          </w:tcPr>
          <w:p w14:paraId="3F743C77" w14:textId="77777777" w:rsidR="00595420" w:rsidRPr="004275AB" w:rsidRDefault="00595420" w:rsidP="00595420">
            <w:pPr>
              <w:pStyle w:val="ListParagraph"/>
              <w:spacing w:before="120" w:line="240" w:lineRule="auto"/>
              <w:ind w:left="0" w:firstLine="0"/>
              <w:contextualSpacing w:val="0"/>
              <w:rPr>
                <w:rFonts w:ascii="Arial" w:hAnsi="Arial" w:cs="Arial"/>
                <w:sz w:val="22"/>
                <w:szCs w:val="22"/>
              </w:rPr>
            </w:pPr>
          </w:p>
        </w:tc>
        <w:tc>
          <w:tcPr>
            <w:tcW w:w="2107" w:type="dxa"/>
          </w:tcPr>
          <w:p w14:paraId="694088C7" w14:textId="2603BBC7"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DAY SHIFT</w:t>
            </w:r>
          </w:p>
        </w:tc>
        <w:tc>
          <w:tcPr>
            <w:tcW w:w="1606" w:type="dxa"/>
          </w:tcPr>
          <w:p w14:paraId="6BCC3B8B" w14:textId="6A572437" w:rsidR="00595420"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07H00 – 16H00</w:t>
            </w:r>
          </w:p>
        </w:tc>
        <w:tc>
          <w:tcPr>
            <w:tcW w:w="1213" w:type="dxa"/>
          </w:tcPr>
          <w:p w14:paraId="15152A00" w14:textId="7907E00B" w:rsidR="00595420" w:rsidRPr="004275AB" w:rsidRDefault="00595420" w:rsidP="00B30D68">
            <w:pPr>
              <w:pStyle w:val="ListParagraph"/>
              <w:spacing w:before="120" w:line="240" w:lineRule="auto"/>
              <w:ind w:left="-33" w:firstLine="0"/>
              <w:contextualSpacing w:val="0"/>
              <w:rPr>
                <w:rFonts w:ascii="Arial" w:hAnsi="Arial" w:cs="Arial"/>
                <w:sz w:val="22"/>
                <w:szCs w:val="22"/>
              </w:rPr>
            </w:pPr>
          </w:p>
        </w:tc>
        <w:tc>
          <w:tcPr>
            <w:tcW w:w="1109" w:type="dxa"/>
            <w:gridSpan w:val="2"/>
          </w:tcPr>
          <w:p w14:paraId="67F9080E" w14:textId="2BCD2B6E" w:rsidR="00595420" w:rsidRPr="004275AB" w:rsidRDefault="00595420" w:rsidP="00B30D68">
            <w:pPr>
              <w:pStyle w:val="ListParagraph"/>
              <w:spacing w:before="120" w:line="240" w:lineRule="auto"/>
              <w:ind w:left="-33" w:firstLine="0"/>
              <w:contextualSpacing w:val="0"/>
              <w:rPr>
                <w:rFonts w:ascii="Arial" w:hAnsi="Arial" w:cs="Arial"/>
                <w:sz w:val="22"/>
                <w:szCs w:val="22"/>
              </w:rPr>
            </w:pPr>
          </w:p>
        </w:tc>
        <w:tc>
          <w:tcPr>
            <w:tcW w:w="1167" w:type="dxa"/>
            <w:gridSpan w:val="2"/>
          </w:tcPr>
          <w:p w14:paraId="57B6FAEB" w14:textId="25AE53AF" w:rsidR="00595420" w:rsidRPr="004275AB" w:rsidRDefault="00595420" w:rsidP="00294541">
            <w:pPr>
              <w:pStyle w:val="ListParagraph"/>
              <w:spacing w:before="120" w:line="240" w:lineRule="auto"/>
              <w:ind w:left="-33" w:right="-88" w:firstLine="0"/>
              <w:contextualSpacing w:val="0"/>
              <w:rPr>
                <w:rFonts w:ascii="Arial" w:hAnsi="Arial" w:cs="Arial"/>
                <w:sz w:val="22"/>
                <w:szCs w:val="22"/>
              </w:rPr>
            </w:pPr>
          </w:p>
        </w:tc>
      </w:tr>
      <w:tr w:rsidR="00294541" w:rsidRPr="004275AB" w14:paraId="6B66ADA6" w14:textId="77777777" w:rsidTr="00294541">
        <w:trPr>
          <w:gridAfter w:val="1"/>
          <w:wAfter w:w="157" w:type="dxa"/>
        </w:trPr>
        <w:tc>
          <w:tcPr>
            <w:tcW w:w="605" w:type="dxa"/>
          </w:tcPr>
          <w:p w14:paraId="0EBDFA5D" w14:textId="483B2F8A" w:rsidR="00292652" w:rsidRPr="004275AB" w:rsidRDefault="00C21120" w:rsidP="00292652">
            <w:pPr>
              <w:pStyle w:val="ListParagraph"/>
              <w:spacing w:before="120" w:line="240" w:lineRule="auto"/>
              <w:ind w:left="0" w:firstLine="0"/>
              <w:contextualSpacing w:val="0"/>
              <w:rPr>
                <w:rFonts w:ascii="Arial" w:hAnsi="Arial" w:cs="Arial"/>
                <w:sz w:val="22"/>
                <w:szCs w:val="22"/>
              </w:rPr>
            </w:pPr>
            <w:r w:rsidRPr="004275AB">
              <w:rPr>
                <w:rFonts w:ascii="Arial" w:hAnsi="Arial" w:cs="Arial"/>
                <w:sz w:val="22"/>
                <w:szCs w:val="22"/>
              </w:rPr>
              <w:t>2</w:t>
            </w:r>
          </w:p>
        </w:tc>
        <w:tc>
          <w:tcPr>
            <w:tcW w:w="2107" w:type="dxa"/>
          </w:tcPr>
          <w:p w14:paraId="293A68D3" w14:textId="6B4440BA" w:rsidR="00292652" w:rsidRPr="004275AB" w:rsidRDefault="00C21120" w:rsidP="00B30D68">
            <w:pPr>
              <w:pStyle w:val="ListParagraph"/>
              <w:spacing w:before="120" w:line="240" w:lineRule="auto"/>
              <w:ind w:left="-33" w:firstLine="0"/>
              <w:contextualSpacing w:val="0"/>
              <w:rPr>
                <w:rFonts w:ascii="Arial" w:hAnsi="Arial" w:cs="Arial"/>
                <w:sz w:val="22"/>
                <w:szCs w:val="22"/>
              </w:rPr>
            </w:pPr>
            <w:r w:rsidRPr="004275AB">
              <w:rPr>
                <w:rFonts w:ascii="Arial" w:hAnsi="Arial" w:cs="Arial"/>
                <w:b/>
                <w:bCs/>
                <w:sz w:val="22"/>
                <w:szCs w:val="22"/>
              </w:rPr>
              <w:t>SECURITY OFFICER</w:t>
            </w:r>
          </w:p>
        </w:tc>
        <w:tc>
          <w:tcPr>
            <w:tcW w:w="1606" w:type="dxa"/>
          </w:tcPr>
          <w:p w14:paraId="40D43DFB" w14:textId="653BC8F4" w:rsidR="00292652" w:rsidRPr="004275AB" w:rsidRDefault="00C21120" w:rsidP="00B30D68">
            <w:pPr>
              <w:pStyle w:val="ListParagraph"/>
              <w:spacing w:before="120" w:line="240" w:lineRule="auto"/>
              <w:ind w:left="-33" w:firstLine="0"/>
              <w:contextualSpacing w:val="0"/>
              <w:rPr>
                <w:rFonts w:ascii="Arial" w:hAnsi="Arial" w:cs="Arial"/>
                <w:sz w:val="22"/>
                <w:szCs w:val="22"/>
              </w:rPr>
            </w:pPr>
            <w:r w:rsidRPr="004275AB">
              <w:rPr>
                <w:rFonts w:ascii="Arial" w:hAnsi="Arial" w:cs="Arial"/>
                <w:b/>
                <w:bCs/>
                <w:sz w:val="22"/>
                <w:szCs w:val="22"/>
              </w:rPr>
              <w:t>GRADE C DAY SHIFT</w:t>
            </w:r>
          </w:p>
        </w:tc>
        <w:tc>
          <w:tcPr>
            <w:tcW w:w="1213" w:type="dxa"/>
          </w:tcPr>
          <w:p w14:paraId="295AA7C8" w14:textId="28A8E762" w:rsidR="00292652"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BRANCHES</w:t>
            </w:r>
          </w:p>
        </w:tc>
        <w:tc>
          <w:tcPr>
            <w:tcW w:w="972" w:type="dxa"/>
          </w:tcPr>
          <w:p w14:paraId="15E35A82" w14:textId="7FD6E4AA" w:rsidR="00292652"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R7 517.51</w:t>
            </w:r>
          </w:p>
        </w:tc>
        <w:tc>
          <w:tcPr>
            <w:tcW w:w="1147" w:type="dxa"/>
            <w:gridSpan w:val="2"/>
          </w:tcPr>
          <w:p w14:paraId="4E13DF34" w14:textId="4D7147AB" w:rsidR="00292652" w:rsidRPr="004275AB" w:rsidRDefault="00C21120" w:rsidP="00294541">
            <w:pPr>
              <w:pStyle w:val="ListParagraph"/>
              <w:spacing w:before="120" w:line="240" w:lineRule="auto"/>
              <w:ind w:left="-33" w:right="-88" w:firstLine="0"/>
              <w:contextualSpacing w:val="0"/>
              <w:rPr>
                <w:rFonts w:ascii="Arial" w:hAnsi="Arial" w:cs="Arial"/>
                <w:b/>
                <w:bCs/>
                <w:sz w:val="22"/>
                <w:szCs w:val="22"/>
              </w:rPr>
            </w:pPr>
            <w:r w:rsidRPr="004275AB">
              <w:rPr>
                <w:rFonts w:ascii="Arial" w:hAnsi="Arial" w:cs="Arial"/>
                <w:b/>
                <w:bCs/>
                <w:sz w:val="22"/>
                <w:szCs w:val="22"/>
              </w:rPr>
              <w:t>R75 175.10</w:t>
            </w:r>
          </w:p>
        </w:tc>
      </w:tr>
      <w:tr w:rsidR="00294541" w:rsidRPr="004275AB" w14:paraId="19E10452" w14:textId="77777777" w:rsidTr="00294541">
        <w:trPr>
          <w:gridAfter w:val="1"/>
          <w:wAfter w:w="157" w:type="dxa"/>
        </w:trPr>
        <w:tc>
          <w:tcPr>
            <w:tcW w:w="605" w:type="dxa"/>
          </w:tcPr>
          <w:p w14:paraId="5D209863" w14:textId="77777777" w:rsidR="00292652" w:rsidRPr="004275AB" w:rsidRDefault="00292652" w:rsidP="00292652">
            <w:pPr>
              <w:pStyle w:val="ListParagraph"/>
              <w:spacing w:before="120" w:line="240" w:lineRule="auto"/>
              <w:ind w:left="0" w:firstLine="0"/>
              <w:contextualSpacing w:val="0"/>
              <w:rPr>
                <w:rFonts w:ascii="Arial" w:hAnsi="Arial" w:cs="Arial"/>
                <w:sz w:val="22"/>
                <w:szCs w:val="22"/>
              </w:rPr>
            </w:pPr>
          </w:p>
        </w:tc>
        <w:tc>
          <w:tcPr>
            <w:tcW w:w="2107" w:type="dxa"/>
          </w:tcPr>
          <w:p w14:paraId="4682FB23" w14:textId="18B0C9B2" w:rsidR="00292652"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MONTHLY TOTAL VAT INCLUSIVE</w:t>
            </w:r>
          </w:p>
        </w:tc>
        <w:tc>
          <w:tcPr>
            <w:tcW w:w="1606" w:type="dxa"/>
          </w:tcPr>
          <w:p w14:paraId="29E93A25" w14:textId="77777777" w:rsidR="00292652" w:rsidRPr="004275AB" w:rsidRDefault="00292652" w:rsidP="00B30D68">
            <w:pPr>
              <w:pStyle w:val="ListParagraph"/>
              <w:spacing w:before="120" w:line="240" w:lineRule="auto"/>
              <w:ind w:left="-33" w:firstLine="0"/>
              <w:contextualSpacing w:val="0"/>
              <w:rPr>
                <w:rFonts w:ascii="Arial" w:hAnsi="Arial" w:cs="Arial"/>
                <w:sz w:val="22"/>
                <w:szCs w:val="22"/>
              </w:rPr>
            </w:pPr>
          </w:p>
        </w:tc>
        <w:tc>
          <w:tcPr>
            <w:tcW w:w="1213" w:type="dxa"/>
          </w:tcPr>
          <w:p w14:paraId="73685B67" w14:textId="77777777" w:rsidR="00292652" w:rsidRPr="004275AB" w:rsidRDefault="00292652" w:rsidP="00B30D68">
            <w:pPr>
              <w:pStyle w:val="ListParagraph"/>
              <w:spacing w:before="120" w:line="240" w:lineRule="auto"/>
              <w:ind w:left="-33" w:firstLine="0"/>
              <w:contextualSpacing w:val="0"/>
              <w:rPr>
                <w:rFonts w:ascii="Arial" w:hAnsi="Arial" w:cs="Arial"/>
                <w:b/>
                <w:bCs/>
                <w:sz w:val="22"/>
                <w:szCs w:val="22"/>
              </w:rPr>
            </w:pPr>
          </w:p>
        </w:tc>
        <w:tc>
          <w:tcPr>
            <w:tcW w:w="972" w:type="dxa"/>
          </w:tcPr>
          <w:p w14:paraId="058786F1" w14:textId="77777777" w:rsidR="00292652" w:rsidRPr="004275AB" w:rsidRDefault="00292652" w:rsidP="00B30D68">
            <w:pPr>
              <w:pStyle w:val="ListParagraph"/>
              <w:spacing w:before="120" w:line="240" w:lineRule="auto"/>
              <w:ind w:left="-33" w:firstLine="0"/>
              <w:contextualSpacing w:val="0"/>
              <w:rPr>
                <w:rFonts w:ascii="Arial" w:hAnsi="Arial" w:cs="Arial"/>
                <w:b/>
                <w:bCs/>
                <w:sz w:val="22"/>
                <w:szCs w:val="22"/>
              </w:rPr>
            </w:pPr>
          </w:p>
        </w:tc>
        <w:tc>
          <w:tcPr>
            <w:tcW w:w="1147" w:type="dxa"/>
            <w:gridSpan w:val="2"/>
          </w:tcPr>
          <w:p w14:paraId="3B507D3B" w14:textId="2E712C26" w:rsidR="00292652" w:rsidRPr="004275AB" w:rsidRDefault="00C21120" w:rsidP="00294541">
            <w:pPr>
              <w:pStyle w:val="ListParagraph"/>
              <w:spacing w:before="120" w:line="240" w:lineRule="auto"/>
              <w:ind w:left="-33" w:right="-88" w:firstLine="0"/>
              <w:contextualSpacing w:val="0"/>
              <w:rPr>
                <w:rFonts w:ascii="Arial" w:hAnsi="Arial" w:cs="Arial"/>
                <w:b/>
                <w:bCs/>
                <w:sz w:val="22"/>
                <w:szCs w:val="22"/>
              </w:rPr>
            </w:pPr>
            <w:r w:rsidRPr="004275AB">
              <w:rPr>
                <w:rFonts w:ascii="Arial" w:hAnsi="Arial" w:cs="Arial"/>
                <w:b/>
                <w:bCs/>
                <w:sz w:val="22"/>
                <w:szCs w:val="22"/>
              </w:rPr>
              <w:t>R431 999.08</w:t>
            </w:r>
          </w:p>
        </w:tc>
      </w:tr>
      <w:tr w:rsidR="00294541" w:rsidRPr="004275AB" w14:paraId="609204AD" w14:textId="77777777" w:rsidTr="00294541">
        <w:trPr>
          <w:gridAfter w:val="1"/>
          <w:wAfter w:w="157" w:type="dxa"/>
        </w:trPr>
        <w:tc>
          <w:tcPr>
            <w:tcW w:w="605" w:type="dxa"/>
          </w:tcPr>
          <w:p w14:paraId="686F86FE" w14:textId="77777777" w:rsidR="00292652" w:rsidRPr="004275AB" w:rsidRDefault="00292652" w:rsidP="00292652">
            <w:pPr>
              <w:pStyle w:val="ListParagraph"/>
              <w:spacing w:before="120" w:line="240" w:lineRule="auto"/>
              <w:ind w:left="0" w:firstLine="0"/>
              <w:contextualSpacing w:val="0"/>
              <w:rPr>
                <w:rFonts w:ascii="Arial" w:hAnsi="Arial" w:cs="Arial"/>
                <w:sz w:val="22"/>
                <w:szCs w:val="22"/>
              </w:rPr>
            </w:pPr>
          </w:p>
        </w:tc>
        <w:tc>
          <w:tcPr>
            <w:tcW w:w="2107" w:type="dxa"/>
          </w:tcPr>
          <w:p w14:paraId="199AA9E0" w14:textId="43E12484" w:rsidR="00292652" w:rsidRPr="004275AB" w:rsidRDefault="00C21120" w:rsidP="00B30D68">
            <w:pPr>
              <w:pStyle w:val="ListParagraph"/>
              <w:spacing w:before="120" w:line="240" w:lineRule="auto"/>
              <w:ind w:left="-33" w:firstLine="0"/>
              <w:contextualSpacing w:val="0"/>
              <w:rPr>
                <w:rFonts w:ascii="Arial" w:hAnsi="Arial" w:cs="Arial"/>
                <w:b/>
                <w:bCs/>
                <w:sz w:val="22"/>
                <w:szCs w:val="22"/>
              </w:rPr>
            </w:pPr>
            <w:r w:rsidRPr="004275AB">
              <w:rPr>
                <w:rFonts w:ascii="Arial" w:hAnsi="Arial" w:cs="Arial"/>
                <w:b/>
                <w:bCs/>
                <w:sz w:val="22"/>
                <w:szCs w:val="22"/>
              </w:rPr>
              <w:t>TOTAL QUOTE FOR 2 MONTHS</w:t>
            </w:r>
          </w:p>
        </w:tc>
        <w:tc>
          <w:tcPr>
            <w:tcW w:w="1606" w:type="dxa"/>
          </w:tcPr>
          <w:p w14:paraId="5D73A38E" w14:textId="77777777" w:rsidR="00292652" w:rsidRPr="004275AB" w:rsidRDefault="00292652" w:rsidP="00B30D68">
            <w:pPr>
              <w:pStyle w:val="ListParagraph"/>
              <w:spacing w:before="120" w:line="240" w:lineRule="auto"/>
              <w:ind w:left="-33" w:firstLine="0"/>
              <w:contextualSpacing w:val="0"/>
              <w:rPr>
                <w:rFonts w:ascii="Arial" w:hAnsi="Arial" w:cs="Arial"/>
                <w:sz w:val="22"/>
                <w:szCs w:val="22"/>
              </w:rPr>
            </w:pPr>
          </w:p>
        </w:tc>
        <w:tc>
          <w:tcPr>
            <w:tcW w:w="1213" w:type="dxa"/>
          </w:tcPr>
          <w:p w14:paraId="38566CBB" w14:textId="77777777" w:rsidR="00292652" w:rsidRPr="004275AB" w:rsidRDefault="00292652" w:rsidP="00B30D68">
            <w:pPr>
              <w:pStyle w:val="ListParagraph"/>
              <w:spacing w:before="120" w:line="240" w:lineRule="auto"/>
              <w:ind w:left="-33" w:firstLine="0"/>
              <w:contextualSpacing w:val="0"/>
              <w:rPr>
                <w:rFonts w:ascii="Arial" w:hAnsi="Arial" w:cs="Arial"/>
                <w:b/>
                <w:bCs/>
                <w:sz w:val="22"/>
                <w:szCs w:val="22"/>
              </w:rPr>
            </w:pPr>
          </w:p>
        </w:tc>
        <w:tc>
          <w:tcPr>
            <w:tcW w:w="972" w:type="dxa"/>
          </w:tcPr>
          <w:p w14:paraId="66961C38" w14:textId="77777777" w:rsidR="00292652" w:rsidRPr="004275AB" w:rsidRDefault="00292652" w:rsidP="00B30D68">
            <w:pPr>
              <w:pStyle w:val="ListParagraph"/>
              <w:spacing w:before="120" w:line="240" w:lineRule="auto"/>
              <w:ind w:left="-33" w:firstLine="0"/>
              <w:contextualSpacing w:val="0"/>
              <w:rPr>
                <w:rFonts w:ascii="Arial" w:hAnsi="Arial" w:cs="Arial"/>
                <w:b/>
                <w:bCs/>
                <w:sz w:val="22"/>
                <w:szCs w:val="22"/>
              </w:rPr>
            </w:pPr>
          </w:p>
        </w:tc>
        <w:tc>
          <w:tcPr>
            <w:tcW w:w="1147" w:type="dxa"/>
            <w:gridSpan w:val="2"/>
          </w:tcPr>
          <w:p w14:paraId="27C58BD4" w14:textId="0B1BBCCD" w:rsidR="00292652" w:rsidRPr="004275AB" w:rsidRDefault="00C21120" w:rsidP="00294541">
            <w:pPr>
              <w:pStyle w:val="ListParagraph"/>
              <w:spacing w:before="120" w:line="240" w:lineRule="auto"/>
              <w:ind w:left="-33" w:right="-88" w:firstLine="0"/>
              <w:contextualSpacing w:val="0"/>
              <w:rPr>
                <w:rFonts w:ascii="Arial" w:hAnsi="Arial" w:cs="Arial"/>
                <w:b/>
                <w:bCs/>
                <w:sz w:val="22"/>
                <w:szCs w:val="22"/>
              </w:rPr>
            </w:pPr>
            <w:r w:rsidRPr="004275AB">
              <w:rPr>
                <w:rFonts w:ascii="Arial" w:hAnsi="Arial" w:cs="Arial"/>
                <w:b/>
                <w:bCs/>
                <w:sz w:val="22"/>
                <w:szCs w:val="22"/>
              </w:rPr>
              <w:t>R863 998.16</w:t>
            </w:r>
          </w:p>
        </w:tc>
      </w:tr>
    </w:tbl>
    <w:p w14:paraId="3476120A" w14:textId="2F674962" w:rsidR="002D4954" w:rsidRPr="004275AB" w:rsidRDefault="00F25DF7" w:rsidP="00B30D68">
      <w:pPr>
        <w:pStyle w:val="ListParagraph"/>
        <w:spacing w:before="120" w:line="240" w:lineRule="auto"/>
        <w:ind w:left="1440" w:right="28" w:firstLine="0"/>
        <w:contextualSpacing w:val="0"/>
        <w:rPr>
          <w:rFonts w:ascii="Arial" w:hAnsi="Arial" w:cs="Arial"/>
          <w:sz w:val="22"/>
          <w:szCs w:val="22"/>
        </w:rPr>
      </w:pPr>
      <w:r w:rsidRPr="004275AB">
        <w:rPr>
          <w:rFonts w:ascii="Arial" w:hAnsi="Arial" w:cs="Arial"/>
          <w:sz w:val="22"/>
          <w:szCs w:val="22"/>
        </w:rPr>
        <w:t>(signed)</w:t>
      </w:r>
    </w:p>
    <w:p w14:paraId="17495724" w14:textId="5FB29BEB" w:rsidR="00AB2EA5" w:rsidRPr="004275AB" w:rsidRDefault="002D4954" w:rsidP="00B30D68">
      <w:pPr>
        <w:pStyle w:val="ListParagraph"/>
        <w:spacing w:before="120" w:line="240" w:lineRule="auto"/>
        <w:ind w:left="1440" w:right="28" w:firstLine="0"/>
        <w:contextualSpacing w:val="0"/>
        <w:rPr>
          <w:rFonts w:ascii="Arial" w:hAnsi="Arial" w:cs="Arial"/>
          <w:sz w:val="22"/>
          <w:szCs w:val="22"/>
        </w:rPr>
      </w:pPr>
      <w:r w:rsidRPr="004275AB">
        <w:rPr>
          <w:rFonts w:ascii="Arial" w:hAnsi="Arial" w:cs="Arial"/>
          <w:sz w:val="22"/>
          <w:szCs w:val="22"/>
        </w:rPr>
        <w:t>Emmanuel Mabuza</w:t>
      </w:r>
      <w:r w:rsidR="00F25DF7" w:rsidRPr="004275AB">
        <w:rPr>
          <w:rFonts w:ascii="Arial" w:hAnsi="Arial" w:cs="Arial"/>
          <w:sz w:val="22"/>
          <w:szCs w:val="22"/>
        </w:rPr>
        <w:t>’</w:t>
      </w:r>
    </w:p>
    <w:p w14:paraId="4DCB8B02" w14:textId="433FBDB3" w:rsidR="00CA1EC4" w:rsidRPr="004275AB" w:rsidRDefault="00426E7B" w:rsidP="00FB53EB">
      <w:pPr>
        <w:pStyle w:val="ListParagraph"/>
        <w:spacing w:line="480" w:lineRule="auto"/>
        <w:ind w:firstLine="0"/>
        <w:contextualSpacing w:val="0"/>
        <w:rPr>
          <w:rFonts w:ascii="Arial" w:hAnsi="Arial" w:cs="Arial"/>
        </w:rPr>
      </w:pPr>
      <w:r w:rsidRPr="004275AB">
        <w:rPr>
          <w:rFonts w:ascii="Arial" w:hAnsi="Arial" w:cs="Arial"/>
        </w:rPr>
        <w:t>The second document forming part of annexure ‘</w:t>
      </w:r>
      <w:r w:rsidRPr="004275AB">
        <w:rPr>
          <w:rFonts w:ascii="Arial" w:hAnsi="Arial" w:cs="Arial"/>
          <w:b/>
          <w:bCs/>
        </w:rPr>
        <w:t>POC 1</w:t>
      </w:r>
      <w:r w:rsidR="005F07D7" w:rsidRPr="004275AB">
        <w:rPr>
          <w:rFonts w:ascii="Arial" w:hAnsi="Arial" w:cs="Arial"/>
        </w:rPr>
        <w:t>’</w:t>
      </w:r>
      <w:r w:rsidR="00A46C5A" w:rsidRPr="004275AB">
        <w:rPr>
          <w:rFonts w:ascii="Arial" w:hAnsi="Arial" w:cs="Arial"/>
        </w:rPr>
        <w:t xml:space="preserve">, </w:t>
      </w:r>
      <w:r w:rsidR="008E7AB9" w:rsidRPr="004275AB">
        <w:rPr>
          <w:rFonts w:ascii="Arial" w:hAnsi="Arial" w:cs="Arial"/>
        </w:rPr>
        <w:t xml:space="preserve">is an email comprising the NYDA’s </w:t>
      </w:r>
      <w:r w:rsidR="003F2BE2" w:rsidRPr="004275AB">
        <w:rPr>
          <w:rFonts w:ascii="Arial" w:hAnsi="Arial" w:cs="Arial"/>
        </w:rPr>
        <w:t>response to Rise Security’s</w:t>
      </w:r>
      <w:r w:rsidR="00750B7B" w:rsidRPr="004275AB">
        <w:rPr>
          <w:rFonts w:ascii="Arial" w:hAnsi="Arial" w:cs="Arial"/>
        </w:rPr>
        <w:t xml:space="preserve"> aforesaid quotation.</w:t>
      </w:r>
      <w:r w:rsidR="002C4AEE" w:rsidRPr="004275AB">
        <w:rPr>
          <w:rStyle w:val="FootnoteReference"/>
          <w:rFonts w:ascii="Arial" w:hAnsi="Arial" w:cs="Arial"/>
        </w:rPr>
        <w:footnoteReference w:id="4"/>
      </w:r>
      <w:r w:rsidR="00750B7B" w:rsidRPr="004275AB">
        <w:rPr>
          <w:rFonts w:ascii="Arial" w:hAnsi="Arial" w:cs="Arial"/>
        </w:rPr>
        <w:t xml:space="preserve">  This email, dated</w:t>
      </w:r>
      <w:r w:rsidR="009429DF" w:rsidRPr="004275AB">
        <w:rPr>
          <w:rFonts w:ascii="Arial" w:hAnsi="Arial" w:cs="Arial"/>
        </w:rPr>
        <w:t xml:space="preserve"> 31 October 2022, </w:t>
      </w:r>
      <w:r w:rsidR="00D0480F" w:rsidRPr="004275AB">
        <w:rPr>
          <w:rFonts w:ascii="Arial" w:hAnsi="Arial" w:cs="Arial"/>
        </w:rPr>
        <w:t xml:space="preserve">was written by a </w:t>
      </w:r>
      <w:r w:rsidR="009330BF" w:rsidRPr="004275AB">
        <w:rPr>
          <w:rFonts w:ascii="Arial" w:hAnsi="Arial" w:cs="Arial"/>
        </w:rPr>
        <w:t>Ms Thandi Mkwanazi</w:t>
      </w:r>
      <w:r w:rsidR="00427545" w:rsidRPr="004275AB">
        <w:rPr>
          <w:rFonts w:ascii="Arial" w:hAnsi="Arial" w:cs="Arial"/>
        </w:rPr>
        <w:t xml:space="preserve">.  </w:t>
      </w:r>
      <w:r w:rsidR="00102965" w:rsidRPr="004275AB">
        <w:rPr>
          <w:rFonts w:ascii="Arial" w:hAnsi="Arial" w:cs="Arial"/>
        </w:rPr>
        <w:t>It was addressed to s</w:t>
      </w:r>
      <w:r w:rsidR="001540D9" w:rsidRPr="004275AB">
        <w:rPr>
          <w:rFonts w:ascii="Arial" w:hAnsi="Arial" w:cs="Arial"/>
        </w:rPr>
        <w:t>everal persons</w:t>
      </w:r>
      <w:r w:rsidR="009330BF" w:rsidRPr="004275AB">
        <w:rPr>
          <w:rFonts w:ascii="Arial" w:hAnsi="Arial" w:cs="Arial"/>
        </w:rPr>
        <w:t xml:space="preserve"> </w:t>
      </w:r>
      <w:r w:rsidR="00102965" w:rsidRPr="004275AB">
        <w:rPr>
          <w:rFonts w:ascii="Arial" w:hAnsi="Arial" w:cs="Arial"/>
        </w:rPr>
        <w:t>(</w:t>
      </w:r>
      <w:r w:rsidR="00342C34" w:rsidRPr="004275AB">
        <w:rPr>
          <w:rFonts w:ascii="Arial" w:hAnsi="Arial" w:cs="Arial"/>
        </w:rPr>
        <w:t>including Mr Kenosi Moraka</w:t>
      </w:r>
      <w:r w:rsidR="00736BD7" w:rsidRPr="004275AB">
        <w:rPr>
          <w:rFonts w:ascii="Arial" w:hAnsi="Arial" w:cs="Arial"/>
        </w:rPr>
        <w:t>) in the NYDA</w:t>
      </w:r>
      <w:r w:rsidR="009058EC" w:rsidRPr="004275AB">
        <w:rPr>
          <w:rFonts w:ascii="Arial" w:hAnsi="Arial" w:cs="Arial"/>
        </w:rPr>
        <w:t xml:space="preserve">.  It </w:t>
      </w:r>
      <w:r w:rsidR="009429DF" w:rsidRPr="004275AB">
        <w:rPr>
          <w:rFonts w:ascii="Arial" w:hAnsi="Arial" w:cs="Arial"/>
        </w:rPr>
        <w:t>read</w:t>
      </w:r>
      <w:r w:rsidR="009058EC" w:rsidRPr="004275AB">
        <w:rPr>
          <w:rFonts w:ascii="Arial" w:hAnsi="Arial" w:cs="Arial"/>
        </w:rPr>
        <w:t>s</w:t>
      </w:r>
      <w:r w:rsidR="009429DF" w:rsidRPr="004275AB">
        <w:rPr>
          <w:rFonts w:ascii="Arial" w:hAnsi="Arial" w:cs="Arial"/>
        </w:rPr>
        <w:t xml:space="preserve"> as follows:</w:t>
      </w:r>
    </w:p>
    <w:p w14:paraId="0ABB837B" w14:textId="56AFBF9A" w:rsidR="00964D2F" w:rsidRPr="00802B42" w:rsidRDefault="009429DF" w:rsidP="00802B42">
      <w:pPr>
        <w:pStyle w:val="ListParagraph"/>
        <w:spacing w:before="120"/>
        <w:ind w:left="1418" w:right="379" w:firstLine="0"/>
        <w:contextualSpacing w:val="0"/>
        <w:rPr>
          <w:rFonts w:ascii="Arial" w:hAnsi="Arial" w:cs="Arial"/>
          <w:sz w:val="22"/>
          <w:szCs w:val="22"/>
        </w:rPr>
      </w:pPr>
      <w:r w:rsidRPr="00802B42">
        <w:rPr>
          <w:rFonts w:ascii="Arial" w:hAnsi="Arial" w:cs="Arial"/>
          <w:sz w:val="22"/>
        </w:rPr>
        <w:t>‘</w:t>
      </w:r>
      <w:r w:rsidR="00964D2F" w:rsidRPr="00802B42">
        <w:rPr>
          <w:rFonts w:ascii="Arial" w:hAnsi="Arial" w:cs="Arial"/>
          <w:sz w:val="22"/>
          <w:szCs w:val="22"/>
        </w:rPr>
        <w:t>Good day</w:t>
      </w:r>
    </w:p>
    <w:p w14:paraId="1C807A2F" w14:textId="77777777" w:rsidR="00FD251C" w:rsidRPr="00802B42" w:rsidRDefault="00885258" w:rsidP="00802B42">
      <w:pPr>
        <w:pStyle w:val="ListParagraph"/>
        <w:spacing w:before="120"/>
        <w:ind w:left="1418" w:right="379" w:firstLine="0"/>
        <w:contextualSpacing w:val="0"/>
        <w:rPr>
          <w:rFonts w:ascii="Arial" w:hAnsi="Arial" w:cs="Arial"/>
          <w:sz w:val="22"/>
          <w:szCs w:val="22"/>
        </w:rPr>
      </w:pPr>
      <w:r w:rsidRPr="00802B42">
        <w:rPr>
          <w:rFonts w:ascii="Arial" w:hAnsi="Arial" w:cs="Arial"/>
          <w:b/>
          <w:bCs/>
          <w:sz w:val="22"/>
          <w:szCs w:val="22"/>
        </w:rPr>
        <w:t xml:space="preserve">Please be advised that the Security Contract has been extended </w:t>
      </w:r>
      <w:r w:rsidR="00A00E09" w:rsidRPr="00802B42">
        <w:rPr>
          <w:rFonts w:ascii="Arial" w:hAnsi="Arial" w:cs="Arial"/>
          <w:b/>
          <w:bCs/>
          <w:sz w:val="22"/>
          <w:szCs w:val="22"/>
        </w:rPr>
        <w:t xml:space="preserve">from 1 November 2022 to 31 December 2022.  Whilst we prepare the extension contract, we request </w:t>
      </w:r>
      <w:r w:rsidR="008C03EC" w:rsidRPr="00802B42">
        <w:rPr>
          <w:rFonts w:ascii="Arial" w:hAnsi="Arial" w:cs="Arial"/>
          <w:b/>
          <w:bCs/>
          <w:sz w:val="22"/>
          <w:szCs w:val="22"/>
        </w:rPr>
        <w:t>that you inform your Security Personnel to cover all the NYDA offices as previously done</w:t>
      </w:r>
      <w:r w:rsidR="008C03EC" w:rsidRPr="00802B42">
        <w:rPr>
          <w:rFonts w:ascii="Arial" w:hAnsi="Arial" w:cs="Arial"/>
          <w:sz w:val="22"/>
          <w:szCs w:val="22"/>
        </w:rPr>
        <w:t>.</w:t>
      </w:r>
    </w:p>
    <w:p w14:paraId="41DDE77F" w14:textId="77777777" w:rsidR="00FD251C" w:rsidRPr="00802B42" w:rsidRDefault="00FD251C" w:rsidP="00802B42">
      <w:pPr>
        <w:pStyle w:val="ListParagraph"/>
        <w:spacing w:before="120"/>
        <w:ind w:left="1418" w:right="379" w:firstLine="0"/>
        <w:contextualSpacing w:val="0"/>
        <w:rPr>
          <w:rFonts w:ascii="Arial" w:hAnsi="Arial" w:cs="Arial"/>
          <w:sz w:val="22"/>
          <w:szCs w:val="22"/>
        </w:rPr>
      </w:pPr>
      <w:r w:rsidRPr="00802B42">
        <w:rPr>
          <w:rFonts w:ascii="Arial" w:hAnsi="Arial" w:cs="Arial"/>
          <w:sz w:val="22"/>
          <w:szCs w:val="22"/>
        </w:rPr>
        <w:t xml:space="preserve">We thank you for your services and </w:t>
      </w:r>
      <w:r w:rsidRPr="00802B42">
        <w:rPr>
          <w:rFonts w:ascii="Arial" w:hAnsi="Arial" w:cs="Arial"/>
          <w:b/>
          <w:bCs/>
          <w:sz w:val="22"/>
          <w:szCs w:val="22"/>
        </w:rPr>
        <w:t>look forward to fruitful engagements with yourselves in the coming two months</w:t>
      </w:r>
      <w:r w:rsidRPr="00802B42">
        <w:rPr>
          <w:rFonts w:ascii="Arial" w:hAnsi="Arial" w:cs="Arial"/>
          <w:sz w:val="22"/>
          <w:szCs w:val="22"/>
        </w:rPr>
        <w:t xml:space="preserve">.  </w:t>
      </w:r>
    </w:p>
    <w:p w14:paraId="3EA754A9" w14:textId="77777777" w:rsidR="00AE05D3" w:rsidRPr="00802B42" w:rsidRDefault="00FD251C" w:rsidP="00802B42">
      <w:pPr>
        <w:pStyle w:val="ListParagraph"/>
        <w:spacing w:before="120"/>
        <w:ind w:left="1418" w:right="379" w:firstLine="0"/>
        <w:contextualSpacing w:val="0"/>
        <w:rPr>
          <w:rFonts w:ascii="Arial" w:hAnsi="Arial" w:cs="Arial"/>
          <w:sz w:val="22"/>
          <w:szCs w:val="22"/>
        </w:rPr>
      </w:pPr>
      <w:r w:rsidRPr="00802B42">
        <w:rPr>
          <w:rFonts w:ascii="Arial" w:hAnsi="Arial" w:cs="Arial"/>
          <w:sz w:val="22"/>
          <w:szCs w:val="22"/>
        </w:rPr>
        <w:t xml:space="preserve">Please do not hesitate to contact the undersigned should you require additional clarity.  </w:t>
      </w:r>
    </w:p>
    <w:p w14:paraId="20247E48" w14:textId="77777777" w:rsidR="00AE05D3" w:rsidRPr="00802B42" w:rsidRDefault="00AE05D3" w:rsidP="00802B42">
      <w:pPr>
        <w:pStyle w:val="ListParagraph"/>
        <w:spacing w:before="120"/>
        <w:ind w:left="1418" w:right="379" w:firstLine="0"/>
        <w:contextualSpacing w:val="0"/>
        <w:rPr>
          <w:rFonts w:ascii="Arial" w:hAnsi="Arial" w:cs="Arial"/>
          <w:sz w:val="22"/>
          <w:szCs w:val="22"/>
        </w:rPr>
      </w:pPr>
      <w:r w:rsidRPr="00802B42">
        <w:rPr>
          <w:rFonts w:ascii="Arial" w:hAnsi="Arial" w:cs="Arial"/>
          <w:sz w:val="22"/>
          <w:szCs w:val="22"/>
        </w:rPr>
        <w:t xml:space="preserve">Regards </w:t>
      </w:r>
    </w:p>
    <w:p w14:paraId="3D0F366F" w14:textId="3A14112D" w:rsidR="00374DD6" w:rsidRPr="00FB53EB" w:rsidRDefault="00B656EB" w:rsidP="00FB53EB">
      <w:pPr>
        <w:pStyle w:val="ListParagraph"/>
        <w:spacing w:before="120"/>
        <w:ind w:left="1418" w:right="379" w:firstLine="0"/>
        <w:contextualSpacing w:val="0"/>
        <w:rPr>
          <w:rFonts w:ascii="Arial" w:hAnsi="Arial" w:cs="Arial"/>
          <w:sz w:val="22"/>
          <w:szCs w:val="22"/>
        </w:rPr>
      </w:pPr>
      <w:r w:rsidRPr="00802B42">
        <w:rPr>
          <w:rFonts w:ascii="Arial" w:hAnsi="Arial" w:cs="Arial"/>
          <w:sz w:val="22"/>
          <w:szCs w:val="22"/>
        </w:rPr>
        <w:t>Thandiwe</w:t>
      </w:r>
      <w:r w:rsidR="00833775" w:rsidRPr="00802B42">
        <w:rPr>
          <w:rFonts w:ascii="Arial" w:hAnsi="Arial" w:cs="Arial"/>
          <w:sz w:val="22"/>
          <w:szCs w:val="22"/>
        </w:rPr>
        <w:t xml:space="preserve"> Mkwanazi/</w:t>
      </w:r>
      <w:r w:rsidR="000F0BC6" w:rsidRPr="00802B42">
        <w:rPr>
          <w:rFonts w:ascii="Arial" w:hAnsi="Arial" w:cs="Arial"/>
          <w:sz w:val="22"/>
          <w:szCs w:val="22"/>
        </w:rPr>
        <w:t>Intergovernmental Relations</w:t>
      </w:r>
      <w:r w:rsidR="009429DF" w:rsidRPr="00802B42">
        <w:rPr>
          <w:rFonts w:ascii="Arial" w:hAnsi="Arial" w:cs="Arial"/>
          <w:sz w:val="22"/>
          <w:szCs w:val="22"/>
        </w:rPr>
        <w:t>’</w:t>
      </w:r>
    </w:p>
    <w:p w14:paraId="1F2C7F73" w14:textId="72BFDC02" w:rsidR="004A2D32" w:rsidRPr="00D15956" w:rsidRDefault="00D15956" w:rsidP="00D15956">
      <w:pPr>
        <w:spacing w:line="480" w:lineRule="auto"/>
        <w:ind w:left="720"/>
        <w:rPr>
          <w:rFonts w:ascii="Arial" w:hAnsi="Arial" w:cs="Arial"/>
        </w:rPr>
      </w:pPr>
      <w:r w:rsidRPr="00802B42">
        <w:rPr>
          <w:rFonts w:ascii="Arial" w:hAnsi="Arial" w:cs="Arial"/>
        </w:rPr>
        <w:lastRenderedPageBreak/>
        <w:t>[5].</w:t>
      </w:r>
      <w:r w:rsidRPr="00802B42">
        <w:rPr>
          <w:rFonts w:ascii="Arial" w:hAnsi="Arial" w:cs="Arial"/>
        </w:rPr>
        <w:tab/>
      </w:r>
      <w:r w:rsidR="006731DF" w:rsidRPr="00D15956">
        <w:rPr>
          <w:rFonts w:ascii="Arial" w:hAnsi="Arial" w:cs="Arial"/>
        </w:rPr>
        <w:t>The NYDA</w:t>
      </w:r>
      <w:r w:rsidR="00113720" w:rsidRPr="00D15956">
        <w:rPr>
          <w:rFonts w:ascii="Arial" w:hAnsi="Arial" w:cs="Arial"/>
        </w:rPr>
        <w:t xml:space="preserve"> delivered its plea</w:t>
      </w:r>
      <w:r w:rsidR="006D17CF" w:rsidRPr="00D15956">
        <w:rPr>
          <w:rFonts w:ascii="Arial" w:hAnsi="Arial" w:cs="Arial"/>
        </w:rPr>
        <w:t xml:space="preserve"> to Rise Security’s </w:t>
      </w:r>
      <w:r w:rsidR="00DC129D" w:rsidRPr="00D15956">
        <w:rPr>
          <w:rFonts w:ascii="Arial" w:hAnsi="Arial" w:cs="Arial"/>
        </w:rPr>
        <w:t xml:space="preserve">combined summons on </w:t>
      </w:r>
      <w:r w:rsidR="006A469C" w:rsidRPr="00D15956">
        <w:rPr>
          <w:rFonts w:ascii="Arial" w:hAnsi="Arial" w:cs="Arial"/>
        </w:rPr>
        <w:t>or about 16</w:t>
      </w:r>
      <w:r w:rsidR="009361E7" w:rsidRPr="00D15956">
        <w:rPr>
          <w:rFonts w:ascii="Arial" w:hAnsi="Arial" w:cs="Arial"/>
        </w:rPr>
        <w:t> </w:t>
      </w:r>
      <w:r w:rsidR="006A469C" w:rsidRPr="00D15956">
        <w:rPr>
          <w:rFonts w:ascii="Arial" w:hAnsi="Arial" w:cs="Arial"/>
        </w:rPr>
        <w:t>March 2023</w:t>
      </w:r>
      <w:r w:rsidR="00315E14" w:rsidRPr="00D15956">
        <w:rPr>
          <w:rFonts w:ascii="Arial" w:hAnsi="Arial" w:cs="Arial"/>
        </w:rPr>
        <w:t xml:space="preserve">.  </w:t>
      </w:r>
      <w:r w:rsidR="003C3214" w:rsidRPr="00D15956">
        <w:rPr>
          <w:rFonts w:ascii="Arial" w:hAnsi="Arial" w:cs="Arial"/>
        </w:rPr>
        <w:t xml:space="preserve">On </w:t>
      </w:r>
      <w:r w:rsidR="00F22090" w:rsidRPr="00D15956">
        <w:rPr>
          <w:rFonts w:ascii="Arial" w:hAnsi="Arial" w:cs="Arial"/>
        </w:rPr>
        <w:t>5 April 2023</w:t>
      </w:r>
      <w:r w:rsidR="00E10E94" w:rsidRPr="00D15956">
        <w:rPr>
          <w:rFonts w:ascii="Arial" w:hAnsi="Arial" w:cs="Arial"/>
        </w:rPr>
        <w:t>, within the fifteen (15) days</w:t>
      </w:r>
      <w:r w:rsidR="00F22090" w:rsidRPr="00D15956">
        <w:rPr>
          <w:rFonts w:ascii="Arial" w:hAnsi="Arial" w:cs="Arial"/>
        </w:rPr>
        <w:t xml:space="preserve"> </w:t>
      </w:r>
      <w:r w:rsidR="00E10E94" w:rsidRPr="00D15956">
        <w:rPr>
          <w:rFonts w:ascii="Arial" w:hAnsi="Arial" w:cs="Arial"/>
        </w:rPr>
        <w:t xml:space="preserve">allowed </w:t>
      </w:r>
      <w:r w:rsidR="00DE6DC2" w:rsidRPr="00D15956">
        <w:rPr>
          <w:rFonts w:ascii="Arial" w:hAnsi="Arial" w:cs="Arial"/>
        </w:rPr>
        <w:t>for this</w:t>
      </w:r>
      <w:r w:rsidR="00E5708F" w:rsidRPr="00D15956">
        <w:rPr>
          <w:rFonts w:ascii="Arial" w:hAnsi="Arial" w:cs="Arial"/>
        </w:rPr>
        <w:t xml:space="preserve"> </w:t>
      </w:r>
      <w:r w:rsidR="00B077AD" w:rsidRPr="00D15956">
        <w:rPr>
          <w:rFonts w:ascii="Arial" w:hAnsi="Arial" w:cs="Arial"/>
        </w:rPr>
        <w:t xml:space="preserve">specific </w:t>
      </w:r>
      <w:r w:rsidR="00E5708F" w:rsidRPr="00D15956">
        <w:rPr>
          <w:rFonts w:ascii="Arial" w:hAnsi="Arial" w:cs="Arial"/>
        </w:rPr>
        <w:t>step</w:t>
      </w:r>
      <w:r w:rsidR="00DE6DC2" w:rsidRPr="00D15956">
        <w:rPr>
          <w:rFonts w:ascii="Arial" w:hAnsi="Arial" w:cs="Arial"/>
        </w:rPr>
        <w:t xml:space="preserve">, </w:t>
      </w:r>
      <w:r w:rsidR="00315E14" w:rsidRPr="00D15956">
        <w:rPr>
          <w:rFonts w:ascii="Arial" w:hAnsi="Arial" w:cs="Arial"/>
        </w:rPr>
        <w:t>Rise Security</w:t>
      </w:r>
      <w:r w:rsidR="00E60550" w:rsidRPr="00D15956">
        <w:rPr>
          <w:rFonts w:ascii="Arial" w:hAnsi="Arial" w:cs="Arial"/>
        </w:rPr>
        <w:t xml:space="preserve"> </w:t>
      </w:r>
      <w:r w:rsidR="00AC09DC" w:rsidRPr="00D15956">
        <w:rPr>
          <w:rFonts w:ascii="Arial" w:hAnsi="Arial" w:cs="Arial"/>
        </w:rPr>
        <w:t>a</w:t>
      </w:r>
      <w:r w:rsidR="00AA5A30" w:rsidRPr="00D15956">
        <w:rPr>
          <w:rFonts w:ascii="Arial" w:hAnsi="Arial" w:cs="Arial"/>
        </w:rPr>
        <w:t>ppl</w:t>
      </w:r>
      <w:r w:rsidR="00AC09DC" w:rsidRPr="00D15956">
        <w:rPr>
          <w:rFonts w:ascii="Arial" w:hAnsi="Arial" w:cs="Arial"/>
        </w:rPr>
        <w:t>ied</w:t>
      </w:r>
      <w:r w:rsidR="00AA5A30" w:rsidRPr="00D15956">
        <w:rPr>
          <w:rFonts w:ascii="Arial" w:hAnsi="Arial" w:cs="Arial"/>
        </w:rPr>
        <w:t xml:space="preserve"> for summary judgment </w:t>
      </w:r>
      <w:r w:rsidR="00F54E5E" w:rsidRPr="00D15956">
        <w:rPr>
          <w:rFonts w:ascii="Arial" w:hAnsi="Arial" w:cs="Arial"/>
        </w:rPr>
        <w:t xml:space="preserve">against the NYDA </w:t>
      </w:r>
      <w:r w:rsidR="00CF680A" w:rsidRPr="00D15956">
        <w:rPr>
          <w:rFonts w:ascii="Arial" w:hAnsi="Arial" w:cs="Arial"/>
        </w:rPr>
        <w:t xml:space="preserve">in terms of </w:t>
      </w:r>
      <w:r w:rsidR="004C7FD8" w:rsidRPr="00D15956">
        <w:rPr>
          <w:rFonts w:ascii="Arial" w:hAnsi="Arial" w:cs="Arial"/>
        </w:rPr>
        <w:t>R</w:t>
      </w:r>
      <w:r w:rsidR="00F54E5E" w:rsidRPr="00D15956">
        <w:rPr>
          <w:rFonts w:ascii="Arial" w:hAnsi="Arial" w:cs="Arial"/>
        </w:rPr>
        <w:t xml:space="preserve">ule 32 (1) of the Uniform Rules </w:t>
      </w:r>
      <w:r w:rsidR="00DF3D42" w:rsidRPr="00D15956">
        <w:rPr>
          <w:rFonts w:ascii="Arial" w:hAnsi="Arial" w:cs="Arial"/>
        </w:rPr>
        <w:t>of Court (</w:t>
      </w:r>
      <w:r w:rsidR="00DF3D42" w:rsidRPr="00D15956">
        <w:rPr>
          <w:rFonts w:ascii="Arial" w:hAnsi="Arial" w:cs="Arial"/>
          <w:b/>
          <w:bCs/>
        </w:rPr>
        <w:t>URC</w:t>
      </w:r>
      <w:r w:rsidR="00DF3D42" w:rsidRPr="00D15956">
        <w:rPr>
          <w:rFonts w:ascii="Arial" w:hAnsi="Arial" w:cs="Arial"/>
        </w:rPr>
        <w:t>)</w:t>
      </w:r>
      <w:r w:rsidR="00AA5A30" w:rsidRPr="00D15956">
        <w:rPr>
          <w:rFonts w:ascii="Arial" w:hAnsi="Arial" w:cs="Arial"/>
        </w:rPr>
        <w:t xml:space="preserve">.  </w:t>
      </w:r>
    </w:p>
    <w:p w14:paraId="607F2C18" w14:textId="009C6E03" w:rsidR="0083290D" w:rsidRPr="00D15956" w:rsidRDefault="00D15956" w:rsidP="00D15956">
      <w:pPr>
        <w:spacing w:line="480" w:lineRule="auto"/>
        <w:ind w:left="720"/>
        <w:rPr>
          <w:rFonts w:ascii="Arial" w:hAnsi="Arial" w:cs="Arial"/>
        </w:rPr>
      </w:pPr>
      <w:r w:rsidRPr="00802B42">
        <w:rPr>
          <w:rFonts w:ascii="Arial" w:hAnsi="Arial" w:cs="Arial"/>
        </w:rPr>
        <w:t>[6].</w:t>
      </w:r>
      <w:r w:rsidRPr="00802B42">
        <w:rPr>
          <w:rFonts w:ascii="Arial" w:hAnsi="Arial" w:cs="Arial"/>
        </w:rPr>
        <w:tab/>
      </w:r>
      <w:r w:rsidR="00D15839" w:rsidRPr="00D15956">
        <w:rPr>
          <w:rFonts w:ascii="Arial" w:hAnsi="Arial" w:cs="Arial"/>
        </w:rPr>
        <w:t>Rise Security’s</w:t>
      </w:r>
      <w:r w:rsidR="0055644F" w:rsidRPr="00D15956">
        <w:rPr>
          <w:rFonts w:ascii="Arial" w:hAnsi="Arial" w:cs="Arial"/>
        </w:rPr>
        <w:t xml:space="preserve"> notice of application for summary judgement, was accompanied by an affidavit</w:t>
      </w:r>
      <w:r w:rsidR="005C41F9" w:rsidRPr="00D15956">
        <w:rPr>
          <w:rFonts w:ascii="Arial" w:hAnsi="Arial" w:cs="Arial"/>
        </w:rPr>
        <w:t xml:space="preserve"> made by Mr Emmanuel</w:t>
      </w:r>
      <w:r w:rsidR="000E7275" w:rsidRPr="00D15956">
        <w:rPr>
          <w:rFonts w:ascii="Arial" w:hAnsi="Arial" w:cs="Arial"/>
        </w:rPr>
        <w:t xml:space="preserve"> Mabuza (</w:t>
      </w:r>
      <w:r w:rsidR="000E7275" w:rsidRPr="00D15956">
        <w:rPr>
          <w:rFonts w:ascii="Arial" w:hAnsi="Arial" w:cs="Arial"/>
          <w:b/>
          <w:bCs/>
        </w:rPr>
        <w:t>Mr Mabuza</w:t>
      </w:r>
      <w:r w:rsidR="000E7275" w:rsidRPr="00D15956">
        <w:rPr>
          <w:rFonts w:ascii="Arial" w:hAnsi="Arial" w:cs="Arial"/>
        </w:rPr>
        <w:t>)</w:t>
      </w:r>
      <w:r w:rsidR="00C82D3E" w:rsidRPr="00D15956">
        <w:rPr>
          <w:rFonts w:ascii="Arial" w:hAnsi="Arial" w:cs="Arial"/>
        </w:rPr>
        <w:t xml:space="preserve">, </w:t>
      </w:r>
      <w:r w:rsidR="00E9681D" w:rsidRPr="00D15956">
        <w:rPr>
          <w:rFonts w:ascii="Arial" w:hAnsi="Arial" w:cs="Arial"/>
        </w:rPr>
        <w:t>the sole director of Rise Security.</w:t>
      </w:r>
      <w:r w:rsidR="00EE60C0" w:rsidRPr="00D15956">
        <w:rPr>
          <w:rFonts w:ascii="Arial" w:hAnsi="Arial" w:cs="Arial"/>
        </w:rPr>
        <w:t xml:space="preserve">  </w:t>
      </w:r>
      <w:r w:rsidR="00F24D98" w:rsidRPr="00D15956">
        <w:rPr>
          <w:rFonts w:ascii="Arial" w:hAnsi="Arial" w:cs="Arial"/>
        </w:rPr>
        <w:t>In this affidavit</w:t>
      </w:r>
      <w:r w:rsidR="006F428C" w:rsidRPr="00D15956">
        <w:rPr>
          <w:rFonts w:ascii="Arial" w:hAnsi="Arial" w:cs="Arial"/>
        </w:rPr>
        <w:t xml:space="preserve">, Mr Mabuza </w:t>
      </w:r>
      <w:r w:rsidR="00E839C7" w:rsidRPr="00D15956">
        <w:rPr>
          <w:rFonts w:ascii="Arial" w:hAnsi="Arial" w:cs="Arial"/>
        </w:rPr>
        <w:t>states that</w:t>
      </w:r>
      <w:r w:rsidR="00D01043" w:rsidRPr="00D15956">
        <w:rPr>
          <w:rFonts w:ascii="Arial" w:hAnsi="Arial" w:cs="Arial"/>
        </w:rPr>
        <w:t xml:space="preserve"> </w:t>
      </w:r>
      <w:r w:rsidR="00E839C7" w:rsidRPr="00D15956">
        <w:rPr>
          <w:rFonts w:ascii="Arial" w:hAnsi="Arial" w:cs="Arial"/>
        </w:rPr>
        <w:t>he</w:t>
      </w:r>
      <w:r w:rsidR="00D01043" w:rsidRPr="00D15956">
        <w:rPr>
          <w:rFonts w:ascii="Arial" w:hAnsi="Arial" w:cs="Arial"/>
        </w:rPr>
        <w:t>: (1)</w:t>
      </w:r>
      <w:r w:rsidR="00835EC2" w:rsidRPr="00D15956">
        <w:rPr>
          <w:rFonts w:ascii="Arial" w:hAnsi="Arial" w:cs="Arial"/>
        </w:rPr>
        <w:t xml:space="preserve"> in the first instance,</w:t>
      </w:r>
      <w:r w:rsidR="00E839C7" w:rsidRPr="00D15956">
        <w:rPr>
          <w:rFonts w:ascii="Arial" w:hAnsi="Arial" w:cs="Arial"/>
        </w:rPr>
        <w:t xml:space="preserve"> can, and does,</w:t>
      </w:r>
      <w:r w:rsidR="007450E3" w:rsidRPr="00D15956">
        <w:rPr>
          <w:rFonts w:ascii="Arial" w:hAnsi="Arial" w:cs="Arial"/>
        </w:rPr>
        <w:t xml:space="preserve"> swear positively to the facts set out in Rise Security’s particulars of claim</w:t>
      </w:r>
      <w:r w:rsidR="00547C92" w:rsidRPr="00D15956">
        <w:rPr>
          <w:rFonts w:ascii="Arial" w:hAnsi="Arial" w:cs="Arial"/>
        </w:rPr>
        <w:t>;</w:t>
      </w:r>
      <w:r w:rsidR="00547C92" w:rsidRPr="00802B42">
        <w:rPr>
          <w:rStyle w:val="FootnoteReference"/>
          <w:rFonts w:ascii="Arial" w:hAnsi="Arial" w:cs="Arial"/>
        </w:rPr>
        <w:footnoteReference w:id="5"/>
      </w:r>
      <w:r w:rsidR="00FF0E2F" w:rsidRPr="00D15956">
        <w:rPr>
          <w:rFonts w:ascii="Arial" w:hAnsi="Arial" w:cs="Arial"/>
        </w:rPr>
        <w:t xml:space="preserve"> </w:t>
      </w:r>
      <w:r w:rsidR="00082AD8" w:rsidRPr="00D15956">
        <w:rPr>
          <w:rFonts w:ascii="Arial" w:hAnsi="Arial" w:cs="Arial"/>
        </w:rPr>
        <w:t xml:space="preserve">(ii) </w:t>
      </w:r>
      <w:r w:rsidR="009E61AA" w:rsidRPr="00D15956">
        <w:rPr>
          <w:rFonts w:ascii="Arial" w:hAnsi="Arial" w:cs="Arial"/>
        </w:rPr>
        <w:t>additionally</w:t>
      </w:r>
      <w:r w:rsidR="00DB385C" w:rsidRPr="00D15956">
        <w:rPr>
          <w:rFonts w:ascii="Arial" w:hAnsi="Arial" w:cs="Arial"/>
        </w:rPr>
        <w:t>,</w:t>
      </w:r>
      <w:r w:rsidR="009E61AA" w:rsidRPr="00D15956">
        <w:rPr>
          <w:rFonts w:ascii="Arial" w:hAnsi="Arial" w:cs="Arial"/>
        </w:rPr>
        <w:t xml:space="preserve"> verifies</w:t>
      </w:r>
      <w:r w:rsidR="00DB385C" w:rsidRPr="00D15956">
        <w:rPr>
          <w:rFonts w:ascii="Arial" w:hAnsi="Arial" w:cs="Arial"/>
        </w:rPr>
        <w:t xml:space="preserve"> the cause of action and the amount claimed</w:t>
      </w:r>
      <w:r w:rsidR="00F41B6F" w:rsidRPr="00D15956">
        <w:rPr>
          <w:rFonts w:ascii="Arial" w:hAnsi="Arial" w:cs="Arial"/>
        </w:rPr>
        <w:t>;</w:t>
      </w:r>
      <w:r w:rsidR="00EB2CC2" w:rsidRPr="00802B42">
        <w:rPr>
          <w:rStyle w:val="FootnoteReference"/>
          <w:rFonts w:ascii="Arial" w:hAnsi="Arial" w:cs="Arial"/>
        </w:rPr>
        <w:footnoteReference w:id="6"/>
      </w:r>
      <w:r w:rsidR="00F41B6F" w:rsidRPr="00D15956">
        <w:rPr>
          <w:rFonts w:ascii="Arial" w:hAnsi="Arial" w:cs="Arial"/>
        </w:rPr>
        <w:t xml:space="preserve"> and (iii) </w:t>
      </w:r>
      <w:r w:rsidR="00A46B6B" w:rsidRPr="00D15956">
        <w:rPr>
          <w:rFonts w:ascii="Arial" w:hAnsi="Arial" w:cs="Arial"/>
        </w:rPr>
        <w:t>lastly, sets out in some detail why the defences pleaded by</w:t>
      </w:r>
      <w:r w:rsidR="00DE0CF0" w:rsidRPr="00D15956">
        <w:rPr>
          <w:rFonts w:ascii="Arial" w:hAnsi="Arial" w:cs="Arial"/>
        </w:rPr>
        <w:t xml:space="preserve"> the NYDA do not raise any issues for trial.</w:t>
      </w:r>
      <w:r w:rsidR="00DE0CF0" w:rsidRPr="00802B42">
        <w:rPr>
          <w:rStyle w:val="FootnoteReference"/>
          <w:rFonts w:ascii="Arial" w:hAnsi="Arial" w:cs="Arial"/>
        </w:rPr>
        <w:footnoteReference w:id="7"/>
      </w:r>
    </w:p>
    <w:p w14:paraId="78E9A759" w14:textId="1F1D7D22" w:rsidR="009B16BB" w:rsidRPr="00D15956" w:rsidRDefault="00D15956" w:rsidP="00D15956">
      <w:pPr>
        <w:spacing w:line="480" w:lineRule="auto"/>
        <w:ind w:left="720"/>
        <w:rPr>
          <w:rFonts w:ascii="Times New Roman" w:hAnsi="Times New Roman"/>
        </w:rPr>
      </w:pPr>
      <w:r>
        <w:rPr>
          <w:rFonts w:ascii="Arial" w:hAnsi="Arial" w:cs="Arial"/>
        </w:rPr>
        <w:t>[7].</w:t>
      </w:r>
      <w:r>
        <w:rPr>
          <w:rFonts w:ascii="Arial" w:hAnsi="Arial" w:cs="Arial"/>
        </w:rPr>
        <w:tab/>
      </w:r>
      <w:r w:rsidR="001243A2" w:rsidRPr="00D15956">
        <w:rPr>
          <w:rFonts w:ascii="Arial" w:hAnsi="Arial" w:cs="Arial"/>
        </w:rPr>
        <w:t>In</w:t>
      </w:r>
      <w:r w:rsidR="00107BBE" w:rsidRPr="00D15956">
        <w:rPr>
          <w:rFonts w:ascii="Arial" w:hAnsi="Arial" w:cs="Arial"/>
        </w:rPr>
        <w:t xml:space="preserve"> </w:t>
      </w:r>
      <w:r w:rsidR="00107BBE" w:rsidRPr="00D15956">
        <w:rPr>
          <w:rFonts w:ascii="Arial" w:hAnsi="Arial" w:cs="Arial"/>
          <w:b/>
          <w:bCs/>
          <w:i/>
          <w:iCs/>
        </w:rPr>
        <w:t>Breitenbach v Fiat SA (Edms) Bpk</w:t>
      </w:r>
      <w:r w:rsidR="006E6061" w:rsidRPr="00802B42">
        <w:rPr>
          <w:rStyle w:val="FootnoteReference"/>
          <w:rFonts w:ascii="Arial" w:hAnsi="Arial" w:cs="Arial"/>
        </w:rPr>
        <w:footnoteReference w:id="8"/>
      </w:r>
      <w:r w:rsidR="008506A9" w:rsidRPr="00D15956">
        <w:rPr>
          <w:rFonts w:ascii="Arial" w:hAnsi="Arial" w:cs="Arial"/>
        </w:rPr>
        <w:t xml:space="preserve"> </w:t>
      </w:r>
      <w:r w:rsidR="005B33EB" w:rsidRPr="00D15956">
        <w:rPr>
          <w:rFonts w:ascii="Arial" w:hAnsi="Arial" w:cs="Arial"/>
        </w:rPr>
        <w:t>the court (</w:t>
      </w:r>
      <w:r w:rsidR="005B33EB" w:rsidRPr="00D15956">
        <w:rPr>
          <w:rFonts w:ascii="Arial" w:hAnsi="Arial" w:cs="Arial"/>
          <w:i/>
          <w:iCs/>
        </w:rPr>
        <w:t>per</w:t>
      </w:r>
      <w:r w:rsidR="005B33EB" w:rsidRPr="00D15956">
        <w:rPr>
          <w:rFonts w:ascii="Arial" w:hAnsi="Arial" w:cs="Arial"/>
        </w:rPr>
        <w:t xml:space="preserve"> Colman J, with </w:t>
      </w:r>
      <w:r w:rsidR="0005687D" w:rsidRPr="00D15956">
        <w:rPr>
          <w:rFonts w:ascii="Arial" w:hAnsi="Arial" w:cs="Arial"/>
        </w:rPr>
        <w:t xml:space="preserve">Nicholas J and Eloff J </w:t>
      </w:r>
      <w:r w:rsidR="0088667E" w:rsidRPr="00D15956">
        <w:rPr>
          <w:rFonts w:ascii="Arial" w:hAnsi="Arial" w:cs="Arial"/>
        </w:rPr>
        <w:t xml:space="preserve">concurring) </w:t>
      </w:r>
      <w:r w:rsidR="009C3C7D" w:rsidRPr="00D15956">
        <w:rPr>
          <w:rFonts w:ascii="Arial" w:hAnsi="Arial" w:cs="Arial"/>
        </w:rPr>
        <w:t>expressed the purpose of summary judgement in these terms:</w:t>
      </w:r>
    </w:p>
    <w:p w14:paraId="5B02F664" w14:textId="77777777" w:rsidR="00170459" w:rsidRPr="00802B42" w:rsidRDefault="009C3C7D" w:rsidP="00A468A5">
      <w:pPr>
        <w:pStyle w:val="ListParagraph"/>
        <w:spacing w:before="120" w:line="240" w:lineRule="auto"/>
        <w:ind w:left="1418" w:right="522" w:firstLine="0"/>
        <w:contextualSpacing w:val="0"/>
        <w:rPr>
          <w:rFonts w:ascii="Arial" w:hAnsi="Arial" w:cs="Arial"/>
          <w:sz w:val="22"/>
          <w:szCs w:val="22"/>
        </w:rPr>
      </w:pPr>
      <w:r w:rsidRPr="00802B42">
        <w:rPr>
          <w:rFonts w:ascii="Arial" w:hAnsi="Arial" w:cs="Arial"/>
          <w:sz w:val="22"/>
          <w:szCs w:val="22"/>
        </w:rPr>
        <w:t>‘</w:t>
      </w:r>
      <w:r w:rsidR="00E65BB0" w:rsidRPr="00802B42">
        <w:rPr>
          <w:rFonts w:ascii="Arial" w:hAnsi="Arial" w:cs="Arial"/>
          <w:sz w:val="22"/>
          <w:szCs w:val="22"/>
        </w:rPr>
        <w:t xml:space="preserve">The purpose of the procedure known as summary judgement is well recognised.  It is, indeed, implicit in the portion of </w:t>
      </w:r>
      <w:r w:rsidR="00646798" w:rsidRPr="00802B42">
        <w:rPr>
          <w:rFonts w:ascii="Arial" w:hAnsi="Arial" w:cs="Arial"/>
          <w:sz w:val="22"/>
          <w:szCs w:val="22"/>
        </w:rPr>
        <w:t xml:space="preserve">Rule 32 which prescribes </w:t>
      </w:r>
      <w:r w:rsidR="006651FB" w:rsidRPr="00802B42">
        <w:rPr>
          <w:rFonts w:ascii="Arial" w:hAnsi="Arial" w:cs="Arial"/>
          <w:sz w:val="22"/>
          <w:szCs w:val="22"/>
        </w:rPr>
        <w:t>the contents of the affidavit which must be filed on behalf of the plaintiff</w:t>
      </w:r>
      <w:r w:rsidR="006651FB" w:rsidRPr="00802B42">
        <w:rPr>
          <w:rFonts w:ascii="Arial" w:hAnsi="Arial" w:cs="Arial"/>
          <w:b/>
          <w:bCs/>
          <w:sz w:val="22"/>
          <w:szCs w:val="22"/>
        </w:rPr>
        <w:t xml:space="preserve">.  It is a procedure aimed at the defendant, who, </w:t>
      </w:r>
      <w:r w:rsidR="00153E3D" w:rsidRPr="00802B42">
        <w:rPr>
          <w:rFonts w:ascii="Arial" w:hAnsi="Arial" w:cs="Arial"/>
          <w:b/>
          <w:bCs/>
          <w:sz w:val="22"/>
          <w:szCs w:val="22"/>
        </w:rPr>
        <w:t xml:space="preserve">although he has no </w:t>
      </w:r>
      <w:r w:rsidR="00153E3D" w:rsidRPr="00802B42">
        <w:rPr>
          <w:rFonts w:ascii="Arial" w:hAnsi="Arial" w:cs="Arial"/>
          <w:b/>
          <w:bCs/>
          <w:i/>
          <w:iCs/>
          <w:sz w:val="22"/>
          <w:szCs w:val="22"/>
        </w:rPr>
        <w:t>bona fide</w:t>
      </w:r>
      <w:r w:rsidR="00153E3D" w:rsidRPr="00802B42">
        <w:rPr>
          <w:rFonts w:ascii="Arial" w:hAnsi="Arial" w:cs="Arial"/>
          <w:b/>
          <w:bCs/>
          <w:sz w:val="22"/>
          <w:szCs w:val="22"/>
        </w:rPr>
        <w:t xml:space="preserve"> defence to the action brought against him, gives notice of intention to defend</w:t>
      </w:r>
      <w:r w:rsidR="005E3ABF" w:rsidRPr="00802B42">
        <w:rPr>
          <w:rFonts w:ascii="Arial" w:hAnsi="Arial" w:cs="Arial"/>
          <w:b/>
          <w:bCs/>
          <w:sz w:val="22"/>
          <w:szCs w:val="22"/>
        </w:rPr>
        <w:t xml:space="preserve"> solely </w:t>
      </w:r>
      <w:r w:rsidR="00153E3D" w:rsidRPr="00802B42">
        <w:rPr>
          <w:rFonts w:ascii="Arial" w:hAnsi="Arial" w:cs="Arial"/>
          <w:b/>
          <w:bCs/>
          <w:sz w:val="22"/>
          <w:szCs w:val="22"/>
        </w:rPr>
        <w:t>in order to delay the grant of judgement in favour of</w:t>
      </w:r>
      <w:r w:rsidR="00962668" w:rsidRPr="00802B42">
        <w:rPr>
          <w:rFonts w:ascii="Arial" w:hAnsi="Arial" w:cs="Arial"/>
          <w:b/>
          <w:bCs/>
          <w:sz w:val="22"/>
          <w:szCs w:val="22"/>
        </w:rPr>
        <w:t xml:space="preserve"> plaintiff</w:t>
      </w:r>
      <w:r w:rsidR="00962668" w:rsidRPr="00802B42">
        <w:rPr>
          <w:rFonts w:ascii="Arial" w:hAnsi="Arial" w:cs="Arial"/>
          <w:sz w:val="22"/>
          <w:szCs w:val="22"/>
        </w:rPr>
        <w:t xml:space="preserve">.  </w:t>
      </w:r>
      <w:r w:rsidR="00B424D2" w:rsidRPr="00802B42">
        <w:rPr>
          <w:rFonts w:ascii="Arial" w:hAnsi="Arial" w:cs="Arial"/>
          <w:sz w:val="22"/>
          <w:szCs w:val="22"/>
        </w:rPr>
        <w:t xml:space="preserve">In </w:t>
      </w:r>
      <w:r w:rsidR="00186E4A" w:rsidRPr="00802B42">
        <w:rPr>
          <w:rFonts w:ascii="Arial" w:hAnsi="Arial" w:cs="Arial"/>
          <w:sz w:val="22"/>
          <w:szCs w:val="22"/>
        </w:rPr>
        <w:t>a</w:t>
      </w:r>
      <w:r w:rsidR="00B424D2" w:rsidRPr="00802B42">
        <w:rPr>
          <w:rFonts w:ascii="Arial" w:hAnsi="Arial" w:cs="Arial"/>
          <w:sz w:val="22"/>
          <w:szCs w:val="22"/>
        </w:rPr>
        <w:t xml:space="preserve"> case where that is what the defendant has done, the summary judgement procedure serves a socially and commercially useful purpose</w:t>
      </w:r>
      <w:r w:rsidR="009A0147" w:rsidRPr="00802B42">
        <w:rPr>
          <w:rFonts w:ascii="Arial" w:hAnsi="Arial" w:cs="Arial"/>
          <w:sz w:val="22"/>
          <w:szCs w:val="22"/>
        </w:rPr>
        <w:t>.  The relevant Rule should, therefore, not be interpreted with such liberality</w:t>
      </w:r>
      <w:r w:rsidR="00FC31C4" w:rsidRPr="00802B42">
        <w:rPr>
          <w:rFonts w:ascii="Arial" w:hAnsi="Arial" w:cs="Arial"/>
          <w:sz w:val="22"/>
          <w:szCs w:val="22"/>
        </w:rPr>
        <w:t xml:space="preserve"> to </w:t>
      </w:r>
      <w:r w:rsidR="009A0147" w:rsidRPr="00802B42">
        <w:rPr>
          <w:rFonts w:ascii="Arial" w:hAnsi="Arial" w:cs="Arial"/>
          <w:sz w:val="22"/>
          <w:szCs w:val="22"/>
        </w:rPr>
        <w:t>defendants</w:t>
      </w:r>
      <w:r w:rsidR="003A1EB6" w:rsidRPr="00802B42">
        <w:rPr>
          <w:rFonts w:ascii="Arial" w:hAnsi="Arial" w:cs="Arial"/>
          <w:sz w:val="22"/>
          <w:szCs w:val="22"/>
        </w:rPr>
        <w:t xml:space="preserve"> that </w:t>
      </w:r>
      <w:r w:rsidR="005E3ABF" w:rsidRPr="00802B42">
        <w:rPr>
          <w:rFonts w:ascii="Arial" w:hAnsi="Arial" w:cs="Arial"/>
          <w:sz w:val="22"/>
          <w:szCs w:val="22"/>
        </w:rPr>
        <w:t>*</w:t>
      </w:r>
      <w:r w:rsidR="003A1EB6" w:rsidRPr="00802B42">
        <w:rPr>
          <w:rFonts w:ascii="Arial" w:hAnsi="Arial" w:cs="Arial"/>
          <w:sz w:val="22"/>
          <w:szCs w:val="22"/>
        </w:rPr>
        <w:t>[</w:t>
      </w:r>
      <w:r w:rsidR="003A1EB6" w:rsidRPr="00802B42">
        <w:rPr>
          <w:rFonts w:ascii="Arial" w:hAnsi="Arial" w:cs="Arial"/>
          <w:b/>
          <w:bCs/>
          <w:sz w:val="22"/>
          <w:szCs w:val="22"/>
        </w:rPr>
        <w:t>sic</w:t>
      </w:r>
      <w:r w:rsidR="003A1EB6" w:rsidRPr="00802B42">
        <w:rPr>
          <w:rFonts w:ascii="Arial" w:hAnsi="Arial" w:cs="Arial"/>
          <w:sz w:val="22"/>
          <w:szCs w:val="22"/>
        </w:rPr>
        <w:t>] purpose is defeated.</w:t>
      </w:r>
      <w:r w:rsidR="00646798" w:rsidRPr="00802B42">
        <w:rPr>
          <w:rFonts w:ascii="Arial" w:hAnsi="Arial" w:cs="Arial"/>
          <w:sz w:val="22"/>
          <w:szCs w:val="22"/>
        </w:rPr>
        <w:t>’</w:t>
      </w:r>
      <w:r w:rsidR="005E3ABF" w:rsidRPr="00802B42">
        <w:rPr>
          <w:rFonts w:ascii="Arial" w:hAnsi="Arial" w:cs="Arial"/>
          <w:sz w:val="22"/>
          <w:szCs w:val="22"/>
        </w:rPr>
        <w:t xml:space="preserve"> </w:t>
      </w:r>
    </w:p>
    <w:p w14:paraId="6E774BD2" w14:textId="1E00CFDB" w:rsidR="00A9293F" w:rsidRDefault="005E3ABF" w:rsidP="00FB53EB">
      <w:pPr>
        <w:pStyle w:val="ListParagraph"/>
        <w:spacing w:before="120" w:line="240" w:lineRule="auto"/>
        <w:ind w:left="1418" w:right="522" w:firstLine="0"/>
        <w:contextualSpacing w:val="0"/>
        <w:rPr>
          <w:rFonts w:ascii="Arial" w:hAnsi="Arial" w:cs="Arial"/>
          <w:sz w:val="22"/>
          <w:szCs w:val="22"/>
        </w:rPr>
      </w:pPr>
      <w:r w:rsidRPr="00802B42">
        <w:rPr>
          <w:rFonts w:ascii="Arial" w:hAnsi="Arial" w:cs="Arial"/>
          <w:sz w:val="22"/>
          <w:szCs w:val="22"/>
        </w:rPr>
        <w:t>(Own emphasis and *insertion)</w:t>
      </w:r>
    </w:p>
    <w:p w14:paraId="2032C3A7" w14:textId="1E53674F" w:rsidR="00FB53EB" w:rsidRDefault="00FB53EB" w:rsidP="00FB53EB">
      <w:pPr>
        <w:pStyle w:val="ListParagraph"/>
        <w:spacing w:before="120" w:line="240" w:lineRule="auto"/>
        <w:ind w:left="1418" w:right="522" w:firstLine="0"/>
        <w:contextualSpacing w:val="0"/>
        <w:rPr>
          <w:rFonts w:ascii="Arial" w:hAnsi="Arial" w:cs="Arial"/>
          <w:sz w:val="22"/>
          <w:szCs w:val="22"/>
        </w:rPr>
      </w:pPr>
    </w:p>
    <w:p w14:paraId="00AEF8DA" w14:textId="77777777" w:rsidR="00FB53EB" w:rsidRPr="00FB53EB" w:rsidRDefault="00FB53EB" w:rsidP="00FB53EB">
      <w:pPr>
        <w:pStyle w:val="ListParagraph"/>
        <w:spacing w:before="120" w:line="240" w:lineRule="auto"/>
        <w:ind w:left="1418" w:right="522" w:firstLine="0"/>
        <w:contextualSpacing w:val="0"/>
        <w:rPr>
          <w:rFonts w:ascii="Arial" w:hAnsi="Arial" w:cs="Arial"/>
          <w:sz w:val="22"/>
          <w:szCs w:val="22"/>
        </w:rPr>
      </w:pPr>
    </w:p>
    <w:p w14:paraId="258EDC20" w14:textId="2C56E162" w:rsidR="009C3C7D" w:rsidRPr="007E7A8E" w:rsidRDefault="00166ECF" w:rsidP="00A9293F">
      <w:pPr>
        <w:spacing w:before="0" w:after="0"/>
        <w:ind w:left="0" w:right="-46" w:firstLine="0"/>
        <w:rPr>
          <w:rFonts w:ascii="Arial" w:hAnsi="Arial" w:cs="Arial"/>
          <w:b/>
          <w:iCs/>
          <w:kern w:val="0"/>
          <w:u w:val="single"/>
          <w:lang w:val="en-ZA"/>
          <w14:ligatures w14:val="none"/>
        </w:rPr>
      </w:pPr>
      <w:r w:rsidRPr="007E7A8E">
        <w:rPr>
          <w:rFonts w:ascii="Arial" w:hAnsi="Arial" w:cs="Arial"/>
          <w:b/>
          <w:iCs/>
          <w:kern w:val="0"/>
          <w:u w:val="single"/>
          <w:lang w:val="en-ZA"/>
          <w14:ligatures w14:val="none"/>
        </w:rPr>
        <w:lastRenderedPageBreak/>
        <w:t>THE DEFENCES</w:t>
      </w:r>
      <w:r w:rsidR="009B292C" w:rsidRPr="007E7A8E">
        <w:rPr>
          <w:rFonts w:ascii="Arial" w:hAnsi="Arial" w:cs="Arial"/>
          <w:b/>
          <w:iCs/>
          <w:kern w:val="0"/>
          <w:u w:val="single"/>
          <w:lang w:val="en-ZA"/>
          <w14:ligatures w14:val="none"/>
        </w:rPr>
        <w:t xml:space="preserve"> RELIED ON BY THE NYDA</w:t>
      </w:r>
    </w:p>
    <w:p w14:paraId="2836DDCD" w14:textId="695B1312" w:rsidR="00BA4ECE" w:rsidRPr="00A9293F" w:rsidRDefault="00BA4ECE" w:rsidP="00A9293F">
      <w:pPr>
        <w:spacing w:before="0" w:after="0"/>
        <w:ind w:left="720" w:right="-46" w:firstLine="0"/>
        <w:rPr>
          <w:rFonts w:ascii="Arial" w:hAnsi="Arial" w:cs="Arial"/>
          <w:i/>
          <w:iCs/>
          <w:kern w:val="0"/>
          <w:lang w:val="en-ZA"/>
          <w14:ligatures w14:val="none"/>
        </w:rPr>
      </w:pPr>
      <w:r w:rsidRPr="00A9293F">
        <w:rPr>
          <w:rFonts w:ascii="Arial" w:hAnsi="Arial" w:cs="Arial"/>
          <w:i/>
          <w:iCs/>
          <w:kern w:val="0"/>
          <w:lang w:val="en-ZA"/>
          <w14:ligatures w14:val="none"/>
        </w:rPr>
        <w:t>General:</w:t>
      </w:r>
    </w:p>
    <w:p w14:paraId="6A0F6FFF" w14:textId="0C9FA837" w:rsidR="00D238B2" w:rsidRPr="00D15956" w:rsidRDefault="00D15956" w:rsidP="00D15956">
      <w:pPr>
        <w:spacing w:line="480" w:lineRule="auto"/>
        <w:ind w:left="720" w:right="28"/>
        <w:rPr>
          <w:rFonts w:ascii="Arial" w:hAnsi="Arial" w:cs="Arial"/>
        </w:rPr>
      </w:pPr>
      <w:r w:rsidRPr="00A9293F">
        <w:rPr>
          <w:rFonts w:ascii="Arial" w:hAnsi="Arial" w:cs="Arial"/>
        </w:rPr>
        <w:t>[8].</w:t>
      </w:r>
      <w:r w:rsidRPr="00A9293F">
        <w:rPr>
          <w:rFonts w:ascii="Arial" w:hAnsi="Arial" w:cs="Arial"/>
        </w:rPr>
        <w:tab/>
      </w:r>
      <w:r w:rsidR="00715E3C" w:rsidRPr="00D15956">
        <w:rPr>
          <w:rFonts w:ascii="Arial" w:hAnsi="Arial" w:cs="Arial"/>
        </w:rPr>
        <w:t xml:space="preserve">The NYDA </w:t>
      </w:r>
      <w:r w:rsidR="00FA7241" w:rsidRPr="00D15956">
        <w:rPr>
          <w:rFonts w:ascii="Arial" w:hAnsi="Arial" w:cs="Arial"/>
        </w:rPr>
        <w:t>relies on two special pleas</w:t>
      </w:r>
      <w:r w:rsidR="00D94868" w:rsidRPr="00D15956">
        <w:rPr>
          <w:rFonts w:ascii="Arial" w:hAnsi="Arial" w:cs="Arial"/>
        </w:rPr>
        <w:t xml:space="preserve">.  </w:t>
      </w:r>
      <w:r w:rsidR="00147F9D" w:rsidRPr="00D15956">
        <w:rPr>
          <w:rFonts w:ascii="Arial" w:hAnsi="Arial" w:cs="Arial"/>
        </w:rPr>
        <w:t>The f</w:t>
      </w:r>
      <w:r w:rsidR="00D94868" w:rsidRPr="00D15956">
        <w:rPr>
          <w:rFonts w:ascii="Arial" w:hAnsi="Arial" w:cs="Arial"/>
        </w:rPr>
        <w:t>irst</w:t>
      </w:r>
      <w:r w:rsidR="00147F9D" w:rsidRPr="00D15956">
        <w:rPr>
          <w:rFonts w:ascii="Arial" w:hAnsi="Arial" w:cs="Arial"/>
        </w:rPr>
        <w:t xml:space="preserve"> </w:t>
      </w:r>
      <w:r w:rsidR="003710E8" w:rsidRPr="00D15956">
        <w:rPr>
          <w:rFonts w:ascii="Arial" w:hAnsi="Arial" w:cs="Arial"/>
        </w:rPr>
        <w:t xml:space="preserve">special plea </w:t>
      </w:r>
      <w:r w:rsidR="00147F9D" w:rsidRPr="00D15956">
        <w:rPr>
          <w:rFonts w:ascii="Arial" w:hAnsi="Arial" w:cs="Arial"/>
        </w:rPr>
        <w:t>is</w:t>
      </w:r>
      <w:r w:rsidR="00D94868" w:rsidRPr="00D15956">
        <w:rPr>
          <w:rFonts w:ascii="Arial" w:hAnsi="Arial" w:cs="Arial"/>
        </w:rPr>
        <w:t xml:space="preserve"> </w:t>
      </w:r>
      <w:r w:rsidR="00ED346C" w:rsidRPr="00D15956">
        <w:rPr>
          <w:rFonts w:ascii="Arial" w:hAnsi="Arial" w:cs="Arial"/>
        </w:rPr>
        <w:t xml:space="preserve">to the effect </w:t>
      </w:r>
      <w:r w:rsidR="00CB6B19" w:rsidRPr="00D15956">
        <w:rPr>
          <w:rFonts w:ascii="Arial" w:hAnsi="Arial" w:cs="Arial"/>
        </w:rPr>
        <w:t xml:space="preserve">that the agreement </w:t>
      </w:r>
      <w:r w:rsidR="00DF5E52" w:rsidRPr="00D15956">
        <w:rPr>
          <w:rFonts w:ascii="Arial" w:hAnsi="Arial" w:cs="Arial"/>
        </w:rPr>
        <w:t xml:space="preserve">contended for </w:t>
      </w:r>
      <w:r w:rsidR="00CB6B19" w:rsidRPr="00D15956">
        <w:rPr>
          <w:rFonts w:ascii="Arial" w:hAnsi="Arial" w:cs="Arial"/>
        </w:rPr>
        <w:t xml:space="preserve">by Rise Security </w:t>
      </w:r>
      <w:r w:rsidR="00D94868" w:rsidRPr="00D15956">
        <w:rPr>
          <w:rFonts w:ascii="Arial" w:hAnsi="Arial" w:cs="Arial"/>
        </w:rPr>
        <w:t xml:space="preserve">does not comply with the </w:t>
      </w:r>
      <w:r w:rsidR="00DE2043" w:rsidRPr="00D15956">
        <w:rPr>
          <w:rFonts w:ascii="Arial" w:hAnsi="Arial" w:cs="Arial"/>
        </w:rPr>
        <w:t>Public Finance Management Act</w:t>
      </w:r>
      <w:r w:rsidR="00573D18" w:rsidRPr="00D15956">
        <w:rPr>
          <w:rFonts w:ascii="Arial" w:hAnsi="Arial" w:cs="Arial"/>
        </w:rPr>
        <w:t xml:space="preserve"> 1 of 1999 (</w:t>
      </w:r>
      <w:r w:rsidR="00573D18" w:rsidRPr="00D15956">
        <w:rPr>
          <w:rFonts w:ascii="Arial" w:hAnsi="Arial" w:cs="Arial"/>
          <w:b/>
          <w:bCs/>
        </w:rPr>
        <w:t>the PFMA</w:t>
      </w:r>
      <w:r w:rsidR="00573D18" w:rsidRPr="00D15956">
        <w:rPr>
          <w:rFonts w:ascii="Arial" w:hAnsi="Arial" w:cs="Arial"/>
        </w:rPr>
        <w:t>)</w:t>
      </w:r>
      <w:r w:rsidR="00745A86" w:rsidRPr="00D15956">
        <w:rPr>
          <w:rFonts w:ascii="Arial" w:hAnsi="Arial" w:cs="Arial"/>
        </w:rPr>
        <w:t xml:space="preserve"> and the NYDA’s so-called Supply Chain Management Policy</w:t>
      </w:r>
      <w:r w:rsidR="00301260" w:rsidRPr="00D15956">
        <w:rPr>
          <w:rFonts w:ascii="Arial" w:hAnsi="Arial" w:cs="Arial"/>
        </w:rPr>
        <w:t xml:space="preserve"> </w:t>
      </w:r>
      <w:r w:rsidR="00B53BDB" w:rsidRPr="00D15956">
        <w:rPr>
          <w:rFonts w:ascii="Arial" w:hAnsi="Arial" w:cs="Arial"/>
        </w:rPr>
        <w:t>(</w:t>
      </w:r>
      <w:r w:rsidR="00B53BDB" w:rsidRPr="00D15956">
        <w:rPr>
          <w:rFonts w:ascii="Arial" w:hAnsi="Arial" w:cs="Arial"/>
          <w:b/>
          <w:bCs/>
        </w:rPr>
        <w:t>SCMP</w:t>
      </w:r>
      <w:r w:rsidR="00360F92" w:rsidRPr="00D15956">
        <w:rPr>
          <w:rFonts w:ascii="Arial" w:hAnsi="Arial" w:cs="Arial"/>
        </w:rPr>
        <w:t xml:space="preserve">) </w:t>
      </w:r>
      <w:r w:rsidR="00301260" w:rsidRPr="00D15956">
        <w:rPr>
          <w:rFonts w:ascii="Arial" w:hAnsi="Arial" w:cs="Arial"/>
        </w:rPr>
        <w:t>and that, in consequence</w:t>
      </w:r>
      <w:r w:rsidR="00D90913" w:rsidRPr="00D15956">
        <w:rPr>
          <w:rFonts w:ascii="Arial" w:hAnsi="Arial" w:cs="Arial"/>
        </w:rPr>
        <w:t xml:space="preserve"> thereof</w:t>
      </w:r>
      <w:r w:rsidR="00301260" w:rsidRPr="00D15956">
        <w:rPr>
          <w:rFonts w:ascii="Arial" w:hAnsi="Arial" w:cs="Arial"/>
        </w:rPr>
        <w:t xml:space="preserve">, </w:t>
      </w:r>
      <w:r w:rsidR="00D90913" w:rsidRPr="00D15956">
        <w:rPr>
          <w:rFonts w:ascii="Arial" w:hAnsi="Arial" w:cs="Arial"/>
        </w:rPr>
        <w:t xml:space="preserve">it is </w:t>
      </w:r>
      <w:r w:rsidR="003D282C" w:rsidRPr="00D15956">
        <w:rPr>
          <w:rFonts w:ascii="Arial" w:hAnsi="Arial" w:cs="Arial"/>
        </w:rPr>
        <w:t xml:space="preserve">invalid, unlawful and void </w:t>
      </w:r>
      <w:r w:rsidR="003D282C" w:rsidRPr="00D15956">
        <w:rPr>
          <w:rFonts w:ascii="Arial" w:hAnsi="Arial" w:cs="Arial"/>
          <w:i/>
          <w:iCs/>
        </w:rPr>
        <w:t>ab initio</w:t>
      </w:r>
      <w:r w:rsidR="00CC1AD8" w:rsidRPr="00D15956">
        <w:rPr>
          <w:rFonts w:ascii="Arial" w:hAnsi="Arial" w:cs="Arial"/>
        </w:rPr>
        <w:t>.</w:t>
      </w:r>
      <w:r w:rsidR="00C42A60" w:rsidRPr="00A9293F">
        <w:rPr>
          <w:rStyle w:val="FootnoteReference"/>
          <w:rFonts w:ascii="Arial" w:hAnsi="Arial" w:cs="Arial"/>
        </w:rPr>
        <w:footnoteReference w:id="9"/>
      </w:r>
      <w:r w:rsidR="00AF7BD7" w:rsidRPr="00D15956">
        <w:rPr>
          <w:rFonts w:ascii="Arial" w:hAnsi="Arial" w:cs="Arial"/>
        </w:rPr>
        <w:t xml:space="preserve">  The second</w:t>
      </w:r>
      <w:r w:rsidR="003710E8" w:rsidRPr="00D15956">
        <w:rPr>
          <w:rFonts w:ascii="Arial" w:hAnsi="Arial" w:cs="Arial"/>
        </w:rPr>
        <w:t xml:space="preserve"> special </w:t>
      </w:r>
      <w:r w:rsidR="00ED346C" w:rsidRPr="00D15956">
        <w:rPr>
          <w:rFonts w:ascii="Arial" w:hAnsi="Arial" w:cs="Arial"/>
        </w:rPr>
        <w:t>plea</w:t>
      </w:r>
      <w:r w:rsidR="00AF7BD7" w:rsidRPr="00D15956">
        <w:rPr>
          <w:rFonts w:ascii="Arial" w:hAnsi="Arial" w:cs="Arial"/>
        </w:rPr>
        <w:t xml:space="preserve"> is that this court </w:t>
      </w:r>
      <w:r w:rsidR="00560267" w:rsidRPr="00D15956">
        <w:rPr>
          <w:rFonts w:ascii="Arial" w:hAnsi="Arial" w:cs="Arial"/>
        </w:rPr>
        <w:t>does not have the requisite jurisdiction to adjudicate the matter</w:t>
      </w:r>
      <w:r w:rsidR="000D622C" w:rsidRPr="00D15956">
        <w:rPr>
          <w:rFonts w:ascii="Arial" w:hAnsi="Arial" w:cs="Arial"/>
        </w:rPr>
        <w:t xml:space="preserve"> – seemingly because </w:t>
      </w:r>
      <w:r w:rsidR="00401857" w:rsidRPr="00D15956">
        <w:rPr>
          <w:rFonts w:ascii="Arial" w:hAnsi="Arial" w:cs="Arial"/>
        </w:rPr>
        <w:t xml:space="preserve">Rise Security has not alleged </w:t>
      </w:r>
      <w:r w:rsidR="00325B40" w:rsidRPr="00D15956">
        <w:rPr>
          <w:rFonts w:ascii="Arial" w:hAnsi="Arial" w:cs="Arial"/>
        </w:rPr>
        <w:t xml:space="preserve">exactly </w:t>
      </w:r>
      <w:r w:rsidR="00DF5E52" w:rsidRPr="00D15956">
        <w:rPr>
          <w:rFonts w:ascii="Arial" w:hAnsi="Arial" w:cs="Arial"/>
        </w:rPr>
        <w:t>where the agreement i</w:t>
      </w:r>
      <w:r w:rsidR="00325B40" w:rsidRPr="00D15956">
        <w:rPr>
          <w:rFonts w:ascii="Arial" w:hAnsi="Arial" w:cs="Arial"/>
        </w:rPr>
        <w:t>t</w:t>
      </w:r>
      <w:r w:rsidR="00DF5E52" w:rsidRPr="00D15956">
        <w:rPr>
          <w:rFonts w:ascii="Arial" w:hAnsi="Arial" w:cs="Arial"/>
        </w:rPr>
        <w:t xml:space="preserve"> relies on was concluded</w:t>
      </w:r>
      <w:r w:rsidR="00560267" w:rsidRPr="00D15956">
        <w:rPr>
          <w:rFonts w:ascii="Arial" w:hAnsi="Arial" w:cs="Arial"/>
        </w:rPr>
        <w:t>.</w:t>
      </w:r>
      <w:r w:rsidR="00560267" w:rsidRPr="00A9293F">
        <w:rPr>
          <w:rStyle w:val="FootnoteReference"/>
          <w:rFonts w:ascii="Arial" w:hAnsi="Arial" w:cs="Arial"/>
        </w:rPr>
        <w:footnoteReference w:id="10"/>
      </w:r>
    </w:p>
    <w:p w14:paraId="51002D8B" w14:textId="1AC20384" w:rsidR="00B71636" w:rsidRPr="00D15956" w:rsidRDefault="00D15956" w:rsidP="00D15956">
      <w:pPr>
        <w:spacing w:line="480" w:lineRule="auto"/>
        <w:ind w:left="720" w:right="28"/>
        <w:rPr>
          <w:rFonts w:ascii="Times New Roman" w:hAnsi="Times New Roman"/>
        </w:rPr>
      </w:pPr>
      <w:r>
        <w:rPr>
          <w:rFonts w:ascii="Arial" w:hAnsi="Arial" w:cs="Arial"/>
        </w:rPr>
        <w:t>[9].</w:t>
      </w:r>
      <w:r>
        <w:rPr>
          <w:rFonts w:ascii="Arial" w:hAnsi="Arial" w:cs="Arial"/>
        </w:rPr>
        <w:tab/>
      </w:r>
      <w:r w:rsidR="00B71636" w:rsidRPr="00D15956">
        <w:rPr>
          <w:rFonts w:ascii="Arial" w:hAnsi="Arial" w:cs="Arial"/>
        </w:rPr>
        <w:t>The</w:t>
      </w:r>
      <w:r w:rsidR="00C57F23" w:rsidRPr="00D15956">
        <w:rPr>
          <w:rFonts w:ascii="Arial" w:hAnsi="Arial" w:cs="Arial"/>
        </w:rPr>
        <w:t xml:space="preserve"> NYDA’s plea on the merits</w:t>
      </w:r>
      <w:r w:rsidR="00D8677F" w:rsidRPr="00D15956">
        <w:rPr>
          <w:rFonts w:ascii="Arial" w:hAnsi="Arial" w:cs="Arial"/>
        </w:rPr>
        <w:t xml:space="preserve"> is </w:t>
      </w:r>
      <w:r w:rsidR="00D15558" w:rsidRPr="00D15956">
        <w:rPr>
          <w:rFonts w:ascii="Arial" w:hAnsi="Arial" w:cs="Arial"/>
        </w:rPr>
        <w:t xml:space="preserve">twofold: First, </w:t>
      </w:r>
      <w:r w:rsidR="00932F5A" w:rsidRPr="00D15956">
        <w:rPr>
          <w:rFonts w:ascii="Arial" w:hAnsi="Arial" w:cs="Arial"/>
        </w:rPr>
        <w:t xml:space="preserve">it </w:t>
      </w:r>
      <w:r w:rsidR="00842359" w:rsidRPr="00D15956">
        <w:rPr>
          <w:rFonts w:ascii="Arial" w:hAnsi="Arial" w:cs="Arial"/>
        </w:rPr>
        <w:t xml:space="preserve">alleges </w:t>
      </w:r>
      <w:r w:rsidR="00D8677F" w:rsidRPr="00D15956">
        <w:rPr>
          <w:rFonts w:ascii="Arial" w:hAnsi="Arial" w:cs="Arial"/>
        </w:rPr>
        <w:t>that</w:t>
      </w:r>
      <w:r w:rsidR="00182B30" w:rsidRPr="00D15956">
        <w:rPr>
          <w:rFonts w:ascii="Arial" w:hAnsi="Arial" w:cs="Arial"/>
        </w:rPr>
        <w:t xml:space="preserve"> no agreement came into being between the parties</w:t>
      </w:r>
      <w:r w:rsidR="00D15558" w:rsidRPr="00D15956">
        <w:rPr>
          <w:rFonts w:ascii="Arial" w:hAnsi="Arial" w:cs="Arial"/>
        </w:rPr>
        <w:t>;</w:t>
      </w:r>
      <w:r w:rsidR="003855A6" w:rsidRPr="00A9293F">
        <w:rPr>
          <w:rStyle w:val="FootnoteReference"/>
          <w:rFonts w:ascii="Arial" w:hAnsi="Arial" w:cs="Arial"/>
        </w:rPr>
        <w:footnoteReference w:id="11"/>
      </w:r>
      <w:r w:rsidR="00CE4ED3" w:rsidRPr="00D15956">
        <w:rPr>
          <w:rFonts w:ascii="Arial" w:hAnsi="Arial" w:cs="Arial"/>
        </w:rPr>
        <w:t xml:space="preserve"> and</w:t>
      </w:r>
      <w:r w:rsidR="00182B30" w:rsidRPr="00D15956">
        <w:rPr>
          <w:rFonts w:ascii="Arial" w:hAnsi="Arial" w:cs="Arial"/>
        </w:rPr>
        <w:t xml:space="preserve"> </w:t>
      </w:r>
      <w:r w:rsidR="00004FC1" w:rsidRPr="00D15956">
        <w:rPr>
          <w:rFonts w:ascii="Arial" w:hAnsi="Arial" w:cs="Arial"/>
        </w:rPr>
        <w:t>second</w:t>
      </w:r>
      <w:r w:rsidR="00182B30" w:rsidRPr="00D15956">
        <w:rPr>
          <w:rFonts w:ascii="Arial" w:hAnsi="Arial" w:cs="Arial"/>
        </w:rPr>
        <w:t>,</w:t>
      </w:r>
      <w:r w:rsidR="00C36D04" w:rsidRPr="00D15956">
        <w:rPr>
          <w:rFonts w:ascii="Arial" w:hAnsi="Arial" w:cs="Arial"/>
        </w:rPr>
        <w:t xml:space="preserve"> </w:t>
      </w:r>
      <w:r w:rsidR="00842359" w:rsidRPr="00D15956">
        <w:rPr>
          <w:rFonts w:ascii="Arial" w:hAnsi="Arial" w:cs="Arial"/>
        </w:rPr>
        <w:t xml:space="preserve">it alleges </w:t>
      </w:r>
      <w:r w:rsidR="00C36D04" w:rsidRPr="00D15956">
        <w:rPr>
          <w:rFonts w:ascii="Arial" w:hAnsi="Arial" w:cs="Arial"/>
        </w:rPr>
        <w:t>that</w:t>
      </w:r>
      <w:r w:rsidR="00231B2C" w:rsidRPr="00D15956">
        <w:rPr>
          <w:rFonts w:ascii="Arial" w:hAnsi="Arial" w:cs="Arial"/>
        </w:rPr>
        <w:t xml:space="preserve"> Rise Security</w:t>
      </w:r>
      <w:r w:rsidR="00D113EE" w:rsidRPr="00D15956">
        <w:rPr>
          <w:rFonts w:ascii="Arial" w:hAnsi="Arial" w:cs="Arial"/>
        </w:rPr>
        <w:t xml:space="preserve"> did not render any security services to the NYDA</w:t>
      </w:r>
      <w:r w:rsidR="003F6085" w:rsidRPr="00D15956">
        <w:rPr>
          <w:rFonts w:ascii="Arial" w:hAnsi="Arial" w:cs="Arial"/>
        </w:rPr>
        <w:t xml:space="preserve"> during November and December 2022.</w:t>
      </w:r>
      <w:r w:rsidR="003F6085">
        <w:rPr>
          <w:rStyle w:val="FootnoteReference"/>
          <w:rFonts w:ascii="Times New Roman" w:hAnsi="Times New Roman"/>
        </w:rPr>
        <w:footnoteReference w:id="12"/>
      </w:r>
    </w:p>
    <w:p w14:paraId="11ADA92D" w14:textId="461180BF" w:rsidR="00340AC0" w:rsidRPr="00A9293F" w:rsidRDefault="00340AC0" w:rsidP="00A9293F">
      <w:pPr>
        <w:ind w:left="0" w:right="28" w:firstLine="0"/>
        <w:rPr>
          <w:rFonts w:ascii="Arial" w:hAnsi="Arial" w:cs="Arial"/>
        </w:rPr>
      </w:pPr>
      <w:r w:rsidRPr="00AC45F0">
        <w:rPr>
          <w:rFonts w:ascii="Arial" w:hAnsi="Arial" w:cs="Arial"/>
          <w:b/>
          <w:u w:val="single"/>
        </w:rPr>
        <w:t>The NYDA’s opposing affidavit</w:t>
      </w:r>
      <w:r w:rsidRPr="00A9293F">
        <w:rPr>
          <w:rFonts w:ascii="Arial" w:hAnsi="Arial" w:cs="Arial"/>
        </w:rPr>
        <w:t xml:space="preserve">: </w:t>
      </w:r>
    </w:p>
    <w:p w14:paraId="629070B5" w14:textId="03601AD3" w:rsidR="00BA4ECE" w:rsidRPr="00D15956" w:rsidRDefault="00D15956" w:rsidP="00D15956">
      <w:pPr>
        <w:spacing w:line="480" w:lineRule="auto"/>
        <w:ind w:left="720" w:right="28"/>
        <w:rPr>
          <w:rFonts w:ascii="Arial" w:hAnsi="Arial" w:cs="Arial"/>
        </w:rPr>
      </w:pPr>
      <w:r w:rsidRPr="00A9293F">
        <w:rPr>
          <w:rFonts w:ascii="Arial" w:hAnsi="Arial" w:cs="Arial"/>
        </w:rPr>
        <w:t>[10].</w:t>
      </w:r>
      <w:r w:rsidRPr="00A9293F">
        <w:rPr>
          <w:rFonts w:ascii="Arial" w:hAnsi="Arial" w:cs="Arial"/>
        </w:rPr>
        <w:tab/>
      </w:r>
      <w:r w:rsidR="00EB3CAA" w:rsidRPr="00D15956">
        <w:rPr>
          <w:rFonts w:ascii="Arial" w:hAnsi="Arial" w:cs="Arial"/>
        </w:rPr>
        <w:t xml:space="preserve">To </w:t>
      </w:r>
      <w:r w:rsidR="00B10881" w:rsidRPr="00D15956">
        <w:rPr>
          <w:rFonts w:ascii="Arial" w:hAnsi="Arial" w:cs="Arial"/>
        </w:rPr>
        <w:t>ward</w:t>
      </w:r>
      <w:r w:rsidR="00EB3CAA" w:rsidRPr="00D15956">
        <w:rPr>
          <w:rFonts w:ascii="Arial" w:hAnsi="Arial" w:cs="Arial"/>
        </w:rPr>
        <w:t xml:space="preserve"> off</w:t>
      </w:r>
      <w:r w:rsidR="00AC45F0" w:rsidRPr="00D15956">
        <w:rPr>
          <w:rFonts w:ascii="Arial" w:hAnsi="Arial" w:cs="Arial"/>
        </w:rPr>
        <w:t xml:space="preserve"> the granting of summary judg</w:t>
      </w:r>
      <w:r w:rsidR="00DA56CF" w:rsidRPr="00D15956">
        <w:rPr>
          <w:rFonts w:ascii="Arial" w:hAnsi="Arial" w:cs="Arial"/>
        </w:rPr>
        <w:t>ment against it, the NYDA</w:t>
      </w:r>
      <w:r w:rsidR="001C1E31" w:rsidRPr="00D15956">
        <w:rPr>
          <w:rFonts w:ascii="Arial" w:hAnsi="Arial" w:cs="Arial"/>
        </w:rPr>
        <w:t xml:space="preserve"> elected to</w:t>
      </w:r>
      <w:r w:rsidR="00096289" w:rsidRPr="00D15956">
        <w:rPr>
          <w:rFonts w:ascii="Arial" w:hAnsi="Arial" w:cs="Arial"/>
        </w:rPr>
        <w:t xml:space="preserve"> deliver an affidavit in terms of Rule 32</w:t>
      </w:r>
      <w:r w:rsidR="00252FA5" w:rsidRPr="00D15956">
        <w:rPr>
          <w:rFonts w:ascii="Arial" w:hAnsi="Arial" w:cs="Arial"/>
        </w:rPr>
        <w:t> </w:t>
      </w:r>
      <w:r w:rsidR="00096289" w:rsidRPr="00D15956">
        <w:rPr>
          <w:rFonts w:ascii="Arial" w:hAnsi="Arial" w:cs="Arial"/>
        </w:rPr>
        <w:t>(</w:t>
      </w:r>
      <w:r w:rsidR="00252FA5" w:rsidRPr="00D15956">
        <w:rPr>
          <w:rFonts w:ascii="Arial" w:hAnsi="Arial" w:cs="Arial"/>
        </w:rPr>
        <w:t>3) (b) of the URC</w:t>
      </w:r>
      <w:r w:rsidR="00F653E4" w:rsidRPr="00D15956">
        <w:rPr>
          <w:rFonts w:ascii="Arial" w:hAnsi="Arial" w:cs="Arial"/>
        </w:rPr>
        <w:t xml:space="preserve"> (</w:t>
      </w:r>
      <w:r w:rsidR="00F653E4" w:rsidRPr="00D15956">
        <w:rPr>
          <w:rFonts w:ascii="Arial" w:hAnsi="Arial" w:cs="Arial"/>
          <w:b/>
        </w:rPr>
        <w:t>the opposing affidavit</w:t>
      </w:r>
      <w:r w:rsidR="00F653E4" w:rsidRPr="00D15956">
        <w:rPr>
          <w:rFonts w:ascii="Arial" w:hAnsi="Arial" w:cs="Arial"/>
        </w:rPr>
        <w:t>)</w:t>
      </w:r>
      <w:r w:rsidR="00141F2B" w:rsidRPr="00D15956">
        <w:rPr>
          <w:rFonts w:ascii="Arial" w:hAnsi="Arial" w:cs="Arial"/>
        </w:rPr>
        <w:t>.  The opposing affidavit</w:t>
      </w:r>
      <w:r w:rsidR="00686078" w:rsidRPr="00D15956">
        <w:rPr>
          <w:rFonts w:ascii="Arial" w:hAnsi="Arial" w:cs="Arial"/>
        </w:rPr>
        <w:t xml:space="preserve"> is deposed to by the</w:t>
      </w:r>
      <w:r w:rsidR="008374B4" w:rsidRPr="00D15956">
        <w:rPr>
          <w:rFonts w:ascii="Arial" w:hAnsi="Arial" w:cs="Arial"/>
        </w:rPr>
        <w:t xml:space="preserve"> NYDA’s</w:t>
      </w:r>
      <w:r w:rsidR="0024541C" w:rsidRPr="00D15956">
        <w:rPr>
          <w:rFonts w:ascii="Arial" w:hAnsi="Arial" w:cs="Arial"/>
        </w:rPr>
        <w:t xml:space="preserve"> attorney of record</w:t>
      </w:r>
      <w:r w:rsidR="00D81383" w:rsidRPr="00D15956">
        <w:rPr>
          <w:rFonts w:ascii="Arial" w:hAnsi="Arial" w:cs="Arial"/>
        </w:rPr>
        <w:t>, i.e., Mr</w:t>
      </w:r>
      <w:r w:rsidR="00A17CA9" w:rsidRPr="00D15956">
        <w:rPr>
          <w:rFonts w:ascii="Arial" w:hAnsi="Arial" w:cs="Arial"/>
        </w:rPr>
        <w:t xml:space="preserve"> Sakhile Malvern Sibe</w:t>
      </w:r>
      <w:r w:rsidR="0095313E" w:rsidRPr="00D15956">
        <w:rPr>
          <w:rFonts w:ascii="Arial" w:hAnsi="Arial" w:cs="Arial"/>
        </w:rPr>
        <w:t>k</w:t>
      </w:r>
      <w:r w:rsidR="00A17CA9" w:rsidRPr="00D15956">
        <w:rPr>
          <w:rFonts w:ascii="Arial" w:hAnsi="Arial" w:cs="Arial"/>
        </w:rPr>
        <w:t>o</w:t>
      </w:r>
      <w:r w:rsidR="00AC02B3" w:rsidRPr="00D15956">
        <w:rPr>
          <w:rFonts w:ascii="Arial" w:hAnsi="Arial" w:cs="Arial"/>
        </w:rPr>
        <w:t xml:space="preserve"> (</w:t>
      </w:r>
      <w:r w:rsidR="00AC02B3" w:rsidRPr="00D15956">
        <w:rPr>
          <w:rFonts w:ascii="Arial" w:hAnsi="Arial" w:cs="Arial"/>
          <w:b/>
          <w:bCs/>
        </w:rPr>
        <w:t>Mr Sibeko</w:t>
      </w:r>
      <w:r w:rsidR="00AC02B3" w:rsidRPr="00D15956">
        <w:rPr>
          <w:rFonts w:ascii="Arial" w:hAnsi="Arial" w:cs="Arial"/>
        </w:rPr>
        <w:t>)</w:t>
      </w:r>
      <w:r w:rsidR="0028534A" w:rsidRPr="00D15956">
        <w:rPr>
          <w:rFonts w:ascii="Arial" w:hAnsi="Arial" w:cs="Arial"/>
        </w:rPr>
        <w:t>, who is the director of</w:t>
      </w:r>
      <w:r w:rsidR="0095313E" w:rsidRPr="00D15956">
        <w:rPr>
          <w:rFonts w:ascii="Arial" w:hAnsi="Arial" w:cs="Arial"/>
        </w:rPr>
        <w:t xml:space="preserve"> Sibeko</w:t>
      </w:r>
      <w:r w:rsidR="00AC02B3" w:rsidRPr="00D15956">
        <w:rPr>
          <w:rFonts w:ascii="Arial" w:hAnsi="Arial" w:cs="Arial"/>
        </w:rPr>
        <w:t xml:space="preserve"> Incorporated Attorneys.</w:t>
      </w:r>
    </w:p>
    <w:p w14:paraId="26C49750" w14:textId="1513BE77" w:rsidR="005C51D4" w:rsidRPr="00D15956" w:rsidRDefault="00D15956" w:rsidP="00D15956">
      <w:pPr>
        <w:spacing w:line="480" w:lineRule="auto"/>
        <w:ind w:left="720" w:right="28"/>
        <w:rPr>
          <w:rFonts w:ascii="Arial" w:hAnsi="Arial" w:cs="Arial"/>
        </w:rPr>
      </w:pPr>
      <w:r w:rsidRPr="00FB53EB">
        <w:rPr>
          <w:rFonts w:ascii="Arial" w:hAnsi="Arial" w:cs="Arial"/>
        </w:rPr>
        <w:lastRenderedPageBreak/>
        <w:t>[11].</w:t>
      </w:r>
      <w:r w:rsidRPr="00FB53EB">
        <w:rPr>
          <w:rFonts w:ascii="Arial" w:hAnsi="Arial" w:cs="Arial"/>
        </w:rPr>
        <w:tab/>
      </w:r>
      <w:r w:rsidR="00A05635" w:rsidRPr="00D15956">
        <w:rPr>
          <w:rFonts w:ascii="Arial" w:hAnsi="Arial" w:cs="Arial"/>
        </w:rPr>
        <w:t>When a</w:t>
      </w:r>
      <w:r w:rsidR="0018080E" w:rsidRPr="00D15956">
        <w:rPr>
          <w:rFonts w:ascii="Arial" w:hAnsi="Arial" w:cs="Arial"/>
        </w:rPr>
        <w:t>ny</w:t>
      </w:r>
      <w:r w:rsidR="00A05635" w:rsidRPr="00D15956">
        <w:rPr>
          <w:rFonts w:ascii="Arial" w:hAnsi="Arial" w:cs="Arial"/>
        </w:rPr>
        <w:t xml:space="preserve"> defendant - such as the</w:t>
      </w:r>
      <w:r w:rsidR="005A5D1B" w:rsidRPr="00D15956">
        <w:rPr>
          <w:rFonts w:ascii="Arial" w:hAnsi="Arial" w:cs="Arial"/>
        </w:rPr>
        <w:t xml:space="preserve"> NYDA in the present instance</w:t>
      </w:r>
      <w:r w:rsidR="00877C5D" w:rsidRPr="00D15956">
        <w:rPr>
          <w:rFonts w:ascii="Arial" w:hAnsi="Arial" w:cs="Arial"/>
        </w:rPr>
        <w:t xml:space="preserve"> - chooses </w:t>
      </w:r>
      <w:r w:rsidR="003A188E" w:rsidRPr="00D15956">
        <w:rPr>
          <w:rFonts w:ascii="Arial" w:hAnsi="Arial" w:cs="Arial"/>
        </w:rPr>
        <w:t xml:space="preserve">the route of </w:t>
      </w:r>
      <w:r w:rsidR="00DA7B44" w:rsidRPr="00D15956">
        <w:rPr>
          <w:rFonts w:ascii="Arial" w:hAnsi="Arial" w:cs="Arial"/>
        </w:rPr>
        <w:t>try</w:t>
      </w:r>
      <w:r w:rsidR="000275BB" w:rsidRPr="00D15956">
        <w:rPr>
          <w:rFonts w:ascii="Arial" w:hAnsi="Arial" w:cs="Arial"/>
        </w:rPr>
        <w:t>ing to</w:t>
      </w:r>
      <w:r w:rsidR="00DA7B44" w:rsidRPr="00D15956">
        <w:rPr>
          <w:rFonts w:ascii="Arial" w:hAnsi="Arial" w:cs="Arial"/>
        </w:rPr>
        <w:t xml:space="preserve"> </w:t>
      </w:r>
      <w:r w:rsidR="00877C5D" w:rsidRPr="00D15956">
        <w:rPr>
          <w:rFonts w:ascii="Arial" w:hAnsi="Arial" w:cs="Arial"/>
        </w:rPr>
        <w:t xml:space="preserve">satisfy the court by </w:t>
      </w:r>
      <w:r w:rsidR="00EA13FE" w:rsidRPr="00D15956">
        <w:rPr>
          <w:rFonts w:ascii="Arial" w:hAnsi="Arial" w:cs="Arial"/>
        </w:rPr>
        <w:t xml:space="preserve">delivering </w:t>
      </w:r>
      <w:r w:rsidR="00BC0666" w:rsidRPr="00D15956">
        <w:rPr>
          <w:rFonts w:ascii="Arial" w:hAnsi="Arial" w:cs="Arial"/>
        </w:rPr>
        <w:t xml:space="preserve">an opposing </w:t>
      </w:r>
      <w:r w:rsidR="00877C5D" w:rsidRPr="00D15956">
        <w:rPr>
          <w:rFonts w:ascii="Arial" w:hAnsi="Arial" w:cs="Arial"/>
        </w:rPr>
        <w:t>affidavit</w:t>
      </w:r>
      <w:r w:rsidR="003C3E2C" w:rsidRPr="00D15956">
        <w:rPr>
          <w:rFonts w:ascii="Arial" w:hAnsi="Arial" w:cs="Arial"/>
        </w:rPr>
        <w:t xml:space="preserve"> </w:t>
      </w:r>
      <w:r w:rsidR="00926997" w:rsidRPr="00D15956">
        <w:rPr>
          <w:rFonts w:ascii="Arial" w:hAnsi="Arial" w:cs="Arial"/>
        </w:rPr>
        <w:t xml:space="preserve">to the effect </w:t>
      </w:r>
      <w:r w:rsidR="003C3E2C" w:rsidRPr="00D15956">
        <w:rPr>
          <w:rFonts w:ascii="Arial" w:hAnsi="Arial" w:cs="Arial"/>
        </w:rPr>
        <w:t xml:space="preserve">that it indeed has a </w:t>
      </w:r>
      <w:r w:rsidR="00AB3327" w:rsidRPr="00D15956">
        <w:rPr>
          <w:rFonts w:ascii="Arial" w:hAnsi="Arial" w:cs="Arial"/>
          <w:i/>
          <w:iCs/>
        </w:rPr>
        <w:t>bona fide</w:t>
      </w:r>
      <w:r w:rsidR="003C3E2C" w:rsidRPr="00D15956">
        <w:rPr>
          <w:rFonts w:ascii="Arial" w:hAnsi="Arial" w:cs="Arial"/>
        </w:rPr>
        <w:t xml:space="preserve"> defence</w:t>
      </w:r>
      <w:r w:rsidR="00A67B9E" w:rsidRPr="00D15956">
        <w:rPr>
          <w:rFonts w:ascii="Arial" w:hAnsi="Arial" w:cs="Arial"/>
        </w:rPr>
        <w:t xml:space="preserve"> to a plaintiff’s </w:t>
      </w:r>
      <w:r w:rsidR="00D626D1" w:rsidRPr="00D15956">
        <w:rPr>
          <w:rFonts w:ascii="Arial" w:hAnsi="Arial" w:cs="Arial"/>
        </w:rPr>
        <w:t>action</w:t>
      </w:r>
      <w:r w:rsidR="004C303C" w:rsidRPr="00D15956">
        <w:rPr>
          <w:rFonts w:ascii="Arial" w:hAnsi="Arial" w:cs="Arial"/>
        </w:rPr>
        <w:t xml:space="preserve">, </w:t>
      </w:r>
      <w:r w:rsidR="00DE19F6" w:rsidRPr="00D15956">
        <w:rPr>
          <w:rFonts w:ascii="Arial" w:hAnsi="Arial" w:cs="Arial"/>
        </w:rPr>
        <w:t>Rule 32 (3) (b)</w:t>
      </w:r>
      <w:r w:rsidR="00F722E7" w:rsidRPr="00D15956">
        <w:rPr>
          <w:rFonts w:ascii="Arial" w:hAnsi="Arial" w:cs="Arial"/>
        </w:rPr>
        <w:t xml:space="preserve"> requires that</w:t>
      </w:r>
      <w:r w:rsidR="000D6163" w:rsidRPr="00D15956">
        <w:rPr>
          <w:rFonts w:ascii="Arial" w:hAnsi="Arial" w:cs="Arial"/>
        </w:rPr>
        <w:t xml:space="preserve"> this must be done by</w:t>
      </w:r>
      <w:r w:rsidR="00BC0666" w:rsidRPr="00D15956">
        <w:rPr>
          <w:rFonts w:ascii="Arial" w:hAnsi="Arial" w:cs="Arial"/>
        </w:rPr>
        <w:t xml:space="preserve"> either</w:t>
      </w:r>
      <w:r w:rsidR="00787FEE" w:rsidRPr="00D15956">
        <w:rPr>
          <w:rFonts w:ascii="Arial" w:hAnsi="Arial" w:cs="Arial"/>
        </w:rPr>
        <w:t xml:space="preserve"> the defendant or ‘… </w:t>
      </w:r>
      <w:r w:rsidR="007814FC" w:rsidRPr="00D15956">
        <w:rPr>
          <w:rFonts w:ascii="Arial" w:hAnsi="Arial" w:cs="Arial"/>
          <w:b/>
          <w:bCs/>
          <w:i/>
        </w:rPr>
        <w:t xml:space="preserve">any other person who can swear positively to the fact that the defendant has a </w:t>
      </w:r>
      <w:r w:rsidR="007814FC" w:rsidRPr="00D15956">
        <w:rPr>
          <w:rFonts w:ascii="Arial" w:hAnsi="Arial" w:cs="Arial"/>
          <w:b/>
          <w:bCs/>
          <w:i/>
          <w:iCs/>
        </w:rPr>
        <w:t>bona fide</w:t>
      </w:r>
      <w:r w:rsidR="007814FC" w:rsidRPr="00D15956">
        <w:rPr>
          <w:rFonts w:ascii="Arial" w:hAnsi="Arial" w:cs="Arial"/>
          <w:b/>
          <w:bCs/>
          <w:i/>
        </w:rPr>
        <w:t xml:space="preserve"> defence</w:t>
      </w:r>
      <w:r w:rsidR="00056983" w:rsidRPr="00D15956">
        <w:rPr>
          <w:rFonts w:ascii="Arial" w:hAnsi="Arial" w:cs="Arial"/>
          <w:b/>
          <w:bCs/>
          <w:i/>
        </w:rPr>
        <w:t xml:space="preserve"> to the action</w:t>
      </w:r>
      <w:r w:rsidR="00056983" w:rsidRPr="00D15956">
        <w:rPr>
          <w:rFonts w:ascii="Arial" w:hAnsi="Arial" w:cs="Arial"/>
        </w:rPr>
        <w:t xml:space="preserve"> …</w:t>
      </w:r>
      <w:r w:rsidR="00611044" w:rsidRPr="00D15956">
        <w:rPr>
          <w:rFonts w:ascii="Arial" w:hAnsi="Arial" w:cs="Arial"/>
        </w:rPr>
        <w:t>’</w:t>
      </w:r>
      <w:r w:rsidR="00BF1421" w:rsidRPr="00D15956">
        <w:rPr>
          <w:rFonts w:ascii="Arial" w:hAnsi="Arial" w:cs="Arial"/>
        </w:rPr>
        <w:t xml:space="preserve">  The</w:t>
      </w:r>
      <w:r w:rsidR="00611044" w:rsidRPr="00D15956">
        <w:rPr>
          <w:rFonts w:ascii="Arial" w:hAnsi="Arial" w:cs="Arial"/>
        </w:rPr>
        <w:t xml:space="preserve"> </w:t>
      </w:r>
      <w:r w:rsidR="00226BE7" w:rsidRPr="00D15956">
        <w:rPr>
          <w:rFonts w:ascii="Arial" w:hAnsi="Arial" w:cs="Arial"/>
        </w:rPr>
        <w:t>opposing affidavit must further disclose fully the</w:t>
      </w:r>
      <w:r w:rsidR="00FB53EB" w:rsidRPr="00D15956">
        <w:rPr>
          <w:rFonts w:ascii="Arial" w:hAnsi="Arial" w:cs="Arial"/>
        </w:rPr>
        <w:t xml:space="preserve"> </w:t>
      </w:r>
      <w:r w:rsidR="00226BE7" w:rsidRPr="00D15956">
        <w:rPr>
          <w:rFonts w:ascii="Arial" w:hAnsi="Arial" w:cs="Arial"/>
        </w:rPr>
        <w:t>nature and grounds of the defence and the material facts relied on</w:t>
      </w:r>
      <w:r w:rsidR="000C34FF" w:rsidRPr="00D15956">
        <w:rPr>
          <w:rFonts w:ascii="Arial" w:hAnsi="Arial" w:cs="Arial"/>
        </w:rPr>
        <w:t xml:space="preserve"> for such a defence.</w:t>
      </w:r>
      <w:r w:rsidR="000C34FF" w:rsidRPr="00FB53EB">
        <w:rPr>
          <w:rStyle w:val="FootnoteReference"/>
          <w:rFonts w:ascii="Arial" w:hAnsi="Arial" w:cs="Arial"/>
        </w:rPr>
        <w:footnoteReference w:id="13"/>
      </w:r>
    </w:p>
    <w:p w14:paraId="6C09CAFF" w14:textId="7C8EA3A8" w:rsidR="000C34FF" w:rsidRPr="00D15956" w:rsidRDefault="00D15956" w:rsidP="00D15956">
      <w:pPr>
        <w:spacing w:line="480" w:lineRule="auto"/>
        <w:ind w:left="720" w:right="28"/>
        <w:rPr>
          <w:rFonts w:ascii="Arial" w:hAnsi="Arial" w:cs="Arial"/>
        </w:rPr>
      </w:pPr>
      <w:r w:rsidRPr="00A9293F">
        <w:rPr>
          <w:rFonts w:ascii="Arial" w:hAnsi="Arial" w:cs="Arial"/>
        </w:rPr>
        <w:t>[12].</w:t>
      </w:r>
      <w:r w:rsidRPr="00A9293F">
        <w:rPr>
          <w:rFonts w:ascii="Arial" w:hAnsi="Arial" w:cs="Arial"/>
        </w:rPr>
        <w:tab/>
      </w:r>
      <w:r w:rsidR="00220F8B" w:rsidRPr="00D15956">
        <w:rPr>
          <w:rFonts w:ascii="Arial" w:hAnsi="Arial" w:cs="Arial"/>
        </w:rPr>
        <w:t xml:space="preserve">In general, </w:t>
      </w:r>
      <w:bookmarkStart w:id="9" w:name="_Hlk151477220"/>
      <w:r w:rsidR="00220F8B" w:rsidRPr="00D15956">
        <w:rPr>
          <w:rFonts w:ascii="Arial" w:hAnsi="Arial" w:cs="Arial"/>
        </w:rPr>
        <w:t>t</w:t>
      </w:r>
      <w:r w:rsidR="004260B7" w:rsidRPr="00D15956">
        <w:rPr>
          <w:rFonts w:ascii="Arial" w:hAnsi="Arial" w:cs="Arial"/>
        </w:rPr>
        <w:t xml:space="preserve">he attorney acting for </w:t>
      </w:r>
      <w:r w:rsidR="00220F8B" w:rsidRPr="00D15956">
        <w:rPr>
          <w:rFonts w:ascii="Arial" w:hAnsi="Arial" w:cs="Arial"/>
        </w:rPr>
        <w:t>a</w:t>
      </w:r>
      <w:r w:rsidR="004260B7" w:rsidRPr="00D15956">
        <w:rPr>
          <w:rFonts w:ascii="Arial" w:hAnsi="Arial" w:cs="Arial"/>
        </w:rPr>
        <w:t xml:space="preserve"> defendant </w:t>
      </w:r>
      <w:bookmarkEnd w:id="9"/>
      <w:r w:rsidR="004260B7" w:rsidRPr="00D15956">
        <w:rPr>
          <w:rFonts w:ascii="Arial" w:hAnsi="Arial" w:cs="Arial"/>
        </w:rPr>
        <w:t xml:space="preserve">should not make the </w:t>
      </w:r>
      <w:r w:rsidR="006453E5" w:rsidRPr="00D15956">
        <w:rPr>
          <w:rFonts w:ascii="Arial" w:hAnsi="Arial" w:cs="Arial"/>
        </w:rPr>
        <w:t>opposing affidavi</w:t>
      </w:r>
      <w:r w:rsidR="004260B7" w:rsidRPr="00D15956">
        <w:rPr>
          <w:rFonts w:ascii="Arial" w:hAnsi="Arial" w:cs="Arial"/>
        </w:rPr>
        <w:t>t</w:t>
      </w:r>
      <w:r w:rsidR="006453E5" w:rsidRPr="00D15956">
        <w:rPr>
          <w:rFonts w:ascii="Arial" w:hAnsi="Arial" w:cs="Arial"/>
        </w:rPr>
        <w:t xml:space="preserve">.  </w:t>
      </w:r>
      <w:r w:rsidR="00F91B7A" w:rsidRPr="00D15956">
        <w:rPr>
          <w:rFonts w:ascii="Arial" w:hAnsi="Arial" w:cs="Arial"/>
        </w:rPr>
        <w:t>The same applies to the attorney acting for a plaintiff</w:t>
      </w:r>
      <w:r w:rsidR="00C9501B" w:rsidRPr="00D15956">
        <w:rPr>
          <w:rFonts w:ascii="Arial" w:hAnsi="Arial" w:cs="Arial"/>
        </w:rPr>
        <w:t>,</w:t>
      </w:r>
      <w:r w:rsidR="004D686A" w:rsidRPr="00D15956">
        <w:rPr>
          <w:rFonts w:ascii="Arial" w:hAnsi="Arial" w:cs="Arial"/>
        </w:rPr>
        <w:t xml:space="preserve"> who </w:t>
      </w:r>
      <w:r w:rsidR="00C9501B" w:rsidRPr="00D15956">
        <w:rPr>
          <w:rFonts w:ascii="Arial" w:hAnsi="Arial" w:cs="Arial"/>
        </w:rPr>
        <w:t xml:space="preserve">also </w:t>
      </w:r>
      <w:r w:rsidR="004D686A" w:rsidRPr="00D15956">
        <w:rPr>
          <w:rFonts w:ascii="Arial" w:hAnsi="Arial" w:cs="Arial"/>
        </w:rPr>
        <w:t>should be discouraged from</w:t>
      </w:r>
      <w:r w:rsidR="00862B01" w:rsidRPr="00D15956">
        <w:rPr>
          <w:rFonts w:ascii="Arial" w:hAnsi="Arial" w:cs="Arial"/>
        </w:rPr>
        <w:t xml:space="preserve"> deposing to an affidavit supporting t</w:t>
      </w:r>
      <w:r w:rsidR="00892FB2" w:rsidRPr="00D15956">
        <w:rPr>
          <w:rFonts w:ascii="Arial" w:hAnsi="Arial" w:cs="Arial"/>
        </w:rPr>
        <w:t xml:space="preserve">he application for summary judgement.  </w:t>
      </w:r>
      <w:r w:rsidR="000B050F" w:rsidRPr="00D15956">
        <w:rPr>
          <w:rFonts w:ascii="Arial" w:hAnsi="Arial" w:cs="Arial"/>
        </w:rPr>
        <w:t xml:space="preserve">The reason for this is that </w:t>
      </w:r>
      <w:r w:rsidR="00E341BC" w:rsidRPr="00D15956">
        <w:rPr>
          <w:rFonts w:ascii="Arial" w:hAnsi="Arial" w:cs="Arial"/>
        </w:rPr>
        <w:t xml:space="preserve">it has been </w:t>
      </w:r>
      <w:r w:rsidR="004260B7" w:rsidRPr="00D15956">
        <w:rPr>
          <w:rFonts w:ascii="Arial" w:hAnsi="Arial" w:cs="Arial"/>
        </w:rPr>
        <w:t xml:space="preserve">held </w:t>
      </w:r>
      <w:r w:rsidR="00E341BC" w:rsidRPr="00D15956">
        <w:rPr>
          <w:rFonts w:ascii="Arial" w:hAnsi="Arial" w:cs="Arial"/>
        </w:rPr>
        <w:t xml:space="preserve">in a number of decisions </w:t>
      </w:r>
      <w:r w:rsidR="004260B7" w:rsidRPr="00D15956">
        <w:rPr>
          <w:rFonts w:ascii="Arial" w:hAnsi="Arial" w:cs="Arial"/>
        </w:rPr>
        <w:t>that the attorney’s evidence is almost invariably hearsay.</w:t>
      </w:r>
      <w:r w:rsidR="00B978B6" w:rsidRPr="00A9293F">
        <w:rPr>
          <w:rStyle w:val="FootnoteReference"/>
          <w:rFonts w:ascii="Arial" w:hAnsi="Arial" w:cs="Arial"/>
        </w:rPr>
        <w:footnoteReference w:id="14"/>
      </w:r>
    </w:p>
    <w:p w14:paraId="1BB0249B" w14:textId="28F67EC7" w:rsidR="00CE4ED3" w:rsidRPr="00D15956" w:rsidRDefault="00D15956" w:rsidP="00D15956">
      <w:pPr>
        <w:spacing w:line="480" w:lineRule="auto"/>
        <w:ind w:left="720" w:right="28"/>
        <w:rPr>
          <w:rFonts w:ascii="Arial" w:hAnsi="Arial" w:cs="Arial"/>
        </w:rPr>
      </w:pPr>
      <w:r w:rsidRPr="007E7A8E">
        <w:rPr>
          <w:rFonts w:ascii="Arial" w:hAnsi="Arial" w:cs="Arial"/>
        </w:rPr>
        <w:t>[13].</w:t>
      </w:r>
      <w:r w:rsidRPr="007E7A8E">
        <w:rPr>
          <w:rFonts w:ascii="Arial" w:hAnsi="Arial" w:cs="Arial"/>
        </w:rPr>
        <w:tab/>
      </w:r>
      <w:r w:rsidR="007A460F" w:rsidRPr="00D15956">
        <w:rPr>
          <w:rFonts w:ascii="Arial" w:hAnsi="Arial" w:cs="Arial"/>
        </w:rPr>
        <w:t xml:space="preserve">It is unnecessary </w:t>
      </w:r>
      <w:r w:rsidR="0033006D" w:rsidRPr="00D15956">
        <w:rPr>
          <w:rFonts w:ascii="Arial" w:hAnsi="Arial" w:cs="Arial"/>
        </w:rPr>
        <w:t xml:space="preserve">to evaluate </w:t>
      </w:r>
      <w:r w:rsidR="001D5A7C" w:rsidRPr="00D15956">
        <w:rPr>
          <w:rFonts w:ascii="Arial" w:hAnsi="Arial" w:cs="Arial"/>
        </w:rPr>
        <w:t xml:space="preserve">Mr Sibeko’s </w:t>
      </w:r>
      <w:r w:rsidR="00000018" w:rsidRPr="00D15956">
        <w:rPr>
          <w:rFonts w:ascii="Arial" w:hAnsi="Arial" w:cs="Arial"/>
        </w:rPr>
        <w:t>affidavit,</w:t>
      </w:r>
      <w:r w:rsidR="001D5A7C" w:rsidRPr="00D15956">
        <w:rPr>
          <w:rFonts w:ascii="Arial" w:hAnsi="Arial" w:cs="Arial"/>
        </w:rPr>
        <w:t xml:space="preserve"> </w:t>
      </w:r>
      <w:r w:rsidR="00367F66" w:rsidRPr="00D15956">
        <w:rPr>
          <w:rFonts w:ascii="Arial" w:hAnsi="Arial" w:cs="Arial"/>
        </w:rPr>
        <w:t>and the</w:t>
      </w:r>
      <w:r w:rsidR="00C45768" w:rsidRPr="00D15956">
        <w:rPr>
          <w:rFonts w:ascii="Arial" w:hAnsi="Arial" w:cs="Arial"/>
        </w:rPr>
        <w:t xml:space="preserve"> </w:t>
      </w:r>
      <w:r w:rsidR="008010C2" w:rsidRPr="00D15956">
        <w:rPr>
          <w:rFonts w:ascii="Arial" w:hAnsi="Arial" w:cs="Arial"/>
        </w:rPr>
        <w:t>defences</w:t>
      </w:r>
      <w:r w:rsidR="006C420F" w:rsidRPr="00D15956">
        <w:rPr>
          <w:rFonts w:ascii="Arial" w:hAnsi="Arial" w:cs="Arial"/>
        </w:rPr>
        <w:t xml:space="preserve"> outlined above</w:t>
      </w:r>
      <w:r w:rsidR="00AA7DBF" w:rsidRPr="00D15956">
        <w:rPr>
          <w:rFonts w:ascii="Arial" w:hAnsi="Arial" w:cs="Arial"/>
        </w:rPr>
        <w:t xml:space="preserve">, in view of the conclusion that I arrived at </w:t>
      </w:r>
      <w:r w:rsidR="007719B4" w:rsidRPr="00D15956">
        <w:rPr>
          <w:rFonts w:ascii="Arial" w:hAnsi="Arial" w:cs="Arial"/>
        </w:rPr>
        <w:t xml:space="preserve">in relation to </w:t>
      </w:r>
      <w:r w:rsidR="002759A5" w:rsidRPr="00D15956">
        <w:rPr>
          <w:rFonts w:ascii="Arial" w:hAnsi="Arial" w:cs="Arial"/>
        </w:rPr>
        <w:t>an issue that I raised with the parties’</w:t>
      </w:r>
      <w:r w:rsidR="00F81AE4" w:rsidRPr="00D15956">
        <w:rPr>
          <w:rFonts w:ascii="Arial" w:hAnsi="Arial" w:cs="Arial"/>
        </w:rPr>
        <w:t xml:space="preserve"> counsel </w:t>
      </w:r>
      <w:r w:rsidR="00B60854" w:rsidRPr="00D15956">
        <w:rPr>
          <w:rFonts w:ascii="Arial" w:hAnsi="Arial" w:cs="Arial"/>
        </w:rPr>
        <w:t xml:space="preserve">prior to the commencement of the hearing.  </w:t>
      </w:r>
    </w:p>
    <w:p w14:paraId="4291BB4E" w14:textId="03317708" w:rsidR="00B60854" w:rsidRPr="007E7A8E" w:rsidRDefault="00682481" w:rsidP="00CE4ED3">
      <w:pPr>
        <w:spacing w:before="0" w:after="0"/>
        <w:ind w:left="0" w:right="-46" w:firstLine="0"/>
        <w:rPr>
          <w:rFonts w:ascii="Arial" w:hAnsi="Arial" w:cs="Arial"/>
          <w:b/>
          <w:iCs/>
          <w:kern w:val="0"/>
          <w:u w:val="single"/>
          <w:lang w:val="en-ZA"/>
          <w14:ligatures w14:val="none"/>
        </w:rPr>
      </w:pPr>
      <w:r w:rsidRPr="007E7A8E">
        <w:rPr>
          <w:rFonts w:ascii="Arial" w:hAnsi="Arial" w:cs="Arial"/>
          <w:b/>
          <w:iCs/>
          <w:kern w:val="0"/>
          <w:u w:val="single"/>
          <w:lang w:val="en-ZA"/>
          <w14:ligatures w14:val="none"/>
        </w:rPr>
        <w:t>IS RISE SECURITY’S C</w:t>
      </w:r>
      <w:r w:rsidR="00C10E3E" w:rsidRPr="007E7A8E">
        <w:rPr>
          <w:rFonts w:ascii="Arial" w:hAnsi="Arial" w:cs="Arial"/>
          <w:b/>
          <w:iCs/>
          <w:kern w:val="0"/>
          <w:u w:val="single"/>
          <w:lang w:val="en-ZA"/>
          <w14:ligatures w14:val="none"/>
        </w:rPr>
        <w:t xml:space="preserve">AUSE OF ACTION </w:t>
      </w:r>
      <w:r w:rsidRPr="007E7A8E">
        <w:rPr>
          <w:rFonts w:ascii="Arial" w:hAnsi="Arial" w:cs="Arial"/>
          <w:b/>
          <w:iCs/>
          <w:kern w:val="0"/>
          <w:u w:val="single"/>
          <w:lang w:val="en-ZA"/>
          <w14:ligatures w14:val="none"/>
        </w:rPr>
        <w:t>INHERENTLY DEF</w:t>
      </w:r>
      <w:r w:rsidR="008D3FFB" w:rsidRPr="007E7A8E">
        <w:rPr>
          <w:rFonts w:ascii="Arial" w:hAnsi="Arial" w:cs="Arial"/>
          <w:b/>
          <w:iCs/>
          <w:kern w:val="0"/>
          <w:u w:val="single"/>
          <w:lang w:val="en-ZA"/>
          <w14:ligatures w14:val="none"/>
        </w:rPr>
        <w:t>ECTIVE</w:t>
      </w:r>
      <w:r w:rsidRPr="007E7A8E">
        <w:rPr>
          <w:rFonts w:ascii="Arial" w:hAnsi="Arial" w:cs="Arial"/>
          <w:b/>
          <w:iCs/>
          <w:kern w:val="0"/>
          <w:u w:val="single"/>
          <w:lang w:val="en-ZA"/>
          <w14:ligatures w14:val="none"/>
        </w:rPr>
        <w:t>?</w:t>
      </w:r>
    </w:p>
    <w:p w14:paraId="3199EA8F" w14:textId="6911608A" w:rsidR="00D77512" w:rsidRPr="002F3ED4" w:rsidRDefault="00D77512" w:rsidP="002F3ED4">
      <w:pPr>
        <w:spacing w:before="0" w:after="0"/>
        <w:ind w:left="720" w:right="-46" w:firstLine="0"/>
        <w:rPr>
          <w:rFonts w:ascii="Arial" w:hAnsi="Arial" w:cs="Arial"/>
          <w:i/>
          <w:iCs/>
          <w:kern w:val="0"/>
          <w:lang w:val="en-ZA"/>
          <w14:ligatures w14:val="none"/>
        </w:rPr>
      </w:pPr>
      <w:r w:rsidRPr="00CE4ED3">
        <w:rPr>
          <w:rFonts w:ascii="Arial" w:hAnsi="Arial" w:cs="Arial"/>
          <w:i/>
          <w:iCs/>
          <w:kern w:val="0"/>
          <w:lang w:val="en-ZA"/>
          <w14:ligatures w14:val="none"/>
        </w:rPr>
        <w:t>General:</w:t>
      </w:r>
    </w:p>
    <w:p w14:paraId="7D0C1951" w14:textId="616597AB" w:rsidR="00CE4ED3" w:rsidRPr="00D15956" w:rsidRDefault="00D15956" w:rsidP="00D15956">
      <w:pPr>
        <w:spacing w:line="480" w:lineRule="auto"/>
        <w:ind w:left="720" w:right="28"/>
        <w:rPr>
          <w:rFonts w:ascii="Arial" w:hAnsi="Arial" w:cs="Arial"/>
        </w:rPr>
      </w:pPr>
      <w:r w:rsidRPr="00FB53EB">
        <w:rPr>
          <w:rFonts w:ascii="Arial" w:hAnsi="Arial" w:cs="Arial"/>
        </w:rPr>
        <w:t>[14].</w:t>
      </w:r>
      <w:r w:rsidRPr="00FB53EB">
        <w:rPr>
          <w:rFonts w:ascii="Arial" w:hAnsi="Arial" w:cs="Arial"/>
        </w:rPr>
        <w:tab/>
      </w:r>
      <w:r w:rsidR="00953C30" w:rsidRPr="00D15956">
        <w:rPr>
          <w:rFonts w:ascii="Arial" w:hAnsi="Arial" w:cs="Arial"/>
        </w:rPr>
        <w:t>It is common cause that</w:t>
      </w:r>
      <w:r w:rsidR="0012656E" w:rsidRPr="00D15956">
        <w:rPr>
          <w:rFonts w:ascii="Arial" w:hAnsi="Arial" w:cs="Arial"/>
        </w:rPr>
        <w:t xml:space="preserve"> Rise </w:t>
      </w:r>
      <w:r w:rsidR="00953C30" w:rsidRPr="00D15956">
        <w:rPr>
          <w:rFonts w:ascii="Arial" w:hAnsi="Arial" w:cs="Arial"/>
        </w:rPr>
        <w:t>Security’s</w:t>
      </w:r>
      <w:r w:rsidR="003E6738" w:rsidRPr="00D15956">
        <w:rPr>
          <w:rFonts w:ascii="Arial" w:hAnsi="Arial" w:cs="Arial"/>
        </w:rPr>
        <w:t xml:space="preserve"> claim </w:t>
      </w:r>
      <w:r w:rsidR="006630CD" w:rsidRPr="00D15956">
        <w:rPr>
          <w:rFonts w:ascii="Arial" w:hAnsi="Arial" w:cs="Arial"/>
        </w:rPr>
        <w:t xml:space="preserve">is one </w:t>
      </w:r>
      <w:r w:rsidR="003E6738" w:rsidRPr="00D15956">
        <w:rPr>
          <w:rFonts w:ascii="Arial" w:hAnsi="Arial" w:cs="Arial"/>
        </w:rPr>
        <w:t xml:space="preserve">for security services rendered.  </w:t>
      </w:r>
      <w:r w:rsidR="00051540" w:rsidRPr="00D15956">
        <w:rPr>
          <w:rFonts w:ascii="Arial" w:hAnsi="Arial" w:cs="Arial"/>
        </w:rPr>
        <w:t xml:space="preserve">In </w:t>
      </w:r>
      <w:r w:rsidR="006A2361" w:rsidRPr="00D15956">
        <w:rPr>
          <w:rFonts w:ascii="Arial" w:hAnsi="Arial" w:cs="Arial"/>
        </w:rPr>
        <w:t>preparing for the argument in this matter,</w:t>
      </w:r>
      <w:r w:rsidR="00891DC4" w:rsidRPr="00D15956">
        <w:rPr>
          <w:rFonts w:ascii="Arial" w:hAnsi="Arial" w:cs="Arial"/>
        </w:rPr>
        <w:t xml:space="preserve"> </w:t>
      </w:r>
      <w:r w:rsidR="005A6005" w:rsidRPr="00D15956">
        <w:rPr>
          <w:rFonts w:ascii="Arial" w:hAnsi="Arial" w:cs="Arial"/>
        </w:rPr>
        <w:t xml:space="preserve">I considered </w:t>
      </w:r>
      <w:r w:rsidR="00CD44D1" w:rsidRPr="00D15956">
        <w:rPr>
          <w:rFonts w:ascii="Arial" w:hAnsi="Arial" w:cs="Arial"/>
        </w:rPr>
        <w:t xml:space="preserve">whether it </w:t>
      </w:r>
      <w:r w:rsidR="00CD44D1" w:rsidRPr="00D15956">
        <w:rPr>
          <w:rFonts w:ascii="Arial" w:hAnsi="Arial" w:cs="Arial"/>
        </w:rPr>
        <w:lastRenderedPageBreak/>
        <w:t>is not incumbent upon</w:t>
      </w:r>
      <w:r w:rsidR="004F1889" w:rsidRPr="00D15956">
        <w:rPr>
          <w:rFonts w:ascii="Arial" w:hAnsi="Arial" w:cs="Arial"/>
        </w:rPr>
        <w:t xml:space="preserve"> a plaintiff, such as Rise Security, to specifically allege and prove</w:t>
      </w:r>
      <w:r w:rsidR="00371662" w:rsidRPr="00D15956">
        <w:rPr>
          <w:rFonts w:ascii="Arial" w:hAnsi="Arial" w:cs="Arial"/>
        </w:rPr>
        <w:t xml:space="preserve"> that it is</w:t>
      </w:r>
      <w:r w:rsidR="003F2FDF" w:rsidRPr="00D15956">
        <w:rPr>
          <w:rFonts w:ascii="Arial" w:hAnsi="Arial" w:cs="Arial"/>
        </w:rPr>
        <w:t xml:space="preserve"> registered as a </w:t>
      </w:r>
      <w:r w:rsidR="004E0070" w:rsidRPr="00D15956">
        <w:rPr>
          <w:rFonts w:ascii="Arial" w:hAnsi="Arial" w:cs="Arial"/>
        </w:rPr>
        <w:t>‘</w:t>
      </w:r>
      <w:r w:rsidR="003F2FDF" w:rsidRPr="00D15956">
        <w:rPr>
          <w:rFonts w:ascii="Arial" w:hAnsi="Arial" w:cs="Arial"/>
          <w:i/>
        </w:rPr>
        <w:t>security service provider</w:t>
      </w:r>
      <w:r w:rsidR="004E0070" w:rsidRPr="00D15956">
        <w:rPr>
          <w:rFonts w:ascii="Arial" w:hAnsi="Arial" w:cs="Arial"/>
        </w:rPr>
        <w:t>’</w:t>
      </w:r>
      <w:r w:rsidR="003F2FDF" w:rsidRPr="00D15956">
        <w:rPr>
          <w:rFonts w:ascii="Arial" w:hAnsi="Arial" w:cs="Arial"/>
        </w:rPr>
        <w:t xml:space="preserve"> in terms of</w:t>
      </w:r>
      <w:r w:rsidR="00A94882" w:rsidRPr="00D15956">
        <w:rPr>
          <w:rFonts w:ascii="Arial" w:hAnsi="Arial" w:cs="Arial"/>
        </w:rPr>
        <w:t xml:space="preserve"> </w:t>
      </w:r>
      <w:bookmarkStart w:id="10" w:name="_Hlk151562917"/>
      <w:r w:rsidR="00CE4ED3" w:rsidRPr="00D15956">
        <w:rPr>
          <w:rFonts w:ascii="Arial" w:hAnsi="Arial" w:cs="Arial"/>
        </w:rPr>
        <w:t>s 20</w:t>
      </w:r>
      <w:r w:rsidR="00A94882" w:rsidRPr="00D15956">
        <w:rPr>
          <w:rFonts w:ascii="Arial" w:hAnsi="Arial" w:cs="Arial"/>
        </w:rPr>
        <w:t>(1)</w:t>
      </w:r>
      <w:bookmarkEnd w:id="10"/>
      <w:r w:rsidR="00F506E9" w:rsidRPr="00A9293F">
        <w:rPr>
          <w:rStyle w:val="FootnoteReference"/>
          <w:rFonts w:ascii="Arial" w:hAnsi="Arial" w:cs="Arial"/>
        </w:rPr>
        <w:footnoteReference w:id="15"/>
      </w:r>
      <w:r w:rsidR="00A94882" w:rsidRPr="00D15956">
        <w:rPr>
          <w:rFonts w:ascii="Arial" w:hAnsi="Arial" w:cs="Arial"/>
        </w:rPr>
        <w:t xml:space="preserve"> of the Private Security Industry Regulation Act 56 of 2001 (</w:t>
      </w:r>
      <w:r w:rsidR="00A94882" w:rsidRPr="00D15956">
        <w:rPr>
          <w:rFonts w:ascii="Arial" w:hAnsi="Arial" w:cs="Arial"/>
          <w:b/>
          <w:bCs/>
        </w:rPr>
        <w:t>PSIR</w:t>
      </w:r>
      <w:r w:rsidR="00B56BD1" w:rsidRPr="00D15956">
        <w:rPr>
          <w:rFonts w:ascii="Arial" w:hAnsi="Arial" w:cs="Arial"/>
          <w:b/>
          <w:bCs/>
        </w:rPr>
        <w:t>A</w:t>
      </w:r>
      <w:r w:rsidR="00B56BD1" w:rsidRPr="00D15956">
        <w:rPr>
          <w:rFonts w:ascii="Arial" w:hAnsi="Arial" w:cs="Arial"/>
        </w:rPr>
        <w:t>)</w:t>
      </w:r>
      <w:r w:rsidR="00A84034" w:rsidRPr="00D15956">
        <w:rPr>
          <w:rFonts w:ascii="Arial" w:hAnsi="Arial" w:cs="Arial"/>
        </w:rPr>
        <w:t xml:space="preserve"> (</w:t>
      </w:r>
      <w:r w:rsidR="00A84034" w:rsidRPr="00D15956">
        <w:rPr>
          <w:rFonts w:ascii="Arial" w:hAnsi="Arial" w:cs="Arial"/>
          <w:b/>
          <w:bCs/>
        </w:rPr>
        <w:t>the registration issue</w:t>
      </w:r>
      <w:r w:rsidR="00A84034" w:rsidRPr="00D15956">
        <w:rPr>
          <w:rFonts w:ascii="Arial" w:hAnsi="Arial" w:cs="Arial"/>
        </w:rPr>
        <w:t>)</w:t>
      </w:r>
      <w:r w:rsidR="00B56BD1" w:rsidRPr="00D15956">
        <w:rPr>
          <w:rFonts w:ascii="Arial" w:hAnsi="Arial" w:cs="Arial"/>
        </w:rPr>
        <w:t xml:space="preserve">.  </w:t>
      </w:r>
    </w:p>
    <w:p w14:paraId="577E8EB5" w14:textId="6B5ED300" w:rsidR="00C961AD" w:rsidRPr="00D15956" w:rsidRDefault="00D15956" w:rsidP="00D15956">
      <w:pPr>
        <w:spacing w:line="480" w:lineRule="auto"/>
        <w:ind w:left="720" w:right="28"/>
        <w:rPr>
          <w:rFonts w:ascii="Arial" w:hAnsi="Arial" w:cs="Arial"/>
        </w:rPr>
      </w:pPr>
      <w:bookmarkStart w:id="13" w:name="_Hlk151481451"/>
      <w:r w:rsidRPr="00CE4ED3">
        <w:rPr>
          <w:rFonts w:ascii="Arial" w:hAnsi="Arial" w:cs="Arial"/>
        </w:rPr>
        <w:t>[15].</w:t>
      </w:r>
      <w:r w:rsidRPr="00CE4ED3">
        <w:rPr>
          <w:rFonts w:ascii="Arial" w:hAnsi="Arial" w:cs="Arial"/>
        </w:rPr>
        <w:tab/>
      </w:r>
      <w:r w:rsidR="003D0E4C" w:rsidRPr="00D15956">
        <w:rPr>
          <w:rFonts w:ascii="Arial" w:hAnsi="Arial" w:cs="Arial"/>
        </w:rPr>
        <w:t xml:space="preserve">The expression </w:t>
      </w:r>
      <w:bookmarkStart w:id="14" w:name="_Hlk151563850"/>
      <w:r w:rsidR="003D0E4C" w:rsidRPr="00D15956">
        <w:rPr>
          <w:rFonts w:ascii="Arial" w:hAnsi="Arial" w:cs="Arial"/>
        </w:rPr>
        <w:t>‘</w:t>
      </w:r>
      <w:r w:rsidR="003D0E4C" w:rsidRPr="00D15956">
        <w:rPr>
          <w:rFonts w:ascii="Arial" w:hAnsi="Arial" w:cs="Arial"/>
          <w:i/>
          <w:iCs/>
        </w:rPr>
        <w:t>security service provider</w:t>
      </w:r>
      <w:r w:rsidR="003D0E4C" w:rsidRPr="00D15956">
        <w:rPr>
          <w:rFonts w:ascii="Arial" w:hAnsi="Arial" w:cs="Arial"/>
        </w:rPr>
        <w:t>’</w:t>
      </w:r>
      <w:bookmarkEnd w:id="14"/>
      <w:r w:rsidR="00E51BD5" w:rsidRPr="00D15956">
        <w:rPr>
          <w:rFonts w:ascii="Arial" w:hAnsi="Arial" w:cs="Arial"/>
        </w:rPr>
        <w:t xml:space="preserve"> is defined in</w:t>
      </w:r>
      <w:r w:rsidR="00DA3D58" w:rsidRPr="00D15956">
        <w:rPr>
          <w:rFonts w:ascii="Arial" w:hAnsi="Arial" w:cs="Arial"/>
        </w:rPr>
        <w:t xml:space="preserve"> </w:t>
      </w:r>
      <w:r w:rsidR="00F4723D" w:rsidRPr="00D15956">
        <w:rPr>
          <w:rFonts w:ascii="Arial" w:hAnsi="Arial" w:cs="Arial"/>
        </w:rPr>
        <w:t>s </w:t>
      </w:r>
      <w:r w:rsidR="00D17D3A" w:rsidRPr="00D15956">
        <w:rPr>
          <w:rFonts w:ascii="Arial" w:hAnsi="Arial" w:cs="Arial"/>
        </w:rPr>
        <w:t xml:space="preserve">1 (1) </w:t>
      </w:r>
      <w:r w:rsidR="00782EA0" w:rsidRPr="00D15956">
        <w:rPr>
          <w:rFonts w:ascii="Arial" w:hAnsi="Arial" w:cs="Arial"/>
        </w:rPr>
        <w:t xml:space="preserve">of </w:t>
      </w:r>
      <w:r w:rsidR="00DA3D58" w:rsidRPr="00D15956">
        <w:rPr>
          <w:rFonts w:ascii="Arial" w:hAnsi="Arial" w:cs="Arial"/>
        </w:rPr>
        <w:t xml:space="preserve">PSIRA to mean: </w:t>
      </w:r>
      <w:bookmarkEnd w:id="13"/>
    </w:p>
    <w:p w14:paraId="7F162BDD" w14:textId="4F6E9666" w:rsidR="00116D7C" w:rsidRPr="00CE4ED3" w:rsidRDefault="00C961AD" w:rsidP="00B75958">
      <w:pPr>
        <w:pStyle w:val="ListParagraph"/>
        <w:spacing w:before="120" w:line="240" w:lineRule="auto"/>
        <w:ind w:left="1440" w:right="379" w:firstLine="0"/>
        <w:contextualSpacing w:val="0"/>
        <w:rPr>
          <w:rFonts w:ascii="Arial" w:hAnsi="Arial" w:cs="Arial"/>
          <w:sz w:val="22"/>
          <w:szCs w:val="22"/>
        </w:rPr>
      </w:pPr>
      <w:r w:rsidRPr="00CE4ED3">
        <w:rPr>
          <w:rFonts w:ascii="Arial" w:hAnsi="Arial" w:cs="Arial"/>
          <w:sz w:val="22"/>
          <w:szCs w:val="22"/>
        </w:rPr>
        <w:t>‘…</w:t>
      </w:r>
      <w:r w:rsidR="00DA3D58" w:rsidRPr="00CE4ED3">
        <w:rPr>
          <w:rFonts w:ascii="Arial" w:hAnsi="Arial" w:cs="Arial"/>
          <w:sz w:val="22"/>
          <w:szCs w:val="22"/>
        </w:rPr>
        <w:t xml:space="preserve"> </w:t>
      </w:r>
      <w:bookmarkStart w:id="15" w:name="_Hlk151563910"/>
      <w:r w:rsidR="00DA3D58" w:rsidRPr="00CE4ED3">
        <w:rPr>
          <w:rFonts w:ascii="Arial" w:hAnsi="Arial" w:cs="Arial"/>
          <w:b/>
          <w:bCs/>
          <w:sz w:val="22"/>
          <w:szCs w:val="22"/>
        </w:rPr>
        <w:t>a person who renders a security service to another for a remuneration, reward, fee or benefit</w:t>
      </w:r>
      <w:r w:rsidR="00DA3D58" w:rsidRPr="00CE4ED3">
        <w:rPr>
          <w:rFonts w:ascii="Arial" w:hAnsi="Arial" w:cs="Arial"/>
          <w:sz w:val="22"/>
          <w:szCs w:val="22"/>
        </w:rPr>
        <w:t xml:space="preserve"> and includes such a person who is not registered as required in terms of this Act</w:t>
      </w:r>
      <w:bookmarkEnd w:id="15"/>
      <w:r w:rsidRPr="00CE4ED3">
        <w:rPr>
          <w:rFonts w:ascii="Arial" w:hAnsi="Arial" w:cs="Arial"/>
          <w:sz w:val="22"/>
          <w:szCs w:val="22"/>
        </w:rPr>
        <w:t>;’</w:t>
      </w:r>
      <w:r w:rsidR="0082254F" w:rsidRPr="00CE4ED3">
        <w:rPr>
          <w:rFonts w:ascii="Arial" w:hAnsi="Arial" w:cs="Arial"/>
          <w:sz w:val="22"/>
          <w:szCs w:val="22"/>
        </w:rPr>
        <w:t xml:space="preserve"> </w:t>
      </w:r>
    </w:p>
    <w:p w14:paraId="0C813453" w14:textId="4B0E558F" w:rsidR="00F905BD" w:rsidRPr="00CE4ED3" w:rsidRDefault="00F905BD" w:rsidP="00B75958">
      <w:pPr>
        <w:pStyle w:val="ListParagraph"/>
        <w:spacing w:before="120" w:line="480" w:lineRule="auto"/>
        <w:ind w:left="1440" w:right="379" w:firstLine="0"/>
        <w:contextualSpacing w:val="0"/>
        <w:rPr>
          <w:rFonts w:ascii="Arial" w:hAnsi="Arial" w:cs="Arial"/>
          <w:i/>
          <w:sz w:val="22"/>
          <w:szCs w:val="22"/>
        </w:rPr>
      </w:pPr>
      <w:r w:rsidRPr="00CE4ED3">
        <w:rPr>
          <w:rFonts w:ascii="Arial" w:hAnsi="Arial" w:cs="Arial"/>
          <w:i/>
          <w:sz w:val="22"/>
          <w:szCs w:val="22"/>
        </w:rPr>
        <w:t>(Own emphasis).</w:t>
      </w:r>
    </w:p>
    <w:p w14:paraId="51278F03" w14:textId="546A7282" w:rsidR="00331008" w:rsidRPr="00D15956" w:rsidRDefault="00D15956" w:rsidP="00D15956">
      <w:pPr>
        <w:spacing w:line="480" w:lineRule="auto"/>
        <w:ind w:left="720" w:right="28"/>
        <w:rPr>
          <w:rFonts w:ascii="Arial" w:hAnsi="Arial" w:cs="Arial"/>
        </w:rPr>
      </w:pPr>
      <w:r w:rsidRPr="00670683">
        <w:rPr>
          <w:rFonts w:ascii="Arial" w:hAnsi="Arial" w:cs="Arial"/>
        </w:rPr>
        <w:t>[16].</w:t>
      </w:r>
      <w:r w:rsidRPr="00670683">
        <w:rPr>
          <w:rFonts w:ascii="Arial" w:hAnsi="Arial" w:cs="Arial"/>
        </w:rPr>
        <w:tab/>
      </w:r>
      <w:r w:rsidR="000E5F47" w:rsidRPr="00D15956">
        <w:rPr>
          <w:rFonts w:ascii="Arial" w:hAnsi="Arial" w:cs="Arial"/>
        </w:rPr>
        <w:t>When the matter was initiall</w:t>
      </w:r>
      <w:r w:rsidR="00A84034" w:rsidRPr="00D15956">
        <w:rPr>
          <w:rFonts w:ascii="Arial" w:hAnsi="Arial" w:cs="Arial"/>
        </w:rPr>
        <w:t xml:space="preserve">y called, I mentioned </w:t>
      </w:r>
      <w:r w:rsidR="003E5FA1" w:rsidRPr="00D15956">
        <w:rPr>
          <w:rFonts w:ascii="Arial" w:hAnsi="Arial" w:cs="Arial"/>
        </w:rPr>
        <w:t xml:space="preserve">the registration issue </w:t>
      </w:r>
      <w:r w:rsidR="00A84034" w:rsidRPr="00D15956">
        <w:rPr>
          <w:rFonts w:ascii="Arial" w:hAnsi="Arial" w:cs="Arial"/>
        </w:rPr>
        <w:t>to the parties’ counsel</w:t>
      </w:r>
      <w:r w:rsidR="00F26B76" w:rsidRPr="00D15956">
        <w:rPr>
          <w:rFonts w:ascii="Arial" w:hAnsi="Arial" w:cs="Arial"/>
        </w:rPr>
        <w:t>,</w:t>
      </w:r>
      <w:r w:rsidR="00A84034" w:rsidRPr="00D15956">
        <w:rPr>
          <w:rFonts w:ascii="Arial" w:hAnsi="Arial" w:cs="Arial"/>
        </w:rPr>
        <w:t xml:space="preserve"> </w:t>
      </w:r>
      <w:r w:rsidR="003E5FA1" w:rsidRPr="00D15956">
        <w:rPr>
          <w:rFonts w:ascii="Arial" w:hAnsi="Arial" w:cs="Arial"/>
        </w:rPr>
        <w:t xml:space="preserve">and informed them that I would stand the matter down until the next day </w:t>
      </w:r>
      <w:r w:rsidR="00F26B76" w:rsidRPr="00D15956">
        <w:rPr>
          <w:rFonts w:ascii="Arial" w:hAnsi="Arial" w:cs="Arial"/>
        </w:rPr>
        <w:t xml:space="preserve">to enable them to prepare properly </w:t>
      </w:r>
      <w:r w:rsidR="00331008" w:rsidRPr="00D15956">
        <w:rPr>
          <w:rFonts w:ascii="Arial" w:hAnsi="Arial" w:cs="Arial"/>
        </w:rPr>
        <w:t xml:space="preserve">for their respective addresses to me on this issue.  </w:t>
      </w:r>
    </w:p>
    <w:p w14:paraId="1D83A881" w14:textId="3B65967B" w:rsidR="001D576A" w:rsidRPr="00D15956" w:rsidRDefault="00D15956" w:rsidP="00D15956">
      <w:pPr>
        <w:spacing w:line="480" w:lineRule="auto"/>
        <w:ind w:left="720" w:right="28"/>
        <w:rPr>
          <w:rFonts w:ascii="Arial" w:hAnsi="Arial" w:cs="Arial"/>
        </w:rPr>
      </w:pPr>
      <w:r w:rsidRPr="00670683">
        <w:rPr>
          <w:rFonts w:ascii="Arial" w:hAnsi="Arial" w:cs="Arial"/>
        </w:rPr>
        <w:t>[17].</w:t>
      </w:r>
      <w:r w:rsidRPr="00670683">
        <w:rPr>
          <w:rFonts w:ascii="Arial" w:hAnsi="Arial" w:cs="Arial"/>
        </w:rPr>
        <w:tab/>
      </w:r>
      <w:r w:rsidR="00782EA0" w:rsidRPr="00D15956">
        <w:rPr>
          <w:rFonts w:ascii="Arial" w:hAnsi="Arial" w:cs="Arial"/>
        </w:rPr>
        <w:t>The expression ‘</w:t>
      </w:r>
      <w:r w:rsidR="00782EA0" w:rsidRPr="00D15956">
        <w:rPr>
          <w:rFonts w:ascii="Arial" w:hAnsi="Arial" w:cs="Arial"/>
          <w:i/>
          <w:iCs/>
        </w:rPr>
        <w:t>security service</w:t>
      </w:r>
      <w:r w:rsidR="00782EA0" w:rsidRPr="00D15956">
        <w:rPr>
          <w:rFonts w:ascii="Arial" w:hAnsi="Arial" w:cs="Arial"/>
        </w:rPr>
        <w:t xml:space="preserve">’ is </w:t>
      </w:r>
      <w:r w:rsidR="0082714F" w:rsidRPr="00D15956">
        <w:rPr>
          <w:rFonts w:ascii="Arial" w:hAnsi="Arial" w:cs="Arial"/>
        </w:rPr>
        <w:t xml:space="preserve">widely </w:t>
      </w:r>
      <w:r w:rsidR="00782EA0" w:rsidRPr="00D15956">
        <w:rPr>
          <w:rFonts w:ascii="Arial" w:hAnsi="Arial" w:cs="Arial"/>
        </w:rPr>
        <w:t xml:space="preserve">defined in </w:t>
      </w:r>
      <w:r w:rsidR="00C57CDF" w:rsidRPr="00D15956">
        <w:rPr>
          <w:rFonts w:ascii="Arial" w:hAnsi="Arial" w:cs="Arial"/>
        </w:rPr>
        <w:t xml:space="preserve">the same </w:t>
      </w:r>
      <w:r w:rsidR="00782EA0" w:rsidRPr="00D15956">
        <w:rPr>
          <w:rFonts w:ascii="Arial" w:hAnsi="Arial" w:cs="Arial"/>
        </w:rPr>
        <w:t>s</w:t>
      </w:r>
      <w:r w:rsidR="00C57CDF" w:rsidRPr="00D15956">
        <w:rPr>
          <w:rFonts w:ascii="Arial" w:hAnsi="Arial" w:cs="Arial"/>
        </w:rPr>
        <w:t xml:space="preserve">ection </w:t>
      </w:r>
      <w:r w:rsidR="00782EA0" w:rsidRPr="00D15956">
        <w:rPr>
          <w:rFonts w:ascii="Arial" w:hAnsi="Arial" w:cs="Arial"/>
        </w:rPr>
        <w:t xml:space="preserve">of PSIRA </w:t>
      </w:r>
      <w:r w:rsidR="00F42D03" w:rsidRPr="00D15956">
        <w:rPr>
          <w:rFonts w:ascii="Arial" w:hAnsi="Arial" w:cs="Arial"/>
        </w:rPr>
        <w:t>and</w:t>
      </w:r>
      <w:r w:rsidR="00782EA0" w:rsidRPr="00D15956">
        <w:rPr>
          <w:rFonts w:ascii="Arial" w:hAnsi="Arial" w:cs="Arial"/>
        </w:rPr>
        <w:t xml:space="preserve"> </w:t>
      </w:r>
      <w:r w:rsidR="00FD35C3" w:rsidRPr="00D15956">
        <w:rPr>
          <w:rFonts w:ascii="Arial" w:hAnsi="Arial" w:cs="Arial"/>
        </w:rPr>
        <w:t xml:space="preserve">it </w:t>
      </w:r>
      <w:r w:rsidR="000367DC" w:rsidRPr="00D15956">
        <w:rPr>
          <w:rFonts w:ascii="Arial" w:hAnsi="Arial" w:cs="Arial"/>
        </w:rPr>
        <w:t>include</w:t>
      </w:r>
      <w:r w:rsidR="00F42D03" w:rsidRPr="00D15956">
        <w:rPr>
          <w:rFonts w:ascii="Arial" w:hAnsi="Arial" w:cs="Arial"/>
        </w:rPr>
        <w:t>s</w:t>
      </w:r>
      <w:r w:rsidR="000367DC" w:rsidRPr="00D15956">
        <w:rPr>
          <w:rFonts w:ascii="Arial" w:hAnsi="Arial" w:cs="Arial"/>
        </w:rPr>
        <w:t xml:space="preserve"> a </w:t>
      </w:r>
      <w:r w:rsidR="00945DBB" w:rsidRPr="00D15956">
        <w:rPr>
          <w:rFonts w:ascii="Arial" w:hAnsi="Arial" w:cs="Arial"/>
        </w:rPr>
        <w:t xml:space="preserve">list </w:t>
      </w:r>
      <w:r w:rsidR="000367DC" w:rsidRPr="00D15956">
        <w:rPr>
          <w:rFonts w:ascii="Arial" w:hAnsi="Arial" w:cs="Arial"/>
        </w:rPr>
        <w:t xml:space="preserve">of </w:t>
      </w:r>
      <w:r w:rsidR="00945DBB" w:rsidRPr="00D15956">
        <w:rPr>
          <w:rFonts w:ascii="Arial" w:hAnsi="Arial" w:cs="Arial"/>
        </w:rPr>
        <w:t xml:space="preserve">some thirteen </w:t>
      </w:r>
      <w:r w:rsidR="005B22E8" w:rsidRPr="00D15956">
        <w:rPr>
          <w:rFonts w:ascii="Arial" w:hAnsi="Arial" w:cs="Arial"/>
        </w:rPr>
        <w:t>different activities</w:t>
      </w:r>
      <w:r w:rsidR="00945DBB" w:rsidRPr="00D15956">
        <w:rPr>
          <w:rFonts w:ascii="Arial" w:hAnsi="Arial" w:cs="Arial"/>
        </w:rPr>
        <w:t xml:space="preserve">, ranging from the </w:t>
      </w:r>
      <w:r w:rsidR="002237D9" w:rsidRPr="00D15956">
        <w:rPr>
          <w:rFonts w:ascii="Arial" w:hAnsi="Arial" w:cs="Arial"/>
        </w:rPr>
        <w:t>guarding of persons</w:t>
      </w:r>
      <w:r w:rsidR="00C0618E" w:rsidRPr="00D15956">
        <w:rPr>
          <w:rFonts w:ascii="Arial" w:hAnsi="Arial" w:cs="Arial"/>
        </w:rPr>
        <w:t xml:space="preserve"> and property</w:t>
      </w:r>
      <w:r w:rsidR="002237D9" w:rsidRPr="00D15956">
        <w:rPr>
          <w:rFonts w:ascii="Arial" w:hAnsi="Arial" w:cs="Arial"/>
        </w:rPr>
        <w:t xml:space="preserve"> </w:t>
      </w:r>
      <w:r w:rsidR="00C0618E" w:rsidRPr="00D15956">
        <w:rPr>
          <w:rFonts w:ascii="Arial" w:hAnsi="Arial" w:cs="Arial"/>
        </w:rPr>
        <w:t>to, among other activities, the installation</w:t>
      </w:r>
      <w:r w:rsidR="0033459E" w:rsidRPr="00D15956">
        <w:rPr>
          <w:rFonts w:ascii="Arial" w:hAnsi="Arial" w:cs="Arial"/>
        </w:rPr>
        <w:t xml:space="preserve">, servicing or repairing </w:t>
      </w:r>
      <w:r w:rsidR="000C6FF9" w:rsidRPr="00D15956">
        <w:rPr>
          <w:rFonts w:ascii="Arial" w:hAnsi="Arial" w:cs="Arial"/>
        </w:rPr>
        <w:t xml:space="preserve">of </w:t>
      </w:r>
      <w:r w:rsidR="0033459E" w:rsidRPr="00D15956">
        <w:rPr>
          <w:rFonts w:ascii="Arial" w:hAnsi="Arial" w:cs="Arial"/>
        </w:rPr>
        <w:t>security equipment</w:t>
      </w:r>
      <w:r w:rsidR="000C6FF9" w:rsidRPr="00D15956">
        <w:rPr>
          <w:rFonts w:ascii="Arial" w:hAnsi="Arial" w:cs="Arial"/>
        </w:rPr>
        <w:t xml:space="preserve">.  </w:t>
      </w:r>
      <w:r w:rsidR="0025255F" w:rsidRPr="00D15956">
        <w:rPr>
          <w:rFonts w:ascii="Arial" w:hAnsi="Arial" w:cs="Arial"/>
        </w:rPr>
        <w:t>The very first activity listed</w:t>
      </w:r>
      <w:r w:rsidR="00DF2186" w:rsidRPr="00D15956">
        <w:rPr>
          <w:rFonts w:ascii="Arial" w:hAnsi="Arial" w:cs="Arial"/>
        </w:rPr>
        <w:t xml:space="preserve"> -</w:t>
      </w:r>
      <w:r w:rsidR="0025255F" w:rsidRPr="00D15956">
        <w:rPr>
          <w:rFonts w:ascii="Arial" w:hAnsi="Arial" w:cs="Arial"/>
        </w:rPr>
        <w:t xml:space="preserve"> in </w:t>
      </w:r>
      <w:r w:rsidR="001C2E0E" w:rsidRPr="00D15956">
        <w:rPr>
          <w:rFonts w:ascii="Arial" w:hAnsi="Arial" w:cs="Arial"/>
        </w:rPr>
        <w:t>paragrap</w:t>
      </w:r>
      <w:r w:rsidR="00DF2186" w:rsidRPr="00D15956">
        <w:rPr>
          <w:rFonts w:ascii="Arial" w:hAnsi="Arial" w:cs="Arial"/>
        </w:rPr>
        <w:t xml:space="preserve">h (a) of this </w:t>
      </w:r>
      <w:r w:rsidR="0025255F" w:rsidRPr="00D15956">
        <w:rPr>
          <w:rFonts w:ascii="Arial" w:hAnsi="Arial" w:cs="Arial"/>
        </w:rPr>
        <w:t xml:space="preserve">definition </w:t>
      </w:r>
      <w:r w:rsidR="00DF2186" w:rsidRPr="00D15956">
        <w:rPr>
          <w:rFonts w:ascii="Arial" w:hAnsi="Arial" w:cs="Arial"/>
        </w:rPr>
        <w:t xml:space="preserve">- </w:t>
      </w:r>
      <w:r w:rsidR="0025255F" w:rsidRPr="00D15956">
        <w:rPr>
          <w:rFonts w:ascii="Arial" w:hAnsi="Arial" w:cs="Arial"/>
        </w:rPr>
        <w:t>is</w:t>
      </w:r>
      <w:r w:rsidR="00802E82" w:rsidRPr="00D15956">
        <w:rPr>
          <w:rFonts w:ascii="Arial" w:hAnsi="Arial" w:cs="Arial"/>
        </w:rPr>
        <w:t xml:space="preserve"> </w:t>
      </w:r>
      <w:r w:rsidR="00182548" w:rsidRPr="00D15956">
        <w:rPr>
          <w:rFonts w:ascii="Arial" w:hAnsi="Arial" w:cs="Arial"/>
        </w:rPr>
        <w:t xml:space="preserve">described as </w:t>
      </w:r>
      <w:r w:rsidR="00802E82" w:rsidRPr="00D15956">
        <w:rPr>
          <w:rFonts w:ascii="Arial" w:hAnsi="Arial" w:cs="Arial"/>
        </w:rPr>
        <w:t>‘</w:t>
      </w:r>
      <w:r w:rsidR="00802E82" w:rsidRPr="00D15956">
        <w:rPr>
          <w:rFonts w:ascii="Arial" w:hAnsi="Arial" w:cs="Arial"/>
          <w:i/>
          <w:iCs/>
        </w:rPr>
        <w:t>protecting or safe-guarding a person or property in any manner</w:t>
      </w:r>
      <w:r w:rsidR="00182548" w:rsidRPr="00D15956">
        <w:rPr>
          <w:rFonts w:ascii="Arial" w:hAnsi="Arial" w:cs="Arial"/>
        </w:rPr>
        <w:t>.’</w:t>
      </w:r>
      <w:r w:rsidR="006F2567" w:rsidRPr="00670683">
        <w:rPr>
          <w:rStyle w:val="FootnoteReference"/>
          <w:rFonts w:ascii="Arial" w:hAnsi="Arial" w:cs="Arial"/>
        </w:rPr>
        <w:footnoteReference w:id="16"/>
      </w:r>
      <w:r w:rsidR="006F2567" w:rsidRPr="00D15956">
        <w:rPr>
          <w:rFonts w:ascii="Arial" w:hAnsi="Arial" w:cs="Arial"/>
        </w:rPr>
        <w:t xml:space="preserve">  </w:t>
      </w:r>
      <w:r w:rsidR="00CD1C09" w:rsidRPr="00D15956">
        <w:rPr>
          <w:rFonts w:ascii="Arial" w:hAnsi="Arial" w:cs="Arial"/>
        </w:rPr>
        <w:t>There can be no doubt that this is the very</w:t>
      </w:r>
      <w:r w:rsidR="002F3ED4" w:rsidRPr="00D15956">
        <w:rPr>
          <w:rFonts w:ascii="Arial" w:hAnsi="Arial" w:cs="Arial"/>
        </w:rPr>
        <w:t xml:space="preserve"> </w:t>
      </w:r>
      <w:r w:rsidR="00CD1C09" w:rsidRPr="00D15956">
        <w:rPr>
          <w:rFonts w:ascii="Arial" w:hAnsi="Arial" w:cs="Arial"/>
        </w:rPr>
        <w:lastRenderedPageBreak/>
        <w:t>type of activity that</w:t>
      </w:r>
      <w:r w:rsidR="00D5009E" w:rsidRPr="00D15956">
        <w:rPr>
          <w:rFonts w:ascii="Arial" w:hAnsi="Arial" w:cs="Arial"/>
        </w:rPr>
        <w:t xml:space="preserve"> Rise </w:t>
      </w:r>
      <w:r w:rsidR="00CD1C09" w:rsidRPr="00D15956">
        <w:rPr>
          <w:rFonts w:ascii="Arial" w:hAnsi="Arial" w:cs="Arial"/>
        </w:rPr>
        <w:t>Security</w:t>
      </w:r>
      <w:r w:rsidR="00D5009E" w:rsidRPr="00D15956">
        <w:rPr>
          <w:rFonts w:ascii="Arial" w:hAnsi="Arial" w:cs="Arial"/>
        </w:rPr>
        <w:t xml:space="preserve"> submitted its quotation</w:t>
      </w:r>
      <w:r w:rsidR="00BB122E" w:rsidRPr="00D15956">
        <w:rPr>
          <w:rFonts w:ascii="Arial" w:hAnsi="Arial" w:cs="Arial"/>
        </w:rPr>
        <w:t xml:space="preserve"> </w:t>
      </w:r>
      <w:r w:rsidR="009113EA" w:rsidRPr="00D15956">
        <w:rPr>
          <w:rFonts w:ascii="Arial" w:hAnsi="Arial" w:cs="Arial"/>
        </w:rPr>
        <w:t xml:space="preserve">for </w:t>
      </w:r>
      <w:r w:rsidR="00BB122E" w:rsidRPr="00D15956">
        <w:rPr>
          <w:rFonts w:ascii="Arial" w:hAnsi="Arial" w:cs="Arial"/>
        </w:rPr>
        <w:t>to the NYDA on 28 October 2022.</w:t>
      </w:r>
      <w:r w:rsidR="008C4965" w:rsidRPr="00670683">
        <w:rPr>
          <w:rStyle w:val="FootnoteReference"/>
          <w:rFonts w:ascii="Arial" w:hAnsi="Arial" w:cs="Arial"/>
        </w:rPr>
        <w:footnoteReference w:id="17"/>
      </w:r>
    </w:p>
    <w:p w14:paraId="3382BBEF" w14:textId="7FBC68CC" w:rsidR="00C845D7" w:rsidRPr="00D15956" w:rsidRDefault="00D15956" w:rsidP="00D15956">
      <w:pPr>
        <w:spacing w:line="480" w:lineRule="auto"/>
        <w:ind w:left="720" w:right="28"/>
        <w:rPr>
          <w:rFonts w:ascii="Arial" w:hAnsi="Arial" w:cs="Arial"/>
        </w:rPr>
      </w:pPr>
      <w:r w:rsidRPr="00670683">
        <w:rPr>
          <w:rFonts w:ascii="Arial" w:hAnsi="Arial" w:cs="Arial"/>
        </w:rPr>
        <w:t>[18].</w:t>
      </w:r>
      <w:r w:rsidRPr="00670683">
        <w:rPr>
          <w:rFonts w:ascii="Arial" w:hAnsi="Arial" w:cs="Arial"/>
        </w:rPr>
        <w:tab/>
      </w:r>
      <w:r w:rsidR="002878E8" w:rsidRPr="00D15956">
        <w:rPr>
          <w:rFonts w:ascii="Arial" w:hAnsi="Arial" w:cs="Arial"/>
        </w:rPr>
        <w:t>I</w:t>
      </w:r>
      <w:r w:rsidR="003745B6" w:rsidRPr="00D15956">
        <w:rPr>
          <w:rFonts w:ascii="Arial" w:hAnsi="Arial" w:cs="Arial"/>
        </w:rPr>
        <w:t>n other words,</w:t>
      </w:r>
      <w:r w:rsidR="002878E8" w:rsidRPr="00D15956">
        <w:rPr>
          <w:rFonts w:ascii="Arial" w:hAnsi="Arial" w:cs="Arial"/>
        </w:rPr>
        <w:t xml:space="preserve"> in order</w:t>
      </w:r>
      <w:r w:rsidR="009E00EE" w:rsidRPr="00D15956">
        <w:rPr>
          <w:rFonts w:ascii="Arial" w:hAnsi="Arial" w:cs="Arial"/>
        </w:rPr>
        <w:t xml:space="preserve"> to claim </w:t>
      </w:r>
      <w:r w:rsidR="00CF7213" w:rsidRPr="00D15956">
        <w:rPr>
          <w:rFonts w:ascii="Arial" w:hAnsi="Arial" w:cs="Arial"/>
        </w:rPr>
        <w:t xml:space="preserve">any </w:t>
      </w:r>
      <w:r w:rsidR="009E00EE" w:rsidRPr="00D15956">
        <w:rPr>
          <w:rFonts w:ascii="Arial" w:hAnsi="Arial" w:cs="Arial"/>
        </w:rPr>
        <w:t>remuneration, reward, a fee or benefit</w:t>
      </w:r>
      <w:r w:rsidR="00DC6B3F" w:rsidRPr="00D15956">
        <w:rPr>
          <w:rFonts w:ascii="Arial" w:hAnsi="Arial" w:cs="Arial"/>
        </w:rPr>
        <w:t xml:space="preserve"> for the rendering of a security service</w:t>
      </w:r>
      <w:r w:rsidR="009E00EE" w:rsidRPr="00D15956">
        <w:rPr>
          <w:rFonts w:ascii="Arial" w:hAnsi="Arial" w:cs="Arial"/>
        </w:rPr>
        <w:t xml:space="preserve">, </w:t>
      </w:r>
      <w:r w:rsidR="000D104F" w:rsidRPr="00D15956">
        <w:rPr>
          <w:rFonts w:ascii="Arial" w:hAnsi="Arial" w:cs="Arial"/>
        </w:rPr>
        <w:t xml:space="preserve">a person </w:t>
      </w:r>
      <w:r w:rsidR="00DC6B3F" w:rsidRPr="00D15956">
        <w:rPr>
          <w:rFonts w:ascii="Arial" w:hAnsi="Arial" w:cs="Arial"/>
        </w:rPr>
        <w:t xml:space="preserve">(including, obviously, a corporate entity) </w:t>
      </w:r>
      <w:r w:rsidR="00197401" w:rsidRPr="00D15956">
        <w:rPr>
          <w:rFonts w:ascii="Arial" w:hAnsi="Arial" w:cs="Arial"/>
        </w:rPr>
        <w:t>has to be registered</w:t>
      </w:r>
      <w:r w:rsidR="000D104F" w:rsidRPr="00D15956">
        <w:rPr>
          <w:rFonts w:ascii="Arial" w:hAnsi="Arial" w:cs="Arial"/>
        </w:rPr>
        <w:t xml:space="preserve"> as a </w:t>
      </w:r>
      <w:r w:rsidR="00197401" w:rsidRPr="00D15956">
        <w:rPr>
          <w:rFonts w:ascii="Arial" w:hAnsi="Arial" w:cs="Arial"/>
        </w:rPr>
        <w:t>‘</w:t>
      </w:r>
      <w:r w:rsidR="000D104F" w:rsidRPr="00D15956">
        <w:rPr>
          <w:rFonts w:ascii="Arial" w:hAnsi="Arial" w:cs="Arial"/>
          <w:i/>
          <w:iCs/>
        </w:rPr>
        <w:t>security service provider</w:t>
      </w:r>
      <w:r w:rsidR="00197401" w:rsidRPr="00D15956">
        <w:rPr>
          <w:rFonts w:ascii="Arial" w:hAnsi="Arial" w:cs="Arial"/>
        </w:rPr>
        <w:t>’</w:t>
      </w:r>
      <w:r w:rsidR="000D104F" w:rsidRPr="00D15956">
        <w:rPr>
          <w:rFonts w:ascii="Arial" w:hAnsi="Arial" w:cs="Arial"/>
        </w:rPr>
        <w:t xml:space="preserve"> in terms of </w:t>
      </w:r>
      <w:r w:rsidR="00197401" w:rsidRPr="00D15956">
        <w:rPr>
          <w:rFonts w:ascii="Arial" w:hAnsi="Arial" w:cs="Arial"/>
        </w:rPr>
        <w:t xml:space="preserve">PSIRA.  </w:t>
      </w:r>
      <w:r w:rsidR="003A3978" w:rsidRPr="00D15956">
        <w:rPr>
          <w:rFonts w:ascii="Arial" w:hAnsi="Arial" w:cs="Arial"/>
        </w:rPr>
        <w:t>In addition, a</w:t>
      </w:r>
      <w:r w:rsidR="008A00A4" w:rsidRPr="00D15956">
        <w:rPr>
          <w:rFonts w:ascii="Arial" w:hAnsi="Arial" w:cs="Arial"/>
        </w:rPr>
        <w:t xml:space="preserve">ny person who contravenes or fails to comply with, among other provisions, </w:t>
      </w:r>
      <w:bookmarkStart w:id="17" w:name="_Hlk151563240"/>
      <w:r w:rsidR="008A00A4" w:rsidRPr="00D15956">
        <w:rPr>
          <w:rFonts w:ascii="Arial" w:hAnsi="Arial" w:cs="Arial"/>
        </w:rPr>
        <w:t>s</w:t>
      </w:r>
      <w:r w:rsidR="00C44AC8" w:rsidRPr="00D15956">
        <w:rPr>
          <w:rFonts w:ascii="Arial" w:hAnsi="Arial" w:cs="Arial"/>
        </w:rPr>
        <w:t> </w:t>
      </w:r>
      <w:r w:rsidR="008A00A4" w:rsidRPr="00D15956">
        <w:rPr>
          <w:rFonts w:ascii="Arial" w:hAnsi="Arial" w:cs="Arial"/>
        </w:rPr>
        <w:t>20</w:t>
      </w:r>
      <w:r w:rsidR="00C44AC8" w:rsidRPr="00D15956">
        <w:rPr>
          <w:rFonts w:ascii="Arial" w:hAnsi="Arial" w:cs="Arial"/>
        </w:rPr>
        <w:t> </w:t>
      </w:r>
      <w:r w:rsidR="008A00A4" w:rsidRPr="00D15956">
        <w:rPr>
          <w:rFonts w:ascii="Arial" w:hAnsi="Arial" w:cs="Arial"/>
        </w:rPr>
        <w:t>(1)</w:t>
      </w:r>
      <w:r w:rsidR="004202FE" w:rsidRPr="00D15956">
        <w:rPr>
          <w:rFonts w:ascii="Arial" w:hAnsi="Arial" w:cs="Arial"/>
        </w:rPr>
        <w:t> (a)</w:t>
      </w:r>
      <w:bookmarkEnd w:id="17"/>
      <w:r w:rsidR="00C44AC8" w:rsidRPr="00D15956">
        <w:rPr>
          <w:rFonts w:ascii="Arial" w:hAnsi="Arial" w:cs="Arial"/>
        </w:rPr>
        <w:t xml:space="preserve"> of PSIRA </w:t>
      </w:r>
      <w:r w:rsidR="008A00A4" w:rsidRPr="00D15956">
        <w:rPr>
          <w:rFonts w:ascii="Arial" w:hAnsi="Arial" w:cs="Arial"/>
        </w:rPr>
        <w:t>is guilty of an offence</w:t>
      </w:r>
      <w:r w:rsidR="00073F67" w:rsidRPr="00D15956">
        <w:rPr>
          <w:rFonts w:ascii="Arial" w:hAnsi="Arial" w:cs="Arial"/>
        </w:rPr>
        <w:t xml:space="preserve"> and</w:t>
      </w:r>
      <w:r w:rsidR="004202FE" w:rsidRPr="00D15956">
        <w:rPr>
          <w:rFonts w:ascii="Arial" w:hAnsi="Arial" w:cs="Arial"/>
        </w:rPr>
        <w:t xml:space="preserve">, </w:t>
      </w:r>
      <w:r w:rsidR="008A00A4" w:rsidRPr="00D15956">
        <w:rPr>
          <w:rFonts w:ascii="Arial" w:hAnsi="Arial" w:cs="Arial"/>
        </w:rPr>
        <w:t>on a first conviction of a contravention</w:t>
      </w:r>
      <w:r w:rsidR="0026362E" w:rsidRPr="00D15956">
        <w:rPr>
          <w:rFonts w:ascii="Arial" w:hAnsi="Arial" w:cs="Arial"/>
        </w:rPr>
        <w:t xml:space="preserve"> of</w:t>
      </w:r>
      <w:r w:rsidR="00CD0594" w:rsidRPr="00D15956">
        <w:rPr>
          <w:rFonts w:ascii="Arial" w:hAnsi="Arial" w:cs="Arial"/>
        </w:rPr>
        <w:t xml:space="preserve"> that s</w:t>
      </w:r>
      <w:r w:rsidR="008C03ED" w:rsidRPr="00D15956">
        <w:rPr>
          <w:rFonts w:ascii="Arial" w:hAnsi="Arial" w:cs="Arial"/>
        </w:rPr>
        <w:t>pecific provision (i.e.</w:t>
      </w:r>
      <w:r w:rsidR="008A00A4" w:rsidRPr="00D15956">
        <w:rPr>
          <w:rFonts w:ascii="Arial" w:hAnsi="Arial" w:cs="Arial"/>
        </w:rPr>
        <w:t xml:space="preserve">, </w:t>
      </w:r>
      <w:r w:rsidR="008C03ED" w:rsidRPr="00D15956">
        <w:rPr>
          <w:rFonts w:ascii="Arial" w:hAnsi="Arial" w:cs="Arial"/>
        </w:rPr>
        <w:t>s 20 (1) (a)</w:t>
      </w:r>
      <w:r w:rsidR="00687AE3" w:rsidRPr="00D15956">
        <w:rPr>
          <w:rFonts w:ascii="Arial" w:hAnsi="Arial" w:cs="Arial"/>
        </w:rPr>
        <w:t xml:space="preserve"> read with </w:t>
      </w:r>
      <w:r w:rsidR="00E01003" w:rsidRPr="00D15956">
        <w:rPr>
          <w:rFonts w:ascii="Arial" w:hAnsi="Arial" w:cs="Arial"/>
        </w:rPr>
        <w:t>s 38 (3) (a)</w:t>
      </w:r>
      <w:r w:rsidR="008C03ED" w:rsidRPr="00D15956">
        <w:rPr>
          <w:rFonts w:ascii="Arial" w:hAnsi="Arial" w:cs="Arial"/>
        </w:rPr>
        <w:t>)</w:t>
      </w:r>
      <w:r w:rsidR="00710C86" w:rsidRPr="00D15956">
        <w:rPr>
          <w:rFonts w:ascii="Arial" w:hAnsi="Arial" w:cs="Arial"/>
        </w:rPr>
        <w:t>,</w:t>
      </w:r>
      <w:r w:rsidR="008C03ED" w:rsidRPr="00D15956">
        <w:rPr>
          <w:rFonts w:ascii="Arial" w:hAnsi="Arial" w:cs="Arial"/>
        </w:rPr>
        <w:t xml:space="preserve"> </w:t>
      </w:r>
      <w:r w:rsidR="008A00A4" w:rsidRPr="00D15956">
        <w:rPr>
          <w:rFonts w:ascii="Arial" w:hAnsi="Arial" w:cs="Arial"/>
        </w:rPr>
        <w:t>is liable to a fine or to imprisonment for a period not exceeding five years, or to both a fine and such</w:t>
      </w:r>
      <w:r w:rsidR="008A00A4" w:rsidRPr="00D15956">
        <w:rPr>
          <w:rFonts w:ascii="Times New Roman" w:hAnsi="Times New Roman"/>
        </w:rPr>
        <w:t xml:space="preserve"> </w:t>
      </w:r>
      <w:r w:rsidR="008A00A4" w:rsidRPr="00D15956">
        <w:rPr>
          <w:rFonts w:ascii="Arial" w:hAnsi="Arial" w:cs="Arial"/>
        </w:rPr>
        <w:t>imprisonment</w:t>
      </w:r>
      <w:r w:rsidR="002C7335" w:rsidRPr="00D15956">
        <w:rPr>
          <w:rFonts w:ascii="Arial" w:hAnsi="Arial" w:cs="Arial"/>
        </w:rPr>
        <w:t>.</w:t>
      </w:r>
      <w:r w:rsidR="002C7335" w:rsidRPr="00670683">
        <w:rPr>
          <w:rStyle w:val="FootnoteReference"/>
          <w:rFonts w:ascii="Arial" w:hAnsi="Arial" w:cs="Arial"/>
        </w:rPr>
        <w:footnoteReference w:id="18"/>
      </w:r>
      <w:r w:rsidR="00F039C5" w:rsidRPr="00D15956">
        <w:rPr>
          <w:rFonts w:ascii="Times New Roman" w:hAnsi="Times New Roman"/>
        </w:rPr>
        <w:t xml:space="preserve">  </w:t>
      </w:r>
      <w:r w:rsidR="00F039C5" w:rsidRPr="00D15956">
        <w:rPr>
          <w:rFonts w:ascii="Arial" w:hAnsi="Arial" w:cs="Arial"/>
        </w:rPr>
        <w:t>A second convi</w:t>
      </w:r>
      <w:r w:rsidR="00230B25" w:rsidRPr="00D15956">
        <w:rPr>
          <w:rFonts w:ascii="Arial" w:hAnsi="Arial" w:cs="Arial"/>
        </w:rPr>
        <w:t xml:space="preserve">ction </w:t>
      </w:r>
      <w:r w:rsidR="00EE27E2" w:rsidRPr="00D15956">
        <w:rPr>
          <w:rFonts w:ascii="Arial" w:hAnsi="Arial" w:cs="Arial"/>
        </w:rPr>
        <w:t>or</w:t>
      </w:r>
      <w:r w:rsidR="00EE27E2" w:rsidRPr="00D15956">
        <w:rPr>
          <w:rFonts w:ascii="Times New Roman" w:hAnsi="Times New Roman"/>
        </w:rPr>
        <w:t xml:space="preserve"> </w:t>
      </w:r>
      <w:r w:rsidR="00EE27E2" w:rsidRPr="00D15956">
        <w:rPr>
          <w:rFonts w:ascii="Arial" w:hAnsi="Arial" w:cs="Arial"/>
        </w:rPr>
        <w:t xml:space="preserve">subsequent conviction </w:t>
      </w:r>
      <w:r w:rsidR="00394B32" w:rsidRPr="00D15956">
        <w:rPr>
          <w:rFonts w:ascii="Arial" w:hAnsi="Arial" w:cs="Arial"/>
        </w:rPr>
        <w:t xml:space="preserve">of </w:t>
      </w:r>
      <w:r w:rsidR="00160817" w:rsidRPr="00D15956">
        <w:rPr>
          <w:rFonts w:ascii="Arial" w:hAnsi="Arial" w:cs="Arial"/>
        </w:rPr>
        <w:t xml:space="preserve">further </w:t>
      </w:r>
      <w:r w:rsidR="00422BA2" w:rsidRPr="00D15956">
        <w:rPr>
          <w:rFonts w:ascii="Arial" w:hAnsi="Arial" w:cs="Arial"/>
        </w:rPr>
        <w:t xml:space="preserve">exposes </w:t>
      </w:r>
      <w:r w:rsidR="00710C86" w:rsidRPr="00D15956">
        <w:rPr>
          <w:rFonts w:ascii="Arial" w:hAnsi="Arial" w:cs="Arial"/>
        </w:rPr>
        <w:t>a</w:t>
      </w:r>
      <w:r w:rsidR="00422BA2" w:rsidRPr="00D15956">
        <w:rPr>
          <w:rFonts w:ascii="Arial" w:hAnsi="Arial" w:cs="Arial"/>
        </w:rPr>
        <w:t xml:space="preserve"> contravener </w:t>
      </w:r>
      <w:r w:rsidR="00EE27E2" w:rsidRPr="00D15956">
        <w:rPr>
          <w:rFonts w:ascii="Arial" w:hAnsi="Arial" w:cs="Arial"/>
        </w:rPr>
        <w:t>to a fine or to imprisonment for a period not exceeding ten years, or to both a fine and such imprisonment</w:t>
      </w:r>
      <w:r w:rsidR="003459F0" w:rsidRPr="00D15956">
        <w:rPr>
          <w:rFonts w:ascii="Arial" w:hAnsi="Arial" w:cs="Arial"/>
        </w:rPr>
        <w:t>.</w:t>
      </w:r>
      <w:r w:rsidR="003459F0" w:rsidRPr="00670683">
        <w:rPr>
          <w:rStyle w:val="FootnoteReference"/>
          <w:rFonts w:ascii="Arial" w:hAnsi="Arial" w:cs="Arial"/>
        </w:rPr>
        <w:footnoteReference w:id="19"/>
      </w:r>
      <w:r w:rsidR="003459F0" w:rsidRPr="00D15956">
        <w:rPr>
          <w:rFonts w:ascii="Arial" w:hAnsi="Arial" w:cs="Arial"/>
        </w:rPr>
        <w:t xml:space="preserve">  </w:t>
      </w:r>
    </w:p>
    <w:p w14:paraId="1D039B7B" w14:textId="3B445BC6" w:rsidR="00E9233E" w:rsidRPr="00D15956" w:rsidRDefault="00D15956" w:rsidP="00D15956">
      <w:pPr>
        <w:spacing w:line="480" w:lineRule="auto"/>
        <w:ind w:left="720" w:right="28"/>
        <w:rPr>
          <w:rFonts w:ascii="Arial" w:hAnsi="Arial" w:cs="Arial"/>
        </w:rPr>
      </w:pPr>
      <w:r w:rsidRPr="00670683">
        <w:rPr>
          <w:rFonts w:ascii="Arial" w:hAnsi="Arial" w:cs="Arial"/>
        </w:rPr>
        <w:t>[19].</w:t>
      </w:r>
      <w:r w:rsidRPr="00670683">
        <w:rPr>
          <w:rFonts w:ascii="Arial" w:hAnsi="Arial" w:cs="Arial"/>
        </w:rPr>
        <w:tab/>
      </w:r>
      <w:r w:rsidR="009A1629" w:rsidRPr="00D15956">
        <w:rPr>
          <w:rFonts w:ascii="Arial" w:hAnsi="Arial" w:cs="Arial"/>
        </w:rPr>
        <w:t xml:space="preserve">There is a further provision that requires consideration, </w:t>
      </w:r>
      <w:r w:rsidR="009A1629" w:rsidRPr="00D15956">
        <w:rPr>
          <w:rFonts w:ascii="Arial" w:hAnsi="Arial" w:cs="Arial"/>
          <w:i/>
          <w:iCs/>
        </w:rPr>
        <w:t>viz</w:t>
      </w:r>
      <w:r w:rsidR="009A1629" w:rsidRPr="00D15956">
        <w:rPr>
          <w:rFonts w:ascii="Arial" w:hAnsi="Arial" w:cs="Arial"/>
        </w:rPr>
        <w:t xml:space="preserve">., </w:t>
      </w:r>
      <w:bookmarkStart w:id="19" w:name="_Hlk151734305"/>
      <w:r w:rsidR="007253A8" w:rsidRPr="00D15956">
        <w:rPr>
          <w:rFonts w:ascii="Arial" w:hAnsi="Arial" w:cs="Arial"/>
        </w:rPr>
        <w:t>s 20 (3) of PSIRA</w:t>
      </w:r>
      <w:bookmarkEnd w:id="19"/>
      <w:r w:rsidR="00752B5E" w:rsidRPr="00D15956">
        <w:rPr>
          <w:rFonts w:ascii="Arial" w:hAnsi="Arial" w:cs="Arial"/>
        </w:rPr>
        <w:t>.  It</w:t>
      </w:r>
      <w:r w:rsidR="00484ABA" w:rsidRPr="00D15956">
        <w:rPr>
          <w:rFonts w:ascii="Arial" w:hAnsi="Arial" w:cs="Arial"/>
        </w:rPr>
        <w:t xml:space="preserve"> provides as follows:</w:t>
      </w:r>
    </w:p>
    <w:p w14:paraId="1EB2F16D" w14:textId="7467D759" w:rsidR="00484ABA" w:rsidRPr="00670683" w:rsidRDefault="001D0A72" w:rsidP="00B75958">
      <w:pPr>
        <w:pStyle w:val="ListParagraph"/>
        <w:spacing w:before="120" w:line="240" w:lineRule="auto"/>
        <w:ind w:left="1440" w:right="379" w:firstLine="0"/>
        <w:contextualSpacing w:val="0"/>
        <w:rPr>
          <w:rFonts w:ascii="Arial" w:hAnsi="Arial" w:cs="Arial"/>
          <w:sz w:val="22"/>
          <w:szCs w:val="22"/>
        </w:rPr>
      </w:pPr>
      <w:r w:rsidRPr="00670683">
        <w:rPr>
          <w:rFonts w:ascii="Arial" w:hAnsi="Arial" w:cs="Arial"/>
          <w:sz w:val="22"/>
          <w:szCs w:val="22"/>
        </w:rPr>
        <w:t>‘Any contract, whether concluded before or after the commencement of this Act, which is inconsistent with a provision contained in subsections (1), (2) or section 44</w:t>
      </w:r>
      <w:r w:rsidR="00A35AFE" w:rsidRPr="00670683">
        <w:rPr>
          <w:rFonts w:ascii="Arial" w:hAnsi="Arial" w:cs="Arial"/>
          <w:sz w:val="22"/>
          <w:szCs w:val="22"/>
        </w:rPr>
        <w:t> </w:t>
      </w:r>
      <w:r w:rsidRPr="00670683">
        <w:rPr>
          <w:rFonts w:ascii="Arial" w:hAnsi="Arial" w:cs="Arial"/>
          <w:sz w:val="22"/>
          <w:szCs w:val="22"/>
        </w:rPr>
        <w:t xml:space="preserve">(6), </w:t>
      </w:r>
      <w:r w:rsidRPr="00670683">
        <w:rPr>
          <w:rFonts w:ascii="Arial" w:hAnsi="Arial" w:cs="Arial"/>
          <w:b/>
          <w:bCs/>
          <w:sz w:val="22"/>
          <w:szCs w:val="22"/>
        </w:rPr>
        <w:t>is invalid to the extent to which it is so inconsistent</w:t>
      </w:r>
      <w:r w:rsidRPr="00670683">
        <w:rPr>
          <w:rFonts w:ascii="Arial" w:hAnsi="Arial" w:cs="Arial"/>
          <w:sz w:val="22"/>
          <w:szCs w:val="22"/>
        </w:rPr>
        <w:t>.’</w:t>
      </w:r>
    </w:p>
    <w:p w14:paraId="6C7DF4FA" w14:textId="37D0A31E" w:rsidR="003C0E10" w:rsidRPr="00670683" w:rsidRDefault="003C0E10" w:rsidP="00B75958">
      <w:pPr>
        <w:pStyle w:val="ListParagraph"/>
        <w:spacing w:before="120" w:line="480" w:lineRule="auto"/>
        <w:ind w:left="1440" w:right="28" w:firstLine="0"/>
        <w:contextualSpacing w:val="0"/>
        <w:rPr>
          <w:rFonts w:ascii="Arial" w:hAnsi="Arial" w:cs="Arial"/>
          <w:sz w:val="22"/>
          <w:szCs w:val="22"/>
        </w:rPr>
      </w:pPr>
      <w:r w:rsidRPr="00670683">
        <w:rPr>
          <w:rFonts w:ascii="Arial" w:hAnsi="Arial" w:cs="Arial"/>
          <w:sz w:val="22"/>
          <w:szCs w:val="22"/>
        </w:rPr>
        <w:t>(Own emphasis)</w:t>
      </w:r>
      <w:r w:rsidR="00E556D0" w:rsidRPr="00670683">
        <w:rPr>
          <w:rFonts w:ascii="Arial" w:hAnsi="Arial" w:cs="Arial"/>
          <w:sz w:val="22"/>
          <w:szCs w:val="22"/>
        </w:rPr>
        <w:t>.</w:t>
      </w:r>
    </w:p>
    <w:p w14:paraId="0B1120DD" w14:textId="4916579B" w:rsidR="001D0A72" w:rsidRPr="00D15956" w:rsidRDefault="00D15956" w:rsidP="00D15956">
      <w:pPr>
        <w:spacing w:line="480" w:lineRule="auto"/>
        <w:ind w:left="720" w:right="28"/>
        <w:rPr>
          <w:rFonts w:ascii="Arial" w:hAnsi="Arial" w:cs="Arial"/>
        </w:rPr>
      </w:pPr>
      <w:r w:rsidRPr="00670683">
        <w:rPr>
          <w:rFonts w:ascii="Arial" w:hAnsi="Arial" w:cs="Arial"/>
        </w:rPr>
        <w:t>[20].</w:t>
      </w:r>
      <w:r w:rsidRPr="00670683">
        <w:rPr>
          <w:rFonts w:ascii="Arial" w:hAnsi="Arial" w:cs="Arial"/>
        </w:rPr>
        <w:tab/>
      </w:r>
      <w:r w:rsidR="0089695C" w:rsidRPr="00D15956">
        <w:rPr>
          <w:rFonts w:ascii="Arial" w:hAnsi="Arial" w:cs="Arial"/>
        </w:rPr>
        <w:t xml:space="preserve">The </w:t>
      </w:r>
      <w:r w:rsidR="006051E5" w:rsidRPr="00D15956">
        <w:rPr>
          <w:rFonts w:ascii="Arial" w:hAnsi="Arial" w:cs="Arial"/>
        </w:rPr>
        <w:t>p</w:t>
      </w:r>
      <w:r w:rsidR="00AD5571" w:rsidRPr="00D15956">
        <w:rPr>
          <w:rFonts w:ascii="Arial" w:hAnsi="Arial" w:cs="Arial"/>
        </w:rPr>
        <w:t>urpose</w:t>
      </w:r>
      <w:r w:rsidR="006051E5" w:rsidRPr="00D15956">
        <w:rPr>
          <w:rFonts w:ascii="Arial" w:hAnsi="Arial" w:cs="Arial"/>
        </w:rPr>
        <w:t xml:space="preserve"> of s 20 (1) of PSIRA </w:t>
      </w:r>
      <w:r w:rsidR="00F512AE" w:rsidRPr="00D15956">
        <w:rPr>
          <w:rFonts w:ascii="Arial" w:hAnsi="Arial" w:cs="Arial"/>
        </w:rPr>
        <w:t xml:space="preserve">is </w:t>
      </w:r>
      <w:r w:rsidR="00AD5571" w:rsidRPr="00D15956">
        <w:rPr>
          <w:rFonts w:ascii="Arial" w:hAnsi="Arial" w:cs="Arial"/>
        </w:rPr>
        <w:t xml:space="preserve">self-evidently </w:t>
      </w:r>
      <w:r w:rsidR="00F512AE" w:rsidRPr="00D15956">
        <w:rPr>
          <w:rFonts w:ascii="Arial" w:hAnsi="Arial" w:cs="Arial"/>
        </w:rPr>
        <w:t xml:space="preserve">to ensure that </w:t>
      </w:r>
      <w:r w:rsidR="00AD5571" w:rsidRPr="00D15956">
        <w:rPr>
          <w:rFonts w:ascii="Arial" w:hAnsi="Arial" w:cs="Arial"/>
        </w:rPr>
        <w:t>no person</w:t>
      </w:r>
      <w:r w:rsidR="00AD14ED" w:rsidRPr="00D15956">
        <w:rPr>
          <w:rFonts w:ascii="Arial" w:hAnsi="Arial" w:cs="Arial"/>
        </w:rPr>
        <w:t xml:space="preserve"> - </w:t>
      </w:r>
      <w:r w:rsidR="00F02FEC" w:rsidRPr="00D15956">
        <w:rPr>
          <w:rFonts w:ascii="Arial" w:hAnsi="Arial" w:cs="Arial"/>
        </w:rPr>
        <w:t xml:space="preserve">with the </w:t>
      </w:r>
      <w:r w:rsidR="00AD5571" w:rsidRPr="00D15956">
        <w:rPr>
          <w:rFonts w:ascii="Arial" w:hAnsi="Arial" w:cs="Arial"/>
        </w:rPr>
        <w:t>except</w:t>
      </w:r>
      <w:r w:rsidR="00F02FEC" w:rsidRPr="00D15956">
        <w:rPr>
          <w:rFonts w:ascii="Arial" w:hAnsi="Arial" w:cs="Arial"/>
        </w:rPr>
        <w:t>ion of</w:t>
      </w:r>
      <w:r w:rsidR="00AD5571" w:rsidRPr="00D15956">
        <w:rPr>
          <w:rFonts w:ascii="Arial" w:hAnsi="Arial" w:cs="Arial"/>
        </w:rPr>
        <w:t xml:space="preserve"> a Security Service contemplated in section 199 of the Constitution</w:t>
      </w:r>
      <w:r w:rsidR="00AD14ED" w:rsidRPr="00D15956">
        <w:rPr>
          <w:rFonts w:ascii="Arial" w:hAnsi="Arial" w:cs="Arial"/>
        </w:rPr>
        <w:t xml:space="preserve"> -</w:t>
      </w:r>
      <w:r w:rsidR="00AD5571" w:rsidRPr="00D15956">
        <w:rPr>
          <w:rFonts w:ascii="Arial" w:hAnsi="Arial" w:cs="Arial"/>
        </w:rPr>
        <w:t xml:space="preserve"> may in any manner render a security service for remuneration, </w:t>
      </w:r>
      <w:r w:rsidR="00AD5571" w:rsidRPr="00D15956">
        <w:rPr>
          <w:rFonts w:ascii="Arial" w:hAnsi="Arial" w:cs="Arial"/>
        </w:rPr>
        <w:lastRenderedPageBreak/>
        <w:t>reward, a fee or benefit, unless such a person is registered as a security service provider in terms</w:t>
      </w:r>
      <w:r w:rsidR="00E75963" w:rsidRPr="00D15956">
        <w:rPr>
          <w:rFonts w:ascii="Arial" w:hAnsi="Arial" w:cs="Arial"/>
        </w:rPr>
        <w:t xml:space="preserve"> of PSIRA.  </w:t>
      </w:r>
    </w:p>
    <w:p w14:paraId="5C7ECFE6" w14:textId="796EDB36" w:rsidR="00E45416" w:rsidRPr="00D15956" w:rsidRDefault="00D15956" w:rsidP="00D15956">
      <w:pPr>
        <w:spacing w:line="480" w:lineRule="auto"/>
        <w:ind w:left="720" w:right="28"/>
        <w:rPr>
          <w:rFonts w:ascii="Arial" w:hAnsi="Arial" w:cs="Arial"/>
        </w:rPr>
      </w:pPr>
      <w:r w:rsidRPr="00670683">
        <w:rPr>
          <w:rFonts w:ascii="Arial" w:hAnsi="Arial" w:cs="Arial"/>
        </w:rPr>
        <w:t>[21].</w:t>
      </w:r>
      <w:r w:rsidRPr="00670683">
        <w:rPr>
          <w:rFonts w:ascii="Arial" w:hAnsi="Arial" w:cs="Arial"/>
        </w:rPr>
        <w:tab/>
      </w:r>
      <w:r w:rsidR="00E20E46" w:rsidRPr="00D15956">
        <w:rPr>
          <w:rFonts w:ascii="Arial" w:hAnsi="Arial" w:cs="Arial"/>
        </w:rPr>
        <w:t>It seems to me that</w:t>
      </w:r>
      <w:r w:rsidR="00A34872" w:rsidRPr="00D15956">
        <w:rPr>
          <w:rFonts w:ascii="Arial" w:hAnsi="Arial" w:cs="Arial"/>
        </w:rPr>
        <w:t xml:space="preserve"> the only </w:t>
      </w:r>
      <w:r w:rsidR="00475E07" w:rsidRPr="00D15956">
        <w:rPr>
          <w:rFonts w:ascii="Arial" w:hAnsi="Arial" w:cs="Arial"/>
        </w:rPr>
        <w:t xml:space="preserve">possible way in which </w:t>
      </w:r>
      <w:r w:rsidR="00A34872" w:rsidRPr="00D15956">
        <w:rPr>
          <w:rFonts w:ascii="Arial" w:hAnsi="Arial" w:cs="Arial"/>
        </w:rPr>
        <w:t xml:space="preserve">a </w:t>
      </w:r>
      <w:r w:rsidR="005C0E95" w:rsidRPr="00D15956">
        <w:rPr>
          <w:rFonts w:ascii="Arial" w:hAnsi="Arial" w:cs="Arial"/>
        </w:rPr>
        <w:t>contract c</w:t>
      </w:r>
      <w:r w:rsidR="006F750B" w:rsidRPr="00D15956">
        <w:rPr>
          <w:rFonts w:ascii="Arial" w:hAnsi="Arial" w:cs="Arial"/>
        </w:rPr>
        <w:t xml:space="preserve">ould be </w:t>
      </w:r>
      <w:r w:rsidR="00E247E2" w:rsidRPr="00D15956">
        <w:rPr>
          <w:rFonts w:ascii="Arial" w:hAnsi="Arial" w:cs="Arial"/>
        </w:rPr>
        <w:t xml:space="preserve">considered to be </w:t>
      </w:r>
      <w:r w:rsidR="006F750B" w:rsidRPr="00D15956">
        <w:rPr>
          <w:rFonts w:ascii="Arial" w:hAnsi="Arial" w:cs="Arial"/>
        </w:rPr>
        <w:t>‘</w:t>
      </w:r>
      <w:r w:rsidR="005C0E95" w:rsidRPr="00D15956">
        <w:rPr>
          <w:rFonts w:ascii="Arial" w:hAnsi="Arial" w:cs="Arial"/>
          <w:i/>
          <w:iCs/>
        </w:rPr>
        <w:t>inconsistent</w:t>
      </w:r>
      <w:r w:rsidR="00001640" w:rsidRPr="00D15956">
        <w:rPr>
          <w:rFonts w:ascii="Arial" w:hAnsi="Arial" w:cs="Arial"/>
        </w:rPr>
        <w:t>’</w:t>
      </w:r>
      <w:r w:rsidR="00BD1EBE" w:rsidRPr="00670683">
        <w:rPr>
          <w:rStyle w:val="FootnoteReference"/>
          <w:rFonts w:ascii="Arial" w:hAnsi="Arial" w:cs="Arial"/>
        </w:rPr>
        <w:footnoteReference w:id="20"/>
      </w:r>
      <w:r w:rsidR="005C0E95" w:rsidRPr="00D15956">
        <w:rPr>
          <w:rFonts w:ascii="Arial" w:hAnsi="Arial" w:cs="Arial"/>
        </w:rPr>
        <w:t xml:space="preserve"> with </w:t>
      </w:r>
      <w:bookmarkStart w:id="21" w:name="_Hlk151565007"/>
      <w:bookmarkStart w:id="22" w:name="_Hlk151629044"/>
      <w:r w:rsidR="003F222A" w:rsidRPr="00D15956">
        <w:rPr>
          <w:rFonts w:ascii="Arial" w:hAnsi="Arial" w:cs="Arial"/>
        </w:rPr>
        <w:t>s</w:t>
      </w:r>
      <w:r w:rsidR="00EB2ABA" w:rsidRPr="00D15956">
        <w:rPr>
          <w:rFonts w:ascii="Arial" w:hAnsi="Arial" w:cs="Arial"/>
        </w:rPr>
        <w:t> 20 (1)</w:t>
      </w:r>
      <w:bookmarkEnd w:id="21"/>
      <w:r w:rsidR="00E20E46" w:rsidRPr="00D15956">
        <w:rPr>
          <w:rFonts w:ascii="Arial" w:hAnsi="Arial" w:cs="Arial"/>
        </w:rPr>
        <w:t xml:space="preserve"> of PSIRA</w:t>
      </w:r>
      <w:bookmarkEnd w:id="22"/>
      <w:r w:rsidR="004F233C" w:rsidRPr="00D15956">
        <w:rPr>
          <w:rFonts w:ascii="Arial" w:hAnsi="Arial" w:cs="Arial"/>
        </w:rPr>
        <w:t>,</w:t>
      </w:r>
      <w:r w:rsidR="00E20E46" w:rsidRPr="00D15956">
        <w:rPr>
          <w:rFonts w:ascii="Arial" w:hAnsi="Arial" w:cs="Arial"/>
        </w:rPr>
        <w:t xml:space="preserve"> </w:t>
      </w:r>
      <w:r w:rsidR="009058FC" w:rsidRPr="00D15956">
        <w:rPr>
          <w:rFonts w:ascii="Arial" w:hAnsi="Arial" w:cs="Arial"/>
        </w:rPr>
        <w:t xml:space="preserve">is if </w:t>
      </w:r>
      <w:r w:rsidR="00E247E2" w:rsidRPr="00D15956">
        <w:rPr>
          <w:rFonts w:ascii="Arial" w:hAnsi="Arial" w:cs="Arial"/>
        </w:rPr>
        <w:t xml:space="preserve">it </w:t>
      </w:r>
      <w:r w:rsidR="00AF5258" w:rsidRPr="00D15956">
        <w:rPr>
          <w:rFonts w:ascii="Arial" w:hAnsi="Arial" w:cs="Arial"/>
        </w:rPr>
        <w:t xml:space="preserve">were to be </w:t>
      </w:r>
      <w:r w:rsidR="00C33383" w:rsidRPr="00D15956">
        <w:rPr>
          <w:rFonts w:ascii="Arial" w:hAnsi="Arial" w:cs="Arial"/>
        </w:rPr>
        <w:t xml:space="preserve">found </w:t>
      </w:r>
      <w:r w:rsidR="00B73F6B" w:rsidRPr="00D15956">
        <w:rPr>
          <w:rFonts w:ascii="Arial" w:hAnsi="Arial" w:cs="Arial"/>
        </w:rPr>
        <w:t xml:space="preserve">by a court of law </w:t>
      </w:r>
      <w:r w:rsidR="00C33383" w:rsidRPr="00D15956">
        <w:rPr>
          <w:rFonts w:ascii="Arial" w:hAnsi="Arial" w:cs="Arial"/>
        </w:rPr>
        <w:t xml:space="preserve">that </w:t>
      </w:r>
      <w:r w:rsidR="0074158C" w:rsidRPr="00D15956">
        <w:rPr>
          <w:rFonts w:ascii="Arial" w:hAnsi="Arial" w:cs="Arial"/>
        </w:rPr>
        <w:t xml:space="preserve">such a contract </w:t>
      </w:r>
      <w:r w:rsidR="005D6077" w:rsidRPr="00D15956">
        <w:rPr>
          <w:rFonts w:ascii="Arial" w:hAnsi="Arial" w:cs="Arial"/>
        </w:rPr>
        <w:t xml:space="preserve">was </w:t>
      </w:r>
      <w:r w:rsidR="009058FC" w:rsidRPr="00D15956">
        <w:rPr>
          <w:rFonts w:ascii="Arial" w:hAnsi="Arial" w:cs="Arial"/>
        </w:rPr>
        <w:t>concluded</w:t>
      </w:r>
      <w:r w:rsidR="006677F7" w:rsidRPr="00D15956">
        <w:rPr>
          <w:rFonts w:ascii="Arial" w:hAnsi="Arial" w:cs="Arial"/>
        </w:rPr>
        <w:t xml:space="preserve"> </w:t>
      </w:r>
      <w:r w:rsidR="0074158C" w:rsidRPr="00D15956">
        <w:rPr>
          <w:rFonts w:ascii="Arial" w:hAnsi="Arial" w:cs="Arial"/>
        </w:rPr>
        <w:t xml:space="preserve">by </w:t>
      </w:r>
      <w:r w:rsidR="006677F7" w:rsidRPr="00D15956">
        <w:rPr>
          <w:rFonts w:ascii="Arial" w:hAnsi="Arial" w:cs="Arial"/>
        </w:rPr>
        <w:t>a ‘</w:t>
      </w:r>
      <w:r w:rsidR="006677F7" w:rsidRPr="00D15956">
        <w:rPr>
          <w:rFonts w:ascii="Arial" w:hAnsi="Arial" w:cs="Arial"/>
          <w:i/>
          <w:iCs/>
        </w:rPr>
        <w:t>security service provider</w:t>
      </w:r>
      <w:r w:rsidR="006677F7" w:rsidRPr="00D15956">
        <w:rPr>
          <w:rFonts w:ascii="Arial" w:hAnsi="Arial" w:cs="Arial"/>
        </w:rPr>
        <w:t>’</w:t>
      </w:r>
      <w:r w:rsidR="004F3324" w:rsidRPr="00D15956">
        <w:rPr>
          <w:rFonts w:ascii="Arial" w:hAnsi="Arial" w:cs="Arial"/>
        </w:rPr>
        <w:t xml:space="preserve"> - i.e., a person </w:t>
      </w:r>
      <w:bookmarkStart w:id="23" w:name="_Hlk151567389"/>
      <w:r w:rsidR="00E11E1E" w:rsidRPr="00D15956">
        <w:rPr>
          <w:rFonts w:ascii="Arial" w:hAnsi="Arial" w:cs="Arial"/>
        </w:rPr>
        <w:t xml:space="preserve">rendering </w:t>
      </w:r>
      <w:r w:rsidR="004F3324" w:rsidRPr="00D15956">
        <w:rPr>
          <w:rFonts w:ascii="Arial" w:hAnsi="Arial" w:cs="Arial"/>
        </w:rPr>
        <w:t xml:space="preserve">a security service to another </w:t>
      </w:r>
      <w:bookmarkEnd w:id="23"/>
      <w:r w:rsidR="004F3324" w:rsidRPr="00D15956">
        <w:rPr>
          <w:rFonts w:ascii="Arial" w:hAnsi="Arial" w:cs="Arial"/>
        </w:rPr>
        <w:t xml:space="preserve">for </w:t>
      </w:r>
      <w:bookmarkStart w:id="24" w:name="_Hlk151567357"/>
      <w:r w:rsidR="004F3324" w:rsidRPr="00D15956">
        <w:rPr>
          <w:rFonts w:ascii="Arial" w:hAnsi="Arial" w:cs="Arial"/>
        </w:rPr>
        <w:t>a remuneration, reward, fee or benefit</w:t>
      </w:r>
      <w:bookmarkEnd w:id="24"/>
      <w:r w:rsidR="004F3324" w:rsidRPr="00D15956">
        <w:rPr>
          <w:rFonts w:ascii="Arial" w:hAnsi="Arial" w:cs="Arial"/>
        </w:rPr>
        <w:t xml:space="preserve"> </w:t>
      </w:r>
      <w:r w:rsidR="00683E6B" w:rsidRPr="00D15956">
        <w:rPr>
          <w:rFonts w:ascii="Arial" w:hAnsi="Arial" w:cs="Arial"/>
        </w:rPr>
        <w:t xml:space="preserve">- </w:t>
      </w:r>
      <w:r w:rsidR="004F3324" w:rsidRPr="00D15956">
        <w:rPr>
          <w:rFonts w:ascii="Arial" w:hAnsi="Arial" w:cs="Arial"/>
        </w:rPr>
        <w:t xml:space="preserve">who is </w:t>
      </w:r>
      <w:r w:rsidR="004F3324" w:rsidRPr="00D15956">
        <w:rPr>
          <w:rFonts w:ascii="Arial" w:hAnsi="Arial" w:cs="Arial"/>
          <w:i/>
          <w:iCs/>
        </w:rPr>
        <w:t>not</w:t>
      </w:r>
      <w:r w:rsidR="004F3324" w:rsidRPr="00D15956">
        <w:rPr>
          <w:rFonts w:ascii="Arial" w:hAnsi="Arial" w:cs="Arial"/>
        </w:rPr>
        <w:t xml:space="preserve"> </w:t>
      </w:r>
      <w:r w:rsidR="00CE2F73" w:rsidRPr="00D15956">
        <w:rPr>
          <w:rFonts w:ascii="Arial" w:hAnsi="Arial" w:cs="Arial"/>
        </w:rPr>
        <w:t xml:space="preserve">duly </w:t>
      </w:r>
      <w:r w:rsidR="004F3324" w:rsidRPr="00D15956">
        <w:rPr>
          <w:rFonts w:ascii="Arial" w:hAnsi="Arial" w:cs="Arial"/>
        </w:rPr>
        <w:t xml:space="preserve">registered as required in terms of </w:t>
      </w:r>
      <w:r w:rsidR="00CE2F73" w:rsidRPr="00D15956">
        <w:rPr>
          <w:rFonts w:ascii="Arial" w:hAnsi="Arial" w:cs="Arial"/>
        </w:rPr>
        <w:t xml:space="preserve">PSIRA.  </w:t>
      </w:r>
      <w:r w:rsidR="00042F5C" w:rsidRPr="00D15956">
        <w:rPr>
          <w:rFonts w:ascii="Arial" w:hAnsi="Arial" w:cs="Arial"/>
        </w:rPr>
        <w:t>In other words</w:t>
      </w:r>
      <w:r w:rsidR="00A70EF3" w:rsidRPr="00D15956">
        <w:rPr>
          <w:rFonts w:ascii="Arial" w:hAnsi="Arial" w:cs="Arial"/>
        </w:rPr>
        <w:t xml:space="preserve">, </w:t>
      </w:r>
      <w:r w:rsidR="00B222FB" w:rsidRPr="00D15956">
        <w:rPr>
          <w:rFonts w:ascii="Arial" w:hAnsi="Arial" w:cs="Arial"/>
        </w:rPr>
        <w:t>on a proper interpre</w:t>
      </w:r>
      <w:r w:rsidR="003B7420" w:rsidRPr="00D15956">
        <w:rPr>
          <w:rFonts w:ascii="Arial" w:hAnsi="Arial" w:cs="Arial"/>
        </w:rPr>
        <w:t>tation</w:t>
      </w:r>
      <w:r w:rsidR="007E211D" w:rsidRPr="00670683">
        <w:rPr>
          <w:rStyle w:val="FootnoteReference"/>
          <w:rFonts w:ascii="Arial" w:hAnsi="Arial" w:cs="Arial"/>
        </w:rPr>
        <w:footnoteReference w:id="21"/>
      </w:r>
      <w:r w:rsidR="003B7420" w:rsidRPr="00D15956">
        <w:rPr>
          <w:rFonts w:ascii="Arial" w:hAnsi="Arial" w:cs="Arial"/>
        </w:rPr>
        <w:t xml:space="preserve"> of s 20 (1) – read with </w:t>
      </w:r>
      <w:r w:rsidR="00E235DE" w:rsidRPr="00D15956">
        <w:rPr>
          <w:rFonts w:ascii="Arial" w:hAnsi="Arial" w:cs="Arial"/>
        </w:rPr>
        <w:t xml:space="preserve">s 38 (3) (a) - </w:t>
      </w:r>
      <w:r w:rsidR="003B7420" w:rsidRPr="00D15956">
        <w:rPr>
          <w:rFonts w:ascii="Arial" w:hAnsi="Arial" w:cs="Arial"/>
        </w:rPr>
        <w:t>of PSIRA</w:t>
      </w:r>
      <w:r w:rsidR="00E235DE" w:rsidRPr="00D15956">
        <w:rPr>
          <w:rFonts w:ascii="Arial" w:hAnsi="Arial" w:cs="Arial"/>
        </w:rPr>
        <w:t>,</w:t>
      </w:r>
      <w:r w:rsidR="003B7420" w:rsidRPr="00D15956">
        <w:rPr>
          <w:rFonts w:ascii="Arial" w:hAnsi="Arial" w:cs="Arial"/>
        </w:rPr>
        <w:t xml:space="preserve"> </w:t>
      </w:r>
      <w:r w:rsidR="00A70EF3" w:rsidRPr="00D15956">
        <w:rPr>
          <w:rFonts w:ascii="Arial" w:hAnsi="Arial" w:cs="Arial"/>
        </w:rPr>
        <w:t>once it is established that any such</w:t>
      </w:r>
      <w:r w:rsidR="00A70EF3" w:rsidRPr="00D15956">
        <w:rPr>
          <w:rFonts w:ascii="Times New Roman" w:hAnsi="Times New Roman"/>
        </w:rPr>
        <w:t xml:space="preserve"> </w:t>
      </w:r>
      <w:r w:rsidR="00A70EF3" w:rsidRPr="00D15956">
        <w:rPr>
          <w:rFonts w:ascii="Arial" w:hAnsi="Arial" w:cs="Arial"/>
        </w:rPr>
        <w:t>‘</w:t>
      </w:r>
      <w:r w:rsidR="00A70EF3" w:rsidRPr="00D15956">
        <w:rPr>
          <w:rFonts w:ascii="Arial" w:hAnsi="Arial" w:cs="Arial"/>
          <w:i/>
          <w:iCs/>
        </w:rPr>
        <w:t>security service provider</w:t>
      </w:r>
      <w:r w:rsidR="00A70EF3" w:rsidRPr="00D15956">
        <w:rPr>
          <w:rFonts w:ascii="Arial" w:hAnsi="Arial" w:cs="Arial"/>
        </w:rPr>
        <w:t>’</w:t>
      </w:r>
      <w:r w:rsidR="00CA06D6" w:rsidRPr="00D15956">
        <w:rPr>
          <w:rFonts w:ascii="Arial" w:hAnsi="Arial" w:cs="Arial"/>
        </w:rPr>
        <w:t xml:space="preserve"> is </w:t>
      </w:r>
      <w:r w:rsidR="00CA06D6" w:rsidRPr="00D15956">
        <w:rPr>
          <w:rFonts w:ascii="Arial" w:hAnsi="Arial" w:cs="Arial"/>
          <w:i/>
          <w:iCs/>
        </w:rPr>
        <w:t>not duly registered</w:t>
      </w:r>
      <w:r w:rsidR="00CA06D6" w:rsidRPr="00D15956">
        <w:rPr>
          <w:rFonts w:ascii="Arial" w:hAnsi="Arial" w:cs="Arial"/>
        </w:rPr>
        <w:t xml:space="preserve"> in terms of PSIRA</w:t>
      </w:r>
      <w:r w:rsidR="00E95452" w:rsidRPr="00D15956">
        <w:rPr>
          <w:rFonts w:ascii="Arial" w:hAnsi="Arial" w:cs="Arial"/>
        </w:rPr>
        <w:t xml:space="preserve"> any contract</w:t>
      </w:r>
      <w:r w:rsidR="00EE04FC" w:rsidRPr="00D15956">
        <w:rPr>
          <w:rFonts w:ascii="Arial" w:hAnsi="Arial" w:cs="Arial"/>
        </w:rPr>
        <w:t xml:space="preserve"> concluded by him/her/it would be invalid</w:t>
      </w:r>
      <w:r w:rsidR="008550A6" w:rsidRPr="00D15956">
        <w:rPr>
          <w:rFonts w:ascii="Arial" w:hAnsi="Arial" w:cs="Arial"/>
        </w:rPr>
        <w:t xml:space="preserve"> because of its inconsistency </w:t>
      </w:r>
      <w:r w:rsidR="00A00000" w:rsidRPr="00D15956">
        <w:rPr>
          <w:rFonts w:ascii="Arial" w:hAnsi="Arial" w:cs="Arial"/>
        </w:rPr>
        <w:t>(</w:t>
      </w:r>
      <w:r w:rsidR="00442DB5" w:rsidRPr="00D15956">
        <w:rPr>
          <w:rFonts w:ascii="Arial" w:hAnsi="Arial" w:cs="Arial"/>
        </w:rPr>
        <w:t xml:space="preserve">i.e., </w:t>
      </w:r>
      <w:r w:rsidR="00442DB5" w:rsidRPr="00D15956">
        <w:rPr>
          <w:rFonts w:ascii="Arial" w:hAnsi="Arial" w:cs="Arial"/>
          <w:i/>
          <w:iCs/>
        </w:rPr>
        <w:t xml:space="preserve">by </w:t>
      </w:r>
      <w:r w:rsidR="00332E44" w:rsidRPr="00D15956">
        <w:rPr>
          <w:rFonts w:ascii="Arial" w:hAnsi="Arial" w:cs="Arial"/>
          <w:i/>
          <w:iCs/>
        </w:rPr>
        <w:t xml:space="preserve">it </w:t>
      </w:r>
      <w:r w:rsidR="00442DB5" w:rsidRPr="00D15956">
        <w:rPr>
          <w:rFonts w:ascii="Arial" w:hAnsi="Arial" w:cs="Arial"/>
          <w:i/>
          <w:iCs/>
        </w:rPr>
        <w:t>n</w:t>
      </w:r>
      <w:r w:rsidR="00A00000" w:rsidRPr="00D15956">
        <w:rPr>
          <w:rFonts w:ascii="Arial" w:hAnsi="Arial" w:cs="Arial"/>
          <w:i/>
          <w:iCs/>
        </w:rPr>
        <w:t xml:space="preserve">ot </w:t>
      </w:r>
      <w:r w:rsidR="00332E44" w:rsidRPr="00D15956">
        <w:rPr>
          <w:rFonts w:ascii="Arial" w:hAnsi="Arial" w:cs="Arial"/>
          <w:i/>
          <w:iCs/>
        </w:rPr>
        <w:t xml:space="preserve">being </w:t>
      </w:r>
      <w:r w:rsidR="00A00000" w:rsidRPr="00D15956">
        <w:rPr>
          <w:rFonts w:ascii="Arial" w:hAnsi="Arial" w:cs="Arial"/>
          <w:i/>
          <w:iCs/>
        </w:rPr>
        <w:t>in</w:t>
      </w:r>
      <w:r w:rsidR="00670683" w:rsidRPr="00D15956">
        <w:rPr>
          <w:rFonts w:ascii="Arial" w:hAnsi="Arial" w:cs="Arial"/>
          <w:i/>
          <w:iCs/>
        </w:rPr>
        <w:t xml:space="preserve"> </w:t>
      </w:r>
      <w:r w:rsidR="00A00000" w:rsidRPr="00D15956">
        <w:rPr>
          <w:rFonts w:ascii="Arial" w:hAnsi="Arial" w:cs="Arial"/>
          <w:i/>
          <w:iCs/>
        </w:rPr>
        <w:t xml:space="preserve"> keeping</w:t>
      </w:r>
      <w:r w:rsidR="00623414" w:rsidRPr="00D15956">
        <w:rPr>
          <w:rFonts w:ascii="Arial" w:hAnsi="Arial" w:cs="Arial"/>
          <w:i/>
          <w:iCs/>
        </w:rPr>
        <w:t>,</w:t>
      </w:r>
      <w:r w:rsidR="008B62E5" w:rsidRPr="00D15956">
        <w:rPr>
          <w:rFonts w:ascii="Arial" w:hAnsi="Arial" w:cs="Arial"/>
          <w:i/>
          <w:iCs/>
        </w:rPr>
        <w:t xml:space="preserve"> </w:t>
      </w:r>
      <w:r w:rsidR="00206B2D" w:rsidRPr="00D15956">
        <w:rPr>
          <w:rFonts w:ascii="Arial" w:hAnsi="Arial" w:cs="Arial"/>
          <w:i/>
          <w:iCs/>
        </w:rPr>
        <w:t xml:space="preserve">or being </w:t>
      </w:r>
      <w:r w:rsidR="00A00000" w:rsidRPr="00D15956">
        <w:rPr>
          <w:rFonts w:ascii="Arial" w:hAnsi="Arial" w:cs="Arial"/>
          <w:i/>
          <w:iCs/>
        </w:rPr>
        <w:t xml:space="preserve">discordant, </w:t>
      </w:r>
      <w:r w:rsidR="008B62E5" w:rsidRPr="00D15956">
        <w:rPr>
          <w:rFonts w:ascii="Arial" w:hAnsi="Arial" w:cs="Arial"/>
          <w:i/>
          <w:iCs/>
        </w:rPr>
        <w:t xml:space="preserve">or </w:t>
      </w:r>
      <w:r w:rsidR="00206B2D" w:rsidRPr="00D15956">
        <w:rPr>
          <w:rFonts w:ascii="Arial" w:hAnsi="Arial" w:cs="Arial"/>
          <w:i/>
          <w:iCs/>
        </w:rPr>
        <w:t xml:space="preserve">being </w:t>
      </w:r>
      <w:r w:rsidR="00A00000" w:rsidRPr="00D15956">
        <w:rPr>
          <w:rFonts w:ascii="Arial" w:hAnsi="Arial" w:cs="Arial"/>
          <w:i/>
          <w:iCs/>
        </w:rPr>
        <w:t>at variance</w:t>
      </w:r>
      <w:r w:rsidR="00A00000" w:rsidRPr="00D15956">
        <w:rPr>
          <w:rFonts w:ascii="Arial" w:hAnsi="Arial" w:cs="Arial"/>
        </w:rPr>
        <w:t>)</w:t>
      </w:r>
      <w:r w:rsidR="002867E0" w:rsidRPr="00670683">
        <w:rPr>
          <w:rStyle w:val="FootnoteReference"/>
          <w:rFonts w:ascii="Arial" w:hAnsi="Arial" w:cs="Arial"/>
        </w:rPr>
        <w:footnoteReference w:id="22"/>
      </w:r>
      <w:r w:rsidR="00A00000" w:rsidRPr="00D15956">
        <w:rPr>
          <w:rFonts w:ascii="Arial" w:hAnsi="Arial" w:cs="Arial"/>
        </w:rPr>
        <w:t xml:space="preserve"> </w:t>
      </w:r>
      <w:r w:rsidR="008550A6" w:rsidRPr="00D15956">
        <w:rPr>
          <w:rFonts w:ascii="Arial" w:hAnsi="Arial" w:cs="Arial"/>
        </w:rPr>
        <w:t>with</w:t>
      </w:r>
      <w:r w:rsidR="003E6F35" w:rsidRPr="00D15956">
        <w:rPr>
          <w:rFonts w:ascii="Arial" w:hAnsi="Arial" w:cs="Arial"/>
        </w:rPr>
        <w:t xml:space="preserve"> </w:t>
      </w:r>
      <w:r w:rsidR="00566832" w:rsidRPr="00D15956">
        <w:rPr>
          <w:rFonts w:ascii="Arial" w:hAnsi="Arial" w:cs="Arial"/>
        </w:rPr>
        <w:t xml:space="preserve">the </w:t>
      </w:r>
      <w:r w:rsidR="00C71800" w:rsidRPr="00D15956">
        <w:rPr>
          <w:rFonts w:ascii="Arial" w:hAnsi="Arial" w:cs="Arial"/>
        </w:rPr>
        <w:t xml:space="preserve">clear </w:t>
      </w:r>
      <w:r w:rsidR="00566832" w:rsidRPr="00D15956">
        <w:rPr>
          <w:rFonts w:ascii="Arial" w:hAnsi="Arial" w:cs="Arial"/>
        </w:rPr>
        <w:t xml:space="preserve">purpose of </w:t>
      </w:r>
      <w:r w:rsidR="003E6F35" w:rsidRPr="00D15956">
        <w:rPr>
          <w:rFonts w:ascii="Arial" w:hAnsi="Arial" w:cs="Arial"/>
        </w:rPr>
        <w:t>s 20 (1)</w:t>
      </w:r>
      <w:r w:rsidR="00EE04FC" w:rsidRPr="00D15956">
        <w:rPr>
          <w:rFonts w:ascii="Arial" w:hAnsi="Arial" w:cs="Arial"/>
        </w:rPr>
        <w:t xml:space="preserve">.  </w:t>
      </w:r>
    </w:p>
    <w:p w14:paraId="45AB4798" w14:textId="026C0D5D" w:rsidR="006F6727" w:rsidRPr="00D15956" w:rsidRDefault="00D15956" w:rsidP="00D15956">
      <w:pPr>
        <w:ind w:left="720" w:right="28"/>
        <w:rPr>
          <w:rFonts w:ascii="Arial" w:hAnsi="Arial" w:cs="Arial"/>
        </w:rPr>
      </w:pPr>
      <w:r w:rsidRPr="006F6727">
        <w:rPr>
          <w:rFonts w:ascii="Arial" w:hAnsi="Arial" w:cs="Arial"/>
        </w:rPr>
        <w:t>[22].</w:t>
      </w:r>
      <w:r w:rsidRPr="006F6727">
        <w:rPr>
          <w:rFonts w:ascii="Arial" w:hAnsi="Arial" w:cs="Arial"/>
        </w:rPr>
        <w:tab/>
      </w:r>
      <w:r w:rsidR="003A2EDF" w:rsidRPr="00D15956">
        <w:rPr>
          <w:rFonts w:ascii="Arial" w:hAnsi="Arial" w:cs="Arial"/>
        </w:rPr>
        <w:t>T</w:t>
      </w:r>
      <w:r w:rsidR="00192B9B" w:rsidRPr="00D15956">
        <w:rPr>
          <w:rFonts w:ascii="Arial" w:hAnsi="Arial" w:cs="Arial"/>
        </w:rPr>
        <w:t xml:space="preserve">hese </w:t>
      </w:r>
      <w:r w:rsidR="001061FD" w:rsidRPr="00D15956">
        <w:rPr>
          <w:rFonts w:ascii="Arial" w:hAnsi="Arial" w:cs="Arial"/>
        </w:rPr>
        <w:t xml:space="preserve">considerations </w:t>
      </w:r>
      <w:r w:rsidR="00984AD7" w:rsidRPr="00D15956">
        <w:rPr>
          <w:rFonts w:ascii="Arial" w:hAnsi="Arial" w:cs="Arial"/>
        </w:rPr>
        <w:t xml:space="preserve">about </w:t>
      </w:r>
      <w:r w:rsidR="0068368D" w:rsidRPr="00D15956">
        <w:rPr>
          <w:rFonts w:ascii="Arial" w:hAnsi="Arial" w:cs="Arial"/>
        </w:rPr>
        <w:t xml:space="preserve">PSIRA’s </w:t>
      </w:r>
      <w:r w:rsidR="00A85CE2" w:rsidRPr="00D15956">
        <w:rPr>
          <w:rFonts w:ascii="Arial" w:hAnsi="Arial" w:cs="Arial"/>
        </w:rPr>
        <w:t>provisions</w:t>
      </w:r>
      <w:r w:rsidR="00984AD7" w:rsidRPr="00D15956">
        <w:rPr>
          <w:rFonts w:ascii="Arial" w:hAnsi="Arial" w:cs="Arial"/>
        </w:rPr>
        <w:t xml:space="preserve"> </w:t>
      </w:r>
      <w:r w:rsidR="00192B9B" w:rsidRPr="00D15956">
        <w:rPr>
          <w:rFonts w:ascii="Arial" w:hAnsi="Arial" w:cs="Arial"/>
        </w:rPr>
        <w:t xml:space="preserve">concern </w:t>
      </w:r>
      <w:r w:rsidR="00135057" w:rsidRPr="00D15956">
        <w:rPr>
          <w:rFonts w:ascii="Arial" w:hAnsi="Arial" w:cs="Arial"/>
        </w:rPr>
        <w:t xml:space="preserve">a vital </w:t>
      </w:r>
      <w:r w:rsidR="003A2EDF" w:rsidRPr="00D15956">
        <w:rPr>
          <w:rFonts w:ascii="Arial" w:hAnsi="Arial" w:cs="Arial"/>
        </w:rPr>
        <w:t>aspect of any application</w:t>
      </w:r>
      <w:r w:rsidR="00E819FE" w:rsidRPr="00D15956">
        <w:rPr>
          <w:rFonts w:ascii="Arial" w:hAnsi="Arial" w:cs="Arial"/>
        </w:rPr>
        <w:t xml:space="preserve"> for summary judgement</w:t>
      </w:r>
      <w:r w:rsidR="003D2D5E" w:rsidRPr="00D15956">
        <w:rPr>
          <w:rFonts w:ascii="Arial" w:hAnsi="Arial" w:cs="Arial"/>
        </w:rPr>
        <w:t xml:space="preserve">, </w:t>
      </w:r>
      <w:r w:rsidR="00AF43F8" w:rsidRPr="00D15956">
        <w:rPr>
          <w:rFonts w:ascii="Arial" w:hAnsi="Arial" w:cs="Arial"/>
        </w:rPr>
        <w:t xml:space="preserve">namely the </w:t>
      </w:r>
      <w:r w:rsidR="00651AD5" w:rsidRPr="00D15956">
        <w:rPr>
          <w:rFonts w:ascii="Arial" w:hAnsi="Arial" w:cs="Arial"/>
        </w:rPr>
        <w:t>verification of</w:t>
      </w:r>
      <w:r w:rsidR="00DD6303" w:rsidRPr="00D15956">
        <w:rPr>
          <w:rFonts w:ascii="Arial" w:hAnsi="Arial" w:cs="Arial"/>
        </w:rPr>
        <w:t xml:space="preserve"> </w:t>
      </w:r>
      <w:r w:rsidR="00A25A4E" w:rsidRPr="00D15956">
        <w:rPr>
          <w:rFonts w:ascii="Arial" w:hAnsi="Arial" w:cs="Arial"/>
        </w:rPr>
        <w:t>the cause of action</w:t>
      </w:r>
      <w:r w:rsidR="00DD6303" w:rsidRPr="00D15956">
        <w:rPr>
          <w:rFonts w:ascii="Arial" w:hAnsi="Arial" w:cs="Arial"/>
        </w:rPr>
        <w:t xml:space="preserve"> in the </w:t>
      </w:r>
      <w:r w:rsidR="00DD2211" w:rsidRPr="00D15956">
        <w:rPr>
          <w:rFonts w:ascii="Arial" w:hAnsi="Arial" w:cs="Arial"/>
        </w:rPr>
        <w:t xml:space="preserve">affidavit supporting </w:t>
      </w:r>
      <w:r w:rsidR="0031130D" w:rsidRPr="00D15956">
        <w:rPr>
          <w:rFonts w:ascii="Arial" w:hAnsi="Arial" w:cs="Arial"/>
        </w:rPr>
        <w:t xml:space="preserve">such </w:t>
      </w:r>
      <w:r w:rsidR="00DD2211" w:rsidRPr="00D15956">
        <w:rPr>
          <w:rFonts w:ascii="Arial" w:hAnsi="Arial" w:cs="Arial"/>
        </w:rPr>
        <w:t>application</w:t>
      </w:r>
      <w:r w:rsidR="00A25A4E" w:rsidRPr="00D15956">
        <w:rPr>
          <w:rFonts w:ascii="Arial" w:hAnsi="Arial" w:cs="Arial"/>
        </w:rPr>
        <w:t xml:space="preserve">. </w:t>
      </w:r>
      <w:r w:rsidR="0031130D" w:rsidRPr="00D15956">
        <w:rPr>
          <w:rFonts w:ascii="Arial" w:hAnsi="Arial" w:cs="Arial"/>
        </w:rPr>
        <w:t xml:space="preserve"> </w:t>
      </w:r>
      <w:r w:rsidR="009A5141" w:rsidRPr="00D15956">
        <w:rPr>
          <w:rFonts w:ascii="Arial" w:hAnsi="Arial" w:cs="Arial"/>
        </w:rPr>
        <w:t xml:space="preserve">In </w:t>
      </w:r>
      <w:r w:rsidR="009A5141" w:rsidRPr="00D15956">
        <w:rPr>
          <w:rFonts w:ascii="Arial" w:hAnsi="Arial" w:cs="Arial"/>
          <w:b/>
          <w:bCs/>
          <w:i/>
        </w:rPr>
        <w:t>Erasmus: Superior Court Practice</w:t>
      </w:r>
      <w:r w:rsidR="009A5141" w:rsidRPr="00D15956">
        <w:rPr>
          <w:rFonts w:ascii="Arial" w:hAnsi="Arial" w:cs="Arial"/>
        </w:rPr>
        <w:t xml:space="preserve"> the author </w:t>
      </w:r>
      <w:r w:rsidR="00AC7428" w:rsidRPr="00D15956">
        <w:rPr>
          <w:rFonts w:ascii="Arial" w:hAnsi="Arial" w:cs="Arial"/>
        </w:rPr>
        <w:t xml:space="preserve">explains what is required by verification </w:t>
      </w:r>
      <w:r w:rsidR="009A5141" w:rsidRPr="00D15956">
        <w:rPr>
          <w:rFonts w:ascii="Arial" w:hAnsi="Arial" w:cs="Arial"/>
        </w:rPr>
        <w:t>(footnotes omitted):</w:t>
      </w:r>
      <w:r w:rsidR="008A63C5" w:rsidRPr="00670683">
        <w:rPr>
          <w:rStyle w:val="FootnoteReference"/>
          <w:rFonts w:ascii="Arial" w:hAnsi="Arial" w:cs="Arial"/>
        </w:rPr>
        <w:footnoteReference w:id="23"/>
      </w:r>
    </w:p>
    <w:p w14:paraId="23445C64" w14:textId="2E68F787" w:rsidR="00193B93" w:rsidRPr="00670683" w:rsidRDefault="006D37AB" w:rsidP="00EC38F7">
      <w:pPr>
        <w:pStyle w:val="ListParagraph"/>
        <w:spacing w:before="120" w:line="240" w:lineRule="auto"/>
        <w:ind w:left="1418" w:right="380" w:firstLine="0"/>
        <w:contextualSpacing w:val="0"/>
        <w:rPr>
          <w:rFonts w:ascii="Arial" w:hAnsi="Arial" w:cs="Arial"/>
          <w:sz w:val="22"/>
          <w:szCs w:val="22"/>
        </w:rPr>
      </w:pPr>
      <w:r>
        <w:rPr>
          <w:rFonts w:ascii="Times New Roman" w:hAnsi="Times New Roman"/>
        </w:rPr>
        <w:t>‘</w:t>
      </w:r>
      <w:r w:rsidR="00A25A4E" w:rsidRPr="00670683">
        <w:rPr>
          <w:rFonts w:ascii="Arial" w:hAnsi="Arial" w:cs="Arial"/>
          <w:sz w:val="22"/>
          <w:szCs w:val="22"/>
        </w:rPr>
        <w:t xml:space="preserve">Verification is done simply by referring to the facts alleged in the summons; it is unnecessary to repeat the particulars. </w:t>
      </w:r>
      <w:r w:rsidRPr="00670683">
        <w:rPr>
          <w:rFonts w:ascii="Arial" w:hAnsi="Arial" w:cs="Arial"/>
          <w:sz w:val="22"/>
          <w:szCs w:val="22"/>
        </w:rPr>
        <w:t xml:space="preserve"> </w:t>
      </w:r>
      <w:r w:rsidR="00A25A4E" w:rsidRPr="00670683">
        <w:rPr>
          <w:rFonts w:ascii="Arial" w:hAnsi="Arial" w:cs="Arial"/>
          <w:sz w:val="22"/>
          <w:szCs w:val="22"/>
        </w:rPr>
        <w:t xml:space="preserve">All the facts supporting the cause of action must be verified. </w:t>
      </w:r>
      <w:r w:rsidRPr="00670683">
        <w:rPr>
          <w:rFonts w:ascii="Arial" w:hAnsi="Arial" w:cs="Arial"/>
          <w:sz w:val="22"/>
          <w:szCs w:val="22"/>
        </w:rPr>
        <w:t xml:space="preserve"> </w:t>
      </w:r>
      <w:r w:rsidR="00A25A4E" w:rsidRPr="00670683">
        <w:rPr>
          <w:rFonts w:ascii="Arial" w:hAnsi="Arial" w:cs="Arial"/>
          <w:b/>
          <w:bCs/>
          <w:sz w:val="22"/>
          <w:szCs w:val="22"/>
        </w:rPr>
        <w:t xml:space="preserve">It is hardly necessary to add that what the </w:t>
      </w:r>
      <w:r w:rsidR="00A25A4E" w:rsidRPr="00670683">
        <w:rPr>
          <w:rFonts w:ascii="Arial" w:hAnsi="Arial" w:cs="Arial"/>
          <w:b/>
          <w:bCs/>
          <w:sz w:val="22"/>
          <w:szCs w:val="22"/>
        </w:rPr>
        <w:lastRenderedPageBreak/>
        <w:t xml:space="preserve">deponent must verify must be a </w:t>
      </w:r>
      <w:bookmarkStart w:id="25" w:name="_Hlk152682381"/>
      <w:r w:rsidR="00A25A4E" w:rsidRPr="00670683">
        <w:rPr>
          <w:rFonts w:ascii="Arial" w:hAnsi="Arial" w:cs="Arial"/>
          <w:b/>
          <w:bCs/>
          <w:sz w:val="22"/>
          <w:szCs w:val="22"/>
        </w:rPr>
        <w:t>completed (perfected) cause of action</w:t>
      </w:r>
      <w:bookmarkEnd w:id="25"/>
      <w:r w:rsidR="00A25A4E" w:rsidRPr="00670683">
        <w:rPr>
          <w:rFonts w:ascii="Arial" w:hAnsi="Arial" w:cs="Arial"/>
          <w:b/>
          <w:bCs/>
          <w:sz w:val="22"/>
          <w:szCs w:val="22"/>
        </w:rPr>
        <w:t>; a deponent cannot be said to ‘verify’ a cause of action which is not a complete cause of action</w:t>
      </w:r>
      <w:r w:rsidR="00A25A4E" w:rsidRPr="00670683">
        <w:rPr>
          <w:rFonts w:ascii="Arial" w:hAnsi="Arial" w:cs="Arial"/>
          <w:sz w:val="22"/>
          <w:szCs w:val="22"/>
        </w:rPr>
        <w:t>.</w:t>
      </w:r>
      <w:r w:rsidRPr="00670683">
        <w:rPr>
          <w:rFonts w:ascii="Arial" w:hAnsi="Arial" w:cs="Arial"/>
          <w:sz w:val="22"/>
          <w:szCs w:val="22"/>
        </w:rPr>
        <w:t>’</w:t>
      </w:r>
    </w:p>
    <w:p w14:paraId="16156C9B" w14:textId="7E113F43" w:rsidR="006D37AB" w:rsidRPr="00670683" w:rsidRDefault="00C70B9A" w:rsidP="00EC38F7">
      <w:pPr>
        <w:pStyle w:val="ListParagraph"/>
        <w:spacing w:before="120" w:line="480" w:lineRule="auto"/>
        <w:ind w:left="1418" w:right="380" w:firstLine="0"/>
        <w:contextualSpacing w:val="0"/>
        <w:rPr>
          <w:rFonts w:ascii="Arial" w:hAnsi="Arial" w:cs="Arial"/>
          <w:sz w:val="22"/>
          <w:szCs w:val="22"/>
        </w:rPr>
      </w:pPr>
      <w:r w:rsidRPr="00670683">
        <w:rPr>
          <w:rFonts w:ascii="Arial" w:hAnsi="Arial" w:cs="Arial"/>
          <w:sz w:val="22"/>
          <w:szCs w:val="22"/>
        </w:rPr>
        <w:t>(</w:t>
      </w:r>
      <w:r w:rsidR="006D37AB" w:rsidRPr="00670683">
        <w:rPr>
          <w:rFonts w:ascii="Arial" w:hAnsi="Arial" w:cs="Arial"/>
          <w:sz w:val="22"/>
          <w:szCs w:val="22"/>
        </w:rPr>
        <w:t>Own</w:t>
      </w:r>
      <w:r w:rsidRPr="00670683">
        <w:rPr>
          <w:rFonts w:ascii="Arial" w:hAnsi="Arial" w:cs="Arial"/>
          <w:sz w:val="22"/>
          <w:szCs w:val="22"/>
        </w:rPr>
        <w:t xml:space="preserve"> emphasis).</w:t>
      </w:r>
    </w:p>
    <w:p w14:paraId="00AF97D9" w14:textId="5573B8C9" w:rsidR="006D37AB" w:rsidRPr="00D15956" w:rsidRDefault="00D15956" w:rsidP="00D15956">
      <w:pPr>
        <w:spacing w:line="480" w:lineRule="auto"/>
        <w:ind w:left="720" w:right="28"/>
        <w:rPr>
          <w:rFonts w:ascii="Arial" w:hAnsi="Arial" w:cs="Arial"/>
        </w:rPr>
      </w:pPr>
      <w:r w:rsidRPr="00670683">
        <w:rPr>
          <w:rFonts w:ascii="Arial" w:hAnsi="Arial" w:cs="Arial"/>
        </w:rPr>
        <w:t>[23].</w:t>
      </w:r>
      <w:r w:rsidRPr="00670683">
        <w:rPr>
          <w:rFonts w:ascii="Arial" w:hAnsi="Arial" w:cs="Arial"/>
        </w:rPr>
        <w:tab/>
      </w:r>
      <w:r w:rsidR="0091137B" w:rsidRPr="00D15956">
        <w:rPr>
          <w:rFonts w:ascii="Arial" w:hAnsi="Arial" w:cs="Arial"/>
        </w:rPr>
        <w:t xml:space="preserve">The leading case </w:t>
      </w:r>
      <w:r w:rsidR="00C4047A" w:rsidRPr="00D15956">
        <w:rPr>
          <w:rFonts w:ascii="Arial" w:hAnsi="Arial" w:cs="Arial"/>
        </w:rPr>
        <w:t xml:space="preserve">on the meaning of the words </w:t>
      </w:r>
      <w:r w:rsidR="00E57DE1" w:rsidRPr="00D15956">
        <w:rPr>
          <w:rFonts w:ascii="Arial" w:hAnsi="Arial" w:cs="Arial"/>
        </w:rPr>
        <w:t>‘</w:t>
      </w:r>
      <w:r w:rsidR="00D71A94" w:rsidRPr="00D15956">
        <w:rPr>
          <w:rFonts w:ascii="Arial" w:hAnsi="Arial" w:cs="Arial"/>
          <w:i/>
          <w:iCs/>
        </w:rPr>
        <w:t>cause</w:t>
      </w:r>
      <w:r w:rsidR="00C4047A" w:rsidRPr="00D15956">
        <w:rPr>
          <w:rFonts w:ascii="Arial" w:hAnsi="Arial" w:cs="Arial"/>
          <w:i/>
          <w:iCs/>
        </w:rPr>
        <w:t xml:space="preserve"> of action</w:t>
      </w:r>
      <w:r w:rsidR="00C4047A" w:rsidRPr="00D15956">
        <w:rPr>
          <w:rFonts w:ascii="Arial" w:hAnsi="Arial" w:cs="Arial"/>
        </w:rPr>
        <w:t xml:space="preserve">’ </w:t>
      </w:r>
      <w:r w:rsidR="003E43DC" w:rsidRPr="00D15956">
        <w:rPr>
          <w:rFonts w:ascii="Arial" w:hAnsi="Arial" w:cs="Arial"/>
        </w:rPr>
        <w:t xml:space="preserve">is </w:t>
      </w:r>
      <w:r w:rsidR="00156664" w:rsidRPr="00D15956">
        <w:rPr>
          <w:rFonts w:ascii="Arial" w:hAnsi="Arial" w:cs="Arial"/>
          <w:b/>
          <w:bCs/>
          <w:i/>
          <w:iCs/>
        </w:rPr>
        <w:t>M</w:t>
      </w:r>
      <w:r w:rsidR="008B00DC" w:rsidRPr="00D15956">
        <w:rPr>
          <w:rFonts w:ascii="Arial" w:hAnsi="Arial" w:cs="Arial"/>
          <w:b/>
          <w:bCs/>
          <w:i/>
          <w:iCs/>
        </w:rPr>
        <w:t>cKenzie v Farmers' Co-Operative Meat Industries Ltd</w:t>
      </w:r>
      <w:r w:rsidR="00B36593" w:rsidRPr="00D15956">
        <w:rPr>
          <w:rFonts w:ascii="Arial" w:hAnsi="Arial" w:cs="Arial"/>
        </w:rPr>
        <w:t>.</w:t>
      </w:r>
      <w:r w:rsidR="00B64370" w:rsidRPr="00670683">
        <w:rPr>
          <w:rStyle w:val="FootnoteReference"/>
          <w:rFonts w:ascii="Arial" w:hAnsi="Arial" w:cs="Arial"/>
        </w:rPr>
        <w:footnoteReference w:id="24"/>
      </w:r>
      <w:r w:rsidR="00BF4C3B" w:rsidRPr="00D15956">
        <w:rPr>
          <w:rFonts w:ascii="Arial" w:hAnsi="Arial" w:cs="Arial"/>
        </w:rPr>
        <w:t xml:space="preserve"> </w:t>
      </w:r>
      <w:r w:rsidR="00B36593" w:rsidRPr="00D15956">
        <w:rPr>
          <w:rFonts w:ascii="Arial" w:hAnsi="Arial" w:cs="Arial"/>
        </w:rPr>
        <w:t xml:space="preserve"> T</w:t>
      </w:r>
      <w:r w:rsidR="00C02346" w:rsidRPr="00D15956">
        <w:rPr>
          <w:rFonts w:ascii="Arial" w:hAnsi="Arial" w:cs="Arial"/>
        </w:rPr>
        <w:t>he erstwhile Appellate Division</w:t>
      </w:r>
      <w:r w:rsidR="00BA2902" w:rsidRPr="00D15956">
        <w:rPr>
          <w:rFonts w:ascii="Arial" w:hAnsi="Arial" w:cs="Arial"/>
        </w:rPr>
        <w:t xml:space="preserve"> (</w:t>
      </w:r>
      <w:r w:rsidR="00BA2902" w:rsidRPr="00D15956">
        <w:rPr>
          <w:rFonts w:ascii="Arial" w:hAnsi="Arial" w:cs="Arial"/>
          <w:i/>
          <w:iCs/>
        </w:rPr>
        <w:t>per</w:t>
      </w:r>
      <w:r w:rsidR="00081D3C" w:rsidRPr="00D15956">
        <w:rPr>
          <w:rFonts w:ascii="Arial" w:hAnsi="Arial" w:cs="Arial"/>
        </w:rPr>
        <w:t xml:space="preserve"> Maasdorp</w:t>
      </w:r>
      <w:r w:rsidR="001E128A" w:rsidRPr="00D15956">
        <w:rPr>
          <w:rFonts w:ascii="Arial" w:hAnsi="Arial" w:cs="Arial"/>
        </w:rPr>
        <w:t xml:space="preserve"> JA</w:t>
      </w:r>
      <w:r w:rsidR="001D5BD8" w:rsidRPr="00D15956">
        <w:rPr>
          <w:rFonts w:ascii="Arial" w:hAnsi="Arial" w:cs="Arial"/>
        </w:rPr>
        <w:t xml:space="preserve">, with </w:t>
      </w:r>
      <w:r w:rsidR="00634788" w:rsidRPr="00D15956">
        <w:rPr>
          <w:rFonts w:ascii="Arial" w:hAnsi="Arial" w:cs="Arial"/>
        </w:rPr>
        <w:t>Innes CJ</w:t>
      </w:r>
      <w:r w:rsidR="00B02045" w:rsidRPr="00D15956">
        <w:rPr>
          <w:rFonts w:ascii="Arial" w:hAnsi="Arial" w:cs="Arial"/>
        </w:rPr>
        <w:t>,</w:t>
      </w:r>
      <w:r w:rsidR="00634788" w:rsidRPr="00D15956">
        <w:rPr>
          <w:rFonts w:ascii="Arial" w:hAnsi="Arial" w:cs="Arial"/>
        </w:rPr>
        <w:t xml:space="preserve"> De Villiers JA, Juta JA</w:t>
      </w:r>
      <w:r w:rsidR="008B6385" w:rsidRPr="00D15956">
        <w:rPr>
          <w:rFonts w:ascii="Arial" w:hAnsi="Arial" w:cs="Arial"/>
        </w:rPr>
        <w:t>,</w:t>
      </w:r>
      <w:r w:rsidR="00634788" w:rsidRPr="00D15956">
        <w:rPr>
          <w:rFonts w:ascii="Arial" w:hAnsi="Arial" w:cs="Arial"/>
        </w:rPr>
        <w:t xml:space="preserve"> </w:t>
      </w:r>
      <w:r w:rsidR="008B6385" w:rsidRPr="00D15956">
        <w:rPr>
          <w:rFonts w:ascii="Arial" w:hAnsi="Arial" w:cs="Arial"/>
        </w:rPr>
        <w:t>a</w:t>
      </w:r>
      <w:r w:rsidR="00634788" w:rsidRPr="00D15956">
        <w:rPr>
          <w:rFonts w:ascii="Arial" w:hAnsi="Arial" w:cs="Arial"/>
        </w:rPr>
        <w:t xml:space="preserve">nd JER </w:t>
      </w:r>
      <w:r w:rsidR="008B6385" w:rsidRPr="00D15956">
        <w:rPr>
          <w:rFonts w:ascii="Arial" w:hAnsi="Arial" w:cs="Arial"/>
        </w:rPr>
        <w:t>d</w:t>
      </w:r>
      <w:r w:rsidR="00634788" w:rsidRPr="00D15956">
        <w:rPr>
          <w:rFonts w:ascii="Arial" w:hAnsi="Arial" w:cs="Arial"/>
        </w:rPr>
        <w:t>e Villiers AJA</w:t>
      </w:r>
      <w:r w:rsidR="00506995" w:rsidRPr="00D15956">
        <w:rPr>
          <w:rFonts w:ascii="Arial" w:hAnsi="Arial" w:cs="Arial"/>
        </w:rPr>
        <w:t xml:space="preserve"> concurring</w:t>
      </w:r>
      <w:r w:rsidR="001E128A" w:rsidRPr="00D15956">
        <w:rPr>
          <w:rFonts w:ascii="Arial" w:hAnsi="Arial" w:cs="Arial"/>
        </w:rPr>
        <w:t xml:space="preserve">) </w:t>
      </w:r>
      <w:r w:rsidR="00DA160B" w:rsidRPr="00D15956">
        <w:rPr>
          <w:rFonts w:ascii="Arial" w:hAnsi="Arial" w:cs="Arial"/>
        </w:rPr>
        <w:t xml:space="preserve">unanimously </w:t>
      </w:r>
      <w:r w:rsidR="00A0232C" w:rsidRPr="00D15956">
        <w:rPr>
          <w:rFonts w:ascii="Arial" w:hAnsi="Arial" w:cs="Arial"/>
        </w:rPr>
        <w:t xml:space="preserve">approved of the </w:t>
      </w:r>
      <w:r w:rsidR="00D56B95" w:rsidRPr="00D15956">
        <w:rPr>
          <w:rFonts w:ascii="Arial" w:hAnsi="Arial" w:cs="Arial"/>
        </w:rPr>
        <w:t xml:space="preserve">definition </w:t>
      </w:r>
      <w:r w:rsidR="004414B0" w:rsidRPr="00D15956">
        <w:rPr>
          <w:rFonts w:ascii="Arial" w:hAnsi="Arial" w:cs="Arial"/>
        </w:rPr>
        <w:t xml:space="preserve">given to </w:t>
      </w:r>
      <w:r w:rsidR="00F3252D" w:rsidRPr="00D15956">
        <w:rPr>
          <w:rFonts w:ascii="Arial" w:hAnsi="Arial" w:cs="Arial"/>
        </w:rPr>
        <w:t>this expression</w:t>
      </w:r>
      <w:r w:rsidR="004414B0" w:rsidRPr="00D15956">
        <w:rPr>
          <w:rFonts w:ascii="Arial" w:hAnsi="Arial" w:cs="Arial"/>
        </w:rPr>
        <w:t xml:space="preserve"> in the English case of </w:t>
      </w:r>
      <w:r w:rsidR="00F3252D" w:rsidRPr="00D15956">
        <w:rPr>
          <w:rFonts w:ascii="Arial" w:hAnsi="Arial" w:cs="Arial"/>
          <w:b/>
          <w:bCs/>
          <w:i/>
          <w:iCs/>
        </w:rPr>
        <w:t>Cook v Gill</w:t>
      </w:r>
      <w:r w:rsidR="00F3252D" w:rsidRPr="00D15956">
        <w:rPr>
          <w:rFonts w:ascii="Arial" w:hAnsi="Arial" w:cs="Arial"/>
        </w:rPr>
        <w:t> </w:t>
      </w:r>
      <w:r w:rsidR="004C4CCB" w:rsidRPr="00D15956">
        <w:rPr>
          <w:rFonts w:ascii="Arial" w:hAnsi="Arial" w:cs="Arial"/>
        </w:rPr>
        <w:t xml:space="preserve">(1873) </w:t>
      </w:r>
      <w:r w:rsidR="00F3252D" w:rsidRPr="00D15956">
        <w:rPr>
          <w:rFonts w:ascii="Arial" w:hAnsi="Arial" w:cs="Arial"/>
        </w:rPr>
        <w:t>LR</w:t>
      </w:r>
      <w:r w:rsidR="00DB0A50" w:rsidRPr="00D15956">
        <w:rPr>
          <w:rFonts w:ascii="Arial" w:hAnsi="Arial" w:cs="Arial"/>
        </w:rPr>
        <w:t> </w:t>
      </w:r>
      <w:r w:rsidR="00F3252D" w:rsidRPr="00D15956">
        <w:rPr>
          <w:rFonts w:ascii="Arial" w:hAnsi="Arial" w:cs="Arial"/>
        </w:rPr>
        <w:t>8</w:t>
      </w:r>
      <w:r w:rsidR="00DB0A50" w:rsidRPr="00D15956">
        <w:rPr>
          <w:rFonts w:ascii="Arial" w:hAnsi="Arial" w:cs="Arial"/>
        </w:rPr>
        <w:t> </w:t>
      </w:r>
      <w:r w:rsidR="00F3252D" w:rsidRPr="00D15956">
        <w:rPr>
          <w:rFonts w:ascii="Arial" w:hAnsi="Arial" w:cs="Arial"/>
        </w:rPr>
        <w:t>CP 107</w:t>
      </w:r>
      <w:r w:rsidR="008D249F" w:rsidRPr="00D15956">
        <w:rPr>
          <w:rFonts w:ascii="Arial" w:hAnsi="Arial" w:cs="Arial"/>
        </w:rPr>
        <w:t xml:space="preserve"> </w:t>
      </w:r>
      <w:r w:rsidR="007A43BA" w:rsidRPr="00D15956">
        <w:rPr>
          <w:rFonts w:ascii="Arial" w:hAnsi="Arial" w:cs="Arial"/>
        </w:rPr>
        <w:t xml:space="preserve">in which </w:t>
      </w:r>
      <w:r w:rsidR="008D249F" w:rsidRPr="00D15956">
        <w:rPr>
          <w:rFonts w:ascii="Arial" w:hAnsi="Arial" w:cs="Arial"/>
        </w:rPr>
        <w:t xml:space="preserve">it was </w:t>
      </w:r>
      <w:r w:rsidR="007B00D0" w:rsidRPr="00D15956">
        <w:rPr>
          <w:rFonts w:ascii="Arial" w:hAnsi="Arial" w:cs="Arial"/>
        </w:rPr>
        <w:t>defined thus</w:t>
      </w:r>
      <w:r w:rsidR="0092699A" w:rsidRPr="00D15956">
        <w:rPr>
          <w:rFonts w:ascii="Arial" w:hAnsi="Arial" w:cs="Arial"/>
        </w:rPr>
        <w:t>:</w:t>
      </w:r>
    </w:p>
    <w:p w14:paraId="2C109E7F" w14:textId="138D6645" w:rsidR="007B00D0" w:rsidRPr="00FB53EB" w:rsidRDefault="007B00D0" w:rsidP="007F7B50">
      <w:pPr>
        <w:pStyle w:val="ListParagraph"/>
        <w:spacing w:line="240" w:lineRule="auto"/>
        <w:ind w:left="1440" w:right="379" w:firstLine="0"/>
        <w:contextualSpacing w:val="0"/>
        <w:rPr>
          <w:rFonts w:ascii="Arial" w:hAnsi="Arial" w:cs="Arial"/>
          <w:sz w:val="22"/>
          <w:szCs w:val="22"/>
        </w:rPr>
      </w:pPr>
      <w:r w:rsidRPr="00FB53EB">
        <w:rPr>
          <w:rFonts w:ascii="Arial" w:hAnsi="Arial" w:cs="Arial"/>
          <w:sz w:val="22"/>
          <w:szCs w:val="22"/>
        </w:rPr>
        <w:t>‘</w:t>
      </w:r>
      <w:r w:rsidR="007F7B50" w:rsidRPr="00FB53EB">
        <w:rPr>
          <w:rFonts w:ascii="Arial" w:hAnsi="Arial" w:cs="Arial"/>
          <w:sz w:val="22"/>
          <w:szCs w:val="22"/>
        </w:rPr>
        <w:t xml:space="preserve">… </w:t>
      </w:r>
      <w:r w:rsidR="002F5D13" w:rsidRPr="00FB53EB">
        <w:rPr>
          <w:rFonts w:ascii="Arial" w:hAnsi="Arial" w:cs="Arial"/>
          <w:sz w:val="22"/>
          <w:szCs w:val="22"/>
        </w:rPr>
        <w:t xml:space="preserve">every fact which it would be necessary for the plaintiff to prove, if traversed, in order to support his right to the judgment of the Court. </w:t>
      </w:r>
      <w:r w:rsidR="009D36F8" w:rsidRPr="00FB53EB">
        <w:rPr>
          <w:rFonts w:ascii="Arial" w:hAnsi="Arial" w:cs="Arial"/>
          <w:sz w:val="22"/>
          <w:szCs w:val="22"/>
        </w:rPr>
        <w:t xml:space="preserve"> </w:t>
      </w:r>
      <w:r w:rsidR="002F5D13" w:rsidRPr="00FB53EB">
        <w:rPr>
          <w:rFonts w:ascii="Arial" w:hAnsi="Arial" w:cs="Arial"/>
          <w:sz w:val="22"/>
          <w:szCs w:val="22"/>
        </w:rPr>
        <w:t>It doe</w:t>
      </w:r>
      <w:r w:rsidR="009D36F8" w:rsidRPr="00FB53EB">
        <w:rPr>
          <w:rFonts w:ascii="Arial" w:hAnsi="Arial" w:cs="Arial"/>
          <w:sz w:val="22"/>
          <w:szCs w:val="22"/>
        </w:rPr>
        <w:t>s</w:t>
      </w:r>
      <w:r w:rsidR="002F5D13" w:rsidRPr="00FB53EB">
        <w:rPr>
          <w:rFonts w:ascii="Arial" w:hAnsi="Arial" w:cs="Arial"/>
          <w:sz w:val="22"/>
          <w:szCs w:val="22"/>
        </w:rPr>
        <w:t>, not comprise every piece of evidence which is necessary to prove each fact, but every fact which is necessary to be proved.</w:t>
      </w:r>
      <w:r w:rsidR="007F7B50" w:rsidRPr="00FB53EB">
        <w:rPr>
          <w:rFonts w:ascii="Arial" w:hAnsi="Arial" w:cs="Arial"/>
          <w:sz w:val="22"/>
          <w:szCs w:val="22"/>
        </w:rPr>
        <w:t>’</w:t>
      </w:r>
    </w:p>
    <w:p w14:paraId="1E4FF35F" w14:textId="3A9F69F4" w:rsidR="0009038C" w:rsidRPr="00D15956" w:rsidRDefault="00D15956" w:rsidP="00D15956">
      <w:pPr>
        <w:spacing w:line="480" w:lineRule="auto"/>
        <w:ind w:left="720" w:right="28"/>
        <w:rPr>
          <w:rFonts w:ascii="Arial" w:hAnsi="Arial" w:cs="Arial"/>
          <w:sz w:val="22"/>
          <w:szCs w:val="22"/>
        </w:rPr>
      </w:pPr>
      <w:r w:rsidRPr="002F3ED4">
        <w:rPr>
          <w:rFonts w:ascii="Arial" w:hAnsi="Arial" w:cs="Arial"/>
        </w:rPr>
        <w:t>[24].</w:t>
      </w:r>
      <w:r w:rsidRPr="002F3ED4">
        <w:rPr>
          <w:rFonts w:ascii="Arial" w:hAnsi="Arial" w:cs="Arial"/>
        </w:rPr>
        <w:tab/>
      </w:r>
      <w:r w:rsidR="00181944" w:rsidRPr="00D15956">
        <w:rPr>
          <w:rFonts w:ascii="Arial" w:hAnsi="Arial" w:cs="Arial"/>
        </w:rPr>
        <w:t>Quite recently</w:t>
      </w:r>
      <w:r w:rsidR="0009038C" w:rsidRPr="00D15956">
        <w:rPr>
          <w:rFonts w:ascii="Arial" w:hAnsi="Arial" w:cs="Arial"/>
        </w:rPr>
        <w:t xml:space="preserve">, the Constitutional Court </w:t>
      </w:r>
      <w:r w:rsidR="00B26A57" w:rsidRPr="00D15956">
        <w:rPr>
          <w:rFonts w:ascii="Arial" w:hAnsi="Arial" w:cs="Arial"/>
        </w:rPr>
        <w:t>(</w:t>
      </w:r>
      <w:r w:rsidR="00B26A57" w:rsidRPr="00D15956">
        <w:rPr>
          <w:rFonts w:ascii="Arial" w:hAnsi="Arial" w:cs="Arial"/>
          <w:b/>
          <w:bCs/>
        </w:rPr>
        <w:t>CC</w:t>
      </w:r>
      <w:r w:rsidR="00B26A57" w:rsidRPr="00D15956">
        <w:rPr>
          <w:rFonts w:ascii="Arial" w:hAnsi="Arial" w:cs="Arial"/>
        </w:rPr>
        <w:t xml:space="preserve">) </w:t>
      </w:r>
      <w:r w:rsidR="0009038C" w:rsidRPr="00D15956">
        <w:rPr>
          <w:rFonts w:ascii="Arial" w:hAnsi="Arial" w:cs="Arial"/>
        </w:rPr>
        <w:t xml:space="preserve">also approved of this definition in </w:t>
      </w:r>
      <w:r w:rsidR="0009038C" w:rsidRPr="00D15956">
        <w:rPr>
          <w:rFonts w:ascii="Arial" w:hAnsi="Arial" w:cs="Arial"/>
          <w:b/>
          <w:bCs/>
          <w:i/>
          <w:iCs/>
        </w:rPr>
        <w:t>Ascendis Animal Health (Pty) Ltd v Merck Sharp Dohme Corporation and Others</w:t>
      </w:r>
      <w:r w:rsidR="00E12C37" w:rsidRPr="00D15956">
        <w:rPr>
          <w:rFonts w:ascii="Arial" w:hAnsi="Arial" w:cs="Arial"/>
        </w:rPr>
        <w:t>.</w:t>
      </w:r>
      <w:r w:rsidR="00456DBF" w:rsidRPr="00670683">
        <w:rPr>
          <w:rStyle w:val="FootnoteReference"/>
          <w:rFonts w:ascii="Arial" w:hAnsi="Arial" w:cs="Arial"/>
        </w:rPr>
        <w:footnoteReference w:id="25"/>
      </w:r>
      <w:r w:rsidR="002924D5" w:rsidRPr="00D15956">
        <w:rPr>
          <w:rFonts w:ascii="Arial" w:hAnsi="Arial" w:cs="Arial"/>
        </w:rPr>
        <w:t xml:space="preserve">  After referring to the definition </w:t>
      </w:r>
      <w:r w:rsidR="00D80FDA" w:rsidRPr="00D15956">
        <w:rPr>
          <w:rFonts w:ascii="Arial" w:hAnsi="Arial" w:cs="Arial"/>
        </w:rPr>
        <w:t>given to the expression ‘</w:t>
      </w:r>
      <w:r w:rsidR="00110B23" w:rsidRPr="00D15956">
        <w:rPr>
          <w:rFonts w:ascii="Arial" w:hAnsi="Arial" w:cs="Arial"/>
          <w:i/>
        </w:rPr>
        <w:t>c</w:t>
      </w:r>
      <w:r w:rsidR="00D80FDA" w:rsidRPr="00D15956">
        <w:rPr>
          <w:rFonts w:ascii="Arial" w:hAnsi="Arial" w:cs="Arial"/>
          <w:i/>
        </w:rPr>
        <w:t>ause of action</w:t>
      </w:r>
      <w:r w:rsidR="00D80FDA" w:rsidRPr="00D15956">
        <w:rPr>
          <w:rFonts w:ascii="Arial" w:hAnsi="Arial" w:cs="Arial"/>
        </w:rPr>
        <w:t>’</w:t>
      </w:r>
      <w:r w:rsidR="00292B31" w:rsidRPr="00D15956">
        <w:rPr>
          <w:rFonts w:ascii="Arial" w:hAnsi="Arial" w:cs="Arial"/>
          <w:sz w:val="22"/>
          <w:szCs w:val="22"/>
        </w:rPr>
        <w:t>,</w:t>
      </w:r>
      <w:r w:rsidR="00B6261E" w:rsidRPr="00D15956">
        <w:rPr>
          <w:rFonts w:ascii="Arial" w:hAnsi="Arial" w:cs="Arial"/>
          <w:sz w:val="22"/>
          <w:szCs w:val="22"/>
        </w:rPr>
        <w:t xml:space="preserve"> </w:t>
      </w:r>
      <w:r w:rsidR="00292B31" w:rsidRPr="00D15956">
        <w:rPr>
          <w:rFonts w:ascii="Arial" w:hAnsi="Arial" w:cs="Arial"/>
          <w:szCs w:val="22"/>
        </w:rPr>
        <w:t xml:space="preserve">as </w:t>
      </w:r>
      <w:r w:rsidR="00B6261E" w:rsidRPr="00D15956">
        <w:rPr>
          <w:rFonts w:ascii="Arial" w:hAnsi="Arial" w:cs="Arial"/>
          <w:szCs w:val="22"/>
        </w:rPr>
        <w:t xml:space="preserve">approved of in </w:t>
      </w:r>
      <w:r w:rsidR="00B6261E" w:rsidRPr="00D15956">
        <w:rPr>
          <w:rFonts w:ascii="Arial" w:hAnsi="Arial" w:cs="Arial"/>
          <w:b/>
          <w:i/>
          <w:szCs w:val="22"/>
        </w:rPr>
        <w:t>McKenzie</w:t>
      </w:r>
      <w:r w:rsidR="00292B31" w:rsidRPr="00D15956">
        <w:rPr>
          <w:rFonts w:ascii="Arial" w:hAnsi="Arial" w:cs="Arial"/>
          <w:bCs/>
          <w:iCs/>
          <w:szCs w:val="22"/>
        </w:rPr>
        <w:t>,</w:t>
      </w:r>
      <w:r w:rsidR="00631764" w:rsidRPr="00D15956">
        <w:rPr>
          <w:rFonts w:ascii="Arial" w:hAnsi="Arial" w:cs="Arial"/>
          <w:bCs/>
          <w:iCs/>
          <w:szCs w:val="22"/>
        </w:rPr>
        <w:t xml:space="preserve"> </w:t>
      </w:r>
      <w:r w:rsidR="00D55E5E" w:rsidRPr="00D15956">
        <w:rPr>
          <w:rFonts w:ascii="Arial" w:hAnsi="Arial" w:cs="Arial"/>
          <w:bCs/>
          <w:iCs/>
          <w:szCs w:val="22"/>
        </w:rPr>
        <w:t xml:space="preserve">the </w:t>
      </w:r>
      <w:r w:rsidR="00A965B3" w:rsidRPr="00D15956">
        <w:rPr>
          <w:rFonts w:ascii="Arial" w:hAnsi="Arial" w:cs="Arial"/>
          <w:bCs/>
          <w:iCs/>
          <w:szCs w:val="22"/>
        </w:rPr>
        <w:t>C</w:t>
      </w:r>
      <w:r w:rsidR="00B26A57" w:rsidRPr="00D15956">
        <w:rPr>
          <w:rFonts w:ascii="Arial" w:hAnsi="Arial" w:cs="Arial"/>
          <w:bCs/>
          <w:iCs/>
          <w:szCs w:val="22"/>
        </w:rPr>
        <w:t>C</w:t>
      </w:r>
      <w:r w:rsidR="00D55E5E" w:rsidRPr="00D15956">
        <w:rPr>
          <w:rFonts w:ascii="Arial" w:hAnsi="Arial" w:cs="Arial"/>
          <w:bCs/>
          <w:iCs/>
          <w:szCs w:val="22"/>
        </w:rPr>
        <w:t xml:space="preserve"> </w:t>
      </w:r>
      <w:r w:rsidR="00A40CD5" w:rsidRPr="00D15956">
        <w:rPr>
          <w:rFonts w:ascii="Arial" w:hAnsi="Arial" w:cs="Arial"/>
          <w:bCs/>
          <w:iCs/>
          <w:szCs w:val="22"/>
        </w:rPr>
        <w:t>stated</w:t>
      </w:r>
      <w:r w:rsidR="000976CB" w:rsidRPr="00D15956">
        <w:rPr>
          <w:rFonts w:ascii="Arial" w:hAnsi="Arial" w:cs="Arial"/>
          <w:bCs/>
          <w:iCs/>
          <w:szCs w:val="22"/>
        </w:rPr>
        <w:t xml:space="preserve"> this</w:t>
      </w:r>
      <w:r w:rsidR="00B97928" w:rsidRPr="00D15956">
        <w:rPr>
          <w:rFonts w:ascii="Arial" w:hAnsi="Arial" w:cs="Arial"/>
          <w:bCs/>
          <w:iCs/>
          <w:szCs w:val="22"/>
        </w:rPr>
        <w:t xml:space="preserve"> (footnotes omitted)</w:t>
      </w:r>
      <w:r w:rsidR="000976CB" w:rsidRPr="00D15956">
        <w:rPr>
          <w:rFonts w:ascii="Arial" w:hAnsi="Arial" w:cs="Arial"/>
          <w:bCs/>
          <w:iCs/>
          <w:szCs w:val="22"/>
        </w:rPr>
        <w:t>:</w:t>
      </w:r>
    </w:p>
    <w:p w14:paraId="75F6F446" w14:textId="1E97F0A8" w:rsidR="00217A22" w:rsidRPr="002F3ED4" w:rsidRDefault="008736F6" w:rsidP="00E74045">
      <w:pPr>
        <w:pStyle w:val="ListParagraph"/>
        <w:spacing w:before="120" w:line="240" w:lineRule="auto"/>
        <w:ind w:left="1440" w:right="380" w:firstLine="0"/>
        <w:contextualSpacing w:val="0"/>
        <w:rPr>
          <w:rFonts w:ascii="Arial" w:hAnsi="Arial" w:cs="Arial"/>
          <w:sz w:val="22"/>
          <w:szCs w:val="22"/>
        </w:rPr>
      </w:pPr>
      <w:r w:rsidRPr="002F3ED4">
        <w:rPr>
          <w:rFonts w:ascii="Arial" w:hAnsi="Arial" w:cs="Arial"/>
          <w:sz w:val="22"/>
          <w:szCs w:val="22"/>
        </w:rPr>
        <w:t>‘</w:t>
      </w:r>
      <w:r w:rsidR="00217A22" w:rsidRPr="002F3ED4">
        <w:rPr>
          <w:rFonts w:ascii="Arial" w:hAnsi="Arial" w:cs="Arial"/>
          <w:sz w:val="22"/>
          <w:szCs w:val="22"/>
        </w:rPr>
        <w:t>[51]</w:t>
      </w:r>
      <w:r w:rsidR="00EA5435">
        <w:rPr>
          <w:rFonts w:ascii="Arial" w:hAnsi="Arial" w:cs="Arial"/>
          <w:sz w:val="22"/>
          <w:szCs w:val="22"/>
        </w:rPr>
        <w:t> </w:t>
      </w:r>
      <w:r w:rsidR="00217A22" w:rsidRPr="002F3ED4">
        <w:rPr>
          <w:rFonts w:ascii="Arial" w:hAnsi="Arial" w:cs="Arial"/>
          <w:sz w:val="22"/>
          <w:szCs w:val="22"/>
        </w:rPr>
        <w:t xml:space="preserve">Over a decade after </w:t>
      </w:r>
      <w:r w:rsidR="00217A22" w:rsidRPr="002F3ED4">
        <w:rPr>
          <w:rFonts w:ascii="Arial" w:hAnsi="Arial" w:cs="Arial"/>
          <w:i/>
          <w:iCs/>
          <w:sz w:val="22"/>
          <w:szCs w:val="22"/>
        </w:rPr>
        <w:t>McKenzie</w:t>
      </w:r>
      <w:r w:rsidR="00217A22" w:rsidRPr="002F3ED4">
        <w:rPr>
          <w:rFonts w:ascii="Arial" w:hAnsi="Arial" w:cs="Arial"/>
          <w:sz w:val="22"/>
          <w:szCs w:val="22"/>
        </w:rPr>
        <w:t xml:space="preserve">, the court in </w:t>
      </w:r>
      <w:r w:rsidR="00217A22" w:rsidRPr="002F3ED4">
        <w:rPr>
          <w:rFonts w:ascii="Arial" w:hAnsi="Arial" w:cs="Arial"/>
          <w:i/>
          <w:iCs/>
          <w:sz w:val="22"/>
          <w:szCs w:val="22"/>
        </w:rPr>
        <w:t>Abrahamse &amp; Sons</w:t>
      </w:r>
      <w:r w:rsidR="00217A22" w:rsidRPr="002F3ED4">
        <w:rPr>
          <w:rFonts w:ascii="Arial" w:hAnsi="Arial" w:cs="Arial"/>
          <w:sz w:val="22"/>
          <w:szCs w:val="22"/>
        </w:rPr>
        <w:t xml:space="preserve"> </w:t>
      </w:r>
      <w:r w:rsidR="009A6867" w:rsidRPr="002F3ED4">
        <w:rPr>
          <w:rFonts w:ascii="Arial" w:hAnsi="Arial" w:cs="Arial"/>
          <w:sz w:val="22"/>
          <w:szCs w:val="22"/>
        </w:rPr>
        <w:t>*</w:t>
      </w:r>
      <w:r w:rsidR="005A58AE" w:rsidRPr="002F3ED4">
        <w:rPr>
          <w:rFonts w:ascii="Arial" w:hAnsi="Arial" w:cs="Arial"/>
          <w:sz w:val="22"/>
          <w:szCs w:val="22"/>
        </w:rPr>
        <w:t>[</w:t>
      </w:r>
      <w:r w:rsidR="00FE2B5C" w:rsidRPr="002F3ED4">
        <w:rPr>
          <w:rFonts w:ascii="Arial" w:hAnsi="Arial" w:cs="Arial"/>
          <w:b/>
          <w:bCs/>
          <w:sz w:val="22"/>
          <w:szCs w:val="22"/>
        </w:rPr>
        <w:t>Abrahamse &amp; Sons v SA Railways &amp; Harbours 1933 CPD 626 at 637</w:t>
      </w:r>
      <w:r w:rsidR="00DE2E39" w:rsidRPr="002F3ED4">
        <w:rPr>
          <w:rFonts w:ascii="Arial" w:hAnsi="Arial" w:cs="Arial"/>
          <w:sz w:val="22"/>
          <w:szCs w:val="22"/>
        </w:rPr>
        <w:t xml:space="preserve">] </w:t>
      </w:r>
      <w:r w:rsidR="00217A22" w:rsidRPr="002F3ED4">
        <w:rPr>
          <w:rFonts w:ascii="Arial" w:hAnsi="Arial" w:cs="Arial"/>
          <w:sz w:val="22"/>
          <w:szCs w:val="22"/>
        </w:rPr>
        <w:t>explicated this phrase as follows:</w:t>
      </w:r>
    </w:p>
    <w:p w14:paraId="6B3F814A" w14:textId="182C1CF3" w:rsidR="00217A22" w:rsidRPr="002F3ED4" w:rsidRDefault="00F14FE0" w:rsidP="00E74045">
      <w:pPr>
        <w:pStyle w:val="ListParagraph"/>
        <w:spacing w:before="120" w:line="240" w:lineRule="auto"/>
        <w:ind w:left="2160" w:right="380" w:firstLine="0"/>
        <w:contextualSpacing w:val="0"/>
        <w:rPr>
          <w:rFonts w:ascii="Arial" w:hAnsi="Arial" w:cs="Arial"/>
          <w:sz w:val="22"/>
          <w:szCs w:val="22"/>
        </w:rPr>
      </w:pPr>
      <w:r w:rsidRPr="002F3ED4">
        <w:rPr>
          <w:rFonts w:ascii="Arial" w:hAnsi="Arial" w:cs="Arial"/>
          <w:sz w:val="22"/>
          <w:szCs w:val="22"/>
        </w:rPr>
        <w:t>“</w:t>
      </w:r>
      <w:r w:rsidR="00217A22" w:rsidRPr="002F3ED4">
        <w:rPr>
          <w:rFonts w:ascii="Arial" w:hAnsi="Arial" w:cs="Arial"/>
          <w:sz w:val="22"/>
          <w:szCs w:val="22"/>
        </w:rPr>
        <w:t xml:space="preserve">The proper legal meaning of the expression cause of action is the entire set of facts which give rise to an enforceable claim and includes every fact which is material to be proved to entitle a plaintiff to succeed in his claim. </w:t>
      </w:r>
      <w:r w:rsidR="00FD74EC" w:rsidRPr="002F3ED4">
        <w:rPr>
          <w:rFonts w:ascii="Arial" w:hAnsi="Arial" w:cs="Arial"/>
          <w:sz w:val="22"/>
          <w:szCs w:val="22"/>
        </w:rPr>
        <w:t xml:space="preserve"> </w:t>
      </w:r>
      <w:r w:rsidR="00217A22" w:rsidRPr="002F3ED4">
        <w:rPr>
          <w:rFonts w:ascii="Arial" w:hAnsi="Arial" w:cs="Arial"/>
          <w:b/>
          <w:bCs/>
          <w:sz w:val="22"/>
          <w:szCs w:val="22"/>
        </w:rPr>
        <w:t>It includes all that a plaintiff must set out in his declaration in order to disclose a cause of action</w:t>
      </w:r>
      <w:r w:rsidR="00217A22" w:rsidRPr="002F3ED4">
        <w:rPr>
          <w:rFonts w:ascii="Arial" w:hAnsi="Arial" w:cs="Arial"/>
          <w:sz w:val="22"/>
          <w:szCs w:val="22"/>
        </w:rPr>
        <w:t>.</w:t>
      </w:r>
      <w:r w:rsidRPr="002F3ED4">
        <w:rPr>
          <w:rFonts w:ascii="Arial" w:hAnsi="Arial" w:cs="Arial"/>
          <w:sz w:val="22"/>
          <w:szCs w:val="22"/>
        </w:rPr>
        <w:t>”</w:t>
      </w:r>
      <w:r w:rsidR="00217A22" w:rsidRPr="002F3ED4">
        <w:rPr>
          <w:rFonts w:ascii="Arial" w:hAnsi="Arial" w:cs="Arial"/>
          <w:sz w:val="22"/>
          <w:szCs w:val="22"/>
        </w:rPr>
        <w:t xml:space="preserve"> </w:t>
      </w:r>
    </w:p>
    <w:p w14:paraId="5AF7F176" w14:textId="18873D9D" w:rsidR="00217A22" w:rsidRPr="002F3ED4" w:rsidRDefault="00217A22" w:rsidP="00E74045">
      <w:pPr>
        <w:pStyle w:val="ListParagraph"/>
        <w:spacing w:before="120" w:line="240" w:lineRule="auto"/>
        <w:ind w:left="1440" w:right="380" w:firstLine="0"/>
        <w:contextualSpacing w:val="0"/>
        <w:rPr>
          <w:rFonts w:ascii="Arial" w:hAnsi="Arial" w:cs="Arial"/>
          <w:sz w:val="22"/>
          <w:szCs w:val="22"/>
        </w:rPr>
      </w:pPr>
      <w:r w:rsidRPr="002F3ED4">
        <w:rPr>
          <w:rFonts w:ascii="Arial" w:hAnsi="Arial" w:cs="Arial"/>
          <w:sz w:val="22"/>
          <w:szCs w:val="22"/>
        </w:rPr>
        <w:t>[52</w:t>
      </w:r>
      <w:r w:rsidR="00EA5435">
        <w:rPr>
          <w:rFonts w:ascii="Arial" w:hAnsi="Arial" w:cs="Arial"/>
          <w:sz w:val="22"/>
          <w:szCs w:val="22"/>
        </w:rPr>
        <w:t>] </w:t>
      </w:r>
      <w:r w:rsidRPr="002F3ED4">
        <w:rPr>
          <w:rFonts w:ascii="Arial" w:hAnsi="Arial" w:cs="Arial"/>
          <w:sz w:val="22"/>
          <w:szCs w:val="22"/>
        </w:rPr>
        <w:t xml:space="preserve">Of significance is the fundamental distinction that the court in </w:t>
      </w:r>
      <w:r w:rsidRPr="002F3ED4">
        <w:rPr>
          <w:rFonts w:ascii="Arial" w:hAnsi="Arial" w:cs="Arial"/>
          <w:i/>
          <w:iCs/>
          <w:sz w:val="22"/>
          <w:szCs w:val="22"/>
        </w:rPr>
        <w:t>McKenzie</w:t>
      </w:r>
      <w:r w:rsidRPr="002F3ED4">
        <w:rPr>
          <w:rFonts w:ascii="Arial" w:hAnsi="Arial" w:cs="Arial"/>
          <w:sz w:val="22"/>
          <w:szCs w:val="22"/>
        </w:rPr>
        <w:t xml:space="preserve"> drew between the material facts which the applicant is required to prove in order to establish his or her case (</w:t>
      </w:r>
      <w:r w:rsidRPr="002F3ED4">
        <w:rPr>
          <w:rFonts w:ascii="Arial" w:hAnsi="Arial" w:cs="Arial"/>
          <w:i/>
          <w:iCs/>
          <w:sz w:val="22"/>
          <w:szCs w:val="22"/>
        </w:rPr>
        <w:t>facta probanda</w:t>
      </w:r>
      <w:r w:rsidRPr="002F3ED4">
        <w:rPr>
          <w:rFonts w:ascii="Arial" w:hAnsi="Arial" w:cs="Arial"/>
          <w:sz w:val="22"/>
          <w:szCs w:val="22"/>
        </w:rPr>
        <w:t>), and the evidence which the plaintiff must advance in order to establish those material facts (</w:t>
      </w:r>
      <w:r w:rsidRPr="002F3ED4">
        <w:rPr>
          <w:rFonts w:ascii="Arial" w:hAnsi="Arial" w:cs="Arial"/>
          <w:i/>
          <w:iCs/>
          <w:sz w:val="22"/>
          <w:szCs w:val="22"/>
        </w:rPr>
        <w:t>facta probantia</w:t>
      </w:r>
      <w:r w:rsidRPr="002F3ED4">
        <w:rPr>
          <w:rFonts w:ascii="Arial" w:hAnsi="Arial" w:cs="Arial"/>
          <w:sz w:val="22"/>
          <w:szCs w:val="22"/>
        </w:rPr>
        <w:t xml:space="preserve">). </w:t>
      </w:r>
      <w:r w:rsidR="00AA535C" w:rsidRPr="002F3ED4">
        <w:rPr>
          <w:rFonts w:ascii="Arial" w:hAnsi="Arial" w:cs="Arial"/>
          <w:sz w:val="22"/>
          <w:szCs w:val="22"/>
        </w:rPr>
        <w:t xml:space="preserve"> </w:t>
      </w:r>
      <w:r w:rsidRPr="002F3ED4">
        <w:rPr>
          <w:rFonts w:ascii="Arial" w:hAnsi="Arial" w:cs="Arial"/>
          <w:sz w:val="22"/>
          <w:szCs w:val="22"/>
        </w:rPr>
        <w:t xml:space="preserve">What this amounts to is that the 'cause of action' in a particular case consists of the </w:t>
      </w:r>
      <w:r w:rsidRPr="002F3ED4">
        <w:rPr>
          <w:rFonts w:ascii="Arial" w:hAnsi="Arial" w:cs="Arial"/>
          <w:i/>
          <w:iCs/>
          <w:sz w:val="22"/>
          <w:szCs w:val="22"/>
        </w:rPr>
        <w:t>facta probanda</w:t>
      </w:r>
      <w:r w:rsidRPr="002F3ED4">
        <w:rPr>
          <w:rFonts w:ascii="Arial" w:hAnsi="Arial" w:cs="Arial"/>
          <w:sz w:val="22"/>
          <w:szCs w:val="22"/>
        </w:rPr>
        <w:t xml:space="preserve"> as opposed to </w:t>
      </w:r>
      <w:r w:rsidRPr="002F3ED4">
        <w:rPr>
          <w:rFonts w:ascii="Arial" w:hAnsi="Arial" w:cs="Arial"/>
          <w:sz w:val="22"/>
          <w:szCs w:val="22"/>
        </w:rPr>
        <w:lastRenderedPageBreak/>
        <w:t xml:space="preserve">the </w:t>
      </w:r>
      <w:r w:rsidRPr="002F3ED4">
        <w:rPr>
          <w:rFonts w:ascii="Arial" w:hAnsi="Arial" w:cs="Arial"/>
          <w:i/>
          <w:iCs/>
          <w:sz w:val="22"/>
          <w:szCs w:val="22"/>
        </w:rPr>
        <w:t>facta probantia</w:t>
      </w:r>
      <w:r w:rsidRPr="002F3ED4">
        <w:rPr>
          <w:rFonts w:ascii="Arial" w:hAnsi="Arial" w:cs="Arial"/>
          <w:sz w:val="22"/>
          <w:szCs w:val="22"/>
        </w:rPr>
        <w:t xml:space="preserve">. </w:t>
      </w:r>
      <w:r w:rsidR="00EF0CD4" w:rsidRPr="002F3ED4">
        <w:rPr>
          <w:rFonts w:ascii="Arial" w:hAnsi="Arial" w:cs="Arial"/>
          <w:sz w:val="22"/>
          <w:szCs w:val="22"/>
        </w:rPr>
        <w:t xml:space="preserve"> </w:t>
      </w:r>
      <w:r w:rsidRPr="002F3ED4">
        <w:rPr>
          <w:rFonts w:ascii="Arial" w:hAnsi="Arial" w:cs="Arial"/>
          <w:sz w:val="22"/>
          <w:szCs w:val="22"/>
        </w:rPr>
        <w:t xml:space="preserve">In simple terms, the court in </w:t>
      </w:r>
      <w:r w:rsidRPr="002F3ED4">
        <w:rPr>
          <w:rFonts w:ascii="Arial" w:hAnsi="Arial" w:cs="Arial"/>
          <w:i/>
          <w:iCs/>
          <w:sz w:val="22"/>
          <w:szCs w:val="22"/>
        </w:rPr>
        <w:t>McKenzie</w:t>
      </w:r>
      <w:r w:rsidRPr="002F3ED4">
        <w:rPr>
          <w:rFonts w:ascii="Arial" w:hAnsi="Arial" w:cs="Arial"/>
          <w:sz w:val="22"/>
          <w:szCs w:val="22"/>
        </w:rPr>
        <w:t xml:space="preserve"> endorses the view that the central basic facts of the case are not to be confused with the various items of evidence required to prove those facts.</w:t>
      </w:r>
    </w:p>
    <w:p w14:paraId="21012F68" w14:textId="1BFF8395" w:rsidR="008736F6" w:rsidRPr="002F3ED4" w:rsidRDefault="00217A22" w:rsidP="005F0F1D">
      <w:pPr>
        <w:pStyle w:val="ListParagraph"/>
        <w:spacing w:before="120" w:line="240" w:lineRule="auto"/>
        <w:ind w:left="1440" w:right="380" w:firstLine="0"/>
        <w:contextualSpacing w:val="0"/>
        <w:rPr>
          <w:rFonts w:ascii="Arial" w:hAnsi="Arial" w:cs="Arial"/>
          <w:sz w:val="22"/>
          <w:szCs w:val="22"/>
        </w:rPr>
      </w:pPr>
      <w:r w:rsidRPr="002F3ED4">
        <w:rPr>
          <w:rFonts w:ascii="Arial" w:hAnsi="Arial" w:cs="Arial"/>
          <w:sz w:val="22"/>
          <w:szCs w:val="22"/>
        </w:rPr>
        <w:t>[53]</w:t>
      </w:r>
      <w:r w:rsidR="00EA5435">
        <w:rPr>
          <w:rFonts w:ascii="Arial" w:hAnsi="Arial" w:cs="Arial"/>
          <w:sz w:val="22"/>
          <w:szCs w:val="22"/>
        </w:rPr>
        <w:t> </w:t>
      </w:r>
      <w:r w:rsidRPr="002F3ED4">
        <w:rPr>
          <w:rFonts w:ascii="Arial" w:hAnsi="Arial" w:cs="Arial"/>
          <w:sz w:val="22"/>
          <w:szCs w:val="22"/>
        </w:rPr>
        <w:t xml:space="preserve">More recently, Corbett JA cited the above cases with approval. </w:t>
      </w:r>
      <w:r w:rsidR="00EF0CD4" w:rsidRPr="002F3ED4">
        <w:rPr>
          <w:rFonts w:ascii="Arial" w:hAnsi="Arial" w:cs="Arial"/>
          <w:sz w:val="22"/>
          <w:szCs w:val="22"/>
        </w:rPr>
        <w:t xml:space="preserve"> </w:t>
      </w:r>
      <w:r w:rsidRPr="002F3ED4">
        <w:rPr>
          <w:rFonts w:ascii="Arial" w:hAnsi="Arial" w:cs="Arial"/>
          <w:sz w:val="22"/>
          <w:szCs w:val="22"/>
        </w:rPr>
        <w:t xml:space="preserve">To this end, cause of action means every fact that needs to be proved in order to support a litigant's right to a judgment. </w:t>
      </w:r>
      <w:r w:rsidR="00E74045" w:rsidRPr="002F3ED4">
        <w:rPr>
          <w:rFonts w:ascii="Arial" w:hAnsi="Arial" w:cs="Arial"/>
          <w:sz w:val="22"/>
          <w:szCs w:val="22"/>
        </w:rPr>
        <w:t xml:space="preserve"> </w:t>
      </w:r>
      <w:r w:rsidRPr="002F3ED4">
        <w:rPr>
          <w:rFonts w:ascii="Arial" w:hAnsi="Arial" w:cs="Arial"/>
          <w:sz w:val="22"/>
          <w:szCs w:val="22"/>
        </w:rPr>
        <w:t xml:space="preserve">It does not comprise every piece of evidence which is necessary to prove each fact, but every fact which is necessary to be proved.’ </w:t>
      </w:r>
    </w:p>
    <w:p w14:paraId="5F7ABC44" w14:textId="6C972802" w:rsidR="00B8579B" w:rsidRPr="002F3ED4" w:rsidRDefault="00B8579B" w:rsidP="005F0F1D">
      <w:pPr>
        <w:pStyle w:val="ListParagraph"/>
        <w:spacing w:before="120" w:line="240" w:lineRule="auto"/>
        <w:ind w:left="1440" w:right="380" w:firstLine="0"/>
        <w:contextualSpacing w:val="0"/>
        <w:rPr>
          <w:rFonts w:ascii="Arial" w:hAnsi="Arial" w:cs="Arial"/>
          <w:sz w:val="22"/>
          <w:szCs w:val="22"/>
        </w:rPr>
      </w:pPr>
      <w:r w:rsidRPr="002F3ED4">
        <w:rPr>
          <w:rFonts w:ascii="Arial" w:hAnsi="Arial" w:cs="Arial"/>
          <w:sz w:val="22"/>
          <w:szCs w:val="22"/>
        </w:rPr>
        <w:t>(Own emphasis</w:t>
      </w:r>
      <w:r w:rsidR="00DE2E39" w:rsidRPr="002F3ED4">
        <w:rPr>
          <w:rFonts w:ascii="Arial" w:hAnsi="Arial" w:cs="Arial"/>
          <w:sz w:val="22"/>
          <w:szCs w:val="22"/>
        </w:rPr>
        <w:t xml:space="preserve"> and *insertion</w:t>
      </w:r>
      <w:r w:rsidRPr="002F3ED4">
        <w:rPr>
          <w:rFonts w:ascii="Arial" w:hAnsi="Arial" w:cs="Arial"/>
          <w:sz w:val="22"/>
          <w:szCs w:val="22"/>
        </w:rPr>
        <w:t>).</w:t>
      </w:r>
    </w:p>
    <w:p w14:paraId="6AD28C0D" w14:textId="2CF59312" w:rsidR="000177A1" w:rsidRPr="00D15956" w:rsidRDefault="00D15956" w:rsidP="00D15956">
      <w:pPr>
        <w:spacing w:line="480" w:lineRule="auto"/>
        <w:ind w:left="720" w:right="28"/>
        <w:rPr>
          <w:rFonts w:ascii="Arial" w:hAnsi="Arial" w:cs="Arial"/>
          <w:i/>
          <w:iCs/>
        </w:rPr>
      </w:pPr>
      <w:r w:rsidRPr="002F3ED4">
        <w:rPr>
          <w:rFonts w:ascii="Arial" w:hAnsi="Arial" w:cs="Arial"/>
        </w:rPr>
        <w:t>[25].</w:t>
      </w:r>
      <w:r w:rsidRPr="002F3ED4">
        <w:rPr>
          <w:rFonts w:ascii="Arial" w:hAnsi="Arial" w:cs="Arial"/>
        </w:rPr>
        <w:tab/>
      </w:r>
      <w:r w:rsidR="008637D9" w:rsidRPr="00D15956">
        <w:rPr>
          <w:rFonts w:ascii="Arial" w:hAnsi="Arial" w:cs="Arial"/>
          <w:i/>
          <w:iCs/>
        </w:rPr>
        <w:t>Prima facie</w:t>
      </w:r>
      <w:r w:rsidR="00A10ED8" w:rsidRPr="00D15956">
        <w:rPr>
          <w:rFonts w:ascii="Arial" w:hAnsi="Arial" w:cs="Arial"/>
          <w:i/>
          <w:iCs/>
        </w:rPr>
        <w:t xml:space="preserve"> </w:t>
      </w:r>
      <w:r w:rsidR="002C163B" w:rsidRPr="00D15956">
        <w:rPr>
          <w:rFonts w:ascii="Arial" w:hAnsi="Arial" w:cs="Arial"/>
        </w:rPr>
        <w:t>a person claiming a remuneration, reward, fee or benefit for rendering a security service to another in terms of a contract</w:t>
      </w:r>
      <w:r w:rsidR="0034183C" w:rsidRPr="00D15956">
        <w:rPr>
          <w:rFonts w:ascii="Arial" w:hAnsi="Arial" w:cs="Arial"/>
        </w:rPr>
        <w:t xml:space="preserve"> will therefore have to allege and prove </w:t>
      </w:r>
      <w:r w:rsidR="00517034" w:rsidRPr="00D15956">
        <w:rPr>
          <w:rFonts w:ascii="Arial" w:hAnsi="Arial" w:cs="Arial"/>
        </w:rPr>
        <w:t xml:space="preserve">that it is registered in terms of s 20 (1) of the PSIRA </w:t>
      </w:r>
      <w:r w:rsidR="006B7497" w:rsidRPr="00D15956">
        <w:rPr>
          <w:rFonts w:ascii="Arial" w:hAnsi="Arial" w:cs="Arial"/>
        </w:rPr>
        <w:t xml:space="preserve">and that </w:t>
      </w:r>
      <w:r w:rsidR="00423C41" w:rsidRPr="00D15956">
        <w:rPr>
          <w:rFonts w:ascii="Arial" w:hAnsi="Arial" w:cs="Arial"/>
        </w:rPr>
        <w:t xml:space="preserve">he/she/it </w:t>
      </w:r>
      <w:r w:rsidR="009D1609" w:rsidRPr="00D15956">
        <w:rPr>
          <w:rFonts w:ascii="Arial" w:hAnsi="Arial" w:cs="Arial"/>
        </w:rPr>
        <w:t>is not prohibited from concl</w:t>
      </w:r>
      <w:r w:rsidR="00746080" w:rsidRPr="00D15956">
        <w:rPr>
          <w:rFonts w:ascii="Arial" w:hAnsi="Arial" w:cs="Arial"/>
        </w:rPr>
        <w:t xml:space="preserve">uding such a contract in terms </w:t>
      </w:r>
      <w:r w:rsidR="000775DD" w:rsidRPr="00D15956">
        <w:rPr>
          <w:rFonts w:ascii="Arial" w:hAnsi="Arial" w:cs="Arial"/>
        </w:rPr>
        <w:t xml:space="preserve">of that Act.  </w:t>
      </w:r>
    </w:p>
    <w:p w14:paraId="035B8D25" w14:textId="7D3AE871" w:rsidR="00AE61E6" w:rsidRPr="00D15956" w:rsidRDefault="00D15956" w:rsidP="00D15956">
      <w:pPr>
        <w:spacing w:line="480" w:lineRule="auto"/>
        <w:ind w:left="720" w:right="28"/>
        <w:rPr>
          <w:rFonts w:ascii="Arial" w:hAnsi="Arial" w:cs="Arial"/>
        </w:rPr>
      </w:pPr>
      <w:r w:rsidRPr="002F3ED4">
        <w:rPr>
          <w:rFonts w:ascii="Arial" w:hAnsi="Arial" w:cs="Arial"/>
        </w:rPr>
        <w:t>[26].</w:t>
      </w:r>
      <w:r w:rsidRPr="002F3ED4">
        <w:rPr>
          <w:rFonts w:ascii="Arial" w:hAnsi="Arial" w:cs="Arial"/>
        </w:rPr>
        <w:tab/>
      </w:r>
      <w:r w:rsidR="00FC5204" w:rsidRPr="00D15956">
        <w:rPr>
          <w:rFonts w:ascii="Arial" w:hAnsi="Arial" w:cs="Arial"/>
        </w:rPr>
        <w:t xml:space="preserve">In </w:t>
      </w:r>
      <w:r w:rsidR="00224B82" w:rsidRPr="00D15956">
        <w:rPr>
          <w:rFonts w:ascii="Arial" w:hAnsi="Arial" w:cs="Arial"/>
          <w:b/>
          <w:bCs/>
          <w:i/>
          <w:iCs/>
        </w:rPr>
        <w:t>Schierhout v Minister of Justice</w:t>
      </w:r>
      <w:r w:rsidR="00224B82" w:rsidRPr="002F3ED4">
        <w:rPr>
          <w:vertAlign w:val="superscript"/>
        </w:rPr>
        <w:footnoteReference w:id="26"/>
      </w:r>
      <w:r w:rsidR="00224B82" w:rsidRPr="00D15956">
        <w:rPr>
          <w:rFonts w:ascii="Arial" w:hAnsi="Arial" w:cs="Arial"/>
          <w:i/>
          <w:iCs/>
        </w:rPr>
        <w:t xml:space="preserve"> </w:t>
      </w:r>
      <w:r w:rsidR="000B160A" w:rsidRPr="00D15956">
        <w:rPr>
          <w:rFonts w:ascii="Arial" w:hAnsi="Arial" w:cs="Arial"/>
        </w:rPr>
        <w:t xml:space="preserve">the court </w:t>
      </w:r>
      <w:r w:rsidR="00C643F8" w:rsidRPr="00D15956">
        <w:rPr>
          <w:rFonts w:ascii="Arial" w:hAnsi="Arial" w:cs="Arial"/>
        </w:rPr>
        <w:t>consider</w:t>
      </w:r>
      <w:r w:rsidR="006C5C88" w:rsidRPr="00D15956">
        <w:rPr>
          <w:rFonts w:ascii="Arial" w:hAnsi="Arial" w:cs="Arial"/>
        </w:rPr>
        <w:t>ed</w:t>
      </w:r>
      <w:r w:rsidR="00C643F8" w:rsidRPr="00D15956">
        <w:rPr>
          <w:rFonts w:ascii="Arial" w:hAnsi="Arial" w:cs="Arial"/>
        </w:rPr>
        <w:t xml:space="preserve"> the consequence </w:t>
      </w:r>
      <w:r w:rsidR="00FE3D61" w:rsidRPr="00D15956">
        <w:rPr>
          <w:rFonts w:ascii="Arial" w:hAnsi="Arial" w:cs="Arial"/>
        </w:rPr>
        <w:t xml:space="preserve">of </w:t>
      </w:r>
      <w:r w:rsidR="00C643F8" w:rsidRPr="00D15956">
        <w:rPr>
          <w:rFonts w:ascii="Arial" w:hAnsi="Arial" w:cs="Arial"/>
        </w:rPr>
        <w:t xml:space="preserve">the validity of an act that </w:t>
      </w:r>
      <w:r w:rsidR="00FE3D61" w:rsidRPr="00D15956">
        <w:rPr>
          <w:rFonts w:ascii="Arial" w:hAnsi="Arial" w:cs="Arial"/>
        </w:rPr>
        <w:t xml:space="preserve">took </w:t>
      </w:r>
      <w:r w:rsidR="00C643F8" w:rsidRPr="00D15956">
        <w:rPr>
          <w:rFonts w:ascii="Arial" w:hAnsi="Arial" w:cs="Arial"/>
        </w:rPr>
        <w:t>place in conflict with a statutory prohibition</w:t>
      </w:r>
      <w:r w:rsidR="00FE3D61" w:rsidRPr="00D15956">
        <w:rPr>
          <w:rFonts w:ascii="Arial" w:hAnsi="Arial" w:cs="Arial"/>
        </w:rPr>
        <w:t xml:space="preserve">.  </w:t>
      </w:r>
      <w:r w:rsidR="000A03CB" w:rsidRPr="00D15956">
        <w:rPr>
          <w:rFonts w:ascii="Arial" w:hAnsi="Arial" w:cs="Arial"/>
        </w:rPr>
        <w:t>The c</w:t>
      </w:r>
      <w:r w:rsidR="000A10FA" w:rsidRPr="00D15956">
        <w:rPr>
          <w:rFonts w:ascii="Arial" w:hAnsi="Arial" w:cs="Arial"/>
        </w:rPr>
        <w:t>ourt</w:t>
      </w:r>
      <w:r w:rsidR="00C72088" w:rsidRPr="00D15956">
        <w:rPr>
          <w:rFonts w:ascii="Arial" w:hAnsi="Arial" w:cs="Arial"/>
        </w:rPr>
        <w:t xml:space="preserve"> </w:t>
      </w:r>
      <w:r w:rsidR="006C5C88" w:rsidRPr="00D15956">
        <w:rPr>
          <w:rFonts w:ascii="Arial" w:hAnsi="Arial" w:cs="Arial"/>
        </w:rPr>
        <w:t>(</w:t>
      </w:r>
      <w:r w:rsidR="006C5C88" w:rsidRPr="00D15956">
        <w:rPr>
          <w:rFonts w:ascii="Arial" w:hAnsi="Arial" w:cs="Arial"/>
          <w:i/>
          <w:iCs/>
        </w:rPr>
        <w:t>per</w:t>
      </w:r>
      <w:r w:rsidR="006C5C88" w:rsidRPr="00D15956">
        <w:rPr>
          <w:rFonts w:ascii="Arial" w:hAnsi="Arial" w:cs="Arial"/>
        </w:rPr>
        <w:t xml:space="preserve"> Innes CJ</w:t>
      </w:r>
      <w:r w:rsidR="00C72088" w:rsidRPr="00D15956">
        <w:rPr>
          <w:rFonts w:ascii="Arial" w:hAnsi="Arial" w:cs="Arial"/>
        </w:rPr>
        <w:t>, with whom Solomon JA, De Villiers JA, Kotzé JA and Wessels JA concurred</w:t>
      </w:r>
      <w:r w:rsidR="006C5C88" w:rsidRPr="00D15956">
        <w:rPr>
          <w:rFonts w:ascii="Arial" w:hAnsi="Arial" w:cs="Arial"/>
        </w:rPr>
        <w:t>)</w:t>
      </w:r>
      <w:r w:rsidR="00AD086D" w:rsidRPr="00D15956">
        <w:rPr>
          <w:rFonts w:ascii="Arial" w:hAnsi="Arial" w:cs="Arial"/>
        </w:rPr>
        <w:t xml:space="preserve"> stated the following about</w:t>
      </w:r>
      <w:r w:rsidR="00AE61E6" w:rsidRPr="00D15956">
        <w:rPr>
          <w:rFonts w:ascii="Arial" w:hAnsi="Arial" w:cs="Arial"/>
        </w:rPr>
        <w:t xml:space="preserve"> such a</w:t>
      </w:r>
      <w:r w:rsidR="00532BE6" w:rsidRPr="00D15956">
        <w:rPr>
          <w:rFonts w:ascii="Arial" w:hAnsi="Arial" w:cs="Arial"/>
        </w:rPr>
        <w:t xml:space="preserve"> conflict</w:t>
      </w:r>
      <w:r w:rsidR="00AE61E6" w:rsidRPr="00D15956">
        <w:rPr>
          <w:rFonts w:ascii="Arial" w:hAnsi="Arial" w:cs="Arial"/>
        </w:rPr>
        <w:t>:</w:t>
      </w:r>
      <w:r w:rsidR="00532BE6" w:rsidRPr="002F3ED4">
        <w:rPr>
          <w:rStyle w:val="FootnoteReference"/>
          <w:rFonts w:ascii="Arial" w:hAnsi="Arial" w:cs="Arial"/>
        </w:rPr>
        <w:footnoteReference w:id="27"/>
      </w:r>
    </w:p>
    <w:p w14:paraId="043FF559" w14:textId="0619BFF0" w:rsidR="00C643F8" w:rsidRPr="002F3ED4" w:rsidRDefault="00AE61E6" w:rsidP="005F3168">
      <w:pPr>
        <w:pStyle w:val="ListParagraph"/>
        <w:spacing w:before="120" w:line="240" w:lineRule="auto"/>
        <w:ind w:left="1440" w:right="379" w:firstLine="0"/>
        <w:contextualSpacing w:val="0"/>
        <w:rPr>
          <w:rFonts w:ascii="Arial" w:hAnsi="Arial" w:cs="Arial"/>
          <w:sz w:val="22"/>
          <w:szCs w:val="22"/>
        </w:rPr>
      </w:pPr>
      <w:r w:rsidRPr="002F3ED4">
        <w:rPr>
          <w:rFonts w:ascii="Arial" w:hAnsi="Arial" w:cs="Arial"/>
          <w:sz w:val="22"/>
          <w:szCs w:val="22"/>
        </w:rPr>
        <w:t>‘</w:t>
      </w:r>
      <w:r w:rsidR="00C643F8" w:rsidRPr="002F3ED4">
        <w:rPr>
          <w:rFonts w:ascii="Arial" w:hAnsi="Arial" w:cs="Arial"/>
          <w:sz w:val="22"/>
          <w:szCs w:val="22"/>
        </w:rPr>
        <w:t xml:space="preserve">It is a fundamental principle of our law that </w:t>
      </w:r>
      <w:r w:rsidR="00C643F8" w:rsidRPr="002F3ED4">
        <w:rPr>
          <w:rFonts w:ascii="Arial" w:hAnsi="Arial" w:cs="Arial"/>
          <w:b/>
          <w:bCs/>
          <w:sz w:val="22"/>
          <w:szCs w:val="22"/>
        </w:rPr>
        <w:t>a thing done contrary to the direct prohibition of the law is void and of no effect</w:t>
      </w:r>
      <w:r w:rsidR="00C643F8" w:rsidRPr="002F3ED4">
        <w:rPr>
          <w:rFonts w:ascii="Arial" w:hAnsi="Arial" w:cs="Arial"/>
          <w:sz w:val="22"/>
          <w:szCs w:val="22"/>
        </w:rPr>
        <w:t>.</w:t>
      </w:r>
      <w:r w:rsidR="005F3168" w:rsidRPr="002F3ED4">
        <w:rPr>
          <w:rFonts w:ascii="Arial" w:hAnsi="Arial" w:cs="Arial"/>
          <w:sz w:val="22"/>
          <w:szCs w:val="22"/>
        </w:rPr>
        <w:t>’</w:t>
      </w:r>
    </w:p>
    <w:p w14:paraId="019FC261" w14:textId="2C84E160" w:rsidR="00E56807" w:rsidRPr="002F3ED4" w:rsidRDefault="00E56807" w:rsidP="005F3168">
      <w:pPr>
        <w:pStyle w:val="ListParagraph"/>
        <w:spacing w:before="120" w:line="240" w:lineRule="auto"/>
        <w:ind w:left="1440" w:right="379" w:firstLine="0"/>
        <w:contextualSpacing w:val="0"/>
        <w:rPr>
          <w:rFonts w:ascii="Arial" w:hAnsi="Arial" w:cs="Arial"/>
          <w:sz w:val="22"/>
          <w:szCs w:val="22"/>
        </w:rPr>
      </w:pPr>
      <w:r w:rsidRPr="002F3ED4">
        <w:rPr>
          <w:rFonts w:ascii="Arial" w:hAnsi="Arial" w:cs="Arial"/>
          <w:sz w:val="22"/>
          <w:szCs w:val="22"/>
        </w:rPr>
        <w:t>(Own emphasis).</w:t>
      </w:r>
    </w:p>
    <w:p w14:paraId="24B3F8FA" w14:textId="5D15B62C" w:rsidR="00C643F8" w:rsidRPr="00D15956" w:rsidRDefault="00D15956" w:rsidP="00D15956">
      <w:pPr>
        <w:ind w:left="720" w:right="28"/>
        <w:rPr>
          <w:rFonts w:ascii="Times New Roman" w:hAnsi="Times New Roman"/>
        </w:rPr>
      </w:pPr>
      <w:r w:rsidRPr="00C643F8">
        <w:rPr>
          <w:rFonts w:ascii="Arial" w:hAnsi="Arial" w:cs="Arial"/>
        </w:rPr>
        <w:t>[27].</w:t>
      </w:r>
      <w:r w:rsidRPr="00C643F8">
        <w:rPr>
          <w:rFonts w:ascii="Arial" w:hAnsi="Arial" w:cs="Arial"/>
        </w:rPr>
        <w:tab/>
      </w:r>
      <w:r w:rsidR="00B85BAC" w:rsidRPr="00D15956">
        <w:rPr>
          <w:rFonts w:ascii="Arial" w:hAnsi="Arial" w:cs="Arial"/>
        </w:rPr>
        <w:t xml:space="preserve">However, </w:t>
      </w:r>
      <w:r w:rsidR="00C643F8" w:rsidRPr="00D15956">
        <w:rPr>
          <w:rFonts w:ascii="Arial" w:hAnsi="Arial" w:cs="Arial"/>
        </w:rPr>
        <w:t xml:space="preserve">in </w:t>
      </w:r>
      <w:bookmarkStart w:id="27" w:name="_Hlk151732846"/>
      <w:r w:rsidR="00C643F8" w:rsidRPr="00D15956">
        <w:rPr>
          <w:rFonts w:ascii="Arial" w:hAnsi="Arial" w:cs="Arial"/>
          <w:b/>
          <w:bCs/>
          <w:i/>
          <w:iCs/>
        </w:rPr>
        <w:t>Lupacchini</w:t>
      </w:r>
      <w:bookmarkEnd w:id="27"/>
      <w:r w:rsidR="00C643F8" w:rsidRPr="00D15956">
        <w:rPr>
          <w:rFonts w:ascii="Arial" w:hAnsi="Arial" w:cs="Arial"/>
          <w:b/>
          <w:bCs/>
          <w:i/>
          <w:iCs/>
        </w:rPr>
        <w:t xml:space="preserve"> NO and Another v Minister of Safety and Security</w:t>
      </w:r>
      <w:r w:rsidR="00B85BAC" w:rsidRPr="002F3ED4">
        <w:rPr>
          <w:rStyle w:val="FootnoteReference"/>
          <w:rFonts w:ascii="Arial" w:hAnsi="Arial" w:cs="Arial"/>
        </w:rPr>
        <w:footnoteReference w:id="28"/>
      </w:r>
      <w:r w:rsidR="00C643F8" w:rsidRPr="00D15956">
        <w:rPr>
          <w:rFonts w:ascii="Arial" w:hAnsi="Arial" w:cs="Arial"/>
        </w:rPr>
        <w:t xml:space="preserve"> </w:t>
      </w:r>
      <w:r w:rsidR="00CF33B8" w:rsidRPr="00D15956">
        <w:rPr>
          <w:rFonts w:ascii="Arial" w:hAnsi="Arial" w:cs="Arial"/>
        </w:rPr>
        <w:t xml:space="preserve">it was pointed out that that </w:t>
      </w:r>
      <w:r w:rsidR="004D436A" w:rsidRPr="00D15956">
        <w:rPr>
          <w:rFonts w:ascii="Arial" w:hAnsi="Arial" w:cs="Arial"/>
        </w:rPr>
        <w:t>will not always be the case.  In th</w:t>
      </w:r>
      <w:r w:rsidR="008B695E" w:rsidRPr="00D15956">
        <w:rPr>
          <w:rFonts w:ascii="Arial" w:hAnsi="Arial" w:cs="Arial"/>
        </w:rPr>
        <w:t>is</w:t>
      </w:r>
      <w:r w:rsidR="004D436A" w:rsidRPr="00D15956">
        <w:rPr>
          <w:rFonts w:ascii="Arial" w:hAnsi="Arial" w:cs="Arial"/>
        </w:rPr>
        <w:t xml:space="preserve"> regard, the </w:t>
      </w:r>
      <w:r w:rsidR="007E6FA5" w:rsidRPr="00D15956">
        <w:rPr>
          <w:rFonts w:ascii="Arial" w:hAnsi="Arial" w:cs="Arial"/>
        </w:rPr>
        <w:t>court (</w:t>
      </w:r>
      <w:r w:rsidR="007E6FA5" w:rsidRPr="00D15956">
        <w:rPr>
          <w:rFonts w:ascii="Arial" w:hAnsi="Arial" w:cs="Arial"/>
          <w:i/>
          <w:iCs/>
        </w:rPr>
        <w:t>per</w:t>
      </w:r>
      <w:r w:rsidR="007E6FA5" w:rsidRPr="00D15956">
        <w:rPr>
          <w:rFonts w:ascii="Arial" w:hAnsi="Arial" w:cs="Arial"/>
        </w:rPr>
        <w:t xml:space="preserve"> Nugent JA</w:t>
      </w:r>
      <w:r w:rsidR="008B695E" w:rsidRPr="00D15956">
        <w:rPr>
          <w:rFonts w:ascii="Arial" w:hAnsi="Arial" w:cs="Arial"/>
        </w:rPr>
        <w:t>), the Supreme Court of Appeal (</w:t>
      </w:r>
      <w:r w:rsidR="008B695E" w:rsidRPr="00D15956">
        <w:rPr>
          <w:rFonts w:ascii="Arial" w:hAnsi="Arial" w:cs="Arial"/>
          <w:b/>
          <w:bCs/>
        </w:rPr>
        <w:t>SCA</w:t>
      </w:r>
      <w:r w:rsidR="008B695E" w:rsidRPr="00D15956">
        <w:rPr>
          <w:rFonts w:ascii="Arial" w:hAnsi="Arial" w:cs="Arial"/>
        </w:rPr>
        <w:t>)</w:t>
      </w:r>
      <w:r w:rsidR="001C4D01" w:rsidRPr="00D15956">
        <w:rPr>
          <w:rFonts w:ascii="Arial" w:hAnsi="Arial" w:cs="Arial"/>
        </w:rPr>
        <w:t xml:space="preserve"> – after referring to what </w:t>
      </w:r>
      <w:r w:rsidR="00996C21" w:rsidRPr="00D15956">
        <w:rPr>
          <w:rFonts w:ascii="Arial" w:hAnsi="Arial" w:cs="Arial"/>
        </w:rPr>
        <w:t xml:space="preserve">Innes CJ had stated in </w:t>
      </w:r>
      <w:r w:rsidR="00996C21" w:rsidRPr="00D15956">
        <w:rPr>
          <w:rFonts w:ascii="Arial" w:hAnsi="Arial" w:cs="Arial"/>
          <w:i/>
          <w:iCs/>
        </w:rPr>
        <w:t>Schierhout</w:t>
      </w:r>
      <w:r w:rsidR="00996C21" w:rsidRPr="00D15956">
        <w:rPr>
          <w:rFonts w:ascii="Arial" w:hAnsi="Arial" w:cs="Arial"/>
        </w:rPr>
        <w:t xml:space="preserve"> </w:t>
      </w:r>
      <w:r w:rsidR="002A4473" w:rsidRPr="00D15956">
        <w:rPr>
          <w:rFonts w:ascii="Arial" w:hAnsi="Arial" w:cs="Arial"/>
        </w:rPr>
        <w:t>–</w:t>
      </w:r>
      <w:r w:rsidR="00996C21" w:rsidRPr="00D15956">
        <w:rPr>
          <w:rFonts w:ascii="Arial" w:hAnsi="Arial" w:cs="Arial"/>
        </w:rPr>
        <w:t xml:space="preserve"> </w:t>
      </w:r>
      <w:r w:rsidR="002A4473" w:rsidRPr="00D15956">
        <w:rPr>
          <w:rFonts w:ascii="Arial" w:hAnsi="Arial" w:cs="Arial"/>
        </w:rPr>
        <w:t>pointed out:</w:t>
      </w:r>
      <w:r w:rsidR="00085BF6" w:rsidRPr="002F3ED4">
        <w:rPr>
          <w:rStyle w:val="FootnoteReference"/>
          <w:rFonts w:ascii="Arial" w:hAnsi="Arial" w:cs="Arial"/>
        </w:rPr>
        <w:footnoteReference w:id="29"/>
      </w:r>
    </w:p>
    <w:p w14:paraId="6A9FFE16" w14:textId="29C24AFE" w:rsidR="00A8449D" w:rsidRPr="002F3ED4" w:rsidRDefault="002A4473" w:rsidP="00452A07">
      <w:pPr>
        <w:pStyle w:val="ListParagraph"/>
        <w:spacing w:before="120" w:line="240" w:lineRule="auto"/>
        <w:ind w:left="1440" w:right="379" w:firstLine="0"/>
        <w:contextualSpacing w:val="0"/>
        <w:rPr>
          <w:rFonts w:ascii="Arial" w:hAnsi="Arial" w:cs="Arial"/>
          <w:sz w:val="22"/>
          <w:szCs w:val="22"/>
        </w:rPr>
      </w:pPr>
      <w:r w:rsidRPr="002F3ED4">
        <w:rPr>
          <w:rFonts w:ascii="Arial" w:hAnsi="Arial" w:cs="Arial"/>
          <w:sz w:val="22"/>
          <w:szCs w:val="22"/>
        </w:rPr>
        <w:t xml:space="preserve">‘But </w:t>
      </w:r>
      <w:r w:rsidR="00085BF6" w:rsidRPr="002F3ED4">
        <w:rPr>
          <w:rFonts w:ascii="Arial" w:hAnsi="Arial" w:cs="Arial"/>
          <w:sz w:val="22"/>
          <w:szCs w:val="22"/>
        </w:rPr>
        <w:t>t</w:t>
      </w:r>
      <w:r w:rsidR="00C643F8" w:rsidRPr="002F3ED4">
        <w:rPr>
          <w:rFonts w:ascii="Arial" w:hAnsi="Arial" w:cs="Arial"/>
          <w:sz w:val="22"/>
          <w:szCs w:val="22"/>
        </w:rPr>
        <w:t xml:space="preserve">hat will not always be the case. </w:t>
      </w:r>
      <w:r w:rsidR="00085BF6" w:rsidRPr="002F3ED4">
        <w:rPr>
          <w:rFonts w:ascii="Arial" w:hAnsi="Arial" w:cs="Arial"/>
          <w:sz w:val="22"/>
          <w:szCs w:val="22"/>
        </w:rPr>
        <w:t xml:space="preserve"> </w:t>
      </w:r>
      <w:r w:rsidR="00C643F8" w:rsidRPr="002F3ED4">
        <w:rPr>
          <w:rFonts w:ascii="Arial" w:hAnsi="Arial" w:cs="Arial"/>
          <w:sz w:val="22"/>
          <w:szCs w:val="22"/>
        </w:rPr>
        <w:t xml:space="preserve">Later cases have made it clear that whether that is so will depend upon the proper construction of the particular legislation.  What has emerged from those cases was articulated by Corbett AJA in </w:t>
      </w:r>
      <w:r w:rsidR="00C643F8" w:rsidRPr="002F3ED4">
        <w:rPr>
          <w:rFonts w:ascii="Arial" w:hAnsi="Arial" w:cs="Arial"/>
          <w:i/>
          <w:iCs/>
          <w:sz w:val="22"/>
          <w:szCs w:val="22"/>
        </w:rPr>
        <w:t>Swart v Smuts</w:t>
      </w:r>
      <w:r w:rsidR="00C643F8" w:rsidRPr="002F3ED4">
        <w:rPr>
          <w:rFonts w:ascii="Arial" w:hAnsi="Arial" w:cs="Arial"/>
          <w:sz w:val="22"/>
          <w:szCs w:val="22"/>
        </w:rPr>
        <w:t xml:space="preserve"> </w:t>
      </w:r>
      <w:r w:rsidR="004E0838" w:rsidRPr="002F3ED4">
        <w:rPr>
          <w:rFonts w:ascii="Arial" w:hAnsi="Arial" w:cs="Arial"/>
          <w:sz w:val="22"/>
          <w:szCs w:val="22"/>
        </w:rPr>
        <w:t>*</w:t>
      </w:r>
      <w:r w:rsidR="00C643F8" w:rsidRPr="002F3ED4">
        <w:rPr>
          <w:rFonts w:ascii="Arial" w:hAnsi="Arial" w:cs="Arial"/>
          <w:sz w:val="22"/>
          <w:szCs w:val="22"/>
        </w:rPr>
        <w:t>[</w:t>
      </w:r>
      <w:r w:rsidR="00C643F8" w:rsidRPr="002F3ED4">
        <w:rPr>
          <w:rFonts w:ascii="Arial" w:hAnsi="Arial" w:cs="Arial"/>
          <w:b/>
          <w:bCs/>
          <w:sz w:val="22"/>
          <w:szCs w:val="22"/>
        </w:rPr>
        <w:t>1971 (1) SA 819 (A) at 829C – G</w:t>
      </w:r>
      <w:r w:rsidR="00C643F8" w:rsidRPr="002F3ED4">
        <w:rPr>
          <w:rFonts w:ascii="Arial" w:hAnsi="Arial" w:cs="Arial"/>
          <w:sz w:val="22"/>
          <w:szCs w:val="22"/>
        </w:rPr>
        <w:t>]</w:t>
      </w:r>
      <w:r w:rsidR="002436E3" w:rsidRPr="002F3ED4">
        <w:rPr>
          <w:rFonts w:ascii="Arial" w:hAnsi="Arial" w:cs="Arial"/>
          <w:sz w:val="22"/>
          <w:szCs w:val="22"/>
        </w:rPr>
        <w:t>:</w:t>
      </w:r>
    </w:p>
    <w:p w14:paraId="10D164F6" w14:textId="36E250C6" w:rsidR="002436E3" w:rsidRPr="002F3ED4" w:rsidRDefault="004E0838" w:rsidP="00452A07">
      <w:pPr>
        <w:pStyle w:val="ListParagraph"/>
        <w:spacing w:before="120" w:line="240" w:lineRule="auto"/>
        <w:ind w:left="2160" w:right="379" w:firstLine="0"/>
        <w:contextualSpacing w:val="0"/>
        <w:rPr>
          <w:rFonts w:ascii="Arial" w:hAnsi="Arial" w:cs="Arial"/>
          <w:sz w:val="22"/>
          <w:szCs w:val="22"/>
        </w:rPr>
      </w:pPr>
      <w:r w:rsidRPr="002F3ED4">
        <w:rPr>
          <w:rFonts w:ascii="Arial" w:hAnsi="Arial" w:cs="Arial"/>
          <w:sz w:val="22"/>
          <w:szCs w:val="22"/>
        </w:rPr>
        <w:lastRenderedPageBreak/>
        <w:t>“</w:t>
      </w:r>
      <w:r w:rsidR="007B2A21" w:rsidRPr="002F3ED4">
        <w:rPr>
          <w:rFonts w:ascii="Arial" w:hAnsi="Arial" w:cs="Arial"/>
          <w:sz w:val="22"/>
          <w:szCs w:val="22"/>
          <w:lang w:val="af-ZA"/>
        </w:rPr>
        <w:t xml:space="preserve">Die regsbeginsels wat van toepassing is by beoordeling van die geldigheid of nietigheid van 'n transaksie wat aangegaan is, of 'n handeling wat verrig is, in stryd met 'n statutêre bepaling of met verontagsaming van 'n statutêre vereiste, is welbekend en is alreeds dikwels deur hierdie Hof gekonstateer (sien </w:t>
      </w:r>
      <w:r w:rsidR="007B2A21" w:rsidRPr="002F3ED4">
        <w:rPr>
          <w:rFonts w:ascii="Arial" w:hAnsi="Arial" w:cs="Arial"/>
          <w:i/>
          <w:iCs/>
          <w:sz w:val="22"/>
          <w:szCs w:val="22"/>
          <w:lang w:val="af-ZA"/>
        </w:rPr>
        <w:t>Standard Bank v Estate Van Rhyn</w:t>
      </w:r>
      <w:r w:rsidR="007B2A21" w:rsidRPr="002F3ED4">
        <w:rPr>
          <w:rFonts w:ascii="Arial" w:hAnsi="Arial" w:cs="Arial"/>
          <w:sz w:val="22"/>
          <w:szCs w:val="22"/>
          <w:lang w:val="af-ZA"/>
        </w:rPr>
        <w:t xml:space="preserve"> 1925 AD 266; </w:t>
      </w:r>
      <w:r w:rsidR="007B2A21" w:rsidRPr="002F3ED4">
        <w:rPr>
          <w:rFonts w:ascii="Arial" w:hAnsi="Arial" w:cs="Arial"/>
          <w:i/>
          <w:iCs/>
          <w:sz w:val="22"/>
          <w:szCs w:val="22"/>
          <w:lang w:val="af-ZA"/>
        </w:rPr>
        <w:t>Sutter v Scheepers</w:t>
      </w:r>
      <w:r w:rsidR="007B2A21" w:rsidRPr="002F3ED4">
        <w:rPr>
          <w:rFonts w:ascii="Arial" w:hAnsi="Arial" w:cs="Arial"/>
          <w:sz w:val="22"/>
          <w:szCs w:val="22"/>
          <w:lang w:val="af-ZA"/>
        </w:rPr>
        <w:t xml:space="preserve"> 1932 AD 165; </w:t>
      </w:r>
      <w:r w:rsidR="007B2A21" w:rsidRPr="002F3ED4">
        <w:rPr>
          <w:rFonts w:ascii="Arial" w:hAnsi="Arial" w:cs="Arial"/>
          <w:i/>
          <w:iCs/>
          <w:sz w:val="22"/>
          <w:szCs w:val="22"/>
          <w:lang w:val="af-ZA"/>
        </w:rPr>
        <w:t>Leibbrandt v South African Railways</w:t>
      </w:r>
      <w:r w:rsidR="007B2A21" w:rsidRPr="002F3ED4">
        <w:rPr>
          <w:rFonts w:ascii="Arial" w:hAnsi="Arial" w:cs="Arial"/>
          <w:sz w:val="22"/>
          <w:szCs w:val="22"/>
          <w:lang w:val="af-ZA"/>
        </w:rPr>
        <w:t xml:space="preserve"> 1941 AD 9; </w:t>
      </w:r>
      <w:r w:rsidR="007B2A21" w:rsidRPr="002F3ED4">
        <w:rPr>
          <w:rFonts w:ascii="Arial" w:hAnsi="Arial" w:cs="Arial"/>
          <w:i/>
          <w:iCs/>
          <w:sz w:val="22"/>
          <w:szCs w:val="22"/>
          <w:lang w:val="af-ZA"/>
        </w:rPr>
        <w:t>Messenger of the Magistrate's Court, Durban v Pillay</w:t>
      </w:r>
      <w:r w:rsidR="007B2A21" w:rsidRPr="002F3ED4">
        <w:rPr>
          <w:rFonts w:ascii="Arial" w:hAnsi="Arial" w:cs="Arial"/>
          <w:sz w:val="22"/>
          <w:szCs w:val="22"/>
          <w:lang w:val="af-ZA"/>
        </w:rPr>
        <w:t xml:space="preserve"> 1952 (3) SA 678 (AD); </w:t>
      </w:r>
      <w:r w:rsidR="007B2A21" w:rsidRPr="002F3ED4">
        <w:rPr>
          <w:rFonts w:ascii="Arial" w:hAnsi="Arial" w:cs="Arial"/>
          <w:i/>
          <w:iCs/>
          <w:sz w:val="22"/>
          <w:szCs w:val="22"/>
          <w:lang w:val="af-ZA"/>
        </w:rPr>
        <w:t>Pottie v Kotze</w:t>
      </w:r>
      <w:r w:rsidR="007B2A21" w:rsidRPr="002F3ED4">
        <w:rPr>
          <w:rFonts w:ascii="Arial" w:hAnsi="Arial" w:cs="Arial"/>
          <w:sz w:val="22"/>
          <w:szCs w:val="22"/>
          <w:lang w:val="af-ZA"/>
        </w:rPr>
        <w:t xml:space="preserve"> 1954 (3) SA 719 (AD); </w:t>
      </w:r>
      <w:r w:rsidR="007B2A21" w:rsidRPr="002F3ED4">
        <w:rPr>
          <w:rFonts w:ascii="Arial" w:hAnsi="Arial" w:cs="Arial"/>
          <w:i/>
          <w:iCs/>
          <w:sz w:val="22"/>
          <w:szCs w:val="22"/>
          <w:lang w:val="af-ZA"/>
        </w:rPr>
        <w:t>Jefferies v Komgha Divisional Council</w:t>
      </w:r>
      <w:r w:rsidR="007B2A21" w:rsidRPr="002F3ED4">
        <w:rPr>
          <w:rFonts w:ascii="Arial" w:hAnsi="Arial" w:cs="Arial"/>
          <w:sz w:val="22"/>
          <w:szCs w:val="22"/>
          <w:lang w:val="af-ZA"/>
        </w:rPr>
        <w:t xml:space="preserve"> 1958 (1) SA 233 (AD); </w:t>
      </w:r>
      <w:r w:rsidR="007B2A21" w:rsidRPr="002F3ED4">
        <w:rPr>
          <w:rFonts w:ascii="Arial" w:hAnsi="Arial" w:cs="Arial"/>
          <w:i/>
          <w:iCs/>
          <w:sz w:val="22"/>
          <w:szCs w:val="22"/>
          <w:lang w:val="af-ZA"/>
        </w:rPr>
        <w:t>Maharaj and Others v Rampersad</w:t>
      </w:r>
      <w:r w:rsidR="007B2A21" w:rsidRPr="002F3ED4">
        <w:rPr>
          <w:rFonts w:ascii="Arial" w:hAnsi="Arial" w:cs="Arial"/>
          <w:sz w:val="22"/>
          <w:szCs w:val="22"/>
          <w:lang w:val="af-ZA"/>
        </w:rPr>
        <w:t xml:space="preserve"> 1964 (4) SA 638 (AD)). </w:t>
      </w:r>
      <w:r w:rsidR="00172D1F" w:rsidRPr="002F3ED4">
        <w:rPr>
          <w:rFonts w:ascii="Arial" w:hAnsi="Arial" w:cs="Arial"/>
          <w:sz w:val="22"/>
          <w:szCs w:val="22"/>
          <w:lang w:val="af-ZA"/>
        </w:rPr>
        <w:t xml:space="preserve"> </w:t>
      </w:r>
      <w:r w:rsidR="007B2A21" w:rsidRPr="002F3ED4">
        <w:rPr>
          <w:rFonts w:ascii="Arial" w:hAnsi="Arial" w:cs="Arial"/>
          <w:sz w:val="22"/>
          <w:szCs w:val="22"/>
          <w:lang w:val="af-ZA"/>
        </w:rPr>
        <w:t xml:space="preserve">Dit blyk uit hierdie en ander tersaaklike gewysdes dat wanneer die onderhawige wetsbepaling self nie uitdruklik verklaar dat sodanige transaksie of handeling van nul en gener waarde is nie, die geldigheid daarvan uiteindelik van die bedoeling van die Wetgewer afhang. </w:t>
      </w:r>
      <w:r w:rsidR="001631E6" w:rsidRPr="002F3ED4">
        <w:rPr>
          <w:rFonts w:ascii="Arial" w:hAnsi="Arial" w:cs="Arial"/>
          <w:sz w:val="22"/>
          <w:szCs w:val="22"/>
          <w:lang w:val="af-ZA"/>
        </w:rPr>
        <w:t xml:space="preserve"> </w:t>
      </w:r>
      <w:r w:rsidR="007B2A21" w:rsidRPr="002F3ED4">
        <w:rPr>
          <w:rFonts w:ascii="Arial" w:hAnsi="Arial" w:cs="Arial"/>
          <w:b/>
          <w:bCs/>
          <w:sz w:val="22"/>
          <w:szCs w:val="22"/>
          <w:lang w:val="af-ZA"/>
        </w:rPr>
        <w:t xml:space="preserve">In die algemeen word 'n handeling wat in stryd met 'n statutêre bepaling verrig is, as 'n nietigheid beskou, maar hierdie is nie 'n vaste of onbuigsame reël nie. </w:t>
      </w:r>
      <w:r w:rsidR="001631E6" w:rsidRPr="002F3ED4">
        <w:rPr>
          <w:rFonts w:ascii="Arial" w:hAnsi="Arial" w:cs="Arial"/>
          <w:b/>
          <w:bCs/>
          <w:sz w:val="22"/>
          <w:szCs w:val="22"/>
          <w:lang w:val="af-ZA"/>
        </w:rPr>
        <w:t xml:space="preserve"> </w:t>
      </w:r>
      <w:r w:rsidR="007B2A21" w:rsidRPr="002F3ED4">
        <w:rPr>
          <w:rFonts w:ascii="Arial" w:hAnsi="Arial" w:cs="Arial"/>
          <w:b/>
          <w:bCs/>
          <w:sz w:val="22"/>
          <w:szCs w:val="22"/>
          <w:lang w:val="af-ZA"/>
        </w:rPr>
        <w:t>Deeglike oorweging van die bewoording van die statuut en van sy doel en strekking kan tot die gevolgtrekking lei dat die Wetgewer geen nietigheidsbedoeling gehad het nie</w:t>
      </w:r>
      <w:r w:rsidR="007B2A21" w:rsidRPr="002F3ED4">
        <w:rPr>
          <w:rFonts w:ascii="Arial" w:hAnsi="Arial" w:cs="Arial"/>
          <w:sz w:val="22"/>
          <w:szCs w:val="22"/>
        </w:rPr>
        <w:t>.</w:t>
      </w:r>
      <w:r w:rsidRPr="002F3ED4">
        <w:rPr>
          <w:rFonts w:ascii="Arial" w:hAnsi="Arial" w:cs="Arial"/>
          <w:sz w:val="22"/>
          <w:szCs w:val="22"/>
        </w:rPr>
        <w:t>”</w:t>
      </w:r>
    </w:p>
    <w:p w14:paraId="6FEF57AA" w14:textId="25ED1DF6" w:rsidR="00452A07" w:rsidRPr="002F3ED4" w:rsidRDefault="00452A07" w:rsidP="00452A07">
      <w:pPr>
        <w:pStyle w:val="ListParagraph"/>
        <w:spacing w:before="120" w:line="240" w:lineRule="auto"/>
        <w:ind w:left="2160" w:right="379" w:firstLine="0"/>
        <w:contextualSpacing w:val="0"/>
        <w:rPr>
          <w:rFonts w:ascii="Arial" w:hAnsi="Arial" w:cs="Arial"/>
          <w:sz w:val="22"/>
          <w:szCs w:val="22"/>
        </w:rPr>
      </w:pPr>
      <w:bookmarkStart w:id="28" w:name="_Hlk152511150"/>
      <w:r w:rsidRPr="002F3ED4">
        <w:rPr>
          <w:rFonts w:ascii="Arial" w:hAnsi="Arial" w:cs="Arial"/>
          <w:sz w:val="22"/>
          <w:szCs w:val="22"/>
        </w:rPr>
        <w:t>(</w:t>
      </w:r>
      <w:r w:rsidR="00D37752" w:rsidRPr="002F3ED4">
        <w:rPr>
          <w:rFonts w:ascii="Arial" w:hAnsi="Arial" w:cs="Arial"/>
          <w:sz w:val="22"/>
          <w:szCs w:val="22"/>
        </w:rPr>
        <w:t>Own</w:t>
      </w:r>
      <w:r w:rsidR="00BF7B40" w:rsidRPr="002F3ED4">
        <w:rPr>
          <w:rFonts w:ascii="Arial" w:hAnsi="Arial" w:cs="Arial"/>
          <w:sz w:val="22"/>
          <w:szCs w:val="22"/>
        </w:rPr>
        <w:t xml:space="preserve"> emphasis and</w:t>
      </w:r>
      <w:r w:rsidR="00D37752" w:rsidRPr="002F3ED4">
        <w:rPr>
          <w:rFonts w:ascii="Arial" w:hAnsi="Arial" w:cs="Arial"/>
          <w:sz w:val="22"/>
          <w:szCs w:val="22"/>
        </w:rPr>
        <w:t xml:space="preserve"> *</w:t>
      </w:r>
      <w:r w:rsidR="00A17EC6" w:rsidRPr="002F3ED4">
        <w:rPr>
          <w:rFonts w:ascii="Arial" w:hAnsi="Arial" w:cs="Arial"/>
          <w:sz w:val="22"/>
          <w:szCs w:val="22"/>
        </w:rPr>
        <w:t>insertion</w:t>
      </w:r>
      <w:r w:rsidR="00D37752" w:rsidRPr="002F3ED4">
        <w:rPr>
          <w:rFonts w:ascii="Arial" w:hAnsi="Arial" w:cs="Arial"/>
          <w:sz w:val="22"/>
          <w:szCs w:val="22"/>
        </w:rPr>
        <w:t>).</w:t>
      </w:r>
      <w:bookmarkEnd w:id="28"/>
    </w:p>
    <w:p w14:paraId="66B7E069" w14:textId="3C4E7220" w:rsidR="008F78A1" w:rsidRPr="00D15956" w:rsidRDefault="00D15956" w:rsidP="00D15956">
      <w:pPr>
        <w:spacing w:line="480" w:lineRule="auto"/>
        <w:ind w:left="720" w:right="28"/>
        <w:rPr>
          <w:rFonts w:ascii="Arial" w:hAnsi="Arial" w:cs="Arial"/>
        </w:rPr>
      </w:pPr>
      <w:r>
        <w:rPr>
          <w:rFonts w:ascii="Arial" w:hAnsi="Arial" w:cs="Arial"/>
        </w:rPr>
        <w:t>[28].</w:t>
      </w:r>
      <w:r>
        <w:rPr>
          <w:rFonts w:ascii="Arial" w:hAnsi="Arial" w:cs="Arial"/>
        </w:rPr>
        <w:tab/>
      </w:r>
      <w:r w:rsidR="006C76C5" w:rsidRPr="00D15956">
        <w:rPr>
          <w:rFonts w:ascii="Arial" w:hAnsi="Arial" w:cs="Arial"/>
        </w:rPr>
        <w:t>In the present case,</w:t>
      </w:r>
      <w:r w:rsidR="00D750CD" w:rsidRPr="00D15956">
        <w:rPr>
          <w:rFonts w:ascii="Arial" w:hAnsi="Arial" w:cs="Arial"/>
        </w:rPr>
        <w:t xml:space="preserve"> PSIRA</w:t>
      </w:r>
      <w:r w:rsidR="00810AC5" w:rsidRPr="00D15956">
        <w:rPr>
          <w:rFonts w:ascii="Arial" w:hAnsi="Arial" w:cs="Arial"/>
        </w:rPr>
        <w:t>’s provisions</w:t>
      </w:r>
      <w:r w:rsidR="00D24EFC" w:rsidRPr="00D15956">
        <w:rPr>
          <w:rFonts w:ascii="Arial" w:hAnsi="Arial" w:cs="Arial"/>
        </w:rPr>
        <w:t xml:space="preserve"> </w:t>
      </w:r>
      <w:r w:rsidR="00993CB9" w:rsidRPr="00D15956">
        <w:rPr>
          <w:rFonts w:ascii="Arial" w:hAnsi="Arial" w:cs="Arial"/>
        </w:rPr>
        <w:t>reveal that</w:t>
      </w:r>
      <w:r w:rsidR="00535AC1" w:rsidRPr="00D15956">
        <w:rPr>
          <w:rFonts w:ascii="Arial" w:hAnsi="Arial" w:cs="Arial"/>
        </w:rPr>
        <w:t>, quite apart from</w:t>
      </w:r>
      <w:r w:rsidR="00993CB9" w:rsidRPr="00D15956">
        <w:rPr>
          <w:rFonts w:ascii="Arial" w:hAnsi="Arial" w:cs="Arial"/>
        </w:rPr>
        <w:t xml:space="preserve"> </w:t>
      </w:r>
      <w:r w:rsidR="00C8679D" w:rsidRPr="00D15956">
        <w:rPr>
          <w:rFonts w:ascii="Arial" w:hAnsi="Arial" w:cs="Arial"/>
        </w:rPr>
        <w:t xml:space="preserve">the </w:t>
      </w:r>
      <w:r w:rsidR="00F40B33" w:rsidRPr="00D15956">
        <w:rPr>
          <w:rFonts w:ascii="Arial" w:hAnsi="Arial" w:cs="Arial"/>
        </w:rPr>
        <w:t xml:space="preserve">effect that </w:t>
      </w:r>
      <w:r w:rsidR="00C8679D" w:rsidRPr="00D15956">
        <w:rPr>
          <w:rFonts w:ascii="Arial" w:hAnsi="Arial" w:cs="Arial"/>
        </w:rPr>
        <w:t>criminal sanction created in s 38 (3) thereof</w:t>
      </w:r>
      <w:r w:rsidR="00F40B33" w:rsidRPr="00D15956">
        <w:rPr>
          <w:rFonts w:ascii="Arial" w:hAnsi="Arial" w:cs="Arial"/>
        </w:rPr>
        <w:t xml:space="preserve"> might have </w:t>
      </w:r>
      <w:r w:rsidR="00393A9C" w:rsidRPr="00D15956">
        <w:rPr>
          <w:rFonts w:ascii="Arial" w:hAnsi="Arial" w:cs="Arial"/>
        </w:rPr>
        <w:t xml:space="preserve">had </w:t>
      </w:r>
      <w:r w:rsidR="00921811" w:rsidRPr="00D15956">
        <w:rPr>
          <w:rFonts w:ascii="Arial" w:hAnsi="Arial" w:cs="Arial"/>
        </w:rPr>
        <w:t>(</w:t>
      </w:r>
      <w:r w:rsidR="00393A9C" w:rsidRPr="00D15956">
        <w:rPr>
          <w:rFonts w:ascii="Arial" w:hAnsi="Arial" w:cs="Arial"/>
        </w:rPr>
        <w:t>if that</w:t>
      </w:r>
      <w:r w:rsidR="00387547" w:rsidRPr="00D15956">
        <w:rPr>
          <w:rFonts w:ascii="Arial" w:hAnsi="Arial" w:cs="Arial"/>
        </w:rPr>
        <w:t xml:space="preserve"> were to </w:t>
      </w:r>
      <w:r w:rsidR="00921811" w:rsidRPr="00D15956">
        <w:rPr>
          <w:rFonts w:ascii="Arial" w:hAnsi="Arial" w:cs="Arial"/>
        </w:rPr>
        <w:t xml:space="preserve">have </w:t>
      </w:r>
      <w:r w:rsidR="00387547" w:rsidRPr="00D15956">
        <w:rPr>
          <w:rFonts w:ascii="Arial" w:hAnsi="Arial" w:cs="Arial"/>
        </w:rPr>
        <w:t>be</w:t>
      </w:r>
      <w:r w:rsidR="00921811" w:rsidRPr="00D15956">
        <w:rPr>
          <w:rFonts w:ascii="Arial" w:hAnsi="Arial" w:cs="Arial"/>
        </w:rPr>
        <w:t>en</w:t>
      </w:r>
      <w:r w:rsidR="00387547" w:rsidRPr="00D15956">
        <w:rPr>
          <w:rFonts w:ascii="Arial" w:hAnsi="Arial" w:cs="Arial"/>
        </w:rPr>
        <w:t xml:space="preserve"> the only </w:t>
      </w:r>
      <w:r w:rsidR="00B66B16" w:rsidRPr="00D15956">
        <w:rPr>
          <w:rFonts w:ascii="Arial" w:hAnsi="Arial" w:cs="Arial"/>
        </w:rPr>
        <w:t>consideration</w:t>
      </w:r>
      <w:r w:rsidR="00F379C6" w:rsidRPr="00D15956">
        <w:rPr>
          <w:rFonts w:ascii="Arial" w:hAnsi="Arial" w:cs="Arial"/>
        </w:rPr>
        <w:t xml:space="preserve"> in respect of this issue</w:t>
      </w:r>
      <w:r w:rsidR="00066D20" w:rsidRPr="00D15956">
        <w:rPr>
          <w:rFonts w:ascii="Arial" w:hAnsi="Arial" w:cs="Arial"/>
        </w:rPr>
        <w:t xml:space="preserve"> in this matter</w:t>
      </w:r>
      <w:r w:rsidR="00921811" w:rsidRPr="00D15956">
        <w:rPr>
          <w:rFonts w:ascii="Arial" w:hAnsi="Arial" w:cs="Arial"/>
        </w:rPr>
        <w:t>)</w:t>
      </w:r>
      <w:r w:rsidR="008E6E66" w:rsidRPr="00D15956">
        <w:rPr>
          <w:rFonts w:ascii="Arial" w:hAnsi="Arial" w:cs="Arial"/>
        </w:rPr>
        <w:t xml:space="preserve">, the </w:t>
      </w:r>
      <w:r w:rsidR="00993CB9" w:rsidRPr="00D15956">
        <w:rPr>
          <w:rFonts w:ascii="Arial" w:hAnsi="Arial" w:cs="Arial"/>
        </w:rPr>
        <w:t xml:space="preserve">legislature’s </w:t>
      </w:r>
      <w:r w:rsidR="008E6E66" w:rsidRPr="00D15956">
        <w:rPr>
          <w:rFonts w:ascii="Arial" w:hAnsi="Arial" w:cs="Arial"/>
        </w:rPr>
        <w:t xml:space="preserve">express </w:t>
      </w:r>
      <w:r w:rsidR="00993CB9" w:rsidRPr="00D15956">
        <w:rPr>
          <w:rFonts w:ascii="Arial" w:hAnsi="Arial" w:cs="Arial"/>
        </w:rPr>
        <w:t xml:space="preserve">intention </w:t>
      </w:r>
      <w:r w:rsidR="00F379C6" w:rsidRPr="00D15956">
        <w:rPr>
          <w:rFonts w:ascii="Arial" w:hAnsi="Arial" w:cs="Arial"/>
        </w:rPr>
        <w:t xml:space="preserve">clearly </w:t>
      </w:r>
      <w:r w:rsidR="00993CB9" w:rsidRPr="00D15956">
        <w:rPr>
          <w:rFonts w:ascii="Arial" w:hAnsi="Arial" w:cs="Arial"/>
        </w:rPr>
        <w:t xml:space="preserve">was to </w:t>
      </w:r>
      <w:r w:rsidR="009E194A" w:rsidRPr="00D15956">
        <w:rPr>
          <w:rFonts w:ascii="Arial" w:hAnsi="Arial" w:cs="Arial"/>
        </w:rPr>
        <w:t xml:space="preserve">render invalid and </w:t>
      </w:r>
      <w:r w:rsidR="00993CB9" w:rsidRPr="00D15956">
        <w:rPr>
          <w:rFonts w:ascii="Arial" w:hAnsi="Arial" w:cs="Arial"/>
        </w:rPr>
        <w:t xml:space="preserve">nullify </w:t>
      </w:r>
      <w:r w:rsidR="00CC60B9" w:rsidRPr="00D15956">
        <w:rPr>
          <w:rFonts w:ascii="Arial" w:hAnsi="Arial" w:cs="Arial"/>
        </w:rPr>
        <w:t xml:space="preserve">any </w:t>
      </w:r>
      <w:r w:rsidR="00993CB9" w:rsidRPr="00D15956">
        <w:rPr>
          <w:rFonts w:ascii="Arial" w:hAnsi="Arial" w:cs="Arial"/>
        </w:rPr>
        <w:t>contract</w:t>
      </w:r>
      <w:r w:rsidR="00823543" w:rsidRPr="00D15956">
        <w:rPr>
          <w:rFonts w:ascii="Arial" w:hAnsi="Arial" w:cs="Arial"/>
        </w:rPr>
        <w:t xml:space="preserve"> concluded in contravention</w:t>
      </w:r>
      <w:r w:rsidR="00B149F8" w:rsidRPr="00D15956">
        <w:rPr>
          <w:rFonts w:ascii="Arial" w:hAnsi="Arial" w:cs="Arial"/>
        </w:rPr>
        <w:t xml:space="preserve"> of s 20 (1)</w:t>
      </w:r>
      <w:r w:rsidR="00C3791F" w:rsidRPr="00D15956">
        <w:rPr>
          <w:rFonts w:ascii="Arial" w:hAnsi="Arial" w:cs="Arial"/>
        </w:rPr>
        <w:t>.</w:t>
      </w:r>
      <w:r w:rsidR="00C3791F" w:rsidRPr="002F3ED4">
        <w:rPr>
          <w:rStyle w:val="FootnoteReference"/>
          <w:rFonts w:ascii="Arial" w:hAnsi="Arial" w:cs="Arial"/>
        </w:rPr>
        <w:footnoteReference w:id="30"/>
      </w:r>
    </w:p>
    <w:p w14:paraId="3D78FF24" w14:textId="77777777" w:rsidR="008F78A1" w:rsidRPr="008F78A1" w:rsidRDefault="008F78A1" w:rsidP="008F78A1">
      <w:pPr>
        <w:pStyle w:val="ListParagraph"/>
        <w:ind w:right="28" w:firstLine="0"/>
        <w:contextualSpacing w:val="0"/>
        <w:rPr>
          <w:rFonts w:ascii="Arial" w:hAnsi="Arial" w:cs="Arial"/>
        </w:rPr>
      </w:pPr>
    </w:p>
    <w:p w14:paraId="387D21AE" w14:textId="6D95579B" w:rsidR="00F14FE0" w:rsidRPr="002F3ED4" w:rsidRDefault="00B27770" w:rsidP="002F3ED4">
      <w:pPr>
        <w:spacing w:before="0" w:after="160" w:line="259" w:lineRule="auto"/>
        <w:ind w:left="0" w:right="0" w:firstLine="0"/>
        <w:jc w:val="left"/>
        <w:rPr>
          <w:rFonts w:ascii="Times New Roman" w:hAnsi="Times New Roman"/>
          <w:u w:val="single"/>
        </w:rPr>
      </w:pPr>
      <w:r w:rsidRPr="002F3ED4">
        <w:rPr>
          <w:rFonts w:ascii="Arial" w:hAnsi="Arial" w:cs="Arial"/>
          <w:b/>
          <w:u w:val="single"/>
        </w:rPr>
        <w:t>The parties’ respective arguments on this issue</w:t>
      </w:r>
      <w:r w:rsidRPr="002F3ED4">
        <w:rPr>
          <w:rFonts w:ascii="Arial" w:hAnsi="Arial" w:cs="Arial"/>
          <w:b/>
        </w:rPr>
        <w:t>:</w:t>
      </w:r>
    </w:p>
    <w:p w14:paraId="74011093" w14:textId="7C8C4371" w:rsidR="008F78A1" w:rsidRPr="00D15956" w:rsidRDefault="00D15956" w:rsidP="00D15956">
      <w:pPr>
        <w:spacing w:line="480" w:lineRule="auto"/>
        <w:ind w:left="720" w:right="28"/>
        <w:rPr>
          <w:rFonts w:ascii="Arial" w:hAnsi="Arial" w:cs="Arial"/>
        </w:rPr>
      </w:pPr>
      <w:r w:rsidRPr="008F78A1">
        <w:rPr>
          <w:rFonts w:ascii="Arial" w:hAnsi="Arial" w:cs="Arial"/>
        </w:rPr>
        <w:t>[29].</w:t>
      </w:r>
      <w:r w:rsidRPr="008F78A1">
        <w:rPr>
          <w:rFonts w:ascii="Arial" w:hAnsi="Arial" w:cs="Arial"/>
        </w:rPr>
        <w:tab/>
      </w:r>
      <w:r w:rsidR="008F73DF" w:rsidRPr="00D15956">
        <w:rPr>
          <w:rFonts w:ascii="Arial" w:hAnsi="Arial" w:cs="Arial"/>
        </w:rPr>
        <w:t>On behalf of the NYDA</w:t>
      </w:r>
      <w:r w:rsidR="007962BB" w:rsidRPr="00D15956">
        <w:rPr>
          <w:rFonts w:ascii="Arial" w:hAnsi="Arial" w:cs="Arial"/>
        </w:rPr>
        <w:t>, its counsel</w:t>
      </w:r>
      <w:r w:rsidR="007C2D34" w:rsidRPr="00D15956">
        <w:rPr>
          <w:rFonts w:ascii="Arial" w:hAnsi="Arial" w:cs="Arial"/>
        </w:rPr>
        <w:t xml:space="preserve">, Ms </w:t>
      </w:r>
      <w:r w:rsidR="008B54DE" w:rsidRPr="00D15956">
        <w:rPr>
          <w:rFonts w:ascii="Arial" w:hAnsi="Arial" w:cs="Arial"/>
        </w:rPr>
        <w:t>Sempe,</w:t>
      </w:r>
      <w:r w:rsidR="006560C2" w:rsidRPr="00D15956">
        <w:rPr>
          <w:rFonts w:ascii="Arial" w:hAnsi="Arial" w:cs="Arial"/>
        </w:rPr>
        <w:t xml:space="preserve"> </w:t>
      </w:r>
      <w:r w:rsidR="00FD0778" w:rsidRPr="00D15956">
        <w:rPr>
          <w:rFonts w:ascii="Arial" w:hAnsi="Arial" w:cs="Arial"/>
        </w:rPr>
        <w:t xml:space="preserve">apart from </w:t>
      </w:r>
      <w:r w:rsidR="00B85E98" w:rsidRPr="00D15956">
        <w:rPr>
          <w:rFonts w:ascii="Arial" w:hAnsi="Arial" w:cs="Arial"/>
        </w:rPr>
        <w:t>one</w:t>
      </w:r>
      <w:r w:rsidR="00FD0778" w:rsidRPr="00D15956">
        <w:rPr>
          <w:rFonts w:ascii="Arial" w:hAnsi="Arial" w:cs="Arial"/>
        </w:rPr>
        <w:t xml:space="preserve"> concession she made</w:t>
      </w:r>
      <w:r w:rsidR="00DE1BB7" w:rsidRPr="00D15956">
        <w:rPr>
          <w:rFonts w:ascii="Arial" w:hAnsi="Arial" w:cs="Arial"/>
        </w:rPr>
        <w:t xml:space="preserve"> </w:t>
      </w:r>
      <w:r w:rsidR="007670F4" w:rsidRPr="00D15956">
        <w:rPr>
          <w:rFonts w:ascii="Arial" w:hAnsi="Arial" w:cs="Arial"/>
        </w:rPr>
        <w:t xml:space="preserve">during the hearing </w:t>
      </w:r>
      <w:r w:rsidR="00DE1BB7" w:rsidRPr="00D15956">
        <w:rPr>
          <w:rFonts w:ascii="Arial" w:hAnsi="Arial" w:cs="Arial"/>
        </w:rPr>
        <w:t>in connection with the registration issue</w:t>
      </w:r>
      <w:r w:rsidR="007670F4" w:rsidRPr="00D15956">
        <w:rPr>
          <w:rFonts w:ascii="Arial" w:hAnsi="Arial" w:cs="Arial"/>
        </w:rPr>
        <w:t xml:space="preserve">, </w:t>
      </w:r>
      <w:r w:rsidR="003C1EE0" w:rsidRPr="00D15956">
        <w:rPr>
          <w:rFonts w:ascii="Arial" w:hAnsi="Arial" w:cs="Arial"/>
        </w:rPr>
        <w:t>endorsed the view</w:t>
      </w:r>
      <w:r w:rsidR="00C104FD" w:rsidRPr="00D15956">
        <w:rPr>
          <w:rFonts w:ascii="Arial" w:hAnsi="Arial" w:cs="Arial"/>
        </w:rPr>
        <w:t xml:space="preserve"> that</w:t>
      </w:r>
      <w:r w:rsidR="0076037A" w:rsidRPr="00D15956">
        <w:rPr>
          <w:rFonts w:ascii="Arial" w:hAnsi="Arial" w:cs="Arial"/>
        </w:rPr>
        <w:t xml:space="preserve"> Rise </w:t>
      </w:r>
      <w:r w:rsidR="00C104FD" w:rsidRPr="00D15956">
        <w:rPr>
          <w:rFonts w:ascii="Arial" w:hAnsi="Arial" w:cs="Arial"/>
        </w:rPr>
        <w:t>Security</w:t>
      </w:r>
      <w:r w:rsidR="00E525FE" w:rsidRPr="00D15956">
        <w:rPr>
          <w:rFonts w:ascii="Arial" w:hAnsi="Arial" w:cs="Arial"/>
        </w:rPr>
        <w:t xml:space="preserve"> was </w:t>
      </w:r>
      <w:r w:rsidR="00AD2A7C" w:rsidRPr="00D15956">
        <w:rPr>
          <w:rFonts w:ascii="Arial" w:hAnsi="Arial" w:cs="Arial"/>
        </w:rPr>
        <w:t xml:space="preserve">required </w:t>
      </w:r>
      <w:r w:rsidR="00E525FE" w:rsidRPr="00D15956">
        <w:rPr>
          <w:rFonts w:ascii="Arial" w:hAnsi="Arial" w:cs="Arial"/>
        </w:rPr>
        <w:t>to have alleged</w:t>
      </w:r>
      <w:r w:rsidR="0073762E" w:rsidRPr="00D15956">
        <w:rPr>
          <w:rFonts w:ascii="Arial" w:hAnsi="Arial" w:cs="Arial"/>
        </w:rPr>
        <w:t xml:space="preserve"> that it was duly registered in terms of s 20</w:t>
      </w:r>
      <w:r w:rsidR="00017633" w:rsidRPr="00D15956">
        <w:rPr>
          <w:rFonts w:ascii="Arial" w:hAnsi="Arial" w:cs="Arial"/>
        </w:rPr>
        <w:t> (1) (a) of PSIRA</w:t>
      </w:r>
      <w:r w:rsidR="00554936" w:rsidRPr="00D15956">
        <w:rPr>
          <w:rFonts w:ascii="Arial" w:hAnsi="Arial" w:cs="Arial"/>
        </w:rPr>
        <w:t xml:space="preserve"> </w:t>
      </w:r>
      <w:r w:rsidR="004E673A" w:rsidRPr="00D15956">
        <w:rPr>
          <w:rFonts w:ascii="Arial" w:hAnsi="Arial" w:cs="Arial"/>
        </w:rPr>
        <w:t xml:space="preserve">to ground </w:t>
      </w:r>
      <w:r w:rsidR="00554936" w:rsidRPr="00D15956">
        <w:rPr>
          <w:rFonts w:ascii="Arial" w:hAnsi="Arial" w:cs="Arial"/>
        </w:rPr>
        <w:t xml:space="preserve">any claim </w:t>
      </w:r>
      <w:r w:rsidR="002738E0" w:rsidRPr="00D15956">
        <w:rPr>
          <w:rFonts w:ascii="Arial" w:hAnsi="Arial" w:cs="Arial"/>
        </w:rPr>
        <w:t xml:space="preserve">on </w:t>
      </w:r>
      <w:r w:rsidR="00554936" w:rsidRPr="00D15956">
        <w:rPr>
          <w:rFonts w:ascii="Arial" w:hAnsi="Arial" w:cs="Arial"/>
        </w:rPr>
        <w:t xml:space="preserve">for remuneration </w:t>
      </w:r>
      <w:r w:rsidR="007234A4" w:rsidRPr="00D15956">
        <w:rPr>
          <w:rFonts w:ascii="Arial" w:hAnsi="Arial" w:cs="Arial"/>
        </w:rPr>
        <w:t>under the security contract.</w:t>
      </w:r>
    </w:p>
    <w:p w14:paraId="20F17A3C" w14:textId="075EC804" w:rsidR="008B54DE" w:rsidRPr="00D15956" w:rsidRDefault="00D15956" w:rsidP="00D15956">
      <w:pPr>
        <w:spacing w:line="480" w:lineRule="auto"/>
        <w:ind w:left="720" w:right="28"/>
        <w:rPr>
          <w:rFonts w:ascii="Arial" w:hAnsi="Arial" w:cs="Arial"/>
        </w:rPr>
      </w:pPr>
      <w:r w:rsidRPr="002F3ED4">
        <w:rPr>
          <w:rFonts w:ascii="Arial" w:hAnsi="Arial" w:cs="Arial"/>
        </w:rPr>
        <w:lastRenderedPageBreak/>
        <w:t>[30].</w:t>
      </w:r>
      <w:r w:rsidRPr="002F3ED4">
        <w:rPr>
          <w:rFonts w:ascii="Arial" w:hAnsi="Arial" w:cs="Arial"/>
        </w:rPr>
        <w:tab/>
      </w:r>
      <w:r w:rsidR="00197906" w:rsidRPr="00D15956">
        <w:rPr>
          <w:rFonts w:ascii="Arial" w:hAnsi="Arial" w:cs="Arial"/>
        </w:rPr>
        <w:t>On the other hand, a</w:t>
      </w:r>
      <w:r w:rsidR="00105F34" w:rsidRPr="00D15956">
        <w:rPr>
          <w:rFonts w:ascii="Arial" w:hAnsi="Arial" w:cs="Arial"/>
        </w:rPr>
        <w:t xml:space="preserve"> </w:t>
      </w:r>
      <w:r w:rsidR="00382527" w:rsidRPr="00D15956">
        <w:rPr>
          <w:rFonts w:ascii="Arial" w:hAnsi="Arial" w:cs="Arial"/>
        </w:rPr>
        <w:t xml:space="preserve">number of arguments </w:t>
      </w:r>
      <w:r w:rsidR="00162D19" w:rsidRPr="00D15956">
        <w:rPr>
          <w:rFonts w:ascii="Arial" w:hAnsi="Arial" w:cs="Arial"/>
        </w:rPr>
        <w:t xml:space="preserve">on the issue </w:t>
      </w:r>
      <w:r w:rsidR="00197906" w:rsidRPr="00D15956">
        <w:rPr>
          <w:rFonts w:ascii="Arial" w:hAnsi="Arial" w:cs="Arial"/>
        </w:rPr>
        <w:t xml:space="preserve">under discussion </w:t>
      </w:r>
      <w:r w:rsidR="00105F34" w:rsidRPr="00D15956">
        <w:rPr>
          <w:rFonts w:ascii="Arial" w:hAnsi="Arial" w:cs="Arial"/>
        </w:rPr>
        <w:t xml:space="preserve">were made </w:t>
      </w:r>
      <w:r w:rsidR="00426486" w:rsidRPr="00D15956">
        <w:rPr>
          <w:rFonts w:ascii="Arial" w:hAnsi="Arial" w:cs="Arial"/>
        </w:rPr>
        <w:t>on behalf of Rise Security</w:t>
      </w:r>
      <w:r w:rsidR="002C7B1E" w:rsidRPr="00D15956">
        <w:rPr>
          <w:rFonts w:ascii="Arial" w:hAnsi="Arial" w:cs="Arial"/>
        </w:rPr>
        <w:t xml:space="preserve"> by its </w:t>
      </w:r>
      <w:r w:rsidR="00426486" w:rsidRPr="00D15956">
        <w:rPr>
          <w:rFonts w:ascii="Arial" w:hAnsi="Arial" w:cs="Arial"/>
        </w:rPr>
        <w:t>counsel, Mr Steenkamp</w:t>
      </w:r>
      <w:r w:rsidR="00294D65" w:rsidRPr="00D15956">
        <w:rPr>
          <w:rFonts w:ascii="Arial" w:hAnsi="Arial" w:cs="Arial"/>
        </w:rPr>
        <w:t xml:space="preserve">, </w:t>
      </w:r>
      <w:r w:rsidR="00DD6FCB" w:rsidRPr="00D15956">
        <w:rPr>
          <w:rFonts w:ascii="Arial" w:hAnsi="Arial" w:cs="Arial"/>
        </w:rPr>
        <w:t xml:space="preserve">who </w:t>
      </w:r>
      <w:r w:rsidR="004E4EE3" w:rsidRPr="00D15956">
        <w:rPr>
          <w:rFonts w:ascii="Arial" w:hAnsi="Arial" w:cs="Arial"/>
        </w:rPr>
        <w:t>submitted that</w:t>
      </w:r>
      <w:r w:rsidR="00807B73" w:rsidRPr="00D15956">
        <w:rPr>
          <w:rFonts w:ascii="Arial" w:hAnsi="Arial" w:cs="Arial"/>
        </w:rPr>
        <w:t>,</w:t>
      </w:r>
      <w:r w:rsidR="004E4EE3" w:rsidRPr="00D15956">
        <w:rPr>
          <w:rFonts w:ascii="Arial" w:hAnsi="Arial" w:cs="Arial"/>
        </w:rPr>
        <w:t xml:space="preserve"> </w:t>
      </w:r>
      <w:r w:rsidR="005851DF" w:rsidRPr="00D15956">
        <w:rPr>
          <w:rFonts w:ascii="Arial" w:hAnsi="Arial" w:cs="Arial"/>
        </w:rPr>
        <w:t>in the light of these arguments</w:t>
      </w:r>
      <w:r w:rsidR="00807B73" w:rsidRPr="00D15956">
        <w:rPr>
          <w:rFonts w:ascii="Arial" w:hAnsi="Arial" w:cs="Arial"/>
        </w:rPr>
        <w:t>,</w:t>
      </w:r>
      <w:r w:rsidR="005851DF" w:rsidRPr="00D15956">
        <w:rPr>
          <w:rFonts w:ascii="Arial" w:hAnsi="Arial" w:cs="Arial"/>
        </w:rPr>
        <w:t xml:space="preserve"> </w:t>
      </w:r>
      <w:r w:rsidR="009841AB" w:rsidRPr="00D15956">
        <w:rPr>
          <w:rFonts w:ascii="Arial" w:hAnsi="Arial" w:cs="Arial"/>
        </w:rPr>
        <w:t xml:space="preserve">I </w:t>
      </w:r>
      <w:r w:rsidR="00807B73" w:rsidRPr="00D15956">
        <w:rPr>
          <w:rFonts w:ascii="Arial" w:hAnsi="Arial" w:cs="Arial"/>
        </w:rPr>
        <w:t xml:space="preserve">should grant </w:t>
      </w:r>
      <w:r w:rsidR="002E66D0" w:rsidRPr="00D15956">
        <w:rPr>
          <w:rFonts w:ascii="Arial" w:hAnsi="Arial" w:cs="Arial"/>
        </w:rPr>
        <w:t>summary judgment in favour of</w:t>
      </w:r>
      <w:r w:rsidR="00813CFC" w:rsidRPr="00D15956">
        <w:rPr>
          <w:rFonts w:ascii="Arial" w:hAnsi="Arial" w:cs="Arial"/>
        </w:rPr>
        <w:t xml:space="preserve"> Rise Security.  The arguments advanced </w:t>
      </w:r>
      <w:r w:rsidR="000A470A" w:rsidRPr="00D15956">
        <w:rPr>
          <w:rFonts w:ascii="Arial" w:hAnsi="Arial" w:cs="Arial"/>
        </w:rPr>
        <w:t>by counsel are the following:</w:t>
      </w:r>
    </w:p>
    <w:p w14:paraId="0BD12E0A" w14:textId="41384F10" w:rsidR="006F52D5" w:rsidRPr="002F3ED4" w:rsidRDefault="00EA1F71" w:rsidP="00ED5F6A">
      <w:pPr>
        <w:tabs>
          <w:tab w:val="left" w:pos="1560"/>
        </w:tabs>
        <w:spacing w:line="480" w:lineRule="auto"/>
        <w:ind w:left="1560" w:right="28" w:hanging="851"/>
        <w:rPr>
          <w:rFonts w:ascii="Arial" w:hAnsi="Arial" w:cs="Arial"/>
        </w:rPr>
      </w:pPr>
      <w:r w:rsidRPr="002F3ED4">
        <w:rPr>
          <w:rFonts w:ascii="Arial" w:hAnsi="Arial" w:cs="Arial"/>
        </w:rPr>
        <w:t>[</w:t>
      </w:r>
      <w:r w:rsidR="00D34496" w:rsidRPr="002F3ED4">
        <w:rPr>
          <w:rFonts w:ascii="Arial" w:hAnsi="Arial" w:cs="Arial"/>
        </w:rPr>
        <w:t>30</w:t>
      </w:r>
      <w:r w:rsidRPr="002F3ED4">
        <w:rPr>
          <w:rFonts w:ascii="Arial" w:hAnsi="Arial" w:cs="Arial"/>
        </w:rPr>
        <w:t>.1].</w:t>
      </w:r>
      <w:r w:rsidRPr="002F3ED4">
        <w:rPr>
          <w:rFonts w:ascii="Arial" w:hAnsi="Arial" w:cs="Arial"/>
        </w:rPr>
        <w:tab/>
      </w:r>
      <w:r w:rsidR="00B474F0" w:rsidRPr="002F3ED4">
        <w:rPr>
          <w:rFonts w:ascii="Arial" w:hAnsi="Arial" w:cs="Arial"/>
        </w:rPr>
        <w:t xml:space="preserve">First, </w:t>
      </w:r>
      <w:r w:rsidR="00392ECF" w:rsidRPr="002F3ED4">
        <w:rPr>
          <w:rFonts w:ascii="Arial" w:hAnsi="Arial" w:cs="Arial"/>
        </w:rPr>
        <w:t>he submitted</w:t>
      </w:r>
      <w:r w:rsidR="00FE24BB" w:rsidRPr="002F3ED4">
        <w:rPr>
          <w:rFonts w:ascii="Arial" w:hAnsi="Arial" w:cs="Arial"/>
        </w:rPr>
        <w:t xml:space="preserve"> that such an allegation was unnecessary in the </w:t>
      </w:r>
      <w:r w:rsidR="00ED5F6A" w:rsidRPr="002F3ED4">
        <w:rPr>
          <w:rFonts w:ascii="Arial" w:hAnsi="Arial" w:cs="Arial"/>
        </w:rPr>
        <w:t>present instance</w:t>
      </w:r>
      <w:r w:rsidR="00217D6D" w:rsidRPr="002F3ED4">
        <w:rPr>
          <w:rFonts w:ascii="Arial" w:hAnsi="Arial" w:cs="Arial"/>
        </w:rPr>
        <w:t xml:space="preserve"> because</w:t>
      </w:r>
      <w:r w:rsidR="00471FCE" w:rsidRPr="002F3ED4">
        <w:rPr>
          <w:rFonts w:ascii="Arial" w:hAnsi="Arial" w:cs="Arial"/>
        </w:rPr>
        <w:t xml:space="preserve"> Rise Security’s letter of 28 October 2022</w:t>
      </w:r>
      <w:r w:rsidR="00D177B2" w:rsidRPr="002F3ED4">
        <w:rPr>
          <w:rStyle w:val="FootnoteReference"/>
          <w:rFonts w:ascii="Arial" w:hAnsi="Arial" w:cs="Arial"/>
        </w:rPr>
        <w:footnoteReference w:id="31"/>
      </w:r>
      <w:r w:rsidR="00030C04" w:rsidRPr="002F3ED4">
        <w:rPr>
          <w:rFonts w:ascii="Arial" w:hAnsi="Arial" w:cs="Arial"/>
        </w:rPr>
        <w:t xml:space="preserve"> </w:t>
      </w:r>
      <w:r w:rsidR="002D2BF1" w:rsidRPr="002F3ED4">
        <w:rPr>
          <w:rFonts w:ascii="Arial" w:hAnsi="Arial" w:cs="Arial"/>
        </w:rPr>
        <w:t xml:space="preserve">- </w:t>
      </w:r>
      <w:r w:rsidR="004E5484" w:rsidRPr="002F3ED4">
        <w:rPr>
          <w:rFonts w:ascii="Arial" w:hAnsi="Arial" w:cs="Arial"/>
        </w:rPr>
        <w:t>contain</w:t>
      </w:r>
      <w:r w:rsidR="002D2BF1" w:rsidRPr="002F3ED4">
        <w:rPr>
          <w:rFonts w:ascii="Arial" w:hAnsi="Arial" w:cs="Arial"/>
        </w:rPr>
        <w:t>ing</w:t>
      </w:r>
      <w:r w:rsidR="004E5484" w:rsidRPr="002F3ED4">
        <w:rPr>
          <w:rFonts w:ascii="Arial" w:hAnsi="Arial" w:cs="Arial"/>
        </w:rPr>
        <w:t xml:space="preserve"> </w:t>
      </w:r>
      <w:r w:rsidR="00030C04" w:rsidRPr="002F3ED4">
        <w:rPr>
          <w:rFonts w:ascii="Arial" w:hAnsi="Arial" w:cs="Arial"/>
        </w:rPr>
        <w:t xml:space="preserve">its </w:t>
      </w:r>
      <w:r w:rsidR="004E5484" w:rsidRPr="002F3ED4">
        <w:rPr>
          <w:rFonts w:ascii="Arial" w:hAnsi="Arial" w:cs="Arial"/>
        </w:rPr>
        <w:t xml:space="preserve">written quotation </w:t>
      </w:r>
      <w:r w:rsidR="008559DE" w:rsidRPr="002F3ED4">
        <w:rPr>
          <w:rFonts w:ascii="Arial" w:hAnsi="Arial" w:cs="Arial"/>
        </w:rPr>
        <w:t xml:space="preserve">to the NYDA </w:t>
      </w:r>
      <w:r w:rsidR="004E5484" w:rsidRPr="002F3ED4">
        <w:rPr>
          <w:rFonts w:ascii="Arial" w:hAnsi="Arial" w:cs="Arial"/>
        </w:rPr>
        <w:t xml:space="preserve">for </w:t>
      </w:r>
      <w:r w:rsidR="008559DE" w:rsidRPr="002F3ED4">
        <w:rPr>
          <w:rFonts w:ascii="Arial" w:hAnsi="Arial" w:cs="Arial"/>
        </w:rPr>
        <w:t xml:space="preserve">the </w:t>
      </w:r>
      <w:r w:rsidR="004E5484" w:rsidRPr="002F3ED4">
        <w:rPr>
          <w:rFonts w:ascii="Arial" w:hAnsi="Arial" w:cs="Arial"/>
        </w:rPr>
        <w:t>security services</w:t>
      </w:r>
      <w:r w:rsidR="008559DE" w:rsidRPr="002F3ED4">
        <w:rPr>
          <w:rFonts w:ascii="Arial" w:hAnsi="Arial" w:cs="Arial"/>
        </w:rPr>
        <w:t xml:space="preserve"> in question</w:t>
      </w:r>
      <w:r w:rsidR="002D2BF1" w:rsidRPr="002F3ED4">
        <w:rPr>
          <w:rFonts w:ascii="Arial" w:hAnsi="Arial" w:cs="Arial"/>
        </w:rPr>
        <w:t xml:space="preserve"> </w:t>
      </w:r>
      <w:r w:rsidR="00A223A1" w:rsidRPr="002F3ED4">
        <w:rPr>
          <w:rFonts w:ascii="Arial" w:hAnsi="Arial" w:cs="Arial"/>
        </w:rPr>
        <w:t>–</w:t>
      </w:r>
      <w:r w:rsidR="002D2BF1" w:rsidRPr="002F3ED4">
        <w:rPr>
          <w:rFonts w:ascii="Arial" w:hAnsi="Arial" w:cs="Arial"/>
        </w:rPr>
        <w:t xml:space="preserve"> </w:t>
      </w:r>
      <w:r w:rsidR="003918F5" w:rsidRPr="002F3ED4">
        <w:rPr>
          <w:rFonts w:ascii="Arial" w:hAnsi="Arial" w:cs="Arial"/>
        </w:rPr>
        <w:t>rev</w:t>
      </w:r>
      <w:r w:rsidR="00A223A1" w:rsidRPr="002F3ED4">
        <w:rPr>
          <w:rFonts w:ascii="Arial" w:hAnsi="Arial" w:cs="Arial"/>
        </w:rPr>
        <w:t>eals in its letterhead that its registration n</w:t>
      </w:r>
      <w:r w:rsidR="004B215A" w:rsidRPr="002F3ED4">
        <w:rPr>
          <w:rFonts w:ascii="Arial" w:hAnsi="Arial" w:cs="Arial"/>
        </w:rPr>
        <w:t xml:space="preserve">umber </w:t>
      </w:r>
      <w:r w:rsidR="00F1716C" w:rsidRPr="002F3ED4">
        <w:rPr>
          <w:rFonts w:ascii="Arial" w:hAnsi="Arial" w:cs="Arial"/>
        </w:rPr>
        <w:t xml:space="preserve">under PSIRA is </w:t>
      </w:r>
      <w:bookmarkStart w:id="29" w:name="_Hlk152683192"/>
      <w:r w:rsidR="00F1716C" w:rsidRPr="002F3ED4">
        <w:rPr>
          <w:rFonts w:ascii="Arial" w:hAnsi="Arial" w:cs="Arial"/>
        </w:rPr>
        <w:t>‘</w:t>
      </w:r>
      <w:r w:rsidR="00107BB0" w:rsidRPr="002F3ED4">
        <w:rPr>
          <w:rFonts w:ascii="Arial" w:hAnsi="Arial" w:cs="Arial"/>
          <w:i/>
        </w:rPr>
        <w:t xml:space="preserve">PSIRA </w:t>
      </w:r>
      <w:r w:rsidR="000F10BD" w:rsidRPr="002F3ED4">
        <w:rPr>
          <w:rFonts w:ascii="Arial" w:hAnsi="Arial" w:cs="Arial"/>
          <w:i/>
        </w:rPr>
        <w:t>NO: 417414</w:t>
      </w:r>
      <w:r w:rsidR="00B12518" w:rsidRPr="002F3ED4">
        <w:rPr>
          <w:rFonts w:ascii="Arial" w:hAnsi="Arial" w:cs="Arial"/>
        </w:rPr>
        <w:t>’</w:t>
      </w:r>
      <w:bookmarkEnd w:id="29"/>
      <w:r w:rsidR="00153BE6" w:rsidRPr="002F3ED4">
        <w:rPr>
          <w:rFonts w:ascii="Arial" w:hAnsi="Arial" w:cs="Arial"/>
        </w:rPr>
        <w:t>.</w:t>
      </w:r>
      <w:r w:rsidR="0083125E" w:rsidRPr="002F3ED4">
        <w:rPr>
          <w:rStyle w:val="FootnoteReference"/>
          <w:rFonts w:ascii="Arial" w:hAnsi="Arial" w:cs="Arial"/>
        </w:rPr>
        <w:footnoteReference w:id="32"/>
      </w:r>
      <w:r w:rsidR="009C10B3" w:rsidRPr="002F3ED4">
        <w:rPr>
          <w:rFonts w:ascii="Arial" w:hAnsi="Arial" w:cs="Arial"/>
        </w:rPr>
        <w:t xml:space="preserve">  </w:t>
      </w:r>
      <w:r w:rsidR="00792D79" w:rsidRPr="002F3ED4">
        <w:rPr>
          <w:rFonts w:ascii="Arial" w:hAnsi="Arial" w:cs="Arial"/>
        </w:rPr>
        <w:t xml:space="preserve">In this regard, </w:t>
      </w:r>
      <w:r w:rsidR="00D93D13" w:rsidRPr="002F3ED4">
        <w:rPr>
          <w:rFonts w:ascii="Arial" w:hAnsi="Arial" w:cs="Arial"/>
        </w:rPr>
        <w:t>I was referred to the</w:t>
      </w:r>
      <w:r w:rsidR="006F21CD" w:rsidRPr="002F3ED4">
        <w:rPr>
          <w:rFonts w:ascii="Arial" w:hAnsi="Arial" w:cs="Arial"/>
        </w:rPr>
        <w:t xml:space="preserve"> judgment in </w:t>
      </w:r>
      <w:r w:rsidR="00746D2F" w:rsidRPr="002F3ED4">
        <w:rPr>
          <w:rFonts w:ascii="Arial" w:hAnsi="Arial" w:cs="Arial"/>
          <w:b/>
          <w:bCs/>
          <w:i/>
          <w:iCs/>
        </w:rPr>
        <w:t>Tum Investments (Pty) Ltd v Xal</w:t>
      </w:r>
      <w:r w:rsidR="0093565A" w:rsidRPr="002F3ED4">
        <w:rPr>
          <w:rFonts w:ascii="Arial" w:hAnsi="Arial" w:cs="Arial"/>
          <w:b/>
          <w:bCs/>
          <w:i/>
          <w:iCs/>
        </w:rPr>
        <w:t xml:space="preserve">indri Boerdery (Pty) Ltd </w:t>
      </w:r>
      <w:r w:rsidR="007E1E5D" w:rsidRPr="002F3ED4">
        <w:rPr>
          <w:rFonts w:ascii="Arial" w:hAnsi="Arial" w:cs="Arial"/>
          <w:b/>
          <w:bCs/>
          <w:i/>
          <w:iCs/>
        </w:rPr>
        <w:t>and Others</w:t>
      </w:r>
      <w:r w:rsidR="00347302" w:rsidRPr="002F3ED4">
        <w:rPr>
          <w:rFonts w:ascii="Arial" w:hAnsi="Arial" w:cs="Arial"/>
        </w:rPr>
        <w:t>,</w:t>
      </w:r>
      <w:r w:rsidR="00591AA9" w:rsidRPr="002F3ED4">
        <w:rPr>
          <w:rStyle w:val="FootnoteReference"/>
          <w:rFonts w:ascii="Arial" w:hAnsi="Arial" w:cs="Arial"/>
        </w:rPr>
        <w:footnoteReference w:id="33"/>
      </w:r>
      <w:r w:rsidR="00C603C8" w:rsidRPr="002F3ED4">
        <w:rPr>
          <w:rFonts w:ascii="Arial" w:hAnsi="Arial" w:cs="Arial"/>
        </w:rPr>
        <w:t xml:space="preserve"> where the</w:t>
      </w:r>
      <w:r w:rsidR="006F21CD">
        <w:rPr>
          <w:rFonts w:ascii="Times New Roman" w:hAnsi="Times New Roman"/>
        </w:rPr>
        <w:t xml:space="preserve"> </w:t>
      </w:r>
      <w:r w:rsidR="00C0375A" w:rsidRPr="002F3ED4">
        <w:rPr>
          <w:rFonts w:ascii="Arial" w:hAnsi="Arial" w:cs="Arial"/>
        </w:rPr>
        <w:t xml:space="preserve">Bloemfontein Division of the High Court </w:t>
      </w:r>
      <w:r w:rsidR="006F21CD" w:rsidRPr="002F3ED4">
        <w:rPr>
          <w:rFonts w:ascii="Arial" w:hAnsi="Arial" w:cs="Arial"/>
        </w:rPr>
        <w:t>(</w:t>
      </w:r>
      <w:r w:rsidR="006F21CD" w:rsidRPr="002F3ED4">
        <w:rPr>
          <w:rFonts w:ascii="Arial" w:hAnsi="Arial" w:cs="Arial"/>
          <w:i/>
          <w:iCs/>
        </w:rPr>
        <w:t>per</w:t>
      </w:r>
      <w:r w:rsidR="006F21CD" w:rsidRPr="002F3ED4">
        <w:rPr>
          <w:rFonts w:ascii="Arial" w:hAnsi="Arial" w:cs="Arial"/>
        </w:rPr>
        <w:t xml:space="preserve"> Lekale J)</w:t>
      </w:r>
      <w:r w:rsidR="00E03872" w:rsidRPr="002F3ED4">
        <w:rPr>
          <w:rFonts w:ascii="Arial" w:hAnsi="Arial" w:cs="Arial"/>
        </w:rPr>
        <w:t xml:space="preserve"> stated the following</w:t>
      </w:r>
      <w:r w:rsidR="00CB0E71" w:rsidRPr="002F3ED4">
        <w:rPr>
          <w:rFonts w:ascii="Arial" w:hAnsi="Arial" w:cs="Arial"/>
        </w:rPr>
        <w:t>:</w:t>
      </w:r>
      <w:r w:rsidR="00FB3FE5" w:rsidRPr="002F3ED4">
        <w:rPr>
          <w:rStyle w:val="FootnoteReference"/>
          <w:rFonts w:ascii="Arial" w:hAnsi="Arial" w:cs="Arial"/>
        </w:rPr>
        <w:footnoteReference w:id="34"/>
      </w:r>
    </w:p>
    <w:p w14:paraId="11E29E50" w14:textId="3272E7CC" w:rsidR="00CB0E71" w:rsidRPr="00EA5435" w:rsidRDefault="00CB0E71" w:rsidP="006C43CD">
      <w:pPr>
        <w:tabs>
          <w:tab w:val="left" w:pos="2127"/>
        </w:tabs>
        <w:spacing w:before="120" w:line="240" w:lineRule="auto"/>
        <w:ind w:left="2126" w:right="522" w:firstLine="0"/>
        <w:rPr>
          <w:rFonts w:ascii="Arial" w:hAnsi="Arial" w:cs="Arial"/>
          <w:sz w:val="22"/>
          <w:szCs w:val="22"/>
        </w:rPr>
      </w:pPr>
      <w:r w:rsidRPr="002F3ED4">
        <w:rPr>
          <w:rFonts w:ascii="Arial" w:hAnsi="Arial" w:cs="Arial"/>
          <w:sz w:val="22"/>
          <w:szCs w:val="22"/>
        </w:rPr>
        <w:t>‘</w:t>
      </w:r>
      <w:r w:rsidR="008C53A2" w:rsidRPr="002F3ED4">
        <w:rPr>
          <w:rFonts w:ascii="Arial" w:hAnsi="Arial" w:cs="Arial"/>
          <w:sz w:val="22"/>
          <w:szCs w:val="22"/>
        </w:rPr>
        <w:t>[23]  In my view, the fact that the applicant does not expressly or specifically disclose</w:t>
      </w:r>
      <w:r w:rsidR="00352509" w:rsidRPr="002F3ED4">
        <w:rPr>
          <w:rFonts w:ascii="Arial" w:hAnsi="Arial" w:cs="Arial"/>
          <w:sz w:val="22"/>
          <w:szCs w:val="22"/>
        </w:rPr>
        <w:t>, in the launching papers, that it is either registered or not required to register *[</w:t>
      </w:r>
      <w:r w:rsidR="00BA7E17" w:rsidRPr="002F3ED4">
        <w:rPr>
          <w:rFonts w:ascii="Arial" w:hAnsi="Arial" w:cs="Arial"/>
          <w:b/>
          <w:bCs/>
          <w:sz w:val="22"/>
          <w:szCs w:val="22"/>
        </w:rPr>
        <w:t>i.e., as a credit provider in terms of the National Credit Act 34 of 2005</w:t>
      </w:r>
      <w:r w:rsidR="00BA7E17" w:rsidRPr="002F3ED4">
        <w:rPr>
          <w:rFonts w:ascii="Arial" w:hAnsi="Arial" w:cs="Arial"/>
          <w:sz w:val="22"/>
          <w:szCs w:val="22"/>
        </w:rPr>
        <w:t>]</w:t>
      </w:r>
      <w:r w:rsidR="00291241" w:rsidRPr="002F3ED4">
        <w:rPr>
          <w:rFonts w:ascii="Arial" w:hAnsi="Arial" w:cs="Arial"/>
          <w:sz w:val="22"/>
          <w:szCs w:val="22"/>
        </w:rPr>
        <w:t>,</w:t>
      </w:r>
      <w:r w:rsidR="00D814AA" w:rsidRPr="002F3ED4">
        <w:rPr>
          <w:rFonts w:ascii="Arial" w:hAnsi="Arial" w:cs="Arial"/>
          <w:sz w:val="22"/>
          <w:szCs w:val="22"/>
        </w:rPr>
        <w:t xml:space="preserve"> does not per se dispose of the matter.  </w:t>
      </w:r>
      <w:r w:rsidR="00D814AA" w:rsidRPr="002F3ED4">
        <w:rPr>
          <w:rFonts w:ascii="Arial" w:hAnsi="Arial" w:cs="Arial"/>
          <w:b/>
          <w:bCs/>
          <w:sz w:val="22"/>
          <w:szCs w:val="22"/>
        </w:rPr>
        <w:t>The enquiry, in my</w:t>
      </w:r>
      <w:r w:rsidR="00565937" w:rsidRPr="002F3ED4">
        <w:rPr>
          <w:rFonts w:ascii="Arial" w:hAnsi="Arial" w:cs="Arial"/>
          <w:b/>
          <w:bCs/>
          <w:sz w:val="22"/>
          <w:szCs w:val="22"/>
        </w:rPr>
        <w:t xml:space="preserve"> judgment</w:t>
      </w:r>
      <w:r w:rsidR="00D814AA" w:rsidRPr="002F3ED4">
        <w:rPr>
          <w:rFonts w:ascii="Arial" w:hAnsi="Arial" w:cs="Arial"/>
          <w:b/>
          <w:bCs/>
          <w:sz w:val="22"/>
          <w:szCs w:val="22"/>
        </w:rPr>
        <w:t>,</w:t>
      </w:r>
      <w:r w:rsidR="00565937" w:rsidRPr="002F3ED4">
        <w:rPr>
          <w:rFonts w:ascii="Arial" w:hAnsi="Arial" w:cs="Arial"/>
          <w:b/>
          <w:bCs/>
          <w:sz w:val="22"/>
          <w:szCs w:val="22"/>
        </w:rPr>
        <w:t xml:space="preserve"> is whether or not it is apparent,</w:t>
      </w:r>
      <w:r w:rsidR="006204C3" w:rsidRPr="002F3ED4">
        <w:rPr>
          <w:rFonts w:ascii="Arial" w:hAnsi="Arial" w:cs="Arial"/>
          <w:b/>
          <w:bCs/>
          <w:sz w:val="22"/>
          <w:szCs w:val="22"/>
        </w:rPr>
        <w:t xml:space="preserve"> </w:t>
      </w:r>
      <w:r w:rsidR="006204C3" w:rsidRPr="002F3ED4">
        <w:rPr>
          <w:rFonts w:ascii="Arial" w:hAnsi="Arial" w:cs="Arial"/>
          <w:b/>
          <w:bCs/>
          <w:i/>
          <w:sz w:val="22"/>
          <w:szCs w:val="22"/>
        </w:rPr>
        <w:t>ex facie</w:t>
      </w:r>
      <w:r w:rsidR="0033708F" w:rsidRPr="002F3ED4">
        <w:rPr>
          <w:rFonts w:ascii="Arial" w:hAnsi="Arial" w:cs="Arial"/>
          <w:b/>
          <w:bCs/>
          <w:sz w:val="22"/>
          <w:szCs w:val="22"/>
        </w:rPr>
        <w:t xml:space="preserve"> the founding papers looked at as a</w:t>
      </w:r>
      <w:r w:rsidR="0033708F" w:rsidRPr="00E908FB">
        <w:rPr>
          <w:rFonts w:ascii="Times New Roman" w:hAnsi="Times New Roman"/>
          <w:b/>
          <w:bCs/>
          <w:sz w:val="20"/>
          <w:szCs w:val="20"/>
        </w:rPr>
        <w:t xml:space="preserve"> </w:t>
      </w:r>
      <w:r w:rsidR="0033708F" w:rsidRPr="00EA5435">
        <w:rPr>
          <w:rFonts w:ascii="Arial" w:hAnsi="Arial" w:cs="Arial"/>
          <w:b/>
          <w:bCs/>
          <w:sz w:val="22"/>
          <w:szCs w:val="22"/>
        </w:rPr>
        <w:t>whole</w:t>
      </w:r>
      <w:r w:rsidR="006C43CD" w:rsidRPr="00EA5435">
        <w:rPr>
          <w:rFonts w:ascii="Arial" w:hAnsi="Arial" w:cs="Arial"/>
          <w:b/>
          <w:bCs/>
          <w:sz w:val="22"/>
          <w:szCs w:val="22"/>
        </w:rPr>
        <w:t>, that the applicant is registered or exempt from registration as a credit provider so as to be able, in law, to enforce the relevant credit</w:t>
      </w:r>
      <w:r w:rsidR="006C43CD" w:rsidRPr="00EA5435">
        <w:rPr>
          <w:rFonts w:ascii="Arial" w:hAnsi="Arial" w:cs="Arial"/>
          <w:sz w:val="22"/>
          <w:szCs w:val="22"/>
        </w:rPr>
        <w:t>.’</w:t>
      </w:r>
    </w:p>
    <w:p w14:paraId="4C2DD5FC" w14:textId="4DDDD408" w:rsidR="006C43CD" w:rsidRPr="00EA5435" w:rsidRDefault="006C43CD" w:rsidP="006C43CD">
      <w:pPr>
        <w:tabs>
          <w:tab w:val="left" w:pos="2127"/>
        </w:tabs>
        <w:spacing w:before="120" w:line="240" w:lineRule="auto"/>
        <w:ind w:left="2126" w:right="522" w:firstLine="0"/>
        <w:rPr>
          <w:rFonts w:ascii="Arial" w:hAnsi="Arial" w:cs="Arial"/>
          <w:iCs/>
          <w:sz w:val="22"/>
          <w:szCs w:val="22"/>
        </w:rPr>
      </w:pPr>
      <w:r w:rsidRPr="00EA5435">
        <w:rPr>
          <w:rFonts w:ascii="Arial" w:hAnsi="Arial" w:cs="Arial"/>
          <w:sz w:val="22"/>
          <w:szCs w:val="22"/>
        </w:rPr>
        <w:t>(Own emphasis and *insertion).</w:t>
      </w:r>
    </w:p>
    <w:p w14:paraId="16E85119" w14:textId="51FF9B2C" w:rsidR="00991DE1" w:rsidRPr="000E2B2C" w:rsidRDefault="00153BE6" w:rsidP="00991DE1">
      <w:pPr>
        <w:tabs>
          <w:tab w:val="left" w:pos="1560"/>
        </w:tabs>
        <w:spacing w:line="480" w:lineRule="auto"/>
        <w:ind w:left="1560" w:right="28" w:hanging="851"/>
        <w:rPr>
          <w:rFonts w:ascii="Arial" w:hAnsi="Arial" w:cs="Arial"/>
        </w:rPr>
      </w:pPr>
      <w:r>
        <w:rPr>
          <w:rFonts w:ascii="Times New Roman" w:hAnsi="Times New Roman"/>
        </w:rPr>
        <w:t>[</w:t>
      </w:r>
      <w:r w:rsidR="00D34496">
        <w:rPr>
          <w:rFonts w:ascii="Times New Roman" w:hAnsi="Times New Roman"/>
        </w:rPr>
        <w:t>30</w:t>
      </w:r>
      <w:r>
        <w:rPr>
          <w:rFonts w:ascii="Times New Roman" w:hAnsi="Times New Roman"/>
        </w:rPr>
        <w:t>.2].</w:t>
      </w:r>
      <w:r>
        <w:rPr>
          <w:rFonts w:ascii="Times New Roman" w:hAnsi="Times New Roman"/>
        </w:rPr>
        <w:tab/>
      </w:r>
      <w:r w:rsidRPr="006F6727">
        <w:rPr>
          <w:rFonts w:ascii="Arial" w:hAnsi="Arial" w:cs="Arial"/>
        </w:rPr>
        <w:t>Second</w:t>
      </w:r>
      <w:r w:rsidR="00614DEE" w:rsidRPr="006F6727">
        <w:rPr>
          <w:rFonts w:ascii="Arial" w:hAnsi="Arial" w:cs="Arial"/>
        </w:rPr>
        <w:t xml:space="preserve">, he </w:t>
      </w:r>
      <w:r w:rsidR="00A0526F" w:rsidRPr="006F6727">
        <w:rPr>
          <w:rFonts w:ascii="Arial" w:hAnsi="Arial" w:cs="Arial"/>
        </w:rPr>
        <w:t xml:space="preserve">additionally </w:t>
      </w:r>
      <w:r w:rsidR="00614DEE" w:rsidRPr="006F6727">
        <w:rPr>
          <w:rFonts w:ascii="Arial" w:hAnsi="Arial" w:cs="Arial"/>
        </w:rPr>
        <w:t xml:space="preserve">submitted </w:t>
      </w:r>
      <w:r w:rsidR="003D2EDC" w:rsidRPr="006F6727">
        <w:rPr>
          <w:rFonts w:ascii="Arial" w:hAnsi="Arial" w:cs="Arial"/>
        </w:rPr>
        <w:t xml:space="preserve">that </w:t>
      </w:r>
      <w:r w:rsidR="00BC5817" w:rsidRPr="006F6727">
        <w:rPr>
          <w:rFonts w:ascii="Arial" w:hAnsi="Arial" w:cs="Arial"/>
        </w:rPr>
        <w:t xml:space="preserve">- </w:t>
      </w:r>
      <w:r w:rsidR="003D2EDC" w:rsidRPr="006F6727">
        <w:rPr>
          <w:rFonts w:ascii="Arial" w:hAnsi="Arial" w:cs="Arial"/>
        </w:rPr>
        <w:t xml:space="preserve">even if </w:t>
      </w:r>
      <w:r w:rsidR="005E569C" w:rsidRPr="006F6727">
        <w:rPr>
          <w:rFonts w:ascii="Arial" w:hAnsi="Arial" w:cs="Arial"/>
        </w:rPr>
        <w:t xml:space="preserve">his preceding submission </w:t>
      </w:r>
      <w:r w:rsidR="007E3D19" w:rsidRPr="006F6727">
        <w:rPr>
          <w:rFonts w:ascii="Arial" w:hAnsi="Arial" w:cs="Arial"/>
        </w:rPr>
        <w:t>was not upheld</w:t>
      </w:r>
      <w:r w:rsidR="00BC5817" w:rsidRPr="006F6727">
        <w:rPr>
          <w:rFonts w:ascii="Arial" w:hAnsi="Arial" w:cs="Arial"/>
        </w:rPr>
        <w:t xml:space="preserve"> -</w:t>
      </w:r>
      <w:r w:rsidR="007E3D19" w:rsidRPr="006F6727">
        <w:rPr>
          <w:rFonts w:ascii="Arial" w:hAnsi="Arial" w:cs="Arial"/>
        </w:rPr>
        <w:t xml:space="preserve"> </w:t>
      </w:r>
      <w:r w:rsidR="006A03C7" w:rsidRPr="006F6727">
        <w:rPr>
          <w:rFonts w:ascii="Arial" w:hAnsi="Arial" w:cs="Arial"/>
        </w:rPr>
        <w:t>the failure to make</w:t>
      </w:r>
      <w:r w:rsidR="006E59D3" w:rsidRPr="006F6727">
        <w:rPr>
          <w:rFonts w:ascii="Arial" w:hAnsi="Arial" w:cs="Arial"/>
        </w:rPr>
        <w:t xml:space="preserve"> such </w:t>
      </w:r>
      <w:r w:rsidR="003860F1" w:rsidRPr="006F6727">
        <w:rPr>
          <w:rFonts w:ascii="Arial" w:hAnsi="Arial" w:cs="Arial"/>
        </w:rPr>
        <w:t xml:space="preserve">an </w:t>
      </w:r>
      <w:r w:rsidR="006E59D3" w:rsidRPr="006F6727">
        <w:rPr>
          <w:rFonts w:ascii="Arial" w:hAnsi="Arial" w:cs="Arial"/>
        </w:rPr>
        <w:t xml:space="preserve">allegation would not </w:t>
      </w:r>
      <w:r w:rsidR="003860F1" w:rsidRPr="006F6727">
        <w:rPr>
          <w:rFonts w:ascii="Arial" w:hAnsi="Arial" w:cs="Arial"/>
        </w:rPr>
        <w:t>necessarily</w:t>
      </w:r>
      <w:r w:rsidR="003860F1">
        <w:rPr>
          <w:rFonts w:ascii="Times New Roman" w:hAnsi="Times New Roman"/>
        </w:rPr>
        <w:t xml:space="preserve"> </w:t>
      </w:r>
      <w:r w:rsidR="003860F1" w:rsidRPr="000E2B2C">
        <w:rPr>
          <w:rFonts w:ascii="Arial" w:hAnsi="Arial" w:cs="Arial"/>
        </w:rPr>
        <w:t>render the security contract in</w:t>
      </w:r>
      <w:r w:rsidR="00A0526F" w:rsidRPr="000E2B2C">
        <w:rPr>
          <w:rFonts w:ascii="Arial" w:hAnsi="Arial" w:cs="Arial"/>
        </w:rPr>
        <w:t xml:space="preserve">valid.  In this </w:t>
      </w:r>
      <w:r w:rsidR="00BC5817" w:rsidRPr="000E2B2C">
        <w:rPr>
          <w:rFonts w:ascii="Arial" w:hAnsi="Arial" w:cs="Arial"/>
        </w:rPr>
        <w:t xml:space="preserve">regard, he </w:t>
      </w:r>
      <w:r w:rsidR="0031049E" w:rsidRPr="000E2B2C">
        <w:rPr>
          <w:rFonts w:ascii="Arial" w:hAnsi="Arial" w:cs="Arial"/>
        </w:rPr>
        <w:t xml:space="preserve">compared the present security contract with </w:t>
      </w:r>
      <w:r w:rsidR="009C0A12" w:rsidRPr="000E2B2C">
        <w:rPr>
          <w:rFonts w:ascii="Arial" w:hAnsi="Arial" w:cs="Arial"/>
        </w:rPr>
        <w:t xml:space="preserve">an </w:t>
      </w:r>
      <w:bookmarkStart w:id="30" w:name="_Hlk152685606"/>
      <w:r w:rsidR="009C0A12" w:rsidRPr="000E2B2C">
        <w:rPr>
          <w:rFonts w:ascii="Arial" w:hAnsi="Arial" w:cs="Arial"/>
        </w:rPr>
        <w:t xml:space="preserve">estate </w:t>
      </w:r>
      <w:r w:rsidR="009C0A12" w:rsidRPr="000E2B2C">
        <w:rPr>
          <w:rFonts w:ascii="Arial" w:hAnsi="Arial" w:cs="Arial"/>
        </w:rPr>
        <w:lastRenderedPageBreak/>
        <w:t xml:space="preserve">agent’s </w:t>
      </w:r>
      <w:r w:rsidR="00A35FE8" w:rsidRPr="000E2B2C">
        <w:rPr>
          <w:rFonts w:ascii="Arial" w:hAnsi="Arial" w:cs="Arial"/>
        </w:rPr>
        <w:t xml:space="preserve">agreement of </w:t>
      </w:r>
      <w:r w:rsidR="009C0A12" w:rsidRPr="000E2B2C">
        <w:rPr>
          <w:rFonts w:ascii="Arial" w:hAnsi="Arial" w:cs="Arial"/>
        </w:rPr>
        <w:t xml:space="preserve">mandate </w:t>
      </w:r>
      <w:bookmarkEnd w:id="30"/>
      <w:r w:rsidR="009C0A12" w:rsidRPr="000E2B2C">
        <w:rPr>
          <w:rFonts w:ascii="Arial" w:hAnsi="Arial" w:cs="Arial"/>
        </w:rPr>
        <w:t xml:space="preserve">to bring </w:t>
      </w:r>
      <w:r w:rsidR="0080582A" w:rsidRPr="000E2B2C">
        <w:rPr>
          <w:rFonts w:ascii="Arial" w:hAnsi="Arial" w:cs="Arial"/>
        </w:rPr>
        <w:t>about a sale of land</w:t>
      </w:r>
      <w:r w:rsidR="0040148B" w:rsidRPr="000E2B2C">
        <w:rPr>
          <w:rFonts w:ascii="Arial" w:hAnsi="Arial" w:cs="Arial"/>
        </w:rPr>
        <w:t xml:space="preserve"> and referred to</w:t>
      </w:r>
      <w:r w:rsidR="004324E0" w:rsidRPr="000E2B2C">
        <w:rPr>
          <w:rFonts w:ascii="Arial" w:hAnsi="Arial" w:cs="Arial"/>
        </w:rPr>
        <w:t xml:space="preserve"> me to the case of </w:t>
      </w:r>
      <w:r w:rsidR="00991DE1" w:rsidRPr="000E2B2C">
        <w:rPr>
          <w:rFonts w:ascii="Arial" w:hAnsi="Arial" w:cs="Arial"/>
          <w:b/>
          <w:bCs/>
          <w:i/>
          <w:iCs/>
        </w:rPr>
        <w:t>Taljaard v TL Botha Properties</w:t>
      </w:r>
      <w:r w:rsidR="004F782A" w:rsidRPr="000E2B2C">
        <w:rPr>
          <w:rStyle w:val="FootnoteReference"/>
          <w:rFonts w:ascii="Arial" w:hAnsi="Arial" w:cs="Arial"/>
          <w:vertAlign w:val="baseline"/>
        </w:rPr>
        <w:t>.</w:t>
      </w:r>
      <w:r w:rsidR="00991DE1" w:rsidRPr="000E2B2C">
        <w:rPr>
          <w:rStyle w:val="FootnoteReference"/>
          <w:rFonts w:ascii="Arial" w:hAnsi="Arial" w:cs="Arial"/>
        </w:rPr>
        <w:footnoteReference w:id="35"/>
      </w:r>
    </w:p>
    <w:p w14:paraId="4E1B15C1" w14:textId="1F53333F" w:rsidR="001C0557" w:rsidRDefault="008F51AE" w:rsidP="00991DE1">
      <w:pPr>
        <w:tabs>
          <w:tab w:val="left" w:pos="1560"/>
        </w:tabs>
        <w:spacing w:line="480" w:lineRule="auto"/>
        <w:ind w:left="1560" w:right="28" w:hanging="851"/>
        <w:rPr>
          <w:rFonts w:ascii="Times New Roman" w:hAnsi="Times New Roman"/>
        </w:rPr>
      </w:pPr>
      <w:r w:rsidRPr="000E2B2C">
        <w:rPr>
          <w:rFonts w:ascii="Arial" w:hAnsi="Arial" w:cs="Arial"/>
        </w:rPr>
        <w:t>[</w:t>
      </w:r>
      <w:r w:rsidR="00D34496" w:rsidRPr="000E2B2C">
        <w:rPr>
          <w:rFonts w:ascii="Arial" w:hAnsi="Arial" w:cs="Arial"/>
        </w:rPr>
        <w:t>30</w:t>
      </w:r>
      <w:r w:rsidRPr="000E2B2C">
        <w:rPr>
          <w:rFonts w:ascii="Arial" w:hAnsi="Arial" w:cs="Arial"/>
        </w:rPr>
        <w:t>.3].</w:t>
      </w:r>
      <w:r w:rsidRPr="000E2B2C">
        <w:rPr>
          <w:rFonts w:ascii="Arial" w:hAnsi="Arial" w:cs="Arial"/>
        </w:rPr>
        <w:tab/>
        <w:t xml:space="preserve">Third, </w:t>
      </w:r>
      <w:r w:rsidR="00601057" w:rsidRPr="000E2B2C">
        <w:rPr>
          <w:rFonts w:ascii="Arial" w:hAnsi="Arial" w:cs="Arial"/>
        </w:rPr>
        <w:t xml:space="preserve">he </w:t>
      </w:r>
      <w:r w:rsidR="00BE77F0" w:rsidRPr="000E2B2C">
        <w:rPr>
          <w:rFonts w:ascii="Arial" w:hAnsi="Arial" w:cs="Arial"/>
        </w:rPr>
        <w:t>then</w:t>
      </w:r>
      <w:r w:rsidR="0082442E" w:rsidRPr="000E2B2C">
        <w:rPr>
          <w:rFonts w:ascii="Arial" w:hAnsi="Arial" w:cs="Arial"/>
        </w:rPr>
        <w:t xml:space="preserve"> </w:t>
      </w:r>
      <w:r w:rsidR="0076510B" w:rsidRPr="000E2B2C">
        <w:rPr>
          <w:rFonts w:ascii="Arial" w:hAnsi="Arial" w:cs="Arial"/>
        </w:rPr>
        <w:t xml:space="preserve">submitted that </w:t>
      </w:r>
      <w:r w:rsidR="00B5775E" w:rsidRPr="000E2B2C">
        <w:rPr>
          <w:rFonts w:ascii="Arial" w:hAnsi="Arial" w:cs="Arial"/>
        </w:rPr>
        <w:t>it was for the parties to define their disputes</w:t>
      </w:r>
      <w:r w:rsidR="0082442E" w:rsidRPr="000E2B2C">
        <w:rPr>
          <w:rFonts w:ascii="Arial" w:hAnsi="Arial" w:cs="Arial"/>
        </w:rPr>
        <w:t xml:space="preserve">, </w:t>
      </w:r>
      <w:r w:rsidR="00D230B2" w:rsidRPr="000E2B2C">
        <w:rPr>
          <w:rFonts w:ascii="Arial" w:hAnsi="Arial" w:cs="Arial"/>
        </w:rPr>
        <w:t>which</w:t>
      </w:r>
      <w:r w:rsidR="00400F6F" w:rsidRPr="000E2B2C">
        <w:rPr>
          <w:rFonts w:ascii="Arial" w:hAnsi="Arial" w:cs="Arial"/>
        </w:rPr>
        <w:t>, he maintained,</w:t>
      </w:r>
      <w:r w:rsidR="00D230B2" w:rsidRPr="000E2B2C">
        <w:rPr>
          <w:rFonts w:ascii="Arial" w:hAnsi="Arial" w:cs="Arial"/>
        </w:rPr>
        <w:t xml:space="preserve"> </w:t>
      </w:r>
      <w:r w:rsidR="007E42AA" w:rsidRPr="000E2B2C">
        <w:rPr>
          <w:rFonts w:ascii="Arial" w:hAnsi="Arial" w:cs="Arial"/>
        </w:rPr>
        <w:t xml:space="preserve">the </w:t>
      </w:r>
      <w:r w:rsidR="0030647A" w:rsidRPr="000E2B2C">
        <w:rPr>
          <w:rFonts w:ascii="Arial" w:hAnsi="Arial" w:cs="Arial"/>
        </w:rPr>
        <w:t xml:space="preserve">NYDA </w:t>
      </w:r>
      <w:r w:rsidR="00BA6D5D" w:rsidRPr="000E2B2C">
        <w:rPr>
          <w:rFonts w:ascii="Arial" w:hAnsi="Arial" w:cs="Arial"/>
        </w:rPr>
        <w:t xml:space="preserve">possibly </w:t>
      </w:r>
      <w:r w:rsidR="00D230B2" w:rsidRPr="000E2B2C">
        <w:rPr>
          <w:rFonts w:ascii="Arial" w:hAnsi="Arial" w:cs="Arial"/>
        </w:rPr>
        <w:t>could have done by</w:t>
      </w:r>
      <w:r w:rsidR="00B40EF3" w:rsidRPr="000E2B2C">
        <w:rPr>
          <w:rFonts w:ascii="Arial" w:hAnsi="Arial" w:cs="Arial"/>
        </w:rPr>
        <w:t xml:space="preserve"> in th</w:t>
      </w:r>
      <w:r w:rsidR="00FC1646" w:rsidRPr="000E2B2C">
        <w:rPr>
          <w:rFonts w:ascii="Arial" w:hAnsi="Arial" w:cs="Arial"/>
        </w:rPr>
        <w:t xml:space="preserve">is instance by, </w:t>
      </w:r>
      <w:r w:rsidR="00B40EF3" w:rsidRPr="000E2B2C">
        <w:rPr>
          <w:rFonts w:ascii="Arial" w:hAnsi="Arial" w:cs="Arial"/>
        </w:rPr>
        <w:t xml:space="preserve">e.g., </w:t>
      </w:r>
      <w:r w:rsidR="00400F6F" w:rsidRPr="000E2B2C">
        <w:rPr>
          <w:rFonts w:ascii="Arial" w:hAnsi="Arial" w:cs="Arial"/>
        </w:rPr>
        <w:t xml:space="preserve">the </w:t>
      </w:r>
      <w:r w:rsidR="007E42AA" w:rsidRPr="000E2B2C">
        <w:rPr>
          <w:rFonts w:ascii="Arial" w:hAnsi="Arial" w:cs="Arial"/>
        </w:rPr>
        <w:t xml:space="preserve">taking of an exception </w:t>
      </w:r>
      <w:r w:rsidR="00F91718" w:rsidRPr="000E2B2C">
        <w:rPr>
          <w:rFonts w:ascii="Arial" w:hAnsi="Arial" w:cs="Arial"/>
        </w:rPr>
        <w:t>against</w:t>
      </w:r>
      <w:r w:rsidR="00C0659D" w:rsidRPr="000E2B2C">
        <w:rPr>
          <w:rFonts w:ascii="Arial" w:hAnsi="Arial" w:cs="Arial"/>
        </w:rPr>
        <w:t xml:space="preserve"> </w:t>
      </w:r>
      <w:r w:rsidR="00F91718" w:rsidRPr="000E2B2C">
        <w:rPr>
          <w:rFonts w:ascii="Arial" w:hAnsi="Arial" w:cs="Arial"/>
        </w:rPr>
        <w:t>Rise Security’s particulars of claim on the basis</w:t>
      </w:r>
      <w:r w:rsidR="00BA6D5D" w:rsidRPr="000E2B2C">
        <w:rPr>
          <w:rFonts w:ascii="Arial" w:hAnsi="Arial" w:cs="Arial"/>
        </w:rPr>
        <w:t xml:space="preserve"> that it disclosed no cause of action</w:t>
      </w:r>
      <w:r w:rsidR="00FC1646" w:rsidRPr="000E2B2C">
        <w:rPr>
          <w:rFonts w:ascii="Arial" w:hAnsi="Arial" w:cs="Arial"/>
        </w:rPr>
        <w:t xml:space="preserve"> </w:t>
      </w:r>
      <w:r w:rsidR="00CA1F8A" w:rsidRPr="000E2B2C">
        <w:rPr>
          <w:rFonts w:ascii="Arial" w:hAnsi="Arial" w:cs="Arial"/>
        </w:rPr>
        <w:t xml:space="preserve">since it contained no </w:t>
      </w:r>
      <w:r w:rsidR="00C3111F" w:rsidRPr="000E2B2C">
        <w:rPr>
          <w:rFonts w:ascii="Arial" w:hAnsi="Arial" w:cs="Arial"/>
        </w:rPr>
        <w:t xml:space="preserve">express </w:t>
      </w:r>
      <w:r w:rsidR="00FC1646" w:rsidRPr="000E2B2C">
        <w:rPr>
          <w:rFonts w:ascii="Arial" w:hAnsi="Arial" w:cs="Arial"/>
        </w:rPr>
        <w:t>allegation</w:t>
      </w:r>
      <w:r w:rsidR="00C3111F" w:rsidRPr="000E2B2C">
        <w:rPr>
          <w:rFonts w:ascii="Arial" w:hAnsi="Arial" w:cs="Arial"/>
        </w:rPr>
        <w:t xml:space="preserve"> relating to Rise </w:t>
      </w:r>
      <w:r w:rsidR="00CA1F8A" w:rsidRPr="000E2B2C">
        <w:rPr>
          <w:rFonts w:ascii="Arial" w:hAnsi="Arial" w:cs="Arial"/>
        </w:rPr>
        <w:t xml:space="preserve">Security’s registration </w:t>
      </w:r>
      <w:r w:rsidR="008059E4" w:rsidRPr="000E2B2C">
        <w:rPr>
          <w:rFonts w:ascii="Arial" w:hAnsi="Arial" w:cs="Arial"/>
        </w:rPr>
        <w:t>under PSIRA</w:t>
      </w:r>
      <w:r w:rsidR="00BA6D5D">
        <w:rPr>
          <w:rFonts w:ascii="Times New Roman" w:hAnsi="Times New Roman"/>
        </w:rPr>
        <w:t xml:space="preserve">.  </w:t>
      </w:r>
      <w:r w:rsidR="00BA6D5D" w:rsidRPr="000E2B2C">
        <w:rPr>
          <w:rFonts w:ascii="Arial" w:hAnsi="Arial" w:cs="Arial"/>
        </w:rPr>
        <w:t>In</w:t>
      </w:r>
      <w:r w:rsidR="00DC3AF0" w:rsidRPr="000E2B2C">
        <w:rPr>
          <w:rFonts w:ascii="Arial" w:hAnsi="Arial" w:cs="Arial"/>
        </w:rPr>
        <w:t xml:space="preserve"> this regard</w:t>
      </w:r>
      <w:r w:rsidR="008851B3" w:rsidRPr="000E2B2C">
        <w:rPr>
          <w:rFonts w:ascii="Arial" w:hAnsi="Arial" w:cs="Arial"/>
        </w:rPr>
        <w:t xml:space="preserve">, counsel referred </w:t>
      </w:r>
      <w:r w:rsidR="008059E4" w:rsidRPr="000E2B2C">
        <w:rPr>
          <w:rFonts w:ascii="Arial" w:hAnsi="Arial" w:cs="Arial"/>
        </w:rPr>
        <w:t xml:space="preserve">me to </w:t>
      </w:r>
      <w:r w:rsidR="001522A5" w:rsidRPr="000E2B2C">
        <w:rPr>
          <w:rFonts w:ascii="Arial" w:hAnsi="Arial" w:cs="Arial"/>
        </w:rPr>
        <w:t xml:space="preserve">the </w:t>
      </w:r>
      <w:r w:rsidR="001C0557" w:rsidRPr="000E2B2C">
        <w:rPr>
          <w:rFonts w:ascii="Arial" w:hAnsi="Arial" w:cs="Arial"/>
        </w:rPr>
        <w:t xml:space="preserve">following cases: </w:t>
      </w:r>
      <w:bookmarkStart w:id="31" w:name="_Hlk152509597"/>
      <w:r w:rsidR="001E4B71" w:rsidRPr="000E2B2C">
        <w:rPr>
          <w:rFonts w:ascii="Arial" w:hAnsi="Arial" w:cs="Arial"/>
          <w:b/>
          <w:bCs/>
          <w:i/>
          <w:iCs/>
        </w:rPr>
        <w:t>IS &amp; GM Construction CC v Tunmer</w:t>
      </w:r>
      <w:r w:rsidR="001E4B71" w:rsidRPr="000E2B2C">
        <w:rPr>
          <w:rFonts w:ascii="Arial" w:hAnsi="Arial" w:cs="Arial"/>
        </w:rPr>
        <w:t>;</w:t>
      </w:r>
      <w:r w:rsidR="001E4B71" w:rsidRPr="000E2B2C">
        <w:rPr>
          <w:rStyle w:val="FootnoteReference"/>
          <w:rFonts w:ascii="Arial" w:hAnsi="Arial" w:cs="Arial"/>
        </w:rPr>
        <w:footnoteReference w:id="36"/>
      </w:r>
      <w:r w:rsidR="001E4B71">
        <w:rPr>
          <w:rFonts w:ascii="Times New Roman" w:hAnsi="Times New Roman"/>
        </w:rPr>
        <w:t xml:space="preserve"> </w:t>
      </w:r>
      <w:bookmarkEnd w:id="31"/>
    </w:p>
    <w:p w14:paraId="34B38D6B" w14:textId="4981E27B" w:rsidR="008F51AE" w:rsidRPr="000E2B2C" w:rsidRDefault="001C0557" w:rsidP="00991DE1">
      <w:pPr>
        <w:tabs>
          <w:tab w:val="left" w:pos="1560"/>
        </w:tabs>
        <w:spacing w:line="480" w:lineRule="auto"/>
        <w:ind w:left="1560" w:right="28" w:hanging="851"/>
        <w:rPr>
          <w:rFonts w:ascii="Arial" w:hAnsi="Arial" w:cs="Arial"/>
        </w:rPr>
      </w:pPr>
      <w:r w:rsidRPr="000E2B2C">
        <w:rPr>
          <w:rFonts w:ascii="Arial" w:hAnsi="Arial" w:cs="Arial"/>
        </w:rPr>
        <w:t>[</w:t>
      </w:r>
      <w:r w:rsidR="00D34496" w:rsidRPr="000E2B2C">
        <w:rPr>
          <w:rFonts w:ascii="Arial" w:hAnsi="Arial" w:cs="Arial"/>
        </w:rPr>
        <w:t>30</w:t>
      </w:r>
      <w:r w:rsidRPr="000E2B2C">
        <w:rPr>
          <w:rFonts w:ascii="Arial" w:hAnsi="Arial" w:cs="Arial"/>
        </w:rPr>
        <w:t>.4</w:t>
      </w:r>
      <w:r w:rsidR="00A30608" w:rsidRPr="000E2B2C">
        <w:rPr>
          <w:rFonts w:ascii="Arial" w:hAnsi="Arial" w:cs="Arial"/>
        </w:rPr>
        <w:t>].</w:t>
      </w:r>
      <w:r w:rsidR="00A30608" w:rsidRPr="000E2B2C">
        <w:rPr>
          <w:rFonts w:ascii="Arial" w:hAnsi="Arial" w:cs="Arial"/>
        </w:rPr>
        <w:tab/>
        <w:t xml:space="preserve">Fourth, </w:t>
      </w:r>
      <w:r w:rsidR="00BE77F0" w:rsidRPr="000E2B2C">
        <w:rPr>
          <w:rFonts w:ascii="Arial" w:hAnsi="Arial" w:cs="Arial"/>
        </w:rPr>
        <w:t xml:space="preserve">and flowing from </w:t>
      </w:r>
      <w:r w:rsidR="00BA3FF4" w:rsidRPr="000E2B2C">
        <w:rPr>
          <w:rFonts w:ascii="Arial" w:hAnsi="Arial" w:cs="Arial"/>
        </w:rPr>
        <w:t>his</w:t>
      </w:r>
      <w:r w:rsidR="00BE77F0" w:rsidRPr="000E2B2C">
        <w:rPr>
          <w:rFonts w:ascii="Arial" w:hAnsi="Arial" w:cs="Arial"/>
        </w:rPr>
        <w:t xml:space="preserve"> third submission</w:t>
      </w:r>
      <w:r w:rsidR="00BA3FF4" w:rsidRPr="000E2B2C">
        <w:rPr>
          <w:rFonts w:ascii="Arial" w:hAnsi="Arial" w:cs="Arial"/>
        </w:rPr>
        <w:t xml:space="preserve">, counsel </w:t>
      </w:r>
      <w:r w:rsidR="00FB3FE5" w:rsidRPr="000E2B2C">
        <w:rPr>
          <w:rFonts w:ascii="Arial" w:hAnsi="Arial" w:cs="Arial"/>
        </w:rPr>
        <w:t xml:space="preserve">next </w:t>
      </w:r>
      <w:r w:rsidR="00BA3FF4" w:rsidRPr="000E2B2C">
        <w:rPr>
          <w:rFonts w:ascii="Arial" w:hAnsi="Arial" w:cs="Arial"/>
        </w:rPr>
        <w:t>submitted that</w:t>
      </w:r>
      <w:r w:rsidR="00BE77F0" w:rsidRPr="000E2B2C">
        <w:rPr>
          <w:rFonts w:ascii="Arial" w:hAnsi="Arial" w:cs="Arial"/>
        </w:rPr>
        <w:t xml:space="preserve"> </w:t>
      </w:r>
      <w:r w:rsidR="00000BDB" w:rsidRPr="000E2B2C">
        <w:rPr>
          <w:rFonts w:ascii="Arial" w:hAnsi="Arial" w:cs="Arial"/>
        </w:rPr>
        <w:t xml:space="preserve">it was impermissible </w:t>
      </w:r>
      <w:r w:rsidR="00BA3FF4" w:rsidRPr="000E2B2C">
        <w:rPr>
          <w:rFonts w:ascii="Arial" w:hAnsi="Arial" w:cs="Arial"/>
        </w:rPr>
        <w:t xml:space="preserve">a </w:t>
      </w:r>
      <w:r w:rsidR="00000BDB" w:rsidRPr="000E2B2C">
        <w:rPr>
          <w:rFonts w:ascii="Arial" w:hAnsi="Arial" w:cs="Arial"/>
        </w:rPr>
        <w:t xml:space="preserve">court to raise </w:t>
      </w:r>
      <w:r w:rsidR="00C6339E" w:rsidRPr="000E2B2C">
        <w:rPr>
          <w:rFonts w:ascii="Arial" w:hAnsi="Arial" w:cs="Arial"/>
        </w:rPr>
        <w:t>an</w:t>
      </w:r>
      <w:r w:rsidR="007B64CF" w:rsidRPr="000E2B2C">
        <w:rPr>
          <w:rFonts w:ascii="Arial" w:hAnsi="Arial" w:cs="Arial"/>
        </w:rPr>
        <w:t xml:space="preserve"> issue, such as the one under discussion</w:t>
      </w:r>
      <w:r w:rsidR="0058250B" w:rsidRPr="000E2B2C">
        <w:rPr>
          <w:rFonts w:ascii="Arial" w:hAnsi="Arial" w:cs="Arial"/>
        </w:rPr>
        <w:t xml:space="preserve">, </w:t>
      </w:r>
      <w:bookmarkStart w:id="32" w:name="_Hlk152511995"/>
      <w:r w:rsidR="0058250B" w:rsidRPr="000E2B2C">
        <w:rPr>
          <w:rFonts w:ascii="Arial" w:hAnsi="Arial" w:cs="Arial"/>
          <w:i/>
          <w:iCs/>
        </w:rPr>
        <w:t>mero motu</w:t>
      </w:r>
      <w:bookmarkEnd w:id="32"/>
      <w:r w:rsidR="0058250B" w:rsidRPr="000E2B2C">
        <w:rPr>
          <w:rFonts w:ascii="Arial" w:hAnsi="Arial" w:cs="Arial"/>
        </w:rPr>
        <w:t xml:space="preserve">.  </w:t>
      </w:r>
      <w:r w:rsidR="00621803" w:rsidRPr="000E2B2C">
        <w:rPr>
          <w:rFonts w:ascii="Arial" w:hAnsi="Arial" w:cs="Arial"/>
        </w:rPr>
        <w:t xml:space="preserve">For this submission, counsel relied on </w:t>
      </w:r>
      <w:r w:rsidR="00C34C2D" w:rsidRPr="000E2B2C">
        <w:rPr>
          <w:rFonts w:ascii="Arial" w:hAnsi="Arial" w:cs="Arial"/>
          <w:b/>
          <w:bCs/>
          <w:i/>
          <w:iCs/>
        </w:rPr>
        <w:t>Fischer and Another v Ramahlele and Others</w:t>
      </w:r>
      <w:r w:rsidR="00C34C2D" w:rsidRPr="000E2B2C">
        <w:rPr>
          <w:rFonts w:ascii="Arial" w:hAnsi="Arial" w:cs="Arial"/>
        </w:rPr>
        <w:t>.</w:t>
      </w:r>
      <w:r w:rsidR="00C34C2D" w:rsidRPr="000E2B2C">
        <w:rPr>
          <w:rStyle w:val="FootnoteReference"/>
          <w:rFonts w:ascii="Arial" w:hAnsi="Arial" w:cs="Arial"/>
        </w:rPr>
        <w:footnoteReference w:id="37"/>
      </w:r>
    </w:p>
    <w:p w14:paraId="33F793B4" w14:textId="232C2243" w:rsidR="008F78A1" w:rsidRPr="00D15956" w:rsidRDefault="00D15956" w:rsidP="00D15956">
      <w:pPr>
        <w:ind w:left="720" w:right="28"/>
        <w:rPr>
          <w:rFonts w:ascii="Arial" w:hAnsi="Arial" w:cs="Arial"/>
        </w:rPr>
      </w:pPr>
      <w:r w:rsidRPr="008F78A1">
        <w:rPr>
          <w:rFonts w:ascii="Arial" w:hAnsi="Arial" w:cs="Arial"/>
        </w:rPr>
        <w:t>[31].</w:t>
      </w:r>
      <w:r w:rsidRPr="008F78A1">
        <w:rPr>
          <w:rFonts w:ascii="Arial" w:hAnsi="Arial" w:cs="Arial"/>
        </w:rPr>
        <w:tab/>
      </w:r>
      <w:r w:rsidR="00CB1B76" w:rsidRPr="00D15956">
        <w:rPr>
          <w:rFonts w:ascii="Arial" w:hAnsi="Arial" w:cs="Arial"/>
        </w:rPr>
        <w:t xml:space="preserve">It is </w:t>
      </w:r>
      <w:r w:rsidR="00FC0100" w:rsidRPr="00D15956">
        <w:rPr>
          <w:rFonts w:ascii="Arial" w:hAnsi="Arial" w:cs="Arial"/>
        </w:rPr>
        <w:t xml:space="preserve">practical </w:t>
      </w:r>
      <w:r w:rsidR="00CB1B76" w:rsidRPr="00D15956">
        <w:rPr>
          <w:rFonts w:ascii="Arial" w:hAnsi="Arial" w:cs="Arial"/>
        </w:rPr>
        <w:t xml:space="preserve">to deal with this </w:t>
      </w:r>
      <w:r w:rsidR="008248D7" w:rsidRPr="00D15956">
        <w:rPr>
          <w:rFonts w:ascii="Arial" w:hAnsi="Arial" w:cs="Arial"/>
        </w:rPr>
        <w:t>last-mentioned</w:t>
      </w:r>
      <w:r w:rsidR="00974A91" w:rsidRPr="00D15956">
        <w:rPr>
          <w:rFonts w:ascii="Arial" w:hAnsi="Arial" w:cs="Arial"/>
        </w:rPr>
        <w:t xml:space="preserve"> submission </w:t>
      </w:r>
      <w:r w:rsidR="00763007" w:rsidRPr="00D15956">
        <w:rPr>
          <w:rFonts w:ascii="Arial" w:hAnsi="Arial" w:cs="Arial"/>
        </w:rPr>
        <w:t>first</w:t>
      </w:r>
      <w:r w:rsidR="00946D33" w:rsidRPr="00D15956">
        <w:rPr>
          <w:rFonts w:ascii="Arial" w:hAnsi="Arial" w:cs="Arial"/>
        </w:rPr>
        <w:t xml:space="preserve">, because </w:t>
      </w:r>
      <w:r w:rsidR="00D91CD0" w:rsidRPr="00D15956">
        <w:rPr>
          <w:rFonts w:ascii="Arial" w:hAnsi="Arial" w:cs="Arial"/>
        </w:rPr>
        <w:t xml:space="preserve">- </w:t>
      </w:r>
      <w:r w:rsidR="00974A91" w:rsidRPr="00D15956">
        <w:rPr>
          <w:rFonts w:ascii="Arial" w:hAnsi="Arial" w:cs="Arial"/>
        </w:rPr>
        <w:t xml:space="preserve">if </w:t>
      </w:r>
      <w:r w:rsidR="00D91CD0" w:rsidRPr="00D15956">
        <w:rPr>
          <w:rFonts w:ascii="Arial" w:hAnsi="Arial" w:cs="Arial"/>
        </w:rPr>
        <w:t>this court indeed is</w:t>
      </w:r>
      <w:r w:rsidR="00974A91" w:rsidRPr="00D15956">
        <w:rPr>
          <w:rFonts w:ascii="Arial" w:hAnsi="Arial" w:cs="Arial"/>
        </w:rPr>
        <w:t xml:space="preserve"> precluded</w:t>
      </w:r>
      <w:r w:rsidR="00ED6B68" w:rsidRPr="00D15956">
        <w:rPr>
          <w:rFonts w:ascii="Arial" w:hAnsi="Arial" w:cs="Arial"/>
        </w:rPr>
        <w:t xml:space="preserve"> from </w:t>
      </w:r>
      <w:r w:rsidR="004041A9" w:rsidRPr="00D15956">
        <w:rPr>
          <w:rFonts w:ascii="Arial" w:hAnsi="Arial" w:cs="Arial"/>
          <w:i/>
          <w:iCs/>
        </w:rPr>
        <w:t>mero motu</w:t>
      </w:r>
      <w:r w:rsidR="004041A9" w:rsidRPr="00D15956">
        <w:rPr>
          <w:rFonts w:ascii="Arial" w:hAnsi="Arial" w:cs="Arial"/>
        </w:rPr>
        <w:t xml:space="preserve"> </w:t>
      </w:r>
      <w:r w:rsidR="00ED6B68" w:rsidRPr="00D15956">
        <w:rPr>
          <w:rFonts w:ascii="Arial" w:hAnsi="Arial" w:cs="Arial"/>
        </w:rPr>
        <w:t xml:space="preserve">raising </w:t>
      </w:r>
      <w:r w:rsidR="00911E3C" w:rsidRPr="00D15956">
        <w:rPr>
          <w:rFonts w:ascii="Arial" w:hAnsi="Arial" w:cs="Arial"/>
        </w:rPr>
        <w:t>Rise Security’s registration or non-registration as a security provider</w:t>
      </w:r>
      <w:r w:rsidR="004041A9" w:rsidRPr="00D15956">
        <w:rPr>
          <w:rFonts w:ascii="Arial" w:hAnsi="Arial" w:cs="Arial"/>
        </w:rPr>
        <w:t xml:space="preserve"> under PSIRA</w:t>
      </w:r>
      <w:r w:rsidR="00B453A7" w:rsidRPr="00D15956">
        <w:rPr>
          <w:rFonts w:ascii="Arial" w:hAnsi="Arial" w:cs="Arial"/>
        </w:rPr>
        <w:t xml:space="preserve"> </w:t>
      </w:r>
      <w:r w:rsidR="008248D7" w:rsidRPr="00D15956">
        <w:rPr>
          <w:rFonts w:ascii="Arial" w:hAnsi="Arial" w:cs="Arial"/>
          <w:i/>
          <w:iCs/>
        </w:rPr>
        <w:t>per</w:t>
      </w:r>
      <w:r w:rsidR="008248D7" w:rsidRPr="00D15956">
        <w:rPr>
          <w:rFonts w:ascii="Arial" w:hAnsi="Arial" w:cs="Arial"/>
        </w:rPr>
        <w:t xml:space="preserve"> </w:t>
      </w:r>
      <w:r w:rsidR="00F759F0" w:rsidRPr="00D15956">
        <w:rPr>
          <w:rFonts w:ascii="Arial" w:hAnsi="Arial" w:cs="Arial"/>
        </w:rPr>
        <w:t>counsel</w:t>
      </w:r>
      <w:r w:rsidR="009A5F2B" w:rsidRPr="00D15956">
        <w:rPr>
          <w:rFonts w:ascii="Arial" w:hAnsi="Arial" w:cs="Arial"/>
        </w:rPr>
        <w:t>’</w:t>
      </w:r>
      <w:r w:rsidR="008248D7" w:rsidRPr="00D15956">
        <w:rPr>
          <w:rFonts w:ascii="Arial" w:hAnsi="Arial" w:cs="Arial"/>
        </w:rPr>
        <w:t>s</w:t>
      </w:r>
      <w:r w:rsidR="00F759F0" w:rsidRPr="00D15956">
        <w:rPr>
          <w:rFonts w:ascii="Arial" w:hAnsi="Arial" w:cs="Arial"/>
        </w:rPr>
        <w:t xml:space="preserve"> submi</w:t>
      </w:r>
      <w:r w:rsidR="009A5F2B" w:rsidRPr="00D15956">
        <w:rPr>
          <w:rFonts w:ascii="Arial" w:hAnsi="Arial" w:cs="Arial"/>
        </w:rPr>
        <w:t>ssion</w:t>
      </w:r>
      <w:r w:rsidR="00F759F0" w:rsidRPr="00D15956">
        <w:rPr>
          <w:rFonts w:ascii="Arial" w:hAnsi="Arial" w:cs="Arial"/>
        </w:rPr>
        <w:t xml:space="preserve"> </w:t>
      </w:r>
      <w:r w:rsidR="00D91CD0" w:rsidRPr="00D15956">
        <w:rPr>
          <w:rFonts w:ascii="Arial" w:hAnsi="Arial" w:cs="Arial"/>
        </w:rPr>
        <w:t xml:space="preserve">- </w:t>
      </w:r>
      <w:r w:rsidR="00B453A7" w:rsidRPr="00D15956">
        <w:rPr>
          <w:rFonts w:ascii="Arial" w:hAnsi="Arial" w:cs="Arial"/>
        </w:rPr>
        <w:t xml:space="preserve">that </w:t>
      </w:r>
      <w:r w:rsidR="00715654" w:rsidRPr="00D15956">
        <w:rPr>
          <w:rFonts w:ascii="Arial" w:hAnsi="Arial" w:cs="Arial"/>
        </w:rPr>
        <w:t>coul</w:t>
      </w:r>
      <w:r w:rsidR="00FE1E87" w:rsidRPr="00D15956">
        <w:rPr>
          <w:rFonts w:ascii="Arial" w:hAnsi="Arial" w:cs="Arial"/>
        </w:rPr>
        <w:t xml:space="preserve">d </w:t>
      </w:r>
      <w:r w:rsidR="00B453A7" w:rsidRPr="00D15956">
        <w:rPr>
          <w:rFonts w:ascii="Arial" w:hAnsi="Arial" w:cs="Arial"/>
        </w:rPr>
        <w:t>be the end of th</w:t>
      </w:r>
      <w:r w:rsidR="00FE1E87" w:rsidRPr="00D15956">
        <w:rPr>
          <w:rFonts w:ascii="Arial" w:hAnsi="Arial" w:cs="Arial"/>
        </w:rPr>
        <w:t>is specific debate</w:t>
      </w:r>
      <w:r w:rsidR="00B453A7" w:rsidRPr="00D15956">
        <w:rPr>
          <w:rFonts w:ascii="Arial" w:hAnsi="Arial" w:cs="Arial"/>
        </w:rPr>
        <w:t xml:space="preserve">.  </w:t>
      </w:r>
      <w:r w:rsidR="00B3325C" w:rsidRPr="00D15956">
        <w:rPr>
          <w:rFonts w:ascii="Arial" w:hAnsi="Arial" w:cs="Arial"/>
        </w:rPr>
        <w:t xml:space="preserve">Thereafter, I will deal with the remaining </w:t>
      </w:r>
      <w:r w:rsidR="009F7C3E" w:rsidRPr="00D15956">
        <w:rPr>
          <w:rFonts w:ascii="Arial" w:hAnsi="Arial" w:cs="Arial"/>
        </w:rPr>
        <w:t xml:space="preserve">submissions to the extent that they still </w:t>
      </w:r>
      <w:r w:rsidR="00D402B2" w:rsidRPr="00D15956">
        <w:rPr>
          <w:rFonts w:ascii="Arial" w:hAnsi="Arial" w:cs="Arial"/>
        </w:rPr>
        <w:t xml:space="preserve">remain </w:t>
      </w:r>
      <w:r w:rsidR="009F7C3E" w:rsidRPr="00D15956">
        <w:rPr>
          <w:rFonts w:ascii="Arial" w:hAnsi="Arial" w:cs="Arial"/>
        </w:rPr>
        <w:t>relevant.</w:t>
      </w:r>
    </w:p>
    <w:p w14:paraId="0707E3A1" w14:textId="1A550D39" w:rsidR="009F7C3E" w:rsidRPr="008F78A1" w:rsidRDefault="00D57B22" w:rsidP="008F78A1">
      <w:pPr>
        <w:ind w:left="0" w:right="28" w:firstLine="0"/>
        <w:rPr>
          <w:rFonts w:ascii="Arial" w:hAnsi="Arial" w:cs="Arial"/>
          <w:b/>
        </w:rPr>
      </w:pPr>
      <w:bookmarkStart w:id="33" w:name="_Hlk152681403"/>
      <w:r w:rsidRPr="00714E74">
        <w:rPr>
          <w:rFonts w:ascii="Arial" w:hAnsi="Arial" w:cs="Arial"/>
          <w:b/>
          <w:u w:val="single"/>
        </w:rPr>
        <w:t xml:space="preserve">Rise Security’s </w:t>
      </w:r>
      <w:r w:rsidR="008D132C" w:rsidRPr="00714E74">
        <w:rPr>
          <w:rFonts w:ascii="Arial" w:hAnsi="Arial" w:cs="Arial"/>
          <w:b/>
          <w:u w:val="single"/>
        </w:rPr>
        <w:t xml:space="preserve">fourth submission in paragraph </w:t>
      </w:r>
      <w:r w:rsidR="006A69AA" w:rsidRPr="00714E74">
        <w:rPr>
          <w:rFonts w:ascii="Arial" w:hAnsi="Arial" w:cs="Arial"/>
          <w:b/>
          <w:u w:val="single"/>
        </w:rPr>
        <w:t>30</w:t>
      </w:r>
      <w:r w:rsidR="008D132C" w:rsidRPr="00714E74">
        <w:rPr>
          <w:rFonts w:ascii="Arial" w:hAnsi="Arial" w:cs="Arial"/>
          <w:b/>
          <w:u w:val="single"/>
        </w:rPr>
        <w:t>.4 above</w:t>
      </w:r>
      <w:r w:rsidR="008D132C" w:rsidRPr="00714E74">
        <w:rPr>
          <w:rFonts w:ascii="Arial" w:hAnsi="Arial" w:cs="Arial"/>
          <w:b/>
        </w:rPr>
        <w:t>:</w:t>
      </w:r>
      <w:bookmarkEnd w:id="33"/>
    </w:p>
    <w:p w14:paraId="21B21ACD" w14:textId="1A792B66" w:rsidR="006E194B" w:rsidRPr="00D15956" w:rsidRDefault="00D15956" w:rsidP="00D15956">
      <w:pPr>
        <w:spacing w:line="480" w:lineRule="auto"/>
        <w:ind w:left="720" w:right="28"/>
        <w:rPr>
          <w:rFonts w:ascii="Arial" w:hAnsi="Arial" w:cs="Arial"/>
        </w:rPr>
      </w:pPr>
      <w:r w:rsidRPr="00714E74">
        <w:rPr>
          <w:rFonts w:ascii="Arial" w:hAnsi="Arial" w:cs="Arial"/>
        </w:rPr>
        <w:t>[32].</w:t>
      </w:r>
      <w:r w:rsidRPr="00714E74">
        <w:rPr>
          <w:rFonts w:ascii="Arial" w:hAnsi="Arial" w:cs="Arial"/>
        </w:rPr>
        <w:tab/>
      </w:r>
      <w:r w:rsidR="006B5292" w:rsidRPr="00D15956">
        <w:rPr>
          <w:rFonts w:ascii="Arial" w:hAnsi="Arial" w:cs="Arial"/>
        </w:rPr>
        <w:t>In</w:t>
      </w:r>
      <w:r w:rsidR="0082138F" w:rsidRPr="00D15956">
        <w:rPr>
          <w:rFonts w:ascii="Arial" w:hAnsi="Arial" w:cs="Arial"/>
        </w:rPr>
        <w:t xml:space="preserve"> </w:t>
      </w:r>
      <w:r w:rsidR="0082138F" w:rsidRPr="00D15956">
        <w:rPr>
          <w:rFonts w:ascii="Arial" w:hAnsi="Arial" w:cs="Arial"/>
          <w:b/>
          <w:bCs/>
          <w:i/>
          <w:iCs/>
        </w:rPr>
        <w:t>Fischer</w:t>
      </w:r>
      <w:r w:rsidR="004C7F19" w:rsidRPr="00D15956">
        <w:rPr>
          <w:rFonts w:ascii="Arial" w:hAnsi="Arial" w:cs="Arial"/>
          <w:bCs/>
          <w:iCs/>
        </w:rPr>
        <w:t xml:space="preserve"> the SCA</w:t>
      </w:r>
      <w:r w:rsidR="00A30407" w:rsidRPr="00D15956">
        <w:rPr>
          <w:rFonts w:ascii="Arial" w:hAnsi="Arial" w:cs="Arial"/>
          <w:bCs/>
          <w:iCs/>
        </w:rPr>
        <w:t xml:space="preserve"> dealt with an appeal </w:t>
      </w:r>
      <w:r w:rsidR="003017C3" w:rsidRPr="00D15956">
        <w:rPr>
          <w:rFonts w:ascii="Arial" w:hAnsi="Arial" w:cs="Arial"/>
          <w:bCs/>
          <w:iCs/>
        </w:rPr>
        <w:t xml:space="preserve">that arose after </w:t>
      </w:r>
      <w:r w:rsidR="002336D6" w:rsidRPr="00D15956">
        <w:rPr>
          <w:rFonts w:ascii="Arial" w:hAnsi="Arial" w:cs="Arial"/>
          <w:bCs/>
          <w:iCs/>
        </w:rPr>
        <w:t>the Western</w:t>
      </w:r>
      <w:r w:rsidR="00566C7D" w:rsidRPr="00D15956">
        <w:rPr>
          <w:rFonts w:ascii="Arial" w:hAnsi="Arial" w:cs="Arial"/>
          <w:bCs/>
          <w:iCs/>
        </w:rPr>
        <w:t xml:space="preserve"> Cape Division</w:t>
      </w:r>
      <w:r w:rsidR="00634B76" w:rsidRPr="00D15956">
        <w:rPr>
          <w:rFonts w:ascii="Arial" w:hAnsi="Arial" w:cs="Arial"/>
          <w:bCs/>
          <w:iCs/>
        </w:rPr>
        <w:t xml:space="preserve"> </w:t>
      </w:r>
      <w:r w:rsidR="00566C7D" w:rsidRPr="00D15956">
        <w:rPr>
          <w:rFonts w:ascii="Arial" w:hAnsi="Arial" w:cs="Arial"/>
          <w:bCs/>
          <w:iCs/>
        </w:rPr>
        <w:t>of the High Court</w:t>
      </w:r>
      <w:r w:rsidR="00634B76" w:rsidRPr="00D15956">
        <w:rPr>
          <w:rFonts w:ascii="Arial" w:hAnsi="Arial" w:cs="Arial"/>
          <w:bCs/>
          <w:iCs/>
        </w:rPr>
        <w:t xml:space="preserve"> </w:t>
      </w:r>
      <w:r w:rsidR="008C7ACC" w:rsidRPr="00D15956">
        <w:rPr>
          <w:rFonts w:ascii="Arial" w:hAnsi="Arial" w:cs="Arial"/>
          <w:bCs/>
          <w:iCs/>
        </w:rPr>
        <w:t>(</w:t>
      </w:r>
      <w:r w:rsidR="008C7ACC" w:rsidRPr="00D15956">
        <w:rPr>
          <w:rFonts w:ascii="Arial" w:hAnsi="Arial" w:cs="Arial"/>
          <w:bCs/>
          <w:i/>
        </w:rPr>
        <w:t>per</w:t>
      </w:r>
      <w:r w:rsidR="008C7ACC" w:rsidRPr="00D15956">
        <w:rPr>
          <w:rFonts w:ascii="Arial" w:hAnsi="Arial" w:cs="Arial"/>
          <w:bCs/>
          <w:iCs/>
        </w:rPr>
        <w:t xml:space="preserve"> Gamble J) </w:t>
      </w:r>
      <w:r w:rsidR="00C71BCF" w:rsidRPr="00D15956">
        <w:rPr>
          <w:rFonts w:ascii="Arial" w:hAnsi="Arial" w:cs="Arial"/>
          <w:bCs/>
          <w:iCs/>
        </w:rPr>
        <w:t xml:space="preserve">had </w:t>
      </w:r>
      <w:bookmarkStart w:id="34" w:name="_Hlk152517547"/>
      <w:r w:rsidR="00634B76" w:rsidRPr="00D15956">
        <w:rPr>
          <w:rFonts w:ascii="Arial" w:hAnsi="Arial" w:cs="Arial"/>
          <w:bCs/>
          <w:iCs/>
        </w:rPr>
        <w:t>granted</w:t>
      </w:r>
      <w:r w:rsidR="00AB7684" w:rsidRPr="00D15956">
        <w:rPr>
          <w:rFonts w:ascii="Arial" w:hAnsi="Arial" w:cs="Arial"/>
        </w:rPr>
        <w:t xml:space="preserve"> certain </w:t>
      </w:r>
      <w:r w:rsidR="00AB7684" w:rsidRPr="00D15956">
        <w:rPr>
          <w:rFonts w:ascii="Arial" w:hAnsi="Arial" w:cs="Arial"/>
          <w:bCs/>
          <w:iCs/>
        </w:rPr>
        <w:t xml:space="preserve">declaratory relief </w:t>
      </w:r>
      <w:r w:rsidR="00AB7684" w:rsidRPr="00D15956">
        <w:rPr>
          <w:rFonts w:ascii="Arial" w:hAnsi="Arial" w:cs="Arial"/>
          <w:bCs/>
          <w:iCs/>
        </w:rPr>
        <w:lastRenderedPageBreak/>
        <w:t>and mandatory interdicts</w:t>
      </w:r>
      <w:bookmarkEnd w:id="34"/>
      <w:r w:rsidR="00522229" w:rsidRPr="006F6727">
        <w:rPr>
          <w:rStyle w:val="FootnoteReference"/>
          <w:rFonts w:ascii="Arial" w:hAnsi="Arial" w:cs="Arial"/>
          <w:bCs/>
          <w:iCs/>
        </w:rPr>
        <w:footnoteReference w:id="38"/>
      </w:r>
      <w:r w:rsidR="00AB7684" w:rsidRPr="00D15956">
        <w:rPr>
          <w:rFonts w:ascii="Arial" w:hAnsi="Arial" w:cs="Arial"/>
          <w:bCs/>
          <w:iCs/>
        </w:rPr>
        <w:t xml:space="preserve"> against the City </w:t>
      </w:r>
      <w:r w:rsidR="0034560C" w:rsidRPr="00D15956">
        <w:rPr>
          <w:rFonts w:ascii="Arial" w:hAnsi="Arial" w:cs="Arial"/>
          <w:bCs/>
          <w:iCs/>
        </w:rPr>
        <w:t>of Cape Town (</w:t>
      </w:r>
      <w:r w:rsidR="008E5F40" w:rsidRPr="00D15956">
        <w:rPr>
          <w:rFonts w:ascii="Arial" w:hAnsi="Arial" w:cs="Arial"/>
          <w:b/>
          <w:iCs/>
        </w:rPr>
        <w:t>the City</w:t>
      </w:r>
      <w:r w:rsidR="008E5F40" w:rsidRPr="00D15956">
        <w:rPr>
          <w:rFonts w:ascii="Arial" w:hAnsi="Arial" w:cs="Arial"/>
          <w:bCs/>
          <w:iCs/>
        </w:rPr>
        <w:t xml:space="preserve">) </w:t>
      </w:r>
      <w:r w:rsidR="00AB7684" w:rsidRPr="00D15956">
        <w:rPr>
          <w:rFonts w:ascii="Arial" w:hAnsi="Arial" w:cs="Arial"/>
          <w:bCs/>
          <w:iCs/>
        </w:rPr>
        <w:t xml:space="preserve">in </w:t>
      </w:r>
      <w:r w:rsidR="0034560C" w:rsidRPr="00D15956">
        <w:rPr>
          <w:rFonts w:ascii="Arial" w:hAnsi="Arial" w:cs="Arial"/>
          <w:bCs/>
          <w:iCs/>
        </w:rPr>
        <w:t xml:space="preserve">a </w:t>
      </w:r>
      <w:r w:rsidR="00AB7684" w:rsidRPr="00D15956">
        <w:rPr>
          <w:rFonts w:ascii="Arial" w:hAnsi="Arial" w:cs="Arial"/>
          <w:bCs/>
          <w:iCs/>
        </w:rPr>
        <w:t>counter-application</w:t>
      </w:r>
      <w:r w:rsidR="008E5F40" w:rsidRPr="00D15956">
        <w:rPr>
          <w:rFonts w:ascii="Arial" w:hAnsi="Arial" w:cs="Arial"/>
          <w:bCs/>
          <w:iCs/>
        </w:rPr>
        <w:t xml:space="preserve"> that had been instituted against </w:t>
      </w:r>
      <w:r w:rsidR="008B5300" w:rsidRPr="00D15956">
        <w:rPr>
          <w:rFonts w:ascii="Arial" w:hAnsi="Arial" w:cs="Arial"/>
          <w:bCs/>
          <w:iCs/>
        </w:rPr>
        <w:t xml:space="preserve">the City </w:t>
      </w:r>
      <w:r w:rsidR="00710D64" w:rsidRPr="00D15956">
        <w:rPr>
          <w:rFonts w:ascii="Arial" w:hAnsi="Arial" w:cs="Arial"/>
          <w:bCs/>
          <w:iCs/>
        </w:rPr>
        <w:t xml:space="preserve">pursuant to the demolition of </w:t>
      </w:r>
      <w:r w:rsidR="00326571" w:rsidRPr="00D15956">
        <w:rPr>
          <w:rFonts w:ascii="Arial" w:hAnsi="Arial" w:cs="Arial"/>
          <w:bCs/>
          <w:iCs/>
        </w:rPr>
        <w:t xml:space="preserve">certain structures </w:t>
      </w:r>
      <w:r w:rsidR="00710D64" w:rsidRPr="00D15956">
        <w:rPr>
          <w:rFonts w:ascii="Arial" w:hAnsi="Arial" w:cs="Arial"/>
          <w:bCs/>
          <w:iCs/>
        </w:rPr>
        <w:t xml:space="preserve">that had been </w:t>
      </w:r>
      <w:r w:rsidR="00326571" w:rsidRPr="00D15956">
        <w:rPr>
          <w:rFonts w:ascii="Arial" w:hAnsi="Arial" w:cs="Arial"/>
          <w:bCs/>
          <w:iCs/>
        </w:rPr>
        <w:t xml:space="preserve">erected on </w:t>
      </w:r>
      <w:r w:rsidR="00EF12FF" w:rsidRPr="00D15956">
        <w:rPr>
          <w:rFonts w:ascii="Arial" w:hAnsi="Arial" w:cs="Arial"/>
          <w:bCs/>
          <w:iCs/>
        </w:rPr>
        <w:t xml:space="preserve">an immovable property </w:t>
      </w:r>
      <w:r w:rsidR="008C7ACC" w:rsidRPr="00D15956">
        <w:rPr>
          <w:rFonts w:ascii="Arial" w:hAnsi="Arial" w:cs="Arial"/>
          <w:bCs/>
          <w:iCs/>
        </w:rPr>
        <w:t>(</w:t>
      </w:r>
      <w:r w:rsidR="00A52084" w:rsidRPr="00D15956">
        <w:rPr>
          <w:rFonts w:ascii="Arial" w:hAnsi="Arial" w:cs="Arial"/>
          <w:b/>
          <w:iCs/>
        </w:rPr>
        <w:t>the property in question</w:t>
      </w:r>
      <w:r w:rsidR="00A52084" w:rsidRPr="00D15956">
        <w:rPr>
          <w:rFonts w:ascii="Arial" w:hAnsi="Arial" w:cs="Arial"/>
          <w:bCs/>
          <w:iCs/>
        </w:rPr>
        <w:t xml:space="preserve">) </w:t>
      </w:r>
      <w:r w:rsidR="00EF12FF" w:rsidRPr="00D15956">
        <w:rPr>
          <w:rFonts w:ascii="Arial" w:hAnsi="Arial" w:cs="Arial"/>
          <w:bCs/>
          <w:iCs/>
        </w:rPr>
        <w:t xml:space="preserve">owned by a </w:t>
      </w:r>
      <w:r w:rsidR="00326571" w:rsidRPr="00D15956">
        <w:rPr>
          <w:rFonts w:ascii="Arial" w:hAnsi="Arial" w:cs="Arial"/>
          <w:bCs/>
          <w:iCs/>
        </w:rPr>
        <w:t>Mrs Iris Fischer</w:t>
      </w:r>
      <w:r w:rsidR="00EF12FF" w:rsidRPr="00D15956">
        <w:rPr>
          <w:rFonts w:ascii="Arial" w:hAnsi="Arial" w:cs="Arial"/>
          <w:bCs/>
          <w:iCs/>
        </w:rPr>
        <w:t xml:space="preserve"> (</w:t>
      </w:r>
      <w:r w:rsidR="00EF12FF" w:rsidRPr="00D15956">
        <w:rPr>
          <w:rFonts w:ascii="Arial" w:hAnsi="Arial" w:cs="Arial"/>
          <w:b/>
          <w:iCs/>
        </w:rPr>
        <w:t>F</w:t>
      </w:r>
      <w:r w:rsidR="00EF12FF" w:rsidRPr="00D15956">
        <w:rPr>
          <w:rFonts w:ascii="Arial" w:hAnsi="Arial" w:cs="Arial"/>
          <w:bCs/>
          <w:iCs/>
        </w:rPr>
        <w:t>)</w:t>
      </w:r>
      <w:r w:rsidR="00326571" w:rsidRPr="00D15956">
        <w:rPr>
          <w:rFonts w:ascii="Arial" w:hAnsi="Arial" w:cs="Arial"/>
          <w:bCs/>
          <w:iCs/>
        </w:rPr>
        <w:t>.</w:t>
      </w:r>
      <w:r w:rsidR="000C7BAB" w:rsidRPr="00D15956">
        <w:rPr>
          <w:rFonts w:ascii="Arial" w:hAnsi="Arial" w:cs="Arial"/>
          <w:bCs/>
          <w:iCs/>
        </w:rPr>
        <w:t xml:space="preserve">  </w:t>
      </w:r>
      <w:r w:rsidR="008C0AAC" w:rsidRPr="00D15956">
        <w:rPr>
          <w:rFonts w:ascii="Arial" w:hAnsi="Arial" w:cs="Arial"/>
          <w:bCs/>
          <w:iCs/>
        </w:rPr>
        <w:t>A</w:t>
      </w:r>
      <w:r w:rsidR="00DA10B6" w:rsidRPr="00D15956">
        <w:rPr>
          <w:rFonts w:ascii="Arial" w:hAnsi="Arial" w:cs="Arial"/>
          <w:bCs/>
          <w:iCs/>
        </w:rPr>
        <w:t xml:space="preserve"> clear dispute of fact </w:t>
      </w:r>
      <w:r w:rsidR="008C0AAC" w:rsidRPr="00D15956">
        <w:rPr>
          <w:rFonts w:ascii="Arial" w:hAnsi="Arial" w:cs="Arial"/>
          <w:bCs/>
          <w:iCs/>
        </w:rPr>
        <w:t>eme</w:t>
      </w:r>
      <w:r w:rsidR="009860B2" w:rsidRPr="00D15956">
        <w:rPr>
          <w:rFonts w:ascii="Arial" w:hAnsi="Arial" w:cs="Arial"/>
          <w:bCs/>
          <w:iCs/>
        </w:rPr>
        <w:t xml:space="preserve">rged </w:t>
      </w:r>
      <w:r w:rsidR="00DA10B6" w:rsidRPr="00D15956">
        <w:rPr>
          <w:rFonts w:ascii="Arial" w:hAnsi="Arial" w:cs="Arial"/>
          <w:bCs/>
          <w:iCs/>
        </w:rPr>
        <w:t>between the parties</w:t>
      </w:r>
      <w:r w:rsidR="00AB6B1C" w:rsidRPr="00D15956">
        <w:rPr>
          <w:rFonts w:ascii="Arial" w:hAnsi="Arial" w:cs="Arial"/>
          <w:bCs/>
          <w:iCs/>
        </w:rPr>
        <w:t xml:space="preserve"> on the</w:t>
      </w:r>
      <w:r w:rsidR="002C1960" w:rsidRPr="00D15956">
        <w:rPr>
          <w:rFonts w:ascii="Arial" w:hAnsi="Arial" w:cs="Arial"/>
          <w:bCs/>
          <w:iCs/>
        </w:rPr>
        <w:t>ir respective</w:t>
      </w:r>
      <w:r w:rsidR="008B080B" w:rsidRPr="00D15956">
        <w:rPr>
          <w:rFonts w:ascii="Arial" w:hAnsi="Arial" w:cs="Arial"/>
          <w:bCs/>
          <w:iCs/>
        </w:rPr>
        <w:t xml:space="preserve"> </w:t>
      </w:r>
      <w:r w:rsidR="002C1960" w:rsidRPr="00D15956">
        <w:rPr>
          <w:rFonts w:ascii="Arial" w:hAnsi="Arial" w:cs="Arial"/>
          <w:bCs/>
          <w:iCs/>
        </w:rPr>
        <w:t xml:space="preserve">affidavits </w:t>
      </w:r>
      <w:r w:rsidR="00AB6B1C" w:rsidRPr="00D15956">
        <w:rPr>
          <w:rFonts w:ascii="Arial" w:hAnsi="Arial" w:cs="Arial"/>
          <w:bCs/>
          <w:iCs/>
        </w:rPr>
        <w:t>delivered in the counter-application.</w:t>
      </w:r>
      <w:r w:rsidR="004D3B7A" w:rsidRPr="006F6727">
        <w:rPr>
          <w:rStyle w:val="FootnoteReference"/>
          <w:rFonts w:ascii="Arial" w:hAnsi="Arial" w:cs="Arial"/>
          <w:bCs/>
          <w:iCs/>
        </w:rPr>
        <w:footnoteReference w:id="39"/>
      </w:r>
      <w:r w:rsidR="00AB6B1C" w:rsidRPr="00D15956">
        <w:rPr>
          <w:rFonts w:ascii="Arial" w:hAnsi="Arial" w:cs="Arial"/>
          <w:bCs/>
          <w:iCs/>
        </w:rPr>
        <w:t xml:space="preserve">  </w:t>
      </w:r>
      <w:r w:rsidR="00B83A5F" w:rsidRPr="00D15956">
        <w:rPr>
          <w:rFonts w:ascii="Arial" w:hAnsi="Arial" w:cs="Arial"/>
          <w:bCs/>
          <w:iCs/>
        </w:rPr>
        <w:t xml:space="preserve">According to the </w:t>
      </w:r>
      <w:r w:rsidR="006B4D30" w:rsidRPr="00D15956">
        <w:rPr>
          <w:rFonts w:ascii="Arial" w:hAnsi="Arial" w:cs="Arial"/>
          <w:bCs/>
          <w:iCs/>
        </w:rPr>
        <w:t>counter-</w:t>
      </w:r>
      <w:r w:rsidR="00B83A5F" w:rsidRPr="00D15956">
        <w:rPr>
          <w:rFonts w:ascii="Arial" w:hAnsi="Arial" w:cs="Arial"/>
          <w:bCs/>
          <w:iCs/>
        </w:rPr>
        <w:t xml:space="preserve">applicants </w:t>
      </w:r>
      <w:r w:rsidR="00E774B1" w:rsidRPr="00D15956">
        <w:rPr>
          <w:rFonts w:ascii="Arial" w:hAnsi="Arial" w:cs="Arial"/>
          <w:bCs/>
          <w:iCs/>
        </w:rPr>
        <w:t>they had already moved on to the property in question, erected structures</w:t>
      </w:r>
      <w:r w:rsidR="004D3B7A" w:rsidRPr="00D15956">
        <w:rPr>
          <w:rFonts w:ascii="Arial" w:hAnsi="Arial" w:cs="Arial"/>
          <w:bCs/>
          <w:iCs/>
        </w:rPr>
        <w:t xml:space="preserve"> and made those structures their homes.</w:t>
      </w:r>
      <w:r w:rsidR="00A4130E" w:rsidRPr="00D15956">
        <w:rPr>
          <w:rFonts w:ascii="Arial" w:hAnsi="Arial" w:cs="Arial"/>
          <w:bCs/>
          <w:iCs/>
        </w:rPr>
        <w:t xml:space="preserve">  The respondents in the</w:t>
      </w:r>
      <w:r w:rsidR="000621A4" w:rsidRPr="00D15956">
        <w:rPr>
          <w:rFonts w:ascii="Arial" w:hAnsi="Arial" w:cs="Arial"/>
          <w:bCs/>
          <w:iCs/>
        </w:rPr>
        <w:t xml:space="preserve"> counter-application</w:t>
      </w:r>
      <w:r w:rsidR="00A4130E" w:rsidRPr="00D15956">
        <w:rPr>
          <w:rFonts w:ascii="Arial" w:hAnsi="Arial" w:cs="Arial"/>
          <w:bCs/>
          <w:iCs/>
        </w:rPr>
        <w:t>, i.e.</w:t>
      </w:r>
      <w:r w:rsidR="000621A4" w:rsidRPr="00D15956">
        <w:rPr>
          <w:rFonts w:ascii="Arial" w:hAnsi="Arial" w:cs="Arial"/>
          <w:bCs/>
          <w:iCs/>
        </w:rPr>
        <w:t>, the City and F</w:t>
      </w:r>
      <w:r w:rsidR="000A7221" w:rsidRPr="00D15956">
        <w:rPr>
          <w:rFonts w:ascii="Arial" w:hAnsi="Arial" w:cs="Arial"/>
          <w:bCs/>
          <w:iCs/>
        </w:rPr>
        <w:t xml:space="preserve">, denied the </w:t>
      </w:r>
      <w:r w:rsidR="00E67710" w:rsidRPr="00D15956">
        <w:rPr>
          <w:rFonts w:ascii="Arial" w:hAnsi="Arial" w:cs="Arial"/>
          <w:bCs/>
          <w:iCs/>
        </w:rPr>
        <w:t>counter-</w:t>
      </w:r>
      <w:r w:rsidR="000A7221" w:rsidRPr="00D15956">
        <w:rPr>
          <w:rFonts w:ascii="Arial" w:hAnsi="Arial" w:cs="Arial"/>
          <w:bCs/>
          <w:iCs/>
        </w:rPr>
        <w:t>applicants</w:t>
      </w:r>
      <w:r w:rsidR="003E6646" w:rsidRPr="00D15956">
        <w:rPr>
          <w:rFonts w:ascii="Arial" w:hAnsi="Arial" w:cs="Arial"/>
          <w:bCs/>
          <w:iCs/>
        </w:rPr>
        <w:t>’</w:t>
      </w:r>
      <w:r w:rsidR="00103A69" w:rsidRPr="00D15956">
        <w:rPr>
          <w:rFonts w:ascii="Times New Roman" w:hAnsi="Times New Roman"/>
          <w:bCs/>
          <w:iCs/>
        </w:rPr>
        <w:t xml:space="preserve"> </w:t>
      </w:r>
      <w:r w:rsidR="00103A69" w:rsidRPr="00D15956">
        <w:rPr>
          <w:rFonts w:ascii="Arial" w:hAnsi="Arial" w:cs="Arial"/>
          <w:bCs/>
          <w:iCs/>
        </w:rPr>
        <w:t>allegations and averred that the structures</w:t>
      </w:r>
      <w:r w:rsidR="00994B41" w:rsidRPr="00D15956">
        <w:rPr>
          <w:rFonts w:ascii="Arial" w:hAnsi="Arial" w:cs="Arial"/>
          <w:bCs/>
          <w:iCs/>
        </w:rPr>
        <w:t xml:space="preserve">, which </w:t>
      </w:r>
      <w:r w:rsidR="00103A69" w:rsidRPr="00D15956">
        <w:rPr>
          <w:rFonts w:ascii="Arial" w:hAnsi="Arial" w:cs="Arial"/>
          <w:bCs/>
          <w:iCs/>
        </w:rPr>
        <w:t>had been erected as part of a land invasion</w:t>
      </w:r>
      <w:r w:rsidR="00994B41" w:rsidRPr="00D15956">
        <w:rPr>
          <w:rFonts w:ascii="Arial" w:hAnsi="Arial" w:cs="Arial"/>
          <w:bCs/>
          <w:iCs/>
        </w:rPr>
        <w:t>,</w:t>
      </w:r>
      <w:r w:rsidR="003C1B3C" w:rsidRPr="00D15956">
        <w:rPr>
          <w:rFonts w:ascii="Arial" w:hAnsi="Arial" w:cs="Arial"/>
          <w:bCs/>
          <w:iCs/>
        </w:rPr>
        <w:t xml:space="preserve"> </w:t>
      </w:r>
      <w:bookmarkStart w:id="36" w:name="_Hlk152520970"/>
      <w:r w:rsidR="003C1B3C" w:rsidRPr="00D15956">
        <w:rPr>
          <w:rFonts w:ascii="Arial" w:hAnsi="Arial" w:cs="Arial"/>
          <w:bCs/>
          <w:iCs/>
        </w:rPr>
        <w:t>were not inhabited and that no one’s home had been demolished</w:t>
      </w:r>
      <w:bookmarkEnd w:id="36"/>
      <w:r w:rsidR="00442764" w:rsidRPr="00D15956">
        <w:rPr>
          <w:rFonts w:ascii="Arial" w:hAnsi="Arial" w:cs="Arial"/>
          <w:bCs/>
          <w:iCs/>
        </w:rPr>
        <w:t>.</w:t>
      </w:r>
      <w:r w:rsidR="00442764" w:rsidRPr="006F6727">
        <w:rPr>
          <w:rStyle w:val="FootnoteReference"/>
          <w:rFonts w:ascii="Arial" w:hAnsi="Arial" w:cs="Arial"/>
          <w:bCs/>
          <w:iCs/>
        </w:rPr>
        <w:footnoteReference w:id="40"/>
      </w:r>
      <w:r w:rsidR="00B57ECA" w:rsidRPr="00D15956">
        <w:rPr>
          <w:rFonts w:ascii="Arial" w:hAnsi="Arial" w:cs="Arial"/>
          <w:bCs/>
          <w:iCs/>
        </w:rPr>
        <w:t xml:space="preserve">  </w:t>
      </w:r>
      <w:r w:rsidR="00287F95" w:rsidRPr="00D15956">
        <w:rPr>
          <w:rFonts w:ascii="Arial" w:hAnsi="Arial" w:cs="Arial"/>
          <w:bCs/>
          <w:iCs/>
        </w:rPr>
        <w:t>The</w:t>
      </w:r>
      <w:r w:rsidR="00835654" w:rsidRPr="00D15956">
        <w:rPr>
          <w:rFonts w:ascii="Arial" w:hAnsi="Arial" w:cs="Arial"/>
          <w:bCs/>
          <w:iCs/>
        </w:rPr>
        <w:t xml:space="preserve"> deponents </w:t>
      </w:r>
      <w:r w:rsidR="00287F95" w:rsidRPr="00D15956">
        <w:rPr>
          <w:rFonts w:ascii="Arial" w:hAnsi="Arial" w:cs="Arial"/>
          <w:bCs/>
          <w:iCs/>
        </w:rPr>
        <w:t>to the affidavits delivered on behalf of the City</w:t>
      </w:r>
      <w:r w:rsidR="0061287A" w:rsidRPr="00D15956">
        <w:rPr>
          <w:rFonts w:ascii="Arial" w:hAnsi="Arial" w:cs="Arial"/>
          <w:bCs/>
          <w:iCs/>
        </w:rPr>
        <w:t xml:space="preserve"> </w:t>
      </w:r>
      <w:r w:rsidR="00AF79EC" w:rsidRPr="00D15956">
        <w:rPr>
          <w:rFonts w:ascii="Arial" w:hAnsi="Arial" w:cs="Arial"/>
          <w:bCs/>
          <w:iCs/>
        </w:rPr>
        <w:t xml:space="preserve">further </w:t>
      </w:r>
      <w:r w:rsidR="0061287A" w:rsidRPr="00D15956">
        <w:rPr>
          <w:rFonts w:ascii="Arial" w:hAnsi="Arial" w:cs="Arial"/>
          <w:bCs/>
          <w:iCs/>
        </w:rPr>
        <w:t>explained that the City recognised</w:t>
      </w:r>
      <w:r w:rsidR="003F4957" w:rsidRPr="00D15956">
        <w:rPr>
          <w:rFonts w:ascii="Arial" w:hAnsi="Arial" w:cs="Arial"/>
          <w:bCs/>
          <w:iCs/>
        </w:rPr>
        <w:t xml:space="preserve"> that it could not evict people and demolish their homes, even if </w:t>
      </w:r>
      <w:r w:rsidR="00960C22" w:rsidRPr="00D15956">
        <w:rPr>
          <w:rFonts w:ascii="Arial" w:hAnsi="Arial" w:cs="Arial"/>
          <w:bCs/>
          <w:iCs/>
        </w:rPr>
        <w:t xml:space="preserve">they had </w:t>
      </w:r>
      <w:r w:rsidR="007D58CA" w:rsidRPr="00D15956">
        <w:rPr>
          <w:rFonts w:ascii="Arial" w:hAnsi="Arial" w:cs="Arial"/>
          <w:bCs/>
          <w:iCs/>
        </w:rPr>
        <w:t xml:space="preserve">been </w:t>
      </w:r>
      <w:r w:rsidR="003F4957" w:rsidRPr="00D15956">
        <w:rPr>
          <w:rFonts w:ascii="Arial" w:hAnsi="Arial" w:cs="Arial"/>
          <w:bCs/>
          <w:iCs/>
        </w:rPr>
        <w:t>unlawfully constructed and</w:t>
      </w:r>
      <w:r w:rsidR="003F4957" w:rsidRPr="00D15956">
        <w:rPr>
          <w:rFonts w:ascii="Times New Roman" w:hAnsi="Times New Roman"/>
          <w:bCs/>
          <w:iCs/>
        </w:rPr>
        <w:t xml:space="preserve"> </w:t>
      </w:r>
      <w:r w:rsidR="003F4957" w:rsidRPr="00D15956">
        <w:rPr>
          <w:rFonts w:ascii="Arial" w:hAnsi="Arial" w:cs="Arial"/>
          <w:bCs/>
          <w:iCs/>
        </w:rPr>
        <w:t xml:space="preserve">occupied, without </w:t>
      </w:r>
      <w:r w:rsidR="007D58CA" w:rsidRPr="00D15956">
        <w:rPr>
          <w:rFonts w:ascii="Arial" w:hAnsi="Arial" w:cs="Arial"/>
          <w:bCs/>
          <w:iCs/>
        </w:rPr>
        <w:t xml:space="preserve">first </w:t>
      </w:r>
      <w:r w:rsidR="003F4957" w:rsidRPr="00D15956">
        <w:rPr>
          <w:rFonts w:ascii="Arial" w:hAnsi="Arial" w:cs="Arial"/>
          <w:bCs/>
          <w:iCs/>
        </w:rPr>
        <w:t>complying with the</w:t>
      </w:r>
      <w:r w:rsidR="003F4957" w:rsidRPr="00D15956">
        <w:rPr>
          <w:rFonts w:ascii="Times New Roman" w:hAnsi="Times New Roman"/>
          <w:bCs/>
          <w:iCs/>
        </w:rPr>
        <w:t xml:space="preserve"> </w:t>
      </w:r>
      <w:r w:rsidR="003F4957" w:rsidRPr="00D15956">
        <w:rPr>
          <w:rFonts w:ascii="Arial" w:hAnsi="Arial" w:cs="Arial"/>
          <w:bCs/>
          <w:iCs/>
        </w:rPr>
        <w:t xml:space="preserve">requirements of the Prevention of Illegal Eviction from and </w:t>
      </w:r>
      <w:r w:rsidR="00F61B83" w:rsidRPr="00D15956">
        <w:rPr>
          <w:rFonts w:ascii="Arial" w:hAnsi="Arial" w:cs="Arial"/>
          <w:bCs/>
          <w:iCs/>
        </w:rPr>
        <w:t>Unlawful Occupation of Land Act 19 of 1998.</w:t>
      </w:r>
      <w:r w:rsidR="00F61B83" w:rsidRPr="00714E74">
        <w:rPr>
          <w:rStyle w:val="FootnoteReference"/>
          <w:rFonts w:ascii="Arial" w:hAnsi="Arial" w:cs="Arial"/>
          <w:bCs/>
          <w:iCs/>
        </w:rPr>
        <w:footnoteReference w:id="41"/>
      </w:r>
    </w:p>
    <w:p w14:paraId="51C34CAC" w14:textId="76AAEDE4" w:rsidR="00DB0E18" w:rsidRPr="00D15956" w:rsidRDefault="00D15956" w:rsidP="00D15956">
      <w:pPr>
        <w:spacing w:line="480" w:lineRule="auto"/>
        <w:ind w:left="720" w:right="28"/>
        <w:rPr>
          <w:rFonts w:ascii="Arial" w:hAnsi="Arial" w:cs="Arial"/>
        </w:rPr>
      </w:pPr>
      <w:r w:rsidRPr="00714E74">
        <w:rPr>
          <w:rFonts w:ascii="Arial" w:hAnsi="Arial" w:cs="Arial"/>
        </w:rPr>
        <w:t>[33].</w:t>
      </w:r>
      <w:r w:rsidRPr="00714E74">
        <w:rPr>
          <w:rFonts w:ascii="Arial" w:hAnsi="Arial" w:cs="Arial"/>
        </w:rPr>
        <w:tab/>
      </w:r>
      <w:r w:rsidR="000E2EFA" w:rsidRPr="00D15956">
        <w:rPr>
          <w:rFonts w:ascii="Arial" w:hAnsi="Arial" w:cs="Arial"/>
        </w:rPr>
        <w:t>P</w:t>
      </w:r>
      <w:r w:rsidR="00B4074C" w:rsidRPr="00D15956">
        <w:rPr>
          <w:rFonts w:ascii="Arial" w:hAnsi="Arial" w:cs="Arial"/>
        </w:rPr>
        <w:t xml:space="preserve">rior to the granting of </w:t>
      </w:r>
      <w:r w:rsidR="008C7838" w:rsidRPr="00D15956">
        <w:rPr>
          <w:rFonts w:ascii="Arial" w:hAnsi="Arial" w:cs="Arial"/>
        </w:rPr>
        <w:t xml:space="preserve">the </w:t>
      </w:r>
      <w:r w:rsidR="00B055B8" w:rsidRPr="00D15956">
        <w:rPr>
          <w:rFonts w:ascii="Arial" w:hAnsi="Arial" w:cs="Arial"/>
          <w:bCs/>
          <w:iCs/>
        </w:rPr>
        <w:t>declaratory relief and mandatory interdicts</w:t>
      </w:r>
      <w:r w:rsidR="00B055B8" w:rsidRPr="00D15956">
        <w:rPr>
          <w:rFonts w:ascii="Arial" w:hAnsi="Arial" w:cs="Arial"/>
        </w:rPr>
        <w:t xml:space="preserve"> </w:t>
      </w:r>
      <w:r w:rsidR="008C7838" w:rsidRPr="00D15956">
        <w:rPr>
          <w:rFonts w:ascii="Arial" w:hAnsi="Arial" w:cs="Arial"/>
        </w:rPr>
        <w:t xml:space="preserve">giving rise to the appeal, </w:t>
      </w:r>
      <w:r w:rsidR="00DB0E18" w:rsidRPr="00D15956">
        <w:rPr>
          <w:rFonts w:ascii="Arial" w:hAnsi="Arial" w:cs="Arial"/>
        </w:rPr>
        <w:t>the parties</w:t>
      </w:r>
      <w:r w:rsidR="00267E45" w:rsidRPr="00D15956">
        <w:rPr>
          <w:rFonts w:ascii="Arial" w:hAnsi="Arial" w:cs="Arial"/>
        </w:rPr>
        <w:t xml:space="preserve"> </w:t>
      </w:r>
      <w:r w:rsidR="007C233B" w:rsidRPr="00D15956">
        <w:rPr>
          <w:rFonts w:ascii="Arial" w:hAnsi="Arial" w:cs="Arial"/>
        </w:rPr>
        <w:t xml:space="preserve">recognised </w:t>
      </w:r>
      <w:r w:rsidR="00E544D4" w:rsidRPr="00D15956">
        <w:rPr>
          <w:rFonts w:ascii="Arial" w:hAnsi="Arial" w:cs="Arial"/>
        </w:rPr>
        <w:t xml:space="preserve">that </w:t>
      </w:r>
      <w:r w:rsidR="00E82DDF" w:rsidRPr="00D15956">
        <w:rPr>
          <w:rFonts w:ascii="Arial" w:hAnsi="Arial" w:cs="Arial"/>
        </w:rPr>
        <w:t xml:space="preserve">the dispute of fact </w:t>
      </w:r>
      <w:r w:rsidR="00E544D4" w:rsidRPr="00D15956">
        <w:rPr>
          <w:rFonts w:ascii="Arial" w:hAnsi="Arial" w:cs="Arial"/>
        </w:rPr>
        <w:t>(</w:t>
      </w:r>
      <w:r w:rsidR="00E82DDF" w:rsidRPr="00D15956">
        <w:rPr>
          <w:rFonts w:ascii="Arial" w:hAnsi="Arial" w:cs="Arial"/>
        </w:rPr>
        <w:t xml:space="preserve">as outlined </w:t>
      </w:r>
      <w:r w:rsidR="00E82DDF" w:rsidRPr="00D15956">
        <w:rPr>
          <w:rFonts w:ascii="Arial" w:hAnsi="Arial" w:cs="Arial"/>
        </w:rPr>
        <w:lastRenderedPageBreak/>
        <w:t>above</w:t>
      </w:r>
      <w:r w:rsidR="00E544D4" w:rsidRPr="00D15956">
        <w:rPr>
          <w:rFonts w:ascii="Arial" w:hAnsi="Arial" w:cs="Arial"/>
        </w:rPr>
        <w:t>)</w:t>
      </w:r>
      <w:r w:rsidR="00DC66CB" w:rsidRPr="00D15956">
        <w:rPr>
          <w:rFonts w:ascii="Arial" w:hAnsi="Arial" w:cs="Arial"/>
        </w:rPr>
        <w:t xml:space="preserve"> had arisen</w:t>
      </w:r>
      <w:r w:rsidR="00334EDE" w:rsidRPr="00D15956">
        <w:rPr>
          <w:rFonts w:ascii="Arial" w:hAnsi="Arial" w:cs="Arial"/>
        </w:rPr>
        <w:t>.</w:t>
      </w:r>
      <w:r w:rsidR="00DC66CB" w:rsidRPr="00D15956">
        <w:rPr>
          <w:rFonts w:ascii="Arial" w:hAnsi="Arial" w:cs="Arial"/>
        </w:rPr>
        <w:t xml:space="preserve">  </w:t>
      </w:r>
      <w:r w:rsidR="004D2030" w:rsidRPr="00D15956">
        <w:rPr>
          <w:rFonts w:ascii="Arial" w:hAnsi="Arial" w:cs="Arial"/>
        </w:rPr>
        <w:t xml:space="preserve"> Consequently, they </w:t>
      </w:r>
      <w:r w:rsidR="00267E45" w:rsidRPr="00D15956">
        <w:rPr>
          <w:rFonts w:ascii="Arial" w:hAnsi="Arial" w:cs="Arial"/>
        </w:rPr>
        <w:t>entered into a written agreement and obtain</w:t>
      </w:r>
      <w:r w:rsidR="007D58CA" w:rsidRPr="00D15956">
        <w:rPr>
          <w:rFonts w:ascii="Arial" w:hAnsi="Arial" w:cs="Arial"/>
        </w:rPr>
        <w:t>ed</w:t>
      </w:r>
      <w:r w:rsidR="00267E45" w:rsidRPr="00D15956">
        <w:rPr>
          <w:rFonts w:ascii="Arial" w:hAnsi="Arial" w:cs="Arial"/>
        </w:rPr>
        <w:t xml:space="preserve"> an order</w:t>
      </w:r>
      <w:r w:rsidR="004D2030" w:rsidRPr="00D15956">
        <w:rPr>
          <w:rFonts w:ascii="Arial" w:hAnsi="Arial" w:cs="Arial"/>
        </w:rPr>
        <w:t xml:space="preserve"> from the court (</w:t>
      </w:r>
      <w:r w:rsidR="004D2030" w:rsidRPr="00D15956">
        <w:rPr>
          <w:rFonts w:ascii="Arial" w:hAnsi="Arial" w:cs="Arial"/>
          <w:i/>
          <w:iCs/>
        </w:rPr>
        <w:t>per</w:t>
      </w:r>
      <w:r w:rsidR="004D2030" w:rsidRPr="00D15956">
        <w:rPr>
          <w:rFonts w:ascii="Arial" w:hAnsi="Arial" w:cs="Arial"/>
        </w:rPr>
        <w:t xml:space="preserve"> Zondi J)</w:t>
      </w:r>
      <w:r w:rsidR="008B39A6" w:rsidRPr="00D15956">
        <w:rPr>
          <w:rFonts w:ascii="Arial" w:hAnsi="Arial" w:cs="Arial"/>
        </w:rPr>
        <w:t xml:space="preserve"> referring the</w:t>
      </w:r>
      <w:r w:rsidR="00535CAC" w:rsidRPr="00D15956">
        <w:rPr>
          <w:rFonts w:ascii="Arial" w:hAnsi="Arial" w:cs="Arial"/>
        </w:rPr>
        <w:t>ir</w:t>
      </w:r>
      <w:r w:rsidR="008B39A6" w:rsidRPr="00D15956">
        <w:rPr>
          <w:rFonts w:ascii="Arial" w:hAnsi="Arial" w:cs="Arial"/>
        </w:rPr>
        <w:t xml:space="preserve"> dispute for the hearing of oral evidence</w:t>
      </w:r>
      <w:r w:rsidR="00063A23" w:rsidRPr="00D15956">
        <w:rPr>
          <w:rFonts w:ascii="Arial" w:hAnsi="Arial" w:cs="Arial"/>
        </w:rPr>
        <w:t xml:space="preserve">.  </w:t>
      </w:r>
      <w:r w:rsidR="008B39A6" w:rsidRPr="00D15956">
        <w:rPr>
          <w:rFonts w:ascii="Arial" w:hAnsi="Arial" w:cs="Arial"/>
        </w:rPr>
        <w:t>T</w:t>
      </w:r>
      <w:r w:rsidR="00063A23" w:rsidRPr="00D15956">
        <w:rPr>
          <w:rFonts w:ascii="Arial" w:hAnsi="Arial" w:cs="Arial"/>
        </w:rPr>
        <w:t>his order read</w:t>
      </w:r>
      <w:r w:rsidR="009D6958" w:rsidRPr="00D15956">
        <w:rPr>
          <w:rFonts w:ascii="Arial" w:hAnsi="Arial" w:cs="Arial"/>
        </w:rPr>
        <w:t>s</w:t>
      </w:r>
      <w:r w:rsidR="00063A23" w:rsidRPr="00D15956">
        <w:rPr>
          <w:rFonts w:ascii="Arial" w:hAnsi="Arial" w:cs="Arial"/>
        </w:rPr>
        <w:t xml:space="preserve"> as follows</w:t>
      </w:r>
      <w:r w:rsidR="00561EE3" w:rsidRPr="00D15956">
        <w:rPr>
          <w:rFonts w:ascii="Arial" w:hAnsi="Arial" w:cs="Arial"/>
        </w:rPr>
        <w:t>:</w:t>
      </w:r>
      <w:r w:rsidR="00D41FD2" w:rsidRPr="00714E74">
        <w:rPr>
          <w:rStyle w:val="FootnoteReference"/>
          <w:rFonts w:ascii="Arial" w:hAnsi="Arial" w:cs="Arial"/>
        </w:rPr>
        <w:footnoteReference w:id="42"/>
      </w:r>
      <w:r w:rsidR="00561EE3" w:rsidRPr="00D15956">
        <w:rPr>
          <w:rFonts w:ascii="Arial" w:hAnsi="Arial" w:cs="Arial"/>
        </w:rPr>
        <w:t xml:space="preserve"> </w:t>
      </w:r>
    </w:p>
    <w:p w14:paraId="2FE2C3F1" w14:textId="0C4DB960" w:rsidR="00561EE3" w:rsidRPr="00714E74" w:rsidRDefault="00561EE3" w:rsidP="008413E3">
      <w:pPr>
        <w:pStyle w:val="ListParagraph"/>
        <w:spacing w:before="120" w:line="240" w:lineRule="auto"/>
        <w:ind w:left="1418" w:right="521" w:firstLine="0"/>
        <w:contextualSpacing w:val="0"/>
        <w:rPr>
          <w:rFonts w:ascii="Arial" w:hAnsi="Arial" w:cs="Arial"/>
        </w:rPr>
      </w:pPr>
      <w:r w:rsidRPr="00714E74">
        <w:rPr>
          <w:rFonts w:ascii="Arial" w:hAnsi="Arial" w:cs="Arial"/>
        </w:rPr>
        <w:t>‘</w:t>
      </w:r>
      <w:r w:rsidRPr="00714E74">
        <w:rPr>
          <w:rFonts w:ascii="Arial" w:hAnsi="Arial" w:cs="Arial"/>
          <w:b/>
          <w:bCs/>
        </w:rPr>
        <w:t xml:space="preserve">Whether </w:t>
      </w:r>
      <w:r w:rsidR="00FD2638" w:rsidRPr="00714E74">
        <w:rPr>
          <w:rFonts w:ascii="Arial" w:hAnsi="Arial" w:cs="Arial"/>
          <w:b/>
          <w:bCs/>
        </w:rPr>
        <w:t xml:space="preserve">the structures </w:t>
      </w:r>
      <w:r w:rsidR="0041446E" w:rsidRPr="00714E74">
        <w:rPr>
          <w:rFonts w:ascii="Arial" w:hAnsi="Arial" w:cs="Arial"/>
          <w:b/>
          <w:bCs/>
        </w:rPr>
        <w:t xml:space="preserve">which </w:t>
      </w:r>
      <w:r w:rsidR="00FD2638" w:rsidRPr="00714E74">
        <w:rPr>
          <w:rFonts w:ascii="Arial" w:hAnsi="Arial" w:cs="Arial"/>
          <w:b/>
          <w:bCs/>
        </w:rPr>
        <w:t>were dismantled</w:t>
      </w:r>
      <w:r w:rsidR="00FD2638" w:rsidRPr="00714E74">
        <w:rPr>
          <w:rFonts w:ascii="Arial" w:hAnsi="Arial" w:cs="Arial"/>
        </w:rPr>
        <w:t xml:space="preserve"> by the City of Cape Town on 7 and 8 January 2014, at the property known as </w:t>
      </w:r>
      <w:r w:rsidR="008A64A3" w:rsidRPr="00714E74">
        <w:rPr>
          <w:rFonts w:ascii="Arial" w:hAnsi="Arial" w:cs="Arial"/>
        </w:rPr>
        <w:t>Erf</w:t>
      </w:r>
      <w:r w:rsidR="00FD2638" w:rsidRPr="00714E74">
        <w:rPr>
          <w:rFonts w:ascii="Arial" w:hAnsi="Arial" w:cs="Arial"/>
        </w:rPr>
        <w:t xml:space="preserve"> 150 </w:t>
      </w:r>
      <w:r w:rsidR="00837804" w:rsidRPr="00714E74">
        <w:rPr>
          <w:rFonts w:ascii="Arial" w:hAnsi="Arial" w:cs="Arial"/>
        </w:rPr>
        <w:t>Philippi</w:t>
      </w:r>
      <w:r w:rsidR="002A4655" w:rsidRPr="00714E74">
        <w:rPr>
          <w:rFonts w:ascii="Arial" w:hAnsi="Arial" w:cs="Arial"/>
        </w:rPr>
        <w:t xml:space="preserve">-East </w:t>
      </w:r>
      <w:r w:rsidR="009D6958" w:rsidRPr="00714E74">
        <w:rPr>
          <w:rFonts w:ascii="Arial" w:hAnsi="Arial" w:cs="Arial"/>
        </w:rPr>
        <w:t xml:space="preserve">remaining extent, </w:t>
      </w:r>
      <w:r w:rsidR="009D6958" w:rsidRPr="00714E74">
        <w:rPr>
          <w:rFonts w:ascii="Arial" w:hAnsi="Arial" w:cs="Arial"/>
          <w:b/>
          <w:bCs/>
        </w:rPr>
        <w:t>were those which were unoccupied and vacant</w:t>
      </w:r>
      <w:r w:rsidRPr="00714E74">
        <w:rPr>
          <w:rFonts w:ascii="Arial" w:hAnsi="Arial" w:cs="Arial"/>
        </w:rPr>
        <w:t>’</w:t>
      </w:r>
    </w:p>
    <w:p w14:paraId="57D63CCE" w14:textId="3A0320E0" w:rsidR="0041446E" w:rsidRPr="00714E74" w:rsidRDefault="00D41FD2" w:rsidP="008413E3">
      <w:pPr>
        <w:pStyle w:val="ListParagraph"/>
        <w:spacing w:before="120" w:line="240" w:lineRule="auto"/>
        <w:ind w:left="1418" w:right="521" w:firstLine="0"/>
        <w:contextualSpacing w:val="0"/>
        <w:rPr>
          <w:rFonts w:ascii="Arial" w:hAnsi="Arial" w:cs="Arial"/>
        </w:rPr>
      </w:pPr>
      <w:r w:rsidRPr="00714E74">
        <w:rPr>
          <w:rFonts w:ascii="Arial" w:hAnsi="Arial" w:cs="Arial"/>
        </w:rPr>
        <w:t>(Own emphasis).</w:t>
      </w:r>
    </w:p>
    <w:p w14:paraId="55156F0A" w14:textId="6C62FBBD" w:rsidR="00561EE3" w:rsidRPr="00D15956" w:rsidRDefault="00D15956" w:rsidP="00D15956">
      <w:pPr>
        <w:spacing w:line="480" w:lineRule="auto"/>
        <w:ind w:left="720" w:right="28"/>
        <w:rPr>
          <w:rFonts w:ascii="Arial" w:hAnsi="Arial" w:cs="Arial"/>
        </w:rPr>
      </w:pPr>
      <w:r w:rsidRPr="00714E74">
        <w:rPr>
          <w:rFonts w:ascii="Arial" w:hAnsi="Arial" w:cs="Arial"/>
        </w:rPr>
        <w:t>[34].</w:t>
      </w:r>
      <w:r w:rsidRPr="00714E74">
        <w:rPr>
          <w:rFonts w:ascii="Arial" w:hAnsi="Arial" w:cs="Arial"/>
        </w:rPr>
        <w:tab/>
      </w:r>
      <w:r w:rsidR="006D315F" w:rsidRPr="00D15956">
        <w:rPr>
          <w:rFonts w:ascii="Arial" w:hAnsi="Arial" w:cs="Arial"/>
        </w:rPr>
        <w:t>Instead of</w:t>
      </w:r>
      <w:r w:rsidR="00B204A4" w:rsidRPr="00D15956">
        <w:rPr>
          <w:rFonts w:ascii="Arial" w:hAnsi="Arial" w:cs="Arial"/>
        </w:rPr>
        <w:t xml:space="preserve"> proceeding with the hearing of oral evidence</w:t>
      </w:r>
      <w:r w:rsidR="002D4AFF" w:rsidRPr="00D15956">
        <w:rPr>
          <w:rFonts w:ascii="Arial" w:hAnsi="Arial" w:cs="Arial"/>
        </w:rPr>
        <w:t xml:space="preserve"> to determine</w:t>
      </w:r>
      <w:r w:rsidR="00752B51" w:rsidRPr="00D15956">
        <w:rPr>
          <w:rFonts w:ascii="Arial" w:hAnsi="Arial" w:cs="Arial"/>
        </w:rPr>
        <w:t xml:space="preserve"> </w:t>
      </w:r>
      <w:r w:rsidR="002A6595" w:rsidRPr="00D15956">
        <w:rPr>
          <w:rFonts w:ascii="Arial" w:hAnsi="Arial" w:cs="Arial"/>
        </w:rPr>
        <w:t xml:space="preserve">the factual issue referred </w:t>
      </w:r>
      <w:r w:rsidR="00C03F81" w:rsidRPr="00D15956">
        <w:rPr>
          <w:rFonts w:ascii="Arial" w:hAnsi="Arial" w:cs="Arial"/>
        </w:rPr>
        <w:t xml:space="preserve">to him </w:t>
      </w:r>
      <w:r w:rsidR="00C41A70" w:rsidRPr="00D15956">
        <w:rPr>
          <w:rFonts w:ascii="Arial" w:hAnsi="Arial" w:cs="Arial"/>
        </w:rPr>
        <w:t xml:space="preserve">(i.e., </w:t>
      </w:r>
      <w:r w:rsidR="00EB03D0" w:rsidRPr="00D15956">
        <w:rPr>
          <w:rFonts w:ascii="Arial" w:hAnsi="Arial" w:cs="Arial"/>
        </w:rPr>
        <w:t xml:space="preserve">on the one hand, </w:t>
      </w:r>
      <w:r w:rsidR="00752B51" w:rsidRPr="00D15956">
        <w:rPr>
          <w:rFonts w:ascii="Arial" w:hAnsi="Arial" w:cs="Arial"/>
        </w:rPr>
        <w:t>whether or not the City’s factual averments</w:t>
      </w:r>
      <w:r w:rsidR="00E9427D" w:rsidRPr="00D15956">
        <w:rPr>
          <w:rFonts w:ascii="Arial" w:hAnsi="Arial" w:cs="Arial"/>
        </w:rPr>
        <w:t xml:space="preserve"> </w:t>
      </w:r>
      <w:r w:rsidR="00BF1A07" w:rsidRPr="00D15956">
        <w:rPr>
          <w:rFonts w:ascii="Arial" w:hAnsi="Arial" w:cs="Arial"/>
        </w:rPr>
        <w:t xml:space="preserve">were correct about the structures not being </w:t>
      </w:r>
      <w:r w:rsidR="00C41A70" w:rsidRPr="00D15956">
        <w:rPr>
          <w:rFonts w:ascii="Arial" w:hAnsi="Arial" w:cs="Arial"/>
        </w:rPr>
        <w:t>inhabited and that no one’s home had been demolished</w:t>
      </w:r>
      <w:r w:rsidR="00717B57" w:rsidRPr="00D15956">
        <w:rPr>
          <w:rFonts w:ascii="Arial" w:hAnsi="Arial" w:cs="Arial"/>
        </w:rPr>
        <w:t xml:space="preserve"> </w:t>
      </w:r>
      <w:r w:rsidR="00E9427D" w:rsidRPr="00D15956">
        <w:rPr>
          <w:rFonts w:ascii="Arial" w:hAnsi="Arial" w:cs="Arial"/>
        </w:rPr>
        <w:t>or</w:t>
      </w:r>
      <w:r w:rsidR="00EB03D0" w:rsidRPr="00D15956">
        <w:rPr>
          <w:rFonts w:ascii="Arial" w:hAnsi="Arial" w:cs="Arial"/>
        </w:rPr>
        <w:t>, on the other hand,</w:t>
      </w:r>
      <w:r w:rsidR="00E9427D" w:rsidRPr="00D15956">
        <w:rPr>
          <w:rFonts w:ascii="Arial" w:hAnsi="Arial" w:cs="Arial"/>
        </w:rPr>
        <w:t xml:space="preserve"> whether</w:t>
      </w:r>
      <w:r w:rsidR="00272C7B" w:rsidRPr="00D15956">
        <w:rPr>
          <w:rFonts w:ascii="Arial" w:hAnsi="Arial" w:cs="Arial"/>
        </w:rPr>
        <w:t xml:space="preserve"> individual counter-applicants</w:t>
      </w:r>
      <w:r w:rsidR="000E5E41" w:rsidRPr="00D15956">
        <w:rPr>
          <w:rFonts w:ascii="Arial" w:hAnsi="Arial" w:cs="Arial"/>
        </w:rPr>
        <w:t xml:space="preserve"> were truthful when they claim</w:t>
      </w:r>
      <w:r w:rsidR="00EB03D0" w:rsidRPr="00D15956">
        <w:rPr>
          <w:rFonts w:ascii="Arial" w:hAnsi="Arial" w:cs="Arial"/>
        </w:rPr>
        <w:t>ed</w:t>
      </w:r>
      <w:r w:rsidR="000E5E41" w:rsidRPr="00D15956">
        <w:rPr>
          <w:rFonts w:ascii="Arial" w:hAnsi="Arial" w:cs="Arial"/>
        </w:rPr>
        <w:t xml:space="preserve"> </w:t>
      </w:r>
      <w:r w:rsidR="00EB03D0" w:rsidRPr="00D15956">
        <w:rPr>
          <w:rFonts w:ascii="Arial" w:hAnsi="Arial" w:cs="Arial"/>
        </w:rPr>
        <w:t xml:space="preserve">already </w:t>
      </w:r>
      <w:r w:rsidR="000E5E41" w:rsidRPr="00D15956">
        <w:rPr>
          <w:rFonts w:ascii="Arial" w:hAnsi="Arial" w:cs="Arial"/>
        </w:rPr>
        <w:t>to be in occupation of their homes erected on the property in question before 7 and</w:t>
      </w:r>
      <w:r w:rsidR="00C206C5" w:rsidRPr="00D15956">
        <w:rPr>
          <w:rFonts w:ascii="Arial" w:hAnsi="Arial" w:cs="Arial"/>
        </w:rPr>
        <w:t xml:space="preserve"> 8 January 2014</w:t>
      </w:r>
      <w:r w:rsidR="00FA228C" w:rsidRPr="00D15956">
        <w:rPr>
          <w:rFonts w:ascii="Arial" w:hAnsi="Arial" w:cs="Arial"/>
        </w:rPr>
        <w:t>)</w:t>
      </w:r>
      <w:r w:rsidR="00CF752B" w:rsidRPr="00D15956">
        <w:rPr>
          <w:rFonts w:ascii="Arial" w:hAnsi="Arial" w:cs="Arial"/>
        </w:rPr>
        <w:t>, the judge</w:t>
      </w:r>
      <w:r w:rsidR="00FB3317" w:rsidRPr="00D15956">
        <w:rPr>
          <w:rFonts w:ascii="Arial" w:hAnsi="Arial" w:cs="Arial"/>
        </w:rPr>
        <w:t xml:space="preserve"> </w:t>
      </w:r>
      <w:r w:rsidR="00FB3317" w:rsidRPr="00D15956">
        <w:rPr>
          <w:rFonts w:ascii="Arial" w:hAnsi="Arial" w:cs="Arial"/>
          <w:i/>
          <w:iCs/>
        </w:rPr>
        <w:t>a quo</w:t>
      </w:r>
      <w:r w:rsidR="00FB3317" w:rsidRPr="00D15956">
        <w:rPr>
          <w:rFonts w:ascii="Arial" w:hAnsi="Arial" w:cs="Arial"/>
        </w:rPr>
        <w:t xml:space="preserve"> </w:t>
      </w:r>
      <w:r w:rsidR="00550CC7" w:rsidRPr="00D15956">
        <w:rPr>
          <w:rFonts w:ascii="Arial" w:hAnsi="Arial" w:cs="Arial"/>
        </w:rPr>
        <w:t>‘</w:t>
      </w:r>
      <w:r w:rsidR="00550CC7" w:rsidRPr="00D15956">
        <w:rPr>
          <w:rFonts w:ascii="Arial" w:hAnsi="Arial" w:cs="Arial"/>
          <w:i/>
          <w:iCs/>
        </w:rPr>
        <w:t>required</w:t>
      </w:r>
      <w:r w:rsidR="00550CC7" w:rsidRPr="00D15956">
        <w:rPr>
          <w:rFonts w:ascii="Arial" w:hAnsi="Arial" w:cs="Arial"/>
        </w:rPr>
        <w:t>’</w:t>
      </w:r>
      <w:r w:rsidR="008E5AA8" w:rsidRPr="00D15956">
        <w:rPr>
          <w:rFonts w:ascii="Arial" w:hAnsi="Arial" w:cs="Arial"/>
        </w:rPr>
        <w:t xml:space="preserve"> the parties to argue certain preliminary issues</w:t>
      </w:r>
      <w:r w:rsidR="00F8754B" w:rsidRPr="00D15956">
        <w:rPr>
          <w:rFonts w:ascii="Arial" w:hAnsi="Arial" w:cs="Arial"/>
        </w:rPr>
        <w:t xml:space="preserve"> that had not been identified by the parties as relevant to their dispute</w:t>
      </w:r>
      <w:r w:rsidR="00535166" w:rsidRPr="00D15956">
        <w:rPr>
          <w:rFonts w:ascii="Arial" w:hAnsi="Arial" w:cs="Arial"/>
        </w:rPr>
        <w:t>.</w:t>
      </w:r>
      <w:r w:rsidR="00DA2EDF" w:rsidRPr="00714E74">
        <w:rPr>
          <w:rStyle w:val="FootnoteReference"/>
          <w:rFonts w:ascii="Arial" w:hAnsi="Arial" w:cs="Arial"/>
        </w:rPr>
        <w:footnoteReference w:id="43"/>
      </w:r>
    </w:p>
    <w:p w14:paraId="70281945" w14:textId="65D5BE2A" w:rsidR="00535166" w:rsidRPr="00D15956" w:rsidRDefault="00D15956" w:rsidP="00D15956">
      <w:pPr>
        <w:spacing w:line="480" w:lineRule="auto"/>
        <w:ind w:left="720" w:right="28"/>
        <w:rPr>
          <w:rFonts w:ascii="Arial" w:hAnsi="Arial" w:cs="Arial"/>
        </w:rPr>
      </w:pPr>
      <w:r w:rsidRPr="00714E74">
        <w:rPr>
          <w:rFonts w:ascii="Arial" w:hAnsi="Arial" w:cs="Arial"/>
        </w:rPr>
        <w:t>[35].</w:t>
      </w:r>
      <w:r w:rsidRPr="00714E74">
        <w:rPr>
          <w:rFonts w:ascii="Arial" w:hAnsi="Arial" w:cs="Arial"/>
        </w:rPr>
        <w:tab/>
      </w:r>
      <w:r w:rsidR="009D18C7" w:rsidRPr="00D15956">
        <w:rPr>
          <w:rFonts w:ascii="Arial" w:hAnsi="Arial" w:cs="Arial"/>
        </w:rPr>
        <w:t>Against this background</w:t>
      </w:r>
      <w:r w:rsidR="000D2149" w:rsidRPr="00D15956">
        <w:rPr>
          <w:rFonts w:ascii="Arial" w:hAnsi="Arial" w:cs="Arial"/>
        </w:rPr>
        <w:t>, I refer to what the SCA</w:t>
      </w:r>
      <w:r w:rsidR="00F27B1C" w:rsidRPr="00D15956">
        <w:rPr>
          <w:rFonts w:ascii="Arial" w:hAnsi="Arial" w:cs="Arial"/>
        </w:rPr>
        <w:t xml:space="preserve"> (</w:t>
      </w:r>
      <w:r w:rsidR="00F27B1C" w:rsidRPr="00D15956">
        <w:rPr>
          <w:rFonts w:ascii="Arial" w:hAnsi="Arial" w:cs="Arial"/>
          <w:i/>
          <w:iCs/>
        </w:rPr>
        <w:t>per</w:t>
      </w:r>
      <w:r w:rsidR="00CC47D3" w:rsidRPr="00D15956">
        <w:rPr>
          <w:rFonts w:ascii="Arial" w:hAnsi="Arial" w:cs="Arial"/>
        </w:rPr>
        <w:t xml:space="preserve"> Theron </w:t>
      </w:r>
      <w:r w:rsidR="00F27B1C" w:rsidRPr="00D15956">
        <w:rPr>
          <w:rFonts w:ascii="Arial" w:hAnsi="Arial" w:cs="Arial"/>
        </w:rPr>
        <w:t>JA and</w:t>
      </w:r>
      <w:r w:rsidR="00B670FD" w:rsidRPr="00D15956">
        <w:rPr>
          <w:rFonts w:ascii="Arial" w:hAnsi="Arial" w:cs="Arial"/>
        </w:rPr>
        <w:t xml:space="preserve"> Wallis </w:t>
      </w:r>
      <w:r w:rsidR="00F27B1C" w:rsidRPr="00D15956">
        <w:rPr>
          <w:rFonts w:ascii="Arial" w:hAnsi="Arial" w:cs="Arial"/>
        </w:rPr>
        <w:t>JA</w:t>
      </w:r>
      <w:r w:rsidR="00B670FD" w:rsidRPr="00D15956">
        <w:rPr>
          <w:rFonts w:ascii="Arial" w:hAnsi="Arial" w:cs="Arial"/>
        </w:rPr>
        <w:t>, with whom</w:t>
      </w:r>
      <w:r w:rsidR="00FC03BA" w:rsidRPr="00D15956">
        <w:rPr>
          <w:rFonts w:ascii="Arial" w:hAnsi="Arial" w:cs="Arial"/>
        </w:rPr>
        <w:t xml:space="preserve"> Mphati</w:t>
      </w:r>
      <w:r w:rsidR="00EF3413" w:rsidRPr="00D15956">
        <w:rPr>
          <w:rFonts w:ascii="Arial" w:hAnsi="Arial" w:cs="Arial"/>
        </w:rPr>
        <w:t xml:space="preserve"> P</w:t>
      </w:r>
      <w:r w:rsidR="00140F0C" w:rsidRPr="00D15956">
        <w:rPr>
          <w:rFonts w:ascii="Arial" w:hAnsi="Arial" w:cs="Arial"/>
        </w:rPr>
        <w:t>, Hancke AJA and Swain AJA concurred)</w:t>
      </w:r>
      <w:r w:rsidR="00444F33" w:rsidRPr="00D15956">
        <w:rPr>
          <w:rFonts w:ascii="Arial" w:hAnsi="Arial" w:cs="Arial"/>
        </w:rPr>
        <w:t xml:space="preserve"> stated </w:t>
      </w:r>
      <w:r w:rsidR="00930B38" w:rsidRPr="00D15956">
        <w:rPr>
          <w:rFonts w:ascii="Arial" w:hAnsi="Arial" w:cs="Arial"/>
        </w:rPr>
        <w:t>about</w:t>
      </w:r>
      <w:r w:rsidR="0017272F" w:rsidRPr="00D15956">
        <w:rPr>
          <w:rFonts w:ascii="Arial" w:hAnsi="Arial" w:cs="Arial"/>
        </w:rPr>
        <w:t xml:space="preserve"> the</w:t>
      </w:r>
      <w:r w:rsidR="00836C90" w:rsidRPr="00D15956">
        <w:rPr>
          <w:rFonts w:ascii="Arial" w:hAnsi="Arial" w:cs="Arial"/>
        </w:rPr>
        <w:t xml:space="preserve"> issues a court is </w:t>
      </w:r>
      <w:r w:rsidR="0017272F" w:rsidRPr="00D15956">
        <w:rPr>
          <w:rFonts w:ascii="Arial" w:hAnsi="Arial" w:cs="Arial"/>
        </w:rPr>
        <w:t xml:space="preserve">called </w:t>
      </w:r>
      <w:r w:rsidR="003965B1" w:rsidRPr="00D15956">
        <w:rPr>
          <w:rFonts w:ascii="Arial" w:hAnsi="Arial" w:cs="Arial"/>
        </w:rPr>
        <w:t xml:space="preserve">upon </w:t>
      </w:r>
      <w:r w:rsidR="00836C90" w:rsidRPr="00D15956">
        <w:rPr>
          <w:rFonts w:ascii="Arial" w:hAnsi="Arial" w:cs="Arial"/>
        </w:rPr>
        <w:t>to adjudicate</w:t>
      </w:r>
      <w:r w:rsidR="009A40BD" w:rsidRPr="00D15956">
        <w:rPr>
          <w:rFonts w:ascii="Arial" w:hAnsi="Arial" w:cs="Arial"/>
        </w:rPr>
        <w:t xml:space="preserve"> (footnotes om</w:t>
      </w:r>
      <w:r w:rsidR="0081717B" w:rsidRPr="00D15956">
        <w:rPr>
          <w:rFonts w:ascii="Arial" w:hAnsi="Arial" w:cs="Arial"/>
        </w:rPr>
        <w:t>itted)</w:t>
      </w:r>
      <w:r w:rsidR="00B63466" w:rsidRPr="00D15956">
        <w:rPr>
          <w:rFonts w:ascii="Arial" w:hAnsi="Arial" w:cs="Arial"/>
        </w:rPr>
        <w:t>:</w:t>
      </w:r>
      <w:r w:rsidR="00B63466" w:rsidRPr="00714E74">
        <w:rPr>
          <w:rStyle w:val="FootnoteReference"/>
          <w:rFonts w:ascii="Arial" w:hAnsi="Arial" w:cs="Arial"/>
        </w:rPr>
        <w:footnoteReference w:id="44"/>
      </w:r>
    </w:p>
    <w:p w14:paraId="72A2AA2B" w14:textId="68C1A59A" w:rsidR="009A40BD" w:rsidRPr="00714E74" w:rsidRDefault="00980E91" w:rsidP="00D0646A">
      <w:pPr>
        <w:pStyle w:val="ListParagraph"/>
        <w:spacing w:before="120" w:line="240" w:lineRule="auto"/>
        <w:ind w:left="1418" w:right="521" w:firstLine="0"/>
        <w:contextualSpacing w:val="0"/>
        <w:rPr>
          <w:rFonts w:ascii="Arial" w:hAnsi="Arial" w:cs="Arial"/>
          <w:sz w:val="20"/>
          <w:szCs w:val="20"/>
        </w:rPr>
      </w:pPr>
      <w:r w:rsidRPr="00714E74">
        <w:rPr>
          <w:rFonts w:ascii="Arial" w:hAnsi="Arial" w:cs="Arial"/>
        </w:rPr>
        <w:t>‘</w:t>
      </w:r>
      <w:r w:rsidR="009A40BD" w:rsidRPr="00714E74">
        <w:rPr>
          <w:rFonts w:ascii="Arial" w:hAnsi="Arial" w:cs="Arial"/>
          <w:sz w:val="20"/>
          <w:szCs w:val="20"/>
        </w:rPr>
        <w:t>[13]</w:t>
      </w:r>
      <w:r w:rsidR="0081717B" w:rsidRPr="00714E74">
        <w:rPr>
          <w:rFonts w:ascii="Arial" w:hAnsi="Arial" w:cs="Arial"/>
          <w:sz w:val="20"/>
          <w:szCs w:val="20"/>
        </w:rPr>
        <w:t>  </w:t>
      </w:r>
      <w:r w:rsidR="009A40BD" w:rsidRPr="00714E74">
        <w:rPr>
          <w:rFonts w:ascii="Arial" w:hAnsi="Arial" w:cs="Arial"/>
          <w:sz w:val="20"/>
          <w:szCs w:val="20"/>
        </w:rPr>
        <w:t xml:space="preserve">Turning then to the nature of civil litigation in our adversarial system, </w:t>
      </w:r>
      <w:r w:rsidR="009A40BD" w:rsidRPr="00714E74">
        <w:rPr>
          <w:rFonts w:ascii="Arial" w:hAnsi="Arial" w:cs="Arial"/>
          <w:b/>
          <w:bCs/>
          <w:sz w:val="20"/>
          <w:szCs w:val="20"/>
        </w:rPr>
        <w:t>it is for the parties, either in the pleadings or affidavits (which serve the function of both pleadings and evidence), to set out and define the nature of their dispute, and it is for the court to adjudicate upon those issues</w:t>
      </w:r>
      <w:r w:rsidR="009A40BD" w:rsidRPr="00714E74">
        <w:rPr>
          <w:rFonts w:ascii="Arial" w:hAnsi="Arial" w:cs="Arial"/>
          <w:sz w:val="20"/>
          <w:szCs w:val="20"/>
        </w:rPr>
        <w:t xml:space="preserve">. </w:t>
      </w:r>
      <w:r w:rsidR="0081717B" w:rsidRPr="00714E74">
        <w:rPr>
          <w:rFonts w:ascii="Arial" w:hAnsi="Arial" w:cs="Arial"/>
          <w:sz w:val="20"/>
          <w:szCs w:val="20"/>
        </w:rPr>
        <w:t xml:space="preserve"> </w:t>
      </w:r>
      <w:r w:rsidR="009A40BD" w:rsidRPr="00714E74">
        <w:rPr>
          <w:rFonts w:ascii="Arial" w:hAnsi="Arial" w:cs="Arial"/>
          <w:sz w:val="20"/>
          <w:szCs w:val="20"/>
        </w:rPr>
        <w:t xml:space="preserve">That is so even where the dispute involves an issue pertaining to the basic human rights guaranteed by our Constitution, for </w:t>
      </w:r>
      <w:r w:rsidR="0081717B" w:rsidRPr="00714E74">
        <w:rPr>
          <w:rFonts w:ascii="Arial" w:hAnsi="Arial" w:cs="Arial"/>
          <w:sz w:val="20"/>
          <w:szCs w:val="20"/>
        </w:rPr>
        <w:t>“</w:t>
      </w:r>
      <w:r w:rsidR="009A40BD" w:rsidRPr="00714E74">
        <w:rPr>
          <w:rFonts w:ascii="Arial" w:hAnsi="Arial" w:cs="Arial"/>
          <w:i/>
          <w:iCs/>
          <w:sz w:val="20"/>
          <w:szCs w:val="20"/>
        </w:rPr>
        <w:t>(i)t is impermissible for a party to rely on a constitutional complaint that was not pleaded</w:t>
      </w:r>
      <w:r w:rsidR="0081717B" w:rsidRPr="00714E74">
        <w:rPr>
          <w:rFonts w:ascii="Arial" w:hAnsi="Arial" w:cs="Arial"/>
          <w:sz w:val="20"/>
          <w:szCs w:val="20"/>
        </w:rPr>
        <w:t>”</w:t>
      </w:r>
      <w:r w:rsidR="009A40BD" w:rsidRPr="00714E74">
        <w:rPr>
          <w:rFonts w:ascii="Arial" w:hAnsi="Arial" w:cs="Arial"/>
          <w:sz w:val="20"/>
          <w:szCs w:val="20"/>
        </w:rPr>
        <w:t>.</w:t>
      </w:r>
      <w:r w:rsidR="00CF0092" w:rsidRPr="00714E74">
        <w:rPr>
          <w:rFonts w:ascii="Arial" w:hAnsi="Arial" w:cs="Arial"/>
          <w:sz w:val="20"/>
          <w:szCs w:val="20"/>
        </w:rPr>
        <w:t xml:space="preserve">  </w:t>
      </w:r>
      <w:r w:rsidR="009A40BD" w:rsidRPr="00714E74">
        <w:rPr>
          <w:rFonts w:ascii="Arial" w:hAnsi="Arial" w:cs="Arial"/>
          <w:b/>
          <w:bCs/>
          <w:sz w:val="20"/>
          <w:szCs w:val="20"/>
        </w:rPr>
        <w:t xml:space="preserve">There are cases where the parties may expand those issues by the way in which they conduct the proceedings. </w:t>
      </w:r>
      <w:r w:rsidR="00CF0092" w:rsidRPr="00714E74">
        <w:rPr>
          <w:rFonts w:ascii="Arial" w:hAnsi="Arial" w:cs="Arial"/>
          <w:b/>
          <w:bCs/>
          <w:sz w:val="20"/>
          <w:szCs w:val="20"/>
        </w:rPr>
        <w:t xml:space="preserve"> </w:t>
      </w:r>
      <w:r w:rsidR="009A40BD" w:rsidRPr="00714E74">
        <w:rPr>
          <w:rFonts w:ascii="Arial" w:hAnsi="Arial" w:cs="Arial"/>
          <w:b/>
          <w:bCs/>
          <w:sz w:val="20"/>
          <w:szCs w:val="20"/>
        </w:rPr>
        <w:t xml:space="preserve">There may also be instances where the court may </w:t>
      </w:r>
      <w:r w:rsidR="009A40BD" w:rsidRPr="00714E74">
        <w:rPr>
          <w:rFonts w:ascii="Arial" w:hAnsi="Arial" w:cs="Arial"/>
          <w:b/>
          <w:bCs/>
          <w:i/>
          <w:iCs/>
          <w:sz w:val="20"/>
          <w:szCs w:val="20"/>
        </w:rPr>
        <w:t>mero motu</w:t>
      </w:r>
      <w:r w:rsidR="009A40BD" w:rsidRPr="00714E74">
        <w:rPr>
          <w:rFonts w:ascii="Arial" w:hAnsi="Arial" w:cs="Arial"/>
          <w:b/>
          <w:bCs/>
          <w:sz w:val="20"/>
          <w:szCs w:val="20"/>
        </w:rPr>
        <w:t xml:space="preserve"> raise a question of law that emerges fully from the evidence and is necessary for the decision of the case. </w:t>
      </w:r>
      <w:r w:rsidR="00CF0092" w:rsidRPr="00714E74">
        <w:rPr>
          <w:rFonts w:ascii="Arial" w:hAnsi="Arial" w:cs="Arial"/>
          <w:b/>
          <w:bCs/>
          <w:sz w:val="20"/>
          <w:szCs w:val="20"/>
        </w:rPr>
        <w:t xml:space="preserve"> </w:t>
      </w:r>
      <w:r w:rsidR="009A40BD" w:rsidRPr="00714E74">
        <w:rPr>
          <w:rFonts w:ascii="Arial" w:hAnsi="Arial" w:cs="Arial"/>
          <w:b/>
          <w:bCs/>
          <w:sz w:val="20"/>
          <w:szCs w:val="20"/>
        </w:rPr>
        <w:t xml:space="preserve">That is subject to the proviso that </w:t>
      </w:r>
      <w:r w:rsidR="009A40BD" w:rsidRPr="00714E74">
        <w:rPr>
          <w:rFonts w:ascii="Arial" w:hAnsi="Arial" w:cs="Arial"/>
          <w:b/>
          <w:bCs/>
          <w:sz w:val="20"/>
          <w:szCs w:val="20"/>
        </w:rPr>
        <w:lastRenderedPageBreak/>
        <w:t>no prejudice will be caused to any party by its being decided.</w:t>
      </w:r>
      <w:r w:rsidR="00CF0092" w:rsidRPr="00714E74">
        <w:rPr>
          <w:rFonts w:ascii="Arial" w:hAnsi="Arial" w:cs="Arial"/>
          <w:b/>
          <w:bCs/>
          <w:sz w:val="20"/>
          <w:szCs w:val="20"/>
        </w:rPr>
        <w:t xml:space="preserve">  </w:t>
      </w:r>
      <w:r w:rsidR="009A40BD" w:rsidRPr="00714E74">
        <w:rPr>
          <w:rFonts w:ascii="Arial" w:hAnsi="Arial" w:cs="Arial"/>
          <w:b/>
          <w:bCs/>
          <w:sz w:val="20"/>
          <w:szCs w:val="20"/>
        </w:rPr>
        <w:t>Beyond that it is for the parties to identify the dispute and for the court to determine that dispute and that dispute alone</w:t>
      </w:r>
      <w:r w:rsidR="009A40BD" w:rsidRPr="00714E74">
        <w:rPr>
          <w:rFonts w:ascii="Arial" w:hAnsi="Arial" w:cs="Arial"/>
          <w:sz w:val="20"/>
          <w:szCs w:val="20"/>
        </w:rPr>
        <w:t>.</w:t>
      </w:r>
    </w:p>
    <w:p w14:paraId="54F4C4A8" w14:textId="56E5C87A" w:rsidR="00980E91" w:rsidRPr="00714E74" w:rsidRDefault="009A40BD" w:rsidP="00D0646A">
      <w:pPr>
        <w:pStyle w:val="ListParagraph"/>
        <w:spacing w:before="120" w:line="240" w:lineRule="auto"/>
        <w:ind w:left="1418" w:right="521" w:firstLine="0"/>
        <w:contextualSpacing w:val="0"/>
        <w:rPr>
          <w:rFonts w:ascii="Arial" w:hAnsi="Arial" w:cs="Arial"/>
        </w:rPr>
      </w:pPr>
      <w:r w:rsidRPr="00714E74">
        <w:rPr>
          <w:rFonts w:ascii="Arial" w:hAnsi="Arial" w:cs="Arial"/>
          <w:sz w:val="20"/>
          <w:szCs w:val="20"/>
        </w:rPr>
        <w:t>[14]</w:t>
      </w:r>
      <w:r w:rsidR="00CF0092" w:rsidRPr="00714E74">
        <w:rPr>
          <w:rFonts w:ascii="Arial" w:hAnsi="Arial" w:cs="Arial"/>
          <w:sz w:val="20"/>
          <w:szCs w:val="20"/>
        </w:rPr>
        <w:t>  </w:t>
      </w:r>
      <w:r w:rsidRPr="00714E74">
        <w:rPr>
          <w:rFonts w:ascii="Arial" w:hAnsi="Arial" w:cs="Arial"/>
          <w:b/>
          <w:bCs/>
          <w:sz w:val="20"/>
          <w:szCs w:val="20"/>
        </w:rPr>
        <w:t>It is not for the court to raise new issues not traversed in the pleadings or affidavits, however interesting or important they may seem to it, and to insist that the parties deal with them</w:t>
      </w:r>
      <w:r w:rsidRPr="00714E74">
        <w:rPr>
          <w:rFonts w:ascii="Arial" w:hAnsi="Arial" w:cs="Arial"/>
          <w:sz w:val="20"/>
          <w:szCs w:val="20"/>
        </w:rPr>
        <w:t xml:space="preserve">. </w:t>
      </w:r>
      <w:r w:rsidR="00CF0092" w:rsidRPr="00714E74">
        <w:rPr>
          <w:rFonts w:ascii="Arial" w:hAnsi="Arial" w:cs="Arial"/>
          <w:sz w:val="20"/>
          <w:szCs w:val="20"/>
        </w:rPr>
        <w:t xml:space="preserve"> </w:t>
      </w:r>
      <w:r w:rsidRPr="00714E74">
        <w:rPr>
          <w:rFonts w:ascii="Arial" w:hAnsi="Arial" w:cs="Arial"/>
          <w:sz w:val="20"/>
          <w:szCs w:val="20"/>
        </w:rPr>
        <w:t xml:space="preserve">The parties may have their own reasons for not raising those issues. </w:t>
      </w:r>
      <w:r w:rsidR="00CF0092" w:rsidRPr="00714E74">
        <w:rPr>
          <w:rFonts w:ascii="Arial" w:hAnsi="Arial" w:cs="Arial"/>
          <w:sz w:val="20"/>
          <w:szCs w:val="20"/>
        </w:rPr>
        <w:t xml:space="preserve"> </w:t>
      </w:r>
      <w:r w:rsidRPr="00714E74">
        <w:rPr>
          <w:rFonts w:ascii="Arial" w:hAnsi="Arial" w:cs="Arial"/>
          <w:b/>
          <w:bCs/>
          <w:sz w:val="20"/>
          <w:szCs w:val="20"/>
        </w:rPr>
        <w:t>A court may sometimes suggest a line of argument or an approach to a case that has not</w:t>
      </w:r>
      <w:r w:rsidR="00CF0092" w:rsidRPr="00714E74">
        <w:rPr>
          <w:rFonts w:ascii="Arial" w:hAnsi="Arial" w:cs="Arial"/>
          <w:b/>
          <w:bCs/>
          <w:sz w:val="20"/>
          <w:szCs w:val="20"/>
        </w:rPr>
        <w:t xml:space="preserve"> </w:t>
      </w:r>
      <w:r w:rsidRPr="00714E74">
        <w:rPr>
          <w:rFonts w:ascii="Arial" w:hAnsi="Arial" w:cs="Arial"/>
          <w:b/>
          <w:bCs/>
          <w:sz w:val="20"/>
          <w:szCs w:val="20"/>
        </w:rPr>
        <w:t xml:space="preserve">previously occurred to the parties. </w:t>
      </w:r>
      <w:r w:rsidR="00CF0092" w:rsidRPr="00714E74">
        <w:rPr>
          <w:rFonts w:ascii="Arial" w:hAnsi="Arial" w:cs="Arial"/>
          <w:b/>
          <w:bCs/>
          <w:sz w:val="20"/>
          <w:szCs w:val="20"/>
        </w:rPr>
        <w:t xml:space="preserve"> </w:t>
      </w:r>
      <w:r w:rsidRPr="00714E74">
        <w:rPr>
          <w:rFonts w:ascii="Arial" w:hAnsi="Arial" w:cs="Arial"/>
          <w:b/>
          <w:bCs/>
          <w:sz w:val="20"/>
          <w:szCs w:val="20"/>
        </w:rPr>
        <w:t>However, it is then for the parties to determine whether they wish to adopt the new point</w:t>
      </w:r>
      <w:r w:rsidRPr="00714E74">
        <w:rPr>
          <w:rFonts w:ascii="Arial" w:hAnsi="Arial" w:cs="Arial"/>
          <w:sz w:val="20"/>
          <w:szCs w:val="20"/>
        </w:rPr>
        <w:t xml:space="preserve">. </w:t>
      </w:r>
      <w:r w:rsidR="00CF0092" w:rsidRPr="00714E74">
        <w:rPr>
          <w:rFonts w:ascii="Arial" w:hAnsi="Arial" w:cs="Arial"/>
          <w:sz w:val="20"/>
          <w:szCs w:val="20"/>
        </w:rPr>
        <w:t xml:space="preserve"> </w:t>
      </w:r>
      <w:r w:rsidRPr="00714E74">
        <w:rPr>
          <w:rFonts w:ascii="Arial" w:hAnsi="Arial" w:cs="Arial"/>
          <w:sz w:val="20"/>
          <w:szCs w:val="20"/>
        </w:rPr>
        <w:t xml:space="preserve">They may choose not to do so because of its implications for the further conduct of the proceedings, such as an adjournment or the need to amend pleadings or call additional evidence. </w:t>
      </w:r>
      <w:r w:rsidR="00CF0092" w:rsidRPr="00714E74">
        <w:rPr>
          <w:rFonts w:ascii="Arial" w:hAnsi="Arial" w:cs="Arial"/>
          <w:sz w:val="20"/>
          <w:szCs w:val="20"/>
        </w:rPr>
        <w:t xml:space="preserve"> </w:t>
      </w:r>
      <w:r w:rsidRPr="00714E74">
        <w:rPr>
          <w:rFonts w:ascii="Arial" w:hAnsi="Arial" w:cs="Arial"/>
          <w:sz w:val="20"/>
          <w:szCs w:val="20"/>
        </w:rPr>
        <w:t xml:space="preserve">They may feel that their case is sufficiently strong as it stands to require no supplementation. </w:t>
      </w:r>
      <w:r w:rsidR="00CF0092" w:rsidRPr="00714E74">
        <w:rPr>
          <w:rFonts w:ascii="Arial" w:hAnsi="Arial" w:cs="Arial"/>
          <w:sz w:val="20"/>
          <w:szCs w:val="20"/>
        </w:rPr>
        <w:t xml:space="preserve"> </w:t>
      </w:r>
      <w:r w:rsidRPr="00714E74">
        <w:rPr>
          <w:rFonts w:ascii="Arial" w:hAnsi="Arial" w:cs="Arial"/>
          <w:sz w:val="20"/>
          <w:szCs w:val="20"/>
        </w:rPr>
        <w:t xml:space="preserve">They may simply wish the issues already identified to be determined because they are relevant to future matters and the relationship between the parties. </w:t>
      </w:r>
      <w:r w:rsidR="00D0646A" w:rsidRPr="00714E74">
        <w:rPr>
          <w:rFonts w:ascii="Arial" w:hAnsi="Arial" w:cs="Arial"/>
          <w:sz w:val="20"/>
          <w:szCs w:val="20"/>
        </w:rPr>
        <w:t xml:space="preserve"> </w:t>
      </w:r>
      <w:r w:rsidRPr="00714E74">
        <w:rPr>
          <w:rFonts w:ascii="Arial" w:hAnsi="Arial" w:cs="Arial"/>
          <w:b/>
          <w:bCs/>
          <w:sz w:val="20"/>
          <w:szCs w:val="20"/>
        </w:rPr>
        <w:t>That is for them to decide and not the court.  If they wish to stand by the issues they have formulated, the court may not raise new ones or compel them to deal with matters other than those they have formulated in the pleadings or affidavits</w:t>
      </w:r>
      <w:r w:rsidRPr="00714E74">
        <w:rPr>
          <w:rFonts w:ascii="Arial" w:hAnsi="Arial" w:cs="Arial"/>
        </w:rPr>
        <w:t>.</w:t>
      </w:r>
      <w:r w:rsidR="00980E91" w:rsidRPr="00714E74">
        <w:rPr>
          <w:rFonts w:ascii="Arial" w:hAnsi="Arial" w:cs="Arial"/>
        </w:rPr>
        <w:t>’</w:t>
      </w:r>
    </w:p>
    <w:p w14:paraId="6ACC3154" w14:textId="12901ACB" w:rsidR="00980E91" w:rsidRPr="00D15956" w:rsidRDefault="00D15956" w:rsidP="00D15956">
      <w:pPr>
        <w:spacing w:line="480" w:lineRule="auto"/>
        <w:ind w:left="720" w:right="28"/>
        <w:rPr>
          <w:rFonts w:ascii="Arial" w:hAnsi="Arial" w:cs="Arial"/>
        </w:rPr>
      </w:pPr>
      <w:r w:rsidRPr="00714E74">
        <w:rPr>
          <w:rFonts w:ascii="Arial" w:hAnsi="Arial" w:cs="Arial"/>
        </w:rPr>
        <w:t>[36].</w:t>
      </w:r>
      <w:r w:rsidRPr="00714E74">
        <w:rPr>
          <w:rFonts w:ascii="Arial" w:hAnsi="Arial" w:cs="Arial"/>
        </w:rPr>
        <w:tab/>
      </w:r>
      <w:r w:rsidR="00887ED2" w:rsidRPr="00D15956">
        <w:rPr>
          <w:rFonts w:ascii="Arial" w:hAnsi="Arial" w:cs="Arial"/>
        </w:rPr>
        <w:t xml:space="preserve">The </w:t>
      </w:r>
      <w:r w:rsidR="00EC3271" w:rsidRPr="00D15956">
        <w:rPr>
          <w:rFonts w:ascii="Arial" w:hAnsi="Arial" w:cs="Arial"/>
        </w:rPr>
        <w:t xml:space="preserve">SCA </w:t>
      </w:r>
      <w:r w:rsidR="00887ED2" w:rsidRPr="00D15956">
        <w:rPr>
          <w:rFonts w:ascii="Arial" w:hAnsi="Arial" w:cs="Arial"/>
        </w:rPr>
        <w:t xml:space="preserve">proceeded to </w:t>
      </w:r>
      <w:r w:rsidR="002B2374" w:rsidRPr="00D15956">
        <w:rPr>
          <w:rFonts w:ascii="Arial" w:hAnsi="Arial" w:cs="Arial"/>
        </w:rPr>
        <w:t xml:space="preserve">state that it is regrettable </w:t>
      </w:r>
      <w:r w:rsidR="00AD7307" w:rsidRPr="00D15956">
        <w:rPr>
          <w:rFonts w:ascii="Arial" w:hAnsi="Arial" w:cs="Arial"/>
        </w:rPr>
        <w:t xml:space="preserve">that the court </w:t>
      </w:r>
      <w:r w:rsidR="00AD7307" w:rsidRPr="00D15956">
        <w:rPr>
          <w:rFonts w:ascii="Arial" w:hAnsi="Arial" w:cs="Arial"/>
          <w:i/>
          <w:iCs/>
        </w:rPr>
        <w:t>a quo</w:t>
      </w:r>
      <w:r w:rsidR="00BC34D5" w:rsidRPr="00D15956">
        <w:rPr>
          <w:rFonts w:ascii="Arial" w:hAnsi="Arial" w:cs="Arial"/>
        </w:rPr>
        <w:t xml:space="preserve"> ‘</w:t>
      </w:r>
      <w:r w:rsidR="00BC34D5" w:rsidRPr="00D15956">
        <w:rPr>
          <w:rFonts w:ascii="Arial" w:hAnsi="Arial" w:cs="Arial"/>
          <w:i/>
          <w:iCs/>
        </w:rPr>
        <w:t>ignored these salutary rules</w:t>
      </w:r>
      <w:r w:rsidR="00BC34D5" w:rsidRPr="00D15956">
        <w:rPr>
          <w:rFonts w:ascii="Arial" w:hAnsi="Arial" w:cs="Arial"/>
        </w:rPr>
        <w:t>’</w:t>
      </w:r>
      <w:r w:rsidR="003866F7" w:rsidRPr="00D15956">
        <w:rPr>
          <w:rFonts w:ascii="Arial" w:hAnsi="Arial" w:cs="Arial"/>
        </w:rPr>
        <w:t>.</w:t>
      </w:r>
      <w:r w:rsidR="003866F7" w:rsidRPr="00714E74">
        <w:rPr>
          <w:rStyle w:val="FootnoteReference"/>
          <w:rFonts w:ascii="Arial" w:hAnsi="Arial" w:cs="Arial"/>
        </w:rPr>
        <w:footnoteReference w:id="45"/>
      </w:r>
      <w:r w:rsidR="00887ED2" w:rsidRPr="00D15956">
        <w:rPr>
          <w:rFonts w:ascii="Arial" w:hAnsi="Arial" w:cs="Arial"/>
        </w:rPr>
        <w:t xml:space="preserve">  </w:t>
      </w:r>
    </w:p>
    <w:p w14:paraId="0787820F" w14:textId="66C4C21B" w:rsidR="00045FFF" w:rsidRPr="00D15956" w:rsidRDefault="00D15956" w:rsidP="00D15956">
      <w:pPr>
        <w:spacing w:line="480" w:lineRule="auto"/>
        <w:ind w:left="720" w:right="28"/>
        <w:rPr>
          <w:rFonts w:ascii="Arial" w:hAnsi="Arial" w:cs="Arial"/>
        </w:rPr>
      </w:pPr>
      <w:r w:rsidRPr="00714E74">
        <w:rPr>
          <w:rFonts w:ascii="Arial" w:hAnsi="Arial" w:cs="Arial"/>
        </w:rPr>
        <w:t>[37].</w:t>
      </w:r>
      <w:r w:rsidRPr="00714E74">
        <w:rPr>
          <w:rFonts w:ascii="Arial" w:hAnsi="Arial" w:cs="Arial"/>
        </w:rPr>
        <w:tab/>
      </w:r>
      <w:r w:rsidR="007C6685" w:rsidRPr="00D15956">
        <w:rPr>
          <w:rFonts w:ascii="Arial" w:hAnsi="Arial" w:cs="Arial"/>
        </w:rPr>
        <w:t xml:space="preserve">It is evident that </w:t>
      </w:r>
      <w:r w:rsidR="001B6868" w:rsidRPr="00D15956">
        <w:rPr>
          <w:rFonts w:ascii="Arial" w:hAnsi="Arial" w:cs="Arial"/>
        </w:rPr>
        <w:t>t</w:t>
      </w:r>
      <w:r w:rsidR="00045FFF" w:rsidRPr="00D15956">
        <w:rPr>
          <w:rFonts w:ascii="Arial" w:hAnsi="Arial" w:cs="Arial"/>
        </w:rPr>
        <w:t>hese salutary rules</w:t>
      </w:r>
      <w:r w:rsidR="00296634" w:rsidRPr="00D15956">
        <w:rPr>
          <w:rFonts w:ascii="Arial" w:hAnsi="Arial" w:cs="Arial"/>
        </w:rPr>
        <w:t xml:space="preserve"> </w:t>
      </w:r>
      <w:r w:rsidR="001B6868" w:rsidRPr="00D15956">
        <w:rPr>
          <w:rFonts w:ascii="Arial" w:hAnsi="Arial" w:cs="Arial"/>
        </w:rPr>
        <w:t xml:space="preserve">must be </w:t>
      </w:r>
      <w:r w:rsidR="002E2EDD" w:rsidRPr="00D15956">
        <w:rPr>
          <w:rFonts w:ascii="Arial" w:hAnsi="Arial" w:cs="Arial"/>
        </w:rPr>
        <w:t xml:space="preserve">observed by judges. </w:t>
      </w:r>
      <w:r w:rsidR="009937AE" w:rsidRPr="00D15956">
        <w:rPr>
          <w:rFonts w:ascii="Arial" w:hAnsi="Arial" w:cs="Arial"/>
        </w:rPr>
        <w:t xml:space="preserve"> </w:t>
      </w:r>
      <w:r w:rsidR="00A92F27" w:rsidRPr="00D15956">
        <w:rPr>
          <w:rFonts w:ascii="Arial" w:hAnsi="Arial" w:cs="Arial"/>
        </w:rPr>
        <w:t>Ho</w:t>
      </w:r>
      <w:r w:rsidR="00E71555" w:rsidRPr="00D15956">
        <w:rPr>
          <w:rFonts w:ascii="Arial" w:hAnsi="Arial" w:cs="Arial"/>
        </w:rPr>
        <w:t>wever, as the SCA itself recognised, in the fourth and fifth sentences of the above-quoted paragraph 13 of</w:t>
      </w:r>
      <w:r w:rsidR="00E008A9" w:rsidRPr="00D15956">
        <w:rPr>
          <w:rFonts w:ascii="Arial" w:hAnsi="Arial" w:cs="Arial"/>
        </w:rPr>
        <w:t xml:space="preserve"> its judgment in </w:t>
      </w:r>
      <w:r w:rsidR="00E008A9" w:rsidRPr="00D15956">
        <w:rPr>
          <w:rFonts w:ascii="Arial" w:hAnsi="Arial" w:cs="Arial"/>
          <w:b/>
          <w:bCs/>
          <w:i/>
          <w:iCs/>
        </w:rPr>
        <w:t>Fischer</w:t>
      </w:r>
      <w:r w:rsidR="00E008A9" w:rsidRPr="00D15956">
        <w:rPr>
          <w:rFonts w:ascii="Arial" w:hAnsi="Arial" w:cs="Arial"/>
        </w:rPr>
        <w:t xml:space="preserve">, </w:t>
      </w:r>
      <w:r w:rsidR="00E14448" w:rsidRPr="00D15956">
        <w:rPr>
          <w:rFonts w:ascii="Arial" w:hAnsi="Arial" w:cs="Arial"/>
        </w:rPr>
        <w:t xml:space="preserve">there may be instances where a court may </w:t>
      </w:r>
      <w:r w:rsidR="00E14448" w:rsidRPr="00D15956">
        <w:rPr>
          <w:rFonts w:ascii="Arial" w:hAnsi="Arial" w:cs="Arial"/>
          <w:i/>
          <w:iCs/>
        </w:rPr>
        <w:t>mero motu</w:t>
      </w:r>
      <w:r w:rsidR="00E14448" w:rsidRPr="00D15956">
        <w:rPr>
          <w:rFonts w:ascii="Arial" w:hAnsi="Arial" w:cs="Arial"/>
        </w:rPr>
        <w:t xml:space="preserve"> raise a question of law that emerges fully from the evidence and is necessary for the decision of the case.  </w:t>
      </w:r>
      <w:r w:rsidR="00B04353" w:rsidRPr="00D15956">
        <w:rPr>
          <w:rFonts w:ascii="Arial" w:hAnsi="Arial" w:cs="Arial"/>
        </w:rPr>
        <w:t xml:space="preserve">The court </w:t>
      </w:r>
      <w:r w:rsidR="00C407E9" w:rsidRPr="00D15956">
        <w:rPr>
          <w:rFonts w:ascii="Arial" w:hAnsi="Arial" w:cs="Arial"/>
        </w:rPr>
        <w:t>added</w:t>
      </w:r>
      <w:r w:rsidR="002A4D05" w:rsidRPr="00D15956">
        <w:rPr>
          <w:rFonts w:ascii="Arial" w:hAnsi="Arial" w:cs="Arial"/>
        </w:rPr>
        <w:t xml:space="preserve"> t</w:t>
      </w:r>
      <w:r w:rsidR="00E14448" w:rsidRPr="00D15956">
        <w:rPr>
          <w:rFonts w:ascii="Arial" w:hAnsi="Arial" w:cs="Arial"/>
        </w:rPr>
        <w:t xml:space="preserve">hat </w:t>
      </w:r>
      <w:r w:rsidR="002A4D05" w:rsidRPr="00D15956">
        <w:rPr>
          <w:rFonts w:ascii="Arial" w:hAnsi="Arial" w:cs="Arial"/>
        </w:rPr>
        <w:t>this is</w:t>
      </w:r>
      <w:r w:rsidR="00E14448" w:rsidRPr="00D15956">
        <w:rPr>
          <w:rFonts w:ascii="Arial" w:hAnsi="Arial" w:cs="Arial"/>
        </w:rPr>
        <w:t xml:space="preserve"> subject to the </w:t>
      </w:r>
      <w:r w:rsidR="00E14448" w:rsidRPr="00D15956">
        <w:rPr>
          <w:rFonts w:ascii="Arial" w:hAnsi="Arial" w:cs="Arial"/>
          <w:i/>
          <w:iCs/>
        </w:rPr>
        <w:t>proviso</w:t>
      </w:r>
      <w:r w:rsidR="00E14448" w:rsidRPr="00D15956">
        <w:rPr>
          <w:rFonts w:ascii="Arial" w:hAnsi="Arial" w:cs="Arial"/>
        </w:rPr>
        <w:t xml:space="preserve"> that no prejudice will be caused to any party by its being decided.  </w:t>
      </w:r>
      <w:r w:rsidR="00B12754" w:rsidRPr="00D15956">
        <w:rPr>
          <w:rFonts w:ascii="Arial" w:hAnsi="Arial" w:cs="Arial"/>
        </w:rPr>
        <w:t xml:space="preserve">Three </w:t>
      </w:r>
      <w:r w:rsidR="000F1D4C" w:rsidRPr="00D15956">
        <w:rPr>
          <w:rFonts w:ascii="Arial" w:hAnsi="Arial" w:cs="Arial"/>
        </w:rPr>
        <w:t>case</w:t>
      </w:r>
      <w:r w:rsidR="00D6623C" w:rsidRPr="00D15956">
        <w:rPr>
          <w:rFonts w:ascii="Arial" w:hAnsi="Arial" w:cs="Arial"/>
        </w:rPr>
        <w:t>s</w:t>
      </w:r>
      <w:r w:rsidR="000F1D4C" w:rsidRPr="00D15956">
        <w:rPr>
          <w:rFonts w:ascii="Arial" w:hAnsi="Arial" w:cs="Arial"/>
        </w:rPr>
        <w:t xml:space="preserve"> cited </w:t>
      </w:r>
      <w:r w:rsidR="00931BC5" w:rsidRPr="00D15956">
        <w:rPr>
          <w:rFonts w:ascii="Arial" w:hAnsi="Arial" w:cs="Arial"/>
        </w:rPr>
        <w:t xml:space="preserve">were cited </w:t>
      </w:r>
      <w:r w:rsidR="000F1D4C" w:rsidRPr="00D15956">
        <w:rPr>
          <w:rFonts w:ascii="Arial" w:hAnsi="Arial" w:cs="Arial"/>
        </w:rPr>
        <w:t xml:space="preserve">by the </w:t>
      </w:r>
      <w:r w:rsidR="00C407E9" w:rsidRPr="00D15956">
        <w:rPr>
          <w:rFonts w:ascii="Arial" w:hAnsi="Arial" w:cs="Arial"/>
        </w:rPr>
        <w:t xml:space="preserve">SCA </w:t>
      </w:r>
      <w:r w:rsidR="001E5C48" w:rsidRPr="00D15956">
        <w:rPr>
          <w:rFonts w:ascii="Arial" w:hAnsi="Arial" w:cs="Arial"/>
        </w:rPr>
        <w:t>in</w:t>
      </w:r>
      <w:r w:rsidR="000F1D4C" w:rsidRPr="00D15956">
        <w:rPr>
          <w:rFonts w:ascii="Arial" w:hAnsi="Arial" w:cs="Arial"/>
        </w:rPr>
        <w:t xml:space="preserve"> support </w:t>
      </w:r>
      <w:r w:rsidR="00F069CC" w:rsidRPr="00D15956">
        <w:rPr>
          <w:rFonts w:ascii="Arial" w:hAnsi="Arial" w:cs="Arial"/>
        </w:rPr>
        <w:t xml:space="preserve">of </w:t>
      </w:r>
      <w:r w:rsidR="000F1D4C" w:rsidRPr="00D15956">
        <w:rPr>
          <w:rFonts w:ascii="Arial" w:hAnsi="Arial" w:cs="Arial"/>
        </w:rPr>
        <w:t>this</w:t>
      </w:r>
      <w:r w:rsidR="00931BC5" w:rsidRPr="00D15956">
        <w:rPr>
          <w:rFonts w:ascii="Arial" w:hAnsi="Arial" w:cs="Arial"/>
        </w:rPr>
        <w:t>.</w:t>
      </w:r>
      <w:r w:rsidR="00931BC5" w:rsidRPr="00714E74">
        <w:rPr>
          <w:rStyle w:val="FootnoteReference"/>
          <w:rFonts w:ascii="Arial" w:hAnsi="Arial" w:cs="Arial"/>
        </w:rPr>
        <w:footnoteReference w:id="46"/>
      </w:r>
      <w:r w:rsidR="001E5C48" w:rsidRPr="00D15956">
        <w:rPr>
          <w:rFonts w:ascii="Arial" w:hAnsi="Arial" w:cs="Arial"/>
        </w:rPr>
        <w:t xml:space="preserve"> </w:t>
      </w:r>
    </w:p>
    <w:p w14:paraId="562310B6" w14:textId="722F6FB5" w:rsidR="0072330B" w:rsidRPr="00D15956" w:rsidRDefault="00D15956" w:rsidP="00D15956">
      <w:pPr>
        <w:spacing w:line="480" w:lineRule="auto"/>
        <w:ind w:left="720" w:right="28"/>
        <w:rPr>
          <w:rFonts w:ascii="Arial" w:hAnsi="Arial" w:cs="Arial"/>
        </w:rPr>
      </w:pPr>
      <w:r w:rsidRPr="00714E74">
        <w:rPr>
          <w:rFonts w:ascii="Arial" w:hAnsi="Arial" w:cs="Arial"/>
        </w:rPr>
        <w:t>[38].</w:t>
      </w:r>
      <w:r w:rsidRPr="00714E74">
        <w:rPr>
          <w:rFonts w:ascii="Arial" w:hAnsi="Arial" w:cs="Arial"/>
        </w:rPr>
        <w:tab/>
      </w:r>
      <w:r w:rsidR="002C1712" w:rsidRPr="00D15956">
        <w:rPr>
          <w:rFonts w:ascii="Arial" w:hAnsi="Arial" w:cs="Arial"/>
          <w:b/>
          <w:bCs/>
          <w:i/>
          <w:iCs/>
        </w:rPr>
        <w:t>Fischer</w:t>
      </w:r>
      <w:r w:rsidR="002C1712" w:rsidRPr="00D15956">
        <w:rPr>
          <w:rFonts w:ascii="Arial" w:hAnsi="Arial" w:cs="Arial"/>
        </w:rPr>
        <w:t xml:space="preserve"> </w:t>
      </w:r>
      <w:r w:rsidR="009E52E7" w:rsidRPr="00D15956">
        <w:rPr>
          <w:rFonts w:ascii="Arial" w:hAnsi="Arial" w:cs="Arial"/>
        </w:rPr>
        <w:t>itself</w:t>
      </w:r>
      <w:r w:rsidR="008D03F5" w:rsidRPr="00D15956">
        <w:rPr>
          <w:rFonts w:ascii="Arial" w:hAnsi="Arial" w:cs="Arial"/>
        </w:rPr>
        <w:t xml:space="preserve"> did not involve a</w:t>
      </w:r>
      <w:r w:rsidR="00035F9C" w:rsidRPr="00D15956">
        <w:rPr>
          <w:rFonts w:ascii="Arial" w:hAnsi="Arial" w:cs="Arial"/>
        </w:rPr>
        <w:t xml:space="preserve"> </w:t>
      </w:r>
      <w:r w:rsidR="006B0AB7" w:rsidRPr="00D15956">
        <w:rPr>
          <w:rFonts w:ascii="Arial" w:hAnsi="Arial" w:cs="Arial"/>
        </w:rPr>
        <w:t xml:space="preserve">summary judgment application.  </w:t>
      </w:r>
      <w:r w:rsidR="00DE00F4" w:rsidRPr="00D15956">
        <w:rPr>
          <w:rFonts w:ascii="Arial" w:hAnsi="Arial" w:cs="Arial"/>
        </w:rPr>
        <w:t xml:space="preserve">It was a case </w:t>
      </w:r>
      <w:r w:rsidR="005509C2" w:rsidRPr="00D15956">
        <w:rPr>
          <w:rFonts w:ascii="Arial" w:hAnsi="Arial" w:cs="Arial"/>
        </w:rPr>
        <w:t xml:space="preserve">that initially required of the court </w:t>
      </w:r>
      <w:r w:rsidR="005509C2" w:rsidRPr="00D15956">
        <w:rPr>
          <w:rFonts w:ascii="Arial" w:hAnsi="Arial" w:cs="Arial"/>
          <w:i/>
          <w:iCs/>
        </w:rPr>
        <w:t>a quo</w:t>
      </w:r>
      <w:r w:rsidR="005509C2" w:rsidRPr="00D15956">
        <w:rPr>
          <w:rFonts w:ascii="Arial" w:hAnsi="Arial" w:cs="Arial"/>
        </w:rPr>
        <w:t xml:space="preserve"> to determine a factual question that had been referred to it for resolution.  </w:t>
      </w:r>
      <w:r w:rsidR="007B359C" w:rsidRPr="00D15956">
        <w:rPr>
          <w:rFonts w:ascii="Arial" w:hAnsi="Arial" w:cs="Arial"/>
        </w:rPr>
        <w:t>None of the cases</w:t>
      </w:r>
      <w:r w:rsidR="0090725A" w:rsidRPr="00D15956">
        <w:rPr>
          <w:rFonts w:ascii="Arial" w:hAnsi="Arial" w:cs="Arial"/>
        </w:rPr>
        <w:t>,</w:t>
      </w:r>
      <w:r w:rsidR="007B359C" w:rsidRPr="00D15956">
        <w:rPr>
          <w:rFonts w:ascii="Arial" w:hAnsi="Arial" w:cs="Arial"/>
        </w:rPr>
        <w:t xml:space="preserve"> cited in support of the </w:t>
      </w:r>
      <w:r w:rsidR="007B359C" w:rsidRPr="00D15956">
        <w:rPr>
          <w:rFonts w:ascii="Arial" w:hAnsi="Arial" w:cs="Arial"/>
        </w:rPr>
        <w:lastRenderedPageBreak/>
        <w:t>proposition alluded to in the preceding paragraph</w:t>
      </w:r>
      <w:r w:rsidR="0090725A" w:rsidRPr="00D15956">
        <w:rPr>
          <w:rFonts w:ascii="Arial" w:hAnsi="Arial" w:cs="Arial"/>
        </w:rPr>
        <w:t>,</w:t>
      </w:r>
      <w:r w:rsidR="007B359C" w:rsidRPr="00D15956">
        <w:rPr>
          <w:rFonts w:ascii="Arial" w:hAnsi="Arial" w:cs="Arial"/>
        </w:rPr>
        <w:t xml:space="preserve"> </w:t>
      </w:r>
      <w:r w:rsidR="008E14F7" w:rsidRPr="00D15956">
        <w:rPr>
          <w:rFonts w:ascii="Arial" w:hAnsi="Arial" w:cs="Arial"/>
        </w:rPr>
        <w:t xml:space="preserve">was </w:t>
      </w:r>
      <w:r w:rsidR="0090725A" w:rsidRPr="00D15956">
        <w:rPr>
          <w:rFonts w:ascii="Arial" w:hAnsi="Arial" w:cs="Arial"/>
        </w:rPr>
        <w:t xml:space="preserve">concerned </w:t>
      </w:r>
      <w:r w:rsidR="007E6F56" w:rsidRPr="00D15956">
        <w:rPr>
          <w:rFonts w:ascii="Arial" w:hAnsi="Arial" w:cs="Arial"/>
        </w:rPr>
        <w:t xml:space="preserve">with </w:t>
      </w:r>
      <w:r w:rsidR="008E14F7" w:rsidRPr="00D15956">
        <w:rPr>
          <w:rFonts w:ascii="Arial" w:hAnsi="Arial" w:cs="Arial"/>
        </w:rPr>
        <w:t xml:space="preserve">a summary judgment application either.  </w:t>
      </w:r>
    </w:p>
    <w:p w14:paraId="1286A313" w14:textId="150AC487" w:rsidR="0057043F" w:rsidRPr="00D15956" w:rsidRDefault="00D15956" w:rsidP="00D15956">
      <w:pPr>
        <w:spacing w:line="480" w:lineRule="auto"/>
        <w:ind w:left="720" w:right="28"/>
        <w:rPr>
          <w:rFonts w:ascii="Arial" w:hAnsi="Arial" w:cs="Arial"/>
        </w:rPr>
      </w:pPr>
      <w:r w:rsidRPr="00714E74">
        <w:rPr>
          <w:rFonts w:ascii="Arial" w:hAnsi="Arial" w:cs="Arial"/>
        </w:rPr>
        <w:t>[39].</w:t>
      </w:r>
      <w:r w:rsidRPr="00714E74">
        <w:rPr>
          <w:rFonts w:ascii="Arial" w:hAnsi="Arial" w:cs="Arial"/>
        </w:rPr>
        <w:tab/>
      </w:r>
      <w:r w:rsidR="000A4F3A" w:rsidRPr="00D15956">
        <w:rPr>
          <w:rFonts w:ascii="Arial" w:hAnsi="Arial" w:cs="Arial"/>
        </w:rPr>
        <w:t xml:space="preserve">The first cited case </w:t>
      </w:r>
      <w:r w:rsidR="00F60BB4" w:rsidRPr="00D15956">
        <w:rPr>
          <w:rFonts w:ascii="Arial" w:hAnsi="Arial" w:cs="Arial"/>
        </w:rPr>
        <w:t xml:space="preserve">(i.e., </w:t>
      </w:r>
      <w:r w:rsidR="00F60BB4" w:rsidRPr="00D15956">
        <w:rPr>
          <w:rFonts w:ascii="Arial" w:hAnsi="Arial" w:cs="Arial"/>
          <w:b/>
          <w:bCs/>
          <w:i/>
          <w:iCs/>
        </w:rPr>
        <w:t>CUSA</w:t>
      </w:r>
      <w:r w:rsidR="00F60BB4" w:rsidRPr="00D15956">
        <w:rPr>
          <w:rFonts w:ascii="Arial" w:hAnsi="Arial" w:cs="Arial"/>
        </w:rPr>
        <w:t>)</w:t>
      </w:r>
      <w:r w:rsidR="002F0533" w:rsidRPr="00D15956">
        <w:rPr>
          <w:rFonts w:ascii="Arial" w:hAnsi="Arial" w:cs="Arial"/>
        </w:rPr>
        <w:t xml:space="preserve"> concerned </w:t>
      </w:r>
      <w:r w:rsidR="000766EE" w:rsidRPr="00D15956">
        <w:rPr>
          <w:rFonts w:ascii="Arial" w:hAnsi="Arial" w:cs="Arial"/>
        </w:rPr>
        <w:t xml:space="preserve">a </w:t>
      </w:r>
      <w:r w:rsidR="00FA1620" w:rsidRPr="00D15956">
        <w:rPr>
          <w:rFonts w:ascii="Arial" w:hAnsi="Arial" w:cs="Arial"/>
        </w:rPr>
        <w:t xml:space="preserve">labour dispute between the </w:t>
      </w:r>
      <w:r w:rsidR="007F4AFB" w:rsidRPr="00D15956">
        <w:rPr>
          <w:rFonts w:ascii="Arial" w:hAnsi="Arial" w:cs="Arial"/>
        </w:rPr>
        <w:t>employees’ union</w:t>
      </w:r>
      <w:r w:rsidR="00CF7062" w:rsidRPr="00D15956">
        <w:rPr>
          <w:rFonts w:ascii="Arial" w:hAnsi="Arial" w:cs="Arial"/>
        </w:rPr>
        <w:t xml:space="preserve">, i.e., the </w:t>
      </w:r>
      <w:r w:rsidR="00FA1620" w:rsidRPr="00D15956">
        <w:rPr>
          <w:rFonts w:ascii="Arial" w:hAnsi="Arial" w:cs="Arial"/>
        </w:rPr>
        <w:t>Commercial Workers' Union of South Africa (</w:t>
      </w:r>
      <w:r w:rsidR="00FA1620" w:rsidRPr="00D15956">
        <w:rPr>
          <w:rFonts w:ascii="Arial" w:hAnsi="Arial" w:cs="Arial"/>
          <w:b/>
          <w:bCs/>
        </w:rPr>
        <w:t>CUSA</w:t>
      </w:r>
      <w:r w:rsidR="00FA1620" w:rsidRPr="00D15956">
        <w:rPr>
          <w:rFonts w:ascii="Arial" w:hAnsi="Arial" w:cs="Arial"/>
        </w:rPr>
        <w:t>)</w:t>
      </w:r>
      <w:r w:rsidR="00CF7062" w:rsidRPr="00D15956">
        <w:rPr>
          <w:rFonts w:ascii="Arial" w:hAnsi="Arial" w:cs="Arial"/>
        </w:rPr>
        <w:t>,</w:t>
      </w:r>
      <w:r w:rsidR="007F4AFB" w:rsidRPr="00D15956">
        <w:rPr>
          <w:rFonts w:ascii="Arial" w:hAnsi="Arial" w:cs="Arial"/>
        </w:rPr>
        <w:t xml:space="preserve"> and the</w:t>
      </w:r>
      <w:r w:rsidR="00CF7062" w:rsidRPr="00D15956">
        <w:rPr>
          <w:rFonts w:ascii="Arial" w:hAnsi="Arial" w:cs="Arial"/>
        </w:rPr>
        <w:t>ir employer</w:t>
      </w:r>
      <w:r w:rsidR="00C80E56" w:rsidRPr="00D15956">
        <w:rPr>
          <w:rFonts w:ascii="Arial" w:hAnsi="Arial" w:cs="Arial"/>
        </w:rPr>
        <w:t xml:space="preserve">, i.e., </w:t>
      </w:r>
      <w:r w:rsidR="00EB130C" w:rsidRPr="00D15956">
        <w:rPr>
          <w:rFonts w:ascii="Arial" w:hAnsi="Arial" w:cs="Arial"/>
        </w:rPr>
        <w:t>Tao Ying Metal Industries</w:t>
      </w:r>
      <w:r w:rsidR="00933FB1" w:rsidRPr="00D15956">
        <w:rPr>
          <w:rFonts w:ascii="Arial" w:hAnsi="Arial" w:cs="Arial"/>
        </w:rPr>
        <w:t xml:space="preserve">, a manufacturing entity.  </w:t>
      </w:r>
      <w:bookmarkStart w:id="38" w:name="_Hlk152669471"/>
      <w:r w:rsidR="004D0DDB" w:rsidRPr="00D15956">
        <w:rPr>
          <w:rFonts w:ascii="Arial" w:hAnsi="Arial" w:cs="Arial"/>
        </w:rPr>
        <w:t xml:space="preserve">The employer failed </w:t>
      </w:r>
      <w:r w:rsidR="008D2825" w:rsidRPr="00D15956">
        <w:rPr>
          <w:rFonts w:ascii="Arial" w:hAnsi="Arial" w:cs="Arial"/>
        </w:rPr>
        <w:t xml:space="preserve">to comply with wage provisions of the applicable bargaining council agreement, </w:t>
      </w:r>
      <w:r w:rsidR="004D0DDB" w:rsidRPr="00D15956">
        <w:rPr>
          <w:rFonts w:ascii="Arial" w:hAnsi="Arial" w:cs="Arial"/>
        </w:rPr>
        <w:t xml:space="preserve">and claimed </w:t>
      </w:r>
      <w:r w:rsidR="008D2825" w:rsidRPr="00D15956">
        <w:rPr>
          <w:rFonts w:ascii="Arial" w:hAnsi="Arial" w:cs="Arial"/>
        </w:rPr>
        <w:t>that it had been exempted from complying with the relevant provisions</w:t>
      </w:r>
      <w:r w:rsidR="004D0DDB" w:rsidRPr="00D15956">
        <w:rPr>
          <w:rFonts w:ascii="Arial" w:hAnsi="Arial" w:cs="Arial"/>
        </w:rPr>
        <w:t xml:space="preserve">.  </w:t>
      </w:r>
      <w:r w:rsidR="00330ED7" w:rsidRPr="00D15956">
        <w:rPr>
          <w:rFonts w:ascii="Arial" w:hAnsi="Arial" w:cs="Arial"/>
        </w:rPr>
        <w:t>CUSA</w:t>
      </w:r>
      <w:bookmarkEnd w:id="38"/>
      <w:r w:rsidR="00341751" w:rsidRPr="00D15956">
        <w:rPr>
          <w:rFonts w:ascii="Arial" w:hAnsi="Arial" w:cs="Arial"/>
        </w:rPr>
        <w:t xml:space="preserve"> obtained a favourable award from an </w:t>
      </w:r>
      <w:r w:rsidR="00AA4129" w:rsidRPr="00D15956">
        <w:rPr>
          <w:rFonts w:ascii="Arial" w:hAnsi="Arial" w:cs="Arial"/>
        </w:rPr>
        <w:t xml:space="preserve">arbitrating </w:t>
      </w:r>
      <w:r w:rsidR="00306BD5" w:rsidRPr="00D15956">
        <w:rPr>
          <w:rFonts w:ascii="Arial" w:hAnsi="Arial" w:cs="Arial"/>
        </w:rPr>
        <w:t xml:space="preserve">commissioner of the </w:t>
      </w:r>
      <w:r w:rsidR="00341751" w:rsidRPr="00D15956">
        <w:rPr>
          <w:rFonts w:ascii="Arial" w:hAnsi="Arial" w:cs="Arial"/>
        </w:rPr>
        <w:t xml:space="preserve">Commission for Conciliation, Mediation and Arbitration </w:t>
      </w:r>
      <w:r w:rsidR="00306BD5" w:rsidRPr="00D15956">
        <w:rPr>
          <w:rFonts w:ascii="Arial" w:hAnsi="Arial" w:cs="Arial"/>
        </w:rPr>
        <w:t>(</w:t>
      </w:r>
      <w:r w:rsidR="00306BD5" w:rsidRPr="00D15956">
        <w:rPr>
          <w:rFonts w:ascii="Arial" w:hAnsi="Arial" w:cs="Arial"/>
          <w:b/>
          <w:bCs/>
        </w:rPr>
        <w:t>CCMA</w:t>
      </w:r>
      <w:r w:rsidR="00306BD5" w:rsidRPr="00D15956">
        <w:rPr>
          <w:rFonts w:ascii="Arial" w:hAnsi="Arial" w:cs="Arial"/>
        </w:rPr>
        <w:t xml:space="preserve">).  </w:t>
      </w:r>
      <w:r w:rsidR="000C69D5" w:rsidRPr="00D15956">
        <w:rPr>
          <w:rFonts w:ascii="Arial" w:hAnsi="Arial" w:cs="Arial"/>
        </w:rPr>
        <w:t>T</w:t>
      </w:r>
      <w:r w:rsidR="00AA22AA" w:rsidRPr="00D15956">
        <w:rPr>
          <w:rFonts w:ascii="Arial" w:hAnsi="Arial" w:cs="Arial"/>
        </w:rPr>
        <w:t xml:space="preserve">he </w:t>
      </w:r>
      <w:bookmarkStart w:id="39" w:name="_Hlk152679178"/>
      <w:r w:rsidR="00AA22AA" w:rsidRPr="00D15956">
        <w:rPr>
          <w:rFonts w:ascii="Arial" w:hAnsi="Arial" w:cs="Arial"/>
        </w:rPr>
        <w:t xml:space="preserve">Labour Court </w:t>
      </w:r>
      <w:bookmarkEnd w:id="39"/>
      <w:r w:rsidR="000C69D5" w:rsidRPr="00D15956">
        <w:rPr>
          <w:rFonts w:ascii="Arial" w:hAnsi="Arial" w:cs="Arial"/>
        </w:rPr>
        <w:t>dismissed the e</w:t>
      </w:r>
      <w:r w:rsidR="00480C6F" w:rsidRPr="00D15956">
        <w:rPr>
          <w:rFonts w:ascii="Arial" w:hAnsi="Arial" w:cs="Arial"/>
        </w:rPr>
        <w:t xml:space="preserve">mployer’s application </w:t>
      </w:r>
      <w:r w:rsidR="00AA22AA" w:rsidRPr="00D15956">
        <w:rPr>
          <w:rFonts w:ascii="Arial" w:hAnsi="Arial" w:cs="Arial"/>
        </w:rPr>
        <w:t xml:space="preserve">to review the </w:t>
      </w:r>
      <w:r w:rsidR="00725A72" w:rsidRPr="00D15956">
        <w:rPr>
          <w:rFonts w:ascii="Arial" w:hAnsi="Arial" w:cs="Arial"/>
        </w:rPr>
        <w:t xml:space="preserve">arbitrating </w:t>
      </w:r>
      <w:r w:rsidR="00AA22AA" w:rsidRPr="00D15956">
        <w:rPr>
          <w:rFonts w:ascii="Arial" w:hAnsi="Arial" w:cs="Arial"/>
        </w:rPr>
        <w:t>commissioner</w:t>
      </w:r>
      <w:r w:rsidR="00725A72" w:rsidRPr="00D15956">
        <w:rPr>
          <w:rFonts w:ascii="Arial" w:hAnsi="Arial" w:cs="Arial"/>
        </w:rPr>
        <w:t>’s award</w:t>
      </w:r>
      <w:r w:rsidR="00AA22AA" w:rsidRPr="00D15956">
        <w:rPr>
          <w:rFonts w:ascii="Arial" w:hAnsi="Arial" w:cs="Arial"/>
        </w:rPr>
        <w:t xml:space="preserve">. </w:t>
      </w:r>
      <w:r w:rsidR="008F5675" w:rsidRPr="00D15956">
        <w:rPr>
          <w:rFonts w:ascii="Arial" w:hAnsi="Arial" w:cs="Arial"/>
        </w:rPr>
        <w:t xml:space="preserve"> </w:t>
      </w:r>
      <w:r w:rsidR="00AA22AA" w:rsidRPr="00D15956">
        <w:rPr>
          <w:rFonts w:ascii="Arial" w:hAnsi="Arial" w:cs="Arial"/>
        </w:rPr>
        <w:t xml:space="preserve">The </w:t>
      </w:r>
      <w:r w:rsidR="008F5675" w:rsidRPr="00D15956">
        <w:rPr>
          <w:rFonts w:ascii="Arial" w:hAnsi="Arial" w:cs="Arial"/>
        </w:rPr>
        <w:t>emplo</w:t>
      </w:r>
      <w:r w:rsidR="00D17622" w:rsidRPr="00D15956">
        <w:rPr>
          <w:rFonts w:ascii="Arial" w:hAnsi="Arial" w:cs="Arial"/>
        </w:rPr>
        <w:t xml:space="preserve">yer’s </w:t>
      </w:r>
      <w:r w:rsidR="00AA22AA" w:rsidRPr="00D15956">
        <w:rPr>
          <w:rFonts w:ascii="Arial" w:hAnsi="Arial" w:cs="Arial"/>
        </w:rPr>
        <w:t>appeal to the Labour Appeal Court</w:t>
      </w:r>
      <w:r w:rsidR="00D17622" w:rsidRPr="00D15956">
        <w:rPr>
          <w:rFonts w:ascii="Arial" w:hAnsi="Arial" w:cs="Arial"/>
        </w:rPr>
        <w:t xml:space="preserve"> was unsuccessful too</w:t>
      </w:r>
      <w:r w:rsidR="00AA22AA" w:rsidRPr="00D15956">
        <w:rPr>
          <w:rFonts w:ascii="Arial" w:hAnsi="Arial" w:cs="Arial"/>
        </w:rPr>
        <w:t xml:space="preserve">. </w:t>
      </w:r>
      <w:r w:rsidR="00D17622" w:rsidRPr="00D15956">
        <w:rPr>
          <w:rFonts w:ascii="Arial" w:hAnsi="Arial" w:cs="Arial"/>
        </w:rPr>
        <w:t xml:space="preserve"> </w:t>
      </w:r>
      <w:r w:rsidR="00725A72" w:rsidRPr="00D15956">
        <w:rPr>
          <w:rFonts w:ascii="Arial" w:hAnsi="Arial" w:cs="Arial"/>
        </w:rPr>
        <w:t>However, a</w:t>
      </w:r>
      <w:r w:rsidR="00AA22AA" w:rsidRPr="00D15956">
        <w:rPr>
          <w:rFonts w:ascii="Arial" w:hAnsi="Arial" w:cs="Arial"/>
        </w:rPr>
        <w:t xml:space="preserve"> further appeal </w:t>
      </w:r>
      <w:r w:rsidR="00B94D42" w:rsidRPr="00D15956">
        <w:rPr>
          <w:rFonts w:ascii="Arial" w:hAnsi="Arial" w:cs="Arial"/>
        </w:rPr>
        <w:t xml:space="preserve">by the employer </w:t>
      </w:r>
      <w:r w:rsidR="00AA22AA" w:rsidRPr="00D15956">
        <w:rPr>
          <w:rFonts w:ascii="Arial" w:hAnsi="Arial" w:cs="Arial"/>
        </w:rPr>
        <w:t>to the S</w:t>
      </w:r>
      <w:r w:rsidR="00881186" w:rsidRPr="00D15956">
        <w:rPr>
          <w:rFonts w:ascii="Arial" w:hAnsi="Arial" w:cs="Arial"/>
        </w:rPr>
        <w:t xml:space="preserve">CA was upheld.  </w:t>
      </w:r>
      <w:r w:rsidR="002E3BDB" w:rsidRPr="00D15956">
        <w:rPr>
          <w:rFonts w:ascii="Arial" w:hAnsi="Arial" w:cs="Arial"/>
        </w:rPr>
        <w:t>In a nutshell</w:t>
      </w:r>
      <w:r w:rsidR="00A971A3" w:rsidRPr="00D15956">
        <w:rPr>
          <w:rFonts w:ascii="Arial" w:hAnsi="Arial" w:cs="Arial"/>
        </w:rPr>
        <w:t>,</w:t>
      </w:r>
      <w:r w:rsidR="002E3BDB" w:rsidRPr="00D15956">
        <w:rPr>
          <w:rFonts w:ascii="Arial" w:hAnsi="Arial" w:cs="Arial"/>
        </w:rPr>
        <w:t xml:space="preserve"> the </w:t>
      </w:r>
      <w:r w:rsidR="00A971A3" w:rsidRPr="00D15956">
        <w:rPr>
          <w:rFonts w:ascii="Arial" w:hAnsi="Arial" w:cs="Arial"/>
        </w:rPr>
        <w:t xml:space="preserve">majority of the </w:t>
      </w:r>
      <w:r w:rsidR="002E3BDB" w:rsidRPr="00D15956">
        <w:rPr>
          <w:rFonts w:ascii="Arial" w:hAnsi="Arial" w:cs="Arial"/>
        </w:rPr>
        <w:t>SCA found</w:t>
      </w:r>
      <w:r w:rsidR="00A34B1D" w:rsidRPr="00D15956">
        <w:rPr>
          <w:rFonts w:ascii="Arial" w:hAnsi="Arial" w:cs="Arial"/>
        </w:rPr>
        <w:t xml:space="preserve"> that the exemptions relied upon by the employer had not expired and held that the </w:t>
      </w:r>
      <w:bookmarkStart w:id="40" w:name="_Hlk152678739"/>
      <w:r w:rsidR="003571D8" w:rsidRPr="00D15956">
        <w:rPr>
          <w:rFonts w:ascii="Arial" w:hAnsi="Arial" w:cs="Arial"/>
        </w:rPr>
        <w:t xml:space="preserve">arbitrating </w:t>
      </w:r>
      <w:r w:rsidR="00A34B1D" w:rsidRPr="00D15956">
        <w:rPr>
          <w:rFonts w:ascii="Arial" w:hAnsi="Arial" w:cs="Arial"/>
        </w:rPr>
        <w:t xml:space="preserve">commissioner </w:t>
      </w:r>
      <w:bookmarkEnd w:id="40"/>
      <w:r w:rsidR="00A34B1D" w:rsidRPr="00D15956">
        <w:rPr>
          <w:rFonts w:ascii="Arial" w:hAnsi="Arial" w:cs="Arial"/>
        </w:rPr>
        <w:t>did not have jurisdiction in respect of the dispute because it concerned the validity of a bargaining council agreement.</w:t>
      </w:r>
      <w:r w:rsidR="00627487" w:rsidRPr="00714E74">
        <w:rPr>
          <w:rStyle w:val="FootnoteReference"/>
          <w:rFonts w:ascii="Arial" w:hAnsi="Arial" w:cs="Arial"/>
        </w:rPr>
        <w:footnoteReference w:id="47"/>
      </w:r>
      <w:r w:rsidR="003571D8" w:rsidRPr="00D15956">
        <w:rPr>
          <w:rFonts w:ascii="Arial" w:hAnsi="Arial" w:cs="Arial"/>
        </w:rPr>
        <w:t xml:space="preserve">  </w:t>
      </w:r>
      <w:r w:rsidR="000E7DFC" w:rsidRPr="00D15956">
        <w:rPr>
          <w:rFonts w:ascii="Arial" w:hAnsi="Arial" w:cs="Arial"/>
        </w:rPr>
        <w:t xml:space="preserve">The issue of the arbitrating commissioner’s jurisdiction had not been </w:t>
      </w:r>
      <w:r w:rsidR="0037128B" w:rsidRPr="00D15956">
        <w:rPr>
          <w:rFonts w:ascii="Arial" w:hAnsi="Arial" w:cs="Arial"/>
        </w:rPr>
        <w:t xml:space="preserve">raised </w:t>
      </w:r>
      <w:r w:rsidR="001A4856" w:rsidRPr="00D15956">
        <w:rPr>
          <w:rFonts w:ascii="Arial" w:hAnsi="Arial" w:cs="Arial"/>
        </w:rPr>
        <w:t xml:space="preserve">in </w:t>
      </w:r>
      <w:r w:rsidR="00BF754F" w:rsidRPr="00D15956">
        <w:rPr>
          <w:rFonts w:ascii="Arial" w:hAnsi="Arial" w:cs="Arial"/>
        </w:rPr>
        <w:t>Labour Court or the</w:t>
      </w:r>
      <w:r w:rsidR="00BF754F" w:rsidRPr="00D15956">
        <w:rPr>
          <w:rFonts w:ascii="Times New Roman" w:hAnsi="Times New Roman"/>
        </w:rPr>
        <w:t xml:space="preserve"> </w:t>
      </w:r>
      <w:r w:rsidR="00BF754F" w:rsidRPr="00D15956">
        <w:rPr>
          <w:rFonts w:ascii="Arial" w:hAnsi="Arial" w:cs="Arial"/>
        </w:rPr>
        <w:t>Labour Appeal Court</w:t>
      </w:r>
      <w:r w:rsidR="000877BA" w:rsidRPr="00D15956">
        <w:rPr>
          <w:rFonts w:ascii="Arial" w:hAnsi="Arial" w:cs="Arial"/>
        </w:rPr>
        <w:t xml:space="preserve">.  In other words, it was raised in the SCA for the first time.  </w:t>
      </w:r>
      <w:r w:rsidR="007E4A5E" w:rsidRPr="00D15956">
        <w:rPr>
          <w:rFonts w:ascii="Arial" w:hAnsi="Arial" w:cs="Arial"/>
        </w:rPr>
        <w:t>It was in this regard, that</w:t>
      </w:r>
      <w:r w:rsidR="008D4974" w:rsidRPr="00D15956">
        <w:rPr>
          <w:rFonts w:ascii="Arial" w:hAnsi="Arial" w:cs="Arial"/>
        </w:rPr>
        <w:t xml:space="preserve"> </w:t>
      </w:r>
      <w:r w:rsidR="00044ECA" w:rsidRPr="00D15956">
        <w:rPr>
          <w:rFonts w:ascii="Arial" w:hAnsi="Arial" w:cs="Arial"/>
        </w:rPr>
        <w:t>Ngcobo J</w:t>
      </w:r>
      <w:r w:rsidR="00714E74" w:rsidRPr="00D15956">
        <w:rPr>
          <w:rFonts w:ascii="Arial" w:hAnsi="Arial" w:cs="Arial"/>
        </w:rPr>
        <w:t xml:space="preserve"> (as he </w:t>
      </w:r>
      <w:r w:rsidR="00044ECA" w:rsidRPr="00D15956">
        <w:rPr>
          <w:rFonts w:ascii="Arial" w:hAnsi="Arial" w:cs="Arial"/>
        </w:rPr>
        <w:t>was</w:t>
      </w:r>
      <w:r w:rsidR="00714E74" w:rsidRPr="00D15956">
        <w:rPr>
          <w:rFonts w:ascii="Arial" w:hAnsi="Arial" w:cs="Arial"/>
        </w:rPr>
        <w:t xml:space="preserve"> then</w:t>
      </w:r>
      <w:r w:rsidR="00044ECA" w:rsidRPr="00D15956">
        <w:rPr>
          <w:rFonts w:ascii="Arial" w:hAnsi="Arial" w:cs="Arial"/>
        </w:rPr>
        <w:t xml:space="preserve">) </w:t>
      </w:r>
      <w:r w:rsidR="00574C13" w:rsidRPr="00D15956">
        <w:rPr>
          <w:rFonts w:ascii="Arial" w:hAnsi="Arial" w:cs="Arial"/>
        </w:rPr>
        <w:t>stated the following:</w:t>
      </w:r>
      <w:r w:rsidR="00574C13" w:rsidRPr="00714E74">
        <w:rPr>
          <w:rStyle w:val="FootnoteReference"/>
          <w:rFonts w:ascii="Arial" w:hAnsi="Arial" w:cs="Arial"/>
        </w:rPr>
        <w:footnoteReference w:id="48"/>
      </w:r>
      <w:r w:rsidR="00BF754F" w:rsidRPr="00D15956">
        <w:rPr>
          <w:rFonts w:ascii="Arial" w:hAnsi="Arial" w:cs="Arial"/>
        </w:rPr>
        <w:t xml:space="preserve"> </w:t>
      </w:r>
    </w:p>
    <w:p w14:paraId="42AB3E78" w14:textId="3B7C062D" w:rsidR="00312F4C" w:rsidRPr="00714E74" w:rsidRDefault="00032970" w:rsidP="00847309">
      <w:pPr>
        <w:pStyle w:val="ListParagraph"/>
        <w:spacing w:before="240" w:line="240" w:lineRule="auto"/>
        <w:ind w:left="1440" w:right="521" w:firstLine="0"/>
        <w:contextualSpacing w:val="0"/>
        <w:rPr>
          <w:rFonts w:ascii="Arial" w:hAnsi="Arial" w:cs="Arial"/>
          <w:sz w:val="22"/>
          <w:szCs w:val="22"/>
        </w:rPr>
      </w:pPr>
      <w:r w:rsidRPr="00714E74">
        <w:rPr>
          <w:rFonts w:ascii="Arial" w:hAnsi="Arial" w:cs="Arial"/>
          <w:sz w:val="22"/>
          <w:szCs w:val="22"/>
        </w:rPr>
        <w:t>‘</w:t>
      </w:r>
      <w:r w:rsidR="00312F4C" w:rsidRPr="00714E74">
        <w:rPr>
          <w:rFonts w:ascii="Arial" w:hAnsi="Arial" w:cs="Arial"/>
          <w:sz w:val="22"/>
          <w:szCs w:val="22"/>
        </w:rPr>
        <w:t>[67]</w:t>
      </w:r>
      <w:r w:rsidR="00714E74">
        <w:rPr>
          <w:rFonts w:ascii="Arial" w:hAnsi="Arial" w:cs="Arial"/>
          <w:sz w:val="22"/>
          <w:szCs w:val="22"/>
        </w:rPr>
        <w:t> </w:t>
      </w:r>
      <w:r w:rsidR="00312F4C" w:rsidRPr="00714E74">
        <w:rPr>
          <w:rFonts w:ascii="Arial" w:hAnsi="Arial" w:cs="Arial"/>
          <w:sz w:val="22"/>
          <w:szCs w:val="22"/>
        </w:rPr>
        <w:t>Subject to what is stated in the following paragraph, the role of the reviewing court is limited to deciding issues that are raised in the review proceedings.</w:t>
      </w:r>
      <w:r w:rsidR="00847309" w:rsidRPr="00714E74">
        <w:rPr>
          <w:rFonts w:ascii="Arial" w:hAnsi="Arial" w:cs="Arial"/>
          <w:sz w:val="22"/>
          <w:szCs w:val="22"/>
        </w:rPr>
        <w:t xml:space="preserve"> </w:t>
      </w:r>
      <w:r w:rsidR="00312F4C" w:rsidRPr="00714E74">
        <w:rPr>
          <w:rFonts w:ascii="Arial" w:hAnsi="Arial" w:cs="Arial"/>
          <w:sz w:val="22"/>
          <w:szCs w:val="22"/>
        </w:rPr>
        <w:t xml:space="preserve"> It may not, on its own, raise issues which were not raised by the</w:t>
      </w:r>
      <w:r w:rsidR="00312F4C" w:rsidRPr="00714E74">
        <w:rPr>
          <w:rFonts w:ascii="Arial" w:hAnsi="Arial" w:cs="Arial"/>
          <w:sz w:val="20"/>
          <w:szCs w:val="20"/>
        </w:rPr>
        <w:t xml:space="preserve"> party who seeks to review an arbitral</w:t>
      </w:r>
      <w:r w:rsidR="00312F4C" w:rsidRPr="00847309">
        <w:rPr>
          <w:rFonts w:ascii="Times New Roman" w:hAnsi="Times New Roman"/>
          <w:sz w:val="20"/>
          <w:szCs w:val="20"/>
        </w:rPr>
        <w:t xml:space="preserve"> </w:t>
      </w:r>
      <w:r w:rsidR="00312F4C" w:rsidRPr="00714E74">
        <w:rPr>
          <w:rFonts w:ascii="Arial" w:hAnsi="Arial" w:cs="Arial"/>
          <w:sz w:val="22"/>
          <w:szCs w:val="22"/>
        </w:rPr>
        <w:t xml:space="preserve">award. </w:t>
      </w:r>
      <w:r w:rsidR="00847309" w:rsidRPr="00714E74">
        <w:rPr>
          <w:rFonts w:ascii="Arial" w:hAnsi="Arial" w:cs="Arial"/>
          <w:sz w:val="22"/>
          <w:szCs w:val="22"/>
        </w:rPr>
        <w:t xml:space="preserve"> </w:t>
      </w:r>
      <w:r w:rsidR="00312F4C" w:rsidRPr="00714E74">
        <w:rPr>
          <w:rFonts w:ascii="Arial" w:hAnsi="Arial" w:cs="Arial"/>
          <w:sz w:val="22"/>
          <w:szCs w:val="22"/>
        </w:rPr>
        <w:t xml:space="preserve">There is much to be said for the submission by the workers that it is not for the reviewing court to </w:t>
      </w:r>
      <w:r w:rsidR="00312F4C" w:rsidRPr="00714E74">
        <w:rPr>
          <w:rFonts w:ascii="Arial" w:hAnsi="Arial" w:cs="Arial"/>
          <w:sz w:val="22"/>
          <w:szCs w:val="22"/>
        </w:rPr>
        <w:lastRenderedPageBreak/>
        <w:t>tell a litigant what it should complain about.</w:t>
      </w:r>
      <w:r w:rsidR="00847309" w:rsidRPr="00714E74">
        <w:rPr>
          <w:rFonts w:ascii="Arial" w:hAnsi="Arial" w:cs="Arial"/>
          <w:sz w:val="22"/>
          <w:szCs w:val="22"/>
        </w:rPr>
        <w:t xml:space="preserve"> </w:t>
      </w:r>
      <w:r w:rsidR="00312F4C" w:rsidRPr="00714E74">
        <w:rPr>
          <w:rFonts w:ascii="Arial" w:hAnsi="Arial" w:cs="Arial"/>
          <w:sz w:val="22"/>
          <w:szCs w:val="22"/>
        </w:rPr>
        <w:t xml:space="preserve"> In particular, the LRA specifies the grounds upon which a</w:t>
      </w:r>
      <w:r w:rsidR="00714E74">
        <w:rPr>
          <w:rFonts w:ascii="Arial" w:hAnsi="Arial" w:cs="Arial"/>
          <w:sz w:val="22"/>
          <w:szCs w:val="22"/>
        </w:rPr>
        <w:t>rbitral awards may be reviewed.</w:t>
      </w:r>
      <w:r w:rsidR="00312F4C" w:rsidRPr="00714E74">
        <w:rPr>
          <w:rFonts w:ascii="Arial" w:hAnsi="Arial" w:cs="Arial"/>
          <w:sz w:val="22"/>
          <w:szCs w:val="22"/>
        </w:rPr>
        <w:t xml:space="preserve"> </w:t>
      </w:r>
      <w:r w:rsidR="00312F4C" w:rsidRPr="00714E74">
        <w:rPr>
          <w:rFonts w:ascii="Arial" w:hAnsi="Arial" w:cs="Arial"/>
          <w:b/>
          <w:bCs/>
          <w:sz w:val="22"/>
          <w:szCs w:val="22"/>
        </w:rPr>
        <w:t xml:space="preserve">A party who seeks to review an arbitral award is bound by the grounds contained in the review application. </w:t>
      </w:r>
      <w:r w:rsidR="00847309" w:rsidRPr="00714E74">
        <w:rPr>
          <w:rFonts w:ascii="Arial" w:hAnsi="Arial" w:cs="Arial"/>
          <w:b/>
          <w:bCs/>
          <w:sz w:val="22"/>
          <w:szCs w:val="22"/>
        </w:rPr>
        <w:t xml:space="preserve"> </w:t>
      </w:r>
      <w:r w:rsidR="00312F4C" w:rsidRPr="00714E74">
        <w:rPr>
          <w:rFonts w:ascii="Arial" w:hAnsi="Arial" w:cs="Arial"/>
          <w:b/>
          <w:bCs/>
          <w:sz w:val="22"/>
          <w:szCs w:val="22"/>
        </w:rPr>
        <w:t>A litigant may not, on appeal, raise a new ground of review</w:t>
      </w:r>
      <w:r w:rsidR="00312F4C" w:rsidRPr="00714E74">
        <w:rPr>
          <w:rFonts w:ascii="Arial" w:hAnsi="Arial" w:cs="Arial"/>
          <w:sz w:val="22"/>
          <w:szCs w:val="22"/>
        </w:rPr>
        <w:t xml:space="preserve">. </w:t>
      </w:r>
      <w:r w:rsidR="00847309" w:rsidRPr="00714E74">
        <w:rPr>
          <w:rFonts w:ascii="Arial" w:hAnsi="Arial" w:cs="Arial"/>
          <w:sz w:val="22"/>
          <w:szCs w:val="22"/>
        </w:rPr>
        <w:t xml:space="preserve"> </w:t>
      </w:r>
      <w:r w:rsidR="00312F4C" w:rsidRPr="00714E74">
        <w:rPr>
          <w:rFonts w:ascii="Arial" w:hAnsi="Arial" w:cs="Arial"/>
          <w:sz w:val="22"/>
          <w:szCs w:val="22"/>
        </w:rPr>
        <w:t>To permit a party to do so may very well undermine the objective of the LRA to have labour disputes resolved as speedily as possible.</w:t>
      </w:r>
    </w:p>
    <w:p w14:paraId="1DC71626" w14:textId="377A3CC4" w:rsidR="00032970" w:rsidRPr="00714E74" w:rsidRDefault="00714E74" w:rsidP="00847309">
      <w:pPr>
        <w:pStyle w:val="ListParagraph"/>
        <w:spacing w:before="240" w:line="240" w:lineRule="auto"/>
        <w:ind w:left="1440" w:right="521" w:firstLine="0"/>
        <w:contextualSpacing w:val="0"/>
        <w:rPr>
          <w:rFonts w:ascii="Arial" w:hAnsi="Arial" w:cs="Arial"/>
          <w:sz w:val="22"/>
          <w:szCs w:val="22"/>
        </w:rPr>
      </w:pPr>
      <w:r>
        <w:rPr>
          <w:rFonts w:ascii="Arial" w:hAnsi="Arial" w:cs="Arial"/>
          <w:sz w:val="22"/>
          <w:szCs w:val="22"/>
        </w:rPr>
        <w:t>[68] </w:t>
      </w:r>
      <w:r w:rsidR="00312F4C" w:rsidRPr="00714E74">
        <w:rPr>
          <w:rFonts w:ascii="Arial" w:hAnsi="Arial" w:cs="Arial"/>
          <w:b/>
          <w:bCs/>
          <w:sz w:val="22"/>
          <w:szCs w:val="22"/>
        </w:rPr>
        <w:t xml:space="preserve">These principles are, however, subject to one qualification. </w:t>
      </w:r>
      <w:r w:rsidR="00666DC3" w:rsidRPr="00714E74">
        <w:rPr>
          <w:rFonts w:ascii="Arial" w:hAnsi="Arial" w:cs="Arial"/>
          <w:b/>
          <w:bCs/>
          <w:sz w:val="22"/>
          <w:szCs w:val="22"/>
        </w:rPr>
        <w:t xml:space="preserve"> </w:t>
      </w:r>
      <w:r w:rsidR="00312F4C" w:rsidRPr="00714E74">
        <w:rPr>
          <w:rFonts w:ascii="Arial" w:hAnsi="Arial" w:cs="Arial"/>
          <w:b/>
          <w:bCs/>
          <w:sz w:val="22"/>
          <w:szCs w:val="22"/>
        </w:rPr>
        <w:t xml:space="preserve">Where a point of law is apparent on the papers, but the common approach of the parties proceeds on a wrong perception of what the law is, a court is not only entitled, but is in fact also obliged, </w:t>
      </w:r>
      <w:r w:rsidR="00312F4C" w:rsidRPr="00714E74">
        <w:rPr>
          <w:rFonts w:ascii="Arial" w:hAnsi="Arial" w:cs="Arial"/>
          <w:b/>
          <w:bCs/>
          <w:i/>
          <w:iCs/>
          <w:sz w:val="22"/>
          <w:szCs w:val="22"/>
        </w:rPr>
        <w:t>mero motu</w:t>
      </w:r>
      <w:r w:rsidR="00312F4C" w:rsidRPr="00714E74">
        <w:rPr>
          <w:rFonts w:ascii="Arial" w:hAnsi="Arial" w:cs="Arial"/>
          <w:b/>
          <w:bCs/>
          <w:sz w:val="22"/>
          <w:szCs w:val="22"/>
        </w:rPr>
        <w:t>, to raise the point of law and require the parties to deal therewith.  Otherwise, the result would be a decision premised on an incorrect application of the law.  That would infringe the principle of legality</w:t>
      </w:r>
      <w:r w:rsidR="00312F4C" w:rsidRPr="00714E74">
        <w:rPr>
          <w:rFonts w:ascii="Arial" w:hAnsi="Arial" w:cs="Arial"/>
          <w:sz w:val="22"/>
          <w:szCs w:val="22"/>
        </w:rPr>
        <w:t xml:space="preserve">. </w:t>
      </w:r>
      <w:r w:rsidR="00847309" w:rsidRPr="00714E74">
        <w:rPr>
          <w:rFonts w:ascii="Arial" w:hAnsi="Arial" w:cs="Arial"/>
          <w:sz w:val="22"/>
          <w:szCs w:val="22"/>
        </w:rPr>
        <w:t xml:space="preserve"> </w:t>
      </w:r>
      <w:r w:rsidR="00312F4C" w:rsidRPr="00714E74">
        <w:rPr>
          <w:rFonts w:ascii="Arial" w:hAnsi="Arial" w:cs="Arial"/>
          <w:sz w:val="22"/>
          <w:szCs w:val="22"/>
        </w:rPr>
        <w:t xml:space="preserve">Accordingly, the Supreme Court of Appeal was entitled </w:t>
      </w:r>
      <w:r w:rsidR="00312F4C" w:rsidRPr="00714E74">
        <w:rPr>
          <w:rFonts w:ascii="Arial" w:hAnsi="Arial" w:cs="Arial"/>
          <w:i/>
          <w:iCs/>
          <w:sz w:val="22"/>
          <w:szCs w:val="22"/>
        </w:rPr>
        <w:t>mero motu</w:t>
      </w:r>
      <w:r w:rsidR="00312F4C" w:rsidRPr="00714E74">
        <w:rPr>
          <w:rFonts w:ascii="Arial" w:hAnsi="Arial" w:cs="Arial"/>
          <w:sz w:val="22"/>
          <w:szCs w:val="22"/>
        </w:rPr>
        <w:t xml:space="preserve"> to raise the issue of the commissioner's jurisdiction and to require argument thereon. </w:t>
      </w:r>
      <w:r w:rsidR="00847309" w:rsidRPr="00714E74">
        <w:rPr>
          <w:rFonts w:ascii="Arial" w:hAnsi="Arial" w:cs="Arial"/>
          <w:sz w:val="22"/>
          <w:szCs w:val="22"/>
        </w:rPr>
        <w:t xml:space="preserve"> </w:t>
      </w:r>
      <w:r w:rsidR="00312F4C" w:rsidRPr="00714E74">
        <w:rPr>
          <w:rFonts w:ascii="Arial" w:hAnsi="Arial" w:cs="Arial"/>
          <w:sz w:val="22"/>
          <w:szCs w:val="22"/>
        </w:rPr>
        <w:t>However, as will be shown below, on a proper analysis of the record, the arbitration proceedings, in fact, did not reach the stage where the question of jurisdiction came into play.</w:t>
      </w:r>
      <w:r w:rsidR="00032970" w:rsidRPr="00714E74">
        <w:rPr>
          <w:rFonts w:ascii="Arial" w:hAnsi="Arial" w:cs="Arial"/>
          <w:sz w:val="22"/>
          <w:szCs w:val="22"/>
        </w:rPr>
        <w:t>’</w:t>
      </w:r>
    </w:p>
    <w:p w14:paraId="1133CE16" w14:textId="50C14DCB" w:rsidR="00666DC3" w:rsidRPr="00714E74" w:rsidRDefault="00666DC3" w:rsidP="00847309">
      <w:pPr>
        <w:pStyle w:val="ListParagraph"/>
        <w:spacing w:before="240" w:line="240" w:lineRule="auto"/>
        <w:ind w:left="1440" w:right="521" w:firstLine="0"/>
        <w:contextualSpacing w:val="0"/>
        <w:rPr>
          <w:rFonts w:ascii="Arial" w:hAnsi="Arial" w:cs="Arial"/>
          <w:sz w:val="22"/>
        </w:rPr>
      </w:pPr>
      <w:r w:rsidRPr="00714E74">
        <w:rPr>
          <w:rFonts w:ascii="Arial" w:hAnsi="Arial" w:cs="Arial"/>
          <w:sz w:val="22"/>
        </w:rPr>
        <w:t>(Own emphasis).</w:t>
      </w:r>
    </w:p>
    <w:p w14:paraId="50CC2DE0" w14:textId="49D5D608" w:rsidR="00312F4C" w:rsidRPr="00D15956" w:rsidRDefault="00D15956" w:rsidP="00D15956">
      <w:pPr>
        <w:spacing w:line="480" w:lineRule="auto"/>
        <w:ind w:left="720" w:right="28"/>
        <w:rPr>
          <w:rFonts w:ascii="Arial" w:hAnsi="Arial" w:cs="Arial"/>
        </w:rPr>
      </w:pPr>
      <w:r w:rsidRPr="00714E74">
        <w:rPr>
          <w:rFonts w:ascii="Arial" w:hAnsi="Arial" w:cs="Arial"/>
        </w:rPr>
        <w:t>[40].</w:t>
      </w:r>
      <w:r w:rsidRPr="00714E74">
        <w:rPr>
          <w:rFonts w:ascii="Arial" w:hAnsi="Arial" w:cs="Arial"/>
        </w:rPr>
        <w:tab/>
      </w:r>
      <w:r w:rsidR="001A5C74" w:rsidRPr="00D15956">
        <w:rPr>
          <w:rFonts w:ascii="Arial" w:hAnsi="Arial" w:cs="Arial"/>
        </w:rPr>
        <w:t xml:space="preserve">The </w:t>
      </w:r>
      <w:r w:rsidR="00764C9A" w:rsidRPr="00D15956">
        <w:rPr>
          <w:rFonts w:ascii="Arial" w:hAnsi="Arial" w:cs="Arial"/>
        </w:rPr>
        <w:t xml:space="preserve">emphasised part of the </w:t>
      </w:r>
      <w:r w:rsidR="003E3D46" w:rsidRPr="00D15956">
        <w:rPr>
          <w:rFonts w:ascii="Arial" w:hAnsi="Arial" w:cs="Arial"/>
        </w:rPr>
        <w:t xml:space="preserve">above-quoted </w:t>
      </w:r>
      <w:r w:rsidR="00764C9A" w:rsidRPr="00D15956">
        <w:rPr>
          <w:rFonts w:ascii="Arial" w:hAnsi="Arial" w:cs="Arial"/>
        </w:rPr>
        <w:t xml:space="preserve">statement in paragraph 68 of </w:t>
      </w:r>
      <w:r w:rsidR="003E3D46" w:rsidRPr="00D15956">
        <w:rPr>
          <w:rFonts w:ascii="Arial" w:hAnsi="Arial" w:cs="Arial"/>
        </w:rPr>
        <w:t xml:space="preserve">CUSA, </w:t>
      </w:r>
      <w:r w:rsidR="0092185C" w:rsidRPr="00D15956">
        <w:rPr>
          <w:rFonts w:ascii="Arial" w:hAnsi="Arial" w:cs="Arial"/>
        </w:rPr>
        <w:t xml:space="preserve">reinforces my </w:t>
      </w:r>
      <w:r w:rsidR="0012793C" w:rsidRPr="00D15956">
        <w:rPr>
          <w:rFonts w:ascii="Arial" w:hAnsi="Arial" w:cs="Arial"/>
        </w:rPr>
        <w:t xml:space="preserve">view that </w:t>
      </w:r>
      <w:r w:rsidR="00BD7324" w:rsidRPr="00D15956">
        <w:rPr>
          <w:rFonts w:ascii="Arial" w:hAnsi="Arial" w:cs="Arial"/>
        </w:rPr>
        <w:t xml:space="preserve">the </w:t>
      </w:r>
      <w:r w:rsidR="0012793C" w:rsidRPr="00D15956">
        <w:rPr>
          <w:rFonts w:ascii="Arial" w:hAnsi="Arial" w:cs="Arial"/>
        </w:rPr>
        <w:t xml:space="preserve">registration issue is one that can be raised </w:t>
      </w:r>
      <w:r w:rsidR="00F85FC5" w:rsidRPr="00D15956">
        <w:rPr>
          <w:rFonts w:ascii="Arial" w:hAnsi="Arial" w:cs="Arial"/>
        </w:rPr>
        <w:t>mero motu, especially in an application for summary judg</w:t>
      </w:r>
      <w:r w:rsidR="0019463C" w:rsidRPr="00D15956">
        <w:rPr>
          <w:rFonts w:ascii="Arial" w:hAnsi="Arial" w:cs="Arial"/>
        </w:rPr>
        <w:t xml:space="preserve">ment.  The requirement </w:t>
      </w:r>
      <w:r w:rsidR="00190488" w:rsidRPr="00D15956">
        <w:rPr>
          <w:rFonts w:ascii="Arial" w:hAnsi="Arial" w:cs="Arial"/>
        </w:rPr>
        <w:t xml:space="preserve">is a statutory one.  </w:t>
      </w:r>
      <w:r w:rsidR="006B0FFE" w:rsidRPr="00D15956">
        <w:rPr>
          <w:rFonts w:ascii="Arial" w:hAnsi="Arial" w:cs="Arial"/>
        </w:rPr>
        <w:t xml:space="preserve">The absence of an allegation </w:t>
      </w:r>
      <w:r w:rsidR="00737E08" w:rsidRPr="00D15956">
        <w:rPr>
          <w:rFonts w:ascii="Arial" w:hAnsi="Arial" w:cs="Arial"/>
        </w:rPr>
        <w:t>required ex lege</w:t>
      </w:r>
      <w:r w:rsidR="006B0FFE" w:rsidRPr="00D15956">
        <w:rPr>
          <w:rFonts w:ascii="Arial" w:hAnsi="Arial" w:cs="Arial"/>
        </w:rPr>
        <w:t xml:space="preserve"> is </w:t>
      </w:r>
      <w:r w:rsidR="00737E08" w:rsidRPr="00D15956">
        <w:rPr>
          <w:rFonts w:ascii="Arial" w:hAnsi="Arial" w:cs="Arial"/>
        </w:rPr>
        <w:t>obvious</w:t>
      </w:r>
      <w:r w:rsidR="0062450B" w:rsidRPr="00D15956">
        <w:rPr>
          <w:rFonts w:ascii="Arial" w:hAnsi="Arial" w:cs="Arial"/>
        </w:rPr>
        <w:t>, i.e., apparent on the papers</w:t>
      </w:r>
      <w:r w:rsidR="004854BF" w:rsidRPr="00D15956">
        <w:rPr>
          <w:rFonts w:ascii="Arial" w:hAnsi="Arial" w:cs="Arial"/>
        </w:rPr>
        <w:t>, albeit that it was not raised explicitly therein</w:t>
      </w:r>
      <w:r w:rsidR="0062450B" w:rsidRPr="00D15956">
        <w:rPr>
          <w:rFonts w:ascii="Arial" w:hAnsi="Arial" w:cs="Arial"/>
        </w:rPr>
        <w:t xml:space="preserve">.  </w:t>
      </w:r>
      <w:r w:rsidR="00407837" w:rsidRPr="00D15956">
        <w:rPr>
          <w:rFonts w:ascii="Arial" w:hAnsi="Arial" w:cs="Arial"/>
        </w:rPr>
        <w:t xml:space="preserve">Indeed, </w:t>
      </w:r>
      <w:r w:rsidR="009E484F" w:rsidRPr="00D15956">
        <w:rPr>
          <w:rFonts w:ascii="Arial" w:hAnsi="Arial" w:cs="Arial"/>
        </w:rPr>
        <w:t>i</w:t>
      </w:r>
      <w:r w:rsidR="006B01DB" w:rsidRPr="00D15956">
        <w:rPr>
          <w:rFonts w:ascii="Arial" w:hAnsi="Arial" w:cs="Arial"/>
        </w:rPr>
        <w:t xml:space="preserve">t is conspicuous by its very absence.  </w:t>
      </w:r>
      <w:r w:rsidR="0062450B" w:rsidRPr="00D15956">
        <w:rPr>
          <w:rFonts w:ascii="Arial" w:hAnsi="Arial" w:cs="Arial"/>
        </w:rPr>
        <w:t>The parties common approach to th</w:t>
      </w:r>
      <w:r w:rsidR="004C64DA" w:rsidRPr="00D15956">
        <w:rPr>
          <w:rFonts w:ascii="Arial" w:hAnsi="Arial" w:cs="Arial"/>
        </w:rPr>
        <w:t>is</w:t>
      </w:r>
      <w:r w:rsidR="0062450B" w:rsidRPr="00D15956">
        <w:rPr>
          <w:rFonts w:ascii="Arial" w:hAnsi="Arial" w:cs="Arial"/>
        </w:rPr>
        <w:t xml:space="preserve"> issue was </w:t>
      </w:r>
      <w:r w:rsidR="004C64DA" w:rsidRPr="00D15956">
        <w:rPr>
          <w:rFonts w:ascii="Arial" w:hAnsi="Arial" w:cs="Arial"/>
        </w:rPr>
        <w:t xml:space="preserve">either </w:t>
      </w:r>
      <w:r w:rsidR="004854BF" w:rsidRPr="00D15956">
        <w:rPr>
          <w:rFonts w:ascii="Arial" w:hAnsi="Arial" w:cs="Arial"/>
        </w:rPr>
        <w:t xml:space="preserve">that they were </w:t>
      </w:r>
      <w:r w:rsidR="009C2355" w:rsidRPr="00D15956">
        <w:rPr>
          <w:rFonts w:ascii="Arial" w:hAnsi="Arial" w:cs="Arial"/>
        </w:rPr>
        <w:t>unaware thereof, or that they proceeded on a wrong perception of what the law is.</w:t>
      </w:r>
    </w:p>
    <w:p w14:paraId="30DBF1A4" w14:textId="15CD8A34" w:rsidR="00CF14A0" w:rsidRPr="00D15956" w:rsidRDefault="00D15956" w:rsidP="00D15956">
      <w:pPr>
        <w:spacing w:line="480" w:lineRule="auto"/>
        <w:ind w:left="720" w:right="28"/>
        <w:rPr>
          <w:rFonts w:ascii="Arial" w:hAnsi="Arial" w:cs="Arial"/>
        </w:rPr>
      </w:pPr>
      <w:r w:rsidRPr="00714E74">
        <w:rPr>
          <w:rFonts w:ascii="Arial" w:hAnsi="Arial" w:cs="Arial"/>
        </w:rPr>
        <w:t>[41].</w:t>
      </w:r>
      <w:r w:rsidRPr="00714E74">
        <w:rPr>
          <w:rFonts w:ascii="Arial" w:hAnsi="Arial" w:cs="Arial"/>
        </w:rPr>
        <w:tab/>
      </w:r>
      <w:r w:rsidR="00CF14A0" w:rsidRPr="00D15956">
        <w:rPr>
          <w:rFonts w:ascii="Arial" w:hAnsi="Arial" w:cs="Arial"/>
        </w:rPr>
        <w:t xml:space="preserve">Therefore, notwithstanding </w:t>
      </w:r>
      <w:r w:rsidR="00D750B3" w:rsidRPr="00D15956">
        <w:rPr>
          <w:rFonts w:ascii="Arial" w:hAnsi="Arial" w:cs="Arial"/>
        </w:rPr>
        <w:t>counsel’s submissions on this issue, I remain unpersuaded that</w:t>
      </w:r>
      <w:r w:rsidR="00BD7324" w:rsidRPr="00D15956">
        <w:rPr>
          <w:rFonts w:ascii="Arial" w:hAnsi="Arial" w:cs="Arial"/>
        </w:rPr>
        <w:t xml:space="preserve"> the registration issue cannot be raised mero motu</w:t>
      </w:r>
      <w:r w:rsidR="002662A6" w:rsidRPr="00D15956">
        <w:rPr>
          <w:rFonts w:ascii="Arial" w:hAnsi="Arial" w:cs="Arial"/>
        </w:rPr>
        <w:t xml:space="preserve"> in the present case.</w:t>
      </w:r>
      <w:r w:rsidR="00BD7324" w:rsidRPr="00D15956">
        <w:rPr>
          <w:rFonts w:ascii="Arial" w:hAnsi="Arial" w:cs="Arial"/>
        </w:rPr>
        <w:t xml:space="preserve">  </w:t>
      </w:r>
      <w:r w:rsidR="00C95205" w:rsidRPr="00D15956">
        <w:rPr>
          <w:rFonts w:ascii="Arial" w:hAnsi="Arial" w:cs="Arial"/>
        </w:rPr>
        <w:t xml:space="preserve">I am not suggesting </w:t>
      </w:r>
      <w:r w:rsidR="00D017E6" w:rsidRPr="00D15956">
        <w:rPr>
          <w:rFonts w:ascii="Arial" w:hAnsi="Arial" w:cs="Arial"/>
        </w:rPr>
        <w:t xml:space="preserve">that the salutary rules </w:t>
      </w:r>
      <w:r w:rsidR="00967268" w:rsidRPr="00D15956">
        <w:rPr>
          <w:rFonts w:ascii="Arial" w:hAnsi="Arial" w:cs="Arial"/>
        </w:rPr>
        <w:t xml:space="preserve">mentioned </w:t>
      </w:r>
      <w:r w:rsidR="00D017E6" w:rsidRPr="00D15956">
        <w:rPr>
          <w:rFonts w:ascii="Arial" w:hAnsi="Arial" w:cs="Arial"/>
        </w:rPr>
        <w:t xml:space="preserve">in Fischer </w:t>
      </w:r>
      <w:r w:rsidR="00E145F9" w:rsidRPr="00D15956">
        <w:rPr>
          <w:rFonts w:ascii="Arial" w:hAnsi="Arial" w:cs="Arial"/>
        </w:rPr>
        <w:t>do</w:t>
      </w:r>
      <w:r w:rsidR="005E650B" w:rsidRPr="00D15956">
        <w:rPr>
          <w:rFonts w:ascii="Arial" w:hAnsi="Arial" w:cs="Arial"/>
        </w:rPr>
        <w:t xml:space="preserve"> not </w:t>
      </w:r>
      <w:r w:rsidR="00CB3A85" w:rsidRPr="00D15956">
        <w:rPr>
          <w:rFonts w:ascii="Arial" w:hAnsi="Arial" w:cs="Arial"/>
        </w:rPr>
        <w:t xml:space="preserve">find </w:t>
      </w:r>
      <w:r w:rsidR="005E650B" w:rsidRPr="00D15956">
        <w:rPr>
          <w:rFonts w:ascii="Arial" w:hAnsi="Arial" w:cs="Arial"/>
        </w:rPr>
        <w:t>appl</w:t>
      </w:r>
      <w:r w:rsidR="00CB3A85" w:rsidRPr="00D15956">
        <w:rPr>
          <w:rFonts w:ascii="Arial" w:hAnsi="Arial" w:cs="Arial"/>
        </w:rPr>
        <w:t>ication in</w:t>
      </w:r>
      <w:r w:rsidR="0059339E" w:rsidRPr="00D15956">
        <w:rPr>
          <w:rFonts w:ascii="Arial" w:hAnsi="Arial" w:cs="Arial"/>
        </w:rPr>
        <w:t xml:space="preserve"> summary judg</w:t>
      </w:r>
      <w:r w:rsidR="00766208" w:rsidRPr="00D15956">
        <w:rPr>
          <w:rFonts w:ascii="Arial" w:hAnsi="Arial" w:cs="Arial"/>
        </w:rPr>
        <w:t>ment</w:t>
      </w:r>
      <w:r w:rsidR="00CB3A85" w:rsidRPr="00D15956">
        <w:rPr>
          <w:rFonts w:ascii="Arial" w:hAnsi="Arial" w:cs="Arial"/>
        </w:rPr>
        <w:t xml:space="preserve"> applications</w:t>
      </w:r>
      <w:r w:rsidR="00766208" w:rsidRPr="00D15956">
        <w:rPr>
          <w:rFonts w:ascii="Arial" w:hAnsi="Arial" w:cs="Arial"/>
        </w:rPr>
        <w:t xml:space="preserve">, but rather that the exception crafted out </w:t>
      </w:r>
      <w:r w:rsidR="00E145F9" w:rsidRPr="00D15956">
        <w:rPr>
          <w:rFonts w:ascii="Arial" w:hAnsi="Arial" w:cs="Arial"/>
        </w:rPr>
        <w:t>in CUSA</w:t>
      </w:r>
      <w:r w:rsidR="00F51311" w:rsidRPr="00D15956">
        <w:rPr>
          <w:rFonts w:ascii="Arial" w:hAnsi="Arial" w:cs="Arial"/>
        </w:rPr>
        <w:t xml:space="preserve"> illustrates </w:t>
      </w:r>
      <w:r w:rsidR="00751DA9" w:rsidRPr="00D15956">
        <w:rPr>
          <w:rFonts w:ascii="Arial" w:hAnsi="Arial" w:cs="Arial"/>
        </w:rPr>
        <w:t xml:space="preserve">that a court </w:t>
      </w:r>
      <w:r w:rsidR="00DD618A" w:rsidRPr="00D15956">
        <w:rPr>
          <w:rFonts w:ascii="Arial" w:hAnsi="Arial" w:cs="Arial"/>
        </w:rPr>
        <w:t xml:space="preserve">could be obliged to </w:t>
      </w:r>
      <w:r w:rsidR="00376DF8" w:rsidRPr="00D15956">
        <w:rPr>
          <w:rFonts w:ascii="Arial" w:hAnsi="Arial" w:cs="Arial"/>
        </w:rPr>
        <w:t xml:space="preserve">raise </w:t>
      </w:r>
      <w:r w:rsidR="00FE32B4" w:rsidRPr="00D15956">
        <w:rPr>
          <w:rFonts w:ascii="Arial" w:hAnsi="Arial" w:cs="Arial"/>
        </w:rPr>
        <w:t>an issue</w:t>
      </w:r>
      <w:r w:rsidR="009E482E" w:rsidRPr="00D15956">
        <w:rPr>
          <w:rFonts w:ascii="Arial" w:hAnsi="Arial" w:cs="Arial"/>
        </w:rPr>
        <w:t xml:space="preserve">, such as </w:t>
      </w:r>
      <w:bookmarkStart w:id="42" w:name="_Hlk152756276"/>
      <w:r w:rsidR="009E482E" w:rsidRPr="00D15956">
        <w:rPr>
          <w:rFonts w:ascii="Arial" w:hAnsi="Arial" w:cs="Arial"/>
        </w:rPr>
        <w:t>the registration issue mero motu</w:t>
      </w:r>
      <w:bookmarkEnd w:id="42"/>
      <w:r w:rsidR="009E482E" w:rsidRPr="00D15956">
        <w:rPr>
          <w:rFonts w:ascii="Arial" w:hAnsi="Arial" w:cs="Arial"/>
        </w:rPr>
        <w:t>.</w:t>
      </w:r>
      <w:r w:rsidR="00290575" w:rsidRPr="00D15956">
        <w:rPr>
          <w:rFonts w:ascii="Arial" w:hAnsi="Arial" w:cs="Arial"/>
        </w:rPr>
        <w:t xml:space="preserve">  </w:t>
      </w:r>
      <w:r w:rsidR="007036E7" w:rsidRPr="00D15956">
        <w:rPr>
          <w:rFonts w:ascii="Arial" w:hAnsi="Arial" w:cs="Arial"/>
        </w:rPr>
        <w:t xml:space="preserve">The </w:t>
      </w:r>
      <w:r w:rsidR="00650003" w:rsidRPr="00D15956">
        <w:rPr>
          <w:rFonts w:ascii="Arial" w:hAnsi="Arial" w:cs="Arial"/>
        </w:rPr>
        <w:t xml:space="preserve">prejudice </w:t>
      </w:r>
      <w:r w:rsidR="00C833CF" w:rsidRPr="00D15956">
        <w:rPr>
          <w:rFonts w:ascii="Arial" w:hAnsi="Arial" w:cs="Arial"/>
        </w:rPr>
        <w:t xml:space="preserve">Rise Security </w:t>
      </w:r>
      <w:r w:rsidR="007036E7" w:rsidRPr="00D15956">
        <w:rPr>
          <w:rFonts w:ascii="Arial" w:hAnsi="Arial" w:cs="Arial"/>
        </w:rPr>
        <w:lastRenderedPageBreak/>
        <w:t xml:space="preserve">might </w:t>
      </w:r>
      <w:r w:rsidR="00C833CF" w:rsidRPr="00D15956">
        <w:rPr>
          <w:rFonts w:ascii="Arial" w:hAnsi="Arial" w:cs="Arial"/>
        </w:rPr>
        <w:t>suffer</w:t>
      </w:r>
      <w:r w:rsidR="00F31E95" w:rsidRPr="00D15956">
        <w:rPr>
          <w:rFonts w:ascii="Arial" w:hAnsi="Arial" w:cs="Arial"/>
        </w:rPr>
        <w:t xml:space="preserve"> by the raising of the registration issue mero motu</w:t>
      </w:r>
      <w:r w:rsidR="00CB12C2" w:rsidRPr="00D15956">
        <w:rPr>
          <w:rFonts w:ascii="Arial" w:hAnsi="Arial" w:cs="Arial"/>
        </w:rPr>
        <w:t>,</w:t>
      </w:r>
      <w:r w:rsidR="00C833CF" w:rsidRPr="00D15956">
        <w:rPr>
          <w:rFonts w:ascii="Arial" w:hAnsi="Arial" w:cs="Arial"/>
        </w:rPr>
        <w:t xml:space="preserve"> is </w:t>
      </w:r>
      <w:r w:rsidR="007036E7" w:rsidRPr="00D15956">
        <w:rPr>
          <w:rFonts w:ascii="Arial" w:hAnsi="Arial" w:cs="Arial"/>
        </w:rPr>
        <w:t xml:space="preserve">the inconvenience </w:t>
      </w:r>
      <w:r w:rsidR="00C833CF" w:rsidRPr="00D15956">
        <w:rPr>
          <w:rFonts w:ascii="Arial" w:hAnsi="Arial" w:cs="Arial"/>
        </w:rPr>
        <w:t xml:space="preserve">that </w:t>
      </w:r>
      <w:r w:rsidR="00F31E95" w:rsidRPr="00D15956">
        <w:rPr>
          <w:rFonts w:ascii="Arial" w:hAnsi="Arial" w:cs="Arial"/>
        </w:rPr>
        <w:t xml:space="preserve">would </w:t>
      </w:r>
      <w:r w:rsidR="00BB5831" w:rsidRPr="00D15956">
        <w:rPr>
          <w:rFonts w:ascii="Arial" w:hAnsi="Arial" w:cs="Arial"/>
        </w:rPr>
        <w:t xml:space="preserve">flow from </w:t>
      </w:r>
      <w:r w:rsidR="00880B1C" w:rsidRPr="00D15956">
        <w:rPr>
          <w:rFonts w:ascii="Arial" w:hAnsi="Arial" w:cs="Arial"/>
        </w:rPr>
        <w:t>judgment in its favour be</w:t>
      </w:r>
      <w:r w:rsidR="00BB5831" w:rsidRPr="00D15956">
        <w:rPr>
          <w:rFonts w:ascii="Arial" w:hAnsi="Arial" w:cs="Arial"/>
        </w:rPr>
        <w:t>ing</w:t>
      </w:r>
      <w:r w:rsidR="00880B1C" w:rsidRPr="00D15956">
        <w:rPr>
          <w:rFonts w:ascii="Arial" w:hAnsi="Arial" w:cs="Arial"/>
        </w:rPr>
        <w:t xml:space="preserve"> delayed, but – at the same </w:t>
      </w:r>
      <w:r w:rsidR="00C24018" w:rsidRPr="00D15956">
        <w:rPr>
          <w:rFonts w:ascii="Arial" w:hAnsi="Arial" w:cs="Arial"/>
        </w:rPr>
        <w:t>time – it will have the opportunity to</w:t>
      </w:r>
      <w:r w:rsidR="00006DAC" w:rsidRPr="00D15956">
        <w:rPr>
          <w:rFonts w:ascii="Arial" w:hAnsi="Arial" w:cs="Arial"/>
        </w:rPr>
        <w:t xml:space="preserve"> remedy its defective particulars </w:t>
      </w:r>
      <w:r w:rsidR="00F349B5" w:rsidRPr="00D15956">
        <w:rPr>
          <w:rFonts w:ascii="Arial" w:hAnsi="Arial" w:cs="Arial"/>
        </w:rPr>
        <w:t xml:space="preserve">of claim and, provided it is </w:t>
      </w:r>
      <w:r w:rsidR="00CB12C2" w:rsidRPr="00D15956">
        <w:rPr>
          <w:rFonts w:ascii="Arial" w:hAnsi="Arial" w:cs="Arial"/>
        </w:rPr>
        <w:t xml:space="preserve">and was </w:t>
      </w:r>
      <w:r w:rsidR="00EF3CB4" w:rsidRPr="00D15956">
        <w:rPr>
          <w:rFonts w:ascii="Arial" w:hAnsi="Arial" w:cs="Arial"/>
        </w:rPr>
        <w:t xml:space="preserve">validly </w:t>
      </w:r>
      <w:r w:rsidR="00F349B5" w:rsidRPr="00D15956">
        <w:rPr>
          <w:rFonts w:ascii="Arial" w:hAnsi="Arial" w:cs="Arial"/>
        </w:rPr>
        <w:t>registered in terms of PSIRA</w:t>
      </w:r>
      <w:r w:rsidR="00EF3CB4" w:rsidRPr="00D15956">
        <w:rPr>
          <w:rFonts w:ascii="Arial" w:hAnsi="Arial" w:cs="Arial"/>
        </w:rPr>
        <w:t xml:space="preserve"> at </w:t>
      </w:r>
      <w:r w:rsidR="00D34E5A" w:rsidRPr="00D15956">
        <w:rPr>
          <w:rFonts w:ascii="Arial" w:hAnsi="Arial" w:cs="Arial"/>
        </w:rPr>
        <w:t xml:space="preserve">all material times, </w:t>
      </w:r>
      <w:r w:rsidR="00CD50D8" w:rsidRPr="00D15956">
        <w:rPr>
          <w:rFonts w:ascii="Arial" w:hAnsi="Arial" w:cs="Arial"/>
        </w:rPr>
        <w:t xml:space="preserve">thereafter seek </w:t>
      </w:r>
      <w:r w:rsidR="00D34E5A" w:rsidRPr="00D15956">
        <w:rPr>
          <w:rFonts w:ascii="Arial" w:hAnsi="Arial" w:cs="Arial"/>
        </w:rPr>
        <w:t xml:space="preserve">judgment </w:t>
      </w:r>
      <w:r w:rsidR="001C472F" w:rsidRPr="00D15956">
        <w:rPr>
          <w:rFonts w:ascii="Arial" w:hAnsi="Arial" w:cs="Arial"/>
        </w:rPr>
        <w:t>at the end of</w:t>
      </w:r>
      <w:r w:rsidR="00CB12C2" w:rsidRPr="00D15956">
        <w:rPr>
          <w:rFonts w:ascii="Arial" w:hAnsi="Arial" w:cs="Arial"/>
        </w:rPr>
        <w:t xml:space="preserve"> </w:t>
      </w:r>
      <w:r w:rsidR="00CD50D8" w:rsidRPr="00D15956">
        <w:rPr>
          <w:rFonts w:ascii="Arial" w:hAnsi="Arial" w:cs="Arial"/>
        </w:rPr>
        <w:t>the</w:t>
      </w:r>
      <w:r w:rsidR="00CB12C2" w:rsidRPr="00D15956">
        <w:rPr>
          <w:rFonts w:ascii="Arial" w:hAnsi="Arial" w:cs="Arial"/>
        </w:rPr>
        <w:t xml:space="preserve"> ensuing trail.</w:t>
      </w:r>
      <w:r w:rsidR="00C2027F" w:rsidRPr="00D15956">
        <w:rPr>
          <w:rFonts w:ascii="Arial" w:hAnsi="Arial" w:cs="Arial"/>
        </w:rPr>
        <w:t xml:space="preserve">  Such ‘</w:t>
      </w:r>
      <w:r w:rsidR="00C2027F" w:rsidRPr="00D15956">
        <w:rPr>
          <w:rFonts w:ascii="Arial" w:hAnsi="Arial" w:cs="Arial"/>
          <w:i/>
          <w:iCs/>
        </w:rPr>
        <w:t>prejudice</w:t>
      </w:r>
      <w:r w:rsidR="00C2027F" w:rsidRPr="00D15956">
        <w:rPr>
          <w:rFonts w:ascii="Arial" w:hAnsi="Arial" w:cs="Arial"/>
        </w:rPr>
        <w:t>’</w:t>
      </w:r>
      <w:r w:rsidR="00954962" w:rsidRPr="00D15956">
        <w:rPr>
          <w:rFonts w:ascii="Arial" w:hAnsi="Arial" w:cs="Arial"/>
        </w:rPr>
        <w:t xml:space="preserve"> can be avoided, or </w:t>
      </w:r>
      <w:r w:rsidR="0056282A" w:rsidRPr="00D15956">
        <w:rPr>
          <w:rFonts w:ascii="Arial" w:hAnsi="Arial" w:cs="Arial"/>
        </w:rPr>
        <w:t xml:space="preserve">at least largely </w:t>
      </w:r>
      <w:r w:rsidR="00954962" w:rsidRPr="00D15956">
        <w:rPr>
          <w:rFonts w:ascii="Arial" w:hAnsi="Arial" w:cs="Arial"/>
        </w:rPr>
        <w:t>mitigated,</w:t>
      </w:r>
      <w:r w:rsidR="0056282A" w:rsidRPr="00D15956">
        <w:rPr>
          <w:rFonts w:ascii="Arial" w:hAnsi="Arial" w:cs="Arial"/>
        </w:rPr>
        <w:t xml:space="preserve"> </w:t>
      </w:r>
      <w:r w:rsidR="00374F0A" w:rsidRPr="00D15956">
        <w:rPr>
          <w:rFonts w:ascii="Arial" w:hAnsi="Arial" w:cs="Arial"/>
        </w:rPr>
        <w:t>by an appropriate costs order at the end of the trial, as well as by</w:t>
      </w:r>
      <w:r w:rsidR="007D5C89" w:rsidRPr="00D15956">
        <w:rPr>
          <w:rFonts w:ascii="Arial" w:hAnsi="Arial" w:cs="Arial"/>
        </w:rPr>
        <w:t xml:space="preserve"> an order granting interest</w:t>
      </w:r>
      <w:r w:rsidR="00BE5231" w:rsidRPr="00D15956">
        <w:rPr>
          <w:rFonts w:ascii="Arial" w:hAnsi="Arial" w:cs="Arial"/>
        </w:rPr>
        <w:t xml:space="preserve"> on the sum claimed.</w:t>
      </w:r>
    </w:p>
    <w:p w14:paraId="2269A726" w14:textId="3732DB23" w:rsidR="006A69AA" w:rsidRPr="00D15956" w:rsidRDefault="00D15956" w:rsidP="00D15956">
      <w:pPr>
        <w:spacing w:line="480" w:lineRule="auto"/>
        <w:ind w:left="720" w:right="28"/>
        <w:rPr>
          <w:rFonts w:ascii="Arial" w:hAnsi="Arial" w:cs="Arial"/>
        </w:rPr>
      </w:pPr>
      <w:r w:rsidRPr="00714E74">
        <w:rPr>
          <w:rFonts w:ascii="Arial" w:hAnsi="Arial" w:cs="Arial"/>
        </w:rPr>
        <w:t>[42].</w:t>
      </w:r>
      <w:r w:rsidRPr="00714E74">
        <w:rPr>
          <w:rFonts w:ascii="Arial" w:hAnsi="Arial" w:cs="Arial"/>
        </w:rPr>
        <w:tab/>
      </w:r>
      <w:r w:rsidR="00BC6EE7" w:rsidRPr="00D15956">
        <w:rPr>
          <w:rFonts w:ascii="Arial" w:hAnsi="Arial" w:cs="Arial"/>
        </w:rPr>
        <w:t xml:space="preserve">Rise Security’s </w:t>
      </w:r>
      <w:r w:rsidR="00CF6503" w:rsidRPr="00D15956">
        <w:rPr>
          <w:rFonts w:ascii="Arial" w:hAnsi="Arial" w:cs="Arial"/>
        </w:rPr>
        <w:t>remaining submissions</w:t>
      </w:r>
      <w:r w:rsidR="00BC6EE7" w:rsidRPr="00D15956">
        <w:rPr>
          <w:rFonts w:ascii="Arial" w:hAnsi="Arial" w:cs="Arial"/>
        </w:rPr>
        <w:t>,</w:t>
      </w:r>
      <w:r w:rsidR="00376175" w:rsidRPr="00D15956">
        <w:rPr>
          <w:rFonts w:ascii="Arial" w:hAnsi="Arial" w:cs="Arial"/>
        </w:rPr>
        <w:t xml:space="preserve"> as advanced by its counsel,</w:t>
      </w:r>
      <w:r w:rsidR="00CF6503" w:rsidRPr="00D15956">
        <w:rPr>
          <w:rFonts w:ascii="Arial" w:hAnsi="Arial" w:cs="Arial"/>
        </w:rPr>
        <w:t xml:space="preserve"> are dealt with next.</w:t>
      </w:r>
    </w:p>
    <w:p w14:paraId="7EEB47E2" w14:textId="20C0BA71" w:rsidR="00096B48" w:rsidRPr="00714E74" w:rsidRDefault="00096B48" w:rsidP="00714E74">
      <w:pPr>
        <w:spacing w:line="480" w:lineRule="auto"/>
        <w:ind w:left="0" w:right="28" w:firstLine="0"/>
        <w:rPr>
          <w:rFonts w:ascii="Arial" w:hAnsi="Arial" w:cs="Arial"/>
          <w:b/>
        </w:rPr>
      </w:pPr>
      <w:bookmarkStart w:id="43" w:name="_Hlk152684993"/>
      <w:r w:rsidRPr="00714E74">
        <w:rPr>
          <w:rFonts w:ascii="Arial" w:hAnsi="Arial" w:cs="Arial"/>
          <w:b/>
          <w:u w:val="single"/>
        </w:rPr>
        <w:t>Rise Security’s fi</w:t>
      </w:r>
      <w:r w:rsidR="009A6392" w:rsidRPr="00714E74">
        <w:rPr>
          <w:rFonts w:ascii="Arial" w:hAnsi="Arial" w:cs="Arial"/>
          <w:b/>
          <w:u w:val="single"/>
        </w:rPr>
        <w:t>rst</w:t>
      </w:r>
      <w:r w:rsidRPr="00714E74">
        <w:rPr>
          <w:rFonts w:ascii="Arial" w:hAnsi="Arial" w:cs="Arial"/>
          <w:b/>
          <w:u w:val="single"/>
        </w:rPr>
        <w:t xml:space="preserve"> submission in paragraph </w:t>
      </w:r>
      <w:r w:rsidR="006A69AA" w:rsidRPr="00714E74">
        <w:rPr>
          <w:rFonts w:ascii="Arial" w:hAnsi="Arial" w:cs="Arial"/>
          <w:b/>
          <w:u w:val="single"/>
        </w:rPr>
        <w:t>30</w:t>
      </w:r>
      <w:r w:rsidRPr="00714E74">
        <w:rPr>
          <w:rFonts w:ascii="Arial" w:hAnsi="Arial" w:cs="Arial"/>
          <w:b/>
          <w:u w:val="single"/>
        </w:rPr>
        <w:t>.</w:t>
      </w:r>
      <w:r w:rsidR="009A6392" w:rsidRPr="00714E74">
        <w:rPr>
          <w:rFonts w:ascii="Arial" w:hAnsi="Arial" w:cs="Arial"/>
          <w:b/>
          <w:u w:val="single"/>
        </w:rPr>
        <w:t>1</w:t>
      </w:r>
      <w:r w:rsidRPr="00714E74">
        <w:rPr>
          <w:rFonts w:ascii="Arial" w:hAnsi="Arial" w:cs="Arial"/>
          <w:b/>
          <w:u w:val="single"/>
        </w:rPr>
        <w:t xml:space="preserve"> above</w:t>
      </w:r>
      <w:r w:rsidRPr="00714E74">
        <w:rPr>
          <w:rFonts w:ascii="Arial" w:hAnsi="Arial" w:cs="Arial"/>
          <w:b/>
        </w:rPr>
        <w:t>:</w:t>
      </w:r>
      <w:bookmarkEnd w:id="43"/>
    </w:p>
    <w:p w14:paraId="7B0FA94B" w14:textId="24CDC43E" w:rsidR="009A6392" w:rsidRPr="00D15956" w:rsidRDefault="00D15956" w:rsidP="00D15956">
      <w:pPr>
        <w:spacing w:line="480" w:lineRule="auto"/>
        <w:ind w:left="720" w:right="28"/>
        <w:rPr>
          <w:rFonts w:ascii="Arial" w:hAnsi="Arial" w:cs="Arial"/>
        </w:rPr>
      </w:pPr>
      <w:r w:rsidRPr="00714E74">
        <w:rPr>
          <w:rFonts w:ascii="Arial" w:hAnsi="Arial" w:cs="Arial"/>
        </w:rPr>
        <w:t>[43].</w:t>
      </w:r>
      <w:r w:rsidRPr="00714E74">
        <w:rPr>
          <w:rFonts w:ascii="Arial" w:hAnsi="Arial" w:cs="Arial"/>
        </w:rPr>
        <w:tab/>
      </w:r>
      <w:r w:rsidR="00645C8B" w:rsidRPr="00D15956">
        <w:rPr>
          <w:rFonts w:ascii="Arial" w:hAnsi="Arial" w:cs="Arial"/>
        </w:rPr>
        <w:t xml:space="preserve">Although this </w:t>
      </w:r>
      <w:r w:rsidR="00D4786A" w:rsidRPr="00D15956">
        <w:rPr>
          <w:rFonts w:ascii="Arial" w:hAnsi="Arial" w:cs="Arial"/>
        </w:rPr>
        <w:t xml:space="preserve">submission is superficially attractive, </w:t>
      </w:r>
      <w:r w:rsidR="00332234" w:rsidRPr="00D15956">
        <w:rPr>
          <w:rFonts w:ascii="Arial" w:hAnsi="Arial" w:cs="Arial"/>
        </w:rPr>
        <w:t xml:space="preserve">it does not overcome </w:t>
      </w:r>
      <w:r w:rsidR="00D44770" w:rsidRPr="00D15956">
        <w:rPr>
          <w:rFonts w:ascii="Arial" w:hAnsi="Arial" w:cs="Arial"/>
        </w:rPr>
        <w:t xml:space="preserve">the fact that </w:t>
      </w:r>
      <w:bookmarkStart w:id="44" w:name="_Hlk152682469"/>
      <w:r w:rsidR="00D44770" w:rsidRPr="00D15956">
        <w:rPr>
          <w:rFonts w:ascii="Arial" w:hAnsi="Arial" w:cs="Arial"/>
        </w:rPr>
        <w:t xml:space="preserve">a completed (perfected) cause of action </w:t>
      </w:r>
      <w:bookmarkEnd w:id="44"/>
      <w:r w:rsidR="00D44770" w:rsidRPr="00D15956">
        <w:rPr>
          <w:rFonts w:ascii="Arial" w:hAnsi="Arial" w:cs="Arial"/>
        </w:rPr>
        <w:t xml:space="preserve">has not been pleaded.  </w:t>
      </w:r>
      <w:r w:rsidR="00B25EC1" w:rsidRPr="00D15956">
        <w:rPr>
          <w:rFonts w:ascii="Arial" w:hAnsi="Arial" w:cs="Arial"/>
        </w:rPr>
        <w:t xml:space="preserve">In my view, a completed (perfected) cause of action would have required </w:t>
      </w:r>
      <w:r w:rsidR="001B09B4" w:rsidRPr="00D15956">
        <w:rPr>
          <w:rFonts w:ascii="Arial" w:hAnsi="Arial" w:cs="Arial"/>
        </w:rPr>
        <w:t xml:space="preserve">of Rise Security to positively allege that it </w:t>
      </w:r>
      <w:r w:rsidR="008C511B" w:rsidRPr="00D15956">
        <w:rPr>
          <w:rFonts w:ascii="Arial" w:hAnsi="Arial" w:cs="Arial"/>
        </w:rPr>
        <w:t xml:space="preserve">is </w:t>
      </w:r>
      <w:r w:rsidR="001B09B4" w:rsidRPr="00D15956">
        <w:rPr>
          <w:rFonts w:ascii="Arial" w:hAnsi="Arial" w:cs="Arial"/>
        </w:rPr>
        <w:t>duly re</w:t>
      </w:r>
      <w:r w:rsidR="008C511B" w:rsidRPr="00D15956">
        <w:rPr>
          <w:rFonts w:ascii="Arial" w:hAnsi="Arial" w:cs="Arial"/>
        </w:rPr>
        <w:t>gistered a security provider in terms of s. 20 (1) of PSIRA</w:t>
      </w:r>
      <w:r w:rsidR="000A56EC" w:rsidRPr="00D15956">
        <w:rPr>
          <w:rFonts w:ascii="Arial" w:hAnsi="Arial" w:cs="Arial"/>
        </w:rPr>
        <w:t>,</w:t>
      </w:r>
      <w:r w:rsidR="00BA059D" w:rsidRPr="00D15956">
        <w:rPr>
          <w:rFonts w:ascii="Arial" w:hAnsi="Arial" w:cs="Arial"/>
        </w:rPr>
        <w:t xml:space="preserve"> and that this remained the case</w:t>
      </w:r>
      <w:r w:rsidR="002E42E3" w:rsidRPr="00D15956">
        <w:rPr>
          <w:rFonts w:ascii="Arial" w:hAnsi="Arial" w:cs="Arial"/>
        </w:rPr>
        <w:t xml:space="preserve"> at all relevant times, </w:t>
      </w:r>
      <w:r w:rsidR="008C164F" w:rsidRPr="00D15956">
        <w:rPr>
          <w:rFonts w:ascii="Arial" w:hAnsi="Arial" w:cs="Arial"/>
        </w:rPr>
        <w:t xml:space="preserve">including </w:t>
      </w:r>
      <w:r w:rsidR="002E42E3" w:rsidRPr="00D15956">
        <w:rPr>
          <w:rFonts w:ascii="Arial" w:hAnsi="Arial" w:cs="Arial"/>
        </w:rPr>
        <w:t xml:space="preserve">the time </w:t>
      </w:r>
      <w:r w:rsidR="009D7839" w:rsidRPr="00D15956">
        <w:rPr>
          <w:rFonts w:ascii="Arial" w:hAnsi="Arial" w:cs="Arial"/>
        </w:rPr>
        <w:t xml:space="preserve">it entered into the </w:t>
      </w:r>
      <w:r w:rsidR="002E42E3" w:rsidRPr="00D15956">
        <w:rPr>
          <w:rFonts w:ascii="Arial" w:hAnsi="Arial" w:cs="Arial"/>
        </w:rPr>
        <w:t xml:space="preserve">security contract </w:t>
      </w:r>
      <w:r w:rsidR="009D7839" w:rsidRPr="00D15956">
        <w:rPr>
          <w:rFonts w:ascii="Arial" w:hAnsi="Arial" w:cs="Arial"/>
        </w:rPr>
        <w:t xml:space="preserve">with the NYDA, as well as </w:t>
      </w:r>
      <w:r w:rsidR="002E42E3" w:rsidRPr="00D15956">
        <w:rPr>
          <w:rFonts w:ascii="Arial" w:hAnsi="Arial" w:cs="Arial"/>
        </w:rPr>
        <w:t>the time the security services were</w:t>
      </w:r>
      <w:r w:rsidR="00466348" w:rsidRPr="00D15956">
        <w:rPr>
          <w:rFonts w:ascii="Arial" w:hAnsi="Arial" w:cs="Arial"/>
        </w:rPr>
        <w:t xml:space="preserve"> performed in terms of that contract</w:t>
      </w:r>
      <w:r w:rsidR="000A56EC" w:rsidRPr="00D15956">
        <w:rPr>
          <w:rFonts w:ascii="Arial" w:hAnsi="Arial" w:cs="Arial"/>
        </w:rPr>
        <w:t xml:space="preserve">.  </w:t>
      </w:r>
    </w:p>
    <w:p w14:paraId="1B2E1447" w14:textId="069B8C37" w:rsidR="00466348" w:rsidRPr="00D15956" w:rsidRDefault="00D15956" w:rsidP="00D15956">
      <w:pPr>
        <w:spacing w:line="480" w:lineRule="auto"/>
        <w:ind w:left="720" w:right="28"/>
        <w:rPr>
          <w:rFonts w:ascii="Arial" w:hAnsi="Arial" w:cs="Arial"/>
        </w:rPr>
      </w:pPr>
      <w:r w:rsidRPr="00714E74">
        <w:rPr>
          <w:rFonts w:ascii="Arial" w:hAnsi="Arial" w:cs="Arial"/>
        </w:rPr>
        <w:t>[44].</w:t>
      </w:r>
      <w:r w:rsidRPr="00714E74">
        <w:rPr>
          <w:rFonts w:ascii="Arial" w:hAnsi="Arial" w:cs="Arial"/>
        </w:rPr>
        <w:tab/>
      </w:r>
      <w:r w:rsidR="00376175" w:rsidRPr="00D15956">
        <w:rPr>
          <w:rFonts w:ascii="Arial" w:hAnsi="Arial" w:cs="Arial"/>
        </w:rPr>
        <w:t xml:space="preserve">As indicated in paragraph 29 above, Ms Sempe made one concession in connection with the registration issue.  </w:t>
      </w:r>
      <w:r w:rsidR="00B24AB1" w:rsidRPr="00D15956">
        <w:rPr>
          <w:rFonts w:ascii="Arial" w:hAnsi="Arial" w:cs="Arial"/>
        </w:rPr>
        <w:t xml:space="preserve">She stated, quite frankly, that </w:t>
      </w:r>
      <w:r w:rsidR="00BF6491" w:rsidRPr="00D15956">
        <w:rPr>
          <w:rFonts w:ascii="Arial" w:hAnsi="Arial" w:cs="Arial"/>
        </w:rPr>
        <w:t xml:space="preserve">she </w:t>
      </w:r>
      <w:r w:rsidR="001C21F1" w:rsidRPr="00D15956">
        <w:rPr>
          <w:rFonts w:ascii="Arial" w:hAnsi="Arial" w:cs="Arial"/>
        </w:rPr>
        <w:t xml:space="preserve">had accessed PSIRA’s website and noticed that Rice Security was </w:t>
      </w:r>
      <w:r w:rsidR="00AE64DE" w:rsidRPr="00D15956">
        <w:rPr>
          <w:rFonts w:ascii="Arial" w:hAnsi="Arial" w:cs="Arial"/>
        </w:rPr>
        <w:t>registered under th</w:t>
      </w:r>
      <w:r w:rsidR="00502012" w:rsidRPr="00D15956">
        <w:rPr>
          <w:rFonts w:ascii="Arial" w:hAnsi="Arial" w:cs="Arial"/>
        </w:rPr>
        <w:t>e</w:t>
      </w:r>
      <w:r w:rsidR="00AE64DE" w:rsidRPr="00D15956">
        <w:rPr>
          <w:rFonts w:ascii="Arial" w:hAnsi="Arial" w:cs="Arial"/>
        </w:rPr>
        <w:t xml:space="preserve"> number </w:t>
      </w:r>
      <w:r w:rsidR="00502012" w:rsidRPr="00D15956">
        <w:rPr>
          <w:rFonts w:ascii="Arial" w:hAnsi="Arial" w:cs="Arial"/>
        </w:rPr>
        <w:t xml:space="preserve">referred to </w:t>
      </w:r>
      <w:r w:rsidR="00AE64DE" w:rsidRPr="00D15956">
        <w:rPr>
          <w:rFonts w:ascii="Arial" w:hAnsi="Arial" w:cs="Arial"/>
        </w:rPr>
        <w:t>(i.e., ‘</w:t>
      </w:r>
      <w:r w:rsidR="00AE64DE" w:rsidRPr="00D15956">
        <w:rPr>
          <w:rFonts w:ascii="Arial" w:hAnsi="Arial" w:cs="Arial"/>
          <w:i/>
        </w:rPr>
        <w:t>PSIRA NO: 417414</w:t>
      </w:r>
      <w:r w:rsidR="00AE64DE" w:rsidRPr="00D15956">
        <w:rPr>
          <w:rFonts w:ascii="Arial" w:hAnsi="Arial" w:cs="Arial"/>
        </w:rPr>
        <w:t xml:space="preserve">’).  </w:t>
      </w:r>
      <w:r w:rsidR="00FD6495" w:rsidRPr="00D15956">
        <w:rPr>
          <w:rFonts w:ascii="Arial" w:hAnsi="Arial" w:cs="Arial"/>
        </w:rPr>
        <w:t>It could be argued that</w:t>
      </w:r>
      <w:r w:rsidR="001F7C90" w:rsidRPr="00D15956">
        <w:rPr>
          <w:rFonts w:ascii="Arial" w:hAnsi="Arial" w:cs="Arial"/>
        </w:rPr>
        <w:t xml:space="preserve">, by this </w:t>
      </w:r>
      <w:r w:rsidR="005E7283" w:rsidRPr="00D15956">
        <w:rPr>
          <w:rFonts w:ascii="Arial" w:hAnsi="Arial" w:cs="Arial"/>
        </w:rPr>
        <w:t>‘</w:t>
      </w:r>
      <w:r w:rsidR="001F7C90" w:rsidRPr="00D15956">
        <w:rPr>
          <w:rFonts w:ascii="Arial" w:hAnsi="Arial" w:cs="Arial"/>
          <w:i/>
          <w:iCs/>
        </w:rPr>
        <w:t>concession</w:t>
      </w:r>
      <w:r w:rsidR="005E7283" w:rsidRPr="00D15956">
        <w:rPr>
          <w:rFonts w:ascii="Arial" w:hAnsi="Arial" w:cs="Arial"/>
        </w:rPr>
        <w:t>’</w:t>
      </w:r>
      <w:r w:rsidR="003932CA" w:rsidRPr="00D15956">
        <w:rPr>
          <w:rFonts w:ascii="Arial" w:hAnsi="Arial" w:cs="Arial"/>
        </w:rPr>
        <w:t xml:space="preserve"> made by the NYDA’s </w:t>
      </w:r>
      <w:r w:rsidR="00A45C46" w:rsidRPr="00D15956">
        <w:rPr>
          <w:rFonts w:ascii="Arial" w:hAnsi="Arial" w:cs="Arial"/>
        </w:rPr>
        <w:t>counsel</w:t>
      </w:r>
      <w:r w:rsidR="001518B5" w:rsidRPr="00D15956">
        <w:rPr>
          <w:rFonts w:ascii="Arial" w:hAnsi="Arial" w:cs="Arial"/>
        </w:rPr>
        <w:t xml:space="preserve">, </w:t>
      </w:r>
      <w:r w:rsidR="00EC5EEB" w:rsidRPr="00D15956">
        <w:rPr>
          <w:rFonts w:ascii="Arial" w:hAnsi="Arial" w:cs="Arial"/>
        </w:rPr>
        <w:t>the manner in which</w:t>
      </w:r>
      <w:r w:rsidR="0031085A" w:rsidRPr="00D15956">
        <w:rPr>
          <w:rFonts w:ascii="Arial" w:hAnsi="Arial" w:cs="Arial"/>
        </w:rPr>
        <w:t xml:space="preserve"> the </w:t>
      </w:r>
      <w:r w:rsidR="0031085A" w:rsidRPr="00D15956">
        <w:rPr>
          <w:rFonts w:ascii="Arial" w:hAnsi="Arial" w:cs="Arial"/>
        </w:rPr>
        <w:lastRenderedPageBreak/>
        <w:t>application was conducted during the hearing</w:t>
      </w:r>
      <w:r w:rsidR="00F77BE2" w:rsidRPr="00D15956">
        <w:rPr>
          <w:rFonts w:ascii="Arial" w:hAnsi="Arial" w:cs="Arial"/>
        </w:rPr>
        <w:t xml:space="preserve"> </w:t>
      </w:r>
      <w:r w:rsidR="00A45C46" w:rsidRPr="00D15956">
        <w:rPr>
          <w:rFonts w:ascii="Arial" w:hAnsi="Arial" w:cs="Arial"/>
        </w:rPr>
        <w:t xml:space="preserve">dispensed with </w:t>
      </w:r>
      <w:r w:rsidR="004240E9" w:rsidRPr="00D15956">
        <w:rPr>
          <w:rFonts w:ascii="Arial" w:hAnsi="Arial" w:cs="Arial"/>
        </w:rPr>
        <w:t>Rise Security</w:t>
      </w:r>
      <w:r w:rsidR="009D72F6" w:rsidRPr="00D15956">
        <w:rPr>
          <w:rFonts w:ascii="Arial" w:hAnsi="Arial" w:cs="Arial"/>
        </w:rPr>
        <w:t>’s obligation</w:t>
      </w:r>
      <w:r w:rsidR="004240E9" w:rsidRPr="00D15956">
        <w:rPr>
          <w:rFonts w:ascii="Arial" w:hAnsi="Arial" w:cs="Arial"/>
        </w:rPr>
        <w:t xml:space="preserve"> to have alleged and proved a complete</w:t>
      </w:r>
      <w:r w:rsidR="003C7E4C" w:rsidRPr="00D15956">
        <w:rPr>
          <w:rFonts w:ascii="Arial" w:hAnsi="Arial" w:cs="Arial"/>
        </w:rPr>
        <w:t xml:space="preserve"> (perfected) cause of action, as outlined in the preceding paragraph</w:t>
      </w:r>
      <w:r w:rsidR="003F64AD" w:rsidRPr="00D15956">
        <w:rPr>
          <w:rFonts w:ascii="Arial" w:hAnsi="Arial" w:cs="Arial"/>
        </w:rPr>
        <w:t xml:space="preserve">, </w:t>
      </w:r>
      <w:r w:rsidR="000C24BE" w:rsidRPr="00D15956">
        <w:rPr>
          <w:rFonts w:ascii="Arial" w:hAnsi="Arial" w:cs="Arial"/>
        </w:rPr>
        <w:t>and</w:t>
      </w:r>
      <w:r w:rsidR="003473BD" w:rsidRPr="00D15956">
        <w:rPr>
          <w:rFonts w:ascii="Arial" w:hAnsi="Arial" w:cs="Arial"/>
        </w:rPr>
        <w:t>, hence,</w:t>
      </w:r>
      <w:r w:rsidR="000C24BE" w:rsidRPr="00D15956">
        <w:rPr>
          <w:rFonts w:ascii="Arial" w:hAnsi="Arial" w:cs="Arial"/>
        </w:rPr>
        <w:t xml:space="preserve"> that it would be fair and </w:t>
      </w:r>
      <w:r w:rsidR="00AD6670" w:rsidRPr="00D15956">
        <w:rPr>
          <w:rFonts w:ascii="Arial" w:hAnsi="Arial" w:cs="Arial"/>
        </w:rPr>
        <w:t xml:space="preserve">reasonable </w:t>
      </w:r>
      <w:r w:rsidR="000C24BE" w:rsidRPr="00D15956">
        <w:rPr>
          <w:rFonts w:ascii="Arial" w:hAnsi="Arial" w:cs="Arial"/>
        </w:rPr>
        <w:t>to grant summary judgment against the</w:t>
      </w:r>
      <w:r w:rsidR="00AD6670" w:rsidRPr="00D15956">
        <w:rPr>
          <w:rFonts w:ascii="Arial" w:hAnsi="Arial" w:cs="Arial"/>
        </w:rPr>
        <w:t xml:space="preserve"> NYDA.  </w:t>
      </w:r>
      <w:r w:rsidR="00470D83" w:rsidRPr="00D15956">
        <w:rPr>
          <w:rFonts w:ascii="Arial" w:hAnsi="Arial" w:cs="Arial"/>
        </w:rPr>
        <w:t xml:space="preserve">To merely accept such a </w:t>
      </w:r>
      <w:r w:rsidR="008B777F" w:rsidRPr="00D15956">
        <w:rPr>
          <w:rFonts w:ascii="Arial" w:hAnsi="Arial" w:cs="Arial"/>
        </w:rPr>
        <w:t>‘</w:t>
      </w:r>
      <w:r w:rsidR="00470D83" w:rsidRPr="00D15956">
        <w:rPr>
          <w:rFonts w:ascii="Arial" w:hAnsi="Arial" w:cs="Arial"/>
          <w:i/>
          <w:iCs/>
        </w:rPr>
        <w:t>concession</w:t>
      </w:r>
      <w:r w:rsidR="008B777F" w:rsidRPr="00D15956">
        <w:rPr>
          <w:rFonts w:ascii="Arial" w:hAnsi="Arial" w:cs="Arial"/>
        </w:rPr>
        <w:t>’ at face value</w:t>
      </w:r>
      <w:r w:rsidR="00642574" w:rsidRPr="00D15956">
        <w:rPr>
          <w:rFonts w:ascii="Arial" w:hAnsi="Arial" w:cs="Arial"/>
        </w:rPr>
        <w:t>,</w:t>
      </w:r>
      <w:r w:rsidR="00DD4CDC" w:rsidRPr="00D15956">
        <w:rPr>
          <w:rFonts w:ascii="Arial" w:hAnsi="Arial" w:cs="Arial"/>
        </w:rPr>
        <w:t xml:space="preserve"> would also mean</w:t>
      </w:r>
      <w:r w:rsidR="00B91902" w:rsidRPr="00D15956">
        <w:rPr>
          <w:rFonts w:ascii="Arial" w:hAnsi="Arial" w:cs="Arial"/>
        </w:rPr>
        <w:t xml:space="preserve"> that </w:t>
      </w:r>
      <w:r w:rsidR="00232281" w:rsidRPr="00D15956">
        <w:rPr>
          <w:rFonts w:ascii="Arial" w:hAnsi="Arial" w:cs="Arial"/>
        </w:rPr>
        <w:t>this court</w:t>
      </w:r>
      <w:r w:rsidR="0017198D" w:rsidRPr="00D15956">
        <w:rPr>
          <w:rFonts w:ascii="Arial" w:hAnsi="Arial" w:cs="Arial"/>
        </w:rPr>
        <w:t xml:space="preserve"> </w:t>
      </w:r>
      <w:r w:rsidR="00980084" w:rsidRPr="00D15956">
        <w:rPr>
          <w:rFonts w:ascii="Arial" w:hAnsi="Arial" w:cs="Arial"/>
        </w:rPr>
        <w:t xml:space="preserve">will be </w:t>
      </w:r>
      <w:r w:rsidR="0017198D" w:rsidRPr="00D15956">
        <w:rPr>
          <w:rFonts w:ascii="Arial" w:hAnsi="Arial" w:cs="Arial"/>
        </w:rPr>
        <w:t>required to assume</w:t>
      </w:r>
      <w:r w:rsidR="00642574" w:rsidRPr="00D15956">
        <w:rPr>
          <w:rFonts w:ascii="Arial" w:hAnsi="Arial" w:cs="Arial"/>
        </w:rPr>
        <w:t xml:space="preserve"> that</w:t>
      </w:r>
      <w:r w:rsidR="006935AA" w:rsidRPr="00D15956">
        <w:rPr>
          <w:rFonts w:ascii="Arial" w:hAnsi="Arial" w:cs="Arial"/>
        </w:rPr>
        <w:t xml:space="preserve"> </w:t>
      </w:r>
      <w:r w:rsidR="00CE3312" w:rsidRPr="00D15956">
        <w:rPr>
          <w:rFonts w:ascii="Arial" w:hAnsi="Arial" w:cs="Arial"/>
        </w:rPr>
        <w:t xml:space="preserve">Rise Security’s </w:t>
      </w:r>
      <w:r w:rsidR="006935AA" w:rsidRPr="00D15956">
        <w:rPr>
          <w:rFonts w:ascii="Arial" w:hAnsi="Arial" w:cs="Arial"/>
        </w:rPr>
        <w:t>registration</w:t>
      </w:r>
      <w:r w:rsidR="00FA3933" w:rsidRPr="00D15956">
        <w:rPr>
          <w:rFonts w:ascii="Arial" w:hAnsi="Arial" w:cs="Arial"/>
        </w:rPr>
        <w:t xml:space="preserve"> </w:t>
      </w:r>
      <w:r w:rsidR="00D93ADB" w:rsidRPr="00D15956">
        <w:rPr>
          <w:rFonts w:ascii="Arial" w:hAnsi="Arial" w:cs="Arial"/>
        </w:rPr>
        <w:t xml:space="preserve">is </w:t>
      </w:r>
      <w:r w:rsidR="003945F5" w:rsidRPr="00D15956">
        <w:rPr>
          <w:rFonts w:ascii="Arial" w:hAnsi="Arial" w:cs="Arial"/>
        </w:rPr>
        <w:t>ind</w:t>
      </w:r>
      <w:r w:rsidR="008B231F" w:rsidRPr="00D15956">
        <w:rPr>
          <w:rFonts w:ascii="Arial" w:hAnsi="Arial" w:cs="Arial"/>
        </w:rPr>
        <w:t>ubitably</w:t>
      </w:r>
      <w:r w:rsidR="003945F5" w:rsidRPr="00D15956">
        <w:rPr>
          <w:rFonts w:ascii="Arial" w:hAnsi="Arial" w:cs="Arial"/>
        </w:rPr>
        <w:t xml:space="preserve"> </w:t>
      </w:r>
      <w:r w:rsidR="003E7023" w:rsidRPr="00D15956">
        <w:rPr>
          <w:rFonts w:ascii="Arial" w:hAnsi="Arial" w:cs="Arial"/>
        </w:rPr>
        <w:t xml:space="preserve">valid </w:t>
      </w:r>
      <w:r w:rsidR="00D93ADB" w:rsidRPr="00D15956">
        <w:rPr>
          <w:rFonts w:ascii="Arial" w:hAnsi="Arial" w:cs="Arial"/>
        </w:rPr>
        <w:t xml:space="preserve">and </w:t>
      </w:r>
      <w:r w:rsidR="008B231F" w:rsidRPr="00D15956">
        <w:rPr>
          <w:rFonts w:ascii="Arial" w:hAnsi="Arial" w:cs="Arial"/>
        </w:rPr>
        <w:t>that it</w:t>
      </w:r>
      <w:r w:rsidR="00ED0C71" w:rsidRPr="00D15956">
        <w:rPr>
          <w:rFonts w:ascii="Arial" w:hAnsi="Arial" w:cs="Arial"/>
        </w:rPr>
        <w:t xml:space="preserve"> has </w:t>
      </w:r>
      <w:r w:rsidR="003E7023" w:rsidRPr="00D15956">
        <w:rPr>
          <w:rFonts w:ascii="Arial" w:hAnsi="Arial" w:cs="Arial"/>
        </w:rPr>
        <w:t xml:space="preserve">remained so </w:t>
      </w:r>
      <w:r w:rsidR="00D93ADB" w:rsidRPr="00D15956">
        <w:rPr>
          <w:rFonts w:ascii="Arial" w:hAnsi="Arial" w:cs="Arial"/>
        </w:rPr>
        <w:t>at all material</w:t>
      </w:r>
      <w:r w:rsidR="00ED0C71" w:rsidRPr="00D15956">
        <w:rPr>
          <w:rFonts w:ascii="Arial" w:hAnsi="Arial" w:cs="Arial"/>
        </w:rPr>
        <w:t xml:space="preserve"> times</w:t>
      </w:r>
      <w:r w:rsidR="00311EC9" w:rsidRPr="00D15956">
        <w:rPr>
          <w:rFonts w:ascii="Arial" w:hAnsi="Arial" w:cs="Arial"/>
        </w:rPr>
        <w:t xml:space="preserve"> – this is </w:t>
      </w:r>
      <w:r w:rsidR="004239FD" w:rsidRPr="00D15956">
        <w:rPr>
          <w:rFonts w:ascii="Arial" w:hAnsi="Arial" w:cs="Arial"/>
        </w:rPr>
        <w:t xml:space="preserve">simply </w:t>
      </w:r>
      <w:r w:rsidR="00311EC9" w:rsidRPr="00D15956">
        <w:rPr>
          <w:rFonts w:ascii="Arial" w:hAnsi="Arial" w:cs="Arial"/>
        </w:rPr>
        <w:t xml:space="preserve">a bridge </w:t>
      </w:r>
      <w:r w:rsidR="00FC0B56" w:rsidRPr="00D15956">
        <w:rPr>
          <w:rFonts w:ascii="Arial" w:hAnsi="Arial" w:cs="Arial"/>
        </w:rPr>
        <w:t>too far.</w:t>
      </w:r>
    </w:p>
    <w:p w14:paraId="7A080373" w14:textId="54364F7F" w:rsidR="00681380" w:rsidRPr="00D15956" w:rsidRDefault="00D15956" w:rsidP="00D15956">
      <w:pPr>
        <w:spacing w:line="480" w:lineRule="auto"/>
        <w:ind w:left="720" w:right="28"/>
        <w:rPr>
          <w:rFonts w:ascii="Arial" w:hAnsi="Arial" w:cs="Arial"/>
        </w:rPr>
      </w:pPr>
      <w:r w:rsidRPr="00714E74">
        <w:rPr>
          <w:rFonts w:ascii="Arial" w:hAnsi="Arial" w:cs="Arial"/>
        </w:rPr>
        <w:t>[45].</w:t>
      </w:r>
      <w:r w:rsidRPr="00714E74">
        <w:rPr>
          <w:rFonts w:ascii="Arial" w:hAnsi="Arial" w:cs="Arial"/>
        </w:rPr>
        <w:tab/>
      </w:r>
      <w:r w:rsidR="00051851" w:rsidRPr="00D15956">
        <w:rPr>
          <w:rFonts w:ascii="Arial" w:hAnsi="Arial" w:cs="Arial"/>
        </w:rPr>
        <w:t>In any event, I</w:t>
      </w:r>
      <w:r w:rsidR="00623D6E" w:rsidRPr="00D15956">
        <w:rPr>
          <w:rFonts w:ascii="Arial" w:hAnsi="Arial" w:cs="Arial"/>
        </w:rPr>
        <w:t xml:space="preserve"> am</w:t>
      </w:r>
      <w:r w:rsidR="00051851" w:rsidRPr="00D15956">
        <w:rPr>
          <w:rFonts w:ascii="Arial" w:hAnsi="Arial" w:cs="Arial"/>
        </w:rPr>
        <w:t xml:space="preserve"> disinclined</w:t>
      </w:r>
      <w:r w:rsidR="00623D6E" w:rsidRPr="00D15956">
        <w:rPr>
          <w:rFonts w:ascii="Arial" w:hAnsi="Arial" w:cs="Arial"/>
        </w:rPr>
        <w:t xml:space="preserve"> to accept that Ms Sempe’s </w:t>
      </w:r>
      <w:r w:rsidR="00B96498" w:rsidRPr="00D15956">
        <w:rPr>
          <w:rFonts w:ascii="Arial" w:hAnsi="Arial" w:cs="Arial"/>
        </w:rPr>
        <w:t>‘</w:t>
      </w:r>
      <w:r w:rsidR="00B96498" w:rsidRPr="00D15956">
        <w:rPr>
          <w:rFonts w:ascii="Arial" w:hAnsi="Arial" w:cs="Arial"/>
          <w:i/>
          <w:iCs/>
        </w:rPr>
        <w:t>concession</w:t>
      </w:r>
      <w:r w:rsidR="00B96498" w:rsidRPr="00D15956">
        <w:rPr>
          <w:rFonts w:ascii="Arial" w:hAnsi="Arial" w:cs="Arial"/>
        </w:rPr>
        <w:t>’</w:t>
      </w:r>
      <w:r w:rsidR="003934E2" w:rsidRPr="00D15956">
        <w:rPr>
          <w:rFonts w:ascii="Arial" w:hAnsi="Arial" w:cs="Arial"/>
        </w:rPr>
        <w:t xml:space="preserve"> can give rise to </w:t>
      </w:r>
      <w:r w:rsidR="00D83608" w:rsidRPr="00D15956">
        <w:rPr>
          <w:rFonts w:ascii="Arial" w:hAnsi="Arial" w:cs="Arial"/>
        </w:rPr>
        <w:t>a situation that can relieve</w:t>
      </w:r>
      <w:r w:rsidR="00865377" w:rsidRPr="00D15956">
        <w:rPr>
          <w:rFonts w:ascii="Arial" w:hAnsi="Arial" w:cs="Arial"/>
        </w:rPr>
        <w:t xml:space="preserve"> Rise </w:t>
      </w:r>
      <w:r w:rsidR="00D83608" w:rsidRPr="00D15956">
        <w:rPr>
          <w:rFonts w:ascii="Arial" w:hAnsi="Arial" w:cs="Arial"/>
        </w:rPr>
        <w:t>Security</w:t>
      </w:r>
      <w:r w:rsidR="00865377" w:rsidRPr="00D15956">
        <w:rPr>
          <w:rFonts w:ascii="Arial" w:hAnsi="Arial" w:cs="Arial"/>
        </w:rPr>
        <w:t xml:space="preserve"> from its </w:t>
      </w:r>
      <w:r w:rsidR="00AB38EF" w:rsidRPr="00D15956">
        <w:rPr>
          <w:rFonts w:ascii="Arial" w:hAnsi="Arial" w:cs="Arial"/>
        </w:rPr>
        <w:t>obligation to have alleged and proved a complete (perfected) cause of action</w:t>
      </w:r>
      <w:r w:rsidR="00C410CE" w:rsidRPr="00D15956">
        <w:rPr>
          <w:rFonts w:ascii="Arial" w:hAnsi="Arial" w:cs="Arial"/>
        </w:rPr>
        <w:t>.</w:t>
      </w:r>
    </w:p>
    <w:p w14:paraId="02FBAFFB" w14:textId="128DFDF9" w:rsidR="00FC0B56" w:rsidRPr="004D10D2" w:rsidRDefault="00FC0B56" w:rsidP="00714E74">
      <w:pPr>
        <w:spacing w:line="480" w:lineRule="auto"/>
        <w:ind w:left="0" w:right="28" w:firstLine="0"/>
        <w:rPr>
          <w:rFonts w:ascii="Arial" w:hAnsi="Arial" w:cs="Arial"/>
          <w:b/>
        </w:rPr>
      </w:pPr>
      <w:bookmarkStart w:id="45" w:name="_Hlk152686427"/>
      <w:r w:rsidRPr="004D10D2">
        <w:rPr>
          <w:rFonts w:ascii="Arial" w:hAnsi="Arial" w:cs="Arial"/>
          <w:b/>
          <w:u w:val="single"/>
        </w:rPr>
        <w:t>Rise Security’s second submission in paragraph 30.2 above</w:t>
      </w:r>
      <w:r w:rsidRPr="004D10D2">
        <w:rPr>
          <w:rFonts w:ascii="Arial" w:hAnsi="Arial" w:cs="Arial"/>
          <w:b/>
        </w:rPr>
        <w:t>:</w:t>
      </w:r>
      <w:bookmarkEnd w:id="45"/>
    </w:p>
    <w:p w14:paraId="5382EF03" w14:textId="0E7DFBB8" w:rsidR="00FC0B56" w:rsidRPr="00D15956" w:rsidRDefault="00D15956" w:rsidP="00D15956">
      <w:pPr>
        <w:ind w:left="720" w:right="28"/>
        <w:rPr>
          <w:rFonts w:ascii="Arial" w:hAnsi="Arial" w:cs="Arial"/>
        </w:rPr>
      </w:pPr>
      <w:r w:rsidRPr="004D10D2">
        <w:rPr>
          <w:rFonts w:ascii="Arial" w:hAnsi="Arial" w:cs="Arial"/>
        </w:rPr>
        <w:t>[46].</w:t>
      </w:r>
      <w:r w:rsidRPr="004D10D2">
        <w:rPr>
          <w:rFonts w:ascii="Arial" w:hAnsi="Arial" w:cs="Arial"/>
        </w:rPr>
        <w:tab/>
      </w:r>
      <w:r w:rsidR="001D4153" w:rsidRPr="00D15956">
        <w:rPr>
          <w:rFonts w:ascii="Arial" w:hAnsi="Arial" w:cs="Arial"/>
        </w:rPr>
        <w:t xml:space="preserve">I agree with counsel that </w:t>
      </w:r>
      <w:r w:rsidR="00C410CE" w:rsidRPr="00D15956">
        <w:rPr>
          <w:rFonts w:ascii="Arial" w:hAnsi="Arial" w:cs="Arial"/>
        </w:rPr>
        <w:t xml:space="preserve">an estate agent’s agreement of mandate </w:t>
      </w:r>
      <w:r w:rsidR="00B24F84" w:rsidRPr="00D15956">
        <w:rPr>
          <w:rFonts w:ascii="Arial" w:hAnsi="Arial" w:cs="Arial"/>
        </w:rPr>
        <w:t>remains valid</w:t>
      </w:r>
      <w:r w:rsidR="004B12F0" w:rsidRPr="00D15956">
        <w:rPr>
          <w:rFonts w:ascii="Arial" w:hAnsi="Arial" w:cs="Arial"/>
        </w:rPr>
        <w:t xml:space="preserve"> </w:t>
      </w:r>
      <w:r w:rsidR="00AB178A" w:rsidRPr="00D15956">
        <w:rPr>
          <w:rFonts w:ascii="Arial" w:hAnsi="Arial" w:cs="Arial"/>
        </w:rPr>
        <w:t xml:space="preserve">notwithstanding the fact that the </w:t>
      </w:r>
      <w:r w:rsidR="004B12F0" w:rsidRPr="00D15956">
        <w:rPr>
          <w:rFonts w:ascii="Arial" w:hAnsi="Arial" w:cs="Arial"/>
        </w:rPr>
        <w:t>agent perform</w:t>
      </w:r>
      <w:r w:rsidR="00AB178A" w:rsidRPr="00D15956">
        <w:rPr>
          <w:rFonts w:ascii="Arial" w:hAnsi="Arial" w:cs="Arial"/>
        </w:rPr>
        <w:t>ed</w:t>
      </w:r>
      <w:r w:rsidR="004B12F0" w:rsidRPr="00D15956">
        <w:rPr>
          <w:rFonts w:ascii="Arial" w:hAnsi="Arial" w:cs="Arial"/>
        </w:rPr>
        <w:t xml:space="preserve"> an act in breach of s</w:t>
      </w:r>
      <w:r w:rsidR="004D10D2" w:rsidRPr="00D15956">
        <w:rPr>
          <w:rFonts w:ascii="Arial" w:hAnsi="Arial" w:cs="Arial"/>
        </w:rPr>
        <w:t xml:space="preserve"> </w:t>
      </w:r>
      <w:r w:rsidR="004B12F0" w:rsidRPr="00D15956">
        <w:rPr>
          <w:rFonts w:ascii="Arial" w:hAnsi="Arial" w:cs="Arial"/>
        </w:rPr>
        <w:t xml:space="preserve">26 of the </w:t>
      </w:r>
      <w:r w:rsidR="0076441F" w:rsidRPr="00D15956">
        <w:rPr>
          <w:rFonts w:ascii="Arial" w:hAnsi="Arial" w:cs="Arial"/>
        </w:rPr>
        <w:t>Estate Agency Affairs Act 112 of 1976</w:t>
      </w:r>
      <w:r w:rsidR="00AF421A" w:rsidRPr="00D15956">
        <w:rPr>
          <w:rFonts w:ascii="Arial" w:hAnsi="Arial" w:cs="Arial"/>
        </w:rPr>
        <w:t xml:space="preserve">, i.e., in the absence of a </w:t>
      </w:r>
      <w:r w:rsidR="004B12F0" w:rsidRPr="00D15956">
        <w:rPr>
          <w:rFonts w:ascii="Arial" w:hAnsi="Arial" w:cs="Arial"/>
        </w:rPr>
        <w:t>fidelity fund certificate having been issued to him or her.</w:t>
      </w:r>
      <w:r w:rsidR="004D10D2" w:rsidRPr="00D15956">
        <w:rPr>
          <w:rFonts w:ascii="Arial" w:hAnsi="Arial" w:cs="Arial"/>
        </w:rPr>
        <w:t xml:space="preserve"> </w:t>
      </w:r>
      <w:r w:rsidR="00083F90" w:rsidRPr="00D15956">
        <w:rPr>
          <w:rFonts w:ascii="Arial" w:hAnsi="Arial" w:cs="Arial"/>
        </w:rPr>
        <w:t>T</w:t>
      </w:r>
      <w:r w:rsidR="00485063" w:rsidRPr="00D15956">
        <w:rPr>
          <w:rFonts w:ascii="Arial" w:hAnsi="Arial" w:cs="Arial"/>
        </w:rPr>
        <w:t xml:space="preserve">hat situation is quite distinguishable from the present one.  </w:t>
      </w:r>
      <w:r w:rsidR="00083F90" w:rsidRPr="00D15956">
        <w:rPr>
          <w:rFonts w:ascii="Arial" w:hAnsi="Arial" w:cs="Arial"/>
        </w:rPr>
        <w:t xml:space="preserve">The reference to </w:t>
      </w:r>
      <w:r w:rsidR="00083F90" w:rsidRPr="00D15956">
        <w:rPr>
          <w:rFonts w:ascii="Arial" w:hAnsi="Arial" w:cs="Arial"/>
          <w:b/>
          <w:bCs/>
          <w:i/>
          <w:iCs/>
        </w:rPr>
        <w:t>Taljaard’s</w:t>
      </w:r>
      <w:r w:rsidR="00083F90" w:rsidRPr="00D15956">
        <w:rPr>
          <w:rFonts w:ascii="Arial" w:hAnsi="Arial" w:cs="Arial"/>
        </w:rPr>
        <w:t xml:space="preserve"> case</w:t>
      </w:r>
      <w:r w:rsidR="00083F90" w:rsidRPr="004D10D2">
        <w:rPr>
          <w:rStyle w:val="FootnoteReference"/>
          <w:rFonts w:ascii="Arial" w:hAnsi="Arial" w:cs="Arial"/>
        </w:rPr>
        <w:footnoteReference w:id="49"/>
      </w:r>
      <w:r w:rsidR="00083F90" w:rsidRPr="00D15956">
        <w:rPr>
          <w:rFonts w:ascii="Arial" w:hAnsi="Arial" w:cs="Arial"/>
        </w:rPr>
        <w:t xml:space="preserve"> </w:t>
      </w:r>
      <w:r w:rsidR="00A223C9" w:rsidRPr="00D15956">
        <w:rPr>
          <w:rFonts w:ascii="Arial" w:hAnsi="Arial" w:cs="Arial"/>
        </w:rPr>
        <w:t>is of no assistance in t</w:t>
      </w:r>
      <w:r w:rsidR="00485063" w:rsidRPr="00D15956">
        <w:rPr>
          <w:rFonts w:ascii="Arial" w:hAnsi="Arial" w:cs="Arial"/>
        </w:rPr>
        <w:t>he present instance</w:t>
      </w:r>
      <w:r w:rsidR="00A223C9" w:rsidRPr="00D15956">
        <w:rPr>
          <w:rFonts w:ascii="Arial" w:hAnsi="Arial" w:cs="Arial"/>
        </w:rPr>
        <w:t xml:space="preserve">.  </w:t>
      </w:r>
      <w:r w:rsidR="00D72183" w:rsidRPr="00D15956">
        <w:rPr>
          <w:rFonts w:ascii="Arial" w:hAnsi="Arial" w:cs="Arial"/>
        </w:rPr>
        <w:t>A</w:t>
      </w:r>
      <w:r w:rsidR="004D10D2" w:rsidRPr="00D15956">
        <w:rPr>
          <w:rFonts w:ascii="Arial" w:hAnsi="Arial" w:cs="Arial"/>
        </w:rPr>
        <w:t xml:space="preserve"> </w:t>
      </w:r>
      <w:r w:rsidR="0059643B" w:rsidRPr="00D15956">
        <w:rPr>
          <w:rFonts w:ascii="Arial" w:hAnsi="Arial" w:cs="Arial"/>
        </w:rPr>
        <w:t>security provider, who is not registered in terms of PSIRA</w:t>
      </w:r>
      <w:r w:rsidR="00DD0777" w:rsidRPr="00D15956">
        <w:rPr>
          <w:rFonts w:ascii="Arial" w:hAnsi="Arial" w:cs="Arial"/>
        </w:rPr>
        <w:t>, cannot enter into a valid security contract</w:t>
      </w:r>
      <w:r w:rsidR="00C0342E" w:rsidRPr="00D15956">
        <w:rPr>
          <w:rFonts w:ascii="Arial" w:hAnsi="Arial" w:cs="Arial"/>
        </w:rPr>
        <w:t>.</w:t>
      </w:r>
      <w:r w:rsidR="00C0342E" w:rsidRPr="004D10D2">
        <w:rPr>
          <w:rStyle w:val="FootnoteReference"/>
          <w:rFonts w:ascii="Arial" w:hAnsi="Arial" w:cs="Arial"/>
        </w:rPr>
        <w:footnoteReference w:id="50"/>
      </w:r>
      <w:r w:rsidR="00C0342E" w:rsidRPr="00D15956">
        <w:rPr>
          <w:rFonts w:ascii="Arial" w:hAnsi="Arial" w:cs="Arial"/>
        </w:rPr>
        <w:t xml:space="preserve">  </w:t>
      </w:r>
    </w:p>
    <w:p w14:paraId="042BEB7C" w14:textId="6759FA52" w:rsidR="00D72183" w:rsidRPr="004D10D2" w:rsidRDefault="00D72183" w:rsidP="008F78A1">
      <w:pPr>
        <w:ind w:left="0" w:right="28" w:firstLine="0"/>
        <w:rPr>
          <w:rFonts w:ascii="Arial" w:hAnsi="Arial" w:cs="Arial"/>
          <w:b/>
        </w:rPr>
      </w:pPr>
      <w:r w:rsidRPr="004D10D2">
        <w:rPr>
          <w:rFonts w:ascii="Arial" w:hAnsi="Arial" w:cs="Arial"/>
          <w:b/>
          <w:u w:val="single"/>
        </w:rPr>
        <w:t>Rise Security’s third submission in paragraph 30.3 above</w:t>
      </w:r>
      <w:r w:rsidRPr="004D10D2">
        <w:rPr>
          <w:rFonts w:ascii="Arial" w:hAnsi="Arial" w:cs="Arial"/>
          <w:b/>
        </w:rPr>
        <w:t>:</w:t>
      </w:r>
    </w:p>
    <w:p w14:paraId="4A005531" w14:textId="7B67FF5A" w:rsidR="00D72183" w:rsidRPr="00D15956" w:rsidRDefault="00D15956" w:rsidP="00D15956">
      <w:pPr>
        <w:spacing w:line="480" w:lineRule="auto"/>
        <w:ind w:left="720" w:right="28"/>
        <w:rPr>
          <w:rFonts w:ascii="Times New Roman" w:hAnsi="Times New Roman"/>
        </w:rPr>
      </w:pPr>
      <w:r w:rsidRPr="00DE5CDA">
        <w:rPr>
          <w:rFonts w:ascii="Arial" w:hAnsi="Arial" w:cs="Arial"/>
        </w:rPr>
        <w:t>[47].</w:t>
      </w:r>
      <w:r w:rsidRPr="00DE5CDA">
        <w:rPr>
          <w:rFonts w:ascii="Arial" w:hAnsi="Arial" w:cs="Arial"/>
        </w:rPr>
        <w:tab/>
      </w:r>
      <w:r w:rsidR="002D4966" w:rsidRPr="00D15956">
        <w:rPr>
          <w:rFonts w:ascii="Arial" w:hAnsi="Arial" w:cs="Arial"/>
        </w:rPr>
        <w:t>As I understood Mr Steenkamp’s argument, the latter submission</w:t>
      </w:r>
      <w:r w:rsidR="00F87530" w:rsidRPr="00D15956">
        <w:rPr>
          <w:rFonts w:ascii="Arial" w:hAnsi="Arial" w:cs="Arial"/>
        </w:rPr>
        <w:t xml:space="preserve"> was actually a precursor to his fourth submission, which I dealt with a little earlier.  </w:t>
      </w:r>
      <w:r w:rsidR="007469B6" w:rsidRPr="00D15956">
        <w:rPr>
          <w:rFonts w:ascii="Arial" w:hAnsi="Arial" w:cs="Arial"/>
        </w:rPr>
        <w:t xml:space="preserve">In other words, what counsel submitted in connection with the third submission was that </w:t>
      </w:r>
      <w:r w:rsidR="007469B6" w:rsidRPr="00D15956">
        <w:rPr>
          <w:rFonts w:ascii="Arial" w:hAnsi="Arial" w:cs="Arial"/>
        </w:rPr>
        <w:lastRenderedPageBreak/>
        <w:t>the parties themselves</w:t>
      </w:r>
      <w:r w:rsidR="00714E74" w:rsidRPr="00D15956">
        <w:rPr>
          <w:rFonts w:ascii="Arial" w:hAnsi="Arial" w:cs="Arial"/>
        </w:rPr>
        <w:t xml:space="preserve"> should define their disputes. </w:t>
      </w:r>
      <w:r w:rsidR="00CE33DF" w:rsidRPr="00D15956">
        <w:rPr>
          <w:rFonts w:ascii="Arial" w:hAnsi="Arial" w:cs="Arial"/>
        </w:rPr>
        <w:t>That, of course, is generally true.  The cases cited by him</w:t>
      </w:r>
      <w:r w:rsidR="00425021" w:rsidRPr="00D15956">
        <w:rPr>
          <w:rFonts w:ascii="Arial" w:hAnsi="Arial" w:cs="Arial"/>
        </w:rPr>
        <w:t xml:space="preserve"> in support of this argument, one cannot quibble with.  Perhaps, it would have been better for the NYDA</w:t>
      </w:r>
      <w:r w:rsidR="002005A6" w:rsidRPr="00D15956">
        <w:rPr>
          <w:rFonts w:ascii="Arial" w:hAnsi="Arial" w:cs="Arial"/>
        </w:rPr>
        <w:t xml:space="preserve"> to have taken an exception against Rise Security’s</w:t>
      </w:r>
      <w:r w:rsidR="002005A6" w:rsidRPr="00D15956">
        <w:rPr>
          <w:rFonts w:ascii="Times New Roman" w:hAnsi="Times New Roman"/>
        </w:rPr>
        <w:t xml:space="preserve"> </w:t>
      </w:r>
      <w:r w:rsidR="002005A6" w:rsidRPr="00D15956">
        <w:rPr>
          <w:rFonts w:ascii="Arial" w:hAnsi="Arial" w:cs="Arial"/>
        </w:rPr>
        <w:t xml:space="preserve">particulars of claim.  </w:t>
      </w:r>
      <w:r w:rsidR="00ED7D71" w:rsidRPr="00D15956">
        <w:rPr>
          <w:rFonts w:ascii="Arial" w:hAnsi="Arial" w:cs="Arial"/>
        </w:rPr>
        <w:t>But that did not happen, and the question then arose was whether or not I could</w:t>
      </w:r>
      <w:r w:rsidR="005077FE" w:rsidRPr="00D15956">
        <w:rPr>
          <w:rFonts w:ascii="Arial" w:hAnsi="Arial" w:cs="Arial"/>
        </w:rPr>
        <w:t xml:space="preserve"> </w:t>
      </w:r>
      <w:r w:rsidR="005077FE" w:rsidRPr="00D15956">
        <w:rPr>
          <w:rFonts w:ascii="Arial" w:hAnsi="Arial" w:cs="Arial"/>
          <w:i/>
          <w:iCs/>
        </w:rPr>
        <w:t>mero motu</w:t>
      </w:r>
      <w:r w:rsidR="00C04AD0" w:rsidRPr="00D15956">
        <w:rPr>
          <w:rFonts w:ascii="Arial" w:hAnsi="Arial" w:cs="Arial"/>
          <w:iCs/>
        </w:rPr>
        <w:t xml:space="preserve"> raise </w:t>
      </w:r>
      <w:r w:rsidR="004D10D2" w:rsidRPr="00D15956">
        <w:rPr>
          <w:rFonts w:ascii="Arial" w:hAnsi="Arial" w:cs="Arial"/>
          <w:iCs/>
        </w:rPr>
        <w:t xml:space="preserve">the registration issue or not. </w:t>
      </w:r>
      <w:r w:rsidR="00C04AD0" w:rsidRPr="00D15956">
        <w:rPr>
          <w:rFonts w:ascii="Arial" w:hAnsi="Arial" w:cs="Arial"/>
          <w:iCs/>
        </w:rPr>
        <w:t>Having concluded that I am entitled, in this particular instance, to have done so</w:t>
      </w:r>
      <w:r w:rsidR="00DE5CDA" w:rsidRPr="00D15956">
        <w:rPr>
          <w:rFonts w:ascii="Arial" w:hAnsi="Arial" w:cs="Arial"/>
          <w:iCs/>
        </w:rPr>
        <w:t xml:space="preserve"> the third submission falls away.</w:t>
      </w:r>
    </w:p>
    <w:p w14:paraId="197FB00C" w14:textId="65FBBAC3" w:rsidR="00DE5CDA" w:rsidRPr="004D10D2" w:rsidRDefault="009A59E4" w:rsidP="00714E74">
      <w:pPr>
        <w:spacing w:before="0" w:after="160" w:line="480" w:lineRule="auto"/>
        <w:ind w:left="0" w:right="0" w:firstLine="0"/>
        <w:jc w:val="left"/>
        <w:rPr>
          <w:rFonts w:ascii="Times New Roman" w:hAnsi="Times New Roman"/>
          <w:b/>
          <w:bCs/>
        </w:rPr>
      </w:pPr>
      <w:r w:rsidRPr="002A4C3F">
        <w:rPr>
          <w:rFonts w:ascii="Arial" w:hAnsi="Arial" w:cs="Arial"/>
          <w:b/>
          <w:u w:val="single"/>
        </w:rPr>
        <w:t xml:space="preserve">CONCLUSION </w:t>
      </w:r>
    </w:p>
    <w:p w14:paraId="65B2E910" w14:textId="0BAB1218" w:rsidR="003C40B5" w:rsidRPr="00D15956" w:rsidRDefault="00D15956" w:rsidP="00D15956">
      <w:pPr>
        <w:spacing w:line="480" w:lineRule="auto"/>
        <w:ind w:left="720" w:right="28"/>
        <w:rPr>
          <w:rFonts w:ascii="Arial" w:hAnsi="Arial" w:cs="Arial"/>
        </w:rPr>
      </w:pPr>
      <w:r>
        <w:rPr>
          <w:rFonts w:ascii="Arial" w:hAnsi="Arial" w:cs="Arial"/>
        </w:rPr>
        <w:t>[48].</w:t>
      </w:r>
      <w:r>
        <w:rPr>
          <w:rFonts w:ascii="Arial" w:hAnsi="Arial" w:cs="Arial"/>
        </w:rPr>
        <w:tab/>
      </w:r>
      <w:r w:rsidR="009A59E4" w:rsidRPr="00D15956">
        <w:rPr>
          <w:rFonts w:ascii="Arial" w:hAnsi="Arial" w:cs="Arial"/>
        </w:rPr>
        <w:t>For all thes</w:t>
      </w:r>
      <w:r w:rsidR="0074516A" w:rsidRPr="00D15956">
        <w:rPr>
          <w:rFonts w:ascii="Arial" w:hAnsi="Arial" w:cs="Arial"/>
        </w:rPr>
        <w:t xml:space="preserve">e reasons, I am not prepared to enter summary judgment for </w:t>
      </w:r>
      <w:r w:rsidR="00606867" w:rsidRPr="00D15956">
        <w:rPr>
          <w:rFonts w:ascii="Arial" w:hAnsi="Arial" w:cs="Arial"/>
        </w:rPr>
        <w:t xml:space="preserve">Rise Security (i.e., </w:t>
      </w:r>
      <w:r w:rsidR="0074516A" w:rsidRPr="00D15956">
        <w:rPr>
          <w:rFonts w:ascii="Arial" w:hAnsi="Arial" w:cs="Arial"/>
        </w:rPr>
        <w:t>the plaintiff</w:t>
      </w:r>
      <w:r w:rsidR="00606867" w:rsidRPr="00D15956">
        <w:rPr>
          <w:rFonts w:ascii="Arial" w:hAnsi="Arial" w:cs="Arial"/>
        </w:rPr>
        <w:t>)</w:t>
      </w:r>
      <w:r w:rsidR="002B6BDC" w:rsidRPr="00D15956">
        <w:rPr>
          <w:rFonts w:ascii="Arial" w:hAnsi="Arial" w:cs="Arial"/>
        </w:rPr>
        <w:t xml:space="preserve"> </w:t>
      </w:r>
      <w:r w:rsidR="00AD2C81" w:rsidRPr="00D15956">
        <w:rPr>
          <w:rFonts w:ascii="Arial" w:hAnsi="Arial" w:cs="Arial"/>
        </w:rPr>
        <w:t xml:space="preserve">against the NYDA (i.e., the defendant) </w:t>
      </w:r>
      <w:r w:rsidR="00C365AF" w:rsidRPr="00D15956">
        <w:rPr>
          <w:rFonts w:ascii="Arial" w:hAnsi="Arial" w:cs="Arial"/>
        </w:rPr>
        <w:t xml:space="preserve">due to </w:t>
      </w:r>
      <w:r w:rsidR="00AD2C81" w:rsidRPr="00D15956">
        <w:rPr>
          <w:rFonts w:ascii="Arial" w:hAnsi="Arial" w:cs="Arial"/>
        </w:rPr>
        <w:t>the former’s</w:t>
      </w:r>
      <w:r w:rsidR="00C365AF" w:rsidRPr="00D15956">
        <w:rPr>
          <w:rFonts w:ascii="Arial" w:hAnsi="Arial" w:cs="Arial"/>
        </w:rPr>
        <w:t xml:space="preserve"> failure to plead a complete (perfected) cause of action</w:t>
      </w:r>
      <w:r w:rsidR="00381A70" w:rsidRPr="00D15956">
        <w:rPr>
          <w:rFonts w:ascii="Arial" w:hAnsi="Arial" w:cs="Arial"/>
        </w:rPr>
        <w:t xml:space="preserve">.  </w:t>
      </w:r>
      <w:r w:rsidR="00B967B3" w:rsidRPr="00D15956">
        <w:rPr>
          <w:rFonts w:ascii="Arial" w:hAnsi="Arial" w:cs="Arial"/>
        </w:rPr>
        <w:t xml:space="preserve">As such, the </w:t>
      </w:r>
      <w:r w:rsidR="00C745FD" w:rsidRPr="00D15956">
        <w:rPr>
          <w:rFonts w:ascii="Arial" w:hAnsi="Arial" w:cs="Arial"/>
        </w:rPr>
        <w:t>incomplete</w:t>
      </w:r>
      <w:r w:rsidR="00381A70" w:rsidRPr="00D15956">
        <w:rPr>
          <w:rFonts w:ascii="Arial" w:hAnsi="Arial" w:cs="Arial"/>
        </w:rPr>
        <w:t xml:space="preserve"> </w:t>
      </w:r>
      <w:r w:rsidR="00B967B3" w:rsidRPr="00D15956">
        <w:rPr>
          <w:rFonts w:ascii="Arial" w:hAnsi="Arial" w:cs="Arial"/>
        </w:rPr>
        <w:t xml:space="preserve">cause of action </w:t>
      </w:r>
      <w:r w:rsidR="00BD525A" w:rsidRPr="00D15956">
        <w:rPr>
          <w:rFonts w:ascii="Arial" w:hAnsi="Arial" w:cs="Arial"/>
        </w:rPr>
        <w:t xml:space="preserve">also </w:t>
      </w:r>
      <w:r w:rsidR="00B967B3" w:rsidRPr="00D15956">
        <w:rPr>
          <w:rFonts w:ascii="Arial" w:hAnsi="Arial" w:cs="Arial"/>
        </w:rPr>
        <w:t>could not</w:t>
      </w:r>
      <w:r w:rsidR="00726A7A" w:rsidRPr="00D15956">
        <w:rPr>
          <w:rFonts w:ascii="Arial" w:hAnsi="Arial" w:cs="Arial"/>
        </w:rPr>
        <w:t xml:space="preserve"> have</w:t>
      </w:r>
      <w:r w:rsidR="00B967B3" w:rsidRPr="00D15956">
        <w:rPr>
          <w:rFonts w:ascii="Arial" w:hAnsi="Arial" w:cs="Arial"/>
        </w:rPr>
        <w:t xml:space="preserve"> be</w:t>
      </w:r>
      <w:r w:rsidR="00726A7A" w:rsidRPr="00D15956">
        <w:rPr>
          <w:rFonts w:ascii="Arial" w:hAnsi="Arial" w:cs="Arial"/>
        </w:rPr>
        <w:t>en</w:t>
      </w:r>
      <w:r w:rsidR="00B967B3" w:rsidRPr="00D15956">
        <w:rPr>
          <w:rFonts w:ascii="Arial" w:hAnsi="Arial" w:cs="Arial"/>
        </w:rPr>
        <w:t xml:space="preserve"> verified </w:t>
      </w:r>
      <w:r w:rsidR="00BD525A" w:rsidRPr="00D15956">
        <w:rPr>
          <w:rFonts w:ascii="Arial" w:hAnsi="Arial" w:cs="Arial"/>
        </w:rPr>
        <w:t xml:space="preserve">by the deponent to the supporting affidavit. </w:t>
      </w:r>
      <w:r w:rsidR="0077107B" w:rsidRPr="00D15956">
        <w:rPr>
          <w:rFonts w:ascii="Arial" w:hAnsi="Arial" w:cs="Arial"/>
        </w:rPr>
        <w:t xml:space="preserve"> </w:t>
      </w:r>
      <w:r w:rsidR="00570437" w:rsidRPr="00D15956">
        <w:rPr>
          <w:rFonts w:ascii="Arial" w:hAnsi="Arial" w:cs="Arial"/>
        </w:rPr>
        <w:t xml:space="preserve">This </w:t>
      </w:r>
      <w:r w:rsidR="001017A8" w:rsidRPr="00D15956">
        <w:rPr>
          <w:rFonts w:ascii="Arial" w:hAnsi="Arial" w:cs="Arial"/>
        </w:rPr>
        <w:t xml:space="preserve">conclusion </w:t>
      </w:r>
      <w:r w:rsidR="00CA5178" w:rsidRPr="00D15956">
        <w:rPr>
          <w:rFonts w:ascii="Arial" w:hAnsi="Arial" w:cs="Arial"/>
        </w:rPr>
        <w:t xml:space="preserve">also </w:t>
      </w:r>
      <w:r w:rsidR="001017A8" w:rsidRPr="00D15956">
        <w:rPr>
          <w:rFonts w:ascii="Arial" w:hAnsi="Arial" w:cs="Arial"/>
        </w:rPr>
        <w:t xml:space="preserve">means that I am </w:t>
      </w:r>
      <w:r w:rsidR="00570437" w:rsidRPr="00D15956">
        <w:rPr>
          <w:rFonts w:ascii="Arial" w:hAnsi="Arial" w:cs="Arial"/>
        </w:rPr>
        <w:t xml:space="preserve">not satisfied that </w:t>
      </w:r>
      <w:r w:rsidR="001017A8" w:rsidRPr="00D15956">
        <w:rPr>
          <w:rFonts w:ascii="Arial" w:hAnsi="Arial" w:cs="Arial"/>
        </w:rPr>
        <w:t xml:space="preserve">Rise Security has an unanswerable case.  </w:t>
      </w:r>
      <w:r w:rsidR="004A6ED8" w:rsidRPr="00D15956">
        <w:rPr>
          <w:rFonts w:ascii="Arial" w:hAnsi="Arial" w:cs="Arial"/>
        </w:rPr>
        <w:t>In any event</w:t>
      </w:r>
      <w:r w:rsidR="00C83E4C" w:rsidRPr="00D15956">
        <w:rPr>
          <w:rFonts w:ascii="Arial" w:hAnsi="Arial" w:cs="Arial"/>
        </w:rPr>
        <w:t>, even if I were to be wrong in this</w:t>
      </w:r>
      <w:r w:rsidR="00BD525A" w:rsidRPr="00D15956">
        <w:rPr>
          <w:rFonts w:ascii="Arial" w:hAnsi="Arial" w:cs="Arial"/>
        </w:rPr>
        <w:t xml:space="preserve">, </w:t>
      </w:r>
      <w:r w:rsidR="00D47498" w:rsidRPr="00D15956">
        <w:rPr>
          <w:rFonts w:ascii="Arial" w:hAnsi="Arial" w:cs="Arial"/>
        </w:rPr>
        <w:t xml:space="preserve">I </w:t>
      </w:r>
      <w:r w:rsidR="00714D1E" w:rsidRPr="00D15956">
        <w:rPr>
          <w:rFonts w:ascii="Arial" w:hAnsi="Arial" w:cs="Arial"/>
        </w:rPr>
        <w:t xml:space="preserve">would </w:t>
      </w:r>
      <w:r w:rsidR="00AD2C81" w:rsidRPr="00D15956">
        <w:rPr>
          <w:rFonts w:ascii="Arial" w:hAnsi="Arial" w:cs="Arial"/>
        </w:rPr>
        <w:t xml:space="preserve">further </w:t>
      </w:r>
      <w:r w:rsidR="00611579" w:rsidRPr="00D15956">
        <w:rPr>
          <w:rFonts w:ascii="Arial" w:hAnsi="Arial" w:cs="Arial"/>
        </w:rPr>
        <w:t>exercise my discretion</w:t>
      </w:r>
      <w:r w:rsidR="00B80DA9">
        <w:rPr>
          <w:rStyle w:val="FootnoteReference"/>
          <w:rFonts w:ascii="Arial" w:hAnsi="Arial" w:cs="Arial"/>
        </w:rPr>
        <w:footnoteReference w:id="51"/>
      </w:r>
      <w:r w:rsidR="00226D67" w:rsidRPr="00D15956">
        <w:rPr>
          <w:rFonts w:ascii="Arial" w:hAnsi="Arial" w:cs="Arial"/>
        </w:rPr>
        <w:t xml:space="preserve"> against granting</w:t>
      </w:r>
      <w:r w:rsidR="00D52485" w:rsidRPr="00D15956">
        <w:rPr>
          <w:rFonts w:ascii="Arial" w:hAnsi="Arial" w:cs="Arial"/>
        </w:rPr>
        <w:t xml:space="preserve"> summary judgment </w:t>
      </w:r>
      <w:r w:rsidR="00CD299F" w:rsidRPr="00D15956">
        <w:rPr>
          <w:rFonts w:ascii="Arial" w:hAnsi="Arial" w:cs="Arial"/>
        </w:rPr>
        <w:t>against the defendant</w:t>
      </w:r>
      <w:r w:rsidR="00714D1E" w:rsidRPr="00D15956">
        <w:rPr>
          <w:rFonts w:ascii="Arial" w:hAnsi="Arial" w:cs="Arial"/>
        </w:rPr>
        <w:t>, as I her</w:t>
      </w:r>
      <w:r w:rsidR="007B1BDC" w:rsidRPr="00D15956">
        <w:rPr>
          <w:rFonts w:ascii="Arial" w:hAnsi="Arial" w:cs="Arial"/>
        </w:rPr>
        <w:t>e</w:t>
      </w:r>
      <w:r w:rsidR="00714D1E" w:rsidRPr="00D15956">
        <w:rPr>
          <w:rFonts w:ascii="Arial" w:hAnsi="Arial" w:cs="Arial"/>
        </w:rPr>
        <w:t>by do</w:t>
      </w:r>
      <w:r w:rsidR="007B1BDC" w:rsidRPr="00D15956">
        <w:rPr>
          <w:rFonts w:ascii="Arial" w:hAnsi="Arial" w:cs="Arial"/>
        </w:rPr>
        <w:t>,</w:t>
      </w:r>
      <w:r w:rsidR="00CA5178" w:rsidRPr="00D15956">
        <w:rPr>
          <w:rFonts w:ascii="Arial" w:hAnsi="Arial" w:cs="Arial"/>
        </w:rPr>
        <w:t xml:space="preserve"> </w:t>
      </w:r>
      <w:r w:rsidR="00AD2C81" w:rsidRPr="00D15956">
        <w:rPr>
          <w:rFonts w:ascii="Arial" w:hAnsi="Arial" w:cs="Arial"/>
        </w:rPr>
        <w:t xml:space="preserve">on the very grounds and for the same reasons </w:t>
      </w:r>
      <w:r w:rsidR="007B1534" w:rsidRPr="00D15956">
        <w:rPr>
          <w:rFonts w:ascii="Arial" w:hAnsi="Arial" w:cs="Arial"/>
        </w:rPr>
        <w:t xml:space="preserve">as those </w:t>
      </w:r>
      <w:r w:rsidR="00790022" w:rsidRPr="00D15956">
        <w:rPr>
          <w:rFonts w:ascii="Arial" w:hAnsi="Arial" w:cs="Arial"/>
        </w:rPr>
        <w:t>already articulated</w:t>
      </w:r>
      <w:r w:rsidR="007B1BDC" w:rsidRPr="00D15956">
        <w:rPr>
          <w:rFonts w:ascii="Arial" w:hAnsi="Arial" w:cs="Arial"/>
        </w:rPr>
        <w:t>, where</w:t>
      </w:r>
      <w:r w:rsidR="005F07AA" w:rsidRPr="00D15956">
        <w:rPr>
          <w:rFonts w:ascii="Arial" w:hAnsi="Arial" w:cs="Arial"/>
        </w:rPr>
        <w:t xml:space="preserve"> </w:t>
      </w:r>
      <w:r w:rsidR="002D0A57" w:rsidRPr="00D15956">
        <w:rPr>
          <w:rFonts w:ascii="Arial" w:hAnsi="Arial" w:cs="Arial"/>
        </w:rPr>
        <w:t xml:space="preserve">a reasonable possibility </w:t>
      </w:r>
      <w:r w:rsidR="003F6635" w:rsidRPr="00D15956">
        <w:rPr>
          <w:rFonts w:ascii="Arial" w:hAnsi="Arial" w:cs="Arial"/>
        </w:rPr>
        <w:t xml:space="preserve">distinctly </w:t>
      </w:r>
      <w:r w:rsidR="002D0A57" w:rsidRPr="00D15956">
        <w:rPr>
          <w:rFonts w:ascii="Arial" w:hAnsi="Arial" w:cs="Arial"/>
        </w:rPr>
        <w:t>exists</w:t>
      </w:r>
      <w:r w:rsidR="008D1D9F" w:rsidRPr="00D15956">
        <w:rPr>
          <w:rFonts w:ascii="Arial" w:hAnsi="Arial" w:cs="Arial"/>
        </w:rPr>
        <w:t xml:space="preserve"> that</w:t>
      </w:r>
      <w:r w:rsidR="00D94220" w:rsidRPr="00D15956">
        <w:rPr>
          <w:rFonts w:ascii="Arial" w:hAnsi="Arial" w:cs="Arial"/>
        </w:rPr>
        <w:t xml:space="preserve"> </w:t>
      </w:r>
      <w:r w:rsidR="00994A2E" w:rsidRPr="00D15956">
        <w:rPr>
          <w:rFonts w:ascii="Arial" w:hAnsi="Arial" w:cs="Arial"/>
        </w:rPr>
        <w:t xml:space="preserve">the granting </w:t>
      </w:r>
      <w:r w:rsidR="00C86AF6" w:rsidRPr="00D15956">
        <w:rPr>
          <w:rFonts w:ascii="Arial" w:hAnsi="Arial" w:cs="Arial"/>
        </w:rPr>
        <w:t xml:space="preserve">of summary judgment in </w:t>
      </w:r>
      <w:r w:rsidR="004D7DE0" w:rsidRPr="00D15956">
        <w:rPr>
          <w:rFonts w:ascii="Arial" w:hAnsi="Arial" w:cs="Arial"/>
        </w:rPr>
        <w:t xml:space="preserve">such circumstances </w:t>
      </w:r>
      <w:r w:rsidR="00E41C90" w:rsidRPr="00D15956">
        <w:rPr>
          <w:rFonts w:ascii="Arial" w:hAnsi="Arial" w:cs="Arial"/>
        </w:rPr>
        <w:t>c</w:t>
      </w:r>
      <w:r w:rsidR="008D1D9F" w:rsidRPr="00D15956">
        <w:rPr>
          <w:rFonts w:ascii="Arial" w:hAnsi="Arial" w:cs="Arial"/>
        </w:rPr>
        <w:t xml:space="preserve">ould </w:t>
      </w:r>
      <w:r w:rsidR="00E41C90" w:rsidRPr="00D15956">
        <w:rPr>
          <w:rFonts w:ascii="Arial" w:hAnsi="Arial" w:cs="Arial"/>
        </w:rPr>
        <w:t xml:space="preserve">result </w:t>
      </w:r>
      <w:r w:rsidR="00994A2E" w:rsidRPr="00D15956">
        <w:rPr>
          <w:rFonts w:ascii="Arial" w:hAnsi="Arial" w:cs="Arial"/>
        </w:rPr>
        <w:t xml:space="preserve">in an </w:t>
      </w:r>
      <w:r w:rsidR="004D7DE0" w:rsidRPr="00D15956">
        <w:rPr>
          <w:rFonts w:ascii="Arial" w:hAnsi="Arial" w:cs="Arial"/>
        </w:rPr>
        <w:t>illegality</w:t>
      </w:r>
      <w:r w:rsidR="00CA5178" w:rsidRPr="00D15956">
        <w:rPr>
          <w:rFonts w:ascii="Arial" w:hAnsi="Arial" w:cs="Arial"/>
        </w:rPr>
        <w:t xml:space="preserve">, </w:t>
      </w:r>
      <w:r w:rsidR="00741B93" w:rsidRPr="00D15956">
        <w:rPr>
          <w:rFonts w:ascii="Arial" w:hAnsi="Arial" w:cs="Arial"/>
        </w:rPr>
        <w:t xml:space="preserve">i.e., facilitating the commission of an </w:t>
      </w:r>
      <w:r w:rsidR="00AC096D" w:rsidRPr="00D15956">
        <w:rPr>
          <w:rFonts w:ascii="Arial" w:hAnsi="Arial" w:cs="Arial"/>
        </w:rPr>
        <w:t>offence in terms of s 38 (3)</w:t>
      </w:r>
      <w:r w:rsidR="002B5F4D" w:rsidRPr="00D15956">
        <w:rPr>
          <w:rFonts w:ascii="Arial" w:hAnsi="Arial" w:cs="Arial"/>
        </w:rPr>
        <w:t xml:space="preserve"> of PSIRA</w:t>
      </w:r>
      <w:r w:rsidR="006B2F29" w:rsidRPr="00D15956">
        <w:rPr>
          <w:rFonts w:ascii="Arial" w:hAnsi="Arial" w:cs="Arial"/>
        </w:rPr>
        <w:t xml:space="preserve">.  </w:t>
      </w:r>
    </w:p>
    <w:p w14:paraId="3B85D804" w14:textId="77777777" w:rsidR="008F78A1" w:rsidRPr="002A4C3F" w:rsidRDefault="008F78A1" w:rsidP="008F78A1">
      <w:pPr>
        <w:pStyle w:val="ListParagraph"/>
        <w:spacing w:line="480" w:lineRule="auto"/>
        <w:ind w:right="28" w:firstLine="0"/>
        <w:contextualSpacing w:val="0"/>
        <w:rPr>
          <w:rFonts w:ascii="Arial" w:hAnsi="Arial" w:cs="Arial"/>
        </w:rPr>
      </w:pPr>
    </w:p>
    <w:p w14:paraId="7F026D3A" w14:textId="0EB0BD1E" w:rsidR="003C40B5" w:rsidRPr="002A4C3F" w:rsidRDefault="003C40B5" w:rsidP="00714E74">
      <w:pPr>
        <w:spacing w:line="480" w:lineRule="auto"/>
        <w:ind w:left="0" w:right="28" w:firstLine="0"/>
        <w:rPr>
          <w:rFonts w:ascii="Arial" w:hAnsi="Arial" w:cs="Arial"/>
          <w:b/>
          <w:u w:val="single"/>
        </w:rPr>
      </w:pPr>
      <w:r w:rsidRPr="002A4C3F">
        <w:rPr>
          <w:rFonts w:ascii="Arial" w:hAnsi="Arial" w:cs="Arial"/>
          <w:b/>
          <w:u w:val="single"/>
        </w:rPr>
        <w:lastRenderedPageBreak/>
        <w:t>ORDER</w:t>
      </w:r>
    </w:p>
    <w:p w14:paraId="37410572" w14:textId="5AD54C66" w:rsidR="009A59E4" w:rsidRPr="00D15956" w:rsidRDefault="00D15956" w:rsidP="00D15956">
      <w:pPr>
        <w:spacing w:line="480" w:lineRule="auto"/>
        <w:ind w:left="720" w:right="28"/>
        <w:rPr>
          <w:rFonts w:ascii="Arial" w:hAnsi="Arial" w:cs="Arial"/>
        </w:rPr>
      </w:pPr>
      <w:r w:rsidRPr="002A4C3F">
        <w:rPr>
          <w:rFonts w:ascii="Arial" w:hAnsi="Arial" w:cs="Arial"/>
        </w:rPr>
        <w:t>[49].</w:t>
      </w:r>
      <w:r w:rsidRPr="002A4C3F">
        <w:rPr>
          <w:rFonts w:ascii="Arial" w:hAnsi="Arial" w:cs="Arial"/>
        </w:rPr>
        <w:tab/>
      </w:r>
      <w:r w:rsidR="002C52D5" w:rsidRPr="00D15956">
        <w:rPr>
          <w:rFonts w:ascii="Arial" w:hAnsi="Arial" w:cs="Arial"/>
        </w:rPr>
        <w:t>I</w:t>
      </w:r>
      <w:r w:rsidR="003C40B5" w:rsidRPr="00D15956">
        <w:rPr>
          <w:rFonts w:ascii="Arial" w:hAnsi="Arial" w:cs="Arial"/>
        </w:rPr>
        <w:t>n the result</w:t>
      </w:r>
      <w:r w:rsidR="00F30037" w:rsidRPr="00D15956">
        <w:rPr>
          <w:rFonts w:ascii="Arial" w:hAnsi="Arial" w:cs="Arial"/>
        </w:rPr>
        <w:t>, the following order is made:</w:t>
      </w:r>
    </w:p>
    <w:p w14:paraId="11823ADC" w14:textId="65BB7F04" w:rsidR="002C52D5" w:rsidRPr="00D15956" w:rsidRDefault="00D15956" w:rsidP="00D15956">
      <w:pPr>
        <w:spacing w:line="480" w:lineRule="auto"/>
        <w:ind w:left="1440" w:right="28" w:hanging="731"/>
        <w:rPr>
          <w:rFonts w:ascii="Arial" w:hAnsi="Arial" w:cs="Arial"/>
        </w:rPr>
      </w:pPr>
      <w:r w:rsidRPr="002A4C3F">
        <w:rPr>
          <w:rFonts w:ascii="Arial" w:hAnsi="Arial" w:cs="Arial"/>
        </w:rPr>
        <w:t>a.</w:t>
      </w:r>
      <w:r w:rsidRPr="002A4C3F">
        <w:rPr>
          <w:rFonts w:ascii="Arial" w:hAnsi="Arial" w:cs="Arial"/>
        </w:rPr>
        <w:tab/>
      </w:r>
      <w:r w:rsidR="00470E6F" w:rsidRPr="00D15956">
        <w:rPr>
          <w:rFonts w:ascii="Arial" w:hAnsi="Arial" w:cs="Arial"/>
        </w:rPr>
        <w:t>Summary judgment is refused</w:t>
      </w:r>
      <w:r w:rsidR="00DA6E74" w:rsidRPr="00D15956">
        <w:rPr>
          <w:rFonts w:ascii="Arial" w:hAnsi="Arial" w:cs="Arial"/>
        </w:rPr>
        <w:t>;</w:t>
      </w:r>
    </w:p>
    <w:p w14:paraId="026D5E0B" w14:textId="40016A2B" w:rsidR="00157094" w:rsidRPr="00D15956" w:rsidRDefault="00D15956" w:rsidP="00D15956">
      <w:pPr>
        <w:spacing w:line="480" w:lineRule="auto"/>
        <w:ind w:left="1440" w:right="28" w:hanging="731"/>
        <w:rPr>
          <w:rFonts w:ascii="Arial" w:hAnsi="Arial" w:cs="Arial"/>
        </w:rPr>
      </w:pPr>
      <w:r w:rsidRPr="004D10D2">
        <w:rPr>
          <w:rFonts w:ascii="Arial" w:hAnsi="Arial" w:cs="Arial"/>
        </w:rPr>
        <w:t>b.</w:t>
      </w:r>
      <w:r w:rsidRPr="004D10D2">
        <w:rPr>
          <w:rFonts w:ascii="Arial" w:hAnsi="Arial" w:cs="Arial"/>
        </w:rPr>
        <w:tab/>
      </w:r>
      <w:r w:rsidR="000D5E21" w:rsidRPr="00D15956">
        <w:rPr>
          <w:rFonts w:ascii="Arial" w:hAnsi="Arial" w:cs="Arial"/>
        </w:rPr>
        <w:t>t</w:t>
      </w:r>
      <w:r w:rsidR="00DA6E74" w:rsidRPr="00D15956">
        <w:rPr>
          <w:rFonts w:ascii="Arial" w:hAnsi="Arial" w:cs="Arial"/>
        </w:rPr>
        <w:t xml:space="preserve">he NYDA, i.e., the defendant, is </w:t>
      </w:r>
      <w:r w:rsidR="000D5E21" w:rsidRPr="00D15956">
        <w:rPr>
          <w:rFonts w:ascii="Arial" w:hAnsi="Arial" w:cs="Arial"/>
        </w:rPr>
        <w:t>granted leave to defend the action; and</w:t>
      </w:r>
    </w:p>
    <w:p w14:paraId="28E616FE" w14:textId="53E4AC45" w:rsidR="000D5E21" w:rsidRPr="00D15956" w:rsidRDefault="00D15956" w:rsidP="00D15956">
      <w:pPr>
        <w:spacing w:line="480" w:lineRule="auto"/>
        <w:ind w:left="1440" w:right="28" w:hanging="731"/>
        <w:rPr>
          <w:rFonts w:ascii="Arial" w:hAnsi="Arial" w:cs="Arial"/>
        </w:rPr>
      </w:pPr>
      <w:r w:rsidRPr="002A4C3F">
        <w:rPr>
          <w:rFonts w:ascii="Arial" w:hAnsi="Arial" w:cs="Arial"/>
        </w:rPr>
        <w:t>c.</w:t>
      </w:r>
      <w:r w:rsidRPr="002A4C3F">
        <w:rPr>
          <w:rFonts w:ascii="Arial" w:hAnsi="Arial" w:cs="Arial"/>
        </w:rPr>
        <w:tab/>
      </w:r>
      <w:r w:rsidR="00EA3A6B" w:rsidRPr="00D15956">
        <w:rPr>
          <w:rFonts w:ascii="Arial" w:hAnsi="Arial" w:cs="Arial"/>
        </w:rPr>
        <w:t>the costs of the application for summary judgment are reserved for the decision of the trial court.</w:t>
      </w:r>
    </w:p>
    <w:p w14:paraId="6C8D1C0E" w14:textId="110C6B21" w:rsidR="00B12901" w:rsidRPr="002A4C3F" w:rsidRDefault="005D1B2F" w:rsidP="00702474">
      <w:pPr>
        <w:pStyle w:val="ListParagraph"/>
        <w:spacing w:before="600" w:after="0" w:line="240" w:lineRule="auto"/>
        <w:ind w:right="28" w:firstLine="0"/>
        <w:contextualSpacing w:val="0"/>
        <w:jc w:val="right"/>
        <w:rPr>
          <w:rFonts w:ascii="Arial" w:hAnsi="Arial" w:cs="Arial"/>
          <w:b/>
          <w:bCs/>
        </w:rPr>
      </w:pPr>
      <w:r w:rsidRPr="002A4C3F">
        <w:rPr>
          <w:rFonts w:ascii="Arial" w:hAnsi="Arial" w:cs="Arial"/>
          <w:b/>
          <w:bCs/>
        </w:rPr>
        <w:t>_______________</w:t>
      </w:r>
    </w:p>
    <w:p w14:paraId="1DDD0551" w14:textId="306F20DF" w:rsidR="002E0AF8" w:rsidRPr="002A4C3F" w:rsidRDefault="002E0AF8" w:rsidP="005D1B2F">
      <w:pPr>
        <w:pStyle w:val="ListParagraph"/>
        <w:spacing w:before="0" w:after="0" w:line="240" w:lineRule="auto"/>
        <w:ind w:right="28" w:firstLine="0"/>
        <w:contextualSpacing w:val="0"/>
        <w:jc w:val="right"/>
        <w:rPr>
          <w:rFonts w:ascii="Arial" w:hAnsi="Arial" w:cs="Arial"/>
          <w:b/>
          <w:bCs/>
        </w:rPr>
      </w:pPr>
      <w:r w:rsidRPr="002A4C3F">
        <w:rPr>
          <w:rFonts w:ascii="Arial" w:hAnsi="Arial" w:cs="Arial"/>
          <w:b/>
          <w:bCs/>
        </w:rPr>
        <w:t>EW DUNN</w:t>
      </w:r>
    </w:p>
    <w:p w14:paraId="4321B64A" w14:textId="6749073F" w:rsidR="002E0AF8" w:rsidRPr="002A4C3F" w:rsidRDefault="002E0AF8" w:rsidP="001A5829">
      <w:pPr>
        <w:pStyle w:val="ListParagraph"/>
        <w:spacing w:before="0" w:after="0" w:line="240" w:lineRule="auto"/>
        <w:ind w:right="28" w:firstLine="0"/>
        <w:contextualSpacing w:val="0"/>
        <w:jc w:val="right"/>
        <w:rPr>
          <w:rFonts w:ascii="Arial" w:hAnsi="Arial" w:cs="Arial"/>
          <w:b/>
          <w:bCs/>
        </w:rPr>
      </w:pPr>
      <w:r w:rsidRPr="002A4C3F">
        <w:rPr>
          <w:rFonts w:ascii="Arial" w:hAnsi="Arial" w:cs="Arial"/>
          <w:b/>
          <w:bCs/>
        </w:rPr>
        <w:t>Acting Judge of the High Court</w:t>
      </w:r>
    </w:p>
    <w:p w14:paraId="7F5B01C1" w14:textId="77777777" w:rsidR="002E0AF8" w:rsidRPr="002A4C3F" w:rsidRDefault="002E0AF8" w:rsidP="001A5829">
      <w:pPr>
        <w:pStyle w:val="ListParagraph"/>
        <w:spacing w:before="0" w:after="0" w:line="240" w:lineRule="auto"/>
        <w:ind w:right="28" w:firstLine="0"/>
        <w:contextualSpacing w:val="0"/>
        <w:jc w:val="right"/>
        <w:rPr>
          <w:rFonts w:ascii="Arial" w:hAnsi="Arial" w:cs="Arial"/>
        </w:rPr>
      </w:pPr>
      <w:r w:rsidRPr="002A4C3F">
        <w:rPr>
          <w:rFonts w:ascii="Arial" w:hAnsi="Arial" w:cs="Arial"/>
          <w:b/>
          <w:bCs/>
        </w:rPr>
        <w:t>Gauteng Division, Johannesburg</w:t>
      </w:r>
    </w:p>
    <w:p w14:paraId="615F5740" w14:textId="047CC7A9" w:rsidR="002E0AF8" w:rsidRPr="002A4C3F" w:rsidRDefault="002E0AF8" w:rsidP="00395E7B">
      <w:pPr>
        <w:pStyle w:val="BodyText"/>
        <w:tabs>
          <w:tab w:val="left" w:pos="567"/>
        </w:tabs>
        <w:spacing w:before="240" w:after="240" w:line="360" w:lineRule="auto"/>
        <w:outlineLvl w:val="0"/>
        <w:rPr>
          <w:rFonts w:cs="Arial"/>
          <w:sz w:val="24"/>
          <w:szCs w:val="24"/>
        </w:rPr>
      </w:pPr>
      <w:r w:rsidRPr="002A4C3F">
        <w:rPr>
          <w:rFonts w:cs="Arial"/>
          <w:b/>
          <w:sz w:val="24"/>
          <w:szCs w:val="24"/>
        </w:rPr>
        <w:t xml:space="preserve">Counsel for the </w:t>
      </w:r>
      <w:r w:rsidR="00996579" w:rsidRPr="002A4C3F">
        <w:rPr>
          <w:rFonts w:cs="Arial"/>
          <w:b/>
          <w:sz w:val="24"/>
          <w:szCs w:val="24"/>
        </w:rPr>
        <w:t>plaintiff:</w:t>
      </w:r>
      <w:r w:rsidRPr="002A4C3F">
        <w:rPr>
          <w:rFonts w:cs="Arial"/>
          <w:sz w:val="24"/>
          <w:szCs w:val="24"/>
        </w:rPr>
        <w:t xml:space="preserve"> </w:t>
      </w:r>
      <w:r w:rsidR="002F4BED" w:rsidRPr="002A4C3F">
        <w:rPr>
          <w:rFonts w:cs="Arial"/>
          <w:sz w:val="24"/>
          <w:szCs w:val="24"/>
        </w:rPr>
        <w:t>Adv JP Steenkamp</w:t>
      </w:r>
      <w:r w:rsidR="00A05A0E" w:rsidRPr="002A4C3F">
        <w:rPr>
          <w:rFonts w:cs="Arial"/>
          <w:sz w:val="24"/>
          <w:szCs w:val="24"/>
        </w:rPr>
        <w:t>.</w:t>
      </w:r>
    </w:p>
    <w:p w14:paraId="742BE489" w14:textId="5B82A043" w:rsidR="00BB4F53" w:rsidRPr="002A4C3F" w:rsidRDefault="00BB4F53" w:rsidP="00395E7B">
      <w:pPr>
        <w:pStyle w:val="BodyText"/>
        <w:tabs>
          <w:tab w:val="left" w:pos="567"/>
        </w:tabs>
        <w:spacing w:before="240" w:after="240" w:line="360" w:lineRule="auto"/>
        <w:outlineLvl w:val="0"/>
        <w:rPr>
          <w:rFonts w:cs="Arial"/>
          <w:sz w:val="24"/>
          <w:szCs w:val="24"/>
        </w:rPr>
      </w:pPr>
      <w:r w:rsidRPr="002A4C3F">
        <w:rPr>
          <w:rFonts w:cs="Arial"/>
          <w:b/>
          <w:sz w:val="24"/>
          <w:szCs w:val="24"/>
        </w:rPr>
        <w:t>Instructed by:</w:t>
      </w:r>
      <w:r w:rsidRPr="002A4C3F">
        <w:rPr>
          <w:rFonts w:cs="Arial"/>
          <w:sz w:val="24"/>
          <w:szCs w:val="24"/>
        </w:rPr>
        <w:t xml:space="preserve"> </w:t>
      </w:r>
      <w:r w:rsidR="003646D1" w:rsidRPr="002A4C3F">
        <w:rPr>
          <w:rFonts w:cs="Arial"/>
          <w:sz w:val="24"/>
          <w:szCs w:val="24"/>
        </w:rPr>
        <w:t>Thotharam Attorneys</w:t>
      </w:r>
      <w:r w:rsidRPr="002A4C3F">
        <w:rPr>
          <w:rFonts w:cs="Arial"/>
          <w:sz w:val="24"/>
          <w:szCs w:val="24"/>
        </w:rPr>
        <w:t xml:space="preserve">, </w:t>
      </w:r>
      <w:r w:rsidR="003646D1" w:rsidRPr="002A4C3F">
        <w:rPr>
          <w:rFonts w:cs="Arial"/>
          <w:sz w:val="24"/>
          <w:szCs w:val="24"/>
        </w:rPr>
        <w:t>Randburg</w:t>
      </w:r>
      <w:r w:rsidRPr="002A4C3F">
        <w:rPr>
          <w:rFonts w:cs="Arial"/>
          <w:sz w:val="24"/>
          <w:szCs w:val="24"/>
        </w:rPr>
        <w:t>.</w:t>
      </w:r>
    </w:p>
    <w:p w14:paraId="21A3221F" w14:textId="7424CB23" w:rsidR="002E0AF8" w:rsidRPr="002A4C3F" w:rsidRDefault="002E0AF8" w:rsidP="00395E7B">
      <w:pPr>
        <w:pStyle w:val="BodyText"/>
        <w:tabs>
          <w:tab w:val="left" w:pos="567"/>
        </w:tabs>
        <w:spacing w:before="240" w:after="240" w:line="360" w:lineRule="auto"/>
        <w:rPr>
          <w:rFonts w:cs="Arial"/>
          <w:sz w:val="24"/>
          <w:szCs w:val="24"/>
        </w:rPr>
      </w:pPr>
      <w:r w:rsidRPr="002A4C3F">
        <w:rPr>
          <w:rFonts w:cs="Arial"/>
          <w:b/>
          <w:sz w:val="24"/>
          <w:szCs w:val="24"/>
        </w:rPr>
        <w:t xml:space="preserve">Counsel for the </w:t>
      </w:r>
      <w:r w:rsidR="00996579" w:rsidRPr="002A4C3F">
        <w:rPr>
          <w:rFonts w:cs="Arial"/>
          <w:b/>
          <w:sz w:val="24"/>
          <w:szCs w:val="24"/>
        </w:rPr>
        <w:t>defendant</w:t>
      </w:r>
      <w:r w:rsidRPr="002A4C3F">
        <w:rPr>
          <w:rFonts w:cs="Arial"/>
          <w:b/>
          <w:sz w:val="24"/>
          <w:szCs w:val="24"/>
        </w:rPr>
        <w:t xml:space="preserve">: </w:t>
      </w:r>
      <w:r w:rsidR="007401BD" w:rsidRPr="002A4C3F">
        <w:rPr>
          <w:rFonts w:cs="Arial"/>
          <w:sz w:val="24"/>
          <w:szCs w:val="24"/>
        </w:rPr>
        <w:t>Adv R S</w:t>
      </w:r>
      <w:r w:rsidR="00BB4F53" w:rsidRPr="002A4C3F">
        <w:rPr>
          <w:rFonts w:cs="Arial"/>
          <w:sz w:val="24"/>
          <w:szCs w:val="24"/>
        </w:rPr>
        <w:t>e</w:t>
      </w:r>
      <w:r w:rsidR="007401BD" w:rsidRPr="002A4C3F">
        <w:rPr>
          <w:rFonts w:cs="Arial"/>
          <w:sz w:val="24"/>
          <w:szCs w:val="24"/>
        </w:rPr>
        <w:t>mpe</w:t>
      </w:r>
      <w:r w:rsidRPr="002A4C3F">
        <w:rPr>
          <w:rFonts w:cs="Arial"/>
          <w:sz w:val="24"/>
          <w:szCs w:val="24"/>
        </w:rPr>
        <w:t>.</w:t>
      </w:r>
    </w:p>
    <w:p w14:paraId="0A60BA02" w14:textId="39DC1D9B" w:rsidR="002E0AF8" w:rsidRPr="002A4C3F" w:rsidRDefault="002E0AF8" w:rsidP="00395E7B">
      <w:pPr>
        <w:pStyle w:val="BodyText"/>
        <w:tabs>
          <w:tab w:val="left" w:pos="567"/>
        </w:tabs>
        <w:spacing w:before="240" w:after="240" w:line="360" w:lineRule="auto"/>
        <w:rPr>
          <w:rFonts w:cs="Arial"/>
          <w:sz w:val="24"/>
          <w:szCs w:val="24"/>
        </w:rPr>
      </w:pPr>
      <w:bookmarkStart w:id="46" w:name="_Hlk152691484"/>
      <w:r w:rsidRPr="002A4C3F">
        <w:rPr>
          <w:rFonts w:cs="Arial"/>
          <w:b/>
          <w:sz w:val="24"/>
          <w:szCs w:val="24"/>
        </w:rPr>
        <w:t>Instructed by:</w:t>
      </w:r>
      <w:r w:rsidR="00475686" w:rsidRPr="002A4C3F">
        <w:rPr>
          <w:rFonts w:cs="Arial"/>
          <w:sz w:val="24"/>
          <w:szCs w:val="24"/>
        </w:rPr>
        <w:t xml:space="preserve"> </w:t>
      </w:r>
      <w:r w:rsidR="003646D1" w:rsidRPr="002A4C3F">
        <w:rPr>
          <w:rFonts w:cs="Arial"/>
          <w:sz w:val="24"/>
          <w:szCs w:val="24"/>
        </w:rPr>
        <w:t>Sibeko Inc</w:t>
      </w:r>
      <w:r w:rsidR="00347F5E" w:rsidRPr="002A4C3F">
        <w:rPr>
          <w:rFonts w:cs="Arial"/>
          <w:sz w:val="24"/>
          <w:szCs w:val="24"/>
        </w:rPr>
        <w:t>orporated</w:t>
      </w:r>
      <w:r w:rsidRPr="002A4C3F">
        <w:rPr>
          <w:rFonts w:cs="Arial"/>
          <w:sz w:val="24"/>
          <w:szCs w:val="24"/>
        </w:rPr>
        <w:t xml:space="preserve">, Sandton. </w:t>
      </w:r>
      <w:bookmarkEnd w:id="46"/>
    </w:p>
    <w:p w14:paraId="3BCCA1CA" w14:textId="543DA62E" w:rsidR="002E0AF8" w:rsidRPr="002A4C3F" w:rsidRDefault="002E0AF8" w:rsidP="00395E7B">
      <w:pPr>
        <w:pStyle w:val="BodyText"/>
        <w:tabs>
          <w:tab w:val="left" w:pos="567"/>
        </w:tabs>
        <w:spacing w:before="240" w:after="240" w:line="360" w:lineRule="auto"/>
        <w:rPr>
          <w:rFonts w:cs="Arial"/>
          <w:sz w:val="24"/>
          <w:szCs w:val="24"/>
        </w:rPr>
      </w:pPr>
      <w:r w:rsidRPr="002A4C3F">
        <w:rPr>
          <w:rFonts w:cs="Arial"/>
          <w:b/>
          <w:sz w:val="24"/>
          <w:szCs w:val="24"/>
        </w:rPr>
        <w:t>Date of hearing:</w:t>
      </w:r>
      <w:r w:rsidRPr="002A4C3F">
        <w:rPr>
          <w:rFonts w:cs="Arial"/>
          <w:sz w:val="24"/>
          <w:szCs w:val="24"/>
        </w:rPr>
        <w:t xml:space="preserve"> </w:t>
      </w:r>
      <w:r w:rsidR="007401BD" w:rsidRPr="002A4C3F">
        <w:rPr>
          <w:rFonts w:cs="Arial"/>
          <w:sz w:val="24"/>
          <w:szCs w:val="24"/>
        </w:rPr>
        <w:t>Wednesday</w:t>
      </w:r>
      <w:r w:rsidRPr="002A4C3F">
        <w:rPr>
          <w:rFonts w:cs="Arial"/>
          <w:sz w:val="24"/>
          <w:szCs w:val="24"/>
        </w:rPr>
        <w:t xml:space="preserve">, </w:t>
      </w:r>
      <w:r w:rsidR="007401BD" w:rsidRPr="002A4C3F">
        <w:rPr>
          <w:rFonts w:cs="Arial"/>
          <w:sz w:val="24"/>
          <w:szCs w:val="24"/>
        </w:rPr>
        <w:t>6</w:t>
      </w:r>
      <w:r w:rsidRPr="002A4C3F">
        <w:rPr>
          <w:rFonts w:cs="Arial"/>
          <w:sz w:val="24"/>
          <w:szCs w:val="24"/>
        </w:rPr>
        <w:t xml:space="preserve"> September 2023</w:t>
      </w:r>
      <w:r w:rsidR="00996579" w:rsidRPr="002A4C3F">
        <w:rPr>
          <w:rFonts w:cs="Arial"/>
          <w:sz w:val="24"/>
          <w:szCs w:val="24"/>
        </w:rPr>
        <w:t>.</w:t>
      </w:r>
    </w:p>
    <w:p w14:paraId="34678BAA" w14:textId="20234F49" w:rsidR="002E0AF8" w:rsidRPr="002A4C3F" w:rsidRDefault="002E0AF8" w:rsidP="00395E7B">
      <w:pPr>
        <w:tabs>
          <w:tab w:val="left" w:pos="4917"/>
        </w:tabs>
        <w:spacing w:before="240" w:after="240"/>
        <w:ind w:left="0" w:firstLine="0"/>
        <w:rPr>
          <w:rFonts w:ascii="Arial" w:hAnsi="Arial" w:cs="Arial"/>
        </w:rPr>
      </w:pPr>
      <w:r w:rsidRPr="002A4C3F">
        <w:rPr>
          <w:rFonts w:ascii="Arial" w:hAnsi="Arial" w:cs="Arial"/>
          <w:b/>
        </w:rPr>
        <w:t>Date of Judgment</w:t>
      </w:r>
      <w:r w:rsidRPr="002A4C3F">
        <w:rPr>
          <w:rFonts w:ascii="Arial" w:hAnsi="Arial" w:cs="Arial"/>
        </w:rPr>
        <w:t xml:space="preserve">: </w:t>
      </w:r>
      <w:r w:rsidR="007401BD" w:rsidRPr="002A4C3F">
        <w:rPr>
          <w:rFonts w:ascii="Arial" w:hAnsi="Arial" w:cs="Arial"/>
        </w:rPr>
        <w:t>Tues</w:t>
      </w:r>
      <w:r w:rsidRPr="002A4C3F">
        <w:rPr>
          <w:rFonts w:ascii="Arial" w:hAnsi="Arial" w:cs="Arial"/>
        </w:rPr>
        <w:t xml:space="preserve">day, </w:t>
      </w:r>
      <w:r w:rsidR="007401BD" w:rsidRPr="002A4C3F">
        <w:rPr>
          <w:rFonts w:ascii="Arial" w:hAnsi="Arial" w:cs="Arial"/>
        </w:rPr>
        <w:t>6</w:t>
      </w:r>
      <w:r w:rsidRPr="002A4C3F">
        <w:rPr>
          <w:rFonts w:ascii="Arial" w:hAnsi="Arial" w:cs="Arial"/>
        </w:rPr>
        <w:t xml:space="preserve"> </w:t>
      </w:r>
      <w:r w:rsidR="007401BD" w:rsidRPr="002A4C3F">
        <w:rPr>
          <w:rFonts w:ascii="Arial" w:hAnsi="Arial" w:cs="Arial"/>
        </w:rPr>
        <w:t>Dec</w:t>
      </w:r>
      <w:r w:rsidRPr="002A4C3F">
        <w:rPr>
          <w:rFonts w:ascii="Arial" w:hAnsi="Arial" w:cs="Arial"/>
        </w:rPr>
        <w:t>ember 2023.</w:t>
      </w:r>
    </w:p>
    <w:p w14:paraId="0365C4F7" w14:textId="77777777" w:rsidR="002E0AF8" w:rsidRPr="002A4C3F" w:rsidRDefault="002E0AF8" w:rsidP="00395E7B">
      <w:pPr>
        <w:tabs>
          <w:tab w:val="left" w:pos="4917"/>
        </w:tabs>
        <w:spacing w:before="240" w:after="240"/>
        <w:ind w:left="0" w:firstLine="0"/>
        <w:rPr>
          <w:rFonts w:ascii="Times New Roman" w:hAnsi="Times New Roman"/>
          <w:b/>
          <w:u w:val="single"/>
        </w:rPr>
      </w:pPr>
      <w:r w:rsidRPr="002A4C3F">
        <w:rPr>
          <w:rFonts w:ascii="Arial" w:hAnsi="Arial" w:cs="Arial"/>
          <w:b/>
        </w:rPr>
        <w:t>Judgment handed down electronically</w:t>
      </w:r>
      <w:r w:rsidRPr="002A4C3F">
        <w:rPr>
          <w:rFonts w:ascii="Times New Roman" w:hAnsi="Times New Roman"/>
          <w:b/>
        </w:rPr>
        <w:t xml:space="preserve"> </w:t>
      </w:r>
    </w:p>
    <w:sectPr w:rsidR="002E0AF8" w:rsidRPr="002A4C3F" w:rsidSect="00EA5435">
      <w:footerReference w:type="default" r:id="rId10"/>
      <w:pgSz w:w="11906" w:h="16838"/>
      <w:pgMar w:top="1440" w:right="1440" w:bottom="1440" w:left="1440"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C2F4" w14:textId="77777777" w:rsidR="005B4EE5" w:rsidRDefault="005B4EE5" w:rsidP="00C353F0">
      <w:pPr>
        <w:spacing w:before="0" w:after="0" w:line="240" w:lineRule="auto"/>
      </w:pPr>
      <w:r>
        <w:separator/>
      </w:r>
    </w:p>
  </w:endnote>
  <w:endnote w:type="continuationSeparator" w:id="0">
    <w:p w14:paraId="27173ACF" w14:textId="77777777" w:rsidR="005B4EE5" w:rsidRDefault="005B4EE5" w:rsidP="00C353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91623"/>
      <w:docPartObj>
        <w:docPartGallery w:val="Page Numbers (Bottom of Page)"/>
        <w:docPartUnique/>
      </w:docPartObj>
    </w:sdtPr>
    <w:sdtEndPr/>
    <w:sdtContent>
      <w:sdt>
        <w:sdtPr>
          <w:id w:val="1728636285"/>
          <w:docPartObj>
            <w:docPartGallery w:val="Page Numbers (Top of Page)"/>
            <w:docPartUnique/>
          </w:docPartObj>
        </w:sdtPr>
        <w:sdtEndPr/>
        <w:sdtContent>
          <w:p w14:paraId="2C2B64B0" w14:textId="5B70ABFF" w:rsidR="00D66AF5" w:rsidRDefault="00D66AF5">
            <w:pPr>
              <w:pStyle w:val="Footer"/>
              <w:jc w:val="center"/>
            </w:pPr>
            <w:r>
              <w:t xml:space="preserve">Page </w:t>
            </w:r>
            <w:r>
              <w:rPr>
                <w:b/>
                <w:bCs/>
              </w:rPr>
              <w:fldChar w:fldCharType="begin"/>
            </w:r>
            <w:r>
              <w:rPr>
                <w:b/>
                <w:bCs/>
              </w:rPr>
              <w:instrText>PAGE</w:instrText>
            </w:r>
            <w:r>
              <w:rPr>
                <w:b/>
                <w:bCs/>
              </w:rPr>
              <w:fldChar w:fldCharType="separate"/>
            </w:r>
            <w:r w:rsidR="00D15956">
              <w:rPr>
                <w:b/>
                <w:bCs/>
                <w:noProof/>
              </w:rPr>
              <w:t>1</w:t>
            </w:r>
            <w:r>
              <w:rPr>
                <w:b/>
                <w:bCs/>
              </w:rPr>
              <w:fldChar w:fldCharType="end"/>
            </w:r>
            <w:r>
              <w:t xml:space="preserve"> of </w:t>
            </w:r>
            <w:r>
              <w:rPr>
                <w:b/>
                <w:bCs/>
              </w:rPr>
              <w:fldChar w:fldCharType="begin"/>
            </w:r>
            <w:r>
              <w:rPr>
                <w:b/>
                <w:bCs/>
              </w:rPr>
              <w:instrText>NUMPAGES</w:instrText>
            </w:r>
            <w:r>
              <w:rPr>
                <w:b/>
                <w:bCs/>
              </w:rPr>
              <w:fldChar w:fldCharType="separate"/>
            </w:r>
            <w:r w:rsidR="00D15956">
              <w:rPr>
                <w:b/>
                <w:bCs/>
                <w:noProof/>
              </w:rPr>
              <w:t>23</w:t>
            </w:r>
            <w:r>
              <w:rPr>
                <w:b/>
                <w:bCs/>
              </w:rPr>
              <w:fldChar w:fldCharType="end"/>
            </w:r>
          </w:p>
        </w:sdtContent>
      </w:sdt>
    </w:sdtContent>
  </w:sdt>
  <w:p w14:paraId="7E20C831" w14:textId="77777777" w:rsidR="00D66AF5" w:rsidRPr="00D66AF5" w:rsidRDefault="00D66AF5" w:rsidP="00D66AF5">
    <w:pPr>
      <w:pStyle w:val="Footer"/>
      <w:jc w:val="righ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E657" w14:textId="77777777" w:rsidR="005B4EE5" w:rsidRDefault="005B4EE5" w:rsidP="00C353F0">
      <w:pPr>
        <w:spacing w:before="0" w:after="0" w:line="240" w:lineRule="auto"/>
      </w:pPr>
      <w:r>
        <w:separator/>
      </w:r>
    </w:p>
  </w:footnote>
  <w:footnote w:type="continuationSeparator" w:id="0">
    <w:p w14:paraId="03E28C93" w14:textId="77777777" w:rsidR="005B4EE5" w:rsidRDefault="005B4EE5" w:rsidP="00C353F0">
      <w:pPr>
        <w:spacing w:before="0" w:after="0" w:line="240" w:lineRule="auto"/>
      </w:pPr>
      <w:r>
        <w:continuationSeparator/>
      </w:r>
    </w:p>
  </w:footnote>
  <w:footnote w:id="1">
    <w:p w14:paraId="364E927E" w14:textId="64EC855D" w:rsidR="00EB3ED7" w:rsidRPr="00802B42" w:rsidRDefault="00EB3ED7" w:rsidP="00EA5435">
      <w:pPr>
        <w:pStyle w:val="FootnoteText"/>
      </w:pPr>
      <w:r w:rsidRPr="00A50989">
        <w:rPr>
          <w:rStyle w:val="FootnoteReference"/>
        </w:rPr>
        <w:footnoteRef/>
      </w:r>
      <w:r w:rsidRPr="00A50989">
        <w:t xml:space="preserve"> </w:t>
      </w:r>
      <w:r w:rsidRPr="00A50989">
        <w:tab/>
      </w:r>
      <w:bookmarkStart w:id="2" w:name="_Hlk151047411"/>
      <w:r w:rsidRPr="00802B42">
        <w:t>CaseLines: Particulars of Claim (</w:t>
      </w:r>
      <w:r w:rsidRPr="00802B42">
        <w:rPr>
          <w:b/>
          <w:bCs/>
        </w:rPr>
        <w:t>POC</w:t>
      </w:r>
      <w:r w:rsidRPr="00802B42">
        <w:t>)</w:t>
      </w:r>
      <w:r w:rsidR="00904A0E" w:rsidRPr="00802B42">
        <w:t>: para</w:t>
      </w:r>
      <w:r w:rsidR="00144ED4" w:rsidRPr="00802B42">
        <w:t>s 3 to 6, p</w:t>
      </w:r>
      <w:r w:rsidR="00480533" w:rsidRPr="00802B42">
        <w:t>p. 001-5 and 001-6.</w:t>
      </w:r>
      <w:bookmarkEnd w:id="2"/>
    </w:p>
  </w:footnote>
  <w:footnote w:id="2">
    <w:p w14:paraId="41FF2258" w14:textId="708428EF" w:rsidR="00304CFD" w:rsidRPr="00802B42" w:rsidRDefault="00304CFD" w:rsidP="00EA5435">
      <w:pPr>
        <w:pStyle w:val="FootnoteText"/>
      </w:pPr>
      <w:r w:rsidRPr="00802B42">
        <w:rPr>
          <w:rStyle w:val="FootnoteReference"/>
        </w:rPr>
        <w:footnoteRef/>
      </w:r>
      <w:r w:rsidRPr="00802B42">
        <w:t xml:space="preserve"> ‘</w:t>
      </w:r>
      <w:r w:rsidRPr="00802B42">
        <w:tab/>
      </w:r>
      <w:r w:rsidRPr="00802B42">
        <w:rPr>
          <w:i/>
          <w:iCs/>
        </w:rPr>
        <w:t>Ibid</w:t>
      </w:r>
      <w:r w:rsidRPr="00802B42">
        <w:t xml:space="preserve">., </w:t>
      </w:r>
      <w:r w:rsidR="00003C3F" w:rsidRPr="00802B42">
        <w:t>annexure ‘</w:t>
      </w:r>
      <w:r w:rsidR="00003C3F" w:rsidRPr="00802B42">
        <w:rPr>
          <w:b/>
          <w:bCs/>
        </w:rPr>
        <w:t>POC 1</w:t>
      </w:r>
      <w:r w:rsidR="00003C3F" w:rsidRPr="00802B42">
        <w:t>', p. 001-</w:t>
      </w:r>
      <w:r w:rsidR="003825FF" w:rsidRPr="00802B42">
        <w:t>9.</w:t>
      </w:r>
    </w:p>
  </w:footnote>
  <w:footnote w:id="3">
    <w:p w14:paraId="5451F443" w14:textId="3798F842" w:rsidR="00003C3F" w:rsidRPr="00802B42" w:rsidRDefault="00003C3F" w:rsidP="00EA5435">
      <w:pPr>
        <w:pStyle w:val="FootnoteText"/>
      </w:pPr>
      <w:r w:rsidRPr="00802B42">
        <w:rPr>
          <w:rStyle w:val="FootnoteReference"/>
        </w:rPr>
        <w:footnoteRef/>
      </w:r>
      <w:r w:rsidRPr="00802B42">
        <w:t xml:space="preserve"> </w:t>
      </w:r>
      <w:r w:rsidRPr="00802B42">
        <w:tab/>
      </w:r>
      <w:r w:rsidR="00A46C5A" w:rsidRPr="00802B42">
        <w:rPr>
          <w:i/>
          <w:iCs/>
        </w:rPr>
        <w:t>Ibid</w:t>
      </w:r>
      <w:r w:rsidR="00A46C5A" w:rsidRPr="00802B42">
        <w:t>., annexure ‘</w:t>
      </w:r>
      <w:r w:rsidR="00A46C5A" w:rsidRPr="00802B42">
        <w:rPr>
          <w:b/>
          <w:bCs/>
        </w:rPr>
        <w:t>POC 1</w:t>
      </w:r>
      <w:r w:rsidR="00A46C5A" w:rsidRPr="00802B42">
        <w:t>', p. 001-10.</w:t>
      </w:r>
    </w:p>
  </w:footnote>
  <w:footnote w:id="4">
    <w:p w14:paraId="5C859669" w14:textId="3C022F3C" w:rsidR="002C4AEE" w:rsidRPr="00A50989" w:rsidRDefault="002C4AEE" w:rsidP="00EA5435">
      <w:pPr>
        <w:pStyle w:val="FootnoteText"/>
      </w:pPr>
      <w:r w:rsidRPr="00FB53EB">
        <w:rPr>
          <w:rStyle w:val="FootnoteReference"/>
        </w:rPr>
        <w:footnoteRef/>
      </w:r>
      <w:r w:rsidRPr="00FB53EB">
        <w:t xml:space="preserve"> </w:t>
      </w:r>
      <w:r w:rsidRPr="00A50989">
        <w:tab/>
      </w:r>
      <w:r w:rsidR="00060418" w:rsidRPr="00FB53EB">
        <w:rPr>
          <w:i/>
          <w:iCs/>
        </w:rPr>
        <w:t>Ibid</w:t>
      </w:r>
      <w:r w:rsidR="00060418" w:rsidRPr="00FB53EB">
        <w:t>., annexure ‘</w:t>
      </w:r>
      <w:r w:rsidR="00060418" w:rsidRPr="00FB53EB">
        <w:rPr>
          <w:b/>
          <w:bCs/>
        </w:rPr>
        <w:t>POC 1</w:t>
      </w:r>
      <w:r w:rsidR="00060418" w:rsidRPr="00FB53EB">
        <w:t>', p. 001-</w:t>
      </w:r>
      <w:r w:rsidR="00767A4E" w:rsidRPr="00FB53EB">
        <w:t>8</w:t>
      </w:r>
      <w:r w:rsidR="00060418" w:rsidRPr="00FB53EB">
        <w:t>.</w:t>
      </w:r>
    </w:p>
  </w:footnote>
  <w:footnote w:id="5">
    <w:p w14:paraId="7D12982D" w14:textId="247343AC" w:rsidR="00547C92" w:rsidRPr="00802B42" w:rsidRDefault="00547C92" w:rsidP="00EA5435">
      <w:pPr>
        <w:pStyle w:val="FootnoteText"/>
      </w:pPr>
      <w:r w:rsidRPr="00A50989">
        <w:rPr>
          <w:rStyle w:val="FootnoteReference"/>
        </w:rPr>
        <w:footnoteRef/>
      </w:r>
      <w:r w:rsidRPr="00A50989">
        <w:t xml:space="preserve"> </w:t>
      </w:r>
      <w:r w:rsidRPr="00802B42">
        <w:tab/>
        <w:t xml:space="preserve">CaseLines: Mr Mabuza’s affidavit: </w:t>
      </w:r>
      <w:bookmarkStart w:id="5" w:name="_Hlk151042687"/>
      <w:r w:rsidRPr="00802B42">
        <w:t>para 3, p. 00</w:t>
      </w:r>
      <w:r w:rsidR="0065134D" w:rsidRPr="00802B42">
        <w:t>6</w:t>
      </w:r>
      <w:r w:rsidRPr="00802B42">
        <w:t>-</w:t>
      </w:r>
      <w:r w:rsidR="0065134D" w:rsidRPr="00802B42">
        <w:t>6</w:t>
      </w:r>
      <w:r w:rsidRPr="00802B42">
        <w:t>.</w:t>
      </w:r>
      <w:r w:rsidR="00202B5D" w:rsidRPr="00802B42">
        <w:t xml:space="preserve">  </w:t>
      </w:r>
      <w:bookmarkStart w:id="6" w:name="_Hlk151042702"/>
      <w:r w:rsidR="00517F02" w:rsidRPr="00802B42">
        <w:t xml:space="preserve">See </w:t>
      </w:r>
      <w:r w:rsidR="004C7FD8" w:rsidRPr="00802B42">
        <w:t>R</w:t>
      </w:r>
      <w:r w:rsidR="00202B5D" w:rsidRPr="00802B42">
        <w:t xml:space="preserve">ule </w:t>
      </w:r>
      <w:r w:rsidR="004956E7" w:rsidRPr="00802B42">
        <w:t>32 (2) </w:t>
      </w:r>
      <w:r w:rsidR="00FF0E2F" w:rsidRPr="00802B42">
        <w:t>(</w:t>
      </w:r>
      <w:r w:rsidR="004956E7" w:rsidRPr="00802B42">
        <w:t>a) of the URC.</w:t>
      </w:r>
      <w:bookmarkEnd w:id="5"/>
      <w:bookmarkEnd w:id="6"/>
    </w:p>
  </w:footnote>
  <w:footnote w:id="6">
    <w:p w14:paraId="18A7FA91" w14:textId="666B0440" w:rsidR="00681E2F" w:rsidRPr="00802B42" w:rsidRDefault="00EB2CC2" w:rsidP="00EA5435">
      <w:pPr>
        <w:pStyle w:val="FootnoteText"/>
      </w:pPr>
      <w:r w:rsidRPr="00802B42">
        <w:rPr>
          <w:rStyle w:val="FootnoteReference"/>
          <w:szCs w:val="18"/>
        </w:rPr>
        <w:footnoteRef/>
      </w:r>
      <w:r w:rsidRPr="00802B42">
        <w:t xml:space="preserve"> </w:t>
      </w:r>
      <w:r w:rsidRPr="00802B42">
        <w:tab/>
      </w:r>
      <w:r w:rsidRPr="00802B42">
        <w:rPr>
          <w:i/>
          <w:iCs/>
        </w:rPr>
        <w:t>Id</w:t>
      </w:r>
      <w:r w:rsidRPr="00802B42">
        <w:t xml:space="preserve">. </w:t>
      </w:r>
      <w:r w:rsidR="00F3234A" w:rsidRPr="00802B42">
        <w:t xml:space="preserve"> </w:t>
      </w:r>
      <w:r w:rsidR="00B67D2C" w:rsidRPr="00802B42">
        <w:t xml:space="preserve">See too, </w:t>
      </w:r>
      <w:r w:rsidR="004C7FD8" w:rsidRPr="00802B42">
        <w:t>R</w:t>
      </w:r>
      <w:r w:rsidR="00B67D2C" w:rsidRPr="00802B42">
        <w:t>ule 32 (2) (</w:t>
      </w:r>
      <w:r w:rsidR="00F3234A" w:rsidRPr="00802B42">
        <w:t>b</w:t>
      </w:r>
      <w:r w:rsidR="00B67D2C" w:rsidRPr="00802B42">
        <w:t>) of the URC.</w:t>
      </w:r>
    </w:p>
  </w:footnote>
  <w:footnote w:id="7">
    <w:p w14:paraId="13BBF125" w14:textId="7D790C69" w:rsidR="00DE0CF0" w:rsidRPr="00802B42" w:rsidRDefault="00DE0CF0" w:rsidP="00EA5435">
      <w:pPr>
        <w:pStyle w:val="FootnoteText"/>
      </w:pPr>
      <w:r w:rsidRPr="00802B42">
        <w:rPr>
          <w:rStyle w:val="FootnoteReference"/>
          <w:szCs w:val="18"/>
        </w:rPr>
        <w:footnoteRef/>
      </w:r>
      <w:r w:rsidRPr="00802B42">
        <w:t xml:space="preserve"> </w:t>
      </w:r>
      <w:r w:rsidR="00B67D2C" w:rsidRPr="00802B42">
        <w:tab/>
      </w:r>
      <w:r w:rsidR="00B67D2C" w:rsidRPr="00802B42">
        <w:rPr>
          <w:i/>
          <w:iCs/>
        </w:rPr>
        <w:t>Ibid</w:t>
      </w:r>
      <w:r w:rsidR="00B67D2C" w:rsidRPr="00802B42">
        <w:t>., para</w:t>
      </w:r>
      <w:r w:rsidR="00610AC8" w:rsidRPr="00802B42">
        <w:t>s</w:t>
      </w:r>
      <w:r w:rsidR="00B67D2C" w:rsidRPr="00802B42">
        <w:t xml:space="preserve"> </w:t>
      </w:r>
      <w:r w:rsidR="00610AC8" w:rsidRPr="00802B42">
        <w:t>4 to 19</w:t>
      </w:r>
      <w:r w:rsidR="00B67D2C" w:rsidRPr="00802B42">
        <w:t>, p</w:t>
      </w:r>
      <w:r w:rsidR="00610AC8" w:rsidRPr="00802B42">
        <w:t>p</w:t>
      </w:r>
      <w:r w:rsidR="00B67D2C" w:rsidRPr="00802B42">
        <w:t>. 006-6</w:t>
      </w:r>
      <w:r w:rsidR="00610AC8" w:rsidRPr="00802B42">
        <w:t xml:space="preserve"> to 00</w:t>
      </w:r>
      <w:r w:rsidR="00C76C4D" w:rsidRPr="00802B42">
        <w:t>6-9</w:t>
      </w:r>
      <w:r w:rsidR="00B67D2C" w:rsidRPr="00802B42">
        <w:t xml:space="preserve">.  </w:t>
      </w:r>
      <w:r w:rsidR="00C76C4D" w:rsidRPr="00802B42">
        <w:t>R</w:t>
      </w:r>
      <w:r w:rsidR="00B67D2C" w:rsidRPr="00802B42">
        <w:t>ule 32 (2) (</w:t>
      </w:r>
      <w:r w:rsidR="00F3234A" w:rsidRPr="00802B42">
        <w:t>b</w:t>
      </w:r>
      <w:r w:rsidR="00B67D2C" w:rsidRPr="00802B42">
        <w:t>) of the URC</w:t>
      </w:r>
      <w:r w:rsidR="00A80360" w:rsidRPr="00802B42">
        <w:t xml:space="preserve"> is also applicable here</w:t>
      </w:r>
      <w:r w:rsidR="00B67D2C" w:rsidRPr="00802B42">
        <w:t>.</w:t>
      </w:r>
    </w:p>
  </w:footnote>
  <w:footnote w:id="8">
    <w:p w14:paraId="2F6990BD" w14:textId="2B2CB075" w:rsidR="006E6061" w:rsidRPr="00A50989" w:rsidRDefault="006E6061" w:rsidP="00EA5435">
      <w:pPr>
        <w:pStyle w:val="FootnoteText"/>
      </w:pPr>
      <w:r w:rsidRPr="00802B42">
        <w:rPr>
          <w:rStyle w:val="FootnoteReference"/>
          <w:szCs w:val="18"/>
        </w:rPr>
        <w:footnoteRef/>
      </w:r>
      <w:r w:rsidRPr="00802B42">
        <w:t xml:space="preserve"> </w:t>
      </w:r>
      <w:r w:rsidRPr="00802B42">
        <w:tab/>
      </w:r>
      <w:r w:rsidR="00A146F7" w:rsidRPr="00802B42">
        <w:t xml:space="preserve">1976 (2) SA 226 (T) at </w:t>
      </w:r>
      <w:r w:rsidR="00C64FDD" w:rsidRPr="00802B42">
        <w:t>227C.</w:t>
      </w:r>
    </w:p>
  </w:footnote>
  <w:footnote w:id="9">
    <w:p w14:paraId="3085B302" w14:textId="40FB83CD" w:rsidR="00C42A60" w:rsidRPr="00A9293F" w:rsidRDefault="00C42A60" w:rsidP="00EA5435">
      <w:pPr>
        <w:pStyle w:val="FootnoteText"/>
      </w:pPr>
      <w:r w:rsidRPr="00A9293F">
        <w:rPr>
          <w:rStyle w:val="FootnoteReference"/>
        </w:rPr>
        <w:footnoteRef/>
      </w:r>
      <w:r w:rsidRPr="00A9293F">
        <w:t xml:space="preserve"> </w:t>
      </w:r>
      <w:r w:rsidRPr="00A9293F">
        <w:tab/>
      </w:r>
      <w:r w:rsidR="00CC1AD8" w:rsidRPr="00A9293F">
        <w:t xml:space="preserve">CaseLines: Plea: </w:t>
      </w:r>
      <w:bookmarkStart w:id="7" w:name="_Hlk151115761"/>
      <w:r w:rsidR="00CC1AD8" w:rsidRPr="00A9293F">
        <w:t xml:space="preserve">paras </w:t>
      </w:r>
      <w:r w:rsidR="000F6E80" w:rsidRPr="00A9293F">
        <w:t>1</w:t>
      </w:r>
      <w:r w:rsidR="00CC1AD8" w:rsidRPr="00A9293F">
        <w:t xml:space="preserve"> to </w:t>
      </w:r>
      <w:r w:rsidR="000F6E80" w:rsidRPr="00A9293F">
        <w:t>11</w:t>
      </w:r>
      <w:r w:rsidR="00CC1AD8" w:rsidRPr="00A9293F">
        <w:t>, pp. 00</w:t>
      </w:r>
      <w:r w:rsidR="000F6E80" w:rsidRPr="00A9293F">
        <w:t>4</w:t>
      </w:r>
      <w:r w:rsidR="00CC1AD8" w:rsidRPr="00A9293F">
        <w:t>-</w:t>
      </w:r>
      <w:r w:rsidR="000F6E80" w:rsidRPr="00A9293F">
        <w:t>2</w:t>
      </w:r>
      <w:r w:rsidR="00CC1AD8" w:rsidRPr="00A9293F">
        <w:t xml:space="preserve"> </w:t>
      </w:r>
      <w:r w:rsidR="000F6E80" w:rsidRPr="00A9293F">
        <w:t>to</w:t>
      </w:r>
      <w:r w:rsidR="00CC1AD8" w:rsidRPr="00A9293F">
        <w:t xml:space="preserve"> 00</w:t>
      </w:r>
      <w:r w:rsidR="000F6E80" w:rsidRPr="00A9293F">
        <w:t>4</w:t>
      </w:r>
      <w:r w:rsidR="00CC1AD8" w:rsidRPr="00A9293F">
        <w:t>-</w:t>
      </w:r>
      <w:r w:rsidR="00AF7BD7" w:rsidRPr="00A9293F">
        <w:t>8</w:t>
      </w:r>
      <w:r w:rsidR="00CC1AD8" w:rsidRPr="00A9293F">
        <w:t>.</w:t>
      </w:r>
      <w:bookmarkEnd w:id="7"/>
    </w:p>
  </w:footnote>
  <w:footnote w:id="10">
    <w:p w14:paraId="00E0B93C" w14:textId="75F28C63" w:rsidR="00560267" w:rsidRPr="00A9293F" w:rsidRDefault="00560267" w:rsidP="00EA5435">
      <w:pPr>
        <w:pStyle w:val="FootnoteText"/>
      </w:pPr>
      <w:r w:rsidRPr="00A9293F">
        <w:rPr>
          <w:rStyle w:val="FootnoteReference"/>
        </w:rPr>
        <w:footnoteRef/>
      </w:r>
      <w:r w:rsidRPr="00A9293F">
        <w:t xml:space="preserve"> </w:t>
      </w:r>
      <w:r w:rsidR="002902A4" w:rsidRPr="00A9293F">
        <w:tab/>
      </w:r>
      <w:r w:rsidR="002E6397" w:rsidRPr="00A9293F">
        <w:rPr>
          <w:i/>
          <w:iCs/>
        </w:rPr>
        <w:t>Ibid</w:t>
      </w:r>
      <w:r w:rsidR="002E6397" w:rsidRPr="00A9293F">
        <w:t>., paras 1</w:t>
      </w:r>
      <w:r w:rsidR="00BE0805" w:rsidRPr="00A9293F">
        <w:t>2</w:t>
      </w:r>
      <w:r w:rsidR="002E6397" w:rsidRPr="00A9293F">
        <w:t xml:space="preserve"> to 1</w:t>
      </w:r>
      <w:r w:rsidR="00BE0805" w:rsidRPr="00A9293F">
        <w:t>6</w:t>
      </w:r>
      <w:r w:rsidR="002E6397" w:rsidRPr="00A9293F">
        <w:t>, pp. 004-</w:t>
      </w:r>
      <w:r w:rsidR="00BE0805" w:rsidRPr="00A9293F">
        <w:t>8</w:t>
      </w:r>
      <w:r w:rsidR="002E6397" w:rsidRPr="00A9293F">
        <w:t xml:space="preserve"> </w:t>
      </w:r>
      <w:r w:rsidR="00BE0805" w:rsidRPr="00A9293F">
        <w:t>and</w:t>
      </w:r>
      <w:r w:rsidR="002E6397" w:rsidRPr="00A9293F">
        <w:t xml:space="preserve"> 004-</w:t>
      </w:r>
      <w:r w:rsidR="00BE0805" w:rsidRPr="00A9293F">
        <w:t>9</w:t>
      </w:r>
      <w:r w:rsidR="00F573B5" w:rsidRPr="00A9293F">
        <w:t xml:space="preserve">, especially paras 13 and 14, </w:t>
      </w:r>
      <w:r w:rsidR="009F3AFC" w:rsidRPr="00A9293F">
        <w:t>p. 004-8</w:t>
      </w:r>
      <w:r w:rsidR="002E6397" w:rsidRPr="00A9293F">
        <w:t>.</w:t>
      </w:r>
    </w:p>
  </w:footnote>
  <w:footnote w:id="11">
    <w:p w14:paraId="1FB46672" w14:textId="422FCD99" w:rsidR="003855A6" w:rsidRPr="00A9293F" w:rsidRDefault="003855A6" w:rsidP="00EA5435">
      <w:pPr>
        <w:pStyle w:val="FootnoteText"/>
      </w:pPr>
      <w:r w:rsidRPr="00A9293F">
        <w:rPr>
          <w:rStyle w:val="FootnoteReference"/>
        </w:rPr>
        <w:footnoteRef/>
      </w:r>
      <w:r w:rsidRPr="00A9293F">
        <w:t xml:space="preserve"> </w:t>
      </w:r>
      <w:r w:rsidR="00A77B6E" w:rsidRPr="00A9293F">
        <w:tab/>
      </w:r>
      <w:bookmarkStart w:id="8" w:name="_Hlk151116202"/>
      <w:r w:rsidR="000C195F" w:rsidRPr="00A9293F">
        <w:rPr>
          <w:i/>
          <w:iCs/>
        </w:rPr>
        <w:t>Ibid</w:t>
      </w:r>
      <w:r w:rsidR="000C195F" w:rsidRPr="00A9293F">
        <w:t>., para</w:t>
      </w:r>
      <w:r w:rsidR="005710D7" w:rsidRPr="00A9293F">
        <w:t>s</w:t>
      </w:r>
      <w:r w:rsidR="00F90574" w:rsidRPr="00A9293F">
        <w:t xml:space="preserve"> 3</w:t>
      </w:r>
      <w:r w:rsidR="005710D7" w:rsidRPr="00A9293F">
        <w:t>, 4 and 5</w:t>
      </w:r>
      <w:r w:rsidR="00A277B5" w:rsidRPr="00A9293F">
        <w:t xml:space="preserve"> (inclusive of </w:t>
      </w:r>
      <w:r w:rsidR="005710D7" w:rsidRPr="00A9293F">
        <w:t xml:space="preserve">the </w:t>
      </w:r>
      <w:r w:rsidR="00A277B5" w:rsidRPr="00A9293F">
        <w:t xml:space="preserve">subparas </w:t>
      </w:r>
      <w:r w:rsidR="00C13805" w:rsidRPr="00A9293F">
        <w:t>in each of them)</w:t>
      </w:r>
      <w:r w:rsidR="000C195F" w:rsidRPr="00A9293F">
        <w:t>, pp. 004-</w:t>
      </w:r>
      <w:r w:rsidR="0025250E" w:rsidRPr="00A9293F">
        <w:t>9</w:t>
      </w:r>
      <w:r w:rsidR="000C195F" w:rsidRPr="00A9293F">
        <w:t xml:space="preserve"> </w:t>
      </w:r>
      <w:r w:rsidR="00C36D04" w:rsidRPr="00A9293F">
        <w:t>to</w:t>
      </w:r>
      <w:r w:rsidR="000C195F" w:rsidRPr="00A9293F">
        <w:t xml:space="preserve"> 004-</w:t>
      </w:r>
      <w:r w:rsidR="00C36D04" w:rsidRPr="00A9293F">
        <w:t>12</w:t>
      </w:r>
      <w:r w:rsidR="000C195F" w:rsidRPr="00A9293F">
        <w:t>.</w:t>
      </w:r>
      <w:bookmarkEnd w:id="8"/>
    </w:p>
  </w:footnote>
  <w:footnote w:id="12">
    <w:p w14:paraId="6748D27D" w14:textId="7DDD9551" w:rsidR="003F6085" w:rsidRPr="00A9293F" w:rsidRDefault="003F6085" w:rsidP="00EA5435">
      <w:pPr>
        <w:pStyle w:val="FootnoteText"/>
      </w:pPr>
      <w:r w:rsidRPr="00A9293F">
        <w:rPr>
          <w:rStyle w:val="FootnoteReference"/>
        </w:rPr>
        <w:footnoteRef/>
      </w:r>
      <w:r w:rsidRPr="00A9293F">
        <w:t xml:space="preserve"> </w:t>
      </w:r>
      <w:r w:rsidRPr="00A9293F">
        <w:tab/>
      </w:r>
      <w:r w:rsidRPr="00A9293F">
        <w:rPr>
          <w:i/>
          <w:iCs/>
        </w:rPr>
        <w:t>Ibid</w:t>
      </w:r>
      <w:r w:rsidRPr="00A9293F">
        <w:t>., para 5.4, pp. 004-</w:t>
      </w:r>
      <w:r w:rsidR="00817670" w:rsidRPr="00A9293F">
        <w:t>11</w:t>
      </w:r>
      <w:r w:rsidRPr="00A9293F">
        <w:t xml:space="preserve"> </w:t>
      </w:r>
      <w:r w:rsidR="00817670" w:rsidRPr="00A9293F">
        <w:t>and</w:t>
      </w:r>
      <w:r w:rsidRPr="00A9293F">
        <w:t xml:space="preserve"> 004-12.</w:t>
      </w:r>
    </w:p>
  </w:footnote>
  <w:footnote w:id="13">
    <w:p w14:paraId="6FC5E461" w14:textId="1915C08F" w:rsidR="000C34FF" w:rsidRPr="00A50989" w:rsidRDefault="000C34FF" w:rsidP="00EA5435">
      <w:pPr>
        <w:pStyle w:val="FootnoteText"/>
      </w:pPr>
      <w:r w:rsidRPr="00A9293F">
        <w:rPr>
          <w:rStyle w:val="FootnoteReference"/>
        </w:rPr>
        <w:footnoteRef/>
      </w:r>
      <w:r w:rsidRPr="00A9293F">
        <w:t xml:space="preserve"> </w:t>
      </w:r>
      <w:r w:rsidRPr="00A9293F">
        <w:tab/>
        <w:t>See Rule 32 (3) (b)</w:t>
      </w:r>
      <w:r w:rsidR="008B03FF" w:rsidRPr="00A9293F">
        <w:t xml:space="preserve"> of the URC</w:t>
      </w:r>
      <w:r w:rsidRPr="00A50989">
        <w:t>.</w:t>
      </w:r>
      <w:r w:rsidR="003F0068" w:rsidRPr="00A50989">
        <w:t xml:space="preserve">  </w:t>
      </w:r>
    </w:p>
  </w:footnote>
  <w:footnote w:id="14">
    <w:p w14:paraId="08736EF4" w14:textId="6260B374" w:rsidR="00B978B6" w:rsidRPr="00CE4ED3" w:rsidRDefault="00B978B6" w:rsidP="00EA5435">
      <w:pPr>
        <w:pStyle w:val="FootnoteText"/>
      </w:pPr>
      <w:r w:rsidRPr="00CE4ED3">
        <w:rPr>
          <w:rStyle w:val="FootnoteReference"/>
          <w:szCs w:val="18"/>
        </w:rPr>
        <w:footnoteRef/>
      </w:r>
      <w:r w:rsidRPr="00CE4ED3">
        <w:t xml:space="preserve"> </w:t>
      </w:r>
      <w:r w:rsidRPr="00CE4ED3">
        <w:tab/>
        <w:t>Dendy, M and Loots, C</w:t>
      </w:r>
      <w:r w:rsidR="00B40379" w:rsidRPr="00CE4ED3">
        <w:t xml:space="preserve">, </w:t>
      </w:r>
      <w:r w:rsidRPr="00CE4ED3">
        <w:rPr>
          <w:b/>
          <w:bCs/>
        </w:rPr>
        <w:t>Herbstein and Van Winsen - The Civil Practice of the Superior Courts of South Africa</w:t>
      </w:r>
      <w:r w:rsidRPr="00CE4ED3">
        <w:t xml:space="preserve"> –</w:t>
      </w:r>
      <w:r w:rsidR="00E4136A" w:rsidRPr="00CE4ED3">
        <w:t xml:space="preserve"> sixth edition </w:t>
      </w:r>
      <w:r w:rsidRPr="00CE4ED3">
        <w:t>– Juta, 2022 (Loose-leaf update)</w:t>
      </w:r>
      <w:r w:rsidR="00E4136A" w:rsidRPr="00CE4ED3">
        <w:t xml:space="preserve"> at </w:t>
      </w:r>
      <w:r w:rsidR="00E17238" w:rsidRPr="00CE4ED3">
        <w:t>§</w:t>
      </w:r>
      <w:r w:rsidR="00B81BE3" w:rsidRPr="00CE4ED3">
        <w:t xml:space="preserve">5.3, </w:t>
      </w:r>
      <w:r w:rsidR="009B4610" w:rsidRPr="00CE4ED3">
        <w:t>OS, 2021 p16-40.</w:t>
      </w:r>
      <w:r w:rsidR="002241CF" w:rsidRPr="00CE4ED3">
        <w:t xml:space="preserve">  See too the authorities cited by the authors in footnote 30 of this section</w:t>
      </w:r>
      <w:r w:rsidR="003256EA" w:rsidRPr="00CE4ED3">
        <w:t xml:space="preserve"> at </w:t>
      </w:r>
      <w:r w:rsidR="009270AC" w:rsidRPr="00CE4ED3">
        <w:t>OS, 2021 p16-54</w:t>
      </w:r>
      <w:r w:rsidR="003256EA" w:rsidRPr="00CE4ED3">
        <w:t xml:space="preserve">, including </w:t>
      </w:r>
      <w:r w:rsidR="003256EA" w:rsidRPr="00CE4ED3">
        <w:rPr>
          <w:b/>
          <w:bCs/>
          <w:i/>
          <w:iCs/>
        </w:rPr>
        <w:t>Shackleton Credit Management (Pty) Ltd v Microzone Trading 88 CC &amp; Another</w:t>
      </w:r>
      <w:r w:rsidR="003256EA" w:rsidRPr="00CE4ED3">
        <w:t xml:space="preserve"> 2010 (5) SA 112 (KZP) at paras [7] to [16</w:t>
      </w:r>
      <w:r w:rsidR="00935F25" w:rsidRPr="00CE4ED3">
        <w:t>], pp. 1</w:t>
      </w:r>
      <w:r w:rsidR="003256EA" w:rsidRPr="00CE4ED3">
        <w:t>15G-119G</w:t>
      </w:r>
      <w:r w:rsidR="00935F25" w:rsidRPr="00CE4ED3">
        <w:t xml:space="preserve">.  </w:t>
      </w:r>
    </w:p>
  </w:footnote>
  <w:footnote w:id="15">
    <w:p w14:paraId="6FB8C229" w14:textId="35BF9494" w:rsidR="00F506E9" w:rsidRPr="00CE4ED3" w:rsidRDefault="00F506E9" w:rsidP="00EA5435">
      <w:pPr>
        <w:pStyle w:val="FootnoteText"/>
      </w:pPr>
      <w:r w:rsidRPr="00CE4ED3">
        <w:rPr>
          <w:rStyle w:val="FootnoteReference"/>
          <w:szCs w:val="18"/>
        </w:rPr>
        <w:footnoteRef/>
      </w:r>
      <w:r w:rsidRPr="00CE4ED3">
        <w:t xml:space="preserve"> </w:t>
      </w:r>
      <w:r w:rsidRPr="00CE4ED3">
        <w:tab/>
        <w:t xml:space="preserve">Section 20 of PSIRA </w:t>
      </w:r>
      <w:r w:rsidR="00916DA3" w:rsidRPr="00CE4ED3">
        <w:t>provides as follows:</w:t>
      </w:r>
    </w:p>
    <w:p w14:paraId="3DCBEE3C" w14:textId="5FE845D6" w:rsidR="00916DA3" w:rsidRPr="00A50989" w:rsidRDefault="005B0BCD" w:rsidP="00EA5435">
      <w:pPr>
        <w:pStyle w:val="FootnoteText"/>
      </w:pPr>
      <w:r w:rsidRPr="00CE4ED3">
        <w:t>'</w:t>
      </w:r>
      <w:r w:rsidR="007B4A2E" w:rsidRPr="00CE4ED3">
        <w:t xml:space="preserve">Obligation to register and </w:t>
      </w:r>
      <w:r w:rsidR="001D576A" w:rsidRPr="00CE4ED3">
        <w:t>exemptions — (</w:t>
      </w:r>
      <w:r w:rsidR="007B4A2E" w:rsidRPr="00CE4ED3">
        <w:t>1)</w:t>
      </w:r>
      <w:r w:rsidR="00E8524F" w:rsidRPr="00CE4ED3">
        <w:t> </w:t>
      </w:r>
      <w:r w:rsidR="007B4A2E" w:rsidRPr="00CE4ED3">
        <w:t>(</w:t>
      </w:r>
      <w:r w:rsidR="00BE48BC" w:rsidRPr="00CE4ED3">
        <w:t xml:space="preserve">a) </w:t>
      </w:r>
      <w:bookmarkStart w:id="11" w:name="_Hlk151563014"/>
      <w:r w:rsidR="00BE48BC" w:rsidRPr="00CE4ED3">
        <w:t>No</w:t>
      </w:r>
      <w:r w:rsidR="007B4A2E" w:rsidRPr="00CE4ED3">
        <w:t xml:space="preserve"> person, except a Security Service contemplated in section 199 of the Constitution (Act No. 108 of 1996), may in any manner render a security service for </w:t>
      </w:r>
      <w:bookmarkStart w:id="12" w:name="_Hlk151551919"/>
      <w:r w:rsidR="007B4A2E" w:rsidRPr="00CE4ED3">
        <w:t>remuneration, reward, a fee or benefit</w:t>
      </w:r>
      <w:bookmarkEnd w:id="12"/>
      <w:r w:rsidR="007B4A2E" w:rsidRPr="00CE4ED3">
        <w:t xml:space="preserve">, unless such a person is registered as a security service provider in terms </w:t>
      </w:r>
      <w:bookmarkEnd w:id="11"/>
      <w:r w:rsidR="007B4A2E" w:rsidRPr="00CE4ED3">
        <w:t>of this Act.</w:t>
      </w:r>
      <w:r w:rsidR="006B096E" w:rsidRPr="00CE4ED3">
        <w:t>’</w:t>
      </w:r>
      <w:r w:rsidR="00E8524F" w:rsidRPr="00CE4ED3">
        <w:t xml:space="preserve">  (Own emphasis</w:t>
      </w:r>
      <w:r w:rsidR="003B4D11" w:rsidRPr="00CE4ED3">
        <w:t>).</w:t>
      </w:r>
    </w:p>
  </w:footnote>
  <w:footnote w:id="16">
    <w:p w14:paraId="5CDFCA6D" w14:textId="3EEF347C" w:rsidR="006F2567" w:rsidRPr="00670683" w:rsidRDefault="006F2567" w:rsidP="00EA5435">
      <w:pPr>
        <w:pStyle w:val="FootnoteText"/>
      </w:pPr>
      <w:r w:rsidRPr="00670683">
        <w:rPr>
          <w:rStyle w:val="FootnoteReference"/>
          <w:szCs w:val="18"/>
        </w:rPr>
        <w:footnoteRef/>
      </w:r>
      <w:r w:rsidRPr="00670683">
        <w:rPr>
          <w:szCs w:val="18"/>
        </w:rPr>
        <w:t xml:space="preserve"> </w:t>
      </w:r>
      <w:r w:rsidR="001C2E0E" w:rsidRPr="00A50989">
        <w:tab/>
      </w:r>
      <w:r w:rsidR="00E53F51" w:rsidRPr="00670683">
        <w:t xml:space="preserve">Section 1 (1) of PSIRA </w:t>
      </w:r>
      <w:r w:rsidR="008777A5" w:rsidRPr="00670683">
        <w:rPr>
          <w:i/>
          <w:iCs/>
        </w:rPr>
        <w:t>sv</w:t>
      </w:r>
      <w:r w:rsidR="00CB1A2D" w:rsidRPr="00670683">
        <w:t xml:space="preserve"> </w:t>
      </w:r>
      <w:r w:rsidR="003F7C24" w:rsidRPr="00670683">
        <w:t>‘</w:t>
      </w:r>
      <w:r w:rsidR="003F7C24" w:rsidRPr="00670683">
        <w:rPr>
          <w:i/>
          <w:iCs/>
        </w:rPr>
        <w:t>security service</w:t>
      </w:r>
      <w:r w:rsidR="003F7C24" w:rsidRPr="00670683">
        <w:t>' under paragraph (</w:t>
      </w:r>
      <w:r w:rsidR="006836D7" w:rsidRPr="00670683">
        <w:t>a</w:t>
      </w:r>
      <w:r w:rsidR="003F7C24" w:rsidRPr="00670683">
        <w:t>).</w:t>
      </w:r>
    </w:p>
  </w:footnote>
  <w:footnote w:id="17">
    <w:p w14:paraId="2209FD48" w14:textId="171EE3C4" w:rsidR="008C4965" w:rsidRPr="00A50989" w:rsidRDefault="008C4965" w:rsidP="00EA5435">
      <w:pPr>
        <w:pStyle w:val="FootnoteText"/>
      </w:pPr>
      <w:r w:rsidRPr="00670683">
        <w:rPr>
          <w:rStyle w:val="FootnoteReference"/>
        </w:rPr>
        <w:footnoteRef/>
      </w:r>
      <w:r w:rsidRPr="00670683">
        <w:t xml:space="preserve"> </w:t>
      </w:r>
      <w:r w:rsidRPr="00670683">
        <w:tab/>
        <w:t xml:space="preserve">CaseLines: </w:t>
      </w:r>
      <w:bookmarkStart w:id="16" w:name="_Hlk151806843"/>
      <w:r w:rsidR="00092F5C" w:rsidRPr="00670683">
        <w:t xml:space="preserve">annexure </w:t>
      </w:r>
      <w:r w:rsidRPr="00670683">
        <w:rPr>
          <w:b/>
          <w:bCs/>
        </w:rPr>
        <w:t>POC</w:t>
      </w:r>
      <w:r w:rsidR="00092F5C" w:rsidRPr="00670683">
        <w:rPr>
          <w:b/>
          <w:bCs/>
        </w:rPr>
        <w:t> 1</w:t>
      </w:r>
      <w:r w:rsidRPr="00670683">
        <w:t>, p. 001-</w:t>
      </w:r>
      <w:r w:rsidR="00092F5C" w:rsidRPr="00670683">
        <w:t>10</w:t>
      </w:r>
      <w:r w:rsidRPr="00A50989">
        <w:t>.</w:t>
      </w:r>
      <w:bookmarkEnd w:id="16"/>
    </w:p>
  </w:footnote>
  <w:footnote w:id="18">
    <w:p w14:paraId="2322CA6D" w14:textId="1E199527" w:rsidR="002C7335" w:rsidRPr="00A50989" w:rsidRDefault="002C7335" w:rsidP="00EA5435">
      <w:pPr>
        <w:pStyle w:val="FootnoteText"/>
      </w:pPr>
      <w:r w:rsidRPr="00A50989">
        <w:rPr>
          <w:rStyle w:val="FootnoteReference"/>
        </w:rPr>
        <w:footnoteRef/>
      </w:r>
      <w:r w:rsidRPr="00A50989">
        <w:t xml:space="preserve"> </w:t>
      </w:r>
      <w:r w:rsidRPr="00A50989">
        <w:tab/>
      </w:r>
      <w:bookmarkStart w:id="18" w:name="_Hlk151553492"/>
      <w:r w:rsidR="0092185D" w:rsidRPr="00A50989">
        <w:t>See s</w:t>
      </w:r>
      <w:r w:rsidR="00F906DA" w:rsidRPr="00A50989">
        <w:t xml:space="preserve"> 38 (3) (a) (i) of PSIRA.  </w:t>
      </w:r>
      <w:bookmarkEnd w:id="18"/>
    </w:p>
  </w:footnote>
  <w:footnote w:id="19">
    <w:p w14:paraId="161E1B01" w14:textId="70D0A4FD" w:rsidR="003459F0" w:rsidRPr="00670683" w:rsidRDefault="003459F0" w:rsidP="00EA5435">
      <w:pPr>
        <w:pStyle w:val="FootnoteText"/>
      </w:pPr>
      <w:r w:rsidRPr="00670683">
        <w:rPr>
          <w:rStyle w:val="FootnoteReference"/>
          <w:szCs w:val="18"/>
        </w:rPr>
        <w:footnoteRef/>
      </w:r>
      <w:r w:rsidRPr="00670683">
        <w:t xml:space="preserve"> </w:t>
      </w:r>
      <w:r w:rsidRPr="00670683">
        <w:tab/>
        <w:t xml:space="preserve">See s 38 (3) (a) (ii) of PSIRA.  </w:t>
      </w:r>
    </w:p>
  </w:footnote>
  <w:footnote w:id="20">
    <w:p w14:paraId="057075E2" w14:textId="3F5C50CA" w:rsidR="00BD1EBE" w:rsidRPr="006F6727" w:rsidRDefault="00BD1EBE" w:rsidP="00EA5435">
      <w:pPr>
        <w:pStyle w:val="FootnoteText"/>
      </w:pPr>
      <w:r w:rsidRPr="006F6727">
        <w:rPr>
          <w:rStyle w:val="FootnoteReference"/>
        </w:rPr>
        <w:footnoteRef/>
      </w:r>
      <w:r w:rsidRPr="006F6727">
        <w:t xml:space="preserve"> </w:t>
      </w:r>
      <w:r w:rsidRPr="006F6727">
        <w:tab/>
      </w:r>
      <w:r w:rsidR="00C02272" w:rsidRPr="006F6727">
        <w:t>The word '</w:t>
      </w:r>
      <w:r w:rsidR="00C02272" w:rsidRPr="006F6727">
        <w:rPr>
          <w:i/>
          <w:iCs/>
        </w:rPr>
        <w:t>inconsistent</w:t>
      </w:r>
      <w:r w:rsidR="00C02272" w:rsidRPr="006F6727">
        <w:t>' is defined in</w:t>
      </w:r>
      <w:r w:rsidR="000A3374" w:rsidRPr="006F6727">
        <w:t xml:space="preserve"> </w:t>
      </w:r>
      <w:r w:rsidR="000A3374" w:rsidRPr="006F6727">
        <w:rPr>
          <w:b/>
          <w:bCs/>
        </w:rPr>
        <w:t>The New Shorter Oxford English Dictionary</w:t>
      </w:r>
      <w:r w:rsidR="000A3374" w:rsidRPr="006F6727">
        <w:t xml:space="preserve"> (Clarendon Press-Oxford</w:t>
      </w:r>
      <w:r w:rsidR="00A32FB6" w:rsidRPr="006F6727">
        <w:t>), 1993, Volume 1 (A-M)</w:t>
      </w:r>
      <w:r w:rsidR="003E1E2B" w:rsidRPr="006F6727">
        <w:t>, p. 1341</w:t>
      </w:r>
      <w:r w:rsidR="000B6D50" w:rsidRPr="006F6727">
        <w:t xml:space="preserve">, as follows: </w:t>
      </w:r>
      <w:r w:rsidR="003F2290" w:rsidRPr="006F6727">
        <w:t>'</w:t>
      </w:r>
      <w:r w:rsidR="00F145A2" w:rsidRPr="006F6727">
        <w:t>1</w:t>
      </w:r>
      <w:r w:rsidR="004A2943" w:rsidRPr="006F6727">
        <w:t>.</w:t>
      </w:r>
      <w:bookmarkStart w:id="20" w:name="_Hlk151565334"/>
      <w:r w:rsidR="002B0BCA" w:rsidRPr="006F6727">
        <w:t>  </w:t>
      </w:r>
      <w:r w:rsidR="00086E83" w:rsidRPr="006F6727">
        <w:rPr>
          <w:b/>
          <w:bCs/>
        </w:rPr>
        <w:t>Not in keeping, discordant, at variance</w:t>
      </w:r>
      <w:bookmarkEnd w:id="20"/>
      <w:r w:rsidR="00CE3021" w:rsidRPr="006F6727">
        <w:t xml:space="preserve"> …</w:t>
      </w:r>
      <w:r w:rsidR="0014388E" w:rsidRPr="006F6727">
        <w:t xml:space="preserve"> incompatible, incongruous</w:t>
      </w:r>
      <w:r w:rsidR="004A2943" w:rsidRPr="006F6727">
        <w:t xml:space="preserve"> … 2.</w:t>
      </w:r>
      <w:r w:rsidR="002B0BCA" w:rsidRPr="006F6727">
        <w:t>  </w:t>
      </w:r>
      <w:r w:rsidR="005B63F6" w:rsidRPr="006F6727">
        <w:t>Lacking the harmony between different parts or elements; self-contradictory …</w:t>
      </w:r>
      <w:r w:rsidR="000E31D4" w:rsidRPr="006F6727">
        <w:t>'</w:t>
      </w:r>
      <w:r w:rsidR="00B31BC6" w:rsidRPr="006F6727">
        <w:t xml:space="preserve"> (Own emphasis).</w:t>
      </w:r>
    </w:p>
  </w:footnote>
  <w:footnote w:id="21">
    <w:p w14:paraId="1743DA3B" w14:textId="1D326D62" w:rsidR="007E211D" w:rsidRPr="006F6727" w:rsidRDefault="007E211D" w:rsidP="00EA5435">
      <w:pPr>
        <w:pStyle w:val="FootnoteText"/>
      </w:pPr>
      <w:r w:rsidRPr="006F6727">
        <w:rPr>
          <w:rStyle w:val="FootnoteReference"/>
        </w:rPr>
        <w:footnoteRef/>
      </w:r>
      <w:r w:rsidRPr="006F6727">
        <w:t xml:space="preserve"> </w:t>
      </w:r>
      <w:r w:rsidRPr="006F6727">
        <w:tab/>
        <w:t xml:space="preserve">Natal Joint Municipal Pension Fund v Endumeni Municipality 2012 (4) SA 593 (SCA) at paras [18] and [19], pp. 603 E to 605 B; </w:t>
      </w:r>
      <w:r w:rsidR="00922578" w:rsidRPr="006F6727">
        <w:t>Cool Ideas 1186 CC v Hubbard and Another</w:t>
      </w:r>
      <w:r w:rsidR="00441E8F" w:rsidRPr="006F6727">
        <w:t> </w:t>
      </w:r>
      <w:r w:rsidR="00922578" w:rsidRPr="006F6727">
        <w:t>2014 (4) SA 474 (CC)</w:t>
      </w:r>
      <w:r w:rsidR="00BE32A2" w:rsidRPr="006F6727">
        <w:t xml:space="preserve"> at para [28], p 4</w:t>
      </w:r>
      <w:r w:rsidR="00B37571" w:rsidRPr="006F6727">
        <w:t xml:space="preserve">84 F to 485 A; </w:t>
      </w:r>
      <w:r w:rsidRPr="006F6727">
        <w:t>Telkom SA SOC Ltd v Commissioner, South African Revenue Service 2020 (4) SA 480 (SCA) at paras [10] to [17], pp. 485 to 489; and Capitec Bank Holdings Ltd and Another v Coral Lagoon Investments 194 (Pty) Ltd and Others 2022 (1) SA 100 (SCA) at para [25], pp. 107 and 108, as well as at paras [49] to [51], p. 115.</w:t>
      </w:r>
    </w:p>
  </w:footnote>
  <w:footnote w:id="22">
    <w:p w14:paraId="3B0E7EAF" w14:textId="5DE1E8E1" w:rsidR="002867E0" w:rsidRPr="006F6727" w:rsidRDefault="002867E0" w:rsidP="00EA5435">
      <w:pPr>
        <w:pStyle w:val="FootnoteText"/>
      </w:pPr>
      <w:r w:rsidRPr="006F6727">
        <w:rPr>
          <w:rStyle w:val="FootnoteReference"/>
        </w:rPr>
        <w:footnoteRef/>
      </w:r>
      <w:r w:rsidRPr="006F6727">
        <w:t xml:space="preserve"> </w:t>
      </w:r>
      <w:r w:rsidRPr="006F6727">
        <w:tab/>
        <w:t>See, in this regard, footnote 20 above.</w:t>
      </w:r>
    </w:p>
  </w:footnote>
  <w:footnote w:id="23">
    <w:p w14:paraId="6360602A" w14:textId="06B23622" w:rsidR="008A63C5" w:rsidRPr="006F6727" w:rsidRDefault="008A63C5" w:rsidP="00EA5435">
      <w:pPr>
        <w:pStyle w:val="FootnoteText"/>
      </w:pPr>
      <w:r w:rsidRPr="006F6727">
        <w:rPr>
          <w:rStyle w:val="FootnoteReference"/>
        </w:rPr>
        <w:footnoteRef/>
      </w:r>
      <w:r w:rsidRPr="006F6727">
        <w:t xml:space="preserve"> </w:t>
      </w:r>
      <w:r w:rsidRPr="006F6727">
        <w:tab/>
        <w:t xml:space="preserve">Van Loggerenberg, DE at </w:t>
      </w:r>
      <w:r w:rsidR="000A3DF4" w:rsidRPr="006F6727">
        <w:t>RS 21, 2023, D1-402 I.</w:t>
      </w:r>
    </w:p>
  </w:footnote>
  <w:footnote w:id="24">
    <w:p w14:paraId="44428CDE" w14:textId="6C13DDCD" w:rsidR="00B64370" w:rsidRPr="006F6727" w:rsidRDefault="00B64370" w:rsidP="00EA5435">
      <w:pPr>
        <w:pStyle w:val="FootnoteText"/>
      </w:pPr>
      <w:r w:rsidRPr="006F6727">
        <w:rPr>
          <w:rStyle w:val="FootnoteReference"/>
          <w:szCs w:val="18"/>
        </w:rPr>
        <w:footnoteRef/>
      </w:r>
      <w:r w:rsidRPr="006F6727">
        <w:t xml:space="preserve"> </w:t>
      </w:r>
      <w:r w:rsidRPr="006F6727">
        <w:tab/>
        <w:t>1922 AD 16</w:t>
      </w:r>
      <w:r w:rsidR="00312EBF" w:rsidRPr="006F6727">
        <w:t xml:space="preserve"> at p. 23.</w:t>
      </w:r>
    </w:p>
  </w:footnote>
  <w:footnote w:id="25">
    <w:p w14:paraId="26FA337A" w14:textId="17141C1D" w:rsidR="00456DBF" w:rsidRPr="00A50989" w:rsidRDefault="00456DBF" w:rsidP="00EA5435">
      <w:pPr>
        <w:pStyle w:val="FootnoteText"/>
      </w:pPr>
      <w:r w:rsidRPr="006F6727">
        <w:rPr>
          <w:rStyle w:val="FootnoteReference"/>
          <w:szCs w:val="18"/>
        </w:rPr>
        <w:footnoteRef/>
      </w:r>
      <w:r w:rsidRPr="006F6727">
        <w:t xml:space="preserve"> </w:t>
      </w:r>
      <w:r w:rsidRPr="006F6727">
        <w:tab/>
        <w:t>2020 (1) SA 327 (CC)</w:t>
      </w:r>
      <w:r w:rsidR="007140E9" w:rsidRPr="006F6727">
        <w:t xml:space="preserve"> at </w:t>
      </w:r>
      <w:r w:rsidR="00CA25CC" w:rsidRPr="006F6727">
        <w:t xml:space="preserve">paras [50] to [53], </w:t>
      </w:r>
      <w:r w:rsidR="007F5B27" w:rsidRPr="006F6727">
        <w:t>pp. 343</w:t>
      </w:r>
      <w:r w:rsidR="001227A8" w:rsidRPr="006F6727">
        <w:t xml:space="preserve"> and 344</w:t>
      </w:r>
      <w:r w:rsidR="001227A8" w:rsidRPr="002F3ED4">
        <w:t>.</w:t>
      </w:r>
    </w:p>
  </w:footnote>
  <w:footnote w:id="26">
    <w:p w14:paraId="71415C07" w14:textId="05298166" w:rsidR="00224B82" w:rsidRPr="006F6727" w:rsidRDefault="00224B82" w:rsidP="00EA5435">
      <w:pPr>
        <w:pStyle w:val="FootnoteText"/>
      </w:pPr>
      <w:r w:rsidRPr="006F6727">
        <w:rPr>
          <w:rStyle w:val="FootnoteReference"/>
        </w:rPr>
        <w:footnoteRef/>
      </w:r>
      <w:r w:rsidRPr="006F6727">
        <w:t xml:space="preserve"> </w:t>
      </w:r>
      <w:r w:rsidRPr="006F6727">
        <w:tab/>
      </w:r>
      <w:r w:rsidR="00C643F8" w:rsidRPr="006F6727">
        <w:t>1926 AD 99.</w:t>
      </w:r>
    </w:p>
  </w:footnote>
  <w:footnote w:id="27">
    <w:p w14:paraId="07D59AD9" w14:textId="32EF35A9" w:rsidR="00532BE6" w:rsidRPr="006F6727" w:rsidRDefault="00532BE6" w:rsidP="00EA5435">
      <w:pPr>
        <w:pStyle w:val="FootnoteText"/>
      </w:pPr>
      <w:r w:rsidRPr="006F6727">
        <w:rPr>
          <w:rStyle w:val="FootnoteReference"/>
        </w:rPr>
        <w:footnoteRef/>
      </w:r>
      <w:r w:rsidRPr="006F6727">
        <w:t xml:space="preserve"> </w:t>
      </w:r>
      <w:r w:rsidRPr="006F6727">
        <w:tab/>
      </w:r>
      <w:bookmarkStart w:id="26" w:name="_Hlk151732817"/>
      <w:r w:rsidRPr="006F6727">
        <w:rPr>
          <w:b/>
          <w:bCs/>
          <w:i/>
          <w:iCs/>
        </w:rPr>
        <w:t>Schier</w:t>
      </w:r>
      <w:r w:rsidR="00ED38B8" w:rsidRPr="006F6727">
        <w:rPr>
          <w:b/>
          <w:bCs/>
          <w:i/>
          <w:iCs/>
        </w:rPr>
        <w:t>hout</w:t>
      </w:r>
      <w:r w:rsidR="00ED38B8" w:rsidRPr="006F6727">
        <w:t xml:space="preserve">, </w:t>
      </w:r>
      <w:r w:rsidR="00ED38B8" w:rsidRPr="006F6727">
        <w:rPr>
          <w:i/>
          <w:iCs/>
        </w:rPr>
        <w:t>supra</w:t>
      </w:r>
      <w:r w:rsidR="00ED38B8" w:rsidRPr="006F6727">
        <w:t xml:space="preserve">, at p. </w:t>
      </w:r>
      <w:r w:rsidR="004772BB" w:rsidRPr="006F6727">
        <w:t>109.</w:t>
      </w:r>
      <w:bookmarkEnd w:id="26"/>
    </w:p>
  </w:footnote>
  <w:footnote w:id="28">
    <w:p w14:paraId="5BDD46C3" w14:textId="06D76B42" w:rsidR="00B85BAC" w:rsidRPr="006F6727" w:rsidRDefault="00B85BAC" w:rsidP="00EA5435">
      <w:pPr>
        <w:pStyle w:val="FootnoteText"/>
      </w:pPr>
      <w:r w:rsidRPr="006F6727">
        <w:rPr>
          <w:rStyle w:val="FootnoteReference"/>
        </w:rPr>
        <w:footnoteRef/>
      </w:r>
      <w:r w:rsidRPr="006F6727">
        <w:t xml:space="preserve"> </w:t>
      </w:r>
      <w:r w:rsidRPr="006F6727">
        <w:tab/>
        <w:t>2010 (6) SA 457 (SCA)</w:t>
      </w:r>
    </w:p>
  </w:footnote>
  <w:footnote w:id="29">
    <w:p w14:paraId="42B36376" w14:textId="0BC74DD9" w:rsidR="00085BF6" w:rsidRPr="00A50989" w:rsidRDefault="00085BF6" w:rsidP="00EA5435">
      <w:pPr>
        <w:pStyle w:val="FootnoteText"/>
      </w:pPr>
      <w:r w:rsidRPr="006F6727">
        <w:rPr>
          <w:rStyle w:val="FootnoteReference"/>
        </w:rPr>
        <w:footnoteRef/>
      </w:r>
      <w:r w:rsidRPr="006F6727">
        <w:t xml:space="preserve"> </w:t>
      </w:r>
      <w:r w:rsidRPr="006F6727">
        <w:tab/>
      </w:r>
      <w:r w:rsidR="00EF4144" w:rsidRPr="006F6727">
        <w:rPr>
          <w:b/>
          <w:bCs/>
          <w:i/>
          <w:iCs/>
        </w:rPr>
        <w:t>Lupacchini</w:t>
      </w:r>
      <w:r w:rsidRPr="006F6727">
        <w:t xml:space="preserve">, </w:t>
      </w:r>
      <w:r w:rsidRPr="006F6727">
        <w:rPr>
          <w:i/>
          <w:iCs/>
        </w:rPr>
        <w:t>supra</w:t>
      </w:r>
      <w:r w:rsidRPr="006F6727">
        <w:t xml:space="preserve">, at </w:t>
      </w:r>
      <w:r w:rsidR="00EF4144" w:rsidRPr="006F6727">
        <w:t xml:space="preserve">para [8], </w:t>
      </w:r>
      <w:r w:rsidRPr="006F6727">
        <w:t xml:space="preserve">p. </w:t>
      </w:r>
      <w:r w:rsidR="00191761" w:rsidRPr="006F6727">
        <w:t>461 </w:t>
      </w:r>
      <w:r w:rsidR="002436E3" w:rsidRPr="006F6727">
        <w:t>C - G</w:t>
      </w:r>
      <w:r w:rsidRPr="006F6727">
        <w:t>.</w:t>
      </w:r>
    </w:p>
  </w:footnote>
  <w:footnote w:id="30">
    <w:p w14:paraId="481739A3" w14:textId="01A42C16" w:rsidR="00C3791F" w:rsidRPr="00EA5435" w:rsidRDefault="00C3791F" w:rsidP="00EA5435">
      <w:pPr>
        <w:pStyle w:val="FootnoteText"/>
      </w:pPr>
      <w:r w:rsidRPr="00EA5435">
        <w:rPr>
          <w:rStyle w:val="FootnoteReference"/>
        </w:rPr>
        <w:footnoteRef/>
      </w:r>
      <w:r w:rsidRPr="00EA5435">
        <w:t xml:space="preserve"> </w:t>
      </w:r>
      <w:r w:rsidRPr="00EA5435">
        <w:tab/>
      </w:r>
      <w:r w:rsidR="008D515E" w:rsidRPr="00EA5435">
        <w:t>See s 20 (3) of PSIRA</w:t>
      </w:r>
      <w:r w:rsidR="00C502CF" w:rsidRPr="00EA5435">
        <w:t xml:space="preserve"> – as quoted in para 18 above.</w:t>
      </w:r>
      <w:r w:rsidR="00AC1309" w:rsidRPr="00EA5435">
        <w:t xml:space="preserve">  This</w:t>
      </w:r>
    </w:p>
  </w:footnote>
  <w:footnote w:id="31">
    <w:p w14:paraId="34FCED75" w14:textId="5391444B" w:rsidR="00D177B2" w:rsidRPr="00714E74" w:rsidRDefault="00D177B2" w:rsidP="00EA5435">
      <w:pPr>
        <w:pStyle w:val="FootnoteText"/>
      </w:pPr>
      <w:r w:rsidRPr="00714E74">
        <w:rPr>
          <w:rStyle w:val="FootnoteReference"/>
          <w:szCs w:val="18"/>
        </w:rPr>
        <w:footnoteRef/>
      </w:r>
      <w:r w:rsidRPr="00714E74">
        <w:t xml:space="preserve"> </w:t>
      </w:r>
      <w:r w:rsidRPr="00714E74">
        <w:tab/>
      </w:r>
      <w:r w:rsidR="001E6F4D" w:rsidRPr="00714E74">
        <w:t>CaseLines</w:t>
      </w:r>
      <w:r w:rsidR="0083125E" w:rsidRPr="00714E74">
        <w:t>:</w:t>
      </w:r>
      <w:r w:rsidR="002C7B1E" w:rsidRPr="00714E74">
        <w:t xml:space="preserve"> annexure </w:t>
      </w:r>
      <w:r w:rsidR="002C7B1E" w:rsidRPr="00714E74">
        <w:rPr>
          <w:b/>
          <w:bCs/>
        </w:rPr>
        <w:t>POC 1</w:t>
      </w:r>
      <w:r w:rsidR="002C7B1E" w:rsidRPr="00714E74">
        <w:t xml:space="preserve">, p. 001-10. </w:t>
      </w:r>
    </w:p>
  </w:footnote>
  <w:footnote w:id="32">
    <w:p w14:paraId="2F3C86B8" w14:textId="054DEDD4" w:rsidR="0083125E" w:rsidRPr="00714E74" w:rsidRDefault="0083125E" w:rsidP="00EA5435">
      <w:pPr>
        <w:pStyle w:val="FootnoteText"/>
      </w:pPr>
      <w:r w:rsidRPr="00714E74">
        <w:rPr>
          <w:rStyle w:val="FootnoteReference"/>
          <w:szCs w:val="18"/>
        </w:rPr>
        <w:footnoteRef/>
      </w:r>
      <w:r w:rsidRPr="00714E74">
        <w:t xml:space="preserve"> </w:t>
      </w:r>
      <w:r w:rsidRPr="00714E74">
        <w:tab/>
      </w:r>
      <w:r w:rsidRPr="00714E74">
        <w:rPr>
          <w:i/>
          <w:iCs/>
        </w:rPr>
        <w:t>Id</w:t>
      </w:r>
      <w:r w:rsidRPr="00714E74">
        <w:t>.</w:t>
      </w:r>
    </w:p>
  </w:footnote>
  <w:footnote w:id="33">
    <w:p w14:paraId="4D8F0B81" w14:textId="53B759D7" w:rsidR="00591AA9" w:rsidRPr="00714E74" w:rsidRDefault="00591AA9" w:rsidP="00EA5435">
      <w:pPr>
        <w:pStyle w:val="FootnoteText"/>
      </w:pPr>
      <w:r w:rsidRPr="00714E74">
        <w:rPr>
          <w:rStyle w:val="FootnoteReference"/>
          <w:szCs w:val="18"/>
        </w:rPr>
        <w:footnoteRef/>
      </w:r>
      <w:r w:rsidRPr="00714E74">
        <w:t xml:space="preserve"> </w:t>
      </w:r>
      <w:r w:rsidRPr="00714E74">
        <w:tab/>
      </w:r>
      <w:r w:rsidR="00347302" w:rsidRPr="00714E74">
        <w:t>[2017] JOL 36857 (FB) at para [23]</w:t>
      </w:r>
      <w:r w:rsidR="000F12F5" w:rsidRPr="00714E74">
        <w:t>, p.6</w:t>
      </w:r>
      <w:r w:rsidR="00347302" w:rsidRPr="00714E74">
        <w:t>.</w:t>
      </w:r>
    </w:p>
  </w:footnote>
  <w:footnote w:id="34">
    <w:p w14:paraId="419FF44C" w14:textId="57513852" w:rsidR="00FB3FE5" w:rsidRPr="002F3ED4" w:rsidRDefault="00FB3FE5" w:rsidP="00EA5435">
      <w:pPr>
        <w:pStyle w:val="FootnoteText"/>
      </w:pPr>
      <w:r w:rsidRPr="00714E74">
        <w:rPr>
          <w:rStyle w:val="FootnoteReference"/>
          <w:szCs w:val="18"/>
        </w:rPr>
        <w:footnoteRef/>
      </w:r>
      <w:r w:rsidRPr="00714E74">
        <w:t xml:space="preserve"> </w:t>
      </w:r>
      <w:r w:rsidRPr="00714E74">
        <w:tab/>
      </w:r>
      <w:r w:rsidRPr="00714E74">
        <w:rPr>
          <w:i/>
          <w:iCs/>
        </w:rPr>
        <w:t>Id</w:t>
      </w:r>
      <w:r w:rsidRPr="00714E74">
        <w:t>.</w:t>
      </w:r>
    </w:p>
  </w:footnote>
  <w:footnote w:id="35">
    <w:p w14:paraId="3E200AEC" w14:textId="046966B7" w:rsidR="00991DE1" w:rsidRPr="00714E74" w:rsidRDefault="00991DE1" w:rsidP="00EA5435">
      <w:pPr>
        <w:pStyle w:val="FootnoteText"/>
      </w:pPr>
      <w:r w:rsidRPr="00714E74">
        <w:rPr>
          <w:rStyle w:val="FootnoteReference"/>
        </w:rPr>
        <w:footnoteRef/>
      </w:r>
      <w:r w:rsidRPr="00714E74">
        <w:t xml:space="preserve"> </w:t>
      </w:r>
      <w:r w:rsidRPr="00714E74">
        <w:tab/>
        <w:t>2008 (6) SA 207 (SCA)</w:t>
      </w:r>
      <w:r w:rsidR="004F782A" w:rsidRPr="00714E74">
        <w:t xml:space="preserve"> at, especially, paras [6]</w:t>
      </w:r>
      <w:r w:rsidR="008E0A45" w:rsidRPr="00714E74">
        <w:t>, [7] and [</w:t>
      </w:r>
      <w:r w:rsidR="00C07CB6" w:rsidRPr="00714E74">
        <w:t xml:space="preserve">8], </w:t>
      </w:r>
      <w:r w:rsidR="009C6CB2" w:rsidRPr="00714E74">
        <w:t>p. 209 A – G.</w:t>
      </w:r>
    </w:p>
  </w:footnote>
  <w:footnote w:id="36">
    <w:p w14:paraId="467895B0" w14:textId="69D1A05A" w:rsidR="001E4B71" w:rsidRPr="00714E74" w:rsidRDefault="001E4B71" w:rsidP="00EA5435">
      <w:pPr>
        <w:pStyle w:val="FootnoteText"/>
      </w:pPr>
      <w:r w:rsidRPr="00714E74">
        <w:rPr>
          <w:rStyle w:val="FootnoteReference"/>
        </w:rPr>
        <w:footnoteRef/>
      </w:r>
      <w:r w:rsidRPr="00714E74">
        <w:t xml:space="preserve"> </w:t>
      </w:r>
      <w:r w:rsidRPr="00714E74">
        <w:tab/>
      </w:r>
      <w:r w:rsidR="000345C6" w:rsidRPr="00714E74">
        <w:t>2003 (5) SA 218 (W)</w:t>
      </w:r>
      <w:r w:rsidR="00132908" w:rsidRPr="00714E74">
        <w:t xml:space="preserve"> at </w:t>
      </w:r>
      <w:r w:rsidR="001C4980" w:rsidRPr="00714E74">
        <w:t>p. 220 H – I.</w:t>
      </w:r>
    </w:p>
  </w:footnote>
  <w:footnote w:id="37">
    <w:p w14:paraId="4717AD93" w14:textId="011FA8B3" w:rsidR="00C34C2D" w:rsidRPr="006F6727" w:rsidRDefault="00C34C2D" w:rsidP="00EA5435">
      <w:pPr>
        <w:pStyle w:val="FootnoteText"/>
      </w:pPr>
      <w:r w:rsidRPr="00714E74">
        <w:rPr>
          <w:rStyle w:val="FootnoteReference"/>
        </w:rPr>
        <w:footnoteRef/>
      </w:r>
      <w:r w:rsidRPr="00714E74">
        <w:t xml:space="preserve"> </w:t>
      </w:r>
      <w:r w:rsidRPr="00714E74">
        <w:tab/>
      </w:r>
      <w:r w:rsidR="001A7E23" w:rsidRPr="00714E74">
        <w:t>2014 (4) SA 614 (SCA)</w:t>
      </w:r>
      <w:r w:rsidR="002749A4" w:rsidRPr="00714E74">
        <w:t xml:space="preserve"> at paras [13] and </w:t>
      </w:r>
      <w:r w:rsidR="001B044F" w:rsidRPr="00714E74">
        <w:t>[</w:t>
      </w:r>
      <w:r w:rsidR="002749A4" w:rsidRPr="00714E74">
        <w:t>14]</w:t>
      </w:r>
      <w:r w:rsidR="001B044F" w:rsidRPr="00714E74">
        <w:t>, pp. 620 C – 621 C</w:t>
      </w:r>
      <w:r w:rsidR="001B044F" w:rsidRPr="006F6727">
        <w:t>.</w:t>
      </w:r>
    </w:p>
  </w:footnote>
  <w:footnote w:id="38">
    <w:p w14:paraId="321AEE42" w14:textId="70E79AE1" w:rsidR="00522229" w:rsidRPr="00714E74" w:rsidRDefault="00522229" w:rsidP="00EA5435">
      <w:pPr>
        <w:pStyle w:val="FootnoteText"/>
      </w:pPr>
      <w:r w:rsidRPr="006F6727">
        <w:rPr>
          <w:rStyle w:val="FootnoteReference"/>
          <w:szCs w:val="18"/>
        </w:rPr>
        <w:footnoteRef/>
      </w:r>
      <w:r w:rsidRPr="006F6727">
        <w:t xml:space="preserve"> </w:t>
      </w:r>
      <w:r w:rsidRPr="006F6727">
        <w:tab/>
      </w:r>
      <w:r w:rsidR="000B057D" w:rsidRPr="00714E74">
        <w:t xml:space="preserve">The </w:t>
      </w:r>
      <w:r w:rsidR="00764509" w:rsidRPr="00714E74">
        <w:t>relief claimed</w:t>
      </w:r>
      <w:r w:rsidR="00D66655" w:rsidRPr="00714E74">
        <w:t xml:space="preserve"> was substantially granted in the form sought</w:t>
      </w:r>
      <w:r w:rsidR="007B23C2" w:rsidRPr="00714E74">
        <w:t xml:space="preserve"> </w:t>
      </w:r>
      <w:r w:rsidR="00BC0671" w:rsidRPr="00714E74">
        <w:t xml:space="preserve">and </w:t>
      </w:r>
      <w:r w:rsidR="007B23C2" w:rsidRPr="00714E74">
        <w:t xml:space="preserve">can </w:t>
      </w:r>
      <w:r w:rsidR="0082091C" w:rsidRPr="00714E74">
        <w:t xml:space="preserve">best </w:t>
      </w:r>
      <w:r w:rsidR="007B23C2" w:rsidRPr="00714E74">
        <w:t>be paraphrased as follows: (i) a declarator</w:t>
      </w:r>
      <w:r w:rsidR="00B113C4" w:rsidRPr="00714E74">
        <w:t xml:space="preserve"> that the conduct of the City </w:t>
      </w:r>
      <w:r w:rsidR="00186553" w:rsidRPr="00714E74">
        <w:t>in demolishing</w:t>
      </w:r>
      <w:r w:rsidR="00CA1958" w:rsidRPr="00714E74">
        <w:t xml:space="preserve"> and/or dismantling the informal structures erected by the applicants [</w:t>
      </w:r>
      <w:r w:rsidR="003E23C9" w:rsidRPr="00714E74">
        <w:rPr>
          <w:b/>
          <w:bCs/>
        </w:rPr>
        <w:t xml:space="preserve">i.e., </w:t>
      </w:r>
      <w:r w:rsidR="00CA1958" w:rsidRPr="00714E74">
        <w:rPr>
          <w:b/>
          <w:bCs/>
        </w:rPr>
        <w:t>in the counter-application</w:t>
      </w:r>
      <w:r w:rsidR="00CA1958" w:rsidRPr="00714E74">
        <w:t>]</w:t>
      </w:r>
      <w:r w:rsidR="00F01F77" w:rsidRPr="00714E74">
        <w:t xml:space="preserve"> on </w:t>
      </w:r>
      <w:r w:rsidR="00C07424" w:rsidRPr="00714E74">
        <w:t>the property in question is unconstitutional and unlawful; (ii) interdicting and restraining</w:t>
      </w:r>
      <w:r w:rsidR="00225C7B" w:rsidRPr="00714E74">
        <w:t xml:space="preserve"> the respondent's [</w:t>
      </w:r>
      <w:r w:rsidR="00225C7B" w:rsidRPr="00714E74">
        <w:rPr>
          <w:b/>
          <w:bCs/>
        </w:rPr>
        <w:t xml:space="preserve">i.e., </w:t>
      </w:r>
      <w:r w:rsidR="00897F92" w:rsidRPr="00714E74">
        <w:rPr>
          <w:b/>
          <w:bCs/>
        </w:rPr>
        <w:t>the City and F</w:t>
      </w:r>
      <w:r w:rsidR="00897F92" w:rsidRPr="00714E74">
        <w:t xml:space="preserve">] from evicting or demolishing any informal </w:t>
      </w:r>
      <w:r w:rsidR="0077093F" w:rsidRPr="00714E74">
        <w:t>structures erected by the applicants on the property in question without a valid court order; (iii)</w:t>
      </w:r>
      <w:r w:rsidR="00881A31" w:rsidRPr="00714E74">
        <w:t xml:space="preserve"> </w:t>
      </w:r>
      <w:r w:rsidR="00F06268" w:rsidRPr="00714E74">
        <w:t>interdicting and restraining the respondents from demolishing, removing or otherwise disposing of any informal structures, constituent materials of such structures,</w:t>
      </w:r>
      <w:r w:rsidR="008203F4" w:rsidRPr="00714E74">
        <w:t xml:space="preserve"> erected by the applicants on the property in question; and (iv) </w:t>
      </w:r>
      <w:r w:rsidR="003F3D43" w:rsidRPr="00714E74">
        <w:t>directing the City to construct for those applicants, whose informal structures were demolished</w:t>
      </w:r>
      <w:r w:rsidR="001B264A" w:rsidRPr="00714E74">
        <w:t xml:space="preserve"> and you still require them, temporary habitable dwellings that are for shelter, privacy, and amenities at least equivalent to those that were destroyed and which are capable of being dismantled</w:t>
      </w:r>
      <w:r w:rsidR="00B76445" w:rsidRPr="00714E74">
        <w:t xml:space="preserve"> at the site at which the previous informal housing structures were demolished.  See </w:t>
      </w:r>
      <w:r w:rsidR="00B76445" w:rsidRPr="00714E74">
        <w:rPr>
          <w:b/>
          <w:bCs/>
          <w:i/>
          <w:iCs/>
        </w:rPr>
        <w:t>Fischer</w:t>
      </w:r>
      <w:r w:rsidR="00B76445" w:rsidRPr="00714E74">
        <w:t xml:space="preserve"> at para</w:t>
      </w:r>
      <w:r w:rsidR="0082091C" w:rsidRPr="00714E74">
        <w:t>s</w:t>
      </w:r>
      <w:r w:rsidR="00B76445" w:rsidRPr="00714E74">
        <w:t xml:space="preserve"> [3], </w:t>
      </w:r>
      <w:r w:rsidR="00CA0560" w:rsidRPr="00714E74">
        <w:t>p. 616 </w:t>
      </w:r>
      <w:r w:rsidR="00FB10AC" w:rsidRPr="00714E74">
        <w:t>C – G</w:t>
      </w:r>
      <w:r w:rsidR="0082091C" w:rsidRPr="00714E74">
        <w:t xml:space="preserve">; and para </w:t>
      </w:r>
      <w:r w:rsidR="00305985" w:rsidRPr="00714E74">
        <w:t>[11], p. 619 </w:t>
      </w:r>
      <w:r w:rsidR="00E67710" w:rsidRPr="00714E74">
        <w:t>D – I.</w:t>
      </w:r>
    </w:p>
  </w:footnote>
  <w:footnote w:id="39">
    <w:p w14:paraId="56C31006" w14:textId="31EF0633" w:rsidR="004D3B7A" w:rsidRPr="00714E74" w:rsidRDefault="004D3B7A" w:rsidP="00EA5435">
      <w:pPr>
        <w:pStyle w:val="FootnoteText"/>
      </w:pPr>
      <w:r w:rsidRPr="00714E74">
        <w:rPr>
          <w:rStyle w:val="FootnoteReference"/>
          <w:szCs w:val="18"/>
        </w:rPr>
        <w:footnoteRef/>
      </w:r>
      <w:r w:rsidRPr="00714E74">
        <w:t xml:space="preserve"> </w:t>
      </w:r>
      <w:r w:rsidRPr="00714E74">
        <w:tab/>
      </w:r>
      <w:bookmarkStart w:id="35" w:name="_Hlk152525437"/>
      <w:r w:rsidRPr="00714E74">
        <w:rPr>
          <w:i/>
          <w:iCs/>
        </w:rPr>
        <w:t>Ibid</w:t>
      </w:r>
      <w:r w:rsidRPr="00714E74">
        <w:t>.,</w:t>
      </w:r>
      <w:r w:rsidR="007E659F" w:rsidRPr="00714E74">
        <w:t xml:space="preserve"> at para [8], p. </w:t>
      </w:r>
      <w:r w:rsidR="001A6B40" w:rsidRPr="00714E74">
        <w:t>618</w:t>
      </w:r>
      <w:r w:rsidR="00A4130E" w:rsidRPr="00714E74">
        <w:t xml:space="preserve">.  </w:t>
      </w:r>
      <w:bookmarkEnd w:id="35"/>
    </w:p>
  </w:footnote>
  <w:footnote w:id="40">
    <w:p w14:paraId="356F4589" w14:textId="1D68D958" w:rsidR="00442764" w:rsidRPr="00A50989" w:rsidRDefault="00442764" w:rsidP="00EA5435">
      <w:pPr>
        <w:pStyle w:val="FootnoteText"/>
      </w:pPr>
      <w:r w:rsidRPr="00714E74">
        <w:rPr>
          <w:rStyle w:val="FootnoteReference"/>
          <w:szCs w:val="18"/>
        </w:rPr>
        <w:footnoteRef/>
      </w:r>
      <w:r w:rsidRPr="00714E74">
        <w:tab/>
      </w:r>
      <w:r w:rsidRPr="00714E74">
        <w:rPr>
          <w:i/>
          <w:iCs/>
        </w:rPr>
        <w:t>Id</w:t>
      </w:r>
      <w:r w:rsidRPr="00714E74">
        <w:t>.</w:t>
      </w:r>
    </w:p>
  </w:footnote>
  <w:footnote w:id="41">
    <w:p w14:paraId="1CA0E2F8" w14:textId="2009F59B" w:rsidR="00F61B83" w:rsidRPr="00714E74" w:rsidRDefault="00F61B83" w:rsidP="00EA5435">
      <w:pPr>
        <w:pStyle w:val="FootnoteText"/>
      </w:pPr>
      <w:r w:rsidRPr="00714E74">
        <w:rPr>
          <w:rStyle w:val="FootnoteReference"/>
        </w:rPr>
        <w:footnoteRef/>
      </w:r>
      <w:r w:rsidRPr="00714E74">
        <w:t xml:space="preserve"> </w:t>
      </w:r>
      <w:r w:rsidRPr="00714E74">
        <w:tab/>
      </w:r>
      <w:r w:rsidRPr="00714E74">
        <w:rPr>
          <w:i/>
          <w:iCs/>
        </w:rPr>
        <w:t>Id</w:t>
      </w:r>
      <w:r w:rsidRPr="00714E74">
        <w:t>.</w:t>
      </w:r>
    </w:p>
  </w:footnote>
  <w:footnote w:id="42">
    <w:p w14:paraId="39CC36B8" w14:textId="1FC1011D" w:rsidR="00D41FD2" w:rsidRPr="00714E74" w:rsidRDefault="00D41FD2" w:rsidP="00EA5435">
      <w:pPr>
        <w:pStyle w:val="FootnoteText"/>
      </w:pPr>
      <w:r w:rsidRPr="00714E74">
        <w:rPr>
          <w:rStyle w:val="FootnoteReference"/>
        </w:rPr>
        <w:footnoteRef/>
      </w:r>
      <w:r w:rsidRPr="00714E74">
        <w:t xml:space="preserve"> </w:t>
      </w:r>
      <w:r w:rsidRPr="00714E74">
        <w:tab/>
      </w:r>
      <w:r w:rsidRPr="00714E74">
        <w:rPr>
          <w:i/>
          <w:iCs/>
        </w:rPr>
        <w:t>Ibid</w:t>
      </w:r>
      <w:r w:rsidRPr="00714E74">
        <w:t xml:space="preserve">., </w:t>
      </w:r>
      <w:r w:rsidR="007A7411" w:rsidRPr="00714E74">
        <w:t>at para [</w:t>
      </w:r>
      <w:r w:rsidR="00CE0B60" w:rsidRPr="00714E74">
        <w:t>9</w:t>
      </w:r>
      <w:r w:rsidR="007A7411" w:rsidRPr="00714E74">
        <w:t xml:space="preserve">], pp. </w:t>
      </w:r>
    </w:p>
  </w:footnote>
  <w:footnote w:id="43">
    <w:p w14:paraId="10AE9ACB" w14:textId="6ECD4648" w:rsidR="00DA2EDF" w:rsidRPr="00714E74" w:rsidRDefault="00DA2EDF" w:rsidP="00EA5435">
      <w:pPr>
        <w:pStyle w:val="FootnoteText"/>
      </w:pPr>
      <w:r w:rsidRPr="00714E74">
        <w:rPr>
          <w:rStyle w:val="FootnoteReference"/>
        </w:rPr>
        <w:footnoteRef/>
      </w:r>
      <w:r w:rsidRPr="00714E74">
        <w:t xml:space="preserve"> </w:t>
      </w:r>
      <w:r w:rsidR="00B63466" w:rsidRPr="00714E74">
        <w:tab/>
      </w:r>
      <w:r w:rsidR="00B63466" w:rsidRPr="00714E74">
        <w:rPr>
          <w:i/>
          <w:iCs/>
        </w:rPr>
        <w:t>Ibid</w:t>
      </w:r>
      <w:r w:rsidR="00B63466" w:rsidRPr="00714E74">
        <w:t>., at para [</w:t>
      </w:r>
      <w:r w:rsidR="00F5537A" w:rsidRPr="00714E74">
        <w:t>17</w:t>
      </w:r>
      <w:r w:rsidR="00B63466" w:rsidRPr="00714E74">
        <w:t>], p. 6</w:t>
      </w:r>
      <w:r w:rsidR="00967257" w:rsidRPr="00714E74">
        <w:t>22 D - E</w:t>
      </w:r>
      <w:r w:rsidR="00B63466" w:rsidRPr="00714E74">
        <w:t xml:space="preserve">.  </w:t>
      </w:r>
    </w:p>
  </w:footnote>
  <w:footnote w:id="44">
    <w:p w14:paraId="128BCE77" w14:textId="042BA995" w:rsidR="00B63466" w:rsidRPr="00A50989" w:rsidRDefault="00B63466" w:rsidP="00EA5435">
      <w:pPr>
        <w:pStyle w:val="FootnoteText"/>
      </w:pPr>
      <w:r w:rsidRPr="00714E74">
        <w:rPr>
          <w:rStyle w:val="FootnoteReference"/>
        </w:rPr>
        <w:footnoteRef/>
      </w:r>
      <w:r w:rsidRPr="00714E74">
        <w:t xml:space="preserve"> </w:t>
      </w:r>
      <w:r w:rsidR="00072453" w:rsidRPr="00714E74">
        <w:tab/>
      </w:r>
      <w:r w:rsidR="00072453" w:rsidRPr="00714E74">
        <w:rPr>
          <w:i/>
          <w:iCs/>
        </w:rPr>
        <w:t>Ibid</w:t>
      </w:r>
      <w:r w:rsidR="00072453" w:rsidRPr="00714E74">
        <w:t xml:space="preserve">., at paras [13] and [14], </w:t>
      </w:r>
      <w:r w:rsidR="00A57C5C" w:rsidRPr="00714E74">
        <w:t>p</w:t>
      </w:r>
      <w:r w:rsidR="00072453" w:rsidRPr="00714E74">
        <w:t>. 62</w:t>
      </w:r>
      <w:r w:rsidR="004E71CA" w:rsidRPr="00714E74">
        <w:t>0</w:t>
      </w:r>
      <w:r w:rsidR="00072453" w:rsidRPr="00714E74">
        <w:t> </w:t>
      </w:r>
      <w:r w:rsidR="004E71CA" w:rsidRPr="00714E74">
        <w:t>C – p. 621 C</w:t>
      </w:r>
      <w:r w:rsidR="00072453" w:rsidRPr="00714E74">
        <w:t xml:space="preserve">.  </w:t>
      </w:r>
    </w:p>
  </w:footnote>
  <w:footnote w:id="45">
    <w:p w14:paraId="1082079E" w14:textId="04C0C0FB" w:rsidR="003866F7" w:rsidRPr="00714E74" w:rsidRDefault="003866F7" w:rsidP="00EA5435">
      <w:pPr>
        <w:pStyle w:val="FootnoteText"/>
      </w:pPr>
      <w:r w:rsidRPr="00714E74">
        <w:rPr>
          <w:rStyle w:val="FootnoteReference"/>
        </w:rPr>
        <w:footnoteRef/>
      </w:r>
      <w:r w:rsidRPr="00714E74">
        <w:t xml:space="preserve"> </w:t>
      </w:r>
      <w:r w:rsidRPr="00714E74">
        <w:tab/>
      </w:r>
      <w:r w:rsidR="002901CE" w:rsidRPr="00714E74">
        <w:rPr>
          <w:i/>
          <w:iCs/>
        </w:rPr>
        <w:t>Ibid</w:t>
      </w:r>
      <w:r w:rsidR="002901CE" w:rsidRPr="00714E74">
        <w:t>., at para [18], p. 622 </w:t>
      </w:r>
      <w:r w:rsidR="00FD16AE" w:rsidRPr="00714E74">
        <w:t>G</w:t>
      </w:r>
      <w:r w:rsidR="002901CE" w:rsidRPr="00714E74">
        <w:t xml:space="preserve"> - </w:t>
      </w:r>
      <w:r w:rsidR="00FD16AE" w:rsidRPr="00714E74">
        <w:t>H</w:t>
      </w:r>
      <w:r w:rsidR="002901CE" w:rsidRPr="00714E74">
        <w:t xml:space="preserve">.  </w:t>
      </w:r>
    </w:p>
  </w:footnote>
  <w:footnote w:id="46">
    <w:p w14:paraId="094093D5" w14:textId="3B1E5B68" w:rsidR="00931BC5" w:rsidRPr="00714E74" w:rsidRDefault="00931BC5" w:rsidP="00EA5435">
      <w:pPr>
        <w:pStyle w:val="FootnoteText"/>
      </w:pPr>
      <w:r w:rsidRPr="00714E74">
        <w:rPr>
          <w:rStyle w:val="FootnoteReference"/>
        </w:rPr>
        <w:footnoteRef/>
      </w:r>
      <w:r w:rsidRPr="00714E74">
        <w:t xml:space="preserve"> </w:t>
      </w:r>
      <w:r w:rsidRPr="00714E74">
        <w:tab/>
      </w:r>
      <w:bookmarkStart w:id="37" w:name="_Hlk152595542"/>
      <w:r w:rsidRPr="00714E74">
        <w:rPr>
          <w:b/>
          <w:bCs/>
          <w:i/>
          <w:iCs/>
        </w:rPr>
        <w:t>CUSA</w:t>
      </w:r>
      <w:bookmarkEnd w:id="37"/>
      <w:r w:rsidRPr="00714E74">
        <w:rPr>
          <w:b/>
          <w:bCs/>
          <w:i/>
          <w:iCs/>
        </w:rPr>
        <w:t xml:space="preserve"> v Tao Ying Metal Industries and Others</w:t>
      </w:r>
      <w:r w:rsidRPr="00714E74">
        <w:t> 2009 (2) SA 204 (CC) at para</w:t>
      </w:r>
      <w:r w:rsidR="00D27174" w:rsidRPr="00714E74">
        <w:t>s</w:t>
      </w:r>
      <w:r w:rsidRPr="00714E74">
        <w:t xml:space="preserve"> [</w:t>
      </w:r>
      <w:r w:rsidR="001C44BE" w:rsidRPr="00714E74">
        <w:t>67] and [</w:t>
      </w:r>
      <w:r w:rsidRPr="00714E74">
        <w:t xml:space="preserve">68], p. </w:t>
      </w:r>
      <w:r w:rsidR="001C44BE" w:rsidRPr="00714E74">
        <w:t xml:space="preserve">224 G – p. </w:t>
      </w:r>
      <w:r w:rsidR="00436F80" w:rsidRPr="00714E74">
        <w:t>225 A - C</w:t>
      </w:r>
      <w:r w:rsidRPr="00714E74">
        <w:t>;</w:t>
      </w:r>
      <w:r w:rsidR="00436F80" w:rsidRPr="00714E74">
        <w:t xml:space="preserve"> </w:t>
      </w:r>
      <w:r w:rsidRPr="00714E74">
        <w:rPr>
          <w:b/>
          <w:bCs/>
          <w:i/>
          <w:iCs/>
        </w:rPr>
        <w:t>Barkhuizen v Napier</w:t>
      </w:r>
      <w:r w:rsidR="001A3AE8" w:rsidRPr="00714E74">
        <w:t> </w:t>
      </w:r>
      <w:r w:rsidRPr="00714E74">
        <w:t>2007 (5) SA 323 (CC)</w:t>
      </w:r>
      <w:r w:rsidR="00F726D4" w:rsidRPr="00714E74">
        <w:t xml:space="preserve"> at </w:t>
      </w:r>
      <w:r w:rsidRPr="00714E74">
        <w:t xml:space="preserve">para </w:t>
      </w:r>
      <w:r w:rsidR="00F726D4" w:rsidRPr="00714E74">
        <w:t>[</w:t>
      </w:r>
      <w:r w:rsidRPr="00714E74">
        <w:t>39</w:t>
      </w:r>
      <w:r w:rsidR="00F726D4" w:rsidRPr="00714E74">
        <w:t xml:space="preserve">], p </w:t>
      </w:r>
      <w:r w:rsidR="003E14B8" w:rsidRPr="00714E74">
        <w:t>336 C - E</w:t>
      </w:r>
      <w:r w:rsidRPr="00714E74">
        <w:t xml:space="preserve">; </w:t>
      </w:r>
      <w:r w:rsidRPr="00714E74">
        <w:rPr>
          <w:b/>
          <w:bCs/>
          <w:i/>
          <w:iCs/>
        </w:rPr>
        <w:t>Maphango and Others v Aengus Lifestyle Properties (Pty) Ltd</w:t>
      </w:r>
      <w:r w:rsidR="00F726D4" w:rsidRPr="00714E74">
        <w:t> </w:t>
      </w:r>
      <w:r w:rsidRPr="00714E74">
        <w:t xml:space="preserve">2012 (3) SA 531 (CC) </w:t>
      </w:r>
      <w:r w:rsidR="00F726D4" w:rsidRPr="00714E74">
        <w:t>at</w:t>
      </w:r>
      <w:r w:rsidRPr="00714E74">
        <w:t xml:space="preserve"> paras </w:t>
      </w:r>
      <w:r w:rsidR="00F726D4" w:rsidRPr="00714E74">
        <w:t>[</w:t>
      </w:r>
      <w:r w:rsidRPr="00714E74">
        <w:t>109</w:t>
      </w:r>
      <w:r w:rsidR="00F726D4" w:rsidRPr="00714E74">
        <w:t>] to</w:t>
      </w:r>
      <w:r w:rsidR="007B2303" w:rsidRPr="00714E74">
        <w:t xml:space="preserve"> [</w:t>
      </w:r>
      <w:r w:rsidRPr="00714E74">
        <w:t>114</w:t>
      </w:r>
      <w:r w:rsidR="007B2303" w:rsidRPr="00714E74">
        <w:t>], p</w:t>
      </w:r>
      <w:r w:rsidRPr="00714E74">
        <w:t>.</w:t>
      </w:r>
      <w:r w:rsidR="000552D9" w:rsidRPr="00714E74">
        <w:t xml:space="preserve"> 571 D – p. 572 D.</w:t>
      </w:r>
    </w:p>
  </w:footnote>
  <w:footnote w:id="47">
    <w:p w14:paraId="1493D572" w14:textId="16CC139F" w:rsidR="00627487" w:rsidRPr="00714E74" w:rsidRDefault="00627487" w:rsidP="00EA5435">
      <w:pPr>
        <w:pStyle w:val="FootnoteText"/>
      </w:pPr>
      <w:r w:rsidRPr="00714E74">
        <w:rPr>
          <w:rStyle w:val="FootnoteReference"/>
        </w:rPr>
        <w:footnoteRef/>
      </w:r>
      <w:r w:rsidRPr="00714E74">
        <w:t xml:space="preserve"> </w:t>
      </w:r>
      <w:r w:rsidRPr="00714E74">
        <w:tab/>
      </w:r>
      <w:r w:rsidRPr="00714E74">
        <w:rPr>
          <w:b/>
          <w:bCs/>
          <w:i/>
          <w:iCs/>
        </w:rPr>
        <w:t>CUSA</w:t>
      </w:r>
      <w:r w:rsidRPr="00714E74">
        <w:t xml:space="preserve"> </w:t>
      </w:r>
      <w:bookmarkStart w:id="41" w:name="_Hlk152679394"/>
      <w:r w:rsidRPr="00714E74">
        <w:t xml:space="preserve">at para [37], p. </w:t>
      </w:r>
      <w:r w:rsidR="001C0E2A" w:rsidRPr="00714E74">
        <w:t>217 E – H.</w:t>
      </w:r>
      <w:r w:rsidRPr="00714E74">
        <w:t xml:space="preserve"> </w:t>
      </w:r>
      <w:bookmarkEnd w:id="41"/>
    </w:p>
  </w:footnote>
  <w:footnote w:id="48">
    <w:p w14:paraId="29210F14" w14:textId="2F849398" w:rsidR="00574C13" w:rsidRPr="00A50989" w:rsidRDefault="00574C13" w:rsidP="00EA5435">
      <w:pPr>
        <w:pStyle w:val="FootnoteText"/>
      </w:pPr>
      <w:r w:rsidRPr="00714E74">
        <w:rPr>
          <w:rStyle w:val="FootnoteReference"/>
        </w:rPr>
        <w:footnoteRef/>
      </w:r>
      <w:r w:rsidRPr="00714E74">
        <w:t xml:space="preserve"> </w:t>
      </w:r>
      <w:r w:rsidRPr="00714E74">
        <w:tab/>
      </w:r>
      <w:r w:rsidRPr="00714E74">
        <w:rPr>
          <w:i/>
          <w:iCs/>
        </w:rPr>
        <w:t>Ibid</w:t>
      </w:r>
      <w:r w:rsidRPr="00714E74">
        <w:t>., at paras [67] and [68</w:t>
      </w:r>
      <w:r w:rsidR="00032970" w:rsidRPr="00714E74">
        <w:t>]</w:t>
      </w:r>
      <w:r w:rsidRPr="00714E74">
        <w:t>, p</w:t>
      </w:r>
      <w:r w:rsidR="00032970" w:rsidRPr="00714E74">
        <w:t>p</w:t>
      </w:r>
      <w:r w:rsidRPr="00714E74">
        <w:t>. 2</w:t>
      </w:r>
      <w:r w:rsidR="00032970" w:rsidRPr="00714E74">
        <w:t>24</w:t>
      </w:r>
      <w:r w:rsidRPr="00714E74">
        <w:t> </w:t>
      </w:r>
      <w:r w:rsidR="00032970" w:rsidRPr="00714E74">
        <w:t>G</w:t>
      </w:r>
      <w:r w:rsidRPr="00714E74">
        <w:t xml:space="preserve"> – </w:t>
      </w:r>
      <w:r w:rsidR="00032970" w:rsidRPr="00714E74">
        <w:t>225 C</w:t>
      </w:r>
      <w:r w:rsidRPr="00714E74">
        <w:t>.</w:t>
      </w:r>
    </w:p>
  </w:footnote>
  <w:footnote w:id="49">
    <w:p w14:paraId="158CCBD6" w14:textId="77777777" w:rsidR="00083F90" w:rsidRPr="004D10D2" w:rsidRDefault="00083F90" w:rsidP="00EA5435">
      <w:pPr>
        <w:pStyle w:val="FootnoteText"/>
      </w:pPr>
      <w:r w:rsidRPr="004D10D2">
        <w:rPr>
          <w:rStyle w:val="FootnoteReference"/>
        </w:rPr>
        <w:footnoteRef/>
      </w:r>
      <w:r w:rsidRPr="004D10D2">
        <w:t xml:space="preserve"> </w:t>
      </w:r>
      <w:r w:rsidRPr="004D10D2">
        <w:tab/>
        <w:t>2008 (6) SA 207 (SCA) at, especially, paras [6], [7] and [8], p. 209 A – G.</w:t>
      </w:r>
    </w:p>
  </w:footnote>
  <w:footnote w:id="50">
    <w:p w14:paraId="4652B5E0" w14:textId="573788AD" w:rsidR="00C0342E" w:rsidRDefault="00C0342E" w:rsidP="00EA5435">
      <w:pPr>
        <w:pStyle w:val="FootnoteText"/>
      </w:pPr>
      <w:r w:rsidRPr="004D10D2">
        <w:rPr>
          <w:rStyle w:val="FootnoteReference"/>
        </w:rPr>
        <w:footnoteRef/>
      </w:r>
      <w:r w:rsidRPr="004D10D2">
        <w:t xml:space="preserve"> </w:t>
      </w:r>
      <w:r w:rsidRPr="004D10D2">
        <w:tab/>
        <w:t>See, in this regard,</w:t>
      </w:r>
      <w:r w:rsidR="006555FC" w:rsidRPr="004D10D2">
        <w:t xml:space="preserve"> para</w:t>
      </w:r>
      <w:r w:rsidR="00417616" w:rsidRPr="004D10D2">
        <w:t>s [17] to [21] above.</w:t>
      </w:r>
    </w:p>
  </w:footnote>
  <w:footnote w:id="51">
    <w:p w14:paraId="15D5A3F9" w14:textId="24ACE577" w:rsidR="00B80DA9" w:rsidRPr="00B80DA9" w:rsidRDefault="00B80DA9" w:rsidP="00EA5435">
      <w:pPr>
        <w:pStyle w:val="FootnoteText"/>
        <w:rPr>
          <w:lang w:val="en-US"/>
        </w:rPr>
      </w:pPr>
      <w:r>
        <w:rPr>
          <w:rStyle w:val="FootnoteReference"/>
        </w:rPr>
        <w:footnoteRef/>
      </w:r>
      <w:r>
        <w:t xml:space="preserve"> </w:t>
      </w:r>
      <w:r w:rsidRPr="004D10D2">
        <w:rPr>
          <w:b/>
          <w:bCs/>
          <w:i/>
          <w:iCs/>
        </w:rPr>
        <w:t>Tesven CC and Another v South African Bank of Athens</w:t>
      </w:r>
      <w:r w:rsidRPr="004D10D2">
        <w:t xml:space="preserve"> 2000 (1) SA 268 (SCA) at para [26], pp. 277 H – 278 A; and </w:t>
      </w:r>
      <w:r w:rsidRPr="004D10D2">
        <w:rPr>
          <w:b/>
          <w:bCs/>
          <w:i/>
          <w:iCs/>
        </w:rPr>
        <w:t>Mercantile Bank Ltd v Star Power CC and Another</w:t>
      </w:r>
      <w:r w:rsidRPr="004D10D2">
        <w:t> 2003 (3) SA 309 (T) at para [10], p. 312 G – 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5DA"/>
    <w:multiLevelType w:val="multilevel"/>
    <w:tmpl w:val="5B346740"/>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B7E74E4"/>
    <w:multiLevelType w:val="hybridMultilevel"/>
    <w:tmpl w:val="2364FE40"/>
    <w:lvl w:ilvl="0" w:tplc="8CB8E68A">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B60BF6-E861-405C-B9DC-C12B14906C33}"/>
    <w:docVar w:name="dgnword-eventsink" w:val="1295664644464"/>
  </w:docVars>
  <w:rsids>
    <w:rsidRoot w:val="00E02D1F"/>
    <w:rsid w:val="00000018"/>
    <w:rsid w:val="00000BDB"/>
    <w:rsid w:val="00001640"/>
    <w:rsid w:val="00003C3F"/>
    <w:rsid w:val="00004FC1"/>
    <w:rsid w:val="000065BB"/>
    <w:rsid w:val="00006DAC"/>
    <w:rsid w:val="000124E2"/>
    <w:rsid w:val="00014CE2"/>
    <w:rsid w:val="0001621C"/>
    <w:rsid w:val="00017633"/>
    <w:rsid w:val="000177A1"/>
    <w:rsid w:val="00021CB6"/>
    <w:rsid w:val="000227A7"/>
    <w:rsid w:val="000275BB"/>
    <w:rsid w:val="00027DA8"/>
    <w:rsid w:val="00030C04"/>
    <w:rsid w:val="00032970"/>
    <w:rsid w:val="000345C6"/>
    <w:rsid w:val="00035F9C"/>
    <w:rsid w:val="000367DC"/>
    <w:rsid w:val="00042F5C"/>
    <w:rsid w:val="00044A6E"/>
    <w:rsid w:val="00044ECA"/>
    <w:rsid w:val="00045FFF"/>
    <w:rsid w:val="00051540"/>
    <w:rsid w:val="00051851"/>
    <w:rsid w:val="000552D9"/>
    <w:rsid w:val="0005687D"/>
    <w:rsid w:val="00056983"/>
    <w:rsid w:val="00056B12"/>
    <w:rsid w:val="00060418"/>
    <w:rsid w:val="000621A4"/>
    <w:rsid w:val="00063A23"/>
    <w:rsid w:val="00066310"/>
    <w:rsid w:val="00066D20"/>
    <w:rsid w:val="00072453"/>
    <w:rsid w:val="00073F67"/>
    <w:rsid w:val="000766EE"/>
    <w:rsid w:val="000775DD"/>
    <w:rsid w:val="00080AAD"/>
    <w:rsid w:val="00081D3C"/>
    <w:rsid w:val="00082AD8"/>
    <w:rsid w:val="00083F90"/>
    <w:rsid w:val="00085BF6"/>
    <w:rsid w:val="00086E83"/>
    <w:rsid w:val="000876AB"/>
    <w:rsid w:val="000877BA"/>
    <w:rsid w:val="0009038C"/>
    <w:rsid w:val="00092F5C"/>
    <w:rsid w:val="00093D74"/>
    <w:rsid w:val="00094428"/>
    <w:rsid w:val="00096289"/>
    <w:rsid w:val="00096B48"/>
    <w:rsid w:val="000976CB"/>
    <w:rsid w:val="000A03CB"/>
    <w:rsid w:val="000A10FA"/>
    <w:rsid w:val="000A176B"/>
    <w:rsid w:val="000A3374"/>
    <w:rsid w:val="000A3DF4"/>
    <w:rsid w:val="000A470A"/>
    <w:rsid w:val="000A4F3A"/>
    <w:rsid w:val="000A56EC"/>
    <w:rsid w:val="000A7221"/>
    <w:rsid w:val="000B050F"/>
    <w:rsid w:val="000B057D"/>
    <w:rsid w:val="000B160A"/>
    <w:rsid w:val="000B6D50"/>
    <w:rsid w:val="000C181D"/>
    <w:rsid w:val="000C195F"/>
    <w:rsid w:val="000C24BE"/>
    <w:rsid w:val="000C34FF"/>
    <w:rsid w:val="000C352D"/>
    <w:rsid w:val="000C4C89"/>
    <w:rsid w:val="000C6623"/>
    <w:rsid w:val="000C69D5"/>
    <w:rsid w:val="000C6FF9"/>
    <w:rsid w:val="000C7BAB"/>
    <w:rsid w:val="000D104F"/>
    <w:rsid w:val="000D2149"/>
    <w:rsid w:val="000D5E21"/>
    <w:rsid w:val="000D6163"/>
    <w:rsid w:val="000D622C"/>
    <w:rsid w:val="000D7366"/>
    <w:rsid w:val="000E2B2C"/>
    <w:rsid w:val="000E2EFA"/>
    <w:rsid w:val="000E31D4"/>
    <w:rsid w:val="000E5E41"/>
    <w:rsid w:val="000E5F47"/>
    <w:rsid w:val="000E7275"/>
    <w:rsid w:val="000E7DFC"/>
    <w:rsid w:val="000F0BC6"/>
    <w:rsid w:val="000F10BD"/>
    <w:rsid w:val="000F12F5"/>
    <w:rsid w:val="000F1D4C"/>
    <w:rsid w:val="000F588B"/>
    <w:rsid w:val="000F5A79"/>
    <w:rsid w:val="000F6E80"/>
    <w:rsid w:val="000F7A99"/>
    <w:rsid w:val="001017A8"/>
    <w:rsid w:val="00102965"/>
    <w:rsid w:val="00103A69"/>
    <w:rsid w:val="00105F34"/>
    <w:rsid w:val="001061FD"/>
    <w:rsid w:val="00107350"/>
    <w:rsid w:val="00107415"/>
    <w:rsid w:val="00107BB0"/>
    <w:rsid w:val="00107BBE"/>
    <w:rsid w:val="00110B23"/>
    <w:rsid w:val="00113720"/>
    <w:rsid w:val="00116D7C"/>
    <w:rsid w:val="001227A8"/>
    <w:rsid w:val="001243A2"/>
    <w:rsid w:val="0012656E"/>
    <w:rsid w:val="0012793C"/>
    <w:rsid w:val="00132908"/>
    <w:rsid w:val="00135057"/>
    <w:rsid w:val="00140F0C"/>
    <w:rsid w:val="00141F2B"/>
    <w:rsid w:val="00142B7D"/>
    <w:rsid w:val="0014388E"/>
    <w:rsid w:val="00143FA4"/>
    <w:rsid w:val="00144ED4"/>
    <w:rsid w:val="00147F9D"/>
    <w:rsid w:val="001518B5"/>
    <w:rsid w:val="001522A5"/>
    <w:rsid w:val="001529AB"/>
    <w:rsid w:val="00153BE6"/>
    <w:rsid w:val="00153E3D"/>
    <w:rsid w:val="001540D9"/>
    <w:rsid w:val="00156664"/>
    <w:rsid w:val="00157094"/>
    <w:rsid w:val="00160817"/>
    <w:rsid w:val="001616CE"/>
    <w:rsid w:val="00161ABE"/>
    <w:rsid w:val="00162D19"/>
    <w:rsid w:val="001631E6"/>
    <w:rsid w:val="00166ECF"/>
    <w:rsid w:val="001678A4"/>
    <w:rsid w:val="00170459"/>
    <w:rsid w:val="00170F05"/>
    <w:rsid w:val="0017198D"/>
    <w:rsid w:val="0017272F"/>
    <w:rsid w:val="00172BF0"/>
    <w:rsid w:val="00172D1F"/>
    <w:rsid w:val="00176190"/>
    <w:rsid w:val="0018080E"/>
    <w:rsid w:val="00181944"/>
    <w:rsid w:val="00182548"/>
    <w:rsid w:val="00182B30"/>
    <w:rsid w:val="00186553"/>
    <w:rsid w:val="00186E4A"/>
    <w:rsid w:val="00190488"/>
    <w:rsid w:val="00191761"/>
    <w:rsid w:val="00192B9B"/>
    <w:rsid w:val="00192EE4"/>
    <w:rsid w:val="00193B93"/>
    <w:rsid w:val="0019463C"/>
    <w:rsid w:val="00194837"/>
    <w:rsid w:val="00194DAA"/>
    <w:rsid w:val="00197401"/>
    <w:rsid w:val="00197906"/>
    <w:rsid w:val="00197952"/>
    <w:rsid w:val="001A3AE8"/>
    <w:rsid w:val="001A4856"/>
    <w:rsid w:val="001A5829"/>
    <w:rsid w:val="001A5C74"/>
    <w:rsid w:val="001A6B40"/>
    <w:rsid w:val="001A7E23"/>
    <w:rsid w:val="001B044F"/>
    <w:rsid w:val="001B09B4"/>
    <w:rsid w:val="001B2161"/>
    <w:rsid w:val="001B264A"/>
    <w:rsid w:val="001B411B"/>
    <w:rsid w:val="001B6868"/>
    <w:rsid w:val="001B7677"/>
    <w:rsid w:val="001C0557"/>
    <w:rsid w:val="001C0E2A"/>
    <w:rsid w:val="001C1E31"/>
    <w:rsid w:val="001C21F1"/>
    <w:rsid w:val="001C235B"/>
    <w:rsid w:val="001C2E0E"/>
    <w:rsid w:val="001C44BE"/>
    <w:rsid w:val="001C4538"/>
    <w:rsid w:val="001C472F"/>
    <w:rsid w:val="001C4980"/>
    <w:rsid w:val="001C4D01"/>
    <w:rsid w:val="001D0A72"/>
    <w:rsid w:val="001D34EB"/>
    <w:rsid w:val="001D4153"/>
    <w:rsid w:val="001D576A"/>
    <w:rsid w:val="001D5A7C"/>
    <w:rsid w:val="001D5BD8"/>
    <w:rsid w:val="001D5CAE"/>
    <w:rsid w:val="001E128A"/>
    <w:rsid w:val="001E4B71"/>
    <w:rsid w:val="001E5C48"/>
    <w:rsid w:val="001E6EB4"/>
    <w:rsid w:val="001E6F4D"/>
    <w:rsid w:val="001F7C90"/>
    <w:rsid w:val="002005A6"/>
    <w:rsid w:val="00202B5D"/>
    <w:rsid w:val="00206B2D"/>
    <w:rsid w:val="00206ED3"/>
    <w:rsid w:val="002112AA"/>
    <w:rsid w:val="00212572"/>
    <w:rsid w:val="00212B6A"/>
    <w:rsid w:val="00216C81"/>
    <w:rsid w:val="00217A22"/>
    <w:rsid w:val="00217D6D"/>
    <w:rsid w:val="00220F8B"/>
    <w:rsid w:val="00221B13"/>
    <w:rsid w:val="0022237A"/>
    <w:rsid w:val="002237D9"/>
    <w:rsid w:val="002241CF"/>
    <w:rsid w:val="00224B82"/>
    <w:rsid w:val="00225C7B"/>
    <w:rsid w:val="00226BE7"/>
    <w:rsid w:val="00226D67"/>
    <w:rsid w:val="00230B25"/>
    <w:rsid w:val="00231B2C"/>
    <w:rsid w:val="00232281"/>
    <w:rsid w:val="002336D6"/>
    <w:rsid w:val="002436E3"/>
    <w:rsid w:val="0024541C"/>
    <w:rsid w:val="0025250E"/>
    <w:rsid w:val="0025255F"/>
    <w:rsid w:val="00252FA5"/>
    <w:rsid w:val="0026362E"/>
    <w:rsid w:val="00264037"/>
    <w:rsid w:val="002649A2"/>
    <w:rsid w:val="002662A6"/>
    <w:rsid w:val="00267E45"/>
    <w:rsid w:val="00270351"/>
    <w:rsid w:val="00272B04"/>
    <w:rsid w:val="00272C7B"/>
    <w:rsid w:val="002735C5"/>
    <w:rsid w:val="002738E0"/>
    <w:rsid w:val="002749A4"/>
    <w:rsid w:val="0027560F"/>
    <w:rsid w:val="002759A5"/>
    <w:rsid w:val="00280782"/>
    <w:rsid w:val="0028534A"/>
    <w:rsid w:val="002867E0"/>
    <w:rsid w:val="002878E8"/>
    <w:rsid w:val="00287F95"/>
    <w:rsid w:val="002901CE"/>
    <w:rsid w:val="002902A4"/>
    <w:rsid w:val="00290575"/>
    <w:rsid w:val="00291241"/>
    <w:rsid w:val="002913B9"/>
    <w:rsid w:val="002924D5"/>
    <w:rsid w:val="00292652"/>
    <w:rsid w:val="00292B31"/>
    <w:rsid w:val="00294541"/>
    <w:rsid w:val="00294D65"/>
    <w:rsid w:val="00296634"/>
    <w:rsid w:val="002A4473"/>
    <w:rsid w:val="002A4655"/>
    <w:rsid w:val="002A4C3F"/>
    <w:rsid w:val="002A4D05"/>
    <w:rsid w:val="002A6595"/>
    <w:rsid w:val="002B0BCA"/>
    <w:rsid w:val="002B2374"/>
    <w:rsid w:val="002B5A5C"/>
    <w:rsid w:val="002B5F4D"/>
    <w:rsid w:val="002B6BDC"/>
    <w:rsid w:val="002C163B"/>
    <w:rsid w:val="002C1712"/>
    <w:rsid w:val="002C1960"/>
    <w:rsid w:val="002C34A6"/>
    <w:rsid w:val="002C3A05"/>
    <w:rsid w:val="002C422B"/>
    <w:rsid w:val="002C4AEE"/>
    <w:rsid w:val="002C52D5"/>
    <w:rsid w:val="002C5A6A"/>
    <w:rsid w:val="002C7335"/>
    <w:rsid w:val="002C7B1E"/>
    <w:rsid w:val="002D0A57"/>
    <w:rsid w:val="002D2BF1"/>
    <w:rsid w:val="002D4954"/>
    <w:rsid w:val="002D4966"/>
    <w:rsid w:val="002D4AFF"/>
    <w:rsid w:val="002D51C9"/>
    <w:rsid w:val="002E0AF8"/>
    <w:rsid w:val="002E2EDD"/>
    <w:rsid w:val="002E3BDB"/>
    <w:rsid w:val="002E42E3"/>
    <w:rsid w:val="002E55C7"/>
    <w:rsid w:val="002E6397"/>
    <w:rsid w:val="002E66D0"/>
    <w:rsid w:val="002F0232"/>
    <w:rsid w:val="002F0533"/>
    <w:rsid w:val="002F3ED4"/>
    <w:rsid w:val="002F4BED"/>
    <w:rsid w:val="002F5D13"/>
    <w:rsid w:val="00301260"/>
    <w:rsid w:val="003017C3"/>
    <w:rsid w:val="00302458"/>
    <w:rsid w:val="00304CFD"/>
    <w:rsid w:val="003051D7"/>
    <w:rsid w:val="0030553A"/>
    <w:rsid w:val="0030593B"/>
    <w:rsid w:val="00305985"/>
    <w:rsid w:val="0030647A"/>
    <w:rsid w:val="00306BD5"/>
    <w:rsid w:val="0031049E"/>
    <w:rsid w:val="0031085A"/>
    <w:rsid w:val="0031130D"/>
    <w:rsid w:val="00311EC9"/>
    <w:rsid w:val="00312EBF"/>
    <w:rsid w:val="00312F4C"/>
    <w:rsid w:val="00314626"/>
    <w:rsid w:val="00315E14"/>
    <w:rsid w:val="003214B5"/>
    <w:rsid w:val="003256EA"/>
    <w:rsid w:val="00325B40"/>
    <w:rsid w:val="00326571"/>
    <w:rsid w:val="0033006D"/>
    <w:rsid w:val="00330ED7"/>
    <w:rsid w:val="00331008"/>
    <w:rsid w:val="00331C59"/>
    <w:rsid w:val="00332234"/>
    <w:rsid w:val="00332E44"/>
    <w:rsid w:val="0033459E"/>
    <w:rsid w:val="003345B3"/>
    <w:rsid w:val="00334EDE"/>
    <w:rsid w:val="0033708F"/>
    <w:rsid w:val="00340AC0"/>
    <w:rsid w:val="00341751"/>
    <w:rsid w:val="0034183C"/>
    <w:rsid w:val="00342C34"/>
    <w:rsid w:val="0034560C"/>
    <w:rsid w:val="003459F0"/>
    <w:rsid w:val="00347302"/>
    <w:rsid w:val="003473BD"/>
    <w:rsid w:val="00347F5E"/>
    <w:rsid w:val="00352509"/>
    <w:rsid w:val="00356D04"/>
    <w:rsid w:val="003571D8"/>
    <w:rsid w:val="00360F92"/>
    <w:rsid w:val="003644B1"/>
    <w:rsid w:val="003646D1"/>
    <w:rsid w:val="00366FEE"/>
    <w:rsid w:val="00367F66"/>
    <w:rsid w:val="003710E8"/>
    <w:rsid w:val="0037128B"/>
    <w:rsid w:val="00371662"/>
    <w:rsid w:val="003734FB"/>
    <w:rsid w:val="003745B6"/>
    <w:rsid w:val="00374DD6"/>
    <w:rsid w:val="00374F0A"/>
    <w:rsid w:val="00376175"/>
    <w:rsid w:val="003764E4"/>
    <w:rsid w:val="003767D6"/>
    <w:rsid w:val="00376DF8"/>
    <w:rsid w:val="003817A8"/>
    <w:rsid w:val="00381A70"/>
    <w:rsid w:val="00382527"/>
    <w:rsid w:val="003825FF"/>
    <w:rsid w:val="003855A6"/>
    <w:rsid w:val="003855AF"/>
    <w:rsid w:val="003860F1"/>
    <w:rsid w:val="0038641A"/>
    <w:rsid w:val="003866F7"/>
    <w:rsid w:val="00387547"/>
    <w:rsid w:val="003918F5"/>
    <w:rsid w:val="00392ECF"/>
    <w:rsid w:val="003932CA"/>
    <w:rsid w:val="003934E2"/>
    <w:rsid w:val="00393A9C"/>
    <w:rsid w:val="003945F5"/>
    <w:rsid w:val="00394B32"/>
    <w:rsid w:val="00395E7B"/>
    <w:rsid w:val="003960FE"/>
    <w:rsid w:val="003965B1"/>
    <w:rsid w:val="003A188E"/>
    <w:rsid w:val="003A1EB6"/>
    <w:rsid w:val="003A2EDF"/>
    <w:rsid w:val="003A3978"/>
    <w:rsid w:val="003B4D11"/>
    <w:rsid w:val="003B7420"/>
    <w:rsid w:val="003C0E10"/>
    <w:rsid w:val="003C1B3C"/>
    <w:rsid w:val="003C1EE0"/>
    <w:rsid w:val="003C3214"/>
    <w:rsid w:val="003C3E2C"/>
    <w:rsid w:val="003C40B5"/>
    <w:rsid w:val="003C7E4C"/>
    <w:rsid w:val="003D0E4C"/>
    <w:rsid w:val="003D1363"/>
    <w:rsid w:val="003D2153"/>
    <w:rsid w:val="003D282C"/>
    <w:rsid w:val="003D2D5E"/>
    <w:rsid w:val="003D2EDC"/>
    <w:rsid w:val="003E14B8"/>
    <w:rsid w:val="003E1E2B"/>
    <w:rsid w:val="003E23C9"/>
    <w:rsid w:val="003E3A9E"/>
    <w:rsid w:val="003E3D46"/>
    <w:rsid w:val="003E43DC"/>
    <w:rsid w:val="003E5FA1"/>
    <w:rsid w:val="003E6646"/>
    <w:rsid w:val="003E6738"/>
    <w:rsid w:val="003E6F35"/>
    <w:rsid w:val="003E7023"/>
    <w:rsid w:val="003F0068"/>
    <w:rsid w:val="003F222A"/>
    <w:rsid w:val="003F2290"/>
    <w:rsid w:val="003F2BE2"/>
    <w:rsid w:val="003F2FDF"/>
    <w:rsid w:val="003F3D43"/>
    <w:rsid w:val="003F4957"/>
    <w:rsid w:val="003F6085"/>
    <w:rsid w:val="003F64AD"/>
    <w:rsid w:val="003F6635"/>
    <w:rsid w:val="003F7C24"/>
    <w:rsid w:val="00400F6F"/>
    <w:rsid w:val="0040148B"/>
    <w:rsid w:val="00401857"/>
    <w:rsid w:val="004041A9"/>
    <w:rsid w:val="0040727B"/>
    <w:rsid w:val="00407837"/>
    <w:rsid w:val="0041446E"/>
    <w:rsid w:val="00417616"/>
    <w:rsid w:val="004202FE"/>
    <w:rsid w:val="004218F9"/>
    <w:rsid w:val="00422BA2"/>
    <w:rsid w:val="004239FD"/>
    <w:rsid w:val="00423C41"/>
    <w:rsid w:val="004240E9"/>
    <w:rsid w:val="00425021"/>
    <w:rsid w:val="004260B7"/>
    <w:rsid w:val="00426486"/>
    <w:rsid w:val="00426DC8"/>
    <w:rsid w:val="00426E7B"/>
    <w:rsid w:val="00427545"/>
    <w:rsid w:val="004275AB"/>
    <w:rsid w:val="004324E0"/>
    <w:rsid w:val="0043298F"/>
    <w:rsid w:val="00436F80"/>
    <w:rsid w:val="00437C37"/>
    <w:rsid w:val="004414B0"/>
    <w:rsid w:val="00441E8F"/>
    <w:rsid w:val="00442764"/>
    <w:rsid w:val="00442DB5"/>
    <w:rsid w:val="0044467D"/>
    <w:rsid w:val="00444F33"/>
    <w:rsid w:val="0044631F"/>
    <w:rsid w:val="00452A07"/>
    <w:rsid w:val="00456DBF"/>
    <w:rsid w:val="00465408"/>
    <w:rsid w:val="00465D21"/>
    <w:rsid w:val="00466348"/>
    <w:rsid w:val="00467B54"/>
    <w:rsid w:val="0047089D"/>
    <w:rsid w:val="00470D83"/>
    <w:rsid w:val="00470E6F"/>
    <w:rsid w:val="00471FCE"/>
    <w:rsid w:val="00475686"/>
    <w:rsid w:val="00475BA1"/>
    <w:rsid w:val="00475E07"/>
    <w:rsid w:val="004772BB"/>
    <w:rsid w:val="00480533"/>
    <w:rsid w:val="00480C6F"/>
    <w:rsid w:val="00484ABA"/>
    <w:rsid w:val="00485063"/>
    <w:rsid w:val="004854BF"/>
    <w:rsid w:val="004956E7"/>
    <w:rsid w:val="0049624B"/>
    <w:rsid w:val="0049669C"/>
    <w:rsid w:val="004A2943"/>
    <w:rsid w:val="004A2D32"/>
    <w:rsid w:val="004A4B77"/>
    <w:rsid w:val="004A6ED8"/>
    <w:rsid w:val="004B12F0"/>
    <w:rsid w:val="004B215A"/>
    <w:rsid w:val="004B3AEE"/>
    <w:rsid w:val="004C1578"/>
    <w:rsid w:val="004C303C"/>
    <w:rsid w:val="004C47CD"/>
    <w:rsid w:val="004C4CCB"/>
    <w:rsid w:val="004C64DA"/>
    <w:rsid w:val="004C7F04"/>
    <w:rsid w:val="004C7F19"/>
    <w:rsid w:val="004C7FD8"/>
    <w:rsid w:val="004D0DDB"/>
    <w:rsid w:val="004D10D2"/>
    <w:rsid w:val="004D2030"/>
    <w:rsid w:val="004D3B7A"/>
    <w:rsid w:val="004D436A"/>
    <w:rsid w:val="004D686A"/>
    <w:rsid w:val="004D7DE0"/>
    <w:rsid w:val="004D7EC2"/>
    <w:rsid w:val="004E0070"/>
    <w:rsid w:val="004E0838"/>
    <w:rsid w:val="004E4EE3"/>
    <w:rsid w:val="004E5484"/>
    <w:rsid w:val="004E5792"/>
    <w:rsid w:val="004E673A"/>
    <w:rsid w:val="004E71CA"/>
    <w:rsid w:val="004F1889"/>
    <w:rsid w:val="004F1FF6"/>
    <w:rsid w:val="004F233C"/>
    <w:rsid w:val="004F3324"/>
    <w:rsid w:val="004F4352"/>
    <w:rsid w:val="004F4CB2"/>
    <w:rsid w:val="004F782A"/>
    <w:rsid w:val="00502012"/>
    <w:rsid w:val="005049E4"/>
    <w:rsid w:val="00506995"/>
    <w:rsid w:val="005077FE"/>
    <w:rsid w:val="00515987"/>
    <w:rsid w:val="00517034"/>
    <w:rsid w:val="00517F02"/>
    <w:rsid w:val="00522229"/>
    <w:rsid w:val="00523589"/>
    <w:rsid w:val="00532BE6"/>
    <w:rsid w:val="005337B7"/>
    <w:rsid w:val="0053459A"/>
    <w:rsid w:val="00535166"/>
    <w:rsid w:val="00535AC1"/>
    <w:rsid w:val="00535CAC"/>
    <w:rsid w:val="00541F45"/>
    <w:rsid w:val="00546730"/>
    <w:rsid w:val="00547424"/>
    <w:rsid w:val="00547C92"/>
    <w:rsid w:val="005509C2"/>
    <w:rsid w:val="00550CC7"/>
    <w:rsid w:val="00554936"/>
    <w:rsid w:val="0055644F"/>
    <w:rsid w:val="005573FB"/>
    <w:rsid w:val="00560267"/>
    <w:rsid w:val="00561EE3"/>
    <w:rsid w:val="0056282A"/>
    <w:rsid w:val="00565937"/>
    <w:rsid w:val="00566832"/>
    <w:rsid w:val="00566C7D"/>
    <w:rsid w:val="00570437"/>
    <w:rsid w:val="0057043F"/>
    <w:rsid w:val="005710D7"/>
    <w:rsid w:val="0057202B"/>
    <w:rsid w:val="00573D18"/>
    <w:rsid w:val="00574C13"/>
    <w:rsid w:val="005758F5"/>
    <w:rsid w:val="005773D7"/>
    <w:rsid w:val="00581BB7"/>
    <w:rsid w:val="0058250B"/>
    <w:rsid w:val="005851DF"/>
    <w:rsid w:val="00586F88"/>
    <w:rsid w:val="00591AA9"/>
    <w:rsid w:val="0059339E"/>
    <w:rsid w:val="0059523B"/>
    <w:rsid w:val="00595420"/>
    <w:rsid w:val="0059643B"/>
    <w:rsid w:val="0059646F"/>
    <w:rsid w:val="005A58AE"/>
    <w:rsid w:val="005A5D1B"/>
    <w:rsid w:val="005A6005"/>
    <w:rsid w:val="005B09D8"/>
    <w:rsid w:val="005B0BCD"/>
    <w:rsid w:val="005B22E8"/>
    <w:rsid w:val="005B33EB"/>
    <w:rsid w:val="005B468D"/>
    <w:rsid w:val="005B4EE5"/>
    <w:rsid w:val="005B63F6"/>
    <w:rsid w:val="005B726B"/>
    <w:rsid w:val="005C0E95"/>
    <w:rsid w:val="005C41F9"/>
    <w:rsid w:val="005C51D4"/>
    <w:rsid w:val="005D0186"/>
    <w:rsid w:val="005D1B2F"/>
    <w:rsid w:val="005D6077"/>
    <w:rsid w:val="005D61D4"/>
    <w:rsid w:val="005E3ABF"/>
    <w:rsid w:val="005E4F46"/>
    <w:rsid w:val="005E569C"/>
    <w:rsid w:val="005E650B"/>
    <w:rsid w:val="005E6D31"/>
    <w:rsid w:val="005E7283"/>
    <w:rsid w:val="005F07AA"/>
    <w:rsid w:val="005F07D7"/>
    <w:rsid w:val="005F0F1D"/>
    <w:rsid w:val="005F3168"/>
    <w:rsid w:val="005F3BBB"/>
    <w:rsid w:val="005F3E11"/>
    <w:rsid w:val="00601057"/>
    <w:rsid w:val="006042AD"/>
    <w:rsid w:val="006051E5"/>
    <w:rsid w:val="006066F5"/>
    <w:rsid w:val="00606867"/>
    <w:rsid w:val="00610AC8"/>
    <w:rsid w:val="00611044"/>
    <w:rsid w:val="00611579"/>
    <w:rsid w:val="0061287A"/>
    <w:rsid w:val="00614DEE"/>
    <w:rsid w:val="006204C3"/>
    <w:rsid w:val="00621803"/>
    <w:rsid w:val="00623414"/>
    <w:rsid w:val="00623D6E"/>
    <w:rsid w:val="0062450B"/>
    <w:rsid w:val="00627487"/>
    <w:rsid w:val="006275BC"/>
    <w:rsid w:val="00627BA7"/>
    <w:rsid w:val="00630B55"/>
    <w:rsid w:val="00631764"/>
    <w:rsid w:val="00634788"/>
    <w:rsid w:val="00634B76"/>
    <w:rsid w:val="00637D8E"/>
    <w:rsid w:val="00642574"/>
    <w:rsid w:val="00644633"/>
    <w:rsid w:val="006453E5"/>
    <w:rsid w:val="00645C8B"/>
    <w:rsid w:val="0064641C"/>
    <w:rsid w:val="00646798"/>
    <w:rsid w:val="0064703F"/>
    <w:rsid w:val="00650003"/>
    <w:rsid w:val="0065134D"/>
    <w:rsid w:val="00651AD5"/>
    <w:rsid w:val="00652763"/>
    <w:rsid w:val="006555FC"/>
    <w:rsid w:val="0065599F"/>
    <w:rsid w:val="006560C2"/>
    <w:rsid w:val="00661A8E"/>
    <w:rsid w:val="006630CD"/>
    <w:rsid w:val="006651FB"/>
    <w:rsid w:val="00666DC3"/>
    <w:rsid w:val="006677F7"/>
    <w:rsid w:val="00670683"/>
    <w:rsid w:val="006731DF"/>
    <w:rsid w:val="0067585A"/>
    <w:rsid w:val="00681380"/>
    <w:rsid w:val="00681E2F"/>
    <w:rsid w:val="00682481"/>
    <w:rsid w:val="0068368D"/>
    <w:rsid w:val="006836D7"/>
    <w:rsid w:val="00683E6B"/>
    <w:rsid w:val="006847CC"/>
    <w:rsid w:val="00686078"/>
    <w:rsid w:val="00687AE3"/>
    <w:rsid w:val="00690BC8"/>
    <w:rsid w:val="006935AA"/>
    <w:rsid w:val="006A03C7"/>
    <w:rsid w:val="006A2361"/>
    <w:rsid w:val="006A315C"/>
    <w:rsid w:val="006A469C"/>
    <w:rsid w:val="006A69AA"/>
    <w:rsid w:val="006B00AD"/>
    <w:rsid w:val="006B01DB"/>
    <w:rsid w:val="006B096E"/>
    <w:rsid w:val="006B0AB7"/>
    <w:rsid w:val="006B0FFE"/>
    <w:rsid w:val="006B2F29"/>
    <w:rsid w:val="006B44D8"/>
    <w:rsid w:val="006B4D30"/>
    <w:rsid w:val="006B5292"/>
    <w:rsid w:val="006B7497"/>
    <w:rsid w:val="006C1390"/>
    <w:rsid w:val="006C40BE"/>
    <w:rsid w:val="006C420F"/>
    <w:rsid w:val="006C43CD"/>
    <w:rsid w:val="006C5C88"/>
    <w:rsid w:val="006C76C5"/>
    <w:rsid w:val="006C7891"/>
    <w:rsid w:val="006D17CF"/>
    <w:rsid w:val="006D315F"/>
    <w:rsid w:val="006D37AB"/>
    <w:rsid w:val="006D45A9"/>
    <w:rsid w:val="006E194B"/>
    <w:rsid w:val="006E59D3"/>
    <w:rsid w:val="006E6061"/>
    <w:rsid w:val="006F0DC4"/>
    <w:rsid w:val="006F21CD"/>
    <w:rsid w:val="006F2567"/>
    <w:rsid w:val="006F428C"/>
    <w:rsid w:val="006F52D5"/>
    <w:rsid w:val="006F66EE"/>
    <w:rsid w:val="006F6727"/>
    <w:rsid w:val="006F750B"/>
    <w:rsid w:val="00700929"/>
    <w:rsid w:val="00702474"/>
    <w:rsid w:val="007036E7"/>
    <w:rsid w:val="00704A19"/>
    <w:rsid w:val="00706107"/>
    <w:rsid w:val="00710BEC"/>
    <w:rsid w:val="00710C86"/>
    <w:rsid w:val="00710D64"/>
    <w:rsid w:val="007140E9"/>
    <w:rsid w:val="00714D1E"/>
    <w:rsid w:val="00714E74"/>
    <w:rsid w:val="00715654"/>
    <w:rsid w:val="00715E3C"/>
    <w:rsid w:val="00717B57"/>
    <w:rsid w:val="0072330B"/>
    <w:rsid w:val="007234A4"/>
    <w:rsid w:val="007253A8"/>
    <w:rsid w:val="00725A72"/>
    <w:rsid w:val="00726A7A"/>
    <w:rsid w:val="007307D7"/>
    <w:rsid w:val="00732E89"/>
    <w:rsid w:val="00736BD7"/>
    <w:rsid w:val="0073762E"/>
    <w:rsid w:val="00737E08"/>
    <w:rsid w:val="007401BD"/>
    <w:rsid w:val="0074158C"/>
    <w:rsid w:val="00741B93"/>
    <w:rsid w:val="00742871"/>
    <w:rsid w:val="007450E3"/>
    <w:rsid w:val="0074516A"/>
    <w:rsid w:val="00745A86"/>
    <w:rsid w:val="00746080"/>
    <w:rsid w:val="007469B6"/>
    <w:rsid w:val="00746D2F"/>
    <w:rsid w:val="00750B7B"/>
    <w:rsid w:val="00751DA9"/>
    <w:rsid w:val="007524E3"/>
    <w:rsid w:val="00752B51"/>
    <w:rsid w:val="00752B5E"/>
    <w:rsid w:val="00753CDC"/>
    <w:rsid w:val="00757508"/>
    <w:rsid w:val="0076037A"/>
    <w:rsid w:val="00762652"/>
    <w:rsid w:val="00763007"/>
    <w:rsid w:val="0076441F"/>
    <w:rsid w:val="00764509"/>
    <w:rsid w:val="00764C9A"/>
    <w:rsid w:val="0076510B"/>
    <w:rsid w:val="00766208"/>
    <w:rsid w:val="007670F4"/>
    <w:rsid w:val="00767A4E"/>
    <w:rsid w:val="0077093F"/>
    <w:rsid w:val="0077107B"/>
    <w:rsid w:val="007719B4"/>
    <w:rsid w:val="00777003"/>
    <w:rsid w:val="0078036E"/>
    <w:rsid w:val="007814FC"/>
    <w:rsid w:val="007825D0"/>
    <w:rsid w:val="00782EA0"/>
    <w:rsid w:val="00783069"/>
    <w:rsid w:val="00786098"/>
    <w:rsid w:val="00787FEE"/>
    <w:rsid w:val="00790022"/>
    <w:rsid w:val="00792ADD"/>
    <w:rsid w:val="00792D79"/>
    <w:rsid w:val="00793CEF"/>
    <w:rsid w:val="0079605A"/>
    <w:rsid w:val="007962BB"/>
    <w:rsid w:val="007A3956"/>
    <w:rsid w:val="007A43BA"/>
    <w:rsid w:val="007A460F"/>
    <w:rsid w:val="007A7411"/>
    <w:rsid w:val="007B00D0"/>
    <w:rsid w:val="007B1534"/>
    <w:rsid w:val="007B1BDC"/>
    <w:rsid w:val="007B2048"/>
    <w:rsid w:val="007B20AC"/>
    <w:rsid w:val="007B2303"/>
    <w:rsid w:val="007B23C2"/>
    <w:rsid w:val="007B2A21"/>
    <w:rsid w:val="007B359C"/>
    <w:rsid w:val="007B4A2E"/>
    <w:rsid w:val="007B64CF"/>
    <w:rsid w:val="007B6E34"/>
    <w:rsid w:val="007C0CC2"/>
    <w:rsid w:val="007C233B"/>
    <w:rsid w:val="007C2B46"/>
    <w:rsid w:val="007C2D34"/>
    <w:rsid w:val="007C34C7"/>
    <w:rsid w:val="007C4004"/>
    <w:rsid w:val="007C6685"/>
    <w:rsid w:val="007D58CA"/>
    <w:rsid w:val="007D5C89"/>
    <w:rsid w:val="007D6467"/>
    <w:rsid w:val="007D7E41"/>
    <w:rsid w:val="007E00ED"/>
    <w:rsid w:val="007E016C"/>
    <w:rsid w:val="007E1E5D"/>
    <w:rsid w:val="007E211D"/>
    <w:rsid w:val="007E2B27"/>
    <w:rsid w:val="007E3D19"/>
    <w:rsid w:val="007E42AA"/>
    <w:rsid w:val="007E4A5E"/>
    <w:rsid w:val="007E4D85"/>
    <w:rsid w:val="007E659F"/>
    <w:rsid w:val="007E6F56"/>
    <w:rsid w:val="007E6FA5"/>
    <w:rsid w:val="007E7A8E"/>
    <w:rsid w:val="007F4AFB"/>
    <w:rsid w:val="007F5B27"/>
    <w:rsid w:val="007F7B50"/>
    <w:rsid w:val="007F7B84"/>
    <w:rsid w:val="00800C32"/>
    <w:rsid w:val="008010C2"/>
    <w:rsid w:val="00802B42"/>
    <w:rsid w:val="00802E82"/>
    <w:rsid w:val="008052A6"/>
    <w:rsid w:val="0080582A"/>
    <w:rsid w:val="008059E4"/>
    <w:rsid w:val="00807B73"/>
    <w:rsid w:val="00810AC5"/>
    <w:rsid w:val="00813CFC"/>
    <w:rsid w:val="0081717B"/>
    <w:rsid w:val="00817670"/>
    <w:rsid w:val="008203F4"/>
    <w:rsid w:val="0082091C"/>
    <w:rsid w:val="0082138F"/>
    <w:rsid w:val="0082254F"/>
    <w:rsid w:val="00823543"/>
    <w:rsid w:val="0082442E"/>
    <w:rsid w:val="008248D7"/>
    <w:rsid w:val="0082714F"/>
    <w:rsid w:val="0083125E"/>
    <w:rsid w:val="0083290D"/>
    <w:rsid w:val="00833775"/>
    <w:rsid w:val="00835654"/>
    <w:rsid w:val="00835EC2"/>
    <w:rsid w:val="00836C90"/>
    <w:rsid w:val="008374B4"/>
    <w:rsid w:val="00837804"/>
    <w:rsid w:val="0084038D"/>
    <w:rsid w:val="008413E3"/>
    <w:rsid w:val="00842359"/>
    <w:rsid w:val="00846C89"/>
    <w:rsid w:val="00847309"/>
    <w:rsid w:val="00850588"/>
    <w:rsid w:val="008506A9"/>
    <w:rsid w:val="008550A6"/>
    <w:rsid w:val="008553C8"/>
    <w:rsid w:val="008559DE"/>
    <w:rsid w:val="00862B01"/>
    <w:rsid w:val="008637D9"/>
    <w:rsid w:val="00863DC1"/>
    <w:rsid w:val="00865377"/>
    <w:rsid w:val="008704D2"/>
    <w:rsid w:val="008736F6"/>
    <w:rsid w:val="008743BA"/>
    <w:rsid w:val="008777A5"/>
    <w:rsid w:val="00877C5D"/>
    <w:rsid w:val="00880B1C"/>
    <w:rsid w:val="00881186"/>
    <w:rsid w:val="00881A31"/>
    <w:rsid w:val="008851B3"/>
    <w:rsid w:val="00885258"/>
    <w:rsid w:val="0088667E"/>
    <w:rsid w:val="00887ED2"/>
    <w:rsid w:val="00891DC4"/>
    <w:rsid w:val="00892FB2"/>
    <w:rsid w:val="0089695C"/>
    <w:rsid w:val="00897F92"/>
    <w:rsid w:val="008A00A4"/>
    <w:rsid w:val="008A63C5"/>
    <w:rsid w:val="008A64A3"/>
    <w:rsid w:val="008B00DC"/>
    <w:rsid w:val="008B03FF"/>
    <w:rsid w:val="008B080B"/>
    <w:rsid w:val="008B231F"/>
    <w:rsid w:val="008B39A6"/>
    <w:rsid w:val="008B5300"/>
    <w:rsid w:val="008B54DE"/>
    <w:rsid w:val="008B62E5"/>
    <w:rsid w:val="008B6385"/>
    <w:rsid w:val="008B695E"/>
    <w:rsid w:val="008B777F"/>
    <w:rsid w:val="008C03EC"/>
    <w:rsid w:val="008C03ED"/>
    <w:rsid w:val="008C0AAC"/>
    <w:rsid w:val="008C164F"/>
    <w:rsid w:val="008C31D2"/>
    <w:rsid w:val="008C4965"/>
    <w:rsid w:val="008C511B"/>
    <w:rsid w:val="008C53A2"/>
    <w:rsid w:val="008C7838"/>
    <w:rsid w:val="008C7ACC"/>
    <w:rsid w:val="008C7C9E"/>
    <w:rsid w:val="008D03F5"/>
    <w:rsid w:val="008D132C"/>
    <w:rsid w:val="008D1D9F"/>
    <w:rsid w:val="008D249F"/>
    <w:rsid w:val="008D2825"/>
    <w:rsid w:val="008D3986"/>
    <w:rsid w:val="008D3FFB"/>
    <w:rsid w:val="008D4974"/>
    <w:rsid w:val="008D515E"/>
    <w:rsid w:val="008E07DE"/>
    <w:rsid w:val="008E0A45"/>
    <w:rsid w:val="008E14F7"/>
    <w:rsid w:val="008E2092"/>
    <w:rsid w:val="008E5AA8"/>
    <w:rsid w:val="008E5F40"/>
    <w:rsid w:val="008E6E66"/>
    <w:rsid w:val="008E7AB9"/>
    <w:rsid w:val="008F51AE"/>
    <w:rsid w:val="008F5675"/>
    <w:rsid w:val="008F73DF"/>
    <w:rsid w:val="008F78A1"/>
    <w:rsid w:val="008F7DFE"/>
    <w:rsid w:val="00902B36"/>
    <w:rsid w:val="00902DC4"/>
    <w:rsid w:val="00904A0E"/>
    <w:rsid w:val="009058EC"/>
    <w:rsid w:val="009058FC"/>
    <w:rsid w:val="0090725A"/>
    <w:rsid w:val="0091137B"/>
    <w:rsid w:val="009113EA"/>
    <w:rsid w:val="00911E3C"/>
    <w:rsid w:val="00916DA3"/>
    <w:rsid w:val="00917320"/>
    <w:rsid w:val="00921811"/>
    <w:rsid w:val="0092185C"/>
    <w:rsid w:val="0092185D"/>
    <w:rsid w:val="009218C3"/>
    <w:rsid w:val="00922578"/>
    <w:rsid w:val="00926997"/>
    <w:rsid w:val="0092699A"/>
    <w:rsid w:val="009270AC"/>
    <w:rsid w:val="00930B38"/>
    <w:rsid w:val="00931BC5"/>
    <w:rsid w:val="00932F5A"/>
    <w:rsid w:val="009330BF"/>
    <w:rsid w:val="00933FB1"/>
    <w:rsid w:val="0093565A"/>
    <w:rsid w:val="00935F25"/>
    <w:rsid w:val="009361E7"/>
    <w:rsid w:val="00940CE2"/>
    <w:rsid w:val="009412D4"/>
    <w:rsid w:val="00941939"/>
    <w:rsid w:val="009429DF"/>
    <w:rsid w:val="00945DBB"/>
    <w:rsid w:val="00946D33"/>
    <w:rsid w:val="0095313E"/>
    <w:rsid w:val="00953C30"/>
    <w:rsid w:val="00954714"/>
    <w:rsid w:val="00954962"/>
    <w:rsid w:val="009563BF"/>
    <w:rsid w:val="00956C8D"/>
    <w:rsid w:val="0095790E"/>
    <w:rsid w:val="00960C22"/>
    <w:rsid w:val="00962668"/>
    <w:rsid w:val="00964D2F"/>
    <w:rsid w:val="00967257"/>
    <w:rsid w:val="00967268"/>
    <w:rsid w:val="00967EC5"/>
    <w:rsid w:val="00967FB8"/>
    <w:rsid w:val="00973337"/>
    <w:rsid w:val="00974391"/>
    <w:rsid w:val="009747E7"/>
    <w:rsid w:val="00974A91"/>
    <w:rsid w:val="00976878"/>
    <w:rsid w:val="00980084"/>
    <w:rsid w:val="00980E91"/>
    <w:rsid w:val="0098303C"/>
    <w:rsid w:val="009841AB"/>
    <w:rsid w:val="00984AD7"/>
    <w:rsid w:val="009860B2"/>
    <w:rsid w:val="0099072A"/>
    <w:rsid w:val="00991DE1"/>
    <w:rsid w:val="009937AE"/>
    <w:rsid w:val="00993CB9"/>
    <w:rsid w:val="00994A2E"/>
    <w:rsid w:val="00994B41"/>
    <w:rsid w:val="009955B6"/>
    <w:rsid w:val="00996579"/>
    <w:rsid w:val="00996C21"/>
    <w:rsid w:val="00996EE9"/>
    <w:rsid w:val="009A0147"/>
    <w:rsid w:val="009A1629"/>
    <w:rsid w:val="009A21D9"/>
    <w:rsid w:val="009A27DB"/>
    <w:rsid w:val="009A2D0F"/>
    <w:rsid w:val="009A40BD"/>
    <w:rsid w:val="009A5141"/>
    <w:rsid w:val="009A59E4"/>
    <w:rsid w:val="009A5F2B"/>
    <w:rsid w:val="009A6392"/>
    <w:rsid w:val="009A6867"/>
    <w:rsid w:val="009B16BB"/>
    <w:rsid w:val="009B292C"/>
    <w:rsid w:val="009B4610"/>
    <w:rsid w:val="009C0A12"/>
    <w:rsid w:val="009C10B3"/>
    <w:rsid w:val="009C2355"/>
    <w:rsid w:val="009C2C67"/>
    <w:rsid w:val="009C2E58"/>
    <w:rsid w:val="009C3C7D"/>
    <w:rsid w:val="009C5937"/>
    <w:rsid w:val="009C5C4F"/>
    <w:rsid w:val="009C6CB2"/>
    <w:rsid w:val="009D1609"/>
    <w:rsid w:val="009D18C7"/>
    <w:rsid w:val="009D36F8"/>
    <w:rsid w:val="009D4B99"/>
    <w:rsid w:val="009D5238"/>
    <w:rsid w:val="009D6958"/>
    <w:rsid w:val="009D72F6"/>
    <w:rsid w:val="009D7839"/>
    <w:rsid w:val="009E00EE"/>
    <w:rsid w:val="009E1395"/>
    <w:rsid w:val="009E194A"/>
    <w:rsid w:val="009E1C22"/>
    <w:rsid w:val="009E340A"/>
    <w:rsid w:val="009E482E"/>
    <w:rsid w:val="009E484F"/>
    <w:rsid w:val="009E52E7"/>
    <w:rsid w:val="009E61AA"/>
    <w:rsid w:val="009F3AFC"/>
    <w:rsid w:val="009F4AEB"/>
    <w:rsid w:val="009F6FBF"/>
    <w:rsid w:val="009F7C3E"/>
    <w:rsid w:val="00A00000"/>
    <w:rsid w:val="00A00E09"/>
    <w:rsid w:val="00A0232C"/>
    <w:rsid w:val="00A0526F"/>
    <w:rsid w:val="00A05635"/>
    <w:rsid w:val="00A05963"/>
    <w:rsid w:val="00A05A0E"/>
    <w:rsid w:val="00A06EAE"/>
    <w:rsid w:val="00A10ED8"/>
    <w:rsid w:val="00A11312"/>
    <w:rsid w:val="00A146F7"/>
    <w:rsid w:val="00A17CA9"/>
    <w:rsid w:val="00A17EC6"/>
    <w:rsid w:val="00A20DF6"/>
    <w:rsid w:val="00A223A1"/>
    <w:rsid w:val="00A223C9"/>
    <w:rsid w:val="00A23DEF"/>
    <w:rsid w:val="00A25A4E"/>
    <w:rsid w:val="00A277B5"/>
    <w:rsid w:val="00A30407"/>
    <w:rsid w:val="00A30608"/>
    <w:rsid w:val="00A32FB6"/>
    <w:rsid w:val="00A34872"/>
    <w:rsid w:val="00A34B1D"/>
    <w:rsid w:val="00A35AFE"/>
    <w:rsid w:val="00A35FE8"/>
    <w:rsid w:val="00A40CD5"/>
    <w:rsid w:val="00A4130E"/>
    <w:rsid w:val="00A45C46"/>
    <w:rsid w:val="00A468A5"/>
    <w:rsid w:val="00A46B6B"/>
    <w:rsid w:val="00A46C5A"/>
    <w:rsid w:val="00A50989"/>
    <w:rsid w:val="00A52084"/>
    <w:rsid w:val="00A57C5C"/>
    <w:rsid w:val="00A57D9D"/>
    <w:rsid w:val="00A64DF2"/>
    <w:rsid w:val="00A6713A"/>
    <w:rsid w:val="00A67B9E"/>
    <w:rsid w:val="00A70EF3"/>
    <w:rsid w:val="00A76766"/>
    <w:rsid w:val="00A77B6E"/>
    <w:rsid w:val="00A80360"/>
    <w:rsid w:val="00A818DB"/>
    <w:rsid w:val="00A84034"/>
    <w:rsid w:val="00A8449D"/>
    <w:rsid w:val="00A85CE2"/>
    <w:rsid w:val="00A9293F"/>
    <w:rsid w:val="00A92F27"/>
    <w:rsid w:val="00A94882"/>
    <w:rsid w:val="00A965B3"/>
    <w:rsid w:val="00A971A3"/>
    <w:rsid w:val="00AA182C"/>
    <w:rsid w:val="00AA22AA"/>
    <w:rsid w:val="00AA4129"/>
    <w:rsid w:val="00AA4A16"/>
    <w:rsid w:val="00AA5023"/>
    <w:rsid w:val="00AA535C"/>
    <w:rsid w:val="00AA5A30"/>
    <w:rsid w:val="00AA7DBF"/>
    <w:rsid w:val="00AB178A"/>
    <w:rsid w:val="00AB2EA5"/>
    <w:rsid w:val="00AB3327"/>
    <w:rsid w:val="00AB38EF"/>
    <w:rsid w:val="00AB3F3C"/>
    <w:rsid w:val="00AB4336"/>
    <w:rsid w:val="00AB6B1C"/>
    <w:rsid w:val="00AB7684"/>
    <w:rsid w:val="00AC02B3"/>
    <w:rsid w:val="00AC096D"/>
    <w:rsid w:val="00AC09DC"/>
    <w:rsid w:val="00AC1309"/>
    <w:rsid w:val="00AC2A00"/>
    <w:rsid w:val="00AC45F0"/>
    <w:rsid w:val="00AC54A4"/>
    <w:rsid w:val="00AC7428"/>
    <w:rsid w:val="00AD086D"/>
    <w:rsid w:val="00AD14ED"/>
    <w:rsid w:val="00AD2A7C"/>
    <w:rsid w:val="00AD2C81"/>
    <w:rsid w:val="00AD4315"/>
    <w:rsid w:val="00AD5571"/>
    <w:rsid w:val="00AD6670"/>
    <w:rsid w:val="00AD7307"/>
    <w:rsid w:val="00AE05D3"/>
    <w:rsid w:val="00AE0D89"/>
    <w:rsid w:val="00AE61E6"/>
    <w:rsid w:val="00AE64DE"/>
    <w:rsid w:val="00AF421A"/>
    <w:rsid w:val="00AF43F8"/>
    <w:rsid w:val="00AF5258"/>
    <w:rsid w:val="00AF69D9"/>
    <w:rsid w:val="00AF79EC"/>
    <w:rsid w:val="00AF7BD7"/>
    <w:rsid w:val="00B02045"/>
    <w:rsid w:val="00B04353"/>
    <w:rsid w:val="00B055B8"/>
    <w:rsid w:val="00B077AD"/>
    <w:rsid w:val="00B10881"/>
    <w:rsid w:val="00B113C4"/>
    <w:rsid w:val="00B12518"/>
    <w:rsid w:val="00B12754"/>
    <w:rsid w:val="00B12901"/>
    <w:rsid w:val="00B149F8"/>
    <w:rsid w:val="00B204A4"/>
    <w:rsid w:val="00B20E03"/>
    <w:rsid w:val="00B222FB"/>
    <w:rsid w:val="00B24AB1"/>
    <w:rsid w:val="00B24F84"/>
    <w:rsid w:val="00B25EC1"/>
    <w:rsid w:val="00B26A57"/>
    <w:rsid w:val="00B275B0"/>
    <w:rsid w:val="00B27770"/>
    <w:rsid w:val="00B3028C"/>
    <w:rsid w:val="00B30D68"/>
    <w:rsid w:val="00B31BC6"/>
    <w:rsid w:val="00B3206C"/>
    <w:rsid w:val="00B3325C"/>
    <w:rsid w:val="00B3633E"/>
    <w:rsid w:val="00B36593"/>
    <w:rsid w:val="00B37219"/>
    <w:rsid w:val="00B37571"/>
    <w:rsid w:val="00B40379"/>
    <w:rsid w:val="00B4074C"/>
    <w:rsid w:val="00B40EF3"/>
    <w:rsid w:val="00B41AE3"/>
    <w:rsid w:val="00B424D2"/>
    <w:rsid w:val="00B453A7"/>
    <w:rsid w:val="00B463FC"/>
    <w:rsid w:val="00B465A8"/>
    <w:rsid w:val="00B474F0"/>
    <w:rsid w:val="00B53089"/>
    <w:rsid w:val="00B53BDB"/>
    <w:rsid w:val="00B55D8C"/>
    <w:rsid w:val="00B56BD1"/>
    <w:rsid w:val="00B5775E"/>
    <w:rsid w:val="00B57940"/>
    <w:rsid w:val="00B57ECA"/>
    <w:rsid w:val="00B60854"/>
    <w:rsid w:val="00B6261E"/>
    <w:rsid w:val="00B627A1"/>
    <w:rsid w:val="00B63466"/>
    <w:rsid w:val="00B63821"/>
    <w:rsid w:val="00B64370"/>
    <w:rsid w:val="00B656EB"/>
    <w:rsid w:val="00B66B16"/>
    <w:rsid w:val="00B670FD"/>
    <w:rsid w:val="00B67D2C"/>
    <w:rsid w:val="00B70378"/>
    <w:rsid w:val="00B71636"/>
    <w:rsid w:val="00B73F6B"/>
    <w:rsid w:val="00B75958"/>
    <w:rsid w:val="00B76445"/>
    <w:rsid w:val="00B80DA9"/>
    <w:rsid w:val="00B8100E"/>
    <w:rsid w:val="00B81BE3"/>
    <w:rsid w:val="00B83A5F"/>
    <w:rsid w:val="00B840FB"/>
    <w:rsid w:val="00B8579B"/>
    <w:rsid w:val="00B85BAC"/>
    <w:rsid w:val="00B85E98"/>
    <w:rsid w:val="00B91902"/>
    <w:rsid w:val="00B91AAB"/>
    <w:rsid w:val="00B94D42"/>
    <w:rsid w:val="00B96498"/>
    <w:rsid w:val="00B967B3"/>
    <w:rsid w:val="00B978B6"/>
    <w:rsid w:val="00B97928"/>
    <w:rsid w:val="00BA059D"/>
    <w:rsid w:val="00BA2902"/>
    <w:rsid w:val="00BA3FF4"/>
    <w:rsid w:val="00BA4ECE"/>
    <w:rsid w:val="00BA5EC4"/>
    <w:rsid w:val="00BA6D5D"/>
    <w:rsid w:val="00BA7E17"/>
    <w:rsid w:val="00BB122E"/>
    <w:rsid w:val="00BB2EEF"/>
    <w:rsid w:val="00BB3E49"/>
    <w:rsid w:val="00BB4F53"/>
    <w:rsid w:val="00BB5831"/>
    <w:rsid w:val="00BC0666"/>
    <w:rsid w:val="00BC0671"/>
    <w:rsid w:val="00BC34D5"/>
    <w:rsid w:val="00BC5817"/>
    <w:rsid w:val="00BC6EE7"/>
    <w:rsid w:val="00BD006B"/>
    <w:rsid w:val="00BD1442"/>
    <w:rsid w:val="00BD1EBE"/>
    <w:rsid w:val="00BD525A"/>
    <w:rsid w:val="00BD7324"/>
    <w:rsid w:val="00BE0805"/>
    <w:rsid w:val="00BE32A2"/>
    <w:rsid w:val="00BE48BC"/>
    <w:rsid w:val="00BE5231"/>
    <w:rsid w:val="00BE6CDE"/>
    <w:rsid w:val="00BE77F0"/>
    <w:rsid w:val="00BF1421"/>
    <w:rsid w:val="00BF1A07"/>
    <w:rsid w:val="00BF424E"/>
    <w:rsid w:val="00BF4C3B"/>
    <w:rsid w:val="00BF6491"/>
    <w:rsid w:val="00BF754F"/>
    <w:rsid w:val="00BF7B40"/>
    <w:rsid w:val="00C02272"/>
    <w:rsid w:val="00C02346"/>
    <w:rsid w:val="00C0342E"/>
    <w:rsid w:val="00C0375A"/>
    <w:rsid w:val="00C03F81"/>
    <w:rsid w:val="00C04AD0"/>
    <w:rsid w:val="00C05CB7"/>
    <w:rsid w:val="00C0618E"/>
    <w:rsid w:val="00C0659D"/>
    <w:rsid w:val="00C07424"/>
    <w:rsid w:val="00C07CB6"/>
    <w:rsid w:val="00C104FD"/>
    <w:rsid w:val="00C10E3E"/>
    <w:rsid w:val="00C12C7F"/>
    <w:rsid w:val="00C13805"/>
    <w:rsid w:val="00C1606A"/>
    <w:rsid w:val="00C166B2"/>
    <w:rsid w:val="00C16E69"/>
    <w:rsid w:val="00C2027F"/>
    <w:rsid w:val="00C206C5"/>
    <w:rsid w:val="00C21120"/>
    <w:rsid w:val="00C22CEB"/>
    <w:rsid w:val="00C24018"/>
    <w:rsid w:val="00C24A5A"/>
    <w:rsid w:val="00C3111F"/>
    <w:rsid w:val="00C33383"/>
    <w:rsid w:val="00C34C2D"/>
    <w:rsid w:val="00C353F0"/>
    <w:rsid w:val="00C35A20"/>
    <w:rsid w:val="00C365AF"/>
    <w:rsid w:val="00C36D04"/>
    <w:rsid w:val="00C3791F"/>
    <w:rsid w:val="00C4047A"/>
    <w:rsid w:val="00C407E9"/>
    <w:rsid w:val="00C410CE"/>
    <w:rsid w:val="00C41A70"/>
    <w:rsid w:val="00C42417"/>
    <w:rsid w:val="00C42A60"/>
    <w:rsid w:val="00C44AC8"/>
    <w:rsid w:val="00C45768"/>
    <w:rsid w:val="00C472A4"/>
    <w:rsid w:val="00C502CF"/>
    <w:rsid w:val="00C57CDF"/>
    <w:rsid w:val="00C57F23"/>
    <w:rsid w:val="00C603C8"/>
    <w:rsid w:val="00C632AB"/>
    <w:rsid w:val="00C6339E"/>
    <w:rsid w:val="00C643F8"/>
    <w:rsid w:val="00C64FDD"/>
    <w:rsid w:val="00C709A8"/>
    <w:rsid w:val="00C70B9A"/>
    <w:rsid w:val="00C71800"/>
    <w:rsid w:val="00C71BCF"/>
    <w:rsid w:val="00C72088"/>
    <w:rsid w:val="00C745FD"/>
    <w:rsid w:val="00C76C4D"/>
    <w:rsid w:val="00C80E56"/>
    <w:rsid w:val="00C82D3E"/>
    <w:rsid w:val="00C833CF"/>
    <w:rsid w:val="00C83E4C"/>
    <w:rsid w:val="00C845D7"/>
    <w:rsid w:val="00C8621B"/>
    <w:rsid w:val="00C8622E"/>
    <w:rsid w:val="00C8679D"/>
    <w:rsid w:val="00C86AF6"/>
    <w:rsid w:val="00C9501B"/>
    <w:rsid w:val="00C95205"/>
    <w:rsid w:val="00C961AD"/>
    <w:rsid w:val="00CA0560"/>
    <w:rsid w:val="00CA06D6"/>
    <w:rsid w:val="00CA1958"/>
    <w:rsid w:val="00CA1EC4"/>
    <w:rsid w:val="00CA1F8A"/>
    <w:rsid w:val="00CA25CC"/>
    <w:rsid w:val="00CA5178"/>
    <w:rsid w:val="00CB0E71"/>
    <w:rsid w:val="00CB12C2"/>
    <w:rsid w:val="00CB1A2D"/>
    <w:rsid w:val="00CB1B76"/>
    <w:rsid w:val="00CB21A7"/>
    <w:rsid w:val="00CB3A85"/>
    <w:rsid w:val="00CB5110"/>
    <w:rsid w:val="00CB6B19"/>
    <w:rsid w:val="00CB6B29"/>
    <w:rsid w:val="00CC1AD8"/>
    <w:rsid w:val="00CC47D3"/>
    <w:rsid w:val="00CC60B9"/>
    <w:rsid w:val="00CD0594"/>
    <w:rsid w:val="00CD1813"/>
    <w:rsid w:val="00CD1C09"/>
    <w:rsid w:val="00CD299F"/>
    <w:rsid w:val="00CD32B8"/>
    <w:rsid w:val="00CD44D1"/>
    <w:rsid w:val="00CD50D8"/>
    <w:rsid w:val="00CD795F"/>
    <w:rsid w:val="00CD7EEC"/>
    <w:rsid w:val="00CE0B60"/>
    <w:rsid w:val="00CE0F74"/>
    <w:rsid w:val="00CE13AD"/>
    <w:rsid w:val="00CE2F73"/>
    <w:rsid w:val="00CE3021"/>
    <w:rsid w:val="00CE3312"/>
    <w:rsid w:val="00CE33DF"/>
    <w:rsid w:val="00CE4ED3"/>
    <w:rsid w:val="00CE6C5C"/>
    <w:rsid w:val="00CF0092"/>
    <w:rsid w:val="00CF14A0"/>
    <w:rsid w:val="00CF1C59"/>
    <w:rsid w:val="00CF33B8"/>
    <w:rsid w:val="00CF6503"/>
    <w:rsid w:val="00CF680A"/>
    <w:rsid w:val="00CF7062"/>
    <w:rsid w:val="00CF7213"/>
    <w:rsid w:val="00CF752B"/>
    <w:rsid w:val="00D0048A"/>
    <w:rsid w:val="00D00DF8"/>
    <w:rsid w:val="00D01043"/>
    <w:rsid w:val="00D017E6"/>
    <w:rsid w:val="00D03B06"/>
    <w:rsid w:val="00D0480F"/>
    <w:rsid w:val="00D05D9B"/>
    <w:rsid w:val="00D0646A"/>
    <w:rsid w:val="00D105DF"/>
    <w:rsid w:val="00D113EE"/>
    <w:rsid w:val="00D1274E"/>
    <w:rsid w:val="00D15558"/>
    <w:rsid w:val="00D15839"/>
    <w:rsid w:val="00D15956"/>
    <w:rsid w:val="00D16890"/>
    <w:rsid w:val="00D172BD"/>
    <w:rsid w:val="00D17622"/>
    <w:rsid w:val="00D177B2"/>
    <w:rsid w:val="00D17D3A"/>
    <w:rsid w:val="00D20A26"/>
    <w:rsid w:val="00D230B2"/>
    <w:rsid w:val="00D238A4"/>
    <w:rsid w:val="00D238B2"/>
    <w:rsid w:val="00D24EFC"/>
    <w:rsid w:val="00D27174"/>
    <w:rsid w:val="00D27C27"/>
    <w:rsid w:val="00D34496"/>
    <w:rsid w:val="00D34E5A"/>
    <w:rsid w:val="00D372A9"/>
    <w:rsid w:val="00D37558"/>
    <w:rsid w:val="00D37752"/>
    <w:rsid w:val="00D402B2"/>
    <w:rsid w:val="00D41FD2"/>
    <w:rsid w:val="00D42947"/>
    <w:rsid w:val="00D43946"/>
    <w:rsid w:val="00D44770"/>
    <w:rsid w:val="00D47498"/>
    <w:rsid w:val="00D4786A"/>
    <w:rsid w:val="00D5009E"/>
    <w:rsid w:val="00D52485"/>
    <w:rsid w:val="00D542B2"/>
    <w:rsid w:val="00D55E5E"/>
    <w:rsid w:val="00D56B95"/>
    <w:rsid w:val="00D57B22"/>
    <w:rsid w:val="00D626D1"/>
    <w:rsid w:val="00D653F6"/>
    <w:rsid w:val="00D6623C"/>
    <w:rsid w:val="00D66655"/>
    <w:rsid w:val="00D66AF5"/>
    <w:rsid w:val="00D71A94"/>
    <w:rsid w:val="00D72183"/>
    <w:rsid w:val="00D72DE6"/>
    <w:rsid w:val="00D750B3"/>
    <w:rsid w:val="00D750CD"/>
    <w:rsid w:val="00D77512"/>
    <w:rsid w:val="00D80FDA"/>
    <w:rsid w:val="00D81383"/>
    <w:rsid w:val="00D814AA"/>
    <w:rsid w:val="00D83608"/>
    <w:rsid w:val="00D847EE"/>
    <w:rsid w:val="00D8677F"/>
    <w:rsid w:val="00D90913"/>
    <w:rsid w:val="00D90C26"/>
    <w:rsid w:val="00D91CD0"/>
    <w:rsid w:val="00D93ADB"/>
    <w:rsid w:val="00D93D13"/>
    <w:rsid w:val="00D94220"/>
    <w:rsid w:val="00D94868"/>
    <w:rsid w:val="00DA10B6"/>
    <w:rsid w:val="00DA160B"/>
    <w:rsid w:val="00DA2EDF"/>
    <w:rsid w:val="00DA3D58"/>
    <w:rsid w:val="00DA5448"/>
    <w:rsid w:val="00DA56CF"/>
    <w:rsid w:val="00DA6E74"/>
    <w:rsid w:val="00DA7B44"/>
    <w:rsid w:val="00DA7E2A"/>
    <w:rsid w:val="00DB0A50"/>
    <w:rsid w:val="00DB0E18"/>
    <w:rsid w:val="00DB385C"/>
    <w:rsid w:val="00DC129D"/>
    <w:rsid w:val="00DC3AF0"/>
    <w:rsid w:val="00DC66CB"/>
    <w:rsid w:val="00DC6B3F"/>
    <w:rsid w:val="00DD0777"/>
    <w:rsid w:val="00DD2211"/>
    <w:rsid w:val="00DD4CDC"/>
    <w:rsid w:val="00DD6108"/>
    <w:rsid w:val="00DD618A"/>
    <w:rsid w:val="00DD6303"/>
    <w:rsid w:val="00DD6FCB"/>
    <w:rsid w:val="00DE00F4"/>
    <w:rsid w:val="00DE0CF0"/>
    <w:rsid w:val="00DE19F6"/>
    <w:rsid w:val="00DE1BB7"/>
    <w:rsid w:val="00DE2043"/>
    <w:rsid w:val="00DE2631"/>
    <w:rsid w:val="00DE2E39"/>
    <w:rsid w:val="00DE3A21"/>
    <w:rsid w:val="00DE5CDA"/>
    <w:rsid w:val="00DE6DC2"/>
    <w:rsid w:val="00DE711A"/>
    <w:rsid w:val="00DF2186"/>
    <w:rsid w:val="00DF3D42"/>
    <w:rsid w:val="00DF5E52"/>
    <w:rsid w:val="00DF71E3"/>
    <w:rsid w:val="00E00165"/>
    <w:rsid w:val="00E008A9"/>
    <w:rsid w:val="00E01003"/>
    <w:rsid w:val="00E01658"/>
    <w:rsid w:val="00E029AA"/>
    <w:rsid w:val="00E02D1F"/>
    <w:rsid w:val="00E03872"/>
    <w:rsid w:val="00E03E9E"/>
    <w:rsid w:val="00E07EF3"/>
    <w:rsid w:val="00E10E94"/>
    <w:rsid w:val="00E11E1E"/>
    <w:rsid w:val="00E12C37"/>
    <w:rsid w:val="00E14448"/>
    <w:rsid w:val="00E145F9"/>
    <w:rsid w:val="00E16247"/>
    <w:rsid w:val="00E16398"/>
    <w:rsid w:val="00E17238"/>
    <w:rsid w:val="00E20E46"/>
    <w:rsid w:val="00E2165E"/>
    <w:rsid w:val="00E22B3A"/>
    <w:rsid w:val="00E235DE"/>
    <w:rsid w:val="00E247E2"/>
    <w:rsid w:val="00E31A44"/>
    <w:rsid w:val="00E34178"/>
    <w:rsid w:val="00E341BC"/>
    <w:rsid w:val="00E4136A"/>
    <w:rsid w:val="00E41C90"/>
    <w:rsid w:val="00E4340E"/>
    <w:rsid w:val="00E43A8A"/>
    <w:rsid w:val="00E45416"/>
    <w:rsid w:val="00E46F59"/>
    <w:rsid w:val="00E51BD5"/>
    <w:rsid w:val="00E525FE"/>
    <w:rsid w:val="00E53F51"/>
    <w:rsid w:val="00E544D4"/>
    <w:rsid w:val="00E54BC9"/>
    <w:rsid w:val="00E556D0"/>
    <w:rsid w:val="00E56807"/>
    <w:rsid w:val="00E5708F"/>
    <w:rsid w:val="00E57DE1"/>
    <w:rsid w:val="00E60297"/>
    <w:rsid w:val="00E60550"/>
    <w:rsid w:val="00E65BB0"/>
    <w:rsid w:val="00E67710"/>
    <w:rsid w:val="00E71555"/>
    <w:rsid w:val="00E74045"/>
    <w:rsid w:val="00E75963"/>
    <w:rsid w:val="00E774B1"/>
    <w:rsid w:val="00E819FE"/>
    <w:rsid w:val="00E82DDF"/>
    <w:rsid w:val="00E839C7"/>
    <w:rsid w:val="00E8524F"/>
    <w:rsid w:val="00E85EBF"/>
    <w:rsid w:val="00E908FB"/>
    <w:rsid w:val="00E9233E"/>
    <w:rsid w:val="00E93736"/>
    <w:rsid w:val="00E9394D"/>
    <w:rsid w:val="00E9427D"/>
    <w:rsid w:val="00E95452"/>
    <w:rsid w:val="00E9681D"/>
    <w:rsid w:val="00EA13FE"/>
    <w:rsid w:val="00EA1F71"/>
    <w:rsid w:val="00EA3A6B"/>
    <w:rsid w:val="00EA40C0"/>
    <w:rsid w:val="00EA416C"/>
    <w:rsid w:val="00EA5435"/>
    <w:rsid w:val="00EB03D0"/>
    <w:rsid w:val="00EB130C"/>
    <w:rsid w:val="00EB2118"/>
    <w:rsid w:val="00EB2ABA"/>
    <w:rsid w:val="00EB2CC2"/>
    <w:rsid w:val="00EB315A"/>
    <w:rsid w:val="00EB3CAA"/>
    <w:rsid w:val="00EB3ED7"/>
    <w:rsid w:val="00EB549F"/>
    <w:rsid w:val="00EC019B"/>
    <w:rsid w:val="00EC059A"/>
    <w:rsid w:val="00EC3271"/>
    <w:rsid w:val="00EC38F7"/>
    <w:rsid w:val="00EC5EEB"/>
    <w:rsid w:val="00EC63BD"/>
    <w:rsid w:val="00ED067A"/>
    <w:rsid w:val="00ED0C71"/>
    <w:rsid w:val="00ED346C"/>
    <w:rsid w:val="00ED38B8"/>
    <w:rsid w:val="00ED3919"/>
    <w:rsid w:val="00ED4E86"/>
    <w:rsid w:val="00ED5F6A"/>
    <w:rsid w:val="00ED6B68"/>
    <w:rsid w:val="00ED7D71"/>
    <w:rsid w:val="00EE04FC"/>
    <w:rsid w:val="00EE27E2"/>
    <w:rsid w:val="00EE60C0"/>
    <w:rsid w:val="00EF0CD4"/>
    <w:rsid w:val="00EF12FF"/>
    <w:rsid w:val="00EF3413"/>
    <w:rsid w:val="00EF3C2B"/>
    <w:rsid w:val="00EF3CB4"/>
    <w:rsid w:val="00EF4144"/>
    <w:rsid w:val="00F01F77"/>
    <w:rsid w:val="00F02FEC"/>
    <w:rsid w:val="00F039C5"/>
    <w:rsid w:val="00F0622F"/>
    <w:rsid w:val="00F06268"/>
    <w:rsid w:val="00F069CC"/>
    <w:rsid w:val="00F145A2"/>
    <w:rsid w:val="00F14FE0"/>
    <w:rsid w:val="00F1716C"/>
    <w:rsid w:val="00F20DF0"/>
    <w:rsid w:val="00F22090"/>
    <w:rsid w:val="00F24878"/>
    <w:rsid w:val="00F24D98"/>
    <w:rsid w:val="00F24E3C"/>
    <w:rsid w:val="00F25DF7"/>
    <w:rsid w:val="00F26035"/>
    <w:rsid w:val="00F26B76"/>
    <w:rsid w:val="00F27B1C"/>
    <w:rsid w:val="00F27B66"/>
    <w:rsid w:val="00F30037"/>
    <w:rsid w:val="00F31523"/>
    <w:rsid w:val="00F31E95"/>
    <w:rsid w:val="00F3234A"/>
    <w:rsid w:val="00F3252D"/>
    <w:rsid w:val="00F33C94"/>
    <w:rsid w:val="00F349B5"/>
    <w:rsid w:val="00F379C6"/>
    <w:rsid w:val="00F40182"/>
    <w:rsid w:val="00F40A98"/>
    <w:rsid w:val="00F40AC2"/>
    <w:rsid w:val="00F40B33"/>
    <w:rsid w:val="00F4195C"/>
    <w:rsid w:val="00F41B6F"/>
    <w:rsid w:val="00F42D03"/>
    <w:rsid w:val="00F457A9"/>
    <w:rsid w:val="00F4723D"/>
    <w:rsid w:val="00F506E9"/>
    <w:rsid w:val="00F512AE"/>
    <w:rsid w:val="00F51311"/>
    <w:rsid w:val="00F51E78"/>
    <w:rsid w:val="00F54E5E"/>
    <w:rsid w:val="00F5537A"/>
    <w:rsid w:val="00F5660F"/>
    <w:rsid w:val="00F573B5"/>
    <w:rsid w:val="00F60BB4"/>
    <w:rsid w:val="00F61B83"/>
    <w:rsid w:val="00F653E4"/>
    <w:rsid w:val="00F722E7"/>
    <w:rsid w:val="00F7245F"/>
    <w:rsid w:val="00F726D4"/>
    <w:rsid w:val="00F72BA6"/>
    <w:rsid w:val="00F7433F"/>
    <w:rsid w:val="00F759F0"/>
    <w:rsid w:val="00F77BE2"/>
    <w:rsid w:val="00F81AE4"/>
    <w:rsid w:val="00F831D3"/>
    <w:rsid w:val="00F8585D"/>
    <w:rsid w:val="00F85FC5"/>
    <w:rsid w:val="00F87530"/>
    <w:rsid w:val="00F8754B"/>
    <w:rsid w:val="00F8799D"/>
    <w:rsid w:val="00F90574"/>
    <w:rsid w:val="00F905BD"/>
    <w:rsid w:val="00F906DA"/>
    <w:rsid w:val="00F91718"/>
    <w:rsid w:val="00F91B7A"/>
    <w:rsid w:val="00F93AE8"/>
    <w:rsid w:val="00F93CA1"/>
    <w:rsid w:val="00F96185"/>
    <w:rsid w:val="00F96D79"/>
    <w:rsid w:val="00FA0FB6"/>
    <w:rsid w:val="00FA1546"/>
    <w:rsid w:val="00FA1620"/>
    <w:rsid w:val="00FA228C"/>
    <w:rsid w:val="00FA3933"/>
    <w:rsid w:val="00FA4894"/>
    <w:rsid w:val="00FA6F53"/>
    <w:rsid w:val="00FA7241"/>
    <w:rsid w:val="00FB06B7"/>
    <w:rsid w:val="00FB072B"/>
    <w:rsid w:val="00FB10AC"/>
    <w:rsid w:val="00FB3317"/>
    <w:rsid w:val="00FB3FE5"/>
    <w:rsid w:val="00FB53EB"/>
    <w:rsid w:val="00FC0100"/>
    <w:rsid w:val="00FC03BA"/>
    <w:rsid w:val="00FC0B56"/>
    <w:rsid w:val="00FC132F"/>
    <w:rsid w:val="00FC1646"/>
    <w:rsid w:val="00FC31C4"/>
    <w:rsid w:val="00FC5204"/>
    <w:rsid w:val="00FC6087"/>
    <w:rsid w:val="00FD0778"/>
    <w:rsid w:val="00FD16AE"/>
    <w:rsid w:val="00FD251C"/>
    <w:rsid w:val="00FD2638"/>
    <w:rsid w:val="00FD35C3"/>
    <w:rsid w:val="00FD6495"/>
    <w:rsid w:val="00FD74EC"/>
    <w:rsid w:val="00FE1E87"/>
    <w:rsid w:val="00FE24BB"/>
    <w:rsid w:val="00FE2B5C"/>
    <w:rsid w:val="00FE32B4"/>
    <w:rsid w:val="00FE3BB2"/>
    <w:rsid w:val="00FE3D61"/>
    <w:rsid w:val="00FF09E4"/>
    <w:rsid w:val="00FF0E2F"/>
    <w:rsid w:val="00FF68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E8C3"/>
  <w15:docId w15:val="{CE4A3E25-4969-4AB1-A173-59023DE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1F"/>
    <w:pPr>
      <w:spacing w:before="360" w:after="120" w:line="360" w:lineRule="auto"/>
      <w:ind w:left="1627" w:right="29" w:hanging="720"/>
      <w:jc w:val="both"/>
    </w:pPr>
    <w:rPr>
      <w:rFonts w:ascii="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38"/>
    <w:pPr>
      <w:ind w:left="720"/>
      <w:contextualSpacing/>
    </w:pPr>
  </w:style>
  <w:style w:type="paragraph" w:styleId="FootnoteText">
    <w:name w:val="footnote text"/>
    <w:basedOn w:val="Normal"/>
    <w:link w:val="FootnoteTextChar"/>
    <w:autoRedefine/>
    <w:uiPriority w:val="99"/>
    <w:unhideWhenUsed/>
    <w:qFormat/>
    <w:rsid w:val="00EA5435"/>
    <w:pPr>
      <w:spacing w:before="60" w:after="60" w:line="240" w:lineRule="auto"/>
      <w:ind w:left="850" w:right="28" w:hanging="425"/>
    </w:pPr>
    <w:rPr>
      <w:rFonts w:ascii="Arial" w:hAnsi="Arial" w:cs="Arial"/>
      <w:sz w:val="18"/>
      <w:szCs w:val="20"/>
    </w:rPr>
  </w:style>
  <w:style w:type="character" w:customStyle="1" w:styleId="FootnoteTextChar">
    <w:name w:val="Footnote Text Char"/>
    <w:basedOn w:val="DefaultParagraphFont"/>
    <w:link w:val="FootnoteText"/>
    <w:uiPriority w:val="99"/>
    <w:rsid w:val="00EA5435"/>
    <w:rPr>
      <w:rFonts w:ascii="Arial" w:hAnsi="Arial" w:cs="Arial"/>
      <w:sz w:val="18"/>
      <w:szCs w:val="20"/>
      <w:lang w:val="en-GB"/>
    </w:rPr>
  </w:style>
  <w:style w:type="character" w:styleId="FootnoteReference">
    <w:name w:val="footnote reference"/>
    <w:basedOn w:val="DefaultParagraphFont"/>
    <w:uiPriority w:val="99"/>
    <w:semiHidden/>
    <w:unhideWhenUsed/>
    <w:rsid w:val="00C353F0"/>
    <w:rPr>
      <w:vertAlign w:val="superscript"/>
    </w:rPr>
  </w:style>
  <w:style w:type="paragraph" w:styleId="Header">
    <w:name w:val="header"/>
    <w:basedOn w:val="Normal"/>
    <w:link w:val="HeaderChar"/>
    <w:uiPriority w:val="99"/>
    <w:unhideWhenUsed/>
    <w:rsid w:val="00D66A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6AF5"/>
    <w:rPr>
      <w:rFonts w:ascii="Calibri" w:hAnsi="Calibri" w:cs="Times New Roman"/>
      <w:sz w:val="24"/>
      <w:szCs w:val="24"/>
      <w:lang w:val="en-GB"/>
    </w:rPr>
  </w:style>
  <w:style w:type="paragraph" w:styleId="Footer">
    <w:name w:val="footer"/>
    <w:basedOn w:val="Normal"/>
    <w:link w:val="FooterChar"/>
    <w:uiPriority w:val="99"/>
    <w:unhideWhenUsed/>
    <w:rsid w:val="00D66A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6AF5"/>
    <w:rPr>
      <w:rFonts w:ascii="Calibri" w:hAnsi="Calibri" w:cs="Times New Roman"/>
      <w:sz w:val="24"/>
      <w:szCs w:val="24"/>
      <w:lang w:val="en-GB"/>
    </w:rPr>
  </w:style>
  <w:style w:type="table" w:styleId="TableGrid">
    <w:name w:val="Table Grid"/>
    <w:basedOn w:val="TableNormal"/>
    <w:uiPriority w:val="39"/>
    <w:rsid w:val="0027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har"/>
    <w:qFormat/>
    <w:rsid w:val="002E0AF8"/>
    <w:pPr>
      <w:numPr>
        <w:numId w:val="4"/>
      </w:numPr>
      <w:spacing w:before="240" w:after="0" w:line="480" w:lineRule="auto"/>
      <w:ind w:right="0"/>
    </w:pPr>
    <w:rPr>
      <w:rFonts w:ascii="Arial" w:eastAsia="Times New Roman" w:hAnsi="Arial"/>
      <w:iCs/>
      <w:color w:val="000000"/>
      <w:kern w:val="0"/>
      <w:szCs w:val="22"/>
      <w14:ligatures w14:val="none"/>
    </w:rPr>
  </w:style>
  <w:style w:type="paragraph" w:customStyle="1" w:styleId="2">
    <w:name w:val="2"/>
    <w:basedOn w:val="1"/>
    <w:qFormat/>
    <w:rsid w:val="002E0AF8"/>
    <w:pPr>
      <w:numPr>
        <w:ilvl w:val="1"/>
      </w:numPr>
      <w:tabs>
        <w:tab w:val="clear" w:pos="1701"/>
        <w:tab w:val="num" w:pos="1260"/>
      </w:tabs>
      <w:ind w:left="1260" w:hanging="360"/>
    </w:pPr>
  </w:style>
  <w:style w:type="paragraph" w:customStyle="1" w:styleId="3">
    <w:name w:val="3"/>
    <w:basedOn w:val="2"/>
    <w:qFormat/>
    <w:rsid w:val="002E0AF8"/>
    <w:pPr>
      <w:numPr>
        <w:ilvl w:val="2"/>
      </w:numPr>
      <w:tabs>
        <w:tab w:val="clear" w:pos="2835"/>
        <w:tab w:val="num" w:pos="1980"/>
      </w:tabs>
      <w:ind w:left="1980" w:hanging="180"/>
    </w:pPr>
  </w:style>
  <w:style w:type="paragraph" w:customStyle="1" w:styleId="4">
    <w:name w:val="4"/>
    <w:basedOn w:val="2"/>
    <w:qFormat/>
    <w:rsid w:val="002E0AF8"/>
    <w:pPr>
      <w:numPr>
        <w:ilvl w:val="3"/>
      </w:numPr>
      <w:tabs>
        <w:tab w:val="clear" w:pos="2268"/>
        <w:tab w:val="num" w:pos="2700"/>
      </w:tabs>
      <w:ind w:left="2700" w:hanging="360"/>
    </w:pPr>
    <w:rPr>
      <w:iCs w:val="0"/>
    </w:rPr>
  </w:style>
  <w:style w:type="paragraph" w:customStyle="1" w:styleId="5">
    <w:name w:val="5"/>
    <w:basedOn w:val="4"/>
    <w:qFormat/>
    <w:rsid w:val="002E0AF8"/>
    <w:pPr>
      <w:numPr>
        <w:ilvl w:val="4"/>
      </w:numPr>
      <w:tabs>
        <w:tab w:val="clear" w:pos="5670"/>
        <w:tab w:val="num" w:pos="3420"/>
        <w:tab w:val="num" w:pos="3515"/>
      </w:tabs>
      <w:ind w:left="3515" w:hanging="453"/>
    </w:pPr>
    <w:rPr>
      <w:iCs/>
      <w:szCs w:val="16"/>
      <w:lang w:eastAsia="en-ZA"/>
    </w:rPr>
  </w:style>
  <w:style w:type="paragraph" w:styleId="BodyText">
    <w:name w:val="Body Text"/>
    <w:basedOn w:val="Normal"/>
    <w:link w:val="BodyTextChar"/>
    <w:unhideWhenUsed/>
    <w:rsid w:val="002E0AF8"/>
    <w:pPr>
      <w:spacing w:before="60" w:after="60" w:line="240" w:lineRule="auto"/>
      <w:ind w:left="0" w:right="0" w:firstLine="0"/>
      <w:jc w:val="left"/>
    </w:pPr>
    <w:rPr>
      <w:rFonts w:ascii="Arial" w:eastAsia="Times New Roman" w:hAnsi="Arial"/>
      <w:kern w:val="0"/>
      <w:sz w:val="20"/>
      <w:szCs w:val="20"/>
      <w14:ligatures w14:val="none"/>
    </w:rPr>
  </w:style>
  <w:style w:type="character" w:customStyle="1" w:styleId="BodyTextChar">
    <w:name w:val="Body Text Char"/>
    <w:basedOn w:val="DefaultParagraphFont"/>
    <w:link w:val="BodyText"/>
    <w:rsid w:val="002E0AF8"/>
    <w:rPr>
      <w:rFonts w:ascii="Arial" w:eastAsia="Times New Roman" w:hAnsi="Arial" w:cs="Times New Roman"/>
      <w:kern w:val="0"/>
      <w:sz w:val="20"/>
      <w:szCs w:val="20"/>
      <w:lang w:val="en-GB"/>
      <w14:ligatures w14:val="none"/>
    </w:rPr>
  </w:style>
  <w:style w:type="character" w:customStyle="1" w:styleId="1Char">
    <w:name w:val="1 Char"/>
    <w:link w:val="1"/>
    <w:rsid w:val="002E0AF8"/>
    <w:rPr>
      <w:rFonts w:ascii="Arial" w:eastAsia="Times New Roman" w:hAnsi="Arial" w:cs="Times New Roman"/>
      <w:iCs/>
      <w:color w:val="000000"/>
      <w:kern w:val="0"/>
      <w:sz w:val="24"/>
      <w:lang w:val="en-GB"/>
      <w14:ligatures w14:val="none"/>
    </w:rPr>
  </w:style>
  <w:style w:type="paragraph" w:styleId="BalloonText">
    <w:name w:val="Balloon Text"/>
    <w:basedOn w:val="Normal"/>
    <w:link w:val="BalloonTextChar"/>
    <w:uiPriority w:val="99"/>
    <w:semiHidden/>
    <w:unhideWhenUsed/>
    <w:rsid w:val="0059523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23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C738-F217-4A86-93C2-E694FD78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Mary Bruce</cp:lastModifiedBy>
  <cp:revision>4</cp:revision>
  <cp:lastPrinted>2023-12-07T12:26:00Z</cp:lastPrinted>
  <dcterms:created xsi:type="dcterms:W3CDTF">2023-12-07T12:35:00Z</dcterms:created>
  <dcterms:modified xsi:type="dcterms:W3CDTF">2023-12-07T15:07:00Z</dcterms:modified>
</cp:coreProperties>
</file>