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981421" w14:textId="37BBAFEB" w:rsidR="006C43D7" w:rsidRPr="006C43D7" w:rsidRDefault="006C43D7" w:rsidP="006C43D7">
      <w:pPr>
        <w:spacing w:after="120" w:line="360" w:lineRule="auto"/>
        <w:jc w:val="center"/>
        <w:rPr>
          <w:rFonts w:cs="Arial"/>
          <w:b/>
          <w:bCs/>
        </w:rPr>
      </w:pPr>
    </w:p>
    <w:p w14:paraId="7E492062" w14:textId="77777777" w:rsidR="006C43D7" w:rsidRPr="009B1E0E" w:rsidRDefault="006C43D7" w:rsidP="006C43D7">
      <w:pPr>
        <w:jc w:val="center"/>
        <w:rPr>
          <w:rFonts w:cs="Arial"/>
          <w:b/>
          <w:szCs w:val="22"/>
        </w:rPr>
      </w:pPr>
      <w:r w:rsidRPr="009B1E0E">
        <w:rPr>
          <w:rFonts w:cs="Arial"/>
          <w:b/>
          <w:szCs w:val="22"/>
        </w:rPr>
        <w:t xml:space="preserve">IN THE HIGH COURT OF SOUTH AFRICA, </w:t>
      </w:r>
    </w:p>
    <w:p w14:paraId="566C4D1B" w14:textId="77777777" w:rsidR="006C43D7" w:rsidRPr="009B1E0E" w:rsidRDefault="006C43D7" w:rsidP="006C43D7">
      <w:pPr>
        <w:jc w:val="center"/>
        <w:rPr>
          <w:rFonts w:cs="Arial"/>
          <w:b/>
          <w:szCs w:val="22"/>
        </w:rPr>
      </w:pPr>
      <w:r w:rsidRPr="009B1E0E">
        <w:rPr>
          <w:rFonts w:cs="Arial"/>
          <w:b/>
          <w:szCs w:val="22"/>
        </w:rPr>
        <w:t>GAUTENG DIVISION, JOHANNESBURG</w:t>
      </w:r>
    </w:p>
    <w:p w14:paraId="13D6E83E" w14:textId="77777777" w:rsidR="006C43D7" w:rsidRPr="009B1E0E" w:rsidRDefault="006C43D7" w:rsidP="006C43D7">
      <w:pPr>
        <w:jc w:val="both"/>
        <w:rPr>
          <w:rFonts w:cs="Arial"/>
          <w:b/>
          <w:szCs w:val="22"/>
        </w:rPr>
      </w:pPr>
    </w:p>
    <w:p w14:paraId="3698476C" w14:textId="31D95043" w:rsidR="006C43D7" w:rsidRPr="009B1E0E" w:rsidRDefault="006C43D7" w:rsidP="006C43D7">
      <w:pPr>
        <w:spacing w:line="360" w:lineRule="auto"/>
        <w:jc w:val="right"/>
        <w:rPr>
          <w:rFonts w:cs="Arial"/>
          <w:b/>
          <w:szCs w:val="22"/>
        </w:rPr>
      </w:pPr>
      <w:r w:rsidRPr="009B1E0E">
        <w:rPr>
          <w:rFonts w:cs="Arial"/>
          <w:b/>
          <w:szCs w:val="22"/>
        </w:rPr>
        <w:t xml:space="preserve">CASE NO: </w:t>
      </w:r>
      <w:r w:rsidR="00FA6382">
        <w:rPr>
          <w:b/>
          <w:bCs/>
          <w:sz w:val="24"/>
        </w:rPr>
        <w:t>2020/12082</w:t>
      </w:r>
    </w:p>
    <w:p w14:paraId="0AF8DD38" w14:textId="68E5E9C5" w:rsidR="006C43D7" w:rsidRPr="009B1E0E" w:rsidRDefault="00A85186" w:rsidP="006C43D7">
      <w:pPr>
        <w:spacing w:line="360" w:lineRule="auto"/>
        <w:jc w:val="right"/>
        <w:rPr>
          <w:rFonts w:cs="Arial"/>
          <w:szCs w:val="22"/>
        </w:rPr>
      </w:pPr>
      <w:r>
        <w:rPr>
          <w:rFonts w:cs="Arial"/>
          <w:noProof/>
          <w:szCs w:val="22"/>
          <w:lang w:val="en-US"/>
        </w:rPr>
        <mc:AlternateContent>
          <mc:Choice Requires="wps">
            <w:drawing>
              <wp:anchor distT="0" distB="0" distL="114300" distR="114300" simplePos="0" relativeHeight="251659264" behindDoc="0" locked="0" layoutInCell="1" allowOverlap="1" wp14:anchorId="3770C9A6" wp14:editId="0FD491B1">
                <wp:simplePos x="0" y="0"/>
                <wp:positionH relativeFrom="margin">
                  <wp:align>left</wp:align>
                </wp:positionH>
                <wp:positionV relativeFrom="paragraph">
                  <wp:posOffset>49530</wp:posOffset>
                </wp:positionV>
                <wp:extent cx="3314700" cy="1592580"/>
                <wp:effectExtent l="0" t="0" r="0" b="762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592580"/>
                        </a:xfrm>
                        <a:prstGeom prst="rect">
                          <a:avLst/>
                        </a:prstGeom>
                        <a:solidFill>
                          <a:srgbClr val="FFFFFF"/>
                        </a:solidFill>
                        <a:ln w="9525">
                          <a:solidFill>
                            <a:srgbClr val="000000"/>
                          </a:solidFill>
                          <a:miter lim="800000"/>
                          <a:headEnd/>
                          <a:tailEnd/>
                        </a:ln>
                      </wps:spPr>
                      <wps:txbx>
                        <w:txbxContent>
                          <w:p w14:paraId="0EA4B470" w14:textId="77777777" w:rsidR="00D645C6" w:rsidRPr="00913F95" w:rsidRDefault="00D645C6" w:rsidP="006C43D7">
                            <w:pPr>
                              <w:jc w:val="center"/>
                              <w:rPr>
                                <w:rFonts w:ascii="Century Gothic" w:hAnsi="Century Gothic"/>
                                <w:b/>
                                <w:sz w:val="20"/>
                                <w:szCs w:val="20"/>
                              </w:rPr>
                            </w:pPr>
                          </w:p>
                          <w:p w14:paraId="01FDAE28" w14:textId="3B050398" w:rsidR="00D645C6" w:rsidRDefault="00BE377D" w:rsidP="00BE377D">
                            <w:pPr>
                              <w:tabs>
                                <w:tab w:val="left" w:pos="900"/>
                              </w:tabs>
                              <w:ind w:left="900" w:hanging="720"/>
                              <w:rPr>
                                <w:rFonts w:ascii="Century Gothic" w:hAnsi="Century Gothic"/>
                                <w:sz w:val="20"/>
                                <w:szCs w:val="20"/>
                              </w:rPr>
                            </w:pPr>
                            <w:r>
                              <w:rPr>
                                <w:rFonts w:ascii="Century Gothic" w:hAnsi="Century Gothic"/>
                                <w:sz w:val="20"/>
                                <w:szCs w:val="20"/>
                              </w:rPr>
                              <w:t>(1)</w:t>
                            </w:r>
                            <w:r>
                              <w:rPr>
                                <w:rFonts w:ascii="Century Gothic" w:hAnsi="Century Gothic"/>
                                <w:sz w:val="20"/>
                                <w:szCs w:val="20"/>
                              </w:rPr>
                              <w:tab/>
                            </w:r>
                            <w:r w:rsidR="00D645C6" w:rsidRPr="001D3CC2">
                              <w:rPr>
                                <w:rFonts w:ascii="Century Gothic" w:hAnsi="Century Gothic"/>
                                <w:sz w:val="20"/>
                                <w:szCs w:val="20"/>
                              </w:rPr>
                              <w:t xml:space="preserve">REPORTABLE: </w:t>
                            </w:r>
                            <w:r w:rsidR="00D645C6">
                              <w:rPr>
                                <w:rFonts w:ascii="Century Gothic" w:hAnsi="Century Gothic"/>
                                <w:sz w:val="20"/>
                                <w:szCs w:val="20"/>
                              </w:rPr>
                              <w:t>NO</w:t>
                            </w:r>
                          </w:p>
                          <w:p w14:paraId="3A4C7296" w14:textId="34BFBEBC" w:rsidR="00D645C6" w:rsidRPr="001D3CC2" w:rsidRDefault="00BE377D" w:rsidP="00BE377D">
                            <w:pPr>
                              <w:tabs>
                                <w:tab w:val="left" w:pos="900"/>
                              </w:tabs>
                              <w:ind w:left="900" w:hanging="720"/>
                              <w:rPr>
                                <w:rFonts w:ascii="Century Gothic" w:hAnsi="Century Gothic"/>
                                <w:sz w:val="20"/>
                                <w:szCs w:val="20"/>
                              </w:rPr>
                            </w:pPr>
                            <w:r w:rsidRPr="001D3CC2">
                              <w:rPr>
                                <w:rFonts w:ascii="Century Gothic" w:hAnsi="Century Gothic"/>
                                <w:sz w:val="20"/>
                                <w:szCs w:val="20"/>
                              </w:rPr>
                              <w:t>(2)</w:t>
                            </w:r>
                            <w:r w:rsidRPr="001D3CC2">
                              <w:rPr>
                                <w:rFonts w:ascii="Century Gothic" w:hAnsi="Century Gothic"/>
                                <w:sz w:val="20"/>
                                <w:szCs w:val="20"/>
                              </w:rPr>
                              <w:tab/>
                            </w:r>
                            <w:r w:rsidR="00D645C6" w:rsidRPr="001D3CC2">
                              <w:rPr>
                                <w:rFonts w:ascii="Century Gothic" w:hAnsi="Century Gothic"/>
                                <w:sz w:val="20"/>
                                <w:szCs w:val="20"/>
                              </w:rPr>
                              <w:t>OF INTEREST TO OTHER JUDGES</w:t>
                            </w:r>
                            <w:r w:rsidR="00D645C6">
                              <w:rPr>
                                <w:rFonts w:ascii="Century Gothic" w:hAnsi="Century Gothic"/>
                                <w:sz w:val="20"/>
                                <w:szCs w:val="20"/>
                              </w:rPr>
                              <w:t>:</w:t>
                            </w:r>
                            <w:r w:rsidR="0082670C">
                              <w:rPr>
                                <w:rFonts w:ascii="Century Gothic" w:hAnsi="Century Gothic"/>
                                <w:sz w:val="20"/>
                                <w:szCs w:val="20"/>
                              </w:rPr>
                              <w:t xml:space="preserve"> </w:t>
                            </w:r>
                            <w:r w:rsidR="00797FF9">
                              <w:rPr>
                                <w:rFonts w:ascii="Century Gothic" w:hAnsi="Century Gothic"/>
                                <w:sz w:val="20"/>
                                <w:szCs w:val="20"/>
                              </w:rPr>
                              <w:t>NO</w:t>
                            </w:r>
                          </w:p>
                          <w:p w14:paraId="21D4A71B" w14:textId="5B58BFC8" w:rsidR="00D645C6" w:rsidRPr="00913F95" w:rsidRDefault="00D645C6" w:rsidP="001D3CC2">
                            <w:pPr>
                              <w:ind w:left="180"/>
                              <w:rPr>
                                <w:rFonts w:ascii="Century Gothic" w:hAnsi="Century Gothic"/>
                                <w:sz w:val="20"/>
                                <w:szCs w:val="20"/>
                              </w:rPr>
                            </w:pPr>
                          </w:p>
                          <w:p w14:paraId="761B7CA4" w14:textId="77777777" w:rsidR="00D645C6" w:rsidRDefault="00D645C6" w:rsidP="006C43D7">
                            <w:pPr>
                              <w:rPr>
                                <w:rFonts w:ascii="Century Gothic" w:hAnsi="Century Gothic"/>
                                <w:b/>
                                <w:sz w:val="18"/>
                                <w:szCs w:val="18"/>
                              </w:rPr>
                            </w:pPr>
                          </w:p>
                          <w:p w14:paraId="0EC4BA5C" w14:textId="61945B0D" w:rsidR="00D645C6" w:rsidRPr="001D3CC2" w:rsidRDefault="00D645C6" w:rsidP="001D3CC2">
                            <w:pPr>
                              <w:keepNext/>
                              <w:tabs>
                                <w:tab w:val="right" w:pos="0"/>
                              </w:tabs>
                              <w:contextualSpacing/>
                              <w:jc w:val="center"/>
                              <w:rPr>
                                <w:rFonts w:cs="Arial"/>
                                <w:sz w:val="32"/>
                                <w:szCs w:val="32"/>
                              </w:rPr>
                            </w:pPr>
                            <w:r>
                              <w:rPr>
                                <w:rFonts w:ascii="Century Gothic" w:hAnsi="Century Gothic"/>
                                <w:b/>
                                <w:sz w:val="18"/>
                                <w:szCs w:val="18"/>
                              </w:rPr>
                              <w:t xml:space="preserve">                        </w:t>
                            </w:r>
                            <w:r w:rsidRPr="001D3CC2">
                              <w:rPr>
                                <w:rFonts w:ascii="Century Gothic" w:hAnsi="Century Gothic"/>
                                <w:b/>
                                <w:sz w:val="32"/>
                                <w:szCs w:val="32"/>
                              </w:rPr>
                              <w:t xml:space="preserve">  </w:t>
                            </w:r>
                          </w:p>
                          <w:p w14:paraId="11AD3C7B" w14:textId="4114C951" w:rsidR="00D645C6" w:rsidRPr="00084341" w:rsidRDefault="00D645C6" w:rsidP="001D3CC2">
                            <w:pPr>
                              <w:rPr>
                                <w:rFonts w:ascii="Century Gothic" w:hAnsi="Century Gothic"/>
                                <w:sz w:val="18"/>
                                <w:szCs w:val="18"/>
                              </w:rPr>
                            </w:pPr>
                            <w:r w:rsidRPr="00084341">
                              <w:rPr>
                                <w:rFonts w:ascii="Century Gothic" w:hAnsi="Century Gothic"/>
                                <w:b/>
                                <w:sz w:val="18"/>
                                <w:szCs w:val="18"/>
                              </w:rPr>
                              <w:t xml:space="preserve">    </w:t>
                            </w:r>
                            <w:r>
                              <w:rPr>
                                <w:rFonts w:ascii="Century Gothic" w:hAnsi="Century Gothic"/>
                                <w:b/>
                                <w:sz w:val="18"/>
                                <w:szCs w:val="18"/>
                              </w:rPr>
                              <w:t xml:space="preserve">   </w:t>
                            </w:r>
                            <w:r w:rsidRPr="00084341">
                              <w:rPr>
                                <w:rFonts w:ascii="Century Gothic" w:hAnsi="Century Gothic"/>
                                <w:sz w:val="18"/>
                                <w:szCs w:val="18"/>
                              </w:rPr>
                              <w:t xml:space="preserve">            DATE</w:t>
                            </w:r>
                            <w:r w:rsidRPr="00084341">
                              <w:rPr>
                                <w:rFonts w:ascii="Century Gothic" w:hAnsi="Century Gothic"/>
                                <w:sz w:val="18"/>
                                <w:szCs w:val="18"/>
                              </w:rPr>
                              <w:tab/>
                            </w:r>
                            <w:r w:rsidRPr="00084341">
                              <w:rPr>
                                <w:rFonts w:ascii="Century Gothic" w:hAnsi="Century Gothic"/>
                                <w:sz w:val="18"/>
                                <w:szCs w:val="18"/>
                              </w:rPr>
                              <w:tab/>
                            </w:r>
                            <w:r w:rsidRPr="00084341">
                              <w:rPr>
                                <w:rFonts w:ascii="Century Gothic" w:hAnsi="Century Gothic"/>
                                <w:sz w:val="18"/>
                                <w:szCs w:val="18"/>
                              </w:rPr>
                              <w:tab/>
                              <w:t xml:space="preserve">        SIGNATURE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70C9A6" id="_x0000_t202" coordsize="21600,21600" o:spt="202" path="m,l,21600r21600,l21600,xe">
                <v:stroke joinstyle="miter"/>
                <v:path gradientshapeok="t" o:connecttype="rect"/>
              </v:shapetype>
              <v:shape id="Text Box 1" o:spid="_x0000_s1026" type="#_x0000_t202" style="position:absolute;left:0;text-align:left;margin-left:0;margin-top:3.9pt;width:261pt;height:125.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IiPLgIAAFEEAAAOAAAAZHJzL2Uyb0RvYy54bWysVNtu2zAMfR+wfxD0vthJkzUx4hRdugwD&#10;ugvQ7gNkWbaFSaImKbG7ry8lp5mx7WmYHwRRpI4OD0lvbwatyEk4L8GUdD7LKRGGQy1NW9Jvj4c3&#10;a0p8YKZmCowo6ZPw9Gb3+tW2t4VYQAeqFo4giPFFb0vahWCLLPO8E5r5GVhh0NmA0yyg6dqsdqxH&#10;dK2yRZ6/zXpwtXXAhfd4ejc66S7hN43g4UvTeBGIKilyC2l1aa3imu22rGgds53kZxrsH1hoJg0+&#10;eoG6Y4GRo5N/QGnJHXhowoyDzqBpJBcpB8xmnv+WzUPHrEi5oDjeXmTy/w+Wfz59dUTWWDtKDNNY&#10;okcxBPIOBjKP6vTWFxj0YDEsDHgcI2Om3t4D/+6JgX3HTCtunYO+E6xGdulmNrk64vgIUvWfoMZn&#10;2DFAAhoapyMgikEQHav0dKlMpMLx8OpqvrzO0cXRN19tFqt1ql3Gipfr1vnwQYAmcVNSh6VP8Ox0&#10;7wMmgqEvIYk+KFkfpFLJcG21V46cGLbJIX0xd7zip2HKkL6km9ViNSow9fkpRJ6+v0FoGbDfldQl&#10;XV+CWBF1e2/q1I2BSTXu8X1lkEYUMmo3qhiGajgXpoL6CSV1MPY1ziFuOnA/Kemxp0vqfxyZE5So&#10;jwbLspkvl3EIkrFcXS/QcFNPNfUwwxGqpIGScbsP4+AcrZNthy+NjWDgFkvZyCRypDqyOvPGvk1C&#10;nmcsDsbUTlG//gS7ZwAAAP//AwBQSwMEFAAGAAgAAAAhAN5eXL/cAAAABgEAAA8AAABkcnMvZG93&#10;bnJldi54bWxMj81OwzAQhO9IvIO1SFwQdQg0DSGbCiGB4AYFwdWNt0mEf4LtpuHtWU5wHM1o5pt6&#10;PVsjJgpx8A7hYpGBINd6PbgO4e31/rwEEZNyWhnvCOGbIqyb46NaVdof3AtNm9QJLnGxUgh9SmMl&#10;ZWx7siou/EiOvZ0PViWWoZM6qAOXWyPzLCukVYPjhV6NdNdT+7nZW4Ty6nH6iE+Xz+9tsTPX6Ww1&#10;PXwFxNOT+fYGRKI5/YXhF5/RoWGmrd87HYVB4CMJYcX4bC7znPUWIV+WBcimlv/xmx8AAAD//wMA&#10;UEsBAi0AFAAGAAgAAAAhALaDOJL+AAAA4QEAABMAAAAAAAAAAAAAAAAAAAAAAFtDb250ZW50X1R5&#10;cGVzXS54bWxQSwECLQAUAAYACAAAACEAOP0h/9YAAACUAQAACwAAAAAAAAAAAAAAAAAvAQAAX3Jl&#10;bHMvLnJlbHNQSwECLQAUAAYACAAAACEATtyIjy4CAABRBAAADgAAAAAAAAAAAAAAAAAuAgAAZHJz&#10;L2Uyb0RvYy54bWxQSwECLQAUAAYACAAAACEA3l5cv9wAAAAGAQAADwAAAAAAAAAAAAAAAACIBAAA&#10;ZHJzL2Rvd25yZXYueG1sUEsFBgAAAAAEAAQA8wAAAJEFAAAAAA==&#10;">
                <v:textbox>
                  <w:txbxContent>
                    <w:p w14:paraId="0EA4B470" w14:textId="77777777" w:rsidR="00D645C6" w:rsidRPr="00913F95" w:rsidRDefault="00D645C6" w:rsidP="006C43D7">
                      <w:pPr>
                        <w:jc w:val="center"/>
                        <w:rPr>
                          <w:rFonts w:ascii="Century Gothic" w:hAnsi="Century Gothic"/>
                          <w:b/>
                          <w:sz w:val="20"/>
                          <w:szCs w:val="20"/>
                        </w:rPr>
                      </w:pPr>
                    </w:p>
                    <w:p w14:paraId="01FDAE28" w14:textId="3B050398" w:rsidR="00D645C6" w:rsidRDefault="00BE377D" w:rsidP="00BE377D">
                      <w:pPr>
                        <w:tabs>
                          <w:tab w:val="left" w:pos="900"/>
                        </w:tabs>
                        <w:ind w:left="900" w:hanging="720"/>
                        <w:rPr>
                          <w:rFonts w:ascii="Century Gothic" w:hAnsi="Century Gothic"/>
                          <w:sz w:val="20"/>
                          <w:szCs w:val="20"/>
                        </w:rPr>
                      </w:pPr>
                      <w:r>
                        <w:rPr>
                          <w:rFonts w:ascii="Century Gothic" w:hAnsi="Century Gothic"/>
                          <w:sz w:val="20"/>
                          <w:szCs w:val="20"/>
                        </w:rPr>
                        <w:t>(1)</w:t>
                      </w:r>
                      <w:r>
                        <w:rPr>
                          <w:rFonts w:ascii="Century Gothic" w:hAnsi="Century Gothic"/>
                          <w:sz w:val="20"/>
                          <w:szCs w:val="20"/>
                        </w:rPr>
                        <w:tab/>
                      </w:r>
                      <w:r w:rsidR="00D645C6" w:rsidRPr="001D3CC2">
                        <w:rPr>
                          <w:rFonts w:ascii="Century Gothic" w:hAnsi="Century Gothic"/>
                          <w:sz w:val="20"/>
                          <w:szCs w:val="20"/>
                        </w:rPr>
                        <w:t xml:space="preserve">REPORTABLE: </w:t>
                      </w:r>
                      <w:r w:rsidR="00D645C6">
                        <w:rPr>
                          <w:rFonts w:ascii="Century Gothic" w:hAnsi="Century Gothic"/>
                          <w:sz w:val="20"/>
                          <w:szCs w:val="20"/>
                        </w:rPr>
                        <w:t>NO</w:t>
                      </w:r>
                    </w:p>
                    <w:p w14:paraId="3A4C7296" w14:textId="34BFBEBC" w:rsidR="00D645C6" w:rsidRPr="001D3CC2" w:rsidRDefault="00BE377D" w:rsidP="00BE377D">
                      <w:pPr>
                        <w:tabs>
                          <w:tab w:val="left" w:pos="900"/>
                        </w:tabs>
                        <w:ind w:left="900" w:hanging="720"/>
                        <w:rPr>
                          <w:rFonts w:ascii="Century Gothic" w:hAnsi="Century Gothic"/>
                          <w:sz w:val="20"/>
                          <w:szCs w:val="20"/>
                        </w:rPr>
                      </w:pPr>
                      <w:r w:rsidRPr="001D3CC2">
                        <w:rPr>
                          <w:rFonts w:ascii="Century Gothic" w:hAnsi="Century Gothic"/>
                          <w:sz w:val="20"/>
                          <w:szCs w:val="20"/>
                        </w:rPr>
                        <w:t>(2)</w:t>
                      </w:r>
                      <w:r w:rsidRPr="001D3CC2">
                        <w:rPr>
                          <w:rFonts w:ascii="Century Gothic" w:hAnsi="Century Gothic"/>
                          <w:sz w:val="20"/>
                          <w:szCs w:val="20"/>
                        </w:rPr>
                        <w:tab/>
                      </w:r>
                      <w:r w:rsidR="00D645C6" w:rsidRPr="001D3CC2">
                        <w:rPr>
                          <w:rFonts w:ascii="Century Gothic" w:hAnsi="Century Gothic"/>
                          <w:sz w:val="20"/>
                          <w:szCs w:val="20"/>
                        </w:rPr>
                        <w:t>OF INTEREST TO OTHER JUDGES</w:t>
                      </w:r>
                      <w:r w:rsidR="00D645C6">
                        <w:rPr>
                          <w:rFonts w:ascii="Century Gothic" w:hAnsi="Century Gothic"/>
                          <w:sz w:val="20"/>
                          <w:szCs w:val="20"/>
                        </w:rPr>
                        <w:t>:</w:t>
                      </w:r>
                      <w:r w:rsidR="0082670C">
                        <w:rPr>
                          <w:rFonts w:ascii="Century Gothic" w:hAnsi="Century Gothic"/>
                          <w:sz w:val="20"/>
                          <w:szCs w:val="20"/>
                        </w:rPr>
                        <w:t xml:space="preserve"> </w:t>
                      </w:r>
                      <w:r w:rsidR="00797FF9">
                        <w:rPr>
                          <w:rFonts w:ascii="Century Gothic" w:hAnsi="Century Gothic"/>
                          <w:sz w:val="20"/>
                          <w:szCs w:val="20"/>
                        </w:rPr>
                        <w:t>NO</w:t>
                      </w:r>
                    </w:p>
                    <w:p w14:paraId="21D4A71B" w14:textId="5B58BFC8" w:rsidR="00D645C6" w:rsidRPr="00913F95" w:rsidRDefault="00D645C6" w:rsidP="001D3CC2">
                      <w:pPr>
                        <w:ind w:left="180"/>
                        <w:rPr>
                          <w:rFonts w:ascii="Century Gothic" w:hAnsi="Century Gothic"/>
                          <w:sz w:val="20"/>
                          <w:szCs w:val="20"/>
                        </w:rPr>
                      </w:pPr>
                    </w:p>
                    <w:p w14:paraId="761B7CA4" w14:textId="77777777" w:rsidR="00D645C6" w:rsidRDefault="00D645C6" w:rsidP="006C43D7">
                      <w:pPr>
                        <w:rPr>
                          <w:rFonts w:ascii="Century Gothic" w:hAnsi="Century Gothic"/>
                          <w:b/>
                          <w:sz w:val="18"/>
                          <w:szCs w:val="18"/>
                        </w:rPr>
                      </w:pPr>
                    </w:p>
                    <w:p w14:paraId="0EC4BA5C" w14:textId="61945B0D" w:rsidR="00D645C6" w:rsidRPr="001D3CC2" w:rsidRDefault="00D645C6" w:rsidP="001D3CC2">
                      <w:pPr>
                        <w:keepNext/>
                        <w:tabs>
                          <w:tab w:val="right" w:pos="0"/>
                        </w:tabs>
                        <w:contextualSpacing/>
                        <w:jc w:val="center"/>
                        <w:rPr>
                          <w:rFonts w:cs="Arial"/>
                          <w:sz w:val="32"/>
                          <w:szCs w:val="32"/>
                        </w:rPr>
                      </w:pPr>
                      <w:r>
                        <w:rPr>
                          <w:rFonts w:ascii="Century Gothic" w:hAnsi="Century Gothic"/>
                          <w:b/>
                          <w:sz w:val="18"/>
                          <w:szCs w:val="18"/>
                        </w:rPr>
                        <w:t xml:space="preserve">                        </w:t>
                      </w:r>
                      <w:r w:rsidRPr="001D3CC2">
                        <w:rPr>
                          <w:rFonts w:ascii="Century Gothic" w:hAnsi="Century Gothic"/>
                          <w:b/>
                          <w:sz w:val="32"/>
                          <w:szCs w:val="32"/>
                        </w:rPr>
                        <w:t xml:space="preserve">  </w:t>
                      </w:r>
                    </w:p>
                    <w:p w14:paraId="11AD3C7B" w14:textId="4114C951" w:rsidR="00D645C6" w:rsidRPr="00084341" w:rsidRDefault="00D645C6" w:rsidP="001D3CC2">
                      <w:pPr>
                        <w:rPr>
                          <w:rFonts w:ascii="Century Gothic" w:hAnsi="Century Gothic"/>
                          <w:sz w:val="18"/>
                          <w:szCs w:val="18"/>
                        </w:rPr>
                      </w:pPr>
                      <w:r w:rsidRPr="00084341">
                        <w:rPr>
                          <w:rFonts w:ascii="Century Gothic" w:hAnsi="Century Gothic"/>
                          <w:b/>
                          <w:sz w:val="18"/>
                          <w:szCs w:val="18"/>
                        </w:rPr>
                        <w:t xml:space="preserve">    </w:t>
                      </w:r>
                      <w:r>
                        <w:rPr>
                          <w:rFonts w:ascii="Century Gothic" w:hAnsi="Century Gothic"/>
                          <w:b/>
                          <w:sz w:val="18"/>
                          <w:szCs w:val="18"/>
                        </w:rPr>
                        <w:t xml:space="preserve">   </w:t>
                      </w:r>
                      <w:r w:rsidRPr="00084341">
                        <w:rPr>
                          <w:rFonts w:ascii="Century Gothic" w:hAnsi="Century Gothic"/>
                          <w:sz w:val="18"/>
                          <w:szCs w:val="18"/>
                        </w:rPr>
                        <w:t xml:space="preserve">            DATE</w:t>
                      </w:r>
                      <w:r w:rsidRPr="00084341">
                        <w:rPr>
                          <w:rFonts w:ascii="Century Gothic" w:hAnsi="Century Gothic"/>
                          <w:sz w:val="18"/>
                          <w:szCs w:val="18"/>
                        </w:rPr>
                        <w:tab/>
                      </w:r>
                      <w:r w:rsidRPr="00084341">
                        <w:rPr>
                          <w:rFonts w:ascii="Century Gothic" w:hAnsi="Century Gothic"/>
                          <w:sz w:val="18"/>
                          <w:szCs w:val="18"/>
                        </w:rPr>
                        <w:tab/>
                      </w:r>
                      <w:r w:rsidRPr="00084341">
                        <w:rPr>
                          <w:rFonts w:ascii="Century Gothic" w:hAnsi="Century Gothic"/>
                          <w:sz w:val="18"/>
                          <w:szCs w:val="18"/>
                        </w:rPr>
                        <w:tab/>
                        <w:t xml:space="preserve">        SIGNATURE</w:t>
                      </w:r>
                    </w:p>
                  </w:txbxContent>
                </v:textbox>
                <w10:wrap anchorx="margin"/>
              </v:shape>
            </w:pict>
          </mc:Fallback>
        </mc:AlternateContent>
      </w:r>
    </w:p>
    <w:p w14:paraId="084B5ECD" w14:textId="77777777" w:rsidR="006C43D7" w:rsidRPr="009B1E0E" w:rsidRDefault="006C43D7" w:rsidP="006C43D7">
      <w:pPr>
        <w:spacing w:line="360" w:lineRule="auto"/>
        <w:jc w:val="both"/>
        <w:rPr>
          <w:rFonts w:cs="Arial"/>
          <w:szCs w:val="22"/>
        </w:rPr>
      </w:pPr>
    </w:p>
    <w:p w14:paraId="4E808D74" w14:textId="77777777" w:rsidR="006C43D7" w:rsidRPr="009B1E0E" w:rsidRDefault="006C43D7" w:rsidP="006C43D7">
      <w:pPr>
        <w:spacing w:line="360" w:lineRule="auto"/>
        <w:jc w:val="both"/>
        <w:rPr>
          <w:rFonts w:cs="Arial"/>
          <w:szCs w:val="22"/>
        </w:rPr>
      </w:pPr>
    </w:p>
    <w:p w14:paraId="34BF70B6" w14:textId="77777777" w:rsidR="006C43D7" w:rsidRPr="009B1E0E" w:rsidRDefault="006C43D7" w:rsidP="006C43D7">
      <w:pPr>
        <w:spacing w:line="360" w:lineRule="auto"/>
        <w:jc w:val="both"/>
        <w:rPr>
          <w:rFonts w:cs="Arial"/>
          <w:szCs w:val="22"/>
        </w:rPr>
      </w:pPr>
    </w:p>
    <w:p w14:paraId="2F53BA3A" w14:textId="77777777" w:rsidR="006C43D7" w:rsidRPr="009B1E0E" w:rsidRDefault="006C43D7" w:rsidP="006C43D7">
      <w:pPr>
        <w:spacing w:line="480" w:lineRule="auto"/>
        <w:jc w:val="both"/>
        <w:rPr>
          <w:rFonts w:cs="Arial"/>
          <w:szCs w:val="22"/>
        </w:rPr>
      </w:pPr>
    </w:p>
    <w:p w14:paraId="3A1C212E" w14:textId="77777777" w:rsidR="006C43D7" w:rsidRPr="009B1E0E" w:rsidRDefault="006C43D7" w:rsidP="006C43D7">
      <w:pPr>
        <w:spacing w:line="480" w:lineRule="auto"/>
        <w:jc w:val="both"/>
        <w:rPr>
          <w:rFonts w:cs="Arial"/>
          <w:szCs w:val="22"/>
        </w:rPr>
      </w:pPr>
    </w:p>
    <w:p w14:paraId="04919B1B" w14:textId="77777777" w:rsidR="001D3CC2" w:rsidRPr="009B1E0E" w:rsidRDefault="001D3CC2" w:rsidP="006C43D7">
      <w:pPr>
        <w:spacing w:line="480" w:lineRule="auto"/>
        <w:jc w:val="both"/>
        <w:rPr>
          <w:rFonts w:cs="Arial"/>
          <w:szCs w:val="22"/>
        </w:rPr>
      </w:pPr>
    </w:p>
    <w:p w14:paraId="66E5F962" w14:textId="51F70FAB" w:rsidR="00A555DE" w:rsidRPr="009B1E0E" w:rsidRDefault="00AA7A76" w:rsidP="00AA7A76">
      <w:pPr>
        <w:spacing w:line="480" w:lineRule="auto"/>
        <w:jc w:val="both"/>
        <w:rPr>
          <w:rFonts w:cs="Arial"/>
          <w:szCs w:val="22"/>
        </w:rPr>
      </w:pPr>
      <w:r w:rsidRPr="009B1E0E">
        <w:rPr>
          <w:rFonts w:cs="Arial"/>
          <w:szCs w:val="22"/>
        </w:rPr>
        <w:t>In the matter between:</w:t>
      </w:r>
    </w:p>
    <w:p w14:paraId="0E20EA0B" w14:textId="77777777" w:rsidR="00A555DE" w:rsidRPr="009B1E0E" w:rsidRDefault="00A555DE" w:rsidP="00AA7A76">
      <w:pPr>
        <w:spacing w:line="480" w:lineRule="auto"/>
        <w:jc w:val="both"/>
        <w:rPr>
          <w:rFonts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5"/>
        <w:gridCol w:w="2246"/>
      </w:tblGrid>
      <w:tr w:rsidR="007A1D60" w:rsidRPr="009B1E0E" w14:paraId="4E86F7E7" w14:textId="77777777" w:rsidTr="00F4468A">
        <w:tc>
          <w:tcPr>
            <w:tcW w:w="6305" w:type="dxa"/>
          </w:tcPr>
          <w:p w14:paraId="74EE3EDE" w14:textId="2D06368B" w:rsidR="002104BF" w:rsidRPr="009B1E0E" w:rsidRDefault="00B22408" w:rsidP="00A555DE">
            <w:pPr>
              <w:spacing w:before="120" w:after="120"/>
              <w:rPr>
                <w:rFonts w:cs="Arial"/>
                <w:b/>
                <w:szCs w:val="22"/>
              </w:rPr>
            </w:pPr>
            <w:r w:rsidRPr="009B1E0E">
              <w:rPr>
                <w:rFonts w:cs="Arial"/>
                <w:b/>
                <w:szCs w:val="22"/>
              </w:rPr>
              <w:t>MISIBITHI INVESTMENTS (PTY) LTD</w:t>
            </w:r>
          </w:p>
        </w:tc>
        <w:tc>
          <w:tcPr>
            <w:tcW w:w="2246" w:type="dxa"/>
          </w:tcPr>
          <w:p w14:paraId="72EECEF8" w14:textId="4E254E63" w:rsidR="002104BF" w:rsidRPr="009B1E0E" w:rsidRDefault="004C04F5" w:rsidP="00A555DE">
            <w:pPr>
              <w:spacing w:before="120" w:after="120"/>
              <w:rPr>
                <w:rFonts w:cs="Arial"/>
                <w:szCs w:val="22"/>
              </w:rPr>
            </w:pPr>
            <w:r w:rsidRPr="009B1E0E">
              <w:rPr>
                <w:rFonts w:cs="Arial"/>
                <w:szCs w:val="22"/>
              </w:rPr>
              <w:t>1</w:t>
            </w:r>
            <w:r w:rsidRPr="009B1E0E">
              <w:rPr>
                <w:rFonts w:cs="Arial"/>
                <w:szCs w:val="22"/>
                <w:vertAlign w:val="superscript"/>
              </w:rPr>
              <w:t>st</w:t>
            </w:r>
            <w:r w:rsidRPr="009B1E0E">
              <w:rPr>
                <w:rFonts w:cs="Arial"/>
                <w:szCs w:val="22"/>
              </w:rPr>
              <w:t xml:space="preserve"> </w:t>
            </w:r>
            <w:r w:rsidR="00B22408" w:rsidRPr="009B1E0E">
              <w:rPr>
                <w:rFonts w:cs="Arial"/>
                <w:szCs w:val="22"/>
              </w:rPr>
              <w:t xml:space="preserve"> </w:t>
            </w:r>
            <w:r w:rsidR="00DD5E9C" w:rsidRPr="009B1E0E">
              <w:rPr>
                <w:rFonts w:cs="Arial"/>
                <w:szCs w:val="22"/>
              </w:rPr>
              <w:t>Applicant</w:t>
            </w:r>
          </w:p>
        </w:tc>
      </w:tr>
      <w:tr w:rsidR="007A1D60" w:rsidRPr="009B1E0E" w14:paraId="64E42908" w14:textId="77777777" w:rsidTr="00F4468A">
        <w:tc>
          <w:tcPr>
            <w:tcW w:w="6305" w:type="dxa"/>
          </w:tcPr>
          <w:p w14:paraId="6E1E5BEB" w14:textId="18A38602" w:rsidR="002104BF" w:rsidRPr="009B1E0E" w:rsidRDefault="00B22408" w:rsidP="00A555DE">
            <w:pPr>
              <w:spacing w:before="120" w:after="120"/>
              <w:rPr>
                <w:rFonts w:cs="Arial"/>
                <w:b/>
                <w:szCs w:val="22"/>
              </w:rPr>
            </w:pPr>
            <w:r w:rsidRPr="009B1E0E">
              <w:rPr>
                <w:rFonts w:cs="Arial"/>
                <w:b/>
                <w:szCs w:val="22"/>
              </w:rPr>
              <w:t>TSIRA CONSOLIDATED INVESTMENTS (PTY) LTD</w:t>
            </w:r>
          </w:p>
        </w:tc>
        <w:tc>
          <w:tcPr>
            <w:tcW w:w="2246" w:type="dxa"/>
          </w:tcPr>
          <w:p w14:paraId="1DB932F2" w14:textId="41B73101" w:rsidR="002104BF" w:rsidRPr="009B1E0E" w:rsidRDefault="004C04F5" w:rsidP="00A555DE">
            <w:pPr>
              <w:spacing w:before="120" w:after="120"/>
              <w:rPr>
                <w:rFonts w:cs="Arial"/>
                <w:szCs w:val="22"/>
              </w:rPr>
            </w:pPr>
            <w:r w:rsidRPr="009B1E0E">
              <w:rPr>
                <w:rFonts w:cs="Arial"/>
                <w:szCs w:val="22"/>
              </w:rPr>
              <w:t>2</w:t>
            </w:r>
            <w:r w:rsidRPr="009B1E0E">
              <w:rPr>
                <w:rFonts w:cs="Arial"/>
                <w:szCs w:val="22"/>
                <w:vertAlign w:val="superscript"/>
              </w:rPr>
              <w:t>nd</w:t>
            </w:r>
            <w:r w:rsidRPr="009B1E0E">
              <w:rPr>
                <w:rFonts w:cs="Arial"/>
                <w:szCs w:val="22"/>
              </w:rPr>
              <w:t xml:space="preserve"> </w:t>
            </w:r>
            <w:r w:rsidR="00B22408" w:rsidRPr="009B1E0E">
              <w:rPr>
                <w:rFonts w:cs="Arial"/>
                <w:szCs w:val="22"/>
              </w:rPr>
              <w:t>Applicant</w:t>
            </w:r>
          </w:p>
        </w:tc>
      </w:tr>
      <w:tr w:rsidR="007A1D60" w:rsidRPr="009B1E0E" w14:paraId="3BCAF70A" w14:textId="77777777" w:rsidTr="00F4468A">
        <w:tc>
          <w:tcPr>
            <w:tcW w:w="6305" w:type="dxa"/>
          </w:tcPr>
          <w:p w14:paraId="0E8BF73D" w14:textId="3B57FA98" w:rsidR="002104BF" w:rsidRPr="009B1E0E" w:rsidRDefault="00B22408" w:rsidP="00A555DE">
            <w:pPr>
              <w:spacing w:before="120" w:after="120"/>
              <w:rPr>
                <w:rFonts w:cs="Arial"/>
                <w:b/>
                <w:szCs w:val="22"/>
              </w:rPr>
            </w:pPr>
            <w:r w:rsidRPr="009B1E0E">
              <w:rPr>
                <w:rFonts w:cs="Arial"/>
                <w:b/>
                <w:szCs w:val="22"/>
              </w:rPr>
              <w:t>WOMEN IN CAPITAL GROWTH (PTY) LTD</w:t>
            </w:r>
          </w:p>
        </w:tc>
        <w:tc>
          <w:tcPr>
            <w:tcW w:w="2246" w:type="dxa"/>
          </w:tcPr>
          <w:p w14:paraId="2A989CFA" w14:textId="1EB75859" w:rsidR="002104BF" w:rsidRPr="009B1E0E" w:rsidRDefault="004C04F5" w:rsidP="00A555DE">
            <w:pPr>
              <w:spacing w:before="120" w:after="120"/>
              <w:rPr>
                <w:rFonts w:cs="Arial"/>
                <w:szCs w:val="22"/>
              </w:rPr>
            </w:pPr>
            <w:r w:rsidRPr="009B1E0E">
              <w:rPr>
                <w:rFonts w:cs="Arial"/>
                <w:szCs w:val="22"/>
              </w:rPr>
              <w:t>3</w:t>
            </w:r>
            <w:r w:rsidRPr="009B1E0E">
              <w:rPr>
                <w:rFonts w:cs="Arial"/>
                <w:szCs w:val="22"/>
                <w:vertAlign w:val="superscript"/>
              </w:rPr>
              <w:t>rd</w:t>
            </w:r>
            <w:r w:rsidR="00B22408" w:rsidRPr="009B1E0E">
              <w:rPr>
                <w:rFonts w:cs="Arial"/>
                <w:szCs w:val="22"/>
              </w:rPr>
              <w:t xml:space="preserve"> Applicant</w:t>
            </w:r>
          </w:p>
        </w:tc>
      </w:tr>
      <w:tr w:rsidR="00B22408" w:rsidRPr="009B1E0E" w14:paraId="04A3B4B6" w14:textId="77777777" w:rsidTr="00F4468A">
        <w:tc>
          <w:tcPr>
            <w:tcW w:w="6305" w:type="dxa"/>
          </w:tcPr>
          <w:p w14:paraId="7A0B65F8" w14:textId="4872CFEA" w:rsidR="00B22408" w:rsidRPr="009B1E0E" w:rsidRDefault="00B22408" w:rsidP="00A555DE">
            <w:pPr>
              <w:spacing w:before="120" w:after="120"/>
              <w:rPr>
                <w:rFonts w:cs="Arial"/>
                <w:b/>
                <w:szCs w:val="22"/>
              </w:rPr>
            </w:pPr>
            <w:r w:rsidRPr="009B1E0E">
              <w:rPr>
                <w:rFonts w:cs="Arial"/>
                <w:b/>
                <w:szCs w:val="22"/>
              </w:rPr>
              <w:t>PHAMBILI INVESTMENT CORPORATION (PTY) LTD</w:t>
            </w:r>
          </w:p>
        </w:tc>
        <w:tc>
          <w:tcPr>
            <w:tcW w:w="2246" w:type="dxa"/>
          </w:tcPr>
          <w:p w14:paraId="2253D1C8" w14:textId="256B5833" w:rsidR="00B22408" w:rsidRPr="009B1E0E" w:rsidRDefault="004C04F5" w:rsidP="00A555DE">
            <w:pPr>
              <w:spacing w:before="120" w:after="120"/>
              <w:rPr>
                <w:rFonts w:cs="Arial"/>
                <w:szCs w:val="22"/>
              </w:rPr>
            </w:pPr>
            <w:r w:rsidRPr="009B1E0E">
              <w:rPr>
                <w:rFonts w:cs="Arial"/>
                <w:szCs w:val="22"/>
              </w:rPr>
              <w:t>4</w:t>
            </w:r>
            <w:r w:rsidRPr="009B1E0E">
              <w:rPr>
                <w:rFonts w:cs="Arial"/>
                <w:szCs w:val="22"/>
                <w:vertAlign w:val="superscript"/>
              </w:rPr>
              <w:t>th</w:t>
            </w:r>
            <w:r w:rsidR="00B22408" w:rsidRPr="009B1E0E">
              <w:rPr>
                <w:rFonts w:cs="Arial"/>
                <w:szCs w:val="22"/>
              </w:rPr>
              <w:t xml:space="preserve"> Applicant</w:t>
            </w:r>
          </w:p>
        </w:tc>
      </w:tr>
      <w:tr w:rsidR="00B22408" w:rsidRPr="009B1E0E" w14:paraId="5CE2D834" w14:textId="77777777" w:rsidTr="00F4468A">
        <w:tc>
          <w:tcPr>
            <w:tcW w:w="6305" w:type="dxa"/>
          </w:tcPr>
          <w:p w14:paraId="090FFBAC" w14:textId="2582DD4A" w:rsidR="00B22408" w:rsidRPr="009B1E0E" w:rsidRDefault="00B22408" w:rsidP="00A555DE">
            <w:pPr>
              <w:spacing w:before="120" w:after="120"/>
              <w:rPr>
                <w:rFonts w:cs="Arial"/>
                <w:b/>
                <w:szCs w:val="22"/>
              </w:rPr>
            </w:pPr>
            <w:r w:rsidRPr="009B1E0E">
              <w:rPr>
                <w:rFonts w:cs="Arial"/>
                <w:b/>
                <w:szCs w:val="22"/>
              </w:rPr>
              <w:t>THE TRUSTEES FOR THE TIME BEING OF THE MBAZENI TRUST</w:t>
            </w:r>
          </w:p>
        </w:tc>
        <w:tc>
          <w:tcPr>
            <w:tcW w:w="2246" w:type="dxa"/>
          </w:tcPr>
          <w:p w14:paraId="4536A849" w14:textId="14141C17" w:rsidR="00B22408" w:rsidRPr="009B1E0E" w:rsidRDefault="004C04F5" w:rsidP="00A555DE">
            <w:pPr>
              <w:spacing w:before="120" w:after="120"/>
              <w:rPr>
                <w:rFonts w:cs="Arial"/>
                <w:szCs w:val="22"/>
              </w:rPr>
            </w:pPr>
            <w:r w:rsidRPr="009B1E0E">
              <w:rPr>
                <w:rFonts w:cs="Arial"/>
                <w:szCs w:val="22"/>
              </w:rPr>
              <w:t>5</w:t>
            </w:r>
            <w:r w:rsidRPr="009B1E0E">
              <w:rPr>
                <w:rFonts w:cs="Arial"/>
                <w:szCs w:val="22"/>
                <w:vertAlign w:val="superscript"/>
              </w:rPr>
              <w:t>th</w:t>
            </w:r>
            <w:r w:rsidR="00346CA0" w:rsidRPr="009B1E0E">
              <w:rPr>
                <w:rFonts w:cs="Arial"/>
                <w:szCs w:val="22"/>
              </w:rPr>
              <w:t xml:space="preserve"> </w:t>
            </w:r>
            <w:r w:rsidR="00B22408" w:rsidRPr="009B1E0E">
              <w:rPr>
                <w:rFonts w:cs="Arial"/>
                <w:szCs w:val="22"/>
              </w:rPr>
              <w:t>Applicant</w:t>
            </w:r>
          </w:p>
        </w:tc>
      </w:tr>
      <w:tr w:rsidR="00B22408" w:rsidRPr="009B1E0E" w14:paraId="300AF137" w14:textId="77777777" w:rsidTr="00F4468A">
        <w:tc>
          <w:tcPr>
            <w:tcW w:w="6305" w:type="dxa"/>
          </w:tcPr>
          <w:p w14:paraId="15523A06" w14:textId="60C020EC" w:rsidR="00B22408" w:rsidRPr="009B1E0E" w:rsidRDefault="00B22408" w:rsidP="00A555DE">
            <w:pPr>
              <w:spacing w:before="120" w:after="120"/>
              <w:rPr>
                <w:rFonts w:cs="Arial"/>
                <w:b/>
                <w:szCs w:val="22"/>
              </w:rPr>
            </w:pPr>
            <w:r w:rsidRPr="009B1E0E">
              <w:rPr>
                <w:rFonts w:cs="Arial"/>
                <w:b/>
                <w:szCs w:val="22"/>
              </w:rPr>
              <w:t>TSIVHASE, MASHUDU ELPHAS</w:t>
            </w:r>
          </w:p>
        </w:tc>
        <w:tc>
          <w:tcPr>
            <w:tcW w:w="2246" w:type="dxa"/>
          </w:tcPr>
          <w:p w14:paraId="0E88C56F" w14:textId="23046239" w:rsidR="00B22408" w:rsidRPr="009B1E0E" w:rsidRDefault="004C04F5" w:rsidP="00A555DE">
            <w:pPr>
              <w:spacing w:before="120" w:after="120"/>
              <w:rPr>
                <w:rFonts w:cs="Arial"/>
                <w:szCs w:val="22"/>
              </w:rPr>
            </w:pPr>
            <w:r w:rsidRPr="009B1E0E">
              <w:rPr>
                <w:rFonts w:cs="Arial"/>
                <w:szCs w:val="22"/>
              </w:rPr>
              <w:t>6</w:t>
            </w:r>
            <w:r w:rsidRPr="009B1E0E">
              <w:rPr>
                <w:rFonts w:cs="Arial"/>
                <w:szCs w:val="22"/>
                <w:vertAlign w:val="superscript"/>
              </w:rPr>
              <w:t>th</w:t>
            </w:r>
            <w:r w:rsidR="00346CA0" w:rsidRPr="009B1E0E">
              <w:rPr>
                <w:rFonts w:cs="Arial"/>
                <w:szCs w:val="22"/>
              </w:rPr>
              <w:t xml:space="preserve"> </w:t>
            </w:r>
            <w:r w:rsidR="00B22408" w:rsidRPr="009B1E0E">
              <w:rPr>
                <w:rFonts w:cs="Arial"/>
                <w:szCs w:val="22"/>
              </w:rPr>
              <w:t>Applicant</w:t>
            </w:r>
          </w:p>
        </w:tc>
      </w:tr>
      <w:tr w:rsidR="00B22408" w:rsidRPr="009B1E0E" w14:paraId="6BA96C36" w14:textId="77777777" w:rsidTr="00F4468A">
        <w:tc>
          <w:tcPr>
            <w:tcW w:w="6305" w:type="dxa"/>
          </w:tcPr>
          <w:p w14:paraId="2C9168CF" w14:textId="64DBE6F8" w:rsidR="00B22408" w:rsidRPr="009B1E0E" w:rsidRDefault="00B22408" w:rsidP="00A555DE">
            <w:pPr>
              <w:spacing w:before="120" w:after="120"/>
              <w:rPr>
                <w:rFonts w:cs="Arial"/>
                <w:b/>
                <w:szCs w:val="22"/>
              </w:rPr>
            </w:pPr>
            <w:r w:rsidRPr="009B1E0E">
              <w:rPr>
                <w:rFonts w:cs="Arial"/>
                <w:b/>
                <w:szCs w:val="22"/>
              </w:rPr>
              <w:t>WECBEC LTD</w:t>
            </w:r>
          </w:p>
        </w:tc>
        <w:tc>
          <w:tcPr>
            <w:tcW w:w="2246" w:type="dxa"/>
          </w:tcPr>
          <w:p w14:paraId="616E9DD2" w14:textId="21CBD87F" w:rsidR="00B22408" w:rsidRPr="009B1E0E" w:rsidRDefault="004C04F5" w:rsidP="00A555DE">
            <w:pPr>
              <w:spacing w:before="120" w:after="120"/>
              <w:rPr>
                <w:rFonts w:cs="Arial"/>
                <w:szCs w:val="22"/>
              </w:rPr>
            </w:pPr>
            <w:r w:rsidRPr="009B1E0E">
              <w:rPr>
                <w:rFonts w:cs="Arial"/>
                <w:szCs w:val="22"/>
              </w:rPr>
              <w:t>7</w:t>
            </w:r>
            <w:r w:rsidRPr="009B1E0E">
              <w:rPr>
                <w:rFonts w:cs="Arial"/>
                <w:szCs w:val="22"/>
                <w:vertAlign w:val="superscript"/>
              </w:rPr>
              <w:t>th</w:t>
            </w:r>
            <w:r w:rsidR="00346CA0" w:rsidRPr="009B1E0E">
              <w:rPr>
                <w:rFonts w:cs="Arial"/>
                <w:szCs w:val="22"/>
              </w:rPr>
              <w:t xml:space="preserve"> Applicant</w:t>
            </w:r>
          </w:p>
        </w:tc>
      </w:tr>
      <w:tr w:rsidR="00B22408" w:rsidRPr="009B1E0E" w14:paraId="1C41EE51" w14:textId="77777777" w:rsidTr="00F4468A">
        <w:tc>
          <w:tcPr>
            <w:tcW w:w="6305" w:type="dxa"/>
          </w:tcPr>
          <w:p w14:paraId="61650C4D" w14:textId="7811BB15" w:rsidR="00B22408" w:rsidRPr="009B1E0E" w:rsidRDefault="00B22408" w:rsidP="00A555DE">
            <w:pPr>
              <w:spacing w:before="120" w:after="120"/>
              <w:rPr>
                <w:rFonts w:cs="Arial"/>
                <w:b/>
                <w:szCs w:val="22"/>
              </w:rPr>
            </w:pPr>
            <w:r w:rsidRPr="009B1E0E">
              <w:rPr>
                <w:rFonts w:cs="Arial"/>
                <w:b/>
                <w:szCs w:val="22"/>
              </w:rPr>
              <w:t>RAMANO, MASHUDU ELIAS</w:t>
            </w:r>
          </w:p>
        </w:tc>
        <w:tc>
          <w:tcPr>
            <w:tcW w:w="2246" w:type="dxa"/>
          </w:tcPr>
          <w:p w14:paraId="7C95DCBB" w14:textId="7AEC7210" w:rsidR="00B22408" w:rsidRPr="009B1E0E" w:rsidRDefault="004C04F5" w:rsidP="00A555DE">
            <w:pPr>
              <w:spacing w:before="120" w:after="120"/>
              <w:rPr>
                <w:rFonts w:cs="Arial"/>
                <w:szCs w:val="22"/>
              </w:rPr>
            </w:pPr>
            <w:r w:rsidRPr="009B1E0E">
              <w:rPr>
                <w:rFonts w:cs="Arial"/>
                <w:szCs w:val="22"/>
              </w:rPr>
              <w:t>8</w:t>
            </w:r>
            <w:r w:rsidRPr="009B1E0E">
              <w:rPr>
                <w:rFonts w:cs="Arial"/>
                <w:szCs w:val="22"/>
                <w:vertAlign w:val="superscript"/>
              </w:rPr>
              <w:t>th</w:t>
            </w:r>
            <w:r w:rsidR="00346CA0" w:rsidRPr="009B1E0E">
              <w:rPr>
                <w:rFonts w:cs="Arial"/>
                <w:szCs w:val="22"/>
              </w:rPr>
              <w:t xml:space="preserve"> Applicant</w:t>
            </w:r>
          </w:p>
        </w:tc>
      </w:tr>
      <w:tr w:rsidR="00B22408" w:rsidRPr="009B1E0E" w14:paraId="28972F3B" w14:textId="77777777" w:rsidTr="00F4468A">
        <w:tc>
          <w:tcPr>
            <w:tcW w:w="6305" w:type="dxa"/>
          </w:tcPr>
          <w:p w14:paraId="76DB96F3" w14:textId="4A5EC3B9" w:rsidR="00B22408" w:rsidRPr="009B1E0E" w:rsidRDefault="00B22408" w:rsidP="00A555DE">
            <w:pPr>
              <w:spacing w:before="120" w:after="120"/>
              <w:rPr>
                <w:rFonts w:cs="Arial"/>
                <w:b/>
                <w:szCs w:val="22"/>
              </w:rPr>
            </w:pPr>
            <w:r w:rsidRPr="009B1E0E">
              <w:rPr>
                <w:rFonts w:cs="Arial"/>
                <w:b/>
                <w:szCs w:val="22"/>
              </w:rPr>
              <w:t>AKHONA TRADE AND INVESTMENT (PTY) LTD</w:t>
            </w:r>
          </w:p>
        </w:tc>
        <w:tc>
          <w:tcPr>
            <w:tcW w:w="2246" w:type="dxa"/>
          </w:tcPr>
          <w:p w14:paraId="613AD200" w14:textId="73449B2E" w:rsidR="00B22408" w:rsidRPr="009B1E0E" w:rsidRDefault="004C04F5" w:rsidP="00A555DE">
            <w:pPr>
              <w:spacing w:before="120" w:after="120"/>
              <w:rPr>
                <w:rFonts w:cs="Arial"/>
                <w:szCs w:val="22"/>
              </w:rPr>
            </w:pPr>
            <w:r w:rsidRPr="009B1E0E">
              <w:rPr>
                <w:rFonts w:cs="Arial"/>
                <w:szCs w:val="22"/>
              </w:rPr>
              <w:t>9</w:t>
            </w:r>
            <w:r w:rsidRPr="009B1E0E">
              <w:rPr>
                <w:rFonts w:cs="Arial"/>
                <w:szCs w:val="22"/>
                <w:vertAlign w:val="superscript"/>
              </w:rPr>
              <w:t>th</w:t>
            </w:r>
            <w:r w:rsidR="00346CA0" w:rsidRPr="009B1E0E">
              <w:rPr>
                <w:rFonts w:cs="Arial"/>
                <w:szCs w:val="22"/>
              </w:rPr>
              <w:t xml:space="preserve"> Applicant</w:t>
            </w:r>
          </w:p>
        </w:tc>
      </w:tr>
      <w:tr w:rsidR="00B22408" w:rsidRPr="009B1E0E" w14:paraId="6EA53421" w14:textId="77777777" w:rsidTr="00F4468A">
        <w:tc>
          <w:tcPr>
            <w:tcW w:w="6305" w:type="dxa"/>
          </w:tcPr>
          <w:p w14:paraId="27048397" w14:textId="2F13779B" w:rsidR="00B22408" w:rsidRPr="009B1E0E" w:rsidRDefault="00B22408" w:rsidP="00A555DE">
            <w:pPr>
              <w:spacing w:before="120" w:after="120"/>
              <w:rPr>
                <w:rFonts w:cs="Arial"/>
                <w:bCs/>
                <w:szCs w:val="22"/>
              </w:rPr>
            </w:pPr>
            <w:r w:rsidRPr="009B1E0E">
              <w:rPr>
                <w:rFonts w:cs="Arial"/>
                <w:bCs/>
                <w:szCs w:val="22"/>
              </w:rPr>
              <w:t>and</w:t>
            </w:r>
          </w:p>
        </w:tc>
        <w:tc>
          <w:tcPr>
            <w:tcW w:w="2246" w:type="dxa"/>
          </w:tcPr>
          <w:p w14:paraId="73390C99" w14:textId="77777777" w:rsidR="00B22408" w:rsidRPr="009B1E0E" w:rsidRDefault="00B22408" w:rsidP="00A555DE">
            <w:pPr>
              <w:spacing w:before="120" w:after="120"/>
              <w:rPr>
                <w:rFonts w:cs="Arial"/>
                <w:szCs w:val="22"/>
              </w:rPr>
            </w:pPr>
          </w:p>
        </w:tc>
      </w:tr>
      <w:tr w:rsidR="00B22408" w:rsidRPr="009B1E0E" w14:paraId="25547EC0" w14:textId="77777777" w:rsidTr="00F4468A">
        <w:tc>
          <w:tcPr>
            <w:tcW w:w="6305" w:type="dxa"/>
          </w:tcPr>
          <w:p w14:paraId="708ABB9B" w14:textId="1DC736A8" w:rsidR="00B22408" w:rsidRPr="009B1E0E" w:rsidRDefault="00346CA0" w:rsidP="00A555DE">
            <w:pPr>
              <w:spacing w:before="120" w:after="120"/>
              <w:rPr>
                <w:rFonts w:cs="Arial"/>
                <w:b/>
                <w:szCs w:val="22"/>
              </w:rPr>
            </w:pPr>
            <w:r w:rsidRPr="009B1E0E">
              <w:rPr>
                <w:rFonts w:cs="Arial"/>
                <w:b/>
                <w:szCs w:val="22"/>
              </w:rPr>
              <w:t>AFRICAN LEGEND INVESTMENT[S] (PTY) LTD</w:t>
            </w:r>
          </w:p>
        </w:tc>
        <w:tc>
          <w:tcPr>
            <w:tcW w:w="2246" w:type="dxa"/>
          </w:tcPr>
          <w:p w14:paraId="154C25D8" w14:textId="4348DF57" w:rsidR="00B22408" w:rsidRPr="009B1E0E" w:rsidRDefault="00A555DE" w:rsidP="00A555DE">
            <w:pPr>
              <w:spacing w:before="120" w:after="120"/>
              <w:rPr>
                <w:rFonts w:cs="Arial"/>
                <w:szCs w:val="22"/>
              </w:rPr>
            </w:pPr>
            <w:r w:rsidRPr="009B1E0E">
              <w:rPr>
                <w:rFonts w:cs="Arial"/>
                <w:szCs w:val="22"/>
              </w:rPr>
              <w:t>1</w:t>
            </w:r>
            <w:r w:rsidRPr="009B1E0E">
              <w:rPr>
                <w:rFonts w:cs="Arial"/>
                <w:szCs w:val="22"/>
                <w:vertAlign w:val="superscript"/>
              </w:rPr>
              <w:t>st</w:t>
            </w:r>
            <w:r w:rsidRPr="009B1E0E">
              <w:rPr>
                <w:rFonts w:cs="Arial"/>
                <w:szCs w:val="22"/>
              </w:rPr>
              <w:t xml:space="preserve"> </w:t>
            </w:r>
            <w:r w:rsidR="00346CA0" w:rsidRPr="009B1E0E">
              <w:rPr>
                <w:rFonts w:cs="Arial"/>
                <w:szCs w:val="22"/>
              </w:rPr>
              <w:t>Respondent</w:t>
            </w:r>
          </w:p>
        </w:tc>
      </w:tr>
      <w:tr w:rsidR="00346CA0" w:rsidRPr="009B1E0E" w14:paraId="779A70B7" w14:textId="77777777" w:rsidTr="00F4468A">
        <w:tc>
          <w:tcPr>
            <w:tcW w:w="6305" w:type="dxa"/>
          </w:tcPr>
          <w:p w14:paraId="7104E181" w14:textId="1BEEDF8E" w:rsidR="00346CA0" w:rsidRPr="009B1E0E" w:rsidRDefault="00346CA0" w:rsidP="00A555DE">
            <w:pPr>
              <w:spacing w:before="120" w:after="120"/>
              <w:rPr>
                <w:rFonts w:cs="Arial"/>
                <w:b/>
                <w:szCs w:val="22"/>
              </w:rPr>
            </w:pPr>
            <w:r w:rsidRPr="009B1E0E">
              <w:rPr>
                <w:rFonts w:cs="Arial"/>
                <w:b/>
                <w:szCs w:val="22"/>
              </w:rPr>
              <w:t>OFF THE SHELF INVESTMENTS FIFTY SIX (RF) (PTY) LTD</w:t>
            </w:r>
          </w:p>
        </w:tc>
        <w:tc>
          <w:tcPr>
            <w:tcW w:w="2246" w:type="dxa"/>
          </w:tcPr>
          <w:p w14:paraId="634C0CF8" w14:textId="6192B8F7" w:rsidR="00346CA0" w:rsidRPr="009B1E0E" w:rsidRDefault="00A555DE" w:rsidP="00A555DE">
            <w:pPr>
              <w:spacing w:before="120" w:after="120"/>
              <w:rPr>
                <w:rFonts w:cs="Arial"/>
                <w:szCs w:val="22"/>
              </w:rPr>
            </w:pPr>
            <w:r w:rsidRPr="009B1E0E">
              <w:rPr>
                <w:rFonts w:cs="Arial"/>
                <w:szCs w:val="22"/>
              </w:rPr>
              <w:t>2</w:t>
            </w:r>
            <w:r w:rsidRPr="009B1E0E">
              <w:rPr>
                <w:rFonts w:cs="Arial"/>
                <w:szCs w:val="22"/>
                <w:vertAlign w:val="superscript"/>
              </w:rPr>
              <w:t>nd</w:t>
            </w:r>
            <w:r w:rsidRPr="009B1E0E">
              <w:rPr>
                <w:rFonts w:cs="Arial"/>
                <w:szCs w:val="22"/>
              </w:rPr>
              <w:t xml:space="preserve"> Respondent</w:t>
            </w:r>
          </w:p>
        </w:tc>
      </w:tr>
      <w:tr w:rsidR="00346CA0" w:rsidRPr="009B1E0E" w14:paraId="73AB47E7" w14:textId="77777777" w:rsidTr="00F4468A">
        <w:tc>
          <w:tcPr>
            <w:tcW w:w="6305" w:type="dxa"/>
          </w:tcPr>
          <w:p w14:paraId="450F5BFC" w14:textId="32FE0B75" w:rsidR="00346CA0" w:rsidRPr="009B1E0E" w:rsidRDefault="00346CA0" w:rsidP="00A555DE">
            <w:pPr>
              <w:spacing w:before="120" w:after="120"/>
              <w:rPr>
                <w:rFonts w:cs="Arial"/>
                <w:b/>
                <w:szCs w:val="22"/>
              </w:rPr>
            </w:pPr>
            <w:r w:rsidRPr="009B1E0E">
              <w:rPr>
                <w:rFonts w:cs="Arial"/>
                <w:b/>
                <w:szCs w:val="22"/>
              </w:rPr>
              <w:t xml:space="preserve">THE DIRECTORS OF AFRICAN LEGEND INVESTMENTS (PTY) LTD listed in Schedule 1 </w:t>
            </w:r>
          </w:p>
        </w:tc>
        <w:tc>
          <w:tcPr>
            <w:tcW w:w="2246" w:type="dxa"/>
          </w:tcPr>
          <w:p w14:paraId="7948A9E9" w14:textId="27A09573" w:rsidR="00346CA0" w:rsidRPr="009B1E0E" w:rsidRDefault="00A555DE" w:rsidP="00A555DE">
            <w:pPr>
              <w:spacing w:before="120" w:after="120"/>
              <w:rPr>
                <w:rFonts w:cs="Arial"/>
                <w:szCs w:val="22"/>
              </w:rPr>
            </w:pPr>
            <w:r w:rsidRPr="009B1E0E">
              <w:rPr>
                <w:rFonts w:cs="Arial"/>
                <w:szCs w:val="22"/>
              </w:rPr>
              <w:t>3</w:t>
            </w:r>
            <w:r w:rsidRPr="009B1E0E">
              <w:rPr>
                <w:rFonts w:cs="Arial"/>
                <w:szCs w:val="22"/>
                <w:vertAlign w:val="superscript"/>
              </w:rPr>
              <w:t>rd</w:t>
            </w:r>
            <w:r w:rsidRPr="009B1E0E">
              <w:rPr>
                <w:rFonts w:cs="Arial"/>
                <w:szCs w:val="22"/>
              </w:rPr>
              <w:t xml:space="preserve"> to 8</w:t>
            </w:r>
            <w:r w:rsidRPr="009B1E0E">
              <w:rPr>
                <w:rFonts w:cs="Arial"/>
                <w:szCs w:val="22"/>
                <w:vertAlign w:val="superscript"/>
              </w:rPr>
              <w:t>th</w:t>
            </w:r>
            <w:r w:rsidRPr="009B1E0E">
              <w:rPr>
                <w:rFonts w:cs="Arial"/>
                <w:szCs w:val="22"/>
              </w:rPr>
              <w:t xml:space="preserve"> Respondents</w:t>
            </w:r>
          </w:p>
        </w:tc>
      </w:tr>
      <w:tr w:rsidR="00346CA0" w:rsidRPr="009B1E0E" w14:paraId="31B4A208" w14:textId="77777777" w:rsidTr="00F4468A">
        <w:tc>
          <w:tcPr>
            <w:tcW w:w="6305" w:type="dxa"/>
          </w:tcPr>
          <w:p w14:paraId="507AFB47" w14:textId="7928F2F8" w:rsidR="00346CA0" w:rsidRPr="009B1E0E" w:rsidRDefault="00346CA0" w:rsidP="00A555DE">
            <w:pPr>
              <w:spacing w:before="120" w:after="120"/>
              <w:rPr>
                <w:rFonts w:cs="Arial"/>
                <w:b/>
                <w:szCs w:val="22"/>
              </w:rPr>
            </w:pPr>
            <w:r w:rsidRPr="009B1E0E">
              <w:rPr>
                <w:rFonts w:cs="Arial"/>
                <w:b/>
                <w:szCs w:val="22"/>
              </w:rPr>
              <w:t xml:space="preserve">THE DIRECTORS OF OFF THE SHELF INVESTMENTS FIFTY SIX (RF) (PTY) LTD listed in Schedule 2 </w:t>
            </w:r>
          </w:p>
        </w:tc>
        <w:tc>
          <w:tcPr>
            <w:tcW w:w="2246" w:type="dxa"/>
          </w:tcPr>
          <w:p w14:paraId="1906B759" w14:textId="2B6D1C86" w:rsidR="00346CA0" w:rsidRPr="009B1E0E" w:rsidRDefault="00A555DE" w:rsidP="00A555DE">
            <w:pPr>
              <w:spacing w:before="120" w:after="120"/>
              <w:rPr>
                <w:rFonts w:cs="Arial"/>
                <w:szCs w:val="22"/>
              </w:rPr>
            </w:pPr>
            <w:r w:rsidRPr="009B1E0E">
              <w:rPr>
                <w:rFonts w:cs="Arial"/>
                <w:szCs w:val="22"/>
              </w:rPr>
              <w:t>9</w:t>
            </w:r>
            <w:r w:rsidRPr="009B1E0E">
              <w:rPr>
                <w:rFonts w:cs="Arial"/>
                <w:szCs w:val="22"/>
                <w:vertAlign w:val="superscript"/>
              </w:rPr>
              <w:t>th</w:t>
            </w:r>
            <w:r w:rsidRPr="009B1E0E">
              <w:rPr>
                <w:rFonts w:cs="Arial"/>
                <w:szCs w:val="22"/>
              </w:rPr>
              <w:t xml:space="preserve"> to 10</w:t>
            </w:r>
            <w:r w:rsidRPr="009B1E0E">
              <w:rPr>
                <w:rFonts w:cs="Arial"/>
                <w:szCs w:val="22"/>
                <w:vertAlign w:val="superscript"/>
              </w:rPr>
              <w:t>th</w:t>
            </w:r>
            <w:r w:rsidRPr="009B1E0E">
              <w:rPr>
                <w:rFonts w:cs="Arial"/>
                <w:szCs w:val="22"/>
              </w:rPr>
              <w:t xml:space="preserve"> Respondents</w:t>
            </w:r>
          </w:p>
        </w:tc>
      </w:tr>
      <w:tr w:rsidR="00346CA0" w:rsidRPr="009B1E0E" w14:paraId="58810B21" w14:textId="77777777" w:rsidTr="00F4468A">
        <w:tc>
          <w:tcPr>
            <w:tcW w:w="6305" w:type="dxa"/>
          </w:tcPr>
          <w:p w14:paraId="1EA0D751" w14:textId="2E7CC72D" w:rsidR="00346CA0" w:rsidRPr="009B1E0E" w:rsidRDefault="00346CA0" w:rsidP="00A555DE">
            <w:pPr>
              <w:spacing w:before="120" w:after="120"/>
              <w:rPr>
                <w:rFonts w:cs="Arial"/>
                <w:b/>
                <w:szCs w:val="22"/>
              </w:rPr>
            </w:pPr>
            <w:r w:rsidRPr="009B1E0E">
              <w:rPr>
                <w:rFonts w:cs="Arial"/>
                <w:b/>
                <w:szCs w:val="22"/>
              </w:rPr>
              <w:lastRenderedPageBreak/>
              <w:t xml:space="preserve">THE TRUSTEES FOR THE TIME BEING </w:t>
            </w:r>
            <w:r w:rsidR="004C04F5" w:rsidRPr="009B1E0E">
              <w:rPr>
                <w:rFonts w:cs="Arial"/>
                <w:b/>
                <w:szCs w:val="22"/>
              </w:rPr>
              <w:t>OF THE ASTRON ENERGY EMPLOYEE PARTICIPATION PLAN TRUST</w:t>
            </w:r>
            <w:r w:rsidR="00082179" w:rsidRPr="009B1E0E">
              <w:rPr>
                <w:rFonts w:cs="Arial"/>
                <w:b/>
                <w:szCs w:val="22"/>
              </w:rPr>
              <w:t xml:space="preserve"> (IT32</w:t>
            </w:r>
            <w:r w:rsidR="00716130" w:rsidRPr="009B1E0E">
              <w:rPr>
                <w:rFonts w:cs="Arial"/>
                <w:b/>
                <w:szCs w:val="22"/>
              </w:rPr>
              <w:t>23/2002)</w:t>
            </w:r>
          </w:p>
        </w:tc>
        <w:tc>
          <w:tcPr>
            <w:tcW w:w="2246" w:type="dxa"/>
          </w:tcPr>
          <w:p w14:paraId="1B70FC05" w14:textId="37C9F0ED" w:rsidR="00346CA0" w:rsidRPr="009B1E0E" w:rsidRDefault="00A555DE" w:rsidP="00A555DE">
            <w:pPr>
              <w:spacing w:before="120" w:after="120"/>
              <w:rPr>
                <w:rFonts w:cs="Arial"/>
                <w:szCs w:val="22"/>
              </w:rPr>
            </w:pPr>
            <w:r w:rsidRPr="009B1E0E">
              <w:rPr>
                <w:rFonts w:cs="Arial"/>
                <w:szCs w:val="22"/>
              </w:rPr>
              <w:t>11</w:t>
            </w:r>
            <w:r w:rsidRPr="009B1E0E">
              <w:rPr>
                <w:rFonts w:cs="Arial"/>
                <w:szCs w:val="22"/>
                <w:vertAlign w:val="superscript"/>
              </w:rPr>
              <w:t>th</w:t>
            </w:r>
            <w:r w:rsidRPr="009B1E0E">
              <w:rPr>
                <w:rFonts w:cs="Arial"/>
                <w:szCs w:val="22"/>
              </w:rPr>
              <w:t xml:space="preserve"> Respondent</w:t>
            </w:r>
          </w:p>
        </w:tc>
      </w:tr>
      <w:tr w:rsidR="004C04F5" w:rsidRPr="009B1E0E" w14:paraId="33A515E2" w14:textId="77777777" w:rsidTr="00F4468A">
        <w:tc>
          <w:tcPr>
            <w:tcW w:w="6305" w:type="dxa"/>
          </w:tcPr>
          <w:p w14:paraId="33E77662" w14:textId="18ED8D0D" w:rsidR="004C04F5" w:rsidRPr="009B1E0E" w:rsidRDefault="004C04F5" w:rsidP="00A555DE">
            <w:pPr>
              <w:spacing w:before="120" w:after="120"/>
              <w:rPr>
                <w:rFonts w:cs="Arial"/>
                <w:b/>
                <w:szCs w:val="22"/>
              </w:rPr>
            </w:pPr>
            <w:r w:rsidRPr="009B1E0E">
              <w:rPr>
                <w:rFonts w:cs="Arial"/>
                <w:b/>
                <w:szCs w:val="22"/>
              </w:rPr>
              <w:t>GLENCORE SOUTH AFRICA OIL INVESTMENTS (PTY) LTD</w:t>
            </w:r>
          </w:p>
        </w:tc>
        <w:tc>
          <w:tcPr>
            <w:tcW w:w="2246" w:type="dxa"/>
          </w:tcPr>
          <w:p w14:paraId="51B54F03" w14:textId="6656C2D9" w:rsidR="004C04F5" w:rsidRPr="009B1E0E" w:rsidRDefault="00A555DE" w:rsidP="00A555DE">
            <w:pPr>
              <w:spacing w:before="120" w:after="120"/>
              <w:rPr>
                <w:rFonts w:cs="Arial"/>
                <w:szCs w:val="22"/>
              </w:rPr>
            </w:pPr>
            <w:r w:rsidRPr="009B1E0E">
              <w:rPr>
                <w:rFonts w:cs="Arial"/>
                <w:szCs w:val="22"/>
              </w:rPr>
              <w:t>12</w:t>
            </w:r>
            <w:r w:rsidRPr="009B1E0E">
              <w:rPr>
                <w:rFonts w:cs="Arial"/>
                <w:szCs w:val="22"/>
                <w:vertAlign w:val="superscript"/>
              </w:rPr>
              <w:t>th</w:t>
            </w:r>
            <w:r w:rsidRPr="009B1E0E">
              <w:rPr>
                <w:rFonts w:cs="Arial"/>
                <w:szCs w:val="22"/>
              </w:rPr>
              <w:t xml:space="preserve"> Respondent</w:t>
            </w:r>
          </w:p>
        </w:tc>
      </w:tr>
      <w:tr w:rsidR="004C04F5" w:rsidRPr="009B1E0E" w14:paraId="3CB11664" w14:textId="77777777" w:rsidTr="00F4468A">
        <w:tc>
          <w:tcPr>
            <w:tcW w:w="6305" w:type="dxa"/>
          </w:tcPr>
          <w:p w14:paraId="77FA0205" w14:textId="17E0AE33" w:rsidR="004C04F5" w:rsidRPr="009B1E0E" w:rsidRDefault="004C04F5" w:rsidP="00A555DE">
            <w:pPr>
              <w:spacing w:before="120" w:after="120"/>
              <w:rPr>
                <w:rFonts w:cs="Arial"/>
                <w:b/>
                <w:szCs w:val="22"/>
              </w:rPr>
            </w:pPr>
            <w:r w:rsidRPr="009B1E0E">
              <w:rPr>
                <w:rFonts w:cs="Arial"/>
                <w:b/>
                <w:szCs w:val="22"/>
              </w:rPr>
              <w:t>ASTRON ENERGY (PTY) LTD</w:t>
            </w:r>
          </w:p>
        </w:tc>
        <w:tc>
          <w:tcPr>
            <w:tcW w:w="2246" w:type="dxa"/>
          </w:tcPr>
          <w:p w14:paraId="4D2C6F27" w14:textId="3B183577" w:rsidR="004C04F5" w:rsidRPr="009B1E0E" w:rsidRDefault="00A555DE" w:rsidP="00A555DE">
            <w:pPr>
              <w:spacing w:before="120" w:after="120"/>
              <w:rPr>
                <w:rFonts w:cs="Arial"/>
                <w:szCs w:val="22"/>
              </w:rPr>
            </w:pPr>
            <w:r w:rsidRPr="009B1E0E">
              <w:rPr>
                <w:rFonts w:cs="Arial"/>
                <w:szCs w:val="22"/>
              </w:rPr>
              <w:t>13</w:t>
            </w:r>
            <w:r w:rsidRPr="009B1E0E">
              <w:rPr>
                <w:rFonts w:cs="Arial"/>
                <w:szCs w:val="22"/>
                <w:vertAlign w:val="superscript"/>
              </w:rPr>
              <w:t>th</w:t>
            </w:r>
            <w:r w:rsidRPr="009B1E0E">
              <w:rPr>
                <w:rFonts w:cs="Arial"/>
                <w:szCs w:val="22"/>
              </w:rPr>
              <w:t xml:space="preserve"> Respondent</w:t>
            </w:r>
          </w:p>
        </w:tc>
      </w:tr>
      <w:tr w:rsidR="004C04F5" w:rsidRPr="009B1E0E" w14:paraId="56618C94" w14:textId="77777777" w:rsidTr="00F4468A">
        <w:tc>
          <w:tcPr>
            <w:tcW w:w="6305" w:type="dxa"/>
          </w:tcPr>
          <w:p w14:paraId="5033F032" w14:textId="32FEEF23" w:rsidR="004C04F5" w:rsidRPr="009B1E0E" w:rsidRDefault="004C04F5" w:rsidP="00A555DE">
            <w:pPr>
              <w:spacing w:before="120" w:after="120"/>
              <w:rPr>
                <w:rFonts w:cs="Arial"/>
                <w:b/>
                <w:szCs w:val="22"/>
              </w:rPr>
            </w:pPr>
            <w:r w:rsidRPr="009B1E0E">
              <w:rPr>
                <w:rFonts w:cs="Arial"/>
                <w:b/>
                <w:szCs w:val="22"/>
              </w:rPr>
              <w:t xml:space="preserve">SHAREHOLDERS OF THE FIRST RESPONDENT (OTHER THAN THE APPLICANTS) </w:t>
            </w:r>
            <w:r w:rsidR="00A555DE" w:rsidRPr="009B1E0E">
              <w:rPr>
                <w:rFonts w:cs="Arial"/>
                <w:b/>
                <w:szCs w:val="22"/>
              </w:rPr>
              <w:t>listed in</w:t>
            </w:r>
            <w:r w:rsidRPr="009B1E0E">
              <w:rPr>
                <w:rFonts w:cs="Arial"/>
                <w:b/>
                <w:szCs w:val="22"/>
              </w:rPr>
              <w:t xml:space="preserve"> </w:t>
            </w:r>
            <w:r w:rsidR="00A555DE" w:rsidRPr="009B1E0E">
              <w:rPr>
                <w:rFonts w:cs="Arial"/>
                <w:b/>
                <w:szCs w:val="22"/>
              </w:rPr>
              <w:t xml:space="preserve">Schedule </w:t>
            </w:r>
            <w:r w:rsidRPr="009B1E0E">
              <w:rPr>
                <w:rFonts w:cs="Arial"/>
                <w:b/>
                <w:szCs w:val="22"/>
              </w:rPr>
              <w:t>3</w:t>
            </w:r>
          </w:p>
        </w:tc>
        <w:tc>
          <w:tcPr>
            <w:tcW w:w="2246" w:type="dxa"/>
          </w:tcPr>
          <w:p w14:paraId="739280BB" w14:textId="24E656DF" w:rsidR="004C04F5" w:rsidRPr="009B1E0E" w:rsidRDefault="00A555DE" w:rsidP="00A555DE">
            <w:pPr>
              <w:spacing w:before="120" w:after="120"/>
              <w:rPr>
                <w:rFonts w:cs="Arial"/>
                <w:szCs w:val="22"/>
              </w:rPr>
            </w:pPr>
            <w:r w:rsidRPr="009B1E0E">
              <w:rPr>
                <w:rFonts w:cs="Arial"/>
                <w:szCs w:val="22"/>
              </w:rPr>
              <w:t>14</w:t>
            </w:r>
            <w:r w:rsidRPr="009B1E0E">
              <w:rPr>
                <w:rFonts w:cs="Arial"/>
                <w:szCs w:val="22"/>
                <w:vertAlign w:val="superscript"/>
              </w:rPr>
              <w:t>th</w:t>
            </w:r>
            <w:r w:rsidRPr="009B1E0E">
              <w:rPr>
                <w:rFonts w:cs="Arial"/>
                <w:szCs w:val="22"/>
              </w:rPr>
              <w:t xml:space="preserve"> to 38</w:t>
            </w:r>
            <w:r w:rsidRPr="009B1E0E">
              <w:rPr>
                <w:rFonts w:cs="Arial"/>
                <w:szCs w:val="22"/>
                <w:vertAlign w:val="superscript"/>
              </w:rPr>
              <w:t>th</w:t>
            </w:r>
            <w:r w:rsidRPr="009B1E0E">
              <w:rPr>
                <w:rFonts w:cs="Arial"/>
                <w:szCs w:val="22"/>
              </w:rPr>
              <w:t xml:space="preserve"> Respondents</w:t>
            </w:r>
          </w:p>
        </w:tc>
      </w:tr>
      <w:tr w:rsidR="004C04F5" w:rsidRPr="009B1E0E" w14:paraId="3B2893FF" w14:textId="77777777" w:rsidTr="00F4468A">
        <w:tc>
          <w:tcPr>
            <w:tcW w:w="6305" w:type="dxa"/>
          </w:tcPr>
          <w:p w14:paraId="6A5185F4" w14:textId="40A46B01" w:rsidR="004C04F5" w:rsidRPr="009B1E0E" w:rsidRDefault="004C04F5" w:rsidP="00A555DE">
            <w:pPr>
              <w:spacing w:before="120" w:after="120"/>
              <w:rPr>
                <w:rFonts w:cs="Arial"/>
                <w:b/>
                <w:szCs w:val="22"/>
              </w:rPr>
            </w:pPr>
            <w:r w:rsidRPr="009B1E0E">
              <w:rPr>
                <w:rFonts w:cs="Arial"/>
                <w:b/>
                <w:szCs w:val="22"/>
              </w:rPr>
              <w:t>BDT CHARTERED ACCOUNTANTS INC</w:t>
            </w:r>
          </w:p>
        </w:tc>
        <w:tc>
          <w:tcPr>
            <w:tcW w:w="2246" w:type="dxa"/>
          </w:tcPr>
          <w:p w14:paraId="548CDDDF" w14:textId="125A1942" w:rsidR="004C04F5" w:rsidRPr="009B1E0E" w:rsidRDefault="00A555DE" w:rsidP="00A555DE">
            <w:pPr>
              <w:spacing w:before="120" w:after="120"/>
              <w:rPr>
                <w:rFonts w:cs="Arial"/>
                <w:szCs w:val="22"/>
              </w:rPr>
            </w:pPr>
            <w:r w:rsidRPr="009B1E0E">
              <w:rPr>
                <w:rFonts w:cs="Arial"/>
                <w:szCs w:val="22"/>
              </w:rPr>
              <w:t>39</w:t>
            </w:r>
            <w:r w:rsidRPr="009B1E0E">
              <w:rPr>
                <w:rFonts w:cs="Arial"/>
                <w:szCs w:val="22"/>
                <w:vertAlign w:val="superscript"/>
              </w:rPr>
              <w:t>th</w:t>
            </w:r>
            <w:r w:rsidRPr="009B1E0E">
              <w:rPr>
                <w:rFonts w:cs="Arial"/>
                <w:szCs w:val="22"/>
              </w:rPr>
              <w:t xml:space="preserve"> Respondent</w:t>
            </w:r>
          </w:p>
        </w:tc>
      </w:tr>
    </w:tbl>
    <w:p w14:paraId="4D632D47" w14:textId="70CCEB16" w:rsidR="00F9202F" w:rsidRPr="009B1E0E" w:rsidRDefault="00F9202F" w:rsidP="006C43D7">
      <w:pPr>
        <w:pBdr>
          <w:bottom w:val="single" w:sz="4" w:space="1" w:color="auto"/>
        </w:pBdr>
        <w:spacing w:line="360" w:lineRule="auto"/>
        <w:jc w:val="both"/>
        <w:rPr>
          <w:rFonts w:cs="Arial"/>
          <w:szCs w:val="22"/>
        </w:rPr>
      </w:pPr>
    </w:p>
    <w:p w14:paraId="00639339" w14:textId="77777777" w:rsidR="00F9202F" w:rsidRPr="009B1E0E" w:rsidRDefault="00F9202F" w:rsidP="006C43D7">
      <w:pPr>
        <w:pBdr>
          <w:bottom w:val="single" w:sz="4" w:space="1" w:color="auto"/>
        </w:pBdr>
        <w:spacing w:line="360" w:lineRule="auto"/>
        <w:jc w:val="both"/>
        <w:rPr>
          <w:rFonts w:cs="Arial"/>
          <w:szCs w:val="22"/>
        </w:rPr>
      </w:pPr>
    </w:p>
    <w:p w14:paraId="64CFD117" w14:textId="77777777" w:rsidR="00CE6301" w:rsidRPr="009B1E0E" w:rsidRDefault="00CE6301" w:rsidP="006C43D7">
      <w:pPr>
        <w:pBdr>
          <w:bottom w:val="single" w:sz="4" w:space="1" w:color="auto"/>
        </w:pBdr>
        <w:spacing w:line="360" w:lineRule="auto"/>
        <w:jc w:val="both"/>
        <w:rPr>
          <w:rFonts w:cs="Arial"/>
          <w:szCs w:val="22"/>
        </w:rPr>
      </w:pPr>
    </w:p>
    <w:p w14:paraId="58DE5549" w14:textId="77777777" w:rsidR="006C43D7" w:rsidRPr="009B1E0E" w:rsidRDefault="006C43D7" w:rsidP="006C43D7">
      <w:pPr>
        <w:spacing w:line="276" w:lineRule="auto"/>
        <w:jc w:val="both"/>
        <w:rPr>
          <w:rFonts w:cs="Arial"/>
          <w:szCs w:val="22"/>
        </w:rPr>
      </w:pPr>
    </w:p>
    <w:p w14:paraId="647AB70C" w14:textId="77777777" w:rsidR="006C43D7" w:rsidRPr="009B1E0E" w:rsidRDefault="006C43D7" w:rsidP="006C43D7">
      <w:pPr>
        <w:keepNext/>
        <w:spacing w:line="276" w:lineRule="auto"/>
        <w:jc w:val="center"/>
        <w:outlineLvl w:val="1"/>
        <w:rPr>
          <w:rFonts w:cs="Arial"/>
          <w:b/>
          <w:bCs/>
          <w:szCs w:val="22"/>
        </w:rPr>
      </w:pPr>
      <w:r w:rsidRPr="009B1E0E">
        <w:rPr>
          <w:rFonts w:cs="Arial"/>
          <w:b/>
          <w:bCs/>
          <w:szCs w:val="22"/>
        </w:rPr>
        <w:t>JUDGMENT</w:t>
      </w:r>
    </w:p>
    <w:p w14:paraId="52CD25EB" w14:textId="77777777" w:rsidR="006C43D7" w:rsidRPr="009B1E0E" w:rsidRDefault="006C43D7" w:rsidP="006C43D7">
      <w:pPr>
        <w:pBdr>
          <w:bottom w:val="single" w:sz="4" w:space="1" w:color="auto"/>
        </w:pBdr>
        <w:jc w:val="both"/>
        <w:rPr>
          <w:rFonts w:cs="Arial"/>
          <w:szCs w:val="22"/>
        </w:rPr>
      </w:pPr>
    </w:p>
    <w:p w14:paraId="0CA76DA1" w14:textId="77777777" w:rsidR="00DC621D" w:rsidRPr="009B1E0E" w:rsidRDefault="00DC621D" w:rsidP="00DC621D">
      <w:pPr>
        <w:spacing w:line="480" w:lineRule="auto"/>
        <w:jc w:val="both"/>
        <w:rPr>
          <w:rFonts w:cs="Arial"/>
          <w:b/>
          <w:szCs w:val="22"/>
        </w:rPr>
      </w:pPr>
    </w:p>
    <w:p w14:paraId="5BD82EFE" w14:textId="60049279" w:rsidR="00BE6AB8" w:rsidRPr="009B1E0E" w:rsidRDefault="00C676F3" w:rsidP="00BE6AB8">
      <w:pPr>
        <w:spacing w:after="480" w:line="480" w:lineRule="auto"/>
        <w:jc w:val="both"/>
        <w:rPr>
          <w:rFonts w:cs="Arial"/>
          <w:b/>
          <w:szCs w:val="22"/>
        </w:rPr>
      </w:pPr>
      <w:r w:rsidRPr="009B1E0E">
        <w:rPr>
          <w:rFonts w:cs="Arial"/>
          <w:b/>
          <w:szCs w:val="22"/>
        </w:rPr>
        <w:t>MOORCROFT</w:t>
      </w:r>
      <w:r w:rsidR="006C43D7" w:rsidRPr="009B1E0E">
        <w:rPr>
          <w:rFonts w:cs="Arial"/>
          <w:b/>
          <w:szCs w:val="22"/>
        </w:rPr>
        <w:t xml:space="preserve"> AJ:</w:t>
      </w:r>
    </w:p>
    <w:p w14:paraId="09239A78" w14:textId="0B0FA989" w:rsidR="00C460A0" w:rsidRPr="009B1E0E" w:rsidRDefault="00C460A0" w:rsidP="00741603">
      <w:pPr>
        <w:keepNext/>
        <w:spacing w:before="120" w:after="120" w:line="360" w:lineRule="auto"/>
        <w:jc w:val="both"/>
        <w:rPr>
          <w:rFonts w:cs="Arial"/>
          <w:bCs/>
          <w:i/>
          <w:iCs/>
          <w:szCs w:val="22"/>
          <w:u w:val="single"/>
        </w:rPr>
      </w:pPr>
      <w:r w:rsidRPr="009B1E0E">
        <w:rPr>
          <w:rFonts w:cs="Arial"/>
          <w:bCs/>
          <w:i/>
          <w:iCs/>
          <w:szCs w:val="22"/>
          <w:u w:val="single"/>
        </w:rPr>
        <w:t>Summary</w:t>
      </w:r>
    </w:p>
    <w:p w14:paraId="0AC8BA4B" w14:textId="3700E513" w:rsidR="00741603" w:rsidRPr="009B1E0E" w:rsidRDefault="00741603" w:rsidP="00741603">
      <w:pPr>
        <w:keepNext/>
        <w:spacing w:before="120" w:after="120" w:line="360" w:lineRule="auto"/>
        <w:jc w:val="both"/>
        <w:rPr>
          <w:rFonts w:cs="Arial"/>
          <w:bCs/>
          <w:i/>
          <w:iCs/>
          <w:szCs w:val="22"/>
        </w:rPr>
      </w:pPr>
      <w:r w:rsidRPr="009B1E0E">
        <w:rPr>
          <w:rFonts w:cs="Arial"/>
          <w:bCs/>
          <w:i/>
          <w:iCs/>
          <w:szCs w:val="22"/>
        </w:rPr>
        <w:t>Application to set aside a resolution taken in terms of section 74 of the Companies Act, 71 of 2008 dismissed</w:t>
      </w:r>
    </w:p>
    <w:p w14:paraId="5FD734A0" w14:textId="408B31C3" w:rsidR="00741603" w:rsidRPr="009B1E0E" w:rsidRDefault="00741603" w:rsidP="00741603">
      <w:pPr>
        <w:keepNext/>
        <w:spacing w:before="120" w:after="120" w:line="360" w:lineRule="auto"/>
        <w:jc w:val="both"/>
        <w:rPr>
          <w:rFonts w:cs="Arial"/>
          <w:bCs/>
          <w:i/>
          <w:iCs/>
          <w:szCs w:val="22"/>
        </w:rPr>
      </w:pPr>
      <w:r w:rsidRPr="009B1E0E">
        <w:rPr>
          <w:rFonts w:cs="Arial"/>
          <w:bCs/>
          <w:i/>
          <w:iCs/>
          <w:szCs w:val="22"/>
        </w:rPr>
        <w:t>Application to have director declared delinquent dismissed</w:t>
      </w:r>
    </w:p>
    <w:p w14:paraId="72E791A2" w14:textId="178837F3" w:rsidR="00123566" w:rsidRPr="009B1E0E" w:rsidRDefault="00741603" w:rsidP="00741603">
      <w:pPr>
        <w:keepNext/>
        <w:spacing w:before="120" w:after="120" w:line="360" w:lineRule="auto"/>
        <w:jc w:val="both"/>
        <w:rPr>
          <w:rFonts w:cs="Arial"/>
          <w:bCs/>
          <w:i/>
          <w:iCs/>
          <w:szCs w:val="22"/>
        </w:rPr>
      </w:pPr>
      <w:r w:rsidRPr="009B1E0E">
        <w:rPr>
          <w:rFonts w:cs="Arial"/>
          <w:bCs/>
          <w:i/>
          <w:iCs/>
          <w:szCs w:val="22"/>
        </w:rPr>
        <w:t>Application granted to validate share issue of the year 2000 – Section 97 of the Companies Act, 61 of 1973</w:t>
      </w:r>
    </w:p>
    <w:p w14:paraId="0E8C390B" w14:textId="77777777" w:rsidR="00741603" w:rsidRPr="009B1E0E" w:rsidRDefault="00741603" w:rsidP="00295ACB">
      <w:pPr>
        <w:keepNext/>
        <w:widowControl w:val="0"/>
        <w:spacing w:after="480" w:line="480" w:lineRule="auto"/>
        <w:jc w:val="both"/>
        <w:rPr>
          <w:rFonts w:cs="Arial"/>
          <w:bCs/>
          <w:szCs w:val="22"/>
          <w:u w:val="single"/>
        </w:rPr>
      </w:pPr>
    </w:p>
    <w:p w14:paraId="18AFD427" w14:textId="122E1FF2" w:rsidR="00BE6AB8" w:rsidRPr="009B1E0E" w:rsidRDefault="00BE6AB8" w:rsidP="00295ACB">
      <w:pPr>
        <w:keepNext/>
        <w:widowControl w:val="0"/>
        <w:spacing w:after="480" w:line="480" w:lineRule="auto"/>
        <w:jc w:val="both"/>
        <w:rPr>
          <w:rFonts w:cs="Arial"/>
          <w:bCs/>
          <w:szCs w:val="22"/>
          <w:u w:val="single"/>
        </w:rPr>
      </w:pPr>
      <w:r w:rsidRPr="009B1E0E">
        <w:rPr>
          <w:rFonts w:cs="Arial"/>
          <w:bCs/>
          <w:szCs w:val="22"/>
          <w:u w:val="single"/>
        </w:rPr>
        <w:t>Order</w:t>
      </w:r>
    </w:p>
    <w:p w14:paraId="25A66E53" w14:textId="44420B7E" w:rsidR="00DC6EF8" w:rsidRPr="009B1E0E" w:rsidRDefault="00BE377D" w:rsidP="00BE377D">
      <w:pPr>
        <w:keepNext/>
        <w:widowControl w:val="0"/>
        <w:tabs>
          <w:tab w:val="left" w:pos="567"/>
        </w:tabs>
        <w:spacing w:after="480" w:line="480" w:lineRule="auto"/>
        <w:jc w:val="both"/>
        <w:rPr>
          <w:rFonts w:cs="Arial"/>
          <w:bCs/>
          <w:i/>
          <w:iCs/>
          <w:szCs w:val="22"/>
        </w:rPr>
      </w:pPr>
      <w:r w:rsidRPr="009B1E0E">
        <w:rPr>
          <w:rFonts w:cs="Arial"/>
          <w:bCs/>
          <w:iCs/>
          <w:szCs w:val="22"/>
        </w:rPr>
        <w:t>[1]</w:t>
      </w:r>
      <w:r w:rsidRPr="009B1E0E">
        <w:rPr>
          <w:rFonts w:cs="Arial"/>
          <w:bCs/>
          <w:iCs/>
          <w:szCs w:val="22"/>
        </w:rPr>
        <w:tab/>
      </w:r>
      <w:r w:rsidR="003B4100" w:rsidRPr="009B1E0E">
        <w:rPr>
          <w:rFonts w:cs="Arial"/>
          <w:bCs/>
          <w:szCs w:val="22"/>
        </w:rPr>
        <w:t xml:space="preserve">In this </w:t>
      </w:r>
      <w:r w:rsidR="00B56906" w:rsidRPr="009B1E0E">
        <w:rPr>
          <w:rFonts w:cs="Arial"/>
          <w:bCs/>
          <w:szCs w:val="22"/>
        </w:rPr>
        <w:t xml:space="preserve">matter </w:t>
      </w:r>
      <w:r w:rsidR="00C460A0" w:rsidRPr="009B1E0E">
        <w:rPr>
          <w:rFonts w:cs="Arial"/>
          <w:bCs/>
          <w:szCs w:val="22"/>
        </w:rPr>
        <w:t>I ma</w:t>
      </w:r>
      <w:r w:rsidR="00DF5291" w:rsidRPr="009B1E0E">
        <w:rPr>
          <w:rFonts w:cs="Arial"/>
          <w:bCs/>
          <w:szCs w:val="22"/>
        </w:rPr>
        <w:t>k</w:t>
      </w:r>
      <w:r w:rsidR="00DC6EF8" w:rsidRPr="009B1E0E">
        <w:rPr>
          <w:rFonts w:cs="Arial"/>
          <w:bCs/>
          <w:szCs w:val="22"/>
        </w:rPr>
        <w:t>e</w:t>
      </w:r>
      <w:r w:rsidR="00C460A0" w:rsidRPr="009B1E0E">
        <w:rPr>
          <w:rFonts w:cs="Arial"/>
          <w:bCs/>
          <w:szCs w:val="22"/>
        </w:rPr>
        <w:t xml:space="preserve"> the following order:</w:t>
      </w:r>
    </w:p>
    <w:p w14:paraId="4A33AABB" w14:textId="2B6B08EC" w:rsidR="00D80777" w:rsidRPr="00BE377D" w:rsidRDefault="00BE377D" w:rsidP="00BE377D">
      <w:pPr>
        <w:spacing w:before="120" w:after="120"/>
        <w:ind w:left="360" w:hanging="360"/>
        <w:jc w:val="both"/>
        <w:rPr>
          <w:rFonts w:cs="Arial"/>
          <w:i/>
          <w:iCs/>
          <w:szCs w:val="22"/>
        </w:rPr>
      </w:pPr>
      <w:r w:rsidRPr="009B1E0E">
        <w:rPr>
          <w:rFonts w:cs="Arial"/>
          <w:i/>
          <w:iCs/>
          <w:szCs w:val="22"/>
        </w:rPr>
        <w:t>1.</w:t>
      </w:r>
      <w:r w:rsidRPr="009B1E0E">
        <w:rPr>
          <w:rFonts w:cs="Arial"/>
          <w:i/>
          <w:iCs/>
          <w:szCs w:val="22"/>
        </w:rPr>
        <w:tab/>
      </w:r>
      <w:r w:rsidR="00D80777" w:rsidRPr="00BE377D">
        <w:rPr>
          <w:rFonts w:cs="Arial"/>
          <w:i/>
          <w:iCs/>
          <w:szCs w:val="22"/>
        </w:rPr>
        <w:t>The 1</w:t>
      </w:r>
      <w:r w:rsidR="00D80777" w:rsidRPr="00BE377D">
        <w:rPr>
          <w:rFonts w:cs="Arial"/>
          <w:i/>
          <w:iCs/>
          <w:szCs w:val="22"/>
          <w:vertAlign w:val="superscript"/>
        </w:rPr>
        <w:t>st</w:t>
      </w:r>
      <w:r w:rsidR="00D80777" w:rsidRPr="00BE377D">
        <w:rPr>
          <w:rFonts w:cs="Arial"/>
          <w:i/>
          <w:iCs/>
          <w:szCs w:val="22"/>
        </w:rPr>
        <w:t xml:space="preserve">  to 10</w:t>
      </w:r>
      <w:r w:rsidR="00D80777" w:rsidRPr="00BE377D">
        <w:rPr>
          <w:rFonts w:cs="Arial"/>
          <w:i/>
          <w:iCs/>
          <w:szCs w:val="22"/>
          <w:vertAlign w:val="superscript"/>
        </w:rPr>
        <w:t>th</w:t>
      </w:r>
      <w:r w:rsidR="00D80777" w:rsidRPr="00BE377D">
        <w:rPr>
          <w:rFonts w:cs="Arial"/>
          <w:i/>
          <w:iCs/>
          <w:szCs w:val="22"/>
        </w:rPr>
        <w:t xml:space="preserve">  Respondents’ application for the joinder of 14</w:t>
      </w:r>
      <w:r w:rsidR="00D80777" w:rsidRPr="00BE377D">
        <w:rPr>
          <w:rFonts w:cs="Arial"/>
          <w:i/>
          <w:iCs/>
          <w:szCs w:val="22"/>
          <w:vertAlign w:val="superscript"/>
        </w:rPr>
        <w:t>th</w:t>
      </w:r>
      <w:r w:rsidR="00D80777" w:rsidRPr="00BE377D">
        <w:rPr>
          <w:rFonts w:cs="Arial"/>
          <w:i/>
          <w:iCs/>
          <w:szCs w:val="22"/>
        </w:rPr>
        <w:t xml:space="preserve"> to 17</w:t>
      </w:r>
      <w:r w:rsidR="00D80777" w:rsidRPr="00BE377D">
        <w:rPr>
          <w:rFonts w:cs="Arial"/>
          <w:i/>
          <w:iCs/>
          <w:szCs w:val="22"/>
          <w:vertAlign w:val="superscript"/>
        </w:rPr>
        <w:t>th</w:t>
      </w:r>
      <w:r w:rsidR="00D80777" w:rsidRPr="00BE377D">
        <w:rPr>
          <w:rFonts w:cs="Arial"/>
          <w:i/>
          <w:iCs/>
          <w:szCs w:val="22"/>
        </w:rPr>
        <w:t>, and the 19</w:t>
      </w:r>
      <w:r w:rsidR="00D80777" w:rsidRPr="00BE377D">
        <w:rPr>
          <w:rFonts w:cs="Arial"/>
          <w:i/>
          <w:iCs/>
          <w:szCs w:val="22"/>
          <w:vertAlign w:val="superscript"/>
        </w:rPr>
        <w:t>th</w:t>
      </w:r>
      <w:r w:rsidR="00D80777" w:rsidRPr="00BE377D">
        <w:rPr>
          <w:rFonts w:cs="Arial"/>
          <w:i/>
          <w:iCs/>
          <w:szCs w:val="22"/>
        </w:rPr>
        <w:t xml:space="preserve"> to 38</w:t>
      </w:r>
      <w:r w:rsidR="00D80777" w:rsidRPr="00BE377D">
        <w:rPr>
          <w:rFonts w:cs="Arial"/>
          <w:i/>
          <w:iCs/>
          <w:szCs w:val="22"/>
          <w:vertAlign w:val="superscript"/>
        </w:rPr>
        <w:t>th</w:t>
      </w:r>
      <w:r w:rsidR="00D80777" w:rsidRPr="00BE377D">
        <w:rPr>
          <w:rFonts w:cs="Arial"/>
          <w:i/>
          <w:iCs/>
          <w:szCs w:val="22"/>
        </w:rPr>
        <w:t xml:space="preserve"> Respondents as co-respondents in the counter application is granted;</w:t>
      </w:r>
    </w:p>
    <w:p w14:paraId="45FF484F" w14:textId="2072FA51" w:rsidR="00D80777" w:rsidRPr="00BE377D" w:rsidRDefault="00BE377D" w:rsidP="00BE377D">
      <w:pPr>
        <w:spacing w:before="120" w:after="120"/>
        <w:ind w:left="360" w:hanging="360"/>
        <w:jc w:val="both"/>
        <w:rPr>
          <w:rFonts w:cs="Arial"/>
          <w:i/>
          <w:iCs/>
          <w:szCs w:val="22"/>
        </w:rPr>
      </w:pPr>
      <w:r w:rsidRPr="009B1E0E">
        <w:rPr>
          <w:rFonts w:cs="Arial"/>
          <w:i/>
          <w:iCs/>
          <w:szCs w:val="22"/>
        </w:rPr>
        <w:lastRenderedPageBreak/>
        <w:t>2.</w:t>
      </w:r>
      <w:r w:rsidRPr="009B1E0E">
        <w:rPr>
          <w:rFonts w:cs="Arial"/>
          <w:i/>
          <w:iCs/>
          <w:szCs w:val="22"/>
        </w:rPr>
        <w:tab/>
      </w:r>
      <w:r w:rsidR="00D80777" w:rsidRPr="00BE377D">
        <w:rPr>
          <w:rFonts w:cs="Arial"/>
          <w:i/>
          <w:iCs/>
          <w:szCs w:val="22"/>
        </w:rPr>
        <w:t>The 1</w:t>
      </w:r>
      <w:r w:rsidR="00D80777" w:rsidRPr="00BE377D">
        <w:rPr>
          <w:rFonts w:cs="Arial"/>
          <w:i/>
          <w:iCs/>
          <w:szCs w:val="22"/>
          <w:vertAlign w:val="superscript"/>
        </w:rPr>
        <w:t>st</w:t>
      </w:r>
      <w:r w:rsidR="00D80777" w:rsidRPr="00BE377D">
        <w:rPr>
          <w:rFonts w:cs="Arial"/>
          <w:i/>
          <w:iCs/>
          <w:szCs w:val="22"/>
        </w:rPr>
        <w:t xml:space="preserve"> and the 3</w:t>
      </w:r>
      <w:r w:rsidR="00D80777" w:rsidRPr="00BE377D">
        <w:rPr>
          <w:rFonts w:cs="Arial"/>
          <w:i/>
          <w:iCs/>
          <w:szCs w:val="22"/>
          <w:vertAlign w:val="superscript"/>
        </w:rPr>
        <w:t>rd</w:t>
      </w:r>
      <w:r w:rsidR="00D80777" w:rsidRPr="00BE377D">
        <w:rPr>
          <w:rFonts w:cs="Arial"/>
          <w:i/>
          <w:iCs/>
          <w:szCs w:val="22"/>
        </w:rPr>
        <w:t xml:space="preserve"> to 8</w:t>
      </w:r>
      <w:r w:rsidR="00D80777" w:rsidRPr="00BE377D">
        <w:rPr>
          <w:rFonts w:cs="Arial"/>
          <w:i/>
          <w:iCs/>
          <w:szCs w:val="22"/>
          <w:vertAlign w:val="superscript"/>
        </w:rPr>
        <w:t>th</w:t>
      </w:r>
      <w:r w:rsidR="00D80777" w:rsidRPr="00BE377D">
        <w:rPr>
          <w:rFonts w:cs="Arial"/>
          <w:i/>
          <w:iCs/>
          <w:szCs w:val="22"/>
        </w:rPr>
        <w:t xml:space="preserve"> Respondents’ application to amend the relief sought in the counter application to include that relating to the directors’ share issue referred to below, is granted;</w:t>
      </w:r>
    </w:p>
    <w:p w14:paraId="44F8DEF9" w14:textId="79BD4FF0" w:rsidR="00D80777" w:rsidRPr="00BE377D" w:rsidRDefault="00BE377D" w:rsidP="00BE377D">
      <w:pPr>
        <w:spacing w:before="120" w:after="120"/>
        <w:ind w:left="360" w:hanging="360"/>
        <w:jc w:val="both"/>
        <w:rPr>
          <w:rFonts w:cs="Arial"/>
          <w:i/>
          <w:iCs/>
          <w:szCs w:val="22"/>
        </w:rPr>
      </w:pPr>
      <w:r w:rsidRPr="009B1E0E">
        <w:rPr>
          <w:rFonts w:cs="Arial"/>
          <w:i/>
          <w:iCs/>
          <w:szCs w:val="22"/>
        </w:rPr>
        <w:t>3.</w:t>
      </w:r>
      <w:r w:rsidRPr="009B1E0E">
        <w:rPr>
          <w:rFonts w:cs="Arial"/>
          <w:i/>
          <w:iCs/>
          <w:szCs w:val="22"/>
        </w:rPr>
        <w:tab/>
      </w:r>
      <w:r w:rsidR="00D80777" w:rsidRPr="00BE377D">
        <w:rPr>
          <w:rFonts w:cs="Arial"/>
          <w:i/>
          <w:iCs/>
          <w:szCs w:val="22"/>
        </w:rPr>
        <w:t>The 1</w:t>
      </w:r>
      <w:r w:rsidR="00D80777" w:rsidRPr="00BE377D">
        <w:rPr>
          <w:rFonts w:cs="Arial"/>
          <w:i/>
          <w:iCs/>
          <w:szCs w:val="22"/>
          <w:vertAlign w:val="superscript"/>
        </w:rPr>
        <w:t>st</w:t>
      </w:r>
      <w:r w:rsidR="00D80777" w:rsidRPr="00BE377D">
        <w:rPr>
          <w:rFonts w:cs="Arial"/>
          <w:i/>
          <w:iCs/>
          <w:szCs w:val="22"/>
        </w:rPr>
        <w:t xml:space="preserve"> and 3</w:t>
      </w:r>
      <w:r w:rsidR="00D80777" w:rsidRPr="00BE377D">
        <w:rPr>
          <w:rFonts w:cs="Arial"/>
          <w:i/>
          <w:iCs/>
          <w:szCs w:val="22"/>
          <w:vertAlign w:val="superscript"/>
        </w:rPr>
        <w:t>rd</w:t>
      </w:r>
      <w:r w:rsidR="00D80777" w:rsidRPr="00BE377D">
        <w:rPr>
          <w:rFonts w:cs="Arial"/>
          <w:i/>
          <w:iCs/>
          <w:szCs w:val="22"/>
        </w:rPr>
        <w:t xml:space="preserve"> to eighth Respondents’ application to raise new matter in their replying affidavit, and to deliver a further replying affidavit, in the counter-application, is granted;</w:t>
      </w:r>
    </w:p>
    <w:p w14:paraId="33DA67FC" w14:textId="1C91735B" w:rsidR="00D80777" w:rsidRPr="00BE377D" w:rsidRDefault="00BE377D" w:rsidP="00BE377D">
      <w:pPr>
        <w:spacing w:before="120" w:after="120"/>
        <w:ind w:left="360" w:hanging="360"/>
        <w:jc w:val="both"/>
        <w:rPr>
          <w:rFonts w:cs="Arial"/>
          <w:i/>
          <w:iCs/>
          <w:szCs w:val="22"/>
        </w:rPr>
      </w:pPr>
      <w:r w:rsidRPr="009B1E0E">
        <w:rPr>
          <w:rFonts w:cs="Arial"/>
          <w:i/>
          <w:iCs/>
          <w:szCs w:val="22"/>
        </w:rPr>
        <w:t>4.</w:t>
      </w:r>
      <w:r w:rsidRPr="009B1E0E">
        <w:rPr>
          <w:rFonts w:cs="Arial"/>
          <w:i/>
          <w:iCs/>
          <w:szCs w:val="22"/>
        </w:rPr>
        <w:tab/>
      </w:r>
      <w:r w:rsidR="00D80777" w:rsidRPr="00BE377D">
        <w:rPr>
          <w:rFonts w:cs="Arial"/>
          <w:i/>
          <w:iCs/>
          <w:szCs w:val="22"/>
        </w:rPr>
        <w:t>The 1</w:t>
      </w:r>
      <w:r w:rsidR="00D80777" w:rsidRPr="00BE377D">
        <w:rPr>
          <w:rFonts w:cs="Arial"/>
          <w:i/>
          <w:iCs/>
          <w:szCs w:val="22"/>
          <w:vertAlign w:val="superscript"/>
        </w:rPr>
        <w:t>st</w:t>
      </w:r>
      <w:r w:rsidR="00D80777" w:rsidRPr="00BE377D">
        <w:rPr>
          <w:rFonts w:cs="Arial"/>
          <w:i/>
          <w:iCs/>
          <w:szCs w:val="22"/>
        </w:rPr>
        <w:t xml:space="preserve">  and 3</w:t>
      </w:r>
      <w:r w:rsidR="00D80777" w:rsidRPr="00BE377D">
        <w:rPr>
          <w:rFonts w:cs="Arial"/>
          <w:i/>
          <w:iCs/>
          <w:szCs w:val="22"/>
          <w:vertAlign w:val="superscript"/>
        </w:rPr>
        <w:t>rd</w:t>
      </w:r>
      <w:r w:rsidR="00D80777" w:rsidRPr="00BE377D">
        <w:rPr>
          <w:rFonts w:cs="Arial"/>
          <w:i/>
          <w:iCs/>
          <w:szCs w:val="22"/>
        </w:rPr>
        <w:t xml:space="preserve">  to 8</w:t>
      </w:r>
      <w:r w:rsidR="00D80777" w:rsidRPr="00BE377D">
        <w:rPr>
          <w:rFonts w:cs="Arial"/>
          <w:i/>
          <w:iCs/>
          <w:szCs w:val="22"/>
          <w:vertAlign w:val="superscript"/>
        </w:rPr>
        <w:t>th</w:t>
      </w:r>
      <w:r w:rsidR="00D80777" w:rsidRPr="00BE377D">
        <w:rPr>
          <w:rFonts w:cs="Arial"/>
          <w:i/>
          <w:iCs/>
          <w:szCs w:val="22"/>
        </w:rPr>
        <w:t xml:space="preserve">  Respondents’ application to file a supplementary answering affidavit, in response to the </w:t>
      </w:r>
      <w:r w:rsidR="00741603" w:rsidRPr="00BE377D">
        <w:rPr>
          <w:rFonts w:cs="Arial"/>
          <w:i/>
          <w:iCs/>
          <w:szCs w:val="22"/>
        </w:rPr>
        <w:t>1</w:t>
      </w:r>
      <w:r w:rsidR="00741603" w:rsidRPr="00BE377D">
        <w:rPr>
          <w:rFonts w:cs="Arial"/>
          <w:i/>
          <w:iCs/>
          <w:szCs w:val="22"/>
          <w:vertAlign w:val="superscript"/>
        </w:rPr>
        <w:t>st</w:t>
      </w:r>
      <w:r w:rsidR="00D80777" w:rsidRPr="00BE377D">
        <w:rPr>
          <w:rFonts w:cs="Arial"/>
          <w:i/>
          <w:iCs/>
          <w:szCs w:val="22"/>
        </w:rPr>
        <w:t xml:space="preserve"> to </w:t>
      </w:r>
      <w:r w:rsidR="00741603" w:rsidRPr="00BE377D">
        <w:rPr>
          <w:rFonts w:cs="Arial"/>
          <w:i/>
          <w:iCs/>
          <w:szCs w:val="22"/>
        </w:rPr>
        <w:t>8</w:t>
      </w:r>
      <w:r w:rsidR="00741603" w:rsidRPr="00BE377D">
        <w:rPr>
          <w:rFonts w:cs="Arial"/>
          <w:i/>
          <w:iCs/>
          <w:szCs w:val="22"/>
          <w:vertAlign w:val="superscript"/>
        </w:rPr>
        <w:t>th</w:t>
      </w:r>
      <w:r w:rsidR="00D80777" w:rsidRPr="00BE377D">
        <w:rPr>
          <w:rFonts w:cs="Arial"/>
          <w:i/>
          <w:iCs/>
          <w:szCs w:val="22"/>
        </w:rPr>
        <w:t xml:space="preserve"> Applicants’ application in terms of section 97 of the Companies Act, 61 of 1973 (“the old Companies Act”), is granted;</w:t>
      </w:r>
    </w:p>
    <w:p w14:paraId="75F62CF7" w14:textId="6CB74123" w:rsidR="00D80777" w:rsidRPr="00BE377D" w:rsidRDefault="00BE377D" w:rsidP="00BE377D">
      <w:pPr>
        <w:spacing w:before="120" w:after="120"/>
        <w:ind w:left="360" w:hanging="360"/>
        <w:jc w:val="both"/>
        <w:rPr>
          <w:rFonts w:cs="Arial"/>
          <w:i/>
          <w:iCs/>
          <w:szCs w:val="22"/>
        </w:rPr>
      </w:pPr>
      <w:r w:rsidRPr="009B1E0E">
        <w:rPr>
          <w:rFonts w:cs="Arial"/>
          <w:i/>
          <w:iCs/>
          <w:szCs w:val="22"/>
        </w:rPr>
        <w:t>5.</w:t>
      </w:r>
      <w:r w:rsidRPr="009B1E0E">
        <w:rPr>
          <w:rFonts w:cs="Arial"/>
          <w:i/>
          <w:iCs/>
          <w:szCs w:val="22"/>
        </w:rPr>
        <w:tab/>
      </w:r>
      <w:r w:rsidR="00D80777" w:rsidRPr="00BE377D">
        <w:rPr>
          <w:rFonts w:cs="Arial"/>
          <w:i/>
          <w:iCs/>
          <w:szCs w:val="22"/>
        </w:rPr>
        <w:t>The 1</w:t>
      </w:r>
      <w:r w:rsidR="00D80777" w:rsidRPr="00BE377D">
        <w:rPr>
          <w:rFonts w:cs="Arial"/>
          <w:i/>
          <w:iCs/>
          <w:szCs w:val="22"/>
          <w:vertAlign w:val="superscript"/>
        </w:rPr>
        <w:t>st</w:t>
      </w:r>
      <w:r w:rsidR="00D80777" w:rsidRPr="00BE377D">
        <w:rPr>
          <w:rFonts w:cs="Arial"/>
          <w:i/>
          <w:iCs/>
          <w:szCs w:val="22"/>
        </w:rPr>
        <w:t xml:space="preserve"> Respondent’s application for leave and authority to counter-apply for the relief relating to the directors’ share issue is granted</w:t>
      </w:r>
      <w:r w:rsidR="00F40145" w:rsidRPr="00BE377D">
        <w:rPr>
          <w:rFonts w:cs="Arial"/>
          <w:i/>
          <w:iCs/>
          <w:szCs w:val="22"/>
        </w:rPr>
        <w:t>;</w:t>
      </w:r>
    </w:p>
    <w:p w14:paraId="10BDD522" w14:textId="5076B33C" w:rsidR="00F1543D" w:rsidRPr="00BE377D" w:rsidRDefault="00BE377D" w:rsidP="00BE377D">
      <w:pPr>
        <w:spacing w:before="120" w:after="120"/>
        <w:ind w:left="360" w:hanging="360"/>
        <w:jc w:val="both"/>
        <w:rPr>
          <w:rFonts w:cs="Arial"/>
          <w:i/>
          <w:iCs/>
          <w:szCs w:val="22"/>
        </w:rPr>
      </w:pPr>
      <w:r w:rsidRPr="009B1E0E">
        <w:rPr>
          <w:rFonts w:cs="Arial"/>
          <w:i/>
          <w:iCs/>
          <w:szCs w:val="22"/>
        </w:rPr>
        <w:t>6.</w:t>
      </w:r>
      <w:r w:rsidRPr="009B1E0E">
        <w:rPr>
          <w:rFonts w:cs="Arial"/>
          <w:i/>
          <w:iCs/>
          <w:szCs w:val="22"/>
        </w:rPr>
        <w:tab/>
      </w:r>
      <w:r w:rsidR="00822328" w:rsidRPr="00BE377D">
        <w:rPr>
          <w:rFonts w:cs="Arial"/>
          <w:i/>
          <w:iCs/>
          <w:szCs w:val="22"/>
        </w:rPr>
        <w:t xml:space="preserve">The main application by the </w:t>
      </w:r>
      <w:r w:rsidR="00ED0EE3" w:rsidRPr="00BE377D">
        <w:rPr>
          <w:rFonts w:cs="Arial"/>
          <w:i/>
          <w:iCs/>
          <w:szCs w:val="22"/>
        </w:rPr>
        <w:t>Applicants</w:t>
      </w:r>
      <w:r w:rsidR="00822328" w:rsidRPr="00BE377D">
        <w:rPr>
          <w:rFonts w:cs="Arial"/>
          <w:i/>
          <w:iCs/>
          <w:szCs w:val="22"/>
        </w:rPr>
        <w:t>:</w:t>
      </w:r>
    </w:p>
    <w:p w14:paraId="4D5178D2" w14:textId="05B05B45" w:rsidR="00F1543D" w:rsidRPr="00BE377D" w:rsidRDefault="00BE377D" w:rsidP="00BE377D">
      <w:pPr>
        <w:spacing w:before="120" w:after="120"/>
        <w:ind w:left="792" w:hanging="432"/>
        <w:jc w:val="both"/>
        <w:rPr>
          <w:rFonts w:cs="Arial"/>
          <w:i/>
          <w:iCs/>
          <w:szCs w:val="22"/>
        </w:rPr>
      </w:pPr>
      <w:r w:rsidRPr="009B1E0E">
        <w:rPr>
          <w:rFonts w:cs="Arial"/>
          <w:i/>
          <w:iCs/>
          <w:szCs w:val="22"/>
        </w:rPr>
        <w:t>6.1.</w:t>
      </w:r>
      <w:r w:rsidRPr="009B1E0E">
        <w:rPr>
          <w:rFonts w:cs="Arial"/>
          <w:i/>
          <w:iCs/>
          <w:szCs w:val="22"/>
        </w:rPr>
        <w:tab/>
      </w:r>
      <w:r w:rsidR="00822328" w:rsidRPr="00BE377D">
        <w:rPr>
          <w:rFonts w:cs="Arial"/>
          <w:i/>
          <w:iCs/>
          <w:szCs w:val="22"/>
        </w:rPr>
        <w:t>The application is dismissed;</w:t>
      </w:r>
    </w:p>
    <w:p w14:paraId="293BB96D" w14:textId="7176B417" w:rsidR="00822328" w:rsidRPr="00BE377D" w:rsidRDefault="00BE377D" w:rsidP="00BE377D">
      <w:pPr>
        <w:spacing w:before="120" w:after="120"/>
        <w:ind w:left="792" w:hanging="432"/>
        <w:jc w:val="both"/>
        <w:rPr>
          <w:rFonts w:cs="Arial"/>
          <w:i/>
          <w:iCs/>
          <w:szCs w:val="22"/>
        </w:rPr>
      </w:pPr>
      <w:r w:rsidRPr="009B1E0E">
        <w:rPr>
          <w:rFonts w:cs="Arial"/>
          <w:i/>
          <w:iCs/>
          <w:szCs w:val="22"/>
        </w:rPr>
        <w:t>6.2.</w:t>
      </w:r>
      <w:r w:rsidRPr="009B1E0E">
        <w:rPr>
          <w:rFonts w:cs="Arial"/>
          <w:i/>
          <w:iCs/>
          <w:szCs w:val="22"/>
        </w:rPr>
        <w:tab/>
      </w:r>
      <w:r w:rsidR="00822328" w:rsidRPr="00BE377D">
        <w:rPr>
          <w:rFonts w:cs="Arial"/>
          <w:i/>
          <w:iCs/>
          <w:szCs w:val="22"/>
        </w:rPr>
        <w:t xml:space="preserve">The </w:t>
      </w:r>
      <w:r w:rsidR="00ED0EE3" w:rsidRPr="00BE377D">
        <w:rPr>
          <w:rFonts w:cs="Arial"/>
          <w:i/>
          <w:iCs/>
          <w:szCs w:val="22"/>
        </w:rPr>
        <w:t xml:space="preserve">Applicants </w:t>
      </w:r>
      <w:r w:rsidR="00822328" w:rsidRPr="00BE377D">
        <w:rPr>
          <w:rFonts w:cs="Arial"/>
          <w:i/>
          <w:iCs/>
          <w:szCs w:val="22"/>
        </w:rPr>
        <w:t>are ordered to pay the costs of the application, including the costs of two counsel where so employed, jointly and severally the one paying the other to be absolved;</w:t>
      </w:r>
    </w:p>
    <w:p w14:paraId="73653D69" w14:textId="2EA4EF51" w:rsidR="00741603" w:rsidRPr="00BE377D" w:rsidRDefault="00BE377D" w:rsidP="00BE377D">
      <w:pPr>
        <w:spacing w:before="120" w:after="120"/>
        <w:ind w:left="360" w:hanging="360"/>
        <w:jc w:val="both"/>
        <w:rPr>
          <w:rFonts w:cs="Arial"/>
          <w:i/>
          <w:iCs/>
          <w:szCs w:val="22"/>
        </w:rPr>
      </w:pPr>
      <w:r w:rsidRPr="009B1E0E">
        <w:rPr>
          <w:rFonts w:cs="Arial"/>
          <w:i/>
          <w:iCs/>
          <w:szCs w:val="22"/>
        </w:rPr>
        <w:t>7.</w:t>
      </w:r>
      <w:r w:rsidRPr="009B1E0E">
        <w:rPr>
          <w:rFonts w:cs="Arial"/>
          <w:i/>
          <w:iCs/>
          <w:szCs w:val="22"/>
        </w:rPr>
        <w:tab/>
      </w:r>
      <w:r w:rsidR="00741603" w:rsidRPr="00BE377D">
        <w:rPr>
          <w:rFonts w:cs="Arial"/>
          <w:i/>
          <w:iCs/>
          <w:szCs w:val="22"/>
        </w:rPr>
        <w:t>The main counter-application by the 1</w:t>
      </w:r>
      <w:r w:rsidR="00741603" w:rsidRPr="00BE377D">
        <w:rPr>
          <w:rFonts w:cs="Arial"/>
          <w:i/>
          <w:iCs/>
          <w:szCs w:val="22"/>
          <w:vertAlign w:val="superscript"/>
        </w:rPr>
        <w:t>st</w:t>
      </w:r>
      <w:r w:rsidR="00741603" w:rsidRPr="00BE377D">
        <w:rPr>
          <w:rFonts w:cs="Arial"/>
          <w:i/>
          <w:iCs/>
          <w:szCs w:val="22"/>
        </w:rPr>
        <w:t xml:space="preserve"> to 10</w:t>
      </w:r>
      <w:r w:rsidR="00741603" w:rsidRPr="00BE377D">
        <w:rPr>
          <w:rFonts w:cs="Arial"/>
          <w:i/>
          <w:iCs/>
          <w:szCs w:val="22"/>
          <w:vertAlign w:val="superscript"/>
        </w:rPr>
        <w:t>th</w:t>
      </w:r>
      <w:r w:rsidR="00741603" w:rsidRPr="00BE377D">
        <w:rPr>
          <w:rFonts w:cs="Arial"/>
          <w:i/>
          <w:iCs/>
          <w:szCs w:val="22"/>
        </w:rPr>
        <w:t xml:space="preserve"> Respondents for orders in terms of section 162 and 163 of the Companies Act:</w:t>
      </w:r>
    </w:p>
    <w:p w14:paraId="0DF1DA43" w14:textId="3CF01873" w:rsidR="00741603" w:rsidRPr="00BE377D" w:rsidRDefault="00BE377D" w:rsidP="00BE377D">
      <w:pPr>
        <w:spacing w:before="120" w:after="120"/>
        <w:ind w:left="792" w:hanging="432"/>
        <w:jc w:val="both"/>
        <w:rPr>
          <w:rFonts w:cs="Arial"/>
          <w:i/>
          <w:iCs/>
          <w:szCs w:val="22"/>
        </w:rPr>
      </w:pPr>
      <w:r w:rsidRPr="009B1E0E">
        <w:rPr>
          <w:rFonts w:cs="Arial"/>
          <w:i/>
          <w:iCs/>
          <w:szCs w:val="22"/>
        </w:rPr>
        <w:t>7.1.</w:t>
      </w:r>
      <w:r w:rsidRPr="009B1E0E">
        <w:rPr>
          <w:rFonts w:cs="Arial"/>
          <w:i/>
          <w:iCs/>
          <w:szCs w:val="22"/>
        </w:rPr>
        <w:tab/>
      </w:r>
      <w:r w:rsidR="00741603" w:rsidRPr="00BE377D">
        <w:rPr>
          <w:rFonts w:cs="Arial"/>
          <w:i/>
          <w:iCs/>
          <w:szCs w:val="22"/>
        </w:rPr>
        <w:t>The application is dismissed;</w:t>
      </w:r>
    </w:p>
    <w:p w14:paraId="124EEC39" w14:textId="6B7C4EF7" w:rsidR="00741603" w:rsidRPr="00BE377D" w:rsidRDefault="00BE377D" w:rsidP="00BE377D">
      <w:pPr>
        <w:spacing w:before="120" w:after="120"/>
        <w:ind w:left="792" w:hanging="432"/>
        <w:jc w:val="both"/>
        <w:rPr>
          <w:rFonts w:cs="Arial"/>
          <w:i/>
          <w:iCs/>
          <w:szCs w:val="22"/>
        </w:rPr>
      </w:pPr>
      <w:r w:rsidRPr="009B1E0E">
        <w:rPr>
          <w:rFonts w:cs="Arial"/>
          <w:i/>
          <w:iCs/>
          <w:szCs w:val="22"/>
        </w:rPr>
        <w:t>7.2.</w:t>
      </w:r>
      <w:r w:rsidRPr="009B1E0E">
        <w:rPr>
          <w:rFonts w:cs="Arial"/>
          <w:i/>
          <w:iCs/>
          <w:szCs w:val="22"/>
        </w:rPr>
        <w:tab/>
      </w:r>
      <w:r w:rsidR="00741603" w:rsidRPr="00BE377D">
        <w:rPr>
          <w:rFonts w:cs="Arial"/>
          <w:i/>
          <w:iCs/>
          <w:szCs w:val="22"/>
        </w:rPr>
        <w:t>The 1</w:t>
      </w:r>
      <w:r w:rsidR="00741603" w:rsidRPr="00BE377D">
        <w:rPr>
          <w:rFonts w:cs="Arial"/>
          <w:i/>
          <w:iCs/>
          <w:szCs w:val="22"/>
          <w:vertAlign w:val="superscript"/>
        </w:rPr>
        <w:t>st</w:t>
      </w:r>
      <w:r w:rsidR="00741603" w:rsidRPr="00BE377D">
        <w:rPr>
          <w:rFonts w:cs="Arial"/>
          <w:i/>
          <w:iCs/>
          <w:szCs w:val="22"/>
        </w:rPr>
        <w:t xml:space="preserve"> to 10</w:t>
      </w:r>
      <w:r w:rsidR="00741603" w:rsidRPr="00BE377D">
        <w:rPr>
          <w:rFonts w:cs="Arial"/>
          <w:i/>
          <w:iCs/>
          <w:szCs w:val="22"/>
          <w:vertAlign w:val="superscript"/>
        </w:rPr>
        <w:t>th</w:t>
      </w:r>
      <w:r w:rsidR="00741603" w:rsidRPr="00BE377D">
        <w:rPr>
          <w:rFonts w:cs="Arial"/>
          <w:i/>
          <w:iCs/>
          <w:szCs w:val="22"/>
        </w:rPr>
        <w:t xml:space="preserve"> Respondents are ordered to pay the costs of the application, including the costs of two counsel where so employed, jointly and severally the one paying the other to be absolved.</w:t>
      </w:r>
    </w:p>
    <w:p w14:paraId="4A21D539" w14:textId="1777A357" w:rsidR="00822328" w:rsidRPr="00BE377D" w:rsidRDefault="00BE377D" w:rsidP="00BE377D">
      <w:pPr>
        <w:spacing w:before="120" w:after="120"/>
        <w:ind w:left="360" w:hanging="360"/>
        <w:jc w:val="both"/>
        <w:rPr>
          <w:rFonts w:cs="Arial"/>
          <w:i/>
          <w:iCs/>
          <w:szCs w:val="22"/>
        </w:rPr>
      </w:pPr>
      <w:r w:rsidRPr="009B1E0E">
        <w:rPr>
          <w:rFonts w:cs="Arial"/>
          <w:i/>
          <w:iCs/>
          <w:szCs w:val="22"/>
        </w:rPr>
        <w:t>8.</w:t>
      </w:r>
      <w:r w:rsidRPr="009B1E0E">
        <w:rPr>
          <w:rFonts w:cs="Arial"/>
          <w:i/>
          <w:iCs/>
          <w:szCs w:val="22"/>
        </w:rPr>
        <w:tab/>
      </w:r>
      <w:r w:rsidR="00822328" w:rsidRPr="00BE377D">
        <w:rPr>
          <w:rFonts w:cs="Arial"/>
          <w:i/>
          <w:iCs/>
          <w:szCs w:val="22"/>
        </w:rPr>
        <w:t xml:space="preserve">The </w:t>
      </w:r>
      <w:r w:rsidR="00F40145" w:rsidRPr="00BE377D">
        <w:rPr>
          <w:rFonts w:cs="Arial"/>
          <w:i/>
          <w:iCs/>
          <w:szCs w:val="22"/>
        </w:rPr>
        <w:t xml:space="preserve">expanded </w:t>
      </w:r>
      <w:r w:rsidR="00822328" w:rsidRPr="00BE377D">
        <w:rPr>
          <w:rFonts w:cs="Arial"/>
          <w:i/>
          <w:iCs/>
          <w:szCs w:val="22"/>
        </w:rPr>
        <w:t xml:space="preserve">counter-application by the </w:t>
      </w:r>
      <w:r w:rsidR="00741603" w:rsidRPr="00BE377D">
        <w:rPr>
          <w:rFonts w:cs="Arial"/>
          <w:i/>
          <w:iCs/>
          <w:szCs w:val="22"/>
        </w:rPr>
        <w:t>1</w:t>
      </w:r>
      <w:r w:rsidR="00741603" w:rsidRPr="00BE377D">
        <w:rPr>
          <w:rFonts w:cs="Arial"/>
          <w:i/>
          <w:iCs/>
          <w:szCs w:val="22"/>
          <w:vertAlign w:val="superscript"/>
        </w:rPr>
        <w:t>st</w:t>
      </w:r>
      <w:r w:rsidR="00741603" w:rsidRPr="00BE377D">
        <w:rPr>
          <w:rFonts w:cs="Arial"/>
          <w:i/>
          <w:iCs/>
          <w:szCs w:val="22"/>
        </w:rPr>
        <w:t xml:space="preserve"> to 10</w:t>
      </w:r>
      <w:r w:rsidR="00741603" w:rsidRPr="00BE377D">
        <w:rPr>
          <w:rFonts w:cs="Arial"/>
          <w:i/>
          <w:iCs/>
          <w:szCs w:val="22"/>
          <w:vertAlign w:val="superscript"/>
        </w:rPr>
        <w:t>th</w:t>
      </w:r>
      <w:r w:rsidR="00741603" w:rsidRPr="00BE377D">
        <w:rPr>
          <w:rFonts w:cs="Arial"/>
          <w:i/>
          <w:iCs/>
          <w:szCs w:val="22"/>
        </w:rPr>
        <w:t xml:space="preserve"> </w:t>
      </w:r>
      <w:r w:rsidR="00ED0EE3" w:rsidRPr="00BE377D">
        <w:rPr>
          <w:rFonts w:cs="Arial"/>
          <w:i/>
          <w:iCs/>
          <w:szCs w:val="22"/>
        </w:rPr>
        <w:t>Respondents for an order that the First Respondent’s share issue of 1998-2000 be set aside</w:t>
      </w:r>
      <w:r w:rsidR="00822328" w:rsidRPr="00BE377D">
        <w:rPr>
          <w:rFonts w:cs="Arial"/>
          <w:i/>
          <w:iCs/>
          <w:szCs w:val="22"/>
        </w:rPr>
        <w:t>: An Order is issued in terms of Section 97 of the Companies Act, 61 of 1973:</w:t>
      </w:r>
    </w:p>
    <w:p w14:paraId="6A600707" w14:textId="0B4BA6DA" w:rsidR="00822328" w:rsidRPr="00BE377D" w:rsidRDefault="00BE377D" w:rsidP="00BE377D">
      <w:pPr>
        <w:spacing w:before="120" w:after="120"/>
        <w:ind w:left="792" w:hanging="432"/>
        <w:jc w:val="both"/>
        <w:rPr>
          <w:rFonts w:cs="Arial"/>
          <w:i/>
          <w:iCs/>
          <w:szCs w:val="22"/>
        </w:rPr>
      </w:pPr>
      <w:r w:rsidRPr="009B1E0E">
        <w:rPr>
          <w:rFonts w:cs="Arial"/>
          <w:i/>
          <w:iCs/>
          <w:szCs w:val="22"/>
        </w:rPr>
        <w:t>8.1.</w:t>
      </w:r>
      <w:r w:rsidRPr="009B1E0E">
        <w:rPr>
          <w:rFonts w:cs="Arial"/>
          <w:i/>
          <w:iCs/>
          <w:szCs w:val="22"/>
        </w:rPr>
        <w:tab/>
      </w:r>
      <w:r w:rsidR="00822328" w:rsidRPr="00BE377D">
        <w:rPr>
          <w:rFonts w:cs="Arial"/>
          <w:i/>
          <w:iCs/>
          <w:szCs w:val="22"/>
        </w:rPr>
        <w:t>Validating and confirming the creation, allotment and issue of the shares issued to the directors of the First Respondent, African Legend Investments (Ply) Ltd ("ALI"), pursuant to the Special Resolution of the Shareholders of ALI adopted on 30 October 1998, read with the Special Resolution of the Shareholders of ALI adopted on 29 September 2000, duly registered, and the Ordinary Resolutions of the Shareholders of ALI of the same dates, and as evidenced by the Share Certificates issued by ALI numbers 328, 338, 333, 343, 336, 346, 331, 341, 332, 342, 334, 344, 330, 340, 329, and 339;</w:t>
      </w:r>
    </w:p>
    <w:p w14:paraId="237D8709" w14:textId="0100EB47" w:rsidR="00822328" w:rsidRPr="00BE377D" w:rsidRDefault="00BE377D" w:rsidP="00BE377D">
      <w:pPr>
        <w:spacing w:before="120" w:after="120"/>
        <w:ind w:left="792" w:hanging="432"/>
        <w:jc w:val="both"/>
        <w:rPr>
          <w:rFonts w:cs="Arial"/>
          <w:i/>
          <w:iCs/>
          <w:szCs w:val="22"/>
        </w:rPr>
      </w:pPr>
      <w:r w:rsidRPr="009B1E0E">
        <w:rPr>
          <w:rFonts w:cs="Arial"/>
          <w:i/>
          <w:iCs/>
          <w:szCs w:val="22"/>
        </w:rPr>
        <w:t>8.2.</w:t>
      </w:r>
      <w:r w:rsidRPr="009B1E0E">
        <w:rPr>
          <w:rFonts w:cs="Arial"/>
          <w:i/>
          <w:iCs/>
          <w:szCs w:val="22"/>
        </w:rPr>
        <w:tab/>
      </w:r>
      <w:r w:rsidR="00822328" w:rsidRPr="00BE377D">
        <w:rPr>
          <w:rFonts w:cs="Arial"/>
          <w:i/>
          <w:iCs/>
          <w:szCs w:val="22"/>
        </w:rPr>
        <w:t>Directing that a copy of the Order be lodged with the Companies and Intellectual Property Commission (“CIPC”);</w:t>
      </w:r>
    </w:p>
    <w:p w14:paraId="464DC3D4" w14:textId="66E3AF1D" w:rsidR="00822328" w:rsidRPr="00BE377D" w:rsidRDefault="00BE377D" w:rsidP="00BE377D">
      <w:pPr>
        <w:spacing w:before="120" w:after="120"/>
        <w:ind w:left="792" w:hanging="432"/>
        <w:jc w:val="both"/>
        <w:rPr>
          <w:rFonts w:cs="Arial"/>
          <w:i/>
          <w:iCs/>
          <w:szCs w:val="22"/>
        </w:rPr>
      </w:pPr>
      <w:r w:rsidRPr="009B1E0E">
        <w:rPr>
          <w:rFonts w:cs="Arial"/>
          <w:i/>
          <w:iCs/>
          <w:szCs w:val="22"/>
        </w:rPr>
        <w:t>8.3.</w:t>
      </w:r>
      <w:r w:rsidRPr="009B1E0E">
        <w:rPr>
          <w:rFonts w:cs="Arial"/>
          <w:i/>
          <w:iCs/>
          <w:szCs w:val="22"/>
        </w:rPr>
        <w:tab/>
      </w:r>
      <w:r w:rsidR="00822328" w:rsidRPr="00BE377D">
        <w:rPr>
          <w:rFonts w:cs="Arial"/>
          <w:i/>
          <w:iCs/>
          <w:szCs w:val="22"/>
        </w:rPr>
        <w:t>Directing that ALI take all required steps and do all things necessary to procure the registration of the Order with the CIPC including the payment of all prescribed fees (if any) so that the shares shall be deemed to have been validly created, allotted or issued upon the terms of the creation, allotment or issue thereof</w:t>
      </w:r>
      <w:r w:rsidR="00ED0EE3" w:rsidRPr="00BE377D">
        <w:rPr>
          <w:rFonts w:cs="Arial"/>
          <w:i/>
          <w:iCs/>
          <w:szCs w:val="22"/>
        </w:rPr>
        <w:t>;</w:t>
      </w:r>
    </w:p>
    <w:p w14:paraId="31D3B021" w14:textId="574A63FB" w:rsidR="00822328" w:rsidRPr="00BE377D" w:rsidRDefault="00BE377D" w:rsidP="00BE377D">
      <w:pPr>
        <w:spacing w:before="120" w:after="120"/>
        <w:ind w:left="792" w:hanging="432"/>
        <w:jc w:val="both"/>
        <w:rPr>
          <w:rFonts w:cs="Arial"/>
          <w:i/>
          <w:iCs/>
          <w:szCs w:val="22"/>
        </w:rPr>
      </w:pPr>
      <w:r w:rsidRPr="009B1E0E">
        <w:rPr>
          <w:rFonts w:cs="Arial"/>
          <w:i/>
          <w:iCs/>
          <w:szCs w:val="22"/>
        </w:rPr>
        <w:t>8.4.</w:t>
      </w:r>
      <w:r w:rsidRPr="009B1E0E">
        <w:rPr>
          <w:rFonts w:cs="Arial"/>
          <w:i/>
          <w:iCs/>
          <w:szCs w:val="22"/>
        </w:rPr>
        <w:tab/>
      </w:r>
      <w:r w:rsidR="00ED0EE3" w:rsidRPr="00BE377D">
        <w:rPr>
          <w:rFonts w:cs="Arial"/>
          <w:i/>
          <w:iCs/>
          <w:szCs w:val="22"/>
        </w:rPr>
        <w:t>The</w:t>
      </w:r>
      <w:r w:rsidR="00741603" w:rsidRPr="00BE377D">
        <w:rPr>
          <w:rFonts w:cs="Arial"/>
          <w:i/>
          <w:iCs/>
          <w:szCs w:val="22"/>
        </w:rPr>
        <w:t xml:space="preserve"> 1</w:t>
      </w:r>
      <w:r w:rsidR="00741603" w:rsidRPr="00BE377D">
        <w:rPr>
          <w:rFonts w:cs="Arial"/>
          <w:i/>
          <w:iCs/>
          <w:szCs w:val="22"/>
          <w:vertAlign w:val="superscript"/>
        </w:rPr>
        <w:t>st</w:t>
      </w:r>
      <w:r w:rsidR="00741603" w:rsidRPr="00BE377D">
        <w:rPr>
          <w:rFonts w:cs="Arial"/>
          <w:i/>
          <w:iCs/>
          <w:szCs w:val="22"/>
        </w:rPr>
        <w:t xml:space="preserve"> to 10</w:t>
      </w:r>
      <w:r w:rsidR="00741603" w:rsidRPr="00BE377D">
        <w:rPr>
          <w:rFonts w:cs="Arial"/>
          <w:i/>
          <w:iCs/>
          <w:szCs w:val="22"/>
          <w:vertAlign w:val="superscript"/>
        </w:rPr>
        <w:t>th</w:t>
      </w:r>
      <w:r w:rsidR="00ED0EE3" w:rsidRPr="00BE377D">
        <w:rPr>
          <w:rFonts w:cs="Arial"/>
          <w:i/>
          <w:iCs/>
          <w:szCs w:val="22"/>
        </w:rPr>
        <w:t xml:space="preserve"> Respondents are ordered to pay the costs of the application, including the costs of two counsel where so employed, jointly and severally the one paying the other to be absolved;</w:t>
      </w:r>
    </w:p>
    <w:p w14:paraId="5493FAA1" w14:textId="77777777" w:rsidR="00B16F69" w:rsidRPr="009B1E0E" w:rsidRDefault="00B16F69" w:rsidP="00B16F69">
      <w:pPr>
        <w:spacing w:before="120" w:after="120"/>
        <w:rPr>
          <w:rFonts w:cs="Arial"/>
          <w:i/>
          <w:iCs/>
          <w:szCs w:val="22"/>
        </w:rPr>
      </w:pPr>
    </w:p>
    <w:p w14:paraId="08540072" w14:textId="720BC831" w:rsidR="00C9310B" w:rsidRPr="00BE377D" w:rsidRDefault="00BE377D" w:rsidP="00BE377D">
      <w:pPr>
        <w:widowControl w:val="0"/>
        <w:tabs>
          <w:tab w:val="left" w:pos="567"/>
        </w:tabs>
        <w:spacing w:before="480" w:after="480" w:line="480" w:lineRule="auto"/>
        <w:jc w:val="both"/>
        <w:rPr>
          <w:rFonts w:cs="Arial"/>
          <w:bCs/>
          <w:szCs w:val="22"/>
          <w:u w:val="single"/>
        </w:rPr>
      </w:pPr>
      <w:r w:rsidRPr="009B1E0E">
        <w:rPr>
          <w:rFonts w:cs="Arial"/>
          <w:bCs/>
          <w:szCs w:val="22"/>
        </w:rPr>
        <w:t>[2]</w:t>
      </w:r>
      <w:r w:rsidRPr="009B1E0E">
        <w:rPr>
          <w:rFonts w:cs="Arial"/>
          <w:bCs/>
          <w:szCs w:val="22"/>
        </w:rPr>
        <w:tab/>
      </w:r>
      <w:r w:rsidR="00573FF9" w:rsidRPr="00BE377D">
        <w:rPr>
          <w:rFonts w:cs="Arial"/>
          <w:bCs/>
          <w:szCs w:val="22"/>
        </w:rPr>
        <w:t xml:space="preserve">The reasons for the order </w:t>
      </w:r>
      <w:r w:rsidR="00A63709" w:rsidRPr="00BE377D">
        <w:rPr>
          <w:rFonts w:cs="Arial"/>
          <w:bCs/>
          <w:szCs w:val="22"/>
        </w:rPr>
        <w:t>follow</w:t>
      </w:r>
      <w:r w:rsidR="00573FF9" w:rsidRPr="00BE377D">
        <w:rPr>
          <w:rFonts w:cs="Arial"/>
          <w:bCs/>
          <w:szCs w:val="22"/>
        </w:rPr>
        <w:t xml:space="preserve"> below.</w:t>
      </w:r>
    </w:p>
    <w:p w14:paraId="3D76A11D" w14:textId="77777777" w:rsidR="00123566" w:rsidRPr="009B1E0E" w:rsidRDefault="00123566" w:rsidP="009869F2">
      <w:pPr>
        <w:keepNext/>
        <w:widowControl w:val="0"/>
        <w:spacing w:before="480" w:after="480" w:line="480" w:lineRule="auto"/>
        <w:jc w:val="both"/>
        <w:rPr>
          <w:rFonts w:cs="Arial"/>
          <w:bCs/>
          <w:szCs w:val="22"/>
          <w:u w:val="single"/>
        </w:rPr>
      </w:pPr>
    </w:p>
    <w:p w14:paraId="3658C913" w14:textId="620134D4" w:rsidR="00573FF9" w:rsidRPr="009B1E0E" w:rsidRDefault="00D9086C" w:rsidP="009869F2">
      <w:pPr>
        <w:keepNext/>
        <w:widowControl w:val="0"/>
        <w:spacing w:before="480" w:after="480" w:line="480" w:lineRule="auto"/>
        <w:jc w:val="both"/>
        <w:rPr>
          <w:rFonts w:cs="Arial"/>
          <w:bCs/>
          <w:szCs w:val="22"/>
          <w:u w:val="single"/>
        </w:rPr>
      </w:pPr>
      <w:r w:rsidRPr="009B1E0E">
        <w:rPr>
          <w:rFonts w:cs="Arial"/>
          <w:bCs/>
          <w:szCs w:val="22"/>
          <w:u w:val="single"/>
        </w:rPr>
        <w:t>Introduction</w:t>
      </w:r>
    </w:p>
    <w:p w14:paraId="0C8D3461" w14:textId="0443F0B4" w:rsidR="00F1543D"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[3]</w:t>
      </w:r>
      <w:r w:rsidRPr="009B1E0E">
        <w:rPr>
          <w:rFonts w:cs="Arial"/>
          <w:bCs/>
          <w:szCs w:val="22"/>
        </w:rPr>
        <w:tab/>
      </w:r>
      <w:r w:rsidR="00A555DE" w:rsidRPr="009B1E0E">
        <w:rPr>
          <w:rFonts w:cs="Arial"/>
          <w:bCs/>
          <w:szCs w:val="22"/>
        </w:rPr>
        <w:t>The litigation arises out of a power struggle for control of the 1</w:t>
      </w:r>
      <w:r w:rsidR="00A555DE" w:rsidRPr="009B1E0E">
        <w:rPr>
          <w:rFonts w:cs="Arial"/>
          <w:bCs/>
          <w:szCs w:val="22"/>
          <w:vertAlign w:val="superscript"/>
        </w:rPr>
        <w:t>st</w:t>
      </w:r>
      <w:r w:rsidR="00A555DE" w:rsidRPr="009B1E0E">
        <w:rPr>
          <w:rFonts w:cs="Arial"/>
          <w:bCs/>
          <w:szCs w:val="22"/>
        </w:rPr>
        <w:t xml:space="preserve"> respondent (“ALI”),</w:t>
      </w:r>
      <w:r w:rsidR="00295ACB" w:rsidRPr="009B1E0E">
        <w:rPr>
          <w:rStyle w:val="FootnoteReference"/>
          <w:rFonts w:cs="Arial"/>
          <w:bCs/>
          <w:szCs w:val="22"/>
        </w:rPr>
        <w:footnoteReference w:id="1"/>
      </w:r>
      <w:r w:rsidR="00A555DE" w:rsidRPr="009B1E0E">
        <w:rPr>
          <w:rFonts w:cs="Arial"/>
          <w:bCs/>
          <w:szCs w:val="22"/>
        </w:rPr>
        <w:t xml:space="preserve"> in broad terms between the majority of the board members on the one hand and the persons </w:t>
      </w:r>
      <w:r w:rsidR="00FB49AF" w:rsidRPr="009B1E0E">
        <w:rPr>
          <w:rFonts w:cs="Arial"/>
          <w:bCs/>
          <w:szCs w:val="22"/>
        </w:rPr>
        <w:t>who controlled</w:t>
      </w:r>
      <w:r w:rsidR="00A555DE" w:rsidRPr="009B1E0E">
        <w:rPr>
          <w:rFonts w:cs="Arial"/>
          <w:bCs/>
          <w:szCs w:val="22"/>
        </w:rPr>
        <w:t xml:space="preserve"> the majority of the shareholder voting rights</w:t>
      </w:r>
      <w:r w:rsidR="00862F74" w:rsidRPr="009B1E0E">
        <w:rPr>
          <w:rFonts w:cs="Arial"/>
          <w:bCs/>
          <w:szCs w:val="22"/>
        </w:rPr>
        <w:t xml:space="preserve"> on the other</w:t>
      </w:r>
      <w:r w:rsidR="00A555DE" w:rsidRPr="009B1E0E">
        <w:rPr>
          <w:rFonts w:cs="Arial"/>
          <w:bCs/>
          <w:szCs w:val="22"/>
        </w:rPr>
        <w:t xml:space="preserve">. </w:t>
      </w:r>
      <w:r w:rsidR="00AE5FD6" w:rsidRPr="009B1E0E">
        <w:rPr>
          <w:rFonts w:cs="Arial"/>
          <w:bCs/>
          <w:szCs w:val="22"/>
        </w:rPr>
        <w:t>The ‘board faction’ is led by the 3</w:t>
      </w:r>
      <w:r w:rsidR="00AE5FD6" w:rsidRPr="009B1E0E">
        <w:rPr>
          <w:rFonts w:cs="Arial"/>
          <w:bCs/>
          <w:szCs w:val="22"/>
          <w:vertAlign w:val="superscript"/>
        </w:rPr>
        <w:t>rd</w:t>
      </w:r>
      <w:r w:rsidR="00AE5FD6" w:rsidRPr="009B1E0E">
        <w:rPr>
          <w:rFonts w:cs="Arial"/>
          <w:bCs/>
          <w:szCs w:val="22"/>
        </w:rPr>
        <w:t xml:space="preserve"> respondent (“Ahmed”) and the ‘shareholder faction’ by the 8</w:t>
      </w:r>
      <w:r w:rsidR="00AE5FD6" w:rsidRPr="009B1E0E">
        <w:rPr>
          <w:rFonts w:cs="Arial"/>
          <w:bCs/>
          <w:szCs w:val="22"/>
          <w:vertAlign w:val="superscript"/>
        </w:rPr>
        <w:t>th</w:t>
      </w:r>
      <w:r w:rsidR="00AE5FD6" w:rsidRPr="009B1E0E">
        <w:rPr>
          <w:rFonts w:cs="Arial"/>
          <w:bCs/>
          <w:szCs w:val="22"/>
        </w:rPr>
        <w:t xml:space="preserve"> applicant (“Ramano”).</w:t>
      </w:r>
    </w:p>
    <w:p w14:paraId="68907AC3" w14:textId="43DCAF75" w:rsidR="00830AA8"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[4]</w:t>
      </w:r>
      <w:r w:rsidRPr="009B1E0E">
        <w:rPr>
          <w:rFonts w:cs="Arial"/>
          <w:bCs/>
          <w:szCs w:val="22"/>
        </w:rPr>
        <w:tab/>
      </w:r>
      <w:r w:rsidR="00830AA8" w:rsidRPr="009B1E0E">
        <w:rPr>
          <w:rFonts w:cs="Arial"/>
          <w:bCs/>
          <w:szCs w:val="22"/>
        </w:rPr>
        <w:t>I set out the facts very selectively in this judgment. The papers are voluminous and to set out all the averments by all parties would run to hundreds of pages. All the evidence contained in the numerous affidavits have been read and considered.</w:t>
      </w:r>
    </w:p>
    <w:p w14:paraId="281FA0B1" w14:textId="68E21215" w:rsidR="00174542"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[5]</w:t>
      </w:r>
      <w:r w:rsidRPr="009B1E0E">
        <w:rPr>
          <w:rFonts w:cs="Arial"/>
          <w:bCs/>
          <w:szCs w:val="22"/>
        </w:rPr>
        <w:tab/>
      </w:r>
      <w:r w:rsidR="00304947" w:rsidRPr="009B1E0E">
        <w:rPr>
          <w:rFonts w:cs="Arial"/>
          <w:bCs/>
          <w:szCs w:val="22"/>
        </w:rPr>
        <w:t>The applicants are shareholders of ALI. The remaining shareholders are cited as the 14</w:t>
      </w:r>
      <w:r w:rsidR="00304947" w:rsidRPr="009B1E0E">
        <w:rPr>
          <w:rFonts w:cs="Arial"/>
          <w:bCs/>
          <w:szCs w:val="22"/>
          <w:vertAlign w:val="superscript"/>
        </w:rPr>
        <w:t>th</w:t>
      </w:r>
      <w:r w:rsidR="00304947" w:rsidRPr="009B1E0E">
        <w:rPr>
          <w:rFonts w:cs="Arial"/>
          <w:bCs/>
          <w:szCs w:val="22"/>
        </w:rPr>
        <w:t xml:space="preserve"> </w:t>
      </w:r>
      <w:r w:rsidR="0053245E" w:rsidRPr="009B1E0E">
        <w:rPr>
          <w:rFonts w:cs="Arial"/>
          <w:bCs/>
          <w:szCs w:val="22"/>
        </w:rPr>
        <w:t>to</w:t>
      </w:r>
      <w:r w:rsidR="00304947" w:rsidRPr="009B1E0E">
        <w:rPr>
          <w:rFonts w:cs="Arial"/>
          <w:bCs/>
          <w:szCs w:val="22"/>
        </w:rPr>
        <w:t xml:space="preserve"> 38</w:t>
      </w:r>
      <w:r w:rsidR="00304947" w:rsidRPr="009B1E0E">
        <w:rPr>
          <w:rFonts w:cs="Arial"/>
          <w:bCs/>
          <w:szCs w:val="22"/>
          <w:vertAlign w:val="superscript"/>
        </w:rPr>
        <w:t>th</w:t>
      </w:r>
      <w:r w:rsidR="00304947" w:rsidRPr="009B1E0E">
        <w:rPr>
          <w:rFonts w:cs="Arial"/>
          <w:bCs/>
          <w:szCs w:val="22"/>
        </w:rPr>
        <w:t xml:space="preserve"> respondents. </w:t>
      </w:r>
    </w:p>
    <w:p w14:paraId="4474B80A" w14:textId="34061861" w:rsidR="00304947"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[6]</w:t>
      </w:r>
      <w:r w:rsidRPr="009B1E0E">
        <w:rPr>
          <w:rFonts w:cs="Arial"/>
          <w:bCs/>
          <w:szCs w:val="22"/>
        </w:rPr>
        <w:tab/>
      </w:r>
      <w:r w:rsidR="00304947" w:rsidRPr="009B1E0E">
        <w:rPr>
          <w:rFonts w:cs="Arial"/>
          <w:bCs/>
          <w:szCs w:val="22"/>
        </w:rPr>
        <w:t>The application is opposed by the 1</w:t>
      </w:r>
      <w:r w:rsidR="00304947" w:rsidRPr="009B1E0E">
        <w:rPr>
          <w:rFonts w:cs="Arial"/>
          <w:bCs/>
          <w:szCs w:val="22"/>
          <w:vertAlign w:val="superscript"/>
        </w:rPr>
        <w:t>st</w:t>
      </w:r>
      <w:r w:rsidR="00304947" w:rsidRPr="009B1E0E">
        <w:rPr>
          <w:rFonts w:cs="Arial"/>
          <w:bCs/>
          <w:szCs w:val="22"/>
        </w:rPr>
        <w:t xml:space="preserve"> to 10</w:t>
      </w:r>
      <w:r w:rsidR="00304947" w:rsidRPr="009B1E0E">
        <w:rPr>
          <w:rFonts w:cs="Arial"/>
          <w:bCs/>
          <w:szCs w:val="22"/>
          <w:vertAlign w:val="superscript"/>
        </w:rPr>
        <w:t>th</w:t>
      </w:r>
      <w:r w:rsidR="00304947" w:rsidRPr="009B1E0E">
        <w:rPr>
          <w:rFonts w:cs="Arial"/>
          <w:bCs/>
          <w:szCs w:val="22"/>
        </w:rPr>
        <w:t xml:space="preserve"> respondents.</w:t>
      </w:r>
      <w:r w:rsidR="0053245E" w:rsidRPr="009B1E0E">
        <w:rPr>
          <w:rFonts w:cs="Arial"/>
          <w:bCs/>
          <w:szCs w:val="22"/>
        </w:rPr>
        <w:t xml:space="preserve"> When I refer to the respondents in this judgment I am referring to the 1</w:t>
      </w:r>
      <w:r w:rsidR="0053245E" w:rsidRPr="009B1E0E">
        <w:rPr>
          <w:rFonts w:cs="Arial"/>
          <w:bCs/>
          <w:szCs w:val="22"/>
          <w:vertAlign w:val="superscript"/>
        </w:rPr>
        <w:t>st</w:t>
      </w:r>
      <w:r w:rsidR="0053245E" w:rsidRPr="009B1E0E">
        <w:rPr>
          <w:rFonts w:cs="Arial"/>
          <w:bCs/>
          <w:szCs w:val="22"/>
        </w:rPr>
        <w:t xml:space="preserve"> to 10</w:t>
      </w:r>
      <w:r w:rsidR="0053245E" w:rsidRPr="009B1E0E">
        <w:rPr>
          <w:rFonts w:cs="Arial"/>
          <w:bCs/>
          <w:szCs w:val="22"/>
          <w:vertAlign w:val="superscript"/>
        </w:rPr>
        <w:t>th</w:t>
      </w:r>
      <w:r w:rsidR="0053245E" w:rsidRPr="009B1E0E">
        <w:rPr>
          <w:rFonts w:cs="Arial"/>
          <w:bCs/>
          <w:szCs w:val="22"/>
        </w:rPr>
        <w:t xml:space="preserve"> respondent</w:t>
      </w:r>
      <w:r w:rsidR="00EB47B7" w:rsidRPr="009B1E0E">
        <w:rPr>
          <w:rFonts w:cs="Arial"/>
          <w:bCs/>
          <w:szCs w:val="22"/>
        </w:rPr>
        <w:t>s</w:t>
      </w:r>
      <w:r w:rsidR="0053245E" w:rsidRPr="009B1E0E">
        <w:rPr>
          <w:rFonts w:cs="Arial"/>
          <w:bCs/>
          <w:szCs w:val="22"/>
        </w:rPr>
        <w:t xml:space="preserve"> unless the context indicates otherwise.</w:t>
      </w:r>
    </w:p>
    <w:p w14:paraId="3EC2478D" w14:textId="7DAEBFEE" w:rsidR="006F3FAE"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[7]</w:t>
      </w:r>
      <w:r w:rsidRPr="009B1E0E">
        <w:rPr>
          <w:rFonts w:cs="Arial"/>
          <w:bCs/>
          <w:szCs w:val="22"/>
        </w:rPr>
        <w:tab/>
      </w:r>
      <w:r w:rsidR="006F3FAE" w:rsidRPr="009B1E0E">
        <w:rPr>
          <w:rFonts w:cs="Arial"/>
          <w:bCs/>
          <w:szCs w:val="22"/>
        </w:rPr>
        <w:t xml:space="preserve">African Legend Energy Holdings is </w:t>
      </w:r>
      <w:r w:rsidR="00EB47B7" w:rsidRPr="009B1E0E">
        <w:rPr>
          <w:rFonts w:cs="Arial"/>
          <w:bCs/>
          <w:szCs w:val="22"/>
        </w:rPr>
        <w:t xml:space="preserve">a </w:t>
      </w:r>
      <w:r w:rsidR="006F3FAE" w:rsidRPr="009B1E0E">
        <w:rPr>
          <w:rFonts w:cs="Arial"/>
          <w:bCs/>
          <w:szCs w:val="22"/>
        </w:rPr>
        <w:t>wholly owned subsidiary of ALI  and is turn is a major</w:t>
      </w:r>
      <w:r w:rsidR="00DC2CD8" w:rsidRPr="009B1E0E">
        <w:rPr>
          <w:rFonts w:cs="Arial"/>
          <w:bCs/>
          <w:szCs w:val="22"/>
        </w:rPr>
        <w:t>ity</w:t>
      </w:r>
      <w:r w:rsidR="006F3FAE" w:rsidRPr="009B1E0E">
        <w:rPr>
          <w:rFonts w:cs="Arial"/>
          <w:bCs/>
          <w:szCs w:val="22"/>
        </w:rPr>
        <w:t xml:space="preserve"> shareholder</w:t>
      </w:r>
      <w:r w:rsidR="006F3FAE" w:rsidRPr="009B1E0E">
        <w:rPr>
          <w:rStyle w:val="FootnoteReference"/>
          <w:rFonts w:cs="Arial"/>
          <w:bCs/>
          <w:szCs w:val="22"/>
        </w:rPr>
        <w:footnoteReference w:id="2"/>
      </w:r>
      <w:r w:rsidR="006F3FAE" w:rsidRPr="009B1E0E">
        <w:rPr>
          <w:rFonts w:cs="Arial"/>
          <w:bCs/>
          <w:szCs w:val="22"/>
        </w:rPr>
        <w:t xml:space="preserve"> in Off the Shelf 68 (RF) (Pty) Ltd, the majority shareholder</w:t>
      </w:r>
      <w:r w:rsidR="006F3FAE" w:rsidRPr="009B1E0E">
        <w:rPr>
          <w:rStyle w:val="FootnoteReference"/>
          <w:rFonts w:cs="Arial"/>
          <w:bCs/>
          <w:szCs w:val="22"/>
        </w:rPr>
        <w:footnoteReference w:id="3"/>
      </w:r>
      <w:r w:rsidR="006F3FAE" w:rsidRPr="009B1E0E">
        <w:rPr>
          <w:rFonts w:cs="Arial"/>
          <w:bCs/>
          <w:szCs w:val="22"/>
        </w:rPr>
        <w:t xml:space="preserve"> in the 2</w:t>
      </w:r>
      <w:r w:rsidR="006F3FAE" w:rsidRPr="009B1E0E">
        <w:rPr>
          <w:rFonts w:cs="Arial"/>
          <w:bCs/>
          <w:szCs w:val="22"/>
          <w:vertAlign w:val="superscript"/>
        </w:rPr>
        <w:t>nd</w:t>
      </w:r>
      <w:r w:rsidR="006F3FAE" w:rsidRPr="009B1E0E">
        <w:rPr>
          <w:rFonts w:cs="Arial"/>
          <w:bCs/>
          <w:szCs w:val="22"/>
        </w:rPr>
        <w:t xml:space="preserve"> respondent (“OTS56”). The latter company owns 23% of the shares in the 13</w:t>
      </w:r>
      <w:r w:rsidR="006F3FAE" w:rsidRPr="009B1E0E">
        <w:rPr>
          <w:rFonts w:cs="Arial"/>
          <w:bCs/>
          <w:szCs w:val="22"/>
          <w:vertAlign w:val="superscript"/>
        </w:rPr>
        <w:t>th</w:t>
      </w:r>
      <w:r w:rsidR="006F3FAE" w:rsidRPr="009B1E0E">
        <w:rPr>
          <w:rFonts w:cs="Arial"/>
          <w:bCs/>
          <w:szCs w:val="22"/>
        </w:rPr>
        <w:t xml:space="preserve"> respondent (“Astron Energy”) while the 11</w:t>
      </w:r>
      <w:r w:rsidR="006F3FAE" w:rsidRPr="009B1E0E">
        <w:rPr>
          <w:rFonts w:cs="Arial"/>
          <w:bCs/>
          <w:szCs w:val="22"/>
          <w:vertAlign w:val="superscript"/>
        </w:rPr>
        <w:t>th</w:t>
      </w:r>
      <w:r w:rsidR="006F3FAE" w:rsidRPr="009B1E0E">
        <w:rPr>
          <w:rFonts w:cs="Arial"/>
          <w:bCs/>
          <w:szCs w:val="22"/>
        </w:rPr>
        <w:t xml:space="preserve"> respondent </w:t>
      </w:r>
      <w:r w:rsidR="0053245E" w:rsidRPr="009B1E0E">
        <w:rPr>
          <w:rFonts w:cs="Arial"/>
          <w:bCs/>
          <w:szCs w:val="22"/>
        </w:rPr>
        <w:t>holds</w:t>
      </w:r>
      <w:r w:rsidR="006F3FAE" w:rsidRPr="009B1E0E">
        <w:rPr>
          <w:rFonts w:cs="Arial"/>
          <w:bCs/>
          <w:szCs w:val="22"/>
        </w:rPr>
        <w:t xml:space="preserve"> 2%.</w:t>
      </w:r>
      <w:r w:rsidR="006F3FAE" w:rsidRPr="009B1E0E">
        <w:rPr>
          <w:rStyle w:val="FootnoteReference"/>
          <w:rFonts w:cs="Arial"/>
          <w:bCs/>
          <w:szCs w:val="22"/>
        </w:rPr>
        <w:footnoteReference w:id="4"/>
      </w:r>
      <w:r w:rsidR="006F3FAE" w:rsidRPr="009B1E0E">
        <w:rPr>
          <w:rFonts w:cs="Arial"/>
          <w:bCs/>
          <w:szCs w:val="22"/>
        </w:rPr>
        <w:t xml:space="preserve"> ALI is able to indirectly </w:t>
      </w:r>
      <w:r w:rsidR="006F3FAE" w:rsidRPr="009B1E0E">
        <w:rPr>
          <w:rFonts w:cs="Arial"/>
          <w:bCs/>
          <w:szCs w:val="22"/>
        </w:rPr>
        <w:lastRenderedPageBreak/>
        <w:t>control the exercise of voting rights of OTS56 and the latter is a related person.</w:t>
      </w:r>
      <w:r w:rsidR="006F3FAE" w:rsidRPr="009B1E0E">
        <w:rPr>
          <w:rStyle w:val="FootnoteReference"/>
          <w:rFonts w:cs="Arial"/>
          <w:bCs/>
          <w:szCs w:val="22"/>
        </w:rPr>
        <w:footnoteReference w:id="5"/>
      </w:r>
    </w:p>
    <w:p w14:paraId="1FD6B488" w14:textId="48F51837" w:rsidR="003F607D"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[8]</w:t>
      </w:r>
      <w:r w:rsidRPr="009B1E0E">
        <w:rPr>
          <w:rFonts w:cs="Arial"/>
          <w:bCs/>
          <w:szCs w:val="22"/>
        </w:rPr>
        <w:tab/>
      </w:r>
      <w:r w:rsidR="003F607D" w:rsidRPr="009B1E0E">
        <w:rPr>
          <w:rFonts w:cs="Arial"/>
          <w:bCs/>
          <w:szCs w:val="22"/>
        </w:rPr>
        <w:t>The 3</w:t>
      </w:r>
      <w:r w:rsidR="003F607D" w:rsidRPr="009B1E0E">
        <w:rPr>
          <w:rFonts w:cs="Arial"/>
          <w:bCs/>
          <w:szCs w:val="22"/>
          <w:vertAlign w:val="superscript"/>
        </w:rPr>
        <w:t>rd</w:t>
      </w:r>
      <w:r w:rsidR="003F607D" w:rsidRPr="009B1E0E">
        <w:rPr>
          <w:rFonts w:cs="Arial"/>
          <w:bCs/>
          <w:szCs w:val="22"/>
        </w:rPr>
        <w:t xml:space="preserve"> to 10</w:t>
      </w:r>
      <w:r w:rsidR="003F607D" w:rsidRPr="009B1E0E">
        <w:rPr>
          <w:rFonts w:cs="Arial"/>
          <w:bCs/>
          <w:szCs w:val="22"/>
          <w:vertAlign w:val="superscript"/>
        </w:rPr>
        <w:t>th</w:t>
      </w:r>
      <w:r w:rsidR="003F607D" w:rsidRPr="009B1E0E">
        <w:rPr>
          <w:rFonts w:cs="Arial"/>
          <w:bCs/>
          <w:szCs w:val="22"/>
        </w:rPr>
        <w:t xml:space="preserve"> respondents </w:t>
      </w:r>
      <w:r w:rsidR="00DC2CD8" w:rsidRPr="009B1E0E">
        <w:rPr>
          <w:rFonts w:cs="Arial"/>
          <w:bCs/>
          <w:szCs w:val="22"/>
        </w:rPr>
        <w:t xml:space="preserve">(“the respondent directors”) </w:t>
      </w:r>
      <w:r w:rsidR="003F607D" w:rsidRPr="009B1E0E">
        <w:rPr>
          <w:rFonts w:cs="Arial"/>
          <w:bCs/>
          <w:szCs w:val="22"/>
        </w:rPr>
        <w:t xml:space="preserve">are directors of ALI and OTS56. </w:t>
      </w:r>
    </w:p>
    <w:p w14:paraId="5606AAEF" w14:textId="7348BFDB" w:rsidR="003F607D" w:rsidRPr="009B1E0E" w:rsidRDefault="00BE377D" w:rsidP="00BE377D">
      <w:pPr>
        <w:widowControl w:val="0"/>
        <w:tabs>
          <w:tab w:val="left" w:pos="1418"/>
        </w:tabs>
        <w:spacing w:before="480" w:after="480" w:line="480" w:lineRule="auto"/>
        <w:ind w:left="1418" w:hanging="851"/>
        <w:jc w:val="both"/>
        <w:rPr>
          <w:rFonts w:cs="Arial"/>
          <w:bCs/>
          <w:szCs w:val="22"/>
        </w:rPr>
      </w:pPr>
      <w:r w:rsidRPr="009B1E0E">
        <w:rPr>
          <w:rFonts w:cs="Arial"/>
          <w:bCs/>
          <w:szCs w:val="22"/>
        </w:rPr>
        <w:t>8.1</w:t>
      </w:r>
      <w:r w:rsidRPr="009B1E0E">
        <w:rPr>
          <w:rFonts w:cs="Arial"/>
          <w:bCs/>
          <w:szCs w:val="22"/>
        </w:rPr>
        <w:tab/>
      </w:r>
      <w:r w:rsidR="006F3FAE" w:rsidRPr="009B1E0E">
        <w:rPr>
          <w:rFonts w:cs="Arial"/>
          <w:bCs/>
          <w:szCs w:val="22"/>
        </w:rPr>
        <w:t>The 3</w:t>
      </w:r>
      <w:r w:rsidR="006F3FAE" w:rsidRPr="009B1E0E">
        <w:rPr>
          <w:rFonts w:cs="Arial"/>
          <w:bCs/>
          <w:szCs w:val="22"/>
          <w:vertAlign w:val="superscript"/>
        </w:rPr>
        <w:t>rd</w:t>
      </w:r>
      <w:r w:rsidR="006F3FAE" w:rsidRPr="009B1E0E">
        <w:rPr>
          <w:rFonts w:cs="Arial"/>
          <w:bCs/>
          <w:szCs w:val="22"/>
        </w:rPr>
        <w:t xml:space="preserve"> to 8</w:t>
      </w:r>
      <w:r w:rsidR="006F3FAE" w:rsidRPr="009B1E0E">
        <w:rPr>
          <w:rFonts w:cs="Arial"/>
          <w:bCs/>
          <w:szCs w:val="22"/>
          <w:vertAlign w:val="superscript"/>
        </w:rPr>
        <w:t>th</w:t>
      </w:r>
      <w:r w:rsidR="006F3FAE" w:rsidRPr="009B1E0E">
        <w:rPr>
          <w:rFonts w:cs="Arial"/>
          <w:bCs/>
          <w:szCs w:val="22"/>
        </w:rPr>
        <w:t xml:space="preserve"> respondents are directors of ALI</w:t>
      </w:r>
      <w:r w:rsidR="00DC2CD8" w:rsidRPr="009B1E0E">
        <w:rPr>
          <w:rFonts w:cs="Arial"/>
          <w:bCs/>
          <w:szCs w:val="22"/>
        </w:rPr>
        <w:t xml:space="preserve"> (the</w:t>
      </w:r>
      <w:r w:rsidR="000B1DD4" w:rsidRPr="009B1E0E">
        <w:rPr>
          <w:rFonts w:cs="Arial"/>
          <w:bCs/>
          <w:szCs w:val="22"/>
        </w:rPr>
        <w:t xml:space="preserve"> </w:t>
      </w:r>
      <w:r w:rsidR="00DC2CD8" w:rsidRPr="009B1E0E">
        <w:rPr>
          <w:rFonts w:cs="Arial"/>
          <w:bCs/>
          <w:szCs w:val="22"/>
        </w:rPr>
        <w:t>“ALI directors”)</w:t>
      </w:r>
      <w:r w:rsidR="003F607D" w:rsidRPr="009B1E0E">
        <w:rPr>
          <w:rFonts w:cs="Arial"/>
          <w:bCs/>
          <w:szCs w:val="22"/>
        </w:rPr>
        <w:t>;</w:t>
      </w:r>
    </w:p>
    <w:p w14:paraId="4ECE6BCE" w14:textId="13BA75E0" w:rsidR="003F607D" w:rsidRPr="009B1E0E" w:rsidRDefault="00BE377D" w:rsidP="00BE377D">
      <w:pPr>
        <w:widowControl w:val="0"/>
        <w:tabs>
          <w:tab w:val="left" w:pos="1418"/>
        </w:tabs>
        <w:spacing w:before="480" w:after="480" w:line="480" w:lineRule="auto"/>
        <w:ind w:left="1418" w:hanging="851"/>
        <w:jc w:val="both"/>
        <w:rPr>
          <w:rFonts w:cs="Arial"/>
          <w:bCs/>
          <w:szCs w:val="22"/>
        </w:rPr>
      </w:pPr>
      <w:r w:rsidRPr="009B1E0E">
        <w:rPr>
          <w:rFonts w:cs="Arial"/>
          <w:bCs/>
          <w:szCs w:val="22"/>
        </w:rPr>
        <w:t>8.2</w:t>
      </w:r>
      <w:r w:rsidRPr="009B1E0E">
        <w:rPr>
          <w:rFonts w:cs="Arial"/>
          <w:bCs/>
          <w:szCs w:val="22"/>
        </w:rPr>
        <w:tab/>
      </w:r>
      <w:r w:rsidR="003F607D" w:rsidRPr="009B1E0E">
        <w:rPr>
          <w:rFonts w:cs="Arial"/>
          <w:bCs/>
          <w:szCs w:val="22"/>
        </w:rPr>
        <w:t>T</w:t>
      </w:r>
      <w:r w:rsidR="006F3FAE" w:rsidRPr="009B1E0E">
        <w:rPr>
          <w:rFonts w:cs="Arial"/>
          <w:bCs/>
          <w:szCs w:val="22"/>
        </w:rPr>
        <w:t>he 5</w:t>
      </w:r>
      <w:r w:rsidR="006F3FAE" w:rsidRPr="009B1E0E">
        <w:rPr>
          <w:rFonts w:cs="Arial"/>
          <w:bCs/>
          <w:szCs w:val="22"/>
          <w:vertAlign w:val="superscript"/>
        </w:rPr>
        <w:t>th</w:t>
      </w:r>
      <w:r w:rsidR="006F3FAE" w:rsidRPr="009B1E0E">
        <w:rPr>
          <w:rFonts w:cs="Arial"/>
          <w:bCs/>
          <w:szCs w:val="22"/>
        </w:rPr>
        <w:t>, 6</w:t>
      </w:r>
      <w:r w:rsidR="006F3FAE" w:rsidRPr="009B1E0E">
        <w:rPr>
          <w:rFonts w:cs="Arial"/>
          <w:bCs/>
          <w:szCs w:val="22"/>
          <w:vertAlign w:val="superscript"/>
        </w:rPr>
        <w:t>th</w:t>
      </w:r>
      <w:r w:rsidR="006F3FAE" w:rsidRPr="009B1E0E">
        <w:rPr>
          <w:rFonts w:cs="Arial"/>
          <w:bCs/>
          <w:szCs w:val="22"/>
        </w:rPr>
        <w:t>, and 8</w:t>
      </w:r>
      <w:r w:rsidR="006F3FAE" w:rsidRPr="009B1E0E">
        <w:rPr>
          <w:rFonts w:cs="Arial"/>
          <w:bCs/>
          <w:szCs w:val="22"/>
          <w:vertAlign w:val="superscript"/>
        </w:rPr>
        <w:t>th</w:t>
      </w:r>
      <w:r w:rsidR="006F3FAE" w:rsidRPr="009B1E0E">
        <w:rPr>
          <w:rFonts w:cs="Arial"/>
          <w:bCs/>
          <w:szCs w:val="22"/>
        </w:rPr>
        <w:t xml:space="preserve"> </w:t>
      </w:r>
      <w:r w:rsidR="003F607D" w:rsidRPr="009B1E0E">
        <w:rPr>
          <w:rFonts w:cs="Arial"/>
          <w:bCs/>
          <w:szCs w:val="22"/>
        </w:rPr>
        <w:t>to 10</w:t>
      </w:r>
      <w:r w:rsidR="003F607D" w:rsidRPr="009B1E0E">
        <w:rPr>
          <w:rFonts w:cs="Arial"/>
          <w:bCs/>
          <w:szCs w:val="22"/>
          <w:vertAlign w:val="superscript"/>
        </w:rPr>
        <w:t>th</w:t>
      </w:r>
      <w:r w:rsidR="003F607D" w:rsidRPr="009B1E0E">
        <w:rPr>
          <w:rFonts w:cs="Arial"/>
          <w:bCs/>
          <w:szCs w:val="22"/>
        </w:rPr>
        <w:t xml:space="preserve"> </w:t>
      </w:r>
      <w:r w:rsidR="006F3FAE" w:rsidRPr="009B1E0E">
        <w:rPr>
          <w:rFonts w:cs="Arial"/>
          <w:bCs/>
          <w:szCs w:val="22"/>
        </w:rPr>
        <w:t>respondents are directors of OTS56</w:t>
      </w:r>
      <w:r w:rsidR="00DC2CD8" w:rsidRPr="009B1E0E">
        <w:rPr>
          <w:rFonts w:cs="Arial"/>
          <w:bCs/>
          <w:szCs w:val="22"/>
        </w:rPr>
        <w:t xml:space="preserve"> (the “OTS56 directors);</w:t>
      </w:r>
      <w:r w:rsidR="006F3FAE" w:rsidRPr="009B1E0E">
        <w:rPr>
          <w:rFonts w:cs="Arial"/>
          <w:bCs/>
          <w:szCs w:val="22"/>
        </w:rPr>
        <w:t xml:space="preserve"> </w:t>
      </w:r>
    </w:p>
    <w:p w14:paraId="3E3FC71C" w14:textId="14A186BB" w:rsidR="006F3FAE" w:rsidRPr="009B1E0E" w:rsidRDefault="00BE377D" w:rsidP="00BE377D">
      <w:pPr>
        <w:widowControl w:val="0"/>
        <w:tabs>
          <w:tab w:val="left" w:pos="1418"/>
        </w:tabs>
        <w:spacing w:before="480" w:after="480" w:line="480" w:lineRule="auto"/>
        <w:ind w:left="1418" w:hanging="851"/>
        <w:jc w:val="both"/>
        <w:rPr>
          <w:rFonts w:cs="Arial"/>
          <w:bCs/>
          <w:szCs w:val="22"/>
        </w:rPr>
      </w:pPr>
      <w:r w:rsidRPr="009B1E0E">
        <w:rPr>
          <w:rFonts w:cs="Arial"/>
          <w:bCs/>
          <w:szCs w:val="22"/>
        </w:rPr>
        <w:t>8.3</w:t>
      </w:r>
      <w:r w:rsidRPr="009B1E0E">
        <w:rPr>
          <w:rFonts w:cs="Arial"/>
          <w:bCs/>
          <w:szCs w:val="22"/>
        </w:rPr>
        <w:tab/>
      </w:r>
      <w:r w:rsidR="003F607D" w:rsidRPr="009B1E0E">
        <w:rPr>
          <w:rFonts w:cs="Arial"/>
          <w:bCs/>
          <w:szCs w:val="22"/>
        </w:rPr>
        <w:t>The 5</w:t>
      </w:r>
      <w:r w:rsidR="003F607D" w:rsidRPr="009B1E0E">
        <w:rPr>
          <w:rFonts w:cs="Arial"/>
          <w:bCs/>
          <w:szCs w:val="22"/>
          <w:vertAlign w:val="superscript"/>
        </w:rPr>
        <w:t xml:space="preserve">th, </w:t>
      </w:r>
      <w:r w:rsidR="003F607D" w:rsidRPr="009B1E0E">
        <w:rPr>
          <w:rFonts w:cs="Arial"/>
          <w:bCs/>
          <w:szCs w:val="22"/>
        </w:rPr>
        <w:t>6</w:t>
      </w:r>
      <w:r w:rsidR="003F607D" w:rsidRPr="009B1E0E">
        <w:rPr>
          <w:rFonts w:cs="Arial"/>
          <w:bCs/>
          <w:szCs w:val="22"/>
          <w:vertAlign w:val="superscript"/>
        </w:rPr>
        <w:t>th</w:t>
      </w:r>
      <w:r w:rsidR="003F607D" w:rsidRPr="009B1E0E">
        <w:rPr>
          <w:rFonts w:cs="Arial"/>
          <w:bCs/>
          <w:szCs w:val="22"/>
        </w:rPr>
        <w:t>, and 8</w:t>
      </w:r>
      <w:r w:rsidR="003F607D" w:rsidRPr="009B1E0E">
        <w:rPr>
          <w:rFonts w:cs="Arial"/>
          <w:bCs/>
          <w:szCs w:val="22"/>
          <w:vertAlign w:val="superscript"/>
        </w:rPr>
        <w:t>th</w:t>
      </w:r>
      <w:r w:rsidR="003F607D" w:rsidRPr="009B1E0E">
        <w:rPr>
          <w:rFonts w:cs="Arial"/>
          <w:bCs/>
          <w:szCs w:val="22"/>
        </w:rPr>
        <w:t xml:space="preserve"> respondents are therefore directors of both companies</w:t>
      </w:r>
      <w:r w:rsidR="00A33524" w:rsidRPr="009B1E0E">
        <w:rPr>
          <w:rFonts w:cs="Arial"/>
          <w:bCs/>
          <w:szCs w:val="22"/>
        </w:rPr>
        <w:t>;</w:t>
      </w:r>
    </w:p>
    <w:p w14:paraId="2C89EFE0" w14:textId="3C86A62B" w:rsidR="00A33524" w:rsidRPr="009B1E0E" w:rsidRDefault="00BE377D" w:rsidP="00BE377D">
      <w:pPr>
        <w:widowControl w:val="0"/>
        <w:tabs>
          <w:tab w:val="left" w:pos="1418"/>
        </w:tabs>
        <w:spacing w:before="480" w:after="480" w:line="480" w:lineRule="auto"/>
        <w:ind w:left="1418" w:hanging="851"/>
        <w:jc w:val="both"/>
        <w:rPr>
          <w:rFonts w:cs="Arial"/>
          <w:bCs/>
          <w:szCs w:val="22"/>
        </w:rPr>
      </w:pPr>
      <w:r w:rsidRPr="009B1E0E">
        <w:rPr>
          <w:rFonts w:cs="Arial"/>
          <w:bCs/>
          <w:szCs w:val="22"/>
        </w:rPr>
        <w:t>8.4</w:t>
      </w:r>
      <w:r w:rsidRPr="009B1E0E">
        <w:rPr>
          <w:rFonts w:cs="Arial"/>
          <w:bCs/>
          <w:szCs w:val="22"/>
        </w:rPr>
        <w:tab/>
      </w:r>
      <w:r w:rsidR="00A33524" w:rsidRPr="009B1E0E">
        <w:rPr>
          <w:rFonts w:cs="Arial"/>
          <w:bCs/>
          <w:szCs w:val="22"/>
        </w:rPr>
        <w:t>Ramano was a director of ALI until he was removed at the annual general meeting on 27 February 2020.</w:t>
      </w:r>
    </w:p>
    <w:p w14:paraId="67648510" w14:textId="22AF5CC5" w:rsidR="00F1543D"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[9]</w:t>
      </w:r>
      <w:r w:rsidRPr="009B1E0E">
        <w:rPr>
          <w:rFonts w:cs="Arial"/>
          <w:bCs/>
          <w:szCs w:val="22"/>
        </w:rPr>
        <w:tab/>
      </w:r>
      <w:r w:rsidR="00AE5FD6" w:rsidRPr="009B1E0E">
        <w:rPr>
          <w:rFonts w:cs="Arial"/>
          <w:bCs/>
          <w:szCs w:val="22"/>
        </w:rPr>
        <w:t xml:space="preserve">There are a number of applications before the </w:t>
      </w:r>
      <w:r w:rsidR="00D175C8" w:rsidRPr="009B1E0E">
        <w:rPr>
          <w:rFonts w:cs="Arial"/>
          <w:bCs/>
          <w:szCs w:val="22"/>
        </w:rPr>
        <w:t xml:space="preserve">Court </w:t>
      </w:r>
      <w:r w:rsidR="00AE5FD6" w:rsidRPr="009B1E0E">
        <w:rPr>
          <w:rFonts w:cs="Arial"/>
          <w:bCs/>
          <w:szCs w:val="22"/>
        </w:rPr>
        <w:t>and I intend to deal with them in</w:t>
      </w:r>
      <w:r w:rsidR="00EB47B7" w:rsidRPr="009B1E0E">
        <w:rPr>
          <w:rFonts w:cs="Arial"/>
          <w:bCs/>
          <w:szCs w:val="22"/>
        </w:rPr>
        <w:t>dependently</w:t>
      </w:r>
      <w:r w:rsidR="00AE5FD6" w:rsidRPr="009B1E0E">
        <w:rPr>
          <w:rFonts w:cs="Arial"/>
          <w:bCs/>
          <w:szCs w:val="22"/>
        </w:rPr>
        <w:t xml:space="preserve"> even though the fact</w:t>
      </w:r>
      <w:r w:rsidR="003D59D4" w:rsidRPr="009B1E0E">
        <w:rPr>
          <w:rFonts w:cs="Arial"/>
          <w:bCs/>
          <w:szCs w:val="22"/>
        </w:rPr>
        <w:t>s are interconnected</w:t>
      </w:r>
      <w:r w:rsidR="00862F74" w:rsidRPr="009B1E0E">
        <w:rPr>
          <w:rFonts w:cs="Arial"/>
          <w:bCs/>
          <w:szCs w:val="22"/>
        </w:rPr>
        <w:t>.</w:t>
      </w:r>
    </w:p>
    <w:p w14:paraId="3BCCA864" w14:textId="0B2B9993" w:rsidR="00A84F13" w:rsidRPr="009B1E0E" w:rsidRDefault="00BE377D" w:rsidP="00BE377D">
      <w:pPr>
        <w:widowControl w:val="0"/>
        <w:tabs>
          <w:tab w:val="left" w:pos="1418"/>
        </w:tabs>
        <w:spacing w:before="480" w:after="480" w:line="480" w:lineRule="auto"/>
        <w:ind w:left="1418" w:hanging="851"/>
        <w:jc w:val="both"/>
        <w:rPr>
          <w:rFonts w:cs="Arial"/>
          <w:bCs/>
          <w:szCs w:val="22"/>
        </w:rPr>
      </w:pPr>
      <w:r w:rsidRPr="009B1E0E">
        <w:rPr>
          <w:rFonts w:cs="Arial"/>
          <w:bCs/>
          <w:szCs w:val="22"/>
        </w:rPr>
        <w:t>9.1</w:t>
      </w:r>
      <w:r w:rsidRPr="009B1E0E">
        <w:rPr>
          <w:rFonts w:cs="Arial"/>
          <w:bCs/>
          <w:szCs w:val="22"/>
        </w:rPr>
        <w:tab/>
      </w:r>
      <w:r w:rsidR="00A84F13" w:rsidRPr="009B1E0E">
        <w:rPr>
          <w:rFonts w:cs="Arial"/>
          <w:bCs/>
          <w:szCs w:val="22"/>
        </w:rPr>
        <w:t>In the</w:t>
      </w:r>
      <w:r w:rsidR="00D04377" w:rsidRPr="009B1E0E">
        <w:rPr>
          <w:rFonts w:cs="Arial"/>
          <w:bCs/>
          <w:szCs w:val="22"/>
        </w:rPr>
        <w:t xml:space="preserve"> main </w:t>
      </w:r>
      <w:r w:rsidR="00A84F13" w:rsidRPr="009B1E0E">
        <w:rPr>
          <w:rFonts w:cs="Arial"/>
          <w:bCs/>
          <w:szCs w:val="22"/>
        </w:rPr>
        <w:t>application the applicants seek orders</w:t>
      </w:r>
      <w:r w:rsidR="00D84B17" w:rsidRPr="009B1E0E">
        <w:rPr>
          <w:rStyle w:val="FootnoteReference"/>
          <w:rFonts w:cs="Arial"/>
          <w:bCs/>
          <w:szCs w:val="22"/>
        </w:rPr>
        <w:footnoteReference w:id="6"/>
      </w:r>
      <w:r w:rsidR="00A84F13" w:rsidRPr="009B1E0E">
        <w:rPr>
          <w:rFonts w:cs="Arial"/>
          <w:bCs/>
          <w:szCs w:val="22"/>
        </w:rPr>
        <w:t xml:space="preserve"> that a resolution taken by the board of ALI on 27 February be declared invalid, that a subscription agreement entered into between ALI and the 11</w:t>
      </w:r>
      <w:r w:rsidR="00A84F13" w:rsidRPr="009B1E0E">
        <w:rPr>
          <w:rFonts w:cs="Arial"/>
          <w:bCs/>
          <w:szCs w:val="22"/>
          <w:vertAlign w:val="superscript"/>
        </w:rPr>
        <w:t>th</w:t>
      </w:r>
      <w:r w:rsidR="00A84F13" w:rsidRPr="009B1E0E">
        <w:rPr>
          <w:rFonts w:cs="Arial"/>
          <w:bCs/>
          <w:szCs w:val="22"/>
        </w:rPr>
        <w:t xml:space="preserve"> respondent (the “Astron Trust”) be set aside, and relief flowing from these orders.</w:t>
      </w:r>
    </w:p>
    <w:p w14:paraId="508E7502" w14:textId="732C7258" w:rsidR="00D04377" w:rsidRPr="009B1E0E" w:rsidRDefault="00BE377D" w:rsidP="00BE377D">
      <w:pPr>
        <w:widowControl w:val="0"/>
        <w:tabs>
          <w:tab w:val="left" w:pos="1418"/>
        </w:tabs>
        <w:spacing w:before="480" w:after="480" w:line="480" w:lineRule="auto"/>
        <w:ind w:left="1418" w:hanging="851"/>
        <w:jc w:val="both"/>
        <w:rPr>
          <w:rFonts w:cs="Arial"/>
          <w:bCs/>
          <w:szCs w:val="22"/>
        </w:rPr>
      </w:pPr>
      <w:r w:rsidRPr="009B1E0E">
        <w:rPr>
          <w:rFonts w:cs="Arial"/>
          <w:bCs/>
          <w:szCs w:val="22"/>
        </w:rPr>
        <w:t>9.2</w:t>
      </w:r>
      <w:r w:rsidRPr="009B1E0E">
        <w:rPr>
          <w:rFonts w:cs="Arial"/>
          <w:bCs/>
          <w:szCs w:val="22"/>
        </w:rPr>
        <w:tab/>
      </w:r>
      <w:r w:rsidR="00A84F13" w:rsidRPr="009B1E0E">
        <w:rPr>
          <w:rFonts w:cs="Arial"/>
          <w:bCs/>
          <w:szCs w:val="22"/>
        </w:rPr>
        <w:t>In the main counter-application</w:t>
      </w:r>
      <w:r w:rsidR="00D84B17" w:rsidRPr="009B1E0E">
        <w:rPr>
          <w:rStyle w:val="FootnoteReference"/>
          <w:rFonts w:cs="Arial"/>
          <w:bCs/>
          <w:szCs w:val="22"/>
        </w:rPr>
        <w:footnoteReference w:id="7"/>
      </w:r>
      <w:r w:rsidR="00A84F13" w:rsidRPr="009B1E0E">
        <w:rPr>
          <w:rFonts w:cs="Arial"/>
          <w:bCs/>
          <w:szCs w:val="22"/>
        </w:rPr>
        <w:t xml:space="preserve"> the 1</w:t>
      </w:r>
      <w:r w:rsidR="00A84F13" w:rsidRPr="009B1E0E">
        <w:rPr>
          <w:rFonts w:cs="Arial"/>
          <w:bCs/>
          <w:szCs w:val="22"/>
          <w:vertAlign w:val="superscript"/>
        </w:rPr>
        <w:t>st</w:t>
      </w:r>
      <w:r w:rsidR="00A84F13" w:rsidRPr="009B1E0E">
        <w:rPr>
          <w:rFonts w:cs="Arial"/>
          <w:bCs/>
          <w:szCs w:val="22"/>
        </w:rPr>
        <w:t xml:space="preserve"> to 10</w:t>
      </w:r>
      <w:r w:rsidR="00A84F13" w:rsidRPr="009B1E0E">
        <w:rPr>
          <w:rFonts w:cs="Arial"/>
          <w:bCs/>
          <w:szCs w:val="22"/>
          <w:vertAlign w:val="superscript"/>
        </w:rPr>
        <w:t>th</w:t>
      </w:r>
      <w:r w:rsidR="00A84F13" w:rsidRPr="009B1E0E">
        <w:rPr>
          <w:rFonts w:cs="Arial"/>
          <w:bCs/>
          <w:szCs w:val="22"/>
        </w:rPr>
        <w:t xml:space="preserve"> respondents </w:t>
      </w:r>
      <w:r w:rsidR="00D175C8" w:rsidRPr="009B1E0E">
        <w:rPr>
          <w:rFonts w:cs="Arial"/>
          <w:bCs/>
          <w:szCs w:val="22"/>
        </w:rPr>
        <w:t>seek</w:t>
      </w:r>
      <w:r w:rsidR="00A84F13" w:rsidRPr="009B1E0E">
        <w:rPr>
          <w:rFonts w:cs="Arial"/>
          <w:bCs/>
          <w:szCs w:val="22"/>
        </w:rPr>
        <w:t xml:space="preserve"> an order that Ramano</w:t>
      </w:r>
      <w:r w:rsidR="00D04377" w:rsidRPr="009B1E0E">
        <w:rPr>
          <w:rStyle w:val="FootnoteReference"/>
          <w:rFonts w:cs="Arial"/>
          <w:bCs/>
          <w:szCs w:val="22"/>
        </w:rPr>
        <w:footnoteReference w:id="8"/>
      </w:r>
      <w:r w:rsidR="00A84F13" w:rsidRPr="009B1E0E">
        <w:rPr>
          <w:rFonts w:cs="Arial"/>
          <w:bCs/>
          <w:szCs w:val="22"/>
        </w:rPr>
        <w:t xml:space="preserve"> be declared a delinquent director or alternatively placed </w:t>
      </w:r>
      <w:r w:rsidR="00A84F13" w:rsidRPr="009B1E0E">
        <w:rPr>
          <w:rFonts w:cs="Arial"/>
          <w:bCs/>
          <w:szCs w:val="22"/>
        </w:rPr>
        <w:lastRenderedPageBreak/>
        <w:t>under probation for a period</w:t>
      </w:r>
      <w:r w:rsidR="00D04377" w:rsidRPr="009B1E0E">
        <w:rPr>
          <w:rFonts w:cs="Arial"/>
          <w:bCs/>
          <w:szCs w:val="22"/>
        </w:rPr>
        <w:t>, as well as an order to regulate the affairs of the 1</w:t>
      </w:r>
      <w:r w:rsidR="00D04377" w:rsidRPr="009B1E0E">
        <w:rPr>
          <w:rFonts w:cs="Arial"/>
          <w:bCs/>
          <w:szCs w:val="22"/>
          <w:vertAlign w:val="superscript"/>
        </w:rPr>
        <w:t>st</w:t>
      </w:r>
      <w:r w:rsidR="00D04377" w:rsidRPr="009B1E0E">
        <w:rPr>
          <w:rFonts w:cs="Arial"/>
          <w:bCs/>
          <w:szCs w:val="22"/>
        </w:rPr>
        <w:t xml:space="preserve"> respondent by directing it to amend its Memorandum of Incorporation to ensure parity of voting rights, and alternative relief requiring the creation of a unanimous shareholders’ agreement or the compulsory sale of his shares by Ramano, or further alternative relief.</w:t>
      </w:r>
    </w:p>
    <w:p w14:paraId="315E5839" w14:textId="2CB33CB3" w:rsidR="00A84F13" w:rsidRPr="009B1E0E" w:rsidRDefault="00BE377D" w:rsidP="00BE377D">
      <w:pPr>
        <w:widowControl w:val="0"/>
        <w:tabs>
          <w:tab w:val="left" w:pos="1418"/>
        </w:tabs>
        <w:spacing w:before="480" w:after="480" w:line="480" w:lineRule="auto"/>
        <w:ind w:left="1418" w:hanging="851"/>
        <w:jc w:val="both"/>
        <w:rPr>
          <w:rFonts w:cs="Arial"/>
          <w:bCs/>
          <w:szCs w:val="22"/>
        </w:rPr>
      </w:pPr>
      <w:r w:rsidRPr="009B1E0E">
        <w:rPr>
          <w:rFonts w:cs="Arial"/>
          <w:bCs/>
          <w:szCs w:val="22"/>
        </w:rPr>
        <w:t>9.3</w:t>
      </w:r>
      <w:r w:rsidRPr="009B1E0E">
        <w:rPr>
          <w:rFonts w:cs="Arial"/>
          <w:bCs/>
          <w:szCs w:val="22"/>
        </w:rPr>
        <w:tab/>
      </w:r>
      <w:r w:rsidR="00A84F13" w:rsidRPr="009B1E0E">
        <w:rPr>
          <w:rFonts w:cs="Arial"/>
          <w:bCs/>
          <w:szCs w:val="22"/>
        </w:rPr>
        <w:t xml:space="preserve">The relief sought </w:t>
      </w:r>
      <w:r w:rsidR="003E4141" w:rsidRPr="009B1E0E">
        <w:rPr>
          <w:rFonts w:cs="Arial"/>
          <w:bCs/>
          <w:szCs w:val="22"/>
        </w:rPr>
        <w:t xml:space="preserve">in the counter – application </w:t>
      </w:r>
      <w:r w:rsidR="00A84F13" w:rsidRPr="009B1E0E">
        <w:rPr>
          <w:rFonts w:cs="Arial"/>
          <w:bCs/>
          <w:szCs w:val="22"/>
        </w:rPr>
        <w:t>was subsequently expande</w:t>
      </w:r>
      <w:r w:rsidR="00D13D1F" w:rsidRPr="009B1E0E">
        <w:rPr>
          <w:rFonts w:cs="Arial"/>
          <w:bCs/>
          <w:szCs w:val="22"/>
        </w:rPr>
        <w:t>d</w:t>
      </w:r>
      <w:r w:rsidR="00D13D1F" w:rsidRPr="009B1E0E">
        <w:rPr>
          <w:rStyle w:val="FootnoteReference"/>
          <w:rFonts w:cs="Arial"/>
          <w:bCs/>
          <w:szCs w:val="22"/>
        </w:rPr>
        <w:t xml:space="preserve"> </w:t>
      </w:r>
      <w:r w:rsidR="00D04377" w:rsidRPr="009B1E0E">
        <w:rPr>
          <w:rStyle w:val="FootnoteReference"/>
          <w:rFonts w:cs="Arial"/>
          <w:bCs/>
          <w:szCs w:val="22"/>
        </w:rPr>
        <w:footnoteReference w:id="9"/>
      </w:r>
      <w:r w:rsidR="00A84F13" w:rsidRPr="009B1E0E">
        <w:rPr>
          <w:rFonts w:cs="Arial"/>
          <w:bCs/>
          <w:szCs w:val="22"/>
        </w:rPr>
        <w:t xml:space="preserve"> to seek a declaration that a share issue </w:t>
      </w:r>
      <w:r w:rsidR="003A7A9C" w:rsidRPr="009B1E0E">
        <w:rPr>
          <w:rFonts w:cs="Arial"/>
          <w:bCs/>
          <w:szCs w:val="22"/>
        </w:rPr>
        <w:t>originating in</w:t>
      </w:r>
      <w:r w:rsidR="00A84F13" w:rsidRPr="009B1E0E">
        <w:rPr>
          <w:rFonts w:cs="Arial"/>
          <w:bCs/>
          <w:szCs w:val="22"/>
        </w:rPr>
        <w:t xml:space="preserve"> 1998</w:t>
      </w:r>
      <w:r w:rsidR="00860583" w:rsidRPr="009B1E0E">
        <w:rPr>
          <w:rFonts w:cs="Arial"/>
          <w:bCs/>
          <w:szCs w:val="22"/>
        </w:rPr>
        <w:t xml:space="preserve"> that was part of a restructuring of the company</w:t>
      </w:r>
      <w:r w:rsidR="00A84F13" w:rsidRPr="009B1E0E">
        <w:rPr>
          <w:rFonts w:cs="Arial"/>
          <w:bCs/>
          <w:szCs w:val="22"/>
        </w:rPr>
        <w:t xml:space="preserve"> was in contravention of section 221 and 222 of the repealed Companies Act, 61 of 1973 and unlawful </w:t>
      </w:r>
      <w:r w:rsidR="003A7A9C" w:rsidRPr="009B1E0E">
        <w:rPr>
          <w:rFonts w:cs="Arial"/>
          <w:bCs/>
          <w:szCs w:val="22"/>
        </w:rPr>
        <w:t>and</w:t>
      </w:r>
      <w:r w:rsidR="00A84F13" w:rsidRPr="009B1E0E">
        <w:rPr>
          <w:rFonts w:cs="Arial"/>
          <w:bCs/>
          <w:szCs w:val="22"/>
        </w:rPr>
        <w:t xml:space="preserve"> void, alternatively voidable.</w:t>
      </w:r>
    </w:p>
    <w:p w14:paraId="3A6F4EEB" w14:textId="448B3D16" w:rsidR="004874EB" w:rsidRPr="009B1E0E" w:rsidRDefault="00BE377D" w:rsidP="00BE377D">
      <w:pPr>
        <w:widowControl w:val="0"/>
        <w:tabs>
          <w:tab w:val="left" w:pos="1418"/>
        </w:tabs>
        <w:spacing w:before="480" w:after="480" w:line="480" w:lineRule="auto"/>
        <w:ind w:left="1418" w:hanging="851"/>
        <w:jc w:val="both"/>
        <w:rPr>
          <w:rFonts w:cs="Arial"/>
          <w:bCs/>
          <w:szCs w:val="22"/>
        </w:rPr>
      </w:pPr>
      <w:r w:rsidRPr="009B1E0E">
        <w:rPr>
          <w:rFonts w:cs="Arial"/>
          <w:bCs/>
          <w:szCs w:val="22"/>
        </w:rPr>
        <w:t>9.4</w:t>
      </w:r>
      <w:r w:rsidRPr="009B1E0E">
        <w:rPr>
          <w:rFonts w:cs="Arial"/>
          <w:bCs/>
          <w:szCs w:val="22"/>
        </w:rPr>
        <w:tab/>
      </w:r>
      <w:r w:rsidR="004874EB" w:rsidRPr="009B1E0E">
        <w:rPr>
          <w:rFonts w:cs="Arial"/>
          <w:bCs/>
          <w:szCs w:val="22"/>
        </w:rPr>
        <w:t xml:space="preserve">The applicants brought a </w:t>
      </w:r>
      <w:r w:rsidR="00D175C8" w:rsidRPr="009B1E0E">
        <w:rPr>
          <w:rFonts w:cs="Arial"/>
          <w:bCs/>
          <w:szCs w:val="22"/>
        </w:rPr>
        <w:t>conditional</w:t>
      </w:r>
      <w:r w:rsidR="004874EB" w:rsidRPr="009B1E0E">
        <w:rPr>
          <w:rFonts w:cs="Arial"/>
          <w:bCs/>
          <w:szCs w:val="22"/>
        </w:rPr>
        <w:t xml:space="preserve"> counter-applicatio</w:t>
      </w:r>
      <w:r w:rsidR="00D13D1F" w:rsidRPr="009B1E0E">
        <w:rPr>
          <w:rFonts w:cs="Arial"/>
          <w:bCs/>
          <w:szCs w:val="22"/>
        </w:rPr>
        <w:t>n</w:t>
      </w:r>
      <w:r w:rsidR="003704EF" w:rsidRPr="009B1E0E">
        <w:rPr>
          <w:rStyle w:val="FootnoteReference"/>
          <w:rFonts w:cs="Arial"/>
          <w:bCs/>
          <w:szCs w:val="22"/>
        </w:rPr>
        <w:footnoteReference w:id="10"/>
      </w:r>
      <w:r w:rsidR="004874EB" w:rsidRPr="009B1E0E">
        <w:rPr>
          <w:rFonts w:cs="Arial"/>
          <w:bCs/>
          <w:szCs w:val="22"/>
        </w:rPr>
        <w:t xml:space="preserve"> to the expanded relief and sought an order in terms of section 97 of the Companies Act</w:t>
      </w:r>
      <w:r w:rsidR="003A7A9C" w:rsidRPr="009B1E0E">
        <w:rPr>
          <w:rFonts w:cs="Arial"/>
          <w:bCs/>
          <w:szCs w:val="22"/>
        </w:rPr>
        <w:t xml:space="preserve"> of 1973</w:t>
      </w:r>
      <w:r w:rsidR="004874EB" w:rsidRPr="009B1E0E">
        <w:rPr>
          <w:rFonts w:cs="Arial"/>
          <w:bCs/>
          <w:szCs w:val="22"/>
        </w:rPr>
        <w:t xml:space="preserve"> </w:t>
      </w:r>
      <w:r w:rsidR="00D13D1F" w:rsidRPr="009B1E0E">
        <w:rPr>
          <w:rFonts w:cs="Arial"/>
          <w:bCs/>
          <w:szCs w:val="22"/>
        </w:rPr>
        <w:t xml:space="preserve">that to the extent necessary, </w:t>
      </w:r>
      <w:r w:rsidR="004874EB" w:rsidRPr="009B1E0E">
        <w:rPr>
          <w:rFonts w:cs="Arial"/>
          <w:bCs/>
          <w:szCs w:val="22"/>
        </w:rPr>
        <w:t>the</w:t>
      </w:r>
      <w:r w:rsidR="00601C34" w:rsidRPr="009B1E0E">
        <w:rPr>
          <w:rFonts w:cs="Arial"/>
          <w:bCs/>
          <w:szCs w:val="22"/>
        </w:rPr>
        <w:t xml:space="preserve"> share</w:t>
      </w:r>
      <w:r w:rsidR="004874EB" w:rsidRPr="009B1E0E">
        <w:rPr>
          <w:rFonts w:cs="Arial"/>
          <w:bCs/>
          <w:szCs w:val="22"/>
        </w:rPr>
        <w:t xml:space="preserve"> issue</w:t>
      </w:r>
      <w:r w:rsidR="00D13D1F" w:rsidRPr="009B1E0E">
        <w:rPr>
          <w:rFonts w:cs="Arial"/>
          <w:bCs/>
          <w:szCs w:val="22"/>
        </w:rPr>
        <w:t xml:space="preserve"> be validated</w:t>
      </w:r>
      <w:r w:rsidR="00601C34" w:rsidRPr="009B1E0E">
        <w:rPr>
          <w:rFonts w:cs="Arial"/>
          <w:bCs/>
          <w:szCs w:val="22"/>
        </w:rPr>
        <w:t>.</w:t>
      </w:r>
    </w:p>
    <w:p w14:paraId="1EA43937" w14:textId="34373223" w:rsidR="004874EB"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[10]</w:t>
      </w:r>
      <w:r w:rsidRPr="009B1E0E">
        <w:rPr>
          <w:rFonts w:cs="Arial"/>
          <w:bCs/>
          <w:szCs w:val="22"/>
        </w:rPr>
        <w:tab/>
      </w:r>
      <w:r w:rsidR="004874EB" w:rsidRPr="009B1E0E">
        <w:rPr>
          <w:rFonts w:cs="Arial"/>
          <w:bCs/>
          <w:szCs w:val="22"/>
        </w:rPr>
        <w:t>It was agreed prior to argument that all the affidavits are properly before Court and a striking out application brough by the opposing respondents was not proceeded with.</w:t>
      </w:r>
      <w:r w:rsidR="003A7A9C" w:rsidRPr="009B1E0E">
        <w:rPr>
          <w:rFonts w:cs="Arial"/>
          <w:bCs/>
          <w:szCs w:val="22"/>
        </w:rPr>
        <w:t xml:space="preserve"> This sensible agreement between the parties disposed of questions </w:t>
      </w:r>
      <w:r w:rsidR="008E7B78" w:rsidRPr="009B1E0E">
        <w:rPr>
          <w:rFonts w:cs="Arial"/>
          <w:bCs/>
          <w:szCs w:val="22"/>
        </w:rPr>
        <w:t xml:space="preserve">and criticisms relating to </w:t>
      </w:r>
      <w:r w:rsidR="003A7A9C" w:rsidRPr="009B1E0E">
        <w:rPr>
          <w:rFonts w:cs="Arial"/>
          <w:bCs/>
          <w:szCs w:val="22"/>
        </w:rPr>
        <w:t>new matter in reply.</w:t>
      </w:r>
    </w:p>
    <w:p w14:paraId="087F2D5C" w14:textId="77777777" w:rsidR="00295ACB" w:rsidRPr="009B1E0E" w:rsidRDefault="00295ACB" w:rsidP="00DC2CD8">
      <w:pPr>
        <w:widowControl w:val="0"/>
        <w:spacing w:before="480" w:after="480" w:line="480" w:lineRule="auto"/>
        <w:jc w:val="both"/>
        <w:rPr>
          <w:rFonts w:cs="Arial"/>
          <w:bCs/>
          <w:szCs w:val="22"/>
          <w:u w:val="single"/>
        </w:rPr>
      </w:pPr>
    </w:p>
    <w:p w14:paraId="3C523B8D" w14:textId="329E9321" w:rsidR="00DC2CD8" w:rsidRPr="009B1E0E" w:rsidRDefault="00DC2CD8" w:rsidP="00295ACB">
      <w:pPr>
        <w:keepNext/>
        <w:widowControl w:val="0"/>
        <w:spacing w:before="480" w:after="480" w:line="480" w:lineRule="auto"/>
        <w:jc w:val="both"/>
        <w:rPr>
          <w:rFonts w:cs="Arial"/>
          <w:bCs/>
          <w:szCs w:val="22"/>
        </w:rPr>
      </w:pPr>
      <w:r w:rsidRPr="009B1E0E">
        <w:rPr>
          <w:rFonts w:cs="Arial"/>
          <w:bCs/>
          <w:szCs w:val="22"/>
          <w:u w:val="single"/>
        </w:rPr>
        <w:lastRenderedPageBreak/>
        <w:t>A brief history</w:t>
      </w:r>
      <w:r w:rsidRPr="009B1E0E">
        <w:rPr>
          <w:rStyle w:val="FootnoteReference"/>
          <w:rFonts w:cs="Arial"/>
          <w:bCs/>
          <w:szCs w:val="22"/>
        </w:rPr>
        <w:footnoteReference w:id="11"/>
      </w:r>
    </w:p>
    <w:p w14:paraId="53019E83" w14:textId="5471FE57" w:rsidR="00F1543D" w:rsidRPr="009B1E0E" w:rsidRDefault="00BE377D" w:rsidP="00BE377D">
      <w:pPr>
        <w:keepNext/>
        <w:widowControl w:val="0"/>
        <w:tabs>
          <w:tab w:val="left" w:pos="567"/>
        </w:tabs>
        <w:spacing w:before="480" w:after="480" w:line="480" w:lineRule="auto"/>
        <w:jc w:val="both"/>
        <w:rPr>
          <w:rFonts w:cs="Arial"/>
          <w:bCs/>
          <w:szCs w:val="22"/>
        </w:rPr>
      </w:pPr>
      <w:r w:rsidRPr="009B1E0E">
        <w:rPr>
          <w:rFonts w:cs="Arial"/>
          <w:bCs/>
          <w:szCs w:val="22"/>
        </w:rPr>
        <w:t>[11]</w:t>
      </w:r>
      <w:r w:rsidRPr="009B1E0E">
        <w:rPr>
          <w:rFonts w:cs="Arial"/>
          <w:bCs/>
          <w:szCs w:val="22"/>
        </w:rPr>
        <w:tab/>
      </w:r>
      <w:r w:rsidR="00CA3249" w:rsidRPr="009B1E0E">
        <w:rPr>
          <w:rFonts w:cs="Arial"/>
          <w:bCs/>
          <w:szCs w:val="22"/>
        </w:rPr>
        <w:t>In 1998 and after investigations and consultations ALI</w:t>
      </w:r>
      <w:r w:rsidR="00F65210" w:rsidRPr="009B1E0E">
        <w:rPr>
          <w:rFonts w:cs="Arial"/>
          <w:bCs/>
          <w:szCs w:val="22"/>
        </w:rPr>
        <w:t>, a pioneer Black Economic Empowerment company</w:t>
      </w:r>
      <w:r w:rsidR="00295ACB" w:rsidRPr="009B1E0E">
        <w:rPr>
          <w:rFonts w:cs="Arial"/>
          <w:bCs/>
          <w:szCs w:val="22"/>
        </w:rPr>
        <w:t xml:space="preserve"> that arose after </w:t>
      </w:r>
      <w:r w:rsidR="005B69C8" w:rsidRPr="009B1E0E">
        <w:rPr>
          <w:rFonts w:cs="Arial"/>
          <w:bCs/>
          <w:szCs w:val="22"/>
        </w:rPr>
        <w:t>D</w:t>
      </w:r>
      <w:r w:rsidR="00295ACB" w:rsidRPr="009B1E0E">
        <w:rPr>
          <w:rFonts w:cs="Arial"/>
          <w:bCs/>
          <w:szCs w:val="22"/>
        </w:rPr>
        <w:t>emocratisation in 1994</w:t>
      </w:r>
      <w:r w:rsidR="00F65210" w:rsidRPr="009B1E0E">
        <w:rPr>
          <w:rFonts w:cs="Arial"/>
          <w:bCs/>
          <w:szCs w:val="22"/>
        </w:rPr>
        <w:t>,</w:t>
      </w:r>
      <w:r w:rsidR="00CA3249" w:rsidRPr="009B1E0E">
        <w:rPr>
          <w:rFonts w:cs="Arial"/>
          <w:bCs/>
          <w:szCs w:val="22"/>
        </w:rPr>
        <w:t xml:space="preserve"> was restructured. Ramano</w:t>
      </w:r>
      <w:r w:rsidR="00295ACB" w:rsidRPr="009B1E0E">
        <w:rPr>
          <w:rFonts w:cs="Arial"/>
          <w:bCs/>
          <w:szCs w:val="22"/>
        </w:rPr>
        <w:t xml:space="preserve"> </w:t>
      </w:r>
      <w:r w:rsidR="00CA3249" w:rsidRPr="009B1E0E">
        <w:rPr>
          <w:rFonts w:cs="Arial"/>
          <w:bCs/>
          <w:szCs w:val="22"/>
        </w:rPr>
        <w:t>took centre stage and enjoyed voting rights disproportionate</w:t>
      </w:r>
      <w:r w:rsidR="003D59D4" w:rsidRPr="009B1E0E">
        <w:rPr>
          <w:rFonts w:cs="Arial"/>
          <w:bCs/>
          <w:szCs w:val="22"/>
        </w:rPr>
        <w:t xml:space="preserve"> to</w:t>
      </w:r>
      <w:r w:rsidR="00CA3249" w:rsidRPr="009B1E0E">
        <w:rPr>
          <w:rFonts w:cs="Arial"/>
          <w:bCs/>
          <w:szCs w:val="22"/>
        </w:rPr>
        <w:t xml:space="preserve"> and far in excess of his shareholding. This was in </w:t>
      </w:r>
      <w:r w:rsidR="00274153" w:rsidRPr="009B1E0E">
        <w:rPr>
          <w:rFonts w:cs="Arial"/>
          <w:bCs/>
          <w:szCs w:val="22"/>
        </w:rPr>
        <w:t>accordance</w:t>
      </w:r>
      <w:r w:rsidR="00CA3249" w:rsidRPr="009B1E0E">
        <w:rPr>
          <w:rFonts w:cs="Arial"/>
          <w:bCs/>
          <w:szCs w:val="22"/>
        </w:rPr>
        <w:t xml:space="preserve"> with an intended purpose of the </w:t>
      </w:r>
      <w:r w:rsidR="00860583" w:rsidRPr="009B1E0E">
        <w:rPr>
          <w:rFonts w:cs="Arial"/>
          <w:bCs/>
          <w:szCs w:val="22"/>
        </w:rPr>
        <w:t>restructuring</w:t>
      </w:r>
      <w:r w:rsidR="00CA3249" w:rsidRPr="009B1E0E">
        <w:rPr>
          <w:rFonts w:cs="Arial"/>
          <w:bCs/>
          <w:szCs w:val="22"/>
        </w:rPr>
        <w:t xml:space="preserve"> namely to establish a dominant shareholder</w:t>
      </w:r>
      <w:r w:rsidR="00A33524" w:rsidRPr="009B1E0E">
        <w:rPr>
          <w:rFonts w:cs="Arial"/>
          <w:bCs/>
          <w:szCs w:val="22"/>
        </w:rPr>
        <w:t xml:space="preserve"> incentivised to build the company and take it into the future</w:t>
      </w:r>
      <w:r w:rsidR="00CA3249" w:rsidRPr="009B1E0E">
        <w:rPr>
          <w:rFonts w:cs="Arial"/>
          <w:bCs/>
          <w:szCs w:val="22"/>
        </w:rPr>
        <w:t>.</w:t>
      </w:r>
    </w:p>
    <w:p w14:paraId="0DAE4F95" w14:textId="3AAB308A" w:rsidR="006F3FAE"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[12]</w:t>
      </w:r>
      <w:r w:rsidRPr="009B1E0E">
        <w:rPr>
          <w:rFonts w:cs="Arial"/>
          <w:bCs/>
          <w:szCs w:val="22"/>
        </w:rPr>
        <w:tab/>
      </w:r>
      <w:r w:rsidR="006F3FAE" w:rsidRPr="009B1E0E">
        <w:rPr>
          <w:rFonts w:cs="Arial"/>
          <w:bCs/>
          <w:szCs w:val="22"/>
        </w:rPr>
        <w:t>The 4</w:t>
      </w:r>
      <w:r w:rsidR="006F3FAE" w:rsidRPr="009B1E0E">
        <w:rPr>
          <w:rFonts w:cs="Arial"/>
          <w:bCs/>
          <w:szCs w:val="22"/>
          <w:vertAlign w:val="superscript"/>
        </w:rPr>
        <w:t>th</w:t>
      </w:r>
      <w:r w:rsidR="006F3FAE" w:rsidRPr="009B1E0E">
        <w:rPr>
          <w:rFonts w:cs="Arial"/>
          <w:bCs/>
          <w:szCs w:val="22"/>
        </w:rPr>
        <w:t xml:space="preserve"> to 8</w:t>
      </w:r>
      <w:r w:rsidR="006F3FAE" w:rsidRPr="009B1E0E">
        <w:rPr>
          <w:rFonts w:cs="Arial"/>
          <w:bCs/>
          <w:szCs w:val="22"/>
          <w:vertAlign w:val="superscript"/>
        </w:rPr>
        <w:t>th</w:t>
      </w:r>
      <w:r w:rsidR="006F3FAE" w:rsidRPr="009B1E0E">
        <w:rPr>
          <w:rFonts w:cs="Arial"/>
          <w:bCs/>
          <w:szCs w:val="22"/>
        </w:rPr>
        <w:t xml:space="preserve"> respondents were directors of ALI at the time and participated in the restructuring. The proposals were implemented unanimously. As will be shown below, Ahmed who had joined the board a few years later together with the</w:t>
      </w:r>
      <w:r w:rsidR="00DC2CD8" w:rsidRPr="009B1E0E">
        <w:rPr>
          <w:rFonts w:cs="Arial"/>
          <w:bCs/>
          <w:szCs w:val="22"/>
        </w:rPr>
        <w:t xml:space="preserve"> other ALI directors</w:t>
      </w:r>
      <w:r w:rsidR="006F3FAE" w:rsidRPr="009B1E0E">
        <w:rPr>
          <w:rFonts w:cs="Arial"/>
          <w:bCs/>
          <w:szCs w:val="22"/>
        </w:rPr>
        <w:t xml:space="preserve"> now seek to undo the </w:t>
      </w:r>
      <w:r w:rsidR="000B1DD4" w:rsidRPr="009B1E0E">
        <w:rPr>
          <w:rFonts w:cs="Arial"/>
          <w:bCs/>
          <w:szCs w:val="22"/>
        </w:rPr>
        <w:t>restructuring</w:t>
      </w:r>
      <w:r w:rsidR="006F3FAE" w:rsidRPr="009B1E0E">
        <w:rPr>
          <w:rFonts w:cs="Arial"/>
          <w:bCs/>
          <w:szCs w:val="22"/>
        </w:rPr>
        <w:t xml:space="preserve"> in a counter application.</w:t>
      </w:r>
      <w:r w:rsidR="001C6CB9" w:rsidRPr="009B1E0E">
        <w:rPr>
          <w:rFonts w:cs="Arial"/>
          <w:bCs/>
          <w:szCs w:val="22"/>
        </w:rPr>
        <w:t xml:space="preserve"> </w:t>
      </w:r>
    </w:p>
    <w:p w14:paraId="6394D2FE" w14:textId="557D1569" w:rsidR="0094083B"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[13]</w:t>
      </w:r>
      <w:r w:rsidRPr="009B1E0E">
        <w:rPr>
          <w:rFonts w:cs="Arial"/>
          <w:bCs/>
          <w:szCs w:val="22"/>
        </w:rPr>
        <w:tab/>
      </w:r>
      <w:r w:rsidR="001B3CB7" w:rsidRPr="009B1E0E">
        <w:rPr>
          <w:rFonts w:cs="Arial"/>
          <w:bCs/>
          <w:szCs w:val="22"/>
        </w:rPr>
        <w:t xml:space="preserve">Disputes arose within the company. </w:t>
      </w:r>
      <w:r w:rsidR="0094083B" w:rsidRPr="009B1E0E">
        <w:rPr>
          <w:rFonts w:cs="Arial"/>
          <w:bCs/>
          <w:szCs w:val="22"/>
        </w:rPr>
        <w:t xml:space="preserve">Early in 2019 Ramano was removed as the executive </w:t>
      </w:r>
      <w:r w:rsidR="004A1341" w:rsidRPr="009B1E0E">
        <w:rPr>
          <w:rFonts w:cs="Arial"/>
          <w:bCs/>
          <w:szCs w:val="22"/>
        </w:rPr>
        <w:t xml:space="preserve">chairperson </w:t>
      </w:r>
      <w:r w:rsidR="0094083B" w:rsidRPr="009B1E0E">
        <w:rPr>
          <w:rFonts w:cs="Arial"/>
          <w:bCs/>
          <w:szCs w:val="22"/>
        </w:rPr>
        <w:t>of the board of ALI and OTS56 by the directors of the two companies.</w:t>
      </w:r>
      <w:r w:rsidR="0094083B" w:rsidRPr="009B1E0E">
        <w:rPr>
          <w:rStyle w:val="FootnoteReference"/>
          <w:rFonts w:cs="Arial"/>
          <w:bCs/>
          <w:szCs w:val="22"/>
        </w:rPr>
        <w:footnoteReference w:id="12"/>
      </w:r>
      <w:r w:rsidR="00E33CEE" w:rsidRPr="009B1E0E">
        <w:rPr>
          <w:rFonts w:cs="Arial"/>
          <w:bCs/>
          <w:szCs w:val="22"/>
        </w:rPr>
        <w:t xml:space="preserve"> In the same time period Ahmed and </w:t>
      </w:r>
      <w:r w:rsidR="00A45D31" w:rsidRPr="009B1E0E">
        <w:rPr>
          <w:rFonts w:cs="Arial"/>
          <w:bCs/>
          <w:szCs w:val="22"/>
        </w:rPr>
        <w:t>the 6</w:t>
      </w:r>
      <w:r w:rsidR="00A45D31" w:rsidRPr="009B1E0E">
        <w:rPr>
          <w:rFonts w:cs="Arial"/>
          <w:bCs/>
          <w:szCs w:val="22"/>
          <w:vertAlign w:val="superscript"/>
        </w:rPr>
        <w:t>th</w:t>
      </w:r>
      <w:r w:rsidR="00A45D31" w:rsidRPr="009B1E0E">
        <w:rPr>
          <w:rFonts w:cs="Arial"/>
          <w:bCs/>
          <w:szCs w:val="22"/>
        </w:rPr>
        <w:t xml:space="preserve"> respondent (“</w:t>
      </w:r>
      <w:r w:rsidR="00E33CEE" w:rsidRPr="009B1E0E">
        <w:rPr>
          <w:rFonts w:cs="Arial"/>
          <w:bCs/>
          <w:szCs w:val="22"/>
        </w:rPr>
        <w:t>Scott</w:t>
      </w:r>
      <w:r w:rsidR="00A45D31" w:rsidRPr="009B1E0E">
        <w:rPr>
          <w:rFonts w:cs="Arial"/>
          <w:bCs/>
          <w:szCs w:val="22"/>
        </w:rPr>
        <w:t>”)</w:t>
      </w:r>
      <w:r w:rsidR="00E33CEE" w:rsidRPr="009B1E0E">
        <w:rPr>
          <w:rFonts w:cs="Arial"/>
          <w:bCs/>
          <w:szCs w:val="22"/>
        </w:rPr>
        <w:t xml:space="preserve"> obtained irrevocable undertakings</w:t>
      </w:r>
      <w:r w:rsidR="00E33CEE" w:rsidRPr="009B1E0E">
        <w:rPr>
          <w:rStyle w:val="FootnoteReference"/>
          <w:rFonts w:cs="Arial"/>
          <w:bCs/>
          <w:szCs w:val="22"/>
        </w:rPr>
        <w:footnoteReference w:id="13"/>
      </w:r>
      <w:r w:rsidR="00E33CEE" w:rsidRPr="009B1E0E">
        <w:rPr>
          <w:rFonts w:cs="Arial"/>
          <w:bCs/>
          <w:szCs w:val="22"/>
        </w:rPr>
        <w:t xml:space="preserve"> from shareholders of ALI,</w:t>
      </w:r>
      <w:r w:rsidR="00E33CEE" w:rsidRPr="009B1E0E">
        <w:rPr>
          <w:rStyle w:val="FootnoteReference"/>
          <w:rFonts w:cs="Arial"/>
          <w:bCs/>
          <w:szCs w:val="22"/>
        </w:rPr>
        <w:footnoteReference w:id="14"/>
      </w:r>
      <w:r w:rsidR="00E33CEE" w:rsidRPr="009B1E0E">
        <w:rPr>
          <w:rFonts w:cs="Arial"/>
          <w:bCs/>
          <w:szCs w:val="22"/>
        </w:rPr>
        <w:t xml:space="preserve"> to vote in favour of, inter alia, the removal of Ramano as a director and </w:t>
      </w:r>
      <w:r w:rsidR="004A1341" w:rsidRPr="009B1E0E">
        <w:rPr>
          <w:rFonts w:cs="Arial"/>
          <w:bCs/>
          <w:szCs w:val="22"/>
        </w:rPr>
        <w:t xml:space="preserve">chairperson </w:t>
      </w:r>
      <w:r w:rsidR="00E33CEE" w:rsidRPr="009B1E0E">
        <w:rPr>
          <w:rFonts w:cs="Arial"/>
          <w:bCs/>
          <w:szCs w:val="22"/>
        </w:rPr>
        <w:t xml:space="preserve"> of ALI.</w:t>
      </w:r>
    </w:p>
    <w:p w14:paraId="482C2E56" w14:textId="2AECB233" w:rsidR="0094083B"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[14]</w:t>
      </w:r>
      <w:r w:rsidRPr="009B1E0E">
        <w:rPr>
          <w:rFonts w:cs="Arial"/>
          <w:bCs/>
          <w:szCs w:val="22"/>
        </w:rPr>
        <w:tab/>
      </w:r>
      <w:r w:rsidR="00E33CEE" w:rsidRPr="009B1E0E">
        <w:rPr>
          <w:rFonts w:cs="Arial"/>
          <w:bCs/>
          <w:szCs w:val="22"/>
        </w:rPr>
        <w:t>On 4 April 2019 there served resolutions before a general meeting of ALI calling for the removal of Ramano as director, the removal of the ALI directors, and the appointment of new directors. These resolutions were not voted on</w:t>
      </w:r>
      <w:r w:rsidR="00FA34CB" w:rsidRPr="009B1E0E">
        <w:rPr>
          <w:rFonts w:cs="Arial"/>
          <w:bCs/>
          <w:szCs w:val="22"/>
        </w:rPr>
        <w:t xml:space="preserve">; instead a Shareholders </w:t>
      </w:r>
      <w:r w:rsidR="000B1DD4" w:rsidRPr="009B1E0E">
        <w:rPr>
          <w:rFonts w:cs="Arial"/>
          <w:bCs/>
          <w:szCs w:val="22"/>
        </w:rPr>
        <w:t>Committee</w:t>
      </w:r>
      <w:r w:rsidR="00FA34CB" w:rsidRPr="009B1E0E">
        <w:rPr>
          <w:rFonts w:cs="Arial"/>
          <w:bCs/>
          <w:szCs w:val="22"/>
        </w:rPr>
        <w:t xml:space="preserve"> (commonly referred to as the SOC or Shareholders Oversight Committee) was </w:t>
      </w:r>
      <w:r w:rsidR="001B3CB7" w:rsidRPr="009B1E0E">
        <w:rPr>
          <w:rFonts w:cs="Arial"/>
          <w:bCs/>
          <w:szCs w:val="22"/>
        </w:rPr>
        <w:t>appointed</w:t>
      </w:r>
      <w:r w:rsidR="00FA34CB" w:rsidRPr="009B1E0E">
        <w:rPr>
          <w:rFonts w:cs="Arial"/>
          <w:bCs/>
          <w:szCs w:val="22"/>
        </w:rPr>
        <w:t xml:space="preserve"> </w:t>
      </w:r>
      <w:r w:rsidR="00FA34CB" w:rsidRPr="009B1E0E">
        <w:rPr>
          <w:rFonts w:cs="Arial"/>
          <w:bCs/>
          <w:szCs w:val="22"/>
        </w:rPr>
        <w:lastRenderedPageBreak/>
        <w:t>to investigate the impasse on the board and other issues. Th</w:t>
      </w:r>
      <w:r w:rsidR="001B3CB7" w:rsidRPr="009B1E0E">
        <w:rPr>
          <w:rFonts w:cs="Arial"/>
          <w:bCs/>
          <w:szCs w:val="22"/>
        </w:rPr>
        <w:t>e SOC was appointed unanimously.</w:t>
      </w:r>
      <w:r w:rsidR="00FA34CB" w:rsidRPr="009B1E0E">
        <w:rPr>
          <w:rStyle w:val="FootnoteReference"/>
          <w:rFonts w:cs="Arial"/>
          <w:bCs/>
          <w:szCs w:val="22"/>
        </w:rPr>
        <w:footnoteReference w:id="15"/>
      </w:r>
    </w:p>
    <w:p w14:paraId="60AA97F6" w14:textId="2445F5A0" w:rsidR="0094083B"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[15]</w:t>
      </w:r>
      <w:r w:rsidRPr="009B1E0E">
        <w:rPr>
          <w:rFonts w:cs="Arial"/>
          <w:bCs/>
          <w:szCs w:val="22"/>
        </w:rPr>
        <w:tab/>
      </w:r>
      <w:r w:rsidR="00722E25" w:rsidRPr="009B1E0E">
        <w:rPr>
          <w:rFonts w:cs="Arial"/>
          <w:bCs/>
          <w:szCs w:val="22"/>
        </w:rPr>
        <w:t>The SOC furnished an interim report to shareholders in August 2019</w:t>
      </w:r>
      <w:r w:rsidR="00722E25" w:rsidRPr="009B1E0E">
        <w:rPr>
          <w:rStyle w:val="FootnoteReference"/>
          <w:rFonts w:cs="Arial"/>
          <w:bCs/>
          <w:szCs w:val="22"/>
        </w:rPr>
        <w:footnoteReference w:id="16"/>
      </w:r>
      <w:r w:rsidR="00722E25" w:rsidRPr="009B1E0E">
        <w:rPr>
          <w:rFonts w:cs="Arial"/>
          <w:bCs/>
          <w:szCs w:val="22"/>
        </w:rPr>
        <w:t xml:space="preserve"> and an update followed in December of that year. The SOC sought to discuss their findings at a shareholders general meeting.</w:t>
      </w:r>
    </w:p>
    <w:p w14:paraId="255B176E" w14:textId="77777777" w:rsidR="00295ACB" w:rsidRPr="009B1E0E" w:rsidRDefault="00295ACB" w:rsidP="00A84F13">
      <w:pPr>
        <w:widowControl w:val="0"/>
        <w:spacing w:before="480" w:after="480" w:line="480" w:lineRule="auto"/>
        <w:jc w:val="both"/>
        <w:rPr>
          <w:rFonts w:cs="Arial"/>
          <w:bCs/>
          <w:szCs w:val="22"/>
          <w:u w:val="single"/>
        </w:rPr>
      </w:pPr>
    </w:p>
    <w:p w14:paraId="78F33130" w14:textId="6F943FA9" w:rsidR="00A84F13" w:rsidRPr="009B1E0E" w:rsidRDefault="00A84F13" w:rsidP="005B69C8">
      <w:pPr>
        <w:keepNext/>
        <w:widowControl w:val="0"/>
        <w:spacing w:before="480" w:after="480" w:line="480" w:lineRule="auto"/>
        <w:jc w:val="both"/>
        <w:rPr>
          <w:rFonts w:cs="Arial"/>
          <w:bCs/>
          <w:szCs w:val="22"/>
          <w:u w:val="single"/>
        </w:rPr>
      </w:pPr>
      <w:r w:rsidRPr="009B1E0E">
        <w:rPr>
          <w:rFonts w:cs="Arial"/>
          <w:bCs/>
          <w:szCs w:val="22"/>
          <w:u w:val="single"/>
        </w:rPr>
        <w:t>The applicants’ main application</w:t>
      </w:r>
    </w:p>
    <w:p w14:paraId="1BCBAD18" w14:textId="742400F7" w:rsidR="007D3E62" w:rsidRPr="009B1E0E" w:rsidRDefault="00BE377D" w:rsidP="00BE377D">
      <w:pPr>
        <w:keepNext/>
        <w:widowControl w:val="0"/>
        <w:tabs>
          <w:tab w:val="left" w:pos="567"/>
        </w:tabs>
        <w:spacing w:before="480" w:after="480" w:line="480" w:lineRule="auto"/>
        <w:jc w:val="both"/>
        <w:rPr>
          <w:rFonts w:cs="Arial"/>
          <w:bCs/>
          <w:szCs w:val="22"/>
        </w:rPr>
      </w:pPr>
      <w:r w:rsidRPr="009B1E0E">
        <w:rPr>
          <w:rFonts w:cs="Arial"/>
          <w:bCs/>
          <w:szCs w:val="22"/>
        </w:rPr>
        <w:t>[16]</w:t>
      </w:r>
      <w:r w:rsidRPr="009B1E0E">
        <w:rPr>
          <w:rFonts w:cs="Arial"/>
          <w:bCs/>
          <w:szCs w:val="22"/>
        </w:rPr>
        <w:tab/>
      </w:r>
      <w:r w:rsidR="00AA206E" w:rsidRPr="009B1E0E">
        <w:rPr>
          <w:rFonts w:cs="Arial"/>
          <w:bCs/>
          <w:szCs w:val="22"/>
        </w:rPr>
        <w:t>Early in</w:t>
      </w:r>
      <w:r w:rsidR="00A33524" w:rsidRPr="009B1E0E">
        <w:rPr>
          <w:rFonts w:cs="Arial"/>
          <w:bCs/>
          <w:szCs w:val="22"/>
        </w:rPr>
        <w:t xml:space="preserve"> 2020 there was a dispute about the need</w:t>
      </w:r>
      <w:r w:rsidR="005218EF" w:rsidRPr="009B1E0E">
        <w:rPr>
          <w:rFonts w:cs="Arial"/>
          <w:bCs/>
          <w:szCs w:val="22"/>
        </w:rPr>
        <w:t xml:space="preserve"> or otherwise</w:t>
      </w:r>
      <w:r w:rsidR="00A33524" w:rsidRPr="009B1E0E">
        <w:rPr>
          <w:rFonts w:cs="Arial"/>
          <w:bCs/>
          <w:szCs w:val="22"/>
        </w:rPr>
        <w:t xml:space="preserve"> to have a general meeting. </w:t>
      </w:r>
      <w:r w:rsidR="005218EF" w:rsidRPr="009B1E0E">
        <w:rPr>
          <w:rFonts w:cs="Arial"/>
          <w:bCs/>
          <w:szCs w:val="22"/>
        </w:rPr>
        <w:t xml:space="preserve">Litigation followed but the ALI </w:t>
      </w:r>
      <w:r w:rsidR="001B3CB7" w:rsidRPr="009B1E0E">
        <w:rPr>
          <w:rFonts w:cs="Arial"/>
          <w:bCs/>
          <w:szCs w:val="22"/>
        </w:rPr>
        <w:t xml:space="preserve">directors </w:t>
      </w:r>
      <w:r w:rsidR="005218EF" w:rsidRPr="009B1E0E">
        <w:rPr>
          <w:rFonts w:cs="Arial"/>
          <w:bCs/>
          <w:szCs w:val="22"/>
        </w:rPr>
        <w:t>committed to the date of</w:t>
      </w:r>
      <w:r w:rsidR="00D33B27" w:rsidRPr="009B1E0E">
        <w:rPr>
          <w:rFonts w:cs="Arial"/>
          <w:bCs/>
          <w:szCs w:val="22"/>
        </w:rPr>
        <w:t xml:space="preserve"> </w:t>
      </w:r>
      <w:r w:rsidR="00213B3D" w:rsidRPr="009B1E0E">
        <w:rPr>
          <w:rFonts w:cs="Arial"/>
          <w:bCs/>
          <w:szCs w:val="22"/>
        </w:rPr>
        <w:t>27 February 2020</w:t>
      </w:r>
      <w:r w:rsidR="005218EF" w:rsidRPr="009B1E0E">
        <w:rPr>
          <w:rFonts w:cs="Arial"/>
          <w:bCs/>
          <w:szCs w:val="22"/>
        </w:rPr>
        <w:t xml:space="preserve"> for the annual general meeting</w:t>
      </w:r>
      <w:r w:rsidR="00AA206E" w:rsidRPr="009B1E0E">
        <w:rPr>
          <w:rFonts w:cs="Arial"/>
          <w:bCs/>
          <w:szCs w:val="22"/>
        </w:rPr>
        <w:t>.</w:t>
      </w:r>
    </w:p>
    <w:p w14:paraId="5683CFCF" w14:textId="1381C30A" w:rsidR="00AA206E"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[17]</w:t>
      </w:r>
      <w:r w:rsidRPr="009B1E0E">
        <w:rPr>
          <w:rFonts w:cs="Arial"/>
          <w:bCs/>
          <w:szCs w:val="22"/>
        </w:rPr>
        <w:tab/>
      </w:r>
      <w:r w:rsidR="00AA206E" w:rsidRPr="009B1E0E">
        <w:rPr>
          <w:rFonts w:cs="Arial"/>
          <w:bCs/>
          <w:szCs w:val="22"/>
        </w:rPr>
        <w:t>The members of the board were at loggerheads and this is evidenced for instance by a letter</w:t>
      </w:r>
      <w:r w:rsidR="00AA206E" w:rsidRPr="009B1E0E">
        <w:rPr>
          <w:rStyle w:val="FootnoteReference"/>
          <w:rFonts w:cs="Arial"/>
          <w:bCs/>
          <w:szCs w:val="22"/>
        </w:rPr>
        <w:footnoteReference w:id="17"/>
      </w:r>
      <w:r w:rsidR="00AA206E" w:rsidRPr="009B1E0E">
        <w:rPr>
          <w:rFonts w:cs="Arial"/>
          <w:bCs/>
          <w:szCs w:val="22"/>
        </w:rPr>
        <w:t xml:space="preserve"> by the </w:t>
      </w:r>
      <w:r w:rsidR="004A1341" w:rsidRPr="009B1E0E">
        <w:rPr>
          <w:rFonts w:cs="Arial"/>
          <w:bCs/>
          <w:szCs w:val="22"/>
        </w:rPr>
        <w:t xml:space="preserve">chairperson </w:t>
      </w:r>
      <w:r w:rsidR="00AA206E" w:rsidRPr="009B1E0E">
        <w:rPr>
          <w:rFonts w:cs="Arial"/>
          <w:bCs/>
          <w:szCs w:val="22"/>
        </w:rPr>
        <w:t xml:space="preserve"> of the board, the 4</w:t>
      </w:r>
      <w:r w:rsidR="00AA206E" w:rsidRPr="009B1E0E">
        <w:rPr>
          <w:rFonts w:cs="Arial"/>
          <w:bCs/>
          <w:szCs w:val="22"/>
          <w:vertAlign w:val="superscript"/>
        </w:rPr>
        <w:t>th</w:t>
      </w:r>
      <w:r w:rsidR="00AA206E" w:rsidRPr="009B1E0E">
        <w:rPr>
          <w:rFonts w:cs="Arial"/>
          <w:bCs/>
          <w:szCs w:val="22"/>
        </w:rPr>
        <w:t xml:space="preserve"> respondent (“Oliphant”) to shareholders on 27 January 2020 on behalf of all board members except Ramano, and setting out the majority’s views of the dispute between Ramano and the other board members. The letter </w:t>
      </w:r>
      <w:r w:rsidR="001C02F9" w:rsidRPr="009B1E0E">
        <w:rPr>
          <w:rFonts w:cs="Arial"/>
          <w:bCs/>
          <w:szCs w:val="22"/>
        </w:rPr>
        <w:t>was written in response to correspondence circulated by Ramano and</w:t>
      </w:r>
      <w:r w:rsidR="005B69C8" w:rsidRPr="009B1E0E">
        <w:rPr>
          <w:rFonts w:cs="Arial"/>
          <w:bCs/>
          <w:szCs w:val="22"/>
        </w:rPr>
        <w:t xml:space="preserve"> the letter also </w:t>
      </w:r>
      <w:r w:rsidR="00AA206E" w:rsidRPr="009B1E0E">
        <w:rPr>
          <w:rFonts w:cs="Arial"/>
          <w:bCs/>
          <w:szCs w:val="22"/>
        </w:rPr>
        <w:t>confirm</w:t>
      </w:r>
      <w:r w:rsidR="00F07432" w:rsidRPr="009B1E0E">
        <w:rPr>
          <w:rFonts w:cs="Arial"/>
          <w:bCs/>
          <w:szCs w:val="22"/>
        </w:rPr>
        <w:t>ed</w:t>
      </w:r>
      <w:r w:rsidR="00AA206E" w:rsidRPr="009B1E0E">
        <w:rPr>
          <w:rFonts w:cs="Arial"/>
          <w:bCs/>
          <w:szCs w:val="22"/>
        </w:rPr>
        <w:t xml:space="preserve"> that the annual general meeting would take place on 27 February 2020.</w:t>
      </w:r>
    </w:p>
    <w:p w14:paraId="1BD7BB0E" w14:textId="73DA29C8" w:rsidR="007D3E62"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[18]</w:t>
      </w:r>
      <w:r w:rsidRPr="009B1E0E">
        <w:rPr>
          <w:rFonts w:cs="Arial"/>
          <w:bCs/>
          <w:szCs w:val="22"/>
        </w:rPr>
        <w:tab/>
      </w:r>
      <w:r w:rsidR="00213B3D" w:rsidRPr="009B1E0E">
        <w:rPr>
          <w:rFonts w:cs="Arial"/>
          <w:bCs/>
          <w:szCs w:val="22"/>
        </w:rPr>
        <w:t>The meeting scheduled for 27 February 2020 was convened on 12 February 2020 with a record date of 26 February 2020.</w:t>
      </w:r>
      <w:r w:rsidR="007D3E62" w:rsidRPr="009B1E0E">
        <w:rPr>
          <w:rFonts w:cs="Arial"/>
          <w:bCs/>
          <w:szCs w:val="22"/>
        </w:rPr>
        <w:t xml:space="preserve"> At the meeting the shareholders </w:t>
      </w:r>
      <w:r w:rsidR="003C43D7" w:rsidRPr="009B1E0E">
        <w:rPr>
          <w:rFonts w:cs="Arial"/>
          <w:bCs/>
          <w:szCs w:val="22"/>
        </w:rPr>
        <w:t>were</w:t>
      </w:r>
      <w:r w:rsidR="007D3E62" w:rsidRPr="009B1E0E">
        <w:rPr>
          <w:rFonts w:cs="Arial"/>
          <w:bCs/>
          <w:szCs w:val="22"/>
        </w:rPr>
        <w:t xml:space="preserve"> to </w:t>
      </w:r>
      <w:r w:rsidR="00213B3D" w:rsidRPr="009B1E0E">
        <w:rPr>
          <w:rFonts w:cs="Arial"/>
          <w:bCs/>
          <w:szCs w:val="22"/>
        </w:rPr>
        <w:t xml:space="preserve">vote on </w:t>
      </w:r>
      <w:r w:rsidR="00213B3D" w:rsidRPr="009B1E0E">
        <w:rPr>
          <w:rFonts w:cs="Arial"/>
          <w:bCs/>
          <w:szCs w:val="22"/>
        </w:rPr>
        <w:lastRenderedPageBreak/>
        <w:t>a number of</w:t>
      </w:r>
      <w:r w:rsidR="007D3E62" w:rsidRPr="009B1E0E">
        <w:rPr>
          <w:rFonts w:cs="Arial"/>
          <w:bCs/>
          <w:szCs w:val="22"/>
        </w:rPr>
        <w:t xml:space="preserve"> resolutions,</w:t>
      </w:r>
      <w:r w:rsidR="009D415C" w:rsidRPr="009B1E0E">
        <w:rPr>
          <w:rStyle w:val="FootnoteReference"/>
          <w:rFonts w:cs="Arial"/>
          <w:bCs/>
          <w:szCs w:val="22"/>
        </w:rPr>
        <w:footnoteReference w:id="18"/>
      </w:r>
      <w:r w:rsidR="007D3E62" w:rsidRPr="009B1E0E">
        <w:rPr>
          <w:rFonts w:cs="Arial"/>
          <w:bCs/>
          <w:szCs w:val="22"/>
        </w:rPr>
        <w:t xml:space="preserve"> </w:t>
      </w:r>
      <w:r w:rsidR="00213B3D" w:rsidRPr="009B1E0E">
        <w:rPr>
          <w:rFonts w:cs="Arial"/>
          <w:bCs/>
          <w:szCs w:val="22"/>
        </w:rPr>
        <w:t>including</w:t>
      </w:r>
      <w:r w:rsidR="007D3E62" w:rsidRPr="009B1E0E">
        <w:rPr>
          <w:rFonts w:cs="Arial"/>
          <w:bCs/>
          <w:szCs w:val="22"/>
        </w:rPr>
        <w:t xml:space="preserve"> one to remove Ramano as director and </w:t>
      </w:r>
      <w:r w:rsidR="00213B3D" w:rsidRPr="009B1E0E">
        <w:rPr>
          <w:rFonts w:cs="Arial"/>
          <w:bCs/>
          <w:szCs w:val="22"/>
        </w:rPr>
        <w:t>six</w:t>
      </w:r>
      <w:r w:rsidR="007D3E62" w:rsidRPr="009B1E0E">
        <w:rPr>
          <w:rFonts w:cs="Arial"/>
          <w:bCs/>
          <w:szCs w:val="22"/>
        </w:rPr>
        <w:t xml:space="preserve"> other</w:t>
      </w:r>
      <w:r w:rsidR="00213B3D" w:rsidRPr="009B1E0E">
        <w:rPr>
          <w:rFonts w:cs="Arial"/>
          <w:bCs/>
          <w:szCs w:val="22"/>
        </w:rPr>
        <w:t>s</w:t>
      </w:r>
      <w:r w:rsidR="007D3E62" w:rsidRPr="009B1E0E">
        <w:rPr>
          <w:rFonts w:cs="Arial"/>
          <w:bCs/>
          <w:szCs w:val="22"/>
        </w:rPr>
        <w:t xml:space="preserve"> to remove the </w:t>
      </w:r>
      <w:r w:rsidR="00213B3D" w:rsidRPr="009B1E0E">
        <w:rPr>
          <w:rFonts w:cs="Arial"/>
          <w:bCs/>
          <w:szCs w:val="22"/>
        </w:rPr>
        <w:t>ALI directors.</w:t>
      </w:r>
      <w:r w:rsidR="007D3E62" w:rsidRPr="009B1E0E">
        <w:rPr>
          <w:rFonts w:cs="Arial"/>
          <w:bCs/>
          <w:szCs w:val="22"/>
        </w:rPr>
        <w:t xml:space="preserve"> </w:t>
      </w:r>
      <w:r w:rsidR="00213B3D" w:rsidRPr="009B1E0E">
        <w:rPr>
          <w:rFonts w:cs="Arial"/>
          <w:bCs/>
          <w:szCs w:val="22"/>
        </w:rPr>
        <w:t>The notice also provided for the appointment of four new directors.</w:t>
      </w:r>
    </w:p>
    <w:p w14:paraId="206AFF08" w14:textId="3C571555" w:rsidR="00AA206E"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[19]</w:t>
      </w:r>
      <w:r w:rsidRPr="009B1E0E">
        <w:rPr>
          <w:rFonts w:cs="Arial"/>
          <w:bCs/>
          <w:szCs w:val="22"/>
        </w:rPr>
        <w:tab/>
      </w:r>
      <w:r w:rsidR="007D3E62" w:rsidRPr="009B1E0E">
        <w:rPr>
          <w:rFonts w:cs="Arial"/>
          <w:bCs/>
          <w:szCs w:val="22"/>
        </w:rPr>
        <w:t>It was apparent that the balance of power at the shareholders’ meeting was with the Ramano faction and that</w:t>
      </w:r>
      <w:r w:rsidR="001C44CF" w:rsidRPr="009B1E0E">
        <w:rPr>
          <w:rFonts w:cs="Arial"/>
          <w:bCs/>
          <w:szCs w:val="22"/>
        </w:rPr>
        <w:t>, barring something unexpected happening, the Ramano faction would have their way and the other directors, including Ahmed would be removed</w:t>
      </w:r>
      <w:r w:rsidR="003862E0" w:rsidRPr="009B1E0E">
        <w:rPr>
          <w:rFonts w:cs="Arial"/>
          <w:bCs/>
          <w:szCs w:val="22"/>
        </w:rPr>
        <w:t xml:space="preserve"> by the shareholders in general meeting</w:t>
      </w:r>
      <w:r w:rsidR="001C44CF" w:rsidRPr="009B1E0E">
        <w:rPr>
          <w:rFonts w:cs="Arial"/>
          <w:bCs/>
          <w:szCs w:val="22"/>
        </w:rPr>
        <w:t>.</w:t>
      </w:r>
      <w:r w:rsidR="00213B3D" w:rsidRPr="009B1E0E">
        <w:rPr>
          <w:rFonts w:cs="Arial"/>
          <w:bCs/>
          <w:szCs w:val="22"/>
        </w:rPr>
        <w:t xml:space="preserve"> </w:t>
      </w:r>
    </w:p>
    <w:p w14:paraId="51B76D27" w14:textId="01873DB6" w:rsidR="005218EF"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[20]</w:t>
      </w:r>
      <w:r w:rsidRPr="009B1E0E">
        <w:rPr>
          <w:rFonts w:cs="Arial"/>
          <w:bCs/>
          <w:szCs w:val="22"/>
        </w:rPr>
        <w:tab/>
      </w:r>
      <w:r w:rsidR="00495504" w:rsidRPr="009B1E0E">
        <w:rPr>
          <w:rFonts w:cs="Arial"/>
          <w:bCs/>
          <w:szCs w:val="22"/>
        </w:rPr>
        <w:t xml:space="preserve">Something did happen and the applicants say it was unexpected. </w:t>
      </w:r>
      <w:r w:rsidR="003862E0" w:rsidRPr="009B1E0E">
        <w:rPr>
          <w:rFonts w:cs="Arial"/>
          <w:bCs/>
          <w:szCs w:val="22"/>
        </w:rPr>
        <w:t xml:space="preserve">On 25 February 2020 </w:t>
      </w:r>
      <w:r w:rsidR="005218EF" w:rsidRPr="009B1E0E">
        <w:rPr>
          <w:rFonts w:cs="Arial"/>
          <w:bCs/>
          <w:szCs w:val="22"/>
        </w:rPr>
        <w:t>a number of events took place in quick succession:</w:t>
      </w:r>
    </w:p>
    <w:p w14:paraId="1E59F90F" w14:textId="245239FC" w:rsidR="005218EF" w:rsidRPr="009B1E0E" w:rsidRDefault="00BE377D" w:rsidP="00BE377D">
      <w:pPr>
        <w:widowControl w:val="0"/>
        <w:tabs>
          <w:tab w:val="left" w:pos="1418"/>
        </w:tabs>
        <w:spacing w:before="480" w:after="480" w:line="480" w:lineRule="auto"/>
        <w:ind w:left="1418" w:hanging="851"/>
        <w:jc w:val="both"/>
        <w:rPr>
          <w:rFonts w:cs="Arial"/>
          <w:bCs/>
          <w:szCs w:val="22"/>
        </w:rPr>
      </w:pPr>
      <w:r w:rsidRPr="009B1E0E">
        <w:rPr>
          <w:rFonts w:cs="Arial"/>
          <w:bCs/>
          <w:szCs w:val="22"/>
        </w:rPr>
        <w:t>20.1</w:t>
      </w:r>
      <w:r w:rsidRPr="009B1E0E">
        <w:rPr>
          <w:rFonts w:cs="Arial"/>
          <w:bCs/>
          <w:szCs w:val="22"/>
        </w:rPr>
        <w:tab/>
      </w:r>
      <w:r w:rsidR="00B21014" w:rsidRPr="009B1E0E">
        <w:rPr>
          <w:rFonts w:cs="Arial"/>
          <w:bCs/>
          <w:szCs w:val="22"/>
        </w:rPr>
        <w:t>Ahmed as the company secretary circulated</w:t>
      </w:r>
      <w:r w:rsidR="00B21014" w:rsidRPr="009B1E0E">
        <w:rPr>
          <w:rStyle w:val="FootnoteReference"/>
          <w:rFonts w:cs="Arial"/>
          <w:bCs/>
          <w:szCs w:val="22"/>
        </w:rPr>
        <w:footnoteReference w:id="19"/>
      </w:r>
      <w:r w:rsidR="00B21014" w:rsidRPr="009B1E0E">
        <w:rPr>
          <w:rFonts w:cs="Arial"/>
          <w:bCs/>
          <w:szCs w:val="22"/>
        </w:rPr>
        <w:t xml:space="preserve"> proposed resolutions in accordance with section 74 of the Companies Act and clause 31.4</w:t>
      </w:r>
      <w:r w:rsidR="00D31F39" w:rsidRPr="009B1E0E">
        <w:rPr>
          <w:rFonts w:cs="Arial"/>
          <w:bCs/>
          <w:szCs w:val="22"/>
        </w:rPr>
        <w:t>.1</w:t>
      </w:r>
      <w:r w:rsidR="00B21014" w:rsidRPr="009B1E0E">
        <w:rPr>
          <w:rFonts w:cs="Arial"/>
          <w:bCs/>
          <w:szCs w:val="22"/>
        </w:rPr>
        <w:t xml:space="preserve"> of the </w:t>
      </w:r>
      <w:r w:rsidR="00105CCA" w:rsidRPr="009B1E0E">
        <w:rPr>
          <w:rFonts w:cs="Arial"/>
          <w:bCs/>
          <w:szCs w:val="22"/>
        </w:rPr>
        <w:t>Memorandum of Incorporation (“</w:t>
      </w:r>
      <w:r w:rsidR="00D31F39" w:rsidRPr="009B1E0E">
        <w:rPr>
          <w:rFonts w:cs="Arial"/>
          <w:bCs/>
          <w:szCs w:val="22"/>
        </w:rPr>
        <w:t>MOI</w:t>
      </w:r>
      <w:r w:rsidR="00105CCA" w:rsidRPr="009B1E0E">
        <w:rPr>
          <w:rFonts w:cs="Arial"/>
          <w:bCs/>
          <w:szCs w:val="22"/>
        </w:rPr>
        <w:t>”)</w:t>
      </w:r>
      <w:r w:rsidR="00B21014" w:rsidRPr="009B1E0E">
        <w:rPr>
          <w:rFonts w:cs="Arial"/>
          <w:bCs/>
          <w:szCs w:val="22"/>
        </w:rPr>
        <w:t>,</w:t>
      </w:r>
      <w:r w:rsidR="00D31F39" w:rsidRPr="009B1E0E">
        <w:rPr>
          <w:rStyle w:val="FootnoteReference"/>
          <w:rFonts w:cs="Arial"/>
          <w:bCs/>
          <w:szCs w:val="22"/>
        </w:rPr>
        <w:footnoteReference w:id="20"/>
      </w:r>
      <w:r w:rsidR="00B21014" w:rsidRPr="009B1E0E">
        <w:rPr>
          <w:rFonts w:cs="Arial"/>
          <w:bCs/>
          <w:szCs w:val="22"/>
        </w:rPr>
        <w:t xml:space="preserve"> to the effect that ALI issue authorised but unissued shares to </w:t>
      </w:r>
      <w:r w:rsidR="00A84F13" w:rsidRPr="009B1E0E">
        <w:rPr>
          <w:rFonts w:cs="Arial"/>
          <w:bCs/>
          <w:szCs w:val="22"/>
        </w:rPr>
        <w:t xml:space="preserve">the </w:t>
      </w:r>
      <w:r w:rsidR="00B21014" w:rsidRPr="009B1E0E">
        <w:rPr>
          <w:rFonts w:cs="Arial"/>
          <w:bCs/>
          <w:szCs w:val="22"/>
        </w:rPr>
        <w:t>Astron Trust</w:t>
      </w:r>
      <w:r w:rsidR="00A84F13" w:rsidRPr="009B1E0E">
        <w:rPr>
          <w:rFonts w:cs="Arial"/>
          <w:bCs/>
          <w:szCs w:val="22"/>
        </w:rPr>
        <w:t>,</w:t>
      </w:r>
      <w:r w:rsidR="00B21014" w:rsidRPr="009B1E0E">
        <w:rPr>
          <w:rFonts w:cs="Arial"/>
          <w:bCs/>
          <w:szCs w:val="22"/>
        </w:rPr>
        <w:t xml:space="preserve"> </w:t>
      </w:r>
      <w:r w:rsidR="00716130" w:rsidRPr="009B1E0E">
        <w:rPr>
          <w:rFonts w:cs="Arial"/>
          <w:bCs/>
          <w:szCs w:val="22"/>
        </w:rPr>
        <w:t xml:space="preserve">represented by its trustees for the time being, Lusanda Ngxonone and Jill Koopman, </w:t>
      </w:r>
      <w:r w:rsidR="00B21014" w:rsidRPr="009B1E0E">
        <w:rPr>
          <w:rFonts w:cs="Arial"/>
          <w:bCs/>
          <w:szCs w:val="22"/>
        </w:rPr>
        <w:t>for R24 millio</w:t>
      </w:r>
      <w:r w:rsidR="00082179" w:rsidRPr="009B1E0E">
        <w:rPr>
          <w:rFonts w:cs="Arial"/>
          <w:bCs/>
          <w:szCs w:val="22"/>
        </w:rPr>
        <w:t xml:space="preserve">n, of which R23 million </w:t>
      </w:r>
      <w:r w:rsidR="00F07432" w:rsidRPr="009B1E0E">
        <w:rPr>
          <w:rFonts w:cs="Arial"/>
          <w:bCs/>
          <w:szCs w:val="22"/>
        </w:rPr>
        <w:t>would</w:t>
      </w:r>
      <w:r w:rsidR="00082179" w:rsidRPr="009B1E0E">
        <w:rPr>
          <w:rFonts w:cs="Arial"/>
          <w:bCs/>
          <w:szCs w:val="22"/>
        </w:rPr>
        <w:t xml:space="preserve"> be used to fund the acquisition of shares in the 13</w:t>
      </w:r>
      <w:r w:rsidR="00082179" w:rsidRPr="009B1E0E">
        <w:rPr>
          <w:rFonts w:cs="Arial"/>
          <w:bCs/>
          <w:szCs w:val="22"/>
          <w:vertAlign w:val="superscript"/>
        </w:rPr>
        <w:t>th</w:t>
      </w:r>
      <w:r w:rsidR="00082179" w:rsidRPr="009B1E0E">
        <w:rPr>
          <w:rFonts w:cs="Arial"/>
          <w:bCs/>
          <w:szCs w:val="22"/>
        </w:rPr>
        <w:t xml:space="preserve"> respondent (“Astron Energy”) and/or in Astron Energy (Botswana) (Pty) Ltd as contemplated in the </w:t>
      </w:r>
      <w:r w:rsidR="009B1E0E" w:rsidRPr="009B1E0E">
        <w:rPr>
          <w:rFonts w:cs="Arial"/>
          <w:bCs/>
          <w:szCs w:val="22"/>
        </w:rPr>
        <w:t>Pre-Emption Framework Agreement</w:t>
      </w:r>
      <w:r w:rsidR="00082179" w:rsidRPr="009B1E0E">
        <w:rPr>
          <w:rFonts w:cs="Arial"/>
          <w:bCs/>
          <w:szCs w:val="22"/>
        </w:rPr>
        <w:t xml:space="preserve"> in place between the 12</w:t>
      </w:r>
      <w:r w:rsidR="00082179" w:rsidRPr="009B1E0E">
        <w:rPr>
          <w:rFonts w:cs="Arial"/>
          <w:bCs/>
          <w:szCs w:val="22"/>
          <w:vertAlign w:val="superscript"/>
        </w:rPr>
        <w:t>th</w:t>
      </w:r>
      <w:r w:rsidR="00082179" w:rsidRPr="009B1E0E">
        <w:rPr>
          <w:rFonts w:cs="Arial"/>
          <w:bCs/>
          <w:szCs w:val="22"/>
        </w:rPr>
        <w:t xml:space="preserve"> respondent (“Glencore</w:t>
      </w:r>
      <w:r w:rsidR="000674A1" w:rsidRPr="009B1E0E">
        <w:rPr>
          <w:rFonts w:cs="Arial"/>
          <w:bCs/>
          <w:szCs w:val="22"/>
        </w:rPr>
        <w:t xml:space="preserve"> SA</w:t>
      </w:r>
      <w:r w:rsidR="00082179" w:rsidRPr="009B1E0E">
        <w:rPr>
          <w:rFonts w:cs="Arial"/>
          <w:bCs/>
          <w:szCs w:val="22"/>
        </w:rPr>
        <w:t xml:space="preserve">”), OTS56, and Glencore Energy UK Ltd. </w:t>
      </w:r>
      <w:r w:rsidR="00716130" w:rsidRPr="009B1E0E">
        <w:rPr>
          <w:rFonts w:cs="Arial"/>
          <w:bCs/>
          <w:szCs w:val="22"/>
        </w:rPr>
        <w:t>These were sent at 11h12.</w:t>
      </w:r>
    </w:p>
    <w:p w14:paraId="14998554" w14:textId="528DC883" w:rsidR="00082179" w:rsidRPr="009B1E0E" w:rsidRDefault="00BE377D" w:rsidP="00BE377D">
      <w:pPr>
        <w:widowControl w:val="0"/>
        <w:tabs>
          <w:tab w:val="left" w:pos="2268"/>
        </w:tabs>
        <w:spacing w:before="480" w:after="480" w:line="480" w:lineRule="auto"/>
        <w:ind w:left="2268" w:hanging="850"/>
        <w:jc w:val="both"/>
        <w:rPr>
          <w:rFonts w:cs="Arial"/>
          <w:bCs/>
          <w:szCs w:val="22"/>
        </w:rPr>
      </w:pPr>
      <w:r w:rsidRPr="009B1E0E">
        <w:rPr>
          <w:rFonts w:cs="Arial"/>
          <w:bCs/>
          <w:szCs w:val="22"/>
        </w:rPr>
        <w:t>20.1.1</w:t>
      </w:r>
      <w:r w:rsidRPr="009B1E0E">
        <w:rPr>
          <w:rFonts w:cs="Arial"/>
          <w:bCs/>
          <w:szCs w:val="22"/>
        </w:rPr>
        <w:tab/>
      </w:r>
      <w:r w:rsidR="00082179" w:rsidRPr="009B1E0E">
        <w:rPr>
          <w:rFonts w:cs="Arial"/>
          <w:bCs/>
          <w:szCs w:val="22"/>
        </w:rPr>
        <w:t>A copy of the intended subscription agreement between the Astron Trust and ALI was attached to the proposed resolution.</w:t>
      </w:r>
    </w:p>
    <w:p w14:paraId="22F58350" w14:textId="46C6C559" w:rsidR="00082179" w:rsidRPr="009B1E0E" w:rsidRDefault="00BE377D" w:rsidP="00BE377D">
      <w:pPr>
        <w:widowControl w:val="0"/>
        <w:tabs>
          <w:tab w:val="left" w:pos="2268"/>
        </w:tabs>
        <w:spacing w:before="480" w:after="480" w:line="480" w:lineRule="auto"/>
        <w:ind w:left="2268" w:hanging="850"/>
        <w:jc w:val="both"/>
        <w:rPr>
          <w:rFonts w:cs="Arial"/>
          <w:bCs/>
          <w:szCs w:val="22"/>
        </w:rPr>
      </w:pPr>
      <w:r w:rsidRPr="009B1E0E">
        <w:rPr>
          <w:rFonts w:cs="Arial"/>
          <w:bCs/>
          <w:szCs w:val="22"/>
        </w:rPr>
        <w:lastRenderedPageBreak/>
        <w:t>20.1.2</w:t>
      </w:r>
      <w:r w:rsidRPr="009B1E0E">
        <w:rPr>
          <w:rFonts w:cs="Arial"/>
          <w:bCs/>
          <w:szCs w:val="22"/>
        </w:rPr>
        <w:tab/>
      </w:r>
      <w:r w:rsidR="00082179" w:rsidRPr="009B1E0E">
        <w:rPr>
          <w:rFonts w:cs="Arial"/>
          <w:bCs/>
          <w:szCs w:val="22"/>
        </w:rPr>
        <w:t>It was common cause during argument that the purchase of the shares by the Astron Trust was financed  by Glencore.</w:t>
      </w:r>
    </w:p>
    <w:p w14:paraId="551D14BA" w14:textId="67586FD2" w:rsidR="00C94B63" w:rsidRPr="009B1E0E" w:rsidRDefault="00BE377D" w:rsidP="00BE377D">
      <w:pPr>
        <w:widowControl w:val="0"/>
        <w:tabs>
          <w:tab w:val="left" w:pos="1418"/>
        </w:tabs>
        <w:spacing w:before="480" w:after="480" w:line="480" w:lineRule="auto"/>
        <w:ind w:left="1418" w:hanging="851"/>
        <w:jc w:val="both"/>
        <w:rPr>
          <w:rFonts w:cs="Arial"/>
          <w:bCs/>
          <w:szCs w:val="22"/>
        </w:rPr>
      </w:pPr>
      <w:r w:rsidRPr="009B1E0E">
        <w:rPr>
          <w:rFonts w:cs="Arial"/>
          <w:bCs/>
          <w:szCs w:val="22"/>
        </w:rPr>
        <w:t>20.2</w:t>
      </w:r>
      <w:r w:rsidRPr="009B1E0E">
        <w:rPr>
          <w:rFonts w:cs="Arial"/>
          <w:bCs/>
          <w:szCs w:val="22"/>
        </w:rPr>
        <w:tab/>
      </w:r>
      <w:r w:rsidR="00C94B63" w:rsidRPr="009B1E0E">
        <w:rPr>
          <w:rFonts w:cs="Arial"/>
          <w:bCs/>
          <w:szCs w:val="22"/>
        </w:rPr>
        <w:t>The notice accompanying the proposed resolutions requested board members to indicate their response and return the signed resolution to Ahmed.</w:t>
      </w:r>
    </w:p>
    <w:p w14:paraId="075E8F44" w14:textId="00B97F61" w:rsidR="00C94B63" w:rsidRPr="009B1E0E" w:rsidRDefault="00BE377D" w:rsidP="00BE377D">
      <w:pPr>
        <w:widowControl w:val="0"/>
        <w:tabs>
          <w:tab w:val="left" w:pos="1418"/>
        </w:tabs>
        <w:spacing w:before="480" w:after="480" w:line="480" w:lineRule="auto"/>
        <w:ind w:left="1418" w:hanging="851"/>
        <w:jc w:val="both"/>
        <w:rPr>
          <w:rFonts w:cs="Arial"/>
          <w:bCs/>
          <w:szCs w:val="22"/>
        </w:rPr>
      </w:pPr>
      <w:r w:rsidRPr="009B1E0E">
        <w:rPr>
          <w:rFonts w:cs="Arial"/>
          <w:bCs/>
          <w:szCs w:val="22"/>
        </w:rPr>
        <w:t>20.3</w:t>
      </w:r>
      <w:r w:rsidRPr="009B1E0E">
        <w:rPr>
          <w:rFonts w:cs="Arial"/>
          <w:bCs/>
          <w:szCs w:val="22"/>
        </w:rPr>
        <w:tab/>
      </w:r>
      <w:r w:rsidR="00C94B63" w:rsidRPr="009B1E0E">
        <w:rPr>
          <w:rFonts w:cs="Arial"/>
          <w:bCs/>
          <w:szCs w:val="22"/>
        </w:rPr>
        <w:t xml:space="preserve">No time limit was imposed. Ramano responded by enquiring as to when there </w:t>
      </w:r>
      <w:r w:rsidR="00295ACB" w:rsidRPr="009B1E0E">
        <w:rPr>
          <w:rFonts w:cs="Arial"/>
          <w:bCs/>
          <w:szCs w:val="22"/>
        </w:rPr>
        <w:t>had been</w:t>
      </w:r>
      <w:r w:rsidR="00C94B63" w:rsidRPr="009B1E0E">
        <w:rPr>
          <w:rFonts w:cs="Arial"/>
          <w:bCs/>
          <w:szCs w:val="22"/>
        </w:rPr>
        <w:t xml:space="preserve"> a discussion among board members regarding the proposals.</w:t>
      </w:r>
    </w:p>
    <w:p w14:paraId="7F4ECE53" w14:textId="429F9F92" w:rsidR="00716130" w:rsidRPr="009B1E0E" w:rsidRDefault="00BE377D" w:rsidP="00BE377D">
      <w:pPr>
        <w:widowControl w:val="0"/>
        <w:tabs>
          <w:tab w:val="left" w:pos="1418"/>
        </w:tabs>
        <w:spacing w:before="480" w:after="480" w:line="480" w:lineRule="auto"/>
        <w:ind w:left="1418" w:hanging="851"/>
        <w:jc w:val="both"/>
        <w:rPr>
          <w:rFonts w:cs="Arial"/>
          <w:bCs/>
          <w:szCs w:val="22"/>
        </w:rPr>
      </w:pPr>
      <w:r w:rsidRPr="009B1E0E">
        <w:rPr>
          <w:rFonts w:cs="Arial"/>
          <w:bCs/>
          <w:szCs w:val="22"/>
        </w:rPr>
        <w:t>20.4</w:t>
      </w:r>
      <w:r w:rsidRPr="009B1E0E">
        <w:rPr>
          <w:rFonts w:cs="Arial"/>
          <w:bCs/>
          <w:szCs w:val="22"/>
        </w:rPr>
        <w:tab/>
      </w:r>
      <w:r w:rsidR="00716130" w:rsidRPr="009B1E0E">
        <w:rPr>
          <w:rFonts w:cs="Arial"/>
          <w:bCs/>
          <w:szCs w:val="22"/>
        </w:rPr>
        <w:t>A</w:t>
      </w:r>
      <w:r w:rsidR="00DA028F" w:rsidRPr="009B1E0E">
        <w:rPr>
          <w:rFonts w:cs="Arial"/>
          <w:bCs/>
          <w:szCs w:val="22"/>
        </w:rPr>
        <w:t xml:space="preserve"> little over a</w:t>
      </w:r>
      <w:r w:rsidR="00716130" w:rsidRPr="009B1E0E">
        <w:rPr>
          <w:rFonts w:cs="Arial"/>
          <w:bCs/>
          <w:szCs w:val="22"/>
        </w:rPr>
        <w:t>n hour later, Ahmed notified the board that the resolutions had been adopted by a majority of directors.</w:t>
      </w:r>
      <w:r w:rsidR="00CD15D3" w:rsidRPr="009B1E0E">
        <w:rPr>
          <w:rFonts w:cs="Arial"/>
          <w:bCs/>
          <w:szCs w:val="22"/>
        </w:rPr>
        <w:t xml:space="preserve"> Five of the six directors had supported and signed the resolution.</w:t>
      </w:r>
      <w:r w:rsidR="00CD15D3" w:rsidRPr="009B1E0E">
        <w:rPr>
          <w:rStyle w:val="FootnoteReference"/>
          <w:rFonts w:cs="Arial"/>
          <w:bCs/>
          <w:szCs w:val="22"/>
        </w:rPr>
        <w:footnoteReference w:id="21"/>
      </w:r>
      <w:r w:rsidR="00CD15D3" w:rsidRPr="009B1E0E">
        <w:rPr>
          <w:rFonts w:cs="Arial"/>
          <w:bCs/>
          <w:szCs w:val="22"/>
        </w:rPr>
        <w:t xml:space="preserve"> The next day, the 26</w:t>
      </w:r>
      <w:r w:rsidR="00CD15D3" w:rsidRPr="009B1E0E">
        <w:rPr>
          <w:rFonts w:cs="Arial"/>
          <w:bCs/>
          <w:szCs w:val="22"/>
          <w:vertAlign w:val="superscript"/>
        </w:rPr>
        <w:t xml:space="preserve">th, </w:t>
      </w:r>
      <w:r w:rsidR="00CD15D3" w:rsidRPr="009B1E0E">
        <w:rPr>
          <w:rFonts w:cs="Arial"/>
          <w:bCs/>
          <w:szCs w:val="22"/>
        </w:rPr>
        <w:t xml:space="preserve">the </w:t>
      </w:r>
      <w:r w:rsidR="004A1341" w:rsidRPr="009B1E0E">
        <w:rPr>
          <w:rFonts w:cs="Arial"/>
          <w:bCs/>
          <w:szCs w:val="22"/>
        </w:rPr>
        <w:t xml:space="preserve">chairperson </w:t>
      </w:r>
      <w:r w:rsidR="00CD15D3" w:rsidRPr="009B1E0E">
        <w:rPr>
          <w:rFonts w:cs="Arial"/>
          <w:bCs/>
          <w:szCs w:val="22"/>
        </w:rPr>
        <w:t xml:space="preserve"> informed shareholders that the shares had been issued to the Astron Trust for the purposes of addressing the </w:t>
      </w:r>
      <w:r w:rsidR="00CD15D3" w:rsidRPr="009B1E0E">
        <w:rPr>
          <w:rFonts w:cs="Arial"/>
          <w:bCs/>
          <w:i/>
          <w:iCs/>
          <w:szCs w:val="22"/>
        </w:rPr>
        <w:t>“urgent need of funding required for assisting in the acquisition of further interests in”</w:t>
      </w:r>
      <w:r w:rsidR="00CD15D3" w:rsidRPr="009B1E0E">
        <w:rPr>
          <w:rFonts w:cs="Arial"/>
          <w:bCs/>
          <w:szCs w:val="22"/>
        </w:rPr>
        <w:t xml:space="preserve"> Astron Energy and meeting the </w:t>
      </w:r>
      <w:r w:rsidR="00E21C51" w:rsidRPr="009B1E0E">
        <w:rPr>
          <w:rFonts w:cs="Arial"/>
          <w:bCs/>
          <w:szCs w:val="22"/>
        </w:rPr>
        <w:t>funding needs of the company.</w:t>
      </w:r>
      <w:r w:rsidR="00676D5A" w:rsidRPr="009B1E0E">
        <w:rPr>
          <w:rStyle w:val="FootnoteReference"/>
          <w:rFonts w:cs="Arial"/>
          <w:bCs/>
          <w:szCs w:val="22"/>
        </w:rPr>
        <w:footnoteReference w:id="22"/>
      </w:r>
    </w:p>
    <w:p w14:paraId="165C3652" w14:textId="70533185" w:rsidR="00716130" w:rsidRPr="009B1E0E" w:rsidRDefault="00BE377D" w:rsidP="00BE377D">
      <w:pPr>
        <w:widowControl w:val="0"/>
        <w:tabs>
          <w:tab w:val="left" w:pos="1418"/>
        </w:tabs>
        <w:spacing w:before="480" w:after="480" w:line="480" w:lineRule="auto"/>
        <w:ind w:left="1418" w:hanging="851"/>
        <w:jc w:val="both"/>
        <w:rPr>
          <w:rFonts w:cs="Arial"/>
          <w:bCs/>
          <w:szCs w:val="22"/>
        </w:rPr>
      </w:pPr>
      <w:r w:rsidRPr="009B1E0E">
        <w:rPr>
          <w:rFonts w:cs="Arial"/>
          <w:bCs/>
          <w:szCs w:val="22"/>
        </w:rPr>
        <w:t>20.5</w:t>
      </w:r>
      <w:r w:rsidRPr="009B1E0E">
        <w:rPr>
          <w:rFonts w:cs="Arial"/>
          <w:bCs/>
          <w:szCs w:val="22"/>
        </w:rPr>
        <w:tab/>
      </w:r>
      <w:r w:rsidR="00716130" w:rsidRPr="009B1E0E">
        <w:rPr>
          <w:rFonts w:cs="Arial"/>
          <w:bCs/>
          <w:szCs w:val="22"/>
        </w:rPr>
        <w:t>The resolution was implemen</w:t>
      </w:r>
      <w:r w:rsidR="00D31F39" w:rsidRPr="009B1E0E">
        <w:rPr>
          <w:rFonts w:cs="Arial"/>
          <w:bCs/>
          <w:szCs w:val="22"/>
        </w:rPr>
        <w:t>ted</w:t>
      </w:r>
      <w:r w:rsidR="00716130" w:rsidRPr="009B1E0E">
        <w:rPr>
          <w:rFonts w:cs="Arial"/>
          <w:bCs/>
          <w:szCs w:val="22"/>
        </w:rPr>
        <w:t xml:space="preserve"> immediately and the necessary entries made in the share register.</w:t>
      </w:r>
    </w:p>
    <w:p w14:paraId="3B52DEFA" w14:textId="60928708" w:rsidR="003862E0"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[21]</w:t>
      </w:r>
      <w:r w:rsidRPr="009B1E0E">
        <w:rPr>
          <w:rFonts w:cs="Arial"/>
          <w:bCs/>
          <w:szCs w:val="22"/>
        </w:rPr>
        <w:tab/>
      </w:r>
      <w:r w:rsidR="00716130" w:rsidRPr="009B1E0E">
        <w:rPr>
          <w:rFonts w:cs="Arial"/>
          <w:bCs/>
          <w:szCs w:val="22"/>
        </w:rPr>
        <w:t xml:space="preserve">The adoption and full implementation of the </w:t>
      </w:r>
      <w:r w:rsidR="003862E0" w:rsidRPr="009B1E0E">
        <w:rPr>
          <w:rFonts w:cs="Arial"/>
          <w:bCs/>
          <w:szCs w:val="22"/>
        </w:rPr>
        <w:t>resolution</w:t>
      </w:r>
      <w:r w:rsidR="00495504" w:rsidRPr="009B1E0E">
        <w:rPr>
          <w:rFonts w:cs="Arial"/>
          <w:bCs/>
          <w:szCs w:val="22"/>
        </w:rPr>
        <w:t xml:space="preserve"> changed the balance of power and meant that it was Ramano and not the ALI directors </w:t>
      </w:r>
      <w:r w:rsidR="00105CCA" w:rsidRPr="009B1E0E">
        <w:rPr>
          <w:rFonts w:cs="Arial"/>
          <w:bCs/>
          <w:szCs w:val="22"/>
        </w:rPr>
        <w:t>who</w:t>
      </w:r>
      <w:r w:rsidR="00495504" w:rsidRPr="009B1E0E">
        <w:rPr>
          <w:rFonts w:cs="Arial"/>
          <w:bCs/>
          <w:szCs w:val="22"/>
        </w:rPr>
        <w:t xml:space="preserve"> was removed at the annual general meeting</w:t>
      </w:r>
      <w:r w:rsidR="00716130" w:rsidRPr="009B1E0E">
        <w:rPr>
          <w:rFonts w:cs="Arial"/>
          <w:bCs/>
          <w:szCs w:val="22"/>
        </w:rPr>
        <w:t xml:space="preserve"> on the 27</w:t>
      </w:r>
      <w:r w:rsidR="00716130" w:rsidRPr="009B1E0E">
        <w:rPr>
          <w:rFonts w:cs="Arial"/>
          <w:bCs/>
          <w:szCs w:val="22"/>
          <w:vertAlign w:val="superscript"/>
        </w:rPr>
        <w:t>th</w:t>
      </w:r>
      <w:r w:rsidR="00716130" w:rsidRPr="009B1E0E">
        <w:rPr>
          <w:rFonts w:cs="Arial"/>
          <w:bCs/>
          <w:szCs w:val="22"/>
        </w:rPr>
        <w:t>.</w:t>
      </w:r>
      <w:r w:rsidR="004E3D64" w:rsidRPr="009B1E0E">
        <w:rPr>
          <w:rFonts w:cs="Arial"/>
          <w:bCs/>
          <w:szCs w:val="22"/>
        </w:rPr>
        <w:t xml:space="preserve"> The resolutions proposing the appointment </w:t>
      </w:r>
      <w:r w:rsidR="003C43D7" w:rsidRPr="009B1E0E">
        <w:rPr>
          <w:rFonts w:cs="Arial"/>
          <w:bCs/>
          <w:szCs w:val="22"/>
        </w:rPr>
        <w:t xml:space="preserve">of new </w:t>
      </w:r>
      <w:r w:rsidR="003C43D7" w:rsidRPr="009B1E0E">
        <w:rPr>
          <w:rFonts w:cs="Arial"/>
          <w:bCs/>
          <w:szCs w:val="22"/>
        </w:rPr>
        <w:lastRenderedPageBreak/>
        <w:t xml:space="preserve">directors </w:t>
      </w:r>
      <w:r w:rsidR="004E3D64" w:rsidRPr="009B1E0E">
        <w:rPr>
          <w:rFonts w:cs="Arial"/>
          <w:bCs/>
          <w:szCs w:val="22"/>
        </w:rPr>
        <w:t>were also rejected.</w:t>
      </w:r>
      <w:r w:rsidR="00676D5A" w:rsidRPr="009B1E0E">
        <w:rPr>
          <w:rStyle w:val="FootnoteReference"/>
          <w:rFonts w:cs="Arial"/>
          <w:bCs/>
          <w:szCs w:val="22"/>
        </w:rPr>
        <w:footnoteReference w:id="23"/>
      </w:r>
    </w:p>
    <w:p w14:paraId="38FD0635" w14:textId="43BA63C6" w:rsidR="0040340E"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[22]</w:t>
      </w:r>
      <w:r w:rsidRPr="009B1E0E">
        <w:rPr>
          <w:rFonts w:cs="Arial"/>
          <w:bCs/>
          <w:szCs w:val="22"/>
        </w:rPr>
        <w:tab/>
      </w:r>
      <w:r w:rsidR="0040340E" w:rsidRPr="009B1E0E">
        <w:rPr>
          <w:rFonts w:cs="Arial"/>
          <w:bCs/>
          <w:szCs w:val="22"/>
        </w:rPr>
        <w:t xml:space="preserve">The notice period for meetings of the board is seven days unless directed otherwise by the </w:t>
      </w:r>
      <w:r w:rsidR="004A1341" w:rsidRPr="009B1E0E">
        <w:rPr>
          <w:rFonts w:cs="Arial"/>
          <w:bCs/>
          <w:szCs w:val="22"/>
        </w:rPr>
        <w:t>chairperson</w:t>
      </w:r>
      <w:r w:rsidR="0040340E" w:rsidRPr="009B1E0E">
        <w:rPr>
          <w:rFonts w:cs="Arial"/>
          <w:bCs/>
          <w:szCs w:val="22"/>
        </w:rPr>
        <w:t xml:space="preserve"> when the board is dealing with urgent matters.</w:t>
      </w:r>
      <w:r w:rsidR="0040340E" w:rsidRPr="009B1E0E">
        <w:rPr>
          <w:rStyle w:val="FootnoteReference"/>
          <w:rFonts w:cs="Arial"/>
          <w:bCs/>
          <w:szCs w:val="22"/>
        </w:rPr>
        <w:footnoteReference w:id="24"/>
      </w:r>
      <w:r w:rsidR="00065D3F" w:rsidRPr="009B1E0E">
        <w:rPr>
          <w:rFonts w:cs="Arial"/>
          <w:bCs/>
          <w:szCs w:val="22"/>
        </w:rPr>
        <w:t xml:space="preserve"> The applicants argue that the seven day notice period applies also when the directors act otherwise than at a meeting. They rely on</w:t>
      </w:r>
      <w:r w:rsidR="00065D3F" w:rsidRPr="009B1E0E">
        <w:rPr>
          <w:rFonts w:cs="Arial"/>
          <w:szCs w:val="22"/>
        </w:rPr>
        <w:t xml:space="preserve"> </w:t>
      </w:r>
      <w:r w:rsidR="00065D3F" w:rsidRPr="009B1E0E">
        <w:rPr>
          <w:rFonts w:cs="Arial"/>
          <w:i/>
          <w:iCs/>
          <w:szCs w:val="22"/>
        </w:rPr>
        <w:t>CDH Invest NV v Petrotank South Africa (Pty) Ltd and Others</w:t>
      </w:r>
      <w:r w:rsidR="00DA028F" w:rsidRPr="009B1E0E">
        <w:rPr>
          <w:rFonts w:cs="Arial"/>
          <w:i/>
          <w:iCs/>
          <w:szCs w:val="22"/>
        </w:rPr>
        <w:t>.</w:t>
      </w:r>
      <w:r w:rsidR="00065D3F" w:rsidRPr="009B1E0E">
        <w:rPr>
          <w:rStyle w:val="FootnoteReference"/>
          <w:rFonts w:cs="Arial"/>
          <w:i/>
          <w:iCs/>
          <w:szCs w:val="22"/>
        </w:rPr>
        <w:footnoteReference w:id="25"/>
      </w:r>
      <w:r w:rsidR="00DA028F" w:rsidRPr="009B1E0E">
        <w:rPr>
          <w:rFonts w:cs="Arial"/>
          <w:bCs/>
          <w:szCs w:val="22"/>
        </w:rPr>
        <w:t xml:space="preserve"> In this judgment, </w:t>
      </w:r>
      <w:r w:rsidR="00065D3F" w:rsidRPr="009B1E0E">
        <w:rPr>
          <w:rFonts w:cs="Arial"/>
          <w:bCs/>
          <w:szCs w:val="22"/>
        </w:rPr>
        <w:t xml:space="preserve">Carelse AJA said: </w:t>
      </w:r>
    </w:p>
    <w:p w14:paraId="333C7C89" w14:textId="0CD51348" w:rsidR="00065D3F" w:rsidRPr="009B1E0E" w:rsidRDefault="00EB47B7" w:rsidP="00F07432">
      <w:pPr>
        <w:widowControl w:val="0"/>
        <w:spacing w:before="480" w:after="480" w:line="360" w:lineRule="auto"/>
        <w:ind w:left="720"/>
        <w:jc w:val="both"/>
        <w:rPr>
          <w:rFonts w:cs="Arial"/>
          <w:bCs/>
          <w:i/>
          <w:iCs/>
          <w:color w:val="000000" w:themeColor="text1"/>
          <w:szCs w:val="22"/>
        </w:rPr>
      </w:pPr>
      <w:r w:rsidRPr="009B1E0E">
        <w:rPr>
          <w:rFonts w:cs="Arial"/>
          <w:i/>
          <w:iCs/>
          <w:color w:val="000000" w:themeColor="text1"/>
          <w:szCs w:val="22"/>
          <w:shd w:val="clear" w:color="auto" w:fill="FFFFFF"/>
        </w:rPr>
        <w:t>“</w:t>
      </w:r>
      <w:r w:rsidR="00065D3F" w:rsidRPr="009B1E0E">
        <w:rPr>
          <w:rFonts w:cs="Arial"/>
          <w:i/>
          <w:iCs/>
          <w:color w:val="000000" w:themeColor="text1"/>
          <w:szCs w:val="22"/>
          <w:shd w:val="clear" w:color="auto" w:fill="FFFFFF"/>
        </w:rPr>
        <w:t>[21] The proviso to s 74 requiring notice is to ensure that directors know what is being decided. Our courts have emphasised the importance of giving notice to directors of a meeting so that the participants are aware not only of the existence of a meeting but of the nature of the business. The purpose of the notice is not only to inform directors of the date of the meeting but the reason therefor. There can surely be no difference between the importance of a notice where a board meeting is called in terms of s 73 of the Act and a notice when the provisions of s 74 of the Act are invoked</w:t>
      </w:r>
      <w:r w:rsidR="00EA0680" w:rsidRPr="009B1E0E">
        <w:rPr>
          <w:rFonts w:cs="Arial"/>
          <w:i/>
          <w:iCs/>
          <w:color w:val="000000" w:themeColor="text1"/>
          <w:szCs w:val="22"/>
          <w:shd w:val="clear" w:color="auto" w:fill="FFFFFF"/>
        </w:rPr>
        <w:t>.</w:t>
      </w:r>
      <w:r w:rsidRPr="009B1E0E">
        <w:rPr>
          <w:rFonts w:cs="Arial"/>
          <w:i/>
          <w:iCs/>
          <w:color w:val="000000" w:themeColor="text1"/>
          <w:szCs w:val="22"/>
          <w:shd w:val="clear" w:color="auto" w:fill="FFFFFF"/>
        </w:rPr>
        <w:t>”</w:t>
      </w:r>
    </w:p>
    <w:p w14:paraId="1B5B6D72" w14:textId="4084DA60" w:rsidR="00E44AC7"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[23]</w:t>
      </w:r>
      <w:r w:rsidRPr="009B1E0E">
        <w:rPr>
          <w:rFonts w:cs="Arial"/>
          <w:bCs/>
          <w:szCs w:val="22"/>
        </w:rPr>
        <w:tab/>
      </w:r>
      <w:r w:rsidR="00065D3F" w:rsidRPr="009B1E0E">
        <w:rPr>
          <w:rFonts w:cs="Arial"/>
          <w:bCs/>
          <w:szCs w:val="22"/>
        </w:rPr>
        <w:t xml:space="preserve">To my mind, the quoted </w:t>
      </w:r>
      <w:r w:rsidR="00065D3F" w:rsidRPr="009B1E0E">
        <w:rPr>
          <w:rFonts w:cs="Arial"/>
          <w:bCs/>
          <w:i/>
          <w:iCs/>
          <w:szCs w:val="22"/>
        </w:rPr>
        <w:t>dictum</w:t>
      </w:r>
      <w:r w:rsidR="00065D3F" w:rsidRPr="009B1E0E">
        <w:rPr>
          <w:rFonts w:cs="Arial"/>
          <w:bCs/>
          <w:szCs w:val="22"/>
        </w:rPr>
        <w:t xml:space="preserve"> </w:t>
      </w:r>
      <w:r w:rsidR="00F7194B" w:rsidRPr="009B1E0E">
        <w:rPr>
          <w:rFonts w:cs="Arial"/>
          <w:bCs/>
          <w:szCs w:val="22"/>
        </w:rPr>
        <w:t>underlines</w:t>
      </w:r>
      <w:r w:rsidR="00065D3F" w:rsidRPr="009B1E0E">
        <w:rPr>
          <w:rFonts w:cs="Arial"/>
          <w:bCs/>
          <w:szCs w:val="22"/>
        </w:rPr>
        <w:t xml:space="preserve"> the importance of </w:t>
      </w:r>
      <w:r w:rsidR="00E44AC7" w:rsidRPr="009B1E0E">
        <w:rPr>
          <w:rFonts w:cs="Arial"/>
          <w:bCs/>
          <w:szCs w:val="22"/>
        </w:rPr>
        <w:t xml:space="preserve">stating the </w:t>
      </w:r>
      <w:r w:rsidR="00E44AC7" w:rsidRPr="009B1E0E">
        <w:rPr>
          <w:rFonts w:cs="Arial"/>
          <w:bCs/>
          <w:i/>
          <w:iCs/>
          <w:szCs w:val="22"/>
        </w:rPr>
        <w:t>reasons</w:t>
      </w:r>
      <w:r w:rsidR="00E44AC7" w:rsidRPr="009B1E0E">
        <w:rPr>
          <w:rFonts w:cs="Arial"/>
          <w:bCs/>
          <w:szCs w:val="22"/>
        </w:rPr>
        <w:t xml:space="preserve"> for a proposed resolution in the </w:t>
      </w:r>
      <w:r w:rsidR="00065D3F" w:rsidRPr="009B1E0E">
        <w:rPr>
          <w:rFonts w:cs="Arial"/>
          <w:bCs/>
          <w:szCs w:val="22"/>
        </w:rPr>
        <w:t>notice</w:t>
      </w:r>
      <w:r w:rsidR="00E44AC7" w:rsidRPr="009B1E0E">
        <w:rPr>
          <w:rFonts w:cs="Arial"/>
          <w:bCs/>
          <w:szCs w:val="22"/>
        </w:rPr>
        <w:t xml:space="preserve"> referred to in section 74</w:t>
      </w:r>
      <w:r w:rsidR="00065D3F" w:rsidRPr="009B1E0E">
        <w:rPr>
          <w:rFonts w:cs="Arial"/>
          <w:bCs/>
          <w:szCs w:val="22"/>
        </w:rPr>
        <w:t xml:space="preserve">. </w:t>
      </w:r>
      <w:r w:rsidR="00E44AC7" w:rsidRPr="009B1E0E">
        <w:rPr>
          <w:rFonts w:cs="Arial"/>
          <w:bCs/>
          <w:szCs w:val="22"/>
        </w:rPr>
        <w:t xml:space="preserve"> The notice proposing the resolutions must therefore contain the same information in respect of proposed resolutions as would be required of a notice of a meeting in terms of section 73. </w:t>
      </w:r>
      <w:r w:rsidR="00065D3F" w:rsidRPr="009B1E0E">
        <w:rPr>
          <w:rFonts w:cs="Arial"/>
          <w:bCs/>
          <w:szCs w:val="22"/>
        </w:rPr>
        <w:t xml:space="preserve">When the directors </w:t>
      </w:r>
      <w:r w:rsidR="00D31F39" w:rsidRPr="009B1E0E">
        <w:rPr>
          <w:rFonts w:cs="Arial"/>
          <w:bCs/>
          <w:szCs w:val="22"/>
        </w:rPr>
        <w:t xml:space="preserve">act </w:t>
      </w:r>
      <w:r w:rsidR="00065D3F" w:rsidRPr="009B1E0E">
        <w:rPr>
          <w:rFonts w:cs="Arial"/>
          <w:bCs/>
          <w:szCs w:val="22"/>
        </w:rPr>
        <w:t xml:space="preserve">other than at a meeting, there is obviously no meeting and no meeting date – the </w:t>
      </w:r>
      <w:r w:rsidR="00304947" w:rsidRPr="009B1E0E">
        <w:rPr>
          <w:rFonts w:cs="Arial"/>
          <w:bCs/>
          <w:szCs w:val="22"/>
        </w:rPr>
        <w:t xml:space="preserve">proposed </w:t>
      </w:r>
      <w:r w:rsidR="00065D3F" w:rsidRPr="009B1E0E">
        <w:rPr>
          <w:rFonts w:cs="Arial"/>
          <w:bCs/>
          <w:szCs w:val="22"/>
        </w:rPr>
        <w:t>resolutions and the reasons therefor must be sent to all the directors</w:t>
      </w:r>
      <w:r w:rsidR="00E44AC7" w:rsidRPr="009B1E0E">
        <w:rPr>
          <w:rFonts w:cs="Arial"/>
          <w:bCs/>
          <w:szCs w:val="22"/>
        </w:rPr>
        <w:t>.</w:t>
      </w:r>
      <w:r w:rsidR="00065D3F" w:rsidRPr="009B1E0E">
        <w:rPr>
          <w:rFonts w:cs="Arial"/>
          <w:bCs/>
          <w:szCs w:val="22"/>
        </w:rPr>
        <w:t xml:space="preserve"> </w:t>
      </w:r>
      <w:r w:rsidR="003C43D7" w:rsidRPr="009B1E0E">
        <w:rPr>
          <w:rFonts w:cs="Arial"/>
          <w:bCs/>
          <w:szCs w:val="22"/>
        </w:rPr>
        <w:t>Directors are nevertheless required to take an informed decision and reasons for the proposed resolutions are necessary.</w:t>
      </w:r>
    </w:p>
    <w:p w14:paraId="0DA182DA" w14:textId="42A7F593" w:rsidR="00E6107E"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[24]</w:t>
      </w:r>
      <w:r w:rsidRPr="009B1E0E">
        <w:rPr>
          <w:rFonts w:cs="Arial"/>
          <w:bCs/>
          <w:szCs w:val="22"/>
        </w:rPr>
        <w:tab/>
      </w:r>
      <w:r w:rsidR="002F5131" w:rsidRPr="009B1E0E">
        <w:rPr>
          <w:rFonts w:cs="Arial"/>
          <w:bCs/>
          <w:szCs w:val="22"/>
        </w:rPr>
        <w:t xml:space="preserve">There is nothing in the Companies Act or the MOI that make the seven-day notice </w:t>
      </w:r>
      <w:r w:rsidR="002F5131" w:rsidRPr="009B1E0E">
        <w:rPr>
          <w:rFonts w:cs="Arial"/>
          <w:bCs/>
          <w:szCs w:val="22"/>
        </w:rPr>
        <w:lastRenderedPageBreak/>
        <w:t>period applicable to section 74 of the Companies Act. However, taking decisions in great haste might possibly be indicative of oppressive or unfairly prejudicial conduct within the meaning of these terms in section 163</w:t>
      </w:r>
      <w:r w:rsidR="002F5131" w:rsidRPr="009B1E0E">
        <w:rPr>
          <w:rStyle w:val="FootnoteReference"/>
          <w:rFonts w:cs="Arial"/>
          <w:bCs/>
          <w:szCs w:val="22"/>
        </w:rPr>
        <w:footnoteReference w:id="26"/>
      </w:r>
      <w:r w:rsidR="002F5131" w:rsidRPr="009B1E0E">
        <w:rPr>
          <w:rFonts w:cs="Arial"/>
          <w:bCs/>
          <w:szCs w:val="22"/>
        </w:rPr>
        <w:t xml:space="preserve"> of the Companies Act.</w:t>
      </w:r>
    </w:p>
    <w:p w14:paraId="29274597" w14:textId="2F469AA8" w:rsidR="00D05DCC"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[25]</w:t>
      </w:r>
      <w:r w:rsidRPr="009B1E0E">
        <w:rPr>
          <w:rFonts w:cs="Arial"/>
          <w:bCs/>
          <w:szCs w:val="22"/>
        </w:rPr>
        <w:tab/>
      </w:r>
      <w:r w:rsidR="007A6962" w:rsidRPr="009B1E0E">
        <w:rPr>
          <w:rFonts w:cs="Arial"/>
          <w:bCs/>
          <w:szCs w:val="22"/>
        </w:rPr>
        <w:t>The powers</w:t>
      </w:r>
      <w:r w:rsidR="004C483E" w:rsidRPr="009B1E0E">
        <w:rPr>
          <w:rStyle w:val="FootnoteReference"/>
          <w:rFonts w:cs="Arial"/>
          <w:bCs/>
          <w:szCs w:val="22"/>
        </w:rPr>
        <w:footnoteReference w:id="27"/>
      </w:r>
      <w:r w:rsidR="007A6962" w:rsidRPr="009B1E0E">
        <w:rPr>
          <w:rFonts w:cs="Arial"/>
          <w:bCs/>
          <w:szCs w:val="22"/>
        </w:rPr>
        <w:t xml:space="preserve"> exercised by the board were far-reaching powers, and</w:t>
      </w:r>
      <w:r w:rsidR="003C7FCB" w:rsidRPr="009B1E0E">
        <w:rPr>
          <w:rFonts w:cs="Arial"/>
          <w:bCs/>
          <w:szCs w:val="22"/>
        </w:rPr>
        <w:t xml:space="preserve"> it should be remembered that</w:t>
      </w:r>
      <w:r w:rsidR="007A6962" w:rsidRPr="009B1E0E">
        <w:rPr>
          <w:rFonts w:cs="Arial"/>
          <w:bCs/>
          <w:szCs w:val="22"/>
        </w:rPr>
        <w:t xml:space="preserve"> with great power</w:t>
      </w:r>
      <w:r w:rsidR="00676D5A" w:rsidRPr="009B1E0E">
        <w:rPr>
          <w:rFonts w:cs="Arial"/>
          <w:bCs/>
          <w:szCs w:val="22"/>
        </w:rPr>
        <w:t xml:space="preserve"> such as the power to issue shares</w:t>
      </w:r>
      <w:r w:rsidR="00CC0CA5" w:rsidRPr="009B1E0E">
        <w:rPr>
          <w:rStyle w:val="FootnoteReference"/>
          <w:rFonts w:cs="Arial"/>
          <w:bCs/>
          <w:szCs w:val="22"/>
        </w:rPr>
        <w:footnoteReference w:id="28"/>
      </w:r>
      <w:r w:rsidR="007A6962" w:rsidRPr="009B1E0E">
        <w:rPr>
          <w:rFonts w:cs="Arial"/>
          <w:bCs/>
          <w:szCs w:val="22"/>
        </w:rPr>
        <w:t xml:space="preserve"> comes great responsibility.</w:t>
      </w:r>
      <w:r w:rsidR="00E6107E" w:rsidRPr="009B1E0E">
        <w:rPr>
          <w:rFonts w:cs="Arial"/>
          <w:bCs/>
          <w:szCs w:val="22"/>
        </w:rPr>
        <w:t xml:space="preserve"> I was referred to authority in England and Australia that make the self-evident point that the exercise of directors’ powers to change the balance of power within a company might (depending as always on the facts) be improper.</w:t>
      </w:r>
      <w:r w:rsidR="00B87E6D" w:rsidRPr="009B1E0E">
        <w:rPr>
          <w:rFonts w:cs="Arial"/>
          <w:bCs/>
          <w:szCs w:val="22"/>
        </w:rPr>
        <w:t xml:space="preserve"> </w:t>
      </w:r>
    </w:p>
    <w:p w14:paraId="350E06B7" w14:textId="5F1121B2" w:rsidR="00C44BFE"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[26]</w:t>
      </w:r>
      <w:r w:rsidRPr="009B1E0E">
        <w:rPr>
          <w:rFonts w:cs="Arial"/>
          <w:bCs/>
          <w:szCs w:val="22"/>
        </w:rPr>
        <w:tab/>
      </w:r>
      <w:r w:rsidR="00B87E6D" w:rsidRPr="009B1E0E">
        <w:rPr>
          <w:rFonts w:cs="Arial"/>
          <w:bCs/>
          <w:szCs w:val="22"/>
        </w:rPr>
        <w:t xml:space="preserve">In </w:t>
      </w:r>
      <w:r w:rsidR="00B87E6D" w:rsidRPr="009B1E0E">
        <w:rPr>
          <w:rFonts w:cs="Arial"/>
          <w:i/>
          <w:iCs/>
          <w:szCs w:val="22"/>
        </w:rPr>
        <w:t>CDH Invest NV v Petrotank South Africa (Pty) Ltd and Another</w:t>
      </w:r>
      <w:r w:rsidR="00B87E6D" w:rsidRPr="009B1E0E">
        <w:rPr>
          <w:rStyle w:val="FootnoteReference"/>
          <w:rFonts w:cs="Arial"/>
          <w:i/>
          <w:iCs/>
          <w:szCs w:val="22"/>
        </w:rPr>
        <w:footnoteReference w:id="29"/>
      </w:r>
      <w:r w:rsidR="00B87E6D" w:rsidRPr="009B1E0E">
        <w:rPr>
          <w:rFonts w:cs="Arial"/>
          <w:szCs w:val="22"/>
        </w:rPr>
        <w:t xml:space="preserve"> van der Linde J referred to </w:t>
      </w:r>
      <w:r w:rsidR="001E3D11" w:rsidRPr="009B1E0E">
        <w:rPr>
          <w:rFonts w:cs="Arial"/>
          <w:szCs w:val="22"/>
        </w:rPr>
        <w:t>Commonwealth authorities and then concluded that a director’s belief that the power was exercised in good faith is still subject to the control of the Court where there is no rational basis for the belief.</w:t>
      </w:r>
    </w:p>
    <w:p w14:paraId="38415EAE" w14:textId="5D1739CC" w:rsidR="008F55C8"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[27]</w:t>
      </w:r>
      <w:r w:rsidRPr="009B1E0E">
        <w:rPr>
          <w:rFonts w:cs="Arial"/>
          <w:bCs/>
          <w:szCs w:val="22"/>
        </w:rPr>
        <w:tab/>
      </w:r>
      <w:r w:rsidR="008F55C8" w:rsidRPr="009B1E0E">
        <w:rPr>
          <w:rFonts w:cs="Arial"/>
          <w:bCs/>
          <w:szCs w:val="22"/>
        </w:rPr>
        <w:t xml:space="preserve">Before I deal with the </w:t>
      </w:r>
      <w:r w:rsidR="001D0681" w:rsidRPr="009B1E0E">
        <w:rPr>
          <w:rFonts w:cs="Arial"/>
          <w:bCs/>
          <w:szCs w:val="22"/>
        </w:rPr>
        <w:t>actual</w:t>
      </w:r>
      <w:r w:rsidR="006F294C" w:rsidRPr="009B1E0E">
        <w:rPr>
          <w:rFonts w:cs="Arial"/>
          <w:bCs/>
          <w:szCs w:val="22"/>
        </w:rPr>
        <w:t xml:space="preserve"> or primary</w:t>
      </w:r>
      <w:r w:rsidR="00ED4E41" w:rsidRPr="009B1E0E">
        <w:rPr>
          <w:rFonts w:cs="Arial"/>
          <w:bCs/>
          <w:szCs w:val="22"/>
        </w:rPr>
        <w:t xml:space="preserve"> purpose of the resolution</w:t>
      </w:r>
      <w:r w:rsidR="008F55C8" w:rsidRPr="009B1E0E">
        <w:rPr>
          <w:rFonts w:cs="Arial"/>
          <w:bCs/>
          <w:szCs w:val="22"/>
        </w:rPr>
        <w:t>s and section 163 of the Act, I point out that the ALI respondents’ evidence was that the share issue was in fact discussed at board meetings even though the proposed resolutions relating to the share issue were not tabled for decision at those meetings.</w:t>
      </w:r>
    </w:p>
    <w:p w14:paraId="7EE4E11F" w14:textId="4698558F" w:rsidR="00FD31AD"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[28]</w:t>
      </w:r>
      <w:r w:rsidRPr="009B1E0E">
        <w:rPr>
          <w:rFonts w:cs="Arial"/>
          <w:bCs/>
          <w:szCs w:val="22"/>
        </w:rPr>
        <w:tab/>
      </w:r>
      <w:r w:rsidR="00FD31AD" w:rsidRPr="009B1E0E">
        <w:rPr>
          <w:rFonts w:cs="Arial"/>
          <w:bCs/>
          <w:szCs w:val="22"/>
        </w:rPr>
        <w:t>The applicants rely on section 163 (1) (b) and (c) of the Companies Act.</w:t>
      </w:r>
      <w:r w:rsidR="00972596" w:rsidRPr="009B1E0E">
        <w:rPr>
          <w:rStyle w:val="FootnoteReference"/>
          <w:rFonts w:cs="Arial"/>
          <w:bCs/>
          <w:szCs w:val="22"/>
        </w:rPr>
        <w:footnoteReference w:id="30"/>
      </w:r>
      <w:r w:rsidR="00FD31AD" w:rsidRPr="009B1E0E">
        <w:rPr>
          <w:rFonts w:cs="Arial"/>
          <w:bCs/>
          <w:szCs w:val="22"/>
        </w:rPr>
        <w:t xml:space="preserve"> </w:t>
      </w:r>
      <w:r w:rsidR="00DA0FA0" w:rsidRPr="009B1E0E">
        <w:rPr>
          <w:rFonts w:cs="Arial"/>
          <w:bCs/>
          <w:szCs w:val="22"/>
        </w:rPr>
        <w:t xml:space="preserve">These </w:t>
      </w:r>
      <w:r w:rsidR="00DA0FA0" w:rsidRPr="009B1E0E">
        <w:rPr>
          <w:rFonts w:cs="Arial"/>
          <w:bCs/>
          <w:szCs w:val="22"/>
        </w:rPr>
        <w:lastRenderedPageBreak/>
        <w:t>two paragraphs provide that -</w:t>
      </w:r>
    </w:p>
    <w:p w14:paraId="326F7E1C" w14:textId="77777777" w:rsidR="00DA0FA0" w:rsidRPr="009B1E0E" w:rsidRDefault="00DA0FA0" w:rsidP="00DA0FA0">
      <w:pPr>
        <w:spacing w:before="240" w:after="240" w:line="360" w:lineRule="auto"/>
        <w:ind w:left="1440"/>
        <w:rPr>
          <w:rFonts w:cs="Arial"/>
          <w:i/>
          <w:iCs/>
          <w:szCs w:val="22"/>
          <w:lang w:eastAsia="en-ZA"/>
        </w:rPr>
      </w:pPr>
      <w:r w:rsidRPr="009B1E0E">
        <w:rPr>
          <w:rFonts w:cs="Arial"/>
          <w:i/>
          <w:iCs/>
          <w:szCs w:val="22"/>
          <w:lang w:eastAsia="en-ZA"/>
        </w:rPr>
        <w:t>“A shareholder or a director of a company may apply to a court for relief if-</w:t>
      </w:r>
    </w:p>
    <w:p w14:paraId="7A45D6F4" w14:textId="77777777" w:rsidR="00DA0FA0" w:rsidRPr="009B1E0E" w:rsidRDefault="00DA0FA0" w:rsidP="00DA0FA0">
      <w:pPr>
        <w:spacing w:before="240" w:after="240" w:line="360" w:lineRule="auto"/>
        <w:ind w:left="1440"/>
        <w:rPr>
          <w:rFonts w:cs="Arial"/>
          <w:i/>
          <w:iCs/>
          <w:szCs w:val="22"/>
          <w:lang w:eastAsia="en-ZA"/>
        </w:rPr>
      </w:pPr>
      <w:r w:rsidRPr="009B1E0E">
        <w:rPr>
          <w:rFonts w:cs="Arial"/>
          <w:i/>
          <w:iCs/>
          <w:szCs w:val="22"/>
          <w:lang w:eastAsia="en-ZA"/>
        </w:rPr>
        <w:t>   (a)   …;</w:t>
      </w:r>
    </w:p>
    <w:p w14:paraId="40642C4A" w14:textId="77777777" w:rsidR="00DA0FA0" w:rsidRPr="009B1E0E" w:rsidRDefault="00DA0FA0" w:rsidP="00DA0FA0">
      <w:pPr>
        <w:spacing w:before="240" w:after="240" w:line="360" w:lineRule="auto"/>
        <w:ind w:left="1440"/>
        <w:rPr>
          <w:rFonts w:cs="Arial"/>
          <w:i/>
          <w:iCs/>
          <w:szCs w:val="22"/>
          <w:lang w:eastAsia="en-ZA"/>
        </w:rPr>
      </w:pPr>
      <w:r w:rsidRPr="009B1E0E">
        <w:rPr>
          <w:rFonts w:cs="Arial"/>
          <w:i/>
          <w:iCs/>
          <w:szCs w:val="22"/>
          <w:lang w:eastAsia="en-ZA"/>
        </w:rPr>
        <w:t>   (b)   the business of the company, or a related person, is being or has been carried on or conducted in a manner that is oppressive or unfairly prejudicial to, or that unfairly disregards the interests of, the applicant; or</w:t>
      </w:r>
    </w:p>
    <w:p w14:paraId="52877A66" w14:textId="65929C42" w:rsidR="00DA0FA0" w:rsidRPr="009B1E0E" w:rsidRDefault="00DA0FA0" w:rsidP="00DA0FA0">
      <w:pPr>
        <w:spacing w:before="240" w:after="240" w:line="360" w:lineRule="auto"/>
        <w:ind w:left="1440"/>
        <w:rPr>
          <w:rFonts w:cs="Arial"/>
          <w:bCs/>
          <w:i/>
          <w:iCs/>
          <w:szCs w:val="22"/>
        </w:rPr>
      </w:pPr>
      <w:r w:rsidRPr="009B1E0E">
        <w:rPr>
          <w:rFonts w:cs="Arial"/>
          <w:i/>
          <w:iCs/>
          <w:szCs w:val="22"/>
          <w:lang w:eastAsia="en-ZA"/>
        </w:rPr>
        <w:t>(c)   the powers of a director or prescribed officer of the company, or a person related to the company, are being or have been exercised in a manner that is oppressive or unfairly prejudicial to, or that unfairly disregards the interests of, the applicant.”</w:t>
      </w:r>
    </w:p>
    <w:p w14:paraId="7618C872" w14:textId="220F78C1" w:rsidR="007D3303"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[29]</w:t>
      </w:r>
      <w:r w:rsidRPr="009B1E0E">
        <w:rPr>
          <w:rFonts w:cs="Arial"/>
          <w:bCs/>
          <w:szCs w:val="22"/>
        </w:rPr>
        <w:tab/>
      </w:r>
      <w:r w:rsidR="00716130" w:rsidRPr="009B1E0E">
        <w:rPr>
          <w:rFonts w:cs="Arial"/>
          <w:bCs/>
          <w:szCs w:val="22"/>
        </w:rPr>
        <w:t xml:space="preserve">The respondents argue that the </w:t>
      </w:r>
      <w:r w:rsidR="001D0681" w:rsidRPr="009B1E0E">
        <w:rPr>
          <w:rFonts w:cs="Arial"/>
          <w:bCs/>
          <w:szCs w:val="22"/>
        </w:rPr>
        <w:t xml:space="preserve">actual </w:t>
      </w:r>
      <w:r w:rsidR="00716130" w:rsidRPr="009B1E0E">
        <w:rPr>
          <w:rFonts w:cs="Arial"/>
          <w:bCs/>
          <w:szCs w:val="22"/>
        </w:rPr>
        <w:t xml:space="preserve">purpose of the resolution was not to change the balance of power on the ALI board but to obtain funding for ALI to </w:t>
      </w:r>
      <w:r w:rsidR="007D3303" w:rsidRPr="009B1E0E">
        <w:rPr>
          <w:rFonts w:cs="Arial"/>
          <w:bCs/>
          <w:szCs w:val="22"/>
        </w:rPr>
        <w:t>fund the acquisition of the shares referred to</w:t>
      </w:r>
      <w:r w:rsidR="00243A1D" w:rsidRPr="009B1E0E">
        <w:rPr>
          <w:rFonts w:cs="Arial"/>
          <w:bCs/>
          <w:szCs w:val="22"/>
        </w:rPr>
        <w:t xml:space="preserve"> and to carry on business</w:t>
      </w:r>
      <w:r w:rsidR="007D3E62" w:rsidRPr="009B1E0E">
        <w:rPr>
          <w:rFonts w:cs="Arial"/>
          <w:bCs/>
          <w:szCs w:val="22"/>
        </w:rPr>
        <w:t>.</w:t>
      </w:r>
      <w:r w:rsidR="007D3303" w:rsidRPr="009B1E0E">
        <w:rPr>
          <w:rFonts w:cs="Arial"/>
          <w:bCs/>
          <w:szCs w:val="22"/>
        </w:rPr>
        <w:t xml:space="preserve"> </w:t>
      </w:r>
      <w:r w:rsidR="001D0681" w:rsidRPr="009B1E0E">
        <w:rPr>
          <w:rFonts w:cs="Arial"/>
          <w:bCs/>
          <w:szCs w:val="22"/>
        </w:rPr>
        <w:t xml:space="preserve">They argue that obtaining funding is and was </w:t>
      </w:r>
      <w:r w:rsidR="001B79E3" w:rsidRPr="009B1E0E">
        <w:rPr>
          <w:rFonts w:cs="Arial"/>
          <w:bCs/>
          <w:szCs w:val="22"/>
        </w:rPr>
        <w:t xml:space="preserve">the </w:t>
      </w:r>
      <w:r w:rsidR="00D05DCC" w:rsidRPr="009B1E0E">
        <w:rPr>
          <w:rFonts w:cs="Arial"/>
          <w:bCs/>
          <w:szCs w:val="22"/>
        </w:rPr>
        <w:t xml:space="preserve">primary </w:t>
      </w:r>
      <w:r w:rsidR="001D0681" w:rsidRPr="009B1E0E">
        <w:rPr>
          <w:rFonts w:cs="Arial"/>
          <w:bCs/>
          <w:szCs w:val="22"/>
        </w:rPr>
        <w:t>purpose pursued by the board.</w:t>
      </w:r>
    </w:p>
    <w:p w14:paraId="2F22D333" w14:textId="18DE4526" w:rsidR="002B517C"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[30]</w:t>
      </w:r>
      <w:r w:rsidRPr="009B1E0E">
        <w:rPr>
          <w:rFonts w:cs="Arial"/>
          <w:bCs/>
          <w:szCs w:val="22"/>
        </w:rPr>
        <w:tab/>
      </w:r>
      <w:r w:rsidR="0084791B" w:rsidRPr="009B1E0E">
        <w:rPr>
          <w:rFonts w:cs="Arial"/>
          <w:bCs/>
          <w:color w:val="000000" w:themeColor="text1"/>
          <w:szCs w:val="22"/>
        </w:rPr>
        <w:t xml:space="preserve">Oppressive conduct </w:t>
      </w:r>
      <w:r w:rsidR="00823756" w:rsidRPr="009B1E0E">
        <w:rPr>
          <w:rFonts w:cs="Arial"/>
          <w:bCs/>
          <w:i/>
          <w:iCs/>
          <w:color w:val="000000" w:themeColor="text1"/>
          <w:szCs w:val="22"/>
        </w:rPr>
        <w:t>“</w:t>
      </w:r>
      <w:r w:rsidR="0084791B" w:rsidRPr="009B1E0E">
        <w:rPr>
          <w:rFonts w:cs="Arial"/>
          <w:bCs/>
          <w:i/>
          <w:iCs/>
          <w:color w:val="000000" w:themeColor="text1"/>
          <w:szCs w:val="22"/>
        </w:rPr>
        <w:t xml:space="preserve">involves at least </w:t>
      </w:r>
      <w:r w:rsidR="0084791B" w:rsidRPr="009B1E0E">
        <w:rPr>
          <w:rFonts w:cs="Arial"/>
          <w:i/>
          <w:iCs/>
          <w:color w:val="000000" w:themeColor="text1"/>
          <w:szCs w:val="22"/>
          <w:shd w:val="clear" w:color="auto" w:fill="FFFFFF"/>
        </w:rPr>
        <w:t>an element of lack of probity</w:t>
      </w:r>
      <w:r w:rsidR="007A6962" w:rsidRPr="009B1E0E">
        <w:rPr>
          <w:rFonts w:cs="Arial"/>
          <w:i/>
          <w:iCs/>
          <w:color w:val="000000" w:themeColor="text1"/>
          <w:szCs w:val="22"/>
          <w:shd w:val="clear" w:color="auto" w:fill="FFFFFF"/>
        </w:rPr>
        <w:t xml:space="preserve"> </w:t>
      </w:r>
      <w:r w:rsidR="0084791B" w:rsidRPr="009B1E0E">
        <w:rPr>
          <w:rFonts w:cs="Arial"/>
          <w:i/>
          <w:iCs/>
          <w:color w:val="000000" w:themeColor="text1"/>
          <w:szCs w:val="22"/>
          <w:shd w:val="clear" w:color="auto" w:fill="FFFFFF"/>
        </w:rPr>
        <w:t>or fair dealing</w:t>
      </w:r>
      <w:r w:rsidR="00823756" w:rsidRPr="009B1E0E">
        <w:rPr>
          <w:rFonts w:cs="Arial"/>
          <w:i/>
          <w:iCs/>
          <w:color w:val="000000" w:themeColor="text1"/>
          <w:szCs w:val="22"/>
          <w:shd w:val="clear" w:color="auto" w:fill="FFFFFF"/>
        </w:rPr>
        <w:t>”</w:t>
      </w:r>
      <w:r w:rsidR="00D82AC7" w:rsidRPr="009B1E0E">
        <w:rPr>
          <w:rFonts w:cs="Arial"/>
          <w:color w:val="000000" w:themeColor="text1"/>
          <w:szCs w:val="22"/>
          <w:shd w:val="clear" w:color="auto" w:fill="FFFFFF"/>
        </w:rPr>
        <w:t xml:space="preserve"> or a </w:t>
      </w:r>
      <w:r w:rsidR="00D82AC7" w:rsidRPr="009B1E0E">
        <w:rPr>
          <w:rFonts w:cs="Arial"/>
          <w:i/>
          <w:iCs/>
          <w:color w:val="000000" w:themeColor="text1"/>
          <w:szCs w:val="22"/>
        </w:rPr>
        <w:t xml:space="preserve">“visible departure from the standards of fair dealing and a violation of the </w:t>
      </w:r>
      <w:r w:rsidR="00D82AC7" w:rsidRPr="009B1E0E">
        <w:rPr>
          <w:rFonts w:cs="Arial"/>
          <w:i/>
          <w:iCs/>
          <w:szCs w:val="22"/>
        </w:rPr>
        <w:t>conditions of fair play on which every shareholder who entrusts his money to a company is entitled to rely.”</w:t>
      </w:r>
      <w:r w:rsidR="0084791B" w:rsidRPr="009B1E0E">
        <w:rPr>
          <w:rStyle w:val="FootnoteReference"/>
          <w:rFonts w:cs="Arial"/>
          <w:bCs/>
          <w:szCs w:val="22"/>
        </w:rPr>
        <w:footnoteReference w:id="31"/>
      </w:r>
      <w:r w:rsidR="00B141C4" w:rsidRPr="009B1E0E">
        <w:rPr>
          <w:rFonts w:cs="Arial"/>
          <w:i/>
          <w:iCs/>
          <w:szCs w:val="22"/>
        </w:rPr>
        <w:t xml:space="preserve"> </w:t>
      </w:r>
      <w:r w:rsidR="00B141C4" w:rsidRPr="009B1E0E">
        <w:rPr>
          <w:rFonts w:cs="Arial"/>
          <w:szCs w:val="22"/>
        </w:rPr>
        <w:t xml:space="preserve">The Court deciding the question is enjoined to look at </w:t>
      </w:r>
      <w:r w:rsidR="00B141C4" w:rsidRPr="009B1E0E">
        <w:rPr>
          <w:rFonts w:cs="Arial"/>
          <w:i/>
          <w:iCs/>
          <w:szCs w:val="22"/>
        </w:rPr>
        <w:t>“the business realities of a situation”</w:t>
      </w:r>
      <w:r w:rsidR="00B141C4" w:rsidRPr="009B1E0E">
        <w:rPr>
          <w:rFonts w:cs="Arial"/>
          <w:szCs w:val="22"/>
        </w:rPr>
        <w:t xml:space="preserve"> and to not confine itself to a</w:t>
      </w:r>
      <w:r w:rsidR="00B141C4" w:rsidRPr="009B1E0E">
        <w:rPr>
          <w:rFonts w:cs="Arial"/>
          <w:i/>
          <w:iCs/>
          <w:szCs w:val="22"/>
        </w:rPr>
        <w:t xml:space="preserve"> “narrow legalistic view.”</w:t>
      </w:r>
      <w:r w:rsidR="00B141C4" w:rsidRPr="009B1E0E">
        <w:rPr>
          <w:rStyle w:val="FootnoteReference"/>
          <w:rFonts w:cs="Arial"/>
          <w:szCs w:val="22"/>
        </w:rPr>
        <w:footnoteReference w:id="32"/>
      </w:r>
    </w:p>
    <w:p w14:paraId="0916D3D2" w14:textId="4DDFAC35" w:rsidR="00F766A4"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lastRenderedPageBreak/>
        <w:t>[31]</w:t>
      </w:r>
      <w:r w:rsidRPr="009B1E0E">
        <w:rPr>
          <w:rFonts w:cs="Arial"/>
          <w:bCs/>
          <w:szCs w:val="22"/>
        </w:rPr>
        <w:tab/>
      </w:r>
      <w:r w:rsidR="007B045F" w:rsidRPr="009B1E0E">
        <w:rPr>
          <w:rFonts w:cs="Arial"/>
          <w:bCs/>
          <w:szCs w:val="22"/>
        </w:rPr>
        <w:t>Cillié J sai</w:t>
      </w:r>
      <w:r w:rsidR="007B045F" w:rsidRPr="009B1E0E">
        <w:rPr>
          <w:rFonts w:cs="Arial"/>
          <w:bCs/>
          <w:color w:val="000000" w:themeColor="text1"/>
          <w:szCs w:val="22"/>
        </w:rPr>
        <w:t>d in</w:t>
      </w:r>
      <w:r w:rsidR="007954EC" w:rsidRPr="009B1E0E">
        <w:rPr>
          <w:rFonts w:cs="Arial"/>
          <w:i/>
          <w:iCs/>
          <w:color w:val="000000" w:themeColor="text1"/>
          <w:szCs w:val="22"/>
          <w:lang w:eastAsia="en-ZA"/>
        </w:rPr>
        <w:t xml:space="preserve"> Livanos v Swartzberg and Others</w:t>
      </w:r>
      <w:r w:rsidR="007954EC" w:rsidRPr="009B1E0E">
        <w:rPr>
          <w:rStyle w:val="FootnoteReference"/>
          <w:rFonts w:cs="Arial"/>
          <w:i/>
          <w:iCs/>
          <w:color w:val="000000" w:themeColor="text1"/>
          <w:szCs w:val="22"/>
          <w:lang w:eastAsia="en-ZA"/>
        </w:rPr>
        <w:footnoteReference w:id="33"/>
      </w:r>
      <w:r w:rsidR="007954EC" w:rsidRPr="009B1E0E">
        <w:rPr>
          <w:rFonts w:cs="Arial"/>
          <w:i/>
          <w:iCs/>
          <w:color w:val="000000" w:themeColor="text1"/>
          <w:szCs w:val="22"/>
          <w:lang w:eastAsia="en-ZA"/>
        </w:rPr>
        <w:t xml:space="preserve"> </w:t>
      </w:r>
      <w:r w:rsidR="007954EC" w:rsidRPr="009B1E0E">
        <w:rPr>
          <w:rFonts w:cs="Arial"/>
          <w:color w:val="000000" w:themeColor="text1"/>
          <w:szCs w:val="22"/>
          <w:lang w:eastAsia="en-ZA"/>
        </w:rPr>
        <w:t>1962 (4) SA 395 (W)</w:t>
      </w:r>
      <w:r w:rsidR="007B045F" w:rsidRPr="009B1E0E">
        <w:rPr>
          <w:rFonts w:cs="Arial"/>
          <w:bCs/>
          <w:color w:val="000000" w:themeColor="text1"/>
          <w:szCs w:val="22"/>
        </w:rPr>
        <w:t xml:space="preserve"> that </w:t>
      </w:r>
      <w:r w:rsidR="007B045F" w:rsidRPr="009B1E0E">
        <w:rPr>
          <w:rFonts w:cs="Arial"/>
          <w:bCs/>
          <w:i/>
          <w:iCs/>
          <w:color w:val="000000" w:themeColor="text1"/>
          <w:szCs w:val="22"/>
        </w:rPr>
        <w:t>“</w:t>
      </w:r>
      <w:r w:rsidR="007B045F" w:rsidRPr="009B1E0E">
        <w:rPr>
          <w:rFonts w:cs="Arial"/>
          <w:i/>
          <w:iCs/>
          <w:color w:val="000000" w:themeColor="text1"/>
          <w:szCs w:val="22"/>
        </w:rPr>
        <w:t xml:space="preserve">it is </w:t>
      </w:r>
      <w:r w:rsidR="007B045F" w:rsidRPr="009B1E0E">
        <w:rPr>
          <w:rFonts w:cs="Arial"/>
          <w:i/>
          <w:iCs/>
          <w:szCs w:val="22"/>
        </w:rPr>
        <w:t xml:space="preserve">not the motive for the conduct that the Court must look at but the conduct itself and the effect which it has on other members of the company.” </w:t>
      </w:r>
      <w:r w:rsidR="007B045F" w:rsidRPr="009B1E0E">
        <w:rPr>
          <w:rFonts w:cs="Arial"/>
          <w:szCs w:val="22"/>
        </w:rPr>
        <w:t>This</w:t>
      </w:r>
      <w:r w:rsidR="007B045F" w:rsidRPr="009B1E0E">
        <w:rPr>
          <w:rFonts w:cs="Arial"/>
          <w:i/>
          <w:iCs/>
          <w:szCs w:val="22"/>
        </w:rPr>
        <w:t xml:space="preserve"> dictum </w:t>
      </w:r>
      <w:r w:rsidR="007B045F" w:rsidRPr="009B1E0E">
        <w:rPr>
          <w:rFonts w:cs="Arial"/>
          <w:szCs w:val="22"/>
        </w:rPr>
        <w:t>was referred to with approval</w:t>
      </w:r>
      <w:r w:rsidR="00F7194B" w:rsidRPr="009B1E0E">
        <w:rPr>
          <w:rFonts w:cs="Arial"/>
          <w:szCs w:val="22"/>
        </w:rPr>
        <w:t xml:space="preserve"> in the Supreme Court of Appeal</w:t>
      </w:r>
      <w:r w:rsidR="007B045F" w:rsidRPr="009B1E0E">
        <w:rPr>
          <w:rFonts w:cs="Arial"/>
          <w:szCs w:val="22"/>
        </w:rPr>
        <w:t xml:space="preserve"> by Petse JA in </w:t>
      </w:r>
      <w:r w:rsidR="00CD1E61" w:rsidRPr="009B1E0E">
        <w:rPr>
          <w:rFonts w:cs="Arial"/>
          <w:i/>
          <w:iCs/>
          <w:szCs w:val="22"/>
        </w:rPr>
        <w:t>Grancy Property Ltd v Manala and Others.</w:t>
      </w:r>
      <w:r w:rsidR="00CD1E61" w:rsidRPr="009B1E0E">
        <w:rPr>
          <w:rStyle w:val="FootnoteReference"/>
          <w:rFonts w:cs="Arial"/>
          <w:i/>
          <w:iCs/>
          <w:szCs w:val="22"/>
        </w:rPr>
        <w:footnoteReference w:id="34"/>
      </w:r>
      <w:r w:rsidR="00F766A4" w:rsidRPr="009B1E0E">
        <w:rPr>
          <w:rFonts w:cs="Arial"/>
          <w:i/>
          <w:iCs/>
          <w:szCs w:val="22"/>
        </w:rPr>
        <w:t xml:space="preserve"> </w:t>
      </w:r>
      <w:r w:rsidR="00F766A4" w:rsidRPr="009B1E0E">
        <w:rPr>
          <w:rFonts w:cs="Arial"/>
          <w:bCs/>
          <w:szCs w:val="22"/>
        </w:rPr>
        <w:t xml:space="preserve">The </w:t>
      </w:r>
      <w:r w:rsidR="00F766A4" w:rsidRPr="009B1E0E">
        <w:rPr>
          <w:rFonts w:cs="Arial"/>
          <w:bCs/>
          <w:i/>
          <w:iCs/>
          <w:szCs w:val="22"/>
        </w:rPr>
        <w:t>effect</w:t>
      </w:r>
      <w:r w:rsidR="00F766A4" w:rsidRPr="009B1E0E">
        <w:rPr>
          <w:rFonts w:cs="Arial"/>
          <w:bCs/>
          <w:szCs w:val="22"/>
        </w:rPr>
        <w:t xml:space="preserve"> of course was </w:t>
      </w:r>
      <w:r w:rsidR="007917E6" w:rsidRPr="009B1E0E">
        <w:rPr>
          <w:rFonts w:cs="Arial"/>
          <w:bCs/>
          <w:szCs w:val="22"/>
        </w:rPr>
        <w:t>additional and much needed funding. Obtaining the funding was a proper purpose.</w:t>
      </w:r>
      <w:r w:rsidR="00F766A4" w:rsidRPr="009B1E0E">
        <w:rPr>
          <w:rFonts w:cs="Arial"/>
          <w:bCs/>
          <w:szCs w:val="22"/>
        </w:rPr>
        <w:t xml:space="preserve"> </w:t>
      </w:r>
    </w:p>
    <w:p w14:paraId="4FB1A10A" w14:textId="68959771" w:rsidR="001D0681"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[32]</w:t>
      </w:r>
      <w:r w:rsidRPr="009B1E0E">
        <w:rPr>
          <w:rFonts w:cs="Arial"/>
          <w:bCs/>
          <w:szCs w:val="22"/>
        </w:rPr>
        <w:tab/>
      </w:r>
      <w:r w:rsidR="001D0681" w:rsidRPr="009B1E0E">
        <w:rPr>
          <w:rFonts w:cs="Arial"/>
          <w:bCs/>
          <w:szCs w:val="22"/>
        </w:rPr>
        <w:t>The test is objective.</w:t>
      </w:r>
      <w:r w:rsidR="001E3D11" w:rsidRPr="009B1E0E">
        <w:rPr>
          <w:rStyle w:val="FootnoteReference"/>
          <w:rFonts w:cs="Arial"/>
          <w:i/>
          <w:iCs/>
          <w:szCs w:val="22"/>
        </w:rPr>
        <w:footnoteReference w:id="35"/>
      </w:r>
      <w:r w:rsidR="000C0C85" w:rsidRPr="009B1E0E">
        <w:rPr>
          <w:rFonts w:cs="Arial"/>
          <w:bCs/>
          <w:szCs w:val="22"/>
        </w:rPr>
        <w:t xml:space="preserve"> In </w:t>
      </w:r>
      <w:r w:rsidR="000C0C85" w:rsidRPr="009B1E0E">
        <w:rPr>
          <w:rFonts w:cs="Arial"/>
          <w:i/>
          <w:iCs/>
          <w:color w:val="000000" w:themeColor="text1"/>
          <w:szCs w:val="22"/>
        </w:rPr>
        <w:t>Visser Sitrus (Pty) Ltd v Goede Hoop Sitrus (Pty) Ltd and Others</w:t>
      </w:r>
      <w:r w:rsidR="000C0C85" w:rsidRPr="009B1E0E">
        <w:rPr>
          <w:rStyle w:val="FootnoteReference"/>
          <w:rFonts w:cs="Arial"/>
          <w:bCs/>
          <w:szCs w:val="22"/>
        </w:rPr>
        <w:t xml:space="preserve"> </w:t>
      </w:r>
      <w:r w:rsidR="001D0681" w:rsidRPr="009B1E0E">
        <w:rPr>
          <w:rStyle w:val="FootnoteReference"/>
          <w:rFonts w:cs="Arial"/>
          <w:bCs/>
          <w:szCs w:val="22"/>
        </w:rPr>
        <w:footnoteReference w:id="36"/>
      </w:r>
      <w:r w:rsidR="000C0C85" w:rsidRPr="009B1E0E">
        <w:rPr>
          <w:rFonts w:cs="Arial"/>
          <w:bCs/>
          <w:szCs w:val="22"/>
        </w:rPr>
        <w:t xml:space="preserve"> Rogers J said:</w:t>
      </w:r>
    </w:p>
    <w:p w14:paraId="691B053B" w14:textId="309B2677" w:rsidR="000C0C85" w:rsidRPr="009B1E0E" w:rsidRDefault="000C0C85" w:rsidP="000C0C85">
      <w:pPr>
        <w:widowControl w:val="0"/>
        <w:spacing w:before="480" w:after="480" w:line="360" w:lineRule="auto"/>
        <w:ind w:left="1440"/>
        <w:jc w:val="both"/>
        <w:rPr>
          <w:rFonts w:cs="Arial"/>
          <w:bCs/>
          <w:i/>
          <w:iCs/>
          <w:color w:val="000000" w:themeColor="text1"/>
          <w:szCs w:val="22"/>
        </w:rPr>
      </w:pPr>
      <w:r w:rsidRPr="009B1E0E">
        <w:rPr>
          <w:rFonts w:cs="Arial"/>
          <w:i/>
          <w:iCs/>
          <w:color w:val="000000" w:themeColor="text1"/>
          <w:szCs w:val="22"/>
          <w:shd w:val="clear" w:color="auto" w:fill="FFFFFF"/>
        </w:rPr>
        <w:t>“[80] As to proper purpose (s 76(3)(a)), the test is objective, in the sense that, once one has ascertained the actual purpose for which the power was exercised, one must determine whether the actual purpose falls within the purpose for which the power was conferred, the latter being a matter of interpretation of the empowering provision in the context of the instrument as a whole. In the context of decisions by directors, there will often be, in my view, a close relationship between the requirement that the power should be exercised for a proper purpose and the requirement that the directors should act in what they consider to be the best interests of the company. Put differently, the overarching purpose for which directors must exercise their powers is the purpose of promoting the best interests of the company.”</w:t>
      </w:r>
    </w:p>
    <w:p w14:paraId="0509FBE7" w14:textId="09F073C2" w:rsidR="00C2658B"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[33</w:t>
      </w:r>
      <w:bookmarkStart w:id="0" w:name="_GoBack"/>
      <w:bookmarkEnd w:id="0"/>
      <w:r w:rsidRPr="009B1E0E">
        <w:rPr>
          <w:rFonts w:cs="Arial"/>
          <w:bCs/>
          <w:szCs w:val="22"/>
        </w:rPr>
        <w:t>]</w:t>
      </w:r>
      <w:r w:rsidRPr="009B1E0E">
        <w:rPr>
          <w:rFonts w:cs="Arial"/>
          <w:bCs/>
          <w:szCs w:val="22"/>
        </w:rPr>
        <w:tab/>
      </w:r>
      <w:r w:rsidR="00D05DCC" w:rsidRPr="009B1E0E">
        <w:rPr>
          <w:rFonts w:cs="Arial"/>
          <w:bCs/>
          <w:szCs w:val="22"/>
        </w:rPr>
        <w:t xml:space="preserve">The resolution in terms of section 74 of the Companies Act was adopted for a proper purpose. </w:t>
      </w:r>
      <w:r w:rsidR="00C2658B" w:rsidRPr="009B1E0E">
        <w:rPr>
          <w:rFonts w:cs="Arial"/>
          <w:bCs/>
          <w:szCs w:val="22"/>
        </w:rPr>
        <w:t xml:space="preserve">I conclude that the main application ought to </w:t>
      </w:r>
      <w:r w:rsidR="004A1EA3" w:rsidRPr="009B1E0E">
        <w:rPr>
          <w:rFonts w:cs="Arial"/>
          <w:bCs/>
          <w:szCs w:val="22"/>
        </w:rPr>
        <w:t>be dismissed with costs</w:t>
      </w:r>
      <w:r w:rsidR="00C2658B" w:rsidRPr="009B1E0E">
        <w:rPr>
          <w:rFonts w:cs="Arial"/>
          <w:bCs/>
          <w:szCs w:val="22"/>
        </w:rPr>
        <w:t xml:space="preserve"> </w:t>
      </w:r>
      <w:r w:rsidR="00F02045" w:rsidRPr="009B1E0E">
        <w:rPr>
          <w:rFonts w:cs="Arial"/>
          <w:bCs/>
          <w:szCs w:val="22"/>
        </w:rPr>
        <w:t xml:space="preserve">as </w:t>
      </w:r>
      <w:r w:rsidR="00C2658B" w:rsidRPr="009B1E0E">
        <w:rPr>
          <w:rFonts w:cs="Arial"/>
          <w:bCs/>
          <w:szCs w:val="22"/>
        </w:rPr>
        <w:t>set out in the orde</w:t>
      </w:r>
      <w:r w:rsidR="00405DEE" w:rsidRPr="009B1E0E">
        <w:rPr>
          <w:rFonts w:cs="Arial"/>
          <w:bCs/>
          <w:szCs w:val="22"/>
        </w:rPr>
        <w:t>r</w:t>
      </w:r>
      <w:r w:rsidR="00C2658B" w:rsidRPr="009B1E0E">
        <w:rPr>
          <w:rFonts w:cs="Arial"/>
          <w:bCs/>
          <w:szCs w:val="22"/>
        </w:rPr>
        <w:t>.</w:t>
      </w:r>
    </w:p>
    <w:p w14:paraId="541B3A7A" w14:textId="77777777" w:rsidR="00295ACB" w:rsidRPr="009B1E0E" w:rsidRDefault="00295ACB" w:rsidP="00444E8C">
      <w:pPr>
        <w:widowControl w:val="0"/>
        <w:spacing w:before="480" w:after="480" w:line="480" w:lineRule="auto"/>
        <w:jc w:val="both"/>
        <w:rPr>
          <w:rFonts w:cs="Arial"/>
          <w:bCs/>
          <w:szCs w:val="22"/>
          <w:u w:val="single"/>
        </w:rPr>
      </w:pPr>
    </w:p>
    <w:p w14:paraId="398C83EB" w14:textId="25E39600" w:rsidR="00444E8C" w:rsidRPr="009B1E0E" w:rsidRDefault="00444E8C" w:rsidP="00295ACB">
      <w:pPr>
        <w:keepNext/>
        <w:widowControl w:val="0"/>
        <w:spacing w:before="480" w:after="480" w:line="480" w:lineRule="auto"/>
        <w:jc w:val="both"/>
        <w:rPr>
          <w:rFonts w:cs="Arial"/>
          <w:bCs/>
          <w:szCs w:val="22"/>
          <w:u w:val="single"/>
        </w:rPr>
      </w:pPr>
      <w:r w:rsidRPr="009B1E0E">
        <w:rPr>
          <w:rFonts w:cs="Arial"/>
          <w:bCs/>
          <w:szCs w:val="22"/>
          <w:u w:val="single"/>
        </w:rPr>
        <w:t xml:space="preserve">The </w:t>
      </w:r>
      <w:r w:rsidR="00A445E6" w:rsidRPr="009B1E0E">
        <w:rPr>
          <w:rFonts w:cs="Arial"/>
          <w:bCs/>
          <w:szCs w:val="22"/>
          <w:u w:val="single"/>
        </w:rPr>
        <w:t xml:space="preserve">main </w:t>
      </w:r>
      <w:r w:rsidRPr="009B1E0E">
        <w:rPr>
          <w:rFonts w:cs="Arial"/>
          <w:bCs/>
          <w:szCs w:val="22"/>
          <w:u w:val="single"/>
        </w:rPr>
        <w:t>counter-application: Delinquency</w:t>
      </w:r>
    </w:p>
    <w:p w14:paraId="305CADE9" w14:textId="7426A763" w:rsidR="00F02045" w:rsidRPr="009B1E0E" w:rsidRDefault="00BE377D" w:rsidP="00BE377D">
      <w:pPr>
        <w:keepNext/>
        <w:widowControl w:val="0"/>
        <w:tabs>
          <w:tab w:val="left" w:pos="567"/>
        </w:tabs>
        <w:spacing w:before="480" w:after="480" w:line="480" w:lineRule="auto"/>
        <w:jc w:val="both"/>
        <w:rPr>
          <w:rFonts w:cs="Arial"/>
          <w:bCs/>
          <w:szCs w:val="22"/>
        </w:rPr>
      </w:pPr>
      <w:r w:rsidRPr="009B1E0E">
        <w:rPr>
          <w:rFonts w:cs="Arial"/>
          <w:bCs/>
          <w:szCs w:val="22"/>
        </w:rPr>
        <w:t>[34]</w:t>
      </w:r>
      <w:r w:rsidRPr="009B1E0E">
        <w:rPr>
          <w:rFonts w:cs="Arial"/>
          <w:bCs/>
          <w:szCs w:val="22"/>
        </w:rPr>
        <w:tab/>
      </w:r>
      <w:r w:rsidR="006171B4" w:rsidRPr="009B1E0E">
        <w:rPr>
          <w:rFonts w:cs="Arial"/>
          <w:bCs/>
          <w:szCs w:val="22"/>
        </w:rPr>
        <w:t>Certain of t</w:t>
      </w:r>
      <w:r w:rsidR="001B79E3" w:rsidRPr="009B1E0E">
        <w:rPr>
          <w:rFonts w:cs="Arial"/>
          <w:bCs/>
          <w:szCs w:val="22"/>
        </w:rPr>
        <w:t xml:space="preserve">he present applicants have instituted an action against </w:t>
      </w:r>
      <w:r w:rsidR="006171B4" w:rsidRPr="009B1E0E">
        <w:rPr>
          <w:rFonts w:cs="Arial"/>
          <w:bCs/>
          <w:szCs w:val="22"/>
        </w:rPr>
        <w:t>certain of the</w:t>
      </w:r>
      <w:r w:rsidR="001B79E3" w:rsidRPr="009B1E0E">
        <w:rPr>
          <w:rFonts w:cs="Arial"/>
          <w:bCs/>
          <w:szCs w:val="22"/>
        </w:rPr>
        <w:t xml:space="preserve"> responden</w:t>
      </w:r>
      <w:r w:rsidR="006171B4" w:rsidRPr="009B1E0E">
        <w:rPr>
          <w:rFonts w:cs="Arial"/>
          <w:bCs/>
          <w:szCs w:val="22"/>
        </w:rPr>
        <w:t>t</w:t>
      </w:r>
      <w:r w:rsidR="001B79E3" w:rsidRPr="009B1E0E">
        <w:rPr>
          <w:rFonts w:cs="Arial"/>
          <w:bCs/>
          <w:szCs w:val="22"/>
        </w:rPr>
        <w:t>s in which they seek a declaration of delinquency. Pleadings have closed.</w:t>
      </w:r>
      <w:r w:rsidR="00ED219D" w:rsidRPr="009B1E0E">
        <w:rPr>
          <w:rStyle w:val="FootnoteReference"/>
          <w:rFonts w:cs="Arial"/>
          <w:bCs/>
          <w:szCs w:val="22"/>
        </w:rPr>
        <w:footnoteReference w:id="37"/>
      </w:r>
      <w:r w:rsidR="00AF5DB3" w:rsidRPr="009B1E0E">
        <w:rPr>
          <w:rFonts w:cs="Arial"/>
          <w:bCs/>
          <w:szCs w:val="22"/>
        </w:rPr>
        <w:t xml:space="preserve"> </w:t>
      </w:r>
      <w:r w:rsidR="00C47DB7" w:rsidRPr="009B1E0E">
        <w:rPr>
          <w:rFonts w:cs="Arial"/>
          <w:bCs/>
          <w:szCs w:val="22"/>
        </w:rPr>
        <w:t>The plaintiffs in the action are the 1</w:t>
      </w:r>
      <w:r w:rsidR="00C47DB7" w:rsidRPr="009B1E0E">
        <w:rPr>
          <w:rFonts w:cs="Arial"/>
          <w:bCs/>
          <w:szCs w:val="22"/>
          <w:vertAlign w:val="superscript"/>
        </w:rPr>
        <w:t>st</w:t>
      </w:r>
      <w:r w:rsidR="00C47DB7" w:rsidRPr="009B1E0E">
        <w:rPr>
          <w:rFonts w:cs="Arial"/>
          <w:bCs/>
          <w:szCs w:val="22"/>
        </w:rPr>
        <w:t xml:space="preserve"> to 8</w:t>
      </w:r>
      <w:r w:rsidR="00C47DB7" w:rsidRPr="009B1E0E">
        <w:rPr>
          <w:rFonts w:cs="Arial"/>
          <w:bCs/>
          <w:szCs w:val="22"/>
          <w:vertAlign w:val="superscript"/>
        </w:rPr>
        <w:t>th</w:t>
      </w:r>
      <w:r w:rsidR="00C47DB7" w:rsidRPr="009B1E0E">
        <w:rPr>
          <w:rFonts w:cs="Arial"/>
          <w:bCs/>
          <w:szCs w:val="22"/>
        </w:rPr>
        <w:t xml:space="preserve"> applicants in this application and the defendant</w:t>
      </w:r>
      <w:r w:rsidR="001C4EE6" w:rsidRPr="009B1E0E">
        <w:rPr>
          <w:rFonts w:cs="Arial"/>
          <w:bCs/>
          <w:szCs w:val="22"/>
        </w:rPr>
        <w:t>s</w:t>
      </w:r>
      <w:r w:rsidR="00C47DB7" w:rsidRPr="009B1E0E">
        <w:rPr>
          <w:rFonts w:cs="Arial"/>
          <w:bCs/>
          <w:szCs w:val="22"/>
        </w:rPr>
        <w:t xml:space="preserve"> are the 3</w:t>
      </w:r>
      <w:r w:rsidR="00C47DB7" w:rsidRPr="009B1E0E">
        <w:rPr>
          <w:rFonts w:cs="Arial"/>
          <w:bCs/>
          <w:szCs w:val="22"/>
          <w:vertAlign w:val="superscript"/>
        </w:rPr>
        <w:t>rd</w:t>
      </w:r>
      <w:r w:rsidR="00C47DB7" w:rsidRPr="009B1E0E">
        <w:rPr>
          <w:rFonts w:cs="Arial"/>
          <w:bCs/>
          <w:szCs w:val="22"/>
        </w:rPr>
        <w:t xml:space="preserve"> to 10</w:t>
      </w:r>
      <w:r w:rsidR="00C47DB7" w:rsidRPr="009B1E0E">
        <w:rPr>
          <w:rFonts w:cs="Arial"/>
          <w:bCs/>
          <w:szCs w:val="22"/>
          <w:vertAlign w:val="superscript"/>
        </w:rPr>
        <w:t>th</w:t>
      </w:r>
      <w:r w:rsidR="00C47DB7" w:rsidRPr="009B1E0E">
        <w:rPr>
          <w:rFonts w:cs="Arial"/>
          <w:bCs/>
          <w:szCs w:val="22"/>
        </w:rPr>
        <w:t xml:space="preserve"> respondents in this application. </w:t>
      </w:r>
    </w:p>
    <w:p w14:paraId="29DE2E32" w14:textId="4E998F98" w:rsidR="00695BFA" w:rsidRPr="009B1E0E" w:rsidRDefault="00BE377D" w:rsidP="00BE377D">
      <w:pPr>
        <w:keepNext/>
        <w:widowControl w:val="0"/>
        <w:tabs>
          <w:tab w:val="left" w:pos="567"/>
        </w:tabs>
        <w:spacing w:before="480" w:after="480" w:line="480" w:lineRule="auto"/>
        <w:jc w:val="both"/>
        <w:rPr>
          <w:rFonts w:cs="Arial"/>
          <w:bCs/>
          <w:szCs w:val="22"/>
        </w:rPr>
      </w:pPr>
      <w:r w:rsidRPr="009B1E0E">
        <w:rPr>
          <w:rFonts w:cs="Arial"/>
          <w:bCs/>
          <w:szCs w:val="22"/>
        </w:rPr>
        <w:t>[35]</w:t>
      </w:r>
      <w:r w:rsidRPr="009B1E0E">
        <w:rPr>
          <w:rFonts w:cs="Arial"/>
          <w:bCs/>
          <w:szCs w:val="22"/>
        </w:rPr>
        <w:tab/>
      </w:r>
      <w:r w:rsidR="00AF5DB3" w:rsidRPr="009B1E0E">
        <w:rPr>
          <w:rFonts w:cs="Arial"/>
          <w:bCs/>
          <w:szCs w:val="22"/>
        </w:rPr>
        <w:t>In th</w:t>
      </w:r>
      <w:r w:rsidR="00695BFA" w:rsidRPr="009B1E0E">
        <w:rPr>
          <w:rFonts w:cs="Arial"/>
          <w:bCs/>
          <w:szCs w:val="22"/>
        </w:rPr>
        <w:t>is</w:t>
      </w:r>
      <w:r w:rsidR="00AF5DB3" w:rsidRPr="009B1E0E">
        <w:rPr>
          <w:rFonts w:cs="Arial"/>
          <w:bCs/>
          <w:szCs w:val="22"/>
        </w:rPr>
        <w:t xml:space="preserve"> </w:t>
      </w:r>
      <w:r w:rsidR="00F02045" w:rsidRPr="009B1E0E">
        <w:rPr>
          <w:rFonts w:cs="Arial"/>
          <w:bCs/>
          <w:szCs w:val="22"/>
        </w:rPr>
        <w:t xml:space="preserve">part of the </w:t>
      </w:r>
      <w:r w:rsidR="00AF5DB3" w:rsidRPr="009B1E0E">
        <w:rPr>
          <w:rFonts w:cs="Arial"/>
          <w:bCs/>
          <w:szCs w:val="22"/>
        </w:rPr>
        <w:t>counter – application the main relief sought by the 1</w:t>
      </w:r>
      <w:r w:rsidR="00AF5DB3" w:rsidRPr="009B1E0E">
        <w:rPr>
          <w:rFonts w:cs="Arial"/>
          <w:bCs/>
          <w:szCs w:val="22"/>
          <w:vertAlign w:val="superscript"/>
        </w:rPr>
        <w:t>st</w:t>
      </w:r>
      <w:r w:rsidR="00AF5DB3" w:rsidRPr="009B1E0E">
        <w:rPr>
          <w:rFonts w:cs="Arial"/>
          <w:bCs/>
          <w:szCs w:val="22"/>
        </w:rPr>
        <w:t xml:space="preserve"> to 10</w:t>
      </w:r>
      <w:r w:rsidR="00AF5DB3" w:rsidRPr="009B1E0E">
        <w:rPr>
          <w:rFonts w:cs="Arial"/>
          <w:bCs/>
          <w:szCs w:val="22"/>
          <w:vertAlign w:val="superscript"/>
        </w:rPr>
        <w:t>th</w:t>
      </w:r>
      <w:r w:rsidR="00AF5DB3" w:rsidRPr="009B1E0E">
        <w:rPr>
          <w:rFonts w:cs="Arial"/>
          <w:bCs/>
          <w:szCs w:val="22"/>
        </w:rPr>
        <w:t xml:space="preserve"> respondents is that Ramano be declared a delinquent director for a period of seven years or such other period as the Court may determine, alternatively </w:t>
      </w:r>
      <w:r w:rsidR="00C47DB7" w:rsidRPr="009B1E0E">
        <w:rPr>
          <w:rFonts w:cs="Arial"/>
          <w:bCs/>
          <w:szCs w:val="22"/>
        </w:rPr>
        <w:t xml:space="preserve">to be </w:t>
      </w:r>
      <w:r w:rsidR="00AF5DB3" w:rsidRPr="009B1E0E">
        <w:rPr>
          <w:rFonts w:cs="Arial"/>
          <w:bCs/>
          <w:szCs w:val="22"/>
        </w:rPr>
        <w:t xml:space="preserve">under probation for a period of five years </w:t>
      </w:r>
      <w:r w:rsidR="00C47DB7" w:rsidRPr="009B1E0E">
        <w:rPr>
          <w:rFonts w:cs="Arial"/>
          <w:bCs/>
          <w:szCs w:val="22"/>
        </w:rPr>
        <w:t>or such other period as the Court may determine</w:t>
      </w:r>
      <w:r w:rsidR="00DB48E1" w:rsidRPr="009B1E0E">
        <w:rPr>
          <w:rFonts w:cs="Arial"/>
          <w:bCs/>
          <w:szCs w:val="22"/>
        </w:rPr>
        <w:t xml:space="preserve">, and </w:t>
      </w:r>
      <w:r w:rsidR="006171B4" w:rsidRPr="009B1E0E">
        <w:rPr>
          <w:rFonts w:cs="Arial"/>
          <w:bCs/>
          <w:szCs w:val="22"/>
        </w:rPr>
        <w:t>ancillary</w:t>
      </w:r>
      <w:r w:rsidR="00DB48E1" w:rsidRPr="009B1E0E">
        <w:rPr>
          <w:rFonts w:cs="Arial"/>
          <w:bCs/>
          <w:szCs w:val="22"/>
        </w:rPr>
        <w:t xml:space="preserve"> relief.</w:t>
      </w:r>
    </w:p>
    <w:p w14:paraId="7638014D" w14:textId="0952F54F" w:rsidR="00026953" w:rsidRPr="009B1E0E" w:rsidRDefault="00BE377D" w:rsidP="00BE377D">
      <w:pPr>
        <w:keepNext/>
        <w:widowControl w:val="0"/>
        <w:tabs>
          <w:tab w:val="left" w:pos="567"/>
        </w:tabs>
        <w:spacing w:before="480" w:after="480" w:line="480" w:lineRule="auto"/>
        <w:jc w:val="both"/>
        <w:rPr>
          <w:rFonts w:cs="Arial"/>
          <w:bCs/>
          <w:szCs w:val="22"/>
        </w:rPr>
      </w:pPr>
      <w:r w:rsidRPr="009B1E0E">
        <w:rPr>
          <w:rFonts w:cs="Arial"/>
          <w:bCs/>
          <w:szCs w:val="22"/>
        </w:rPr>
        <w:t>[36]</w:t>
      </w:r>
      <w:r w:rsidRPr="009B1E0E">
        <w:rPr>
          <w:rFonts w:cs="Arial"/>
          <w:bCs/>
          <w:szCs w:val="22"/>
        </w:rPr>
        <w:tab/>
      </w:r>
      <w:r w:rsidR="00F02045" w:rsidRPr="009B1E0E">
        <w:rPr>
          <w:rFonts w:cs="Arial"/>
          <w:bCs/>
          <w:szCs w:val="22"/>
        </w:rPr>
        <w:t>As will be shown below, there are disputes of fact that make it undesirable to decide the question of delinquency on affidavit.</w:t>
      </w:r>
      <w:r w:rsidR="00D05DCC" w:rsidRPr="009B1E0E">
        <w:rPr>
          <w:rFonts w:cs="Arial"/>
          <w:bCs/>
          <w:szCs w:val="22"/>
        </w:rPr>
        <w:t xml:space="preserve"> A counter-claim in the pending action would perhaps have been more appropriate.</w:t>
      </w:r>
    </w:p>
    <w:p w14:paraId="60B904EC" w14:textId="5AEB20B7" w:rsidR="000A62D6"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[37]</w:t>
      </w:r>
      <w:r w:rsidRPr="009B1E0E">
        <w:rPr>
          <w:rFonts w:cs="Arial"/>
          <w:bCs/>
          <w:szCs w:val="22"/>
        </w:rPr>
        <w:tab/>
      </w:r>
      <w:r w:rsidR="005D3438" w:rsidRPr="009B1E0E">
        <w:rPr>
          <w:rFonts w:cs="Arial"/>
          <w:bCs/>
          <w:szCs w:val="22"/>
        </w:rPr>
        <w:t xml:space="preserve">In 2016 Chevron Energy announced an intention to </w:t>
      </w:r>
      <w:r w:rsidR="000A62D6" w:rsidRPr="009B1E0E">
        <w:rPr>
          <w:rFonts w:cs="Arial"/>
          <w:bCs/>
          <w:szCs w:val="22"/>
        </w:rPr>
        <w:t xml:space="preserve">dispose of its interest in Astron Energy. OTS56 secured a commitment to provide financial and technical assistance from Glencore UK </w:t>
      </w:r>
      <w:r w:rsidR="005D3438" w:rsidRPr="009B1E0E">
        <w:rPr>
          <w:rFonts w:cs="Arial"/>
          <w:bCs/>
          <w:szCs w:val="22"/>
        </w:rPr>
        <w:t xml:space="preserve">In 2017, </w:t>
      </w:r>
      <w:r w:rsidR="000A62D6" w:rsidRPr="009B1E0E">
        <w:rPr>
          <w:rFonts w:cs="Arial"/>
          <w:bCs/>
          <w:szCs w:val="22"/>
        </w:rPr>
        <w:t xml:space="preserve">and then accepted an offer from Chevron Energy  for 75% of the issued share capital of Astron Energy and 100% of the issued share capital of Astron Botswana. </w:t>
      </w:r>
    </w:p>
    <w:p w14:paraId="2383286B" w14:textId="5F6904D4" w:rsidR="00A04493"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[38]</w:t>
      </w:r>
      <w:r w:rsidRPr="009B1E0E">
        <w:rPr>
          <w:rFonts w:cs="Arial"/>
          <w:bCs/>
          <w:szCs w:val="22"/>
        </w:rPr>
        <w:tab/>
      </w:r>
      <w:r w:rsidR="005D3438" w:rsidRPr="009B1E0E">
        <w:rPr>
          <w:rFonts w:cs="Arial"/>
          <w:bCs/>
          <w:szCs w:val="22"/>
        </w:rPr>
        <w:t xml:space="preserve">OTS56, Glencore UK, and </w:t>
      </w:r>
      <w:r w:rsidR="000674A1" w:rsidRPr="009B1E0E">
        <w:rPr>
          <w:rFonts w:cs="Arial"/>
          <w:bCs/>
          <w:szCs w:val="22"/>
        </w:rPr>
        <w:t xml:space="preserve">Glencore SA </w:t>
      </w:r>
      <w:r w:rsidR="005D3438" w:rsidRPr="009B1E0E">
        <w:rPr>
          <w:rFonts w:cs="Arial"/>
          <w:bCs/>
          <w:szCs w:val="22"/>
        </w:rPr>
        <w:t xml:space="preserve">entered into a Pre-Emption Framework </w:t>
      </w:r>
      <w:r w:rsidR="005D3438" w:rsidRPr="009B1E0E">
        <w:rPr>
          <w:rFonts w:cs="Arial"/>
          <w:bCs/>
          <w:szCs w:val="22"/>
        </w:rPr>
        <w:lastRenderedPageBreak/>
        <w:t xml:space="preserve">Agreement (“the Agreement”). It provided for two transactions. </w:t>
      </w:r>
    </w:p>
    <w:p w14:paraId="2E08704D" w14:textId="2ED93F95" w:rsidR="00A04493" w:rsidRPr="009B1E0E" w:rsidRDefault="00BE377D" w:rsidP="00BE377D">
      <w:pPr>
        <w:widowControl w:val="0"/>
        <w:tabs>
          <w:tab w:val="left" w:pos="1418"/>
        </w:tabs>
        <w:spacing w:before="480" w:after="480" w:line="480" w:lineRule="auto"/>
        <w:ind w:left="1418" w:hanging="851"/>
        <w:jc w:val="both"/>
        <w:rPr>
          <w:rFonts w:cs="Arial"/>
          <w:bCs/>
          <w:szCs w:val="22"/>
        </w:rPr>
      </w:pPr>
      <w:r w:rsidRPr="009B1E0E">
        <w:rPr>
          <w:rFonts w:cs="Arial"/>
          <w:bCs/>
          <w:szCs w:val="22"/>
        </w:rPr>
        <w:t>38.1</w:t>
      </w:r>
      <w:r w:rsidRPr="009B1E0E">
        <w:rPr>
          <w:rFonts w:cs="Arial"/>
          <w:bCs/>
          <w:szCs w:val="22"/>
        </w:rPr>
        <w:tab/>
      </w:r>
      <w:r w:rsidR="005D3438" w:rsidRPr="009B1E0E">
        <w:rPr>
          <w:rFonts w:cs="Arial"/>
          <w:bCs/>
          <w:szCs w:val="22"/>
        </w:rPr>
        <w:t xml:space="preserve">In terms of Transaction 1 OTS56 acquired </w:t>
      </w:r>
      <w:r w:rsidR="00A04493" w:rsidRPr="009B1E0E">
        <w:rPr>
          <w:rFonts w:cs="Arial"/>
          <w:bCs/>
          <w:szCs w:val="22"/>
        </w:rPr>
        <w:t xml:space="preserve">75% of the </w:t>
      </w:r>
      <w:r w:rsidR="005D3438" w:rsidRPr="009B1E0E">
        <w:rPr>
          <w:rFonts w:cs="Arial"/>
          <w:bCs/>
          <w:szCs w:val="22"/>
        </w:rPr>
        <w:t>share capital of Astron Energy</w:t>
      </w:r>
      <w:r w:rsidR="000A62D6" w:rsidRPr="009B1E0E">
        <w:rPr>
          <w:rFonts w:cs="Arial"/>
          <w:bCs/>
          <w:szCs w:val="22"/>
        </w:rPr>
        <w:t xml:space="preserve"> </w:t>
      </w:r>
      <w:r w:rsidR="00A04493" w:rsidRPr="009B1E0E">
        <w:rPr>
          <w:rFonts w:cs="Arial"/>
          <w:bCs/>
          <w:szCs w:val="22"/>
        </w:rPr>
        <w:t xml:space="preserve">and 100% of the shares of </w:t>
      </w:r>
      <w:r w:rsidR="000A62D6" w:rsidRPr="009B1E0E">
        <w:rPr>
          <w:rFonts w:cs="Arial"/>
          <w:bCs/>
          <w:szCs w:val="22"/>
        </w:rPr>
        <w:t>Astron Botswana. Funding was provided by Glencore SA in terms of an Exchang</w:t>
      </w:r>
      <w:r w:rsidR="00A445E6" w:rsidRPr="009B1E0E">
        <w:rPr>
          <w:rFonts w:cs="Arial"/>
          <w:bCs/>
          <w:szCs w:val="22"/>
        </w:rPr>
        <w:t>e</w:t>
      </w:r>
      <w:r w:rsidR="000A62D6" w:rsidRPr="009B1E0E">
        <w:rPr>
          <w:rFonts w:cs="Arial"/>
          <w:bCs/>
          <w:szCs w:val="22"/>
        </w:rPr>
        <w:t xml:space="preserve">able Loan Agreement. </w:t>
      </w:r>
    </w:p>
    <w:p w14:paraId="38816874" w14:textId="24C1835D" w:rsidR="00444E8C" w:rsidRPr="009B1E0E" w:rsidRDefault="00BE377D" w:rsidP="00BE377D">
      <w:pPr>
        <w:widowControl w:val="0"/>
        <w:tabs>
          <w:tab w:val="left" w:pos="1418"/>
        </w:tabs>
        <w:spacing w:before="480" w:after="480" w:line="480" w:lineRule="auto"/>
        <w:ind w:left="1418" w:hanging="851"/>
        <w:jc w:val="both"/>
        <w:rPr>
          <w:rFonts w:cs="Arial"/>
          <w:bCs/>
          <w:szCs w:val="22"/>
        </w:rPr>
      </w:pPr>
      <w:r w:rsidRPr="009B1E0E">
        <w:rPr>
          <w:rFonts w:cs="Arial"/>
          <w:bCs/>
          <w:szCs w:val="22"/>
        </w:rPr>
        <w:t>38.2</w:t>
      </w:r>
      <w:r w:rsidRPr="009B1E0E">
        <w:rPr>
          <w:rFonts w:cs="Arial"/>
          <w:bCs/>
          <w:szCs w:val="22"/>
        </w:rPr>
        <w:tab/>
      </w:r>
      <w:r w:rsidR="00A04493" w:rsidRPr="009B1E0E">
        <w:rPr>
          <w:rFonts w:cs="Arial"/>
          <w:bCs/>
          <w:szCs w:val="22"/>
        </w:rPr>
        <w:t xml:space="preserve">In terms of Transaction 2, OTS56 would sell the shares </w:t>
      </w:r>
      <w:r w:rsidR="008105FD" w:rsidRPr="009B1E0E">
        <w:rPr>
          <w:rFonts w:cs="Arial"/>
          <w:bCs/>
          <w:szCs w:val="22"/>
        </w:rPr>
        <w:t>and related interests to Glencore SA with the price to be set-off against the exchangeable loan</w:t>
      </w:r>
      <w:r w:rsidR="00A04493" w:rsidRPr="009B1E0E">
        <w:rPr>
          <w:rFonts w:cs="Arial"/>
          <w:bCs/>
          <w:szCs w:val="22"/>
        </w:rPr>
        <w:t>.</w:t>
      </w:r>
      <w:r w:rsidR="00F84FA9" w:rsidRPr="009B1E0E">
        <w:rPr>
          <w:rFonts w:cs="Arial"/>
          <w:bCs/>
          <w:szCs w:val="22"/>
        </w:rPr>
        <w:t xml:space="preserve"> Transaction 2 was subject to a number of conditions which included approval by the Competition Commission of and the shareholders of ALI</w:t>
      </w:r>
      <w:r w:rsidR="00A82144" w:rsidRPr="009B1E0E">
        <w:rPr>
          <w:rStyle w:val="FootnoteReference"/>
          <w:rFonts w:cs="Arial"/>
          <w:bCs/>
          <w:szCs w:val="22"/>
        </w:rPr>
        <w:footnoteReference w:id="38"/>
      </w:r>
      <w:r w:rsidR="00A82144" w:rsidRPr="009B1E0E">
        <w:rPr>
          <w:rFonts w:cs="Arial"/>
          <w:bCs/>
          <w:szCs w:val="22"/>
        </w:rPr>
        <w:t xml:space="preserve"> by way of a special resolution.</w:t>
      </w:r>
    </w:p>
    <w:p w14:paraId="1881D9B6" w14:textId="16A07552" w:rsidR="005217B3"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[39]</w:t>
      </w:r>
      <w:r w:rsidRPr="009B1E0E">
        <w:rPr>
          <w:rFonts w:cs="Arial"/>
          <w:bCs/>
          <w:szCs w:val="22"/>
        </w:rPr>
        <w:tab/>
      </w:r>
      <w:r w:rsidR="008105FD" w:rsidRPr="009B1E0E">
        <w:rPr>
          <w:rFonts w:cs="Arial"/>
          <w:bCs/>
          <w:szCs w:val="22"/>
        </w:rPr>
        <w:t xml:space="preserve">The Competition Tribunal approved Transaction 1 which became unconditional and effective, and closed on 27 September 2018. On the same day, </w:t>
      </w:r>
    </w:p>
    <w:p w14:paraId="6AF79F25" w14:textId="6F61D11F" w:rsidR="008105FD" w:rsidRPr="009B1E0E" w:rsidRDefault="00BE377D" w:rsidP="00BE377D">
      <w:pPr>
        <w:widowControl w:val="0"/>
        <w:tabs>
          <w:tab w:val="left" w:pos="1418"/>
        </w:tabs>
        <w:spacing w:before="480" w:after="480" w:line="480" w:lineRule="auto"/>
        <w:ind w:left="1418" w:hanging="851"/>
        <w:jc w:val="both"/>
        <w:rPr>
          <w:rFonts w:cs="Arial"/>
          <w:bCs/>
          <w:szCs w:val="22"/>
        </w:rPr>
      </w:pPr>
      <w:r w:rsidRPr="009B1E0E">
        <w:rPr>
          <w:rFonts w:cs="Arial"/>
          <w:bCs/>
          <w:szCs w:val="22"/>
        </w:rPr>
        <w:t>39.1</w:t>
      </w:r>
      <w:r w:rsidRPr="009B1E0E">
        <w:rPr>
          <w:rFonts w:cs="Arial"/>
          <w:bCs/>
          <w:szCs w:val="22"/>
        </w:rPr>
        <w:tab/>
      </w:r>
      <w:r w:rsidR="008105FD" w:rsidRPr="009B1E0E">
        <w:rPr>
          <w:rFonts w:cs="Arial"/>
          <w:bCs/>
          <w:szCs w:val="22"/>
        </w:rPr>
        <w:t>OTS56 and Glencore SA entered into an amendment agreement that provided that if Transaction 2 did not close, OTS56 would be obliged to repay the exchangeable loan within two days</w:t>
      </w:r>
      <w:r w:rsidR="005217B3" w:rsidRPr="009B1E0E">
        <w:rPr>
          <w:rFonts w:cs="Arial"/>
          <w:bCs/>
          <w:szCs w:val="22"/>
        </w:rPr>
        <w:t>, and</w:t>
      </w:r>
    </w:p>
    <w:p w14:paraId="16042855" w14:textId="1B14287C" w:rsidR="005217B3" w:rsidRPr="009B1E0E" w:rsidRDefault="00BE377D" w:rsidP="00BE377D">
      <w:pPr>
        <w:widowControl w:val="0"/>
        <w:tabs>
          <w:tab w:val="left" w:pos="1418"/>
        </w:tabs>
        <w:spacing w:before="480" w:after="480" w:line="480" w:lineRule="auto"/>
        <w:ind w:left="1418" w:hanging="851"/>
        <w:jc w:val="both"/>
        <w:rPr>
          <w:rFonts w:cs="Arial"/>
          <w:bCs/>
          <w:szCs w:val="22"/>
        </w:rPr>
      </w:pPr>
      <w:r w:rsidRPr="009B1E0E">
        <w:rPr>
          <w:rFonts w:cs="Arial"/>
          <w:bCs/>
          <w:szCs w:val="22"/>
        </w:rPr>
        <w:t>39.2</w:t>
      </w:r>
      <w:r w:rsidRPr="009B1E0E">
        <w:rPr>
          <w:rFonts w:cs="Arial"/>
          <w:bCs/>
          <w:szCs w:val="22"/>
        </w:rPr>
        <w:tab/>
      </w:r>
      <w:r w:rsidR="005217B3" w:rsidRPr="009B1E0E">
        <w:rPr>
          <w:rFonts w:cs="Arial"/>
          <w:bCs/>
          <w:szCs w:val="22"/>
        </w:rPr>
        <w:t>Glencore SA gave a</w:t>
      </w:r>
      <w:r w:rsidR="007D345F" w:rsidRPr="009B1E0E">
        <w:rPr>
          <w:rFonts w:cs="Arial"/>
          <w:bCs/>
          <w:szCs w:val="22"/>
        </w:rPr>
        <w:t xml:space="preserve"> Writte</w:t>
      </w:r>
      <w:r w:rsidR="005217B3" w:rsidRPr="009B1E0E">
        <w:rPr>
          <w:rFonts w:cs="Arial"/>
          <w:bCs/>
          <w:szCs w:val="22"/>
        </w:rPr>
        <w:t xml:space="preserve">n </w:t>
      </w:r>
      <w:r w:rsidR="007D345F" w:rsidRPr="009B1E0E">
        <w:rPr>
          <w:rFonts w:cs="Arial"/>
          <w:bCs/>
          <w:szCs w:val="22"/>
        </w:rPr>
        <w:t>Undertaking</w:t>
      </w:r>
      <w:r w:rsidR="000674A1" w:rsidRPr="009B1E0E">
        <w:rPr>
          <w:rStyle w:val="FootnoteReference"/>
          <w:rFonts w:cs="Arial"/>
          <w:bCs/>
          <w:szCs w:val="22"/>
        </w:rPr>
        <w:footnoteReference w:id="39"/>
      </w:r>
      <w:r w:rsidR="005217B3" w:rsidRPr="009B1E0E">
        <w:rPr>
          <w:rFonts w:cs="Arial"/>
          <w:bCs/>
          <w:szCs w:val="22"/>
        </w:rPr>
        <w:t xml:space="preserve"> to procure payment of a distribution by Chevron SA equal to the amount of accrued interest on the preference shares held by OTS69 in OTS56 from 31 March 2018 within ten days of the closing of Transaction 2, or otherwise procure an offsetting mechanism equal to this amount. The </w:t>
      </w:r>
      <w:r w:rsidR="007D345F" w:rsidRPr="009B1E0E">
        <w:rPr>
          <w:rFonts w:cs="Arial"/>
          <w:bCs/>
          <w:szCs w:val="22"/>
        </w:rPr>
        <w:t xml:space="preserve">Written Undertaking </w:t>
      </w:r>
      <w:r w:rsidR="005217B3" w:rsidRPr="009B1E0E">
        <w:rPr>
          <w:rFonts w:cs="Arial"/>
          <w:bCs/>
          <w:szCs w:val="22"/>
        </w:rPr>
        <w:t xml:space="preserve">then continued: </w:t>
      </w:r>
      <w:r w:rsidR="005217B3" w:rsidRPr="009B1E0E">
        <w:rPr>
          <w:rFonts w:cs="Arial"/>
          <w:bCs/>
          <w:i/>
          <w:iCs/>
          <w:szCs w:val="22"/>
        </w:rPr>
        <w:t>“</w:t>
      </w:r>
      <w:r w:rsidR="000674A1" w:rsidRPr="009B1E0E">
        <w:rPr>
          <w:rFonts w:cs="Arial"/>
          <w:bCs/>
          <w:i/>
          <w:iCs/>
          <w:szCs w:val="22"/>
        </w:rPr>
        <w:t xml:space="preserve">We also agree that at any time between the date of this letter and T2 you may make to us for our consideration in good faith a commercially </w:t>
      </w:r>
      <w:r w:rsidR="000674A1" w:rsidRPr="009B1E0E">
        <w:rPr>
          <w:rFonts w:cs="Arial"/>
          <w:bCs/>
          <w:i/>
          <w:iCs/>
          <w:szCs w:val="22"/>
        </w:rPr>
        <w:lastRenderedPageBreak/>
        <w:t>attractive offer of an acquisition by you of the Shares.</w:t>
      </w:r>
      <w:r w:rsidR="005217B3" w:rsidRPr="009B1E0E">
        <w:rPr>
          <w:rFonts w:cs="Arial"/>
          <w:bCs/>
          <w:i/>
          <w:iCs/>
          <w:szCs w:val="22"/>
        </w:rPr>
        <w:t>”</w:t>
      </w:r>
      <w:r w:rsidR="000674A1" w:rsidRPr="009B1E0E">
        <w:rPr>
          <w:rFonts w:cs="Arial"/>
          <w:bCs/>
          <w:i/>
          <w:iCs/>
          <w:szCs w:val="22"/>
        </w:rPr>
        <w:t xml:space="preserve"> </w:t>
      </w:r>
      <w:r w:rsidR="000674A1" w:rsidRPr="009B1E0E">
        <w:rPr>
          <w:rFonts w:cs="Arial"/>
          <w:bCs/>
          <w:szCs w:val="22"/>
        </w:rPr>
        <w:t xml:space="preserve">The </w:t>
      </w:r>
      <w:r w:rsidR="007D345F" w:rsidRPr="009B1E0E">
        <w:rPr>
          <w:rFonts w:cs="Arial"/>
          <w:bCs/>
          <w:szCs w:val="22"/>
        </w:rPr>
        <w:t xml:space="preserve">Written Undertaking </w:t>
      </w:r>
      <w:r w:rsidR="000674A1" w:rsidRPr="009B1E0E">
        <w:rPr>
          <w:rFonts w:cs="Arial"/>
          <w:bCs/>
          <w:szCs w:val="22"/>
        </w:rPr>
        <w:t xml:space="preserve">concludes with the words </w:t>
      </w:r>
      <w:r w:rsidR="000674A1" w:rsidRPr="009B1E0E">
        <w:rPr>
          <w:rFonts w:cs="Arial"/>
          <w:bCs/>
          <w:i/>
          <w:iCs/>
          <w:szCs w:val="22"/>
        </w:rPr>
        <w:t>“This letter is legally enforceable.”</w:t>
      </w:r>
    </w:p>
    <w:p w14:paraId="1BBCDA56" w14:textId="3230F42D" w:rsidR="004146C6"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[40]</w:t>
      </w:r>
      <w:r w:rsidRPr="009B1E0E">
        <w:rPr>
          <w:rFonts w:cs="Arial"/>
          <w:bCs/>
          <w:szCs w:val="22"/>
        </w:rPr>
        <w:tab/>
      </w:r>
      <w:r w:rsidR="000674A1" w:rsidRPr="009B1E0E">
        <w:rPr>
          <w:rFonts w:cs="Arial"/>
          <w:bCs/>
          <w:szCs w:val="22"/>
        </w:rPr>
        <w:t>It is the case for the applicants that OTS56 acquired an enforceable right to obtain the shares, but that Glencore</w:t>
      </w:r>
      <w:r w:rsidR="002A184F" w:rsidRPr="009B1E0E">
        <w:rPr>
          <w:rFonts w:cs="Arial"/>
          <w:bCs/>
          <w:szCs w:val="22"/>
        </w:rPr>
        <w:t xml:space="preserve"> SA</w:t>
      </w:r>
      <w:r w:rsidR="000674A1" w:rsidRPr="009B1E0E">
        <w:rPr>
          <w:rFonts w:cs="Arial"/>
          <w:bCs/>
          <w:szCs w:val="22"/>
        </w:rPr>
        <w:t xml:space="preserve"> </w:t>
      </w:r>
      <w:r w:rsidR="00C41D75" w:rsidRPr="009B1E0E">
        <w:rPr>
          <w:rFonts w:cs="Arial"/>
          <w:bCs/>
          <w:szCs w:val="22"/>
        </w:rPr>
        <w:t xml:space="preserve">repudiated the </w:t>
      </w:r>
      <w:r w:rsidR="007D345F" w:rsidRPr="009B1E0E">
        <w:rPr>
          <w:rFonts w:cs="Arial"/>
          <w:bCs/>
          <w:szCs w:val="22"/>
        </w:rPr>
        <w:t>Written Undertaking</w:t>
      </w:r>
      <w:r w:rsidR="00C41D75" w:rsidRPr="009B1E0E">
        <w:rPr>
          <w:rFonts w:cs="Arial"/>
          <w:bCs/>
          <w:szCs w:val="22"/>
        </w:rPr>
        <w:t>.</w:t>
      </w:r>
      <w:r w:rsidR="006738D7" w:rsidRPr="009B1E0E">
        <w:rPr>
          <w:rFonts w:cs="Arial"/>
          <w:bCs/>
          <w:szCs w:val="22"/>
        </w:rPr>
        <w:t xml:space="preserve"> However, the undertaking to consider an offer </w:t>
      </w:r>
      <w:r w:rsidR="007D345F" w:rsidRPr="009B1E0E">
        <w:rPr>
          <w:rFonts w:cs="Arial"/>
          <w:bCs/>
          <w:szCs w:val="22"/>
        </w:rPr>
        <w:t>is</w:t>
      </w:r>
      <w:r w:rsidR="006750D6" w:rsidRPr="009B1E0E">
        <w:rPr>
          <w:rStyle w:val="FootnoteReference"/>
          <w:rFonts w:cs="Arial"/>
          <w:bCs/>
          <w:i/>
          <w:iCs/>
          <w:szCs w:val="22"/>
        </w:rPr>
        <w:footnoteReference w:id="40"/>
      </w:r>
      <w:r w:rsidR="006738D7" w:rsidRPr="009B1E0E">
        <w:rPr>
          <w:rFonts w:cs="Arial"/>
          <w:bCs/>
          <w:szCs w:val="22"/>
        </w:rPr>
        <w:t xml:space="preserve"> nothing more than</w:t>
      </w:r>
      <w:r w:rsidR="00583AC9" w:rsidRPr="009B1E0E">
        <w:rPr>
          <w:rFonts w:cs="Arial"/>
          <w:bCs/>
          <w:szCs w:val="22"/>
        </w:rPr>
        <w:t xml:space="preserve"> an unenforceable </w:t>
      </w:r>
      <w:r w:rsidR="00583AC9" w:rsidRPr="009B1E0E">
        <w:rPr>
          <w:rFonts w:cs="Arial"/>
          <w:bCs/>
          <w:i/>
          <w:iCs/>
          <w:szCs w:val="22"/>
        </w:rPr>
        <w:t>pactum de contrahendo.</w:t>
      </w:r>
      <w:r w:rsidR="000A79C2" w:rsidRPr="009B1E0E">
        <w:rPr>
          <w:rFonts w:cs="Arial"/>
          <w:bCs/>
          <w:szCs w:val="22"/>
        </w:rPr>
        <w:t xml:space="preserve"> All it says is that Glencore</w:t>
      </w:r>
      <w:r w:rsidR="00F02045" w:rsidRPr="009B1E0E">
        <w:rPr>
          <w:rFonts w:cs="Arial"/>
          <w:bCs/>
          <w:szCs w:val="22"/>
        </w:rPr>
        <w:t xml:space="preserve"> SA</w:t>
      </w:r>
      <w:r w:rsidR="000A79C2" w:rsidRPr="009B1E0E">
        <w:rPr>
          <w:rFonts w:cs="Arial"/>
          <w:bCs/>
          <w:szCs w:val="22"/>
        </w:rPr>
        <w:t xml:space="preserve"> would consider an offer. It is not bound to accept the offer.</w:t>
      </w:r>
      <w:r w:rsidR="00AD1627" w:rsidRPr="009B1E0E">
        <w:rPr>
          <w:rFonts w:cs="Arial"/>
          <w:bCs/>
          <w:szCs w:val="22"/>
        </w:rPr>
        <w:t xml:space="preserve"> </w:t>
      </w:r>
      <w:r w:rsidR="004146C6" w:rsidRPr="009B1E0E">
        <w:rPr>
          <w:rFonts w:cs="Arial"/>
          <w:bCs/>
          <w:szCs w:val="22"/>
        </w:rPr>
        <w:t xml:space="preserve">This of course does not answer the question why Glencore SA gave such an undertaking and what it meant with the words </w:t>
      </w:r>
      <w:r w:rsidR="004146C6" w:rsidRPr="009B1E0E">
        <w:rPr>
          <w:rFonts w:cs="Arial"/>
          <w:bCs/>
          <w:i/>
          <w:iCs/>
          <w:szCs w:val="22"/>
        </w:rPr>
        <w:t xml:space="preserve">“This letter is legally enforceable.” </w:t>
      </w:r>
    </w:p>
    <w:p w14:paraId="4C1E8492" w14:textId="30A4828C" w:rsidR="00F02045"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[41]</w:t>
      </w:r>
      <w:r w:rsidRPr="009B1E0E">
        <w:rPr>
          <w:rFonts w:cs="Arial"/>
          <w:bCs/>
          <w:szCs w:val="22"/>
        </w:rPr>
        <w:tab/>
      </w:r>
      <w:r w:rsidR="00AD1627" w:rsidRPr="009B1E0E">
        <w:rPr>
          <w:rFonts w:cs="Arial"/>
          <w:bCs/>
          <w:szCs w:val="22"/>
        </w:rPr>
        <w:t xml:space="preserve">Ramano </w:t>
      </w:r>
      <w:r w:rsidR="004146C6" w:rsidRPr="009B1E0E">
        <w:rPr>
          <w:rFonts w:cs="Arial"/>
          <w:bCs/>
          <w:szCs w:val="22"/>
        </w:rPr>
        <w:t xml:space="preserve">however </w:t>
      </w:r>
      <w:r w:rsidR="00AD1627" w:rsidRPr="009B1E0E">
        <w:rPr>
          <w:rFonts w:cs="Arial"/>
          <w:bCs/>
          <w:szCs w:val="22"/>
        </w:rPr>
        <w:t>advised the board of OTS56 on 12 October 2018 that Glencore SA had provided a letter which allowed OTS56 to buy Glencore SA out</w:t>
      </w:r>
      <w:r w:rsidR="004146C6" w:rsidRPr="009B1E0E">
        <w:rPr>
          <w:rFonts w:cs="Arial"/>
          <w:bCs/>
          <w:szCs w:val="22"/>
        </w:rPr>
        <w:t xml:space="preserve"> before the closure of Transaction 2. </w:t>
      </w:r>
      <w:r w:rsidR="00F02045" w:rsidRPr="009B1E0E">
        <w:rPr>
          <w:rFonts w:cs="Arial"/>
          <w:bCs/>
          <w:szCs w:val="22"/>
        </w:rPr>
        <w:t>He had received legal advice to the effect that the Written Undertaking was legally binding and constituted an enforceable option.</w:t>
      </w:r>
    </w:p>
    <w:p w14:paraId="1BEEC8BF" w14:textId="65BA2183" w:rsidR="008105FD"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[42]</w:t>
      </w:r>
      <w:r w:rsidRPr="009B1E0E">
        <w:rPr>
          <w:rFonts w:cs="Arial"/>
          <w:bCs/>
          <w:szCs w:val="22"/>
        </w:rPr>
        <w:tab/>
      </w:r>
      <w:r w:rsidR="004146C6" w:rsidRPr="009B1E0E">
        <w:rPr>
          <w:rFonts w:cs="Arial"/>
          <w:bCs/>
          <w:szCs w:val="22"/>
        </w:rPr>
        <w:t>On 27 November 2018 the ALI shareholders were advised in an attorneys’ letter that shareholders who acted contrary to the undertakings might incur liability.</w:t>
      </w:r>
    </w:p>
    <w:p w14:paraId="0F03797B" w14:textId="54DAB763" w:rsidR="008105FD"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[43]</w:t>
      </w:r>
      <w:r w:rsidRPr="009B1E0E">
        <w:rPr>
          <w:rFonts w:cs="Arial"/>
          <w:bCs/>
          <w:szCs w:val="22"/>
        </w:rPr>
        <w:tab/>
      </w:r>
      <w:r w:rsidR="006E3ACA" w:rsidRPr="009B1E0E">
        <w:rPr>
          <w:rFonts w:cs="Arial"/>
          <w:bCs/>
          <w:szCs w:val="22"/>
        </w:rPr>
        <w:t>The applicants accuse</w:t>
      </w:r>
      <w:r w:rsidR="00F02045" w:rsidRPr="009B1E0E">
        <w:rPr>
          <w:rFonts w:cs="Arial"/>
          <w:bCs/>
          <w:szCs w:val="22"/>
        </w:rPr>
        <w:t>d</w:t>
      </w:r>
      <w:r w:rsidR="006E3ACA" w:rsidRPr="009B1E0E">
        <w:rPr>
          <w:rFonts w:cs="Arial"/>
          <w:bCs/>
          <w:szCs w:val="22"/>
        </w:rPr>
        <w:t xml:space="preserve"> Glencore SA of negotiating in bad faith and at the annual general meeting of ALI on 30 November 2018 the company’s shareholders unanimously passed a resolutio</w:t>
      </w:r>
      <w:r w:rsidR="0034597E" w:rsidRPr="009B1E0E">
        <w:rPr>
          <w:rFonts w:cs="Arial"/>
          <w:bCs/>
          <w:szCs w:val="22"/>
        </w:rPr>
        <w:t>n to the effect</w:t>
      </w:r>
      <w:r w:rsidR="006E3ACA" w:rsidRPr="009B1E0E">
        <w:rPr>
          <w:rFonts w:cs="Arial"/>
          <w:bCs/>
          <w:szCs w:val="22"/>
        </w:rPr>
        <w:t xml:space="preserve"> that </w:t>
      </w:r>
      <w:r w:rsidR="00A4590E" w:rsidRPr="009B1E0E">
        <w:rPr>
          <w:rFonts w:cs="Arial"/>
          <w:bCs/>
          <w:szCs w:val="22"/>
        </w:rPr>
        <w:t>the</w:t>
      </w:r>
      <w:r w:rsidR="006E3ACA" w:rsidRPr="009B1E0E">
        <w:rPr>
          <w:rFonts w:cs="Arial"/>
          <w:bCs/>
          <w:szCs w:val="22"/>
        </w:rPr>
        <w:t xml:space="preserve"> special resolution </w:t>
      </w:r>
      <w:r w:rsidR="00A4590E" w:rsidRPr="009B1E0E">
        <w:rPr>
          <w:rFonts w:cs="Arial"/>
          <w:bCs/>
          <w:szCs w:val="22"/>
        </w:rPr>
        <w:t xml:space="preserve">referred to above  and that was </w:t>
      </w:r>
      <w:r w:rsidR="0034597E" w:rsidRPr="009B1E0E">
        <w:rPr>
          <w:rFonts w:cs="Arial"/>
          <w:bCs/>
          <w:szCs w:val="22"/>
        </w:rPr>
        <w:t>required for the implementation of Transaction 2 be deferred to the end of March 20</w:t>
      </w:r>
      <w:r w:rsidR="004A1341" w:rsidRPr="009B1E0E">
        <w:rPr>
          <w:rFonts w:cs="Arial"/>
          <w:bCs/>
          <w:szCs w:val="22"/>
        </w:rPr>
        <w:t>19</w:t>
      </w:r>
      <w:r w:rsidR="0034597E" w:rsidRPr="009B1E0E">
        <w:rPr>
          <w:rFonts w:cs="Arial"/>
          <w:bCs/>
          <w:szCs w:val="22"/>
        </w:rPr>
        <w:t>.</w:t>
      </w:r>
      <w:r w:rsidR="00A4590E" w:rsidRPr="009B1E0E">
        <w:rPr>
          <w:rFonts w:cs="Arial"/>
          <w:bCs/>
          <w:szCs w:val="22"/>
        </w:rPr>
        <w:t xml:space="preserve"> In doing so, the ALI board delayed Transaction 2.</w:t>
      </w:r>
      <w:r w:rsidR="00F02045" w:rsidRPr="009B1E0E">
        <w:rPr>
          <w:rFonts w:cs="Arial"/>
          <w:bCs/>
          <w:szCs w:val="22"/>
        </w:rPr>
        <w:t xml:space="preserve"> To my mind, the fact that the resolution was adopted unanimously implies that Ramano was not acting on his own but with the co-operation of all shareholders.</w:t>
      </w:r>
    </w:p>
    <w:p w14:paraId="6E805069" w14:textId="16DDC4FC" w:rsidR="00246928"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[44]</w:t>
      </w:r>
      <w:r w:rsidRPr="009B1E0E">
        <w:rPr>
          <w:rFonts w:cs="Arial"/>
          <w:bCs/>
          <w:szCs w:val="22"/>
        </w:rPr>
        <w:tab/>
      </w:r>
      <w:r w:rsidR="0034597E" w:rsidRPr="009B1E0E">
        <w:rPr>
          <w:rFonts w:cs="Arial"/>
          <w:bCs/>
          <w:szCs w:val="22"/>
        </w:rPr>
        <w:t xml:space="preserve">Further correspondence followed. The solicitors acting for Glencore UK accused </w:t>
      </w:r>
      <w:r w:rsidR="007D345F" w:rsidRPr="009B1E0E">
        <w:rPr>
          <w:rFonts w:cs="Arial"/>
          <w:bCs/>
          <w:szCs w:val="22"/>
        </w:rPr>
        <w:lastRenderedPageBreak/>
        <w:t>OTS56 of being in ongoing breach of its obligations</w:t>
      </w:r>
      <w:r w:rsidR="007D345F" w:rsidRPr="009B1E0E">
        <w:rPr>
          <w:rStyle w:val="FootnoteReference"/>
          <w:rFonts w:cs="Arial"/>
          <w:bCs/>
          <w:szCs w:val="22"/>
        </w:rPr>
        <w:footnoteReference w:id="41"/>
      </w:r>
      <w:r w:rsidR="007D345F" w:rsidRPr="009B1E0E">
        <w:rPr>
          <w:rFonts w:cs="Arial"/>
          <w:bCs/>
          <w:szCs w:val="22"/>
        </w:rPr>
        <w:t xml:space="preserve"> and a week later, on 22 January 2019 Glencore SA’s attorneys approached</w:t>
      </w:r>
      <w:r w:rsidR="007D345F" w:rsidRPr="009B1E0E">
        <w:rPr>
          <w:rStyle w:val="FootnoteReference"/>
          <w:rFonts w:cs="Arial"/>
          <w:bCs/>
          <w:szCs w:val="22"/>
        </w:rPr>
        <w:footnoteReference w:id="42"/>
      </w:r>
      <w:r w:rsidR="007D345F" w:rsidRPr="009B1E0E">
        <w:rPr>
          <w:rFonts w:cs="Arial"/>
          <w:bCs/>
          <w:szCs w:val="22"/>
        </w:rPr>
        <w:t xml:space="preserve"> the Competition Commission to say that no offer had been made in terms of the Written Undertaking</w:t>
      </w:r>
      <w:r w:rsidR="00A4590E" w:rsidRPr="009B1E0E">
        <w:rPr>
          <w:rFonts w:cs="Arial"/>
          <w:bCs/>
          <w:szCs w:val="22"/>
        </w:rPr>
        <w:t xml:space="preserve"> and </w:t>
      </w:r>
      <w:r w:rsidR="007D345F" w:rsidRPr="009B1E0E">
        <w:rPr>
          <w:rFonts w:cs="Arial"/>
          <w:bCs/>
          <w:szCs w:val="22"/>
        </w:rPr>
        <w:t>that it merely provided that Glencore SA would consider an offer.</w:t>
      </w:r>
      <w:r w:rsidR="00A4590E" w:rsidRPr="009B1E0E">
        <w:rPr>
          <w:rFonts w:cs="Arial"/>
          <w:bCs/>
          <w:szCs w:val="22"/>
        </w:rPr>
        <w:t xml:space="preserve"> I</w:t>
      </w:r>
      <w:r w:rsidR="007D345F" w:rsidRPr="009B1E0E">
        <w:rPr>
          <w:rFonts w:cs="Arial"/>
          <w:bCs/>
          <w:szCs w:val="22"/>
        </w:rPr>
        <w:t>t was alleged that the only remaining transaction for an investigation as a large merger before the Competition Commission was Transaction 2.</w:t>
      </w:r>
      <w:r w:rsidR="00246928" w:rsidRPr="009B1E0E">
        <w:rPr>
          <w:rFonts w:cs="Arial"/>
          <w:bCs/>
          <w:szCs w:val="22"/>
        </w:rPr>
        <w:t xml:space="preserve"> </w:t>
      </w:r>
    </w:p>
    <w:p w14:paraId="3796D962" w14:textId="5376FD3C" w:rsidR="008105FD"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[45]</w:t>
      </w:r>
      <w:r w:rsidRPr="009B1E0E">
        <w:rPr>
          <w:rFonts w:cs="Arial"/>
          <w:bCs/>
          <w:szCs w:val="22"/>
        </w:rPr>
        <w:tab/>
      </w:r>
      <w:r w:rsidR="00246928" w:rsidRPr="009B1E0E">
        <w:rPr>
          <w:rFonts w:cs="Arial"/>
          <w:bCs/>
          <w:szCs w:val="22"/>
        </w:rPr>
        <w:t xml:space="preserve">Ramano and his co-directors were now on a collision course and Ramano still believed that the Written Undertaking created legally binding rights and duties. Ramano made a presentation to the Competition Commission on 24 January 2019 where he essentially spoke against the </w:t>
      </w:r>
      <w:r w:rsidR="0021064A" w:rsidRPr="009B1E0E">
        <w:rPr>
          <w:rFonts w:cs="Arial"/>
          <w:bCs/>
          <w:szCs w:val="22"/>
        </w:rPr>
        <w:t>approval of Transaction 2 as a large merger.</w:t>
      </w:r>
      <w:r w:rsidR="00A4590E" w:rsidRPr="009B1E0E">
        <w:rPr>
          <w:rFonts w:cs="Arial"/>
          <w:bCs/>
          <w:szCs w:val="22"/>
        </w:rPr>
        <w:t xml:space="preserve">  He was critical of the transactions and of </w:t>
      </w:r>
      <w:r w:rsidR="004A1341" w:rsidRPr="009B1E0E">
        <w:rPr>
          <w:rFonts w:cs="Arial"/>
          <w:bCs/>
          <w:szCs w:val="22"/>
        </w:rPr>
        <w:t>OTS56.</w:t>
      </w:r>
    </w:p>
    <w:p w14:paraId="74874D51" w14:textId="69433C8E" w:rsidR="008105FD"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[46]</w:t>
      </w:r>
      <w:r w:rsidRPr="009B1E0E">
        <w:rPr>
          <w:rFonts w:cs="Arial"/>
          <w:bCs/>
          <w:szCs w:val="22"/>
        </w:rPr>
        <w:tab/>
      </w:r>
      <w:r w:rsidR="006750D6" w:rsidRPr="009B1E0E">
        <w:rPr>
          <w:rFonts w:cs="Arial"/>
          <w:bCs/>
          <w:szCs w:val="22"/>
        </w:rPr>
        <w:t xml:space="preserve">The respondent directors had a different view than that of Ramano. Their view was that OTS56 was indeed in breach and they removed Ramano as executive </w:t>
      </w:r>
      <w:r w:rsidR="004A1341" w:rsidRPr="009B1E0E">
        <w:rPr>
          <w:rFonts w:cs="Arial"/>
          <w:bCs/>
          <w:szCs w:val="22"/>
        </w:rPr>
        <w:t xml:space="preserve">chairperson </w:t>
      </w:r>
      <w:r w:rsidR="006750D6" w:rsidRPr="009B1E0E">
        <w:rPr>
          <w:rFonts w:cs="Arial"/>
          <w:bCs/>
          <w:szCs w:val="22"/>
        </w:rPr>
        <w:t>of the boards of ALI and OTS56</w:t>
      </w:r>
      <w:r w:rsidR="00F52C66" w:rsidRPr="009B1E0E">
        <w:rPr>
          <w:rFonts w:cs="Arial"/>
          <w:bCs/>
          <w:szCs w:val="22"/>
        </w:rPr>
        <w:t xml:space="preserve"> during February 2019</w:t>
      </w:r>
      <w:r w:rsidR="006750D6" w:rsidRPr="009B1E0E">
        <w:rPr>
          <w:rFonts w:cs="Arial"/>
          <w:bCs/>
          <w:szCs w:val="22"/>
        </w:rPr>
        <w:t>.</w:t>
      </w:r>
      <w:r w:rsidR="00BF43E1" w:rsidRPr="009B1E0E">
        <w:rPr>
          <w:rFonts w:cs="Arial"/>
          <w:bCs/>
          <w:szCs w:val="22"/>
        </w:rPr>
        <w:t xml:space="preserve"> In that month they took legal advice and then confirmed OTS56’s unequivocal support for the Glencore SA transactions to the Competition Commission. Romano was removed as director on 27 February 2019 (a matter dealt with above). On the same day he wrote to the Competition Commission to insist that there were unresolved contractual matters with Glencore SA and that he was unable to participate further in the proceedings pending resolution of the disputes.</w:t>
      </w:r>
    </w:p>
    <w:p w14:paraId="093900A0" w14:textId="59889EDC" w:rsidR="00BC40E1"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[47]</w:t>
      </w:r>
      <w:r w:rsidRPr="009B1E0E">
        <w:rPr>
          <w:rFonts w:cs="Arial"/>
          <w:bCs/>
          <w:szCs w:val="22"/>
        </w:rPr>
        <w:tab/>
      </w:r>
      <w:r w:rsidR="004A1341" w:rsidRPr="009B1E0E">
        <w:rPr>
          <w:rFonts w:cs="Arial"/>
          <w:bCs/>
          <w:szCs w:val="22"/>
        </w:rPr>
        <w:t>On 2 April 2019 Glencore</w:t>
      </w:r>
      <w:r w:rsidR="00F02045" w:rsidRPr="009B1E0E">
        <w:rPr>
          <w:rFonts w:cs="Arial"/>
          <w:bCs/>
          <w:szCs w:val="22"/>
        </w:rPr>
        <w:t xml:space="preserve"> SA</w:t>
      </w:r>
      <w:r w:rsidR="004A1341" w:rsidRPr="009B1E0E">
        <w:rPr>
          <w:rFonts w:cs="Arial"/>
          <w:bCs/>
          <w:szCs w:val="22"/>
        </w:rPr>
        <w:t xml:space="preserve"> sought and obtained an urgent interdict compelling ALI to hold a shareholders meeting on 4 April 2019</w:t>
      </w:r>
      <w:r w:rsidR="007E6A9C" w:rsidRPr="009B1E0E">
        <w:rPr>
          <w:rFonts w:cs="Arial"/>
          <w:bCs/>
          <w:szCs w:val="22"/>
        </w:rPr>
        <w:t xml:space="preserve">, and to compel certain of the respondents there cited to attend and vote in accordance with the irrevocable </w:t>
      </w:r>
      <w:r w:rsidR="007E6A9C" w:rsidRPr="009B1E0E">
        <w:rPr>
          <w:rFonts w:cs="Arial"/>
          <w:bCs/>
          <w:szCs w:val="22"/>
        </w:rPr>
        <w:lastRenderedPageBreak/>
        <w:t>undertakings already referred to.</w:t>
      </w:r>
    </w:p>
    <w:p w14:paraId="66B9DBB7" w14:textId="6AF1CE6A" w:rsidR="00BC40E1"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[48]</w:t>
      </w:r>
      <w:r w:rsidRPr="009B1E0E">
        <w:rPr>
          <w:rFonts w:cs="Arial"/>
          <w:bCs/>
          <w:szCs w:val="22"/>
        </w:rPr>
        <w:tab/>
      </w:r>
      <w:r w:rsidR="00BC40E1" w:rsidRPr="009B1E0E">
        <w:rPr>
          <w:rFonts w:cs="Arial"/>
          <w:bCs/>
          <w:szCs w:val="22"/>
        </w:rPr>
        <w:t>The steps taken eventually led to the successful closing of Transaction 2 and payment of the outstanding balance of the success fee of $15 million.</w:t>
      </w:r>
    </w:p>
    <w:p w14:paraId="17EBF06A" w14:textId="24ABB956" w:rsidR="00A445E6" w:rsidRPr="009B1E0E" w:rsidRDefault="00BE377D" w:rsidP="00BE377D">
      <w:pPr>
        <w:keepNext/>
        <w:widowControl w:val="0"/>
        <w:tabs>
          <w:tab w:val="left" w:pos="567"/>
        </w:tabs>
        <w:spacing w:before="480" w:after="480" w:line="480" w:lineRule="auto"/>
        <w:jc w:val="both"/>
        <w:rPr>
          <w:rFonts w:cs="Arial"/>
          <w:bCs/>
          <w:szCs w:val="22"/>
          <w:u w:val="single"/>
        </w:rPr>
      </w:pPr>
      <w:r w:rsidRPr="009B1E0E">
        <w:rPr>
          <w:rFonts w:cs="Arial"/>
          <w:bCs/>
          <w:szCs w:val="22"/>
        </w:rPr>
        <w:t>[49]</w:t>
      </w:r>
      <w:r w:rsidRPr="009B1E0E">
        <w:rPr>
          <w:rFonts w:cs="Arial"/>
          <w:bCs/>
          <w:szCs w:val="22"/>
        </w:rPr>
        <w:tab/>
      </w:r>
      <w:r w:rsidR="00F02045" w:rsidRPr="009B1E0E">
        <w:rPr>
          <w:rFonts w:cs="Arial"/>
          <w:bCs/>
          <w:szCs w:val="22"/>
        </w:rPr>
        <w:t xml:space="preserve">This part of the counter – application falls to be dismissed on the basis that there were </w:t>
      </w:r>
      <w:r w:rsidR="00E03F0B" w:rsidRPr="009B1E0E">
        <w:rPr>
          <w:rFonts w:cs="Arial"/>
          <w:bCs/>
          <w:szCs w:val="22"/>
        </w:rPr>
        <w:t xml:space="preserve">foreseeable disputes of fact as to whether Ramano was delinquent or merely </w:t>
      </w:r>
      <w:r w:rsidR="00A445E6" w:rsidRPr="009B1E0E">
        <w:rPr>
          <w:rFonts w:cs="Arial"/>
          <w:bCs/>
          <w:szCs w:val="22"/>
        </w:rPr>
        <w:t xml:space="preserve">misinformed or </w:t>
      </w:r>
      <w:r w:rsidR="00E03F0B" w:rsidRPr="009B1E0E">
        <w:rPr>
          <w:rFonts w:cs="Arial"/>
          <w:bCs/>
          <w:szCs w:val="22"/>
        </w:rPr>
        <w:t>acting on incorrect advice, and to whether he acted on his own or with the full support of all shareholders.</w:t>
      </w:r>
    </w:p>
    <w:p w14:paraId="5E8E1B9B" w14:textId="77777777" w:rsidR="00A445E6" w:rsidRPr="009B1E0E" w:rsidRDefault="00A445E6" w:rsidP="00FE249C">
      <w:pPr>
        <w:keepNext/>
        <w:widowControl w:val="0"/>
        <w:spacing w:before="480" w:after="480" w:line="480" w:lineRule="auto"/>
        <w:jc w:val="both"/>
        <w:rPr>
          <w:rFonts w:cs="Arial"/>
          <w:bCs/>
          <w:szCs w:val="22"/>
          <w:u w:val="single"/>
        </w:rPr>
      </w:pPr>
    </w:p>
    <w:p w14:paraId="0492BA0A" w14:textId="606D5CCD" w:rsidR="00FE249C" w:rsidRPr="009B1E0E" w:rsidRDefault="00444E8C" w:rsidP="00FE249C">
      <w:pPr>
        <w:keepNext/>
        <w:widowControl w:val="0"/>
        <w:spacing w:before="480" w:after="480" w:line="480" w:lineRule="auto"/>
        <w:jc w:val="both"/>
        <w:rPr>
          <w:rFonts w:cs="Arial"/>
          <w:bCs/>
          <w:szCs w:val="22"/>
          <w:u w:val="single"/>
        </w:rPr>
      </w:pPr>
      <w:r w:rsidRPr="009B1E0E">
        <w:rPr>
          <w:rFonts w:cs="Arial"/>
          <w:bCs/>
          <w:szCs w:val="22"/>
          <w:u w:val="single"/>
        </w:rPr>
        <w:t xml:space="preserve">The </w:t>
      </w:r>
      <w:r w:rsidR="00A445E6" w:rsidRPr="009B1E0E">
        <w:rPr>
          <w:rFonts w:cs="Arial"/>
          <w:bCs/>
          <w:szCs w:val="22"/>
          <w:u w:val="single"/>
        </w:rPr>
        <w:t xml:space="preserve">expanded </w:t>
      </w:r>
      <w:r w:rsidRPr="009B1E0E">
        <w:rPr>
          <w:rFonts w:cs="Arial"/>
          <w:bCs/>
          <w:szCs w:val="22"/>
          <w:u w:val="single"/>
        </w:rPr>
        <w:t xml:space="preserve">counter-application: the </w:t>
      </w:r>
      <w:r w:rsidR="0016478A" w:rsidRPr="009B1E0E">
        <w:rPr>
          <w:rFonts w:cs="Arial"/>
          <w:bCs/>
          <w:szCs w:val="22"/>
          <w:u w:val="single"/>
        </w:rPr>
        <w:t xml:space="preserve">restructuring </w:t>
      </w:r>
      <w:r w:rsidRPr="009B1E0E">
        <w:rPr>
          <w:rFonts w:cs="Arial"/>
          <w:bCs/>
          <w:szCs w:val="22"/>
          <w:u w:val="single"/>
        </w:rPr>
        <w:t>of 1998</w:t>
      </w:r>
      <w:r w:rsidR="004F7B36" w:rsidRPr="009B1E0E">
        <w:rPr>
          <w:rFonts w:cs="Arial"/>
          <w:bCs/>
          <w:szCs w:val="22"/>
          <w:u w:val="single"/>
        </w:rPr>
        <w:t>-2000</w:t>
      </w:r>
    </w:p>
    <w:p w14:paraId="7F65AD46" w14:textId="0E7B20F3" w:rsidR="00C22697" w:rsidRPr="009B1E0E" w:rsidRDefault="00BE377D" w:rsidP="00BE377D">
      <w:pPr>
        <w:keepNext/>
        <w:widowControl w:val="0"/>
        <w:tabs>
          <w:tab w:val="left" w:pos="567"/>
        </w:tabs>
        <w:spacing w:before="480" w:after="480" w:line="480" w:lineRule="auto"/>
        <w:jc w:val="both"/>
        <w:rPr>
          <w:rFonts w:cs="Arial"/>
          <w:bCs/>
          <w:szCs w:val="22"/>
        </w:rPr>
      </w:pPr>
      <w:r w:rsidRPr="009B1E0E">
        <w:rPr>
          <w:rFonts w:cs="Arial"/>
          <w:bCs/>
          <w:szCs w:val="22"/>
        </w:rPr>
        <w:t>[50]</w:t>
      </w:r>
      <w:r w:rsidRPr="009B1E0E">
        <w:rPr>
          <w:rFonts w:cs="Arial"/>
          <w:bCs/>
          <w:szCs w:val="22"/>
        </w:rPr>
        <w:tab/>
      </w:r>
      <w:r w:rsidR="00EB4AE1" w:rsidRPr="009B1E0E">
        <w:rPr>
          <w:rFonts w:cs="Arial"/>
          <w:bCs/>
          <w:szCs w:val="22"/>
        </w:rPr>
        <w:t>In 1998 ALI had 34 shareholders none of whom held more than 3.5% of the vote and ordinary resolution</w:t>
      </w:r>
      <w:r w:rsidR="00C2658B" w:rsidRPr="009B1E0E">
        <w:rPr>
          <w:rFonts w:cs="Arial"/>
          <w:bCs/>
          <w:szCs w:val="22"/>
        </w:rPr>
        <w:t>s</w:t>
      </w:r>
      <w:r w:rsidR="00EB4AE1" w:rsidRPr="009B1E0E">
        <w:rPr>
          <w:rFonts w:cs="Arial"/>
          <w:bCs/>
          <w:szCs w:val="22"/>
        </w:rPr>
        <w:t xml:space="preserve"> required the support of 15 or more shareholders. The company was unwieldy and unable to react quickly</w:t>
      </w:r>
      <w:r w:rsidR="00C2658B" w:rsidRPr="009B1E0E">
        <w:rPr>
          <w:rFonts w:cs="Arial"/>
          <w:bCs/>
          <w:szCs w:val="22"/>
        </w:rPr>
        <w:t xml:space="preserve"> in a competitive business environment</w:t>
      </w:r>
      <w:r w:rsidR="00EB4AE1" w:rsidRPr="009B1E0E">
        <w:rPr>
          <w:rFonts w:cs="Arial"/>
          <w:bCs/>
          <w:szCs w:val="22"/>
        </w:rPr>
        <w:t>. These shortcomings were identified in a report</w:t>
      </w:r>
      <w:r w:rsidR="0046331F" w:rsidRPr="009B1E0E">
        <w:rPr>
          <w:rStyle w:val="FootnoteReference"/>
          <w:rFonts w:cs="Arial"/>
          <w:bCs/>
          <w:szCs w:val="22"/>
        </w:rPr>
        <w:footnoteReference w:id="43"/>
      </w:r>
      <w:r w:rsidR="00EB4AE1" w:rsidRPr="009B1E0E">
        <w:rPr>
          <w:rFonts w:cs="Arial"/>
          <w:bCs/>
          <w:szCs w:val="22"/>
        </w:rPr>
        <w:t xml:space="preserve"> commissioned by the </w:t>
      </w:r>
      <w:r w:rsidR="005B69C8" w:rsidRPr="009B1E0E">
        <w:rPr>
          <w:rFonts w:cs="Arial"/>
          <w:bCs/>
          <w:szCs w:val="22"/>
        </w:rPr>
        <w:t>chief executive officer at the time,</w:t>
      </w:r>
      <w:r w:rsidR="00EB4AE1" w:rsidRPr="009B1E0E">
        <w:rPr>
          <w:rFonts w:cs="Arial"/>
          <w:bCs/>
          <w:szCs w:val="22"/>
        </w:rPr>
        <w:t xml:space="preserve"> and it was proposed that a dominant shareholder with substantial voting rights and mea</w:t>
      </w:r>
      <w:r w:rsidR="00B85245" w:rsidRPr="009B1E0E">
        <w:rPr>
          <w:rFonts w:cs="Arial"/>
          <w:bCs/>
          <w:szCs w:val="22"/>
        </w:rPr>
        <w:t>n</w:t>
      </w:r>
      <w:r w:rsidR="00EB4AE1" w:rsidRPr="009B1E0E">
        <w:rPr>
          <w:rFonts w:cs="Arial"/>
          <w:bCs/>
          <w:szCs w:val="22"/>
        </w:rPr>
        <w:t>ingful (but not dominant)</w:t>
      </w:r>
      <w:r w:rsidR="0046331F" w:rsidRPr="009B1E0E">
        <w:rPr>
          <w:rFonts w:cs="Arial"/>
          <w:bCs/>
          <w:szCs w:val="22"/>
        </w:rPr>
        <w:t xml:space="preserve"> economic benefit</w:t>
      </w:r>
      <w:r w:rsidR="00EB4AE1" w:rsidRPr="009B1E0E">
        <w:rPr>
          <w:rFonts w:cs="Arial"/>
          <w:bCs/>
          <w:szCs w:val="22"/>
        </w:rPr>
        <w:t xml:space="preserve"> be created</w:t>
      </w:r>
      <w:r w:rsidR="0046331F" w:rsidRPr="009B1E0E">
        <w:rPr>
          <w:rFonts w:cs="Arial"/>
          <w:bCs/>
          <w:szCs w:val="22"/>
        </w:rPr>
        <w:t>, and</w:t>
      </w:r>
      <w:r w:rsidR="005B69C8" w:rsidRPr="009B1E0E">
        <w:rPr>
          <w:rFonts w:cs="Arial"/>
          <w:bCs/>
          <w:szCs w:val="22"/>
        </w:rPr>
        <w:t xml:space="preserve"> further</w:t>
      </w:r>
      <w:r w:rsidR="0046331F" w:rsidRPr="009B1E0E">
        <w:rPr>
          <w:rFonts w:cs="Arial"/>
          <w:bCs/>
          <w:szCs w:val="22"/>
        </w:rPr>
        <w:t xml:space="preserve"> that control of the company be placed in the hands of the board through an allotment of shares.</w:t>
      </w:r>
      <w:r w:rsidR="0046331F" w:rsidRPr="009B1E0E">
        <w:rPr>
          <w:rStyle w:val="FootnoteReference"/>
          <w:rFonts w:cs="Arial"/>
          <w:bCs/>
          <w:szCs w:val="22"/>
        </w:rPr>
        <w:footnoteReference w:id="44"/>
      </w:r>
      <w:r w:rsidR="0046331F" w:rsidRPr="009B1E0E">
        <w:rPr>
          <w:rFonts w:cs="Arial"/>
          <w:bCs/>
          <w:szCs w:val="22"/>
        </w:rPr>
        <w:t xml:space="preserve"> </w:t>
      </w:r>
    </w:p>
    <w:p w14:paraId="7B0A6E08" w14:textId="49D86A84" w:rsidR="00C22697" w:rsidRPr="009B1E0E" w:rsidRDefault="00BE377D" w:rsidP="00BE377D">
      <w:pPr>
        <w:keepNext/>
        <w:widowControl w:val="0"/>
        <w:tabs>
          <w:tab w:val="left" w:pos="567"/>
        </w:tabs>
        <w:spacing w:before="480" w:after="480" w:line="480" w:lineRule="auto"/>
        <w:jc w:val="both"/>
        <w:rPr>
          <w:rFonts w:cs="Arial"/>
          <w:bCs/>
          <w:szCs w:val="22"/>
        </w:rPr>
      </w:pPr>
      <w:r w:rsidRPr="009B1E0E">
        <w:rPr>
          <w:rFonts w:cs="Arial"/>
          <w:bCs/>
          <w:szCs w:val="22"/>
        </w:rPr>
        <w:t>[51]</w:t>
      </w:r>
      <w:r w:rsidRPr="009B1E0E">
        <w:rPr>
          <w:rFonts w:cs="Arial"/>
          <w:bCs/>
          <w:szCs w:val="22"/>
        </w:rPr>
        <w:tab/>
      </w:r>
      <w:r w:rsidR="0016478A" w:rsidRPr="009B1E0E">
        <w:rPr>
          <w:rFonts w:cs="Arial"/>
          <w:bCs/>
          <w:szCs w:val="22"/>
        </w:rPr>
        <w:t>These proposals were then adopted through resolutions adopted by ALI.</w:t>
      </w:r>
      <w:r w:rsidR="0016478A" w:rsidRPr="009B1E0E">
        <w:rPr>
          <w:rStyle w:val="FootnoteReference"/>
          <w:rFonts w:cs="Arial"/>
          <w:bCs/>
          <w:szCs w:val="22"/>
        </w:rPr>
        <w:footnoteReference w:id="45"/>
      </w:r>
      <w:r w:rsidR="0016478A" w:rsidRPr="009B1E0E">
        <w:rPr>
          <w:rFonts w:cs="Arial"/>
          <w:bCs/>
          <w:szCs w:val="22"/>
        </w:rPr>
        <w:t xml:space="preserve"> </w:t>
      </w:r>
      <w:r w:rsidR="0046331F" w:rsidRPr="009B1E0E">
        <w:rPr>
          <w:rFonts w:cs="Arial"/>
          <w:bCs/>
          <w:szCs w:val="22"/>
        </w:rPr>
        <w:t>Ramano and the ALI directors with the exception of Ahmed served on the board at the time</w:t>
      </w:r>
      <w:r w:rsidR="00295ACB" w:rsidRPr="009B1E0E">
        <w:rPr>
          <w:rFonts w:cs="Arial"/>
          <w:bCs/>
          <w:szCs w:val="22"/>
        </w:rPr>
        <w:t xml:space="preserve">, and </w:t>
      </w:r>
      <w:r w:rsidR="00295ACB" w:rsidRPr="009B1E0E">
        <w:rPr>
          <w:rFonts w:cs="Arial"/>
          <w:bCs/>
          <w:szCs w:val="22"/>
        </w:rPr>
        <w:lastRenderedPageBreak/>
        <w:t xml:space="preserve">Ramano was the dominant shareholder envisaged in the proposals.  He </w:t>
      </w:r>
      <w:r w:rsidR="00CC06D4" w:rsidRPr="009B1E0E">
        <w:rPr>
          <w:rFonts w:cs="Arial"/>
          <w:bCs/>
          <w:szCs w:val="22"/>
        </w:rPr>
        <w:t>enjoyed a disproportionate share of the voting right</w:t>
      </w:r>
      <w:r w:rsidR="00C22697" w:rsidRPr="009B1E0E">
        <w:rPr>
          <w:rFonts w:cs="Arial"/>
          <w:bCs/>
          <w:szCs w:val="22"/>
        </w:rPr>
        <w:t>s</w:t>
      </w:r>
      <w:r w:rsidR="00F65210" w:rsidRPr="009B1E0E">
        <w:rPr>
          <w:rStyle w:val="FootnoteReference"/>
          <w:rFonts w:cs="Arial"/>
          <w:bCs/>
          <w:szCs w:val="22"/>
        </w:rPr>
        <w:footnoteReference w:id="46"/>
      </w:r>
      <w:r w:rsidR="00CC06D4" w:rsidRPr="009B1E0E">
        <w:rPr>
          <w:rFonts w:cs="Arial"/>
          <w:bCs/>
          <w:szCs w:val="22"/>
        </w:rPr>
        <w:t xml:space="preserve"> and was appointed </w:t>
      </w:r>
      <w:r w:rsidR="004A1341" w:rsidRPr="009B1E0E">
        <w:rPr>
          <w:rFonts w:cs="Arial"/>
          <w:bCs/>
          <w:szCs w:val="22"/>
        </w:rPr>
        <w:t xml:space="preserve">chairperson </w:t>
      </w:r>
      <w:r w:rsidR="00CC06D4" w:rsidRPr="009B1E0E">
        <w:rPr>
          <w:rFonts w:cs="Arial"/>
          <w:bCs/>
          <w:szCs w:val="22"/>
        </w:rPr>
        <w:t xml:space="preserve">of the board. </w:t>
      </w:r>
    </w:p>
    <w:p w14:paraId="3D73892B" w14:textId="0465A0D9" w:rsidR="00F538FA" w:rsidRPr="009B1E0E" w:rsidRDefault="00BE377D" w:rsidP="00BE377D">
      <w:pPr>
        <w:keepNext/>
        <w:widowControl w:val="0"/>
        <w:tabs>
          <w:tab w:val="left" w:pos="567"/>
        </w:tabs>
        <w:spacing w:before="480" w:after="480" w:line="480" w:lineRule="auto"/>
        <w:jc w:val="both"/>
        <w:rPr>
          <w:rFonts w:cs="Arial"/>
          <w:bCs/>
          <w:szCs w:val="22"/>
        </w:rPr>
      </w:pPr>
      <w:r w:rsidRPr="009B1E0E">
        <w:rPr>
          <w:rFonts w:cs="Arial"/>
          <w:bCs/>
          <w:szCs w:val="22"/>
        </w:rPr>
        <w:t>[52]</w:t>
      </w:r>
      <w:r w:rsidRPr="009B1E0E">
        <w:rPr>
          <w:rFonts w:cs="Arial"/>
          <w:bCs/>
          <w:szCs w:val="22"/>
        </w:rPr>
        <w:tab/>
      </w:r>
      <w:r w:rsidR="00C22697" w:rsidRPr="009B1E0E">
        <w:rPr>
          <w:rFonts w:cs="Arial"/>
          <w:bCs/>
          <w:szCs w:val="22"/>
        </w:rPr>
        <w:t>It is common cause</w:t>
      </w:r>
      <w:r w:rsidR="00E80084" w:rsidRPr="009B1E0E">
        <w:rPr>
          <w:rStyle w:val="FootnoteReference"/>
          <w:rFonts w:cs="Arial"/>
          <w:bCs/>
          <w:szCs w:val="22"/>
        </w:rPr>
        <w:footnoteReference w:id="47"/>
      </w:r>
      <w:r w:rsidR="00C22697" w:rsidRPr="009B1E0E">
        <w:rPr>
          <w:rFonts w:cs="Arial"/>
          <w:bCs/>
          <w:szCs w:val="22"/>
        </w:rPr>
        <w:t xml:space="preserve"> that ALI adopted resolutions authorising the issue of the “A” ordinary and “N” ordinary shares to the directors at the time</w:t>
      </w:r>
      <w:r w:rsidR="00C22697" w:rsidRPr="009B1E0E">
        <w:rPr>
          <w:rStyle w:val="FootnoteReference"/>
          <w:rFonts w:cs="Arial"/>
          <w:bCs/>
          <w:szCs w:val="22"/>
        </w:rPr>
        <w:footnoteReference w:id="48"/>
      </w:r>
      <w:r w:rsidR="00C22697" w:rsidRPr="009B1E0E">
        <w:rPr>
          <w:rFonts w:cs="Arial"/>
          <w:bCs/>
          <w:szCs w:val="22"/>
        </w:rPr>
        <w:t xml:space="preserve"> and that the shares be issued to the directors </w:t>
      </w:r>
      <w:r w:rsidR="00E80084" w:rsidRPr="009B1E0E">
        <w:rPr>
          <w:rFonts w:cs="Arial"/>
          <w:bCs/>
          <w:i/>
          <w:iCs/>
          <w:szCs w:val="22"/>
        </w:rPr>
        <w:t>“at a subscription price equal to the full diluted</w:t>
      </w:r>
      <w:r w:rsidR="00942868" w:rsidRPr="009B1E0E">
        <w:rPr>
          <w:rStyle w:val="FootnoteReference"/>
          <w:rFonts w:cs="Arial"/>
          <w:bCs/>
          <w:i/>
          <w:iCs/>
          <w:szCs w:val="22"/>
        </w:rPr>
        <w:footnoteReference w:id="49"/>
      </w:r>
      <w:r w:rsidR="00E80084" w:rsidRPr="009B1E0E">
        <w:rPr>
          <w:rFonts w:cs="Arial"/>
          <w:bCs/>
          <w:i/>
          <w:iCs/>
          <w:szCs w:val="22"/>
        </w:rPr>
        <w:t xml:space="preserve"> net asset value per ordinary and “N” ordinary shares (after the allotment and issue of all of the ordinary and “N” ordinary shares contemplated by this specific authority) as determined by the auditors of the company as at the latest practical date prior to the allotment and issue of all of the ordinary and “N” ordinary shares contemplated by this specific authority.”</w:t>
      </w:r>
      <w:r w:rsidR="00630A46" w:rsidRPr="009B1E0E">
        <w:rPr>
          <w:rFonts w:cs="Arial"/>
          <w:bCs/>
          <w:i/>
          <w:iCs/>
          <w:szCs w:val="22"/>
        </w:rPr>
        <w:t xml:space="preserve"> </w:t>
      </w:r>
    </w:p>
    <w:p w14:paraId="4FA75303" w14:textId="0A4E998E" w:rsidR="00630A46"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[53]</w:t>
      </w:r>
      <w:r w:rsidRPr="009B1E0E">
        <w:rPr>
          <w:rFonts w:cs="Arial"/>
          <w:bCs/>
          <w:szCs w:val="22"/>
        </w:rPr>
        <w:tab/>
      </w:r>
      <w:r w:rsidR="005B69C8" w:rsidRPr="009B1E0E">
        <w:rPr>
          <w:rFonts w:cs="Arial"/>
          <w:bCs/>
          <w:szCs w:val="22"/>
        </w:rPr>
        <w:t xml:space="preserve">It is </w:t>
      </w:r>
      <w:r w:rsidR="00C22697" w:rsidRPr="009B1E0E">
        <w:rPr>
          <w:rFonts w:cs="Arial"/>
          <w:bCs/>
          <w:szCs w:val="22"/>
        </w:rPr>
        <w:t xml:space="preserve">also </w:t>
      </w:r>
      <w:r w:rsidR="005B69C8" w:rsidRPr="009B1E0E">
        <w:rPr>
          <w:rFonts w:cs="Arial"/>
          <w:bCs/>
          <w:szCs w:val="22"/>
        </w:rPr>
        <w:t>common cause that the directors paid for their shares. This did not happen in 1998 as originally alleged by Ramano</w:t>
      </w:r>
      <w:r w:rsidR="005B69C8" w:rsidRPr="009B1E0E">
        <w:rPr>
          <w:rStyle w:val="FootnoteReference"/>
          <w:rFonts w:cs="Arial"/>
          <w:bCs/>
          <w:szCs w:val="22"/>
        </w:rPr>
        <w:footnoteReference w:id="50"/>
      </w:r>
      <w:r w:rsidR="005B69C8" w:rsidRPr="009B1E0E">
        <w:rPr>
          <w:rFonts w:cs="Arial"/>
          <w:bCs/>
          <w:szCs w:val="22"/>
        </w:rPr>
        <w:t xml:space="preserve"> but in 2000. This </w:t>
      </w:r>
      <w:r w:rsidR="005B69C8" w:rsidRPr="009B1E0E">
        <w:rPr>
          <w:rFonts w:cs="Arial"/>
          <w:bCs/>
          <w:i/>
          <w:iCs/>
          <w:szCs w:val="22"/>
        </w:rPr>
        <w:t>status quo</w:t>
      </w:r>
      <w:r w:rsidR="005B69C8" w:rsidRPr="009B1E0E">
        <w:rPr>
          <w:rFonts w:cs="Arial"/>
          <w:bCs/>
          <w:szCs w:val="22"/>
        </w:rPr>
        <w:t xml:space="preserve"> was accepted by all parties until 2019 when </w:t>
      </w:r>
      <w:r w:rsidR="00A45D31" w:rsidRPr="009B1E0E">
        <w:rPr>
          <w:rFonts w:cs="Arial"/>
          <w:bCs/>
          <w:szCs w:val="22"/>
        </w:rPr>
        <w:t>Scott queried the disproportionality</w:t>
      </w:r>
      <w:r w:rsidR="003D54DF" w:rsidRPr="009B1E0E">
        <w:rPr>
          <w:rFonts w:cs="Arial"/>
          <w:bCs/>
          <w:szCs w:val="22"/>
        </w:rPr>
        <w:t xml:space="preserve"> </w:t>
      </w:r>
      <w:r w:rsidR="00E351D4" w:rsidRPr="009B1E0E">
        <w:rPr>
          <w:rFonts w:cs="Arial"/>
          <w:bCs/>
          <w:szCs w:val="22"/>
        </w:rPr>
        <w:t>of voting power</w:t>
      </w:r>
      <w:r w:rsidR="00A45D31" w:rsidRPr="009B1E0E">
        <w:rPr>
          <w:rFonts w:cs="Arial"/>
          <w:bCs/>
          <w:szCs w:val="22"/>
        </w:rPr>
        <w:t>.</w:t>
      </w:r>
      <w:r w:rsidR="00604837" w:rsidRPr="009B1E0E">
        <w:rPr>
          <w:rFonts w:cs="Arial"/>
          <w:bCs/>
          <w:szCs w:val="22"/>
        </w:rPr>
        <w:t xml:space="preserve"> In response to these enquiries Ahmed carried out investigations</w:t>
      </w:r>
      <w:r w:rsidR="00630A46" w:rsidRPr="009B1E0E">
        <w:rPr>
          <w:rFonts w:cs="Arial"/>
          <w:bCs/>
          <w:szCs w:val="22"/>
        </w:rPr>
        <w:t xml:space="preserve"> and produced a report in December 2019 stating that an analysis of the 1998 to 2000 </w:t>
      </w:r>
      <w:r w:rsidR="00B85245" w:rsidRPr="009B1E0E">
        <w:rPr>
          <w:rFonts w:cs="Arial"/>
          <w:bCs/>
          <w:szCs w:val="22"/>
        </w:rPr>
        <w:t>financial</w:t>
      </w:r>
      <w:r w:rsidR="00630A46" w:rsidRPr="009B1E0E">
        <w:rPr>
          <w:rFonts w:cs="Arial"/>
          <w:bCs/>
          <w:szCs w:val="22"/>
        </w:rPr>
        <w:t xml:space="preserve"> statements indicated that the shares were given to the directors at almost 96% below their net asset value</w:t>
      </w:r>
      <w:r w:rsidR="00604837" w:rsidRPr="009B1E0E">
        <w:rPr>
          <w:rFonts w:cs="Arial"/>
          <w:bCs/>
          <w:szCs w:val="22"/>
        </w:rPr>
        <w:t>.</w:t>
      </w:r>
      <w:r w:rsidR="00010836" w:rsidRPr="009B1E0E">
        <w:rPr>
          <w:rFonts w:cs="Arial"/>
          <w:bCs/>
          <w:szCs w:val="22"/>
        </w:rPr>
        <w:t xml:space="preserve"> He later adjusted this figure to between 97% and 99%.</w:t>
      </w:r>
    </w:p>
    <w:p w14:paraId="07CE9D91" w14:textId="7AF0FE09" w:rsidR="005B69C8"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[54]</w:t>
      </w:r>
      <w:r w:rsidRPr="009B1E0E">
        <w:rPr>
          <w:rFonts w:cs="Arial"/>
          <w:bCs/>
          <w:szCs w:val="22"/>
        </w:rPr>
        <w:tab/>
      </w:r>
      <w:r w:rsidR="00604837" w:rsidRPr="009B1E0E">
        <w:rPr>
          <w:rFonts w:cs="Arial"/>
          <w:bCs/>
          <w:szCs w:val="22"/>
        </w:rPr>
        <w:t xml:space="preserve"> He could not find the minutes of the meetings where these issues were discussed but </w:t>
      </w:r>
      <w:r w:rsidR="00010836" w:rsidRPr="009B1E0E">
        <w:rPr>
          <w:rFonts w:cs="Arial"/>
          <w:bCs/>
          <w:szCs w:val="22"/>
        </w:rPr>
        <w:t>stated in his report</w:t>
      </w:r>
      <w:r w:rsidR="00604837" w:rsidRPr="009B1E0E">
        <w:rPr>
          <w:rFonts w:cs="Arial"/>
          <w:bCs/>
          <w:szCs w:val="22"/>
        </w:rPr>
        <w:t xml:space="preserve"> annexed to the answering affidavit (but not circulated to the board during Ramano’s tenure as director) that certain directors had</w:t>
      </w:r>
      <w:r w:rsidR="00010836" w:rsidRPr="009B1E0E">
        <w:rPr>
          <w:rFonts w:cs="Arial"/>
          <w:bCs/>
          <w:szCs w:val="22"/>
        </w:rPr>
        <w:t xml:space="preserve"> recently</w:t>
      </w:r>
      <w:r w:rsidR="00604837" w:rsidRPr="009B1E0E">
        <w:rPr>
          <w:rFonts w:cs="Arial"/>
          <w:bCs/>
          <w:szCs w:val="22"/>
        </w:rPr>
        <w:t xml:space="preserve"> raised the issue as to why the shares were issued to directors. This </w:t>
      </w:r>
      <w:r w:rsidR="005E24E1" w:rsidRPr="009B1E0E">
        <w:rPr>
          <w:rFonts w:cs="Arial"/>
          <w:bCs/>
          <w:szCs w:val="22"/>
        </w:rPr>
        <w:t xml:space="preserve">is </w:t>
      </w:r>
      <w:r w:rsidR="00604837" w:rsidRPr="009B1E0E">
        <w:rPr>
          <w:rFonts w:cs="Arial"/>
          <w:bCs/>
          <w:szCs w:val="22"/>
        </w:rPr>
        <w:t xml:space="preserve">surprising as shares were issued also to these directors </w:t>
      </w:r>
      <w:r w:rsidR="00DB5354" w:rsidRPr="009B1E0E">
        <w:rPr>
          <w:rFonts w:cs="Arial"/>
          <w:bCs/>
          <w:szCs w:val="22"/>
        </w:rPr>
        <w:t xml:space="preserve">some or all of </w:t>
      </w:r>
      <w:r w:rsidR="00604837" w:rsidRPr="009B1E0E">
        <w:rPr>
          <w:rFonts w:cs="Arial"/>
          <w:bCs/>
          <w:szCs w:val="22"/>
        </w:rPr>
        <w:t>who</w:t>
      </w:r>
      <w:r w:rsidR="00DB5354" w:rsidRPr="009B1E0E">
        <w:rPr>
          <w:rFonts w:cs="Arial"/>
          <w:bCs/>
          <w:szCs w:val="22"/>
        </w:rPr>
        <w:t>m</w:t>
      </w:r>
      <w:r w:rsidR="00604837" w:rsidRPr="009B1E0E">
        <w:rPr>
          <w:rFonts w:cs="Arial"/>
          <w:bCs/>
          <w:szCs w:val="22"/>
        </w:rPr>
        <w:t xml:space="preserve"> now claimed not to know why they received </w:t>
      </w:r>
      <w:r w:rsidR="00604837" w:rsidRPr="009B1E0E">
        <w:rPr>
          <w:rFonts w:cs="Arial"/>
          <w:bCs/>
          <w:szCs w:val="22"/>
        </w:rPr>
        <w:lastRenderedPageBreak/>
        <w:t>and paid for the shares two decades earlier</w:t>
      </w:r>
      <w:r w:rsidR="0078426D" w:rsidRPr="009B1E0E">
        <w:rPr>
          <w:rFonts w:cs="Arial"/>
          <w:bCs/>
          <w:szCs w:val="22"/>
        </w:rPr>
        <w:t>, but on the other hand, human memory is fallible and short.</w:t>
      </w:r>
    </w:p>
    <w:p w14:paraId="1966E5CB" w14:textId="3153E7D1" w:rsidR="00630A46"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[55]</w:t>
      </w:r>
      <w:r w:rsidRPr="009B1E0E">
        <w:rPr>
          <w:rFonts w:cs="Arial"/>
          <w:bCs/>
          <w:szCs w:val="22"/>
        </w:rPr>
        <w:tab/>
      </w:r>
      <w:r w:rsidR="00DB5354" w:rsidRPr="009B1E0E">
        <w:rPr>
          <w:rFonts w:cs="Arial"/>
          <w:bCs/>
          <w:szCs w:val="22"/>
        </w:rPr>
        <w:t>The respondents</w:t>
      </w:r>
      <w:r w:rsidR="00630A46" w:rsidRPr="009B1E0E">
        <w:rPr>
          <w:rFonts w:cs="Arial"/>
          <w:bCs/>
          <w:szCs w:val="22"/>
        </w:rPr>
        <w:t xml:space="preserve"> argue that the transaction is void, alternatively voidable, at the instance of ALI on the basis that –</w:t>
      </w:r>
    </w:p>
    <w:p w14:paraId="6A87397D" w14:textId="249633F4" w:rsidR="00630A46" w:rsidRPr="009B1E0E" w:rsidRDefault="00BE377D" w:rsidP="00BE377D">
      <w:pPr>
        <w:widowControl w:val="0"/>
        <w:tabs>
          <w:tab w:val="left" w:pos="1418"/>
        </w:tabs>
        <w:spacing w:before="480" w:after="480" w:line="480" w:lineRule="auto"/>
        <w:ind w:left="1418" w:hanging="851"/>
        <w:jc w:val="both"/>
        <w:rPr>
          <w:rFonts w:cs="Arial"/>
          <w:bCs/>
          <w:szCs w:val="22"/>
        </w:rPr>
      </w:pPr>
      <w:r w:rsidRPr="009B1E0E">
        <w:rPr>
          <w:rFonts w:cs="Arial"/>
          <w:bCs/>
          <w:szCs w:val="22"/>
        </w:rPr>
        <w:t>55.1</w:t>
      </w:r>
      <w:r w:rsidRPr="009B1E0E">
        <w:rPr>
          <w:rFonts w:cs="Arial"/>
          <w:bCs/>
          <w:szCs w:val="22"/>
        </w:rPr>
        <w:tab/>
      </w:r>
      <w:r w:rsidR="00630A46" w:rsidRPr="009B1E0E">
        <w:rPr>
          <w:rFonts w:cs="Arial"/>
          <w:bCs/>
          <w:szCs w:val="22"/>
        </w:rPr>
        <w:t>Shareholder approval was based on a material misrepresentation</w:t>
      </w:r>
      <w:r w:rsidR="0078426D" w:rsidRPr="009B1E0E">
        <w:rPr>
          <w:rFonts w:cs="Arial"/>
          <w:bCs/>
          <w:szCs w:val="22"/>
        </w:rPr>
        <w:t>;</w:t>
      </w:r>
    </w:p>
    <w:p w14:paraId="7E69A1CA" w14:textId="0E747416" w:rsidR="00630A46" w:rsidRPr="009B1E0E" w:rsidRDefault="00BE377D" w:rsidP="00BE377D">
      <w:pPr>
        <w:widowControl w:val="0"/>
        <w:tabs>
          <w:tab w:val="left" w:pos="1418"/>
        </w:tabs>
        <w:spacing w:before="480" w:after="480" w:line="480" w:lineRule="auto"/>
        <w:ind w:left="1418" w:hanging="851"/>
        <w:jc w:val="both"/>
        <w:rPr>
          <w:rFonts w:cs="Arial"/>
          <w:bCs/>
          <w:szCs w:val="22"/>
        </w:rPr>
      </w:pPr>
      <w:r w:rsidRPr="009B1E0E">
        <w:rPr>
          <w:rFonts w:cs="Arial"/>
          <w:bCs/>
          <w:szCs w:val="22"/>
        </w:rPr>
        <w:t>55.2</w:t>
      </w:r>
      <w:r w:rsidRPr="009B1E0E">
        <w:rPr>
          <w:rFonts w:cs="Arial"/>
          <w:bCs/>
          <w:szCs w:val="22"/>
        </w:rPr>
        <w:tab/>
      </w:r>
      <w:r w:rsidR="00630A46" w:rsidRPr="009B1E0E">
        <w:rPr>
          <w:rFonts w:cs="Arial"/>
          <w:bCs/>
          <w:szCs w:val="22"/>
        </w:rPr>
        <w:t>An agent is not authorised to act contrary to the principal’s interest;</w:t>
      </w:r>
    </w:p>
    <w:p w14:paraId="28327145" w14:textId="39A1C7A2" w:rsidR="00630A46" w:rsidRPr="009B1E0E" w:rsidRDefault="00BE377D" w:rsidP="00BE377D">
      <w:pPr>
        <w:widowControl w:val="0"/>
        <w:tabs>
          <w:tab w:val="left" w:pos="1418"/>
        </w:tabs>
        <w:spacing w:before="480" w:after="480" w:line="480" w:lineRule="auto"/>
        <w:ind w:left="1418" w:hanging="851"/>
        <w:jc w:val="both"/>
        <w:rPr>
          <w:rFonts w:cs="Arial"/>
          <w:bCs/>
          <w:szCs w:val="22"/>
        </w:rPr>
      </w:pPr>
      <w:r w:rsidRPr="009B1E0E">
        <w:rPr>
          <w:rFonts w:cs="Arial"/>
          <w:bCs/>
          <w:szCs w:val="22"/>
        </w:rPr>
        <w:t>55.3</w:t>
      </w:r>
      <w:r w:rsidRPr="009B1E0E">
        <w:rPr>
          <w:rFonts w:cs="Arial"/>
          <w:bCs/>
          <w:szCs w:val="22"/>
        </w:rPr>
        <w:tab/>
      </w:r>
      <w:r w:rsidR="00630A46" w:rsidRPr="009B1E0E">
        <w:rPr>
          <w:rFonts w:cs="Arial"/>
          <w:bCs/>
          <w:szCs w:val="22"/>
        </w:rPr>
        <w:t>The grant of authority would have been impliedly conditional upon the authority being exercised honestly;</w:t>
      </w:r>
    </w:p>
    <w:p w14:paraId="0BABDA69" w14:textId="016FD096" w:rsidR="0078426D" w:rsidRPr="009B1E0E" w:rsidRDefault="00BE377D" w:rsidP="00BE377D">
      <w:pPr>
        <w:widowControl w:val="0"/>
        <w:tabs>
          <w:tab w:val="left" w:pos="1418"/>
        </w:tabs>
        <w:spacing w:before="480" w:after="480" w:line="480" w:lineRule="auto"/>
        <w:ind w:left="1418" w:hanging="851"/>
        <w:jc w:val="both"/>
        <w:rPr>
          <w:rFonts w:cs="Arial"/>
          <w:bCs/>
          <w:szCs w:val="22"/>
        </w:rPr>
      </w:pPr>
      <w:r w:rsidRPr="009B1E0E">
        <w:rPr>
          <w:rFonts w:cs="Arial"/>
          <w:bCs/>
          <w:szCs w:val="22"/>
        </w:rPr>
        <w:t>55.4</w:t>
      </w:r>
      <w:r w:rsidRPr="009B1E0E">
        <w:rPr>
          <w:rFonts w:cs="Arial"/>
          <w:bCs/>
          <w:szCs w:val="22"/>
        </w:rPr>
        <w:tab/>
      </w:r>
      <w:r w:rsidR="00630A46" w:rsidRPr="009B1E0E">
        <w:rPr>
          <w:rFonts w:cs="Arial"/>
          <w:bCs/>
          <w:szCs w:val="22"/>
        </w:rPr>
        <w:t>Ramano issued the shares contrary to the interests of ALI</w:t>
      </w:r>
      <w:r w:rsidR="0078426D" w:rsidRPr="009B1E0E">
        <w:rPr>
          <w:rFonts w:cs="Arial"/>
          <w:bCs/>
          <w:szCs w:val="22"/>
        </w:rPr>
        <w:t>.</w:t>
      </w:r>
    </w:p>
    <w:p w14:paraId="75AED815" w14:textId="13B42804" w:rsidR="00DB5354"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[56]</w:t>
      </w:r>
      <w:r w:rsidRPr="009B1E0E">
        <w:rPr>
          <w:rFonts w:cs="Arial"/>
          <w:bCs/>
          <w:szCs w:val="22"/>
        </w:rPr>
        <w:tab/>
      </w:r>
      <w:r w:rsidR="0078426D" w:rsidRPr="009B1E0E">
        <w:rPr>
          <w:rFonts w:cs="Arial"/>
          <w:bCs/>
          <w:szCs w:val="22"/>
        </w:rPr>
        <w:t xml:space="preserve">It was also argued that the </w:t>
      </w:r>
      <w:r w:rsidR="00DB5354" w:rsidRPr="009B1E0E">
        <w:rPr>
          <w:rFonts w:cs="Arial"/>
          <w:bCs/>
          <w:szCs w:val="22"/>
        </w:rPr>
        <w:t>requisite resolutions are not to hand</w:t>
      </w:r>
      <w:r w:rsidR="0078426D" w:rsidRPr="009B1E0E">
        <w:rPr>
          <w:rFonts w:cs="Arial"/>
          <w:bCs/>
          <w:szCs w:val="22"/>
        </w:rPr>
        <w:t>.</w:t>
      </w:r>
    </w:p>
    <w:p w14:paraId="4B8F4ED2" w14:textId="60A0CBB7" w:rsidR="0078426D"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[57]</w:t>
      </w:r>
      <w:r w:rsidRPr="009B1E0E">
        <w:rPr>
          <w:rFonts w:cs="Arial"/>
          <w:bCs/>
          <w:szCs w:val="22"/>
        </w:rPr>
        <w:tab/>
      </w:r>
      <w:r w:rsidR="002C2B24" w:rsidRPr="009B1E0E">
        <w:rPr>
          <w:rFonts w:cs="Arial"/>
          <w:bCs/>
          <w:szCs w:val="22"/>
        </w:rPr>
        <w:t xml:space="preserve">There is a paucity of evidence. </w:t>
      </w:r>
    </w:p>
    <w:p w14:paraId="626E94C5" w14:textId="15FB3158" w:rsidR="0078426D" w:rsidRPr="009B1E0E" w:rsidRDefault="00BE377D" w:rsidP="00BE377D">
      <w:pPr>
        <w:widowControl w:val="0"/>
        <w:tabs>
          <w:tab w:val="left" w:pos="1418"/>
        </w:tabs>
        <w:spacing w:before="480" w:after="480" w:line="480" w:lineRule="auto"/>
        <w:ind w:left="1418" w:hanging="851"/>
        <w:jc w:val="both"/>
        <w:rPr>
          <w:rFonts w:cs="Arial"/>
          <w:bCs/>
          <w:szCs w:val="22"/>
        </w:rPr>
      </w:pPr>
      <w:r w:rsidRPr="009B1E0E">
        <w:rPr>
          <w:rFonts w:cs="Arial"/>
          <w:bCs/>
          <w:szCs w:val="22"/>
        </w:rPr>
        <w:t>57.1</w:t>
      </w:r>
      <w:r w:rsidRPr="009B1E0E">
        <w:rPr>
          <w:rFonts w:cs="Arial"/>
          <w:bCs/>
          <w:szCs w:val="22"/>
        </w:rPr>
        <w:tab/>
      </w:r>
      <w:r w:rsidR="002C2B24" w:rsidRPr="009B1E0E">
        <w:rPr>
          <w:rFonts w:cs="Arial"/>
          <w:bCs/>
          <w:szCs w:val="22"/>
        </w:rPr>
        <w:t>Ramano admits that his recollection of the events of two decades ago is hazy</w:t>
      </w:r>
      <w:r w:rsidR="00EF4A90" w:rsidRPr="009B1E0E">
        <w:rPr>
          <w:rFonts w:cs="Arial"/>
          <w:bCs/>
          <w:szCs w:val="22"/>
        </w:rPr>
        <w:t xml:space="preserve"> (and claims that this was why he changed his evidence on affidavit)</w:t>
      </w:r>
      <w:r w:rsidR="002C2B24" w:rsidRPr="009B1E0E">
        <w:rPr>
          <w:rFonts w:cs="Arial"/>
          <w:bCs/>
          <w:szCs w:val="22"/>
        </w:rPr>
        <w:t xml:space="preserve">; </w:t>
      </w:r>
    </w:p>
    <w:p w14:paraId="0694F912" w14:textId="47A1670D" w:rsidR="005E24E1" w:rsidRPr="009B1E0E" w:rsidRDefault="00BE377D" w:rsidP="00BE377D">
      <w:pPr>
        <w:widowControl w:val="0"/>
        <w:tabs>
          <w:tab w:val="left" w:pos="1418"/>
        </w:tabs>
        <w:spacing w:before="480" w:after="480" w:line="480" w:lineRule="auto"/>
        <w:ind w:left="1418" w:hanging="851"/>
        <w:jc w:val="both"/>
        <w:rPr>
          <w:rFonts w:cs="Arial"/>
          <w:bCs/>
          <w:szCs w:val="22"/>
        </w:rPr>
      </w:pPr>
      <w:r w:rsidRPr="009B1E0E">
        <w:rPr>
          <w:rFonts w:cs="Arial"/>
          <w:bCs/>
          <w:szCs w:val="22"/>
        </w:rPr>
        <w:t>57.2</w:t>
      </w:r>
      <w:r w:rsidRPr="009B1E0E">
        <w:rPr>
          <w:rFonts w:cs="Arial"/>
          <w:bCs/>
          <w:szCs w:val="22"/>
        </w:rPr>
        <w:tab/>
      </w:r>
      <w:r w:rsidR="002C2B24" w:rsidRPr="009B1E0E">
        <w:rPr>
          <w:rFonts w:cs="Arial"/>
          <w:bCs/>
          <w:szCs w:val="22"/>
        </w:rPr>
        <w:t xml:space="preserve">Ahmed was not involved at the time; </w:t>
      </w:r>
    </w:p>
    <w:p w14:paraId="1B8BC023" w14:textId="18CB3AF4" w:rsidR="0078426D" w:rsidRPr="009B1E0E" w:rsidRDefault="00BE377D" w:rsidP="00BE377D">
      <w:pPr>
        <w:widowControl w:val="0"/>
        <w:tabs>
          <w:tab w:val="left" w:pos="1418"/>
        </w:tabs>
        <w:spacing w:before="480" w:after="480" w:line="480" w:lineRule="auto"/>
        <w:ind w:left="1418" w:hanging="851"/>
        <w:jc w:val="both"/>
        <w:rPr>
          <w:rFonts w:cs="Arial"/>
          <w:bCs/>
          <w:szCs w:val="22"/>
        </w:rPr>
      </w:pPr>
      <w:r w:rsidRPr="009B1E0E">
        <w:rPr>
          <w:rFonts w:cs="Arial"/>
          <w:bCs/>
          <w:szCs w:val="22"/>
        </w:rPr>
        <w:t>57.3</w:t>
      </w:r>
      <w:r w:rsidRPr="009B1E0E">
        <w:rPr>
          <w:rFonts w:cs="Arial"/>
          <w:bCs/>
          <w:szCs w:val="22"/>
        </w:rPr>
        <w:tab/>
      </w:r>
      <w:r w:rsidR="005E24E1" w:rsidRPr="009B1E0E">
        <w:rPr>
          <w:rFonts w:cs="Arial"/>
          <w:bCs/>
          <w:szCs w:val="22"/>
        </w:rPr>
        <w:t>H</w:t>
      </w:r>
      <w:r w:rsidR="002C2B24" w:rsidRPr="009B1E0E">
        <w:rPr>
          <w:rFonts w:cs="Arial"/>
          <w:bCs/>
          <w:szCs w:val="22"/>
        </w:rPr>
        <w:t xml:space="preserve">e was making further enquiries from the </w:t>
      </w:r>
      <w:r w:rsidR="002C2B24" w:rsidRPr="009B1E0E">
        <w:rPr>
          <w:rFonts w:cs="Arial"/>
          <w:color w:val="202124"/>
          <w:szCs w:val="22"/>
          <w:shd w:val="clear" w:color="auto" w:fill="FFFFFF"/>
        </w:rPr>
        <w:t xml:space="preserve">Companies And Intellectual Property Commission (CIPC) </w:t>
      </w:r>
      <w:r w:rsidR="002C2B24" w:rsidRPr="009B1E0E">
        <w:rPr>
          <w:rFonts w:cs="Arial"/>
          <w:bCs/>
          <w:szCs w:val="22"/>
        </w:rPr>
        <w:t xml:space="preserve">at the time when the affidavits were being prepared but the outcome of the investigation is not known; </w:t>
      </w:r>
    </w:p>
    <w:p w14:paraId="0E31B681" w14:textId="7F5C7396" w:rsidR="0078426D" w:rsidRPr="009B1E0E" w:rsidRDefault="00BE377D" w:rsidP="00BE377D">
      <w:pPr>
        <w:widowControl w:val="0"/>
        <w:tabs>
          <w:tab w:val="left" w:pos="1418"/>
        </w:tabs>
        <w:spacing w:before="480" w:after="480" w:line="480" w:lineRule="auto"/>
        <w:ind w:left="1418" w:hanging="851"/>
        <w:jc w:val="both"/>
        <w:rPr>
          <w:rFonts w:cs="Arial"/>
          <w:bCs/>
          <w:szCs w:val="22"/>
        </w:rPr>
      </w:pPr>
      <w:r w:rsidRPr="009B1E0E">
        <w:rPr>
          <w:rFonts w:cs="Arial"/>
          <w:bCs/>
          <w:szCs w:val="22"/>
        </w:rPr>
        <w:lastRenderedPageBreak/>
        <w:t>57.4</w:t>
      </w:r>
      <w:r w:rsidRPr="009B1E0E">
        <w:rPr>
          <w:rFonts w:cs="Arial"/>
          <w:bCs/>
          <w:szCs w:val="22"/>
        </w:rPr>
        <w:tab/>
      </w:r>
      <w:r w:rsidR="0078426D" w:rsidRPr="009B1E0E">
        <w:rPr>
          <w:rFonts w:cs="Arial"/>
          <w:bCs/>
          <w:szCs w:val="22"/>
        </w:rPr>
        <w:t>T</w:t>
      </w:r>
      <w:r w:rsidR="002C2B24" w:rsidRPr="009B1E0E">
        <w:rPr>
          <w:rFonts w:cs="Arial"/>
          <w:bCs/>
          <w:szCs w:val="22"/>
        </w:rPr>
        <w:t xml:space="preserve">he ALI directors who were involved and knew everything that </w:t>
      </w:r>
      <w:r w:rsidR="003D5B36" w:rsidRPr="009B1E0E">
        <w:rPr>
          <w:rFonts w:cs="Arial"/>
          <w:bCs/>
          <w:szCs w:val="22"/>
        </w:rPr>
        <w:t>Ramano</w:t>
      </w:r>
      <w:r w:rsidR="002C2B24" w:rsidRPr="009B1E0E">
        <w:rPr>
          <w:rFonts w:cs="Arial"/>
          <w:bCs/>
          <w:szCs w:val="22"/>
        </w:rPr>
        <w:t xml:space="preserve"> knew make no contribution to the affidavits; </w:t>
      </w:r>
    </w:p>
    <w:p w14:paraId="6F8F5E29" w14:textId="56511340" w:rsidR="002C2B24" w:rsidRPr="009B1E0E" w:rsidRDefault="00BE377D" w:rsidP="00BE377D">
      <w:pPr>
        <w:widowControl w:val="0"/>
        <w:tabs>
          <w:tab w:val="left" w:pos="1418"/>
        </w:tabs>
        <w:spacing w:before="480" w:after="480" w:line="480" w:lineRule="auto"/>
        <w:ind w:left="1418" w:hanging="851"/>
        <w:jc w:val="both"/>
        <w:rPr>
          <w:rFonts w:cs="Arial"/>
          <w:bCs/>
          <w:szCs w:val="22"/>
        </w:rPr>
      </w:pPr>
      <w:r w:rsidRPr="009B1E0E">
        <w:rPr>
          <w:rFonts w:cs="Arial"/>
          <w:bCs/>
          <w:szCs w:val="22"/>
        </w:rPr>
        <w:t>57.5</w:t>
      </w:r>
      <w:r w:rsidRPr="009B1E0E">
        <w:rPr>
          <w:rFonts w:cs="Arial"/>
          <w:bCs/>
          <w:szCs w:val="22"/>
        </w:rPr>
        <w:tab/>
      </w:r>
      <w:r w:rsidR="002C2B24" w:rsidRPr="009B1E0E">
        <w:rPr>
          <w:rFonts w:cs="Arial"/>
          <w:bCs/>
          <w:szCs w:val="22"/>
        </w:rPr>
        <w:t>ALI’s records are incomplete and at least one minute book is missing.</w:t>
      </w:r>
    </w:p>
    <w:p w14:paraId="4AEF27C8" w14:textId="001F92D8" w:rsidR="00296E49"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[58]</w:t>
      </w:r>
      <w:r w:rsidRPr="009B1E0E">
        <w:rPr>
          <w:rFonts w:cs="Arial"/>
          <w:bCs/>
          <w:szCs w:val="22"/>
        </w:rPr>
        <w:tab/>
      </w:r>
      <w:r w:rsidR="00E16AC3" w:rsidRPr="009B1E0E">
        <w:rPr>
          <w:rFonts w:cs="Arial"/>
          <w:bCs/>
          <w:szCs w:val="22"/>
        </w:rPr>
        <w:t>The company adopted resolutions</w:t>
      </w:r>
      <w:r w:rsidR="00DB5354" w:rsidRPr="009B1E0E">
        <w:rPr>
          <w:rStyle w:val="FootnoteReference"/>
          <w:rFonts w:cs="Arial"/>
          <w:bCs/>
          <w:szCs w:val="22"/>
        </w:rPr>
        <w:footnoteReference w:id="51"/>
      </w:r>
      <w:r w:rsidR="00E16AC3" w:rsidRPr="009B1E0E">
        <w:rPr>
          <w:rFonts w:cs="Arial"/>
          <w:bCs/>
          <w:szCs w:val="22"/>
        </w:rPr>
        <w:t xml:space="preserve"> at the 2000 annual general meeting that </w:t>
      </w:r>
      <w:r w:rsidR="0021787F" w:rsidRPr="009B1E0E">
        <w:rPr>
          <w:rFonts w:cs="Arial"/>
          <w:bCs/>
          <w:szCs w:val="22"/>
        </w:rPr>
        <w:t xml:space="preserve">referred to and </w:t>
      </w:r>
      <w:r w:rsidR="00E16AC3" w:rsidRPr="009B1E0E">
        <w:rPr>
          <w:rFonts w:cs="Arial"/>
          <w:bCs/>
          <w:szCs w:val="22"/>
        </w:rPr>
        <w:t>amended the 1998 resolutions that had not been implemented</w:t>
      </w:r>
      <w:r w:rsidR="004B2E4C" w:rsidRPr="009B1E0E">
        <w:rPr>
          <w:rFonts w:cs="Arial"/>
          <w:bCs/>
          <w:szCs w:val="22"/>
        </w:rPr>
        <w:t xml:space="preserve">, allegedly </w:t>
      </w:r>
      <w:r w:rsidR="00E16AC3" w:rsidRPr="009B1E0E">
        <w:rPr>
          <w:rFonts w:cs="Arial"/>
          <w:bCs/>
          <w:szCs w:val="22"/>
        </w:rPr>
        <w:t xml:space="preserve"> due to various clerical and administrative errors</w:t>
      </w:r>
      <w:r w:rsidR="00027A25" w:rsidRPr="009B1E0E">
        <w:rPr>
          <w:rFonts w:cs="Arial"/>
          <w:bCs/>
          <w:szCs w:val="22"/>
        </w:rPr>
        <w:t>, but the 1998 resolutions could not be located. Ahmed undertook to make</w:t>
      </w:r>
      <w:r w:rsidR="00930D35" w:rsidRPr="009B1E0E">
        <w:rPr>
          <w:rFonts w:cs="Arial"/>
          <w:bCs/>
          <w:szCs w:val="22"/>
        </w:rPr>
        <w:t xml:space="preserve"> fur</w:t>
      </w:r>
      <w:r w:rsidR="00727F47" w:rsidRPr="009B1E0E">
        <w:rPr>
          <w:rFonts w:cs="Arial"/>
          <w:bCs/>
          <w:szCs w:val="22"/>
        </w:rPr>
        <w:t>th</w:t>
      </w:r>
      <w:r w:rsidR="00930D35" w:rsidRPr="009B1E0E">
        <w:rPr>
          <w:rFonts w:cs="Arial"/>
          <w:bCs/>
          <w:szCs w:val="22"/>
        </w:rPr>
        <w:t>er</w:t>
      </w:r>
      <w:r w:rsidR="00027A25" w:rsidRPr="009B1E0E">
        <w:rPr>
          <w:rFonts w:cs="Arial"/>
          <w:bCs/>
          <w:szCs w:val="22"/>
        </w:rPr>
        <w:t xml:space="preserve"> enquiries at the CIPC offices</w:t>
      </w:r>
      <w:r w:rsidR="005E24E1" w:rsidRPr="009B1E0E">
        <w:rPr>
          <w:rFonts w:cs="Arial"/>
          <w:bCs/>
          <w:szCs w:val="22"/>
        </w:rPr>
        <w:t>.</w:t>
      </w:r>
      <w:r w:rsidR="000C568D" w:rsidRPr="009B1E0E">
        <w:rPr>
          <w:rFonts w:cs="Arial"/>
          <w:bCs/>
          <w:szCs w:val="22"/>
        </w:rPr>
        <w:t xml:space="preserve"> </w:t>
      </w:r>
    </w:p>
    <w:p w14:paraId="49454359" w14:textId="75E57DFF" w:rsidR="004B40E3"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[59]</w:t>
      </w:r>
      <w:r w:rsidRPr="009B1E0E">
        <w:rPr>
          <w:rFonts w:cs="Arial"/>
          <w:bCs/>
          <w:szCs w:val="22"/>
        </w:rPr>
        <w:tab/>
      </w:r>
      <w:r w:rsidR="00930D35" w:rsidRPr="009B1E0E">
        <w:rPr>
          <w:rFonts w:cs="Arial"/>
          <w:bCs/>
          <w:szCs w:val="22"/>
        </w:rPr>
        <w:t>An analysis</w:t>
      </w:r>
      <w:r w:rsidR="0033374D" w:rsidRPr="009B1E0E">
        <w:rPr>
          <w:rFonts w:cs="Arial"/>
          <w:bCs/>
          <w:szCs w:val="22"/>
        </w:rPr>
        <w:t xml:space="preserve"> of</w:t>
      </w:r>
      <w:r w:rsidR="00930D35" w:rsidRPr="009B1E0E">
        <w:rPr>
          <w:rFonts w:cs="Arial"/>
          <w:bCs/>
          <w:szCs w:val="22"/>
        </w:rPr>
        <w:t xml:space="preserve"> </w:t>
      </w:r>
      <w:r w:rsidR="0033374D" w:rsidRPr="009B1E0E">
        <w:rPr>
          <w:rFonts w:cs="Arial"/>
          <w:bCs/>
          <w:szCs w:val="22"/>
        </w:rPr>
        <w:t xml:space="preserve">ALI’s annual financial statements dated 30 September 2000 </w:t>
      </w:r>
      <w:r w:rsidR="00930D35" w:rsidRPr="009B1E0E">
        <w:rPr>
          <w:rFonts w:cs="Arial"/>
          <w:bCs/>
          <w:szCs w:val="22"/>
        </w:rPr>
        <w:t>shows that the directors paid R52 856 for shares</w:t>
      </w:r>
      <w:r w:rsidR="00A445E6" w:rsidRPr="009B1E0E">
        <w:rPr>
          <w:rFonts w:cs="Arial"/>
          <w:bCs/>
          <w:szCs w:val="22"/>
        </w:rPr>
        <w:t>,</w:t>
      </w:r>
      <w:r w:rsidR="00930D35" w:rsidRPr="009B1E0E">
        <w:rPr>
          <w:rFonts w:cs="Arial"/>
          <w:bCs/>
          <w:szCs w:val="22"/>
        </w:rPr>
        <w:t xml:space="preserve"> and Ramano specifically paid R34 735.62 and obtained voting rights of 40%.</w:t>
      </w:r>
    </w:p>
    <w:p w14:paraId="36A29757" w14:textId="2E044C07" w:rsidR="00FE249C"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[60]</w:t>
      </w:r>
      <w:r w:rsidRPr="009B1E0E">
        <w:rPr>
          <w:rFonts w:cs="Arial"/>
          <w:bCs/>
          <w:szCs w:val="22"/>
        </w:rPr>
        <w:tab/>
      </w:r>
      <w:r w:rsidR="005B69C8" w:rsidRPr="009B1E0E">
        <w:rPr>
          <w:rFonts w:cs="Arial"/>
          <w:bCs/>
          <w:szCs w:val="22"/>
        </w:rPr>
        <w:t>In his replying affidavit</w:t>
      </w:r>
      <w:r w:rsidR="00AB3D27" w:rsidRPr="009B1E0E">
        <w:rPr>
          <w:rFonts w:cs="Arial"/>
          <w:bCs/>
          <w:szCs w:val="22"/>
        </w:rPr>
        <w:t xml:space="preserve"> in the main application</w:t>
      </w:r>
      <w:r w:rsidR="005B69C8" w:rsidRPr="009B1E0E">
        <w:rPr>
          <w:rFonts w:cs="Arial"/>
          <w:bCs/>
          <w:szCs w:val="22"/>
        </w:rPr>
        <w:t xml:space="preserve"> Ramano said that</w:t>
      </w:r>
      <w:r w:rsidR="00930D35" w:rsidRPr="009B1E0E">
        <w:rPr>
          <w:rFonts w:cs="Arial"/>
          <w:bCs/>
          <w:szCs w:val="22"/>
        </w:rPr>
        <w:t xml:space="preserve"> the resolutions were implemented in 1998. This was not true and in a further affidavit he says that the shares were issued </w:t>
      </w:r>
      <w:r w:rsidR="00010298" w:rsidRPr="009B1E0E">
        <w:rPr>
          <w:rFonts w:cs="Arial"/>
          <w:bCs/>
          <w:szCs w:val="22"/>
        </w:rPr>
        <w:t xml:space="preserve">two years later </w:t>
      </w:r>
      <w:r w:rsidR="00930D35" w:rsidRPr="009B1E0E">
        <w:rPr>
          <w:rFonts w:cs="Arial"/>
          <w:bCs/>
          <w:szCs w:val="22"/>
        </w:rPr>
        <w:t>at par value as the shares had a negative net asset value in 1998 and for some time thereafter.</w:t>
      </w:r>
      <w:r w:rsidR="00010298" w:rsidRPr="009B1E0E">
        <w:rPr>
          <w:rFonts w:cs="Arial"/>
          <w:bCs/>
          <w:szCs w:val="22"/>
        </w:rPr>
        <w:t xml:space="preserve"> He argued that </w:t>
      </w:r>
      <w:r w:rsidR="00930D35" w:rsidRPr="009B1E0E">
        <w:rPr>
          <w:rFonts w:cs="Arial"/>
          <w:bCs/>
          <w:szCs w:val="22"/>
        </w:rPr>
        <w:t xml:space="preserve">par value represented the lowest price payable. Issuing shares at below par would result in shares being issued at a discount, which would fall foul of section 81 of the Companies Act, 61 of 1973. </w:t>
      </w:r>
    </w:p>
    <w:p w14:paraId="38073CEE" w14:textId="2E272006" w:rsidR="00D54799"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[61]</w:t>
      </w:r>
      <w:r w:rsidRPr="009B1E0E">
        <w:rPr>
          <w:rFonts w:cs="Arial"/>
          <w:bCs/>
          <w:szCs w:val="22"/>
        </w:rPr>
        <w:tab/>
      </w:r>
      <w:r w:rsidR="00D54799" w:rsidRPr="009B1E0E">
        <w:rPr>
          <w:rFonts w:cs="Arial"/>
          <w:bCs/>
          <w:szCs w:val="22"/>
        </w:rPr>
        <w:t>He adds that any non-compliance with the Companies Act of 1973 was inadvertent and had nothing to do with the board at the time.</w:t>
      </w:r>
      <w:r w:rsidR="00AB3D27" w:rsidRPr="009B1E0E">
        <w:rPr>
          <w:rFonts w:cs="Arial"/>
          <w:bCs/>
          <w:szCs w:val="22"/>
        </w:rPr>
        <w:t xml:space="preserve"> The shares were issued at par level to give effect to the true intention of the parties.</w:t>
      </w:r>
      <w:r w:rsidR="00FE249C" w:rsidRPr="009B1E0E">
        <w:rPr>
          <w:rFonts w:cs="Arial"/>
          <w:bCs/>
          <w:szCs w:val="22"/>
        </w:rPr>
        <w:t xml:space="preserve"> He also expressed the view in his last affidavit that the directors were entitled to delay the share issue to best suit themselves. Ramano’s evidence in this regard is not satisfactory, but </w:t>
      </w:r>
      <w:r w:rsidR="00B85245" w:rsidRPr="009B1E0E">
        <w:rPr>
          <w:rFonts w:cs="Arial"/>
          <w:bCs/>
          <w:szCs w:val="22"/>
        </w:rPr>
        <w:t>cannot</w:t>
      </w:r>
      <w:r w:rsidR="00FE249C" w:rsidRPr="009B1E0E">
        <w:rPr>
          <w:rFonts w:cs="Arial"/>
          <w:bCs/>
          <w:szCs w:val="22"/>
        </w:rPr>
        <w:t xml:space="preserve"> summarily rejected and </w:t>
      </w:r>
      <w:r w:rsidR="00FE249C" w:rsidRPr="009B1E0E">
        <w:rPr>
          <w:rFonts w:cs="Arial"/>
          <w:bCs/>
          <w:szCs w:val="22"/>
        </w:rPr>
        <w:lastRenderedPageBreak/>
        <w:t>his explanation that two decades had passed since these events is plausible.</w:t>
      </w:r>
    </w:p>
    <w:p w14:paraId="3A3F9E23" w14:textId="05BFE7AA" w:rsidR="0033374D"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[62]</w:t>
      </w:r>
      <w:r w:rsidRPr="009B1E0E">
        <w:rPr>
          <w:rFonts w:cs="Arial"/>
          <w:bCs/>
          <w:szCs w:val="22"/>
        </w:rPr>
        <w:tab/>
      </w:r>
      <w:r w:rsidR="00930D35" w:rsidRPr="009B1E0E">
        <w:rPr>
          <w:rFonts w:cs="Arial"/>
          <w:bCs/>
          <w:szCs w:val="22"/>
        </w:rPr>
        <w:t>This  evidence is disputed by Ahmed who did his own calculations to substantiate his view that the shares were given to the directors at the time at a discount.</w:t>
      </w:r>
      <w:r w:rsidR="00D54799" w:rsidRPr="009B1E0E">
        <w:rPr>
          <w:rFonts w:cs="Arial"/>
          <w:bCs/>
          <w:szCs w:val="22"/>
        </w:rPr>
        <w:t xml:space="preserve"> </w:t>
      </w:r>
      <w:r w:rsidR="00AB7E4E" w:rsidRPr="009B1E0E">
        <w:rPr>
          <w:rFonts w:cs="Arial"/>
          <w:bCs/>
          <w:szCs w:val="22"/>
        </w:rPr>
        <w:t>He calculates that issuing shares to the directors at the time implied a discount of more than 98%.</w:t>
      </w:r>
      <w:r w:rsidR="00AB3D27" w:rsidRPr="009B1E0E">
        <w:rPr>
          <w:rFonts w:cs="Arial"/>
          <w:bCs/>
          <w:szCs w:val="22"/>
        </w:rPr>
        <w:t xml:space="preserve"> </w:t>
      </w:r>
      <w:r w:rsidR="00D54799" w:rsidRPr="009B1E0E">
        <w:rPr>
          <w:rFonts w:cs="Arial"/>
          <w:bCs/>
          <w:szCs w:val="22"/>
        </w:rPr>
        <w:t xml:space="preserve">He points out that if, as Ramano alleges, the intention was always to issue the shares at par then the resolutions </w:t>
      </w:r>
      <w:r w:rsidR="009F53AB" w:rsidRPr="009B1E0E">
        <w:rPr>
          <w:rFonts w:cs="Arial"/>
          <w:bCs/>
          <w:szCs w:val="22"/>
        </w:rPr>
        <w:t>could have</w:t>
      </w:r>
      <w:r w:rsidR="00D54799" w:rsidRPr="009B1E0E">
        <w:rPr>
          <w:rFonts w:cs="Arial"/>
          <w:bCs/>
          <w:szCs w:val="22"/>
        </w:rPr>
        <w:t xml:space="preserve"> that said so.</w:t>
      </w:r>
      <w:r w:rsidR="00F93780" w:rsidRPr="009B1E0E">
        <w:rPr>
          <w:rFonts w:cs="Arial"/>
          <w:bCs/>
          <w:szCs w:val="22"/>
        </w:rPr>
        <w:t xml:space="preserve"> Ahmed concludes with reference to a report</w:t>
      </w:r>
      <w:r w:rsidR="005E24E1" w:rsidRPr="009B1E0E">
        <w:rPr>
          <w:rStyle w:val="FootnoteReference"/>
          <w:rFonts w:cs="Arial"/>
          <w:bCs/>
          <w:szCs w:val="22"/>
        </w:rPr>
        <w:footnoteReference w:id="52"/>
      </w:r>
      <w:r w:rsidR="00F93780" w:rsidRPr="009B1E0E">
        <w:rPr>
          <w:rFonts w:cs="Arial"/>
          <w:bCs/>
          <w:szCs w:val="22"/>
        </w:rPr>
        <w:t xml:space="preserve"> by an accountant and advice from attorneys at the time that the whole board knew that the shares </w:t>
      </w:r>
      <w:r w:rsidR="00AB3D27" w:rsidRPr="009B1E0E">
        <w:rPr>
          <w:rFonts w:cs="Arial"/>
          <w:bCs/>
          <w:szCs w:val="22"/>
        </w:rPr>
        <w:t>sh</w:t>
      </w:r>
      <w:r w:rsidR="00F93780" w:rsidRPr="009B1E0E">
        <w:rPr>
          <w:rFonts w:cs="Arial"/>
          <w:bCs/>
          <w:szCs w:val="22"/>
        </w:rPr>
        <w:t xml:space="preserve">ould not be issued at par value in 2000. </w:t>
      </w:r>
    </w:p>
    <w:p w14:paraId="5360B136" w14:textId="02760C3B" w:rsidR="00AB3D27"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[63]</w:t>
      </w:r>
      <w:r w:rsidRPr="009B1E0E">
        <w:rPr>
          <w:rFonts w:cs="Arial"/>
          <w:bCs/>
          <w:szCs w:val="22"/>
        </w:rPr>
        <w:tab/>
      </w:r>
      <w:r w:rsidR="00F93780" w:rsidRPr="009B1E0E">
        <w:rPr>
          <w:rFonts w:cs="Arial"/>
          <w:bCs/>
          <w:szCs w:val="22"/>
        </w:rPr>
        <w:t xml:space="preserve">The shareholders nevertheless were asked and passed the resolutions of 2000 referred to above. </w:t>
      </w:r>
      <w:r w:rsidR="00AB3D27" w:rsidRPr="009B1E0E">
        <w:rPr>
          <w:rFonts w:cs="Arial"/>
          <w:bCs/>
          <w:szCs w:val="22"/>
        </w:rPr>
        <w:t xml:space="preserve">The respondents make the inference that the accountant’s report was given to shareholders and on this basis they must also have known that the shares should not be issued at par value. </w:t>
      </w:r>
      <w:r w:rsidR="00EE09A5" w:rsidRPr="009B1E0E">
        <w:rPr>
          <w:rFonts w:cs="Arial"/>
          <w:bCs/>
          <w:szCs w:val="22"/>
        </w:rPr>
        <w:t>There is no evidence to the effect that they were acting in bad faith in doing so</w:t>
      </w:r>
      <w:r w:rsidR="0033374D" w:rsidRPr="009B1E0E">
        <w:rPr>
          <w:rFonts w:cs="Arial"/>
          <w:bCs/>
          <w:szCs w:val="22"/>
        </w:rPr>
        <w:t xml:space="preserve"> or that they were being misled by the board</w:t>
      </w:r>
      <w:r w:rsidR="00EE09A5" w:rsidRPr="009B1E0E">
        <w:rPr>
          <w:rFonts w:cs="Arial"/>
          <w:bCs/>
          <w:szCs w:val="22"/>
        </w:rPr>
        <w:t>.</w:t>
      </w:r>
    </w:p>
    <w:p w14:paraId="2B07F9AA" w14:textId="02AEAED6" w:rsidR="004C6AE3"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[64]</w:t>
      </w:r>
      <w:r w:rsidRPr="009B1E0E">
        <w:rPr>
          <w:rFonts w:cs="Arial"/>
          <w:bCs/>
          <w:szCs w:val="22"/>
        </w:rPr>
        <w:tab/>
      </w:r>
      <w:r w:rsidR="004C6AE3" w:rsidRPr="009B1E0E">
        <w:rPr>
          <w:rFonts w:cs="Arial"/>
          <w:bCs/>
          <w:szCs w:val="22"/>
        </w:rPr>
        <w:t>Ramano is critical of Ahmed’s calculations and claims that they were done with the benefit of hindsight, and that corrections now done</w:t>
      </w:r>
      <w:r w:rsidR="004C6AE3" w:rsidRPr="009B1E0E">
        <w:rPr>
          <w:rFonts w:cs="Arial"/>
          <w:bCs/>
          <w:i/>
          <w:iCs/>
          <w:szCs w:val="22"/>
        </w:rPr>
        <w:t xml:space="preserve"> “cannot …. have an effect on retrospective transactions.” </w:t>
      </w:r>
    </w:p>
    <w:p w14:paraId="0FC28031" w14:textId="170A56C0" w:rsidR="00F538FA"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[65]</w:t>
      </w:r>
      <w:r w:rsidRPr="009B1E0E">
        <w:rPr>
          <w:rFonts w:cs="Arial"/>
          <w:bCs/>
          <w:szCs w:val="22"/>
        </w:rPr>
        <w:tab/>
      </w:r>
      <w:r w:rsidR="00F93780" w:rsidRPr="009B1E0E">
        <w:rPr>
          <w:rFonts w:cs="Arial"/>
          <w:bCs/>
          <w:szCs w:val="22"/>
        </w:rPr>
        <w:t xml:space="preserve">ALI had a substantial investment in a successful company at the time </w:t>
      </w:r>
      <w:r w:rsidR="00AB7E4E" w:rsidRPr="009B1E0E">
        <w:rPr>
          <w:rFonts w:cs="Arial"/>
          <w:bCs/>
          <w:szCs w:val="22"/>
        </w:rPr>
        <w:t>that increased</w:t>
      </w:r>
      <w:r w:rsidR="000201CB" w:rsidRPr="009B1E0E">
        <w:rPr>
          <w:rFonts w:cs="Arial"/>
          <w:bCs/>
          <w:szCs w:val="22"/>
        </w:rPr>
        <w:t xml:space="preserve"> its</w:t>
      </w:r>
      <w:r w:rsidR="00AB7E4E" w:rsidRPr="009B1E0E">
        <w:rPr>
          <w:rFonts w:cs="Arial"/>
          <w:bCs/>
          <w:szCs w:val="22"/>
        </w:rPr>
        <w:t xml:space="preserve"> share value, and this was known to the shareholders and the board. All parties were aware of the possibility of a fluctuating share price including a meteoric rise or fall.</w:t>
      </w:r>
      <w:r w:rsidR="00010836" w:rsidRPr="009B1E0E">
        <w:rPr>
          <w:rStyle w:val="FootnoteReference"/>
          <w:rFonts w:cs="Arial"/>
          <w:bCs/>
          <w:szCs w:val="22"/>
        </w:rPr>
        <w:footnoteReference w:id="53"/>
      </w:r>
    </w:p>
    <w:p w14:paraId="5C1567EE" w14:textId="14D6FF3C" w:rsidR="005E24E1"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[66]</w:t>
      </w:r>
      <w:r w:rsidRPr="009B1E0E">
        <w:rPr>
          <w:rFonts w:cs="Arial"/>
          <w:bCs/>
          <w:szCs w:val="22"/>
        </w:rPr>
        <w:tab/>
      </w:r>
      <w:r w:rsidR="009F53AB" w:rsidRPr="009B1E0E">
        <w:rPr>
          <w:rFonts w:cs="Arial"/>
          <w:bCs/>
          <w:szCs w:val="22"/>
        </w:rPr>
        <w:t>Ramano obtained a report</w:t>
      </w:r>
      <w:r w:rsidR="00B71FCA" w:rsidRPr="009B1E0E">
        <w:rPr>
          <w:rStyle w:val="FootnoteReference"/>
          <w:rFonts w:cs="Arial"/>
          <w:bCs/>
          <w:szCs w:val="22"/>
        </w:rPr>
        <w:footnoteReference w:id="54"/>
      </w:r>
      <w:r w:rsidR="009F53AB" w:rsidRPr="009B1E0E">
        <w:rPr>
          <w:rFonts w:cs="Arial"/>
          <w:bCs/>
          <w:szCs w:val="22"/>
        </w:rPr>
        <w:t xml:space="preserve"> dated 19 June 2000 from an accountant that was </w:t>
      </w:r>
      <w:r w:rsidR="009F53AB" w:rsidRPr="009B1E0E">
        <w:rPr>
          <w:rFonts w:cs="Arial"/>
          <w:bCs/>
          <w:szCs w:val="22"/>
        </w:rPr>
        <w:lastRenderedPageBreak/>
        <w:t xml:space="preserve">intended to answer questions by </w:t>
      </w:r>
      <w:r w:rsidR="00B85245" w:rsidRPr="009B1E0E">
        <w:rPr>
          <w:rFonts w:cs="Arial"/>
          <w:bCs/>
          <w:szCs w:val="22"/>
        </w:rPr>
        <w:t>shareholders</w:t>
      </w:r>
      <w:r w:rsidR="009F53AB" w:rsidRPr="009B1E0E">
        <w:rPr>
          <w:rFonts w:cs="Arial"/>
          <w:bCs/>
          <w:szCs w:val="22"/>
        </w:rPr>
        <w:t xml:space="preserve"> about share value. It was received a few days before advice on the share issue was received from the attorneys briefed on behalf of ALI at the time</w:t>
      </w:r>
      <w:r w:rsidR="00F93780" w:rsidRPr="009B1E0E">
        <w:rPr>
          <w:rFonts w:cs="Arial"/>
          <w:bCs/>
          <w:szCs w:val="22"/>
        </w:rPr>
        <w:t xml:space="preserve">. </w:t>
      </w:r>
      <w:r w:rsidR="00247ABD" w:rsidRPr="009B1E0E">
        <w:rPr>
          <w:rFonts w:cs="Arial"/>
          <w:bCs/>
          <w:szCs w:val="22"/>
        </w:rPr>
        <w:t>The report was not intended as a valuation for the purposes of purchase and sale but was obtained to provide shareholders with an indicative value of the shares at the time.</w:t>
      </w:r>
      <w:r w:rsidR="00C26D37" w:rsidRPr="009B1E0E">
        <w:rPr>
          <w:rFonts w:cs="Arial"/>
          <w:bCs/>
          <w:szCs w:val="22"/>
        </w:rPr>
        <w:t xml:space="preserve"> His analysis of the accountant’s report </w:t>
      </w:r>
      <w:r w:rsidR="00B71FCA" w:rsidRPr="009B1E0E">
        <w:rPr>
          <w:rFonts w:cs="Arial"/>
          <w:bCs/>
          <w:szCs w:val="22"/>
        </w:rPr>
        <w:t>is nevertheless that par value was the correct price for the shares.</w:t>
      </w:r>
      <w:r w:rsidR="00123EC2" w:rsidRPr="009B1E0E">
        <w:rPr>
          <w:rFonts w:cs="Arial"/>
          <w:bCs/>
          <w:szCs w:val="22"/>
        </w:rPr>
        <w:t xml:space="preserve"> </w:t>
      </w:r>
    </w:p>
    <w:p w14:paraId="70259A8D" w14:textId="5AE4C143" w:rsidR="009F53AB"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[67]</w:t>
      </w:r>
      <w:r w:rsidRPr="009B1E0E">
        <w:rPr>
          <w:rFonts w:cs="Arial"/>
          <w:bCs/>
          <w:szCs w:val="22"/>
        </w:rPr>
        <w:tab/>
      </w:r>
      <w:r w:rsidR="00123EC2" w:rsidRPr="009B1E0E">
        <w:rPr>
          <w:rFonts w:cs="Arial"/>
          <w:bCs/>
          <w:szCs w:val="22"/>
        </w:rPr>
        <w:t>The accountant</w:t>
      </w:r>
      <w:r w:rsidR="005E24E1" w:rsidRPr="009B1E0E">
        <w:rPr>
          <w:rFonts w:cs="Arial"/>
          <w:bCs/>
          <w:szCs w:val="22"/>
        </w:rPr>
        <w:t xml:space="preserve"> however</w:t>
      </w:r>
      <w:r w:rsidR="00123EC2" w:rsidRPr="009B1E0E">
        <w:rPr>
          <w:rFonts w:cs="Arial"/>
          <w:bCs/>
          <w:szCs w:val="22"/>
        </w:rPr>
        <w:t xml:space="preserve"> determined a net asset value of -R12.79 in September 1999, R39.42 in March 2000 and R28.56 in June 2000.</w:t>
      </w:r>
    </w:p>
    <w:p w14:paraId="2E55FA27" w14:textId="4CEDD3D7" w:rsidR="004E586A"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[68]</w:t>
      </w:r>
      <w:r w:rsidRPr="009B1E0E">
        <w:rPr>
          <w:rFonts w:cs="Arial"/>
          <w:bCs/>
          <w:szCs w:val="22"/>
        </w:rPr>
        <w:tab/>
      </w:r>
      <w:r w:rsidR="00912080" w:rsidRPr="009B1E0E">
        <w:rPr>
          <w:rFonts w:cs="Arial"/>
          <w:bCs/>
          <w:szCs w:val="22"/>
        </w:rPr>
        <w:t xml:space="preserve">There are </w:t>
      </w:r>
      <w:r w:rsidR="00566857" w:rsidRPr="009B1E0E">
        <w:rPr>
          <w:rFonts w:cs="Arial"/>
          <w:bCs/>
          <w:szCs w:val="22"/>
        </w:rPr>
        <w:t>a</w:t>
      </w:r>
      <w:r w:rsidR="00912080" w:rsidRPr="009B1E0E">
        <w:rPr>
          <w:rFonts w:cs="Arial"/>
          <w:bCs/>
          <w:szCs w:val="22"/>
        </w:rPr>
        <w:t xml:space="preserve"> number of disputes of fact exacerbated by the </w:t>
      </w:r>
      <w:r w:rsidR="00DC5035" w:rsidRPr="009B1E0E">
        <w:rPr>
          <w:rFonts w:cs="Arial"/>
          <w:bCs/>
          <w:szCs w:val="22"/>
        </w:rPr>
        <w:t>non</w:t>
      </w:r>
      <w:r w:rsidR="00DF0830" w:rsidRPr="009B1E0E">
        <w:rPr>
          <w:rFonts w:cs="Arial"/>
          <w:bCs/>
          <w:szCs w:val="22"/>
        </w:rPr>
        <w:t xml:space="preserve"> </w:t>
      </w:r>
      <w:r w:rsidR="00DC5035" w:rsidRPr="009B1E0E">
        <w:rPr>
          <w:rFonts w:cs="Arial"/>
          <w:bCs/>
          <w:szCs w:val="22"/>
        </w:rPr>
        <w:t>-</w:t>
      </w:r>
      <w:r w:rsidR="00DF0830" w:rsidRPr="009B1E0E">
        <w:rPr>
          <w:rFonts w:cs="Arial"/>
          <w:bCs/>
          <w:szCs w:val="22"/>
        </w:rPr>
        <w:t xml:space="preserve"> </w:t>
      </w:r>
      <w:r w:rsidR="00DC5035" w:rsidRPr="009B1E0E">
        <w:rPr>
          <w:rFonts w:cs="Arial"/>
          <w:bCs/>
          <w:szCs w:val="22"/>
        </w:rPr>
        <w:t>availability of essential documents</w:t>
      </w:r>
      <w:r w:rsidR="00D13A6B" w:rsidRPr="009B1E0E">
        <w:rPr>
          <w:rFonts w:cs="Arial"/>
          <w:bCs/>
          <w:szCs w:val="22"/>
        </w:rPr>
        <w:t xml:space="preserve"> and unreliable memory</w:t>
      </w:r>
      <w:r w:rsidR="004E586A" w:rsidRPr="009B1E0E">
        <w:rPr>
          <w:rFonts w:cs="Arial"/>
          <w:bCs/>
          <w:szCs w:val="22"/>
        </w:rPr>
        <w:t xml:space="preserve"> on the part of Ramano and probably also the ALI directors</w:t>
      </w:r>
      <w:r w:rsidR="00DC5035" w:rsidRPr="009B1E0E">
        <w:rPr>
          <w:rFonts w:cs="Arial"/>
          <w:bCs/>
          <w:szCs w:val="22"/>
        </w:rPr>
        <w:t xml:space="preserve">. </w:t>
      </w:r>
      <w:r w:rsidR="004E586A" w:rsidRPr="009B1E0E">
        <w:rPr>
          <w:rFonts w:cs="Arial"/>
          <w:bCs/>
          <w:szCs w:val="22"/>
        </w:rPr>
        <w:t xml:space="preserve">I point to a few. </w:t>
      </w:r>
    </w:p>
    <w:p w14:paraId="5D936620" w14:textId="662C4F5F" w:rsidR="004E586A" w:rsidRPr="009B1E0E" w:rsidRDefault="00BE377D" w:rsidP="00BE377D">
      <w:pPr>
        <w:widowControl w:val="0"/>
        <w:tabs>
          <w:tab w:val="left" w:pos="1418"/>
        </w:tabs>
        <w:spacing w:before="480" w:after="480" w:line="480" w:lineRule="auto"/>
        <w:ind w:left="1418" w:hanging="851"/>
        <w:jc w:val="both"/>
        <w:rPr>
          <w:rFonts w:cs="Arial"/>
          <w:bCs/>
          <w:szCs w:val="22"/>
        </w:rPr>
      </w:pPr>
      <w:r w:rsidRPr="009B1E0E">
        <w:rPr>
          <w:rFonts w:cs="Arial"/>
          <w:bCs/>
          <w:szCs w:val="22"/>
        </w:rPr>
        <w:t>68.1</w:t>
      </w:r>
      <w:r w:rsidRPr="009B1E0E">
        <w:rPr>
          <w:rFonts w:cs="Arial"/>
          <w:bCs/>
          <w:szCs w:val="22"/>
        </w:rPr>
        <w:tab/>
      </w:r>
      <w:r w:rsidR="00912080" w:rsidRPr="009B1E0E">
        <w:rPr>
          <w:rFonts w:cs="Arial"/>
          <w:bCs/>
          <w:szCs w:val="22"/>
        </w:rPr>
        <w:t>ALI was subject to various funding agreements at the time.</w:t>
      </w:r>
      <w:r w:rsidR="004E586A" w:rsidRPr="009B1E0E">
        <w:rPr>
          <w:rFonts w:cs="Arial"/>
          <w:bCs/>
          <w:szCs w:val="22"/>
        </w:rPr>
        <w:t xml:space="preserve"> </w:t>
      </w:r>
      <w:r w:rsidR="00912080" w:rsidRPr="009B1E0E">
        <w:rPr>
          <w:rFonts w:cs="Arial"/>
          <w:bCs/>
          <w:szCs w:val="22"/>
        </w:rPr>
        <w:t>The agreements would have an impact on share value but the respondents have no knowledge of their whereabouts.</w:t>
      </w:r>
      <w:r w:rsidR="00DC5035" w:rsidRPr="009B1E0E">
        <w:rPr>
          <w:rFonts w:cs="Arial"/>
          <w:bCs/>
          <w:szCs w:val="22"/>
        </w:rPr>
        <w:t xml:space="preserve"> </w:t>
      </w:r>
    </w:p>
    <w:p w14:paraId="2564FCED" w14:textId="25E53B9A" w:rsidR="004E586A" w:rsidRPr="009B1E0E" w:rsidRDefault="00BE377D" w:rsidP="00BE377D">
      <w:pPr>
        <w:widowControl w:val="0"/>
        <w:tabs>
          <w:tab w:val="left" w:pos="1418"/>
        </w:tabs>
        <w:spacing w:before="480" w:after="480" w:line="480" w:lineRule="auto"/>
        <w:ind w:left="1418" w:hanging="851"/>
        <w:jc w:val="both"/>
        <w:rPr>
          <w:rFonts w:cs="Arial"/>
          <w:bCs/>
          <w:szCs w:val="22"/>
        </w:rPr>
      </w:pPr>
      <w:r w:rsidRPr="009B1E0E">
        <w:rPr>
          <w:rFonts w:cs="Arial"/>
          <w:bCs/>
          <w:szCs w:val="22"/>
        </w:rPr>
        <w:t>68.2</w:t>
      </w:r>
      <w:r w:rsidRPr="009B1E0E">
        <w:rPr>
          <w:rFonts w:cs="Arial"/>
          <w:bCs/>
          <w:szCs w:val="22"/>
        </w:rPr>
        <w:tab/>
      </w:r>
      <w:r w:rsidR="00DC5035" w:rsidRPr="009B1E0E">
        <w:rPr>
          <w:rFonts w:cs="Arial"/>
          <w:bCs/>
          <w:szCs w:val="22"/>
        </w:rPr>
        <w:t>There are also disputes between Ahmed and Ramano on how the liability of Special Purpose Vehicles ha</w:t>
      </w:r>
      <w:r w:rsidR="004E586A" w:rsidRPr="009B1E0E">
        <w:rPr>
          <w:rFonts w:cs="Arial"/>
          <w:bCs/>
          <w:szCs w:val="22"/>
        </w:rPr>
        <w:t>s</w:t>
      </w:r>
      <w:r w:rsidR="00DC5035" w:rsidRPr="009B1E0E">
        <w:rPr>
          <w:rFonts w:cs="Arial"/>
          <w:bCs/>
          <w:szCs w:val="22"/>
        </w:rPr>
        <w:t xml:space="preserve"> to be dealt with</w:t>
      </w:r>
      <w:r w:rsidR="00974B99" w:rsidRPr="009B1E0E">
        <w:rPr>
          <w:rFonts w:cs="Arial"/>
          <w:bCs/>
          <w:szCs w:val="22"/>
        </w:rPr>
        <w:t xml:space="preserve"> when analysing the financial information</w:t>
      </w:r>
      <w:r w:rsidR="00DC5035" w:rsidRPr="009B1E0E">
        <w:rPr>
          <w:rFonts w:cs="Arial"/>
          <w:bCs/>
          <w:szCs w:val="22"/>
        </w:rPr>
        <w:t xml:space="preserve">. </w:t>
      </w:r>
    </w:p>
    <w:p w14:paraId="7279B4C4" w14:textId="35660547" w:rsidR="004E586A" w:rsidRPr="009B1E0E" w:rsidRDefault="00BE377D" w:rsidP="00BE377D">
      <w:pPr>
        <w:widowControl w:val="0"/>
        <w:tabs>
          <w:tab w:val="left" w:pos="1418"/>
        </w:tabs>
        <w:spacing w:before="480" w:after="480" w:line="480" w:lineRule="auto"/>
        <w:ind w:left="1418" w:hanging="851"/>
        <w:jc w:val="both"/>
        <w:rPr>
          <w:rFonts w:cs="Arial"/>
          <w:bCs/>
          <w:szCs w:val="22"/>
        </w:rPr>
      </w:pPr>
      <w:r w:rsidRPr="009B1E0E">
        <w:rPr>
          <w:rFonts w:cs="Arial"/>
          <w:bCs/>
          <w:szCs w:val="22"/>
        </w:rPr>
        <w:t>68.3</w:t>
      </w:r>
      <w:r w:rsidRPr="009B1E0E">
        <w:rPr>
          <w:rFonts w:cs="Arial"/>
          <w:bCs/>
          <w:szCs w:val="22"/>
        </w:rPr>
        <w:tab/>
      </w:r>
      <w:r w:rsidR="004E586A" w:rsidRPr="009B1E0E">
        <w:rPr>
          <w:rFonts w:cs="Arial"/>
          <w:bCs/>
          <w:szCs w:val="22"/>
        </w:rPr>
        <w:t xml:space="preserve">Ahmed and </w:t>
      </w:r>
      <w:r w:rsidR="003D5B36" w:rsidRPr="009B1E0E">
        <w:rPr>
          <w:rFonts w:cs="Arial"/>
          <w:bCs/>
          <w:szCs w:val="22"/>
        </w:rPr>
        <w:t>Ramano</w:t>
      </w:r>
      <w:r w:rsidR="004E586A" w:rsidRPr="009B1E0E">
        <w:rPr>
          <w:rFonts w:cs="Arial"/>
          <w:bCs/>
          <w:szCs w:val="22"/>
        </w:rPr>
        <w:t xml:space="preserve"> differ fundamentally about the interpretation of financial statements and the valuation of the shares.</w:t>
      </w:r>
      <w:r w:rsidR="00C26D37" w:rsidRPr="009B1E0E">
        <w:rPr>
          <w:rFonts w:cs="Arial"/>
          <w:bCs/>
          <w:szCs w:val="22"/>
        </w:rPr>
        <w:t xml:space="preserve"> </w:t>
      </w:r>
      <w:r w:rsidR="00566857" w:rsidRPr="009B1E0E">
        <w:rPr>
          <w:rFonts w:cs="Arial"/>
          <w:bCs/>
          <w:szCs w:val="22"/>
        </w:rPr>
        <w:t xml:space="preserve">Ramano alleges that the shares were allocated at par value because the net asset value was below par and Ahmed contends that the shares were allocated at a discount. </w:t>
      </w:r>
      <w:r w:rsidR="00C26D37" w:rsidRPr="009B1E0E">
        <w:rPr>
          <w:rFonts w:cs="Arial"/>
          <w:bCs/>
          <w:szCs w:val="22"/>
        </w:rPr>
        <w:t xml:space="preserve">The calculations done </w:t>
      </w:r>
      <w:r w:rsidR="00566857" w:rsidRPr="009B1E0E">
        <w:rPr>
          <w:rFonts w:cs="Arial"/>
          <w:bCs/>
          <w:szCs w:val="22"/>
        </w:rPr>
        <w:t xml:space="preserve">and the interpretation of the available information </w:t>
      </w:r>
      <w:r w:rsidR="00C26D37" w:rsidRPr="009B1E0E">
        <w:rPr>
          <w:rFonts w:cs="Arial"/>
          <w:bCs/>
          <w:szCs w:val="22"/>
        </w:rPr>
        <w:t>are dispute</w:t>
      </w:r>
      <w:r w:rsidR="00566857" w:rsidRPr="009B1E0E">
        <w:rPr>
          <w:rFonts w:cs="Arial"/>
          <w:bCs/>
          <w:szCs w:val="22"/>
        </w:rPr>
        <w:t>d</w:t>
      </w:r>
      <w:r w:rsidR="00C26D37" w:rsidRPr="009B1E0E">
        <w:rPr>
          <w:rFonts w:cs="Arial"/>
          <w:bCs/>
          <w:szCs w:val="22"/>
        </w:rPr>
        <w:t>.</w:t>
      </w:r>
    </w:p>
    <w:p w14:paraId="235B82E0" w14:textId="4484CAD4" w:rsidR="00031AC8"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lastRenderedPageBreak/>
        <w:t>[69]</w:t>
      </w:r>
      <w:r w:rsidRPr="009B1E0E">
        <w:rPr>
          <w:rFonts w:cs="Arial"/>
          <w:bCs/>
          <w:szCs w:val="22"/>
        </w:rPr>
        <w:tab/>
      </w:r>
      <w:r w:rsidR="004E586A" w:rsidRPr="009B1E0E">
        <w:rPr>
          <w:rFonts w:cs="Arial"/>
          <w:bCs/>
          <w:szCs w:val="22"/>
        </w:rPr>
        <w:t xml:space="preserve">There is </w:t>
      </w:r>
      <w:r w:rsidR="00566857" w:rsidRPr="009B1E0E">
        <w:rPr>
          <w:rFonts w:cs="Arial"/>
          <w:bCs/>
          <w:szCs w:val="22"/>
        </w:rPr>
        <w:t xml:space="preserve">however </w:t>
      </w:r>
      <w:r w:rsidR="004E586A" w:rsidRPr="009B1E0E">
        <w:rPr>
          <w:rFonts w:cs="Arial"/>
          <w:bCs/>
          <w:szCs w:val="22"/>
        </w:rPr>
        <w:t>no evidence of any determination by the auditors of the company of the “</w:t>
      </w:r>
      <w:r w:rsidR="004E586A" w:rsidRPr="009B1E0E">
        <w:rPr>
          <w:rFonts w:cs="Arial"/>
          <w:bCs/>
          <w:i/>
          <w:iCs/>
          <w:szCs w:val="22"/>
        </w:rPr>
        <w:t xml:space="preserve">full diluted net asset value per ordinary and “N” ordinary shares (after the allotment and issue of all of the ordinary and “N” ordinary shares contemplated by this specific authority) …. as at the latest practical date” </w:t>
      </w:r>
      <w:r w:rsidR="00EE09A5" w:rsidRPr="009B1E0E">
        <w:rPr>
          <w:rFonts w:cs="Arial"/>
          <w:bCs/>
          <w:szCs w:val="22"/>
        </w:rPr>
        <w:t xml:space="preserve">whenever that date is. </w:t>
      </w:r>
    </w:p>
    <w:p w14:paraId="21368317" w14:textId="23B727F6" w:rsidR="00566857"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[70]</w:t>
      </w:r>
      <w:r w:rsidRPr="009B1E0E">
        <w:rPr>
          <w:rFonts w:cs="Arial"/>
          <w:bCs/>
          <w:szCs w:val="22"/>
        </w:rPr>
        <w:tab/>
      </w:r>
      <w:r w:rsidR="00EE09A5" w:rsidRPr="009B1E0E">
        <w:rPr>
          <w:rFonts w:cs="Arial"/>
          <w:bCs/>
          <w:szCs w:val="22"/>
        </w:rPr>
        <w:t xml:space="preserve">It is also not known whether such information served </w:t>
      </w:r>
      <w:r w:rsidR="00974B99" w:rsidRPr="009B1E0E">
        <w:rPr>
          <w:rFonts w:cs="Arial"/>
          <w:bCs/>
          <w:szCs w:val="22"/>
        </w:rPr>
        <w:t>before</w:t>
      </w:r>
      <w:r w:rsidR="00EE09A5" w:rsidRPr="009B1E0E">
        <w:rPr>
          <w:rFonts w:cs="Arial"/>
          <w:bCs/>
          <w:szCs w:val="22"/>
        </w:rPr>
        <w:t xml:space="preserve"> the directors or the shareholders in general meeting at any relevant time. Ramano has no recollection of such a valuation but maintains that the shares were issued in terms of such a valuation.</w:t>
      </w:r>
      <w:r w:rsidR="00731E5B" w:rsidRPr="009B1E0E">
        <w:rPr>
          <w:rFonts w:cs="Arial"/>
          <w:bCs/>
          <w:szCs w:val="22"/>
        </w:rPr>
        <w:t xml:space="preserve"> It appears from the minutes of a board meeting held on 7 December 2000 that a report </w:t>
      </w:r>
      <w:r w:rsidR="00F9179A" w:rsidRPr="009B1E0E">
        <w:rPr>
          <w:rFonts w:cs="Arial"/>
          <w:bCs/>
          <w:szCs w:val="22"/>
        </w:rPr>
        <w:t xml:space="preserve">of some kind </w:t>
      </w:r>
      <w:r w:rsidR="00731E5B" w:rsidRPr="009B1E0E">
        <w:rPr>
          <w:rFonts w:cs="Arial"/>
          <w:bCs/>
          <w:szCs w:val="22"/>
        </w:rPr>
        <w:t>did exist</w:t>
      </w:r>
      <w:r w:rsidR="00731E5B" w:rsidRPr="009B1E0E">
        <w:rPr>
          <w:rStyle w:val="FootnoteReference"/>
          <w:rFonts w:cs="Arial"/>
          <w:bCs/>
          <w:szCs w:val="22"/>
        </w:rPr>
        <w:footnoteReference w:id="55"/>
      </w:r>
      <w:r w:rsidR="00942868" w:rsidRPr="009B1E0E">
        <w:rPr>
          <w:rFonts w:cs="Arial"/>
          <w:bCs/>
          <w:szCs w:val="22"/>
        </w:rPr>
        <w:t xml:space="preserve"> in 2000</w:t>
      </w:r>
      <w:r w:rsidR="00C476FB" w:rsidRPr="009B1E0E">
        <w:rPr>
          <w:rFonts w:cs="Arial"/>
          <w:bCs/>
          <w:szCs w:val="22"/>
        </w:rPr>
        <w:t xml:space="preserve"> but it is not now available to the parties</w:t>
      </w:r>
      <w:r w:rsidR="00974B99" w:rsidRPr="009B1E0E">
        <w:rPr>
          <w:rFonts w:cs="Arial"/>
          <w:bCs/>
          <w:szCs w:val="22"/>
        </w:rPr>
        <w:t xml:space="preserve"> and its contents are not common cause</w:t>
      </w:r>
      <w:r w:rsidR="00C476FB" w:rsidRPr="009B1E0E">
        <w:rPr>
          <w:rFonts w:cs="Arial"/>
          <w:bCs/>
          <w:szCs w:val="22"/>
        </w:rPr>
        <w:t>.</w:t>
      </w:r>
      <w:r w:rsidR="00566857" w:rsidRPr="009B1E0E">
        <w:rPr>
          <w:rFonts w:cs="Arial"/>
          <w:bCs/>
          <w:szCs w:val="22"/>
        </w:rPr>
        <w:t xml:space="preserve"> The dispute surrounding the determination by the auditors is three-fold – whether it existed at all and if it did, what it said and when the auditors’ determination was done.</w:t>
      </w:r>
    </w:p>
    <w:p w14:paraId="6601D8DB" w14:textId="246A792B" w:rsidR="00E03F0B"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[71]</w:t>
      </w:r>
      <w:r w:rsidRPr="009B1E0E">
        <w:rPr>
          <w:rFonts w:cs="Arial"/>
          <w:bCs/>
          <w:szCs w:val="22"/>
        </w:rPr>
        <w:tab/>
      </w:r>
      <w:r w:rsidR="00E03F0B" w:rsidRPr="009B1E0E">
        <w:rPr>
          <w:rFonts w:cs="Arial"/>
          <w:bCs/>
          <w:szCs w:val="22"/>
        </w:rPr>
        <w:t>Ramano concedes that there might have been non-compliance with the legislation at the time but states that it was inadvertent.</w:t>
      </w:r>
    </w:p>
    <w:p w14:paraId="151E873D" w14:textId="1C41D3E3" w:rsidR="006E0B52"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[72]</w:t>
      </w:r>
      <w:r w:rsidRPr="009B1E0E">
        <w:rPr>
          <w:rFonts w:cs="Arial"/>
          <w:bCs/>
          <w:szCs w:val="22"/>
        </w:rPr>
        <w:tab/>
      </w:r>
      <w:r w:rsidR="00DC5035" w:rsidRPr="009B1E0E">
        <w:rPr>
          <w:rFonts w:cs="Arial"/>
          <w:bCs/>
          <w:szCs w:val="22"/>
        </w:rPr>
        <w:t>These</w:t>
      </w:r>
      <w:r w:rsidR="00731B87" w:rsidRPr="009B1E0E">
        <w:rPr>
          <w:rFonts w:cs="Arial"/>
          <w:bCs/>
          <w:szCs w:val="22"/>
        </w:rPr>
        <w:t xml:space="preserve"> factual</w:t>
      </w:r>
      <w:r w:rsidR="00DC5035" w:rsidRPr="009B1E0E">
        <w:rPr>
          <w:rFonts w:cs="Arial"/>
          <w:bCs/>
          <w:szCs w:val="22"/>
        </w:rPr>
        <w:t xml:space="preserve"> disputes go to the root of the counter – application, namely the value of the shares during the period 1998 to 2000</w:t>
      </w:r>
      <w:r w:rsidR="00E61F20" w:rsidRPr="009B1E0E">
        <w:rPr>
          <w:rFonts w:cs="Arial"/>
          <w:bCs/>
          <w:szCs w:val="22"/>
        </w:rPr>
        <w:t xml:space="preserve"> and whether the value was determined by “</w:t>
      </w:r>
      <w:r w:rsidR="00E61F20" w:rsidRPr="009B1E0E">
        <w:rPr>
          <w:rFonts w:cs="Arial"/>
          <w:bCs/>
          <w:i/>
          <w:iCs/>
          <w:szCs w:val="22"/>
        </w:rPr>
        <w:t xml:space="preserve">auditors of the company as at the latest practical date prior to the allotment and issue” </w:t>
      </w:r>
      <w:r w:rsidR="00E61F20" w:rsidRPr="009B1E0E">
        <w:rPr>
          <w:rFonts w:cs="Arial"/>
          <w:bCs/>
          <w:szCs w:val="22"/>
        </w:rPr>
        <w:t>of the shares</w:t>
      </w:r>
      <w:r w:rsidR="00DC5035" w:rsidRPr="009B1E0E">
        <w:rPr>
          <w:rFonts w:cs="Arial"/>
          <w:bCs/>
          <w:szCs w:val="22"/>
        </w:rPr>
        <w:t>. Ahmed is an accountant and both Ahmed and Ramano are by all accounts competent and experienced businesspeople, but no independent expert evidence was presented by any party relating to interpretation and evaluation of the financial statements that are available</w:t>
      </w:r>
      <w:r w:rsidR="00731B87" w:rsidRPr="009B1E0E">
        <w:rPr>
          <w:rFonts w:cs="Arial"/>
          <w:bCs/>
          <w:szCs w:val="22"/>
        </w:rPr>
        <w:t xml:space="preserve">, and </w:t>
      </w:r>
      <w:r w:rsidR="00F144E0" w:rsidRPr="009B1E0E">
        <w:rPr>
          <w:rFonts w:cs="Arial"/>
          <w:bCs/>
          <w:szCs w:val="22"/>
        </w:rPr>
        <w:t xml:space="preserve">determinations by auditors pursuant to resolutions </w:t>
      </w:r>
      <w:r w:rsidR="00F9179A" w:rsidRPr="009B1E0E">
        <w:rPr>
          <w:rFonts w:cs="Arial"/>
          <w:bCs/>
          <w:szCs w:val="22"/>
        </w:rPr>
        <w:t xml:space="preserve">either do not exist or </w:t>
      </w:r>
      <w:r w:rsidR="00942868" w:rsidRPr="009B1E0E">
        <w:rPr>
          <w:rFonts w:cs="Arial"/>
          <w:bCs/>
          <w:szCs w:val="22"/>
        </w:rPr>
        <w:t>are</w:t>
      </w:r>
      <w:r w:rsidR="00731B87" w:rsidRPr="009B1E0E">
        <w:rPr>
          <w:rFonts w:cs="Arial"/>
          <w:bCs/>
          <w:szCs w:val="22"/>
        </w:rPr>
        <w:t xml:space="preserve"> no longer to hand</w:t>
      </w:r>
      <w:r w:rsidR="00F144E0" w:rsidRPr="009B1E0E">
        <w:rPr>
          <w:rFonts w:cs="Arial"/>
          <w:bCs/>
          <w:szCs w:val="22"/>
        </w:rPr>
        <w:t>.</w:t>
      </w:r>
    </w:p>
    <w:p w14:paraId="4B99D27A" w14:textId="446CC802" w:rsidR="00E374D6"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[73]</w:t>
      </w:r>
      <w:r w:rsidRPr="009B1E0E">
        <w:rPr>
          <w:rFonts w:cs="Arial"/>
          <w:bCs/>
          <w:szCs w:val="22"/>
        </w:rPr>
        <w:tab/>
      </w:r>
      <w:r w:rsidR="006E0B52" w:rsidRPr="009B1E0E">
        <w:rPr>
          <w:rFonts w:cs="Arial"/>
          <w:bCs/>
          <w:szCs w:val="22"/>
        </w:rPr>
        <w:t xml:space="preserve">If the directors believed that they were entitled to delay the share issue without a </w:t>
      </w:r>
      <w:r w:rsidR="006E0B52" w:rsidRPr="009B1E0E">
        <w:rPr>
          <w:rFonts w:cs="Arial"/>
          <w:bCs/>
          <w:szCs w:val="22"/>
        </w:rPr>
        <w:lastRenderedPageBreak/>
        <w:t xml:space="preserve">further valuation post-1998 and </w:t>
      </w:r>
      <w:r w:rsidR="00F9179A" w:rsidRPr="009B1E0E">
        <w:rPr>
          <w:rFonts w:cs="Arial"/>
          <w:bCs/>
          <w:szCs w:val="22"/>
        </w:rPr>
        <w:t>thereby</w:t>
      </w:r>
      <w:r w:rsidR="006E0B52" w:rsidRPr="009B1E0E">
        <w:rPr>
          <w:rFonts w:cs="Arial"/>
          <w:bCs/>
          <w:szCs w:val="22"/>
        </w:rPr>
        <w:t xml:space="preserve"> to obtain shares at the lowest possible price due to the fluctuations, the question of the value of the shares as determined at the relevant time and reported on by auditors still remains unanswered.</w:t>
      </w:r>
    </w:p>
    <w:p w14:paraId="7C13F108" w14:textId="67B2762F" w:rsidR="00C26D37"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[74]</w:t>
      </w:r>
      <w:r w:rsidRPr="009B1E0E">
        <w:rPr>
          <w:rFonts w:cs="Arial"/>
          <w:bCs/>
          <w:szCs w:val="22"/>
        </w:rPr>
        <w:tab/>
      </w:r>
      <w:r w:rsidR="00C26D37" w:rsidRPr="009B1E0E">
        <w:rPr>
          <w:rFonts w:cs="Arial"/>
          <w:bCs/>
          <w:szCs w:val="22"/>
        </w:rPr>
        <w:t xml:space="preserve">I find it impossible to draw the conclusion on the papers that the whole board of ALI </w:t>
      </w:r>
      <w:r w:rsidR="00C476FB" w:rsidRPr="009B1E0E">
        <w:rPr>
          <w:rFonts w:cs="Arial"/>
          <w:bCs/>
          <w:szCs w:val="22"/>
        </w:rPr>
        <w:t>(as then constituted) acted</w:t>
      </w:r>
      <w:r w:rsidR="00427E39" w:rsidRPr="009B1E0E">
        <w:rPr>
          <w:rFonts w:cs="Arial"/>
          <w:bCs/>
          <w:szCs w:val="22"/>
        </w:rPr>
        <w:t xml:space="preserve"> dishonestly and</w:t>
      </w:r>
      <w:r w:rsidR="00C476FB" w:rsidRPr="009B1E0E">
        <w:rPr>
          <w:rFonts w:cs="Arial"/>
          <w:bCs/>
          <w:szCs w:val="22"/>
        </w:rPr>
        <w:t xml:space="preserve"> in concert to mislead the shareholders</w:t>
      </w:r>
      <w:r w:rsidR="00427E39" w:rsidRPr="009B1E0E">
        <w:rPr>
          <w:rFonts w:cs="Arial"/>
          <w:bCs/>
          <w:szCs w:val="22"/>
        </w:rPr>
        <w:t>,</w:t>
      </w:r>
      <w:r w:rsidR="00C476FB" w:rsidRPr="009B1E0E">
        <w:rPr>
          <w:rFonts w:cs="Arial"/>
          <w:bCs/>
          <w:szCs w:val="22"/>
        </w:rPr>
        <w:t xml:space="preserve"> and that they </w:t>
      </w:r>
      <w:r w:rsidR="00C26D37" w:rsidRPr="009B1E0E">
        <w:rPr>
          <w:rFonts w:cs="Arial"/>
          <w:bCs/>
          <w:szCs w:val="22"/>
        </w:rPr>
        <w:t xml:space="preserve">managed to have resolutions passed at the annual general meetings in 1998 </w:t>
      </w:r>
      <w:r w:rsidR="00C476FB" w:rsidRPr="009B1E0E">
        <w:rPr>
          <w:rFonts w:cs="Arial"/>
          <w:bCs/>
          <w:szCs w:val="22"/>
        </w:rPr>
        <w:t xml:space="preserve">and 2000 </w:t>
      </w:r>
      <w:r w:rsidR="00C26D37" w:rsidRPr="009B1E0E">
        <w:rPr>
          <w:rFonts w:cs="Arial"/>
          <w:bCs/>
          <w:szCs w:val="22"/>
        </w:rPr>
        <w:t>by making misrepresentations to the shareholders</w:t>
      </w:r>
      <w:r w:rsidR="00F9179A" w:rsidRPr="009B1E0E">
        <w:rPr>
          <w:rFonts w:cs="Arial"/>
          <w:bCs/>
          <w:szCs w:val="22"/>
        </w:rPr>
        <w:t xml:space="preserve"> and then allocating shares to themselves without complying with the requirements imposed by the relevant resolutions</w:t>
      </w:r>
      <w:r w:rsidR="00C476FB" w:rsidRPr="009B1E0E">
        <w:rPr>
          <w:rFonts w:cs="Arial"/>
          <w:bCs/>
          <w:szCs w:val="22"/>
        </w:rPr>
        <w:t>.</w:t>
      </w:r>
    </w:p>
    <w:p w14:paraId="114A4437" w14:textId="70A43C84" w:rsidR="004B6A1A"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[75]</w:t>
      </w:r>
      <w:r w:rsidRPr="009B1E0E">
        <w:rPr>
          <w:rFonts w:cs="Arial"/>
          <w:bCs/>
          <w:szCs w:val="22"/>
        </w:rPr>
        <w:tab/>
      </w:r>
      <w:r w:rsidR="00E374D6" w:rsidRPr="009B1E0E">
        <w:rPr>
          <w:rFonts w:cs="Arial"/>
          <w:bCs/>
          <w:szCs w:val="22"/>
        </w:rPr>
        <w:t xml:space="preserve">It is not the case for the ALI directors who were shareholders and directors during the restructuring </w:t>
      </w:r>
      <w:r w:rsidR="00F0670B" w:rsidRPr="009B1E0E">
        <w:rPr>
          <w:rFonts w:cs="Arial"/>
          <w:bCs/>
          <w:szCs w:val="22"/>
        </w:rPr>
        <w:t xml:space="preserve">and </w:t>
      </w:r>
      <w:r w:rsidR="00D23169" w:rsidRPr="009B1E0E">
        <w:rPr>
          <w:rFonts w:cs="Arial"/>
          <w:bCs/>
          <w:szCs w:val="22"/>
        </w:rPr>
        <w:t xml:space="preserve">who are among the ‘counter – applicants’ </w:t>
      </w:r>
      <w:r w:rsidR="00E374D6" w:rsidRPr="009B1E0E">
        <w:rPr>
          <w:rFonts w:cs="Arial"/>
          <w:bCs/>
          <w:szCs w:val="22"/>
        </w:rPr>
        <w:t>that they were acting in bad faith with the intention of causing harm to ALI during 1998 to 2000 when the events that gave rise to the counter – application took place.</w:t>
      </w:r>
      <w:r w:rsidR="003D20AC" w:rsidRPr="009B1E0E">
        <w:rPr>
          <w:rFonts w:cs="Arial"/>
          <w:bCs/>
          <w:szCs w:val="22"/>
        </w:rPr>
        <w:t xml:space="preserve"> The case for the ALI directors is that they were quite unaware of anything untoward until they </w:t>
      </w:r>
      <w:r w:rsidR="004E586A" w:rsidRPr="009B1E0E">
        <w:rPr>
          <w:rFonts w:cs="Arial"/>
          <w:bCs/>
          <w:szCs w:val="22"/>
        </w:rPr>
        <w:t>read the report compiled by Ahmed.</w:t>
      </w:r>
      <w:r w:rsidR="00427E39" w:rsidRPr="009B1E0E">
        <w:rPr>
          <w:rFonts w:cs="Arial"/>
          <w:bCs/>
          <w:szCs w:val="22"/>
        </w:rPr>
        <w:t xml:space="preserve"> It is </w:t>
      </w:r>
      <w:r w:rsidR="00D23169" w:rsidRPr="009B1E0E">
        <w:rPr>
          <w:rFonts w:cs="Arial"/>
          <w:bCs/>
          <w:szCs w:val="22"/>
        </w:rPr>
        <w:t xml:space="preserve">also </w:t>
      </w:r>
      <w:r w:rsidR="00427E39" w:rsidRPr="009B1E0E">
        <w:rPr>
          <w:rFonts w:cs="Arial"/>
          <w:bCs/>
          <w:szCs w:val="22"/>
        </w:rPr>
        <w:t xml:space="preserve">not their case that they were at all relevant times duped by Ramano </w:t>
      </w:r>
      <w:r w:rsidR="00A13F46" w:rsidRPr="009B1E0E">
        <w:rPr>
          <w:rFonts w:cs="Arial"/>
          <w:bCs/>
          <w:szCs w:val="22"/>
        </w:rPr>
        <w:t>or unaware of the true facts when they attended board meetings and annual general meetings.</w:t>
      </w:r>
      <w:r w:rsidR="000B1DD4" w:rsidRPr="009B1E0E">
        <w:rPr>
          <w:rFonts w:cs="Arial"/>
          <w:bCs/>
          <w:szCs w:val="22"/>
        </w:rPr>
        <w:t xml:space="preserve"> </w:t>
      </w:r>
      <w:r w:rsidR="00F0670B" w:rsidRPr="009B1E0E">
        <w:rPr>
          <w:rFonts w:cs="Arial"/>
          <w:bCs/>
          <w:szCs w:val="22"/>
        </w:rPr>
        <w:t xml:space="preserve">There are simply no </w:t>
      </w:r>
      <w:r w:rsidR="00F0670B" w:rsidRPr="009B1E0E">
        <w:rPr>
          <w:rFonts w:cs="Arial"/>
          <w:bCs/>
          <w:i/>
          <w:iCs/>
          <w:szCs w:val="22"/>
        </w:rPr>
        <w:t>‘mea culpa’</w:t>
      </w:r>
      <w:r w:rsidR="00F0670B" w:rsidRPr="009B1E0E">
        <w:rPr>
          <w:rFonts w:cs="Arial"/>
          <w:bCs/>
          <w:szCs w:val="22"/>
        </w:rPr>
        <w:t xml:space="preserve"> averments</w:t>
      </w:r>
      <w:r w:rsidR="006E0B52" w:rsidRPr="009B1E0E">
        <w:rPr>
          <w:rFonts w:cs="Arial"/>
          <w:bCs/>
          <w:szCs w:val="22"/>
        </w:rPr>
        <w:t xml:space="preserve"> in the affidavits by the ALI directors</w:t>
      </w:r>
      <w:r w:rsidR="00F0670B" w:rsidRPr="009B1E0E">
        <w:rPr>
          <w:rFonts w:cs="Arial"/>
          <w:bCs/>
          <w:szCs w:val="22"/>
        </w:rPr>
        <w:t xml:space="preserve">. </w:t>
      </w:r>
    </w:p>
    <w:p w14:paraId="504BF312" w14:textId="7FFEE500" w:rsidR="00F0670B"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[76]</w:t>
      </w:r>
      <w:r w:rsidRPr="009B1E0E">
        <w:rPr>
          <w:rFonts w:cs="Arial"/>
          <w:bCs/>
          <w:szCs w:val="22"/>
        </w:rPr>
        <w:tab/>
      </w:r>
      <w:r w:rsidR="00E61F20" w:rsidRPr="009B1E0E">
        <w:rPr>
          <w:rFonts w:cs="Arial"/>
          <w:bCs/>
          <w:szCs w:val="22"/>
        </w:rPr>
        <w:t xml:space="preserve">The reasonable inference is that when the directors acquired their shares in 2000, </w:t>
      </w:r>
      <w:r w:rsidR="004B6A1A" w:rsidRPr="009B1E0E">
        <w:rPr>
          <w:rFonts w:cs="Arial"/>
          <w:bCs/>
          <w:szCs w:val="22"/>
        </w:rPr>
        <w:t>the shares had to the</w:t>
      </w:r>
      <w:r w:rsidR="00F9179A" w:rsidRPr="009B1E0E">
        <w:rPr>
          <w:rFonts w:cs="Arial"/>
          <w:bCs/>
          <w:szCs w:val="22"/>
        </w:rPr>
        <w:t>ir</w:t>
      </w:r>
      <w:r w:rsidR="004B6A1A" w:rsidRPr="009B1E0E">
        <w:rPr>
          <w:rFonts w:cs="Arial"/>
          <w:bCs/>
          <w:szCs w:val="22"/>
        </w:rPr>
        <w:t xml:space="preserve"> knowledge been v</w:t>
      </w:r>
      <w:r w:rsidR="00E61F20" w:rsidRPr="009B1E0E">
        <w:rPr>
          <w:rFonts w:cs="Arial"/>
          <w:bCs/>
          <w:szCs w:val="22"/>
        </w:rPr>
        <w:t>alued by auditors at the latest practical date</w:t>
      </w:r>
      <w:r w:rsidR="00E61F20" w:rsidRPr="009B1E0E">
        <w:rPr>
          <w:rFonts w:cs="Arial"/>
          <w:bCs/>
          <w:i/>
          <w:iCs/>
          <w:szCs w:val="22"/>
        </w:rPr>
        <w:t xml:space="preserve"> </w:t>
      </w:r>
      <w:r w:rsidR="00E61F20" w:rsidRPr="009B1E0E">
        <w:rPr>
          <w:rFonts w:cs="Arial"/>
          <w:bCs/>
          <w:szCs w:val="22"/>
        </w:rPr>
        <w:t>as required</w:t>
      </w:r>
      <w:r w:rsidR="004B6A1A" w:rsidRPr="009B1E0E">
        <w:rPr>
          <w:rFonts w:cs="Arial"/>
          <w:bCs/>
          <w:szCs w:val="22"/>
        </w:rPr>
        <w:t xml:space="preserve"> and that they were acquiring their shares at the price determined by the annual general meeting</w:t>
      </w:r>
      <w:r w:rsidR="00E61F20" w:rsidRPr="009B1E0E">
        <w:rPr>
          <w:rFonts w:cs="Arial"/>
          <w:bCs/>
          <w:szCs w:val="22"/>
        </w:rPr>
        <w:t xml:space="preserve">. </w:t>
      </w:r>
      <w:r w:rsidR="00F9179A" w:rsidRPr="009B1E0E">
        <w:rPr>
          <w:rFonts w:cs="Arial"/>
          <w:bCs/>
          <w:szCs w:val="22"/>
        </w:rPr>
        <w:t xml:space="preserve">If they were wrong in so thinking they made a mistake but one cannot </w:t>
      </w:r>
      <w:r w:rsidR="00E61F20" w:rsidRPr="009B1E0E">
        <w:rPr>
          <w:rFonts w:cs="Arial"/>
          <w:bCs/>
          <w:szCs w:val="22"/>
        </w:rPr>
        <w:t>impute fraud, recklessness or negligence to all the directors who were allocated shares</w:t>
      </w:r>
      <w:r w:rsidR="00F9179A" w:rsidRPr="009B1E0E">
        <w:rPr>
          <w:rFonts w:cs="Arial"/>
          <w:bCs/>
          <w:szCs w:val="22"/>
        </w:rPr>
        <w:t>. S</w:t>
      </w:r>
      <w:r w:rsidR="00E61F20" w:rsidRPr="009B1E0E">
        <w:rPr>
          <w:rFonts w:cs="Arial"/>
          <w:bCs/>
          <w:szCs w:val="22"/>
        </w:rPr>
        <w:t xml:space="preserve">uch a conclusion is not justified by </w:t>
      </w:r>
      <w:r w:rsidR="004B6A1A" w:rsidRPr="009B1E0E">
        <w:rPr>
          <w:rFonts w:cs="Arial"/>
          <w:bCs/>
          <w:szCs w:val="22"/>
        </w:rPr>
        <w:t>the</w:t>
      </w:r>
      <w:r w:rsidR="00E61F20" w:rsidRPr="009B1E0E">
        <w:rPr>
          <w:rFonts w:cs="Arial"/>
          <w:bCs/>
          <w:szCs w:val="22"/>
        </w:rPr>
        <w:t xml:space="preserve"> evidence.</w:t>
      </w:r>
    </w:p>
    <w:p w14:paraId="612BE8A5" w14:textId="33CAA3E9" w:rsidR="00912080"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lastRenderedPageBreak/>
        <w:t>[77]</w:t>
      </w:r>
      <w:r w:rsidRPr="009B1E0E">
        <w:rPr>
          <w:rFonts w:cs="Arial"/>
          <w:bCs/>
          <w:szCs w:val="22"/>
        </w:rPr>
        <w:tab/>
      </w:r>
      <w:r w:rsidR="000B1DD4" w:rsidRPr="009B1E0E">
        <w:rPr>
          <w:rFonts w:cs="Arial"/>
          <w:bCs/>
          <w:szCs w:val="22"/>
        </w:rPr>
        <w:t>The</w:t>
      </w:r>
      <w:r w:rsidR="00E61F20" w:rsidRPr="009B1E0E">
        <w:rPr>
          <w:rFonts w:cs="Arial"/>
          <w:bCs/>
          <w:szCs w:val="22"/>
        </w:rPr>
        <w:t xml:space="preserve"> respondents</w:t>
      </w:r>
      <w:r w:rsidR="000B1DD4" w:rsidRPr="009B1E0E">
        <w:rPr>
          <w:rFonts w:cs="Arial"/>
          <w:bCs/>
          <w:szCs w:val="22"/>
        </w:rPr>
        <w:t xml:space="preserve"> likewise do not dispute the averments made by Ramano of clerical and administrative errors at the time.</w:t>
      </w:r>
    </w:p>
    <w:p w14:paraId="1A43B863" w14:textId="7247490E" w:rsidR="00DD004A"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[78]</w:t>
      </w:r>
      <w:r w:rsidRPr="009B1E0E">
        <w:rPr>
          <w:rFonts w:cs="Arial"/>
          <w:bCs/>
          <w:szCs w:val="22"/>
        </w:rPr>
        <w:tab/>
      </w:r>
      <w:r w:rsidR="00A52DE3" w:rsidRPr="009B1E0E">
        <w:rPr>
          <w:rFonts w:cs="Arial"/>
          <w:bCs/>
          <w:szCs w:val="22"/>
        </w:rPr>
        <w:t xml:space="preserve">What is clear however is that there is no evidence of the determination of the </w:t>
      </w:r>
      <w:r w:rsidR="00A4037E" w:rsidRPr="009B1E0E">
        <w:rPr>
          <w:rFonts w:cs="Arial"/>
          <w:bCs/>
          <w:szCs w:val="22"/>
        </w:rPr>
        <w:t xml:space="preserve">full diluted net asset value as determined by auditors at any time and I conclude that the share issue was invalid. </w:t>
      </w:r>
      <w:r w:rsidR="00DC5035" w:rsidRPr="009B1E0E">
        <w:rPr>
          <w:rFonts w:cs="Arial"/>
          <w:bCs/>
          <w:szCs w:val="22"/>
        </w:rPr>
        <w:t>The applicants dispute</w:t>
      </w:r>
      <w:r w:rsidR="00442F7B" w:rsidRPr="009B1E0E">
        <w:rPr>
          <w:rFonts w:cs="Arial"/>
          <w:bCs/>
          <w:szCs w:val="22"/>
        </w:rPr>
        <w:t>d</w:t>
      </w:r>
      <w:r w:rsidR="00DC5035" w:rsidRPr="009B1E0E">
        <w:rPr>
          <w:rFonts w:cs="Arial"/>
          <w:bCs/>
          <w:szCs w:val="22"/>
        </w:rPr>
        <w:t xml:space="preserve"> the relief sought by the respondents and also brought a conditional counter – application to the counter – application in terms of section 97 of the Companies Act of 1973. </w:t>
      </w:r>
      <w:r w:rsidR="00442F7B" w:rsidRPr="009B1E0E">
        <w:rPr>
          <w:rFonts w:cs="Arial"/>
          <w:bCs/>
          <w:szCs w:val="22"/>
        </w:rPr>
        <w:t xml:space="preserve">For the reasons set out below I am of the view, on the </w:t>
      </w:r>
      <w:r w:rsidR="00E03F0B" w:rsidRPr="009B1E0E">
        <w:rPr>
          <w:rFonts w:cs="Arial"/>
          <w:bCs/>
          <w:szCs w:val="22"/>
        </w:rPr>
        <w:t>basis</w:t>
      </w:r>
      <w:r w:rsidR="00442F7B" w:rsidRPr="009B1E0E">
        <w:rPr>
          <w:rFonts w:cs="Arial"/>
          <w:bCs/>
          <w:szCs w:val="22"/>
        </w:rPr>
        <w:t xml:space="preserve"> that the share allocation to the directors was invalid because there was no determination by the auditors of the diluted net asset value and that the net asset value was indeed higher than par, that </w:t>
      </w:r>
      <w:r w:rsidR="00B7533B" w:rsidRPr="009B1E0E">
        <w:rPr>
          <w:rFonts w:cs="Arial"/>
          <w:bCs/>
          <w:szCs w:val="22"/>
        </w:rPr>
        <w:t xml:space="preserve">it would be </w:t>
      </w:r>
      <w:r w:rsidR="007219BD" w:rsidRPr="009B1E0E">
        <w:rPr>
          <w:rFonts w:cs="Arial"/>
          <w:bCs/>
          <w:szCs w:val="22"/>
        </w:rPr>
        <w:t>just and equitable to grant</w:t>
      </w:r>
      <w:r w:rsidR="00B7533B" w:rsidRPr="009B1E0E">
        <w:rPr>
          <w:rFonts w:cs="Arial"/>
          <w:bCs/>
          <w:szCs w:val="22"/>
        </w:rPr>
        <w:t xml:space="preserve"> an order in terms of section 97</w:t>
      </w:r>
      <w:r w:rsidR="007219BD" w:rsidRPr="009B1E0E">
        <w:rPr>
          <w:rFonts w:cs="Arial"/>
          <w:bCs/>
          <w:szCs w:val="22"/>
        </w:rPr>
        <w:t>.</w:t>
      </w:r>
    </w:p>
    <w:p w14:paraId="27922481" w14:textId="1B4CF45D" w:rsidR="00DC5035"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[79]</w:t>
      </w:r>
      <w:r w:rsidRPr="009B1E0E">
        <w:rPr>
          <w:rFonts w:cs="Arial"/>
          <w:bCs/>
          <w:szCs w:val="22"/>
        </w:rPr>
        <w:tab/>
      </w:r>
      <w:r w:rsidR="00DD004A" w:rsidRPr="009B1E0E">
        <w:rPr>
          <w:rFonts w:cs="Arial"/>
          <w:bCs/>
          <w:szCs w:val="22"/>
        </w:rPr>
        <w:t>S</w:t>
      </w:r>
      <w:r w:rsidR="00DC5035" w:rsidRPr="009B1E0E">
        <w:rPr>
          <w:rFonts w:cs="Arial"/>
          <w:bCs/>
          <w:szCs w:val="22"/>
        </w:rPr>
        <w:t xml:space="preserve">ection </w:t>
      </w:r>
      <w:r w:rsidR="00DD004A" w:rsidRPr="009B1E0E">
        <w:rPr>
          <w:rFonts w:cs="Arial"/>
          <w:bCs/>
          <w:szCs w:val="22"/>
        </w:rPr>
        <w:t xml:space="preserve">97 </w:t>
      </w:r>
      <w:r w:rsidR="00DC5035" w:rsidRPr="009B1E0E">
        <w:rPr>
          <w:rFonts w:cs="Arial"/>
          <w:bCs/>
          <w:szCs w:val="22"/>
        </w:rPr>
        <w:t>provides as follows:</w:t>
      </w:r>
    </w:p>
    <w:p w14:paraId="0B06D540" w14:textId="77777777" w:rsidR="00DC5035" w:rsidRPr="009B1E0E" w:rsidRDefault="00DC5035" w:rsidP="00D13A6B">
      <w:pPr>
        <w:pStyle w:val="lg-section"/>
        <w:shd w:val="clear" w:color="auto" w:fill="FFFFFF"/>
        <w:spacing w:before="240" w:beforeAutospacing="0" w:after="0" w:afterAutospacing="0"/>
        <w:ind w:left="720"/>
        <w:jc w:val="both"/>
        <w:rPr>
          <w:rFonts w:ascii="Arial" w:hAnsi="Arial" w:cs="Arial"/>
          <w:i/>
          <w:iCs/>
          <w:color w:val="000000"/>
          <w:sz w:val="22"/>
          <w:szCs w:val="22"/>
        </w:rPr>
      </w:pPr>
      <w:r w:rsidRPr="009B1E0E">
        <w:rPr>
          <w:rFonts w:ascii="Arial" w:hAnsi="Arial" w:cs="Arial"/>
          <w:bCs/>
          <w:i/>
          <w:iCs/>
          <w:sz w:val="22"/>
          <w:szCs w:val="22"/>
        </w:rPr>
        <w:t>“</w:t>
      </w:r>
      <w:r w:rsidRPr="009B1E0E">
        <w:rPr>
          <w:rFonts w:ascii="Arial" w:hAnsi="Arial" w:cs="Arial"/>
          <w:b/>
          <w:bCs/>
          <w:i/>
          <w:iCs/>
          <w:color w:val="000000"/>
          <w:sz w:val="22"/>
          <w:szCs w:val="22"/>
        </w:rPr>
        <w:t>97.   Validation of irregular creation, allotment or issue of shares.</w:t>
      </w:r>
      <w:r w:rsidRPr="009B1E0E">
        <w:rPr>
          <w:rFonts w:ascii="Arial" w:hAnsi="Arial" w:cs="Arial"/>
          <w:i/>
          <w:iCs/>
          <w:color w:val="000000"/>
          <w:sz w:val="22"/>
          <w:szCs w:val="22"/>
        </w:rPr>
        <w:t>—(1)  Where a company has purported to create, allot or issue shares and the creation, allotment or issue of such shares was invalid by virtue of any provision of this Act or any other law or of the memorandum or articles of the company or otherwise, or the terms of the creation, allotment or issue were inconsistent with or not authorized by any such provision, the Court may upon application made by the company or by any interested person and upon being satisfied that in all the circumstances it is just and equitable to do so, make an order validating the creation, allotment or issue of such shares or confirming the terms of the creation, allotment or issue thereof, subject to such conditions as the Court may impose.</w:t>
      </w:r>
    </w:p>
    <w:p w14:paraId="03A11853" w14:textId="77777777" w:rsidR="00DC5035" w:rsidRPr="009B1E0E" w:rsidRDefault="00DC5035" w:rsidP="00D13A6B">
      <w:pPr>
        <w:pStyle w:val="com-para3"/>
        <w:shd w:val="clear" w:color="auto" w:fill="FFFFFF"/>
        <w:spacing w:before="120" w:beforeAutospacing="0" w:after="0" w:afterAutospacing="0"/>
        <w:ind w:left="720" w:firstLine="284"/>
        <w:jc w:val="both"/>
        <w:rPr>
          <w:rFonts w:ascii="Arial" w:hAnsi="Arial" w:cs="Arial"/>
          <w:i/>
          <w:iCs/>
          <w:color w:val="000000"/>
          <w:sz w:val="22"/>
          <w:szCs w:val="22"/>
        </w:rPr>
      </w:pPr>
      <w:r w:rsidRPr="009B1E0E">
        <w:rPr>
          <w:rFonts w:ascii="Arial" w:hAnsi="Arial" w:cs="Arial"/>
          <w:i/>
          <w:iCs/>
          <w:color w:val="000000"/>
          <w:sz w:val="22"/>
          <w:szCs w:val="22"/>
        </w:rPr>
        <w:t>(2)  The Court shall, when making an order under subsection (1), direct that a copy thereof be lodged with the Registrar.</w:t>
      </w:r>
    </w:p>
    <w:p w14:paraId="58DA84B6" w14:textId="2ADE0BFC" w:rsidR="00DC5035" w:rsidRPr="009B1E0E" w:rsidRDefault="00DC5035" w:rsidP="00D13A6B">
      <w:pPr>
        <w:pStyle w:val="com-para3"/>
        <w:shd w:val="clear" w:color="auto" w:fill="FFFFFF"/>
        <w:spacing w:before="120" w:beforeAutospacing="0" w:after="0" w:afterAutospacing="0"/>
        <w:ind w:left="720" w:firstLine="284"/>
        <w:jc w:val="both"/>
        <w:rPr>
          <w:rFonts w:ascii="Arial" w:hAnsi="Arial" w:cs="Arial"/>
          <w:bCs/>
          <w:i/>
          <w:iCs/>
          <w:sz w:val="22"/>
          <w:szCs w:val="22"/>
        </w:rPr>
      </w:pPr>
      <w:r w:rsidRPr="009B1E0E">
        <w:rPr>
          <w:rFonts w:ascii="Arial" w:hAnsi="Arial" w:cs="Arial"/>
          <w:i/>
          <w:iCs/>
          <w:color w:val="000000"/>
          <w:sz w:val="22"/>
          <w:szCs w:val="22"/>
        </w:rPr>
        <w:t>(3)  Upon the registration of the copy of the said order by the Registrar and after the payment of all prescribed fees, the said shares shall be deemed to have been validly created, allotted or issued upon the terms of the creation, allotment or issue thereof and subject to the conditions imposed by the Court.</w:t>
      </w:r>
      <w:r w:rsidRPr="009B1E0E">
        <w:rPr>
          <w:rFonts w:ascii="Arial" w:hAnsi="Arial" w:cs="Arial"/>
          <w:bCs/>
          <w:i/>
          <w:iCs/>
          <w:sz w:val="22"/>
          <w:szCs w:val="22"/>
        </w:rPr>
        <w:t>”</w:t>
      </w:r>
    </w:p>
    <w:p w14:paraId="237E9C50" w14:textId="77777777" w:rsidR="005B6D6E" w:rsidRPr="009B1E0E" w:rsidRDefault="005B6D6E" w:rsidP="00D13A6B">
      <w:pPr>
        <w:pStyle w:val="com-para3"/>
        <w:shd w:val="clear" w:color="auto" w:fill="FFFFFF"/>
        <w:spacing w:before="120" w:beforeAutospacing="0" w:after="0" w:afterAutospacing="0"/>
        <w:ind w:left="720" w:firstLine="284"/>
        <w:jc w:val="both"/>
        <w:rPr>
          <w:rFonts w:ascii="Arial" w:hAnsi="Arial" w:cs="Arial"/>
          <w:bCs/>
          <w:sz w:val="22"/>
          <w:szCs w:val="22"/>
        </w:rPr>
      </w:pPr>
    </w:p>
    <w:p w14:paraId="5CE93576" w14:textId="46ED5E71" w:rsidR="00DC5035"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[80]</w:t>
      </w:r>
      <w:r w:rsidRPr="009B1E0E">
        <w:rPr>
          <w:rFonts w:cs="Arial"/>
          <w:bCs/>
          <w:szCs w:val="22"/>
        </w:rPr>
        <w:tab/>
      </w:r>
      <w:r w:rsidR="007957A1" w:rsidRPr="009B1E0E">
        <w:rPr>
          <w:rFonts w:cs="Arial"/>
          <w:bCs/>
          <w:szCs w:val="22"/>
        </w:rPr>
        <w:t xml:space="preserve">Section 97 applies to invalidity howsoever arising and the Court enjoys a wide </w:t>
      </w:r>
      <w:r w:rsidR="007957A1" w:rsidRPr="009B1E0E">
        <w:rPr>
          <w:rFonts w:cs="Arial"/>
          <w:bCs/>
          <w:szCs w:val="22"/>
        </w:rPr>
        <w:lastRenderedPageBreak/>
        <w:t>discretion to be exercised</w:t>
      </w:r>
      <w:r w:rsidR="00F0670B" w:rsidRPr="009B1E0E">
        <w:rPr>
          <w:rFonts w:cs="Arial"/>
          <w:bCs/>
          <w:szCs w:val="22"/>
        </w:rPr>
        <w:t xml:space="preserve"> in favour of validation</w:t>
      </w:r>
      <w:r w:rsidR="007957A1" w:rsidRPr="009B1E0E">
        <w:rPr>
          <w:rFonts w:cs="Arial"/>
          <w:bCs/>
          <w:szCs w:val="22"/>
        </w:rPr>
        <w:t xml:space="preserve"> when it is just and equitable to do so.</w:t>
      </w:r>
      <w:r w:rsidR="007957A1" w:rsidRPr="009B1E0E">
        <w:rPr>
          <w:rStyle w:val="FootnoteReference"/>
          <w:rFonts w:cs="Arial"/>
          <w:bCs/>
          <w:szCs w:val="22"/>
        </w:rPr>
        <w:footnoteReference w:id="56"/>
      </w:r>
      <w:r w:rsidR="007957A1" w:rsidRPr="009B1E0E">
        <w:rPr>
          <w:rFonts w:cs="Arial"/>
          <w:bCs/>
          <w:szCs w:val="22"/>
        </w:rPr>
        <w:t xml:space="preserve"> </w:t>
      </w:r>
      <w:r w:rsidR="000B1DD4" w:rsidRPr="009B1E0E">
        <w:rPr>
          <w:rFonts w:cs="Arial"/>
          <w:bCs/>
          <w:szCs w:val="22"/>
        </w:rPr>
        <w:t>I refer to the following reasons for saying so.</w:t>
      </w:r>
    </w:p>
    <w:p w14:paraId="7069B1F9" w14:textId="49832348" w:rsidR="000B1DD4" w:rsidRPr="009B1E0E" w:rsidRDefault="00BE377D" w:rsidP="00BE377D">
      <w:pPr>
        <w:widowControl w:val="0"/>
        <w:tabs>
          <w:tab w:val="left" w:pos="1418"/>
        </w:tabs>
        <w:spacing w:before="480" w:after="480" w:line="480" w:lineRule="auto"/>
        <w:ind w:left="1418" w:hanging="851"/>
        <w:jc w:val="both"/>
        <w:rPr>
          <w:rFonts w:cs="Arial"/>
          <w:bCs/>
          <w:szCs w:val="22"/>
        </w:rPr>
      </w:pPr>
      <w:r w:rsidRPr="009B1E0E">
        <w:rPr>
          <w:rFonts w:cs="Arial"/>
          <w:bCs/>
          <w:szCs w:val="22"/>
        </w:rPr>
        <w:t>80.1</w:t>
      </w:r>
      <w:r w:rsidRPr="009B1E0E">
        <w:rPr>
          <w:rFonts w:cs="Arial"/>
          <w:bCs/>
          <w:szCs w:val="22"/>
        </w:rPr>
        <w:tab/>
      </w:r>
      <w:r w:rsidR="00DD004A" w:rsidRPr="009B1E0E">
        <w:rPr>
          <w:rFonts w:cs="Arial"/>
          <w:bCs/>
          <w:szCs w:val="22"/>
        </w:rPr>
        <w:t xml:space="preserve">The share issue and allotment now under attack took place two decades ago. </w:t>
      </w:r>
    </w:p>
    <w:p w14:paraId="4E9CE6A4" w14:textId="0E50B6D8" w:rsidR="000B1DD4" w:rsidRPr="009B1E0E" w:rsidRDefault="00BE377D" w:rsidP="00BE377D">
      <w:pPr>
        <w:widowControl w:val="0"/>
        <w:tabs>
          <w:tab w:val="left" w:pos="1418"/>
        </w:tabs>
        <w:spacing w:before="480" w:after="480" w:line="480" w:lineRule="auto"/>
        <w:ind w:left="1418" w:hanging="851"/>
        <w:jc w:val="both"/>
        <w:rPr>
          <w:rFonts w:cs="Arial"/>
          <w:bCs/>
          <w:szCs w:val="22"/>
        </w:rPr>
      </w:pPr>
      <w:r w:rsidRPr="009B1E0E">
        <w:rPr>
          <w:rFonts w:cs="Arial"/>
          <w:bCs/>
          <w:szCs w:val="22"/>
        </w:rPr>
        <w:t>80.2</w:t>
      </w:r>
      <w:r w:rsidRPr="009B1E0E">
        <w:rPr>
          <w:rFonts w:cs="Arial"/>
          <w:bCs/>
          <w:szCs w:val="22"/>
        </w:rPr>
        <w:tab/>
      </w:r>
      <w:r w:rsidR="00DD004A" w:rsidRPr="009B1E0E">
        <w:rPr>
          <w:rFonts w:cs="Arial"/>
          <w:bCs/>
          <w:szCs w:val="22"/>
        </w:rPr>
        <w:t xml:space="preserve">All the directors at the time had knowledge of the same facts and supported the resolutions and the implementation of those resolutions at the time. </w:t>
      </w:r>
    </w:p>
    <w:p w14:paraId="2E88ED8E" w14:textId="64E708FD" w:rsidR="000B1DD4" w:rsidRPr="009B1E0E" w:rsidRDefault="00BE377D" w:rsidP="00BE377D">
      <w:pPr>
        <w:widowControl w:val="0"/>
        <w:tabs>
          <w:tab w:val="left" w:pos="1418"/>
        </w:tabs>
        <w:spacing w:before="480" w:after="480" w:line="480" w:lineRule="auto"/>
        <w:ind w:left="1418" w:hanging="851"/>
        <w:jc w:val="both"/>
        <w:rPr>
          <w:rFonts w:cs="Arial"/>
          <w:bCs/>
          <w:szCs w:val="22"/>
        </w:rPr>
      </w:pPr>
      <w:r w:rsidRPr="009B1E0E">
        <w:rPr>
          <w:rFonts w:cs="Arial"/>
          <w:bCs/>
          <w:szCs w:val="22"/>
        </w:rPr>
        <w:t>80.3</w:t>
      </w:r>
      <w:r w:rsidRPr="009B1E0E">
        <w:rPr>
          <w:rFonts w:cs="Arial"/>
          <w:bCs/>
          <w:szCs w:val="22"/>
        </w:rPr>
        <w:tab/>
      </w:r>
      <w:r w:rsidR="00F31D76" w:rsidRPr="009B1E0E">
        <w:rPr>
          <w:rFonts w:cs="Arial"/>
          <w:bCs/>
          <w:szCs w:val="22"/>
        </w:rPr>
        <w:t xml:space="preserve">There is no indication that any information was withheld from those shareholders who were not directors. </w:t>
      </w:r>
    </w:p>
    <w:p w14:paraId="76FBE646" w14:textId="1803CD48" w:rsidR="000B1DD4" w:rsidRPr="009B1E0E" w:rsidRDefault="00BE377D" w:rsidP="00BE377D">
      <w:pPr>
        <w:widowControl w:val="0"/>
        <w:tabs>
          <w:tab w:val="left" w:pos="1418"/>
        </w:tabs>
        <w:spacing w:before="480" w:after="480" w:line="480" w:lineRule="auto"/>
        <w:ind w:left="1418" w:hanging="851"/>
        <w:jc w:val="both"/>
        <w:rPr>
          <w:rFonts w:cs="Arial"/>
          <w:bCs/>
          <w:szCs w:val="22"/>
        </w:rPr>
      </w:pPr>
      <w:r w:rsidRPr="009B1E0E">
        <w:rPr>
          <w:rFonts w:cs="Arial"/>
          <w:bCs/>
          <w:szCs w:val="22"/>
        </w:rPr>
        <w:t>80.4</w:t>
      </w:r>
      <w:r w:rsidRPr="009B1E0E">
        <w:rPr>
          <w:rFonts w:cs="Arial"/>
          <w:bCs/>
          <w:szCs w:val="22"/>
        </w:rPr>
        <w:tab/>
      </w:r>
      <w:r w:rsidR="000B1DD4" w:rsidRPr="009B1E0E">
        <w:rPr>
          <w:rFonts w:cs="Arial"/>
          <w:bCs/>
          <w:szCs w:val="22"/>
        </w:rPr>
        <w:t>The 14</w:t>
      </w:r>
      <w:r w:rsidR="000B1DD4" w:rsidRPr="009B1E0E">
        <w:rPr>
          <w:rFonts w:cs="Arial"/>
          <w:bCs/>
          <w:szCs w:val="22"/>
          <w:vertAlign w:val="superscript"/>
        </w:rPr>
        <w:t>th</w:t>
      </w:r>
      <w:r w:rsidR="000B1DD4" w:rsidRPr="009B1E0E">
        <w:rPr>
          <w:rFonts w:cs="Arial"/>
          <w:bCs/>
          <w:szCs w:val="22"/>
        </w:rPr>
        <w:t xml:space="preserve"> to 38</w:t>
      </w:r>
      <w:r w:rsidR="000B1DD4" w:rsidRPr="009B1E0E">
        <w:rPr>
          <w:rFonts w:cs="Arial"/>
          <w:bCs/>
          <w:szCs w:val="22"/>
          <w:vertAlign w:val="superscript"/>
        </w:rPr>
        <w:t>th</w:t>
      </w:r>
      <w:r w:rsidR="000B1DD4" w:rsidRPr="009B1E0E">
        <w:rPr>
          <w:rFonts w:cs="Arial"/>
          <w:bCs/>
          <w:szCs w:val="22"/>
        </w:rPr>
        <w:t xml:space="preserve"> respondents did not join in the counter – application</w:t>
      </w:r>
      <w:r w:rsidR="00C419CB" w:rsidRPr="009B1E0E">
        <w:rPr>
          <w:rFonts w:cs="Arial"/>
          <w:bCs/>
          <w:szCs w:val="22"/>
        </w:rPr>
        <w:t xml:space="preserve"> as co-applicants</w:t>
      </w:r>
      <w:r w:rsidR="000B1DD4" w:rsidRPr="009B1E0E">
        <w:rPr>
          <w:rFonts w:cs="Arial"/>
          <w:bCs/>
          <w:szCs w:val="22"/>
        </w:rPr>
        <w:t xml:space="preserve">. </w:t>
      </w:r>
    </w:p>
    <w:p w14:paraId="6A33813D" w14:textId="2DEDD4A7" w:rsidR="000B1DD4" w:rsidRPr="009B1E0E" w:rsidRDefault="00BE377D" w:rsidP="00BE377D">
      <w:pPr>
        <w:widowControl w:val="0"/>
        <w:tabs>
          <w:tab w:val="left" w:pos="1418"/>
        </w:tabs>
        <w:spacing w:before="480" w:after="480" w:line="480" w:lineRule="auto"/>
        <w:ind w:left="1418" w:hanging="851"/>
        <w:jc w:val="both"/>
        <w:rPr>
          <w:rFonts w:cs="Arial"/>
          <w:bCs/>
          <w:szCs w:val="22"/>
        </w:rPr>
      </w:pPr>
      <w:r w:rsidRPr="009B1E0E">
        <w:rPr>
          <w:rFonts w:cs="Arial"/>
          <w:bCs/>
          <w:szCs w:val="22"/>
        </w:rPr>
        <w:t>80.5</w:t>
      </w:r>
      <w:r w:rsidRPr="009B1E0E">
        <w:rPr>
          <w:rFonts w:cs="Arial"/>
          <w:bCs/>
          <w:szCs w:val="22"/>
        </w:rPr>
        <w:tab/>
      </w:r>
      <w:r w:rsidR="00DD004A" w:rsidRPr="009B1E0E">
        <w:rPr>
          <w:rFonts w:cs="Arial"/>
          <w:bCs/>
          <w:szCs w:val="22"/>
        </w:rPr>
        <w:t>There is no indication that the board as then constituted was acting dishonestly or in bad faith</w:t>
      </w:r>
      <w:r w:rsidR="001E4DEB" w:rsidRPr="009B1E0E">
        <w:rPr>
          <w:rFonts w:cs="Arial"/>
          <w:bCs/>
          <w:szCs w:val="22"/>
        </w:rPr>
        <w:t>.</w:t>
      </w:r>
      <w:r w:rsidR="001E4DEB" w:rsidRPr="009B1E0E">
        <w:rPr>
          <w:rStyle w:val="FootnoteReference"/>
          <w:rFonts w:cs="Arial"/>
          <w:bCs/>
          <w:szCs w:val="22"/>
        </w:rPr>
        <w:footnoteReference w:id="57"/>
      </w:r>
      <w:r w:rsidR="00F31D76" w:rsidRPr="009B1E0E">
        <w:rPr>
          <w:rFonts w:cs="Arial"/>
          <w:bCs/>
          <w:szCs w:val="22"/>
        </w:rPr>
        <w:t xml:space="preserve"> </w:t>
      </w:r>
      <w:r w:rsidR="000B1DD4" w:rsidRPr="009B1E0E">
        <w:rPr>
          <w:rFonts w:cs="Arial"/>
          <w:bCs/>
          <w:szCs w:val="22"/>
        </w:rPr>
        <w:t>Such an allegation would have required some of the counter – applicants to allege mischief on their own part, and they did not do so.</w:t>
      </w:r>
    </w:p>
    <w:p w14:paraId="64131A2C" w14:textId="0EB76D6E" w:rsidR="000B1DD4" w:rsidRPr="009B1E0E" w:rsidRDefault="00BE377D" w:rsidP="00BE377D">
      <w:pPr>
        <w:widowControl w:val="0"/>
        <w:tabs>
          <w:tab w:val="left" w:pos="1418"/>
        </w:tabs>
        <w:spacing w:before="480" w:after="480" w:line="480" w:lineRule="auto"/>
        <w:ind w:left="1418" w:hanging="851"/>
        <w:jc w:val="both"/>
        <w:rPr>
          <w:rFonts w:cs="Arial"/>
          <w:bCs/>
          <w:szCs w:val="22"/>
        </w:rPr>
      </w:pPr>
      <w:r w:rsidRPr="009B1E0E">
        <w:rPr>
          <w:rFonts w:cs="Arial"/>
          <w:bCs/>
          <w:szCs w:val="22"/>
        </w:rPr>
        <w:t>80.6</w:t>
      </w:r>
      <w:r w:rsidRPr="009B1E0E">
        <w:rPr>
          <w:rFonts w:cs="Arial"/>
          <w:bCs/>
          <w:szCs w:val="22"/>
        </w:rPr>
        <w:tab/>
      </w:r>
      <w:r w:rsidR="00845554" w:rsidRPr="009B1E0E">
        <w:rPr>
          <w:rFonts w:cs="Arial"/>
          <w:bCs/>
          <w:szCs w:val="22"/>
        </w:rPr>
        <w:t>Third parties were not prejudiced.</w:t>
      </w:r>
      <w:r w:rsidR="00845554" w:rsidRPr="009B1E0E">
        <w:rPr>
          <w:rStyle w:val="FootnoteReference"/>
          <w:rFonts w:cs="Arial"/>
          <w:bCs/>
          <w:szCs w:val="22"/>
        </w:rPr>
        <w:footnoteReference w:id="58"/>
      </w:r>
      <w:r w:rsidR="00845554" w:rsidRPr="009B1E0E">
        <w:rPr>
          <w:rFonts w:cs="Arial"/>
          <w:bCs/>
          <w:szCs w:val="22"/>
        </w:rPr>
        <w:t xml:space="preserve"> </w:t>
      </w:r>
    </w:p>
    <w:p w14:paraId="0E7BB306" w14:textId="51C5FD8A" w:rsidR="008A65FE" w:rsidRPr="009B1E0E" w:rsidRDefault="00BE377D" w:rsidP="00BE377D">
      <w:pPr>
        <w:widowControl w:val="0"/>
        <w:tabs>
          <w:tab w:val="left" w:pos="1418"/>
        </w:tabs>
        <w:spacing w:before="480" w:after="480" w:line="480" w:lineRule="auto"/>
        <w:ind w:left="1418" w:hanging="851"/>
        <w:jc w:val="both"/>
        <w:rPr>
          <w:rFonts w:cs="Arial"/>
          <w:bCs/>
          <w:szCs w:val="22"/>
        </w:rPr>
      </w:pPr>
      <w:r w:rsidRPr="009B1E0E">
        <w:rPr>
          <w:rFonts w:cs="Arial"/>
          <w:bCs/>
          <w:szCs w:val="22"/>
        </w:rPr>
        <w:t>80.7</w:t>
      </w:r>
      <w:r w:rsidRPr="009B1E0E">
        <w:rPr>
          <w:rFonts w:cs="Arial"/>
          <w:bCs/>
          <w:szCs w:val="22"/>
        </w:rPr>
        <w:tab/>
      </w:r>
      <w:r w:rsidR="00F31D76" w:rsidRPr="009B1E0E">
        <w:rPr>
          <w:rFonts w:cs="Arial"/>
          <w:bCs/>
          <w:szCs w:val="22"/>
        </w:rPr>
        <w:t xml:space="preserve">The company functioned under the regime now sought to be undone, for </w:t>
      </w:r>
      <w:r w:rsidR="00F31D76" w:rsidRPr="009B1E0E">
        <w:rPr>
          <w:rFonts w:cs="Arial"/>
          <w:bCs/>
          <w:szCs w:val="22"/>
        </w:rPr>
        <w:lastRenderedPageBreak/>
        <w:t>two decades</w:t>
      </w:r>
      <w:r w:rsidR="006053E5" w:rsidRPr="009B1E0E">
        <w:rPr>
          <w:rFonts w:cs="Arial"/>
          <w:bCs/>
          <w:szCs w:val="22"/>
        </w:rPr>
        <w:t xml:space="preserve"> and on all accounts did so </w:t>
      </w:r>
      <w:r w:rsidR="00845554" w:rsidRPr="009B1E0E">
        <w:rPr>
          <w:rFonts w:cs="Arial"/>
          <w:bCs/>
          <w:szCs w:val="22"/>
        </w:rPr>
        <w:t>successfully</w:t>
      </w:r>
      <w:r w:rsidR="006053E5" w:rsidRPr="009B1E0E">
        <w:rPr>
          <w:rFonts w:cs="Arial"/>
          <w:bCs/>
          <w:szCs w:val="22"/>
        </w:rPr>
        <w:t xml:space="preserve"> until disputes arose </w:t>
      </w:r>
      <w:r w:rsidR="00845554" w:rsidRPr="009B1E0E">
        <w:rPr>
          <w:rFonts w:cs="Arial"/>
          <w:bCs/>
          <w:szCs w:val="22"/>
        </w:rPr>
        <w:t>in about 201</w:t>
      </w:r>
      <w:r w:rsidR="00C419CB" w:rsidRPr="009B1E0E">
        <w:rPr>
          <w:rFonts w:cs="Arial"/>
          <w:bCs/>
          <w:szCs w:val="22"/>
        </w:rPr>
        <w:t>8</w:t>
      </w:r>
      <w:r w:rsidR="00845554" w:rsidRPr="009B1E0E">
        <w:rPr>
          <w:rFonts w:cs="Arial"/>
          <w:bCs/>
          <w:szCs w:val="22"/>
        </w:rPr>
        <w:t xml:space="preserve"> </w:t>
      </w:r>
      <w:r w:rsidR="006053E5" w:rsidRPr="009B1E0E">
        <w:rPr>
          <w:rFonts w:cs="Arial"/>
          <w:bCs/>
          <w:szCs w:val="22"/>
        </w:rPr>
        <w:t xml:space="preserve">as set out elsewhere in this </w:t>
      </w:r>
      <w:r w:rsidR="00340B79" w:rsidRPr="009B1E0E">
        <w:rPr>
          <w:rFonts w:cs="Arial"/>
          <w:bCs/>
          <w:szCs w:val="22"/>
        </w:rPr>
        <w:t>judgment</w:t>
      </w:r>
      <w:r w:rsidR="006053E5" w:rsidRPr="009B1E0E">
        <w:rPr>
          <w:rFonts w:cs="Arial"/>
          <w:bCs/>
          <w:szCs w:val="22"/>
        </w:rPr>
        <w:t xml:space="preserve">. </w:t>
      </w:r>
    </w:p>
    <w:p w14:paraId="69F70782" w14:textId="52D508F8" w:rsidR="000B1DD4" w:rsidRPr="009B1E0E" w:rsidRDefault="00BE377D" w:rsidP="00BE377D">
      <w:pPr>
        <w:widowControl w:val="0"/>
        <w:tabs>
          <w:tab w:val="left" w:pos="1418"/>
        </w:tabs>
        <w:spacing w:before="480" w:after="480" w:line="480" w:lineRule="auto"/>
        <w:ind w:left="1418" w:hanging="851"/>
        <w:jc w:val="both"/>
        <w:rPr>
          <w:rFonts w:cs="Arial"/>
          <w:bCs/>
          <w:szCs w:val="22"/>
        </w:rPr>
      </w:pPr>
      <w:r w:rsidRPr="009B1E0E">
        <w:rPr>
          <w:rFonts w:cs="Arial"/>
          <w:bCs/>
          <w:szCs w:val="22"/>
        </w:rPr>
        <w:t>80.8</w:t>
      </w:r>
      <w:r w:rsidRPr="009B1E0E">
        <w:rPr>
          <w:rFonts w:cs="Arial"/>
          <w:bCs/>
          <w:szCs w:val="22"/>
        </w:rPr>
        <w:tab/>
      </w:r>
      <w:r w:rsidR="008A65FE" w:rsidRPr="009B1E0E">
        <w:rPr>
          <w:rFonts w:cs="Arial"/>
          <w:bCs/>
          <w:szCs w:val="22"/>
        </w:rPr>
        <w:t xml:space="preserve">The directors who benefitted from the share issue contributed to the well-being of the company for the two decades on the </w:t>
      </w:r>
      <w:r w:rsidR="008A65FE" w:rsidRPr="009B1E0E">
        <w:rPr>
          <w:rFonts w:cs="Arial"/>
          <w:bCs/>
          <w:i/>
          <w:iCs/>
          <w:szCs w:val="22"/>
        </w:rPr>
        <w:t>bona fide</w:t>
      </w:r>
      <w:r w:rsidR="008A65FE" w:rsidRPr="009B1E0E">
        <w:rPr>
          <w:rFonts w:cs="Arial"/>
          <w:bCs/>
          <w:szCs w:val="22"/>
        </w:rPr>
        <w:t xml:space="preserve"> understanding that their shareholding and </w:t>
      </w:r>
      <w:r w:rsidR="00D07FB4" w:rsidRPr="009B1E0E">
        <w:rPr>
          <w:rFonts w:cs="Arial"/>
          <w:bCs/>
          <w:szCs w:val="22"/>
        </w:rPr>
        <w:t>allocation of votes</w:t>
      </w:r>
      <w:r w:rsidR="008A65FE" w:rsidRPr="009B1E0E">
        <w:rPr>
          <w:rFonts w:cs="Arial"/>
          <w:bCs/>
          <w:szCs w:val="22"/>
        </w:rPr>
        <w:t xml:space="preserve"> was legitimate.</w:t>
      </w:r>
    </w:p>
    <w:p w14:paraId="11C7989B" w14:textId="12A158B6" w:rsidR="000B1DD4" w:rsidRPr="009B1E0E" w:rsidRDefault="00BE377D" w:rsidP="00BE377D">
      <w:pPr>
        <w:widowControl w:val="0"/>
        <w:tabs>
          <w:tab w:val="left" w:pos="1418"/>
        </w:tabs>
        <w:spacing w:before="480" w:after="480" w:line="480" w:lineRule="auto"/>
        <w:ind w:left="1418" w:hanging="851"/>
        <w:jc w:val="both"/>
        <w:rPr>
          <w:rFonts w:cs="Arial"/>
          <w:bCs/>
          <w:szCs w:val="22"/>
        </w:rPr>
      </w:pPr>
      <w:r w:rsidRPr="009B1E0E">
        <w:rPr>
          <w:rFonts w:cs="Arial"/>
          <w:bCs/>
          <w:szCs w:val="22"/>
        </w:rPr>
        <w:t>80.9</w:t>
      </w:r>
      <w:r w:rsidRPr="009B1E0E">
        <w:rPr>
          <w:rFonts w:cs="Arial"/>
          <w:bCs/>
          <w:szCs w:val="22"/>
        </w:rPr>
        <w:tab/>
      </w:r>
      <w:r w:rsidR="006053E5" w:rsidRPr="009B1E0E">
        <w:rPr>
          <w:rFonts w:cs="Arial"/>
          <w:bCs/>
          <w:szCs w:val="22"/>
        </w:rPr>
        <w:t xml:space="preserve">In the two decades, decisions were taken and implemented, </w:t>
      </w:r>
      <w:r w:rsidR="00025233" w:rsidRPr="009B1E0E">
        <w:rPr>
          <w:rFonts w:cs="Arial"/>
          <w:bCs/>
          <w:szCs w:val="22"/>
        </w:rPr>
        <w:t xml:space="preserve">The company entered into agreements and did business represented by its board as constituted from 1998 onwards, and shareholders took resolutions on the basis that the voting structure was legitimate. </w:t>
      </w:r>
    </w:p>
    <w:p w14:paraId="059F1E55" w14:textId="71BA4977" w:rsidR="000B1DD4" w:rsidRPr="009B1E0E" w:rsidRDefault="00BE377D" w:rsidP="00BE377D">
      <w:pPr>
        <w:widowControl w:val="0"/>
        <w:tabs>
          <w:tab w:val="left" w:pos="1418"/>
        </w:tabs>
        <w:spacing w:before="480" w:after="480" w:line="480" w:lineRule="auto"/>
        <w:ind w:left="1418" w:hanging="851"/>
        <w:jc w:val="both"/>
        <w:rPr>
          <w:rFonts w:cs="Arial"/>
          <w:bCs/>
          <w:szCs w:val="22"/>
        </w:rPr>
      </w:pPr>
      <w:r w:rsidRPr="009B1E0E">
        <w:rPr>
          <w:rFonts w:cs="Arial"/>
          <w:bCs/>
          <w:szCs w:val="22"/>
        </w:rPr>
        <w:t>80.10</w:t>
      </w:r>
      <w:r w:rsidRPr="009B1E0E">
        <w:rPr>
          <w:rFonts w:cs="Arial"/>
          <w:bCs/>
          <w:szCs w:val="22"/>
        </w:rPr>
        <w:tab/>
      </w:r>
      <w:r w:rsidR="00025233" w:rsidRPr="009B1E0E">
        <w:rPr>
          <w:rFonts w:cs="Arial"/>
          <w:bCs/>
          <w:szCs w:val="22"/>
        </w:rPr>
        <w:t xml:space="preserve">To undo the current structure and reverting to 1998 when the company had 34 shareholders none of whom held more than 3.5% of the vote and passing an ordinary resolution required the support of 15 or more shareholders, </w:t>
      </w:r>
      <w:r w:rsidR="00845554" w:rsidRPr="009B1E0E">
        <w:rPr>
          <w:rFonts w:cs="Arial"/>
          <w:bCs/>
          <w:szCs w:val="22"/>
        </w:rPr>
        <w:t>would be</w:t>
      </w:r>
      <w:r w:rsidR="00025233" w:rsidRPr="009B1E0E">
        <w:rPr>
          <w:rFonts w:cs="Arial"/>
          <w:bCs/>
          <w:szCs w:val="22"/>
        </w:rPr>
        <w:t xml:space="preserve"> unworkable. </w:t>
      </w:r>
    </w:p>
    <w:p w14:paraId="141AE2DE" w14:textId="4CF1C25D" w:rsidR="007957A1" w:rsidRPr="009B1E0E" w:rsidRDefault="00BE377D" w:rsidP="00BE377D">
      <w:pPr>
        <w:widowControl w:val="0"/>
        <w:tabs>
          <w:tab w:val="left" w:pos="1418"/>
        </w:tabs>
        <w:spacing w:before="480" w:after="480" w:line="480" w:lineRule="auto"/>
        <w:ind w:left="1418" w:hanging="851"/>
        <w:jc w:val="both"/>
        <w:rPr>
          <w:rFonts w:cs="Arial"/>
          <w:bCs/>
          <w:szCs w:val="22"/>
        </w:rPr>
      </w:pPr>
      <w:r w:rsidRPr="009B1E0E">
        <w:rPr>
          <w:rFonts w:cs="Arial"/>
          <w:bCs/>
          <w:szCs w:val="22"/>
        </w:rPr>
        <w:t>80.11</w:t>
      </w:r>
      <w:r w:rsidRPr="009B1E0E">
        <w:rPr>
          <w:rFonts w:cs="Arial"/>
          <w:bCs/>
          <w:szCs w:val="22"/>
        </w:rPr>
        <w:tab/>
      </w:r>
      <w:r w:rsidR="00025233" w:rsidRPr="009B1E0E">
        <w:rPr>
          <w:rFonts w:cs="Arial"/>
          <w:bCs/>
          <w:szCs w:val="22"/>
        </w:rPr>
        <w:t>Erasing the past might have unintended consequences that are not only not foreseen, but</w:t>
      </w:r>
      <w:r w:rsidR="006E0B52" w:rsidRPr="009B1E0E">
        <w:rPr>
          <w:rFonts w:cs="Arial"/>
          <w:bCs/>
          <w:szCs w:val="22"/>
        </w:rPr>
        <w:t xml:space="preserve"> are</w:t>
      </w:r>
      <w:r w:rsidR="00025233" w:rsidRPr="009B1E0E">
        <w:rPr>
          <w:rFonts w:cs="Arial"/>
          <w:bCs/>
          <w:szCs w:val="22"/>
        </w:rPr>
        <w:t xml:space="preserve"> unforeseeable.</w:t>
      </w:r>
    </w:p>
    <w:p w14:paraId="5E9CF545" w14:textId="5C3734CF" w:rsidR="00C621EA"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[81]</w:t>
      </w:r>
      <w:r w:rsidRPr="009B1E0E">
        <w:rPr>
          <w:rFonts w:cs="Arial"/>
          <w:bCs/>
          <w:szCs w:val="22"/>
        </w:rPr>
        <w:tab/>
      </w:r>
      <w:r w:rsidR="00C621EA" w:rsidRPr="009B1E0E">
        <w:rPr>
          <w:rFonts w:cs="Arial"/>
          <w:bCs/>
          <w:szCs w:val="22"/>
        </w:rPr>
        <w:t>I conclude that this is an appropriate case for an order in terms of section 97 of the Companies Act of 1973.</w:t>
      </w:r>
    </w:p>
    <w:p w14:paraId="2123C4F6" w14:textId="066B44B3" w:rsidR="00051A2B" w:rsidRPr="009B1E0E" w:rsidRDefault="00BE377D" w:rsidP="00BE377D">
      <w:pPr>
        <w:widowControl w:val="0"/>
        <w:tabs>
          <w:tab w:val="left" w:pos="567"/>
        </w:tabs>
        <w:spacing w:before="480" w:after="480" w:line="480" w:lineRule="auto"/>
        <w:jc w:val="both"/>
        <w:rPr>
          <w:rFonts w:cs="Arial"/>
          <w:bCs/>
          <w:szCs w:val="22"/>
        </w:rPr>
      </w:pPr>
      <w:r w:rsidRPr="009B1E0E">
        <w:rPr>
          <w:rFonts w:cs="Arial"/>
          <w:bCs/>
          <w:szCs w:val="22"/>
        </w:rPr>
        <w:t>[82]</w:t>
      </w:r>
      <w:r w:rsidRPr="009B1E0E">
        <w:rPr>
          <w:rFonts w:cs="Arial"/>
          <w:bCs/>
          <w:szCs w:val="22"/>
        </w:rPr>
        <w:tab/>
      </w:r>
      <w:r w:rsidR="00051A2B" w:rsidRPr="009B1E0E">
        <w:rPr>
          <w:rFonts w:cs="Arial"/>
          <w:bCs/>
          <w:szCs w:val="22"/>
        </w:rPr>
        <w:t>I therefore make the order as set out above.</w:t>
      </w:r>
    </w:p>
    <w:p w14:paraId="3E6BA7DA" w14:textId="43133B0D" w:rsidR="00AE287F" w:rsidRPr="009B1E0E" w:rsidRDefault="00AE287F" w:rsidP="006C43D7">
      <w:pPr>
        <w:tabs>
          <w:tab w:val="right" w:pos="0"/>
        </w:tabs>
        <w:spacing w:line="360" w:lineRule="auto"/>
        <w:contextualSpacing/>
        <w:jc w:val="right"/>
        <w:rPr>
          <w:rFonts w:cs="Arial"/>
          <w:b/>
          <w:szCs w:val="22"/>
        </w:rPr>
      </w:pPr>
    </w:p>
    <w:p w14:paraId="53CD27EE" w14:textId="672559CF" w:rsidR="00AE287F" w:rsidRPr="009B1E0E" w:rsidRDefault="00A649E6" w:rsidP="006C43D7">
      <w:pPr>
        <w:tabs>
          <w:tab w:val="right" w:pos="0"/>
        </w:tabs>
        <w:spacing w:line="360" w:lineRule="auto"/>
        <w:contextualSpacing/>
        <w:jc w:val="right"/>
        <w:rPr>
          <w:rFonts w:cs="Arial"/>
          <w:b/>
          <w:szCs w:val="22"/>
        </w:rPr>
      </w:pPr>
      <w:r w:rsidRPr="009B1E0E">
        <w:rPr>
          <w:rFonts w:cs="Arial"/>
          <w:b/>
          <w:szCs w:val="22"/>
        </w:rPr>
        <w:t>______________</w:t>
      </w:r>
    </w:p>
    <w:p w14:paraId="0CCB9BFE" w14:textId="7ABE564D" w:rsidR="006C43D7" w:rsidRPr="009B1E0E" w:rsidRDefault="00C676F3" w:rsidP="006C43D7">
      <w:pPr>
        <w:tabs>
          <w:tab w:val="right" w:pos="0"/>
        </w:tabs>
        <w:spacing w:line="360" w:lineRule="auto"/>
        <w:contextualSpacing/>
        <w:jc w:val="right"/>
        <w:rPr>
          <w:rFonts w:cs="Arial"/>
          <w:b/>
          <w:szCs w:val="22"/>
        </w:rPr>
      </w:pPr>
      <w:r w:rsidRPr="009B1E0E">
        <w:rPr>
          <w:rFonts w:cs="Arial"/>
          <w:b/>
          <w:szCs w:val="22"/>
        </w:rPr>
        <w:t>J MOORCROFT</w:t>
      </w:r>
    </w:p>
    <w:p w14:paraId="7A2C1059" w14:textId="77777777" w:rsidR="006C43D7" w:rsidRPr="009B1E0E" w:rsidRDefault="006C43D7" w:rsidP="006C43D7">
      <w:pPr>
        <w:tabs>
          <w:tab w:val="right" w:pos="0"/>
        </w:tabs>
        <w:spacing w:line="360" w:lineRule="auto"/>
        <w:contextualSpacing/>
        <w:jc w:val="right"/>
        <w:rPr>
          <w:rFonts w:cs="Arial"/>
          <w:b/>
          <w:szCs w:val="22"/>
        </w:rPr>
      </w:pPr>
      <w:r w:rsidRPr="009B1E0E">
        <w:rPr>
          <w:rFonts w:cs="Arial"/>
          <w:b/>
          <w:szCs w:val="22"/>
        </w:rPr>
        <w:t>ACTING JUDGE OF THE HIGH COURT OF SOUTH AFRICA</w:t>
      </w:r>
    </w:p>
    <w:p w14:paraId="077C2590" w14:textId="7452355B" w:rsidR="006C43D7" w:rsidRPr="009B1E0E" w:rsidRDefault="006C43D7" w:rsidP="006C43D7">
      <w:pPr>
        <w:tabs>
          <w:tab w:val="right" w:pos="0"/>
          <w:tab w:val="left" w:pos="4253"/>
        </w:tabs>
        <w:spacing w:line="360" w:lineRule="auto"/>
        <w:contextualSpacing/>
        <w:jc w:val="right"/>
        <w:rPr>
          <w:rFonts w:cs="Arial"/>
          <w:b/>
          <w:szCs w:val="22"/>
        </w:rPr>
      </w:pPr>
      <w:r w:rsidRPr="009B1E0E">
        <w:rPr>
          <w:rFonts w:cs="Arial"/>
          <w:b/>
          <w:szCs w:val="22"/>
        </w:rPr>
        <w:lastRenderedPageBreak/>
        <w:t>GAUTENG DIVISION</w:t>
      </w:r>
    </w:p>
    <w:p w14:paraId="40B9C946" w14:textId="77777777" w:rsidR="006C43D7" w:rsidRPr="009B1E0E" w:rsidRDefault="006C43D7" w:rsidP="006C43D7">
      <w:pPr>
        <w:tabs>
          <w:tab w:val="right" w:pos="0"/>
          <w:tab w:val="left" w:pos="4253"/>
        </w:tabs>
        <w:spacing w:line="360" w:lineRule="auto"/>
        <w:contextualSpacing/>
        <w:jc w:val="right"/>
        <w:rPr>
          <w:rFonts w:cs="Arial"/>
          <w:b/>
          <w:szCs w:val="22"/>
        </w:rPr>
      </w:pPr>
      <w:r w:rsidRPr="009B1E0E">
        <w:rPr>
          <w:rFonts w:cs="Arial"/>
          <w:b/>
          <w:szCs w:val="22"/>
        </w:rPr>
        <w:t>JOHANNESBURG</w:t>
      </w:r>
    </w:p>
    <w:p w14:paraId="326B529B" w14:textId="77777777" w:rsidR="006C43D7" w:rsidRPr="009B1E0E" w:rsidRDefault="006C43D7" w:rsidP="006C43D7">
      <w:pPr>
        <w:tabs>
          <w:tab w:val="right" w:pos="0"/>
          <w:tab w:val="left" w:pos="4253"/>
        </w:tabs>
        <w:spacing w:line="360" w:lineRule="auto"/>
        <w:contextualSpacing/>
        <w:jc w:val="center"/>
        <w:rPr>
          <w:rFonts w:cs="Arial"/>
          <w:b/>
          <w:szCs w:val="22"/>
        </w:rPr>
      </w:pPr>
    </w:p>
    <w:p w14:paraId="5A4CC56C" w14:textId="051C4E22" w:rsidR="006C43D7" w:rsidRPr="009B1E0E" w:rsidRDefault="006C43D7" w:rsidP="006C43D7">
      <w:pPr>
        <w:spacing w:after="200" w:line="480" w:lineRule="auto"/>
        <w:contextualSpacing/>
        <w:jc w:val="right"/>
        <w:rPr>
          <w:rFonts w:cs="Arial"/>
          <w:b/>
          <w:i/>
          <w:iCs/>
          <w:szCs w:val="22"/>
        </w:rPr>
      </w:pPr>
      <w:r w:rsidRPr="009B1E0E">
        <w:rPr>
          <w:rFonts w:cs="Arial"/>
          <w:b/>
          <w:i/>
          <w:iCs/>
          <w:szCs w:val="22"/>
        </w:rPr>
        <w:t>Electronically submitted</w:t>
      </w:r>
    </w:p>
    <w:p w14:paraId="4E3E9427" w14:textId="77777777" w:rsidR="006C43D7" w:rsidRPr="009B1E0E" w:rsidRDefault="006C43D7" w:rsidP="006C43D7">
      <w:pPr>
        <w:spacing w:after="200" w:line="360" w:lineRule="auto"/>
        <w:contextualSpacing/>
        <w:jc w:val="both"/>
        <w:rPr>
          <w:rFonts w:eastAsia="Arial Unicode MS" w:cs="Arial"/>
          <w:bCs/>
          <w:szCs w:val="22"/>
        </w:rPr>
      </w:pPr>
    </w:p>
    <w:p w14:paraId="51C686CA" w14:textId="635FEE84" w:rsidR="006C43D7" w:rsidRPr="009B1E0E" w:rsidRDefault="006C43D7" w:rsidP="006C43D7">
      <w:pPr>
        <w:spacing w:after="200" w:line="360" w:lineRule="auto"/>
        <w:contextualSpacing/>
        <w:jc w:val="both"/>
        <w:rPr>
          <w:rFonts w:eastAsia="Arial Unicode MS" w:cs="Arial"/>
          <w:bCs/>
          <w:szCs w:val="22"/>
        </w:rPr>
      </w:pPr>
      <w:r w:rsidRPr="009B1E0E">
        <w:rPr>
          <w:rFonts w:eastAsia="Arial Unicode MS" w:cs="Arial"/>
          <w:bCs/>
          <w:szCs w:val="22"/>
        </w:rPr>
        <w:t>Delivered: This judgement was prepared and authored by the Acting Judge whose name is reflected and is handed down electronically by circulation to the Parties / their legal representatives by email and by uploading it to the electronic file of this matter on CaseLines. The date of the judgment is deemed to be</w:t>
      </w:r>
      <w:r w:rsidR="00C460A0" w:rsidRPr="009B1E0E">
        <w:rPr>
          <w:rFonts w:eastAsia="Arial Unicode MS" w:cs="Arial"/>
          <w:bCs/>
          <w:szCs w:val="22"/>
        </w:rPr>
        <w:t xml:space="preserve"> </w:t>
      </w:r>
      <w:r w:rsidR="00C419CB" w:rsidRPr="009B1E0E">
        <w:rPr>
          <w:rFonts w:eastAsia="Arial Unicode MS" w:cs="Arial"/>
          <w:b/>
          <w:szCs w:val="22"/>
        </w:rPr>
        <w:t>2</w:t>
      </w:r>
      <w:r w:rsidR="006368AD">
        <w:rPr>
          <w:rFonts w:eastAsia="Arial Unicode MS" w:cs="Arial"/>
          <w:b/>
          <w:szCs w:val="22"/>
        </w:rPr>
        <w:t>8</w:t>
      </w:r>
      <w:r w:rsidR="00DC6EF8" w:rsidRPr="009B1E0E">
        <w:rPr>
          <w:rFonts w:eastAsia="Arial Unicode MS" w:cs="Arial"/>
          <w:b/>
          <w:szCs w:val="22"/>
        </w:rPr>
        <w:t xml:space="preserve"> </w:t>
      </w:r>
      <w:r w:rsidR="00DC6EF8" w:rsidRPr="009B1E0E">
        <w:rPr>
          <w:rFonts w:eastAsia="Arial Unicode MS" w:cs="Arial"/>
          <w:b/>
          <w:bCs/>
          <w:szCs w:val="22"/>
        </w:rPr>
        <w:t>FEBRUARY</w:t>
      </w:r>
      <w:r w:rsidR="00237FF9" w:rsidRPr="009B1E0E">
        <w:rPr>
          <w:rFonts w:eastAsia="Arial Unicode MS" w:cs="Arial"/>
          <w:b/>
          <w:bCs/>
          <w:szCs w:val="22"/>
        </w:rPr>
        <w:t xml:space="preserve"> 202</w:t>
      </w:r>
      <w:r w:rsidR="00051A2B" w:rsidRPr="009B1E0E">
        <w:rPr>
          <w:rFonts w:eastAsia="Arial Unicode MS" w:cs="Arial"/>
          <w:b/>
          <w:bCs/>
          <w:szCs w:val="22"/>
        </w:rPr>
        <w:t>3</w:t>
      </w:r>
      <w:r w:rsidR="00051A2B" w:rsidRPr="009B1E0E">
        <w:rPr>
          <w:rFonts w:eastAsia="Arial Unicode MS" w:cs="Arial"/>
          <w:bCs/>
          <w:szCs w:val="22"/>
        </w:rPr>
        <w:t>.</w:t>
      </w:r>
    </w:p>
    <w:p w14:paraId="482DDF6E" w14:textId="77777777" w:rsidR="006C43D7" w:rsidRPr="009B1E0E" w:rsidRDefault="006C43D7" w:rsidP="006C43D7">
      <w:pPr>
        <w:tabs>
          <w:tab w:val="right" w:pos="0"/>
          <w:tab w:val="left" w:pos="4253"/>
        </w:tabs>
        <w:spacing w:line="360" w:lineRule="auto"/>
        <w:contextualSpacing/>
        <w:jc w:val="center"/>
        <w:rPr>
          <w:rFonts w:cs="Arial"/>
          <w:b/>
          <w:szCs w:val="22"/>
        </w:rPr>
      </w:pPr>
    </w:p>
    <w:tbl>
      <w:tblPr>
        <w:tblStyle w:val="TableGrid"/>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3651"/>
      </w:tblGrid>
      <w:tr w:rsidR="009D35B5" w:rsidRPr="009B1E0E" w14:paraId="493AF0D7" w14:textId="77777777" w:rsidTr="006E3064">
        <w:tc>
          <w:tcPr>
            <w:tcW w:w="4962" w:type="dxa"/>
          </w:tcPr>
          <w:p w14:paraId="6A05541A" w14:textId="6C30A334" w:rsidR="009D35B5" w:rsidRPr="009B1E0E" w:rsidRDefault="009D35B5" w:rsidP="00D33B27">
            <w:pPr>
              <w:tabs>
                <w:tab w:val="right" w:pos="0"/>
                <w:tab w:val="left" w:pos="4253"/>
              </w:tabs>
              <w:spacing w:before="120" w:after="120"/>
              <w:rPr>
                <w:rFonts w:cs="Arial"/>
                <w:szCs w:val="22"/>
              </w:rPr>
            </w:pPr>
            <w:bookmarkStart w:id="1" w:name="_Hlk128113277"/>
            <w:r w:rsidRPr="009B1E0E">
              <w:rPr>
                <w:rFonts w:cs="Arial"/>
                <w:szCs w:val="22"/>
              </w:rPr>
              <w:t xml:space="preserve">COUNSEL FOR THE </w:t>
            </w:r>
            <w:r w:rsidR="00D33B27" w:rsidRPr="009B1E0E">
              <w:rPr>
                <w:rFonts w:cs="Arial"/>
                <w:szCs w:val="22"/>
              </w:rPr>
              <w:t>1</w:t>
            </w:r>
            <w:r w:rsidR="00D33B27" w:rsidRPr="009B1E0E">
              <w:rPr>
                <w:rFonts w:cs="Arial"/>
                <w:szCs w:val="22"/>
                <w:vertAlign w:val="superscript"/>
              </w:rPr>
              <w:t>st</w:t>
            </w:r>
            <w:r w:rsidR="00D33B27" w:rsidRPr="009B1E0E">
              <w:rPr>
                <w:rFonts w:cs="Arial"/>
                <w:szCs w:val="22"/>
              </w:rPr>
              <w:t xml:space="preserve"> TO 8</w:t>
            </w:r>
            <w:r w:rsidR="00D33B27" w:rsidRPr="009B1E0E">
              <w:rPr>
                <w:rFonts w:cs="Arial"/>
                <w:szCs w:val="22"/>
                <w:vertAlign w:val="superscript"/>
              </w:rPr>
              <w:t>th</w:t>
            </w:r>
            <w:r w:rsidR="00D33B27" w:rsidRPr="009B1E0E">
              <w:rPr>
                <w:rFonts w:cs="Arial"/>
                <w:szCs w:val="22"/>
              </w:rPr>
              <w:t xml:space="preserve"> </w:t>
            </w:r>
            <w:r w:rsidR="00F1543D" w:rsidRPr="009B1E0E">
              <w:rPr>
                <w:rFonts w:cs="Arial"/>
                <w:szCs w:val="22"/>
              </w:rPr>
              <w:t xml:space="preserve"> APPLICANTS</w:t>
            </w:r>
            <w:r w:rsidRPr="009B1E0E">
              <w:rPr>
                <w:rFonts w:cs="Arial"/>
                <w:szCs w:val="22"/>
              </w:rPr>
              <w:t>:</w:t>
            </w:r>
          </w:p>
        </w:tc>
        <w:tc>
          <w:tcPr>
            <w:tcW w:w="3651" w:type="dxa"/>
          </w:tcPr>
          <w:p w14:paraId="2701D096" w14:textId="77777777" w:rsidR="00DC6EF8" w:rsidRPr="009B1E0E" w:rsidRDefault="00F1543D" w:rsidP="00D33B27">
            <w:pPr>
              <w:tabs>
                <w:tab w:val="right" w:pos="0"/>
                <w:tab w:val="left" w:pos="567"/>
                <w:tab w:val="right" w:pos="2727"/>
                <w:tab w:val="left" w:pos="4253"/>
              </w:tabs>
              <w:spacing w:before="120" w:after="120"/>
              <w:jc w:val="right"/>
              <w:rPr>
                <w:rFonts w:cs="Arial"/>
                <w:szCs w:val="22"/>
              </w:rPr>
            </w:pPr>
            <w:r w:rsidRPr="009B1E0E">
              <w:rPr>
                <w:rFonts w:cs="Arial"/>
                <w:szCs w:val="22"/>
              </w:rPr>
              <w:t>N ARENDSE SC</w:t>
            </w:r>
          </w:p>
          <w:p w14:paraId="69785AA9" w14:textId="68ED1991" w:rsidR="00A33524" w:rsidRPr="009B1E0E" w:rsidRDefault="00A33524" w:rsidP="00D33B27">
            <w:pPr>
              <w:tabs>
                <w:tab w:val="right" w:pos="0"/>
                <w:tab w:val="left" w:pos="567"/>
                <w:tab w:val="right" w:pos="2727"/>
                <w:tab w:val="left" w:pos="4253"/>
              </w:tabs>
              <w:spacing w:before="120" w:after="120"/>
              <w:jc w:val="right"/>
              <w:rPr>
                <w:rFonts w:cs="Arial"/>
                <w:szCs w:val="22"/>
              </w:rPr>
            </w:pPr>
            <w:r w:rsidRPr="009B1E0E">
              <w:rPr>
                <w:rFonts w:cs="Arial"/>
                <w:szCs w:val="22"/>
              </w:rPr>
              <w:t>S FERGUS</w:t>
            </w:r>
          </w:p>
        </w:tc>
      </w:tr>
      <w:tr w:rsidR="009D35B5" w:rsidRPr="009B1E0E" w14:paraId="183C176D" w14:textId="77777777" w:rsidTr="006E3064">
        <w:tc>
          <w:tcPr>
            <w:tcW w:w="4962" w:type="dxa"/>
          </w:tcPr>
          <w:p w14:paraId="75365413" w14:textId="481747BC" w:rsidR="009D35B5" w:rsidRPr="009B1E0E" w:rsidRDefault="009D35B5" w:rsidP="00D33B27">
            <w:pPr>
              <w:tabs>
                <w:tab w:val="right" w:pos="0"/>
                <w:tab w:val="left" w:pos="4253"/>
              </w:tabs>
              <w:spacing w:before="120" w:after="120"/>
              <w:rPr>
                <w:rFonts w:cs="Arial"/>
                <w:szCs w:val="22"/>
              </w:rPr>
            </w:pPr>
            <w:r w:rsidRPr="009B1E0E">
              <w:rPr>
                <w:rFonts w:cs="Arial"/>
                <w:szCs w:val="22"/>
              </w:rPr>
              <w:t>INSTRUCTED BY:</w:t>
            </w:r>
          </w:p>
        </w:tc>
        <w:tc>
          <w:tcPr>
            <w:tcW w:w="3651" w:type="dxa"/>
          </w:tcPr>
          <w:p w14:paraId="4044534A" w14:textId="2AF6D7DF" w:rsidR="009D35B5" w:rsidRPr="009B1E0E" w:rsidRDefault="00A33524" w:rsidP="00D33B27">
            <w:pPr>
              <w:tabs>
                <w:tab w:val="right" w:pos="0"/>
                <w:tab w:val="left" w:pos="4253"/>
              </w:tabs>
              <w:spacing w:before="120" w:after="120"/>
              <w:jc w:val="right"/>
              <w:rPr>
                <w:rFonts w:cs="Arial"/>
                <w:szCs w:val="22"/>
              </w:rPr>
            </w:pPr>
            <w:r w:rsidRPr="009B1E0E">
              <w:rPr>
                <w:rFonts w:cs="Arial"/>
                <w:szCs w:val="22"/>
              </w:rPr>
              <w:t>ASSHETON</w:t>
            </w:r>
            <w:r w:rsidR="00D33B27" w:rsidRPr="009B1E0E">
              <w:rPr>
                <w:rFonts w:cs="Arial"/>
                <w:szCs w:val="22"/>
              </w:rPr>
              <w:t>-SMITH GINSBERG INC</w:t>
            </w:r>
          </w:p>
        </w:tc>
      </w:tr>
      <w:tr w:rsidR="00D33B27" w:rsidRPr="009B1E0E" w14:paraId="6E2BF966" w14:textId="77777777" w:rsidTr="006E3064">
        <w:tc>
          <w:tcPr>
            <w:tcW w:w="4962" w:type="dxa"/>
          </w:tcPr>
          <w:p w14:paraId="545B6665" w14:textId="4FBF5B78" w:rsidR="00D33B27" w:rsidRPr="009B1E0E" w:rsidRDefault="00D33B27" w:rsidP="00D33B27">
            <w:pPr>
              <w:tabs>
                <w:tab w:val="right" w:pos="0"/>
                <w:tab w:val="left" w:pos="4253"/>
              </w:tabs>
              <w:spacing w:before="120" w:after="120"/>
              <w:rPr>
                <w:rFonts w:cs="Arial"/>
                <w:szCs w:val="22"/>
              </w:rPr>
            </w:pPr>
            <w:r w:rsidRPr="009B1E0E">
              <w:rPr>
                <w:rFonts w:cs="Arial"/>
                <w:szCs w:val="22"/>
              </w:rPr>
              <w:t>COUNSEL FOR THE 9</w:t>
            </w:r>
            <w:r w:rsidRPr="009B1E0E">
              <w:rPr>
                <w:rFonts w:cs="Arial"/>
                <w:szCs w:val="22"/>
                <w:vertAlign w:val="superscript"/>
              </w:rPr>
              <w:t>th</w:t>
            </w:r>
            <w:r w:rsidRPr="009B1E0E">
              <w:rPr>
                <w:rFonts w:cs="Arial"/>
                <w:szCs w:val="22"/>
              </w:rPr>
              <w:t xml:space="preserve"> APPLICANT:</w:t>
            </w:r>
          </w:p>
        </w:tc>
        <w:tc>
          <w:tcPr>
            <w:tcW w:w="3651" w:type="dxa"/>
          </w:tcPr>
          <w:p w14:paraId="51741A90" w14:textId="0B31D5CD" w:rsidR="00D33B27" w:rsidRPr="009B1E0E" w:rsidRDefault="00D33B27" w:rsidP="00D33B27">
            <w:pPr>
              <w:tabs>
                <w:tab w:val="right" w:pos="0"/>
                <w:tab w:val="left" w:pos="4253"/>
              </w:tabs>
              <w:spacing w:before="120" w:after="120"/>
              <w:jc w:val="right"/>
              <w:rPr>
                <w:rFonts w:cs="Arial"/>
                <w:szCs w:val="22"/>
              </w:rPr>
            </w:pPr>
            <w:r w:rsidRPr="009B1E0E">
              <w:rPr>
                <w:rFonts w:cs="Arial"/>
                <w:szCs w:val="22"/>
              </w:rPr>
              <w:t>I VEERSAMY</w:t>
            </w:r>
          </w:p>
        </w:tc>
      </w:tr>
      <w:tr w:rsidR="00D33B27" w:rsidRPr="009B1E0E" w14:paraId="1EC4105A" w14:textId="77777777" w:rsidTr="006E3064">
        <w:tc>
          <w:tcPr>
            <w:tcW w:w="4962" w:type="dxa"/>
          </w:tcPr>
          <w:p w14:paraId="184EC2ED" w14:textId="6D1A6259" w:rsidR="00D33B27" w:rsidRPr="009B1E0E" w:rsidRDefault="00D33B27" w:rsidP="00D33B27">
            <w:pPr>
              <w:tabs>
                <w:tab w:val="right" w:pos="0"/>
                <w:tab w:val="left" w:pos="4253"/>
              </w:tabs>
              <w:spacing w:before="120" w:after="120"/>
              <w:rPr>
                <w:rFonts w:cs="Arial"/>
                <w:szCs w:val="22"/>
              </w:rPr>
            </w:pPr>
            <w:r w:rsidRPr="009B1E0E">
              <w:rPr>
                <w:rFonts w:cs="Arial"/>
                <w:szCs w:val="22"/>
              </w:rPr>
              <w:t>INSTRUCTED BY:</w:t>
            </w:r>
          </w:p>
        </w:tc>
        <w:tc>
          <w:tcPr>
            <w:tcW w:w="3651" w:type="dxa"/>
          </w:tcPr>
          <w:p w14:paraId="2098BE2A" w14:textId="21C4B31B" w:rsidR="00D33B27" w:rsidRPr="009B1E0E" w:rsidRDefault="00D33B27" w:rsidP="00D33B27">
            <w:pPr>
              <w:tabs>
                <w:tab w:val="right" w:pos="0"/>
                <w:tab w:val="left" w:pos="4253"/>
              </w:tabs>
              <w:spacing w:before="120" w:after="120"/>
              <w:jc w:val="right"/>
              <w:rPr>
                <w:rFonts w:cs="Arial"/>
                <w:szCs w:val="22"/>
              </w:rPr>
            </w:pPr>
            <w:r w:rsidRPr="009B1E0E">
              <w:rPr>
                <w:rFonts w:cs="Arial"/>
                <w:szCs w:val="22"/>
              </w:rPr>
              <w:t>PATHER &amp; PATHER ATTORNEYS INC</w:t>
            </w:r>
          </w:p>
        </w:tc>
      </w:tr>
      <w:tr w:rsidR="00D33B27" w:rsidRPr="009B1E0E" w14:paraId="2A3FE2B1" w14:textId="77777777" w:rsidTr="006E3064">
        <w:tc>
          <w:tcPr>
            <w:tcW w:w="4962" w:type="dxa"/>
          </w:tcPr>
          <w:p w14:paraId="0767D0FE" w14:textId="551E06BA" w:rsidR="00D33B27" w:rsidRPr="009B1E0E" w:rsidRDefault="00D33B27" w:rsidP="00D33B27">
            <w:pPr>
              <w:tabs>
                <w:tab w:val="right" w:pos="0"/>
                <w:tab w:val="left" w:pos="4253"/>
              </w:tabs>
              <w:spacing w:before="120" w:after="120"/>
              <w:rPr>
                <w:rFonts w:cs="Arial"/>
                <w:szCs w:val="22"/>
              </w:rPr>
            </w:pPr>
            <w:r w:rsidRPr="009B1E0E">
              <w:rPr>
                <w:rFonts w:cs="Arial"/>
                <w:szCs w:val="22"/>
              </w:rPr>
              <w:t>COUNSEL FOR THE 1</w:t>
            </w:r>
            <w:r w:rsidRPr="009B1E0E">
              <w:rPr>
                <w:rFonts w:cs="Arial"/>
                <w:szCs w:val="22"/>
                <w:vertAlign w:val="superscript"/>
              </w:rPr>
              <w:t>st</w:t>
            </w:r>
            <w:r w:rsidRPr="009B1E0E">
              <w:rPr>
                <w:rFonts w:cs="Arial"/>
                <w:szCs w:val="22"/>
              </w:rPr>
              <w:t xml:space="preserve"> TO 10</w:t>
            </w:r>
            <w:r w:rsidRPr="009B1E0E">
              <w:rPr>
                <w:rFonts w:cs="Arial"/>
                <w:szCs w:val="22"/>
                <w:vertAlign w:val="superscript"/>
              </w:rPr>
              <w:t>th</w:t>
            </w:r>
            <w:r w:rsidRPr="009B1E0E">
              <w:rPr>
                <w:rFonts w:cs="Arial"/>
                <w:szCs w:val="22"/>
              </w:rPr>
              <w:t xml:space="preserve"> RESPONDENTS</w:t>
            </w:r>
          </w:p>
        </w:tc>
        <w:tc>
          <w:tcPr>
            <w:tcW w:w="3651" w:type="dxa"/>
          </w:tcPr>
          <w:p w14:paraId="588B1939" w14:textId="77777777" w:rsidR="00D33B27" w:rsidRPr="009B1E0E" w:rsidRDefault="00D33B27" w:rsidP="00D33B27">
            <w:pPr>
              <w:tabs>
                <w:tab w:val="right" w:pos="0"/>
                <w:tab w:val="left" w:pos="4253"/>
              </w:tabs>
              <w:spacing w:before="120" w:after="120"/>
              <w:jc w:val="right"/>
              <w:rPr>
                <w:rFonts w:cs="Arial"/>
                <w:szCs w:val="22"/>
              </w:rPr>
            </w:pPr>
            <w:r w:rsidRPr="009B1E0E">
              <w:rPr>
                <w:rFonts w:cs="Arial"/>
                <w:szCs w:val="22"/>
              </w:rPr>
              <w:t>JG DICKERSON SC</w:t>
            </w:r>
          </w:p>
          <w:p w14:paraId="34C95147" w14:textId="32C88499" w:rsidR="00D33B27" w:rsidRPr="009B1E0E" w:rsidRDefault="00D33B27" w:rsidP="00D33B27">
            <w:pPr>
              <w:tabs>
                <w:tab w:val="right" w:pos="0"/>
                <w:tab w:val="left" w:pos="4253"/>
              </w:tabs>
              <w:spacing w:before="120" w:after="120"/>
              <w:jc w:val="right"/>
              <w:rPr>
                <w:rFonts w:cs="Arial"/>
                <w:szCs w:val="22"/>
              </w:rPr>
            </w:pPr>
            <w:r w:rsidRPr="009B1E0E">
              <w:rPr>
                <w:rFonts w:cs="Arial"/>
                <w:szCs w:val="22"/>
              </w:rPr>
              <w:t>JD MACKENZIE</w:t>
            </w:r>
          </w:p>
        </w:tc>
      </w:tr>
      <w:tr w:rsidR="00D33B27" w:rsidRPr="009B1E0E" w14:paraId="2AC11E46" w14:textId="77777777" w:rsidTr="006E3064">
        <w:tc>
          <w:tcPr>
            <w:tcW w:w="4962" w:type="dxa"/>
          </w:tcPr>
          <w:p w14:paraId="1136CEE6" w14:textId="4F41A35D" w:rsidR="00D33B27" w:rsidRPr="009B1E0E" w:rsidRDefault="00D33B27" w:rsidP="00D33B27">
            <w:pPr>
              <w:tabs>
                <w:tab w:val="right" w:pos="0"/>
                <w:tab w:val="left" w:pos="4253"/>
              </w:tabs>
              <w:spacing w:before="120" w:after="120"/>
              <w:rPr>
                <w:rFonts w:cs="Arial"/>
                <w:szCs w:val="22"/>
              </w:rPr>
            </w:pPr>
            <w:r w:rsidRPr="009B1E0E">
              <w:rPr>
                <w:rFonts w:cs="Arial"/>
                <w:szCs w:val="22"/>
              </w:rPr>
              <w:t>INSTRUCTED BY:</w:t>
            </w:r>
          </w:p>
        </w:tc>
        <w:tc>
          <w:tcPr>
            <w:tcW w:w="3651" w:type="dxa"/>
          </w:tcPr>
          <w:p w14:paraId="7EAC157B" w14:textId="18A4EA20" w:rsidR="00D33B27" w:rsidRPr="009B1E0E" w:rsidRDefault="00D33B27" w:rsidP="00D33B27">
            <w:pPr>
              <w:tabs>
                <w:tab w:val="right" w:pos="0"/>
                <w:tab w:val="left" w:pos="4253"/>
              </w:tabs>
              <w:spacing w:before="120" w:after="120"/>
              <w:jc w:val="right"/>
              <w:rPr>
                <w:rFonts w:cs="Arial"/>
                <w:szCs w:val="22"/>
              </w:rPr>
            </w:pPr>
            <w:r w:rsidRPr="009B1E0E">
              <w:rPr>
                <w:rFonts w:cs="Arial"/>
                <w:szCs w:val="22"/>
              </w:rPr>
              <w:t>C</w:t>
            </w:r>
            <w:r w:rsidR="00722E25" w:rsidRPr="009B1E0E">
              <w:rPr>
                <w:rFonts w:cs="Arial"/>
                <w:szCs w:val="22"/>
              </w:rPr>
              <w:t>LIFF</w:t>
            </w:r>
            <w:r w:rsidR="00741603" w:rsidRPr="009B1E0E">
              <w:rPr>
                <w:rFonts w:cs="Arial"/>
                <w:szCs w:val="22"/>
              </w:rPr>
              <w:t>E</w:t>
            </w:r>
            <w:r w:rsidR="00722E25" w:rsidRPr="009B1E0E">
              <w:rPr>
                <w:rFonts w:cs="Arial"/>
                <w:szCs w:val="22"/>
              </w:rPr>
              <w:t xml:space="preserve"> </w:t>
            </w:r>
            <w:r w:rsidRPr="009B1E0E">
              <w:rPr>
                <w:rFonts w:cs="Arial"/>
                <w:szCs w:val="22"/>
              </w:rPr>
              <w:t>D</w:t>
            </w:r>
            <w:r w:rsidR="00722E25" w:rsidRPr="009B1E0E">
              <w:rPr>
                <w:rFonts w:cs="Arial"/>
                <w:szCs w:val="22"/>
              </w:rPr>
              <w:t xml:space="preserve">EKKER </w:t>
            </w:r>
            <w:r w:rsidRPr="009B1E0E">
              <w:rPr>
                <w:rFonts w:cs="Arial"/>
                <w:szCs w:val="22"/>
              </w:rPr>
              <w:t>H</w:t>
            </w:r>
            <w:r w:rsidR="00722E25" w:rsidRPr="009B1E0E">
              <w:rPr>
                <w:rFonts w:cs="Arial"/>
                <w:szCs w:val="22"/>
              </w:rPr>
              <w:t>OFMEYR</w:t>
            </w:r>
            <w:r w:rsidRPr="009B1E0E">
              <w:rPr>
                <w:rFonts w:cs="Arial"/>
                <w:szCs w:val="22"/>
              </w:rPr>
              <w:t xml:space="preserve"> INC</w:t>
            </w:r>
          </w:p>
        </w:tc>
      </w:tr>
      <w:bookmarkEnd w:id="1"/>
      <w:tr w:rsidR="00D33B27" w:rsidRPr="009B1E0E" w14:paraId="757AA656" w14:textId="77777777" w:rsidTr="006E3064">
        <w:tc>
          <w:tcPr>
            <w:tcW w:w="4962" w:type="dxa"/>
          </w:tcPr>
          <w:p w14:paraId="05387251" w14:textId="681130EA" w:rsidR="00D33B27" w:rsidRPr="009B1E0E" w:rsidRDefault="00D33B27" w:rsidP="00D33B27">
            <w:pPr>
              <w:tabs>
                <w:tab w:val="right" w:pos="0"/>
                <w:tab w:val="left" w:pos="4253"/>
              </w:tabs>
              <w:spacing w:before="120" w:after="120"/>
              <w:rPr>
                <w:rFonts w:cs="Arial"/>
                <w:szCs w:val="22"/>
              </w:rPr>
            </w:pPr>
            <w:r w:rsidRPr="009B1E0E">
              <w:rPr>
                <w:rFonts w:cs="Arial"/>
                <w:szCs w:val="22"/>
              </w:rPr>
              <w:t>DATE OF HEARING:</w:t>
            </w:r>
          </w:p>
        </w:tc>
        <w:tc>
          <w:tcPr>
            <w:tcW w:w="3651" w:type="dxa"/>
          </w:tcPr>
          <w:p w14:paraId="61863A62" w14:textId="4402305C" w:rsidR="00D33B27" w:rsidRPr="009B1E0E" w:rsidRDefault="00D33B27" w:rsidP="00D33B27">
            <w:pPr>
              <w:tabs>
                <w:tab w:val="right" w:pos="0"/>
                <w:tab w:val="left" w:pos="4253"/>
              </w:tabs>
              <w:spacing w:before="120" w:after="120"/>
              <w:jc w:val="right"/>
              <w:rPr>
                <w:rFonts w:cs="Arial"/>
                <w:szCs w:val="22"/>
              </w:rPr>
            </w:pPr>
            <w:r w:rsidRPr="009B1E0E">
              <w:rPr>
                <w:rFonts w:cs="Arial"/>
                <w:szCs w:val="22"/>
              </w:rPr>
              <w:t>13, 14, &amp; 15 FEBRUARY 2023</w:t>
            </w:r>
          </w:p>
        </w:tc>
      </w:tr>
      <w:tr w:rsidR="00D33B27" w:rsidRPr="009B1E0E" w14:paraId="2490A06B" w14:textId="77777777" w:rsidTr="006E3064">
        <w:tc>
          <w:tcPr>
            <w:tcW w:w="4962" w:type="dxa"/>
          </w:tcPr>
          <w:p w14:paraId="0D5D9A25" w14:textId="768E675B" w:rsidR="00D33B27" w:rsidRPr="009B1E0E" w:rsidRDefault="00D33B27" w:rsidP="00D33B27">
            <w:pPr>
              <w:tabs>
                <w:tab w:val="right" w:pos="0"/>
                <w:tab w:val="left" w:pos="4253"/>
              </w:tabs>
              <w:spacing w:before="120" w:after="120"/>
              <w:rPr>
                <w:rFonts w:cs="Arial"/>
                <w:szCs w:val="22"/>
              </w:rPr>
            </w:pPr>
            <w:r w:rsidRPr="009B1E0E">
              <w:rPr>
                <w:rFonts w:cs="Arial"/>
                <w:szCs w:val="22"/>
              </w:rPr>
              <w:t>DATE OF ORDER AND JUDGMENT:</w:t>
            </w:r>
          </w:p>
        </w:tc>
        <w:tc>
          <w:tcPr>
            <w:tcW w:w="3651" w:type="dxa"/>
          </w:tcPr>
          <w:p w14:paraId="5AEF2CA5" w14:textId="25272E76" w:rsidR="00D33B27" w:rsidRPr="009B1E0E" w:rsidRDefault="00C419CB" w:rsidP="00D33B27">
            <w:pPr>
              <w:tabs>
                <w:tab w:val="right" w:pos="0"/>
                <w:tab w:val="left" w:pos="4253"/>
              </w:tabs>
              <w:spacing w:before="120" w:after="120"/>
              <w:jc w:val="right"/>
              <w:rPr>
                <w:rFonts w:cs="Arial"/>
                <w:szCs w:val="22"/>
              </w:rPr>
            </w:pPr>
            <w:r w:rsidRPr="009B1E0E">
              <w:rPr>
                <w:rFonts w:cs="Arial"/>
                <w:szCs w:val="22"/>
              </w:rPr>
              <w:t>2</w:t>
            </w:r>
            <w:r w:rsidR="006368AD">
              <w:rPr>
                <w:rFonts w:cs="Arial"/>
                <w:szCs w:val="22"/>
              </w:rPr>
              <w:t>8</w:t>
            </w:r>
            <w:r w:rsidR="00D33B27" w:rsidRPr="009B1E0E">
              <w:rPr>
                <w:rFonts w:cs="Arial"/>
                <w:szCs w:val="22"/>
              </w:rPr>
              <w:t xml:space="preserve"> FEBRUARY 2023</w:t>
            </w:r>
          </w:p>
        </w:tc>
      </w:tr>
    </w:tbl>
    <w:p w14:paraId="1BD8F4EB" w14:textId="20CECA63" w:rsidR="003D59D4" w:rsidRPr="009B1E0E" w:rsidRDefault="00A402F6" w:rsidP="00A402F6">
      <w:pPr>
        <w:tabs>
          <w:tab w:val="right" w:pos="8647"/>
        </w:tabs>
        <w:spacing w:line="360" w:lineRule="auto"/>
        <w:contextualSpacing/>
        <w:jc w:val="both"/>
        <w:rPr>
          <w:rFonts w:cs="Arial"/>
          <w:szCs w:val="22"/>
        </w:rPr>
      </w:pPr>
      <w:r w:rsidRPr="009B1E0E">
        <w:rPr>
          <w:rFonts w:cs="Arial"/>
          <w:szCs w:val="22"/>
        </w:rPr>
        <w:tab/>
      </w:r>
    </w:p>
    <w:p w14:paraId="3836F782" w14:textId="77777777" w:rsidR="003D59D4" w:rsidRDefault="003D59D4">
      <w:pPr>
        <w:rPr>
          <w:rFonts w:cs="Arial"/>
        </w:rPr>
      </w:pPr>
      <w:r w:rsidRPr="009B1E0E">
        <w:rPr>
          <w:rFonts w:cs="Arial"/>
          <w:szCs w:val="22"/>
        </w:rPr>
        <w:br w:type="page"/>
      </w:r>
    </w:p>
    <w:p w14:paraId="00AA5014" w14:textId="18E627FE" w:rsidR="00A402F6" w:rsidRPr="006C43D7" w:rsidRDefault="003D59D4" w:rsidP="00A402F6">
      <w:pPr>
        <w:tabs>
          <w:tab w:val="right" w:pos="8647"/>
        </w:tabs>
        <w:spacing w:line="360" w:lineRule="auto"/>
        <w:contextualSpacing/>
        <w:jc w:val="both"/>
        <w:rPr>
          <w:rFonts w:cs="Arial"/>
        </w:rPr>
      </w:pPr>
      <w:r w:rsidRPr="003D59D4">
        <w:rPr>
          <w:rFonts w:cs="Arial"/>
          <w:noProof/>
          <w:lang w:val="en-US"/>
        </w:rPr>
        <w:lastRenderedPageBreak/>
        <w:drawing>
          <wp:inline distT="0" distB="0" distL="0" distR="0" wp14:anchorId="638B7B9A" wp14:editId="3C0A890A">
            <wp:extent cx="5429885" cy="33013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9885" cy="3301365"/>
                    </a:xfrm>
                    <a:prstGeom prst="rect">
                      <a:avLst/>
                    </a:prstGeom>
                    <a:noFill/>
                    <a:ln>
                      <a:noFill/>
                    </a:ln>
                  </pic:spPr>
                </pic:pic>
              </a:graphicData>
            </a:graphic>
          </wp:inline>
        </w:drawing>
      </w:r>
      <w:r w:rsidRPr="003D59D4">
        <w:rPr>
          <w:rFonts w:cs="Arial"/>
        </w:rPr>
        <w:t xml:space="preserve"> </w:t>
      </w:r>
      <w:r w:rsidRPr="003D59D4">
        <w:rPr>
          <w:rFonts w:cs="Arial"/>
          <w:noProof/>
          <w:lang w:val="en-US"/>
        </w:rPr>
        <w:drawing>
          <wp:inline distT="0" distB="0" distL="0" distR="0" wp14:anchorId="72FBE524" wp14:editId="6B2C1304">
            <wp:extent cx="5429885" cy="24307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885" cy="2430780"/>
                    </a:xfrm>
                    <a:prstGeom prst="rect">
                      <a:avLst/>
                    </a:prstGeom>
                    <a:noFill/>
                    <a:ln>
                      <a:noFill/>
                    </a:ln>
                  </pic:spPr>
                </pic:pic>
              </a:graphicData>
            </a:graphic>
          </wp:inline>
        </w:drawing>
      </w:r>
      <w:r w:rsidRPr="003D59D4">
        <w:rPr>
          <w:rFonts w:cs="Arial"/>
        </w:rPr>
        <w:t xml:space="preserve"> </w:t>
      </w:r>
      <w:r w:rsidRPr="003D59D4">
        <w:rPr>
          <w:rFonts w:cs="Arial"/>
          <w:noProof/>
          <w:lang w:val="en-US"/>
        </w:rPr>
        <w:lastRenderedPageBreak/>
        <w:drawing>
          <wp:inline distT="0" distB="0" distL="0" distR="0" wp14:anchorId="61C25BFC" wp14:editId="1727916C">
            <wp:extent cx="5429885" cy="79825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885" cy="7982585"/>
                    </a:xfrm>
                    <a:prstGeom prst="rect">
                      <a:avLst/>
                    </a:prstGeom>
                    <a:noFill/>
                    <a:ln>
                      <a:noFill/>
                    </a:ln>
                  </pic:spPr>
                </pic:pic>
              </a:graphicData>
            </a:graphic>
          </wp:inline>
        </w:drawing>
      </w:r>
      <w:r w:rsidRPr="003D59D4">
        <w:rPr>
          <w:rFonts w:cs="Arial"/>
        </w:rPr>
        <w:t xml:space="preserve"> </w:t>
      </w:r>
      <w:r w:rsidRPr="003D59D4">
        <w:rPr>
          <w:rFonts w:cs="Arial"/>
          <w:noProof/>
          <w:lang w:val="en-US"/>
        </w:rPr>
        <w:lastRenderedPageBreak/>
        <w:drawing>
          <wp:inline distT="0" distB="0" distL="0" distR="0" wp14:anchorId="27A82FAB" wp14:editId="3BA25682">
            <wp:extent cx="5429885" cy="69202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885" cy="6920230"/>
                    </a:xfrm>
                    <a:prstGeom prst="rect">
                      <a:avLst/>
                    </a:prstGeom>
                    <a:noFill/>
                    <a:ln>
                      <a:noFill/>
                    </a:ln>
                  </pic:spPr>
                </pic:pic>
              </a:graphicData>
            </a:graphic>
          </wp:inline>
        </w:drawing>
      </w:r>
    </w:p>
    <w:sectPr w:rsidR="00A402F6" w:rsidRPr="006C43D7" w:rsidSect="009869F2">
      <w:headerReference w:type="default" r:id="rId12"/>
      <w:pgSz w:w="11906" w:h="16838"/>
      <w:pgMar w:top="1440" w:right="1558" w:bottom="1276"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47A137" w14:textId="77777777" w:rsidR="00AE7DB3" w:rsidRDefault="00AE7DB3">
      <w:r>
        <w:separator/>
      </w:r>
    </w:p>
  </w:endnote>
  <w:endnote w:type="continuationSeparator" w:id="0">
    <w:p w14:paraId="42865C97" w14:textId="77777777" w:rsidR="00AE7DB3" w:rsidRDefault="00AE7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E451B1" w14:textId="77777777" w:rsidR="00AE7DB3" w:rsidRDefault="00AE7DB3">
      <w:r>
        <w:separator/>
      </w:r>
    </w:p>
  </w:footnote>
  <w:footnote w:type="continuationSeparator" w:id="0">
    <w:p w14:paraId="1DD17EE6" w14:textId="77777777" w:rsidR="00AE7DB3" w:rsidRDefault="00AE7DB3">
      <w:r>
        <w:continuationSeparator/>
      </w:r>
    </w:p>
  </w:footnote>
  <w:footnote w:id="1">
    <w:p w14:paraId="55A19060" w14:textId="04A2AB5A" w:rsidR="00295ACB" w:rsidRDefault="00295ACB">
      <w:pPr>
        <w:pStyle w:val="FootnoteText"/>
      </w:pPr>
      <w:r>
        <w:rPr>
          <w:rStyle w:val="FootnoteReference"/>
        </w:rPr>
        <w:footnoteRef/>
      </w:r>
      <w:r>
        <w:t xml:space="preserve"> </w:t>
      </w:r>
      <w:r>
        <w:tab/>
        <w:t>ALI was formerly known as the National Empowerment Corporation (Pty) Ltd or NECorp.</w:t>
      </w:r>
    </w:p>
  </w:footnote>
  <w:footnote w:id="2">
    <w:p w14:paraId="2FC663AD" w14:textId="77777777" w:rsidR="006F3FAE" w:rsidRPr="007954EC" w:rsidRDefault="006F3FAE" w:rsidP="006F3FAE">
      <w:pPr>
        <w:pStyle w:val="FootnoteText"/>
        <w:rPr>
          <w:rFonts w:cs="Arial"/>
        </w:rPr>
      </w:pPr>
      <w:r w:rsidRPr="007954EC">
        <w:rPr>
          <w:rStyle w:val="FootnoteReference"/>
          <w:rFonts w:cs="Arial"/>
        </w:rPr>
        <w:footnoteRef/>
      </w:r>
      <w:r w:rsidRPr="007954EC">
        <w:rPr>
          <w:rFonts w:cs="Arial"/>
        </w:rPr>
        <w:t xml:space="preserve"> </w:t>
      </w:r>
      <w:r w:rsidRPr="007954EC">
        <w:rPr>
          <w:rFonts w:cs="Arial"/>
        </w:rPr>
        <w:tab/>
        <w:t>It holds more than 83% of the issued shares.</w:t>
      </w:r>
    </w:p>
  </w:footnote>
  <w:footnote w:id="3">
    <w:p w14:paraId="68EAA9E7" w14:textId="77777777" w:rsidR="006F3FAE" w:rsidRPr="007954EC" w:rsidRDefault="006F3FAE" w:rsidP="006F3FAE">
      <w:pPr>
        <w:pStyle w:val="FootnoteText"/>
        <w:rPr>
          <w:rFonts w:cs="Arial"/>
        </w:rPr>
      </w:pPr>
      <w:r w:rsidRPr="007954EC">
        <w:rPr>
          <w:rStyle w:val="FootnoteReference"/>
          <w:rFonts w:cs="Arial"/>
        </w:rPr>
        <w:footnoteRef/>
      </w:r>
      <w:r w:rsidRPr="007954EC">
        <w:rPr>
          <w:rFonts w:cs="Arial"/>
        </w:rPr>
        <w:t xml:space="preserve"> </w:t>
      </w:r>
      <w:r w:rsidRPr="007954EC">
        <w:rPr>
          <w:rFonts w:cs="Arial"/>
        </w:rPr>
        <w:tab/>
        <w:t>It holds more than 70% of the issued shares.</w:t>
      </w:r>
    </w:p>
  </w:footnote>
  <w:footnote w:id="4">
    <w:p w14:paraId="0D84FCC1" w14:textId="20331D1F" w:rsidR="006F3FAE" w:rsidRPr="007954EC" w:rsidRDefault="006F3FAE" w:rsidP="006F3FAE">
      <w:pPr>
        <w:pStyle w:val="FootnoteText"/>
        <w:rPr>
          <w:rFonts w:cs="Arial"/>
        </w:rPr>
      </w:pPr>
      <w:r w:rsidRPr="007954EC">
        <w:rPr>
          <w:rStyle w:val="FootnoteReference"/>
          <w:rFonts w:cs="Arial"/>
        </w:rPr>
        <w:footnoteRef/>
      </w:r>
      <w:r w:rsidRPr="007954EC">
        <w:rPr>
          <w:rFonts w:cs="Arial"/>
        </w:rPr>
        <w:t xml:space="preserve"> </w:t>
      </w:r>
      <w:r w:rsidRPr="007954EC">
        <w:rPr>
          <w:rFonts w:cs="Arial"/>
        </w:rPr>
        <w:tab/>
        <w:t>F</w:t>
      </w:r>
      <w:r w:rsidR="00304947" w:rsidRPr="007954EC">
        <w:rPr>
          <w:rFonts w:cs="Arial"/>
        </w:rPr>
        <w:t xml:space="preserve">ounding affidavit </w:t>
      </w:r>
      <w:r w:rsidRPr="007954EC">
        <w:rPr>
          <w:rFonts w:cs="Arial"/>
        </w:rPr>
        <w:t xml:space="preserve">par. 17 (Caselines B21) and </w:t>
      </w:r>
      <w:r w:rsidR="00304947" w:rsidRPr="007954EC">
        <w:rPr>
          <w:rFonts w:cs="Arial"/>
        </w:rPr>
        <w:t>“</w:t>
      </w:r>
      <w:r w:rsidRPr="007954EC">
        <w:rPr>
          <w:rFonts w:cs="Arial"/>
        </w:rPr>
        <w:t>FA1</w:t>
      </w:r>
      <w:r w:rsidR="00304947" w:rsidRPr="007954EC">
        <w:rPr>
          <w:rFonts w:cs="Arial"/>
        </w:rPr>
        <w:t>”</w:t>
      </w:r>
      <w:r w:rsidRPr="007954EC">
        <w:rPr>
          <w:rFonts w:cs="Arial"/>
        </w:rPr>
        <w:t xml:space="preserve"> to founding affidavit (CaseLines B107).</w:t>
      </w:r>
    </w:p>
  </w:footnote>
  <w:footnote w:id="5">
    <w:p w14:paraId="41E138ED" w14:textId="77777777" w:rsidR="006F3FAE" w:rsidRPr="007954EC" w:rsidRDefault="006F3FAE" w:rsidP="006F3FAE">
      <w:pPr>
        <w:pStyle w:val="FootnoteText"/>
        <w:rPr>
          <w:rFonts w:cs="Arial"/>
        </w:rPr>
      </w:pPr>
      <w:r w:rsidRPr="007954EC">
        <w:rPr>
          <w:rStyle w:val="FootnoteReference"/>
          <w:rFonts w:cs="Arial"/>
        </w:rPr>
        <w:footnoteRef/>
      </w:r>
      <w:r w:rsidRPr="007954EC">
        <w:rPr>
          <w:rFonts w:cs="Arial"/>
        </w:rPr>
        <w:t xml:space="preserve"> </w:t>
      </w:r>
      <w:r w:rsidRPr="007954EC">
        <w:rPr>
          <w:rFonts w:cs="Arial"/>
        </w:rPr>
        <w:tab/>
        <w:t>S 2 of the Companies Act, 71 of 2008.</w:t>
      </w:r>
    </w:p>
  </w:footnote>
  <w:footnote w:id="6">
    <w:p w14:paraId="64DCC934" w14:textId="7DBC4B29" w:rsidR="00D84B17" w:rsidRDefault="00D84B17">
      <w:pPr>
        <w:pStyle w:val="FootnoteText"/>
      </w:pPr>
      <w:r>
        <w:rPr>
          <w:rStyle w:val="FootnoteReference"/>
        </w:rPr>
        <w:footnoteRef/>
      </w:r>
      <w:r>
        <w:t xml:space="preserve"> </w:t>
      </w:r>
      <w:r>
        <w:tab/>
        <w:t>Notice of motion (CaseLines B1).</w:t>
      </w:r>
    </w:p>
  </w:footnote>
  <w:footnote w:id="7">
    <w:p w14:paraId="2B8F6C39" w14:textId="4A35B68B" w:rsidR="00D84B17" w:rsidRDefault="00D84B17">
      <w:pPr>
        <w:pStyle w:val="FootnoteText"/>
      </w:pPr>
      <w:r>
        <w:rPr>
          <w:rStyle w:val="FootnoteReference"/>
        </w:rPr>
        <w:footnoteRef/>
      </w:r>
      <w:r>
        <w:t xml:space="preserve"> </w:t>
      </w:r>
      <w:r>
        <w:tab/>
        <w:t>Notice of counter – application (CaseLines E1416)</w:t>
      </w:r>
    </w:p>
  </w:footnote>
  <w:footnote w:id="8">
    <w:p w14:paraId="01B98871" w14:textId="5E622784" w:rsidR="00D04377" w:rsidRDefault="00D04377">
      <w:pPr>
        <w:pStyle w:val="FootnoteText"/>
      </w:pPr>
      <w:r>
        <w:rPr>
          <w:rStyle w:val="FootnoteReference"/>
        </w:rPr>
        <w:footnoteRef/>
      </w:r>
      <w:r>
        <w:t xml:space="preserve"> </w:t>
      </w:r>
      <w:r>
        <w:tab/>
        <w:t>The notice of counter – application actually refers to the 8</w:t>
      </w:r>
      <w:r w:rsidRPr="00D04377">
        <w:rPr>
          <w:vertAlign w:val="superscript"/>
        </w:rPr>
        <w:t>th</w:t>
      </w:r>
      <w:r>
        <w:t xml:space="preserve"> respondent</w:t>
      </w:r>
      <w:r w:rsidR="00F07432">
        <w:t>.</w:t>
      </w:r>
    </w:p>
  </w:footnote>
  <w:footnote w:id="9">
    <w:p w14:paraId="018F555D" w14:textId="5BEA0D6C" w:rsidR="00D04377" w:rsidRDefault="00D04377">
      <w:pPr>
        <w:pStyle w:val="FootnoteText"/>
      </w:pPr>
      <w:r>
        <w:rPr>
          <w:rStyle w:val="FootnoteReference"/>
        </w:rPr>
        <w:footnoteRef/>
      </w:r>
      <w:r>
        <w:t xml:space="preserve"> </w:t>
      </w:r>
      <w:r>
        <w:tab/>
      </w:r>
      <w:r w:rsidR="001C6CB9">
        <w:t>Amended notice of counter – application (CaseLines F1-191).</w:t>
      </w:r>
    </w:p>
  </w:footnote>
  <w:footnote w:id="10">
    <w:p w14:paraId="28523357" w14:textId="14F49583" w:rsidR="003704EF" w:rsidRDefault="003704EF">
      <w:pPr>
        <w:pStyle w:val="FootnoteText"/>
      </w:pPr>
      <w:r>
        <w:rPr>
          <w:rStyle w:val="FootnoteReference"/>
        </w:rPr>
        <w:footnoteRef/>
      </w:r>
      <w:r>
        <w:t xml:space="preserve"> </w:t>
      </w:r>
      <w:r>
        <w:tab/>
      </w:r>
      <w:r w:rsidR="00D13D1F">
        <w:t>Supplementary notice of motion (CaseLines G1).</w:t>
      </w:r>
    </w:p>
  </w:footnote>
  <w:footnote w:id="11">
    <w:p w14:paraId="166FF484" w14:textId="18BB35AC" w:rsidR="00DC2CD8" w:rsidRPr="007954EC" w:rsidRDefault="00DC2CD8" w:rsidP="00DC2CD8">
      <w:pPr>
        <w:pStyle w:val="FootnoteText"/>
        <w:rPr>
          <w:rFonts w:cs="Arial"/>
        </w:rPr>
      </w:pPr>
      <w:r w:rsidRPr="007954EC">
        <w:rPr>
          <w:rStyle w:val="FootnoteReference"/>
          <w:rFonts w:cs="Arial"/>
        </w:rPr>
        <w:footnoteRef/>
      </w:r>
      <w:r w:rsidRPr="007954EC">
        <w:rPr>
          <w:rFonts w:cs="Arial"/>
        </w:rPr>
        <w:t xml:space="preserve"> </w:t>
      </w:r>
      <w:r w:rsidRPr="007954EC">
        <w:rPr>
          <w:rFonts w:cs="Arial"/>
        </w:rPr>
        <w:tab/>
        <w:t>The facts are fully dealt with in comprehensive affidavits and in very helpful heads of argument filed on behalf of the applicants and the 1</w:t>
      </w:r>
      <w:r w:rsidRPr="007954EC">
        <w:rPr>
          <w:rFonts w:cs="Arial"/>
          <w:vertAlign w:val="superscript"/>
        </w:rPr>
        <w:t>st</w:t>
      </w:r>
      <w:r w:rsidRPr="007954EC">
        <w:rPr>
          <w:rFonts w:cs="Arial"/>
        </w:rPr>
        <w:t xml:space="preserve"> to 10</w:t>
      </w:r>
      <w:r w:rsidRPr="007954EC">
        <w:rPr>
          <w:rFonts w:cs="Arial"/>
          <w:vertAlign w:val="superscript"/>
        </w:rPr>
        <w:t>th</w:t>
      </w:r>
      <w:r w:rsidRPr="007954EC">
        <w:rPr>
          <w:rFonts w:cs="Arial"/>
        </w:rPr>
        <w:t xml:space="preserve"> respondents who participated in</w:t>
      </w:r>
      <w:r w:rsidR="004874EB">
        <w:rPr>
          <w:rFonts w:cs="Arial"/>
        </w:rPr>
        <w:t xml:space="preserve"> the</w:t>
      </w:r>
      <w:r w:rsidRPr="007954EC">
        <w:rPr>
          <w:rFonts w:cs="Arial"/>
        </w:rPr>
        <w:t xml:space="preserve"> litigation.</w:t>
      </w:r>
    </w:p>
  </w:footnote>
  <w:footnote w:id="12">
    <w:p w14:paraId="1CA2F7D3" w14:textId="28978B4C" w:rsidR="0094083B" w:rsidRPr="007954EC" w:rsidRDefault="0094083B">
      <w:pPr>
        <w:pStyle w:val="FootnoteText"/>
        <w:rPr>
          <w:rFonts w:cs="Arial"/>
        </w:rPr>
      </w:pPr>
      <w:r w:rsidRPr="007954EC">
        <w:rPr>
          <w:rStyle w:val="FootnoteReference"/>
          <w:rFonts w:cs="Arial"/>
        </w:rPr>
        <w:footnoteRef/>
      </w:r>
      <w:r w:rsidRPr="007954EC">
        <w:rPr>
          <w:rFonts w:cs="Arial"/>
        </w:rPr>
        <w:t xml:space="preserve"> </w:t>
      </w:r>
      <w:r w:rsidRPr="007954EC">
        <w:rPr>
          <w:rFonts w:cs="Arial"/>
        </w:rPr>
        <w:tab/>
        <w:t>Founding affidavit par. 109 (CaseLines B52).</w:t>
      </w:r>
    </w:p>
  </w:footnote>
  <w:footnote w:id="13">
    <w:p w14:paraId="30A45DDD" w14:textId="4C99B4DE" w:rsidR="00E33CEE" w:rsidRPr="007954EC" w:rsidRDefault="00E33CEE">
      <w:pPr>
        <w:pStyle w:val="FootnoteText"/>
        <w:rPr>
          <w:rFonts w:cs="Arial"/>
        </w:rPr>
      </w:pPr>
      <w:r w:rsidRPr="007954EC">
        <w:rPr>
          <w:rStyle w:val="FootnoteReference"/>
          <w:rFonts w:cs="Arial"/>
        </w:rPr>
        <w:footnoteRef/>
      </w:r>
      <w:r w:rsidRPr="007954EC">
        <w:rPr>
          <w:rFonts w:cs="Arial"/>
        </w:rPr>
        <w:t xml:space="preserve"> </w:t>
      </w:r>
      <w:r w:rsidRPr="007954EC">
        <w:rPr>
          <w:rFonts w:cs="Arial"/>
        </w:rPr>
        <w:tab/>
        <w:t>Valid for a period of 18 months.</w:t>
      </w:r>
    </w:p>
  </w:footnote>
  <w:footnote w:id="14">
    <w:p w14:paraId="38BE55BD" w14:textId="79DB4D00" w:rsidR="00E33CEE" w:rsidRPr="007954EC" w:rsidRDefault="00E33CEE">
      <w:pPr>
        <w:pStyle w:val="FootnoteText"/>
        <w:rPr>
          <w:rFonts w:cs="Arial"/>
        </w:rPr>
      </w:pPr>
      <w:r w:rsidRPr="007954EC">
        <w:rPr>
          <w:rStyle w:val="FootnoteReference"/>
          <w:rFonts w:cs="Arial"/>
        </w:rPr>
        <w:footnoteRef/>
      </w:r>
      <w:r w:rsidRPr="007954EC">
        <w:rPr>
          <w:rFonts w:cs="Arial"/>
        </w:rPr>
        <w:t xml:space="preserve"> </w:t>
      </w:r>
      <w:r w:rsidRPr="007954EC">
        <w:rPr>
          <w:rFonts w:cs="Arial"/>
        </w:rPr>
        <w:tab/>
        <w:t xml:space="preserve">CaseLines B287 </w:t>
      </w:r>
      <w:r w:rsidRPr="00F7194B">
        <w:rPr>
          <w:rFonts w:cs="Arial"/>
          <w:i/>
          <w:iCs/>
        </w:rPr>
        <w:t>et seq</w:t>
      </w:r>
      <w:r w:rsidRPr="007954EC">
        <w:rPr>
          <w:rFonts w:cs="Arial"/>
        </w:rPr>
        <w:t>.</w:t>
      </w:r>
      <w:r w:rsidR="003942F9">
        <w:rPr>
          <w:rFonts w:cs="Arial"/>
        </w:rPr>
        <w:t xml:space="preserve"> These undertakings were the subject of a judgment in this </w:t>
      </w:r>
      <w:r w:rsidR="00F07432">
        <w:rPr>
          <w:rFonts w:cs="Arial"/>
        </w:rPr>
        <w:t xml:space="preserve">Court </w:t>
      </w:r>
      <w:r w:rsidR="003942F9">
        <w:rPr>
          <w:rFonts w:cs="Arial"/>
        </w:rPr>
        <w:t>under case number 2019/11178 on 3 April 2019 (CaseLInes E946).</w:t>
      </w:r>
    </w:p>
  </w:footnote>
  <w:footnote w:id="15">
    <w:p w14:paraId="1792F048" w14:textId="77CBD44D" w:rsidR="00FA34CB" w:rsidRPr="007954EC" w:rsidRDefault="00FA34CB">
      <w:pPr>
        <w:pStyle w:val="FootnoteText"/>
        <w:rPr>
          <w:rFonts w:cs="Arial"/>
        </w:rPr>
      </w:pPr>
      <w:r w:rsidRPr="007954EC">
        <w:rPr>
          <w:rStyle w:val="FootnoteReference"/>
          <w:rFonts w:cs="Arial"/>
        </w:rPr>
        <w:footnoteRef/>
      </w:r>
      <w:r w:rsidRPr="007954EC">
        <w:rPr>
          <w:rFonts w:cs="Arial"/>
        </w:rPr>
        <w:t xml:space="preserve"> </w:t>
      </w:r>
      <w:r w:rsidRPr="007954EC">
        <w:rPr>
          <w:rFonts w:cs="Arial"/>
        </w:rPr>
        <w:tab/>
        <w:t xml:space="preserve">Founding affidavit annexure </w:t>
      </w:r>
      <w:r w:rsidR="00304947" w:rsidRPr="007954EC">
        <w:rPr>
          <w:rFonts w:cs="Arial"/>
        </w:rPr>
        <w:t>“</w:t>
      </w:r>
      <w:r w:rsidRPr="007954EC">
        <w:rPr>
          <w:rFonts w:cs="Arial"/>
        </w:rPr>
        <w:t>FA15</w:t>
      </w:r>
      <w:r w:rsidR="00304947" w:rsidRPr="007954EC">
        <w:rPr>
          <w:rFonts w:cs="Arial"/>
        </w:rPr>
        <w:t>”</w:t>
      </w:r>
      <w:r w:rsidRPr="007954EC">
        <w:rPr>
          <w:rFonts w:cs="Arial"/>
        </w:rPr>
        <w:t xml:space="preserve"> – the Minutes of the meeting (CaseLInes B297 to 301).</w:t>
      </w:r>
    </w:p>
  </w:footnote>
  <w:footnote w:id="16">
    <w:p w14:paraId="10D814D4" w14:textId="1FFF5966" w:rsidR="00722E25" w:rsidRPr="007954EC" w:rsidRDefault="00722E25">
      <w:pPr>
        <w:pStyle w:val="FootnoteText"/>
        <w:rPr>
          <w:rFonts w:cs="Arial"/>
        </w:rPr>
      </w:pPr>
      <w:r w:rsidRPr="007954EC">
        <w:rPr>
          <w:rStyle w:val="FootnoteReference"/>
          <w:rFonts w:cs="Arial"/>
        </w:rPr>
        <w:footnoteRef/>
      </w:r>
      <w:r w:rsidRPr="007954EC">
        <w:rPr>
          <w:rFonts w:cs="Arial"/>
        </w:rPr>
        <w:t xml:space="preserve"> </w:t>
      </w:r>
      <w:r w:rsidRPr="007954EC">
        <w:rPr>
          <w:rFonts w:cs="Arial"/>
        </w:rPr>
        <w:tab/>
        <w:t>CaseLines B311.</w:t>
      </w:r>
    </w:p>
  </w:footnote>
  <w:footnote w:id="17">
    <w:p w14:paraId="19C82599" w14:textId="77777777" w:rsidR="00AA206E" w:rsidRDefault="00AA206E" w:rsidP="00AA206E">
      <w:pPr>
        <w:pStyle w:val="FootnoteText"/>
      </w:pPr>
      <w:r>
        <w:rPr>
          <w:rStyle w:val="FootnoteReference"/>
        </w:rPr>
        <w:footnoteRef/>
      </w:r>
      <w:r>
        <w:t xml:space="preserve"> </w:t>
      </w:r>
      <w:r>
        <w:tab/>
        <w:t>Annexure “FA25” to founding affidavit (Caselines B459).</w:t>
      </w:r>
    </w:p>
  </w:footnote>
  <w:footnote w:id="18">
    <w:p w14:paraId="0F224F81" w14:textId="769DA418" w:rsidR="009D415C" w:rsidRPr="007954EC" w:rsidRDefault="009D415C">
      <w:pPr>
        <w:pStyle w:val="FootnoteText"/>
        <w:rPr>
          <w:rFonts w:cs="Arial"/>
        </w:rPr>
      </w:pPr>
      <w:r w:rsidRPr="007954EC">
        <w:rPr>
          <w:rStyle w:val="FootnoteReference"/>
          <w:rFonts w:cs="Arial"/>
        </w:rPr>
        <w:footnoteRef/>
      </w:r>
      <w:r w:rsidRPr="007954EC">
        <w:rPr>
          <w:rFonts w:cs="Arial"/>
        </w:rPr>
        <w:t xml:space="preserve"> </w:t>
      </w:r>
      <w:r w:rsidRPr="007954EC">
        <w:rPr>
          <w:rFonts w:cs="Arial"/>
        </w:rPr>
        <w:tab/>
      </w:r>
      <w:r w:rsidR="00D31F39" w:rsidRPr="007954EC">
        <w:rPr>
          <w:rFonts w:cs="Arial"/>
        </w:rPr>
        <w:t xml:space="preserve">Annexure </w:t>
      </w:r>
      <w:r w:rsidR="00304947" w:rsidRPr="007954EC">
        <w:rPr>
          <w:rFonts w:cs="Arial"/>
        </w:rPr>
        <w:t>“</w:t>
      </w:r>
      <w:r w:rsidRPr="007954EC">
        <w:rPr>
          <w:rFonts w:cs="Arial"/>
        </w:rPr>
        <w:t>FA4</w:t>
      </w:r>
      <w:r w:rsidR="00304947" w:rsidRPr="007954EC">
        <w:rPr>
          <w:rFonts w:cs="Arial"/>
        </w:rPr>
        <w:t>”</w:t>
      </w:r>
      <w:r w:rsidRPr="007954EC">
        <w:rPr>
          <w:rFonts w:cs="Arial"/>
        </w:rPr>
        <w:t xml:space="preserve"> to founding affidavit (Case</w:t>
      </w:r>
      <w:r w:rsidR="0094083B" w:rsidRPr="007954EC">
        <w:rPr>
          <w:rFonts w:cs="Arial"/>
        </w:rPr>
        <w:t>L</w:t>
      </w:r>
      <w:r w:rsidRPr="007954EC">
        <w:rPr>
          <w:rFonts w:cs="Arial"/>
        </w:rPr>
        <w:t>ines B138).</w:t>
      </w:r>
    </w:p>
  </w:footnote>
  <w:footnote w:id="19">
    <w:p w14:paraId="2C059F45" w14:textId="3D8B32D1" w:rsidR="00B21014" w:rsidRPr="007954EC" w:rsidRDefault="00B21014">
      <w:pPr>
        <w:pStyle w:val="FootnoteText"/>
        <w:rPr>
          <w:rFonts w:cs="Arial"/>
        </w:rPr>
      </w:pPr>
      <w:r w:rsidRPr="007954EC">
        <w:rPr>
          <w:rStyle w:val="FootnoteReference"/>
          <w:rFonts w:cs="Arial"/>
        </w:rPr>
        <w:footnoteRef/>
      </w:r>
      <w:r w:rsidRPr="007954EC">
        <w:rPr>
          <w:rFonts w:cs="Arial"/>
        </w:rPr>
        <w:t xml:space="preserve"> </w:t>
      </w:r>
      <w:r w:rsidRPr="007954EC">
        <w:rPr>
          <w:rFonts w:cs="Arial"/>
        </w:rPr>
        <w:tab/>
      </w:r>
      <w:r w:rsidR="00D31F39" w:rsidRPr="007954EC">
        <w:rPr>
          <w:rFonts w:cs="Arial"/>
        </w:rPr>
        <w:t xml:space="preserve">Annexure </w:t>
      </w:r>
      <w:r w:rsidR="00304947" w:rsidRPr="007954EC">
        <w:rPr>
          <w:rFonts w:cs="Arial"/>
        </w:rPr>
        <w:t>“</w:t>
      </w:r>
      <w:r w:rsidRPr="007954EC">
        <w:rPr>
          <w:rFonts w:cs="Arial"/>
        </w:rPr>
        <w:t>FA26</w:t>
      </w:r>
      <w:r w:rsidR="00304947" w:rsidRPr="007954EC">
        <w:rPr>
          <w:rFonts w:cs="Arial"/>
        </w:rPr>
        <w:t>”</w:t>
      </w:r>
      <w:r w:rsidRPr="007954EC">
        <w:rPr>
          <w:rFonts w:cs="Arial"/>
        </w:rPr>
        <w:t xml:space="preserve"> to founding affidavit (CaseLines B475)</w:t>
      </w:r>
    </w:p>
  </w:footnote>
  <w:footnote w:id="20">
    <w:p w14:paraId="1BFE1008" w14:textId="7A76923C" w:rsidR="00D31F39" w:rsidRPr="007954EC" w:rsidRDefault="00D31F39">
      <w:pPr>
        <w:pStyle w:val="FootnoteText"/>
        <w:rPr>
          <w:rFonts w:cs="Arial"/>
        </w:rPr>
      </w:pPr>
      <w:r w:rsidRPr="007954EC">
        <w:rPr>
          <w:rStyle w:val="FootnoteReference"/>
          <w:rFonts w:cs="Arial"/>
        </w:rPr>
        <w:footnoteRef/>
      </w:r>
      <w:r w:rsidRPr="007954EC">
        <w:rPr>
          <w:rFonts w:cs="Arial"/>
        </w:rPr>
        <w:t xml:space="preserve"> </w:t>
      </w:r>
      <w:r w:rsidRPr="007954EC">
        <w:rPr>
          <w:rFonts w:cs="Arial"/>
        </w:rPr>
        <w:tab/>
        <w:t xml:space="preserve">Annexure </w:t>
      </w:r>
      <w:r w:rsidR="00304947" w:rsidRPr="007954EC">
        <w:rPr>
          <w:rFonts w:cs="Arial"/>
        </w:rPr>
        <w:t>“</w:t>
      </w:r>
      <w:r w:rsidRPr="007954EC">
        <w:rPr>
          <w:rFonts w:cs="Arial"/>
        </w:rPr>
        <w:t>FA24</w:t>
      </w:r>
      <w:r w:rsidR="00304947" w:rsidRPr="007954EC">
        <w:rPr>
          <w:rFonts w:cs="Arial"/>
        </w:rPr>
        <w:t>”</w:t>
      </w:r>
      <w:r w:rsidRPr="007954EC">
        <w:rPr>
          <w:rFonts w:cs="Arial"/>
        </w:rPr>
        <w:t xml:space="preserve"> to</w:t>
      </w:r>
      <w:r w:rsidR="00105CCA" w:rsidRPr="007954EC">
        <w:rPr>
          <w:rFonts w:cs="Arial"/>
        </w:rPr>
        <w:t xml:space="preserve"> founding affidavit (</w:t>
      </w:r>
      <w:r w:rsidRPr="007954EC">
        <w:rPr>
          <w:rFonts w:cs="Arial"/>
        </w:rPr>
        <w:t>CaseLines B407</w:t>
      </w:r>
      <w:r w:rsidR="00105CCA" w:rsidRPr="007954EC">
        <w:rPr>
          <w:rFonts w:cs="Arial"/>
        </w:rPr>
        <w:t>)</w:t>
      </w:r>
      <w:r w:rsidRPr="007954EC">
        <w:rPr>
          <w:rFonts w:cs="Arial"/>
        </w:rPr>
        <w:t>.</w:t>
      </w:r>
    </w:p>
  </w:footnote>
  <w:footnote w:id="21">
    <w:p w14:paraId="6D6BFA9F" w14:textId="118C735C" w:rsidR="00CD15D3" w:rsidRDefault="00CD15D3">
      <w:pPr>
        <w:pStyle w:val="FootnoteText"/>
      </w:pPr>
      <w:r>
        <w:rPr>
          <w:rStyle w:val="FootnoteReference"/>
        </w:rPr>
        <w:footnoteRef/>
      </w:r>
      <w:r>
        <w:t xml:space="preserve"> </w:t>
      </w:r>
      <w:r>
        <w:tab/>
        <w:t>Annexure “FA27” to founding affidavit (CaseLInes B503).</w:t>
      </w:r>
    </w:p>
  </w:footnote>
  <w:footnote w:id="22">
    <w:p w14:paraId="7FD2ABE9" w14:textId="5865CB14" w:rsidR="00676D5A" w:rsidRDefault="00676D5A">
      <w:pPr>
        <w:pStyle w:val="FootnoteText"/>
      </w:pPr>
      <w:r>
        <w:rPr>
          <w:rStyle w:val="FootnoteReference"/>
        </w:rPr>
        <w:footnoteRef/>
      </w:r>
      <w:r>
        <w:t xml:space="preserve"> </w:t>
      </w:r>
      <w:r w:rsidR="004E3D64">
        <w:tab/>
        <w:t>Annexure “FA18” to founding affidavit (CaseLines B511).</w:t>
      </w:r>
    </w:p>
  </w:footnote>
  <w:footnote w:id="23">
    <w:p w14:paraId="0F182901" w14:textId="0DD63E05" w:rsidR="00676D5A" w:rsidRDefault="00676D5A">
      <w:pPr>
        <w:pStyle w:val="FootnoteText"/>
      </w:pPr>
      <w:r>
        <w:rPr>
          <w:rStyle w:val="FootnoteReference"/>
        </w:rPr>
        <w:footnoteRef/>
      </w:r>
      <w:r>
        <w:t xml:space="preserve"> </w:t>
      </w:r>
      <w:r>
        <w:tab/>
        <w:t>Annexure “FA29” to founding affidavit (CaseLines B513)</w:t>
      </w:r>
    </w:p>
  </w:footnote>
  <w:footnote w:id="24">
    <w:p w14:paraId="61A7957A" w14:textId="516DBDCF" w:rsidR="0040340E" w:rsidRPr="007954EC" w:rsidRDefault="0040340E">
      <w:pPr>
        <w:pStyle w:val="FootnoteText"/>
        <w:rPr>
          <w:rFonts w:cs="Arial"/>
        </w:rPr>
      </w:pPr>
      <w:r w:rsidRPr="007954EC">
        <w:rPr>
          <w:rStyle w:val="FootnoteReference"/>
          <w:rFonts w:cs="Arial"/>
        </w:rPr>
        <w:footnoteRef/>
      </w:r>
      <w:r w:rsidRPr="007954EC">
        <w:rPr>
          <w:rFonts w:cs="Arial"/>
        </w:rPr>
        <w:t xml:space="preserve"> </w:t>
      </w:r>
      <w:r w:rsidRPr="007954EC">
        <w:rPr>
          <w:rFonts w:cs="Arial"/>
        </w:rPr>
        <w:tab/>
        <w:t xml:space="preserve">Clause 31.4.3.1 of the </w:t>
      </w:r>
      <w:r w:rsidR="00105CCA" w:rsidRPr="007954EC">
        <w:rPr>
          <w:rFonts w:cs="Arial"/>
        </w:rPr>
        <w:t>MOI</w:t>
      </w:r>
      <w:r w:rsidRPr="007954EC">
        <w:rPr>
          <w:rFonts w:cs="Arial"/>
        </w:rPr>
        <w:t xml:space="preserve"> (CaseLines B446).</w:t>
      </w:r>
    </w:p>
  </w:footnote>
  <w:footnote w:id="25">
    <w:p w14:paraId="589749F6" w14:textId="4CDE1C63" w:rsidR="00065D3F" w:rsidRPr="007954EC" w:rsidRDefault="00065D3F">
      <w:pPr>
        <w:pStyle w:val="FootnoteText"/>
        <w:rPr>
          <w:rFonts w:cs="Arial"/>
        </w:rPr>
      </w:pPr>
      <w:r w:rsidRPr="007954EC">
        <w:rPr>
          <w:rStyle w:val="FootnoteReference"/>
          <w:rFonts w:cs="Arial"/>
        </w:rPr>
        <w:footnoteRef/>
      </w:r>
      <w:r w:rsidRPr="007954EC">
        <w:rPr>
          <w:rFonts w:cs="Arial"/>
        </w:rPr>
        <w:t xml:space="preserve"> </w:t>
      </w:r>
      <w:r w:rsidRPr="007954EC">
        <w:rPr>
          <w:rFonts w:cs="Arial"/>
        </w:rPr>
        <w:tab/>
      </w:r>
      <w:r w:rsidRPr="007954EC">
        <w:rPr>
          <w:rFonts w:cs="Arial"/>
          <w:i/>
          <w:iCs/>
        </w:rPr>
        <w:t>CDH Invest NV v Petrotank South Africa (Pty) Ltd and Others</w:t>
      </w:r>
      <w:r w:rsidRPr="007954EC">
        <w:rPr>
          <w:rFonts w:cs="Arial"/>
        </w:rPr>
        <w:t xml:space="preserve"> 2019 (4) SA 436 (SCA)</w:t>
      </w:r>
      <w:r w:rsidR="00E44AC7">
        <w:rPr>
          <w:rFonts w:cs="Arial"/>
        </w:rPr>
        <w:t xml:space="preserve"> paras 18 to 22</w:t>
      </w:r>
      <w:r w:rsidRPr="007954EC">
        <w:rPr>
          <w:rFonts w:cs="Arial"/>
        </w:rPr>
        <w:t>.</w:t>
      </w:r>
      <w:r w:rsidR="00E44AC7">
        <w:rPr>
          <w:rFonts w:cs="Arial"/>
        </w:rPr>
        <w:t xml:space="preserve"> See also the judgment in the court a quo reported at 2019 (4) SA 218 (GLD).</w:t>
      </w:r>
    </w:p>
  </w:footnote>
  <w:footnote w:id="26">
    <w:p w14:paraId="1BD50B9C" w14:textId="77777777" w:rsidR="002F5131" w:rsidRDefault="002F5131" w:rsidP="002F5131">
      <w:pPr>
        <w:pStyle w:val="FootnoteText"/>
      </w:pPr>
      <w:r>
        <w:rPr>
          <w:rStyle w:val="FootnoteReference"/>
        </w:rPr>
        <w:footnoteRef/>
      </w:r>
      <w:r>
        <w:t xml:space="preserve"> </w:t>
      </w:r>
      <w:r>
        <w:tab/>
        <w:t xml:space="preserve">See Delport &amp; others </w:t>
      </w:r>
      <w:r w:rsidRPr="007957A1">
        <w:rPr>
          <w:i/>
          <w:iCs/>
        </w:rPr>
        <w:t>Henochsberg on the Companies Act 71 of 2008</w:t>
      </w:r>
      <w:r>
        <w:rPr>
          <w:i/>
          <w:iCs/>
        </w:rPr>
        <w:t xml:space="preserve"> </w:t>
      </w:r>
      <w:r w:rsidRPr="0022299B">
        <w:t xml:space="preserve"> (2011)</w:t>
      </w:r>
      <w:r>
        <w:rPr>
          <w:i/>
          <w:iCs/>
        </w:rPr>
        <w:t xml:space="preserve"> </w:t>
      </w:r>
      <w:r>
        <w:t>298(8) 574(1).</w:t>
      </w:r>
    </w:p>
  </w:footnote>
  <w:footnote w:id="27">
    <w:p w14:paraId="779BCAD3" w14:textId="3058C41C" w:rsidR="004C483E" w:rsidRDefault="004C483E">
      <w:pPr>
        <w:pStyle w:val="FootnoteText"/>
      </w:pPr>
      <w:r>
        <w:rPr>
          <w:rStyle w:val="FootnoteReference"/>
        </w:rPr>
        <w:footnoteRef/>
      </w:r>
      <w:r>
        <w:t xml:space="preserve"> </w:t>
      </w:r>
      <w:r>
        <w:tab/>
        <w:t xml:space="preserve">See s 76 of the Companies Act in respect of the standards to be applied to the conduct of directors. See Delport &amp; others </w:t>
      </w:r>
      <w:r w:rsidRPr="007957A1">
        <w:rPr>
          <w:i/>
          <w:iCs/>
        </w:rPr>
        <w:t>Henochsberg on the Companies Act 71 of 2008</w:t>
      </w:r>
      <w:r w:rsidRPr="0022299B">
        <w:t xml:space="preserve"> </w:t>
      </w:r>
      <w:r w:rsidR="0022299B" w:rsidRPr="0022299B">
        <w:t>(2011)</w:t>
      </w:r>
      <w:r w:rsidR="0022299B">
        <w:rPr>
          <w:i/>
          <w:iCs/>
        </w:rPr>
        <w:t xml:space="preserve"> </w:t>
      </w:r>
      <w:r>
        <w:t>298(8)</w:t>
      </w:r>
      <w:r>
        <w:rPr>
          <w:i/>
          <w:iCs/>
        </w:rPr>
        <w:t>.</w:t>
      </w:r>
    </w:p>
  </w:footnote>
  <w:footnote w:id="28">
    <w:p w14:paraId="2C55B547" w14:textId="0551107C" w:rsidR="00CC0CA5" w:rsidRDefault="00CC0CA5">
      <w:pPr>
        <w:pStyle w:val="FootnoteText"/>
      </w:pPr>
      <w:r>
        <w:rPr>
          <w:rStyle w:val="FootnoteReference"/>
        </w:rPr>
        <w:footnoteRef/>
      </w:r>
      <w:r>
        <w:t xml:space="preserve"> </w:t>
      </w:r>
      <w:r>
        <w:tab/>
        <w:t>The power to issue shares means that the board has the power to dilute the shareholding of existing shareholders. This is not necessarily objectionable though.</w:t>
      </w:r>
    </w:p>
  </w:footnote>
  <w:footnote w:id="29">
    <w:p w14:paraId="6DEADA18" w14:textId="7A89B1C7" w:rsidR="00B87E6D" w:rsidRDefault="00B87E6D">
      <w:pPr>
        <w:pStyle w:val="FootnoteText"/>
      </w:pPr>
      <w:r>
        <w:rPr>
          <w:rStyle w:val="FootnoteReference"/>
        </w:rPr>
        <w:footnoteRef/>
      </w:r>
      <w:r>
        <w:t xml:space="preserve"> </w:t>
      </w:r>
      <w:r>
        <w:tab/>
      </w:r>
      <w:r w:rsidRPr="00B87E6D">
        <w:rPr>
          <w:i/>
          <w:iCs/>
        </w:rPr>
        <w:t>CDH Invest NV v Petrotank South Africa (Pty) Ltd and Another</w:t>
      </w:r>
      <w:r w:rsidRPr="00AB1A44">
        <w:br/>
        <w:t>2018 (3) SA 157 (GJ)</w:t>
      </w:r>
      <w:r w:rsidR="001E3D11">
        <w:t xml:space="preserve"> par. 74</w:t>
      </w:r>
      <w:r>
        <w:t xml:space="preserve"> (confirmed on appeal but on a different basis).</w:t>
      </w:r>
    </w:p>
  </w:footnote>
  <w:footnote w:id="30">
    <w:p w14:paraId="4817681A" w14:textId="53D77EEA" w:rsidR="00972596" w:rsidRPr="007954EC" w:rsidRDefault="00972596">
      <w:pPr>
        <w:pStyle w:val="FootnoteText"/>
        <w:rPr>
          <w:rFonts w:cs="Arial"/>
        </w:rPr>
      </w:pPr>
      <w:r w:rsidRPr="007954EC">
        <w:rPr>
          <w:rStyle w:val="FootnoteReference"/>
          <w:rFonts w:cs="Arial"/>
        </w:rPr>
        <w:footnoteRef/>
      </w:r>
      <w:r w:rsidRPr="007954EC">
        <w:rPr>
          <w:rFonts w:cs="Arial"/>
        </w:rPr>
        <w:t xml:space="preserve"> </w:t>
      </w:r>
      <w:r w:rsidRPr="007954EC">
        <w:rPr>
          <w:rFonts w:cs="Arial"/>
        </w:rPr>
        <w:tab/>
      </w:r>
      <w:r w:rsidR="00AC57F2" w:rsidRPr="007954EC">
        <w:rPr>
          <w:rFonts w:cs="Arial"/>
        </w:rPr>
        <w:t>T</w:t>
      </w:r>
      <w:r w:rsidRPr="007954EC">
        <w:rPr>
          <w:rFonts w:cs="Arial"/>
        </w:rPr>
        <w:t xml:space="preserve">he equivalent section in the previous Companies Act, 61 of 1973, was s 252 and the authorities that deal with s 252 </w:t>
      </w:r>
      <w:r w:rsidR="00AC57F2" w:rsidRPr="007954EC">
        <w:rPr>
          <w:rFonts w:cs="Arial"/>
        </w:rPr>
        <w:t xml:space="preserve">and with s 11 bis of the Companies Act, 46 of 1926 </w:t>
      </w:r>
      <w:r w:rsidRPr="007954EC">
        <w:rPr>
          <w:rFonts w:cs="Arial"/>
        </w:rPr>
        <w:t>are still relevant</w:t>
      </w:r>
      <w:r w:rsidR="00AC57F2" w:rsidRPr="007954EC">
        <w:rPr>
          <w:rFonts w:cs="Arial"/>
        </w:rPr>
        <w:t xml:space="preserve"> and useful</w:t>
      </w:r>
      <w:r w:rsidRPr="007954EC">
        <w:rPr>
          <w:rFonts w:cs="Arial"/>
        </w:rPr>
        <w:t>.</w:t>
      </w:r>
    </w:p>
  </w:footnote>
  <w:footnote w:id="31">
    <w:p w14:paraId="7FFD6EF3" w14:textId="6ADC7264" w:rsidR="0084791B" w:rsidRPr="007954EC" w:rsidRDefault="0084791B">
      <w:pPr>
        <w:pStyle w:val="FootnoteText"/>
        <w:rPr>
          <w:rFonts w:cs="Arial"/>
        </w:rPr>
      </w:pPr>
      <w:r w:rsidRPr="007954EC">
        <w:rPr>
          <w:rStyle w:val="FootnoteReference"/>
          <w:rFonts w:cs="Arial"/>
        </w:rPr>
        <w:footnoteRef/>
      </w:r>
      <w:r w:rsidRPr="007954EC">
        <w:rPr>
          <w:rFonts w:cs="Arial"/>
        </w:rPr>
        <w:t xml:space="preserve"> </w:t>
      </w:r>
      <w:r w:rsidRPr="007954EC">
        <w:rPr>
          <w:rFonts w:cs="Arial"/>
        </w:rPr>
        <w:tab/>
      </w:r>
      <w:r w:rsidR="00823756" w:rsidRPr="007954EC">
        <w:rPr>
          <w:rFonts w:cs="Arial"/>
          <w:i/>
          <w:iCs/>
          <w:lang w:eastAsia="en-ZA"/>
        </w:rPr>
        <w:t>Elder v Elder &amp; Watson Ltd</w:t>
      </w:r>
      <w:r w:rsidR="00823756" w:rsidRPr="007954EC">
        <w:rPr>
          <w:rFonts w:cs="Arial"/>
          <w:lang w:eastAsia="en-ZA"/>
        </w:rPr>
        <w:t xml:space="preserve"> 1952 SC 49 p 60</w:t>
      </w:r>
      <w:r w:rsidR="00D82AC7" w:rsidRPr="007954EC">
        <w:rPr>
          <w:rFonts w:cs="Arial"/>
          <w:lang w:eastAsia="en-ZA"/>
        </w:rPr>
        <w:t xml:space="preserve"> &amp; p 55</w:t>
      </w:r>
      <w:r w:rsidR="00823756" w:rsidRPr="007954EC">
        <w:rPr>
          <w:rFonts w:cs="Arial"/>
          <w:lang w:eastAsia="en-ZA"/>
        </w:rPr>
        <w:t>, referred to in</w:t>
      </w:r>
      <w:r w:rsidRPr="007954EC">
        <w:rPr>
          <w:rFonts w:cs="Arial"/>
        </w:rPr>
        <w:t xml:space="preserve"> </w:t>
      </w:r>
      <w:r w:rsidRPr="007954EC">
        <w:rPr>
          <w:rFonts w:cs="Arial"/>
          <w:i/>
          <w:iCs/>
        </w:rPr>
        <w:t>Aspek Pipe Co (Pty) Ltd and Another v Mauerberger and Others</w:t>
      </w:r>
      <w:r w:rsidRPr="007954EC">
        <w:rPr>
          <w:rFonts w:cs="Arial"/>
        </w:rPr>
        <w:t xml:space="preserve"> 1968 (1) SA 517 (C) </w:t>
      </w:r>
      <w:r w:rsidR="001025B4" w:rsidRPr="007954EC">
        <w:rPr>
          <w:rFonts w:cs="Arial"/>
        </w:rPr>
        <w:t xml:space="preserve">526H </w:t>
      </w:r>
      <w:r w:rsidR="001025B4" w:rsidRPr="007954EC">
        <w:rPr>
          <w:rFonts w:cs="Arial"/>
          <w:i/>
          <w:iCs/>
        </w:rPr>
        <w:t>et seq</w:t>
      </w:r>
      <w:r w:rsidR="001025B4" w:rsidRPr="007954EC">
        <w:rPr>
          <w:rFonts w:cs="Arial"/>
        </w:rPr>
        <w:t xml:space="preserve"> </w:t>
      </w:r>
      <w:r w:rsidRPr="007954EC">
        <w:rPr>
          <w:rFonts w:cs="Arial"/>
        </w:rPr>
        <w:t>with reference to s 11 bis of the Companies Act, 46 of 1926</w:t>
      </w:r>
      <w:r w:rsidR="00823756" w:rsidRPr="007954EC">
        <w:rPr>
          <w:rFonts w:cs="Arial"/>
        </w:rPr>
        <w:t xml:space="preserve">. </w:t>
      </w:r>
      <w:r w:rsidR="00AC57F2" w:rsidRPr="007954EC">
        <w:rPr>
          <w:rFonts w:cs="Arial"/>
        </w:rPr>
        <w:t>See also</w:t>
      </w:r>
      <w:r w:rsidR="004F5CBA" w:rsidRPr="007954EC">
        <w:rPr>
          <w:rFonts w:cs="Arial"/>
        </w:rPr>
        <w:t xml:space="preserve"> </w:t>
      </w:r>
      <w:r w:rsidR="004F5CBA" w:rsidRPr="007954EC">
        <w:rPr>
          <w:rFonts w:cs="Arial"/>
          <w:i/>
          <w:iCs/>
        </w:rPr>
        <w:t>Livanos v Swartzberg and Others</w:t>
      </w:r>
      <w:r w:rsidR="004F5CBA" w:rsidRPr="007954EC">
        <w:rPr>
          <w:rFonts w:cs="Arial"/>
        </w:rPr>
        <w:t xml:space="preserve"> 1962 (4) SA 395 (W) 397E </w:t>
      </w:r>
      <w:r w:rsidR="004F5CBA" w:rsidRPr="007954EC">
        <w:rPr>
          <w:rFonts w:cs="Arial"/>
          <w:i/>
          <w:iCs/>
        </w:rPr>
        <w:t xml:space="preserve">et seq, Bader and Another v Weston and Another </w:t>
      </w:r>
      <w:r w:rsidR="004F5CBA" w:rsidRPr="007954EC">
        <w:rPr>
          <w:rFonts w:cs="Arial"/>
        </w:rPr>
        <w:t>1967 (1) SA 134 (C),</w:t>
      </w:r>
      <w:r w:rsidR="00AC57F2" w:rsidRPr="007954EC">
        <w:rPr>
          <w:rFonts w:cs="Arial"/>
        </w:rPr>
        <w:t xml:space="preserve"> </w:t>
      </w:r>
      <w:r w:rsidR="00AC57F2" w:rsidRPr="007954EC">
        <w:rPr>
          <w:rFonts w:cs="Arial"/>
          <w:i/>
          <w:iCs/>
        </w:rPr>
        <w:t>Garden Province Investment and Others v Aleph (Pty) Ltd and Others</w:t>
      </w:r>
      <w:r w:rsidR="00AC57F2" w:rsidRPr="007954EC">
        <w:rPr>
          <w:rFonts w:cs="Arial"/>
        </w:rPr>
        <w:t xml:space="preserve"> 1979 (2) SA 525 (D) 531</w:t>
      </w:r>
      <w:r w:rsidR="00A67B79" w:rsidRPr="007954EC">
        <w:rPr>
          <w:rFonts w:cs="Arial"/>
        </w:rPr>
        <w:t xml:space="preserve">, </w:t>
      </w:r>
      <w:r w:rsidR="00A67B79" w:rsidRPr="007954EC">
        <w:rPr>
          <w:rFonts w:cs="Arial"/>
          <w:i/>
          <w:iCs/>
          <w:color w:val="000000" w:themeColor="text1"/>
        </w:rPr>
        <w:t xml:space="preserve">Louw and Others v Nel </w:t>
      </w:r>
      <w:r w:rsidR="00A67B79" w:rsidRPr="007954EC">
        <w:rPr>
          <w:rFonts w:cs="Arial"/>
          <w:color w:val="000000" w:themeColor="text1"/>
        </w:rPr>
        <w:t>2011 (2) SA 172 (SCA) par.</w:t>
      </w:r>
      <w:r w:rsidR="007954EC" w:rsidRPr="007954EC">
        <w:rPr>
          <w:rFonts w:cs="Arial"/>
          <w:color w:val="000000" w:themeColor="text1"/>
        </w:rPr>
        <w:t xml:space="preserve"> </w:t>
      </w:r>
      <w:r w:rsidR="00A67B79" w:rsidRPr="007954EC">
        <w:rPr>
          <w:rFonts w:cs="Arial"/>
          <w:color w:val="000000" w:themeColor="text1"/>
        </w:rPr>
        <w:t>23</w:t>
      </w:r>
      <w:r w:rsidR="004F5CBA" w:rsidRPr="007954EC">
        <w:rPr>
          <w:rFonts w:cs="Arial"/>
          <w:color w:val="000000" w:themeColor="text1"/>
        </w:rPr>
        <w:t>.</w:t>
      </w:r>
    </w:p>
  </w:footnote>
  <w:footnote w:id="32">
    <w:p w14:paraId="257317C0" w14:textId="46DE0861" w:rsidR="00B141C4" w:rsidRPr="007954EC" w:rsidRDefault="00B141C4">
      <w:pPr>
        <w:pStyle w:val="FootnoteText"/>
        <w:rPr>
          <w:rFonts w:cs="Arial"/>
        </w:rPr>
      </w:pPr>
      <w:r w:rsidRPr="007954EC">
        <w:rPr>
          <w:rStyle w:val="FootnoteReference"/>
          <w:rFonts w:cs="Arial"/>
        </w:rPr>
        <w:footnoteRef/>
      </w:r>
      <w:r w:rsidRPr="007954EC">
        <w:rPr>
          <w:rFonts w:cs="Arial"/>
        </w:rPr>
        <w:t xml:space="preserve"> </w:t>
      </w:r>
      <w:r w:rsidR="00296F07" w:rsidRPr="007954EC">
        <w:rPr>
          <w:rFonts w:cs="Arial"/>
        </w:rPr>
        <w:tab/>
      </w:r>
      <w:r w:rsidR="00296F07" w:rsidRPr="007954EC">
        <w:rPr>
          <w:rFonts w:cs="Arial"/>
          <w:i/>
          <w:iCs/>
        </w:rPr>
        <w:t>Scottish Co-operative Wholesale Society Ltd v Meyer</w:t>
      </w:r>
      <w:r w:rsidR="00296F07" w:rsidRPr="007954EC">
        <w:rPr>
          <w:rFonts w:cs="Arial"/>
        </w:rPr>
        <w:t xml:space="preserve"> </w:t>
      </w:r>
      <w:r w:rsidR="00296F07" w:rsidRPr="007954EC">
        <w:rPr>
          <w:rFonts w:cs="Arial"/>
          <w:lang w:eastAsia="en-ZA"/>
        </w:rPr>
        <w:t xml:space="preserve">[1958] 3 All ER 66 (HL) </w:t>
      </w:r>
      <w:r w:rsidR="007A6962" w:rsidRPr="007954EC">
        <w:rPr>
          <w:rFonts w:cs="Arial"/>
          <w:lang w:eastAsia="en-ZA"/>
        </w:rPr>
        <w:t>71.</w:t>
      </w:r>
    </w:p>
  </w:footnote>
  <w:footnote w:id="33">
    <w:p w14:paraId="3232E081" w14:textId="760CF9EA" w:rsidR="007954EC" w:rsidRPr="007954EC" w:rsidRDefault="007954EC">
      <w:pPr>
        <w:pStyle w:val="FootnoteText"/>
        <w:rPr>
          <w:rFonts w:cs="Arial"/>
        </w:rPr>
      </w:pPr>
      <w:r w:rsidRPr="007954EC">
        <w:rPr>
          <w:rStyle w:val="FootnoteReference"/>
          <w:rFonts w:cs="Arial"/>
          <w:color w:val="000000" w:themeColor="text1"/>
        </w:rPr>
        <w:footnoteRef/>
      </w:r>
      <w:r w:rsidRPr="007954EC">
        <w:rPr>
          <w:rFonts w:cs="Arial"/>
          <w:color w:val="000000" w:themeColor="text1"/>
        </w:rPr>
        <w:t xml:space="preserve"> </w:t>
      </w:r>
      <w:r w:rsidRPr="007954EC">
        <w:rPr>
          <w:rFonts w:cs="Arial"/>
          <w:color w:val="000000" w:themeColor="text1"/>
        </w:rPr>
        <w:tab/>
      </w:r>
      <w:r w:rsidRPr="007954EC">
        <w:rPr>
          <w:rFonts w:cs="Arial"/>
          <w:i/>
          <w:iCs/>
          <w:color w:val="000000" w:themeColor="text1"/>
          <w:lang w:eastAsia="en-ZA"/>
        </w:rPr>
        <w:t xml:space="preserve">Livanos v Swartzberg and Others </w:t>
      </w:r>
      <w:r w:rsidRPr="007954EC">
        <w:rPr>
          <w:rFonts w:cs="Arial"/>
          <w:color w:val="000000" w:themeColor="text1"/>
          <w:lang w:eastAsia="en-ZA"/>
        </w:rPr>
        <w:t>1962 (4) SA 395 (W) 399.</w:t>
      </w:r>
    </w:p>
  </w:footnote>
  <w:footnote w:id="34">
    <w:p w14:paraId="3489A71F" w14:textId="2D2B5343" w:rsidR="00CD1E61" w:rsidRPr="007954EC" w:rsidRDefault="00CD1E61">
      <w:pPr>
        <w:pStyle w:val="FootnoteText"/>
        <w:rPr>
          <w:rFonts w:cs="Arial"/>
        </w:rPr>
      </w:pPr>
      <w:r w:rsidRPr="007954EC">
        <w:rPr>
          <w:rStyle w:val="FootnoteReference"/>
          <w:rFonts w:cs="Arial"/>
        </w:rPr>
        <w:footnoteRef/>
      </w:r>
      <w:r w:rsidRPr="007954EC">
        <w:rPr>
          <w:rFonts w:cs="Arial"/>
        </w:rPr>
        <w:t xml:space="preserve"> </w:t>
      </w:r>
      <w:r w:rsidRPr="007954EC">
        <w:rPr>
          <w:rFonts w:cs="Arial"/>
        </w:rPr>
        <w:tab/>
      </w:r>
      <w:r w:rsidRPr="007954EC">
        <w:rPr>
          <w:rFonts w:cs="Arial"/>
          <w:i/>
          <w:iCs/>
        </w:rPr>
        <w:t>Grancy Property Ltd v Manala and Others</w:t>
      </w:r>
      <w:r w:rsidRPr="007954EC">
        <w:rPr>
          <w:rFonts w:cs="Arial"/>
        </w:rPr>
        <w:t xml:space="preserve"> 2015 (3) SA 313 (SCA) par. 27.</w:t>
      </w:r>
    </w:p>
  </w:footnote>
  <w:footnote w:id="35">
    <w:p w14:paraId="2123DB0F" w14:textId="15849C33" w:rsidR="001E3D11" w:rsidRDefault="001E3D11" w:rsidP="001E3D11">
      <w:pPr>
        <w:pStyle w:val="FootnoteText"/>
      </w:pPr>
      <w:r>
        <w:rPr>
          <w:rStyle w:val="FootnoteReference"/>
        </w:rPr>
        <w:footnoteRef/>
      </w:r>
      <w:r>
        <w:t xml:space="preserve"> </w:t>
      </w:r>
      <w:r>
        <w:tab/>
        <w:t xml:space="preserve">See also </w:t>
      </w:r>
      <w:r w:rsidRPr="00B87E6D">
        <w:rPr>
          <w:i/>
          <w:iCs/>
        </w:rPr>
        <w:t>CDH Invest NV v Petrotank South Africa (Pty) Ltd and Another</w:t>
      </w:r>
      <w:r w:rsidRPr="00AB1A44">
        <w:br/>
        <w:t>2018 (3) SA 157 (GJ)</w:t>
      </w:r>
      <w:r>
        <w:t xml:space="preserve"> par. 74.1 (confirmed on appeal but on a different basis).</w:t>
      </w:r>
    </w:p>
  </w:footnote>
  <w:footnote w:id="36">
    <w:p w14:paraId="61E63CBF" w14:textId="4FA1BDAC" w:rsidR="001D0681" w:rsidRPr="000C0C85" w:rsidRDefault="001D0681">
      <w:pPr>
        <w:pStyle w:val="FootnoteText"/>
        <w:rPr>
          <w:color w:val="000000" w:themeColor="text1"/>
        </w:rPr>
      </w:pPr>
      <w:r>
        <w:rPr>
          <w:rStyle w:val="FootnoteReference"/>
        </w:rPr>
        <w:footnoteRef/>
      </w:r>
      <w:r>
        <w:t xml:space="preserve"> </w:t>
      </w:r>
      <w:r>
        <w:tab/>
      </w:r>
      <w:r w:rsidRPr="000C0C85">
        <w:rPr>
          <w:i/>
          <w:iCs/>
          <w:color w:val="000000" w:themeColor="text1"/>
        </w:rPr>
        <w:t>Visser Sitrus (Pty) Ltd v Goede Hoop Sitrus (Pty) Ltd and Others</w:t>
      </w:r>
      <w:r w:rsidRPr="000C0C85">
        <w:rPr>
          <w:color w:val="000000" w:themeColor="text1"/>
        </w:rPr>
        <w:t xml:space="preserve"> 2014 (5) SA 179 (WCC) par. 80.</w:t>
      </w:r>
    </w:p>
  </w:footnote>
  <w:footnote w:id="37">
    <w:p w14:paraId="7FB275BB" w14:textId="55BB40D5" w:rsidR="00ED219D" w:rsidRDefault="00ED219D">
      <w:pPr>
        <w:pStyle w:val="FootnoteText"/>
      </w:pPr>
      <w:r>
        <w:rPr>
          <w:rStyle w:val="FootnoteReference"/>
        </w:rPr>
        <w:footnoteRef/>
      </w:r>
      <w:r>
        <w:t xml:space="preserve"> </w:t>
      </w:r>
      <w:r>
        <w:tab/>
        <w:t>The summons is Annexure “AA2” to the answering affidavit (CaseLines E383).</w:t>
      </w:r>
    </w:p>
  </w:footnote>
  <w:footnote w:id="38">
    <w:p w14:paraId="292767A0" w14:textId="730591B4" w:rsidR="00A82144" w:rsidRDefault="00A82144">
      <w:pPr>
        <w:pStyle w:val="FootnoteText"/>
      </w:pPr>
      <w:r>
        <w:rPr>
          <w:rStyle w:val="FootnoteReference"/>
        </w:rPr>
        <w:footnoteRef/>
      </w:r>
      <w:r>
        <w:t xml:space="preserve"> </w:t>
      </w:r>
      <w:r>
        <w:tab/>
        <w:t>S 115 of the Companies Act.</w:t>
      </w:r>
    </w:p>
  </w:footnote>
  <w:footnote w:id="39">
    <w:p w14:paraId="20E2E894" w14:textId="2C329DF7" w:rsidR="000674A1" w:rsidRDefault="000674A1">
      <w:pPr>
        <w:pStyle w:val="FootnoteText"/>
      </w:pPr>
      <w:r>
        <w:rPr>
          <w:rStyle w:val="FootnoteReference"/>
        </w:rPr>
        <w:footnoteRef/>
      </w:r>
      <w:r>
        <w:t xml:space="preserve"> </w:t>
      </w:r>
      <w:r>
        <w:tab/>
        <w:t>Annexure “FA9” to founding affidavit (CaseLInes B273).</w:t>
      </w:r>
    </w:p>
  </w:footnote>
  <w:footnote w:id="40">
    <w:p w14:paraId="0C4871C9" w14:textId="013DBBE1" w:rsidR="006750D6" w:rsidRDefault="006750D6">
      <w:pPr>
        <w:pStyle w:val="FootnoteText"/>
      </w:pPr>
      <w:r>
        <w:rPr>
          <w:rStyle w:val="FootnoteReference"/>
        </w:rPr>
        <w:footnoteRef/>
      </w:r>
      <w:r>
        <w:t xml:space="preserve"> </w:t>
      </w:r>
      <w:r>
        <w:tab/>
        <w:t>Ramano had legal advice to the contrary.</w:t>
      </w:r>
    </w:p>
  </w:footnote>
  <w:footnote w:id="41">
    <w:p w14:paraId="3641B0DA" w14:textId="071EDFDA" w:rsidR="007D345F" w:rsidRDefault="007D345F">
      <w:pPr>
        <w:pStyle w:val="FootnoteText"/>
      </w:pPr>
      <w:r>
        <w:rPr>
          <w:rStyle w:val="FootnoteReference"/>
        </w:rPr>
        <w:footnoteRef/>
      </w:r>
      <w:r>
        <w:t xml:space="preserve"> </w:t>
      </w:r>
      <w:r>
        <w:tab/>
        <w:t>Annexure “FA10” to founding affidavit (CaseLines B274).</w:t>
      </w:r>
    </w:p>
  </w:footnote>
  <w:footnote w:id="42">
    <w:p w14:paraId="4288D9FE" w14:textId="4C73876B" w:rsidR="007D345F" w:rsidRDefault="007D345F">
      <w:pPr>
        <w:pStyle w:val="FootnoteText"/>
      </w:pPr>
      <w:r>
        <w:rPr>
          <w:rStyle w:val="FootnoteReference"/>
        </w:rPr>
        <w:footnoteRef/>
      </w:r>
      <w:r>
        <w:t xml:space="preserve"> </w:t>
      </w:r>
      <w:r>
        <w:tab/>
        <w:t>Annexure “FA11” to founding affidavit (CaseLines B275).</w:t>
      </w:r>
    </w:p>
  </w:footnote>
  <w:footnote w:id="43">
    <w:p w14:paraId="7E17A663" w14:textId="7D582C52" w:rsidR="0046331F" w:rsidRDefault="0046331F">
      <w:pPr>
        <w:pStyle w:val="FootnoteText"/>
      </w:pPr>
      <w:r>
        <w:rPr>
          <w:rStyle w:val="FootnoteReference"/>
        </w:rPr>
        <w:footnoteRef/>
      </w:r>
      <w:r>
        <w:t xml:space="preserve"> </w:t>
      </w:r>
      <w:r>
        <w:tab/>
        <w:t>The NECorp Restructuring document (CaseLines F413).</w:t>
      </w:r>
    </w:p>
  </w:footnote>
  <w:footnote w:id="44">
    <w:p w14:paraId="20710B54" w14:textId="52414E86" w:rsidR="0046331F" w:rsidRDefault="0046331F" w:rsidP="0046331F">
      <w:pPr>
        <w:pStyle w:val="FootnoteText"/>
      </w:pPr>
      <w:r>
        <w:rPr>
          <w:rStyle w:val="FootnoteReference"/>
        </w:rPr>
        <w:footnoteRef/>
      </w:r>
      <w:r>
        <w:t xml:space="preserve"> </w:t>
      </w:r>
      <w:r>
        <w:tab/>
        <w:t>CaseLines E22</w:t>
      </w:r>
      <w:r w:rsidR="00630A46">
        <w:t>.</w:t>
      </w:r>
    </w:p>
  </w:footnote>
  <w:footnote w:id="45">
    <w:p w14:paraId="324D3D8C" w14:textId="0DE814EF" w:rsidR="0016478A" w:rsidRPr="00BD5F68" w:rsidRDefault="0016478A">
      <w:pPr>
        <w:pStyle w:val="FootnoteText"/>
        <w:rPr>
          <w:rFonts w:cs="Arial"/>
        </w:rPr>
      </w:pPr>
      <w:r>
        <w:rPr>
          <w:rStyle w:val="FootnoteReference"/>
        </w:rPr>
        <w:footnoteRef/>
      </w:r>
      <w:r>
        <w:t xml:space="preserve"> </w:t>
      </w:r>
      <w:r>
        <w:tab/>
        <w:t>See s 221(1) of the Companies Act, 1973.</w:t>
      </w:r>
      <w:r w:rsidR="00BD5F68">
        <w:t xml:space="preserve"> Shares could only be allotted or issued with the prior approval of the company in general mee</w:t>
      </w:r>
      <w:r w:rsidR="00BD5F68" w:rsidRPr="00BD5F68">
        <w:rPr>
          <w:rFonts w:cs="Arial"/>
        </w:rPr>
        <w:t>ting.</w:t>
      </w:r>
      <w:r w:rsidR="00BD5F68">
        <w:rPr>
          <w:rFonts w:cs="Arial"/>
        </w:rPr>
        <w:t xml:space="preserve"> Any</w:t>
      </w:r>
      <w:r w:rsidR="00BD5F68" w:rsidRPr="00BD5F68">
        <w:rPr>
          <w:rFonts w:cs="Arial"/>
          <w:color w:val="000000"/>
        </w:rPr>
        <w:t xml:space="preserve"> particular allotment or issue </w:t>
      </w:r>
      <w:r w:rsidR="00BD5F68">
        <w:rPr>
          <w:rFonts w:cs="Arial"/>
          <w:color w:val="000000"/>
        </w:rPr>
        <w:t>is subject to</w:t>
      </w:r>
      <w:r w:rsidR="00BD5F68" w:rsidRPr="00BD5F68">
        <w:rPr>
          <w:rFonts w:cs="Arial"/>
          <w:color w:val="000000"/>
        </w:rPr>
        <w:t xml:space="preserve"> prior approv</w:t>
      </w:r>
      <w:r w:rsidR="00BD5F68">
        <w:rPr>
          <w:rFonts w:cs="Arial"/>
          <w:color w:val="000000"/>
        </w:rPr>
        <w:t>al</w:t>
      </w:r>
      <w:r w:rsidR="00BD5F68" w:rsidRPr="00BD5F68">
        <w:rPr>
          <w:rFonts w:cs="Arial"/>
          <w:color w:val="000000"/>
        </w:rPr>
        <w:t xml:space="preserve"> by the company in general meeting</w:t>
      </w:r>
      <w:r w:rsidR="00BD5F68">
        <w:rPr>
          <w:rFonts w:cs="Arial"/>
          <w:color w:val="000000"/>
        </w:rPr>
        <w:t>: S 222 (</w:t>
      </w:r>
      <w:r w:rsidR="00F03EC8">
        <w:rPr>
          <w:rFonts w:cs="Arial"/>
          <w:color w:val="000000"/>
        </w:rPr>
        <w:t>1). A criminal sanction is provided for in s</w:t>
      </w:r>
      <w:r w:rsidR="00020535">
        <w:rPr>
          <w:rFonts w:cs="Arial"/>
          <w:color w:val="000000"/>
        </w:rPr>
        <w:t xml:space="preserve"> 222 (2) and</w:t>
      </w:r>
      <w:r w:rsidR="00F03EC8">
        <w:rPr>
          <w:rFonts w:cs="Arial"/>
          <w:color w:val="000000"/>
        </w:rPr>
        <w:t xml:space="preserve"> </w:t>
      </w:r>
      <w:r w:rsidR="00020535">
        <w:rPr>
          <w:rFonts w:cs="Arial"/>
          <w:color w:val="000000"/>
        </w:rPr>
        <w:t xml:space="preserve">s </w:t>
      </w:r>
      <w:r w:rsidR="00F03EC8">
        <w:rPr>
          <w:rFonts w:cs="Arial"/>
          <w:color w:val="000000"/>
        </w:rPr>
        <w:t>44 of the 1973 Act.</w:t>
      </w:r>
    </w:p>
  </w:footnote>
  <w:footnote w:id="46">
    <w:p w14:paraId="2CEF311D" w14:textId="77777777" w:rsidR="00F65210" w:rsidRPr="007954EC" w:rsidRDefault="00F65210" w:rsidP="00F65210">
      <w:pPr>
        <w:pStyle w:val="FootnoteText"/>
        <w:rPr>
          <w:rFonts w:cs="Arial"/>
        </w:rPr>
      </w:pPr>
      <w:r w:rsidRPr="007954EC">
        <w:rPr>
          <w:rStyle w:val="FootnoteReference"/>
          <w:rFonts w:cs="Arial"/>
        </w:rPr>
        <w:footnoteRef/>
      </w:r>
      <w:r w:rsidRPr="007954EC">
        <w:rPr>
          <w:rFonts w:cs="Arial"/>
        </w:rPr>
        <w:t xml:space="preserve"> </w:t>
      </w:r>
      <w:r w:rsidRPr="007954EC">
        <w:rPr>
          <w:rFonts w:cs="Arial"/>
        </w:rPr>
        <w:tab/>
        <w:t xml:space="preserve">He held 40% of the voting control </w:t>
      </w:r>
      <w:r>
        <w:rPr>
          <w:rFonts w:cs="Arial"/>
        </w:rPr>
        <w:t xml:space="preserve">in general meetings </w:t>
      </w:r>
      <w:r w:rsidRPr="007954EC">
        <w:rPr>
          <w:rFonts w:cs="Arial"/>
        </w:rPr>
        <w:t>and</w:t>
      </w:r>
      <w:r>
        <w:rPr>
          <w:rFonts w:cs="Arial"/>
        </w:rPr>
        <w:t xml:space="preserve"> 8.6%</w:t>
      </w:r>
      <w:r w:rsidRPr="007954EC">
        <w:rPr>
          <w:rFonts w:cs="Arial"/>
        </w:rPr>
        <w:t xml:space="preserve"> of the </w:t>
      </w:r>
      <w:r>
        <w:rPr>
          <w:rFonts w:cs="Arial"/>
        </w:rPr>
        <w:t>equity</w:t>
      </w:r>
      <w:r w:rsidRPr="007954EC">
        <w:rPr>
          <w:rFonts w:cs="Arial"/>
        </w:rPr>
        <w:t>. The remaining directors held 20% of voting rights in aggregate.</w:t>
      </w:r>
    </w:p>
  </w:footnote>
  <w:footnote w:id="47">
    <w:p w14:paraId="6CA74CCF" w14:textId="2DC2B553" w:rsidR="00E80084" w:rsidRDefault="00E80084">
      <w:pPr>
        <w:pStyle w:val="FootnoteText"/>
      </w:pPr>
      <w:r>
        <w:rPr>
          <w:rStyle w:val="FootnoteReference"/>
        </w:rPr>
        <w:footnoteRef/>
      </w:r>
      <w:r>
        <w:t xml:space="preserve"> </w:t>
      </w:r>
      <w:r>
        <w:tab/>
        <w:t>The notice of the</w:t>
      </w:r>
      <w:r w:rsidR="00AF2754">
        <w:t xml:space="preserve"> 1998 annual general meeting </w:t>
      </w:r>
      <w:r w:rsidR="00DB7F9F">
        <w:t>is Annexure “AA218” to the replying affidavit (CaseLines F1-202)</w:t>
      </w:r>
    </w:p>
  </w:footnote>
  <w:footnote w:id="48">
    <w:p w14:paraId="72D98FD3" w14:textId="4E796126" w:rsidR="00C22697" w:rsidRDefault="00C22697">
      <w:pPr>
        <w:pStyle w:val="FootnoteText"/>
      </w:pPr>
      <w:r>
        <w:rPr>
          <w:rStyle w:val="FootnoteReference"/>
        </w:rPr>
        <w:footnoteRef/>
      </w:r>
      <w:r>
        <w:t xml:space="preserve"> </w:t>
      </w:r>
      <w:r>
        <w:tab/>
        <w:t>Ramano, Makoena, Dondolo, Scott, Peer, Tuntubele, Robertson, C Nkosi, and U Skosana</w:t>
      </w:r>
    </w:p>
  </w:footnote>
  <w:footnote w:id="49">
    <w:p w14:paraId="6561BB0E" w14:textId="01DD837B" w:rsidR="00942868" w:rsidRDefault="00942868">
      <w:pPr>
        <w:pStyle w:val="FootnoteText"/>
      </w:pPr>
      <w:r>
        <w:rPr>
          <w:rStyle w:val="FootnoteReference"/>
        </w:rPr>
        <w:footnoteRef/>
      </w:r>
      <w:r>
        <w:t xml:space="preserve"> </w:t>
      </w:r>
      <w:r>
        <w:tab/>
        <w:t>Taking into account the shares to be issued in determining the asset value.</w:t>
      </w:r>
    </w:p>
  </w:footnote>
  <w:footnote w:id="50">
    <w:p w14:paraId="62AE91F5" w14:textId="1A65F825" w:rsidR="005B69C8" w:rsidRDefault="005B69C8">
      <w:pPr>
        <w:pStyle w:val="FootnoteText"/>
      </w:pPr>
      <w:r>
        <w:rPr>
          <w:rStyle w:val="FootnoteReference"/>
        </w:rPr>
        <w:footnoteRef/>
      </w:r>
      <w:r>
        <w:t xml:space="preserve"> </w:t>
      </w:r>
      <w:r>
        <w:tab/>
        <w:t>Replying affidavit par. 43.14 (CaseLines F141).</w:t>
      </w:r>
    </w:p>
  </w:footnote>
  <w:footnote w:id="51">
    <w:p w14:paraId="3D88A964" w14:textId="77777777" w:rsidR="00DB5354" w:rsidRDefault="00DB5354" w:rsidP="00DB5354">
      <w:pPr>
        <w:pStyle w:val="FootnoteText"/>
      </w:pPr>
      <w:r>
        <w:rPr>
          <w:rStyle w:val="FootnoteReference"/>
        </w:rPr>
        <w:footnoteRef/>
      </w:r>
      <w:r>
        <w:t xml:space="preserve"> </w:t>
      </w:r>
      <w:r>
        <w:tab/>
        <w:t xml:space="preserve"> CaseLines F1-244.</w:t>
      </w:r>
    </w:p>
  </w:footnote>
  <w:footnote w:id="52">
    <w:p w14:paraId="384A73F8" w14:textId="77777777" w:rsidR="005E24E1" w:rsidRDefault="005E24E1" w:rsidP="005E24E1">
      <w:pPr>
        <w:pStyle w:val="FootnoteText"/>
      </w:pPr>
      <w:r>
        <w:rPr>
          <w:rStyle w:val="FootnoteReference"/>
        </w:rPr>
        <w:footnoteRef/>
      </w:r>
      <w:r>
        <w:t xml:space="preserve"> </w:t>
      </w:r>
      <w:r>
        <w:tab/>
        <w:t>Annexure “MR1” to Ramano’s further affidavit (CaseLines G86).</w:t>
      </w:r>
    </w:p>
  </w:footnote>
  <w:footnote w:id="53">
    <w:p w14:paraId="19F12938" w14:textId="4D3F2819" w:rsidR="00010836" w:rsidRDefault="00010836">
      <w:pPr>
        <w:pStyle w:val="FootnoteText"/>
      </w:pPr>
      <w:r>
        <w:rPr>
          <w:rStyle w:val="FootnoteReference"/>
        </w:rPr>
        <w:footnoteRef/>
      </w:r>
      <w:r>
        <w:t xml:space="preserve"> </w:t>
      </w:r>
      <w:r>
        <w:tab/>
        <w:t>Reference was made to information obtained from a Senior Client Services Consultant in the office of the Chief Operating Officer of the Johannesburg Stock Exchange.</w:t>
      </w:r>
    </w:p>
  </w:footnote>
  <w:footnote w:id="54">
    <w:p w14:paraId="1234FD5D" w14:textId="24FC167A" w:rsidR="00B71FCA" w:rsidRDefault="00B71FCA">
      <w:pPr>
        <w:pStyle w:val="FootnoteText"/>
      </w:pPr>
      <w:r>
        <w:rPr>
          <w:rStyle w:val="FootnoteReference"/>
        </w:rPr>
        <w:footnoteRef/>
      </w:r>
      <w:r>
        <w:t xml:space="preserve"> </w:t>
      </w:r>
      <w:r>
        <w:tab/>
      </w:r>
      <w:r w:rsidR="00123EC2">
        <w:t>A</w:t>
      </w:r>
      <w:r>
        <w:t xml:space="preserve">nnexure “MR1” to Ramano’s further affidavit </w:t>
      </w:r>
      <w:r w:rsidR="00123EC2">
        <w:t>(CaseLines G86).</w:t>
      </w:r>
    </w:p>
  </w:footnote>
  <w:footnote w:id="55">
    <w:p w14:paraId="09B1B9E4" w14:textId="718F67A0" w:rsidR="00731E5B" w:rsidRDefault="00731E5B">
      <w:pPr>
        <w:pStyle w:val="FootnoteText"/>
      </w:pPr>
      <w:r>
        <w:rPr>
          <w:rStyle w:val="FootnoteReference"/>
        </w:rPr>
        <w:footnoteRef/>
      </w:r>
      <w:r>
        <w:t xml:space="preserve"> </w:t>
      </w:r>
      <w:r w:rsidR="00C476FB">
        <w:tab/>
        <w:t xml:space="preserve">Annexure “AA292” to the respondent’s supplementary replying affidavit </w:t>
      </w:r>
      <w:r>
        <w:t>(CaseLines H208).</w:t>
      </w:r>
    </w:p>
  </w:footnote>
  <w:footnote w:id="56">
    <w:p w14:paraId="28815E64" w14:textId="7796EE6A" w:rsidR="007957A1" w:rsidRDefault="007957A1">
      <w:pPr>
        <w:pStyle w:val="FootnoteText"/>
      </w:pPr>
      <w:r>
        <w:rPr>
          <w:rStyle w:val="FootnoteReference"/>
        </w:rPr>
        <w:footnoteRef/>
      </w:r>
      <w:r>
        <w:t xml:space="preserve"> </w:t>
      </w:r>
      <w:r>
        <w:tab/>
        <w:t xml:space="preserve">See Meskin &amp; others </w:t>
      </w:r>
      <w:r w:rsidRPr="007957A1">
        <w:rPr>
          <w:i/>
          <w:iCs/>
        </w:rPr>
        <w:t>Henochsberg on the Companies Act</w:t>
      </w:r>
      <w:r>
        <w:t xml:space="preserve"> </w:t>
      </w:r>
      <w:r w:rsidR="0022299B">
        <w:t xml:space="preserve">(2011) </w:t>
      </w:r>
      <w:r>
        <w:t>196. The referenc</w:t>
      </w:r>
      <w:r w:rsidR="00F0670B">
        <w:t>e</w:t>
      </w:r>
      <w:r>
        <w:t xml:space="preserve"> </w:t>
      </w:r>
      <w:r w:rsidR="00F0670B">
        <w:t>is</w:t>
      </w:r>
      <w:r>
        <w:t xml:space="preserve"> to the digital version made available by LexisNexis as an appendix to Delport &amp; others </w:t>
      </w:r>
      <w:r w:rsidRPr="007957A1">
        <w:rPr>
          <w:i/>
          <w:iCs/>
        </w:rPr>
        <w:t>Henochsberg on the Companies Act 71 of 2008</w:t>
      </w:r>
      <w:r w:rsidR="0022299B" w:rsidRPr="0022299B">
        <w:t xml:space="preserve"> (2011)</w:t>
      </w:r>
      <w:r>
        <w:rPr>
          <w:i/>
          <w:iCs/>
        </w:rPr>
        <w:t>.</w:t>
      </w:r>
    </w:p>
  </w:footnote>
  <w:footnote w:id="57">
    <w:p w14:paraId="75FDFC80" w14:textId="5BFDADAC" w:rsidR="001E4DEB" w:rsidRDefault="001E4DEB">
      <w:pPr>
        <w:pStyle w:val="FootnoteText"/>
      </w:pPr>
      <w:r>
        <w:rPr>
          <w:rStyle w:val="FootnoteReference"/>
        </w:rPr>
        <w:footnoteRef/>
      </w:r>
      <w:r>
        <w:t xml:space="preserve"> </w:t>
      </w:r>
      <w:r>
        <w:tab/>
        <w:t>The Court will be loath to endorse a deliberate attempt at circumvent</w:t>
      </w:r>
      <w:r w:rsidR="00B85245">
        <w:t>ing</w:t>
      </w:r>
      <w:r>
        <w:t xml:space="preserve"> the law. See </w:t>
      </w:r>
      <w:r w:rsidRPr="001E4DEB">
        <w:rPr>
          <w:i/>
          <w:iCs/>
        </w:rPr>
        <w:t xml:space="preserve">Bauermeister v C C Bauermeister (Pty) Ltd and Another </w:t>
      </w:r>
      <w:r w:rsidRPr="00E0299E">
        <w:t>1981 (1) SA 274 (W)</w:t>
      </w:r>
      <w:r>
        <w:t>.</w:t>
      </w:r>
    </w:p>
  </w:footnote>
  <w:footnote w:id="58">
    <w:p w14:paraId="3986FFBB" w14:textId="0060F24E" w:rsidR="00845554" w:rsidRDefault="00845554">
      <w:pPr>
        <w:pStyle w:val="FootnoteText"/>
      </w:pPr>
      <w:r>
        <w:rPr>
          <w:rStyle w:val="FootnoteReference"/>
        </w:rPr>
        <w:footnoteRef/>
      </w:r>
      <w:r>
        <w:t xml:space="preserve"> </w:t>
      </w:r>
      <w:r>
        <w:tab/>
        <w:t xml:space="preserve">This was considered an important factor in </w:t>
      </w:r>
      <w:r w:rsidR="000B1DD4" w:rsidRPr="00EA39DF">
        <w:rPr>
          <w:i/>
          <w:iCs/>
        </w:rPr>
        <w:t>Ex parte Durban Deep Roodepoort Ltd</w:t>
      </w:r>
      <w:r w:rsidR="000B1DD4">
        <w:t xml:space="preserve"> </w:t>
      </w:r>
      <w:r w:rsidR="000B1DD4" w:rsidRPr="00EA39DF">
        <w:t>2002 (6) SA 537 (W)</w:t>
      </w:r>
      <w:r w:rsidR="000B1DD4">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68A9B" w14:textId="1E22B70C" w:rsidR="00D645C6" w:rsidRPr="006C43D7" w:rsidRDefault="00D645C6" w:rsidP="004B21D9">
    <w:pPr>
      <w:tabs>
        <w:tab w:val="center" w:pos="4153"/>
        <w:tab w:val="right" w:pos="8306"/>
      </w:tabs>
      <w:spacing w:line="276" w:lineRule="auto"/>
      <w:rPr>
        <w:rFonts w:cs="Arial"/>
        <w:sz w:val="20"/>
        <w:szCs w:val="20"/>
        <w:lang w:val="en-GB"/>
      </w:rPr>
    </w:pPr>
    <w:r w:rsidRPr="006C43D7">
      <w:rPr>
        <w:rFonts w:cs="Arial"/>
        <w:sz w:val="20"/>
        <w:szCs w:val="20"/>
        <w:lang w:val="en-GB"/>
      </w:rPr>
      <w:fldChar w:fldCharType="begin"/>
    </w:r>
    <w:r w:rsidRPr="006C43D7">
      <w:rPr>
        <w:rFonts w:cs="Arial"/>
        <w:sz w:val="20"/>
        <w:szCs w:val="20"/>
        <w:lang w:val="en-GB"/>
      </w:rPr>
      <w:instrText xml:space="preserve"> PAGE </w:instrText>
    </w:r>
    <w:r w:rsidRPr="006C43D7">
      <w:rPr>
        <w:rFonts w:cs="Arial"/>
        <w:sz w:val="20"/>
        <w:szCs w:val="20"/>
        <w:lang w:val="en-GB"/>
      </w:rPr>
      <w:fldChar w:fldCharType="separate"/>
    </w:r>
    <w:r w:rsidR="00BE377D">
      <w:rPr>
        <w:rFonts w:cs="Arial"/>
        <w:noProof/>
        <w:sz w:val="20"/>
        <w:szCs w:val="20"/>
        <w:lang w:val="en-GB"/>
      </w:rPr>
      <w:t>14</w:t>
    </w:r>
    <w:r w:rsidRPr="006C43D7">
      <w:rPr>
        <w:rFonts w:cs="Arial"/>
        <w:sz w:val="20"/>
        <w:szCs w:val="20"/>
        <w:lang w:val="en-GB"/>
      </w:rPr>
      <w:fldChar w:fldCharType="end"/>
    </w:r>
  </w:p>
  <w:p w14:paraId="08C008E5" w14:textId="77777777" w:rsidR="00D645C6" w:rsidRPr="006C43D7" w:rsidRDefault="00D645C6" w:rsidP="006C43D7">
    <w:pPr>
      <w:tabs>
        <w:tab w:val="center" w:pos="4153"/>
        <w:tab w:val="right" w:pos="8306"/>
      </w:tabs>
      <w:spacing w:line="276" w:lineRule="auto"/>
      <w:jc w:val="right"/>
      <w:rPr>
        <w:rFonts w:cs="Arial"/>
        <w:lang w:val="en-US"/>
      </w:rPr>
    </w:pPr>
  </w:p>
  <w:p w14:paraId="4A21EF97" w14:textId="77777777" w:rsidR="00D645C6" w:rsidRPr="006C43D7" w:rsidRDefault="00D645C6" w:rsidP="006C43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20D15"/>
    <w:multiLevelType w:val="hybridMultilevel"/>
    <w:tmpl w:val="C722E98E"/>
    <w:lvl w:ilvl="0" w:tplc="7FDCA412">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
    <w:nsid w:val="0601149B"/>
    <w:multiLevelType w:val="multilevel"/>
    <w:tmpl w:val="BB262BC0"/>
    <w:lvl w:ilvl="0">
      <w:start w:val="1"/>
      <w:numFmt w:val="decimal"/>
      <w:lvlText w:val="%1."/>
      <w:lvlJc w:val="left"/>
      <w:pPr>
        <w:ind w:left="1701" w:hanging="567"/>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
    <w:nsid w:val="0A132429"/>
    <w:multiLevelType w:val="hybridMultilevel"/>
    <w:tmpl w:val="5DDAEADE"/>
    <w:lvl w:ilvl="0" w:tplc="859E9736">
      <w:start w:val="1"/>
      <w:numFmt w:val="decimal"/>
      <w:lvlText w:val="(%1)"/>
      <w:lvlJc w:val="left"/>
      <w:pPr>
        <w:tabs>
          <w:tab w:val="num" w:pos="900"/>
        </w:tabs>
        <w:ind w:left="900" w:hanging="720"/>
      </w:pPr>
      <w:rPr>
        <w:rFonts w:hint="default"/>
      </w:rPr>
    </w:lvl>
    <w:lvl w:ilvl="1" w:tplc="08090019" w:tentative="1">
      <w:start w:val="1"/>
      <w:numFmt w:val="lowerLetter"/>
      <w:lvlText w:val="%2."/>
      <w:lvlJc w:val="left"/>
      <w:pPr>
        <w:tabs>
          <w:tab w:val="num" w:pos="1260"/>
        </w:tabs>
        <w:ind w:left="1260" w:hanging="360"/>
      </w:pPr>
    </w:lvl>
    <w:lvl w:ilvl="2" w:tplc="0809001B" w:tentative="1">
      <w:start w:val="1"/>
      <w:numFmt w:val="lowerRoman"/>
      <w:lvlText w:val="%3."/>
      <w:lvlJc w:val="right"/>
      <w:pPr>
        <w:tabs>
          <w:tab w:val="num" w:pos="1980"/>
        </w:tabs>
        <w:ind w:left="1980" w:hanging="180"/>
      </w:pPr>
    </w:lvl>
    <w:lvl w:ilvl="3" w:tplc="0809000F" w:tentative="1">
      <w:start w:val="1"/>
      <w:numFmt w:val="decimal"/>
      <w:lvlText w:val="%4."/>
      <w:lvlJc w:val="left"/>
      <w:pPr>
        <w:tabs>
          <w:tab w:val="num" w:pos="2700"/>
        </w:tabs>
        <w:ind w:left="2700" w:hanging="360"/>
      </w:pPr>
    </w:lvl>
    <w:lvl w:ilvl="4" w:tplc="08090019" w:tentative="1">
      <w:start w:val="1"/>
      <w:numFmt w:val="lowerLetter"/>
      <w:lvlText w:val="%5."/>
      <w:lvlJc w:val="left"/>
      <w:pPr>
        <w:tabs>
          <w:tab w:val="num" w:pos="3420"/>
        </w:tabs>
        <w:ind w:left="3420" w:hanging="360"/>
      </w:pPr>
    </w:lvl>
    <w:lvl w:ilvl="5" w:tplc="0809001B" w:tentative="1">
      <w:start w:val="1"/>
      <w:numFmt w:val="lowerRoman"/>
      <w:lvlText w:val="%6."/>
      <w:lvlJc w:val="right"/>
      <w:pPr>
        <w:tabs>
          <w:tab w:val="num" w:pos="4140"/>
        </w:tabs>
        <w:ind w:left="4140" w:hanging="180"/>
      </w:pPr>
    </w:lvl>
    <w:lvl w:ilvl="6" w:tplc="0809000F" w:tentative="1">
      <w:start w:val="1"/>
      <w:numFmt w:val="decimal"/>
      <w:lvlText w:val="%7."/>
      <w:lvlJc w:val="left"/>
      <w:pPr>
        <w:tabs>
          <w:tab w:val="num" w:pos="4860"/>
        </w:tabs>
        <w:ind w:left="4860" w:hanging="360"/>
      </w:pPr>
    </w:lvl>
    <w:lvl w:ilvl="7" w:tplc="08090019" w:tentative="1">
      <w:start w:val="1"/>
      <w:numFmt w:val="lowerLetter"/>
      <w:lvlText w:val="%8."/>
      <w:lvlJc w:val="left"/>
      <w:pPr>
        <w:tabs>
          <w:tab w:val="num" w:pos="5580"/>
        </w:tabs>
        <w:ind w:left="5580" w:hanging="360"/>
      </w:pPr>
    </w:lvl>
    <w:lvl w:ilvl="8" w:tplc="0809001B" w:tentative="1">
      <w:start w:val="1"/>
      <w:numFmt w:val="lowerRoman"/>
      <w:lvlText w:val="%9."/>
      <w:lvlJc w:val="right"/>
      <w:pPr>
        <w:tabs>
          <w:tab w:val="num" w:pos="6300"/>
        </w:tabs>
        <w:ind w:left="6300" w:hanging="180"/>
      </w:pPr>
    </w:lvl>
  </w:abstractNum>
  <w:abstractNum w:abstractNumId="3">
    <w:nsid w:val="0C1D5AA5"/>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395632B"/>
    <w:multiLevelType w:val="multilevel"/>
    <w:tmpl w:val="18D4C7FC"/>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5">
    <w:nsid w:val="18DD7D02"/>
    <w:multiLevelType w:val="multilevel"/>
    <w:tmpl w:val="DF0C55CC"/>
    <w:lvl w:ilvl="0">
      <w:start w:val="1"/>
      <w:numFmt w:val="decimal"/>
      <w:pStyle w:val="AFUaffidavitnumbering"/>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6">
    <w:nsid w:val="2FFC1874"/>
    <w:multiLevelType w:val="multilevel"/>
    <w:tmpl w:val="1228ED04"/>
    <w:lvl w:ilvl="0">
      <w:start w:val="1"/>
      <w:numFmt w:val="decimal"/>
      <w:lvlText w:val="[%1]"/>
      <w:lvlJc w:val="left"/>
      <w:pPr>
        <w:tabs>
          <w:tab w:val="num" w:pos="567"/>
        </w:tabs>
        <w:ind w:left="0" w:firstLine="0"/>
      </w:pPr>
      <w:rPr>
        <w:rFonts w:hint="default"/>
        <w:b w:val="0"/>
        <w:i w:val="0"/>
        <w:color w:val="auto"/>
      </w:rPr>
    </w:lvl>
    <w:lvl w:ilvl="1">
      <w:start w:val="1"/>
      <w:numFmt w:val="decimal"/>
      <w:lvlText w:val="%1.%2"/>
      <w:lvlJc w:val="left"/>
      <w:pPr>
        <w:tabs>
          <w:tab w:val="num" w:pos="1418"/>
        </w:tabs>
        <w:ind w:left="1418" w:hanging="851"/>
      </w:pPr>
      <w:rPr>
        <w:rFonts w:hint="default"/>
        <w:b w:val="0"/>
        <w:color w:val="auto"/>
      </w:rPr>
    </w:lvl>
    <w:lvl w:ilvl="2">
      <w:start w:val="1"/>
      <w:numFmt w:val="decimal"/>
      <w:lvlText w:val="%1.%2.%3"/>
      <w:lvlJc w:val="left"/>
      <w:pPr>
        <w:tabs>
          <w:tab w:val="num" w:pos="2268"/>
        </w:tabs>
        <w:ind w:left="2268" w:hanging="850"/>
      </w:pPr>
      <w:rPr>
        <w:rFonts w:hint="default"/>
        <w:color w:val="auto"/>
      </w:rPr>
    </w:lvl>
    <w:lvl w:ilvl="3">
      <w:start w:val="1"/>
      <w:numFmt w:val="decimal"/>
      <w:lvlText w:val="%1.%2.%3.%4."/>
      <w:lvlJc w:val="left"/>
      <w:pPr>
        <w:tabs>
          <w:tab w:val="num" w:pos="3402"/>
        </w:tabs>
        <w:ind w:left="3402" w:hanging="1134"/>
      </w:pPr>
      <w:rPr>
        <w:rFonts w:hint="default"/>
      </w:rPr>
    </w:lvl>
    <w:lvl w:ilvl="4">
      <w:start w:val="1"/>
      <w:numFmt w:val="decimal"/>
      <w:lvlText w:val="%1.%2.%3.%4.%5."/>
      <w:lvlJc w:val="left"/>
      <w:pPr>
        <w:tabs>
          <w:tab w:val="num" w:pos="4820"/>
        </w:tabs>
        <w:ind w:left="4820" w:hanging="1418"/>
      </w:pPr>
      <w:rPr>
        <w:rFonts w:hint="default"/>
      </w:rPr>
    </w:lvl>
    <w:lvl w:ilvl="5">
      <w:start w:val="1"/>
      <w:numFmt w:val="decimal"/>
      <w:lvlText w:val="%1.%2.%3.%4.%5.%6."/>
      <w:lvlJc w:val="left"/>
      <w:pPr>
        <w:tabs>
          <w:tab w:val="num" w:pos="5760"/>
        </w:tabs>
        <w:ind w:left="5760" w:hanging="115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31CA61CD"/>
    <w:multiLevelType w:val="multilevel"/>
    <w:tmpl w:val="3058E7CA"/>
    <w:lvl w:ilvl="0">
      <w:start w:val="1"/>
      <w:numFmt w:val="decimal"/>
      <w:lvlText w:val="%1."/>
      <w:lvlJc w:val="left"/>
      <w:pPr>
        <w:tabs>
          <w:tab w:val="num" w:pos="1701"/>
        </w:tabs>
        <w:ind w:left="1701" w:hanging="567"/>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8">
    <w:nsid w:val="384B5003"/>
    <w:multiLevelType w:val="multilevel"/>
    <w:tmpl w:val="BA7E0772"/>
    <w:lvl w:ilvl="0">
      <w:start w:val="8"/>
      <w:numFmt w:val="decimal"/>
      <w:lvlText w:val="%1"/>
      <w:lvlJc w:val="left"/>
      <w:pPr>
        <w:ind w:left="360" w:hanging="360"/>
      </w:pPr>
    </w:lvl>
    <w:lvl w:ilvl="1">
      <w:start w:val="1"/>
      <w:numFmt w:val="decimal"/>
      <w:lvlText w:val="%2."/>
      <w:lvlJc w:val="left"/>
      <w:pPr>
        <w:ind w:left="1440" w:hanging="360"/>
      </w:pPr>
      <w:rPr>
        <w:rFonts w:ascii="Arial" w:eastAsia="Times New Roman" w:hAnsi="Arial" w:cs="Arial"/>
        <w:b w:val="0"/>
      </w:rPr>
    </w:lvl>
    <w:lvl w:ilvl="2">
      <w:start w:val="1"/>
      <w:numFmt w:val="decimal"/>
      <w:lvlText w:val="%1.%2.%3"/>
      <w:lvlJc w:val="left"/>
      <w:pPr>
        <w:ind w:left="2880" w:hanging="720"/>
      </w:pPr>
      <w:rPr>
        <w:b w:val="0"/>
      </w:rPr>
    </w:lvl>
    <w:lvl w:ilvl="3">
      <w:start w:val="1"/>
      <w:numFmt w:val="decimal"/>
      <w:lvlText w:val="%1.%2.%3.%4"/>
      <w:lvlJc w:val="left"/>
      <w:pPr>
        <w:ind w:left="4320" w:hanging="1080"/>
      </w:pPr>
      <w:rPr>
        <w:b w:val="0"/>
      </w:r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440" w:hanging="1800"/>
      </w:pPr>
    </w:lvl>
  </w:abstractNum>
  <w:abstractNum w:abstractNumId="9">
    <w:nsid w:val="3F8F0C59"/>
    <w:multiLevelType w:val="hybridMultilevel"/>
    <w:tmpl w:val="FCCCA750"/>
    <w:lvl w:ilvl="0" w:tplc="F6887E70">
      <w:start w:val="1"/>
      <w:numFmt w:val="decimal"/>
      <w:lvlText w:val="%1."/>
      <w:lvlJc w:val="left"/>
      <w:pPr>
        <w:ind w:left="1650" w:hanging="564"/>
      </w:pPr>
      <w:rPr>
        <w:rFonts w:hint="default"/>
      </w:rPr>
    </w:lvl>
    <w:lvl w:ilvl="1" w:tplc="1C090019">
      <w:start w:val="1"/>
      <w:numFmt w:val="lowerLetter"/>
      <w:lvlText w:val="%2."/>
      <w:lvlJc w:val="left"/>
      <w:pPr>
        <w:ind w:left="2166" w:hanging="360"/>
      </w:pPr>
    </w:lvl>
    <w:lvl w:ilvl="2" w:tplc="1C09001B" w:tentative="1">
      <w:start w:val="1"/>
      <w:numFmt w:val="lowerRoman"/>
      <w:lvlText w:val="%3."/>
      <w:lvlJc w:val="right"/>
      <w:pPr>
        <w:ind w:left="2886" w:hanging="180"/>
      </w:pPr>
    </w:lvl>
    <w:lvl w:ilvl="3" w:tplc="1C09000F" w:tentative="1">
      <w:start w:val="1"/>
      <w:numFmt w:val="decimal"/>
      <w:lvlText w:val="%4."/>
      <w:lvlJc w:val="left"/>
      <w:pPr>
        <w:ind w:left="3606" w:hanging="360"/>
      </w:pPr>
    </w:lvl>
    <w:lvl w:ilvl="4" w:tplc="1C090019" w:tentative="1">
      <w:start w:val="1"/>
      <w:numFmt w:val="lowerLetter"/>
      <w:lvlText w:val="%5."/>
      <w:lvlJc w:val="left"/>
      <w:pPr>
        <w:ind w:left="4326" w:hanging="360"/>
      </w:pPr>
    </w:lvl>
    <w:lvl w:ilvl="5" w:tplc="1C09001B" w:tentative="1">
      <w:start w:val="1"/>
      <w:numFmt w:val="lowerRoman"/>
      <w:lvlText w:val="%6."/>
      <w:lvlJc w:val="right"/>
      <w:pPr>
        <w:ind w:left="5046" w:hanging="180"/>
      </w:pPr>
    </w:lvl>
    <w:lvl w:ilvl="6" w:tplc="1C09000F" w:tentative="1">
      <w:start w:val="1"/>
      <w:numFmt w:val="decimal"/>
      <w:lvlText w:val="%7."/>
      <w:lvlJc w:val="left"/>
      <w:pPr>
        <w:ind w:left="5766" w:hanging="360"/>
      </w:pPr>
    </w:lvl>
    <w:lvl w:ilvl="7" w:tplc="1C090019" w:tentative="1">
      <w:start w:val="1"/>
      <w:numFmt w:val="lowerLetter"/>
      <w:lvlText w:val="%8."/>
      <w:lvlJc w:val="left"/>
      <w:pPr>
        <w:ind w:left="6486" w:hanging="360"/>
      </w:pPr>
    </w:lvl>
    <w:lvl w:ilvl="8" w:tplc="1C09001B" w:tentative="1">
      <w:start w:val="1"/>
      <w:numFmt w:val="lowerRoman"/>
      <w:lvlText w:val="%9."/>
      <w:lvlJc w:val="right"/>
      <w:pPr>
        <w:ind w:left="7206" w:hanging="180"/>
      </w:pPr>
    </w:lvl>
  </w:abstractNum>
  <w:abstractNum w:abstractNumId="10">
    <w:nsid w:val="462F3097"/>
    <w:multiLevelType w:val="multilevel"/>
    <w:tmpl w:val="B54A59FE"/>
    <w:lvl w:ilvl="0">
      <w:start w:val="1"/>
      <w:numFmt w:val="decimal"/>
      <w:lvlText w:val="%1."/>
      <w:lvlJc w:val="left"/>
      <w:pPr>
        <w:tabs>
          <w:tab w:val="num" w:pos="1701"/>
        </w:tabs>
        <w:ind w:left="1701" w:hanging="567"/>
      </w:pPr>
      <w:rPr>
        <w:rFonts w:hint="default"/>
      </w:rPr>
    </w:lvl>
    <w:lvl w:ilvl="1">
      <w:start w:val="1"/>
      <w:numFmt w:val="decimal"/>
      <w:lvlText w:val="%1.%2."/>
      <w:lvlJc w:val="left"/>
      <w:pPr>
        <w:tabs>
          <w:tab w:val="num" w:pos="2438"/>
        </w:tabs>
        <w:ind w:left="2438" w:hanging="73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49950EAD"/>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E4C0715"/>
    <w:multiLevelType w:val="hybridMultilevel"/>
    <w:tmpl w:val="1E10A8C0"/>
    <w:lvl w:ilvl="0" w:tplc="42D45374">
      <w:start w:val="1"/>
      <w:numFmt w:val="lowerRoman"/>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3">
    <w:nsid w:val="634C2701"/>
    <w:multiLevelType w:val="multilevel"/>
    <w:tmpl w:val="B54A59FE"/>
    <w:lvl w:ilvl="0">
      <w:start w:val="1"/>
      <w:numFmt w:val="decimal"/>
      <w:lvlText w:val="%1."/>
      <w:lvlJc w:val="left"/>
      <w:pPr>
        <w:tabs>
          <w:tab w:val="num" w:pos="1701"/>
        </w:tabs>
        <w:ind w:left="1701" w:hanging="567"/>
      </w:pPr>
      <w:rPr>
        <w:rFonts w:hint="default"/>
      </w:rPr>
    </w:lvl>
    <w:lvl w:ilvl="1">
      <w:start w:val="1"/>
      <w:numFmt w:val="decimal"/>
      <w:lvlText w:val="%1.%2."/>
      <w:lvlJc w:val="left"/>
      <w:pPr>
        <w:tabs>
          <w:tab w:val="num" w:pos="2438"/>
        </w:tabs>
        <w:ind w:left="2438" w:hanging="73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6900780E"/>
    <w:multiLevelType w:val="multilevel"/>
    <w:tmpl w:val="3058E7CA"/>
    <w:lvl w:ilvl="0">
      <w:start w:val="1"/>
      <w:numFmt w:val="decimal"/>
      <w:lvlText w:val="%1."/>
      <w:lvlJc w:val="left"/>
      <w:pPr>
        <w:tabs>
          <w:tab w:val="num" w:pos="1701"/>
        </w:tabs>
        <w:ind w:left="1701" w:hanging="567"/>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5">
    <w:nsid w:val="77EE27AA"/>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2"/>
  </w:num>
  <w:num w:numId="3">
    <w:abstractNumId w:val="14"/>
  </w:num>
  <w:num w:numId="4">
    <w:abstractNumId w:val="7"/>
  </w:num>
  <w:num w:numId="5">
    <w:abstractNumId w:val="13"/>
  </w:num>
  <w:num w:numId="6">
    <w:abstractNumId w:val="10"/>
  </w:num>
  <w:num w:numId="7">
    <w:abstractNumId w:val="1"/>
  </w:num>
  <w:num w:numId="8">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4"/>
  </w:num>
  <w:num w:numId="11">
    <w:abstractNumId w:val="15"/>
  </w:num>
  <w:num w:numId="12">
    <w:abstractNumId w:val="5"/>
    <w:lvlOverride w:ilvl="0">
      <w:lvl w:ilvl="0">
        <w:start w:val="1"/>
        <w:numFmt w:val="decimal"/>
        <w:pStyle w:val="AFUaffidavitnumbering"/>
        <w:lvlText w:val="%1"/>
        <w:lvlJc w:val="left"/>
        <w:pPr>
          <w:tabs>
            <w:tab w:val="num" w:pos="567"/>
          </w:tabs>
          <w:ind w:left="567" w:hanging="567"/>
        </w:pPr>
        <w:rPr>
          <w:rFonts w:hint="default"/>
        </w:rPr>
      </w:lvl>
    </w:lvlOverride>
    <w:lvlOverride w:ilvl="1">
      <w:lvl w:ilvl="1">
        <w:start w:val="1"/>
        <w:numFmt w:val="decimal"/>
        <w:lvlText w:val="%1.%2"/>
        <w:lvlJc w:val="left"/>
        <w:pPr>
          <w:tabs>
            <w:tab w:val="num" w:pos="1418"/>
          </w:tabs>
          <w:ind w:left="1418" w:hanging="851"/>
        </w:pPr>
        <w:rPr>
          <w:rFonts w:hint="default"/>
        </w:rPr>
      </w:lvl>
    </w:lvlOverride>
    <w:lvlOverride w:ilvl="2">
      <w:lvl w:ilvl="2">
        <w:start w:val="1"/>
        <w:numFmt w:val="decimal"/>
        <w:lvlText w:val="%1.%2.%3"/>
        <w:lvlJc w:val="left"/>
        <w:pPr>
          <w:tabs>
            <w:tab w:val="num" w:pos="2268"/>
          </w:tabs>
          <w:ind w:left="2268" w:hanging="850"/>
        </w:pPr>
        <w:rPr>
          <w:rFonts w:hint="default"/>
          <w:b w:val="0"/>
        </w:rPr>
      </w:lvl>
    </w:lvlOverride>
    <w:lvlOverride w:ilvl="3">
      <w:lvl w:ilvl="3">
        <w:start w:val="1"/>
        <w:numFmt w:val="decimal"/>
        <w:lvlText w:val="%1.%2.%3.%4"/>
        <w:lvlJc w:val="left"/>
        <w:pPr>
          <w:tabs>
            <w:tab w:val="num" w:pos="141"/>
          </w:tabs>
          <w:ind w:left="2409" w:hanging="567"/>
        </w:pPr>
        <w:rPr>
          <w:rFonts w:hint="default"/>
          <w:b w:val="0"/>
        </w:rPr>
      </w:lvl>
    </w:lvlOverride>
    <w:lvlOverride w:ilvl="4">
      <w:lvl w:ilvl="4">
        <w:start w:val="1"/>
        <w:numFmt w:val="decimal"/>
        <w:lvlText w:val="%1.%2.%3.%4.%5."/>
        <w:lvlJc w:val="left"/>
        <w:pPr>
          <w:tabs>
            <w:tab w:val="num" w:pos="0"/>
          </w:tabs>
          <w:ind w:left="2835" w:hanging="567"/>
        </w:pPr>
        <w:rPr>
          <w:rFonts w:hint="default"/>
        </w:rPr>
      </w:lvl>
    </w:lvlOverride>
    <w:lvlOverride w:ilvl="5">
      <w:lvl w:ilvl="5">
        <w:start w:val="1"/>
        <w:numFmt w:val="decimal"/>
        <w:lvlText w:val="%1.%2.%3.%4.%5.%6."/>
        <w:lvlJc w:val="left"/>
        <w:pPr>
          <w:tabs>
            <w:tab w:val="num" w:pos="0"/>
          </w:tabs>
          <w:ind w:left="3402" w:hanging="567"/>
        </w:pPr>
        <w:rPr>
          <w:rFonts w:hint="default"/>
        </w:rPr>
      </w:lvl>
    </w:lvlOverride>
    <w:lvlOverride w:ilvl="6">
      <w:lvl w:ilvl="6">
        <w:start w:val="1"/>
        <w:numFmt w:val="decimal"/>
        <w:lvlText w:val="%1.%2.%3.%4.%5.%6.%7."/>
        <w:lvlJc w:val="left"/>
        <w:pPr>
          <w:tabs>
            <w:tab w:val="num" w:pos="0"/>
          </w:tabs>
          <w:ind w:left="3969" w:hanging="567"/>
        </w:pPr>
        <w:rPr>
          <w:rFonts w:hint="default"/>
        </w:rPr>
      </w:lvl>
    </w:lvlOverride>
    <w:lvlOverride w:ilvl="7">
      <w:lvl w:ilvl="7">
        <w:start w:val="1"/>
        <w:numFmt w:val="decimal"/>
        <w:lvlText w:val="%1.%2.%3.%4.%5.%6.%7.%8."/>
        <w:lvlJc w:val="left"/>
        <w:pPr>
          <w:tabs>
            <w:tab w:val="num" w:pos="0"/>
          </w:tabs>
          <w:ind w:left="4536" w:hanging="567"/>
        </w:pPr>
        <w:rPr>
          <w:rFonts w:hint="default"/>
        </w:rPr>
      </w:lvl>
    </w:lvlOverride>
    <w:lvlOverride w:ilvl="8">
      <w:lvl w:ilvl="8">
        <w:start w:val="1"/>
        <w:numFmt w:val="decimal"/>
        <w:lvlText w:val="%1.%2.%3.%4.%5.%6.%7.%8.%9."/>
        <w:lvlJc w:val="left"/>
        <w:pPr>
          <w:tabs>
            <w:tab w:val="num" w:pos="0"/>
          </w:tabs>
          <w:ind w:left="5103" w:hanging="567"/>
        </w:pPr>
        <w:rPr>
          <w:rFonts w:hint="default"/>
        </w:rPr>
      </w:lvl>
    </w:lvlOverride>
  </w:num>
  <w:num w:numId="13">
    <w:abstractNumId w:val="11"/>
  </w:num>
  <w:num w:numId="14">
    <w:abstractNumId w:val="0"/>
  </w:num>
  <w:num w:numId="15">
    <w:abstractNumId w:val="1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6F3"/>
    <w:rsid w:val="000004A3"/>
    <w:rsid w:val="00001138"/>
    <w:rsid w:val="00006113"/>
    <w:rsid w:val="0000620F"/>
    <w:rsid w:val="00010298"/>
    <w:rsid w:val="00010836"/>
    <w:rsid w:val="0001111B"/>
    <w:rsid w:val="0001140A"/>
    <w:rsid w:val="00011522"/>
    <w:rsid w:val="00013B7F"/>
    <w:rsid w:val="00015D74"/>
    <w:rsid w:val="000201CB"/>
    <w:rsid w:val="00020535"/>
    <w:rsid w:val="00020F0A"/>
    <w:rsid w:val="0002365F"/>
    <w:rsid w:val="00024A29"/>
    <w:rsid w:val="00025233"/>
    <w:rsid w:val="000262B3"/>
    <w:rsid w:val="00026953"/>
    <w:rsid w:val="00027A25"/>
    <w:rsid w:val="00030A89"/>
    <w:rsid w:val="00031AC8"/>
    <w:rsid w:val="000325E2"/>
    <w:rsid w:val="00041B14"/>
    <w:rsid w:val="00047F26"/>
    <w:rsid w:val="00050086"/>
    <w:rsid w:val="000504F1"/>
    <w:rsid w:val="00051A2B"/>
    <w:rsid w:val="000534A0"/>
    <w:rsid w:val="00063D83"/>
    <w:rsid w:val="00063F7B"/>
    <w:rsid w:val="00064D86"/>
    <w:rsid w:val="00065D3F"/>
    <w:rsid w:val="000674A1"/>
    <w:rsid w:val="0007219D"/>
    <w:rsid w:val="000737E1"/>
    <w:rsid w:val="00073E30"/>
    <w:rsid w:val="00081716"/>
    <w:rsid w:val="00082179"/>
    <w:rsid w:val="000833BB"/>
    <w:rsid w:val="00087AE6"/>
    <w:rsid w:val="00092591"/>
    <w:rsid w:val="0009488C"/>
    <w:rsid w:val="00097968"/>
    <w:rsid w:val="000A1C9D"/>
    <w:rsid w:val="000A62D6"/>
    <w:rsid w:val="000A6AD8"/>
    <w:rsid w:val="000A79C2"/>
    <w:rsid w:val="000B1DD4"/>
    <w:rsid w:val="000B21DA"/>
    <w:rsid w:val="000B5EF7"/>
    <w:rsid w:val="000C0C85"/>
    <w:rsid w:val="000C1335"/>
    <w:rsid w:val="000C568D"/>
    <w:rsid w:val="000D098B"/>
    <w:rsid w:val="000D5760"/>
    <w:rsid w:val="000D7D6A"/>
    <w:rsid w:val="000E091A"/>
    <w:rsid w:val="000E1EC8"/>
    <w:rsid w:val="000E5343"/>
    <w:rsid w:val="000F59F8"/>
    <w:rsid w:val="001025B4"/>
    <w:rsid w:val="001025B5"/>
    <w:rsid w:val="00104142"/>
    <w:rsid w:val="00105CCA"/>
    <w:rsid w:val="001142D1"/>
    <w:rsid w:val="00120C79"/>
    <w:rsid w:val="00120FB1"/>
    <w:rsid w:val="00123070"/>
    <w:rsid w:val="00123566"/>
    <w:rsid w:val="00123EC2"/>
    <w:rsid w:val="00130253"/>
    <w:rsid w:val="00133E81"/>
    <w:rsid w:val="00137F3E"/>
    <w:rsid w:val="00140CED"/>
    <w:rsid w:val="00147FF5"/>
    <w:rsid w:val="00152899"/>
    <w:rsid w:val="00154961"/>
    <w:rsid w:val="00155A21"/>
    <w:rsid w:val="0016478A"/>
    <w:rsid w:val="001671C1"/>
    <w:rsid w:val="00171182"/>
    <w:rsid w:val="0017124B"/>
    <w:rsid w:val="00171D7F"/>
    <w:rsid w:val="0017211E"/>
    <w:rsid w:val="00172DDF"/>
    <w:rsid w:val="00174542"/>
    <w:rsid w:val="00180B55"/>
    <w:rsid w:val="001858C8"/>
    <w:rsid w:val="00185ACF"/>
    <w:rsid w:val="001879D4"/>
    <w:rsid w:val="00190579"/>
    <w:rsid w:val="001916C4"/>
    <w:rsid w:val="00192F78"/>
    <w:rsid w:val="00196E14"/>
    <w:rsid w:val="001A5145"/>
    <w:rsid w:val="001A522A"/>
    <w:rsid w:val="001A7904"/>
    <w:rsid w:val="001B1D39"/>
    <w:rsid w:val="001B3CB7"/>
    <w:rsid w:val="001B4217"/>
    <w:rsid w:val="001B5D3E"/>
    <w:rsid w:val="001B606B"/>
    <w:rsid w:val="001B6C63"/>
    <w:rsid w:val="001B79E3"/>
    <w:rsid w:val="001C02F9"/>
    <w:rsid w:val="001C0755"/>
    <w:rsid w:val="001C44CF"/>
    <w:rsid w:val="001C4EE6"/>
    <w:rsid w:val="001C6CB9"/>
    <w:rsid w:val="001D0681"/>
    <w:rsid w:val="001D3CC2"/>
    <w:rsid w:val="001E2EED"/>
    <w:rsid w:val="001E3D11"/>
    <w:rsid w:val="001E4DEB"/>
    <w:rsid w:val="001E518E"/>
    <w:rsid w:val="001F0970"/>
    <w:rsid w:val="001F0A29"/>
    <w:rsid w:val="001F3DBD"/>
    <w:rsid w:val="001F648A"/>
    <w:rsid w:val="00201620"/>
    <w:rsid w:val="002041FA"/>
    <w:rsid w:val="00205392"/>
    <w:rsid w:val="002104BF"/>
    <w:rsid w:val="0021064A"/>
    <w:rsid w:val="00213B3D"/>
    <w:rsid w:val="00215824"/>
    <w:rsid w:val="00216BC8"/>
    <w:rsid w:val="0021787F"/>
    <w:rsid w:val="0022218D"/>
    <w:rsid w:val="0022299B"/>
    <w:rsid w:val="00226926"/>
    <w:rsid w:val="0022710A"/>
    <w:rsid w:val="00232528"/>
    <w:rsid w:val="00235D20"/>
    <w:rsid w:val="00237FF9"/>
    <w:rsid w:val="00243A1D"/>
    <w:rsid w:val="00246928"/>
    <w:rsid w:val="00247ABD"/>
    <w:rsid w:val="00250164"/>
    <w:rsid w:val="00253F38"/>
    <w:rsid w:val="002608C5"/>
    <w:rsid w:val="002625C5"/>
    <w:rsid w:val="00262819"/>
    <w:rsid w:val="00263C58"/>
    <w:rsid w:val="00274153"/>
    <w:rsid w:val="00285040"/>
    <w:rsid w:val="00285062"/>
    <w:rsid w:val="00293351"/>
    <w:rsid w:val="0029369B"/>
    <w:rsid w:val="00295ACB"/>
    <w:rsid w:val="00296E49"/>
    <w:rsid w:val="00296F07"/>
    <w:rsid w:val="002976B8"/>
    <w:rsid w:val="002A030C"/>
    <w:rsid w:val="002A112D"/>
    <w:rsid w:val="002A184F"/>
    <w:rsid w:val="002A4B7B"/>
    <w:rsid w:val="002A66F5"/>
    <w:rsid w:val="002B517C"/>
    <w:rsid w:val="002C15AC"/>
    <w:rsid w:val="002C2B24"/>
    <w:rsid w:val="002C2E80"/>
    <w:rsid w:val="002C4687"/>
    <w:rsid w:val="002D2842"/>
    <w:rsid w:val="002D47B3"/>
    <w:rsid w:val="002D7171"/>
    <w:rsid w:val="002E0085"/>
    <w:rsid w:val="002E5B57"/>
    <w:rsid w:val="002E6CD7"/>
    <w:rsid w:val="002F1C4D"/>
    <w:rsid w:val="002F5131"/>
    <w:rsid w:val="002F72D3"/>
    <w:rsid w:val="00302290"/>
    <w:rsid w:val="00302C31"/>
    <w:rsid w:val="00303919"/>
    <w:rsid w:val="003047C2"/>
    <w:rsid w:val="00304947"/>
    <w:rsid w:val="0030653F"/>
    <w:rsid w:val="003102C8"/>
    <w:rsid w:val="0031117B"/>
    <w:rsid w:val="00312EBC"/>
    <w:rsid w:val="00313056"/>
    <w:rsid w:val="003216E0"/>
    <w:rsid w:val="003274E4"/>
    <w:rsid w:val="0033374D"/>
    <w:rsid w:val="00336966"/>
    <w:rsid w:val="00337135"/>
    <w:rsid w:val="00340635"/>
    <w:rsid w:val="00340B79"/>
    <w:rsid w:val="0034147B"/>
    <w:rsid w:val="00342E02"/>
    <w:rsid w:val="0034597E"/>
    <w:rsid w:val="003463D6"/>
    <w:rsid w:val="00346CA0"/>
    <w:rsid w:val="00346D31"/>
    <w:rsid w:val="00346DE6"/>
    <w:rsid w:val="00351E8F"/>
    <w:rsid w:val="003543C5"/>
    <w:rsid w:val="00354EF2"/>
    <w:rsid w:val="00357081"/>
    <w:rsid w:val="00357D35"/>
    <w:rsid w:val="00363FCD"/>
    <w:rsid w:val="00364C43"/>
    <w:rsid w:val="00364E6A"/>
    <w:rsid w:val="00367720"/>
    <w:rsid w:val="00367778"/>
    <w:rsid w:val="0037029D"/>
    <w:rsid w:val="00370462"/>
    <w:rsid w:val="003704EF"/>
    <w:rsid w:val="00373181"/>
    <w:rsid w:val="003752EB"/>
    <w:rsid w:val="00381213"/>
    <w:rsid w:val="003832F7"/>
    <w:rsid w:val="003840EC"/>
    <w:rsid w:val="003862E0"/>
    <w:rsid w:val="00390C3F"/>
    <w:rsid w:val="00393127"/>
    <w:rsid w:val="003942F9"/>
    <w:rsid w:val="003A7864"/>
    <w:rsid w:val="003A7A9C"/>
    <w:rsid w:val="003B4100"/>
    <w:rsid w:val="003C1A16"/>
    <w:rsid w:val="003C1E91"/>
    <w:rsid w:val="003C43D7"/>
    <w:rsid w:val="003C7FCB"/>
    <w:rsid w:val="003D19C3"/>
    <w:rsid w:val="003D20AC"/>
    <w:rsid w:val="003D36F9"/>
    <w:rsid w:val="003D54DF"/>
    <w:rsid w:val="003D59D4"/>
    <w:rsid w:val="003D5B36"/>
    <w:rsid w:val="003D77F1"/>
    <w:rsid w:val="003E4141"/>
    <w:rsid w:val="003E7A60"/>
    <w:rsid w:val="003F16F7"/>
    <w:rsid w:val="003F1F49"/>
    <w:rsid w:val="003F4E8E"/>
    <w:rsid w:val="003F607D"/>
    <w:rsid w:val="003F7448"/>
    <w:rsid w:val="0040340E"/>
    <w:rsid w:val="00404172"/>
    <w:rsid w:val="00405DEE"/>
    <w:rsid w:val="0040647F"/>
    <w:rsid w:val="00407F28"/>
    <w:rsid w:val="0041100A"/>
    <w:rsid w:val="004131C5"/>
    <w:rsid w:val="004146C6"/>
    <w:rsid w:val="0042423E"/>
    <w:rsid w:val="00424BA6"/>
    <w:rsid w:val="00427E39"/>
    <w:rsid w:val="004339E6"/>
    <w:rsid w:val="0043683A"/>
    <w:rsid w:val="00437EB1"/>
    <w:rsid w:val="004411FA"/>
    <w:rsid w:val="00441422"/>
    <w:rsid w:val="00442F7B"/>
    <w:rsid w:val="00444E8C"/>
    <w:rsid w:val="00444ED6"/>
    <w:rsid w:val="00445DCB"/>
    <w:rsid w:val="00446363"/>
    <w:rsid w:val="0045044C"/>
    <w:rsid w:val="004524B8"/>
    <w:rsid w:val="00460495"/>
    <w:rsid w:val="00460EEA"/>
    <w:rsid w:val="004630B6"/>
    <w:rsid w:val="00463106"/>
    <w:rsid w:val="0046331F"/>
    <w:rsid w:val="0047089C"/>
    <w:rsid w:val="00474607"/>
    <w:rsid w:val="00474910"/>
    <w:rsid w:val="004749AF"/>
    <w:rsid w:val="00475410"/>
    <w:rsid w:val="004804A7"/>
    <w:rsid w:val="00484116"/>
    <w:rsid w:val="0048424E"/>
    <w:rsid w:val="00486F42"/>
    <w:rsid w:val="004874EB"/>
    <w:rsid w:val="00487D14"/>
    <w:rsid w:val="00495504"/>
    <w:rsid w:val="004A1341"/>
    <w:rsid w:val="004A1EA3"/>
    <w:rsid w:val="004A2C7E"/>
    <w:rsid w:val="004A6625"/>
    <w:rsid w:val="004A69D6"/>
    <w:rsid w:val="004A7DFE"/>
    <w:rsid w:val="004B21D9"/>
    <w:rsid w:val="004B2E4C"/>
    <w:rsid w:val="004B40E3"/>
    <w:rsid w:val="004B6A1A"/>
    <w:rsid w:val="004C04F5"/>
    <w:rsid w:val="004C0CE3"/>
    <w:rsid w:val="004C368B"/>
    <w:rsid w:val="004C4511"/>
    <w:rsid w:val="004C483E"/>
    <w:rsid w:val="004C6AE3"/>
    <w:rsid w:val="004D1A31"/>
    <w:rsid w:val="004D262A"/>
    <w:rsid w:val="004D2C6F"/>
    <w:rsid w:val="004D2E01"/>
    <w:rsid w:val="004E3305"/>
    <w:rsid w:val="004E3D64"/>
    <w:rsid w:val="004E568C"/>
    <w:rsid w:val="004E586A"/>
    <w:rsid w:val="004E5AD8"/>
    <w:rsid w:val="004F11FF"/>
    <w:rsid w:val="004F12D8"/>
    <w:rsid w:val="004F224E"/>
    <w:rsid w:val="004F22A6"/>
    <w:rsid w:val="004F4A37"/>
    <w:rsid w:val="004F5CBA"/>
    <w:rsid w:val="004F7B36"/>
    <w:rsid w:val="00504B53"/>
    <w:rsid w:val="00505F61"/>
    <w:rsid w:val="0051015D"/>
    <w:rsid w:val="0051292D"/>
    <w:rsid w:val="0051442D"/>
    <w:rsid w:val="0051622D"/>
    <w:rsid w:val="005217B3"/>
    <w:rsid w:val="005218EF"/>
    <w:rsid w:val="005219EB"/>
    <w:rsid w:val="005259D8"/>
    <w:rsid w:val="005262C2"/>
    <w:rsid w:val="0052705A"/>
    <w:rsid w:val="005311BA"/>
    <w:rsid w:val="0053245E"/>
    <w:rsid w:val="00537A72"/>
    <w:rsid w:val="005405F8"/>
    <w:rsid w:val="00546878"/>
    <w:rsid w:val="005509BE"/>
    <w:rsid w:val="00560115"/>
    <w:rsid w:val="00560E18"/>
    <w:rsid w:val="00564AC2"/>
    <w:rsid w:val="00566857"/>
    <w:rsid w:val="00571E81"/>
    <w:rsid w:val="00573FF9"/>
    <w:rsid w:val="00576B16"/>
    <w:rsid w:val="00583AC9"/>
    <w:rsid w:val="00591226"/>
    <w:rsid w:val="00592B5A"/>
    <w:rsid w:val="005A313A"/>
    <w:rsid w:val="005A680F"/>
    <w:rsid w:val="005B07CB"/>
    <w:rsid w:val="005B1140"/>
    <w:rsid w:val="005B2FF9"/>
    <w:rsid w:val="005B696E"/>
    <w:rsid w:val="005B69C8"/>
    <w:rsid w:val="005B6D6E"/>
    <w:rsid w:val="005B6D81"/>
    <w:rsid w:val="005B7DD3"/>
    <w:rsid w:val="005C7FC2"/>
    <w:rsid w:val="005D2408"/>
    <w:rsid w:val="005D3438"/>
    <w:rsid w:val="005D6122"/>
    <w:rsid w:val="005D6E80"/>
    <w:rsid w:val="005E24E1"/>
    <w:rsid w:val="005E2F7B"/>
    <w:rsid w:val="005E3C94"/>
    <w:rsid w:val="005E4918"/>
    <w:rsid w:val="005E5C01"/>
    <w:rsid w:val="005E7118"/>
    <w:rsid w:val="005F1CDA"/>
    <w:rsid w:val="005F37A4"/>
    <w:rsid w:val="00601C34"/>
    <w:rsid w:val="00602258"/>
    <w:rsid w:val="00602403"/>
    <w:rsid w:val="006041A4"/>
    <w:rsid w:val="00604837"/>
    <w:rsid w:val="006053E5"/>
    <w:rsid w:val="006109EC"/>
    <w:rsid w:val="00611D8A"/>
    <w:rsid w:val="0061430D"/>
    <w:rsid w:val="006150CE"/>
    <w:rsid w:val="006165F4"/>
    <w:rsid w:val="006171B4"/>
    <w:rsid w:val="00620F74"/>
    <w:rsid w:val="006245EC"/>
    <w:rsid w:val="006309D5"/>
    <w:rsid w:val="00630A46"/>
    <w:rsid w:val="00631887"/>
    <w:rsid w:val="006368AD"/>
    <w:rsid w:val="00642664"/>
    <w:rsid w:val="00644BBE"/>
    <w:rsid w:val="006479F9"/>
    <w:rsid w:val="00647DDD"/>
    <w:rsid w:val="00653BA4"/>
    <w:rsid w:val="006573B4"/>
    <w:rsid w:val="00657EDA"/>
    <w:rsid w:val="006609A2"/>
    <w:rsid w:val="00660C84"/>
    <w:rsid w:val="0066194B"/>
    <w:rsid w:val="00661FC4"/>
    <w:rsid w:val="006627E6"/>
    <w:rsid w:val="00666D4D"/>
    <w:rsid w:val="00671426"/>
    <w:rsid w:val="00672205"/>
    <w:rsid w:val="006738D7"/>
    <w:rsid w:val="006750D6"/>
    <w:rsid w:val="00676D5A"/>
    <w:rsid w:val="006858DA"/>
    <w:rsid w:val="006902F1"/>
    <w:rsid w:val="006904AD"/>
    <w:rsid w:val="006918E9"/>
    <w:rsid w:val="006951CE"/>
    <w:rsid w:val="00695B2C"/>
    <w:rsid w:val="00695BFA"/>
    <w:rsid w:val="006A3B6B"/>
    <w:rsid w:val="006A438B"/>
    <w:rsid w:val="006A4F20"/>
    <w:rsid w:val="006B1E87"/>
    <w:rsid w:val="006B4880"/>
    <w:rsid w:val="006B514A"/>
    <w:rsid w:val="006C31B7"/>
    <w:rsid w:val="006C4213"/>
    <w:rsid w:val="006C43D7"/>
    <w:rsid w:val="006C53ED"/>
    <w:rsid w:val="006C5694"/>
    <w:rsid w:val="006D012F"/>
    <w:rsid w:val="006D29AA"/>
    <w:rsid w:val="006D4128"/>
    <w:rsid w:val="006D5E57"/>
    <w:rsid w:val="006E0B52"/>
    <w:rsid w:val="006E2083"/>
    <w:rsid w:val="006E3064"/>
    <w:rsid w:val="006E3ACA"/>
    <w:rsid w:val="006E4FCE"/>
    <w:rsid w:val="006E68E6"/>
    <w:rsid w:val="006F042A"/>
    <w:rsid w:val="006F2187"/>
    <w:rsid w:val="006F25E5"/>
    <w:rsid w:val="006F294C"/>
    <w:rsid w:val="006F2FCE"/>
    <w:rsid w:val="006F3FAE"/>
    <w:rsid w:val="006F415C"/>
    <w:rsid w:val="006F66E7"/>
    <w:rsid w:val="00700CE9"/>
    <w:rsid w:val="007112CA"/>
    <w:rsid w:val="00716130"/>
    <w:rsid w:val="007202BD"/>
    <w:rsid w:val="007205BF"/>
    <w:rsid w:val="00721504"/>
    <w:rsid w:val="007219BD"/>
    <w:rsid w:val="00722E25"/>
    <w:rsid w:val="007237D1"/>
    <w:rsid w:val="007241D4"/>
    <w:rsid w:val="00724D82"/>
    <w:rsid w:val="00726311"/>
    <w:rsid w:val="00727F47"/>
    <w:rsid w:val="00730BF2"/>
    <w:rsid w:val="00731B87"/>
    <w:rsid w:val="00731E5B"/>
    <w:rsid w:val="00731F09"/>
    <w:rsid w:val="00732A6F"/>
    <w:rsid w:val="00733447"/>
    <w:rsid w:val="00741603"/>
    <w:rsid w:val="0074214D"/>
    <w:rsid w:val="00742764"/>
    <w:rsid w:val="00751452"/>
    <w:rsid w:val="0075156A"/>
    <w:rsid w:val="00751F90"/>
    <w:rsid w:val="007619C5"/>
    <w:rsid w:val="00761C35"/>
    <w:rsid w:val="00762E4C"/>
    <w:rsid w:val="00766026"/>
    <w:rsid w:val="00772025"/>
    <w:rsid w:val="007722EA"/>
    <w:rsid w:val="00781AA0"/>
    <w:rsid w:val="00781CF7"/>
    <w:rsid w:val="00782DE8"/>
    <w:rsid w:val="0078426D"/>
    <w:rsid w:val="007917E6"/>
    <w:rsid w:val="00792E10"/>
    <w:rsid w:val="007938AD"/>
    <w:rsid w:val="0079526B"/>
    <w:rsid w:val="007954EC"/>
    <w:rsid w:val="007957A1"/>
    <w:rsid w:val="00797FF9"/>
    <w:rsid w:val="007A1D60"/>
    <w:rsid w:val="007A6962"/>
    <w:rsid w:val="007A6A95"/>
    <w:rsid w:val="007B045F"/>
    <w:rsid w:val="007B165A"/>
    <w:rsid w:val="007B2DAD"/>
    <w:rsid w:val="007B3E2E"/>
    <w:rsid w:val="007B7246"/>
    <w:rsid w:val="007B78C2"/>
    <w:rsid w:val="007C23FF"/>
    <w:rsid w:val="007C2F0C"/>
    <w:rsid w:val="007C5008"/>
    <w:rsid w:val="007D1E79"/>
    <w:rsid w:val="007D27CF"/>
    <w:rsid w:val="007D3303"/>
    <w:rsid w:val="007D345F"/>
    <w:rsid w:val="007D3A80"/>
    <w:rsid w:val="007D3E62"/>
    <w:rsid w:val="007D4DAF"/>
    <w:rsid w:val="007E1175"/>
    <w:rsid w:val="007E468A"/>
    <w:rsid w:val="007E58FC"/>
    <w:rsid w:val="007E6A9C"/>
    <w:rsid w:val="007E6D83"/>
    <w:rsid w:val="007F1517"/>
    <w:rsid w:val="007F1785"/>
    <w:rsid w:val="007F207F"/>
    <w:rsid w:val="007F5B91"/>
    <w:rsid w:val="00803CEC"/>
    <w:rsid w:val="00805CF9"/>
    <w:rsid w:val="008076A4"/>
    <w:rsid w:val="008105FD"/>
    <w:rsid w:val="00810CA3"/>
    <w:rsid w:val="00817D45"/>
    <w:rsid w:val="00822050"/>
    <w:rsid w:val="00822328"/>
    <w:rsid w:val="00823756"/>
    <w:rsid w:val="00826230"/>
    <w:rsid w:val="0082670C"/>
    <w:rsid w:val="00830952"/>
    <w:rsid w:val="00830AA8"/>
    <w:rsid w:val="00830F84"/>
    <w:rsid w:val="00841BCB"/>
    <w:rsid w:val="008429CF"/>
    <w:rsid w:val="008443A9"/>
    <w:rsid w:val="00845554"/>
    <w:rsid w:val="00845663"/>
    <w:rsid w:val="008469B3"/>
    <w:rsid w:val="0084791B"/>
    <w:rsid w:val="00853E83"/>
    <w:rsid w:val="008572CE"/>
    <w:rsid w:val="00860576"/>
    <w:rsid w:val="00860583"/>
    <w:rsid w:val="00862F74"/>
    <w:rsid w:val="008674AA"/>
    <w:rsid w:val="008675CC"/>
    <w:rsid w:val="00875EBD"/>
    <w:rsid w:val="0087609B"/>
    <w:rsid w:val="0088094C"/>
    <w:rsid w:val="00881004"/>
    <w:rsid w:val="008820A2"/>
    <w:rsid w:val="00882C40"/>
    <w:rsid w:val="00892908"/>
    <w:rsid w:val="008942FC"/>
    <w:rsid w:val="0089562F"/>
    <w:rsid w:val="008A082A"/>
    <w:rsid w:val="008A4DF4"/>
    <w:rsid w:val="008A610C"/>
    <w:rsid w:val="008A65FE"/>
    <w:rsid w:val="008B1C5A"/>
    <w:rsid w:val="008B1DA9"/>
    <w:rsid w:val="008B6162"/>
    <w:rsid w:val="008C3EBC"/>
    <w:rsid w:val="008C57F6"/>
    <w:rsid w:val="008C7968"/>
    <w:rsid w:val="008D33A3"/>
    <w:rsid w:val="008D4715"/>
    <w:rsid w:val="008D6F1D"/>
    <w:rsid w:val="008E1793"/>
    <w:rsid w:val="008E6D4A"/>
    <w:rsid w:val="008E7B78"/>
    <w:rsid w:val="008F11CF"/>
    <w:rsid w:val="008F14CE"/>
    <w:rsid w:val="008F189C"/>
    <w:rsid w:val="008F1FE1"/>
    <w:rsid w:val="008F32FF"/>
    <w:rsid w:val="008F4486"/>
    <w:rsid w:val="008F4FC6"/>
    <w:rsid w:val="008F55C8"/>
    <w:rsid w:val="00902179"/>
    <w:rsid w:val="00903877"/>
    <w:rsid w:val="00905EDF"/>
    <w:rsid w:val="00910518"/>
    <w:rsid w:val="00912080"/>
    <w:rsid w:val="0091544C"/>
    <w:rsid w:val="0091723C"/>
    <w:rsid w:val="00921D03"/>
    <w:rsid w:val="00923E52"/>
    <w:rsid w:val="00925AB9"/>
    <w:rsid w:val="00925CD2"/>
    <w:rsid w:val="00930D35"/>
    <w:rsid w:val="00933065"/>
    <w:rsid w:val="00933569"/>
    <w:rsid w:val="009341BC"/>
    <w:rsid w:val="009365B1"/>
    <w:rsid w:val="0093799C"/>
    <w:rsid w:val="0094083B"/>
    <w:rsid w:val="009422A1"/>
    <w:rsid w:val="00942868"/>
    <w:rsid w:val="00944804"/>
    <w:rsid w:val="0094634F"/>
    <w:rsid w:val="009473D8"/>
    <w:rsid w:val="00960ADF"/>
    <w:rsid w:val="009636D9"/>
    <w:rsid w:val="00963A0C"/>
    <w:rsid w:val="00972596"/>
    <w:rsid w:val="00974A92"/>
    <w:rsid w:val="00974B99"/>
    <w:rsid w:val="00975270"/>
    <w:rsid w:val="00975BA1"/>
    <w:rsid w:val="009835E3"/>
    <w:rsid w:val="009837A6"/>
    <w:rsid w:val="009869F2"/>
    <w:rsid w:val="00987CDB"/>
    <w:rsid w:val="009A2726"/>
    <w:rsid w:val="009A30E0"/>
    <w:rsid w:val="009A3619"/>
    <w:rsid w:val="009A66D0"/>
    <w:rsid w:val="009A7117"/>
    <w:rsid w:val="009B08AF"/>
    <w:rsid w:val="009B1E0E"/>
    <w:rsid w:val="009B3DFC"/>
    <w:rsid w:val="009B793E"/>
    <w:rsid w:val="009C1EA6"/>
    <w:rsid w:val="009C37B9"/>
    <w:rsid w:val="009C38E7"/>
    <w:rsid w:val="009C448E"/>
    <w:rsid w:val="009D32BD"/>
    <w:rsid w:val="009D35B5"/>
    <w:rsid w:val="009D415C"/>
    <w:rsid w:val="009D4486"/>
    <w:rsid w:val="009E3AEC"/>
    <w:rsid w:val="009F211E"/>
    <w:rsid w:val="009F2572"/>
    <w:rsid w:val="009F294E"/>
    <w:rsid w:val="009F30F1"/>
    <w:rsid w:val="009F37C7"/>
    <w:rsid w:val="009F50AB"/>
    <w:rsid w:val="009F53AB"/>
    <w:rsid w:val="00A005F6"/>
    <w:rsid w:val="00A0424F"/>
    <w:rsid w:val="00A04493"/>
    <w:rsid w:val="00A06516"/>
    <w:rsid w:val="00A103FF"/>
    <w:rsid w:val="00A10E27"/>
    <w:rsid w:val="00A13F46"/>
    <w:rsid w:val="00A16C6E"/>
    <w:rsid w:val="00A17DB2"/>
    <w:rsid w:val="00A22A14"/>
    <w:rsid w:val="00A26214"/>
    <w:rsid w:val="00A27A51"/>
    <w:rsid w:val="00A33524"/>
    <w:rsid w:val="00A37BA4"/>
    <w:rsid w:val="00A402F6"/>
    <w:rsid w:val="00A4037E"/>
    <w:rsid w:val="00A43739"/>
    <w:rsid w:val="00A445E6"/>
    <w:rsid w:val="00A4590E"/>
    <w:rsid w:val="00A45D31"/>
    <w:rsid w:val="00A4711E"/>
    <w:rsid w:val="00A4779F"/>
    <w:rsid w:val="00A47815"/>
    <w:rsid w:val="00A47A18"/>
    <w:rsid w:val="00A52DE3"/>
    <w:rsid w:val="00A539CB"/>
    <w:rsid w:val="00A555DE"/>
    <w:rsid w:val="00A62A3E"/>
    <w:rsid w:val="00A63709"/>
    <w:rsid w:val="00A649E6"/>
    <w:rsid w:val="00A660AF"/>
    <w:rsid w:val="00A67B79"/>
    <w:rsid w:val="00A70A95"/>
    <w:rsid w:val="00A70BDA"/>
    <w:rsid w:val="00A73A76"/>
    <w:rsid w:val="00A740B6"/>
    <w:rsid w:val="00A7621E"/>
    <w:rsid w:val="00A817D5"/>
    <w:rsid w:val="00A82144"/>
    <w:rsid w:val="00A84F13"/>
    <w:rsid w:val="00A85186"/>
    <w:rsid w:val="00A93351"/>
    <w:rsid w:val="00A95538"/>
    <w:rsid w:val="00A95706"/>
    <w:rsid w:val="00AA0013"/>
    <w:rsid w:val="00AA206E"/>
    <w:rsid w:val="00AA26FF"/>
    <w:rsid w:val="00AA47D2"/>
    <w:rsid w:val="00AA6E8C"/>
    <w:rsid w:val="00AA6F19"/>
    <w:rsid w:val="00AA75E6"/>
    <w:rsid w:val="00AA79A8"/>
    <w:rsid w:val="00AA7A76"/>
    <w:rsid w:val="00AB0286"/>
    <w:rsid w:val="00AB3D27"/>
    <w:rsid w:val="00AB4C6D"/>
    <w:rsid w:val="00AB55F7"/>
    <w:rsid w:val="00AB7E4E"/>
    <w:rsid w:val="00AC1EF0"/>
    <w:rsid w:val="00AC2995"/>
    <w:rsid w:val="00AC4165"/>
    <w:rsid w:val="00AC556A"/>
    <w:rsid w:val="00AC57F2"/>
    <w:rsid w:val="00AC76EA"/>
    <w:rsid w:val="00AD1627"/>
    <w:rsid w:val="00AD2631"/>
    <w:rsid w:val="00AE1220"/>
    <w:rsid w:val="00AE287F"/>
    <w:rsid w:val="00AE5FD6"/>
    <w:rsid w:val="00AE63BD"/>
    <w:rsid w:val="00AE7DB3"/>
    <w:rsid w:val="00AF0B2B"/>
    <w:rsid w:val="00AF2754"/>
    <w:rsid w:val="00AF2914"/>
    <w:rsid w:val="00AF291B"/>
    <w:rsid w:val="00AF363F"/>
    <w:rsid w:val="00AF3E4F"/>
    <w:rsid w:val="00AF5DB3"/>
    <w:rsid w:val="00B03F58"/>
    <w:rsid w:val="00B071FF"/>
    <w:rsid w:val="00B11505"/>
    <w:rsid w:val="00B11DC2"/>
    <w:rsid w:val="00B141C4"/>
    <w:rsid w:val="00B15142"/>
    <w:rsid w:val="00B16F69"/>
    <w:rsid w:val="00B17ED1"/>
    <w:rsid w:val="00B21014"/>
    <w:rsid w:val="00B22408"/>
    <w:rsid w:val="00B33B5B"/>
    <w:rsid w:val="00B3566E"/>
    <w:rsid w:val="00B37181"/>
    <w:rsid w:val="00B42807"/>
    <w:rsid w:val="00B428A6"/>
    <w:rsid w:val="00B43340"/>
    <w:rsid w:val="00B4461C"/>
    <w:rsid w:val="00B53913"/>
    <w:rsid w:val="00B554D4"/>
    <w:rsid w:val="00B55F3A"/>
    <w:rsid w:val="00B56906"/>
    <w:rsid w:val="00B61667"/>
    <w:rsid w:val="00B71CB5"/>
    <w:rsid w:val="00B71FCA"/>
    <w:rsid w:val="00B72922"/>
    <w:rsid w:val="00B72A13"/>
    <w:rsid w:val="00B72ADA"/>
    <w:rsid w:val="00B7533B"/>
    <w:rsid w:val="00B82BB7"/>
    <w:rsid w:val="00B84042"/>
    <w:rsid w:val="00B84DD5"/>
    <w:rsid w:val="00B8522A"/>
    <w:rsid w:val="00B85245"/>
    <w:rsid w:val="00B87E6D"/>
    <w:rsid w:val="00B9487E"/>
    <w:rsid w:val="00B95910"/>
    <w:rsid w:val="00BA29E7"/>
    <w:rsid w:val="00BA3A4C"/>
    <w:rsid w:val="00BA6606"/>
    <w:rsid w:val="00BB0F20"/>
    <w:rsid w:val="00BB4C60"/>
    <w:rsid w:val="00BB7F08"/>
    <w:rsid w:val="00BC35CD"/>
    <w:rsid w:val="00BC40E1"/>
    <w:rsid w:val="00BC415B"/>
    <w:rsid w:val="00BD2CDE"/>
    <w:rsid w:val="00BD41CF"/>
    <w:rsid w:val="00BD5F68"/>
    <w:rsid w:val="00BE0164"/>
    <w:rsid w:val="00BE0C03"/>
    <w:rsid w:val="00BE12BD"/>
    <w:rsid w:val="00BE2ED7"/>
    <w:rsid w:val="00BE377D"/>
    <w:rsid w:val="00BE6AB8"/>
    <w:rsid w:val="00BF040B"/>
    <w:rsid w:val="00BF086D"/>
    <w:rsid w:val="00BF2167"/>
    <w:rsid w:val="00BF43BC"/>
    <w:rsid w:val="00BF43E1"/>
    <w:rsid w:val="00BF4DDA"/>
    <w:rsid w:val="00BF55C7"/>
    <w:rsid w:val="00BF7ED8"/>
    <w:rsid w:val="00C00276"/>
    <w:rsid w:val="00C04139"/>
    <w:rsid w:val="00C0572E"/>
    <w:rsid w:val="00C21B3D"/>
    <w:rsid w:val="00C22697"/>
    <w:rsid w:val="00C24267"/>
    <w:rsid w:val="00C2639B"/>
    <w:rsid w:val="00C2658B"/>
    <w:rsid w:val="00C26D37"/>
    <w:rsid w:val="00C2788D"/>
    <w:rsid w:val="00C30579"/>
    <w:rsid w:val="00C33398"/>
    <w:rsid w:val="00C361F6"/>
    <w:rsid w:val="00C3669A"/>
    <w:rsid w:val="00C377F6"/>
    <w:rsid w:val="00C419CB"/>
    <w:rsid w:val="00C41D75"/>
    <w:rsid w:val="00C423E3"/>
    <w:rsid w:val="00C44BAC"/>
    <w:rsid w:val="00C44BFE"/>
    <w:rsid w:val="00C45626"/>
    <w:rsid w:val="00C458AF"/>
    <w:rsid w:val="00C460A0"/>
    <w:rsid w:val="00C4720D"/>
    <w:rsid w:val="00C476FB"/>
    <w:rsid w:val="00C47DB7"/>
    <w:rsid w:val="00C50068"/>
    <w:rsid w:val="00C549F4"/>
    <w:rsid w:val="00C610F2"/>
    <w:rsid w:val="00C621EA"/>
    <w:rsid w:val="00C665BD"/>
    <w:rsid w:val="00C676F3"/>
    <w:rsid w:val="00C71AB8"/>
    <w:rsid w:val="00C75909"/>
    <w:rsid w:val="00C767D5"/>
    <w:rsid w:val="00C77EFD"/>
    <w:rsid w:val="00C81A10"/>
    <w:rsid w:val="00C829DF"/>
    <w:rsid w:val="00C84021"/>
    <w:rsid w:val="00C84369"/>
    <w:rsid w:val="00C86322"/>
    <w:rsid w:val="00C875AE"/>
    <w:rsid w:val="00C9310B"/>
    <w:rsid w:val="00C94B63"/>
    <w:rsid w:val="00CA26F1"/>
    <w:rsid w:val="00CA3249"/>
    <w:rsid w:val="00CA696D"/>
    <w:rsid w:val="00CA6B5A"/>
    <w:rsid w:val="00CB1536"/>
    <w:rsid w:val="00CB3907"/>
    <w:rsid w:val="00CB6167"/>
    <w:rsid w:val="00CB7177"/>
    <w:rsid w:val="00CC06D4"/>
    <w:rsid w:val="00CC0C54"/>
    <w:rsid w:val="00CC0CA5"/>
    <w:rsid w:val="00CC1016"/>
    <w:rsid w:val="00CD15D3"/>
    <w:rsid w:val="00CD1721"/>
    <w:rsid w:val="00CD1E61"/>
    <w:rsid w:val="00CD4DDC"/>
    <w:rsid w:val="00CE6301"/>
    <w:rsid w:val="00CF2008"/>
    <w:rsid w:val="00CF23C5"/>
    <w:rsid w:val="00CF3649"/>
    <w:rsid w:val="00CF4188"/>
    <w:rsid w:val="00CF4E9E"/>
    <w:rsid w:val="00CF7848"/>
    <w:rsid w:val="00D04377"/>
    <w:rsid w:val="00D058FC"/>
    <w:rsid w:val="00D05DCC"/>
    <w:rsid w:val="00D06213"/>
    <w:rsid w:val="00D07FB4"/>
    <w:rsid w:val="00D10010"/>
    <w:rsid w:val="00D12BB7"/>
    <w:rsid w:val="00D13A6B"/>
    <w:rsid w:val="00D13D1F"/>
    <w:rsid w:val="00D175C8"/>
    <w:rsid w:val="00D21601"/>
    <w:rsid w:val="00D23169"/>
    <w:rsid w:val="00D31882"/>
    <w:rsid w:val="00D31BAB"/>
    <w:rsid w:val="00D31D27"/>
    <w:rsid w:val="00D31F39"/>
    <w:rsid w:val="00D333F3"/>
    <w:rsid w:val="00D33B27"/>
    <w:rsid w:val="00D34AFB"/>
    <w:rsid w:val="00D35A03"/>
    <w:rsid w:val="00D37377"/>
    <w:rsid w:val="00D41830"/>
    <w:rsid w:val="00D45B8C"/>
    <w:rsid w:val="00D53958"/>
    <w:rsid w:val="00D54799"/>
    <w:rsid w:val="00D56058"/>
    <w:rsid w:val="00D567E0"/>
    <w:rsid w:val="00D56A09"/>
    <w:rsid w:val="00D61F2D"/>
    <w:rsid w:val="00D630DE"/>
    <w:rsid w:val="00D645C6"/>
    <w:rsid w:val="00D65905"/>
    <w:rsid w:val="00D7327A"/>
    <w:rsid w:val="00D7456C"/>
    <w:rsid w:val="00D74EC8"/>
    <w:rsid w:val="00D76E2E"/>
    <w:rsid w:val="00D80777"/>
    <w:rsid w:val="00D81AC9"/>
    <w:rsid w:val="00D82AC7"/>
    <w:rsid w:val="00D84B17"/>
    <w:rsid w:val="00D858CC"/>
    <w:rsid w:val="00D9086C"/>
    <w:rsid w:val="00D94745"/>
    <w:rsid w:val="00D95DFF"/>
    <w:rsid w:val="00D963D5"/>
    <w:rsid w:val="00DA028F"/>
    <w:rsid w:val="00DA0FA0"/>
    <w:rsid w:val="00DA41B2"/>
    <w:rsid w:val="00DA5D06"/>
    <w:rsid w:val="00DA7123"/>
    <w:rsid w:val="00DA7B20"/>
    <w:rsid w:val="00DB48E1"/>
    <w:rsid w:val="00DB5354"/>
    <w:rsid w:val="00DB5727"/>
    <w:rsid w:val="00DB7F9F"/>
    <w:rsid w:val="00DC2CD8"/>
    <w:rsid w:val="00DC387D"/>
    <w:rsid w:val="00DC5035"/>
    <w:rsid w:val="00DC52BC"/>
    <w:rsid w:val="00DC621D"/>
    <w:rsid w:val="00DC6A98"/>
    <w:rsid w:val="00DC6EF8"/>
    <w:rsid w:val="00DC7245"/>
    <w:rsid w:val="00DC730A"/>
    <w:rsid w:val="00DD004A"/>
    <w:rsid w:val="00DD12FC"/>
    <w:rsid w:val="00DD5E9C"/>
    <w:rsid w:val="00DD6EBB"/>
    <w:rsid w:val="00DE130A"/>
    <w:rsid w:val="00DE1F21"/>
    <w:rsid w:val="00DE38B2"/>
    <w:rsid w:val="00DE799E"/>
    <w:rsid w:val="00DF0830"/>
    <w:rsid w:val="00DF260F"/>
    <w:rsid w:val="00DF2C9A"/>
    <w:rsid w:val="00DF2D91"/>
    <w:rsid w:val="00DF5291"/>
    <w:rsid w:val="00DF6AC1"/>
    <w:rsid w:val="00E0040F"/>
    <w:rsid w:val="00E03F0B"/>
    <w:rsid w:val="00E05572"/>
    <w:rsid w:val="00E16292"/>
    <w:rsid w:val="00E166FD"/>
    <w:rsid w:val="00E16AC3"/>
    <w:rsid w:val="00E21C51"/>
    <w:rsid w:val="00E25706"/>
    <w:rsid w:val="00E264BB"/>
    <w:rsid w:val="00E268B0"/>
    <w:rsid w:val="00E276DF"/>
    <w:rsid w:val="00E27C6A"/>
    <w:rsid w:val="00E30596"/>
    <w:rsid w:val="00E33434"/>
    <w:rsid w:val="00E33CEE"/>
    <w:rsid w:val="00E351D4"/>
    <w:rsid w:val="00E356BD"/>
    <w:rsid w:val="00E374D6"/>
    <w:rsid w:val="00E37501"/>
    <w:rsid w:val="00E43C23"/>
    <w:rsid w:val="00E44AC7"/>
    <w:rsid w:val="00E45E6A"/>
    <w:rsid w:val="00E46912"/>
    <w:rsid w:val="00E50A42"/>
    <w:rsid w:val="00E54FA5"/>
    <w:rsid w:val="00E56D64"/>
    <w:rsid w:val="00E6107E"/>
    <w:rsid w:val="00E61081"/>
    <w:rsid w:val="00E61F20"/>
    <w:rsid w:val="00E635F8"/>
    <w:rsid w:val="00E65B9D"/>
    <w:rsid w:val="00E71CE6"/>
    <w:rsid w:val="00E71E16"/>
    <w:rsid w:val="00E76641"/>
    <w:rsid w:val="00E80084"/>
    <w:rsid w:val="00E851E8"/>
    <w:rsid w:val="00E86DF2"/>
    <w:rsid w:val="00E879EC"/>
    <w:rsid w:val="00E95703"/>
    <w:rsid w:val="00EA0297"/>
    <w:rsid w:val="00EA0680"/>
    <w:rsid w:val="00EA2C29"/>
    <w:rsid w:val="00EA3F05"/>
    <w:rsid w:val="00EA5E85"/>
    <w:rsid w:val="00EB0B07"/>
    <w:rsid w:val="00EB144E"/>
    <w:rsid w:val="00EB1B82"/>
    <w:rsid w:val="00EB47B7"/>
    <w:rsid w:val="00EB4AE1"/>
    <w:rsid w:val="00EB635D"/>
    <w:rsid w:val="00EB6AA6"/>
    <w:rsid w:val="00EC108D"/>
    <w:rsid w:val="00EC3573"/>
    <w:rsid w:val="00EC70BC"/>
    <w:rsid w:val="00ED018E"/>
    <w:rsid w:val="00ED07AD"/>
    <w:rsid w:val="00ED0EE3"/>
    <w:rsid w:val="00ED1BD6"/>
    <w:rsid w:val="00ED219D"/>
    <w:rsid w:val="00ED3B36"/>
    <w:rsid w:val="00ED4E41"/>
    <w:rsid w:val="00EE09A5"/>
    <w:rsid w:val="00EE55F9"/>
    <w:rsid w:val="00EE62A5"/>
    <w:rsid w:val="00EE63DE"/>
    <w:rsid w:val="00EF4A90"/>
    <w:rsid w:val="00F02045"/>
    <w:rsid w:val="00F03EC8"/>
    <w:rsid w:val="00F0670B"/>
    <w:rsid w:val="00F07432"/>
    <w:rsid w:val="00F11454"/>
    <w:rsid w:val="00F144E0"/>
    <w:rsid w:val="00F1543D"/>
    <w:rsid w:val="00F221FC"/>
    <w:rsid w:val="00F24025"/>
    <w:rsid w:val="00F31D76"/>
    <w:rsid w:val="00F33E1D"/>
    <w:rsid w:val="00F34951"/>
    <w:rsid w:val="00F35CAE"/>
    <w:rsid w:val="00F36EE7"/>
    <w:rsid w:val="00F40145"/>
    <w:rsid w:val="00F4468A"/>
    <w:rsid w:val="00F52C66"/>
    <w:rsid w:val="00F538FA"/>
    <w:rsid w:val="00F57AFC"/>
    <w:rsid w:val="00F627E4"/>
    <w:rsid w:val="00F65210"/>
    <w:rsid w:val="00F65DBD"/>
    <w:rsid w:val="00F669B9"/>
    <w:rsid w:val="00F7194B"/>
    <w:rsid w:val="00F75403"/>
    <w:rsid w:val="00F766A4"/>
    <w:rsid w:val="00F773E6"/>
    <w:rsid w:val="00F80CEE"/>
    <w:rsid w:val="00F81F36"/>
    <w:rsid w:val="00F8493C"/>
    <w:rsid w:val="00F84FA9"/>
    <w:rsid w:val="00F85468"/>
    <w:rsid w:val="00F86A45"/>
    <w:rsid w:val="00F86BC7"/>
    <w:rsid w:val="00F9179A"/>
    <w:rsid w:val="00F9202F"/>
    <w:rsid w:val="00F92AA4"/>
    <w:rsid w:val="00F93780"/>
    <w:rsid w:val="00FA34CB"/>
    <w:rsid w:val="00FA6382"/>
    <w:rsid w:val="00FA6B1E"/>
    <w:rsid w:val="00FB4165"/>
    <w:rsid w:val="00FB49AF"/>
    <w:rsid w:val="00FB59A0"/>
    <w:rsid w:val="00FC203C"/>
    <w:rsid w:val="00FC42BD"/>
    <w:rsid w:val="00FC48F4"/>
    <w:rsid w:val="00FD2E9B"/>
    <w:rsid w:val="00FD31AD"/>
    <w:rsid w:val="00FE02AD"/>
    <w:rsid w:val="00FE065B"/>
    <w:rsid w:val="00FE17D2"/>
    <w:rsid w:val="00FE249C"/>
    <w:rsid w:val="00FE6A21"/>
    <w:rsid w:val="00FF6D2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57696"/>
  <w15:docId w15:val="{A108FF65-98DA-41A1-A058-65CB839E6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669A"/>
    <w:rPr>
      <w:rFonts w:ascii="Arial" w:hAnsi="Arial"/>
      <w:sz w:val="22"/>
      <w:szCs w:val="24"/>
      <w:lang w:eastAsia="en-US"/>
    </w:rPr>
  </w:style>
  <w:style w:type="paragraph" w:styleId="Heading1">
    <w:name w:val="heading 1"/>
    <w:basedOn w:val="Normal"/>
    <w:next w:val="Normal"/>
    <w:qFormat/>
    <w:pPr>
      <w:keepNext/>
      <w:spacing w:line="480" w:lineRule="auto"/>
      <w:jc w:val="both"/>
      <w:outlineLvl w:val="0"/>
    </w:pPr>
    <w:rPr>
      <w:rFonts w:cs="Arial"/>
      <w:b/>
      <w:bCs/>
    </w:rPr>
  </w:style>
  <w:style w:type="paragraph" w:styleId="Heading2">
    <w:name w:val="heading 2"/>
    <w:basedOn w:val="Normal"/>
    <w:next w:val="Normal"/>
    <w:qFormat/>
    <w:rsid w:val="009B08AF"/>
    <w:pPr>
      <w:keepNext/>
      <w:spacing w:after="480" w:line="480" w:lineRule="auto"/>
      <w:outlineLvl w:val="1"/>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C84021"/>
    <w:pPr>
      <w:keepNext/>
      <w:widowControl w:val="0"/>
      <w:spacing w:before="360" w:after="240"/>
    </w:pPr>
    <w:rPr>
      <w:rFonts w:cs="Arial"/>
      <w:b/>
      <w:bCs/>
    </w:rPr>
  </w:style>
  <w:style w:type="paragraph" w:styleId="Header">
    <w:name w:val="header"/>
    <w:basedOn w:val="Normal"/>
    <w:semiHidden/>
    <w:pPr>
      <w:tabs>
        <w:tab w:val="center" w:pos="4153"/>
        <w:tab w:val="right" w:pos="8306"/>
      </w:tabs>
    </w:pPr>
    <w:rPr>
      <w:lang w:val="en-GB"/>
    </w:rPr>
  </w:style>
  <w:style w:type="character" w:styleId="PageNumber">
    <w:name w:val="page number"/>
    <w:basedOn w:val="DefaultParagraphFont"/>
    <w:semiHidden/>
  </w:style>
  <w:style w:type="paragraph" w:styleId="BodyText">
    <w:name w:val="Body Text"/>
    <w:basedOn w:val="Normal"/>
    <w:semiHidden/>
    <w:pPr>
      <w:jc w:val="both"/>
    </w:pPr>
    <w:rPr>
      <w:bCs/>
    </w:rPr>
  </w:style>
  <w:style w:type="paragraph" w:styleId="Footer">
    <w:name w:val="footer"/>
    <w:basedOn w:val="Normal"/>
    <w:link w:val="FooterChar"/>
    <w:uiPriority w:val="99"/>
    <w:unhideWhenUsed/>
    <w:rsid w:val="008B1DA9"/>
    <w:pPr>
      <w:tabs>
        <w:tab w:val="center" w:pos="4513"/>
        <w:tab w:val="right" w:pos="9026"/>
      </w:tabs>
    </w:pPr>
  </w:style>
  <w:style w:type="character" w:customStyle="1" w:styleId="FooterChar">
    <w:name w:val="Footer Char"/>
    <w:basedOn w:val="DefaultParagraphFont"/>
    <w:link w:val="Footer"/>
    <w:uiPriority w:val="99"/>
    <w:rsid w:val="008B1DA9"/>
    <w:rPr>
      <w:sz w:val="24"/>
      <w:szCs w:val="24"/>
      <w:lang w:eastAsia="en-US"/>
    </w:rPr>
  </w:style>
  <w:style w:type="paragraph" w:styleId="BalloonText">
    <w:name w:val="Balloon Text"/>
    <w:basedOn w:val="Normal"/>
    <w:link w:val="BalloonTextChar"/>
    <w:uiPriority w:val="99"/>
    <w:semiHidden/>
    <w:unhideWhenUsed/>
    <w:rsid w:val="006C43D7"/>
    <w:rPr>
      <w:rFonts w:ascii="Tahoma" w:hAnsi="Tahoma" w:cs="Tahoma"/>
      <w:sz w:val="16"/>
      <w:szCs w:val="16"/>
    </w:rPr>
  </w:style>
  <w:style w:type="character" w:customStyle="1" w:styleId="BalloonTextChar">
    <w:name w:val="Balloon Text Char"/>
    <w:basedOn w:val="DefaultParagraphFont"/>
    <w:link w:val="BalloonText"/>
    <w:uiPriority w:val="99"/>
    <w:semiHidden/>
    <w:rsid w:val="006C43D7"/>
    <w:rPr>
      <w:rFonts w:ascii="Tahoma" w:hAnsi="Tahoma" w:cs="Tahoma"/>
      <w:sz w:val="16"/>
      <w:szCs w:val="16"/>
      <w:lang w:eastAsia="en-US"/>
    </w:rPr>
  </w:style>
  <w:style w:type="paragraph" w:styleId="FootnoteText">
    <w:name w:val="footnote text"/>
    <w:basedOn w:val="Normal"/>
    <w:link w:val="FootnoteTextChar"/>
    <w:uiPriority w:val="99"/>
    <w:unhideWhenUsed/>
    <w:rsid w:val="009869F2"/>
    <w:pPr>
      <w:ind w:left="340" w:hanging="340"/>
      <w:jc w:val="both"/>
    </w:pPr>
    <w:rPr>
      <w:sz w:val="20"/>
      <w:szCs w:val="20"/>
    </w:rPr>
  </w:style>
  <w:style w:type="character" w:customStyle="1" w:styleId="FootnoteTextChar">
    <w:name w:val="Footnote Text Char"/>
    <w:basedOn w:val="DefaultParagraphFont"/>
    <w:link w:val="FootnoteText"/>
    <w:uiPriority w:val="99"/>
    <w:rsid w:val="009869F2"/>
    <w:rPr>
      <w:rFonts w:ascii="Arial" w:hAnsi="Arial"/>
      <w:lang w:eastAsia="en-US"/>
    </w:rPr>
  </w:style>
  <w:style w:type="character" w:styleId="FootnoteReference">
    <w:name w:val="footnote reference"/>
    <w:basedOn w:val="DefaultParagraphFont"/>
    <w:uiPriority w:val="99"/>
    <w:semiHidden/>
    <w:unhideWhenUsed/>
    <w:rsid w:val="00AD2631"/>
    <w:rPr>
      <w:vertAlign w:val="superscript"/>
    </w:rPr>
  </w:style>
  <w:style w:type="paragraph" w:styleId="ListParagraph">
    <w:name w:val="List Paragraph"/>
    <w:basedOn w:val="Normal"/>
    <w:uiPriority w:val="34"/>
    <w:qFormat/>
    <w:rsid w:val="00504B53"/>
    <w:pPr>
      <w:ind w:left="720"/>
      <w:contextualSpacing/>
    </w:pPr>
  </w:style>
  <w:style w:type="paragraph" w:styleId="Quote">
    <w:name w:val="Quote"/>
    <w:basedOn w:val="Normal"/>
    <w:next w:val="Normal"/>
    <w:link w:val="QuoteChar"/>
    <w:uiPriority w:val="29"/>
    <w:qFormat/>
    <w:rsid w:val="00933065"/>
    <w:pPr>
      <w:spacing w:before="200" w:after="160"/>
      <w:ind w:left="864" w:right="864"/>
    </w:pPr>
    <w:rPr>
      <w:i/>
      <w:iCs/>
      <w:color w:val="000000" w:themeColor="text1"/>
    </w:rPr>
  </w:style>
  <w:style w:type="character" w:customStyle="1" w:styleId="QuoteChar">
    <w:name w:val="Quote Char"/>
    <w:basedOn w:val="DefaultParagraphFont"/>
    <w:link w:val="Quote"/>
    <w:uiPriority w:val="29"/>
    <w:rsid w:val="00933065"/>
    <w:rPr>
      <w:rFonts w:ascii="Arial" w:hAnsi="Arial"/>
      <w:i/>
      <w:iCs/>
      <w:color w:val="000000" w:themeColor="text1"/>
      <w:sz w:val="22"/>
      <w:szCs w:val="24"/>
      <w:lang w:eastAsia="en-US"/>
    </w:rPr>
  </w:style>
  <w:style w:type="paragraph" w:customStyle="1" w:styleId="lrpara">
    <w:name w:val="lrpara"/>
    <w:basedOn w:val="Normal"/>
    <w:rsid w:val="00EA3F05"/>
    <w:pPr>
      <w:spacing w:before="100" w:beforeAutospacing="1" w:after="100" w:afterAutospacing="1"/>
    </w:pPr>
    <w:rPr>
      <w:rFonts w:ascii="Times New Roman" w:hAnsi="Times New Roman"/>
      <w:sz w:val="24"/>
      <w:lang w:eastAsia="en-ZA"/>
    </w:rPr>
  </w:style>
  <w:style w:type="paragraph" w:customStyle="1" w:styleId="pageno">
    <w:name w:val="pageno"/>
    <w:basedOn w:val="Normal"/>
    <w:rsid w:val="00EA3F05"/>
    <w:pPr>
      <w:spacing w:before="100" w:beforeAutospacing="1" w:after="100" w:afterAutospacing="1"/>
    </w:pPr>
    <w:rPr>
      <w:rFonts w:ascii="Times New Roman" w:hAnsi="Times New Roman"/>
      <w:sz w:val="24"/>
      <w:lang w:eastAsia="en-ZA"/>
    </w:rPr>
  </w:style>
  <w:style w:type="paragraph" w:customStyle="1" w:styleId="lrjudgecont">
    <w:name w:val="lrjudgecont"/>
    <w:basedOn w:val="Normal"/>
    <w:rsid w:val="00EA3F05"/>
    <w:pPr>
      <w:spacing w:before="100" w:beforeAutospacing="1" w:after="100" w:afterAutospacing="1"/>
    </w:pPr>
    <w:rPr>
      <w:rFonts w:ascii="Times New Roman" w:hAnsi="Times New Roman"/>
      <w:sz w:val="24"/>
      <w:lang w:eastAsia="en-ZA"/>
    </w:rPr>
  </w:style>
  <w:style w:type="paragraph" w:styleId="NormalWeb">
    <w:name w:val="Normal (Web)"/>
    <w:basedOn w:val="Normal"/>
    <w:uiPriority w:val="99"/>
    <w:semiHidden/>
    <w:unhideWhenUsed/>
    <w:rsid w:val="00EA3F05"/>
    <w:pPr>
      <w:spacing w:before="100" w:beforeAutospacing="1" w:after="100" w:afterAutospacing="1"/>
    </w:pPr>
    <w:rPr>
      <w:rFonts w:ascii="Times New Roman" w:hAnsi="Times New Roman"/>
      <w:sz w:val="24"/>
      <w:lang w:eastAsia="en-ZA"/>
    </w:rPr>
  </w:style>
  <w:style w:type="character" w:customStyle="1" w:styleId="mc">
    <w:name w:val="mc"/>
    <w:basedOn w:val="DefaultParagraphFont"/>
    <w:rsid w:val="00EA3F05"/>
  </w:style>
  <w:style w:type="character" w:customStyle="1" w:styleId="italic">
    <w:name w:val="italic"/>
    <w:basedOn w:val="DefaultParagraphFont"/>
    <w:rsid w:val="008675CC"/>
  </w:style>
  <w:style w:type="character" w:styleId="Hyperlink">
    <w:name w:val="Hyperlink"/>
    <w:basedOn w:val="DefaultParagraphFont"/>
    <w:uiPriority w:val="99"/>
    <w:unhideWhenUsed/>
    <w:rsid w:val="008675CC"/>
    <w:rPr>
      <w:color w:val="0000FF"/>
      <w:u w:val="single"/>
    </w:rPr>
  </w:style>
  <w:style w:type="paragraph" w:customStyle="1" w:styleId="normaltext">
    <w:name w:val="normaltext"/>
    <w:basedOn w:val="Normal"/>
    <w:rsid w:val="002A030C"/>
    <w:pPr>
      <w:spacing w:before="100" w:beforeAutospacing="1" w:after="100" w:afterAutospacing="1"/>
    </w:pPr>
    <w:rPr>
      <w:rFonts w:ascii="Times New Roman" w:hAnsi="Times New Roman"/>
      <w:sz w:val="24"/>
      <w:lang w:eastAsia="en-ZA"/>
    </w:rPr>
  </w:style>
  <w:style w:type="table" w:styleId="TableGrid">
    <w:name w:val="Table Grid"/>
    <w:basedOn w:val="TableNormal"/>
    <w:uiPriority w:val="59"/>
    <w:rsid w:val="002104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030A89"/>
    <w:rPr>
      <w:sz w:val="20"/>
      <w:szCs w:val="20"/>
    </w:rPr>
  </w:style>
  <w:style w:type="character" w:customStyle="1" w:styleId="EndnoteTextChar">
    <w:name w:val="Endnote Text Char"/>
    <w:basedOn w:val="DefaultParagraphFont"/>
    <w:link w:val="EndnoteText"/>
    <w:uiPriority w:val="99"/>
    <w:semiHidden/>
    <w:rsid w:val="00030A89"/>
    <w:rPr>
      <w:rFonts w:ascii="Arial" w:hAnsi="Arial"/>
      <w:lang w:eastAsia="en-US"/>
    </w:rPr>
  </w:style>
  <w:style w:type="character" w:styleId="EndnoteReference">
    <w:name w:val="endnote reference"/>
    <w:basedOn w:val="DefaultParagraphFont"/>
    <w:uiPriority w:val="99"/>
    <w:semiHidden/>
    <w:unhideWhenUsed/>
    <w:rsid w:val="00030A89"/>
    <w:rPr>
      <w:vertAlign w:val="superscript"/>
    </w:rPr>
  </w:style>
  <w:style w:type="character" w:customStyle="1" w:styleId="footnoteanchor">
    <w:name w:val="footnoteanchor"/>
    <w:basedOn w:val="DefaultParagraphFont"/>
    <w:rsid w:val="00BF7ED8"/>
  </w:style>
  <w:style w:type="character" w:customStyle="1" w:styleId="AFUBodytextCharChar">
    <w:name w:val="AFU Body text Char Char"/>
    <w:basedOn w:val="DefaultParagraphFont"/>
    <w:link w:val="AFUBodytext"/>
    <w:locked/>
    <w:rsid w:val="007A1D60"/>
    <w:rPr>
      <w:rFonts w:ascii="Arial" w:hAnsi="Arial" w:cs="Arial"/>
      <w:sz w:val="22"/>
      <w:szCs w:val="22"/>
      <w:lang w:eastAsia="en-GB"/>
    </w:rPr>
  </w:style>
  <w:style w:type="paragraph" w:customStyle="1" w:styleId="AFUBodytext">
    <w:name w:val="AFU Body text"/>
    <w:basedOn w:val="Normal"/>
    <w:link w:val="AFUBodytextCharChar"/>
    <w:rsid w:val="007A1D60"/>
    <w:pPr>
      <w:spacing w:before="120" w:after="120" w:line="480" w:lineRule="auto"/>
      <w:jc w:val="both"/>
    </w:pPr>
    <w:rPr>
      <w:rFonts w:cs="Arial"/>
      <w:szCs w:val="22"/>
      <w:lang w:eastAsia="en-GB"/>
    </w:rPr>
  </w:style>
  <w:style w:type="paragraph" w:customStyle="1" w:styleId="AFUaffidavitnumbering">
    <w:name w:val="AFU affidavit numbering"/>
    <w:basedOn w:val="Normal"/>
    <w:link w:val="AFUaffidavitnumberingCharChar"/>
    <w:uiPriority w:val="99"/>
    <w:qFormat/>
    <w:rsid w:val="00E61081"/>
    <w:pPr>
      <w:numPr>
        <w:numId w:val="12"/>
      </w:numPr>
      <w:spacing w:before="240" w:after="240" w:line="480" w:lineRule="auto"/>
      <w:jc w:val="both"/>
    </w:pPr>
    <w:rPr>
      <w:rFonts w:eastAsia="Calibri"/>
      <w:szCs w:val="22"/>
    </w:rPr>
  </w:style>
  <w:style w:type="character" w:customStyle="1" w:styleId="AFUaffidavitnumberingCharChar">
    <w:name w:val="AFU affidavit numbering Char Char"/>
    <w:basedOn w:val="DefaultParagraphFont"/>
    <w:link w:val="AFUaffidavitnumbering"/>
    <w:uiPriority w:val="99"/>
    <w:rsid w:val="00E61081"/>
    <w:rPr>
      <w:rFonts w:ascii="Arial" w:eastAsia="Calibri" w:hAnsi="Arial"/>
      <w:sz w:val="22"/>
      <w:szCs w:val="22"/>
      <w:lang w:eastAsia="en-US"/>
    </w:rPr>
  </w:style>
  <w:style w:type="paragraph" w:customStyle="1" w:styleId="lg-section">
    <w:name w:val="lg-section"/>
    <w:basedOn w:val="Normal"/>
    <w:rsid w:val="00DC5035"/>
    <w:pPr>
      <w:spacing w:before="100" w:beforeAutospacing="1" w:after="100" w:afterAutospacing="1"/>
    </w:pPr>
    <w:rPr>
      <w:rFonts w:ascii="Times New Roman" w:hAnsi="Times New Roman"/>
      <w:sz w:val="24"/>
      <w:lang w:eastAsia="en-ZA"/>
    </w:rPr>
  </w:style>
  <w:style w:type="paragraph" w:customStyle="1" w:styleId="com-para3">
    <w:name w:val="com-para3"/>
    <w:basedOn w:val="Normal"/>
    <w:rsid w:val="00DC5035"/>
    <w:pPr>
      <w:spacing w:before="100" w:beforeAutospacing="1" w:after="100" w:afterAutospacing="1"/>
    </w:pPr>
    <w:rPr>
      <w:rFonts w:ascii="Times New Roman" w:hAnsi="Times New Roman"/>
      <w:sz w:val="24"/>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60675">
      <w:bodyDiv w:val="1"/>
      <w:marLeft w:val="0"/>
      <w:marRight w:val="0"/>
      <w:marTop w:val="0"/>
      <w:marBottom w:val="0"/>
      <w:divBdr>
        <w:top w:val="none" w:sz="0" w:space="0" w:color="auto"/>
        <w:left w:val="none" w:sz="0" w:space="0" w:color="auto"/>
        <w:bottom w:val="none" w:sz="0" w:space="0" w:color="auto"/>
        <w:right w:val="none" w:sz="0" w:space="0" w:color="auto"/>
      </w:divBdr>
      <w:divsChild>
        <w:div w:id="214390113">
          <w:marLeft w:val="1134"/>
          <w:marRight w:val="0"/>
          <w:marTop w:val="60"/>
          <w:marBottom w:val="0"/>
          <w:divBdr>
            <w:top w:val="none" w:sz="0" w:space="0" w:color="auto"/>
            <w:left w:val="none" w:sz="0" w:space="0" w:color="auto"/>
            <w:bottom w:val="none" w:sz="0" w:space="0" w:color="auto"/>
            <w:right w:val="none" w:sz="0" w:space="0" w:color="auto"/>
          </w:divBdr>
        </w:div>
        <w:div w:id="967663171">
          <w:marLeft w:val="0"/>
          <w:marRight w:val="0"/>
          <w:marTop w:val="120"/>
          <w:marBottom w:val="0"/>
          <w:divBdr>
            <w:top w:val="none" w:sz="0" w:space="0" w:color="auto"/>
            <w:left w:val="none" w:sz="0" w:space="0" w:color="auto"/>
            <w:bottom w:val="none" w:sz="0" w:space="0" w:color="auto"/>
            <w:right w:val="none" w:sz="0" w:space="0" w:color="auto"/>
          </w:divBdr>
        </w:div>
        <w:div w:id="1405687338">
          <w:marLeft w:val="1134"/>
          <w:marRight w:val="0"/>
          <w:marTop w:val="60"/>
          <w:marBottom w:val="0"/>
          <w:divBdr>
            <w:top w:val="none" w:sz="0" w:space="0" w:color="auto"/>
            <w:left w:val="none" w:sz="0" w:space="0" w:color="auto"/>
            <w:bottom w:val="none" w:sz="0" w:space="0" w:color="auto"/>
            <w:right w:val="none" w:sz="0" w:space="0" w:color="auto"/>
          </w:divBdr>
        </w:div>
        <w:div w:id="1721591298">
          <w:marLeft w:val="1134"/>
          <w:marRight w:val="0"/>
          <w:marTop w:val="60"/>
          <w:marBottom w:val="0"/>
          <w:divBdr>
            <w:top w:val="none" w:sz="0" w:space="0" w:color="auto"/>
            <w:left w:val="none" w:sz="0" w:space="0" w:color="auto"/>
            <w:bottom w:val="none" w:sz="0" w:space="0" w:color="auto"/>
            <w:right w:val="none" w:sz="0" w:space="0" w:color="auto"/>
          </w:divBdr>
        </w:div>
      </w:divsChild>
    </w:div>
    <w:div w:id="51854104">
      <w:bodyDiv w:val="1"/>
      <w:marLeft w:val="0"/>
      <w:marRight w:val="0"/>
      <w:marTop w:val="0"/>
      <w:marBottom w:val="0"/>
      <w:divBdr>
        <w:top w:val="none" w:sz="0" w:space="0" w:color="auto"/>
        <w:left w:val="none" w:sz="0" w:space="0" w:color="auto"/>
        <w:bottom w:val="none" w:sz="0" w:space="0" w:color="auto"/>
        <w:right w:val="none" w:sz="0" w:space="0" w:color="auto"/>
      </w:divBdr>
    </w:div>
    <w:div w:id="144902800">
      <w:bodyDiv w:val="1"/>
      <w:marLeft w:val="0"/>
      <w:marRight w:val="0"/>
      <w:marTop w:val="0"/>
      <w:marBottom w:val="0"/>
      <w:divBdr>
        <w:top w:val="none" w:sz="0" w:space="0" w:color="auto"/>
        <w:left w:val="none" w:sz="0" w:space="0" w:color="auto"/>
        <w:bottom w:val="none" w:sz="0" w:space="0" w:color="auto"/>
        <w:right w:val="none" w:sz="0" w:space="0" w:color="auto"/>
      </w:divBdr>
    </w:div>
    <w:div w:id="339508733">
      <w:bodyDiv w:val="1"/>
      <w:marLeft w:val="0"/>
      <w:marRight w:val="0"/>
      <w:marTop w:val="0"/>
      <w:marBottom w:val="0"/>
      <w:divBdr>
        <w:top w:val="none" w:sz="0" w:space="0" w:color="auto"/>
        <w:left w:val="none" w:sz="0" w:space="0" w:color="auto"/>
        <w:bottom w:val="none" w:sz="0" w:space="0" w:color="auto"/>
        <w:right w:val="none" w:sz="0" w:space="0" w:color="auto"/>
      </w:divBdr>
    </w:div>
    <w:div w:id="570697089">
      <w:bodyDiv w:val="1"/>
      <w:marLeft w:val="0"/>
      <w:marRight w:val="0"/>
      <w:marTop w:val="0"/>
      <w:marBottom w:val="0"/>
      <w:divBdr>
        <w:top w:val="none" w:sz="0" w:space="0" w:color="auto"/>
        <w:left w:val="none" w:sz="0" w:space="0" w:color="auto"/>
        <w:bottom w:val="none" w:sz="0" w:space="0" w:color="auto"/>
        <w:right w:val="none" w:sz="0" w:space="0" w:color="auto"/>
      </w:divBdr>
    </w:div>
    <w:div w:id="813523022">
      <w:bodyDiv w:val="1"/>
      <w:marLeft w:val="0"/>
      <w:marRight w:val="0"/>
      <w:marTop w:val="0"/>
      <w:marBottom w:val="0"/>
      <w:divBdr>
        <w:top w:val="none" w:sz="0" w:space="0" w:color="auto"/>
        <w:left w:val="none" w:sz="0" w:space="0" w:color="auto"/>
        <w:bottom w:val="none" w:sz="0" w:space="0" w:color="auto"/>
        <w:right w:val="none" w:sz="0" w:space="0" w:color="auto"/>
      </w:divBdr>
    </w:div>
    <w:div w:id="900557229">
      <w:bodyDiv w:val="1"/>
      <w:marLeft w:val="0"/>
      <w:marRight w:val="0"/>
      <w:marTop w:val="0"/>
      <w:marBottom w:val="0"/>
      <w:divBdr>
        <w:top w:val="none" w:sz="0" w:space="0" w:color="auto"/>
        <w:left w:val="none" w:sz="0" w:space="0" w:color="auto"/>
        <w:bottom w:val="none" w:sz="0" w:space="0" w:color="auto"/>
        <w:right w:val="none" w:sz="0" w:space="0" w:color="auto"/>
      </w:divBdr>
    </w:div>
    <w:div w:id="1026834901">
      <w:bodyDiv w:val="1"/>
      <w:marLeft w:val="0"/>
      <w:marRight w:val="0"/>
      <w:marTop w:val="0"/>
      <w:marBottom w:val="0"/>
      <w:divBdr>
        <w:top w:val="none" w:sz="0" w:space="0" w:color="auto"/>
        <w:left w:val="none" w:sz="0" w:space="0" w:color="auto"/>
        <w:bottom w:val="none" w:sz="0" w:space="0" w:color="auto"/>
        <w:right w:val="none" w:sz="0" w:space="0" w:color="auto"/>
      </w:divBdr>
    </w:div>
    <w:div w:id="1150560590">
      <w:bodyDiv w:val="1"/>
      <w:marLeft w:val="0"/>
      <w:marRight w:val="0"/>
      <w:marTop w:val="0"/>
      <w:marBottom w:val="0"/>
      <w:divBdr>
        <w:top w:val="none" w:sz="0" w:space="0" w:color="auto"/>
        <w:left w:val="none" w:sz="0" w:space="0" w:color="auto"/>
        <w:bottom w:val="none" w:sz="0" w:space="0" w:color="auto"/>
        <w:right w:val="none" w:sz="0" w:space="0" w:color="auto"/>
      </w:divBdr>
    </w:div>
    <w:div w:id="1197700969">
      <w:bodyDiv w:val="1"/>
      <w:marLeft w:val="0"/>
      <w:marRight w:val="0"/>
      <w:marTop w:val="0"/>
      <w:marBottom w:val="0"/>
      <w:divBdr>
        <w:top w:val="none" w:sz="0" w:space="0" w:color="auto"/>
        <w:left w:val="none" w:sz="0" w:space="0" w:color="auto"/>
        <w:bottom w:val="none" w:sz="0" w:space="0" w:color="auto"/>
        <w:right w:val="none" w:sz="0" w:space="0" w:color="auto"/>
      </w:divBdr>
    </w:div>
    <w:div w:id="1338922163">
      <w:bodyDiv w:val="1"/>
      <w:marLeft w:val="0"/>
      <w:marRight w:val="0"/>
      <w:marTop w:val="0"/>
      <w:marBottom w:val="0"/>
      <w:divBdr>
        <w:top w:val="none" w:sz="0" w:space="0" w:color="auto"/>
        <w:left w:val="none" w:sz="0" w:space="0" w:color="auto"/>
        <w:bottom w:val="none" w:sz="0" w:space="0" w:color="auto"/>
        <w:right w:val="none" w:sz="0" w:space="0" w:color="auto"/>
      </w:divBdr>
    </w:div>
    <w:div w:id="1558584358">
      <w:bodyDiv w:val="1"/>
      <w:marLeft w:val="0"/>
      <w:marRight w:val="0"/>
      <w:marTop w:val="0"/>
      <w:marBottom w:val="0"/>
      <w:divBdr>
        <w:top w:val="none" w:sz="0" w:space="0" w:color="auto"/>
        <w:left w:val="none" w:sz="0" w:space="0" w:color="auto"/>
        <w:bottom w:val="none" w:sz="0" w:space="0" w:color="auto"/>
        <w:right w:val="none" w:sz="0" w:space="0" w:color="auto"/>
      </w:divBdr>
    </w:div>
    <w:div w:id="1658531569">
      <w:bodyDiv w:val="1"/>
      <w:marLeft w:val="0"/>
      <w:marRight w:val="0"/>
      <w:marTop w:val="0"/>
      <w:marBottom w:val="0"/>
      <w:divBdr>
        <w:top w:val="none" w:sz="0" w:space="0" w:color="auto"/>
        <w:left w:val="none" w:sz="0" w:space="0" w:color="auto"/>
        <w:bottom w:val="none" w:sz="0" w:space="0" w:color="auto"/>
        <w:right w:val="none" w:sz="0" w:space="0" w:color="auto"/>
      </w:divBdr>
    </w:div>
    <w:div w:id="1767656935">
      <w:bodyDiv w:val="1"/>
      <w:marLeft w:val="0"/>
      <w:marRight w:val="0"/>
      <w:marTop w:val="0"/>
      <w:marBottom w:val="0"/>
      <w:divBdr>
        <w:top w:val="none" w:sz="0" w:space="0" w:color="auto"/>
        <w:left w:val="none" w:sz="0" w:space="0" w:color="auto"/>
        <w:bottom w:val="none" w:sz="0" w:space="0" w:color="auto"/>
        <w:right w:val="none" w:sz="0" w:space="0" w:color="auto"/>
      </w:divBdr>
    </w:div>
    <w:div w:id="1782408303">
      <w:bodyDiv w:val="1"/>
      <w:marLeft w:val="0"/>
      <w:marRight w:val="0"/>
      <w:marTop w:val="0"/>
      <w:marBottom w:val="0"/>
      <w:divBdr>
        <w:top w:val="none" w:sz="0" w:space="0" w:color="auto"/>
        <w:left w:val="none" w:sz="0" w:space="0" w:color="auto"/>
        <w:bottom w:val="none" w:sz="0" w:space="0" w:color="auto"/>
        <w:right w:val="none" w:sz="0" w:space="0" w:color="auto"/>
      </w:divBdr>
    </w:div>
    <w:div w:id="1939872768">
      <w:bodyDiv w:val="1"/>
      <w:marLeft w:val="0"/>
      <w:marRight w:val="0"/>
      <w:marTop w:val="0"/>
      <w:marBottom w:val="0"/>
      <w:divBdr>
        <w:top w:val="none" w:sz="0" w:space="0" w:color="auto"/>
        <w:left w:val="none" w:sz="0" w:space="0" w:color="auto"/>
        <w:bottom w:val="none" w:sz="0" w:space="0" w:color="auto"/>
        <w:right w:val="none" w:sz="0" w:space="0" w:color="auto"/>
      </w:divBdr>
    </w:div>
    <w:div w:id="20805934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Judgment%20Acti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CD7E7-57D6-48BB-AD45-DB62CEC7A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 Acting</Template>
  <TotalTime>4</TotalTime>
  <Pages>33</Pages>
  <Words>6578</Words>
  <Characters>37498</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JUDGMENT</vt:lpstr>
    </vt:vector>
  </TitlesOfParts>
  <Company>Group21</Company>
  <LinksUpToDate>false</LinksUpToDate>
  <CharactersWithSpaces>43989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JUDGMENT</dc:title>
  <dc:subject/>
  <dc:creator>JR TYPING SERVICES</dc:creator>
  <cp:keywords>JOHAN MOORCROFT</cp:keywords>
  <dc:description/>
  <cp:lastModifiedBy>Mokone</cp:lastModifiedBy>
  <cp:revision>3</cp:revision>
  <cp:lastPrinted>2023-02-10T11:26:00Z</cp:lastPrinted>
  <dcterms:created xsi:type="dcterms:W3CDTF">2023-03-06T13:23:00Z</dcterms:created>
  <dcterms:modified xsi:type="dcterms:W3CDTF">2023-03-06T13:27:00Z</dcterms:modified>
</cp:coreProperties>
</file>