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C20E" w14:textId="024BD6B5" w:rsidR="004318FC" w:rsidRPr="004318FC" w:rsidRDefault="004318FC" w:rsidP="004318FC">
      <w:pPr>
        <w:rPr>
          <w:rFonts w:ascii="Courier New" w:hAnsi="Courier New"/>
          <w:kern w:val="0"/>
          <w:lang w:eastAsia="en-ZA"/>
        </w:rPr>
      </w:pPr>
      <w:r>
        <w:rPr>
          <w:rFonts w:cs="Arial"/>
          <w:color w:val="FF0000"/>
        </w:rPr>
        <w:t>Editorial note: Certain information has been redacted from this judgment in compliance with the law.</w:t>
      </w:r>
    </w:p>
    <w:p w14:paraId="2198853B" w14:textId="4721C30E" w:rsidR="00633CD8" w:rsidRDefault="00633CD8" w:rsidP="00633CD8">
      <w:pPr>
        <w:pStyle w:val="LegalNormal"/>
        <w:spacing w:after="0" w:line="360" w:lineRule="auto"/>
        <w:jc w:val="center"/>
      </w:pPr>
      <w:r w:rsidRPr="00D0071D">
        <w:rPr>
          <w:noProof/>
          <w:color w:val="1F497D"/>
          <w:lang w:val="en-ZA" w:eastAsia="en-ZA"/>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3F1DD082" w:rsidR="00633CD8" w:rsidRDefault="00633CD8" w:rsidP="00633CD8">
      <w:pPr>
        <w:pStyle w:val="LegalTitle"/>
        <w:spacing w:after="0" w:line="360" w:lineRule="auto"/>
        <w:rPr>
          <w:u w:val="single"/>
        </w:rPr>
      </w:pPr>
      <w:r w:rsidRPr="00520591">
        <w:rPr>
          <w:u w:val="single"/>
        </w:rPr>
        <w:t xml:space="preserve">GAUTENG </w:t>
      </w:r>
      <w:r w:rsidR="00082815">
        <w:rPr>
          <w:u w:val="single"/>
        </w:rPr>
        <w:t xml:space="preserve">LOCAL </w:t>
      </w:r>
      <w:r w:rsidRPr="00520591">
        <w:rPr>
          <w:u w:val="single"/>
        </w:rPr>
        <w:t xml:space="preserve">DIVISION, </w:t>
      </w:r>
      <w:r>
        <w:rPr>
          <w:u w:val="single"/>
        </w:rPr>
        <w:t>JOHANNESBURG</w:t>
      </w:r>
    </w:p>
    <w:p w14:paraId="26F92239" w14:textId="09774C68" w:rsidR="00633CD8" w:rsidRDefault="00633CD8" w:rsidP="00633CD8">
      <w:pPr>
        <w:pStyle w:val="LegalAnnexure"/>
        <w:spacing w:after="960" w:line="360" w:lineRule="auto"/>
        <w:rPr>
          <w:u w:val="single"/>
        </w:rPr>
      </w:pPr>
      <w:r>
        <w:rPr>
          <w:rFonts w:ascii="Times New Roman" w:hAnsi="Times New Roman"/>
          <w:noProof/>
          <w:lang w:val="en-ZA" w:eastAsia="en-ZA"/>
        </w:rPr>
        <mc:AlternateContent>
          <mc:Choice Requires="wps">
            <w:drawing>
              <wp:anchor distT="0" distB="0" distL="114300" distR="114300" simplePos="0" relativeHeight="251659264" behindDoc="0" locked="0" layoutInCell="1" allowOverlap="1" wp14:anchorId="069D7505" wp14:editId="6C2E552F">
                <wp:simplePos x="0" y="0"/>
                <wp:positionH relativeFrom="column">
                  <wp:posOffset>-292735</wp:posOffset>
                </wp:positionH>
                <wp:positionV relativeFrom="paragraph">
                  <wp:posOffset>141605</wp:posOffset>
                </wp:positionV>
                <wp:extent cx="361950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512C89E4" w:rsidR="00633CD8" w:rsidRDefault="00273796" w:rsidP="0027379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r w:rsidR="00DD0189">
                              <w:rPr>
                                <w:rFonts w:ascii="Century Gothic" w:hAnsi="Century Gothic"/>
                                <w:sz w:val="20"/>
                              </w:rPr>
                              <w:t xml:space="preserve">    YES</w:t>
                            </w:r>
                          </w:p>
                          <w:p w14:paraId="686AC699" w14:textId="330B3CE9" w:rsidR="00633CD8" w:rsidRDefault="00273796" w:rsidP="0027379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5D3E1DD4" w:rsidR="00633CD8" w:rsidRDefault="00273796" w:rsidP="0027379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170EED0F" w:rsidR="00633CD8" w:rsidRDefault="00633CD8" w:rsidP="00633CD8">
                            <w:pPr>
                              <w:rPr>
                                <w:rFonts w:ascii="Century Gothic" w:hAnsi="Century Gothic"/>
                                <w:sz w:val="28"/>
                                <w:szCs w:val="28"/>
                              </w:rPr>
                            </w:pPr>
                            <w:r>
                              <w:rPr>
                                <w:rFonts w:ascii="Century Gothic" w:hAnsi="Century Gothic"/>
                                <w:sz w:val="22"/>
                                <w:szCs w:val="22"/>
                              </w:rPr>
                              <w:t xml:space="preserve">Date: </w:t>
                            </w:r>
                            <w:r w:rsidR="00E90144">
                              <w:rPr>
                                <w:rFonts w:ascii="Century Gothic" w:hAnsi="Century Gothic"/>
                                <w:sz w:val="22"/>
                                <w:szCs w:val="22"/>
                              </w:rPr>
                              <w:t xml:space="preserve">                                   </w:t>
                            </w:r>
                            <w:r>
                              <w:rPr>
                                <w:rFonts w:ascii="Century Gothic" w:hAnsi="Century Gothic"/>
                                <w:sz w:val="22"/>
                                <w:szCs w:val="22"/>
                              </w:rPr>
                              <w:t>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23.05pt;margin-top:11.1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sUKwIAAFA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">
                <v:textbox>
                  <w:txbxContent>
                    <w:p w14:paraId="031C1BFF" w14:textId="512C89E4" w:rsidR="00633CD8" w:rsidRDefault="00273796" w:rsidP="0027379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r w:rsidR="00DD0189">
                        <w:rPr>
                          <w:rFonts w:ascii="Century Gothic" w:hAnsi="Century Gothic"/>
                          <w:sz w:val="20"/>
                        </w:rPr>
                        <w:t xml:space="preserve">    YES</w:t>
                      </w:r>
                    </w:p>
                    <w:p w14:paraId="686AC699" w14:textId="330B3CE9" w:rsidR="00633CD8" w:rsidRDefault="00273796" w:rsidP="0027379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5D3E1DD4" w:rsidR="00633CD8" w:rsidRDefault="00273796" w:rsidP="0027379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170EED0F" w:rsidR="00633CD8" w:rsidRDefault="00633CD8" w:rsidP="00633CD8">
                      <w:pPr>
                        <w:rPr>
                          <w:rFonts w:ascii="Century Gothic" w:hAnsi="Century Gothic"/>
                          <w:sz w:val="28"/>
                          <w:szCs w:val="28"/>
                        </w:rPr>
                      </w:pPr>
                      <w:r>
                        <w:rPr>
                          <w:rFonts w:ascii="Century Gothic" w:hAnsi="Century Gothic"/>
                          <w:sz w:val="22"/>
                          <w:szCs w:val="22"/>
                        </w:rPr>
                        <w:t xml:space="preserve">Date: </w:t>
                      </w:r>
                      <w:r w:rsidR="00E90144">
                        <w:rPr>
                          <w:rFonts w:ascii="Century Gothic" w:hAnsi="Century Gothic"/>
                          <w:sz w:val="22"/>
                          <w:szCs w:val="22"/>
                        </w:rPr>
                        <w:t xml:space="preserve">                                   </w:t>
                      </w:r>
                      <w:r>
                        <w:rPr>
                          <w:rFonts w:ascii="Century Gothic" w:hAnsi="Century Gothic"/>
                          <w:sz w:val="22"/>
                          <w:szCs w:val="22"/>
                        </w:rPr>
                        <w:t>Signature: _____________</w:t>
                      </w:r>
                    </w:p>
                  </w:txbxContent>
                </v:textbox>
              </v:shape>
            </w:pict>
          </mc:Fallback>
        </mc:AlternateContent>
      </w:r>
    </w:p>
    <w:p w14:paraId="1C4FD250" w14:textId="77777777" w:rsidR="00633CD8" w:rsidRDefault="00633CD8" w:rsidP="00633CD8">
      <w:pPr>
        <w:pStyle w:val="LegalAnnexure"/>
        <w:spacing w:after="0" w:line="360" w:lineRule="auto"/>
      </w:pPr>
    </w:p>
    <w:p w14:paraId="3EA2AAB1" w14:textId="66DC3517" w:rsidR="00633CD8" w:rsidRPr="001C6F28" w:rsidRDefault="00633CD8" w:rsidP="00633CD8">
      <w:pPr>
        <w:pStyle w:val="LegalAnnexure"/>
        <w:spacing w:after="0" w:line="360" w:lineRule="auto"/>
      </w:pPr>
      <w:r>
        <w:rPr>
          <w:u w:val="single"/>
        </w:rPr>
        <w:t>CASE</w:t>
      </w:r>
      <w:r w:rsidRPr="00A84826">
        <w:rPr>
          <w:u w:val="single"/>
        </w:rPr>
        <w:t xml:space="preserve"> NO</w:t>
      </w:r>
      <w:r w:rsidRPr="002D4810">
        <w:rPr>
          <w:b w:val="0"/>
        </w:rPr>
        <w:t>:</w:t>
      </w:r>
      <w:r w:rsidR="006E34E4">
        <w:rPr>
          <w:b w:val="0"/>
        </w:rPr>
        <w:t xml:space="preserve"> </w:t>
      </w:r>
      <w:r w:rsidR="00616303" w:rsidRPr="00E90144">
        <w:t>20</w:t>
      </w:r>
      <w:r w:rsidR="00694B95" w:rsidRPr="00E90144">
        <w:t>14</w:t>
      </w:r>
      <w:r w:rsidR="00616303" w:rsidRPr="00E90144">
        <w:t>/</w:t>
      </w:r>
      <w:r w:rsidR="00694B95" w:rsidRPr="00E90144">
        <w:t>2941</w:t>
      </w:r>
    </w:p>
    <w:p w14:paraId="017B14CF" w14:textId="0DDD3561" w:rsidR="00633CD8" w:rsidRPr="0076063C" w:rsidRDefault="00633CD8" w:rsidP="00633CD8">
      <w:pPr>
        <w:pStyle w:val="LegalNormal"/>
        <w:spacing w:after="0" w:line="360" w:lineRule="auto"/>
        <w:jc w:val="right"/>
      </w:pPr>
      <w:r w:rsidRPr="0076063C">
        <w:rPr>
          <w:b/>
          <w:u w:val="single"/>
        </w:rPr>
        <w:t>DATE</w:t>
      </w:r>
      <w:r>
        <w:rPr>
          <w:b/>
        </w:rPr>
        <w:t>:</w:t>
      </w:r>
      <w:r w:rsidR="008770E9">
        <w:rPr>
          <w:b/>
        </w:rPr>
        <w:t> </w:t>
      </w:r>
      <w:r w:rsidR="000E0E02">
        <w:rPr>
          <w:b/>
        </w:rPr>
        <w:t>23 November 2023</w:t>
      </w:r>
      <w:r>
        <w:rPr>
          <w:b/>
        </w:rPr>
        <w:t xml:space="preserve"> </w:t>
      </w:r>
    </w:p>
    <w:p w14:paraId="69D9E7C5"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2CB986D7" w14:textId="1D438CF0" w:rsidR="007A3836" w:rsidRPr="00707CAF" w:rsidRDefault="00694B95" w:rsidP="004318FC">
            <w:pPr>
              <w:pStyle w:val="Title"/>
              <w:rPr>
                <w:b/>
                <w:sz w:val="21"/>
              </w:rPr>
            </w:pPr>
            <w:r>
              <w:rPr>
                <w:b/>
                <w:sz w:val="21"/>
              </w:rPr>
              <w:t>P</w:t>
            </w:r>
            <w:r w:rsidR="004318FC">
              <w:rPr>
                <w:b/>
                <w:sz w:val="21"/>
              </w:rPr>
              <w:t>[…]</w:t>
            </w:r>
            <w:r>
              <w:rPr>
                <w:b/>
                <w:sz w:val="21"/>
              </w:rPr>
              <w:t>, L</w:t>
            </w:r>
            <w:r w:rsidR="004318FC">
              <w:rPr>
                <w:b/>
                <w:sz w:val="21"/>
              </w:rPr>
              <w:t>[…]</w:t>
            </w:r>
          </w:p>
        </w:tc>
        <w:tc>
          <w:tcPr>
            <w:tcW w:w="2606" w:type="dxa"/>
          </w:tcPr>
          <w:p w14:paraId="6476AE42" w14:textId="44E2FDA5" w:rsidR="006E34E4" w:rsidRPr="00D905E4" w:rsidRDefault="00694B95" w:rsidP="005545E1">
            <w:pPr>
              <w:pStyle w:val="Title"/>
              <w:spacing w:line="360" w:lineRule="auto"/>
              <w:jc w:val="right"/>
              <w:rPr>
                <w:sz w:val="21"/>
              </w:rPr>
            </w:pPr>
            <w:r>
              <w:rPr>
                <w:sz w:val="21"/>
              </w:rPr>
              <w:t xml:space="preserve">Plaintiff </w:t>
            </w:r>
          </w:p>
        </w:tc>
      </w:tr>
      <w:tr w:rsidR="006E34E4" w:rsidRPr="00D905E4" w14:paraId="29265C62" w14:textId="77777777" w:rsidTr="006E34E4">
        <w:tc>
          <w:tcPr>
            <w:tcW w:w="6204" w:type="dxa"/>
          </w:tcPr>
          <w:p w14:paraId="3EB8A71D" w14:textId="51148608" w:rsidR="006E34E4" w:rsidRPr="00D905E4" w:rsidRDefault="006E34E4" w:rsidP="005545E1">
            <w:pPr>
              <w:pStyle w:val="Title"/>
              <w:spacing w:line="360" w:lineRule="auto"/>
              <w:rPr>
                <w:sz w:val="21"/>
              </w:rPr>
            </w:pPr>
          </w:p>
        </w:tc>
        <w:tc>
          <w:tcPr>
            <w:tcW w:w="2606" w:type="dxa"/>
          </w:tcPr>
          <w:p w14:paraId="4CEFDE0C" w14:textId="77777777" w:rsidR="006E34E4" w:rsidRPr="00D905E4" w:rsidRDefault="006E34E4" w:rsidP="005545E1">
            <w:pPr>
              <w:pStyle w:val="Title"/>
              <w:spacing w:line="360" w:lineRule="auto"/>
              <w:rPr>
                <w:sz w:val="21"/>
              </w:rPr>
            </w:pPr>
          </w:p>
        </w:tc>
      </w:tr>
      <w:tr w:rsidR="006E34E4" w:rsidRPr="00D905E4" w14:paraId="09E13C66" w14:textId="77777777" w:rsidTr="006E34E4">
        <w:tc>
          <w:tcPr>
            <w:tcW w:w="6204" w:type="dxa"/>
          </w:tcPr>
          <w:p w14:paraId="3FB2F644" w14:textId="542052B1" w:rsidR="006E34E4" w:rsidRPr="00D905E4" w:rsidRDefault="003C7511" w:rsidP="005545E1">
            <w:pPr>
              <w:pStyle w:val="Title"/>
              <w:spacing w:after="120"/>
              <w:rPr>
                <w:b/>
                <w:sz w:val="21"/>
              </w:rPr>
            </w:pPr>
            <w:r w:rsidRPr="003C7511">
              <w:rPr>
                <w:bCs/>
                <w:sz w:val="21"/>
              </w:rPr>
              <w:t>and</w:t>
            </w:r>
            <w:r w:rsidR="006E34E4" w:rsidRPr="00D905E4">
              <w:rPr>
                <w:b/>
                <w:sz w:val="21"/>
              </w:rPr>
              <w:fldChar w:fldCharType="begin"/>
            </w:r>
            <w:r w:rsidR="006E34E4" w:rsidRPr="00D905E4">
              <w:rPr>
                <w:b/>
                <w:sz w:val="21"/>
              </w:rPr>
              <w:instrText xml:space="preserve">  </w:instrText>
            </w:r>
            <w:r w:rsidR="006E34E4" w:rsidRPr="00D905E4">
              <w:rPr>
                <w:b/>
                <w:sz w:val="21"/>
              </w:rPr>
              <w:fldChar w:fldCharType="end"/>
            </w:r>
          </w:p>
        </w:tc>
        <w:tc>
          <w:tcPr>
            <w:tcW w:w="2606" w:type="dxa"/>
          </w:tcPr>
          <w:p w14:paraId="4F9E604D" w14:textId="77777777" w:rsidR="006E34E4" w:rsidRPr="00D905E4" w:rsidRDefault="006E34E4" w:rsidP="005545E1">
            <w:pPr>
              <w:pStyle w:val="Title"/>
              <w:spacing w:line="360" w:lineRule="auto"/>
              <w:jc w:val="right"/>
              <w:rPr>
                <w:sz w:val="21"/>
              </w:rPr>
            </w:pPr>
          </w:p>
        </w:tc>
      </w:tr>
      <w:tr w:rsidR="006E34E4" w:rsidRPr="00D905E4" w14:paraId="627B0A96" w14:textId="77777777" w:rsidTr="006E34E4">
        <w:tc>
          <w:tcPr>
            <w:tcW w:w="6204" w:type="dxa"/>
          </w:tcPr>
          <w:p w14:paraId="20D6C10A" w14:textId="1F1D9037" w:rsidR="006E34E4" w:rsidRPr="00D905E4" w:rsidRDefault="006E34E4" w:rsidP="005545E1">
            <w:pPr>
              <w:pStyle w:val="Title"/>
              <w:rPr>
                <w:bCs/>
                <w:sz w:val="21"/>
              </w:rPr>
            </w:pPr>
          </w:p>
        </w:tc>
        <w:tc>
          <w:tcPr>
            <w:tcW w:w="2606" w:type="dxa"/>
          </w:tcPr>
          <w:p w14:paraId="69B86802" w14:textId="257BF2C7" w:rsidR="006E34E4" w:rsidRPr="00D905E4" w:rsidRDefault="006E34E4" w:rsidP="005545E1">
            <w:pPr>
              <w:pStyle w:val="Title"/>
              <w:spacing w:line="360" w:lineRule="auto"/>
              <w:jc w:val="right"/>
              <w:rPr>
                <w:sz w:val="21"/>
              </w:rPr>
            </w:pPr>
          </w:p>
        </w:tc>
      </w:tr>
      <w:tr w:rsidR="003C7511" w:rsidRPr="00D905E4" w14:paraId="3B8E44DF" w14:textId="77777777" w:rsidTr="006E34E4">
        <w:tc>
          <w:tcPr>
            <w:tcW w:w="6204" w:type="dxa"/>
          </w:tcPr>
          <w:p w14:paraId="6084FA3E" w14:textId="63F87B43" w:rsidR="003C7511" w:rsidRPr="003C7511" w:rsidRDefault="00694B95" w:rsidP="004318FC">
            <w:pPr>
              <w:pStyle w:val="Title"/>
              <w:rPr>
                <w:b/>
                <w:sz w:val="21"/>
              </w:rPr>
            </w:pPr>
            <w:r>
              <w:rPr>
                <w:b/>
                <w:sz w:val="21"/>
              </w:rPr>
              <w:t>P</w:t>
            </w:r>
            <w:r w:rsidR="004318FC">
              <w:rPr>
                <w:b/>
                <w:sz w:val="21"/>
              </w:rPr>
              <w:t>[…]</w:t>
            </w:r>
            <w:r>
              <w:rPr>
                <w:b/>
                <w:sz w:val="21"/>
              </w:rPr>
              <w:t>, R</w:t>
            </w:r>
            <w:r w:rsidR="004318FC">
              <w:rPr>
                <w:b/>
                <w:sz w:val="21"/>
              </w:rPr>
              <w:t>[…]</w:t>
            </w:r>
            <w:bookmarkStart w:id="0" w:name="_GoBack"/>
            <w:bookmarkEnd w:id="0"/>
          </w:p>
        </w:tc>
        <w:tc>
          <w:tcPr>
            <w:tcW w:w="2606" w:type="dxa"/>
          </w:tcPr>
          <w:p w14:paraId="6881184E" w14:textId="0B6F86BF" w:rsidR="003C7511" w:rsidRPr="00D905E4" w:rsidRDefault="00694B95" w:rsidP="005545E1">
            <w:pPr>
              <w:pStyle w:val="Title"/>
              <w:spacing w:line="360" w:lineRule="auto"/>
              <w:jc w:val="right"/>
              <w:rPr>
                <w:sz w:val="21"/>
              </w:rPr>
            </w:pPr>
            <w:r>
              <w:rPr>
                <w:sz w:val="21"/>
              </w:rPr>
              <w:t xml:space="preserve">Defendant </w:t>
            </w:r>
          </w:p>
        </w:tc>
      </w:tr>
    </w:tbl>
    <w:p w14:paraId="080B1F8B" w14:textId="77777777" w:rsidR="006E34E4" w:rsidRPr="00D905E4" w:rsidRDefault="006E34E4" w:rsidP="006E34E4">
      <w:pPr>
        <w:pStyle w:val="Title"/>
        <w:rPr>
          <w:sz w:val="21"/>
        </w:rPr>
      </w:pPr>
    </w:p>
    <w:p w14:paraId="12DFC443" w14:textId="50911086" w:rsidR="00633CD8" w:rsidRDefault="00633CD8" w:rsidP="006E34E4">
      <w:pPr>
        <w:tabs>
          <w:tab w:val="left" w:pos="1418"/>
        </w:tabs>
        <w:spacing w:before="120" w:after="120"/>
        <w:rPr>
          <w:rFonts w:cs="Arial"/>
        </w:rPr>
      </w:pPr>
      <w:r>
        <w:rPr>
          <w:rFonts w:cs="Arial"/>
          <w:b/>
          <w:bCs/>
        </w:rPr>
        <w:t>Coram:</w:t>
      </w:r>
      <w:r>
        <w:rPr>
          <w:rFonts w:cs="Arial"/>
        </w:rPr>
        <w:tab/>
      </w:r>
      <w:r w:rsidR="003C7511">
        <w:rPr>
          <w:rFonts w:cs="Arial"/>
        </w:rPr>
        <w:tab/>
      </w:r>
    </w:p>
    <w:p w14:paraId="2D78F15E" w14:textId="049C6086" w:rsidR="00633CD8" w:rsidRPr="002F44BB" w:rsidRDefault="00633CD8" w:rsidP="00633CD8">
      <w:pPr>
        <w:spacing w:after="120"/>
        <w:ind w:left="1418" w:hanging="1418"/>
        <w:rPr>
          <w:rFonts w:cs="Arial"/>
          <w:bCs/>
        </w:rPr>
      </w:pPr>
      <w:r>
        <w:rPr>
          <w:rFonts w:cs="Arial"/>
          <w:b/>
          <w:bCs/>
        </w:rPr>
        <w:t>Heard on</w:t>
      </w:r>
      <w:r>
        <w:rPr>
          <w:rFonts w:cs="Arial"/>
        </w:rPr>
        <w:t>:</w:t>
      </w:r>
      <w:r>
        <w:rPr>
          <w:rFonts w:cs="Arial"/>
        </w:rPr>
        <w:tab/>
      </w:r>
      <w:r w:rsidR="00DD0189">
        <w:rPr>
          <w:rFonts w:cs="Arial"/>
        </w:rPr>
        <w:tab/>
      </w:r>
      <w:r w:rsidR="00562078">
        <w:rPr>
          <w:rFonts w:cs="Arial"/>
        </w:rPr>
        <w:t>20</w:t>
      </w:r>
      <w:r w:rsidR="00562078">
        <w:rPr>
          <w:rFonts w:cs="Arial"/>
          <w:vertAlign w:val="superscript"/>
        </w:rPr>
        <w:t xml:space="preserve"> </w:t>
      </w:r>
      <w:r w:rsidR="00562078">
        <w:rPr>
          <w:rFonts w:cs="Arial"/>
          <w:bCs/>
        </w:rPr>
        <w:t>November 2023</w:t>
      </w:r>
    </w:p>
    <w:p w14:paraId="13D07160" w14:textId="74420E66" w:rsidR="00633CD8" w:rsidRPr="003C7511" w:rsidRDefault="00633CD8" w:rsidP="00633CD8">
      <w:pPr>
        <w:tabs>
          <w:tab w:val="left" w:pos="1418"/>
        </w:tabs>
        <w:spacing w:after="120"/>
        <w:ind w:left="1418" w:hanging="1418"/>
        <w:rPr>
          <w:rFonts w:cs="Arial"/>
          <w:bCs/>
        </w:rPr>
      </w:pPr>
      <w:r>
        <w:rPr>
          <w:rFonts w:cs="Arial"/>
          <w:b/>
        </w:rPr>
        <w:t>Delivered:</w:t>
      </w:r>
      <w:r>
        <w:rPr>
          <w:rFonts w:cs="Arial"/>
          <w:b/>
        </w:rPr>
        <w:tab/>
      </w:r>
      <w:r w:rsidR="00DD0189">
        <w:rPr>
          <w:rFonts w:cs="Arial"/>
          <w:b/>
        </w:rPr>
        <w:tab/>
      </w:r>
      <w:r w:rsidR="00DD0189">
        <w:rPr>
          <w:rFonts w:cs="Arial"/>
          <w:bCs/>
        </w:rPr>
        <w:t>23 November 2023</w:t>
      </w:r>
    </w:p>
    <w:p w14:paraId="3E9A3BA1" w14:textId="6E1512A7" w:rsidR="00633CD8" w:rsidRDefault="00633CD8" w:rsidP="002F44BB">
      <w:pPr>
        <w:spacing w:after="240" w:line="240" w:lineRule="auto"/>
        <w:ind w:left="1871" w:hanging="1871"/>
        <w:rPr>
          <w:rFonts w:cs="Arial"/>
        </w:rPr>
      </w:pPr>
      <w:r>
        <w:rPr>
          <w:rFonts w:cs="Arial"/>
          <w:b/>
          <w:bCs/>
        </w:rPr>
        <w:t>Summary:</w:t>
      </w:r>
      <w:r>
        <w:rPr>
          <w:rFonts w:cs="Arial"/>
          <w:b/>
          <w:bCs/>
        </w:rPr>
        <w:tab/>
      </w:r>
      <w:r w:rsidR="00DD0189">
        <w:rPr>
          <w:rFonts w:cs="Arial"/>
        </w:rPr>
        <w:t>Contempt of Court – urgent application – duty to comply with Court orders – the defendant is in contempt of Court.</w:t>
      </w:r>
    </w:p>
    <w:p w14:paraId="6498642A" w14:textId="4577F39D" w:rsidR="00DD0189" w:rsidRDefault="00DD0189" w:rsidP="00DD0189">
      <w:pPr>
        <w:spacing w:after="240" w:line="240" w:lineRule="auto"/>
        <w:ind w:left="1871" w:hanging="1871"/>
        <w:rPr>
          <w:rFonts w:cs="Arial"/>
        </w:rPr>
      </w:pPr>
      <w:r>
        <w:rPr>
          <w:rFonts w:cs="Arial"/>
          <w:b/>
          <w:bCs/>
        </w:rPr>
        <w:tab/>
      </w:r>
      <w:r>
        <w:rPr>
          <w:rFonts w:cs="Arial"/>
          <w:b/>
          <w:bCs/>
        </w:rPr>
        <w:tab/>
      </w:r>
      <w:r>
        <w:rPr>
          <w:rFonts w:cs="Arial"/>
        </w:rPr>
        <w:t>Appropriate sanction for crime of civil contempt – cohesive sanction – punitive costs</w:t>
      </w:r>
    </w:p>
    <w:p w14:paraId="66DC99F0" w14:textId="77777777" w:rsidR="00DD0189" w:rsidRPr="00DD0189" w:rsidRDefault="00DD0189" w:rsidP="002F44BB">
      <w:pPr>
        <w:spacing w:after="240" w:line="240" w:lineRule="auto"/>
        <w:ind w:left="1871" w:hanging="1871"/>
        <w:rPr>
          <w:rFonts w:cs="Arial"/>
        </w:rPr>
      </w:pPr>
    </w:p>
    <w:p w14:paraId="7C37C51C" w14:textId="77777777" w:rsidR="00633CD8" w:rsidRPr="00A84826" w:rsidRDefault="00633CD8" w:rsidP="00633CD8">
      <w:pPr>
        <w:pStyle w:val="LegalTramLines"/>
        <w:spacing w:after="240"/>
      </w:pPr>
      <w:r>
        <w:lastRenderedPageBreak/>
        <w:t xml:space="preserve">JUDGMENT </w:t>
      </w:r>
    </w:p>
    <w:p w14:paraId="1C8B327F" w14:textId="0B1216C5" w:rsidR="006F7C73" w:rsidRDefault="00694B95" w:rsidP="00A34D30">
      <w:pPr>
        <w:pStyle w:val="Heading1"/>
        <w:keepNext/>
        <w:numPr>
          <w:ilvl w:val="0"/>
          <w:numId w:val="0"/>
        </w:numPr>
        <w:ind w:left="862" w:hanging="862"/>
      </w:pPr>
      <w:bookmarkStart w:id="1" w:name="_Hlk81386236"/>
      <w:bookmarkStart w:id="2" w:name="_Hlk81386419"/>
      <w:r>
        <w:rPr>
          <w:b/>
          <w:bCs/>
          <w:u w:val="single"/>
        </w:rPr>
        <w:t xml:space="preserve">GUMBI, </w:t>
      </w:r>
      <w:r w:rsidR="00833533" w:rsidRPr="000460FA">
        <w:rPr>
          <w:b/>
          <w:bCs/>
          <w:u w:val="single"/>
        </w:rPr>
        <w:t>AJ</w:t>
      </w:r>
      <w:r w:rsidR="002A19E4" w:rsidRPr="005F5D78">
        <w:t>:</w:t>
      </w:r>
      <w:bookmarkEnd w:id="1"/>
    </w:p>
    <w:p w14:paraId="100A4C80" w14:textId="0DED3242" w:rsidR="000460FA" w:rsidRPr="00D905E4" w:rsidRDefault="000460FA" w:rsidP="00A34D30">
      <w:pPr>
        <w:keepNext/>
        <w:rPr>
          <w:b/>
          <w:bCs/>
          <w:u w:val="single"/>
        </w:rPr>
      </w:pPr>
      <w:bookmarkStart w:id="3" w:name="_Hlk81386187"/>
      <w:r w:rsidRPr="00D905E4">
        <w:rPr>
          <w:b/>
          <w:bCs/>
          <w:u w:val="single"/>
        </w:rPr>
        <w:t>INTRODUCTION</w:t>
      </w:r>
    </w:p>
    <w:p w14:paraId="3353053B" w14:textId="3B198633" w:rsidR="00106491" w:rsidRDefault="00273796" w:rsidP="00273796">
      <w:pPr>
        <w:pStyle w:val="Heading1"/>
        <w:numPr>
          <w:ilvl w:val="0"/>
          <w:numId w:val="0"/>
        </w:numPr>
        <w:tabs>
          <w:tab w:val="left" w:pos="862"/>
        </w:tabs>
        <w:ind w:left="862" w:hanging="862"/>
      </w:pPr>
      <w:bookmarkStart w:id="4" w:name="_Hlk81386320"/>
      <w:bookmarkEnd w:id="3"/>
      <w:r>
        <w:t>[1]</w:t>
      </w:r>
      <w:r>
        <w:tab/>
      </w:r>
      <w:r w:rsidR="00694B95">
        <w:t>This matter concerns the question whether the defendant is guilty of contempt of Court for failure to comply with the judgment and the order</w:t>
      </w:r>
      <w:r w:rsidR="00FE4583">
        <w:t>s</w:t>
      </w:r>
      <w:r w:rsidR="00694B95">
        <w:t xml:space="preserve"> that this Court made on 9 November 2023, per </w:t>
      </w:r>
      <w:proofErr w:type="spellStart"/>
      <w:r w:rsidR="00106491">
        <w:t>Thupaatlase</w:t>
      </w:r>
      <w:proofErr w:type="spellEnd"/>
      <w:r w:rsidR="00106491">
        <w:t xml:space="preserve"> AJ;</w:t>
      </w:r>
      <w:r w:rsidR="00106491">
        <w:rPr>
          <w:rStyle w:val="FootnoteReference"/>
        </w:rPr>
        <w:footnoteReference w:id="1"/>
      </w:r>
      <w:r w:rsidR="00106491">
        <w:t xml:space="preserve">  the order of 28 July 2014, per </w:t>
      </w:r>
      <w:proofErr w:type="spellStart"/>
      <w:r w:rsidR="00106491">
        <w:t>Tsoka</w:t>
      </w:r>
      <w:proofErr w:type="spellEnd"/>
      <w:r w:rsidR="00106491">
        <w:t xml:space="preserve"> J</w:t>
      </w:r>
      <w:r w:rsidR="00106491">
        <w:rPr>
          <w:rStyle w:val="FootnoteReference"/>
        </w:rPr>
        <w:footnoteReference w:id="2"/>
      </w:r>
      <w:r w:rsidR="00106491">
        <w:t xml:space="preserve"> (hereinafter referred to </w:t>
      </w:r>
      <w:r w:rsidR="00B534C0">
        <w:t xml:space="preserve">interchangeably </w:t>
      </w:r>
      <w:r w:rsidR="00106491">
        <w:t xml:space="preserve">as </w:t>
      </w:r>
      <w:r w:rsidR="00106491">
        <w:rPr>
          <w:i/>
          <w:iCs/>
        </w:rPr>
        <w:t>“</w:t>
      </w:r>
      <w:proofErr w:type="spellStart"/>
      <w:r w:rsidR="00FE4583">
        <w:rPr>
          <w:i/>
          <w:iCs/>
        </w:rPr>
        <w:t>Thupaatlase</w:t>
      </w:r>
      <w:r w:rsidR="00B534C0">
        <w:rPr>
          <w:i/>
          <w:iCs/>
        </w:rPr>
        <w:t>’s</w:t>
      </w:r>
      <w:proofErr w:type="spellEnd"/>
      <w:r w:rsidR="00B534C0">
        <w:rPr>
          <w:i/>
          <w:iCs/>
        </w:rPr>
        <w:t xml:space="preserve"> judgement or order</w:t>
      </w:r>
      <w:r w:rsidR="00FE4583">
        <w:rPr>
          <w:i/>
          <w:iCs/>
        </w:rPr>
        <w:t xml:space="preserve"> </w:t>
      </w:r>
      <w:r w:rsidR="00106491">
        <w:rPr>
          <w:i/>
          <w:iCs/>
        </w:rPr>
        <w:t xml:space="preserve"> </w:t>
      </w:r>
      <w:r w:rsidR="00106491">
        <w:t xml:space="preserve">and </w:t>
      </w:r>
      <w:r w:rsidR="00106491">
        <w:rPr>
          <w:i/>
          <w:iCs/>
        </w:rPr>
        <w:t>“</w:t>
      </w:r>
      <w:proofErr w:type="spellStart"/>
      <w:r w:rsidR="00FE4583">
        <w:rPr>
          <w:i/>
          <w:iCs/>
        </w:rPr>
        <w:t>Tsoka’s</w:t>
      </w:r>
      <w:proofErr w:type="spellEnd"/>
      <w:r w:rsidR="00106491">
        <w:rPr>
          <w:i/>
          <w:iCs/>
        </w:rPr>
        <w:t xml:space="preserve"> </w:t>
      </w:r>
      <w:r w:rsidR="00106491">
        <w:t>order).</w:t>
      </w:r>
    </w:p>
    <w:p w14:paraId="2872B112" w14:textId="40DB60B3" w:rsidR="00106491" w:rsidRDefault="00273796" w:rsidP="00273796">
      <w:pPr>
        <w:pStyle w:val="Heading1"/>
        <w:numPr>
          <w:ilvl w:val="0"/>
          <w:numId w:val="0"/>
        </w:numPr>
        <w:tabs>
          <w:tab w:val="left" w:pos="862"/>
        </w:tabs>
        <w:ind w:left="862" w:hanging="862"/>
      </w:pPr>
      <w:r>
        <w:t>[2]</w:t>
      </w:r>
      <w:r>
        <w:tab/>
      </w:r>
      <w:r w:rsidR="00106491">
        <w:t>The plaintiff does not persist with</w:t>
      </w:r>
      <w:r w:rsidR="00FE4583">
        <w:t xml:space="preserve"> </w:t>
      </w:r>
      <w:r w:rsidR="00B534C0">
        <w:t xml:space="preserve">the relief </w:t>
      </w:r>
      <w:r w:rsidR="00A85CA0">
        <w:t xml:space="preserve">she </w:t>
      </w:r>
      <w:r w:rsidR="00B534C0">
        <w:t xml:space="preserve">seeks in terms of </w:t>
      </w:r>
      <w:r w:rsidR="000625CD">
        <w:t xml:space="preserve">the </w:t>
      </w:r>
      <w:proofErr w:type="spellStart"/>
      <w:r w:rsidR="00FE4583">
        <w:t>Tsoka’s</w:t>
      </w:r>
      <w:proofErr w:type="spellEnd"/>
      <w:r w:rsidR="00106491">
        <w:t xml:space="preserve"> order, </w:t>
      </w:r>
      <w:r w:rsidR="00FE4583">
        <w:t xml:space="preserve">to compel performance in terms thereof, </w:t>
      </w:r>
      <w:r w:rsidR="00106491">
        <w:t>as it appears that a payment was made after the launching of this application.</w:t>
      </w:r>
      <w:r w:rsidR="00106491">
        <w:rPr>
          <w:rStyle w:val="FootnoteReference"/>
        </w:rPr>
        <w:footnoteReference w:id="3"/>
      </w:r>
      <w:r w:rsidR="00106491">
        <w:t xml:space="preserve">  However, no payment was made in respect of the </w:t>
      </w:r>
      <w:proofErr w:type="spellStart"/>
      <w:r w:rsidR="00FE4583">
        <w:t>Thupaatlase’s</w:t>
      </w:r>
      <w:proofErr w:type="spellEnd"/>
      <w:r w:rsidR="00FE4583">
        <w:t xml:space="preserve"> order. </w:t>
      </w:r>
      <w:r w:rsidR="00106491">
        <w:t xml:space="preserve">In the </w:t>
      </w:r>
      <w:proofErr w:type="spellStart"/>
      <w:r w:rsidR="00FE4583">
        <w:t>Thupaatlase’s</w:t>
      </w:r>
      <w:proofErr w:type="spellEnd"/>
      <w:r w:rsidR="00FE4583">
        <w:t xml:space="preserve"> order</w:t>
      </w:r>
      <w:r w:rsidR="00106491">
        <w:t xml:space="preserve">, the following order was made:  </w:t>
      </w:r>
    </w:p>
    <w:p w14:paraId="50B4A564" w14:textId="13B5CF38" w:rsidR="00106491" w:rsidRDefault="00273796" w:rsidP="00273796">
      <w:pPr>
        <w:pStyle w:val="Heading2"/>
        <w:numPr>
          <w:ilvl w:val="0"/>
          <w:numId w:val="0"/>
        </w:numPr>
        <w:tabs>
          <w:tab w:val="left" w:pos="1871"/>
        </w:tabs>
        <w:ind w:left="1871" w:hanging="1009"/>
      </w:pPr>
      <w:r>
        <w:t>[2.1]</w:t>
      </w:r>
      <w:r>
        <w:tab/>
      </w:r>
      <w:r w:rsidR="00106491">
        <w:t>The defendant is directed to forthwith pay R711 337,</w:t>
      </w:r>
      <w:r w:rsidR="00CC2CA4">
        <w:t>63</w:t>
      </w:r>
      <w:r w:rsidR="00106491">
        <w:t xml:space="preserve"> towards the costs of the pending divorce trial action instituted under case number 2014/</w:t>
      </w:r>
      <w:r w:rsidR="00455EBD">
        <w:t>2</w:t>
      </w:r>
      <w:r w:rsidR="00106491">
        <w:t>941;</w:t>
      </w:r>
    </w:p>
    <w:p w14:paraId="428582B6" w14:textId="6D453958" w:rsidR="00106491" w:rsidRDefault="00273796" w:rsidP="00273796">
      <w:pPr>
        <w:pStyle w:val="Heading2"/>
        <w:numPr>
          <w:ilvl w:val="0"/>
          <w:numId w:val="0"/>
        </w:numPr>
        <w:tabs>
          <w:tab w:val="left" w:pos="1871"/>
        </w:tabs>
        <w:ind w:left="1871" w:hanging="1009"/>
      </w:pPr>
      <w:r>
        <w:t>[2.2]</w:t>
      </w:r>
      <w:r>
        <w:tab/>
      </w:r>
      <w:r w:rsidR="00455EBD">
        <w:t>Prayer 2 is hereby dismissed.</w:t>
      </w:r>
    </w:p>
    <w:p w14:paraId="135F739C" w14:textId="2B8375A6" w:rsidR="00455EBD" w:rsidRDefault="00273796" w:rsidP="00273796">
      <w:pPr>
        <w:pStyle w:val="Heading2"/>
        <w:numPr>
          <w:ilvl w:val="0"/>
          <w:numId w:val="0"/>
        </w:numPr>
        <w:tabs>
          <w:tab w:val="left" w:pos="1871"/>
        </w:tabs>
        <w:ind w:left="1871" w:hanging="1009"/>
      </w:pPr>
      <w:r>
        <w:t>[2.3]</w:t>
      </w:r>
      <w:r>
        <w:tab/>
      </w:r>
      <w:r w:rsidR="00455EBD">
        <w:t>The defendant’s counterclaim is dismissed.</w:t>
      </w:r>
    </w:p>
    <w:p w14:paraId="75352B83" w14:textId="60E0CF74" w:rsidR="00455EBD" w:rsidRDefault="00273796" w:rsidP="00273796">
      <w:pPr>
        <w:pStyle w:val="Heading2"/>
        <w:numPr>
          <w:ilvl w:val="0"/>
          <w:numId w:val="0"/>
        </w:numPr>
        <w:tabs>
          <w:tab w:val="left" w:pos="1871"/>
        </w:tabs>
        <w:ind w:left="1871" w:hanging="1009"/>
      </w:pPr>
      <w:r>
        <w:t>[2.4]</w:t>
      </w:r>
      <w:r>
        <w:tab/>
      </w:r>
      <w:r w:rsidR="00455EBD">
        <w:t xml:space="preserve">The defendant to pay the costs of the application on an attorney </w:t>
      </w:r>
      <w:r w:rsidR="00455EBD">
        <w:lastRenderedPageBreak/>
        <w:t>and client scale.</w:t>
      </w:r>
    </w:p>
    <w:p w14:paraId="1601D66F" w14:textId="474FF117" w:rsidR="00455EBD" w:rsidRDefault="00273796" w:rsidP="00273796">
      <w:pPr>
        <w:pStyle w:val="Heading1"/>
        <w:numPr>
          <w:ilvl w:val="0"/>
          <w:numId w:val="0"/>
        </w:numPr>
        <w:tabs>
          <w:tab w:val="left" w:pos="862"/>
        </w:tabs>
        <w:ind w:left="862" w:hanging="862"/>
      </w:pPr>
      <w:r>
        <w:t>[3]</w:t>
      </w:r>
      <w:r>
        <w:tab/>
      </w:r>
      <w:r w:rsidR="00455EBD">
        <w:t>Notwithstanding that order, the defendant did not pay R711 337,</w:t>
      </w:r>
      <w:r w:rsidR="00CC2CA4">
        <w:t>63</w:t>
      </w:r>
      <w:r w:rsidR="00455EBD">
        <w:t xml:space="preserve">, as </w:t>
      </w:r>
      <w:proofErr w:type="spellStart"/>
      <w:r w:rsidR="00455EBD">
        <w:t>aforestated</w:t>
      </w:r>
      <w:proofErr w:type="spellEnd"/>
      <w:r w:rsidR="00455EBD">
        <w:t>.</w:t>
      </w:r>
    </w:p>
    <w:p w14:paraId="02944FD1" w14:textId="1416BCA6" w:rsidR="00455EBD" w:rsidRPr="003C145E" w:rsidRDefault="00273796" w:rsidP="00273796">
      <w:pPr>
        <w:pStyle w:val="Heading1"/>
        <w:numPr>
          <w:ilvl w:val="0"/>
          <w:numId w:val="0"/>
        </w:numPr>
        <w:tabs>
          <w:tab w:val="left" w:pos="862"/>
        </w:tabs>
        <w:ind w:left="862" w:hanging="862"/>
      </w:pPr>
      <w:r w:rsidRPr="003C145E">
        <w:t>[4]</w:t>
      </w:r>
      <w:r w:rsidRPr="003C145E">
        <w:tab/>
      </w:r>
      <w:r w:rsidR="00455EBD" w:rsidRPr="003C145E">
        <w:t>Consequently, the plaintiff now seeks an order from this Court</w:t>
      </w:r>
      <w:r w:rsidR="003C145E">
        <w:t xml:space="preserve"> in the following terms</w:t>
      </w:r>
      <w:r w:rsidR="00455EBD" w:rsidRPr="003C145E">
        <w:t>:</w:t>
      </w:r>
    </w:p>
    <w:p w14:paraId="37EBF4F1" w14:textId="4848BF98" w:rsidR="003C145E" w:rsidRPr="003C145E" w:rsidRDefault="003C145E" w:rsidP="003C145E">
      <w:pPr>
        <w:tabs>
          <w:tab w:val="clear" w:pos="-142"/>
          <w:tab w:val="clear" w:pos="1871"/>
          <w:tab w:val="left" w:pos="-720"/>
        </w:tabs>
        <w:suppressAutoHyphens/>
        <w:spacing w:line="480" w:lineRule="auto"/>
        <w:ind w:left="1843" w:hanging="1843"/>
        <w:rPr>
          <w:rFonts w:cs="Arial"/>
          <w:i/>
          <w:iCs/>
          <w:spacing w:val="-3"/>
          <w:szCs w:val="24"/>
          <w:lang w:val="en-GB"/>
        </w:rPr>
      </w:pPr>
      <w:r>
        <w:rPr>
          <w:i/>
          <w:iCs/>
        </w:rPr>
        <w:t xml:space="preserve">                [1]    </w:t>
      </w:r>
      <w:r w:rsidRPr="003C145E">
        <w:rPr>
          <w:rFonts w:cs="Arial"/>
          <w:i/>
          <w:iCs/>
          <w:spacing w:val="-3"/>
          <w:szCs w:val="24"/>
          <w:lang w:val="en-GB"/>
        </w:rPr>
        <w:t xml:space="preserve">Condoning the </w:t>
      </w:r>
      <w:r>
        <w:rPr>
          <w:rFonts w:cs="Arial"/>
          <w:i/>
          <w:iCs/>
          <w:spacing w:val="-3"/>
          <w:szCs w:val="24"/>
          <w:lang w:val="en-GB"/>
        </w:rPr>
        <w:t>p</w:t>
      </w:r>
      <w:r w:rsidRPr="003C145E">
        <w:rPr>
          <w:rFonts w:cs="Arial"/>
          <w:i/>
          <w:iCs/>
          <w:spacing w:val="-3"/>
          <w:szCs w:val="24"/>
          <w:lang w:val="en-GB"/>
        </w:rPr>
        <w:t>laintiff’s non-compliance with the Rules of this Honourable Court insofar as same may be necessary and directing that this Application be heard as one of urgency.</w:t>
      </w:r>
      <w:r w:rsidRPr="003C145E">
        <w:rPr>
          <w:i/>
          <w:iCs/>
        </w:rPr>
        <w:t xml:space="preserve"> </w:t>
      </w:r>
    </w:p>
    <w:p w14:paraId="65EE8C43" w14:textId="5F207C33" w:rsidR="00F1673D" w:rsidRDefault="00F1673D" w:rsidP="00F1673D">
      <w:pPr>
        <w:ind w:left="1871" w:hanging="1871"/>
        <w:rPr>
          <w:i/>
          <w:iCs/>
        </w:rPr>
      </w:pPr>
      <w:r>
        <w:rPr>
          <w:i/>
          <w:iCs/>
        </w:rPr>
        <w:tab/>
      </w:r>
      <w:r w:rsidR="00455EBD" w:rsidRPr="00455EBD">
        <w:rPr>
          <w:i/>
          <w:iCs/>
        </w:rPr>
        <w:t>[2]</w:t>
      </w:r>
      <w:r w:rsidR="00455EBD" w:rsidRPr="00455EBD">
        <w:rPr>
          <w:i/>
          <w:iCs/>
        </w:rPr>
        <w:tab/>
        <w:t xml:space="preserve">The defendant is in contempt of the Court order handed down in this Honourable Court by the Honourable Acting Judge </w:t>
      </w:r>
      <w:proofErr w:type="spellStart"/>
      <w:r w:rsidR="00455EBD" w:rsidRPr="00455EBD">
        <w:rPr>
          <w:i/>
          <w:iCs/>
        </w:rPr>
        <w:t>Thupaatlase</w:t>
      </w:r>
      <w:proofErr w:type="spellEnd"/>
      <w:r w:rsidR="00455EBD" w:rsidRPr="00455EBD">
        <w:rPr>
          <w:i/>
          <w:iCs/>
        </w:rPr>
        <w:t xml:space="preserve"> on 9 November 2023</w:t>
      </w:r>
      <w:r>
        <w:rPr>
          <w:i/>
          <w:iCs/>
        </w:rPr>
        <w:t>.</w:t>
      </w:r>
    </w:p>
    <w:p w14:paraId="57A56BA3" w14:textId="77777777" w:rsidR="00F1673D" w:rsidRDefault="00F1673D" w:rsidP="00F1673D">
      <w:pPr>
        <w:ind w:left="1871" w:hanging="1871"/>
        <w:rPr>
          <w:i/>
          <w:iCs/>
        </w:rPr>
      </w:pPr>
      <w:r>
        <w:rPr>
          <w:i/>
          <w:iCs/>
        </w:rPr>
        <w:tab/>
        <w:t>[4]</w:t>
      </w:r>
      <w:r>
        <w:rPr>
          <w:i/>
          <w:iCs/>
        </w:rPr>
        <w:tab/>
        <w:t>Directing that the defendant be found guilty of contempt of Court and sentenced according to the discretion of this Honourable Court and that the defendant be imprisoned for a period of 60 calendar days;</w:t>
      </w:r>
    </w:p>
    <w:p w14:paraId="3EC80F52" w14:textId="77777777" w:rsidR="00F1673D" w:rsidRDefault="00F1673D" w:rsidP="00F1673D">
      <w:pPr>
        <w:ind w:left="1871" w:hanging="1871"/>
        <w:rPr>
          <w:i/>
          <w:iCs/>
        </w:rPr>
      </w:pPr>
      <w:r>
        <w:rPr>
          <w:i/>
          <w:iCs/>
        </w:rPr>
        <w:tab/>
        <w:t>[5]</w:t>
      </w:r>
      <w:r>
        <w:rPr>
          <w:i/>
          <w:iCs/>
        </w:rPr>
        <w:tab/>
        <w:t>Directing that the period of imprisonment be suspended for such period as this Honourable Court may deem meet, subject to compliance by the defendant with the orders of 9 November 2023, within 3 days of granting of this order.</w:t>
      </w:r>
    </w:p>
    <w:p w14:paraId="480BDECB" w14:textId="77777777" w:rsidR="00F1673D" w:rsidRDefault="00F1673D" w:rsidP="00F1673D">
      <w:pPr>
        <w:ind w:left="1871" w:hanging="1871"/>
        <w:rPr>
          <w:i/>
          <w:iCs/>
        </w:rPr>
      </w:pPr>
      <w:r>
        <w:rPr>
          <w:i/>
          <w:iCs/>
        </w:rPr>
        <w:tab/>
        <w:t>[6]</w:t>
      </w:r>
      <w:r>
        <w:rPr>
          <w:i/>
          <w:iCs/>
        </w:rPr>
        <w:tab/>
        <w:t xml:space="preserve">Postponing the trial action </w:t>
      </w:r>
      <w:r w:rsidRPr="00F1673D">
        <w:rPr>
          <w:i/>
          <w:iCs/>
        </w:rPr>
        <w:t>sine die</w:t>
      </w:r>
      <w:r>
        <w:rPr>
          <w:i/>
          <w:iCs/>
        </w:rPr>
        <w:t>.</w:t>
      </w:r>
    </w:p>
    <w:p w14:paraId="34DD8038" w14:textId="77777777" w:rsidR="00F1673D" w:rsidRDefault="00F1673D" w:rsidP="00F1673D">
      <w:pPr>
        <w:ind w:left="1871" w:hanging="1871"/>
        <w:rPr>
          <w:i/>
          <w:iCs/>
        </w:rPr>
      </w:pPr>
      <w:r>
        <w:rPr>
          <w:i/>
          <w:iCs/>
        </w:rPr>
        <w:tab/>
        <w:t>[7]</w:t>
      </w:r>
      <w:r>
        <w:rPr>
          <w:i/>
          <w:iCs/>
        </w:rPr>
        <w:tab/>
        <w:t xml:space="preserve">Granting the plaintiff leave to appeal for the striking out of the defendant’s plea and counterclaim, on the papers duly supplemented, in the event of the defendant failing to comply </w:t>
      </w:r>
      <w:r>
        <w:rPr>
          <w:i/>
          <w:iCs/>
        </w:rPr>
        <w:lastRenderedPageBreak/>
        <w:t>with the orders referred to in paragraph 2 and 5 above.</w:t>
      </w:r>
    </w:p>
    <w:p w14:paraId="665B6B8A" w14:textId="77777777" w:rsidR="00F1673D" w:rsidRDefault="00F1673D" w:rsidP="00F1673D">
      <w:pPr>
        <w:ind w:left="1871" w:hanging="1871"/>
        <w:rPr>
          <w:i/>
          <w:iCs/>
        </w:rPr>
      </w:pPr>
      <w:r>
        <w:rPr>
          <w:i/>
          <w:iCs/>
        </w:rPr>
        <w:tab/>
        <w:t>[8]</w:t>
      </w:r>
      <w:r>
        <w:rPr>
          <w:i/>
          <w:iCs/>
        </w:rPr>
        <w:tab/>
        <w:t>Granting the parties leave to approach the Deputy Judge President for a preferential date, upon the defendant purging his contempt.</w:t>
      </w:r>
    </w:p>
    <w:p w14:paraId="51239999" w14:textId="77777777" w:rsidR="00F1673D" w:rsidRDefault="00F1673D" w:rsidP="00F1673D">
      <w:pPr>
        <w:ind w:left="1871" w:hanging="1871"/>
        <w:rPr>
          <w:i/>
          <w:iCs/>
        </w:rPr>
      </w:pPr>
      <w:r>
        <w:rPr>
          <w:i/>
          <w:iCs/>
        </w:rPr>
        <w:tab/>
        <w:t>[9]</w:t>
      </w:r>
      <w:r>
        <w:rPr>
          <w:i/>
          <w:iCs/>
        </w:rPr>
        <w:tab/>
        <w:t xml:space="preserve">Directing that the costs of this application and wasted costs occasioned by the postponement, be paid by the defendant on the scale as between attorney and client, and </w:t>
      </w:r>
    </w:p>
    <w:p w14:paraId="65C15F53" w14:textId="77777777" w:rsidR="00F1673D" w:rsidRDefault="00F1673D" w:rsidP="00F1673D">
      <w:pPr>
        <w:ind w:left="1871" w:hanging="1871"/>
        <w:rPr>
          <w:i/>
          <w:iCs/>
        </w:rPr>
      </w:pPr>
      <w:r>
        <w:rPr>
          <w:i/>
          <w:iCs/>
        </w:rPr>
        <w:tab/>
        <w:t>[10]</w:t>
      </w:r>
      <w:r>
        <w:rPr>
          <w:i/>
          <w:iCs/>
        </w:rPr>
        <w:tab/>
        <w:t>Further and alternative relief.”</w:t>
      </w:r>
      <w:r w:rsidRPr="00CC2CA4">
        <w:rPr>
          <w:rStyle w:val="FootnoteReference"/>
        </w:rPr>
        <w:footnoteReference w:id="4"/>
      </w:r>
    </w:p>
    <w:p w14:paraId="453C5A09" w14:textId="61339CE4" w:rsidR="00CC2CA4" w:rsidRDefault="00273796" w:rsidP="00273796">
      <w:pPr>
        <w:pStyle w:val="Heading1"/>
        <w:numPr>
          <w:ilvl w:val="0"/>
          <w:numId w:val="0"/>
        </w:numPr>
        <w:tabs>
          <w:tab w:val="left" w:pos="862"/>
        </w:tabs>
        <w:ind w:left="862" w:hanging="862"/>
      </w:pPr>
      <w:r>
        <w:t>[5]</w:t>
      </w:r>
      <w:r>
        <w:tab/>
      </w:r>
      <w:r w:rsidR="00F1673D">
        <w:t xml:space="preserve">I have intentionally not made any mention of the </w:t>
      </w:r>
      <w:proofErr w:type="spellStart"/>
      <w:r w:rsidR="003C145E">
        <w:t>Tsoka’s</w:t>
      </w:r>
      <w:proofErr w:type="spellEnd"/>
      <w:r w:rsidR="003C145E">
        <w:t xml:space="preserve"> </w:t>
      </w:r>
      <w:r w:rsidR="00F1673D">
        <w:t>order</w:t>
      </w:r>
      <w:r w:rsidR="00CC2CA4">
        <w:t xml:space="preserve"> (28 July 2014) as the plaintiff has indicated to me that he is not persisting with the relief consequent upon </w:t>
      </w:r>
      <w:r w:rsidR="003C145E">
        <w:t>it.</w:t>
      </w:r>
    </w:p>
    <w:p w14:paraId="5D19A3EA" w14:textId="77777777" w:rsidR="00CC2CA4" w:rsidRDefault="00CC2CA4" w:rsidP="00CC2CA4">
      <w:pPr>
        <w:keepNext/>
        <w:rPr>
          <w:b/>
          <w:bCs/>
          <w:u w:val="single"/>
        </w:rPr>
      </w:pPr>
      <w:r>
        <w:rPr>
          <w:b/>
          <w:bCs/>
          <w:u w:val="single"/>
        </w:rPr>
        <w:t>BACKGROUND FACTS</w:t>
      </w:r>
    </w:p>
    <w:p w14:paraId="5D8B8302" w14:textId="06AE20F9" w:rsidR="00CC2CA4" w:rsidRDefault="00273796" w:rsidP="00273796">
      <w:pPr>
        <w:pStyle w:val="Heading1"/>
        <w:numPr>
          <w:ilvl w:val="0"/>
          <w:numId w:val="0"/>
        </w:numPr>
        <w:tabs>
          <w:tab w:val="left" w:pos="862"/>
        </w:tabs>
        <w:ind w:left="862" w:hanging="862"/>
      </w:pPr>
      <w:r>
        <w:t>[6]</w:t>
      </w:r>
      <w:r>
        <w:tab/>
      </w:r>
      <w:r w:rsidR="00CC2CA4">
        <w:t xml:space="preserve">On 31 October 2023, the plaintiff approached this Court on an urgent basis for an order, directing the defendant to forthwith </w:t>
      </w:r>
      <w:r w:rsidR="00A024D7">
        <w:t>contribute</w:t>
      </w:r>
      <w:r w:rsidR="00CC2CA4">
        <w:t xml:space="preserve"> towards her legal costs in respect of the trial action instituted under case number 2014/2941, in an amount of R711 337,63, or in such other amount as this Honourable Court may deem meet.</w:t>
      </w:r>
      <w:r w:rsidR="00CC2CA4">
        <w:rPr>
          <w:rStyle w:val="FootnoteReference"/>
        </w:rPr>
        <w:footnoteReference w:id="5"/>
      </w:r>
      <w:r w:rsidR="00CC2CA4">
        <w:t xml:space="preserve">  According to the plaintiff, that application was predicated</w:t>
      </w:r>
      <w:r w:rsidR="00270413">
        <w:t xml:space="preserve"> upon</w:t>
      </w:r>
      <w:r w:rsidR="00CC2CA4">
        <w:t xml:space="preserve"> the refusal </w:t>
      </w:r>
      <w:r w:rsidR="00270413">
        <w:t>by the</w:t>
      </w:r>
      <w:r w:rsidR="00CC2CA4">
        <w:t xml:space="preserve"> defendant to provide her with a contribution towards her legal costs in respect of the divorce action</w:t>
      </w:r>
      <w:r w:rsidR="00270413">
        <w:t>,</w:t>
      </w:r>
      <w:r w:rsidR="00CC2CA4">
        <w:t xml:space="preserve"> which was set down for trial on 20 November 2023.  The plaintiff contends further that, she is entitled to be placed on an equal footing with the defendant</w:t>
      </w:r>
      <w:r w:rsidR="00270413">
        <w:t xml:space="preserve"> by a way of </w:t>
      </w:r>
      <w:r w:rsidR="00CC2CA4">
        <w:t xml:space="preserve">funding, in pursuing and finalising the divorce </w:t>
      </w:r>
      <w:r w:rsidR="00CC2CA4">
        <w:lastRenderedPageBreak/>
        <w:t>action.</w:t>
      </w:r>
    </w:p>
    <w:p w14:paraId="11DF04D8" w14:textId="77777777" w:rsidR="00CC2CA4" w:rsidRDefault="00CC2CA4" w:rsidP="00CC2CA4">
      <w:pPr>
        <w:keepNext/>
        <w:rPr>
          <w:b/>
          <w:bCs/>
          <w:u w:val="single"/>
        </w:rPr>
      </w:pPr>
      <w:r>
        <w:rPr>
          <w:b/>
          <w:bCs/>
          <w:u w:val="single"/>
        </w:rPr>
        <w:t>SUBMISSIONS BEFORE THIS COURT</w:t>
      </w:r>
    </w:p>
    <w:p w14:paraId="1D78E67A" w14:textId="77777777" w:rsidR="00CC2CA4" w:rsidRDefault="00CC2CA4" w:rsidP="00CC2CA4">
      <w:pPr>
        <w:keepNext/>
        <w:rPr>
          <w:b/>
          <w:bCs/>
          <w:u w:val="single"/>
        </w:rPr>
      </w:pPr>
      <w:r>
        <w:rPr>
          <w:b/>
          <w:bCs/>
          <w:u w:val="single"/>
        </w:rPr>
        <w:t xml:space="preserve">Plaintiff </w:t>
      </w:r>
    </w:p>
    <w:p w14:paraId="0EB6CE56" w14:textId="0236AD97" w:rsidR="00455EBD" w:rsidRDefault="00273796" w:rsidP="00273796">
      <w:pPr>
        <w:pStyle w:val="Heading1"/>
        <w:numPr>
          <w:ilvl w:val="0"/>
          <w:numId w:val="0"/>
        </w:numPr>
        <w:tabs>
          <w:tab w:val="left" w:pos="862"/>
        </w:tabs>
        <w:ind w:left="862" w:hanging="862"/>
      </w:pPr>
      <w:r>
        <w:t>[7]</w:t>
      </w:r>
      <w:r>
        <w:tab/>
      </w:r>
      <w:r w:rsidR="00CC2CA4">
        <w:t xml:space="preserve">The plaintiff submits that she is entitled to the relief, as </w:t>
      </w:r>
      <w:proofErr w:type="spellStart"/>
      <w:r w:rsidR="00CC2CA4">
        <w:t>aforestated</w:t>
      </w:r>
      <w:proofErr w:type="spellEnd"/>
      <w:r w:rsidR="00CC2CA4">
        <w:t xml:space="preserve">, </w:t>
      </w:r>
      <w:r w:rsidR="0003777C">
        <w:t xml:space="preserve">because </w:t>
      </w:r>
      <w:r w:rsidR="00CC2CA4">
        <w:t xml:space="preserve">of the defendant’s wanton disregard of the law by failing to purge </w:t>
      </w:r>
      <w:r w:rsidR="0003777C">
        <w:t xml:space="preserve">his </w:t>
      </w:r>
      <w:r w:rsidR="00CC2CA4">
        <w:t xml:space="preserve">contempt and referred </w:t>
      </w:r>
      <w:r w:rsidR="0003777C">
        <w:t xml:space="preserve">me </w:t>
      </w:r>
      <w:r w:rsidR="00082815">
        <w:t>to a</w:t>
      </w:r>
      <w:r w:rsidR="0003777C">
        <w:t xml:space="preserve"> </w:t>
      </w:r>
      <w:r w:rsidR="00CC2CA4">
        <w:t xml:space="preserve">compendium of cases in support of her submissions. Counsel for the plaintiff, Mr </w:t>
      </w:r>
      <w:proofErr w:type="spellStart"/>
      <w:r w:rsidR="00CC2CA4">
        <w:t>Nowitz</w:t>
      </w:r>
      <w:proofErr w:type="spellEnd"/>
      <w:r w:rsidR="00DE0CAE">
        <w:t>, referred me to the judgments</w:t>
      </w:r>
      <w:r w:rsidR="0003777C">
        <w:t xml:space="preserve"> of </w:t>
      </w:r>
      <w:proofErr w:type="spellStart"/>
      <w:r w:rsidR="00DE0CAE">
        <w:rPr>
          <w:b/>
          <w:bCs/>
          <w:i/>
          <w:iCs/>
        </w:rPr>
        <w:t>Fakie</w:t>
      </w:r>
      <w:proofErr w:type="spellEnd"/>
      <w:r w:rsidR="00DE0CAE">
        <w:rPr>
          <w:b/>
          <w:bCs/>
          <w:i/>
          <w:iCs/>
        </w:rPr>
        <w:t xml:space="preserve"> NO</w:t>
      </w:r>
      <w:r w:rsidR="00DE0CAE" w:rsidRPr="00DE0CAE">
        <w:rPr>
          <w:rStyle w:val="FootnoteReference"/>
        </w:rPr>
        <w:footnoteReference w:id="6"/>
      </w:r>
      <w:r w:rsidR="00DE0CAE" w:rsidRPr="00DE0CAE">
        <w:t xml:space="preserve"> and</w:t>
      </w:r>
      <w:r w:rsidR="00DE0CAE">
        <w:t xml:space="preserve"> </w:t>
      </w:r>
      <w:proofErr w:type="spellStart"/>
      <w:r w:rsidR="00DE0CAE">
        <w:rPr>
          <w:b/>
          <w:bCs/>
          <w:i/>
          <w:iCs/>
        </w:rPr>
        <w:t>Bannatyne</w:t>
      </w:r>
      <w:proofErr w:type="spellEnd"/>
      <w:r w:rsidR="00DE0CAE" w:rsidRPr="00DE0CAE">
        <w:rPr>
          <w:rStyle w:val="FootnoteReference"/>
        </w:rPr>
        <w:footnoteReference w:id="7"/>
      </w:r>
      <w:r w:rsidR="00DE0CAE" w:rsidRPr="00DE0CAE">
        <w:t xml:space="preserve">  In</w:t>
      </w:r>
      <w:r w:rsidR="00DE0CAE">
        <w:t xml:space="preserve"> </w:t>
      </w:r>
      <w:proofErr w:type="spellStart"/>
      <w:r w:rsidR="00DE0CAE">
        <w:rPr>
          <w:b/>
          <w:bCs/>
          <w:i/>
          <w:iCs/>
        </w:rPr>
        <w:t>Fakie</w:t>
      </w:r>
      <w:proofErr w:type="spellEnd"/>
      <w:r w:rsidR="00DE0CAE">
        <w:t>, the Court made it clear that it is a crime to unlawfully and intentionally disobey a Court order.</w:t>
      </w:r>
      <w:r w:rsidR="0049011D">
        <w:rPr>
          <w:rStyle w:val="FootnoteReference"/>
        </w:rPr>
        <w:footnoteReference w:id="8"/>
      </w:r>
      <w:r w:rsidR="00DE0CAE">
        <w:t xml:space="preserve">  This type of contempt of Court is part of the broader offence, which can take many forms, but the essence of which lies in violating the dignity, repute and authority of the Court.</w:t>
      </w:r>
      <w:r w:rsidR="0049011D">
        <w:rPr>
          <w:rStyle w:val="FootnoteReference"/>
        </w:rPr>
        <w:footnoteReference w:id="9"/>
      </w:r>
      <w:r w:rsidR="00DE0CAE">
        <w:t xml:space="preserve">  The offence has, in general terms, received a </w:t>
      </w:r>
      <w:r w:rsidR="0049011D">
        <w:t xml:space="preserve">constitutional </w:t>
      </w:r>
      <w:r w:rsidR="00DE0CAE">
        <w:t>stamp of approval,</w:t>
      </w:r>
      <w:r w:rsidR="00BB7B57">
        <w:rPr>
          <w:rStyle w:val="FootnoteReference"/>
        </w:rPr>
        <w:footnoteReference w:id="10"/>
      </w:r>
      <w:r w:rsidR="00DE0CAE">
        <w:t xml:space="preserve"> since the rule of law – a founding value of the Constitution which requires that the dignity and the authority of the Courts, as well as their capacity to carry out their functions, </w:t>
      </w:r>
      <w:r w:rsidR="00DE0CAE">
        <w:lastRenderedPageBreak/>
        <w:t>should always be maintained.</w:t>
      </w:r>
      <w:r w:rsidR="00BB7B57">
        <w:rPr>
          <w:rStyle w:val="FootnoteReference"/>
        </w:rPr>
        <w:footnoteReference w:id="11"/>
      </w:r>
      <w:r w:rsidR="009F3CC4">
        <w:t xml:space="preserve">  I was also referred to </w:t>
      </w:r>
      <w:proofErr w:type="spellStart"/>
      <w:r w:rsidR="009F3CC4">
        <w:rPr>
          <w:b/>
          <w:bCs/>
          <w:i/>
          <w:iCs/>
        </w:rPr>
        <w:t>Bannatyne</w:t>
      </w:r>
      <w:proofErr w:type="spellEnd"/>
      <w:r w:rsidR="009F3CC4">
        <w:rPr>
          <w:i/>
          <w:iCs/>
        </w:rPr>
        <w:t xml:space="preserve">, </w:t>
      </w:r>
      <w:r w:rsidR="009F3CC4">
        <w:t xml:space="preserve">the relevant part which is also found in </w:t>
      </w:r>
      <w:proofErr w:type="spellStart"/>
      <w:r w:rsidR="009F3CC4">
        <w:rPr>
          <w:b/>
          <w:bCs/>
          <w:i/>
          <w:iCs/>
        </w:rPr>
        <w:t>Fakie</w:t>
      </w:r>
      <w:proofErr w:type="spellEnd"/>
      <w:r w:rsidR="009F3CC4">
        <w:t>.</w:t>
      </w:r>
      <w:r w:rsidR="009F3CC4">
        <w:rPr>
          <w:rStyle w:val="FootnoteReference"/>
        </w:rPr>
        <w:footnoteReference w:id="12"/>
      </w:r>
      <w:r w:rsidR="009F3CC4">
        <w:t xml:space="preserve">  Mr </w:t>
      </w:r>
      <w:proofErr w:type="spellStart"/>
      <w:r w:rsidR="009F3CC4">
        <w:t>Nowitz</w:t>
      </w:r>
      <w:proofErr w:type="spellEnd"/>
      <w:r w:rsidR="009F3CC4">
        <w:t xml:space="preserve"> submitted further that a case has been made out in the founding affidavit to demonstrate the alleged offence, committed by the defendant. </w:t>
      </w:r>
    </w:p>
    <w:p w14:paraId="575E65B0" w14:textId="2D85D485" w:rsidR="009F3CC4" w:rsidRPr="00173B6E" w:rsidRDefault="00273796" w:rsidP="00273796">
      <w:pPr>
        <w:pStyle w:val="Heading1"/>
        <w:numPr>
          <w:ilvl w:val="0"/>
          <w:numId w:val="0"/>
        </w:numPr>
        <w:tabs>
          <w:tab w:val="left" w:pos="862"/>
        </w:tabs>
        <w:ind w:left="862" w:hanging="862"/>
        <w:rPr>
          <w:i/>
          <w:iCs/>
          <w:szCs w:val="24"/>
          <w:lang w:val="en-GB"/>
        </w:rPr>
      </w:pPr>
      <w:r w:rsidRPr="00173B6E">
        <w:rPr>
          <w:szCs w:val="24"/>
          <w:lang w:val="en-GB"/>
        </w:rPr>
        <w:t>[8]</w:t>
      </w:r>
      <w:r w:rsidRPr="00173B6E">
        <w:rPr>
          <w:szCs w:val="24"/>
          <w:lang w:val="en-GB"/>
        </w:rPr>
        <w:tab/>
      </w:r>
      <w:r w:rsidR="009F3CC4">
        <w:t>He contrast</w:t>
      </w:r>
      <w:r w:rsidR="0003777C">
        <w:t>ed</w:t>
      </w:r>
      <w:r w:rsidR="009F3CC4">
        <w:t xml:space="preserve"> submissions made by counsel for the defendant, Ms </w:t>
      </w:r>
      <w:proofErr w:type="spellStart"/>
      <w:r w:rsidR="009F3CC4">
        <w:t>Olwagen</w:t>
      </w:r>
      <w:proofErr w:type="spellEnd"/>
      <w:r w:rsidR="009F3CC4">
        <w:t>-Meyer, on her reliance t</w:t>
      </w:r>
      <w:r w:rsidR="00ED5026">
        <w:t xml:space="preserve">o </w:t>
      </w:r>
      <w:r w:rsidR="00ED5026">
        <w:rPr>
          <w:b/>
          <w:bCs/>
          <w:i/>
          <w:iCs/>
        </w:rPr>
        <w:t>Coetzee</w:t>
      </w:r>
      <w:r w:rsidR="00ED5026" w:rsidRPr="00ED5026">
        <w:t>,</w:t>
      </w:r>
      <w:r w:rsidR="00C9349C">
        <w:t xml:space="preserve"> </w:t>
      </w:r>
      <w:r w:rsidR="00A942D2">
        <w:t>“</w:t>
      </w:r>
      <w:r w:rsidR="00C9349C" w:rsidRPr="00A942D2">
        <w:rPr>
          <w:i/>
          <w:iCs/>
        </w:rPr>
        <w:t xml:space="preserve">that </w:t>
      </w:r>
      <w:r w:rsidR="00A942D2" w:rsidRPr="00A942D2">
        <w:rPr>
          <w:i/>
          <w:iCs/>
        </w:rPr>
        <w:t>it is trite in law that seeking  a contempt order and imprisonment is not</w:t>
      </w:r>
      <w:r w:rsidR="00A942D2">
        <w:t xml:space="preserve"> </w:t>
      </w:r>
      <w:r w:rsidR="00A942D2" w:rsidRPr="00F138ED">
        <w:rPr>
          <w:i/>
          <w:iCs/>
        </w:rPr>
        <w:t>competent relief in the event of non-compliance with money judgment</w:t>
      </w:r>
      <w:r w:rsidR="00A942D2">
        <w:t>”</w:t>
      </w:r>
      <w:r w:rsidR="00ED5026" w:rsidRPr="00ED5026">
        <w:rPr>
          <w:rStyle w:val="FootnoteReference"/>
        </w:rPr>
        <w:footnoteReference w:id="13"/>
      </w:r>
      <w:r w:rsidR="00F138ED">
        <w:t xml:space="preserve"> – he submitted </w:t>
      </w:r>
      <w:r w:rsidR="00ED5026" w:rsidRPr="00ED5026">
        <w:t>that</w:t>
      </w:r>
      <w:r w:rsidR="00ED5026">
        <w:t xml:space="preserve"> </w:t>
      </w:r>
      <w:r w:rsidR="00ED5026" w:rsidRPr="00ED5026">
        <w:rPr>
          <w:b/>
          <w:bCs/>
        </w:rPr>
        <w:t>Coetzee</w:t>
      </w:r>
      <w:r w:rsidR="00ED5026">
        <w:t xml:space="preserve"> is distinguishable to th</w:t>
      </w:r>
      <w:r w:rsidR="00F138ED">
        <w:t xml:space="preserve">is application </w:t>
      </w:r>
      <w:r w:rsidR="00512451">
        <w:t xml:space="preserve">for the following reasons: </w:t>
      </w:r>
      <w:r w:rsidR="00173B6E">
        <w:t>“</w:t>
      </w:r>
      <w:r w:rsidR="00512451" w:rsidRPr="00173B6E">
        <w:rPr>
          <w:i/>
          <w:iCs/>
          <w:szCs w:val="24"/>
          <w:lang w:val="en-GB"/>
        </w:rPr>
        <w:t xml:space="preserve">same dealt with the constitutionality of certain subsections of Section 65 of the Magistrates Court Act and as such, is distinguishable; we are concerned here with Contempt for </w:t>
      </w:r>
      <w:r w:rsidR="00BB52BB" w:rsidRPr="00173B6E">
        <w:rPr>
          <w:i/>
          <w:iCs/>
          <w:szCs w:val="24"/>
          <w:lang w:val="en-GB"/>
        </w:rPr>
        <w:t>non-compliance</w:t>
      </w:r>
      <w:r w:rsidR="00512451" w:rsidRPr="00173B6E">
        <w:rPr>
          <w:i/>
          <w:iCs/>
          <w:szCs w:val="24"/>
          <w:lang w:val="en-GB"/>
        </w:rPr>
        <w:t xml:space="preserve"> with a Court Order, as opposed to seeking to enforce a Judgment Debt;  </w:t>
      </w:r>
      <w:r w:rsidR="00512451" w:rsidRPr="00173B6E">
        <w:rPr>
          <w:b/>
          <w:i/>
          <w:iCs/>
          <w:szCs w:val="24"/>
          <w:lang w:val="en-GB"/>
        </w:rPr>
        <w:t>Coetzee</w:t>
      </w:r>
      <w:r w:rsidR="00512451" w:rsidRPr="00173B6E">
        <w:rPr>
          <w:i/>
          <w:iCs/>
          <w:szCs w:val="24"/>
          <w:lang w:val="en-GB"/>
        </w:rPr>
        <w:t xml:space="preserve"> is not a blanket prohibition, as highlighted in </w:t>
      </w:r>
      <w:proofErr w:type="spellStart"/>
      <w:r w:rsidR="00512451" w:rsidRPr="00173B6E">
        <w:rPr>
          <w:b/>
          <w:i/>
          <w:iCs/>
          <w:szCs w:val="24"/>
          <w:lang w:val="en-GB"/>
        </w:rPr>
        <w:t>Fakie</w:t>
      </w:r>
      <w:proofErr w:type="spellEnd"/>
      <w:r w:rsidR="00512451" w:rsidRPr="00173B6E">
        <w:rPr>
          <w:i/>
          <w:iCs/>
          <w:szCs w:val="24"/>
          <w:lang w:val="en-GB"/>
        </w:rPr>
        <w:t xml:space="preserve"> and </w:t>
      </w:r>
      <w:proofErr w:type="spellStart"/>
      <w:r w:rsidR="00512451" w:rsidRPr="00173B6E">
        <w:rPr>
          <w:b/>
          <w:i/>
          <w:iCs/>
          <w:szCs w:val="24"/>
          <w:lang w:val="en-GB"/>
        </w:rPr>
        <w:t>Bannatyne</w:t>
      </w:r>
      <w:proofErr w:type="spellEnd"/>
      <w:r w:rsidR="00512451" w:rsidRPr="00173B6E">
        <w:rPr>
          <w:i/>
          <w:iCs/>
          <w:szCs w:val="24"/>
          <w:lang w:val="en-GB"/>
        </w:rPr>
        <w:t xml:space="preserve"> supra; </w:t>
      </w:r>
      <w:proofErr w:type="spellStart"/>
      <w:r w:rsidR="00512451" w:rsidRPr="00173B6E">
        <w:rPr>
          <w:b/>
          <w:i/>
          <w:iCs/>
          <w:szCs w:val="24"/>
          <w:lang w:val="en-GB"/>
        </w:rPr>
        <w:t>Fakie</w:t>
      </w:r>
      <w:proofErr w:type="spellEnd"/>
      <w:r w:rsidR="00512451" w:rsidRPr="00173B6E">
        <w:rPr>
          <w:i/>
          <w:iCs/>
          <w:szCs w:val="24"/>
          <w:lang w:val="en-GB"/>
        </w:rPr>
        <w:t xml:space="preserve"> made it clear that</w:t>
      </w:r>
      <w:r w:rsidR="00512451" w:rsidRPr="00173B6E">
        <w:rPr>
          <w:b/>
          <w:i/>
          <w:iCs/>
          <w:szCs w:val="24"/>
          <w:lang w:val="en-GB"/>
        </w:rPr>
        <w:t xml:space="preserve"> </w:t>
      </w:r>
      <w:r w:rsidR="00512451" w:rsidRPr="00173B6E">
        <w:rPr>
          <w:i/>
          <w:iCs/>
          <w:szCs w:val="24"/>
          <w:lang w:val="en-GB"/>
        </w:rPr>
        <w:t>Contempt Proceedings constitute the primary and sometimes the only method of enforcement of such Orders (see footnote 64).</w:t>
      </w:r>
      <w:r w:rsidR="00173B6E">
        <w:rPr>
          <w:i/>
          <w:iCs/>
          <w:szCs w:val="24"/>
          <w:lang w:val="en-GB"/>
        </w:rPr>
        <w:t>”</w:t>
      </w:r>
      <w:r w:rsidR="00512451" w:rsidRPr="00173B6E">
        <w:rPr>
          <w:i/>
          <w:iCs/>
          <w:szCs w:val="24"/>
          <w:lang w:val="en-GB"/>
        </w:rPr>
        <w:t xml:space="preserve">  </w:t>
      </w:r>
    </w:p>
    <w:p w14:paraId="6F5A20C8" w14:textId="4921B767" w:rsidR="00BA45A7" w:rsidRDefault="00273796" w:rsidP="00273796">
      <w:pPr>
        <w:pStyle w:val="Heading1"/>
        <w:numPr>
          <w:ilvl w:val="0"/>
          <w:numId w:val="0"/>
        </w:numPr>
        <w:tabs>
          <w:tab w:val="left" w:pos="862"/>
        </w:tabs>
        <w:ind w:left="862" w:hanging="862"/>
      </w:pPr>
      <w:r>
        <w:t>[9]</w:t>
      </w:r>
      <w:r>
        <w:tab/>
      </w:r>
      <w:r w:rsidR="00173B6E">
        <w:t xml:space="preserve">I invited </w:t>
      </w:r>
      <w:r w:rsidR="00404A89">
        <w:t xml:space="preserve">Mr </w:t>
      </w:r>
      <w:proofErr w:type="spellStart"/>
      <w:r w:rsidR="00404A89">
        <w:t>Nowitz</w:t>
      </w:r>
      <w:proofErr w:type="spellEnd"/>
      <w:r w:rsidR="00404A89">
        <w:t xml:space="preserve"> </w:t>
      </w:r>
      <w:r w:rsidR="00173B6E">
        <w:t xml:space="preserve">to </w:t>
      </w:r>
      <w:r w:rsidR="00404A89">
        <w:t>commen</w:t>
      </w:r>
      <w:r w:rsidR="00DB773A">
        <w:t>t</w:t>
      </w:r>
      <w:r w:rsidR="00173B6E">
        <w:t xml:space="preserve"> </w:t>
      </w:r>
      <w:r w:rsidR="00DB773A">
        <w:t xml:space="preserve">on the attempts </w:t>
      </w:r>
      <w:r w:rsidR="00F138ED">
        <w:t xml:space="preserve">being </w:t>
      </w:r>
      <w:r w:rsidR="00DB773A">
        <w:t xml:space="preserve">made by the defendant to purge </w:t>
      </w:r>
      <w:r w:rsidR="00173B6E">
        <w:t xml:space="preserve">his </w:t>
      </w:r>
      <w:r w:rsidR="00DB773A">
        <w:t xml:space="preserve">contempt, in particular </w:t>
      </w:r>
      <w:r w:rsidR="00173B6E">
        <w:t xml:space="preserve">by securing </w:t>
      </w:r>
      <w:r w:rsidR="00DB773A">
        <w:t>loan</w:t>
      </w:r>
      <w:r w:rsidR="00173B6E">
        <w:t>s</w:t>
      </w:r>
      <w:r w:rsidR="00DB773A">
        <w:t xml:space="preserve"> which were purportedly rejected and the fact that there was no evidence demonstrating that the defendant was able to pay </w:t>
      </w:r>
      <w:r w:rsidR="00DB773A" w:rsidRPr="00DB773A">
        <w:rPr>
          <w:u w:val="single"/>
        </w:rPr>
        <w:t>forthwith</w:t>
      </w:r>
      <w:r w:rsidR="00DB773A">
        <w:t xml:space="preserve"> the amount of R711 337,63, as ordered </w:t>
      </w:r>
      <w:r w:rsidR="004C27FC">
        <w:t>in</w:t>
      </w:r>
      <w:r w:rsidR="00DB773A">
        <w:t xml:space="preserve"> </w:t>
      </w:r>
      <w:proofErr w:type="spellStart"/>
      <w:r w:rsidR="00DB773A">
        <w:t>Thupaatlase</w:t>
      </w:r>
      <w:r w:rsidR="004C27FC">
        <w:t>’s</w:t>
      </w:r>
      <w:proofErr w:type="spellEnd"/>
      <w:r w:rsidR="004C27FC">
        <w:t xml:space="preserve"> judgement.</w:t>
      </w:r>
      <w:r w:rsidR="00DB773A">
        <w:t xml:space="preserve">  Mr </w:t>
      </w:r>
      <w:proofErr w:type="spellStart"/>
      <w:r w:rsidR="00DB773A">
        <w:t>Nowitz</w:t>
      </w:r>
      <w:proofErr w:type="spellEnd"/>
      <w:r w:rsidR="00DB773A">
        <w:t xml:space="preserve"> </w:t>
      </w:r>
      <w:r w:rsidR="00DB773A">
        <w:lastRenderedPageBreak/>
        <w:t xml:space="preserve">responded by saying that, had the defendant responded </w:t>
      </w:r>
      <w:proofErr w:type="spellStart"/>
      <w:r w:rsidR="00DB773A">
        <w:t>issuably</w:t>
      </w:r>
      <w:proofErr w:type="spellEnd"/>
      <w:r w:rsidR="00DB773A">
        <w:t xml:space="preserve"> to the concerns raised in their letter</w:t>
      </w:r>
      <w:r w:rsidR="00173B6E">
        <w:t>, “</w:t>
      </w:r>
      <w:r w:rsidR="00173B6E" w:rsidRPr="00173B6E">
        <w:rPr>
          <w:b/>
          <w:bCs/>
          <w:i/>
          <w:iCs/>
        </w:rPr>
        <w:t>FA6</w:t>
      </w:r>
      <w:r w:rsidR="00173B6E">
        <w:t xml:space="preserve">” </w:t>
      </w:r>
      <w:r w:rsidR="00DB773A">
        <w:t xml:space="preserve">viz. </w:t>
      </w:r>
    </w:p>
    <w:p w14:paraId="578DCBF9" w14:textId="1512A222" w:rsidR="00BB0F88" w:rsidRDefault="00BA45A7" w:rsidP="00BA45A7">
      <w:pPr>
        <w:pStyle w:val="Heading1"/>
        <w:numPr>
          <w:ilvl w:val="0"/>
          <w:numId w:val="0"/>
        </w:numPr>
        <w:ind w:left="862"/>
        <w:rPr>
          <w:i/>
          <w:iCs/>
        </w:rPr>
      </w:pPr>
      <w:r>
        <w:rPr>
          <w:i/>
          <w:iCs/>
        </w:rPr>
        <w:t>“</w:t>
      </w:r>
      <w:r w:rsidR="00BB0F88">
        <w:rPr>
          <w:i/>
          <w:iCs/>
        </w:rPr>
        <w:t>1.</w:t>
      </w:r>
      <w:r w:rsidR="00BB0F88">
        <w:rPr>
          <w:i/>
          <w:iCs/>
        </w:rPr>
        <w:tab/>
        <w:t xml:space="preserve">Your letter of </w:t>
      </w:r>
      <w:r w:rsidR="00BB0F88">
        <w:rPr>
          <w:b/>
          <w:bCs/>
          <w:i/>
          <w:iCs/>
        </w:rPr>
        <w:t xml:space="preserve">15 November 2023 </w:t>
      </w:r>
      <w:r w:rsidR="00BB0F88">
        <w:rPr>
          <w:i/>
          <w:iCs/>
        </w:rPr>
        <w:t>refers.</w:t>
      </w:r>
    </w:p>
    <w:p w14:paraId="74ECDB83" w14:textId="77777777" w:rsidR="00BB0F88" w:rsidRDefault="00BB0F88" w:rsidP="00BB0F88">
      <w:pPr>
        <w:pStyle w:val="Heading1"/>
        <w:numPr>
          <w:ilvl w:val="0"/>
          <w:numId w:val="0"/>
        </w:numPr>
        <w:ind w:left="1871" w:hanging="1009"/>
        <w:rPr>
          <w:i/>
          <w:iCs/>
        </w:rPr>
      </w:pPr>
      <w:r>
        <w:rPr>
          <w:i/>
          <w:iCs/>
        </w:rPr>
        <w:t>2.</w:t>
      </w:r>
      <w:r>
        <w:rPr>
          <w:i/>
          <w:iCs/>
        </w:rPr>
        <w:tab/>
        <w:t>It is not our intention to litigate by way of correspondence, suffice to say that:</w:t>
      </w:r>
    </w:p>
    <w:p w14:paraId="3E6F777A" w14:textId="55476015" w:rsidR="00BB0F88" w:rsidRDefault="00BB0F88" w:rsidP="00BB0F88">
      <w:pPr>
        <w:pStyle w:val="Heading1"/>
        <w:numPr>
          <w:ilvl w:val="0"/>
          <w:numId w:val="0"/>
        </w:numPr>
        <w:ind w:left="1871" w:hanging="1009"/>
        <w:rPr>
          <w:i/>
          <w:iCs/>
        </w:rPr>
      </w:pPr>
      <w:r>
        <w:rPr>
          <w:i/>
          <w:iCs/>
        </w:rPr>
        <w:tab/>
        <w:t>2.1.</w:t>
      </w:r>
      <w:r>
        <w:rPr>
          <w:i/>
          <w:iCs/>
        </w:rPr>
        <w:tab/>
        <w:t>your letter raises more questions than it answers;</w:t>
      </w:r>
    </w:p>
    <w:p w14:paraId="15F518CE" w14:textId="6A9B2919" w:rsidR="00BB0F88" w:rsidRDefault="00BB0F88" w:rsidP="00BB0F88">
      <w:pPr>
        <w:pStyle w:val="Heading1"/>
        <w:numPr>
          <w:ilvl w:val="0"/>
          <w:numId w:val="0"/>
        </w:numPr>
        <w:ind w:left="3022" w:hanging="2160"/>
        <w:rPr>
          <w:i/>
          <w:iCs/>
        </w:rPr>
      </w:pPr>
      <w:r>
        <w:rPr>
          <w:i/>
          <w:iCs/>
        </w:rPr>
        <w:tab/>
        <w:t>2.2.</w:t>
      </w:r>
      <w:r>
        <w:rPr>
          <w:i/>
          <w:iCs/>
        </w:rPr>
        <w:tab/>
        <w:t>it is very easy to have Loan Applications rejected, if one does not make a full disclosure.  Whilst you have provided us with the rejections, you have failed to provide us with the Applications motivating the Loans;</w:t>
      </w:r>
    </w:p>
    <w:p w14:paraId="7E7DCF33" w14:textId="44ABD354" w:rsidR="00BB0F88" w:rsidRDefault="00BB0F88" w:rsidP="00BB0F88">
      <w:pPr>
        <w:pStyle w:val="Heading1"/>
        <w:numPr>
          <w:ilvl w:val="0"/>
          <w:numId w:val="0"/>
        </w:numPr>
        <w:ind w:left="3022" w:hanging="2160"/>
        <w:rPr>
          <w:i/>
          <w:iCs/>
        </w:rPr>
      </w:pPr>
      <w:r>
        <w:rPr>
          <w:i/>
          <w:iCs/>
        </w:rPr>
        <w:tab/>
        <w:t>2.3</w:t>
      </w:r>
      <w:r>
        <w:rPr>
          <w:i/>
          <w:iCs/>
        </w:rPr>
        <w:tab/>
        <w:t xml:space="preserve">your letter fails to disclose that your client received </w:t>
      </w:r>
      <w:r>
        <w:rPr>
          <w:b/>
          <w:bCs/>
          <w:i/>
          <w:iCs/>
        </w:rPr>
        <w:t xml:space="preserve">R1,4 million </w:t>
      </w:r>
      <w:r>
        <w:rPr>
          <w:i/>
          <w:iCs/>
        </w:rPr>
        <w:t xml:space="preserve">from his late mother’s estate </w:t>
      </w:r>
      <w:r>
        <w:rPr>
          <w:b/>
          <w:bCs/>
          <w:i/>
          <w:iCs/>
        </w:rPr>
        <w:t xml:space="preserve">2021 </w:t>
      </w:r>
      <w:r>
        <w:rPr>
          <w:i/>
          <w:iCs/>
        </w:rPr>
        <w:t xml:space="preserve">and a further </w:t>
      </w:r>
      <w:r>
        <w:rPr>
          <w:b/>
          <w:bCs/>
          <w:i/>
          <w:iCs/>
        </w:rPr>
        <w:t xml:space="preserve">R1.1 million </w:t>
      </w:r>
      <w:r>
        <w:rPr>
          <w:i/>
          <w:iCs/>
        </w:rPr>
        <w:t xml:space="preserve">therefrom in </w:t>
      </w:r>
      <w:r>
        <w:rPr>
          <w:b/>
          <w:bCs/>
          <w:i/>
          <w:iCs/>
        </w:rPr>
        <w:t>2022</w:t>
      </w:r>
      <w:r>
        <w:rPr>
          <w:i/>
          <w:iCs/>
        </w:rPr>
        <w:t>, nor does it disclose what he did with the funds so received;</w:t>
      </w:r>
    </w:p>
    <w:p w14:paraId="6E00C035" w14:textId="1E9C687F" w:rsidR="00BB0F88" w:rsidRDefault="00BB0F88" w:rsidP="00BB0F88">
      <w:pPr>
        <w:pStyle w:val="Heading1"/>
        <w:numPr>
          <w:ilvl w:val="0"/>
          <w:numId w:val="0"/>
        </w:numPr>
        <w:ind w:left="3022" w:hanging="2160"/>
        <w:rPr>
          <w:i/>
          <w:iCs/>
        </w:rPr>
      </w:pPr>
      <w:r>
        <w:rPr>
          <w:i/>
          <w:iCs/>
        </w:rPr>
        <w:tab/>
        <w:t>2.4.</w:t>
      </w:r>
      <w:r>
        <w:rPr>
          <w:i/>
          <w:iCs/>
        </w:rPr>
        <w:tab/>
      </w:r>
      <w:r w:rsidR="000A6197">
        <w:rPr>
          <w:i/>
          <w:iCs/>
        </w:rPr>
        <w:t xml:space="preserve">your letter fails to take cognizance of the fact that the First L&amp;D Account dated </w:t>
      </w:r>
      <w:r w:rsidR="000A6197">
        <w:rPr>
          <w:b/>
          <w:bCs/>
          <w:i/>
          <w:iCs/>
        </w:rPr>
        <w:t>May 2020</w:t>
      </w:r>
      <w:r w:rsidR="000A6197">
        <w:rPr>
          <w:i/>
          <w:iCs/>
        </w:rPr>
        <w:t xml:space="preserve">, held back </w:t>
      </w:r>
      <w:r w:rsidR="000A6197">
        <w:rPr>
          <w:b/>
          <w:bCs/>
          <w:i/>
          <w:iCs/>
        </w:rPr>
        <w:t xml:space="preserve">R6 million </w:t>
      </w:r>
      <w:r w:rsidR="000A6197">
        <w:rPr>
          <w:i/>
          <w:iCs/>
        </w:rPr>
        <w:t>for purposes of a Second Distribution, (of which your client would be entitled to 1/3) and does not deal with certain other assets such as shares and the inheritances arising from his late father’s estate, as reflected therein;</w:t>
      </w:r>
    </w:p>
    <w:p w14:paraId="45170ECD" w14:textId="2427D4B4" w:rsidR="000A6197" w:rsidRDefault="000A6197" w:rsidP="00BB0F88">
      <w:pPr>
        <w:pStyle w:val="Heading1"/>
        <w:numPr>
          <w:ilvl w:val="0"/>
          <w:numId w:val="0"/>
        </w:numPr>
        <w:ind w:left="3022" w:hanging="2160"/>
        <w:rPr>
          <w:i/>
          <w:iCs/>
        </w:rPr>
      </w:pPr>
      <w:r>
        <w:rPr>
          <w:i/>
          <w:iCs/>
        </w:rPr>
        <w:tab/>
        <w:t>2.5.</w:t>
      </w:r>
      <w:r>
        <w:rPr>
          <w:i/>
          <w:iCs/>
        </w:rPr>
        <w:tab/>
        <w:t>your letter does not deal with your client’s watch collection, the flat in Cape Town and the immovable property in the UK, but to mention a few further items;</w:t>
      </w:r>
    </w:p>
    <w:p w14:paraId="555E89FF" w14:textId="396EA045" w:rsidR="000A6197" w:rsidRDefault="000A6197" w:rsidP="00BB0F88">
      <w:pPr>
        <w:pStyle w:val="Heading1"/>
        <w:numPr>
          <w:ilvl w:val="0"/>
          <w:numId w:val="0"/>
        </w:numPr>
        <w:ind w:left="3022" w:hanging="2160"/>
        <w:rPr>
          <w:i/>
          <w:iCs/>
        </w:rPr>
      </w:pPr>
      <w:r>
        <w:rPr>
          <w:i/>
          <w:iCs/>
        </w:rPr>
        <w:lastRenderedPageBreak/>
        <w:tab/>
        <w:t>2.6</w:t>
      </w:r>
      <w:r>
        <w:rPr>
          <w:i/>
          <w:iCs/>
        </w:rPr>
        <w:tab/>
        <w:t>your client is clearly not playing open cards and is not making a full disclosure.</w:t>
      </w:r>
    </w:p>
    <w:p w14:paraId="04D4E732" w14:textId="1DA40338" w:rsidR="000A6197" w:rsidRDefault="000A6197" w:rsidP="000A6197">
      <w:pPr>
        <w:pStyle w:val="Heading1"/>
        <w:numPr>
          <w:ilvl w:val="0"/>
          <w:numId w:val="0"/>
        </w:numPr>
        <w:ind w:left="1871" w:hanging="1009"/>
        <w:rPr>
          <w:i/>
          <w:iCs/>
        </w:rPr>
      </w:pPr>
      <w:r>
        <w:rPr>
          <w:i/>
          <w:iCs/>
        </w:rPr>
        <w:t>3.</w:t>
      </w:r>
      <w:r>
        <w:rPr>
          <w:i/>
          <w:iCs/>
        </w:rPr>
        <w:tab/>
        <w:t xml:space="preserve">Your client is clearly in Contempt of the Court Order and the Judgment and fails to recognize that his version (pleading poverty) was rejected by the Court in its Judgment of </w:t>
      </w:r>
      <w:r>
        <w:rPr>
          <w:b/>
          <w:bCs/>
          <w:i/>
          <w:iCs/>
        </w:rPr>
        <w:t>9 November 2023</w:t>
      </w:r>
      <w:r>
        <w:rPr>
          <w:i/>
          <w:iCs/>
        </w:rPr>
        <w:t>.</w:t>
      </w:r>
    </w:p>
    <w:p w14:paraId="2CDDF8B8" w14:textId="46480D5E" w:rsidR="000A6197" w:rsidRDefault="000A6197" w:rsidP="000A6197">
      <w:pPr>
        <w:pStyle w:val="Heading1"/>
        <w:numPr>
          <w:ilvl w:val="0"/>
          <w:numId w:val="0"/>
        </w:numPr>
        <w:ind w:left="1871" w:hanging="1009"/>
        <w:rPr>
          <w:i/>
          <w:iCs/>
        </w:rPr>
      </w:pPr>
      <w:r>
        <w:rPr>
          <w:i/>
          <w:iCs/>
        </w:rPr>
        <w:t>4.</w:t>
      </w:r>
      <w:r>
        <w:rPr>
          <w:i/>
          <w:iCs/>
        </w:rPr>
        <w:tab/>
        <w:t xml:space="preserve">Our Client has a Judgment in her favour and there is absolutely nothing </w:t>
      </w:r>
      <w:r w:rsidRPr="000A6197">
        <w:rPr>
          <w:i/>
          <w:iCs/>
        </w:rPr>
        <w:t>mala fide</w:t>
      </w:r>
      <w:r>
        <w:rPr>
          <w:i/>
          <w:iCs/>
        </w:rPr>
        <w:t xml:space="preserve"> in enforcing same.  There is also nothing </w:t>
      </w:r>
      <w:r w:rsidRPr="000A6197">
        <w:rPr>
          <w:i/>
          <w:iCs/>
        </w:rPr>
        <w:t>mala fide</w:t>
      </w:r>
      <w:r>
        <w:rPr>
          <w:i/>
          <w:iCs/>
        </w:rPr>
        <w:t xml:space="preserve"> in our Client launching Contempt Proceedings against your client.</w:t>
      </w:r>
    </w:p>
    <w:p w14:paraId="06788565" w14:textId="0E458BFA" w:rsidR="000A6197" w:rsidRDefault="000A6197" w:rsidP="000A6197">
      <w:pPr>
        <w:pStyle w:val="Heading1"/>
        <w:numPr>
          <w:ilvl w:val="0"/>
          <w:numId w:val="0"/>
        </w:numPr>
        <w:ind w:left="1871" w:hanging="1009"/>
        <w:rPr>
          <w:i/>
          <w:iCs/>
        </w:rPr>
      </w:pPr>
      <w:r>
        <w:rPr>
          <w:i/>
          <w:iCs/>
        </w:rPr>
        <w:t>5.</w:t>
      </w:r>
      <w:r>
        <w:rPr>
          <w:i/>
          <w:iCs/>
        </w:rPr>
        <w:tab/>
        <w:t>Needless to say, our Client’s Rule 43(6) Application was motivated by a need for a Contribution towards costs, in order to run the Trial, which Trial cannot proceed unless and until such Contribution, as per the Judgment, is paid.</w:t>
      </w:r>
    </w:p>
    <w:p w14:paraId="31AF444C" w14:textId="6C9E24DB" w:rsidR="000A6197" w:rsidRDefault="00663A01" w:rsidP="000A6197">
      <w:pPr>
        <w:pStyle w:val="Heading1"/>
        <w:numPr>
          <w:ilvl w:val="0"/>
          <w:numId w:val="0"/>
        </w:numPr>
        <w:ind w:left="1871" w:hanging="1009"/>
        <w:rPr>
          <w:i/>
          <w:iCs/>
        </w:rPr>
      </w:pPr>
      <w:r>
        <w:rPr>
          <w:i/>
          <w:iCs/>
        </w:rPr>
        <w:t>6.</w:t>
      </w:r>
      <w:r>
        <w:rPr>
          <w:i/>
          <w:iCs/>
        </w:rPr>
        <w:tab/>
        <w:t xml:space="preserve">Thus, she now has a Judgment in her </w:t>
      </w:r>
      <w:r w:rsidR="00750128">
        <w:rPr>
          <w:i/>
          <w:iCs/>
        </w:rPr>
        <w:t>favour</w:t>
      </w:r>
      <w:r>
        <w:rPr>
          <w:i/>
          <w:iCs/>
        </w:rPr>
        <w:t xml:space="preserve"> which your client refuses to satisfy.  Accordingly, the Trial cannot proceed, as scheduled on </w:t>
      </w:r>
      <w:r>
        <w:rPr>
          <w:b/>
          <w:bCs/>
          <w:i/>
          <w:iCs/>
        </w:rPr>
        <w:t>20 November 2023</w:t>
      </w:r>
      <w:r>
        <w:rPr>
          <w:i/>
          <w:iCs/>
        </w:rPr>
        <w:t>, precisely because your client refuses to comply with a Court Order.</w:t>
      </w:r>
    </w:p>
    <w:p w14:paraId="349FD070" w14:textId="62E8FD06" w:rsidR="00663A01" w:rsidRDefault="00663A01" w:rsidP="000A6197">
      <w:pPr>
        <w:pStyle w:val="Heading1"/>
        <w:numPr>
          <w:ilvl w:val="0"/>
          <w:numId w:val="0"/>
        </w:numPr>
        <w:ind w:left="1871" w:hanging="1009"/>
        <w:rPr>
          <w:i/>
          <w:iCs/>
        </w:rPr>
      </w:pPr>
      <w:r>
        <w:rPr>
          <w:i/>
          <w:iCs/>
        </w:rPr>
        <w:t>7.</w:t>
      </w:r>
      <w:r>
        <w:rPr>
          <w:i/>
          <w:iCs/>
        </w:rPr>
        <w:tab/>
        <w:t>Our instructions are to proceed with a Writ/Writs and to launch a Contempt Application, which will include a prayer for a Postponement of the Trial Action.  A Punitive Costs Order has already been granted against your client and a punitive Costs Order will be sought once again.</w:t>
      </w:r>
    </w:p>
    <w:p w14:paraId="6C182A63" w14:textId="41B1220E" w:rsidR="00663A01" w:rsidRDefault="00663A01" w:rsidP="000A6197">
      <w:pPr>
        <w:pStyle w:val="Heading1"/>
        <w:numPr>
          <w:ilvl w:val="0"/>
          <w:numId w:val="0"/>
        </w:numPr>
        <w:ind w:left="1871" w:hanging="1009"/>
        <w:rPr>
          <w:i/>
          <w:iCs/>
        </w:rPr>
      </w:pPr>
      <w:r>
        <w:rPr>
          <w:i/>
          <w:iCs/>
        </w:rPr>
        <w:t>8.</w:t>
      </w:r>
      <w:r>
        <w:rPr>
          <w:i/>
          <w:iCs/>
        </w:rPr>
        <w:tab/>
        <w:t xml:space="preserve">Kindly </w:t>
      </w:r>
      <w:proofErr w:type="gramStart"/>
      <w:r>
        <w:rPr>
          <w:i/>
          <w:iCs/>
        </w:rPr>
        <w:t>advise</w:t>
      </w:r>
      <w:proofErr w:type="gramEnd"/>
      <w:r>
        <w:rPr>
          <w:i/>
          <w:iCs/>
        </w:rPr>
        <w:t xml:space="preserve"> per return, of what your client’s attitude is regarding the Postponement afore- referred to.</w:t>
      </w:r>
    </w:p>
    <w:p w14:paraId="5D5F2CCC" w14:textId="05286157" w:rsidR="00663A01" w:rsidRPr="00663A01" w:rsidRDefault="00663A01" w:rsidP="000A6197">
      <w:pPr>
        <w:pStyle w:val="Heading1"/>
        <w:numPr>
          <w:ilvl w:val="0"/>
          <w:numId w:val="0"/>
        </w:numPr>
        <w:ind w:left="1871" w:hanging="1009"/>
        <w:rPr>
          <w:i/>
          <w:iCs/>
        </w:rPr>
      </w:pPr>
      <w:r>
        <w:rPr>
          <w:i/>
          <w:iCs/>
        </w:rPr>
        <w:t>9.</w:t>
      </w:r>
      <w:r>
        <w:rPr>
          <w:i/>
          <w:iCs/>
        </w:rPr>
        <w:tab/>
        <w:t xml:space="preserve">Such further rights as are enjoyed by our Client remain reserved </w:t>
      </w:r>
      <w:r>
        <w:rPr>
          <w:i/>
          <w:iCs/>
        </w:rPr>
        <w:lastRenderedPageBreak/>
        <w:t xml:space="preserve">in </w:t>
      </w:r>
      <w:proofErr w:type="spellStart"/>
      <w:r>
        <w:rPr>
          <w:i/>
          <w:iCs/>
        </w:rPr>
        <w:t>toto</w:t>
      </w:r>
      <w:proofErr w:type="spellEnd"/>
      <w:r>
        <w:rPr>
          <w:i/>
          <w:iCs/>
        </w:rPr>
        <w:t>.”</w:t>
      </w:r>
    </w:p>
    <w:p w14:paraId="3EA0EEA1" w14:textId="6F07AE04" w:rsidR="00404A89" w:rsidRDefault="00663A01" w:rsidP="00663A01">
      <w:r>
        <w:tab/>
        <w:t xml:space="preserve">- they would not have insisted </w:t>
      </w:r>
      <w:r w:rsidR="00556BB5">
        <w:t xml:space="preserve">on </w:t>
      </w:r>
      <w:r>
        <w:t>proceeding with this application.</w:t>
      </w:r>
    </w:p>
    <w:p w14:paraId="790C3F8B" w14:textId="50362B23" w:rsidR="00663A01" w:rsidRDefault="00273796" w:rsidP="00273796">
      <w:pPr>
        <w:pStyle w:val="Heading1"/>
        <w:numPr>
          <w:ilvl w:val="0"/>
          <w:numId w:val="0"/>
        </w:numPr>
        <w:tabs>
          <w:tab w:val="left" w:pos="862"/>
        </w:tabs>
        <w:ind w:left="862" w:hanging="862"/>
      </w:pPr>
      <w:r>
        <w:t>[10]</w:t>
      </w:r>
      <w:r>
        <w:tab/>
      </w:r>
      <w:r w:rsidR="00663A01">
        <w:t xml:space="preserve">Mr </w:t>
      </w:r>
      <w:proofErr w:type="spellStart"/>
      <w:r w:rsidR="00663A01">
        <w:t>Nowitz</w:t>
      </w:r>
      <w:proofErr w:type="spellEnd"/>
      <w:r w:rsidR="00663A01">
        <w:t xml:space="preserve"> contended further that, in any event</w:t>
      </w:r>
      <w:r w:rsidR="00556BB5">
        <w:t>,</w:t>
      </w:r>
      <w:r w:rsidR="00663A01">
        <w:t xml:space="preserve"> the </w:t>
      </w:r>
      <w:proofErr w:type="spellStart"/>
      <w:r w:rsidR="00082815">
        <w:t>Thupaatlase’s</w:t>
      </w:r>
      <w:proofErr w:type="spellEnd"/>
      <w:r w:rsidR="00082815">
        <w:t xml:space="preserve"> judgment</w:t>
      </w:r>
      <w:r w:rsidR="00556BB5">
        <w:t xml:space="preserve"> </w:t>
      </w:r>
      <w:r w:rsidR="00663A01">
        <w:t xml:space="preserve">was made after </w:t>
      </w:r>
      <w:r w:rsidR="00556BB5">
        <w:t xml:space="preserve">the learned Judge, considered </w:t>
      </w:r>
      <w:r w:rsidR="00663A01">
        <w:t xml:space="preserve">the defendant’s financial </w:t>
      </w:r>
      <w:r w:rsidR="00556BB5">
        <w:t>position</w:t>
      </w:r>
      <w:r w:rsidR="004C27FC">
        <w:t>.</w:t>
      </w:r>
      <w:r w:rsidR="00663A01">
        <w:t xml:space="preserve">  According to him, the learned Judge found in favour of the plaintiff, the defendant’s claim</w:t>
      </w:r>
      <w:r w:rsidR="006E64B1">
        <w:t>ed</w:t>
      </w:r>
      <w:r w:rsidR="00663A01">
        <w:t xml:space="preserve"> </w:t>
      </w:r>
      <w:r w:rsidR="00556BB5">
        <w:t>impecuniosity</w:t>
      </w:r>
      <w:r w:rsidR="006E64B1">
        <w:t xml:space="preserve"> notwithstanding.</w:t>
      </w:r>
    </w:p>
    <w:p w14:paraId="6823CAD2" w14:textId="560D1D9E" w:rsidR="00ED5026" w:rsidRDefault="00273796" w:rsidP="00273796">
      <w:pPr>
        <w:pStyle w:val="Heading1"/>
        <w:numPr>
          <w:ilvl w:val="0"/>
          <w:numId w:val="0"/>
        </w:numPr>
        <w:tabs>
          <w:tab w:val="left" w:pos="862"/>
        </w:tabs>
        <w:ind w:left="862" w:hanging="862"/>
      </w:pPr>
      <w:r>
        <w:t>[11]</w:t>
      </w:r>
      <w:r>
        <w:tab/>
      </w:r>
      <w:r w:rsidR="00ED5026">
        <w:t xml:space="preserve">In seeking a postponement, Mr </w:t>
      </w:r>
      <w:proofErr w:type="spellStart"/>
      <w:r w:rsidR="00ED5026">
        <w:t>Nowitz</w:t>
      </w:r>
      <w:proofErr w:type="spellEnd"/>
      <w:r w:rsidR="00ED5026">
        <w:t xml:space="preserve"> </w:t>
      </w:r>
      <w:r w:rsidR="00BB52BB">
        <w:t>submitted</w:t>
      </w:r>
      <w:r w:rsidR="00ED5026">
        <w:t xml:space="preserve"> that in consequence of the failure by the defendant to </w:t>
      </w:r>
      <w:r w:rsidR="00556BB5">
        <w:t xml:space="preserve">purge his </w:t>
      </w:r>
      <w:r w:rsidR="00ED5026">
        <w:t>contempt, the</w:t>
      </w:r>
      <w:r w:rsidR="00253D04">
        <w:t xml:space="preserve"> plaintiff is</w:t>
      </w:r>
      <w:r w:rsidR="00ED5026">
        <w:t xml:space="preserve"> unable to proceed with the trial as its attorneys were not put in funds</w:t>
      </w:r>
      <w:r w:rsidR="00556BB5">
        <w:t>,</w:t>
      </w:r>
      <w:r w:rsidR="00ED5026">
        <w:t xml:space="preserve"> for the rendition of such</w:t>
      </w:r>
      <w:r w:rsidR="00556BB5">
        <w:t xml:space="preserve"> further </w:t>
      </w:r>
      <w:r w:rsidR="00082815">
        <w:t>legal services</w:t>
      </w:r>
      <w:r w:rsidR="00ED5026">
        <w:t>.</w:t>
      </w:r>
    </w:p>
    <w:p w14:paraId="6BB096CC" w14:textId="07FF1731" w:rsidR="00ED5026" w:rsidRPr="00ED5026" w:rsidRDefault="00ED5026" w:rsidP="00ED5026">
      <w:pPr>
        <w:pStyle w:val="Heading1"/>
        <w:keepNext/>
        <w:numPr>
          <w:ilvl w:val="0"/>
          <w:numId w:val="0"/>
        </w:numPr>
        <w:rPr>
          <w:b/>
          <w:bCs/>
          <w:u w:val="single"/>
        </w:rPr>
      </w:pPr>
      <w:r>
        <w:rPr>
          <w:b/>
          <w:bCs/>
          <w:u w:val="single"/>
        </w:rPr>
        <w:t xml:space="preserve">Defendant </w:t>
      </w:r>
    </w:p>
    <w:p w14:paraId="0E689FFD" w14:textId="11571D56" w:rsidR="00DE0CAE" w:rsidRDefault="00273796" w:rsidP="00273796">
      <w:pPr>
        <w:pStyle w:val="Heading1"/>
        <w:numPr>
          <w:ilvl w:val="0"/>
          <w:numId w:val="0"/>
        </w:numPr>
        <w:tabs>
          <w:tab w:val="left" w:pos="862"/>
        </w:tabs>
        <w:ind w:left="862" w:hanging="862"/>
      </w:pPr>
      <w:r>
        <w:t>[12]</w:t>
      </w:r>
      <w:r>
        <w:tab/>
      </w:r>
      <w:r w:rsidR="00ED5026">
        <w:t xml:space="preserve">Ms </w:t>
      </w:r>
      <w:proofErr w:type="spellStart"/>
      <w:r w:rsidR="00ED5026">
        <w:t>Olwagen</w:t>
      </w:r>
      <w:proofErr w:type="spellEnd"/>
      <w:r w:rsidR="00ED5026">
        <w:t>-Meyer contend</w:t>
      </w:r>
      <w:r w:rsidR="00620438">
        <w:t>ed</w:t>
      </w:r>
      <w:r w:rsidR="00ED5026">
        <w:t xml:space="preserve"> that the defendant is not in wilful and </w:t>
      </w:r>
      <w:r w:rsidR="00ED5026" w:rsidRPr="000C55CB">
        <w:rPr>
          <w:i/>
        </w:rPr>
        <w:t>mala fide</w:t>
      </w:r>
      <w:r w:rsidR="00ED5026">
        <w:t xml:space="preserve"> contempt </w:t>
      </w:r>
      <w:r w:rsidR="008C680F">
        <w:t>and the defendant’s the failure to purge his contempt</w:t>
      </w:r>
      <w:r w:rsidR="00A04650">
        <w:t xml:space="preserve"> </w:t>
      </w:r>
      <w:r w:rsidR="008C680F">
        <w:t>wa</w:t>
      </w:r>
      <w:r w:rsidR="00ED5026">
        <w:t>s most certainly</w:t>
      </w:r>
      <w:r w:rsidR="008C680F">
        <w:t>,</w:t>
      </w:r>
      <w:r w:rsidR="00ED5026">
        <w:t xml:space="preserve"> not due to lack of trying.</w:t>
      </w:r>
      <w:r w:rsidR="00ED5026">
        <w:rPr>
          <w:rStyle w:val="FootnoteReference"/>
        </w:rPr>
        <w:footnoteReference w:id="14"/>
      </w:r>
      <w:r w:rsidR="00A04650">
        <w:t xml:space="preserve"> She questioned the timing of launching of this application, that it is not urgent as it was brought within days of the trial hearing date. </w:t>
      </w:r>
      <w:r w:rsidR="006F05FB">
        <w:t xml:space="preserve">So, the postponement application was orchestrated. </w:t>
      </w:r>
    </w:p>
    <w:p w14:paraId="55AB9A9F" w14:textId="7A2FA843" w:rsidR="008C680F" w:rsidRDefault="00273796" w:rsidP="00273796">
      <w:pPr>
        <w:pStyle w:val="Heading1"/>
        <w:numPr>
          <w:ilvl w:val="0"/>
          <w:numId w:val="0"/>
        </w:numPr>
        <w:tabs>
          <w:tab w:val="left" w:pos="862"/>
        </w:tabs>
        <w:ind w:left="862" w:hanging="862"/>
      </w:pPr>
      <w:r>
        <w:t>[13]</w:t>
      </w:r>
      <w:r>
        <w:tab/>
      </w:r>
      <w:r w:rsidR="00ED5026" w:rsidRPr="006F05FB">
        <w:t xml:space="preserve">She </w:t>
      </w:r>
      <w:r w:rsidR="00620438">
        <w:t>argued</w:t>
      </w:r>
      <w:r w:rsidR="00ED5026" w:rsidRPr="006F05FB">
        <w:t xml:space="preserve"> further that it is a trite principle in law that seeking a contempt order and imprisonment is not competent relief in the event of non-compliance with money judgments.  This principle, according to her, was established by the Constitutional Court in</w:t>
      </w:r>
      <w:r w:rsidR="00ED5026">
        <w:rPr>
          <w:i/>
          <w:iCs/>
        </w:rPr>
        <w:t xml:space="preserve"> </w:t>
      </w:r>
      <w:r w:rsidR="00ED5026">
        <w:rPr>
          <w:b/>
          <w:bCs/>
          <w:i/>
          <w:iCs/>
        </w:rPr>
        <w:t>Coetzee</w:t>
      </w:r>
      <w:r w:rsidR="00ED5026" w:rsidRPr="00ED5026">
        <w:t>.</w:t>
      </w:r>
      <w:r w:rsidR="00ED5026" w:rsidRPr="00ED5026">
        <w:rPr>
          <w:rStyle w:val="FootnoteReference"/>
        </w:rPr>
        <w:footnoteReference w:id="15"/>
      </w:r>
      <w:r w:rsidR="00ED5026" w:rsidRPr="00ED5026">
        <w:t xml:space="preserve">  Ms </w:t>
      </w:r>
      <w:proofErr w:type="spellStart"/>
      <w:r w:rsidR="00ED5026" w:rsidRPr="00ED5026">
        <w:t>Olwagen</w:t>
      </w:r>
      <w:proofErr w:type="spellEnd"/>
      <w:r w:rsidR="00854584">
        <w:t xml:space="preserve">-Meyer, further submitted that the relief sought by the plaintiff is fatally flawed in respect of seeking contempt and imprisonment relief against the </w:t>
      </w:r>
      <w:r w:rsidR="00854584">
        <w:lastRenderedPageBreak/>
        <w:t xml:space="preserve">defendant.  As set out in the </w:t>
      </w:r>
      <w:r w:rsidR="00854584">
        <w:rPr>
          <w:b/>
          <w:bCs/>
          <w:i/>
          <w:iCs/>
        </w:rPr>
        <w:t>Coetzee</w:t>
      </w:r>
      <w:r w:rsidR="006F05FB">
        <w:t>,</w:t>
      </w:r>
      <w:r w:rsidR="00854584">
        <w:t xml:space="preserve"> </w:t>
      </w:r>
      <w:r w:rsidR="006F05FB">
        <w:t xml:space="preserve">the </w:t>
      </w:r>
      <w:r w:rsidR="00082815">
        <w:t>plaintiff should</w:t>
      </w:r>
      <w:r w:rsidR="00854584">
        <w:t xml:space="preserve"> follow the normal route of money judgments debt recovery against the defendant and have a warrant of execution issued to attach assets. </w:t>
      </w:r>
    </w:p>
    <w:p w14:paraId="73926DF3" w14:textId="7A99D28F" w:rsidR="00ED5026" w:rsidRDefault="00273796" w:rsidP="00273796">
      <w:pPr>
        <w:pStyle w:val="Heading1"/>
        <w:numPr>
          <w:ilvl w:val="0"/>
          <w:numId w:val="0"/>
        </w:numPr>
        <w:tabs>
          <w:tab w:val="left" w:pos="862"/>
        </w:tabs>
        <w:ind w:left="862" w:hanging="862"/>
      </w:pPr>
      <w:r>
        <w:t>[14]</w:t>
      </w:r>
      <w:r>
        <w:tab/>
      </w:r>
      <w:r w:rsidR="00854584">
        <w:t xml:space="preserve"> I enquired from </w:t>
      </w:r>
      <w:r w:rsidR="008C680F" w:rsidRPr="00ED5026">
        <w:t xml:space="preserve">Ms </w:t>
      </w:r>
      <w:proofErr w:type="spellStart"/>
      <w:r w:rsidR="008C680F" w:rsidRPr="00ED5026">
        <w:t>Olwagen</w:t>
      </w:r>
      <w:proofErr w:type="spellEnd"/>
      <w:r w:rsidR="008C680F">
        <w:t xml:space="preserve">-Meyer </w:t>
      </w:r>
      <w:r w:rsidR="00854584">
        <w:t>as to when c</w:t>
      </w:r>
      <w:r w:rsidR="008C680F">
        <w:t xml:space="preserve">an the defendant reasonably purge </w:t>
      </w:r>
      <w:r w:rsidR="00082815">
        <w:t>his contempt</w:t>
      </w:r>
      <w:r w:rsidR="00854584">
        <w:t xml:space="preserve"> and where the money would be sourced.  </w:t>
      </w:r>
      <w:r w:rsidR="006F05FB">
        <w:t>U</w:t>
      </w:r>
      <w:r w:rsidR="00854584">
        <w:t xml:space="preserve">nfortunately </w:t>
      </w:r>
      <w:r w:rsidR="006F05FB">
        <w:t xml:space="preserve"> she </w:t>
      </w:r>
      <w:r w:rsidR="00854584">
        <w:t xml:space="preserve">could not give me any undertaking in that regard but </w:t>
      </w:r>
      <w:r w:rsidR="008C680F">
        <w:t>instead</w:t>
      </w:r>
      <w:r w:rsidR="006F05FB">
        <w:t>,</w:t>
      </w:r>
      <w:r w:rsidR="008C680F">
        <w:t xml:space="preserve"> </w:t>
      </w:r>
      <w:r w:rsidR="00854584">
        <w:t>she referred me to paragraph 12.12 of her heads of argument</w:t>
      </w:r>
      <w:r w:rsidR="00854584">
        <w:rPr>
          <w:rStyle w:val="FootnoteReference"/>
        </w:rPr>
        <w:footnoteReference w:id="16"/>
      </w:r>
      <w:r w:rsidR="00854584">
        <w:t xml:space="preserve"> viz. </w:t>
      </w:r>
      <w:r w:rsidR="00854584">
        <w:rPr>
          <w:i/>
          <w:iCs/>
        </w:rPr>
        <w:t>“My only other substantial asset is the R3.8 million from my pension fund held in trust under interdict by Court order”</w:t>
      </w:r>
      <w:r w:rsidR="00854584">
        <w:t>.</w:t>
      </w:r>
    </w:p>
    <w:p w14:paraId="58547A33" w14:textId="7130DCF7" w:rsidR="006F05FB" w:rsidRDefault="00273796" w:rsidP="00273796">
      <w:pPr>
        <w:pStyle w:val="Heading1"/>
        <w:numPr>
          <w:ilvl w:val="0"/>
          <w:numId w:val="0"/>
        </w:numPr>
        <w:tabs>
          <w:tab w:val="left" w:pos="862"/>
        </w:tabs>
        <w:ind w:left="862" w:hanging="862"/>
      </w:pPr>
      <w:r>
        <w:t>[15]</w:t>
      </w:r>
      <w:r>
        <w:tab/>
      </w:r>
      <w:r w:rsidR="006F05FB" w:rsidRPr="00ED5026">
        <w:t xml:space="preserve">Ms </w:t>
      </w:r>
      <w:proofErr w:type="spellStart"/>
      <w:r w:rsidR="006F05FB" w:rsidRPr="00ED5026">
        <w:t>Olwagen</w:t>
      </w:r>
      <w:proofErr w:type="spellEnd"/>
      <w:r w:rsidR="006F05FB">
        <w:t>-Meyer raised other issues, which I should not concern myself with</w:t>
      </w:r>
      <w:r w:rsidR="000E03C5">
        <w:t xml:space="preserve">, </w:t>
      </w:r>
      <w:r w:rsidR="006F05FB">
        <w:t>as it is impermissible to grant party a relief it had not asked for.</w:t>
      </w:r>
      <w:r w:rsidR="005A0861">
        <w:rPr>
          <w:rStyle w:val="FootnoteReference"/>
        </w:rPr>
        <w:footnoteReference w:id="17"/>
      </w:r>
      <w:r w:rsidR="006F05FB">
        <w:t xml:space="preserve"> </w:t>
      </w:r>
    </w:p>
    <w:p w14:paraId="6E2480D2" w14:textId="4B534DC1" w:rsidR="006E64B1" w:rsidRDefault="006E64B1" w:rsidP="006E64B1">
      <w:pPr>
        <w:keepNext/>
        <w:rPr>
          <w:b/>
          <w:bCs/>
          <w:u w:val="single"/>
        </w:rPr>
      </w:pPr>
      <w:r>
        <w:rPr>
          <w:b/>
          <w:bCs/>
          <w:u w:val="single"/>
        </w:rPr>
        <w:t>THE LAW</w:t>
      </w:r>
    </w:p>
    <w:p w14:paraId="44D95CEF" w14:textId="20EA7480" w:rsidR="006E64B1" w:rsidRDefault="006E64B1" w:rsidP="006E64B1">
      <w:pPr>
        <w:pStyle w:val="Heading1"/>
        <w:numPr>
          <w:ilvl w:val="0"/>
          <w:numId w:val="0"/>
        </w:numPr>
        <w:ind w:left="862" w:hanging="862"/>
        <w:rPr>
          <w:b/>
          <w:bCs/>
          <w:u w:val="single"/>
        </w:rPr>
      </w:pPr>
      <w:r>
        <w:rPr>
          <w:b/>
          <w:bCs/>
          <w:u w:val="single"/>
        </w:rPr>
        <w:t>Is this application urgent?</w:t>
      </w:r>
    </w:p>
    <w:p w14:paraId="31586648" w14:textId="77A43276" w:rsidR="006E64B1" w:rsidRDefault="00273796" w:rsidP="00273796">
      <w:pPr>
        <w:pStyle w:val="Heading1"/>
        <w:numPr>
          <w:ilvl w:val="0"/>
          <w:numId w:val="0"/>
        </w:numPr>
        <w:tabs>
          <w:tab w:val="left" w:pos="862"/>
        </w:tabs>
        <w:ind w:left="862" w:hanging="862"/>
      </w:pPr>
      <w:r>
        <w:t>[16]</w:t>
      </w:r>
      <w:r>
        <w:tab/>
      </w:r>
      <w:r w:rsidR="009F7593">
        <w:t xml:space="preserve">In </w:t>
      </w:r>
      <w:r w:rsidR="009F7593" w:rsidRPr="009F7593">
        <w:rPr>
          <w:b/>
          <w:bCs/>
          <w:i/>
          <w:iCs/>
        </w:rPr>
        <w:t>Secretary of the Judicial Commission of Inquiry into Allegations of State Capture, Corruption and Fraud in the Public Sector including Organs of State v Zuma and Others</w:t>
      </w:r>
      <w:r w:rsidR="009F7593">
        <w:rPr>
          <w:rStyle w:val="FootnoteReference"/>
        </w:rPr>
        <w:footnoteReference w:id="18"/>
      </w:r>
      <w:r w:rsidR="009F7593">
        <w:rPr>
          <w:b/>
          <w:bCs/>
          <w:i/>
          <w:iCs/>
        </w:rPr>
        <w:t xml:space="preserve"> </w:t>
      </w:r>
      <w:r w:rsidR="009F7593">
        <w:t>it was held:</w:t>
      </w:r>
    </w:p>
    <w:p w14:paraId="005F2AE3" w14:textId="4E0D38B7" w:rsidR="009F7593" w:rsidRDefault="009F7593" w:rsidP="009F7593">
      <w:pPr>
        <w:ind w:left="1871" w:hanging="1009"/>
        <w:rPr>
          <w:i/>
          <w:iCs/>
          <w:lang w:val="en-GB"/>
        </w:rPr>
      </w:pPr>
      <w:r>
        <w:rPr>
          <w:i/>
          <w:iCs/>
        </w:rPr>
        <w:t>“</w:t>
      </w:r>
      <w:r w:rsidRPr="009F7593">
        <w:rPr>
          <w:i/>
          <w:iCs/>
          <w:color w:val="000000"/>
          <w:lang w:val="en-GB"/>
        </w:rPr>
        <w:t>[32]</w:t>
      </w:r>
      <w:r>
        <w:rPr>
          <w:i/>
          <w:iCs/>
          <w:color w:val="000000"/>
          <w:lang w:val="en-GB"/>
        </w:rPr>
        <w:tab/>
      </w:r>
      <w:r w:rsidRPr="009F7593">
        <w:rPr>
          <w:i/>
          <w:iCs/>
          <w:lang w:val="en-GB"/>
        </w:rPr>
        <w:t>A similar point was made in </w:t>
      </w:r>
      <w:r>
        <w:rPr>
          <w:i/>
          <w:iCs/>
          <w:lang w:val="en-GB"/>
        </w:rPr>
        <w:t xml:space="preserve"> </w:t>
      </w:r>
      <w:r w:rsidRPr="009F7593">
        <w:rPr>
          <w:i/>
          <w:iCs/>
          <w:lang w:val="en-GB"/>
        </w:rPr>
        <w:t>Victoria Park Ratepayers’ Association,</w:t>
      </w:r>
      <w:r>
        <w:rPr>
          <w:rStyle w:val="FootnoteReference"/>
          <w:i/>
          <w:iCs/>
          <w:lang w:val="en-GB"/>
        </w:rPr>
        <w:footnoteReference w:id="19"/>
      </w:r>
      <w:r w:rsidRPr="009F7593">
        <w:rPr>
          <w:i/>
          <w:iCs/>
          <w:lang w:val="en-GB"/>
        </w:rPr>
        <w:t xml:space="preserve"> in which it was said that</w:t>
      </w:r>
      <w:r>
        <w:rPr>
          <w:i/>
          <w:iCs/>
          <w:lang w:val="en-GB"/>
        </w:rPr>
        <w:t xml:space="preserve"> –</w:t>
      </w:r>
    </w:p>
    <w:p w14:paraId="3AF0642B" w14:textId="5F2E84BD" w:rsidR="009F7593" w:rsidRPr="009F7593" w:rsidRDefault="009F7593" w:rsidP="009F7593">
      <w:pPr>
        <w:ind w:left="1871" w:hanging="1871"/>
        <w:rPr>
          <w:i/>
          <w:iCs/>
        </w:rPr>
      </w:pPr>
      <w:bookmarkStart w:id="5" w:name="0-0-0-651795"/>
      <w:bookmarkStart w:id="6" w:name="_Ref69472978"/>
      <w:bookmarkEnd w:id="5"/>
      <w:bookmarkEnd w:id="6"/>
      <w:r>
        <w:rPr>
          <w:i/>
          <w:iCs/>
        </w:rPr>
        <w:lastRenderedPageBreak/>
        <w:tab/>
      </w:r>
      <w:r>
        <w:rPr>
          <w:i/>
          <w:iCs/>
        </w:rPr>
        <w:tab/>
      </w:r>
      <w:r w:rsidRPr="009F7593">
        <w:rPr>
          <w:i/>
          <w:iCs/>
        </w:rPr>
        <w:t>“</w:t>
      </w:r>
      <w:r w:rsidRPr="009F7593">
        <w:rPr>
          <w:i/>
          <w:iCs/>
          <w:lang w:val="en-GB"/>
        </w:rPr>
        <w:t>[c]</w:t>
      </w:r>
      <w:proofErr w:type="spellStart"/>
      <w:r w:rsidRPr="009F7593">
        <w:rPr>
          <w:i/>
          <w:iCs/>
          <w:lang w:val="en-GB"/>
        </w:rPr>
        <w:t>ontempt</w:t>
      </w:r>
      <w:proofErr w:type="spellEnd"/>
      <w:r w:rsidRPr="009F7593">
        <w:rPr>
          <w:i/>
          <w:iCs/>
          <w:lang w:val="en-GB"/>
        </w:rPr>
        <w:t xml:space="preserve"> of court has obvious implications for the effectiveness and legitimacy of the legal system and the judicial arm of government.  There is thus a public interest element in each and every case in which it is alleged that a party has wilfully and in bad faith ignored or otherwise failed to comply with a court order.  This added element provides to every such case an element of urgency.”</w:t>
      </w:r>
      <w:bookmarkStart w:id="7" w:name="_ftnref30"/>
      <w:r w:rsidR="0079165D" w:rsidRPr="0079165D">
        <w:rPr>
          <w:rStyle w:val="FootnoteReference"/>
          <w:lang w:val="en-GB"/>
        </w:rPr>
        <w:footnoteReference w:id="20"/>
      </w:r>
      <w:bookmarkEnd w:id="7"/>
      <w:r w:rsidR="0079165D" w:rsidRPr="009F7593">
        <w:rPr>
          <w:i/>
          <w:iCs/>
        </w:rPr>
        <w:t xml:space="preserve"> </w:t>
      </w:r>
    </w:p>
    <w:p w14:paraId="5BA6F581" w14:textId="4075E022" w:rsidR="0079165D" w:rsidRDefault="009F7593" w:rsidP="009F7593">
      <w:pPr>
        <w:rPr>
          <w:i/>
          <w:iCs/>
          <w:lang w:val="en-GB"/>
        </w:rPr>
      </w:pPr>
      <w:r w:rsidRPr="009F7593">
        <w:rPr>
          <w:i/>
          <w:iCs/>
        </w:rPr>
        <w:t> </w:t>
      </w:r>
      <w:r w:rsidR="0079165D">
        <w:rPr>
          <w:i/>
          <w:iCs/>
        </w:rPr>
        <w:tab/>
      </w:r>
      <w:r w:rsidRPr="009F7593">
        <w:rPr>
          <w:i/>
          <w:iCs/>
          <w:color w:val="000000"/>
          <w:lang w:val="en-GB"/>
        </w:rPr>
        <w:t>[33]</w:t>
      </w:r>
      <w:r w:rsidR="0079165D">
        <w:rPr>
          <w:i/>
          <w:iCs/>
          <w:color w:val="000000"/>
          <w:lang w:val="en-GB"/>
        </w:rPr>
        <w:tab/>
      </w:r>
      <w:r w:rsidRPr="009F7593">
        <w:rPr>
          <w:i/>
          <w:iCs/>
          <w:lang w:val="en-GB"/>
        </w:rPr>
        <w:t>In that case, the Court went further to state that</w:t>
      </w:r>
      <w:r w:rsidR="0079165D">
        <w:rPr>
          <w:i/>
          <w:iCs/>
          <w:lang w:val="en-GB"/>
        </w:rPr>
        <w:t xml:space="preserve"> –</w:t>
      </w:r>
    </w:p>
    <w:p w14:paraId="0C66E955" w14:textId="771B4EAE" w:rsidR="009F7593" w:rsidRPr="009F7593" w:rsidRDefault="0079165D" w:rsidP="0079165D">
      <w:pPr>
        <w:ind w:left="1871" w:hanging="1871"/>
        <w:rPr>
          <w:rFonts w:ascii="Verdana" w:hAnsi="Verdana"/>
          <w:i/>
          <w:iCs/>
          <w:sz w:val="27"/>
          <w:szCs w:val="27"/>
        </w:rPr>
      </w:pPr>
      <w:r>
        <w:rPr>
          <w:i/>
          <w:iCs/>
        </w:rPr>
        <w:tab/>
      </w:r>
      <w:r>
        <w:rPr>
          <w:i/>
          <w:iCs/>
        </w:rPr>
        <w:tab/>
      </w:r>
      <w:r w:rsidR="009F7593" w:rsidRPr="009F7593">
        <w:rPr>
          <w:i/>
          <w:iCs/>
        </w:rPr>
        <w:t>“</w:t>
      </w:r>
      <w:r w:rsidR="009F7593" w:rsidRPr="009F7593">
        <w:rPr>
          <w:i/>
          <w:iCs/>
          <w:lang w:val="en-GB"/>
        </w:rPr>
        <w:t xml:space="preserve">it is not only the object of punishing a respondent to compel him or her to obey an order that renders contempt proceedings urgent: the public interest in the administration of justice and the vindication of the Constitution also render the ongoing failure or </w:t>
      </w:r>
      <w:r w:rsidR="009F7593" w:rsidRPr="0079165D">
        <w:rPr>
          <w:i/>
          <w:iCs/>
          <w:u w:val="single"/>
          <w:lang w:val="en-GB"/>
        </w:rPr>
        <w:t>refusal to obey an order a matter of urgency</w:t>
      </w:r>
      <w:r w:rsidR="009F7593" w:rsidRPr="009F7593">
        <w:rPr>
          <w:i/>
          <w:iCs/>
          <w:lang w:val="en-GB"/>
        </w:rPr>
        <w:t>.  This, in my view, is the starting point: all matters in which an ongoing contempt of an order is brought to the attention of a court must be dealt with as expeditiously as the circumstances, and the dictates of fairness, allow.”</w:t>
      </w:r>
      <w:bookmarkStart w:id="8" w:name="_ftnref31"/>
      <w:r w:rsidRPr="0079165D">
        <w:rPr>
          <w:rStyle w:val="FootnoteReference"/>
          <w:lang w:val="en-GB"/>
        </w:rPr>
        <w:footnoteReference w:id="21"/>
      </w:r>
      <w:bookmarkEnd w:id="8"/>
      <w:r w:rsidRPr="009F7593">
        <w:rPr>
          <w:rFonts w:ascii="Verdana" w:hAnsi="Verdana"/>
          <w:i/>
          <w:iCs/>
          <w:sz w:val="27"/>
          <w:szCs w:val="27"/>
        </w:rPr>
        <w:t xml:space="preserve"> </w:t>
      </w:r>
    </w:p>
    <w:p w14:paraId="061DA51D" w14:textId="265A776C" w:rsidR="002B4042" w:rsidRDefault="00273796" w:rsidP="00273796">
      <w:pPr>
        <w:pStyle w:val="Heading1"/>
        <w:numPr>
          <w:ilvl w:val="0"/>
          <w:numId w:val="0"/>
        </w:numPr>
        <w:tabs>
          <w:tab w:val="left" w:pos="862"/>
        </w:tabs>
        <w:ind w:left="862" w:hanging="862"/>
      </w:pPr>
      <w:r>
        <w:t>[17]</w:t>
      </w:r>
      <w:r>
        <w:tab/>
      </w:r>
      <w:r w:rsidR="0017685F">
        <w:t>By all accounts</w:t>
      </w:r>
      <w:r w:rsidR="006E5925">
        <w:t>,</w:t>
      </w:r>
      <w:r w:rsidR="0017685F">
        <w:t xml:space="preserve"> the defendant has been extremely remiss in the manner in which it conducted all the litigation pertaining to this matter.  Despite the intractable conflicting relationship between him and the plaintiff, which is understandable in matrimonial matters, however, he failed</w:t>
      </w:r>
      <w:r w:rsidR="006E5925">
        <w:t xml:space="preserve">, </w:t>
      </w:r>
      <w:r w:rsidR="006E5925" w:rsidRPr="006E5925">
        <w:rPr>
          <w:i/>
          <w:iCs/>
        </w:rPr>
        <w:t xml:space="preserve">inter </w:t>
      </w:r>
      <w:proofErr w:type="gramStart"/>
      <w:r w:rsidR="006E5925" w:rsidRPr="006E5925">
        <w:rPr>
          <w:i/>
          <w:iCs/>
        </w:rPr>
        <w:t>alia</w:t>
      </w:r>
      <w:r w:rsidR="006E5925">
        <w:t xml:space="preserve">, </w:t>
      </w:r>
      <w:r w:rsidR="0017685F">
        <w:t xml:space="preserve"> to</w:t>
      </w:r>
      <w:proofErr w:type="gramEnd"/>
      <w:r w:rsidR="0017685F">
        <w:t xml:space="preserve"> respond </w:t>
      </w:r>
      <w:proofErr w:type="spellStart"/>
      <w:r w:rsidR="0017685F">
        <w:t>issuably</w:t>
      </w:r>
      <w:proofErr w:type="spellEnd"/>
      <w:r w:rsidR="0017685F">
        <w:t xml:space="preserve"> </w:t>
      </w:r>
      <w:r w:rsidR="006E5925">
        <w:t xml:space="preserve">to letters </w:t>
      </w:r>
      <w:r w:rsidR="0017685F">
        <w:t xml:space="preserve">seeking </w:t>
      </w:r>
      <w:r w:rsidR="006E5925">
        <w:t xml:space="preserve">his </w:t>
      </w:r>
      <w:r w:rsidR="0017685F">
        <w:t xml:space="preserve">compliance.  </w:t>
      </w:r>
      <w:r w:rsidR="002B4042">
        <w:t xml:space="preserve">Such is apparent from a perusal of </w:t>
      </w:r>
      <w:r w:rsidR="00B66F57">
        <w:t xml:space="preserve"> “</w:t>
      </w:r>
      <w:r w:rsidR="00B66F57" w:rsidRPr="00B66F57">
        <w:rPr>
          <w:b/>
          <w:bCs/>
          <w:i/>
          <w:iCs/>
        </w:rPr>
        <w:t>FA3</w:t>
      </w:r>
      <w:r w:rsidR="00B66F57">
        <w:t>”</w:t>
      </w:r>
      <w:r w:rsidR="00B66F57">
        <w:rPr>
          <w:rStyle w:val="FootnoteReference"/>
        </w:rPr>
        <w:footnoteReference w:id="22"/>
      </w:r>
      <w:r w:rsidR="00B66F57">
        <w:t xml:space="preserve">  and </w:t>
      </w:r>
      <w:r w:rsidR="00C837C0">
        <w:t>“</w:t>
      </w:r>
      <w:r w:rsidR="00C837C0" w:rsidRPr="00B66F57">
        <w:rPr>
          <w:b/>
          <w:bCs/>
          <w:i/>
          <w:iCs/>
        </w:rPr>
        <w:t>FA6”</w:t>
      </w:r>
      <w:r w:rsidR="00C837C0">
        <w:t xml:space="preserve"> </w:t>
      </w:r>
      <w:r w:rsidR="00B66F57">
        <w:t xml:space="preserve">as </w:t>
      </w:r>
      <w:proofErr w:type="spellStart"/>
      <w:r w:rsidR="002B4042">
        <w:t>aforestated</w:t>
      </w:r>
      <w:proofErr w:type="spellEnd"/>
      <w:r w:rsidR="002B4042">
        <w:t>.</w:t>
      </w:r>
      <w:r w:rsidR="006B38EA">
        <w:t xml:space="preserve"> The harm of not being paid in accordance with </w:t>
      </w:r>
      <w:r w:rsidR="00D7145A">
        <w:t>an</w:t>
      </w:r>
      <w:r w:rsidR="006B38EA">
        <w:t xml:space="preserve"> order, whilst the defendant is enjoying full legal representation, is indeed irreparable. </w:t>
      </w:r>
      <w:r w:rsidR="00D7145A">
        <w:t xml:space="preserve">This is a critical dimension of the </w:t>
      </w:r>
      <w:r w:rsidR="00D7145A">
        <w:lastRenderedPageBreak/>
        <w:t xml:space="preserve">factual matrix. </w:t>
      </w:r>
    </w:p>
    <w:p w14:paraId="2C7DD2A4" w14:textId="52A1DAFA" w:rsidR="002B4042" w:rsidRDefault="00273796" w:rsidP="00273796">
      <w:pPr>
        <w:pStyle w:val="Heading1"/>
        <w:numPr>
          <w:ilvl w:val="0"/>
          <w:numId w:val="0"/>
        </w:numPr>
        <w:tabs>
          <w:tab w:val="left" w:pos="862"/>
        </w:tabs>
        <w:ind w:left="862" w:hanging="862"/>
      </w:pPr>
      <w:r>
        <w:t>[18]</w:t>
      </w:r>
      <w:r>
        <w:tab/>
      </w:r>
      <w:r w:rsidR="002B4042">
        <w:t xml:space="preserve">If regard is </w:t>
      </w:r>
      <w:r w:rsidR="00BB3FC8">
        <w:t xml:space="preserve">also </w:t>
      </w:r>
      <w:r w:rsidR="002B4042">
        <w:t>had to the previous tender made by the defendant to contribute R200 000,00</w:t>
      </w:r>
      <w:r w:rsidR="00B66F57">
        <w:t xml:space="preserve"> towards the plaintiff’s costs</w:t>
      </w:r>
      <w:r w:rsidR="002B4042">
        <w:rPr>
          <w:rStyle w:val="FootnoteReference"/>
        </w:rPr>
        <w:footnoteReference w:id="23"/>
      </w:r>
      <w:r w:rsidR="002B4042">
        <w:t xml:space="preserve"> </w:t>
      </w:r>
    </w:p>
    <w:p w14:paraId="57378C31" w14:textId="77777777" w:rsidR="00F04A32" w:rsidRDefault="002B4042" w:rsidP="00F04A32">
      <w:pPr>
        <w:pStyle w:val="Heading1"/>
        <w:numPr>
          <w:ilvl w:val="0"/>
          <w:numId w:val="0"/>
        </w:numPr>
        <w:ind w:left="1871" w:hanging="1009"/>
        <w:rPr>
          <w:i/>
          <w:iCs/>
        </w:rPr>
      </w:pPr>
      <w:r>
        <w:rPr>
          <w:i/>
          <w:iCs/>
        </w:rPr>
        <w:t>“[16]</w:t>
      </w:r>
      <w:r>
        <w:rPr>
          <w:i/>
          <w:iCs/>
        </w:rPr>
        <w:tab/>
        <w:t xml:space="preserve">Solely in an effort </w:t>
      </w:r>
      <w:r w:rsidR="00F04A32">
        <w:rPr>
          <w:i/>
          <w:iCs/>
        </w:rPr>
        <w:t>to curtail the costs and expense of a Rule 43 application which our client might be forced to oppose and without conceding in any form or fashion that your client is entitled to as much as we tendered below, our client is prepared to offer your client a contribution toward her costs, on account in respect of any settlement reached, the amount of R200 000,00 plus VAT.”</w:t>
      </w:r>
    </w:p>
    <w:p w14:paraId="33392C81" w14:textId="69A432A0" w:rsidR="009F7593" w:rsidRDefault="00F04A32" w:rsidP="00F04A32">
      <w:pPr>
        <w:pStyle w:val="Heading1"/>
        <w:numPr>
          <w:ilvl w:val="0"/>
          <w:numId w:val="0"/>
        </w:numPr>
        <w:ind w:left="862" w:hanging="862"/>
      </w:pPr>
      <w:r>
        <w:rPr>
          <w:i/>
          <w:iCs/>
        </w:rPr>
        <w:tab/>
        <w:t xml:space="preserve">- </w:t>
      </w:r>
      <w:r w:rsidR="00B66F57">
        <w:t>it is plain</w:t>
      </w:r>
      <w:r w:rsidR="00BB3FC8">
        <w:t>,</w:t>
      </w:r>
      <w:r w:rsidR="00B66F57">
        <w:t xml:space="preserve"> that the plaintiff is </w:t>
      </w:r>
      <w:r w:rsidRPr="00F04A32">
        <w:t>entitled to the utmost expeditious procedures available</w:t>
      </w:r>
      <w:r>
        <w:t xml:space="preserve">.  </w:t>
      </w:r>
      <w:r w:rsidR="00BB3FC8">
        <w:t xml:space="preserve">Based on the </w:t>
      </w:r>
      <w:proofErr w:type="spellStart"/>
      <w:r w:rsidR="00BB3FC8">
        <w:t>aforestated</w:t>
      </w:r>
      <w:proofErr w:type="spellEnd"/>
      <w:r w:rsidR="00BB3FC8">
        <w:t xml:space="preserve"> authorities and the defendant’s conduct</w:t>
      </w:r>
      <w:r>
        <w:t xml:space="preserve">, I find that this application is </w:t>
      </w:r>
      <w:r w:rsidR="00BB3FC8">
        <w:t xml:space="preserve">urgent. </w:t>
      </w:r>
      <w:r>
        <w:t xml:space="preserve">  </w:t>
      </w:r>
    </w:p>
    <w:p w14:paraId="54AD14E9" w14:textId="378874E6" w:rsidR="00F04A32" w:rsidRDefault="00F04A32" w:rsidP="00F04A32">
      <w:pPr>
        <w:rPr>
          <w:b/>
          <w:bCs/>
          <w:u w:val="single"/>
        </w:rPr>
      </w:pPr>
      <w:r>
        <w:rPr>
          <w:b/>
          <w:bCs/>
          <w:u w:val="single"/>
        </w:rPr>
        <w:t>The contempt application</w:t>
      </w:r>
    </w:p>
    <w:p w14:paraId="634D8A0E" w14:textId="0AA0B73A" w:rsidR="00F04A32" w:rsidRDefault="00273796" w:rsidP="00273796">
      <w:pPr>
        <w:pStyle w:val="Heading1"/>
        <w:numPr>
          <w:ilvl w:val="0"/>
          <w:numId w:val="0"/>
        </w:numPr>
        <w:tabs>
          <w:tab w:val="left" w:pos="862"/>
        </w:tabs>
        <w:ind w:left="862" w:hanging="862"/>
      </w:pPr>
      <w:r>
        <w:t>[19]</w:t>
      </w:r>
      <w:r>
        <w:tab/>
      </w:r>
      <w:r w:rsidR="0066424A">
        <w:t xml:space="preserve">In </w:t>
      </w:r>
      <w:r w:rsidR="0066424A" w:rsidRPr="009F7593">
        <w:rPr>
          <w:b/>
          <w:bCs/>
          <w:i/>
          <w:iCs/>
        </w:rPr>
        <w:t>Secretary of the Judicial Commission of Inquiry into Allegations of State Capture, Corruption and Fraud in the Public Sector including Organs of</w:t>
      </w:r>
      <w:r w:rsidR="0066424A">
        <w:rPr>
          <w:rStyle w:val="FootnoteReference"/>
        </w:rPr>
        <w:footnoteReference w:id="24"/>
      </w:r>
      <w:r w:rsidR="0066424A">
        <w:rPr>
          <w:b/>
          <w:bCs/>
          <w:i/>
          <w:iCs/>
        </w:rPr>
        <w:t xml:space="preserve"> </w:t>
      </w:r>
      <w:r w:rsidR="0066424A">
        <w:t>it was held:</w:t>
      </w:r>
    </w:p>
    <w:p w14:paraId="376AD960" w14:textId="0256717C" w:rsidR="00CD5BC9" w:rsidRPr="0066424A" w:rsidRDefault="0066424A" w:rsidP="00CD5BC9">
      <w:pPr>
        <w:pStyle w:val="NormalWeb"/>
        <w:shd w:val="clear" w:color="auto" w:fill="FFFFFF"/>
        <w:spacing w:before="144" w:beforeAutospacing="0" w:after="288" w:afterAutospacing="0" w:line="360" w:lineRule="atLeast"/>
        <w:ind w:firstLine="720"/>
        <w:rPr>
          <w:rFonts w:ascii="Arial" w:hAnsi="Arial" w:cs="Arial"/>
          <w:i/>
          <w:iCs/>
          <w:color w:val="242121"/>
          <w:lang w:val="en-GB"/>
        </w:rPr>
      </w:pPr>
      <w:r>
        <w:rPr>
          <w:rFonts w:ascii="Arial" w:hAnsi="Arial" w:cs="Arial"/>
          <w:i/>
          <w:iCs/>
          <w:color w:val="242121"/>
          <w:lang w:val="en-GB"/>
        </w:rPr>
        <w:t>“</w:t>
      </w:r>
      <w:r w:rsidR="00CD5BC9" w:rsidRPr="0066424A">
        <w:rPr>
          <w:rFonts w:ascii="Arial" w:hAnsi="Arial" w:cs="Arial"/>
          <w:i/>
          <w:iCs/>
          <w:color w:val="242121"/>
          <w:lang w:val="en-GB"/>
        </w:rPr>
        <w:t>The importance of ensuring that court orders are obeyed</w:t>
      </w:r>
    </w:p>
    <w:p w14:paraId="19220488" w14:textId="61FC2FA6" w:rsidR="00CD5BC9" w:rsidRDefault="0069261B" w:rsidP="0069261B">
      <w:pPr>
        <w:ind w:left="1871" w:hanging="1871"/>
        <w:rPr>
          <w:i/>
          <w:iCs/>
          <w:lang w:val="en-GB"/>
        </w:rPr>
      </w:pPr>
      <w:bookmarkStart w:id="9" w:name="_Ref69475222"/>
      <w:bookmarkEnd w:id="9"/>
      <w:r>
        <w:rPr>
          <w:i/>
          <w:iCs/>
          <w:color w:val="000000"/>
          <w:lang w:val="en-GB"/>
        </w:rPr>
        <w:tab/>
      </w:r>
      <w:r w:rsidR="00CD5BC9" w:rsidRPr="0069261B">
        <w:rPr>
          <w:i/>
          <w:iCs/>
          <w:color w:val="000000"/>
          <w:lang w:val="en-GB"/>
        </w:rPr>
        <w:t>[59]</w:t>
      </w:r>
      <w:r>
        <w:rPr>
          <w:i/>
          <w:iCs/>
          <w:color w:val="000000"/>
          <w:lang w:val="en-GB"/>
        </w:rPr>
        <w:tab/>
      </w:r>
      <w:r w:rsidR="00CD5BC9" w:rsidRPr="0069261B">
        <w:rPr>
          <w:i/>
          <w:iCs/>
          <w:lang w:val="en-GB"/>
        </w:rPr>
        <w:t>It cannot be gainsaid that orders of court bind all to whom they apply.</w:t>
      </w:r>
      <w:bookmarkStart w:id="10" w:name="_ftnref60"/>
      <w:r w:rsidR="0066424A" w:rsidRPr="0069261B">
        <w:rPr>
          <w:rStyle w:val="FootnoteReference"/>
          <w:rFonts w:cs="Arial"/>
          <w:i/>
          <w:iCs/>
          <w:szCs w:val="24"/>
          <w:lang w:val="en-GB"/>
        </w:rPr>
        <w:footnoteReference w:id="25"/>
      </w:r>
      <w:bookmarkEnd w:id="10"/>
      <w:r w:rsidR="00CD5BC9" w:rsidRPr="0069261B">
        <w:rPr>
          <w:i/>
          <w:iCs/>
          <w:lang w:val="en-GB"/>
        </w:rPr>
        <w:t xml:space="preserve">  In fact, all orders of court, whether correctly or incorrectly granted, have to be obeyed unless they are properly </w:t>
      </w:r>
      <w:r w:rsidR="00CD5BC9" w:rsidRPr="0069261B">
        <w:rPr>
          <w:i/>
          <w:iCs/>
          <w:lang w:val="en-GB"/>
        </w:rPr>
        <w:lastRenderedPageBreak/>
        <w:t>set aside.</w:t>
      </w:r>
      <w:bookmarkStart w:id="11" w:name="_ftnref61"/>
      <w:r w:rsidR="0066424A" w:rsidRPr="0069261B">
        <w:rPr>
          <w:rStyle w:val="FootnoteReference"/>
          <w:rFonts w:cs="Arial"/>
          <w:i/>
          <w:iCs/>
          <w:szCs w:val="24"/>
          <w:lang w:val="en-GB"/>
        </w:rPr>
        <w:footnoteReference w:id="26"/>
      </w:r>
      <w:bookmarkEnd w:id="11"/>
      <w:r w:rsidR="00CD5BC9" w:rsidRPr="0069261B">
        <w:rPr>
          <w:i/>
          <w:iCs/>
          <w:lang w:val="en-GB"/>
        </w:rPr>
        <w:t>  This, in addition to typifying common sense, the Constitution itself enjoins.  Section 165(5) of the Constitution itself provides that an order or decision binds all persons to whom it applies.  The reason being that ensuring the effectiveness of the Judiciary is an imperative.  This has been confirmed in multiple cases, including </w:t>
      </w:r>
      <w:proofErr w:type="spellStart"/>
      <w:r w:rsidR="00CD5BC9" w:rsidRPr="0069261B">
        <w:rPr>
          <w:i/>
          <w:iCs/>
          <w:lang w:val="en-GB"/>
        </w:rPr>
        <w:t>M</w:t>
      </w:r>
      <w:r w:rsidR="00B63881">
        <w:rPr>
          <w:i/>
          <w:iCs/>
          <w:lang w:val="en-GB"/>
        </w:rPr>
        <w:t>j</w:t>
      </w:r>
      <w:r w:rsidR="00CD5BC9" w:rsidRPr="0069261B">
        <w:rPr>
          <w:i/>
          <w:iCs/>
          <w:lang w:val="en-GB"/>
        </w:rPr>
        <w:t>eni</w:t>
      </w:r>
      <w:proofErr w:type="spellEnd"/>
      <w:r w:rsidR="00CD5BC9" w:rsidRPr="0069261B">
        <w:rPr>
          <w:i/>
          <w:iCs/>
          <w:lang w:val="en-GB"/>
        </w:rPr>
        <w:t>, in which the Court stated that “there is no doubt, I venture to say, that [complying with court orders] constitutes the most important and fundamental duty imposed upon the State by the Constitution”.</w:t>
      </w:r>
      <w:bookmarkStart w:id="12" w:name="_ftnref62"/>
      <w:r w:rsidR="0066424A" w:rsidRPr="0069261B">
        <w:rPr>
          <w:rStyle w:val="FootnoteReference"/>
          <w:rFonts w:cs="Arial"/>
          <w:i/>
          <w:iCs/>
          <w:szCs w:val="24"/>
          <w:lang w:val="en-GB"/>
        </w:rPr>
        <w:footnoteReference w:id="27"/>
      </w:r>
      <w:bookmarkEnd w:id="12"/>
      <w:r w:rsidR="00CD5BC9" w:rsidRPr="0069261B">
        <w:rPr>
          <w:i/>
          <w:iCs/>
          <w:lang w:val="en-GB"/>
        </w:rPr>
        <w:t>  On this, the then Chief Justice Mahomed, writing extra </w:t>
      </w:r>
      <w:proofErr w:type="spellStart"/>
      <w:r w:rsidR="00CD5BC9" w:rsidRPr="0069261B">
        <w:rPr>
          <w:i/>
          <w:iCs/>
          <w:lang w:val="en-GB"/>
        </w:rPr>
        <w:t>curially</w:t>
      </w:r>
      <w:proofErr w:type="spellEnd"/>
      <w:r w:rsidR="00CD5BC9" w:rsidRPr="0069261B">
        <w:rPr>
          <w:i/>
          <w:iCs/>
          <w:lang w:val="en-GB"/>
        </w:rPr>
        <w:t xml:space="preserve"> in 1998, said:</w:t>
      </w:r>
    </w:p>
    <w:p w14:paraId="7AD26FDF" w14:textId="77777777" w:rsidR="0069261B" w:rsidRDefault="0069261B" w:rsidP="0069261B">
      <w:pPr>
        <w:ind w:left="1871" w:hanging="1871"/>
        <w:rPr>
          <w:rFonts w:cs="Arial"/>
          <w:i/>
          <w:iCs/>
          <w:color w:val="242121"/>
          <w:szCs w:val="24"/>
          <w:lang w:val="en-GB"/>
        </w:rPr>
      </w:pPr>
      <w:r>
        <w:rPr>
          <w:i/>
          <w:iCs/>
          <w:color w:val="000000"/>
          <w:lang w:val="en-GB"/>
        </w:rPr>
        <w:tab/>
      </w:r>
      <w:r>
        <w:rPr>
          <w:i/>
          <w:iCs/>
          <w:color w:val="000000"/>
          <w:lang w:val="en-GB"/>
        </w:rPr>
        <w:tab/>
      </w:r>
      <w:r w:rsidR="00CD5BC9" w:rsidRPr="0066424A">
        <w:rPr>
          <w:rFonts w:cs="Arial"/>
          <w:i/>
          <w:iCs/>
          <w:color w:val="242121"/>
          <w:szCs w:val="24"/>
        </w:rPr>
        <w:t>“</w:t>
      </w:r>
      <w:r w:rsidR="00CD5BC9" w:rsidRPr="0066424A">
        <w:rPr>
          <w:rFonts w:cs="Arial"/>
          <w:i/>
          <w:iCs/>
          <w:color w:val="242121"/>
          <w:szCs w:val="24"/>
          <w:lang w:val="en-GB"/>
        </w:rPr>
        <w:t xml:space="preserve">The exact boundaries of judicial power have varied from time to time and from country to country, but the principle of an independent Judiciary goes to the very heart of sustainable democracy based on the rule of law.  Subvert it and you subvert the very foundations of the civilisation which it protects . . . </w:t>
      </w:r>
    </w:p>
    <w:p w14:paraId="32C8C3CD" w14:textId="103E5FDE" w:rsidR="00CD5BC9" w:rsidRDefault="0069261B" w:rsidP="0069261B">
      <w:pPr>
        <w:ind w:left="1871" w:hanging="1871"/>
        <w:rPr>
          <w:rFonts w:cs="Arial"/>
          <w:i/>
          <w:iCs/>
          <w:color w:val="242121"/>
          <w:szCs w:val="24"/>
        </w:rPr>
      </w:pPr>
      <w:r>
        <w:rPr>
          <w:rFonts w:cs="Arial"/>
          <w:i/>
          <w:iCs/>
          <w:color w:val="242121"/>
          <w:szCs w:val="24"/>
          <w:lang w:val="en-GB"/>
        </w:rPr>
        <w:tab/>
      </w:r>
      <w:r>
        <w:rPr>
          <w:rFonts w:cs="Arial"/>
          <w:i/>
          <w:iCs/>
          <w:color w:val="242121"/>
          <w:szCs w:val="24"/>
          <w:lang w:val="en-GB"/>
        </w:rPr>
        <w:tab/>
      </w:r>
      <w:r w:rsidR="00CD5BC9" w:rsidRPr="0066424A">
        <w:rPr>
          <w:rFonts w:cs="Arial"/>
          <w:i/>
          <w:iCs/>
          <w:color w:val="242121"/>
          <w:szCs w:val="24"/>
          <w:lang w:val="en-GB"/>
        </w:rPr>
        <w:t>.  What judicial independence means in principle is simply the right and the duty of Judges to perform the function of judicial adjudication through an application of their own integrity and the law, without any actual or perceived, direct or indirect interference from or dependence on any person or institution.”</w:t>
      </w:r>
      <w:bookmarkStart w:id="13" w:name="_ftnref63"/>
      <w:r w:rsidR="0066424A" w:rsidRPr="0066424A">
        <w:rPr>
          <w:rStyle w:val="FootnoteReference"/>
          <w:rFonts w:cs="Arial"/>
          <w:i/>
          <w:iCs/>
          <w:szCs w:val="24"/>
          <w:lang w:val="en-GB"/>
        </w:rPr>
        <w:footnoteReference w:id="28"/>
      </w:r>
      <w:bookmarkEnd w:id="13"/>
      <w:r>
        <w:rPr>
          <w:rFonts w:cs="Arial"/>
          <w:i/>
          <w:iCs/>
          <w:color w:val="242121"/>
          <w:szCs w:val="24"/>
        </w:rPr>
        <w:t xml:space="preserve"> </w:t>
      </w:r>
    </w:p>
    <w:p w14:paraId="06115529" w14:textId="43F07235" w:rsidR="00CD5BC9" w:rsidRDefault="0069261B" w:rsidP="0069261B">
      <w:pPr>
        <w:ind w:left="1871" w:hanging="1871"/>
        <w:rPr>
          <w:rFonts w:cs="Arial"/>
          <w:i/>
          <w:iCs/>
          <w:color w:val="242121"/>
          <w:szCs w:val="24"/>
          <w:lang w:val="en-GB"/>
        </w:rPr>
      </w:pPr>
      <w:r>
        <w:rPr>
          <w:rFonts w:cs="Arial"/>
          <w:i/>
          <w:iCs/>
          <w:color w:val="242121"/>
          <w:szCs w:val="24"/>
          <w:lang w:val="en-GB"/>
        </w:rPr>
        <w:tab/>
      </w:r>
      <w:r w:rsidR="00CD5BC9" w:rsidRPr="0066424A">
        <w:rPr>
          <w:rFonts w:cs="Arial"/>
          <w:i/>
          <w:iCs/>
          <w:color w:val="000000"/>
          <w:szCs w:val="24"/>
          <w:lang w:val="en-GB"/>
        </w:rPr>
        <w:t>[60]</w:t>
      </w:r>
      <w:r>
        <w:rPr>
          <w:rFonts w:cs="Arial"/>
          <w:i/>
          <w:iCs/>
          <w:color w:val="000000"/>
          <w:szCs w:val="24"/>
          <w:lang w:val="en-GB"/>
        </w:rPr>
        <w:tab/>
      </w:r>
      <w:r w:rsidR="00CD5BC9" w:rsidRPr="0066424A">
        <w:rPr>
          <w:rFonts w:cs="Arial"/>
          <w:i/>
          <w:iCs/>
          <w:color w:val="242121"/>
          <w:szCs w:val="24"/>
          <w:lang w:val="en-GB"/>
        </w:rPr>
        <w:t>As this Court held in </w:t>
      </w:r>
      <w:proofErr w:type="spellStart"/>
      <w:r w:rsidR="00CD5BC9" w:rsidRPr="0066424A">
        <w:rPr>
          <w:rFonts w:cs="Arial"/>
          <w:i/>
          <w:iCs/>
          <w:color w:val="242121"/>
          <w:szCs w:val="24"/>
          <w:lang w:val="en-GB"/>
        </w:rPr>
        <w:t>Tasima</w:t>
      </w:r>
      <w:proofErr w:type="spellEnd"/>
      <w:r w:rsidR="00CD5BC9" w:rsidRPr="0066424A">
        <w:rPr>
          <w:rFonts w:cs="Arial"/>
          <w:i/>
          <w:iCs/>
          <w:color w:val="242121"/>
          <w:szCs w:val="24"/>
          <w:lang w:val="en-GB"/>
        </w:rPr>
        <w:t xml:space="preserve"> I, “the obligation to obey court orders has at its heart the very effectiveness and legitimacy of the judicial system . . . and is the stanchion around which a State </w:t>
      </w:r>
      <w:r w:rsidR="00CD5BC9" w:rsidRPr="0066424A">
        <w:rPr>
          <w:rFonts w:cs="Arial"/>
          <w:i/>
          <w:iCs/>
          <w:color w:val="242121"/>
          <w:szCs w:val="24"/>
          <w:lang w:val="en-GB"/>
        </w:rPr>
        <w:lastRenderedPageBreak/>
        <w:t>founded on the supremacy of the Constitution and the rule of law is built”.</w:t>
      </w:r>
      <w:bookmarkStart w:id="14" w:name="_ftnref64"/>
      <w:r w:rsidR="0066424A" w:rsidRPr="0066424A">
        <w:rPr>
          <w:rStyle w:val="FootnoteReference"/>
          <w:rFonts w:cs="Arial"/>
          <w:i/>
          <w:iCs/>
          <w:szCs w:val="24"/>
          <w:lang w:val="en-GB"/>
        </w:rPr>
        <w:footnoteReference w:id="29"/>
      </w:r>
      <w:bookmarkEnd w:id="14"/>
      <w:r w:rsidR="00CD5BC9" w:rsidRPr="0066424A">
        <w:rPr>
          <w:rFonts w:cs="Arial"/>
          <w:i/>
          <w:iCs/>
          <w:color w:val="242121"/>
          <w:szCs w:val="24"/>
          <w:lang w:val="en-GB"/>
        </w:rPr>
        <w:t> </w:t>
      </w:r>
    </w:p>
    <w:p w14:paraId="736114F4" w14:textId="159F946D" w:rsidR="00CD5BC9" w:rsidRDefault="0069261B" w:rsidP="0069261B">
      <w:pPr>
        <w:ind w:left="1871" w:hanging="1871"/>
        <w:rPr>
          <w:rFonts w:cs="Arial"/>
          <w:i/>
          <w:iCs/>
          <w:color w:val="242121"/>
          <w:szCs w:val="24"/>
          <w:lang w:val="en-GB"/>
        </w:rPr>
      </w:pPr>
      <w:r>
        <w:rPr>
          <w:rFonts w:cs="Arial"/>
          <w:i/>
          <w:iCs/>
          <w:color w:val="000000"/>
          <w:szCs w:val="24"/>
          <w:lang w:val="en-GB"/>
        </w:rPr>
        <w:tab/>
        <w:t>[</w:t>
      </w:r>
      <w:r w:rsidR="00CD5BC9" w:rsidRPr="0066424A">
        <w:rPr>
          <w:rFonts w:cs="Arial"/>
          <w:i/>
          <w:iCs/>
          <w:color w:val="000000"/>
          <w:szCs w:val="24"/>
          <w:lang w:val="en-GB"/>
        </w:rPr>
        <w:t>107]</w:t>
      </w:r>
      <w:r>
        <w:rPr>
          <w:rFonts w:cs="Arial"/>
          <w:i/>
          <w:iCs/>
          <w:color w:val="000000"/>
          <w:szCs w:val="24"/>
          <w:lang w:val="en-GB"/>
        </w:rPr>
        <w:tab/>
      </w:r>
      <w:r w:rsidR="00CD5BC9" w:rsidRPr="0066424A">
        <w:rPr>
          <w:rFonts w:cs="Arial"/>
          <w:i/>
          <w:iCs/>
          <w:color w:val="242121"/>
          <w:szCs w:val="24"/>
          <w:lang w:val="en-GB"/>
        </w:rPr>
        <w:t>Firstly, our jurisprudence signals that purely punitive orders of committal in contempt proceedings are possible.  In Victoria Park Ratepayers’ Association, the Court, upon establishing that the respondent was in contempt, notably said the following:</w:t>
      </w:r>
    </w:p>
    <w:p w14:paraId="044C4E16" w14:textId="72B0A002" w:rsidR="00CD5BC9" w:rsidRDefault="0069261B" w:rsidP="0069261B">
      <w:pPr>
        <w:ind w:left="1871" w:hanging="1871"/>
        <w:rPr>
          <w:rFonts w:cs="Arial"/>
          <w:i/>
          <w:iCs/>
          <w:color w:val="242121"/>
          <w:szCs w:val="24"/>
        </w:rPr>
      </w:pPr>
      <w:r>
        <w:rPr>
          <w:rFonts w:cs="Arial"/>
          <w:i/>
          <w:iCs/>
          <w:color w:val="000000"/>
          <w:szCs w:val="24"/>
          <w:lang w:val="en-GB"/>
        </w:rPr>
        <w:tab/>
      </w:r>
      <w:r>
        <w:rPr>
          <w:rFonts w:cs="Arial"/>
          <w:i/>
          <w:iCs/>
          <w:color w:val="000000"/>
          <w:szCs w:val="24"/>
          <w:lang w:val="en-GB"/>
        </w:rPr>
        <w:tab/>
      </w:r>
      <w:r w:rsidR="00CD5BC9" w:rsidRPr="0066424A">
        <w:rPr>
          <w:rFonts w:cs="Arial"/>
          <w:i/>
          <w:iCs/>
          <w:color w:val="242121"/>
          <w:szCs w:val="24"/>
        </w:rPr>
        <w:t>“</w:t>
      </w:r>
      <w:r w:rsidR="00CD5BC9" w:rsidRPr="0066424A">
        <w:rPr>
          <w:rFonts w:cs="Arial"/>
          <w:i/>
          <w:iCs/>
          <w:color w:val="242121"/>
          <w:szCs w:val="24"/>
          <w:lang w:val="en-GB"/>
        </w:rPr>
        <w:t>I view the respondents’ contempt in a very serious light.  It is brazen and disdainful of the rights of others.  It seeks to bring the administration of justice into disrepute by undermining one of the most important foundations of an ordered and civilised society, respect for, and obedience to, the law.  I would have considered sentencing Mr Melville to a term of imprisonment, without the option of a fine and without suspending it, but for the fact that the applicant did not seek such a sentence in their notice of motion.”</w:t>
      </w:r>
      <w:bookmarkStart w:id="15" w:name="_ftnref121"/>
      <w:r w:rsidR="0066424A" w:rsidRPr="0066424A">
        <w:rPr>
          <w:rStyle w:val="FootnoteReference"/>
          <w:rFonts w:cs="Arial"/>
          <w:i/>
          <w:iCs/>
          <w:szCs w:val="24"/>
          <w:lang w:val="en-GB"/>
        </w:rPr>
        <w:footnoteReference w:id="30"/>
      </w:r>
      <w:bookmarkEnd w:id="15"/>
      <w:r>
        <w:rPr>
          <w:rFonts w:cs="Arial"/>
          <w:i/>
          <w:iCs/>
          <w:color w:val="242121"/>
          <w:szCs w:val="24"/>
        </w:rPr>
        <w:t xml:space="preserve"> </w:t>
      </w:r>
    </w:p>
    <w:p w14:paraId="354DC507" w14:textId="7F993FEF" w:rsidR="00CD5BC9" w:rsidRDefault="0069261B" w:rsidP="0069261B">
      <w:pPr>
        <w:ind w:left="1871" w:hanging="1871"/>
        <w:rPr>
          <w:rFonts w:cs="Arial"/>
          <w:i/>
          <w:iCs/>
          <w:color w:val="242121"/>
          <w:szCs w:val="24"/>
          <w:lang w:val="en-GB"/>
        </w:rPr>
      </w:pPr>
      <w:r>
        <w:rPr>
          <w:rFonts w:cs="Arial"/>
          <w:i/>
          <w:iCs/>
          <w:color w:val="242121"/>
          <w:szCs w:val="24"/>
        </w:rPr>
        <w:tab/>
      </w:r>
      <w:r w:rsidR="00CD5BC9" w:rsidRPr="0066424A">
        <w:rPr>
          <w:rFonts w:cs="Arial"/>
          <w:i/>
          <w:iCs/>
          <w:color w:val="000000"/>
          <w:szCs w:val="24"/>
          <w:lang w:val="en-GB"/>
        </w:rPr>
        <w:t>[108]</w:t>
      </w:r>
      <w:r>
        <w:rPr>
          <w:rFonts w:cs="Arial"/>
          <w:i/>
          <w:iCs/>
          <w:color w:val="000000"/>
          <w:szCs w:val="24"/>
          <w:lang w:val="en-GB"/>
        </w:rPr>
        <w:tab/>
      </w:r>
      <w:r w:rsidR="00CD5BC9" w:rsidRPr="0066424A">
        <w:rPr>
          <w:rFonts w:cs="Arial"/>
          <w:i/>
          <w:iCs/>
          <w:color w:val="242121"/>
          <w:szCs w:val="24"/>
          <w:lang w:val="en-GB"/>
        </w:rPr>
        <w:t xml:space="preserve">This was in respect of a contemptuous respondent who ran a bar that caused a nuisance to the neighbouring residents, which nuisance persisted unabated contrary to an order requiring his desistance, resulting in contempt proceedings.  I find myself confronted with a far more egregious factual matrix, coupled with the fact that Mr Zuma has failed to either contest his contempt or seek an opportunity to purge the contempt.  This case cries out </w:t>
      </w:r>
      <w:proofErr w:type="spellStart"/>
      <w:r w:rsidR="00CD5BC9" w:rsidRPr="0066424A">
        <w:rPr>
          <w:rFonts w:cs="Arial"/>
          <w:i/>
          <w:iCs/>
          <w:color w:val="242121"/>
          <w:szCs w:val="24"/>
          <w:lang w:val="en-GB"/>
        </w:rPr>
        <w:t>far</w:t>
      </w:r>
      <w:proofErr w:type="spellEnd"/>
      <w:r w:rsidR="00CD5BC9" w:rsidRPr="0066424A">
        <w:rPr>
          <w:rFonts w:cs="Arial"/>
          <w:i/>
          <w:iCs/>
          <w:color w:val="242121"/>
          <w:szCs w:val="24"/>
          <w:lang w:val="en-GB"/>
        </w:rPr>
        <w:t xml:space="preserve"> louder for an unsuspended sentence than did Victoria Park Ratepayers’ Association, where the Court was on the verge of granting one.  Accordingly, I can see no reason why I should </w:t>
      </w:r>
      <w:r w:rsidR="00CD5BC9" w:rsidRPr="0066424A">
        <w:rPr>
          <w:rFonts w:cs="Arial"/>
          <w:i/>
          <w:iCs/>
          <w:color w:val="242121"/>
          <w:szCs w:val="24"/>
          <w:lang w:val="en-GB"/>
        </w:rPr>
        <w:lastRenderedPageBreak/>
        <w:t>sit on any verge.</w:t>
      </w:r>
    </w:p>
    <w:p w14:paraId="3BAF4BD6" w14:textId="5F661E2C" w:rsidR="0069261B" w:rsidRDefault="0069261B" w:rsidP="0069261B">
      <w:pPr>
        <w:ind w:left="1871" w:hanging="1871"/>
        <w:rPr>
          <w:rFonts w:cs="Arial"/>
          <w:i/>
          <w:iCs/>
          <w:color w:val="242121"/>
          <w:szCs w:val="24"/>
          <w:lang w:val="en-GB"/>
        </w:rPr>
      </w:pPr>
      <w:r>
        <w:rPr>
          <w:rFonts w:cs="Arial"/>
          <w:i/>
          <w:iCs/>
          <w:color w:val="000000"/>
          <w:szCs w:val="24"/>
          <w:lang w:val="en-GB"/>
        </w:rPr>
        <w:tab/>
      </w:r>
      <w:r w:rsidR="00CD5BC9" w:rsidRPr="0066424A">
        <w:rPr>
          <w:rFonts w:cs="Arial"/>
          <w:i/>
          <w:iCs/>
          <w:color w:val="000000"/>
          <w:szCs w:val="24"/>
          <w:lang w:val="en-GB"/>
        </w:rPr>
        <w:t>[109]</w:t>
      </w:r>
      <w:r>
        <w:rPr>
          <w:rFonts w:cs="Arial"/>
          <w:i/>
          <w:iCs/>
          <w:color w:val="000000"/>
          <w:szCs w:val="24"/>
          <w:lang w:val="en-GB"/>
        </w:rPr>
        <w:tab/>
      </w:r>
      <w:r w:rsidR="00CD5BC9" w:rsidRPr="0066424A">
        <w:rPr>
          <w:rFonts w:cs="Arial"/>
          <w:i/>
          <w:iCs/>
          <w:color w:val="242121"/>
          <w:szCs w:val="24"/>
          <w:lang w:val="en-GB"/>
        </w:rPr>
        <w:t>In addition, it was said by Cameron JA in </w:t>
      </w:r>
      <w:proofErr w:type="spellStart"/>
      <w:r w:rsidR="00CD5BC9" w:rsidRPr="0066424A">
        <w:rPr>
          <w:rFonts w:cs="Arial"/>
          <w:i/>
          <w:iCs/>
          <w:color w:val="242121"/>
          <w:szCs w:val="24"/>
          <w:lang w:val="en-GB"/>
        </w:rPr>
        <w:t>Fakie</w:t>
      </w:r>
      <w:proofErr w:type="spellEnd"/>
      <w:r w:rsidR="00CD5BC9" w:rsidRPr="0066424A">
        <w:rPr>
          <w:rFonts w:cs="Arial"/>
          <w:i/>
          <w:iCs/>
          <w:color w:val="242121"/>
          <w:szCs w:val="24"/>
          <w:lang w:val="en-GB"/>
        </w:rPr>
        <w:t>, that</w:t>
      </w:r>
      <w:r>
        <w:rPr>
          <w:rFonts w:cs="Arial"/>
          <w:i/>
          <w:iCs/>
          <w:color w:val="242121"/>
          <w:szCs w:val="24"/>
          <w:lang w:val="en-GB"/>
        </w:rPr>
        <w:t xml:space="preserve"> –</w:t>
      </w:r>
    </w:p>
    <w:p w14:paraId="7775D5F8" w14:textId="3469B6F7" w:rsidR="00CD5BC9" w:rsidRDefault="0069261B" w:rsidP="0069261B">
      <w:pPr>
        <w:ind w:left="1871" w:hanging="1871"/>
        <w:rPr>
          <w:rFonts w:cs="Arial"/>
          <w:i/>
          <w:iCs/>
          <w:color w:val="242121"/>
          <w:szCs w:val="24"/>
        </w:rPr>
      </w:pPr>
      <w:r>
        <w:rPr>
          <w:rFonts w:cs="Arial"/>
          <w:i/>
          <w:iCs/>
          <w:color w:val="000000"/>
          <w:szCs w:val="24"/>
          <w:lang w:val="en-GB"/>
        </w:rPr>
        <w:tab/>
      </w:r>
      <w:r>
        <w:rPr>
          <w:rFonts w:cs="Arial"/>
          <w:i/>
          <w:iCs/>
          <w:color w:val="000000"/>
          <w:szCs w:val="24"/>
          <w:lang w:val="en-GB"/>
        </w:rPr>
        <w:tab/>
      </w:r>
      <w:r w:rsidR="00CD5BC9" w:rsidRPr="0066424A">
        <w:rPr>
          <w:rFonts w:cs="Arial"/>
          <w:i/>
          <w:iCs/>
          <w:color w:val="242121"/>
          <w:szCs w:val="24"/>
        </w:rPr>
        <w:t>“</w:t>
      </w:r>
      <w:r w:rsidR="00CD5BC9" w:rsidRPr="0066424A">
        <w:rPr>
          <w:rFonts w:cs="Arial"/>
          <w:i/>
          <w:iCs/>
          <w:color w:val="242121"/>
          <w:szCs w:val="24"/>
          <w:lang w:val="en-GB"/>
        </w:rPr>
        <w:t xml:space="preserve">[civil contempt proceedings] permit a private litigant who has obtained a court order requiring an opponent to do or not do something (ad factum </w:t>
      </w:r>
      <w:proofErr w:type="spellStart"/>
      <w:r w:rsidR="00CD5BC9" w:rsidRPr="0066424A">
        <w:rPr>
          <w:rFonts w:cs="Arial"/>
          <w:i/>
          <w:iCs/>
          <w:color w:val="242121"/>
          <w:szCs w:val="24"/>
          <w:lang w:val="en-GB"/>
        </w:rPr>
        <w:t>praestandum</w:t>
      </w:r>
      <w:proofErr w:type="spellEnd"/>
      <w:r w:rsidR="00CD5BC9" w:rsidRPr="0066424A">
        <w:rPr>
          <w:rFonts w:cs="Arial"/>
          <w:i/>
          <w:iCs/>
          <w:color w:val="242121"/>
          <w:szCs w:val="24"/>
          <w:lang w:val="en-GB"/>
        </w:rPr>
        <w:t xml:space="preserve">), to approach the court again, in the event of non-compliance, for a further order declaring the </w:t>
      </w:r>
      <w:r w:rsidR="00082815" w:rsidRPr="0066424A">
        <w:rPr>
          <w:rFonts w:cs="Arial"/>
          <w:i/>
          <w:iCs/>
          <w:color w:val="242121"/>
          <w:szCs w:val="24"/>
          <w:lang w:val="en-GB"/>
        </w:rPr>
        <w:t>non-compliant</w:t>
      </w:r>
      <w:r w:rsidR="00CD5BC9" w:rsidRPr="0066424A">
        <w:rPr>
          <w:rFonts w:cs="Arial"/>
          <w:i/>
          <w:iCs/>
          <w:color w:val="242121"/>
          <w:szCs w:val="24"/>
          <w:lang w:val="en-GB"/>
        </w:rPr>
        <w:t xml:space="preserve"> party in contempt of court, and imposing a sanction.  The sanction usually, though not invariably,</w:t>
      </w:r>
      <w:r w:rsidR="00CD5BC9" w:rsidRPr="0066424A">
        <w:rPr>
          <w:rFonts w:cs="Arial"/>
          <w:i/>
          <w:iCs/>
          <w:color w:val="242121"/>
          <w:szCs w:val="24"/>
          <w:vertAlign w:val="superscript"/>
          <w:lang w:val="en-GB"/>
        </w:rPr>
        <w:t> </w:t>
      </w:r>
      <w:r w:rsidR="00CD5BC9" w:rsidRPr="0066424A">
        <w:rPr>
          <w:rFonts w:cs="Arial"/>
          <w:i/>
          <w:iCs/>
          <w:color w:val="242121"/>
          <w:szCs w:val="24"/>
          <w:lang w:val="en-GB"/>
        </w:rPr>
        <w:t>has the object of inducing the non-complier to fulfil the terms of the previous order.”</w:t>
      </w:r>
      <w:bookmarkStart w:id="16" w:name="_ftnref122"/>
      <w:r w:rsidR="0066424A" w:rsidRPr="0066424A">
        <w:rPr>
          <w:rStyle w:val="FootnoteReference"/>
          <w:rFonts w:cs="Arial"/>
          <w:i/>
          <w:iCs/>
          <w:szCs w:val="24"/>
          <w:lang w:val="en-GB"/>
        </w:rPr>
        <w:footnoteReference w:id="31"/>
      </w:r>
      <w:bookmarkEnd w:id="16"/>
      <w:r w:rsidR="006E1975">
        <w:rPr>
          <w:rFonts w:cs="Arial"/>
          <w:i/>
          <w:iCs/>
          <w:color w:val="242121"/>
          <w:szCs w:val="24"/>
        </w:rPr>
        <w:t xml:space="preserve"> </w:t>
      </w:r>
    </w:p>
    <w:p w14:paraId="1FE8DBAC" w14:textId="79AE22B1" w:rsidR="00CD5BC9" w:rsidRDefault="0069261B" w:rsidP="0069261B">
      <w:pPr>
        <w:ind w:left="1871" w:hanging="1871"/>
        <w:rPr>
          <w:rFonts w:cs="Arial"/>
          <w:i/>
          <w:iCs/>
          <w:color w:val="242121"/>
          <w:szCs w:val="24"/>
          <w:lang w:val="en-GB"/>
        </w:rPr>
      </w:pPr>
      <w:r>
        <w:rPr>
          <w:rFonts w:cs="Arial"/>
          <w:i/>
          <w:iCs/>
          <w:color w:val="242121"/>
          <w:szCs w:val="24"/>
        </w:rPr>
        <w:tab/>
      </w:r>
      <w:r>
        <w:rPr>
          <w:rFonts w:cs="Arial"/>
          <w:i/>
          <w:iCs/>
          <w:color w:val="242121"/>
          <w:szCs w:val="24"/>
        </w:rPr>
        <w:tab/>
      </w:r>
      <w:r w:rsidR="00CD5BC9" w:rsidRPr="000E7E62">
        <w:rPr>
          <w:rFonts w:cs="Arial"/>
          <w:i/>
          <w:iCs/>
          <w:color w:val="242121"/>
          <w:szCs w:val="24"/>
          <w:u w:val="single"/>
          <w:lang w:val="en-GB"/>
        </w:rPr>
        <w:t xml:space="preserve">It follows that a litigant is obviously entitled, in law, to approach a court seeking committal, even if committal is not the ordinary </w:t>
      </w:r>
      <w:r w:rsidR="00082815" w:rsidRPr="000E7E62">
        <w:rPr>
          <w:rFonts w:cs="Arial"/>
          <w:i/>
          <w:iCs/>
          <w:color w:val="242121"/>
          <w:szCs w:val="24"/>
          <w:u w:val="single"/>
          <w:lang w:val="en-GB"/>
        </w:rPr>
        <w:t>sanction</w:t>
      </w:r>
      <w:r w:rsidR="00082815" w:rsidRPr="0066424A">
        <w:rPr>
          <w:rFonts w:cs="Arial"/>
          <w:i/>
          <w:iCs/>
          <w:color w:val="242121"/>
          <w:szCs w:val="24"/>
          <w:lang w:val="en-GB"/>
        </w:rPr>
        <w:t>.</w:t>
      </w:r>
      <w:r w:rsidR="00082815">
        <w:rPr>
          <w:rFonts w:cs="Arial"/>
          <w:i/>
          <w:iCs/>
          <w:color w:val="242121"/>
          <w:szCs w:val="24"/>
          <w:lang w:val="en-GB"/>
        </w:rPr>
        <w:t xml:space="preserve"> (</w:t>
      </w:r>
      <w:r w:rsidR="00D7145A" w:rsidRPr="00D7145A">
        <w:rPr>
          <w:rFonts w:cs="Arial"/>
          <w:b/>
          <w:bCs/>
          <w:i/>
          <w:iCs/>
          <w:color w:val="242121"/>
          <w:szCs w:val="24"/>
          <w:lang w:val="en-GB"/>
        </w:rPr>
        <w:t>my emphasis</w:t>
      </w:r>
      <w:r w:rsidR="00D7145A">
        <w:rPr>
          <w:rFonts w:cs="Arial"/>
          <w:i/>
          <w:iCs/>
          <w:color w:val="242121"/>
          <w:szCs w:val="24"/>
          <w:lang w:val="en-GB"/>
        </w:rPr>
        <w:t xml:space="preserve">) </w:t>
      </w:r>
    </w:p>
    <w:p w14:paraId="0F676035" w14:textId="72ECCAA8" w:rsidR="00CD5BC9" w:rsidRDefault="0069261B" w:rsidP="0069261B">
      <w:pPr>
        <w:ind w:left="1871" w:hanging="1871"/>
        <w:rPr>
          <w:rFonts w:cs="Arial"/>
          <w:i/>
          <w:iCs/>
          <w:color w:val="242121"/>
          <w:szCs w:val="24"/>
        </w:rPr>
      </w:pPr>
      <w:r>
        <w:rPr>
          <w:rFonts w:cs="Arial"/>
          <w:i/>
          <w:iCs/>
          <w:color w:val="242121"/>
          <w:szCs w:val="24"/>
          <w:lang w:val="en-GB"/>
        </w:rPr>
        <w:tab/>
      </w:r>
      <w:r w:rsidR="00CD5BC9" w:rsidRPr="0066424A">
        <w:rPr>
          <w:rFonts w:cs="Arial"/>
          <w:i/>
          <w:iCs/>
          <w:color w:val="000000"/>
          <w:szCs w:val="24"/>
        </w:rPr>
        <w:t>[110]</w:t>
      </w:r>
      <w:r>
        <w:rPr>
          <w:rFonts w:cs="Arial"/>
          <w:i/>
          <w:iCs/>
          <w:color w:val="000000"/>
          <w:szCs w:val="24"/>
        </w:rPr>
        <w:tab/>
      </w:r>
      <w:r w:rsidR="00CD5BC9" w:rsidRPr="0066424A">
        <w:rPr>
          <w:rFonts w:cs="Arial"/>
          <w:i/>
          <w:iCs/>
          <w:color w:val="000000"/>
          <w:szCs w:val="24"/>
        </w:rPr>
        <w:t> </w:t>
      </w:r>
      <w:r w:rsidR="00CD5BC9" w:rsidRPr="0066424A">
        <w:rPr>
          <w:rFonts w:cs="Arial"/>
          <w:i/>
          <w:iCs/>
          <w:color w:val="242121"/>
          <w:szCs w:val="24"/>
          <w:lang w:val="en-GB"/>
        </w:rPr>
        <w:t>In any event, whether or not a litigant is entitled to approach a court seeking punitive relief has absolutely nothing to do with a court’s competence to grant it</w:t>
      </w:r>
      <w:r w:rsidR="00CD5BC9" w:rsidRPr="0066424A">
        <w:rPr>
          <w:rFonts w:cs="Arial"/>
          <w:i/>
          <w:iCs/>
          <w:color w:val="242121"/>
          <w:szCs w:val="24"/>
        </w:rPr>
        <w:t>.</w:t>
      </w:r>
      <w:bookmarkStart w:id="17" w:name="_ftnref123"/>
      <w:r w:rsidR="0066424A" w:rsidRPr="0066424A">
        <w:rPr>
          <w:rStyle w:val="FootnoteReference"/>
          <w:rFonts w:cs="Arial"/>
          <w:i/>
          <w:iCs/>
          <w:szCs w:val="24"/>
        </w:rPr>
        <w:footnoteReference w:id="32"/>
      </w:r>
      <w:bookmarkEnd w:id="17"/>
      <w:r w:rsidR="00CD5BC9" w:rsidRPr="0066424A">
        <w:rPr>
          <w:rFonts w:cs="Arial"/>
          <w:i/>
          <w:iCs/>
          <w:color w:val="242121"/>
          <w:szCs w:val="24"/>
        </w:rPr>
        <w:t>  Indeed, </w:t>
      </w:r>
      <w:proofErr w:type="spellStart"/>
      <w:r w:rsidR="00CD5BC9" w:rsidRPr="0066424A">
        <w:rPr>
          <w:rFonts w:cs="Arial"/>
          <w:i/>
          <w:iCs/>
          <w:color w:val="242121"/>
          <w:szCs w:val="24"/>
        </w:rPr>
        <w:t>Pheko</w:t>
      </w:r>
      <w:proofErr w:type="spellEnd"/>
      <w:r w:rsidR="00CD5BC9" w:rsidRPr="0066424A">
        <w:rPr>
          <w:rFonts w:cs="Arial"/>
          <w:i/>
          <w:iCs/>
          <w:color w:val="242121"/>
          <w:szCs w:val="24"/>
        </w:rPr>
        <w:t> II unequivocally held that a court can raise contempt </w:t>
      </w:r>
      <w:proofErr w:type="spellStart"/>
      <w:r w:rsidR="00CD5BC9" w:rsidRPr="0066424A">
        <w:rPr>
          <w:rFonts w:cs="Arial"/>
          <w:i/>
          <w:iCs/>
          <w:color w:val="242121"/>
          <w:szCs w:val="24"/>
        </w:rPr>
        <w:t>mero</w:t>
      </w:r>
      <w:proofErr w:type="spellEnd"/>
      <w:r w:rsidR="00CD5BC9" w:rsidRPr="0066424A">
        <w:rPr>
          <w:rFonts w:cs="Arial"/>
          <w:i/>
          <w:iCs/>
          <w:color w:val="242121"/>
          <w:szCs w:val="24"/>
        </w:rPr>
        <w:t xml:space="preserve"> </w:t>
      </w:r>
      <w:proofErr w:type="spellStart"/>
      <w:r w:rsidR="00CD5BC9" w:rsidRPr="0066424A">
        <w:rPr>
          <w:rFonts w:cs="Arial"/>
          <w:i/>
          <w:iCs/>
          <w:color w:val="242121"/>
          <w:szCs w:val="24"/>
        </w:rPr>
        <w:t>motu</w:t>
      </w:r>
      <w:proofErr w:type="spellEnd"/>
      <w:r w:rsidR="00CD5BC9" w:rsidRPr="0066424A">
        <w:rPr>
          <w:rFonts w:cs="Arial"/>
          <w:i/>
          <w:iCs/>
          <w:color w:val="242121"/>
          <w:szCs w:val="24"/>
        </w:rPr>
        <w:t> (of its own accord).</w:t>
      </w:r>
      <w:bookmarkStart w:id="18" w:name="_ftnref124"/>
      <w:r w:rsidR="0066424A" w:rsidRPr="0066424A">
        <w:rPr>
          <w:rStyle w:val="FootnoteReference"/>
          <w:rFonts w:cs="Arial"/>
          <w:i/>
          <w:iCs/>
          <w:szCs w:val="24"/>
        </w:rPr>
        <w:footnoteReference w:id="33"/>
      </w:r>
      <w:bookmarkEnd w:id="18"/>
      <w:r w:rsidR="00CD5BC9" w:rsidRPr="0066424A">
        <w:rPr>
          <w:rFonts w:cs="Arial"/>
          <w:i/>
          <w:iCs/>
          <w:color w:val="242121"/>
          <w:szCs w:val="24"/>
        </w:rPr>
        <w:t xml:space="preserve">  In this context then, the process followed by the applicant says nothing about this Court’s competence to make a purely punitive order of committal.  In other words, nothing, including the process instituted by the applicant, could prevent this Court from determining the matter by exercising our right to </w:t>
      </w:r>
      <w:r w:rsidR="00CD5BC9" w:rsidRPr="0066424A">
        <w:rPr>
          <w:rFonts w:cs="Arial"/>
          <w:i/>
          <w:iCs/>
          <w:color w:val="242121"/>
          <w:szCs w:val="24"/>
        </w:rPr>
        <w:lastRenderedPageBreak/>
        <w:t>raise the proceedings of our own volition.</w:t>
      </w:r>
    </w:p>
    <w:p w14:paraId="01279292" w14:textId="5C44FB0A" w:rsidR="00704237" w:rsidRDefault="00704237" w:rsidP="0069261B">
      <w:pPr>
        <w:ind w:left="1871" w:hanging="1871"/>
        <w:rPr>
          <w:rFonts w:cs="Arial"/>
          <w:b/>
          <w:bCs/>
          <w:color w:val="000000"/>
          <w:szCs w:val="24"/>
          <w:u w:val="single"/>
        </w:rPr>
      </w:pPr>
      <w:r w:rsidRPr="00704237">
        <w:rPr>
          <w:rFonts w:cs="Arial"/>
          <w:b/>
          <w:bCs/>
          <w:color w:val="000000"/>
          <w:szCs w:val="24"/>
          <w:u w:val="single"/>
        </w:rPr>
        <w:t xml:space="preserve">Contempt order </w:t>
      </w:r>
      <w:r w:rsidR="00082815">
        <w:rPr>
          <w:rFonts w:cs="Arial"/>
          <w:b/>
          <w:bCs/>
          <w:color w:val="000000"/>
          <w:szCs w:val="24"/>
          <w:u w:val="single"/>
        </w:rPr>
        <w:t>and imprisonment</w:t>
      </w:r>
      <w:r>
        <w:rPr>
          <w:rFonts w:cs="Arial"/>
          <w:b/>
          <w:bCs/>
          <w:color w:val="000000"/>
          <w:szCs w:val="24"/>
          <w:u w:val="single"/>
        </w:rPr>
        <w:t xml:space="preserve"> </w:t>
      </w:r>
      <w:r w:rsidRPr="00704237">
        <w:rPr>
          <w:rFonts w:cs="Arial"/>
          <w:b/>
          <w:bCs/>
          <w:color w:val="000000"/>
          <w:szCs w:val="24"/>
          <w:u w:val="single"/>
        </w:rPr>
        <w:t xml:space="preserve">is not a competent relief </w:t>
      </w:r>
    </w:p>
    <w:p w14:paraId="6A9719C2" w14:textId="5F9FA599" w:rsidR="00704237" w:rsidRDefault="00273796" w:rsidP="00273796">
      <w:pPr>
        <w:pStyle w:val="Heading1"/>
        <w:numPr>
          <w:ilvl w:val="0"/>
          <w:numId w:val="0"/>
        </w:numPr>
        <w:tabs>
          <w:tab w:val="left" w:pos="862"/>
        </w:tabs>
        <w:ind w:left="862" w:hanging="862"/>
      </w:pPr>
      <w:r>
        <w:t>[20]</w:t>
      </w:r>
      <w:r>
        <w:tab/>
      </w:r>
      <w:r w:rsidR="00704237">
        <w:rPr>
          <w:rFonts w:cs="Arial"/>
          <w:color w:val="000000"/>
          <w:szCs w:val="24"/>
        </w:rPr>
        <w:t xml:space="preserve">Ms </w:t>
      </w:r>
      <w:proofErr w:type="spellStart"/>
      <w:r w:rsidR="00704237" w:rsidRPr="00ED5026">
        <w:t>Olwagen</w:t>
      </w:r>
      <w:proofErr w:type="spellEnd"/>
      <w:r w:rsidR="00704237">
        <w:t>-Meyer argued that a</w:t>
      </w:r>
      <w:r w:rsidR="00704237" w:rsidRPr="006F05FB">
        <w:t xml:space="preserve"> contempt order and imprisonment is n</w:t>
      </w:r>
      <w:r w:rsidR="00704237">
        <w:t xml:space="preserve">ot a </w:t>
      </w:r>
      <w:r w:rsidR="00704237" w:rsidRPr="006F05FB">
        <w:t>competent relief in the event of non-compliance with money judgments</w:t>
      </w:r>
      <w:r w:rsidR="004C27FC">
        <w:t>;</w:t>
      </w:r>
      <w:r w:rsidR="00D7145A">
        <w:t xml:space="preserve"> </w:t>
      </w:r>
      <w:r w:rsidR="00704237">
        <w:t>she r</w:t>
      </w:r>
      <w:r w:rsidR="00F81743">
        <w:t xml:space="preserve">elied </w:t>
      </w:r>
      <w:r w:rsidR="00704237">
        <w:t xml:space="preserve">on </w:t>
      </w:r>
      <w:r w:rsidR="00F81743">
        <w:rPr>
          <w:b/>
          <w:bCs/>
          <w:i/>
          <w:iCs/>
        </w:rPr>
        <w:t>Coetzee</w:t>
      </w:r>
      <w:r w:rsidR="00F81743">
        <w:t>.</w:t>
      </w:r>
    </w:p>
    <w:p w14:paraId="3F40B6DF" w14:textId="78F8108B" w:rsidR="00F81743" w:rsidRDefault="00273796" w:rsidP="00273796">
      <w:pPr>
        <w:pStyle w:val="Heading1"/>
        <w:numPr>
          <w:ilvl w:val="0"/>
          <w:numId w:val="0"/>
        </w:numPr>
        <w:tabs>
          <w:tab w:val="left" w:pos="862"/>
        </w:tabs>
        <w:ind w:left="862" w:hanging="862"/>
      </w:pPr>
      <w:r>
        <w:t>[21]</w:t>
      </w:r>
      <w:r>
        <w:tab/>
      </w:r>
      <w:r w:rsidR="00C9739A">
        <w:t xml:space="preserve">I had an opportunity of considering the judgment of </w:t>
      </w:r>
      <w:r w:rsidR="00C9739A">
        <w:rPr>
          <w:b/>
          <w:bCs/>
          <w:i/>
          <w:iCs/>
        </w:rPr>
        <w:t xml:space="preserve">Coetzee </w:t>
      </w:r>
      <w:r w:rsidR="00C9739A">
        <w:t xml:space="preserve">together arguments advanced by Mr </w:t>
      </w:r>
      <w:proofErr w:type="spellStart"/>
      <w:r w:rsidR="00C9739A">
        <w:t>Nowitz</w:t>
      </w:r>
      <w:proofErr w:type="spellEnd"/>
      <w:r w:rsidR="00C9739A">
        <w:t xml:space="preserve">, as set out in paragraph </w:t>
      </w:r>
      <w:r w:rsidR="00C621C7">
        <w:t>8</w:t>
      </w:r>
      <w:r w:rsidR="00C9739A">
        <w:t xml:space="preserve"> above.</w:t>
      </w:r>
    </w:p>
    <w:p w14:paraId="6A7EE655" w14:textId="533D7D2D" w:rsidR="00C9739A" w:rsidRDefault="00273796" w:rsidP="00273796">
      <w:pPr>
        <w:pStyle w:val="Heading1"/>
        <w:numPr>
          <w:ilvl w:val="0"/>
          <w:numId w:val="0"/>
        </w:numPr>
        <w:tabs>
          <w:tab w:val="left" w:pos="862"/>
        </w:tabs>
        <w:ind w:left="862" w:hanging="862"/>
      </w:pPr>
      <w:r>
        <w:t>[22]</w:t>
      </w:r>
      <w:r>
        <w:tab/>
      </w:r>
      <w:r w:rsidR="00C9739A">
        <w:t xml:space="preserve">Having read </w:t>
      </w:r>
      <w:r w:rsidR="00C9739A">
        <w:rPr>
          <w:b/>
          <w:bCs/>
          <w:i/>
          <w:iCs/>
        </w:rPr>
        <w:t>Coetzee</w:t>
      </w:r>
      <w:r w:rsidR="00C9739A">
        <w:t xml:space="preserve">, I am wholeheartedly in agreement with Mr </w:t>
      </w:r>
      <w:proofErr w:type="spellStart"/>
      <w:r w:rsidR="00C9739A">
        <w:t>Nowitz’</w:t>
      </w:r>
      <w:r w:rsidR="00C621C7">
        <w:t>s</w:t>
      </w:r>
      <w:proofErr w:type="spellEnd"/>
      <w:r w:rsidR="00C9739A">
        <w:t xml:space="preserve"> argument that this application is distinguishable to </w:t>
      </w:r>
      <w:r w:rsidR="00C9739A">
        <w:rPr>
          <w:b/>
          <w:bCs/>
          <w:i/>
          <w:iCs/>
        </w:rPr>
        <w:t>Coetzee</w:t>
      </w:r>
      <w:r w:rsidR="00C9739A" w:rsidRPr="002F44BB">
        <w:t>.  T</w:t>
      </w:r>
      <w:r w:rsidR="00C9739A">
        <w:t xml:space="preserve">he fundamental difficulty at the heart of Ms </w:t>
      </w:r>
      <w:proofErr w:type="spellStart"/>
      <w:r w:rsidR="00C9739A">
        <w:t>Olwagen</w:t>
      </w:r>
      <w:proofErr w:type="spellEnd"/>
      <w:r w:rsidR="00C9739A">
        <w:t>-Meyer’s argument is precisely that.</w:t>
      </w:r>
    </w:p>
    <w:p w14:paraId="64373200" w14:textId="5595146D" w:rsidR="00431604" w:rsidRDefault="00273796" w:rsidP="00273796">
      <w:pPr>
        <w:pStyle w:val="Heading1"/>
        <w:numPr>
          <w:ilvl w:val="0"/>
          <w:numId w:val="0"/>
        </w:numPr>
        <w:tabs>
          <w:tab w:val="left" w:pos="862"/>
        </w:tabs>
        <w:ind w:left="862" w:hanging="862"/>
      </w:pPr>
      <w:r>
        <w:t>[23]</w:t>
      </w:r>
      <w:r>
        <w:tab/>
      </w:r>
      <w:r w:rsidR="00C9739A">
        <w:t xml:space="preserve">In </w:t>
      </w:r>
      <w:r w:rsidR="00C9739A" w:rsidRPr="002F44BB">
        <w:rPr>
          <w:b/>
          <w:bCs/>
          <w:i/>
          <w:iCs/>
        </w:rPr>
        <w:t>Coetzee</w:t>
      </w:r>
      <w:r w:rsidR="00C9739A">
        <w:t>, the issues for determination, were</w:t>
      </w:r>
      <w:r w:rsidR="00431604">
        <w:t>:</w:t>
      </w:r>
    </w:p>
    <w:p w14:paraId="349328D6" w14:textId="6B968631" w:rsidR="00727782" w:rsidRDefault="00562078" w:rsidP="00562078">
      <w:pPr>
        <w:ind w:left="1871" w:hanging="1871"/>
        <w:rPr>
          <w:i/>
          <w:iCs/>
        </w:rPr>
      </w:pPr>
      <w:r>
        <w:tab/>
        <w:t>“</w:t>
      </w:r>
      <w:r w:rsidRPr="002F44BB">
        <w:rPr>
          <w:i/>
          <w:iCs/>
        </w:rPr>
        <w:t xml:space="preserve">[6] </w:t>
      </w:r>
      <w:r>
        <w:rPr>
          <w:i/>
          <w:iCs/>
        </w:rPr>
        <w:tab/>
      </w:r>
      <w:r w:rsidRPr="002F44BB">
        <w:rPr>
          <w:i/>
          <w:iCs/>
        </w:rPr>
        <w:t>Sections 65A to 65M of the Magistrates</w:t>
      </w:r>
      <w:r>
        <w:rPr>
          <w:i/>
          <w:iCs/>
        </w:rPr>
        <w:t>’</w:t>
      </w:r>
      <w:r w:rsidRPr="002F44BB">
        <w:rPr>
          <w:i/>
          <w:iCs/>
        </w:rPr>
        <w:t xml:space="preserve"> Courts Act provide a system for the enforcement of judgment debts. Under the system a judgment debtor who has failed to satisfy the judgment debt within 10 days of the date of the judgment can be required to attend a hearing at which an enquiry will be conducted by a magistrate into the financial position of the debtor, his ability to pay and his failure to do so. The magistrate may authorise property of or debts due to the judgment debtor to be attached in settlement of all or part of the debt, or the garnishing of emoluments which will accrue to the debtor from his or her employment. The debtor can also be ordered to pay the debt in full or in instalments. The system does not end </w:t>
      </w:r>
      <w:proofErr w:type="gramStart"/>
      <w:r w:rsidRPr="002F44BB">
        <w:rPr>
          <w:i/>
          <w:iCs/>
        </w:rPr>
        <w:t>there,</w:t>
      </w:r>
      <w:proofErr w:type="gramEnd"/>
      <w:r w:rsidRPr="002F44BB">
        <w:rPr>
          <w:i/>
          <w:iCs/>
        </w:rPr>
        <w:t xml:space="preserve"> however </w:t>
      </w:r>
      <w:r w:rsidR="00C621C7">
        <w:rPr>
          <w:i/>
          <w:iCs/>
        </w:rPr>
        <w:t>i</w:t>
      </w:r>
      <w:r w:rsidRPr="002F44BB">
        <w:rPr>
          <w:i/>
          <w:iCs/>
        </w:rPr>
        <w:t xml:space="preserve">t also provides for the magistrate to issue an order to commit the judgment debtor to prison for contempt of court for failure to pay the debt. This last option of the magistrate is the issue which has </w:t>
      </w:r>
      <w:r w:rsidRPr="002F44BB">
        <w:rPr>
          <w:i/>
          <w:iCs/>
        </w:rPr>
        <w:lastRenderedPageBreak/>
        <w:t>given rise to the constitutional challenge.</w:t>
      </w:r>
    </w:p>
    <w:p w14:paraId="77117720" w14:textId="53ECFCA1" w:rsidR="00562078" w:rsidRDefault="00562078" w:rsidP="00562078">
      <w:pPr>
        <w:ind w:left="1871" w:hanging="1871"/>
        <w:rPr>
          <w:i/>
          <w:iCs/>
        </w:rPr>
      </w:pPr>
      <w:r>
        <w:rPr>
          <w:i/>
          <w:iCs/>
        </w:rPr>
        <w:tab/>
        <w:t>…</w:t>
      </w:r>
    </w:p>
    <w:p w14:paraId="00A133B6" w14:textId="2B7E2487" w:rsidR="00562078" w:rsidRDefault="00562078" w:rsidP="002F44BB">
      <w:pPr>
        <w:ind w:left="1871" w:hanging="1871"/>
      </w:pPr>
      <w:r>
        <w:rPr>
          <w:i/>
          <w:iCs/>
        </w:rPr>
        <w:tab/>
        <w:t>[8]</w:t>
      </w:r>
      <w:r>
        <w:rPr>
          <w:i/>
          <w:iCs/>
        </w:rPr>
        <w:tab/>
        <w:t xml:space="preserve">… </w:t>
      </w:r>
      <w:r w:rsidRPr="00562078">
        <w:rPr>
          <w:i/>
          <w:iCs/>
        </w:rPr>
        <w:t xml:space="preserve">The system at issue is used most often for the collection of small debts usually of those who are poor and either illiterate or uninformed about the law or both. In the nature of </w:t>
      </w:r>
      <w:proofErr w:type="gramStart"/>
      <w:r w:rsidRPr="00562078">
        <w:rPr>
          <w:i/>
          <w:iCs/>
        </w:rPr>
        <w:t>things</w:t>
      </w:r>
      <w:proofErr w:type="gramEnd"/>
      <w:r w:rsidRPr="00562078">
        <w:rPr>
          <w:i/>
          <w:iCs/>
        </w:rPr>
        <w:t xml:space="preserve"> they do not enjoy legal representation. Imprisonment can and has been ordered without the debtor ever having notice of the original judgment or the notice to appear at the hearing. It can also be ordered without the uninformed or illiterate debtor having sufficient knowledge about the possibility of raising defences or the means of doing so. In the result, the provisions of the law can be used to imprison the debtor who is unwilling to pay his debt even though he has the means to do so, but can also be used (and they are indeed used) to imprison the debtor who simply is unable to pay the debt.</w:t>
      </w:r>
      <w:r>
        <w:rPr>
          <w:i/>
          <w:iCs/>
        </w:rPr>
        <w:t>”</w:t>
      </w:r>
    </w:p>
    <w:p w14:paraId="3B88B73F" w14:textId="12F17EAB" w:rsidR="00E74573" w:rsidRDefault="00273796" w:rsidP="00273796">
      <w:pPr>
        <w:pStyle w:val="Heading1"/>
        <w:numPr>
          <w:ilvl w:val="0"/>
          <w:numId w:val="0"/>
        </w:numPr>
        <w:tabs>
          <w:tab w:val="left" w:pos="862"/>
        </w:tabs>
        <w:ind w:left="862" w:hanging="862"/>
      </w:pPr>
      <w:r>
        <w:t>[24]</w:t>
      </w:r>
      <w:r>
        <w:tab/>
      </w:r>
      <w:r w:rsidR="00431604">
        <w:t xml:space="preserve">A side by side comparison of the factual matrix of </w:t>
      </w:r>
      <w:r w:rsidR="00431604">
        <w:rPr>
          <w:b/>
          <w:bCs/>
          <w:i/>
          <w:iCs/>
        </w:rPr>
        <w:t xml:space="preserve">Coetzee </w:t>
      </w:r>
      <w:r w:rsidR="00431604">
        <w:t>together with the relief sought</w:t>
      </w:r>
      <w:r w:rsidR="00AC1462">
        <w:t>,</w:t>
      </w:r>
      <w:r w:rsidR="00431604">
        <w:t xml:space="preserve"> is totally different to the facts and issues to be determined in this application.  By way of an example, this application has nothing to do with a collection of small debts usually of those who are poor and either illiterate or uninformed about law or both.  Neither is imprisonment sought without the debtor ever having notice of the original judgment or the notice to appear at the hearing.</w:t>
      </w:r>
      <w:r w:rsidR="00C621C7">
        <w:t xml:space="preserve"> </w:t>
      </w:r>
    </w:p>
    <w:p w14:paraId="287A961F" w14:textId="651C8A46" w:rsidR="00C621C7" w:rsidRDefault="00273796" w:rsidP="00273796">
      <w:pPr>
        <w:pStyle w:val="Heading1"/>
        <w:numPr>
          <w:ilvl w:val="0"/>
          <w:numId w:val="0"/>
        </w:numPr>
        <w:tabs>
          <w:tab w:val="left" w:pos="862"/>
        </w:tabs>
        <w:ind w:left="862" w:hanging="862"/>
      </w:pPr>
      <w:r>
        <w:t>[25]</w:t>
      </w:r>
      <w:r>
        <w:tab/>
      </w:r>
      <w:r w:rsidR="00C621C7">
        <w:t xml:space="preserve">If </w:t>
      </w:r>
      <w:r w:rsidR="0012749D">
        <w:t>a</w:t>
      </w:r>
      <w:r w:rsidR="00510B41">
        <w:t xml:space="preserve"> default position</w:t>
      </w:r>
      <w:r w:rsidR="005853BD">
        <w:t>,</w:t>
      </w:r>
      <w:r w:rsidR="00510B41">
        <w:t xml:space="preserve"> is that the plaintiff should follow the normal route of money judgments debt recovery against the defendant and have a warrant of execution issued to attach assets, as set out in para [13] - not to institute</w:t>
      </w:r>
      <w:r w:rsidR="005853BD">
        <w:t xml:space="preserve"> </w:t>
      </w:r>
      <w:r w:rsidR="00510B41">
        <w:t xml:space="preserve">contempt proceedings, </w:t>
      </w:r>
      <w:r w:rsidR="005853BD">
        <w:t xml:space="preserve">what immediately springs to mind is to </w:t>
      </w:r>
      <w:r w:rsidR="00510B41">
        <w:t>ask</w:t>
      </w:r>
      <w:r w:rsidR="005853BD">
        <w:t xml:space="preserve"> </w:t>
      </w:r>
      <w:r w:rsidR="00510B41">
        <w:t xml:space="preserve">a </w:t>
      </w:r>
      <w:r w:rsidR="005853BD">
        <w:t>r</w:t>
      </w:r>
      <w:r w:rsidR="00510B41">
        <w:t xml:space="preserve">hetorical </w:t>
      </w:r>
      <w:r w:rsidR="005853BD">
        <w:t xml:space="preserve">question, which is based on the material involved to the overall determination of </w:t>
      </w:r>
      <w:r w:rsidR="004D0B86">
        <w:t>contempt proceedings</w:t>
      </w:r>
      <w:r w:rsidR="005853BD">
        <w:t xml:space="preserve">, </w:t>
      </w:r>
      <w:proofErr w:type="spellStart"/>
      <w:r w:rsidR="005853BD">
        <w:t>viz</w:t>
      </w:r>
      <w:proofErr w:type="spellEnd"/>
      <w:r w:rsidR="004D0B86">
        <w:t xml:space="preserve">, </w:t>
      </w:r>
      <w:r w:rsidR="0012749D">
        <w:t>will</w:t>
      </w:r>
      <w:r w:rsidR="00510B41">
        <w:t xml:space="preserve"> this Court</w:t>
      </w:r>
      <w:r w:rsidR="005853BD">
        <w:t xml:space="preserve"> still retain its</w:t>
      </w:r>
      <w:r w:rsidR="00510B41">
        <w:t xml:space="preserve"> jurisdiction</w:t>
      </w:r>
      <w:r w:rsidR="005853BD">
        <w:t xml:space="preserve"> to deal with </w:t>
      </w:r>
      <w:r w:rsidR="004D0B86">
        <w:t xml:space="preserve">the </w:t>
      </w:r>
      <w:r w:rsidR="00253D04">
        <w:t>contemptuous</w:t>
      </w:r>
      <w:r w:rsidR="005853BD">
        <w:t xml:space="preserve"> parties, if the </w:t>
      </w:r>
      <w:r w:rsidR="004D0B86">
        <w:t xml:space="preserve">basis for </w:t>
      </w:r>
      <w:r w:rsidR="00AC1462">
        <w:lastRenderedPageBreak/>
        <w:t xml:space="preserve">the </w:t>
      </w:r>
      <w:r w:rsidR="005853BD">
        <w:t xml:space="preserve">contempt </w:t>
      </w:r>
      <w:r w:rsidR="00AC1462">
        <w:t xml:space="preserve">application </w:t>
      </w:r>
      <w:r w:rsidR="004C27FC">
        <w:t>relates</w:t>
      </w:r>
      <w:r w:rsidR="005853BD">
        <w:t xml:space="preserve"> </w:t>
      </w:r>
      <w:r w:rsidR="004D0B86">
        <w:t xml:space="preserve">only </w:t>
      </w:r>
      <w:r w:rsidR="004C27FC">
        <w:t xml:space="preserve">to </w:t>
      </w:r>
      <w:r w:rsidR="005853BD">
        <w:t>money judg</w:t>
      </w:r>
      <w:r w:rsidR="00AC1462">
        <w:t>e</w:t>
      </w:r>
      <w:r w:rsidR="005853BD">
        <w:t>ment</w:t>
      </w:r>
      <w:r w:rsidR="004C27FC">
        <w:t xml:space="preserve">/judgement debt </w:t>
      </w:r>
      <w:r w:rsidR="005853BD">
        <w:t>or will</w:t>
      </w:r>
      <w:r w:rsidR="00510B41">
        <w:t xml:space="preserve"> </w:t>
      </w:r>
      <w:r w:rsidR="004D0B86">
        <w:t xml:space="preserve">its jurisdiction </w:t>
      </w:r>
      <w:r w:rsidR="0012749D">
        <w:t xml:space="preserve">be </w:t>
      </w:r>
      <w:r w:rsidR="00510B41">
        <w:t>ousted</w:t>
      </w:r>
      <w:r w:rsidR="004D0B86">
        <w:t xml:space="preserve">, </w:t>
      </w:r>
      <w:r w:rsidR="00510B41">
        <w:t>in favour of a default position?</w:t>
      </w:r>
      <w:r w:rsidR="0012749D">
        <w:t xml:space="preserve"> - </w:t>
      </w:r>
      <w:r w:rsidR="00510B41">
        <w:t xml:space="preserve"> </w:t>
      </w:r>
      <w:r w:rsidR="0012749D">
        <w:t>e</w:t>
      </w:r>
      <w:r w:rsidR="00510B41">
        <w:t xml:space="preserve">ven </w:t>
      </w:r>
      <w:r w:rsidR="0012749D">
        <w:t xml:space="preserve">in circumstances </w:t>
      </w:r>
      <w:r w:rsidR="00510B41">
        <w:t>whe</w:t>
      </w:r>
      <w:r w:rsidR="0012749D">
        <w:t>re</w:t>
      </w:r>
      <w:r w:rsidR="00510B41">
        <w:t xml:space="preserve"> the wanton disregard of the law </w:t>
      </w:r>
      <w:r w:rsidR="0012749D">
        <w:t xml:space="preserve">is </w:t>
      </w:r>
      <w:r w:rsidR="00510B41">
        <w:t xml:space="preserve">demonstrably evident and </w:t>
      </w:r>
      <w:r w:rsidR="0012749D">
        <w:t xml:space="preserve">has been </w:t>
      </w:r>
      <w:r w:rsidR="00510B41">
        <w:t>established?</w:t>
      </w:r>
      <w:r w:rsidR="0012749D">
        <w:t xml:space="preserve"> I venture to contend otherwise and hold that such</w:t>
      </w:r>
      <w:r w:rsidR="004D0B86">
        <w:t xml:space="preserve"> case</w:t>
      </w:r>
      <w:r w:rsidR="0012749D">
        <w:t xml:space="preserve"> would be self-defeating. </w:t>
      </w:r>
    </w:p>
    <w:p w14:paraId="635AEB99" w14:textId="578A0632" w:rsidR="00C9739A" w:rsidRDefault="00273796" w:rsidP="00273796">
      <w:pPr>
        <w:pStyle w:val="Heading1"/>
        <w:numPr>
          <w:ilvl w:val="0"/>
          <w:numId w:val="0"/>
        </w:numPr>
        <w:tabs>
          <w:tab w:val="left" w:pos="862"/>
        </w:tabs>
        <w:ind w:left="862" w:hanging="862"/>
      </w:pPr>
      <w:r>
        <w:t>[26]</w:t>
      </w:r>
      <w:r>
        <w:tab/>
      </w:r>
      <w:r w:rsidR="00E74573">
        <w:t>Even if I am wrong th</w:t>
      </w:r>
      <w:r w:rsidR="0012749D">
        <w:t>at the</w:t>
      </w:r>
      <w:r w:rsidR="00E74573">
        <w:t xml:space="preserve"> defendant is entitled to rely on </w:t>
      </w:r>
      <w:r w:rsidR="00E74573">
        <w:rPr>
          <w:b/>
          <w:bCs/>
          <w:i/>
          <w:iCs/>
        </w:rPr>
        <w:t>Coetzee</w:t>
      </w:r>
      <w:r w:rsidR="00E43AD7">
        <w:t>,</w:t>
      </w:r>
      <w:r w:rsidR="00E74573">
        <w:rPr>
          <w:b/>
          <w:bCs/>
          <w:i/>
          <w:iCs/>
        </w:rPr>
        <w:t xml:space="preserve"> </w:t>
      </w:r>
      <w:r w:rsidR="00E74573">
        <w:t>I have altogether less confidence that the proposition contended for on behalf of the defendant can hold good, formulated in a manner that it is a</w:t>
      </w:r>
      <w:r w:rsidR="00E844A4">
        <w:t xml:space="preserve">t odds with </w:t>
      </w:r>
      <w:r w:rsidR="00E43AD7">
        <w:t>t</w:t>
      </w:r>
      <w:r w:rsidR="00E844A4">
        <w:t>he constitutional imperatives underlying Rule 43.  I rather err on the side of constitutional compliance.</w:t>
      </w:r>
      <w:r w:rsidR="00C9739A">
        <w:t xml:space="preserve"> </w:t>
      </w:r>
    </w:p>
    <w:p w14:paraId="7962C464" w14:textId="3D433D0E" w:rsidR="00431604" w:rsidRPr="00704237" w:rsidRDefault="00273796" w:rsidP="00273796">
      <w:pPr>
        <w:pStyle w:val="Heading1"/>
        <w:numPr>
          <w:ilvl w:val="0"/>
          <w:numId w:val="0"/>
        </w:numPr>
        <w:tabs>
          <w:tab w:val="left" w:pos="862"/>
        </w:tabs>
        <w:ind w:left="862" w:hanging="862"/>
      </w:pPr>
      <w:r w:rsidRPr="00704237">
        <w:t>[27]</w:t>
      </w:r>
      <w:r w:rsidRPr="00704237">
        <w:tab/>
      </w:r>
      <w:r w:rsidR="00431604">
        <w:t>At best for the defendant</w:t>
      </w:r>
      <w:r w:rsidR="0012749D">
        <w:t>,</w:t>
      </w:r>
      <w:r w:rsidR="00431604">
        <w:t xml:space="preserve"> is an argument that generally speaking, punishment by way of fine or imprisonment for civil contempt of an order made in civil proceedings</w:t>
      </w:r>
      <w:r w:rsidR="0012749D">
        <w:t>,</w:t>
      </w:r>
      <w:r w:rsidR="00431604">
        <w:t xml:space="preserve"> is only imposed where it is inherent in the order made that compliance with it can be enforced only by means of such punishment</w:t>
      </w:r>
      <w:r w:rsidR="00AA3961">
        <w:rPr>
          <w:rStyle w:val="FootnoteReference"/>
        </w:rPr>
        <w:footnoteReference w:id="34"/>
      </w:r>
      <w:r w:rsidR="00AA3961">
        <w:t xml:space="preserve"> - not to contend that a contempt order and imprisonment is </w:t>
      </w:r>
      <w:r w:rsidR="006323DE">
        <w:t xml:space="preserve">totally </w:t>
      </w:r>
      <w:r w:rsidR="00AA3961">
        <w:t>not competent relief in this application.</w:t>
      </w:r>
    </w:p>
    <w:p w14:paraId="1E8C2D83" w14:textId="5D6315AC" w:rsidR="00EC1183" w:rsidRDefault="00273796" w:rsidP="00273796">
      <w:pPr>
        <w:pStyle w:val="Heading1"/>
        <w:numPr>
          <w:ilvl w:val="0"/>
          <w:numId w:val="0"/>
        </w:numPr>
        <w:tabs>
          <w:tab w:val="left" w:pos="862"/>
        </w:tabs>
        <w:ind w:left="862" w:hanging="862"/>
      </w:pPr>
      <w:r>
        <w:t>[28]</w:t>
      </w:r>
      <w:r>
        <w:tab/>
      </w:r>
      <w:r w:rsidR="00D62C22">
        <w:t xml:space="preserve">In any event, the claim for a contribution towards costs in a matrimonial suit is </w:t>
      </w:r>
      <w:r w:rsidR="00D62C22" w:rsidRPr="002F44BB">
        <w:rPr>
          <w:i/>
          <w:iCs/>
        </w:rPr>
        <w:t>sui generis</w:t>
      </w:r>
      <w:r w:rsidR="00D62C22">
        <w:t>:  an incident of the duty of support which spouses owe to each other</w:t>
      </w:r>
      <w:r w:rsidR="00EC1183">
        <w:rPr>
          <w:rStyle w:val="FootnoteReference"/>
        </w:rPr>
        <w:footnoteReference w:id="35"/>
      </w:r>
      <w:r w:rsidR="00EC1183">
        <w:t xml:space="preserve"> and –</w:t>
      </w:r>
    </w:p>
    <w:p w14:paraId="179D1955" w14:textId="0B42ACAE" w:rsidR="00704237" w:rsidRDefault="00EC1183" w:rsidP="00EC1183">
      <w:pPr>
        <w:ind w:left="1871" w:hanging="1871"/>
      </w:pPr>
      <w:r>
        <w:tab/>
      </w:r>
      <w:r>
        <w:tab/>
      </w:r>
      <w:r>
        <w:rPr>
          <w:i/>
          <w:iCs/>
        </w:rPr>
        <w:t>“The purpose of the remedy has consistently been recognised as being to enable a party in the principal litigation who is comparatively financially disadvantaged in relation to the other side to adequately place his or her case before Court.”</w:t>
      </w:r>
      <w:r w:rsidR="00D62C22">
        <w:t xml:space="preserve"> </w:t>
      </w:r>
      <w:r w:rsidR="00E74573">
        <w:rPr>
          <w:rStyle w:val="FootnoteReference"/>
        </w:rPr>
        <w:footnoteReference w:id="36"/>
      </w:r>
    </w:p>
    <w:p w14:paraId="5E6CAA8D" w14:textId="37E81464" w:rsidR="00E74573" w:rsidRDefault="00273796" w:rsidP="00273796">
      <w:pPr>
        <w:pStyle w:val="Heading1"/>
        <w:numPr>
          <w:ilvl w:val="0"/>
          <w:numId w:val="0"/>
        </w:numPr>
        <w:tabs>
          <w:tab w:val="left" w:pos="862"/>
        </w:tabs>
        <w:ind w:left="862" w:hanging="862"/>
      </w:pPr>
      <w:r>
        <w:lastRenderedPageBreak/>
        <w:t>[29]</w:t>
      </w:r>
      <w:r>
        <w:tab/>
      </w:r>
      <w:r w:rsidR="00E74573">
        <w:t>Rule 43 now regulates the procedure to be followed where a contribution to costs is sought, and is intended to provide for inexpensive and expeditious interim relief.</w:t>
      </w:r>
      <w:r w:rsidR="00E74573">
        <w:rPr>
          <w:rStyle w:val="FootnoteReference"/>
        </w:rPr>
        <w:footnoteReference w:id="37"/>
      </w:r>
    </w:p>
    <w:p w14:paraId="1DDAEB7B" w14:textId="474EDFAF" w:rsidR="00E74573" w:rsidRPr="00704237" w:rsidRDefault="00273796" w:rsidP="00273796">
      <w:pPr>
        <w:pStyle w:val="Heading1"/>
        <w:numPr>
          <w:ilvl w:val="0"/>
          <w:numId w:val="0"/>
        </w:numPr>
        <w:tabs>
          <w:tab w:val="left" w:pos="862"/>
        </w:tabs>
        <w:ind w:left="862" w:hanging="862"/>
      </w:pPr>
      <w:r w:rsidRPr="00704237">
        <w:t>[30]</w:t>
      </w:r>
      <w:r w:rsidRPr="00704237">
        <w:tab/>
      </w:r>
      <w:r w:rsidR="00E74573">
        <w:t xml:space="preserve">The issues dealt with in </w:t>
      </w:r>
      <w:r w:rsidR="00E74573">
        <w:rPr>
          <w:b/>
          <w:bCs/>
          <w:i/>
          <w:iCs/>
        </w:rPr>
        <w:t>Coetzee</w:t>
      </w:r>
      <w:r w:rsidR="00E74573">
        <w:t>, pertaining to judgment debts do not fit easily with matrimonial matters and the policy imperatives underlying Rule 43.</w:t>
      </w:r>
    </w:p>
    <w:p w14:paraId="7F4D11A3" w14:textId="170E5FD0" w:rsidR="00CD5BC9" w:rsidRDefault="009825A3" w:rsidP="009825A3">
      <w:pPr>
        <w:pStyle w:val="Heading1"/>
        <w:keepNext/>
        <w:numPr>
          <w:ilvl w:val="0"/>
          <w:numId w:val="0"/>
        </w:numPr>
        <w:ind w:left="862" w:hanging="862"/>
        <w:rPr>
          <w:b/>
          <w:bCs/>
          <w:u w:val="single"/>
        </w:rPr>
      </w:pPr>
      <w:r>
        <w:rPr>
          <w:b/>
          <w:bCs/>
          <w:u w:val="single"/>
        </w:rPr>
        <w:t>The appropriateness of a cohesive order</w:t>
      </w:r>
    </w:p>
    <w:p w14:paraId="14EB66A7" w14:textId="48823C44" w:rsidR="009825A3" w:rsidRDefault="00273796" w:rsidP="00273796">
      <w:pPr>
        <w:pStyle w:val="Heading1"/>
        <w:numPr>
          <w:ilvl w:val="0"/>
          <w:numId w:val="0"/>
        </w:numPr>
        <w:tabs>
          <w:tab w:val="left" w:pos="862"/>
        </w:tabs>
        <w:ind w:left="862" w:hanging="862"/>
      </w:pPr>
      <w:r>
        <w:t>[31]</w:t>
      </w:r>
      <w:r>
        <w:tab/>
      </w:r>
      <w:r w:rsidR="009825A3">
        <w:t>It is trite that an applicant who alleges contempt of Court must establish that (a) an order was granted against the alleged contemnor;  (b) the alleged contemnor was served with the order or had knowledge of it;  and (c) the alleged contemnor failed to comply with the order.</w:t>
      </w:r>
      <w:r w:rsidR="009825A3">
        <w:rPr>
          <w:rStyle w:val="FootnoteReference"/>
        </w:rPr>
        <w:footnoteReference w:id="38"/>
      </w:r>
      <w:r w:rsidR="009825A3">
        <w:t xml:space="preserve">  Once these elements are established, wilfulness and </w:t>
      </w:r>
      <w:r w:rsidR="009825A3" w:rsidRPr="000C55CB">
        <w:rPr>
          <w:i/>
        </w:rPr>
        <w:t>mala fide</w:t>
      </w:r>
      <w:r w:rsidR="009825A3">
        <w:rPr>
          <w:i/>
        </w:rPr>
        <w:t>s</w:t>
      </w:r>
      <w:r w:rsidR="009825A3">
        <w:t xml:space="preserve"> are presumed and the respondent bears an evidentiary burden to establish a reasonable doubt.</w:t>
      </w:r>
      <w:r w:rsidR="009825A3">
        <w:rPr>
          <w:rStyle w:val="FootnoteReference"/>
        </w:rPr>
        <w:footnoteReference w:id="39"/>
      </w:r>
      <w:r w:rsidR="009825A3">
        <w:t xml:space="preserve">  A perusal of </w:t>
      </w:r>
      <w:r w:rsidR="009825A3" w:rsidRPr="009F2505">
        <w:rPr>
          <w:b/>
          <w:bCs/>
          <w:i/>
          <w:iCs/>
        </w:rPr>
        <w:t>“FA4”</w:t>
      </w:r>
      <w:r w:rsidR="009825A3">
        <w:t xml:space="preserve"> and </w:t>
      </w:r>
      <w:r w:rsidR="009825A3" w:rsidRPr="009F2505">
        <w:rPr>
          <w:b/>
          <w:bCs/>
          <w:i/>
          <w:iCs/>
        </w:rPr>
        <w:t>“FA5”</w:t>
      </w:r>
      <w:r w:rsidR="009825A3">
        <w:t xml:space="preserve"> demonstrate unequivocally that (a) an order was against the defendant; (b) the defendant was served with the order and had knowledge of it and (c) the defendant failed to comply therewith.  Besides, the defendant does not contend otherwise.  Therefore, inevitably, willingness and </w:t>
      </w:r>
      <w:r w:rsidR="009825A3" w:rsidRPr="000C55CB">
        <w:rPr>
          <w:i/>
        </w:rPr>
        <w:t>mala fide</w:t>
      </w:r>
      <w:r w:rsidR="009825A3">
        <w:rPr>
          <w:i/>
        </w:rPr>
        <w:t>s</w:t>
      </w:r>
      <w:r w:rsidR="009825A3">
        <w:t xml:space="preserve"> are presumed.</w:t>
      </w:r>
    </w:p>
    <w:p w14:paraId="3B7AFC61" w14:textId="3FA8C45F" w:rsidR="009825A3" w:rsidRDefault="00273796" w:rsidP="00273796">
      <w:pPr>
        <w:pStyle w:val="Heading1"/>
        <w:numPr>
          <w:ilvl w:val="0"/>
          <w:numId w:val="0"/>
        </w:numPr>
        <w:tabs>
          <w:tab w:val="left" w:pos="862"/>
        </w:tabs>
        <w:ind w:left="862" w:hanging="862"/>
      </w:pPr>
      <w:r>
        <w:t>[32]</w:t>
      </w:r>
      <w:r>
        <w:tab/>
      </w:r>
      <w:r w:rsidR="009825A3">
        <w:t xml:space="preserve">The issues raised in paragraph </w:t>
      </w:r>
      <w:r w:rsidR="001E447F">
        <w:t>“</w:t>
      </w:r>
      <w:r w:rsidR="001E447F" w:rsidRPr="001E447F">
        <w:rPr>
          <w:b/>
          <w:bCs/>
          <w:i/>
          <w:iCs/>
        </w:rPr>
        <w:t>FA6</w:t>
      </w:r>
      <w:r w:rsidR="001E447F">
        <w:t>”</w:t>
      </w:r>
      <w:r w:rsidR="00B064E9">
        <w:t xml:space="preserve">, ought to have been a </w:t>
      </w:r>
      <w:r w:rsidR="00B064E9">
        <w:rPr>
          <w:i/>
          <w:iCs/>
        </w:rPr>
        <w:t>“light bulb moment”</w:t>
      </w:r>
      <w:r w:rsidR="00B064E9">
        <w:t xml:space="preserve">, for the defendant, warranting sufficient particularity being furnished.  To me, a failure to deal </w:t>
      </w:r>
      <w:proofErr w:type="spellStart"/>
      <w:r w:rsidR="00B064E9">
        <w:t>issuably</w:t>
      </w:r>
      <w:proofErr w:type="spellEnd"/>
      <w:r w:rsidR="00B064E9">
        <w:t xml:space="preserve"> with those concerns is fatal to </w:t>
      </w:r>
      <w:r w:rsidR="00B064E9">
        <w:lastRenderedPageBreak/>
        <w:t xml:space="preserve">the evidentiary burden imposed on the defendant to establish a reasonable doubt – a lack of willingness and </w:t>
      </w:r>
      <w:r w:rsidR="00B064E9" w:rsidRPr="00475029">
        <w:rPr>
          <w:i/>
        </w:rPr>
        <w:t>bona fide</w:t>
      </w:r>
      <w:r w:rsidR="00B064E9">
        <w:rPr>
          <w:i/>
        </w:rPr>
        <w:t>s</w:t>
      </w:r>
      <w:r w:rsidR="00B064E9">
        <w:t>.</w:t>
      </w:r>
    </w:p>
    <w:p w14:paraId="6963852E" w14:textId="0245826A" w:rsidR="00B064E9" w:rsidRDefault="00273796" w:rsidP="00273796">
      <w:pPr>
        <w:pStyle w:val="Heading1"/>
        <w:numPr>
          <w:ilvl w:val="0"/>
          <w:numId w:val="0"/>
        </w:numPr>
        <w:tabs>
          <w:tab w:val="left" w:pos="862"/>
        </w:tabs>
        <w:ind w:left="862" w:hanging="862"/>
      </w:pPr>
      <w:r>
        <w:t>[33]</w:t>
      </w:r>
      <w:r>
        <w:tab/>
      </w:r>
      <w:r w:rsidR="00B064E9">
        <w:t xml:space="preserve">A further significant lacuna in the defendant’s argument is his failure to provide any timeframes </w:t>
      </w:r>
      <w:r w:rsidR="001E447F">
        <w:t xml:space="preserve">or (undertaking) </w:t>
      </w:r>
      <w:r w:rsidR="00B064E9">
        <w:t xml:space="preserve">within which he can purge </w:t>
      </w:r>
      <w:r w:rsidR="001E447F">
        <w:t xml:space="preserve">his </w:t>
      </w:r>
      <w:r w:rsidR="00B064E9">
        <w:t>contempt.  It was simply contended for on behalf of the defendant that</w:t>
      </w:r>
      <w:r w:rsidR="001E447F">
        <w:t>,</w:t>
      </w:r>
      <w:r w:rsidR="00B064E9">
        <w:t xml:space="preserve"> he is not only able to do so, </w:t>
      </w:r>
      <w:r w:rsidR="00B064E9" w:rsidRPr="00AC1462">
        <w:rPr>
          <w:u w:val="single"/>
        </w:rPr>
        <w:t>but</w:t>
      </w:r>
      <w:r w:rsidR="00B064E9">
        <w:t xml:space="preserve"> </w:t>
      </w:r>
      <w:r w:rsidR="00AC1462">
        <w:t>I was not proffered with no</w:t>
      </w:r>
      <w:r w:rsidR="00B064E9">
        <w:t xml:space="preserve"> guarantee</w:t>
      </w:r>
      <w:r w:rsidR="00AC1462">
        <w:t>,</w:t>
      </w:r>
      <w:r w:rsidR="00B064E9">
        <w:t xml:space="preserve"> that </w:t>
      </w:r>
      <w:r w:rsidR="001E447F">
        <w:t>he</w:t>
      </w:r>
      <w:r w:rsidR="00B064E9">
        <w:t xml:space="preserve"> will ever be </w:t>
      </w:r>
      <w:r w:rsidR="001E447F">
        <w:t>able to purge his contempt</w:t>
      </w:r>
      <w:r w:rsidR="00B064E9">
        <w:t xml:space="preserve">. </w:t>
      </w:r>
      <w:r w:rsidR="006323DE">
        <w:t xml:space="preserve">That was probably because precisely that outcome was foreseeable. </w:t>
      </w:r>
      <w:r w:rsidR="00B064E9">
        <w:t xml:space="preserve"> By referring to R3.8 million from a pension fund held in trust as a </w:t>
      </w:r>
      <w:proofErr w:type="gramStart"/>
      <w:r w:rsidR="00B064E9">
        <w:t xml:space="preserve">means </w:t>
      </w:r>
      <w:r w:rsidR="00253D04">
        <w:t xml:space="preserve"> by</w:t>
      </w:r>
      <w:proofErr w:type="gramEnd"/>
      <w:r w:rsidR="00253D04">
        <w:t xml:space="preserve"> the defendant </w:t>
      </w:r>
      <w:r w:rsidR="00B064E9">
        <w:t xml:space="preserve">to purge </w:t>
      </w:r>
      <w:r w:rsidR="00253D04">
        <w:t>his</w:t>
      </w:r>
      <w:r w:rsidR="00B064E9">
        <w:t xml:space="preserve"> contempt, such cannot stand on at least </w:t>
      </w:r>
      <w:r w:rsidR="00B05531">
        <w:t xml:space="preserve">four </w:t>
      </w:r>
      <w:r w:rsidR="00B064E9">
        <w:t>grounds namely:</w:t>
      </w:r>
    </w:p>
    <w:p w14:paraId="2F2D22E3" w14:textId="5F8812C9" w:rsidR="00B064E9" w:rsidRPr="008655F9" w:rsidRDefault="00273796" w:rsidP="00273796">
      <w:pPr>
        <w:pStyle w:val="Heading2"/>
        <w:numPr>
          <w:ilvl w:val="0"/>
          <w:numId w:val="0"/>
        </w:numPr>
        <w:tabs>
          <w:tab w:val="left" w:pos="1871"/>
        </w:tabs>
        <w:ind w:left="1871" w:hanging="1009"/>
      </w:pPr>
      <w:r w:rsidRPr="008655F9">
        <w:t>[33.1]</w:t>
      </w:r>
      <w:r w:rsidRPr="008655F9">
        <w:tab/>
      </w:r>
      <w:r w:rsidR="00B064E9">
        <w:t xml:space="preserve">It is hotly debated as to whether what is left thereof, belongs only to the defendant – </w:t>
      </w:r>
      <w:r w:rsidR="008655F9">
        <w:rPr>
          <w:i/>
          <w:iCs/>
        </w:rPr>
        <w:t xml:space="preserve">“He </w:t>
      </w:r>
      <w:r w:rsidR="00B064E9">
        <w:rPr>
          <w:i/>
          <w:iCs/>
        </w:rPr>
        <w:t xml:space="preserve">reneged on his undertaking (given in a letter dated 15 November 2016, namely, </w:t>
      </w:r>
      <w:r w:rsidR="00B064E9" w:rsidRPr="00B064E9">
        <w:rPr>
          <w:i/>
          <w:iCs/>
        </w:rPr>
        <w:t xml:space="preserve">Annexure </w:t>
      </w:r>
      <w:r w:rsidR="00B064E9" w:rsidRPr="00B064E9">
        <w:rPr>
          <w:b/>
          <w:i/>
          <w:iCs/>
        </w:rPr>
        <w:t>“</w:t>
      </w:r>
      <w:r w:rsidR="00B064E9">
        <w:rPr>
          <w:b/>
          <w:i/>
          <w:iCs/>
        </w:rPr>
        <w:t>FA</w:t>
      </w:r>
      <w:r w:rsidR="007127F2">
        <w:rPr>
          <w:b/>
          <w:i/>
          <w:iCs/>
        </w:rPr>
        <w:t>2</w:t>
      </w:r>
      <w:r w:rsidR="00B064E9">
        <w:rPr>
          <w:b/>
          <w:i/>
          <w:iCs/>
        </w:rPr>
        <w:t xml:space="preserve">” </w:t>
      </w:r>
      <w:r w:rsidR="00B064E9">
        <w:rPr>
          <w:bCs/>
          <w:i/>
          <w:iCs/>
        </w:rPr>
        <w:t xml:space="preserve">hereto), not to touch the remaining 50% of the pension fund, pending the outcome of the trial action.  He contended in </w:t>
      </w:r>
      <w:r w:rsidR="00B064E9" w:rsidRPr="00B064E9">
        <w:rPr>
          <w:bCs/>
          <w:i/>
          <w:iCs/>
        </w:rPr>
        <w:t xml:space="preserve">Annexure </w:t>
      </w:r>
      <w:r w:rsidR="00B064E9" w:rsidRPr="00B064E9">
        <w:rPr>
          <w:b/>
          <w:bCs/>
          <w:i/>
          <w:iCs/>
        </w:rPr>
        <w:t>“</w:t>
      </w:r>
      <w:r w:rsidR="00B064E9">
        <w:rPr>
          <w:b/>
          <w:bCs/>
          <w:i/>
          <w:iCs/>
        </w:rPr>
        <w:t>FA2”</w:t>
      </w:r>
      <w:r w:rsidR="00B064E9">
        <w:rPr>
          <w:i/>
          <w:iCs/>
        </w:rPr>
        <w:t xml:space="preserve"> hereto that he could do what he wanted in terms of his 50% thereof.  The clear implication thereof is that the other 50% would be preserved, potentially for my benefit, pending the final calculation of the accrual.  It was his subsequent attempt to withdraw the remaining 50% which prompted the launching of my successful second urgent application and the granting of the order constituting </w:t>
      </w:r>
      <w:r w:rsidR="00B064E9" w:rsidRPr="00B064E9">
        <w:rPr>
          <w:i/>
          <w:iCs/>
        </w:rPr>
        <w:t xml:space="preserve">Annexure </w:t>
      </w:r>
      <w:r w:rsidR="00B064E9" w:rsidRPr="00B064E9">
        <w:rPr>
          <w:b/>
          <w:i/>
          <w:iCs/>
        </w:rPr>
        <w:t>“</w:t>
      </w:r>
      <w:r w:rsidR="00B064E9">
        <w:rPr>
          <w:b/>
          <w:i/>
          <w:iCs/>
        </w:rPr>
        <w:t>FA1”</w:t>
      </w:r>
      <w:r w:rsidR="00B064E9">
        <w:rPr>
          <w:bCs/>
          <w:i/>
          <w:iCs/>
        </w:rPr>
        <w:t xml:space="preserve"> hereto.”</w:t>
      </w:r>
      <w:r w:rsidR="008655F9">
        <w:rPr>
          <w:rStyle w:val="FootnoteReference"/>
          <w:bCs/>
          <w:i/>
          <w:iCs/>
        </w:rPr>
        <w:footnoteReference w:id="40"/>
      </w:r>
    </w:p>
    <w:p w14:paraId="4807B9DA" w14:textId="6F7E68D1" w:rsidR="008655F9" w:rsidRDefault="00273796" w:rsidP="00273796">
      <w:pPr>
        <w:pStyle w:val="Heading2"/>
        <w:numPr>
          <w:ilvl w:val="0"/>
          <w:numId w:val="0"/>
        </w:numPr>
        <w:tabs>
          <w:tab w:val="left" w:pos="1871"/>
        </w:tabs>
        <w:ind w:left="1871" w:hanging="1009"/>
      </w:pPr>
      <w:r>
        <w:t>[33.2]</w:t>
      </w:r>
      <w:r>
        <w:tab/>
      </w:r>
      <w:r w:rsidR="008655F9">
        <w:t xml:space="preserve">There </w:t>
      </w:r>
      <w:r w:rsidR="00FE3985">
        <w:t>are allegation</w:t>
      </w:r>
      <w:r w:rsidR="009F2505">
        <w:t>s</w:t>
      </w:r>
      <w:r w:rsidR="00FE3985">
        <w:t xml:space="preserve"> of </w:t>
      </w:r>
      <w:r w:rsidR="008655F9">
        <w:t>dissipation of the defendant’s pension fund which constitutes the major asset in the accrual (from R12 </w:t>
      </w:r>
      <w:r w:rsidR="00082815">
        <w:t>million to</w:t>
      </w:r>
      <w:r w:rsidR="008655F9">
        <w:t xml:space="preserve"> R3.8 million).</w:t>
      </w:r>
    </w:p>
    <w:p w14:paraId="38591176" w14:textId="6784DF7B" w:rsidR="00B05531" w:rsidRDefault="00273796" w:rsidP="00273796">
      <w:pPr>
        <w:pStyle w:val="Heading2"/>
        <w:numPr>
          <w:ilvl w:val="0"/>
          <w:numId w:val="0"/>
        </w:numPr>
        <w:tabs>
          <w:tab w:val="left" w:pos="1871"/>
        </w:tabs>
        <w:ind w:left="1871" w:hanging="1009"/>
      </w:pPr>
      <w:r>
        <w:t>[33.3]</w:t>
      </w:r>
      <w:r>
        <w:tab/>
      </w:r>
      <w:r w:rsidR="00B05531">
        <w:t xml:space="preserve">What amount in respect of the accrual, if any, should be paid to </w:t>
      </w:r>
      <w:r w:rsidR="00B05531">
        <w:lastRenderedPageBreak/>
        <w:t>either the plaintiff or the defendant?</w:t>
      </w:r>
      <w:r w:rsidR="00B05531">
        <w:rPr>
          <w:rStyle w:val="FootnoteReference"/>
        </w:rPr>
        <w:footnoteReference w:id="41"/>
      </w:r>
    </w:p>
    <w:p w14:paraId="56C72C85" w14:textId="1ACA8CB6" w:rsidR="00B05531" w:rsidRDefault="00273796" w:rsidP="00273796">
      <w:pPr>
        <w:pStyle w:val="Heading2"/>
        <w:numPr>
          <w:ilvl w:val="0"/>
          <w:numId w:val="0"/>
        </w:numPr>
        <w:tabs>
          <w:tab w:val="left" w:pos="1871"/>
        </w:tabs>
        <w:ind w:left="1871" w:hanging="1009"/>
      </w:pPr>
      <w:r>
        <w:t>[33.4]</w:t>
      </w:r>
      <w:r>
        <w:tab/>
      </w:r>
      <w:r w:rsidR="00B05531">
        <w:t>That the defendant withdrew in excess of 50% of the pension fund.</w:t>
      </w:r>
      <w:r w:rsidR="00B05531">
        <w:rPr>
          <w:rStyle w:val="FootnoteReference"/>
        </w:rPr>
        <w:footnoteReference w:id="42"/>
      </w:r>
    </w:p>
    <w:p w14:paraId="36578341" w14:textId="4D8FA570" w:rsidR="008655F9" w:rsidRDefault="00273796" w:rsidP="00273796">
      <w:pPr>
        <w:pStyle w:val="Heading1"/>
        <w:numPr>
          <w:ilvl w:val="0"/>
          <w:numId w:val="0"/>
        </w:numPr>
        <w:tabs>
          <w:tab w:val="left" w:pos="862"/>
        </w:tabs>
        <w:ind w:left="862" w:hanging="862"/>
      </w:pPr>
      <w:r>
        <w:t>[34]</w:t>
      </w:r>
      <w:r>
        <w:tab/>
      </w:r>
      <w:r w:rsidR="008655F9">
        <w:t>It is in the first instance highly improbable that, bearing in mind the</w:t>
      </w:r>
      <w:r w:rsidR="00FE3985">
        <w:t xml:space="preserve"> extremely remiss in the manner in which the defendant conducted all the litigation pertaining to this matter, </w:t>
      </w:r>
      <w:r w:rsidR="008655F9">
        <w:t xml:space="preserve">as </w:t>
      </w:r>
      <w:proofErr w:type="spellStart"/>
      <w:r w:rsidR="008655F9">
        <w:t>aforestated</w:t>
      </w:r>
      <w:proofErr w:type="spellEnd"/>
      <w:r w:rsidR="008655F9">
        <w:t xml:space="preserve">, and the intractable conflicting relationship between the parties coupled with ongoing conflict, </w:t>
      </w:r>
      <w:r w:rsidR="00253D04">
        <w:t xml:space="preserve">dating </w:t>
      </w:r>
      <w:r w:rsidR="008655F9">
        <w:t xml:space="preserve">as far back as 2014, that any material difference would be </w:t>
      </w:r>
      <w:proofErr w:type="gramStart"/>
      <w:r w:rsidR="005B474C">
        <w:t xml:space="preserve">achieved </w:t>
      </w:r>
      <w:r w:rsidR="008655F9">
        <w:t xml:space="preserve"> in</w:t>
      </w:r>
      <w:proofErr w:type="gramEnd"/>
      <w:r w:rsidR="008655F9">
        <w:t xml:space="preserve"> </w:t>
      </w:r>
      <w:r w:rsidR="00253D04">
        <w:t xml:space="preserve">ensuring that </w:t>
      </w:r>
      <w:r w:rsidR="008655F9">
        <w:t xml:space="preserve">the </w:t>
      </w:r>
      <w:r w:rsidR="00FE3985">
        <w:t>defendant</w:t>
      </w:r>
      <w:r w:rsidR="008655F9">
        <w:t xml:space="preserve"> purge</w:t>
      </w:r>
      <w:r w:rsidR="00253D04">
        <w:t>s</w:t>
      </w:r>
      <w:r w:rsidR="008655F9">
        <w:t xml:space="preserve"> </w:t>
      </w:r>
      <w:r w:rsidR="00FE3985">
        <w:t xml:space="preserve">his </w:t>
      </w:r>
      <w:r w:rsidR="008655F9">
        <w:t>contempt,</w:t>
      </w:r>
      <w:r w:rsidR="00FE3985">
        <w:t xml:space="preserve"> in any other way, </w:t>
      </w:r>
      <w:r w:rsidR="008655F9">
        <w:t xml:space="preserve"> if not by a cohesive order.</w:t>
      </w:r>
      <w:r w:rsidR="005B474C">
        <w:t xml:space="preserve"> The best indicator for future conduct is past conduct.</w:t>
      </w:r>
      <w:r w:rsidR="005B474C">
        <w:rPr>
          <w:rStyle w:val="FootnoteReference"/>
        </w:rPr>
        <w:footnoteReference w:id="43"/>
      </w:r>
    </w:p>
    <w:p w14:paraId="22E5AAC7" w14:textId="254E72E2" w:rsidR="008579DF" w:rsidRPr="008579DF" w:rsidRDefault="00E146BF" w:rsidP="008579DF">
      <w:pPr>
        <w:pStyle w:val="NormalWeb"/>
        <w:spacing w:line="360" w:lineRule="auto"/>
        <w:ind w:left="851" w:hanging="851"/>
        <w:jc w:val="both"/>
        <w:rPr>
          <w:rFonts w:ascii="Arial" w:hAnsi="Arial"/>
          <w:kern w:val="25"/>
          <w:lang w:eastAsia="en-US"/>
        </w:rPr>
      </w:pPr>
      <w:r>
        <w:rPr>
          <w:rFonts w:ascii="Arial" w:hAnsi="Arial"/>
          <w:kern w:val="25"/>
          <w:szCs w:val="20"/>
          <w:lang w:eastAsia="en-US"/>
        </w:rPr>
        <w:t xml:space="preserve">[35]       </w:t>
      </w:r>
      <w:r w:rsidR="004C27FC">
        <w:rPr>
          <w:rFonts w:ascii="Arial" w:hAnsi="Arial"/>
          <w:kern w:val="25"/>
          <w:szCs w:val="20"/>
          <w:lang w:eastAsia="en-US"/>
        </w:rPr>
        <w:t xml:space="preserve">However, </w:t>
      </w:r>
      <w:r w:rsidR="004C27FC">
        <w:rPr>
          <w:rFonts w:ascii="Arial" w:hAnsi="Arial"/>
          <w:kern w:val="25"/>
          <w:lang w:eastAsia="en-US"/>
        </w:rPr>
        <w:t>i</w:t>
      </w:r>
      <w:r w:rsidR="008579DF" w:rsidRPr="008579DF">
        <w:rPr>
          <w:rFonts w:ascii="Arial" w:hAnsi="Arial"/>
          <w:kern w:val="25"/>
          <w:lang w:eastAsia="en-US"/>
        </w:rPr>
        <w:t xml:space="preserve">n </w:t>
      </w:r>
      <w:r w:rsidR="008579DF" w:rsidRPr="001C15CF">
        <w:rPr>
          <w:rFonts w:ascii="Arial" w:hAnsi="Arial"/>
          <w:b/>
          <w:bCs/>
          <w:i/>
          <w:iCs/>
          <w:kern w:val="25"/>
          <w:lang w:eastAsia="en-US"/>
        </w:rPr>
        <w:t xml:space="preserve">S v </w:t>
      </w:r>
      <w:proofErr w:type="spellStart"/>
      <w:r w:rsidR="008579DF" w:rsidRPr="001C15CF">
        <w:rPr>
          <w:rFonts w:ascii="Arial" w:hAnsi="Arial"/>
          <w:b/>
          <w:bCs/>
          <w:i/>
          <w:iCs/>
          <w:kern w:val="25"/>
          <w:lang w:eastAsia="en-US"/>
        </w:rPr>
        <w:t>Nel</w:t>
      </w:r>
      <w:proofErr w:type="spellEnd"/>
      <w:r w:rsidR="008579DF" w:rsidRPr="001C15CF">
        <w:rPr>
          <w:rFonts w:ascii="Arial" w:hAnsi="Arial"/>
          <w:b/>
          <w:bCs/>
          <w:i/>
          <w:iCs/>
          <w:kern w:val="25"/>
          <w:lang w:eastAsia="en-US"/>
        </w:rPr>
        <w:t xml:space="preserve"> 1991 (1) SA 730 (A) at 733A-E</w:t>
      </w:r>
      <w:r w:rsidR="008579DF" w:rsidRPr="008579DF">
        <w:rPr>
          <w:rFonts w:ascii="Arial" w:hAnsi="Arial"/>
          <w:kern w:val="25"/>
          <w:lang w:eastAsia="en-US"/>
        </w:rPr>
        <w:t>, the Court noted that a person convicted of contempt is not an “ordinary criminal in the everyday meaning of the word and he ought not to be treated as such”. The purpose of considering meting out punishment in these cases—</w:t>
      </w:r>
    </w:p>
    <w:p w14:paraId="15A4645F" w14:textId="093DD180" w:rsidR="00636F76" w:rsidRDefault="008579DF" w:rsidP="008579DF">
      <w:pPr>
        <w:pStyle w:val="NormalWeb"/>
        <w:spacing w:line="360" w:lineRule="auto"/>
        <w:ind w:left="851"/>
        <w:jc w:val="both"/>
        <w:rPr>
          <w:rFonts w:ascii="Arial" w:hAnsi="Arial"/>
          <w:kern w:val="25"/>
          <w:lang w:eastAsia="en-US"/>
        </w:rPr>
      </w:pPr>
      <w:r w:rsidRPr="008579DF">
        <w:rPr>
          <w:rFonts w:ascii="Arial" w:hAnsi="Arial"/>
          <w:kern w:val="25"/>
          <w:lang w:eastAsia="en-US"/>
        </w:rPr>
        <w:t>“is to enforce the court’s authority . . . The extent of the punishment stays in the background; in the foreground is the esteem and authority of the court . . . The authority of the court is too precious to attempt to measure it against any punishment for any conduct which harms it. Esteem for the court cannot be achieved by heavier punishments for insults to the court.”</w:t>
      </w:r>
    </w:p>
    <w:p w14:paraId="2592818C" w14:textId="77777777" w:rsidR="008579DF" w:rsidRPr="008579DF" w:rsidRDefault="008579DF" w:rsidP="008579DF">
      <w:pPr>
        <w:pStyle w:val="NormalWeb"/>
        <w:spacing w:line="276" w:lineRule="auto"/>
        <w:ind w:left="851"/>
        <w:jc w:val="center"/>
        <w:rPr>
          <w:rFonts w:ascii="Arial" w:hAnsi="Arial"/>
          <w:kern w:val="25"/>
          <w:lang w:eastAsia="en-US"/>
        </w:rPr>
      </w:pPr>
    </w:p>
    <w:p w14:paraId="54C67E6D" w14:textId="627A9F41" w:rsidR="000A5771" w:rsidRDefault="004C27FC" w:rsidP="004C27FC">
      <w:pPr>
        <w:pStyle w:val="Heading1"/>
        <w:numPr>
          <w:ilvl w:val="0"/>
          <w:numId w:val="0"/>
        </w:numPr>
        <w:ind w:left="851" w:hanging="851"/>
      </w:pPr>
      <w:r>
        <w:t xml:space="preserve">[36]    </w:t>
      </w:r>
      <w:r w:rsidR="00BB27B0">
        <w:t xml:space="preserve">The plaintiff had asked me to impose a sentence </w:t>
      </w:r>
      <w:r w:rsidR="00E90144">
        <w:t>of 60</w:t>
      </w:r>
      <w:r w:rsidR="008579DF">
        <w:t xml:space="preserve"> </w:t>
      </w:r>
      <w:r w:rsidR="003244BC">
        <w:t xml:space="preserve">calendar </w:t>
      </w:r>
      <w:proofErr w:type="gramStart"/>
      <w:r w:rsidR="003244BC">
        <w:t>days</w:t>
      </w:r>
      <w:proofErr w:type="gramEnd"/>
      <w:r w:rsidR="003244BC">
        <w:t xml:space="preserve"> </w:t>
      </w:r>
      <w:r w:rsidR="00BB27B0">
        <w:t xml:space="preserve">imprisonment, to be suspended, </w:t>
      </w:r>
      <w:r w:rsidR="00E93E60">
        <w:t xml:space="preserve">should </w:t>
      </w:r>
      <w:r w:rsidR="00BB27B0">
        <w:t>I find in its favour.  Even if I am of the view that the defendant’s</w:t>
      </w:r>
      <w:r w:rsidR="003244BC">
        <w:t xml:space="preserve"> conduct is reprehensible and his </w:t>
      </w:r>
      <w:r w:rsidR="00E90144">
        <w:t xml:space="preserve">alleged </w:t>
      </w:r>
      <w:r w:rsidR="00E90144">
        <w:lastRenderedPageBreak/>
        <w:t>impecuniosity</w:t>
      </w:r>
      <w:r w:rsidR="00BB27B0">
        <w:t xml:space="preserve"> is ventilated by bald allegations without any corroborating substantiation, the enquiry that I ha</w:t>
      </w:r>
      <w:r w:rsidR="003244BC">
        <w:t>ve</w:t>
      </w:r>
      <w:r w:rsidR="00BB27B0">
        <w:t xml:space="preserve"> to make in considering </w:t>
      </w:r>
      <w:r w:rsidR="003244BC">
        <w:t xml:space="preserve">the </w:t>
      </w:r>
      <w:r w:rsidR="00E90144">
        <w:t>plaintiff’s proposition</w:t>
      </w:r>
      <w:r w:rsidR="002A7040">
        <w:t xml:space="preserve">, </w:t>
      </w:r>
      <w:r w:rsidR="00BB27B0">
        <w:t>is fact specific and there are no general guidelines or principles.  I have considered the fact that the defendant is quadriplegic</w:t>
      </w:r>
      <w:r w:rsidR="00CE35E7">
        <w:t xml:space="preserve">, not an </w:t>
      </w:r>
      <w:r w:rsidR="00CE35E7" w:rsidRPr="00CE35E7">
        <w:rPr>
          <w:i/>
          <w:iCs/>
          <w:u w:val="single"/>
        </w:rPr>
        <w:t>ordinary criminal in the everyday meaning of the word</w:t>
      </w:r>
      <w:r w:rsidR="00CE35E7" w:rsidRPr="008579DF">
        <w:t xml:space="preserve"> and he ought not to be treated as such</w:t>
      </w:r>
      <w:r w:rsidR="00E93E60">
        <w:t>. T</w:t>
      </w:r>
      <w:r w:rsidR="00BB27B0">
        <w:t xml:space="preserve">he sentence called for would not only be disproportionate, but will also not be commensurate with the offence committed.  I venture to locate exceptionality in the defendant’s </w:t>
      </w:r>
      <w:r w:rsidR="005B474C">
        <w:t>benefit</w:t>
      </w:r>
      <w:r w:rsidR="00BB27B0">
        <w:t>.  A period of thirty calendar days is appropriate.</w:t>
      </w:r>
    </w:p>
    <w:p w14:paraId="52ABBF69" w14:textId="061424C4" w:rsidR="000A5771" w:rsidRDefault="004C27FC" w:rsidP="004C27FC">
      <w:pPr>
        <w:pStyle w:val="Heading1"/>
        <w:numPr>
          <w:ilvl w:val="0"/>
          <w:numId w:val="0"/>
        </w:numPr>
        <w:ind w:left="851" w:hanging="851"/>
      </w:pPr>
      <w:r>
        <w:t xml:space="preserve">[37]      </w:t>
      </w:r>
      <w:r w:rsidR="008655F9">
        <w:t>In these circumstances, the sustainable and cognisable rationale for the order sought is established by the plaintiff.</w:t>
      </w:r>
    </w:p>
    <w:p w14:paraId="2509F2B2" w14:textId="61B0DBA2" w:rsidR="008655F9" w:rsidRDefault="008655F9" w:rsidP="008655F9">
      <w:pPr>
        <w:keepNext/>
        <w:rPr>
          <w:b/>
          <w:bCs/>
          <w:u w:val="single"/>
        </w:rPr>
      </w:pPr>
      <w:r>
        <w:rPr>
          <w:b/>
          <w:bCs/>
          <w:u w:val="single"/>
        </w:rPr>
        <w:t>Postponement</w:t>
      </w:r>
    </w:p>
    <w:p w14:paraId="322FA636" w14:textId="3F5F7EF2" w:rsidR="00763BB2" w:rsidRDefault="004C27FC" w:rsidP="004C27FC">
      <w:pPr>
        <w:pStyle w:val="Heading1"/>
        <w:numPr>
          <w:ilvl w:val="0"/>
          <w:numId w:val="0"/>
        </w:numPr>
        <w:ind w:left="862" w:hanging="862"/>
      </w:pPr>
      <w:r>
        <w:t xml:space="preserve">[38]     </w:t>
      </w:r>
      <w:r w:rsidR="00763BB2">
        <w:t xml:space="preserve">I did not see from the papers, </w:t>
      </w:r>
      <w:r w:rsidR="00FE3985">
        <w:t xml:space="preserve">or heard an </w:t>
      </w:r>
      <w:r w:rsidR="00763BB2">
        <w:t xml:space="preserve">argument being advanced that the amount sought by the plaintiff is unreasonable.  In any event, </w:t>
      </w:r>
      <w:r w:rsidR="00FE3985">
        <w:t>the</w:t>
      </w:r>
      <w:r w:rsidR="00763BB2">
        <w:t xml:space="preserve"> learned </w:t>
      </w:r>
      <w:r w:rsidR="001C15CF">
        <w:t>a</w:t>
      </w:r>
      <w:r w:rsidR="00763BB2">
        <w:t>cting Judge, pronounced in paragraph 20 of his judgment,</w:t>
      </w:r>
      <w:r w:rsidR="00763BB2">
        <w:rPr>
          <w:rStyle w:val="FootnoteReference"/>
        </w:rPr>
        <w:footnoteReference w:id="44"/>
      </w:r>
      <w:r w:rsidR="00763BB2">
        <w:t xml:space="preserve"> the guiding principles applicable in considering claims for a contribution towards legal costs, as formulated in </w:t>
      </w:r>
      <w:r w:rsidR="00763BB2">
        <w:rPr>
          <w:b/>
          <w:bCs/>
          <w:i/>
          <w:iCs/>
        </w:rPr>
        <w:t xml:space="preserve">Van </w:t>
      </w:r>
      <w:proofErr w:type="spellStart"/>
      <w:r w:rsidR="00763BB2">
        <w:rPr>
          <w:b/>
          <w:bCs/>
          <w:i/>
          <w:iCs/>
        </w:rPr>
        <w:t>Rippen</w:t>
      </w:r>
      <w:proofErr w:type="spellEnd"/>
      <w:r w:rsidR="00763BB2" w:rsidRPr="00763BB2">
        <w:rPr>
          <w:rStyle w:val="FootnoteReference"/>
        </w:rPr>
        <w:footnoteReference w:id="45"/>
      </w:r>
      <w:r w:rsidR="00763BB2" w:rsidRPr="00763BB2">
        <w:t xml:space="preserve"> that</w:t>
      </w:r>
      <w:r w:rsidR="00763BB2">
        <w:rPr>
          <w:b/>
          <w:bCs/>
          <w:i/>
          <w:iCs/>
        </w:rPr>
        <w:t xml:space="preserve"> </w:t>
      </w:r>
      <w:r w:rsidR="00763BB2" w:rsidRPr="00110B46">
        <w:rPr>
          <w:i/>
        </w:rPr>
        <w:t>inter alia</w:t>
      </w:r>
      <w:r w:rsidR="00763BB2">
        <w:t>:</w:t>
      </w:r>
    </w:p>
    <w:p w14:paraId="0C17ECB2" w14:textId="65BA5AD3" w:rsidR="008655F9" w:rsidRDefault="00763BB2" w:rsidP="00637E42">
      <w:pPr>
        <w:ind w:left="1871" w:hanging="1871"/>
      </w:pPr>
      <w:r>
        <w:tab/>
      </w:r>
      <w:r>
        <w:tab/>
      </w:r>
      <w:r>
        <w:rPr>
          <w:i/>
          <w:iCs/>
        </w:rPr>
        <w:t>“</w:t>
      </w:r>
      <w:r w:rsidRPr="00763BB2">
        <w:rPr>
          <w:i/>
          <w:iCs/>
        </w:rPr>
        <w:t>In the exercise of</w:t>
      </w:r>
      <w:r>
        <w:rPr>
          <w:i/>
          <w:iCs/>
        </w:rPr>
        <w:t xml:space="preserve"> </w:t>
      </w:r>
      <w:r w:rsidRPr="00763BB2">
        <w:rPr>
          <w:i/>
          <w:iCs/>
        </w:rPr>
        <w:t>that discretion the Court should, I think have the dominant object in view that, having regard</w:t>
      </w:r>
      <w:r>
        <w:rPr>
          <w:i/>
          <w:iCs/>
        </w:rPr>
        <w:t xml:space="preserve"> </w:t>
      </w:r>
      <w:r w:rsidRPr="00763BB2">
        <w:rPr>
          <w:i/>
          <w:iCs/>
        </w:rPr>
        <w:t>to the circumstances of the case, the financial position of the parties and in particular issues</w:t>
      </w:r>
      <w:r>
        <w:rPr>
          <w:i/>
          <w:iCs/>
        </w:rPr>
        <w:t xml:space="preserve"> </w:t>
      </w:r>
      <w:r w:rsidRPr="00763BB2">
        <w:rPr>
          <w:i/>
          <w:iCs/>
        </w:rPr>
        <w:t>involved in the pending litigation, the wife must be enabled to present her case adequately</w:t>
      </w:r>
      <w:r>
        <w:rPr>
          <w:i/>
          <w:iCs/>
        </w:rPr>
        <w:t xml:space="preserve"> </w:t>
      </w:r>
      <w:r w:rsidRPr="00763BB2">
        <w:rPr>
          <w:i/>
          <w:iCs/>
        </w:rPr>
        <w:t>before the Court. In any assessment the question of essential disbursements must</w:t>
      </w:r>
      <w:r>
        <w:rPr>
          <w:i/>
          <w:iCs/>
        </w:rPr>
        <w:t xml:space="preserve"> </w:t>
      </w:r>
      <w:r w:rsidRPr="00763BB2">
        <w:rPr>
          <w:i/>
          <w:iCs/>
        </w:rPr>
        <w:t>necessarily be a very material factor. Equally it seems to me that it is inevitable in the</w:t>
      </w:r>
      <w:r>
        <w:rPr>
          <w:i/>
          <w:iCs/>
        </w:rPr>
        <w:t xml:space="preserve"> </w:t>
      </w:r>
      <w:r w:rsidRPr="00763BB2">
        <w:rPr>
          <w:i/>
          <w:iCs/>
        </w:rPr>
        <w:t xml:space="preserve">procedure that the solicitor acting for the wife must run some potential risk, to </w:t>
      </w:r>
      <w:r w:rsidRPr="00763BB2">
        <w:rPr>
          <w:i/>
          <w:iCs/>
        </w:rPr>
        <w:lastRenderedPageBreak/>
        <w:t>this extent that</w:t>
      </w:r>
      <w:r>
        <w:rPr>
          <w:i/>
          <w:iCs/>
        </w:rPr>
        <w:t xml:space="preserve"> </w:t>
      </w:r>
      <w:r w:rsidRPr="00763BB2">
        <w:rPr>
          <w:i/>
          <w:iCs/>
        </w:rPr>
        <w:t>he is not fully secured in advance; he has not, in the usual phrase, full cover for his fees.</w:t>
      </w:r>
      <w:r w:rsidR="00637E42">
        <w:rPr>
          <w:i/>
          <w:iCs/>
        </w:rPr>
        <w:t xml:space="preserve">  </w:t>
      </w:r>
      <w:r w:rsidRPr="00763BB2">
        <w:rPr>
          <w:i/>
          <w:iCs/>
        </w:rPr>
        <w:t>That appears to me unfortunate, but also to be inevitable.</w:t>
      </w:r>
      <w:r w:rsidR="00637E42">
        <w:rPr>
          <w:i/>
          <w:iCs/>
        </w:rPr>
        <w:t>”</w:t>
      </w:r>
      <w:r>
        <w:t xml:space="preserve"> </w:t>
      </w:r>
    </w:p>
    <w:p w14:paraId="327A402A" w14:textId="09F8DF78" w:rsidR="00637E42" w:rsidRDefault="004E31C2" w:rsidP="004E31C2">
      <w:pPr>
        <w:pStyle w:val="Heading1"/>
        <w:numPr>
          <w:ilvl w:val="0"/>
          <w:numId w:val="0"/>
        </w:numPr>
        <w:ind w:left="851" w:hanging="851"/>
      </w:pPr>
      <w:r>
        <w:t xml:space="preserve">[39]     </w:t>
      </w:r>
      <w:r w:rsidR="00637E42">
        <w:t xml:space="preserve">My learned brother, made a full analysis of the defendant’s finances and </w:t>
      </w:r>
      <w:r w:rsidR="005B474C">
        <w:t>made a finding that the defendant</w:t>
      </w:r>
      <w:r w:rsidR="00637E42">
        <w:t xml:space="preserve"> could afford the payment of R711 337,63 </w:t>
      </w:r>
      <w:r w:rsidR="00637E42" w:rsidRPr="005B474C">
        <w:rPr>
          <w:u w:val="single"/>
        </w:rPr>
        <w:t>forthwith.</w:t>
      </w:r>
      <w:r w:rsidR="00637E42">
        <w:t xml:space="preserve">  </w:t>
      </w:r>
    </w:p>
    <w:p w14:paraId="03615A76" w14:textId="5D1B9883" w:rsidR="00637E42" w:rsidRDefault="004E31C2" w:rsidP="004E31C2">
      <w:pPr>
        <w:pStyle w:val="Heading1"/>
        <w:numPr>
          <w:ilvl w:val="0"/>
          <w:numId w:val="0"/>
        </w:numPr>
        <w:ind w:left="851" w:hanging="851"/>
      </w:pPr>
      <w:r>
        <w:t xml:space="preserve">[40]   </w:t>
      </w:r>
      <w:r w:rsidR="00637E42">
        <w:t xml:space="preserve">It bears emphasis that Rule 43 proceedings should be considered </w:t>
      </w:r>
      <w:r>
        <w:t xml:space="preserve">  </w:t>
      </w:r>
      <w:proofErr w:type="spellStart"/>
      <w:r w:rsidR="00637E42">
        <w:t>throughthe</w:t>
      </w:r>
      <w:proofErr w:type="spellEnd"/>
      <w:r w:rsidR="00637E42">
        <w:t xml:space="preserve"> lens of the Constitution and its concomitant imperatives.  </w:t>
      </w:r>
    </w:p>
    <w:p w14:paraId="442C372D" w14:textId="55971AAB" w:rsidR="00637E42" w:rsidRPr="00637E42" w:rsidRDefault="00637E42" w:rsidP="00B05531">
      <w:pPr>
        <w:ind w:left="1871" w:hanging="1871"/>
        <w:rPr>
          <w:i/>
          <w:iCs/>
        </w:rPr>
      </w:pPr>
      <w:r>
        <w:tab/>
      </w:r>
      <w:r>
        <w:rPr>
          <w:i/>
          <w:iCs/>
        </w:rPr>
        <w:t>“[93]</w:t>
      </w:r>
      <w:r>
        <w:rPr>
          <w:i/>
          <w:iCs/>
        </w:rPr>
        <w:tab/>
        <w:t xml:space="preserve">For one, Davis AJ in AF v MF rejected the notion that a spouse is prohibited from claiming a </w:t>
      </w:r>
      <w:proofErr w:type="spellStart"/>
      <w:r>
        <w:rPr>
          <w:i/>
          <w:iCs/>
        </w:rPr>
        <w:t>lumpsum</w:t>
      </w:r>
      <w:proofErr w:type="spellEnd"/>
      <w:r>
        <w:rPr>
          <w:i/>
          <w:iCs/>
        </w:rPr>
        <w:t xml:space="preserve"> contribution to costs already incurred, expressly stating that like </w:t>
      </w:r>
      <w:proofErr w:type="spellStart"/>
      <w:r>
        <w:rPr>
          <w:i/>
          <w:iCs/>
        </w:rPr>
        <w:t>Donen</w:t>
      </w:r>
      <w:proofErr w:type="spellEnd"/>
      <w:r>
        <w:rPr>
          <w:i/>
          <w:iCs/>
        </w:rPr>
        <w:t xml:space="preserve"> AJ, I believe that constitutional imperatives support this conclusion.  It was because of the constitutional right to equality and access to justice that Davis AJ held as a matter of principle, that a Court is entitled to take into account the legal costs already incurred, including that incurred to fund legal costs, in the assessment of an appropriate contribution to the costs in terms of Rule 43.  Davis AJ in fact correctly noted that the contrary position would ignore the reality faced by spouses, more often women, who have to incur debt in order to meet legal costs.  This is another significant aspect of the judgment because, as outlined above, it is incontrovertible that women are often forced to enter debt in order to meet </w:t>
      </w:r>
      <w:r w:rsidR="00B05531">
        <w:rPr>
          <w:i/>
          <w:iCs/>
        </w:rPr>
        <w:t>legal costs.”</w:t>
      </w:r>
      <w:r>
        <w:rPr>
          <w:i/>
          <w:iCs/>
        </w:rPr>
        <w:t xml:space="preserve"> </w:t>
      </w:r>
    </w:p>
    <w:p w14:paraId="16043DB4" w14:textId="70468CF7" w:rsidR="0046669C" w:rsidRDefault="004E31C2" w:rsidP="004E31C2">
      <w:pPr>
        <w:pStyle w:val="Heading1"/>
        <w:numPr>
          <w:ilvl w:val="0"/>
          <w:numId w:val="0"/>
        </w:numPr>
        <w:tabs>
          <w:tab w:val="left" w:pos="709"/>
          <w:tab w:val="left" w:pos="851"/>
        </w:tabs>
        <w:ind w:left="851" w:hanging="851"/>
        <w:rPr>
          <w:rFonts w:ascii="Verdana" w:hAnsi="Verdana"/>
          <w:kern w:val="0"/>
          <w:lang w:eastAsia="en-ZA"/>
        </w:rPr>
      </w:pPr>
      <w:r>
        <w:rPr>
          <w:lang w:val="en-US"/>
        </w:rPr>
        <w:t xml:space="preserve">[41]    </w:t>
      </w:r>
      <w:r w:rsidR="0046669C">
        <w:rPr>
          <w:lang w:val="en-US"/>
        </w:rPr>
        <w:t>A different approach was adopted in the Western Cape Division to the question of whether past legal costs could be allowed in terms of Rule 43. In </w:t>
      </w:r>
      <w:r w:rsidR="0046669C">
        <w:rPr>
          <w:i/>
          <w:iCs/>
          <w:lang w:val="en-US"/>
        </w:rPr>
        <w:t>Cary v Cary</w:t>
      </w:r>
      <w:r w:rsidR="0046669C">
        <w:rPr>
          <w:lang w:val="en-US"/>
        </w:rPr>
        <w:t> </w:t>
      </w:r>
      <w:proofErr w:type="spellStart"/>
      <w:r w:rsidR="0046669C">
        <w:rPr>
          <w:lang w:val="en-US"/>
        </w:rPr>
        <w:t>Donen</w:t>
      </w:r>
      <w:proofErr w:type="spellEnd"/>
      <w:r w:rsidR="0046669C">
        <w:rPr>
          <w:lang w:val="en-US"/>
        </w:rPr>
        <w:t xml:space="preserve"> AJ carefully considered the authorities and the constitutional imperatives involved. He observed at the outset that he was obliged to exercise his discretion under Rule 43 in the light of the fundamental right to equality and equal protection before the law. He </w:t>
      </w:r>
      <w:r w:rsidR="0046669C">
        <w:rPr>
          <w:lang w:val="en-US"/>
        </w:rPr>
        <w:lastRenderedPageBreak/>
        <w:t>reasoned that there should be “</w:t>
      </w:r>
      <w:r w:rsidR="0046669C">
        <w:rPr>
          <w:i/>
          <w:iCs/>
          <w:lang w:val="en-US"/>
        </w:rPr>
        <w:t>equality of arms” </w:t>
      </w:r>
      <w:r w:rsidR="0046669C">
        <w:rPr>
          <w:lang w:val="en-US"/>
        </w:rPr>
        <w:t>in order for a divorce trial to be fair, and came to the conclusion that:</w:t>
      </w:r>
    </w:p>
    <w:p w14:paraId="0DC535FB" w14:textId="15B1BBF1" w:rsidR="0046669C" w:rsidRPr="002F44BB" w:rsidRDefault="000A5771" w:rsidP="002F44BB">
      <w:pPr>
        <w:ind w:left="1871" w:hanging="1871"/>
        <w:rPr>
          <w:rFonts w:cs="Arial"/>
          <w:i/>
          <w:iCs/>
          <w:color w:val="242121"/>
          <w:sz w:val="27"/>
          <w:szCs w:val="27"/>
        </w:rPr>
      </w:pPr>
      <w:r>
        <w:rPr>
          <w:rFonts w:cs="Arial"/>
          <w:i/>
          <w:iCs/>
        </w:rPr>
        <w:tab/>
      </w:r>
      <w:r>
        <w:rPr>
          <w:rFonts w:cs="Arial"/>
          <w:i/>
          <w:iCs/>
        </w:rPr>
        <w:tab/>
      </w:r>
      <w:r w:rsidR="0046669C" w:rsidRPr="002F44BB">
        <w:rPr>
          <w:rFonts w:cs="Arial"/>
          <w:i/>
          <w:iCs/>
        </w:rPr>
        <w:t xml:space="preserve">“... applicant is entitled to a contribution towards he costs which would ensure equality of </w:t>
      </w:r>
      <w:proofErr w:type="gramStart"/>
      <w:r w:rsidR="0046669C" w:rsidRPr="002F44BB">
        <w:rPr>
          <w:rFonts w:cs="Arial"/>
          <w:i/>
          <w:iCs/>
        </w:rPr>
        <w:t>arms  in</w:t>
      </w:r>
      <w:proofErr w:type="gramEnd"/>
      <w:r w:rsidR="0046669C" w:rsidRPr="002F44BB">
        <w:rPr>
          <w:rFonts w:cs="Arial"/>
          <w:i/>
          <w:iCs/>
        </w:rPr>
        <w:t xml:space="preserve"> the divorce action against her husband. The applicant would not be able to present her case fairly unless she is empowered to investigate respondent’s financial affairs through the forensic accountant appointed by her. That is applicant will not enjoy equal protection unless she is equally empowered with ‘the sinews of war’. The question of protecting applicant’s right to and respect for and protection of her dignity also arises in the present situation, where a wife has to approach her husband for the means to divorce him. I therefore regard myself as being constitutionally bound to err on the side of the ‘paramount consideration that she </w:t>
      </w:r>
      <w:proofErr w:type="gramStart"/>
      <w:r w:rsidR="0046669C" w:rsidRPr="002F44BB">
        <w:rPr>
          <w:rFonts w:cs="Arial"/>
          <w:i/>
          <w:iCs/>
        </w:rPr>
        <w:t>should  be</w:t>
      </w:r>
      <w:proofErr w:type="gramEnd"/>
      <w:r w:rsidR="0046669C" w:rsidRPr="002F44BB">
        <w:rPr>
          <w:rFonts w:cs="Arial"/>
          <w:i/>
          <w:iCs/>
        </w:rPr>
        <w:t xml:space="preserve"> enabled adequately to place her case before the Court’. The papers before me indicate that respondent can afford to pay the amount claimed and that he will not be prejudiced in the conduct of his own case should he be ordered to do so”.</w:t>
      </w:r>
      <w:r w:rsidR="0046669C" w:rsidRPr="002F44BB">
        <w:rPr>
          <w:rFonts w:cs="Arial"/>
          <w:i/>
          <w:iCs/>
          <w:color w:val="242121"/>
          <w:sz w:val="22"/>
          <w:szCs w:val="22"/>
          <w:lang w:val="en-US"/>
        </w:rPr>
        <w:t> </w:t>
      </w:r>
      <w:r>
        <w:rPr>
          <w:rStyle w:val="FootnoteReference"/>
          <w:rFonts w:cs="Arial"/>
          <w:i/>
          <w:iCs/>
          <w:sz w:val="22"/>
          <w:szCs w:val="22"/>
          <w:lang w:val="en-US"/>
        </w:rPr>
        <w:footnoteReference w:id="46"/>
      </w:r>
      <w:r w:rsidRPr="000A5771">
        <w:rPr>
          <w:rFonts w:cs="Arial"/>
          <w:i/>
          <w:iCs/>
          <w:color w:val="242121"/>
          <w:sz w:val="27"/>
          <w:szCs w:val="27"/>
        </w:rPr>
        <w:t xml:space="preserve"> </w:t>
      </w:r>
    </w:p>
    <w:p w14:paraId="4CA4B6DC" w14:textId="77777777" w:rsidR="00CA58EB" w:rsidRDefault="004E31C2" w:rsidP="00CA58EB">
      <w:pPr>
        <w:pStyle w:val="Heading1"/>
        <w:numPr>
          <w:ilvl w:val="0"/>
          <w:numId w:val="0"/>
        </w:numPr>
        <w:tabs>
          <w:tab w:val="left" w:pos="851"/>
        </w:tabs>
        <w:ind w:left="851" w:hanging="851"/>
      </w:pPr>
      <w:r>
        <w:t xml:space="preserve">[42]       </w:t>
      </w:r>
      <w:r w:rsidR="00B05531">
        <w:t xml:space="preserve">Based on the aforesaid authorities, it permits of little doubt that the plaintiff cannot be expected to proceed to trial in the absence of her attorneys being put in funds.  Ultimately, the overriding principle is that the applicant must be enabled adequately to place her case before the Court. </w:t>
      </w:r>
    </w:p>
    <w:p w14:paraId="20311B9B" w14:textId="3CCB0BEA" w:rsidR="00B05531" w:rsidRDefault="00CA58EB" w:rsidP="00207736">
      <w:pPr>
        <w:pStyle w:val="Heading1"/>
        <w:numPr>
          <w:ilvl w:val="0"/>
          <w:numId w:val="0"/>
        </w:numPr>
        <w:tabs>
          <w:tab w:val="left" w:pos="567"/>
          <w:tab w:val="left" w:pos="851"/>
        </w:tabs>
        <w:ind w:left="851" w:hanging="851"/>
      </w:pPr>
      <w:r>
        <w:t xml:space="preserve">[43]   </w:t>
      </w:r>
      <w:r w:rsidR="00B05531">
        <w:t xml:space="preserve">Without her legal representatives, the plaintiff would </w:t>
      </w:r>
      <w:r w:rsidR="00E93E60">
        <w:t xml:space="preserve">not </w:t>
      </w:r>
      <w:r w:rsidR="00207736">
        <w:t xml:space="preserve">be able to </w:t>
      </w:r>
      <w:r w:rsidR="00E93E60">
        <w:t>adequately place her case before the Court</w:t>
      </w:r>
      <w:r w:rsidR="00CE35E7">
        <w:t xml:space="preserve">, </w:t>
      </w:r>
      <w:r w:rsidR="00B05531">
        <w:t>whilst on the other hand</w:t>
      </w:r>
      <w:r w:rsidR="00E93E60">
        <w:t>,</w:t>
      </w:r>
      <w:r w:rsidR="00B05531">
        <w:t xml:space="preserve"> the defendant </w:t>
      </w:r>
      <w:r w:rsidR="00E93E60">
        <w:t xml:space="preserve">had </w:t>
      </w:r>
      <w:proofErr w:type="gramStart"/>
      <w:r w:rsidR="00E93E60">
        <w:t xml:space="preserve">been </w:t>
      </w:r>
      <w:r w:rsidR="00B05531">
        <w:t xml:space="preserve"> rigorously</w:t>
      </w:r>
      <w:proofErr w:type="gramEnd"/>
      <w:r w:rsidR="00B05531">
        <w:t xml:space="preserve"> defended.</w:t>
      </w:r>
      <w:r>
        <w:t xml:space="preserve"> </w:t>
      </w:r>
      <w:r w:rsidR="004E31C2">
        <w:t xml:space="preserve">The </w:t>
      </w:r>
      <w:r w:rsidR="00B05531">
        <w:t>sole allegation advanced by the defendant</w:t>
      </w:r>
      <w:r w:rsidR="004E31C2">
        <w:t xml:space="preserve"> in opposing the </w:t>
      </w:r>
      <w:proofErr w:type="spellStart"/>
      <w:r w:rsidR="004E31C2">
        <w:t>posponement</w:t>
      </w:r>
      <w:proofErr w:type="spellEnd"/>
      <w:r w:rsidR="004E31C2">
        <w:t xml:space="preserve"> application</w:t>
      </w:r>
      <w:r w:rsidR="00F018A6">
        <w:t>,</w:t>
      </w:r>
      <w:r w:rsidR="00B05531">
        <w:t xml:space="preserve"> is that this application was brought a few days before trial</w:t>
      </w:r>
      <w:r w:rsidR="00601990">
        <w:t xml:space="preserve">, </w:t>
      </w:r>
      <w:r w:rsidR="00B05531">
        <w:t xml:space="preserve">thereby </w:t>
      </w:r>
      <w:r w:rsidR="00601990">
        <w:t xml:space="preserve">the plaintiff </w:t>
      </w:r>
      <w:r w:rsidR="00B05531">
        <w:t>orchestrat</w:t>
      </w:r>
      <w:r w:rsidR="00601990">
        <w:t xml:space="preserve">ed </w:t>
      </w:r>
      <w:r w:rsidR="00B05531">
        <w:t>a postponement.</w:t>
      </w:r>
      <w:r w:rsidR="00F018A6">
        <w:t xml:space="preserve"> </w:t>
      </w:r>
      <w:r w:rsidR="00B05531">
        <w:t xml:space="preserve">With respect, this allegation </w:t>
      </w:r>
      <w:r w:rsidR="00F018A6">
        <w:t xml:space="preserve">pales </w:t>
      </w:r>
      <w:r w:rsidR="00CE35E7">
        <w:t xml:space="preserve">into </w:t>
      </w:r>
      <w:r w:rsidR="00F018A6">
        <w:lastRenderedPageBreak/>
        <w:t xml:space="preserve">insignificance, when compared with the compelling nature of the </w:t>
      </w:r>
      <w:r w:rsidR="003244BC">
        <w:t>merits of this application</w:t>
      </w:r>
      <w:r w:rsidR="00F018A6">
        <w:t xml:space="preserve">. </w:t>
      </w:r>
    </w:p>
    <w:p w14:paraId="70334815" w14:textId="7FE09804" w:rsidR="00CD5BC9" w:rsidRPr="000E0E02" w:rsidRDefault="00CA58EB" w:rsidP="00CA58EB">
      <w:pPr>
        <w:pStyle w:val="Heading1"/>
        <w:numPr>
          <w:ilvl w:val="0"/>
          <w:numId w:val="0"/>
        </w:numPr>
        <w:ind w:left="862" w:hanging="862"/>
      </w:pPr>
      <w:r>
        <w:t xml:space="preserve">[44]      </w:t>
      </w:r>
      <w:r w:rsidR="00B05531">
        <w:t xml:space="preserve">As far back as 7 February 2018, in terms of </w:t>
      </w:r>
      <w:r w:rsidR="00B05531" w:rsidRPr="00BF0ACB">
        <w:t xml:space="preserve">Annexure </w:t>
      </w:r>
      <w:r w:rsidR="00B05531" w:rsidRPr="00BF0ACB">
        <w:rPr>
          <w:b/>
        </w:rPr>
        <w:t>“</w:t>
      </w:r>
      <w:r w:rsidR="00B05531" w:rsidRPr="00CA58EB">
        <w:rPr>
          <w:b/>
          <w:i/>
          <w:iCs/>
        </w:rPr>
        <w:t>FA3</w:t>
      </w:r>
      <w:r w:rsidR="00B05531">
        <w:rPr>
          <w:b/>
        </w:rPr>
        <w:t>”</w:t>
      </w:r>
      <w:r w:rsidR="00B05531" w:rsidRPr="00B05531">
        <w:rPr>
          <w:rStyle w:val="FootnoteReference"/>
          <w:bCs/>
        </w:rPr>
        <w:footnoteReference w:id="47"/>
      </w:r>
      <w:r w:rsidR="00B05531" w:rsidRPr="00B05531">
        <w:rPr>
          <w:bCs/>
        </w:rPr>
        <w:t xml:space="preserve"> as</w:t>
      </w:r>
      <w:r w:rsidR="00B05531">
        <w:rPr>
          <w:bCs/>
        </w:rPr>
        <w:t xml:space="preserve"> well as 7 December 2017</w:t>
      </w:r>
      <w:r w:rsidR="000E0E02">
        <w:rPr>
          <w:bCs/>
        </w:rPr>
        <w:t xml:space="preserve"> (pre-trial conference)</w:t>
      </w:r>
      <w:r w:rsidR="00B05531">
        <w:rPr>
          <w:rStyle w:val="FootnoteReference"/>
          <w:bCs/>
        </w:rPr>
        <w:footnoteReference w:id="48"/>
      </w:r>
      <w:r w:rsidR="000E0E02">
        <w:rPr>
          <w:bCs/>
        </w:rPr>
        <w:t xml:space="preserve"> the issue of a contribution towards the plaintiff’s legal costs for trial had been raised.  In the latter instance, it was raised in the following manner, </w:t>
      </w:r>
      <w:proofErr w:type="spellStart"/>
      <w:r w:rsidRPr="00207736">
        <w:rPr>
          <w:bCs/>
          <w:i/>
          <w:iCs/>
        </w:rPr>
        <w:t>viz</w:t>
      </w:r>
      <w:proofErr w:type="spellEnd"/>
      <w:r w:rsidR="000E0E02">
        <w:rPr>
          <w:bCs/>
        </w:rPr>
        <w:t>, what amount is defendant prepared to contribute towards the plaintiff’s legal costs for trial to which the defendant responded as follows:</w:t>
      </w:r>
    </w:p>
    <w:p w14:paraId="59A38932" w14:textId="413BE61C" w:rsidR="000E0E02" w:rsidRDefault="000E0E02" w:rsidP="000E0E02">
      <w:pPr>
        <w:ind w:left="1871" w:hanging="1871"/>
        <w:rPr>
          <w:i/>
          <w:iCs/>
        </w:rPr>
      </w:pPr>
      <w:r>
        <w:tab/>
      </w:r>
      <w:r>
        <w:tab/>
      </w:r>
      <w:r>
        <w:rPr>
          <w:i/>
          <w:iCs/>
        </w:rPr>
        <w:t>“The defendant undertook to revert by no later than ___ in regard to the aforesaid enquiries.”</w:t>
      </w:r>
    </w:p>
    <w:p w14:paraId="0FDB2F40" w14:textId="26B07957" w:rsidR="000E0E02" w:rsidRDefault="00CA58EB" w:rsidP="00CA58EB">
      <w:pPr>
        <w:pStyle w:val="Heading1"/>
        <w:numPr>
          <w:ilvl w:val="0"/>
          <w:numId w:val="0"/>
        </w:numPr>
        <w:ind w:left="851" w:hanging="851"/>
      </w:pPr>
      <w:r>
        <w:t xml:space="preserve">[45]    </w:t>
      </w:r>
      <w:r w:rsidR="00207736">
        <w:t xml:space="preserve">  </w:t>
      </w:r>
      <w:r w:rsidR="000E0E02">
        <w:t>Notwithstanding the tender that was</w:t>
      </w:r>
      <w:r w:rsidR="003244BC">
        <w:t xml:space="preserve"> </w:t>
      </w:r>
      <w:r w:rsidR="000E0E02">
        <w:t xml:space="preserve">made </w:t>
      </w:r>
      <w:r w:rsidR="003244BC">
        <w:t xml:space="preserve">by </w:t>
      </w:r>
      <w:r w:rsidR="003E415C">
        <w:t>the defendant</w:t>
      </w:r>
      <w:r w:rsidR="003244BC">
        <w:t xml:space="preserve">, he </w:t>
      </w:r>
      <w:r w:rsidR="000E0E02">
        <w:t xml:space="preserve">demurred when called upon to do so.  To make matters worse, to date, the defendant has not contributed </w:t>
      </w:r>
      <w:r w:rsidR="003E415C">
        <w:t>even</w:t>
      </w:r>
      <w:r w:rsidR="000E0E02">
        <w:t xml:space="preserve"> a single cent notwithstanding such a call being made as far back as 2018</w:t>
      </w:r>
      <w:r w:rsidR="00F018A6">
        <w:t xml:space="preserve"> – </w:t>
      </w:r>
      <w:r w:rsidR="00F018A6" w:rsidRPr="00F018A6">
        <w:rPr>
          <w:i/>
          <w:iCs/>
        </w:rPr>
        <w:t>whe</w:t>
      </w:r>
      <w:r>
        <w:rPr>
          <w:i/>
          <w:iCs/>
        </w:rPr>
        <w:t>n</w:t>
      </w:r>
      <w:r w:rsidR="00F018A6" w:rsidRPr="00F018A6">
        <w:rPr>
          <w:i/>
          <w:iCs/>
        </w:rPr>
        <w:t xml:space="preserve"> he was able to do</w:t>
      </w:r>
      <w:r w:rsidR="00F018A6">
        <w:rPr>
          <w:i/>
          <w:iCs/>
        </w:rPr>
        <w:t>.</w:t>
      </w:r>
      <w:r w:rsidR="00F018A6">
        <w:t xml:space="preserve"> </w:t>
      </w:r>
    </w:p>
    <w:p w14:paraId="68CE2D57" w14:textId="7D832F00" w:rsidR="000E0E02" w:rsidRDefault="00CA58EB" w:rsidP="00CA58EB">
      <w:pPr>
        <w:pStyle w:val="Heading1"/>
        <w:numPr>
          <w:ilvl w:val="0"/>
          <w:numId w:val="0"/>
        </w:numPr>
        <w:ind w:left="851" w:hanging="851"/>
      </w:pPr>
      <w:r>
        <w:t xml:space="preserve">[46]      </w:t>
      </w:r>
      <w:r w:rsidR="000E0E02">
        <w:t>What adds weight to the scale in favour of the plaintiff is the fact that it is not disputed by the defendant that the plaintiff is entitled to such contribution.</w:t>
      </w:r>
    </w:p>
    <w:p w14:paraId="16614DFF" w14:textId="73CE93FC" w:rsidR="00BB27B0" w:rsidRDefault="00BB27B0" w:rsidP="00BB27B0">
      <w:pPr>
        <w:keepNext/>
        <w:rPr>
          <w:b/>
          <w:bCs/>
          <w:u w:val="single"/>
        </w:rPr>
      </w:pPr>
      <w:r>
        <w:rPr>
          <w:b/>
          <w:bCs/>
          <w:u w:val="single"/>
        </w:rPr>
        <w:t>COSTS</w:t>
      </w:r>
    </w:p>
    <w:p w14:paraId="0FC013D2" w14:textId="4E99B4F0" w:rsidR="00685EB5" w:rsidRDefault="00CA58EB" w:rsidP="00CA58EB">
      <w:pPr>
        <w:pStyle w:val="Heading1"/>
        <w:numPr>
          <w:ilvl w:val="0"/>
          <w:numId w:val="0"/>
        </w:numPr>
        <w:ind w:left="851" w:hanging="851"/>
      </w:pPr>
      <w:r>
        <w:t>[4</w:t>
      </w:r>
      <w:r w:rsidR="00B7113D">
        <w:t>7</w:t>
      </w:r>
      <w:r>
        <w:t xml:space="preserve">]     </w:t>
      </w:r>
      <w:r w:rsidR="00685EB5">
        <w:t xml:space="preserve">As it was put by the Constitutional Court in </w:t>
      </w:r>
      <w:r w:rsidR="00685EB5" w:rsidRPr="002F44BB">
        <w:rPr>
          <w:b/>
          <w:bCs/>
          <w:i/>
          <w:iCs/>
        </w:rPr>
        <w:t>Public Protector v South African Reserve Bank</w:t>
      </w:r>
      <w:r w:rsidR="00685EB5">
        <w:t>:</w:t>
      </w:r>
    </w:p>
    <w:p w14:paraId="4DD6A264" w14:textId="6B1DFBD6" w:rsidR="00685EB5" w:rsidRPr="002F44BB" w:rsidRDefault="00727782" w:rsidP="002F44BB">
      <w:pPr>
        <w:pStyle w:val="Heading1"/>
        <w:numPr>
          <w:ilvl w:val="0"/>
          <w:numId w:val="0"/>
        </w:numPr>
        <w:ind w:left="863"/>
        <w:rPr>
          <w:i/>
          <w:iCs/>
        </w:rPr>
      </w:pPr>
      <w:r>
        <w:rPr>
          <w:i/>
          <w:iCs/>
        </w:rPr>
        <w:t>“…</w:t>
      </w:r>
      <w:r w:rsidR="00685EB5" w:rsidRPr="002F44BB">
        <w:rPr>
          <w:i/>
          <w:iCs/>
        </w:rPr>
        <w:t xml:space="preserve">The punitive costs mechanism exists to counteract reprehensible behaviour on the part of a litigant. As explained by this Court in Eskom, </w:t>
      </w:r>
      <w:r w:rsidR="00685EB5" w:rsidRPr="002F44BB">
        <w:rPr>
          <w:i/>
          <w:iCs/>
        </w:rPr>
        <w:lastRenderedPageBreak/>
        <w:t>the usual costs order on a scale as between party and party is theoretically meant to ensure that the successful party is not left “out of pocket” in respect of expenses incurred by them in the litigation. Almost invariably, however, a costs order on a party and party scale will be insufficient to cover all the expenses incurred by the successful party in the litigation. An award of punitive costs on an attorney and client scale may be warranted in circumstances where it would be unfair to expect a party to bear any of the costs occasioned by litigation.</w:t>
      </w:r>
    </w:p>
    <w:p w14:paraId="4571F164" w14:textId="1AA62EEB" w:rsidR="00685EB5" w:rsidRPr="002F44BB" w:rsidRDefault="00685EB5" w:rsidP="002F44BB">
      <w:pPr>
        <w:pStyle w:val="Heading1"/>
        <w:numPr>
          <w:ilvl w:val="0"/>
          <w:numId w:val="0"/>
        </w:numPr>
        <w:ind w:left="862"/>
        <w:rPr>
          <w:i/>
          <w:iCs/>
        </w:rPr>
      </w:pPr>
      <w:r w:rsidRPr="002F44BB">
        <w:rPr>
          <w:i/>
          <w:iCs/>
        </w:rPr>
        <w:t>The question whether a party should bear the full brunt of a costs order on an attorney and own client scale must be answered with reference to what would be just and equitable in the circumstances of a particular case. A court is bound to secure a just and fair outcome.</w:t>
      </w:r>
    </w:p>
    <w:p w14:paraId="32844C19" w14:textId="05EF4AE5" w:rsidR="00BB27B0" w:rsidRDefault="00685EB5" w:rsidP="00685EB5">
      <w:pPr>
        <w:pStyle w:val="Heading1"/>
        <w:numPr>
          <w:ilvl w:val="0"/>
          <w:numId w:val="0"/>
        </w:numPr>
        <w:ind w:left="862"/>
        <w:rPr>
          <w:i/>
          <w:iCs/>
        </w:rPr>
      </w:pPr>
      <w:r w:rsidRPr="002F44BB">
        <w:rPr>
          <w:i/>
          <w:iCs/>
        </w:rPr>
        <w:t>More than 100 years ago, Innes CJ stated the principle that costs on an attorney and client scale are awarded when a court wishes to mark its disapproval of the conduct of a litigant. Since then this principle has been endorsed and applied in a long line of cases and remains applicable. Over the years, courts have awarded costs on an attorney and client scale to mark their disapproval of fraudulent, dishonest or mala fides (bad faith) conduct; vexatious conduct; and conduct that amounts to an abuse of the process of court.</w:t>
      </w:r>
      <w:r w:rsidR="00727782">
        <w:rPr>
          <w:i/>
          <w:iCs/>
        </w:rPr>
        <w:t>”</w:t>
      </w:r>
      <w:r w:rsidR="00727782" w:rsidRPr="002F44BB">
        <w:rPr>
          <w:rStyle w:val="FootnoteReference"/>
        </w:rPr>
        <w:footnoteReference w:id="49"/>
      </w:r>
    </w:p>
    <w:p w14:paraId="210D9557" w14:textId="3961C832" w:rsidR="00727782" w:rsidRPr="00727782" w:rsidRDefault="00CA58EB" w:rsidP="00CA58EB">
      <w:pPr>
        <w:pStyle w:val="Heading1"/>
        <w:numPr>
          <w:ilvl w:val="0"/>
          <w:numId w:val="0"/>
        </w:numPr>
        <w:ind w:left="851" w:hanging="851"/>
      </w:pPr>
      <w:r>
        <w:t>[4</w:t>
      </w:r>
      <w:r w:rsidR="00B7113D">
        <w:t>8</w:t>
      </w:r>
      <w:r>
        <w:t xml:space="preserve">]    </w:t>
      </w:r>
      <w:r w:rsidR="00727782">
        <w:t>I have already found the defendant’s conduct in conducting the entire litigation to be reprehensible. Therefore, it will be unfair to expect the plaintiff to bear any costs occasioned by such conduct.</w:t>
      </w:r>
    </w:p>
    <w:p w14:paraId="6BE5E84C" w14:textId="2260B1C6" w:rsidR="000E0E02" w:rsidRDefault="000E0E02" w:rsidP="000E0E02">
      <w:pPr>
        <w:keepNext/>
        <w:rPr>
          <w:b/>
          <w:bCs/>
          <w:u w:val="single"/>
        </w:rPr>
      </w:pPr>
      <w:r>
        <w:rPr>
          <w:b/>
          <w:bCs/>
          <w:u w:val="single"/>
        </w:rPr>
        <w:t>CONCLUSION</w:t>
      </w:r>
    </w:p>
    <w:p w14:paraId="360D029B" w14:textId="273375A6" w:rsidR="000E0E02" w:rsidRPr="000E0E02" w:rsidRDefault="00CA58EB" w:rsidP="00CA58EB">
      <w:pPr>
        <w:pStyle w:val="Heading1"/>
        <w:numPr>
          <w:ilvl w:val="0"/>
          <w:numId w:val="0"/>
        </w:numPr>
        <w:ind w:left="993" w:hanging="993"/>
      </w:pPr>
      <w:r>
        <w:t>[</w:t>
      </w:r>
      <w:r w:rsidR="00B7113D">
        <w:t>49</w:t>
      </w:r>
      <w:r>
        <w:t xml:space="preserve">]     </w:t>
      </w:r>
      <w:r w:rsidR="000E0E02">
        <w:t xml:space="preserve">In all the circumstances, and in the light of the reasons </w:t>
      </w:r>
      <w:proofErr w:type="spellStart"/>
      <w:r w:rsidR="000E0E02">
        <w:t>aforestated</w:t>
      </w:r>
      <w:proofErr w:type="spellEnd"/>
      <w:r w:rsidR="000E0E02">
        <w:t xml:space="preserve">, I </w:t>
      </w:r>
      <w:r w:rsidR="000E0E02">
        <w:lastRenderedPageBreak/>
        <w:t>consider it appropriate to make an order in the following terms:</w:t>
      </w:r>
    </w:p>
    <w:p w14:paraId="78B221E9" w14:textId="47CA2937" w:rsidR="000E0E02" w:rsidRDefault="00273796" w:rsidP="00273796">
      <w:pPr>
        <w:ind w:left="1877" w:hanging="1021"/>
      </w:pPr>
      <w:r>
        <w:t>1.</w:t>
      </w:r>
      <w:r>
        <w:tab/>
      </w:r>
      <w:r w:rsidR="000E0E02">
        <w:t xml:space="preserve">Condoning the plaintiff’s non-compliance with the Rules of this Honourable Court insofar as same may be necessary and directing that this </w:t>
      </w:r>
      <w:r w:rsidR="00BD6BB8">
        <w:t>application is urgent;</w:t>
      </w:r>
    </w:p>
    <w:p w14:paraId="1AF7CC34" w14:textId="791225C4" w:rsidR="000E0E02" w:rsidRDefault="00273796" w:rsidP="00273796">
      <w:pPr>
        <w:ind w:left="1877" w:hanging="1021"/>
      </w:pPr>
      <w:r>
        <w:t>2.</w:t>
      </w:r>
      <w:r>
        <w:tab/>
      </w:r>
      <w:r w:rsidR="000E0E02">
        <w:t xml:space="preserve">Declaring that the defendant is in contempt of the order handed down in this Honourable Court by my learned Acting Judge </w:t>
      </w:r>
      <w:proofErr w:type="spellStart"/>
      <w:r w:rsidR="000E0E02">
        <w:t>Thupaatlase</w:t>
      </w:r>
      <w:proofErr w:type="spellEnd"/>
      <w:r w:rsidR="000E0E02">
        <w:t xml:space="preserve"> on 9 November 2023;</w:t>
      </w:r>
    </w:p>
    <w:p w14:paraId="1A4EE4F8" w14:textId="2D5F497A" w:rsidR="000E0E02" w:rsidRDefault="00273796" w:rsidP="00273796">
      <w:pPr>
        <w:ind w:left="1877" w:hanging="1021"/>
      </w:pPr>
      <w:r>
        <w:t>3.</w:t>
      </w:r>
      <w:r>
        <w:tab/>
      </w:r>
      <w:r w:rsidR="000E0E02">
        <w:t xml:space="preserve">Directing that the defendant be found guilty of contempt and that the defendant be imprisoned for a period of 30 (thirty) calendar days, on conditions that the facilities </w:t>
      </w:r>
      <w:r w:rsidR="00BD6BB8">
        <w:t xml:space="preserve">to </w:t>
      </w:r>
      <w:r w:rsidR="000E0E02">
        <w:t>cater for his condition, being a quadriplegic, are available in Gauteng.</w:t>
      </w:r>
    </w:p>
    <w:p w14:paraId="30A11B62" w14:textId="2653C302" w:rsidR="000E0E02" w:rsidRDefault="00273796" w:rsidP="00273796">
      <w:pPr>
        <w:ind w:left="1877" w:hanging="1021"/>
      </w:pPr>
      <w:r>
        <w:t>4.</w:t>
      </w:r>
      <w:r>
        <w:tab/>
      </w:r>
      <w:r w:rsidR="000E0E02">
        <w:t>Directing that the period of imprisonment be suspended for a period of 1</w:t>
      </w:r>
      <w:r w:rsidR="00BD6BB8">
        <w:t>20</w:t>
      </w:r>
      <w:r w:rsidR="000E0E02">
        <w:t xml:space="preserve"> (one hundred and </w:t>
      </w:r>
      <w:r w:rsidR="00BD6BB8">
        <w:t>twenty</w:t>
      </w:r>
      <w:r w:rsidR="000E0E02">
        <w:t xml:space="preserve"> days), subject to compliance by the defendant with the order of 9 November 2023.</w:t>
      </w:r>
    </w:p>
    <w:p w14:paraId="502BE18F" w14:textId="5AD0CD65" w:rsidR="000E0E02" w:rsidRDefault="00273796" w:rsidP="00273796">
      <w:pPr>
        <w:ind w:left="1877" w:hanging="1021"/>
      </w:pPr>
      <w:r>
        <w:t>5.</w:t>
      </w:r>
      <w:r>
        <w:tab/>
      </w:r>
      <w:r w:rsidR="000E0E02">
        <w:t xml:space="preserve">Postponing the trial </w:t>
      </w:r>
      <w:r w:rsidR="000E0E02" w:rsidRPr="00273796">
        <w:rPr>
          <w:i/>
        </w:rPr>
        <w:t>sine die</w:t>
      </w:r>
      <w:r w:rsidR="000E0E02">
        <w:t>.</w:t>
      </w:r>
    </w:p>
    <w:p w14:paraId="0D72BECD" w14:textId="4D34021A" w:rsidR="000E0E02" w:rsidRDefault="00273796" w:rsidP="00273796">
      <w:pPr>
        <w:ind w:left="1877" w:hanging="1021"/>
      </w:pPr>
      <w:r>
        <w:t>6.</w:t>
      </w:r>
      <w:r>
        <w:tab/>
      </w:r>
      <w:r w:rsidR="000E0E02">
        <w:t>Granting the plaintiff leave to apply for a striking out of the defendant’s plea and counterclaim on the papers duly supplemented, in the event of the defendant failing to comply with the orders referred to in 2, 3 and 4 above.</w:t>
      </w:r>
    </w:p>
    <w:p w14:paraId="48CE618E" w14:textId="5B5B65FF" w:rsidR="000E0E02" w:rsidRDefault="00273796" w:rsidP="00273796">
      <w:pPr>
        <w:ind w:left="1877" w:hanging="1021"/>
      </w:pPr>
      <w:r>
        <w:t>7.</w:t>
      </w:r>
      <w:r>
        <w:tab/>
      </w:r>
      <w:r w:rsidR="000E0E02">
        <w:t>Granting the parties leave to approach the Deputy Judge President for a preferential date, upon the defendant’s purging his contempt.</w:t>
      </w:r>
    </w:p>
    <w:p w14:paraId="3448E78B" w14:textId="37DFFD72" w:rsidR="008051A7" w:rsidRDefault="00273796" w:rsidP="00273796">
      <w:pPr>
        <w:ind w:left="1877" w:hanging="1021"/>
      </w:pPr>
      <w:r>
        <w:t>8.</w:t>
      </w:r>
      <w:r>
        <w:tab/>
      </w:r>
      <w:r w:rsidR="000E0E02">
        <w:t xml:space="preserve">Directing that the costs of this application and the wasted costs </w:t>
      </w:r>
      <w:r w:rsidR="000E0E02">
        <w:lastRenderedPageBreak/>
        <w:t>occasioned by a postponement to be paid by the defendant on a scale as between attorney and client.</w:t>
      </w:r>
    </w:p>
    <w:p w14:paraId="026A6203" w14:textId="49500907" w:rsidR="00E90144" w:rsidRDefault="006E34E4" w:rsidP="00E90144">
      <w:pPr>
        <w:keepNext/>
        <w:keepLines/>
        <w:tabs>
          <w:tab w:val="left" w:pos="0"/>
        </w:tabs>
        <w:spacing w:before="240" w:after="0" w:line="240" w:lineRule="auto"/>
        <w:jc w:val="right"/>
        <w:rPr>
          <w:b/>
          <w:u w:val="single"/>
        </w:rPr>
      </w:pPr>
      <w:r>
        <w:rPr>
          <w:b/>
          <w:u w:val="single"/>
        </w:rPr>
        <w:t>_________________</w:t>
      </w:r>
    </w:p>
    <w:p w14:paraId="2DB13194" w14:textId="3752E6BB" w:rsidR="006E34E4" w:rsidRDefault="000E0E02" w:rsidP="00E90144">
      <w:pPr>
        <w:keepNext/>
        <w:keepLines/>
        <w:tabs>
          <w:tab w:val="left" w:pos="0"/>
        </w:tabs>
        <w:spacing w:before="240" w:after="0" w:line="240" w:lineRule="auto"/>
        <w:jc w:val="right"/>
        <w:rPr>
          <w:rFonts w:cs="Arial"/>
          <w:b/>
        </w:rPr>
      </w:pPr>
      <w:r>
        <w:rPr>
          <w:rFonts w:cs="Arial"/>
          <w:b/>
        </w:rPr>
        <w:t>M J GUMBI</w:t>
      </w:r>
    </w:p>
    <w:p w14:paraId="01C7C878" w14:textId="77777777"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686264EE" w14:textId="2731AA59" w:rsidR="006E34E4" w:rsidRDefault="006E34E4" w:rsidP="006E34E4">
      <w:pPr>
        <w:spacing w:after="120"/>
        <w:jc w:val="right"/>
        <w:rPr>
          <w:rFonts w:cs="Arial"/>
          <w:i/>
        </w:rPr>
      </w:pPr>
      <w:r w:rsidRPr="0084771B">
        <w:rPr>
          <w:rFonts w:cs="Arial"/>
          <w:i/>
        </w:rPr>
        <w:t xml:space="preserve">Gauteng </w:t>
      </w:r>
      <w:r w:rsidR="00E90144">
        <w:rPr>
          <w:rFonts w:cs="Arial"/>
          <w:i/>
        </w:rPr>
        <w:t xml:space="preserve">Local </w:t>
      </w:r>
      <w:r w:rsidRPr="0084771B">
        <w:rPr>
          <w:rFonts w:cs="Arial"/>
          <w:i/>
        </w:rPr>
        <w:t xml:space="preserve">Division </w:t>
      </w:r>
      <w:r>
        <w:rPr>
          <w:rFonts w:cs="Arial"/>
          <w:i/>
        </w:rPr>
        <w:t>Johannesburg</w:t>
      </w:r>
    </w:p>
    <w:p w14:paraId="3F04DAED" w14:textId="77777777" w:rsidR="00EA5BC8" w:rsidRDefault="00EA5BC8" w:rsidP="006E34E4">
      <w:pPr>
        <w:spacing w:after="120"/>
        <w:jc w:val="right"/>
        <w:rPr>
          <w:rFonts w:cs="Arial"/>
          <w:i/>
        </w:rPr>
      </w:pPr>
    </w:p>
    <w:p w14:paraId="29C48397" w14:textId="68BC91D8" w:rsidR="00EA5BC8" w:rsidRDefault="00EA5BC8" w:rsidP="00EA5BC8">
      <w:pPr>
        <w:spacing w:after="120"/>
        <w:ind w:left="1871" w:hanging="1871"/>
        <w:rPr>
          <w:rFonts w:cs="Arial"/>
          <w:i/>
          <w:szCs w:val="24"/>
        </w:rPr>
      </w:pPr>
      <w:r>
        <w:rPr>
          <w:rFonts w:cs="Arial"/>
          <w:i/>
          <w:szCs w:val="24"/>
        </w:rPr>
        <w:t>Delivered:</w:t>
      </w:r>
      <w:r>
        <w:rPr>
          <w:rFonts w:cs="Arial"/>
          <w:i/>
          <w:szCs w:val="24"/>
        </w:rPr>
        <w:tab/>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cs="Arial"/>
          <w:i/>
          <w:szCs w:val="24"/>
        </w:rPr>
        <w:t>CaseLines</w:t>
      </w:r>
      <w:proofErr w:type="spellEnd"/>
      <w:r>
        <w:rPr>
          <w:rFonts w:cs="Arial"/>
          <w:i/>
          <w:szCs w:val="24"/>
        </w:rPr>
        <w:t xml:space="preserve">. The date for hand-down is deemed to be on </w:t>
      </w:r>
      <w:r w:rsidR="00575BEC">
        <w:rPr>
          <w:rFonts w:cs="Arial"/>
          <w:i/>
          <w:szCs w:val="24"/>
        </w:rPr>
        <w:t>23</w:t>
      </w:r>
      <w:r>
        <w:rPr>
          <w:rFonts w:cs="Arial"/>
          <w:i/>
          <w:szCs w:val="24"/>
        </w:rPr>
        <w:t xml:space="preserve"> </w:t>
      </w:r>
      <w:r w:rsidR="00575BEC">
        <w:rPr>
          <w:rFonts w:cs="Arial"/>
          <w:i/>
          <w:szCs w:val="24"/>
        </w:rPr>
        <w:t>November</w:t>
      </w:r>
      <w:r>
        <w:rPr>
          <w:rFonts w:cs="Arial"/>
          <w:i/>
          <w:szCs w:val="24"/>
        </w:rPr>
        <w:t xml:space="preserve"> 2023.</w:t>
      </w:r>
    </w:p>
    <w:p w14:paraId="18D74159" w14:textId="77777777" w:rsidR="00EA5BC8" w:rsidRDefault="00EA5BC8" w:rsidP="006E34E4">
      <w:pPr>
        <w:spacing w:after="120"/>
        <w:jc w:val="right"/>
        <w:rPr>
          <w:rFonts w:cs="Arial"/>
          <w:i/>
        </w:rPr>
      </w:pPr>
    </w:p>
    <w:tbl>
      <w:tblPr>
        <w:tblW w:w="9144" w:type="dxa"/>
        <w:tblLook w:val="04A0" w:firstRow="1" w:lastRow="0" w:firstColumn="1" w:lastColumn="0" w:noHBand="0" w:noVBand="1"/>
      </w:tblPr>
      <w:tblGrid>
        <w:gridCol w:w="3936"/>
        <w:gridCol w:w="5208"/>
      </w:tblGrid>
      <w:tr w:rsidR="006E34E4" w14:paraId="3EFE509C" w14:textId="77777777" w:rsidTr="000E0E02">
        <w:tc>
          <w:tcPr>
            <w:tcW w:w="3936" w:type="dxa"/>
            <w:tcMar>
              <w:top w:w="32" w:type="dxa"/>
              <w:left w:w="108" w:type="dxa"/>
              <w:bottom w:w="32" w:type="dxa"/>
              <w:right w:w="108" w:type="dxa"/>
            </w:tcMar>
            <w:vAlign w:val="center"/>
            <w:hideMark/>
          </w:tcPr>
          <w:p w14:paraId="358D6CC3" w14:textId="77777777" w:rsidR="006E34E4" w:rsidRDefault="006E34E4" w:rsidP="007154C1">
            <w:pPr>
              <w:keepNext/>
              <w:spacing w:before="120" w:after="0" w:line="240" w:lineRule="auto"/>
              <w:rPr>
                <w:sz w:val="22"/>
                <w:szCs w:val="22"/>
              </w:rPr>
            </w:pPr>
            <w:r>
              <w:t>HEARD ON: </w:t>
            </w:r>
          </w:p>
        </w:tc>
        <w:tc>
          <w:tcPr>
            <w:tcW w:w="5208" w:type="dxa"/>
            <w:tcMar>
              <w:top w:w="32" w:type="dxa"/>
              <w:left w:w="108" w:type="dxa"/>
              <w:bottom w:w="32" w:type="dxa"/>
              <w:right w:w="108" w:type="dxa"/>
            </w:tcMar>
            <w:vAlign w:val="center"/>
          </w:tcPr>
          <w:p w14:paraId="0D924218" w14:textId="68F7747E" w:rsidR="006E34E4" w:rsidRDefault="00562078" w:rsidP="00C240DF">
            <w:pPr>
              <w:keepNext/>
              <w:spacing w:after="0" w:line="240" w:lineRule="auto"/>
              <w:rPr>
                <w:sz w:val="22"/>
                <w:szCs w:val="22"/>
              </w:rPr>
            </w:pPr>
            <w:r>
              <w:rPr>
                <w:sz w:val="22"/>
                <w:szCs w:val="22"/>
              </w:rPr>
              <w:t>2</w:t>
            </w:r>
            <w:r w:rsidR="00575BEC">
              <w:rPr>
                <w:sz w:val="22"/>
                <w:szCs w:val="22"/>
              </w:rPr>
              <w:t>0</w:t>
            </w:r>
            <w:r>
              <w:rPr>
                <w:sz w:val="22"/>
                <w:szCs w:val="22"/>
              </w:rPr>
              <w:t xml:space="preserve"> November 2023</w:t>
            </w:r>
          </w:p>
        </w:tc>
      </w:tr>
      <w:tr w:rsidR="006E34E4" w14:paraId="35A136C3" w14:textId="77777777" w:rsidTr="000E0E02">
        <w:tc>
          <w:tcPr>
            <w:tcW w:w="3936" w:type="dxa"/>
            <w:tcMar>
              <w:top w:w="32" w:type="dxa"/>
              <w:left w:w="108" w:type="dxa"/>
              <w:bottom w:w="32" w:type="dxa"/>
              <w:right w:w="108" w:type="dxa"/>
            </w:tcMar>
            <w:vAlign w:val="center"/>
            <w:hideMark/>
          </w:tcPr>
          <w:p w14:paraId="3D674BDC" w14:textId="77777777"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tcPr>
          <w:p w14:paraId="3ED612EF" w14:textId="7BBFB3AC" w:rsidR="006E34E4" w:rsidRDefault="00562078" w:rsidP="00C240DF">
            <w:pPr>
              <w:keepNext/>
              <w:spacing w:after="0" w:line="240" w:lineRule="auto"/>
            </w:pPr>
            <w:r>
              <w:t>23 November 2023</w:t>
            </w:r>
          </w:p>
        </w:tc>
      </w:tr>
      <w:tr w:rsidR="006E34E4" w14:paraId="0FEED89A" w14:textId="77777777" w:rsidTr="000E0E02">
        <w:tc>
          <w:tcPr>
            <w:tcW w:w="3936" w:type="dxa"/>
            <w:tcMar>
              <w:top w:w="32" w:type="dxa"/>
              <w:left w:w="108" w:type="dxa"/>
              <w:bottom w:w="32" w:type="dxa"/>
              <w:right w:w="108" w:type="dxa"/>
            </w:tcMar>
            <w:vAlign w:val="center"/>
            <w:hideMark/>
          </w:tcPr>
          <w:p w14:paraId="04BEABD0" w14:textId="38FB6E20" w:rsidR="006E34E4" w:rsidRDefault="006E34E4" w:rsidP="00143DA0">
            <w:pPr>
              <w:keepNext/>
              <w:spacing w:before="120" w:after="0" w:line="240" w:lineRule="auto"/>
              <w:ind w:right="-108"/>
              <w:jc w:val="left"/>
            </w:pPr>
            <w:r>
              <w:t xml:space="preserve">FOR </w:t>
            </w:r>
            <w:r w:rsidR="00562078">
              <w:t>PLAINTIFF</w:t>
            </w:r>
            <w:r>
              <w:t>:</w:t>
            </w:r>
          </w:p>
        </w:tc>
        <w:tc>
          <w:tcPr>
            <w:tcW w:w="5208" w:type="dxa"/>
            <w:tcMar>
              <w:top w:w="32" w:type="dxa"/>
              <w:left w:w="108" w:type="dxa"/>
              <w:bottom w:w="32" w:type="dxa"/>
              <w:right w:w="108" w:type="dxa"/>
            </w:tcMar>
            <w:vAlign w:val="center"/>
          </w:tcPr>
          <w:p w14:paraId="21D1FD4B" w14:textId="7197BB03" w:rsidR="00831AD2" w:rsidRDefault="00DD0189" w:rsidP="00C240DF">
            <w:pPr>
              <w:keepNext/>
              <w:spacing w:after="0" w:line="240" w:lineRule="auto"/>
            </w:pPr>
            <w:proofErr w:type="spellStart"/>
            <w:r>
              <w:t>Adv</w:t>
            </w:r>
            <w:proofErr w:type="spellEnd"/>
            <w:r>
              <w:t xml:space="preserve"> M </w:t>
            </w:r>
            <w:proofErr w:type="spellStart"/>
            <w:r>
              <w:t>Nowitz</w:t>
            </w:r>
            <w:proofErr w:type="spellEnd"/>
          </w:p>
        </w:tc>
      </w:tr>
      <w:tr w:rsidR="006E34E4" w14:paraId="2DF2512C" w14:textId="77777777" w:rsidTr="000E0E02">
        <w:tc>
          <w:tcPr>
            <w:tcW w:w="3936" w:type="dxa"/>
            <w:tcMar>
              <w:top w:w="32" w:type="dxa"/>
              <w:left w:w="108" w:type="dxa"/>
              <w:bottom w:w="32" w:type="dxa"/>
              <w:right w:w="108" w:type="dxa"/>
            </w:tcMar>
            <w:vAlign w:val="center"/>
            <w:hideMark/>
          </w:tcPr>
          <w:p w14:paraId="58F841D1"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tcPr>
          <w:p w14:paraId="4701DFC5" w14:textId="0503E1F4" w:rsidR="00831AD2" w:rsidRPr="001C15CF" w:rsidRDefault="00DD0189" w:rsidP="00C240DF">
            <w:pPr>
              <w:keepNext/>
              <w:spacing w:after="0" w:line="240" w:lineRule="auto"/>
            </w:pPr>
            <w:proofErr w:type="spellStart"/>
            <w:r w:rsidRPr="001C15CF">
              <w:t>Hirschowitz</w:t>
            </w:r>
            <w:proofErr w:type="spellEnd"/>
            <w:r w:rsidRPr="001C15CF">
              <w:t xml:space="preserve"> </w:t>
            </w:r>
            <w:proofErr w:type="spellStart"/>
            <w:r w:rsidRPr="001C15CF">
              <w:t>Flionis</w:t>
            </w:r>
            <w:proofErr w:type="spellEnd"/>
            <w:r w:rsidRPr="001C15CF">
              <w:t xml:space="preserve"> Attorneys</w:t>
            </w:r>
          </w:p>
        </w:tc>
      </w:tr>
      <w:tr w:rsidR="006E34E4" w14:paraId="1DF258FF" w14:textId="77777777" w:rsidTr="000E0E02">
        <w:tc>
          <w:tcPr>
            <w:tcW w:w="3936" w:type="dxa"/>
            <w:tcMar>
              <w:top w:w="32" w:type="dxa"/>
              <w:left w:w="108" w:type="dxa"/>
              <w:bottom w:w="32" w:type="dxa"/>
              <w:right w:w="108" w:type="dxa"/>
            </w:tcMar>
            <w:vAlign w:val="center"/>
            <w:hideMark/>
          </w:tcPr>
          <w:p w14:paraId="4420DF33" w14:textId="20BC8E81" w:rsidR="006E34E4" w:rsidRDefault="006E34E4" w:rsidP="00C240DF">
            <w:pPr>
              <w:keepNext/>
              <w:spacing w:before="120" w:after="0" w:line="240" w:lineRule="auto"/>
              <w:jc w:val="left"/>
              <w:rPr>
                <w:sz w:val="22"/>
                <w:szCs w:val="22"/>
              </w:rPr>
            </w:pPr>
            <w:r>
              <w:t xml:space="preserve">FOR </w:t>
            </w:r>
            <w:r w:rsidR="00562078">
              <w:t>DEFENDANT</w:t>
            </w:r>
            <w:r>
              <w:t>: </w:t>
            </w:r>
          </w:p>
        </w:tc>
        <w:tc>
          <w:tcPr>
            <w:tcW w:w="5208" w:type="dxa"/>
            <w:tcMar>
              <w:top w:w="32" w:type="dxa"/>
              <w:left w:w="108" w:type="dxa"/>
              <w:bottom w:w="32" w:type="dxa"/>
              <w:right w:w="108" w:type="dxa"/>
            </w:tcMar>
            <w:vAlign w:val="center"/>
          </w:tcPr>
          <w:p w14:paraId="3C1F75AE" w14:textId="5B364D0F" w:rsidR="00EA5BC8" w:rsidRPr="001C15CF" w:rsidRDefault="00DD0189" w:rsidP="00C240DF">
            <w:pPr>
              <w:keepNext/>
              <w:spacing w:after="0" w:line="240" w:lineRule="auto"/>
            </w:pPr>
            <w:proofErr w:type="spellStart"/>
            <w:r w:rsidRPr="001C15CF">
              <w:t>Adv</w:t>
            </w:r>
            <w:proofErr w:type="spellEnd"/>
            <w:r w:rsidRPr="001C15CF">
              <w:t xml:space="preserve"> G </w:t>
            </w:r>
            <w:proofErr w:type="spellStart"/>
            <w:r w:rsidRPr="001C15CF">
              <w:t>Olwagen</w:t>
            </w:r>
            <w:proofErr w:type="spellEnd"/>
            <w:r w:rsidRPr="001C15CF">
              <w:t>-Meyer</w:t>
            </w:r>
          </w:p>
        </w:tc>
      </w:tr>
      <w:tr w:rsidR="006E34E4" w14:paraId="03D680E1" w14:textId="77777777" w:rsidTr="000E0E02">
        <w:tc>
          <w:tcPr>
            <w:tcW w:w="3936" w:type="dxa"/>
            <w:tcMar>
              <w:top w:w="32" w:type="dxa"/>
              <w:left w:w="108" w:type="dxa"/>
              <w:bottom w:w="32" w:type="dxa"/>
              <w:right w:w="108" w:type="dxa"/>
            </w:tcMar>
            <w:vAlign w:val="center"/>
            <w:hideMark/>
          </w:tcPr>
          <w:p w14:paraId="754CFEBB"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tcPr>
          <w:p w14:paraId="25D552CE" w14:textId="2CFFFB88" w:rsidR="00EA5BC8" w:rsidRPr="001C15CF" w:rsidRDefault="00DD0189" w:rsidP="00C240DF">
            <w:pPr>
              <w:keepNext/>
              <w:spacing w:after="0" w:line="240" w:lineRule="auto"/>
            </w:pPr>
            <w:r w:rsidRPr="001C15CF">
              <w:t>Cummings Attorneys</w:t>
            </w:r>
          </w:p>
        </w:tc>
      </w:tr>
      <w:bookmarkEnd w:id="2"/>
      <w:bookmarkEnd w:id="4"/>
    </w:tbl>
    <w:p w14:paraId="06EDD1BB" w14:textId="77777777" w:rsidR="00EA5BC8" w:rsidRPr="00964F05" w:rsidRDefault="00EA5BC8" w:rsidP="006E34E4">
      <w:pPr>
        <w:pStyle w:val="Heading2"/>
        <w:numPr>
          <w:ilvl w:val="0"/>
          <w:numId w:val="0"/>
        </w:numPr>
      </w:pPr>
    </w:p>
    <w:sectPr w:rsidR="00EA5BC8" w:rsidRPr="00964F05" w:rsidSect="00CF7049">
      <w:headerReference w:type="even" r:id="rId10"/>
      <w:headerReference w:type="default" r:id="rId11"/>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E2CDE" w14:textId="77777777" w:rsidR="005F4E02" w:rsidRDefault="005F4E02" w:rsidP="00B958BA">
      <w:pPr>
        <w:pStyle w:val="Title"/>
      </w:pPr>
      <w:r>
        <w:separator/>
      </w:r>
    </w:p>
  </w:endnote>
  <w:endnote w:type="continuationSeparator" w:id="0">
    <w:p w14:paraId="157FE71F" w14:textId="77777777" w:rsidR="005F4E02" w:rsidRDefault="005F4E02"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3B83D" w14:textId="77777777" w:rsidR="005F4E02" w:rsidRDefault="005F4E02" w:rsidP="00B958BA">
      <w:pPr>
        <w:pStyle w:val="Title"/>
      </w:pPr>
      <w:r>
        <w:separator/>
      </w:r>
    </w:p>
  </w:footnote>
  <w:footnote w:type="continuationSeparator" w:id="0">
    <w:p w14:paraId="4402A363" w14:textId="77777777" w:rsidR="005F4E02" w:rsidRDefault="005F4E02" w:rsidP="00B958BA">
      <w:pPr>
        <w:pStyle w:val="Title"/>
      </w:pPr>
      <w:r>
        <w:continuationSeparator/>
      </w:r>
    </w:p>
  </w:footnote>
  <w:footnote w:id="1">
    <w:p w14:paraId="77C33B47" w14:textId="4763D898" w:rsidR="00106491" w:rsidRDefault="00106491">
      <w:pPr>
        <w:pStyle w:val="FootnoteText"/>
      </w:pPr>
      <w:r>
        <w:rPr>
          <w:rStyle w:val="FootnoteReference"/>
        </w:rPr>
        <w:footnoteRef/>
      </w:r>
      <w:r>
        <w:t xml:space="preserve"> </w:t>
      </w:r>
      <w:r>
        <w:tab/>
      </w:r>
      <w:proofErr w:type="spellStart"/>
      <w:r>
        <w:t>CaseLines</w:t>
      </w:r>
      <w:proofErr w:type="spellEnd"/>
      <w:r>
        <w:t xml:space="preserve">, 032-20, </w:t>
      </w:r>
      <w:r w:rsidRPr="00BF0ACB">
        <w:t xml:space="preserve">Annexure </w:t>
      </w:r>
      <w:r w:rsidRPr="00BF0ACB">
        <w:rPr>
          <w:b/>
        </w:rPr>
        <w:t>“</w:t>
      </w:r>
      <w:r>
        <w:rPr>
          <w:b/>
        </w:rPr>
        <w:t>FA1”</w:t>
      </w:r>
    </w:p>
  </w:footnote>
  <w:footnote w:id="2">
    <w:p w14:paraId="2F1A7B1F" w14:textId="7E86BFD1" w:rsidR="00106491" w:rsidRDefault="00106491">
      <w:pPr>
        <w:pStyle w:val="FootnoteText"/>
      </w:pPr>
      <w:r>
        <w:rPr>
          <w:rStyle w:val="FootnoteReference"/>
        </w:rPr>
        <w:footnoteRef/>
      </w:r>
      <w:r>
        <w:t xml:space="preserve"> </w:t>
      </w:r>
      <w:r>
        <w:tab/>
      </w:r>
      <w:proofErr w:type="spellStart"/>
      <w:r>
        <w:t>CaseLines</w:t>
      </w:r>
      <w:proofErr w:type="spellEnd"/>
      <w:r>
        <w:t xml:space="preserve">, 032-30, </w:t>
      </w:r>
      <w:r w:rsidRPr="00BF0ACB">
        <w:t xml:space="preserve">Annexure </w:t>
      </w:r>
      <w:r w:rsidRPr="00BF0ACB">
        <w:rPr>
          <w:b/>
        </w:rPr>
        <w:t>“</w:t>
      </w:r>
      <w:r>
        <w:rPr>
          <w:b/>
        </w:rPr>
        <w:t>FA2”</w:t>
      </w:r>
    </w:p>
  </w:footnote>
  <w:footnote w:id="3">
    <w:p w14:paraId="70DB5217" w14:textId="4ACA07F2" w:rsidR="00106491" w:rsidRDefault="00106491">
      <w:pPr>
        <w:pStyle w:val="FootnoteText"/>
      </w:pPr>
      <w:r>
        <w:rPr>
          <w:rStyle w:val="FootnoteReference"/>
        </w:rPr>
        <w:footnoteRef/>
      </w:r>
      <w:r>
        <w:t xml:space="preserve"> </w:t>
      </w:r>
      <w:r>
        <w:tab/>
      </w:r>
      <w:proofErr w:type="spellStart"/>
      <w:r>
        <w:t>CaseLines</w:t>
      </w:r>
      <w:proofErr w:type="spellEnd"/>
      <w:r>
        <w:t>, 032-79, paras 12.29 to 12.30</w:t>
      </w:r>
    </w:p>
  </w:footnote>
  <w:footnote w:id="4">
    <w:p w14:paraId="3ED5B5C2" w14:textId="21AFC9F4" w:rsidR="00F1673D" w:rsidRDefault="00F1673D">
      <w:pPr>
        <w:pStyle w:val="FootnoteText"/>
      </w:pPr>
      <w:r>
        <w:rPr>
          <w:rStyle w:val="FootnoteReference"/>
        </w:rPr>
        <w:footnoteRef/>
      </w:r>
      <w:r>
        <w:t xml:space="preserve"> </w:t>
      </w:r>
      <w:r>
        <w:tab/>
      </w:r>
      <w:proofErr w:type="spellStart"/>
      <w:r>
        <w:t>CaseLines</w:t>
      </w:r>
      <w:proofErr w:type="spellEnd"/>
      <w:r w:rsidR="00CC2CA4">
        <w:t>,</w:t>
      </w:r>
      <w:r>
        <w:t xml:space="preserve"> 032-1 to 032-2</w:t>
      </w:r>
    </w:p>
  </w:footnote>
  <w:footnote w:id="5">
    <w:p w14:paraId="43E84715" w14:textId="04A2C4AC" w:rsidR="00CC2CA4" w:rsidRDefault="00CC2CA4">
      <w:pPr>
        <w:pStyle w:val="FootnoteText"/>
      </w:pPr>
      <w:r>
        <w:rPr>
          <w:rStyle w:val="FootnoteReference"/>
        </w:rPr>
        <w:footnoteRef/>
      </w:r>
      <w:r>
        <w:t xml:space="preserve"> </w:t>
      </w:r>
      <w:r>
        <w:tab/>
      </w:r>
      <w:proofErr w:type="spellStart"/>
      <w:r>
        <w:t>CaseLines</w:t>
      </w:r>
      <w:proofErr w:type="spellEnd"/>
      <w:r>
        <w:t>, 025-2, para 2</w:t>
      </w:r>
    </w:p>
  </w:footnote>
  <w:footnote w:id="6">
    <w:p w14:paraId="73F35D6F" w14:textId="0B3ACF0E" w:rsidR="00DE0CAE" w:rsidRDefault="00DE0CAE">
      <w:pPr>
        <w:pStyle w:val="FootnoteText"/>
      </w:pPr>
      <w:r>
        <w:rPr>
          <w:rStyle w:val="FootnoteReference"/>
        </w:rPr>
        <w:footnoteRef/>
      </w:r>
      <w:r>
        <w:t xml:space="preserve"> </w:t>
      </w:r>
      <w:r>
        <w:tab/>
      </w:r>
      <w:proofErr w:type="spellStart"/>
      <w:r>
        <w:rPr>
          <w:b/>
          <w:bCs/>
          <w:i/>
          <w:iCs/>
        </w:rPr>
        <w:t>Fakie</w:t>
      </w:r>
      <w:proofErr w:type="spellEnd"/>
      <w:r>
        <w:rPr>
          <w:b/>
          <w:bCs/>
          <w:i/>
          <w:iCs/>
        </w:rPr>
        <w:t xml:space="preserve"> NO v CCII Systems (Pty) Ltd</w:t>
      </w:r>
      <w:r>
        <w:t xml:space="preserve"> 2006 (4) SA 326 (SCA)</w:t>
      </w:r>
    </w:p>
  </w:footnote>
  <w:footnote w:id="7">
    <w:p w14:paraId="695C1512" w14:textId="71C3DC41" w:rsidR="00DE0CAE" w:rsidRPr="00DE0CAE" w:rsidRDefault="00DE0CAE">
      <w:pPr>
        <w:pStyle w:val="FootnoteText"/>
      </w:pPr>
      <w:r>
        <w:rPr>
          <w:rStyle w:val="FootnoteReference"/>
        </w:rPr>
        <w:footnoteRef/>
      </w:r>
      <w:r>
        <w:t xml:space="preserve"> </w:t>
      </w:r>
      <w:r>
        <w:tab/>
      </w:r>
      <w:proofErr w:type="spellStart"/>
      <w:r>
        <w:rPr>
          <w:b/>
          <w:bCs/>
          <w:i/>
          <w:iCs/>
        </w:rPr>
        <w:t>Bannatyne</w:t>
      </w:r>
      <w:proofErr w:type="spellEnd"/>
      <w:r>
        <w:rPr>
          <w:b/>
          <w:bCs/>
          <w:i/>
          <w:iCs/>
        </w:rPr>
        <w:t xml:space="preserve"> v </w:t>
      </w:r>
      <w:proofErr w:type="spellStart"/>
      <w:r>
        <w:rPr>
          <w:b/>
          <w:bCs/>
          <w:i/>
          <w:iCs/>
        </w:rPr>
        <w:t>Bannatyne</w:t>
      </w:r>
      <w:proofErr w:type="spellEnd"/>
      <w:r>
        <w:rPr>
          <w:b/>
          <w:bCs/>
          <w:i/>
          <w:iCs/>
        </w:rPr>
        <w:t xml:space="preserve"> </w:t>
      </w:r>
      <w:r>
        <w:t>2003 (2) SA 363 (CC) at para 18</w:t>
      </w:r>
    </w:p>
  </w:footnote>
  <w:footnote w:id="8">
    <w:p w14:paraId="0E158AFA" w14:textId="37A48650" w:rsidR="0049011D" w:rsidRDefault="0049011D">
      <w:pPr>
        <w:pStyle w:val="FootnoteText"/>
      </w:pPr>
      <w:r>
        <w:rPr>
          <w:rStyle w:val="FootnoteReference"/>
        </w:rPr>
        <w:footnoteRef/>
      </w:r>
      <w:r>
        <w:t xml:space="preserve"> </w:t>
      </w:r>
      <w:r>
        <w:tab/>
      </w:r>
      <w:r w:rsidR="00BB7B57" w:rsidRPr="00BB7B57">
        <w:rPr>
          <w:b/>
          <w:bCs/>
          <w:i/>
          <w:iCs/>
        </w:rPr>
        <w:t xml:space="preserve">S v </w:t>
      </w:r>
      <w:proofErr w:type="spellStart"/>
      <w:r w:rsidR="00BB7B57" w:rsidRPr="00BB7B57">
        <w:rPr>
          <w:b/>
          <w:bCs/>
          <w:i/>
          <w:iCs/>
        </w:rPr>
        <w:t>Beyers</w:t>
      </w:r>
      <w:proofErr w:type="spellEnd"/>
      <w:r w:rsidR="00BB7B57" w:rsidRPr="00BB7B57">
        <w:t xml:space="preserve"> 1968 (3) SA 70 (A)</w:t>
      </w:r>
    </w:p>
  </w:footnote>
  <w:footnote w:id="9">
    <w:p w14:paraId="6F46E75D" w14:textId="49B543CE" w:rsidR="0049011D" w:rsidRDefault="0049011D">
      <w:pPr>
        <w:pStyle w:val="FootnoteText"/>
      </w:pPr>
      <w:r>
        <w:rPr>
          <w:rStyle w:val="FootnoteReference"/>
        </w:rPr>
        <w:footnoteRef/>
      </w:r>
      <w:r>
        <w:t xml:space="preserve"> </w:t>
      </w:r>
      <w:r>
        <w:tab/>
      </w:r>
      <w:proofErr w:type="spellStart"/>
      <w:r w:rsidR="00BB7B57">
        <w:rPr>
          <w:rFonts w:ascii="Verdana" w:hAnsi="Verdana"/>
          <w:color w:val="242121"/>
          <w:shd w:val="clear" w:color="auto" w:fill="FFFFFF"/>
        </w:rPr>
        <w:t>Melius</w:t>
      </w:r>
      <w:proofErr w:type="spellEnd"/>
      <w:r w:rsidR="00BB7B57">
        <w:rPr>
          <w:rFonts w:ascii="Verdana" w:hAnsi="Verdana"/>
          <w:color w:val="242121"/>
          <w:shd w:val="clear" w:color="auto" w:fill="FFFFFF"/>
        </w:rPr>
        <w:t xml:space="preserve"> de Villiers </w:t>
      </w:r>
      <w:proofErr w:type="gramStart"/>
      <w:r w:rsidR="00BB7B57">
        <w:rPr>
          <w:rFonts w:ascii="Verdana" w:hAnsi="Verdana"/>
          <w:i/>
          <w:iCs/>
          <w:color w:val="242121"/>
          <w:shd w:val="clear" w:color="auto" w:fill="FFFFFF"/>
        </w:rPr>
        <w:t>The</w:t>
      </w:r>
      <w:proofErr w:type="gramEnd"/>
      <w:r w:rsidR="00BB7B57">
        <w:rPr>
          <w:rFonts w:ascii="Verdana" w:hAnsi="Verdana"/>
          <w:i/>
          <w:iCs/>
          <w:color w:val="242121"/>
          <w:shd w:val="clear" w:color="auto" w:fill="FFFFFF"/>
        </w:rPr>
        <w:t xml:space="preserve"> Roman and Roman-Dutch Law of Injuries</w:t>
      </w:r>
      <w:r w:rsidR="00BB7B57">
        <w:rPr>
          <w:rFonts w:ascii="Verdana" w:hAnsi="Verdana"/>
          <w:color w:val="242121"/>
          <w:shd w:val="clear" w:color="auto" w:fill="FFFFFF"/>
        </w:rPr>
        <w:t xml:space="preserve"> (1899) page 166: ‘Contempt of court … may be adequately defined as an injury committed against a person or body occupying a public judicial office, by which injury the dignity and respect which is due to such office or its authority in the administration of justice is intentionally violated.’ </w:t>
      </w:r>
      <w:proofErr w:type="spellStart"/>
      <w:r w:rsidR="00BB7B57">
        <w:rPr>
          <w:rFonts w:ascii="Verdana" w:hAnsi="Verdana"/>
          <w:color w:val="242121"/>
          <w:shd w:val="clear" w:color="auto" w:fill="FFFFFF"/>
        </w:rPr>
        <w:t>Cf</w:t>
      </w:r>
      <w:proofErr w:type="spellEnd"/>
      <w:r w:rsidR="00BB7B57">
        <w:rPr>
          <w:rFonts w:ascii="Verdana" w:hAnsi="Verdana"/>
          <w:color w:val="242121"/>
          <w:shd w:val="clear" w:color="auto" w:fill="FFFFFF"/>
        </w:rPr>
        <w:t> </w:t>
      </w:r>
      <w:r w:rsidR="00BB7B57" w:rsidRPr="00BB7B57">
        <w:rPr>
          <w:rFonts w:ascii="Verdana" w:hAnsi="Verdana"/>
          <w:b/>
          <w:bCs/>
          <w:i/>
          <w:iCs/>
          <w:color w:val="242121"/>
          <w:shd w:val="clear" w:color="auto" w:fill="FFFFFF"/>
        </w:rPr>
        <w:t>Attorney-General v Crockett</w:t>
      </w:r>
      <w:r w:rsidR="00BB7B57">
        <w:rPr>
          <w:rFonts w:ascii="Verdana" w:hAnsi="Verdana"/>
          <w:color w:val="242121"/>
          <w:shd w:val="clear" w:color="auto" w:fill="FFFFFF"/>
        </w:rPr>
        <w:t xml:space="preserve"> 1911 TPD </w:t>
      </w:r>
      <w:hyperlink r:id="rId1" w:tooltip="View LawCiteRecord" w:history="1">
        <w:r w:rsidR="00BB7B57">
          <w:t>893</w:t>
        </w:r>
      </w:hyperlink>
      <w:r w:rsidR="00BB7B57">
        <w:rPr>
          <w:rFonts w:ascii="Verdana" w:hAnsi="Verdana"/>
          <w:color w:val="242121"/>
          <w:shd w:val="clear" w:color="auto" w:fill="FFFFFF"/>
        </w:rPr>
        <w:t xml:space="preserve"> 925-6 per </w:t>
      </w:r>
      <w:proofErr w:type="spellStart"/>
      <w:r w:rsidR="00BB7B57">
        <w:rPr>
          <w:rFonts w:ascii="Verdana" w:hAnsi="Verdana"/>
          <w:color w:val="242121"/>
          <w:shd w:val="clear" w:color="auto" w:fill="FFFFFF"/>
        </w:rPr>
        <w:t>Bristowe</w:t>
      </w:r>
      <w:proofErr w:type="spellEnd"/>
      <w:r w:rsidR="00BB7B57">
        <w:rPr>
          <w:rFonts w:ascii="Verdana" w:hAnsi="Verdana"/>
          <w:color w:val="242121"/>
          <w:shd w:val="clear" w:color="auto" w:fill="FFFFFF"/>
        </w:rPr>
        <w:t xml:space="preserve"> J: ‘Probably in the last resort all cases of contempt, whether consisting of disobedience to a decree of the Court or of the publication of matter tending to prejudice the hearing of a pending suit or of disrespectful conduct or insulting attacks, are to be referred to the necessity for protecting the fount of justice in maintaining the efficiency of the courts and enforcing the supremacy of the law.’</w:t>
      </w:r>
    </w:p>
  </w:footnote>
  <w:footnote w:id="10">
    <w:p w14:paraId="0D08DF9F" w14:textId="6C172EF1" w:rsidR="00BB7B57" w:rsidRDefault="00BB7B57">
      <w:pPr>
        <w:pStyle w:val="FootnoteText"/>
      </w:pPr>
      <w:r>
        <w:rPr>
          <w:rStyle w:val="FootnoteReference"/>
        </w:rPr>
        <w:footnoteRef/>
      </w:r>
      <w:r>
        <w:t xml:space="preserve"> </w:t>
      </w:r>
      <w:r>
        <w:tab/>
      </w:r>
      <w:r w:rsidRPr="00BB7B57">
        <w:rPr>
          <w:b/>
          <w:bCs/>
          <w:i/>
          <w:iCs/>
        </w:rPr>
        <w:t xml:space="preserve">S v </w:t>
      </w:r>
      <w:proofErr w:type="spellStart"/>
      <w:r w:rsidRPr="00BB7B57">
        <w:rPr>
          <w:b/>
          <w:bCs/>
          <w:i/>
          <w:iCs/>
        </w:rPr>
        <w:t>Mamabolo</w:t>
      </w:r>
      <w:proofErr w:type="spellEnd"/>
      <w:r w:rsidRPr="00BB7B57">
        <w:t xml:space="preserve"> [2001] ZACC 17; 2001 (3) SA 409 (CC) para 14, per </w:t>
      </w:r>
      <w:proofErr w:type="spellStart"/>
      <w:r w:rsidRPr="00BB7B57">
        <w:t>Kriegler</w:t>
      </w:r>
      <w:proofErr w:type="spellEnd"/>
      <w:r w:rsidRPr="00BB7B57">
        <w:t xml:space="preserve"> J, on behalf of the court (where contempt of court in the form of scandalising the court was in issue).</w:t>
      </w:r>
    </w:p>
  </w:footnote>
  <w:footnote w:id="11">
    <w:p w14:paraId="43D9FEB2" w14:textId="1DA888A5" w:rsidR="00BB7B57" w:rsidRDefault="00BB7B57">
      <w:pPr>
        <w:pStyle w:val="FootnoteText"/>
      </w:pPr>
      <w:r>
        <w:rPr>
          <w:rStyle w:val="FootnoteReference"/>
        </w:rPr>
        <w:footnoteRef/>
      </w:r>
      <w:r>
        <w:t xml:space="preserve"> </w:t>
      </w:r>
      <w:r>
        <w:tab/>
      </w:r>
      <w:r>
        <w:rPr>
          <w:rFonts w:ascii="Verdana" w:hAnsi="Verdana"/>
          <w:color w:val="242121"/>
          <w:shd w:val="clear" w:color="auto" w:fill="FFFFFF"/>
        </w:rPr>
        <w:t>Per Sachs J in </w:t>
      </w:r>
      <w:r w:rsidRPr="00BB7B57">
        <w:rPr>
          <w:rFonts w:ascii="Verdana" w:hAnsi="Verdana"/>
          <w:b/>
          <w:bCs/>
          <w:i/>
          <w:iCs/>
          <w:color w:val="242121"/>
          <w:shd w:val="clear" w:color="auto" w:fill="FFFFFF"/>
        </w:rPr>
        <w:t>Coetzee v Government of the Republic of South Africa</w:t>
      </w:r>
      <w:r>
        <w:rPr>
          <w:rFonts w:ascii="Verdana" w:hAnsi="Verdana"/>
          <w:i/>
          <w:iCs/>
          <w:color w:val="242121"/>
          <w:shd w:val="clear" w:color="auto" w:fill="FFFFFF"/>
        </w:rPr>
        <w:t> </w:t>
      </w:r>
      <w:r w:rsidRPr="00BB7B57">
        <w:rPr>
          <w:rFonts w:ascii="Verdana" w:hAnsi="Verdana"/>
          <w:color w:val="242121"/>
          <w:shd w:val="clear" w:color="auto" w:fill="FFFFFF"/>
        </w:rPr>
        <w:t>[1995]</w:t>
      </w:r>
      <w:r>
        <w:rPr>
          <w:rFonts w:ascii="Verdana" w:hAnsi="Verdana"/>
          <w:b/>
          <w:bCs/>
          <w:color w:val="242121"/>
          <w:shd w:val="clear" w:color="auto" w:fill="FFFFFF"/>
        </w:rPr>
        <w:t xml:space="preserve"> </w:t>
      </w:r>
      <w:hyperlink r:id="rId2" w:tooltip="View Case" w:history="1">
        <w:r w:rsidRPr="00BB7B57">
          <w:t>ZACC 7</w:t>
        </w:r>
      </w:hyperlink>
      <w:r w:rsidRPr="00BB7B57">
        <w:t>; </w:t>
      </w:r>
      <w:hyperlink r:id="rId3" w:tooltip="View LawCiteRecord" w:history="1">
        <w:r w:rsidRPr="00BB7B57">
          <w:t>1995 (4) SA 631</w:t>
        </w:r>
      </w:hyperlink>
      <w:r>
        <w:rPr>
          <w:rFonts w:ascii="Verdana" w:hAnsi="Verdana"/>
          <w:color w:val="242121"/>
          <w:shd w:val="clear" w:color="auto" w:fill="FFFFFF"/>
        </w:rPr>
        <w:t> (CC) para 61, quoted and endorsed by the court in </w:t>
      </w:r>
      <w:proofErr w:type="spellStart"/>
      <w:r w:rsidRPr="00BB7B57">
        <w:rPr>
          <w:rFonts w:ascii="Verdana" w:hAnsi="Verdana"/>
          <w:b/>
          <w:bCs/>
          <w:i/>
          <w:iCs/>
          <w:color w:val="242121"/>
          <w:shd w:val="clear" w:color="auto" w:fill="FFFFFF"/>
        </w:rPr>
        <w:t>Mamabolo</w:t>
      </w:r>
      <w:proofErr w:type="spellEnd"/>
      <w:r>
        <w:rPr>
          <w:rFonts w:ascii="Verdana" w:hAnsi="Verdana"/>
          <w:i/>
          <w:iCs/>
          <w:color w:val="242121"/>
          <w:shd w:val="clear" w:color="auto" w:fill="FFFFFF"/>
        </w:rPr>
        <w:t> </w:t>
      </w:r>
      <w:r>
        <w:rPr>
          <w:rFonts w:ascii="Verdana" w:hAnsi="Verdana"/>
          <w:color w:val="242121"/>
          <w:shd w:val="clear" w:color="auto" w:fill="FFFFFF"/>
        </w:rPr>
        <w:t>(above). In </w:t>
      </w:r>
      <w:r w:rsidRPr="00BB7B57">
        <w:rPr>
          <w:rFonts w:ascii="Verdana" w:hAnsi="Verdana"/>
          <w:b/>
          <w:bCs/>
          <w:i/>
          <w:iCs/>
          <w:color w:val="242121"/>
          <w:shd w:val="clear" w:color="auto" w:fill="FFFFFF"/>
        </w:rPr>
        <w:t>Coetzee</w:t>
      </w:r>
      <w:r>
        <w:rPr>
          <w:rFonts w:ascii="Verdana" w:hAnsi="Verdana"/>
          <w:color w:val="242121"/>
          <w:shd w:val="clear" w:color="auto" w:fill="FFFFFF"/>
        </w:rPr>
        <w:t>, statutory procedures for committal of non-paying judgment debtors to prison for up to 90 days – which the statute classified as contempt of court – were held unconstitutional.</w:t>
      </w:r>
    </w:p>
  </w:footnote>
  <w:footnote w:id="12">
    <w:p w14:paraId="120EF275" w14:textId="72FE307F" w:rsidR="009F3CC4" w:rsidRPr="009F3CC4" w:rsidRDefault="009F3CC4" w:rsidP="009F3CC4">
      <w:pPr>
        <w:pStyle w:val="FootnoteText"/>
        <w:tabs>
          <w:tab w:val="left" w:pos="851"/>
        </w:tabs>
        <w:ind w:left="851" w:hanging="851"/>
      </w:pPr>
      <w:r>
        <w:rPr>
          <w:rStyle w:val="FootnoteReference"/>
        </w:rPr>
        <w:footnoteRef/>
      </w:r>
      <w:r>
        <w:t xml:space="preserve"> </w:t>
      </w:r>
      <w:r>
        <w:tab/>
      </w:r>
      <w:r w:rsidRPr="009F3CC4">
        <w:rPr>
          <w:i/>
          <w:iCs/>
        </w:rPr>
        <w:t>“[63]</w:t>
      </w:r>
      <w:r w:rsidRPr="009F3CC4">
        <w:rPr>
          <w:i/>
          <w:iCs/>
        </w:rPr>
        <w:tab/>
      </w:r>
      <w:r w:rsidRPr="009F3CC4">
        <w:rPr>
          <w:i/>
          <w:iCs/>
        </w:rPr>
        <w:tab/>
      </w:r>
      <w:r w:rsidRPr="009F3CC4">
        <w:rPr>
          <w:i/>
          <w:iCs/>
        </w:rPr>
        <w:tab/>
      </w:r>
      <w:r w:rsidRPr="009F3CC4">
        <w:rPr>
          <w:rFonts w:ascii="Verdana" w:hAnsi="Verdana"/>
          <w:i/>
          <w:iCs/>
          <w:color w:val="242121"/>
          <w:sz w:val="27"/>
          <w:szCs w:val="27"/>
          <w:shd w:val="clear" w:color="auto" w:fill="FFFFFF"/>
        </w:rPr>
        <w:t>‘</w:t>
      </w:r>
      <w:r w:rsidRPr="009F3CC4">
        <w:rPr>
          <w:i/>
          <w:iCs/>
          <w:color w:val="242121"/>
          <w:shd w:val="clear" w:color="auto" w:fill="FFFFFF"/>
        </w:rPr>
        <w:t xml:space="preserve">Systemic failures to enforce maintenance orders have a negative impact on the rule of law. The courts are there to ensure that the rights of all are protected. The Judiciary must endeavour to secure for vulnerable children and disempowered </w:t>
      </w:r>
      <w:r w:rsidRPr="009F3CC4">
        <w:rPr>
          <w:i/>
          <w:iCs/>
          <w:color w:val="242121"/>
          <w:u w:val="single"/>
          <w:shd w:val="clear" w:color="auto" w:fill="FFFFFF"/>
        </w:rPr>
        <w:t>women their small but life-sustaining legal entitlements</w:t>
      </w:r>
      <w:r w:rsidRPr="009F3CC4">
        <w:rPr>
          <w:i/>
          <w:iCs/>
          <w:color w:val="242121"/>
          <w:shd w:val="clear" w:color="auto" w:fill="FFFFFF"/>
        </w:rPr>
        <w:t>. If court orders are habitually evaded and defied with relative impunity, the justice system is discredited and the constitutional promise of human dignity and equality is seriously compromised for those most dependent on the law.’</w:t>
      </w:r>
      <w:r>
        <w:rPr>
          <w:i/>
          <w:iCs/>
          <w:color w:val="242121"/>
          <w:shd w:val="clear" w:color="auto" w:fill="FFFFFF"/>
        </w:rPr>
        <w:t xml:space="preserve">” </w:t>
      </w:r>
      <w:r>
        <w:rPr>
          <w:color w:val="242121"/>
          <w:shd w:val="clear" w:color="auto" w:fill="FFFFFF"/>
        </w:rPr>
        <w:t>(Emphasis added)</w:t>
      </w:r>
    </w:p>
  </w:footnote>
  <w:footnote w:id="13">
    <w:p w14:paraId="44EB34A1" w14:textId="54C2F1AA" w:rsidR="00ED5026" w:rsidRPr="004C27FC" w:rsidRDefault="00ED5026">
      <w:pPr>
        <w:pStyle w:val="FootnoteText"/>
      </w:pPr>
      <w:r>
        <w:rPr>
          <w:rStyle w:val="FootnoteReference"/>
        </w:rPr>
        <w:footnoteRef/>
      </w:r>
      <w:r>
        <w:t xml:space="preserve"> </w:t>
      </w:r>
      <w:r>
        <w:tab/>
      </w:r>
      <w:r w:rsidR="00AC1462">
        <w:t>I</w:t>
      </w:r>
      <w:r w:rsidR="004C27FC">
        <w:t>bid</w:t>
      </w:r>
    </w:p>
  </w:footnote>
  <w:footnote w:id="14">
    <w:p w14:paraId="4C1F07C0" w14:textId="25C6391A" w:rsidR="00ED5026" w:rsidRDefault="00ED5026">
      <w:pPr>
        <w:pStyle w:val="FootnoteText"/>
      </w:pPr>
      <w:r>
        <w:rPr>
          <w:rStyle w:val="FootnoteReference"/>
        </w:rPr>
        <w:footnoteRef/>
      </w:r>
      <w:r>
        <w:t xml:space="preserve"> </w:t>
      </w:r>
      <w:r>
        <w:tab/>
      </w:r>
      <w:proofErr w:type="spellStart"/>
      <w:r>
        <w:t>CaseLines</w:t>
      </w:r>
      <w:proofErr w:type="spellEnd"/>
      <w:r>
        <w:t xml:space="preserve"> 032-179, para 41</w:t>
      </w:r>
    </w:p>
  </w:footnote>
  <w:footnote w:id="15">
    <w:p w14:paraId="40333304" w14:textId="5B298C25" w:rsidR="00ED5026" w:rsidRDefault="00ED5026">
      <w:pPr>
        <w:pStyle w:val="FootnoteText"/>
      </w:pPr>
      <w:r>
        <w:rPr>
          <w:rStyle w:val="FootnoteReference"/>
        </w:rPr>
        <w:footnoteRef/>
      </w:r>
      <w:r>
        <w:t xml:space="preserve"> </w:t>
      </w:r>
      <w:r>
        <w:tab/>
      </w:r>
      <w:proofErr w:type="spellStart"/>
      <w:r>
        <w:t>CaseLines</w:t>
      </w:r>
      <w:proofErr w:type="spellEnd"/>
      <w:r>
        <w:t xml:space="preserve"> 032-174, para 33</w:t>
      </w:r>
    </w:p>
  </w:footnote>
  <w:footnote w:id="16">
    <w:p w14:paraId="3D9065EA" w14:textId="67B54270" w:rsidR="00854584" w:rsidRDefault="00854584">
      <w:pPr>
        <w:pStyle w:val="FootnoteText"/>
      </w:pPr>
      <w:r>
        <w:rPr>
          <w:rStyle w:val="FootnoteReference"/>
        </w:rPr>
        <w:footnoteRef/>
      </w:r>
      <w:r>
        <w:t xml:space="preserve"> </w:t>
      </w:r>
      <w:r>
        <w:tab/>
      </w:r>
      <w:proofErr w:type="spellStart"/>
      <w:r>
        <w:t>CaseLines</w:t>
      </w:r>
      <w:proofErr w:type="spellEnd"/>
      <w:r>
        <w:t>, 032-177</w:t>
      </w:r>
    </w:p>
  </w:footnote>
  <w:footnote w:id="17">
    <w:p w14:paraId="22033218" w14:textId="0818DE58" w:rsidR="005A0861" w:rsidRPr="005A0861" w:rsidRDefault="005A0861">
      <w:pPr>
        <w:pStyle w:val="FootnoteText"/>
        <w:rPr>
          <w:b/>
          <w:bCs/>
          <w:i/>
          <w:iCs/>
          <w:lang w:val="en-US"/>
        </w:rPr>
      </w:pPr>
      <w:r>
        <w:rPr>
          <w:rStyle w:val="FootnoteReference"/>
        </w:rPr>
        <w:footnoteRef/>
      </w:r>
      <w:r>
        <w:t xml:space="preserve"> </w:t>
      </w:r>
      <w:r w:rsidRPr="005A0861">
        <w:rPr>
          <w:b/>
          <w:bCs/>
          <w:i/>
          <w:iCs/>
          <w:lang w:val="en-US"/>
        </w:rPr>
        <w:t xml:space="preserve">Bel Porto School Governing Body and Others </w:t>
      </w:r>
      <w:proofErr w:type="gramStart"/>
      <w:r w:rsidRPr="005A0861">
        <w:rPr>
          <w:b/>
          <w:bCs/>
          <w:i/>
          <w:iCs/>
          <w:lang w:val="en-US"/>
        </w:rPr>
        <w:t>v</w:t>
      </w:r>
      <w:proofErr w:type="gramEnd"/>
      <w:r w:rsidRPr="005A0861">
        <w:rPr>
          <w:b/>
          <w:bCs/>
          <w:i/>
          <w:iCs/>
          <w:lang w:val="en-US"/>
        </w:rPr>
        <w:t xml:space="preserve"> </w:t>
      </w:r>
      <w:r w:rsidR="00082815" w:rsidRPr="005A0861">
        <w:rPr>
          <w:b/>
          <w:bCs/>
          <w:i/>
          <w:iCs/>
          <w:lang w:val="en-US"/>
        </w:rPr>
        <w:t>Premier,</w:t>
      </w:r>
      <w:r w:rsidRPr="005A0861">
        <w:rPr>
          <w:b/>
          <w:bCs/>
          <w:i/>
          <w:iCs/>
          <w:lang w:val="en-US"/>
        </w:rPr>
        <w:t xml:space="preserve"> Western Cape and Another 2002 (3) SA 265 (CC)</w:t>
      </w:r>
    </w:p>
  </w:footnote>
  <w:footnote w:id="18">
    <w:p w14:paraId="347B5A04" w14:textId="774FC010" w:rsidR="009F7593" w:rsidRDefault="009F7593">
      <w:pPr>
        <w:pStyle w:val="FootnoteText"/>
      </w:pPr>
      <w:r>
        <w:rPr>
          <w:rStyle w:val="FootnoteReference"/>
        </w:rPr>
        <w:footnoteRef/>
      </w:r>
      <w:r>
        <w:t xml:space="preserve"> </w:t>
      </w:r>
      <w:r>
        <w:tab/>
      </w:r>
      <w:r w:rsidRPr="009F7593">
        <w:rPr>
          <w:b/>
          <w:bCs/>
          <w:i/>
          <w:iCs/>
        </w:rPr>
        <w:t>Secretary of the Judicial Commission of Inquiry into Allegations of State Capture, Corruption and Fraud in the Public Sector including Organs of State v Zuma and Others</w:t>
      </w:r>
      <w:r w:rsidRPr="009F7593">
        <w:t xml:space="preserve"> [2021] ZACC 18</w:t>
      </w:r>
    </w:p>
  </w:footnote>
  <w:footnote w:id="19">
    <w:p w14:paraId="27F2F46C" w14:textId="6F478AE0" w:rsidR="009F7593" w:rsidRDefault="009F7593">
      <w:pPr>
        <w:pStyle w:val="FootnoteText"/>
      </w:pPr>
      <w:r>
        <w:rPr>
          <w:rStyle w:val="FootnoteReference"/>
        </w:rPr>
        <w:footnoteRef/>
      </w:r>
      <w:r>
        <w:t xml:space="preserve"> </w:t>
      </w:r>
      <w:r>
        <w:tab/>
      </w:r>
      <w:r w:rsidR="0079165D" w:rsidRPr="0079165D">
        <w:rPr>
          <w:b/>
          <w:bCs/>
          <w:i/>
          <w:iCs/>
        </w:rPr>
        <w:t xml:space="preserve">Victoria Park Ratepayers’ Association v </w:t>
      </w:r>
      <w:proofErr w:type="spellStart"/>
      <w:r w:rsidR="0079165D" w:rsidRPr="0079165D">
        <w:rPr>
          <w:b/>
          <w:bCs/>
          <w:i/>
          <w:iCs/>
        </w:rPr>
        <w:t>Greyvenouw</w:t>
      </w:r>
      <w:proofErr w:type="spellEnd"/>
      <w:r w:rsidR="0079165D" w:rsidRPr="0079165D">
        <w:t xml:space="preserve"> CC 2004 JDR 0498 (SE)</w:t>
      </w:r>
    </w:p>
  </w:footnote>
  <w:footnote w:id="20">
    <w:p w14:paraId="011A88EE" w14:textId="32279149" w:rsidR="0079165D" w:rsidRPr="0017685F" w:rsidRDefault="0079165D">
      <w:pPr>
        <w:pStyle w:val="FootnoteText"/>
        <w:rPr>
          <w:i/>
          <w:iCs/>
        </w:rPr>
      </w:pPr>
      <w:r>
        <w:rPr>
          <w:rStyle w:val="FootnoteReference"/>
        </w:rPr>
        <w:footnoteRef/>
      </w:r>
      <w:r>
        <w:t xml:space="preserve"> </w:t>
      </w:r>
      <w:r>
        <w:tab/>
      </w:r>
      <w:r w:rsidRPr="0079165D">
        <w:rPr>
          <w:b/>
          <w:bCs/>
          <w:i/>
          <w:iCs/>
        </w:rPr>
        <w:t>Victoria Park Ratepayers’ Association</w:t>
      </w:r>
      <w:r w:rsidRPr="0079165D">
        <w:t xml:space="preserve"> </w:t>
      </w:r>
      <w:r w:rsidR="0017685F" w:rsidRPr="0017685F">
        <w:rPr>
          <w:i/>
          <w:iCs/>
        </w:rPr>
        <w:t>supra</w:t>
      </w:r>
      <w:r w:rsidR="0017685F">
        <w:rPr>
          <w:i/>
          <w:iCs/>
        </w:rPr>
        <w:t xml:space="preserve"> </w:t>
      </w:r>
    </w:p>
  </w:footnote>
  <w:footnote w:id="21">
    <w:p w14:paraId="3C2A76B7" w14:textId="2169AC9B" w:rsidR="0079165D" w:rsidRDefault="0079165D">
      <w:pPr>
        <w:pStyle w:val="FootnoteText"/>
      </w:pPr>
      <w:r>
        <w:rPr>
          <w:rStyle w:val="FootnoteReference"/>
        </w:rPr>
        <w:footnoteRef/>
      </w:r>
      <w:r>
        <w:t xml:space="preserve"> </w:t>
      </w:r>
      <w:r>
        <w:tab/>
      </w:r>
      <w:r w:rsidR="0017685F" w:rsidRPr="0079165D">
        <w:rPr>
          <w:b/>
          <w:bCs/>
          <w:i/>
          <w:iCs/>
        </w:rPr>
        <w:t>Victoria Park Ratepayers’ Association</w:t>
      </w:r>
      <w:r w:rsidR="0017685F" w:rsidRPr="0079165D">
        <w:t xml:space="preserve"> </w:t>
      </w:r>
      <w:r w:rsidR="0017685F" w:rsidRPr="0017685F">
        <w:rPr>
          <w:i/>
          <w:iCs/>
        </w:rPr>
        <w:t>supra</w:t>
      </w:r>
    </w:p>
  </w:footnote>
  <w:footnote w:id="22">
    <w:p w14:paraId="66D04E71" w14:textId="456D51B1" w:rsidR="00B66F57" w:rsidRPr="00B66F57" w:rsidRDefault="00B66F57" w:rsidP="00B66F57">
      <w:pPr>
        <w:pStyle w:val="FootnoteText"/>
        <w:ind w:left="0" w:firstLine="0"/>
      </w:pPr>
      <w:r>
        <w:rPr>
          <w:rStyle w:val="FootnoteReference"/>
        </w:rPr>
        <w:footnoteRef/>
      </w:r>
      <w:r>
        <w:t xml:space="preserve"> </w:t>
      </w:r>
      <w:proofErr w:type="spellStart"/>
      <w:r>
        <w:t>CaseLines</w:t>
      </w:r>
      <w:proofErr w:type="spellEnd"/>
      <w:r>
        <w:t>, 032-32</w:t>
      </w:r>
    </w:p>
  </w:footnote>
  <w:footnote w:id="23">
    <w:p w14:paraId="2E6A1B20" w14:textId="1EDB7BC9" w:rsidR="002B4042" w:rsidRDefault="002B4042">
      <w:pPr>
        <w:pStyle w:val="FootnoteText"/>
      </w:pPr>
      <w:r>
        <w:rPr>
          <w:rStyle w:val="FootnoteReference"/>
        </w:rPr>
        <w:footnoteRef/>
      </w:r>
      <w:r>
        <w:t xml:space="preserve"> </w:t>
      </w:r>
      <w:r>
        <w:tab/>
      </w:r>
      <w:proofErr w:type="spellStart"/>
      <w:r>
        <w:t>CaseLines</w:t>
      </w:r>
      <w:proofErr w:type="spellEnd"/>
      <w:r>
        <w:t>, 010-29</w:t>
      </w:r>
    </w:p>
  </w:footnote>
  <w:footnote w:id="24">
    <w:p w14:paraId="4B16E191" w14:textId="248F7E30" w:rsidR="0066424A" w:rsidRDefault="0066424A" w:rsidP="0066424A">
      <w:pPr>
        <w:pStyle w:val="FootnoteText"/>
      </w:pPr>
      <w:r>
        <w:rPr>
          <w:rStyle w:val="FootnoteReference"/>
        </w:rPr>
        <w:footnoteRef/>
      </w:r>
      <w:r>
        <w:t xml:space="preserve"> </w:t>
      </w:r>
      <w:r>
        <w:tab/>
      </w:r>
      <w:r w:rsidR="00BB3FC8">
        <w:t xml:space="preserve">Ibid </w:t>
      </w:r>
    </w:p>
  </w:footnote>
  <w:footnote w:id="25">
    <w:p w14:paraId="0D4589A2" w14:textId="6542B148" w:rsidR="0066424A" w:rsidRDefault="0066424A">
      <w:pPr>
        <w:pStyle w:val="FootnoteText"/>
      </w:pPr>
      <w:r>
        <w:rPr>
          <w:rStyle w:val="FootnoteReference"/>
        </w:rPr>
        <w:footnoteRef/>
      </w:r>
      <w:r>
        <w:t xml:space="preserve"> </w:t>
      </w:r>
      <w:proofErr w:type="spellStart"/>
      <w:r w:rsidR="00BE083F" w:rsidRPr="00BE083F">
        <w:rPr>
          <w:b/>
          <w:bCs/>
          <w:i/>
          <w:iCs/>
        </w:rPr>
        <w:t>Pheko</w:t>
      </w:r>
      <w:proofErr w:type="spellEnd"/>
      <w:r w:rsidR="00BE083F" w:rsidRPr="00BE083F">
        <w:rPr>
          <w:b/>
          <w:bCs/>
          <w:i/>
          <w:iCs/>
        </w:rPr>
        <w:t xml:space="preserve"> II</w:t>
      </w:r>
      <w:r w:rsidR="00BE083F" w:rsidRPr="00BE083F">
        <w:t xml:space="preserve"> above at para 1 and </w:t>
      </w:r>
      <w:r w:rsidR="00BE083F" w:rsidRPr="00BE083F">
        <w:rPr>
          <w:b/>
          <w:bCs/>
          <w:i/>
          <w:iCs/>
        </w:rPr>
        <w:t>Victoria Park Ratepayers’ Association</w:t>
      </w:r>
      <w:r w:rsidR="00BE083F" w:rsidRPr="00BE083F">
        <w:t xml:space="preserve"> above at para 22.</w:t>
      </w:r>
    </w:p>
  </w:footnote>
  <w:footnote w:id="26">
    <w:p w14:paraId="2FAFFB40" w14:textId="03BF1B93" w:rsidR="0066424A" w:rsidRDefault="0066424A">
      <w:pPr>
        <w:pStyle w:val="FootnoteText"/>
      </w:pPr>
      <w:r>
        <w:rPr>
          <w:rStyle w:val="FootnoteReference"/>
        </w:rPr>
        <w:footnoteRef/>
      </w:r>
      <w:r>
        <w:t xml:space="preserve"> </w:t>
      </w:r>
      <w:r>
        <w:tab/>
      </w:r>
      <w:proofErr w:type="spellStart"/>
      <w:r w:rsidR="00BE083F" w:rsidRPr="00BE083F">
        <w:rPr>
          <w:b/>
          <w:bCs/>
          <w:i/>
          <w:iCs/>
        </w:rPr>
        <w:t>Culverwell</w:t>
      </w:r>
      <w:proofErr w:type="spellEnd"/>
      <w:r w:rsidR="00BE083F" w:rsidRPr="00BE083F">
        <w:rPr>
          <w:b/>
          <w:bCs/>
          <w:i/>
          <w:iCs/>
        </w:rPr>
        <w:t xml:space="preserve"> v Beira</w:t>
      </w:r>
      <w:r w:rsidR="00BE083F" w:rsidRPr="00BE083F">
        <w:t xml:space="preserve"> 1992 (4) SA 490 (W) at 494A.</w:t>
      </w:r>
    </w:p>
  </w:footnote>
  <w:footnote w:id="27">
    <w:p w14:paraId="2C3368F9" w14:textId="77B2EB2F" w:rsidR="0066424A" w:rsidRDefault="0066424A">
      <w:pPr>
        <w:pStyle w:val="FootnoteText"/>
      </w:pPr>
      <w:r>
        <w:rPr>
          <w:rStyle w:val="FootnoteReference"/>
        </w:rPr>
        <w:footnoteRef/>
      </w:r>
      <w:r>
        <w:t xml:space="preserve"> </w:t>
      </w:r>
      <w:r>
        <w:tab/>
      </w:r>
      <w:proofErr w:type="spellStart"/>
      <w:r w:rsidR="00BE083F" w:rsidRPr="00BE083F">
        <w:rPr>
          <w:b/>
          <w:bCs/>
          <w:i/>
          <w:iCs/>
        </w:rPr>
        <w:t>Mjeni</w:t>
      </w:r>
      <w:proofErr w:type="spellEnd"/>
      <w:r w:rsidR="00BE083F" w:rsidRPr="00BE083F">
        <w:rPr>
          <w:b/>
          <w:bCs/>
          <w:i/>
          <w:iCs/>
        </w:rPr>
        <w:t xml:space="preserve"> v Minister of Health and Welfare, Eastern Cape</w:t>
      </w:r>
      <w:r w:rsidR="00BE083F" w:rsidRPr="00BE083F">
        <w:t xml:space="preserve"> 2000 (4) SA 446 (</w:t>
      </w:r>
      <w:proofErr w:type="spellStart"/>
      <w:r w:rsidR="00BE083F" w:rsidRPr="00BE083F">
        <w:t>Tk</w:t>
      </w:r>
      <w:proofErr w:type="spellEnd"/>
      <w:r w:rsidR="00BE083F" w:rsidRPr="00BE083F">
        <w:t xml:space="preserve">) at 452C-E, which was cited by Kirk Cohen J in </w:t>
      </w:r>
      <w:r w:rsidR="00BE083F" w:rsidRPr="00BE083F">
        <w:rPr>
          <w:b/>
          <w:bCs/>
          <w:i/>
          <w:iCs/>
        </w:rPr>
        <w:t>Federation of Governing Bodies of South African Schools v MEC for Education, Gauteng</w:t>
      </w:r>
      <w:r w:rsidR="00BE083F" w:rsidRPr="00BE083F">
        <w:t xml:space="preserve"> [2016] ZACC 14; 2016 (4) SA 546 (CC); 2016 (8) BCLR 1050 (CC) at 678G-679A.</w:t>
      </w:r>
    </w:p>
  </w:footnote>
  <w:footnote w:id="28">
    <w:p w14:paraId="27CF1F13" w14:textId="6BF9E03F" w:rsidR="0066424A" w:rsidRDefault="0066424A">
      <w:pPr>
        <w:pStyle w:val="FootnoteText"/>
      </w:pPr>
      <w:r>
        <w:rPr>
          <w:rStyle w:val="FootnoteReference"/>
        </w:rPr>
        <w:footnoteRef/>
      </w:r>
      <w:r>
        <w:t xml:space="preserve"> </w:t>
      </w:r>
      <w:r>
        <w:tab/>
      </w:r>
      <w:r w:rsidR="0069261B" w:rsidRPr="0069261B">
        <w:t xml:space="preserve">Mahomed CJ in a speech published in (1998) 115 SALJ 111 at 112, as quoted in </w:t>
      </w:r>
      <w:r w:rsidR="0069261B" w:rsidRPr="0069261B">
        <w:rPr>
          <w:b/>
          <w:bCs/>
          <w:i/>
          <w:iCs/>
        </w:rPr>
        <w:t>Federation of Governing Bodies of South African Schools</w:t>
      </w:r>
      <w:r w:rsidR="0069261B" w:rsidRPr="0069261B">
        <w:t xml:space="preserve"> id at 679C-E</w:t>
      </w:r>
      <w:r w:rsidR="006E1975">
        <w:t>.</w:t>
      </w:r>
    </w:p>
  </w:footnote>
  <w:footnote w:id="29">
    <w:p w14:paraId="2CAB3940" w14:textId="413881E9" w:rsidR="0066424A" w:rsidRDefault="0066424A">
      <w:pPr>
        <w:pStyle w:val="FootnoteText"/>
      </w:pPr>
      <w:r>
        <w:rPr>
          <w:rStyle w:val="FootnoteReference"/>
        </w:rPr>
        <w:footnoteRef/>
      </w:r>
      <w:r>
        <w:t xml:space="preserve"> </w:t>
      </w:r>
      <w:r>
        <w:tab/>
      </w:r>
      <w:r w:rsidR="006E1975" w:rsidRPr="006E1975">
        <w:rPr>
          <w:b/>
          <w:bCs/>
          <w:i/>
          <w:iCs/>
        </w:rPr>
        <w:t xml:space="preserve">Department of Transport v </w:t>
      </w:r>
      <w:proofErr w:type="spellStart"/>
      <w:r w:rsidR="006E1975" w:rsidRPr="006E1975">
        <w:rPr>
          <w:b/>
          <w:bCs/>
          <w:i/>
          <w:iCs/>
        </w:rPr>
        <w:t>Tasima</w:t>
      </w:r>
      <w:proofErr w:type="spellEnd"/>
      <w:r w:rsidR="006E1975" w:rsidRPr="006E1975">
        <w:rPr>
          <w:b/>
          <w:bCs/>
          <w:i/>
          <w:iCs/>
        </w:rPr>
        <w:t xml:space="preserve"> (Pty) Limited</w:t>
      </w:r>
      <w:r w:rsidR="006E1975" w:rsidRPr="006E1975">
        <w:t xml:space="preserve"> [2016] ZACC 39; 2017 (2) SA 622 (CC); 2017 (1) BCLR 1 (CC) (</w:t>
      </w:r>
      <w:proofErr w:type="spellStart"/>
      <w:r w:rsidR="006E1975" w:rsidRPr="006E1975">
        <w:t>Tasima</w:t>
      </w:r>
      <w:proofErr w:type="spellEnd"/>
      <w:r w:rsidR="006E1975" w:rsidRPr="006E1975">
        <w:t xml:space="preserve"> I) at para 183.</w:t>
      </w:r>
    </w:p>
  </w:footnote>
  <w:footnote w:id="30">
    <w:p w14:paraId="56CD1CFB" w14:textId="0EEF9544" w:rsidR="0066424A" w:rsidRDefault="0066424A">
      <w:pPr>
        <w:pStyle w:val="FootnoteText"/>
      </w:pPr>
      <w:r>
        <w:rPr>
          <w:rStyle w:val="FootnoteReference"/>
        </w:rPr>
        <w:footnoteRef/>
      </w:r>
      <w:r>
        <w:t xml:space="preserve"> </w:t>
      </w:r>
      <w:r>
        <w:tab/>
      </w:r>
      <w:r w:rsidR="006E1975" w:rsidRPr="006E1975">
        <w:rPr>
          <w:b/>
          <w:bCs/>
          <w:i/>
          <w:iCs/>
        </w:rPr>
        <w:t>Victoria Park Ratepayers’ Association</w:t>
      </w:r>
      <w:r w:rsidR="006E1975" w:rsidRPr="006E1975">
        <w:t xml:space="preserve"> above n 25 at para 61.</w:t>
      </w:r>
    </w:p>
  </w:footnote>
  <w:footnote w:id="31">
    <w:p w14:paraId="011DAB7C" w14:textId="2728BEF0" w:rsidR="0066424A" w:rsidRDefault="0066424A">
      <w:pPr>
        <w:pStyle w:val="FootnoteText"/>
      </w:pPr>
      <w:r>
        <w:rPr>
          <w:rStyle w:val="FootnoteReference"/>
        </w:rPr>
        <w:footnoteRef/>
      </w:r>
      <w:r>
        <w:t xml:space="preserve"> </w:t>
      </w:r>
      <w:r>
        <w:tab/>
      </w:r>
      <w:proofErr w:type="spellStart"/>
      <w:r w:rsidR="006E1975" w:rsidRPr="006E1975">
        <w:rPr>
          <w:b/>
          <w:bCs/>
          <w:i/>
          <w:iCs/>
        </w:rPr>
        <w:t>Fakie</w:t>
      </w:r>
      <w:proofErr w:type="spellEnd"/>
      <w:r w:rsidR="006E1975" w:rsidRPr="006E1975">
        <w:t xml:space="preserve"> above at para 7.</w:t>
      </w:r>
    </w:p>
  </w:footnote>
  <w:footnote w:id="32">
    <w:p w14:paraId="23020AD1" w14:textId="0C5B051F" w:rsidR="0066424A" w:rsidRDefault="0066424A">
      <w:pPr>
        <w:pStyle w:val="FootnoteText"/>
      </w:pPr>
      <w:r>
        <w:rPr>
          <w:rStyle w:val="FootnoteReference"/>
        </w:rPr>
        <w:footnoteRef/>
      </w:r>
      <w:r>
        <w:t xml:space="preserve"> </w:t>
      </w:r>
      <w:r>
        <w:tab/>
      </w:r>
      <w:r w:rsidR="006E1975" w:rsidRPr="006E1975">
        <w:t>Section 173 of the Constitution provides this Court with wide, inherent powers to protect and regulate its own process, taking into account the interests of justice.</w:t>
      </w:r>
    </w:p>
  </w:footnote>
  <w:footnote w:id="33">
    <w:p w14:paraId="4F6838BE" w14:textId="2D2CDD6C" w:rsidR="0066424A" w:rsidRDefault="0066424A">
      <w:pPr>
        <w:pStyle w:val="FootnoteText"/>
      </w:pPr>
      <w:r>
        <w:rPr>
          <w:rStyle w:val="FootnoteReference"/>
        </w:rPr>
        <w:footnoteRef/>
      </w:r>
      <w:r>
        <w:t xml:space="preserve"> </w:t>
      </w:r>
      <w:r>
        <w:tab/>
      </w:r>
      <w:proofErr w:type="spellStart"/>
      <w:r w:rsidR="006E1975" w:rsidRPr="006E1975">
        <w:rPr>
          <w:b/>
          <w:bCs/>
          <w:i/>
          <w:iCs/>
        </w:rPr>
        <w:t>Pheko</w:t>
      </w:r>
      <w:proofErr w:type="spellEnd"/>
      <w:r w:rsidR="006E1975" w:rsidRPr="006E1975">
        <w:rPr>
          <w:b/>
          <w:bCs/>
          <w:i/>
          <w:iCs/>
        </w:rPr>
        <w:t xml:space="preserve"> II</w:t>
      </w:r>
      <w:r w:rsidR="006E1975" w:rsidRPr="006E1975">
        <w:t xml:space="preserve"> above at para 2, where this Court said that </w:t>
      </w:r>
      <w:r w:rsidR="006E1975" w:rsidRPr="006E1975">
        <w:rPr>
          <w:i/>
          <w:iCs/>
        </w:rPr>
        <w:t>“courts may, as is the position in this case, raise the issue of civil contempt of their own accord”</w:t>
      </w:r>
      <w:r w:rsidR="006E1975" w:rsidRPr="006E1975">
        <w:t>.</w:t>
      </w:r>
    </w:p>
  </w:footnote>
  <w:footnote w:id="34">
    <w:p w14:paraId="03C4B40A" w14:textId="36503965" w:rsidR="00AA3961" w:rsidRPr="004C27FC" w:rsidRDefault="00AA3961">
      <w:pPr>
        <w:pStyle w:val="FootnoteText"/>
      </w:pPr>
      <w:r>
        <w:rPr>
          <w:rStyle w:val="FootnoteReference"/>
        </w:rPr>
        <w:footnoteRef/>
      </w:r>
      <w:r>
        <w:t xml:space="preserve"> </w:t>
      </w:r>
      <w:r>
        <w:tab/>
      </w:r>
      <w:r w:rsidRPr="004C27FC">
        <w:rPr>
          <w:b/>
          <w:bCs/>
          <w:i/>
          <w:iCs/>
        </w:rPr>
        <w:t xml:space="preserve">Cape Times Ltd v Union Trades Directorate (Pty) Ltd </w:t>
      </w:r>
      <w:r w:rsidRPr="004C27FC">
        <w:t>1956 (1) SA 105 (N) at 120D-E</w:t>
      </w:r>
    </w:p>
  </w:footnote>
  <w:footnote w:id="35">
    <w:p w14:paraId="7AF7DD39" w14:textId="4C76E558" w:rsidR="00EC1183" w:rsidRPr="00EC1183" w:rsidRDefault="00EC1183">
      <w:pPr>
        <w:pStyle w:val="FootnoteText"/>
      </w:pPr>
      <w:r>
        <w:rPr>
          <w:rStyle w:val="FootnoteReference"/>
        </w:rPr>
        <w:footnoteRef/>
      </w:r>
      <w:r>
        <w:t xml:space="preserve"> </w:t>
      </w:r>
      <w:r>
        <w:tab/>
      </w:r>
      <w:proofErr w:type="spellStart"/>
      <w:r>
        <w:rPr>
          <w:b/>
          <w:bCs/>
          <w:i/>
          <w:iCs/>
        </w:rPr>
        <w:t>Chamani</w:t>
      </w:r>
      <w:proofErr w:type="spellEnd"/>
      <w:r>
        <w:rPr>
          <w:b/>
          <w:bCs/>
          <w:i/>
          <w:iCs/>
        </w:rPr>
        <w:t xml:space="preserve"> and </w:t>
      </w:r>
      <w:proofErr w:type="spellStart"/>
      <w:r>
        <w:rPr>
          <w:b/>
          <w:bCs/>
          <w:i/>
          <w:iCs/>
        </w:rPr>
        <w:t>Chamani</w:t>
      </w:r>
      <w:proofErr w:type="spellEnd"/>
      <w:r>
        <w:rPr>
          <w:b/>
          <w:bCs/>
          <w:i/>
          <w:iCs/>
        </w:rPr>
        <w:t xml:space="preserve"> </w:t>
      </w:r>
      <w:r>
        <w:t>1979 (4) SA 804 (W) at 806F-</w:t>
      </w:r>
      <w:proofErr w:type="gramStart"/>
      <w:r>
        <w:t xml:space="preserve">H;  </w:t>
      </w:r>
      <w:r>
        <w:rPr>
          <w:b/>
          <w:bCs/>
          <w:i/>
          <w:iCs/>
        </w:rPr>
        <w:t>Van</w:t>
      </w:r>
      <w:proofErr w:type="gramEnd"/>
      <w:r>
        <w:rPr>
          <w:b/>
          <w:bCs/>
          <w:i/>
          <w:iCs/>
        </w:rPr>
        <w:t xml:space="preserve"> </w:t>
      </w:r>
      <w:proofErr w:type="spellStart"/>
      <w:r>
        <w:rPr>
          <w:b/>
          <w:bCs/>
          <w:i/>
          <w:iCs/>
        </w:rPr>
        <w:t>Rippen</w:t>
      </w:r>
      <w:proofErr w:type="spellEnd"/>
      <w:r>
        <w:rPr>
          <w:b/>
          <w:bCs/>
          <w:i/>
          <w:iCs/>
        </w:rPr>
        <w:t xml:space="preserve"> v </w:t>
      </w:r>
      <w:proofErr w:type="spellStart"/>
      <w:r>
        <w:rPr>
          <w:b/>
          <w:bCs/>
          <w:i/>
          <w:iCs/>
        </w:rPr>
        <w:t>Rippen</w:t>
      </w:r>
      <w:proofErr w:type="spellEnd"/>
      <w:r>
        <w:rPr>
          <w:b/>
          <w:bCs/>
          <w:i/>
          <w:iCs/>
        </w:rPr>
        <w:t xml:space="preserve"> </w:t>
      </w:r>
      <w:r>
        <w:t>1949 (4) SA 634 (C)</w:t>
      </w:r>
    </w:p>
  </w:footnote>
  <w:footnote w:id="36">
    <w:p w14:paraId="17E74BD5" w14:textId="2CAF51EF" w:rsidR="00E74573" w:rsidRPr="004C27FC" w:rsidRDefault="00E74573">
      <w:pPr>
        <w:pStyle w:val="FootnoteText"/>
      </w:pPr>
      <w:r>
        <w:rPr>
          <w:rStyle w:val="FootnoteReference"/>
        </w:rPr>
        <w:footnoteRef/>
      </w:r>
      <w:r>
        <w:t xml:space="preserve"> </w:t>
      </w:r>
      <w:r>
        <w:tab/>
      </w:r>
      <w:r w:rsidRPr="004C27FC">
        <w:rPr>
          <w:b/>
          <w:bCs/>
          <w:i/>
          <w:iCs/>
        </w:rPr>
        <w:t xml:space="preserve">AG v LG </w:t>
      </w:r>
      <w:r w:rsidRPr="004C27FC">
        <w:t>(WCC) 9207/2020, para 17</w:t>
      </w:r>
    </w:p>
  </w:footnote>
  <w:footnote w:id="37">
    <w:p w14:paraId="7B471EF3" w14:textId="46CB41E2" w:rsidR="00E74573" w:rsidRPr="00E74573" w:rsidRDefault="00E74573">
      <w:pPr>
        <w:pStyle w:val="FootnoteText"/>
      </w:pPr>
      <w:r>
        <w:rPr>
          <w:rStyle w:val="FootnoteReference"/>
        </w:rPr>
        <w:footnoteRef/>
      </w:r>
      <w:r>
        <w:t xml:space="preserve"> </w:t>
      </w:r>
      <w:r>
        <w:tab/>
      </w:r>
      <w:r>
        <w:rPr>
          <w:b/>
          <w:bCs/>
          <w:i/>
          <w:iCs/>
        </w:rPr>
        <w:t xml:space="preserve">S v S </w:t>
      </w:r>
      <w:r>
        <w:t>2019 (6) SA 1 (CC)</w:t>
      </w:r>
    </w:p>
  </w:footnote>
  <w:footnote w:id="38">
    <w:p w14:paraId="416536EB" w14:textId="2C85FFBD" w:rsidR="009825A3" w:rsidRDefault="009825A3">
      <w:pPr>
        <w:pStyle w:val="FootnoteText"/>
      </w:pPr>
      <w:r>
        <w:rPr>
          <w:rStyle w:val="FootnoteReference"/>
        </w:rPr>
        <w:footnoteRef/>
      </w:r>
      <w:r>
        <w:t xml:space="preserve"> </w:t>
      </w:r>
      <w:r w:rsidR="00865726" w:rsidRPr="00865726">
        <w:t xml:space="preserve">See </w:t>
      </w:r>
      <w:proofErr w:type="spellStart"/>
      <w:r w:rsidR="00865726" w:rsidRPr="00865726">
        <w:rPr>
          <w:b/>
          <w:bCs/>
          <w:i/>
          <w:iCs/>
        </w:rPr>
        <w:t>Pheko</w:t>
      </w:r>
      <w:proofErr w:type="spellEnd"/>
      <w:r w:rsidR="00865726" w:rsidRPr="00865726">
        <w:rPr>
          <w:b/>
          <w:bCs/>
          <w:i/>
          <w:iCs/>
        </w:rPr>
        <w:t xml:space="preserve"> II</w:t>
      </w:r>
      <w:r w:rsidR="00865726" w:rsidRPr="00865726">
        <w:t xml:space="preserve"> above at para 32; </w:t>
      </w:r>
      <w:proofErr w:type="spellStart"/>
      <w:r w:rsidR="00865726" w:rsidRPr="00865726">
        <w:rPr>
          <w:b/>
          <w:bCs/>
          <w:i/>
          <w:iCs/>
        </w:rPr>
        <w:t>Fakie</w:t>
      </w:r>
      <w:proofErr w:type="spellEnd"/>
      <w:r w:rsidR="00865726" w:rsidRPr="00865726">
        <w:t xml:space="preserve"> above at para 22; and </w:t>
      </w:r>
      <w:r w:rsidR="00865726" w:rsidRPr="00865726">
        <w:rPr>
          <w:b/>
          <w:bCs/>
          <w:i/>
          <w:iCs/>
        </w:rPr>
        <w:t>Consolidated Fish</w:t>
      </w:r>
      <w:r w:rsidR="00865726" w:rsidRPr="00865726">
        <w:t xml:space="preserve"> above at 522E-H, which affirms </w:t>
      </w:r>
      <w:r w:rsidR="00865726" w:rsidRPr="00865726">
        <w:rPr>
          <w:b/>
          <w:bCs/>
          <w:i/>
          <w:iCs/>
        </w:rPr>
        <w:t>Southey v Southey</w:t>
      </w:r>
      <w:r w:rsidR="00865726" w:rsidRPr="00865726">
        <w:t xml:space="preserve"> 1907 EDC 133 at 137.</w:t>
      </w:r>
    </w:p>
  </w:footnote>
  <w:footnote w:id="39">
    <w:p w14:paraId="7D1D566C" w14:textId="64424490" w:rsidR="009825A3" w:rsidRDefault="009825A3">
      <w:pPr>
        <w:pStyle w:val="FootnoteText"/>
      </w:pPr>
      <w:r>
        <w:rPr>
          <w:rStyle w:val="FootnoteReference"/>
        </w:rPr>
        <w:footnoteRef/>
      </w:r>
      <w:r>
        <w:t xml:space="preserve"> </w:t>
      </w:r>
      <w:r>
        <w:tab/>
      </w:r>
      <w:proofErr w:type="spellStart"/>
      <w:r w:rsidR="00865726" w:rsidRPr="00865726">
        <w:rPr>
          <w:b/>
          <w:bCs/>
          <w:i/>
          <w:iCs/>
        </w:rPr>
        <w:t>Fakie</w:t>
      </w:r>
      <w:proofErr w:type="spellEnd"/>
      <w:r w:rsidR="00865726" w:rsidRPr="00865726">
        <w:t xml:space="preserve"> id at paras 41-2 and endorsed by this Court in </w:t>
      </w:r>
      <w:proofErr w:type="spellStart"/>
      <w:r w:rsidR="00865726" w:rsidRPr="00865726">
        <w:rPr>
          <w:b/>
          <w:bCs/>
          <w:i/>
          <w:iCs/>
        </w:rPr>
        <w:t>Pheko</w:t>
      </w:r>
      <w:proofErr w:type="spellEnd"/>
      <w:r w:rsidR="00865726" w:rsidRPr="00865726">
        <w:rPr>
          <w:b/>
          <w:bCs/>
          <w:i/>
          <w:iCs/>
        </w:rPr>
        <w:t xml:space="preserve"> II</w:t>
      </w:r>
      <w:r w:rsidR="00865726" w:rsidRPr="00865726">
        <w:t xml:space="preserve"> id at para 36.  Additionally, in </w:t>
      </w:r>
      <w:proofErr w:type="spellStart"/>
      <w:r w:rsidR="00865726" w:rsidRPr="00865726">
        <w:rPr>
          <w:b/>
          <w:bCs/>
          <w:i/>
          <w:iCs/>
        </w:rPr>
        <w:t>Uncedo</w:t>
      </w:r>
      <w:proofErr w:type="spellEnd"/>
      <w:r w:rsidR="00865726" w:rsidRPr="00865726">
        <w:rPr>
          <w:b/>
          <w:bCs/>
          <w:i/>
          <w:iCs/>
        </w:rPr>
        <w:t xml:space="preserve"> Taxi Service Association v </w:t>
      </w:r>
      <w:proofErr w:type="spellStart"/>
      <w:r w:rsidR="00865726" w:rsidRPr="00865726">
        <w:rPr>
          <w:b/>
          <w:bCs/>
          <w:i/>
          <w:iCs/>
        </w:rPr>
        <w:t>Maninjwa</w:t>
      </w:r>
      <w:proofErr w:type="spellEnd"/>
      <w:r w:rsidR="00865726" w:rsidRPr="00865726">
        <w:t xml:space="preserve"> 1998 (3) SA 417 (E) (</w:t>
      </w:r>
      <w:proofErr w:type="spellStart"/>
      <w:r w:rsidR="00865726" w:rsidRPr="00865726">
        <w:t>Maninjwa</w:t>
      </w:r>
      <w:proofErr w:type="spellEnd"/>
      <w:r w:rsidR="00865726" w:rsidRPr="00865726">
        <w:t xml:space="preserve">) at 425C-G and 428A-C, it was held that the fundamental right to a fair criminal trial guaranteed by section 35(3) of the Constitution requires that, in order for an applicant in contempt proceedings to succeed, he or she must prove the elements of the offence beyond reasonable doubt.  This principle was cited in </w:t>
      </w:r>
      <w:r w:rsidR="00865726" w:rsidRPr="00865726">
        <w:rPr>
          <w:b/>
          <w:bCs/>
          <w:i/>
          <w:iCs/>
        </w:rPr>
        <w:t>Victoria Park Ratepayers’ Association</w:t>
      </w:r>
      <w:r w:rsidR="00865726" w:rsidRPr="00865726">
        <w:t xml:space="preserve"> above at para 17.</w:t>
      </w:r>
    </w:p>
  </w:footnote>
  <w:footnote w:id="40">
    <w:p w14:paraId="520255E3" w14:textId="79D0A7FB" w:rsidR="008655F9" w:rsidRDefault="008655F9">
      <w:pPr>
        <w:pStyle w:val="FootnoteText"/>
      </w:pPr>
      <w:r>
        <w:rPr>
          <w:rStyle w:val="FootnoteReference"/>
        </w:rPr>
        <w:footnoteRef/>
      </w:r>
      <w:r>
        <w:t xml:space="preserve"> </w:t>
      </w:r>
      <w:r>
        <w:tab/>
      </w:r>
      <w:proofErr w:type="spellStart"/>
      <w:r>
        <w:t>CaseLines</w:t>
      </w:r>
      <w:proofErr w:type="spellEnd"/>
      <w:r>
        <w:t>, 010-6 to 010-7, para 8</w:t>
      </w:r>
    </w:p>
  </w:footnote>
  <w:footnote w:id="41">
    <w:p w14:paraId="0D9778DF" w14:textId="2736BB0D" w:rsidR="00B05531" w:rsidRDefault="00B05531">
      <w:pPr>
        <w:pStyle w:val="FootnoteText"/>
      </w:pPr>
      <w:r>
        <w:rPr>
          <w:rStyle w:val="FootnoteReference"/>
        </w:rPr>
        <w:footnoteRef/>
      </w:r>
      <w:r>
        <w:t xml:space="preserve"> </w:t>
      </w:r>
      <w:r>
        <w:tab/>
      </w:r>
      <w:proofErr w:type="spellStart"/>
      <w:r>
        <w:t>CaseLines</w:t>
      </w:r>
      <w:proofErr w:type="spellEnd"/>
      <w:r>
        <w:t xml:space="preserve">, 015-9 </w:t>
      </w:r>
    </w:p>
  </w:footnote>
  <w:footnote w:id="42">
    <w:p w14:paraId="7FA23AEC" w14:textId="37DA32BF" w:rsidR="00B05531" w:rsidRDefault="00B05531">
      <w:pPr>
        <w:pStyle w:val="FootnoteText"/>
      </w:pPr>
      <w:r>
        <w:rPr>
          <w:rStyle w:val="FootnoteReference"/>
        </w:rPr>
        <w:footnoteRef/>
      </w:r>
      <w:r>
        <w:t xml:space="preserve"> </w:t>
      </w:r>
      <w:r>
        <w:tab/>
      </w:r>
      <w:proofErr w:type="spellStart"/>
      <w:r>
        <w:t>CaseLines</w:t>
      </w:r>
      <w:proofErr w:type="spellEnd"/>
      <w:r>
        <w:t>, 015-22</w:t>
      </w:r>
    </w:p>
  </w:footnote>
  <w:footnote w:id="43">
    <w:p w14:paraId="4ED90208" w14:textId="77777777" w:rsidR="005B474C" w:rsidRPr="000A5771" w:rsidRDefault="005B474C" w:rsidP="005B474C">
      <w:pPr>
        <w:pStyle w:val="FootnoteText"/>
      </w:pPr>
      <w:r>
        <w:rPr>
          <w:rStyle w:val="FootnoteReference"/>
        </w:rPr>
        <w:footnoteRef/>
      </w:r>
      <w:r>
        <w:t xml:space="preserve"> </w:t>
      </w:r>
      <w:r>
        <w:tab/>
      </w:r>
      <w:r>
        <w:rPr>
          <w:b/>
          <w:bCs/>
          <w:i/>
          <w:iCs/>
        </w:rPr>
        <w:t xml:space="preserve">MH v OT </w:t>
      </w:r>
      <w:r>
        <w:t>2023 (3) SA 159 at 170, para 51</w:t>
      </w:r>
    </w:p>
  </w:footnote>
  <w:footnote w:id="44">
    <w:p w14:paraId="3FCB7777" w14:textId="64032F1A" w:rsidR="00763BB2" w:rsidRDefault="00763BB2">
      <w:pPr>
        <w:pStyle w:val="FootnoteText"/>
      </w:pPr>
      <w:r>
        <w:rPr>
          <w:rStyle w:val="FootnoteReference"/>
        </w:rPr>
        <w:footnoteRef/>
      </w:r>
      <w:r>
        <w:t xml:space="preserve"> </w:t>
      </w:r>
      <w:r>
        <w:tab/>
      </w:r>
      <w:proofErr w:type="spellStart"/>
      <w:r>
        <w:t>CaseLines</w:t>
      </w:r>
      <w:proofErr w:type="spellEnd"/>
      <w:r>
        <w:t>, 028-5</w:t>
      </w:r>
    </w:p>
  </w:footnote>
  <w:footnote w:id="45">
    <w:p w14:paraId="35BA0770" w14:textId="5B395E9B" w:rsidR="00763BB2" w:rsidRPr="00763BB2" w:rsidRDefault="00763BB2">
      <w:pPr>
        <w:pStyle w:val="FootnoteText"/>
      </w:pPr>
      <w:r>
        <w:rPr>
          <w:rStyle w:val="FootnoteReference"/>
        </w:rPr>
        <w:footnoteRef/>
      </w:r>
      <w:r>
        <w:t xml:space="preserve"> </w:t>
      </w:r>
      <w:r>
        <w:tab/>
      </w:r>
      <w:r w:rsidR="004C27FC">
        <w:t xml:space="preserve">Ibid </w:t>
      </w:r>
      <w:r>
        <w:t>at page 639</w:t>
      </w:r>
    </w:p>
  </w:footnote>
  <w:footnote w:id="46">
    <w:p w14:paraId="304883EE" w14:textId="3F2517B5" w:rsidR="000A5771" w:rsidRDefault="000A5771">
      <w:pPr>
        <w:pStyle w:val="FootnoteText"/>
      </w:pPr>
      <w:r>
        <w:rPr>
          <w:rStyle w:val="FootnoteReference"/>
        </w:rPr>
        <w:footnoteRef/>
      </w:r>
      <w:r>
        <w:t xml:space="preserve"> </w:t>
      </w:r>
      <w:r w:rsidRPr="002F44BB">
        <w:rPr>
          <w:b/>
          <w:bCs/>
          <w:i/>
          <w:iCs/>
        </w:rPr>
        <w:tab/>
        <w:t>Cary v Cary</w:t>
      </w:r>
      <w:r w:rsidRPr="000A5771">
        <w:t xml:space="preserve"> 1999 (3) SA 615 (C)</w:t>
      </w:r>
    </w:p>
  </w:footnote>
  <w:footnote w:id="47">
    <w:p w14:paraId="0F24B612" w14:textId="71455C08" w:rsidR="00B05531" w:rsidRDefault="00B05531">
      <w:pPr>
        <w:pStyle w:val="FootnoteText"/>
      </w:pPr>
      <w:r>
        <w:rPr>
          <w:rStyle w:val="FootnoteReference"/>
        </w:rPr>
        <w:footnoteRef/>
      </w:r>
      <w:r>
        <w:t xml:space="preserve"> </w:t>
      </w:r>
      <w:r>
        <w:tab/>
      </w:r>
      <w:proofErr w:type="spellStart"/>
      <w:r>
        <w:t>CaseLines</w:t>
      </w:r>
      <w:proofErr w:type="spellEnd"/>
      <w:r>
        <w:t>, 010-21</w:t>
      </w:r>
    </w:p>
  </w:footnote>
  <w:footnote w:id="48">
    <w:p w14:paraId="7C95DD42" w14:textId="2B435EBD" w:rsidR="00B05531" w:rsidRDefault="00B05531">
      <w:pPr>
        <w:pStyle w:val="FootnoteText"/>
      </w:pPr>
      <w:r>
        <w:rPr>
          <w:rStyle w:val="FootnoteReference"/>
        </w:rPr>
        <w:footnoteRef/>
      </w:r>
      <w:r>
        <w:t xml:space="preserve"> </w:t>
      </w:r>
      <w:r>
        <w:tab/>
      </w:r>
      <w:proofErr w:type="spellStart"/>
      <w:r w:rsidR="000E0E02">
        <w:t>CaseLines</w:t>
      </w:r>
      <w:proofErr w:type="spellEnd"/>
      <w:r w:rsidR="000E0E02">
        <w:t>, 015-13</w:t>
      </w:r>
      <w:r>
        <w:t xml:space="preserve"> </w:t>
      </w:r>
    </w:p>
  </w:footnote>
  <w:footnote w:id="49">
    <w:p w14:paraId="6D304639" w14:textId="5A3CC5F5" w:rsidR="00727782" w:rsidRDefault="00727782">
      <w:pPr>
        <w:pStyle w:val="FootnoteText"/>
      </w:pPr>
      <w:r>
        <w:rPr>
          <w:rStyle w:val="FootnoteReference"/>
        </w:rPr>
        <w:footnoteRef/>
      </w:r>
      <w:r>
        <w:t xml:space="preserve"> </w:t>
      </w:r>
      <w:r>
        <w:tab/>
      </w:r>
      <w:r w:rsidRPr="002F44BB">
        <w:rPr>
          <w:b/>
          <w:bCs/>
          <w:i/>
          <w:iCs/>
        </w:rPr>
        <w:t xml:space="preserve">Public Protector v South African Reserve Bank </w:t>
      </w:r>
      <w:r>
        <w:t>[2019] ZACC 29; 2019 (9) BCLR 1113 (CC); 2019 (6) SA 253 (CC) paras 221-223.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21655"/>
      <w:docPartObj>
        <w:docPartGallery w:val="Page Numbers (Top of Page)"/>
        <w:docPartUnique/>
      </w:docPartObj>
    </w:sdtPr>
    <w:sdtEndPr>
      <w:rPr>
        <w:noProof/>
        <w:sz w:val="24"/>
        <w:szCs w:val="24"/>
      </w:rPr>
    </w:sdtEndPr>
    <w:sdtContent>
      <w:p w14:paraId="2A952557" w14:textId="2530DA47" w:rsidR="00CF7049" w:rsidRPr="00E928E8" w:rsidRDefault="00CF7049">
        <w:pPr>
          <w:pStyle w:val="Header"/>
          <w:jc w:val="right"/>
          <w:rPr>
            <w:sz w:val="24"/>
            <w:szCs w:val="24"/>
          </w:rPr>
        </w:pPr>
        <w:r w:rsidRPr="00E928E8">
          <w:rPr>
            <w:sz w:val="24"/>
            <w:szCs w:val="24"/>
          </w:rPr>
          <w:fldChar w:fldCharType="begin"/>
        </w:r>
        <w:r w:rsidRPr="00E928E8">
          <w:rPr>
            <w:sz w:val="24"/>
            <w:szCs w:val="24"/>
          </w:rPr>
          <w:instrText xml:space="preserve"> PAGE   \* MERGEFORMAT </w:instrText>
        </w:r>
        <w:r w:rsidRPr="00E928E8">
          <w:rPr>
            <w:sz w:val="24"/>
            <w:szCs w:val="24"/>
          </w:rPr>
          <w:fldChar w:fldCharType="separate"/>
        </w:r>
        <w:r w:rsidR="004318FC">
          <w:rPr>
            <w:noProof/>
            <w:sz w:val="24"/>
            <w:szCs w:val="24"/>
          </w:rPr>
          <w:t>21</w:t>
        </w:r>
        <w:r w:rsidRPr="00E928E8">
          <w:rPr>
            <w:noProof/>
            <w:sz w:val="24"/>
            <w:szCs w:val="24"/>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54C3444"/>
    <w:multiLevelType w:val="multilevel"/>
    <w:tmpl w:val="789A3914"/>
    <w:lvl w:ilvl="0">
      <w:start w:val="1"/>
      <w:numFmt w:val="decimal"/>
      <w:pStyle w:val="Heading1"/>
      <w:lvlText w:val="[%1]"/>
      <w:lvlJc w:val="left"/>
      <w:pPr>
        <w:tabs>
          <w:tab w:val="num" w:pos="862"/>
        </w:tabs>
        <w:ind w:left="862" w:hanging="862"/>
      </w:pPr>
      <w:rPr>
        <w:rFonts w:hint="default"/>
        <w:b w:val="0"/>
        <w:bCs w:val="0"/>
        <w:i w:val="0"/>
        <w:i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15:restartNumberingAfterBreak="0">
    <w:nsid w:val="59AD1D2E"/>
    <w:multiLevelType w:val="hybridMultilevel"/>
    <w:tmpl w:val="D982CEFC"/>
    <w:lvl w:ilvl="0" w:tplc="CE08C4DC">
      <w:start w:val="1"/>
      <w:numFmt w:val="decimal"/>
      <w:lvlText w:val="%1."/>
      <w:lvlJc w:val="left"/>
      <w:pPr>
        <w:ind w:left="1875" w:hanging="102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en-ZA"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0058"/>
    <w:rsid w:val="00006720"/>
    <w:rsid w:val="00013916"/>
    <w:rsid w:val="00013F13"/>
    <w:rsid w:val="00013F66"/>
    <w:rsid w:val="00016FCE"/>
    <w:rsid w:val="000206B9"/>
    <w:rsid w:val="00021572"/>
    <w:rsid w:val="000223E2"/>
    <w:rsid w:val="00024069"/>
    <w:rsid w:val="00024EC0"/>
    <w:rsid w:val="000269A0"/>
    <w:rsid w:val="000330AA"/>
    <w:rsid w:val="00033689"/>
    <w:rsid w:val="00035295"/>
    <w:rsid w:val="00035850"/>
    <w:rsid w:val="00036510"/>
    <w:rsid w:val="0003777C"/>
    <w:rsid w:val="00040532"/>
    <w:rsid w:val="000449C9"/>
    <w:rsid w:val="00045C2A"/>
    <w:rsid w:val="000460FA"/>
    <w:rsid w:val="000463D4"/>
    <w:rsid w:val="0005193C"/>
    <w:rsid w:val="00056698"/>
    <w:rsid w:val="000600AD"/>
    <w:rsid w:val="00060A47"/>
    <w:rsid w:val="00060B83"/>
    <w:rsid w:val="000625CD"/>
    <w:rsid w:val="00062E02"/>
    <w:rsid w:val="00064ABB"/>
    <w:rsid w:val="00076A3C"/>
    <w:rsid w:val="000806A3"/>
    <w:rsid w:val="00081824"/>
    <w:rsid w:val="00082815"/>
    <w:rsid w:val="00090BBB"/>
    <w:rsid w:val="00096D51"/>
    <w:rsid w:val="000A3B02"/>
    <w:rsid w:val="000A4A93"/>
    <w:rsid w:val="000A5255"/>
    <w:rsid w:val="000A5771"/>
    <w:rsid w:val="000A6197"/>
    <w:rsid w:val="000A7277"/>
    <w:rsid w:val="000B0F7E"/>
    <w:rsid w:val="000B2270"/>
    <w:rsid w:val="000B57CF"/>
    <w:rsid w:val="000C3DC6"/>
    <w:rsid w:val="000C3E53"/>
    <w:rsid w:val="000C42FC"/>
    <w:rsid w:val="000C4BAD"/>
    <w:rsid w:val="000C6E46"/>
    <w:rsid w:val="000D17F5"/>
    <w:rsid w:val="000D45A1"/>
    <w:rsid w:val="000E03C5"/>
    <w:rsid w:val="000E0E02"/>
    <w:rsid w:val="000E201A"/>
    <w:rsid w:val="000E51FA"/>
    <w:rsid w:val="000E5E70"/>
    <w:rsid w:val="000E687A"/>
    <w:rsid w:val="000E7C01"/>
    <w:rsid w:val="000E7E62"/>
    <w:rsid w:val="000F04D0"/>
    <w:rsid w:val="000F0879"/>
    <w:rsid w:val="000F50B7"/>
    <w:rsid w:val="000F562D"/>
    <w:rsid w:val="000F6E3C"/>
    <w:rsid w:val="0010300F"/>
    <w:rsid w:val="0010379E"/>
    <w:rsid w:val="00106491"/>
    <w:rsid w:val="00106AF0"/>
    <w:rsid w:val="001073B8"/>
    <w:rsid w:val="00117066"/>
    <w:rsid w:val="0012080E"/>
    <w:rsid w:val="0012130E"/>
    <w:rsid w:val="0012684E"/>
    <w:rsid w:val="0012749D"/>
    <w:rsid w:val="00127FB4"/>
    <w:rsid w:val="001348C7"/>
    <w:rsid w:val="0013761F"/>
    <w:rsid w:val="00141EEC"/>
    <w:rsid w:val="00142F93"/>
    <w:rsid w:val="00143DA0"/>
    <w:rsid w:val="001471ED"/>
    <w:rsid w:val="0014737C"/>
    <w:rsid w:val="00150259"/>
    <w:rsid w:val="00153383"/>
    <w:rsid w:val="0015742D"/>
    <w:rsid w:val="00161D1A"/>
    <w:rsid w:val="0016510E"/>
    <w:rsid w:val="00165DA8"/>
    <w:rsid w:val="001662A9"/>
    <w:rsid w:val="00167703"/>
    <w:rsid w:val="00171857"/>
    <w:rsid w:val="0017394F"/>
    <w:rsid w:val="00173B6E"/>
    <w:rsid w:val="001740EB"/>
    <w:rsid w:val="0017685F"/>
    <w:rsid w:val="00176C16"/>
    <w:rsid w:val="0017730A"/>
    <w:rsid w:val="0018046C"/>
    <w:rsid w:val="00187393"/>
    <w:rsid w:val="00191E78"/>
    <w:rsid w:val="00193B63"/>
    <w:rsid w:val="00193BA1"/>
    <w:rsid w:val="00196B94"/>
    <w:rsid w:val="001B3615"/>
    <w:rsid w:val="001B4598"/>
    <w:rsid w:val="001B4819"/>
    <w:rsid w:val="001B48CB"/>
    <w:rsid w:val="001C0C80"/>
    <w:rsid w:val="001C1534"/>
    <w:rsid w:val="001C15CF"/>
    <w:rsid w:val="001C4CC1"/>
    <w:rsid w:val="001D151A"/>
    <w:rsid w:val="001D5D9B"/>
    <w:rsid w:val="001E24C1"/>
    <w:rsid w:val="001E3056"/>
    <w:rsid w:val="001E447F"/>
    <w:rsid w:val="001E48C8"/>
    <w:rsid w:val="001E5695"/>
    <w:rsid w:val="001E6155"/>
    <w:rsid w:val="0020226C"/>
    <w:rsid w:val="00204CA6"/>
    <w:rsid w:val="00206B44"/>
    <w:rsid w:val="00207736"/>
    <w:rsid w:val="00207BCE"/>
    <w:rsid w:val="00210EF6"/>
    <w:rsid w:val="00211229"/>
    <w:rsid w:val="00212F35"/>
    <w:rsid w:val="00213776"/>
    <w:rsid w:val="002167A8"/>
    <w:rsid w:val="00220088"/>
    <w:rsid w:val="002231BF"/>
    <w:rsid w:val="002238E5"/>
    <w:rsid w:val="00233C3C"/>
    <w:rsid w:val="00233C6D"/>
    <w:rsid w:val="002369F2"/>
    <w:rsid w:val="00244807"/>
    <w:rsid w:val="00245902"/>
    <w:rsid w:val="00247B19"/>
    <w:rsid w:val="0025399F"/>
    <w:rsid w:val="00253D04"/>
    <w:rsid w:val="00270413"/>
    <w:rsid w:val="00272D1E"/>
    <w:rsid w:val="00273796"/>
    <w:rsid w:val="002754D8"/>
    <w:rsid w:val="002757F0"/>
    <w:rsid w:val="002800C5"/>
    <w:rsid w:val="00283838"/>
    <w:rsid w:val="00283B32"/>
    <w:rsid w:val="00284C8A"/>
    <w:rsid w:val="002856E1"/>
    <w:rsid w:val="00285FB4"/>
    <w:rsid w:val="002912A7"/>
    <w:rsid w:val="00292568"/>
    <w:rsid w:val="002929B8"/>
    <w:rsid w:val="00294114"/>
    <w:rsid w:val="00294E30"/>
    <w:rsid w:val="002A19E4"/>
    <w:rsid w:val="002A1E37"/>
    <w:rsid w:val="002A2729"/>
    <w:rsid w:val="002A3918"/>
    <w:rsid w:val="002A554A"/>
    <w:rsid w:val="002A7040"/>
    <w:rsid w:val="002B4042"/>
    <w:rsid w:val="002C6134"/>
    <w:rsid w:val="002E082A"/>
    <w:rsid w:val="002E1EEC"/>
    <w:rsid w:val="002E703F"/>
    <w:rsid w:val="002F0615"/>
    <w:rsid w:val="002F30AA"/>
    <w:rsid w:val="002F39A3"/>
    <w:rsid w:val="002F44BB"/>
    <w:rsid w:val="00300F41"/>
    <w:rsid w:val="00310029"/>
    <w:rsid w:val="00311DAF"/>
    <w:rsid w:val="0031638A"/>
    <w:rsid w:val="00316597"/>
    <w:rsid w:val="003202ED"/>
    <w:rsid w:val="003204FF"/>
    <w:rsid w:val="00324245"/>
    <w:rsid w:val="003244BC"/>
    <w:rsid w:val="003366C1"/>
    <w:rsid w:val="0033693B"/>
    <w:rsid w:val="00337192"/>
    <w:rsid w:val="00340B40"/>
    <w:rsid w:val="003414B0"/>
    <w:rsid w:val="003458D7"/>
    <w:rsid w:val="00345C84"/>
    <w:rsid w:val="003470FF"/>
    <w:rsid w:val="003504CE"/>
    <w:rsid w:val="00351515"/>
    <w:rsid w:val="00352048"/>
    <w:rsid w:val="003521B3"/>
    <w:rsid w:val="0035315B"/>
    <w:rsid w:val="00354DFA"/>
    <w:rsid w:val="00357F85"/>
    <w:rsid w:val="00365157"/>
    <w:rsid w:val="0037012A"/>
    <w:rsid w:val="0037230C"/>
    <w:rsid w:val="003724BA"/>
    <w:rsid w:val="00374A10"/>
    <w:rsid w:val="0038171B"/>
    <w:rsid w:val="00390FA1"/>
    <w:rsid w:val="00395E13"/>
    <w:rsid w:val="003969E9"/>
    <w:rsid w:val="003A1760"/>
    <w:rsid w:val="003A4CE2"/>
    <w:rsid w:val="003B13EC"/>
    <w:rsid w:val="003B1EC4"/>
    <w:rsid w:val="003B42D5"/>
    <w:rsid w:val="003C0382"/>
    <w:rsid w:val="003C145E"/>
    <w:rsid w:val="003C2823"/>
    <w:rsid w:val="003C2889"/>
    <w:rsid w:val="003C3E35"/>
    <w:rsid w:val="003C6767"/>
    <w:rsid w:val="003C68E4"/>
    <w:rsid w:val="003C6B86"/>
    <w:rsid w:val="003C7511"/>
    <w:rsid w:val="003D0EF9"/>
    <w:rsid w:val="003D20CC"/>
    <w:rsid w:val="003D30FA"/>
    <w:rsid w:val="003D5E64"/>
    <w:rsid w:val="003E2E2E"/>
    <w:rsid w:val="003E3B3D"/>
    <w:rsid w:val="003E415C"/>
    <w:rsid w:val="003E4735"/>
    <w:rsid w:val="003E5F9A"/>
    <w:rsid w:val="003E6F1C"/>
    <w:rsid w:val="003F1E6B"/>
    <w:rsid w:val="003F4D15"/>
    <w:rsid w:val="003F7203"/>
    <w:rsid w:val="004031B7"/>
    <w:rsid w:val="00404A89"/>
    <w:rsid w:val="00407878"/>
    <w:rsid w:val="00407BBF"/>
    <w:rsid w:val="00410657"/>
    <w:rsid w:val="00415AE9"/>
    <w:rsid w:val="00417C15"/>
    <w:rsid w:val="00421296"/>
    <w:rsid w:val="00421F93"/>
    <w:rsid w:val="00424920"/>
    <w:rsid w:val="004253C5"/>
    <w:rsid w:val="00426B56"/>
    <w:rsid w:val="00427341"/>
    <w:rsid w:val="00430AE3"/>
    <w:rsid w:val="00430D78"/>
    <w:rsid w:val="00431604"/>
    <w:rsid w:val="004318FC"/>
    <w:rsid w:val="004363DF"/>
    <w:rsid w:val="004447F3"/>
    <w:rsid w:val="00446DF2"/>
    <w:rsid w:val="0044753A"/>
    <w:rsid w:val="00447580"/>
    <w:rsid w:val="004521D0"/>
    <w:rsid w:val="00455EBD"/>
    <w:rsid w:val="00457F34"/>
    <w:rsid w:val="00463B1B"/>
    <w:rsid w:val="0046533B"/>
    <w:rsid w:val="00465FDC"/>
    <w:rsid w:val="0046669C"/>
    <w:rsid w:val="00470040"/>
    <w:rsid w:val="00481C88"/>
    <w:rsid w:val="0048459E"/>
    <w:rsid w:val="004845DF"/>
    <w:rsid w:val="00484D33"/>
    <w:rsid w:val="00484FE7"/>
    <w:rsid w:val="0049011D"/>
    <w:rsid w:val="0049082C"/>
    <w:rsid w:val="0049324B"/>
    <w:rsid w:val="00496A2E"/>
    <w:rsid w:val="004A12A6"/>
    <w:rsid w:val="004A12D0"/>
    <w:rsid w:val="004A2102"/>
    <w:rsid w:val="004A4B36"/>
    <w:rsid w:val="004B214D"/>
    <w:rsid w:val="004B544B"/>
    <w:rsid w:val="004C24E9"/>
    <w:rsid w:val="004C27FC"/>
    <w:rsid w:val="004D0B86"/>
    <w:rsid w:val="004D671B"/>
    <w:rsid w:val="004D6885"/>
    <w:rsid w:val="004D7EB1"/>
    <w:rsid w:val="004E31C2"/>
    <w:rsid w:val="004E44FE"/>
    <w:rsid w:val="004F18B2"/>
    <w:rsid w:val="004F2C82"/>
    <w:rsid w:val="00500CF6"/>
    <w:rsid w:val="00501216"/>
    <w:rsid w:val="00501614"/>
    <w:rsid w:val="00502289"/>
    <w:rsid w:val="00504A4D"/>
    <w:rsid w:val="00504C83"/>
    <w:rsid w:val="0050502F"/>
    <w:rsid w:val="00505AA1"/>
    <w:rsid w:val="00505F6E"/>
    <w:rsid w:val="00510B41"/>
    <w:rsid w:val="00511FC0"/>
    <w:rsid w:val="00512451"/>
    <w:rsid w:val="0051663B"/>
    <w:rsid w:val="0052278C"/>
    <w:rsid w:val="005361BD"/>
    <w:rsid w:val="00542D61"/>
    <w:rsid w:val="00545B8F"/>
    <w:rsid w:val="00547233"/>
    <w:rsid w:val="00552DA5"/>
    <w:rsid w:val="005546A8"/>
    <w:rsid w:val="00554864"/>
    <w:rsid w:val="00555319"/>
    <w:rsid w:val="00556BB5"/>
    <w:rsid w:val="005601A9"/>
    <w:rsid w:val="005615A7"/>
    <w:rsid w:val="00561695"/>
    <w:rsid w:val="00562078"/>
    <w:rsid w:val="0056639C"/>
    <w:rsid w:val="00575BEC"/>
    <w:rsid w:val="005853BD"/>
    <w:rsid w:val="005865CA"/>
    <w:rsid w:val="00586DEC"/>
    <w:rsid w:val="00586E1D"/>
    <w:rsid w:val="005953BC"/>
    <w:rsid w:val="00597C6F"/>
    <w:rsid w:val="005A0861"/>
    <w:rsid w:val="005A0D18"/>
    <w:rsid w:val="005A415D"/>
    <w:rsid w:val="005A5817"/>
    <w:rsid w:val="005A6491"/>
    <w:rsid w:val="005A66C2"/>
    <w:rsid w:val="005A70BF"/>
    <w:rsid w:val="005B230A"/>
    <w:rsid w:val="005B3E15"/>
    <w:rsid w:val="005B474C"/>
    <w:rsid w:val="005B6B8D"/>
    <w:rsid w:val="005C5F65"/>
    <w:rsid w:val="005C6062"/>
    <w:rsid w:val="005D08C4"/>
    <w:rsid w:val="005E22C9"/>
    <w:rsid w:val="005E4649"/>
    <w:rsid w:val="005E7DCC"/>
    <w:rsid w:val="005F3902"/>
    <w:rsid w:val="005F4A06"/>
    <w:rsid w:val="005F4E02"/>
    <w:rsid w:val="005F58FB"/>
    <w:rsid w:val="005F5D78"/>
    <w:rsid w:val="005F5DEF"/>
    <w:rsid w:val="00601150"/>
    <w:rsid w:val="00601990"/>
    <w:rsid w:val="00615156"/>
    <w:rsid w:val="0061578A"/>
    <w:rsid w:val="0061629E"/>
    <w:rsid w:val="006162C1"/>
    <w:rsid w:val="00616303"/>
    <w:rsid w:val="00620438"/>
    <w:rsid w:val="006211E1"/>
    <w:rsid w:val="006247CE"/>
    <w:rsid w:val="0062734B"/>
    <w:rsid w:val="00630EFF"/>
    <w:rsid w:val="006323DE"/>
    <w:rsid w:val="00633CD8"/>
    <w:rsid w:val="00636673"/>
    <w:rsid w:val="00636F76"/>
    <w:rsid w:val="00637E42"/>
    <w:rsid w:val="00640BF2"/>
    <w:rsid w:val="00642A7F"/>
    <w:rsid w:val="00642B95"/>
    <w:rsid w:val="006435B6"/>
    <w:rsid w:val="00644073"/>
    <w:rsid w:val="00644462"/>
    <w:rsid w:val="006474D2"/>
    <w:rsid w:val="0065099B"/>
    <w:rsid w:val="00654EE3"/>
    <w:rsid w:val="006566CD"/>
    <w:rsid w:val="00660DC9"/>
    <w:rsid w:val="00662EF2"/>
    <w:rsid w:val="00663A01"/>
    <w:rsid w:val="00664022"/>
    <w:rsid w:val="0066424A"/>
    <w:rsid w:val="00664EA9"/>
    <w:rsid w:val="00666773"/>
    <w:rsid w:val="0067053A"/>
    <w:rsid w:val="006714D1"/>
    <w:rsid w:val="00677A91"/>
    <w:rsid w:val="00682D44"/>
    <w:rsid w:val="0068303E"/>
    <w:rsid w:val="00683DBE"/>
    <w:rsid w:val="00684176"/>
    <w:rsid w:val="006844B0"/>
    <w:rsid w:val="00685EB5"/>
    <w:rsid w:val="00690157"/>
    <w:rsid w:val="00690B26"/>
    <w:rsid w:val="006923FD"/>
    <w:rsid w:val="0069261B"/>
    <w:rsid w:val="00694B95"/>
    <w:rsid w:val="006A09E7"/>
    <w:rsid w:val="006A0B4E"/>
    <w:rsid w:val="006A2B3F"/>
    <w:rsid w:val="006A31BB"/>
    <w:rsid w:val="006A5E45"/>
    <w:rsid w:val="006A6B54"/>
    <w:rsid w:val="006B11CE"/>
    <w:rsid w:val="006B19F7"/>
    <w:rsid w:val="006B38EA"/>
    <w:rsid w:val="006B5704"/>
    <w:rsid w:val="006B5DAC"/>
    <w:rsid w:val="006B6D95"/>
    <w:rsid w:val="006C2652"/>
    <w:rsid w:val="006C53ED"/>
    <w:rsid w:val="006D02DC"/>
    <w:rsid w:val="006D03AA"/>
    <w:rsid w:val="006D0E5D"/>
    <w:rsid w:val="006D4E2B"/>
    <w:rsid w:val="006E1975"/>
    <w:rsid w:val="006E34E4"/>
    <w:rsid w:val="006E3C40"/>
    <w:rsid w:val="006E42A9"/>
    <w:rsid w:val="006E5155"/>
    <w:rsid w:val="006E522B"/>
    <w:rsid w:val="006E557B"/>
    <w:rsid w:val="006E5925"/>
    <w:rsid w:val="006E64B1"/>
    <w:rsid w:val="006E73B9"/>
    <w:rsid w:val="006E77C0"/>
    <w:rsid w:val="006F05FB"/>
    <w:rsid w:val="006F0B86"/>
    <w:rsid w:val="006F1EF6"/>
    <w:rsid w:val="006F7C73"/>
    <w:rsid w:val="00700CC4"/>
    <w:rsid w:val="00704237"/>
    <w:rsid w:val="00707CAF"/>
    <w:rsid w:val="00710FD9"/>
    <w:rsid w:val="007127F2"/>
    <w:rsid w:val="00713C91"/>
    <w:rsid w:val="007154C1"/>
    <w:rsid w:val="00716A2D"/>
    <w:rsid w:val="0072246D"/>
    <w:rsid w:val="00723EE1"/>
    <w:rsid w:val="00724F3C"/>
    <w:rsid w:val="00727782"/>
    <w:rsid w:val="00733979"/>
    <w:rsid w:val="00733E99"/>
    <w:rsid w:val="00741025"/>
    <w:rsid w:val="007425AB"/>
    <w:rsid w:val="00745C12"/>
    <w:rsid w:val="00750128"/>
    <w:rsid w:val="00756B54"/>
    <w:rsid w:val="00757DB9"/>
    <w:rsid w:val="00760FFF"/>
    <w:rsid w:val="007619B3"/>
    <w:rsid w:val="00763BB2"/>
    <w:rsid w:val="00763C6D"/>
    <w:rsid w:val="00771A66"/>
    <w:rsid w:val="0077321B"/>
    <w:rsid w:val="00774612"/>
    <w:rsid w:val="00776F15"/>
    <w:rsid w:val="007773AC"/>
    <w:rsid w:val="00785236"/>
    <w:rsid w:val="00787DA6"/>
    <w:rsid w:val="0079165D"/>
    <w:rsid w:val="00792018"/>
    <w:rsid w:val="00796047"/>
    <w:rsid w:val="007A04FD"/>
    <w:rsid w:val="007A2ABB"/>
    <w:rsid w:val="007A3836"/>
    <w:rsid w:val="007A4FC5"/>
    <w:rsid w:val="007B2070"/>
    <w:rsid w:val="007B4E86"/>
    <w:rsid w:val="007B7744"/>
    <w:rsid w:val="007B7DE0"/>
    <w:rsid w:val="007B7E35"/>
    <w:rsid w:val="007C0237"/>
    <w:rsid w:val="007C3EBD"/>
    <w:rsid w:val="007C4EAB"/>
    <w:rsid w:val="007C6E1E"/>
    <w:rsid w:val="007C7824"/>
    <w:rsid w:val="007D03A3"/>
    <w:rsid w:val="007D459F"/>
    <w:rsid w:val="007D4A8A"/>
    <w:rsid w:val="007D63CE"/>
    <w:rsid w:val="007D7235"/>
    <w:rsid w:val="007E05DD"/>
    <w:rsid w:val="007E126A"/>
    <w:rsid w:val="007E1556"/>
    <w:rsid w:val="007F0F35"/>
    <w:rsid w:val="007F446F"/>
    <w:rsid w:val="007F5466"/>
    <w:rsid w:val="008051A7"/>
    <w:rsid w:val="00806985"/>
    <w:rsid w:val="008150D5"/>
    <w:rsid w:val="008255C7"/>
    <w:rsid w:val="00825EB5"/>
    <w:rsid w:val="00831AD2"/>
    <w:rsid w:val="008326F1"/>
    <w:rsid w:val="00833533"/>
    <w:rsid w:val="00833792"/>
    <w:rsid w:val="00844404"/>
    <w:rsid w:val="00844EA1"/>
    <w:rsid w:val="00846E44"/>
    <w:rsid w:val="008509BE"/>
    <w:rsid w:val="0085264E"/>
    <w:rsid w:val="00853F12"/>
    <w:rsid w:val="00853FC4"/>
    <w:rsid w:val="00854584"/>
    <w:rsid w:val="008555DE"/>
    <w:rsid w:val="008579DF"/>
    <w:rsid w:val="00860B9E"/>
    <w:rsid w:val="0086223F"/>
    <w:rsid w:val="008624E2"/>
    <w:rsid w:val="0086270F"/>
    <w:rsid w:val="00863A38"/>
    <w:rsid w:val="00864519"/>
    <w:rsid w:val="008653CC"/>
    <w:rsid w:val="008655F9"/>
    <w:rsid w:val="00865726"/>
    <w:rsid w:val="00867F57"/>
    <w:rsid w:val="008739CB"/>
    <w:rsid w:val="00873D0F"/>
    <w:rsid w:val="008770E9"/>
    <w:rsid w:val="0088113C"/>
    <w:rsid w:val="00885048"/>
    <w:rsid w:val="00885F18"/>
    <w:rsid w:val="0089156D"/>
    <w:rsid w:val="008923E1"/>
    <w:rsid w:val="008924CA"/>
    <w:rsid w:val="00895C40"/>
    <w:rsid w:val="00897206"/>
    <w:rsid w:val="008A129D"/>
    <w:rsid w:val="008A1AC9"/>
    <w:rsid w:val="008A2E5B"/>
    <w:rsid w:val="008A6D05"/>
    <w:rsid w:val="008A78E7"/>
    <w:rsid w:val="008A7EC7"/>
    <w:rsid w:val="008B1DDB"/>
    <w:rsid w:val="008C0814"/>
    <w:rsid w:val="008C2196"/>
    <w:rsid w:val="008C4C23"/>
    <w:rsid w:val="008C680F"/>
    <w:rsid w:val="008D0F9C"/>
    <w:rsid w:val="008D66A9"/>
    <w:rsid w:val="008E129B"/>
    <w:rsid w:val="008E407B"/>
    <w:rsid w:val="008F63B3"/>
    <w:rsid w:val="008F6C0F"/>
    <w:rsid w:val="00902987"/>
    <w:rsid w:val="0090528A"/>
    <w:rsid w:val="00907BBD"/>
    <w:rsid w:val="00912C24"/>
    <w:rsid w:val="00915EBA"/>
    <w:rsid w:val="0092135E"/>
    <w:rsid w:val="00922F8F"/>
    <w:rsid w:val="0092318D"/>
    <w:rsid w:val="00926FC3"/>
    <w:rsid w:val="00937FB2"/>
    <w:rsid w:val="00947A8C"/>
    <w:rsid w:val="0095600B"/>
    <w:rsid w:val="00964991"/>
    <w:rsid w:val="00964F05"/>
    <w:rsid w:val="00965FAA"/>
    <w:rsid w:val="009777C7"/>
    <w:rsid w:val="009804A8"/>
    <w:rsid w:val="009825A3"/>
    <w:rsid w:val="009874C6"/>
    <w:rsid w:val="00992E21"/>
    <w:rsid w:val="00994CFE"/>
    <w:rsid w:val="009A0BD5"/>
    <w:rsid w:val="009A1259"/>
    <w:rsid w:val="009A4CDC"/>
    <w:rsid w:val="009B12AD"/>
    <w:rsid w:val="009B7BD3"/>
    <w:rsid w:val="009C256C"/>
    <w:rsid w:val="009D24C2"/>
    <w:rsid w:val="009D4549"/>
    <w:rsid w:val="009E00E3"/>
    <w:rsid w:val="009E2CB7"/>
    <w:rsid w:val="009E65C0"/>
    <w:rsid w:val="009F0396"/>
    <w:rsid w:val="009F0AC2"/>
    <w:rsid w:val="009F2505"/>
    <w:rsid w:val="009F2F16"/>
    <w:rsid w:val="009F3CC4"/>
    <w:rsid w:val="009F7593"/>
    <w:rsid w:val="00A00585"/>
    <w:rsid w:val="00A024D7"/>
    <w:rsid w:val="00A03C6A"/>
    <w:rsid w:val="00A04650"/>
    <w:rsid w:val="00A10756"/>
    <w:rsid w:val="00A124D5"/>
    <w:rsid w:val="00A15DD5"/>
    <w:rsid w:val="00A164E7"/>
    <w:rsid w:val="00A1796E"/>
    <w:rsid w:val="00A27FA6"/>
    <w:rsid w:val="00A3251B"/>
    <w:rsid w:val="00A34D30"/>
    <w:rsid w:val="00A34EE3"/>
    <w:rsid w:val="00A35BB8"/>
    <w:rsid w:val="00A36EB9"/>
    <w:rsid w:val="00A4202C"/>
    <w:rsid w:val="00A42064"/>
    <w:rsid w:val="00A424AC"/>
    <w:rsid w:val="00A433AA"/>
    <w:rsid w:val="00A439B0"/>
    <w:rsid w:val="00A60DA6"/>
    <w:rsid w:val="00A629A8"/>
    <w:rsid w:val="00A7023E"/>
    <w:rsid w:val="00A70EDD"/>
    <w:rsid w:val="00A71CAA"/>
    <w:rsid w:val="00A802F7"/>
    <w:rsid w:val="00A80C25"/>
    <w:rsid w:val="00A80FBE"/>
    <w:rsid w:val="00A8182A"/>
    <w:rsid w:val="00A81DEE"/>
    <w:rsid w:val="00A85CA0"/>
    <w:rsid w:val="00A91D4E"/>
    <w:rsid w:val="00A93999"/>
    <w:rsid w:val="00A942D2"/>
    <w:rsid w:val="00A96295"/>
    <w:rsid w:val="00A975C1"/>
    <w:rsid w:val="00AA14E7"/>
    <w:rsid w:val="00AA282F"/>
    <w:rsid w:val="00AA3961"/>
    <w:rsid w:val="00AB65AA"/>
    <w:rsid w:val="00AC1462"/>
    <w:rsid w:val="00AC33C6"/>
    <w:rsid w:val="00AC3F61"/>
    <w:rsid w:val="00AC56D3"/>
    <w:rsid w:val="00AC743C"/>
    <w:rsid w:val="00AD2B7D"/>
    <w:rsid w:val="00AD2B8A"/>
    <w:rsid w:val="00AD780A"/>
    <w:rsid w:val="00AE4675"/>
    <w:rsid w:val="00AE546A"/>
    <w:rsid w:val="00AF0C2E"/>
    <w:rsid w:val="00AF1308"/>
    <w:rsid w:val="00AF2E72"/>
    <w:rsid w:val="00AF5EAC"/>
    <w:rsid w:val="00AF72EB"/>
    <w:rsid w:val="00B0132A"/>
    <w:rsid w:val="00B05531"/>
    <w:rsid w:val="00B064E9"/>
    <w:rsid w:val="00B11B7B"/>
    <w:rsid w:val="00B158CB"/>
    <w:rsid w:val="00B17D38"/>
    <w:rsid w:val="00B21804"/>
    <w:rsid w:val="00B21985"/>
    <w:rsid w:val="00B236D8"/>
    <w:rsid w:val="00B453DC"/>
    <w:rsid w:val="00B5209E"/>
    <w:rsid w:val="00B534C0"/>
    <w:rsid w:val="00B63881"/>
    <w:rsid w:val="00B63A10"/>
    <w:rsid w:val="00B663AB"/>
    <w:rsid w:val="00B66B19"/>
    <w:rsid w:val="00B66F57"/>
    <w:rsid w:val="00B7113D"/>
    <w:rsid w:val="00B76DE9"/>
    <w:rsid w:val="00B77395"/>
    <w:rsid w:val="00B77DE1"/>
    <w:rsid w:val="00B82DF7"/>
    <w:rsid w:val="00B93E5F"/>
    <w:rsid w:val="00B958BA"/>
    <w:rsid w:val="00B96E0E"/>
    <w:rsid w:val="00B97B71"/>
    <w:rsid w:val="00BA45A7"/>
    <w:rsid w:val="00BB0F88"/>
    <w:rsid w:val="00BB1870"/>
    <w:rsid w:val="00BB27B0"/>
    <w:rsid w:val="00BB3FC8"/>
    <w:rsid w:val="00BB4FFF"/>
    <w:rsid w:val="00BB52BB"/>
    <w:rsid w:val="00BB7B57"/>
    <w:rsid w:val="00BD6BB8"/>
    <w:rsid w:val="00BE083F"/>
    <w:rsid w:val="00BE2224"/>
    <w:rsid w:val="00BE33E3"/>
    <w:rsid w:val="00BE788A"/>
    <w:rsid w:val="00BF06A5"/>
    <w:rsid w:val="00BF2BEC"/>
    <w:rsid w:val="00BF34C6"/>
    <w:rsid w:val="00C01FF9"/>
    <w:rsid w:val="00C0292E"/>
    <w:rsid w:val="00C04B0E"/>
    <w:rsid w:val="00C050C9"/>
    <w:rsid w:val="00C05564"/>
    <w:rsid w:val="00C14F08"/>
    <w:rsid w:val="00C15A7F"/>
    <w:rsid w:val="00C17582"/>
    <w:rsid w:val="00C22F42"/>
    <w:rsid w:val="00C240DF"/>
    <w:rsid w:val="00C24A03"/>
    <w:rsid w:val="00C25A16"/>
    <w:rsid w:val="00C35AE6"/>
    <w:rsid w:val="00C35F34"/>
    <w:rsid w:val="00C47682"/>
    <w:rsid w:val="00C55EC2"/>
    <w:rsid w:val="00C5712B"/>
    <w:rsid w:val="00C621C7"/>
    <w:rsid w:val="00C63194"/>
    <w:rsid w:val="00C63391"/>
    <w:rsid w:val="00C66445"/>
    <w:rsid w:val="00C74E36"/>
    <w:rsid w:val="00C76854"/>
    <w:rsid w:val="00C77169"/>
    <w:rsid w:val="00C77411"/>
    <w:rsid w:val="00C808A9"/>
    <w:rsid w:val="00C837C0"/>
    <w:rsid w:val="00C85248"/>
    <w:rsid w:val="00C860FB"/>
    <w:rsid w:val="00C8788C"/>
    <w:rsid w:val="00C906EC"/>
    <w:rsid w:val="00C9349C"/>
    <w:rsid w:val="00C956DF"/>
    <w:rsid w:val="00C96454"/>
    <w:rsid w:val="00C9739A"/>
    <w:rsid w:val="00CA268A"/>
    <w:rsid w:val="00CA4A2B"/>
    <w:rsid w:val="00CA58EB"/>
    <w:rsid w:val="00CA78DD"/>
    <w:rsid w:val="00CB0D15"/>
    <w:rsid w:val="00CB20B2"/>
    <w:rsid w:val="00CB2503"/>
    <w:rsid w:val="00CB3AFB"/>
    <w:rsid w:val="00CB4DB9"/>
    <w:rsid w:val="00CC17D9"/>
    <w:rsid w:val="00CC2CA4"/>
    <w:rsid w:val="00CC5BF0"/>
    <w:rsid w:val="00CD50F3"/>
    <w:rsid w:val="00CD5BC9"/>
    <w:rsid w:val="00CD6D6A"/>
    <w:rsid w:val="00CE35E7"/>
    <w:rsid w:val="00CE4A6C"/>
    <w:rsid w:val="00CE6950"/>
    <w:rsid w:val="00CF3964"/>
    <w:rsid w:val="00CF7049"/>
    <w:rsid w:val="00CF7F6C"/>
    <w:rsid w:val="00D10CBB"/>
    <w:rsid w:val="00D127B9"/>
    <w:rsid w:val="00D134CE"/>
    <w:rsid w:val="00D1692F"/>
    <w:rsid w:val="00D22F94"/>
    <w:rsid w:val="00D31952"/>
    <w:rsid w:val="00D31B6A"/>
    <w:rsid w:val="00D3360D"/>
    <w:rsid w:val="00D3373C"/>
    <w:rsid w:val="00D34D64"/>
    <w:rsid w:val="00D36320"/>
    <w:rsid w:val="00D4019A"/>
    <w:rsid w:val="00D42865"/>
    <w:rsid w:val="00D43327"/>
    <w:rsid w:val="00D478B5"/>
    <w:rsid w:val="00D52B3B"/>
    <w:rsid w:val="00D52E36"/>
    <w:rsid w:val="00D552FC"/>
    <w:rsid w:val="00D60D2D"/>
    <w:rsid w:val="00D62C22"/>
    <w:rsid w:val="00D65172"/>
    <w:rsid w:val="00D7145A"/>
    <w:rsid w:val="00D75DBC"/>
    <w:rsid w:val="00D842FD"/>
    <w:rsid w:val="00D905E4"/>
    <w:rsid w:val="00D90FD8"/>
    <w:rsid w:val="00D912C4"/>
    <w:rsid w:val="00D925CC"/>
    <w:rsid w:val="00D964BA"/>
    <w:rsid w:val="00D96639"/>
    <w:rsid w:val="00D97DE4"/>
    <w:rsid w:val="00DA332F"/>
    <w:rsid w:val="00DA3F1D"/>
    <w:rsid w:val="00DA4E0C"/>
    <w:rsid w:val="00DB0B8E"/>
    <w:rsid w:val="00DB1590"/>
    <w:rsid w:val="00DB42AA"/>
    <w:rsid w:val="00DB4489"/>
    <w:rsid w:val="00DB773A"/>
    <w:rsid w:val="00DB7D1C"/>
    <w:rsid w:val="00DC027A"/>
    <w:rsid w:val="00DC0AD9"/>
    <w:rsid w:val="00DD0189"/>
    <w:rsid w:val="00DD651B"/>
    <w:rsid w:val="00DE0AE6"/>
    <w:rsid w:val="00DE0B7B"/>
    <w:rsid w:val="00DE0CAE"/>
    <w:rsid w:val="00DE3255"/>
    <w:rsid w:val="00DE41F0"/>
    <w:rsid w:val="00DF1F5C"/>
    <w:rsid w:val="00DF4A7A"/>
    <w:rsid w:val="00DF5DA1"/>
    <w:rsid w:val="00E00E1B"/>
    <w:rsid w:val="00E00FDF"/>
    <w:rsid w:val="00E02B6E"/>
    <w:rsid w:val="00E02C94"/>
    <w:rsid w:val="00E05230"/>
    <w:rsid w:val="00E13867"/>
    <w:rsid w:val="00E13A1D"/>
    <w:rsid w:val="00E146BF"/>
    <w:rsid w:val="00E156EB"/>
    <w:rsid w:val="00E23510"/>
    <w:rsid w:val="00E25969"/>
    <w:rsid w:val="00E26023"/>
    <w:rsid w:val="00E303AF"/>
    <w:rsid w:val="00E34CF6"/>
    <w:rsid w:val="00E36B92"/>
    <w:rsid w:val="00E37DD8"/>
    <w:rsid w:val="00E43AD7"/>
    <w:rsid w:val="00E50CC7"/>
    <w:rsid w:val="00E51266"/>
    <w:rsid w:val="00E51A50"/>
    <w:rsid w:val="00E53D8B"/>
    <w:rsid w:val="00E54DAA"/>
    <w:rsid w:val="00E55495"/>
    <w:rsid w:val="00E558C3"/>
    <w:rsid w:val="00E63CD1"/>
    <w:rsid w:val="00E74573"/>
    <w:rsid w:val="00E75408"/>
    <w:rsid w:val="00E77851"/>
    <w:rsid w:val="00E81456"/>
    <w:rsid w:val="00E82176"/>
    <w:rsid w:val="00E844A4"/>
    <w:rsid w:val="00E858B8"/>
    <w:rsid w:val="00E877EE"/>
    <w:rsid w:val="00E87D02"/>
    <w:rsid w:val="00E90144"/>
    <w:rsid w:val="00E91505"/>
    <w:rsid w:val="00E927E5"/>
    <w:rsid w:val="00E928E8"/>
    <w:rsid w:val="00E93E60"/>
    <w:rsid w:val="00E940B8"/>
    <w:rsid w:val="00E94884"/>
    <w:rsid w:val="00EA240C"/>
    <w:rsid w:val="00EA4FA7"/>
    <w:rsid w:val="00EA5BC8"/>
    <w:rsid w:val="00EA6B5D"/>
    <w:rsid w:val="00EA6CD4"/>
    <w:rsid w:val="00EA788F"/>
    <w:rsid w:val="00EB6F17"/>
    <w:rsid w:val="00EC1183"/>
    <w:rsid w:val="00ED2946"/>
    <w:rsid w:val="00ED5026"/>
    <w:rsid w:val="00EE1978"/>
    <w:rsid w:val="00EE1F1C"/>
    <w:rsid w:val="00EF2ED0"/>
    <w:rsid w:val="00EF2F5C"/>
    <w:rsid w:val="00EF45EB"/>
    <w:rsid w:val="00EF5857"/>
    <w:rsid w:val="00F018A6"/>
    <w:rsid w:val="00F033F2"/>
    <w:rsid w:val="00F04A32"/>
    <w:rsid w:val="00F04A6E"/>
    <w:rsid w:val="00F0722B"/>
    <w:rsid w:val="00F07E82"/>
    <w:rsid w:val="00F11A88"/>
    <w:rsid w:val="00F138ED"/>
    <w:rsid w:val="00F15C35"/>
    <w:rsid w:val="00F1673D"/>
    <w:rsid w:val="00F26D06"/>
    <w:rsid w:val="00F334D0"/>
    <w:rsid w:val="00F44665"/>
    <w:rsid w:val="00F44D75"/>
    <w:rsid w:val="00F554DB"/>
    <w:rsid w:val="00F606EA"/>
    <w:rsid w:val="00F67FE3"/>
    <w:rsid w:val="00F81743"/>
    <w:rsid w:val="00F851FE"/>
    <w:rsid w:val="00F95C27"/>
    <w:rsid w:val="00F97B1F"/>
    <w:rsid w:val="00FA0C06"/>
    <w:rsid w:val="00FA13A5"/>
    <w:rsid w:val="00FA4992"/>
    <w:rsid w:val="00FA5336"/>
    <w:rsid w:val="00FB12E7"/>
    <w:rsid w:val="00FB2314"/>
    <w:rsid w:val="00FB3609"/>
    <w:rsid w:val="00FB42CF"/>
    <w:rsid w:val="00FB60F0"/>
    <w:rsid w:val="00FC4520"/>
    <w:rsid w:val="00FC48B7"/>
    <w:rsid w:val="00FC50BF"/>
    <w:rsid w:val="00FC52B8"/>
    <w:rsid w:val="00FD4554"/>
    <w:rsid w:val="00FD4C4B"/>
    <w:rsid w:val="00FE38D9"/>
    <w:rsid w:val="00FE3985"/>
    <w:rsid w:val="00FE4583"/>
    <w:rsid w:val="00FE5C07"/>
    <w:rsid w:val="00FE6896"/>
    <w:rsid w:val="00FF0F2C"/>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1"/>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1">
    <w:name w:val="Unresolved Mention1"/>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 w:type="character" w:styleId="CommentReference">
    <w:name w:val="annotation reference"/>
    <w:basedOn w:val="DefaultParagraphFont"/>
    <w:semiHidden/>
    <w:unhideWhenUsed/>
    <w:rsid w:val="00BB7B57"/>
    <w:rPr>
      <w:sz w:val="16"/>
      <w:szCs w:val="16"/>
    </w:rPr>
  </w:style>
  <w:style w:type="paragraph" w:styleId="CommentText">
    <w:name w:val="annotation text"/>
    <w:basedOn w:val="Normal"/>
    <w:link w:val="CommentTextChar"/>
    <w:unhideWhenUsed/>
    <w:rsid w:val="00BB7B57"/>
    <w:pPr>
      <w:spacing w:line="240" w:lineRule="auto"/>
    </w:pPr>
    <w:rPr>
      <w:sz w:val="20"/>
    </w:rPr>
  </w:style>
  <w:style w:type="character" w:customStyle="1" w:styleId="CommentTextChar">
    <w:name w:val="Comment Text Char"/>
    <w:basedOn w:val="DefaultParagraphFont"/>
    <w:link w:val="CommentText"/>
    <w:rsid w:val="00BB7B57"/>
    <w:rPr>
      <w:rFonts w:ascii="Arial" w:hAnsi="Arial"/>
      <w:kern w:val="25"/>
      <w:lang w:eastAsia="en-US"/>
    </w:rPr>
  </w:style>
  <w:style w:type="paragraph" w:styleId="CommentSubject">
    <w:name w:val="annotation subject"/>
    <w:basedOn w:val="CommentText"/>
    <w:next w:val="CommentText"/>
    <w:link w:val="CommentSubjectChar"/>
    <w:semiHidden/>
    <w:unhideWhenUsed/>
    <w:rsid w:val="00BB7B57"/>
    <w:rPr>
      <w:b/>
      <w:bCs/>
    </w:rPr>
  </w:style>
  <w:style w:type="character" w:customStyle="1" w:styleId="CommentSubjectChar">
    <w:name w:val="Comment Subject Char"/>
    <w:basedOn w:val="CommentTextChar"/>
    <w:link w:val="CommentSubject"/>
    <w:semiHidden/>
    <w:rsid w:val="00BB7B57"/>
    <w:rPr>
      <w:rFonts w:ascii="Arial" w:hAnsi="Arial"/>
      <w:b/>
      <w:bCs/>
      <w:kern w:val="25"/>
      <w:lang w:eastAsia="en-US"/>
    </w:rPr>
  </w:style>
  <w:style w:type="paragraph" w:styleId="NormalWeb">
    <w:name w:val="Normal (Web)"/>
    <w:basedOn w:val="Normal"/>
    <w:uiPriority w:val="99"/>
    <w:unhideWhenUsed/>
    <w:rsid w:val="009F759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ZA"/>
    </w:rPr>
  </w:style>
  <w:style w:type="paragraph" w:styleId="Revision">
    <w:name w:val="Revision"/>
    <w:hidden/>
    <w:uiPriority w:val="99"/>
    <w:semiHidden/>
    <w:rsid w:val="00C9739A"/>
    <w:rPr>
      <w:rFonts w:ascii="Arial" w:hAnsi="Arial"/>
      <w:kern w:val="25"/>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6381">
      <w:bodyDiv w:val="1"/>
      <w:marLeft w:val="0"/>
      <w:marRight w:val="0"/>
      <w:marTop w:val="0"/>
      <w:marBottom w:val="0"/>
      <w:divBdr>
        <w:top w:val="none" w:sz="0" w:space="0" w:color="auto"/>
        <w:left w:val="none" w:sz="0" w:space="0" w:color="auto"/>
        <w:bottom w:val="none" w:sz="0" w:space="0" w:color="auto"/>
        <w:right w:val="none" w:sz="0" w:space="0" w:color="auto"/>
      </w:divBdr>
      <w:divsChild>
        <w:div w:id="1356734189">
          <w:marLeft w:val="0"/>
          <w:marRight w:val="0"/>
          <w:marTop w:val="0"/>
          <w:marBottom w:val="0"/>
          <w:divBdr>
            <w:top w:val="none" w:sz="0" w:space="0" w:color="auto"/>
            <w:left w:val="none" w:sz="0" w:space="0" w:color="auto"/>
            <w:bottom w:val="none" w:sz="0" w:space="0" w:color="auto"/>
            <w:right w:val="none" w:sz="0" w:space="0" w:color="auto"/>
          </w:divBdr>
          <w:divsChild>
            <w:div w:id="2070570527">
              <w:marLeft w:val="0"/>
              <w:marRight w:val="0"/>
              <w:marTop w:val="0"/>
              <w:marBottom w:val="0"/>
              <w:divBdr>
                <w:top w:val="none" w:sz="0" w:space="0" w:color="auto"/>
                <w:left w:val="none" w:sz="0" w:space="0" w:color="auto"/>
                <w:bottom w:val="none" w:sz="0" w:space="0" w:color="auto"/>
                <w:right w:val="none" w:sz="0" w:space="0" w:color="auto"/>
              </w:divBdr>
              <w:divsChild>
                <w:div w:id="999775639">
                  <w:marLeft w:val="0"/>
                  <w:marRight w:val="0"/>
                  <w:marTop w:val="0"/>
                  <w:marBottom w:val="0"/>
                  <w:divBdr>
                    <w:top w:val="none" w:sz="0" w:space="0" w:color="auto"/>
                    <w:left w:val="none" w:sz="0" w:space="0" w:color="auto"/>
                    <w:bottom w:val="none" w:sz="0" w:space="0" w:color="auto"/>
                    <w:right w:val="none" w:sz="0" w:space="0" w:color="auto"/>
                  </w:divBdr>
                  <w:divsChild>
                    <w:div w:id="17394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32197">
      <w:bodyDiv w:val="1"/>
      <w:marLeft w:val="0"/>
      <w:marRight w:val="0"/>
      <w:marTop w:val="0"/>
      <w:marBottom w:val="0"/>
      <w:divBdr>
        <w:top w:val="none" w:sz="0" w:space="0" w:color="auto"/>
        <w:left w:val="none" w:sz="0" w:space="0" w:color="auto"/>
        <w:bottom w:val="none" w:sz="0" w:space="0" w:color="auto"/>
        <w:right w:val="none" w:sz="0" w:space="0" w:color="auto"/>
      </w:divBdr>
    </w:div>
    <w:div w:id="293755137">
      <w:bodyDiv w:val="1"/>
      <w:marLeft w:val="0"/>
      <w:marRight w:val="0"/>
      <w:marTop w:val="0"/>
      <w:marBottom w:val="0"/>
      <w:divBdr>
        <w:top w:val="none" w:sz="0" w:space="0" w:color="auto"/>
        <w:left w:val="none" w:sz="0" w:space="0" w:color="auto"/>
        <w:bottom w:val="none" w:sz="0" w:space="0" w:color="auto"/>
        <w:right w:val="none" w:sz="0" w:space="0" w:color="auto"/>
      </w:divBdr>
    </w:div>
    <w:div w:id="355616199">
      <w:bodyDiv w:val="1"/>
      <w:marLeft w:val="0"/>
      <w:marRight w:val="0"/>
      <w:marTop w:val="0"/>
      <w:marBottom w:val="0"/>
      <w:divBdr>
        <w:top w:val="none" w:sz="0" w:space="0" w:color="auto"/>
        <w:left w:val="none" w:sz="0" w:space="0" w:color="auto"/>
        <w:bottom w:val="none" w:sz="0" w:space="0" w:color="auto"/>
        <w:right w:val="none" w:sz="0" w:space="0" w:color="auto"/>
      </w:divBdr>
    </w:div>
    <w:div w:id="456220928">
      <w:bodyDiv w:val="1"/>
      <w:marLeft w:val="0"/>
      <w:marRight w:val="0"/>
      <w:marTop w:val="0"/>
      <w:marBottom w:val="0"/>
      <w:divBdr>
        <w:top w:val="none" w:sz="0" w:space="0" w:color="auto"/>
        <w:left w:val="none" w:sz="0" w:space="0" w:color="auto"/>
        <w:bottom w:val="none" w:sz="0" w:space="0" w:color="auto"/>
        <w:right w:val="none" w:sz="0" w:space="0" w:color="auto"/>
      </w:divBdr>
    </w:div>
    <w:div w:id="664436645">
      <w:bodyDiv w:val="1"/>
      <w:marLeft w:val="0"/>
      <w:marRight w:val="0"/>
      <w:marTop w:val="0"/>
      <w:marBottom w:val="0"/>
      <w:divBdr>
        <w:top w:val="none" w:sz="0" w:space="0" w:color="auto"/>
        <w:left w:val="none" w:sz="0" w:space="0" w:color="auto"/>
        <w:bottom w:val="none" w:sz="0" w:space="0" w:color="auto"/>
        <w:right w:val="none" w:sz="0" w:space="0" w:color="auto"/>
      </w:divBdr>
    </w:div>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714040656">
      <w:bodyDiv w:val="1"/>
      <w:marLeft w:val="0"/>
      <w:marRight w:val="0"/>
      <w:marTop w:val="0"/>
      <w:marBottom w:val="0"/>
      <w:divBdr>
        <w:top w:val="none" w:sz="0" w:space="0" w:color="auto"/>
        <w:left w:val="none" w:sz="0" w:space="0" w:color="auto"/>
        <w:bottom w:val="none" w:sz="0" w:space="0" w:color="auto"/>
        <w:right w:val="none" w:sz="0" w:space="0" w:color="auto"/>
      </w:divBdr>
    </w:div>
    <w:div w:id="801846258">
      <w:bodyDiv w:val="1"/>
      <w:marLeft w:val="0"/>
      <w:marRight w:val="0"/>
      <w:marTop w:val="0"/>
      <w:marBottom w:val="0"/>
      <w:divBdr>
        <w:top w:val="none" w:sz="0" w:space="0" w:color="auto"/>
        <w:left w:val="none" w:sz="0" w:space="0" w:color="auto"/>
        <w:bottom w:val="none" w:sz="0" w:space="0" w:color="auto"/>
        <w:right w:val="none" w:sz="0" w:space="0" w:color="auto"/>
      </w:divBdr>
    </w:div>
    <w:div w:id="822309839">
      <w:bodyDiv w:val="1"/>
      <w:marLeft w:val="0"/>
      <w:marRight w:val="0"/>
      <w:marTop w:val="0"/>
      <w:marBottom w:val="0"/>
      <w:divBdr>
        <w:top w:val="none" w:sz="0" w:space="0" w:color="auto"/>
        <w:left w:val="none" w:sz="0" w:space="0" w:color="auto"/>
        <w:bottom w:val="none" w:sz="0" w:space="0" w:color="auto"/>
        <w:right w:val="none" w:sz="0" w:space="0" w:color="auto"/>
      </w:divBdr>
      <w:divsChild>
        <w:div w:id="717097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081877626">
      <w:bodyDiv w:val="1"/>
      <w:marLeft w:val="0"/>
      <w:marRight w:val="0"/>
      <w:marTop w:val="0"/>
      <w:marBottom w:val="0"/>
      <w:divBdr>
        <w:top w:val="none" w:sz="0" w:space="0" w:color="auto"/>
        <w:left w:val="none" w:sz="0" w:space="0" w:color="auto"/>
        <w:bottom w:val="none" w:sz="0" w:space="0" w:color="auto"/>
        <w:right w:val="none" w:sz="0" w:space="0" w:color="auto"/>
      </w:divBdr>
    </w:div>
    <w:div w:id="1175460938">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34083898">
      <w:bodyDiv w:val="1"/>
      <w:marLeft w:val="0"/>
      <w:marRight w:val="0"/>
      <w:marTop w:val="0"/>
      <w:marBottom w:val="0"/>
      <w:divBdr>
        <w:top w:val="none" w:sz="0" w:space="0" w:color="auto"/>
        <w:left w:val="none" w:sz="0" w:space="0" w:color="auto"/>
        <w:bottom w:val="none" w:sz="0" w:space="0" w:color="auto"/>
        <w:right w:val="none" w:sz="0" w:space="0" w:color="auto"/>
      </w:divBdr>
    </w:div>
    <w:div w:id="1444616439">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 w:id="1840921472">
      <w:bodyDiv w:val="1"/>
      <w:marLeft w:val="0"/>
      <w:marRight w:val="0"/>
      <w:marTop w:val="0"/>
      <w:marBottom w:val="0"/>
      <w:divBdr>
        <w:top w:val="none" w:sz="0" w:space="0" w:color="auto"/>
        <w:left w:val="none" w:sz="0" w:space="0" w:color="auto"/>
        <w:bottom w:val="none" w:sz="0" w:space="0" w:color="auto"/>
        <w:right w:val="none" w:sz="0" w:space="0" w:color="auto"/>
      </w:divBdr>
      <w:divsChild>
        <w:div w:id="375551137">
          <w:marLeft w:val="0"/>
          <w:marRight w:val="0"/>
          <w:marTop w:val="0"/>
          <w:marBottom w:val="0"/>
          <w:divBdr>
            <w:top w:val="none" w:sz="0" w:space="0" w:color="auto"/>
            <w:left w:val="none" w:sz="0" w:space="0" w:color="auto"/>
            <w:bottom w:val="none" w:sz="0" w:space="0" w:color="auto"/>
            <w:right w:val="none" w:sz="0" w:space="0" w:color="auto"/>
          </w:divBdr>
          <w:divsChild>
            <w:div w:id="40174342">
              <w:marLeft w:val="0"/>
              <w:marRight w:val="0"/>
              <w:marTop w:val="0"/>
              <w:marBottom w:val="0"/>
              <w:divBdr>
                <w:top w:val="none" w:sz="0" w:space="0" w:color="auto"/>
                <w:left w:val="none" w:sz="0" w:space="0" w:color="auto"/>
                <w:bottom w:val="none" w:sz="0" w:space="0" w:color="auto"/>
                <w:right w:val="none" w:sz="0" w:space="0" w:color="auto"/>
              </w:divBdr>
              <w:divsChild>
                <w:div w:id="830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3398">
      <w:bodyDiv w:val="1"/>
      <w:marLeft w:val="0"/>
      <w:marRight w:val="0"/>
      <w:marTop w:val="0"/>
      <w:marBottom w:val="0"/>
      <w:divBdr>
        <w:top w:val="none" w:sz="0" w:space="0" w:color="auto"/>
        <w:left w:val="none" w:sz="0" w:space="0" w:color="auto"/>
        <w:bottom w:val="none" w:sz="0" w:space="0" w:color="auto"/>
        <w:right w:val="none" w:sz="0" w:space="0" w:color="auto"/>
      </w:divBdr>
    </w:div>
    <w:div w:id="1907841551">
      <w:bodyDiv w:val="1"/>
      <w:marLeft w:val="0"/>
      <w:marRight w:val="0"/>
      <w:marTop w:val="0"/>
      <w:marBottom w:val="0"/>
      <w:divBdr>
        <w:top w:val="none" w:sz="0" w:space="0" w:color="auto"/>
        <w:left w:val="none" w:sz="0" w:space="0" w:color="auto"/>
        <w:bottom w:val="none" w:sz="0" w:space="0" w:color="auto"/>
        <w:right w:val="none" w:sz="0" w:space="0" w:color="auto"/>
      </w:divBdr>
    </w:div>
    <w:div w:id="2019042913">
      <w:bodyDiv w:val="1"/>
      <w:marLeft w:val="0"/>
      <w:marRight w:val="0"/>
      <w:marTop w:val="0"/>
      <w:marBottom w:val="0"/>
      <w:divBdr>
        <w:top w:val="none" w:sz="0" w:space="0" w:color="auto"/>
        <w:left w:val="none" w:sz="0" w:space="0" w:color="auto"/>
        <w:bottom w:val="none" w:sz="0" w:space="0" w:color="auto"/>
        <w:right w:val="none" w:sz="0" w:space="0" w:color="auto"/>
      </w:divBdr>
    </w:div>
    <w:div w:id="21216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95%20%284%29%20SA%20631" TargetMode="External"/><Relationship Id="rId2" Type="http://schemas.openxmlformats.org/officeDocument/2006/relationships/hyperlink" Target="http://www.saflii.org/za/cases/ZACC/1995/7.html" TargetMode="External"/><Relationship Id="rId1" Type="http://schemas.openxmlformats.org/officeDocument/2006/relationships/hyperlink" Target="https://www.saflii.org/cgi-bin/LawCite?cit=1911%20TPD%208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09E4-9C98-4797-9544-C6B8F7D9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SGHC</Template>
  <TotalTime>2</TotalTime>
  <Pages>28</Pages>
  <Words>5803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Mary Bruce</cp:lastModifiedBy>
  <cp:revision>4</cp:revision>
  <cp:lastPrinted>2023-11-23T15:14:00Z</cp:lastPrinted>
  <dcterms:created xsi:type="dcterms:W3CDTF">2023-11-24T05:30:00Z</dcterms:created>
  <dcterms:modified xsi:type="dcterms:W3CDTF">2023-12-08T12:32:00Z</dcterms:modified>
</cp:coreProperties>
</file>