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B2EDC" w14:textId="77777777" w:rsidR="00F86167" w:rsidRDefault="00F86167" w:rsidP="00BA5FCA">
      <w:pPr>
        <w:jc w:val="center"/>
        <w:rPr>
          <w:rFonts w:cs="Arial"/>
          <w:b/>
          <w:bCs/>
          <w:lang w:eastAsia="en-GB"/>
        </w:rPr>
      </w:pPr>
    </w:p>
    <w:p w14:paraId="4EF85F86" w14:textId="77777777" w:rsidR="00F86167" w:rsidRDefault="00F86167" w:rsidP="00BA5FCA">
      <w:pPr>
        <w:jc w:val="center"/>
        <w:rPr>
          <w:rFonts w:cs="Arial"/>
          <w:b/>
          <w:bCs/>
          <w:lang w:eastAsia="en-GB"/>
        </w:rPr>
      </w:pPr>
    </w:p>
    <w:p w14:paraId="3FBB77C2" w14:textId="77777777" w:rsidR="00F86167" w:rsidRDefault="00F86167" w:rsidP="00BA5FCA">
      <w:pPr>
        <w:jc w:val="center"/>
        <w:rPr>
          <w:rFonts w:cs="Arial"/>
          <w:b/>
          <w:bCs/>
          <w:lang w:eastAsia="en-GB"/>
        </w:rPr>
      </w:pPr>
    </w:p>
    <w:p w14:paraId="4B6D2039" w14:textId="39990E04" w:rsidR="00300D09" w:rsidRDefault="00300D09" w:rsidP="00BA5FCA">
      <w:pPr>
        <w:jc w:val="center"/>
        <w:rPr>
          <w:rFonts w:cs="Arial"/>
          <w:b/>
          <w:bCs/>
          <w:lang w:eastAsia="en-GB"/>
        </w:rPr>
      </w:pPr>
      <w:r w:rsidRPr="009624B9">
        <w:rPr>
          <w:rFonts w:cs="Arial"/>
          <w:b/>
          <w:bCs/>
          <w:lang w:eastAsia="en-GB"/>
        </w:rPr>
        <w:t>REPUBLIC OF SOUTH AFRICA</w:t>
      </w:r>
    </w:p>
    <w:p w14:paraId="22192B77" w14:textId="77777777" w:rsidR="0083621B" w:rsidRPr="009624B9" w:rsidRDefault="0083621B" w:rsidP="00BA5FCA">
      <w:pPr>
        <w:jc w:val="center"/>
        <w:rPr>
          <w:rFonts w:cs="Arial"/>
          <w:b/>
          <w:bCs/>
          <w:lang w:eastAsia="en-GB"/>
        </w:rPr>
      </w:pPr>
    </w:p>
    <w:p w14:paraId="347A0320" w14:textId="77777777" w:rsidR="006E45F7" w:rsidRPr="009624B9" w:rsidRDefault="006E45F7" w:rsidP="00BA5FCA">
      <w:pPr>
        <w:jc w:val="center"/>
        <w:rPr>
          <w:rFonts w:cs="Arial"/>
          <w:lang w:eastAsia="en-GB"/>
        </w:rPr>
      </w:pPr>
    </w:p>
    <w:p w14:paraId="47D6A2FD" w14:textId="56015AAE" w:rsidR="00300D09" w:rsidRDefault="00033914" w:rsidP="00BA5FCA">
      <w:pPr>
        <w:jc w:val="center"/>
        <w:rPr>
          <w:rFonts w:cs="Arial"/>
          <w:lang w:eastAsia="en-GB"/>
        </w:rPr>
      </w:pPr>
      <w:r w:rsidRPr="009624B9">
        <w:rPr>
          <w:rFonts w:cs="Arial"/>
          <w:noProof/>
          <w:lang w:val="en-ZA" w:eastAsia="en-ZA"/>
        </w:rPr>
        <w:drawing>
          <wp:inline distT="0" distB="0" distL="0" distR="0" wp14:anchorId="243F16CF" wp14:editId="235AD2DA">
            <wp:extent cx="914400" cy="914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D00BC0D" w14:textId="77777777" w:rsidR="0083621B" w:rsidRPr="009624B9" w:rsidRDefault="0083621B" w:rsidP="00BA5FCA">
      <w:pPr>
        <w:jc w:val="center"/>
        <w:rPr>
          <w:rFonts w:cs="Arial"/>
          <w:lang w:eastAsia="en-GB"/>
        </w:rPr>
      </w:pPr>
    </w:p>
    <w:p w14:paraId="10379EE0" w14:textId="77777777" w:rsidR="006E45F7" w:rsidRPr="009624B9" w:rsidRDefault="006E45F7" w:rsidP="00BA5FCA">
      <w:pPr>
        <w:jc w:val="center"/>
        <w:rPr>
          <w:rFonts w:cs="Arial"/>
          <w:lang w:eastAsia="en-GB"/>
        </w:rPr>
      </w:pPr>
    </w:p>
    <w:p w14:paraId="40D6BE7B" w14:textId="77777777" w:rsidR="00300D09" w:rsidRPr="009624B9" w:rsidRDefault="00300D09" w:rsidP="00BA5FCA">
      <w:pPr>
        <w:jc w:val="center"/>
        <w:rPr>
          <w:rFonts w:cs="Arial"/>
          <w:b/>
          <w:bCs/>
          <w:lang w:eastAsia="en-GB"/>
        </w:rPr>
      </w:pPr>
      <w:r w:rsidRPr="009624B9">
        <w:rPr>
          <w:rFonts w:cs="Arial"/>
          <w:b/>
          <w:bCs/>
          <w:lang w:eastAsia="en-GB"/>
        </w:rPr>
        <w:t>IN THE HIGH COURT OF SOUTH AFRICA</w:t>
      </w:r>
    </w:p>
    <w:p w14:paraId="09565CFD" w14:textId="0B67CAFF" w:rsidR="00300D09" w:rsidRDefault="00300D09" w:rsidP="00BA5FCA">
      <w:pPr>
        <w:jc w:val="center"/>
        <w:rPr>
          <w:rFonts w:cs="Arial"/>
          <w:b/>
          <w:bCs/>
          <w:lang w:eastAsia="en-GB"/>
        </w:rPr>
      </w:pPr>
      <w:r w:rsidRPr="009624B9">
        <w:rPr>
          <w:rFonts w:cs="Arial"/>
          <w:b/>
          <w:bCs/>
          <w:lang w:eastAsia="en-GB"/>
        </w:rPr>
        <w:t xml:space="preserve">GAUTENG </w:t>
      </w:r>
      <w:r w:rsidR="007846CA">
        <w:rPr>
          <w:rFonts w:cs="Arial"/>
          <w:b/>
          <w:bCs/>
          <w:lang w:eastAsia="en-GB"/>
        </w:rPr>
        <w:t xml:space="preserve">LOCAL </w:t>
      </w:r>
      <w:r w:rsidRPr="009624B9">
        <w:rPr>
          <w:rFonts w:cs="Arial"/>
          <w:b/>
          <w:bCs/>
          <w:lang w:eastAsia="en-GB"/>
        </w:rPr>
        <w:t xml:space="preserve">DIVISION, </w:t>
      </w:r>
      <w:r w:rsidR="00682D2A" w:rsidRPr="009624B9">
        <w:rPr>
          <w:rFonts w:cs="Arial"/>
          <w:b/>
          <w:bCs/>
          <w:lang w:eastAsia="en-GB"/>
        </w:rPr>
        <w:t xml:space="preserve">JOHANNESBURG </w:t>
      </w:r>
    </w:p>
    <w:p w14:paraId="27E34CB7" w14:textId="77777777" w:rsidR="0083621B" w:rsidRPr="009624B9" w:rsidRDefault="0083621B" w:rsidP="00BA5FCA">
      <w:pPr>
        <w:jc w:val="center"/>
        <w:rPr>
          <w:rFonts w:cs="Arial"/>
          <w:b/>
          <w:bCs/>
          <w:lang w:eastAsia="en-GB"/>
        </w:rPr>
      </w:pPr>
    </w:p>
    <w:p w14:paraId="513A0364" w14:textId="77777777" w:rsidR="00300D09" w:rsidRPr="009624B9" w:rsidRDefault="00300D09" w:rsidP="00BA5FCA">
      <w:pPr>
        <w:tabs>
          <w:tab w:val="left" w:pos="4917"/>
        </w:tabs>
        <w:jc w:val="right"/>
        <w:rPr>
          <w:rFonts w:cs="Arial"/>
          <w:b/>
          <w:sz w:val="28"/>
          <w:szCs w:val="28"/>
          <w:u w:val="single"/>
        </w:rPr>
      </w:pPr>
    </w:p>
    <w:p w14:paraId="39A0F6FC" w14:textId="4270F3F3" w:rsidR="00BB3A62" w:rsidRPr="009624B9" w:rsidRDefault="00BB3A62" w:rsidP="00BA5FCA">
      <w:pPr>
        <w:jc w:val="right"/>
        <w:outlineLvl w:val="0"/>
        <w:rPr>
          <w:rFonts w:cs="Arial"/>
          <w:b/>
        </w:rPr>
      </w:pPr>
      <w:r w:rsidRPr="009624B9">
        <w:rPr>
          <w:rFonts w:cs="Arial"/>
          <w:b/>
        </w:rPr>
        <w:t>Case No:</w:t>
      </w:r>
      <w:r w:rsidR="009624B9">
        <w:rPr>
          <w:rFonts w:cs="Arial"/>
          <w:b/>
        </w:rPr>
        <w:t xml:space="preserve"> </w:t>
      </w:r>
      <w:r w:rsidR="000338BC">
        <w:rPr>
          <w:rFonts w:cs="Arial"/>
          <w:b/>
        </w:rPr>
        <w:t>2023-000702</w:t>
      </w:r>
    </w:p>
    <w:p w14:paraId="6F2FEB59" w14:textId="77777777" w:rsidR="00BB3A62" w:rsidRPr="009624B9" w:rsidRDefault="00BB3A62" w:rsidP="00BA5FCA">
      <w:pPr>
        <w:jc w:val="right"/>
        <w:rPr>
          <w:rFonts w:cs="Arial"/>
        </w:rPr>
      </w:pPr>
      <w:r w:rsidRPr="009624B9">
        <w:rPr>
          <w:rFonts w:cs="Arial"/>
          <w:noProof/>
          <w:lang w:val="en-ZA" w:eastAsia="en-ZA"/>
        </w:rPr>
        <mc:AlternateContent>
          <mc:Choice Requires="wps">
            <w:drawing>
              <wp:anchor distT="0" distB="0" distL="114300" distR="114300" simplePos="0" relativeHeight="251659264" behindDoc="0" locked="0" layoutInCell="1" allowOverlap="1" wp14:anchorId="6E57ABE4" wp14:editId="346A3A99">
                <wp:simplePos x="0" y="0"/>
                <wp:positionH relativeFrom="column">
                  <wp:posOffset>-104775</wp:posOffset>
                </wp:positionH>
                <wp:positionV relativeFrom="paragraph">
                  <wp:posOffset>240665</wp:posOffset>
                </wp:positionV>
                <wp:extent cx="3314700" cy="1389380"/>
                <wp:effectExtent l="0" t="0" r="19050" b="2032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389380"/>
                        </a:xfrm>
                        <a:prstGeom prst="rect">
                          <a:avLst/>
                        </a:prstGeom>
                        <a:solidFill>
                          <a:srgbClr val="FFFFFF"/>
                        </a:solidFill>
                        <a:ln w="9525">
                          <a:solidFill>
                            <a:srgbClr val="000000"/>
                          </a:solidFill>
                          <a:miter lim="800000"/>
                          <a:headEnd/>
                          <a:tailEnd/>
                        </a:ln>
                      </wps:spPr>
                      <wps:txbx>
                        <w:txbxContent>
                          <w:p w14:paraId="0DCD95D9" w14:textId="77777777" w:rsidR="000A22A8" w:rsidRPr="004120A8" w:rsidRDefault="000A22A8" w:rsidP="00BB3A62">
                            <w:pPr>
                              <w:jc w:val="center"/>
                              <w:rPr>
                                <w:rFonts w:ascii="Century Gothic" w:hAnsi="Century Gothic"/>
                                <w:b/>
                                <w:sz w:val="2"/>
                                <w:szCs w:val="18"/>
                              </w:rPr>
                            </w:pPr>
                          </w:p>
                          <w:p w14:paraId="22FA4FA5" w14:textId="1EACE255" w:rsidR="000A22A8" w:rsidRPr="004120A8" w:rsidRDefault="00F46E0C" w:rsidP="00F46E0C">
                            <w:pPr>
                              <w:tabs>
                                <w:tab w:val="left" w:pos="900"/>
                              </w:tabs>
                              <w:spacing w:line="36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0A22A8">
                              <w:rPr>
                                <w:rFonts w:ascii="Century Gothic" w:hAnsi="Century Gothic"/>
                                <w:sz w:val="18"/>
                                <w:szCs w:val="18"/>
                              </w:rPr>
                              <w:t xml:space="preserve">REPORTABLE: </w:t>
                            </w:r>
                            <w:r w:rsidR="00B960D2">
                              <w:rPr>
                                <w:rFonts w:ascii="Century Gothic" w:hAnsi="Century Gothic"/>
                                <w:sz w:val="18"/>
                                <w:szCs w:val="18"/>
                              </w:rPr>
                              <w:t>No</w:t>
                            </w:r>
                          </w:p>
                          <w:p w14:paraId="77CE2E0D" w14:textId="368EC874" w:rsidR="000A22A8" w:rsidRPr="004120A8" w:rsidRDefault="00F46E0C" w:rsidP="00F46E0C">
                            <w:pPr>
                              <w:tabs>
                                <w:tab w:val="left" w:pos="900"/>
                              </w:tabs>
                              <w:spacing w:line="360" w:lineRule="auto"/>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0A22A8" w:rsidRPr="004120A8">
                              <w:rPr>
                                <w:rFonts w:ascii="Century Gothic" w:hAnsi="Century Gothic"/>
                                <w:sz w:val="18"/>
                                <w:szCs w:val="18"/>
                              </w:rPr>
                              <w:t>O</w:t>
                            </w:r>
                            <w:r w:rsidR="000A22A8">
                              <w:rPr>
                                <w:rFonts w:ascii="Century Gothic" w:hAnsi="Century Gothic"/>
                                <w:sz w:val="18"/>
                                <w:szCs w:val="18"/>
                              </w:rPr>
                              <w:t xml:space="preserve">F INTEREST TO OTHER JUDGES:  </w:t>
                            </w:r>
                            <w:r w:rsidR="00B960D2">
                              <w:rPr>
                                <w:rFonts w:ascii="Century Gothic" w:hAnsi="Century Gothic"/>
                                <w:sz w:val="18"/>
                                <w:szCs w:val="18"/>
                              </w:rPr>
                              <w:t>No</w:t>
                            </w:r>
                          </w:p>
                          <w:p w14:paraId="3BC9A302" w14:textId="6D6AD589" w:rsidR="000A22A8" w:rsidRPr="004120A8" w:rsidRDefault="00F46E0C" w:rsidP="00F46E0C">
                            <w:pPr>
                              <w:tabs>
                                <w:tab w:val="left" w:pos="900"/>
                              </w:tabs>
                              <w:spacing w:line="360" w:lineRule="auto"/>
                              <w:ind w:left="900" w:hanging="720"/>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0A22A8" w:rsidRPr="004120A8">
                              <w:rPr>
                                <w:rFonts w:ascii="Century Gothic" w:hAnsi="Century Gothic"/>
                                <w:sz w:val="18"/>
                                <w:szCs w:val="18"/>
                              </w:rPr>
                              <w:t xml:space="preserve">REVISED. </w:t>
                            </w:r>
                          </w:p>
                          <w:p w14:paraId="417F47FD" w14:textId="77777777" w:rsidR="000A22A8" w:rsidRPr="004120A8" w:rsidRDefault="000A22A8" w:rsidP="00BB3A62">
                            <w:pPr>
                              <w:rPr>
                                <w:rFonts w:ascii="Century Gothic" w:hAnsi="Century Gothic"/>
                                <w:b/>
                                <w:sz w:val="18"/>
                                <w:szCs w:val="18"/>
                              </w:rPr>
                            </w:pPr>
                          </w:p>
                          <w:p w14:paraId="4AF97A98" w14:textId="54B37D8D" w:rsidR="000A22A8" w:rsidRPr="004120A8" w:rsidRDefault="000A22A8" w:rsidP="00BB3A62">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r>
                            <w:r w:rsidR="00F86167">
                              <w:rPr>
                                <w:rFonts w:ascii="Century Gothic" w:hAnsi="Century Gothic"/>
                                <w:b/>
                                <w:sz w:val="18"/>
                                <w:szCs w:val="18"/>
                              </w:rPr>
                              <w:t>8 December 2023</w:t>
                            </w:r>
                          </w:p>
                          <w:p w14:paraId="5FE0F035" w14:textId="77777777" w:rsidR="000A22A8" w:rsidRPr="004120A8" w:rsidRDefault="000A22A8" w:rsidP="00BB3A62">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536C1D09" w14:textId="77777777" w:rsidR="000A22A8" w:rsidRPr="004120A8" w:rsidRDefault="000A22A8" w:rsidP="00BB3A62">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7ABE4" id="_x0000_t202" coordsize="21600,21600" o:spt="202" path="m,l,21600r21600,l21600,xe">
                <v:stroke joinstyle="miter"/>
                <v:path gradientshapeok="t" o:connecttype="rect"/>
              </v:shapetype>
              <v:shape id="Text Box 2" o:spid="_x0000_s1026" type="#_x0000_t202" style="position:absolute;left:0;text-align:left;margin-left:-8.25pt;margin-top:18.95pt;width:261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">
                <o:lock v:ext="edit" aspectratio="t" verticies="t" text="t" shapetype="t"/>
                <v:textbox>
                  <w:txbxContent>
                    <w:p w14:paraId="0DCD95D9" w14:textId="77777777" w:rsidR="000A22A8" w:rsidRPr="004120A8" w:rsidRDefault="000A22A8" w:rsidP="00BB3A62">
                      <w:pPr>
                        <w:jc w:val="center"/>
                        <w:rPr>
                          <w:rFonts w:ascii="Century Gothic" w:hAnsi="Century Gothic"/>
                          <w:b/>
                          <w:sz w:val="2"/>
                          <w:szCs w:val="18"/>
                        </w:rPr>
                      </w:pPr>
                    </w:p>
                    <w:p w14:paraId="22FA4FA5" w14:textId="1EACE255" w:rsidR="000A22A8" w:rsidRPr="004120A8" w:rsidRDefault="00F46E0C" w:rsidP="00F46E0C">
                      <w:pPr>
                        <w:tabs>
                          <w:tab w:val="left" w:pos="900"/>
                        </w:tabs>
                        <w:spacing w:line="36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0A22A8">
                        <w:rPr>
                          <w:rFonts w:ascii="Century Gothic" w:hAnsi="Century Gothic"/>
                          <w:sz w:val="18"/>
                          <w:szCs w:val="18"/>
                        </w:rPr>
                        <w:t xml:space="preserve">REPORTABLE: </w:t>
                      </w:r>
                      <w:r w:rsidR="00B960D2">
                        <w:rPr>
                          <w:rFonts w:ascii="Century Gothic" w:hAnsi="Century Gothic"/>
                          <w:sz w:val="18"/>
                          <w:szCs w:val="18"/>
                        </w:rPr>
                        <w:t>No</w:t>
                      </w:r>
                    </w:p>
                    <w:p w14:paraId="77CE2E0D" w14:textId="368EC874" w:rsidR="000A22A8" w:rsidRPr="004120A8" w:rsidRDefault="00F46E0C" w:rsidP="00F46E0C">
                      <w:pPr>
                        <w:tabs>
                          <w:tab w:val="left" w:pos="900"/>
                        </w:tabs>
                        <w:spacing w:line="360" w:lineRule="auto"/>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0A22A8" w:rsidRPr="004120A8">
                        <w:rPr>
                          <w:rFonts w:ascii="Century Gothic" w:hAnsi="Century Gothic"/>
                          <w:sz w:val="18"/>
                          <w:szCs w:val="18"/>
                        </w:rPr>
                        <w:t>O</w:t>
                      </w:r>
                      <w:r w:rsidR="000A22A8">
                        <w:rPr>
                          <w:rFonts w:ascii="Century Gothic" w:hAnsi="Century Gothic"/>
                          <w:sz w:val="18"/>
                          <w:szCs w:val="18"/>
                        </w:rPr>
                        <w:t xml:space="preserve">F INTEREST TO OTHER JUDGES:  </w:t>
                      </w:r>
                      <w:r w:rsidR="00B960D2">
                        <w:rPr>
                          <w:rFonts w:ascii="Century Gothic" w:hAnsi="Century Gothic"/>
                          <w:sz w:val="18"/>
                          <w:szCs w:val="18"/>
                        </w:rPr>
                        <w:t>No</w:t>
                      </w:r>
                    </w:p>
                    <w:p w14:paraId="3BC9A302" w14:textId="6D6AD589" w:rsidR="000A22A8" w:rsidRPr="004120A8" w:rsidRDefault="00F46E0C" w:rsidP="00F46E0C">
                      <w:pPr>
                        <w:tabs>
                          <w:tab w:val="left" w:pos="900"/>
                        </w:tabs>
                        <w:spacing w:line="360" w:lineRule="auto"/>
                        <w:ind w:left="900" w:hanging="720"/>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0A22A8" w:rsidRPr="004120A8">
                        <w:rPr>
                          <w:rFonts w:ascii="Century Gothic" w:hAnsi="Century Gothic"/>
                          <w:sz w:val="18"/>
                          <w:szCs w:val="18"/>
                        </w:rPr>
                        <w:t xml:space="preserve">REVISED. </w:t>
                      </w:r>
                    </w:p>
                    <w:p w14:paraId="417F47FD" w14:textId="77777777" w:rsidR="000A22A8" w:rsidRPr="004120A8" w:rsidRDefault="000A22A8" w:rsidP="00BB3A62">
                      <w:pPr>
                        <w:rPr>
                          <w:rFonts w:ascii="Century Gothic" w:hAnsi="Century Gothic"/>
                          <w:b/>
                          <w:sz w:val="18"/>
                          <w:szCs w:val="18"/>
                        </w:rPr>
                      </w:pPr>
                    </w:p>
                    <w:p w14:paraId="4AF97A98" w14:textId="54B37D8D" w:rsidR="000A22A8" w:rsidRPr="004120A8" w:rsidRDefault="000A22A8" w:rsidP="00BB3A62">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r>
                      <w:r w:rsidR="00F86167">
                        <w:rPr>
                          <w:rFonts w:ascii="Century Gothic" w:hAnsi="Century Gothic"/>
                          <w:b/>
                          <w:sz w:val="18"/>
                          <w:szCs w:val="18"/>
                        </w:rPr>
                        <w:t>8 December 2023</w:t>
                      </w:r>
                    </w:p>
                    <w:p w14:paraId="5FE0F035" w14:textId="77777777" w:rsidR="000A22A8" w:rsidRPr="004120A8" w:rsidRDefault="000A22A8" w:rsidP="00BB3A62">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536C1D09" w14:textId="77777777" w:rsidR="000A22A8" w:rsidRPr="004120A8" w:rsidRDefault="000A22A8" w:rsidP="00BB3A62">
                      <w:pPr>
                        <w:rPr>
                          <w:rFonts w:ascii="Century Gothic" w:hAnsi="Century Gothic"/>
                          <w:b/>
                          <w:sz w:val="2"/>
                          <w:szCs w:val="18"/>
                        </w:rPr>
                      </w:pPr>
                    </w:p>
                  </w:txbxContent>
                </v:textbox>
              </v:shape>
            </w:pict>
          </mc:Fallback>
        </mc:AlternateContent>
      </w:r>
    </w:p>
    <w:p w14:paraId="1C64B251" w14:textId="77777777" w:rsidR="00BB3A62" w:rsidRPr="009624B9" w:rsidRDefault="00BB3A62" w:rsidP="00BA5FCA">
      <w:pPr>
        <w:jc w:val="right"/>
        <w:rPr>
          <w:rFonts w:cs="Arial"/>
          <w:b/>
        </w:rPr>
      </w:pPr>
    </w:p>
    <w:p w14:paraId="5E198000" w14:textId="77777777" w:rsidR="00BB3A62" w:rsidRPr="009624B9" w:rsidRDefault="00BB3A62" w:rsidP="00BA5FCA">
      <w:pPr>
        <w:jc w:val="left"/>
        <w:rPr>
          <w:rFonts w:cs="Arial"/>
          <w:u w:val="single"/>
        </w:rPr>
      </w:pPr>
    </w:p>
    <w:p w14:paraId="13507125" w14:textId="77777777" w:rsidR="00BB3A62" w:rsidRPr="009624B9" w:rsidRDefault="00BB3A62" w:rsidP="00BA5FCA">
      <w:pPr>
        <w:jc w:val="left"/>
        <w:rPr>
          <w:rFonts w:cs="Arial"/>
          <w:u w:val="single"/>
        </w:rPr>
      </w:pPr>
    </w:p>
    <w:p w14:paraId="1011568F" w14:textId="77777777" w:rsidR="00300D09" w:rsidRPr="009624B9" w:rsidRDefault="00300D09" w:rsidP="00BA5FCA">
      <w:pPr>
        <w:tabs>
          <w:tab w:val="left" w:pos="4917"/>
        </w:tabs>
        <w:jc w:val="right"/>
        <w:rPr>
          <w:rFonts w:cs="Arial"/>
          <w:b/>
          <w:sz w:val="28"/>
          <w:szCs w:val="28"/>
          <w:u w:val="single"/>
        </w:rPr>
      </w:pPr>
    </w:p>
    <w:p w14:paraId="043275AF" w14:textId="77777777" w:rsidR="00DF46CB" w:rsidRPr="009624B9" w:rsidRDefault="00DF46CB" w:rsidP="00BA5FCA">
      <w:pPr>
        <w:tabs>
          <w:tab w:val="left" w:pos="4917"/>
        </w:tabs>
        <w:jc w:val="right"/>
        <w:rPr>
          <w:rFonts w:cs="Arial"/>
          <w:b/>
          <w:sz w:val="28"/>
          <w:szCs w:val="28"/>
          <w:u w:val="single"/>
        </w:rPr>
      </w:pPr>
    </w:p>
    <w:p w14:paraId="1ED963DD" w14:textId="77777777" w:rsidR="00DF46CB" w:rsidRPr="009624B9" w:rsidRDefault="00DF46CB" w:rsidP="00BA5FCA">
      <w:pPr>
        <w:tabs>
          <w:tab w:val="left" w:pos="4917"/>
        </w:tabs>
        <w:jc w:val="right"/>
        <w:rPr>
          <w:rFonts w:cs="Arial"/>
          <w:b/>
          <w:sz w:val="28"/>
          <w:szCs w:val="28"/>
          <w:u w:val="single"/>
        </w:rPr>
      </w:pPr>
    </w:p>
    <w:p w14:paraId="14D8CBFC" w14:textId="77777777" w:rsidR="00DF46CB" w:rsidRPr="009624B9" w:rsidRDefault="00DF46CB" w:rsidP="00BA5FCA">
      <w:pPr>
        <w:tabs>
          <w:tab w:val="left" w:pos="4917"/>
        </w:tabs>
        <w:jc w:val="right"/>
        <w:rPr>
          <w:rFonts w:cs="Arial"/>
          <w:b/>
          <w:sz w:val="28"/>
          <w:szCs w:val="28"/>
          <w:u w:val="single"/>
        </w:rPr>
      </w:pPr>
    </w:p>
    <w:p w14:paraId="5C164CF3" w14:textId="77777777" w:rsidR="00DF46CB" w:rsidRPr="009624B9" w:rsidRDefault="00DF46CB" w:rsidP="00BA5FCA">
      <w:pPr>
        <w:tabs>
          <w:tab w:val="left" w:pos="4917"/>
        </w:tabs>
        <w:jc w:val="right"/>
        <w:rPr>
          <w:rFonts w:cs="Arial"/>
          <w:b/>
          <w:sz w:val="28"/>
          <w:szCs w:val="28"/>
          <w:u w:val="single"/>
        </w:rPr>
      </w:pPr>
    </w:p>
    <w:p w14:paraId="5E92EE47" w14:textId="77777777" w:rsidR="00DF46CB" w:rsidRPr="009624B9" w:rsidRDefault="00DF46CB" w:rsidP="00BA5FCA">
      <w:pPr>
        <w:tabs>
          <w:tab w:val="left" w:pos="4917"/>
        </w:tabs>
        <w:jc w:val="right"/>
        <w:rPr>
          <w:rFonts w:cs="Arial"/>
          <w:b/>
          <w:sz w:val="28"/>
          <w:szCs w:val="28"/>
          <w:u w:val="single"/>
        </w:rPr>
      </w:pPr>
    </w:p>
    <w:p w14:paraId="45CBF821" w14:textId="77777777" w:rsidR="00DF46CB" w:rsidRPr="009624B9" w:rsidRDefault="00DF46CB" w:rsidP="00BA5FCA">
      <w:pPr>
        <w:tabs>
          <w:tab w:val="left" w:pos="4917"/>
        </w:tabs>
        <w:jc w:val="right"/>
        <w:rPr>
          <w:rFonts w:cs="Arial"/>
          <w:b/>
          <w:sz w:val="28"/>
          <w:szCs w:val="28"/>
          <w:u w:val="single"/>
        </w:rPr>
      </w:pPr>
    </w:p>
    <w:p w14:paraId="3CFAD7C4" w14:textId="77777777" w:rsidR="00300D09" w:rsidRPr="009624B9" w:rsidRDefault="00300D09" w:rsidP="00107041">
      <w:r w:rsidRPr="009624B9">
        <w:t xml:space="preserve">In the matter </w:t>
      </w:r>
      <w:r w:rsidR="00DA1EC5">
        <w:t>between</w:t>
      </w:r>
      <w:r w:rsidRPr="009624B9">
        <w:t>:</w:t>
      </w:r>
    </w:p>
    <w:p w14:paraId="7E344281" w14:textId="77777777" w:rsidR="00300D09" w:rsidRPr="009624B9" w:rsidRDefault="00300D09" w:rsidP="00107041">
      <w:pPr>
        <w:pStyle w:val="Parties"/>
      </w:pPr>
    </w:p>
    <w:p w14:paraId="35E859EE" w14:textId="77777777" w:rsidR="00DF46CB" w:rsidRPr="009624B9" w:rsidRDefault="00DF46CB" w:rsidP="00107041">
      <w:pPr>
        <w:pStyle w:val="Parties"/>
      </w:pPr>
    </w:p>
    <w:p w14:paraId="2DCEDE19" w14:textId="77777777" w:rsidR="00DF46CB" w:rsidRPr="009624B9" w:rsidRDefault="00DF46CB" w:rsidP="00107041">
      <w:pPr>
        <w:pStyle w:val="Parties"/>
      </w:pPr>
    </w:p>
    <w:p w14:paraId="5F1EFFA6" w14:textId="7BCABAE8" w:rsidR="000338BC" w:rsidRDefault="000338BC" w:rsidP="00107041">
      <w:pPr>
        <w:pStyle w:val="Parties"/>
      </w:pPr>
      <w:r>
        <w:rPr>
          <w:b/>
          <w:bCs/>
        </w:rPr>
        <w:t xml:space="preserve">THE CONSORTIUM COMPRISING:                                                             </w:t>
      </w:r>
      <w:r w:rsidRPr="009624B9">
        <w:t>A</w:t>
      </w:r>
      <w:r>
        <w:t>pplicant</w:t>
      </w:r>
    </w:p>
    <w:p w14:paraId="0D240813" w14:textId="77777777" w:rsidR="000338BC" w:rsidRDefault="000338BC" w:rsidP="00107041">
      <w:pPr>
        <w:pStyle w:val="Parties"/>
        <w:rPr>
          <w:b/>
          <w:bCs/>
        </w:rPr>
      </w:pPr>
    </w:p>
    <w:p w14:paraId="742B285D" w14:textId="5A5CE151" w:rsidR="00A524D1" w:rsidRDefault="000338BC" w:rsidP="00107041">
      <w:pPr>
        <w:pStyle w:val="Parties"/>
      </w:pPr>
      <w:r>
        <w:rPr>
          <w:b/>
          <w:bCs/>
        </w:rPr>
        <w:t>K C COTTRELL CO LTD</w:t>
      </w:r>
      <w:r w:rsidR="00A524D1" w:rsidRPr="009624B9">
        <w:rPr>
          <w:b/>
          <w:bCs/>
        </w:rPr>
        <w:tab/>
      </w:r>
    </w:p>
    <w:p w14:paraId="17F98F98" w14:textId="555B5AC4" w:rsidR="00D10F2C" w:rsidRDefault="000338BC" w:rsidP="00107041">
      <w:pPr>
        <w:pStyle w:val="Parties"/>
        <w:rPr>
          <w:b/>
          <w:bCs/>
        </w:rPr>
      </w:pPr>
      <w:r>
        <w:rPr>
          <w:b/>
          <w:bCs/>
        </w:rPr>
        <w:t>ELB ENGINEERING SERVICES (PTY) LTD (in liquidation)</w:t>
      </w:r>
      <w:r w:rsidR="00D10F2C">
        <w:rPr>
          <w:b/>
          <w:bCs/>
        </w:rPr>
        <w:t xml:space="preserve">                                                                                                               </w:t>
      </w:r>
    </w:p>
    <w:p w14:paraId="5C28FE18" w14:textId="2FDA1FD0" w:rsidR="000338BC" w:rsidRDefault="000338BC" w:rsidP="00107041">
      <w:pPr>
        <w:pStyle w:val="Parties"/>
        <w:rPr>
          <w:b/>
          <w:bCs/>
        </w:rPr>
      </w:pPr>
      <w:r>
        <w:rPr>
          <w:b/>
          <w:bCs/>
        </w:rPr>
        <w:t>ELB EDUCATIONAL TRUST FOR BLACK SOUTH AFRICANS</w:t>
      </w:r>
    </w:p>
    <w:p w14:paraId="3AE1586C" w14:textId="77777777" w:rsidR="000338BC" w:rsidRDefault="000338BC" w:rsidP="00107041">
      <w:pPr>
        <w:pStyle w:val="Parties"/>
        <w:rPr>
          <w:b/>
          <w:bCs/>
        </w:rPr>
      </w:pPr>
    </w:p>
    <w:p w14:paraId="5E86AF28" w14:textId="5E032CFA" w:rsidR="00A524D1" w:rsidRPr="000338BC" w:rsidRDefault="000338BC" w:rsidP="00107041">
      <w:pPr>
        <w:pStyle w:val="Parties"/>
      </w:pPr>
      <w:r w:rsidRPr="000338BC">
        <w:t xml:space="preserve">And </w:t>
      </w:r>
      <w:r w:rsidR="00D10F2C" w:rsidRPr="000338BC">
        <w:t xml:space="preserve">                                                                    </w:t>
      </w:r>
    </w:p>
    <w:p w14:paraId="2C831303" w14:textId="77777777" w:rsidR="001B0CBC" w:rsidRDefault="001B0CBC" w:rsidP="00107041">
      <w:pPr>
        <w:pStyle w:val="Parties"/>
      </w:pPr>
    </w:p>
    <w:p w14:paraId="4B01FCDE" w14:textId="53A77F71" w:rsidR="001B0CBC" w:rsidRPr="00D10F2C" w:rsidRDefault="000338BC" w:rsidP="00107041">
      <w:pPr>
        <w:pStyle w:val="Parties"/>
      </w:pPr>
      <w:r>
        <w:rPr>
          <w:b/>
          <w:bCs/>
        </w:rPr>
        <w:t xml:space="preserve">SANTAM LTD           </w:t>
      </w:r>
      <w:r w:rsidR="00D10F2C">
        <w:rPr>
          <w:b/>
          <w:bCs/>
        </w:rPr>
        <w:t xml:space="preserve">                                                                          </w:t>
      </w:r>
      <w:r>
        <w:rPr>
          <w:b/>
          <w:bCs/>
        </w:rPr>
        <w:t xml:space="preserve">  </w:t>
      </w:r>
      <w:r>
        <w:t>1</w:t>
      </w:r>
      <w:r w:rsidRPr="000338BC">
        <w:rPr>
          <w:vertAlign w:val="superscript"/>
        </w:rPr>
        <w:t>st</w:t>
      </w:r>
      <w:r>
        <w:t xml:space="preserve"> Respondent</w:t>
      </w:r>
    </w:p>
    <w:p w14:paraId="6ABD8B05" w14:textId="77777777" w:rsidR="001B0CBC" w:rsidRDefault="001B0CBC" w:rsidP="00107041">
      <w:pPr>
        <w:pStyle w:val="Parties"/>
      </w:pPr>
    </w:p>
    <w:p w14:paraId="6D0EB3B6" w14:textId="10523984" w:rsidR="001B0CBC" w:rsidRPr="00D10F2C" w:rsidRDefault="000338BC" w:rsidP="00107041">
      <w:pPr>
        <w:pStyle w:val="Parties"/>
        <w:rPr>
          <w:b/>
          <w:bCs/>
        </w:rPr>
      </w:pPr>
      <w:r>
        <w:rPr>
          <w:b/>
          <w:bCs/>
        </w:rPr>
        <w:t>NGODWANA ENERGY (RF) (PTY) LTD</w:t>
      </w:r>
      <w:r w:rsidR="00D10F2C">
        <w:rPr>
          <w:b/>
          <w:bCs/>
        </w:rPr>
        <w:t xml:space="preserve">                                   </w:t>
      </w:r>
      <w:r>
        <w:rPr>
          <w:b/>
          <w:bCs/>
        </w:rPr>
        <w:t xml:space="preserve">          </w:t>
      </w:r>
      <w:r>
        <w:t>2</w:t>
      </w:r>
      <w:r w:rsidRPr="000338BC">
        <w:rPr>
          <w:vertAlign w:val="superscript"/>
        </w:rPr>
        <w:t>nd</w:t>
      </w:r>
      <w:r>
        <w:t xml:space="preserve"> Respondent</w:t>
      </w:r>
      <w:r w:rsidR="00D10F2C">
        <w:rPr>
          <w:b/>
          <w:bCs/>
        </w:rPr>
        <w:t xml:space="preserve">                                         </w:t>
      </w:r>
    </w:p>
    <w:p w14:paraId="702EBE34" w14:textId="77777777" w:rsidR="00D10F2C" w:rsidRDefault="00D10F2C" w:rsidP="00107041">
      <w:pPr>
        <w:pStyle w:val="Parties"/>
        <w:tabs>
          <w:tab w:val="clear" w:pos="8732"/>
          <w:tab w:val="left" w:pos="5525"/>
        </w:tabs>
      </w:pPr>
    </w:p>
    <w:p w14:paraId="6FFA690B" w14:textId="2CEFC72A" w:rsidR="00A524D1" w:rsidRPr="009624B9" w:rsidRDefault="000338BC" w:rsidP="00107041">
      <w:pPr>
        <w:pStyle w:val="Parties"/>
        <w:tabs>
          <w:tab w:val="clear" w:pos="8732"/>
          <w:tab w:val="left" w:pos="5525"/>
        </w:tabs>
      </w:pPr>
      <w:r>
        <w:rPr>
          <w:b/>
          <w:bCs/>
        </w:rPr>
        <w:t xml:space="preserve">NEDBANK LTD c/o NEDBANK COPORATED                               </w:t>
      </w:r>
      <w:r>
        <w:t>3</w:t>
      </w:r>
      <w:r w:rsidRPr="000338BC">
        <w:rPr>
          <w:vertAlign w:val="superscript"/>
        </w:rPr>
        <w:t>rd</w:t>
      </w:r>
      <w:r>
        <w:t xml:space="preserve"> Respondent</w:t>
      </w:r>
      <w:r w:rsidR="00BB3A62" w:rsidRPr="009624B9">
        <w:tab/>
      </w:r>
    </w:p>
    <w:p w14:paraId="1AA969F2" w14:textId="77777777" w:rsidR="009624B9" w:rsidRPr="009624B9" w:rsidRDefault="009624B9" w:rsidP="00107041">
      <w:pPr>
        <w:pStyle w:val="Parties"/>
        <w:rPr>
          <w:b/>
          <w:bCs/>
        </w:rPr>
      </w:pPr>
    </w:p>
    <w:p w14:paraId="70522262" w14:textId="77777777" w:rsidR="00A524D1" w:rsidRPr="009624B9" w:rsidRDefault="00A524D1" w:rsidP="00107041">
      <w:pPr>
        <w:pStyle w:val="Parties"/>
      </w:pPr>
    </w:p>
    <w:p w14:paraId="19FDEFA8" w14:textId="77777777" w:rsidR="00843037" w:rsidRPr="009624B9" w:rsidRDefault="00843037" w:rsidP="00107041">
      <w:pPr>
        <w:pStyle w:val="Parties"/>
        <w:rPr>
          <w:b/>
          <w:bCs/>
        </w:rPr>
      </w:pPr>
    </w:p>
    <w:p w14:paraId="3DDFC2CB" w14:textId="104BEC78" w:rsidR="00300D09" w:rsidRPr="009624B9" w:rsidRDefault="0083621B" w:rsidP="00107041">
      <w:r>
        <w:rPr>
          <w:shd w:val="clear" w:color="auto" w:fill="FFFFFF"/>
        </w:rPr>
        <w:t>This order</w:t>
      </w:r>
      <w:r w:rsidR="00E52518" w:rsidRPr="009624B9">
        <w:rPr>
          <w:shd w:val="clear" w:color="auto" w:fill="FFFFFF"/>
        </w:rPr>
        <w:t xml:space="preserve"> was handed down electronically by circulation to the parties’ legal representatives by email</w:t>
      </w:r>
      <w:r w:rsidR="0092439D">
        <w:rPr>
          <w:shd w:val="clear" w:color="auto" w:fill="FFFFFF"/>
        </w:rPr>
        <w:t xml:space="preserve"> on 10</w:t>
      </w:r>
      <w:r>
        <w:rPr>
          <w:shd w:val="clear" w:color="auto" w:fill="FFFFFF"/>
        </w:rPr>
        <w:t xml:space="preserve"> November 2023 and the reasons for the order on 8 December 2023</w:t>
      </w:r>
      <w:r w:rsidR="00E52518" w:rsidRPr="009624B9">
        <w:rPr>
          <w:shd w:val="clear" w:color="auto" w:fill="FFFFFF"/>
        </w:rPr>
        <w:t xml:space="preserve">. </w:t>
      </w:r>
    </w:p>
    <w:p w14:paraId="4C40B984" w14:textId="77777777" w:rsidR="006D7F36" w:rsidRPr="009624B9" w:rsidRDefault="00CC22D8" w:rsidP="00107041">
      <w:pPr>
        <w:pStyle w:val="Parties"/>
        <w:tabs>
          <w:tab w:val="center" w:pos="4111"/>
        </w:tabs>
      </w:pPr>
      <w:r w:rsidRPr="009624B9">
        <w:tab/>
      </w:r>
    </w:p>
    <w:p w14:paraId="6A19D9A3" w14:textId="77777777" w:rsidR="00927518" w:rsidRPr="009624B9" w:rsidRDefault="002A4D60" w:rsidP="00BA5FCA">
      <w:pPr>
        <w:pStyle w:val="TramLines"/>
      </w:pPr>
      <w:r w:rsidRPr="009624B9">
        <w:t>JUDGMENT</w:t>
      </w:r>
    </w:p>
    <w:p w14:paraId="7CBF3680" w14:textId="77777777" w:rsidR="00CC22D8" w:rsidRPr="009624B9" w:rsidRDefault="00CC22D8" w:rsidP="00107041"/>
    <w:p w14:paraId="0D72CA4B" w14:textId="6F78C8CC" w:rsidR="00A460AB" w:rsidRPr="0083621B" w:rsidRDefault="00827607" w:rsidP="0083621B">
      <w:pPr>
        <w:rPr>
          <w:b/>
        </w:rPr>
      </w:pPr>
      <w:r>
        <w:rPr>
          <w:b/>
          <w:bCs/>
        </w:rPr>
        <w:t>INGRID OPPERMAN J</w:t>
      </w:r>
    </w:p>
    <w:p w14:paraId="679B2F52" w14:textId="4CBD18F2" w:rsidR="00826263" w:rsidRPr="000311C2" w:rsidRDefault="00826263" w:rsidP="00107041">
      <w:pPr>
        <w:pStyle w:val="1"/>
        <w:numPr>
          <w:ilvl w:val="0"/>
          <w:numId w:val="0"/>
        </w:numPr>
        <w:rPr>
          <w:b/>
          <w:u w:val="single"/>
        </w:rPr>
      </w:pPr>
      <w:r w:rsidRPr="000311C2">
        <w:rPr>
          <w:b/>
          <w:u w:val="single"/>
        </w:rPr>
        <w:t>I</w:t>
      </w:r>
      <w:r w:rsidR="000311C2" w:rsidRPr="000311C2">
        <w:rPr>
          <w:b/>
          <w:u w:val="single"/>
        </w:rPr>
        <w:t>ntroduction</w:t>
      </w:r>
    </w:p>
    <w:p w14:paraId="5ED6CBF5" w14:textId="702598FB" w:rsidR="00D92BBA" w:rsidRDefault="00F46E0C" w:rsidP="00F46E0C">
      <w:pPr>
        <w:pStyle w:val="1"/>
        <w:numPr>
          <w:ilvl w:val="0"/>
          <w:numId w:val="0"/>
        </w:numPr>
        <w:tabs>
          <w:tab w:val="left" w:pos="567"/>
        </w:tabs>
      </w:pPr>
      <w:r>
        <w:t>[1]</w:t>
      </w:r>
      <w:r>
        <w:tab/>
      </w:r>
      <w:r w:rsidR="00D92BBA" w:rsidRPr="00D92BBA">
        <w:t>The Applicant</w:t>
      </w:r>
      <w:r w:rsidR="00C96795">
        <w:t xml:space="preserve"> (</w:t>
      </w:r>
      <w:r w:rsidR="00C96795" w:rsidRPr="00C96795">
        <w:rPr>
          <w:i/>
          <w:iCs w:val="0"/>
        </w:rPr>
        <w:t>the Consortium</w:t>
      </w:r>
      <w:r w:rsidR="00447ED7" w:rsidRPr="0001351A">
        <w:t xml:space="preserve"> or</w:t>
      </w:r>
      <w:r w:rsidR="00447ED7">
        <w:rPr>
          <w:i/>
          <w:iCs w:val="0"/>
        </w:rPr>
        <w:t xml:space="preserve"> </w:t>
      </w:r>
      <w:r w:rsidR="0001351A">
        <w:rPr>
          <w:i/>
          <w:iCs w:val="0"/>
        </w:rPr>
        <w:t xml:space="preserve">the </w:t>
      </w:r>
      <w:r w:rsidR="00447ED7">
        <w:rPr>
          <w:i/>
          <w:iCs w:val="0"/>
        </w:rPr>
        <w:t>Contractor</w:t>
      </w:r>
      <w:r w:rsidR="00C96795">
        <w:t>)</w:t>
      </w:r>
      <w:r w:rsidR="00D92BBA" w:rsidRPr="00D92BBA">
        <w:t xml:space="preserve"> seeks an </w:t>
      </w:r>
      <w:r w:rsidR="0001351A">
        <w:t>interim interdict</w:t>
      </w:r>
      <w:r w:rsidR="00D92BBA" w:rsidRPr="00D92BBA">
        <w:t xml:space="preserve"> pending the </w:t>
      </w:r>
      <w:r w:rsidR="00D052E4">
        <w:t xml:space="preserve">outcome </w:t>
      </w:r>
      <w:r w:rsidR="002F52EB">
        <w:t>of an action instituted under case number 2023-00166</w:t>
      </w:r>
      <w:r w:rsidR="00850093">
        <w:t xml:space="preserve">, </w:t>
      </w:r>
      <w:r w:rsidR="00D92BBA" w:rsidRPr="00D92BBA">
        <w:t xml:space="preserve">interdicting and restraining </w:t>
      </w:r>
      <w:r w:rsidR="00850093">
        <w:t xml:space="preserve">the </w:t>
      </w:r>
      <w:r w:rsidR="005636BC">
        <w:t>1</w:t>
      </w:r>
      <w:r w:rsidR="005636BC" w:rsidRPr="005636BC">
        <w:rPr>
          <w:vertAlign w:val="superscript"/>
        </w:rPr>
        <w:t>st</w:t>
      </w:r>
      <w:r w:rsidR="005636BC">
        <w:t xml:space="preserve"> </w:t>
      </w:r>
      <w:r w:rsidR="00850093">
        <w:t>Respondent (</w:t>
      </w:r>
      <w:r w:rsidR="005636BC">
        <w:rPr>
          <w:i/>
          <w:iCs w:val="0"/>
        </w:rPr>
        <w:t>Santam)</w:t>
      </w:r>
      <w:r w:rsidR="00D92BBA" w:rsidRPr="00D92BBA">
        <w:t xml:space="preserve"> from making payment to the </w:t>
      </w:r>
      <w:r w:rsidR="00414E77">
        <w:t>2</w:t>
      </w:r>
      <w:r w:rsidR="00414E77" w:rsidRPr="00414E77">
        <w:rPr>
          <w:vertAlign w:val="superscript"/>
        </w:rPr>
        <w:t>nd</w:t>
      </w:r>
      <w:r w:rsidR="00414E77">
        <w:t xml:space="preserve"> Respondent</w:t>
      </w:r>
      <w:r w:rsidR="00E62CA2">
        <w:t xml:space="preserve"> (</w:t>
      </w:r>
      <w:r w:rsidR="00EC3759" w:rsidRPr="00EC3759">
        <w:rPr>
          <w:i/>
          <w:iCs w:val="0"/>
        </w:rPr>
        <w:t xml:space="preserve">the </w:t>
      </w:r>
      <w:r w:rsidR="008A6C79" w:rsidRPr="008A6C79">
        <w:rPr>
          <w:i/>
          <w:iCs w:val="0"/>
        </w:rPr>
        <w:t>Employer</w:t>
      </w:r>
      <w:r w:rsidR="008A6C79">
        <w:t>)</w:t>
      </w:r>
      <w:r w:rsidR="00C255CC">
        <w:t xml:space="preserve"> </w:t>
      </w:r>
      <w:r w:rsidR="00D92BBA" w:rsidRPr="00D92BBA">
        <w:t xml:space="preserve">under a </w:t>
      </w:r>
      <w:r w:rsidR="00C676FA">
        <w:t xml:space="preserve">performance </w:t>
      </w:r>
      <w:r w:rsidR="00D92BBA" w:rsidRPr="00D92BBA">
        <w:t xml:space="preserve">guarantee issued by </w:t>
      </w:r>
      <w:r w:rsidR="0001351A">
        <w:t xml:space="preserve">Santam  </w:t>
      </w:r>
      <w:r w:rsidR="00D92BBA" w:rsidRPr="00D92BBA">
        <w:t>under number 14816</w:t>
      </w:r>
      <w:r w:rsidR="0090118C">
        <w:t xml:space="preserve"> </w:t>
      </w:r>
      <w:r w:rsidR="00D92BBA" w:rsidRPr="00D92BBA">
        <w:t>(</w:t>
      </w:r>
      <w:r w:rsidR="00D92BBA" w:rsidRPr="00EC3759">
        <w:rPr>
          <w:i/>
          <w:iCs w:val="0"/>
        </w:rPr>
        <w:t>the Guarantee</w:t>
      </w:r>
      <w:r w:rsidR="00EC3759">
        <w:t>)</w:t>
      </w:r>
      <w:r w:rsidR="0001351A">
        <w:t xml:space="preserve"> i</w:t>
      </w:r>
      <w:r w:rsidR="0083621B">
        <w:t>n favour of the Employer which G</w:t>
      </w:r>
      <w:r w:rsidR="0001351A">
        <w:t>uarantee is expressed to be payable on receipt of an appropriately worded demand from the 3</w:t>
      </w:r>
      <w:r w:rsidR="0001351A" w:rsidRPr="0001351A">
        <w:rPr>
          <w:vertAlign w:val="superscript"/>
        </w:rPr>
        <w:t>rd</w:t>
      </w:r>
      <w:r w:rsidR="0001351A">
        <w:t xml:space="preserve"> Respondent (</w:t>
      </w:r>
      <w:r w:rsidR="0001351A" w:rsidRPr="0001351A">
        <w:rPr>
          <w:i/>
          <w:iCs w:val="0"/>
        </w:rPr>
        <w:t>Nedbank</w:t>
      </w:r>
      <w:r w:rsidR="0083621B">
        <w:t>)</w:t>
      </w:r>
      <w:r w:rsidR="00F86167">
        <w:t>, the Employer’s agent</w:t>
      </w:r>
      <w:r w:rsidR="0083621B">
        <w:t xml:space="preserve">. </w:t>
      </w:r>
      <w:r w:rsidR="00B40C66">
        <w:t>The basis upon</w:t>
      </w:r>
      <w:r w:rsidR="00D92BBA" w:rsidRPr="00D92BBA">
        <w:t xml:space="preserve"> which the </w:t>
      </w:r>
      <w:r w:rsidR="0001351A">
        <w:t xml:space="preserve">interdictory </w:t>
      </w:r>
      <w:r w:rsidR="00D92BBA" w:rsidRPr="00D92BBA">
        <w:t xml:space="preserve">relief is sought is that the demand by </w:t>
      </w:r>
      <w:r w:rsidR="00B008C0" w:rsidRPr="0001351A">
        <w:t>Nedbank</w:t>
      </w:r>
      <w:r w:rsidR="00B008C0">
        <w:t xml:space="preserve"> </w:t>
      </w:r>
      <w:r w:rsidR="00D92BBA" w:rsidRPr="00D92BBA">
        <w:t xml:space="preserve">for payment of the amount of </w:t>
      </w:r>
      <w:r w:rsidR="00F86167">
        <w:t xml:space="preserve">                       </w:t>
      </w:r>
      <w:r w:rsidR="00D92BBA" w:rsidRPr="00D92BBA">
        <w:t>R164 163 815.10</w:t>
      </w:r>
      <w:r w:rsidR="00077E9E">
        <w:t xml:space="preserve"> </w:t>
      </w:r>
      <w:r w:rsidR="00D92BBA" w:rsidRPr="00D92BBA">
        <w:t>is fraudule</w:t>
      </w:r>
      <w:r w:rsidR="00077E9E">
        <w:t>nt in that,</w:t>
      </w:r>
      <w:r w:rsidR="00D92BBA" w:rsidRPr="00D92BBA">
        <w:t xml:space="preserve"> to the knowledge of</w:t>
      </w:r>
      <w:r w:rsidR="00077E9E">
        <w:t xml:space="preserve"> the Employer and </w:t>
      </w:r>
      <w:r w:rsidR="00B008C0">
        <w:t>Nedbank</w:t>
      </w:r>
      <w:r w:rsidR="00D92BBA" w:rsidRPr="00D92BBA">
        <w:t xml:space="preserve">, the </w:t>
      </w:r>
      <w:r w:rsidR="00BB03E1">
        <w:t>Con</w:t>
      </w:r>
      <w:r w:rsidR="00C2593B">
        <w:t xml:space="preserve">tractor </w:t>
      </w:r>
      <w:r w:rsidR="00D92BBA" w:rsidRPr="00D92BBA">
        <w:t xml:space="preserve">is not indebted to the </w:t>
      </w:r>
      <w:r w:rsidR="00BB03E1">
        <w:t>Employer</w:t>
      </w:r>
      <w:r w:rsidR="00D92BBA" w:rsidRPr="00D92BBA">
        <w:t xml:space="preserve"> in th</w:t>
      </w:r>
      <w:r w:rsidR="00B32128">
        <w:t>e</w:t>
      </w:r>
      <w:r w:rsidR="00D92BBA" w:rsidRPr="00D92BBA">
        <w:t xml:space="preserve"> amount </w:t>
      </w:r>
      <w:r w:rsidR="00B32128">
        <w:t xml:space="preserve">of </w:t>
      </w:r>
      <w:r w:rsidR="00B32128" w:rsidRPr="00D92BBA">
        <w:t>R164</w:t>
      </w:r>
      <w:r w:rsidR="00B32128">
        <w:t> </w:t>
      </w:r>
      <w:r w:rsidR="00B32128" w:rsidRPr="00D92BBA">
        <w:t>163</w:t>
      </w:r>
      <w:r w:rsidR="00B32128">
        <w:t xml:space="preserve"> </w:t>
      </w:r>
      <w:r w:rsidR="00B32128" w:rsidRPr="00D92BBA">
        <w:t>815.10</w:t>
      </w:r>
      <w:r w:rsidR="00B32128">
        <w:t xml:space="preserve"> </w:t>
      </w:r>
      <w:r w:rsidR="00D92BBA" w:rsidRPr="00D92BBA">
        <w:t xml:space="preserve">in respect of </w:t>
      </w:r>
      <w:r w:rsidR="00C226BB">
        <w:t>D</w:t>
      </w:r>
      <w:r w:rsidR="00D92BBA" w:rsidRPr="00D92BBA">
        <w:t xml:space="preserve">elay </w:t>
      </w:r>
      <w:r w:rsidR="00C226BB">
        <w:t>Li</w:t>
      </w:r>
      <w:r w:rsidR="00D92BBA" w:rsidRPr="00D92BBA">
        <w:t xml:space="preserve">quidated </w:t>
      </w:r>
      <w:r w:rsidR="00C226BB">
        <w:t>D</w:t>
      </w:r>
      <w:r w:rsidR="00D92BBA" w:rsidRPr="00D92BBA">
        <w:t>amages (</w:t>
      </w:r>
      <w:r w:rsidR="00D92BBA" w:rsidRPr="00BB03E1">
        <w:rPr>
          <w:i/>
          <w:iCs w:val="0"/>
        </w:rPr>
        <w:t>DLD's</w:t>
      </w:r>
      <w:r w:rsidR="00D92BBA" w:rsidRPr="00D92BBA">
        <w:t>).</w:t>
      </w:r>
    </w:p>
    <w:p w14:paraId="6731B3BC" w14:textId="0B665709" w:rsidR="00A460AB" w:rsidRDefault="00F46E0C" w:rsidP="00F46E0C">
      <w:pPr>
        <w:pStyle w:val="1"/>
        <w:numPr>
          <w:ilvl w:val="0"/>
          <w:numId w:val="0"/>
        </w:numPr>
        <w:tabs>
          <w:tab w:val="left" w:pos="567"/>
        </w:tabs>
      </w:pPr>
      <w:r>
        <w:t>[2]</w:t>
      </w:r>
      <w:r>
        <w:tab/>
      </w:r>
      <w:r w:rsidR="00C36540">
        <w:t>At the commencement of the proceedings</w:t>
      </w:r>
      <w:r w:rsidR="00B8032E">
        <w:t xml:space="preserve"> there was some uncertainty about the </w:t>
      </w:r>
      <w:r w:rsidR="009668F0">
        <w:t xml:space="preserve">extent </w:t>
      </w:r>
      <w:r w:rsidR="00B8032E">
        <w:t>of an undertaking</w:t>
      </w:r>
      <w:r w:rsidR="00093D31">
        <w:t xml:space="preserve"> given by Santam to the Contractor</w:t>
      </w:r>
      <w:r w:rsidR="008D31D3">
        <w:t xml:space="preserve">. </w:t>
      </w:r>
      <w:r w:rsidR="000351A4">
        <w:t>After some debate</w:t>
      </w:r>
      <w:r w:rsidR="004A5EE9">
        <w:t xml:space="preserve"> it was established that </w:t>
      </w:r>
      <w:r w:rsidR="000B5199">
        <w:t xml:space="preserve">the </w:t>
      </w:r>
      <w:r w:rsidR="00093D31">
        <w:t>agreement between San</w:t>
      </w:r>
      <w:r w:rsidR="00D52DC2">
        <w:t xml:space="preserve">tam and the Contractor </w:t>
      </w:r>
      <w:r w:rsidR="000B5199">
        <w:t xml:space="preserve">is </w:t>
      </w:r>
      <w:r w:rsidR="002368CF">
        <w:t>that Santam will not make payment to the Employer until finalisation of Part A</w:t>
      </w:r>
      <w:r w:rsidR="00901379">
        <w:t xml:space="preserve"> of this application i.e. the interim interdict proceedings</w:t>
      </w:r>
      <w:r w:rsidR="005B4AF8">
        <w:t xml:space="preserve"> serving before me.</w:t>
      </w:r>
      <w:r w:rsidR="00BF1993">
        <w:t xml:space="preserve"> After the hearing I reserved judgment.</w:t>
      </w:r>
    </w:p>
    <w:p w14:paraId="00150931" w14:textId="05FD53AF" w:rsidR="0083621B" w:rsidRDefault="0083621B" w:rsidP="0083621B">
      <w:pPr>
        <w:pStyle w:val="1"/>
        <w:numPr>
          <w:ilvl w:val="0"/>
          <w:numId w:val="0"/>
        </w:numPr>
      </w:pPr>
    </w:p>
    <w:p w14:paraId="62800DFB" w14:textId="77777777" w:rsidR="0083621B" w:rsidRDefault="0083621B" w:rsidP="0083621B">
      <w:pPr>
        <w:pStyle w:val="1"/>
        <w:numPr>
          <w:ilvl w:val="0"/>
          <w:numId w:val="0"/>
        </w:numPr>
      </w:pPr>
    </w:p>
    <w:p w14:paraId="77C4156F" w14:textId="1B5E4AC0" w:rsidR="00350D1F" w:rsidRDefault="00F46E0C" w:rsidP="00F46E0C">
      <w:pPr>
        <w:pStyle w:val="1"/>
        <w:numPr>
          <w:ilvl w:val="0"/>
          <w:numId w:val="0"/>
        </w:numPr>
        <w:tabs>
          <w:tab w:val="left" w:pos="567"/>
        </w:tabs>
      </w:pPr>
      <w:r>
        <w:t>[3]</w:t>
      </w:r>
      <w:r>
        <w:tab/>
      </w:r>
      <w:r w:rsidR="006E5CF5">
        <w:t>On 10 November 2023</w:t>
      </w:r>
      <w:r w:rsidR="00D319EC">
        <w:t xml:space="preserve"> I granted </w:t>
      </w:r>
      <w:r w:rsidR="00761CC3">
        <w:t>the following</w:t>
      </w:r>
      <w:r w:rsidR="00D319EC">
        <w:t xml:space="preserve"> order:</w:t>
      </w:r>
    </w:p>
    <w:p w14:paraId="5A7D97F8" w14:textId="58003782" w:rsidR="00D319EC" w:rsidRDefault="00F46E0C" w:rsidP="00F46E0C">
      <w:pPr>
        <w:pStyle w:val="2"/>
        <w:numPr>
          <w:ilvl w:val="0"/>
          <w:numId w:val="0"/>
        </w:numPr>
        <w:tabs>
          <w:tab w:val="left" w:pos="2268"/>
        </w:tabs>
        <w:ind w:left="1134" w:hanging="567"/>
      </w:pPr>
      <w:r>
        <w:t>(a)</w:t>
      </w:r>
      <w:r>
        <w:tab/>
      </w:r>
      <w:r w:rsidR="00D319EC">
        <w:t>The 1</w:t>
      </w:r>
      <w:r w:rsidR="00D319EC" w:rsidRPr="00D319EC">
        <w:rPr>
          <w:vertAlign w:val="superscript"/>
        </w:rPr>
        <w:t>st</w:t>
      </w:r>
      <w:r w:rsidR="00D319EC">
        <w:t xml:space="preserve"> Respondent</w:t>
      </w:r>
      <w:r w:rsidR="0092439D">
        <w:t xml:space="preserve"> [Santam]</w:t>
      </w:r>
      <w:r w:rsidR="00D319EC">
        <w:t xml:space="preserve"> is interdicted and restrained from making payment under the Performance Guarantee No</w:t>
      </w:r>
      <w:r w:rsidR="00853BD4">
        <w:t xml:space="preserve">. 14816 pending the outcome of the action instituted under case number </w:t>
      </w:r>
      <w:r w:rsidR="00A6484E">
        <w:t>2023-00166;</w:t>
      </w:r>
    </w:p>
    <w:p w14:paraId="4084F86D" w14:textId="694A0720" w:rsidR="004F0485" w:rsidRDefault="00F46E0C" w:rsidP="00F46E0C">
      <w:pPr>
        <w:pStyle w:val="2"/>
        <w:numPr>
          <w:ilvl w:val="0"/>
          <w:numId w:val="0"/>
        </w:numPr>
        <w:tabs>
          <w:tab w:val="left" w:pos="2268"/>
        </w:tabs>
        <w:ind w:left="1134" w:hanging="567"/>
      </w:pPr>
      <w:r>
        <w:t>(b)</w:t>
      </w:r>
      <w:r>
        <w:tab/>
      </w:r>
      <w:r w:rsidR="00A6484E">
        <w:t>The costs are reserved for determination in the action.</w:t>
      </w:r>
    </w:p>
    <w:p w14:paraId="36D2D170" w14:textId="0B0F695F" w:rsidR="0083621B" w:rsidRPr="00761CC3" w:rsidRDefault="00F46E0C" w:rsidP="00F46E0C">
      <w:pPr>
        <w:pStyle w:val="1"/>
        <w:numPr>
          <w:ilvl w:val="0"/>
          <w:numId w:val="0"/>
        </w:numPr>
        <w:tabs>
          <w:tab w:val="left" w:pos="567"/>
        </w:tabs>
      </w:pPr>
      <w:r w:rsidRPr="00761CC3">
        <w:t>[4]</w:t>
      </w:r>
      <w:r w:rsidRPr="00761CC3">
        <w:tab/>
      </w:r>
      <w:r w:rsidR="004F0485">
        <w:t xml:space="preserve">I undertook </w:t>
      </w:r>
      <w:r w:rsidR="00877916">
        <w:t>to provide reasons. In what follows, I provide same.</w:t>
      </w:r>
    </w:p>
    <w:p w14:paraId="2DBE5C8C" w14:textId="2AB597FF" w:rsidR="00C15C0A" w:rsidRPr="002D113B" w:rsidRDefault="00C15C0A" w:rsidP="00107041">
      <w:pPr>
        <w:pStyle w:val="1"/>
        <w:numPr>
          <w:ilvl w:val="0"/>
          <w:numId w:val="0"/>
        </w:numPr>
        <w:rPr>
          <w:b/>
          <w:bCs/>
          <w:u w:val="single"/>
        </w:rPr>
      </w:pPr>
      <w:r w:rsidRPr="002D113B">
        <w:rPr>
          <w:b/>
          <w:bCs/>
          <w:u w:val="single"/>
        </w:rPr>
        <w:t>The nature of the relief</w:t>
      </w:r>
      <w:r w:rsidR="002D113B" w:rsidRPr="002D113B">
        <w:rPr>
          <w:b/>
          <w:bCs/>
          <w:u w:val="single"/>
        </w:rPr>
        <w:t xml:space="preserve"> and the complaint</w:t>
      </w:r>
    </w:p>
    <w:p w14:paraId="2D1363E7" w14:textId="628E6040" w:rsidR="00216294" w:rsidRDefault="00F46E0C" w:rsidP="00F46E0C">
      <w:pPr>
        <w:pStyle w:val="1"/>
        <w:numPr>
          <w:ilvl w:val="0"/>
          <w:numId w:val="0"/>
        </w:numPr>
        <w:tabs>
          <w:tab w:val="left" w:pos="567"/>
        </w:tabs>
      </w:pPr>
      <w:r>
        <w:t>[5]</w:t>
      </w:r>
      <w:r>
        <w:tab/>
      </w:r>
      <w:r w:rsidR="00347E7E" w:rsidRPr="00347E7E">
        <w:t xml:space="preserve">In order for an interim interdict to be granted, </w:t>
      </w:r>
      <w:r w:rsidR="00B77CE0">
        <w:t>an</w:t>
      </w:r>
      <w:r w:rsidR="00347E7E" w:rsidRPr="00347E7E">
        <w:t xml:space="preserve"> </w:t>
      </w:r>
      <w:r w:rsidR="00B77CE0">
        <w:t>a</w:t>
      </w:r>
      <w:r w:rsidR="00347E7E" w:rsidRPr="00347E7E">
        <w:t>pplicant must establish</w:t>
      </w:r>
      <w:r w:rsidR="00B77CE0">
        <w:t xml:space="preserve"> a </w:t>
      </w:r>
      <w:r w:rsidR="00347E7E" w:rsidRPr="002D113B">
        <w:rPr>
          <w:i/>
          <w:iCs w:val="0"/>
        </w:rPr>
        <w:t xml:space="preserve">prima facie </w:t>
      </w:r>
      <w:r w:rsidR="00347E7E" w:rsidRPr="00347E7E">
        <w:t>right</w:t>
      </w:r>
      <w:r w:rsidR="00B77CE0">
        <w:t>, a</w:t>
      </w:r>
      <w:r w:rsidR="00347E7E" w:rsidRPr="00347E7E">
        <w:t xml:space="preserve"> well-grounded threat of irreparable harm</w:t>
      </w:r>
      <w:r w:rsidR="00B77CE0">
        <w:t>, that the</w:t>
      </w:r>
      <w:r w:rsidR="00347E7E" w:rsidRPr="00347E7E">
        <w:t xml:space="preserve"> balance of convenience favours the grant of the interdict sough</w:t>
      </w:r>
      <w:r w:rsidR="0003236A">
        <w:t>t</w:t>
      </w:r>
      <w:r w:rsidR="00B77CE0">
        <w:t xml:space="preserve"> and that t</w:t>
      </w:r>
      <w:r w:rsidR="00347E7E" w:rsidRPr="00347E7E">
        <w:t>here is no alternative and effective remedy</w:t>
      </w:r>
      <w:r w:rsidR="0001351A">
        <w:rPr>
          <w:rStyle w:val="FootnoteReference"/>
        </w:rPr>
        <w:footnoteReference w:id="1"/>
      </w:r>
      <w:r w:rsidR="00347E7E" w:rsidRPr="00347E7E">
        <w:t>.</w:t>
      </w:r>
      <w:r w:rsidR="00B77CE0">
        <w:t xml:space="preserve"> </w:t>
      </w:r>
      <w:r w:rsidR="00BA3803" w:rsidRPr="00BA3803">
        <w:t>These requirements are to be assessed together and are not to be judged in isolation. Ultimately, this Court must consider whether the granting of the interim interdict would be in the interests of justice.</w:t>
      </w:r>
    </w:p>
    <w:p w14:paraId="5E78F585" w14:textId="6737CBB2" w:rsidR="00647ADD" w:rsidRDefault="00F46E0C" w:rsidP="00F46E0C">
      <w:pPr>
        <w:pStyle w:val="1"/>
        <w:numPr>
          <w:ilvl w:val="0"/>
          <w:numId w:val="0"/>
        </w:numPr>
        <w:tabs>
          <w:tab w:val="left" w:pos="567"/>
        </w:tabs>
      </w:pPr>
      <w:r>
        <w:t>[6]</w:t>
      </w:r>
      <w:r>
        <w:tab/>
      </w:r>
      <w:r w:rsidR="0092439D">
        <w:t>The order I was</w:t>
      </w:r>
      <w:r w:rsidR="00124A62">
        <w:t xml:space="preserve"> requested to make is not definitive of the parties’ legal rights. The order does not determine finally whether</w:t>
      </w:r>
      <w:r w:rsidR="00647ADD">
        <w:t xml:space="preserve"> </w:t>
      </w:r>
      <w:r w:rsidR="00647ADD" w:rsidRPr="00D92BBA">
        <w:t>the demand for payment of the amount of R164 163 815.10</w:t>
      </w:r>
      <w:r w:rsidR="00647ADD">
        <w:t xml:space="preserve"> </w:t>
      </w:r>
      <w:r w:rsidR="00647ADD" w:rsidRPr="00D92BBA">
        <w:t>is fraudule</w:t>
      </w:r>
      <w:r w:rsidR="00647ADD">
        <w:t>nt in that,</w:t>
      </w:r>
      <w:r w:rsidR="00647ADD" w:rsidRPr="00D92BBA">
        <w:t xml:space="preserve"> to the knowledge of</w:t>
      </w:r>
      <w:r w:rsidR="00647ADD">
        <w:t xml:space="preserve"> the Employer and Nedbank</w:t>
      </w:r>
      <w:r w:rsidR="00647ADD" w:rsidRPr="00D92BBA">
        <w:t xml:space="preserve">, the </w:t>
      </w:r>
      <w:r w:rsidR="00647ADD">
        <w:t xml:space="preserve">Contractor </w:t>
      </w:r>
      <w:r w:rsidR="00647ADD" w:rsidRPr="00D92BBA">
        <w:t xml:space="preserve">is not indebted to the </w:t>
      </w:r>
      <w:r w:rsidR="00647ADD">
        <w:t>Employer</w:t>
      </w:r>
      <w:r w:rsidR="00647ADD" w:rsidRPr="00D92BBA">
        <w:t xml:space="preserve"> in th</w:t>
      </w:r>
      <w:r w:rsidR="00647ADD">
        <w:t>e</w:t>
      </w:r>
      <w:r w:rsidR="00647ADD" w:rsidRPr="00D92BBA">
        <w:t xml:space="preserve"> amount </w:t>
      </w:r>
      <w:r w:rsidR="00647ADD">
        <w:t xml:space="preserve">of </w:t>
      </w:r>
      <w:r w:rsidR="00647ADD" w:rsidRPr="00D92BBA">
        <w:t>R164</w:t>
      </w:r>
      <w:r w:rsidR="00647ADD">
        <w:t> </w:t>
      </w:r>
      <w:r w:rsidR="00647ADD" w:rsidRPr="00D92BBA">
        <w:t>163</w:t>
      </w:r>
      <w:r w:rsidR="00647ADD">
        <w:t xml:space="preserve"> </w:t>
      </w:r>
      <w:r w:rsidR="00647ADD" w:rsidRPr="00D92BBA">
        <w:t>815.10</w:t>
      </w:r>
      <w:r w:rsidR="00647ADD">
        <w:t xml:space="preserve"> </w:t>
      </w:r>
      <w:r w:rsidR="00647ADD" w:rsidRPr="00D92BBA">
        <w:t xml:space="preserve">in respect of </w:t>
      </w:r>
      <w:r w:rsidR="00647ADD">
        <w:t>D</w:t>
      </w:r>
      <w:r w:rsidR="00647ADD" w:rsidRPr="00D92BBA">
        <w:t xml:space="preserve">elay </w:t>
      </w:r>
      <w:r w:rsidR="00647ADD">
        <w:t>Li</w:t>
      </w:r>
      <w:r w:rsidR="00647ADD" w:rsidRPr="00D92BBA">
        <w:t xml:space="preserve">quidated </w:t>
      </w:r>
      <w:r w:rsidR="00647ADD">
        <w:t>D</w:t>
      </w:r>
      <w:r w:rsidR="00647ADD" w:rsidRPr="00D92BBA">
        <w:t>amages (</w:t>
      </w:r>
      <w:r w:rsidR="00647ADD" w:rsidRPr="00BB03E1">
        <w:rPr>
          <w:i/>
          <w:iCs w:val="0"/>
        </w:rPr>
        <w:t>DLD's</w:t>
      </w:r>
      <w:r w:rsidR="00647ADD" w:rsidRPr="00D92BBA">
        <w:t>).</w:t>
      </w:r>
      <w:r w:rsidR="00323598">
        <w:t xml:space="preserve"> That being so,</w:t>
      </w:r>
      <w:r w:rsidR="00C35B0F">
        <w:t xml:space="preserve"> </w:t>
      </w:r>
      <w:r w:rsidR="0083621B">
        <w:t xml:space="preserve">all the </w:t>
      </w:r>
      <w:r w:rsidR="0083621B">
        <w:lastRenderedPageBreak/>
        <w:t>Contractor needs</w:t>
      </w:r>
      <w:r w:rsidR="00323598">
        <w:t xml:space="preserve"> to show is a </w:t>
      </w:r>
      <w:r w:rsidR="00323598" w:rsidRPr="0083621B">
        <w:rPr>
          <w:i/>
          <w:iCs w:val="0"/>
        </w:rPr>
        <w:t>prima facie</w:t>
      </w:r>
      <w:r w:rsidR="00323598">
        <w:t xml:space="preserve"> right</w:t>
      </w:r>
      <w:r w:rsidR="00C35B0F">
        <w:t xml:space="preserve">, though open to some doubt ie the </w:t>
      </w:r>
      <w:r w:rsidR="00C35B0F" w:rsidRPr="0083621B">
        <w:rPr>
          <w:i/>
          <w:iCs w:val="0"/>
        </w:rPr>
        <w:t>Webster v Mitchell</w:t>
      </w:r>
      <w:r w:rsidR="00C35B0F">
        <w:t xml:space="preserve"> test</w:t>
      </w:r>
      <w:r w:rsidR="00856891">
        <w:rPr>
          <w:rStyle w:val="FootnoteReference"/>
        </w:rPr>
        <w:footnoteReference w:id="2"/>
      </w:r>
      <w:r w:rsidR="00C35B0F">
        <w:t xml:space="preserve"> and not the </w:t>
      </w:r>
      <w:r w:rsidR="00C35B0F" w:rsidRPr="0083621B">
        <w:rPr>
          <w:i/>
          <w:iCs w:val="0"/>
        </w:rPr>
        <w:t>Plascon-Evans</w:t>
      </w:r>
      <w:r w:rsidR="00856891">
        <w:rPr>
          <w:rStyle w:val="FootnoteReference"/>
          <w:i/>
          <w:iCs w:val="0"/>
        </w:rPr>
        <w:footnoteReference w:id="3"/>
      </w:r>
      <w:r w:rsidR="00C35B0F">
        <w:t xml:space="preserve"> test.</w:t>
      </w:r>
    </w:p>
    <w:p w14:paraId="23F659BE" w14:textId="0CB7189C" w:rsidR="004656F0" w:rsidRDefault="00F46E0C" w:rsidP="00F46E0C">
      <w:pPr>
        <w:pStyle w:val="1"/>
        <w:numPr>
          <w:ilvl w:val="0"/>
          <w:numId w:val="0"/>
        </w:numPr>
        <w:tabs>
          <w:tab w:val="left" w:pos="567"/>
        </w:tabs>
      </w:pPr>
      <w:r>
        <w:t>[7]</w:t>
      </w:r>
      <w:r>
        <w:tab/>
      </w:r>
      <w:r w:rsidR="008E0E6D" w:rsidRPr="008E0E6D">
        <w:t xml:space="preserve">The </w:t>
      </w:r>
      <w:r w:rsidR="005476B4">
        <w:t>Contractor</w:t>
      </w:r>
      <w:r w:rsidR="008E0E6D" w:rsidRPr="008E0E6D">
        <w:t xml:space="preserve"> alleges that the demand under the </w:t>
      </w:r>
      <w:r w:rsidR="005476B4">
        <w:t>G</w:t>
      </w:r>
      <w:r w:rsidR="008E0E6D" w:rsidRPr="008E0E6D">
        <w:t xml:space="preserve">uarantee was made fraudulently. In other words, the </w:t>
      </w:r>
      <w:r w:rsidR="005476B4">
        <w:t>Contractor’s</w:t>
      </w:r>
      <w:r w:rsidR="008E0E6D" w:rsidRPr="008E0E6D">
        <w:t xml:space="preserve"> case is that </w:t>
      </w:r>
      <w:r w:rsidR="005476B4">
        <w:t>Nedbank</w:t>
      </w:r>
      <w:r w:rsidR="008E0E6D" w:rsidRPr="008E0E6D">
        <w:t>,</w:t>
      </w:r>
      <w:r w:rsidR="008E0E6D">
        <w:t xml:space="preserve"> </w:t>
      </w:r>
      <w:r w:rsidR="008E0E6D" w:rsidRPr="008E0E6D">
        <w:t xml:space="preserve">acting on the instructions of the </w:t>
      </w:r>
      <w:r w:rsidR="005476B4">
        <w:t>Employer</w:t>
      </w:r>
      <w:r w:rsidR="008E0E6D" w:rsidRPr="008E0E6D">
        <w:t xml:space="preserve">, </w:t>
      </w:r>
      <w:r w:rsidR="00856891">
        <w:t>with knowledge of the falseness of what was represented in th</w:t>
      </w:r>
      <w:r w:rsidR="0083621B">
        <w:t>e demand for payment under the G</w:t>
      </w:r>
      <w:r w:rsidR="00856891">
        <w:t xml:space="preserve">uarantee </w:t>
      </w:r>
      <w:r w:rsidR="008E0E6D" w:rsidRPr="008E0E6D">
        <w:t xml:space="preserve">misrepresented the true state of affairs. </w:t>
      </w:r>
    </w:p>
    <w:p w14:paraId="1AE76DA5" w14:textId="1C4135BB" w:rsidR="008E0E6D" w:rsidRDefault="00F46E0C" w:rsidP="00F46E0C">
      <w:pPr>
        <w:pStyle w:val="1"/>
        <w:numPr>
          <w:ilvl w:val="0"/>
          <w:numId w:val="0"/>
        </w:numPr>
        <w:tabs>
          <w:tab w:val="left" w:pos="567"/>
        </w:tabs>
      </w:pPr>
      <w:r>
        <w:t>[8]</w:t>
      </w:r>
      <w:r>
        <w:tab/>
      </w:r>
      <w:r w:rsidR="008E0E6D" w:rsidRPr="008E0E6D">
        <w:t xml:space="preserve">Since the </w:t>
      </w:r>
      <w:r w:rsidR="005476B4">
        <w:t xml:space="preserve">Contractor </w:t>
      </w:r>
      <w:r w:rsidR="008E0E6D" w:rsidRPr="008E0E6D">
        <w:t>has invoked what is known as the fraud exception</w:t>
      </w:r>
      <w:r w:rsidR="005476B4">
        <w:t>,</w:t>
      </w:r>
      <w:r w:rsidR="008E0E6D" w:rsidRPr="008E0E6D">
        <w:t xml:space="preserve"> it follows that th</w:t>
      </w:r>
      <w:r w:rsidR="006D26F3">
        <w:t>is</w:t>
      </w:r>
      <w:r w:rsidR="008E0E6D" w:rsidRPr="008E0E6D">
        <w:t xml:space="preserve"> Court is required to consider the facts </w:t>
      </w:r>
      <w:r w:rsidR="00F604A7">
        <w:t xml:space="preserve">insofar as they relate to the demand. </w:t>
      </w:r>
      <w:r w:rsidR="008E0E6D" w:rsidRPr="008E0E6D">
        <w:t xml:space="preserve">After all, fraud is primarily a factual and not a legal matter. </w:t>
      </w:r>
      <w:r w:rsidR="00A569C3">
        <w:t>T</w:t>
      </w:r>
      <w:r w:rsidR="008E0E6D" w:rsidRPr="008E0E6D">
        <w:t xml:space="preserve">he basis of the demand is material to the issues in this application. </w:t>
      </w:r>
      <w:r w:rsidR="00F5224E">
        <w:t xml:space="preserve">Without an </w:t>
      </w:r>
      <w:r w:rsidR="008E0E6D" w:rsidRPr="008E0E6D">
        <w:t>understanding of wh</w:t>
      </w:r>
      <w:r w:rsidR="00F5224E">
        <w:t>y</w:t>
      </w:r>
      <w:r w:rsidR="008E0E6D" w:rsidRPr="008E0E6D">
        <w:t xml:space="preserve"> the demand was made, the question of </w:t>
      </w:r>
      <w:r w:rsidR="00F5224E">
        <w:t xml:space="preserve">whether the </w:t>
      </w:r>
      <w:r w:rsidR="008E0E6D" w:rsidRPr="008E0E6D">
        <w:t>demand is fraudulent cannot be entertained.</w:t>
      </w:r>
    </w:p>
    <w:p w14:paraId="3BE4AD8A" w14:textId="09D3C535" w:rsidR="00E8497F" w:rsidRDefault="00F46E0C" w:rsidP="00F46E0C">
      <w:pPr>
        <w:pStyle w:val="1"/>
        <w:numPr>
          <w:ilvl w:val="0"/>
          <w:numId w:val="0"/>
        </w:numPr>
        <w:tabs>
          <w:tab w:val="left" w:pos="567"/>
        </w:tabs>
      </w:pPr>
      <w:r>
        <w:t>[9]</w:t>
      </w:r>
      <w:r>
        <w:tab/>
      </w:r>
      <w:r w:rsidR="0068346B">
        <w:t xml:space="preserve">It </w:t>
      </w:r>
      <w:r w:rsidR="00E8497F" w:rsidRPr="00E8497F">
        <w:t>is common cause</w:t>
      </w:r>
      <w:r w:rsidR="0068346B">
        <w:t xml:space="preserve"> </w:t>
      </w:r>
      <w:r w:rsidR="00E8497F" w:rsidRPr="00E8497F">
        <w:t xml:space="preserve">that the basis of the demand is the alleged indebtedness of the </w:t>
      </w:r>
      <w:r w:rsidR="00D10953">
        <w:t xml:space="preserve">Contractor </w:t>
      </w:r>
      <w:r w:rsidR="00E8497F" w:rsidRPr="00E8497F">
        <w:t xml:space="preserve">in relation to the DLD's. It is the alleged indebtedness of the </w:t>
      </w:r>
      <w:r w:rsidR="00D10953">
        <w:t>Contractor</w:t>
      </w:r>
      <w:r w:rsidR="00E8497F" w:rsidRPr="00E8497F">
        <w:t xml:space="preserve"> in regard to the DLD's that lies at the heart of the fraud issue. </w:t>
      </w:r>
    </w:p>
    <w:p w14:paraId="693576F3" w14:textId="3A271EC2" w:rsidR="00487C22" w:rsidRPr="0046416D" w:rsidRDefault="00F46E0C" w:rsidP="00F46E0C">
      <w:pPr>
        <w:pStyle w:val="1"/>
        <w:numPr>
          <w:ilvl w:val="0"/>
          <w:numId w:val="0"/>
        </w:numPr>
        <w:tabs>
          <w:tab w:val="left" w:pos="567"/>
        </w:tabs>
      </w:pPr>
      <w:r w:rsidRPr="0046416D">
        <w:t>[10]</w:t>
      </w:r>
      <w:r w:rsidRPr="0046416D">
        <w:tab/>
      </w:r>
      <w:r w:rsidR="00BE33A1" w:rsidRPr="00BE33A1">
        <w:t xml:space="preserve">It is the </w:t>
      </w:r>
      <w:r w:rsidR="00D47BA5">
        <w:t>Contractor’s</w:t>
      </w:r>
      <w:r w:rsidR="00BE33A1" w:rsidRPr="00BE33A1">
        <w:t xml:space="preserve"> case that its indebtedness in relation to the DLD's was duly paid by way of a cash payment on 20 December 2021 of R28 222 982.35 and by way of set-off or withholding of the amount of R164 163 815.10,</w:t>
      </w:r>
      <w:r w:rsidR="00D47BA5">
        <w:t xml:space="preserve"> </w:t>
      </w:r>
      <w:r w:rsidR="00BE33A1" w:rsidRPr="00BE33A1">
        <w:t>which withholding</w:t>
      </w:r>
      <w:r w:rsidR="004B027B">
        <w:t>,</w:t>
      </w:r>
      <w:r w:rsidR="00BE33A1" w:rsidRPr="00BE33A1">
        <w:t xml:space="preserve"> the </w:t>
      </w:r>
      <w:r w:rsidR="00D47BA5">
        <w:t xml:space="preserve">Contractor </w:t>
      </w:r>
      <w:r w:rsidR="00BE33A1" w:rsidRPr="00BE33A1">
        <w:t>says</w:t>
      </w:r>
      <w:r w:rsidR="0026664A">
        <w:t>,</w:t>
      </w:r>
      <w:r w:rsidR="00BE33A1" w:rsidRPr="00BE33A1">
        <w:t xml:space="preserve"> took place in 2021 as and when it achieved a milestone.</w:t>
      </w:r>
      <w:r w:rsidR="009950B2">
        <w:t xml:space="preserve"> The Employer denies this set-off or withholding</w:t>
      </w:r>
      <w:r w:rsidR="00C65CE4">
        <w:t xml:space="preserve"> and says that although its Annual Financial Statements</w:t>
      </w:r>
      <w:r w:rsidR="00B54C4F">
        <w:t xml:space="preserve"> record </w:t>
      </w:r>
      <w:r w:rsidR="00856891">
        <w:t>as a fact the Contractor’s version (</w:t>
      </w:r>
      <w:r w:rsidR="00B54C4F">
        <w:t>at 3 different places</w:t>
      </w:r>
      <w:r w:rsidR="00856891">
        <w:t xml:space="preserve"> in the </w:t>
      </w:r>
      <w:r w:rsidR="00856891">
        <w:lastRenderedPageBreak/>
        <w:t>Employer’s Annual Financial Statements)</w:t>
      </w:r>
      <w:r w:rsidR="00B54C4F">
        <w:t xml:space="preserve">, </w:t>
      </w:r>
      <w:r w:rsidR="00856891">
        <w:t xml:space="preserve">this was merely </w:t>
      </w:r>
      <w:r w:rsidR="00B54C4F">
        <w:t xml:space="preserve">an accounting </w:t>
      </w:r>
      <w:r w:rsidR="00162196">
        <w:t>entry based on incorrect facts which falls to be reversed.</w:t>
      </w:r>
    </w:p>
    <w:p w14:paraId="7E64263D" w14:textId="481E2CA8" w:rsidR="00487C22" w:rsidRPr="00487C22" w:rsidRDefault="00487C22" w:rsidP="00107041">
      <w:pPr>
        <w:pStyle w:val="1"/>
        <w:numPr>
          <w:ilvl w:val="0"/>
          <w:numId w:val="0"/>
        </w:numPr>
        <w:rPr>
          <w:b/>
          <w:bCs/>
          <w:u w:val="single"/>
        </w:rPr>
      </w:pPr>
      <w:r w:rsidRPr="00487C22">
        <w:rPr>
          <w:b/>
          <w:bCs/>
          <w:u w:val="single"/>
        </w:rPr>
        <w:t xml:space="preserve">Legal position iro fraud and </w:t>
      </w:r>
      <w:r w:rsidR="00B260A2">
        <w:rPr>
          <w:b/>
          <w:bCs/>
          <w:u w:val="single"/>
        </w:rPr>
        <w:t xml:space="preserve">performance </w:t>
      </w:r>
      <w:r w:rsidRPr="00487C22">
        <w:rPr>
          <w:b/>
          <w:bCs/>
          <w:u w:val="single"/>
        </w:rPr>
        <w:t>guarantees</w:t>
      </w:r>
    </w:p>
    <w:p w14:paraId="438FB4E9" w14:textId="245DB64B" w:rsidR="00216294" w:rsidRPr="00F73C18" w:rsidRDefault="00F46E0C" w:rsidP="00F46E0C">
      <w:pPr>
        <w:pStyle w:val="1"/>
        <w:numPr>
          <w:ilvl w:val="0"/>
          <w:numId w:val="0"/>
        </w:numPr>
        <w:tabs>
          <w:tab w:val="left" w:pos="567"/>
        </w:tabs>
      </w:pPr>
      <w:r w:rsidRPr="00F73C18">
        <w:t>[11]</w:t>
      </w:r>
      <w:r w:rsidRPr="00F73C18">
        <w:tab/>
      </w:r>
      <w:r w:rsidR="00216294" w:rsidRPr="001944F1">
        <w:t>The legal position</w:t>
      </w:r>
      <w:r w:rsidR="00216294">
        <w:t xml:space="preserve"> </w:t>
      </w:r>
      <w:r w:rsidR="00216294" w:rsidRPr="001944F1">
        <w:t>is succinctly summarised i</w:t>
      </w:r>
      <w:r w:rsidR="00216294" w:rsidRPr="00F73C18">
        <w:rPr>
          <w:rFonts w:cs="Arial"/>
        </w:rPr>
        <w:t xml:space="preserve">n </w:t>
      </w:r>
      <w:r w:rsidR="00216294" w:rsidRPr="00F73C18">
        <w:rPr>
          <w:rFonts w:cs="Arial"/>
          <w:i/>
        </w:rPr>
        <w:t>Guardrisk Insurance Company Ltd v Kentz (Pty) Ltd</w:t>
      </w:r>
      <w:r w:rsidR="0092439D">
        <w:rPr>
          <w:rFonts w:cs="Arial"/>
          <w:i/>
        </w:rPr>
        <w:t xml:space="preserve"> </w:t>
      </w:r>
      <w:r w:rsidR="00216294">
        <w:rPr>
          <w:rStyle w:val="FootnoteReference"/>
          <w:rFonts w:cs="Arial"/>
          <w:i/>
        </w:rPr>
        <w:footnoteReference w:id="4"/>
      </w:r>
      <w:r w:rsidR="00216294" w:rsidRPr="00F73C18">
        <w:rPr>
          <w:rFonts w:cs="Arial"/>
          <w:lang w:val="en-US"/>
        </w:rPr>
        <w:t xml:space="preserve">, </w:t>
      </w:r>
      <w:r w:rsidR="00216294">
        <w:rPr>
          <w:rFonts w:cs="Arial"/>
          <w:lang w:val="en-US"/>
        </w:rPr>
        <w:t xml:space="preserve">where </w:t>
      </w:r>
      <w:r w:rsidR="00216294" w:rsidRPr="00F73C18">
        <w:rPr>
          <w:rFonts w:cs="Arial"/>
          <w:lang w:val="en-US"/>
        </w:rPr>
        <w:t>Theron JA</w:t>
      </w:r>
      <w:r w:rsidR="00216294">
        <w:rPr>
          <w:rFonts w:cs="Arial"/>
          <w:lang w:val="en-US"/>
        </w:rPr>
        <w:t xml:space="preserve"> (as she then was)</w:t>
      </w:r>
      <w:r w:rsidR="00216294" w:rsidRPr="00F73C18">
        <w:rPr>
          <w:rFonts w:cs="Arial"/>
          <w:lang w:val="en-US"/>
        </w:rPr>
        <w:t xml:space="preserve"> held as follows:</w:t>
      </w:r>
    </w:p>
    <w:p w14:paraId="7B1C36B7" w14:textId="77777777" w:rsidR="00216294" w:rsidRPr="004A055A" w:rsidRDefault="00216294" w:rsidP="00107041">
      <w:pPr>
        <w:widowControl w:val="0"/>
        <w:autoSpaceDE w:val="0"/>
        <w:autoSpaceDN w:val="0"/>
        <w:adjustRightInd w:val="0"/>
        <w:spacing w:line="360" w:lineRule="auto"/>
        <w:ind w:left="1134"/>
        <w:rPr>
          <w:rFonts w:cs="Arial"/>
          <w:sz w:val="22"/>
          <w:szCs w:val="22"/>
        </w:rPr>
      </w:pPr>
      <w:r>
        <w:rPr>
          <w:rFonts w:cs="Arial"/>
          <w:lang w:val="en-US"/>
        </w:rPr>
        <w:t>[</w:t>
      </w:r>
      <w:r w:rsidRPr="004A055A">
        <w:rPr>
          <w:rFonts w:cs="Arial"/>
          <w:sz w:val="22"/>
          <w:szCs w:val="22"/>
        </w:rPr>
        <w:t xml:space="preserve">28] Our courts, in a long line of cases and also relying on English authorities, have strictly applied the principle that a bank faced with a valid demand in respect of a performance guarantee, is obliged to pay the beneficiary without investigation of the contractual position between the beneficiary and the principal debtor. One of the main reasons why courts are ordinarily reluctant to entertain the underlying contractual disputes between an employer and a contractor when faced with a demand based on </w:t>
      </w:r>
      <w:r>
        <w:rPr>
          <w:rFonts w:cs="Arial"/>
          <w:sz w:val="22"/>
          <w:szCs w:val="22"/>
        </w:rPr>
        <w:t xml:space="preserve">a </w:t>
      </w:r>
      <w:r w:rsidRPr="004A055A">
        <w:rPr>
          <w:rFonts w:cs="Arial"/>
          <w:sz w:val="22"/>
          <w:szCs w:val="22"/>
        </w:rPr>
        <w:t xml:space="preserve">demand or unconditional performance guarantee, is because of the principle that to do so would undermine the efficacy of such guarantees. This court in </w:t>
      </w:r>
      <w:r w:rsidRPr="00AC6F7D">
        <w:rPr>
          <w:rFonts w:cs="Arial"/>
          <w:i/>
          <w:iCs/>
          <w:sz w:val="22"/>
          <w:szCs w:val="22"/>
        </w:rPr>
        <w:t>Loomcraft</w:t>
      </w:r>
      <w:r w:rsidRPr="004A055A">
        <w:rPr>
          <w:rFonts w:cs="Arial"/>
          <w:sz w:val="22"/>
          <w:szCs w:val="22"/>
        </w:rPr>
        <w:t xml:space="preserve"> referred to the fact that the autonomous nature of the obligation owed by the bank to the beneficiary under a letter of credit ‘has been stressed by courts both in South Africa and overseas’. The learned judge referred to a number of authorities, both local and English to illustrate this point. Similarly, this court in </w:t>
      </w:r>
      <w:r w:rsidRPr="00D62807">
        <w:rPr>
          <w:rFonts w:cs="Arial"/>
          <w:i/>
          <w:iCs/>
          <w:sz w:val="22"/>
          <w:szCs w:val="22"/>
        </w:rPr>
        <w:t>Lombard Insurance</w:t>
      </w:r>
      <w:r w:rsidRPr="004A055A">
        <w:rPr>
          <w:rFonts w:cs="Arial"/>
          <w:sz w:val="22"/>
          <w:szCs w:val="22"/>
        </w:rPr>
        <w:t>, confirmed that the obligation on the part of the bank to make payment on a performance guarantee is independent of the underlying contract and whatever disputes may arise between the buyer and the seller are irrelevant as far as the bank’s obligation is concerned.</w:t>
      </w:r>
    </w:p>
    <w:p w14:paraId="046C1627" w14:textId="77777777" w:rsidR="00216294" w:rsidRDefault="00216294" w:rsidP="00107041">
      <w:pPr>
        <w:widowControl w:val="0"/>
        <w:autoSpaceDE w:val="0"/>
        <w:autoSpaceDN w:val="0"/>
        <w:adjustRightInd w:val="0"/>
        <w:spacing w:line="360" w:lineRule="auto"/>
        <w:ind w:left="1134"/>
        <w:rPr>
          <w:rFonts w:cs="Arial"/>
          <w:sz w:val="22"/>
          <w:szCs w:val="22"/>
        </w:rPr>
      </w:pPr>
      <w:r w:rsidRPr="004A055A">
        <w:rPr>
          <w:rFonts w:cs="Arial"/>
          <w:sz w:val="22"/>
          <w:szCs w:val="22"/>
        </w:rPr>
        <w:t>[29] In my view this principle is based on sound reason. It underscores the commercial nature of performance guarantees. In determining whether payment should be made on such a guarantee, accessory obligations are of no consequence. The very purpose of the guarantee is so that the beneficiary can call up the guarantee without having to wait for the final determination of its rights in terms of accessory obligations. To find otherwise, would involve an unjustified paradigm shift and defeat the commercial purpose of performance guarantees.</w:t>
      </w:r>
      <w:r>
        <w:rPr>
          <w:rFonts w:cs="Arial"/>
          <w:sz w:val="22"/>
          <w:szCs w:val="22"/>
        </w:rPr>
        <w:t>’</w:t>
      </w:r>
    </w:p>
    <w:p w14:paraId="419A7976" w14:textId="77777777" w:rsidR="00216294" w:rsidRPr="004A055A" w:rsidRDefault="00216294" w:rsidP="00107041">
      <w:pPr>
        <w:widowControl w:val="0"/>
        <w:autoSpaceDE w:val="0"/>
        <w:autoSpaceDN w:val="0"/>
        <w:adjustRightInd w:val="0"/>
        <w:spacing w:line="360" w:lineRule="auto"/>
        <w:ind w:left="1134"/>
        <w:rPr>
          <w:rFonts w:cs="Arial"/>
          <w:sz w:val="22"/>
          <w:szCs w:val="22"/>
        </w:rPr>
      </w:pPr>
    </w:p>
    <w:p w14:paraId="5E326C8C" w14:textId="20B03E96" w:rsidR="00216294" w:rsidRDefault="00F46E0C" w:rsidP="00F46E0C">
      <w:pPr>
        <w:pStyle w:val="1"/>
        <w:numPr>
          <w:ilvl w:val="0"/>
          <w:numId w:val="0"/>
        </w:numPr>
        <w:tabs>
          <w:tab w:val="left" w:pos="567"/>
        </w:tabs>
      </w:pPr>
      <w:r>
        <w:lastRenderedPageBreak/>
        <w:t>[12]</w:t>
      </w:r>
      <w:r>
        <w:tab/>
      </w:r>
      <w:r w:rsidR="00216294" w:rsidRPr="001944F1">
        <w:t>The existence of fraud in demanding payment under a guarantee would excuse a Guarantor from making payment in terms thereof. In respect of the fraud exception, Theron JA extrapolated the following principles</w:t>
      </w:r>
      <w:r w:rsidR="00216294">
        <w:t>:</w:t>
      </w:r>
    </w:p>
    <w:p w14:paraId="4F7B180A" w14:textId="77777777" w:rsidR="00216294" w:rsidRPr="004A055A" w:rsidRDefault="00216294" w:rsidP="00107041">
      <w:pPr>
        <w:widowControl w:val="0"/>
        <w:autoSpaceDE w:val="0"/>
        <w:autoSpaceDN w:val="0"/>
        <w:adjustRightInd w:val="0"/>
        <w:spacing w:line="360" w:lineRule="auto"/>
        <w:ind w:left="1134"/>
        <w:rPr>
          <w:rFonts w:cs="Arial"/>
          <w:sz w:val="22"/>
          <w:szCs w:val="22"/>
        </w:rPr>
      </w:pPr>
      <w:r>
        <w:t>[</w:t>
      </w:r>
      <w:r w:rsidRPr="004A055A">
        <w:rPr>
          <w:rFonts w:cs="Arial"/>
          <w:sz w:val="22"/>
          <w:szCs w:val="22"/>
        </w:rPr>
        <w:t>17] It would be useful to briefly consider the legal position in relation to the fraud exception. It is trite that where a beneficiary who makes a call on a guarantee does so with knowledge that it is not entitled to payment, our courts will step in to protect the bank and decline enforcement of the guarantee in question. This fraud exception falls within a narrow compass and applies where:</w:t>
      </w:r>
    </w:p>
    <w:p w14:paraId="40562807" w14:textId="77777777" w:rsidR="00216294" w:rsidRDefault="00216294" w:rsidP="00107041">
      <w:pPr>
        <w:widowControl w:val="0"/>
        <w:autoSpaceDE w:val="0"/>
        <w:autoSpaceDN w:val="0"/>
        <w:adjustRightInd w:val="0"/>
        <w:spacing w:line="360" w:lineRule="auto"/>
        <w:ind w:left="1701"/>
        <w:rPr>
          <w:rFonts w:cs="Arial"/>
          <w:sz w:val="22"/>
          <w:szCs w:val="22"/>
        </w:rPr>
      </w:pPr>
      <w:r w:rsidRPr="004A055A">
        <w:rPr>
          <w:rFonts w:cs="Arial"/>
          <w:sz w:val="22"/>
          <w:szCs w:val="22"/>
        </w:rPr>
        <w:t xml:space="preserve">‘ ... the seller, for the purpose of drawing on the credit, fraudulently presents to the confirming bank documents that contain, expressly or by implication, material representations of fact that to his (the seller’s) knowledge are untrue.’ </w:t>
      </w:r>
    </w:p>
    <w:p w14:paraId="444A59B4" w14:textId="77777777" w:rsidR="00216294" w:rsidRDefault="00216294" w:rsidP="00107041">
      <w:pPr>
        <w:widowControl w:val="0"/>
        <w:autoSpaceDE w:val="0"/>
        <w:autoSpaceDN w:val="0"/>
        <w:adjustRightInd w:val="0"/>
        <w:spacing w:line="360" w:lineRule="auto"/>
        <w:ind w:left="1701"/>
        <w:rPr>
          <w:rFonts w:cs="Arial"/>
          <w:sz w:val="22"/>
          <w:szCs w:val="22"/>
        </w:rPr>
      </w:pPr>
    </w:p>
    <w:p w14:paraId="5471DC98" w14:textId="53453287" w:rsidR="00216294" w:rsidRPr="004D7A16" w:rsidRDefault="00F46E0C" w:rsidP="00F46E0C">
      <w:pPr>
        <w:pStyle w:val="1"/>
        <w:numPr>
          <w:ilvl w:val="0"/>
          <w:numId w:val="0"/>
        </w:numPr>
        <w:tabs>
          <w:tab w:val="left" w:pos="567"/>
        </w:tabs>
      </w:pPr>
      <w:r w:rsidRPr="004D7A16">
        <w:t>[13]</w:t>
      </w:r>
      <w:r w:rsidRPr="004D7A16">
        <w:tab/>
      </w:r>
      <w:r w:rsidR="00216294" w:rsidRPr="004A32F5">
        <w:rPr>
          <w:rFonts w:cs="Arial"/>
        </w:rPr>
        <w:t xml:space="preserve">In </w:t>
      </w:r>
      <w:r w:rsidR="00216294" w:rsidRPr="004A32F5">
        <w:rPr>
          <w:rFonts w:cs="Arial"/>
          <w:i/>
        </w:rPr>
        <w:t>Loomcraft Fabrics CC v Nedbank Ltd</w:t>
      </w:r>
      <w:r w:rsidR="00216294" w:rsidRPr="004A32F5">
        <w:rPr>
          <w:rFonts w:cs="Arial"/>
        </w:rPr>
        <w:t xml:space="preserve"> </w:t>
      </w:r>
      <w:r w:rsidR="00354CA1">
        <w:rPr>
          <w:rStyle w:val="FootnoteReference"/>
          <w:rFonts w:cs="Arial"/>
        </w:rPr>
        <w:footnoteReference w:id="5"/>
      </w:r>
      <w:r w:rsidR="00EA634A">
        <w:rPr>
          <w:rFonts w:cs="Arial"/>
        </w:rPr>
        <w:t xml:space="preserve"> t</w:t>
      </w:r>
      <w:r w:rsidR="00216294" w:rsidRPr="004A32F5">
        <w:rPr>
          <w:rFonts w:cs="Arial"/>
        </w:rPr>
        <w:t xml:space="preserve">he court emphasised that fraud on the part of the beneficiary </w:t>
      </w:r>
      <w:r w:rsidR="002768F5">
        <w:rPr>
          <w:rFonts w:cs="Arial"/>
        </w:rPr>
        <w:t xml:space="preserve">of the guarantee </w:t>
      </w:r>
      <w:r w:rsidR="00216294" w:rsidRPr="004A32F5">
        <w:rPr>
          <w:rFonts w:cs="Arial"/>
        </w:rPr>
        <w:t>would have to be clearly established and, although the onus would be discharged by proof on a balance of probabilities, as in any case where fraud was alleged, it would not lightly be inferred (at 817G – H)</w:t>
      </w:r>
      <w:r w:rsidR="003F7DD4">
        <w:rPr>
          <w:rStyle w:val="FootnoteReference"/>
          <w:rFonts w:cs="Arial"/>
        </w:rPr>
        <w:footnoteReference w:id="6"/>
      </w:r>
      <w:r w:rsidR="00216294" w:rsidRPr="004A32F5">
        <w:rPr>
          <w:rFonts w:cs="Arial"/>
        </w:rPr>
        <w:t xml:space="preserve">. </w:t>
      </w:r>
    </w:p>
    <w:p w14:paraId="0D0D8BCC" w14:textId="6160A274" w:rsidR="004D7A16" w:rsidRPr="0030242D" w:rsidRDefault="00F46E0C" w:rsidP="00F46E0C">
      <w:pPr>
        <w:pStyle w:val="1"/>
        <w:numPr>
          <w:ilvl w:val="0"/>
          <w:numId w:val="0"/>
        </w:numPr>
        <w:tabs>
          <w:tab w:val="left" w:pos="567"/>
        </w:tabs>
      </w:pPr>
      <w:r w:rsidRPr="0030242D">
        <w:t>[14]</w:t>
      </w:r>
      <w:r w:rsidRPr="0030242D">
        <w:tab/>
      </w:r>
      <w:r w:rsidR="004D7A16">
        <w:rPr>
          <w:rFonts w:cs="Arial"/>
        </w:rPr>
        <w:t>The indepen</w:t>
      </w:r>
      <w:r w:rsidR="002C5FA6">
        <w:rPr>
          <w:rFonts w:cs="Arial"/>
        </w:rPr>
        <w:t>dence of a performance guarantee has been restated many a time</w:t>
      </w:r>
      <w:r w:rsidR="00C555C2">
        <w:rPr>
          <w:rFonts w:cs="Arial"/>
        </w:rPr>
        <w:t xml:space="preserve"> and it is accepted that disputes concerning the principal agreement will be dealt with later.</w:t>
      </w:r>
      <w:r w:rsidR="00C555C2">
        <w:rPr>
          <w:rStyle w:val="FootnoteReference"/>
          <w:rFonts w:cs="Arial"/>
        </w:rPr>
        <w:footnoteReference w:id="7"/>
      </w:r>
      <w:r w:rsidR="000E3FF3">
        <w:rPr>
          <w:rFonts w:cs="Arial"/>
        </w:rPr>
        <w:t xml:space="preserve"> </w:t>
      </w:r>
    </w:p>
    <w:p w14:paraId="6B7D75AD" w14:textId="29A2B0AD" w:rsidR="00AC6528" w:rsidRPr="002A6C61" w:rsidRDefault="00F46E0C" w:rsidP="00F46E0C">
      <w:pPr>
        <w:pStyle w:val="1"/>
        <w:numPr>
          <w:ilvl w:val="0"/>
          <w:numId w:val="0"/>
        </w:numPr>
        <w:tabs>
          <w:tab w:val="left" w:pos="567"/>
        </w:tabs>
      </w:pPr>
      <w:r w:rsidRPr="002A6C61">
        <w:t>[15]</w:t>
      </w:r>
      <w:r w:rsidRPr="002A6C61">
        <w:tab/>
      </w:r>
      <w:r w:rsidR="00B326C6">
        <w:t>The Employer contends that the dispute</w:t>
      </w:r>
      <w:r w:rsidR="00B605FE">
        <w:t xml:space="preserve"> as to whether the amount of </w:t>
      </w:r>
      <w:r w:rsidR="0092439D">
        <w:t xml:space="preserve">                          </w:t>
      </w:r>
      <w:r w:rsidR="00B605FE">
        <w:t xml:space="preserve"> </w:t>
      </w:r>
      <w:r w:rsidR="00B605FE" w:rsidRPr="00BE33A1">
        <w:t>R164 163 815.10</w:t>
      </w:r>
      <w:r w:rsidR="000B00D7">
        <w:t xml:space="preserve"> has been set off against amounts that were to be paid for work executed</w:t>
      </w:r>
      <w:r w:rsidR="000C166C">
        <w:t xml:space="preserve"> does not give rise to</w:t>
      </w:r>
      <w:r w:rsidR="00F674C6">
        <w:t>,</w:t>
      </w:r>
      <w:r w:rsidR="000C166C">
        <w:t xml:space="preserve"> or support an inference of</w:t>
      </w:r>
      <w:r w:rsidR="00F674C6">
        <w:t>,</w:t>
      </w:r>
      <w:r w:rsidR="000C166C">
        <w:t xml:space="preserve"> fraud</w:t>
      </w:r>
      <w:r w:rsidR="00B8761A">
        <w:t xml:space="preserve"> within the narrow </w:t>
      </w:r>
      <w:r w:rsidR="00B8761A">
        <w:lastRenderedPageBreak/>
        <w:t xml:space="preserve">compass referred to in </w:t>
      </w:r>
      <w:r w:rsidR="00706CBA" w:rsidRPr="002A6C61">
        <w:rPr>
          <w:i/>
          <w:iCs w:val="0"/>
        </w:rPr>
        <w:t>Lombard</w:t>
      </w:r>
      <w:r w:rsidR="00E6373D" w:rsidRPr="002A6C61">
        <w:rPr>
          <w:i/>
          <w:iCs w:val="0"/>
        </w:rPr>
        <w:t xml:space="preserve"> Insurance</w:t>
      </w:r>
      <w:r w:rsidR="00DE563B">
        <w:rPr>
          <w:rStyle w:val="FootnoteReference"/>
        </w:rPr>
        <w:footnoteReference w:id="8"/>
      </w:r>
      <w:r w:rsidR="00882713">
        <w:t xml:space="preserve"> and does not provide a defence to the call on the Guarantee.</w:t>
      </w:r>
    </w:p>
    <w:p w14:paraId="4FCAB0D8" w14:textId="43A2ED95" w:rsidR="000B372E" w:rsidRPr="00DD1C5C" w:rsidRDefault="00AC6528" w:rsidP="00107041">
      <w:pPr>
        <w:pStyle w:val="1"/>
        <w:numPr>
          <w:ilvl w:val="0"/>
          <w:numId w:val="0"/>
        </w:numPr>
        <w:rPr>
          <w:b/>
          <w:bCs/>
          <w:u w:val="single"/>
        </w:rPr>
      </w:pPr>
      <w:r>
        <w:rPr>
          <w:b/>
          <w:bCs/>
          <w:u w:val="single"/>
        </w:rPr>
        <w:t>Analysis of the facts</w:t>
      </w:r>
      <w:r w:rsidR="0092439D">
        <w:rPr>
          <w:b/>
          <w:bCs/>
          <w:u w:val="single"/>
        </w:rPr>
        <w:t xml:space="preserve"> and </w:t>
      </w:r>
      <w:r w:rsidR="0092439D" w:rsidRPr="0092439D">
        <w:rPr>
          <w:b/>
          <w:bCs/>
          <w:i/>
          <w:u w:val="single"/>
        </w:rPr>
        <w:t>prima facie</w:t>
      </w:r>
      <w:r w:rsidR="001A1AFF">
        <w:rPr>
          <w:b/>
          <w:bCs/>
          <w:u w:val="single"/>
        </w:rPr>
        <w:t xml:space="preserve"> right</w:t>
      </w:r>
    </w:p>
    <w:p w14:paraId="12F4D646" w14:textId="6692D282" w:rsidR="00695302" w:rsidRDefault="00F46E0C" w:rsidP="00F46E0C">
      <w:pPr>
        <w:pStyle w:val="1"/>
        <w:numPr>
          <w:ilvl w:val="0"/>
          <w:numId w:val="0"/>
        </w:numPr>
        <w:tabs>
          <w:tab w:val="left" w:pos="567"/>
        </w:tabs>
      </w:pPr>
      <w:r>
        <w:t>[16]</w:t>
      </w:r>
      <w:r>
        <w:tab/>
      </w:r>
      <w:r w:rsidR="00105FE0" w:rsidRPr="00105FE0">
        <w:t>On 26 October 2016, the Employer concluded a written agreement (</w:t>
      </w:r>
      <w:r w:rsidR="00105FE0" w:rsidRPr="0015434B">
        <w:rPr>
          <w:i/>
          <w:iCs w:val="0"/>
        </w:rPr>
        <w:t>the Contract</w:t>
      </w:r>
      <w:r w:rsidR="0015434B">
        <w:t xml:space="preserve">) </w:t>
      </w:r>
      <w:r w:rsidR="00105FE0" w:rsidRPr="00105FE0">
        <w:t>with an unincorporated joint venture collective</w:t>
      </w:r>
      <w:r w:rsidR="00F86167">
        <w:t>ly comprised of K C Cottrell Co</w:t>
      </w:r>
      <w:r w:rsidR="00105FE0" w:rsidRPr="00105FE0">
        <w:t xml:space="preserve"> Ltd</w:t>
      </w:r>
      <w:r w:rsidR="0015434B">
        <w:t xml:space="preserve">, </w:t>
      </w:r>
      <w:r w:rsidR="00105FE0" w:rsidRPr="00105FE0">
        <w:t>ELB Engineering Services Proprietary Limited and ELB Educational Trust for Black South Africans (</w:t>
      </w:r>
      <w:r w:rsidR="002768F5">
        <w:t xml:space="preserve">which, as I have already indicated, I refer to as </w:t>
      </w:r>
      <w:r w:rsidR="00105FE0" w:rsidRPr="0015434B">
        <w:rPr>
          <w:i/>
          <w:iCs w:val="0"/>
        </w:rPr>
        <w:t xml:space="preserve">the </w:t>
      </w:r>
      <w:r w:rsidR="00E57DDB">
        <w:rPr>
          <w:i/>
          <w:iCs w:val="0"/>
        </w:rPr>
        <w:t xml:space="preserve">Consortium </w:t>
      </w:r>
      <w:r w:rsidR="00E57DDB" w:rsidRPr="005B7805">
        <w:t>or</w:t>
      </w:r>
      <w:r w:rsidR="00E57DDB">
        <w:rPr>
          <w:i/>
          <w:iCs w:val="0"/>
        </w:rPr>
        <w:t xml:space="preserve"> </w:t>
      </w:r>
      <w:r w:rsidR="002768F5">
        <w:rPr>
          <w:i/>
          <w:iCs w:val="0"/>
        </w:rPr>
        <w:t xml:space="preserve">the </w:t>
      </w:r>
      <w:r w:rsidR="00E57DDB" w:rsidRPr="0015434B">
        <w:rPr>
          <w:i/>
          <w:iCs w:val="0"/>
        </w:rPr>
        <w:t>Contractor</w:t>
      </w:r>
      <w:r w:rsidR="00105FE0" w:rsidRPr="00105FE0">
        <w:t xml:space="preserve">). The Contract was to design and construct a 25-megawatt biomass power plant, which would produce electricity to be purchased from the </w:t>
      </w:r>
      <w:r w:rsidR="0075776C">
        <w:t>Employer</w:t>
      </w:r>
      <w:r w:rsidR="00105FE0" w:rsidRPr="00105FE0">
        <w:t xml:space="preserve"> by Eskom.</w:t>
      </w:r>
      <w:r w:rsidR="00695302">
        <w:t xml:space="preserve"> </w:t>
      </w:r>
      <w:r w:rsidR="00674D51" w:rsidRPr="00674D51">
        <w:t>The plant is functionally complete, and Eskom confirmed on 11 March 2022 that the plant commenced with commercial operation.</w:t>
      </w:r>
      <w:r w:rsidR="002768F5">
        <w:t xml:space="preserve"> In other words</w:t>
      </w:r>
      <w:r w:rsidR="0092439D">
        <w:t>,</w:t>
      </w:r>
      <w:r w:rsidR="002768F5">
        <w:t xml:space="preserve"> the Employer is selling electricity to Eskom.</w:t>
      </w:r>
      <w:r w:rsidR="00674D51" w:rsidRPr="00674D51">
        <w:t xml:space="preserve"> </w:t>
      </w:r>
    </w:p>
    <w:p w14:paraId="1E2D4D3F" w14:textId="2E895BC8" w:rsidR="0075776C" w:rsidRDefault="00F46E0C" w:rsidP="00F46E0C">
      <w:pPr>
        <w:pStyle w:val="1"/>
        <w:numPr>
          <w:ilvl w:val="0"/>
          <w:numId w:val="0"/>
        </w:numPr>
        <w:tabs>
          <w:tab w:val="left" w:pos="567"/>
        </w:tabs>
      </w:pPr>
      <w:r>
        <w:t>[17]</w:t>
      </w:r>
      <w:r>
        <w:tab/>
      </w:r>
      <w:r w:rsidR="00695302">
        <w:t>I</w:t>
      </w:r>
      <w:r w:rsidR="00674D51" w:rsidRPr="00674D51">
        <w:t xml:space="preserve">t was an express term of the Contract that the </w:t>
      </w:r>
      <w:r w:rsidR="008B5F04">
        <w:t xml:space="preserve">Contractor </w:t>
      </w:r>
      <w:r w:rsidR="00674D51" w:rsidRPr="00674D51">
        <w:t xml:space="preserve">would procure the issue of a performance guarantee as security for the due fulfilment of the </w:t>
      </w:r>
      <w:r w:rsidR="008B5F04">
        <w:t>Contractor</w:t>
      </w:r>
      <w:r w:rsidR="00674D51" w:rsidRPr="00674D51">
        <w:t xml:space="preserve">'s obligations under the Contract. The </w:t>
      </w:r>
      <w:r w:rsidR="009C400E">
        <w:t xml:space="preserve">Contractor </w:t>
      </w:r>
      <w:r w:rsidR="00674D51" w:rsidRPr="00674D51">
        <w:t xml:space="preserve">obtained the </w:t>
      </w:r>
      <w:r w:rsidR="00B85C7A">
        <w:t xml:space="preserve">Guarantee </w:t>
      </w:r>
      <w:r w:rsidR="00674D51" w:rsidRPr="00674D51">
        <w:t xml:space="preserve">from Santam </w:t>
      </w:r>
      <w:r w:rsidR="002768F5">
        <w:t xml:space="preserve">and it </w:t>
      </w:r>
      <w:r w:rsidR="00B66087">
        <w:t xml:space="preserve">was renewed on 8 December 2022. </w:t>
      </w:r>
      <w:r w:rsidR="00674D51" w:rsidRPr="00674D51">
        <w:t xml:space="preserve">The face value of the Guarantee is </w:t>
      </w:r>
      <w:r w:rsidR="00BA16AC">
        <w:t xml:space="preserve">             </w:t>
      </w:r>
      <w:r w:rsidR="00674D51" w:rsidRPr="00674D51">
        <w:t xml:space="preserve">R251 139 938, and it is unconditional in its terms i.e. it is what is known as an </w:t>
      </w:r>
      <w:r w:rsidR="00BA16AC">
        <w:t>‘</w:t>
      </w:r>
      <w:r w:rsidR="00674D51" w:rsidRPr="00674D51">
        <w:t>on-demand bond</w:t>
      </w:r>
      <w:r w:rsidR="00BA16AC">
        <w:t>’</w:t>
      </w:r>
      <w:r w:rsidR="00674D51" w:rsidRPr="00674D51">
        <w:t>.</w:t>
      </w:r>
    </w:p>
    <w:p w14:paraId="4EA916B8" w14:textId="7A3DC3B1" w:rsidR="00F4378B" w:rsidRDefault="00F46E0C" w:rsidP="00F46E0C">
      <w:pPr>
        <w:pStyle w:val="1"/>
        <w:numPr>
          <w:ilvl w:val="0"/>
          <w:numId w:val="0"/>
        </w:numPr>
        <w:tabs>
          <w:tab w:val="left" w:pos="567"/>
        </w:tabs>
      </w:pPr>
      <w:r>
        <w:t>[18]</w:t>
      </w:r>
      <w:r>
        <w:tab/>
      </w:r>
      <w:r w:rsidR="009E29C7" w:rsidRPr="009E29C7">
        <w:t xml:space="preserve">The Contract makes provision for the </w:t>
      </w:r>
      <w:r w:rsidR="009E29C7">
        <w:t>Contractor</w:t>
      </w:r>
      <w:r w:rsidR="009E29C7" w:rsidRPr="009E29C7">
        <w:t xml:space="preserve"> to pay DLD's</w:t>
      </w:r>
      <w:r w:rsidR="009E29C7">
        <w:t xml:space="preserve"> </w:t>
      </w:r>
      <w:r w:rsidR="009E29C7" w:rsidRPr="009E29C7">
        <w:t xml:space="preserve">in the event of it not achieving the commercial operation of the plant by the contracted time for completion. The Contract also stipulates that the maximum amount of DLD's for which the </w:t>
      </w:r>
      <w:r w:rsidR="00F4378B">
        <w:t>Contractor</w:t>
      </w:r>
      <w:r w:rsidR="009E29C7" w:rsidRPr="009E29C7">
        <w:t xml:space="preserve"> could be liable is the amount of R192 386 797.85. </w:t>
      </w:r>
    </w:p>
    <w:p w14:paraId="0B98B48B" w14:textId="2E43CDE0" w:rsidR="00A77B16" w:rsidRDefault="00F46E0C" w:rsidP="00F46E0C">
      <w:pPr>
        <w:pStyle w:val="1"/>
        <w:numPr>
          <w:ilvl w:val="0"/>
          <w:numId w:val="0"/>
        </w:numPr>
        <w:tabs>
          <w:tab w:val="left" w:pos="567"/>
        </w:tabs>
      </w:pPr>
      <w:r>
        <w:lastRenderedPageBreak/>
        <w:t>[19]</w:t>
      </w:r>
      <w:r>
        <w:tab/>
      </w:r>
      <w:r w:rsidR="009E29C7" w:rsidRPr="009E29C7">
        <w:t>During 2021 the project was in delay and over the period 19 January</w:t>
      </w:r>
      <w:r w:rsidR="007A2356">
        <w:t xml:space="preserve"> 2021</w:t>
      </w:r>
      <w:r w:rsidR="009E29C7" w:rsidRPr="009E29C7">
        <w:t xml:space="preserve"> to 13 July 2021</w:t>
      </w:r>
      <w:r w:rsidR="00A16A66">
        <w:t>,</w:t>
      </w:r>
      <w:r w:rsidR="009E29C7" w:rsidRPr="009E29C7">
        <w:t xml:space="preserve"> </w:t>
      </w:r>
      <w:r w:rsidR="00F4378B">
        <w:t xml:space="preserve">the Employer </w:t>
      </w:r>
      <w:r w:rsidR="009E29C7" w:rsidRPr="009E29C7">
        <w:t xml:space="preserve">issued tax invoices in which it levied the maximum amount of DLD's for which the </w:t>
      </w:r>
      <w:r w:rsidR="00F00779">
        <w:t>Contractor</w:t>
      </w:r>
      <w:r w:rsidR="009E29C7" w:rsidRPr="009E29C7">
        <w:t xml:space="preserve"> could be liable</w:t>
      </w:r>
      <w:r w:rsidR="00A77B16">
        <w:t xml:space="preserve"> thus </w:t>
      </w:r>
      <w:r w:rsidR="002768F5">
        <w:t>for</w:t>
      </w:r>
      <w:r w:rsidR="00A77B16">
        <w:t xml:space="preserve"> </w:t>
      </w:r>
      <w:r w:rsidR="00A77B16" w:rsidRPr="009E29C7">
        <w:t xml:space="preserve">R192 386 797.85. </w:t>
      </w:r>
    </w:p>
    <w:p w14:paraId="4C55E54F" w14:textId="16ED723A" w:rsidR="00BD3F18" w:rsidRDefault="00F46E0C" w:rsidP="00F46E0C">
      <w:pPr>
        <w:pStyle w:val="1"/>
        <w:numPr>
          <w:ilvl w:val="0"/>
          <w:numId w:val="0"/>
        </w:numPr>
        <w:tabs>
          <w:tab w:val="left" w:pos="567"/>
        </w:tabs>
      </w:pPr>
      <w:r>
        <w:t>[20]</w:t>
      </w:r>
      <w:r>
        <w:tab/>
      </w:r>
      <w:r w:rsidR="009E29C7" w:rsidRPr="009E29C7">
        <w:t xml:space="preserve"> In March 2021 discussions were held between the </w:t>
      </w:r>
      <w:r w:rsidR="0098120C">
        <w:t>Contractor</w:t>
      </w:r>
      <w:r w:rsidR="009E29C7" w:rsidRPr="009E29C7">
        <w:t>, represented by Mr Lee, and the</w:t>
      </w:r>
      <w:r w:rsidR="0098120C">
        <w:t xml:space="preserve"> Employer</w:t>
      </w:r>
      <w:r w:rsidR="009E29C7" w:rsidRPr="009E29C7">
        <w:t xml:space="preserve">, represented by its Vice-President and </w:t>
      </w:r>
      <w:r w:rsidR="00AA56F7">
        <w:t>a</w:t>
      </w:r>
      <w:r w:rsidR="009E29C7" w:rsidRPr="009E29C7">
        <w:t xml:space="preserve">lternate </w:t>
      </w:r>
      <w:r w:rsidR="00AA56F7">
        <w:t>d</w:t>
      </w:r>
      <w:r w:rsidR="009E29C7" w:rsidRPr="009E29C7">
        <w:t>irector, Mr Hawkes, which led to the parties reaching agreement that</w:t>
      </w:r>
      <w:r w:rsidR="009063FA">
        <w:t xml:space="preserve"> </w:t>
      </w:r>
      <w:r w:rsidR="009063FA" w:rsidRPr="009063FA">
        <w:t xml:space="preserve">the DLD's would be set-off against </w:t>
      </w:r>
      <w:r w:rsidR="001737A0">
        <w:t>monies otherwise due</w:t>
      </w:r>
      <w:r w:rsidR="009140EF">
        <w:t xml:space="preserve"> to the Contractor </w:t>
      </w:r>
      <w:r w:rsidR="00872885">
        <w:t xml:space="preserve">by </w:t>
      </w:r>
      <w:r w:rsidR="009140EF">
        <w:t>the Employer</w:t>
      </w:r>
      <w:r w:rsidR="00D933E2">
        <w:t xml:space="preserve"> (</w:t>
      </w:r>
      <w:r w:rsidR="00D933E2" w:rsidRPr="00A77B16">
        <w:rPr>
          <w:i/>
          <w:iCs w:val="0"/>
        </w:rPr>
        <w:t xml:space="preserve">the </w:t>
      </w:r>
      <w:r w:rsidR="00CE16A9">
        <w:rPr>
          <w:i/>
          <w:iCs w:val="0"/>
        </w:rPr>
        <w:t>DLD dischar</w:t>
      </w:r>
      <w:r w:rsidR="00243E9C">
        <w:rPr>
          <w:i/>
          <w:iCs w:val="0"/>
        </w:rPr>
        <w:t>ge</w:t>
      </w:r>
      <w:r w:rsidR="00D933E2" w:rsidRPr="00A77B16">
        <w:rPr>
          <w:i/>
          <w:iCs w:val="0"/>
        </w:rPr>
        <w:t xml:space="preserve"> agreement</w:t>
      </w:r>
      <w:r w:rsidR="00D933E2">
        <w:t>)</w:t>
      </w:r>
      <w:r w:rsidR="009063FA" w:rsidRPr="009063FA">
        <w:t xml:space="preserve">. </w:t>
      </w:r>
      <w:r w:rsidR="00872885">
        <w:t xml:space="preserve">The upshot of this </w:t>
      </w:r>
      <w:r w:rsidR="0092439D">
        <w:t xml:space="preserve">DLD discharge </w:t>
      </w:r>
      <w:r w:rsidR="00872885">
        <w:t xml:space="preserve">agreement was that the moneys due to the Contractor or which would fall due to the Contractor in future would not be paid by the Employer to the </w:t>
      </w:r>
      <w:r w:rsidR="005B7805">
        <w:t>C</w:t>
      </w:r>
      <w:r w:rsidR="00872885">
        <w:t xml:space="preserve">ontractor but be set off against the sum of </w:t>
      </w:r>
      <w:r w:rsidR="0092439D">
        <w:t xml:space="preserve">                 </w:t>
      </w:r>
      <w:r w:rsidR="00872885" w:rsidRPr="009E29C7">
        <w:t>R192 386 797.85</w:t>
      </w:r>
      <w:r w:rsidR="00872885">
        <w:t xml:space="preserve"> due by the Contractor. Another way of putting it is that the Contractor would ‘work off’ its indebtedness to the Employer.  </w:t>
      </w:r>
      <w:r w:rsidR="00770A23">
        <w:t xml:space="preserve">It is not insignificant that </w:t>
      </w:r>
      <w:r w:rsidR="0092439D">
        <w:t xml:space="preserve">                             </w:t>
      </w:r>
      <w:r w:rsidR="00770A23">
        <w:t>Mr Hawkes, who deposed to the answering affidavit, did not</w:t>
      </w:r>
      <w:r w:rsidR="007154A8">
        <w:t xml:space="preserve"> deny th</w:t>
      </w:r>
      <w:r w:rsidR="00243E9C">
        <w:t xml:space="preserve">e existence of the DLD discharge </w:t>
      </w:r>
      <w:r w:rsidR="007154A8">
        <w:t>agreement</w:t>
      </w:r>
      <w:r w:rsidR="00593D82">
        <w:t xml:space="preserve"> and thus no doubt, let alone serious doubt, was cast on the </w:t>
      </w:r>
      <w:r w:rsidR="00635864">
        <w:t xml:space="preserve">conclusion thereof. </w:t>
      </w:r>
    </w:p>
    <w:p w14:paraId="44365ECD" w14:textId="62028D23" w:rsidR="002351D9" w:rsidRDefault="00F46E0C" w:rsidP="00F46E0C">
      <w:pPr>
        <w:pStyle w:val="1"/>
        <w:numPr>
          <w:ilvl w:val="0"/>
          <w:numId w:val="0"/>
        </w:numPr>
        <w:tabs>
          <w:tab w:val="left" w:pos="567"/>
        </w:tabs>
      </w:pPr>
      <w:r>
        <w:t>[21]</w:t>
      </w:r>
      <w:r>
        <w:tab/>
      </w:r>
      <w:r w:rsidR="00295C87">
        <w:t xml:space="preserve">No </w:t>
      </w:r>
      <w:r w:rsidR="00892F67">
        <w:t>payment certificates were issued during this period</w:t>
      </w:r>
      <w:r w:rsidR="0052408A">
        <w:t>.</w:t>
      </w:r>
      <w:r w:rsidR="00E9416F">
        <w:t xml:space="preserve"> </w:t>
      </w:r>
      <w:r w:rsidR="002351D9" w:rsidRPr="002351D9">
        <w:t>The last payment certificate issued and paid was dated 9 December 2020 and was in respect of the Request for Payment number 34 dated 4 December 2020. There was also a further payment certificate dated 26 March 2021 in respect of a Request for Payment number 35 dated 15 January 2021 which was not paid and for which a credit note was issued by the Contractor.</w:t>
      </w:r>
    </w:p>
    <w:p w14:paraId="126A4E6F" w14:textId="77D92F90" w:rsidR="006C5804" w:rsidRDefault="00F46E0C" w:rsidP="00F46E0C">
      <w:pPr>
        <w:pStyle w:val="1"/>
        <w:numPr>
          <w:ilvl w:val="0"/>
          <w:numId w:val="0"/>
        </w:numPr>
        <w:tabs>
          <w:tab w:val="left" w:pos="567"/>
        </w:tabs>
      </w:pPr>
      <w:r>
        <w:t>[22]</w:t>
      </w:r>
      <w:r>
        <w:tab/>
      </w:r>
      <w:r w:rsidR="006C5804">
        <w:t>Thus for a period of a year, no payment certificates were issued</w:t>
      </w:r>
      <w:r w:rsidR="00D7012E">
        <w:t>. This much is common cause.</w:t>
      </w:r>
    </w:p>
    <w:p w14:paraId="1558ECC8" w14:textId="7B39EA29" w:rsidR="00A25AD9" w:rsidRDefault="00F46E0C" w:rsidP="00F46E0C">
      <w:pPr>
        <w:pStyle w:val="1"/>
        <w:numPr>
          <w:ilvl w:val="0"/>
          <w:numId w:val="0"/>
        </w:numPr>
        <w:tabs>
          <w:tab w:val="left" w:pos="567"/>
        </w:tabs>
      </w:pPr>
      <w:r>
        <w:lastRenderedPageBreak/>
        <w:t>[23]</w:t>
      </w:r>
      <w:r>
        <w:tab/>
      </w:r>
      <w:r w:rsidR="009063FA" w:rsidRPr="009063FA">
        <w:t>On 10 May 2021, Mr Chirwa</w:t>
      </w:r>
      <w:r w:rsidR="00534C5B">
        <w:t xml:space="preserve">, </w:t>
      </w:r>
      <w:r w:rsidR="009063FA" w:rsidRPr="009063FA">
        <w:t>the General Manager of the</w:t>
      </w:r>
      <w:r w:rsidR="00BD3F18">
        <w:t xml:space="preserve"> Employe</w:t>
      </w:r>
      <w:r w:rsidR="00534C5B">
        <w:t xml:space="preserve">r, </w:t>
      </w:r>
      <w:r w:rsidR="009063FA" w:rsidRPr="009063FA">
        <w:t xml:space="preserve">addressed a letter to the </w:t>
      </w:r>
      <w:r w:rsidR="00BD3F18">
        <w:t>Contractor</w:t>
      </w:r>
      <w:r w:rsidR="009063FA" w:rsidRPr="009063FA">
        <w:t xml:space="preserve"> in which he confirmed the </w:t>
      </w:r>
      <w:r w:rsidR="00DE244E">
        <w:t>DLD discharge agreement</w:t>
      </w:r>
      <w:r w:rsidR="009063FA" w:rsidRPr="009063FA">
        <w:t xml:space="preserve"> as well as the fact that the </w:t>
      </w:r>
      <w:r w:rsidR="00DE244E">
        <w:t>discharge</w:t>
      </w:r>
      <w:r w:rsidR="009063FA" w:rsidRPr="009063FA">
        <w:t xml:space="preserve"> of the DLD's had commenced with the March 2021 invoices. The </w:t>
      </w:r>
      <w:r w:rsidR="004E5C9A">
        <w:t>Employer</w:t>
      </w:r>
      <w:r w:rsidR="009063FA" w:rsidRPr="009063FA">
        <w:t xml:space="preserve"> did indeed withhold all payments due to the </w:t>
      </w:r>
      <w:r w:rsidR="00957561">
        <w:t>Contractor</w:t>
      </w:r>
      <w:r w:rsidR="00534C5B">
        <w:t xml:space="preserve"> </w:t>
      </w:r>
      <w:r w:rsidR="009063FA" w:rsidRPr="009063FA">
        <w:t xml:space="preserve">in order to offset the </w:t>
      </w:r>
      <w:r w:rsidR="00534C5B">
        <w:t>Contractor’</w:t>
      </w:r>
      <w:r w:rsidR="009063FA" w:rsidRPr="009063FA">
        <w:t>s indebtedness for the DLD's</w:t>
      </w:r>
      <w:r w:rsidR="007449A9">
        <w:t xml:space="preserve">. </w:t>
      </w:r>
      <w:r w:rsidR="009063FA" w:rsidRPr="009063FA">
        <w:t xml:space="preserve"> However,</w:t>
      </w:r>
      <w:r w:rsidR="00450848">
        <w:t xml:space="preserve"> </w:t>
      </w:r>
      <w:r w:rsidR="00450848" w:rsidRPr="00450848">
        <w:t>insufficient monies were withheld to cover the full amount of the</w:t>
      </w:r>
      <w:r w:rsidR="006548D1">
        <w:t xml:space="preserve"> </w:t>
      </w:r>
      <w:r w:rsidR="007449A9">
        <w:t xml:space="preserve">DLD’s and it had </w:t>
      </w:r>
      <w:r w:rsidR="00450848" w:rsidRPr="00450848">
        <w:t>been agreed between the parties in March 2021</w:t>
      </w:r>
      <w:r w:rsidR="00A25AD9">
        <w:t xml:space="preserve"> </w:t>
      </w:r>
      <w:r w:rsidR="00450848" w:rsidRPr="00450848">
        <w:t>that any DLD's that were not paid by way of set-off</w:t>
      </w:r>
      <w:r w:rsidR="00EA28DE">
        <w:t>/discharge</w:t>
      </w:r>
      <w:r w:rsidR="00450848" w:rsidRPr="00450848">
        <w:t xml:space="preserve"> would be paid on demand. </w:t>
      </w:r>
    </w:p>
    <w:p w14:paraId="1DC31407" w14:textId="328A35AD" w:rsidR="009F44E7" w:rsidRDefault="00F46E0C" w:rsidP="00F46E0C">
      <w:pPr>
        <w:pStyle w:val="1"/>
        <w:numPr>
          <w:ilvl w:val="0"/>
          <w:numId w:val="0"/>
        </w:numPr>
        <w:tabs>
          <w:tab w:val="left" w:pos="567"/>
        </w:tabs>
      </w:pPr>
      <w:r>
        <w:t>[24]</w:t>
      </w:r>
      <w:r>
        <w:tab/>
      </w:r>
      <w:r w:rsidR="0036107E">
        <w:t>On 13 August 2021, the last of the DLD invoices became due</w:t>
      </w:r>
      <w:r w:rsidR="008E588E">
        <w:t xml:space="preserve"> (because it is 30 days from 13 July 2021</w:t>
      </w:r>
      <w:r w:rsidR="00E17769">
        <w:t xml:space="preserve"> – the date the contractual cap </w:t>
      </w:r>
      <w:r w:rsidR="00F25187">
        <w:t>was</w:t>
      </w:r>
      <w:r w:rsidR="00E17769">
        <w:t xml:space="preserve"> reached).</w:t>
      </w:r>
      <w:r w:rsidR="008E588E">
        <w:t xml:space="preserve"> </w:t>
      </w:r>
    </w:p>
    <w:p w14:paraId="2294A6F9" w14:textId="26A567C2" w:rsidR="0011409E" w:rsidRDefault="00F46E0C" w:rsidP="00F46E0C">
      <w:pPr>
        <w:pStyle w:val="1"/>
        <w:numPr>
          <w:ilvl w:val="0"/>
          <w:numId w:val="0"/>
        </w:numPr>
        <w:tabs>
          <w:tab w:val="left" w:pos="567"/>
        </w:tabs>
      </w:pPr>
      <w:r>
        <w:t>[25]</w:t>
      </w:r>
      <w:r>
        <w:tab/>
      </w:r>
      <w:r w:rsidR="006D7C82">
        <w:t>On 30 September 2021, the Contractor obtain</w:t>
      </w:r>
      <w:r w:rsidR="00F25187">
        <w:t>ed</w:t>
      </w:r>
      <w:r w:rsidR="006D7C82">
        <w:t xml:space="preserve"> a ruling from SARS that the payment of </w:t>
      </w:r>
      <w:r w:rsidR="00742782">
        <w:t xml:space="preserve">DLD’s </w:t>
      </w:r>
      <w:r w:rsidR="00427E55">
        <w:t>is not a supply which carries an obligation to pay VAT</w:t>
      </w:r>
      <w:r w:rsidR="00242CDC">
        <w:t>.</w:t>
      </w:r>
      <w:r w:rsidR="00CA554E">
        <w:t xml:space="preserve"> What the Contractor has not done in these papers is to explain why, if the DLD’s ha</w:t>
      </w:r>
      <w:r w:rsidR="00C45811">
        <w:t>d</w:t>
      </w:r>
      <w:r w:rsidR="00CA554E">
        <w:t xml:space="preserve"> not been paid</w:t>
      </w:r>
      <w:r w:rsidR="00C45811">
        <w:t xml:space="preserve"> by 30 September 2021</w:t>
      </w:r>
      <w:r w:rsidR="009B463A">
        <w:t xml:space="preserve"> in the sum of </w:t>
      </w:r>
      <w:r w:rsidR="009B463A" w:rsidRPr="00BE33A1">
        <w:t>R164 163 815.10</w:t>
      </w:r>
      <w:r w:rsidR="00C45811">
        <w:t>,</w:t>
      </w:r>
      <w:r w:rsidR="00CA554E">
        <w:t xml:space="preserve"> it obtained a ruling</w:t>
      </w:r>
      <w:r w:rsidR="00C45811">
        <w:t xml:space="preserve"> from SARS </w:t>
      </w:r>
      <w:r w:rsidR="0010182A">
        <w:t xml:space="preserve">about the payment of VAT. </w:t>
      </w:r>
      <w:r w:rsidR="001B5AE0">
        <w:t>Remember, the</w:t>
      </w:r>
      <w:r w:rsidR="000C0643">
        <w:t xml:space="preserve"> </w:t>
      </w:r>
      <w:r w:rsidR="0010182A">
        <w:t xml:space="preserve">Contractor’s </w:t>
      </w:r>
      <w:r w:rsidR="00872885">
        <w:t xml:space="preserve">basis for calling up the guarantee </w:t>
      </w:r>
      <w:r w:rsidR="0010182A">
        <w:t>is that the DLD’s were never paid</w:t>
      </w:r>
      <w:r w:rsidR="009B463A">
        <w:t xml:space="preserve"> in such sum</w:t>
      </w:r>
      <w:r w:rsidR="0010182A">
        <w:t>.</w:t>
      </w:r>
    </w:p>
    <w:p w14:paraId="63166742" w14:textId="045AB383" w:rsidR="00A20F02" w:rsidRDefault="00F46E0C" w:rsidP="00F46E0C">
      <w:pPr>
        <w:pStyle w:val="1"/>
        <w:numPr>
          <w:ilvl w:val="0"/>
          <w:numId w:val="0"/>
        </w:numPr>
        <w:tabs>
          <w:tab w:val="left" w:pos="567"/>
        </w:tabs>
      </w:pPr>
      <w:r>
        <w:t>[26]</w:t>
      </w:r>
      <w:r>
        <w:tab/>
      </w:r>
      <w:r w:rsidR="00A20F02">
        <w:t>In October 2021</w:t>
      </w:r>
      <w:r w:rsidR="00BC195E">
        <w:t xml:space="preserve"> t</w:t>
      </w:r>
      <w:r w:rsidR="004B4BBD" w:rsidRPr="004B4BBD">
        <w:t xml:space="preserve">he payment milestones were linked to the completion or commissioning of sections of the plant, and the last commissioning took place in October 2021. </w:t>
      </w:r>
      <w:r w:rsidR="00D313B6">
        <w:t xml:space="preserve">Thus, </w:t>
      </w:r>
      <w:r w:rsidR="00872885">
        <w:t>most of</w:t>
      </w:r>
      <w:r w:rsidR="00D313B6">
        <w:t xml:space="preserve"> the </w:t>
      </w:r>
      <w:r w:rsidR="00475602">
        <w:t>work ha</w:t>
      </w:r>
      <w:r w:rsidR="0079690B">
        <w:t>d</w:t>
      </w:r>
      <w:r w:rsidR="00475602">
        <w:t xml:space="preserve"> been commissioned and signed off.</w:t>
      </w:r>
    </w:p>
    <w:p w14:paraId="0929FEDE" w14:textId="231F5709" w:rsidR="00FF19E4" w:rsidRDefault="00F46E0C" w:rsidP="00F46E0C">
      <w:pPr>
        <w:pStyle w:val="1"/>
        <w:numPr>
          <w:ilvl w:val="0"/>
          <w:numId w:val="0"/>
        </w:numPr>
        <w:tabs>
          <w:tab w:val="left" w:pos="567"/>
        </w:tabs>
      </w:pPr>
      <w:r>
        <w:t>[27]</w:t>
      </w:r>
      <w:r>
        <w:tab/>
      </w:r>
      <w:r w:rsidR="00445649">
        <w:t xml:space="preserve">On 29 November 2021, </w:t>
      </w:r>
      <w:r w:rsidR="005D5582">
        <w:t>Mr Kim, representing the Contractor, wrote to M</w:t>
      </w:r>
      <w:r w:rsidR="00275123">
        <w:t>s</w:t>
      </w:r>
      <w:r w:rsidR="005D5582">
        <w:t xml:space="preserve"> Seate</w:t>
      </w:r>
      <w:r w:rsidR="008A3259">
        <w:t>,</w:t>
      </w:r>
      <w:r w:rsidR="00FF19E4">
        <w:t xml:space="preserve"> the Employer</w:t>
      </w:r>
      <w:r w:rsidR="008A3259">
        <w:t>’ financial manager</w:t>
      </w:r>
      <w:r w:rsidR="00FF19E4">
        <w:t>:</w:t>
      </w:r>
    </w:p>
    <w:p w14:paraId="1E5327BA" w14:textId="58516EDB" w:rsidR="00901FCE" w:rsidRPr="00901FCE" w:rsidRDefault="0099077E" w:rsidP="00107041">
      <w:pPr>
        <w:pStyle w:val="1"/>
        <w:numPr>
          <w:ilvl w:val="0"/>
          <w:numId w:val="0"/>
        </w:numPr>
        <w:spacing w:line="360" w:lineRule="auto"/>
        <w:ind w:left="1134"/>
        <w:rPr>
          <w:sz w:val="22"/>
        </w:rPr>
      </w:pPr>
      <w:r>
        <w:rPr>
          <w:sz w:val="22"/>
        </w:rPr>
        <w:t>‘</w:t>
      </w:r>
      <w:r w:rsidR="00C31D61" w:rsidRPr="00901FCE">
        <w:rPr>
          <w:sz w:val="22"/>
        </w:rPr>
        <w:t>I am just informed that KC</w:t>
      </w:r>
      <w:r w:rsidR="001657A3">
        <w:rPr>
          <w:sz w:val="22"/>
        </w:rPr>
        <w:t xml:space="preserve"> [the Contractor]</w:t>
      </w:r>
      <w:r w:rsidR="00C31D61" w:rsidRPr="00901FCE">
        <w:rPr>
          <w:sz w:val="22"/>
        </w:rPr>
        <w:t xml:space="preserve"> and NE </w:t>
      </w:r>
      <w:r w:rsidR="001657A3">
        <w:rPr>
          <w:sz w:val="22"/>
        </w:rPr>
        <w:t xml:space="preserve">[the Employer] </w:t>
      </w:r>
      <w:r w:rsidR="00C31D61" w:rsidRPr="00901FCE">
        <w:rPr>
          <w:sz w:val="22"/>
        </w:rPr>
        <w:t xml:space="preserve">is discussing claims difference between DLD and EPC progress payment. As far as I heard, the number would be around 28m, and I am now busy to get the exact number that NE requests KC to pay. </w:t>
      </w:r>
    </w:p>
    <w:p w14:paraId="3A2A4EF2" w14:textId="77777777" w:rsidR="00901FCE" w:rsidRDefault="00C31D61" w:rsidP="00107041">
      <w:pPr>
        <w:pStyle w:val="1"/>
        <w:numPr>
          <w:ilvl w:val="0"/>
          <w:numId w:val="0"/>
        </w:numPr>
        <w:spacing w:line="360" w:lineRule="auto"/>
        <w:ind w:left="1134"/>
        <w:rPr>
          <w:sz w:val="22"/>
        </w:rPr>
      </w:pPr>
      <w:r w:rsidRPr="00901FCE">
        <w:rPr>
          <w:sz w:val="22"/>
        </w:rPr>
        <w:lastRenderedPageBreak/>
        <w:t xml:space="preserve">In this regard, I need your help. The DLD numbers are very clear, however I found some differences from progress payments. </w:t>
      </w:r>
    </w:p>
    <w:p w14:paraId="3ADFBDF3" w14:textId="5EAF9328" w:rsidR="00C31D61" w:rsidRDefault="00C31D61" w:rsidP="00107041">
      <w:pPr>
        <w:pStyle w:val="1"/>
        <w:numPr>
          <w:ilvl w:val="0"/>
          <w:numId w:val="0"/>
        </w:numPr>
        <w:spacing w:line="360" w:lineRule="auto"/>
        <w:ind w:left="1134"/>
        <w:rPr>
          <w:sz w:val="22"/>
        </w:rPr>
      </w:pPr>
      <w:r w:rsidRPr="00901FCE">
        <w:rPr>
          <w:sz w:val="22"/>
        </w:rPr>
        <w:t>Would you please furnish me with the detailed progress payment record that NE has monthly base?</w:t>
      </w:r>
      <w:r w:rsidR="0099077E">
        <w:rPr>
          <w:sz w:val="22"/>
        </w:rPr>
        <w:t>’</w:t>
      </w:r>
    </w:p>
    <w:p w14:paraId="6132F0B2" w14:textId="77777777" w:rsidR="00901FCE" w:rsidRPr="00901FCE" w:rsidRDefault="00901FCE" w:rsidP="00107041">
      <w:pPr>
        <w:pStyle w:val="1"/>
        <w:numPr>
          <w:ilvl w:val="0"/>
          <w:numId w:val="0"/>
        </w:numPr>
        <w:spacing w:line="360" w:lineRule="auto"/>
        <w:rPr>
          <w:sz w:val="22"/>
        </w:rPr>
      </w:pPr>
    </w:p>
    <w:p w14:paraId="2F45C9A0" w14:textId="246A7536" w:rsidR="001657A3" w:rsidRDefault="00F46E0C" w:rsidP="00F46E0C">
      <w:pPr>
        <w:pStyle w:val="1"/>
        <w:numPr>
          <w:ilvl w:val="0"/>
          <w:numId w:val="0"/>
        </w:numPr>
        <w:tabs>
          <w:tab w:val="left" w:pos="567"/>
        </w:tabs>
      </w:pPr>
      <w:r>
        <w:t>[28]</w:t>
      </w:r>
      <w:r>
        <w:tab/>
      </w:r>
      <w:r w:rsidR="001907A0">
        <w:t>The question is, wh</w:t>
      </w:r>
      <w:r w:rsidR="0099077E">
        <w:t xml:space="preserve">at </w:t>
      </w:r>
      <w:r w:rsidR="001907A0">
        <w:t xml:space="preserve">is </w:t>
      </w:r>
      <w:r w:rsidR="005E2604">
        <w:t>Mr Kim</w:t>
      </w:r>
      <w:r w:rsidR="001907A0">
        <w:t xml:space="preserve"> talkin</w:t>
      </w:r>
      <w:r w:rsidR="00FB01A4">
        <w:t>g about if</w:t>
      </w:r>
      <w:r w:rsidR="00302EBF">
        <w:t xml:space="preserve">, as the Employer contends, </w:t>
      </w:r>
      <w:r w:rsidR="00FB01A4">
        <w:t xml:space="preserve"> nothing had been paid</w:t>
      </w:r>
      <w:r w:rsidR="008D79B6">
        <w:t>, discharged</w:t>
      </w:r>
      <w:r w:rsidR="00FB01A4">
        <w:t xml:space="preserve"> or set off? Why is </w:t>
      </w:r>
      <w:r w:rsidR="004B7B48">
        <w:t>Mr Kim</w:t>
      </w:r>
      <w:r w:rsidR="00FB01A4">
        <w:t xml:space="preserve"> talking</w:t>
      </w:r>
      <w:r w:rsidR="00DE2857">
        <w:t xml:space="preserve"> about progress payments? This contemporaneous </w:t>
      </w:r>
      <w:r w:rsidR="00302EBF">
        <w:t xml:space="preserve">communication </w:t>
      </w:r>
      <w:r w:rsidR="00DE2857">
        <w:t>supports</w:t>
      </w:r>
      <w:r w:rsidR="0048126B">
        <w:t xml:space="preserve"> the Contractor’s version of the conclusion of the </w:t>
      </w:r>
      <w:r w:rsidR="008D79B6">
        <w:t xml:space="preserve">DLD discharge </w:t>
      </w:r>
      <w:r w:rsidR="0048126B">
        <w:t>agreement</w:t>
      </w:r>
      <w:r w:rsidR="00D2111D">
        <w:t>.</w:t>
      </w:r>
      <w:r w:rsidR="00F42EAE">
        <w:t xml:space="preserve"> </w:t>
      </w:r>
      <w:r w:rsidR="0067684A">
        <w:t>More telling though, is the response of Ms Seate, which response was copied to Mr Hawk</w:t>
      </w:r>
      <w:r w:rsidR="00302050">
        <w:t>e</w:t>
      </w:r>
      <w:r w:rsidR="0067684A">
        <w:t xml:space="preserve">s, in which </w:t>
      </w:r>
      <w:r w:rsidR="00A23562">
        <w:t>she does not query the correctness of all</w:t>
      </w:r>
      <w:r w:rsidR="001D36A0">
        <w:t xml:space="preserve"> communicated </w:t>
      </w:r>
      <w:r w:rsidR="00C0324D">
        <w:t>t</w:t>
      </w:r>
      <w:r w:rsidR="004B7B48">
        <w:t>o her n</w:t>
      </w:r>
      <w:r w:rsidR="001D36A0">
        <w:t xml:space="preserve">or </w:t>
      </w:r>
      <w:r w:rsidR="004B7B48">
        <w:t xml:space="preserve">does she </w:t>
      </w:r>
      <w:r w:rsidR="001D36A0">
        <w:t xml:space="preserve">express surprise, bearing in mind that it is the </w:t>
      </w:r>
      <w:r w:rsidR="00744124">
        <w:t>Contractor’s version that nothing had been paid</w:t>
      </w:r>
      <w:r w:rsidR="009B463A">
        <w:t xml:space="preserve"> and at that stage </w:t>
      </w:r>
      <w:r w:rsidR="00250D14">
        <w:t>an</w:t>
      </w:r>
      <w:r w:rsidR="0004710F">
        <w:t xml:space="preserve"> amount of </w:t>
      </w:r>
      <w:r w:rsidR="00E046C7">
        <w:t>R</w:t>
      </w:r>
      <w:r w:rsidR="00F05E07" w:rsidRPr="009E29C7">
        <w:t xml:space="preserve">192 386 797.85 </w:t>
      </w:r>
      <w:r w:rsidR="00E046C7">
        <w:t>was owing</w:t>
      </w:r>
      <w:r w:rsidR="009B463A">
        <w:t xml:space="preserve">. </w:t>
      </w:r>
      <w:r w:rsidR="00F90845">
        <w:rPr>
          <w:rStyle w:val="FootnoteReference"/>
        </w:rPr>
        <w:footnoteReference w:id="9"/>
      </w:r>
      <w:r w:rsidR="00744124">
        <w:t xml:space="preserve"> </w:t>
      </w:r>
      <w:r w:rsidR="00B54A00">
        <w:t>I</w:t>
      </w:r>
      <w:r w:rsidR="00744124">
        <w:t xml:space="preserve">nstead, she </w:t>
      </w:r>
      <w:r w:rsidR="0014316E">
        <w:t>sen</w:t>
      </w:r>
      <w:r w:rsidR="00C0324D">
        <w:t>t</w:t>
      </w:r>
      <w:r w:rsidR="0014316E">
        <w:t xml:space="preserve"> him a </w:t>
      </w:r>
      <w:r w:rsidR="00302EBF">
        <w:t>month-by-month</w:t>
      </w:r>
      <w:r w:rsidR="0040011B">
        <w:t xml:space="preserve"> payment schedule</w:t>
      </w:r>
      <w:r w:rsidR="00DE3116">
        <w:t xml:space="preserve"> (</w:t>
      </w:r>
      <w:r w:rsidR="00DE3116" w:rsidRPr="00670750">
        <w:rPr>
          <w:i/>
          <w:iCs w:val="0"/>
        </w:rPr>
        <w:t>Ms Seate’s schedule</w:t>
      </w:r>
      <w:r w:rsidR="00670750">
        <w:t>)</w:t>
      </w:r>
      <w:r w:rsidR="0040011B">
        <w:t>.</w:t>
      </w:r>
    </w:p>
    <w:p w14:paraId="13E50C8E" w14:textId="541AD501" w:rsidR="00B66881" w:rsidRDefault="00F46E0C" w:rsidP="00F46E0C">
      <w:pPr>
        <w:pStyle w:val="1"/>
        <w:numPr>
          <w:ilvl w:val="0"/>
          <w:numId w:val="0"/>
        </w:numPr>
        <w:tabs>
          <w:tab w:val="left" w:pos="567"/>
        </w:tabs>
      </w:pPr>
      <w:r>
        <w:lastRenderedPageBreak/>
        <w:t>[29]</w:t>
      </w:r>
      <w:r>
        <w:tab/>
      </w:r>
      <w:r w:rsidR="00131903">
        <w:t xml:space="preserve">Mr </w:t>
      </w:r>
      <w:r w:rsidR="00302050">
        <w:t>Hawkes</w:t>
      </w:r>
      <w:r w:rsidR="0088577F">
        <w:t xml:space="preserve"> in his answering affidavit </w:t>
      </w:r>
      <w:r w:rsidR="00250D14">
        <w:t>in this application</w:t>
      </w:r>
      <w:r w:rsidR="00F1385F">
        <w:t xml:space="preserve">, </w:t>
      </w:r>
      <w:r w:rsidR="00EF2210">
        <w:t>attempt</w:t>
      </w:r>
      <w:r w:rsidR="00A065E5">
        <w:t>ed</w:t>
      </w:r>
      <w:r w:rsidR="009B463A">
        <w:t xml:space="preserve"> to explain</w:t>
      </w:r>
      <w:r w:rsidR="00EF2210">
        <w:t xml:space="preserve"> </w:t>
      </w:r>
      <w:r w:rsidR="00053251">
        <w:t>Ms Seate’s schedule</w:t>
      </w:r>
      <w:r w:rsidR="00DE3116">
        <w:t xml:space="preserve">. He </w:t>
      </w:r>
      <w:r w:rsidR="00A065E5">
        <w:t>averred</w:t>
      </w:r>
      <w:r w:rsidR="003C4A04">
        <w:t xml:space="preserve"> that </w:t>
      </w:r>
      <w:r w:rsidR="007E5094">
        <w:t>the payments reflected there were</w:t>
      </w:r>
      <w:r w:rsidR="005E6579">
        <w:t xml:space="preserve"> only available for payment in 2022</w:t>
      </w:r>
      <w:r w:rsidR="005C050B">
        <w:t>. But this is not so. From a reading of the correspondence of Ms Seate</w:t>
      </w:r>
      <w:r w:rsidR="005B5B6F">
        <w:t xml:space="preserve"> on 29 November 2021</w:t>
      </w:r>
      <w:r w:rsidR="00E52072">
        <w:t xml:space="preserve"> and the spreadsheet attached by Mr Hawkes himself</w:t>
      </w:r>
      <w:r w:rsidR="000D1058">
        <w:t xml:space="preserve">, it was </w:t>
      </w:r>
      <w:r w:rsidR="00B62CD2">
        <w:t xml:space="preserve">available for payment </w:t>
      </w:r>
      <w:r w:rsidR="000D1058">
        <w:t>in the 2021 year</w:t>
      </w:r>
      <w:r w:rsidR="0097046C">
        <w:t>.</w:t>
      </w:r>
      <w:r w:rsidR="00B135E3">
        <w:t xml:space="preserve"> It reflects the position as at </w:t>
      </w:r>
      <w:r w:rsidR="007B5A6C">
        <w:t xml:space="preserve">December 2020 and it shows that </w:t>
      </w:r>
      <w:r w:rsidR="007B5A6C" w:rsidRPr="00D92BBA">
        <w:t>R164 163 815.10</w:t>
      </w:r>
      <w:r w:rsidR="007B5A6C">
        <w:t xml:space="preserve"> </w:t>
      </w:r>
      <w:r w:rsidR="00EF75F7">
        <w:t xml:space="preserve">was available </w:t>
      </w:r>
      <w:r w:rsidR="00B62CD2">
        <w:t xml:space="preserve">with which </w:t>
      </w:r>
      <w:r w:rsidR="00EF75F7">
        <w:t>to pay the DLD’s in 2021.</w:t>
      </w:r>
      <w:r w:rsidR="00A16337">
        <w:t xml:space="preserve"> </w:t>
      </w:r>
    </w:p>
    <w:p w14:paraId="36CB5CB7" w14:textId="2FB88032" w:rsidR="00041E26" w:rsidRDefault="00F46E0C" w:rsidP="00F46E0C">
      <w:pPr>
        <w:pStyle w:val="1"/>
        <w:numPr>
          <w:ilvl w:val="0"/>
          <w:numId w:val="0"/>
        </w:numPr>
        <w:tabs>
          <w:tab w:val="left" w:pos="567"/>
        </w:tabs>
      </w:pPr>
      <w:r>
        <w:t>[30]</w:t>
      </w:r>
      <w:r>
        <w:tab/>
      </w:r>
      <w:r w:rsidR="00450848" w:rsidRPr="00450848">
        <w:t xml:space="preserve">In December 2021 the parties discussed the amount of the shortfall </w:t>
      </w:r>
      <w:r w:rsidR="00AA5834">
        <w:t>of the</w:t>
      </w:r>
      <w:r w:rsidR="00450848" w:rsidRPr="00450848">
        <w:t xml:space="preserve"> DLD's that had not been paid by way of set-off and agreed that the outstanding amount was </w:t>
      </w:r>
      <w:r w:rsidR="00810409">
        <w:t xml:space="preserve">        </w:t>
      </w:r>
      <w:r w:rsidR="00450848" w:rsidRPr="00450848">
        <w:t xml:space="preserve">R28 222 982.35. 26. This amount was confirmed by the </w:t>
      </w:r>
      <w:r w:rsidR="00224930">
        <w:t xml:space="preserve">Employer’s </w:t>
      </w:r>
      <w:r w:rsidR="00450848" w:rsidRPr="00450848">
        <w:t xml:space="preserve">financial manager, Ms Seate, in discussions with the </w:t>
      </w:r>
      <w:r w:rsidR="00224930">
        <w:t>Contractor’s</w:t>
      </w:r>
      <w:r w:rsidR="00450848" w:rsidRPr="00450848">
        <w:t xml:space="preserve"> project manager, Mr Jeon.</w:t>
      </w:r>
    </w:p>
    <w:p w14:paraId="231DC8B3" w14:textId="282BB481" w:rsidR="00F838D8" w:rsidRDefault="00F46E0C" w:rsidP="00F46E0C">
      <w:pPr>
        <w:pStyle w:val="1"/>
        <w:numPr>
          <w:ilvl w:val="0"/>
          <w:numId w:val="0"/>
        </w:numPr>
        <w:tabs>
          <w:tab w:val="left" w:pos="567"/>
        </w:tabs>
      </w:pPr>
      <w:r>
        <w:t>[31]</w:t>
      </w:r>
      <w:r>
        <w:tab/>
      </w:r>
      <w:r w:rsidR="00002C1A" w:rsidRPr="00002C1A">
        <w:t>In a letter dated 18 December 2021 to Mr Chirwa</w:t>
      </w:r>
      <w:r w:rsidR="00500804">
        <w:t xml:space="preserve"> (of the Employer)</w:t>
      </w:r>
      <w:r w:rsidR="00002C1A" w:rsidRPr="00002C1A">
        <w:t xml:space="preserve">, Mr Jeon set </w:t>
      </w:r>
      <w:r w:rsidR="006629BA">
        <w:t xml:space="preserve">out the Contractor’s </w:t>
      </w:r>
      <w:r w:rsidR="00002C1A" w:rsidRPr="00002C1A">
        <w:t>maximum liability for DLD's in the amount of R192 386 797.85 and confirmed that an amount of R164 163 815.10</w:t>
      </w:r>
      <w:r w:rsidR="00601553">
        <w:t xml:space="preserve"> </w:t>
      </w:r>
      <w:r w:rsidR="00002C1A" w:rsidRPr="00002C1A">
        <w:t xml:space="preserve">had already been paid by way of set-off. He then sought the </w:t>
      </w:r>
      <w:r w:rsidR="00601553">
        <w:t xml:space="preserve">Employer’s </w:t>
      </w:r>
      <w:r w:rsidR="00002C1A" w:rsidRPr="00002C1A">
        <w:t xml:space="preserve">confirmation of the content of his letter and its acceptance that the remaining DLD amount due to the Employer was R28 222 982.35. </w:t>
      </w:r>
    </w:p>
    <w:p w14:paraId="3059E3DC" w14:textId="0A1A25E0" w:rsidR="00EB1AFC" w:rsidRDefault="00F46E0C" w:rsidP="00F46E0C">
      <w:pPr>
        <w:pStyle w:val="1"/>
        <w:numPr>
          <w:ilvl w:val="0"/>
          <w:numId w:val="0"/>
        </w:numPr>
        <w:tabs>
          <w:tab w:val="left" w:pos="567"/>
        </w:tabs>
      </w:pPr>
      <w:r>
        <w:t>[32]</w:t>
      </w:r>
      <w:r>
        <w:tab/>
      </w:r>
      <w:r w:rsidR="00002C1A" w:rsidRPr="00002C1A">
        <w:t>On 20 December 2021, Mr Hawkes signed Mr Jeon's letter in the space</w:t>
      </w:r>
      <w:r w:rsidR="00F838D8">
        <w:t xml:space="preserve"> provided</w:t>
      </w:r>
      <w:r w:rsidR="00002C1A" w:rsidRPr="00002C1A">
        <w:t xml:space="preserve"> and thereby confirmed </w:t>
      </w:r>
      <w:r w:rsidR="00F838D8">
        <w:t xml:space="preserve">the Employer’s </w:t>
      </w:r>
      <w:r w:rsidR="00002C1A" w:rsidRPr="00002C1A">
        <w:t>agreement with the c</w:t>
      </w:r>
      <w:r w:rsidR="009F6428">
        <w:t>ontent of</w:t>
      </w:r>
      <w:r w:rsidR="00002C1A" w:rsidRPr="00002C1A">
        <w:t xml:space="preserve"> that letter. </w:t>
      </w:r>
    </w:p>
    <w:p w14:paraId="342A49E6" w14:textId="2D4D509B" w:rsidR="00F56D17" w:rsidRDefault="00F46E0C" w:rsidP="00F46E0C">
      <w:pPr>
        <w:pStyle w:val="1"/>
        <w:numPr>
          <w:ilvl w:val="0"/>
          <w:numId w:val="0"/>
        </w:numPr>
        <w:tabs>
          <w:tab w:val="left" w:pos="567"/>
        </w:tabs>
      </w:pPr>
      <w:r>
        <w:t>[33]</w:t>
      </w:r>
      <w:r>
        <w:tab/>
      </w:r>
      <w:r w:rsidR="008C5951" w:rsidRPr="008C5951">
        <w:t xml:space="preserve">Mr Hawkes </w:t>
      </w:r>
      <w:r w:rsidR="00914D9D">
        <w:t xml:space="preserve">thus </w:t>
      </w:r>
      <w:r w:rsidR="008C5951" w:rsidRPr="008C5951">
        <w:t>confirmed that an amount of R164 163 815.10</w:t>
      </w:r>
      <w:r w:rsidR="008C5951">
        <w:t xml:space="preserve"> </w:t>
      </w:r>
      <w:r w:rsidR="008C5951" w:rsidRPr="008C5951">
        <w:t xml:space="preserve">had already been paid by the </w:t>
      </w:r>
      <w:r w:rsidR="008C5951">
        <w:t>Contractor</w:t>
      </w:r>
      <w:r w:rsidR="008C5951" w:rsidRPr="008C5951">
        <w:t xml:space="preserve"> towards its indebtedness for the DLD's and that an amount of </w:t>
      </w:r>
      <w:r w:rsidR="00F61241">
        <w:t xml:space="preserve">           </w:t>
      </w:r>
      <w:r w:rsidR="008C5951" w:rsidRPr="008C5951">
        <w:t xml:space="preserve">R28 222 982,35 constituted the remaining balance of the </w:t>
      </w:r>
      <w:r w:rsidR="00F56D17">
        <w:t>Contractor’s i</w:t>
      </w:r>
      <w:r w:rsidR="008C5951" w:rsidRPr="008C5951">
        <w:t xml:space="preserve">ndebtedness. </w:t>
      </w:r>
    </w:p>
    <w:p w14:paraId="2F862509" w14:textId="2E1D18CE" w:rsidR="00D31460" w:rsidRDefault="00F46E0C" w:rsidP="00F46E0C">
      <w:pPr>
        <w:pStyle w:val="1"/>
        <w:numPr>
          <w:ilvl w:val="0"/>
          <w:numId w:val="0"/>
        </w:numPr>
        <w:tabs>
          <w:tab w:val="left" w:pos="567"/>
        </w:tabs>
      </w:pPr>
      <w:r>
        <w:t>[34]</w:t>
      </w:r>
      <w:r>
        <w:tab/>
      </w:r>
      <w:r w:rsidR="008C5951" w:rsidRPr="008C5951">
        <w:t xml:space="preserve">Mr Hawkes sent the signed copy of Mr Jeon's letter under cover of an e-mail, copied to </w:t>
      </w:r>
      <w:r w:rsidR="00067BBC">
        <w:t>Nedbank</w:t>
      </w:r>
      <w:r w:rsidR="00F56D17">
        <w:t>’s</w:t>
      </w:r>
      <w:r w:rsidR="008C5951" w:rsidRPr="008C5951">
        <w:t xml:space="preserve">, Ms Aleksandra Pires, as well as Ms Seate. </w:t>
      </w:r>
    </w:p>
    <w:p w14:paraId="02DE0467" w14:textId="5FBB4398" w:rsidR="008C5951" w:rsidRDefault="00F46E0C" w:rsidP="00F46E0C">
      <w:pPr>
        <w:pStyle w:val="1"/>
        <w:numPr>
          <w:ilvl w:val="0"/>
          <w:numId w:val="0"/>
        </w:numPr>
        <w:tabs>
          <w:tab w:val="left" w:pos="567"/>
        </w:tabs>
      </w:pPr>
      <w:r>
        <w:lastRenderedPageBreak/>
        <w:t>[35]</w:t>
      </w:r>
      <w:r>
        <w:tab/>
      </w:r>
      <w:r w:rsidR="008C5951" w:rsidRPr="008C5951">
        <w:t>That e-mail followed on Mr Hawkes'</w:t>
      </w:r>
      <w:r w:rsidR="00D31460">
        <w:t xml:space="preserve"> e</w:t>
      </w:r>
      <w:r w:rsidR="008C5951" w:rsidRPr="008C5951">
        <w:t>arlier mail to Mr Kim from</w:t>
      </w:r>
      <w:r w:rsidR="00D31460">
        <w:t xml:space="preserve"> the Contractor</w:t>
      </w:r>
      <w:r w:rsidR="008C5951" w:rsidRPr="008C5951">
        <w:t xml:space="preserve">, wherein Mr Hawkes enquired as to whether the </w:t>
      </w:r>
      <w:r w:rsidR="00D31460">
        <w:t xml:space="preserve">Employer </w:t>
      </w:r>
      <w:r w:rsidR="008C5951" w:rsidRPr="008C5951">
        <w:t>would be paid the amount of R28 222 282.35 on 20 December 2021.</w:t>
      </w:r>
    </w:p>
    <w:p w14:paraId="7B6170D5" w14:textId="514BB067" w:rsidR="008E7A8E" w:rsidRDefault="00F46E0C" w:rsidP="00F46E0C">
      <w:pPr>
        <w:pStyle w:val="1"/>
        <w:numPr>
          <w:ilvl w:val="0"/>
          <w:numId w:val="0"/>
        </w:numPr>
        <w:tabs>
          <w:tab w:val="left" w:pos="567"/>
        </w:tabs>
      </w:pPr>
      <w:r>
        <w:t>[36]</w:t>
      </w:r>
      <w:r>
        <w:tab/>
      </w:r>
      <w:r w:rsidR="00562B9E" w:rsidRPr="00562B9E">
        <w:t xml:space="preserve">Mr Kim responded by saying that the </w:t>
      </w:r>
      <w:r w:rsidR="00B87F11">
        <w:t xml:space="preserve">Contractor </w:t>
      </w:r>
      <w:r w:rsidR="00562B9E" w:rsidRPr="00562B9E">
        <w:t>was ready to make the payment on 20 December 2021 but hoped that the</w:t>
      </w:r>
      <w:r w:rsidR="00B87F11">
        <w:t xml:space="preserve"> Employer</w:t>
      </w:r>
      <w:r w:rsidR="00562B9E" w:rsidRPr="00562B9E">
        <w:t xml:space="preserve"> would first confirm its agreement with the content of Mr Jean's letter of 18 December 2021 or inform the </w:t>
      </w:r>
      <w:r w:rsidR="00C02B70">
        <w:t xml:space="preserve">Contractor </w:t>
      </w:r>
      <w:r w:rsidR="00562B9E" w:rsidRPr="00562B9E">
        <w:t xml:space="preserve">if it had misunderstood the </w:t>
      </w:r>
      <w:r w:rsidR="00C97B43">
        <w:t xml:space="preserve">DLD discharge </w:t>
      </w:r>
      <w:r w:rsidR="00285A6F">
        <w:t>a</w:t>
      </w:r>
      <w:r w:rsidR="00562B9E" w:rsidRPr="00562B9E">
        <w:t xml:space="preserve">greement between the parties. </w:t>
      </w:r>
    </w:p>
    <w:p w14:paraId="5D355594" w14:textId="5B651E63" w:rsidR="005753C8" w:rsidRDefault="00F46E0C" w:rsidP="00F46E0C">
      <w:pPr>
        <w:pStyle w:val="1"/>
        <w:numPr>
          <w:ilvl w:val="0"/>
          <w:numId w:val="0"/>
        </w:numPr>
        <w:tabs>
          <w:tab w:val="left" w:pos="567"/>
        </w:tabs>
      </w:pPr>
      <w:r>
        <w:t>[37]</w:t>
      </w:r>
      <w:r>
        <w:tab/>
      </w:r>
      <w:r w:rsidR="00562B9E" w:rsidRPr="00562B9E">
        <w:t>It was against that background that Mr Hawkes proceeded to sign the letter of 18 December 2021</w:t>
      </w:r>
      <w:r w:rsidR="008E7A8E">
        <w:t>.</w:t>
      </w:r>
      <w:r w:rsidR="00562B9E" w:rsidRPr="00562B9E">
        <w:t xml:space="preserve"> </w:t>
      </w:r>
    </w:p>
    <w:p w14:paraId="3C739F84" w14:textId="26B72723" w:rsidR="00D31460" w:rsidRDefault="00F46E0C" w:rsidP="00F46E0C">
      <w:pPr>
        <w:pStyle w:val="1"/>
        <w:numPr>
          <w:ilvl w:val="0"/>
          <w:numId w:val="0"/>
        </w:numPr>
        <w:tabs>
          <w:tab w:val="left" w:pos="567"/>
        </w:tabs>
      </w:pPr>
      <w:r>
        <w:t>[38]</w:t>
      </w:r>
      <w:r>
        <w:tab/>
      </w:r>
      <w:r w:rsidR="00562B9E" w:rsidRPr="00562B9E">
        <w:t xml:space="preserve">Having received confirmation from the </w:t>
      </w:r>
      <w:r w:rsidR="005753C8">
        <w:t xml:space="preserve">Employer </w:t>
      </w:r>
      <w:r w:rsidR="00562B9E" w:rsidRPr="00562B9E">
        <w:t>that the a</w:t>
      </w:r>
      <w:r w:rsidR="005753C8">
        <w:t>mount of</w:t>
      </w:r>
      <w:r w:rsidR="00562B9E" w:rsidRPr="00562B9E">
        <w:t xml:space="preserve"> </w:t>
      </w:r>
      <w:r w:rsidR="00C7366D">
        <w:t xml:space="preserve">                     </w:t>
      </w:r>
      <w:r w:rsidR="00562B9E" w:rsidRPr="00562B9E">
        <w:t>R164 163 815.10</w:t>
      </w:r>
      <w:r w:rsidR="00772624">
        <w:t xml:space="preserve"> </w:t>
      </w:r>
      <w:r w:rsidR="00562B9E" w:rsidRPr="00562B9E">
        <w:t>had already been paid and that the amount of R28</w:t>
      </w:r>
      <w:r w:rsidR="00772624">
        <w:t> </w:t>
      </w:r>
      <w:r w:rsidR="00562B9E" w:rsidRPr="00562B9E">
        <w:t>22</w:t>
      </w:r>
      <w:r w:rsidR="00772624">
        <w:t>2 282.35</w:t>
      </w:r>
      <w:r w:rsidR="00562B9E" w:rsidRPr="00562B9E">
        <w:t xml:space="preserve"> remained to be paid, the </w:t>
      </w:r>
      <w:r w:rsidR="00772624">
        <w:t xml:space="preserve">Contractor </w:t>
      </w:r>
      <w:r w:rsidR="00562B9E" w:rsidRPr="00562B9E">
        <w:t xml:space="preserve">duly paid the outstanding balance on </w:t>
      </w:r>
      <w:r w:rsidR="00D97926">
        <w:t xml:space="preserve">                        </w:t>
      </w:r>
      <w:r w:rsidR="00562B9E" w:rsidRPr="00562B9E">
        <w:t>20 December 2021.</w:t>
      </w:r>
    </w:p>
    <w:p w14:paraId="448B97A9" w14:textId="76F16B88" w:rsidR="00293B6C" w:rsidRDefault="00F46E0C" w:rsidP="00F46E0C">
      <w:pPr>
        <w:pStyle w:val="1"/>
        <w:numPr>
          <w:ilvl w:val="0"/>
          <w:numId w:val="0"/>
        </w:numPr>
        <w:tabs>
          <w:tab w:val="left" w:pos="567"/>
        </w:tabs>
      </w:pPr>
      <w:r>
        <w:t>[39]</w:t>
      </w:r>
      <w:r>
        <w:tab/>
      </w:r>
      <w:r w:rsidR="00B07DFD" w:rsidRPr="00B07DFD">
        <w:t>The payment was acknowledged by Mr Chirwa on 20 December 2021</w:t>
      </w:r>
      <w:r w:rsidR="00C84A91">
        <w:t xml:space="preserve">. </w:t>
      </w:r>
      <w:r w:rsidR="00F066BA">
        <w:t xml:space="preserve">It </w:t>
      </w:r>
      <w:r w:rsidR="00B07DFD" w:rsidRPr="00B07DFD">
        <w:t xml:space="preserve">had </w:t>
      </w:r>
      <w:r w:rsidR="00F066BA">
        <w:t xml:space="preserve">also </w:t>
      </w:r>
      <w:r w:rsidR="00B07DFD" w:rsidRPr="00B07DFD">
        <w:t xml:space="preserve">been confirmed by Mr Hawkes, Ms Seate and Mr Chirwa that the DLD's in the amount of R164 163 815.10 had been paid by setting-off that amount against monies otherwise due to the </w:t>
      </w:r>
      <w:r w:rsidR="00F066BA">
        <w:t>Contractor.</w:t>
      </w:r>
      <w:r w:rsidR="00001F14">
        <w:t xml:space="preserve"> </w:t>
      </w:r>
    </w:p>
    <w:p w14:paraId="71FCCC40" w14:textId="4C1FB1B6" w:rsidR="00100EDB" w:rsidRDefault="00F46E0C" w:rsidP="00F46E0C">
      <w:pPr>
        <w:pStyle w:val="1"/>
        <w:numPr>
          <w:ilvl w:val="0"/>
          <w:numId w:val="0"/>
        </w:numPr>
        <w:tabs>
          <w:tab w:val="left" w:pos="567"/>
        </w:tabs>
      </w:pPr>
      <w:r>
        <w:t>[40]</w:t>
      </w:r>
      <w:r>
        <w:tab/>
      </w:r>
      <w:r w:rsidR="00001F14" w:rsidRPr="00B07DFD">
        <w:t xml:space="preserve">Thus, by 20 December 2021 it was common cause between the parties that the </w:t>
      </w:r>
      <w:r w:rsidR="00001F14">
        <w:t xml:space="preserve">Contractor </w:t>
      </w:r>
      <w:r w:rsidR="00001F14" w:rsidRPr="00B07DFD">
        <w:t>had paid its indebtedness for DLD's in full.</w:t>
      </w:r>
    </w:p>
    <w:p w14:paraId="5E864B27" w14:textId="2021CF70" w:rsidR="004853BD" w:rsidRDefault="00F46E0C" w:rsidP="00F46E0C">
      <w:pPr>
        <w:pStyle w:val="1"/>
        <w:numPr>
          <w:ilvl w:val="0"/>
          <w:numId w:val="0"/>
        </w:numPr>
        <w:tabs>
          <w:tab w:val="left" w:pos="567"/>
        </w:tabs>
      </w:pPr>
      <w:r>
        <w:t>[41]</w:t>
      </w:r>
      <w:r>
        <w:tab/>
      </w:r>
      <w:r w:rsidR="004853BD">
        <w:t>However</w:t>
      </w:r>
      <w:r w:rsidR="0049299B">
        <w:t xml:space="preserve">, Mr Hawkes in his answering affidavit explains </w:t>
      </w:r>
      <w:r w:rsidR="001C3AFA">
        <w:t>his signature on t</w:t>
      </w:r>
      <w:r w:rsidR="00452AA9">
        <w:t xml:space="preserve">he </w:t>
      </w:r>
      <w:r w:rsidR="00E04B74">
        <w:t xml:space="preserve">              </w:t>
      </w:r>
      <w:r w:rsidR="000E357C">
        <w:t>18 December 2021 letter</w:t>
      </w:r>
      <w:r w:rsidR="007F7908">
        <w:t xml:space="preserve"> by contending that there was some sort of debate about the exchange rate</w:t>
      </w:r>
      <w:r w:rsidR="00472C2D">
        <w:t>. There is no sense to be made of this explanation</w:t>
      </w:r>
      <w:r w:rsidR="00452AA9">
        <w:t>. It certainly does not cast serious doubt on the version of the Contractor.</w:t>
      </w:r>
      <w:r w:rsidR="00D74A49">
        <w:t xml:space="preserve"> This is so particularly if regard is to be had to</w:t>
      </w:r>
      <w:r w:rsidR="00D24AD0">
        <w:t xml:space="preserve"> the Employer’s subsequent conduct</w:t>
      </w:r>
      <w:r w:rsidR="00C4623C">
        <w:t>.</w:t>
      </w:r>
    </w:p>
    <w:p w14:paraId="3BED916B" w14:textId="3C18D7F6" w:rsidR="00FC7B74" w:rsidRDefault="00F46E0C" w:rsidP="00F46E0C">
      <w:pPr>
        <w:pStyle w:val="1"/>
        <w:numPr>
          <w:ilvl w:val="0"/>
          <w:numId w:val="0"/>
        </w:numPr>
        <w:tabs>
          <w:tab w:val="left" w:pos="567"/>
        </w:tabs>
      </w:pPr>
      <w:r>
        <w:lastRenderedPageBreak/>
        <w:t>[42]</w:t>
      </w:r>
      <w:r>
        <w:tab/>
      </w:r>
      <w:r w:rsidR="00FC7B74">
        <w:t>On 20 December 2021</w:t>
      </w:r>
      <w:r w:rsidR="002D58ED">
        <w:t xml:space="preserve"> and the day after the Contractor </w:t>
      </w:r>
      <w:r w:rsidR="00476B8D">
        <w:t xml:space="preserve">had paid the amount of </w:t>
      </w:r>
      <w:r w:rsidR="00506A6F" w:rsidRPr="00562B9E">
        <w:t>R28</w:t>
      </w:r>
      <w:r w:rsidR="00506A6F">
        <w:t> </w:t>
      </w:r>
      <w:r w:rsidR="00506A6F" w:rsidRPr="00562B9E">
        <w:t>22</w:t>
      </w:r>
      <w:r w:rsidR="00506A6F">
        <w:t>2 282.35</w:t>
      </w:r>
      <w:r w:rsidR="00FC7B74">
        <w:t>, Mr Chirwa,</w:t>
      </w:r>
      <w:r w:rsidR="00E055C5">
        <w:t xml:space="preserve"> the general manager acting</w:t>
      </w:r>
      <w:r w:rsidR="00FC7B74">
        <w:t xml:space="preserve"> on behalf of the </w:t>
      </w:r>
      <w:r w:rsidR="00014E7C">
        <w:t>Employer</w:t>
      </w:r>
      <w:r w:rsidR="00E055C5">
        <w:t>, acknowledge</w:t>
      </w:r>
      <w:r w:rsidR="00506A6F">
        <w:t xml:space="preserve">d </w:t>
      </w:r>
      <w:r w:rsidR="00E055C5">
        <w:t>receipt and ma</w:t>
      </w:r>
      <w:r w:rsidR="00D3226E">
        <w:t xml:space="preserve">de </w:t>
      </w:r>
      <w:r w:rsidR="00E055C5">
        <w:t xml:space="preserve">no mention of the </w:t>
      </w:r>
      <w:r w:rsidR="00E055C5" w:rsidRPr="00B07DFD">
        <w:t xml:space="preserve">R164 163 815.10 </w:t>
      </w:r>
      <w:r w:rsidR="00302EBF">
        <w:t xml:space="preserve">which on the Employer’s version was </w:t>
      </w:r>
      <w:r w:rsidR="00506A6F">
        <w:t>alle</w:t>
      </w:r>
      <w:r w:rsidR="00A903D8">
        <w:t xml:space="preserve">gedly </w:t>
      </w:r>
      <w:r w:rsidR="00630611">
        <w:t>still outstanding:</w:t>
      </w:r>
      <w:r w:rsidR="00E055C5">
        <w:t xml:space="preserve"> </w:t>
      </w:r>
    </w:p>
    <w:p w14:paraId="488C6C4A" w14:textId="77777777" w:rsidR="00C457DA" w:rsidRDefault="00C457DA" w:rsidP="00107041">
      <w:pPr>
        <w:pStyle w:val="1"/>
        <w:numPr>
          <w:ilvl w:val="0"/>
          <w:numId w:val="0"/>
        </w:numPr>
        <w:spacing w:line="360" w:lineRule="auto"/>
        <w:ind w:left="1134"/>
        <w:rPr>
          <w:sz w:val="22"/>
        </w:rPr>
      </w:pPr>
    </w:p>
    <w:p w14:paraId="7F5ED93A" w14:textId="0DAD330F" w:rsidR="00630611" w:rsidRPr="00A903D8" w:rsidRDefault="00A903D8" w:rsidP="00107041">
      <w:pPr>
        <w:pStyle w:val="1"/>
        <w:numPr>
          <w:ilvl w:val="0"/>
          <w:numId w:val="0"/>
        </w:numPr>
        <w:spacing w:line="360" w:lineRule="auto"/>
        <w:ind w:left="1134"/>
        <w:rPr>
          <w:sz w:val="22"/>
        </w:rPr>
      </w:pPr>
      <w:r w:rsidRPr="00A903D8">
        <w:rPr>
          <w:sz w:val="22"/>
        </w:rPr>
        <w:t>‘</w:t>
      </w:r>
      <w:r w:rsidR="009F09E4" w:rsidRPr="00A903D8">
        <w:rPr>
          <w:sz w:val="22"/>
        </w:rPr>
        <w:t xml:space="preserve">SUBJECT: BALANCE OF DLD PAYMENT </w:t>
      </w:r>
    </w:p>
    <w:p w14:paraId="16511B2F" w14:textId="77777777" w:rsidR="00630611" w:rsidRPr="00A903D8" w:rsidRDefault="009F09E4" w:rsidP="00107041">
      <w:pPr>
        <w:pStyle w:val="1"/>
        <w:numPr>
          <w:ilvl w:val="0"/>
          <w:numId w:val="0"/>
        </w:numPr>
        <w:spacing w:line="360" w:lineRule="auto"/>
        <w:ind w:left="1134"/>
        <w:rPr>
          <w:sz w:val="22"/>
        </w:rPr>
      </w:pPr>
      <w:r w:rsidRPr="00A903D8">
        <w:rPr>
          <w:sz w:val="22"/>
        </w:rPr>
        <w:t xml:space="preserve">Contractor's letter, PN0075-ELB1-1000-PM-0631 Balance of DLD Payment, dated 18 December 2021, has reference. </w:t>
      </w:r>
    </w:p>
    <w:p w14:paraId="47715FD1" w14:textId="2D19D5A0" w:rsidR="009F09E4" w:rsidRPr="00A903D8" w:rsidRDefault="009F09E4" w:rsidP="00107041">
      <w:pPr>
        <w:pStyle w:val="1"/>
        <w:numPr>
          <w:ilvl w:val="0"/>
          <w:numId w:val="0"/>
        </w:numPr>
        <w:spacing w:line="360" w:lineRule="auto"/>
        <w:ind w:left="1134"/>
        <w:rPr>
          <w:sz w:val="22"/>
        </w:rPr>
      </w:pPr>
      <w:r w:rsidRPr="00A903D8">
        <w:rPr>
          <w:sz w:val="22"/>
        </w:rPr>
        <w:t xml:space="preserve">Employer acknowledges receipt of </w:t>
      </w:r>
      <w:r w:rsidRPr="00A903D8">
        <w:rPr>
          <w:b/>
          <w:bCs/>
          <w:sz w:val="22"/>
        </w:rPr>
        <w:t>the balance</w:t>
      </w:r>
      <w:r w:rsidRPr="00A903D8">
        <w:rPr>
          <w:sz w:val="22"/>
        </w:rPr>
        <w:t xml:space="preserve"> of DLDs and wishes to thank the Contractor for its kind consideration.</w:t>
      </w:r>
      <w:r w:rsidR="00A903D8" w:rsidRPr="00A903D8">
        <w:rPr>
          <w:sz w:val="22"/>
        </w:rPr>
        <w:t>’</w:t>
      </w:r>
    </w:p>
    <w:p w14:paraId="754400C0" w14:textId="2B053D1C" w:rsidR="006F7FAF" w:rsidRDefault="001D4CE9" w:rsidP="00107041">
      <w:pPr>
        <w:pStyle w:val="1"/>
        <w:numPr>
          <w:ilvl w:val="0"/>
          <w:numId w:val="0"/>
        </w:numPr>
        <w:spacing w:line="360" w:lineRule="auto"/>
        <w:ind w:left="1134"/>
        <w:rPr>
          <w:sz w:val="22"/>
        </w:rPr>
      </w:pPr>
      <w:r w:rsidRPr="00A903D8">
        <w:rPr>
          <w:sz w:val="22"/>
        </w:rPr>
        <w:t>(emphasis provided)</w:t>
      </w:r>
    </w:p>
    <w:p w14:paraId="3270DF63" w14:textId="77777777" w:rsidR="0062554F" w:rsidRPr="00A903D8" w:rsidRDefault="0062554F" w:rsidP="00107041">
      <w:pPr>
        <w:pStyle w:val="1"/>
        <w:numPr>
          <w:ilvl w:val="0"/>
          <w:numId w:val="0"/>
        </w:numPr>
        <w:spacing w:line="360" w:lineRule="auto"/>
        <w:ind w:left="1134"/>
        <w:rPr>
          <w:sz w:val="22"/>
        </w:rPr>
      </w:pPr>
    </w:p>
    <w:p w14:paraId="6E7596A8" w14:textId="44E5B9E1" w:rsidR="00124F53" w:rsidRDefault="00F46E0C" w:rsidP="00F46E0C">
      <w:pPr>
        <w:pStyle w:val="1"/>
        <w:numPr>
          <w:ilvl w:val="0"/>
          <w:numId w:val="0"/>
        </w:numPr>
        <w:tabs>
          <w:tab w:val="left" w:pos="567"/>
        </w:tabs>
      </w:pPr>
      <w:r>
        <w:t>[43]</w:t>
      </w:r>
      <w:r>
        <w:tab/>
      </w:r>
      <w:r w:rsidR="006D3BDD">
        <w:t>That remain</w:t>
      </w:r>
      <w:r w:rsidR="0062554F">
        <w:t xml:space="preserve">ed </w:t>
      </w:r>
      <w:r w:rsidR="006D3BDD">
        <w:t xml:space="preserve">so </w:t>
      </w:r>
      <w:r w:rsidR="004C2231">
        <w:t>until</w:t>
      </w:r>
      <w:r w:rsidR="006D3BDD">
        <w:t xml:space="preserve"> a</w:t>
      </w:r>
      <w:r w:rsidR="004D116A">
        <w:t>lmost a year later</w:t>
      </w:r>
      <w:r w:rsidR="00156B8F">
        <w:t>,</w:t>
      </w:r>
      <w:r w:rsidR="004D116A">
        <w:t xml:space="preserve"> </w:t>
      </w:r>
      <w:r w:rsidR="00712E8F">
        <w:t xml:space="preserve">on </w:t>
      </w:r>
      <w:r w:rsidR="009A44EE" w:rsidRPr="009A44EE">
        <w:t>15 December 2022</w:t>
      </w:r>
      <w:r w:rsidR="000339B6">
        <w:t xml:space="preserve"> at 23h04 on the evening before the commen</w:t>
      </w:r>
      <w:r w:rsidR="00F25574">
        <w:t>cement of a long weekend</w:t>
      </w:r>
      <w:r w:rsidR="00712E8F">
        <w:t xml:space="preserve">, </w:t>
      </w:r>
      <w:r w:rsidR="0062554F">
        <w:t xml:space="preserve">when </w:t>
      </w:r>
      <w:r w:rsidR="009A44EE" w:rsidRPr="009A44EE">
        <w:t xml:space="preserve">the </w:t>
      </w:r>
      <w:r w:rsidR="00712E8F">
        <w:t xml:space="preserve">Contractor </w:t>
      </w:r>
      <w:r w:rsidR="009A44EE" w:rsidRPr="009A44EE">
        <w:t xml:space="preserve">received a letter from Mr Hawkes </w:t>
      </w:r>
      <w:r w:rsidR="00A82557">
        <w:t xml:space="preserve"> (representing the Employer) </w:t>
      </w:r>
      <w:r w:rsidR="009A44EE" w:rsidRPr="009A44EE">
        <w:t xml:space="preserve">in which he informed </w:t>
      </w:r>
      <w:r w:rsidR="000903EC">
        <w:t xml:space="preserve">the Contractor </w:t>
      </w:r>
      <w:r w:rsidR="009A44EE" w:rsidRPr="009A44EE">
        <w:t>that it had incurred DLD's in the maximum amount allowed by the Contract of R192 386 797.85</w:t>
      </w:r>
      <w:r w:rsidR="00B65806">
        <w:t xml:space="preserve">, </w:t>
      </w:r>
      <w:r w:rsidR="009A44EE" w:rsidRPr="009A44EE">
        <w:t xml:space="preserve">that it had only </w:t>
      </w:r>
      <w:r w:rsidR="00B65806">
        <w:t xml:space="preserve">paid an </w:t>
      </w:r>
      <w:r w:rsidR="009A44EE" w:rsidRPr="009A44EE">
        <w:t>amount of R28</w:t>
      </w:r>
      <w:r w:rsidR="00B65806">
        <w:t> </w:t>
      </w:r>
      <w:r w:rsidR="009A44EE" w:rsidRPr="009A44EE">
        <w:t>222</w:t>
      </w:r>
      <w:r w:rsidR="00B65806">
        <w:t xml:space="preserve"> </w:t>
      </w:r>
      <w:r w:rsidR="009A44EE" w:rsidRPr="009A44EE">
        <w:t xml:space="preserve">982.35 and that it was still indebted to </w:t>
      </w:r>
      <w:r w:rsidR="00D45F1C">
        <w:t>the Employer in the amount of R164 163 815.10.</w:t>
      </w:r>
      <w:r w:rsidR="00D31439">
        <w:t xml:space="preserve"> </w:t>
      </w:r>
      <w:r w:rsidR="00DD0CD6" w:rsidRPr="00DD0CD6">
        <w:t xml:space="preserve">The </w:t>
      </w:r>
      <w:r w:rsidR="00A850CC">
        <w:t>Contractor</w:t>
      </w:r>
      <w:r w:rsidR="00DD0CD6" w:rsidRPr="00DD0CD6">
        <w:t xml:space="preserve"> was further advised that if it did not pay the amount of</w:t>
      </w:r>
      <w:r w:rsidR="00D31439">
        <w:t xml:space="preserve"> </w:t>
      </w:r>
      <w:r w:rsidR="00DD0CD6" w:rsidRPr="00DD0CD6">
        <w:t xml:space="preserve">R164 163 815.10 within 3 days, the </w:t>
      </w:r>
      <w:r w:rsidR="00A850CC">
        <w:t xml:space="preserve">Employer </w:t>
      </w:r>
      <w:r w:rsidR="00DD0CD6" w:rsidRPr="00DD0CD6">
        <w:t xml:space="preserve">and/or </w:t>
      </w:r>
      <w:r w:rsidR="00A80DEF">
        <w:t>Nedbank</w:t>
      </w:r>
      <w:r w:rsidR="00A850CC">
        <w:t xml:space="preserve"> </w:t>
      </w:r>
      <w:r w:rsidR="00DD0CD6" w:rsidRPr="00DD0CD6">
        <w:t xml:space="preserve">would demand payment of that amount from </w:t>
      </w:r>
      <w:r w:rsidR="000339B6">
        <w:t>Santam</w:t>
      </w:r>
      <w:r w:rsidR="00DD0CD6" w:rsidRPr="00DD0CD6">
        <w:t xml:space="preserve"> under the Guarantee. </w:t>
      </w:r>
    </w:p>
    <w:p w14:paraId="3E12D290" w14:textId="439EF9E6" w:rsidR="00D45F1C" w:rsidRDefault="00F46E0C" w:rsidP="00F46E0C">
      <w:pPr>
        <w:pStyle w:val="1"/>
        <w:numPr>
          <w:ilvl w:val="0"/>
          <w:numId w:val="0"/>
        </w:numPr>
        <w:tabs>
          <w:tab w:val="left" w:pos="567"/>
        </w:tabs>
      </w:pPr>
      <w:r>
        <w:t>[44]</w:t>
      </w:r>
      <w:r>
        <w:tab/>
      </w:r>
      <w:r w:rsidR="00DD0CD6" w:rsidRPr="00DD0CD6">
        <w:t xml:space="preserve">On the public holiday of 16 December 2022, the </w:t>
      </w:r>
      <w:r w:rsidR="001C4804">
        <w:t>Contractor</w:t>
      </w:r>
      <w:r w:rsidR="00DD0CD6" w:rsidRPr="00DD0CD6">
        <w:t xml:space="preserve"> responded to </w:t>
      </w:r>
      <w:r w:rsidR="00124F53">
        <w:t xml:space="preserve">               </w:t>
      </w:r>
      <w:r w:rsidR="00DD0CD6" w:rsidRPr="00DD0CD6">
        <w:t>Mr Hawkes'</w:t>
      </w:r>
      <w:r w:rsidR="001C4804">
        <w:t xml:space="preserve"> </w:t>
      </w:r>
      <w:r w:rsidR="00DD0CD6" w:rsidRPr="00DD0CD6">
        <w:t>lette</w:t>
      </w:r>
      <w:r w:rsidR="004B3536">
        <w:t>r</w:t>
      </w:r>
      <w:r w:rsidR="00DD0CD6" w:rsidRPr="00DD0CD6">
        <w:t>, that it was common cause a year previously</w:t>
      </w:r>
      <w:r w:rsidR="004B3536">
        <w:t xml:space="preserve"> that the Contractor had paid the DLD’s in the amount of R164</w:t>
      </w:r>
      <w:r w:rsidR="006E6634">
        <w:t> </w:t>
      </w:r>
      <w:r w:rsidR="004B3536">
        <w:t>163</w:t>
      </w:r>
      <w:r w:rsidR="006E6634">
        <w:t> 815.10.</w:t>
      </w:r>
    </w:p>
    <w:p w14:paraId="64A0513B" w14:textId="0C340B37" w:rsidR="00407DCB" w:rsidRDefault="00F46E0C" w:rsidP="00F46E0C">
      <w:pPr>
        <w:pStyle w:val="1"/>
        <w:numPr>
          <w:ilvl w:val="0"/>
          <w:numId w:val="0"/>
        </w:numPr>
        <w:tabs>
          <w:tab w:val="left" w:pos="567"/>
        </w:tabs>
      </w:pPr>
      <w:r>
        <w:t>[45]</w:t>
      </w:r>
      <w:r>
        <w:tab/>
      </w:r>
      <w:r w:rsidR="00223EFD" w:rsidRPr="00223EFD">
        <w:t xml:space="preserve">In its letter </w:t>
      </w:r>
      <w:r w:rsidR="002830AA">
        <w:t xml:space="preserve">the Contractor </w:t>
      </w:r>
      <w:r w:rsidR="00223EFD" w:rsidRPr="00223EFD">
        <w:t xml:space="preserve">pointed out to the </w:t>
      </w:r>
      <w:r w:rsidR="002830AA">
        <w:t xml:space="preserve">Employer </w:t>
      </w:r>
      <w:r w:rsidR="00223EFD" w:rsidRPr="00223EFD">
        <w:t xml:space="preserve">and </w:t>
      </w:r>
      <w:r w:rsidR="002830AA">
        <w:t xml:space="preserve">Nedbank </w:t>
      </w:r>
      <w:r w:rsidR="00223EFD" w:rsidRPr="00223EFD">
        <w:t xml:space="preserve">that any demand under the Guarantee for payment of DLD's, which the parties were </w:t>
      </w:r>
      <w:r w:rsidR="0028451D">
        <w:t xml:space="preserve">in </w:t>
      </w:r>
      <w:r w:rsidR="0028451D">
        <w:lastRenderedPageBreak/>
        <w:t>agreement</w:t>
      </w:r>
      <w:r w:rsidR="00223EFD" w:rsidRPr="00223EFD">
        <w:t xml:space="preserve"> had been paid a year before, would constitute a fraudulent demand and would compel the </w:t>
      </w:r>
      <w:r w:rsidR="00407DCB">
        <w:t xml:space="preserve">Contractor </w:t>
      </w:r>
      <w:r w:rsidR="00223EFD" w:rsidRPr="00223EFD">
        <w:t>to approach th</w:t>
      </w:r>
      <w:r w:rsidR="005228E9">
        <w:t>e</w:t>
      </w:r>
      <w:r w:rsidR="00223EFD" w:rsidRPr="00223EFD">
        <w:t xml:space="preserve"> Court on an urgent basis for the requisite relief. </w:t>
      </w:r>
    </w:p>
    <w:p w14:paraId="6A198381" w14:textId="75F67D5B" w:rsidR="0066526F" w:rsidRDefault="00F46E0C" w:rsidP="00F46E0C">
      <w:pPr>
        <w:pStyle w:val="1"/>
        <w:numPr>
          <w:ilvl w:val="0"/>
          <w:numId w:val="0"/>
        </w:numPr>
        <w:tabs>
          <w:tab w:val="left" w:pos="567"/>
        </w:tabs>
      </w:pPr>
      <w:r>
        <w:t>[46]</w:t>
      </w:r>
      <w:r>
        <w:tab/>
      </w:r>
      <w:r w:rsidR="00EB7AC4">
        <w:t xml:space="preserve">On 9 January 2023 Nedbank </w:t>
      </w:r>
      <w:r w:rsidR="00302EBF">
        <w:t xml:space="preserve">on behalf of the Employer </w:t>
      </w:r>
      <w:r w:rsidR="00223EFD" w:rsidRPr="00223EFD">
        <w:t xml:space="preserve">made a </w:t>
      </w:r>
      <w:r w:rsidR="001E745E">
        <w:t xml:space="preserve">demand </w:t>
      </w:r>
      <w:r w:rsidR="00223EFD" w:rsidRPr="00223EFD">
        <w:t xml:space="preserve">on </w:t>
      </w:r>
      <w:r w:rsidR="00302EBF">
        <w:t xml:space="preserve">Santam under the </w:t>
      </w:r>
      <w:r w:rsidR="00223EFD" w:rsidRPr="00223EFD">
        <w:t>Guarantee for payment of the amount of R164 163 815.10.</w:t>
      </w:r>
    </w:p>
    <w:p w14:paraId="038B5811" w14:textId="559C5945" w:rsidR="0066526F" w:rsidRPr="001A1AFF" w:rsidRDefault="0066526F" w:rsidP="00107041">
      <w:pPr>
        <w:pStyle w:val="1"/>
        <w:numPr>
          <w:ilvl w:val="0"/>
          <w:numId w:val="0"/>
        </w:numPr>
        <w:rPr>
          <w:bCs/>
          <w:u w:val="single"/>
        </w:rPr>
      </w:pPr>
      <w:r w:rsidRPr="001A1AFF">
        <w:rPr>
          <w:bCs/>
          <w:u w:val="single"/>
        </w:rPr>
        <w:t>The Annual Financial Statements</w:t>
      </w:r>
    </w:p>
    <w:p w14:paraId="404EDD66" w14:textId="1738B7F9" w:rsidR="00077574" w:rsidRDefault="00F46E0C" w:rsidP="00F46E0C">
      <w:pPr>
        <w:pStyle w:val="1"/>
        <w:numPr>
          <w:ilvl w:val="0"/>
          <w:numId w:val="0"/>
        </w:numPr>
        <w:tabs>
          <w:tab w:val="left" w:pos="567"/>
        </w:tabs>
      </w:pPr>
      <w:r>
        <w:t>[47]</w:t>
      </w:r>
      <w:r>
        <w:tab/>
      </w:r>
      <w:r w:rsidR="00642B9C">
        <w:t>On 28 February 2022</w:t>
      </w:r>
      <w:r w:rsidR="001D7E5F">
        <w:t xml:space="preserve"> the Employer published its annual financial statements, audited by KPMG</w:t>
      </w:r>
      <w:r w:rsidR="007713B9">
        <w:t>, and prepared by Ms Seate</w:t>
      </w:r>
      <w:r w:rsidR="0079072A">
        <w:t>, the Employer’s financial manager.</w:t>
      </w:r>
      <w:r w:rsidR="00077574">
        <w:t xml:space="preserve"> The Director’s report records:</w:t>
      </w:r>
    </w:p>
    <w:p w14:paraId="1FC22A12" w14:textId="46315726" w:rsidR="00077574" w:rsidRPr="002D4DF1" w:rsidRDefault="00077574" w:rsidP="00107041">
      <w:pPr>
        <w:pStyle w:val="1"/>
        <w:numPr>
          <w:ilvl w:val="0"/>
          <w:numId w:val="0"/>
        </w:numPr>
        <w:spacing w:line="360" w:lineRule="auto"/>
        <w:ind w:left="1134"/>
        <w:rPr>
          <w:sz w:val="22"/>
        </w:rPr>
      </w:pPr>
      <w:r w:rsidRPr="002D4DF1">
        <w:rPr>
          <w:sz w:val="22"/>
        </w:rPr>
        <w:t>‘The DLD amounts accrued of R192m were offset against the EPC un</w:t>
      </w:r>
      <w:r w:rsidR="00EA0AD0" w:rsidRPr="002D4DF1">
        <w:rPr>
          <w:sz w:val="22"/>
        </w:rPr>
        <w:t xml:space="preserve">paid </w:t>
      </w:r>
      <w:r w:rsidRPr="002D4DF1">
        <w:rPr>
          <w:sz w:val="22"/>
        </w:rPr>
        <w:t>amounts of R164m, with a bal</w:t>
      </w:r>
      <w:r w:rsidR="00EA0AD0" w:rsidRPr="002D4DF1">
        <w:rPr>
          <w:sz w:val="22"/>
        </w:rPr>
        <w:t>ance of R28</w:t>
      </w:r>
      <w:r w:rsidR="00153F32" w:rsidRPr="002D4DF1">
        <w:rPr>
          <w:sz w:val="22"/>
        </w:rPr>
        <w:t xml:space="preserve">m paid by the EPC </w:t>
      </w:r>
      <w:r w:rsidR="002D4DF1" w:rsidRPr="002D4DF1">
        <w:rPr>
          <w:sz w:val="22"/>
        </w:rPr>
        <w:t>C</w:t>
      </w:r>
      <w:r w:rsidR="00153F32" w:rsidRPr="002D4DF1">
        <w:rPr>
          <w:sz w:val="22"/>
        </w:rPr>
        <w:t>ontractor in December 202</w:t>
      </w:r>
      <w:r w:rsidR="002D4DF1" w:rsidRPr="002D4DF1">
        <w:rPr>
          <w:sz w:val="22"/>
        </w:rPr>
        <w:t>1.’</w:t>
      </w:r>
    </w:p>
    <w:p w14:paraId="266AC35F" w14:textId="3929E4BB" w:rsidR="002D4DF1" w:rsidRDefault="00F46E0C" w:rsidP="00F46E0C">
      <w:pPr>
        <w:pStyle w:val="1"/>
        <w:numPr>
          <w:ilvl w:val="0"/>
          <w:numId w:val="0"/>
        </w:numPr>
        <w:tabs>
          <w:tab w:val="left" w:pos="567"/>
        </w:tabs>
      </w:pPr>
      <w:r>
        <w:t>[48]</w:t>
      </w:r>
      <w:r>
        <w:tab/>
      </w:r>
      <w:r w:rsidR="00855E4D">
        <w:t xml:space="preserve">The </w:t>
      </w:r>
      <w:r w:rsidR="00B255E9">
        <w:t xml:space="preserve">published financial records </w:t>
      </w:r>
      <w:r w:rsidR="00302EBF">
        <w:t xml:space="preserve">of the Employer </w:t>
      </w:r>
      <w:r w:rsidR="00B255E9">
        <w:t>are thus</w:t>
      </w:r>
      <w:r w:rsidR="0037753B">
        <w:t xml:space="preserve"> consistent with the facts advanced by the </w:t>
      </w:r>
      <w:r w:rsidR="00C97CD7">
        <w:t>Contractor.</w:t>
      </w:r>
      <w:r w:rsidR="00E362A4">
        <w:rPr>
          <w:rStyle w:val="FootnoteReference"/>
        </w:rPr>
        <w:footnoteReference w:id="10"/>
      </w:r>
      <w:r w:rsidR="001F2E6B">
        <w:t xml:space="preserve"> </w:t>
      </w:r>
      <w:r w:rsidR="00AA246C">
        <w:t xml:space="preserve">These facts </w:t>
      </w:r>
      <w:r w:rsidR="00327108">
        <w:t xml:space="preserve">recorded in the annual </w:t>
      </w:r>
      <w:r w:rsidR="00331956">
        <w:t>financial statements were</w:t>
      </w:r>
      <w:r w:rsidR="00ED7377">
        <w:t xml:space="preserve"> also independently corroborated by the auditors, KPMG.</w:t>
      </w:r>
    </w:p>
    <w:p w14:paraId="6CB5C957" w14:textId="0C9E8A3C" w:rsidR="00450C57" w:rsidRPr="00152005" w:rsidRDefault="00F46E0C" w:rsidP="00F46E0C">
      <w:pPr>
        <w:pStyle w:val="1"/>
        <w:numPr>
          <w:ilvl w:val="0"/>
          <w:numId w:val="0"/>
        </w:numPr>
        <w:tabs>
          <w:tab w:val="left" w:pos="567"/>
        </w:tabs>
        <w:rPr>
          <w:i/>
          <w:iCs w:val="0"/>
        </w:rPr>
      </w:pPr>
      <w:r w:rsidRPr="00152005">
        <w:rPr>
          <w:iCs w:val="0"/>
        </w:rPr>
        <w:t>[49]</w:t>
      </w:r>
      <w:r w:rsidRPr="00152005">
        <w:rPr>
          <w:iCs w:val="0"/>
        </w:rPr>
        <w:tab/>
      </w:r>
      <w:r w:rsidR="00D65278">
        <w:t xml:space="preserve">Mr Hawkes, a director of the Employer, </w:t>
      </w:r>
      <w:r w:rsidR="00331956">
        <w:t>attempt</w:t>
      </w:r>
      <w:r w:rsidR="00283725">
        <w:t>ed</w:t>
      </w:r>
      <w:r w:rsidR="00331956">
        <w:t xml:space="preserve"> to </w:t>
      </w:r>
      <w:r w:rsidR="00D65278">
        <w:t>explain this</w:t>
      </w:r>
      <w:r w:rsidR="003C3D1B">
        <w:t xml:space="preserve"> </w:t>
      </w:r>
      <w:r w:rsidR="003364D2">
        <w:t xml:space="preserve">piece of damning evidence </w:t>
      </w:r>
      <w:r w:rsidR="003C3D1B">
        <w:t xml:space="preserve">by </w:t>
      </w:r>
      <w:r w:rsidR="003364D2">
        <w:t>contending</w:t>
      </w:r>
      <w:r w:rsidR="003C3D1B">
        <w:t xml:space="preserve"> that during February 2022</w:t>
      </w:r>
      <w:r w:rsidR="00CF7E16">
        <w:t>, the Employer was unaware of the extent of the defects</w:t>
      </w:r>
      <w:r w:rsidR="00E76957">
        <w:t>. H</w:t>
      </w:r>
      <w:r w:rsidR="00263729">
        <w:t xml:space="preserve">e says that the </w:t>
      </w:r>
      <w:r w:rsidR="009F1446">
        <w:t>C</w:t>
      </w:r>
      <w:r w:rsidR="00263729">
        <w:t>ontract amount was R1 282 578</w:t>
      </w:r>
      <w:r w:rsidR="005F0D60">
        <w:t> </w:t>
      </w:r>
      <w:r w:rsidR="00263729">
        <w:t>652</w:t>
      </w:r>
      <w:r w:rsidR="005F0D60">
        <w:t xml:space="preserve"> and that the Contractor had been paid R1 118 414</w:t>
      </w:r>
      <w:r w:rsidR="00572475">
        <w:t> </w:t>
      </w:r>
      <w:r w:rsidR="005F0D60">
        <w:t>832</w:t>
      </w:r>
      <w:r w:rsidR="00572475">
        <w:t>. That left the total amount of R164 163</w:t>
      </w:r>
      <w:r w:rsidR="00AB61DD">
        <w:t> </w:t>
      </w:r>
      <w:r w:rsidR="00572475">
        <w:t>820</w:t>
      </w:r>
      <w:r w:rsidR="00AB61DD">
        <w:t xml:space="preserve"> in relation to work that was still to be executed and for which payment would be claimed.</w:t>
      </w:r>
      <w:r w:rsidR="007877DE">
        <w:t xml:space="preserve"> He </w:t>
      </w:r>
      <w:r w:rsidR="00D50623">
        <w:t xml:space="preserve">then stated that </w:t>
      </w:r>
      <w:r w:rsidR="007877DE">
        <w:t xml:space="preserve">this provisional liability </w:t>
      </w:r>
      <w:r w:rsidR="00BC0C2A">
        <w:t xml:space="preserve">for monies </w:t>
      </w:r>
      <w:r w:rsidR="007877DE">
        <w:t>(</w:t>
      </w:r>
      <w:r w:rsidR="00BC0C2A">
        <w:t xml:space="preserve">the </w:t>
      </w:r>
      <w:r w:rsidR="007877DE">
        <w:t>R164 163 820)</w:t>
      </w:r>
      <w:r w:rsidR="00F75850">
        <w:t xml:space="preserve"> would become due on an uncertain future date and was recognised through an increase in the value of the asset.</w:t>
      </w:r>
      <w:r w:rsidR="00E41DBD">
        <w:t xml:space="preserve"> </w:t>
      </w:r>
      <w:r w:rsidR="00155865">
        <w:t xml:space="preserve">He </w:t>
      </w:r>
      <w:r w:rsidR="00AF510A">
        <w:t>said</w:t>
      </w:r>
      <w:r w:rsidR="00155865">
        <w:t>: ‘</w:t>
      </w:r>
      <w:r w:rsidR="00155865" w:rsidRPr="00450C57">
        <w:rPr>
          <w:i/>
          <w:iCs w:val="0"/>
        </w:rPr>
        <w:t>I</w:t>
      </w:r>
      <w:r w:rsidR="00E41DBD" w:rsidRPr="00450C57">
        <w:rPr>
          <w:i/>
          <w:iCs w:val="0"/>
        </w:rPr>
        <w:t>nstead</w:t>
      </w:r>
      <w:r w:rsidR="006D4D22" w:rsidRPr="00450C57">
        <w:rPr>
          <w:i/>
          <w:iCs w:val="0"/>
        </w:rPr>
        <w:t xml:space="preserve"> of reflecting </w:t>
      </w:r>
      <w:r w:rsidR="006D4D22" w:rsidRPr="00450C57">
        <w:rPr>
          <w:i/>
          <w:iCs w:val="0"/>
        </w:rPr>
        <w:lastRenderedPageBreak/>
        <w:t>the provisional liability</w:t>
      </w:r>
      <w:r w:rsidR="00DD6645" w:rsidRPr="00450C57">
        <w:rPr>
          <w:i/>
          <w:iCs w:val="0"/>
        </w:rPr>
        <w:t xml:space="preserve"> in creditor’s account and the unpaid receivable in a debtor’s account the two, the one a provision and the other an unpaid receivable</w:t>
      </w:r>
      <w:r w:rsidR="00450C57" w:rsidRPr="00450C57">
        <w:rPr>
          <w:i/>
          <w:iCs w:val="0"/>
        </w:rPr>
        <w:t xml:space="preserve"> of the same amount for DLDs, were set off against each other.’</w:t>
      </w:r>
    </w:p>
    <w:p w14:paraId="15638521" w14:textId="63A002F6" w:rsidR="00451533" w:rsidRPr="00810767" w:rsidRDefault="00F46E0C" w:rsidP="00F46E0C">
      <w:pPr>
        <w:pStyle w:val="1"/>
        <w:numPr>
          <w:ilvl w:val="0"/>
          <w:numId w:val="0"/>
        </w:numPr>
        <w:tabs>
          <w:tab w:val="left" w:pos="567"/>
        </w:tabs>
        <w:rPr>
          <w:i/>
          <w:iCs w:val="0"/>
        </w:rPr>
      </w:pPr>
      <w:r w:rsidRPr="00810767">
        <w:rPr>
          <w:iCs w:val="0"/>
        </w:rPr>
        <w:t>[50]</w:t>
      </w:r>
      <w:r w:rsidRPr="00810767">
        <w:rPr>
          <w:iCs w:val="0"/>
        </w:rPr>
        <w:tab/>
      </w:r>
      <w:r w:rsidR="00752036">
        <w:t>Mr Hawkes summarise</w:t>
      </w:r>
      <w:r w:rsidR="00AD4FEB">
        <w:t>d</w:t>
      </w:r>
      <w:r w:rsidR="00752036">
        <w:t xml:space="preserve"> the position </w:t>
      </w:r>
      <w:r w:rsidR="00E64C37">
        <w:t>and aver</w:t>
      </w:r>
      <w:r w:rsidR="00AD4FEB">
        <w:t>red</w:t>
      </w:r>
      <w:r w:rsidR="00E64C37">
        <w:t xml:space="preserve"> that </w:t>
      </w:r>
      <w:r w:rsidR="00D60B47">
        <w:t>the financial statements do</w:t>
      </w:r>
      <w:r w:rsidR="00AD4FEB">
        <w:t xml:space="preserve"> not</w:t>
      </w:r>
      <w:r w:rsidR="00D60B47">
        <w:t xml:space="preserve"> reflect that the Contractor</w:t>
      </w:r>
      <w:r w:rsidR="00B34342">
        <w:t>’s debt to pay DLD’s ha</w:t>
      </w:r>
      <w:r w:rsidR="00AD4FEB">
        <w:t>d</w:t>
      </w:r>
      <w:r w:rsidR="00B34342">
        <w:t xml:space="preserve"> been extinguished, instead it reflect</w:t>
      </w:r>
      <w:r w:rsidR="00AD4FEB">
        <w:t>ed</w:t>
      </w:r>
      <w:r w:rsidR="00B34342">
        <w:t xml:space="preserve"> </w:t>
      </w:r>
      <w:r w:rsidR="00DC393B">
        <w:t xml:space="preserve">an accounting treatment of the </w:t>
      </w:r>
      <w:r w:rsidR="00302EBF">
        <w:t>(</w:t>
      </w:r>
      <w:r w:rsidR="00DC393B">
        <w:t>a) provisional increase in the value of the works</w:t>
      </w:r>
      <w:r w:rsidR="009421CA">
        <w:t xml:space="preserve"> and the provisional liability to make payment therefore and </w:t>
      </w:r>
      <w:r w:rsidR="00302EBF">
        <w:t>(</w:t>
      </w:r>
      <w:r w:rsidR="009421CA">
        <w:t>b) the Employer’s entitlement in respect of the DLD’s.</w:t>
      </w:r>
      <w:r w:rsidR="00AC5098">
        <w:rPr>
          <w:i/>
          <w:iCs w:val="0"/>
        </w:rPr>
        <w:t xml:space="preserve"> </w:t>
      </w:r>
      <w:r w:rsidR="00AC5098">
        <w:t xml:space="preserve">Mr Hawkes thus </w:t>
      </w:r>
      <w:r w:rsidR="00810767">
        <w:t xml:space="preserve">attempted to explain the </w:t>
      </w:r>
      <w:r w:rsidR="00302EBF">
        <w:t xml:space="preserve">thrice </w:t>
      </w:r>
      <w:r w:rsidR="00451533" w:rsidRPr="00451533">
        <w:t>repeated confirmation of the set-off in the A</w:t>
      </w:r>
      <w:r w:rsidR="005B2D78">
        <w:t>nnual Financial Statements</w:t>
      </w:r>
      <w:r w:rsidR="00451533" w:rsidRPr="00451533">
        <w:t xml:space="preserve"> on the basis that the </w:t>
      </w:r>
      <w:r w:rsidR="00810767">
        <w:t>Contractor ‘</w:t>
      </w:r>
      <w:r w:rsidR="00810767" w:rsidRPr="00810767">
        <w:rPr>
          <w:i/>
          <w:iCs w:val="0"/>
        </w:rPr>
        <w:t>c</w:t>
      </w:r>
      <w:r w:rsidR="00451533" w:rsidRPr="00810767">
        <w:rPr>
          <w:i/>
          <w:iCs w:val="0"/>
        </w:rPr>
        <w:t>onflates the legal principles relating to set</w:t>
      </w:r>
      <w:r w:rsidR="00810767" w:rsidRPr="00810767">
        <w:rPr>
          <w:i/>
          <w:iCs w:val="0"/>
        </w:rPr>
        <w:t>-off</w:t>
      </w:r>
      <w:r w:rsidR="00451533" w:rsidRPr="00810767">
        <w:rPr>
          <w:i/>
          <w:iCs w:val="0"/>
        </w:rPr>
        <w:t xml:space="preserve"> wit</w:t>
      </w:r>
      <w:r w:rsidR="00810767" w:rsidRPr="00810767">
        <w:rPr>
          <w:i/>
          <w:iCs w:val="0"/>
        </w:rPr>
        <w:t>h</w:t>
      </w:r>
      <w:r w:rsidR="00451533" w:rsidRPr="00810767">
        <w:rPr>
          <w:i/>
          <w:iCs w:val="0"/>
        </w:rPr>
        <w:t xml:space="preserve"> accounting principles and standards for the recognition of provisional liabilities and income</w:t>
      </w:r>
      <w:r w:rsidR="00810767" w:rsidRPr="00810767">
        <w:rPr>
          <w:i/>
          <w:iCs w:val="0"/>
        </w:rPr>
        <w:t>’</w:t>
      </w:r>
      <w:r w:rsidR="00451533" w:rsidRPr="00451533">
        <w:t>.</w:t>
      </w:r>
    </w:p>
    <w:p w14:paraId="6A26D3AF" w14:textId="0A290B37" w:rsidR="00C636AE" w:rsidRDefault="00F46E0C" w:rsidP="00F46E0C">
      <w:pPr>
        <w:pStyle w:val="1"/>
        <w:numPr>
          <w:ilvl w:val="0"/>
          <w:numId w:val="0"/>
        </w:numPr>
        <w:tabs>
          <w:tab w:val="left" w:pos="567"/>
        </w:tabs>
      </w:pPr>
      <w:r>
        <w:t>[51]</w:t>
      </w:r>
      <w:r>
        <w:tab/>
      </w:r>
      <w:r w:rsidR="00447D4F" w:rsidRPr="00447D4F">
        <w:t>Mr Hawkes</w:t>
      </w:r>
      <w:r w:rsidR="00612495">
        <w:t>’</w:t>
      </w:r>
      <w:r w:rsidR="00447D4F" w:rsidRPr="00447D4F">
        <w:t xml:space="preserve"> qualification to express an opinion of an expert nature, being </w:t>
      </w:r>
      <w:r w:rsidR="00EA052C">
        <w:t>‘</w:t>
      </w:r>
      <w:r w:rsidR="00447D4F" w:rsidRPr="00EA052C">
        <w:rPr>
          <w:i/>
          <w:iCs w:val="0"/>
        </w:rPr>
        <w:t>accounting principles and standards for the recognition of provisional liabilities and income</w:t>
      </w:r>
      <w:r w:rsidR="00EA052C" w:rsidRPr="00EA052C">
        <w:rPr>
          <w:i/>
          <w:iCs w:val="0"/>
        </w:rPr>
        <w:t>’</w:t>
      </w:r>
      <w:r w:rsidR="00447D4F" w:rsidRPr="00EA052C">
        <w:rPr>
          <w:i/>
          <w:iCs w:val="0"/>
        </w:rPr>
        <w:t xml:space="preserve">, </w:t>
      </w:r>
      <w:r w:rsidR="00447D4F" w:rsidRPr="00EA052C">
        <w:t>is not furnished</w:t>
      </w:r>
      <w:r w:rsidR="00447D4F" w:rsidRPr="00447D4F">
        <w:t xml:space="preserve">. </w:t>
      </w:r>
      <w:r w:rsidR="00B05A5D">
        <w:t>I cannot accept</w:t>
      </w:r>
      <w:r w:rsidR="007A19F9">
        <w:t xml:space="preserve"> this </w:t>
      </w:r>
      <w:r w:rsidR="00302EBF">
        <w:t xml:space="preserve">as </w:t>
      </w:r>
      <w:r w:rsidR="007A19F9">
        <w:t>expert opinion as I don’t know what Mr Hawkes</w:t>
      </w:r>
      <w:r w:rsidR="00904DDA">
        <w:t>’</w:t>
      </w:r>
      <w:r w:rsidR="007A19F9">
        <w:t xml:space="preserve"> qualifications are. </w:t>
      </w:r>
      <w:r w:rsidR="00C636AE">
        <w:t xml:space="preserve">He also does not </w:t>
      </w:r>
      <w:r w:rsidR="009D6894">
        <w:t xml:space="preserve">provide </w:t>
      </w:r>
      <w:r w:rsidR="00904DDA">
        <w:t>c</w:t>
      </w:r>
      <w:r w:rsidR="009D6894">
        <w:t>orroboration of any factual witnesses</w:t>
      </w:r>
      <w:r w:rsidR="00F81734">
        <w:t xml:space="preserve"> </w:t>
      </w:r>
      <w:r w:rsidR="00C44BF7">
        <w:t>at the time</w:t>
      </w:r>
      <w:r w:rsidR="009E75C7">
        <w:t>,</w:t>
      </w:r>
      <w:r w:rsidR="00C44BF7">
        <w:t xml:space="preserve"> </w:t>
      </w:r>
      <w:r w:rsidR="00F81734">
        <w:t xml:space="preserve">such as Mr Chirwa or </w:t>
      </w:r>
      <w:r w:rsidR="00A27880">
        <w:t>M</w:t>
      </w:r>
      <w:r w:rsidR="00F81734">
        <w:t>s Seatsi</w:t>
      </w:r>
      <w:r w:rsidR="00C44BF7">
        <w:t xml:space="preserve">. Those </w:t>
      </w:r>
      <w:r w:rsidR="004A1ACE">
        <w:t xml:space="preserve">were </w:t>
      </w:r>
      <w:r w:rsidR="009E75C7">
        <w:t xml:space="preserve">the </w:t>
      </w:r>
      <w:r w:rsidR="004A1ACE">
        <w:t xml:space="preserve">people who were involved at the time. Ms Seatsi was </w:t>
      </w:r>
      <w:r w:rsidR="009E75C7">
        <w:t xml:space="preserve">the </w:t>
      </w:r>
      <w:r w:rsidR="004A1ACE">
        <w:t>person who prepared the financi</w:t>
      </w:r>
      <w:r w:rsidR="00C45B56">
        <w:t>al statements.</w:t>
      </w:r>
      <w:r w:rsidR="009E75C7">
        <w:t xml:space="preserve"> There is no affidavit by her confirming the correctness of the underlying facts</w:t>
      </w:r>
      <w:r w:rsidR="007F4036">
        <w:t xml:space="preserve"> stated by Mr Hawkes on this issue.</w:t>
      </w:r>
    </w:p>
    <w:p w14:paraId="3997463E" w14:textId="446C4F3F" w:rsidR="00503B8E" w:rsidRDefault="00F46E0C" w:rsidP="00F46E0C">
      <w:pPr>
        <w:pStyle w:val="1"/>
        <w:numPr>
          <w:ilvl w:val="0"/>
          <w:numId w:val="0"/>
        </w:numPr>
        <w:tabs>
          <w:tab w:val="left" w:pos="567"/>
        </w:tabs>
      </w:pPr>
      <w:r>
        <w:t>[52]</w:t>
      </w:r>
      <w:r>
        <w:tab/>
      </w:r>
      <w:r w:rsidR="00447D4F" w:rsidRPr="00447D4F">
        <w:t xml:space="preserve">However, </w:t>
      </w:r>
      <w:r w:rsidR="007F4036">
        <w:t xml:space="preserve">more </w:t>
      </w:r>
      <w:r w:rsidR="007D04A1">
        <w:t>problematic</w:t>
      </w:r>
      <w:r w:rsidR="007F4036">
        <w:t xml:space="preserve">, </w:t>
      </w:r>
      <w:r w:rsidR="00447D4F" w:rsidRPr="00447D4F">
        <w:t xml:space="preserve">when </w:t>
      </w:r>
      <w:r w:rsidR="007F4036">
        <w:t>Mr Hawkes’</w:t>
      </w:r>
      <w:r w:rsidR="00447D4F" w:rsidRPr="00447D4F">
        <w:t xml:space="preserve"> explanation is </w:t>
      </w:r>
      <w:r w:rsidR="00A27880" w:rsidRPr="00447D4F">
        <w:t>assessed,</w:t>
      </w:r>
      <w:r w:rsidR="00447D4F" w:rsidRPr="00447D4F">
        <w:t xml:space="preserve"> it appears that Mr Hawke</w:t>
      </w:r>
      <w:r w:rsidR="007F4036">
        <w:t>s</w:t>
      </w:r>
      <w:r w:rsidR="00447D4F" w:rsidRPr="00447D4F">
        <w:t xml:space="preserve"> says that the </w:t>
      </w:r>
      <w:r w:rsidR="001639ED">
        <w:t>A</w:t>
      </w:r>
      <w:r w:rsidR="007F4036">
        <w:t xml:space="preserve">nnual </w:t>
      </w:r>
      <w:r w:rsidR="001639ED">
        <w:t>F</w:t>
      </w:r>
      <w:r w:rsidR="007F4036">
        <w:t xml:space="preserve">inancial </w:t>
      </w:r>
      <w:r w:rsidR="001639ED">
        <w:t>S</w:t>
      </w:r>
      <w:r w:rsidR="007F4036">
        <w:t>tatements</w:t>
      </w:r>
      <w:r w:rsidR="00447D4F" w:rsidRPr="00447D4F">
        <w:t xml:space="preserve"> were prepared, audited and signed off before the </w:t>
      </w:r>
      <w:r w:rsidR="00446C5D">
        <w:t xml:space="preserve">Employer </w:t>
      </w:r>
      <w:r w:rsidR="00447D4F" w:rsidRPr="00447D4F">
        <w:t xml:space="preserve">obtained the reports on the alleged defects in the plant, and that the entries will be corrected in the </w:t>
      </w:r>
      <w:r w:rsidR="00C848DB">
        <w:t>A</w:t>
      </w:r>
      <w:r w:rsidR="00447D4F" w:rsidRPr="00447D4F">
        <w:t xml:space="preserve">udited </w:t>
      </w:r>
      <w:r w:rsidR="00C848DB">
        <w:t>F</w:t>
      </w:r>
      <w:r w:rsidR="00447D4F" w:rsidRPr="00447D4F">
        <w:t xml:space="preserve">inancial </w:t>
      </w:r>
      <w:r w:rsidR="00C848DB">
        <w:t>S</w:t>
      </w:r>
      <w:r w:rsidR="00447D4F" w:rsidRPr="00447D4F">
        <w:t>tatements for 2023. Thus, Mr Hawke</w:t>
      </w:r>
      <w:r w:rsidR="00900402">
        <w:t>s</w:t>
      </w:r>
      <w:r w:rsidR="00447D4F" w:rsidRPr="00447D4F">
        <w:t xml:space="preserve"> concede</w:t>
      </w:r>
      <w:r w:rsidR="00900402">
        <w:t>d</w:t>
      </w:r>
      <w:r w:rsidR="00447D4F" w:rsidRPr="00447D4F">
        <w:t xml:space="preserve"> that the </w:t>
      </w:r>
      <w:r w:rsidR="00582983">
        <w:t>DLD discharge agreement</w:t>
      </w:r>
      <w:r w:rsidR="008F7D3A">
        <w:t xml:space="preserve"> was </w:t>
      </w:r>
      <w:r w:rsidR="008F7D3A">
        <w:lastRenderedPageBreak/>
        <w:t>concluded but it was somehow only an interim arrangement to be adjusted in the fullness of time.</w:t>
      </w:r>
    </w:p>
    <w:p w14:paraId="0078F949" w14:textId="15A6CC39" w:rsidR="00E02B35" w:rsidRPr="001A1AFF" w:rsidRDefault="004C6EFA" w:rsidP="00107041">
      <w:pPr>
        <w:pStyle w:val="1"/>
        <w:numPr>
          <w:ilvl w:val="0"/>
          <w:numId w:val="0"/>
        </w:numPr>
        <w:rPr>
          <w:bCs/>
          <w:u w:val="single"/>
        </w:rPr>
      </w:pPr>
      <w:r w:rsidRPr="001A1AFF">
        <w:rPr>
          <w:bCs/>
          <w:u w:val="single"/>
        </w:rPr>
        <w:t xml:space="preserve">Set-off vs </w:t>
      </w:r>
      <w:r w:rsidR="00F82BA9" w:rsidRPr="001A1AFF">
        <w:rPr>
          <w:bCs/>
          <w:u w:val="single"/>
        </w:rPr>
        <w:t xml:space="preserve">agreement to </w:t>
      </w:r>
      <w:r w:rsidRPr="001A1AFF">
        <w:rPr>
          <w:bCs/>
          <w:u w:val="single"/>
        </w:rPr>
        <w:t xml:space="preserve">discharge </w:t>
      </w:r>
      <w:r w:rsidR="00F82BA9" w:rsidRPr="001A1AFF">
        <w:rPr>
          <w:bCs/>
          <w:u w:val="single"/>
        </w:rPr>
        <w:t xml:space="preserve">DLD </w:t>
      </w:r>
      <w:r w:rsidRPr="001A1AFF">
        <w:rPr>
          <w:bCs/>
          <w:u w:val="single"/>
        </w:rPr>
        <w:t>obligations</w:t>
      </w:r>
    </w:p>
    <w:p w14:paraId="5FF78DD5" w14:textId="784D3161" w:rsidR="004C6EFA" w:rsidRDefault="00F46E0C" w:rsidP="00F46E0C">
      <w:pPr>
        <w:pStyle w:val="1"/>
        <w:numPr>
          <w:ilvl w:val="0"/>
          <w:numId w:val="0"/>
        </w:numPr>
        <w:tabs>
          <w:tab w:val="left" w:pos="567"/>
        </w:tabs>
      </w:pPr>
      <w:r>
        <w:t>[53]</w:t>
      </w:r>
      <w:r>
        <w:tab/>
      </w:r>
      <w:r w:rsidR="00813FC6">
        <w:t xml:space="preserve">The </w:t>
      </w:r>
      <w:r w:rsidR="00302EBF">
        <w:t>way</w:t>
      </w:r>
      <w:r w:rsidR="00813FC6">
        <w:t xml:space="preserve"> the Employer</w:t>
      </w:r>
      <w:r w:rsidR="00917641">
        <w:t xml:space="preserve"> disputes the consequences of the DLD discharge agreement is not to dispute it on a factual basis</w:t>
      </w:r>
      <w:r w:rsidR="00302EBF">
        <w:t>.</w:t>
      </w:r>
      <w:r w:rsidR="00B2717B">
        <w:t xml:space="preserve"> </w:t>
      </w:r>
      <w:r w:rsidR="00302EBF">
        <w:t>I</w:t>
      </w:r>
      <w:r w:rsidR="00B2717B">
        <w:t>n other words, it does not dispute its conclusion. Rather, it argues that</w:t>
      </w:r>
      <w:r w:rsidR="005F6410">
        <w:t xml:space="preserve"> the Contractor </w:t>
      </w:r>
      <w:r w:rsidR="002A2EC3">
        <w:t>was</w:t>
      </w:r>
      <w:r w:rsidR="00183E13">
        <w:t xml:space="preserve"> obliged to </w:t>
      </w:r>
      <w:r w:rsidR="00956EB0">
        <w:t>allege and prove the Employer’s indebtedness</w:t>
      </w:r>
      <w:r w:rsidR="00285AFC">
        <w:t xml:space="preserve"> to the Contractor</w:t>
      </w:r>
      <w:r w:rsidR="00565BE7">
        <w:t xml:space="preserve">, that such debt was </w:t>
      </w:r>
      <w:r w:rsidR="002B39F3">
        <w:t>due and legally payable and that the reciprocal debts</w:t>
      </w:r>
      <w:r w:rsidR="003C199D">
        <w:t xml:space="preserve"> were both liquidated.</w:t>
      </w:r>
    </w:p>
    <w:p w14:paraId="49F0B47F" w14:textId="1573032A" w:rsidR="008A4BBE" w:rsidRDefault="00F46E0C" w:rsidP="00F46E0C">
      <w:pPr>
        <w:pStyle w:val="1"/>
        <w:numPr>
          <w:ilvl w:val="0"/>
          <w:numId w:val="0"/>
        </w:numPr>
        <w:tabs>
          <w:tab w:val="left" w:pos="567"/>
        </w:tabs>
      </w:pPr>
      <w:r>
        <w:t>[54]</w:t>
      </w:r>
      <w:r>
        <w:tab/>
      </w:r>
      <w:r w:rsidR="002A2EC3">
        <w:t>It contended that no</w:t>
      </w:r>
      <w:r w:rsidR="00A86C72" w:rsidRPr="00A86C72">
        <w:t xml:space="preserve"> amounts, as alleged by the Consortium were payable by</w:t>
      </w:r>
      <w:r w:rsidR="00267293">
        <w:t xml:space="preserve"> the Employer to the Contractor. </w:t>
      </w:r>
      <w:r w:rsidR="00A86C72" w:rsidRPr="00A86C72">
        <w:t xml:space="preserve">The Contract prescribes specific requirements for amounts to become due and payable to the Consortium. These requirements appear in Clause 85 </w:t>
      </w:r>
      <w:r w:rsidR="002E7651">
        <w:t xml:space="preserve">of the Contract and include the following: </w:t>
      </w:r>
      <w:r w:rsidR="00FE5203">
        <w:t>t</w:t>
      </w:r>
      <w:r w:rsidR="00A86C72" w:rsidRPr="00A86C72">
        <w:t xml:space="preserve">he Consortium was to submit a request for payment to </w:t>
      </w:r>
      <w:r w:rsidR="002E7651">
        <w:t>the Employer</w:t>
      </w:r>
      <w:r w:rsidR="0077395B">
        <w:t xml:space="preserve">; </w:t>
      </w:r>
      <w:r w:rsidR="00FE5203">
        <w:t>t</w:t>
      </w:r>
      <w:r w:rsidR="00A86C72" w:rsidRPr="00A86C72">
        <w:t>he request was to be accompanied</w:t>
      </w:r>
      <w:r w:rsidR="0077395B">
        <w:t xml:space="preserve"> </w:t>
      </w:r>
      <w:r w:rsidR="00A86C72" w:rsidRPr="00A86C72">
        <w:t>by</w:t>
      </w:r>
      <w:r w:rsidR="0077395B">
        <w:t xml:space="preserve"> </w:t>
      </w:r>
      <w:r w:rsidR="00A86C72" w:rsidRPr="00A86C72">
        <w:t>the documents and information substantiating details</w:t>
      </w:r>
      <w:r w:rsidR="0077395B">
        <w:t xml:space="preserve"> of completed</w:t>
      </w:r>
      <w:r w:rsidR="003636C1">
        <w:t xml:space="preserve"> payment milestones, a status report describing the percentage completion of uncompleted payment milestones</w:t>
      </w:r>
      <w:r w:rsidR="00744F35">
        <w:t>, a certificate by the Contractor that each obligation, cost or expense has been properly incurred</w:t>
      </w:r>
      <w:r w:rsidR="00D303F9">
        <w:t xml:space="preserve">, is properly charged and that all physical progress is as represented,  </w:t>
      </w:r>
      <w:r w:rsidR="00335357" w:rsidRPr="00335357">
        <w:t>that associated work has been co</w:t>
      </w:r>
      <w:r w:rsidR="00E04B74">
        <w:t>mpleted in accordance with the C</w:t>
      </w:r>
      <w:r w:rsidR="00335357" w:rsidRPr="00335357">
        <w:t>ontract; and that each obligation, cost item or expense has no</w:t>
      </w:r>
      <w:r w:rsidR="00797DD6">
        <w:t>t b</w:t>
      </w:r>
      <w:r w:rsidR="00335357" w:rsidRPr="00335357">
        <w:t>een the basis of a previous request for payment and that each sub-Contractor who performed work has been</w:t>
      </w:r>
      <w:r w:rsidR="00797DD6">
        <w:t xml:space="preserve"> </w:t>
      </w:r>
      <w:r w:rsidR="00C15D16" w:rsidRPr="00C15D16">
        <w:t xml:space="preserve">paid. A payment certificate was to be issued by </w:t>
      </w:r>
      <w:r w:rsidR="00907A2D">
        <w:t>the Employer</w:t>
      </w:r>
      <w:r w:rsidR="00C15D16" w:rsidRPr="00C15D16">
        <w:t xml:space="preserve">. A valid tax invoice was to be issued by the </w:t>
      </w:r>
      <w:r w:rsidR="00907A2D">
        <w:t>Contractor.</w:t>
      </w:r>
      <w:r w:rsidR="008A4BBE">
        <w:t xml:space="preserve"> </w:t>
      </w:r>
    </w:p>
    <w:p w14:paraId="11442E6D" w14:textId="64D333B1" w:rsidR="00FA4C2D" w:rsidRDefault="00F46E0C" w:rsidP="00F46E0C">
      <w:pPr>
        <w:pStyle w:val="1"/>
        <w:numPr>
          <w:ilvl w:val="0"/>
          <w:numId w:val="0"/>
        </w:numPr>
        <w:tabs>
          <w:tab w:val="left" w:pos="567"/>
        </w:tabs>
      </w:pPr>
      <w:r>
        <w:t>[55]</w:t>
      </w:r>
      <w:r>
        <w:tab/>
      </w:r>
      <w:r w:rsidR="008A4BBE">
        <w:t xml:space="preserve">Mr </w:t>
      </w:r>
      <w:r w:rsidR="00612C0A">
        <w:t>Van Vuuren SC, representing</w:t>
      </w:r>
      <w:r w:rsidR="00DA2101">
        <w:t xml:space="preserve"> the Employer argued most strenuously that if </w:t>
      </w:r>
      <w:r w:rsidR="00C15D16" w:rsidRPr="00C15D16">
        <w:t>any claim was made for payment and if payment ha</w:t>
      </w:r>
      <w:r w:rsidR="00DA2101">
        <w:t>d</w:t>
      </w:r>
      <w:r w:rsidR="00C15D16" w:rsidRPr="00C15D16">
        <w:t xml:space="preserve"> become due to the Con</w:t>
      </w:r>
      <w:r w:rsidR="00DA2101">
        <w:t>tractor</w:t>
      </w:r>
      <w:r w:rsidR="00641FCF">
        <w:t>,</w:t>
      </w:r>
      <w:r w:rsidR="00C15D16" w:rsidRPr="00C15D16">
        <w:t xml:space="preserve"> </w:t>
      </w:r>
      <w:r w:rsidR="00C15D16" w:rsidRPr="00C15D16">
        <w:lastRenderedPageBreak/>
        <w:t xml:space="preserve">it would have had </w:t>
      </w:r>
      <w:r w:rsidR="00FE5203" w:rsidRPr="00C15D16">
        <w:t>all</w:t>
      </w:r>
      <w:r w:rsidR="00641FCF">
        <w:t xml:space="preserve"> the listed</w:t>
      </w:r>
      <w:r w:rsidR="00C15D16" w:rsidRPr="00C15D16">
        <w:t xml:space="preserve"> documents in its possession. It is</w:t>
      </w:r>
      <w:r w:rsidR="00690F1C">
        <w:t xml:space="preserve">, so the argument </w:t>
      </w:r>
      <w:r w:rsidR="009B00FD">
        <w:t>continues</w:t>
      </w:r>
      <w:r w:rsidR="00690F1C">
        <w:t>,</w:t>
      </w:r>
      <w:r w:rsidR="00C15D16" w:rsidRPr="00C15D16">
        <w:t xml:space="preserve"> therefore significant that the Con</w:t>
      </w:r>
      <w:r w:rsidR="00690F1C">
        <w:t>tractor</w:t>
      </w:r>
      <w:r w:rsidR="00C15D16" w:rsidRPr="00C15D16">
        <w:t xml:space="preserve"> did not include any of the documents, which are pre-conditions to any amount becoming due for payment by </w:t>
      </w:r>
      <w:r w:rsidR="00D43286">
        <w:t>the Employer</w:t>
      </w:r>
      <w:r w:rsidR="00C15D16" w:rsidRPr="00C15D16">
        <w:t xml:space="preserve">, in the founding papers. </w:t>
      </w:r>
    </w:p>
    <w:p w14:paraId="6A941AD5" w14:textId="5520C284" w:rsidR="00C74747" w:rsidRDefault="00F46E0C" w:rsidP="00F46E0C">
      <w:pPr>
        <w:pStyle w:val="1"/>
        <w:numPr>
          <w:ilvl w:val="0"/>
          <w:numId w:val="0"/>
        </w:numPr>
        <w:tabs>
          <w:tab w:val="left" w:pos="567"/>
        </w:tabs>
      </w:pPr>
      <w:r>
        <w:t>[56]</w:t>
      </w:r>
      <w:r>
        <w:tab/>
      </w:r>
      <w:r w:rsidR="00EA0BCA">
        <w:t>Mr Mc</w:t>
      </w:r>
      <w:r w:rsidR="00804DBB">
        <w:t>A</w:t>
      </w:r>
      <w:r w:rsidR="00EA0BCA">
        <w:t>slin</w:t>
      </w:r>
      <w:r w:rsidR="0079388E">
        <w:t xml:space="preserve"> SC, representing the Contractor, drew attention to clause 84.4 of the Contract which</w:t>
      </w:r>
      <w:r w:rsidR="006D65E9">
        <w:t xml:space="preserve"> reads:</w:t>
      </w:r>
    </w:p>
    <w:p w14:paraId="52DECD5D" w14:textId="77777777" w:rsidR="00F17588" w:rsidRPr="0062041A" w:rsidRDefault="00F17588" w:rsidP="00107041">
      <w:pPr>
        <w:pStyle w:val="1"/>
        <w:numPr>
          <w:ilvl w:val="0"/>
          <w:numId w:val="0"/>
        </w:numPr>
        <w:spacing w:line="360" w:lineRule="auto"/>
        <w:ind w:left="1134"/>
        <w:rPr>
          <w:sz w:val="22"/>
        </w:rPr>
      </w:pPr>
      <w:r>
        <w:t>‘</w:t>
      </w:r>
      <w:r w:rsidRPr="0062041A">
        <w:rPr>
          <w:sz w:val="22"/>
        </w:rPr>
        <w:t xml:space="preserve">Set off </w:t>
      </w:r>
    </w:p>
    <w:p w14:paraId="4C015FB7" w14:textId="587C19B7" w:rsidR="00F17588" w:rsidRPr="0062041A" w:rsidRDefault="00F17588" w:rsidP="00107041">
      <w:pPr>
        <w:pStyle w:val="1"/>
        <w:numPr>
          <w:ilvl w:val="0"/>
          <w:numId w:val="0"/>
        </w:numPr>
        <w:spacing w:line="360" w:lineRule="auto"/>
        <w:ind w:left="1134"/>
        <w:rPr>
          <w:sz w:val="22"/>
        </w:rPr>
      </w:pPr>
      <w:r w:rsidRPr="0062041A">
        <w:rPr>
          <w:sz w:val="22"/>
        </w:rPr>
        <w:t xml:space="preserve">Without limiting clause 84.7 and without prejudice to any other rights or remedies, but subject to the provisions of clause 18.2, the Employer may at any time deduct from any </w:t>
      </w:r>
      <w:r w:rsidRPr="00E06E99">
        <w:rPr>
          <w:b/>
          <w:bCs/>
          <w:sz w:val="22"/>
        </w:rPr>
        <w:t>moneys which are or may be payable to the Contractor</w:t>
      </w:r>
      <w:r w:rsidRPr="0062041A">
        <w:rPr>
          <w:sz w:val="22"/>
        </w:rPr>
        <w:t xml:space="preserve"> in connection with this Contract, any money which may be or is payable by the Contractor to the Employer. Nothing in this clause affects the right of the Employer to recover from the Contractor the whole of the debt or any balance that remains owing after any deduction.</w:t>
      </w:r>
      <w:r w:rsidR="0062041A" w:rsidRPr="0062041A">
        <w:rPr>
          <w:sz w:val="22"/>
        </w:rPr>
        <w:t>’</w:t>
      </w:r>
      <w:r w:rsidR="00E06E99">
        <w:rPr>
          <w:sz w:val="22"/>
        </w:rPr>
        <w:t xml:space="preserve"> (emphasis provided)</w:t>
      </w:r>
    </w:p>
    <w:p w14:paraId="166DC09E" w14:textId="2616D61C" w:rsidR="00F17588" w:rsidRDefault="00F46E0C" w:rsidP="00F46E0C">
      <w:pPr>
        <w:pStyle w:val="1"/>
        <w:numPr>
          <w:ilvl w:val="0"/>
          <w:numId w:val="0"/>
        </w:numPr>
        <w:tabs>
          <w:tab w:val="left" w:pos="567"/>
        </w:tabs>
      </w:pPr>
      <w:r>
        <w:t>[57]</w:t>
      </w:r>
      <w:r>
        <w:tab/>
      </w:r>
      <w:r w:rsidR="00A55B46">
        <w:t>Clause 84.7</w:t>
      </w:r>
      <w:r w:rsidR="008A37C5">
        <w:t xml:space="preserve"> (e) contemplates liquidated damages expressly</w:t>
      </w:r>
      <w:r w:rsidR="00BF71FB">
        <w:t>.</w:t>
      </w:r>
    </w:p>
    <w:p w14:paraId="44A76F8C" w14:textId="03747771" w:rsidR="00F17588" w:rsidRDefault="00F46E0C" w:rsidP="00F46E0C">
      <w:pPr>
        <w:pStyle w:val="1"/>
        <w:numPr>
          <w:ilvl w:val="0"/>
          <w:numId w:val="0"/>
        </w:numPr>
        <w:tabs>
          <w:tab w:val="left" w:pos="567"/>
        </w:tabs>
      </w:pPr>
      <w:r>
        <w:t>[58]</w:t>
      </w:r>
      <w:r>
        <w:tab/>
      </w:r>
      <w:r w:rsidR="00657BFF">
        <w:t>Th</w:t>
      </w:r>
      <w:r w:rsidR="0016120F">
        <w:t>e situation is quite simply</w:t>
      </w:r>
      <w:r w:rsidR="00420074">
        <w:t xml:space="preserve"> that </w:t>
      </w:r>
      <w:r w:rsidR="006D2C55">
        <w:t xml:space="preserve">an agreement had been reached in which the DLD’s were being paid by </w:t>
      </w:r>
      <w:r w:rsidR="00577F75">
        <w:t>‘</w:t>
      </w:r>
      <w:r w:rsidR="00577F75" w:rsidRPr="00E06E99">
        <w:rPr>
          <w:b/>
          <w:bCs/>
        </w:rPr>
        <w:t xml:space="preserve">moneys which are </w:t>
      </w:r>
      <w:r w:rsidR="00FE5203">
        <w:rPr>
          <w:b/>
          <w:bCs/>
        </w:rPr>
        <w:t xml:space="preserve">or </w:t>
      </w:r>
      <w:r w:rsidR="00E06E99" w:rsidRPr="00E06E99">
        <w:rPr>
          <w:b/>
          <w:bCs/>
        </w:rPr>
        <w:t>may be payable to the Contractor’</w:t>
      </w:r>
      <w:r w:rsidR="00EE4577">
        <w:rPr>
          <w:b/>
          <w:bCs/>
        </w:rPr>
        <w:t xml:space="preserve">. </w:t>
      </w:r>
      <w:r w:rsidR="00EE4577">
        <w:t xml:space="preserve">The Contractor asked the Employer how much it still owed on the debt and </w:t>
      </w:r>
      <w:r w:rsidR="00FE5203">
        <w:t xml:space="preserve">the Employer </w:t>
      </w:r>
      <w:r w:rsidR="00EE4577">
        <w:t>responded</w:t>
      </w:r>
      <w:r w:rsidR="006A1EEF">
        <w:t xml:space="preserve"> </w:t>
      </w:r>
      <w:r w:rsidR="00A436A4" w:rsidRPr="00BE33A1">
        <w:t>R28 222 982.35</w:t>
      </w:r>
      <w:r w:rsidR="008A62A6">
        <w:t>. T</w:t>
      </w:r>
      <w:r w:rsidR="006A1EEF">
        <w:t xml:space="preserve">he </w:t>
      </w:r>
      <w:r w:rsidR="00FE5203">
        <w:t>C</w:t>
      </w:r>
      <w:r w:rsidR="006A1EEF">
        <w:t>ontractor paid this and that settled the indebtedness</w:t>
      </w:r>
      <w:r w:rsidR="00656BA8">
        <w:t xml:space="preserve"> in respect of the DLD’s</w:t>
      </w:r>
      <w:r w:rsidR="00CA5300">
        <w:t xml:space="preserve"> </w:t>
      </w:r>
      <w:r w:rsidR="00EF2B47">
        <w:t xml:space="preserve">as </w:t>
      </w:r>
      <w:r w:rsidR="00E938C9">
        <w:t>recorded by all the affected parties in the Annual Financial Statements.</w:t>
      </w:r>
    </w:p>
    <w:p w14:paraId="707D0D17" w14:textId="5C5351C2" w:rsidR="004D51CF" w:rsidRDefault="00F46E0C" w:rsidP="00F46E0C">
      <w:pPr>
        <w:pStyle w:val="1"/>
        <w:numPr>
          <w:ilvl w:val="0"/>
          <w:numId w:val="0"/>
        </w:numPr>
        <w:tabs>
          <w:tab w:val="left" w:pos="567"/>
        </w:tabs>
      </w:pPr>
      <w:r>
        <w:t>[59]</w:t>
      </w:r>
      <w:r>
        <w:tab/>
      </w:r>
      <w:r w:rsidR="00EE27CD" w:rsidRPr="00EE27CD">
        <w:t xml:space="preserve">The question is whether </w:t>
      </w:r>
      <w:r w:rsidR="00554726">
        <w:t xml:space="preserve">the Employer </w:t>
      </w:r>
      <w:r w:rsidR="00EE27CD" w:rsidRPr="00EE27CD">
        <w:t xml:space="preserve">is entitled to reverse the set-off </w:t>
      </w:r>
      <w:r w:rsidR="00FE5203" w:rsidRPr="00EE27CD">
        <w:t>based on</w:t>
      </w:r>
      <w:r w:rsidR="00EE27CD" w:rsidRPr="00EE27CD">
        <w:t xml:space="preserve"> alleged incomplete and defective work. </w:t>
      </w:r>
      <w:r w:rsidR="00004770">
        <w:t xml:space="preserve"> </w:t>
      </w:r>
      <w:r w:rsidR="00004770" w:rsidRPr="00004770">
        <w:t xml:space="preserve">What the </w:t>
      </w:r>
      <w:r w:rsidR="00385E15">
        <w:t xml:space="preserve">Employer </w:t>
      </w:r>
      <w:r w:rsidR="00004770" w:rsidRPr="00004770">
        <w:t xml:space="preserve">is required to do is to prove that the </w:t>
      </w:r>
      <w:r w:rsidR="00385E15">
        <w:t xml:space="preserve">Contractor’s </w:t>
      </w:r>
      <w:r w:rsidR="00004770" w:rsidRPr="00004770">
        <w:t>work was defective and incomplete to the value of what it now claims</w:t>
      </w:r>
      <w:r w:rsidR="00385E15">
        <w:t xml:space="preserve"> </w:t>
      </w:r>
      <w:r w:rsidR="00523A72">
        <w:t>and to sue for that.</w:t>
      </w:r>
    </w:p>
    <w:p w14:paraId="057B9731" w14:textId="720F9EFD" w:rsidR="00071D94" w:rsidRDefault="00F46E0C" w:rsidP="00F46E0C">
      <w:pPr>
        <w:pStyle w:val="1"/>
        <w:numPr>
          <w:ilvl w:val="0"/>
          <w:numId w:val="0"/>
        </w:numPr>
        <w:tabs>
          <w:tab w:val="left" w:pos="567"/>
        </w:tabs>
      </w:pPr>
      <w:r>
        <w:lastRenderedPageBreak/>
        <w:t>[60]</w:t>
      </w:r>
      <w:r>
        <w:tab/>
      </w:r>
      <w:r w:rsidR="0092453B">
        <w:t xml:space="preserve">What is clear, certainly on a prima facie level is that </w:t>
      </w:r>
      <w:r w:rsidR="00071D94">
        <w:t xml:space="preserve">the </w:t>
      </w:r>
      <w:r w:rsidR="00FE5203">
        <w:t xml:space="preserve">DLD </w:t>
      </w:r>
      <w:r w:rsidR="00071D94">
        <w:t>debt was paid by mutual agreement. The parties can</w:t>
      </w:r>
      <w:r w:rsidR="004748B6">
        <w:t xml:space="preserve"> agree amongst themselves that the debt has been discharged</w:t>
      </w:r>
      <w:r w:rsidR="0092453B">
        <w:t xml:space="preserve">. The </w:t>
      </w:r>
      <w:r w:rsidR="004748B6">
        <w:t>parties can call it what they lik</w:t>
      </w:r>
      <w:r w:rsidR="0092453B">
        <w:t>e,</w:t>
      </w:r>
      <w:r w:rsidR="004748B6">
        <w:t xml:space="preserve"> </w:t>
      </w:r>
      <w:r w:rsidR="0092453B">
        <w:t>‘</w:t>
      </w:r>
      <w:r w:rsidR="004748B6">
        <w:t>set-off</w:t>
      </w:r>
      <w:r w:rsidR="0092453B">
        <w:t>’ or</w:t>
      </w:r>
      <w:r w:rsidR="005A557F">
        <w:t xml:space="preserve"> </w:t>
      </w:r>
      <w:r w:rsidR="0092453B">
        <w:t>‘</w:t>
      </w:r>
      <w:r w:rsidR="005A557F">
        <w:t>discharge of debt</w:t>
      </w:r>
      <w:r w:rsidR="0092453B">
        <w:t>’</w:t>
      </w:r>
      <w:r w:rsidR="005A557F">
        <w:t xml:space="preserve">. </w:t>
      </w:r>
      <w:r w:rsidR="0092453B">
        <w:t>The e</w:t>
      </w:r>
      <w:r w:rsidR="005A557F">
        <w:t xml:space="preserve">nquiry </w:t>
      </w:r>
      <w:r w:rsidR="00FE5203">
        <w:t xml:space="preserve">into </w:t>
      </w:r>
      <w:r w:rsidR="0092453B">
        <w:t>the legal construct of ‘</w:t>
      </w:r>
      <w:r w:rsidR="005A557F">
        <w:t>set-off</w:t>
      </w:r>
      <w:r w:rsidR="0092453B">
        <w:t>’</w:t>
      </w:r>
      <w:r w:rsidR="005A557F">
        <w:t xml:space="preserve"> is largely irrelevant. </w:t>
      </w:r>
      <w:r w:rsidR="00FE5203">
        <w:t>They had agreed on a mechanism for the settlement of the debt and they implemented that agreement. Whether it is called set-off or anything else is immaterial. The facts are clear</w:t>
      </w:r>
      <w:r w:rsidR="00E04B74">
        <w:t xml:space="preserve"> or certainly on a </w:t>
      </w:r>
      <w:r w:rsidR="00E04B74" w:rsidRPr="00E04B74">
        <w:rPr>
          <w:i/>
        </w:rPr>
        <w:t>prima facie</w:t>
      </w:r>
      <w:r w:rsidR="00E04B74">
        <w:t xml:space="preserve"> basis.</w:t>
      </w:r>
      <w:r w:rsidR="00FE5203">
        <w:t xml:space="preserve"> It bears mentioning that </w:t>
      </w:r>
      <w:r w:rsidR="005A557F">
        <w:t xml:space="preserve">English </w:t>
      </w:r>
      <w:r w:rsidR="0092453B">
        <w:t xml:space="preserve">is </w:t>
      </w:r>
      <w:r w:rsidR="005A557F">
        <w:t>not</w:t>
      </w:r>
      <w:r w:rsidR="00316ABA">
        <w:t xml:space="preserve"> </w:t>
      </w:r>
      <w:r w:rsidR="0092453B">
        <w:t>the</w:t>
      </w:r>
      <w:r w:rsidR="00316ABA">
        <w:t xml:space="preserve"> first language</w:t>
      </w:r>
      <w:r w:rsidR="0092453B">
        <w:t xml:space="preserve"> of the parties</w:t>
      </w:r>
      <w:r w:rsidR="00D252F3">
        <w:t xml:space="preserve">, </w:t>
      </w:r>
      <w:r w:rsidR="00566EF0">
        <w:t xml:space="preserve">this </w:t>
      </w:r>
      <w:r w:rsidR="00D252F3">
        <w:t>much is clear from the few quoted portions of the letters referred to</w:t>
      </w:r>
      <w:r w:rsidR="00316ABA">
        <w:t>.</w:t>
      </w:r>
    </w:p>
    <w:p w14:paraId="0DD0C0C8" w14:textId="716CB2AE" w:rsidR="00962EBB" w:rsidRDefault="00F46E0C" w:rsidP="00F46E0C">
      <w:pPr>
        <w:pStyle w:val="1"/>
        <w:numPr>
          <w:ilvl w:val="0"/>
          <w:numId w:val="0"/>
        </w:numPr>
        <w:tabs>
          <w:tab w:val="left" w:pos="567"/>
        </w:tabs>
      </w:pPr>
      <w:r>
        <w:t>[61]</w:t>
      </w:r>
      <w:r>
        <w:tab/>
      </w:r>
      <w:r w:rsidR="00AB26F7">
        <w:t>Look</w:t>
      </w:r>
      <w:r w:rsidR="00FE421B">
        <w:t>ing</w:t>
      </w:r>
      <w:r w:rsidR="00AB26F7">
        <w:t xml:space="preserve"> at </w:t>
      </w:r>
      <w:r w:rsidR="00FE421B">
        <w:t>the C</w:t>
      </w:r>
      <w:r w:rsidR="00AB26F7">
        <w:t>ontract</w:t>
      </w:r>
      <w:r w:rsidR="00FE421B">
        <w:t xml:space="preserve"> </w:t>
      </w:r>
      <w:r w:rsidR="00FE5203">
        <w:t xml:space="preserve">in isolation </w:t>
      </w:r>
      <w:r w:rsidR="00FE421B">
        <w:t>it is clear that</w:t>
      </w:r>
      <w:r w:rsidR="00AB26F7">
        <w:t xml:space="preserve"> payment certificates</w:t>
      </w:r>
      <w:r w:rsidR="00FE421B">
        <w:t xml:space="preserve"> were required</w:t>
      </w:r>
      <w:r w:rsidR="00AB26F7">
        <w:t xml:space="preserve"> and there are none</w:t>
      </w:r>
      <w:r w:rsidR="00B2512F">
        <w:t>. In December 2021</w:t>
      </w:r>
      <w:r w:rsidR="00117202">
        <w:t>,</w:t>
      </w:r>
      <w:r w:rsidR="00B2512F">
        <w:t xml:space="preserve"> when no payment certificate had been issued in a year, the parties agreed</w:t>
      </w:r>
      <w:r w:rsidR="00C56BC7">
        <w:t xml:space="preserve"> that the DLD debt had been paid. </w:t>
      </w:r>
      <w:r w:rsidR="004A4A12">
        <w:t xml:space="preserve">Debts </w:t>
      </w:r>
      <w:r w:rsidR="009537E7">
        <w:t>can be discharged by agreement</w:t>
      </w:r>
      <w:r w:rsidR="004A4A12">
        <w:t xml:space="preserve">, </w:t>
      </w:r>
      <w:r w:rsidR="009537E7">
        <w:t>which is what happened here.</w:t>
      </w:r>
      <w:r w:rsidR="00DE258E">
        <w:t xml:space="preserve"> </w:t>
      </w:r>
      <w:r w:rsidR="00962EBB">
        <w:t>The facts are uncontroverted</w:t>
      </w:r>
      <w:r w:rsidR="007C7C27">
        <w:t xml:space="preserve">. </w:t>
      </w:r>
    </w:p>
    <w:p w14:paraId="4EF98A6B" w14:textId="3A1C7978" w:rsidR="00DD467B" w:rsidRDefault="00F46E0C" w:rsidP="00F46E0C">
      <w:pPr>
        <w:pStyle w:val="1"/>
        <w:numPr>
          <w:ilvl w:val="0"/>
          <w:numId w:val="0"/>
        </w:numPr>
        <w:tabs>
          <w:tab w:val="left" w:pos="567"/>
        </w:tabs>
      </w:pPr>
      <w:r>
        <w:t>[62]</w:t>
      </w:r>
      <w:r>
        <w:tab/>
      </w:r>
      <w:r w:rsidR="00497442">
        <w:t>Mr Mc</w:t>
      </w:r>
      <w:r w:rsidR="00804DBB">
        <w:t xml:space="preserve"> A</w:t>
      </w:r>
      <w:r w:rsidR="00497442">
        <w:t>slin ask</w:t>
      </w:r>
      <w:r w:rsidR="0071705A">
        <w:t>s</w:t>
      </w:r>
      <w:r w:rsidR="00497442">
        <w:t xml:space="preserve">, if set-off did not </w:t>
      </w:r>
      <w:r w:rsidR="00CF69F9">
        <w:t xml:space="preserve">take place, where is the </w:t>
      </w:r>
      <w:r w:rsidR="00CF69F9" w:rsidRPr="00D92BBA">
        <w:t>R164</w:t>
      </w:r>
      <w:r w:rsidR="00CF69F9">
        <w:t> </w:t>
      </w:r>
      <w:r w:rsidR="00CF69F9" w:rsidRPr="00D92BBA">
        <w:t>163</w:t>
      </w:r>
      <w:r w:rsidR="00CF69F9">
        <w:t xml:space="preserve"> </w:t>
      </w:r>
      <w:r w:rsidR="00CF69F9" w:rsidRPr="00D92BBA">
        <w:t>815.10</w:t>
      </w:r>
      <w:r w:rsidR="00CF69F9">
        <w:t>?</w:t>
      </w:r>
      <w:r w:rsidR="0071705A">
        <w:t xml:space="preserve"> Is it sitting in a Bank account</w:t>
      </w:r>
      <w:r w:rsidR="009D1F31">
        <w:t>?</w:t>
      </w:r>
      <w:r w:rsidR="00CF69F9">
        <w:t xml:space="preserve"> </w:t>
      </w:r>
    </w:p>
    <w:p w14:paraId="1CCE1E14" w14:textId="242EFFEA" w:rsidR="001611C4" w:rsidRDefault="00F46E0C" w:rsidP="00F46E0C">
      <w:pPr>
        <w:pStyle w:val="1"/>
        <w:numPr>
          <w:ilvl w:val="0"/>
          <w:numId w:val="0"/>
        </w:numPr>
        <w:tabs>
          <w:tab w:val="left" w:pos="567"/>
        </w:tabs>
      </w:pPr>
      <w:r>
        <w:t>[63]</w:t>
      </w:r>
      <w:r>
        <w:tab/>
      </w:r>
      <w:r w:rsidR="002E5025">
        <w:t>T</w:t>
      </w:r>
      <w:r w:rsidR="00004770" w:rsidRPr="00004770">
        <w:t xml:space="preserve">he </w:t>
      </w:r>
      <w:r w:rsidR="004D51CF">
        <w:t xml:space="preserve">Employer </w:t>
      </w:r>
      <w:r w:rsidR="00004770" w:rsidRPr="00004770">
        <w:t xml:space="preserve">cannot deny the fact of a </w:t>
      </w:r>
      <w:r w:rsidR="00D96989">
        <w:t>‘</w:t>
      </w:r>
      <w:r w:rsidR="00004770" w:rsidRPr="00004770">
        <w:t>set-off</w:t>
      </w:r>
      <w:r w:rsidR="00D96989">
        <w:t xml:space="preserve">‘ </w:t>
      </w:r>
      <w:r w:rsidR="00FE5203">
        <w:t xml:space="preserve">and by means of that denial </w:t>
      </w:r>
      <w:r w:rsidR="00004770" w:rsidRPr="00004770">
        <w:t xml:space="preserve">revive a debt in respect of DLD's which it knows </w:t>
      </w:r>
      <w:r w:rsidR="00FE5203">
        <w:t xml:space="preserve">it </w:t>
      </w:r>
      <w:r w:rsidR="00004770" w:rsidRPr="00004770">
        <w:t>ha</w:t>
      </w:r>
      <w:r w:rsidR="00DE258E">
        <w:t>s</w:t>
      </w:r>
      <w:r w:rsidR="00004770" w:rsidRPr="00004770">
        <w:t xml:space="preserve"> been paid, in</w:t>
      </w:r>
      <w:r w:rsidR="004D51CF">
        <w:t xml:space="preserve"> </w:t>
      </w:r>
      <w:r w:rsidR="00EB44F6" w:rsidRPr="00EB44F6">
        <w:t xml:space="preserve">order to claim payment under the </w:t>
      </w:r>
      <w:r w:rsidR="00851B88">
        <w:t>G</w:t>
      </w:r>
      <w:r w:rsidR="00EB44F6" w:rsidRPr="00EB44F6">
        <w:t xml:space="preserve">uarantee. </w:t>
      </w:r>
      <w:r w:rsidR="00212A09">
        <w:t xml:space="preserve"> </w:t>
      </w:r>
      <w:r w:rsidR="00E04B74">
        <w:t xml:space="preserve">This, </w:t>
      </w:r>
      <w:r w:rsidR="00E04B74" w:rsidRPr="00E04B74">
        <w:rPr>
          <w:i/>
        </w:rPr>
        <w:t>prima facie</w:t>
      </w:r>
      <w:r w:rsidR="00E04B74">
        <w:t>, appears to have</w:t>
      </w:r>
      <w:r w:rsidR="001611C4">
        <w:t xml:space="preserve"> been done </w:t>
      </w:r>
      <w:r w:rsidR="002E6613">
        <w:t xml:space="preserve">deliberately to create a trigger entitlement where </w:t>
      </w:r>
      <w:r w:rsidR="00FE5203">
        <w:t xml:space="preserve">to its knowledge </w:t>
      </w:r>
      <w:r w:rsidR="002E6613">
        <w:t>none exists.</w:t>
      </w:r>
    </w:p>
    <w:p w14:paraId="0966CD47" w14:textId="0569F66C" w:rsidR="000A6CEB" w:rsidRPr="001A1AFF" w:rsidRDefault="000A6CEB" w:rsidP="00107041">
      <w:pPr>
        <w:pStyle w:val="1"/>
        <w:numPr>
          <w:ilvl w:val="0"/>
          <w:numId w:val="0"/>
        </w:numPr>
        <w:rPr>
          <w:bCs/>
          <w:u w:val="single"/>
        </w:rPr>
      </w:pPr>
      <w:r w:rsidRPr="001A1AFF">
        <w:rPr>
          <w:bCs/>
          <w:u w:val="single"/>
        </w:rPr>
        <w:t xml:space="preserve">The </w:t>
      </w:r>
      <w:r w:rsidR="009727EC" w:rsidRPr="001A1AFF">
        <w:rPr>
          <w:bCs/>
          <w:u w:val="single"/>
        </w:rPr>
        <w:t xml:space="preserve">Guarantee and the </w:t>
      </w:r>
      <w:r w:rsidRPr="001A1AFF">
        <w:rPr>
          <w:bCs/>
          <w:u w:val="single"/>
        </w:rPr>
        <w:t>Demand</w:t>
      </w:r>
    </w:p>
    <w:p w14:paraId="780AF5F3" w14:textId="748B6F05" w:rsidR="00F37E99" w:rsidRDefault="00F46E0C" w:rsidP="00F46E0C">
      <w:pPr>
        <w:pStyle w:val="1"/>
        <w:numPr>
          <w:ilvl w:val="0"/>
          <w:numId w:val="0"/>
        </w:numPr>
        <w:tabs>
          <w:tab w:val="left" w:pos="567"/>
        </w:tabs>
      </w:pPr>
      <w:r>
        <w:t>[64]</w:t>
      </w:r>
      <w:r>
        <w:tab/>
      </w:r>
      <w:r w:rsidR="00F37E99">
        <w:t>Clause 4 of the Guarantee provides:</w:t>
      </w:r>
    </w:p>
    <w:p w14:paraId="578A52FA" w14:textId="77777777" w:rsidR="00F37E99" w:rsidRPr="00355381" w:rsidRDefault="00F37E99" w:rsidP="00107041">
      <w:pPr>
        <w:pStyle w:val="1"/>
        <w:numPr>
          <w:ilvl w:val="0"/>
          <w:numId w:val="0"/>
        </w:numPr>
        <w:spacing w:line="360" w:lineRule="auto"/>
        <w:ind w:left="1134"/>
        <w:rPr>
          <w:sz w:val="22"/>
        </w:rPr>
      </w:pPr>
      <w:r w:rsidRPr="00355381">
        <w:rPr>
          <w:sz w:val="22"/>
        </w:rPr>
        <w:t xml:space="preserve">‘We, SANTAM LIMITED (Reg. No. 1918l001680i06) ("Guarantor”), hereby irrevocably and unconditionally undertake with you that whenever you or the Facility Agent gives a written notice to us demanding payment by way of original </w:t>
      </w:r>
      <w:r w:rsidRPr="00355381">
        <w:rPr>
          <w:sz w:val="22"/>
        </w:rPr>
        <w:lastRenderedPageBreak/>
        <w:t>letter (a “Demand"), without further proof or condition (which notice shall state that Contractor has failed to comply with its obligations in respect of the Contract, including any remedy period stipulated therein), we will, notwithstanding any objection which may be made by the Contractor and without any right of set-off or counterclaim, immediately, but within no later than 5 (five) Business Days, pay to you :</w:t>
      </w:r>
    </w:p>
    <w:p w14:paraId="709E29A4" w14:textId="77777777" w:rsidR="00F37E99" w:rsidRDefault="00F37E99" w:rsidP="00107041">
      <w:pPr>
        <w:pStyle w:val="1"/>
        <w:numPr>
          <w:ilvl w:val="0"/>
          <w:numId w:val="0"/>
        </w:numPr>
        <w:spacing w:line="360" w:lineRule="auto"/>
        <w:ind w:left="1134"/>
        <w:rPr>
          <w:sz w:val="22"/>
        </w:rPr>
      </w:pPr>
      <w:r w:rsidRPr="00355381">
        <w:rPr>
          <w:sz w:val="22"/>
        </w:rPr>
        <w:t xml:space="preserve">(a) in respect of amounts claimed as delay liquidaled damages into the Operating Account (Account Number 1120842514, Branch Code 198765) with the Facility Agent; </w:t>
      </w:r>
    </w:p>
    <w:p w14:paraId="7EB07D33" w14:textId="77777777" w:rsidR="00F37E99" w:rsidRPr="00355381" w:rsidRDefault="00F37E99" w:rsidP="00107041">
      <w:pPr>
        <w:pStyle w:val="1"/>
        <w:numPr>
          <w:ilvl w:val="0"/>
          <w:numId w:val="0"/>
        </w:numPr>
        <w:spacing w:line="360" w:lineRule="auto"/>
        <w:ind w:left="1134"/>
        <w:rPr>
          <w:sz w:val="22"/>
        </w:rPr>
      </w:pPr>
      <w:r w:rsidRPr="00355381">
        <w:rPr>
          <w:sz w:val="22"/>
        </w:rPr>
        <w:t xml:space="preserve">(b) in respect of all other amounts into the Compensation Proceed Account (Account Number 1138181188, Branch Code 198765) with the Facility Agent; or </w:t>
      </w:r>
    </w:p>
    <w:p w14:paraId="53BFFAB2" w14:textId="77777777" w:rsidR="00F37E99" w:rsidRPr="00355381" w:rsidRDefault="00F37E99" w:rsidP="00107041">
      <w:pPr>
        <w:pStyle w:val="1"/>
        <w:numPr>
          <w:ilvl w:val="0"/>
          <w:numId w:val="0"/>
        </w:numPr>
        <w:spacing w:line="360" w:lineRule="auto"/>
        <w:ind w:left="1134"/>
        <w:rPr>
          <w:sz w:val="22"/>
        </w:rPr>
      </w:pPr>
      <w:r w:rsidRPr="00355381">
        <w:rPr>
          <w:sz w:val="22"/>
        </w:rPr>
        <w:t xml:space="preserve">(c) into such other account as the Facility Agent may direct, </w:t>
      </w:r>
    </w:p>
    <w:p w14:paraId="07017188" w14:textId="768161CD" w:rsidR="00F37E99" w:rsidRDefault="00F37E99" w:rsidP="00107041">
      <w:pPr>
        <w:pStyle w:val="1"/>
        <w:numPr>
          <w:ilvl w:val="0"/>
          <w:numId w:val="0"/>
        </w:numPr>
        <w:spacing w:line="360" w:lineRule="auto"/>
        <w:ind w:left="1134"/>
        <w:rPr>
          <w:sz w:val="22"/>
        </w:rPr>
      </w:pPr>
      <w:r w:rsidRPr="00355381">
        <w:rPr>
          <w:sz w:val="22"/>
        </w:rPr>
        <w:t>such an amount as you or the Facility Agent may in that Demand require not exceeding (when aggregated with any amount(s) previously so paid, under t</w:t>
      </w:r>
      <w:r w:rsidR="00DD467B">
        <w:rPr>
          <w:sz w:val="22"/>
        </w:rPr>
        <w:t>h</w:t>
      </w:r>
      <w:r w:rsidRPr="00355381">
        <w:rPr>
          <w:sz w:val="22"/>
        </w:rPr>
        <w:t>is Guarantee) the Guaranteed Sum ("Guarantee”).</w:t>
      </w:r>
    </w:p>
    <w:p w14:paraId="5D6D3357" w14:textId="77777777" w:rsidR="00F37E99" w:rsidRPr="00355381" w:rsidRDefault="00F37E99" w:rsidP="00107041">
      <w:pPr>
        <w:pStyle w:val="1"/>
        <w:numPr>
          <w:ilvl w:val="0"/>
          <w:numId w:val="0"/>
        </w:numPr>
        <w:spacing w:line="360" w:lineRule="auto"/>
        <w:ind w:left="1134"/>
        <w:rPr>
          <w:sz w:val="22"/>
        </w:rPr>
      </w:pPr>
    </w:p>
    <w:p w14:paraId="2D643A1B" w14:textId="3A51F0B0" w:rsidR="006F023D" w:rsidRDefault="00F46E0C" w:rsidP="00F46E0C">
      <w:pPr>
        <w:pStyle w:val="1"/>
        <w:numPr>
          <w:ilvl w:val="0"/>
          <w:numId w:val="0"/>
        </w:numPr>
        <w:tabs>
          <w:tab w:val="left" w:pos="567"/>
        </w:tabs>
      </w:pPr>
      <w:r>
        <w:t>[65]</w:t>
      </w:r>
      <w:r>
        <w:tab/>
      </w:r>
      <w:r w:rsidR="006F023D" w:rsidRPr="00657325">
        <w:t>In consideration of Santam executing the Guarantee, KC Cottrell</w:t>
      </w:r>
      <w:r w:rsidR="001A1AFF">
        <w:t xml:space="preserve"> Co.</w:t>
      </w:r>
      <w:r w:rsidR="006F023D">
        <w:t xml:space="preserve"> Ltd provided Santam with a counter-indemnity in terms of which</w:t>
      </w:r>
      <w:r w:rsidR="006F023D" w:rsidRPr="00657325">
        <w:t xml:space="preserve"> </w:t>
      </w:r>
      <w:r w:rsidR="006F023D">
        <w:t xml:space="preserve">it </w:t>
      </w:r>
      <w:r w:rsidR="006F023D" w:rsidRPr="00657325">
        <w:t>keeps Santam indemnified and holds Santam harmless from and against all claims, liabilities, costs, expenses, damage and/or losses (including loss of interest) of whatsoever nature sustained or incurred by Santam under or by reason or in consequence of having executed the Guarantee</w:t>
      </w:r>
      <w:r w:rsidR="006F023D">
        <w:t>.</w:t>
      </w:r>
      <w:r w:rsidR="00FE5203">
        <w:t xml:space="preserve"> In other wo</w:t>
      </w:r>
      <w:r w:rsidR="00E816AD">
        <w:t>rds, if Santam pays out on the G</w:t>
      </w:r>
      <w:r w:rsidR="00FE5203">
        <w:t>uarantee</w:t>
      </w:r>
      <w:r w:rsidR="00E816AD">
        <w:t>,</w:t>
      </w:r>
      <w:r w:rsidR="001A1AFF">
        <w:t xml:space="preserve"> KC Cottrell Co.</w:t>
      </w:r>
      <w:r w:rsidR="00FE5203">
        <w:t xml:space="preserve"> Ltd </w:t>
      </w:r>
      <w:r w:rsidR="00F90845">
        <w:t>has to pay Santam.</w:t>
      </w:r>
    </w:p>
    <w:p w14:paraId="47DDCB2C" w14:textId="17E4A9C7" w:rsidR="000A6CEB" w:rsidRDefault="00F46E0C" w:rsidP="00F46E0C">
      <w:pPr>
        <w:pStyle w:val="1"/>
        <w:numPr>
          <w:ilvl w:val="0"/>
          <w:numId w:val="0"/>
        </w:numPr>
        <w:tabs>
          <w:tab w:val="left" w:pos="567"/>
        </w:tabs>
      </w:pPr>
      <w:r>
        <w:t>[66]</w:t>
      </w:r>
      <w:r>
        <w:tab/>
      </w:r>
      <w:r w:rsidR="000A6CEB" w:rsidRPr="000A566B">
        <w:t xml:space="preserve">The demand </w:t>
      </w:r>
      <w:r w:rsidR="00F90845">
        <w:t xml:space="preserve">made by the Employer </w:t>
      </w:r>
      <w:r w:rsidR="000A6CEB" w:rsidRPr="000A566B">
        <w:t xml:space="preserve">does not state expressly that payment is sought to secure the </w:t>
      </w:r>
      <w:r w:rsidR="000A6CEB">
        <w:t>Contractor’</w:t>
      </w:r>
      <w:r w:rsidR="000A6CEB" w:rsidRPr="000A566B">
        <w:t xml:space="preserve">s indebtedness in relation to the DLD's. However, there are two factors that link the demand to the DLD's: (i) the amount of the demand is the same, to the last cent; and (ii) the designated bank account into which Santam is instructed to pay the money is the same bank account that is recorded in paragraph </w:t>
      </w:r>
      <w:r w:rsidR="000A6CEB" w:rsidRPr="000A566B">
        <w:lastRenderedPageBreak/>
        <w:t xml:space="preserve">4(a) of the </w:t>
      </w:r>
      <w:r w:rsidR="000A6CEB">
        <w:t>G</w:t>
      </w:r>
      <w:r w:rsidR="000A6CEB" w:rsidRPr="000A566B">
        <w:t xml:space="preserve">uarantee as being for claims relating to </w:t>
      </w:r>
      <w:r w:rsidR="000A6CEB">
        <w:t>‘</w:t>
      </w:r>
      <w:r w:rsidR="000A6CEB" w:rsidRPr="000A566B">
        <w:t>delay liquidated damages</w:t>
      </w:r>
      <w:r w:rsidR="000A6CEB">
        <w:t>’</w:t>
      </w:r>
      <w:r w:rsidR="00F90845">
        <w:t xml:space="preserve"> (DLD’s)</w:t>
      </w:r>
      <w:r w:rsidR="000A6CEB" w:rsidRPr="000A566B">
        <w:t>.</w:t>
      </w:r>
    </w:p>
    <w:p w14:paraId="760A31AA" w14:textId="59E7423B" w:rsidR="00485E1C" w:rsidRDefault="00F46E0C" w:rsidP="00F46E0C">
      <w:pPr>
        <w:pStyle w:val="1"/>
        <w:numPr>
          <w:ilvl w:val="0"/>
          <w:numId w:val="0"/>
        </w:numPr>
        <w:tabs>
          <w:tab w:val="left" w:pos="567"/>
        </w:tabs>
      </w:pPr>
      <w:r>
        <w:t>[67]</w:t>
      </w:r>
      <w:r>
        <w:tab/>
      </w:r>
      <w:r w:rsidR="00546273">
        <w:t>The Employer argues that c</w:t>
      </w:r>
      <w:r w:rsidR="00485E1C" w:rsidRPr="00FE1497">
        <w:t>lause 4 does not require a statement to be made that the Con</w:t>
      </w:r>
      <w:r w:rsidR="00052A3E">
        <w:t>tractor</w:t>
      </w:r>
      <w:r w:rsidR="00485E1C" w:rsidRPr="00FE1497">
        <w:t xml:space="preserve"> is indebted to </w:t>
      </w:r>
      <w:r w:rsidR="00546273">
        <w:t>the Employer</w:t>
      </w:r>
      <w:r w:rsidR="00A54B9D">
        <w:t xml:space="preserve"> </w:t>
      </w:r>
      <w:r w:rsidR="00485E1C" w:rsidRPr="00FE1497">
        <w:t>(or Nedbank). It is also not necessary to state that the Con</w:t>
      </w:r>
      <w:r w:rsidR="00052A3E">
        <w:t>tractor</w:t>
      </w:r>
      <w:r w:rsidR="00485E1C" w:rsidRPr="00FE1497">
        <w:t xml:space="preserve"> is indebted to </w:t>
      </w:r>
      <w:r w:rsidR="00D624DF">
        <w:t>the Employer</w:t>
      </w:r>
      <w:r w:rsidR="00485E1C" w:rsidRPr="00FE1497">
        <w:t xml:space="preserve">, either in the amount demanded </w:t>
      </w:r>
      <w:r w:rsidR="0096378A">
        <w:t>or</w:t>
      </w:r>
      <w:r w:rsidR="00485E1C" w:rsidRPr="00FE1497">
        <w:t xml:space="preserve"> in any other amount.</w:t>
      </w:r>
    </w:p>
    <w:p w14:paraId="5DA0CDA7" w14:textId="75730DD9" w:rsidR="00355381" w:rsidRDefault="00F46E0C" w:rsidP="00F46E0C">
      <w:pPr>
        <w:pStyle w:val="1"/>
        <w:numPr>
          <w:ilvl w:val="0"/>
          <w:numId w:val="0"/>
        </w:numPr>
        <w:tabs>
          <w:tab w:val="left" w:pos="567"/>
        </w:tabs>
      </w:pPr>
      <w:r>
        <w:t>[68]</w:t>
      </w:r>
      <w:r>
        <w:tab/>
      </w:r>
      <w:r w:rsidR="00052A3E">
        <w:t>The C</w:t>
      </w:r>
      <w:r w:rsidR="00F51E28">
        <w:t>ontractor’s case however is not that the demand did not comply</w:t>
      </w:r>
      <w:r w:rsidR="00CC0BD9">
        <w:t xml:space="preserve"> with the </w:t>
      </w:r>
      <w:r w:rsidR="00E85AE8">
        <w:t>G</w:t>
      </w:r>
      <w:r w:rsidR="00CC0BD9">
        <w:t>uarantee</w:t>
      </w:r>
      <w:r w:rsidR="000018AD">
        <w:t>, its case is that the demand is fraudulent.</w:t>
      </w:r>
      <w:r w:rsidR="003463F5">
        <w:t xml:space="preserve"> It applies the dicta of Justice Theron </w:t>
      </w:r>
      <w:r w:rsidR="00F90845">
        <w:t xml:space="preserve">quoted above </w:t>
      </w:r>
      <w:r w:rsidR="003463F5">
        <w:t xml:space="preserve">which is </w:t>
      </w:r>
      <w:r w:rsidR="00F90845">
        <w:t xml:space="preserve">to the effect </w:t>
      </w:r>
      <w:r w:rsidR="003463F5">
        <w:t xml:space="preserve">that </w:t>
      </w:r>
      <w:r w:rsidR="008A7D15">
        <w:t xml:space="preserve">when </w:t>
      </w:r>
      <w:r w:rsidR="003463F5">
        <w:t xml:space="preserve">a demand is made but </w:t>
      </w:r>
      <w:r w:rsidR="004C6A8D">
        <w:t xml:space="preserve">the </w:t>
      </w:r>
      <w:r w:rsidR="00F90845">
        <w:t xml:space="preserve">person making the demand </w:t>
      </w:r>
      <w:r w:rsidR="004C6A8D">
        <w:t xml:space="preserve">knows </w:t>
      </w:r>
      <w:r w:rsidR="008A7D15">
        <w:t>that the money is not due</w:t>
      </w:r>
      <w:r w:rsidR="004C6A8D">
        <w:t>, such demand is made fraudulently.</w:t>
      </w:r>
    </w:p>
    <w:p w14:paraId="3F0D86CE" w14:textId="7537B6F7" w:rsidR="002A7487" w:rsidRDefault="00F46E0C" w:rsidP="00F46E0C">
      <w:pPr>
        <w:pStyle w:val="1"/>
        <w:numPr>
          <w:ilvl w:val="0"/>
          <w:numId w:val="0"/>
        </w:numPr>
        <w:tabs>
          <w:tab w:val="left" w:pos="567"/>
        </w:tabs>
      </w:pPr>
      <w:r>
        <w:t>[69]</w:t>
      </w:r>
      <w:r>
        <w:tab/>
      </w:r>
      <w:r w:rsidR="003448CE">
        <w:t xml:space="preserve">The interpretation of the Guarantee and an evaluation of whether the demand is compliant with clause 4, is irrelevant to the Contractor’s </w:t>
      </w:r>
      <w:r w:rsidR="000E3FAC">
        <w:t>invocation of the fraud exception</w:t>
      </w:r>
      <w:r w:rsidR="00B87F87">
        <w:t>. I need therefore not consider</w:t>
      </w:r>
      <w:r w:rsidR="00700204">
        <w:t xml:space="preserve"> the findings of the Court in </w:t>
      </w:r>
      <w:r w:rsidR="00EE2595">
        <w:t>another application (involving the parties herein) under case number 2023/009986 where the court held that all the Employer is required to allege is an unremedied breach of contract.</w:t>
      </w:r>
      <w:r w:rsidR="003448CE">
        <w:t xml:space="preserve"> </w:t>
      </w:r>
    </w:p>
    <w:p w14:paraId="072172B4" w14:textId="1498A563" w:rsidR="002A7487" w:rsidRPr="002A7487" w:rsidRDefault="002A7487" w:rsidP="00107041">
      <w:pPr>
        <w:pStyle w:val="1"/>
        <w:numPr>
          <w:ilvl w:val="0"/>
          <w:numId w:val="0"/>
        </w:numPr>
        <w:rPr>
          <w:b/>
          <w:bCs/>
          <w:u w:val="single"/>
        </w:rPr>
      </w:pPr>
      <w:r w:rsidRPr="002A7487">
        <w:rPr>
          <w:b/>
          <w:bCs/>
          <w:u w:val="single"/>
        </w:rPr>
        <w:t>The Consortium and its standing</w:t>
      </w:r>
    </w:p>
    <w:p w14:paraId="634873F7" w14:textId="704A80AF" w:rsidR="0006656B" w:rsidRDefault="00F46E0C" w:rsidP="00F46E0C">
      <w:pPr>
        <w:pStyle w:val="1"/>
        <w:numPr>
          <w:ilvl w:val="0"/>
          <w:numId w:val="0"/>
        </w:numPr>
        <w:tabs>
          <w:tab w:val="left" w:pos="567"/>
        </w:tabs>
      </w:pPr>
      <w:r>
        <w:t>[70]</w:t>
      </w:r>
      <w:r>
        <w:tab/>
      </w:r>
      <w:r w:rsidR="005475CD">
        <w:t xml:space="preserve">The Employer </w:t>
      </w:r>
      <w:r w:rsidR="00622B28">
        <w:t xml:space="preserve">contended that the </w:t>
      </w:r>
      <w:r w:rsidR="00372F18">
        <w:t xml:space="preserve">Consortium is not a party to the </w:t>
      </w:r>
      <w:r w:rsidR="00622B28">
        <w:t>G</w:t>
      </w:r>
      <w:r w:rsidR="00372F18">
        <w:t>uarantee contract</w:t>
      </w:r>
      <w:r w:rsidR="00B14D1E">
        <w:t xml:space="preserve"> and therefore has no </w:t>
      </w:r>
      <w:r w:rsidR="00B14D1E" w:rsidRPr="00E816AD">
        <w:rPr>
          <w:i/>
        </w:rPr>
        <w:t>locus standi</w:t>
      </w:r>
      <w:r w:rsidR="00B14D1E">
        <w:t>.</w:t>
      </w:r>
      <w:r w:rsidR="00D277CE">
        <w:t xml:space="preserve"> </w:t>
      </w:r>
      <w:r w:rsidR="002B19BF">
        <w:t>T</w:t>
      </w:r>
      <w:r w:rsidR="00904580">
        <w:t>he</w:t>
      </w:r>
      <w:r w:rsidR="00622B28">
        <w:t xml:space="preserve"> Contractor’s case</w:t>
      </w:r>
      <w:r w:rsidR="00D277CE">
        <w:t xml:space="preserve"> is not a contractual attack. It </w:t>
      </w:r>
      <w:r w:rsidR="000D084D">
        <w:t>relies on</w:t>
      </w:r>
      <w:r w:rsidR="00D277CE">
        <w:t xml:space="preserve"> a common law fraud</w:t>
      </w:r>
      <w:r w:rsidR="00F44F3C">
        <w:t xml:space="preserve"> and </w:t>
      </w:r>
      <w:r w:rsidR="000D084D">
        <w:t xml:space="preserve">as such, it says that </w:t>
      </w:r>
      <w:r w:rsidR="00F44F3C">
        <w:t xml:space="preserve">any potential victim would have </w:t>
      </w:r>
      <w:r w:rsidR="00F44F3C" w:rsidRPr="00894B0F">
        <w:rPr>
          <w:i/>
          <w:iCs w:val="0"/>
        </w:rPr>
        <w:t>locus standi</w:t>
      </w:r>
      <w:r w:rsidR="00F44F3C">
        <w:t>.</w:t>
      </w:r>
    </w:p>
    <w:p w14:paraId="0825AD6B" w14:textId="1EF9CD6D" w:rsidR="00004113" w:rsidRDefault="00F46E0C" w:rsidP="00F46E0C">
      <w:pPr>
        <w:pStyle w:val="1"/>
        <w:numPr>
          <w:ilvl w:val="0"/>
          <w:numId w:val="0"/>
        </w:numPr>
        <w:tabs>
          <w:tab w:val="left" w:pos="567"/>
        </w:tabs>
      </w:pPr>
      <w:r>
        <w:t>[71]</w:t>
      </w:r>
      <w:r>
        <w:tab/>
      </w:r>
      <w:r w:rsidR="0016155F">
        <w:t xml:space="preserve">The Contractor or the </w:t>
      </w:r>
      <w:r w:rsidR="00F44F3C">
        <w:t>Consortium</w:t>
      </w:r>
      <w:r w:rsidR="0016155F">
        <w:t>,</w:t>
      </w:r>
      <w:r w:rsidR="00F44F3C">
        <w:t xml:space="preserve"> is an uni</w:t>
      </w:r>
      <w:r w:rsidR="00871EDB">
        <w:t>ncorporated joint venture. It is a partnership</w:t>
      </w:r>
      <w:r w:rsidR="007D42F4">
        <w:t xml:space="preserve"> with no standing outside of </w:t>
      </w:r>
      <w:r w:rsidR="002E7FDB">
        <w:t>its</w:t>
      </w:r>
      <w:r w:rsidR="007D42F4">
        <w:t xml:space="preserve"> partners.</w:t>
      </w:r>
      <w:r w:rsidR="00723D25">
        <w:t xml:space="preserve"> Each of the partners are before this court.</w:t>
      </w:r>
      <w:r w:rsidR="00664749">
        <w:t xml:space="preserve"> </w:t>
      </w:r>
    </w:p>
    <w:p w14:paraId="2B1A3337" w14:textId="23556B15" w:rsidR="00F44F3C" w:rsidRDefault="00F46E0C" w:rsidP="00F46E0C">
      <w:pPr>
        <w:pStyle w:val="1"/>
        <w:numPr>
          <w:ilvl w:val="0"/>
          <w:numId w:val="0"/>
        </w:numPr>
        <w:tabs>
          <w:tab w:val="left" w:pos="567"/>
        </w:tabs>
      </w:pPr>
      <w:r>
        <w:lastRenderedPageBreak/>
        <w:t>[72]</w:t>
      </w:r>
      <w:r>
        <w:tab/>
      </w:r>
      <w:r w:rsidR="00E961B8">
        <w:t>If regard is had to the provisions of clause 1 of the Guarantee, th</w:t>
      </w:r>
      <w:r w:rsidR="00004113">
        <w:t>e</w:t>
      </w:r>
      <w:r w:rsidR="00E961B8">
        <w:t xml:space="preserve"> </w:t>
      </w:r>
      <w:r w:rsidR="00E961B8" w:rsidRPr="00E816AD">
        <w:rPr>
          <w:i/>
        </w:rPr>
        <w:t>locus standi</w:t>
      </w:r>
      <w:r w:rsidR="00E961B8">
        <w:t xml:space="preserve"> point is put to bed:</w:t>
      </w:r>
    </w:p>
    <w:p w14:paraId="0AF42806" w14:textId="78D38285" w:rsidR="00E961B8" w:rsidRDefault="00831D8C" w:rsidP="00107041">
      <w:pPr>
        <w:pStyle w:val="1"/>
        <w:numPr>
          <w:ilvl w:val="0"/>
          <w:numId w:val="0"/>
        </w:numPr>
        <w:spacing w:line="360" w:lineRule="auto"/>
        <w:ind w:left="1134"/>
        <w:rPr>
          <w:sz w:val="22"/>
        </w:rPr>
      </w:pPr>
      <w:r w:rsidRPr="00831D8C">
        <w:rPr>
          <w:sz w:val="22"/>
        </w:rPr>
        <w:t>‘</w:t>
      </w:r>
      <w:r w:rsidR="00404760" w:rsidRPr="00831D8C">
        <w:rPr>
          <w:sz w:val="22"/>
        </w:rPr>
        <w:t>The Employer entered into a contract dated 26</w:t>
      </w:r>
      <w:r w:rsidR="00DE3D58" w:rsidRPr="00831D8C">
        <w:rPr>
          <w:sz w:val="22"/>
          <w:vertAlign w:val="superscript"/>
        </w:rPr>
        <w:t>th</w:t>
      </w:r>
      <w:r w:rsidR="00DE3D58" w:rsidRPr="00831D8C">
        <w:rPr>
          <w:sz w:val="22"/>
        </w:rPr>
        <w:t xml:space="preserve"> </w:t>
      </w:r>
      <w:r w:rsidR="00404760" w:rsidRPr="00831D8C">
        <w:rPr>
          <w:sz w:val="22"/>
        </w:rPr>
        <w:t>October 2016 with an unincorporated joint ven</w:t>
      </w:r>
      <w:r w:rsidR="00DE3D58" w:rsidRPr="00831D8C">
        <w:rPr>
          <w:sz w:val="22"/>
        </w:rPr>
        <w:t>t</w:t>
      </w:r>
      <w:r w:rsidR="00404760" w:rsidRPr="00831D8C">
        <w:rPr>
          <w:sz w:val="22"/>
        </w:rPr>
        <w:t>ure collectively comprised of ELB Engineering Services Proprietary Limited, K C Cottrell Co Ltd and ELB Educational Trust for Black South Africans (</w:t>
      </w:r>
      <w:r w:rsidR="00ED5582" w:rsidRPr="00831D8C">
        <w:rPr>
          <w:sz w:val="22"/>
        </w:rPr>
        <w:t>“</w:t>
      </w:r>
      <w:r w:rsidR="00404760" w:rsidRPr="00831D8C">
        <w:rPr>
          <w:sz w:val="22"/>
        </w:rPr>
        <w:t>Contractor</w:t>
      </w:r>
      <w:r w:rsidR="00ED5582" w:rsidRPr="00831D8C">
        <w:rPr>
          <w:sz w:val="22"/>
        </w:rPr>
        <w:t>”</w:t>
      </w:r>
      <w:r w:rsidR="00404760" w:rsidRPr="00831D8C">
        <w:rPr>
          <w:sz w:val="22"/>
        </w:rPr>
        <w:t>) titled Engineering, Procurement and Construction Contract (</w:t>
      </w:r>
      <w:r w:rsidR="00F43EEA" w:rsidRPr="00831D8C">
        <w:rPr>
          <w:sz w:val="22"/>
        </w:rPr>
        <w:t>“</w:t>
      </w:r>
      <w:r w:rsidR="00404760" w:rsidRPr="00831D8C">
        <w:rPr>
          <w:sz w:val="22"/>
        </w:rPr>
        <w:t>contract") for certain works and services (</w:t>
      </w:r>
      <w:r w:rsidR="00F43EEA" w:rsidRPr="00831D8C">
        <w:rPr>
          <w:sz w:val="22"/>
        </w:rPr>
        <w:t>“W</w:t>
      </w:r>
      <w:r w:rsidR="00404760" w:rsidRPr="00831D8C">
        <w:rPr>
          <w:sz w:val="22"/>
        </w:rPr>
        <w:t>orks') to be performed by the Contractor for the Ngodwana Biomass Energy Project (</w:t>
      </w:r>
      <w:r w:rsidR="008B39D6" w:rsidRPr="00831D8C">
        <w:rPr>
          <w:sz w:val="22"/>
        </w:rPr>
        <w:t>“</w:t>
      </w:r>
      <w:r w:rsidR="00404760" w:rsidRPr="00831D8C">
        <w:rPr>
          <w:sz w:val="22"/>
        </w:rPr>
        <w:t>Project</w:t>
      </w:r>
      <w:r w:rsidR="008B39D6" w:rsidRPr="00831D8C">
        <w:rPr>
          <w:sz w:val="22"/>
        </w:rPr>
        <w:t>”</w:t>
      </w:r>
      <w:r w:rsidR="00404760" w:rsidRPr="00831D8C">
        <w:rPr>
          <w:sz w:val="22"/>
        </w:rPr>
        <w:t xml:space="preserve">), </w:t>
      </w:r>
      <w:r w:rsidR="00404760" w:rsidRPr="003974D7">
        <w:rPr>
          <w:b/>
          <w:bCs/>
          <w:sz w:val="22"/>
        </w:rPr>
        <w:t xml:space="preserve">in terms of which the aforesaid Contractor members have accepted unconditional joint and several liability for the performance of all the Contractor's obligations and the discharge of all </w:t>
      </w:r>
      <w:r w:rsidRPr="003974D7">
        <w:rPr>
          <w:b/>
          <w:bCs/>
          <w:sz w:val="22"/>
        </w:rPr>
        <w:t>t</w:t>
      </w:r>
      <w:r w:rsidR="00404760" w:rsidRPr="003974D7">
        <w:rPr>
          <w:b/>
          <w:bCs/>
          <w:sz w:val="22"/>
        </w:rPr>
        <w:t>he Contractor's liabilities under the Contra</w:t>
      </w:r>
      <w:r w:rsidRPr="003974D7">
        <w:rPr>
          <w:b/>
          <w:bCs/>
          <w:sz w:val="22"/>
        </w:rPr>
        <w:t>ct.’</w:t>
      </w:r>
      <w:r w:rsidR="003974D7">
        <w:rPr>
          <w:sz w:val="22"/>
        </w:rPr>
        <w:t xml:space="preserve"> (emphasis provided)</w:t>
      </w:r>
    </w:p>
    <w:p w14:paraId="1FC7E183" w14:textId="77777777" w:rsidR="003974D7" w:rsidRPr="003974D7" w:rsidRDefault="003974D7" w:rsidP="00107041">
      <w:pPr>
        <w:pStyle w:val="1"/>
        <w:numPr>
          <w:ilvl w:val="0"/>
          <w:numId w:val="0"/>
        </w:numPr>
        <w:spacing w:line="360" w:lineRule="auto"/>
        <w:ind w:left="1134"/>
        <w:rPr>
          <w:sz w:val="22"/>
        </w:rPr>
      </w:pPr>
    </w:p>
    <w:p w14:paraId="0643F528" w14:textId="5FDC4909" w:rsidR="00EF303F" w:rsidRPr="00BC04D7" w:rsidRDefault="00BC04D7" w:rsidP="00107041">
      <w:pPr>
        <w:pStyle w:val="1"/>
        <w:numPr>
          <w:ilvl w:val="0"/>
          <w:numId w:val="0"/>
        </w:numPr>
        <w:rPr>
          <w:b/>
          <w:bCs/>
          <w:u w:val="single"/>
        </w:rPr>
      </w:pPr>
      <w:r w:rsidRPr="00BC04D7">
        <w:rPr>
          <w:b/>
          <w:bCs/>
          <w:u w:val="single"/>
        </w:rPr>
        <w:t>Nedbank’s position</w:t>
      </w:r>
    </w:p>
    <w:p w14:paraId="0DA67E06" w14:textId="0D697FB8" w:rsidR="00804DBB" w:rsidRDefault="00F46E0C" w:rsidP="00F46E0C">
      <w:pPr>
        <w:pStyle w:val="1"/>
        <w:numPr>
          <w:ilvl w:val="0"/>
          <w:numId w:val="0"/>
        </w:numPr>
        <w:tabs>
          <w:tab w:val="left" w:pos="567"/>
        </w:tabs>
      </w:pPr>
      <w:r>
        <w:t>[73]</w:t>
      </w:r>
      <w:r>
        <w:tab/>
      </w:r>
      <w:r w:rsidR="003E60F9">
        <w:t xml:space="preserve">Nedbank </w:t>
      </w:r>
      <w:r w:rsidR="00B213C9">
        <w:t>is the</w:t>
      </w:r>
      <w:r w:rsidR="003E60F9">
        <w:t xml:space="preserve"> agent of </w:t>
      </w:r>
      <w:r w:rsidR="00935071">
        <w:t xml:space="preserve">the </w:t>
      </w:r>
      <w:r w:rsidR="003E60F9">
        <w:t>Employer</w:t>
      </w:r>
      <w:r w:rsidR="0074185D">
        <w:t xml:space="preserve"> because it is defined as the Facility Agent in the </w:t>
      </w:r>
      <w:r w:rsidR="00935071">
        <w:t>G</w:t>
      </w:r>
      <w:r w:rsidR="0074185D">
        <w:t>uarantee</w:t>
      </w:r>
      <w:r w:rsidR="00E816AD">
        <w:t>. C</w:t>
      </w:r>
      <w:r w:rsidR="0074185D">
        <w:t>lause 5</w:t>
      </w:r>
      <w:r w:rsidR="00007899">
        <w:t xml:space="preserve"> </w:t>
      </w:r>
      <w:r w:rsidR="0007543E">
        <w:t xml:space="preserve">of the Guarantee </w:t>
      </w:r>
      <w:r w:rsidR="00007899">
        <w:t xml:space="preserve">requires the Employer to authorise </w:t>
      </w:r>
      <w:r w:rsidR="0007543E">
        <w:t>Nedbank</w:t>
      </w:r>
      <w:r w:rsidR="00007899">
        <w:t xml:space="preserve"> to make the demand</w:t>
      </w:r>
      <w:r w:rsidR="00D2754B">
        <w:t xml:space="preserve"> and Santam is to pay</w:t>
      </w:r>
      <w:r w:rsidR="00CC6551">
        <w:t xml:space="preserve"> those monies to an account of the Employer. Nedbank did not participate in th</w:t>
      </w:r>
      <w:r w:rsidR="00362D56">
        <w:t>is</w:t>
      </w:r>
      <w:r w:rsidR="00CC6551">
        <w:t xml:space="preserve"> hearing. It abides</w:t>
      </w:r>
      <w:r w:rsidR="00362D56">
        <w:t xml:space="preserve"> the decision of this court</w:t>
      </w:r>
      <w:r w:rsidR="00CC6551">
        <w:t>.</w:t>
      </w:r>
      <w:r w:rsidR="00362D56">
        <w:t xml:space="preserve"> </w:t>
      </w:r>
      <w:r w:rsidR="006E1414">
        <w:t>It is clear that it accepts that it is an agent</w:t>
      </w:r>
      <w:r w:rsidR="0003382B">
        <w:t xml:space="preserve"> acting with imputed knowledge</w:t>
      </w:r>
      <w:r w:rsidR="00F90845">
        <w:t xml:space="preserve"> of its principal, in this case the Employer</w:t>
      </w:r>
      <w:r w:rsidR="0003382B">
        <w:t>.</w:t>
      </w:r>
    </w:p>
    <w:p w14:paraId="4149F498" w14:textId="600A80F7" w:rsidR="00115B66" w:rsidRPr="00115B66" w:rsidRDefault="00115B66" w:rsidP="00107041">
      <w:pPr>
        <w:pStyle w:val="1"/>
        <w:numPr>
          <w:ilvl w:val="0"/>
          <w:numId w:val="0"/>
        </w:numPr>
        <w:rPr>
          <w:b/>
          <w:bCs/>
          <w:u w:val="single"/>
        </w:rPr>
      </w:pPr>
      <w:r w:rsidRPr="00115B66">
        <w:rPr>
          <w:b/>
          <w:bCs/>
          <w:u w:val="single"/>
        </w:rPr>
        <w:t>Conclusion</w:t>
      </w:r>
    </w:p>
    <w:p w14:paraId="5281FBFE" w14:textId="0AF25312" w:rsidR="00D662FA" w:rsidRDefault="00F46E0C" w:rsidP="00F46E0C">
      <w:pPr>
        <w:pStyle w:val="1"/>
        <w:numPr>
          <w:ilvl w:val="0"/>
          <w:numId w:val="0"/>
        </w:numPr>
        <w:tabs>
          <w:tab w:val="left" w:pos="567"/>
        </w:tabs>
      </w:pPr>
      <w:r>
        <w:t>[74]</w:t>
      </w:r>
      <w:r>
        <w:tab/>
      </w:r>
      <w:r w:rsidR="00922978">
        <w:t xml:space="preserve">The </w:t>
      </w:r>
      <w:r w:rsidR="00922978" w:rsidRPr="00ED2966">
        <w:t xml:space="preserve">evidence shows a </w:t>
      </w:r>
      <w:r w:rsidR="00922978" w:rsidRPr="00ED2966">
        <w:rPr>
          <w:i/>
          <w:iCs w:val="0"/>
        </w:rPr>
        <w:t>prima facie</w:t>
      </w:r>
      <w:r w:rsidR="00922978" w:rsidRPr="00ED2966">
        <w:t xml:space="preserve"> case that the demand on the </w:t>
      </w:r>
      <w:r w:rsidR="00922978">
        <w:t>G</w:t>
      </w:r>
      <w:r w:rsidR="00922978" w:rsidRPr="00ED2966">
        <w:t xml:space="preserve">uarantee for payment of the DLD's was fraudulent. </w:t>
      </w:r>
      <w:r w:rsidR="00922978">
        <w:t xml:space="preserve">Mr Hawkes </w:t>
      </w:r>
      <w:r w:rsidR="00D662FA">
        <w:t xml:space="preserve">for the Employer </w:t>
      </w:r>
      <w:r w:rsidR="00922978">
        <w:t>knew that he had manipulated things to secure an entitlement</w:t>
      </w:r>
      <w:r w:rsidR="0003382B">
        <w:t xml:space="preserve"> to trigger payment in terms of the Guarantee</w:t>
      </w:r>
      <w:r w:rsidR="00922978">
        <w:t xml:space="preserve">. </w:t>
      </w:r>
      <w:r w:rsidR="00922978" w:rsidRPr="00ED2966">
        <w:t xml:space="preserve">If that is the case then a fraud is manifestly prejudicial, for which there is </w:t>
      </w:r>
      <w:r w:rsidR="00922978" w:rsidRPr="00ED2966">
        <w:lastRenderedPageBreak/>
        <w:t>no alternative remedy and where the balance of convenience clearly favour</w:t>
      </w:r>
      <w:r w:rsidR="00D662FA">
        <w:t>s</w:t>
      </w:r>
      <w:r w:rsidR="00922978" w:rsidRPr="00ED2966">
        <w:t xml:space="preserve"> the granting of the relief sought</w:t>
      </w:r>
      <w:r w:rsidR="00D662FA">
        <w:rPr>
          <w:rStyle w:val="FootnoteReference"/>
        </w:rPr>
        <w:footnoteReference w:id="11"/>
      </w:r>
      <w:r w:rsidR="00922978" w:rsidRPr="00ED2966">
        <w:t>.</w:t>
      </w:r>
      <w:r w:rsidR="00D662FA">
        <w:t xml:space="preserve"> </w:t>
      </w:r>
    </w:p>
    <w:p w14:paraId="147B310C" w14:textId="7D62171E" w:rsidR="00E816AD" w:rsidRDefault="00F46E0C" w:rsidP="00F46E0C">
      <w:pPr>
        <w:pStyle w:val="1"/>
        <w:numPr>
          <w:ilvl w:val="0"/>
          <w:numId w:val="0"/>
        </w:numPr>
        <w:tabs>
          <w:tab w:val="left" w:pos="567"/>
        </w:tabs>
      </w:pPr>
      <w:r>
        <w:t>[75]</w:t>
      </w:r>
      <w:r>
        <w:tab/>
      </w:r>
      <w:r w:rsidR="00D662FA">
        <w:t>As to the balance of convenience there is little or no prejudice to the Employer if it is able to prove its claim in due course. It still has the guarantee. It has simply been prevented from calling it up in circumstances where all indications are that it did so fraudulently. If in time it is able to show that there was no fraud, if it i</w:t>
      </w:r>
      <w:r w:rsidR="00E816AD">
        <w:t>s able to explain away Mr Hawke</w:t>
      </w:r>
      <w:r w:rsidR="00D662FA">
        <w:t>s</w:t>
      </w:r>
      <w:r w:rsidR="00E816AD">
        <w:t>’</w:t>
      </w:r>
      <w:r w:rsidR="00D662FA">
        <w:t xml:space="preserve"> signature assenting to the balance due, if it is</w:t>
      </w:r>
      <w:r w:rsidR="00E816AD">
        <w:t xml:space="preserve"> </w:t>
      </w:r>
      <w:r w:rsidR="00D662FA">
        <w:t>able to</w:t>
      </w:r>
      <w:r w:rsidR="005834A8">
        <w:t>.</w:t>
      </w:r>
      <w:r w:rsidR="00D662FA">
        <w:t xml:space="preserve"> explain away Ms Seate’s not having responded negatively to the Contractor’s letter asserting the agreement having the effect of set-off, if it is able to explain away its financial statements which corroborate the Contractor’s version and flatly contradict th</w:t>
      </w:r>
      <w:r w:rsidR="00E816AD">
        <w:t>e Employer’s, then it will defeat the action instituted and the Guarantee will be payable</w:t>
      </w:r>
      <w:r w:rsidR="009E2690">
        <w:t xml:space="preserve">. </w:t>
      </w:r>
      <w:r w:rsidR="00E816AD">
        <w:t>Having the G</w:t>
      </w:r>
      <w:r w:rsidR="00546129">
        <w:t>uarantee in hand weighs heavily in the Employer’s favour, it faces little or no risk of being unable to recover in due course should the ultimate resolution of the dispute between the parties be decided in the Employer’s favour.</w:t>
      </w:r>
    </w:p>
    <w:p w14:paraId="3974337C" w14:textId="12DE835C" w:rsidR="00D57DE9" w:rsidRDefault="00F46E0C" w:rsidP="00F46E0C">
      <w:pPr>
        <w:pStyle w:val="1"/>
        <w:numPr>
          <w:ilvl w:val="0"/>
          <w:numId w:val="0"/>
        </w:numPr>
        <w:tabs>
          <w:tab w:val="left" w:pos="567"/>
        </w:tabs>
      </w:pPr>
      <w:r>
        <w:t>[76]</w:t>
      </w:r>
      <w:r>
        <w:tab/>
      </w:r>
      <w:r w:rsidR="00546129">
        <w:t xml:space="preserve"> </w:t>
      </w:r>
      <w:r w:rsidR="00E816AD">
        <w:t>At the trial</w:t>
      </w:r>
      <w:r w:rsidR="009E2690">
        <w:t xml:space="preserve"> in due course</w:t>
      </w:r>
      <w:r w:rsidR="00E816AD">
        <w:t xml:space="preserve"> it can explain</w:t>
      </w:r>
      <w:r w:rsidR="009E2690">
        <w:t xml:space="preserve"> why Ms Seate, it</w:t>
      </w:r>
      <w:r w:rsidR="00E816AD">
        <w:t>s financial director, never deposed to</w:t>
      </w:r>
      <w:r w:rsidR="009E2690">
        <w:t xml:space="preserve"> an affidavit</w:t>
      </w:r>
      <w:r w:rsidR="00E816AD">
        <w:t xml:space="preserve"> supporting Mr Hawkes’ explanation on the Annual Financial Statements</w:t>
      </w:r>
      <w:r w:rsidR="009E2690">
        <w:t xml:space="preserve"> and why it did not utilise a suitably qualified expert witness to substantiate </w:t>
      </w:r>
      <w:r w:rsidR="00546129">
        <w:t xml:space="preserve">its </w:t>
      </w:r>
      <w:r w:rsidR="009E2690">
        <w:t xml:space="preserve">effort to explain away the </w:t>
      </w:r>
      <w:r w:rsidR="00546129">
        <w:t xml:space="preserve">damning </w:t>
      </w:r>
      <w:r w:rsidR="00E816AD">
        <w:t>entries in such</w:t>
      </w:r>
      <w:r w:rsidR="009E2690">
        <w:t xml:space="preserve"> financial statements in respect of which the audit firm KPMG made no adverse comment. On the other hand</w:t>
      </w:r>
      <w:r w:rsidR="00546129">
        <w:t>,</w:t>
      </w:r>
      <w:r w:rsidR="00E816AD">
        <w:t xml:space="preserve"> if the G</w:t>
      </w:r>
      <w:r w:rsidR="009E2690">
        <w:t>uarantee were paid out the funds would fall unsecured into the Employer’s hands</w:t>
      </w:r>
      <w:r w:rsidR="00546129">
        <w:t>. T</w:t>
      </w:r>
      <w:r w:rsidR="009E2690">
        <w:t xml:space="preserve">his is a party whose conduct on these papers does not instil a deep sense of confidence that they will conduct themselves honourably should the funds have to be </w:t>
      </w:r>
      <w:r w:rsidR="009E2690">
        <w:lastRenderedPageBreak/>
        <w:t xml:space="preserve">reimbursed in due course. </w:t>
      </w:r>
      <w:r w:rsidR="00546129">
        <w:t xml:space="preserve">Where the conduct of a party is </w:t>
      </w:r>
      <w:r w:rsidR="00546129" w:rsidRPr="00E816AD">
        <w:rPr>
          <w:i/>
        </w:rPr>
        <w:t>prima facie</w:t>
      </w:r>
      <w:r w:rsidR="00546129">
        <w:t xml:space="preserve"> fraudulent it will have to go a long way to assure a Court that it is a reliable repository of liquid funds. The Employer falls woefully short of that distance on these papers.</w:t>
      </w:r>
    </w:p>
    <w:p w14:paraId="3E01BCC6" w14:textId="54E93D38" w:rsidR="00D57DE9" w:rsidRDefault="00F46E0C" w:rsidP="00F46E0C">
      <w:pPr>
        <w:pStyle w:val="1"/>
        <w:numPr>
          <w:ilvl w:val="0"/>
          <w:numId w:val="0"/>
        </w:numPr>
        <w:tabs>
          <w:tab w:val="left" w:pos="567"/>
        </w:tabs>
      </w:pPr>
      <w:r>
        <w:t>[77]</w:t>
      </w:r>
      <w:r>
        <w:tab/>
      </w:r>
      <w:r w:rsidR="009E2690">
        <w:t>The balance of convenience thus favours the Contractor who, on these papers, honoured its obligation to pay the damages due by it up to the maximum sum</w:t>
      </w:r>
      <w:r w:rsidR="00D57DE9">
        <w:t xml:space="preserve">, a payment which it made in terms of </w:t>
      </w:r>
      <w:r w:rsidR="009E2690">
        <w:t xml:space="preserve">an agreement </w:t>
      </w:r>
      <w:r w:rsidR="00D57DE9">
        <w:t>as to how payment would be made</w:t>
      </w:r>
      <w:r w:rsidR="00546129">
        <w:t xml:space="preserve">, a payment made only </w:t>
      </w:r>
      <w:r w:rsidR="009E2690">
        <w:t>after having established above the signature of Mr Hawke</w:t>
      </w:r>
      <w:r w:rsidR="00E816AD">
        <w:t>s</w:t>
      </w:r>
      <w:r w:rsidR="009E2690">
        <w:t xml:space="preserve"> of the Employer precisely what the outstanding balance was</w:t>
      </w:r>
      <w:r w:rsidR="00546129">
        <w:t xml:space="preserve"> by agreement between the parties. </w:t>
      </w:r>
      <w:r w:rsidR="00D57DE9">
        <w:t xml:space="preserve">The Contractor </w:t>
      </w:r>
      <w:r w:rsidR="009E2690">
        <w:t xml:space="preserve">then paid </w:t>
      </w:r>
      <w:r w:rsidR="00D57DE9">
        <w:t xml:space="preserve">in cash the shortfall, as it had agreed it would, </w:t>
      </w:r>
      <w:r w:rsidR="009E2690">
        <w:t>as an</w:t>
      </w:r>
      <w:r w:rsidR="00D57DE9">
        <w:t>y</w:t>
      </w:r>
      <w:r w:rsidR="009E2690">
        <w:t xml:space="preserve"> honest busi</w:t>
      </w:r>
      <w:r w:rsidR="00D57DE9">
        <w:t xml:space="preserve">ness person would be expected to. It </w:t>
      </w:r>
      <w:r w:rsidR="009E2690">
        <w:t xml:space="preserve">was only a year later </w:t>
      </w:r>
      <w:r w:rsidR="00D57DE9">
        <w:t xml:space="preserve">that it was </w:t>
      </w:r>
      <w:r w:rsidR="009E2690">
        <w:t>confronted by a surprise call on the</w:t>
      </w:r>
      <w:r w:rsidR="00E816AD">
        <w:t xml:space="preserve"> G</w:t>
      </w:r>
      <w:r w:rsidR="009E2690">
        <w:t>uarantee</w:t>
      </w:r>
      <w:r w:rsidR="00D57DE9">
        <w:t xml:space="preserve">. The </w:t>
      </w:r>
      <w:r w:rsidR="009E2690">
        <w:t xml:space="preserve">timing of </w:t>
      </w:r>
      <w:r w:rsidR="00D57DE9">
        <w:t>the call (after a year</w:t>
      </w:r>
      <w:r w:rsidR="00E816AD">
        <w:t>’</w:t>
      </w:r>
      <w:r w:rsidR="00D57DE9">
        <w:t xml:space="preserve">s delay and </w:t>
      </w:r>
      <w:r w:rsidR="009E2690">
        <w:t>on the eve of a long-weekend</w:t>
      </w:r>
      <w:r w:rsidR="00D57DE9">
        <w:t>)</w:t>
      </w:r>
      <w:r w:rsidR="009E2690">
        <w:t xml:space="preserve"> seems in itself to have been calculated to </w:t>
      </w:r>
      <w:r w:rsidR="00E816AD">
        <w:t>increase the chances of the G</w:t>
      </w:r>
      <w:r w:rsidR="00D57DE9">
        <w:t xml:space="preserve">uarantee being paid </w:t>
      </w:r>
      <w:r w:rsidR="00546129">
        <w:t xml:space="preserve">out to the Employer </w:t>
      </w:r>
      <w:r w:rsidR="00D57DE9">
        <w:t xml:space="preserve">before the Contractor could effectively react </w:t>
      </w:r>
      <w:r w:rsidR="009E2690">
        <w:t xml:space="preserve">to </w:t>
      </w:r>
      <w:r w:rsidR="00D57DE9">
        <w:t xml:space="preserve">raise the alarm of fraud. These </w:t>
      </w:r>
      <w:r w:rsidR="005834A8">
        <w:t xml:space="preserve">are but some of the </w:t>
      </w:r>
      <w:r w:rsidR="00D57DE9">
        <w:t xml:space="preserve">factors </w:t>
      </w:r>
      <w:r w:rsidR="005834A8">
        <w:t xml:space="preserve">which </w:t>
      </w:r>
      <w:r w:rsidR="00D57DE9">
        <w:t xml:space="preserve">weighed on my exercise of my discretion to grant interim relief, which I duly did. </w:t>
      </w:r>
    </w:p>
    <w:p w14:paraId="68C3116F" w14:textId="0B6C4D96" w:rsidR="00D662FA" w:rsidRDefault="00F46E0C" w:rsidP="00F46E0C">
      <w:pPr>
        <w:pStyle w:val="1"/>
        <w:numPr>
          <w:ilvl w:val="0"/>
          <w:numId w:val="0"/>
        </w:numPr>
        <w:tabs>
          <w:tab w:val="left" w:pos="567"/>
        </w:tabs>
      </w:pPr>
      <w:r>
        <w:t>[78]</w:t>
      </w:r>
      <w:r>
        <w:tab/>
      </w:r>
      <w:r w:rsidR="00D57DE9">
        <w:t>These then are the reasons for my order.</w:t>
      </w:r>
    </w:p>
    <w:p w14:paraId="0D4300FE" w14:textId="77777777" w:rsidR="0006110A" w:rsidRDefault="0006110A" w:rsidP="00107041">
      <w:pPr>
        <w:pStyle w:val="1"/>
        <w:numPr>
          <w:ilvl w:val="0"/>
          <w:numId w:val="0"/>
        </w:numPr>
        <w:rPr>
          <w:b/>
          <w:bCs/>
          <w:u w:val="single"/>
        </w:rPr>
      </w:pPr>
    </w:p>
    <w:p w14:paraId="26F0111E" w14:textId="77777777" w:rsidR="00B92CBC" w:rsidRDefault="00B92CBC" w:rsidP="00107041">
      <w:pPr>
        <w:pStyle w:val="2"/>
        <w:numPr>
          <w:ilvl w:val="0"/>
          <w:numId w:val="0"/>
        </w:numPr>
        <w:ind w:left="1134"/>
      </w:pPr>
    </w:p>
    <w:p w14:paraId="431D266D" w14:textId="77777777" w:rsidR="00321949" w:rsidRPr="009624B9" w:rsidRDefault="00321949" w:rsidP="00894B0F">
      <w:pPr>
        <w:tabs>
          <w:tab w:val="left" w:pos="851"/>
          <w:tab w:val="left" w:pos="1701"/>
          <w:tab w:val="left" w:pos="2835"/>
          <w:tab w:val="left" w:pos="3969"/>
          <w:tab w:val="right" w:pos="8222"/>
        </w:tabs>
        <w:ind w:left="691"/>
        <w:contextualSpacing/>
        <w:jc w:val="right"/>
        <w:rPr>
          <w:rFonts w:cs="Arial"/>
        </w:rPr>
      </w:pPr>
      <w:r w:rsidRPr="009624B9">
        <w:rPr>
          <w:rFonts w:cs="Arial"/>
        </w:rPr>
        <w:t>___________________________</w:t>
      </w:r>
    </w:p>
    <w:p w14:paraId="5057FCE9" w14:textId="3E70DFE7" w:rsidR="00862A46" w:rsidRDefault="00DC397F" w:rsidP="00894B0F">
      <w:pPr>
        <w:ind w:left="691"/>
        <w:jc w:val="right"/>
        <w:rPr>
          <w:rFonts w:cs="Arial"/>
        </w:rPr>
      </w:pPr>
      <w:r>
        <w:rPr>
          <w:rFonts w:cs="Arial"/>
        </w:rPr>
        <w:t>I Opperman</w:t>
      </w:r>
    </w:p>
    <w:p w14:paraId="5A8E6443" w14:textId="77777777" w:rsidR="00321949" w:rsidRPr="009624B9" w:rsidRDefault="00321949" w:rsidP="00894B0F">
      <w:pPr>
        <w:ind w:left="691"/>
        <w:jc w:val="right"/>
        <w:rPr>
          <w:rFonts w:cs="Arial"/>
        </w:rPr>
      </w:pPr>
      <w:r w:rsidRPr="009624B9">
        <w:rPr>
          <w:rFonts w:cs="Arial"/>
        </w:rPr>
        <w:t>Judge of the High Court</w:t>
      </w:r>
    </w:p>
    <w:p w14:paraId="23A95494" w14:textId="77777777" w:rsidR="00321949" w:rsidRDefault="00000F16" w:rsidP="00894B0F">
      <w:pPr>
        <w:ind w:left="691"/>
        <w:jc w:val="right"/>
        <w:rPr>
          <w:rFonts w:cs="Arial"/>
        </w:rPr>
      </w:pPr>
      <w:r>
        <w:rPr>
          <w:rFonts w:cs="Arial"/>
        </w:rPr>
        <w:t>Gauteng Division, Johannesburg</w:t>
      </w:r>
    </w:p>
    <w:p w14:paraId="381FEB8F" w14:textId="77777777" w:rsidR="00B92CBC" w:rsidRDefault="00B92CBC" w:rsidP="00894B0F">
      <w:pPr>
        <w:ind w:left="691"/>
        <w:jc w:val="right"/>
        <w:rPr>
          <w:rFonts w:cs="Arial"/>
        </w:rPr>
      </w:pPr>
    </w:p>
    <w:p w14:paraId="321E7D5F" w14:textId="77777777" w:rsidR="009B12B1" w:rsidRDefault="009B12B1" w:rsidP="00894B0F">
      <w:pPr>
        <w:ind w:left="691"/>
        <w:jc w:val="right"/>
        <w:rPr>
          <w:rFonts w:cs="Arial"/>
        </w:rPr>
      </w:pPr>
    </w:p>
    <w:p w14:paraId="56BC638D" w14:textId="77777777" w:rsidR="009B12B1" w:rsidRDefault="009B12B1" w:rsidP="00894B0F">
      <w:pPr>
        <w:ind w:left="691"/>
        <w:jc w:val="right"/>
        <w:rPr>
          <w:rFonts w:cs="Arial"/>
        </w:rPr>
      </w:pPr>
    </w:p>
    <w:p w14:paraId="1444015A" w14:textId="77777777" w:rsidR="00000F16" w:rsidRPr="009624B9" w:rsidRDefault="00000F16" w:rsidP="00894B0F">
      <w:pPr>
        <w:ind w:left="691"/>
        <w:jc w:val="right"/>
        <w:rPr>
          <w:rFonts w:cs="Arial"/>
        </w:rPr>
      </w:pPr>
    </w:p>
    <w:p w14:paraId="00BE9EC7" w14:textId="77777777" w:rsidR="00B92CBC" w:rsidRDefault="00B92CBC" w:rsidP="00894B0F">
      <w:pPr>
        <w:pStyle w:val="BodyText"/>
        <w:tabs>
          <w:tab w:val="left" w:pos="567"/>
        </w:tabs>
        <w:spacing w:before="120"/>
        <w:outlineLvl w:val="0"/>
        <w:rPr>
          <w:rFonts w:cs="Arial"/>
          <w:b/>
          <w:sz w:val="22"/>
          <w:szCs w:val="22"/>
        </w:rPr>
      </w:pPr>
    </w:p>
    <w:p w14:paraId="7AB0A17D" w14:textId="77777777" w:rsidR="00B92CBC" w:rsidRDefault="00B92CBC" w:rsidP="00894B0F">
      <w:pPr>
        <w:pStyle w:val="BodyText"/>
        <w:tabs>
          <w:tab w:val="left" w:pos="567"/>
        </w:tabs>
        <w:spacing w:before="120"/>
        <w:outlineLvl w:val="0"/>
        <w:rPr>
          <w:rFonts w:cs="Arial"/>
          <w:b/>
          <w:sz w:val="22"/>
          <w:szCs w:val="22"/>
        </w:rPr>
      </w:pPr>
    </w:p>
    <w:p w14:paraId="03DDB8FF" w14:textId="77777777" w:rsidR="00B92CBC" w:rsidRDefault="00B92CBC" w:rsidP="00894B0F">
      <w:pPr>
        <w:pStyle w:val="BodyText"/>
        <w:tabs>
          <w:tab w:val="left" w:pos="567"/>
        </w:tabs>
        <w:spacing w:before="120"/>
        <w:outlineLvl w:val="0"/>
        <w:rPr>
          <w:rFonts w:cs="Arial"/>
          <w:b/>
          <w:sz w:val="22"/>
          <w:szCs w:val="22"/>
        </w:rPr>
      </w:pPr>
    </w:p>
    <w:p w14:paraId="0E7E7599" w14:textId="77777777" w:rsidR="00B92CBC" w:rsidRDefault="00B92CBC" w:rsidP="00894B0F">
      <w:pPr>
        <w:pStyle w:val="BodyText"/>
        <w:tabs>
          <w:tab w:val="left" w:pos="567"/>
        </w:tabs>
        <w:spacing w:before="120"/>
        <w:outlineLvl w:val="0"/>
        <w:rPr>
          <w:rFonts w:cs="Arial"/>
          <w:b/>
          <w:sz w:val="22"/>
          <w:szCs w:val="22"/>
        </w:rPr>
      </w:pPr>
    </w:p>
    <w:p w14:paraId="391A5FC4" w14:textId="20E68CB0" w:rsidR="00B92CBC" w:rsidRDefault="00B92CBC" w:rsidP="00894B0F">
      <w:pPr>
        <w:pStyle w:val="BodyText"/>
        <w:tabs>
          <w:tab w:val="left" w:pos="567"/>
        </w:tabs>
        <w:spacing w:before="120"/>
        <w:outlineLvl w:val="0"/>
        <w:rPr>
          <w:rFonts w:cs="Arial"/>
          <w:b/>
          <w:sz w:val="22"/>
          <w:szCs w:val="22"/>
        </w:rPr>
      </w:pPr>
    </w:p>
    <w:p w14:paraId="6C766662" w14:textId="77777777" w:rsidR="00B92CBC" w:rsidRDefault="00B92CBC" w:rsidP="00894B0F">
      <w:pPr>
        <w:pStyle w:val="BodyText"/>
        <w:tabs>
          <w:tab w:val="left" w:pos="567"/>
        </w:tabs>
        <w:spacing w:before="120"/>
        <w:outlineLvl w:val="0"/>
        <w:rPr>
          <w:rFonts w:cs="Arial"/>
          <w:b/>
          <w:sz w:val="22"/>
          <w:szCs w:val="22"/>
        </w:rPr>
      </w:pPr>
    </w:p>
    <w:p w14:paraId="016DE611" w14:textId="782BF8A5" w:rsidR="00862A46" w:rsidRPr="00E96783" w:rsidRDefault="00064C3E" w:rsidP="00894B0F">
      <w:pPr>
        <w:pStyle w:val="BodyText"/>
        <w:tabs>
          <w:tab w:val="left" w:pos="567"/>
        </w:tabs>
        <w:spacing w:before="120"/>
        <w:outlineLvl w:val="0"/>
        <w:rPr>
          <w:rFonts w:cs="Arial"/>
          <w:bCs/>
          <w:sz w:val="22"/>
          <w:szCs w:val="22"/>
        </w:rPr>
      </w:pPr>
      <w:r>
        <w:rPr>
          <w:rFonts w:cs="Arial"/>
          <w:b/>
          <w:sz w:val="22"/>
          <w:szCs w:val="22"/>
        </w:rPr>
        <w:t xml:space="preserve">Counsel for the </w:t>
      </w:r>
      <w:r w:rsidR="00DC397F">
        <w:rPr>
          <w:rFonts w:cs="Arial"/>
          <w:b/>
          <w:sz w:val="22"/>
          <w:szCs w:val="22"/>
        </w:rPr>
        <w:t>App</w:t>
      </w:r>
      <w:r w:rsidR="008F394A">
        <w:rPr>
          <w:rFonts w:cs="Arial"/>
          <w:b/>
          <w:sz w:val="22"/>
          <w:szCs w:val="22"/>
        </w:rPr>
        <w:t>licant</w:t>
      </w:r>
      <w:r w:rsidR="00DC397F">
        <w:rPr>
          <w:rFonts w:cs="Arial"/>
          <w:b/>
          <w:sz w:val="22"/>
          <w:szCs w:val="22"/>
        </w:rPr>
        <w:t>:</w:t>
      </w:r>
      <w:r w:rsidR="009003AC">
        <w:rPr>
          <w:rFonts w:cs="Arial"/>
          <w:b/>
          <w:sz w:val="22"/>
          <w:szCs w:val="22"/>
        </w:rPr>
        <w:t xml:space="preserve"> </w:t>
      </w:r>
      <w:r w:rsidR="009003AC" w:rsidRPr="00E96783">
        <w:rPr>
          <w:rFonts w:cs="Arial"/>
          <w:bCs/>
          <w:sz w:val="22"/>
          <w:szCs w:val="22"/>
        </w:rPr>
        <w:t xml:space="preserve">Adv </w:t>
      </w:r>
      <w:r w:rsidR="00177577">
        <w:rPr>
          <w:rFonts w:cs="Arial"/>
          <w:bCs/>
          <w:sz w:val="22"/>
          <w:szCs w:val="22"/>
        </w:rPr>
        <w:t>Clinton Mc Aslin SC and Adv Mohammed Desai</w:t>
      </w:r>
    </w:p>
    <w:p w14:paraId="4F209304" w14:textId="20B25DE0" w:rsidR="00CE6920" w:rsidRPr="00DC397F" w:rsidRDefault="00321949" w:rsidP="00894B0F">
      <w:pPr>
        <w:pStyle w:val="BodyText"/>
        <w:tabs>
          <w:tab w:val="left" w:pos="567"/>
        </w:tabs>
        <w:spacing w:before="120"/>
        <w:rPr>
          <w:rFonts w:cs="Arial"/>
          <w:sz w:val="22"/>
          <w:szCs w:val="22"/>
        </w:rPr>
      </w:pPr>
      <w:r w:rsidRPr="00064C3E">
        <w:rPr>
          <w:rFonts w:cs="Arial"/>
          <w:b/>
          <w:sz w:val="22"/>
          <w:szCs w:val="22"/>
        </w:rPr>
        <w:t>Instructed by</w:t>
      </w:r>
      <w:r w:rsidRPr="009624B9">
        <w:rPr>
          <w:rFonts w:cs="Arial"/>
          <w:sz w:val="22"/>
          <w:szCs w:val="22"/>
        </w:rPr>
        <w:t xml:space="preserve">: </w:t>
      </w:r>
      <w:r w:rsidR="008834F1">
        <w:rPr>
          <w:rFonts w:cs="Arial"/>
          <w:sz w:val="22"/>
          <w:szCs w:val="22"/>
        </w:rPr>
        <w:t xml:space="preserve"> LNP Attorneys Inc</w:t>
      </w:r>
    </w:p>
    <w:p w14:paraId="29DF9E5E" w14:textId="41D07769" w:rsidR="00064C3E" w:rsidRPr="00177577" w:rsidRDefault="00064C3E" w:rsidP="00894B0F">
      <w:pPr>
        <w:pStyle w:val="BodyText"/>
        <w:tabs>
          <w:tab w:val="left" w:pos="567"/>
        </w:tabs>
        <w:spacing w:before="120"/>
        <w:rPr>
          <w:rFonts w:cs="Arial"/>
          <w:bCs/>
          <w:sz w:val="22"/>
          <w:szCs w:val="22"/>
        </w:rPr>
      </w:pPr>
      <w:r w:rsidRPr="00064C3E">
        <w:rPr>
          <w:rFonts w:cs="Arial"/>
          <w:b/>
          <w:sz w:val="22"/>
          <w:szCs w:val="22"/>
        </w:rPr>
        <w:t xml:space="preserve">Counsel for the </w:t>
      </w:r>
      <w:r w:rsidR="008F394A">
        <w:rPr>
          <w:rFonts w:cs="Arial"/>
          <w:b/>
          <w:sz w:val="22"/>
          <w:szCs w:val="22"/>
        </w:rPr>
        <w:t>2</w:t>
      </w:r>
      <w:r w:rsidR="008F394A" w:rsidRPr="008F394A">
        <w:rPr>
          <w:rFonts w:cs="Arial"/>
          <w:b/>
          <w:sz w:val="22"/>
          <w:szCs w:val="22"/>
          <w:vertAlign w:val="superscript"/>
        </w:rPr>
        <w:t>nd</w:t>
      </w:r>
      <w:r w:rsidR="008F394A">
        <w:rPr>
          <w:rFonts w:cs="Arial"/>
          <w:b/>
          <w:sz w:val="22"/>
          <w:szCs w:val="22"/>
        </w:rPr>
        <w:t xml:space="preserve"> </w:t>
      </w:r>
      <w:r w:rsidR="00BE4C7A">
        <w:rPr>
          <w:rFonts w:cs="Arial"/>
          <w:b/>
          <w:sz w:val="22"/>
          <w:szCs w:val="22"/>
        </w:rPr>
        <w:t xml:space="preserve">Respondent: </w:t>
      </w:r>
      <w:r w:rsidR="00177577">
        <w:rPr>
          <w:rFonts w:cs="Arial"/>
          <w:bCs/>
          <w:sz w:val="22"/>
          <w:szCs w:val="22"/>
        </w:rPr>
        <w:t xml:space="preserve">Adv </w:t>
      </w:r>
      <w:r w:rsidR="006F0712">
        <w:rPr>
          <w:rFonts w:cs="Arial"/>
          <w:bCs/>
          <w:sz w:val="22"/>
          <w:szCs w:val="22"/>
        </w:rPr>
        <w:t>Herman van Vuuren SC and Adv Dominic Hodge</w:t>
      </w:r>
    </w:p>
    <w:p w14:paraId="5395692B" w14:textId="2023AF03" w:rsidR="00CE6920" w:rsidRDefault="00321949" w:rsidP="00894B0F">
      <w:pPr>
        <w:pStyle w:val="BodyText"/>
        <w:tabs>
          <w:tab w:val="left" w:pos="567"/>
        </w:tabs>
        <w:spacing w:before="120"/>
        <w:rPr>
          <w:rFonts w:cs="Arial"/>
          <w:sz w:val="22"/>
          <w:szCs w:val="22"/>
        </w:rPr>
      </w:pPr>
      <w:r w:rsidRPr="00064C3E">
        <w:rPr>
          <w:rFonts w:cs="Arial"/>
          <w:b/>
          <w:sz w:val="22"/>
          <w:szCs w:val="22"/>
        </w:rPr>
        <w:t>Instructed by</w:t>
      </w:r>
      <w:r w:rsidRPr="009624B9">
        <w:rPr>
          <w:rFonts w:cs="Arial"/>
          <w:sz w:val="22"/>
          <w:szCs w:val="22"/>
        </w:rPr>
        <w:t xml:space="preserve">: </w:t>
      </w:r>
      <w:r w:rsidR="008834F1">
        <w:rPr>
          <w:rFonts w:cs="Arial"/>
          <w:sz w:val="22"/>
          <w:szCs w:val="22"/>
        </w:rPr>
        <w:t>Tiefenthaler Attorneys Inc</w:t>
      </w:r>
    </w:p>
    <w:p w14:paraId="53FD349C" w14:textId="0EF6B078" w:rsidR="00D67F35" w:rsidRPr="00604E98" w:rsidRDefault="008F394A" w:rsidP="00894B0F">
      <w:pPr>
        <w:pStyle w:val="BodyText"/>
        <w:tabs>
          <w:tab w:val="left" w:pos="567"/>
        </w:tabs>
        <w:spacing w:before="120"/>
        <w:rPr>
          <w:rFonts w:cs="Arial"/>
          <w:b/>
          <w:bCs/>
          <w:sz w:val="22"/>
          <w:szCs w:val="22"/>
        </w:rPr>
      </w:pPr>
      <w:r w:rsidRPr="00604E98">
        <w:rPr>
          <w:rFonts w:cs="Arial"/>
          <w:b/>
          <w:bCs/>
          <w:sz w:val="22"/>
          <w:szCs w:val="22"/>
        </w:rPr>
        <w:t>Counsel for the 3</w:t>
      </w:r>
      <w:r w:rsidRPr="00604E98">
        <w:rPr>
          <w:rFonts w:cs="Arial"/>
          <w:b/>
          <w:bCs/>
          <w:sz w:val="22"/>
          <w:szCs w:val="22"/>
          <w:vertAlign w:val="superscript"/>
        </w:rPr>
        <w:t>rd</w:t>
      </w:r>
      <w:r w:rsidRPr="00604E98">
        <w:rPr>
          <w:rFonts w:cs="Arial"/>
          <w:b/>
          <w:bCs/>
          <w:sz w:val="22"/>
          <w:szCs w:val="22"/>
        </w:rPr>
        <w:t xml:space="preserve"> Respondent: </w:t>
      </w:r>
      <w:r w:rsidR="007D5BBE" w:rsidRPr="007D5BBE">
        <w:rPr>
          <w:rFonts w:cs="Arial"/>
          <w:sz w:val="22"/>
          <w:szCs w:val="22"/>
        </w:rPr>
        <w:t>Counsel present on a watching brief</w:t>
      </w:r>
    </w:p>
    <w:p w14:paraId="4DA8DCD7" w14:textId="2D6A9246" w:rsidR="00DC397F" w:rsidRDefault="00321949" w:rsidP="00894B0F">
      <w:pPr>
        <w:pStyle w:val="BodyText"/>
        <w:tabs>
          <w:tab w:val="left" w:pos="567"/>
        </w:tabs>
        <w:spacing w:before="120"/>
        <w:rPr>
          <w:rFonts w:cs="Arial"/>
          <w:sz w:val="22"/>
          <w:szCs w:val="22"/>
        </w:rPr>
      </w:pPr>
      <w:r w:rsidRPr="00000F16">
        <w:rPr>
          <w:rFonts w:cs="Arial"/>
          <w:b/>
          <w:sz w:val="22"/>
          <w:szCs w:val="22"/>
        </w:rPr>
        <w:t>Date of hearing</w:t>
      </w:r>
      <w:r w:rsidRPr="009624B9">
        <w:rPr>
          <w:rFonts w:cs="Arial"/>
          <w:sz w:val="22"/>
          <w:szCs w:val="22"/>
        </w:rPr>
        <w:t xml:space="preserve">: </w:t>
      </w:r>
      <w:r w:rsidR="006D7750">
        <w:rPr>
          <w:rFonts w:cs="Arial"/>
          <w:sz w:val="22"/>
          <w:szCs w:val="22"/>
        </w:rPr>
        <w:t>2</w:t>
      </w:r>
      <w:r w:rsidR="00CE1912">
        <w:rPr>
          <w:rFonts w:cs="Arial"/>
          <w:sz w:val="22"/>
          <w:szCs w:val="22"/>
        </w:rPr>
        <w:t xml:space="preserve">3 </w:t>
      </w:r>
      <w:r w:rsidR="006D7750">
        <w:rPr>
          <w:rFonts w:cs="Arial"/>
          <w:sz w:val="22"/>
          <w:szCs w:val="22"/>
        </w:rPr>
        <w:t>May 2023</w:t>
      </w:r>
    </w:p>
    <w:p w14:paraId="151354EB" w14:textId="49955E20" w:rsidR="00340548" w:rsidRPr="00000F16" w:rsidRDefault="00340548" w:rsidP="00894B0F">
      <w:pPr>
        <w:pStyle w:val="BodyText"/>
        <w:tabs>
          <w:tab w:val="left" w:pos="567"/>
        </w:tabs>
        <w:spacing w:before="120"/>
        <w:rPr>
          <w:rFonts w:cs="Arial"/>
          <w:b/>
          <w:sz w:val="22"/>
          <w:szCs w:val="22"/>
        </w:rPr>
      </w:pPr>
      <w:r w:rsidRPr="00604E98">
        <w:rPr>
          <w:rFonts w:cs="Arial"/>
          <w:b/>
          <w:bCs/>
          <w:sz w:val="22"/>
          <w:szCs w:val="22"/>
        </w:rPr>
        <w:t>Date of Order:</w:t>
      </w:r>
      <w:r>
        <w:rPr>
          <w:rFonts w:cs="Arial"/>
          <w:sz w:val="22"/>
          <w:szCs w:val="22"/>
        </w:rPr>
        <w:t xml:space="preserve"> 10 November 2023</w:t>
      </w:r>
    </w:p>
    <w:p w14:paraId="74420823" w14:textId="77C11F70" w:rsidR="00321949" w:rsidRPr="006D7750" w:rsidRDefault="00321949" w:rsidP="00894B0F">
      <w:pPr>
        <w:pStyle w:val="BodyText"/>
        <w:rPr>
          <w:rFonts w:cs="Arial"/>
          <w:bCs/>
          <w:sz w:val="24"/>
          <w:szCs w:val="24"/>
        </w:rPr>
      </w:pPr>
      <w:r w:rsidRPr="00604E98">
        <w:rPr>
          <w:rFonts w:cs="Arial"/>
          <w:b/>
          <w:sz w:val="22"/>
          <w:szCs w:val="22"/>
        </w:rPr>
        <w:t>Date of Judgment</w:t>
      </w:r>
      <w:r w:rsidR="00CE6920" w:rsidRPr="00604E98">
        <w:rPr>
          <w:rFonts w:cs="Arial"/>
          <w:b/>
          <w:sz w:val="22"/>
          <w:szCs w:val="22"/>
        </w:rPr>
        <w:t>:</w:t>
      </w:r>
      <w:r w:rsidR="003B5622" w:rsidRPr="00604E98">
        <w:rPr>
          <w:rFonts w:cs="Arial"/>
          <w:b/>
          <w:sz w:val="22"/>
          <w:szCs w:val="22"/>
        </w:rPr>
        <w:t xml:space="preserve"> </w:t>
      </w:r>
      <w:r w:rsidR="006D7750">
        <w:rPr>
          <w:rFonts w:cs="Arial"/>
          <w:b/>
          <w:sz w:val="22"/>
          <w:szCs w:val="22"/>
        </w:rPr>
        <w:t xml:space="preserve"> </w:t>
      </w:r>
      <w:r w:rsidR="006D7750">
        <w:rPr>
          <w:rFonts w:cs="Arial"/>
          <w:bCs/>
          <w:sz w:val="22"/>
          <w:szCs w:val="22"/>
        </w:rPr>
        <w:t>7 December 2023</w:t>
      </w:r>
    </w:p>
    <w:sectPr w:rsidR="00321949" w:rsidRPr="006D7750" w:rsidSect="006E45F7">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7C8C1" w14:textId="77777777" w:rsidR="00941513" w:rsidRDefault="00941513" w:rsidP="00115245">
      <w:r>
        <w:separator/>
      </w:r>
    </w:p>
  </w:endnote>
  <w:endnote w:type="continuationSeparator" w:id="0">
    <w:p w14:paraId="0097919E" w14:textId="77777777" w:rsidR="00941513" w:rsidRDefault="00941513"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679E9" w14:textId="77777777" w:rsidR="00941513" w:rsidRDefault="00941513" w:rsidP="00115245">
      <w:r>
        <w:separator/>
      </w:r>
    </w:p>
  </w:footnote>
  <w:footnote w:type="continuationSeparator" w:id="0">
    <w:p w14:paraId="7B15D192" w14:textId="77777777" w:rsidR="00941513" w:rsidRDefault="00941513" w:rsidP="00115245">
      <w:r>
        <w:continuationSeparator/>
      </w:r>
    </w:p>
  </w:footnote>
  <w:footnote w:id="1">
    <w:p w14:paraId="7952D9B0" w14:textId="6370B401" w:rsidR="0001351A" w:rsidRPr="0083621B" w:rsidRDefault="0001351A" w:rsidP="005B7805">
      <w:pPr>
        <w:pStyle w:val="NormalWeb"/>
        <w:rPr>
          <w:rFonts w:ascii="Times New Roman" w:hAnsi="Times New Roman"/>
          <w:sz w:val="18"/>
          <w:szCs w:val="18"/>
          <w:lang w:val="en-ZA"/>
        </w:rPr>
      </w:pPr>
      <w:r w:rsidRPr="0083621B">
        <w:rPr>
          <w:rStyle w:val="FootnoteReference"/>
          <w:sz w:val="18"/>
          <w:szCs w:val="18"/>
        </w:rPr>
        <w:footnoteRef/>
      </w:r>
      <w:r w:rsidRPr="0083621B">
        <w:rPr>
          <w:sz w:val="18"/>
          <w:szCs w:val="18"/>
        </w:rPr>
        <w:t xml:space="preserve"> </w:t>
      </w:r>
      <w:r w:rsidRPr="0083621B">
        <w:rPr>
          <w:rFonts w:cs="Arial"/>
          <w:i/>
          <w:sz w:val="18"/>
          <w:szCs w:val="18"/>
          <w:lang w:val="en-ZA"/>
        </w:rPr>
        <w:t>Webster v Mitchell</w:t>
      </w:r>
      <w:r w:rsidRPr="0083621B">
        <w:rPr>
          <w:rFonts w:cs="Arial"/>
          <w:sz w:val="18"/>
          <w:szCs w:val="18"/>
          <w:lang w:val="en-ZA"/>
        </w:rPr>
        <w:t xml:space="preserve"> </w:t>
      </w:r>
      <w:r w:rsidRPr="0083621B">
        <w:rPr>
          <w:rFonts w:ascii="ArialMT" w:hAnsi="ArialMT"/>
          <w:sz w:val="18"/>
          <w:szCs w:val="18"/>
          <w:lang w:val="en-ZA"/>
        </w:rPr>
        <w:t xml:space="preserve">1948 (1) SA 1186 (W.L.D.) at 1189 </w:t>
      </w:r>
    </w:p>
  </w:footnote>
  <w:footnote w:id="2">
    <w:p w14:paraId="42FB3BCB" w14:textId="637AE9D6" w:rsidR="00856891" w:rsidRPr="0083621B" w:rsidRDefault="00856891">
      <w:pPr>
        <w:pStyle w:val="FootnoteText"/>
        <w:rPr>
          <w:szCs w:val="18"/>
          <w:lang w:val="en-US"/>
        </w:rPr>
      </w:pPr>
      <w:r w:rsidRPr="0083621B">
        <w:rPr>
          <w:rStyle w:val="FootnoteReference"/>
          <w:szCs w:val="18"/>
        </w:rPr>
        <w:footnoteRef/>
      </w:r>
      <w:r w:rsidRPr="0083621B">
        <w:rPr>
          <w:szCs w:val="18"/>
        </w:rPr>
        <w:t xml:space="preserve"> </w:t>
      </w:r>
      <w:r w:rsidRPr="0083621B">
        <w:rPr>
          <w:szCs w:val="18"/>
          <w:lang w:val="en-US"/>
        </w:rPr>
        <w:t xml:space="preserve">ibid </w:t>
      </w:r>
    </w:p>
  </w:footnote>
  <w:footnote w:id="3">
    <w:p w14:paraId="51754293" w14:textId="018B9263" w:rsidR="00856891" w:rsidRPr="0083621B" w:rsidRDefault="00856891" w:rsidP="00856891">
      <w:pPr>
        <w:pStyle w:val="Heading2"/>
        <w:spacing w:after="180" w:line="288" w:lineRule="atLeast"/>
        <w:rPr>
          <w:rFonts w:cs="Arial"/>
          <w:b w:val="0"/>
          <w:bCs w:val="0"/>
          <w:i w:val="0"/>
          <w:sz w:val="18"/>
          <w:szCs w:val="18"/>
          <w:lang w:val="en-ZA" w:eastAsia="en-GB"/>
        </w:rPr>
      </w:pPr>
      <w:r w:rsidRPr="0083621B">
        <w:rPr>
          <w:rStyle w:val="FootnoteReference"/>
          <w:b w:val="0"/>
          <w:i w:val="0"/>
          <w:sz w:val="18"/>
          <w:szCs w:val="18"/>
        </w:rPr>
        <w:footnoteRef/>
      </w:r>
      <w:r w:rsidRPr="0083621B">
        <w:rPr>
          <w:b w:val="0"/>
          <w:i w:val="0"/>
          <w:sz w:val="18"/>
          <w:szCs w:val="18"/>
        </w:rPr>
        <w:t xml:space="preserve"> </w:t>
      </w:r>
      <w:r w:rsidRPr="0083621B">
        <w:rPr>
          <w:rFonts w:cs="Arial"/>
          <w:b w:val="0"/>
          <w:bCs w:val="0"/>
          <w:sz w:val="18"/>
          <w:szCs w:val="18"/>
          <w:lang w:val="en-ZA" w:eastAsia="en-GB"/>
        </w:rPr>
        <w:t>Plascon-Eva</w:t>
      </w:r>
      <w:r w:rsidR="0083621B" w:rsidRPr="0083621B">
        <w:rPr>
          <w:rFonts w:cs="Arial"/>
          <w:b w:val="0"/>
          <w:bCs w:val="0"/>
          <w:sz w:val="18"/>
          <w:szCs w:val="18"/>
          <w:lang w:val="en-ZA" w:eastAsia="en-GB"/>
        </w:rPr>
        <w:t>ns Paints (TVL) Ltd. v Van Riebee</w:t>
      </w:r>
      <w:r w:rsidRPr="0083621B">
        <w:rPr>
          <w:rFonts w:cs="Arial"/>
          <w:b w:val="0"/>
          <w:bCs w:val="0"/>
          <w:sz w:val="18"/>
          <w:szCs w:val="18"/>
          <w:lang w:val="en-ZA" w:eastAsia="en-GB"/>
        </w:rPr>
        <w:t>ck</w:t>
      </w:r>
      <w:r w:rsidR="0083621B" w:rsidRPr="0083621B">
        <w:rPr>
          <w:rFonts w:cs="Arial"/>
          <w:b w:val="0"/>
          <w:bCs w:val="0"/>
          <w:sz w:val="18"/>
          <w:szCs w:val="18"/>
          <w:lang w:val="en-ZA" w:eastAsia="en-GB"/>
        </w:rPr>
        <w:t xml:space="preserve"> Paints (Pty) Ltd</w:t>
      </w:r>
      <w:r w:rsidR="0083621B">
        <w:rPr>
          <w:rFonts w:cs="Arial"/>
          <w:b w:val="0"/>
          <w:bCs w:val="0"/>
          <w:i w:val="0"/>
          <w:sz w:val="18"/>
          <w:szCs w:val="18"/>
          <w:lang w:val="en-ZA" w:eastAsia="en-GB"/>
        </w:rPr>
        <w:t>,</w:t>
      </w:r>
      <w:r w:rsidRPr="0083621B">
        <w:rPr>
          <w:rFonts w:cs="Arial"/>
          <w:b w:val="0"/>
          <w:bCs w:val="0"/>
          <w:i w:val="0"/>
          <w:sz w:val="18"/>
          <w:szCs w:val="18"/>
          <w:lang w:val="en-ZA" w:eastAsia="en-GB"/>
        </w:rPr>
        <w:t xml:space="preserve"> (53/84) [1984] ZASCA 51; [1984] 2 All SA 366 (A); 1984 (3) SA 623; 1984 (3) SA 620 (21 May 1984)</w:t>
      </w:r>
    </w:p>
    <w:p w14:paraId="11F8F938" w14:textId="1A87EB0E" w:rsidR="00856891" w:rsidRPr="0083621B" w:rsidRDefault="00856891">
      <w:pPr>
        <w:pStyle w:val="FootnoteText"/>
        <w:rPr>
          <w:rFonts w:cs="Arial"/>
          <w:szCs w:val="18"/>
          <w:lang w:val="en-ZA" w:eastAsia="en-GB"/>
        </w:rPr>
      </w:pPr>
    </w:p>
  </w:footnote>
  <w:footnote w:id="4">
    <w:p w14:paraId="07F66573" w14:textId="77777777" w:rsidR="00216294" w:rsidRPr="00367A42" w:rsidRDefault="00216294" w:rsidP="00216294">
      <w:pPr>
        <w:pStyle w:val="FootnoteText"/>
        <w:rPr>
          <w:sz w:val="20"/>
          <w:szCs w:val="20"/>
          <w:lang w:val="en-US"/>
        </w:rPr>
      </w:pPr>
      <w:r w:rsidRPr="005866AE">
        <w:rPr>
          <w:rStyle w:val="FootnoteReference"/>
          <w:sz w:val="20"/>
          <w:szCs w:val="20"/>
        </w:rPr>
        <w:footnoteRef/>
      </w:r>
      <w:r w:rsidRPr="005866AE">
        <w:rPr>
          <w:sz w:val="20"/>
          <w:szCs w:val="20"/>
        </w:rPr>
        <w:t xml:space="preserve"> </w:t>
      </w:r>
      <w:r w:rsidRPr="005866AE">
        <w:rPr>
          <w:rFonts w:cs="Arial"/>
          <w:sz w:val="20"/>
          <w:szCs w:val="20"/>
          <w:lang w:val="en-US"/>
        </w:rPr>
        <w:t>[</w:t>
      </w:r>
      <w:r w:rsidRPr="00367A42">
        <w:rPr>
          <w:rFonts w:cs="Arial"/>
          <w:sz w:val="20"/>
          <w:szCs w:val="20"/>
          <w:lang w:val="en-US"/>
        </w:rPr>
        <w:t>2014] 1 All SA 307 (SCA)</w:t>
      </w:r>
    </w:p>
  </w:footnote>
  <w:footnote w:id="5">
    <w:p w14:paraId="446F7842" w14:textId="5ACA6CF4" w:rsidR="00354CA1" w:rsidRPr="00DE563B" w:rsidRDefault="00354CA1">
      <w:pPr>
        <w:pStyle w:val="FootnoteText"/>
        <w:rPr>
          <w:sz w:val="20"/>
          <w:szCs w:val="20"/>
          <w:lang w:val="en-US"/>
        </w:rPr>
      </w:pPr>
      <w:r>
        <w:rPr>
          <w:rStyle w:val="FootnoteReference"/>
        </w:rPr>
        <w:footnoteRef/>
      </w:r>
      <w:r>
        <w:t xml:space="preserve">  </w:t>
      </w:r>
      <w:r w:rsidRPr="00DE563B">
        <w:rPr>
          <w:rFonts w:cs="Arial"/>
          <w:sz w:val="20"/>
          <w:szCs w:val="20"/>
        </w:rPr>
        <w:t xml:space="preserve">1996 (1) SA 812 (A)   </w:t>
      </w:r>
    </w:p>
  </w:footnote>
  <w:footnote w:id="6">
    <w:p w14:paraId="0FE65EED" w14:textId="2569AC53" w:rsidR="003F7DD4" w:rsidRPr="00DE563B" w:rsidRDefault="003F7DD4">
      <w:pPr>
        <w:pStyle w:val="FootnoteText"/>
        <w:rPr>
          <w:sz w:val="20"/>
          <w:szCs w:val="20"/>
          <w:lang w:val="en-US"/>
        </w:rPr>
      </w:pPr>
      <w:r w:rsidRPr="00DE563B">
        <w:rPr>
          <w:rStyle w:val="FootnoteReference"/>
          <w:sz w:val="20"/>
          <w:szCs w:val="20"/>
        </w:rPr>
        <w:footnoteRef/>
      </w:r>
      <w:r w:rsidRPr="00DE563B">
        <w:rPr>
          <w:sz w:val="20"/>
          <w:szCs w:val="20"/>
        </w:rPr>
        <w:t xml:space="preserve">  </w:t>
      </w:r>
      <w:r w:rsidRPr="00DE563B">
        <w:rPr>
          <w:rFonts w:cs="Arial"/>
          <w:sz w:val="20"/>
          <w:szCs w:val="20"/>
        </w:rPr>
        <w:t xml:space="preserve">This was confirmed in </w:t>
      </w:r>
      <w:r w:rsidRPr="00DE563B">
        <w:rPr>
          <w:rFonts w:cs="Arial"/>
          <w:i/>
          <w:sz w:val="20"/>
          <w:szCs w:val="20"/>
        </w:rPr>
        <w:t>Casey v FirstRand Bank Ltd</w:t>
      </w:r>
      <w:r w:rsidRPr="00DE563B">
        <w:rPr>
          <w:rFonts w:cs="Arial"/>
          <w:sz w:val="20"/>
          <w:szCs w:val="20"/>
        </w:rPr>
        <w:t xml:space="preserve"> </w:t>
      </w:r>
      <w:r w:rsidR="00892060" w:rsidRPr="00DE563B">
        <w:rPr>
          <w:rFonts w:cs="Arial"/>
          <w:sz w:val="20"/>
          <w:szCs w:val="20"/>
        </w:rPr>
        <w:t xml:space="preserve">, </w:t>
      </w:r>
      <w:r w:rsidRPr="00DE563B">
        <w:rPr>
          <w:rFonts w:cs="Arial"/>
          <w:sz w:val="20"/>
          <w:szCs w:val="20"/>
        </w:rPr>
        <w:t>2014 (2) SA 374 (SCA)</w:t>
      </w:r>
    </w:p>
  </w:footnote>
  <w:footnote w:id="7">
    <w:p w14:paraId="091F588B" w14:textId="5430FA87" w:rsidR="00C555C2" w:rsidRPr="00DE563B" w:rsidRDefault="00C555C2">
      <w:pPr>
        <w:pStyle w:val="FootnoteText"/>
        <w:rPr>
          <w:sz w:val="20"/>
          <w:szCs w:val="20"/>
          <w:lang w:val="en-US"/>
        </w:rPr>
      </w:pPr>
      <w:r w:rsidRPr="00DE563B">
        <w:rPr>
          <w:rStyle w:val="FootnoteReference"/>
          <w:sz w:val="20"/>
          <w:szCs w:val="20"/>
        </w:rPr>
        <w:footnoteRef/>
      </w:r>
      <w:r w:rsidRPr="00DE563B">
        <w:rPr>
          <w:sz w:val="20"/>
          <w:szCs w:val="20"/>
        </w:rPr>
        <w:t xml:space="preserve"> </w:t>
      </w:r>
      <w:r w:rsidRPr="00DE563B">
        <w:rPr>
          <w:sz w:val="20"/>
          <w:szCs w:val="20"/>
          <w:lang w:val="en-US"/>
        </w:rPr>
        <w:t xml:space="preserve"> </w:t>
      </w:r>
      <w:r w:rsidR="00755470" w:rsidRPr="00DE563B">
        <w:rPr>
          <w:i/>
          <w:iCs/>
          <w:sz w:val="20"/>
          <w:szCs w:val="20"/>
          <w:lang w:val="en-US"/>
        </w:rPr>
        <w:t>Coface SA v East London Own Haven</w:t>
      </w:r>
      <w:r w:rsidR="00755470" w:rsidRPr="00DE563B">
        <w:rPr>
          <w:sz w:val="20"/>
          <w:szCs w:val="20"/>
          <w:lang w:val="en-US"/>
        </w:rPr>
        <w:t>, 2014 (2) SA 382 (SCA) at para [23]</w:t>
      </w:r>
    </w:p>
  </w:footnote>
  <w:footnote w:id="8">
    <w:p w14:paraId="20B9E866" w14:textId="28BBB5F1" w:rsidR="00DE563B" w:rsidRPr="00DE563B" w:rsidRDefault="00DE563B" w:rsidP="004C1C13">
      <w:pPr>
        <w:pStyle w:val="1"/>
        <w:numPr>
          <w:ilvl w:val="0"/>
          <w:numId w:val="0"/>
        </w:numPr>
        <w:rPr>
          <w:sz w:val="20"/>
          <w:szCs w:val="20"/>
        </w:rPr>
      </w:pPr>
      <w:r w:rsidRPr="00DE563B">
        <w:rPr>
          <w:rStyle w:val="FootnoteReference"/>
          <w:sz w:val="20"/>
          <w:szCs w:val="20"/>
        </w:rPr>
        <w:footnoteRef/>
      </w:r>
      <w:r w:rsidRPr="00DE563B">
        <w:rPr>
          <w:sz w:val="20"/>
          <w:szCs w:val="20"/>
        </w:rPr>
        <w:t xml:space="preserve"> </w:t>
      </w:r>
      <w:r w:rsidRPr="00DE563B">
        <w:rPr>
          <w:sz w:val="20"/>
          <w:szCs w:val="20"/>
          <w:lang w:val="en-US"/>
        </w:rPr>
        <w:t xml:space="preserve"> </w:t>
      </w:r>
      <w:r w:rsidRPr="004C1C13">
        <w:rPr>
          <w:i/>
          <w:iCs w:val="0"/>
          <w:sz w:val="20"/>
          <w:szCs w:val="20"/>
        </w:rPr>
        <w:t xml:space="preserve">Lombard Insurance Co Ltd v Landmark Holdings </w:t>
      </w:r>
      <w:r w:rsidR="004C1C13">
        <w:rPr>
          <w:i/>
          <w:iCs w:val="0"/>
          <w:sz w:val="20"/>
          <w:szCs w:val="20"/>
        </w:rPr>
        <w:t>(</w:t>
      </w:r>
      <w:r w:rsidRPr="004C1C13">
        <w:rPr>
          <w:i/>
          <w:iCs w:val="0"/>
          <w:sz w:val="20"/>
          <w:szCs w:val="20"/>
        </w:rPr>
        <w:t>Pty) Ltd and Others</w:t>
      </w:r>
      <w:r w:rsidRPr="00DE563B">
        <w:rPr>
          <w:sz w:val="20"/>
          <w:szCs w:val="20"/>
        </w:rPr>
        <w:t xml:space="preserve">, 2010 (2) SA 86 (SCA) </w:t>
      </w:r>
    </w:p>
    <w:p w14:paraId="72A6EF77" w14:textId="17154F66" w:rsidR="00DE563B" w:rsidRPr="00DE563B" w:rsidRDefault="00DE563B">
      <w:pPr>
        <w:pStyle w:val="FootnoteText"/>
        <w:rPr>
          <w:lang w:val="en-US"/>
        </w:rPr>
      </w:pPr>
    </w:p>
  </w:footnote>
  <w:footnote w:id="9">
    <w:p w14:paraId="1F70B457" w14:textId="220919FD" w:rsidR="00F90845" w:rsidRPr="00BA3415" w:rsidRDefault="00F90845" w:rsidP="00BA3415">
      <w:pPr>
        <w:pStyle w:val="western"/>
        <w:spacing w:before="144" w:beforeAutospacing="0" w:after="461" w:afterAutospacing="0"/>
        <w:ind w:right="58"/>
        <w:rPr>
          <w:rFonts w:ascii="Verdana" w:hAnsi="Verdana"/>
          <w:color w:val="242121"/>
          <w:sz w:val="20"/>
          <w:szCs w:val="20"/>
        </w:rPr>
      </w:pPr>
      <w:r>
        <w:rPr>
          <w:rStyle w:val="FootnoteReference"/>
        </w:rPr>
        <w:footnoteRef/>
      </w:r>
      <w:r>
        <w:t xml:space="preserve"> </w:t>
      </w:r>
      <w:r w:rsidRPr="00BA3415">
        <w:rPr>
          <w:rFonts w:ascii="Arial" w:hAnsi="Arial" w:cs="Arial"/>
          <w:color w:val="000000"/>
          <w:sz w:val="20"/>
          <w:szCs w:val="20"/>
        </w:rPr>
        <w:t xml:space="preserve">The legal effect of a party’s failure to respond to an allegation </w:t>
      </w:r>
      <w:r>
        <w:rPr>
          <w:rFonts w:ascii="Arial" w:hAnsi="Arial" w:cs="Arial"/>
          <w:color w:val="000000"/>
          <w:sz w:val="20"/>
          <w:szCs w:val="20"/>
        </w:rPr>
        <w:t>which, if incorrect</w:t>
      </w:r>
      <w:r w:rsidR="00107041">
        <w:rPr>
          <w:rFonts w:ascii="Arial" w:hAnsi="Arial" w:cs="Arial"/>
          <w:color w:val="000000"/>
          <w:sz w:val="20"/>
          <w:szCs w:val="20"/>
        </w:rPr>
        <w:t>,</w:t>
      </w:r>
      <w:r>
        <w:rPr>
          <w:rFonts w:ascii="Arial" w:hAnsi="Arial" w:cs="Arial"/>
          <w:color w:val="000000"/>
          <w:sz w:val="20"/>
          <w:szCs w:val="20"/>
        </w:rPr>
        <w:t xml:space="preserve"> would normally be met with a firm</w:t>
      </w:r>
      <w:r w:rsidR="00107041">
        <w:rPr>
          <w:rFonts w:ascii="Arial" w:hAnsi="Arial" w:cs="Arial"/>
          <w:color w:val="000000"/>
          <w:sz w:val="20"/>
          <w:szCs w:val="20"/>
        </w:rPr>
        <w:t xml:space="preserve">: ‘No, that is not right, the correct position is as follows…’  </w:t>
      </w:r>
      <w:r>
        <w:rPr>
          <w:rFonts w:ascii="Arial" w:hAnsi="Arial" w:cs="Arial"/>
          <w:color w:val="000000"/>
          <w:sz w:val="20"/>
          <w:szCs w:val="20"/>
        </w:rPr>
        <w:t xml:space="preserve">is </w:t>
      </w:r>
      <w:r w:rsidRPr="00BA3415">
        <w:rPr>
          <w:rFonts w:ascii="Arial" w:hAnsi="Arial" w:cs="Arial"/>
          <w:color w:val="000000"/>
          <w:sz w:val="20"/>
          <w:szCs w:val="20"/>
        </w:rPr>
        <w:t>described in</w:t>
      </w:r>
      <w:r w:rsidRPr="00BA3415">
        <w:rPr>
          <w:rStyle w:val="apple-converted-space"/>
          <w:rFonts w:cs="Arial"/>
          <w:color w:val="000000"/>
          <w:sz w:val="20"/>
          <w:szCs w:val="20"/>
        </w:rPr>
        <w:t> </w:t>
      </w:r>
      <w:r w:rsidRPr="00BA3415">
        <w:rPr>
          <w:rFonts w:ascii="Arial" w:hAnsi="Arial" w:cs="Arial"/>
          <w:i/>
          <w:iCs/>
          <w:color w:val="000000"/>
          <w:sz w:val="20"/>
          <w:szCs w:val="20"/>
        </w:rPr>
        <w:t>McWilliams v First Consolidated Holdings (Pty) Ltd</w:t>
      </w:r>
      <w:r w:rsidRPr="00BA3415">
        <w:rPr>
          <w:rStyle w:val="apple-converted-space"/>
          <w:rFonts w:cs="Arial"/>
          <w:i/>
          <w:iCs/>
          <w:color w:val="000000"/>
          <w:sz w:val="20"/>
          <w:szCs w:val="20"/>
        </w:rPr>
        <w:t>  </w:t>
      </w:r>
      <w:hyperlink r:id="rId1" w:tooltip="View LawCiteRecord" w:history="1">
        <w:r w:rsidRPr="00BA3415">
          <w:rPr>
            <w:rStyle w:val="Hyperlink"/>
            <w:rFonts w:cs="Arial"/>
            <w:b/>
            <w:bCs/>
            <w:color w:val="0B4B0B"/>
            <w:sz w:val="20"/>
            <w:szCs w:val="20"/>
          </w:rPr>
          <w:t>1982 (2) SA 1</w:t>
        </w:r>
      </w:hyperlink>
      <w:r w:rsidRPr="00BA3415">
        <w:rPr>
          <w:rStyle w:val="apple-converted-space"/>
          <w:rFonts w:cs="Arial"/>
          <w:i/>
          <w:iCs/>
          <w:color w:val="000000"/>
          <w:sz w:val="20"/>
          <w:szCs w:val="20"/>
        </w:rPr>
        <w:t> </w:t>
      </w:r>
      <w:r w:rsidRPr="00BA3415">
        <w:rPr>
          <w:rFonts w:ascii="Arial" w:hAnsi="Arial" w:cs="Arial"/>
          <w:i/>
          <w:iCs/>
          <w:color w:val="000000"/>
          <w:sz w:val="20"/>
          <w:szCs w:val="20"/>
        </w:rPr>
        <w:t>(A)</w:t>
      </w:r>
      <w:r w:rsidRPr="00BA3415">
        <w:rPr>
          <w:rStyle w:val="apple-converted-space"/>
          <w:rFonts w:cs="Arial"/>
          <w:color w:val="000000"/>
          <w:sz w:val="20"/>
          <w:szCs w:val="20"/>
        </w:rPr>
        <w:t> </w:t>
      </w:r>
      <w:r w:rsidRPr="00BA3415">
        <w:rPr>
          <w:rFonts w:ascii="Arial" w:hAnsi="Arial" w:cs="Arial"/>
          <w:color w:val="000000"/>
          <w:sz w:val="20"/>
          <w:szCs w:val="20"/>
        </w:rPr>
        <w:t>at 10E-H:</w:t>
      </w:r>
    </w:p>
    <w:p w14:paraId="41C32235" w14:textId="77777777" w:rsidR="00F90845" w:rsidRPr="00BA3415" w:rsidRDefault="00F90845" w:rsidP="00BA3415">
      <w:pPr>
        <w:pStyle w:val="western"/>
        <w:spacing w:before="144" w:beforeAutospacing="0" w:after="317" w:afterAutospacing="0"/>
        <w:ind w:left="778" w:right="58"/>
        <w:jc w:val="both"/>
        <w:rPr>
          <w:rFonts w:ascii="Verdana" w:hAnsi="Verdana"/>
          <w:color w:val="242121"/>
          <w:sz w:val="20"/>
          <w:szCs w:val="20"/>
        </w:rPr>
      </w:pPr>
      <w:r w:rsidRPr="00BA3415">
        <w:rPr>
          <w:rFonts w:ascii="Arial" w:hAnsi="Arial" w:cs="Arial"/>
          <w:iCs/>
          <w:color w:val="000000"/>
          <w:sz w:val="20"/>
          <w:szCs w:val="20"/>
        </w:rPr>
        <w:t>"I accept that 'quiescence is not necessarily acquiescence</w:t>
      </w:r>
      <w:r w:rsidRPr="00BA3415">
        <w:rPr>
          <w:rFonts w:ascii="Arial" w:hAnsi="Arial" w:cs="Arial"/>
          <w:iCs/>
          <w:color w:val="000000"/>
          <w:sz w:val="20"/>
          <w:szCs w:val="20"/>
          <w:vertAlign w:val="superscript"/>
        </w:rPr>
        <w:t>1</w:t>
      </w:r>
      <w:r w:rsidRPr="00BA3415">
        <w:rPr>
          <w:rStyle w:val="apple-converted-space"/>
          <w:rFonts w:cs="Arial"/>
          <w:iCs/>
          <w:color w:val="000000"/>
          <w:sz w:val="20"/>
          <w:szCs w:val="20"/>
        </w:rPr>
        <w:t> </w:t>
      </w:r>
      <w:r w:rsidRPr="00BA3415">
        <w:rPr>
          <w:rFonts w:ascii="Arial" w:hAnsi="Arial" w:cs="Arial"/>
          <w:iCs/>
          <w:color w:val="000000"/>
          <w:sz w:val="20"/>
          <w:szCs w:val="20"/>
        </w:rPr>
        <w:t xml:space="preserve">(see </w:t>
      </w:r>
      <w:r w:rsidRPr="009B463A">
        <w:rPr>
          <w:rFonts w:ascii="Arial" w:hAnsi="Arial" w:cs="Arial"/>
          <w:i/>
          <w:iCs/>
          <w:color w:val="000000"/>
          <w:sz w:val="20"/>
          <w:szCs w:val="20"/>
        </w:rPr>
        <w:t>Collen v Rietfontein Engineering Works</w:t>
      </w:r>
      <w:r w:rsidRPr="00BA3415">
        <w:rPr>
          <w:rStyle w:val="apple-converted-space"/>
          <w:rFonts w:cs="Arial"/>
          <w:iCs/>
          <w:color w:val="000000"/>
          <w:sz w:val="20"/>
          <w:szCs w:val="20"/>
        </w:rPr>
        <w:t>  </w:t>
      </w:r>
      <w:hyperlink r:id="rId2" w:tooltip="View LawCiteRecord" w:history="1">
        <w:r w:rsidRPr="00BA3415">
          <w:rPr>
            <w:rStyle w:val="Hyperlink"/>
            <w:rFonts w:cs="Arial"/>
            <w:b/>
            <w:bCs/>
            <w:color w:val="0B4B0B"/>
            <w:sz w:val="20"/>
            <w:szCs w:val="20"/>
          </w:rPr>
          <w:t>1948 (1) SA 413</w:t>
        </w:r>
      </w:hyperlink>
      <w:r w:rsidRPr="00BA3415">
        <w:rPr>
          <w:rStyle w:val="apple-converted-space"/>
          <w:rFonts w:cs="Arial"/>
          <w:iCs/>
          <w:color w:val="000000"/>
          <w:sz w:val="20"/>
          <w:szCs w:val="20"/>
        </w:rPr>
        <w:t> </w:t>
      </w:r>
      <w:r w:rsidRPr="00BA3415">
        <w:rPr>
          <w:rFonts w:ascii="Arial" w:hAnsi="Arial" w:cs="Arial"/>
          <w:iCs/>
          <w:color w:val="000000"/>
          <w:sz w:val="20"/>
          <w:szCs w:val="20"/>
        </w:rPr>
        <w:t xml:space="preserve">(A) at 422) and that a party's failure to reply to a letter asserting the existence of an obligation owed by such party to the writer does not always justify an inference that the assertion was accepted as the truth. But in general, when according to ordinary commercial practice and human expectation firm repudiation of such an assertion would be the norm if it was not accepted as correct, such party's silence and inaction, unless satisfactorily explained, may be taken to constitute an admission by him of the truth of the assertion, or at least will be an important factor telling against him in the assessment of the probabilities and in the final determination of the dispute. And an adverse inference will the more readily be drawn when the unchallenged assertion had been preceded by correspondence or negotiations between the parties relative to the subject-matter of the assertion. (See </w:t>
      </w:r>
      <w:r w:rsidRPr="009B463A">
        <w:rPr>
          <w:rFonts w:ascii="Arial" w:hAnsi="Arial" w:cs="Arial"/>
          <w:i/>
          <w:iCs/>
          <w:color w:val="000000"/>
          <w:sz w:val="20"/>
          <w:szCs w:val="20"/>
        </w:rPr>
        <w:t>Benefit Cycle Works v Atmore</w:t>
      </w:r>
      <w:r w:rsidRPr="00BA3415">
        <w:rPr>
          <w:rStyle w:val="apple-converted-space"/>
          <w:rFonts w:cs="Arial"/>
          <w:iCs/>
          <w:color w:val="000000"/>
          <w:sz w:val="20"/>
          <w:szCs w:val="20"/>
        </w:rPr>
        <w:t>  </w:t>
      </w:r>
      <w:hyperlink r:id="rId3" w:tooltip="View LawCiteRecord" w:history="1">
        <w:r w:rsidRPr="00BA3415">
          <w:rPr>
            <w:rStyle w:val="Hyperlink"/>
            <w:rFonts w:cs="Arial"/>
            <w:b/>
            <w:bCs/>
            <w:color w:val="0B4B0B"/>
            <w:sz w:val="20"/>
            <w:szCs w:val="20"/>
          </w:rPr>
          <w:t>1927 TPD 524</w:t>
        </w:r>
      </w:hyperlink>
      <w:r w:rsidRPr="00BA3415">
        <w:rPr>
          <w:rStyle w:val="apple-converted-space"/>
          <w:rFonts w:cs="Arial"/>
          <w:iCs/>
          <w:color w:val="000000"/>
          <w:sz w:val="20"/>
          <w:szCs w:val="20"/>
        </w:rPr>
        <w:t> </w:t>
      </w:r>
      <w:r w:rsidRPr="00BA3415">
        <w:rPr>
          <w:rFonts w:ascii="Arial" w:hAnsi="Arial" w:cs="Arial"/>
          <w:iCs/>
          <w:color w:val="000000"/>
          <w:sz w:val="20"/>
          <w:szCs w:val="20"/>
        </w:rPr>
        <w:t>at 530</w:t>
      </w:r>
      <w:r w:rsidRPr="00BA3415">
        <w:rPr>
          <w:rStyle w:val="apple-converted-space"/>
          <w:rFonts w:cs="Arial"/>
          <w:color w:val="000000"/>
          <w:sz w:val="20"/>
          <w:szCs w:val="20"/>
        </w:rPr>
        <w:t> </w:t>
      </w:r>
      <w:r w:rsidRPr="00BA3415">
        <w:rPr>
          <w:rFonts w:ascii="Arial" w:hAnsi="Arial" w:cs="Arial"/>
          <w:color w:val="000000"/>
          <w:sz w:val="20"/>
          <w:szCs w:val="20"/>
        </w:rPr>
        <w:t>-</w:t>
      </w:r>
      <w:r w:rsidRPr="00BA3415">
        <w:rPr>
          <w:rStyle w:val="apple-converted-space"/>
          <w:rFonts w:cs="Arial"/>
          <w:color w:val="000000"/>
          <w:sz w:val="20"/>
          <w:szCs w:val="20"/>
        </w:rPr>
        <w:t> </w:t>
      </w:r>
      <w:r w:rsidRPr="00BA3415">
        <w:rPr>
          <w:rFonts w:ascii="Arial" w:hAnsi="Arial" w:cs="Arial"/>
          <w:iCs/>
          <w:color w:val="000000"/>
          <w:sz w:val="20"/>
          <w:szCs w:val="20"/>
        </w:rPr>
        <w:t xml:space="preserve">532; </w:t>
      </w:r>
      <w:r w:rsidRPr="009B463A">
        <w:rPr>
          <w:rFonts w:ascii="Arial" w:hAnsi="Arial" w:cs="Arial"/>
          <w:i/>
          <w:iCs/>
          <w:color w:val="000000"/>
          <w:sz w:val="20"/>
          <w:szCs w:val="20"/>
        </w:rPr>
        <w:t>Seedat v Tucker's Shoe Co</w:t>
      </w:r>
      <w:r w:rsidRPr="00BA3415">
        <w:rPr>
          <w:rStyle w:val="apple-converted-space"/>
          <w:rFonts w:cs="Arial"/>
          <w:iCs/>
          <w:color w:val="000000"/>
          <w:sz w:val="20"/>
          <w:szCs w:val="20"/>
        </w:rPr>
        <w:t>  </w:t>
      </w:r>
      <w:hyperlink r:id="rId4" w:tooltip="View LawCiteRecord" w:history="1">
        <w:r w:rsidRPr="00BA3415">
          <w:rPr>
            <w:rStyle w:val="Hyperlink"/>
            <w:rFonts w:cs="Arial"/>
            <w:b/>
            <w:bCs/>
            <w:color w:val="0B4B0B"/>
            <w:sz w:val="20"/>
            <w:szCs w:val="20"/>
          </w:rPr>
          <w:t>1952 (3) SA 513</w:t>
        </w:r>
      </w:hyperlink>
      <w:r w:rsidRPr="00BA3415">
        <w:rPr>
          <w:rStyle w:val="apple-converted-space"/>
          <w:rFonts w:cs="Arial"/>
          <w:iCs/>
          <w:color w:val="000000"/>
          <w:sz w:val="20"/>
          <w:szCs w:val="20"/>
        </w:rPr>
        <w:t> </w:t>
      </w:r>
      <w:r w:rsidRPr="00BA3415">
        <w:rPr>
          <w:rFonts w:ascii="Arial" w:hAnsi="Arial" w:cs="Arial"/>
          <w:iCs/>
          <w:color w:val="000000"/>
          <w:sz w:val="20"/>
          <w:szCs w:val="20"/>
        </w:rPr>
        <w:t xml:space="preserve">(T) at 517 -8; </w:t>
      </w:r>
      <w:r w:rsidRPr="009B463A">
        <w:rPr>
          <w:rFonts w:ascii="Arial" w:hAnsi="Arial" w:cs="Arial"/>
          <w:i/>
          <w:iCs/>
          <w:color w:val="000000"/>
          <w:sz w:val="20"/>
          <w:szCs w:val="20"/>
        </w:rPr>
        <w:t>Poort Sugar Planters (Pty) Ltd v Umfolozi Co</w:t>
      </w:r>
      <w:r w:rsidRPr="009B463A">
        <w:rPr>
          <w:rFonts w:ascii="Arial" w:hAnsi="Arial" w:cs="Arial"/>
          <w:i/>
          <w:iCs/>
          <w:color w:val="000000"/>
          <w:sz w:val="20"/>
          <w:szCs w:val="20"/>
        </w:rPr>
        <w:softHyphen/>
        <w:t xml:space="preserve">operative Sugar Planters Ltd </w:t>
      </w:r>
      <w:r w:rsidRPr="00BA3415">
        <w:rPr>
          <w:rFonts w:ascii="Arial" w:hAnsi="Arial" w:cs="Arial"/>
          <w:iCs/>
          <w:color w:val="000000"/>
          <w:sz w:val="20"/>
          <w:szCs w:val="20"/>
        </w:rPr>
        <w:t xml:space="preserve">1960 (1) SA 531 (D) at 541; </w:t>
      </w:r>
      <w:r w:rsidRPr="009B463A">
        <w:rPr>
          <w:rFonts w:ascii="Arial" w:hAnsi="Arial" w:cs="Arial"/>
          <w:iCs/>
          <w:color w:val="000000"/>
          <w:sz w:val="20"/>
          <w:szCs w:val="20"/>
        </w:rPr>
        <w:t>and of</w:t>
      </w:r>
      <w:r w:rsidRPr="009B463A">
        <w:rPr>
          <w:rFonts w:ascii="Arial" w:hAnsi="Arial" w:cs="Arial"/>
          <w:i/>
          <w:iCs/>
          <w:color w:val="000000"/>
          <w:sz w:val="20"/>
          <w:szCs w:val="20"/>
        </w:rPr>
        <w:t xml:space="preserve"> Resisto Dairy (Pty) Ltd v Auto Protection insurance Co Ltd</w:t>
      </w:r>
      <w:r w:rsidRPr="00BA3415">
        <w:rPr>
          <w:rStyle w:val="apple-converted-space"/>
          <w:rFonts w:cs="Arial"/>
          <w:iCs/>
          <w:color w:val="000000"/>
          <w:sz w:val="20"/>
          <w:szCs w:val="20"/>
        </w:rPr>
        <w:t>  </w:t>
      </w:r>
      <w:hyperlink r:id="rId5" w:tooltip="View LawCiteRecord" w:history="1">
        <w:r w:rsidRPr="00BA3415">
          <w:rPr>
            <w:rStyle w:val="Hyperlink"/>
            <w:rFonts w:cs="Arial"/>
            <w:b/>
            <w:bCs/>
            <w:color w:val="0B4B0B"/>
            <w:sz w:val="20"/>
            <w:szCs w:val="20"/>
          </w:rPr>
          <w:t>1963 (1) SA 632</w:t>
        </w:r>
      </w:hyperlink>
      <w:r w:rsidRPr="00BA3415">
        <w:rPr>
          <w:rStyle w:val="apple-converted-space"/>
          <w:rFonts w:cs="Arial"/>
          <w:iCs/>
          <w:color w:val="000000"/>
          <w:sz w:val="20"/>
          <w:szCs w:val="20"/>
        </w:rPr>
        <w:t> </w:t>
      </w:r>
      <w:r w:rsidRPr="00BA3415">
        <w:rPr>
          <w:rFonts w:ascii="Arial" w:hAnsi="Arial" w:cs="Arial"/>
          <w:iCs/>
          <w:color w:val="000000"/>
          <w:sz w:val="20"/>
          <w:szCs w:val="20"/>
        </w:rPr>
        <w:t>(A) at 642A</w:t>
      </w:r>
      <w:r w:rsidRPr="00BA3415">
        <w:rPr>
          <w:rStyle w:val="apple-converted-space"/>
          <w:rFonts w:cs="Arial"/>
          <w:iCs/>
          <w:color w:val="000000"/>
          <w:sz w:val="20"/>
          <w:szCs w:val="20"/>
        </w:rPr>
        <w:t> </w:t>
      </w:r>
      <w:r w:rsidRPr="00BA3415">
        <w:rPr>
          <w:rFonts w:ascii="Arial" w:hAnsi="Arial" w:cs="Arial"/>
          <w:iCs/>
          <w:color w:val="000000"/>
          <w:sz w:val="20"/>
          <w:szCs w:val="20"/>
        </w:rPr>
        <w:t>- G</w:t>
      </w:r>
    </w:p>
    <w:p w14:paraId="490B7879" w14:textId="7604125C" w:rsidR="00F90845" w:rsidRPr="00BA3415" w:rsidRDefault="00F90845" w:rsidP="00107041">
      <w:pPr>
        <w:pStyle w:val="FootnoteText"/>
        <w:rPr>
          <w:lang w:val="en-US"/>
        </w:rPr>
      </w:pPr>
    </w:p>
  </w:footnote>
  <w:footnote w:id="10">
    <w:p w14:paraId="315780B5" w14:textId="75F216D7" w:rsidR="00E362A4" w:rsidRPr="00E362A4" w:rsidRDefault="00E362A4">
      <w:pPr>
        <w:pStyle w:val="FootnoteText"/>
        <w:rPr>
          <w:lang w:val="en-US"/>
        </w:rPr>
      </w:pPr>
      <w:r>
        <w:rPr>
          <w:rStyle w:val="FootnoteReference"/>
        </w:rPr>
        <w:footnoteRef/>
      </w:r>
      <w:r>
        <w:t xml:space="preserve"> </w:t>
      </w:r>
      <w:r w:rsidR="002D57EA">
        <w:rPr>
          <w:lang w:val="en-US"/>
        </w:rPr>
        <w:t>This is repeated</w:t>
      </w:r>
      <w:r w:rsidR="00D24EE9">
        <w:rPr>
          <w:lang w:val="en-US"/>
        </w:rPr>
        <w:t xml:space="preserve"> twice thereafter</w:t>
      </w:r>
      <w:r w:rsidR="001F2E6B">
        <w:rPr>
          <w:lang w:val="en-US"/>
        </w:rPr>
        <w:t xml:space="preserve"> </w:t>
      </w:r>
      <w:r w:rsidR="00D24EE9">
        <w:rPr>
          <w:lang w:val="en-US"/>
        </w:rPr>
        <w:t xml:space="preserve">including </w:t>
      </w:r>
      <w:r w:rsidR="002D57EA">
        <w:rPr>
          <w:lang w:val="en-US"/>
        </w:rPr>
        <w:t>in the management accounts</w:t>
      </w:r>
      <w:r w:rsidR="00D24EE9">
        <w:rPr>
          <w:lang w:val="en-US"/>
        </w:rPr>
        <w:t xml:space="preserve"> </w:t>
      </w:r>
    </w:p>
  </w:footnote>
  <w:footnote w:id="11">
    <w:p w14:paraId="0566B2F3" w14:textId="1195F384" w:rsidR="00D662FA" w:rsidRPr="00894B0F" w:rsidRDefault="00D662FA">
      <w:pPr>
        <w:pStyle w:val="FootnoteText"/>
      </w:pPr>
      <w:r>
        <w:rPr>
          <w:rStyle w:val="FootnoteReference"/>
        </w:rPr>
        <w:footnoteRef/>
      </w:r>
      <w:r>
        <w:t xml:space="preserve"> </w:t>
      </w:r>
      <w:r w:rsidRPr="00894B0F">
        <w:rPr>
          <w:rFonts w:cs="Arial"/>
          <w:color w:val="242121"/>
          <w:sz w:val="20"/>
          <w:szCs w:val="20"/>
          <w:shd w:val="clear" w:color="auto" w:fill="FFFFFF"/>
        </w:rPr>
        <w:t>See</w:t>
      </w:r>
      <w:r w:rsidRPr="00894B0F">
        <w:rPr>
          <w:rStyle w:val="apple-converted-space"/>
          <w:rFonts w:cs="Arial"/>
          <w:color w:val="242121"/>
          <w:sz w:val="20"/>
          <w:szCs w:val="20"/>
          <w:shd w:val="clear" w:color="auto" w:fill="FFFFFF"/>
        </w:rPr>
        <w:t> </w:t>
      </w:r>
      <w:r w:rsidRPr="00894B0F">
        <w:rPr>
          <w:rFonts w:cs="Arial"/>
          <w:i/>
          <w:iCs/>
          <w:color w:val="242121"/>
          <w:sz w:val="20"/>
          <w:szCs w:val="20"/>
        </w:rPr>
        <w:t>Johannesburg</w:t>
      </w:r>
      <w:r w:rsidRPr="00894B0F">
        <w:rPr>
          <w:rStyle w:val="apple-converted-space"/>
          <w:rFonts w:cs="Arial"/>
          <w:color w:val="242121"/>
          <w:sz w:val="20"/>
          <w:szCs w:val="20"/>
          <w:shd w:val="clear" w:color="auto" w:fill="FFFFFF"/>
        </w:rPr>
        <w:t> </w:t>
      </w:r>
      <w:r w:rsidRPr="00894B0F">
        <w:rPr>
          <w:rFonts w:cs="Arial"/>
          <w:i/>
          <w:iCs/>
          <w:color w:val="242121"/>
          <w:sz w:val="20"/>
          <w:szCs w:val="20"/>
        </w:rPr>
        <w:t>Municipal Pension Fund and Others v City of Johannesburg</w:t>
      </w:r>
      <w:r w:rsidRPr="00894B0F">
        <w:rPr>
          <w:rStyle w:val="apple-converted-space"/>
          <w:rFonts w:cs="Arial"/>
          <w:color w:val="242121"/>
          <w:sz w:val="20"/>
          <w:szCs w:val="20"/>
          <w:shd w:val="clear" w:color="auto" w:fill="FFFFFF"/>
        </w:rPr>
        <w:t> </w:t>
      </w:r>
      <w:r w:rsidRPr="00894B0F">
        <w:rPr>
          <w:rFonts w:cs="Arial"/>
          <w:color w:val="242121"/>
          <w:sz w:val="20"/>
          <w:szCs w:val="20"/>
          <w:shd w:val="clear" w:color="auto" w:fill="FFFFFF"/>
        </w:rPr>
        <w:t xml:space="preserve"> </w:t>
      </w:r>
      <w:hyperlink r:id="rId6" w:tooltip="View LawCiteRecord" w:history="1">
        <w:r w:rsidRPr="00894B0F">
          <w:rPr>
            <w:rStyle w:val="Hyperlink"/>
            <w:rFonts w:cs="Arial"/>
            <w:b/>
            <w:bCs/>
            <w:color w:val="0B4B0B"/>
            <w:sz w:val="20"/>
            <w:szCs w:val="20"/>
          </w:rPr>
          <w:t>2005 (6) SA 273</w:t>
        </w:r>
      </w:hyperlink>
      <w:r w:rsidRPr="00894B0F">
        <w:rPr>
          <w:rStyle w:val="apple-converted-space"/>
          <w:rFonts w:cs="Arial"/>
          <w:color w:val="242121"/>
          <w:sz w:val="20"/>
          <w:szCs w:val="20"/>
          <w:shd w:val="clear" w:color="auto" w:fill="FFFFFF"/>
        </w:rPr>
        <w:t> </w:t>
      </w:r>
      <w:r w:rsidRPr="00894B0F">
        <w:rPr>
          <w:rFonts w:cs="Arial"/>
          <w:color w:val="242121"/>
          <w:sz w:val="20"/>
          <w:szCs w:val="20"/>
          <w:shd w:val="clear" w:color="auto" w:fill="FFFFFF"/>
        </w:rPr>
        <w:t>(W) para [8] and</w:t>
      </w:r>
      <w:r>
        <w:rPr>
          <w:rFonts w:cs="Arial"/>
          <w:color w:val="242121"/>
          <w:sz w:val="20"/>
          <w:szCs w:val="20"/>
          <w:shd w:val="clear" w:color="auto" w:fill="FFFFFF"/>
        </w:rPr>
        <w:t xml:space="preserve"> </w:t>
      </w:r>
      <w:r w:rsidRPr="00894B0F">
        <w:rPr>
          <w:rFonts w:cs="Arial"/>
          <w:i/>
          <w:iCs/>
          <w:color w:val="242121"/>
          <w:sz w:val="20"/>
          <w:szCs w:val="20"/>
        </w:rPr>
        <w:t>Olympic Passenger Service (Pty) Ltd v Ramlagan</w:t>
      </w:r>
      <w:r w:rsidRPr="00894B0F">
        <w:rPr>
          <w:rStyle w:val="apple-converted-space"/>
          <w:rFonts w:cs="Arial"/>
          <w:i/>
          <w:iCs/>
          <w:color w:val="242121"/>
          <w:sz w:val="20"/>
          <w:szCs w:val="20"/>
        </w:rPr>
        <w:t> </w:t>
      </w:r>
      <w:hyperlink r:id="rId7" w:tooltip="View LawCiteRecord" w:history="1">
        <w:r w:rsidRPr="00894B0F">
          <w:rPr>
            <w:rStyle w:val="Hyperlink"/>
            <w:rFonts w:cs="Arial"/>
            <w:b/>
            <w:bCs/>
            <w:color w:val="0B4B0B"/>
            <w:sz w:val="20"/>
            <w:szCs w:val="20"/>
          </w:rPr>
          <w:t>1957 (2) SA 382</w:t>
        </w:r>
      </w:hyperlink>
      <w:r w:rsidRPr="00894B0F">
        <w:rPr>
          <w:rStyle w:val="apple-converted-space"/>
          <w:rFonts w:cs="Arial"/>
          <w:color w:val="242121"/>
          <w:sz w:val="20"/>
          <w:szCs w:val="20"/>
          <w:shd w:val="clear" w:color="auto" w:fill="FFFFFF"/>
        </w:rPr>
        <w:t> </w:t>
      </w:r>
      <w:r w:rsidRPr="00894B0F">
        <w:rPr>
          <w:rFonts w:cs="Arial"/>
          <w:color w:val="242121"/>
          <w:sz w:val="20"/>
          <w:szCs w:val="20"/>
          <w:shd w:val="clear" w:color="auto" w:fill="FFFFFF"/>
        </w:rPr>
        <w:t>(D&amp;CLD) at 383C-F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1BF1" w14:textId="53BF1620" w:rsidR="000A22A8" w:rsidRDefault="000A22A8">
    <w:pPr>
      <w:pStyle w:val="Header"/>
      <w:jc w:val="right"/>
    </w:pPr>
    <w:r>
      <w:fldChar w:fldCharType="begin"/>
    </w:r>
    <w:r>
      <w:instrText xml:space="preserve"> PAGE   \* MERGEFORMAT </w:instrText>
    </w:r>
    <w:r>
      <w:fldChar w:fldCharType="separate"/>
    </w:r>
    <w:r w:rsidR="00FA5523">
      <w:rPr>
        <w:noProof/>
      </w:rPr>
      <w:t>21</w:t>
    </w:r>
    <w:r>
      <w:rPr>
        <w:noProof/>
      </w:rPr>
      <w:fldChar w:fldCharType="end"/>
    </w:r>
  </w:p>
  <w:p w14:paraId="511BBD19" w14:textId="77777777" w:rsidR="000A22A8" w:rsidRDefault="000A2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7" style="width:0;height:1.5pt" o:hralign="center" o:bullet="t" o:hrstd="t" o:hr="t" fillcolor="#a0a0a0" stroked="f"/>
    </w:pict>
  </w:numPicBullet>
  <w:abstractNum w:abstractNumId="0" w15:restartNumberingAfterBreak="0">
    <w:nsid w:val="FFFFFF88"/>
    <w:multiLevelType w:val="singleLevel"/>
    <w:tmpl w:val="958E17E6"/>
    <w:lvl w:ilvl="0">
      <w:start w:val="1"/>
      <w:numFmt w:val="decimal"/>
      <w:pStyle w:val="ListNumber"/>
      <w:lvlText w:val="%1."/>
      <w:lvlJc w:val="left"/>
      <w:pPr>
        <w:ind w:left="360" w:hanging="360"/>
      </w:pPr>
    </w:lvl>
  </w:abstractNum>
  <w:abstractNum w:abstractNumId="1"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3" w15:restartNumberingAfterBreak="0">
    <w:nsid w:val="06D36E6E"/>
    <w:multiLevelType w:val="hybridMultilevel"/>
    <w:tmpl w:val="961C13F2"/>
    <w:lvl w:ilvl="0" w:tplc="608898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0E784648"/>
    <w:multiLevelType w:val="multilevel"/>
    <w:tmpl w:val="84C86D44"/>
    <w:lvl w:ilvl="0">
      <w:start w:val="1"/>
      <w:numFmt w:val="upperLetter"/>
      <w:pStyle w:val="Annexures"/>
      <w:lvlText w:val="Annexure %1"/>
      <w:lvlJc w:val="center"/>
      <w:pPr>
        <w:ind w:left="473" w:hanging="360"/>
      </w:pPr>
      <w:rPr>
        <w:rFonts w:hint="default"/>
        <w:b/>
        <w:i w:val="0"/>
        <w:sz w:val="20"/>
        <w:szCs w:val="20"/>
        <w:u w:val="none"/>
      </w:rPr>
    </w:lvl>
    <w:lvl w:ilvl="1">
      <w:start w:val="1"/>
      <w:numFmt w:val="decimal"/>
      <w:isLgl/>
      <w:lvlText w:val="%1.%2"/>
      <w:lvlJc w:val="left"/>
      <w:pPr>
        <w:tabs>
          <w:tab w:val="num" w:pos="1656"/>
        </w:tabs>
        <w:ind w:left="1656" w:hanging="936"/>
      </w:pPr>
      <w:rPr>
        <w:rFonts w:hint="default"/>
        <w:u w:val="none"/>
      </w:rPr>
    </w:lvl>
    <w:lvl w:ilvl="2">
      <w:start w:val="1"/>
      <w:numFmt w:val="decimal"/>
      <w:isLgl/>
      <w:lvlText w:val="%1.%2.%3"/>
      <w:lvlJc w:val="left"/>
      <w:pPr>
        <w:tabs>
          <w:tab w:val="num" w:pos="2736"/>
        </w:tabs>
        <w:ind w:left="2736" w:hanging="1080"/>
      </w:pPr>
      <w:rPr>
        <w:rFonts w:hint="default"/>
        <w:u w:val="none"/>
      </w:rPr>
    </w:lvl>
    <w:lvl w:ilvl="3">
      <w:start w:val="1"/>
      <w:numFmt w:val="decimal"/>
      <w:isLgl/>
      <w:lvlText w:val="%1.%2.%3.%4"/>
      <w:lvlJc w:val="left"/>
      <w:pPr>
        <w:tabs>
          <w:tab w:val="num" w:pos="4320"/>
        </w:tabs>
        <w:ind w:left="4320" w:hanging="1440"/>
      </w:pPr>
      <w:rPr>
        <w:rFonts w:hint="default"/>
        <w:u w:val="none"/>
      </w:rPr>
    </w:lvl>
    <w:lvl w:ilvl="4">
      <w:start w:val="1"/>
      <w:numFmt w:val="decimal"/>
      <w:isLgl/>
      <w:lvlText w:val="%1.%2.%3.%4.%5"/>
      <w:lvlJc w:val="left"/>
      <w:pPr>
        <w:tabs>
          <w:tab w:val="num" w:pos="4320"/>
        </w:tabs>
        <w:ind w:left="4320" w:hanging="1440"/>
      </w:pPr>
      <w:rPr>
        <w:rFonts w:hint="default"/>
        <w:u w:val="none"/>
      </w:rPr>
    </w:lvl>
    <w:lvl w:ilvl="5">
      <w:start w:val="1"/>
      <w:numFmt w:val="decimal"/>
      <w:isLgl/>
      <w:lvlText w:val="%1.%2.%3.%4.%5.%6"/>
      <w:lvlJc w:val="left"/>
      <w:pPr>
        <w:tabs>
          <w:tab w:val="num" w:pos="5328"/>
        </w:tabs>
        <w:ind w:left="5328" w:hanging="1728"/>
      </w:pPr>
      <w:rPr>
        <w:rFonts w:hint="default"/>
        <w:u w:val="none"/>
      </w:rPr>
    </w:lvl>
    <w:lvl w:ilvl="6">
      <w:start w:val="1"/>
      <w:numFmt w:val="decimal"/>
      <w:isLgl/>
      <w:lvlText w:val="%1.%2.%3.%4.%5.%6.%7"/>
      <w:lvlJc w:val="left"/>
      <w:pPr>
        <w:tabs>
          <w:tab w:val="num" w:pos="6192"/>
        </w:tabs>
        <w:ind w:left="6192" w:hanging="1872"/>
      </w:pPr>
      <w:rPr>
        <w:rFonts w:hint="default"/>
        <w:u w:val="none"/>
      </w:rPr>
    </w:lvl>
    <w:lvl w:ilvl="7">
      <w:start w:val="1"/>
      <w:numFmt w:val="decimal"/>
      <w:isLgl/>
      <w:lvlText w:val="%1.%2.%3.%4.%5.%6.%7.%8"/>
      <w:lvlJc w:val="left"/>
      <w:pPr>
        <w:tabs>
          <w:tab w:val="num" w:pos="7128"/>
        </w:tabs>
        <w:ind w:left="7128" w:hanging="2088"/>
      </w:pPr>
      <w:rPr>
        <w:rFonts w:hint="default"/>
        <w:u w:val="none"/>
      </w:rPr>
    </w:lvl>
    <w:lvl w:ilvl="8">
      <w:start w:val="1"/>
      <w:numFmt w:val="decimal"/>
      <w:isLgl/>
      <w:lvlText w:val="%1.%2.%3.%4.%5.%6.%7.%8.%9"/>
      <w:lvlJc w:val="left"/>
      <w:pPr>
        <w:tabs>
          <w:tab w:val="num" w:pos="8064"/>
        </w:tabs>
        <w:ind w:left="8064" w:hanging="2304"/>
      </w:pPr>
      <w:rPr>
        <w:rFonts w:hint="default"/>
        <w:u w:val="none"/>
      </w:rPr>
    </w:lvl>
  </w:abstractNum>
  <w:abstractNum w:abstractNumId="6" w15:restartNumberingAfterBreak="0">
    <w:nsid w:val="1A904A42"/>
    <w:multiLevelType w:val="hybridMultilevel"/>
    <w:tmpl w:val="CAC6BDFC"/>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912DE"/>
    <w:multiLevelType w:val="multilevel"/>
    <w:tmpl w:val="F43097E8"/>
    <w:lvl w:ilvl="0">
      <w:start w:val="4"/>
      <w:numFmt w:val="decimal"/>
      <w:lvlText w:val="%1"/>
      <w:lvlJc w:val="left"/>
      <w:pPr>
        <w:ind w:left="500" w:hanging="500"/>
      </w:pPr>
      <w:rPr>
        <w:rFonts w:hint="default"/>
      </w:rPr>
    </w:lvl>
    <w:lvl w:ilvl="1">
      <w:start w:val="1"/>
      <w:numFmt w:val="decimal"/>
      <w:lvlText w:val="%1.%2"/>
      <w:lvlJc w:val="left"/>
      <w:pPr>
        <w:ind w:left="1350" w:hanging="500"/>
      </w:pPr>
      <w:rPr>
        <w:rFonts w:hint="default"/>
      </w:rPr>
    </w:lvl>
    <w:lvl w:ilvl="2">
      <w:start w:val="3"/>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8" w15:restartNumberingAfterBreak="0">
    <w:nsid w:val="267E7650"/>
    <w:multiLevelType w:val="hybridMultilevel"/>
    <w:tmpl w:val="D52EFF8E"/>
    <w:lvl w:ilvl="0" w:tplc="D136C130">
      <w:start w:val="102"/>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C47D4"/>
    <w:multiLevelType w:val="hybridMultilevel"/>
    <w:tmpl w:val="87F420EA"/>
    <w:lvl w:ilvl="0" w:tplc="F852E3C4">
      <w:start w:val="102"/>
      <w:numFmt w:val="decimal"/>
      <w:lvlText w:val="%1."/>
      <w:lvlJc w:val="left"/>
      <w:pPr>
        <w:ind w:left="1280" w:hanging="460"/>
      </w:pPr>
      <w:rPr>
        <w:rFonts w:hint="default"/>
        <w:i w:val="0"/>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 w15:restartNumberingAfterBreak="0">
    <w:nsid w:val="2E830FDC"/>
    <w:multiLevelType w:val="hybridMultilevel"/>
    <w:tmpl w:val="999C99B4"/>
    <w:lvl w:ilvl="0" w:tplc="9B4894EC">
      <w:start w:val="18"/>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1" w15:restartNumberingAfterBreak="0">
    <w:nsid w:val="2EC32EAB"/>
    <w:multiLevelType w:val="multilevel"/>
    <w:tmpl w:val="FEAA5C48"/>
    <w:lvl w:ilvl="0">
      <w:start w:val="1"/>
      <w:numFmt w:val="decimal"/>
      <w:pStyle w:val="1"/>
      <w:lvlText w:val="[%1]"/>
      <w:lvlJc w:val="left"/>
      <w:pPr>
        <w:tabs>
          <w:tab w:val="num" w:pos="680"/>
        </w:tabs>
        <w:ind w:left="680" w:hanging="680"/>
      </w:pPr>
      <w:rPr>
        <w:rFonts w:hint="default"/>
        <w:b w:val="0"/>
        <w:i w:val="0"/>
      </w:rPr>
    </w:lvl>
    <w:lvl w:ilvl="1">
      <w:start w:val="1"/>
      <w:numFmt w:val="lowerLetter"/>
      <w:pStyle w:val="2"/>
      <w:lvlText w:val="(%2)"/>
      <w:lvlJc w:val="left"/>
      <w:pPr>
        <w:tabs>
          <w:tab w:val="num" w:pos="2268"/>
        </w:tabs>
        <w:ind w:left="2268" w:hanging="1134"/>
      </w:pPr>
      <w:rPr>
        <w:rFonts w:hint="default"/>
        <w:b w:val="0"/>
        <w:i w:val="0"/>
      </w:rPr>
    </w:lvl>
    <w:lvl w:ilvl="2">
      <w:start w:val="1"/>
      <w:numFmt w:val="decimal"/>
      <w:pStyle w:val="3"/>
      <w:lvlText w:val="%1.%2.%3"/>
      <w:lvlJc w:val="left"/>
      <w:pPr>
        <w:tabs>
          <w:tab w:val="num" w:pos="3402"/>
        </w:tabs>
        <w:ind w:left="3402" w:hanging="1134"/>
      </w:pPr>
      <w:rPr>
        <w:rFonts w:hint="default"/>
        <w:b w:val="0"/>
        <w:i w:val="0"/>
      </w:rPr>
    </w:lvl>
    <w:lvl w:ilvl="3">
      <w:start w:val="1"/>
      <w:numFmt w:val="lowerLetter"/>
      <w:pStyle w:val="4"/>
      <w:lvlText w:val="(%4)"/>
      <w:lvlJc w:val="left"/>
      <w:pPr>
        <w:tabs>
          <w:tab w:val="num" w:pos="4536"/>
        </w:tabs>
        <w:ind w:left="4536" w:hanging="1134"/>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12" w15:restartNumberingAfterBreak="0">
    <w:nsid w:val="36A33F42"/>
    <w:multiLevelType w:val="hybridMultilevel"/>
    <w:tmpl w:val="B4300AAE"/>
    <w:lvl w:ilvl="0" w:tplc="1214025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3C8C05EF"/>
    <w:multiLevelType w:val="multilevel"/>
    <w:tmpl w:val="BF86EA5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D15111"/>
    <w:multiLevelType w:val="multilevel"/>
    <w:tmpl w:val="BDF0170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3751468"/>
    <w:multiLevelType w:val="hybridMultilevel"/>
    <w:tmpl w:val="7304DAAA"/>
    <w:lvl w:ilvl="0" w:tplc="4022E388">
      <w:start w:val="1"/>
      <w:numFmt w:val="low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16" w15:restartNumberingAfterBreak="0">
    <w:nsid w:val="47111C5C"/>
    <w:multiLevelType w:val="hybridMultilevel"/>
    <w:tmpl w:val="BAA287E4"/>
    <w:lvl w:ilvl="0" w:tplc="C99E428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7" w15:restartNumberingAfterBreak="0">
    <w:nsid w:val="51236D39"/>
    <w:multiLevelType w:val="multilevel"/>
    <w:tmpl w:val="737610C8"/>
    <w:lvl w:ilvl="0">
      <w:start w:val="1"/>
      <w:numFmt w:val="decimal"/>
      <w:lvlText w:val="%1."/>
      <w:lvlJc w:val="left"/>
      <w:pPr>
        <w:ind w:left="2061" w:hanging="360"/>
      </w:pPr>
      <w:rPr>
        <w:rFonts w:hint="default"/>
      </w:rPr>
    </w:lvl>
    <w:lvl w:ilvl="1">
      <w:start w:val="2"/>
      <w:numFmt w:val="decimal"/>
      <w:isLgl/>
      <w:lvlText w:val="%1.%2"/>
      <w:lvlJc w:val="left"/>
      <w:pPr>
        <w:ind w:left="2161" w:hanging="4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18" w15:restartNumberingAfterBreak="0">
    <w:nsid w:val="51BB2E2A"/>
    <w:multiLevelType w:val="multilevel"/>
    <w:tmpl w:val="6736E41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F20011"/>
    <w:multiLevelType w:val="multilevel"/>
    <w:tmpl w:val="4C1E7444"/>
    <w:lvl w:ilvl="0">
      <w:start w:val="1"/>
      <w:numFmt w:val="decimal"/>
      <w:lvlText w:val="[%1]"/>
      <w:lvlJc w:val="left"/>
      <w:pPr>
        <w:tabs>
          <w:tab w:val="num" w:pos="851"/>
        </w:tabs>
        <w:ind w:left="851" w:hanging="851"/>
      </w:pPr>
      <w:rPr>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20" w15:restartNumberingAfterBreak="0">
    <w:nsid w:val="54700BEB"/>
    <w:multiLevelType w:val="hybridMultilevel"/>
    <w:tmpl w:val="D924CDFA"/>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1" w15:restartNumberingAfterBreak="0">
    <w:nsid w:val="55D20F77"/>
    <w:multiLevelType w:val="multilevel"/>
    <w:tmpl w:val="EA0EA7B6"/>
    <w:lvl w:ilvl="0">
      <w:start w:val="1"/>
      <w:numFmt w:val="decimal"/>
      <w:lvlText w:val="%1."/>
      <w:lvlJc w:val="left"/>
      <w:pPr>
        <w:ind w:left="666" w:hanging="567"/>
      </w:pPr>
      <w:rPr>
        <w:rFonts w:ascii="Arial" w:eastAsia="Arial" w:hAnsi="Arial" w:cs="Arial" w:hint="default"/>
        <w:b w:val="0"/>
        <w:bCs w:val="0"/>
        <w:i w:val="0"/>
        <w:iCs w:val="0"/>
        <w:w w:val="100"/>
        <w:sz w:val="24"/>
        <w:szCs w:val="24"/>
        <w:lang w:val="en-ZA" w:eastAsia="en-US" w:bidi="ar-SA"/>
      </w:rPr>
    </w:lvl>
    <w:lvl w:ilvl="1">
      <w:start w:val="1"/>
      <w:numFmt w:val="decimal"/>
      <w:lvlText w:val="%1.%2."/>
      <w:lvlJc w:val="left"/>
      <w:pPr>
        <w:ind w:left="1377" w:hanging="711"/>
      </w:pPr>
      <w:rPr>
        <w:rFonts w:ascii="Arial" w:eastAsia="Arial" w:hAnsi="Arial" w:cs="Arial" w:hint="default"/>
        <w:b w:val="0"/>
        <w:bCs w:val="0"/>
        <w:i w:val="0"/>
        <w:iCs w:val="0"/>
        <w:w w:val="99"/>
        <w:sz w:val="24"/>
        <w:szCs w:val="24"/>
        <w:lang w:val="en-ZA" w:eastAsia="en-US" w:bidi="ar-SA"/>
      </w:rPr>
    </w:lvl>
    <w:lvl w:ilvl="2">
      <w:numFmt w:val="bullet"/>
      <w:lvlText w:val="•"/>
      <w:lvlJc w:val="left"/>
      <w:pPr>
        <w:ind w:left="2291" w:hanging="711"/>
      </w:pPr>
      <w:rPr>
        <w:rFonts w:hint="default"/>
        <w:lang w:val="en-ZA" w:eastAsia="en-US" w:bidi="ar-SA"/>
      </w:rPr>
    </w:lvl>
    <w:lvl w:ilvl="3">
      <w:numFmt w:val="bullet"/>
      <w:lvlText w:val="•"/>
      <w:lvlJc w:val="left"/>
      <w:pPr>
        <w:ind w:left="3202" w:hanging="711"/>
      </w:pPr>
      <w:rPr>
        <w:rFonts w:hint="default"/>
        <w:lang w:val="en-ZA" w:eastAsia="en-US" w:bidi="ar-SA"/>
      </w:rPr>
    </w:lvl>
    <w:lvl w:ilvl="4">
      <w:numFmt w:val="bullet"/>
      <w:lvlText w:val="•"/>
      <w:lvlJc w:val="left"/>
      <w:pPr>
        <w:ind w:left="4113" w:hanging="711"/>
      </w:pPr>
      <w:rPr>
        <w:rFonts w:hint="default"/>
        <w:lang w:val="en-ZA" w:eastAsia="en-US" w:bidi="ar-SA"/>
      </w:rPr>
    </w:lvl>
    <w:lvl w:ilvl="5">
      <w:numFmt w:val="bullet"/>
      <w:lvlText w:val="•"/>
      <w:lvlJc w:val="left"/>
      <w:pPr>
        <w:ind w:left="5024" w:hanging="711"/>
      </w:pPr>
      <w:rPr>
        <w:rFonts w:hint="default"/>
        <w:lang w:val="en-ZA" w:eastAsia="en-US" w:bidi="ar-SA"/>
      </w:rPr>
    </w:lvl>
    <w:lvl w:ilvl="6">
      <w:numFmt w:val="bullet"/>
      <w:lvlText w:val="•"/>
      <w:lvlJc w:val="left"/>
      <w:pPr>
        <w:ind w:left="5935" w:hanging="711"/>
      </w:pPr>
      <w:rPr>
        <w:rFonts w:hint="default"/>
        <w:lang w:val="en-ZA" w:eastAsia="en-US" w:bidi="ar-SA"/>
      </w:rPr>
    </w:lvl>
    <w:lvl w:ilvl="7">
      <w:numFmt w:val="bullet"/>
      <w:lvlText w:val="•"/>
      <w:lvlJc w:val="left"/>
      <w:pPr>
        <w:ind w:left="6846" w:hanging="711"/>
      </w:pPr>
      <w:rPr>
        <w:rFonts w:hint="default"/>
        <w:lang w:val="en-ZA" w:eastAsia="en-US" w:bidi="ar-SA"/>
      </w:rPr>
    </w:lvl>
    <w:lvl w:ilvl="8">
      <w:numFmt w:val="bullet"/>
      <w:lvlText w:val="•"/>
      <w:lvlJc w:val="left"/>
      <w:pPr>
        <w:ind w:left="7757" w:hanging="711"/>
      </w:pPr>
      <w:rPr>
        <w:rFonts w:hint="default"/>
        <w:lang w:val="en-ZA" w:eastAsia="en-US" w:bidi="ar-SA"/>
      </w:rPr>
    </w:lvl>
  </w:abstractNum>
  <w:abstractNum w:abstractNumId="22" w15:restartNumberingAfterBreak="0">
    <w:nsid w:val="5A9C5182"/>
    <w:multiLevelType w:val="hybridMultilevel"/>
    <w:tmpl w:val="632E59A0"/>
    <w:lvl w:ilvl="0" w:tplc="AE90735A">
      <w:start w:val="103"/>
      <w:numFmt w:val="decimal"/>
      <w:lvlText w:val="%1."/>
      <w:lvlJc w:val="left"/>
      <w:pPr>
        <w:ind w:left="1280" w:hanging="4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CE45FF1"/>
    <w:multiLevelType w:val="multilevel"/>
    <w:tmpl w:val="887C6168"/>
    <w:lvl w:ilvl="0">
      <w:start w:val="1"/>
      <w:numFmt w:val="decimal"/>
      <w:pStyle w:val="XClause1Head"/>
      <w:isLgl/>
      <w:lvlText w:val="%1."/>
      <w:lvlJc w:val="left"/>
      <w:pPr>
        <w:tabs>
          <w:tab w:val="num" w:pos="720"/>
        </w:tabs>
        <w:ind w:left="720" w:hanging="720"/>
      </w:pPr>
      <w:rPr>
        <w:rFonts w:ascii="Arial" w:hAnsi="Arial" w:cs="Arial" w:hint="default"/>
        <w:b w:val="0"/>
        <w:i w:val="0"/>
        <w:sz w:val="24"/>
        <w:szCs w:val="24"/>
      </w:rPr>
    </w:lvl>
    <w:lvl w:ilvl="1">
      <w:start w:val="1"/>
      <w:numFmt w:val="decimal"/>
      <w:pStyle w:val="XClause2Sub"/>
      <w:lvlText w:val="%1.%2."/>
      <w:lvlJc w:val="left"/>
      <w:pPr>
        <w:tabs>
          <w:tab w:val="num" w:pos="1440"/>
        </w:tabs>
        <w:ind w:left="1440" w:hanging="720"/>
      </w:pPr>
      <w:rPr>
        <w:rFonts w:ascii="Arial" w:hAnsi="Arial" w:cs="Arial" w:hint="default"/>
        <w:b w:val="0"/>
        <w:i w:val="0"/>
        <w:sz w:val="24"/>
        <w:szCs w:val="24"/>
      </w:rPr>
    </w:lvl>
    <w:lvl w:ilvl="2">
      <w:start w:val="1"/>
      <w:numFmt w:val="decimal"/>
      <w:pStyle w:val="XClause3Sub"/>
      <w:lvlText w:val="%1.%2.%3."/>
      <w:lvlJc w:val="left"/>
      <w:pPr>
        <w:tabs>
          <w:tab w:val="num" w:pos="2552"/>
        </w:tabs>
        <w:ind w:left="2552" w:hanging="1112"/>
      </w:pPr>
      <w:rPr>
        <w:rFonts w:ascii="Arial" w:hAnsi="Arial" w:cs="Arial" w:hint="default"/>
        <w:b w:val="0"/>
        <w:bCs w:val="0"/>
        <w:sz w:val="24"/>
        <w:szCs w:val="24"/>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24" w15:restartNumberingAfterBreak="0">
    <w:nsid w:val="693F6581"/>
    <w:multiLevelType w:val="multilevel"/>
    <w:tmpl w:val="E3F4A790"/>
    <w:lvl w:ilvl="0">
      <w:start w:val="1"/>
      <w:numFmt w:val="decimal"/>
      <w:pStyle w:val="Myown"/>
      <w:lvlText w:val="%1."/>
      <w:lvlJc w:val="left"/>
      <w:pPr>
        <w:ind w:left="360" w:hanging="360"/>
      </w:pPr>
      <w:rPr>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00373A"/>
    <w:multiLevelType w:val="hybridMultilevel"/>
    <w:tmpl w:val="286CFB52"/>
    <w:lvl w:ilvl="0" w:tplc="9F3E96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7CB86740"/>
    <w:multiLevelType w:val="hybridMultilevel"/>
    <w:tmpl w:val="59E8737C"/>
    <w:lvl w:ilvl="0" w:tplc="3C96BF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474956417">
    <w:abstractNumId w:val="11"/>
  </w:num>
  <w:num w:numId="2" w16cid:durableId="364986807">
    <w:abstractNumId w:val="0"/>
  </w:num>
  <w:num w:numId="3" w16cid:durableId="282468379">
    <w:abstractNumId w:val="6"/>
  </w:num>
  <w:num w:numId="4" w16cid:durableId="17771398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5810263">
    <w:abstractNumId w:val="25"/>
  </w:num>
  <w:num w:numId="6" w16cid:durableId="731730510">
    <w:abstractNumId w:val="26"/>
  </w:num>
  <w:num w:numId="7" w16cid:durableId="1774015610">
    <w:abstractNumId w:val="20"/>
  </w:num>
  <w:num w:numId="8" w16cid:durableId="11856785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103751">
    <w:abstractNumId w:val="3"/>
  </w:num>
  <w:num w:numId="10" w16cid:durableId="1315911919">
    <w:abstractNumId w:val="17"/>
  </w:num>
  <w:num w:numId="11" w16cid:durableId="1141384102">
    <w:abstractNumId w:val="16"/>
  </w:num>
  <w:num w:numId="12" w16cid:durableId="1678657337">
    <w:abstractNumId w:val="15"/>
  </w:num>
  <w:num w:numId="13" w16cid:durableId="433134491">
    <w:abstractNumId w:val="13"/>
  </w:num>
  <w:num w:numId="14" w16cid:durableId="1346787093">
    <w:abstractNumId w:val="4"/>
  </w:num>
  <w:num w:numId="15" w16cid:durableId="10698893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62559800">
    <w:abstractNumId w:val="21"/>
  </w:num>
  <w:num w:numId="17" w16cid:durableId="1203396493">
    <w:abstractNumId w:val="14"/>
  </w:num>
  <w:num w:numId="18" w16cid:durableId="1189833309">
    <w:abstractNumId w:val="12"/>
  </w:num>
  <w:num w:numId="19" w16cid:durableId="1763453011">
    <w:abstractNumId w:val="5"/>
  </w:num>
  <w:num w:numId="20" w16cid:durableId="1683706766">
    <w:abstractNumId w:val="23"/>
  </w:num>
  <w:num w:numId="21" w16cid:durableId="196967197">
    <w:abstractNumId w:val="24"/>
  </w:num>
  <w:num w:numId="22" w16cid:durableId="1220702724">
    <w:abstractNumId w:val="10"/>
  </w:num>
  <w:num w:numId="23" w16cid:durableId="121193056">
    <w:abstractNumId w:val="18"/>
  </w:num>
  <w:num w:numId="24" w16cid:durableId="439498440">
    <w:abstractNumId w:val="7"/>
  </w:num>
  <w:num w:numId="25" w16cid:durableId="1029837514">
    <w:abstractNumId w:val="8"/>
  </w:num>
  <w:num w:numId="26" w16cid:durableId="404645620">
    <w:abstractNumId w:val="9"/>
  </w:num>
  <w:num w:numId="27" w16cid:durableId="1170213678">
    <w:abstractNumId w:val="19"/>
  </w:num>
  <w:num w:numId="28" w16cid:durableId="159057778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B4C"/>
    <w:rsid w:val="00000E6B"/>
    <w:rsid w:val="00000F16"/>
    <w:rsid w:val="00000F35"/>
    <w:rsid w:val="000018AD"/>
    <w:rsid w:val="00001F14"/>
    <w:rsid w:val="00001F2D"/>
    <w:rsid w:val="000025D3"/>
    <w:rsid w:val="000026D9"/>
    <w:rsid w:val="00002C1A"/>
    <w:rsid w:val="00002E04"/>
    <w:rsid w:val="00003CBC"/>
    <w:rsid w:val="00003D4F"/>
    <w:rsid w:val="00004064"/>
    <w:rsid w:val="00004113"/>
    <w:rsid w:val="000043C3"/>
    <w:rsid w:val="00004770"/>
    <w:rsid w:val="0000489E"/>
    <w:rsid w:val="00004B4B"/>
    <w:rsid w:val="00004C50"/>
    <w:rsid w:val="00004FF5"/>
    <w:rsid w:val="00005393"/>
    <w:rsid w:val="00005635"/>
    <w:rsid w:val="00006927"/>
    <w:rsid w:val="00006D89"/>
    <w:rsid w:val="00006FFA"/>
    <w:rsid w:val="0000721E"/>
    <w:rsid w:val="000075D6"/>
    <w:rsid w:val="00007899"/>
    <w:rsid w:val="00007A1E"/>
    <w:rsid w:val="00007BEB"/>
    <w:rsid w:val="00011275"/>
    <w:rsid w:val="00011D5E"/>
    <w:rsid w:val="00011D7E"/>
    <w:rsid w:val="00011F6D"/>
    <w:rsid w:val="00012BC9"/>
    <w:rsid w:val="0001351A"/>
    <w:rsid w:val="00013899"/>
    <w:rsid w:val="00013956"/>
    <w:rsid w:val="00013C32"/>
    <w:rsid w:val="0001479D"/>
    <w:rsid w:val="00014A75"/>
    <w:rsid w:val="00014C27"/>
    <w:rsid w:val="00014E7C"/>
    <w:rsid w:val="00015055"/>
    <w:rsid w:val="00016B15"/>
    <w:rsid w:val="00016D7D"/>
    <w:rsid w:val="000178A7"/>
    <w:rsid w:val="000205BB"/>
    <w:rsid w:val="00020C06"/>
    <w:rsid w:val="00021839"/>
    <w:rsid w:val="000223BA"/>
    <w:rsid w:val="00022E30"/>
    <w:rsid w:val="00024B45"/>
    <w:rsid w:val="0002513B"/>
    <w:rsid w:val="0002589A"/>
    <w:rsid w:val="00025AB9"/>
    <w:rsid w:val="00026013"/>
    <w:rsid w:val="000267B0"/>
    <w:rsid w:val="00026EF4"/>
    <w:rsid w:val="00027523"/>
    <w:rsid w:val="000278DA"/>
    <w:rsid w:val="00027E31"/>
    <w:rsid w:val="00027E97"/>
    <w:rsid w:val="000311C2"/>
    <w:rsid w:val="00031A80"/>
    <w:rsid w:val="00031AD4"/>
    <w:rsid w:val="00032191"/>
    <w:rsid w:val="00032242"/>
    <w:rsid w:val="0003236A"/>
    <w:rsid w:val="000327C4"/>
    <w:rsid w:val="00032BEF"/>
    <w:rsid w:val="0003382B"/>
    <w:rsid w:val="000338BC"/>
    <w:rsid w:val="00033914"/>
    <w:rsid w:val="00033952"/>
    <w:rsid w:val="000339B6"/>
    <w:rsid w:val="00033A8B"/>
    <w:rsid w:val="00033BB4"/>
    <w:rsid w:val="00034F78"/>
    <w:rsid w:val="000351A4"/>
    <w:rsid w:val="00035C54"/>
    <w:rsid w:val="00035CA2"/>
    <w:rsid w:val="00036839"/>
    <w:rsid w:val="00036B3C"/>
    <w:rsid w:val="00036CBB"/>
    <w:rsid w:val="00036E35"/>
    <w:rsid w:val="00037B4A"/>
    <w:rsid w:val="00037E9A"/>
    <w:rsid w:val="00040CFF"/>
    <w:rsid w:val="0004166E"/>
    <w:rsid w:val="0004179B"/>
    <w:rsid w:val="00041A35"/>
    <w:rsid w:val="00041E26"/>
    <w:rsid w:val="00042120"/>
    <w:rsid w:val="00042144"/>
    <w:rsid w:val="0004225B"/>
    <w:rsid w:val="00042883"/>
    <w:rsid w:val="00042910"/>
    <w:rsid w:val="00042E5D"/>
    <w:rsid w:val="00043330"/>
    <w:rsid w:val="00043B8D"/>
    <w:rsid w:val="0004454D"/>
    <w:rsid w:val="00044CB9"/>
    <w:rsid w:val="0004629A"/>
    <w:rsid w:val="00046726"/>
    <w:rsid w:val="0004700B"/>
    <w:rsid w:val="0004710F"/>
    <w:rsid w:val="000471C4"/>
    <w:rsid w:val="00047380"/>
    <w:rsid w:val="00047496"/>
    <w:rsid w:val="00047864"/>
    <w:rsid w:val="00047964"/>
    <w:rsid w:val="00051139"/>
    <w:rsid w:val="000526FC"/>
    <w:rsid w:val="00052A3E"/>
    <w:rsid w:val="00052D2C"/>
    <w:rsid w:val="00053251"/>
    <w:rsid w:val="00053DD2"/>
    <w:rsid w:val="000541F4"/>
    <w:rsid w:val="00054540"/>
    <w:rsid w:val="00054912"/>
    <w:rsid w:val="00054932"/>
    <w:rsid w:val="00054B84"/>
    <w:rsid w:val="00054C0A"/>
    <w:rsid w:val="00054D9B"/>
    <w:rsid w:val="000552C4"/>
    <w:rsid w:val="000554AC"/>
    <w:rsid w:val="000569B1"/>
    <w:rsid w:val="0005715D"/>
    <w:rsid w:val="0005747E"/>
    <w:rsid w:val="00057FA6"/>
    <w:rsid w:val="00057FE1"/>
    <w:rsid w:val="000603D2"/>
    <w:rsid w:val="000606D4"/>
    <w:rsid w:val="00060E1C"/>
    <w:rsid w:val="00061062"/>
    <w:rsid w:val="0006110A"/>
    <w:rsid w:val="0006122D"/>
    <w:rsid w:val="00061343"/>
    <w:rsid w:val="000614DC"/>
    <w:rsid w:val="00061632"/>
    <w:rsid w:val="0006281D"/>
    <w:rsid w:val="000629CE"/>
    <w:rsid w:val="00062AC4"/>
    <w:rsid w:val="000630C0"/>
    <w:rsid w:val="00063197"/>
    <w:rsid w:val="00063347"/>
    <w:rsid w:val="00063586"/>
    <w:rsid w:val="00064037"/>
    <w:rsid w:val="00064329"/>
    <w:rsid w:val="00064398"/>
    <w:rsid w:val="000643EE"/>
    <w:rsid w:val="00064417"/>
    <w:rsid w:val="0006446B"/>
    <w:rsid w:val="000648C6"/>
    <w:rsid w:val="00064C3E"/>
    <w:rsid w:val="00064CAE"/>
    <w:rsid w:val="000658B9"/>
    <w:rsid w:val="00065D25"/>
    <w:rsid w:val="00065DBA"/>
    <w:rsid w:val="0006656B"/>
    <w:rsid w:val="000670BE"/>
    <w:rsid w:val="00067403"/>
    <w:rsid w:val="00067BBC"/>
    <w:rsid w:val="0007054D"/>
    <w:rsid w:val="00070FB2"/>
    <w:rsid w:val="000713C6"/>
    <w:rsid w:val="000715B5"/>
    <w:rsid w:val="00071C04"/>
    <w:rsid w:val="00071D94"/>
    <w:rsid w:val="0007238B"/>
    <w:rsid w:val="00073213"/>
    <w:rsid w:val="000734AD"/>
    <w:rsid w:val="000743C1"/>
    <w:rsid w:val="00074490"/>
    <w:rsid w:val="00074931"/>
    <w:rsid w:val="0007543E"/>
    <w:rsid w:val="00075A7B"/>
    <w:rsid w:val="000761CF"/>
    <w:rsid w:val="000768B7"/>
    <w:rsid w:val="00076AEB"/>
    <w:rsid w:val="00076C32"/>
    <w:rsid w:val="00077229"/>
    <w:rsid w:val="00077574"/>
    <w:rsid w:val="00077A72"/>
    <w:rsid w:val="00077DA0"/>
    <w:rsid w:val="00077E9E"/>
    <w:rsid w:val="00081B44"/>
    <w:rsid w:val="000821DD"/>
    <w:rsid w:val="00082997"/>
    <w:rsid w:val="00082CE4"/>
    <w:rsid w:val="00083A68"/>
    <w:rsid w:val="00083DA8"/>
    <w:rsid w:val="000847F0"/>
    <w:rsid w:val="00084A85"/>
    <w:rsid w:val="00085710"/>
    <w:rsid w:val="00085776"/>
    <w:rsid w:val="00087F0F"/>
    <w:rsid w:val="000903EC"/>
    <w:rsid w:val="00090D1E"/>
    <w:rsid w:val="00090E6B"/>
    <w:rsid w:val="0009189F"/>
    <w:rsid w:val="00091EF1"/>
    <w:rsid w:val="00092FE0"/>
    <w:rsid w:val="00093ACF"/>
    <w:rsid w:val="00093D31"/>
    <w:rsid w:val="00093F5D"/>
    <w:rsid w:val="00094423"/>
    <w:rsid w:val="00094488"/>
    <w:rsid w:val="00095093"/>
    <w:rsid w:val="00095CA6"/>
    <w:rsid w:val="00095F1C"/>
    <w:rsid w:val="0009617B"/>
    <w:rsid w:val="0009638B"/>
    <w:rsid w:val="000968A2"/>
    <w:rsid w:val="000975B2"/>
    <w:rsid w:val="00097C41"/>
    <w:rsid w:val="000A0398"/>
    <w:rsid w:val="000A1B6E"/>
    <w:rsid w:val="000A1B80"/>
    <w:rsid w:val="000A1C84"/>
    <w:rsid w:val="000A1CF7"/>
    <w:rsid w:val="000A1D47"/>
    <w:rsid w:val="000A1F65"/>
    <w:rsid w:val="000A22A8"/>
    <w:rsid w:val="000A2515"/>
    <w:rsid w:val="000A3154"/>
    <w:rsid w:val="000A4529"/>
    <w:rsid w:val="000A566B"/>
    <w:rsid w:val="000A5992"/>
    <w:rsid w:val="000A5E06"/>
    <w:rsid w:val="000A6549"/>
    <w:rsid w:val="000A6CEB"/>
    <w:rsid w:val="000A7F92"/>
    <w:rsid w:val="000B0031"/>
    <w:rsid w:val="000B00D7"/>
    <w:rsid w:val="000B0497"/>
    <w:rsid w:val="000B1B70"/>
    <w:rsid w:val="000B2B54"/>
    <w:rsid w:val="000B2C72"/>
    <w:rsid w:val="000B2E1A"/>
    <w:rsid w:val="000B372E"/>
    <w:rsid w:val="000B3A8F"/>
    <w:rsid w:val="000B44D3"/>
    <w:rsid w:val="000B4A7E"/>
    <w:rsid w:val="000B4E9C"/>
    <w:rsid w:val="000B5199"/>
    <w:rsid w:val="000B5438"/>
    <w:rsid w:val="000B5890"/>
    <w:rsid w:val="000B66A1"/>
    <w:rsid w:val="000B77A3"/>
    <w:rsid w:val="000B7D2E"/>
    <w:rsid w:val="000B7F3F"/>
    <w:rsid w:val="000C0643"/>
    <w:rsid w:val="000C07AB"/>
    <w:rsid w:val="000C0C9A"/>
    <w:rsid w:val="000C0E29"/>
    <w:rsid w:val="000C12AC"/>
    <w:rsid w:val="000C15AC"/>
    <w:rsid w:val="000C166C"/>
    <w:rsid w:val="000C2D83"/>
    <w:rsid w:val="000C2E2C"/>
    <w:rsid w:val="000C3186"/>
    <w:rsid w:val="000C39A1"/>
    <w:rsid w:val="000C4EA2"/>
    <w:rsid w:val="000C5E4D"/>
    <w:rsid w:val="000C5E5C"/>
    <w:rsid w:val="000C7203"/>
    <w:rsid w:val="000C726A"/>
    <w:rsid w:val="000C7D3C"/>
    <w:rsid w:val="000D06D8"/>
    <w:rsid w:val="000D084D"/>
    <w:rsid w:val="000D0A14"/>
    <w:rsid w:val="000D1047"/>
    <w:rsid w:val="000D1058"/>
    <w:rsid w:val="000D1A4B"/>
    <w:rsid w:val="000D1A9F"/>
    <w:rsid w:val="000D1DE1"/>
    <w:rsid w:val="000D22FD"/>
    <w:rsid w:val="000D26DF"/>
    <w:rsid w:val="000D2F64"/>
    <w:rsid w:val="000D3864"/>
    <w:rsid w:val="000D38D1"/>
    <w:rsid w:val="000D3C52"/>
    <w:rsid w:val="000D4A71"/>
    <w:rsid w:val="000D531E"/>
    <w:rsid w:val="000D56C8"/>
    <w:rsid w:val="000D5E07"/>
    <w:rsid w:val="000D64DB"/>
    <w:rsid w:val="000D7CFD"/>
    <w:rsid w:val="000E0006"/>
    <w:rsid w:val="000E0F39"/>
    <w:rsid w:val="000E1448"/>
    <w:rsid w:val="000E14B4"/>
    <w:rsid w:val="000E1C17"/>
    <w:rsid w:val="000E1D43"/>
    <w:rsid w:val="000E244F"/>
    <w:rsid w:val="000E2D6F"/>
    <w:rsid w:val="000E308F"/>
    <w:rsid w:val="000E3218"/>
    <w:rsid w:val="000E3453"/>
    <w:rsid w:val="000E357C"/>
    <w:rsid w:val="000E3A32"/>
    <w:rsid w:val="000E3A64"/>
    <w:rsid w:val="000E3F6A"/>
    <w:rsid w:val="000E3FAC"/>
    <w:rsid w:val="000E3FF3"/>
    <w:rsid w:val="000E43C6"/>
    <w:rsid w:val="000E4996"/>
    <w:rsid w:val="000E4A37"/>
    <w:rsid w:val="000E4B30"/>
    <w:rsid w:val="000E5A5D"/>
    <w:rsid w:val="000E5EE7"/>
    <w:rsid w:val="000E6584"/>
    <w:rsid w:val="000E6EA6"/>
    <w:rsid w:val="000E7114"/>
    <w:rsid w:val="000E7904"/>
    <w:rsid w:val="000E7913"/>
    <w:rsid w:val="000F0069"/>
    <w:rsid w:val="000F04AB"/>
    <w:rsid w:val="000F0514"/>
    <w:rsid w:val="000F0FDF"/>
    <w:rsid w:val="000F12F3"/>
    <w:rsid w:val="000F1B35"/>
    <w:rsid w:val="000F1DD5"/>
    <w:rsid w:val="000F1FCB"/>
    <w:rsid w:val="000F201C"/>
    <w:rsid w:val="000F2614"/>
    <w:rsid w:val="000F3660"/>
    <w:rsid w:val="000F390B"/>
    <w:rsid w:val="000F4590"/>
    <w:rsid w:val="000F4661"/>
    <w:rsid w:val="000F4836"/>
    <w:rsid w:val="000F4FE4"/>
    <w:rsid w:val="000F58E7"/>
    <w:rsid w:val="000F6E19"/>
    <w:rsid w:val="000F71BA"/>
    <w:rsid w:val="000F75E0"/>
    <w:rsid w:val="00100355"/>
    <w:rsid w:val="00100EDB"/>
    <w:rsid w:val="0010182A"/>
    <w:rsid w:val="00101A4E"/>
    <w:rsid w:val="00103F18"/>
    <w:rsid w:val="00104A24"/>
    <w:rsid w:val="00104A46"/>
    <w:rsid w:val="00105000"/>
    <w:rsid w:val="001055C2"/>
    <w:rsid w:val="00105FE0"/>
    <w:rsid w:val="001060C1"/>
    <w:rsid w:val="00106268"/>
    <w:rsid w:val="00107041"/>
    <w:rsid w:val="00107408"/>
    <w:rsid w:val="00107844"/>
    <w:rsid w:val="001078C0"/>
    <w:rsid w:val="00110900"/>
    <w:rsid w:val="00111AB2"/>
    <w:rsid w:val="00111BE6"/>
    <w:rsid w:val="00112F70"/>
    <w:rsid w:val="0011409E"/>
    <w:rsid w:val="00114399"/>
    <w:rsid w:val="001143E8"/>
    <w:rsid w:val="00114D89"/>
    <w:rsid w:val="00115245"/>
    <w:rsid w:val="00115B66"/>
    <w:rsid w:val="00115F23"/>
    <w:rsid w:val="00116524"/>
    <w:rsid w:val="00116775"/>
    <w:rsid w:val="00116ADA"/>
    <w:rsid w:val="0011705A"/>
    <w:rsid w:val="00117202"/>
    <w:rsid w:val="001173C1"/>
    <w:rsid w:val="0011763B"/>
    <w:rsid w:val="0011783C"/>
    <w:rsid w:val="0012061B"/>
    <w:rsid w:val="00120D0F"/>
    <w:rsid w:val="00120DB7"/>
    <w:rsid w:val="001210C6"/>
    <w:rsid w:val="00121310"/>
    <w:rsid w:val="001214B2"/>
    <w:rsid w:val="00122942"/>
    <w:rsid w:val="0012364D"/>
    <w:rsid w:val="00123DC2"/>
    <w:rsid w:val="0012426D"/>
    <w:rsid w:val="00124662"/>
    <w:rsid w:val="00124A62"/>
    <w:rsid w:val="00124F53"/>
    <w:rsid w:val="00125093"/>
    <w:rsid w:val="001250BB"/>
    <w:rsid w:val="00125437"/>
    <w:rsid w:val="00125973"/>
    <w:rsid w:val="00125BDA"/>
    <w:rsid w:val="0012605F"/>
    <w:rsid w:val="00126A19"/>
    <w:rsid w:val="00126ABB"/>
    <w:rsid w:val="00127ADA"/>
    <w:rsid w:val="00130F92"/>
    <w:rsid w:val="00131007"/>
    <w:rsid w:val="001312AE"/>
    <w:rsid w:val="001316BC"/>
    <w:rsid w:val="00131903"/>
    <w:rsid w:val="00131CCD"/>
    <w:rsid w:val="00132013"/>
    <w:rsid w:val="00133466"/>
    <w:rsid w:val="00133A23"/>
    <w:rsid w:val="00133B3D"/>
    <w:rsid w:val="00134036"/>
    <w:rsid w:val="00134B79"/>
    <w:rsid w:val="00135AB9"/>
    <w:rsid w:val="00135D48"/>
    <w:rsid w:val="00137929"/>
    <w:rsid w:val="00137B70"/>
    <w:rsid w:val="001401AA"/>
    <w:rsid w:val="00140B02"/>
    <w:rsid w:val="00141531"/>
    <w:rsid w:val="00141AF1"/>
    <w:rsid w:val="0014208E"/>
    <w:rsid w:val="00142DA7"/>
    <w:rsid w:val="0014316E"/>
    <w:rsid w:val="00143201"/>
    <w:rsid w:val="00143E0F"/>
    <w:rsid w:val="00143F69"/>
    <w:rsid w:val="001441DA"/>
    <w:rsid w:val="001453D4"/>
    <w:rsid w:val="00145483"/>
    <w:rsid w:val="001459A2"/>
    <w:rsid w:val="00145B6A"/>
    <w:rsid w:val="001468BA"/>
    <w:rsid w:val="00146DDD"/>
    <w:rsid w:val="0015010C"/>
    <w:rsid w:val="00150969"/>
    <w:rsid w:val="00150C6C"/>
    <w:rsid w:val="0015121B"/>
    <w:rsid w:val="00151489"/>
    <w:rsid w:val="00152005"/>
    <w:rsid w:val="00153BCD"/>
    <w:rsid w:val="00153F32"/>
    <w:rsid w:val="0015401D"/>
    <w:rsid w:val="0015434B"/>
    <w:rsid w:val="00154728"/>
    <w:rsid w:val="001550FF"/>
    <w:rsid w:val="00155865"/>
    <w:rsid w:val="00155FC8"/>
    <w:rsid w:val="0015650B"/>
    <w:rsid w:val="0015676D"/>
    <w:rsid w:val="001567D0"/>
    <w:rsid w:val="00156B8F"/>
    <w:rsid w:val="00157759"/>
    <w:rsid w:val="0015786A"/>
    <w:rsid w:val="00157C3E"/>
    <w:rsid w:val="00160D27"/>
    <w:rsid w:val="00160F54"/>
    <w:rsid w:val="001611C4"/>
    <w:rsid w:val="0016120F"/>
    <w:rsid w:val="0016155F"/>
    <w:rsid w:val="00161B42"/>
    <w:rsid w:val="00162196"/>
    <w:rsid w:val="00162B37"/>
    <w:rsid w:val="0016348C"/>
    <w:rsid w:val="001639ED"/>
    <w:rsid w:val="0016473A"/>
    <w:rsid w:val="00164BE7"/>
    <w:rsid w:val="00164DBA"/>
    <w:rsid w:val="00164DC2"/>
    <w:rsid w:val="001650A8"/>
    <w:rsid w:val="001652B4"/>
    <w:rsid w:val="00165401"/>
    <w:rsid w:val="00165468"/>
    <w:rsid w:val="0016546B"/>
    <w:rsid w:val="001657A3"/>
    <w:rsid w:val="00165AC4"/>
    <w:rsid w:val="00165F11"/>
    <w:rsid w:val="00167B5A"/>
    <w:rsid w:val="00167BB4"/>
    <w:rsid w:val="0017016C"/>
    <w:rsid w:val="00170479"/>
    <w:rsid w:val="00170D47"/>
    <w:rsid w:val="0017129E"/>
    <w:rsid w:val="00171543"/>
    <w:rsid w:val="00171C73"/>
    <w:rsid w:val="00172E31"/>
    <w:rsid w:val="00172F5D"/>
    <w:rsid w:val="001737A0"/>
    <w:rsid w:val="00173B17"/>
    <w:rsid w:val="00173C62"/>
    <w:rsid w:val="00173DFC"/>
    <w:rsid w:val="0017472F"/>
    <w:rsid w:val="0017491B"/>
    <w:rsid w:val="00174C8F"/>
    <w:rsid w:val="00174EBF"/>
    <w:rsid w:val="00174ECE"/>
    <w:rsid w:val="001750DB"/>
    <w:rsid w:val="0017518A"/>
    <w:rsid w:val="00175227"/>
    <w:rsid w:val="00175E7C"/>
    <w:rsid w:val="00177577"/>
    <w:rsid w:val="001779BC"/>
    <w:rsid w:val="00180CD7"/>
    <w:rsid w:val="001812DE"/>
    <w:rsid w:val="001822E1"/>
    <w:rsid w:val="00183192"/>
    <w:rsid w:val="00183E13"/>
    <w:rsid w:val="00183E73"/>
    <w:rsid w:val="00184934"/>
    <w:rsid w:val="001879BC"/>
    <w:rsid w:val="00190021"/>
    <w:rsid w:val="001907A0"/>
    <w:rsid w:val="00191573"/>
    <w:rsid w:val="00192693"/>
    <w:rsid w:val="00193169"/>
    <w:rsid w:val="0019325C"/>
    <w:rsid w:val="00193712"/>
    <w:rsid w:val="00193F31"/>
    <w:rsid w:val="00194234"/>
    <w:rsid w:val="0019451B"/>
    <w:rsid w:val="00195605"/>
    <w:rsid w:val="0019568E"/>
    <w:rsid w:val="001959BD"/>
    <w:rsid w:val="00196AFF"/>
    <w:rsid w:val="00197791"/>
    <w:rsid w:val="00197C67"/>
    <w:rsid w:val="001A00C1"/>
    <w:rsid w:val="001A0391"/>
    <w:rsid w:val="001A041B"/>
    <w:rsid w:val="001A1AFF"/>
    <w:rsid w:val="001A20AA"/>
    <w:rsid w:val="001A2212"/>
    <w:rsid w:val="001A2499"/>
    <w:rsid w:val="001A2FD7"/>
    <w:rsid w:val="001A308A"/>
    <w:rsid w:val="001A3450"/>
    <w:rsid w:val="001A4F94"/>
    <w:rsid w:val="001A594A"/>
    <w:rsid w:val="001A5CD8"/>
    <w:rsid w:val="001A6457"/>
    <w:rsid w:val="001A656E"/>
    <w:rsid w:val="001A7273"/>
    <w:rsid w:val="001A7558"/>
    <w:rsid w:val="001A7D24"/>
    <w:rsid w:val="001B053D"/>
    <w:rsid w:val="001B0765"/>
    <w:rsid w:val="001B07E0"/>
    <w:rsid w:val="001B091A"/>
    <w:rsid w:val="001B09A6"/>
    <w:rsid w:val="001B09DA"/>
    <w:rsid w:val="001B0CBC"/>
    <w:rsid w:val="001B0E3A"/>
    <w:rsid w:val="001B1309"/>
    <w:rsid w:val="001B1629"/>
    <w:rsid w:val="001B2181"/>
    <w:rsid w:val="001B2D50"/>
    <w:rsid w:val="001B3B19"/>
    <w:rsid w:val="001B4871"/>
    <w:rsid w:val="001B529A"/>
    <w:rsid w:val="001B5AE0"/>
    <w:rsid w:val="001B65A6"/>
    <w:rsid w:val="001C057A"/>
    <w:rsid w:val="001C0ADA"/>
    <w:rsid w:val="001C0BDD"/>
    <w:rsid w:val="001C2194"/>
    <w:rsid w:val="001C318A"/>
    <w:rsid w:val="001C3706"/>
    <w:rsid w:val="001C38A1"/>
    <w:rsid w:val="001C3AFA"/>
    <w:rsid w:val="001C3B8B"/>
    <w:rsid w:val="001C4804"/>
    <w:rsid w:val="001C566E"/>
    <w:rsid w:val="001C58CC"/>
    <w:rsid w:val="001C5BE4"/>
    <w:rsid w:val="001C5EF4"/>
    <w:rsid w:val="001C5FF8"/>
    <w:rsid w:val="001C61FF"/>
    <w:rsid w:val="001C77DD"/>
    <w:rsid w:val="001C7BF6"/>
    <w:rsid w:val="001C7C4D"/>
    <w:rsid w:val="001D0DC4"/>
    <w:rsid w:val="001D0E73"/>
    <w:rsid w:val="001D204D"/>
    <w:rsid w:val="001D2565"/>
    <w:rsid w:val="001D260C"/>
    <w:rsid w:val="001D36A0"/>
    <w:rsid w:val="001D397D"/>
    <w:rsid w:val="001D41F1"/>
    <w:rsid w:val="001D4275"/>
    <w:rsid w:val="001D4370"/>
    <w:rsid w:val="001D4CE9"/>
    <w:rsid w:val="001D4DF8"/>
    <w:rsid w:val="001D55F9"/>
    <w:rsid w:val="001D5949"/>
    <w:rsid w:val="001D636C"/>
    <w:rsid w:val="001D6642"/>
    <w:rsid w:val="001D6D38"/>
    <w:rsid w:val="001D77BF"/>
    <w:rsid w:val="001D7859"/>
    <w:rsid w:val="001D7E5F"/>
    <w:rsid w:val="001D7F9A"/>
    <w:rsid w:val="001E0460"/>
    <w:rsid w:val="001E060F"/>
    <w:rsid w:val="001E0613"/>
    <w:rsid w:val="001E0775"/>
    <w:rsid w:val="001E1114"/>
    <w:rsid w:val="001E1345"/>
    <w:rsid w:val="001E142F"/>
    <w:rsid w:val="001E1E7C"/>
    <w:rsid w:val="001E1F7D"/>
    <w:rsid w:val="001E23CC"/>
    <w:rsid w:val="001E2974"/>
    <w:rsid w:val="001E3931"/>
    <w:rsid w:val="001E447A"/>
    <w:rsid w:val="001E486C"/>
    <w:rsid w:val="001E50EA"/>
    <w:rsid w:val="001E5131"/>
    <w:rsid w:val="001E745E"/>
    <w:rsid w:val="001E77C7"/>
    <w:rsid w:val="001E7D22"/>
    <w:rsid w:val="001E7DA7"/>
    <w:rsid w:val="001F0066"/>
    <w:rsid w:val="001F03FC"/>
    <w:rsid w:val="001F0581"/>
    <w:rsid w:val="001F05C0"/>
    <w:rsid w:val="001F1468"/>
    <w:rsid w:val="001F1531"/>
    <w:rsid w:val="001F1D54"/>
    <w:rsid w:val="001F2977"/>
    <w:rsid w:val="001F2D4E"/>
    <w:rsid w:val="001F2E35"/>
    <w:rsid w:val="001F2E6B"/>
    <w:rsid w:val="001F36A0"/>
    <w:rsid w:val="001F3CAE"/>
    <w:rsid w:val="001F3D8E"/>
    <w:rsid w:val="001F6B28"/>
    <w:rsid w:val="001F7561"/>
    <w:rsid w:val="001F7976"/>
    <w:rsid w:val="001F7FC2"/>
    <w:rsid w:val="00200856"/>
    <w:rsid w:val="0020161E"/>
    <w:rsid w:val="00201FE1"/>
    <w:rsid w:val="0020229A"/>
    <w:rsid w:val="00202F97"/>
    <w:rsid w:val="00203048"/>
    <w:rsid w:val="00203FBE"/>
    <w:rsid w:val="002053DD"/>
    <w:rsid w:val="00205A8A"/>
    <w:rsid w:val="00206AB2"/>
    <w:rsid w:val="00207AFE"/>
    <w:rsid w:val="00207F92"/>
    <w:rsid w:val="002101BB"/>
    <w:rsid w:val="00210A60"/>
    <w:rsid w:val="00211100"/>
    <w:rsid w:val="00211E3E"/>
    <w:rsid w:val="00212A09"/>
    <w:rsid w:val="00212B52"/>
    <w:rsid w:val="002130C1"/>
    <w:rsid w:val="00213264"/>
    <w:rsid w:val="00213914"/>
    <w:rsid w:val="00213BDE"/>
    <w:rsid w:val="00214970"/>
    <w:rsid w:val="00214D52"/>
    <w:rsid w:val="00214EC6"/>
    <w:rsid w:val="00215B90"/>
    <w:rsid w:val="00215F5A"/>
    <w:rsid w:val="00216294"/>
    <w:rsid w:val="002169E8"/>
    <w:rsid w:val="00216A84"/>
    <w:rsid w:val="00216E31"/>
    <w:rsid w:val="002172D6"/>
    <w:rsid w:val="00217A1B"/>
    <w:rsid w:val="002204A3"/>
    <w:rsid w:val="002209DE"/>
    <w:rsid w:val="0022100D"/>
    <w:rsid w:val="00221808"/>
    <w:rsid w:val="0022241E"/>
    <w:rsid w:val="002235CA"/>
    <w:rsid w:val="00223928"/>
    <w:rsid w:val="00223968"/>
    <w:rsid w:val="00223AC3"/>
    <w:rsid w:val="00223EFD"/>
    <w:rsid w:val="0022426E"/>
    <w:rsid w:val="00224930"/>
    <w:rsid w:val="002253F7"/>
    <w:rsid w:val="00227680"/>
    <w:rsid w:val="002307F3"/>
    <w:rsid w:val="0023099F"/>
    <w:rsid w:val="00230D61"/>
    <w:rsid w:val="00230F16"/>
    <w:rsid w:val="00231437"/>
    <w:rsid w:val="00232418"/>
    <w:rsid w:val="00232962"/>
    <w:rsid w:val="00232E52"/>
    <w:rsid w:val="00233F36"/>
    <w:rsid w:val="002341F8"/>
    <w:rsid w:val="002346DB"/>
    <w:rsid w:val="00234C6F"/>
    <w:rsid w:val="00234E67"/>
    <w:rsid w:val="00234F35"/>
    <w:rsid w:val="00234F48"/>
    <w:rsid w:val="002351D9"/>
    <w:rsid w:val="0023625A"/>
    <w:rsid w:val="002368CF"/>
    <w:rsid w:val="00236918"/>
    <w:rsid w:val="0023769E"/>
    <w:rsid w:val="002376B6"/>
    <w:rsid w:val="0023795E"/>
    <w:rsid w:val="00237B60"/>
    <w:rsid w:val="0024005C"/>
    <w:rsid w:val="002400E6"/>
    <w:rsid w:val="00241917"/>
    <w:rsid w:val="00242380"/>
    <w:rsid w:val="002423C2"/>
    <w:rsid w:val="00242CDC"/>
    <w:rsid w:val="00242CFB"/>
    <w:rsid w:val="00243294"/>
    <w:rsid w:val="00243730"/>
    <w:rsid w:val="002437F9"/>
    <w:rsid w:val="00243E9C"/>
    <w:rsid w:val="0024456B"/>
    <w:rsid w:val="00245436"/>
    <w:rsid w:val="00245747"/>
    <w:rsid w:val="00245933"/>
    <w:rsid w:val="00246473"/>
    <w:rsid w:val="0024690C"/>
    <w:rsid w:val="00246FA7"/>
    <w:rsid w:val="002470CD"/>
    <w:rsid w:val="00247A69"/>
    <w:rsid w:val="00250982"/>
    <w:rsid w:val="00250D14"/>
    <w:rsid w:val="00251183"/>
    <w:rsid w:val="002516EE"/>
    <w:rsid w:val="00251D3D"/>
    <w:rsid w:val="00252625"/>
    <w:rsid w:val="00253A46"/>
    <w:rsid w:val="00253B4E"/>
    <w:rsid w:val="0025430A"/>
    <w:rsid w:val="002543D0"/>
    <w:rsid w:val="00254988"/>
    <w:rsid w:val="00254CD9"/>
    <w:rsid w:val="00254E57"/>
    <w:rsid w:val="00254EFF"/>
    <w:rsid w:val="0025579B"/>
    <w:rsid w:val="0025707E"/>
    <w:rsid w:val="00257764"/>
    <w:rsid w:val="002578D8"/>
    <w:rsid w:val="00257EED"/>
    <w:rsid w:val="0026073B"/>
    <w:rsid w:val="00260C2D"/>
    <w:rsid w:val="00260D57"/>
    <w:rsid w:val="00261A62"/>
    <w:rsid w:val="00261B4D"/>
    <w:rsid w:val="0026229C"/>
    <w:rsid w:val="00262464"/>
    <w:rsid w:val="00263729"/>
    <w:rsid w:val="00263E02"/>
    <w:rsid w:val="0026449D"/>
    <w:rsid w:val="00264DCB"/>
    <w:rsid w:val="00264F6C"/>
    <w:rsid w:val="002651F6"/>
    <w:rsid w:val="002665ED"/>
    <w:rsid w:val="0026664A"/>
    <w:rsid w:val="00266C60"/>
    <w:rsid w:val="00266D99"/>
    <w:rsid w:val="0026703D"/>
    <w:rsid w:val="00267293"/>
    <w:rsid w:val="002708EB"/>
    <w:rsid w:val="00270F2A"/>
    <w:rsid w:val="00272701"/>
    <w:rsid w:val="002730CD"/>
    <w:rsid w:val="002738C6"/>
    <w:rsid w:val="00273E45"/>
    <w:rsid w:val="00273FB9"/>
    <w:rsid w:val="002740A4"/>
    <w:rsid w:val="00274568"/>
    <w:rsid w:val="002749DA"/>
    <w:rsid w:val="00275010"/>
    <w:rsid w:val="00275123"/>
    <w:rsid w:val="0027593C"/>
    <w:rsid w:val="00275C46"/>
    <w:rsid w:val="002768F5"/>
    <w:rsid w:val="00276A99"/>
    <w:rsid w:val="00276AA7"/>
    <w:rsid w:val="0027781A"/>
    <w:rsid w:val="0027791B"/>
    <w:rsid w:val="00277E90"/>
    <w:rsid w:val="00280979"/>
    <w:rsid w:val="0028118C"/>
    <w:rsid w:val="00282000"/>
    <w:rsid w:val="002830AA"/>
    <w:rsid w:val="00283725"/>
    <w:rsid w:val="0028385F"/>
    <w:rsid w:val="00283DF8"/>
    <w:rsid w:val="0028451D"/>
    <w:rsid w:val="0028471A"/>
    <w:rsid w:val="00285A6F"/>
    <w:rsid w:val="00285AFC"/>
    <w:rsid w:val="00285E30"/>
    <w:rsid w:val="002861E8"/>
    <w:rsid w:val="00286941"/>
    <w:rsid w:val="00286E0F"/>
    <w:rsid w:val="00287E8B"/>
    <w:rsid w:val="00290D42"/>
    <w:rsid w:val="00290D86"/>
    <w:rsid w:val="002919F1"/>
    <w:rsid w:val="00292736"/>
    <w:rsid w:val="00293B6C"/>
    <w:rsid w:val="00293CC6"/>
    <w:rsid w:val="002941ED"/>
    <w:rsid w:val="002945C4"/>
    <w:rsid w:val="00295B13"/>
    <w:rsid w:val="00295C87"/>
    <w:rsid w:val="00295FB9"/>
    <w:rsid w:val="002964EC"/>
    <w:rsid w:val="00296635"/>
    <w:rsid w:val="00296715"/>
    <w:rsid w:val="00296B0A"/>
    <w:rsid w:val="00296E2E"/>
    <w:rsid w:val="00296FA6"/>
    <w:rsid w:val="00297AB2"/>
    <w:rsid w:val="00297B28"/>
    <w:rsid w:val="00297CD4"/>
    <w:rsid w:val="002A02E1"/>
    <w:rsid w:val="002A033E"/>
    <w:rsid w:val="002A05D9"/>
    <w:rsid w:val="002A0B6B"/>
    <w:rsid w:val="002A155E"/>
    <w:rsid w:val="002A1870"/>
    <w:rsid w:val="002A20ED"/>
    <w:rsid w:val="002A27C9"/>
    <w:rsid w:val="002A29CB"/>
    <w:rsid w:val="002A2EC3"/>
    <w:rsid w:val="002A3E4C"/>
    <w:rsid w:val="002A414E"/>
    <w:rsid w:val="002A41E2"/>
    <w:rsid w:val="002A42E3"/>
    <w:rsid w:val="002A4D60"/>
    <w:rsid w:val="002A53A6"/>
    <w:rsid w:val="002A5411"/>
    <w:rsid w:val="002A6480"/>
    <w:rsid w:val="002A64EF"/>
    <w:rsid w:val="002A6C61"/>
    <w:rsid w:val="002A72E7"/>
    <w:rsid w:val="002A7487"/>
    <w:rsid w:val="002B04FF"/>
    <w:rsid w:val="002B1040"/>
    <w:rsid w:val="002B1672"/>
    <w:rsid w:val="002B19BF"/>
    <w:rsid w:val="002B3426"/>
    <w:rsid w:val="002B3869"/>
    <w:rsid w:val="002B39F3"/>
    <w:rsid w:val="002B4223"/>
    <w:rsid w:val="002B48B0"/>
    <w:rsid w:val="002B4B3D"/>
    <w:rsid w:val="002B6034"/>
    <w:rsid w:val="002C0251"/>
    <w:rsid w:val="002C0292"/>
    <w:rsid w:val="002C2FC7"/>
    <w:rsid w:val="002C3D8A"/>
    <w:rsid w:val="002C3E50"/>
    <w:rsid w:val="002C47ED"/>
    <w:rsid w:val="002C4854"/>
    <w:rsid w:val="002C4AE6"/>
    <w:rsid w:val="002C4E67"/>
    <w:rsid w:val="002C5866"/>
    <w:rsid w:val="002C5CE9"/>
    <w:rsid w:val="002C5FA6"/>
    <w:rsid w:val="002C64D4"/>
    <w:rsid w:val="002C72C1"/>
    <w:rsid w:val="002C78D8"/>
    <w:rsid w:val="002C7E8F"/>
    <w:rsid w:val="002D0463"/>
    <w:rsid w:val="002D06B4"/>
    <w:rsid w:val="002D0D85"/>
    <w:rsid w:val="002D113B"/>
    <w:rsid w:val="002D1185"/>
    <w:rsid w:val="002D1A05"/>
    <w:rsid w:val="002D1DCA"/>
    <w:rsid w:val="002D203C"/>
    <w:rsid w:val="002D2604"/>
    <w:rsid w:val="002D307B"/>
    <w:rsid w:val="002D34CB"/>
    <w:rsid w:val="002D3BDC"/>
    <w:rsid w:val="002D3EC9"/>
    <w:rsid w:val="002D4178"/>
    <w:rsid w:val="002D436D"/>
    <w:rsid w:val="002D4426"/>
    <w:rsid w:val="002D4622"/>
    <w:rsid w:val="002D494B"/>
    <w:rsid w:val="002D4DF1"/>
    <w:rsid w:val="002D4F6A"/>
    <w:rsid w:val="002D54F2"/>
    <w:rsid w:val="002D57EA"/>
    <w:rsid w:val="002D58ED"/>
    <w:rsid w:val="002D616A"/>
    <w:rsid w:val="002D6260"/>
    <w:rsid w:val="002D635F"/>
    <w:rsid w:val="002D64B9"/>
    <w:rsid w:val="002D6A5F"/>
    <w:rsid w:val="002D71F1"/>
    <w:rsid w:val="002D7496"/>
    <w:rsid w:val="002D750A"/>
    <w:rsid w:val="002E0599"/>
    <w:rsid w:val="002E1E8E"/>
    <w:rsid w:val="002E2146"/>
    <w:rsid w:val="002E2700"/>
    <w:rsid w:val="002E30D6"/>
    <w:rsid w:val="002E3223"/>
    <w:rsid w:val="002E3F05"/>
    <w:rsid w:val="002E3F75"/>
    <w:rsid w:val="002E48E8"/>
    <w:rsid w:val="002E4B25"/>
    <w:rsid w:val="002E4F54"/>
    <w:rsid w:val="002E5025"/>
    <w:rsid w:val="002E59C3"/>
    <w:rsid w:val="002E5FF6"/>
    <w:rsid w:val="002E6613"/>
    <w:rsid w:val="002E68D9"/>
    <w:rsid w:val="002E6C8A"/>
    <w:rsid w:val="002E70D5"/>
    <w:rsid w:val="002E724B"/>
    <w:rsid w:val="002E7651"/>
    <w:rsid w:val="002E786A"/>
    <w:rsid w:val="002E796A"/>
    <w:rsid w:val="002E7BB3"/>
    <w:rsid w:val="002E7E73"/>
    <w:rsid w:val="002E7FDB"/>
    <w:rsid w:val="002F03B7"/>
    <w:rsid w:val="002F12CF"/>
    <w:rsid w:val="002F13F9"/>
    <w:rsid w:val="002F179E"/>
    <w:rsid w:val="002F17CD"/>
    <w:rsid w:val="002F23AD"/>
    <w:rsid w:val="002F269D"/>
    <w:rsid w:val="002F3120"/>
    <w:rsid w:val="002F38B6"/>
    <w:rsid w:val="002F3D9A"/>
    <w:rsid w:val="002F3F6E"/>
    <w:rsid w:val="002F4438"/>
    <w:rsid w:val="002F44A8"/>
    <w:rsid w:val="002F450F"/>
    <w:rsid w:val="002F4DB3"/>
    <w:rsid w:val="002F52EB"/>
    <w:rsid w:val="002F5701"/>
    <w:rsid w:val="002F5D3B"/>
    <w:rsid w:val="002F5E51"/>
    <w:rsid w:val="002F6A67"/>
    <w:rsid w:val="002F7953"/>
    <w:rsid w:val="002F7E5A"/>
    <w:rsid w:val="00300D09"/>
    <w:rsid w:val="00301246"/>
    <w:rsid w:val="003015A2"/>
    <w:rsid w:val="00302050"/>
    <w:rsid w:val="003020E0"/>
    <w:rsid w:val="0030242D"/>
    <w:rsid w:val="003027FB"/>
    <w:rsid w:val="00302CA8"/>
    <w:rsid w:val="00302EBF"/>
    <w:rsid w:val="00302F6F"/>
    <w:rsid w:val="0030423E"/>
    <w:rsid w:val="00306A46"/>
    <w:rsid w:val="00306F13"/>
    <w:rsid w:val="0030786B"/>
    <w:rsid w:val="0030786F"/>
    <w:rsid w:val="00307ADD"/>
    <w:rsid w:val="0031001C"/>
    <w:rsid w:val="0031072D"/>
    <w:rsid w:val="00310E3A"/>
    <w:rsid w:val="00311540"/>
    <w:rsid w:val="00313F09"/>
    <w:rsid w:val="003142CB"/>
    <w:rsid w:val="00314652"/>
    <w:rsid w:val="00314713"/>
    <w:rsid w:val="00315657"/>
    <w:rsid w:val="00315C08"/>
    <w:rsid w:val="003164E3"/>
    <w:rsid w:val="0031674B"/>
    <w:rsid w:val="00316ABA"/>
    <w:rsid w:val="00320434"/>
    <w:rsid w:val="0032085D"/>
    <w:rsid w:val="00320976"/>
    <w:rsid w:val="003210CC"/>
    <w:rsid w:val="00321382"/>
    <w:rsid w:val="00321949"/>
    <w:rsid w:val="00321AF2"/>
    <w:rsid w:val="00321B2B"/>
    <w:rsid w:val="00321B77"/>
    <w:rsid w:val="00322320"/>
    <w:rsid w:val="0032281E"/>
    <w:rsid w:val="00322C65"/>
    <w:rsid w:val="00322FFF"/>
    <w:rsid w:val="003233E5"/>
    <w:rsid w:val="00323598"/>
    <w:rsid w:val="003237DC"/>
    <w:rsid w:val="00323B14"/>
    <w:rsid w:val="003243A3"/>
    <w:rsid w:val="00324CE5"/>
    <w:rsid w:val="00325DA4"/>
    <w:rsid w:val="00326267"/>
    <w:rsid w:val="00327108"/>
    <w:rsid w:val="00327290"/>
    <w:rsid w:val="003277DB"/>
    <w:rsid w:val="003304D2"/>
    <w:rsid w:val="00331956"/>
    <w:rsid w:val="00332113"/>
    <w:rsid w:val="0033242B"/>
    <w:rsid w:val="00332969"/>
    <w:rsid w:val="00332E2C"/>
    <w:rsid w:val="00333BED"/>
    <w:rsid w:val="00333EAB"/>
    <w:rsid w:val="00334DDA"/>
    <w:rsid w:val="0033526D"/>
    <w:rsid w:val="00335357"/>
    <w:rsid w:val="003364D2"/>
    <w:rsid w:val="0033663E"/>
    <w:rsid w:val="003366E2"/>
    <w:rsid w:val="00337520"/>
    <w:rsid w:val="003377E4"/>
    <w:rsid w:val="003378F6"/>
    <w:rsid w:val="0033792D"/>
    <w:rsid w:val="003379B6"/>
    <w:rsid w:val="00337BFA"/>
    <w:rsid w:val="00337DD1"/>
    <w:rsid w:val="0034022B"/>
    <w:rsid w:val="003402BE"/>
    <w:rsid w:val="00340548"/>
    <w:rsid w:val="00340833"/>
    <w:rsid w:val="00340D11"/>
    <w:rsid w:val="003411B4"/>
    <w:rsid w:val="0034200E"/>
    <w:rsid w:val="0034225F"/>
    <w:rsid w:val="003423FB"/>
    <w:rsid w:val="003433A5"/>
    <w:rsid w:val="00343D1C"/>
    <w:rsid w:val="00344380"/>
    <w:rsid w:val="003448CE"/>
    <w:rsid w:val="00344AA2"/>
    <w:rsid w:val="00344EEC"/>
    <w:rsid w:val="00345162"/>
    <w:rsid w:val="00345E57"/>
    <w:rsid w:val="003463F5"/>
    <w:rsid w:val="00346597"/>
    <w:rsid w:val="00346CD5"/>
    <w:rsid w:val="0034732B"/>
    <w:rsid w:val="00347644"/>
    <w:rsid w:val="00347A57"/>
    <w:rsid w:val="00347D50"/>
    <w:rsid w:val="00347E7E"/>
    <w:rsid w:val="0035082C"/>
    <w:rsid w:val="00350D1F"/>
    <w:rsid w:val="00350E9F"/>
    <w:rsid w:val="00351177"/>
    <w:rsid w:val="00351867"/>
    <w:rsid w:val="00351EB9"/>
    <w:rsid w:val="00351FDF"/>
    <w:rsid w:val="00352816"/>
    <w:rsid w:val="0035298A"/>
    <w:rsid w:val="00352C3F"/>
    <w:rsid w:val="00353582"/>
    <w:rsid w:val="00354229"/>
    <w:rsid w:val="00354CA1"/>
    <w:rsid w:val="00355250"/>
    <w:rsid w:val="003552D4"/>
    <w:rsid w:val="00355381"/>
    <w:rsid w:val="0035551B"/>
    <w:rsid w:val="00355B81"/>
    <w:rsid w:val="0035666A"/>
    <w:rsid w:val="0035685F"/>
    <w:rsid w:val="003571FA"/>
    <w:rsid w:val="003574FA"/>
    <w:rsid w:val="0035772D"/>
    <w:rsid w:val="003605CA"/>
    <w:rsid w:val="00360A8C"/>
    <w:rsid w:val="0036107E"/>
    <w:rsid w:val="0036173D"/>
    <w:rsid w:val="00361B40"/>
    <w:rsid w:val="00361C31"/>
    <w:rsid w:val="0036200C"/>
    <w:rsid w:val="00362780"/>
    <w:rsid w:val="00362D56"/>
    <w:rsid w:val="00362E58"/>
    <w:rsid w:val="003631D1"/>
    <w:rsid w:val="003636C1"/>
    <w:rsid w:val="00363775"/>
    <w:rsid w:val="003640A3"/>
    <w:rsid w:val="00364101"/>
    <w:rsid w:val="00364692"/>
    <w:rsid w:val="00365830"/>
    <w:rsid w:val="00365917"/>
    <w:rsid w:val="00365A12"/>
    <w:rsid w:val="00365BE3"/>
    <w:rsid w:val="003663D8"/>
    <w:rsid w:val="00366B8C"/>
    <w:rsid w:val="003675A8"/>
    <w:rsid w:val="00367714"/>
    <w:rsid w:val="00367A42"/>
    <w:rsid w:val="0037030F"/>
    <w:rsid w:val="003703CE"/>
    <w:rsid w:val="00370430"/>
    <w:rsid w:val="00370D8B"/>
    <w:rsid w:val="00371507"/>
    <w:rsid w:val="003718A7"/>
    <w:rsid w:val="00372CBD"/>
    <w:rsid w:val="00372D14"/>
    <w:rsid w:val="00372F18"/>
    <w:rsid w:val="00373547"/>
    <w:rsid w:val="003739AA"/>
    <w:rsid w:val="00373C3F"/>
    <w:rsid w:val="00373C7E"/>
    <w:rsid w:val="00373F9A"/>
    <w:rsid w:val="00374764"/>
    <w:rsid w:val="00375BE7"/>
    <w:rsid w:val="00376260"/>
    <w:rsid w:val="00376B0F"/>
    <w:rsid w:val="003773F2"/>
    <w:rsid w:val="0037753B"/>
    <w:rsid w:val="00377B92"/>
    <w:rsid w:val="00377B94"/>
    <w:rsid w:val="003800E2"/>
    <w:rsid w:val="003804B1"/>
    <w:rsid w:val="00381242"/>
    <w:rsid w:val="0038157E"/>
    <w:rsid w:val="00381D0F"/>
    <w:rsid w:val="00381DE5"/>
    <w:rsid w:val="00382434"/>
    <w:rsid w:val="00382E36"/>
    <w:rsid w:val="003848B1"/>
    <w:rsid w:val="00384ED6"/>
    <w:rsid w:val="00385006"/>
    <w:rsid w:val="00385579"/>
    <w:rsid w:val="00385CF6"/>
    <w:rsid w:val="00385E15"/>
    <w:rsid w:val="00386437"/>
    <w:rsid w:val="00386BC7"/>
    <w:rsid w:val="00387DE2"/>
    <w:rsid w:val="0039031B"/>
    <w:rsid w:val="00390810"/>
    <w:rsid w:val="00390B8B"/>
    <w:rsid w:val="00391307"/>
    <w:rsid w:val="00392844"/>
    <w:rsid w:val="00392990"/>
    <w:rsid w:val="0039447D"/>
    <w:rsid w:val="00394779"/>
    <w:rsid w:val="003947BF"/>
    <w:rsid w:val="00395DFD"/>
    <w:rsid w:val="0039615F"/>
    <w:rsid w:val="00396313"/>
    <w:rsid w:val="00396697"/>
    <w:rsid w:val="0039673B"/>
    <w:rsid w:val="00396FE4"/>
    <w:rsid w:val="003974D7"/>
    <w:rsid w:val="00397C50"/>
    <w:rsid w:val="00397D1B"/>
    <w:rsid w:val="003A0085"/>
    <w:rsid w:val="003A01AE"/>
    <w:rsid w:val="003A0313"/>
    <w:rsid w:val="003A0790"/>
    <w:rsid w:val="003A0CB9"/>
    <w:rsid w:val="003A0E19"/>
    <w:rsid w:val="003A0F42"/>
    <w:rsid w:val="003A1665"/>
    <w:rsid w:val="003A1928"/>
    <w:rsid w:val="003A1FB4"/>
    <w:rsid w:val="003A22B4"/>
    <w:rsid w:val="003A23DB"/>
    <w:rsid w:val="003A2561"/>
    <w:rsid w:val="003A269B"/>
    <w:rsid w:val="003A3548"/>
    <w:rsid w:val="003A367D"/>
    <w:rsid w:val="003A3A10"/>
    <w:rsid w:val="003A463D"/>
    <w:rsid w:val="003A5026"/>
    <w:rsid w:val="003A54CA"/>
    <w:rsid w:val="003A54EC"/>
    <w:rsid w:val="003A56C5"/>
    <w:rsid w:val="003A60E8"/>
    <w:rsid w:val="003A64C9"/>
    <w:rsid w:val="003A6ED6"/>
    <w:rsid w:val="003A6EDD"/>
    <w:rsid w:val="003B0110"/>
    <w:rsid w:val="003B0573"/>
    <w:rsid w:val="003B1034"/>
    <w:rsid w:val="003B1DD8"/>
    <w:rsid w:val="003B1EFC"/>
    <w:rsid w:val="003B2C36"/>
    <w:rsid w:val="003B2D29"/>
    <w:rsid w:val="003B2DE0"/>
    <w:rsid w:val="003B3ACE"/>
    <w:rsid w:val="003B3B38"/>
    <w:rsid w:val="003B428A"/>
    <w:rsid w:val="003B49E4"/>
    <w:rsid w:val="003B4A1F"/>
    <w:rsid w:val="003B4F6D"/>
    <w:rsid w:val="003B528B"/>
    <w:rsid w:val="003B54C7"/>
    <w:rsid w:val="003B5608"/>
    <w:rsid w:val="003B5622"/>
    <w:rsid w:val="003B6F8B"/>
    <w:rsid w:val="003B7156"/>
    <w:rsid w:val="003B7524"/>
    <w:rsid w:val="003C060F"/>
    <w:rsid w:val="003C075C"/>
    <w:rsid w:val="003C0D92"/>
    <w:rsid w:val="003C0DF1"/>
    <w:rsid w:val="003C199D"/>
    <w:rsid w:val="003C20C9"/>
    <w:rsid w:val="003C3A14"/>
    <w:rsid w:val="003C3D1B"/>
    <w:rsid w:val="003C40D7"/>
    <w:rsid w:val="003C42BE"/>
    <w:rsid w:val="003C4599"/>
    <w:rsid w:val="003C46C0"/>
    <w:rsid w:val="003C4A04"/>
    <w:rsid w:val="003C4E9C"/>
    <w:rsid w:val="003C5975"/>
    <w:rsid w:val="003C6D8E"/>
    <w:rsid w:val="003C6F44"/>
    <w:rsid w:val="003C7290"/>
    <w:rsid w:val="003C74B4"/>
    <w:rsid w:val="003C76B2"/>
    <w:rsid w:val="003C785A"/>
    <w:rsid w:val="003C7EF1"/>
    <w:rsid w:val="003D130B"/>
    <w:rsid w:val="003D139F"/>
    <w:rsid w:val="003D2367"/>
    <w:rsid w:val="003D26A6"/>
    <w:rsid w:val="003D295D"/>
    <w:rsid w:val="003D2EA8"/>
    <w:rsid w:val="003D3D85"/>
    <w:rsid w:val="003D4381"/>
    <w:rsid w:val="003D4EFC"/>
    <w:rsid w:val="003D5332"/>
    <w:rsid w:val="003D6C2F"/>
    <w:rsid w:val="003D6D58"/>
    <w:rsid w:val="003D7FD0"/>
    <w:rsid w:val="003E0545"/>
    <w:rsid w:val="003E0F70"/>
    <w:rsid w:val="003E1BCF"/>
    <w:rsid w:val="003E24EA"/>
    <w:rsid w:val="003E2957"/>
    <w:rsid w:val="003E2F4A"/>
    <w:rsid w:val="003E36B6"/>
    <w:rsid w:val="003E3ADD"/>
    <w:rsid w:val="003E45E8"/>
    <w:rsid w:val="003E4764"/>
    <w:rsid w:val="003E4A0B"/>
    <w:rsid w:val="003E521C"/>
    <w:rsid w:val="003E5F73"/>
    <w:rsid w:val="003E60F9"/>
    <w:rsid w:val="003E63AC"/>
    <w:rsid w:val="003E63C2"/>
    <w:rsid w:val="003E64CD"/>
    <w:rsid w:val="003E6788"/>
    <w:rsid w:val="003E754A"/>
    <w:rsid w:val="003E7624"/>
    <w:rsid w:val="003F018C"/>
    <w:rsid w:val="003F01F3"/>
    <w:rsid w:val="003F09BA"/>
    <w:rsid w:val="003F0B99"/>
    <w:rsid w:val="003F0E59"/>
    <w:rsid w:val="003F197A"/>
    <w:rsid w:val="003F3BF3"/>
    <w:rsid w:val="003F462F"/>
    <w:rsid w:val="003F5B4E"/>
    <w:rsid w:val="003F6BE7"/>
    <w:rsid w:val="003F7649"/>
    <w:rsid w:val="003F7DD4"/>
    <w:rsid w:val="003F7FBE"/>
    <w:rsid w:val="0040011B"/>
    <w:rsid w:val="004008D2"/>
    <w:rsid w:val="00400A31"/>
    <w:rsid w:val="0040158D"/>
    <w:rsid w:val="0040188D"/>
    <w:rsid w:val="00401DC8"/>
    <w:rsid w:val="00402DEF"/>
    <w:rsid w:val="00403234"/>
    <w:rsid w:val="00404108"/>
    <w:rsid w:val="00404760"/>
    <w:rsid w:val="00404F05"/>
    <w:rsid w:val="00404F42"/>
    <w:rsid w:val="00405CDA"/>
    <w:rsid w:val="00405E30"/>
    <w:rsid w:val="0040616D"/>
    <w:rsid w:val="0040676E"/>
    <w:rsid w:val="00406923"/>
    <w:rsid w:val="00407776"/>
    <w:rsid w:val="00407DCB"/>
    <w:rsid w:val="0041008C"/>
    <w:rsid w:val="004102F8"/>
    <w:rsid w:val="0041032D"/>
    <w:rsid w:val="004108FF"/>
    <w:rsid w:val="00410959"/>
    <w:rsid w:val="00411184"/>
    <w:rsid w:val="004112E3"/>
    <w:rsid w:val="00411ECB"/>
    <w:rsid w:val="00412A22"/>
    <w:rsid w:val="00412D3E"/>
    <w:rsid w:val="004138A7"/>
    <w:rsid w:val="00413A73"/>
    <w:rsid w:val="00414491"/>
    <w:rsid w:val="00414E77"/>
    <w:rsid w:val="00414F15"/>
    <w:rsid w:val="004158AA"/>
    <w:rsid w:val="004159A7"/>
    <w:rsid w:val="004163D1"/>
    <w:rsid w:val="00416FFF"/>
    <w:rsid w:val="0041788F"/>
    <w:rsid w:val="00417B55"/>
    <w:rsid w:val="00420074"/>
    <w:rsid w:val="00420462"/>
    <w:rsid w:val="0042067C"/>
    <w:rsid w:val="004225C0"/>
    <w:rsid w:val="0042348C"/>
    <w:rsid w:val="004236B7"/>
    <w:rsid w:val="0042399B"/>
    <w:rsid w:val="0042504D"/>
    <w:rsid w:val="0042517A"/>
    <w:rsid w:val="0042610A"/>
    <w:rsid w:val="004263DD"/>
    <w:rsid w:val="00427140"/>
    <w:rsid w:val="00427A9D"/>
    <w:rsid w:val="00427E55"/>
    <w:rsid w:val="00430E10"/>
    <w:rsid w:val="00431021"/>
    <w:rsid w:val="0043126A"/>
    <w:rsid w:val="004315A6"/>
    <w:rsid w:val="00431E90"/>
    <w:rsid w:val="00432602"/>
    <w:rsid w:val="00432B1E"/>
    <w:rsid w:val="00432DF3"/>
    <w:rsid w:val="00433693"/>
    <w:rsid w:val="0043380F"/>
    <w:rsid w:val="00434260"/>
    <w:rsid w:val="004343C6"/>
    <w:rsid w:val="00434441"/>
    <w:rsid w:val="0043494A"/>
    <w:rsid w:val="0043552E"/>
    <w:rsid w:val="00436996"/>
    <w:rsid w:val="004370E8"/>
    <w:rsid w:val="00437849"/>
    <w:rsid w:val="00437CC8"/>
    <w:rsid w:val="00440B4D"/>
    <w:rsid w:val="00440D55"/>
    <w:rsid w:val="0044146E"/>
    <w:rsid w:val="00441696"/>
    <w:rsid w:val="00441D0E"/>
    <w:rsid w:val="0044236C"/>
    <w:rsid w:val="00442C23"/>
    <w:rsid w:val="00443A63"/>
    <w:rsid w:val="004444FE"/>
    <w:rsid w:val="00445649"/>
    <w:rsid w:val="00445B9B"/>
    <w:rsid w:val="00446172"/>
    <w:rsid w:val="004462A3"/>
    <w:rsid w:val="004469AE"/>
    <w:rsid w:val="00446C5D"/>
    <w:rsid w:val="00446D3E"/>
    <w:rsid w:val="00446DAF"/>
    <w:rsid w:val="004472C4"/>
    <w:rsid w:val="004475C5"/>
    <w:rsid w:val="0044775E"/>
    <w:rsid w:val="00447D4F"/>
    <w:rsid w:val="00447E49"/>
    <w:rsid w:val="00447ED7"/>
    <w:rsid w:val="00450848"/>
    <w:rsid w:val="0045091A"/>
    <w:rsid w:val="00450988"/>
    <w:rsid w:val="00450A43"/>
    <w:rsid w:val="00450C57"/>
    <w:rsid w:val="004511B4"/>
    <w:rsid w:val="00451533"/>
    <w:rsid w:val="00451B01"/>
    <w:rsid w:val="00452AA9"/>
    <w:rsid w:val="00452EDC"/>
    <w:rsid w:val="00452F24"/>
    <w:rsid w:val="00453278"/>
    <w:rsid w:val="00454018"/>
    <w:rsid w:val="004548FA"/>
    <w:rsid w:val="00455CF9"/>
    <w:rsid w:val="00456092"/>
    <w:rsid w:val="00456D6B"/>
    <w:rsid w:val="00456FFD"/>
    <w:rsid w:val="00457466"/>
    <w:rsid w:val="004574B7"/>
    <w:rsid w:val="004579D5"/>
    <w:rsid w:val="00457DD8"/>
    <w:rsid w:val="004609DA"/>
    <w:rsid w:val="0046101D"/>
    <w:rsid w:val="00461699"/>
    <w:rsid w:val="00461849"/>
    <w:rsid w:val="00461C68"/>
    <w:rsid w:val="00462590"/>
    <w:rsid w:val="00462C6F"/>
    <w:rsid w:val="00464048"/>
    <w:rsid w:val="0046416D"/>
    <w:rsid w:val="004643C0"/>
    <w:rsid w:val="00464948"/>
    <w:rsid w:val="00464FCF"/>
    <w:rsid w:val="004651B8"/>
    <w:rsid w:val="00465206"/>
    <w:rsid w:val="00465689"/>
    <w:rsid w:val="004656F0"/>
    <w:rsid w:val="0046580B"/>
    <w:rsid w:val="004661F8"/>
    <w:rsid w:val="00466EED"/>
    <w:rsid w:val="00467E72"/>
    <w:rsid w:val="00467EFD"/>
    <w:rsid w:val="0047035C"/>
    <w:rsid w:val="00470636"/>
    <w:rsid w:val="004711BE"/>
    <w:rsid w:val="004712CC"/>
    <w:rsid w:val="004716A9"/>
    <w:rsid w:val="00471CD6"/>
    <w:rsid w:val="00471DAE"/>
    <w:rsid w:val="004724C4"/>
    <w:rsid w:val="00472C2D"/>
    <w:rsid w:val="00473818"/>
    <w:rsid w:val="00474025"/>
    <w:rsid w:val="004742B6"/>
    <w:rsid w:val="0047447E"/>
    <w:rsid w:val="004744FB"/>
    <w:rsid w:val="00474622"/>
    <w:rsid w:val="004748B6"/>
    <w:rsid w:val="00474AD0"/>
    <w:rsid w:val="00475159"/>
    <w:rsid w:val="004751E6"/>
    <w:rsid w:val="00475602"/>
    <w:rsid w:val="0047571E"/>
    <w:rsid w:val="00475A8C"/>
    <w:rsid w:val="00475B92"/>
    <w:rsid w:val="004763AB"/>
    <w:rsid w:val="00476B8D"/>
    <w:rsid w:val="00476EC1"/>
    <w:rsid w:val="004776BE"/>
    <w:rsid w:val="00480AAB"/>
    <w:rsid w:val="0048126B"/>
    <w:rsid w:val="004818C0"/>
    <w:rsid w:val="00481F55"/>
    <w:rsid w:val="0048276D"/>
    <w:rsid w:val="00482EB0"/>
    <w:rsid w:val="00483DED"/>
    <w:rsid w:val="00484220"/>
    <w:rsid w:val="00484575"/>
    <w:rsid w:val="0048472E"/>
    <w:rsid w:val="00484DFD"/>
    <w:rsid w:val="004853BD"/>
    <w:rsid w:val="00485D93"/>
    <w:rsid w:val="00485E1C"/>
    <w:rsid w:val="00485F07"/>
    <w:rsid w:val="004862C8"/>
    <w:rsid w:val="004868D6"/>
    <w:rsid w:val="00486E27"/>
    <w:rsid w:val="0048727C"/>
    <w:rsid w:val="00487843"/>
    <w:rsid w:val="00487C22"/>
    <w:rsid w:val="004907DD"/>
    <w:rsid w:val="0049096C"/>
    <w:rsid w:val="00491252"/>
    <w:rsid w:val="0049143A"/>
    <w:rsid w:val="0049176E"/>
    <w:rsid w:val="00491EE2"/>
    <w:rsid w:val="004922F0"/>
    <w:rsid w:val="004927FF"/>
    <w:rsid w:val="004928D9"/>
    <w:rsid w:val="0049299B"/>
    <w:rsid w:val="00492B73"/>
    <w:rsid w:val="00493116"/>
    <w:rsid w:val="00493426"/>
    <w:rsid w:val="004937E8"/>
    <w:rsid w:val="00493E23"/>
    <w:rsid w:val="00494E4F"/>
    <w:rsid w:val="004956AD"/>
    <w:rsid w:val="004962E9"/>
    <w:rsid w:val="00496FF2"/>
    <w:rsid w:val="0049731A"/>
    <w:rsid w:val="00497442"/>
    <w:rsid w:val="004A02B0"/>
    <w:rsid w:val="004A1806"/>
    <w:rsid w:val="004A1968"/>
    <w:rsid w:val="004A1ACE"/>
    <w:rsid w:val="004A1EA1"/>
    <w:rsid w:val="004A32F5"/>
    <w:rsid w:val="004A37CD"/>
    <w:rsid w:val="004A383D"/>
    <w:rsid w:val="004A468E"/>
    <w:rsid w:val="004A4A12"/>
    <w:rsid w:val="004A581D"/>
    <w:rsid w:val="004A5A06"/>
    <w:rsid w:val="004A5EE9"/>
    <w:rsid w:val="004A63CC"/>
    <w:rsid w:val="004A6508"/>
    <w:rsid w:val="004A6819"/>
    <w:rsid w:val="004B027B"/>
    <w:rsid w:val="004B08C4"/>
    <w:rsid w:val="004B0E80"/>
    <w:rsid w:val="004B1421"/>
    <w:rsid w:val="004B2BDB"/>
    <w:rsid w:val="004B2F40"/>
    <w:rsid w:val="004B3290"/>
    <w:rsid w:val="004B3536"/>
    <w:rsid w:val="004B3E28"/>
    <w:rsid w:val="004B4530"/>
    <w:rsid w:val="004B45BF"/>
    <w:rsid w:val="004B4BBD"/>
    <w:rsid w:val="004B5119"/>
    <w:rsid w:val="004B5C5F"/>
    <w:rsid w:val="004B5DF1"/>
    <w:rsid w:val="004B5EE2"/>
    <w:rsid w:val="004B6E2D"/>
    <w:rsid w:val="004B770C"/>
    <w:rsid w:val="004B7B48"/>
    <w:rsid w:val="004C0186"/>
    <w:rsid w:val="004C0BEF"/>
    <w:rsid w:val="004C1C13"/>
    <w:rsid w:val="004C2231"/>
    <w:rsid w:val="004C24F9"/>
    <w:rsid w:val="004C3192"/>
    <w:rsid w:val="004C39F9"/>
    <w:rsid w:val="004C3C81"/>
    <w:rsid w:val="004C3EAD"/>
    <w:rsid w:val="004C3F04"/>
    <w:rsid w:val="004C45CA"/>
    <w:rsid w:val="004C4AC2"/>
    <w:rsid w:val="004C4DC4"/>
    <w:rsid w:val="004C5160"/>
    <w:rsid w:val="004C5CD9"/>
    <w:rsid w:val="004C6609"/>
    <w:rsid w:val="004C69D8"/>
    <w:rsid w:val="004C6A8D"/>
    <w:rsid w:val="004C6EFA"/>
    <w:rsid w:val="004C701E"/>
    <w:rsid w:val="004C75A4"/>
    <w:rsid w:val="004C7739"/>
    <w:rsid w:val="004C79F3"/>
    <w:rsid w:val="004D01EC"/>
    <w:rsid w:val="004D037A"/>
    <w:rsid w:val="004D0AF6"/>
    <w:rsid w:val="004D10BA"/>
    <w:rsid w:val="004D116A"/>
    <w:rsid w:val="004D1892"/>
    <w:rsid w:val="004D1B97"/>
    <w:rsid w:val="004D1C16"/>
    <w:rsid w:val="004D27EB"/>
    <w:rsid w:val="004D2A60"/>
    <w:rsid w:val="004D37A4"/>
    <w:rsid w:val="004D3988"/>
    <w:rsid w:val="004D3B5E"/>
    <w:rsid w:val="004D4143"/>
    <w:rsid w:val="004D452A"/>
    <w:rsid w:val="004D457C"/>
    <w:rsid w:val="004D464C"/>
    <w:rsid w:val="004D51CF"/>
    <w:rsid w:val="004D551D"/>
    <w:rsid w:val="004D615C"/>
    <w:rsid w:val="004D6199"/>
    <w:rsid w:val="004D70F5"/>
    <w:rsid w:val="004D737C"/>
    <w:rsid w:val="004D757C"/>
    <w:rsid w:val="004D7A0D"/>
    <w:rsid w:val="004D7A16"/>
    <w:rsid w:val="004D7A4A"/>
    <w:rsid w:val="004D7BD2"/>
    <w:rsid w:val="004D7BE4"/>
    <w:rsid w:val="004E0260"/>
    <w:rsid w:val="004E0498"/>
    <w:rsid w:val="004E06EC"/>
    <w:rsid w:val="004E06FF"/>
    <w:rsid w:val="004E0B4C"/>
    <w:rsid w:val="004E135E"/>
    <w:rsid w:val="004E17AF"/>
    <w:rsid w:val="004E1D23"/>
    <w:rsid w:val="004E2560"/>
    <w:rsid w:val="004E269A"/>
    <w:rsid w:val="004E299F"/>
    <w:rsid w:val="004E34BF"/>
    <w:rsid w:val="004E4B03"/>
    <w:rsid w:val="004E4FE3"/>
    <w:rsid w:val="004E596A"/>
    <w:rsid w:val="004E5C9A"/>
    <w:rsid w:val="004E5D50"/>
    <w:rsid w:val="004E5EEE"/>
    <w:rsid w:val="004E61C4"/>
    <w:rsid w:val="004E6A2B"/>
    <w:rsid w:val="004E7445"/>
    <w:rsid w:val="004E7CA6"/>
    <w:rsid w:val="004F0181"/>
    <w:rsid w:val="004F0485"/>
    <w:rsid w:val="004F054E"/>
    <w:rsid w:val="004F0CC5"/>
    <w:rsid w:val="004F0F34"/>
    <w:rsid w:val="004F1064"/>
    <w:rsid w:val="004F1B26"/>
    <w:rsid w:val="004F1EAF"/>
    <w:rsid w:val="004F2CEC"/>
    <w:rsid w:val="004F31FC"/>
    <w:rsid w:val="004F412C"/>
    <w:rsid w:val="004F42BF"/>
    <w:rsid w:val="004F4393"/>
    <w:rsid w:val="004F4A02"/>
    <w:rsid w:val="004F4F72"/>
    <w:rsid w:val="004F530C"/>
    <w:rsid w:val="004F5FD1"/>
    <w:rsid w:val="004F6227"/>
    <w:rsid w:val="004F68B9"/>
    <w:rsid w:val="004F6A3A"/>
    <w:rsid w:val="004F6F6F"/>
    <w:rsid w:val="004F731B"/>
    <w:rsid w:val="004F7339"/>
    <w:rsid w:val="004F751F"/>
    <w:rsid w:val="004F782B"/>
    <w:rsid w:val="00500804"/>
    <w:rsid w:val="005017C8"/>
    <w:rsid w:val="00501D19"/>
    <w:rsid w:val="00501DE9"/>
    <w:rsid w:val="00502C53"/>
    <w:rsid w:val="0050338C"/>
    <w:rsid w:val="00503410"/>
    <w:rsid w:val="005035D5"/>
    <w:rsid w:val="00503B8E"/>
    <w:rsid w:val="00503CDE"/>
    <w:rsid w:val="00503F68"/>
    <w:rsid w:val="005044F3"/>
    <w:rsid w:val="00504CC9"/>
    <w:rsid w:val="005052C4"/>
    <w:rsid w:val="00505D97"/>
    <w:rsid w:val="00506A6F"/>
    <w:rsid w:val="00507D25"/>
    <w:rsid w:val="00510489"/>
    <w:rsid w:val="0051064B"/>
    <w:rsid w:val="005109B3"/>
    <w:rsid w:val="005114A5"/>
    <w:rsid w:val="00511B85"/>
    <w:rsid w:val="00513291"/>
    <w:rsid w:val="005135C7"/>
    <w:rsid w:val="0051369A"/>
    <w:rsid w:val="005136CD"/>
    <w:rsid w:val="00513836"/>
    <w:rsid w:val="0051406F"/>
    <w:rsid w:val="00514229"/>
    <w:rsid w:val="00514CC8"/>
    <w:rsid w:val="0051516F"/>
    <w:rsid w:val="005154BB"/>
    <w:rsid w:val="005156AA"/>
    <w:rsid w:val="00515EAB"/>
    <w:rsid w:val="00516FF2"/>
    <w:rsid w:val="005174EF"/>
    <w:rsid w:val="00517ABC"/>
    <w:rsid w:val="00517E89"/>
    <w:rsid w:val="0052029A"/>
    <w:rsid w:val="005203C2"/>
    <w:rsid w:val="0052064E"/>
    <w:rsid w:val="00520868"/>
    <w:rsid w:val="005209FD"/>
    <w:rsid w:val="00520E50"/>
    <w:rsid w:val="00522162"/>
    <w:rsid w:val="005222C1"/>
    <w:rsid w:val="005223A3"/>
    <w:rsid w:val="005224D2"/>
    <w:rsid w:val="005228E9"/>
    <w:rsid w:val="005237B7"/>
    <w:rsid w:val="00523A72"/>
    <w:rsid w:val="0052408A"/>
    <w:rsid w:val="00524E1A"/>
    <w:rsid w:val="005252B6"/>
    <w:rsid w:val="005255AB"/>
    <w:rsid w:val="00525D24"/>
    <w:rsid w:val="00525F13"/>
    <w:rsid w:val="00526978"/>
    <w:rsid w:val="00526B33"/>
    <w:rsid w:val="00530D60"/>
    <w:rsid w:val="00530E68"/>
    <w:rsid w:val="0053146C"/>
    <w:rsid w:val="005314DD"/>
    <w:rsid w:val="0053181E"/>
    <w:rsid w:val="00531925"/>
    <w:rsid w:val="00532A43"/>
    <w:rsid w:val="00532D77"/>
    <w:rsid w:val="005332D4"/>
    <w:rsid w:val="0053416B"/>
    <w:rsid w:val="005344E4"/>
    <w:rsid w:val="00534716"/>
    <w:rsid w:val="00534C5B"/>
    <w:rsid w:val="005354EB"/>
    <w:rsid w:val="00535879"/>
    <w:rsid w:val="005373A1"/>
    <w:rsid w:val="005378F6"/>
    <w:rsid w:val="005405C5"/>
    <w:rsid w:val="005409BD"/>
    <w:rsid w:val="005415D2"/>
    <w:rsid w:val="00542771"/>
    <w:rsid w:val="0054290D"/>
    <w:rsid w:val="00543214"/>
    <w:rsid w:val="005434FB"/>
    <w:rsid w:val="00543D3A"/>
    <w:rsid w:val="00545B27"/>
    <w:rsid w:val="00546129"/>
    <w:rsid w:val="00546262"/>
    <w:rsid w:val="00546273"/>
    <w:rsid w:val="00546717"/>
    <w:rsid w:val="0054707B"/>
    <w:rsid w:val="005475CD"/>
    <w:rsid w:val="0054767E"/>
    <w:rsid w:val="005476B4"/>
    <w:rsid w:val="0054796A"/>
    <w:rsid w:val="00547FD4"/>
    <w:rsid w:val="005507D0"/>
    <w:rsid w:val="00550A55"/>
    <w:rsid w:val="00550EAC"/>
    <w:rsid w:val="0055103C"/>
    <w:rsid w:val="00551A73"/>
    <w:rsid w:val="00552147"/>
    <w:rsid w:val="00554224"/>
    <w:rsid w:val="00554726"/>
    <w:rsid w:val="00554CD7"/>
    <w:rsid w:val="00555F21"/>
    <w:rsid w:val="00556B36"/>
    <w:rsid w:val="00560A41"/>
    <w:rsid w:val="00560DD0"/>
    <w:rsid w:val="00561227"/>
    <w:rsid w:val="00561C6F"/>
    <w:rsid w:val="00562B9E"/>
    <w:rsid w:val="005636BC"/>
    <w:rsid w:val="005637A2"/>
    <w:rsid w:val="00563923"/>
    <w:rsid w:val="00564495"/>
    <w:rsid w:val="0056519F"/>
    <w:rsid w:val="0056552B"/>
    <w:rsid w:val="005659BE"/>
    <w:rsid w:val="00565BE7"/>
    <w:rsid w:val="00565D72"/>
    <w:rsid w:val="00566106"/>
    <w:rsid w:val="00566EF0"/>
    <w:rsid w:val="00567620"/>
    <w:rsid w:val="00567967"/>
    <w:rsid w:val="00570225"/>
    <w:rsid w:val="00570362"/>
    <w:rsid w:val="0057057E"/>
    <w:rsid w:val="00570F1E"/>
    <w:rsid w:val="0057164C"/>
    <w:rsid w:val="005716B7"/>
    <w:rsid w:val="005718E1"/>
    <w:rsid w:val="00571C4F"/>
    <w:rsid w:val="00571F3E"/>
    <w:rsid w:val="0057225A"/>
    <w:rsid w:val="00572475"/>
    <w:rsid w:val="0057274A"/>
    <w:rsid w:val="00573058"/>
    <w:rsid w:val="00573270"/>
    <w:rsid w:val="00573692"/>
    <w:rsid w:val="00573E13"/>
    <w:rsid w:val="005741C7"/>
    <w:rsid w:val="0057450D"/>
    <w:rsid w:val="00574DBE"/>
    <w:rsid w:val="005753C8"/>
    <w:rsid w:val="005756DD"/>
    <w:rsid w:val="00575D23"/>
    <w:rsid w:val="00575F5B"/>
    <w:rsid w:val="00576299"/>
    <w:rsid w:val="00576984"/>
    <w:rsid w:val="00576BEF"/>
    <w:rsid w:val="00577105"/>
    <w:rsid w:val="0057755A"/>
    <w:rsid w:val="00577A0F"/>
    <w:rsid w:val="00577F75"/>
    <w:rsid w:val="00580AB3"/>
    <w:rsid w:val="00580D5C"/>
    <w:rsid w:val="005812AB"/>
    <w:rsid w:val="00581451"/>
    <w:rsid w:val="00581460"/>
    <w:rsid w:val="0058281E"/>
    <w:rsid w:val="0058288F"/>
    <w:rsid w:val="00582927"/>
    <w:rsid w:val="00582983"/>
    <w:rsid w:val="00582F7F"/>
    <w:rsid w:val="005834A8"/>
    <w:rsid w:val="00583CB0"/>
    <w:rsid w:val="00584275"/>
    <w:rsid w:val="005843B7"/>
    <w:rsid w:val="00584E4E"/>
    <w:rsid w:val="00585497"/>
    <w:rsid w:val="005854CE"/>
    <w:rsid w:val="00585F96"/>
    <w:rsid w:val="005866AE"/>
    <w:rsid w:val="00586A1F"/>
    <w:rsid w:val="00586B39"/>
    <w:rsid w:val="00587977"/>
    <w:rsid w:val="0059041D"/>
    <w:rsid w:val="00590D69"/>
    <w:rsid w:val="0059103F"/>
    <w:rsid w:val="00591472"/>
    <w:rsid w:val="00591A7E"/>
    <w:rsid w:val="00593D82"/>
    <w:rsid w:val="00594369"/>
    <w:rsid w:val="0059452C"/>
    <w:rsid w:val="00594751"/>
    <w:rsid w:val="00595AAE"/>
    <w:rsid w:val="005960DB"/>
    <w:rsid w:val="005A147A"/>
    <w:rsid w:val="005A1BFF"/>
    <w:rsid w:val="005A214E"/>
    <w:rsid w:val="005A24B2"/>
    <w:rsid w:val="005A295E"/>
    <w:rsid w:val="005A32FD"/>
    <w:rsid w:val="005A33A3"/>
    <w:rsid w:val="005A3500"/>
    <w:rsid w:val="005A3D8D"/>
    <w:rsid w:val="005A4303"/>
    <w:rsid w:val="005A430D"/>
    <w:rsid w:val="005A486A"/>
    <w:rsid w:val="005A4E6B"/>
    <w:rsid w:val="005A4F6A"/>
    <w:rsid w:val="005A557F"/>
    <w:rsid w:val="005A5949"/>
    <w:rsid w:val="005A5D07"/>
    <w:rsid w:val="005A64D1"/>
    <w:rsid w:val="005A69D9"/>
    <w:rsid w:val="005A6AC1"/>
    <w:rsid w:val="005B0196"/>
    <w:rsid w:val="005B0817"/>
    <w:rsid w:val="005B1165"/>
    <w:rsid w:val="005B16DB"/>
    <w:rsid w:val="005B1C40"/>
    <w:rsid w:val="005B1E71"/>
    <w:rsid w:val="005B2585"/>
    <w:rsid w:val="005B2D4C"/>
    <w:rsid w:val="005B2D78"/>
    <w:rsid w:val="005B2DB9"/>
    <w:rsid w:val="005B376C"/>
    <w:rsid w:val="005B3CF1"/>
    <w:rsid w:val="005B413D"/>
    <w:rsid w:val="005B448D"/>
    <w:rsid w:val="005B46F0"/>
    <w:rsid w:val="005B489E"/>
    <w:rsid w:val="005B4AF8"/>
    <w:rsid w:val="005B4B09"/>
    <w:rsid w:val="005B57B7"/>
    <w:rsid w:val="005B5912"/>
    <w:rsid w:val="005B5943"/>
    <w:rsid w:val="005B5B6F"/>
    <w:rsid w:val="005B604E"/>
    <w:rsid w:val="005B6A29"/>
    <w:rsid w:val="005B7193"/>
    <w:rsid w:val="005B7805"/>
    <w:rsid w:val="005B78AA"/>
    <w:rsid w:val="005B7B61"/>
    <w:rsid w:val="005B7F7A"/>
    <w:rsid w:val="005C00A7"/>
    <w:rsid w:val="005C050B"/>
    <w:rsid w:val="005C0A86"/>
    <w:rsid w:val="005C131F"/>
    <w:rsid w:val="005C16CD"/>
    <w:rsid w:val="005C1E14"/>
    <w:rsid w:val="005C2295"/>
    <w:rsid w:val="005C29A7"/>
    <w:rsid w:val="005C2D99"/>
    <w:rsid w:val="005C3F98"/>
    <w:rsid w:val="005C6432"/>
    <w:rsid w:val="005C6D9F"/>
    <w:rsid w:val="005C70FA"/>
    <w:rsid w:val="005C79C3"/>
    <w:rsid w:val="005C7C32"/>
    <w:rsid w:val="005C7DAA"/>
    <w:rsid w:val="005D0375"/>
    <w:rsid w:val="005D074B"/>
    <w:rsid w:val="005D089A"/>
    <w:rsid w:val="005D1ECB"/>
    <w:rsid w:val="005D244E"/>
    <w:rsid w:val="005D2847"/>
    <w:rsid w:val="005D3D10"/>
    <w:rsid w:val="005D400D"/>
    <w:rsid w:val="005D505A"/>
    <w:rsid w:val="005D5582"/>
    <w:rsid w:val="005D62CB"/>
    <w:rsid w:val="005E02A8"/>
    <w:rsid w:val="005E04CB"/>
    <w:rsid w:val="005E07B1"/>
    <w:rsid w:val="005E15AE"/>
    <w:rsid w:val="005E2604"/>
    <w:rsid w:val="005E2689"/>
    <w:rsid w:val="005E26D9"/>
    <w:rsid w:val="005E26F0"/>
    <w:rsid w:val="005E2D0C"/>
    <w:rsid w:val="005E352B"/>
    <w:rsid w:val="005E380E"/>
    <w:rsid w:val="005E4870"/>
    <w:rsid w:val="005E490F"/>
    <w:rsid w:val="005E4ACF"/>
    <w:rsid w:val="005E57B5"/>
    <w:rsid w:val="005E5C08"/>
    <w:rsid w:val="005E6579"/>
    <w:rsid w:val="005E6E48"/>
    <w:rsid w:val="005E6F74"/>
    <w:rsid w:val="005E75DF"/>
    <w:rsid w:val="005E7E2F"/>
    <w:rsid w:val="005E7F90"/>
    <w:rsid w:val="005F0A5B"/>
    <w:rsid w:val="005F0D5D"/>
    <w:rsid w:val="005F0D60"/>
    <w:rsid w:val="005F11AB"/>
    <w:rsid w:val="005F137A"/>
    <w:rsid w:val="005F15F6"/>
    <w:rsid w:val="005F1782"/>
    <w:rsid w:val="005F2BD3"/>
    <w:rsid w:val="005F305D"/>
    <w:rsid w:val="005F3112"/>
    <w:rsid w:val="005F371F"/>
    <w:rsid w:val="005F3F0C"/>
    <w:rsid w:val="005F445F"/>
    <w:rsid w:val="005F44AE"/>
    <w:rsid w:val="005F467B"/>
    <w:rsid w:val="005F4D4B"/>
    <w:rsid w:val="005F4DE0"/>
    <w:rsid w:val="005F530F"/>
    <w:rsid w:val="005F53A4"/>
    <w:rsid w:val="005F6410"/>
    <w:rsid w:val="005F6FC0"/>
    <w:rsid w:val="005F778B"/>
    <w:rsid w:val="005F7989"/>
    <w:rsid w:val="005F7C6A"/>
    <w:rsid w:val="005F7CD1"/>
    <w:rsid w:val="00600088"/>
    <w:rsid w:val="00600B0A"/>
    <w:rsid w:val="00600C4C"/>
    <w:rsid w:val="00600D93"/>
    <w:rsid w:val="006011F7"/>
    <w:rsid w:val="00601553"/>
    <w:rsid w:val="00601661"/>
    <w:rsid w:val="00602A19"/>
    <w:rsid w:val="00602CE4"/>
    <w:rsid w:val="00603007"/>
    <w:rsid w:val="00603A0A"/>
    <w:rsid w:val="00603B35"/>
    <w:rsid w:val="00604E98"/>
    <w:rsid w:val="006056DC"/>
    <w:rsid w:val="00606C62"/>
    <w:rsid w:val="00606DD4"/>
    <w:rsid w:val="00611BA7"/>
    <w:rsid w:val="00611D42"/>
    <w:rsid w:val="0061204F"/>
    <w:rsid w:val="00612495"/>
    <w:rsid w:val="00612C0A"/>
    <w:rsid w:val="006134D3"/>
    <w:rsid w:val="006134FA"/>
    <w:rsid w:val="0061444D"/>
    <w:rsid w:val="006144EF"/>
    <w:rsid w:val="00614802"/>
    <w:rsid w:val="00614AD0"/>
    <w:rsid w:val="00614BC6"/>
    <w:rsid w:val="00614D83"/>
    <w:rsid w:val="00615E79"/>
    <w:rsid w:val="00615FF8"/>
    <w:rsid w:val="006164F1"/>
    <w:rsid w:val="0061657B"/>
    <w:rsid w:val="006168FB"/>
    <w:rsid w:val="006201EB"/>
    <w:rsid w:val="0062041A"/>
    <w:rsid w:val="00620825"/>
    <w:rsid w:val="00620BC4"/>
    <w:rsid w:val="006212FE"/>
    <w:rsid w:val="006225D4"/>
    <w:rsid w:val="00622B28"/>
    <w:rsid w:val="006231E7"/>
    <w:rsid w:val="00623739"/>
    <w:rsid w:val="00623974"/>
    <w:rsid w:val="00623B82"/>
    <w:rsid w:val="006243CA"/>
    <w:rsid w:val="00624549"/>
    <w:rsid w:val="006247F6"/>
    <w:rsid w:val="0062554F"/>
    <w:rsid w:val="00625859"/>
    <w:rsid w:val="00626111"/>
    <w:rsid w:val="00626420"/>
    <w:rsid w:val="00626A03"/>
    <w:rsid w:val="006272A6"/>
    <w:rsid w:val="006275B7"/>
    <w:rsid w:val="006278F6"/>
    <w:rsid w:val="006302C0"/>
    <w:rsid w:val="00630611"/>
    <w:rsid w:val="00630E40"/>
    <w:rsid w:val="00630FCD"/>
    <w:rsid w:val="006314E0"/>
    <w:rsid w:val="0063243A"/>
    <w:rsid w:val="00632AC5"/>
    <w:rsid w:val="00633359"/>
    <w:rsid w:val="00633445"/>
    <w:rsid w:val="006340A2"/>
    <w:rsid w:val="006349FC"/>
    <w:rsid w:val="00634B78"/>
    <w:rsid w:val="006350B9"/>
    <w:rsid w:val="00635408"/>
    <w:rsid w:val="00635651"/>
    <w:rsid w:val="00635864"/>
    <w:rsid w:val="00635A39"/>
    <w:rsid w:val="00635B97"/>
    <w:rsid w:val="00635CB9"/>
    <w:rsid w:val="00635DA3"/>
    <w:rsid w:val="006360E4"/>
    <w:rsid w:val="00636258"/>
    <w:rsid w:val="0063684F"/>
    <w:rsid w:val="00636BB7"/>
    <w:rsid w:val="0063748C"/>
    <w:rsid w:val="006379C7"/>
    <w:rsid w:val="00640825"/>
    <w:rsid w:val="006410E3"/>
    <w:rsid w:val="0064115D"/>
    <w:rsid w:val="00641993"/>
    <w:rsid w:val="00641FCF"/>
    <w:rsid w:val="006425B9"/>
    <w:rsid w:val="00642B9C"/>
    <w:rsid w:val="00643734"/>
    <w:rsid w:val="006437E7"/>
    <w:rsid w:val="006437EC"/>
    <w:rsid w:val="00643CC5"/>
    <w:rsid w:val="00644327"/>
    <w:rsid w:val="00644E64"/>
    <w:rsid w:val="0064511D"/>
    <w:rsid w:val="00645CAF"/>
    <w:rsid w:val="00646B84"/>
    <w:rsid w:val="00647518"/>
    <w:rsid w:val="006475E3"/>
    <w:rsid w:val="00647762"/>
    <w:rsid w:val="00647ADD"/>
    <w:rsid w:val="00647F50"/>
    <w:rsid w:val="00650A4A"/>
    <w:rsid w:val="00650E37"/>
    <w:rsid w:val="00652AC7"/>
    <w:rsid w:val="00652D48"/>
    <w:rsid w:val="00653292"/>
    <w:rsid w:val="00653B76"/>
    <w:rsid w:val="0065480C"/>
    <w:rsid w:val="006548D1"/>
    <w:rsid w:val="00654C02"/>
    <w:rsid w:val="00654E38"/>
    <w:rsid w:val="00655A7B"/>
    <w:rsid w:val="0065617A"/>
    <w:rsid w:val="0065693F"/>
    <w:rsid w:val="00656BA8"/>
    <w:rsid w:val="00656E37"/>
    <w:rsid w:val="00657325"/>
    <w:rsid w:val="00657BFF"/>
    <w:rsid w:val="00657D53"/>
    <w:rsid w:val="00657E4C"/>
    <w:rsid w:val="006608D1"/>
    <w:rsid w:val="00660BBF"/>
    <w:rsid w:val="00660DF9"/>
    <w:rsid w:val="0066240C"/>
    <w:rsid w:val="0066294A"/>
    <w:rsid w:val="006629BA"/>
    <w:rsid w:val="00662B17"/>
    <w:rsid w:val="00662E8E"/>
    <w:rsid w:val="006631D9"/>
    <w:rsid w:val="006634D7"/>
    <w:rsid w:val="00663523"/>
    <w:rsid w:val="006635B3"/>
    <w:rsid w:val="00663679"/>
    <w:rsid w:val="00663E15"/>
    <w:rsid w:val="0066468B"/>
    <w:rsid w:val="00664749"/>
    <w:rsid w:val="00664C6F"/>
    <w:rsid w:val="00664D3A"/>
    <w:rsid w:val="00665010"/>
    <w:rsid w:val="0066526F"/>
    <w:rsid w:val="00665CAD"/>
    <w:rsid w:val="006665CA"/>
    <w:rsid w:val="006669E2"/>
    <w:rsid w:val="00666A0C"/>
    <w:rsid w:val="00666ACF"/>
    <w:rsid w:val="00670750"/>
    <w:rsid w:val="00670E31"/>
    <w:rsid w:val="00671882"/>
    <w:rsid w:val="00673703"/>
    <w:rsid w:val="00673B13"/>
    <w:rsid w:val="00673D00"/>
    <w:rsid w:val="00673E94"/>
    <w:rsid w:val="00674D51"/>
    <w:rsid w:val="00675363"/>
    <w:rsid w:val="0067684A"/>
    <w:rsid w:val="00676B91"/>
    <w:rsid w:val="00677235"/>
    <w:rsid w:val="00677A92"/>
    <w:rsid w:val="00677B1F"/>
    <w:rsid w:val="00677CB8"/>
    <w:rsid w:val="00677D95"/>
    <w:rsid w:val="00680F4C"/>
    <w:rsid w:val="00681A50"/>
    <w:rsid w:val="0068236E"/>
    <w:rsid w:val="0068254C"/>
    <w:rsid w:val="006825DC"/>
    <w:rsid w:val="0068298C"/>
    <w:rsid w:val="006829E9"/>
    <w:rsid w:val="00682D2A"/>
    <w:rsid w:val="006831D1"/>
    <w:rsid w:val="0068346B"/>
    <w:rsid w:val="00683827"/>
    <w:rsid w:val="00683D4E"/>
    <w:rsid w:val="00684128"/>
    <w:rsid w:val="006843CD"/>
    <w:rsid w:val="00684812"/>
    <w:rsid w:val="006848ED"/>
    <w:rsid w:val="00685DDB"/>
    <w:rsid w:val="00686578"/>
    <w:rsid w:val="00687227"/>
    <w:rsid w:val="006878A3"/>
    <w:rsid w:val="0069030E"/>
    <w:rsid w:val="006909CE"/>
    <w:rsid w:val="00690E83"/>
    <w:rsid w:val="00690E99"/>
    <w:rsid w:val="00690F1C"/>
    <w:rsid w:val="00692E50"/>
    <w:rsid w:val="00694529"/>
    <w:rsid w:val="00694563"/>
    <w:rsid w:val="00694983"/>
    <w:rsid w:val="00694A20"/>
    <w:rsid w:val="00694B95"/>
    <w:rsid w:val="00694BF1"/>
    <w:rsid w:val="00694F2E"/>
    <w:rsid w:val="00695302"/>
    <w:rsid w:val="006958AF"/>
    <w:rsid w:val="0069614B"/>
    <w:rsid w:val="00696898"/>
    <w:rsid w:val="00696913"/>
    <w:rsid w:val="00696963"/>
    <w:rsid w:val="006971FD"/>
    <w:rsid w:val="006975D3"/>
    <w:rsid w:val="00697DB8"/>
    <w:rsid w:val="00697E7B"/>
    <w:rsid w:val="006A0596"/>
    <w:rsid w:val="006A0705"/>
    <w:rsid w:val="006A07EA"/>
    <w:rsid w:val="006A10AE"/>
    <w:rsid w:val="006A1EC8"/>
    <w:rsid w:val="006A1EEF"/>
    <w:rsid w:val="006A24FC"/>
    <w:rsid w:val="006A2951"/>
    <w:rsid w:val="006A301A"/>
    <w:rsid w:val="006A3476"/>
    <w:rsid w:val="006A3835"/>
    <w:rsid w:val="006A51B7"/>
    <w:rsid w:val="006A5ADF"/>
    <w:rsid w:val="006A5B0B"/>
    <w:rsid w:val="006A62CC"/>
    <w:rsid w:val="006A661B"/>
    <w:rsid w:val="006A6C14"/>
    <w:rsid w:val="006A71A4"/>
    <w:rsid w:val="006A79E4"/>
    <w:rsid w:val="006B05C9"/>
    <w:rsid w:val="006B11CF"/>
    <w:rsid w:val="006B14A8"/>
    <w:rsid w:val="006B1B2D"/>
    <w:rsid w:val="006B3381"/>
    <w:rsid w:val="006B371E"/>
    <w:rsid w:val="006B3CD6"/>
    <w:rsid w:val="006B3E27"/>
    <w:rsid w:val="006B3E48"/>
    <w:rsid w:val="006B448A"/>
    <w:rsid w:val="006B54B3"/>
    <w:rsid w:val="006B5BDC"/>
    <w:rsid w:val="006B633B"/>
    <w:rsid w:val="006B6563"/>
    <w:rsid w:val="006B7635"/>
    <w:rsid w:val="006B7A6F"/>
    <w:rsid w:val="006B7FF0"/>
    <w:rsid w:val="006C0309"/>
    <w:rsid w:val="006C0465"/>
    <w:rsid w:val="006C04E0"/>
    <w:rsid w:val="006C0608"/>
    <w:rsid w:val="006C0C3F"/>
    <w:rsid w:val="006C1344"/>
    <w:rsid w:val="006C1D50"/>
    <w:rsid w:val="006C1E95"/>
    <w:rsid w:val="006C1ED6"/>
    <w:rsid w:val="006C2AC3"/>
    <w:rsid w:val="006C32E4"/>
    <w:rsid w:val="006C3BF5"/>
    <w:rsid w:val="006C3ED9"/>
    <w:rsid w:val="006C400A"/>
    <w:rsid w:val="006C4978"/>
    <w:rsid w:val="006C4B20"/>
    <w:rsid w:val="006C4C0A"/>
    <w:rsid w:val="006C54B0"/>
    <w:rsid w:val="006C5804"/>
    <w:rsid w:val="006C5B02"/>
    <w:rsid w:val="006C6176"/>
    <w:rsid w:val="006C6604"/>
    <w:rsid w:val="006C67B4"/>
    <w:rsid w:val="006C74DC"/>
    <w:rsid w:val="006C7E80"/>
    <w:rsid w:val="006D06C8"/>
    <w:rsid w:val="006D0932"/>
    <w:rsid w:val="006D2119"/>
    <w:rsid w:val="006D26F3"/>
    <w:rsid w:val="006D2757"/>
    <w:rsid w:val="006D2C55"/>
    <w:rsid w:val="006D37D9"/>
    <w:rsid w:val="006D3BDD"/>
    <w:rsid w:val="006D3DBA"/>
    <w:rsid w:val="006D3E4B"/>
    <w:rsid w:val="006D4089"/>
    <w:rsid w:val="006D420D"/>
    <w:rsid w:val="006D4568"/>
    <w:rsid w:val="006D4D22"/>
    <w:rsid w:val="006D5F06"/>
    <w:rsid w:val="006D65E9"/>
    <w:rsid w:val="006D66EA"/>
    <w:rsid w:val="006D6C0F"/>
    <w:rsid w:val="006D7476"/>
    <w:rsid w:val="006D7750"/>
    <w:rsid w:val="006D7913"/>
    <w:rsid w:val="006D7C82"/>
    <w:rsid w:val="006D7F36"/>
    <w:rsid w:val="006E041D"/>
    <w:rsid w:val="006E0AC8"/>
    <w:rsid w:val="006E0D36"/>
    <w:rsid w:val="006E0D59"/>
    <w:rsid w:val="006E105F"/>
    <w:rsid w:val="006E1413"/>
    <w:rsid w:val="006E1414"/>
    <w:rsid w:val="006E1923"/>
    <w:rsid w:val="006E1CB7"/>
    <w:rsid w:val="006E20CF"/>
    <w:rsid w:val="006E26B8"/>
    <w:rsid w:val="006E2A9B"/>
    <w:rsid w:val="006E2DEB"/>
    <w:rsid w:val="006E2EE5"/>
    <w:rsid w:val="006E3828"/>
    <w:rsid w:val="006E45F7"/>
    <w:rsid w:val="006E46A0"/>
    <w:rsid w:val="006E510B"/>
    <w:rsid w:val="006E5254"/>
    <w:rsid w:val="006E5CF5"/>
    <w:rsid w:val="006E6634"/>
    <w:rsid w:val="006E66C6"/>
    <w:rsid w:val="006E67BF"/>
    <w:rsid w:val="006E69D3"/>
    <w:rsid w:val="006E6DBD"/>
    <w:rsid w:val="006F023D"/>
    <w:rsid w:val="006F06A4"/>
    <w:rsid w:val="006F0712"/>
    <w:rsid w:val="006F19D7"/>
    <w:rsid w:val="006F1B50"/>
    <w:rsid w:val="006F5732"/>
    <w:rsid w:val="006F58A2"/>
    <w:rsid w:val="006F5954"/>
    <w:rsid w:val="006F60E8"/>
    <w:rsid w:val="006F7949"/>
    <w:rsid w:val="006F7B56"/>
    <w:rsid w:val="006F7FAF"/>
    <w:rsid w:val="00700204"/>
    <w:rsid w:val="00700290"/>
    <w:rsid w:val="00700A55"/>
    <w:rsid w:val="00701423"/>
    <w:rsid w:val="007014D6"/>
    <w:rsid w:val="00701632"/>
    <w:rsid w:val="00701889"/>
    <w:rsid w:val="00701D75"/>
    <w:rsid w:val="00701E1F"/>
    <w:rsid w:val="00702242"/>
    <w:rsid w:val="0070335C"/>
    <w:rsid w:val="007037FE"/>
    <w:rsid w:val="00703D7C"/>
    <w:rsid w:val="007040AC"/>
    <w:rsid w:val="0070488C"/>
    <w:rsid w:val="00704C22"/>
    <w:rsid w:val="00704D22"/>
    <w:rsid w:val="00705C94"/>
    <w:rsid w:val="00705D89"/>
    <w:rsid w:val="00706140"/>
    <w:rsid w:val="00706A08"/>
    <w:rsid w:val="00706CBA"/>
    <w:rsid w:val="00707995"/>
    <w:rsid w:val="00707D62"/>
    <w:rsid w:val="00707DB5"/>
    <w:rsid w:val="007105AB"/>
    <w:rsid w:val="0071125E"/>
    <w:rsid w:val="00711BB5"/>
    <w:rsid w:val="00712E8F"/>
    <w:rsid w:val="00713272"/>
    <w:rsid w:val="00713BD4"/>
    <w:rsid w:val="00714501"/>
    <w:rsid w:val="007154A8"/>
    <w:rsid w:val="007156CE"/>
    <w:rsid w:val="00715A81"/>
    <w:rsid w:val="00716002"/>
    <w:rsid w:val="0071705A"/>
    <w:rsid w:val="0071715A"/>
    <w:rsid w:val="00717D57"/>
    <w:rsid w:val="007202B6"/>
    <w:rsid w:val="00720343"/>
    <w:rsid w:val="007205DA"/>
    <w:rsid w:val="00721116"/>
    <w:rsid w:val="0072136B"/>
    <w:rsid w:val="007220C0"/>
    <w:rsid w:val="00723D25"/>
    <w:rsid w:val="0072431A"/>
    <w:rsid w:val="00724763"/>
    <w:rsid w:val="00724CD2"/>
    <w:rsid w:val="00725C37"/>
    <w:rsid w:val="00725FD3"/>
    <w:rsid w:val="007262BD"/>
    <w:rsid w:val="00726980"/>
    <w:rsid w:val="0072758D"/>
    <w:rsid w:val="007277E3"/>
    <w:rsid w:val="00727D45"/>
    <w:rsid w:val="00730700"/>
    <w:rsid w:val="007307FF"/>
    <w:rsid w:val="00730D43"/>
    <w:rsid w:val="00730E35"/>
    <w:rsid w:val="00731295"/>
    <w:rsid w:val="007316BC"/>
    <w:rsid w:val="007319C3"/>
    <w:rsid w:val="0073224D"/>
    <w:rsid w:val="00732DA4"/>
    <w:rsid w:val="00733185"/>
    <w:rsid w:val="00734401"/>
    <w:rsid w:val="00734865"/>
    <w:rsid w:val="00735525"/>
    <w:rsid w:val="007358AF"/>
    <w:rsid w:val="00735C5A"/>
    <w:rsid w:val="00735FF6"/>
    <w:rsid w:val="0073666E"/>
    <w:rsid w:val="007370DF"/>
    <w:rsid w:val="00737313"/>
    <w:rsid w:val="00737564"/>
    <w:rsid w:val="00737D83"/>
    <w:rsid w:val="00740030"/>
    <w:rsid w:val="0074035A"/>
    <w:rsid w:val="007406EC"/>
    <w:rsid w:val="00740DA0"/>
    <w:rsid w:val="0074185D"/>
    <w:rsid w:val="00742100"/>
    <w:rsid w:val="00742782"/>
    <w:rsid w:val="00742FA2"/>
    <w:rsid w:val="007433CC"/>
    <w:rsid w:val="00744098"/>
    <w:rsid w:val="00744124"/>
    <w:rsid w:val="007443F6"/>
    <w:rsid w:val="0074456F"/>
    <w:rsid w:val="00744884"/>
    <w:rsid w:val="007449A9"/>
    <w:rsid w:val="00744DFA"/>
    <w:rsid w:val="00744F0D"/>
    <w:rsid w:val="00744F35"/>
    <w:rsid w:val="00745768"/>
    <w:rsid w:val="00745C13"/>
    <w:rsid w:val="00745F7C"/>
    <w:rsid w:val="0074679E"/>
    <w:rsid w:val="00746A5A"/>
    <w:rsid w:val="00750099"/>
    <w:rsid w:val="007503A3"/>
    <w:rsid w:val="00750B5E"/>
    <w:rsid w:val="0075157A"/>
    <w:rsid w:val="0075163F"/>
    <w:rsid w:val="00751C88"/>
    <w:rsid w:val="00752036"/>
    <w:rsid w:val="007522A3"/>
    <w:rsid w:val="00752481"/>
    <w:rsid w:val="0075271B"/>
    <w:rsid w:val="00752873"/>
    <w:rsid w:val="00752A47"/>
    <w:rsid w:val="00752FE8"/>
    <w:rsid w:val="0075329F"/>
    <w:rsid w:val="00753438"/>
    <w:rsid w:val="007543BD"/>
    <w:rsid w:val="007545DE"/>
    <w:rsid w:val="00755470"/>
    <w:rsid w:val="00756F9A"/>
    <w:rsid w:val="0075776C"/>
    <w:rsid w:val="00757FCD"/>
    <w:rsid w:val="0076049F"/>
    <w:rsid w:val="00760DF5"/>
    <w:rsid w:val="00761CC3"/>
    <w:rsid w:val="00762368"/>
    <w:rsid w:val="007624B7"/>
    <w:rsid w:val="00762563"/>
    <w:rsid w:val="00762B49"/>
    <w:rsid w:val="00762BDD"/>
    <w:rsid w:val="007631D4"/>
    <w:rsid w:val="00763E1F"/>
    <w:rsid w:val="00763F63"/>
    <w:rsid w:val="0076445E"/>
    <w:rsid w:val="0076475C"/>
    <w:rsid w:val="00764957"/>
    <w:rsid w:val="00764DE2"/>
    <w:rsid w:val="007650E4"/>
    <w:rsid w:val="0076510E"/>
    <w:rsid w:val="007675FB"/>
    <w:rsid w:val="0076762D"/>
    <w:rsid w:val="00767692"/>
    <w:rsid w:val="00767ACF"/>
    <w:rsid w:val="00770A23"/>
    <w:rsid w:val="00770D88"/>
    <w:rsid w:val="00770ED5"/>
    <w:rsid w:val="00770F33"/>
    <w:rsid w:val="007713B9"/>
    <w:rsid w:val="00771DED"/>
    <w:rsid w:val="00772095"/>
    <w:rsid w:val="00772615"/>
    <w:rsid w:val="00772624"/>
    <w:rsid w:val="00772C04"/>
    <w:rsid w:val="00773303"/>
    <w:rsid w:val="00773941"/>
    <w:rsid w:val="0077395B"/>
    <w:rsid w:val="00773F00"/>
    <w:rsid w:val="00774613"/>
    <w:rsid w:val="00774F4F"/>
    <w:rsid w:val="0077521D"/>
    <w:rsid w:val="007754AE"/>
    <w:rsid w:val="00775C8A"/>
    <w:rsid w:val="00775E63"/>
    <w:rsid w:val="00775F68"/>
    <w:rsid w:val="00776F85"/>
    <w:rsid w:val="007779C2"/>
    <w:rsid w:val="00777B30"/>
    <w:rsid w:val="0078013D"/>
    <w:rsid w:val="0078019A"/>
    <w:rsid w:val="00780D30"/>
    <w:rsid w:val="00780F93"/>
    <w:rsid w:val="00781041"/>
    <w:rsid w:val="00781091"/>
    <w:rsid w:val="0078122A"/>
    <w:rsid w:val="007827DA"/>
    <w:rsid w:val="00784137"/>
    <w:rsid w:val="007846CA"/>
    <w:rsid w:val="00785192"/>
    <w:rsid w:val="0078563D"/>
    <w:rsid w:val="00785920"/>
    <w:rsid w:val="00785A50"/>
    <w:rsid w:val="00786F2B"/>
    <w:rsid w:val="00786F58"/>
    <w:rsid w:val="007877DE"/>
    <w:rsid w:val="0079015D"/>
    <w:rsid w:val="007906AA"/>
    <w:rsid w:val="0079072A"/>
    <w:rsid w:val="00790FC5"/>
    <w:rsid w:val="007911A4"/>
    <w:rsid w:val="007920D3"/>
    <w:rsid w:val="0079269D"/>
    <w:rsid w:val="007929DC"/>
    <w:rsid w:val="00792CC9"/>
    <w:rsid w:val="0079309E"/>
    <w:rsid w:val="0079388E"/>
    <w:rsid w:val="00793C30"/>
    <w:rsid w:val="00793EFA"/>
    <w:rsid w:val="00794BBA"/>
    <w:rsid w:val="00794CC2"/>
    <w:rsid w:val="00795C4E"/>
    <w:rsid w:val="00796402"/>
    <w:rsid w:val="0079646F"/>
    <w:rsid w:val="007965AD"/>
    <w:rsid w:val="0079690B"/>
    <w:rsid w:val="007977DE"/>
    <w:rsid w:val="00797DD6"/>
    <w:rsid w:val="007A014D"/>
    <w:rsid w:val="007A0722"/>
    <w:rsid w:val="007A1500"/>
    <w:rsid w:val="007A19F9"/>
    <w:rsid w:val="007A1ECE"/>
    <w:rsid w:val="007A2356"/>
    <w:rsid w:val="007A2891"/>
    <w:rsid w:val="007A55A8"/>
    <w:rsid w:val="007A568E"/>
    <w:rsid w:val="007A6675"/>
    <w:rsid w:val="007A689E"/>
    <w:rsid w:val="007A7B28"/>
    <w:rsid w:val="007B0A46"/>
    <w:rsid w:val="007B0C41"/>
    <w:rsid w:val="007B0DE6"/>
    <w:rsid w:val="007B2722"/>
    <w:rsid w:val="007B2965"/>
    <w:rsid w:val="007B2D43"/>
    <w:rsid w:val="007B2EE2"/>
    <w:rsid w:val="007B3E84"/>
    <w:rsid w:val="007B4161"/>
    <w:rsid w:val="007B450F"/>
    <w:rsid w:val="007B4E80"/>
    <w:rsid w:val="007B50BF"/>
    <w:rsid w:val="007B57E0"/>
    <w:rsid w:val="007B59DC"/>
    <w:rsid w:val="007B59ED"/>
    <w:rsid w:val="007B5A6C"/>
    <w:rsid w:val="007B5BB2"/>
    <w:rsid w:val="007B6C1D"/>
    <w:rsid w:val="007B75B7"/>
    <w:rsid w:val="007B7606"/>
    <w:rsid w:val="007B7F2D"/>
    <w:rsid w:val="007C02D9"/>
    <w:rsid w:val="007C0BA0"/>
    <w:rsid w:val="007C1127"/>
    <w:rsid w:val="007C196E"/>
    <w:rsid w:val="007C21A0"/>
    <w:rsid w:val="007C242C"/>
    <w:rsid w:val="007C2689"/>
    <w:rsid w:val="007C2CE8"/>
    <w:rsid w:val="007C30ED"/>
    <w:rsid w:val="007C3A70"/>
    <w:rsid w:val="007C4370"/>
    <w:rsid w:val="007C53E3"/>
    <w:rsid w:val="007C56D1"/>
    <w:rsid w:val="007C5B4E"/>
    <w:rsid w:val="007C5CE6"/>
    <w:rsid w:val="007C5DC8"/>
    <w:rsid w:val="007C5E58"/>
    <w:rsid w:val="007C6854"/>
    <w:rsid w:val="007C68A8"/>
    <w:rsid w:val="007C750F"/>
    <w:rsid w:val="007C7C27"/>
    <w:rsid w:val="007D04A1"/>
    <w:rsid w:val="007D0BB8"/>
    <w:rsid w:val="007D1519"/>
    <w:rsid w:val="007D1F48"/>
    <w:rsid w:val="007D243A"/>
    <w:rsid w:val="007D2CE2"/>
    <w:rsid w:val="007D32D0"/>
    <w:rsid w:val="007D358D"/>
    <w:rsid w:val="007D3E38"/>
    <w:rsid w:val="007D42F4"/>
    <w:rsid w:val="007D5BBE"/>
    <w:rsid w:val="007D5FE2"/>
    <w:rsid w:val="007D653E"/>
    <w:rsid w:val="007D66A8"/>
    <w:rsid w:val="007D67F3"/>
    <w:rsid w:val="007D6B5E"/>
    <w:rsid w:val="007D6E06"/>
    <w:rsid w:val="007D73B9"/>
    <w:rsid w:val="007D79CB"/>
    <w:rsid w:val="007E01AE"/>
    <w:rsid w:val="007E0FA8"/>
    <w:rsid w:val="007E111D"/>
    <w:rsid w:val="007E2713"/>
    <w:rsid w:val="007E2CDF"/>
    <w:rsid w:val="007E3A9B"/>
    <w:rsid w:val="007E3B9D"/>
    <w:rsid w:val="007E4398"/>
    <w:rsid w:val="007E48FF"/>
    <w:rsid w:val="007E5094"/>
    <w:rsid w:val="007E5101"/>
    <w:rsid w:val="007E5C89"/>
    <w:rsid w:val="007E691B"/>
    <w:rsid w:val="007E6C31"/>
    <w:rsid w:val="007E71AC"/>
    <w:rsid w:val="007E71F7"/>
    <w:rsid w:val="007F00FA"/>
    <w:rsid w:val="007F1245"/>
    <w:rsid w:val="007F1A45"/>
    <w:rsid w:val="007F1CA7"/>
    <w:rsid w:val="007F2A01"/>
    <w:rsid w:val="007F37D9"/>
    <w:rsid w:val="007F4036"/>
    <w:rsid w:val="007F4619"/>
    <w:rsid w:val="007F479E"/>
    <w:rsid w:val="007F499D"/>
    <w:rsid w:val="007F5315"/>
    <w:rsid w:val="007F5AE5"/>
    <w:rsid w:val="007F5CCA"/>
    <w:rsid w:val="007F5F88"/>
    <w:rsid w:val="007F60B8"/>
    <w:rsid w:val="007F67A2"/>
    <w:rsid w:val="007F6941"/>
    <w:rsid w:val="007F7908"/>
    <w:rsid w:val="007F7E8B"/>
    <w:rsid w:val="00800525"/>
    <w:rsid w:val="00800779"/>
    <w:rsid w:val="00800C33"/>
    <w:rsid w:val="00800F34"/>
    <w:rsid w:val="00800F87"/>
    <w:rsid w:val="0080214C"/>
    <w:rsid w:val="008027CE"/>
    <w:rsid w:val="00802B56"/>
    <w:rsid w:val="00802F04"/>
    <w:rsid w:val="0080337F"/>
    <w:rsid w:val="00803A24"/>
    <w:rsid w:val="00803C5E"/>
    <w:rsid w:val="00804017"/>
    <w:rsid w:val="008045FB"/>
    <w:rsid w:val="00804C90"/>
    <w:rsid w:val="00804DBB"/>
    <w:rsid w:val="00804E77"/>
    <w:rsid w:val="008059C4"/>
    <w:rsid w:val="008061A4"/>
    <w:rsid w:val="008064BE"/>
    <w:rsid w:val="0080705C"/>
    <w:rsid w:val="008078B5"/>
    <w:rsid w:val="00810409"/>
    <w:rsid w:val="00810767"/>
    <w:rsid w:val="00810E43"/>
    <w:rsid w:val="00810EA8"/>
    <w:rsid w:val="008119F1"/>
    <w:rsid w:val="00812C54"/>
    <w:rsid w:val="00812ED0"/>
    <w:rsid w:val="00812FB2"/>
    <w:rsid w:val="00813FC6"/>
    <w:rsid w:val="00814625"/>
    <w:rsid w:val="0081504C"/>
    <w:rsid w:val="00815488"/>
    <w:rsid w:val="008159FC"/>
    <w:rsid w:val="00816560"/>
    <w:rsid w:val="0081678C"/>
    <w:rsid w:val="00816D26"/>
    <w:rsid w:val="00817040"/>
    <w:rsid w:val="00820208"/>
    <w:rsid w:val="00820579"/>
    <w:rsid w:val="008209B0"/>
    <w:rsid w:val="00821003"/>
    <w:rsid w:val="008210C1"/>
    <w:rsid w:val="00821B93"/>
    <w:rsid w:val="00822054"/>
    <w:rsid w:val="00822349"/>
    <w:rsid w:val="00822BBA"/>
    <w:rsid w:val="00824A9E"/>
    <w:rsid w:val="008253AC"/>
    <w:rsid w:val="00825566"/>
    <w:rsid w:val="00825AC0"/>
    <w:rsid w:val="00825FE0"/>
    <w:rsid w:val="00826263"/>
    <w:rsid w:val="00827368"/>
    <w:rsid w:val="00827607"/>
    <w:rsid w:val="00827999"/>
    <w:rsid w:val="00830470"/>
    <w:rsid w:val="00830B4C"/>
    <w:rsid w:val="00831D8C"/>
    <w:rsid w:val="00832644"/>
    <w:rsid w:val="008338AF"/>
    <w:rsid w:val="00833C0B"/>
    <w:rsid w:val="00833D39"/>
    <w:rsid w:val="008349D3"/>
    <w:rsid w:val="008357F0"/>
    <w:rsid w:val="008359C4"/>
    <w:rsid w:val="0083621B"/>
    <w:rsid w:val="008362A6"/>
    <w:rsid w:val="0083635F"/>
    <w:rsid w:val="008363C8"/>
    <w:rsid w:val="008364AB"/>
    <w:rsid w:val="00836C7A"/>
    <w:rsid w:val="00836F03"/>
    <w:rsid w:val="00836F39"/>
    <w:rsid w:val="00840BE7"/>
    <w:rsid w:val="008410D2"/>
    <w:rsid w:val="008424C5"/>
    <w:rsid w:val="00842AAE"/>
    <w:rsid w:val="00842AFB"/>
    <w:rsid w:val="00843037"/>
    <w:rsid w:val="008432CF"/>
    <w:rsid w:val="008435CE"/>
    <w:rsid w:val="008438D4"/>
    <w:rsid w:val="00843A42"/>
    <w:rsid w:val="00843BB0"/>
    <w:rsid w:val="00843F11"/>
    <w:rsid w:val="00843FA1"/>
    <w:rsid w:val="00844108"/>
    <w:rsid w:val="008445F5"/>
    <w:rsid w:val="00844F2D"/>
    <w:rsid w:val="008455CB"/>
    <w:rsid w:val="008468AE"/>
    <w:rsid w:val="0084742B"/>
    <w:rsid w:val="00847780"/>
    <w:rsid w:val="00847BD5"/>
    <w:rsid w:val="00847C74"/>
    <w:rsid w:val="00847F8A"/>
    <w:rsid w:val="00850093"/>
    <w:rsid w:val="00851B88"/>
    <w:rsid w:val="00851D1F"/>
    <w:rsid w:val="00851FD6"/>
    <w:rsid w:val="00852E12"/>
    <w:rsid w:val="00852E62"/>
    <w:rsid w:val="00853536"/>
    <w:rsid w:val="00853BD4"/>
    <w:rsid w:val="00855E4D"/>
    <w:rsid w:val="00855E69"/>
    <w:rsid w:val="00856891"/>
    <w:rsid w:val="00856A9E"/>
    <w:rsid w:val="00856D5E"/>
    <w:rsid w:val="00856DAB"/>
    <w:rsid w:val="00857A49"/>
    <w:rsid w:val="00860A22"/>
    <w:rsid w:val="00860D4E"/>
    <w:rsid w:val="00861F11"/>
    <w:rsid w:val="00862109"/>
    <w:rsid w:val="0086215E"/>
    <w:rsid w:val="00862519"/>
    <w:rsid w:val="00862A46"/>
    <w:rsid w:val="00862F60"/>
    <w:rsid w:val="008638BB"/>
    <w:rsid w:val="008638EB"/>
    <w:rsid w:val="00863980"/>
    <w:rsid w:val="00863B86"/>
    <w:rsid w:val="008651CC"/>
    <w:rsid w:val="008654FC"/>
    <w:rsid w:val="00865B22"/>
    <w:rsid w:val="00865B99"/>
    <w:rsid w:val="00866C20"/>
    <w:rsid w:val="00867108"/>
    <w:rsid w:val="0086727D"/>
    <w:rsid w:val="00867CF3"/>
    <w:rsid w:val="00867E33"/>
    <w:rsid w:val="0087023C"/>
    <w:rsid w:val="008706EE"/>
    <w:rsid w:val="008707B4"/>
    <w:rsid w:val="008712DE"/>
    <w:rsid w:val="00871EDB"/>
    <w:rsid w:val="00872885"/>
    <w:rsid w:val="00873332"/>
    <w:rsid w:val="00874731"/>
    <w:rsid w:val="0087478D"/>
    <w:rsid w:val="00874B70"/>
    <w:rsid w:val="008750D3"/>
    <w:rsid w:val="00876DD7"/>
    <w:rsid w:val="008772AD"/>
    <w:rsid w:val="00877916"/>
    <w:rsid w:val="00877A07"/>
    <w:rsid w:val="00877CC3"/>
    <w:rsid w:val="008810CB"/>
    <w:rsid w:val="0088132A"/>
    <w:rsid w:val="008821AD"/>
    <w:rsid w:val="00882713"/>
    <w:rsid w:val="00882715"/>
    <w:rsid w:val="00882EF4"/>
    <w:rsid w:val="00882FB4"/>
    <w:rsid w:val="008834F1"/>
    <w:rsid w:val="00884004"/>
    <w:rsid w:val="008842FC"/>
    <w:rsid w:val="0088506F"/>
    <w:rsid w:val="008850FF"/>
    <w:rsid w:val="0088577F"/>
    <w:rsid w:val="0088586C"/>
    <w:rsid w:val="008858EC"/>
    <w:rsid w:val="00885A5C"/>
    <w:rsid w:val="0088633E"/>
    <w:rsid w:val="00886B20"/>
    <w:rsid w:val="008875ED"/>
    <w:rsid w:val="00890FB1"/>
    <w:rsid w:val="00891A26"/>
    <w:rsid w:val="00891EA3"/>
    <w:rsid w:val="00892060"/>
    <w:rsid w:val="008926CC"/>
    <w:rsid w:val="00892BE1"/>
    <w:rsid w:val="00892F67"/>
    <w:rsid w:val="00893049"/>
    <w:rsid w:val="0089310B"/>
    <w:rsid w:val="00893168"/>
    <w:rsid w:val="00894B0F"/>
    <w:rsid w:val="008959C6"/>
    <w:rsid w:val="00895B8D"/>
    <w:rsid w:val="008960A8"/>
    <w:rsid w:val="00896CAB"/>
    <w:rsid w:val="00896D9E"/>
    <w:rsid w:val="00897F04"/>
    <w:rsid w:val="008A08E2"/>
    <w:rsid w:val="008A159E"/>
    <w:rsid w:val="008A1627"/>
    <w:rsid w:val="008A19A5"/>
    <w:rsid w:val="008A3259"/>
    <w:rsid w:val="008A32BD"/>
    <w:rsid w:val="008A37C5"/>
    <w:rsid w:val="008A3F8C"/>
    <w:rsid w:val="008A4065"/>
    <w:rsid w:val="008A49ED"/>
    <w:rsid w:val="008A4B81"/>
    <w:rsid w:val="008A4BBE"/>
    <w:rsid w:val="008A6277"/>
    <w:rsid w:val="008A62A6"/>
    <w:rsid w:val="008A6C79"/>
    <w:rsid w:val="008A753B"/>
    <w:rsid w:val="008A77E4"/>
    <w:rsid w:val="008A7D15"/>
    <w:rsid w:val="008A7F86"/>
    <w:rsid w:val="008B093A"/>
    <w:rsid w:val="008B1AA3"/>
    <w:rsid w:val="008B234F"/>
    <w:rsid w:val="008B2EAF"/>
    <w:rsid w:val="008B39D6"/>
    <w:rsid w:val="008B3E3C"/>
    <w:rsid w:val="008B483D"/>
    <w:rsid w:val="008B5955"/>
    <w:rsid w:val="008B5E3A"/>
    <w:rsid w:val="008B5F04"/>
    <w:rsid w:val="008B6D68"/>
    <w:rsid w:val="008B725B"/>
    <w:rsid w:val="008B757A"/>
    <w:rsid w:val="008B772F"/>
    <w:rsid w:val="008B7969"/>
    <w:rsid w:val="008B7C46"/>
    <w:rsid w:val="008B7F1A"/>
    <w:rsid w:val="008C16F9"/>
    <w:rsid w:val="008C304F"/>
    <w:rsid w:val="008C3899"/>
    <w:rsid w:val="008C3BEE"/>
    <w:rsid w:val="008C4FB3"/>
    <w:rsid w:val="008C54F7"/>
    <w:rsid w:val="008C5951"/>
    <w:rsid w:val="008C5C40"/>
    <w:rsid w:val="008C710D"/>
    <w:rsid w:val="008C7383"/>
    <w:rsid w:val="008C74CE"/>
    <w:rsid w:val="008C78A8"/>
    <w:rsid w:val="008C7B3C"/>
    <w:rsid w:val="008D0049"/>
    <w:rsid w:val="008D02AC"/>
    <w:rsid w:val="008D0F44"/>
    <w:rsid w:val="008D1A80"/>
    <w:rsid w:val="008D2338"/>
    <w:rsid w:val="008D24C1"/>
    <w:rsid w:val="008D24E7"/>
    <w:rsid w:val="008D2B99"/>
    <w:rsid w:val="008D2C10"/>
    <w:rsid w:val="008D2D00"/>
    <w:rsid w:val="008D315B"/>
    <w:rsid w:val="008D31D3"/>
    <w:rsid w:val="008D38A6"/>
    <w:rsid w:val="008D4069"/>
    <w:rsid w:val="008D469C"/>
    <w:rsid w:val="008D4DED"/>
    <w:rsid w:val="008D5E87"/>
    <w:rsid w:val="008D732C"/>
    <w:rsid w:val="008D7367"/>
    <w:rsid w:val="008D746B"/>
    <w:rsid w:val="008D79B6"/>
    <w:rsid w:val="008D7A44"/>
    <w:rsid w:val="008D7CD1"/>
    <w:rsid w:val="008E0664"/>
    <w:rsid w:val="008E0CEC"/>
    <w:rsid w:val="008E0E6C"/>
    <w:rsid w:val="008E0E6D"/>
    <w:rsid w:val="008E18B1"/>
    <w:rsid w:val="008E1986"/>
    <w:rsid w:val="008E26B2"/>
    <w:rsid w:val="008E36FB"/>
    <w:rsid w:val="008E3EBB"/>
    <w:rsid w:val="008E4383"/>
    <w:rsid w:val="008E49F1"/>
    <w:rsid w:val="008E4ADD"/>
    <w:rsid w:val="008E4DFA"/>
    <w:rsid w:val="008E5751"/>
    <w:rsid w:val="008E588E"/>
    <w:rsid w:val="008E5DCC"/>
    <w:rsid w:val="008E6313"/>
    <w:rsid w:val="008E6F91"/>
    <w:rsid w:val="008E718A"/>
    <w:rsid w:val="008E7A8E"/>
    <w:rsid w:val="008E7BB1"/>
    <w:rsid w:val="008F0029"/>
    <w:rsid w:val="008F0155"/>
    <w:rsid w:val="008F19A2"/>
    <w:rsid w:val="008F1D94"/>
    <w:rsid w:val="008F32D2"/>
    <w:rsid w:val="008F341C"/>
    <w:rsid w:val="008F3489"/>
    <w:rsid w:val="008F394A"/>
    <w:rsid w:val="008F3A0B"/>
    <w:rsid w:val="008F3BDF"/>
    <w:rsid w:val="008F487F"/>
    <w:rsid w:val="008F572D"/>
    <w:rsid w:val="008F574A"/>
    <w:rsid w:val="008F5EEC"/>
    <w:rsid w:val="008F69D1"/>
    <w:rsid w:val="008F6B7A"/>
    <w:rsid w:val="008F70CD"/>
    <w:rsid w:val="008F7A0B"/>
    <w:rsid w:val="008F7B60"/>
    <w:rsid w:val="008F7CAD"/>
    <w:rsid w:val="008F7D3A"/>
    <w:rsid w:val="009003AC"/>
    <w:rsid w:val="00900402"/>
    <w:rsid w:val="00900624"/>
    <w:rsid w:val="0090076E"/>
    <w:rsid w:val="009009A9"/>
    <w:rsid w:val="00901108"/>
    <w:rsid w:val="0090118C"/>
    <w:rsid w:val="00901379"/>
    <w:rsid w:val="009013F0"/>
    <w:rsid w:val="0090145E"/>
    <w:rsid w:val="00901FCE"/>
    <w:rsid w:val="0090221D"/>
    <w:rsid w:val="0090244B"/>
    <w:rsid w:val="00902884"/>
    <w:rsid w:val="009032E4"/>
    <w:rsid w:val="009033EB"/>
    <w:rsid w:val="00903581"/>
    <w:rsid w:val="0090409B"/>
    <w:rsid w:val="00904580"/>
    <w:rsid w:val="00904DDA"/>
    <w:rsid w:val="00905E20"/>
    <w:rsid w:val="009060D3"/>
    <w:rsid w:val="009062FF"/>
    <w:rsid w:val="009063FA"/>
    <w:rsid w:val="00906D64"/>
    <w:rsid w:val="00906EF4"/>
    <w:rsid w:val="00907883"/>
    <w:rsid w:val="00907A2D"/>
    <w:rsid w:val="00911273"/>
    <w:rsid w:val="00912ED8"/>
    <w:rsid w:val="00912F9A"/>
    <w:rsid w:val="009140EF"/>
    <w:rsid w:val="009147A7"/>
    <w:rsid w:val="009148DD"/>
    <w:rsid w:val="00914BC4"/>
    <w:rsid w:val="00914D9D"/>
    <w:rsid w:val="00915E77"/>
    <w:rsid w:val="009160CF"/>
    <w:rsid w:val="00917213"/>
    <w:rsid w:val="00917287"/>
    <w:rsid w:val="00917641"/>
    <w:rsid w:val="009205B0"/>
    <w:rsid w:val="0092080C"/>
    <w:rsid w:val="0092134B"/>
    <w:rsid w:val="009221AC"/>
    <w:rsid w:val="009224F2"/>
    <w:rsid w:val="009225B3"/>
    <w:rsid w:val="00922978"/>
    <w:rsid w:val="00922A15"/>
    <w:rsid w:val="0092439D"/>
    <w:rsid w:val="0092453B"/>
    <w:rsid w:val="0092456D"/>
    <w:rsid w:val="00924C9C"/>
    <w:rsid w:val="00925590"/>
    <w:rsid w:val="00925C68"/>
    <w:rsid w:val="00925EBC"/>
    <w:rsid w:val="0092657F"/>
    <w:rsid w:val="00926967"/>
    <w:rsid w:val="00927518"/>
    <w:rsid w:val="009278B4"/>
    <w:rsid w:val="00927953"/>
    <w:rsid w:val="00927BD5"/>
    <w:rsid w:val="00927C79"/>
    <w:rsid w:val="00927FC3"/>
    <w:rsid w:val="00930557"/>
    <w:rsid w:val="00930815"/>
    <w:rsid w:val="009312C7"/>
    <w:rsid w:val="0093170E"/>
    <w:rsid w:val="00932A22"/>
    <w:rsid w:val="009332BA"/>
    <w:rsid w:val="00933397"/>
    <w:rsid w:val="00933706"/>
    <w:rsid w:val="0093465C"/>
    <w:rsid w:val="009346C4"/>
    <w:rsid w:val="00934A8F"/>
    <w:rsid w:val="00935071"/>
    <w:rsid w:val="009350BF"/>
    <w:rsid w:val="009359A1"/>
    <w:rsid w:val="009367D9"/>
    <w:rsid w:val="009401A8"/>
    <w:rsid w:val="00941513"/>
    <w:rsid w:val="0094158C"/>
    <w:rsid w:val="00941909"/>
    <w:rsid w:val="009421CA"/>
    <w:rsid w:val="00942453"/>
    <w:rsid w:val="00942A67"/>
    <w:rsid w:val="009435CD"/>
    <w:rsid w:val="0094396D"/>
    <w:rsid w:val="0094420F"/>
    <w:rsid w:val="00944518"/>
    <w:rsid w:val="00944846"/>
    <w:rsid w:val="00945013"/>
    <w:rsid w:val="0094586B"/>
    <w:rsid w:val="00945EA1"/>
    <w:rsid w:val="009469B5"/>
    <w:rsid w:val="00946B41"/>
    <w:rsid w:val="009473CE"/>
    <w:rsid w:val="00947563"/>
    <w:rsid w:val="0094777F"/>
    <w:rsid w:val="00947A5C"/>
    <w:rsid w:val="009508D4"/>
    <w:rsid w:val="00950D10"/>
    <w:rsid w:val="00950F84"/>
    <w:rsid w:val="00951606"/>
    <w:rsid w:val="00952128"/>
    <w:rsid w:val="00952B7A"/>
    <w:rsid w:val="009537E7"/>
    <w:rsid w:val="0095425C"/>
    <w:rsid w:val="00954DC0"/>
    <w:rsid w:val="00955978"/>
    <w:rsid w:val="009560F0"/>
    <w:rsid w:val="009566EF"/>
    <w:rsid w:val="00956EB0"/>
    <w:rsid w:val="00957561"/>
    <w:rsid w:val="00957B1D"/>
    <w:rsid w:val="00957BF9"/>
    <w:rsid w:val="00960031"/>
    <w:rsid w:val="00960090"/>
    <w:rsid w:val="00960C7C"/>
    <w:rsid w:val="00960EB2"/>
    <w:rsid w:val="00960EC8"/>
    <w:rsid w:val="009624B9"/>
    <w:rsid w:val="00962EBB"/>
    <w:rsid w:val="0096378A"/>
    <w:rsid w:val="009637F9"/>
    <w:rsid w:val="00963AA1"/>
    <w:rsid w:val="009646D8"/>
    <w:rsid w:val="009658B2"/>
    <w:rsid w:val="009659E0"/>
    <w:rsid w:val="00966710"/>
    <w:rsid w:val="009668F0"/>
    <w:rsid w:val="0096737A"/>
    <w:rsid w:val="009674A0"/>
    <w:rsid w:val="00967B54"/>
    <w:rsid w:val="00967BA9"/>
    <w:rsid w:val="0097046C"/>
    <w:rsid w:val="0097051F"/>
    <w:rsid w:val="00970AD2"/>
    <w:rsid w:val="0097113C"/>
    <w:rsid w:val="00971C7B"/>
    <w:rsid w:val="00971DA8"/>
    <w:rsid w:val="00971DDD"/>
    <w:rsid w:val="0097213C"/>
    <w:rsid w:val="00972753"/>
    <w:rsid w:val="009727EC"/>
    <w:rsid w:val="00973026"/>
    <w:rsid w:val="00974119"/>
    <w:rsid w:val="009741CB"/>
    <w:rsid w:val="00974D21"/>
    <w:rsid w:val="00974E3E"/>
    <w:rsid w:val="00976794"/>
    <w:rsid w:val="00976A8C"/>
    <w:rsid w:val="00976B73"/>
    <w:rsid w:val="0097721C"/>
    <w:rsid w:val="0098120C"/>
    <w:rsid w:val="009825E4"/>
    <w:rsid w:val="00982912"/>
    <w:rsid w:val="00982918"/>
    <w:rsid w:val="00982AEF"/>
    <w:rsid w:val="00982E37"/>
    <w:rsid w:val="00983AAA"/>
    <w:rsid w:val="00983F4B"/>
    <w:rsid w:val="0098418F"/>
    <w:rsid w:val="00984748"/>
    <w:rsid w:val="00984A6F"/>
    <w:rsid w:val="009859D1"/>
    <w:rsid w:val="009875D2"/>
    <w:rsid w:val="00987BE7"/>
    <w:rsid w:val="0099077E"/>
    <w:rsid w:val="00990DA1"/>
    <w:rsid w:val="00990FFB"/>
    <w:rsid w:val="00991A9C"/>
    <w:rsid w:val="009925B5"/>
    <w:rsid w:val="009925C5"/>
    <w:rsid w:val="00992BEB"/>
    <w:rsid w:val="00992EA9"/>
    <w:rsid w:val="00992F5E"/>
    <w:rsid w:val="00993083"/>
    <w:rsid w:val="009931DC"/>
    <w:rsid w:val="00993E78"/>
    <w:rsid w:val="009950B2"/>
    <w:rsid w:val="00995141"/>
    <w:rsid w:val="0099555B"/>
    <w:rsid w:val="009964E9"/>
    <w:rsid w:val="00996782"/>
    <w:rsid w:val="00996DF6"/>
    <w:rsid w:val="009972CA"/>
    <w:rsid w:val="009972EC"/>
    <w:rsid w:val="009A0846"/>
    <w:rsid w:val="009A0F21"/>
    <w:rsid w:val="009A120F"/>
    <w:rsid w:val="009A1561"/>
    <w:rsid w:val="009A1BFB"/>
    <w:rsid w:val="009A1FE5"/>
    <w:rsid w:val="009A2632"/>
    <w:rsid w:val="009A2DD9"/>
    <w:rsid w:val="009A32DF"/>
    <w:rsid w:val="009A42CF"/>
    <w:rsid w:val="009A44EE"/>
    <w:rsid w:val="009A4886"/>
    <w:rsid w:val="009A48FD"/>
    <w:rsid w:val="009A4A88"/>
    <w:rsid w:val="009A5A3F"/>
    <w:rsid w:val="009A6F33"/>
    <w:rsid w:val="009B00FD"/>
    <w:rsid w:val="009B07A9"/>
    <w:rsid w:val="009B08D9"/>
    <w:rsid w:val="009B08DD"/>
    <w:rsid w:val="009B0980"/>
    <w:rsid w:val="009B12B1"/>
    <w:rsid w:val="009B140A"/>
    <w:rsid w:val="009B16A0"/>
    <w:rsid w:val="009B179E"/>
    <w:rsid w:val="009B1CF9"/>
    <w:rsid w:val="009B34C8"/>
    <w:rsid w:val="009B463A"/>
    <w:rsid w:val="009B4D01"/>
    <w:rsid w:val="009B546B"/>
    <w:rsid w:val="009B5D2F"/>
    <w:rsid w:val="009B5D89"/>
    <w:rsid w:val="009B60C4"/>
    <w:rsid w:val="009B752F"/>
    <w:rsid w:val="009B7AFD"/>
    <w:rsid w:val="009C05EC"/>
    <w:rsid w:val="009C08DC"/>
    <w:rsid w:val="009C0B76"/>
    <w:rsid w:val="009C0FE0"/>
    <w:rsid w:val="009C1126"/>
    <w:rsid w:val="009C1F07"/>
    <w:rsid w:val="009C201E"/>
    <w:rsid w:val="009C2176"/>
    <w:rsid w:val="009C2615"/>
    <w:rsid w:val="009C3B37"/>
    <w:rsid w:val="009C3DF8"/>
    <w:rsid w:val="009C400E"/>
    <w:rsid w:val="009C5122"/>
    <w:rsid w:val="009C655D"/>
    <w:rsid w:val="009C6CED"/>
    <w:rsid w:val="009C6D40"/>
    <w:rsid w:val="009C79AD"/>
    <w:rsid w:val="009C7A03"/>
    <w:rsid w:val="009D0335"/>
    <w:rsid w:val="009D05B0"/>
    <w:rsid w:val="009D1F31"/>
    <w:rsid w:val="009D2508"/>
    <w:rsid w:val="009D363A"/>
    <w:rsid w:val="009D37D2"/>
    <w:rsid w:val="009D3DA2"/>
    <w:rsid w:val="009D47DF"/>
    <w:rsid w:val="009D4E2D"/>
    <w:rsid w:val="009D51E8"/>
    <w:rsid w:val="009D5C39"/>
    <w:rsid w:val="009D6894"/>
    <w:rsid w:val="009D6C16"/>
    <w:rsid w:val="009D7263"/>
    <w:rsid w:val="009D7321"/>
    <w:rsid w:val="009D745C"/>
    <w:rsid w:val="009E0074"/>
    <w:rsid w:val="009E013A"/>
    <w:rsid w:val="009E0ACD"/>
    <w:rsid w:val="009E0F0D"/>
    <w:rsid w:val="009E1F33"/>
    <w:rsid w:val="009E2690"/>
    <w:rsid w:val="009E29C7"/>
    <w:rsid w:val="009E37DC"/>
    <w:rsid w:val="009E41D3"/>
    <w:rsid w:val="009E4A49"/>
    <w:rsid w:val="009E51C0"/>
    <w:rsid w:val="009E5634"/>
    <w:rsid w:val="009E6205"/>
    <w:rsid w:val="009E6290"/>
    <w:rsid w:val="009E6539"/>
    <w:rsid w:val="009E6555"/>
    <w:rsid w:val="009E66F7"/>
    <w:rsid w:val="009E69EF"/>
    <w:rsid w:val="009E6B90"/>
    <w:rsid w:val="009E72F0"/>
    <w:rsid w:val="009E75C7"/>
    <w:rsid w:val="009E762B"/>
    <w:rsid w:val="009E7E96"/>
    <w:rsid w:val="009F09E4"/>
    <w:rsid w:val="009F138A"/>
    <w:rsid w:val="009F1446"/>
    <w:rsid w:val="009F24F8"/>
    <w:rsid w:val="009F262A"/>
    <w:rsid w:val="009F2D01"/>
    <w:rsid w:val="009F301C"/>
    <w:rsid w:val="009F39A9"/>
    <w:rsid w:val="009F438A"/>
    <w:rsid w:val="009F44E7"/>
    <w:rsid w:val="009F4566"/>
    <w:rsid w:val="009F50E2"/>
    <w:rsid w:val="009F6121"/>
    <w:rsid w:val="009F6428"/>
    <w:rsid w:val="009F64CA"/>
    <w:rsid w:val="009F65CA"/>
    <w:rsid w:val="009F687A"/>
    <w:rsid w:val="009F7160"/>
    <w:rsid w:val="00A007F4"/>
    <w:rsid w:val="00A01A8D"/>
    <w:rsid w:val="00A01EB1"/>
    <w:rsid w:val="00A01F4C"/>
    <w:rsid w:val="00A02412"/>
    <w:rsid w:val="00A025B8"/>
    <w:rsid w:val="00A02857"/>
    <w:rsid w:val="00A02C66"/>
    <w:rsid w:val="00A02E79"/>
    <w:rsid w:val="00A032A2"/>
    <w:rsid w:val="00A033BB"/>
    <w:rsid w:val="00A037B4"/>
    <w:rsid w:val="00A03D1A"/>
    <w:rsid w:val="00A03E8F"/>
    <w:rsid w:val="00A0428E"/>
    <w:rsid w:val="00A046F1"/>
    <w:rsid w:val="00A04956"/>
    <w:rsid w:val="00A051BB"/>
    <w:rsid w:val="00A0549E"/>
    <w:rsid w:val="00A05AA7"/>
    <w:rsid w:val="00A05F70"/>
    <w:rsid w:val="00A06472"/>
    <w:rsid w:val="00A065E5"/>
    <w:rsid w:val="00A06780"/>
    <w:rsid w:val="00A1051B"/>
    <w:rsid w:val="00A10862"/>
    <w:rsid w:val="00A10E25"/>
    <w:rsid w:val="00A115D7"/>
    <w:rsid w:val="00A11867"/>
    <w:rsid w:val="00A119CF"/>
    <w:rsid w:val="00A1256C"/>
    <w:rsid w:val="00A12853"/>
    <w:rsid w:val="00A12CC4"/>
    <w:rsid w:val="00A12EEB"/>
    <w:rsid w:val="00A13DFB"/>
    <w:rsid w:val="00A13FE8"/>
    <w:rsid w:val="00A140DE"/>
    <w:rsid w:val="00A14634"/>
    <w:rsid w:val="00A1482E"/>
    <w:rsid w:val="00A15343"/>
    <w:rsid w:val="00A16337"/>
    <w:rsid w:val="00A164F8"/>
    <w:rsid w:val="00A16A32"/>
    <w:rsid w:val="00A16A66"/>
    <w:rsid w:val="00A16D1F"/>
    <w:rsid w:val="00A173FC"/>
    <w:rsid w:val="00A1749E"/>
    <w:rsid w:val="00A17F10"/>
    <w:rsid w:val="00A207E2"/>
    <w:rsid w:val="00A20856"/>
    <w:rsid w:val="00A20CD2"/>
    <w:rsid w:val="00A20F02"/>
    <w:rsid w:val="00A21616"/>
    <w:rsid w:val="00A21B87"/>
    <w:rsid w:val="00A21C40"/>
    <w:rsid w:val="00A21D69"/>
    <w:rsid w:val="00A21DA5"/>
    <w:rsid w:val="00A22328"/>
    <w:rsid w:val="00A2247B"/>
    <w:rsid w:val="00A228C0"/>
    <w:rsid w:val="00A22E58"/>
    <w:rsid w:val="00A22F56"/>
    <w:rsid w:val="00A23562"/>
    <w:rsid w:val="00A236D2"/>
    <w:rsid w:val="00A2426D"/>
    <w:rsid w:val="00A24FB8"/>
    <w:rsid w:val="00A250D6"/>
    <w:rsid w:val="00A25931"/>
    <w:rsid w:val="00A25AD9"/>
    <w:rsid w:val="00A260ED"/>
    <w:rsid w:val="00A27838"/>
    <w:rsid w:val="00A27880"/>
    <w:rsid w:val="00A27CCB"/>
    <w:rsid w:val="00A30051"/>
    <w:rsid w:val="00A32998"/>
    <w:rsid w:val="00A32BC1"/>
    <w:rsid w:val="00A32CC3"/>
    <w:rsid w:val="00A3340F"/>
    <w:rsid w:val="00A341FD"/>
    <w:rsid w:val="00A3466E"/>
    <w:rsid w:val="00A34895"/>
    <w:rsid w:val="00A34BA1"/>
    <w:rsid w:val="00A35947"/>
    <w:rsid w:val="00A36150"/>
    <w:rsid w:val="00A36570"/>
    <w:rsid w:val="00A3682E"/>
    <w:rsid w:val="00A36EFC"/>
    <w:rsid w:val="00A37B47"/>
    <w:rsid w:val="00A37C8E"/>
    <w:rsid w:val="00A404AE"/>
    <w:rsid w:val="00A40A1A"/>
    <w:rsid w:val="00A412F3"/>
    <w:rsid w:val="00A4180C"/>
    <w:rsid w:val="00A42BEA"/>
    <w:rsid w:val="00A4317E"/>
    <w:rsid w:val="00A436A4"/>
    <w:rsid w:val="00A43F39"/>
    <w:rsid w:val="00A440A0"/>
    <w:rsid w:val="00A44477"/>
    <w:rsid w:val="00A451F7"/>
    <w:rsid w:val="00A452FE"/>
    <w:rsid w:val="00A4563A"/>
    <w:rsid w:val="00A460AB"/>
    <w:rsid w:val="00A461D0"/>
    <w:rsid w:val="00A4777D"/>
    <w:rsid w:val="00A47A26"/>
    <w:rsid w:val="00A47D88"/>
    <w:rsid w:val="00A50383"/>
    <w:rsid w:val="00A51C05"/>
    <w:rsid w:val="00A51D06"/>
    <w:rsid w:val="00A52252"/>
    <w:rsid w:val="00A524D1"/>
    <w:rsid w:val="00A52670"/>
    <w:rsid w:val="00A5267E"/>
    <w:rsid w:val="00A53684"/>
    <w:rsid w:val="00A5370E"/>
    <w:rsid w:val="00A54851"/>
    <w:rsid w:val="00A54B30"/>
    <w:rsid w:val="00A54B9D"/>
    <w:rsid w:val="00A54C58"/>
    <w:rsid w:val="00A55B46"/>
    <w:rsid w:val="00A562FA"/>
    <w:rsid w:val="00A569C3"/>
    <w:rsid w:val="00A56A25"/>
    <w:rsid w:val="00A570FA"/>
    <w:rsid w:val="00A57955"/>
    <w:rsid w:val="00A60E51"/>
    <w:rsid w:val="00A6129B"/>
    <w:rsid w:val="00A61B38"/>
    <w:rsid w:val="00A61DF7"/>
    <w:rsid w:val="00A63A59"/>
    <w:rsid w:val="00A6420B"/>
    <w:rsid w:val="00A6484E"/>
    <w:rsid w:val="00A64AB2"/>
    <w:rsid w:val="00A65FDE"/>
    <w:rsid w:val="00A70411"/>
    <w:rsid w:val="00A72319"/>
    <w:rsid w:val="00A7270E"/>
    <w:rsid w:val="00A727F1"/>
    <w:rsid w:val="00A73822"/>
    <w:rsid w:val="00A73CDA"/>
    <w:rsid w:val="00A73EDC"/>
    <w:rsid w:val="00A74F5C"/>
    <w:rsid w:val="00A75ADF"/>
    <w:rsid w:val="00A766F3"/>
    <w:rsid w:val="00A77B16"/>
    <w:rsid w:val="00A77D81"/>
    <w:rsid w:val="00A77E1A"/>
    <w:rsid w:val="00A800D0"/>
    <w:rsid w:val="00A8043B"/>
    <w:rsid w:val="00A80682"/>
    <w:rsid w:val="00A80808"/>
    <w:rsid w:val="00A80CE8"/>
    <w:rsid w:val="00A80DEF"/>
    <w:rsid w:val="00A814D2"/>
    <w:rsid w:val="00A82192"/>
    <w:rsid w:val="00A82341"/>
    <w:rsid w:val="00A82557"/>
    <w:rsid w:val="00A82D49"/>
    <w:rsid w:val="00A832D7"/>
    <w:rsid w:val="00A8358C"/>
    <w:rsid w:val="00A83592"/>
    <w:rsid w:val="00A83993"/>
    <w:rsid w:val="00A844C6"/>
    <w:rsid w:val="00A84595"/>
    <w:rsid w:val="00A84B94"/>
    <w:rsid w:val="00A850CC"/>
    <w:rsid w:val="00A86059"/>
    <w:rsid w:val="00A86680"/>
    <w:rsid w:val="00A86C72"/>
    <w:rsid w:val="00A873C9"/>
    <w:rsid w:val="00A8753B"/>
    <w:rsid w:val="00A876EC"/>
    <w:rsid w:val="00A877D4"/>
    <w:rsid w:val="00A9023D"/>
    <w:rsid w:val="00A903D8"/>
    <w:rsid w:val="00A9137B"/>
    <w:rsid w:val="00A91780"/>
    <w:rsid w:val="00A91AA7"/>
    <w:rsid w:val="00A91B4E"/>
    <w:rsid w:val="00A91E97"/>
    <w:rsid w:val="00A92874"/>
    <w:rsid w:val="00A928FE"/>
    <w:rsid w:val="00A92CAD"/>
    <w:rsid w:val="00A94125"/>
    <w:rsid w:val="00A948E2"/>
    <w:rsid w:val="00A9519E"/>
    <w:rsid w:val="00A9562E"/>
    <w:rsid w:val="00A959DD"/>
    <w:rsid w:val="00A95DDE"/>
    <w:rsid w:val="00A95E8E"/>
    <w:rsid w:val="00A96846"/>
    <w:rsid w:val="00A96857"/>
    <w:rsid w:val="00A9685E"/>
    <w:rsid w:val="00A96F2D"/>
    <w:rsid w:val="00A97660"/>
    <w:rsid w:val="00A97746"/>
    <w:rsid w:val="00A97D68"/>
    <w:rsid w:val="00AA00FD"/>
    <w:rsid w:val="00AA01EC"/>
    <w:rsid w:val="00AA114C"/>
    <w:rsid w:val="00AA2332"/>
    <w:rsid w:val="00AA246C"/>
    <w:rsid w:val="00AA2B8C"/>
    <w:rsid w:val="00AA2D83"/>
    <w:rsid w:val="00AA38F5"/>
    <w:rsid w:val="00AA480F"/>
    <w:rsid w:val="00AA5121"/>
    <w:rsid w:val="00AA55CB"/>
    <w:rsid w:val="00AA56F7"/>
    <w:rsid w:val="00AA5834"/>
    <w:rsid w:val="00AA5956"/>
    <w:rsid w:val="00AA5994"/>
    <w:rsid w:val="00AA5B6C"/>
    <w:rsid w:val="00AA67F1"/>
    <w:rsid w:val="00AA6D5B"/>
    <w:rsid w:val="00AA70D2"/>
    <w:rsid w:val="00AA7A56"/>
    <w:rsid w:val="00AB03AC"/>
    <w:rsid w:val="00AB0892"/>
    <w:rsid w:val="00AB0B4A"/>
    <w:rsid w:val="00AB0DFF"/>
    <w:rsid w:val="00AB1DF9"/>
    <w:rsid w:val="00AB22A1"/>
    <w:rsid w:val="00AB26F7"/>
    <w:rsid w:val="00AB3207"/>
    <w:rsid w:val="00AB3BC2"/>
    <w:rsid w:val="00AB3FB3"/>
    <w:rsid w:val="00AB4AA7"/>
    <w:rsid w:val="00AB4EF7"/>
    <w:rsid w:val="00AB61DD"/>
    <w:rsid w:val="00AB6EEA"/>
    <w:rsid w:val="00AB79AE"/>
    <w:rsid w:val="00AC0D99"/>
    <w:rsid w:val="00AC0F80"/>
    <w:rsid w:val="00AC118A"/>
    <w:rsid w:val="00AC1EA2"/>
    <w:rsid w:val="00AC24B0"/>
    <w:rsid w:val="00AC2D2F"/>
    <w:rsid w:val="00AC47DD"/>
    <w:rsid w:val="00AC4A0B"/>
    <w:rsid w:val="00AC4D76"/>
    <w:rsid w:val="00AC5098"/>
    <w:rsid w:val="00AC6021"/>
    <w:rsid w:val="00AC614B"/>
    <w:rsid w:val="00AC61F8"/>
    <w:rsid w:val="00AC6528"/>
    <w:rsid w:val="00AC6F7D"/>
    <w:rsid w:val="00AC79F2"/>
    <w:rsid w:val="00AC7B02"/>
    <w:rsid w:val="00AD01AC"/>
    <w:rsid w:val="00AD1587"/>
    <w:rsid w:val="00AD1821"/>
    <w:rsid w:val="00AD2776"/>
    <w:rsid w:val="00AD3534"/>
    <w:rsid w:val="00AD43A8"/>
    <w:rsid w:val="00AD4FEB"/>
    <w:rsid w:val="00AD6705"/>
    <w:rsid w:val="00AD6901"/>
    <w:rsid w:val="00AD6FCE"/>
    <w:rsid w:val="00AD7476"/>
    <w:rsid w:val="00AD7F4C"/>
    <w:rsid w:val="00AE06BD"/>
    <w:rsid w:val="00AE06EC"/>
    <w:rsid w:val="00AE128A"/>
    <w:rsid w:val="00AE38AB"/>
    <w:rsid w:val="00AE3A8E"/>
    <w:rsid w:val="00AE4280"/>
    <w:rsid w:val="00AE4E26"/>
    <w:rsid w:val="00AE53D5"/>
    <w:rsid w:val="00AE58AE"/>
    <w:rsid w:val="00AE5D03"/>
    <w:rsid w:val="00AE62EA"/>
    <w:rsid w:val="00AE661C"/>
    <w:rsid w:val="00AE687E"/>
    <w:rsid w:val="00AE75EF"/>
    <w:rsid w:val="00AE78F3"/>
    <w:rsid w:val="00AF1043"/>
    <w:rsid w:val="00AF113D"/>
    <w:rsid w:val="00AF1A00"/>
    <w:rsid w:val="00AF1CA0"/>
    <w:rsid w:val="00AF1F18"/>
    <w:rsid w:val="00AF2454"/>
    <w:rsid w:val="00AF3CEB"/>
    <w:rsid w:val="00AF3EB7"/>
    <w:rsid w:val="00AF4849"/>
    <w:rsid w:val="00AF4B9E"/>
    <w:rsid w:val="00AF4D70"/>
    <w:rsid w:val="00AF510A"/>
    <w:rsid w:val="00AF53D5"/>
    <w:rsid w:val="00AF5521"/>
    <w:rsid w:val="00AF69C1"/>
    <w:rsid w:val="00B00195"/>
    <w:rsid w:val="00B008C0"/>
    <w:rsid w:val="00B00C9E"/>
    <w:rsid w:val="00B00ED7"/>
    <w:rsid w:val="00B019F5"/>
    <w:rsid w:val="00B0264A"/>
    <w:rsid w:val="00B0291F"/>
    <w:rsid w:val="00B02C04"/>
    <w:rsid w:val="00B02C2F"/>
    <w:rsid w:val="00B034D6"/>
    <w:rsid w:val="00B0369E"/>
    <w:rsid w:val="00B03B24"/>
    <w:rsid w:val="00B03D6A"/>
    <w:rsid w:val="00B03DDF"/>
    <w:rsid w:val="00B05234"/>
    <w:rsid w:val="00B05306"/>
    <w:rsid w:val="00B056E4"/>
    <w:rsid w:val="00B05A5D"/>
    <w:rsid w:val="00B05B94"/>
    <w:rsid w:val="00B06003"/>
    <w:rsid w:val="00B06489"/>
    <w:rsid w:val="00B076ED"/>
    <w:rsid w:val="00B07DFD"/>
    <w:rsid w:val="00B10B00"/>
    <w:rsid w:val="00B11B4C"/>
    <w:rsid w:val="00B12C89"/>
    <w:rsid w:val="00B135E3"/>
    <w:rsid w:val="00B14837"/>
    <w:rsid w:val="00B149AA"/>
    <w:rsid w:val="00B14B3C"/>
    <w:rsid w:val="00B14D1E"/>
    <w:rsid w:val="00B15609"/>
    <w:rsid w:val="00B16527"/>
    <w:rsid w:val="00B16B0B"/>
    <w:rsid w:val="00B17562"/>
    <w:rsid w:val="00B17B9C"/>
    <w:rsid w:val="00B200F3"/>
    <w:rsid w:val="00B20781"/>
    <w:rsid w:val="00B20AFE"/>
    <w:rsid w:val="00B20F0D"/>
    <w:rsid w:val="00B211D4"/>
    <w:rsid w:val="00B2132A"/>
    <w:rsid w:val="00B213C9"/>
    <w:rsid w:val="00B21860"/>
    <w:rsid w:val="00B22017"/>
    <w:rsid w:val="00B22FCF"/>
    <w:rsid w:val="00B235A8"/>
    <w:rsid w:val="00B2420A"/>
    <w:rsid w:val="00B24E1C"/>
    <w:rsid w:val="00B2512F"/>
    <w:rsid w:val="00B255E9"/>
    <w:rsid w:val="00B25EAE"/>
    <w:rsid w:val="00B25FF6"/>
    <w:rsid w:val="00B260A2"/>
    <w:rsid w:val="00B2664A"/>
    <w:rsid w:val="00B2682A"/>
    <w:rsid w:val="00B26929"/>
    <w:rsid w:val="00B26C1C"/>
    <w:rsid w:val="00B26E73"/>
    <w:rsid w:val="00B27075"/>
    <w:rsid w:val="00B27154"/>
    <w:rsid w:val="00B2717B"/>
    <w:rsid w:val="00B27628"/>
    <w:rsid w:val="00B3047B"/>
    <w:rsid w:val="00B31BB7"/>
    <w:rsid w:val="00B31E4B"/>
    <w:rsid w:val="00B32128"/>
    <w:rsid w:val="00B326C6"/>
    <w:rsid w:val="00B328F5"/>
    <w:rsid w:val="00B33055"/>
    <w:rsid w:val="00B33297"/>
    <w:rsid w:val="00B341F9"/>
    <w:rsid w:val="00B34342"/>
    <w:rsid w:val="00B34EFE"/>
    <w:rsid w:val="00B34F3E"/>
    <w:rsid w:val="00B34F44"/>
    <w:rsid w:val="00B35619"/>
    <w:rsid w:val="00B35A69"/>
    <w:rsid w:val="00B36038"/>
    <w:rsid w:val="00B36223"/>
    <w:rsid w:val="00B36A1A"/>
    <w:rsid w:val="00B375B2"/>
    <w:rsid w:val="00B37DD9"/>
    <w:rsid w:val="00B40C66"/>
    <w:rsid w:val="00B40F87"/>
    <w:rsid w:val="00B413CC"/>
    <w:rsid w:val="00B41431"/>
    <w:rsid w:val="00B4160D"/>
    <w:rsid w:val="00B42339"/>
    <w:rsid w:val="00B424C7"/>
    <w:rsid w:val="00B4275E"/>
    <w:rsid w:val="00B42C26"/>
    <w:rsid w:val="00B43CD0"/>
    <w:rsid w:val="00B43DFF"/>
    <w:rsid w:val="00B43E5F"/>
    <w:rsid w:val="00B43EBB"/>
    <w:rsid w:val="00B44267"/>
    <w:rsid w:val="00B44AF9"/>
    <w:rsid w:val="00B44F57"/>
    <w:rsid w:val="00B45A37"/>
    <w:rsid w:val="00B45F99"/>
    <w:rsid w:val="00B46537"/>
    <w:rsid w:val="00B5029A"/>
    <w:rsid w:val="00B507B2"/>
    <w:rsid w:val="00B51E2D"/>
    <w:rsid w:val="00B53BDD"/>
    <w:rsid w:val="00B5403A"/>
    <w:rsid w:val="00B54A00"/>
    <w:rsid w:val="00B54C4F"/>
    <w:rsid w:val="00B55BA1"/>
    <w:rsid w:val="00B55C52"/>
    <w:rsid w:val="00B5601E"/>
    <w:rsid w:val="00B56360"/>
    <w:rsid w:val="00B564D4"/>
    <w:rsid w:val="00B56E1B"/>
    <w:rsid w:val="00B56EFE"/>
    <w:rsid w:val="00B5782A"/>
    <w:rsid w:val="00B57ECC"/>
    <w:rsid w:val="00B6012E"/>
    <w:rsid w:val="00B605FE"/>
    <w:rsid w:val="00B60F2B"/>
    <w:rsid w:val="00B60FB6"/>
    <w:rsid w:val="00B61DBC"/>
    <w:rsid w:val="00B61DC2"/>
    <w:rsid w:val="00B622EE"/>
    <w:rsid w:val="00B62A91"/>
    <w:rsid w:val="00B62CD2"/>
    <w:rsid w:val="00B62D98"/>
    <w:rsid w:val="00B63AF6"/>
    <w:rsid w:val="00B64240"/>
    <w:rsid w:val="00B64CDB"/>
    <w:rsid w:val="00B65806"/>
    <w:rsid w:val="00B65848"/>
    <w:rsid w:val="00B66087"/>
    <w:rsid w:val="00B66881"/>
    <w:rsid w:val="00B66974"/>
    <w:rsid w:val="00B67790"/>
    <w:rsid w:val="00B67C37"/>
    <w:rsid w:val="00B705FE"/>
    <w:rsid w:val="00B7094C"/>
    <w:rsid w:val="00B7225A"/>
    <w:rsid w:val="00B72FAB"/>
    <w:rsid w:val="00B73EEB"/>
    <w:rsid w:val="00B7408F"/>
    <w:rsid w:val="00B74321"/>
    <w:rsid w:val="00B75339"/>
    <w:rsid w:val="00B755FE"/>
    <w:rsid w:val="00B75A6A"/>
    <w:rsid w:val="00B75B7C"/>
    <w:rsid w:val="00B75E01"/>
    <w:rsid w:val="00B75E95"/>
    <w:rsid w:val="00B76565"/>
    <w:rsid w:val="00B77CE0"/>
    <w:rsid w:val="00B8032E"/>
    <w:rsid w:val="00B807B2"/>
    <w:rsid w:val="00B810A6"/>
    <w:rsid w:val="00B81AB1"/>
    <w:rsid w:val="00B82EB4"/>
    <w:rsid w:val="00B83B8A"/>
    <w:rsid w:val="00B84055"/>
    <w:rsid w:val="00B8429E"/>
    <w:rsid w:val="00B8496B"/>
    <w:rsid w:val="00B85721"/>
    <w:rsid w:val="00B85875"/>
    <w:rsid w:val="00B85C7A"/>
    <w:rsid w:val="00B860AD"/>
    <w:rsid w:val="00B86B38"/>
    <w:rsid w:val="00B86D25"/>
    <w:rsid w:val="00B87065"/>
    <w:rsid w:val="00B8761A"/>
    <w:rsid w:val="00B87EDE"/>
    <w:rsid w:val="00B87F11"/>
    <w:rsid w:val="00B87F87"/>
    <w:rsid w:val="00B903E3"/>
    <w:rsid w:val="00B90439"/>
    <w:rsid w:val="00B904C2"/>
    <w:rsid w:val="00B92CBC"/>
    <w:rsid w:val="00B92E14"/>
    <w:rsid w:val="00B92E2E"/>
    <w:rsid w:val="00B92FB3"/>
    <w:rsid w:val="00B931FD"/>
    <w:rsid w:val="00B93683"/>
    <w:rsid w:val="00B93A29"/>
    <w:rsid w:val="00B942B8"/>
    <w:rsid w:val="00B949F0"/>
    <w:rsid w:val="00B94BB4"/>
    <w:rsid w:val="00B960D2"/>
    <w:rsid w:val="00B9679B"/>
    <w:rsid w:val="00B96E7C"/>
    <w:rsid w:val="00B977C8"/>
    <w:rsid w:val="00BA0588"/>
    <w:rsid w:val="00BA07FC"/>
    <w:rsid w:val="00BA0903"/>
    <w:rsid w:val="00BA1483"/>
    <w:rsid w:val="00BA16AC"/>
    <w:rsid w:val="00BA184E"/>
    <w:rsid w:val="00BA221F"/>
    <w:rsid w:val="00BA2A7E"/>
    <w:rsid w:val="00BA2F49"/>
    <w:rsid w:val="00BA327F"/>
    <w:rsid w:val="00BA3415"/>
    <w:rsid w:val="00BA3803"/>
    <w:rsid w:val="00BA38F2"/>
    <w:rsid w:val="00BA401C"/>
    <w:rsid w:val="00BA45CD"/>
    <w:rsid w:val="00BA574E"/>
    <w:rsid w:val="00BA5FBC"/>
    <w:rsid w:val="00BA5FCA"/>
    <w:rsid w:val="00BA607B"/>
    <w:rsid w:val="00BA6091"/>
    <w:rsid w:val="00BA6266"/>
    <w:rsid w:val="00BA66DE"/>
    <w:rsid w:val="00BA7927"/>
    <w:rsid w:val="00BA7AE5"/>
    <w:rsid w:val="00BB03E1"/>
    <w:rsid w:val="00BB0495"/>
    <w:rsid w:val="00BB0834"/>
    <w:rsid w:val="00BB09F4"/>
    <w:rsid w:val="00BB1344"/>
    <w:rsid w:val="00BB1D4A"/>
    <w:rsid w:val="00BB1EDF"/>
    <w:rsid w:val="00BB2825"/>
    <w:rsid w:val="00BB289D"/>
    <w:rsid w:val="00BB2F5A"/>
    <w:rsid w:val="00BB35C6"/>
    <w:rsid w:val="00BB3724"/>
    <w:rsid w:val="00BB3A62"/>
    <w:rsid w:val="00BB56FA"/>
    <w:rsid w:val="00BB5EF5"/>
    <w:rsid w:val="00BB624C"/>
    <w:rsid w:val="00BB683C"/>
    <w:rsid w:val="00BB69C8"/>
    <w:rsid w:val="00BB7CDE"/>
    <w:rsid w:val="00BC04D7"/>
    <w:rsid w:val="00BC0C2A"/>
    <w:rsid w:val="00BC0CF7"/>
    <w:rsid w:val="00BC1041"/>
    <w:rsid w:val="00BC195E"/>
    <w:rsid w:val="00BC1ED0"/>
    <w:rsid w:val="00BC39D5"/>
    <w:rsid w:val="00BC3B90"/>
    <w:rsid w:val="00BC4344"/>
    <w:rsid w:val="00BC45AA"/>
    <w:rsid w:val="00BC4C9C"/>
    <w:rsid w:val="00BC7164"/>
    <w:rsid w:val="00BC73AB"/>
    <w:rsid w:val="00BC768B"/>
    <w:rsid w:val="00BD1083"/>
    <w:rsid w:val="00BD138A"/>
    <w:rsid w:val="00BD1F09"/>
    <w:rsid w:val="00BD1F42"/>
    <w:rsid w:val="00BD20DD"/>
    <w:rsid w:val="00BD27C2"/>
    <w:rsid w:val="00BD2907"/>
    <w:rsid w:val="00BD2D37"/>
    <w:rsid w:val="00BD3A5E"/>
    <w:rsid w:val="00BD3AD6"/>
    <w:rsid w:val="00BD3F18"/>
    <w:rsid w:val="00BD479A"/>
    <w:rsid w:val="00BD486C"/>
    <w:rsid w:val="00BD4FDC"/>
    <w:rsid w:val="00BD5FFB"/>
    <w:rsid w:val="00BD6118"/>
    <w:rsid w:val="00BD6168"/>
    <w:rsid w:val="00BD61A3"/>
    <w:rsid w:val="00BD67F8"/>
    <w:rsid w:val="00BD6B8C"/>
    <w:rsid w:val="00BD6DDB"/>
    <w:rsid w:val="00BE2B70"/>
    <w:rsid w:val="00BE3208"/>
    <w:rsid w:val="00BE33A1"/>
    <w:rsid w:val="00BE3C7F"/>
    <w:rsid w:val="00BE4AA1"/>
    <w:rsid w:val="00BE4C7A"/>
    <w:rsid w:val="00BE7551"/>
    <w:rsid w:val="00BE77AA"/>
    <w:rsid w:val="00BE7A08"/>
    <w:rsid w:val="00BF005C"/>
    <w:rsid w:val="00BF0801"/>
    <w:rsid w:val="00BF0A6B"/>
    <w:rsid w:val="00BF0C0E"/>
    <w:rsid w:val="00BF0E01"/>
    <w:rsid w:val="00BF13F7"/>
    <w:rsid w:val="00BF15BC"/>
    <w:rsid w:val="00BF15C6"/>
    <w:rsid w:val="00BF1993"/>
    <w:rsid w:val="00BF1C93"/>
    <w:rsid w:val="00BF259F"/>
    <w:rsid w:val="00BF283E"/>
    <w:rsid w:val="00BF2A64"/>
    <w:rsid w:val="00BF2ACC"/>
    <w:rsid w:val="00BF2DC5"/>
    <w:rsid w:val="00BF3235"/>
    <w:rsid w:val="00BF3A70"/>
    <w:rsid w:val="00BF45C3"/>
    <w:rsid w:val="00BF4885"/>
    <w:rsid w:val="00BF5092"/>
    <w:rsid w:val="00BF5426"/>
    <w:rsid w:val="00BF5433"/>
    <w:rsid w:val="00BF596E"/>
    <w:rsid w:val="00BF71FB"/>
    <w:rsid w:val="00BF73BF"/>
    <w:rsid w:val="00BF758A"/>
    <w:rsid w:val="00BF76FD"/>
    <w:rsid w:val="00BF7779"/>
    <w:rsid w:val="00BF7CCF"/>
    <w:rsid w:val="00C010AE"/>
    <w:rsid w:val="00C010D5"/>
    <w:rsid w:val="00C02A93"/>
    <w:rsid w:val="00C02B70"/>
    <w:rsid w:val="00C0324D"/>
    <w:rsid w:val="00C035FF"/>
    <w:rsid w:val="00C05755"/>
    <w:rsid w:val="00C06498"/>
    <w:rsid w:val="00C0649C"/>
    <w:rsid w:val="00C06B36"/>
    <w:rsid w:val="00C06E5D"/>
    <w:rsid w:val="00C0716E"/>
    <w:rsid w:val="00C071A7"/>
    <w:rsid w:val="00C074E8"/>
    <w:rsid w:val="00C0764D"/>
    <w:rsid w:val="00C07F85"/>
    <w:rsid w:val="00C10361"/>
    <w:rsid w:val="00C103ED"/>
    <w:rsid w:val="00C10E39"/>
    <w:rsid w:val="00C10FBC"/>
    <w:rsid w:val="00C112C3"/>
    <w:rsid w:val="00C11451"/>
    <w:rsid w:val="00C118E8"/>
    <w:rsid w:val="00C11DAC"/>
    <w:rsid w:val="00C1209F"/>
    <w:rsid w:val="00C126A0"/>
    <w:rsid w:val="00C127A8"/>
    <w:rsid w:val="00C12A1C"/>
    <w:rsid w:val="00C12D89"/>
    <w:rsid w:val="00C12F6A"/>
    <w:rsid w:val="00C141AF"/>
    <w:rsid w:val="00C142C3"/>
    <w:rsid w:val="00C14926"/>
    <w:rsid w:val="00C15C0A"/>
    <w:rsid w:val="00C15D16"/>
    <w:rsid w:val="00C16C0F"/>
    <w:rsid w:val="00C16CAD"/>
    <w:rsid w:val="00C17522"/>
    <w:rsid w:val="00C20F08"/>
    <w:rsid w:val="00C20FE8"/>
    <w:rsid w:val="00C22453"/>
    <w:rsid w:val="00C226BB"/>
    <w:rsid w:val="00C22F29"/>
    <w:rsid w:val="00C2463A"/>
    <w:rsid w:val="00C247CB"/>
    <w:rsid w:val="00C252D9"/>
    <w:rsid w:val="00C255CC"/>
    <w:rsid w:val="00C25792"/>
    <w:rsid w:val="00C2593B"/>
    <w:rsid w:val="00C2593E"/>
    <w:rsid w:val="00C2596A"/>
    <w:rsid w:val="00C263D3"/>
    <w:rsid w:val="00C26569"/>
    <w:rsid w:val="00C26A53"/>
    <w:rsid w:val="00C26AB4"/>
    <w:rsid w:val="00C27053"/>
    <w:rsid w:val="00C27200"/>
    <w:rsid w:val="00C27D9E"/>
    <w:rsid w:val="00C30B78"/>
    <w:rsid w:val="00C3159B"/>
    <w:rsid w:val="00C31D61"/>
    <w:rsid w:val="00C32E15"/>
    <w:rsid w:val="00C33017"/>
    <w:rsid w:val="00C3330B"/>
    <w:rsid w:val="00C34058"/>
    <w:rsid w:val="00C34566"/>
    <w:rsid w:val="00C349D9"/>
    <w:rsid w:val="00C34DBA"/>
    <w:rsid w:val="00C35403"/>
    <w:rsid w:val="00C357F0"/>
    <w:rsid w:val="00C35829"/>
    <w:rsid w:val="00C35B0F"/>
    <w:rsid w:val="00C36540"/>
    <w:rsid w:val="00C36C31"/>
    <w:rsid w:val="00C37011"/>
    <w:rsid w:val="00C40C52"/>
    <w:rsid w:val="00C414D4"/>
    <w:rsid w:val="00C427CA"/>
    <w:rsid w:val="00C42A4B"/>
    <w:rsid w:val="00C43046"/>
    <w:rsid w:val="00C43D09"/>
    <w:rsid w:val="00C43E31"/>
    <w:rsid w:val="00C44BF7"/>
    <w:rsid w:val="00C44EE0"/>
    <w:rsid w:val="00C4514C"/>
    <w:rsid w:val="00C45200"/>
    <w:rsid w:val="00C45374"/>
    <w:rsid w:val="00C453BE"/>
    <w:rsid w:val="00C457DA"/>
    <w:rsid w:val="00C45811"/>
    <w:rsid w:val="00C45936"/>
    <w:rsid w:val="00C45B56"/>
    <w:rsid w:val="00C4623C"/>
    <w:rsid w:val="00C4679F"/>
    <w:rsid w:val="00C46B2D"/>
    <w:rsid w:val="00C46B64"/>
    <w:rsid w:val="00C471A3"/>
    <w:rsid w:val="00C4724E"/>
    <w:rsid w:val="00C47CB9"/>
    <w:rsid w:val="00C47FAD"/>
    <w:rsid w:val="00C50205"/>
    <w:rsid w:val="00C50FB1"/>
    <w:rsid w:val="00C51740"/>
    <w:rsid w:val="00C51992"/>
    <w:rsid w:val="00C5270F"/>
    <w:rsid w:val="00C52D4A"/>
    <w:rsid w:val="00C5334D"/>
    <w:rsid w:val="00C53392"/>
    <w:rsid w:val="00C543C1"/>
    <w:rsid w:val="00C54751"/>
    <w:rsid w:val="00C54E52"/>
    <w:rsid w:val="00C555C2"/>
    <w:rsid w:val="00C556FD"/>
    <w:rsid w:val="00C55E9A"/>
    <w:rsid w:val="00C56536"/>
    <w:rsid w:val="00C5659F"/>
    <w:rsid w:val="00C56662"/>
    <w:rsid w:val="00C56742"/>
    <w:rsid w:val="00C56BC7"/>
    <w:rsid w:val="00C56FF6"/>
    <w:rsid w:val="00C5744D"/>
    <w:rsid w:val="00C57C7C"/>
    <w:rsid w:val="00C61341"/>
    <w:rsid w:val="00C62853"/>
    <w:rsid w:val="00C6286F"/>
    <w:rsid w:val="00C636AE"/>
    <w:rsid w:val="00C63AFE"/>
    <w:rsid w:val="00C64264"/>
    <w:rsid w:val="00C64350"/>
    <w:rsid w:val="00C646B8"/>
    <w:rsid w:val="00C651C1"/>
    <w:rsid w:val="00C652BD"/>
    <w:rsid w:val="00C65CE4"/>
    <w:rsid w:val="00C65FE0"/>
    <w:rsid w:val="00C6651C"/>
    <w:rsid w:val="00C66BC7"/>
    <w:rsid w:val="00C66D9C"/>
    <w:rsid w:val="00C6755C"/>
    <w:rsid w:val="00C676FA"/>
    <w:rsid w:val="00C678BA"/>
    <w:rsid w:val="00C706BB"/>
    <w:rsid w:val="00C714B0"/>
    <w:rsid w:val="00C71FC2"/>
    <w:rsid w:val="00C71FF5"/>
    <w:rsid w:val="00C72161"/>
    <w:rsid w:val="00C72AC2"/>
    <w:rsid w:val="00C7366D"/>
    <w:rsid w:val="00C73F80"/>
    <w:rsid w:val="00C7426C"/>
    <w:rsid w:val="00C74747"/>
    <w:rsid w:val="00C74969"/>
    <w:rsid w:val="00C74A38"/>
    <w:rsid w:val="00C74CFA"/>
    <w:rsid w:val="00C75627"/>
    <w:rsid w:val="00C75736"/>
    <w:rsid w:val="00C7595E"/>
    <w:rsid w:val="00C75C04"/>
    <w:rsid w:val="00C76864"/>
    <w:rsid w:val="00C7696D"/>
    <w:rsid w:val="00C76D05"/>
    <w:rsid w:val="00C775F9"/>
    <w:rsid w:val="00C77E56"/>
    <w:rsid w:val="00C803D9"/>
    <w:rsid w:val="00C81152"/>
    <w:rsid w:val="00C815F2"/>
    <w:rsid w:val="00C81894"/>
    <w:rsid w:val="00C81AC4"/>
    <w:rsid w:val="00C827D8"/>
    <w:rsid w:val="00C834E2"/>
    <w:rsid w:val="00C8409A"/>
    <w:rsid w:val="00C842F0"/>
    <w:rsid w:val="00C84384"/>
    <w:rsid w:val="00C848DB"/>
    <w:rsid w:val="00C8490E"/>
    <w:rsid w:val="00C84A91"/>
    <w:rsid w:val="00C85194"/>
    <w:rsid w:val="00C85249"/>
    <w:rsid w:val="00C85257"/>
    <w:rsid w:val="00C854C3"/>
    <w:rsid w:val="00C85D5A"/>
    <w:rsid w:val="00C865A8"/>
    <w:rsid w:val="00C86959"/>
    <w:rsid w:val="00C873F4"/>
    <w:rsid w:val="00C87F3D"/>
    <w:rsid w:val="00C90017"/>
    <w:rsid w:val="00C902DE"/>
    <w:rsid w:val="00C9058F"/>
    <w:rsid w:val="00C9202E"/>
    <w:rsid w:val="00C92D9D"/>
    <w:rsid w:val="00C93095"/>
    <w:rsid w:val="00C9353A"/>
    <w:rsid w:val="00C9383E"/>
    <w:rsid w:val="00C938CF"/>
    <w:rsid w:val="00C950EC"/>
    <w:rsid w:val="00C95A13"/>
    <w:rsid w:val="00C95B24"/>
    <w:rsid w:val="00C96627"/>
    <w:rsid w:val="00C96795"/>
    <w:rsid w:val="00C96D93"/>
    <w:rsid w:val="00C9783D"/>
    <w:rsid w:val="00C97AAA"/>
    <w:rsid w:val="00C97B43"/>
    <w:rsid w:val="00C97B5F"/>
    <w:rsid w:val="00C97CD7"/>
    <w:rsid w:val="00C97FDB"/>
    <w:rsid w:val="00CA009D"/>
    <w:rsid w:val="00CA0354"/>
    <w:rsid w:val="00CA041E"/>
    <w:rsid w:val="00CA0791"/>
    <w:rsid w:val="00CA085D"/>
    <w:rsid w:val="00CA14CE"/>
    <w:rsid w:val="00CA1DB5"/>
    <w:rsid w:val="00CA1EFC"/>
    <w:rsid w:val="00CA28B9"/>
    <w:rsid w:val="00CA29EC"/>
    <w:rsid w:val="00CA46CA"/>
    <w:rsid w:val="00CA5300"/>
    <w:rsid w:val="00CA554E"/>
    <w:rsid w:val="00CA5789"/>
    <w:rsid w:val="00CA60F4"/>
    <w:rsid w:val="00CA61C9"/>
    <w:rsid w:val="00CA680B"/>
    <w:rsid w:val="00CA6D0E"/>
    <w:rsid w:val="00CA70EF"/>
    <w:rsid w:val="00CA7C91"/>
    <w:rsid w:val="00CB0746"/>
    <w:rsid w:val="00CB2501"/>
    <w:rsid w:val="00CB29CE"/>
    <w:rsid w:val="00CB3093"/>
    <w:rsid w:val="00CB39E0"/>
    <w:rsid w:val="00CB3BA5"/>
    <w:rsid w:val="00CB3E90"/>
    <w:rsid w:val="00CB3F60"/>
    <w:rsid w:val="00CB45EE"/>
    <w:rsid w:val="00CB4D0E"/>
    <w:rsid w:val="00CB5F33"/>
    <w:rsid w:val="00CB6140"/>
    <w:rsid w:val="00CB62BA"/>
    <w:rsid w:val="00CB657A"/>
    <w:rsid w:val="00CB68A7"/>
    <w:rsid w:val="00CB6C62"/>
    <w:rsid w:val="00CB7462"/>
    <w:rsid w:val="00CB7710"/>
    <w:rsid w:val="00CB7765"/>
    <w:rsid w:val="00CC08BA"/>
    <w:rsid w:val="00CC0B78"/>
    <w:rsid w:val="00CC0BD9"/>
    <w:rsid w:val="00CC18CF"/>
    <w:rsid w:val="00CC2172"/>
    <w:rsid w:val="00CC22D8"/>
    <w:rsid w:val="00CC414D"/>
    <w:rsid w:val="00CC4311"/>
    <w:rsid w:val="00CC4529"/>
    <w:rsid w:val="00CC45F3"/>
    <w:rsid w:val="00CC4676"/>
    <w:rsid w:val="00CC4E00"/>
    <w:rsid w:val="00CC6551"/>
    <w:rsid w:val="00CC741D"/>
    <w:rsid w:val="00CC78F3"/>
    <w:rsid w:val="00CD0394"/>
    <w:rsid w:val="00CD12FC"/>
    <w:rsid w:val="00CD173B"/>
    <w:rsid w:val="00CD24F1"/>
    <w:rsid w:val="00CD2F77"/>
    <w:rsid w:val="00CD3399"/>
    <w:rsid w:val="00CD3673"/>
    <w:rsid w:val="00CD43FE"/>
    <w:rsid w:val="00CD446B"/>
    <w:rsid w:val="00CD457C"/>
    <w:rsid w:val="00CD5619"/>
    <w:rsid w:val="00CD69AF"/>
    <w:rsid w:val="00CD6F99"/>
    <w:rsid w:val="00CE0174"/>
    <w:rsid w:val="00CE025E"/>
    <w:rsid w:val="00CE0287"/>
    <w:rsid w:val="00CE0B6C"/>
    <w:rsid w:val="00CE16A9"/>
    <w:rsid w:val="00CE1912"/>
    <w:rsid w:val="00CE1961"/>
    <w:rsid w:val="00CE1C99"/>
    <w:rsid w:val="00CE2859"/>
    <w:rsid w:val="00CE2CBD"/>
    <w:rsid w:val="00CE3DF0"/>
    <w:rsid w:val="00CE3ED3"/>
    <w:rsid w:val="00CE40F0"/>
    <w:rsid w:val="00CE5298"/>
    <w:rsid w:val="00CE5995"/>
    <w:rsid w:val="00CE6118"/>
    <w:rsid w:val="00CE6337"/>
    <w:rsid w:val="00CE6920"/>
    <w:rsid w:val="00CE701B"/>
    <w:rsid w:val="00CE71D7"/>
    <w:rsid w:val="00CE73BD"/>
    <w:rsid w:val="00CE7AA0"/>
    <w:rsid w:val="00CF20CD"/>
    <w:rsid w:val="00CF258E"/>
    <w:rsid w:val="00CF2A13"/>
    <w:rsid w:val="00CF2B39"/>
    <w:rsid w:val="00CF2BC5"/>
    <w:rsid w:val="00CF3231"/>
    <w:rsid w:val="00CF3BD4"/>
    <w:rsid w:val="00CF4CC5"/>
    <w:rsid w:val="00CF4F71"/>
    <w:rsid w:val="00CF5366"/>
    <w:rsid w:val="00CF69F9"/>
    <w:rsid w:val="00CF6FC2"/>
    <w:rsid w:val="00CF73FA"/>
    <w:rsid w:val="00CF7E16"/>
    <w:rsid w:val="00D002C5"/>
    <w:rsid w:val="00D00748"/>
    <w:rsid w:val="00D00CFF"/>
    <w:rsid w:val="00D00D65"/>
    <w:rsid w:val="00D00FEA"/>
    <w:rsid w:val="00D01967"/>
    <w:rsid w:val="00D01DD5"/>
    <w:rsid w:val="00D02211"/>
    <w:rsid w:val="00D025D0"/>
    <w:rsid w:val="00D0295E"/>
    <w:rsid w:val="00D031C9"/>
    <w:rsid w:val="00D0376A"/>
    <w:rsid w:val="00D0395C"/>
    <w:rsid w:val="00D0399A"/>
    <w:rsid w:val="00D04016"/>
    <w:rsid w:val="00D048CF"/>
    <w:rsid w:val="00D04DF4"/>
    <w:rsid w:val="00D04F8D"/>
    <w:rsid w:val="00D05020"/>
    <w:rsid w:val="00D052E4"/>
    <w:rsid w:val="00D0553E"/>
    <w:rsid w:val="00D05BBC"/>
    <w:rsid w:val="00D06F0E"/>
    <w:rsid w:val="00D0716C"/>
    <w:rsid w:val="00D0760C"/>
    <w:rsid w:val="00D076E6"/>
    <w:rsid w:val="00D077DA"/>
    <w:rsid w:val="00D10008"/>
    <w:rsid w:val="00D10953"/>
    <w:rsid w:val="00D109A2"/>
    <w:rsid w:val="00D10D24"/>
    <w:rsid w:val="00D10EA1"/>
    <w:rsid w:val="00D10F2C"/>
    <w:rsid w:val="00D11194"/>
    <w:rsid w:val="00D11FA9"/>
    <w:rsid w:val="00D12082"/>
    <w:rsid w:val="00D13012"/>
    <w:rsid w:val="00D1440D"/>
    <w:rsid w:val="00D159C4"/>
    <w:rsid w:val="00D162A7"/>
    <w:rsid w:val="00D168D8"/>
    <w:rsid w:val="00D176F7"/>
    <w:rsid w:val="00D17C87"/>
    <w:rsid w:val="00D17E00"/>
    <w:rsid w:val="00D207D4"/>
    <w:rsid w:val="00D2111D"/>
    <w:rsid w:val="00D21C3F"/>
    <w:rsid w:val="00D225A4"/>
    <w:rsid w:val="00D227F0"/>
    <w:rsid w:val="00D22FD5"/>
    <w:rsid w:val="00D2369D"/>
    <w:rsid w:val="00D23769"/>
    <w:rsid w:val="00D23B4F"/>
    <w:rsid w:val="00D23EE7"/>
    <w:rsid w:val="00D24AD0"/>
    <w:rsid w:val="00D24CBA"/>
    <w:rsid w:val="00D24EE9"/>
    <w:rsid w:val="00D252F3"/>
    <w:rsid w:val="00D25395"/>
    <w:rsid w:val="00D256BC"/>
    <w:rsid w:val="00D26F58"/>
    <w:rsid w:val="00D27517"/>
    <w:rsid w:val="00D2754B"/>
    <w:rsid w:val="00D277CE"/>
    <w:rsid w:val="00D303F9"/>
    <w:rsid w:val="00D30915"/>
    <w:rsid w:val="00D3097E"/>
    <w:rsid w:val="00D313B6"/>
    <w:rsid w:val="00D31438"/>
    <w:rsid w:val="00D31439"/>
    <w:rsid w:val="00D31460"/>
    <w:rsid w:val="00D319EC"/>
    <w:rsid w:val="00D3226E"/>
    <w:rsid w:val="00D32C7D"/>
    <w:rsid w:val="00D32E03"/>
    <w:rsid w:val="00D3382F"/>
    <w:rsid w:val="00D338BB"/>
    <w:rsid w:val="00D33EE7"/>
    <w:rsid w:val="00D33F62"/>
    <w:rsid w:val="00D341DC"/>
    <w:rsid w:val="00D34393"/>
    <w:rsid w:val="00D35312"/>
    <w:rsid w:val="00D35DF4"/>
    <w:rsid w:val="00D3649E"/>
    <w:rsid w:val="00D37305"/>
    <w:rsid w:val="00D37642"/>
    <w:rsid w:val="00D376C0"/>
    <w:rsid w:val="00D37993"/>
    <w:rsid w:val="00D37BCB"/>
    <w:rsid w:val="00D4113F"/>
    <w:rsid w:val="00D4133D"/>
    <w:rsid w:val="00D4193B"/>
    <w:rsid w:val="00D4196F"/>
    <w:rsid w:val="00D42C25"/>
    <w:rsid w:val="00D43286"/>
    <w:rsid w:val="00D4335F"/>
    <w:rsid w:val="00D4401F"/>
    <w:rsid w:val="00D44CDB"/>
    <w:rsid w:val="00D45D66"/>
    <w:rsid w:val="00D45F1C"/>
    <w:rsid w:val="00D46150"/>
    <w:rsid w:val="00D46968"/>
    <w:rsid w:val="00D47700"/>
    <w:rsid w:val="00D47BA5"/>
    <w:rsid w:val="00D50060"/>
    <w:rsid w:val="00D50623"/>
    <w:rsid w:val="00D507A7"/>
    <w:rsid w:val="00D51393"/>
    <w:rsid w:val="00D51672"/>
    <w:rsid w:val="00D51A92"/>
    <w:rsid w:val="00D51E6A"/>
    <w:rsid w:val="00D52DC2"/>
    <w:rsid w:val="00D52E5E"/>
    <w:rsid w:val="00D52EF1"/>
    <w:rsid w:val="00D5324B"/>
    <w:rsid w:val="00D53CD8"/>
    <w:rsid w:val="00D53D39"/>
    <w:rsid w:val="00D53D78"/>
    <w:rsid w:val="00D553B3"/>
    <w:rsid w:val="00D55E23"/>
    <w:rsid w:val="00D56109"/>
    <w:rsid w:val="00D568DC"/>
    <w:rsid w:val="00D5720E"/>
    <w:rsid w:val="00D57375"/>
    <w:rsid w:val="00D57693"/>
    <w:rsid w:val="00D576AA"/>
    <w:rsid w:val="00D5777B"/>
    <w:rsid w:val="00D57DE9"/>
    <w:rsid w:val="00D57E34"/>
    <w:rsid w:val="00D60673"/>
    <w:rsid w:val="00D608B5"/>
    <w:rsid w:val="00D60AD5"/>
    <w:rsid w:val="00D60B1C"/>
    <w:rsid w:val="00D60B47"/>
    <w:rsid w:val="00D60C31"/>
    <w:rsid w:val="00D6148A"/>
    <w:rsid w:val="00D61911"/>
    <w:rsid w:val="00D61CFA"/>
    <w:rsid w:val="00D62071"/>
    <w:rsid w:val="00D624DF"/>
    <w:rsid w:val="00D62807"/>
    <w:rsid w:val="00D63DEA"/>
    <w:rsid w:val="00D64062"/>
    <w:rsid w:val="00D65278"/>
    <w:rsid w:val="00D65D5A"/>
    <w:rsid w:val="00D6608B"/>
    <w:rsid w:val="00D6627E"/>
    <w:rsid w:val="00D662FA"/>
    <w:rsid w:val="00D663C7"/>
    <w:rsid w:val="00D66744"/>
    <w:rsid w:val="00D66825"/>
    <w:rsid w:val="00D66FFB"/>
    <w:rsid w:val="00D67636"/>
    <w:rsid w:val="00D67994"/>
    <w:rsid w:val="00D679EF"/>
    <w:rsid w:val="00D67F35"/>
    <w:rsid w:val="00D7012E"/>
    <w:rsid w:val="00D7074C"/>
    <w:rsid w:val="00D70F76"/>
    <w:rsid w:val="00D716D2"/>
    <w:rsid w:val="00D71A6F"/>
    <w:rsid w:val="00D71C18"/>
    <w:rsid w:val="00D738B5"/>
    <w:rsid w:val="00D74158"/>
    <w:rsid w:val="00D745EB"/>
    <w:rsid w:val="00D74A49"/>
    <w:rsid w:val="00D762BC"/>
    <w:rsid w:val="00D7703D"/>
    <w:rsid w:val="00D80209"/>
    <w:rsid w:val="00D80430"/>
    <w:rsid w:val="00D8088B"/>
    <w:rsid w:val="00D80BCF"/>
    <w:rsid w:val="00D80F11"/>
    <w:rsid w:val="00D818EE"/>
    <w:rsid w:val="00D81D75"/>
    <w:rsid w:val="00D81F8C"/>
    <w:rsid w:val="00D82485"/>
    <w:rsid w:val="00D82750"/>
    <w:rsid w:val="00D82A5E"/>
    <w:rsid w:val="00D82F69"/>
    <w:rsid w:val="00D834CD"/>
    <w:rsid w:val="00D83B83"/>
    <w:rsid w:val="00D845F9"/>
    <w:rsid w:val="00D84BBF"/>
    <w:rsid w:val="00D85710"/>
    <w:rsid w:val="00D85CAB"/>
    <w:rsid w:val="00D8612B"/>
    <w:rsid w:val="00D861A9"/>
    <w:rsid w:val="00D8653A"/>
    <w:rsid w:val="00D865D2"/>
    <w:rsid w:val="00D86F52"/>
    <w:rsid w:val="00D90116"/>
    <w:rsid w:val="00D90404"/>
    <w:rsid w:val="00D90C81"/>
    <w:rsid w:val="00D91726"/>
    <w:rsid w:val="00D922C4"/>
    <w:rsid w:val="00D9238D"/>
    <w:rsid w:val="00D924BD"/>
    <w:rsid w:val="00D92BBA"/>
    <w:rsid w:val="00D92C3C"/>
    <w:rsid w:val="00D933E2"/>
    <w:rsid w:val="00D938F2"/>
    <w:rsid w:val="00D93976"/>
    <w:rsid w:val="00D940D6"/>
    <w:rsid w:val="00D941ED"/>
    <w:rsid w:val="00D942E4"/>
    <w:rsid w:val="00D947CE"/>
    <w:rsid w:val="00D9528F"/>
    <w:rsid w:val="00D95662"/>
    <w:rsid w:val="00D957F8"/>
    <w:rsid w:val="00D962EA"/>
    <w:rsid w:val="00D96989"/>
    <w:rsid w:val="00D96BE5"/>
    <w:rsid w:val="00D96C8D"/>
    <w:rsid w:val="00D9718A"/>
    <w:rsid w:val="00D97926"/>
    <w:rsid w:val="00D97E1A"/>
    <w:rsid w:val="00DA0713"/>
    <w:rsid w:val="00DA11B6"/>
    <w:rsid w:val="00DA16FC"/>
    <w:rsid w:val="00DA18AA"/>
    <w:rsid w:val="00DA1B54"/>
    <w:rsid w:val="00DA1BE2"/>
    <w:rsid w:val="00DA1EC5"/>
    <w:rsid w:val="00DA1F0E"/>
    <w:rsid w:val="00DA2101"/>
    <w:rsid w:val="00DA32FC"/>
    <w:rsid w:val="00DA495B"/>
    <w:rsid w:val="00DA556F"/>
    <w:rsid w:val="00DA74E7"/>
    <w:rsid w:val="00DA7C83"/>
    <w:rsid w:val="00DA7CF8"/>
    <w:rsid w:val="00DA7FE2"/>
    <w:rsid w:val="00DB04EE"/>
    <w:rsid w:val="00DB0693"/>
    <w:rsid w:val="00DB0846"/>
    <w:rsid w:val="00DB0F71"/>
    <w:rsid w:val="00DB16A2"/>
    <w:rsid w:val="00DB17B4"/>
    <w:rsid w:val="00DB2646"/>
    <w:rsid w:val="00DB307C"/>
    <w:rsid w:val="00DB3894"/>
    <w:rsid w:val="00DB3A0B"/>
    <w:rsid w:val="00DB3EEC"/>
    <w:rsid w:val="00DB42DC"/>
    <w:rsid w:val="00DB4C26"/>
    <w:rsid w:val="00DB5484"/>
    <w:rsid w:val="00DB56AA"/>
    <w:rsid w:val="00DB657A"/>
    <w:rsid w:val="00DB6DB7"/>
    <w:rsid w:val="00DB6FBB"/>
    <w:rsid w:val="00DB73E4"/>
    <w:rsid w:val="00DB7AD3"/>
    <w:rsid w:val="00DB7C70"/>
    <w:rsid w:val="00DB7E20"/>
    <w:rsid w:val="00DC0555"/>
    <w:rsid w:val="00DC0762"/>
    <w:rsid w:val="00DC0B69"/>
    <w:rsid w:val="00DC1372"/>
    <w:rsid w:val="00DC186D"/>
    <w:rsid w:val="00DC1C08"/>
    <w:rsid w:val="00DC1E0D"/>
    <w:rsid w:val="00DC2E24"/>
    <w:rsid w:val="00DC2F64"/>
    <w:rsid w:val="00DC321B"/>
    <w:rsid w:val="00DC34D0"/>
    <w:rsid w:val="00DC393B"/>
    <w:rsid w:val="00DC397F"/>
    <w:rsid w:val="00DC3E3C"/>
    <w:rsid w:val="00DC41FC"/>
    <w:rsid w:val="00DC448C"/>
    <w:rsid w:val="00DC45AD"/>
    <w:rsid w:val="00DC55DE"/>
    <w:rsid w:val="00DC5D66"/>
    <w:rsid w:val="00DC688C"/>
    <w:rsid w:val="00DC6C2C"/>
    <w:rsid w:val="00DC7052"/>
    <w:rsid w:val="00DC7CDF"/>
    <w:rsid w:val="00DC7E32"/>
    <w:rsid w:val="00DD04B7"/>
    <w:rsid w:val="00DD0ACD"/>
    <w:rsid w:val="00DD0CD6"/>
    <w:rsid w:val="00DD1169"/>
    <w:rsid w:val="00DD1C5C"/>
    <w:rsid w:val="00DD246C"/>
    <w:rsid w:val="00DD2A50"/>
    <w:rsid w:val="00DD3319"/>
    <w:rsid w:val="00DD3B1D"/>
    <w:rsid w:val="00DD3E85"/>
    <w:rsid w:val="00DD3F54"/>
    <w:rsid w:val="00DD430A"/>
    <w:rsid w:val="00DD467B"/>
    <w:rsid w:val="00DD5083"/>
    <w:rsid w:val="00DD5278"/>
    <w:rsid w:val="00DD5881"/>
    <w:rsid w:val="00DD588E"/>
    <w:rsid w:val="00DD5B48"/>
    <w:rsid w:val="00DD6645"/>
    <w:rsid w:val="00DD6B38"/>
    <w:rsid w:val="00DD7529"/>
    <w:rsid w:val="00DE0B30"/>
    <w:rsid w:val="00DE129A"/>
    <w:rsid w:val="00DE13C9"/>
    <w:rsid w:val="00DE19BA"/>
    <w:rsid w:val="00DE1BAF"/>
    <w:rsid w:val="00DE1DE6"/>
    <w:rsid w:val="00DE1F37"/>
    <w:rsid w:val="00DE244E"/>
    <w:rsid w:val="00DE247B"/>
    <w:rsid w:val="00DE258E"/>
    <w:rsid w:val="00DE2857"/>
    <w:rsid w:val="00DE3116"/>
    <w:rsid w:val="00DE3218"/>
    <w:rsid w:val="00DE34E4"/>
    <w:rsid w:val="00DE38B6"/>
    <w:rsid w:val="00DE3D30"/>
    <w:rsid w:val="00DE3D58"/>
    <w:rsid w:val="00DE3F78"/>
    <w:rsid w:val="00DE43E5"/>
    <w:rsid w:val="00DE4A8B"/>
    <w:rsid w:val="00DE5238"/>
    <w:rsid w:val="00DE5293"/>
    <w:rsid w:val="00DE563B"/>
    <w:rsid w:val="00DE65BE"/>
    <w:rsid w:val="00DE6C2D"/>
    <w:rsid w:val="00DE7019"/>
    <w:rsid w:val="00DE7737"/>
    <w:rsid w:val="00DE7BDF"/>
    <w:rsid w:val="00DF10A4"/>
    <w:rsid w:val="00DF1309"/>
    <w:rsid w:val="00DF1343"/>
    <w:rsid w:val="00DF2220"/>
    <w:rsid w:val="00DF2C5C"/>
    <w:rsid w:val="00DF4572"/>
    <w:rsid w:val="00DF46CB"/>
    <w:rsid w:val="00DF56BA"/>
    <w:rsid w:val="00DF5C91"/>
    <w:rsid w:val="00DF614A"/>
    <w:rsid w:val="00DF684D"/>
    <w:rsid w:val="00DF7B85"/>
    <w:rsid w:val="00DF7D60"/>
    <w:rsid w:val="00DF7ED7"/>
    <w:rsid w:val="00E01F65"/>
    <w:rsid w:val="00E0204C"/>
    <w:rsid w:val="00E02B35"/>
    <w:rsid w:val="00E02C41"/>
    <w:rsid w:val="00E02DEA"/>
    <w:rsid w:val="00E03697"/>
    <w:rsid w:val="00E03A22"/>
    <w:rsid w:val="00E03C2B"/>
    <w:rsid w:val="00E043A4"/>
    <w:rsid w:val="00E046C7"/>
    <w:rsid w:val="00E04926"/>
    <w:rsid w:val="00E04A3E"/>
    <w:rsid w:val="00E04B74"/>
    <w:rsid w:val="00E053AE"/>
    <w:rsid w:val="00E055C5"/>
    <w:rsid w:val="00E06E99"/>
    <w:rsid w:val="00E074F0"/>
    <w:rsid w:val="00E07841"/>
    <w:rsid w:val="00E07FFD"/>
    <w:rsid w:val="00E10D7F"/>
    <w:rsid w:val="00E11A7E"/>
    <w:rsid w:val="00E12A08"/>
    <w:rsid w:val="00E12C19"/>
    <w:rsid w:val="00E12FB6"/>
    <w:rsid w:val="00E138DB"/>
    <w:rsid w:val="00E13A0B"/>
    <w:rsid w:val="00E13C60"/>
    <w:rsid w:val="00E14205"/>
    <w:rsid w:val="00E14CF1"/>
    <w:rsid w:val="00E15148"/>
    <w:rsid w:val="00E15C51"/>
    <w:rsid w:val="00E15C6C"/>
    <w:rsid w:val="00E16401"/>
    <w:rsid w:val="00E17769"/>
    <w:rsid w:val="00E177A0"/>
    <w:rsid w:val="00E17C64"/>
    <w:rsid w:val="00E20852"/>
    <w:rsid w:val="00E21533"/>
    <w:rsid w:val="00E21675"/>
    <w:rsid w:val="00E217F5"/>
    <w:rsid w:val="00E21F6A"/>
    <w:rsid w:val="00E23955"/>
    <w:rsid w:val="00E23AD4"/>
    <w:rsid w:val="00E246C1"/>
    <w:rsid w:val="00E249F3"/>
    <w:rsid w:val="00E24E2B"/>
    <w:rsid w:val="00E25339"/>
    <w:rsid w:val="00E25833"/>
    <w:rsid w:val="00E25964"/>
    <w:rsid w:val="00E25CA1"/>
    <w:rsid w:val="00E260FB"/>
    <w:rsid w:val="00E267CE"/>
    <w:rsid w:val="00E26817"/>
    <w:rsid w:val="00E27BE9"/>
    <w:rsid w:val="00E3087F"/>
    <w:rsid w:val="00E309D6"/>
    <w:rsid w:val="00E30AA8"/>
    <w:rsid w:val="00E30EAE"/>
    <w:rsid w:val="00E31247"/>
    <w:rsid w:val="00E32342"/>
    <w:rsid w:val="00E3397C"/>
    <w:rsid w:val="00E33F98"/>
    <w:rsid w:val="00E33FAF"/>
    <w:rsid w:val="00E3547F"/>
    <w:rsid w:val="00E3598C"/>
    <w:rsid w:val="00E362A4"/>
    <w:rsid w:val="00E366D2"/>
    <w:rsid w:val="00E37146"/>
    <w:rsid w:val="00E401D6"/>
    <w:rsid w:val="00E40533"/>
    <w:rsid w:val="00E41665"/>
    <w:rsid w:val="00E416B1"/>
    <w:rsid w:val="00E41DBD"/>
    <w:rsid w:val="00E42227"/>
    <w:rsid w:val="00E424C9"/>
    <w:rsid w:val="00E42A97"/>
    <w:rsid w:val="00E438B0"/>
    <w:rsid w:val="00E43D8B"/>
    <w:rsid w:val="00E43E50"/>
    <w:rsid w:val="00E446AA"/>
    <w:rsid w:val="00E44BF9"/>
    <w:rsid w:val="00E4503E"/>
    <w:rsid w:val="00E4550D"/>
    <w:rsid w:val="00E45943"/>
    <w:rsid w:val="00E45E96"/>
    <w:rsid w:val="00E464DF"/>
    <w:rsid w:val="00E472A8"/>
    <w:rsid w:val="00E47FBE"/>
    <w:rsid w:val="00E507D1"/>
    <w:rsid w:val="00E50E29"/>
    <w:rsid w:val="00E51649"/>
    <w:rsid w:val="00E51A96"/>
    <w:rsid w:val="00E52072"/>
    <w:rsid w:val="00E52518"/>
    <w:rsid w:val="00E531EB"/>
    <w:rsid w:val="00E5359B"/>
    <w:rsid w:val="00E535DF"/>
    <w:rsid w:val="00E53AFB"/>
    <w:rsid w:val="00E553E7"/>
    <w:rsid w:val="00E55AD4"/>
    <w:rsid w:val="00E55C07"/>
    <w:rsid w:val="00E55E7B"/>
    <w:rsid w:val="00E5704C"/>
    <w:rsid w:val="00E57DDB"/>
    <w:rsid w:val="00E61A39"/>
    <w:rsid w:val="00E61BBA"/>
    <w:rsid w:val="00E61BBC"/>
    <w:rsid w:val="00E62519"/>
    <w:rsid w:val="00E62920"/>
    <w:rsid w:val="00E62CA2"/>
    <w:rsid w:val="00E62FE6"/>
    <w:rsid w:val="00E63364"/>
    <w:rsid w:val="00E6373D"/>
    <w:rsid w:val="00E6492A"/>
    <w:rsid w:val="00E64A0A"/>
    <w:rsid w:val="00E64C37"/>
    <w:rsid w:val="00E66EA9"/>
    <w:rsid w:val="00E677BE"/>
    <w:rsid w:val="00E67E88"/>
    <w:rsid w:val="00E70FFE"/>
    <w:rsid w:val="00E71FAB"/>
    <w:rsid w:val="00E72056"/>
    <w:rsid w:val="00E7242C"/>
    <w:rsid w:val="00E7274A"/>
    <w:rsid w:val="00E729BB"/>
    <w:rsid w:val="00E72AAE"/>
    <w:rsid w:val="00E72B09"/>
    <w:rsid w:val="00E72F07"/>
    <w:rsid w:val="00E7311B"/>
    <w:rsid w:val="00E75135"/>
    <w:rsid w:val="00E75D72"/>
    <w:rsid w:val="00E7641E"/>
    <w:rsid w:val="00E765D9"/>
    <w:rsid w:val="00E76712"/>
    <w:rsid w:val="00E76957"/>
    <w:rsid w:val="00E76CA3"/>
    <w:rsid w:val="00E8039D"/>
    <w:rsid w:val="00E8148D"/>
    <w:rsid w:val="00E81518"/>
    <w:rsid w:val="00E816AD"/>
    <w:rsid w:val="00E81B1F"/>
    <w:rsid w:val="00E82475"/>
    <w:rsid w:val="00E824B1"/>
    <w:rsid w:val="00E82D79"/>
    <w:rsid w:val="00E83E8D"/>
    <w:rsid w:val="00E8497F"/>
    <w:rsid w:val="00E856C3"/>
    <w:rsid w:val="00E85AE8"/>
    <w:rsid w:val="00E85F2C"/>
    <w:rsid w:val="00E860F8"/>
    <w:rsid w:val="00E8637B"/>
    <w:rsid w:val="00E86E87"/>
    <w:rsid w:val="00E87129"/>
    <w:rsid w:val="00E873DA"/>
    <w:rsid w:val="00E87449"/>
    <w:rsid w:val="00E87C8F"/>
    <w:rsid w:val="00E9037C"/>
    <w:rsid w:val="00E90458"/>
    <w:rsid w:val="00E91199"/>
    <w:rsid w:val="00E91F9B"/>
    <w:rsid w:val="00E9288B"/>
    <w:rsid w:val="00E93388"/>
    <w:rsid w:val="00E934CE"/>
    <w:rsid w:val="00E938C9"/>
    <w:rsid w:val="00E9416F"/>
    <w:rsid w:val="00E9421B"/>
    <w:rsid w:val="00E94ABC"/>
    <w:rsid w:val="00E94AFB"/>
    <w:rsid w:val="00E9517C"/>
    <w:rsid w:val="00E95202"/>
    <w:rsid w:val="00E952A7"/>
    <w:rsid w:val="00E954AB"/>
    <w:rsid w:val="00E95E1B"/>
    <w:rsid w:val="00E961B8"/>
    <w:rsid w:val="00E962BC"/>
    <w:rsid w:val="00E9661F"/>
    <w:rsid w:val="00E96783"/>
    <w:rsid w:val="00E96872"/>
    <w:rsid w:val="00E972E4"/>
    <w:rsid w:val="00E97AC5"/>
    <w:rsid w:val="00E97C51"/>
    <w:rsid w:val="00EA052C"/>
    <w:rsid w:val="00EA06E1"/>
    <w:rsid w:val="00EA088F"/>
    <w:rsid w:val="00EA0AD0"/>
    <w:rsid w:val="00EA0BCA"/>
    <w:rsid w:val="00EA0D78"/>
    <w:rsid w:val="00EA104B"/>
    <w:rsid w:val="00EA1161"/>
    <w:rsid w:val="00EA1594"/>
    <w:rsid w:val="00EA1879"/>
    <w:rsid w:val="00EA19DF"/>
    <w:rsid w:val="00EA1D45"/>
    <w:rsid w:val="00EA28DE"/>
    <w:rsid w:val="00EA2B5B"/>
    <w:rsid w:val="00EA4A28"/>
    <w:rsid w:val="00EA5083"/>
    <w:rsid w:val="00EA556B"/>
    <w:rsid w:val="00EA563F"/>
    <w:rsid w:val="00EA5833"/>
    <w:rsid w:val="00EA5900"/>
    <w:rsid w:val="00EA5B72"/>
    <w:rsid w:val="00EA5F06"/>
    <w:rsid w:val="00EA634A"/>
    <w:rsid w:val="00EA6992"/>
    <w:rsid w:val="00EA7A20"/>
    <w:rsid w:val="00EA7CFD"/>
    <w:rsid w:val="00EA7F8B"/>
    <w:rsid w:val="00EB0E90"/>
    <w:rsid w:val="00EB1AFC"/>
    <w:rsid w:val="00EB1B3F"/>
    <w:rsid w:val="00EB2C18"/>
    <w:rsid w:val="00EB2C92"/>
    <w:rsid w:val="00EB3CBE"/>
    <w:rsid w:val="00EB3FDD"/>
    <w:rsid w:val="00EB43A2"/>
    <w:rsid w:val="00EB441F"/>
    <w:rsid w:val="00EB44F6"/>
    <w:rsid w:val="00EB484C"/>
    <w:rsid w:val="00EB4C30"/>
    <w:rsid w:val="00EB5F4A"/>
    <w:rsid w:val="00EB6036"/>
    <w:rsid w:val="00EB608C"/>
    <w:rsid w:val="00EB66BC"/>
    <w:rsid w:val="00EB6F5F"/>
    <w:rsid w:val="00EB70CC"/>
    <w:rsid w:val="00EB7AC4"/>
    <w:rsid w:val="00EC000E"/>
    <w:rsid w:val="00EC00F5"/>
    <w:rsid w:val="00EC07B6"/>
    <w:rsid w:val="00EC0D88"/>
    <w:rsid w:val="00EC1905"/>
    <w:rsid w:val="00EC2110"/>
    <w:rsid w:val="00EC2BF7"/>
    <w:rsid w:val="00EC2C46"/>
    <w:rsid w:val="00EC307B"/>
    <w:rsid w:val="00EC31AA"/>
    <w:rsid w:val="00EC3759"/>
    <w:rsid w:val="00EC381B"/>
    <w:rsid w:val="00EC6135"/>
    <w:rsid w:val="00EC6750"/>
    <w:rsid w:val="00EC6778"/>
    <w:rsid w:val="00EC75C9"/>
    <w:rsid w:val="00EC7BFE"/>
    <w:rsid w:val="00ED0C5A"/>
    <w:rsid w:val="00ED0EE1"/>
    <w:rsid w:val="00ED1706"/>
    <w:rsid w:val="00ED1978"/>
    <w:rsid w:val="00ED25A9"/>
    <w:rsid w:val="00ED25D4"/>
    <w:rsid w:val="00ED2966"/>
    <w:rsid w:val="00ED2A0B"/>
    <w:rsid w:val="00ED3634"/>
    <w:rsid w:val="00ED3B86"/>
    <w:rsid w:val="00ED4223"/>
    <w:rsid w:val="00ED5582"/>
    <w:rsid w:val="00ED57DB"/>
    <w:rsid w:val="00ED65F5"/>
    <w:rsid w:val="00ED6676"/>
    <w:rsid w:val="00ED674B"/>
    <w:rsid w:val="00ED67A7"/>
    <w:rsid w:val="00ED6A5A"/>
    <w:rsid w:val="00ED6B54"/>
    <w:rsid w:val="00ED6D1C"/>
    <w:rsid w:val="00ED6E72"/>
    <w:rsid w:val="00ED7377"/>
    <w:rsid w:val="00ED77BD"/>
    <w:rsid w:val="00ED77F6"/>
    <w:rsid w:val="00ED7B55"/>
    <w:rsid w:val="00EE010B"/>
    <w:rsid w:val="00EE0952"/>
    <w:rsid w:val="00EE0DBA"/>
    <w:rsid w:val="00EE0DED"/>
    <w:rsid w:val="00EE22DD"/>
    <w:rsid w:val="00EE2537"/>
    <w:rsid w:val="00EE2595"/>
    <w:rsid w:val="00EE26AD"/>
    <w:rsid w:val="00EE26C3"/>
    <w:rsid w:val="00EE27CD"/>
    <w:rsid w:val="00EE289E"/>
    <w:rsid w:val="00EE2E2D"/>
    <w:rsid w:val="00EE33D5"/>
    <w:rsid w:val="00EE3602"/>
    <w:rsid w:val="00EE3E5F"/>
    <w:rsid w:val="00EE4577"/>
    <w:rsid w:val="00EE4CFD"/>
    <w:rsid w:val="00EE4D8B"/>
    <w:rsid w:val="00EE5485"/>
    <w:rsid w:val="00EE5914"/>
    <w:rsid w:val="00EE59EC"/>
    <w:rsid w:val="00EE66CF"/>
    <w:rsid w:val="00EE6A53"/>
    <w:rsid w:val="00EE6A78"/>
    <w:rsid w:val="00EE6D73"/>
    <w:rsid w:val="00EE72F8"/>
    <w:rsid w:val="00EF1B56"/>
    <w:rsid w:val="00EF1EB3"/>
    <w:rsid w:val="00EF2210"/>
    <w:rsid w:val="00EF2B47"/>
    <w:rsid w:val="00EF303F"/>
    <w:rsid w:val="00EF3060"/>
    <w:rsid w:val="00EF3FB5"/>
    <w:rsid w:val="00EF4193"/>
    <w:rsid w:val="00EF44F0"/>
    <w:rsid w:val="00EF4CAC"/>
    <w:rsid w:val="00EF4DB0"/>
    <w:rsid w:val="00EF52BC"/>
    <w:rsid w:val="00EF6840"/>
    <w:rsid w:val="00EF6A39"/>
    <w:rsid w:val="00EF6B09"/>
    <w:rsid w:val="00EF723F"/>
    <w:rsid w:val="00EF7346"/>
    <w:rsid w:val="00EF75F7"/>
    <w:rsid w:val="00EF7991"/>
    <w:rsid w:val="00F006F6"/>
    <w:rsid w:val="00F00779"/>
    <w:rsid w:val="00F00C41"/>
    <w:rsid w:val="00F00EE5"/>
    <w:rsid w:val="00F0122A"/>
    <w:rsid w:val="00F0146A"/>
    <w:rsid w:val="00F019F5"/>
    <w:rsid w:val="00F01AFA"/>
    <w:rsid w:val="00F01BE0"/>
    <w:rsid w:val="00F02014"/>
    <w:rsid w:val="00F023F4"/>
    <w:rsid w:val="00F025B9"/>
    <w:rsid w:val="00F02E4E"/>
    <w:rsid w:val="00F030B1"/>
    <w:rsid w:val="00F03363"/>
    <w:rsid w:val="00F03F47"/>
    <w:rsid w:val="00F04261"/>
    <w:rsid w:val="00F04407"/>
    <w:rsid w:val="00F04595"/>
    <w:rsid w:val="00F05E07"/>
    <w:rsid w:val="00F05EE2"/>
    <w:rsid w:val="00F06439"/>
    <w:rsid w:val="00F066BA"/>
    <w:rsid w:val="00F0772A"/>
    <w:rsid w:val="00F07DA8"/>
    <w:rsid w:val="00F10565"/>
    <w:rsid w:val="00F10DB3"/>
    <w:rsid w:val="00F1101C"/>
    <w:rsid w:val="00F1268C"/>
    <w:rsid w:val="00F1385F"/>
    <w:rsid w:val="00F13C84"/>
    <w:rsid w:val="00F141AD"/>
    <w:rsid w:val="00F14830"/>
    <w:rsid w:val="00F14B7E"/>
    <w:rsid w:val="00F15789"/>
    <w:rsid w:val="00F15C36"/>
    <w:rsid w:val="00F16107"/>
    <w:rsid w:val="00F165B2"/>
    <w:rsid w:val="00F168F6"/>
    <w:rsid w:val="00F16D33"/>
    <w:rsid w:val="00F16E3A"/>
    <w:rsid w:val="00F17416"/>
    <w:rsid w:val="00F174B6"/>
    <w:rsid w:val="00F17588"/>
    <w:rsid w:val="00F178B7"/>
    <w:rsid w:val="00F17C5A"/>
    <w:rsid w:val="00F203DB"/>
    <w:rsid w:val="00F20BA3"/>
    <w:rsid w:val="00F21396"/>
    <w:rsid w:val="00F21AC4"/>
    <w:rsid w:val="00F222E5"/>
    <w:rsid w:val="00F2265B"/>
    <w:rsid w:val="00F22AC5"/>
    <w:rsid w:val="00F22EE6"/>
    <w:rsid w:val="00F23E14"/>
    <w:rsid w:val="00F24B83"/>
    <w:rsid w:val="00F25187"/>
    <w:rsid w:val="00F25227"/>
    <w:rsid w:val="00F25353"/>
    <w:rsid w:val="00F25574"/>
    <w:rsid w:val="00F255C6"/>
    <w:rsid w:val="00F25AC3"/>
    <w:rsid w:val="00F26678"/>
    <w:rsid w:val="00F26F35"/>
    <w:rsid w:val="00F27153"/>
    <w:rsid w:val="00F275B1"/>
    <w:rsid w:val="00F2787A"/>
    <w:rsid w:val="00F27B63"/>
    <w:rsid w:val="00F27CE9"/>
    <w:rsid w:val="00F30D92"/>
    <w:rsid w:val="00F30FD9"/>
    <w:rsid w:val="00F310F1"/>
    <w:rsid w:val="00F317CF"/>
    <w:rsid w:val="00F31AF1"/>
    <w:rsid w:val="00F31BEA"/>
    <w:rsid w:val="00F31DA7"/>
    <w:rsid w:val="00F31F35"/>
    <w:rsid w:val="00F31FF5"/>
    <w:rsid w:val="00F32365"/>
    <w:rsid w:val="00F33530"/>
    <w:rsid w:val="00F35ED4"/>
    <w:rsid w:val="00F36064"/>
    <w:rsid w:val="00F3654D"/>
    <w:rsid w:val="00F368A4"/>
    <w:rsid w:val="00F36CAF"/>
    <w:rsid w:val="00F36CB0"/>
    <w:rsid w:val="00F37339"/>
    <w:rsid w:val="00F37B0F"/>
    <w:rsid w:val="00F37E92"/>
    <w:rsid w:val="00F37E99"/>
    <w:rsid w:val="00F4005A"/>
    <w:rsid w:val="00F40E13"/>
    <w:rsid w:val="00F40E83"/>
    <w:rsid w:val="00F41688"/>
    <w:rsid w:val="00F42033"/>
    <w:rsid w:val="00F42EAE"/>
    <w:rsid w:val="00F42EDF"/>
    <w:rsid w:val="00F4372E"/>
    <w:rsid w:val="00F4378B"/>
    <w:rsid w:val="00F43EEA"/>
    <w:rsid w:val="00F44F3C"/>
    <w:rsid w:val="00F4529B"/>
    <w:rsid w:val="00F46513"/>
    <w:rsid w:val="00F46586"/>
    <w:rsid w:val="00F46A07"/>
    <w:rsid w:val="00F46E0C"/>
    <w:rsid w:val="00F472C4"/>
    <w:rsid w:val="00F47562"/>
    <w:rsid w:val="00F47710"/>
    <w:rsid w:val="00F47C42"/>
    <w:rsid w:val="00F505DC"/>
    <w:rsid w:val="00F509A4"/>
    <w:rsid w:val="00F50FD4"/>
    <w:rsid w:val="00F51491"/>
    <w:rsid w:val="00F51E28"/>
    <w:rsid w:val="00F5220C"/>
    <w:rsid w:val="00F5224E"/>
    <w:rsid w:val="00F52BE6"/>
    <w:rsid w:val="00F53995"/>
    <w:rsid w:val="00F53A2C"/>
    <w:rsid w:val="00F53C00"/>
    <w:rsid w:val="00F546AE"/>
    <w:rsid w:val="00F55017"/>
    <w:rsid w:val="00F567F4"/>
    <w:rsid w:val="00F56D17"/>
    <w:rsid w:val="00F57458"/>
    <w:rsid w:val="00F574BB"/>
    <w:rsid w:val="00F57EBA"/>
    <w:rsid w:val="00F57FD0"/>
    <w:rsid w:val="00F604A7"/>
    <w:rsid w:val="00F60C31"/>
    <w:rsid w:val="00F60F89"/>
    <w:rsid w:val="00F61241"/>
    <w:rsid w:val="00F61531"/>
    <w:rsid w:val="00F63321"/>
    <w:rsid w:val="00F63621"/>
    <w:rsid w:val="00F63D41"/>
    <w:rsid w:val="00F644C2"/>
    <w:rsid w:val="00F648D6"/>
    <w:rsid w:val="00F64B26"/>
    <w:rsid w:val="00F64CD9"/>
    <w:rsid w:val="00F665F3"/>
    <w:rsid w:val="00F66EF3"/>
    <w:rsid w:val="00F66F44"/>
    <w:rsid w:val="00F674C6"/>
    <w:rsid w:val="00F70954"/>
    <w:rsid w:val="00F71912"/>
    <w:rsid w:val="00F72258"/>
    <w:rsid w:val="00F72A90"/>
    <w:rsid w:val="00F73C18"/>
    <w:rsid w:val="00F74A5D"/>
    <w:rsid w:val="00F75850"/>
    <w:rsid w:val="00F75882"/>
    <w:rsid w:val="00F7660A"/>
    <w:rsid w:val="00F7665C"/>
    <w:rsid w:val="00F766A5"/>
    <w:rsid w:val="00F76A03"/>
    <w:rsid w:val="00F76C5B"/>
    <w:rsid w:val="00F8053A"/>
    <w:rsid w:val="00F80AA2"/>
    <w:rsid w:val="00F80B0D"/>
    <w:rsid w:val="00F80E32"/>
    <w:rsid w:val="00F81734"/>
    <w:rsid w:val="00F824CA"/>
    <w:rsid w:val="00F82AD3"/>
    <w:rsid w:val="00F82BA9"/>
    <w:rsid w:val="00F82F0A"/>
    <w:rsid w:val="00F838D8"/>
    <w:rsid w:val="00F83AF7"/>
    <w:rsid w:val="00F83C4F"/>
    <w:rsid w:val="00F846B8"/>
    <w:rsid w:val="00F84882"/>
    <w:rsid w:val="00F84F60"/>
    <w:rsid w:val="00F8532C"/>
    <w:rsid w:val="00F85C7B"/>
    <w:rsid w:val="00F86167"/>
    <w:rsid w:val="00F8649E"/>
    <w:rsid w:val="00F87CF3"/>
    <w:rsid w:val="00F90464"/>
    <w:rsid w:val="00F90845"/>
    <w:rsid w:val="00F90ED0"/>
    <w:rsid w:val="00F91A03"/>
    <w:rsid w:val="00F91A66"/>
    <w:rsid w:val="00F92818"/>
    <w:rsid w:val="00F92A92"/>
    <w:rsid w:val="00F92AF5"/>
    <w:rsid w:val="00F92C3B"/>
    <w:rsid w:val="00F92CE8"/>
    <w:rsid w:val="00F93EA8"/>
    <w:rsid w:val="00F94907"/>
    <w:rsid w:val="00F94F9A"/>
    <w:rsid w:val="00F9522A"/>
    <w:rsid w:val="00F958FE"/>
    <w:rsid w:val="00F967B0"/>
    <w:rsid w:val="00F96877"/>
    <w:rsid w:val="00F96A33"/>
    <w:rsid w:val="00F97BE5"/>
    <w:rsid w:val="00FA055D"/>
    <w:rsid w:val="00FA089C"/>
    <w:rsid w:val="00FA1820"/>
    <w:rsid w:val="00FA198B"/>
    <w:rsid w:val="00FA35D2"/>
    <w:rsid w:val="00FA373E"/>
    <w:rsid w:val="00FA393F"/>
    <w:rsid w:val="00FA3BF1"/>
    <w:rsid w:val="00FA4097"/>
    <w:rsid w:val="00FA4C2D"/>
    <w:rsid w:val="00FA5523"/>
    <w:rsid w:val="00FA7360"/>
    <w:rsid w:val="00FA738F"/>
    <w:rsid w:val="00FA7475"/>
    <w:rsid w:val="00FA7AF7"/>
    <w:rsid w:val="00FB01A4"/>
    <w:rsid w:val="00FB2364"/>
    <w:rsid w:val="00FB2D63"/>
    <w:rsid w:val="00FB3053"/>
    <w:rsid w:val="00FB3BA3"/>
    <w:rsid w:val="00FB4099"/>
    <w:rsid w:val="00FB4520"/>
    <w:rsid w:val="00FB4C02"/>
    <w:rsid w:val="00FB4CAC"/>
    <w:rsid w:val="00FB4CCC"/>
    <w:rsid w:val="00FB5CF5"/>
    <w:rsid w:val="00FB6031"/>
    <w:rsid w:val="00FB6E80"/>
    <w:rsid w:val="00FB6F32"/>
    <w:rsid w:val="00FB71F5"/>
    <w:rsid w:val="00FB7376"/>
    <w:rsid w:val="00FB76EF"/>
    <w:rsid w:val="00FB7742"/>
    <w:rsid w:val="00FB784A"/>
    <w:rsid w:val="00FB78B1"/>
    <w:rsid w:val="00FC0E69"/>
    <w:rsid w:val="00FC1E0D"/>
    <w:rsid w:val="00FC24BB"/>
    <w:rsid w:val="00FC313F"/>
    <w:rsid w:val="00FC47FA"/>
    <w:rsid w:val="00FC5508"/>
    <w:rsid w:val="00FC58B8"/>
    <w:rsid w:val="00FC5BF0"/>
    <w:rsid w:val="00FC5DD8"/>
    <w:rsid w:val="00FC5F07"/>
    <w:rsid w:val="00FC61FF"/>
    <w:rsid w:val="00FC6260"/>
    <w:rsid w:val="00FC67A2"/>
    <w:rsid w:val="00FC6997"/>
    <w:rsid w:val="00FC6A02"/>
    <w:rsid w:val="00FC7AFA"/>
    <w:rsid w:val="00FC7B74"/>
    <w:rsid w:val="00FD00EC"/>
    <w:rsid w:val="00FD02E4"/>
    <w:rsid w:val="00FD049B"/>
    <w:rsid w:val="00FD0B2A"/>
    <w:rsid w:val="00FD1333"/>
    <w:rsid w:val="00FD2793"/>
    <w:rsid w:val="00FD2BBF"/>
    <w:rsid w:val="00FD329A"/>
    <w:rsid w:val="00FD3C03"/>
    <w:rsid w:val="00FD456C"/>
    <w:rsid w:val="00FD4660"/>
    <w:rsid w:val="00FD53C3"/>
    <w:rsid w:val="00FD5803"/>
    <w:rsid w:val="00FD5CCF"/>
    <w:rsid w:val="00FD5FCB"/>
    <w:rsid w:val="00FD62AD"/>
    <w:rsid w:val="00FD64FD"/>
    <w:rsid w:val="00FD7BD2"/>
    <w:rsid w:val="00FE00D5"/>
    <w:rsid w:val="00FE0164"/>
    <w:rsid w:val="00FE0EF5"/>
    <w:rsid w:val="00FE1497"/>
    <w:rsid w:val="00FE17DC"/>
    <w:rsid w:val="00FE1E10"/>
    <w:rsid w:val="00FE23A2"/>
    <w:rsid w:val="00FE2820"/>
    <w:rsid w:val="00FE3283"/>
    <w:rsid w:val="00FE33CF"/>
    <w:rsid w:val="00FE358D"/>
    <w:rsid w:val="00FE37B9"/>
    <w:rsid w:val="00FE41E3"/>
    <w:rsid w:val="00FE421B"/>
    <w:rsid w:val="00FE4447"/>
    <w:rsid w:val="00FE4F1A"/>
    <w:rsid w:val="00FE51D1"/>
    <w:rsid w:val="00FE5203"/>
    <w:rsid w:val="00FE5640"/>
    <w:rsid w:val="00FE5BA4"/>
    <w:rsid w:val="00FE70BF"/>
    <w:rsid w:val="00FE73B4"/>
    <w:rsid w:val="00FE7507"/>
    <w:rsid w:val="00FE7B1A"/>
    <w:rsid w:val="00FE7FA1"/>
    <w:rsid w:val="00FF034B"/>
    <w:rsid w:val="00FF0804"/>
    <w:rsid w:val="00FF18DE"/>
    <w:rsid w:val="00FF19E4"/>
    <w:rsid w:val="00FF1F8D"/>
    <w:rsid w:val="00FF278C"/>
    <w:rsid w:val="00FF3215"/>
    <w:rsid w:val="00FF3369"/>
    <w:rsid w:val="00FF3EDE"/>
    <w:rsid w:val="00FF42CB"/>
    <w:rsid w:val="00FF4979"/>
    <w:rsid w:val="00FF5013"/>
    <w:rsid w:val="00FF5E97"/>
    <w:rsid w:val="00FF6849"/>
    <w:rsid w:val="00FF70EF"/>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2D6ACB"/>
  <w15:docId w15:val="{9C929A28-FB7F-4198-BD1F-D5163604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D09"/>
    <w:pPr>
      <w:jc w:val="both"/>
    </w:pPr>
    <w:rPr>
      <w:rFonts w:ascii="Arial" w:hAnsi="Arial"/>
      <w:sz w:val="24"/>
      <w:szCs w:val="24"/>
      <w:lang w:eastAsia="en-US"/>
    </w:rPr>
  </w:style>
  <w:style w:type="paragraph" w:styleId="Heading1">
    <w:name w:val="heading 1"/>
    <w:basedOn w:val="Normal"/>
    <w:next w:val="1"/>
    <w:link w:val="Heading1Char"/>
    <w:qFormat/>
    <w:rsid w:val="00321949"/>
    <w:pPr>
      <w:keepNext/>
      <w:autoSpaceDE w:val="0"/>
      <w:autoSpaceDN w:val="0"/>
      <w:adjustRightInd w:val="0"/>
      <w:spacing w:before="240" w:line="480" w:lineRule="auto"/>
      <w:outlineLvl w:val="0"/>
    </w:pPr>
    <w:rPr>
      <w:b/>
      <w:bCs/>
      <w:szCs w:val="28"/>
    </w:rPr>
  </w:style>
  <w:style w:type="paragraph" w:styleId="Heading2">
    <w:name w:val="heading 2"/>
    <w:basedOn w:val="Normal"/>
    <w:next w:val="1"/>
    <w:link w:val="Heading2Char"/>
    <w:unhideWhenUsed/>
    <w:qFormat/>
    <w:rsid w:val="00300D09"/>
    <w:pPr>
      <w:keepNext/>
      <w:autoSpaceDE w:val="0"/>
      <w:autoSpaceDN w:val="0"/>
      <w:adjustRightInd w:val="0"/>
      <w:spacing w:before="240" w:line="480" w:lineRule="auto"/>
      <w:outlineLvl w:val="1"/>
    </w:pPr>
    <w:rPr>
      <w:b/>
      <w:bCs/>
      <w:i/>
      <w:szCs w:val="26"/>
    </w:rPr>
  </w:style>
  <w:style w:type="paragraph" w:styleId="Heading3">
    <w:name w:val="heading 3"/>
    <w:basedOn w:val="Normal"/>
    <w:next w:val="1"/>
    <w:link w:val="Heading3Char"/>
    <w:qFormat/>
    <w:rsid w:val="00300D09"/>
    <w:pPr>
      <w:keepNext/>
      <w:autoSpaceDE w:val="0"/>
      <w:autoSpaceDN w:val="0"/>
      <w:adjustRightInd w:val="0"/>
      <w:spacing w:before="240" w:line="480" w:lineRule="auto"/>
      <w:outlineLvl w:val="2"/>
    </w:pPr>
    <w:rPr>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qFormat/>
    <w:rsid w:val="00586B39"/>
    <w:pPr>
      <w:numPr>
        <w:numId w:val="1"/>
      </w:numPr>
      <w:spacing w:before="120" w:line="480" w:lineRule="auto"/>
    </w:pPr>
    <w:rPr>
      <w:iCs/>
      <w:color w:val="000000"/>
      <w:szCs w:val="22"/>
    </w:rPr>
  </w:style>
  <w:style w:type="character" w:customStyle="1" w:styleId="Heading1Char">
    <w:name w:val="Heading 1 Char"/>
    <w:link w:val="Heading1"/>
    <w:rsid w:val="00321949"/>
    <w:rPr>
      <w:rFonts w:ascii="Arial" w:hAnsi="Arial"/>
      <w:b/>
      <w:bCs/>
      <w:sz w:val="24"/>
      <w:szCs w:val="28"/>
      <w:lang w:eastAsia="en-US"/>
    </w:rPr>
  </w:style>
  <w:style w:type="character" w:customStyle="1" w:styleId="Heading2Char">
    <w:name w:val="Heading 2 Char"/>
    <w:link w:val="Heading2"/>
    <w:rsid w:val="00300D09"/>
    <w:rPr>
      <w:rFonts w:ascii="Arial" w:hAnsi="Arial"/>
      <w:b/>
      <w:bCs/>
      <w:i/>
      <w:sz w:val="24"/>
      <w:szCs w:val="26"/>
      <w:lang w:eastAsia="en-US"/>
    </w:rPr>
  </w:style>
  <w:style w:type="character" w:customStyle="1" w:styleId="Heading3Char">
    <w:name w:val="Heading 3 Char"/>
    <w:link w:val="Heading3"/>
    <w:rsid w:val="00300D09"/>
    <w:rPr>
      <w:rFonts w:ascii="Arial" w:hAnsi="Arial"/>
      <w:bCs/>
      <w:sz w:val="24"/>
      <w:szCs w:val="24"/>
      <w:u w:val="single"/>
      <w:lang w:val="x-none" w:eastAsia="x-none"/>
    </w:rPr>
  </w:style>
  <w:style w:type="paragraph" w:customStyle="1" w:styleId="2">
    <w:name w:val="2"/>
    <w:basedOn w:val="1"/>
    <w:link w:val="2Char"/>
    <w:qFormat/>
    <w:rsid w:val="007C1127"/>
    <w:pPr>
      <w:numPr>
        <w:ilvl w:val="1"/>
      </w:numPr>
      <w:ind w:left="1134" w:hanging="567"/>
    </w:pPr>
  </w:style>
  <w:style w:type="paragraph" w:customStyle="1" w:styleId="3">
    <w:name w:val="3"/>
    <w:basedOn w:val="2"/>
    <w:qFormat/>
    <w:rsid w:val="00300D09"/>
    <w:pPr>
      <w:numPr>
        <w:ilvl w:val="2"/>
      </w:numPr>
    </w:pPr>
  </w:style>
  <w:style w:type="paragraph" w:customStyle="1" w:styleId="4">
    <w:name w:val="4"/>
    <w:basedOn w:val="2"/>
    <w:qFormat/>
    <w:rsid w:val="00300D09"/>
    <w:pPr>
      <w:numPr>
        <w:ilvl w:val="3"/>
      </w:numPr>
    </w:pPr>
    <w:rPr>
      <w:iCs w:val="0"/>
    </w:rPr>
  </w:style>
  <w:style w:type="paragraph" w:customStyle="1" w:styleId="5">
    <w:name w:val="5"/>
    <w:basedOn w:val="4"/>
    <w:qFormat/>
    <w:rsid w:val="00300D09"/>
    <w:pPr>
      <w:numPr>
        <w:ilvl w:val="4"/>
      </w:numPr>
    </w:pPr>
    <w:rPr>
      <w:iCs/>
      <w:szCs w:val="16"/>
      <w:lang w:eastAsia="en-ZA"/>
    </w:rPr>
  </w:style>
  <w:style w:type="paragraph" w:styleId="Footer">
    <w:name w:val="footer"/>
    <w:basedOn w:val="Normal"/>
    <w:link w:val="FooterChar"/>
    <w:uiPriority w:val="99"/>
    <w:unhideWhenUsed/>
    <w:rsid w:val="00300D09"/>
    <w:pPr>
      <w:tabs>
        <w:tab w:val="center" w:pos="4513"/>
        <w:tab w:val="right" w:pos="9026"/>
      </w:tabs>
    </w:pPr>
    <w:rPr>
      <w:sz w:val="22"/>
    </w:rPr>
  </w:style>
  <w:style w:type="character" w:customStyle="1" w:styleId="FooterChar">
    <w:name w:val="Footer Char"/>
    <w:link w:val="Footer"/>
    <w:uiPriority w:val="99"/>
    <w:rsid w:val="00300D09"/>
    <w:rPr>
      <w:rFonts w:ascii="Arial" w:hAnsi="Arial"/>
      <w:sz w:val="22"/>
      <w:szCs w:val="24"/>
      <w:lang w:eastAsia="en-US"/>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uiPriority w:val="99"/>
    <w:unhideWhenUsed/>
    <w:qFormat/>
    <w:rsid w:val="00300D09"/>
    <w:rPr>
      <w:vertAlign w:val="superscript"/>
      <w:lang w:val="en-GB"/>
    </w:rPr>
  </w:style>
  <w:style w:type="paragraph" w:styleId="FootnoteText">
    <w:name w:val="footnote text"/>
    <w:aliases w:val="Footnote Text Char Char Char,Footnote Text Char Char,Footnote Text Char1,Footnote Text Char1 Char Char,Footnote Text Char Char Char Char Char,Footnote Text Char Char1 Char Char,Footnote Text Char Char1 Char,Footnote Text Char Char1,fn,ft"/>
    <w:basedOn w:val="Normal"/>
    <w:link w:val="FootnoteTextChar"/>
    <w:uiPriority w:val="99"/>
    <w:qFormat/>
    <w:rsid w:val="00300D09"/>
    <w:pPr>
      <w:spacing w:after="120"/>
      <w:ind w:left="284" w:hanging="284"/>
    </w:pPr>
    <w:rPr>
      <w:sz w:val="18"/>
      <w:szCs w:val="22"/>
    </w:rPr>
  </w:style>
  <w:style w:type="character" w:customStyle="1" w:styleId="FootnoteTextChar">
    <w:name w:val="Footnote Text Char"/>
    <w:aliases w:val="Footnote Text Char Char Char Char,Footnote Text Char Char Char1,Footnote Text Char1 Char,Footnote Text Char1 Char Char Char,Footnote Text Char Char Char Char Char Char,Footnote Text Char Char1 Char Char Char,fn Char,ft Char"/>
    <w:link w:val="FootnoteText"/>
    <w:uiPriority w:val="99"/>
    <w:rsid w:val="00300D09"/>
    <w:rPr>
      <w:rFonts w:ascii="Arial" w:hAnsi="Arial"/>
      <w:sz w:val="18"/>
      <w:szCs w:val="22"/>
      <w:lang w:eastAsia="en-US"/>
    </w:rPr>
  </w:style>
  <w:style w:type="paragraph" w:styleId="Header">
    <w:name w:val="header"/>
    <w:basedOn w:val="Normal"/>
    <w:link w:val="HeaderChar"/>
    <w:uiPriority w:val="99"/>
    <w:unhideWhenUsed/>
    <w:rsid w:val="00300D09"/>
    <w:pPr>
      <w:tabs>
        <w:tab w:val="center" w:pos="4513"/>
        <w:tab w:val="right" w:pos="9026"/>
      </w:tabs>
    </w:pPr>
  </w:style>
  <w:style w:type="character" w:customStyle="1" w:styleId="HeaderChar">
    <w:name w:val="Header Char"/>
    <w:link w:val="Header"/>
    <w:uiPriority w:val="99"/>
    <w:rsid w:val="00300D09"/>
    <w:rPr>
      <w:rFonts w:ascii="Arial" w:hAnsi="Arial"/>
      <w:sz w:val="24"/>
      <w:szCs w:val="24"/>
      <w:lang w:eastAsia="en-US"/>
    </w:rPr>
  </w:style>
  <w:style w:type="paragraph" w:styleId="Quote">
    <w:name w:val="Quote"/>
    <w:basedOn w:val="Normal"/>
    <w:link w:val="QuoteChar"/>
    <w:uiPriority w:val="29"/>
    <w:qFormat/>
    <w:rsid w:val="00D31438"/>
    <w:pPr>
      <w:spacing w:before="120" w:line="360" w:lineRule="auto"/>
      <w:ind w:left="1701"/>
    </w:pPr>
    <w:rPr>
      <w:rFonts w:eastAsia="Calibri"/>
      <w:iCs/>
      <w:color w:val="000000"/>
      <w:sz w:val="22"/>
      <w:szCs w:val="22"/>
    </w:rPr>
  </w:style>
  <w:style w:type="character" w:customStyle="1" w:styleId="QuoteChar">
    <w:name w:val="Quote Char"/>
    <w:link w:val="Quote"/>
    <w:uiPriority w:val="29"/>
    <w:rsid w:val="00D31438"/>
    <w:rPr>
      <w:rFonts w:ascii="Arial" w:eastAsia="Calibri" w:hAnsi="Arial"/>
      <w:iCs/>
      <w:color w:val="000000"/>
      <w:sz w:val="22"/>
      <w:szCs w:val="22"/>
      <w:lang w:eastAsia="en-US"/>
    </w:rPr>
  </w:style>
  <w:style w:type="paragraph" w:styleId="IntenseQuote">
    <w:name w:val="Intense Quote"/>
    <w:basedOn w:val="Quote"/>
    <w:next w:val="Normal"/>
    <w:link w:val="IntenseQuoteChar"/>
    <w:uiPriority w:val="30"/>
    <w:qFormat/>
    <w:rsid w:val="00F40E13"/>
    <w:pPr>
      <w:spacing w:after="120"/>
    </w:pPr>
    <w:rPr>
      <w:b/>
      <w:bCs/>
      <w:i/>
      <w:iCs w:val="0"/>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300D09"/>
    <w:pPr>
      <w:numPr>
        <w:numId w:val="3"/>
      </w:numPr>
      <w:spacing w:before="120"/>
    </w:pPr>
    <w:rPr>
      <w:sz w:val="22"/>
      <w:szCs w:val="16"/>
      <w:lang w:eastAsia="en-ZA"/>
    </w:rPr>
  </w:style>
  <w:style w:type="paragraph" w:styleId="TOC1">
    <w:name w:val="toc 1"/>
    <w:basedOn w:val="Normal"/>
    <w:next w:val="Normal"/>
    <w:autoRedefine/>
    <w:uiPriority w:val="39"/>
    <w:unhideWhenUsed/>
    <w:rsid w:val="00300D09"/>
    <w:pPr>
      <w:spacing w:before="200" w:after="100"/>
    </w:pPr>
    <w:rPr>
      <w:b/>
      <w:sz w:val="22"/>
    </w:rPr>
  </w:style>
  <w:style w:type="paragraph" w:styleId="TOC2">
    <w:name w:val="toc 2"/>
    <w:basedOn w:val="Normal"/>
    <w:next w:val="Normal"/>
    <w:autoRedefine/>
    <w:uiPriority w:val="39"/>
    <w:unhideWhenUsed/>
    <w:rsid w:val="00300D09"/>
    <w:pPr>
      <w:spacing w:after="100"/>
      <w:ind w:left="240"/>
    </w:pPr>
    <w:rPr>
      <w:i/>
      <w:sz w:val="22"/>
    </w:rPr>
  </w:style>
  <w:style w:type="paragraph" w:styleId="TOC3">
    <w:name w:val="toc 3"/>
    <w:basedOn w:val="Normal"/>
    <w:next w:val="Normal"/>
    <w:autoRedefine/>
    <w:uiPriority w:val="39"/>
    <w:unhideWhenUsed/>
    <w:rsid w:val="00300D09"/>
    <w:pPr>
      <w:tabs>
        <w:tab w:val="right" w:leader="dot" w:pos="8755"/>
      </w:tabs>
      <w:spacing w:before="120" w:after="100"/>
      <w:ind w:left="480"/>
    </w:pPr>
    <w:rPr>
      <w:noProof/>
      <w:sz w:val="22"/>
    </w:rPr>
  </w:style>
  <w:style w:type="paragraph" w:customStyle="1" w:styleId="quote2">
    <w:name w:val="quote2"/>
    <w:basedOn w:val="Quote"/>
    <w:rsid w:val="00F40E13"/>
    <w:rPr>
      <w:b/>
    </w:rPr>
  </w:style>
  <w:style w:type="paragraph" w:customStyle="1" w:styleId="Parties">
    <w:name w:val="Parties"/>
    <w:basedOn w:val="Normal"/>
    <w:rsid w:val="00300D09"/>
    <w:pPr>
      <w:tabs>
        <w:tab w:val="right" w:pos="8732"/>
      </w:tabs>
      <w:suppressAutoHyphens/>
    </w:pPr>
    <w:rPr>
      <w:szCs w:val="20"/>
    </w:rPr>
  </w:style>
  <w:style w:type="paragraph" w:customStyle="1" w:styleId="TramLines">
    <w:name w:val="TramLines"/>
    <w:basedOn w:val="Normal"/>
    <w:next w:val="1"/>
    <w:qFormat/>
    <w:rsid w:val="00300D09"/>
    <w:pPr>
      <w:pBdr>
        <w:top w:val="single" w:sz="8" w:space="12" w:color="auto"/>
        <w:bottom w:val="single" w:sz="8" w:space="12" w:color="auto"/>
      </w:pBdr>
      <w:suppressAutoHyphens/>
      <w:spacing w:after="320"/>
      <w:jc w:val="center"/>
    </w:pPr>
    <w:rPr>
      <w:b/>
      <w:szCs w:val="20"/>
    </w:rPr>
  </w:style>
  <w:style w:type="character" w:styleId="PageNumber">
    <w:name w:val="page number"/>
    <w:rsid w:val="00300D09"/>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link w:val="BalloonText"/>
    <w:uiPriority w:val="99"/>
    <w:semiHidden/>
    <w:rsid w:val="001E77C7"/>
    <w:rPr>
      <w:rFonts w:ascii="Tahoma" w:hAnsi="Tahoma" w:cs="Tahoma"/>
      <w:sz w:val="16"/>
      <w:szCs w:val="16"/>
      <w:lang w:eastAsia="en-ZA"/>
    </w:rPr>
  </w:style>
  <w:style w:type="character" w:styleId="Hyperlink">
    <w:name w:val="Hyperlink"/>
    <w:uiPriority w:val="99"/>
    <w:unhideWhenUsed/>
    <w:rsid w:val="00340D11"/>
    <w:rPr>
      <w:color w:val="0000FF"/>
      <w:u w:val="single"/>
    </w:rPr>
  </w:style>
  <w:style w:type="paragraph" w:styleId="ListNumber2">
    <w:name w:val="List Number 2"/>
    <w:basedOn w:val="ListNumber"/>
    <w:uiPriority w:val="99"/>
    <w:semiHidden/>
    <w:unhideWhenUsed/>
    <w:rsid w:val="00300D09"/>
  </w:style>
  <w:style w:type="paragraph" w:styleId="NormalWeb">
    <w:name w:val="Normal (Web)"/>
    <w:basedOn w:val="Normal"/>
    <w:uiPriority w:val="99"/>
    <w:unhideWhenUsed/>
    <w:rsid w:val="006D37D9"/>
    <w:pPr>
      <w:spacing w:before="100" w:beforeAutospacing="1" w:after="100" w:afterAutospacing="1"/>
      <w:jc w:val="left"/>
    </w:pPr>
    <w:rPr>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Calibr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link w:val="EndnoteText"/>
    <w:uiPriority w:val="99"/>
    <w:rsid w:val="00EE0DBA"/>
    <w:rPr>
      <w:rFonts w:ascii="Arial" w:hAnsi="Arial"/>
      <w:lang w:eastAsia="en-ZA"/>
    </w:rPr>
  </w:style>
  <w:style w:type="character" w:styleId="EndnoteReference">
    <w:name w:val="endnote reference"/>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39"/>
    <w:rsid w:val="00300D0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9637F9"/>
    <w:pPr>
      <w:spacing w:before="60" w:after="60"/>
      <w:jc w:val="left"/>
    </w:pPr>
    <w:rPr>
      <w:sz w:val="20"/>
      <w:szCs w:val="20"/>
    </w:rPr>
  </w:style>
  <w:style w:type="character" w:customStyle="1" w:styleId="BodyTextChar">
    <w:name w:val="Body Text Char"/>
    <w:link w:val="BodyText"/>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Calibr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1Char">
    <w:name w:val="1 Char"/>
    <w:link w:val="1"/>
    <w:rsid w:val="00586B39"/>
    <w:rPr>
      <w:rFonts w:ascii="Arial" w:hAnsi="Arial"/>
      <w:iCs/>
      <w:color w:val="000000"/>
      <w:sz w:val="24"/>
      <w:szCs w:val="22"/>
      <w:lang w:eastAsia="en-US"/>
    </w:rPr>
  </w:style>
  <w:style w:type="character" w:customStyle="1" w:styleId="2Char">
    <w:name w:val="2 Char"/>
    <w:link w:val="2"/>
    <w:rsid w:val="007C1127"/>
    <w:rPr>
      <w:rFonts w:ascii="Arial" w:hAnsi="Arial"/>
      <w:iCs/>
      <w:color w:val="000000"/>
      <w:sz w:val="24"/>
      <w:szCs w:val="22"/>
      <w:lang w:eastAsia="en-US"/>
    </w:rPr>
  </w:style>
  <w:style w:type="paragraph" w:styleId="ListNumber">
    <w:name w:val="List Number"/>
    <w:basedOn w:val="Normal"/>
    <w:uiPriority w:val="99"/>
    <w:unhideWhenUsed/>
    <w:rsid w:val="00300D09"/>
    <w:pPr>
      <w:numPr>
        <w:numId w:val="2"/>
      </w:numPr>
      <w:spacing w:before="9738"/>
    </w:pPr>
  </w:style>
  <w:style w:type="paragraph" w:customStyle="1" w:styleId="Style1">
    <w:name w:val="Style1"/>
    <w:basedOn w:val="Normal"/>
    <w:next w:val="1"/>
    <w:link w:val="Style1Char"/>
    <w:qFormat/>
    <w:rsid w:val="00300D09"/>
    <w:pPr>
      <w:keepNext/>
      <w:spacing w:before="240" w:line="480" w:lineRule="auto"/>
    </w:pPr>
    <w:rPr>
      <w:b/>
    </w:rPr>
  </w:style>
  <w:style w:type="character" w:customStyle="1" w:styleId="Style1Char">
    <w:name w:val="Style1 Char"/>
    <w:link w:val="Style1"/>
    <w:rsid w:val="00300D09"/>
    <w:rPr>
      <w:rFonts w:ascii="Arial" w:hAnsi="Arial"/>
      <w:b/>
      <w:sz w:val="24"/>
      <w:szCs w:val="24"/>
      <w:lang w:eastAsia="en-US"/>
    </w:rPr>
  </w:style>
  <w:style w:type="paragraph" w:styleId="Subtitle">
    <w:name w:val="Subtitle"/>
    <w:basedOn w:val="Normal"/>
    <w:next w:val="Normal"/>
    <w:link w:val="SubtitleChar"/>
    <w:uiPriority w:val="11"/>
    <w:rsid w:val="00300D09"/>
    <w:pPr>
      <w:numPr>
        <w:ilvl w:val="1"/>
      </w:numPr>
      <w:spacing w:after="160"/>
    </w:pPr>
    <w:rPr>
      <w:rFonts w:ascii="Calibri" w:hAnsi="Calibri"/>
      <w:color w:val="5A5A5A"/>
      <w:spacing w:val="15"/>
    </w:rPr>
  </w:style>
  <w:style w:type="character" w:customStyle="1" w:styleId="SubtitleChar">
    <w:name w:val="Subtitle Char"/>
    <w:link w:val="Subtitle"/>
    <w:uiPriority w:val="11"/>
    <w:rsid w:val="00300D09"/>
    <w:rPr>
      <w:color w:val="5A5A5A"/>
      <w:spacing w:val="15"/>
      <w:sz w:val="24"/>
      <w:szCs w:val="24"/>
      <w:lang w:eastAsia="en-US"/>
    </w:rPr>
  </w:style>
  <w:style w:type="paragraph" w:styleId="TOCHeading">
    <w:name w:val="TOC Heading"/>
    <w:basedOn w:val="Heading1"/>
    <w:next w:val="Normal"/>
    <w:uiPriority w:val="39"/>
    <w:unhideWhenUsed/>
    <w:qFormat/>
    <w:rsid w:val="00300D09"/>
    <w:pPr>
      <w:keepLines/>
      <w:autoSpaceDE/>
      <w:autoSpaceDN/>
      <w:adjustRightInd/>
      <w:jc w:val="center"/>
      <w:outlineLvl w:val="9"/>
    </w:pPr>
    <w:rPr>
      <w:b w:val="0"/>
      <w:bCs w:val="0"/>
      <w:szCs w:val="32"/>
      <w:lang w:val="en-US"/>
    </w:rPr>
  </w:style>
  <w:style w:type="paragraph" w:customStyle="1" w:styleId="western">
    <w:name w:val="western"/>
    <w:basedOn w:val="Normal"/>
    <w:rsid w:val="00B56EFE"/>
    <w:pPr>
      <w:spacing w:before="100" w:beforeAutospacing="1" w:after="100" w:afterAutospacing="1"/>
      <w:jc w:val="left"/>
    </w:pPr>
    <w:rPr>
      <w:rFonts w:ascii="Times New Roman" w:hAnsi="Times New Roman"/>
      <w:lang w:eastAsia="en-GB"/>
    </w:rPr>
  </w:style>
  <w:style w:type="character" w:styleId="Emphasis">
    <w:name w:val="Emphasis"/>
    <w:uiPriority w:val="20"/>
    <w:qFormat/>
    <w:rsid w:val="00820579"/>
    <w:rPr>
      <w:i/>
      <w:iCs/>
    </w:rPr>
  </w:style>
  <w:style w:type="character" w:styleId="CommentReference">
    <w:name w:val="annotation reference"/>
    <w:basedOn w:val="DefaultParagraphFont"/>
    <w:uiPriority w:val="99"/>
    <w:semiHidden/>
    <w:unhideWhenUsed/>
    <w:rsid w:val="00BB3A62"/>
    <w:rPr>
      <w:sz w:val="16"/>
      <w:szCs w:val="16"/>
    </w:rPr>
  </w:style>
  <w:style w:type="paragraph" w:styleId="CommentText">
    <w:name w:val="annotation text"/>
    <w:basedOn w:val="Normal"/>
    <w:link w:val="CommentTextChar"/>
    <w:uiPriority w:val="99"/>
    <w:semiHidden/>
    <w:unhideWhenUsed/>
    <w:rsid w:val="00BB3A62"/>
    <w:rPr>
      <w:sz w:val="20"/>
      <w:szCs w:val="20"/>
    </w:rPr>
  </w:style>
  <w:style w:type="character" w:customStyle="1" w:styleId="CommentTextChar">
    <w:name w:val="Comment Text Char"/>
    <w:basedOn w:val="DefaultParagraphFont"/>
    <w:link w:val="CommentText"/>
    <w:uiPriority w:val="99"/>
    <w:semiHidden/>
    <w:rsid w:val="00BB3A6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B3A62"/>
    <w:rPr>
      <w:b/>
      <w:bCs/>
    </w:rPr>
  </w:style>
  <w:style w:type="character" w:customStyle="1" w:styleId="CommentSubjectChar">
    <w:name w:val="Comment Subject Char"/>
    <w:basedOn w:val="CommentTextChar"/>
    <w:link w:val="CommentSubject"/>
    <w:uiPriority w:val="99"/>
    <w:semiHidden/>
    <w:rsid w:val="00BB3A62"/>
    <w:rPr>
      <w:rFonts w:ascii="Arial" w:hAnsi="Arial"/>
      <w:b/>
      <w:bCs/>
      <w:lang w:eastAsia="en-US"/>
    </w:rPr>
  </w:style>
  <w:style w:type="paragraph" w:customStyle="1" w:styleId="XClause1Head">
    <w:name w:val="XClause1Head"/>
    <w:basedOn w:val="Normal"/>
    <w:rsid w:val="00F141AD"/>
    <w:pPr>
      <w:numPr>
        <w:numId w:val="20"/>
      </w:numPr>
      <w:spacing w:after="240" w:line="360" w:lineRule="atLeast"/>
    </w:pPr>
    <w:rPr>
      <w:rFonts w:ascii="Times New Roman" w:hAnsi="Times New Roman"/>
      <w:szCs w:val="20"/>
      <w:lang w:val="en-ZA" w:eastAsia="en-GB"/>
    </w:rPr>
  </w:style>
  <w:style w:type="paragraph" w:customStyle="1" w:styleId="XClause2Sub">
    <w:name w:val="XClause2Sub"/>
    <w:basedOn w:val="Normal"/>
    <w:rsid w:val="00F141AD"/>
    <w:pPr>
      <w:numPr>
        <w:ilvl w:val="1"/>
        <w:numId w:val="20"/>
      </w:numPr>
      <w:spacing w:after="240" w:line="360" w:lineRule="atLeast"/>
    </w:pPr>
    <w:rPr>
      <w:rFonts w:ascii="Times New Roman" w:hAnsi="Times New Roman"/>
      <w:szCs w:val="20"/>
      <w:lang w:val="en-ZA" w:eastAsia="en-GB"/>
    </w:rPr>
  </w:style>
  <w:style w:type="paragraph" w:customStyle="1" w:styleId="XClause3Sub">
    <w:name w:val="XClause3Sub"/>
    <w:basedOn w:val="Normal"/>
    <w:rsid w:val="00F141AD"/>
    <w:pPr>
      <w:numPr>
        <w:ilvl w:val="2"/>
        <w:numId w:val="20"/>
      </w:numPr>
    </w:pPr>
    <w:rPr>
      <w:rFonts w:ascii="Times New Roman" w:hAnsi="Times New Roman"/>
      <w:szCs w:val="20"/>
      <w:lang w:val="en-ZA" w:eastAsia="en-GB"/>
    </w:rPr>
  </w:style>
  <w:style w:type="paragraph" w:customStyle="1" w:styleId="XClause4Sub">
    <w:name w:val="XClause4Sub"/>
    <w:basedOn w:val="Normal"/>
    <w:rsid w:val="00F141AD"/>
    <w:pPr>
      <w:numPr>
        <w:ilvl w:val="3"/>
        <w:numId w:val="20"/>
      </w:numPr>
    </w:pPr>
    <w:rPr>
      <w:rFonts w:ascii="Times New Roman" w:hAnsi="Times New Roman"/>
      <w:szCs w:val="20"/>
      <w:lang w:val="en-ZA" w:eastAsia="en-GB"/>
    </w:rPr>
  </w:style>
  <w:style w:type="paragraph" w:customStyle="1" w:styleId="XClause5Sub">
    <w:name w:val="XClause5Sub"/>
    <w:basedOn w:val="Normal"/>
    <w:rsid w:val="00F141AD"/>
    <w:pPr>
      <w:numPr>
        <w:ilvl w:val="4"/>
        <w:numId w:val="20"/>
      </w:numPr>
    </w:pPr>
    <w:rPr>
      <w:rFonts w:ascii="Times New Roman" w:hAnsi="Times New Roman"/>
      <w:szCs w:val="20"/>
      <w:lang w:val="en-ZA" w:eastAsia="en-GB"/>
    </w:rPr>
  </w:style>
  <w:style w:type="paragraph" w:customStyle="1" w:styleId="XClause6Sub">
    <w:name w:val="XClause6Sub"/>
    <w:basedOn w:val="Normal"/>
    <w:rsid w:val="00F141AD"/>
    <w:pPr>
      <w:numPr>
        <w:ilvl w:val="5"/>
        <w:numId w:val="20"/>
      </w:numPr>
    </w:pPr>
    <w:rPr>
      <w:rFonts w:ascii="Times New Roman" w:hAnsi="Times New Roman"/>
      <w:szCs w:val="20"/>
      <w:lang w:val="en-ZA" w:eastAsia="en-GB"/>
    </w:rPr>
  </w:style>
  <w:style w:type="paragraph" w:customStyle="1" w:styleId="XClause7Sub">
    <w:name w:val="XClause7Sub"/>
    <w:basedOn w:val="Normal"/>
    <w:rsid w:val="00F141AD"/>
    <w:pPr>
      <w:numPr>
        <w:ilvl w:val="6"/>
        <w:numId w:val="20"/>
      </w:numPr>
    </w:pPr>
    <w:rPr>
      <w:rFonts w:ascii="Times New Roman" w:hAnsi="Times New Roman"/>
      <w:szCs w:val="20"/>
      <w:lang w:val="en-ZA" w:eastAsia="en-GB"/>
    </w:rPr>
  </w:style>
  <w:style w:type="paragraph" w:customStyle="1" w:styleId="XClause8Sub">
    <w:name w:val="XClause8Sub"/>
    <w:basedOn w:val="Normal"/>
    <w:rsid w:val="00F141AD"/>
    <w:pPr>
      <w:numPr>
        <w:ilvl w:val="7"/>
        <w:numId w:val="20"/>
      </w:numPr>
    </w:pPr>
    <w:rPr>
      <w:rFonts w:ascii="Times New Roman" w:hAnsi="Times New Roman"/>
      <w:szCs w:val="20"/>
      <w:lang w:val="en-ZA" w:eastAsia="en-GB"/>
    </w:rPr>
  </w:style>
  <w:style w:type="paragraph" w:customStyle="1" w:styleId="XClause9Sub">
    <w:name w:val="XClause9Sub"/>
    <w:basedOn w:val="Normal"/>
    <w:rsid w:val="00F141AD"/>
    <w:pPr>
      <w:numPr>
        <w:ilvl w:val="8"/>
        <w:numId w:val="20"/>
      </w:numPr>
    </w:pPr>
    <w:rPr>
      <w:rFonts w:ascii="Times New Roman" w:hAnsi="Times New Roman"/>
      <w:szCs w:val="20"/>
      <w:lang w:val="en-ZA" w:eastAsia="en-GB"/>
    </w:rPr>
  </w:style>
  <w:style w:type="paragraph" w:customStyle="1" w:styleId="Annexures">
    <w:name w:val="Annexures"/>
    <w:basedOn w:val="Normal"/>
    <w:next w:val="Normal"/>
    <w:rsid w:val="00F141AD"/>
    <w:pPr>
      <w:numPr>
        <w:numId w:val="19"/>
      </w:numPr>
      <w:jc w:val="right"/>
    </w:pPr>
    <w:rPr>
      <w:rFonts w:ascii="Times New Roman" w:hAnsi="Times New Roman"/>
      <w:b/>
      <w:lang w:val="en-ZA" w:eastAsia="en-GB"/>
    </w:rPr>
  </w:style>
  <w:style w:type="paragraph" w:customStyle="1" w:styleId="Default">
    <w:name w:val="Default"/>
    <w:rsid w:val="00F141AD"/>
    <w:pPr>
      <w:autoSpaceDE w:val="0"/>
      <w:autoSpaceDN w:val="0"/>
      <w:adjustRightInd w:val="0"/>
    </w:pPr>
    <w:rPr>
      <w:rFonts w:ascii="Times New Roman" w:hAnsi="Times New Roman"/>
      <w:color w:val="000000"/>
      <w:sz w:val="24"/>
      <w:szCs w:val="24"/>
      <w:lang w:eastAsia="en-US"/>
    </w:rPr>
  </w:style>
  <w:style w:type="paragraph" w:customStyle="1" w:styleId="Myown">
    <w:name w:val="My own"/>
    <w:basedOn w:val="Normal"/>
    <w:rsid w:val="00944518"/>
    <w:pPr>
      <w:numPr>
        <w:numId w:val="21"/>
      </w:numPr>
      <w:spacing w:before="240" w:after="240" w:line="480" w:lineRule="auto"/>
    </w:pPr>
    <w:rPr>
      <w:lang w:val="en-ZA"/>
    </w:rPr>
  </w:style>
  <w:style w:type="paragraph" w:styleId="Revision">
    <w:name w:val="Revision"/>
    <w:hidden/>
    <w:uiPriority w:val="99"/>
    <w:semiHidden/>
    <w:rsid w:val="00E45943"/>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15225893">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44214132">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394743514">
      <w:bodyDiv w:val="1"/>
      <w:marLeft w:val="0"/>
      <w:marRight w:val="0"/>
      <w:marTop w:val="0"/>
      <w:marBottom w:val="0"/>
      <w:divBdr>
        <w:top w:val="none" w:sz="0" w:space="0" w:color="auto"/>
        <w:left w:val="none" w:sz="0" w:space="0" w:color="auto"/>
        <w:bottom w:val="none" w:sz="0" w:space="0" w:color="auto"/>
        <w:right w:val="none" w:sz="0" w:space="0" w:color="auto"/>
      </w:divBdr>
      <w:divsChild>
        <w:div w:id="204324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778061266">
          <w:blockQuote w:val="1"/>
          <w:marLeft w:val="720"/>
          <w:marRight w:val="720"/>
          <w:marTop w:val="100"/>
          <w:marBottom w:val="100"/>
          <w:divBdr>
            <w:top w:val="none" w:sz="0" w:space="0" w:color="auto"/>
            <w:left w:val="none" w:sz="0" w:space="0" w:color="auto"/>
            <w:bottom w:val="none" w:sz="0" w:space="0" w:color="auto"/>
            <w:right w:val="none" w:sz="0" w:space="0" w:color="auto"/>
          </w:divBdr>
        </w:div>
        <w:div w:id="514998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9695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302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1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3090">
          <w:blockQuote w:val="1"/>
          <w:marLeft w:val="720"/>
          <w:marRight w:val="720"/>
          <w:marTop w:val="100"/>
          <w:marBottom w:val="100"/>
          <w:divBdr>
            <w:top w:val="none" w:sz="0" w:space="0" w:color="auto"/>
            <w:left w:val="none" w:sz="0" w:space="0" w:color="auto"/>
            <w:bottom w:val="none" w:sz="0" w:space="0" w:color="auto"/>
            <w:right w:val="none" w:sz="0" w:space="0" w:color="auto"/>
          </w:divBdr>
        </w:div>
        <w:div w:id="742141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93366436">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31490510">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37449691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560751684">
      <w:bodyDiv w:val="1"/>
      <w:marLeft w:val="0"/>
      <w:marRight w:val="0"/>
      <w:marTop w:val="0"/>
      <w:marBottom w:val="0"/>
      <w:divBdr>
        <w:top w:val="none" w:sz="0" w:space="0" w:color="auto"/>
        <w:left w:val="none" w:sz="0" w:space="0" w:color="auto"/>
        <w:bottom w:val="none" w:sz="0" w:space="0" w:color="auto"/>
        <w:right w:val="none" w:sz="0" w:space="0" w:color="auto"/>
      </w:divBdr>
    </w:div>
    <w:div w:id="1635212905">
      <w:bodyDiv w:val="1"/>
      <w:marLeft w:val="0"/>
      <w:marRight w:val="0"/>
      <w:marTop w:val="0"/>
      <w:marBottom w:val="0"/>
      <w:divBdr>
        <w:top w:val="none" w:sz="0" w:space="0" w:color="auto"/>
        <w:left w:val="none" w:sz="0" w:space="0" w:color="auto"/>
        <w:bottom w:val="none" w:sz="0" w:space="0" w:color="auto"/>
        <w:right w:val="none" w:sz="0" w:space="0" w:color="auto"/>
      </w:divBdr>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760709887">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23761642">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 w:id="2114930877">
      <w:bodyDiv w:val="1"/>
      <w:marLeft w:val="0"/>
      <w:marRight w:val="0"/>
      <w:marTop w:val="0"/>
      <w:marBottom w:val="0"/>
      <w:divBdr>
        <w:top w:val="none" w:sz="0" w:space="0" w:color="auto"/>
        <w:left w:val="none" w:sz="0" w:space="0" w:color="auto"/>
        <w:bottom w:val="none" w:sz="0" w:space="0" w:color="auto"/>
        <w:right w:val="none" w:sz="0" w:space="0" w:color="auto"/>
      </w:divBdr>
      <w:divsChild>
        <w:div w:id="471597676">
          <w:marLeft w:val="0"/>
          <w:marRight w:val="0"/>
          <w:marTop w:val="0"/>
          <w:marBottom w:val="0"/>
          <w:divBdr>
            <w:top w:val="none" w:sz="0" w:space="0" w:color="auto"/>
            <w:left w:val="none" w:sz="0" w:space="0" w:color="auto"/>
            <w:bottom w:val="none" w:sz="0" w:space="0" w:color="auto"/>
            <w:right w:val="none" w:sz="0" w:space="0" w:color="auto"/>
          </w:divBdr>
          <w:divsChild>
            <w:div w:id="1629513085">
              <w:marLeft w:val="0"/>
              <w:marRight w:val="0"/>
              <w:marTop w:val="0"/>
              <w:marBottom w:val="0"/>
              <w:divBdr>
                <w:top w:val="none" w:sz="0" w:space="0" w:color="auto"/>
                <w:left w:val="none" w:sz="0" w:space="0" w:color="auto"/>
                <w:bottom w:val="none" w:sz="0" w:space="0" w:color="auto"/>
                <w:right w:val="none" w:sz="0" w:space="0" w:color="auto"/>
              </w:divBdr>
              <w:divsChild>
                <w:div w:id="8917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saflii.org/cgi-bin/LawCite?cit=1927%20TPD%20524" TargetMode="External"/><Relationship Id="rId7" Type="http://schemas.openxmlformats.org/officeDocument/2006/relationships/hyperlink" Target="https://www.saflii.org/cgi-bin/LawCite?cit=1957%20%282%29%20SA%20382" TargetMode="External"/><Relationship Id="rId2" Type="http://schemas.openxmlformats.org/officeDocument/2006/relationships/hyperlink" Target="https://www.saflii.org/cgi-bin/LawCite?cit=1948%20%281%29%20SA%20413" TargetMode="External"/><Relationship Id="rId1" Type="http://schemas.openxmlformats.org/officeDocument/2006/relationships/hyperlink" Target="https://www.saflii.org/cgi-bin/LawCite?cit=1982%20%282%29%20SA%201" TargetMode="External"/><Relationship Id="rId6" Type="http://schemas.openxmlformats.org/officeDocument/2006/relationships/hyperlink" Target="https://www.saflii.org/cgi-bin/LawCite?cit=2005%20%286%29%20SA%20273" TargetMode="External"/><Relationship Id="rId5" Type="http://schemas.openxmlformats.org/officeDocument/2006/relationships/hyperlink" Target="https://www.saflii.org/cgi-bin/LawCite?cit=1963%20%281%29%20SA%20632" TargetMode="External"/><Relationship Id="rId4" Type="http://schemas.openxmlformats.org/officeDocument/2006/relationships/hyperlink" Target="https://www.saflii.org/cgi-bin/LawCite?cit=1952%20%283%29%20SA%205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Desktop\Judgment.dot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EE0FA-F383-4BCE-A840-DE5C17C6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1</TotalTime>
  <Pages>24</Pages>
  <Words>5676</Words>
  <Characters>32357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cp:lastModifiedBy>Lilitha Mdleleni</cp:lastModifiedBy>
  <cp:revision>3</cp:revision>
  <cp:lastPrinted>2019-03-18T05:48:00Z</cp:lastPrinted>
  <dcterms:created xsi:type="dcterms:W3CDTF">2023-12-08T13:13:00Z</dcterms:created>
  <dcterms:modified xsi:type="dcterms:W3CDTF">2023-12-11T07:47:00Z</dcterms:modified>
</cp:coreProperties>
</file>