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B7AC" w14:textId="77777777" w:rsidR="00300D09" w:rsidRDefault="00300D09" w:rsidP="00300D09">
      <w:pPr>
        <w:jc w:val="center"/>
        <w:rPr>
          <w:rFonts w:cs="Arial"/>
          <w:b/>
          <w:bCs/>
          <w:lang w:eastAsia="en-GB"/>
        </w:rPr>
      </w:pPr>
      <w:r w:rsidRPr="009624B9">
        <w:rPr>
          <w:rFonts w:cs="Arial"/>
          <w:b/>
          <w:bCs/>
          <w:lang w:eastAsia="en-GB"/>
        </w:rPr>
        <w:t>REPUBLIC OF SOUTH AFRICA</w:t>
      </w:r>
    </w:p>
    <w:p w14:paraId="6488FAAB" w14:textId="77777777" w:rsidR="00120EA2" w:rsidRPr="009624B9" w:rsidRDefault="00120EA2" w:rsidP="00300D09">
      <w:pPr>
        <w:jc w:val="center"/>
        <w:rPr>
          <w:rFonts w:cs="Arial"/>
          <w:b/>
          <w:bCs/>
          <w:lang w:eastAsia="en-GB"/>
        </w:rPr>
      </w:pPr>
    </w:p>
    <w:p w14:paraId="3D04FE07" w14:textId="77777777" w:rsidR="006E45F7" w:rsidRPr="009624B9" w:rsidRDefault="006E45F7" w:rsidP="00300D09">
      <w:pPr>
        <w:jc w:val="center"/>
        <w:rPr>
          <w:rFonts w:cs="Arial"/>
          <w:lang w:eastAsia="en-GB"/>
        </w:rPr>
      </w:pPr>
    </w:p>
    <w:p w14:paraId="03922365" w14:textId="77777777" w:rsidR="00300D09" w:rsidRDefault="00033914" w:rsidP="00300D09">
      <w:pPr>
        <w:jc w:val="center"/>
        <w:rPr>
          <w:rFonts w:cs="Arial"/>
          <w:lang w:eastAsia="en-GB"/>
        </w:rPr>
      </w:pPr>
      <w:r w:rsidRPr="009624B9">
        <w:rPr>
          <w:rFonts w:cs="Arial"/>
          <w:noProof/>
          <w:lang w:val="en-ZA" w:eastAsia="en-ZA"/>
        </w:rPr>
        <w:drawing>
          <wp:inline distT="0" distB="0" distL="0" distR="0" wp14:anchorId="3DFFBDCB" wp14:editId="1720E61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F7BA41" w14:textId="77777777" w:rsidR="00120EA2" w:rsidRPr="009624B9" w:rsidRDefault="00120EA2" w:rsidP="00300D09">
      <w:pPr>
        <w:jc w:val="center"/>
        <w:rPr>
          <w:rFonts w:cs="Arial"/>
          <w:lang w:eastAsia="en-GB"/>
        </w:rPr>
      </w:pPr>
    </w:p>
    <w:p w14:paraId="18648CCC" w14:textId="77777777" w:rsidR="006E45F7" w:rsidRPr="009624B9" w:rsidRDefault="006E45F7" w:rsidP="00300D09">
      <w:pPr>
        <w:jc w:val="center"/>
        <w:rPr>
          <w:rFonts w:cs="Arial"/>
          <w:lang w:eastAsia="en-GB"/>
        </w:rPr>
      </w:pPr>
      <w:bookmarkStart w:id="0" w:name="_Hlk108598857"/>
    </w:p>
    <w:p w14:paraId="647A1CF0" w14:textId="77777777" w:rsidR="00300D09" w:rsidRPr="009624B9" w:rsidRDefault="00300D09" w:rsidP="00300D09">
      <w:pPr>
        <w:jc w:val="center"/>
        <w:rPr>
          <w:rFonts w:cs="Arial"/>
          <w:b/>
          <w:bCs/>
          <w:lang w:eastAsia="en-GB"/>
        </w:rPr>
      </w:pPr>
      <w:r w:rsidRPr="009624B9">
        <w:rPr>
          <w:rFonts w:cs="Arial"/>
          <w:b/>
          <w:bCs/>
          <w:lang w:eastAsia="en-GB"/>
        </w:rPr>
        <w:t>IN THE HIGH COURT OF SOUTH AFRICA</w:t>
      </w:r>
    </w:p>
    <w:p w14:paraId="3BB5112F" w14:textId="0AA7D9D5" w:rsidR="00300D09" w:rsidRDefault="00300D09" w:rsidP="00300D09">
      <w:pPr>
        <w:jc w:val="center"/>
        <w:rPr>
          <w:rFonts w:cs="Arial"/>
          <w:b/>
          <w:bCs/>
          <w:lang w:eastAsia="en-GB"/>
        </w:rPr>
      </w:pPr>
      <w:r w:rsidRPr="009624B9">
        <w:rPr>
          <w:rFonts w:cs="Arial"/>
          <w:b/>
          <w:bCs/>
          <w:lang w:eastAsia="en-GB"/>
        </w:rPr>
        <w:t xml:space="preserve">GAUTENG DIVISION, </w:t>
      </w:r>
      <w:r w:rsidR="00682D2A" w:rsidRPr="009624B9">
        <w:rPr>
          <w:rFonts w:cs="Arial"/>
          <w:b/>
          <w:bCs/>
          <w:lang w:eastAsia="en-GB"/>
        </w:rPr>
        <w:t xml:space="preserve">JOHANNESBURG </w:t>
      </w:r>
    </w:p>
    <w:p w14:paraId="6400B64C" w14:textId="77777777" w:rsidR="00120EA2" w:rsidRPr="009624B9" w:rsidRDefault="00120EA2" w:rsidP="00300D09">
      <w:pPr>
        <w:jc w:val="center"/>
        <w:rPr>
          <w:rFonts w:cs="Arial"/>
          <w:b/>
          <w:bCs/>
          <w:lang w:eastAsia="en-GB"/>
        </w:rPr>
      </w:pPr>
    </w:p>
    <w:p w14:paraId="2C61046D" w14:textId="77777777" w:rsidR="00300D09" w:rsidRPr="009624B9" w:rsidRDefault="00300D09" w:rsidP="00300D09">
      <w:pPr>
        <w:tabs>
          <w:tab w:val="left" w:pos="4917"/>
        </w:tabs>
        <w:jc w:val="right"/>
        <w:rPr>
          <w:rFonts w:cs="Arial"/>
          <w:b/>
          <w:sz w:val="28"/>
          <w:szCs w:val="28"/>
          <w:u w:val="single"/>
        </w:rPr>
      </w:pPr>
    </w:p>
    <w:p w14:paraId="20F3A6F6" w14:textId="112A5128" w:rsidR="00BB3A62" w:rsidRDefault="00BB3A62" w:rsidP="00BB3A62">
      <w:pPr>
        <w:jc w:val="right"/>
        <w:outlineLvl w:val="0"/>
        <w:rPr>
          <w:rFonts w:cs="Arial"/>
          <w:b/>
        </w:rPr>
      </w:pPr>
      <w:r w:rsidRPr="009624B9">
        <w:rPr>
          <w:rFonts w:cs="Arial"/>
          <w:b/>
        </w:rPr>
        <w:t xml:space="preserve">Case No: </w:t>
      </w:r>
      <w:r w:rsidR="00B81404">
        <w:rPr>
          <w:rFonts w:cs="Arial"/>
          <w:b/>
        </w:rPr>
        <w:t>2023/062380</w:t>
      </w:r>
    </w:p>
    <w:p w14:paraId="3094EEBA" w14:textId="77777777" w:rsidR="00120EA2" w:rsidRPr="009624B9" w:rsidRDefault="00120EA2" w:rsidP="00BB3A62">
      <w:pPr>
        <w:jc w:val="right"/>
        <w:outlineLvl w:val="0"/>
        <w:rPr>
          <w:rFonts w:cs="Arial"/>
          <w:b/>
        </w:rPr>
      </w:pPr>
    </w:p>
    <w:p w14:paraId="3E58EB48" w14:textId="77777777" w:rsidR="00BB3A62" w:rsidRPr="009624B9" w:rsidRDefault="00BB3A62" w:rsidP="00BB3A62">
      <w:pPr>
        <w:jc w:val="right"/>
        <w:rPr>
          <w:rFonts w:cs="Arial"/>
        </w:rPr>
      </w:pPr>
      <w:r w:rsidRPr="009624B9">
        <w:rPr>
          <w:rFonts w:cs="Arial"/>
          <w:noProof/>
          <w:lang w:val="en-ZA" w:eastAsia="en-ZA"/>
        </w:rPr>
        <mc:AlternateContent>
          <mc:Choice Requires="wps">
            <w:drawing>
              <wp:anchor distT="0" distB="0" distL="114300" distR="114300" simplePos="0" relativeHeight="251671552" behindDoc="0" locked="0" layoutInCell="1" allowOverlap="1" wp14:anchorId="6428F0C7" wp14:editId="11A9E101">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1FF533FB" w14:textId="77777777" w:rsidR="008C5C40" w:rsidRPr="004120A8" w:rsidRDefault="008C5C40" w:rsidP="00BB3A62">
                            <w:pPr>
                              <w:jc w:val="center"/>
                              <w:rPr>
                                <w:rFonts w:ascii="Century Gothic" w:hAnsi="Century Gothic"/>
                                <w:b/>
                                <w:sz w:val="2"/>
                                <w:szCs w:val="18"/>
                              </w:rPr>
                            </w:pPr>
                          </w:p>
                          <w:p w14:paraId="1CD7E274" w14:textId="70C2CB30" w:rsidR="008C5C40" w:rsidRPr="004120A8" w:rsidRDefault="00C464EC" w:rsidP="00C464E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C5C40">
                              <w:rPr>
                                <w:rFonts w:ascii="Century Gothic" w:hAnsi="Century Gothic"/>
                                <w:sz w:val="18"/>
                                <w:szCs w:val="18"/>
                              </w:rPr>
                              <w:t>REPORTABLE:  NO</w:t>
                            </w:r>
                          </w:p>
                          <w:p w14:paraId="21172D72" w14:textId="0C8BF857" w:rsidR="008C5C40" w:rsidRPr="004120A8" w:rsidRDefault="00C464EC" w:rsidP="00C464E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C5C40" w:rsidRPr="004120A8">
                              <w:rPr>
                                <w:rFonts w:ascii="Century Gothic" w:hAnsi="Century Gothic"/>
                                <w:sz w:val="18"/>
                                <w:szCs w:val="18"/>
                              </w:rPr>
                              <w:t>O</w:t>
                            </w:r>
                            <w:r w:rsidR="008C5C40">
                              <w:rPr>
                                <w:rFonts w:ascii="Century Gothic" w:hAnsi="Century Gothic"/>
                                <w:sz w:val="18"/>
                                <w:szCs w:val="18"/>
                              </w:rPr>
                              <w:t>F INTEREST TO OTHER JUDGES:  NO</w:t>
                            </w:r>
                          </w:p>
                          <w:p w14:paraId="113735D3" w14:textId="2DD62D13" w:rsidR="008C5C40" w:rsidRPr="004120A8" w:rsidRDefault="00C464EC" w:rsidP="00C464E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C5C40" w:rsidRPr="004120A8">
                              <w:rPr>
                                <w:rFonts w:ascii="Century Gothic" w:hAnsi="Century Gothic"/>
                                <w:sz w:val="18"/>
                                <w:szCs w:val="18"/>
                              </w:rPr>
                              <w:t xml:space="preserve">REVISED. </w:t>
                            </w:r>
                          </w:p>
                          <w:p w14:paraId="0E18971A" w14:textId="77777777" w:rsidR="008C5C40" w:rsidRPr="004120A8" w:rsidRDefault="008C5C40" w:rsidP="00BB3A62">
                            <w:pPr>
                              <w:rPr>
                                <w:rFonts w:ascii="Century Gothic" w:hAnsi="Century Gothic"/>
                                <w:b/>
                                <w:sz w:val="18"/>
                                <w:szCs w:val="18"/>
                              </w:rPr>
                            </w:pPr>
                          </w:p>
                          <w:p w14:paraId="606983CE" w14:textId="77777777" w:rsidR="008C5C40" w:rsidRPr="004120A8" w:rsidRDefault="008C5C40" w:rsidP="00BB3A6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4AF25AFD" w14:textId="77777777" w:rsidR="008C5C40" w:rsidRPr="004120A8" w:rsidRDefault="008C5C40" w:rsidP="00BB3A6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E997DFE" w14:textId="77777777" w:rsidR="008C5C40" w:rsidRPr="004120A8" w:rsidRDefault="008C5C40" w:rsidP="00BB3A6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0C7"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HBbCBvhAAAACgEAAA8A&#10;AABkcnMvZG93bnJldi54bWxMj8FOwzAMhu9IvENkJC5oS7fRdit1J4QEghsMBNes9dqKxClJ1pW3&#10;J5zgaPvT7+8vt5PRYiTne8sIi3kCgri2Tc8twtvr/WwNwgfFjdKWCeGbPGyr87NSFY098QuNu9CK&#10;GMK+UAhdCEMhpa87MsrP7UAcbwfrjApxdK1snDrFcKPlMkkyaVTP8UOnBrrrqP7cHQ3C+vpx/PBP&#10;q+f3OjvoTbjKx4cvh3h5Md3egAg0hT8YfvWjOlTRaW+P3HihEWaLLI0owirfgIhAmqRxsUdYplkO&#10;sirl/wrVDwAAAP//AwBQSwECLQAUAAYACAAAACEAtoM4kv4AAADhAQAAEwAAAAAAAAAAAAAAAAAA&#10;AAAAW0NvbnRlbnRfVHlwZXNdLnhtbFBLAQItABQABgAIAAAAIQA4/SH/1gAAAJQBAAALAAAAAAAA&#10;AAAAAAAAAC8BAABfcmVscy8ucmVsc1BLAQItABQABgAIAAAAIQCrhMAzNwIAAHUEAAAOAAAAAAAA&#10;AAAAAAAAAC4CAABkcnMvZTJvRG9jLnhtbFBLAQItABQABgAIAAAAIQBwWwgb4QAAAAoBAAAPAAAA&#10;AAAAAAAAAAAAAJEEAABkcnMvZG93bnJldi54bWxQSwUGAAAAAAQABADzAAAAnwUAAAAA&#10;">
                <o:lock v:ext="edit" aspectratio="t" verticies="t" text="t" shapetype="t"/>
                <v:textbox>
                  <w:txbxContent>
                    <w:p w14:paraId="1FF533FB" w14:textId="77777777" w:rsidR="008C5C40" w:rsidRPr="004120A8" w:rsidRDefault="008C5C40" w:rsidP="00BB3A62">
                      <w:pPr>
                        <w:jc w:val="center"/>
                        <w:rPr>
                          <w:rFonts w:ascii="Century Gothic" w:hAnsi="Century Gothic"/>
                          <w:b/>
                          <w:sz w:val="2"/>
                          <w:szCs w:val="18"/>
                        </w:rPr>
                      </w:pPr>
                    </w:p>
                    <w:p w14:paraId="1CD7E274" w14:textId="70C2CB30" w:rsidR="008C5C40" w:rsidRPr="004120A8" w:rsidRDefault="00C464EC" w:rsidP="00C464E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C5C40">
                        <w:rPr>
                          <w:rFonts w:ascii="Century Gothic" w:hAnsi="Century Gothic"/>
                          <w:sz w:val="18"/>
                          <w:szCs w:val="18"/>
                        </w:rPr>
                        <w:t>REPORTABLE:  NO</w:t>
                      </w:r>
                    </w:p>
                    <w:p w14:paraId="21172D72" w14:textId="0C8BF857" w:rsidR="008C5C40" w:rsidRPr="004120A8" w:rsidRDefault="00C464EC" w:rsidP="00C464E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C5C40" w:rsidRPr="004120A8">
                        <w:rPr>
                          <w:rFonts w:ascii="Century Gothic" w:hAnsi="Century Gothic"/>
                          <w:sz w:val="18"/>
                          <w:szCs w:val="18"/>
                        </w:rPr>
                        <w:t>O</w:t>
                      </w:r>
                      <w:r w:rsidR="008C5C40">
                        <w:rPr>
                          <w:rFonts w:ascii="Century Gothic" w:hAnsi="Century Gothic"/>
                          <w:sz w:val="18"/>
                          <w:szCs w:val="18"/>
                        </w:rPr>
                        <w:t>F INTEREST TO OTHER JUDGES:  NO</w:t>
                      </w:r>
                    </w:p>
                    <w:p w14:paraId="113735D3" w14:textId="2DD62D13" w:rsidR="008C5C40" w:rsidRPr="004120A8" w:rsidRDefault="00C464EC" w:rsidP="00C464E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C5C40" w:rsidRPr="004120A8">
                        <w:rPr>
                          <w:rFonts w:ascii="Century Gothic" w:hAnsi="Century Gothic"/>
                          <w:sz w:val="18"/>
                          <w:szCs w:val="18"/>
                        </w:rPr>
                        <w:t xml:space="preserve">REVISED. </w:t>
                      </w:r>
                    </w:p>
                    <w:p w14:paraId="0E18971A" w14:textId="77777777" w:rsidR="008C5C40" w:rsidRPr="004120A8" w:rsidRDefault="008C5C40" w:rsidP="00BB3A62">
                      <w:pPr>
                        <w:rPr>
                          <w:rFonts w:ascii="Century Gothic" w:hAnsi="Century Gothic"/>
                          <w:b/>
                          <w:sz w:val="18"/>
                          <w:szCs w:val="18"/>
                        </w:rPr>
                      </w:pPr>
                    </w:p>
                    <w:p w14:paraId="606983CE" w14:textId="77777777" w:rsidR="008C5C40" w:rsidRPr="004120A8" w:rsidRDefault="008C5C40" w:rsidP="00BB3A6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4AF25AFD" w14:textId="77777777" w:rsidR="008C5C40" w:rsidRPr="004120A8" w:rsidRDefault="008C5C40" w:rsidP="00BB3A6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E997DFE" w14:textId="77777777" w:rsidR="008C5C40" w:rsidRPr="004120A8" w:rsidRDefault="008C5C40" w:rsidP="00BB3A62">
                      <w:pPr>
                        <w:rPr>
                          <w:rFonts w:ascii="Century Gothic" w:hAnsi="Century Gothic"/>
                          <w:b/>
                          <w:sz w:val="2"/>
                          <w:szCs w:val="18"/>
                        </w:rPr>
                      </w:pPr>
                    </w:p>
                  </w:txbxContent>
                </v:textbox>
              </v:shape>
            </w:pict>
          </mc:Fallback>
        </mc:AlternateContent>
      </w:r>
    </w:p>
    <w:p w14:paraId="744700AB" w14:textId="77777777" w:rsidR="00BB3A62" w:rsidRPr="009624B9" w:rsidRDefault="00BB3A62" w:rsidP="00BB3A62">
      <w:pPr>
        <w:jc w:val="right"/>
        <w:rPr>
          <w:rFonts w:cs="Arial"/>
          <w:b/>
        </w:rPr>
      </w:pPr>
    </w:p>
    <w:p w14:paraId="62F1A651" w14:textId="77777777" w:rsidR="00BB3A62" w:rsidRPr="009624B9" w:rsidRDefault="00BB3A62" w:rsidP="00BB3A62">
      <w:pPr>
        <w:jc w:val="left"/>
        <w:rPr>
          <w:rFonts w:cs="Arial"/>
          <w:u w:val="single"/>
        </w:rPr>
      </w:pPr>
    </w:p>
    <w:p w14:paraId="6B86578D" w14:textId="77777777" w:rsidR="00BB3A62" w:rsidRPr="009624B9" w:rsidRDefault="00BB3A62" w:rsidP="00BB3A62">
      <w:pPr>
        <w:jc w:val="left"/>
        <w:rPr>
          <w:rFonts w:cs="Arial"/>
          <w:u w:val="single"/>
        </w:rPr>
      </w:pPr>
    </w:p>
    <w:p w14:paraId="1BD9AC2B" w14:textId="77777777" w:rsidR="00300D09" w:rsidRPr="009624B9" w:rsidRDefault="00300D09" w:rsidP="00300D09">
      <w:pPr>
        <w:tabs>
          <w:tab w:val="left" w:pos="4917"/>
        </w:tabs>
        <w:jc w:val="right"/>
        <w:rPr>
          <w:rFonts w:cs="Arial"/>
          <w:b/>
          <w:sz w:val="28"/>
          <w:szCs w:val="28"/>
          <w:u w:val="single"/>
        </w:rPr>
      </w:pPr>
    </w:p>
    <w:p w14:paraId="08AEAF7D" w14:textId="77777777" w:rsidR="00DF46CB" w:rsidRPr="009624B9" w:rsidRDefault="00DF46CB" w:rsidP="00300D09">
      <w:pPr>
        <w:tabs>
          <w:tab w:val="left" w:pos="4917"/>
        </w:tabs>
        <w:jc w:val="right"/>
        <w:rPr>
          <w:rFonts w:cs="Arial"/>
          <w:b/>
          <w:sz w:val="28"/>
          <w:szCs w:val="28"/>
          <w:u w:val="single"/>
        </w:rPr>
      </w:pPr>
    </w:p>
    <w:p w14:paraId="308EF4ED" w14:textId="77777777" w:rsidR="00DF46CB" w:rsidRPr="009624B9" w:rsidRDefault="00DF46CB" w:rsidP="00300D09">
      <w:pPr>
        <w:tabs>
          <w:tab w:val="left" w:pos="4917"/>
        </w:tabs>
        <w:jc w:val="right"/>
        <w:rPr>
          <w:rFonts w:cs="Arial"/>
          <w:b/>
          <w:sz w:val="28"/>
          <w:szCs w:val="28"/>
          <w:u w:val="single"/>
        </w:rPr>
      </w:pPr>
    </w:p>
    <w:p w14:paraId="7756E982" w14:textId="77777777" w:rsidR="00DF46CB" w:rsidRPr="009624B9" w:rsidRDefault="00DF46CB" w:rsidP="00300D09">
      <w:pPr>
        <w:tabs>
          <w:tab w:val="left" w:pos="4917"/>
        </w:tabs>
        <w:jc w:val="right"/>
        <w:rPr>
          <w:rFonts w:cs="Arial"/>
          <w:b/>
          <w:sz w:val="28"/>
          <w:szCs w:val="28"/>
          <w:u w:val="single"/>
        </w:rPr>
      </w:pPr>
    </w:p>
    <w:p w14:paraId="5C491005" w14:textId="77777777" w:rsidR="00DF46CB" w:rsidRPr="009624B9" w:rsidRDefault="00DF46CB" w:rsidP="00300D09">
      <w:pPr>
        <w:tabs>
          <w:tab w:val="left" w:pos="4917"/>
        </w:tabs>
        <w:jc w:val="right"/>
        <w:rPr>
          <w:rFonts w:cs="Arial"/>
          <w:b/>
          <w:sz w:val="28"/>
          <w:szCs w:val="28"/>
          <w:u w:val="single"/>
        </w:rPr>
      </w:pPr>
    </w:p>
    <w:p w14:paraId="79F869F4" w14:textId="77777777" w:rsidR="00DF46CB" w:rsidRPr="009624B9" w:rsidRDefault="00DF46CB" w:rsidP="00300D09">
      <w:pPr>
        <w:tabs>
          <w:tab w:val="left" w:pos="4917"/>
        </w:tabs>
        <w:jc w:val="right"/>
        <w:rPr>
          <w:rFonts w:cs="Arial"/>
          <w:b/>
          <w:sz w:val="28"/>
          <w:szCs w:val="28"/>
          <w:u w:val="single"/>
        </w:rPr>
      </w:pPr>
    </w:p>
    <w:p w14:paraId="4A05A32F" w14:textId="77777777" w:rsidR="00DF46CB" w:rsidRPr="009624B9" w:rsidRDefault="00DF46CB" w:rsidP="00300D09">
      <w:pPr>
        <w:tabs>
          <w:tab w:val="left" w:pos="4917"/>
        </w:tabs>
        <w:jc w:val="right"/>
        <w:rPr>
          <w:rFonts w:cs="Arial"/>
          <w:b/>
          <w:sz w:val="28"/>
          <w:szCs w:val="28"/>
          <w:u w:val="single"/>
        </w:rPr>
      </w:pPr>
    </w:p>
    <w:p w14:paraId="5552317E" w14:textId="77777777" w:rsidR="00300D09" w:rsidRPr="009624B9" w:rsidRDefault="00300D09" w:rsidP="00300D09">
      <w:r w:rsidRPr="009624B9">
        <w:t xml:space="preserve">In the matter </w:t>
      </w:r>
      <w:r w:rsidR="00CB3F60" w:rsidRPr="009624B9">
        <w:t xml:space="preserve">between </w:t>
      </w:r>
      <w:r w:rsidRPr="009624B9">
        <w:t>:</w:t>
      </w:r>
    </w:p>
    <w:p w14:paraId="4D418C6F" w14:textId="77777777" w:rsidR="00300D09" w:rsidRPr="009624B9" w:rsidRDefault="00300D09" w:rsidP="00300D09">
      <w:pPr>
        <w:pStyle w:val="Parties"/>
      </w:pPr>
    </w:p>
    <w:p w14:paraId="66B55A1C" w14:textId="77777777" w:rsidR="00DF46CB" w:rsidRPr="009624B9" w:rsidRDefault="00DF46CB" w:rsidP="00300D09">
      <w:pPr>
        <w:pStyle w:val="Parties"/>
      </w:pPr>
    </w:p>
    <w:p w14:paraId="564ED191" w14:textId="77777777" w:rsidR="00DF46CB" w:rsidRPr="009624B9" w:rsidRDefault="00DF46CB" w:rsidP="00300D09">
      <w:pPr>
        <w:pStyle w:val="Parties"/>
      </w:pPr>
    </w:p>
    <w:p w14:paraId="28CA8902" w14:textId="5DAD816F" w:rsidR="00A524D1" w:rsidRPr="009624B9" w:rsidRDefault="00B81404" w:rsidP="00A524D1">
      <w:pPr>
        <w:pStyle w:val="Parties"/>
        <w:rPr>
          <w:b/>
          <w:bCs/>
        </w:rPr>
      </w:pPr>
      <w:r>
        <w:rPr>
          <w:b/>
          <w:bCs/>
        </w:rPr>
        <w:t>BROADBAND INFRACO SOC LIMITED</w:t>
      </w:r>
      <w:r w:rsidR="00A524D1" w:rsidRPr="009624B9">
        <w:rPr>
          <w:b/>
          <w:bCs/>
        </w:rPr>
        <w:tab/>
      </w:r>
      <w:r w:rsidR="00A524D1" w:rsidRPr="009624B9">
        <w:t>Applicant</w:t>
      </w:r>
      <w:r w:rsidR="00A524D1" w:rsidRPr="009624B9">
        <w:rPr>
          <w:b/>
          <w:bCs/>
        </w:rPr>
        <w:t xml:space="preserve"> </w:t>
      </w:r>
    </w:p>
    <w:p w14:paraId="7CF6E9B0" w14:textId="77777777" w:rsidR="00A524D1" w:rsidRDefault="00A524D1" w:rsidP="00A524D1">
      <w:pPr>
        <w:pStyle w:val="Parties"/>
        <w:rPr>
          <w:b/>
          <w:bCs/>
        </w:rPr>
      </w:pPr>
    </w:p>
    <w:p w14:paraId="2F4D5D75" w14:textId="77777777" w:rsidR="00120EA2" w:rsidRPr="009624B9" w:rsidRDefault="00120EA2" w:rsidP="00A524D1">
      <w:pPr>
        <w:pStyle w:val="Parties"/>
        <w:rPr>
          <w:b/>
          <w:bCs/>
        </w:rPr>
      </w:pPr>
    </w:p>
    <w:p w14:paraId="10EC3788" w14:textId="77777777" w:rsidR="00A524D1" w:rsidRPr="009624B9" w:rsidRDefault="00A524D1" w:rsidP="00BB3A62">
      <w:pPr>
        <w:pStyle w:val="Parties"/>
        <w:tabs>
          <w:tab w:val="clear" w:pos="8732"/>
          <w:tab w:val="left" w:pos="5525"/>
        </w:tabs>
      </w:pPr>
      <w:r w:rsidRPr="009624B9">
        <w:t>and</w:t>
      </w:r>
      <w:r w:rsidR="00BB3A62" w:rsidRPr="009624B9">
        <w:tab/>
      </w:r>
    </w:p>
    <w:p w14:paraId="511B283C" w14:textId="77777777" w:rsidR="00A524D1" w:rsidRDefault="00A524D1" w:rsidP="00A524D1">
      <w:pPr>
        <w:pStyle w:val="Parties"/>
      </w:pPr>
    </w:p>
    <w:p w14:paraId="58E4C0C7" w14:textId="77777777" w:rsidR="00120EA2" w:rsidRPr="009624B9" w:rsidRDefault="00120EA2" w:rsidP="00A524D1">
      <w:pPr>
        <w:pStyle w:val="Parties"/>
      </w:pPr>
    </w:p>
    <w:p w14:paraId="41D04DC9" w14:textId="262DEC3D" w:rsidR="00A524D1" w:rsidRDefault="00B81404" w:rsidP="00A524D1">
      <w:pPr>
        <w:pStyle w:val="Parties"/>
      </w:pPr>
      <w:r>
        <w:rPr>
          <w:b/>
          <w:bCs/>
        </w:rPr>
        <w:t>ESKOM HOLDINGS SOC LIMITED</w:t>
      </w:r>
      <w:r w:rsidR="00A524D1" w:rsidRPr="009624B9">
        <w:rPr>
          <w:b/>
          <w:bCs/>
        </w:rPr>
        <w:tab/>
      </w:r>
      <w:r w:rsidRPr="00B81404">
        <w:t>First</w:t>
      </w:r>
      <w:r>
        <w:rPr>
          <w:b/>
          <w:bCs/>
        </w:rPr>
        <w:t xml:space="preserve"> </w:t>
      </w:r>
      <w:r w:rsidR="00A524D1" w:rsidRPr="009624B9">
        <w:t xml:space="preserve">Respondent </w:t>
      </w:r>
    </w:p>
    <w:p w14:paraId="277EEC69" w14:textId="77777777" w:rsidR="00B81404" w:rsidRDefault="00B81404" w:rsidP="00A524D1">
      <w:pPr>
        <w:pStyle w:val="Parties"/>
      </w:pPr>
    </w:p>
    <w:p w14:paraId="7C962DBA" w14:textId="03171BAD" w:rsidR="00B81404" w:rsidRPr="00B81404" w:rsidRDefault="00B81404" w:rsidP="00A524D1">
      <w:pPr>
        <w:pStyle w:val="Parties"/>
      </w:pPr>
      <w:r>
        <w:rPr>
          <w:b/>
          <w:bCs/>
        </w:rPr>
        <w:t xml:space="preserve">CALIB CASSIM </w:t>
      </w:r>
      <w:r>
        <w:rPr>
          <w:b/>
          <w:bCs/>
        </w:rPr>
        <w:tab/>
      </w:r>
      <w:r>
        <w:t xml:space="preserve">Second Respondent </w:t>
      </w:r>
    </w:p>
    <w:p w14:paraId="6F44ECE9" w14:textId="7F824B97" w:rsidR="009624B9" w:rsidRDefault="009624B9" w:rsidP="00A524D1">
      <w:pPr>
        <w:pStyle w:val="Parties"/>
      </w:pPr>
    </w:p>
    <w:p w14:paraId="3F40ACCA" w14:textId="77777777" w:rsidR="00120EA2" w:rsidRDefault="00120EA2" w:rsidP="00E52518"/>
    <w:p w14:paraId="1B9E5C95" w14:textId="77777777" w:rsidR="00120EA2" w:rsidRDefault="00120EA2" w:rsidP="00E52518"/>
    <w:p w14:paraId="68BF20BE" w14:textId="77777777" w:rsidR="00120EA2" w:rsidRDefault="00120EA2" w:rsidP="00E52518">
      <w:pPr>
        <w:rPr>
          <w:b/>
          <w:bCs/>
        </w:rPr>
      </w:pPr>
    </w:p>
    <w:p w14:paraId="0AF33339" w14:textId="47591327" w:rsidR="00130487" w:rsidRDefault="00FB0589" w:rsidP="00E52518">
      <w:pPr>
        <w:rPr>
          <w:b/>
          <w:bCs/>
        </w:rPr>
      </w:pPr>
      <w:r>
        <w:rPr>
          <w:b/>
          <w:bCs/>
        </w:rPr>
        <w:t xml:space="preserve">Coram: </w:t>
      </w:r>
      <w:r w:rsidRPr="00FB0589">
        <w:t xml:space="preserve">Ingrid Opperman </w:t>
      </w:r>
      <w:r w:rsidR="00E52518" w:rsidRPr="00FB0589">
        <w:t>J</w:t>
      </w:r>
      <w:r w:rsidR="00130487">
        <w:rPr>
          <w:b/>
          <w:bCs/>
        </w:rPr>
        <w:t xml:space="preserve"> </w:t>
      </w:r>
    </w:p>
    <w:p w14:paraId="4A435D23" w14:textId="77777777" w:rsidR="00130487" w:rsidRDefault="00130487" w:rsidP="00E52518">
      <w:pPr>
        <w:rPr>
          <w:b/>
          <w:bCs/>
        </w:rPr>
      </w:pPr>
    </w:p>
    <w:p w14:paraId="24E73B41" w14:textId="4536DBC7" w:rsidR="00E52518" w:rsidRDefault="00130487" w:rsidP="00E52518">
      <w:pPr>
        <w:rPr>
          <w:b/>
          <w:bCs/>
        </w:rPr>
      </w:pPr>
      <w:r>
        <w:rPr>
          <w:b/>
          <w:bCs/>
        </w:rPr>
        <w:t xml:space="preserve">Heard: </w:t>
      </w:r>
      <w:r w:rsidR="00555423">
        <w:t>7 December</w:t>
      </w:r>
      <w:r w:rsidRPr="00FB0589">
        <w:t xml:space="preserve"> 2023</w:t>
      </w:r>
      <w:r>
        <w:rPr>
          <w:b/>
          <w:bCs/>
        </w:rPr>
        <w:t xml:space="preserve"> </w:t>
      </w:r>
    </w:p>
    <w:p w14:paraId="322437AF" w14:textId="77777777" w:rsidR="00130487" w:rsidRDefault="00130487" w:rsidP="00E52518">
      <w:pPr>
        <w:rPr>
          <w:b/>
          <w:bCs/>
        </w:rPr>
      </w:pPr>
    </w:p>
    <w:p w14:paraId="7B96F98A" w14:textId="150569F4" w:rsidR="00306EF7" w:rsidRDefault="00130487" w:rsidP="00FB0589">
      <w:pPr>
        <w:spacing w:line="360" w:lineRule="auto"/>
        <w:rPr>
          <w:shd w:val="clear" w:color="auto" w:fill="FFFFFF"/>
        </w:rPr>
      </w:pPr>
      <w:r>
        <w:rPr>
          <w:b/>
          <w:bCs/>
        </w:rPr>
        <w:lastRenderedPageBreak/>
        <w:t xml:space="preserve">Delivered: </w:t>
      </w:r>
      <w:r w:rsidRPr="009624B9">
        <w:rPr>
          <w:shd w:val="clear" w:color="auto" w:fill="FFFFFF"/>
        </w:rPr>
        <w:t xml:space="preserve">This judgment was handed down electronically by circulation to the parties’ legal representatives by email. The date and time for hand-down is deemed to be </w:t>
      </w:r>
      <w:r>
        <w:rPr>
          <w:shd w:val="clear" w:color="auto" w:fill="FFFFFF"/>
        </w:rPr>
        <w:t xml:space="preserve">10h00 on </w:t>
      </w:r>
      <w:r w:rsidR="00DF0B5D">
        <w:rPr>
          <w:shd w:val="clear" w:color="auto" w:fill="FFFFFF"/>
        </w:rPr>
        <w:t>8 December</w:t>
      </w:r>
      <w:r w:rsidR="001049CE">
        <w:rPr>
          <w:shd w:val="clear" w:color="auto" w:fill="FFFFFF"/>
        </w:rPr>
        <w:t xml:space="preserve"> </w:t>
      </w:r>
      <w:r w:rsidRPr="009624B9">
        <w:rPr>
          <w:shd w:val="clear" w:color="auto" w:fill="FFFFFF"/>
        </w:rPr>
        <w:t>202</w:t>
      </w:r>
      <w:r>
        <w:rPr>
          <w:shd w:val="clear" w:color="auto" w:fill="FFFFFF"/>
        </w:rPr>
        <w:t>3</w:t>
      </w:r>
    </w:p>
    <w:p w14:paraId="6809E1CA" w14:textId="77777777" w:rsidR="001049CE" w:rsidRDefault="001049CE" w:rsidP="00FB0589">
      <w:pPr>
        <w:spacing w:line="360" w:lineRule="auto"/>
        <w:rPr>
          <w:shd w:val="clear" w:color="auto" w:fill="FFFFFF"/>
        </w:rPr>
      </w:pPr>
    </w:p>
    <w:p w14:paraId="1699F136" w14:textId="14A38161" w:rsidR="00FB0589" w:rsidRDefault="00FB0589" w:rsidP="00FB0589">
      <w:pPr>
        <w:pStyle w:val="Heading1"/>
        <w:jc w:val="center"/>
      </w:pPr>
      <w:r>
        <w:t>ORDER</w:t>
      </w:r>
    </w:p>
    <w:p w14:paraId="7FB2627B" w14:textId="46AA2915" w:rsidR="00130487" w:rsidRDefault="00DF0B5D" w:rsidP="00130487">
      <w:pPr>
        <w:pStyle w:val="1"/>
        <w:numPr>
          <w:ilvl w:val="0"/>
          <w:numId w:val="0"/>
        </w:numPr>
      </w:pPr>
      <w:r>
        <w:t>The application for leave to appeal is dismissed with costs such costs to include the costs of two counsel where so employed.</w:t>
      </w:r>
    </w:p>
    <w:p w14:paraId="08F6D603" w14:textId="77777777" w:rsidR="00555423" w:rsidRPr="00130487" w:rsidRDefault="00555423" w:rsidP="00130487">
      <w:pPr>
        <w:pStyle w:val="1"/>
        <w:numPr>
          <w:ilvl w:val="0"/>
          <w:numId w:val="0"/>
        </w:numPr>
      </w:pPr>
    </w:p>
    <w:p w14:paraId="58E3C237" w14:textId="06522783" w:rsidR="00120EA2" w:rsidRDefault="00130487" w:rsidP="00DF0B5D">
      <w:pPr>
        <w:pStyle w:val="TramLines"/>
      </w:pPr>
      <w:r>
        <w:t>JUDGMENT</w:t>
      </w:r>
      <w:r w:rsidR="00DF0B5D">
        <w:t xml:space="preserve"> – LEAVE TO APPEAL</w:t>
      </w:r>
      <w:r>
        <w:t xml:space="preserve"> </w:t>
      </w:r>
    </w:p>
    <w:p w14:paraId="0652340B" w14:textId="606A625A" w:rsidR="007865FD" w:rsidRPr="00DF0B5D" w:rsidRDefault="00130487" w:rsidP="008B34F3">
      <w:pPr>
        <w:pStyle w:val="Heading1"/>
      </w:pPr>
      <w:r>
        <w:t>INGRID OPPERMAN J</w:t>
      </w:r>
      <w:r w:rsidR="008B34F3" w:rsidRPr="001049CE">
        <w:rPr>
          <w:u w:val="single"/>
        </w:rPr>
        <w:t xml:space="preserve"> </w:t>
      </w:r>
    </w:p>
    <w:p w14:paraId="38579F2C" w14:textId="48B04865" w:rsidR="00DF0B5D" w:rsidRDefault="00C464EC" w:rsidP="00C464EC">
      <w:pPr>
        <w:pStyle w:val="1"/>
        <w:numPr>
          <w:ilvl w:val="0"/>
          <w:numId w:val="0"/>
        </w:numPr>
      </w:pPr>
      <w:r>
        <w:t>[1]</w:t>
      </w:r>
      <w:r>
        <w:tab/>
      </w:r>
      <w:r w:rsidR="00DF0B5D" w:rsidRPr="009E2781">
        <w:t xml:space="preserve">This is an application for leave to appeal against a judgment handed down </w:t>
      </w:r>
      <w:r w:rsidR="00DF0B5D">
        <w:t>by this court on 13 November 2023 (‘</w:t>
      </w:r>
      <w:r w:rsidR="00DF0B5D" w:rsidRPr="00DF0B5D">
        <w:rPr>
          <w:i/>
        </w:rPr>
        <w:t>the judgment’</w:t>
      </w:r>
      <w:r w:rsidR="00DF0B5D">
        <w:t>)</w:t>
      </w:r>
      <w:r w:rsidR="00DF0B5D" w:rsidRPr="009E2781">
        <w:t xml:space="preserve">. </w:t>
      </w:r>
      <w:r w:rsidR="00DF0B5D">
        <w:t>This judgment should b</w:t>
      </w:r>
      <w:r w:rsidR="00555423">
        <w:t>e read with the judgment of 13 November 2023.</w:t>
      </w:r>
    </w:p>
    <w:p w14:paraId="30F971C2" w14:textId="77065322" w:rsidR="00DF0B5D" w:rsidRDefault="00C464EC" w:rsidP="00C464EC">
      <w:pPr>
        <w:pStyle w:val="1"/>
        <w:numPr>
          <w:ilvl w:val="0"/>
          <w:numId w:val="0"/>
        </w:numPr>
      </w:pPr>
      <w:r>
        <w:t>[2]</w:t>
      </w:r>
      <w:r>
        <w:tab/>
      </w:r>
      <w:r w:rsidR="00DF0B5D" w:rsidRPr="009E2781">
        <w:t>Leave to appeal is sought against the whole of the judgment.</w:t>
      </w:r>
      <w:r w:rsidR="00DF0B5D">
        <w:t xml:space="preserve"> The parties are referred to as in the judgment and all abbreviated descriptions used herein are defined in the judgment.</w:t>
      </w:r>
    </w:p>
    <w:p w14:paraId="04CFB7DE" w14:textId="517455A4" w:rsidR="00DF0B5D" w:rsidRDefault="00C464EC" w:rsidP="00C464EC">
      <w:pPr>
        <w:pStyle w:val="1"/>
        <w:numPr>
          <w:ilvl w:val="0"/>
          <w:numId w:val="0"/>
        </w:numPr>
      </w:pPr>
      <w:r>
        <w:t>[3]</w:t>
      </w:r>
      <w:r>
        <w:tab/>
      </w:r>
      <w:r w:rsidR="00DF0B5D" w:rsidRPr="001F1058">
        <w:t>Section 17(1) of the Superior Courts Act 10 of 2013 provides that the test to be applied in determining whether leave to appeal should be granted is whether the judge is</w:t>
      </w:r>
      <w:r w:rsidR="00DF0B5D" w:rsidRPr="00943986">
        <w:t xml:space="preserve"> of the opinion that the appeal would have a reasonable prospect of success or there is some other compelling reason why the appeal should be heard.</w:t>
      </w:r>
      <w:r w:rsidR="00DF0B5D" w:rsidRPr="00D314A9">
        <w:rPr>
          <w:rStyle w:val="FootnoteReference"/>
          <w:rFonts w:eastAsiaTheme="majorEastAsia"/>
        </w:rPr>
        <w:footnoteReference w:id="1"/>
      </w:r>
      <w:r w:rsidR="00DF0B5D" w:rsidRPr="00DF0B5D">
        <w:rPr>
          <w:vertAlign w:val="superscript"/>
        </w:rPr>
        <w:t xml:space="preserve"> </w:t>
      </w:r>
      <w:r w:rsidR="00DF0B5D" w:rsidRPr="001F1058">
        <w:t xml:space="preserve"> </w:t>
      </w:r>
    </w:p>
    <w:p w14:paraId="2FCD7D51" w14:textId="4D4454C1" w:rsidR="00DF0B5D" w:rsidRDefault="00C464EC" w:rsidP="00C464EC">
      <w:pPr>
        <w:pStyle w:val="1"/>
        <w:numPr>
          <w:ilvl w:val="0"/>
          <w:numId w:val="0"/>
        </w:numPr>
      </w:pPr>
      <w:r>
        <w:lastRenderedPageBreak/>
        <w:t>[4]</w:t>
      </w:r>
      <w:r>
        <w:tab/>
      </w:r>
      <w:r w:rsidR="00E13EA8">
        <w:t>There appears to be still some debate about whether</w:t>
      </w:r>
      <w:r w:rsidR="00DF0B5D">
        <w:t xml:space="preserve"> the threshold for the granting of leave to appeal under that section is higher than it was under the previous Supreme Court Act, 1959.</w:t>
      </w:r>
    </w:p>
    <w:p w14:paraId="794D52B5" w14:textId="79F52975" w:rsidR="00DF0B5D" w:rsidRDefault="00C464EC" w:rsidP="00C464EC">
      <w:pPr>
        <w:pStyle w:val="1"/>
        <w:numPr>
          <w:ilvl w:val="0"/>
          <w:numId w:val="0"/>
        </w:numPr>
      </w:pPr>
      <w:r>
        <w:t>[5]</w:t>
      </w:r>
      <w:r>
        <w:tab/>
      </w:r>
      <w:r w:rsidR="00DF0B5D">
        <w:t xml:space="preserve">In </w:t>
      </w:r>
      <w:r w:rsidR="00DF0B5D" w:rsidRPr="003D49B9">
        <w:rPr>
          <w:i/>
        </w:rPr>
        <w:t>Notshovu v S</w:t>
      </w:r>
      <w:r w:rsidR="00DF0B5D">
        <w:t>,</w:t>
      </w:r>
      <w:r w:rsidR="00DF0B5D">
        <w:rPr>
          <w:rStyle w:val="FootnoteReference"/>
        </w:rPr>
        <w:footnoteReference w:id="2"/>
      </w:r>
      <w:r w:rsidR="00DF0B5D">
        <w:t xml:space="preserve"> the </w:t>
      </w:r>
      <w:r w:rsidR="00DF0B5D" w:rsidRPr="001569AE">
        <w:t>Supreme</w:t>
      </w:r>
      <w:r w:rsidR="003D49B9">
        <w:t xml:space="preserve"> Court of Appeal </w:t>
      </w:r>
      <w:r w:rsidR="00DF0B5D">
        <w:t xml:space="preserve"> ex</w:t>
      </w:r>
      <w:r w:rsidR="00E13EA8">
        <w:t>pressly held that an appellant ‘</w:t>
      </w:r>
      <w:r w:rsidR="00DF0B5D" w:rsidRPr="003D49B9">
        <w:rPr>
          <w:i/>
        </w:rPr>
        <w:t>faces a higher and stringent threshold, in terms of the present Superior Courts Act compared to the provisions of the repealed Supreme Court Act</w:t>
      </w:r>
      <w:r w:rsidR="00E13EA8">
        <w:t>’.  The new Act has ‘</w:t>
      </w:r>
      <w:r w:rsidR="00DF0B5D" w:rsidRPr="003D49B9">
        <w:rPr>
          <w:i/>
        </w:rPr>
        <w:t>raised the bar for granting leave to appeal</w:t>
      </w:r>
      <w:r w:rsidR="00E13EA8">
        <w:t>’</w:t>
      </w:r>
      <w:r w:rsidR="00DF0B5D">
        <w:t>:</w:t>
      </w:r>
      <w:r w:rsidR="00DF0B5D">
        <w:rPr>
          <w:rStyle w:val="FootnoteReference"/>
        </w:rPr>
        <w:footnoteReference w:id="3"/>
      </w:r>
    </w:p>
    <w:p w14:paraId="21420BC4" w14:textId="10A4B8D5" w:rsidR="003D49B9" w:rsidRPr="003D49B9" w:rsidRDefault="003D49B9" w:rsidP="003D49B9">
      <w:pPr>
        <w:pStyle w:val="Para2"/>
        <w:numPr>
          <w:ilvl w:val="0"/>
          <w:numId w:val="0"/>
        </w:numPr>
        <w:spacing w:after="360" w:line="360" w:lineRule="auto"/>
        <w:ind w:left="1701"/>
        <w:rPr>
          <w:sz w:val="22"/>
          <w:szCs w:val="22"/>
        </w:rPr>
      </w:pPr>
      <w:r w:rsidRPr="003D49B9">
        <w:rPr>
          <w:sz w:val="22"/>
          <w:szCs w:val="22"/>
        </w:rPr>
        <w:t>‘</w:t>
      </w:r>
      <w:r w:rsidRPr="003D49B9">
        <w:rPr>
          <w:iCs/>
          <w:sz w:val="22"/>
          <w:szCs w:val="22"/>
        </w:rPr>
        <w:t>It is clear that the threshold for granting leave to appeal against a judgment of a High Court has been raised in the new Act. The former test whether leave to appeal should be granted was a reasonable prospect that another court might come to a different conclusion … The use of the word ‘would’ in the new statute indicates a measure of certainty that another court will differ from the court whose judgment is sought to be appealed against</w:t>
      </w:r>
      <w:r w:rsidRPr="003D49B9">
        <w:rPr>
          <w:sz w:val="22"/>
          <w:szCs w:val="22"/>
        </w:rPr>
        <w:t>.’</w:t>
      </w:r>
    </w:p>
    <w:p w14:paraId="6B0C16E0" w14:textId="241CA510" w:rsidR="00DF0B5D" w:rsidRDefault="00C464EC" w:rsidP="00C464EC">
      <w:pPr>
        <w:pStyle w:val="1"/>
        <w:numPr>
          <w:ilvl w:val="0"/>
          <w:numId w:val="0"/>
        </w:numPr>
      </w:pPr>
      <w:r>
        <w:t>[6]</w:t>
      </w:r>
      <w:r>
        <w:tab/>
      </w:r>
      <w:r w:rsidR="00DF0B5D">
        <w:t xml:space="preserve">The aforesaid </w:t>
      </w:r>
      <w:r w:rsidR="00DF0B5D" w:rsidRPr="001569AE">
        <w:t>principles</w:t>
      </w:r>
      <w:r w:rsidR="00DF0B5D">
        <w:t xml:space="preserve"> have been repeatedly affirmed, including by the </w:t>
      </w:r>
      <w:r w:rsidR="00E13EA8">
        <w:t>full court</w:t>
      </w:r>
      <w:r w:rsidR="00DF0B5D">
        <w:t xml:space="preserve"> of this Division.</w:t>
      </w:r>
      <w:r w:rsidR="00DF0B5D">
        <w:rPr>
          <w:rStyle w:val="FootnoteReference"/>
        </w:rPr>
        <w:footnoteReference w:id="4"/>
      </w:r>
    </w:p>
    <w:p w14:paraId="0448E4AC" w14:textId="2FC7EEB0" w:rsidR="00E13EA8" w:rsidRDefault="00C464EC" w:rsidP="00C464EC">
      <w:pPr>
        <w:pStyle w:val="1"/>
        <w:numPr>
          <w:ilvl w:val="0"/>
          <w:numId w:val="0"/>
        </w:numPr>
      </w:pPr>
      <w:r>
        <w:t>[7]</w:t>
      </w:r>
      <w:r>
        <w:tab/>
      </w:r>
      <w:r w:rsidR="00E13EA8">
        <w:t xml:space="preserve">Mr Notsche SC, representing Eskom in this application for leave to appeal, relied on the </w:t>
      </w:r>
      <w:r w:rsidR="00E13EA8" w:rsidRPr="00E13EA8">
        <w:rPr>
          <w:i/>
        </w:rPr>
        <w:t>dicta</w:t>
      </w:r>
      <w:r w:rsidR="00E13EA8">
        <w:t xml:space="preserve"> in </w:t>
      </w:r>
      <w:r w:rsidR="00E13EA8" w:rsidRPr="00E13EA8">
        <w:rPr>
          <w:i/>
        </w:rPr>
        <w:t>Ramakatsa v African National Congress</w:t>
      </w:r>
      <w:r w:rsidR="00E13EA8">
        <w:rPr>
          <w:rStyle w:val="FootnoteReference"/>
        </w:rPr>
        <w:footnoteReference w:id="5"/>
      </w:r>
      <w:r w:rsidR="00E13EA8">
        <w:t>, which suggests that the bar has not been raised:</w:t>
      </w:r>
    </w:p>
    <w:p w14:paraId="19BEE6D0" w14:textId="341DFB36" w:rsidR="00E13EA8" w:rsidRPr="00E13EA8" w:rsidRDefault="00E13EA8" w:rsidP="00E13EA8">
      <w:pPr>
        <w:pStyle w:val="1"/>
        <w:numPr>
          <w:ilvl w:val="0"/>
          <w:numId w:val="0"/>
        </w:numPr>
        <w:tabs>
          <w:tab w:val="left" w:pos="1276"/>
        </w:tabs>
        <w:spacing w:line="360" w:lineRule="auto"/>
        <w:ind w:left="1701"/>
        <w:rPr>
          <w:sz w:val="22"/>
        </w:rPr>
      </w:pPr>
      <w:r w:rsidRPr="00E13EA8">
        <w:rPr>
          <w:sz w:val="22"/>
        </w:rPr>
        <w:lastRenderedPageBreak/>
        <w:t xml:space="preserve">‘I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 </w:t>
      </w:r>
    </w:p>
    <w:p w14:paraId="56302F96" w14:textId="77777777" w:rsidR="00E13EA8" w:rsidRDefault="00E13EA8" w:rsidP="00E13EA8">
      <w:pPr>
        <w:pStyle w:val="1"/>
        <w:numPr>
          <w:ilvl w:val="0"/>
          <w:numId w:val="0"/>
        </w:numPr>
      </w:pPr>
    </w:p>
    <w:p w14:paraId="49D675E0" w14:textId="5A3148EF" w:rsidR="00DF0B5D" w:rsidRDefault="00C464EC" w:rsidP="00C464EC">
      <w:pPr>
        <w:pStyle w:val="1"/>
        <w:numPr>
          <w:ilvl w:val="0"/>
          <w:numId w:val="0"/>
        </w:numPr>
      </w:pPr>
      <w:r>
        <w:t>[8]</w:t>
      </w:r>
      <w:r>
        <w:tab/>
      </w:r>
      <w:r w:rsidR="00DF0B5D">
        <w:t xml:space="preserve">In </w:t>
      </w:r>
      <w:r w:rsidR="00DF0B5D" w:rsidRPr="003D49B9">
        <w:rPr>
          <w:i/>
        </w:rPr>
        <w:t>Smith v S,</w:t>
      </w:r>
      <w:r w:rsidR="00DF0B5D">
        <w:rPr>
          <w:rStyle w:val="FootnoteReference"/>
          <w:i/>
        </w:rPr>
        <w:footnoteReference w:id="6"/>
      </w:r>
      <w:r w:rsidR="00DF0B5D">
        <w:t xml:space="preserve"> the SCA had occasion to consider what constituted reasonable prospects of success in section 17(1)(</w:t>
      </w:r>
      <w:r w:rsidR="00DF0B5D" w:rsidRPr="003D49B9">
        <w:rPr>
          <w:i/>
        </w:rPr>
        <w:t>a</w:t>
      </w:r>
      <w:r w:rsidR="00DF0B5D">
        <w:t>)(i) of the Superior Courts Act and held (</w:t>
      </w:r>
      <w:r w:rsidR="00DF0B5D" w:rsidRPr="003D49B9">
        <w:rPr>
          <w:i/>
        </w:rPr>
        <w:t>per </w:t>
      </w:r>
      <w:r w:rsidR="00DF0B5D">
        <w:t>Plasket AJA) as follows:</w:t>
      </w:r>
      <w:r w:rsidR="00DF0B5D">
        <w:rPr>
          <w:rStyle w:val="FootnoteReference"/>
        </w:rPr>
        <w:footnoteReference w:id="7"/>
      </w:r>
    </w:p>
    <w:p w14:paraId="35C01DD5" w14:textId="3EFFE1B6" w:rsidR="003D49B9" w:rsidRPr="003D49B9" w:rsidRDefault="003D49B9" w:rsidP="003D49B9">
      <w:pPr>
        <w:widowControl w:val="0"/>
        <w:spacing w:before="120" w:after="360" w:line="360" w:lineRule="auto"/>
        <w:ind w:left="1701"/>
        <w:rPr>
          <w:rStyle w:val="footnote-link"/>
          <w:sz w:val="22"/>
          <w:szCs w:val="22"/>
          <w:u w:val="single"/>
        </w:rPr>
      </w:pPr>
      <w:r w:rsidRPr="003D49B9">
        <w:t>‘</w:t>
      </w:r>
      <w:r w:rsidRPr="003D49B9">
        <w:rPr>
          <w:iCs/>
          <w:color w:val="000000"/>
          <w:sz w:val="22"/>
          <w:szCs w:val="22"/>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Pr="003D49B9">
        <w:rPr>
          <w:color w:val="000000"/>
          <w:sz w:val="22"/>
          <w:szCs w:val="22"/>
        </w:rPr>
        <w:t xml:space="preserve">." </w:t>
      </w:r>
    </w:p>
    <w:p w14:paraId="7A5FAB94" w14:textId="25FF9CDB" w:rsidR="00DF0B5D" w:rsidRDefault="00C464EC" w:rsidP="00C464EC">
      <w:pPr>
        <w:pStyle w:val="1"/>
        <w:numPr>
          <w:ilvl w:val="0"/>
          <w:numId w:val="0"/>
        </w:numPr>
      </w:pPr>
      <w:r>
        <w:t>[9]</w:t>
      </w:r>
      <w:r>
        <w:tab/>
      </w:r>
      <w:r w:rsidR="00D86431">
        <w:t>L</w:t>
      </w:r>
      <w:r w:rsidR="00DF0B5D">
        <w:t>eave to appeal cannot be had for the mere asking:</w:t>
      </w:r>
    </w:p>
    <w:p w14:paraId="17C18DF0" w14:textId="73B00B8E" w:rsidR="00D86431" w:rsidRPr="00D86431" w:rsidRDefault="00D86431" w:rsidP="00D86431">
      <w:pPr>
        <w:tabs>
          <w:tab w:val="left" w:pos="1701"/>
        </w:tabs>
        <w:spacing w:before="120" w:after="360" w:line="360" w:lineRule="auto"/>
        <w:ind w:left="1701"/>
        <w:rPr>
          <w:color w:val="000000"/>
          <w:sz w:val="22"/>
          <w:szCs w:val="22"/>
        </w:rPr>
      </w:pPr>
      <w:r w:rsidRPr="00D86431">
        <w:rPr>
          <w:iCs/>
          <w:color w:val="000000"/>
          <w:sz w:val="22"/>
          <w:szCs w:val="22"/>
        </w:rPr>
        <w:t xml:space="preserve">‘Whilst there may be a tendency to seek to grant leave to appeal simply to allow outstanding questions to be finally determined, it seems to me that, in </w:t>
      </w:r>
      <w:r w:rsidRPr="00D86431">
        <w:rPr>
          <w:iCs/>
          <w:color w:val="000000"/>
          <w:sz w:val="22"/>
          <w:szCs w:val="22"/>
        </w:rPr>
        <w:lastRenderedPageBreak/>
        <w:t xml:space="preserve">balancing the rights of the parties to the litigation, the Court's responsibility is to avoid the temptation simply to take the opportunity to have the question answered and rather to apply its mind as to whether or not the answer will probably be in favour of the applicant for leave to appeal.’ </w:t>
      </w:r>
      <w:r w:rsidRPr="00D86431">
        <w:rPr>
          <w:rStyle w:val="FootnoteReference"/>
          <w:iCs/>
          <w:color w:val="000000"/>
          <w:sz w:val="22"/>
          <w:szCs w:val="22"/>
        </w:rPr>
        <w:footnoteReference w:id="8"/>
      </w:r>
    </w:p>
    <w:p w14:paraId="43CC429C" w14:textId="3570086A" w:rsidR="00DF0B5D" w:rsidRDefault="00C464EC" w:rsidP="00C464EC">
      <w:pPr>
        <w:pStyle w:val="1"/>
        <w:numPr>
          <w:ilvl w:val="0"/>
          <w:numId w:val="0"/>
        </w:numPr>
      </w:pPr>
      <w:r>
        <w:t>[10]</w:t>
      </w:r>
      <w:r>
        <w:tab/>
      </w:r>
      <w:r w:rsidR="00D86431">
        <w:t>T</w:t>
      </w:r>
      <w:r w:rsidR="00DF0B5D">
        <w:t>rial judges have a duty to be vigilant and not allow appeals unless they are satisfied that there is a reasonable prospect that another Court would</w:t>
      </w:r>
      <w:r w:rsidR="00287D77">
        <w:t xml:space="preserve"> (or might)</w:t>
      </w:r>
      <w:r w:rsidR="00D86431">
        <w:t xml:space="preserve"> come to a different conclusion. </w:t>
      </w:r>
      <w:r w:rsidR="00DF0B5D" w:rsidRPr="00D86431">
        <w:t xml:space="preserve">In </w:t>
      </w:r>
      <w:r w:rsidR="00DF0B5D" w:rsidRPr="00D86431">
        <w:rPr>
          <w:bCs/>
          <w:i/>
        </w:rPr>
        <w:t>Rail Commuter Action Group and Others v Transnet Ltd t/a Metrorail and Others (No 2)</w:t>
      </w:r>
      <w:r w:rsidR="00DF0B5D">
        <w:rPr>
          <w:rStyle w:val="FootnoteReference"/>
          <w:bCs/>
          <w:i/>
        </w:rPr>
        <w:footnoteReference w:id="9"/>
      </w:r>
      <w:r w:rsidR="00DF0B5D" w:rsidRPr="00D86431">
        <w:rPr>
          <w:bCs/>
        </w:rPr>
        <w:t xml:space="preserve"> </w:t>
      </w:r>
      <w:r w:rsidR="00D86431">
        <w:t xml:space="preserve">it was </w:t>
      </w:r>
      <w:r w:rsidR="00DF0B5D">
        <w:t>pointed out that the fact that an application for leave to appeal is not opposed by the counterparty does not relieve the trial j</w:t>
      </w:r>
      <w:r w:rsidR="00D86431">
        <w:t xml:space="preserve">udge of this duty. </w:t>
      </w:r>
      <w:r w:rsidR="00DF0B5D">
        <w:t xml:space="preserve">In </w:t>
      </w:r>
      <w:r w:rsidR="00DF0B5D" w:rsidRPr="00D86431">
        <w:rPr>
          <w:bCs/>
          <w:i/>
        </w:rPr>
        <w:t>Janit v Van Den Heever and Another NNO (No 2</w:t>
      </w:r>
      <w:r w:rsidR="00DF0B5D" w:rsidRPr="00D86431">
        <w:rPr>
          <w:bCs/>
        </w:rPr>
        <w:t>)</w:t>
      </w:r>
      <w:r w:rsidR="00DF0B5D" w:rsidRPr="000C3F7B">
        <w:rPr>
          <w:rStyle w:val="FootnoteReference"/>
          <w:bCs/>
        </w:rPr>
        <w:footnoteReference w:id="10"/>
      </w:r>
      <w:r w:rsidR="00DF0B5D" w:rsidRPr="00D86431">
        <w:rPr>
          <w:bCs/>
        </w:rPr>
        <w:t xml:space="preserve"> </w:t>
      </w:r>
      <w:r w:rsidR="00DF0B5D">
        <w:t>the threshold for sanctioning appeal proceedi</w:t>
      </w:r>
      <w:r w:rsidR="00287D77">
        <w:t xml:space="preserve">ngs (with reference to the then </w:t>
      </w:r>
      <w:r w:rsidR="00DF0B5D">
        <w:t>prescribed threshold) was explained thus:</w:t>
      </w:r>
      <w:r w:rsidR="00DF0B5D" w:rsidRPr="00D86431">
        <w:t xml:space="preserve"> </w:t>
      </w:r>
      <w:r w:rsidR="00DF0B5D">
        <w:t>“</w:t>
      </w:r>
      <w:r w:rsidR="00DF0B5D" w:rsidRPr="00D86431">
        <w:rPr>
          <w:i/>
        </w:rPr>
        <w:t>if the decision against which leave to appeal is sought is wrong, leave to appeal can be granted on petition; but it is not for a lower Court to sanction appeal proceedings unless there are reasonable prospects that the appeal might succeed.</w:t>
      </w:r>
      <w:r w:rsidR="00DF0B5D">
        <w:t xml:space="preserve">” </w:t>
      </w:r>
    </w:p>
    <w:p w14:paraId="0E244034" w14:textId="6E791037" w:rsidR="00DF0B5D" w:rsidRDefault="00C464EC" w:rsidP="00C464EC">
      <w:pPr>
        <w:pStyle w:val="1"/>
        <w:numPr>
          <w:ilvl w:val="0"/>
          <w:numId w:val="0"/>
        </w:numPr>
      </w:pPr>
      <w:r>
        <w:t>[11]</w:t>
      </w:r>
      <w:r>
        <w:tab/>
      </w:r>
      <w:r w:rsidR="00DF0B5D">
        <w:t xml:space="preserve">For a given point to be arguable </w:t>
      </w:r>
      <w:r w:rsidR="00DF0B5D" w:rsidRPr="00076E61">
        <w:t>for</w:t>
      </w:r>
      <w:r w:rsidR="00DF0B5D">
        <w:t xml:space="preserve"> these purposes, so that there is a realistic prospect that the court of appeal would</w:t>
      </w:r>
      <w:r w:rsidR="00287D77">
        <w:t xml:space="preserve"> (or might)</w:t>
      </w:r>
      <w:r w:rsidR="00DF0B5D">
        <w:t xml:space="preserve"> come to a different conclusion, it is not sufficient if it is arguable in the wide sense of the word; there must be substance and weight to it.  (This was </w:t>
      </w:r>
      <w:r w:rsidR="00407BC2">
        <w:t xml:space="preserve">also </w:t>
      </w:r>
      <w:r w:rsidR="00DF0B5D">
        <w:t xml:space="preserve">the case under the previous regime – see </w:t>
      </w:r>
      <w:r w:rsidR="00DF0B5D" w:rsidRPr="00D86431">
        <w:rPr>
          <w:i/>
        </w:rPr>
        <w:t>R v Baloi</w:t>
      </w:r>
      <w:r w:rsidR="00DF0B5D">
        <w:rPr>
          <w:rStyle w:val="FootnoteReference"/>
          <w:b/>
          <w:bCs/>
          <w:i/>
        </w:rPr>
        <w:footnoteReference w:id="11"/>
      </w:r>
      <w:r w:rsidR="00DF0B5D">
        <w:t xml:space="preserve">).  Any other approach would amount to circular reasoning; a would-be appellant could then obtain the necessary leave by merely alleging that the judgment reached by the court </w:t>
      </w:r>
      <w:r w:rsidR="00DF0B5D" w:rsidRPr="00D86431">
        <w:rPr>
          <w:i/>
        </w:rPr>
        <w:t>a quo</w:t>
      </w:r>
      <w:r w:rsidR="00DF0B5D">
        <w:t xml:space="preserve"> is open to criticism in some or other respect.</w:t>
      </w:r>
    </w:p>
    <w:p w14:paraId="66DF08C9" w14:textId="6500E5B4" w:rsidR="00407BC2" w:rsidRDefault="00C464EC" w:rsidP="00C464EC">
      <w:pPr>
        <w:pStyle w:val="1"/>
        <w:numPr>
          <w:ilvl w:val="0"/>
          <w:numId w:val="0"/>
        </w:numPr>
      </w:pPr>
      <w:r>
        <w:lastRenderedPageBreak/>
        <w:t>[12]</w:t>
      </w:r>
      <w:r>
        <w:tab/>
      </w:r>
      <w:r w:rsidR="00DF0B5D">
        <w:t>Section 17(1) of the Act imposes substantive requirements.  The correct approach is as follows:</w:t>
      </w:r>
      <w:r w:rsidR="00DF0B5D" w:rsidRPr="002A68B6">
        <w:rPr>
          <w:rStyle w:val="FootnoteReference"/>
          <w:rFonts w:cs="Arial"/>
          <w:szCs w:val="25"/>
        </w:rPr>
        <w:footnoteReference w:id="12"/>
      </w:r>
      <w:r w:rsidR="00D86431">
        <w:t xml:space="preserve"> L</w:t>
      </w:r>
      <w:r w:rsidR="00DF0B5D">
        <w:t>eave to appeal may only be given if the judge is of the opinion that certain jurisdictional facts exist, in other words, the judge sitting as a court of first instance has a fettered discretion;</w:t>
      </w:r>
      <w:r w:rsidR="00D86431">
        <w:t xml:space="preserve"> </w:t>
      </w:r>
      <w:r w:rsidR="00DF0B5D">
        <w:t>the jurisdictional facts required to be present are:</w:t>
      </w:r>
      <w:r w:rsidR="00D86431">
        <w:t xml:space="preserve"> </w:t>
      </w:r>
      <w:r w:rsidR="00DF0B5D" w:rsidRPr="00011E81">
        <w:t>the appeal has reasonable prospects of success;</w:t>
      </w:r>
      <w:r w:rsidR="00DF0B5D">
        <w:t xml:space="preserve"> o</w:t>
      </w:r>
      <w:r w:rsidR="00D86431">
        <w:t xml:space="preserve">r </w:t>
      </w:r>
      <w:r w:rsidR="00DF0B5D" w:rsidRPr="00011E81">
        <w:t>the existence of some compelling reason why the appeal should be heard, including conflicting judgments on the matter under consideration.</w:t>
      </w:r>
    </w:p>
    <w:p w14:paraId="24C6433D" w14:textId="7C1C4E9D" w:rsidR="00407BC2" w:rsidRDefault="00C464EC" w:rsidP="00C464EC">
      <w:pPr>
        <w:pStyle w:val="1"/>
        <w:numPr>
          <w:ilvl w:val="0"/>
          <w:numId w:val="0"/>
        </w:numPr>
      </w:pPr>
      <w:r>
        <w:t>[13]</w:t>
      </w:r>
      <w:r>
        <w:tab/>
      </w:r>
      <w:r w:rsidR="00407BC2">
        <w:t>I can do no better than to quote Mr Notsche’s colourful description of my task as he formulated it in his heads of argument:</w:t>
      </w:r>
    </w:p>
    <w:p w14:paraId="414545FE" w14:textId="61E07CB0" w:rsidR="00BB6D22" w:rsidRPr="00BB6D22" w:rsidRDefault="00C464EC" w:rsidP="00C464EC">
      <w:pPr>
        <w:pStyle w:val="1"/>
        <w:numPr>
          <w:ilvl w:val="0"/>
          <w:numId w:val="0"/>
        </w:numPr>
        <w:tabs>
          <w:tab w:val="left" w:pos="1985"/>
        </w:tabs>
        <w:spacing w:line="360" w:lineRule="auto"/>
        <w:ind w:left="1701" w:hanging="360"/>
        <w:rPr>
          <w:sz w:val="22"/>
        </w:rPr>
      </w:pPr>
      <w:r w:rsidRPr="00BB6D22">
        <w:rPr>
          <w:sz w:val="22"/>
        </w:rPr>
        <w:t>15.</w:t>
      </w:r>
      <w:r w:rsidRPr="00BB6D22">
        <w:rPr>
          <w:sz w:val="22"/>
        </w:rPr>
        <w:tab/>
      </w:r>
      <w:r w:rsidR="00BB6D22" w:rsidRPr="00BB6D22">
        <w:rPr>
          <w:sz w:val="22"/>
        </w:rPr>
        <w:t xml:space="preserve">The Court must, for a moment abdicate its judicial position and look at its judgment and order and seriously consider whether there is a reasonable prospect that another Court will come to a different conclusion. This requires judicial maturity, because </w:t>
      </w:r>
      <w:r w:rsidR="00BB6D22" w:rsidRPr="00BB6D22">
        <w:rPr>
          <w:i/>
          <w:sz w:val="22"/>
        </w:rPr>
        <w:t>“... a [person] in distress wants to pour out [his/her] heart more than the case be won. About him who stops a plea, one says: ‘Why does he reject it?</w:t>
      </w:r>
      <w:r w:rsidR="00BB6D22" w:rsidRPr="00BB6D22">
        <w:rPr>
          <w:sz w:val="22"/>
        </w:rPr>
        <w:t xml:space="preserve">’” </w:t>
      </w:r>
    </w:p>
    <w:p w14:paraId="199AEA55" w14:textId="2609D296" w:rsidR="00BB6D22" w:rsidRDefault="00C464EC" w:rsidP="00C464EC">
      <w:pPr>
        <w:pStyle w:val="1"/>
        <w:numPr>
          <w:ilvl w:val="0"/>
          <w:numId w:val="0"/>
        </w:numPr>
        <w:spacing w:line="360" w:lineRule="auto"/>
        <w:ind w:left="1701" w:hanging="360"/>
        <w:rPr>
          <w:sz w:val="22"/>
        </w:rPr>
      </w:pPr>
      <w:r>
        <w:rPr>
          <w:sz w:val="22"/>
        </w:rPr>
        <w:t>16.</w:t>
      </w:r>
      <w:r>
        <w:rPr>
          <w:sz w:val="22"/>
        </w:rPr>
        <w:tab/>
      </w:r>
      <w:r w:rsidR="00BB6D22" w:rsidRPr="00BB6D22">
        <w:rPr>
          <w:sz w:val="22"/>
        </w:rPr>
        <w:t>In that event a Court should steer that fine course between a Scylla of easily refusing leave to appeal and the Charybdis of granting leave to appeal in cases where there is no reasonable prospect of success on appeal and/ or other requirements have also not been met.’ (footnotes omitted)</w:t>
      </w:r>
    </w:p>
    <w:p w14:paraId="34AAD3E8" w14:textId="77777777" w:rsidR="00BB6D22" w:rsidRPr="00BB6D22" w:rsidRDefault="00BB6D22" w:rsidP="00BB6D22">
      <w:pPr>
        <w:pStyle w:val="1"/>
        <w:numPr>
          <w:ilvl w:val="0"/>
          <w:numId w:val="0"/>
        </w:numPr>
        <w:spacing w:line="360" w:lineRule="auto"/>
        <w:ind w:left="1701"/>
        <w:rPr>
          <w:sz w:val="22"/>
        </w:rPr>
      </w:pPr>
    </w:p>
    <w:p w14:paraId="4FDFCD78" w14:textId="4001F466" w:rsidR="00BB6D22" w:rsidRDefault="00C464EC" w:rsidP="00C464EC">
      <w:pPr>
        <w:pStyle w:val="1"/>
        <w:numPr>
          <w:ilvl w:val="0"/>
          <w:numId w:val="0"/>
        </w:numPr>
      </w:pPr>
      <w:r>
        <w:t>[14]</w:t>
      </w:r>
      <w:r>
        <w:tab/>
      </w:r>
      <w:r w:rsidR="00D86431">
        <w:t>I have considered the grounds for leave to appeal dispassionately and nothing argued has persuaded me that there is a reasonable prospect that another Court would</w:t>
      </w:r>
      <w:r w:rsidR="00BB6D22">
        <w:t xml:space="preserve"> (new test) or might (old test) come to a different conclusion (applying either test).</w:t>
      </w:r>
      <w:r w:rsidR="00D86431">
        <w:t xml:space="preserve"> </w:t>
      </w:r>
      <w:r w:rsidR="006D5A7E">
        <w:t>Most of the issues raised in the notice of application for leave to appeal have been dealt with in the judgment and I</w:t>
      </w:r>
      <w:r w:rsidR="00287D77">
        <w:t xml:space="preserve"> need not deal with those aspects again herein</w:t>
      </w:r>
      <w:r w:rsidR="006D5A7E">
        <w:t>.</w:t>
      </w:r>
    </w:p>
    <w:p w14:paraId="75B08FEC" w14:textId="6E6F544D" w:rsidR="00DF0B5D" w:rsidRDefault="00C464EC" w:rsidP="00C464EC">
      <w:pPr>
        <w:pStyle w:val="1"/>
        <w:numPr>
          <w:ilvl w:val="0"/>
          <w:numId w:val="0"/>
        </w:numPr>
      </w:pPr>
      <w:r>
        <w:t>[15]</w:t>
      </w:r>
      <w:r>
        <w:tab/>
      </w:r>
      <w:r w:rsidR="00BB6D22">
        <w:t>In my view the law is settled on the function of section 18 being to allow for different suspension regimes of application to decisions and interlocutory orders.</w:t>
      </w:r>
      <w:r w:rsidR="00BB6D22">
        <w:rPr>
          <w:rStyle w:val="FootnoteReference"/>
        </w:rPr>
        <w:footnoteReference w:id="13"/>
      </w:r>
      <w:r w:rsidR="00D86431">
        <w:t xml:space="preserve"> </w:t>
      </w:r>
      <w:r w:rsidR="007046E0">
        <w:t xml:space="preserve"> </w:t>
      </w:r>
      <w:r w:rsidR="007046E0">
        <w:lastRenderedPageBreak/>
        <w:t>The SCA held expressly that :‘</w:t>
      </w:r>
      <w:r w:rsidR="007046E0" w:rsidRPr="007046E0">
        <w:rPr>
          <w:i/>
        </w:rPr>
        <w:t>The provision has nothing to say about when an interlocutory order might be appealable</w:t>
      </w:r>
      <w:r w:rsidR="007046E0">
        <w:t>.’</w:t>
      </w:r>
    </w:p>
    <w:p w14:paraId="1C7C5CFB" w14:textId="7ABAE1A4" w:rsidR="00D82270" w:rsidRDefault="00C464EC" w:rsidP="00C464EC">
      <w:pPr>
        <w:pStyle w:val="1"/>
        <w:numPr>
          <w:ilvl w:val="0"/>
          <w:numId w:val="0"/>
        </w:numPr>
      </w:pPr>
      <w:r>
        <w:t>[16]</w:t>
      </w:r>
      <w:r>
        <w:tab/>
      </w:r>
      <w:r w:rsidR="007046E0">
        <w:t>Mr Cook SC argued that until the findings of this court in paragraph [13] of the judgment can be overcome</w:t>
      </w:r>
      <w:r w:rsidR="00D82270">
        <w:t>,</w:t>
      </w:r>
      <w:r w:rsidR="007046E0">
        <w:t xml:space="preserve"> leave cannot be granted. I agree. </w:t>
      </w:r>
      <w:r w:rsidR="00D82270">
        <w:t xml:space="preserve">All the relief will be revisited by the court hearing Part B of the notice of motion either because it has been asked to do so expressly in the notice of motion or because it will be required to do so in determining just an equitable relief. </w:t>
      </w:r>
      <w:r w:rsidR="006D5A7E">
        <w:t>The relief granted by Du P</w:t>
      </w:r>
      <w:r w:rsidR="00287D77">
        <w:t>less</w:t>
      </w:r>
      <w:r w:rsidR="006D5A7E">
        <w:t>is AJ will be revisited. That being so, there are no prospects of success.</w:t>
      </w:r>
    </w:p>
    <w:p w14:paraId="2A47BCCF" w14:textId="61E71FC6" w:rsidR="00D82270" w:rsidRDefault="00C464EC" w:rsidP="00C464EC">
      <w:pPr>
        <w:pStyle w:val="1"/>
        <w:numPr>
          <w:ilvl w:val="0"/>
          <w:numId w:val="0"/>
        </w:numPr>
      </w:pPr>
      <w:r>
        <w:t>[17]</w:t>
      </w:r>
      <w:r>
        <w:tab/>
      </w:r>
      <w:r w:rsidR="00D82270">
        <w:t>There are no legal issues which require the attention of the Supreme Court of Appeal, as suggested</w:t>
      </w:r>
      <w:r w:rsidR="00287D77">
        <w:t>. I reminded of the caution expressed by Wallis JA:</w:t>
      </w:r>
      <w:r w:rsidR="00D82270">
        <w:t xml:space="preserve"> ‘</w:t>
      </w:r>
      <w:r w:rsidR="00D82270" w:rsidRPr="00D82270">
        <w:rPr>
          <w:i/>
        </w:rPr>
        <w:t>The need to obtain leave to appeal is a valuable tool in ensuring that scare judicial resources are not spent on appeal</w:t>
      </w:r>
      <w:r w:rsidR="00D82270">
        <w:rPr>
          <w:i/>
        </w:rPr>
        <w:t>s</w:t>
      </w:r>
      <w:r w:rsidR="00D82270" w:rsidRPr="00D82270">
        <w:rPr>
          <w:i/>
        </w:rPr>
        <w:t xml:space="preserve"> that lack merit.</w:t>
      </w:r>
      <w:r w:rsidR="00D82270">
        <w:t>’</w:t>
      </w:r>
      <w:r w:rsidR="00D82270">
        <w:rPr>
          <w:rStyle w:val="FootnoteReference"/>
        </w:rPr>
        <w:footnoteReference w:id="14"/>
      </w:r>
    </w:p>
    <w:p w14:paraId="2E3E5613" w14:textId="3407A86C" w:rsidR="007046E0" w:rsidRDefault="00C464EC" w:rsidP="00C464EC">
      <w:pPr>
        <w:pStyle w:val="1"/>
        <w:numPr>
          <w:ilvl w:val="0"/>
          <w:numId w:val="0"/>
        </w:numPr>
      </w:pPr>
      <w:r>
        <w:t>[18]</w:t>
      </w:r>
      <w:r>
        <w:tab/>
      </w:r>
      <w:r w:rsidR="007046E0">
        <w:t xml:space="preserve">Mr Cook argued that the application for leave to appeal is frivolous and that it should attract a punitive costs order because it lacks all merit. He </w:t>
      </w:r>
      <w:r w:rsidR="00287D77">
        <w:t>reminded this</w:t>
      </w:r>
      <w:r w:rsidR="007046E0">
        <w:t xml:space="preserve"> court of the comments in paragraph [38] of the judgment to the effect that had the court been asked to grant punitive costs in respect of a finding limited to coercive relief, it would have</w:t>
      </w:r>
      <w:r w:rsidR="00D82270">
        <w:t>.</w:t>
      </w:r>
    </w:p>
    <w:p w14:paraId="3021778F" w14:textId="7D9764EC" w:rsidR="00555423" w:rsidRDefault="00C464EC" w:rsidP="00C464EC">
      <w:pPr>
        <w:pStyle w:val="1"/>
        <w:numPr>
          <w:ilvl w:val="0"/>
          <w:numId w:val="0"/>
        </w:numPr>
      </w:pPr>
      <w:r>
        <w:t>[19]</w:t>
      </w:r>
      <w:r>
        <w:tab/>
      </w:r>
      <w:r w:rsidR="006D5A7E">
        <w:t xml:space="preserve">In my view, a court should be slow to grant punitive costs based on the merits of a case i.e. the legal soundness of a case. There are exceptions but I do not intend traversing this topic in this judgment. Conduct of the parties is of course another matter. I did not grant punitive costs in the judgment because I was not asked to do so if the relief granted were limited. The issue of costs remains discretionary and having regard to all that has been said and although Mr Cassim’s conduct towards his colleague Mr Zowa as described in the judgment is worthy </w:t>
      </w:r>
      <w:r w:rsidR="00555423">
        <w:t xml:space="preserve">of </w:t>
      </w:r>
      <w:r w:rsidR="006D5A7E">
        <w:t xml:space="preserve">censure, I drew a line in </w:t>
      </w:r>
      <w:r w:rsidR="006D5A7E">
        <w:lastRenderedPageBreak/>
        <w:t>the sand</w:t>
      </w:r>
      <w:r w:rsidR="00555423">
        <w:t xml:space="preserve"> with my previous order and intend being consistent in respect of the scale of the costs.</w:t>
      </w:r>
    </w:p>
    <w:p w14:paraId="202188CD" w14:textId="500C2940" w:rsidR="00555423" w:rsidRDefault="00C464EC" w:rsidP="00C464EC">
      <w:pPr>
        <w:pStyle w:val="1"/>
        <w:numPr>
          <w:ilvl w:val="0"/>
          <w:numId w:val="0"/>
        </w:numPr>
      </w:pPr>
      <w:r>
        <w:t>[20]</w:t>
      </w:r>
      <w:r>
        <w:tab/>
      </w:r>
      <w:r w:rsidR="00555423">
        <w:t>I accordingly grant the following order:</w:t>
      </w:r>
    </w:p>
    <w:p w14:paraId="5AFC92BA" w14:textId="4D4BE402" w:rsidR="00D82270" w:rsidRDefault="00555423" w:rsidP="00555423">
      <w:pPr>
        <w:pStyle w:val="1"/>
        <w:numPr>
          <w:ilvl w:val="0"/>
          <w:numId w:val="0"/>
        </w:numPr>
      </w:pPr>
      <w:r>
        <w:t xml:space="preserve">The application for leave to appeal is dismissed with costs, such costs to include the costs of two counsel where so employed. </w:t>
      </w:r>
    </w:p>
    <w:bookmarkEnd w:id="0"/>
    <w:p w14:paraId="12F17430" w14:textId="77777777" w:rsidR="001049CE" w:rsidRDefault="001049CE" w:rsidP="001049CE">
      <w:pPr>
        <w:pStyle w:val="1"/>
        <w:numPr>
          <w:ilvl w:val="0"/>
          <w:numId w:val="0"/>
        </w:numPr>
        <w:ind w:left="851"/>
      </w:pPr>
    </w:p>
    <w:p w14:paraId="617C12F5" w14:textId="77777777" w:rsidR="002C2680" w:rsidRPr="009624B9" w:rsidRDefault="002C2680" w:rsidP="00A67A79">
      <w:pPr>
        <w:pStyle w:val="1"/>
        <w:numPr>
          <w:ilvl w:val="0"/>
          <w:numId w:val="0"/>
        </w:numPr>
      </w:pPr>
    </w:p>
    <w:p w14:paraId="26677EBE" w14:textId="77777777" w:rsidR="00F42EDF" w:rsidRPr="00B931FD" w:rsidRDefault="00F42EDF" w:rsidP="00F42EDF">
      <w:pPr>
        <w:pStyle w:val="1"/>
        <w:numPr>
          <w:ilvl w:val="0"/>
          <w:numId w:val="0"/>
        </w:numPr>
        <w:ind w:left="680"/>
      </w:pPr>
    </w:p>
    <w:p w14:paraId="3200E748" w14:textId="77777777" w:rsidR="00321949" w:rsidRPr="009624B9" w:rsidRDefault="00321949" w:rsidP="00321949">
      <w:pPr>
        <w:tabs>
          <w:tab w:val="left" w:pos="851"/>
          <w:tab w:val="left" w:pos="1701"/>
          <w:tab w:val="left" w:pos="2835"/>
          <w:tab w:val="left" w:pos="3969"/>
          <w:tab w:val="right" w:pos="8222"/>
        </w:tabs>
        <w:ind w:left="691"/>
        <w:contextualSpacing/>
        <w:jc w:val="right"/>
        <w:rPr>
          <w:rFonts w:cs="Arial"/>
        </w:rPr>
      </w:pPr>
      <w:r w:rsidRPr="009624B9">
        <w:rPr>
          <w:rFonts w:cs="Arial"/>
        </w:rPr>
        <w:t>___________________________</w:t>
      </w:r>
    </w:p>
    <w:p w14:paraId="67B58A33" w14:textId="77777777" w:rsidR="00321949" w:rsidRPr="009624B9" w:rsidRDefault="00321949" w:rsidP="00321949">
      <w:pPr>
        <w:ind w:left="691"/>
        <w:jc w:val="right"/>
        <w:outlineLvl w:val="0"/>
        <w:rPr>
          <w:rFonts w:cs="Arial"/>
        </w:rPr>
      </w:pPr>
      <w:r w:rsidRPr="009624B9">
        <w:rPr>
          <w:rFonts w:cs="Arial"/>
        </w:rPr>
        <w:t>I OPPERMAN</w:t>
      </w:r>
    </w:p>
    <w:p w14:paraId="3A83A696" w14:textId="77777777" w:rsidR="00321949" w:rsidRPr="009624B9" w:rsidRDefault="00321949" w:rsidP="00321949">
      <w:pPr>
        <w:ind w:left="691"/>
        <w:jc w:val="right"/>
        <w:rPr>
          <w:rFonts w:cs="Arial"/>
        </w:rPr>
      </w:pPr>
      <w:r w:rsidRPr="009624B9">
        <w:rPr>
          <w:rFonts w:cs="Arial"/>
        </w:rPr>
        <w:t>Judge of the High Court</w:t>
      </w:r>
    </w:p>
    <w:p w14:paraId="679A9D16" w14:textId="77777777" w:rsidR="00321949" w:rsidRPr="009624B9" w:rsidRDefault="00321949" w:rsidP="00321949">
      <w:pPr>
        <w:ind w:left="691"/>
        <w:jc w:val="right"/>
        <w:rPr>
          <w:rFonts w:cs="Arial"/>
        </w:rPr>
      </w:pPr>
      <w:r w:rsidRPr="009624B9">
        <w:rPr>
          <w:rFonts w:cs="Arial"/>
        </w:rPr>
        <w:t>Gauteng Division, Johannesburg</w:t>
      </w:r>
    </w:p>
    <w:p w14:paraId="3189319B" w14:textId="77777777" w:rsidR="00321949" w:rsidRPr="009624B9" w:rsidRDefault="00321949" w:rsidP="00321949">
      <w:pPr>
        <w:ind w:left="691"/>
        <w:jc w:val="right"/>
        <w:rPr>
          <w:rFonts w:cs="Arial"/>
        </w:rPr>
      </w:pPr>
    </w:p>
    <w:p w14:paraId="7740CE43" w14:textId="77777777" w:rsidR="00321949" w:rsidRPr="009624B9" w:rsidRDefault="00321949" w:rsidP="00321949">
      <w:pPr>
        <w:ind w:left="691"/>
        <w:rPr>
          <w:rFonts w:cs="Arial"/>
        </w:rPr>
      </w:pPr>
    </w:p>
    <w:p w14:paraId="4019D4C3" w14:textId="77777777" w:rsidR="00120EA2" w:rsidRDefault="00120EA2" w:rsidP="00321949">
      <w:pPr>
        <w:pStyle w:val="BodyText"/>
        <w:tabs>
          <w:tab w:val="left" w:pos="567"/>
        </w:tabs>
        <w:spacing w:before="120"/>
        <w:outlineLvl w:val="0"/>
        <w:rPr>
          <w:rFonts w:cs="Arial"/>
          <w:sz w:val="22"/>
          <w:szCs w:val="22"/>
        </w:rPr>
      </w:pPr>
    </w:p>
    <w:p w14:paraId="49098CD7" w14:textId="77777777" w:rsidR="00120EA2" w:rsidRDefault="00120EA2" w:rsidP="00321949">
      <w:pPr>
        <w:pStyle w:val="BodyText"/>
        <w:tabs>
          <w:tab w:val="left" w:pos="567"/>
        </w:tabs>
        <w:spacing w:before="120"/>
        <w:outlineLvl w:val="0"/>
        <w:rPr>
          <w:rFonts w:cs="Arial"/>
          <w:sz w:val="22"/>
          <w:szCs w:val="22"/>
        </w:rPr>
      </w:pPr>
    </w:p>
    <w:p w14:paraId="056F7D64" w14:textId="77777777" w:rsidR="00120EA2" w:rsidRDefault="00120EA2" w:rsidP="00321949">
      <w:pPr>
        <w:pStyle w:val="BodyText"/>
        <w:tabs>
          <w:tab w:val="left" w:pos="567"/>
        </w:tabs>
        <w:spacing w:before="120"/>
        <w:outlineLvl w:val="0"/>
        <w:rPr>
          <w:rFonts w:cs="Arial"/>
          <w:sz w:val="22"/>
          <w:szCs w:val="22"/>
        </w:rPr>
      </w:pPr>
    </w:p>
    <w:p w14:paraId="654E9C4B" w14:textId="77777777" w:rsidR="00120EA2" w:rsidRDefault="00120EA2" w:rsidP="00321949">
      <w:pPr>
        <w:pStyle w:val="BodyText"/>
        <w:tabs>
          <w:tab w:val="left" w:pos="567"/>
        </w:tabs>
        <w:spacing w:before="120"/>
        <w:outlineLvl w:val="0"/>
        <w:rPr>
          <w:rFonts w:cs="Arial"/>
          <w:sz w:val="22"/>
          <w:szCs w:val="22"/>
        </w:rPr>
      </w:pPr>
    </w:p>
    <w:p w14:paraId="008EB89B" w14:textId="77777777" w:rsidR="00120EA2" w:rsidRDefault="00120EA2" w:rsidP="00321949">
      <w:pPr>
        <w:pStyle w:val="BodyText"/>
        <w:tabs>
          <w:tab w:val="left" w:pos="567"/>
        </w:tabs>
        <w:spacing w:before="120"/>
        <w:outlineLvl w:val="0"/>
        <w:rPr>
          <w:rFonts w:cs="Arial"/>
          <w:sz w:val="22"/>
          <w:szCs w:val="22"/>
        </w:rPr>
      </w:pPr>
    </w:p>
    <w:p w14:paraId="6256F207" w14:textId="77777777" w:rsidR="00120EA2" w:rsidRDefault="00120EA2" w:rsidP="00321949">
      <w:pPr>
        <w:pStyle w:val="BodyText"/>
        <w:tabs>
          <w:tab w:val="left" w:pos="567"/>
        </w:tabs>
        <w:spacing w:before="120"/>
        <w:outlineLvl w:val="0"/>
        <w:rPr>
          <w:rFonts w:cs="Arial"/>
          <w:sz w:val="22"/>
          <w:szCs w:val="22"/>
        </w:rPr>
      </w:pPr>
    </w:p>
    <w:p w14:paraId="76119310" w14:textId="77777777" w:rsidR="00120EA2" w:rsidRDefault="00120EA2" w:rsidP="00321949">
      <w:pPr>
        <w:pStyle w:val="BodyText"/>
        <w:tabs>
          <w:tab w:val="left" w:pos="567"/>
        </w:tabs>
        <w:spacing w:before="120"/>
        <w:outlineLvl w:val="0"/>
        <w:rPr>
          <w:rFonts w:cs="Arial"/>
          <w:sz w:val="22"/>
          <w:szCs w:val="22"/>
        </w:rPr>
      </w:pPr>
    </w:p>
    <w:p w14:paraId="13E33B34" w14:textId="77777777" w:rsidR="00120EA2" w:rsidRDefault="00120EA2" w:rsidP="00321949">
      <w:pPr>
        <w:pStyle w:val="BodyText"/>
        <w:tabs>
          <w:tab w:val="left" w:pos="567"/>
        </w:tabs>
        <w:spacing w:before="120"/>
        <w:outlineLvl w:val="0"/>
        <w:rPr>
          <w:rFonts w:cs="Arial"/>
          <w:sz w:val="22"/>
          <w:szCs w:val="22"/>
        </w:rPr>
      </w:pPr>
    </w:p>
    <w:p w14:paraId="0C35E112" w14:textId="6182E692" w:rsidR="00321949" w:rsidRPr="009624B9" w:rsidRDefault="00321949" w:rsidP="00321949">
      <w:pPr>
        <w:pStyle w:val="BodyText"/>
        <w:tabs>
          <w:tab w:val="left" w:pos="567"/>
        </w:tabs>
        <w:spacing w:before="120"/>
        <w:outlineLvl w:val="0"/>
        <w:rPr>
          <w:rFonts w:cs="Arial"/>
          <w:sz w:val="22"/>
          <w:szCs w:val="22"/>
        </w:rPr>
      </w:pPr>
      <w:r w:rsidRPr="009624B9">
        <w:rPr>
          <w:rFonts w:cs="Arial"/>
          <w:sz w:val="22"/>
          <w:szCs w:val="22"/>
        </w:rPr>
        <w:t>Counsel for the applicant</w:t>
      </w:r>
      <w:r w:rsidR="00555423">
        <w:rPr>
          <w:rFonts w:cs="Arial"/>
          <w:sz w:val="22"/>
          <w:szCs w:val="22"/>
        </w:rPr>
        <w:t>s in leave to appeal</w:t>
      </w:r>
      <w:r w:rsidRPr="009624B9">
        <w:rPr>
          <w:rFonts w:cs="Arial"/>
          <w:sz w:val="22"/>
          <w:szCs w:val="22"/>
        </w:rPr>
        <w:t xml:space="preserve">: </w:t>
      </w:r>
      <w:r w:rsidR="00555423">
        <w:rPr>
          <w:rFonts w:cs="Arial"/>
          <w:sz w:val="22"/>
          <w:szCs w:val="22"/>
        </w:rPr>
        <w:t>Adv VS Notshe SC and Adv T Mlambo</w:t>
      </w:r>
    </w:p>
    <w:p w14:paraId="75901DFC" w14:textId="6832547F" w:rsidR="00321949" w:rsidRPr="009624B9" w:rsidRDefault="00321949" w:rsidP="00321949">
      <w:pPr>
        <w:pStyle w:val="BodyText"/>
        <w:tabs>
          <w:tab w:val="left" w:pos="567"/>
        </w:tabs>
        <w:spacing w:before="120"/>
        <w:rPr>
          <w:rFonts w:cs="Arial"/>
          <w:sz w:val="22"/>
          <w:szCs w:val="22"/>
        </w:rPr>
      </w:pPr>
      <w:r w:rsidRPr="009624B9">
        <w:rPr>
          <w:rFonts w:cs="Arial"/>
          <w:sz w:val="22"/>
          <w:szCs w:val="22"/>
        </w:rPr>
        <w:t xml:space="preserve">Instructed by: </w:t>
      </w:r>
      <w:r w:rsidR="00555423">
        <w:rPr>
          <w:rFonts w:cs="Arial"/>
          <w:sz w:val="22"/>
          <w:szCs w:val="22"/>
        </w:rPr>
        <w:t>TKN Inc Attorneys</w:t>
      </w:r>
    </w:p>
    <w:p w14:paraId="34DB3B84" w14:textId="5484DDC2" w:rsidR="00321949" w:rsidRPr="009624B9" w:rsidRDefault="00321949" w:rsidP="00555423">
      <w:pPr>
        <w:pStyle w:val="BodyText"/>
        <w:tabs>
          <w:tab w:val="left" w:pos="567"/>
        </w:tabs>
        <w:spacing w:before="120"/>
        <w:outlineLvl w:val="0"/>
        <w:rPr>
          <w:rFonts w:cs="Arial"/>
          <w:sz w:val="22"/>
          <w:szCs w:val="22"/>
        </w:rPr>
      </w:pPr>
      <w:r w:rsidRPr="009624B9">
        <w:rPr>
          <w:rFonts w:cs="Arial"/>
          <w:sz w:val="22"/>
          <w:szCs w:val="22"/>
        </w:rPr>
        <w:t>Counsel for the respondent</w:t>
      </w:r>
      <w:r w:rsidR="00555423">
        <w:rPr>
          <w:rFonts w:cs="Arial"/>
          <w:sz w:val="22"/>
          <w:szCs w:val="22"/>
        </w:rPr>
        <w:t xml:space="preserve"> in leave to appeal</w:t>
      </w:r>
      <w:r w:rsidRPr="009624B9">
        <w:rPr>
          <w:rFonts w:cs="Arial"/>
          <w:sz w:val="22"/>
          <w:szCs w:val="22"/>
        </w:rPr>
        <w:t xml:space="preserve">: </w:t>
      </w:r>
      <w:r w:rsidR="00555423">
        <w:rPr>
          <w:rFonts w:cs="Arial"/>
          <w:sz w:val="22"/>
          <w:szCs w:val="22"/>
        </w:rPr>
        <w:t>Adv AO Cook SC and Adv M Seape</w:t>
      </w:r>
    </w:p>
    <w:p w14:paraId="2DAD4CA5" w14:textId="68D568A3" w:rsidR="00321949" w:rsidRPr="009624B9" w:rsidRDefault="00321949" w:rsidP="00321949">
      <w:pPr>
        <w:pStyle w:val="BodyText"/>
        <w:tabs>
          <w:tab w:val="left" w:pos="567"/>
        </w:tabs>
        <w:spacing w:before="120"/>
        <w:rPr>
          <w:rFonts w:cs="Arial"/>
          <w:sz w:val="22"/>
          <w:szCs w:val="22"/>
        </w:rPr>
      </w:pPr>
      <w:r w:rsidRPr="009624B9">
        <w:rPr>
          <w:rFonts w:cs="Arial"/>
          <w:sz w:val="22"/>
          <w:szCs w:val="22"/>
        </w:rPr>
        <w:t xml:space="preserve">Instructed by: </w:t>
      </w:r>
      <w:r w:rsidR="00555423">
        <w:rPr>
          <w:rFonts w:cs="Arial"/>
          <w:sz w:val="22"/>
          <w:szCs w:val="22"/>
        </w:rPr>
        <w:t>Adams &amp; Adams</w:t>
      </w:r>
    </w:p>
    <w:p w14:paraId="1FD5C6F4" w14:textId="24420C9E" w:rsidR="001049CE" w:rsidRDefault="00321949" w:rsidP="001049CE">
      <w:pPr>
        <w:pStyle w:val="BodyText"/>
        <w:tabs>
          <w:tab w:val="left" w:pos="567"/>
        </w:tabs>
        <w:spacing w:before="120"/>
        <w:rPr>
          <w:rFonts w:cs="Arial"/>
          <w:sz w:val="22"/>
          <w:szCs w:val="22"/>
        </w:rPr>
      </w:pPr>
      <w:r w:rsidRPr="009624B9">
        <w:rPr>
          <w:rFonts w:cs="Arial"/>
          <w:sz w:val="22"/>
          <w:szCs w:val="22"/>
        </w:rPr>
        <w:t xml:space="preserve">Date of hearing: </w:t>
      </w:r>
      <w:r w:rsidR="00555423">
        <w:rPr>
          <w:rFonts w:cs="Arial"/>
          <w:sz w:val="22"/>
          <w:szCs w:val="22"/>
        </w:rPr>
        <w:t xml:space="preserve"> 7 December</w:t>
      </w:r>
      <w:r w:rsidR="001049CE">
        <w:rPr>
          <w:rFonts w:cs="Arial"/>
          <w:sz w:val="22"/>
          <w:szCs w:val="22"/>
        </w:rPr>
        <w:t xml:space="preserve"> 2023</w:t>
      </w:r>
    </w:p>
    <w:p w14:paraId="0A0A08C9" w14:textId="068F687A" w:rsidR="00321949" w:rsidRPr="009624B9" w:rsidRDefault="00321949" w:rsidP="00321949">
      <w:pPr>
        <w:pStyle w:val="BodyText"/>
        <w:rPr>
          <w:rFonts w:cs="Arial"/>
          <w:sz w:val="24"/>
          <w:szCs w:val="24"/>
        </w:rPr>
      </w:pPr>
      <w:r w:rsidRPr="009624B9">
        <w:rPr>
          <w:rFonts w:cs="Arial"/>
          <w:sz w:val="22"/>
          <w:szCs w:val="22"/>
        </w:rPr>
        <w:t>Date of Judgment</w:t>
      </w:r>
      <w:r w:rsidR="00A21938">
        <w:rPr>
          <w:rFonts w:cs="Arial"/>
          <w:sz w:val="22"/>
          <w:szCs w:val="22"/>
        </w:rPr>
        <w:t>:</w:t>
      </w:r>
      <w:r w:rsidR="00555423">
        <w:rPr>
          <w:rFonts w:cs="Arial"/>
          <w:sz w:val="22"/>
          <w:szCs w:val="22"/>
        </w:rPr>
        <w:t xml:space="preserve"> 8 December</w:t>
      </w:r>
      <w:r w:rsidR="001049CE">
        <w:rPr>
          <w:rFonts w:cs="Arial"/>
          <w:sz w:val="22"/>
          <w:szCs w:val="22"/>
        </w:rPr>
        <w:t xml:space="preserve"> 2023</w:t>
      </w:r>
    </w:p>
    <w:sectPr w:rsidR="00321949" w:rsidRPr="009624B9" w:rsidSect="00E13EA8">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6B4F" w14:textId="77777777" w:rsidR="00194517" w:rsidRDefault="00194517" w:rsidP="00115245">
      <w:r>
        <w:separator/>
      </w:r>
    </w:p>
  </w:endnote>
  <w:endnote w:type="continuationSeparator" w:id="0">
    <w:p w14:paraId="1844457E" w14:textId="77777777" w:rsidR="00194517" w:rsidRDefault="00194517"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EA2F" w14:textId="77777777" w:rsidR="00194517" w:rsidRDefault="00194517" w:rsidP="00115245">
      <w:r>
        <w:separator/>
      </w:r>
    </w:p>
  </w:footnote>
  <w:footnote w:type="continuationSeparator" w:id="0">
    <w:p w14:paraId="42E51CB5" w14:textId="77777777" w:rsidR="00194517" w:rsidRDefault="00194517" w:rsidP="00115245">
      <w:r>
        <w:continuationSeparator/>
      </w:r>
    </w:p>
  </w:footnote>
  <w:footnote w:id="1">
    <w:p w14:paraId="56455B45" w14:textId="77777777" w:rsidR="00DF0B5D" w:rsidRPr="00697F2D" w:rsidRDefault="00DF0B5D" w:rsidP="00DF0B5D">
      <w:pPr>
        <w:pStyle w:val="FootnoteText"/>
        <w:keepNext/>
      </w:pPr>
      <w:r w:rsidRPr="00697F2D">
        <w:rPr>
          <w:rStyle w:val="FootnoteReference"/>
          <w:rFonts w:eastAsiaTheme="majorEastAsia" w:cs="Arial"/>
          <w:szCs w:val="18"/>
        </w:rPr>
        <w:footnoteRef/>
      </w:r>
      <w:r w:rsidRPr="00697F2D">
        <w:t xml:space="preserve"> </w:t>
      </w:r>
      <w:r>
        <w:tab/>
      </w:r>
      <w:r w:rsidRPr="00697F2D">
        <w:t>The section provides in full:</w:t>
      </w:r>
    </w:p>
    <w:p w14:paraId="3DCB5ACE" w14:textId="07F5817F" w:rsidR="00DF0B5D" w:rsidRPr="00DF0B5D" w:rsidRDefault="00DF0B5D" w:rsidP="00DF0B5D">
      <w:pPr>
        <w:pStyle w:val="FootnoteText"/>
        <w:ind w:firstLine="0"/>
        <w:rPr>
          <w:iCs/>
        </w:rPr>
      </w:pPr>
      <w:r w:rsidRPr="00DF0B5D">
        <w:t>‘</w:t>
      </w:r>
      <w:r w:rsidRPr="00DF0B5D">
        <w:rPr>
          <w:iCs/>
        </w:rPr>
        <w:t>Leave to appeal may only be given where the judge or judges concerned are of the opinion that –</w:t>
      </w:r>
    </w:p>
    <w:p w14:paraId="3D676A87" w14:textId="77777777" w:rsidR="00DF0B5D" w:rsidRPr="00DF0B5D" w:rsidRDefault="00DF0B5D" w:rsidP="00DF0B5D">
      <w:pPr>
        <w:pStyle w:val="FootnoteText"/>
        <w:tabs>
          <w:tab w:val="left" w:pos="1276"/>
        </w:tabs>
        <w:ind w:firstLine="0"/>
        <w:rPr>
          <w:iCs/>
        </w:rPr>
      </w:pPr>
      <w:r w:rsidRPr="00DF0B5D">
        <w:rPr>
          <w:iCs/>
        </w:rPr>
        <w:t>(a)</w:t>
      </w:r>
      <w:r w:rsidRPr="00DF0B5D">
        <w:rPr>
          <w:iCs/>
        </w:rPr>
        <w:tab/>
        <w:t>(i)</w:t>
      </w:r>
      <w:r w:rsidRPr="00DF0B5D">
        <w:rPr>
          <w:iCs/>
        </w:rPr>
        <w:tab/>
        <w:t>the appeal would have a reasonable prospect of success; or</w:t>
      </w:r>
    </w:p>
    <w:p w14:paraId="436E80C7" w14:textId="77777777" w:rsidR="00DF0B5D" w:rsidRPr="00DF0B5D" w:rsidRDefault="00DF0B5D" w:rsidP="00DF0B5D">
      <w:pPr>
        <w:pStyle w:val="FootnoteText"/>
        <w:tabs>
          <w:tab w:val="left" w:pos="1276"/>
        </w:tabs>
        <w:ind w:left="1276" w:firstLine="0"/>
        <w:rPr>
          <w:iCs/>
        </w:rPr>
      </w:pPr>
      <w:r w:rsidRPr="00DF0B5D">
        <w:rPr>
          <w:iCs/>
        </w:rPr>
        <w:t xml:space="preserve">(ii) </w:t>
      </w:r>
      <w:r w:rsidRPr="00DF0B5D">
        <w:rPr>
          <w:iCs/>
        </w:rPr>
        <w:tab/>
        <w:t>there is some other compelling reason why the appeal should be heard, including conflicting judgments on the matter under consideration;</w:t>
      </w:r>
    </w:p>
    <w:p w14:paraId="014F33EE" w14:textId="77777777" w:rsidR="00DF0B5D" w:rsidRPr="00DF0B5D" w:rsidRDefault="00DF0B5D" w:rsidP="00DF0B5D">
      <w:pPr>
        <w:pStyle w:val="FootnoteText"/>
        <w:tabs>
          <w:tab w:val="left" w:pos="1276"/>
        </w:tabs>
        <w:ind w:left="1276" w:hanging="709"/>
        <w:rPr>
          <w:iCs/>
        </w:rPr>
      </w:pPr>
      <w:r w:rsidRPr="00DF0B5D">
        <w:rPr>
          <w:iCs/>
        </w:rPr>
        <w:t>(b)</w:t>
      </w:r>
      <w:r w:rsidRPr="00DF0B5D">
        <w:rPr>
          <w:iCs/>
        </w:rPr>
        <w:tab/>
        <w:t xml:space="preserve">the decision sought on appeal does not fall within the ambit of </w:t>
      </w:r>
      <w:r w:rsidRPr="00DF0B5D">
        <w:rPr>
          <w:bCs/>
          <w:iCs/>
        </w:rPr>
        <w:t>section 16</w:t>
      </w:r>
      <w:r w:rsidRPr="00DF0B5D">
        <w:rPr>
          <w:iCs/>
        </w:rPr>
        <w:t xml:space="preserve"> (2) (a); and</w:t>
      </w:r>
    </w:p>
    <w:p w14:paraId="5687D893" w14:textId="78C807C3" w:rsidR="00DF0B5D" w:rsidRPr="00DF0B5D" w:rsidRDefault="00DF0B5D" w:rsidP="00DF0B5D">
      <w:pPr>
        <w:pStyle w:val="FootnoteText"/>
        <w:tabs>
          <w:tab w:val="left" w:pos="1276"/>
        </w:tabs>
        <w:ind w:left="1276" w:hanging="709"/>
      </w:pPr>
      <w:r w:rsidRPr="00DF0B5D">
        <w:rPr>
          <w:iCs/>
        </w:rPr>
        <w:t>(c)</w:t>
      </w:r>
      <w:r w:rsidRPr="00DF0B5D">
        <w:rPr>
          <w:iCs/>
        </w:rPr>
        <w:tab/>
        <w:t>where the decision sought to be appealed does not dispose of all the issues in the case, the appeal would lead to a just and prompt resolution of the real issues between the parties</w:t>
      </w:r>
      <w:r>
        <w:t>.’</w:t>
      </w:r>
    </w:p>
  </w:footnote>
  <w:footnote w:id="2">
    <w:p w14:paraId="348C5233" w14:textId="77777777" w:rsidR="00DF0B5D" w:rsidRDefault="00DF0B5D" w:rsidP="00DF0B5D">
      <w:pPr>
        <w:pStyle w:val="FootnoteText"/>
      </w:pPr>
      <w:r>
        <w:rPr>
          <w:rStyle w:val="FootnoteReference"/>
        </w:rPr>
        <w:footnoteRef/>
      </w:r>
      <w:r>
        <w:t xml:space="preserve"> </w:t>
      </w:r>
      <w:r>
        <w:tab/>
        <w:t>[2016] ZASCA112 (7 September 2016), unreported, para 2.</w:t>
      </w:r>
    </w:p>
  </w:footnote>
  <w:footnote w:id="3">
    <w:p w14:paraId="063A48D2" w14:textId="77777777" w:rsidR="00DF0B5D" w:rsidRDefault="00DF0B5D" w:rsidP="00DF0B5D">
      <w:pPr>
        <w:pStyle w:val="FootnoteText"/>
      </w:pPr>
      <w:r>
        <w:rPr>
          <w:rStyle w:val="FootnoteReference"/>
        </w:rPr>
        <w:footnoteRef/>
      </w:r>
      <w:r>
        <w:t xml:space="preserve"> </w:t>
      </w:r>
      <w:r>
        <w:tab/>
      </w:r>
      <w:r w:rsidRPr="00162CA7">
        <w:rPr>
          <w:i/>
          <w:iCs/>
        </w:rPr>
        <w:t>Acting National Director of Public Prosecutions and Others v Democratic Alliance In Re: Democratic Alliance v Acting National Director of Public Prosecutions and Others</w:t>
      </w:r>
      <w:r w:rsidRPr="00827D89">
        <w:t xml:space="preserve"> (19577/09) [2016] ZAGPPHC 489 (24 June 2016)</w:t>
      </w:r>
      <w:r>
        <w:t xml:space="preserve"> </w:t>
      </w:r>
      <w:r w:rsidRPr="00697F2D">
        <w:t>2016 JDR 1211 (GP)</w:t>
      </w:r>
      <w:r>
        <w:t xml:space="preserve">, para 25, quoting </w:t>
      </w:r>
      <w:r w:rsidRPr="00555516">
        <w:rPr>
          <w:i/>
          <w:iCs/>
        </w:rPr>
        <w:t>The Mont Chevaux Trust v Tina Goosen &amp; 18 Others</w:t>
      </w:r>
      <w:r>
        <w:t xml:space="preserve"> 2014 JDR 2325 (LCC) at para 6.  </w:t>
      </w:r>
      <w:r w:rsidRPr="00697F2D">
        <w:t xml:space="preserve">The test was not interfered with on the further appeal to the Supreme Court of Appeal – See </w:t>
      </w:r>
      <w:r w:rsidRPr="00697F2D">
        <w:rPr>
          <w:i/>
          <w:iCs/>
        </w:rPr>
        <w:t xml:space="preserve">Zuma v Democratic Alliance and Others </w:t>
      </w:r>
      <w:r w:rsidRPr="00697F2D">
        <w:t>2018 (1) SA 200 (SCA) at p227 D-G [57].</w:t>
      </w:r>
    </w:p>
  </w:footnote>
  <w:footnote w:id="4">
    <w:p w14:paraId="05084F0C" w14:textId="77777777" w:rsidR="00DF0B5D" w:rsidRPr="00326977" w:rsidRDefault="00DF0B5D" w:rsidP="00DF0B5D">
      <w:pPr>
        <w:pStyle w:val="FootnoteText"/>
      </w:pPr>
      <w:r>
        <w:rPr>
          <w:rStyle w:val="FootnoteReference"/>
        </w:rPr>
        <w:footnoteRef/>
      </w:r>
      <w:r>
        <w:t xml:space="preserve"> </w:t>
      </w:r>
      <w:r>
        <w:tab/>
        <w:t xml:space="preserve">Most recently in </w:t>
      </w:r>
      <w:r w:rsidRPr="00CB6D11">
        <w:rPr>
          <w:i/>
          <w:iCs/>
        </w:rPr>
        <w:t>Farber and others v Kgaboesele NO and others and a related matter (Leave to Appeal)</w:t>
      </w:r>
      <w:r w:rsidRPr="00677D13">
        <w:t xml:space="preserve"> [2023] JOL 60230 (GJ)</w:t>
      </w:r>
      <w:r>
        <w:rPr>
          <w:i/>
          <w:iCs/>
        </w:rPr>
        <w:t xml:space="preserve">. </w:t>
      </w:r>
      <w:r>
        <w:t xml:space="preserve"> See also</w:t>
      </w:r>
      <w:r w:rsidRPr="00697F2D">
        <w:t xml:space="preserve">: </w:t>
      </w:r>
      <w:r w:rsidRPr="00697F2D">
        <w:rPr>
          <w:i/>
          <w:iCs/>
        </w:rPr>
        <w:t>Coetzee N.O. and others v RMB Private Bank Limited</w:t>
      </w:r>
      <w:r w:rsidRPr="00697F2D">
        <w:t xml:space="preserve"> [2021] JOL 50671 (GP); </w:t>
      </w:r>
      <w:r w:rsidRPr="0027160F">
        <w:rPr>
          <w:i/>
          <w:iCs/>
        </w:rPr>
        <w:t>Madisha and others v Mashawana (Leave to Appeal)</w:t>
      </w:r>
      <w:r w:rsidRPr="00697F2D">
        <w:t xml:space="preserve"> [2020] JOL 49356 (GP) at para 4; </w:t>
      </w:r>
      <w:r w:rsidRPr="0027160F">
        <w:rPr>
          <w:i/>
          <w:iCs/>
        </w:rPr>
        <w:t>Nedbank Limited v Houtbosplaas (Pty) Ltd and another (Leave to Appeal)</w:t>
      </w:r>
      <w:r w:rsidRPr="00697F2D">
        <w:t xml:space="preserve"> [2020] JOL 47739 (GP)</w:t>
      </w:r>
      <w:r>
        <w:t>;</w:t>
      </w:r>
      <w:r w:rsidRPr="00697F2D">
        <w:t xml:space="preserve"> </w:t>
      </w:r>
      <w:r w:rsidRPr="001569AE">
        <w:rPr>
          <w:i/>
          <w:iCs/>
        </w:rPr>
        <w:t>Starways Trading 21 CC v Pearl Island 714 (Pty) Ltd</w:t>
      </w:r>
      <w:r w:rsidRPr="00697F2D">
        <w:rPr>
          <w:bCs/>
          <w:i/>
          <w:iCs/>
        </w:rPr>
        <w:t xml:space="preserve"> </w:t>
      </w:r>
      <w:r>
        <w:t xml:space="preserve">[2017] All SA 568 (WCC) at 572, para [10]; </w:t>
      </w:r>
      <w:r w:rsidRPr="001569AE">
        <w:rPr>
          <w:i/>
          <w:iCs/>
          <w:shd w:val="clear" w:color="auto" w:fill="FFFFFF"/>
        </w:rPr>
        <w:t>Mziako v Northern Cape Society of Advocates</w:t>
      </w:r>
      <w:r>
        <w:rPr>
          <w:i/>
          <w:iCs/>
          <w:shd w:val="clear" w:color="auto" w:fill="FFFFFF"/>
        </w:rPr>
        <w:t xml:space="preserve"> </w:t>
      </w:r>
      <w:r>
        <w:rPr>
          <w:shd w:val="clear" w:color="auto" w:fill="FFFFFF"/>
        </w:rPr>
        <w:t xml:space="preserve">[2018] JOL 40386 (NCK) at para 4; </w:t>
      </w:r>
      <w:r w:rsidRPr="001569AE">
        <w:rPr>
          <w:i/>
          <w:iCs/>
        </w:rPr>
        <w:t>Myburgh NO and another v Standard Bank of South Africa Limited</w:t>
      </w:r>
      <w:r w:rsidRPr="00697F2D">
        <w:rPr>
          <w:bCs/>
          <w:i/>
          <w:iCs/>
        </w:rPr>
        <w:t xml:space="preserve"> </w:t>
      </w:r>
      <w:r>
        <w:t xml:space="preserve">[2019] JOL 40672 (FB) at paras 9 – 10; </w:t>
      </w:r>
      <w:r w:rsidRPr="001569AE">
        <w:rPr>
          <w:i/>
          <w:iCs/>
        </w:rPr>
        <w:t>F</w:t>
      </w:r>
      <w:r w:rsidRPr="001569AE">
        <w:rPr>
          <w:i/>
          <w:iCs/>
          <w:shd w:val="clear" w:color="auto" w:fill="FFFFFF"/>
        </w:rPr>
        <w:t>air-Trade Independent Tobacco Association v President of the Republic of South Africa and another (Leave to Appeal)</w:t>
      </w:r>
      <w:r>
        <w:rPr>
          <w:i/>
          <w:iCs/>
          <w:shd w:val="clear" w:color="auto" w:fill="FFFFFF"/>
        </w:rPr>
        <w:t xml:space="preserve"> </w:t>
      </w:r>
      <w:r>
        <w:rPr>
          <w:shd w:val="clear" w:color="auto" w:fill="FFFFFF"/>
        </w:rPr>
        <w:t>[2020] JOL 47868 (GP)</w:t>
      </w:r>
      <w:r>
        <w:t xml:space="preserve"> at para 6; </w:t>
      </w:r>
      <w:r w:rsidRPr="001569AE">
        <w:rPr>
          <w:i/>
          <w:iCs/>
        </w:rPr>
        <w:t>Nortje v Nortje</w:t>
      </w:r>
      <w:r>
        <w:t xml:space="preserve"> [2021] JOL 50318 (GP) at paras 3 to 5</w:t>
      </w:r>
      <w:r w:rsidRPr="00697F2D">
        <w:t xml:space="preserve">. </w:t>
      </w:r>
    </w:p>
  </w:footnote>
  <w:footnote w:id="5">
    <w:p w14:paraId="563920EC" w14:textId="45A45CBD" w:rsidR="00E13EA8" w:rsidRPr="00E13EA8" w:rsidRDefault="00E13EA8">
      <w:pPr>
        <w:pStyle w:val="FootnoteText"/>
        <w:rPr>
          <w:lang w:val="en-ZA"/>
        </w:rPr>
      </w:pPr>
      <w:r>
        <w:rPr>
          <w:rStyle w:val="FootnoteReference"/>
        </w:rPr>
        <w:footnoteRef/>
      </w:r>
      <w:r>
        <w:t xml:space="preserve"> </w:t>
      </w:r>
      <w:r>
        <w:rPr>
          <w:lang w:val="en-ZA"/>
        </w:rPr>
        <w:t xml:space="preserve">    </w:t>
      </w:r>
      <w:r w:rsidRPr="00E13EA8">
        <w:rPr>
          <w:i/>
          <w:szCs w:val="18"/>
          <w:lang w:val="en-ZA"/>
        </w:rPr>
        <w:t>Ramakatsa v African National Congress</w:t>
      </w:r>
      <w:r w:rsidRPr="00E13EA8">
        <w:rPr>
          <w:szCs w:val="18"/>
          <w:lang w:val="en-ZA"/>
        </w:rPr>
        <w:t xml:space="preserve"> [2021] ZASCA 31</w:t>
      </w:r>
    </w:p>
  </w:footnote>
  <w:footnote w:id="6">
    <w:p w14:paraId="2ACD4006" w14:textId="77777777" w:rsidR="00DF0B5D" w:rsidRDefault="00DF0B5D" w:rsidP="00DF0B5D">
      <w:pPr>
        <w:pStyle w:val="FootnoteText"/>
      </w:pPr>
      <w:r>
        <w:rPr>
          <w:rStyle w:val="FootnoteReference"/>
        </w:rPr>
        <w:footnoteRef/>
      </w:r>
      <w:r>
        <w:t xml:space="preserve"> </w:t>
      </w:r>
      <w:r>
        <w:tab/>
        <w:t>2012 (1) SACR 567 (SCA).</w:t>
      </w:r>
    </w:p>
  </w:footnote>
  <w:footnote w:id="7">
    <w:p w14:paraId="1F1DF6A8" w14:textId="77777777" w:rsidR="00DF0B5D" w:rsidRDefault="00DF0B5D" w:rsidP="00DF0B5D">
      <w:pPr>
        <w:pStyle w:val="FootnoteText"/>
      </w:pPr>
      <w:r>
        <w:rPr>
          <w:rStyle w:val="FootnoteReference"/>
        </w:rPr>
        <w:footnoteRef/>
      </w:r>
      <w:r>
        <w:t xml:space="preserve"> </w:t>
      </w:r>
      <w:r>
        <w:tab/>
        <w:t>At para 7.</w:t>
      </w:r>
    </w:p>
  </w:footnote>
  <w:footnote w:id="8">
    <w:p w14:paraId="776EE229" w14:textId="77777777" w:rsidR="00D86431" w:rsidRDefault="00D86431" w:rsidP="00D86431">
      <w:pPr>
        <w:pStyle w:val="FootnoteText"/>
      </w:pPr>
      <w:r>
        <w:rPr>
          <w:rStyle w:val="FootnoteReference"/>
        </w:rPr>
        <w:footnoteRef/>
      </w:r>
      <w:r>
        <w:t xml:space="preserve"> </w:t>
      </w:r>
      <w:r>
        <w:tab/>
      </w:r>
      <w:r w:rsidRPr="00BA66E2">
        <w:rPr>
          <w:i/>
          <w:iCs/>
        </w:rPr>
        <w:t>Goodwin Stable Trust v Duohex (Pty) Ltd and another</w:t>
      </w:r>
      <w:r w:rsidRPr="00D47DE4">
        <w:t xml:space="preserve"> 1999 (3) SA 353 (C) 354-355</w:t>
      </w:r>
      <w:r>
        <w:t>.</w:t>
      </w:r>
    </w:p>
  </w:footnote>
  <w:footnote w:id="9">
    <w:p w14:paraId="2EBF8D78" w14:textId="77777777" w:rsidR="00DF0B5D" w:rsidRDefault="00DF0B5D" w:rsidP="00DF0B5D">
      <w:pPr>
        <w:pStyle w:val="FootnoteText"/>
      </w:pPr>
      <w:r>
        <w:rPr>
          <w:rStyle w:val="FootnoteReference"/>
        </w:rPr>
        <w:footnoteRef/>
      </w:r>
      <w:r>
        <w:t xml:space="preserve"> </w:t>
      </w:r>
      <w:r>
        <w:tab/>
      </w:r>
      <w:r w:rsidRPr="004346EC">
        <w:rPr>
          <w:bCs/>
        </w:rPr>
        <w:t>2003</w:t>
      </w:r>
      <w:r>
        <w:t xml:space="preserve"> (5) SA 593 (C) at 595G.</w:t>
      </w:r>
    </w:p>
  </w:footnote>
  <w:footnote w:id="10">
    <w:p w14:paraId="05A2FA5B" w14:textId="77777777" w:rsidR="00DF0B5D" w:rsidRDefault="00DF0B5D" w:rsidP="00DF0B5D">
      <w:pPr>
        <w:pStyle w:val="FootnoteText"/>
      </w:pPr>
      <w:r>
        <w:rPr>
          <w:rStyle w:val="FootnoteReference"/>
        </w:rPr>
        <w:footnoteRef/>
      </w:r>
      <w:r>
        <w:t xml:space="preserve"> </w:t>
      </w:r>
      <w:r>
        <w:tab/>
      </w:r>
      <w:r w:rsidRPr="000C3F7B">
        <w:t>2001 (1) SA 1062 (W)</w:t>
      </w:r>
      <w:r>
        <w:t xml:space="preserve"> at para 6.</w:t>
      </w:r>
    </w:p>
  </w:footnote>
  <w:footnote w:id="11">
    <w:p w14:paraId="586B2CA7" w14:textId="77777777" w:rsidR="00DF0B5D" w:rsidRDefault="00DF0B5D" w:rsidP="00DF0B5D">
      <w:pPr>
        <w:pStyle w:val="FootnoteText"/>
      </w:pPr>
      <w:r>
        <w:rPr>
          <w:rStyle w:val="FootnoteReference"/>
        </w:rPr>
        <w:footnoteRef/>
      </w:r>
      <w:r>
        <w:t xml:space="preserve"> </w:t>
      </w:r>
      <w:r>
        <w:tab/>
        <w:t>1949 (1) 523 (A) at 524.</w:t>
      </w:r>
    </w:p>
  </w:footnote>
  <w:footnote w:id="12">
    <w:p w14:paraId="229CFA55" w14:textId="77777777" w:rsidR="00DF0B5D" w:rsidRPr="00697F2D" w:rsidRDefault="00DF0B5D" w:rsidP="00DF0B5D">
      <w:pPr>
        <w:pStyle w:val="FootnoteText"/>
        <w:rPr>
          <w:lang w:val="en-CA"/>
        </w:rPr>
      </w:pPr>
      <w:r w:rsidRPr="00697F2D">
        <w:rPr>
          <w:rStyle w:val="FootnoteReference"/>
          <w:rFonts w:cs="Arial"/>
          <w:szCs w:val="18"/>
        </w:rPr>
        <w:footnoteRef/>
      </w:r>
      <w:r w:rsidRPr="00697F2D">
        <w:tab/>
      </w:r>
      <w:r w:rsidRPr="00697F2D">
        <w:rPr>
          <w:bCs/>
          <w:i/>
          <w:iCs/>
        </w:rPr>
        <w:t>Hunter v Financial Services Board</w:t>
      </w:r>
      <w:r w:rsidRPr="00697F2D">
        <w:rPr>
          <w:b/>
        </w:rPr>
        <w:t xml:space="preserve"> </w:t>
      </w:r>
      <w:r w:rsidRPr="00697F2D">
        <w:t xml:space="preserve">2017 (JDR) 0941 (GP) at para 3. </w:t>
      </w:r>
    </w:p>
  </w:footnote>
  <w:footnote w:id="13">
    <w:p w14:paraId="70A3BBB4" w14:textId="1FC029F5" w:rsidR="00BB6D22" w:rsidRPr="00BB6D22" w:rsidRDefault="00BB6D22">
      <w:pPr>
        <w:pStyle w:val="FootnoteText"/>
        <w:rPr>
          <w:lang w:val="en-ZA"/>
        </w:rPr>
      </w:pPr>
      <w:r>
        <w:rPr>
          <w:rStyle w:val="FootnoteReference"/>
        </w:rPr>
        <w:footnoteRef/>
      </w:r>
      <w:r>
        <w:t xml:space="preserve"> </w:t>
      </w:r>
      <w:r>
        <w:rPr>
          <w:lang w:val="en-ZA"/>
        </w:rPr>
        <w:t xml:space="preserve">  </w:t>
      </w:r>
      <w:r w:rsidRPr="00BB6D22">
        <w:rPr>
          <w:i/>
          <w:lang w:val="en-ZA"/>
        </w:rPr>
        <w:t>TWK Agriculture Holdings (Pty)Ltd v Hoogveld Boerderybeleggings (Pty) Ltd,</w:t>
      </w:r>
      <w:r>
        <w:rPr>
          <w:lang w:val="en-ZA"/>
        </w:rPr>
        <w:t xml:space="preserve"> 2023 (5) SA 163 (SCA) </w:t>
      </w:r>
    </w:p>
  </w:footnote>
  <w:footnote w:id="14">
    <w:p w14:paraId="1B437144" w14:textId="3076CFC0" w:rsidR="00D82270" w:rsidRPr="00D82270" w:rsidRDefault="00D82270">
      <w:pPr>
        <w:pStyle w:val="FootnoteText"/>
        <w:rPr>
          <w:lang w:val="en-ZA"/>
        </w:rPr>
      </w:pPr>
      <w:r>
        <w:rPr>
          <w:rStyle w:val="FootnoteReference"/>
        </w:rPr>
        <w:footnoteRef/>
      </w:r>
      <w:r>
        <w:t xml:space="preserve"> </w:t>
      </w:r>
      <w:r w:rsidRPr="00D82270">
        <w:rPr>
          <w:i/>
          <w:lang w:val="en-ZA"/>
        </w:rPr>
        <w:t>Dexgroup (Pty) Ltd v Trustco Group International (Pty) Ltd and Others</w:t>
      </w:r>
      <w:r>
        <w:rPr>
          <w:lang w:val="en-ZA"/>
        </w:rPr>
        <w:t>, 2013 (6) SA 520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3276" w14:textId="6126A225" w:rsidR="008C5C40" w:rsidRDefault="008C5C40">
    <w:pPr>
      <w:pStyle w:val="Header"/>
      <w:jc w:val="right"/>
    </w:pPr>
    <w:r>
      <w:fldChar w:fldCharType="begin"/>
    </w:r>
    <w:r>
      <w:instrText xml:space="preserve"> PAGE   \* MERGEFORMAT </w:instrText>
    </w:r>
    <w:r>
      <w:fldChar w:fldCharType="separate"/>
    </w:r>
    <w:r w:rsidR="0024219D">
      <w:rPr>
        <w:noProof/>
      </w:rPr>
      <w:t>2</w:t>
    </w:r>
    <w:r>
      <w:rPr>
        <w:noProof/>
      </w:rPr>
      <w:fldChar w:fldCharType="end"/>
    </w:r>
  </w:p>
  <w:p w14:paraId="201EB076" w14:textId="77777777" w:rsidR="008C5C40" w:rsidRDefault="008C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FFFFFF7E"/>
    <w:multiLevelType w:val="singleLevel"/>
    <w:tmpl w:val="F4420ACE"/>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2"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4" w15:restartNumberingAfterBreak="0">
    <w:nsid w:val="01E27984"/>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5"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8217CF"/>
    <w:multiLevelType w:val="hybridMultilevel"/>
    <w:tmpl w:val="15C6D338"/>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A4535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9D5F72"/>
    <w:multiLevelType w:val="multilevel"/>
    <w:tmpl w:val="2DF6C492"/>
    <w:lvl w:ilvl="0">
      <w:start w:val="2"/>
      <w:numFmt w:val="decimal"/>
      <w:lvlText w:val="%1"/>
      <w:lvlJc w:val="left"/>
      <w:pPr>
        <w:ind w:hanging="666"/>
      </w:pPr>
      <w:rPr>
        <w:rFonts w:hint="default"/>
      </w:rPr>
    </w:lvl>
    <w:lvl w:ilvl="1">
      <w:start w:val="2"/>
      <w:numFmt w:val="decimal"/>
      <w:lvlText w:val="%1.%2"/>
      <w:lvlJc w:val="left"/>
      <w:pPr>
        <w:ind w:hanging="666"/>
      </w:pPr>
      <w:rPr>
        <w:rFonts w:hint="default"/>
      </w:rPr>
    </w:lvl>
    <w:lvl w:ilvl="2">
      <w:start w:val="1"/>
      <w:numFmt w:val="decimal"/>
      <w:lvlText w:val="%1.%2.%3."/>
      <w:lvlJc w:val="left"/>
      <w:pPr>
        <w:ind w:hanging="666"/>
      </w:pPr>
      <w:rPr>
        <w:rFonts w:ascii="Arial" w:eastAsia="Arial" w:hAnsi="Arial" w:hint="default"/>
        <w:color w:val="565656"/>
        <w:w w:val="98"/>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2BB556C"/>
    <w:multiLevelType w:val="multilevel"/>
    <w:tmpl w:val="512ED08E"/>
    <w:lvl w:ilvl="0">
      <w:start w:val="1"/>
      <w:numFmt w:val="decimal"/>
      <w:lvlText w:val="%1."/>
      <w:lvlJc w:val="left"/>
      <w:pPr>
        <w:ind w:hanging="600"/>
      </w:pPr>
      <w:rPr>
        <w:rFonts w:ascii="Arial" w:eastAsia="Arial" w:hAnsi="Arial" w:hint="default"/>
        <w:w w:val="95"/>
        <w:sz w:val="23"/>
        <w:szCs w:val="23"/>
      </w:rPr>
    </w:lvl>
    <w:lvl w:ilvl="1">
      <w:start w:val="1"/>
      <w:numFmt w:val="decimal"/>
      <w:lvlText w:val="%1.%2."/>
      <w:lvlJc w:val="left"/>
      <w:pPr>
        <w:ind w:hanging="1085"/>
      </w:pPr>
      <w:rPr>
        <w:rFonts w:ascii="Arial" w:eastAsia="Arial" w:hAnsi="Arial" w:hint="default"/>
        <w:w w:val="93"/>
        <w:sz w:val="23"/>
        <w:szCs w:val="23"/>
      </w:rPr>
    </w:lvl>
    <w:lvl w:ilvl="2">
      <w:start w:val="1"/>
      <w:numFmt w:val="bullet"/>
      <w:lvlText w:val="•"/>
      <w:lvlJc w:val="left"/>
      <w:rPr>
        <w:rFonts w:hint="default"/>
      </w:rPr>
    </w:lvl>
    <w:lvl w:ilvl="3">
      <w:start w:val="6"/>
      <w:numFmt w:val="decimal"/>
      <w:lvlText w:val="%4.4.1"/>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61053"/>
    <w:multiLevelType w:val="multilevel"/>
    <w:tmpl w:val="1DE2D45A"/>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3" w15:restartNumberingAfterBreak="0">
    <w:nsid w:val="25514945"/>
    <w:multiLevelType w:val="multilevel"/>
    <w:tmpl w:val="354C2E52"/>
    <w:lvl w:ilvl="0">
      <w:start w:val="1"/>
      <w:numFmt w:val="decimal"/>
      <w:lvlText w:val="%1."/>
      <w:lvlJc w:val="left"/>
      <w:pPr>
        <w:ind w:hanging="322"/>
      </w:pPr>
      <w:rPr>
        <w:rFonts w:ascii="Arial" w:eastAsia="Arial" w:hAnsi="Arial" w:hint="default"/>
        <w:color w:val="565656"/>
        <w:w w:val="101"/>
        <w:sz w:val="22"/>
        <w:szCs w:val="22"/>
      </w:rPr>
    </w:lvl>
    <w:lvl w:ilvl="1">
      <w:start w:val="1"/>
      <w:numFmt w:val="decimal"/>
      <w:lvlText w:val="%1.%2."/>
      <w:lvlJc w:val="left"/>
      <w:pPr>
        <w:ind w:hanging="403"/>
      </w:pPr>
      <w:rPr>
        <w:rFonts w:ascii="Arial" w:eastAsia="Arial" w:hAnsi="Arial" w:hint="default"/>
        <w:color w:val="565656"/>
        <w:w w:val="101"/>
        <w:sz w:val="22"/>
        <w:szCs w:val="22"/>
      </w:rPr>
    </w:lvl>
    <w:lvl w:ilvl="2">
      <w:start w:val="1"/>
      <w:numFmt w:val="decimal"/>
      <w:lvlText w:val="%1.%2.%3."/>
      <w:lvlJc w:val="left"/>
      <w:pPr>
        <w:ind w:hanging="671"/>
      </w:pPr>
      <w:rPr>
        <w:rFonts w:ascii="Arial" w:eastAsia="Arial" w:hAnsi="Arial" w:hint="default"/>
        <w:color w:val="565656"/>
        <w:w w:val="98"/>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C7A736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C32EAB"/>
    <w:multiLevelType w:val="multilevel"/>
    <w:tmpl w:val="6B2C0B54"/>
    <w:lvl w:ilvl="0">
      <w:start w:val="1"/>
      <w:numFmt w:val="decimal"/>
      <w:pStyle w:val="1"/>
      <w:lvlText w:val="[%1]"/>
      <w:lvlJc w:val="left"/>
      <w:pPr>
        <w:ind w:left="680" w:hanging="680"/>
      </w:pPr>
      <w:rPr>
        <w:rFonts w:hint="default"/>
        <w:b w:val="0"/>
        <w:i w:val="0"/>
      </w:rPr>
    </w:lvl>
    <w:lvl w:ilvl="1">
      <w:start w:val="1"/>
      <w:numFmt w:val="lowerLetter"/>
      <w:pStyle w:val="2"/>
      <w:lvlText w:val="(%2)"/>
      <w:lvlJc w:val="left"/>
      <w:pPr>
        <w:tabs>
          <w:tab w:val="num" w:pos="2268"/>
        </w:tabs>
        <w:ind w:left="2268" w:hanging="1134"/>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6" w15:restartNumberingAfterBreak="0">
    <w:nsid w:val="36117B55"/>
    <w:multiLevelType w:val="hybridMultilevel"/>
    <w:tmpl w:val="67E089E2"/>
    <w:lvl w:ilvl="0" w:tplc="4BDA3E38">
      <w:start w:val="5"/>
      <w:numFmt w:val="decimal"/>
      <w:lvlText w:val="%1.3"/>
      <w:lvlJc w:val="left"/>
      <w:pPr>
        <w:ind w:left="199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A33F42"/>
    <w:multiLevelType w:val="hybridMultilevel"/>
    <w:tmpl w:val="B4300AAE"/>
    <w:lvl w:ilvl="0" w:tplc="12140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15111"/>
    <w:multiLevelType w:val="multilevel"/>
    <w:tmpl w:val="42E8146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7181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2"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47C877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E95B7E"/>
    <w:multiLevelType w:val="multilevel"/>
    <w:tmpl w:val="E224FE8A"/>
    <w:lvl w:ilvl="0">
      <w:start w:val="5"/>
      <w:numFmt w:val="decimal"/>
      <w:lvlText w:val="%1."/>
      <w:lvlJc w:val="left"/>
      <w:pPr>
        <w:ind w:left="0" w:hanging="600"/>
      </w:pPr>
      <w:rPr>
        <w:rFonts w:ascii="Arial" w:eastAsia="Arial" w:hAnsi="Arial" w:hint="default"/>
        <w:w w:val="95"/>
        <w:sz w:val="23"/>
        <w:szCs w:val="23"/>
      </w:rPr>
    </w:lvl>
    <w:lvl w:ilvl="1">
      <w:start w:val="1"/>
      <w:numFmt w:val="decimal"/>
      <w:lvlText w:val="%1.%2."/>
      <w:lvlJc w:val="left"/>
      <w:pPr>
        <w:ind w:left="0" w:hanging="1085"/>
      </w:pPr>
      <w:rPr>
        <w:rFonts w:ascii="Arial" w:eastAsia="Arial" w:hAnsi="Arial" w:hint="default"/>
        <w:w w:val="93"/>
        <w:sz w:val="23"/>
        <w:szCs w:val="23"/>
      </w:rPr>
    </w:lvl>
    <w:lvl w:ilvl="2">
      <w:start w:val="1"/>
      <w:numFmt w:val="bullet"/>
      <w:lvlText w:val="•"/>
      <w:lvlJc w:val="left"/>
      <w:pPr>
        <w:ind w:left="0" w:firstLine="0"/>
      </w:pPr>
      <w:rPr>
        <w:rFonts w:hint="default"/>
      </w:rPr>
    </w:lvl>
    <w:lvl w:ilvl="3">
      <w:start w:val="5"/>
      <w:numFmt w:val="decimal"/>
      <w:lvlText w:val="%4.4.1"/>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5"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6"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7"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55D20F77"/>
    <w:multiLevelType w:val="multilevel"/>
    <w:tmpl w:val="EA0EA7B6"/>
    <w:lvl w:ilvl="0">
      <w:start w:val="1"/>
      <w:numFmt w:val="decimal"/>
      <w:lvlText w:val="%1."/>
      <w:lvlJc w:val="left"/>
      <w:pPr>
        <w:ind w:left="666" w:hanging="567"/>
      </w:pPr>
      <w:rPr>
        <w:rFonts w:ascii="Arial" w:eastAsia="Arial" w:hAnsi="Arial" w:cs="Arial" w:hint="default"/>
        <w:b w:val="0"/>
        <w:bCs w:val="0"/>
        <w:i w:val="0"/>
        <w:iCs w:val="0"/>
        <w:w w:val="100"/>
        <w:sz w:val="24"/>
        <w:szCs w:val="24"/>
        <w:lang w:val="en-ZA" w:eastAsia="en-US" w:bidi="ar-SA"/>
      </w:rPr>
    </w:lvl>
    <w:lvl w:ilvl="1">
      <w:start w:val="1"/>
      <w:numFmt w:val="decimal"/>
      <w:lvlText w:val="%1.%2."/>
      <w:lvlJc w:val="left"/>
      <w:pPr>
        <w:ind w:left="1377" w:hanging="711"/>
      </w:pPr>
      <w:rPr>
        <w:rFonts w:ascii="Arial" w:eastAsia="Arial" w:hAnsi="Arial" w:cs="Arial" w:hint="default"/>
        <w:b w:val="0"/>
        <w:bCs w:val="0"/>
        <w:i w:val="0"/>
        <w:iCs w:val="0"/>
        <w:w w:val="99"/>
        <w:sz w:val="24"/>
        <w:szCs w:val="24"/>
        <w:lang w:val="en-ZA" w:eastAsia="en-US" w:bidi="ar-SA"/>
      </w:rPr>
    </w:lvl>
    <w:lvl w:ilvl="2">
      <w:numFmt w:val="bullet"/>
      <w:lvlText w:val="•"/>
      <w:lvlJc w:val="left"/>
      <w:pPr>
        <w:ind w:left="2291" w:hanging="711"/>
      </w:pPr>
      <w:rPr>
        <w:rFonts w:hint="default"/>
        <w:lang w:val="en-ZA" w:eastAsia="en-US" w:bidi="ar-SA"/>
      </w:rPr>
    </w:lvl>
    <w:lvl w:ilvl="3">
      <w:numFmt w:val="bullet"/>
      <w:lvlText w:val="•"/>
      <w:lvlJc w:val="left"/>
      <w:pPr>
        <w:ind w:left="3202" w:hanging="711"/>
      </w:pPr>
      <w:rPr>
        <w:rFonts w:hint="default"/>
        <w:lang w:val="en-ZA" w:eastAsia="en-US" w:bidi="ar-SA"/>
      </w:rPr>
    </w:lvl>
    <w:lvl w:ilvl="4">
      <w:numFmt w:val="bullet"/>
      <w:lvlText w:val="•"/>
      <w:lvlJc w:val="left"/>
      <w:pPr>
        <w:ind w:left="4113" w:hanging="711"/>
      </w:pPr>
      <w:rPr>
        <w:rFonts w:hint="default"/>
        <w:lang w:val="en-ZA" w:eastAsia="en-US" w:bidi="ar-SA"/>
      </w:rPr>
    </w:lvl>
    <w:lvl w:ilvl="5">
      <w:numFmt w:val="bullet"/>
      <w:lvlText w:val="•"/>
      <w:lvlJc w:val="left"/>
      <w:pPr>
        <w:ind w:left="5024" w:hanging="711"/>
      </w:pPr>
      <w:rPr>
        <w:rFonts w:hint="default"/>
        <w:lang w:val="en-ZA" w:eastAsia="en-US" w:bidi="ar-SA"/>
      </w:rPr>
    </w:lvl>
    <w:lvl w:ilvl="6">
      <w:numFmt w:val="bullet"/>
      <w:lvlText w:val="•"/>
      <w:lvlJc w:val="left"/>
      <w:pPr>
        <w:ind w:left="5935" w:hanging="711"/>
      </w:pPr>
      <w:rPr>
        <w:rFonts w:hint="default"/>
        <w:lang w:val="en-ZA" w:eastAsia="en-US" w:bidi="ar-SA"/>
      </w:rPr>
    </w:lvl>
    <w:lvl w:ilvl="7">
      <w:numFmt w:val="bullet"/>
      <w:lvlText w:val="•"/>
      <w:lvlJc w:val="left"/>
      <w:pPr>
        <w:ind w:left="6846" w:hanging="711"/>
      </w:pPr>
      <w:rPr>
        <w:rFonts w:hint="default"/>
        <w:lang w:val="en-ZA" w:eastAsia="en-US" w:bidi="ar-SA"/>
      </w:rPr>
    </w:lvl>
    <w:lvl w:ilvl="8">
      <w:numFmt w:val="bullet"/>
      <w:lvlText w:val="•"/>
      <w:lvlJc w:val="left"/>
      <w:pPr>
        <w:ind w:left="7757" w:hanging="711"/>
      </w:pPr>
      <w:rPr>
        <w:rFonts w:hint="default"/>
        <w:lang w:val="en-ZA" w:eastAsia="en-US" w:bidi="ar-SA"/>
      </w:rPr>
    </w:lvl>
  </w:abstractNum>
  <w:abstractNum w:abstractNumId="29" w15:restartNumberingAfterBreak="0">
    <w:nsid w:val="5C742241"/>
    <w:multiLevelType w:val="hybridMultilevel"/>
    <w:tmpl w:val="6C72B258"/>
    <w:lvl w:ilvl="0" w:tplc="9F343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A5DBB"/>
    <w:multiLevelType w:val="hybridMultilevel"/>
    <w:tmpl w:val="279298BC"/>
    <w:lvl w:ilvl="0" w:tplc="3CF03D04">
      <w:start w:val="6"/>
      <w:numFmt w:val="decimal"/>
      <w:lvlText w:val="%1.3"/>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1" w15:restartNumberingAfterBreak="0">
    <w:nsid w:val="5E8A1C7A"/>
    <w:multiLevelType w:val="hybridMultilevel"/>
    <w:tmpl w:val="43EAF354"/>
    <w:lvl w:ilvl="0" w:tplc="98323D66">
      <w:start w:val="2"/>
      <w:numFmt w:val="decimal"/>
      <w:lvlText w:val="%1."/>
      <w:lvlJc w:val="left"/>
      <w:pPr>
        <w:ind w:left="0" w:hanging="807"/>
      </w:pPr>
      <w:rPr>
        <w:rFonts w:ascii="Arial" w:eastAsia="Arial" w:hAnsi="Arial" w:hint="default"/>
        <w:w w:val="104"/>
        <w:sz w:val="21"/>
        <w:szCs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C908CC"/>
    <w:multiLevelType w:val="multilevel"/>
    <w:tmpl w:val="A044EE96"/>
    <w:lvl w:ilvl="0">
      <w:start w:val="1"/>
      <w:numFmt w:val="decimal"/>
      <w:pStyle w:val="Para1"/>
      <w:lvlText w:val="%1."/>
      <w:lvlJc w:val="left"/>
      <w:pPr>
        <w:ind w:left="4680" w:hanging="360"/>
      </w:pPr>
      <w:rPr>
        <w:b w:val="0"/>
        <w:bCs/>
        <w:i w:val="0"/>
        <w:iCs w:val="0"/>
      </w:rPr>
    </w:lvl>
    <w:lvl w:ilvl="1">
      <w:start w:val="1"/>
      <w:numFmt w:val="decimal"/>
      <w:pStyle w:val="Para2"/>
      <w:lvlText w:val="%1.%2."/>
      <w:lvlJc w:val="left"/>
      <w:pPr>
        <w:ind w:left="5112" w:hanging="432"/>
      </w:pPr>
    </w:lvl>
    <w:lvl w:ilvl="2">
      <w:start w:val="1"/>
      <w:numFmt w:val="decimal"/>
      <w:pStyle w:val="Para3"/>
      <w:lvlText w:val="%1.%2.%3."/>
      <w:lvlJc w:val="left"/>
      <w:pPr>
        <w:ind w:left="7093" w:hanging="504"/>
      </w:pPr>
    </w:lvl>
    <w:lvl w:ilvl="3">
      <w:start w:val="1"/>
      <w:numFmt w:val="decimal"/>
      <w:lvlText w:val="%1.%2.%3.%4."/>
      <w:lvlJc w:val="left"/>
      <w:pPr>
        <w:ind w:left="6048" w:hanging="648"/>
      </w:pPr>
    </w:lvl>
    <w:lvl w:ilvl="4">
      <w:start w:val="1"/>
      <w:numFmt w:val="decimal"/>
      <w:lvlText w:val="%1.%2.%3.%4.%5."/>
      <w:lvlJc w:val="left"/>
      <w:pPr>
        <w:ind w:left="6552" w:hanging="792"/>
      </w:pPr>
    </w:lvl>
    <w:lvl w:ilvl="5">
      <w:start w:val="1"/>
      <w:numFmt w:val="decimal"/>
      <w:lvlText w:val="%1.%2.%3.%4.%5.%6."/>
      <w:lvlJc w:val="left"/>
      <w:pPr>
        <w:ind w:left="7056" w:hanging="936"/>
      </w:pPr>
    </w:lvl>
    <w:lvl w:ilvl="6">
      <w:start w:val="1"/>
      <w:numFmt w:val="decimal"/>
      <w:lvlText w:val="%1.%2.%3.%4.%5.%6.%7."/>
      <w:lvlJc w:val="left"/>
      <w:pPr>
        <w:ind w:left="7560" w:hanging="1080"/>
      </w:pPr>
    </w:lvl>
    <w:lvl w:ilvl="7">
      <w:start w:val="1"/>
      <w:numFmt w:val="decimal"/>
      <w:lvlText w:val="%1.%2.%3.%4.%5.%6.%7.%8."/>
      <w:lvlJc w:val="left"/>
      <w:pPr>
        <w:ind w:left="8064" w:hanging="1224"/>
      </w:pPr>
    </w:lvl>
    <w:lvl w:ilvl="8">
      <w:start w:val="1"/>
      <w:numFmt w:val="decimal"/>
      <w:lvlText w:val="%1.%2.%3.%4.%5.%6.%7.%8.%9."/>
      <w:lvlJc w:val="left"/>
      <w:pPr>
        <w:ind w:left="8640" w:hanging="1440"/>
      </w:pPr>
    </w:lvl>
  </w:abstractNum>
  <w:abstractNum w:abstractNumId="33" w15:restartNumberingAfterBreak="0">
    <w:nsid w:val="698263C7"/>
    <w:multiLevelType w:val="multilevel"/>
    <w:tmpl w:val="3076911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993B7D"/>
    <w:multiLevelType w:val="multilevel"/>
    <w:tmpl w:val="0809001F"/>
    <w:styleLink w:val="111111"/>
    <w:lvl w:ilvl="0">
      <w:start w:val="1"/>
      <w:numFmt w:val="decimal"/>
      <w:pStyle w:val="FirstLeve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B6047E"/>
    <w:multiLevelType w:val="hybridMultilevel"/>
    <w:tmpl w:val="DFBAA222"/>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5B33EE"/>
    <w:multiLevelType w:val="hybridMultilevel"/>
    <w:tmpl w:val="83D40096"/>
    <w:lvl w:ilvl="0" w:tplc="491055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7183153">
    <w:abstractNumId w:val="15"/>
  </w:num>
  <w:num w:numId="2" w16cid:durableId="742878271">
    <w:abstractNumId w:val="1"/>
  </w:num>
  <w:num w:numId="3" w16cid:durableId="1671521460">
    <w:abstractNumId w:val="11"/>
  </w:num>
  <w:num w:numId="4" w16cid:durableId="1645699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3070582">
    <w:abstractNumId w:val="37"/>
  </w:num>
  <w:num w:numId="6" w16cid:durableId="438764685">
    <w:abstractNumId w:val="38"/>
  </w:num>
  <w:num w:numId="7" w16cid:durableId="1715737410">
    <w:abstractNumId w:val="27"/>
  </w:num>
  <w:num w:numId="8" w16cid:durableId="1232365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93703">
    <w:abstractNumId w:val="5"/>
  </w:num>
  <w:num w:numId="10" w16cid:durableId="1387417808">
    <w:abstractNumId w:val="25"/>
  </w:num>
  <w:num w:numId="11" w16cid:durableId="1810319965">
    <w:abstractNumId w:val="22"/>
  </w:num>
  <w:num w:numId="12" w16cid:durableId="926841088">
    <w:abstractNumId w:val="21"/>
  </w:num>
  <w:num w:numId="13" w16cid:durableId="376124507">
    <w:abstractNumId w:val="18"/>
  </w:num>
  <w:num w:numId="14" w16cid:durableId="1324120267">
    <w:abstractNumId w:val="7"/>
  </w:num>
  <w:num w:numId="15" w16cid:durableId="4766095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6544721">
    <w:abstractNumId w:val="28"/>
  </w:num>
  <w:num w:numId="17" w16cid:durableId="102576453">
    <w:abstractNumId w:val="19"/>
  </w:num>
  <w:num w:numId="18" w16cid:durableId="1446850554">
    <w:abstractNumId w:val="17"/>
  </w:num>
  <w:num w:numId="19" w16cid:durableId="888762096">
    <w:abstractNumId w:val="29"/>
  </w:num>
  <w:num w:numId="20" w16cid:durableId="1866363800">
    <w:abstractNumId w:val="13"/>
  </w:num>
  <w:num w:numId="21" w16cid:durableId="2099907678">
    <w:abstractNumId w:val="9"/>
  </w:num>
  <w:num w:numId="22" w16cid:durableId="212356093">
    <w:abstractNumId w:val="31"/>
  </w:num>
  <w:num w:numId="23" w16cid:durableId="1496191326">
    <w:abstractNumId w:val="14"/>
  </w:num>
  <w:num w:numId="24" w16cid:durableId="345983918">
    <w:abstractNumId w:val="20"/>
  </w:num>
  <w:num w:numId="25" w16cid:durableId="2126655096">
    <w:abstractNumId w:val="8"/>
  </w:num>
  <w:num w:numId="26" w16cid:durableId="1023898363">
    <w:abstractNumId w:val="10"/>
  </w:num>
  <w:num w:numId="27" w16cid:durableId="2084528849">
    <w:abstractNumId w:val="12"/>
  </w:num>
  <w:num w:numId="28" w16cid:durableId="1993093436">
    <w:abstractNumId w:val="36"/>
  </w:num>
  <w:num w:numId="29" w16cid:durableId="866332445">
    <w:abstractNumId w:val="4"/>
  </w:num>
  <w:num w:numId="30" w16cid:durableId="1307009822">
    <w:abstractNumId w:val="24"/>
  </w:num>
  <w:num w:numId="31" w16cid:durableId="801310761">
    <w:abstractNumId w:val="33"/>
  </w:num>
  <w:num w:numId="32" w16cid:durableId="1405104559">
    <w:abstractNumId w:val="30"/>
  </w:num>
  <w:num w:numId="33" w16cid:durableId="1997108916">
    <w:abstractNumId w:val="16"/>
  </w:num>
  <w:num w:numId="34" w16cid:durableId="960499331">
    <w:abstractNumId w:val="26"/>
  </w:num>
  <w:num w:numId="35" w16cid:durableId="2053185094">
    <w:abstractNumId w:val="0"/>
  </w:num>
  <w:num w:numId="36" w16cid:durableId="123084608">
    <w:abstractNumId w:val="23"/>
    <w:lvlOverride w:ilvl="0">
      <w:lvl w:ilvl="0">
        <w:start w:val="1"/>
        <w:numFmt w:val="decimal"/>
        <w:lvlText w:val="%1."/>
        <w:lvlJc w:val="left"/>
        <w:pPr>
          <w:ind w:left="360" w:hanging="360"/>
        </w:pPr>
        <w:rPr>
          <w:rFonts w:ascii="Arial" w:hAnsi="Arial" w:cs="Arial" w:hint="default"/>
          <w:i w:val="0"/>
          <w:iCs w:val="0"/>
        </w:rPr>
      </w:lvl>
    </w:lvlOverride>
  </w:num>
  <w:num w:numId="37" w16cid:durableId="2055765621">
    <w:abstractNumId w:val="34"/>
  </w:num>
  <w:num w:numId="38" w16cid:durableId="2020422791">
    <w:abstractNumId w:val="32"/>
  </w:num>
  <w:num w:numId="39" w16cid:durableId="659652071">
    <w:abstractNumId w:val="6"/>
  </w:num>
  <w:num w:numId="40" w16cid:durableId="94387920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89A"/>
    <w:rsid w:val="00025AB9"/>
    <w:rsid w:val="00026013"/>
    <w:rsid w:val="000267B0"/>
    <w:rsid w:val="00026EF4"/>
    <w:rsid w:val="00027523"/>
    <w:rsid w:val="000278DA"/>
    <w:rsid w:val="00027E31"/>
    <w:rsid w:val="00027E97"/>
    <w:rsid w:val="00031A80"/>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540"/>
    <w:rsid w:val="00054932"/>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0BE"/>
    <w:rsid w:val="00067403"/>
    <w:rsid w:val="0007054D"/>
    <w:rsid w:val="000713C6"/>
    <w:rsid w:val="000715B5"/>
    <w:rsid w:val="00071C04"/>
    <w:rsid w:val="00071CFF"/>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823"/>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546"/>
    <w:rsid w:val="000E5A5D"/>
    <w:rsid w:val="000E5EE7"/>
    <w:rsid w:val="000E6584"/>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E7"/>
    <w:rsid w:val="000F6E19"/>
    <w:rsid w:val="000F71BA"/>
    <w:rsid w:val="00100355"/>
    <w:rsid w:val="00101A4E"/>
    <w:rsid w:val="00103F18"/>
    <w:rsid w:val="001049CE"/>
    <w:rsid w:val="00104A24"/>
    <w:rsid w:val="001055C2"/>
    <w:rsid w:val="001060C1"/>
    <w:rsid w:val="00106268"/>
    <w:rsid w:val="00106D73"/>
    <w:rsid w:val="00107408"/>
    <w:rsid w:val="00107545"/>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0EA2"/>
    <w:rsid w:val="001210C6"/>
    <w:rsid w:val="00121310"/>
    <w:rsid w:val="001214B2"/>
    <w:rsid w:val="00122942"/>
    <w:rsid w:val="0012364D"/>
    <w:rsid w:val="00123DC2"/>
    <w:rsid w:val="0012426D"/>
    <w:rsid w:val="00124662"/>
    <w:rsid w:val="00125BDA"/>
    <w:rsid w:val="0012605F"/>
    <w:rsid w:val="00126A19"/>
    <w:rsid w:val="00126ABB"/>
    <w:rsid w:val="00127ADA"/>
    <w:rsid w:val="00130487"/>
    <w:rsid w:val="00130F92"/>
    <w:rsid w:val="00131007"/>
    <w:rsid w:val="001316BC"/>
    <w:rsid w:val="00131CCD"/>
    <w:rsid w:val="00132013"/>
    <w:rsid w:val="00133466"/>
    <w:rsid w:val="00133A23"/>
    <w:rsid w:val="00134036"/>
    <w:rsid w:val="00134B79"/>
    <w:rsid w:val="00137B70"/>
    <w:rsid w:val="001401AA"/>
    <w:rsid w:val="00140B02"/>
    <w:rsid w:val="00141AF1"/>
    <w:rsid w:val="0014208E"/>
    <w:rsid w:val="00143E0F"/>
    <w:rsid w:val="00143F69"/>
    <w:rsid w:val="001441DA"/>
    <w:rsid w:val="00145B6A"/>
    <w:rsid w:val="001468BA"/>
    <w:rsid w:val="00146DDD"/>
    <w:rsid w:val="0015010C"/>
    <w:rsid w:val="00150C6C"/>
    <w:rsid w:val="0015121B"/>
    <w:rsid w:val="00151489"/>
    <w:rsid w:val="0015219B"/>
    <w:rsid w:val="00153BCD"/>
    <w:rsid w:val="00154728"/>
    <w:rsid w:val="0015650B"/>
    <w:rsid w:val="0015676D"/>
    <w:rsid w:val="001567D0"/>
    <w:rsid w:val="00157759"/>
    <w:rsid w:val="0015786A"/>
    <w:rsid w:val="00157C3E"/>
    <w:rsid w:val="00160D27"/>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4EB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7"/>
    <w:rsid w:val="0019451B"/>
    <w:rsid w:val="00195605"/>
    <w:rsid w:val="0019568E"/>
    <w:rsid w:val="00196AFF"/>
    <w:rsid w:val="00197791"/>
    <w:rsid w:val="00197C67"/>
    <w:rsid w:val="00197F3A"/>
    <w:rsid w:val="001A00C1"/>
    <w:rsid w:val="001A0391"/>
    <w:rsid w:val="001A20AA"/>
    <w:rsid w:val="001A2212"/>
    <w:rsid w:val="001A2FD7"/>
    <w:rsid w:val="001A6457"/>
    <w:rsid w:val="001A7273"/>
    <w:rsid w:val="001A7558"/>
    <w:rsid w:val="001A7D24"/>
    <w:rsid w:val="001B053D"/>
    <w:rsid w:val="001B0765"/>
    <w:rsid w:val="001B091A"/>
    <w:rsid w:val="001B09A6"/>
    <w:rsid w:val="001B09DA"/>
    <w:rsid w:val="001B0E3A"/>
    <w:rsid w:val="001B1309"/>
    <w:rsid w:val="001B2D50"/>
    <w:rsid w:val="001B4B1A"/>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D4E"/>
    <w:rsid w:val="001F2E35"/>
    <w:rsid w:val="001F36A0"/>
    <w:rsid w:val="001F3CAE"/>
    <w:rsid w:val="001F5050"/>
    <w:rsid w:val="001F7561"/>
    <w:rsid w:val="001F7976"/>
    <w:rsid w:val="001F7FC2"/>
    <w:rsid w:val="0020161E"/>
    <w:rsid w:val="00201A59"/>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4EC6"/>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99F"/>
    <w:rsid w:val="00230D61"/>
    <w:rsid w:val="00231437"/>
    <w:rsid w:val="00232418"/>
    <w:rsid w:val="00232962"/>
    <w:rsid w:val="00232E52"/>
    <w:rsid w:val="00233F36"/>
    <w:rsid w:val="002346DB"/>
    <w:rsid w:val="00234C6F"/>
    <w:rsid w:val="00234E67"/>
    <w:rsid w:val="00234F48"/>
    <w:rsid w:val="0023625A"/>
    <w:rsid w:val="0023769E"/>
    <w:rsid w:val="0023795E"/>
    <w:rsid w:val="00237B60"/>
    <w:rsid w:val="002400E6"/>
    <w:rsid w:val="00241917"/>
    <w:rsid w:val="0024219D"/>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57EED"/>
    <w:rsid w:val="0026073B"/>
    <w:rsid w:val="00261B4D"/>
    <w:rsid w:val="0026229C"/>
    <w:rsid w:val="00262464"/>
    <w:rsid w:val="00263E02"/>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3FA"/>
    <w:rsid w:val="00276A99"/>
    <w:rsid w:val="00276AA7"/>
    <w:rsid w:val="0027781A"/>
    <w:rsid w:val="0027791B"/>
    <w:rsid w:val="00277E90"/>
    <w:rsid w:val="0028118C"/>
    <w:rsid w:val="00282000"/>
    <w:rsid w:val="0028385F"/>
    <w:rsid w:val="00283DF8"/>
    <w:rsid w:val="0028471A"/>
    <w:rsid w:val="00285E30"/>
    <w:rsid w:val="00286941"/>
    <w:rsid w:val="00286E0F"/>
    <w:rsid w:val="00287D77"/>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3869"/>
    <w:rsid w:val="002B4223"/>
    <w:rsid w:val="002B4B3D"/>
    <w:rsid w:val="002B6034"/>
    <w:rsid w:val="002B7B8B"/>
    <w:rsid w:val="002C0251"/>
    <w:rsid w:val="002C0292"/>
    <w:rsid w:val="002C2680"/>
    <w:rsid w:val="002C2FC7"/>
    <w:rsid w:val="002C3D8A"/>
    <w:rsid w:val="002C3E50"/>
    <w:rsid w:val="002C47ED"/>
    <w:rsid w:val="002C4854"/>
    <w:rsid w:val="002C4AE6"/>
    <w:rsid w:val="002C4E67"/>
    <w:rsid w:val="002C5866"/>
    <w:rsid w:val="002C6F92"/>
    <w:rsid w:val="002C72C1"/>
    <w:rsid w:val="002C78D8"/>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2196"/>
    <w:rsid w:val="002E30D6"/>
    <w:rsid w:val="002E3223"/>
    <w:rsid w:val="002E3F05"/>
    <w:rsid w:val="002E48E8"/>
    <w:rsid w:val="002E4B25"/>
    <w:rsid w:val="002E59C3"/>
    <w:rsid w:val="002E68D9"/>
    <w:rsid w:val="002E6C8A"/>
    <w:rsid w:val="002F03B7"/>
    <w:rsid w:val="002F03D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3C6"/>
    <w:rsid w:val="00300D09"/>
    <w:rsid w:val="00301246"/>
    <w:rsid w:val="003015A2"/>
    <w:rsid w:val="003027FB"/>
    <w:rsid w:val="00302F6F"/>
    <w:rsid w:val="0030423E"/>
    <w:rsid w:val="00306A46"/>
    <w:rsid w:val="00306EF7"/>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8C3"/>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816"/>
    <w:rsid w:val="0035298A"/>
    <w:rsid w:val="00353582"/>
    <w:rsid w:val="00355250"/>
    <w:rsid w:val="0035551B"/>
    <w:rsid w:val="00355B81"/>
    <w:rsid w:val="0035666A"/>
    <w:rsid w:val="003574FA"/>
    <w:rsid w:val="0036173D"/>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1C43"/>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A6987"/>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5975"/>
    <w:rsid w:val="003C6F44"/>
    <w:rsid w:val="003C7290"/>
    <w:rsid w:val="003C74B4"/>
    <w:rsid w:val="003C76B2"/>
    <w:rsid w:val="003C785A"/>
    <w:rsid w:val="003C7EF1"/>
    <w:rsid w:val="003D130B"/>
    <w:rsid w:val="003D139F"/>
    <w:rsid w:val="003D3D85"/>
    <w:rsid w:val="003D4381"/>
    <w:rsid w:val="003D49B9"/>
    <w:rsid w:val="003D4EFC"/>
    <w:rsid w:val="003D5332"/>
    <w:rsid w:val="003D6C2F"/>
    <w:rsid w:val="003D6D58"/>
    <w:rsid w:val="003D7FD0"/>
    <w:rsid w:val="003E0545"/>
    <w:rsid w:val="003E0F70"/>
    <w:rsid w:val="003E24EA"/>
    <w:rsid w:val="003E2957"/>
    <w:rsid w:val="003E2BF0"/>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07BC2"/>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580B"/>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3A"/>
    <w:rsid w:val="00482EB0"/>
    <w:rsid w:val="0048447C"/>
    <w:rsid w:val="00484575"/>
    <w:rsid w:val="0048472E"/>
    <w:rsid w:val="00485D93"/>
    <w:rsid w:val="00485F07"/>
    <w:rsid w:val="004868D6"/>
    <w:rsid w:val="00486E27"/>
    <w:rsid w:val="0048727C"/>
    <w:rsid w:val="00487843"/>
    <w:rsid w:val="004907DD"/>
    <w:rsid w:val="0049096C"/>
    <w:rsid w:val="00491252"/>
    <w:rsid w:val="0049143A"/>
    <w:rsid w:val="0049176E"/>
    <w:rsid w:val="00491EE2"/>
    <w:rsid w:val="004922F0"/>
    <w:rsid w:val="004927FF"/>
    <w:rsid w:val="004928D9"/>
    <w:rsid w:val="00493426"/>
    <w:rsid w:val="004937E8"/>
    <w:rsid w:val="004956AD"/>
    <w:rsid w:val="004962E9"/>
    <w:rsid w:val="004A02B0"/>
    <w:rsid w:val="004A1806"/>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C0BEF"/>
    <w:rsid w:val="004C24F9"/>
    <w:rsid w:val="004C3192"/>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32C0"/>
    <w:rsid w:val="004E4B03"/>
    <w:rsid w:val="004E4F0D"/>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1DE9"/>
    <w:rsid w:val="00502C53"/>
    <w:rsid w:val="0050338C"/>
    <w:rsid w:val="00503410"/>
    <w:rsid w:val="005035D5"/>
    <w:rsid w:val="00503CDE"/>
    <w:rsid w:val="00503F68"/>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30D60"/>
    <w:rsid w:val="00530E68"/>
    <w:rsid w:val="0053146C"/>
    <w:rsid w:val="005314DD"/>
    <w:rsid w:val="00531925"/>
    <w:rsid w:val="00532D77"/>
    <w:rsid w:val="005332D4"/>
    <w:rsid w:val="005344E4"/>
    <w:rsid w:val="00534716"/>
    <w:rsid w:val="00535879"/>
    <w:rsid w:val="005373A1"/>
    <w:rsid w:val="005409BD"/>
    <w:rsid w:val="0054290D"/>
    <w:rsid w:val="00543D3A"/>
    <w:rsid w:val="00545B27"/>
    <w:rsid w:val="00546262"/>
    <w:rsid w:val="00546717"/>
    <w:rsid w:val="0054707B"/>
    <w:rsid w:val="0054767E"/>
    <w:rsid w:val="0054796A"/>
    <w:rsid w:val="00547FD4"/>
    <w:rsid w:val="005507D0"/>
    <w:rsid w:val="00550EAC"/>
    <w:rsid w:val="0055183F"/>
    <w:rsid w:val="00551A73"/>
    <w:rsid w:val="00552147"/>
    <w:rsid w:val="00554224"/>
    <w:rsid w:val="00554CD7"/>
    <w:rsid w:val="00555423"/>
    <w:rsid w:val="00555F21"/>
    <w:rsid w:val="00560DD0"/>
    <w:rsid w:val="00561227"/>
    <w:rsid w:val="00561C6F"/>
    <w:rsid w:val="005637A2"/>
    <w:rsid w:val="00563923"/>
    <w:rsid w:val="00564495"/>
    <w:rsid w:val="0056552B"/>
    <w:rsid w:val="00565D72"/>
    <w:rsid w:val="00565D81"/>
    <w:rsid w:val="00567620"/>
    <w:rsid w:val="0056771C"/>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089A"/>
    <w:rsid w:val="005D1ECB"/>
    <w:rsid w:val="005D244E"/>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5F7C6A"/>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47F6"/>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4D7"/>
    <w:rsid w:val="00663523"/>
    <w:rsid w:val="006635B3"/>
    <w:rsid w:val="0066468B"/>
    <w:rsid w:val="00664C6F"/>
    <w:rsid w:val="00664D3A"/>
    <w:rsid w:val="00665CAD"/>
    <w:rsid w:val="00666A0C"/>
    <w:rsid w:val="00666ACF"/>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58AF"/>
    <w:rsid w:val="0069614B"/>
    <w:rsid w:val="00696913"/>
    <w:rsid w:val="00696963"/>
    <w:rsid w:val="006975D3"/>
    <w:rsid w:val="00697DB8"/>
    <w:rsid w:val="006A0596"/>
    <w:rsid w:val="006A0705"/>
    <w:rsid w:val="006A07EA"/>
    <w:rsid w:val="006A1EC8"/>
    <w:rsid w:val="006A2951"/>
    <w:rsid w:val="006A3476"/>
    <w:rsid w:val="006A3835"/>
    <w:rsid w:val="006A5058"/>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21B3"/>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A7E"/>
    <w:rsid w:val="006D5F06"/>
    <w:rsid w:val="006D66EA"/>
    <w:rsid w:val="006D6C0F"/>
    <w:rsid w:val="006D7411"/>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6E0"/>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7FF"/>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27DA"/>
    <w:rsid w:val="00785731"/>
    <w:rsid w:val="00785920"/>
    <w:rsid w:val="00785A50"/>
    <w:rsid w:val="007865FD"/>
    <w:rsid w:val="00786F58"/>
    <w:rsid w:val="0079015D"/>
    <w:rsid w:val="007906AA"/>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127"/>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79E"/>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349"/>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377A7"/>
    <w:rsid w:val="00840BE7"/>
    <w:rsid w:val="008424C5"/>
    <w:rsid w:val="00842AAE"/>
    <w:rsid w:val="00843037"/>
    <w:rsid w:val="00843A42"/>
    <w:rsid w:val="00844108"/>
    <w:rsid w:val="008445F5"/>
    <w:rsid w:val="00844F2D"/>
    <w:rsid w:val="008468AE"/>
    <w:rsid w:val="0084742B"/>
    <w:rsid w:val="00847780"/>
    <w:rsid w:val="00847BD5"/>
    <w:rsid w:val="00847C74"/>
    <w:rsid w:val="00847F8A"/>
    <w:rsid w:val="00851D1F"/>
    <w:rsid w:val="00855E69"/>
    <w:rsid w:val="00855F9A"/>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31"/>
    <w:rsid w:val="0087478D"/>
    <w:rsid w:val="00874B70"/>
    <w:rsid w:val="008750D3"/>
    <w:rsid w:val="00876DD7"/>
    <w:rsid w:val="00877A07"/>
    <w:rsid w:val="0088132A"/>
    <w:rsid w:val="008821AD"/>
    <w:rsid w:val="00882FB4"/>
    <w:rsid w:val="00884004"/>
    <w:rsid w:val="008842FC"/>
    <w:rsid w:val="008850FF"/>
    <w:rsid w:val="0088586C"/>
    <w:rsid w:val="00885A5C"/>
    <w:rsid w:val="00886B20"/>
    <w:rsid w:val="008875ED"/>
    <w:rsid w:val="00890FB1"/>
    <w:rsid w:val="00891EA3"/>
    <w:rsid w:val="008926CC"/>
    <w:rsid w:val="00892BE1"/>
    <w:rsid w:val="00893049"/>
    <w:rsid w:val="0089310B"/>
    <w:rsid w:val="00893168"/>
    <w:rsid w:val="008959C6"/>
    <w:rsid w:val="00895B8D"/>
    <w:rsid w:val="008960A8"/>
    <w:rsid w:val="00896CAB"/>
    <w:rsid w:val="00896D9E"/>
    <w:rsid w:val="00897F04"/>
    <w:rsid w:val="008A08E2"/>
    <w:rsid w:val="008A159E"/>
    <w:rsid w:val="008A1627"/>
    <w:rsid w:val="008A19A5"/>
    <w:rsid w:val="008A32BD"/>
    <w:rsid w:val="008A3F8C"/>
    <w:rsid w:val="008A4065"/>
    <w:rsid w:val="008A49ED"/>
    <w:rsid w:val="008A4B81"/>
    <w:rsid w:val="008A77E4"/>
    <w:rsid w:val="008A7F86"/>
    <w:rsid w:val="008B1AA3"/>
    <w:rsid w:val="008B234F"/>
    <w:rsid w:val="008B2EAF"/>
    <w:rsid w:val="008B34F3"/>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5C40"/>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574A"/>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2A67"/>
    <w:rsid w:val="009435CD"/>
    <w:rsid w:val="0094396D"/>
    <w:rsid w:val="0094420F"/>
    <w:rsid w:val="00944846"/>
    <w:rsid w:val="00945EA1"/>
    <w:rsid w:val="009469B5"/>
    <w:rsid w:val="009473CE"/>
    <w:rsid w:val="00947563"/>
    <w:rsid w:val="00947A5C"/>
    <w:rsid w:val="009506AB"/>
    <w:rsid w:val="009508D4"/>
    <w:rsid w:val="00950D10"/>
    <w:rsid w:val="00950F84"/>
    <w:rsid w:val="00952B7A"/>
    <w:rsid w:val="0095425C"/>
    <w:rsid w:val="00954DC0"/>
    <w:rsid w:val="00955978"/>
    <w:rsid w:val="009560F0"/>
    <w:rsid w:val="009566EF"/>
    <w:rsid w:val="00957B1D"/>
    <w:rsid w:val="00957BF9"/>
    <w:rsid w:val="00960031"/>
    <w:rsid w:val="00960EC8"/>
    <w:rsid w:val="009624B9"/>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555B"/>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2615"/>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539"/>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938"/>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6EFC"/>
    <w:rsid w:val="00A37B47"/>
    <w:rsid w:val="00A404AE"/>
    <w:rsid w:val="00A40A1A"/>
    <w:rsid w:val="00A412F3"/>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29C6"/>
    <w:rsid w:val="00A63A59"/>
    <w:rsid w:val="00A64AB2"/>
    <w:rsid w:val="00A65FDE"/>
    <w:rsid w:val="00A67A79"/>
    <w:rsid w:val="00A70411"/>
    <w:rsid w:val="00A72319"/>
    <w:rsid w:val="00A7270E"/>
    <w:rsid w:val="00A727F1"/>
    <w:rsid w:val="00A73822"/>
    <w:rsid w:val="00A73EDC"/>
    <w:rsid w:val="00A74F5C"/>
    <w:rsid w:val="00A75ADF"/>
    <w:rsid w:val="00A766F3"/>
    <w:rsid w:val="00A77D81"/>
    <w:rsid w:val="00A77E1A"/>
    <w:rsid w:val="00A8043B"/>
    <w:rsid w:val="00A80682"/>
    <w:rsid w:val="00A80CE8"/>
    <w:rsid w:val="00A82192"/>
    <w:rsid w:val="00A82D49"/>
    <w:rsid w:val="00A832D7"/>
    <w:rsid w:val="00A8358C"/>
    <w:rsid w:val="00A83592"/>
    <w:rsid w:val="00A83993"/>
    <w:rsid w:val="00A83D66"/>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2423"/>
    <w:rsid w:val="00AB3207"/>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43A8"/>
    <w:rsid w:val="00AD6705"/>
    <w:rsid w:val="00AD6FCE"/>
    <w:rsid w:val="00AD7476"/>
    <w:rsid w:val="00AD7F4C"/>
    <w:rsid w:val="00AE06BD"/>
    <w:rsid w:val="00AE06EC"/>
    <w:rsid w:val="00AE38AB"/>
    <w:rsid w:val="00AE53D5"/>
    <w:rsid w:val="00AE5D03"/>
    <w:rsid w:val="00AE62EA"/>
    <w:rsid w:val="00AE75EF"/>
    <w:rsid w:val="00AE78F3"/>
    <w:rsid w:val="00AF1043"/>
    <w:rsid w:val="00AF113D"/>
    <w:rsid w:val="00AF1A00"/>
    <w:rsid w:val="00AF1CA0"/>
    <w:rsid w:val="00AF3CEB"/>
    <w:rsid w:val="00AF3EB7"/>
    <w:rsid w:val="00AF4849"/>
    <w:rsid w:val="00AF4B9E"/>
    <w:rsid w:val="00AF4D70"/>
    <w:rsid w:val="00AF53D5"/>
    <w:rsid w:val="00AF5521"/>
    <w:rsid w:val="00B00C9E"/>
    <w:rsid w:val="00B00ED7"/>
    <w:rsid w:val="00B0212A"/>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5A6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404"/>
    <w:rsid w:val="00B81AB1"/>
    <w:rsid w:val="00B82EB4"/>
    <w:rsid w:val="00B84055"/>
    <w:rsid w:val="00B8429E"/>
    <w:rsid w:val="00B8496B"/>
    <w:rsid w:val="00B860AD"/>
    <w:rsid w:val="00B903E3"/>
    <w:rsid w:val="00B90439"/>
    <w:rsid w:val="00B904C2"/>
    <w:rsid w:val="00B92E14"/>
    <w:rsid w:val="00B92E2E"/>
    <w:rsid w:val="00B931FD"/>
    <w:rsid w:val="00B93A29"/>
    <w:rsid w:val="00B949F0"/>
    <w:rsid w:val="00B94BB4"/>
    <w:rsid w:val="00B96E7C"/>
    <w:rsid w:val="00BA0588"/>
    <w:rsid w:val="00BA0903"/>
    <w:rsid w:val="00BA0B8E"/>
    <w:rsid w:val="00BA1483"/>
    <w:rsid w:val="00BA184E"/>
    <w:rsid w:val="00BA221F"/>
    <w:rsid w:val="00BA2F49"/>
    <w:rsid w:val="00BA327F"/>
    <w:rsid w:val="00BA38F2"/>
    <w:rsid w:val="00BA401C"/>
    <w:rsid w:val="00BA45CD"/>
    <w:rsid w:val="00BA574E"/>
    <w:rsid w:val="00BA5FBC"/>
    <w:rsid w:val="00BA607B"/>
    <w:rsid w:val="00BA6266"/>
    <w:rsid w:val="00BA7927"/>
    <w:rsid w:val="00BA7AE5"/>
    <w:rsid w:val="00BB0495"/>
    <w:rsid w:val="00BB1344"/>
    <w:rsid w:val="00BB1D4A"/>
    <w:rsid w:val="00BB2F5A"/>
    <w:rsid w:val="00BB35C6"/>
    <w:rsid w:val="00BB3724"/>
    <w:rsid w:val="00BB3A62"/>
    <w:rsid w:val="00BB56FA"/>
    <w:rsid w:val="00BB5EF5"/>
    <w:rsid w:val="00BB69C8"/>
    <w:rsid w:val="00BB6D22"/>
    <w:rsid w:val="00BC1041"/>
    <w:rsid w:val="00BC1ED0"/>
    <w:rsid w:val="00BC39D5"/>
    <w:rsid w:val="00BC4C9C"/>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35FF"/>
    <w:rsid w:val="00C05755"/>
    <w:rsid w:val="00C06B36"/>
    <w:rsid w:val="00C06E5D"/>
    <w:rsid w:val="00C071A7"/>
    <w:rsid w:val="00C074E8"/>
    <w:rsid w:val="00C0764D"/>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8FD"/>
    <w:rsid w:val="00C14926"/>
    <w:rsid w:val="00C16C0F"/>
    <w:rsid w:val="00C16CAD"/>
    <w:rsid w:val="00C20F08"/>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4DBA"/>
    <w:rsid w:val="00C357F0"/>
    <w:rsid w:val="00C36C31"/>
    <w:rsid w:val="00C37011"/>
    <w:rsid w:val="00C40C52"/>
    <w:rsid w:val="00C414D4"/>
    <w:rsid w:val="00C42A4B"/>
    <w:rsid w:val="00C43046"/>
    <w:rsid w:val="00C43D09"/>
    <w:rsid w:val="00C43E31"/>
    <w:rsid w:val="00C44EE0"/>
    <w:rsid w:val="00C4514C"/>
    <w:rsid w:val="00C45374"/>
    <w:rsid w:val="00C453BE"/>
    <w:rsid w:val="00C45936"/>
    <w:rsid w:val="00C464EC"/>
    <w:rsid w:val="00C46B2D"/>
    <w:rsid w:val="00C46B64"/>
    <w:rsid w:val="00C4724E"/>
    <w:rsid w:val="00C47CB9"/>
    <w:rsid w:val="00C50205"/>
    <w:rsid w:val="00C51740"/>
    <w:rsid w:val="00C51992"/>
    <w:rsid w:val="00C52D4A"/>
    <w:rsid w:val="00C53392"/>
    <w:rsid w:val="00C543C1"/>
    <w:rsid w:val="00C54751"/>
    <w:rsid w:val="00C556FD"/>
    <w:rsid w:val="00C56536"/>
    <w:rsid w:val="00C5659F"/>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28C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CC5"/>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42"/>
    <w:rsid w:val="00D376C0"/>
    <w:rsid w:val="00D37993"/>
    <w:rsid w:val="00D4196F"/>
    <w:rsid w:val="00D42C25"/>
    <w:rsid w:val="00D44CDB"/>
    <w:rsid w:val="00D45D66"/>
    <w:rsid w:val="00D46150"/>
    <w:rsid w:val="00D46968"/>
    <w:rsid w:val="00D47700"/>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270"/>
    <w:rsid w:val="00D82485"/>
    <w:rsid w:val="00D82750"/>
    <w:rsid w:val="00D82A5E"/>
    <w:rsid w:val="00D82F69"/>
    <w:rsid w:val="00D834CD"/>
    <w:rsid w:val="00D83B83"/>
    <w:rsid w:val="00D845F9"/>
    <w:rsid w:val="00D84BBF"/>
    <w:rsid w:val="00D861A9"/>
    <w:rsid w:val="00D86431"/>
    <w:rsid w:val="00D86F52"/>
    <w:rsid w:val="00D90116"/>
    <w:rsid w:val="00D90404"/>
    <w:rsid w:val="00D90C81"/>
    <w:rsid w:val="00D91726"/>
    <w:rsid w:val="00D922C4"/>
    <w:rsid w:val="00D9238D"/>
    <w:rsid w:val="00D924BD"/>
    <w:rsid w:val="00D93976"/>
    <w:rsid w:val="00D942E4"/>
    <w:rsid w:val="00D95142"/>
    <w:rsid w:val="00D9528F"/>
    <w:rsid w:val="00D95662"/>
    <w:rsid w:val="00D957F8"/>
    <w:rsid w:val="00D96BE5"/>
    <w:rsid w:val="00D96C8D"/>
    <w:rsid w:val="00D9718A"/>
    <w:rsid w:val="00D97E1A"/>
    <w:rsid w:val="00DA11B6"/>
    <w:rsid w:val="00DA16FC"/>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3EEC"/>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D7538"/>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0B5D"/>
    <w:rsid w:val="00DF10A4"/>
    <w:rsid w:val="00DF1343"/>
    <w:rsid w:val="00DF2C5C"/>
    <w:rsid w:val="00DF4572"/>
    <w:rsid w:val="00DF46CB"/>
    <w:rsid w:val="00DF520A"/>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3EA8"/>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598C"/>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64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5D9"/>
    <w:rsid w:val="00E76712"/>
    <w:rsid w:val="00E76CA3"/>
    <w:rsid w:val="00E8039D"/>
    <w:rsid w:val="00E8148D"/>
    <w:rsid w:val="00E81518"/>
    <w:rsid w:val="00E82475"/>
    <w:rsid w:val="00E824B1"/>
    <w:rsid w:val="00E82D79"/>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3A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87A"/>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A8A"/>
    <w:rsid w:val="00F40E13"/>
    <w:rsid w:val="00F40E83"/>
    <w:rsid w:val="00F41688"/>
    <w:rsid w:val="00F42033"/>
    <w:rsid w:val="00F42EDF"/>
    <w:rsid w:val="00F4372E"/>
    <w:rsid w:val="00F4529B"/>
    <w:rsid w:val="00F46513"/>
    <w:rsid w:val="00F46586"/>
    <w:rsid w:val="00F46A07"/>
    <w:rsid w:val="00F47562"/>
    <w:rsid w:val="00F47710"/>
    <w:rsid w:val="00F509A4"/>
    <w:rsid w:val="00F51491"/>
    <w:rsid w:val="00F5220C"/>
    <w:rsid w:val="00F52BE6"/>
    <w:rsid w:val="00F53995"/>
    <w:rsid w:val="00F53A2C"/>
    <w:rsid w:val="00F546AE"/>
    <w:rsid w:val="00F567F4"/>
    <w:rsid w:val="00F574BB"/>
    <w:rsid w:val="00F57FD0"/>
    <w:rsid w:val="00F60C31"/>
    <w:rsid w:val="00F60F89"/>
    <w:rsid w:val="00F61531"/>
    <w:rsid w:val="00F644C2"/>
    <w:rsid w:val="00F648D6"/>
    <w:rsid w:val="00F64B26"/>
    <w:rsid w:val="00F64CD9"/>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4097"/>
    <w:rsid w:val="00FA7360"/>
    <w:rsid w:val="00FA738F"/>
    <w:rsid w:val="00FB0589"/>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30"/>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4979"/>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D1AE8"/>
  <w15:docId w15:val="{34FFFBE5-59D1-415F-A112-D471EC4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003C6"/>
    <w:pPr>
      <w:numPr>
        <w:numId w:val="1"/>
      </w:numPr>
      <w:spacing w:line="480" w:lineRule="auto"/>
      <w:ind w:left="0" w:firstLine="0"/>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7C1127"/>
    <w:pPr>
      <w:numPr>
        <w:ilvl w:val="1"/>
      </w:numPr>
      <w:ind w:left="1134" w:hanging="567"/>
    </w:p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Ref,de nota al pie,註腳內容,Footnotes refss,Appel note de bas de page,(NECG) Footnote Reference,fr,Footnote Reference + Superscript,Heading 6 Char1,do not use4 Char1,Footnote symbol"/>
    <w:unhideWhenUsed/>
    <w:rsid w:val="00300D09"/>
    <w:rPr>
      <w:vertAlign w:val="superscript"/>
      <w:lang w:val="en-GB"/>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aliases w:val="Second Level,Second Level Numbered"/>
    <w:basedOn w:val="ListNumber"/>
    <w:uiPriority w:val="99"/>
    <w:unhideWhenUsed/>
    <w:qFormat/>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003C6"/>
    <w:rPr>
      <w:rFonts w:ascii="Arial" w:hAnsi="Arial"/>
      <w:iCs/>
      <w:color w:val="000000"/>
      <w:sz w:val="24"/>
      <w:szCs w:val="22"/>
      <w:lang w:eastAsia="en-US"/>
    </w:rPr>
  </w:style>
  <w:style w:type="character" w:customStyle="1" w:styleId="2Char">
    <w:name w:val="2 Char"/>
    <w:link w:val="2"/>
    <w:rsid w:val="007C1127"/>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styleId="ListNumber3">
    <w:name w:val="List Number 3"/>
    <w:aliases w:val="Third Level,Third level Numbered"/>
    <w:basedOn w:val="Normal"/>
    <w:uiPriority w:val="99"/>
    <w:unhideWhenUsed/>
    <w:qFormat/>
    <w:rsid w:val="00DF0B5D"/>
    <w:pPr>
      <w:numPr>
        <w:numId w:val="35"/>
      </w:numPr>
      <w:contextualSpacing/>
    </w:pPr>
  </w:style>
  <w:style w:type="numbering" w:styleId="111111">
    <w:name w:val="Outline List 2"/>
    <w:aliases w:val="Work Numbering"/>
    <w:basedOn w:val="NoList"/>
    <w:uiPriority w:val="99"/>
    <w:semiHidden/>
    <w:unhideWhenUsed/>
    <w:rsid w:val="00DF0B5D"/>
    <w:pPr>
      <w:numPr>
        <w:numId w:val="37"/>
      </w:numPr>
    </w:pPr>
  </w:style>
  <w:style w:type="paragraph" w:customStyle="1" w:styleId="FirstLevel">
    <w:name w:val="First Level"/>
    <w:basedOn w:val="ListNumber"/>
    <w:qFormat/>
    <w:rsid w:val="00DF0B5D"/>
    <w:pPr>
      <w:numPr>
        <w:numId w:val="37"/>
      </w:numPr>
      <w:adjustRightInd w:val="0"/>
      <w:spacing w:before="240" w:after="240" w:line="480" w:lineRule="auto"/>
      <w:ind w:left="567" w:hanging="567"/>
    </w:pPr>
    <w:rPr>
      <w:lang w:val="en-ZA" w:eastAsia="en-GB"/>
    </w:rPr>
  </w:style>
  <w:style w:type="paragraph" w:customStyle="1" w:styleId="Para1">
    <w:name w:val="Para1"/>
    <w:basedOn w:val="ListParagraph"/>
    <w:qFormat/>
    <w:rsid w:val="00DF0B5D"/>
    <w:pPr>
      <w:numPr>
        <w:numId w:val="38"/>
      </w:numPr>
      <w:tabs>
        <w:tab w:val="left" w:pos="851"/>
        <w:tab w:val="right" w:pos="9026"/>
      </w:tabs>
      <w:spacing w:before="240" w:after="240" w:line="480" w:lineRule="auto"/>
      <w:ind w:left="851" w:hanging="851"/>
    </w:pPr>
    <w:rPr>
      <w:rFonts w:eastAsiaTheme="minorHAnsi" w:cs="Arial"/>
      <w:sz w:val="24"/>
      <w:szCs w:val="24"/>
      <w:lang w:val="en-ZA" w:eastAsia="en-US"/>
    </w:rPr>
  </w:style>
  <w:style w:type="paragraph" w:customStyle="1" w:styleId="Para2">
    <w:name w:val="Para2"/>
    <w:basedOn w:val="Para1"/>
    <w:link w:val="Para2Char"/>
    <w:qFormat/>
    <w:rsid w:val="00DF0B5D"/>
    <w:pPr>
      <w:numPr>
        <w:ilvl w:val="1"/>
      </w:numPr>
      <w:tabs>
        <w:tab w:val="clear" w:pos="851"/>
        <w:tab w:val="left" w:pos="1701"/>
      </w:tabs>
      <w:ind w:left="1701" w:hanging="850"/>
    </w:pPr>
  </w:style>
  <w:style w:type="paragraph" w:customStyle="1" w:styleId="Para3">
    <w:name w:val="Para3"/>
    <w:basedOn w:val="Para2"/>
    <w:qFormat/>
    <w:rsid w:val="00DF0B5D"/>
    <w:pPr>
      <w:numPr>
        <w:ilvl w:val="2"/>
      </w:numPr>
      <w:tabs>
        <w:tab w:val="clear" w:pos="1701"/>
        <w:tab w:val="num" w:pos="360"/>
        <w:tab w:val="left" w:pos="2694"/>
      </w:tabs>
      <w:ind w:left="2694" w:hanging="993"/>
    </w:pPr>
  </w:style>
  <w:style w:type="character" w:customStyle="1" w:styleId="Para2Char">
    <w:name w:val="Para2 Char"/>
    <w:basedOn w:val="DefaultParagraphFont"/>
    <w:link w:val="Para2"/>
    <w:rsid w:val="00DF0B5D"/>
    <w:rPr>
      <w:rFonts w:ascii="Arial" w:eastAsiaTheme="minorHAnsi" w:hAnsi="Arial" w:cs="Arial"/>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22295229">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31490510">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AE7F-C64F-4166-873A-7984E847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Lilitha Mdleleni</cp:lastModifiedBy>
  <cp:revision>3</cp:revision>
  <cp:lastPrinted>2019-03-18T05:48:00Z</cp:lastPrinted>
  <dcterms:created xsi:type="dcterms:W3CDTF">2023-12-08T13:19:00Z</dcterms:created>
  <dcterms:modified xsi:type="dcterms:W3CDTF">2023-12-11T08:09:00Z</dcterms:modified>
</cp:coreProperties>
</file>