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251C9" w14:textId="77777777" w:rsidR="00B3749C" w:rsidRPr="00D416CC" w:rsidRDefault="00B3749C" w:rsidP="00B3749C">
      <w:pPr>
        <w:spacing w:after="0" w:line="360" w:lineRule="auto"/>
        <w:ind w:left="306" w:hangingChars="127" w:hanging="306"/>
        <w:jc w:val="center"/>
        <w:rPr>
          <w:rFonts w:eastAsia="Times New Roman" w:cs="Arial"/>
          <w:b/>
          <w:szCs w:val="24"/>
          <w:lang w:eastAsia="en-GB"/>
        </w:rPr>
      </w:pPr>
      <w:bookmarkStart w:id="0" w:name="_GoBack"/>
      <w:bookmarkEnd w:id="0"/>
      <w:r w:rsidRPr="00D416CC">
        <w:rPr>
          <w:rFonts w:eastAsia="Times New Roman" w:cs="Arial"/>
          <w:b/>
          <w:szCs w:val="24"/>
          <w:lang w:eastAsia="en-GB"/>
        </w:rPr>
        <w:t>REPUBLIC OF SOUTH AFRICA</w:t>
      </w:r>
    </w:p>
    <w:p w14:paraId="1A586B55" w14:textId="77777777" w:rsidR="00B3749C" w:rsidRPr="00D416CC" w:rsidRDefault="00B3749C" w:rsidP="00B3749C">
      <w:pPr>
        <w:spacing w:after="0" w:line="360" w:lineRule="auto"/>
        <w:ind w:left="306" w:hangingChars="127" w:hanging="306"/>
        <w:jc w:val="center"/>
        <w:rPr>
          <w:rFonts w:eastAsia="Times New Roman" w:cs="Arial"/>
          <w:b/>
          <w:szCs w:val="24"/>
          <w:lang w:eastAsia="en-GB"/>
        </w:rPr>
      </w:pPr>
      <w:r w:rsidRPr="00D416CC">
        <w:rPr>
          <w:rFonts w:eastAsia="MS Mincho" w:cs="Arial"/>
          <w:b/>
          <w:noProof/>
          <w:szCs w:val="24"/>
          <w:lang w:val="en-US"/>
        </w:rPr>
        <w:drawing>
          <wp:inline distT="0" distB="0" distL="0" distR="0" wp14:anchorId="24A77555" wp14:editId="474CFDDE">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4D1A5127" w14:textId="77777777" w:rsidR="00B3749C" w:rsidRPr="00D416CC" w:rsidRDefault="00B3749C" w:rsidP="00B3749C">
      <w:pPr>
        <w:spacing w:after="0" w:line="360" w:lineRule="auto"/>
        <w:ind w:left="306" w:hangingChars="127" w:hanging="306"/>
        <w:jc w:val="center"/>
        <w:rPr>
          <w:rFonts w:eastAsia="Times New Roman" w:cs="Arial"/>
          <w:b/>
          <w:szCs w:val="24"/>
          <w:lang w:eastAsia="en-GB"/>
        </w:rPr>
      </w:pPr>
      <w:r w:rsidRPr="00D416CC">
        <w:rPr>
          <w:rFonts w:eastAsia="Times New Roman" w:cs="Arial"/>
          <w:b/>
          <w:szCs w:val="24"/>
          <w:lang w:eastAsia="en-GB"/>
        </w:rPr>
        <w:t>IN THE HIGH COURT OF SOUTH AFRICA</w:t>
      </w:r>
    </w:p>
    <w:p w14:paraId="05A824A1" w14:textId="77777777" w:rsidR="00B3749C" w:rsidRPr="00D416CC" w:rsidRDefault="00B3749C" w:rsidP="00B3749C">
      <w:pPr>
        <w:spacing w:after="0" w:line="360" w:lineRule="auto"/>
        <w:ind w:left="306" w:hangingChars="127" w:hanging="306"/>
        <w:jc w:val="center"/>
        <w:rPr>
          <w:rFonts w:eastAsia="Times New Roman" w:cs="Arial"/>
          <w:b/>
          <w:szCs w:val="24"/>
          <w:lang w:eastAsia="en-GB"/>
        </w:rPr>
      </w:pPr>
      <w:r w:rsidRPr="00D416CC">
        <w:rPr>
          <w:rFonts w:eastAsia="Times New Roman" w:cs="Arial"/>
          <w:b/>
          <w:szCs w:val="24"/>
          <w:lang w:eastAsia="en-GB"/>
        </w:rPr>
        <w:t>GAUTENG LOCAL DIVISION, JOHANNESBURG</w:t>
      </w:r>
    </w:p>
    <w:p w14:paraId="1E91F7B4" w14:textId="77777777" w:rsidR="00B3749C" w:rsidRPr="00D416CC" w:rsidRDefault="00B3749C" w:rsidP="00B3749C">
      <w:pPr>
        <w:spacing w:after="0" w:line="360" w:lineRule="auto"/>
        <w:ind w:left="306" w:hangingChars="127" w:hanging="306"/>
        <w:jc w:val="center"/>
        <w:rPr>
          <w:rFonts w:eastAsia="Times New Roman" w:cs="Arial"/>
          <w:b/>
          <w:szCs w:val="24"/>
          <w:lang w:eastAsia="en-GB"/>
        </w:rPr>
      </w:pPr>
    </w:p>
    <w:p w14:paraId="60D8653E" w14:textId="76782D49" w:rsidR="00B3749C" w:rsidRPr="00D416CC" w:rsidRDefault="00B3749C" w:rsidP="00B3749C">
      <w:pPr>
        <w:spacing w:after="0" w:line="360" w:lineRule="auto"/>
        <w:ind w:left="305" w:hangingChars="127" w:hanging="305"/>
        <w:jc w:val="right"/>
        <w:rPr>
          <w:rFonts w:eastAsia="Times New Roman" w:cs="Arial"/>
          <w:b/>
          <w:kern w:val="25"/>
          <w:szCs w:val="24"/>
          <w:lang w:val="en-GB" w:eastAsia="en-GB"/>
        </w:rPr>
      </w:pPr>
      <w:r w:rsidRPr="00D416CC">
        <w:rPr>
          <w:rFonts w:eastAsia="MS Mincho" w:cs="Arial"/>
          <w:noProof/>
          <w:szCs w:val="24"/>
          <w:lang w:val="en-US"/>
        </w:rPr>
        <mc:AlternateContent>
          <mc:Choice Requires="wps">
            <w:drawing>
              <wp:anchor distT="0" distB="0" distL="114300" distR="114300" simplePos="0" relativeHeight="251659264" behindDoc="0" locked="0" layoutInCell="1" allowOverlap="1" wp14:anchorId="6FB40C21" wp14:editId="69425010">
                <wp:simplePos x="0" y="0"/>
                <wp:positionH relativeFrom="margin">
                  <wp:align>left</wp:align>
                </wp:positionH>
                <wp:positionV relativeFrom="paragraph">
                  <wp:posOffset>168909</wp:posOffset>
                </wp:positionV>
                <wp:extent cx="3314700" cy="12287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28725"/>
                        </a:xfrm>
                        <a:prstGeom prst="rect">
                          <a:avLst/>
                        </a:prstGeom>
                        <a:solidFill>
                          <a:srgbClr val="FFFFFF"/>
                        </a:solidFill>
                        <a:ln w="9525">
                          <a:solidFill>
                            <a:srgbClr val="000000"/>
                          </a:solidFill>
                          <a:miter lim="800000"/>
                          <a:headEnd/>
                          <a:tailEnd/>
                        </a:ln>
                      </wps:spPr>
                      <wps:txbx>
                        <w:txbxContent>
                          <w:p w14:paraId="69135C90" w14:textId="77777777" w:rsidR="00B3749C" w:rsidRPr="004120A8" w:rsidRDefault="00B3749C" w:rsidP="00B3749C">
                            <w:pPr>
                              <w:jc w:val="center"/>
                              <w:rPr>
                                <w:rFonts w:ascii="Century Gothic" w:hAnsi="Century Gothic"/>
                                <w:b/>
                                <w:sz w:val="2"/>
                                <w:szCs w:val="18"/>
                              </w:rPr>
                            </w:pPr>
                          </w:p>
                          <w:p w14:paraId="26D2F953" w14:textId="77777777" w:rsidR="00B3749C" w:rsidRPr="004120A8" w:rsidRDefault="00B3749C" w:rsidP="00B3749C">
                            <w:pPr>
                              <w:numPr>
                                <w:ilvl w:val="0"/>
                                <w:numId w:val="3"/>
                              </w:numPr>
                              <w:spacing w:after="0" w:line="240" w:lineRule="auto"/>
                              <w:rPr>
                                <w:rFonts w:ascii="Century Gothic" w:hAnsi="Century Gothic"/>
                                <w:sz w:val="18"/>
                                <w:szCs w:val="18"/>
                              </w:rPr>
                            </w:pPr>
                            <w:r>
                              <w:rPr>
                                <w:rFonts w:ascii="Century Gothic" w:hAnsi="Century Gothic"/>
                                <w:sz w:val="18"/>
                                <w:szCs w:val="18"/>
                              </w:rPr>
                              <w:t>REPORTABLE: YES/</w:t>
                            </w:r>
                            <w:r w:rsidRPr="004120A8">
                              <w:rPr>
                                <w:rFonts w:ascii="Century Gothic" w:hAnsi="Century Gothic"/>
                                <w:sz w:val="18"/>
                                <w:szCs w:val="18"/>
                              </w:rPr>
                              <w:t>NO</w:t>
                            </w:r>
                          </w:p>
                          <w:p w14:paraId="06B3A60B" w14:textId="77777777" w:rsidR="00B3749C" w:rsidRPr="004120A8" w:rsidRDefault="00B3749C" w:rsidP="00B3749C">
                            <w:pPr>
                              <w:numPr>
                                <w:ilvl w:val="0"/>
                                <w:numId w:val="3"/>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F INTEREST TO OTHER JUDGES: YES/</w:t>
                            </w:r>
                            <w:r w:rsidRPr="004120A8">
                              <w:rPr>
                                <w:rFonts w:ascii="Century Gothic" w:hAnsi="Century Gothic"/>
                                <w:sz w:val="18"/>
                                <w:szCs w:val="18"/>
                              </w:rPr>
                              <w:t>NO</w:t>
                            </w:r>
                          </w:p>
                          <w:p w14:paraId="34F5B303" w14:textId="77777777" w:rsidR="00B3749C" w:rsidRDefault="00B3749C" w:rsidP="00B3749C">
                            <w:pPr>
                              <w:numPr>
                                <w:ilvl w:val="0"/>
                                <w:numId w:val="3"/>
                              </w:numPr>
                              <w:spacing w:after="0" w:line="240" w:lineRule="auto"/>
                              <w:rPr>
                                <w:rFonts w:ascii="Century Gothic" w:hAnsi="Century Gothic"/>
                                <w:sz w:val="18"/>
                                <w:szCs w:val="18"/>
                              </w:rPr>
                            </w:pPr>
                            <w:r>
                              <w:rPr>
                                <w:rFonts w:ascii="Century Gothic" w:hAnsi="Century Gothic"/>
                                <w:sz w:val="18"/>
                                <w:szCs w:val="18"/>
                              </w:rPr>
                              <w:t>REVISED: YES/NO</w:t>
                            </w:r>
                          </w:p>
                          <w:p w14:paraId="50E14AB6" w14:textId="77777777" w:rsidR="00B3749C" w:rsidRDefault="00B3749C" w:rsidP="00B3749C">
                            <w:pPr>
                              <w:spacing w:after="0"/>
                              <w:ind w:left="900"/>
                              <w:rPr>
                                <w:rFonts w:ascii="Century Gothic" w:hAnsi="Century Gothic"/>
                                <w:sz w:val="18"/>
                                <w:szCs w:val="18"/>
                              </w:rPr>
                            </w:pPr>
                          </w:p>
                          <w:p w14:paraId="6DFC130A" w14:textId="77777777" w:rsidR="00B3749C" w:rsidRPr="00CE3BCB" w:rsidRDefault="00B3749C" w:rsidP="00B3749C">
                            <w:pPr>
                              <w:spacing w:after="0"/>
                              <w:ind w:left="900"/>
                              <w:rPr>
                                <w:rFonts w:ascii="Century Gothic" w:hAnsi="Century Gothic"/>
                                <w:sz w:val="18"/>
                                <w:szCs w:val="18"/>
                              </w:rPr>
                            </w:pPr>
                          </w:p>
                          <w:p w14:paraId="7A734830" w14:textId="5940E400" w:rsidR="00B3749C" w:rsidRPr="004120A8" w:rsidRDefault="00B3749C" w:rsidP="00B3749C">
                            <w:pPr>
                              <w:spacing w:after="0"/>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t>28/02/2023</w:t>
                            </w:r>
                            <w:r w:rsidRPr="004120A8">
                              <w:rPr>
                                <w:rFonts w:ascii="Century Gothic" w:hAnsi="Century Gothic"/>
                                <w:b/>
                                <w:sz w:val="18"/>
                                <w:szCs w:val="18"/>
                              </w:rPr>
                              <w:t>……</w:t>
                            </w:r>
                          </w:p>
                          <w:p w14:paraId="33A54676" w14:textId="77777777" w:rsidR="00B3749C" w:rsidRPr="004120A8" w:rsidRDefault="00B3749C" w:rsidP="00B3749C">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668CDB6E" w14:textId="77777777" w:rsidR="00B3749C" w:rsidRPr="004120A8" w:rsidRDefault="00B3749C" w:rsidP="00B3749C">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FB40C21" id="_x0000_t202" coordsize="21600,21600" o:spt="202" path="m,l,21600r21600,l21600,xe">
                <v:stroke joinstyle="miter"/>
                <v:path gradientshapeok="t" o:connecttype="rect"/>
              </v:shapetype>
              <v:shape id="Text Box 9" o:spid="_x0000_s1026" type="#_x0000_t202" style="position:absolute;left:0;text-align:left;margin-left:0;margin-top:13.3pt;width:261pt;height:9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">
                <v:textbox>
                  <w:txbxContent>
                    <w:p w14:paraId="69135C90" w14:textId="77777777" w:rsidR="00B3749C" w:rsidRPr="004120A8" w:rsidRDefault="00B3749C" w:rsidP="00B3749C">
                      <w:pPr>
                        <w:jc w:val="center"/>
                        <w:rPr>
                          <w:rFonts w:ascii="Century Gothic" w:hAnsi="Century Gothic"/>
                          <w:b/>
                          <w:sz w:val="2"/>
                          <w:szCs w:val="18"/>
                        </w:rPr>
                      </w:pPr>
                    </w:p>
                    <w:p w14:paraId="26D2F953" w14:textId="77777777" w:rsidR="00B3749C" w:rsidRPr="004120A8" w:rsidRDefault="00B3749C" w:rsidP="00B3749C">
                      <w:pPr>
                        <w:numPr>
                          <w:ilvl w:val="0"/>
                          <w:numId w:val="3"/>
                        </w:numPr>
                        <w:spacing w:after="0" w:line="240" w:lineRule="auto"/>
                        <w:rPr>
                          <w:rFonts w:ascii="Century Gothic" w:hAnsi="Century Gothic"/>
                          <w:sz w:val="18"/>
                          <w:szCs w:val="18"/>
                        </w:rPr>
                      </w:pPr>
                      <w:r>
                        <w:rPr>
                          <w:rFonts w:ascii="Century Gothic" w:hAnsi="Century Gothic"/>
                          <w:sz w:val="18"/>
                          <w:szCs w:val="18"/>
                        </w:rPr>
                        <w:t>REPORTABLE: YES/</w:t>
                      </w:r>
                      <w:r w:rsidRPr="004120A8">
                        <w:rPr>
                          <w:rFonts w:ascii="Century Gothic" w:hAnsi="Century Gothic"/>
                          <w:sz w:val="18"/>
                          <w:szCs w:val="18"/>
                        </w:rPr>
                        <w:t>NO</w:t>
                      </w:r>
                    </w:p>
                    <w:p w14:paraId="06B3A60B" w14:textId="77777777" w:rsidR="00B3749C" w:rsidRPr="004120A8" w:rsidRDefault="00B3749C" w:rsidP="00B3749C">
                      <w:pPr>
                        <w:numPr>
                          <w:ilvl w:val="0"/>
                          <w:numId w:val="3"/>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F INTEREST TO OTHER JUDGES: YES/</w:t>
                      </w:r>
                      <w:r w:rsidRPr="004120A8">
                        <w:rPr>
                          <w:rFonts w:ascii="Century Gothic" w:hAnsi="Century Gothic"/>
                          <w:sz w:val="18"/>
                          <w:szCs w:val="18"/>
                        </w:rPr>
                        <w:t>NO</w:t>
                      </w:r>
                    </w:p>
                    <w:p w14:paraId="34F5B303" w14:textId="77777777" w:rsidR="00B3749C" w:rsidRDefault="00B3749C" w:rsidP="00B3749C">
                      <w:pPr>
                        <w:numPr>
                          <w:ilvl w:val="0"/>
                          <w:numId w:val="3"/>
                        </w:numPr>
                        <w:spacing w:after="0" w:line="240" w:lineRule="auto"/>
                        <w:rPr>
                          <w:rFonts w:ascii="Century Gothic" w:hAnsi="Century Gothic"/>
                          <w:sz w:val="18"/>
                          <w:szCs w:val="18"/>
                        </w:rPr>
                      </w:pPr>
                      <w:r>
                        <w:rPr>
                          <w:rFonts w:ascii="Century Gothic" w:hAnsi="Century Gothic"/>
                          <w:sz w:val="18"/>
                          <w:szCs w:val="18"/>
                        </w:rPr>
                        <w:t>REVISED: YES/NO</w:t>
                      </w:r>
                    </w:p>
                    <w:p w14:paraId="50E14AB6" w14:textId="77777777" w:rsidR="00B3749C" w:rsidRDefault="00B3749C" w:rsidP="00B3749C">
                      <w:pPr>
                        <w:spacing w:after="0"/>
                        <w:ind w:left="900"/>
                        <w:rPr>
                          <w:rFonts w:ascii="Century Gothic" w:hAnsi="Century Gothic"/>
                          <w:sz w:val="18"/>
                          <w:szCs w:val="18"/>
                        </w:rPr>
                      </w:pPr>
                    </w:p>
                    <w:p w14:paraId="6DFC130A" w14:textId="77777777" w:rsidR="00B3749C" w:rsidRPr="00CE3BCB" w:rsidRDefault="00B3749C" w:rsidP="00B3749C">
                      <w:pPr>
                        <w:spacing w:after="0"/>
                        <w:ind w:left="900"/>
                        <w:rPr>
                          <w:rFonts w:ascii="Century Gothic" w:hAnsi="Century Gothic"/>
                          <w:sz w:val="18"/>
                          <w:szCs w:val="18"/>
                        </w:rPr>
                      </w:pPr>
                    </w:p>
                    <w:p w14:paraId="7A734830" w14:textId="5940E400" w:rsidR="00B3749C" w:rsidRPr="004120A8" w:rsidRDefault="00B3749C" w:rsidP="00B3749C">
                      <w:pPr>
                        <w:spacing w:after="0"/>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t>28</w:t>
                      </w:r>
                      <w:r>
                        <w:rPr>
                          <w:rFonts w:ascii="Century Gothic" w:hAnsi="Century Gothic"/>
                          <w:b/>
                          <w:sz w:val="18"/>
                          <w:szCs w:val="18"/>
                        </w:rPr>
                        <w:t>/02/2023</w:t>
                      </w:r>
                      <w:r w:rsidRPr="004120A8">
                        <w:rPr>
                          <w:rFonts w:ascii="Century Gothic" w:hAnsi="Century Gothic"/>
                          <w:b/>
                          <w:sz w:val="18"/>
                          <w:szCs w:val="18"/>
                        </w:rPr>
                        <w:t>……</w:t>
                      </w:r>
                    </w:p>
                    <w:p w14:paraId="33A54676" w14:textId="77777777" w:rsidR="00B3749C" w:rsidRPr="004120A8" w:rsidRDefault="00B3749C" w:rsidP="00B3749C">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668CDB6E" w14:textId="77777777" w:rsidR="00B3749C" w:rsidRPr="004120A8" w:rsidRDefault="00B3749C" w:rsidP="00B3749C">
                      <w:pPr>
                        <w:rPr>
                          <w:rFonts w:ascii="Century Gothic" w:hAnsi="Century Gothic"/>
                          <w:b/>
                          <w:sz w:val="2"/>
                          <w:szCs w:val="18"/>
                        </w:rPr>
                      </w:pPr>
                    </w:p>
                  </w:txbxContent>
                </v:textbox>
                <w10:wrap anchorx="margin"/>
              </v:shape>
            </w:pict>
          </mc:Fallback>
        </mc:AlternateContent>
      </w:r>
      <w:r>
        <w:rPr>
          <w:rFonts w:eastAsia="Times New Roman" w:cs="Arial"/>
          <w:b/>
          <w:szCs w:val="24"/>
          <w:lang w:eastAsia="en-GB"/>
        </w:rPr>
        <w:tab/>
      </w:r>
      <w:r>
        <w:rPr>
          <w:rFonts w:eastAsia="Times New Roman" w:cs="Arial"/>
          <w:b/>
          <w:szCs w:val="24"/>
          <w:lang w:eastAsia="en-GB"/>
        </w:rPr>
        <w:tab/>
      </w:r>
      <w:r w:rsidRPr="00D416CC">
        <w:rPr>
          <w:rFonts w:eastAsia="Times New Roman" w:cs="Arial"/>
          <w:b/>
          <w:szCs w:val="24"/>
          <w:lang w:eastAsia="en-GB"/>
        </w:rPr>
        <w:t>CASE NO:</w:t>
      </w:r>
      <w:r w:rsidR="00D01BE1">
        <w:rPr>
          <w:rFonts w:eastAsia="Times New Roman" w:cs="Arial"/>
          <w:b/>
          <w:kern w:val="25"/>
          <w:szCs w:val="24"/>
          <w:lang w:val="en-GB" w:eastAsia="en-GB"/>
        </w:rPr>
        <w:t xml:space="preserve"> 2022-9016</w:t>
      </w:r>
    </w:p>
    <w:p w14:paraId="68B0E5D8" w14:textId="77777777" w:rsidR="00B3749C" w:rsidRPr="00D416CC" w:rsidRDefault="00B3749C" w:rsidP="00B3749C">
      <w:pPr>
        <w:spacing w:after="0" w:line="360" w:lineRule="auto"/>
        <w:ind w:left="305" w:hangingChars="127" w:hanging="305"/>
        <w:jc w:val="both"/>
        <w:rPr>
          <w:rFonts w:eastAsia="Times New Roman" w:cs="Arial"/>
          <w:szCs w:val="24"/>
          <w:u w:val="single"/>
          <w:lang w:val="en-GB" w:eastAsia="en-GB"/>
        </w:rPr>
      </w:pPr>
    </w:p>
    <w:p w14:paraId="656E8601" w14:textId="77777777" w:rsidR="00B3749C" w:rsidRPr="00D416CC" w:rsidRDefault="00B3749C" w:rsidP="00B3749C">
      <w:pPr>
        <w:spacing w:after="0" w:line="360" w:lineRule="auto"/>
        <w:ind w:left="305" w:hangingChars="127" w:hanging="305"/>
        <w:jc w:val="both"/>
        <w:rPr>
          <w:rFonts w:eastAsia="Times New Roman" w:cs="Arial"/>
          <w:szCs w:val="24"/>
          <w:u w:val="single"/>
          <w:lang w:val="en-GB" w:eastAsia="en-GB"/>
        </w:rPr>
      </w:pPr>
    </w:p>
    <w:p w14:paraId="5C17BBD6" w14:textId="77777777" w:rsidR="00B3749C" w:rsidRPr="00D416CC" w:rsidRDefault="00B3749C" w:rsidP="00B3749C">
      <w:pPr>
        <w:spacing w:after="0" w:line="360" w:lineRule="auto"/>
        <w:ind w:left="305" w:hangingChars="127" w:hanging="305"/>
        <w:jc w:val="both"/>
        <w:rPr>
          <w:rFonts w:eastAsia="Times New Roman" w:cs="Arial"/>
          <w:szCs w:val="24"/>
          <w:u w:val="single"/>
          <w:lang w:val="en-GB" w:eastAsia="en-GB"/>
        </w:rPr>
      </w:pPr>
    </w:p>
    <w:p w14:paraId="158DFB07" w14:textId="77777777" w:rsidR="00B3749C" w:rsidRPr="00D416CC" w:rsidRDefault="00B3749C" w:rsidP="00B3749C">
      <w:pPr>
        <w:spacing w:after="0" w:line="360" w:lineRule="auto"/>
        <w:ind w:left="305" w:hangingChars="127" w:hanging="305"/>
        <w:jc w:val="both"/>
        <w:rPr>
          <w:rFonts w:eastAsia="Calibri" w:cs="Arial"/>
          <w:szCs w:val="24"/>
        </w:rPr>
      </w:pPr>
    </w:p>
    <w:p w14:paraId="02E3FFCF" w14:textId="77777777" w:rsidR="00B3749C" w:rsidRPr="00D416CC" w:rsidRDefault="00B3749C" w:rsidP="00B3749C">
      <w:pPr>
        <w:widowControl w:val="0"/>
        <w:autoSpaceDE w:val="0"/>
        <w:autoSpaceDN w:val="0"/>
        <w:adjustRightInd w:val="0"/>
        <w:spacing w:after="0" w:line="360" w:lineRule="auto"/>
        <w:jc w:val="both"/>
        <w:rPr>
          <w:rFonts w:eastAsia="MS Mincho" w:cs="Arial"/>
          <w:color w:val="1B1919"/>
          <w:szCs w:val="24"/>
          <w:lang w:val="en-GB" w:eastAsia="ja-JP"/>
        </w:rPr>
      </w:pPr>
    </w:p>
    <w:p w14:paraId="7FD94784" w14:textId="77777777" w:rsidR="00B3749C" w:rsidRPr="00D416CC" w:rsidRDefault="00B3749C" w:rsidP="00B3749C">
      <w:pPr>
        <w:widowControl w:val="0"/>
        <w:autoSpaceDE w:val="0"/>
        <w:autoSpaceDN w:val="0"/>
        <w:adjustRightInd w:val="0"/>
        <w:spacing w:after="0" w:line="600" w:lineRule="auto"/>
        <w:ind w:left="305" w:hangingChars="127" w:hanging="305"/>
        <w:jc w:val="both"/>
        <w:rPr>
          <w:rFonts w:eastAsia="MS Mincho" w:cs="Arial"/>
          <w:color w:val="1B1919"/>
          <w:szCs w:val="24"/>
          <w:lang w:val="en-GB" w:eastAsia="ja-JP"/>
        </w:rPr>
      </w:pPr>
      <w:r w:rsidRPr="00D416CC">
        <w:rPr>
          <w:rFonts w:eastAsia="MS Mincho" w:cs="Arial"/>
          <w:color w:val="1B1919"/>
          <w:szCs w:val="24"/>
          <w:lang w:val="en-GB" w:eastAsia="ja-JP"/>
        </w:rPr>
        <w:t>In the matter between:</w:t>
      </w:r>
    </w:p>
    <w:p w14:paraId="4D99904F" w14:textId="76E79C89" w:rsidR="00B3749C" w:rsidRDefault="00D01BE1" w:rsidP="00B3749C">
      <w:pPr>
        <w:spacing w:line="360" w:lineRule="auto"/>
        <w:rPr>
          <w:b/>
        </w:rPr>
      </w:pPr>
      <w:r>
        <w:rPr>
          <w:b/>
          <w:bCs/>
        </w:rPr>
        <w:t xml:space="preserve">SELWYN TRAKMAN N.O. </w:t>
      </w:r>
      <w:r w:rsidR="00B3749C" w:rsidRPr="002547ED">
        <w:rPr>
          <w:b/>
          <w:bCs/>
        </w:rPr>
        <w:t xml:space="preserve">                                                          </w:t>
      </w:r>
      <w:r>
        <w:rPr>
          <w:b/>
          <w:bCs/>
        </w:rPr>
        <w:tab/>
      </w:r>
      <w:r w:rsidR="00B3749C">
        <w:rPr>
          <w:b/>
          <w:bCs/>
        </w:rPr>
        <w:t xml:space="preserve">First </w:t>
      </w:r>
      <w:r>
        <w:rPr>
          <w:b/>
        </w:rPr>
        <w:t>Plaintiff</w:t>
      </w:r>
    </w:p>
    <w:p w14:paraId="17421320" w14:textId="749269BE" w:rsidR="00B3749C" w:rsidRDefault="00D01BE1" w:rsidP="00B3749C">
      <w:pPr>
        <w:spacing w:line="360" w:lineRule="auto"/>
        <w:rPr>
          <w:b/>
        </w:rPr>
      </w:pPr>
      <w:r>
        <w:rPr>
          <w:b/>
        </w:rPr>
        <w:t>CORNE VAN DEN HEEVER N.O.</w:t>
      </w:r>
      <w:r>
        <w:rPr>
          <w:b/>
        </w:rPr>
        <w:tab/>
      </w:r>
      <w:r>
        <w:rPr>
          <w:b/>
        </w:rPr>
        <w:tab/>
      </w:r>
      <w:r>
        <w:rPr>
          <w:b/>
        </w:rPr>
        <w:tab/>
      </w:r>
      <w:r>
        <w:rPr>
          <w:b/>
        </w:rPr>
        <w:tab/>
      </w:r>
      <w:r>
        <w:rPr>
          <w:b/>
        </w:rPr>
        <w:tab/>
        <w:t>Second Plaintiff</w:t>
      </w:r>
    </w:p>
    <w:p w14:paraId="5CE45FBB" w14:textId="17D4FA8A" w:rsidR="00B3749C" w:rsidRDefault="00D01BE1" w:rsidP="00F20C55">
      <w:pPr>
        <w:spacing w:after="0" w:line="240" w:lineRule="auto"/>
        <w:rPr>
          <w:b/>
        </w:rPr>
      </w:pPr>
      <w:r>
        <w:rPr>
          <w:b/>
        </w:rPr>
        <w:t>SOUTHLINK INVETSMENTS SHARE BLOCK</w:t>
      </w:r>
      <w:r>
        <w:rPr>
          <w:b/>
        </w:rPr>
        <w:tab/>
      </w:r>
      <w:r>
        <w:rPr>
          <w:b/>
        </w:rPr>
        <w:tab/>
      </w:r>
      <w:r>
        <w:rPr>
          <w:b/>
        </w:rPr>
        <w:tab/>
      </w:r>
      <w:r>
        <w:rPr>
          <w:b/>
        </w:rPr>
        <w:tab/>
        <w:t>Third Plaintiff</w:t>
      </w:r>
    </w:p>
    <w:p w14:paraId="609C4404" w14:textId="115B81CD" w:rsidR="00D01BE1" w:rsidRDefault="00D01BE1" w:rsidP="00F20C55">
      <w:pPr>
        <w:spacing w:after="0" w:line="240" w:lineRule="auto"/>
        <w:rPr>
          <w:b/>
        </w:rPr>
      </w:pPr>
      <w:r>
        <w:rPr>
          <w:b/>
        </w:rPr>
        <w:t>PROPRIETARY LIMITED (IN LIQUIDATION)</w:t>
      </w:r>
    </w:p>
    <w:p w14:paraId="7E8F481F" w14:textId="024F22C5" w:rsidR="00D01BE1" w:rsidRDefault="00D01BE1" w:rsidP="00B3749C">
      <w:pPr>
        <w:spacing w:line="360" w:lineRule="auto"/>
      </w:pPr>
      <w:r w:rsidRPr="00D01BE1">
        <w:t>(Registration number: 1973/003283/07)</w:t>
      </w:r>
    </w:p>
    <w:p w14:paraId="30F595F7" w14:textId="24A87117" w:rsidR="00D01BE1" w:rsidRDefault="00D01BE1" w:rsidP="00B3749C">
      <w:pPr>
        <w:spacing w:line="360" w:lineRule="auto"/>
        <w:rPr>
          <w:b/>
        </w:rPr>
      </w:pPr>
      <w:r w:rsidRPr="00D01BE1">
        <w:rPr>
          <w:b/>
        </w:rPr>
        <w:t>SELWYN TRAKMAN N.O.</w:t>
      </w:r>
      <w:r w:rsidRPr="00D01BE1">
        <w:rPr>
          <w:b/>
        </w:rPr>
        <w:tab/>
      </w:r>
      <w:r w:rsidRPr="00D01BE1">
        <w:rPr>
          <w:b/>
        </w:rPr>
        <w:tab/>
      </w:r>
      <w:r w:rsidRPr="00D01BE1">
        <w:rPr>
          <w:b/>
        </w:rPr>
        <w:tab/>
      </w:r>
      <w:r w:rsidRPr="00D01BE1">
        <w:rPr>
          <w:b/>
        </w:rPr>
        <w:tab/>
      </w:r>
      <w:r w:rsidRPr="00D01BE1">
        <w:rPr>
          <w:b/>
        </w:rPr>
        <w:tab/>
      </w:r>
      <w:r w:rsidRPr="00D01BE1">
        <w:rPr>
          <w:b/>
        </w:rPr>
        <w:tab/>
      </w:r>
      <w:r w:rsidRPr="00D01BE1">
        <w:rPr>
          <w:b/>
        </w:rPr>
        <w:tab/>
        <w:t>Fourth Plaintiff</w:t>
      </w:r>
    </w:p>
    <w:p w14:paraId="6D074BEE" w14:textId="35AD0282" w:rsidR="00D01BE1" w:rsidRDefault="00D01BE1" w:rsidP="00B3749C">
      <w:pPr>
        <w:spacing w:line="360" w:lineRule="auto"/>
        <w:rPr>
          <w:b/>
        </w:rPr>
      </w:pPr>
      <w:r>
        <w:rPr>
          <w:b/>
        </w:rPr>
        <w:t>DALLIE VAN DER MERWE N.O.</w:t>
      </w:r>
      <w:r>
        <w:rPr>
          <w:b/>
        </w:rPr>
        <w:tab/>
      </w:r>
      <w:r>
        <w:rPr>
          <w:b/>
        </w:rPr>
        <w:tab/>
      </w:r>
      <w:r>
        <w:rPr>
          <w:b/>
        </w:rPr>
        <w:tab/>
      </w:r>
      <w:r>
        <w:rPr>
          <w:b/>
        </w:rPr>
        <w:tab/>
      </w:r>
      <w:r>
        <w:rPr>
          <w:b/>
        </w:rPr>
        <w:tab/>
      </w:r>
      <w:r>
        <w:rPr>
          <w:b/>
        </w:rPr>
        <w:tab/>
        <w:t>Fifth Plaintiff</w:t>
      </w:r>
    </w:p>
    <w:p w14:paraId="4945F451" w14:textId="5A26ED50" w:rsidR="00D01BE1" w:rsidRDefault="00D01BE1" w:rsidP="00F20C55">
      <w:pPr>
        <w:spacing w:after="0" w:line="240" w:lineRule="auto"/>
        <w:rPr>
          <w:b/>
        </w:rPr>
      </w:pPr>
      <w:r>
        <w:rPr>
          <w:b/>
        </w:rPr>
        <w:t>ASHBERN MANSIONS SHARE BLOCK</w:t>
      </w:r>
      <w:r>
        <w:rPr>
          <w:b/>
        </w:rPr>
        <w:tab/>
      </w:r>
      <w:r>
        <w:rPr>
          <w:b/>
        </w:rPr>
        <w:tab/>
      </w:r>
      <w:r>
        <w:rPr>
          <w:b/>
        </w:rPr>
        <w:tab/>
      </w:r>
      <w:r>
        <w:rPr>
          <w:b/>
        </w:rPr>
        <w:tab/>
        <w:t>Sixth Plaintiff</w:t>
      </w:r>
    </w:p>
    <w:p w14:paraId="226AE929" w14:textId="5D4FE562" w:rsidR="00D01BE1" w:rsidRDefault="00D01BE1" w:rsidP="00F20C55">
      <w:pPr>
        <w:spacing w:after="0" w:line="240" w:lineRule="auto"/>
        <w:rPr>
          <w:b/>
        </w:rPr>
      </w:pPr>
      <w:r>
        <w:rPr>
          <w:b/>
        </w:rPr>
        <w:t>PROPRIETARY LIMITED (IN LIQUIDATION)</w:t>
      </w:r>
    </w:p>
    <w:p w14:paraId="5D1FC41B" w14:textId="6F7D6615" w:rsidR="00D01BE1" w:rsidRDefault="00D01BE1" w:rsidP="00B3749C">
      <w:pPr>
        <w:spacing w:line="360" w:lineRule="auto"/>
      </w:pPr>
      <w:r w:rsidRPr="00F20C55">
        <w:t>(Registration number: 1946/020618/07)</w:t>
      </w:r>
    </w:p>
    <w:p w14:paraId="38C239AD" w14:textId="4802A6D7" w:rsidR="00F20C55" w:rsidRPr="00F20C55" w:rsidRDefault="00F20C55" w:rsidP="00B3749C">
      <w:pPr>
        <w:spacing w:line="360" w:lineRule="auto"/>
        <w:rPr>
          <w:b/>
        </w:rPr>
      </w:pPr>
      <w:r w:rsidRPr="00F20C55">
        <w:rPr>
          <w:b/>
        </w:rPr>
        <w:t>SELWYN TRAKMAN N.O.</w:t>
      </w:r>
      <w:r w:rsidRPr="00F20C55">
        <w:rPr>
          <w:b/>
        </w:rPr>
        <w:tab/>
      </w:r>
      <w:r w:rsidRPr="00F20C55">
        <w:rPr>
          <w:b/>
        </w:rPr>
        <w:tab/>
      </w:r>
      <w:r w:rsidRPr="00F20C55">
        <w:rPr>
          <w:b/>
        </w:rPr>
        <w:tab/>
      </w:r>
      <w:r w:rsidRPr="00F20C55">
        <w:rPr>
          <w:b/>
        </w:rPr>
        <w:tab/>
      </w:r>
      <w:r w:rsidRPr="00F20C55">
        <w:rPr>
          <w:b/>
        </w:rPr>
        <w:tab/>
      </w:r>
      <w:r w:rsidRPr="00F20C55">
        <w:rPr>
          <w:b/>
        </w:rPr>
        <w:tab/>
      </w:r>
      <w:r w:rsidRPr="00F20C55">
        <w:rPr>
          <w:b/>
        </w:rPr>
        <w:tab/>
        <w:t>Seventh Plaintiff</w:t>
      </w:r>
    </w:p>
    <w:p w14:paraId="28C75A2D" w14:textId="6663C726" w:rsidR="00F20C55" w:rsidRDefault="00F20C55" w:rsidP="00B3749C">
      <w:pPr>
        <w:spacing w:line="360" w:lineRule="auto"/>
        <w:rPr>
          <w:b/>
        </w:rPr>
      </w:pPr>
      <w:r w:rsidRPr="00F20C55">
        <w:rPr>
          <w:b/>
        </w:rPr>
        <w:t>JENNIFER VAN AARDT-BESTER N.O.</w:t>
      </w:r>
      <w:r w:rsidRPr="00F20C55">
        <w:rPr>
          <w:b/>
        </w:rPr>
        <w:tab/>
      </w:r>
      <w:r w:rsidRPr="00F20C55">
        <w:rPr>
          <w:b/>
        </w:rPr>
        <w:tab/>
      </w:r>
      <w:r w:rsidRPr="00F20C55">
        <w:rPr>
          <w:b/>
        </w:rPr>
        <w:tab/>
      </w:r>
      <w:r w:rsidRPr="00F20C55">
        <w:rPr>
          <w:b/>
        </w:rPr>
        <w:tab/>
      </w:r>
      <w:r w:rsidRPr="00F20C55">
        <w:rPr>
          <w:b/>
        </w:rPr>
        <w:tab/>
        <w:t>Eighth Plaintiff</w:t>
      </w:r>
    </w:p>
    <w:p w14:paraId="1CDBE375" w14:textId="466DEB01" w:rsidR="00F20C55" w:rsidRDefault="00F20C55" w:rsidP="00F20C55">
      <w:pPr>
        <w:spacing w:after="0" w:line="240" w:lineRule="auto"/>
        <w:rPr>
          <w:b/>
        </w:rPr>
      </w:pPr>
      <w:r>
        <w:rPr>
          <w:b/>
        </w:rPr>
        <w:lastRenderedPageBreak/>
        <w:t xml:space="preserve">JOHN CRAIG PROPERTIES SHARE BLOCK </w:t>
      </w:r>
      <w:r>
        <w:rPr>
          <w:b/>
        </w:rPr>
        <w:tab/>
      </w:r>
      <w:r>
        <w:rPr>
          <w:b/>
        </w:rPr>
        <w:tab/>
      </w:r>
      <w:r>
        <w:rPr>
          <w:b/>
        </w:rPr>
        <w:tab/>
      </w:r>
      <w:r>
        <w:rPr>
          <w:b/>
        </w:rPr>
        <w:tab/>
        <w:t>Ninth Plaintiff</w:t>
      </w:r>
    </w:p>
    <w:p w14:paraId="01DD5D09" w14:textId="5178584A" w:rsidR="00F20C55" w:rsidRDefault="00F20C55" w:rsidP="00F20C55">
      <w:pPr>
        <w:spacing w:after="0" w:line="240" w:lineRule="auto"/>
        <w:rPr>
          <w:b/>
        </w:rPr>
      </w:pPr>
      <w:r>
        <w:rPr>
          <w:b/>
        </w:rPr>
        <w:t>PROPRIETARY LIMITED (IN LIQUIDATION)</w:t>
      </w:r>
    </w:p>
    <w:p w14:paraId="10DFFCCE" w14:textId="1B7BBF7D" w:rsidR="00F20C55" w:rsidRDefault="00F20C55" w:rsidP="00B3749C">
      <w:pPr>
        <w:spacing w:line="360" w:lineRule="auto"/>
      </w:pPr>
      <w:r w:rsidRPr="00F20C55">
        <w:t>(Registration number: 197/006139/07)</w:t>
      </w:r>
    </w:p>
    <w:p w14:paraId="756DCF09" w14:textId="45BBC630" w:rsidR="00F20C55" w:rsidRPr="00F20C55" w:rsidRDefault="00F20C55" w:rsidP="00B3749C">
      <w:pPr>
        <w:spacing w:line="360" w:lineRule="auto"/>
        <w:rPr>
          <w:b/>
        </w:rPr>
      </w:pPr>
      <w:r w:rsidRPr="00F20C55">
        <w:rPr>
          <w:b/>
        </w:rPr>
        <w:t>SELWYN TRAKMAN N.O.</w:t>
      </w:r>
      <w:r w:rsidRPr="00F20C55">
        <w:rPr>
          <w:b/>
        </w:rPr>
        <w:tab/>
      </w:r>
      <w:r w:rsidRPr="00F20C55">
        <w:rPr>
          <w:b/>
        </w:rPr>
        <w:tab/>
      </w:r>
      <w:r w:rsidRPr="00F20C55">
        <w:rPr>
          <w:b/>
        </w:rPr>
        <w:tab/>
      </w:r>
      <w:r w:rsidRPr="00F20C55">
        <w:rPr>
          <w:b/>
        </w:rPr>
        <w:tab/>
      </w:r>
      <w:r w:rsidRPr="00F20C55">
        <w:rPr>
          <w:b/>
        </w:rPr>
        <w:tab/>
      </w:r>
      <w:r w:rsidRPr="00F20C55">
        <w:rPr>
          <w:b/>
        </w:rPr>
        <w:tab/>
      </w:r>
      <w:r w:rsidRPr="00F20C55">
        <w:rPr>
          <w:b/>
        </w:rPr>
        <w:tab/>
        <w:t>Tenth Plaintiff</w:t>
      </w:r>
    </w:p>
    <w:p w14:paraId="4FAEFF1F" w14:textId="0BD78E53" w:rsidR="00F20C55" w:rsidRPr="00F20C55" w:rsidRDefault="00F20C55" w:rsidP="00B3749C">
      <w:pPr>
        <w:spacing w:line="360" w:lineRule="auto"/>
        <w:rPr>
          <w:b/>
          <w:bCs/>
        </w:rPr>
      </w:pPr>
      <w:r w:rsidRPr="00F20C55">
        <w:rPr>
          <w:b/>
        </w:rPr>
        <w:t xml:space="preserve">LAURETTE VAN DER MERWE N.O. </w:t>
      </w:r>
      <w:r w:rsidRPr="00F20C55">
        <w:rPr>
          <w:b/>
        </w:rPr>
        <w:tab/>
      </w:r>
      <w:r w:rsidRPr="00F20C55">
        <w:rPr>
          <w:b/>
        </w:rPr>
        <w:tab/>
      </w:r>
      <w:r w:rsidRPr="00F20C55">
        <w:rPr>
          <w:b/>
        </w:rPr>
        <w:tab/>
      </w:r>
      <w:r w:rsidRPr="00F20C55">
        <w:rPr>
          <w:b/>
        </w:rPr>
        <w:tab/>
      </w:r>
      <w:r w:rsidRPr="00F20C55">
        <w:rPr>
          <w:b/>
        </w:rPr>
        <w:tab/>
        <w:t>Eleventh Plaintiff</w:t>
      </w:r>
    </w:p>
    <w:p w14:paraId="4039701C" w14:textId="77777777" w:rsidR="00B3749C" w:rsidRPr="00D416CC" w:rsidRDefault="00B3749C" w:rsidP="00B3749C">
      <w:pPr>
        <w:spacing w:line="360" w:lineRule="auto"/>
      </w:pPr>
      <w:r w:rsidRPr="002547ED">
        <w:t>and</w:t>
      </w:r>
    </w:p>
    <w:p w14:paraId="768EC094" w14:textId="035AA7F0" w:rsidR="00B3749C" w:rsidRDefault="00F20C55" w:rsidP="00B3749C">
      <w:pPr>
        <w:spacing w:line="360" w:lineRule="auto"/>
        <w:rPr>
          <w:b/>
        </w:rPr>
      </w:pPr>
      <w:r>
        <w:rPr>
          <w:b/>
          <w:bCs/>
        </w:rPr>
        <w:t>GARY WASILEWSKY</w:t>
      </w:r>
      <w:r>
        <w:rPr>
          <w:b/>
          <w:bCs/>
        </w:rPr>
        <w:tab/>
      </w:r>
      <w:r>
        <w:rPr>
          <w:b/>
          <w:bCs/>
        </w:rPr>
        <w:tab/>
      </w:r>
      <w:r>
        <w:rPr>
          <w:b/>
          <w:bCs/>
        </w:rPr>
        <w:tab/>
      </w:r>
      <w:r>
        <w:rPr>
          <w:b/>
          <w:bCs/>
        </w:rPr>
        <w:tab/>
      </w:r>
      <w:r w:rsidR="00B3749C">
        <w:rPr>
          <w:b/>
          <w:bCs/>
        </w:rPr>
        <w:t xml:space="preserve">          </w:t>
      </w:r>
      <w:r w:rsidR="00B3749C" w:rsidRPr="002547ED">
        <w:rPr>
          <w:b/>
          <w:bCs/>
        </w:rPr>
        <w:t xml:space="preserve">    </w:t>
      </w:r>
      <w:r w:rsidR="00B3749C">
        <w:rPr>
          <w:b/>
          <w:bCs/>
        </w:rPr>
        <w:t xml:space="preserve">   </w:t>
      </w:r>
      <w:r w:rsidR="00B3749C">
        <w:rPr>
          <w:b/>
          <w:bCs/>
        </w:rPr>
        <w:tab/>
      </w:r>
      <w:r>
        <w:rPr>
          <w:b/>
          <w:bCs/>
        </w:rPr>
        <w:tab/>
      </w:r>
      <w:r w:rsidR="00B3749C">
        <w:rPr>
          <w:b/>
          <w:bCs/>
        </w:rPr>
        <w:t xml:space="preserve">First </w:t>
      </w:r>
      <w:r>
        <w:rPr>
          <w:b/>
        </w:rPr>
        <w:t>Defendant</w:t>
      </w:r>
    </w:p>
    <w:p w14:paraId="5D7EE8DF" w14:textId="47E94BB3" w:rsidR="00B3749C" w:rsidRDefault="00F20C55" w:rsidP="00B3749C">
      <w:pPr>
        <w:spacing w:line="360" w:lineRule="auto"/>
        <w:rPr>
          <w:b/>
        </w:rPr>
      </w:pPr>
      <w:r>
        <w:rPr>
          <w:b/>
        </w:rPr>
        <w:t>HILTON WASILEWSKY</w:t>
      </w:r>
      <w:r>
        <w:rPr>
          <w:b/>
        </w:rPr>
        <w:tab/>
      </w:r>
      <w:r>
        <w:rPr>
          <w:b/>
        </w:rPr>
        <w:tab/>
      </w:r>
      <w:r>
        <w:rPr>
          <w:b/>
        </w:rPr>
        <w:tab/>
      </w:r>
      <w:r>
        <w:rPr>
          <w:b/>
        </w:rPr>
        <w:tab/>
      </w:r>
      <w:r>
        <w:rPr>
          <w:b/>
        </w:rPr>
        <w:tab/>
      </w:r>
      <w:r>
        <w:rPr>
          <w:b/>
        </w:rPr>
        <w:tab/>
      </w:r>
      <w:r>
        <w:rPr>
          <w:b/>
        </w:rPr>
        <w:tab/>
        <w:t>Second Defendant</w:t>
      </w:r>
    </w:p>
    <w:p w14:paraId="5802A18D" w14:textId="5C09DDA1" w:rsidR="00F20C55" w:rsidRDefault="00F20C55" w:rsidP="00B3749C">
      <w:pPr>
        <w:spacing w:line="360" w:lineRule="auto"/>
        <w:rPr>
          <w:b/>
        </w:rPr>
      </w:pPr>
      <w:r>
        <w:rPr>
          <w:b/>
        </w:rPr>
        <w:t>KAREN LAZARUS</w:t>
      </w:r>
      <w:r>
        <w:rPr>
          <w:b/>
        </w:rPr>
        <w:tab/>
      </w:r>
      <w:r>
        <w:rPr>
          <w:b/>
        </w:rPr>
        <w:tab/>
      </w:r>
      <w:r>
        <w:rPr>
          <w:b/>
        </w:rPr>
        <w:tab/>
      </w:r>
      <w:r>
        <w:rPr>
          <w:b/>
        </w:rPr>
        <w:tab/>
      </w:r>
      <w:r>
        <w:rPr>
          <w:b/>
        </w:rPr>
        <w:tab/>
      </w:r>
      <w:r>
        <w:rPr>
          <w:b/>
        </w:rPr>
        <w:tab/>
      </w:r>
      <w:r>
        <w:rPr>
          <w:b/>
        </w:rPr>
        <w:tab/>
      </w:r>
      <w:r>
        <w:rPr>
          <w:b/>
        </w:rPr>
        <w:tab/>
        <w:t>Third Defendant</w:t>
      </w:r>
    </w:p>
    <w:p w14:paraId="08E9F7D8" w14:textId="01884DE5" w:rsidR="00F20C55" w:rsidRDefault="00F20C55" w:rsidP="00B3749C">
      <w:pPr>
        <w:spacing w:line="360" w:lineRule="auto"/>
        <w:rPr>
          <w:b/>
        </w:rPr>
      </w:pPr>
      <w:r>
        <w:rPr>
          <w:b/>
        </w:rPr>
        <w:t xml:space="preserve">DAVID COHEN </w:t>
      </w:r>
      <w:r>
        <w:rPr>
          <w:b/>
        </w:rPr>
        <w:tab/>
      </w:r>
      <w:r>
        <w:rPr>
          <w:b/>
        </w:rPr>
        <w:tab/>
      </w:r>
      <w:r>
        <w:rPr>
          <w:b/>
        </w:rPr>
        <w:tab/>
      </w:r>
      <w:r>
        <w:rPr>
          <w:b/>
        </w:rPr>
        <w:tab/>
      </w:r>
      <w:r>
        <w:rPr>
          <w:b/>
        </w:rPr>
        <w:tab/>
      </w:r>
      <w:r>
        <w:rPr>
          <w:b/>
        </w:rPr>
        <w:tab/>
      </w:r>
      <w:r>
        <w:rPr>
          <w:b/>
        </w:rPr>
        <w:tab/>
      </w:r>
      <w:r>
        <w:rPr>
          <w:b/>
        </w:rPr>
        <w:tab/>
        <w:t>Fourth Defendant</w:t>
      </w:r>
    </w:p>
    <w:p w14:paraId="4EAB8C1E" w14:textId="65210CF3" w:rsidR="00F20C55" w:rsidRDefault="00F20C55" w:rsidP="00B3749C">
      <w:pPr>
        <w:spacing w:line="360" w:lineRule="auto"/>
        <w:rPr>
          <w:b/>
        </w:rPr>
      </w:pPr>
      <w:r>
        <w:rPr>
          <w:b/>
        </w:rPr>
        <w:t xml:space="preserve">SHARGER LAZARUS </w:t>
      </w:r>
      <w:r>
        <w:rPr>
          <w:b/>
        </w:rPr>
        <w:tab/>
      </w:r>
      <w:r>
        <w:rPr>
          <w:b/>
        </w:rPr>
        <w:tab/>
      </w:r>
      <w:r>
        <w:rPr>
          <w:b/>
        </w:rPr>
        <w:tab/>
      </w:r>
      <w:r>
        <w:rPr>
          <w:b/>
        </w:rPr>
        <w:tab/>
      </w:r>
      <w:r>
        <w:rPr>
          <w:b/>
        </w:rPr>
        <w:tab/>
      </w:r>
      <w:r>
        <w:rPr>
          <w:b/>
        </w:rPr>
        <w:tab/>
      </w:r>
      <w:r>
        <w:rPr>
          <w:b/>
        </w:rPr>
        <w:tab/>
        <w:t xml:space="preserve">Fifth Defendant </w:t>
      </w:r>
    </w:p>
    <w:p w14:paraId="68B89DA2" w14:textId="77777777" w:rsidR="00B3749C" w:rsidRPr="00D416CC" w:rsidRDefault="00B3749C" w:rsidP="00B3749C">
      <w:pPr>
        <w:tabs>
          <w:tab w:val="left" w:pos="0"/>
        </w:tabs>
        <w:spacing w:after="0" w:line="480" w:lineRule="auto"/>
        <w:ind w:left="-709"/>
        <w:jc w:val="center"/>
        <w:rPr>
          <w:rFonts w:eastAsia="Times New Roman" w:cs="Arial"/>
          <w:b/>
          <w:color w:val="0E101A"/>
          <w:szCs w:val="24"/>
          <w:u w:val="single"/>
          <w:lang w:eastAsia="en-ZA"/>
        </w:rPr>
      </w:pP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p>
    <w:p w14:paraId="0D843BE7" w14:textId="77777777" w:rsidR="00B3749C" w:rsidRPr="00D416CC" w:rsidRDefault="00B3749C" w:rsidP="00B3749C">
      <w:pPr>
        <w:tabs>
          <w:tab w:val="left" w:pos="0"/>
        </w:tabs>
        <w:spacing w:after="0" w:line="360" w:lineRule="auto"/>
        <w:ind w:left="-709"/>
        <w:jc w:val="center"/>
        <w:rPr>
          <w:rFonts w:eastAsia="Times New Roman" w:cs="Arial"/>
          <w:b/>
          <w:color w:val="0E101A"/>
          <w:szCs w:val="24"/>
          <w:lang w:eastAsia="en-ZA"/>
        </w:rPr>
      </w:pPr>
      <w:r w:rsidRPr="00D416CC">
        <w:rPr>
          <w:rFonts w:eastAsia="Times New Roman" w:cs="Arial"/>
          <w:b/>
          <w:color w:val="0E101A"/>
          <w:szCs w:val="24"/>
          <w:lang w:eastAsia="en-ZA"/>
        </w:rPr>
        <w:t xml:space="preserve">JUDGMENT </w:t>
      </w:r>
    </w:p>
    <w:p w14:paraId="24FABD8C" w14:textId="77777777" w:rsidR="00B3749C" w:rsidRPr="00D416CC" w:rsidRDefault="00B3749C" w:rsidP="00B3749C">
      <w:pPr>
        <w:tabs>
          <w:tab w:val="left" w:pos="0"/>
        </w:tabs>
        <w:spacing w:after="0" w:line="480" w:lineRule="auto"/>
        <w:ind w:left="-709"/>
        <w:jc w:val="center"/>
        <w:rPr>
          <w:rFonts w:eastAsia="Times New Roman" w:cs="Arial"/>
          <w:b/>
          <w:color w:val="0E101A"/>
          <w:szCs w:val="24"/>
          <w:u w:val="single"/>
          <w:lang w:eastAsia="en-ZA"/>
        </w:rPr>
      </w:pP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r w:rsidRPr="00D416CC">
        <w:rPr>
          <w:rFonts w:eastAsia="Times New Roman" w:cs="Arial"/>
          <w:b/>
          <w:color w:val="0E101A"/>
          <w:szCs w:val="24"/>
          <w:u w:val="single"/>
          <w:lang w:eastAsia="en-ZA"/>
        </w:rPr>
        <w:tab/>
      </w:r>
    </w:p>
    <w:p w14:paraId="6CE66EF5" w14:textId="77777777" w:rsidR="00B3749C" w:rsidRDefault="00B3749C" w:rsidP="00F20C55">
      <w:pPr>
        <w:spacing w:line="360" w:lineRule="auto"/>
        <w:ind w:firstLine="720"/>
        <w:rPr>
          <w:b/>
          <w:bCs/>
        </w:rPr>
      </w:pPr>
      <w:r w:rsidRPr="00D416CC">
        <w:rPr>
          <w:b/>
          <w:bCs/>
        </w:rPr>
        <w:t>MANOIM J:</w:t>
      </w:r>
    </w:p>
    <w:p w14:paraId="28D27E1C" w14:textId="77777777" w:rsidR="00E52C29" w:rsidRDefault="00D72CD7" w:rsidP="00E52C29">
      <w:pPr>
        <w:spacing w:line="360" w:lineRule="auto"/>
        <w:ind w:firstLine="720"/>
        <w:rPr>
          <w:b/>
          <w:bCs/>
        </w:rPr>
      </w:pPr>
      <w:r w:rsidRPr="00B3749C">
        <w:rPr>
          <w:rFonts w:cs="Arial"/>
          <w:b/>
          <w:bCs/>
          <w:szCs w:val="24"/>
        </w:rPr>
        <w:t xml:space="preserve">Introduction </w:t>
      </w:r>
    </w:p>
    <w:p w14:paraId="1CD9CCE8" w14:textId="5A3B6008" w:rsidR="00D122AF" w:rsidRPr="00E52C29" w:rsidRDefault="00E52C29" w:rsidP="00F85F00">
      <w:pPr>
        <w:spacing w:after="360" w:line="480" w:lineRule="auto"/>
        <w:ind w:left="720" w:hanging="720"/>
        <w:rPr>
          <w:b/>
          <w:bCs/>
        </w:rPr>
      </w:pPr>
      <w:r w:rsidRPr="00E52C29">
        <w:rPr>
          <w:bCs/>
        </w:rPr>
        <w:t>[1]</w:t>
      </w:r>
      <w:r>
        <w:rPr>
          <w:b/>
          <w:bCs/>
        </w:rPr>
        <w:tab/>
      </w:r>
      <w:r w:rsidR="00D122AF" w:rsidRPr="00F20C55">
        <w:rPr>
          <w:rFonts w:cs="Arial"/>
          <w:szCs w:val="24"/>
        </w:rPr>
        <w:t>This is an application brought by the first defendant to uplift a bar. He applies for this relief in terms of Rule 27 of the Uniform R</w:t>
      </w:r>
      <w:r w:rsidR="00566063">
        <w:rPr>
          <w:rFonts w:cs="Arial"/>
          <w:szCs w:val="24"/>
        </w:rPr>
        <w:t xml:space="preserve">ules. Under that rule the first </w:t>
      </w:r>
      <w:r w:rsidR="00D122AF" w:rsidRPr="00F20C55">
        <w:rPr>
          <w:rFonts w:cs="Arial"/>
          <w:szCs w:val="24"/>
        </w:rPr>
        <w:t>defendant has to show good cause for the upliftment</w:t>
      </w:r>
      <w:r w:rsidR="00F57D86" w:rsidRPr="00F20C55">
        <w:rPr>
          <w:rFonts w:cs="Arial"/>
          <w:szCs w:val="24"/>
        </w:rPr>
        <w:t xml:space="preserve"> of the bar</w:t>
      </w:r>
      <w:r w:rsidR="00D122AF" w:rsidRPr="00F20C55">
        <w:rPr>
          <w:rFonts w:cs="Arial"/>
          <w:szCs w:val="24"/>
        </w:rPr>
        <w:t>.</w:t>
      </w:r>
    </w:p>
    <w:p w14:paraId="7A8D0DDA" w14:textId="535C0954" w:rsidR="00FA6341" w:rsidRPr="00E52C29" w:rsidRDefault="00E52C29" w:rsidP="00F85F00">
      <w:pPr>
        <w:spacing w:after="360" w:line="480" w:lineRule="auto"/>
        <w:ind w:left="720" w:hanging="720"/>
        <w:jc w:val="both"/>
        <w:rPr>
          <w:rFonts w:cs="Arial"/>
          <w:szCs w:val="24"/>
        </w:rPr>
      </w:pPr>
      <w:r>
        <w:rPr>
          <w:rFonts w:cs="Arial"/>
          <w:szCs w:val="24"/>
        </w:rPr>
        <w:t>[2]</w:t>
      </w:r>
      <w:r>
        <w:rPr>
          <w:rFonts w:cs="Arial"/>
          <w:szCs w:val="24"/>
        </w:rPr>
        <w:tab/>
      </w:r>
      <w:r w:rsidR="00FA6341" w:rsidRPr="00E52C29">
        <w:rPr>
          <w:rFonts w:cs="Arial"/>
          <w:szCs w:val="24"/>
        </w:rPr>
        <w:t xml:space="preserve">The first </w:t>
      </w:r>
      <w:r w:rsidR="00C4431D" w:rsidRPr="00E52C29">
        <w:rPr>
          <w:rFonts w:cs="Arial"/>
          <w:szCs w:val="24"/>
        </w:rPr>
        <w:t>respondent, Gary Wasilewsky</w:t>
      </w:r>
      <w:r w:rsidR="007C72FB" w:rsidRPr="00E52C29">
        <w:rPr>
          <w:rFonts w:cs="Arial"/>
          <w:szCs w:val="24"/>
        </w:rPr>
        <w:t xml:space="preserve"> </w:t>
      </w:r>
      <w:r w:rsidR="00F57D86" w:rsidRPr="00E52C29">
        <w:rPr>
          <w:rFonts w:cs="Arial"/>
          <w:szCs w:val="24"/>
        </w:rPr>
        <w:t>(</w:t>
      </w:r>
      <w:r w:rsidR="00284A76" w:rsidRPr="00E52C29">
        <w:rPr>
          <w:rFonts w:cs="Arial"/>
          <w:szCs w:val="24"/>
        </w:rPr>
        <w:t>“</w:t>
      </w:r>
      <w:r w:rsidR="00F57D86" w:rsidRPr="00E52C29">
        <w:rPr>
          <w:rFonts w:cs="Arial"/>
          <w:szCs w:val="24"/>
        </w:rPr>
        <w:t>Wasilewsky</w:t>
      </w:r>
      <w:r w:rsidR="00284A76" w:rsidRPr="00E52C29">
        <w:rPr>
          <w:rFonts w:cs="Arial"/>
          <w:szCs w:val="24"/>
        </w:rPr>
        <w:t>”</w:t>
      </w:r>
      <w:r w:rsidR="007C72FB" w:rsidRPr="00E52C29">
        <w:rPr>
          <w:rFonts w:cs="Arial"/>
          <w:szCs w:val="24"/>
        </w:rPr>
        <w:t>)</w:t>
      </w:r>
      <w:r w:rsidR="002C26B1" w:rsidRPr="00E52C29">
        <w:rPr>
          <w:rFonts w:cs="Arial"/>
          <w:szCs w:val="24"/>
        </w:rPr>
        <w:t>,</w:t>
      </w:r>
      <w:r w:rsidR="00C4431D" w:rsidRPr="00E52C29">
        <w:rPr>
          <w:rFonts w:cs="Arial"/>
          <w:szCs w:val="24"/>
        </w:rPr>
        <w:t xml:space="preserve"> </w:t>
      </w:r>
      <w:r w:rsidR="00FA6341" w:rsidRPr="00E52C29">
        <w:rPr>
          <w:rFonts w:cs="Arial"/>
          <w:szCs w:val="24"/>
        </w:rPr>
        <w:t>is an erstwhile director</w:t>
      </w:r>
      <w:r w:rsidR="002C26B1" w:rsidRPr="00E52C29">
        <w:rPr>
          <w:rFonts w:cs="Arial"/>
          <w:szCs w:val="24"/>
        </w:rPr>
        <w:t>,</w:t>
      </w:r>
      <w:r w:rsidR="00FA6341" w:rsidRPr="00E52C29">
        <w:rPr>
          <w:rFonts w:cs="Arial"/>
          <w:szCs w:val="24"/>
        </w:rPr>
        <w:t xml:space="preserve"> and still a shareholder</w:t>
      </w:r>
      <w:r w:rsidR="002C26B1" w:rsidRPr="00E52C29">
        <w:rPr>
          <w:rFonts w:cs="Arial"/>
          <w:szCs w:val="24"/>
        </w:rPr>
        <w:t>,</w:t>
      </w:r>
      <w:r w:rsidR="00FA6341" w:rsidRPr="00E52C29">
        <w:rPr>
          <w:rFonts w:cs="Arial"/>
          <w:szCs w:val="24"/>
        </w:rPr>
        <w:t xml:space="preserve"> of four property holding companies. In </w:t>
      </w:r>
      <w:r w:rsidR="00C4431D" w:rsidRPr="00E52C29">
        <w:rPr>
          <w:rFonts w:cs="Arial"/>
          <w:szCs w:val="24"/>
        </w:rPr>
        <w:t xml:space="preserve">2018 </w:t>
      </w:r>
      <w:r w:rsidR="00FA6341" w:rsidRPr="00E52C29">
        <w:rPr>
          <w:rFonts w:cs="Arial"/>
          <w:szCs w:val="24"/>
        </w:rPr>
        <w:t>these companies were liquidated as solvent companies in terms of section 88 of the Companies Act</w:t>
      </w:r>
      <w:r w:rsidR="00FC4F17" w:rsidRPr="00E52C29">
        <w:rPr>
          <w:rFonts w:cs="Arial"/>
          <w:szCs w:val="24"/>
        </w:rPr>
        <w:t xml:space="preserve"> 71 </w:t>
      </w:r>
      <w:r w:rsidR="00D5518E" w:rsidRPr="00E52C29">
        <w:rPr>
          <w:rFonts w:cs="Arial"/>
          <w:szCs w:val="24"/>
        </w:rPr>
        <w:t xml:space="preserve">of </w:t>
      </w:r>
      <w:r w:rsidR="00FC4F17" w:rsidRPr="00E52C29">
        <w:rPr>
          <w:rFonts w:cs="Arial"/>
          <w:szCs w:val="24"/>
        </w:rPr>
        <w:t>2008</w:t>
      </w:r>
      <w:r w:rsidR="00FA6341" w:rsidRPr="00E52C29">
        <w:rPr>
          <w:rFonts w:cs="Arial"/>
          <w:szCs w:val="24"/>
        </w:rPr>
        <w:t xml:space="preserve">. </w:t>
      </w:r>
    </w:p>
    <w:p w14:paraId="6DEFFFA2" w14:textId="532676D3" w:rsidR="00FC4F17" w:rsidRPr="00E52C29" w:rsidRDefault="00E52C29" w:rsidP="00F85F00">
      <w:pPr>
        <w:spacing w:after="360" w:line="480" w:lineRule="auto"/>
        <w:ind w:left="720" w:hanging="720"/>
        <w:jc w:val="both"/>
        <w:rPr>
          <w:rFonts w:cs="Arial"/>
          <w:szCs w:val="24"/>
        </w:rPr>
      </w:pPr>
      <w:r>
        <w:rPr>
          <w:rFonts w:cs="Arial"/>
          <w:szCs w:val="24"/>
        </w:rPr>
        <w:lastRenderedPageBreak/>
        <w:t>[3]</w:t>
      </w:r>
      <w:r>
        <w:rPr>
          <w:rFonts w:cs="Arial"/>
          <w:szCs w:val="24"/>
        </w:rPr>
        <w:tab/>
      </w:r>
      <w:r w:rsidR="00FA6341" w:rsidRPr="00E52C29">
        <w:rPr>
          <w:rFonts w:cs="Arial"/>
          <w:szCs w:val="24"/>
        </w:rPr>
        <w:t>The</w:t>
      </w:r>
      <w:r w:rsidR="00C4431D" w:rsidRPr="00E52C29">
        <w:rPr>
          <w:rFonts w:cs="Arial"/>
          <w:szCs w:val="24"/>
        </w:rPr>
        <w:t xml:space="preserve">re are </w:t>
      </w:r>
      <w:r w:rsidR="00CD1337" w:rsidRPr="00E52C29">
        <w:rPr>
          <w:rFonts w:cs="Arial"/>
          <w:szCs w:val="24"/>
        </w:rPr>
        <w:t>twelve</w:t>
      </w:r>
      <w:r w:rsidR="00C4431D" w:rsidRPr="00E52C29">
        <w:rPr>
          <w:rFonts w:cs="Arial"/>
          <w:szCs w:val="24"/>
        </w:rPr>
        <w:t xml:space="preserve"> plaintiffs. Th</w:t>
      </w:r>
      <w:r w:rsidR="00264410" w:rsidRPr="00E52C29">
        <w:rPr>
          <w:rFonts w:cs="Arial"/>
          <w:szCs w:val="24"/>
        </w:rPr>
        <w:t>e large number</w:t>
      </w:r>
      <w:r w:rsidR="00C2769A" w:rsidRPr="00E52C29">
        <w:rPr>
          <w:rFonts w:cs="Arial"/>
          <w:szCs w:val="24"/>
        </w:rPr>
        <w:t xml:space="preserve"> of plaintiffs </w:t>
      </w:r>
      <w:r w:rsidR="00264410" w:rsidRPr="00E52C29">
        <w:rPr>
          <w:rFonts w:cs="Arial"/>
          <w:szCs w:val="24"/>
        </w:rPr>
        <w:t xml:space="preserve">is explicable </w:t>
      </w:r>
      <w:r w:rsidR="00C2769A" w:rsidRPr="00E52C29">
        <w:rPr>
          <w:rFonts w:cs="Arial"/>
          <w:szCs w:val="24"/>
        </w:rPr>
        <w:t xml:space="preserve">by the fact that not only are </w:t>
      </w:r>
      <w:r w:rsidR="00C4431D" w:rsidRPr="00E52C29">
        <w:rPr>
          <w:rFonts w:cs="Arial"/>
          <w:szCs w:val="24"/>
        </w:rPr>
        <w:t xml:space="preserve">all the four companies in liquidation </w:t>
      </w:r>
      <w:r w:rsidR="00440701" w:rsidRPr="00E52C29">
        <w:rPr>
          <w:rFonts w:cs="Arial"/>
          <w:szCs w:val="24"/>
        </w:rPr>
        <w:t>plaintiffs,</w:t>
      </w:r>
      <w:r w:rsidR="00C4431D" w:rsidRPr="00E52C29">
        <w:rPr>
          <w:rFonts w:cs="Arial"/>
          <w:szCs w:val="24"/>
        </w:rPr>
        <w:t xml:space="preserve"> </w:t>
      </w:r>
      <w:r w:rsidR="001F09F1" w:rsidRPr="00E52C29">
        <w:rPr>
          <w:rFonts w:cs="Arial"/>
          <w:szCs w:val="24"/>
        </w:rPr>
        <w:t xml:space="preserve">but each is in turn </w:t>
      </w:r>
      <w:r w:rsidR="008F5D0D" w:rsidRPr="00E52C29">
        <w:rPr>
          <w:rFonts w:cs="Arial"/>
          <w:szCs w:val="24"/>
        </w:rPr>
        <w:t>also</w:t>
      </w:r>
      <w:r w:rsidR="001F09F1" w:rsidRPr="00E52C29">
        <w:rPr>
          <w:rFonts w:cs="Arial"/>
          <w:szCs w:val="24"/>
        </w:rPr>
        <w:t xml:space="preserve"> </w:t>
      </w:r>
      <w:r w:rsidR="00F91969" w:rsidRPr="00E52C29">
        <w:rPr>
          <w:rFonts w:cs="Arial"/>
          <w:szCs w:val="24"/>
        </w:rPr>
        <w:t>represented by two joint</w:t>
      </w:r>
      <w:r w:rsidR="00C4431D" w:rsidRPr="00E52C29">
        <w:rPr>
          <w:rFonts w:cs="Arial"/>
          <w:szCs w:val="24"/>
        </w:rPr>
        <w:t xml:space="preserve"> liquidators. The first plaintiff</w:t>
      </w:r>
      <w:r w:rsidR="008F5D0D" w:rsidRPr="00E52C29">
        <w:rPr>
          <w:rFonts w:cs="Arial"/>
          <w:szCs w:val="24"/>
        </w:rPr>
        <w:t>,</w:t>
      </w:r>
      <w:r w:rsidR="00C4431D" w:rsidRPr="00E52C29">
        <w:rPr>
          <w:rFonts w:cs="Arial"/>
          <w:szCs w:val="24"/>
        </w:rPr>
        <w:t xml:space="preserve"> Selwyn Trakman</w:t>
      </w:r>
      <w:r w:rsidR="00D31A15" w:rsidRPr="00E52C29">
        <w:rPr>
          <w:rFonts w:cs="Arial"/>
          <w:szCs w:val="24"/>
        </w:rPr>
        <w:t>,</w:t>
      </w:r>
      <w:r w:rsidR="00C4431D" w:rsidRPr="00E52C29">
        <w:rPr>
          <w:rFonts w:cs="Arial"/>
          <w:szCs w:val="24"/>
        </w:rPr>
        <w:t xml:space="preserve"> is the on</w:t>
      </w:r>
      <w:r w:rsidR="00D31A15" w:rsidRPr="00E52C29">
        <w:rPr>
          <w:rFonts w:cs="Arial"/>
          <w:szCs w:val="24"/>
        </w:rPr>
        <w:t>ly</w:t>
      </w:r>
      <w:r w:rsidR="00C4431D" w:rsidRPr="00E52C29">
        <w:rPr>
          <w:rFonts w:cs="Arial"/>
          <w:szCs w:val="24"/>
        </w:rPr>
        <w:t xml:space="preserve"> person who has been appointed as a joint liquidator of all four companies.</w:t>
      </w:r>
      <w:r w:rsidR="00FA6341" w:rsidRPr="00E52C29">
        <w:rPr>
          <w:rFonts w:cs="Arial"/>
          <w:szCs w:val="24"/>
        </w:rPr>
        <w:t xml:space="preserve"> In </w:t>
      </w:r>
      <w:r w:rsidR="00122AC3" w:rsidRPr="00E52C29">
        <w:rPr>
          <w:rFonts w:cs="Arial"/>
          <w:szCs w:val="24"/>
        </w:rPr>
        <w:t xml:space="preserve">October 2020 </w:t>
      </w:r>
      <w:r w:rsidR="00FA6341" w:rsidRPr="00E52C29">
        <w:rPr>
          <w:rFonts w:cs="Arial"/>
          <w:szCs w:val="24"/>
        </w:rPr>
        <w:t>the</w:t>
      </w:r>
      <w:r w:rsidR="001C438D" w:rsidRPr="00E52C29">
        <w:rPr>
          <w:rFonts w:cs="Arial"/>
          <w:szCs w:val="24"/>
        </w:rPr>
        <w:t xml:space="preserve"> plaintiffs</w:t>
      </w:r>
      <w:r w:rsidR="00FA6341" w:rsidRPr="00E52C29">
        <w:rPr>
          <w:rFonts w:cs="Arial"/>
          <w:szCs w:val="24"/>
        </w:rPr>
        <w:t xml:space="preserve"> brought an application against W</w:t>
      </w:r>
      <w:r w:rsidR="00C4431D" w:rsidRPr="00E52C29">
        <w:rPr>
          <w:rFonts w:cs="Arial"/>
          <w:szCs w:val="24"/>
        </w:rPr>
        <w:t>asilewsky</w:t>
      </w:r>
      <w:r w:rsidR="00FA6341" w:rsidRPr="00E52C29">
        <w:rPr>
          <w:rFonts w:cs="Arial"/>
          <w:szCs w:val="24"/>
        </w:rPr>
        <w:t xml:space="preserve"> in which they sought certain relief. For reasons not pertinent to this decision the application was </w:t>
      </w:r>
      <w:r w:rsidR="00C4431D" w:rsidRPr="00E52C29">
        <w:rPr>
          <w:rFonts w:cs="Arial"/>
          <w:szCs w:val="24"/>
        </w:rPr>
        <w:t>withdrawn</w:t>
      </w:r>
      <w:r w:rsidR="00FA6341" w:rsidRPr="00E52C29">
        <w:rPr>
          <w:rFonts w:cs="Arial"/>
          <w:szCs w:val="24"/>
        </w:rPr>
        <w:t xml:space="preserve"> </w:t>
      </w:r>
      <w:r w:rsidR="00FD3247" w:rsidRPr="00E52C29">
        <w:rPr>
          <w:rFonts w:cs="Arial"/>
          <w:szCs w:val="24"/>
        </w:rPr>
        <w:t xml:space="preserve">on 23 February 2022 </w:t>
      </w:r>
      <w:r w:rsidR="00FA6341" w:rsidRPr="00E52C29">
        <w:rPr>
          <w:rFonts w:cs="Arial"/>
          <w:szCs w:val="24"/>
        </w:rPr>
        <w:t>and the liquidators tendered costs to the</w:t>
      </w:r>
      <w:r w:rsidR="00C4431D" w:rsidRPr="00E52C29">
        <w:rPr>
          <w:rFonts w:cs="Arial"/>
          <w:szCs w:val="24"/>
        </w:rPr>
        <w:t xml:space="preserve"> Wasilewsky</w:t>
      </w:r>
      <w:r w:rsidR="00FA6341" w:rsidRPr="00E52C29">
        <w:rPr>
          <w:rFonts w:cs="Arial"/>
          <w:szCs w:val="24"/>
        </w:rPr>
        <w:t>.</w:t>
      </w:r>
    </w:p>
    <w:p w14:paraId="6E92C4CD" w14:textId="677E28CC" w:rsidR="00D72CD7" w:rsidRPr="00D72CD7" w:rsidRDefault="00D72CD7" w:rsidP="00F85F00">
      <w:pPr>
        <w:pStyle w:val="ListParagraph"/>
        <w:spacing w:after="360" w:line="480" w:lineRule="auto"/>
        <w:ind w:left="360" w:firstLine="360"/>
        <w:jc w:val="both"/>
        <w:rPr>
          <w:rFonts w:cs="Arial"/>
          <w:b/>
          <w:bCs/>
          <w:szCs w:val="24"/>
        </w:rPr>
      </w:pPr>
      <w:r w:rsidRPr="00D72CD7">
        <w:rPr>
          <w:rFonts w:cs="Arial"/>
          <w:b/>
          <w:bCs/>
          <w:szCs w:val="24"/>
        </w:rPr>
        <w:t>Chronology</w:t>
      </w:r>
    </w:p>
    <w:p w14:paraId="3D15D7F0" w14:textId="1F01A425" w:rsidR="000A5FE6" w:rsidRPr="00E52C29" w:rsidRDefault="00E52C29" w:rsidP="00F85F00">
      <w:pPr>
        <w:spacing w:after="360" w:line="480" w:lineRule="auto"/>
        <w:ind w:left="720" w:hanging="720"/>
        <w:jc w:val="both"/>
        <w:rPr>
          <w:rFonts w:cs="Arial"/>
          <w:szCs w:val="24"/>
        </w:rPr>
      </w:pPr>
      <w:r>
        <w:rPr>
          <w:rFonts w:cs="Arial"/>
          <w:szCs w:val="24"/>
        </w:rPr>
        <w:t>[4]</w:t>
      </w:r>
      <w:r>
        <w:rPr>
          <w:rFonts w:cs="Arial"/>
          <w:szCs w:val="24"/>
        </w:rPr>
        <w:tab/>
      </w:r>
      <w:r w:rsidR="008250D8" w:rsidRPr="00E52C29">
        <w:rPr>
          <w:rFonts w:cs="Arial"/>
          <w:szCs w:val="24"/>
        </w:rPr>
        <w:t>On 7</w:t>
      </w:r>
      <w:r w:rsidR="00FA6341" w:rsidRPr="00E52C29">
        <w:rPr>
          <w:rFonts w:cs="Arial"/>
          <w:szCs w:val="24"/>
        </w:rPr>
        <w:t xml:space="preserve"> </w:t>
      </w:r>
      <w:r w:rsidR="00A71214" w:rsidRPr="00E52C29">
        <w:rPr>
          <w:rFonts w:cs="Arial"/>
          <w:szCs w:val="24"/>
        </w:rPr>
        <w:t>March 2022</w:t>
      </w:r>
      <w:r w:rsidR="00FA6341" w:rsidRPr="00E52C29">
        <w:rPr>
          <w:rFonts w:cs="Arial"/>
          <w:szCs w:val="24"/>
        </w:rPr>
        <w:t xml:space="preserve"> the</w:t>
      </w:r>
      <w:r w:rsidR="00792ADA" w:rsidRPr="00E52C29">
        <w:rPr>
          <w:rFonts w:cs="Arial"/>
          <w:szCs w:val="24"/>
        </w:rPr>
        <w:t xml:space="preserve"> plaintiffs</w:t>
      </w:r>
      <w:r w:rsidR="00FA6341" w:rsidRPr="00E52C29">
        <w:rPr>
          <w:rFonts w:cs="Arial"/>
          <w:szCs w:val="24"/>
        </w:rPr>
        <w:t xml:space="preserve"> </w:t>
      </w:r>
      <w:r w:rsidR="00F0013A" w:rsidRPr="00E52C29">
        <w:rPr>
          <w:rFonts w:cs="Arial"/>
          <w:szCs w:val="24"/>
        </w:rPr>
        <w:t xml:space="preserve">served a summons on </w:t>
      </w:r>
      <w:r w:rsidR="00941911" w:rsidRPr="00E52C29">
        <w:rPr>
          <w:rFonts w:cs="Arial"/>
          <w:szCs w:val="24"/>
        </w:rPr>
        <w:t>Wasilewsky. Also cited are four other defendants</w:t>
      </w:r>
      <w:r w:rsidR="000F1D8E" w:rsidRPr="00E52C29">
        <w:rPr>
          <w:rFonts w:cs="Arial"/>
          <w:szCs w:val="24"/>
        </w:rPr>
        <w:t>,</w:t>
      </w:r>
      <w:r w:rsidR="00941911" w:rsidRPr="00E52C29">
        <w:rPr>
          <w:rFonts w:cs="Arial"/>
          <w:szCs w:val="24"/>
        </w:rPr>
        <w:t xml:space="preserve"> all erstwhile shareholders of the companies </w:t>
      </w:r>
      <w:r w:rsidR="0045406A" w:rsidRPr="00E52C29">
        <w:rPr>
          <w:rFonts w:cs="Arial"/>
          <w:szCs w:val="24"/>
        </w:rPr>
        <w:t xml:space="preserve">and relatives of Wasilewsky </w:t>
      </w:r>
      <w:r w:rsidR="00941911" w:rsidRPr="00E52C29">
        <w:rPr>
          <w:rFonts w:cs="Arial"/>
          <w:szCs w:val="24"/>
        </w:rPr>
        <w:t>but no relief is sought against any of them</w:t>
      </w:r>
      <w:r w:rsidR="00F0013A" w:rsidRPr="00E52C29">
        <w:rPr>
          <w:rFonts w:cs="Arial"/>
          <w:szCs w:val="24"/>
        </w:rPr>
        <w:t xml:space="preserve">. The relief sought and amounts claimed </w:t>
      </w:r>
      <w:r w:rsidR="0045406A" w:rsidRPr="00E52C29">
        <w:rPr>
          <w:rFonts w:cs="Arial"/>
          <w:szCs w:val="24"/>
        </w:rPr>
        <w:t xml:space="preserve">from Wasilewsky </w:t>
      </w:r>
      <w:r w:rsidR="003A683D" w:rsidRPr="00E52C29">
        <w:rPr>
          <w:rFonts w:cs="Arial"/>
          <w:szCs w:val="24"/>
        </w:rPr>
        <w:t xml:space="preserve">in the summons </w:t>
      </w:r>
      <w:r w:rsidR="00F0013A" w:rsidRPr="00E52C29">
        <w:rPr>
          <w:rFonts w:cs="Arial"/>
          <w:szCs w:val="24"/>
        </w:rPr>
        <w:t xml:space="preserve">are the same as they were in the withdrawn application. </w:t>
      </w:r>
    </w:p>
    <w:p w14:paraId="6D8E277F" w14:textId="3D7B2B6E" w:rsidR="00FA6341" w:rsidRPr="00E52C29" w:rsidRDefault="00E52C29" w:rsidP="00F85F00">
      <w:pPr>
        <w:spacing w:after="360" w:line="480" w:lineRule="auto"/>
        <w:ind w:left="720" w:hanging="720"/>
        <w:jc w:val="both"/>
        <w:rPr>
          <w:rFonts w:cs="Arial"/>
          <w:szCs w:val="24"/>
        </w:rPr>
      </w:pPr>
      <w:r>
        <w:rPr>
          <w:rFonts w:cs="Arial"/>
          <w:szCs w:val="24"/>
        </w:rPr>
        <w:t>[5]</w:t>
      </w:r>
      <w:r>
        <w:rPr>
          <w:rFonts w:cs="Arial"/>
          <w:szCs w:val="24"/>
        </w:rPr>
        <w:tab/>
      </w:r>
      <w:r w:rsidR="00F0013A" w:rsidRPr="00E52C29">
        <w:rPr>
          <w:rFonts w:cs="Arial"/>
          <w:szCs w:val="24"/>
        </w:rPr>
        <w:t xml:space="preserve">But </w:t>
      </w:r>
      <w:r w:rsidR="00CD54D1" w:rsidRPr="00E52C29">
        <w:rPr>
          <w:rFonts w:cs="Arial"/>
          <w:szCs w:val="24"/>
        </w:rPr>
        <w:t xml:space="preserve">the decision to </w:t>
      </w:r>
      <w:r w:rsidR="00CF2C0B" w:rsidRPr="00E52C29">
        <w:rPr>
          <w:rFonts w:cs="Arial"/>
          <w:szCs w:val="24"/>
        </w:rPr>
        <w:t xml:space="preserve">proceed by way </w:t>
      </w:r>
      <w:r w:rsidR="005F18A9" w:rsidRPr="00E52C29">
        <w:rPr>
          <w:rFonts w:cs="Arial"/>
          <w:szCs w:val="24"/>
        </w:rPr>
        <w:t>of action</w:t>
      </w:r>
      <w:r w:rsidR="00CD54D1" w:rsidRPr="00E52C29">
        <w:rPr>
          <w:rFonts w:cs="Arial"/>
          <w:szCs w:val="24"/>
        </w:rPr>
        <w:t xml:space="preserve"> instead of motion </w:t>
      </w:r>
      <w:r w:rsidR="00F0013A" w:rsidRPr="00E52C29">
        <w:rPr>
          <w:rFonts w:cs="Arial"/>
          <w:szCs w:val="24"/>
        </w:rPr>
        <w:t>was not the end of the plaintiffs</w:t>
      </w:r>
      <w:r w:rsidR="00271FBB" w:rsidRPr="00E52C29">
        <w:rPr>
          <w:rFonts w:cs="Arial"/>
          <w:szCs w:val="24"/>
        </w:rPr>
        <w:t>’</w:t>
      </w:r>
      <w:r w:rsidR="00F0013A" w:rsidRPr="00E52C29">
        <w:rPr>
          <w:rFonts w:cs="Arial"/>
          <w:szCs w:val="24"/>
        </w:rPr>
        <w:t xml:space="preserve"> woes. </w:t>
      </w:r>
      <w:r w:rsidR="005B6B25" w:rsidRPr="00E52C29">
        <w:rPr>
          <w:rFonts w:cs="Arial"/>
          <w:szCs w:val="24"/>
        </w:rPr>
        <w:t xml:space="preserve">The </w:t>
      </w:r>
      <w:r w:rsidR="006A17AB" w:rsidRPr="00E52C29">
        <w:rPr>
          <w:rFonts w:cs="Arial"/>
          <w:szCs w:val="24"/>
        </w:rPr>
        <w:t xml:space="preserve">particulars of claim </w:t>
      </w:r>
      <w:r w:rsidR="00F0013A" w:rsidRPr="00E52C29">
        <w:rPr>
          <w:rFonts w:cs="Arial"/>
          <w:szCs w:val="24"/>
        </w:rPr>
        <w:t xml:space="preserve">were </w:t>
      </w:r>
      <w:r w:rsidR="006A17AB" w:rsidRPr="00E52C29">
        <w:rPr>
          <w:rFonts w:cs="Arial"/>
          <w:szCs w:val="24"/>
        </w:rPr>
        <w:t>served</w:t>
      </w:r>
      <w:r w:rsidR="00F0013A" w:rsidRPr="00E52C29">
        <w:rPr>
          <w:rFonts w:cs="Arial"/>
          <w:szCs w:val="24"/>
        </w:rPr>
        <w:t xml:space="preserve"> </w:t>
      </w:r>
      <w:r w:rsidR="006A17AB" w:rsidRPr="00E52C29">
        <w:rPr>
          <w:rFonts w:cs="Arial"/>
          <w:szCs w:val="24"/>
        </w:rPr>
        <w:t xml:space="preserve">on </w:t>
      </w:r>
      <w:r w:rsidR="0078305E" w:rsidRPr="00E52C29">
        <w:rPr>
          <w:rFonts w:cs="Arial"/>
          <w:szCs w:val="24"/>
        </w:rPr>
        <w:t xml:space="preserve">Wasilewsky’s attorney </w:t>
      </w:r>
      <w:r w:rsidR="00554F06" w:rsidRPr="00E52C29">
        <w:rPr>
          <w:rFonts w:cs="Arial"/>
          <w:szCs w:val="24"/>
        </w:rPr>
        <w:t xml:space="preserve">electronically, </w:t>
      </w:r>
      <w:r w:rsidR="0078305E" w:rsidRPr="00E52C29">
        <w:rPr>
          <w:rFonts w:cs="Arial"/>
          <w:szCs w:val="24"/>
        </w:rPr>
        <w:t>but while there was no issue about that</w:t>
      </w:r>
      <w:r w:rsidR="005F18A9" w:rsidRPr="00E52C29">
        <w:rPr>
          <w:rFonts w:cs="Arial"/>
          <w:szCs w:val="24"/>
        </w:rPr>
        <w:t>,</w:t>
      </w:r>
      <w:r w:rsidR="0078305E" w:rsidRPr="00E52C29">
        <w:rPr>
          <w:rFonts w:cs="Arial"/>
          <w:szCs w:val="24"/>
        </w:rPr>
        <w:t xml:space="preserve"> some of the </w:t>
      </w:r>
      <w:r w:rsidR="00F0013A" w:rsidRPr="00E52C29">
        <w:rPr>
          <w:rFonts w:cs="Arial"/>
          <w:szCs w:val="24"/>
        </w:rPr>
        <w:t xml:space="preserve">pages were missing. </w:t>
      </w:r>
      <w:r w:rsidR="009B0A0C" w:rsidRPr="00E52C29">
        <w:rPr>
          <w:rFonts w:cs="Arial"/>
          <w:szCs w:val="24"/>
        </w:rPr>
        <w:t xml:space="preserve"> </w:t>
      </w:r>
      <w:r w:rsidR="00EB6E69" w:rsidRPr="00E52C29">
        <w:rPr>
          <w:rFonts w:cs="Arial"/>
          <w:szCs w:val="24"/>
        </w:rPr>
        <w:t>Wasilewsky’s attorney wrote to the plaintiffs</w:t>
      </w:r>
      <w:r w:rsidR="00913B79" w:rsidRPr="00E52C29">
        <w:rPr>
          <w:rFonts w:cs="Arial"/>
          <w:szCs w:val="24"/>
        </w:rPr>
        <w:t>’</w:t>
      </w:r>
      <w:r w:rsidR="00EB6E69" w:rsidRPr="00E52C29">
        <w:rPr>
          <w:rFonts w:cs="Arial"/>
          <w:szCs w:val="24"/>
        </w:rPr>
        <w:t xml:space="preserve"> attorney to advise her of this. </w:t>
      </w:r>
      <w:r w:rsidR="00130A6D" w:rsidRPr="00E52C29">
        <w:rPr>
          <w:rFonts w:cs="Arial"/>
          <w:szCs w:val="24"/>
        </w:rPr>
        <w:t>On 14</w:t>
      </w:r>
      <w:r w:rsidR="00130A6D" w:rsidRPr="00E52C29">
        <w:rPr>
          <w:rFonts w:cs="Arial"/>
          <w:szCs w:val="24"/>
          <w:vertAlign w:val="superscript"/>
        </w:rPr>
        <w:t>th</w:t>
      </w:r>
      <w:r w:rsidR="00130A6D" w:rsidRPr="00E52C29">
        <w:rPr>
          <w:rFonts w:cs="Arial"/>
          <w:szCs w:val="24"/>
        </w:rPr>
        <w:t xml:space="preserve"> March t</w:t>
      </w:r>
      <w:r w:rsidR="00EB6E69" w:rsidRPr="00E52C29">
        <w:rPr>
          <w:rFonts w:cs="Arial"/>
          <w:szCs w:val="24"/>
        </w:rPr>
        <w:t xml:space="preserve">he plaintiffs’ attorney </w:t>
      </w:r>
      <w:r w:rsidR="00B11CA2" w:rsidRPr="00E52C29">
        <w:rPr>
          <w:rFonts w:cs="Arial"/>
          <w:szCs w:val="24"/>
        </w:rPr>
        <w:t>emailed</w:t>
      </w:r>
      <w:r w:rsidR="00EB6E69" w:rsidRPr="00E52C29">
        <w:rPr>
          <w:rFonts w:cs="Arial"/>
          <w:szCs w:val="24"/>
        </w:rPr>
        <w:t xml:space="preserve"> the particulars of claim to Wasilewsky’s attorney</w:t>
      </w:r>
      <w:r w:rsidR="00B11CA2" w:rsidRPr="00E52C29">
        <w:rPr>
          <w:rFonts w:cs="Arial"/>
          <w:szCs w:val="24"/>
        </w:rPr>
        <w:t xml:space="preserve"> -</w:t>
      </w:r>
      <w:r w:rsidR="00EB6E69" w:rsidRPr="00E52C29">
        <w:rPr>
          <w:rFonts w:cs="Arial"/>
          <w:szCs w:val="24"/>
        </w:rPr>
        <w:t xml:space="preserve"> this time with all the pages of the particulars of claim included. But not included </w:t>
      </w:r>
      <w:r w:rsidR="00007D91" w:rsidRPr="00E52C29">
        <w:rPr>
          <w:rFonts w:cs="Arial"/>
          <w:szCs w:val="24"/>
        </w:rPr>
        <w:t xml:space="preserve">were the many annexures </w:t>
      </w:r>
      <w:r w:rsidR="00B11CA2" w:rsidRPr="00E52C29">
        <w:rPr>
          <w:rFonts w:cs="Arial"/>
          <w:szCs w:val="24"/>
        </w:rPr>
        <w:t xml:space="preserve">attached </w:t>
      </w:r>
      <w:r w:rsidR="00007D91" w:rsidRPr="00E52C29">
        <w:rPr>
          <w:rFonts w:cs="Arial"/>
          <w:szCs w:val="24"/>
        </w:rPr>
        <w:t xml:space="preserve">to the particulars of claim. The plaintiffs’ attorney was fully aware of this because she </w:t>
      </w:r>
      <w:r w:rsidR="000A1CC5" w:rsidRPr="00E52C29">
        <w:rPr>
          <w:rFonts w:cs="Arial"/>
          <w:szCs w:val="24"/>
        </w:rPr>
        <w:t xml:space="preserve">says </w:t>
      </w:r>
      <w:r w:rsidR="0011393E" w:rsidRPr="00E52C29">
        <w:rPr>
          <w:rFonts w:cs="Arial"/>
          <w:szCs w:val="24"/>
        </w:rPr>
        <w:t>as much</w:t>
      </w:r>
      <w:r w:rsidR="000A1CC5" w:rsidRPr="00E52C29">
        <w:rPr>
          <w:rFonts w:cs="Arial"/>
          <w:szCs w:val="24"/>
        </w:rPr>
        <w:t xml:space="preserve"> in </w:t>
      </w:r>
      <w:r w:rsidR="000A1CC5" w:rsidRPr="00E52C29">
        <w:rPr>
          <w:rFonts w:cs="Arial"/>
          <w:szCs w:val="24"/>
        </w:rPr>
        <w:lastRenderedPageBreak/>
        <w:t>her covering letter of the 14</w:t>
      </w:r>
      <w:r w:rsidR="000A1CC5" w:rsidRPr="00E52C29">
        <w:rPr>
          <w:rFonts w:cs="Arial"/>
          <w:szCs w:val="24"/>
          <w:vertAlign w:val="superscript"/>
        </w:rPr>
        <w:t>th</w:t>
      </w:r>
      <w:r w:rsidR="000A1CC5" w:rsidRPr="00E52C29">
        <w:rPr>
          <w:rFonts w:cs="Arial"/>
          <w:szCs w:val="24"/>
        </w:rPr>
        <w:t xml:space="preserve"> Ma</w:t>
      </w:r>
      <w:r w:rsidR="002B6B94" w:rsidRPr="00E52C29">
        <w:rPr>
          <w:rFonts w:cs="Arial"/>
          <w:szCs w:val="24"/>
        </w:rPr>
        <w:t>r</w:t>
      </w:r>
      <w:r w:rsidR="000A1CC5" w:rsidRPr="00E52C29">
        <w:rPr>
          <w:rFonts w:cs="Arial"/>
          <w:szCs w:val="24"/>
        </w:rPr>
        <w:t xml:space="preserve">ch. </w:t>
      </w:r>
      <w:r w:rsidR="00DA7988" w:rsidRPr="00E52C29">
        <w:rPr>
          <w:rFonts w:cs="Arial"/>
          <w:szCs w:val="24"/>
        </w:rPr>
        <w:t xml:space="preserve">Confirming that the particulars of claim were being served without the annexures she says that the annexures would be downloaded on to </w:t>
      </w:r>
      <w:r w:rsidR="00BF3525" w:rsidRPr="00E52C29">
        <w:rPr>
          <w:rFonts w:cs="Arial"/>
          <w:szCs w:val="24"/>
        </w:rPr>
        <w:t>C</w:t>
      </w:r>
      <w:r w:rsidR="00DA7988" w:rsidRPr="00E52C29">
        <w:rPr>
          <w:rFonts w:cs="Arial"/>
          <w:szCs w:val="24"/>
        </w:rPr>
        <w:t xml:space="preserve">aselines the following </w:t>
      </w:r>
      <w:r w:rsidR="005A1C36" w:rsidRPr="00E52C29">
        <w:rPr>
          <w:rFonts w:cs="Arial"/>
          <w:szCs w:val="24"/>
        </w:rPr>
        <w:t xml:space="preserve">day. </w:t>
      </w:r>
    </w:p>
    <w:p w14:paraId="32AD987A" w14:textId="7EB8148B" w:rsidR="00F0013A" w:rsidRPr="00E52C29" w:rsidRDefault="00E52C29" w:rsidP="00F85F00">
      <w:pPr>
        <w:spacing w:after="360" w:line="480" w:lineRule="auto"/>
        <w:ind w:left="720" w:hanging="720"/>
        <w:jc w:val="both"/>
        <w:rPr>
          <w:rFonts w:cs="Arial"/>
          <w:szCs w:val="24"/>
        </w:rPr>
      </w:pPr>
      <w:r>
        <w:rPr>
          <w:rFonts w:cs="Arial"/>
          <w:szCs w:val="24"/>
        </w:rPr>
        <w:t>[6]</w:t>
      </w:r>
      <w:r>
        <w:rPr>
          <w:rFonts w:cs="Arial"/>
          <w:szCs w:val="24"/>
        </w:rPr>
        <w:tab/>
      </w:r>
      <w:r w:rsidR="00C534EB" w:rsidRPr="00E52C29">
        <w:rPr>
          <w:rFonts w:cs="Arial"/>
          <w:szCs w:val="24"/>
        </w:rPr>
        <w:t xml:space="preserve">Both parties </w:t>
      </w:r>
      <w:r w:rsidR="00F0013A" w:rsidRPr="00E52C29">
        <w:rPr>
          <w:rFonts w:cs="Arial"/>
          <w:szCs w:val="24"/>
        </w:rPr>
        <w:t xml:space="preserve">accept that </w:t>
      </w:r>
      <w:r w:rsidR="0011393E" w:rsidRPr="00E52C29">
        <w:rPr>
          <w:rFonts w:cs="Arial"/>
          <w:szCs w:val="24"/>
        </w:rPr>
        <w:t xml:space="preserve">the annexures were downloaded on to </w:t>
      </w:r>
      <w:r w:rsidR="005B0F47" w:rsidRPr="00E52C29">
        <w:rPr>
          <w:rFonts w:cs="Arial"/>
          <w:szCs w:val="24"/>
        </w:rPr>
        <w:t>CaseLines</w:t>
      </w:r>
      <w:r w:rsidR="0011393E" w:rsidRPr="00E52C29">
        <w:rPr>
          <w:rFonts w:cs="Arial"/>
          <w:szCs w:val="24"/>
        </w:rPr>
        <w:t xml:space="preserve"> the next day i.e., the 15</w:t>
      </w:r>
      <w:r w:rsidR="0011393E" w:rsidRPr="00E52C29">
        <w:rPr>
          <w:rFonts w:cs="Arial"/>
          <w:szCs w:val="24"/>
          <w:vertAlign w:val="superscript"/>
        </w:rPr>
        <w:t>th</w:t>
      </w:r>
      <w:r w:rsidR="0011393E" w:rsidRPr="00E52C29">
        <w:rPr>
          <w:rFonts w:cs="Arial"/>
          <w:szCs w:val="24"/>
        </w:rPr>
        <w:t xml:space="preserve"> March</w:t>
      </w:r>
      <w:r w:rsidR="00F0013A" w:rsidRPr="00E52C29">
        <w:rPr>
          <w:rFonts w:cs="Arial"/>
          <w:szCs w:val="24"/>
        </w:rPr>
        <w:t xml:space="preserve">. However according to the </w:t>
      </w:r>
      <w:r w:rsidR="00C4431D" w:rsidRPr="00E52C29">
        <w:rPr>
          <w:rFonts w:cs="Arial"/>
          <w:szCs w:val="24"/>
        </w:rPr>
        <w:t>Wasilewsky</w:t>
      </w:r>
      <w:r w:rsidR="00B36B96" w:rsidRPr="00E52C29">
        <w:rPr>
          <w:rFonts w:cs="Arial"/>
          <w:szCs w:val="24"/>
        </w:rPr>
        <w:t>’ attorney</w:t>
      </w:r>
      <w:r w:rsidR="00424695" w:rsidRPr="00E52C29">
        <w:rPr>
          <w:rFonts w:cs="Arial"/>
          <w:szCs w:val="24"/>
        </w:rPr>
        <w:t>,</w:t>
      </w:r>
      <w:r w:rsidR="00F0013A" w:rsidRPr="00E52C29">
        <w:rPr>
          <w:rFonts w:cs="Arial"/>
          <w:szCs w:val="24"/>
        </w:rPr>
        <w:t xml:space="preserve"> the full docum</w:t>
      </w:r>
      <w:r w:rsidR="00AB5EC1" w:rsidRPr="00E52C29">
        <w:rPr>
          <w:rFonts w:cs="Arial"/>
          <w:szCs w:val="24"/>
        </w:rPr>
        <w:t>e</w:t>
      </w:r>
      <w:r w:rsidR="00F0013A" w:rsidRPr="00E52C29">
        <w:rPr>
          <w:rFonts w:cs="Arial"/>
          <w:szCs w:val="24"/>
        </w:rPr>
        <w:t>n</w:t>
      </w:r>
      <w:r w:rsidR="00AB5EC1" w:rsidRPr="00E52C29">
        <w:rPr>
          <w:rFonts w:cs="Arial"/>
          <w:szCs w:val="24"/>
        </w:rPr>
        <w:t>t</w:t>
      </w:r>
      <w:r w:rsidR="00F0013A" w:rsidRPr="00E52C29">
        <w:rPr>
          <w:rFonts w:cs="Arial"/>
          <w:szCs w:val="24"/>
        </w:rPr>
        <w:t xml:space="preserve"> </w:t>
      </w:r>
      <w:r w:rsidR="005B0F47" w:rsidRPr="00E52C29">
        <w:rPr>
          <w:rFonts w:cs="Arial"/>
          <w:szCs w:val="24"/>
        </w:rPr>
        <w:t>i.e.,</w:t>
      </w:r>
      <w:r w:rsidR="00424695" w:rsidRPr="00E52C29">
        <w:rPr>
          <w:rFonts w:cs="Arial"/>
          <w:szCs w:val="24"/>
        </w:rPr>
        <w:t xml:space="preserve"> the particulars of claim </w:t>
      </w:r>
      <w:r w:rsidR="00F0013A" w:rsidRPr="00E52C29">
        <w:rPr>
          <w:rFonts w:cs="Arial"/>
          <w:szCs w:val="24"/>
        </w:rPr>
        <w:t>plus</w:t>
      </w:r>
      <w:r w:rsidR="00343563" w:rsidRPr="00E52C29">
        <w:rPr>
          <w:rFonts w:cs="Arial"/>
          <w:szCs w:val="24"/>
        </w:rPr>
        <w:t xml:space="preserve"> </w:t>
      </w:r>
      <w:r w:rsidR="000D74E9" w:rsidRPr="00E52C29">
        <w:rPr>
          <w:rFonts w:cs="Arial"/>
          <w:szCs w:val="24"/>
        </w:rPr>
        <w:t>the annexures</w:t>
      </w:r>
      <w:r w:rsidR="00F0013A" w:rsidRPr="00E52C29">
        <w:rPr>
          <w:rFonts w:cs="Arial"/>
          <w:szCs w:val="24"/>
        </w:rPr>
        <w:t xml:space="preserve"> </w:t>
      </w:r>
      <w:r w:rsidR="004A4632" w:rsidRPr="00E52C29">
        <w:rPr>
          <w:rFonts w:cs="Arial"/>
          <w:szCs w:val="24"/>
        </w:rPr>
        <w:t xml:space="preserve">were </w:t>
      </w:r>
      <w:r w:rsidR="00F0013A" w:rsidRPr="00E52C29">
        <w:rPr>
          <w:rFonts w:cs="Arial"/>
          <w:szCs w:val="24"/>
        </w:rPr>
        <w:t xml:space="preserve">never served on </w:t>
      </w:r>
      <w:r w:rsidR="00B36B96" w:rsidRPr="00E52C29">
        <w:rPr>
          <w:rFonts w:cs="Arial"/>
          <w:szCs w:val="24"/>
        </w:rPr>
        <w:t>her</w:t>
      </w:r>
      <w:r w:rsidR="004A4632" w:rsidRPr="00E52C29">
        <w:rPr>
          <w:rFonts w:cs="Arial"/>
          <w:szCs w:val="24"/>
        </w:rPr>
        <w:t xml:space="preserve"> at this time</w:t>
      </w:r>
      <w:r w:rsidR="00F0013A" w:rsidRPr="00E52C29">
        <w:rPr>
          <w:rFonts w:cs="Arial"/>
          <w:szCs w:val="24"/>
        </w:rPr>
        <w:t xml:space="preserve">. </w:t>
      </w:r>
      <w:r w:rsidR="002862F1" w:rsidRPr="00E52C29">
        <w:rPr>
          <w:rFonts w:cs="Arial"/>
          <w:szCs w:val="24"/>
        </w:rPr>
        <w:t xml:space="preserve"> This is why o</w:t>
      </w:r>
      <w:r w:rsidR="00343563" w:rsidRPr="00E52C29">
        <w:rPr>
          <w:rFonts w:cs="Arial"/>
          <w:szCs w:val="24"/>
        </w:rPr>
        <w:t>n 24</w:t>
      </w:r>
      <w:r w:rsidR="00343563" w:rsidRPr="00E52C29">
        <w:rPr>
          <w:rFonts w:cs="Arial"/>
          <w:szCs w:val="24"/>
          <w:vertAlign w:val="superscript"/>
        </w:rPr>
        <w:t>th</w:t>
      </w:r>
      <w:r w:rsidR="00343563" w:rsidRPr="00E52C29">
        <w:rPr>
          <w:rFonts w:cs="Arial"/>
          <w:szCs w:val="24"/>
        </w:rPr>
        <w:t xml:space="preserve"> March Wasilewsky</w:t>
      </w:r>
      <w:r w:rsidR="002862F1" w:rsidRPr="00E52C29">
        <w:rPr>
          <w:rFonts w:cs="Arial"/>
          <w:szCs w:val="24"/>
        </w:rPr>
        <w:t>’</w:t>
      </w:r>
      <w:r w:rsidR="00343563" w:rsidRPr="00E52C29">
        <w:rPr>
          <w:rFonts w:cs="Arial"/>
          <w:szCs w:val="24"/>
        </w:rPr>
        <w:t xml:space="preserve">s attorney served a </w:t>
      </w:r>
      <w:r w:rsidR="00AB1D06" w:rsidRPr="00E52C29">
        <w:rPr>
          <w:rFonts w:cs="Arial"/>
          <w:szCs w:val="24"/>
        </w:rPr>
        <w:t>rule 30A notice on the plaintiffs</w:t>
      </w:r>
      <w:r w:rsidR="002B6B94" w:rsidRPr="00E52C29">
        <w:rPr>
          <w:rFonts w:cs="Arial"/>
          <w:szCs w:val="24"/>
        </w:rPr>
        <w:t>’</w:t>
      </w:r>
      <w:r w:rsidR="00AB1D06" w:rsidRPr="00E52C29">
        <w:rPr>
          <w:rFonts w:cs="Arial"/>
          <w:szCs w:val="24"/>
        </w:rPr>
        <w:t xml:space="preserve"> attorney claiming the summons was incomplete. </w:t>
      </w:r>
      <w:r w:rsidR="0037369A" w:rsidRPr="00E52C29">
        <w:rPr>
          <w:rFonts w:cs="Arial"/>
          <w:szCs w:val="24"/>
        </w:rPr>
        <w:t>Th</w:t>
      </w:r>
      <w:r w:rsidR="00F0013A" w:rsidRPr="00E52C29">
        <w:rPr>
          <w:rFonts w:cs="Arial"/>
          <w:szCs w:val="24"/>
        </w:rPr>
        <w:t xml:space="preserve">e plaintiff’s attorneys then had the sheriff serve the full </w:t>
      </w:r>
      <w:r w:rsidR="00FB0D9F" w:rsidRPr="00E52C29">
        <w:rPr>
          <w:rFonts w:cs="Arial"/>
          <w:szCs w:val="24"/>
        </w:rPr>
        <w:t>document</w:t>
      </w:r>
      <w:r>
        <w:rPr>
          <w:rFonts w:cs="Arial"/>
          <w:szCs w:val="24"/>
        </w:rPr>
        <w:t xml:space="preserve"> (</w:t>
      </w:r>
      <w:r w:rsidR="00462BB2" w:rsidRPr="00E52C29">
        <w:rPr>
          <w:rFonts w:cs="Arial"/>
          <w:szCs w:val="24"/>
        </w:rPr>
        <w:t xml:space="preserve">particulars of claim plus all the annexures) </w:t>
      </w:r>
      <w:r w:rsidR="00F0013A" w:rsidRPr="00E52C29">
        <w:rPr>
          <w:rFonts w:cs="Arial"/>
          <w:szCs w:val="24"/>
        </w:rPr>
        <w:t xml:space="preserve">on the </w:t>
      </w:r>
      <w:r w:rsidR="00C4431D" w:rsidRPr="00E52C29">
        <w:rPr>
          <w:rFonts w:cs="Arial"/>
          <w:szCs w:val="24"/>
        </w:rPr>
        <w:t>Wasilewsky</w:t>
      </w:r>
      <w:r w:rsidR="002A540F" w:rsidRPr="00E52C29">
        <w:rPr>
          <w:rFonts w:cs="Arial"/>
          <w:szCs w:val="24"/>
        </w:rPr>
        <w:t>’</w:t>
      </w:r>
      <w:r w:rsidR="00F0013A" w:rsidRPr="00E52C29">
        <w:rPr>
          <w:rFonts w:cs="Arial"/>
          <w:szCs w:val="24"/>
        </w:rPr>
        <w:t>s attorneys on 1 April 202</w:t>
      </w:r>
      <w:r w:rsidR="009C0AAA" w:rsidRPr="00E52C29">
        <w:rPr>
          <w:rFonts w:cs="Arial"/>
          <w:szCs w:val="24"/>
        </w:rPr>
        <w:t>2.</w:t>
      </w:r>
      <w:r w:rsidR="00FB0D9F" w:rsidRPr="00E52C29">
        <w:rPr>
          <w:rFonts w:cs="Arial"/>
          <w:szCs w:val="24"/>
        </w:rPr>
        <w:t xml:space="preserve"> According to Wasilewsky it is only on this date that the irregularity was cured.</w:t>
      </w:r>
    </w:p>
    <w:p w14:paraId="76C3076A" w14:textId="74CEA1BD" w:rsidR="00AA7B67" w:rsidRPr="00E52C29" w:rsidRDefault="00E52C29" w:rsidP="00F85F00">
      <w:pPr>
        <w:spacing w:after="360" w:line="480" w:lineRule="auto"/>
        <w:ind w:left="720" w:hanging="720"/>
        <w:jc w:val="both"/>
        <w:rPr>
          <w:rFonts w:cs="Arial"/>
          <w:szCs w:val="24"/>
        </w:rPr>
      </w:pPr>
      <w:r>
        <w:rPr>
          <w:rFonts w:cs="Arial"/>
          <w:szCs w:val="24"/>
        </w:rPr>
        <w:t>[7]</w:t>
      </w:r>
      <w:r>
        <w:rPr>
          <w:rFonts w:cs="Arial"/>
          <w:szCs w:val="24"/>
        </w:rPr>
        <w:tab/>
      </w:r>
      <w:r w:rsidR="00F57AE5" w:rsidRPr="00E52C29">
        <w:rPr>
          <w:rFonts w:cs="Arial"/>
          <w:szCs w:val="24"/>
        </w:rPr>
        <w:t>On 11 May the plaintiffs</w:t>
      </w:r>
      <w:r w:rsidR="002A540F" w:rsidRPr="00E52C29">
        <w:rPr>
          <w:rFonts w:cs="Arial"/>
          <w:szCs w:val="24"/>
        </w:rPr>
        <w:t>’</w:t>
      </w:r>
      <w:r w:rsidR="00F57AE5" w:rsidRPr="00E52C29">
        <w:rPr>
          <w:rFonts w:cs="Arial"/>
          <w:szCs w:val="24"/>
        </w:rPr>
        <w:t xml:space="preserve"> attorney served a notice of bar on Wasilewsky</w:t>
      </w:r>
      <w:r w:rsidR="00E327B2" w:rsidRPr="00E52C29">
        <w:rPr>
          <w:rFonts w:cs="Arial"/>
          <w:szCs w:val="24"/>
        </w:rPr>
        <w:t>’</w:t>
      </w:r>
      <w:r w:rsidR="00F57AE5" w:rsidRPr="00E52C29">
        <w:rPr>
          <w:rFonts w:cs="Arial"/>
          <w:szCs w:val="24"/>
        </w:rPr>
        <w:t xml:space="preserve">s attorney. The notice of bar required </w:t>
      </w:r>
      <w:r w:rsidR="00354632" w:rsidRPr="00E52C29">
        <w:rPr>
          <w:rFonts w:cs="Arial"/>
          <w:szCs w:val="24"/>
        </w:rPr>
        <w:t>Wasilewsky to file his plea within five days failing which he would be barred. Both parties agree that the last day for complian</w:t>
      </w:r>
      <w:r w:rsidR="00271ED1" w:rsidRPr="00E52C29">
        <w:rPr>
          <w:rFonts w:cs="Arial"/>
          <w:szCs w:val="24"/>
        </w:rPr>
        <w:t xml:space="preserve">ce was the 18 May 2022. </w:t>
      </w:r>
      <w:r w:rsidR="00C7692C" w:rsidRPr="00E52C29">
        <w:rPr>
          <w:rFonts w:cs="Arial"/>
          <w:szCs w:val="24"/>
        </w:rPr>
        <w:t>On that day Wasilewsky</w:t>
      </w:r>
      <w:r w:rsidR="00A347B9" w:rsidRPr="00E52C29">
        <w:rPr>
          <w:rFonts w:cs="Arial"/>
          <w:szCs w:val="24"/>
        </w:rPr>
        <w:t>’</w:t>
      </w:r>
      <w:r w:rsidR="00C7692C" w:rsidRPr="00E52C29">
        <w:rPr>
          <w:rFonts w:cs="Arial"/>
          <w:szCs w:val="24"/>
        </w:rPr>
        <w:t xml:space="preserve">s attorney served a plea, special </w:t>
      </w:r>
      <w:r w:rsidR="00D03F06" w:rsidRPr="00E52C29">
        <w:rPr>
          <w:rFonts w:cs="Arial"/>
          <w:szCs w:val="24"/>
        </w:rPr>
        <w:t>plea,</w:t>
      </w:r>
      <w:r w:rsidR="00C7692C" w:rsidRPr="00E52C29">
        <w:rPr>
          <w:rFonts w:cs="Arial"/>
          <w:szCs w:val="24"/>
        </w:rPr>
        <w:t xml:space="preserve"> and counterclaim on the plaint</w:t>
      </w:r>
      <w:r w:rsidR="00D12251" w:rsidRPr="00E52C29">
        <w:rPr>
          <w:rFonts w:cs="Arial"/>
          <w:szCs w:val="24"/>
        </w:rPr>
        <w:t>i</w:t>
      </w:r>
      <w:r w:rsidR="00C7692C" w:rsidRPr="00E52C29">
        <w:rPr>
          <w:rFonts w:cs="Arial"/>
          <w:szCs w:val="24"/>
        </w:rPr>
        <w:t>ffs</w:t>
      </w:r>
      <w:r w:rsidR="00D12251" w:rsidRPr="00E52C29">
        <w:rPr>
          <w:rFonts w:cs="Arial"/>
          <w:szCs w:val="24"/>
        </w:rPr>
        <w:t>’</w:t>
      </w:r>
      <w:r w:rsidR="00C7692C" w:rsidRPr="00E52C29">
        <w:rPr>
          <w:rFonts w:cs="Arial"/>
          <w:szCs w:val="24"/>
        </w:rPr>
        <w:t xml:space="preserve"> attorney.</w:t>
      </w:r>
      <w:r w:rsidR="00A2594A" w:rsidRPr="00E52C29">
        <w:rPr>
          <w:rFonts w:cs="Arial"/>
          <w:szCs w:val="24"/>
        </w:rPr>
        <w:t xml:space="preserve"> I will refer to the three as the defence pleadings. But she did not file the defence pleadings on CaseLines.</w:t>
      </w:r>
      <w:r w:rsidR="003E72FD" w:rsidRPr="00E52C29">
        <w:rPr>
          <w:rFonts w:cs="Arial"/>
          <w:szCs w:val="24"/>
        </w:rPr>
        <w:t xml:space="preserve"> She only did so on the following day. Wasilewsky</w:t>
      </w:r>
      <w:r w:rsidR="00A347B9" w:rsidRPr="00E52C29">
        <w:rPr>
          <w:rFonts w:cs="Arial"/>
          <w:szCs w:val="24"/>
        </w:rPr>
        <w:t>’</w:t>
      </w:r>
      <w:r w:rsidR="003E72FD" w:rsidRPr="00E52C29">
        <w:rPr>
          <w:rFonts w:cs="Arial"/>
          <w:szCs w:val="24"/>
        </w:rPr>
        <w:t xml:space="preserve">s attorney says she attempted </w:t>
      </w:r>
      <w:r w:rsidR="00BD509F" w:rsidRPr="00E52C29">
        <w:rPr>
          <w:rFonts w:cs="Arial"/>
          <w:szCs w:val="24"/>
        </w:rPr>
        <w:t xml:space="preserve">to file on CaseLines </w:t>
      </w:r>
      <w:r w:rsidR="00D03F06" w:rsidRPr="00E52C29">
        <w:rPr>
          <w:rFonts w:cs="Arial"/>
          <w:szCs w:val="24"/>
        </w:rPr>
        <w:t>o</w:t>
      </w:r>
      <w:r w:rsidR="00F3096B" w:rsidRPr="00E52C29">
        <w:rPr>
          <w:rFonts w:cs="Arial"/>
          <w:szCs w:val="24"/>
        </w:rPr>
        <w:t xml:space="preserve">n the same </w:t>
      </w:r>
      <w:r w:rsidR="005B77F7" w:rsidRPr="00E52C29">
        <w:rPr>
          <w:rFonts w:cs="Arial"/>
          <w:szCs w:val="24"/>
        </w:rPr>
        <w:t>day,</w:t>
      </w:r>
      <w:r w:rsidR="00F3096B" w:rsidRPr="00E52C29">
        <w:rPr>
          <w:rFonts w:cs="Arial"/>
          <w:szCs w:val="24"/>
        </w:rPr>
        <w:t xml:space="preserve"> </w:t>
      </w:r>
      <w:r w:rsidR="00BD509F" w:rsidRPr="00E52C29">
        <w:rPr>
          <w:rFonts w:cs="Arial"/>
          <w:szCs w:val="24"/>
        </w:rPr>
        <w:t>but the service was down and she was unable to do so. It was only on the following day that she was able to do so.</w:t>
      </w:r>
    </w:p>
    <w:p w14:paraId="354601B8" w14:textId="03BD2AA6" w:rsidR="0084748E" w:rsidRPr="00E52C29" w:rsidRDefault="00E52C29" w:rsidP="00F85F00">
      <w:pPr>
        <w:spacing w:after="360" w:line="480" w:lineRule="auto"/>
        <w:ind w:left="720" w:hanging="720"/>
        <w:jc w:val="both"/>
        <w:rPr>
          <w:rFonts w:cs="Arial"/>
          <w:szCs w:val="24"/>
        </w:rPr>
      </w:pPr>
      <w:r>
        <w:rPr>
          <w:rFonts w:cs="Arial"/>
          <w:szCs w:val="24"/>
        </w:rPr>
        <w:t>[8]</w:t>
      </w:r>
      <w:r>
        <w:rPr>
          <w:rFonts w:cs="Arial"/>
          <w:szCs w:val="24"/>
        </w:rPr>
        <w:tab/>
      </w:r>
      <w:r w:rsidR="00AA7B67" w:rsidRPr="00E52C29">
        <w:rPr>
          <w:rFonts w:cs="Arial"/>
          <w:szCs w:val="24"/>
        </w:rPr>
        <w:t xml:space="preserve">It is common cause that </w:t>
      </w:r>
      <w:r w:rsidR="000A2AB1" w:rsidRPr="00E52C29">
        <w:rPr>
          <w:rFonts w:cs="Arial"/>
          <w:szCs w:val="24"/>
        </w:rPr>
        <w:t>in terms of the rule</w:t>
      </w:r>
      <w:r w:rsidR="00284E7B" w:rsidRPr="00E52C29">
        <w:rPr>
          <w:rFonts w:cs="Arial"/>
          <w:szCs w:val="24"/>
        </w:rPr>
        <w:t>s</w:t>
      </w:r>
      <w:r w:rsidR="000A2AB1" w:rsidRPr="00E52C29">
        <w:rPr>
          <w:rFonts w:cs="Arial"/>
          <w:szCs w:val="24"/>
        </w:rPr>
        <w:t xml:space="preserve"> the defence pleadings had to be delivered</w:t>
      </w:r>
      <w:r w:rsidR="00284E7B" w:rsidRPr="00E52C29">
        <w:rPr>
          <w:rFonts w:cs="Arial"/>
          <w:szCs w:val="24"/>
        </w:rPr>
        <w:t xml:space="preserve">. </w:t>
      </w:r>
      <w:r w:rsidR="00F3096B" w:rsidRPr="00E52C29">
        <w:rPr>
          <w:rFonts w:cs="Arial"/>
          <w:szCs w:val="24"/>
        </w:rPr>
        <w:t>Delivery</w:t>
      </w:r>
      <w:r w:rsidR="00284E7B" w:rsidRPr="00E52C29">
        <w:rPr>
          <w:rFonts w:cs="Arial"/>
          <w:szCs w:val="24"/>
        </w:rPr>
        <w:t xml:space="preserve"> means service on the other party and filing with the court. Filing </w:t>
      </w:r>
      <w:r w:rsidR="00284E7B" w:rsidRPr="00E52C29">
        <w:rPr>
          <w:rFonts w:cs="Arial"/>
          <w:szCs w:val="24"/>
        </w:rPr>
        <w:lastRenderedPageBreak/>
        <w:t>on CaseLines suffices as filing with the court. But because the filing took place only on the 19</w:t>
      </w:r>
      <w:r w:rsidR="00284E7B" w:rsidRPr="00E52C29">
        <w:rPr>
          <w:rFonts w:cs="Arial"/>
          <w:szCs w:val="24"/>
          <w:vertAlign w:val="superscript"/>
        </w:rPr>
        <w:t>th</w:t>
      </w:r>
      <w:r w:rsidR="00284E7B" w:rsidRPr="00E52C29">
        <w:rPr>
          <w:rFonts w:cs="Arial"/>
          <w:szCs w:val="24"/>
        </w:rPr>
        <w:t xml:space="preserve"> May</w:t>
      </w:r>
      <w:r w:rsidR="0075335F" w:rsidRPr="00E52C29">
        <w:rPr>
          <w:rFonts w:cs="Arial"/>
          <w:szCs w:val="24"/>
        </w:rPr>
        <w:t xml:space="preserve"> not 18</w:t>
      </w:r>
      <w:r w:rsidR="0075335F" w:rsidRPr="00E52C29">
        <w:rPr>
          <w:rFonts w:cs="Arial"/>
          <w:szCs w:val="24"/>
          <w:vertAlign w:val="superscript"/>
        </w:rPr>
        <w:t>th</w:t>
      </w:r>
      <w:r w:rsidR="0075335F" w:rsidRPr="00E52C29">
        <w:rPr>
          <w:rFonts w:cs="Arial"/>
          <w:szCs w:val="24"/>
        </w:rPr>
        <w:t xml:space="preserve"> </w:t>
      </w:r>
      <w:r w:rsidR="005B77F7" w:rsidRPr="00E52C29">
        <w:rPr>
          <w:rFonts w:cs="Arial"/>
          <w:szCs w:val="24"/>
        </w:rPr>
        <w:t>May, delivery</w:t>
      </w:r>
      <w:r w:rsidR="00497909" w:rsidRPr="00E52C29">
        <w:rPr>
          <w:rFonts w:cs="Arial"/>
          <w:szCs w:val="24"/>
        </w:rPr>
        <w:t xml:space="preserve"> had not taken place within the five days and hence Wasilew</w:t>
      </w:r>
      <w:r w:rsidR="0006517D" w:rsidRPr="00E52C29">
        <w:rPr>
          <w:rFonts w:cs="Arial"/>
          <w:szCs w:val="24"/>
        </w:rPr>
        <w:t>s</w:t>
      </w:r>
      <w:r w:rsidR="00497909" w:rsidRPr="00E52C29">
        <w:rPr>
          <w:rFonts w:cs="Arial"/>
          <w:szCs w:val="24"/>
        </w:rPr>
        <w:t>ky was barred.</w:t>
      </w:r>
    </w:p>
    <w:p w14:paraId="0988B950" w14:textId="1F223EB0" w:rsidR="00F57AE5" w:rsidRPr="00E52C29" w:rsidRDefault="00E52C29" w:rsidP="00F85F00">
      <w:pPr>
        <w:spacing w:after="360" w:line="480" w:lineRule="auto"/>
        <w:ind w:left="720" w:hanging="720"/>
        <w:jc w:val="both"/>
        <w:rPr>
          <w:rFonts w:cs="Arial"/>
          <w:b/>
          <w:bCs/>
          <w:szCs w:val="24"/>
        </w:rPr>
      </w:pPr>
      <w:r>
        <w:rPr>
          <w:rFonts w:cs="Arial"/>
          <w:szCs w:val="24"/>
        </w:rPr>
        <w:t>[9]</w:t>
      </w:r>
      <w:r>
        <w:rPr>
          <w:rFonts w:cs="Arial"/>
          <w:szCs w:val="24"/>
        </w:rPr>
        <w:tab/>
      </w:r>
      <w:r w:rsidR="0084748E" w:rsidRPr="00E52C29">
        <w:rPr>
          <w:rFonts w:cs="Arial"/>
          <w:szCs w:val="24"/>
        </w:rPr>
        <w:t>Wasilewsky</w:t>
      </w:r>
      <w:r w:rsidR="00B474EE" w:rsidRPr="00E52C29">
        <w:rPr>
          <w:rFonts w:cs="Arial"/>
          <w:szCs w:val="24"/>
        </w:rPr>
        <w:t>’</w:t>
      </w:r>
      <w:r w:rsidR="0084748E" w:rsidRPr="00E52C29">
        <w:rPr>
          <w:rFonts w:cs="Arial"/>
          <w:szCs w:val="24"/>
        </w:rPr>
        <w:t xml:space="preserve">s attorney then </w:t>
      </w:r>
      <w:r w:rsidR="00461B0F" w:rsidRPr="00E52C29">
        <w:rPr>
          <w:rFonts w:cs="Arial"/>
          <w:szCs w:val="24"/>
        </w:rPr>
        <w:t>wrote to the plaintiffs</w:t>
      </w:r>
      <w:r w:rsidR="00B474EE" w:rsidRPr="00E52C29">
        <w:rPr>
          <w:rFonts w:cs="Arial"/>
          <w:szCs w:val="24"/>
        </w:rPr>
        <w:t>’</w:t>
      </w:r>
      <w:r w:rsidR="00461B0F" w:rsidRPr="00E52C29">
        <w:rPr>
          <w:rFonts w:cs="Arial"/>
          <w:szCs w:val="24"/>
        </w:rPr>
        <w:t xml:space="preserve"> attorney to explain the difficulty she had with accessing CaseLines. The plaintiffs attorney</w:t>
      </w:r>
      <w:r w:rsidR="00376DD0" w:rsidRPr="00E52C29">
        <w:rPr>
          <w:rFonts w:cs="Arial"/>
          <w:szCs w:val="24"/>
        </w:rPr>
        <w:t>’s view was that there had not been proper compliance with the rule on delivery and that Wasile</w:t>
      </w:r>
      <w:r w:rsidR="008057DD" w:rsidRPr="00E52C29">
        <w:rPr>
          <w:rFonts w:cs="Arial"/>
          <w:szCs w:val="24"/>
        </w:rPr>
        <w:t xml:space="preserve">wsky was </w:t>
      </w:r>
      <w:r w:rsidR="00B474EE" w:rsidRPr="00E52C29">
        <w:rPr>
          <w:rFonts w:cs="Arial"/>
          <w:szCs w:val="24"/>
        </w:rPr>
        <w:t xml:space="preserve">thus </w:t>
      </w:r>
      <w:r w:rsidR="008057DD" w:rsidRPr="00E52C29">
        <w:rPr>
          <w:rFonts w:cs="Arial"/>
          <w:szCs w:val="24"/>
        </w:rPr>
        <w:t>barred. Wasilewsky</w:t>
      </w:r>
      <w:r w:rsidR="0006517D" w:rsidRPr="00E52C29">
        <w:rPr>
          <w:rFonts w:cs="Arial"/>
          <w:szCs w:val="24"/>
        </w:rPr>
        <w:t>’</w:t>
      </w:r>
      <w:r w:rsidR="008057DD" w:rsidRPr="00E52C29">
        <w:rPr>
          <w:rFonts w:cs="Arial"/>
          <w:szCs w:val="24"/>
        </w:rPr>
        <w:t xml:space="preserve">s attorney then brought this application in terms of Rule 27 </w:t>
      </w:r>
      <w:r w:rsidR="00261CED" w:rsidRPr="00E52C29">
        <w:rPr>
          <w:rFonts w:cs="Arial"/>
          <w:szCs w:val="24"/>
        </w:rPr>
        <w:t xml:space="preserve">for the bar to be lifted </w:t>
      </w:r>
      <w:r w:rsidR="008057DD" w:rsidRPr="00E52C29">
        <w:rPr>
          <w:rFonts w:cs="Arial"/>
          <w:szCs w:val="24"/>
        </w:rPr>
        <w:t xml:space="preserve">which </w:t>
      </w:r>
      <w:r w:rsidR="00261CED" w:rsidRPr="00E52C29">
        <w:rPr>
          <w:rFonts w:cs="Arial"/>
          <w:szCs w:val="24"/>
        </w:rPr>
        <w:t xml:space="preserve">requires a showing of good cause. </w:t>
      </w:r>
      <w:r w:rsidR="000A2AB1" w:rsidRPr="00E52C29">
        <w:rPr>
          <w:rFonts w:cs="Arial"/>
          <w:szCs w:val="24"/>
        </w:rPr>
        <w:t xml:space="preserve"> </w:t>
      </w:r>
      <w:r w:rsidR="00A2594A" w:rsidRPr="00E52C29">
        <w:rPr>
          <w:rFonts w:cs="Arial"/>
          <w:szCs w:val="24"/>
        </w:rPr>
        <w:t xml:space="preserve"> </w:t>
      </w:r>
    </w:p>
    <w:p w14:paraId="1A105B46" w14:textId="4162D93C" w:rsidR="00B4284A" w:rsidRPr="00B4284A" w:rsidRDefault="00B4284A" w:rsidP="00F85F00">
      <w:pPr>
        <w:pStyle w:val="ListParagraph"/>
        <w:spacing w:after="360" w:line="480" w:lineRule="auto"/>
        <w:ind w:left="360" w:firstLine="360"/>
        <w:jc w:val="both"/>
        <w:rPr>
          <w:rFonts w:cs="Arial"/>
          <w:b/>
          <w:bCs/>
          <w:szCs w:val="24"/>
        </w:rPr>
      </w:pPr>
      <w:r w:rsidRPr="00B4284A">
        <w:rPr>
          <w:rFonts w:cs="Arial"/>
          <w:b/>
          <w:bCs/>
          <w:szCs w:val="24"/>
        </w:rPr>
        <w:t>Relevant start date</w:t>
      </w:r>
    </w:p>
    <w:p w14:paraId="611C2FD3" w14:textId="24D6C8D0" w:rsidR="0046123F" w:rsidRPr="00E52C29" w:rsidRDefault="00E52C29" w:rsidP="00F85F00">
      <w:pPr>
        <w:spacing w:after="360" w:line="480" w:lineRule="auto"/>
        <w:ind w:left="720" w:hanging="720"/>
        <w:jc w:val="both"/>
        <w:rPr>
          <w:rFonts w:cs="Arial"/>
          <w:szCs w:val="24"/>
        </w:rPr>
      </w:pPr>
      <w:r>
        <w:rPr>
          <w:rFonts w:cs="Arial"/>
          <w:szCs w:val="24"/>
        </w:rPr>
        <w:t>[10]</w:t>
      </w:r>
      <w:r>
        <w:rPr>
          <w:rFonts w:cs="Arial"/>
          <w:szCs w:val="24"/>
        </w:rPr>
        <w:tab/>
      </w:r>
      <w:r w:rsidR="00830B49" w:rsidRPr="00E52C29">
        <w:rPr>
          <w:rFonts w:cs="Arial"/>
          <w:szCs w:val="24"/>
        </w:rPr>
        <w:t xml:space="preserve">As the law currently stands, the </w:t>
      </w:r>
      <w:r w:rsidR="009C6ECC" w:rsidRPr="00E52C29">
        <w:rPr>
          <w:rFonts w:cs="Arial"/>
          <w:szCs w:val="24"/>
        </w:rPr>
        <w:t>consideration of good cause requires a</w:t>
      </w:r>
      <w:r w:rsidR="004E0330" w:rsidRPr="00E52C29">
        <w:rPr>
          <w:rFonts w:cs="Arial"/>
          <w:szCs w:val="24"/>
        </w:rPr>
        <w:t xml:space="preserve">n accounting by the applicant wanting </w:t>
      </w:r>
      <w:r w:rsidR="007B365B" w:rsidRPr="00E52C29">
        <w:rPr>
          <w:rFonts w:cs="Arial"/>
          <w:szCs w:val="24"/>
        </w:rPr>
        <w:t xml:space="preserve">to uplift the bar </w:t>
      </w:r>
      <w:r w:rsidR="00996B29" w:rsidRPr="00E52C29">
        <w:rPr>
          <w:rFonts w:cs="Arial"/>
          <w:szCs w:val="24"/>
        </w:rPr>
        <w:t xml:space="preserve">for its default in </w:t>
      </w:r>
      <w:r w:rsidR="00DB50F4" w:rsidRPr="00E52C29">
        <w:rPr>
          <w:rFonts w:cs="Arial"/>
          <w:szCs w:val="24"/>
        </w:rPr>
        <w:t xml:space="preserve">two time periods. </w:t>
      </w:r>
      <w:r w:rsidR="00584D0A" w:rsidRPr="00E52C29">
        <w:rPr>
          <w:rFonts w:cs="Arial"/>
          <w:szCs w:val="24"/>
        </w:rPr>
        <w:t xml:space="preserve">The first is the time period between the </w:t>
      </w:r>
      <w:r w:rsidR="004263DE" w:rsidRPr="00E52C29">
        <w:rPr>
          <w:rFonts w:cs="Arial"/>
          <w:szCs w:val="24"/>
        </w:rPr>
        <w:t xml:space="preserve">delivery </w:t>
      </w:r>
      <w:r w:rsidR="00584D0A" w:rsidRPr="00E52C29">
        <w:rPr>
          <w:rFonts w:cs="Arial"/>
          <w:szCs w:val="24"/>
        </w:rPr>
        <w:t xml:space="preserve">of the summons and the </w:t>
      </w:r>
      <w:r w:rsidR="004E0330" w:rsidRPr="00E52C29">
        <w:rPr>
          <w:rFonts w:cs="Arial"/>
          <w:szCs w:val="24"/>
        </w:rPr>
        <w:t>notice of bar. The second is the time period</w:t>
      </w:r>
      <w:r w:rsidR="00996B29" w:rsidRPr="00E52C29">
        <w:rPr>
          <w:rFonts w:cs="Arial"/>
          <w:szCs w:val="24"/>
        </w:rPr>
        <w:t xml:space="preserve"> </w:t>
      </w:r>
      <w:r w:rsidR="00695EC6" w:rsidRPr="00E52C29">
        <w:rPr>
          <w:rFonts w:cs="Arial"/>
          <w:szCs w:val="24"/>
        </w:rPr>
        <w:t>that elapsed after the applicant has become barred.</w:t>
      </w:r>
      <w:r w:rsidR="004263DE" w:rsidRPr="00E52C29">
        <w:rPr>
          <w:rFonts w:cs="Arial"/>
          <w:szCs w:val="24"/>
        </w:rPr>
        <w:t xml:space="preserve"> In this case the</w:t>
      </w:r>
      <w:r w:rsidR="00D637AF" w:rsidRPr="00E52C29">
        <w:rPr>
          <w:rFonts w:cs="Arial"/>
          <w:szCs w:val="24"/>
        </w:rPr>
        <w:t xml:space="preserve">re is a dispute over the time that has elapsed in the first period. This is because the parties do not agree when the plaintiffs </w:t>
      </w:r>
      <w:r w:rsidR="0046123F" w:rsidRPr="00E52C29">
        <w:rPr>
          <w:rFonts w:cs="Arial"/>
          <w:szCs w:val="24"/>
        </w:rPr>
        <w:t>delivered a summons that complied with the rules. This is why I needed to give a detailed history of the filing chronology.</w:t>
      </w:r>
      <w:r w:rsidR="008B3DAC" w:rsidRPr="00E52C29">
        <w:rPr>
          <w:rFonts w:cs="Arial"/>
          <w:szCs w:val="24"/>
        </w:rPr>
        <w:t xml:space="preserve"> At issue is when the clock started ticking for the applicant to file its plea.</w:t>
      </w:r>
      <w:r w:rsidR="009C0AAA" w:rsidRPr="00E52C29">
        <w:rPr>
          <w:rFonts w:cs="Arial"/>
          <w:szCs w:val="24"/>
        </w:rPr>
        <w:t xml:space="preserve"> </w:t>
      </w:r>
    </w:p>
    <w:p w14:paraId="5BFD4A7C" w14:textId="47FAA15B" w:rsidR="009C0AAA" w:rsidRPr="00E52C29" w:rsidRDefault="00E52C29" w:rsidP="00F85F00">
      <w:pPr>
        <w:spacing w:after="360" w:line="480" w:lineRule="auto"/>
        <w:ind w:left="720" w:hanging="720"/>
        <w:jc w:val="both"/>
        <w:rPr>
          <w:rFonts w:cs="Arial"/>
          <w:szCs w:val="24"/>
        </w:rPr>
      </w:pPr>
      <w:r>
        <w:rPr>
          <w:rFonts w:cs="Arial"/>
          <w:szCs w:val="24"/>
        </w:rPr>
        <w:t>[11]</w:t>
      </w:r>
      <w:r>
        <w:rPr>
          <w:rFonts w:cs="Arial"/>
          <w:szCs w:val="24"/>
        </w:rPr>
        <w:tab/>
      </w:r>
      <w:r w:rsidR="009C0AAA" w:rsidRPr="00E52C29">
        <w:rPr>
          <w:rFonts w:cs="Arial"/>
          <w:szCs w:val="24"/>
        </w:rPr>
        <w:t>There are three candidate start dates to consider.</w:t>
      </w:r>
      <w:r w:rsidR="00AF2DF1" w:rsidRPr="00E52C29">
        <w:rPr>
          <w:rFonts w:cs="Arial"/>
          <w:szCs w:val="24"/>
        </w:rPr>
        <w:t xml:space="preserve"> The</w:t>
      </w:r>
      <w:r w:rsidR="00831531" w:rsidRPr="00E52C29">
        <w:rPr>
          <w:rFonts w:cs="Arial"/>
          <w:szCs w:val="24"/>
        </w:rPr>
        <w:t xml:space="preserve"> plaintiffs</w:t>
      </w:r>
      <w:r w:rsidR="00AF2DF1" w:rsidRPr="00E52C29">
        <w:rPr>
          <w:rFonts w:cs="Arial"/>
          <w:szCs w:val="24"/>
        </w:rPr>
        <w:t xml:space="preserve"> point out that Wasilewsky filed his notice of intention to defend the </w:t>
      </w:r>
      <w:r w:rsidR="00D7416A" w:rsidRPr="00E52C29">
        <w:rPr>
          <w:rFonts w:cs="Arial"/>
          <w:szCs w:val="24"/>
        </w:rPr>
        <w:t xml:space="preserve">action proceedings on 8 March 2022. Ordinarily in terms of the rules the plea should have been filed within </w:t>
      </w:r>
      <w:r w:rsidR="00D7416A" w:rsidRPr="00E52C29">
        <w:rPr>
          <w:rFonts w:cs="Arial"/>
          <w:szCs w:val="24"/>
        </w:rPr>
        <w:lastRenderedPageBreak/>
        <w:t xml:space="preserve">20 days thereof. Hence the first candidate date would be </w:t>
      </w:r>
      <w:r w:rsidR="00A7283D" w:rsidRPr="00E52C29">
        <w:rPr>
          <w:rFonts w:cs="Arial"/>
          <w:szCs w:val="24"/>
        </w:rPr>
        <w:t xml:space="preserve">12 April. </w:t>
      </w:r>
      <w:r w:rsidR="006557C6" w:rsidRPr="00E52C29">
        <w:rPr>
          <w:rFonts w:cs="Arial"/>
          <w:szCs w:val="24"/>
        </w:rPr>
        <w:t xml:space="preserve">In the alternative </w:t>
      </w:r>
      <w:r w:rsidR="009C0AAA" w:rsidRPr="00E52C29">
        <w:rPr>
          <w:rFonts w:cs="Arial"/>
          <w:szCs w:val="24"/>
        </w:rPr>
        <w:t xml:space="preserve">the plaintiffs suggest that </w:t>
      </w:r>
      <w:r w:rsidR="006557C6" w:rsidRPr="00E52C29">
        <w:rPr>
          <w:rFonts w:cs="Arial"/>
          <w:szCs w:val="24"/>
        </w:rPr>
        <w:t xml:space="preserve">even </w:t>
      </w:r>
      <w:r w:rsidR="009C0AAA" w:rsidRPr="00E52C29">
        <w:rPr>
          <w:rFonts w:cs="Arial"/>
          <w:szCs w:val="24"/>
        </w:rPr>
        <w:t>if the summons was treated as incomplete at that time</w:t>
      </w:r>
      <w:r w:rsidR="00D93D52" w:rsidRPr="00E52C29">
        <w:rPr>
          <w:rFonts w:cs="Arial"/>
          <w:szCs w:val="24"/>
        </w:rPr>
        <w:t>,</w:t>
      </w:r>
      <w:r w:rsidR="009C0AAA" w:rsidRPr="00E52C29">
        <w:rPr>
          <w:rFonts w:cs="Arial"/>
          <w:szCs w:val="24"/>
        </w:rPr>
        <w:t xml:space="preserve"> then the relevant start</w:t>
      </w:r>
      <w:r w:rsidR="002B6B94" w:rsidRPr="00E52C29">
        <w:rPr>
          <w:rFonts w:cs="Arial"/>
          <w:szCs w:val="24"/>
        </w:rPr>
        <w:t xml:space="preserve"> </w:t>
      </w:r>
      <w:r w:rsidR="009C0AAA" w:rsidRPr="00E52C29">
        <w:rPr>
          <w:rFonts w:cs="Arial"/>
          <w:szCs w:val="24"/>
        </w:rPr>
        <w:t xml:space="preserve">date would be 15 March when the full summons was loaded on to </w:t>
      </w:r>
      <w:r w:rsidR="009729B9" w:rsidRPr="00E52C29">
        <w:rPr>
          <w:rFonts w:cs="Arial"/>
          <w:szCs w:val="24"/>
        </w:rPr>
        <w:t>CaseLines</w:t>
      </w:r>
      <w:r w:rsidR="009C0AAA" w:rsidRPr="00E52C29">
        <w:rPr>
          <w:rFonts w:cs="Arial"/>
          <w:szCs w:val="24"/>
        </w:rPr>
        <w:t xml:space="preserve"> and thus accessible to the first defendant’s attorney. </w:t>
      </w:r>
    </w:p>
    <w:p w14:paraId="4FFAE8CD" w14:textId="6DBB14FB" w:rsidR="009C0AAA" w:rsidRPr="00E52C29" w:rsidRDefault="00E52C29" w:rsidP="00F85F00">
      <w:pPr>
        <w:spacing w:after="360" w:line="480" w:lineRule="auto"/>
        <w:ind w:left="720" w:hanging="720"/>
        <w:jc w:val="both"/>
        <w:rPr>
          <w:rFonts w:cs="Arial"/>
          <w:szCs w:val="24"/>
        </w:rPr>
      </w:pPr>
      <w:r>
        <w:rPr>
          <w:rFonts w:cs="Arial"/>
          <w:szCs w:val="24"/>
        </w:rPr>
        <w:t>[12]</w:t>
      </w:r>
      <w:r>
        <w:rPr>
          <w:rFonts w:cs="Arial"/>
          <w:szCs w:val="24"/>
        </w:rPr>
        <w:tab/>
      </w:r>
      <w:r w:rsidR="0019364B" w:rsidRPr="00E52C29">
        <w:rPr>
          <w:rFonts w:cs="Arial"/>
          <w:szCs w:val="24"/>
        </w:rPr>
        <w:t xml:space="preserve">But Wasilewsky contends </w:t>
      </w:r>
      <w:r w:rsidR="009C0AAA" w:rsidRPr="00E52C29">
        <w:rPr>
          <w:rFonts w:cs="Arial"/>
          <w:szCs w:val="24"/>
        </w:rPr>
        <w:t xml:space="preserve">that the clock only started running when the summons had been delivered in terms of the rules. This meant not only </w:t>
      </w:r>
      <w:r w:rsidR="001328EC" w:rsidRPr="00E52C29">
        <w:rPr>
          <w:rFonts w:cs="Arial"/>
          <w:szCs w:val="24"/>
        </w:rPr>
        <w:t>filling</w:t>
      </w:r>
      <w:r w:rsidR="009C0AAA" w:rsidRPr="00E52C29">
        <w:rPr>
          <w:rFonts w:cs="Arial"/>
          <w:szCs w:val="24"/>
        </w:rPr>
        <w:t xml:space="preserve"> on </w:t>
      </w:r>
      <w:r w:rsidR="009729B9" w:rsidRPr="00E52C29">
        <w:rPr>
          <w:rFonts w:cs="Arial"/>
          <w:szCs w:val="24"/>
        </w:rPr>
        <w:t>CaseLines</w:t>
      </w:r>
      <w:r w:rsidR="009C0AAA" w:rsidRPr="00E52C29">
        <w:rPr>
          <w:rFonts w:cs="Arial"/>
          <w:szCs w:val="24"/>
        </w:rPr>
        <w:t xml:space="preserve"> but also service on</w:t>
      </w:r>
      <w:r w:rsidR="00D93D52" w:rsidRPr="00E52C29">
        <w:rPr>
          <w:rFonts w:cs="Arial"/>
          <w:szCs w:val="24"/>
        </w:rPr>
        <w:t xml:space="preserve"> his attorney</w:t>
      </w:r>
      <w:r w:rsidR="009C0AAA" w:rsidRPr="00E52C29">
        <w:rPr>
          <w:rFonts w:cs="Arial"/>
          <w:szCs w:val="24"/>
        </w:rPr>
        <w:t xml:space="preserve">. Since the latter only occurred </w:t>
      </w:r>
      <w:r w:rsidR="00BF4922" w:rsidRPr="00E52C29">
        <w:rPr>
          <w:rFonts w:cs="Arial"/>
          <w:szCs w:val="24"/>
        </w:rPr>
        <w:t xml:space="preserve">on 1 April 2022 that is the relevant start date for the </w:t>
      </w:r>
      <w:r w:rsidRPr="00E52C29">
        <w:rPr>
          <w:rFonts w:cs="Arial"/>
          <w:szCs w:val="24"/>
        </w:rPr>
        <w:t>20-day</w:t>
      </w:r>
      <w:r w:rsidR="00BF4922" w:rsidRPr="00E52C29">
        <w:rPr>
          <w:rFonts w:cs="Arial"/>
          <w:szCs w:val="24"/>
        </w:rPr>
        <w:t xml:space="preserve"> period to run.</w:t>
      </w:r>
      <w:r w:rsidR="00654E87" w:rsidRPr="00E52C29">
        <w:rPr>
          <w:rFonts w:cs="Arial"/>
          <w:szCs w:val="24"/>
        </w:rPr>
        <w:t xml:space="preserve"> On that basis he should have delivered his defence documents by </w:t>
      </w:r>
      <w:r w:rsidR="00C83274" w:rsidRPr="00E52C29">
        <w:rPr>
          <w:rFonts w:cs="Arial"/>
          <w:szCs w:val="24"/>
        </w:rPr>
        <w:t>5 May</w:t>
      </w:r>
      <w:r w:rsidR="00654E87" w:rsidRPr="00E52C29">
        <w:rPr>
          <w:rFonts w:cs="Arial"/>
          <w:szCs w:val="24"/>
        </w:rPr>
        <w:t>.</w:t>
      </w:r>
    </w:p>
    <w:p w14:paraId="7708C629" w14:textId="2AE7642B" w:rsidR="00F42F82" w:rsidRPr="00E52C29" w:rsidRDefault="00E52C29" w:rsidP="00F85F00">
      <w:pPr>
        <w:spacing w:after="360" w:line="480" w:lineRule="auto"/>
        <w:ind w:left="720" w:hanging="720"/>
        <w:jc w:val="both"/>
        <w:rPr>
          <w:rFonts w:cs="Arial"/>
          <w:szCs w:val="24"/>
        </w:rPr>
      </w:pPr>
      <w:r>
        <w:rPr>
          <w:rFonts w:cs="Arial"/>
          <w:szCs w:val="24"/>
        </w:rPr>
        <w:t>[13]</w:t>
      </w:r>
      <w:r>
        <w:rPr>
          <w:rFonts w:cs="Arial"/>
          <w:szCs w:val="24"/>
        </w:rPr>
        <w:tab/>
      </w:r>
      <w:r w:rsidR="00F42F82" w:rsidRPr="00E52C29">
        <w:rPr>
          <w:rFonts w:cs="Arial"/>
          <w:szCs w:val="24"/>
        </w:rPr>
        <w:t xml:space="preserve">In this case I have decided that the </w:t>
      </w:r>
      <w:r w:rsidR="00193C8C" w:rsidRPr="00E52C29">
        <w:rPr>
          <w:rFonts w:cs="Arial"/>
          <w:szCs w:val="24"/>
        </w:rPr>
        <w:t xml:space="preserve">start date was 1 April 2022. Only on that date had the plaintiffs properly complied with the delivery rule. If Wasilewsky is being held to this standard for compliance </w:t>
      </w:r>
      <w:r w:rsidR="00FA7641" w:rsidRPr="00E52C29">
        <w:rPr>
          <w:rFonts w:cs="Arial"/>
          <w:szCs w:val="24"/>
        </w:rPr>
        <w:t>of delivery</w:t>
      </w:r>
      <w:r w:rsidR="001F2151" w:rsidRPr="00E52C29">
        <w:rPr>
          <w:rFonts w:cs="Arial"/>
          <w:szCs w:val="24"/>
        </w:rPr>
        <w:t xml:space="preserve"> </w:t>
      </w:r>
      <w:r w:rsidR="00193C8C" w:rsidRPr="00E52C29">
        <w:rPr>
          <w:rFonts w:cs="Arial"/>
          <w:szCs w:val="24"/>
        </w:rPr>
        <w:t xml:space="preserve">his </w:t>
      </w:r>
      <w:r w:rsidR="00894862" w:rsidRPr="00E52C29">
        <w:rPr>
          <w:rFonts w:cs="Arial"/>
          <w:szCs w:val="24"/>
        </w:rPr>
        <w:t>defence documents so must the plaintiffs</w:t>
      </w:r>
      <w:r w:rsidR="007115F2" w:rsidRPr="00E52C29">
        <w:rPr>
          <w:rFonts w:cs="Arial"/>
          <w:szCs w:val="24"/>
        </w:rPr>
        <w:t xml:space="preserve"> f</w:t>
      </w:r>
      <w:r w:rsidR="00EC4E79" w:rsidRPr="00E52C29">
        <w:rPr>
          <w:rFonts w:cs="Arial"/>
          <w:szCs w:val="24"/>
        </w:rPr>
        <w:t>or</w:t>
      </w:r>
      <w:r w:rsidR="007115F2" w:rsidRPr="00E52C29">
        <w:rPr>
          <w:rFonts w:cs="Arial"/>
          <w:szCs w:val="24"/>
        </w:rPr>
        <w:t xml:space="preserve"> their particulars of claim</w:t>
      </w:r>
      <w:r w:rsidR="00894862" w:rsidRPr="00E52C29">
        <w:rPr>
          <w:rFonts w:cs="Arial"/>
          <w:szCs w:val="24"/>
        </w:rPr>
        <w:t>. Thus</w:t>
      </w:r>
      <w:r w:rsidR="00EC4E79" w:rsidRPr="00E52C29">
        <w:rPr>
          <w:rFonts w:cs="Arial"/>
          <w:szCs w:val="24"/>
        </w:rPr>
        <w:t>,</w:t>
      </w:r>
      <w:r w:rsidR="00894862" w:rsidRPr="00E52C29">
        <w:rPr>
          <w:rFonts w:cs="Arial"/>
          <w:szCs w:val="24"/>
        </w:rPr>
        <w:t xml:space="preserve"> following this approach</w:t>
      </w:r>
      <w:r w:rsidR="00EC4E79" w:rsidRPr="00E52C29">
        <w:rPr>
          <w:rFonts w:cs="Arial"/>
          <w:szCs w:val="24"/>
        </w:rPr>
        <w:t>,</w:t>
      </w:r>
      <w:r w:rsidR="00894862" w:rsidRPr="00E52C29">
        <w:rPr>
          <w:rFonts w:cs="Arial"/>
          <w:szCs w:val="24"/>
        </w:rPr>
        <w:t xml:space="preserve"> the defence documents </w:t>
      </w:r>
      <w:r w:rsidR="00D5176A" w:rsidRPr="00E52C29">
        <w:rPr>
          <w:rFonts w:cs="Arial"/>
          <w:szCs w:val="24"/>
        </w:rPr>
        <w:t xml:space="preserve">should have been delivered by </w:t>
      </w:r>
      <w:r w:rsidR="007115F2" w:rsidRPr="00E52C29">
        <w:rPr>
          <w:rFonts w:cs="Arial"/>
          <w:szCs w:val="24"/>
        </w:rPr>
        <w:t>5 May</w:t>
      </w:r>
      <w:r w:rsidR="00CA6914" w:rsidRPr="00E52C29">
        <w:rPr>
          <w:rFonts w:cs="Arial"/>
          <w:szCs w:val="24"/>
        </w:rPr>
        <w:t>. Notice of bar was</w:t>
      </w:r>
      <w:r w:rsidR="00F735CF" w:rsidRPr="00E52C29">
        <w:rPr>
          <w:rFonts w:cs="Arial"/>
          <w:szCs w:val="24"/>
        </w:rPr>
        <w:t xml:space="preserve"> on 11 May.</w:t>
      </w:r>
      <w:r w:rsidR="00802D2B" w:rsidRPr="00E52C29">
        <w:rPr>
          <w:rFonts w:cs="Arial"/>
          <w:szCs w:val="24"/>
        </w:rPr>
        <w:t xml:space="preserve"> Effectively this was only four court days later. </w:t>
      </w:r>
      <w:r w:rsidR="00FA0EC6" w:rsidRPr="00E52C29">
        <w:rPr>
          <w:rFonts w:cs="Arial"/>
          <w:szCs w:val="24"/>
        </w:rPr>
        <w:t>Wasilewsk</w:t>
      </w:r>
      <w:r w:rsidR="00867C81" w:rsidRPr="00E52C29">
        <w:rPr>
          <w:rFonts w:cs="Arial"/>
          <w:szCs w:val="24"/>
        </w:rPr>
        <w:t>y</w:t>
      </w:r>
      <w:r w:rsidR="00FA0EC6" w:rsidRPr="00E52C29">
        <w:rPr>
          <w:rFonts w:cs="Arial"/>
          <w:szCs w:val="24"/>
        </w:rPr>
        <w:t>’s attorney complains that the plaintiffs</w:t>
      </w:r>
      <w:r w:rsidR="00802D2B" w:rsidRPr="00E52C29">
        <w:rPr>
          <w:rFonts w:cs="Arial"/>
          <w:szCs w:val="24"/>
        </w:rPr>
        <w:t>’</w:t>
      </w:r>
      <w:r w:rsidR="00FA0EC6" w:rsidRPr="00E52C29">
        <w:rPr>
          <w:rFonts w:cs="Arial"/>
          <w:szCs w:val="24"/>
        </w:rPr>
        <w:t xml:space="preserve"> attorney did not do her the courtesy of writing to</w:t>
      </w:r>
      <w:r>
        <w:rPr>
          <w:rFonts w:cs="Arial"/>
          <w:szCs w:val="24"/>
        </w:rPr>
        <w:t xml:space="preserve"> her to warn of</w:t>
      </w:r>
      <w:r w:rsidR="00FA0EC6" w:rsidRPr="00E52C29">
        <w:rPr>
          <w:rFonts w:cs="Arial"/>
          <w:szCs w:val="24"/>
        </w:rPr>
        <w:t xml:space="preserve"> the notice of bar before filing. </w:t>
      </w:r>
    </w:p>
    <w:p w14:paraId="351B0B3A" w14:textId="4200A327" w:rsidR="00F362BF" w:rsidRPr="00592AAE" w:rsidRDefault="00B31BDB" w:rsidP="00592AAE">
      <w:pPr>
        <w:spacing w:after="360" w:line="480" w:lineRule="auto"/>
        <w:ind w:firstLine="720"/>
        <w:jc w:val="both"/>
        <w:rPr>
          <w:rFonts w:cs="Arial"/>
          <w:b/>
          <w:bCs/>
          <w:szCs w:val="24"/>
        </w:rPr>
      </w:pPr>
      <w:r w:rsidRPr="00592AAE">
        <w:rPr>
          <w:rFonts w:cs="Arial"/>
          <w:b/>
          <w:bCs/>
          <w:szCs w:val="24"/>
        </w:rPr>
        <w:t>Legal requirements</w:t>
      </w:r>
      <w:r w:rsidR="00496089" w:rsidRPr="00592AAE">
        <w:rPr>
          <w:rFonts w:cs="Arial"/>
          <w:b/>
          <w:bCs/>
          <w:szCs w:val="24"/>
        </w:rPr>
        <w:t xml:space="preserve"> for uplifting of the bar</w:t>
      </w:r>
    </w:p>
    <w:p w14:paraId="1CE75CC0" w14:textId="35A5CC5C" w:rsidR="00496089" w:rsidRPr="00E52C29" w:rsidRDefault="00E52C29" w:rsidP="00F85F00">
      <w:pPr>
        <w:spacing w:after="360" w:line="480" w:lineRule="auto"/>
        <w:ind w:left="720" w:hanging="720"/>
        <w:jc w:val="both"/>
        <w:rPr>
          <w:rFonts w:cs="Arial"/>
          <w:szCs w:val="24"/>
        </w:rPr>
      </w:pPr>
      <w:r>
        <w:rPr>
          <w:rFonts w:cs="Arial"/>
          <w:szCs w:val="24"/>
        </w:rPr>
        <w:t>[14]</w:t>
      </w:r>
      <w:r>
        <w:rPr>
          <w:rFonts w:cs="Arial"/>
          <w:szCs w:val="24"/>
        </w:rPr>
        <w:tab/>
      </w:r>
      <w:r w:rsidR="00496089" w:rsidRPr="00E52C29">
        <w:rPr>
          <w:rFonts w:cs="Arial"/>
          <w:szCs w:val="24"/>
        </w:rPr>
        <w:t>Rule 27 requires a case</w:t>
      </w:r>
      <w:r w:rsidR="00166A69" w:rsidRPr="00E52C29">
        <w:rPr>
          <w:rFonts w:cs="Arial"/>
          <w:szCs w:val="24"/>
        </w:rPr>
        <w:t xml:space="preserve"> for the upliftment of bar</w:t>
      </w:r>
      <w:r w:rsidR="00496089" w:rsidRPr="00E52C29">
        <w:rPr>
          <w:rFonts w:cs="Arial"/>
          <w:szCs w:val="24"/>
        </w:rPr>
        <w:t xml:space="preserve"> to be made out on the standard of good cause shown. The case law has interpreted this standard to have three requirements.</w:t>
      </w:r>
      <w:r w:rsidR="00F16541" w:rsidRPr="00E52C29">
        <w:rPr>
          <w:rFonts w:cs="Arial"/>
          <w:szCs w:val="24"/>
        </w:rPr>
        <w:t xml:space="preserve"> </w:t>
      </w:r>
    </w:p>
    <w:p w14:paraId="14F7DC42" w14:textId="4B463B6B" w:rsidR="00E94A0C" w:rsidRDefault="00E94A0C" w:rsidP="00F85F00">
      <w:pPr>
        <w:pStyle w:val="ListParagraph"/>
        <w:numPr>
          <w:ilvl w:val="1"/>
          <w:numId w:val="1"/>
        </w:numPr>
        <w:spacing w:after="360" w:line="480" w:lineRule="auto"/>
        <w:jc w:val="both"/>
        <w:rPr>
          <w:rFonts w:cs="Arial"/>
          <w:szCs w:val="24"/>
        </w:rPr>
      </w:pPr>
      <w:r>
        <w:rPr>
          <w:rFonts w:cs="Arial"/>
          <w:szCs w:val="24"/>
        </w:rPr>
        <w:lastRenderedPageBreak/>
        <w:t xml:space="preserve">The applicant must </w:t>
      </w:r>
      <w:r w:rsidR="008D47D6">
        <w:rPr>
          <w:rFonts w:cs="Arial"/>
          <w:szCs w:val="24"/>
        </w:rPr>
        <w:t>have a reasonable and acceptable explanation for the default;</w:t>
      </w:r>
    </w:p>
    <w:p w14:paraId="4867D99C" w14:textId="410E6246" w:rsidR="006E10A5" w:rsidRPr="006E10A5" w:rsidRDefault="008D47D6" w:rsidP="00F85F00">
      <w:pPr>
        <w:pStyle w:val="ListParagraph"/>
        <w:numPr>
          <w:ilvl w:val="1"/>
          <w:numId w:val="1"/>
        </w:numPr>
        <w:spacing w:after="360" w:line="480" w:lineRule="auto"/>
        <w:jc w:val="both"/>
        <w:rPr>
          <w:rFonts w:cs="Arial"/>
          <w:szCs w:val="24"/>
        </w:rPr>
      </w:pPr>
      <w:r>
        <w:rPr>
          <w:rFonts w:cs="Arial"/>
          <w:szCs w:val="24"/>
        </w:rPr>
        <w:t xml:space="preserve">The applicant </w:t>
      </w:r>
      <w:r w:rsidRPr="00F07609">
        <w:rPr>
          <w:rFonts w:cs="Arial"/>
          <w:szCs w:val="24"/>
        </w:rPr>
        <w:t>must be</w:t>
      </w:r>
      <w:r w:rsidRPr="00F07609">
        <w:rPr>
          <w:rFonts w:cs="Arial"/>
          <w:i/>
          <w:iCs/>
          <w:szCs w:val="24"/>
        </w:rPr>
        <w:t xml:space="preserve"> </w:t>
      </w:r>
      <w:r w:rsidR="009E66AE" w:rsidRPr="00F07609">
        <w:rPr>
          <w:rFonts w:cs="Arial"/>
          <w:i/>
          <w:iCs/>
          <w:szCs w:val="24"/>
        </w:rPr>
        <w:t>bona fide</w:t>
      </w:r>
      <w:r w:rsidR="009E66AE">
        <w:rPr>
          <w:rFonts w:cs="Arial"/>
          <w:i/>
          <w:iCs/>
          <w:szCs w:val="24"/>
        </w:rPr>
        <w:t>;</w:t>
      </w:r>
      <w:r>
        <w:rPr>
          <w:rFonts w:cs="Arial"/>
          <w:szCs w:val="24"/>
        </w:rPr>
        <w:t xml:space="preserve"> </w:t>
      </w:r>
      <w:r w:rsidR="009E66AE">
        <w:rPr>
          <w:rFonts w:cs="Arial"/>
          <w:szCs w:val="24"/>
        </w:rPr>
        <w:t>and</w:t>
      </w:r>
    </w:p>
    <w:p w14:paraId="4FF904A0" w14:textId="11200935" w:rsidR="004664E6" w:rsidRDefault="008D47D6" w:rsidP="00F85F00">
      <w:pPr>
        <w:pStyle w:val="ListParagraph"/>
        <w:numPr>
          <w:ilvl w:val="1"/>
          <w:numId w:val="1"/>
        </w:numPr>
        <w:spacing w:after="360" w:line="480" w:lineRule="auto"/>
        <w:jc w:val="both"/>
        <w:rPr>
          <w:rFonts w:cs="Arial"/>
          <w:szCs w:val="24"/>
        </w:rPr>
      </w:pPr>
      <w:r>
        <w:rPr>
          <w:rFonts w:cs="Arial"/>
          <w:szCs w:val="24"/>
        </w:rPr>
        <w:t xml:space="preserve">The applicant must </w:t>
      </w:r>
      <w:r w:rsidR="009627C9">
        <w:rPr>
          <w:rFonts w:cs="Arial"/>
          <w:szCs w:val="24"/>
        </w:rPr>
        <w:t xml:space="preserve">demonstrate a </w:t>
      </w:r>
      <w:r w:rsidR="009627C9" w:rsidRPr="009E66AE">
        <w:rPr>
          <w:rFonts w:cs="Arial"/>
          <w:i/>
          <w:iCs/>
          <w:szCs w:val="24"/>
        </w:rPr>
        <w:t>bona fide</w:t>
      </w:r>
      <w:r w:rsidR="009627C9">
        <w:rPr>
          <w:rFonts w:cs="Arial"/>
          <w:szCs w:val="24"/>
        </w:rPr>
        <w:t xml:space="preserve"> defence which prima facie has some prospects of success.</w:t>
      </w:r>
      <w:r w:rsidR="00D0749B">
        <w:rPr>
          <w:rStyle w:val="FootnoteReference"/>
          <w:rFonts w:cs="Arial"/>
          <w:szCs w:val="24"/>
        </w:rPr>
        <w:footnoteReference w:id="1"/>
      </w:r>
    </w:p>
    <w:p w14:paraId="51D7FC16" w14:textId="761E8E2F" w:rsidR="004664E6" w:rsidRPr="00E52C29" w:rsidRDefault="00E52C29" w:rsidP="00F85F00">
      <w:pPr>
        <w:spacing w:after="360" w:line="480" w:lineRule="auto"/>
        <w:ind w:left="720" w:hanging="720"/>
        <w:jc w:val="both"/>
        <w:rPr>
          <w:rFonts w:cs="Arial"/>
          <w:szCs w:val="24"/>
        </w:rPr>
      </w:pPr>
      <w:r>
        <w:rPr>
          <w:rFonts w:cs="Arial"/>
          <w:szCs w:val="24"/>
        </w:rPr>
        <w:t>[15]</w:t>
      </w:r>
      <w:r>
        <w:rPr>
          <w:rFonts w:cs="Arial"/>
          <w:szCs w:val="24"/>
        </w:rPr>
        <w:tab/>
      </w:r>
      <w:r w:rsidR="006E00BA" w:rsidRPr="00E52C29">
        <w:rPr>
          <w:rFonts w:cs="Arial"/>
          <w:szCs w:val="24"/>
        </w:rPr>
        <w:t xml:space="preserve">Although the concept of bona fides is taken into account </w:t>
      </w:r>
      <w:r w:rsidR="009848B5" w:rsidRPr="00E52C29">
        <w:rPr>
          <w:rFonts w:cs="Arial"/>
          <w:szCs w:val="24"/>
        </w:rPr>
        <w:t xml:space="preserve">twice these are </w:t>
      </w:r>
      <w:r w:rsidR="003C254D" w:rsidRPr="00E52C29">
        <w:rPr>
          <w:rFonts w:cs="Arial"/>
          <w:szCs w:val="24"/>
        </w:rPr>
        <w:t>conceptual</w:t>
      </w:r>
      <w:r w:rsidR="00C43898" w:rsidRPr="00E52C29">
        <w:rPr>
          <w:rFonts w:cs="Arial"/>
          <w:szCs w:val="24"/>
        </w:rPr>
        <w:t>ly</w:t>
      </w:r>
      <w:r w:rsidR="003C254D" w:rsidRPr="00E52C29">
        <w:rPr>
          <w:rFonts w:cs="Arial"/>
          <w:szCs w:val="24"/>
        </w:rPr>
        <w:t xml:space="preserve"> different exercises. </w:t>
      </w:r>
    </w:p>
    <w:p w14:paraId="1C605D11" w14:textId="0E5FCE01" w:rsidR="00A8709C" w:rsidRPr="00E52C29" w:rsidRDefault="00E52C29" w:rsidP="00F85F00">
      <w:pPr>
        <w:spacing w:after="360" w:line="480" w:lineRule="auto"/>
        <w:ind w:left="720" w:hanging="720"/>
        <w:jc w:val="both"/>
        <w:rPr>
          <w:rFonts w:cs="Arial"/>
          <w:szCs w:val="24"/>
        </w:rPr>
      </w:pPr>
      <w:r>
        <w:rPr>
          <w:rFonts w:cs="Arial"/>
          <w:szCs w:val="24"/>
        </w:rPr>
        <w:t>[16]</w:t>
      </w:r>
      <w:r>
        <w:rPr>
          <w:rFonts w:cs="Arial"/>
          <w:szCs w:val="24"/>
        </w:rPr>
        <w:tab/>
      </w:r>
      <w:r w:rsidR="00D85B32" w:rsidRPr="00E52C29">
        <w:rPr>
          <w:rFonts w:cs="Arial"/>
          <w:szCs w:val="24"/>
        </w:rPr>
        <w:t xml:space="preserve">The court is required to deal with each of these requirements in turn. For convenience </w:t>
      </w:r>
      <w:r w:rsidR="00A8709C" w:rsidRPr="00E52C29">
        <w:rPr>
          <w:rFonts w:cs="Arial"/>
          <w:szCs w:val="24"/>
        </w:rPr>
        <w:t>I deal with these issues in reverse order.</w:t>
      </w:r>
    </w:p>
    <w:p w14:paraId="5EDA2937" w14:textId="7EEF0746" w:rsidR="00A8709C" w:rsidRPr="00FD492C" w:rsidRDefault="00A8709C" w:rsidP="00F85F00">
      <w:pPr>
        <w:pStyle w:val="ListParagraph"/>
        <w:spacing w:after="360" w:line="480" w:lineRule="auto"/>
        <w:jc w:val="both"/>
        <w:rPr>
          <w:rFonts w:cs="Arial"/>
          <w:b/>
          <w:bCs/>
          <w:i/>
          <w:iCs/>
          <w:szCs w:val="24"/>
        </w:rPr>
      </w:pPr>
      <w:r w:rsidRPr="00FD492C">
        <w:rPr>
          <w:rFonts w:cs="Arial"/>
          <w:b/>
          <w:bCs/>
          <w:i/>
          <w:iCs/>
          <w:szCs w:val="24"/>
        </w:rPr>
        <w:t xml:space="preserve">Bona fide defence </w:t>
      </w:r>
    </w:p>
    <w:p w14:paraId="4E0C63A5" w14:textId="3C003D30" w:rsidR="00356D9D" w:rsidRPr="00E52C29" w:rsidRDefault="00E52C29" w:rsidP="00F85F00">
      <w:pPr>
        <w:spacing w:after="360" w:line="480" w:lineRule="auto"/>
        <w:ind w:left="720" w:hanging="720"/>
        <w:jc w:val="both"/>
        <w:rPr>
          <w:rFonts w:cs="Arial"/>
          <w:szCs w:val="24"/>
        </w:rPr>
      </w:pPr>
      <w:r>
        <w:rPr>
          <w:rFonts w:cs="Arial"/>
          <w:szCs w:val="24"/>
        </w:rPr>
        <w:t>[17]</w:t>
      </w:r>
      <w:r>
        <w:rPr>
          <w:rFonts w:cs="Arial"/>
          <w:szCs w:val="24"/>
        </w:rPr>
        <w:tab/>
      </w:r>
      <w:r w:rsidR="00C4431D" w:rsidRPr="00E52C29">
        <w:rPr>
          <w:rFonts w:cs="Arial"/>
          <w:szCs w:val="24"/>
        </w:rPr>
        <w:t>Wasilewsky</w:t>
      </w:r>
      <w:r w:rsidR="00076087" w:rsidRPr="00E52C29">
        <w:rPr>
          <w:rFonts w:cs="Arial"/>
          <w:szCs w:val="24"/>
        </w:rPr>
        <w:t xml:space="preserve"> was a shareholder along with other family members in four property holding companies.</w:t>
      </w:r>
      <w:r w:rsidR="00277AE3" w:rsidRPr="00E52C29">
        <w:rPr>
          <w:rFonts w:cs="Arial"/>
          <w:szCs w:val="24"/>
        </w:rPr>
        <w:t xml:space="preserve"> The companies owned properties in the inner city from which they received </w:t>
      </w:r>
      <w:r w:rsidR="00DD310E" w:rsidRPr="00E52C29">
        <w:rPr>
          <w:rFonts w:cs="Arial"/>
          <w:szCs w:val="24"/>
        </w:rPr>
        <w:t>rental income. During the relevant period all the shareholders</w:t>
      </w:r>
      <w:r w:rsidR="000A3B10" w:rsidRPr="00E52C29">
        <w:rPr>
          <w:rFonts w:cs="Arial"/>
          <w:szCs w:val="24"/>
        </w:rPr>
        <w:t>,</w:t>
      </w:r>
      <w:r w:rsidR="00DD310E" w:rsidRPr="00E52C29">
        <w:rPr>
          <w:rFonts w:cs="Arial"/>
          <w:szCs w:val="24"/>
        </w:rPr>
        <w:t xml:space="preserve"> bar one, </w:t>
      </w:r>
      <w:r w:rsidR="00177A7D" w:rsidRPr="00E52C29">
        <w:rPr>
          <w:rFonts w:cs="Arial"/>
          <w:szCs w:val="24"/>
        </w:rPr>
        <w:t>relocated overseas</w:t>
      </w:r>
      <w:r w:rsidR="00C7300F" w:rsidRPr="00E52C29">
        <w:rPr>
          <w:rFonts w:cs="Arial"/>
          <w:szCs w:val="24"/>
        </w:rPr>
        <w:t xml:space="preserve"> including Wasilewsky</w:t>
      </w:r>
      <w:r w:rsidR="00177A7D" w:rsidRPr="00E52C29">
        <w:rPr>
          <w:rFonts w:cs="Arial"/>
          <w:szCs w:val="24"/>
        </w:rPr>
        <w:t xml:space="preserve">. </w:t>
      </w:r>
      <w:r w:rsidR="00E61DC5" w:rsidRPr="00E52C29">
        <w:rPr>
          <w:rFonts w:cs="Arial"/>
          <w:szCs w:val="24"/>
        </w:rPr>
        <w:t>In March</w:t>
      </w:r>
      <w:r w:rsidR="00DE3B95" w:rsidRPr="00E52C29">
        <w:rPr>
          <w:rFonts w:cs="Arial"/>
          <w:szCs w:val="24"/>
        </w:rPr>
        <w:t xml:space="preserve"> 2018 </w:t>
      </w:r>
      <w:r w:rsidR="00C7300F" w:rsidRPr="00E52C29">
        <w:rPr>
          <w:rFonts w:cs="Arial"/>
          <w:szCs w:val="24"/>
        </w:rPr>
        <w:t xml:space="preserve">the companies </w:t>
      </w:r>
      <w:r w:rsidR="00BD40FF" w:rsidRPr="00E52C29">
        <w:rPr>
          <w:rFonts w:cs="Arial"/>
          <w:szCs w:val="24"/>
        </w:rPr>
        <w:t xml:space="preserve">were placed in final liquidation </w:t>
      </w:r>
      <w:r w:rsidR="00DB27E8" w:rsidRPr="00E52C29">
        <w:rPr>
          <w:rFonts w:cs="Arial"/>
          <w:szCs w:val="24"/>
        </w:rPr>
        <w:t xml:space="preserve">as solvent companies </w:t>
      </w:r>
      <w:r w:rsidR="00177A7D" w:rsidRPr="00E52C29">
        <w:rPr>
          <w:rFonts w:cs="Arial"/>
          <w:szCs w:val="24"/>
        </w:rPr>
        <w:t xml:space="preserve">in terms of section </w:t>
      </w:r>
      <w:r w:rsidR="00AC6A5A" w:rsidRPr="00E52C29">
        <w:rPr>
          <w:rFonts w:cs="Arial"/>
          <w:szCs w:val="24"/>
        </w:rPr>
        <w:t>8</w:t>
      </w:r>
      <w:r w:rsidR="00F562D5" w:rsidRPr="00E52C29">
        <w:rPr>
          <w:rFonts w:cs="Arial"/>
          <w:szCs w:val="24"/>
        </w:rPr>
        <w:t>1(d)(iii)</w:t>
      </w:r>
      <w:r w:rsidR="00AC6A5A" w:rsidRPr="00E52C29">
        <w:rPr>
          <w:rFonts w:cs="Arial"/>
          <w:szCs w:val="24"/>
        </w:rPr>
        <w:t xml:space="preserve"> of the Companies Act, </w:t>
      </w:r>
      <w:r w:rsidR="005A7C9D" w:rsidRPr="00E52C29">
        <w:rPr>
          <w:rFonts w:cs="Arial"/>
          <w:szCs w:val="24"/>
        </w:rPr>
        <w:t>71 of 2008.</w:t>
      </w:r>
    </w:p>
    <w:p w14:paraId="47FC58A7" w14:textId="3868AD85" w:rsidR="00A8709C" w:rsidRPr="00E52C29" w:rsidRDefault="00E52C29" w:rsidP="00F85F00">
      <w:pPr>
        <w:spacing w:after="360" w:line="480" w:lineRule="auto"/>
        <w:ind w:left="720" w:hanging="720"/>
        <w:jc w:val="both"/>
        <w:rPr>
          <w:rFonts w:cs="Arial"/>
          <w:szCs w:val="24"/>
        </w:rPr>
      </w:pPr>
      <w:r>
        <w:rPr>
          <w:rFonts w:cs="Arial"/>
          <w:szCs w:val="24"/>
        </w:rPr>
        <w:t>[18]</w:t>
      </w:r>
      <w:r>
        <w:rPr>
          <w:rFonts w:cs="Arial"/>
          <w:szCs w:val="24"/>
        </w:rPr>
        <w:tab/>
      </w:r>
      <w:r w:rsidR="00FD0B3B" w:rsidRPr="00E52C29">
        <w:rPr>
          <w:rFonts w:cs="Arial"/>
          <w:szCs w:val="24"/>
        </w:rPr>
        <w:t xml:space="preserve">The present summons was first served on </w:t>
      </w:r>
      <w:r w:rsidR="00C4431D" w:rsidRPr="00E52C29">
        <w:rPr>
          <w:rFonts w:cs="Arial"/>
          <w:szCs w:val="24"/>
        </w:rPr>
        <w:t>Wasilewsky</w:t>
      </w:r>
      <w:r w:rsidR="00FD0B3B" w:rsidRPr="00E52C29">
        <w:rPr>
          <w:rFonts w:cs="Arial"/>
          <w:szCs w:val="24"/>
        </w:rPr>
        <w:t xml:space="preserve"> on 11 March 2022.</w:t>
      </w:r>
      <w:r w:rsidR="006926AA" w:rsidRPr="00E52C29">
        <w:rPr>
          <w:rFonts w:cs="Arial"/>
          <w:szCs w:val="24"/>
        </w:rPr>
        <w:t xml:space="preserve"> In it </w:t>
      </w:r>
      <w:r w:rsidR="0054197C" w:rsidRPr="00E52C29">
        <w:rPr>
          <w:rFonts w:cs="Arial"/>
          <w:szCs w:val="24"/>
        </w:rPr>
        <w:t>the plaintiffs</w:t>
      </w:r>
      <w:r w:rsidR="00FD492C" w:rsidRPr="00E52C29">
        <w:rPr>
          <w:rFonts w:cs="Arial"/>
          <w:szCs w:val="24"/>
        </w:rPr>
        <w:t xml:space="preserve"> </w:t>
      </w:r>
      <w:r w:rsidR="004043CA" w:rsidRPr="00E52C29">
        <w:rPr>
          <w:rFonts w:cs="Arial"/>
          <w:szCs w:val="24"/>
        </w:rPr>
        <w:t xml:space="preserve">make out three </w:t>
      </w:r>
      <w:r w:rsidR="00D23FCA" w:rsidRPr="00E52C29">
        <w:rPr>
          <w:rFonts w:cs="Arial"/>
          <w:szCs w:val="24"/>
        </w:rPr>
        <w:t>claims against Wasilewsky</w:t>
      </w:r>
      <w:r w:rsidR="00B86D88" w:rsidRPr="00E52C29">
        <w:rPr>
          <w:rFonts w:cs="Arial"/>
          <w:szCs w:val="24"/>
        </w:rPr>
        <w:t xml:space="preserve">. The first is a claim for breach </w:t>
      </w:r>
      <w:r w:rsidR="00B86D88" w:rsidRPr="00E52C29">
        <w:rPr>
          <w:rFonts w:cs="Arial"/>
          <w:szCs w:val="24"/>
        </w:rPr>
        <w:lastRenderedPageBreak/>
        <w:t xml:space="preserve">of fiduciary </w:t>
      </w:r>
      <w:r w:rsidR="0054197C" w:rsidRPr="00E52C29">
        <w:rPr>
          <w:rFonts w:cs="Arial"/>
          <w:szCs w:val="24"/>
        </w:rPr>
        <w:t xml:space="preserve">duties. This claim </w:t>
      </w:r>
      <w:r w:rsidR="002C4436" w:rsidRPr="00E52C29">
        <w:rPr>
          <w:rFonts w:cs="Arial"/>
          <w:szCs w:val="24"/>
        </w:rPr>
        <w:t xml:space="preserve">has been </w:t>
      </w:r>
      <w:r w:rsidR="00B86D88" w:rsidRPr="00E52C29">
        <w:rPr>
          <w:rFonts w:cs="Arial"/>
          <w:szCs w:val="24"/>
        </w:rPr>
        <w:t xml:space="preserve">broken down into </w:t>
      </w:r>
      <w:r w:rsidR="00230563" w:rsidRPr="00E52C29">
        <w:rPr>
          <w:rFonts w:cs="Arial"/>
          <w:szCs w:val="24"/>
        </w:rPr>
        <w:t xml:space="preserve">37 separate amounts that Wasilewsky is alleged to have paid out </w:t>
      </w:r>
      <w:r w:rsidR="000436EB" w:rsidRPr="00E52C29">
        <w:rPr>
          <w:rFonts w:cs="Arial"/>
          <w:szCs w:val="24"/>
        </w:rPr>
        <w:t xml:space="preserve">from the companies accounts. These amount to </w:t>
      </w:r>
      <w:r w:rsidR="005B5A67" w:rsidRPr="00E52C29">
        <w:rPr>
          <w:rFonts w:cs="Arial"/>
          <w:szCs w:val="24"/>
        </w:rPr>
        <w:t xml:space="preserve">R3,387,022.16. The second claim is </w:t>
      </w:r>
      <w:r w:rsidR="00293E77" w:rsidRPr="00E52C29">
        <w:rPr>
          <w:rFonts w:cs="Arial"/>
          <w:szCs w:val="24"/>
        </w:rPr>
        <w:t>for</w:t>
      </w:r>
      <w:r w:rsidR="000C0D5C" w:rsidRPr="000C0D5C">
        <w:t xml:space="preserve"> </w:t>
      </w:r>
      <w:r w:rsidR="000C0D5C" w:rsidRPr="00E52C29">
        <w:rPr>
          <w:rFonts w:cs="Arial"/>
          <w:szCs w:val="24"/>
        </w:rPr>
        <w:t>R1,613,442.33</w:t>
      </w:r>
      <w:r w:rsidR="002C4436" w:rsidRPr="00E52C29">
        <w:rPr>
          <w:rFonts w:cs="Arial"/>
          <w:szCs w:val="24"/>
        </w:rPr>
        <w:t xml:space="preserve">. The allegation is that </w:t>
      </w:r>
      <w:r w:rsidR="003D1B4B" w:rsidRPr="00E52C29">
        <w:rPr>
          <w:rFonts w:cs="Arial"/>
          <w:szCs w:val="24"/>
        </w:rPr>
        <w:t xml:space="preserve">he is liable for these amounts </w:t>
      </w:r>
      <w:r w:rsidR="00730028" w:rsidRPr="00E52C29">
        <w:rPr>
          <w:rFonts w:cs="Arial"/>
          <w:szCs w:val="24"/>
        </w:rPr>
        <w:t>for allegedly</w:t>
      </w:r>
      <w:r w:rsidR="00293E77" w:rsidRPr="00E52C29">
        <w:rPr>
          <w:rFonts w:cs="Arial"/>
          <w:szCs w:val="24"/>
        </w:rPr>
        <w:t xml:space="preserve"> under invoicing tenants of two of the properties</w:t>
      </w:r>
      <w:r w:rsidR="0048004C" w:rsidRPr="00E52C29">
        <w:rPr>
          <w:rFonts w:cs="Arial"/>
          <w:szCs w:val="24"/>
        </w:rPr>
        <w:t xml:space="preserve">. </w:t>
      </w:r>
      <w:r w:rsidR="000C0D5C" w:rsidRPr="00E52C29">
        <w:rPr>
          <w:rFonts w:cs="Arial"/>
          <w:szCs w:val="24"/>
        </w:rPr>
        <w:t>The third claim is for</w:t>
      </w:r>
      <w:r w:rsidR="00C60276" w:rsidRPr="00C60276">
        <w:t xml:space="preserve"> </w:t>
      </w:r>
      <w:r w:rsidR="00C60276" w:rsidRPr="00E52C29">
        <w:rPr>
          <w:rFonts w:cs="Arial"/>
          <w:szCs w:val="24"/>
        </w:rPr>
        <w:t>R572,000.00</w:t>
      </w:r>
      <w:r w:rsidR="00B70A79" w:rsidRPr="00E52C29">
        <w:rPr>
          <w:rFonts w:cs="Arial"/>
          <w:szCs w:val="24"/>
        </w:rPr>
        <w:t>,</w:t>
      </w:r>
      <w:r w:rsidR="00866D4C" w:rsidRPr="00E52C29">
        <w:rPr>
          <w:rFonts w:cs="Arial"/>
          <w:szCs w:val="24"/>
        </w:rPr>
        <w:t xml:space="preserve"> in respect of </w:t>
      </w:r>
      <w:r w:rsidR="001B1519" w:rsidRPr="00E52C29">
        <w:rPr>
          <w:rFonts w:cs="Arial"/>
          <w:szCs w:val="24"/>
        </w:rPr>
        <w:t>amounts</w:t>
      </w:r>
      <w:r w:rsidR="00866D4C" w:rsidRPr="00E52C29">
        <w:rPr>
          <w:rFonts w:cs="Arial"/>
          <w:szCs w:val="24"/>
        </w:rPr>
        <w:t xml:space="preserve"> which Wasilewsky is said to have paid after the companies were placed in liquidation.</w:t>
      </w:r>
      <w:r w:rsidR="00602575" w:rsidRPr="00E52C29">
        <w:rPr>
          <w:rFonts w:cs="Arial"/>
          <w:szCs w:val="24"/>
        </w:rPr>
        <w:t xml:space="preserve"> In total these claims amount to </w:t>
      </w:r>
      <w:r w:rsidR="00A77925" w:rsidRPr="00E52C29">
        <w:rPr>
          <w:rFonts w:cs="Arial"/>
          <w:szCs w:val="24"/>
        </w:rPr>
        <w:t>R6,331,419.08.</w:t>
      </w:r>
    </w:p>
    <w:p w14:paraId="64EAF197" w14:textId="7475FEAC" w:rsidR="0063411E" w:rsidRPr="00E52C29" w:rsidRDefault="00E52C29" w:rsidP="00F85F00">
      <w:pPr>
        <w:spacing w:after="360" w:line="480" w:lineRule="auto"/>
        <w:ind w:left="720" w:hanging="720"/>
        <w:jc w:val="both"/>
        <w:rPr>
          <w:rFonts w:cs="Arial"/>
          <w:szCs w:val="24"/>
        </w:rPr>
      </w:pPr>
      <w:r>
        <w:rPr>
          <w:rFonts w:cs="Arial"/>
          <w:szCs w:val="24"/>
        </w:rPr>
        <w:t>[19]</w:t>
      </w:r>
      <w:r>
        <w:rPr>
          <w:rFonts w:cs="Arial"/>
          <w:szCs w:val="24"/>
        </w:rPr>
        <w:tab/>
      </w:r>
      <w:r w:rsidR="00F46ECE" w:rsidRPr="00E52C29">
        <w:rPr>
          <w:rFonts w:cs="Arial"/>
          <w:szCs w:val="24"/>
        </w:rPr>
        <w:t xml:space="preserve">Wasilewsky raises a defence of prescription in respect of all three claims. On the face of its all three claims are for payments </w:t>
      </w:r>
      <w:r w:rsidR="00A10407" w:rsidRPr="00E52C29">
        <w:rPr>
          <w:rFonts w:cs="Arial"/>
          <w:szCs w:val="24"/>
        </w:rPr>
        <w:t xml:space="preserve">made </w:t>
      </w:r>
      <w:r w:rsidR="004B25BF" w:rsidRPr="00E52C29">
        <w:rPr>
          <w:rFonts w:cs="Arial"/>
          <w:szCs w:val="24"/>
        </w:rPr>
        <w:t>more than three years prior to the summons being issued</w:t>
      </w:r>
      <w:r w:rsidR="00B70A79" w:rsidRPr="00E52C29">
        <w:rPr>
          <w:rFonts w:cs="Arial"/>
          <w:szCs w:val="24"/>
        </w:rPr>
        <w:t>,</w:t>
      </w:r>
      <w:r w:rsidR="004B25BF" w:rsidRPr="00E52C29">
        <w:rPr>
          <w:rFonts w:cs="Arial"/>
          <w:szCs w:val="24"/>
        </w:rPr>
        <w:t xml:space="preserve"> and hence</w:t>
      </w:r>
      <w:r w:rsidR="00B70A79" w:rsidRPr="00E52C29">
        <w:rPr>
          <w:rFonts w:cs="Arial"/>
          <w:szCs w:val="24"/>
        </w:rPr>
        <w:t>,</w:t>
      </w:r>
      <w:r w:rsidR="004B25BF" w:rsidRPr="00E52C29">
        <w:rPr>
          <w:rFonts w:cs="Arial"/>
          <w:szCs w:val="24"/>
        </w:rPr>
        <w:t xml:space="preserve"> according to the plea</w:t>
      </w:r>
      <w:r w:rsidR="00B70A79" w:rsidRPr="00E52C29">
        <w:rPr>
          <w:rFonts w:cs="Arial"/>
          <w:szCs w:val="24"/>
        </w:rPr>
        <w:t>,</w:t>
      </w:r>
      <w:r w:rsidR="004B25BF" w:rsidRPr="00E52C29">
        <w:rPr>
          <w:rFonts w:cs="Arial"/>
          <w:szCs w:val="24"/>
        </w:rPr>
        <w:t xml:space="preserve"> have prescribed </w:t>
      </w:r>
      <w:r w:rsidR="00412E51" w:rsidRPr="00E52C29">
        <w:rPr>
          <w:rFonts w:cs="Arial"/>
          <w:szCs w:val="24"/>
        </w:rPr>
        <w:t>in terms of section 12(1) of the Prescription Act. The plaintiffs in their answering affidavit claim that their knowledge of these claims emerged only in the course of an enquiry and hence they have a defence to the prescription claim.</w:t>
      </w:r>
      <w:r w:rsidR="00F86F4C" w:rsidRPr="00E52C29">
        <w:rPr>
          <w:rFonts w:cs="Arial"/>
          <w:szCs w:val="24"/>
        </w:rPr>
        <w:t xml:space="preserve"> That may be so</w:t>
      </w:r>
      <w:r w:rsidR="00765259" w:rsidRPr="00E52C29">
        <w:rPr>
          <w:rFonts w:cs="Arial"/>
          <w:szCs w:val="24"/>
        </w:rPr>
        <w:t>,</w:t>
      </w:r>
      <w:r w:rsidR="00F86F4C" w:rsidRPr="00E52C29">
        <w:rPr>
          <w:rFonts w:cs="Arial"/>
          <w:szCs w:val="24"/>
        </w:rPr>
        <w:t xml:space="preserve"> but this dispute raises a triable fact </w:t>
      </w:r>
      <w:r w:rsidR="00217FA4" w:rsidRPr="00E52C29">
        <w:rPr>
          <w:rFonts w:cs="Arial"/>
          <w:szCs w:val="24"/>
        </w:rPr>
        <w:t>around prescription.</w:t>
      </w:r>
    </w:p>
    <w:p w14:paraId="7A2FA0D5" w14:textId="3E544655" w:rsidR="00926784" w:rsidRPr="00E52C29" w:rsidRDefault="00E52C29" w:rsidP="00F85F00">
      <w:pPr>
        <w:spacing w:after="360" w:line="480" w:lineRule="auto"/>
        <w:ind w:left="720" w:hanging="720"/>
        <w:jc w:val="both"/>
        <w:rPr>
          <w:rFonts w:cs="Arial"/>
          <w:szCs w:val="24"/>
        </w:rPr>
      </w:pPr>
      <w:r>
        <w:rPr>
          <w:rFonts w:cs="Arial"/>
          <w:szCs w:val="24"/>
        </w:rPr>
        <w:t>[20]</w:t>
      </w:r>
      <w:r>
        <w:rPr>
          <w:rFonts w:cs="Arial"/>
          <w:szCs w:val="24"/>
        </w:rPr>
        <w:tab/>
      </w:r>
      <w:r w:rsidR="00C401C5" w:rsidRPr="00E52C29">
        <w:rPr>
          <w:rFonts w:cs="Arial"/>
          <w:szCs w:val="24"/>
        </w:rPr>
        <w:t xml:space="preserve">Wasilewsky </w:t>
      </w:r>
      <w:r w:rsidR="005073E1" w:rsidRPr="00E52C29">
        <w:rPr>
          <w:rFonts w:cs="Arial"/>
          <w:szCs w:val="24"/>
        </w:rPr>
        <w:t xml:space="preserve">also </w:t>
      </w:r>
      <w:r w:rsidR="00C401C5" w:rsidRPr="00E52C29">
        <w:rPr>
          <w:rFonts w:cs="Arial"/>
          <w:szCs w:val="24"/>
        </w:rPr>
        <w:t xml:space="preserve">raises </w:t>
      </w:r>
      <w:r w:rsidR="005073E1" w:rsidRPr="00E52C29">
        <w:rPr>
          <w:rFonts w:cs="Arial"/>
          <w:szCs w:val="24"/>
        </w:rPr>
        <w:t xml:space="preserve">two </w:t>
      </w:r>
      <w:r w:rsidR="00C401C5" w:rsidRPr="00E52C29">
        <w:rPr>
          <w:rFonts w:cs="Arial"/>
          <w:szCs w:val="24"/>
        </w:rPr>
        <w:t>other defences</w:t>
      </w:r>
      <w:r w:rsidR="00710547" w:rsidRPr="00E52C29">
        <w:rPr>
          <w:rFonts w:cs="Arial"/>
          <w:szCs w:val="24"/>
        </w:rPr>
        <w:t xml:space="preserve"> by way of special pleas</w:t>
      </w:r>
      <w:r w:rsidR="00CE21B0" w:rsidRPr="00E52C29">
        <w:rPr>
          <w:rFonts w:cs="Arial"/>
          <w:szCs w:val="24"/>
        </w:rPr>
        <w:t>;</w:t>
      </w:r>
      <w:r w:rsidR="00C401C5" w:rsidRPr="00E52C29">
        <w:rPr>
          <w:rFonts w:cs="Arial"/>
          <w:szCs w:val="24"/>
        </w:rPr>
        <w:t xml:space="preserve"> </w:t>
      </w:r>
      <w:r w:rsidR="00CE21B0" w:rsidRPr="00E52C29">
        <w:rPr>
          <w:rFonts w:cs="Arial"/>
          <w:szCs w:val="24"/>
        </w:rPr>
        <w:t>n</w:t>
      </w:r>
      <w:r w:rsidR="00C401C5" w:rsidRPr="00E52C29">
        <w:rPr>
          <w:rFonts w:cs="Arial"/>
          <w:szCs w:val="24"/>
        </w:rPr>
        <w:t xml:space="preserve">on-joinder, </w:t>
      </w:r>
      <w:r w:rsidR="00EF79EA" w:rsidRPr="00E52C29">
        <w:rPr>
          <w:rFonts w:cs="Arial"/>
          <w:szCs w:val="24"/>
        </w:rPr>
        <w:t xml:space="preserve">and he contests </w:t>
      </w:r>
      <w:r w:rsidR="00C401C5" w:rsidRPr="00E52C29">
        <w:rPr>
          <w:rFonts w:cs="Arial"/>
          <w:szCs w:val="24"/>
        </w:rPr>
        <w:t>the appointment of the one of the plaintiffs</w:t>
      </w:r>
      <w:r w:rsidR="007E1047" w:rsidRPr="00E52C29">
        <w:rPr>
          <w:rFonts w:cs="Arial"/>
          <w:szCs w:val="24"/>
        </w:rPr>
        <w:t>, Trakman as</w:t>
      </w:r>
      <w:r w:rsidR="00C401C5" w:rsidRPr="00E52C29">
        <w:rPr>
          <w:rFonts w:cs="Arial"/>
          <w:szCs w:val="24"/>
        </w:rPr>
        <w:t xml:space="preserve"> a liquidator</w:t>
      </w:r>
      <w:r w:rsidR="007E1047" w:rsidRPr="00E52C29">
        <w:rPr>
          <w:rFonts w:cs="Arial"/>
          <w:szCs w:val="24"/>
        </w:rPr>
        <w:t xml:space="preserve">. </w:t>
      </w:r>
      <w:r w:rsidR="00626BEC" w:rsidRPr="00E52C29">
        <w:rPr>
          <w:rFonts w:cs="Arial"/>
          <w:szCs w:val="24"/>
        </w:rPr>
        <w:t xml:space="preserve">He alleges Trakman must be removed as a liquidator because he induced his appointment as such in contravention of </w:t>
      </w:r>
      <w:r w:rsidR="000E7190" w:rsidRPr="00E52C29">
        <w:rPr>
          <w:rFonts w:cs="Arial"/>
          <w:szCs w:val="24"/>
        </w:rPr>
        <w:t xml:space="preserve">section 372 of the old Companies Act. </w:t>
      </w:r>
      <w:r w:rsidR="00C327A7" w:rsidRPr="00E52C29">
        <w:rPr>
          <w:rFonts w:cs="Arial"/>
          <w:szCs w:val="24"/>
        </w:rPr>
        <w:t>As to the merits h</w:t>
      </w:r>
      <w:r w:rsidR="007E1047" w:rsidRPr="00E52C29">
        <w:rPr>
          <w:rFonts w:cs="Arial"/>
          <w:szCs w:val="24"/>
        </w:rPr>
        <w:t xml:space="preserve">e also raises in respect of </w:t>
      </w:r>
      <w:r w:rsidR="009F56EB" w:rsidRPr="00E52C29">
        <w:rPr>
          <w:rFonts w:cs="Arial"/>
          <w:szCs w:val="24"/>
        </w:rPr>
        <w:t xml:space="preserve">the second </w:t>
      </w:r>
      <w:r w:rsidR="003C5B19" w:rsidRPr="00E52C29">
        <w:rPr>
          <w:rFonts w:cs="Arial"/>
          <w:szCs w:val="24"/>
        </w:rPr>
        <w:t>claim</w:t>
      </w:r>
      <w:r>
        <w:rPr>
          <w:rFonts w:cs="Arial"/>
          <w:szCs w:val="24"/>
        </w:rPr>
        <w:t xml:space="preserve"> (</w:t>
      </w:r>
      <w:r w:rsidR="00735FAE" w:rsidRPr="00E52C29">
        <w:rPr>
          <w:rFonts w:cs="Arial"/>
          <w:szCs w:val="24"/>
        </w:rPr>
        <w:t xml:space="preserve">the rental reduction claim) </w:t>
      </w:r>
      <w:r w:rsidR="003C5B19" w:rsidRPr="00E52C29">
        <w:rPr>
          <w:rFonts w:cs="Arial"/>
          <w:szCs w:val="24"/>
        </w:rPr>
        <w:t>that</w:t>
      </w:r>
      <w:r w:rsidR="009F56EB" w:rsidRPr="00E52C29">
        <w:rPr>
          <w:rFonts w:cs="Arial"/>
          <w:szCs w:val="24"/>
        </w:rPr>
        <w:t xml:space="preserve"> he has a legitimate business reasons for doing so as he was</w:t>
      </w:r>
      <w:r w:rsidR="002A3006" w:rsidRPr="00E52C29">
        <w:rPr>
          <w:rFonts w:cs="Arial"/>
          <w:szCs w:val="24"/>
        </w:rPr>
        <w:t>,</w:t>
      </w:r>
      <w:r w:rsidR="009F56EB" w:rsidRPr="00E52C29">
        <w:rPr>
          <w:rFonts w:cs="Arial"/>
          <w:szCs w:val="24"/>
        </w:rPr>
        <w:t xml:space="preserve"> de facto</w:t>
      </w:r>
      <w:r w:rsidR="002A3006" w:rsidRPr="00E52C29">
        <w:rPr>
          <w:rFonts w:cs="Arial"/>
          <w:szCs w:val="24"/>
        </w:rPr>
        <w:t>,</w:t>
      </w:r>
      <w:r w:rsidR="009F56EB" w:rsidRPr="00E52C29">
        <w:rPr>
          <w:rFonts w:cs="Arial"/>
          <w:szCs w:val="24"/>
        </w:rPr>
        <w:t xml:space="preserve"> the sole director of the companies at the time and this decision</w:t>
      </w:r>
      <w:r w:rsidR="00BB3075" w:rsidRPr="00E52C29">
        <w:rPr>
          <w:rFonts w:cs="Arial"/>
          <w:szCs w:val="24"/>
        </w:rPr>
        <w:t xml:space="preserve"> in respect of the rental reductions,</w:t>
      </w:r>
      <w:r w:rsidR="009F56EB" w:rsidRPr="00E52C29">
        <w:rPr>
          <w:rFonts w:cs="Arial"/>
          <w:szCs w:val="24"/>
        </w:rPr>
        <w:t xml:space="preserve"> was a business judgment call</w:t>
      </w:r>
      <w:r w:rsidR="00BB3075" w:rsidRPr="00E52C29">
        <w:rPr>
          <w:rFonts w:cs="Arial"/>
          <w:szCs w:val="24"/>
        </w:rPr>
        <w:t>,</w:t>
      </w:r>
      <w:r w:rsidR="009F56EB" w:rsidRPr="00E52C29">
        <w:rPr>
          <w:rFonts w:cs="Arial"/>
          <w:szCs w:val="24"/>
        </w:rPr>
        <w:t xml:space="preserve"> not a breach of </w:t>
      </w:r>
      <w:r w:rsidR="009F56EB" w:rsidRPr="00E52C29">
        <w:rPr>
          <w:rFonts w:cs="Arial"/>
          <w:szCs w:val="24"/>
        </w:rPr>
        <w:lastRenderedPageBreak/>
        <w:t>a fiduciary</w:t>
      </w:r>
      <w:r w:rsidR="009D4DD9" w:rsidRPr="00E52C29">
        <w:rPr>
          <w:rFonts w:cs="Arial"/>
          <w:szCs w:val="24"/>
        </w:rPr>
        <w:t xml:space="preserve"> duty</w:t>
      </w:r>
      <w:r w:rsidR="009F56EB" w:rsidRPr="00E52C29">
        <w:rPr>
          <w:rFonts w:cs="Arial"/>
          <w:szCs w:val="24"/>
        </w:rPr>
        <w:t xml:space="preserve">. This defence </w:t>
      </w:r>
      <w:r w:rsidR="003C5B19" w:rsidRPr="00E52C29">
        <w:rPr>
          <w:rFonts w:cs="Arial"/>
          <w:szCs w:val="24"/>
        </w:rPr>
        <w:t xml:space="preserve">also </w:t>
      </w:r>
      <w:r w:rsidR="00EA432A" w:rsidRPr="00E52C29">
        <w:rPr>
          <w:rFonts w:cs="Arial"/>
          <w:szCs w:val="24"/>
        </w:rPr>
        <w:t>raises</w:t>
      </w:r>
      <w:r w:rsidR="00185AEE" w:rsidRPr="00E52C29">
        <w:rPr>
          <w:rFonts w:cs="Arial"/>
          <w:szCs w:val="24"/>
        </w:rPr>
        <w:t xml:space="preserve"> a triable issue over the </w:t>
      </w:r>
      <w:r w:rsidR="00926784" w:rsidRPr="00E52C29">
        <w:rPr>
          <w:rFonts w:cs="Arial"/>
          <w:szCs w:val="24"/>
        </w:rPr>
        <w:t>judgment exercised by Wasilewsky</w:t>
      </w:r>
      <w:r w:rsidR="009F56EB" w:rsidRPr="00E52C29">
        <w:rPr>
          <w:rFonts w:cs="Arial"/>
          <w:szCs w:val="24"/>
        </w:rPr>
        <w:t>.</w:t>
      </w:r>
    </w:p>
    <w:p w14:paraId="41D1C7D2" w14:textId="36E29CFA" w:rsidR="00823D14" w:rsidRPr="00E52C29" w:rsidRDefault="00E52C29" w:rsidP="00F85F00">
      <w:pPr>
        <w:spacing w:after="360" w:line="480" w:lineRule="auto"/>
        <w:ind w:left="720" w:hanging="720"/>
        <w:jc w:val="both"/>
        <w:rPr>
          <w:rFonts w:cs="Arial"/>
          <w:szCs w:val="24"/>
        </w:rPr>
      </w:pPr>
      <w:r>
        <w:rPr>
          <w:rFonts w:cs="Arial"/>
          <w:szCs w:val="24"/>
        </w:rPr>
        <w:t>[21]</w:t>
      </w:r>
      <w:r>
        <w:rPr>
          <w:rFonts w:cs="Arial"/>
          <w:szCs w:val="24"/>
        </w:rPr>
        <w:tab/>
      </w:r>
      <w:r w:rsidR="009F56EB" w:rsidRPr="00E52C29">
        <w:rPr>
          <w:rFonts w:cs="Arial"/>
          <w:szCs w:val="24"/>
        </w:rPr>
        <w:t>In relation to claim three his alternate defe</w:t>
      </w:r>
      <w:r w:rsidR="007D5ED2" w:rsidRPr="00E52C29">
        <w:rPr>
          <w:rFonts w:cs="Arial"/>
          <w:szCs w:val="24"/>
        </w:rPr>
        <w:t xml:space="preserve">nce is that these payments were made before the liquidators were appointed and </w:t>
      </w:r>
      <w:r w:rsidR="00823D14" w:rsidRPr="00E52C29">
        <w:rPr>
          <w:rFonts w:cs="Arial"/>
          <w:szCs w:val="24"/>
        </w:rPr>
        <w:t xml:space="preserve">would have had to be paid in any event by the liquidators. </w:t>
      </w:r>
      <w:r w:rsidR="00D13C79" w:rsidRPr="00E52C29">
        <w:rPr>
          <w:rFonts w:cs="Arial"/>
          <w:szCs w:val="24"/>
        </w:rPr>
        <w:t xml:space="preserve">He also filed a counterclaim along with his special plea and plea. In his counterclaim </w:t>
      </w:r>
      <w:r w:rsidR="00071B3C" w:rsidRPr="00E52C29">
        <w:rPr>
          <w:rFonts w:cs="Arial"/>
          <w:szCs w:val="24"/>
        </w:rPr>
        <w:t xml:space="preserve">he asks for the removal of Trakman as a liquidator of the various companies </w:t>
      </w:r>
      <w:r w:rsidR="00EA24ED" w:rsidRPr="00E52C29">
        <w:rPr>
          <w:rFonts w:cs="Arial"/>
          <w:szCs w:val="24"/>
        </w:rPr>
        <w:t xml:space="preserve">and for </w:t>
      </w:r>
      <w:r w:rsidR="004F0AA0" w:rsidRPr="00E52C29">
        <w:rPr>
          <w:rFonts w:cs="Arial"/>
          <w:szCs w:val="24"/>
        </w:rPr>
        <w:t xml:space="preserve">the liquidators </w:t>
      </w:r>
      <w:r w:rsidR="008E2AE8" w:rsidRPr="00E52C29">
        <w:rPr>
          <w:rFonts w:cs="Arial"/>
          <w:szCs w:val="24"/>
        </w:rPr>
        <w:t>to distribute his shareholding</w:t>
      </w:r>
      <w:r w:rsidR="00935D4A" w:rsidRPr="00E52C29">
        <w:rPr>
          <w:rFonts w:cs="Arial"/>
          <w:szCs w:val="24"/>
        </w:rPr>
        <w:t xml:space="preserve"> of the surplus assets of the companies</w:t>
      </w:r>
      <w:r w:rsidR="008E2AE8" w:rsidRPr="00E52C29">
        <w:rPr>
          <w:rFonts w:cs="Arial"/>
          <w:szCs w:val="24"/>
        </w:rPr>
        <w:t xml:space="preserve"> (which</w:t>
      </w:r>
      <w:r w:rsidR="00973FA4" w:rsidRPr="00E52C29">
        <w:rPr>
          <w:rFonts w:cs="Arial"/>
          <w:szCs w:val="24"/>
        </w:rPr>
        <w:t xml:space="preserve"> he alleges</w:t>
      </w:r>
      <w:r w:rsidR="008E2AE8" w:rsidRPr="00E52C29">
        <w:rPr>
          <w:rFonts w:cs="Arial"/>
          <w:szCs w:val="24"/>
        </w:rPr>
        <w:t xml:space="preserve"> is 28%) </w:t>
      </w:r>
      <w:r w:rsidR="00757727" w:rsidRPr="00E52C29">
        <w:rPr>
          <w:rFonts w:cs="Arial"/>
          <w:color w:val="000000"/>
          <w:szCs w:val="24"/>
        </w:rPr>
        <w:t xml:space="preserve">on confirmation of </w:t>
      </w:r>
      <w:r w:rsidR="00390669" w:rsidRPr="00E52C29">
        <w:rPr>
          <w:rFonts w:cs="Arial"/>
          <w:color w:val="000000"/>
          <w:szCs w:val="24"/>
        </w:rPr>
        <w:t>t</w:t>
      </w:r>
      <w:r w:rsidR="00757727" w:rsidRPr="00E52C29">
        <w:rPr>
          <w:rFonts w:cs="Arial"/>
          <w:color w:val="000000"/>
          <w:szCs w:val="24"/>
        </w:rPr>
        <w:t>he final liquidation and distribution account.</w:t>
      </w:r>
    </w:p>
    <w:p w14:paraId="2EB596B7" w14:textId="0EA3BE80" w:rsidR="00976A8A" w:rsidRPr="00E52C29" w:rsidRDefault="00E52C29" w:rsidP="00F85F00">
      <w:pPr>
        <w:spacing w:after="360" w:line="480" w:lineRule="auto"/>
        <w:ind w:left="720" w:hanging="720"/>
        <w:jc w:val="both"/>
        <w:rPr>
          <w:rFonts w:cs="Arial"/>
          <w:szCs w:val="24"/>
        </w:rPr>
      </w:pPr>
      <w:r>
        <w:rPr>
          <w:rFonts w:cs="Arial"/>
          <w:szCs w:val="24"/>
        </w:rPr>
        <w:t>[22]</w:t>
      </w:r>
      <w:r>
        <w:rPr>
          <w:rFonts w:cs="Arial"/>
          <w:szCs w:val="24"/>
        </w:rPr>
        <w:tab/>
      </w:r>
      <w:r w:rsidR="00976A8A" w:rsidRPr="00E52C29">
        <w:rPr>
          <w:rFonts w:cs="Arial"/>
          <w:szCs w:val="24"/>
        </w:rPr>
        <w:t xml:space="preserve">Whatever the merits or otherwise of the alternative defences they all raise disputes of fact which make them triable issues. In any event the claim of prescription permeates all three claims and on its own constitutes a triable issue on the current papers. The test for a </w:t>
      </w:r>
      <w:r w:rsidR="00A07E0F" w:rsidRPr="00E52C29">
        <w:rPr>
          <w:rFonts w:cs="Arial"/>
          <w:szCs w:val="24"/>
        </w:rPr>
        <w:t>bona fide defence in cases for the upliftment of a bar is the same as for resisting summary judgment</w:t>
      </w:r>
      <w:r w:rsidR="008C379D" w:rsidRPr="00E52C29">
        <w:rPr>
          <w:rFonts w:cs="Arial"/>
          <w:szCs w:val="24"/>
        </w:rPr>
        <w:t>.</w:t>
      </w:r>
      <w:r w:rsidR="004B56A9">
        <w:rPr>
          <w:rStyle w:val="FootnoteReference"/>
          <w:rFonts w:cs="Arial"/>
          <w:szCs w:val="24"/>
        </w:rPr>
        <w:footnoteReference w:id="2"/>
      </w:r>
      <w:r w:rsidR="00A07E0F" w:rsidRPr="00E52C29">
        <w:rPr>
          <w:rFonts w:cs="Arial"/>
          <w:szCs w:val="24"/>
        </w:rPr>
        <w:t xml:space="preserve"> </w:t>
      </w:r>
    </w:p>
    <w:p w14:paraId="2D91F0E2" w14:textId="39AA1FD7" w:rsidR="00217FA4" w:rsidRPr="00E52C29" w:rsidRDefault="00E52C29" w:rsidP="00F85F00">
      <w:pPr>
        <w:spacing w:after="360" w:line="480" w:lineRule="auto"/>
        <w:jc w:val="both"/>
        <w:rPr>
          <w:rFonts w:cs="Arial"/>
          <w:szCs w:val="24"/>
        </w:rPr>
      </w:pPr>
      <w:r>
        <w:rPr>
          <w:rFonts w:cs="Arial"/>
          <w:szCs w:val="24"/>
        </w:rPr>
        <w:t>[23]</w:t>
      </w:r>
      <w:r>
        <w:rPr>
          <w:rFonts w:cs="Arial"/>
          <w:szCs w:val="24"/>
        </w:rPr>
        <w:tab/>
      </w:r>
      <w:r w:rsidR="00976A8A" w:rsidRPr="00E52C29">
        <w:rPr>
          <w:rFonts w:cs="Arial"/>
          <w:szCs w:val="24"/>
        </w:rPr>
        <w:t>I consider then that Wasilewsky has</w:t>
      </w:r>
      <w:r w:rsidR="009F56EB" w:rsidRPr="00E52C29">
        <w:rPr>
          <w:rFonts w:cs="Arial"/>
          <w:szCs w:val="24"/>
        </w:rPr>
        <w:t xml:space="preserve"> </w:t>
      </w:r>
      <w:r w:rsidR="00F802D8" w:rsidRPr="00E52C29">
        <w:rPr>
          <w:rFonts w:cs="Arial"/>
          <w:szCs w:val="24"/>
        </w:rPr>
        <w:t>raised a bona fide defence.</w:t>
      </w:r>
    </w:p>
    <w:p w14:paraId="65E1D11C" w14:textId="584FF564" w:rsidR="00F802D8" w:rsidRDefault="00F802D8" w:rsidP="00F85F00">
      <w:pPr>
        <w:pStyle w:val="ListParagraph"/>
        <w:spacing w:after="360" w:line="480" w:lineRule="auto"/>
        <w:jc w:val="both"/>
        <w:rPr>
          <w:rFonts w:cs="Arial"/>
          <w:szCs w:val="24"/>
        </w:rPr>
      </w:pPr>
      <w:r w:rsidRPr="00343640">
        <w:rPr>
          <w:rFonts w:cs="Arial"/>
          <w:b/>
          <w:bCs/>
          <w:i/>
          <w:iCs/>
          <w:szCs w:val="24"/>
        </w:rPr>
        <w:t>Bona fides</w:t>
      </w:r>
    </w:p>
    <w:p w14:paraId="785307E9" w14:textId="22ADF6B6" w:rsidR="00A732C7" w:rsidRPr="00E52C29" w:rsidRDefault="00E52C29" w:rsidP="00F85F00">
      <w:pPr>
        <w:spacing w:after="360" w:line="480" w:lineRule="auto"/>
        <w:ind w:left="720" w:hanging="720"/>
        <w:jc w:val="both"/>
        <w:rPr>
          <w:rFonts w:cs="Arial"/>
          <w:i/>
          <w:iCs/>
          <w:szCs w:val="24"/>
        </w:rPr>
      </w:pPr>
      <w:r>
        <w:rPr>
          <w:rFonts w:cs="Arial"/>
          <w:szCs w:val="24"/>
        </w:rPr>
        <w:t>[24]</w:t>
      </w:r>
      <w:r>
        <w:rPr>
          <w:rFonts w:cs="Arial"/>
          <w:szCs w:val="24"/>
        </w:rPr>
        <w:tab/>
      </w:r>
      <w:r w:rsidR="00E46575" w:rsidRPr="00E52C29">
        <w:rPr>
          <w:rFonts w:cs="Arial"/>
          <w:szCs w:val="24"/>
        </w:rPr>
        <w:t>Rogers J has explained how the concept</w:t>
      </w:r>
      <w:r w:rsidR="00A472F1" w:rsidRPr="00E52C29">
        <w:rPr>
          <w:rFonts w:cs="Arial"/>
          <w:szCs w:val="24"/>
        </w:rPr>
        <w:t xml:space="preserve"> of bona fides</w:t>
      </w:r>
      <w:r w:rsidR="00E46575" w:rsidRPr="00E52C29">
        <w:rPr>
          <w:rFonts w:cs="Arial"/>
          <w:szCs w:val="24"/>
        </w:rPr>
        <w:t xml:space="preserve"> has come to be understood in our law:</w:t>
      </w:r>
    </w:p>
    <w:p w14:paraId="23170D92" w14:textId="41347341" w:rsidR="00F06197" w:rsidRDefault="00435AD7" w:rsidP="00F85F00">
      <w:pPr>
        <w:pStyle w:val="ListParagraph"/>
        <w:spacing w:after="360" w:line="480" w:lineRule="auto"/>
        <w:ind w:left="1440"/>
        <w:jc w:val="both"/>
        <w:rPr>
          <w:rFonts w:cs="Arial"/>
          <w:i/>
          <w:iCs/>
          <w:szCs w:val="24"/>
        </w:rPr>
      </w:pPr>
      <w:r w:rsidRPr="00BD1573">
        <w:rPr>
          <w:rFonts w:cs="Arial"/>
          <w:i/>
          <w:iCs/>
          <w:szCs w:val="24"/>
        </w:rPr>
        <w:lastRenderedPageBreak/>
        <w:t xml:space="preserve">“Bona fides have to do with the belief on the part of the litigant as to the truth or falsity of his factual statements; it </w:t>
      </w:r>
      <w:r w:rsidR="005B0F47" w:rsidRPr="00BD1573">
        <w:rPr>
          <w:rFonts w:cs="Arial"/>
          <w:i/>
          <w:iCs/>
          <w:szCs w:val="24"/>
        </w:rPr>
        <w:t>is a</w:t>
      </w:r>
      <w:r w:rsidRPr="00BD1573">
        <w:rPr>
          <w:rFonts w:cs="Arial"/>
          <w:i/>
          <w:iCs/>
          <w:szCs w:val="24"/>
        </w:rPr>
        <w:t xml:space="preserve"> separate element relating to the state of the defendant's mind (El-Naddaf at 784G —7858, quoting from Bre</w:t>
      </w:r>
      <w:r w:rsidR="00E443FA">
        <w:rPr>
          <w:rFonts w:cs="Arial"/>
          <w:i/>
          <w:iCs/>
          <w:szCs w:val="24"/>
        </w:rPr>
        <w:t>i</w:t>
      </w:r>
      <w:r w:rsidRPr="00BD1573">
        <w:rPr>
          <w:rFonts w:cs="Arial"/>
          <w:i/>
          <w:iCs/>
          <w:szCs w:val="24"/>
        </w:rPr>
        <w:t>tenbach).</w:t>
      </w:r>
      <w:r w:rsidR="00BD1573">
        <w:rPr>
          <w:rStyle w:val="FootnoteReference"/>
          <w:rFonts w:cs="Arial"/>
          <w:i/>
          <w:iCs/>
          <w:szCs w:val="24"/>
        </w:rPr>
        <w:footnoteReference w:id="3"/>
      </w:r>
    </w:p>
    <w:p w14:paraId="68766DC3" w14:textId="18155F92" w:rsidR="00A732C7" w:rsidRPr="00E52C29" w:rsidRDefault="00E52C29" w:rsidP="00F85F00">
      <w:pPr>
        <w:spacing w:after="360" w:line="480" w:lineRule="auto"/>
        <w:ind w:left="720" w:hanging="720"/>
        <w:jc w:val="both"/>
        <w:rPr>
          <w:rFonts w:cs="Arial"/>
          <w:i/>
          <w:iCs/>
          <w:szCs w:val="24"/>
        </w:rPr>
      </w:pPr>
      <w:r>
        <w:rPr>
          <w:rFonts w:cs="Arial"/>
          <w:szCs w:val="24"/>
        </w:rPr>
        <w:t>[25]</w:t>
      </w:r>
      <w:r>
        <w:rPr>
          <w:rFonts w:cs="Arial"/>
          <w:szCs w:val="24"/>
        </w:rPr>
        <w:tab/>
      </w:r>
      <w:r w:rsidR="00EB13AB" w:rsidRPr="00E52C29">
        <w:rPr>
          <w:rFonts w:cs="Arial"/>
          <w:szCs w:val="24"/>
        </w:rPr>
        <w:t xml:space="preserve">The plaintiffs argue that Wasilewsky is not bona fide in this matter. Much reliance is placed on a statement by his attorney that </w:t>
      </w:r>
      <w:r w:rsidR="002B2FD9" w:rsidRPr="00E52C29">
        <w:rPr>
          <w:rFonts w:cs="Arial"/>
          <w:szCs w:val="24"/>
        </w:rPr>
        <w:t xml:space="preserve">she had only instructed counsel </w:t>
      </w:r>
      <w:r w:rsidR="0043522C" w:rsidRPr="00E52C29">
        <w:rPr>
          <w:rFonts w:cs="Arial"/>
          <w:szCs w:val="24"/>
        </w:rPr>
        <w:t xml:space="preserve">to draft the defence documents once Notice of bar had been served. This might justify criticism of the diligence of the </w:t>
      </w:r>
      <w:r w:rsidR="00455667" w:rsidRPr="00E52C29">
        <w:rPr>
          <w:rFonts w:cs="Arial"/>
          <w:szCs w:val="24"/>
        </w:rPr>
        <w:t>attorney,</w:t>
      </w:r>
      <w:r w:rsidR="0043522C" w:rsidRPr="00E52C29">
        <w:rPr>
          <w:rFonts w:cs="Arial"/>
          <w:szCs w:val="24"/>
        </w:rPr>
        <w:t xml:space="preserve"> but it does not make</w:t>
      </w:r>
      <w:r w:rsidR="00243BCE" w:rsidRPr="00E52C29">
        <w:rPr>
          <w:rFonts w:cs="Arial"/>
          <w:szCs w:val="24"/>
        </w:rPr>
        <w:t xml:space="preserve"> </w:t>
      </w:r>
      <w:r w:rsidR="00F90B8B" w:rsidRPr="00E52C29">
        <w:rPr>
          <w:rFonts w:cs="Arial"/>
          <w:szCs w:val="24"/>
        </w:rPr>
        <w:t>Wasilewsky</w:t>
      </w:r>
      <w:r w:rsidR="0077177C" w:rsidRPr="00E52C29">
        <w:rPr>
          <w:rFonts w:cs="Arial"/>
          <w:szCs w:val="24"/>
        </w:rPr>
        <w:t xml:space="preserve"> someone who does not believe in the truth of his own claims. Indeed</w:t>
      </w:r>
      <w:r w:rsidR="00E760EE" w:rsidRPr="00E52C29">
        <w:rPr>
          <w:rFonts w:cs="Arial"/>
          <w:szCs w:val="24"/>
        </w:rPr>
        <w:t>,</w:t>
      </w:r>
      <w:r w:rsidR="0077177C" w:rsidRPr="00E52C29">
        <w:rPr>
          <w:rFonts w:cs="Arial"/>
          <w:szCs w:val="24"/>
        </w:rPr>
        <w:t xml:space="preserve"> the admission is a frank one. </w:t>
      </w:r>
      <w:r w:rsidR="00C027E4" w:rsidRPr="00E52C29">
        <w:rPr>
          <w:rFonts w:cs="Arial"/>
          <w:szCs w:val="24"/>
        </w:rPr>
        <w:t>Contrast with the basis for the court rejecting the litig</w:t>
      </w:r>
      <w:r w:rsidR="0057700B" w:rsidRPr="00E52C29">
        <w:rPr>
          <w:rFonts w:cs="Arial"/>
          <w:szCs w:val="24"/>
        </w:rPr>
        <w:t>ant</w:t>
      </w:r>
      <w:r w:rsidR="00E264A0" w:rsidRPr="00E52C29">
        <w:rPr>
          <w:rFonts w:cs="Arial"/>
          <w:szCs w:val="24"/>
        </w:rPr>
        <w:t>’</w:t>
      </w:r>
      <w:r w:rsidR="0057700B" w:rsidRPr="00E52C29">
        <w:rPr>
          <w:rFonts w:cs="Arial"/>
          <w:szCs w:val="24"/>
        </w:rPr>
        <w:t xml:space="preserve">s bona fides in </w:t>
      </w:r>
      <w:r w:rsidR="007E0903" w:rsidRPr="00E52C29">
        <w:rPr>
          <w:rFonts w:cs="Arial"/>
          <w:i/>
          <w:iCs/>
          <w:szCs w:val="24"/>
        </w:rPr>
        <w:t>Ingosstr</w:t>
      </w:r>
      <w:r w:rsidR="002A292B" w:rsidRPr="00E52C29">
        <w:rPr>
          <w:rFonts w:cs="Arial"/>
          <w:i/>
          <w:iCs/>
          <w:szCs w:val="24"/>
        </w:rPr>
        <w:t>a</w:t>
      </w:r>
      <w:r w:rsidR="007E0903" w:rsidRPr="00E52C29">
        <w:rPr>
          <w:rFonts w:cs="Arial"/>
          <w:i/>
          <w:iCs/>
          <w:szCs w:val="24"/>
        </w:rPr>
        <w:t xml:space="preserve">kh </w:t>
      </w:r>
      <w:r w:rsidR="007E0903" w:rsidRPr="00E52C29">
        <w:rPr>
          <w:rFonts w:cs="Arial"/>
          <w:szCs w:val="24"/>
        </w:rPr>
        <w:t>where the court found that the true motive of the li</w:t>
      </w:r>
      <w:r w:rsidR="000011EB" w:rsidRPr="00E52C29">
        <w:rPr>
          <w:rFonts w:cs="Arial"/>
          <w:szCs w:val="24"/>
        </w:rPr>
        <w:t>tigant</w:t>
      </w:r>
      <w:r w:rsidR="000B6D83" w:rsidRPr="00E52C29">
        <w:rPr>
          <w:rFonts w:cs="Arial"/>
          <w:szCs w:val="24"/>
        </w:rPr>
        <w:t>:</w:t>
      </w:r>
      <w:r w:rsidR="000011EB" w:rsidRPr="00E52C29">
        <w:rPr>
          <w:rFonts w:cs="Arial"/>
          <w:i/>
          <w:iCs/>
          <w:szCs w:val="24"/>
        </w:rPr>
        <w:t xml:space="preserve"> </w:t>
      </w:r>
      <w:r w:rsidR="00E65CF1" w:rsidRPr="00E52C29">
        <w:rPr>
          <w:rFonts w:cs="Arial"/>
          <w:i/>
          <w:iCs/>
          <w:szCs w:val="24"/>
        </w:rPr>
        <w:t>“…</w:t>
      </w:r>
      <w:r w:rsidR="004D1055" w:rsidRPr="00E52C29">
        <w:rPr>
          <w:rFonts w:cs="Arial"/>
          <w:i/>
          <w:iCs/>
          <w:szCs w:val="24"/>
        </w:rPr>
        <w:t xml:space="preserve">was a disguised and contrived attempt to </w:t>
      </w:r>
      <w:r w:rsidR="00B02665" w:rsidRPr="00E52C29">
        <w:rPr>
          <w:rFonts w:cs="Arial"/>
          <w:i/>
          <w:iCs/>
          <w:szCs w:val="24"/>
        </w:rPr>
        <w:t xml:space="preserve">introduce prescription as a defence to the action, a fact expressly conceded by </w:t>
      </w:r>
      <w:r w:rsidR="00907616" w:rsidRPr="00E52C29">
        <w:rPr>
          <w:rFonts w:cs="Arial"/>
          <w:i/>
          <w:iCs/>
          <w:szCs w:val="24"/>
        </w:rPr>
        <w:t>Ingosstrakh’ s</w:t>
      </w:r>
      <w:r w:rsidR="00B02665" w:rsidRPr="00E52C29">
        <w:rPr>
          <w:rFonts w:cs="Arial"/>
          <w:i/>
          <w:iCs/>
          <w:szCs w:val="24"/>
        </w:rPr>
        <w:t xml:space="preserve"> counsel.... This put paid to any suggestion by Ingosstr</w:t>
      </w:r>
      <w:r w:rsidR="002A292B" w:rsidRPr="00E52C29">
        <w:rPr>
          <w:rFonts w:cs="Arial"/>
          <w:i/>
          <w:iCs/>
          <w:szCs w:val="24"/>
        </w:rPr>
        <w:t>a</w:t>
      </w:r>
      <w:r w:rsidR="00B02665" w:rsidRPr="00E52C29">
        <w:rPr>
          <w:rFonts w:cs="Arial"/>
          <w:i/>
          <w:iCs/>
          <w:szCs w:val="24"/>
        </w:rPr>
        <w:t>kh that the application was pursued bona fide. Nothing more needs to be said about this.</w:t>
      </w:r>
      <w:r w:rsidR="009279C8" w:rsidRPr="00E52C29">
        <w:rPr>
          <w:rFonts w:cs="Arial"/>
          <w:i/>
          <w:iCs/>
          <w:szCs w:val="24"/>
        </w:rPr>
        <w:t>”</w:t>
      </w:r>
    </w:p>
    <w:p w14:paraId="53BC7DA5" w14:textId="006565EE" w:rsidR="00E060FA" w:rsidRPr="00E52C29" w:rsidRDefault="00E52C29" w:rsidP="00F85F00">
      <w:pPr>
        <w:spacing w:after="360" w:line="480" w:lineRule="auto"/>
        <w:ind w:left="720" w:hanging="720"/>
        <w:jc w:val="both"/>
        <w:rPr>
          <w:rFonts w:cs="Arial"/>
          <w:i/>
          <w:iCs/>
          <w:szCs w:val="24"/>
        </w:rPr>
      </w:pPr>
      <w:r>
        <w:rPr>
          <w:rFonts w:cs="Arial"/>
          <w:szCs w:val="24"/>
        </w:rPr>
        <w:t>[26]</w:t>
      </w:r>
      <w:r>
        <w:rPr>
          <w:rFonts w:cs="Arial"/>
          <w:szCs w:val="24"/>
        </w:rPr>
        <w:tab/>
      </w:r>
      <w:r w:rsidR="00E060FA" w:rsidRPr="00E52C29">
        <w:rPr>
          <w:rFonts w:cs="Arial"/>
          <w:szCs w:val="24"/>
        </w:rPr>
        <w:t>Ther</w:t>
      </w:r>
      <w:r w:rsidR="00163C5F" w:rsidRPr="00E52C29">
        <w:rPr>
          <w:rFonts w:cs="Arial"/>
          <w:szCs w:val="24"/>
        </w:rPr>
        <w:t xml:space="preserve">e is no basis to find that </w:t>
      </w:r>
      <w:r w:rsidR="00C4431D" w:rsidRPr="00E52C29">
        <w:rPr>
          <w:rFonts w:cs="Arial"/>
          <w:szCs w:val="24"/>
        </w:rPr>
        <w:t>Wasilewsky</w:t>
      </w:r>
      <w:r w:rsidR="00163C5F" w:rsidRPr="00E52C29">
        <w:rPr>
          <w:rFonts w:cs="Arial"/>
          <w:szCs w:val="24"/>
        </w:rPr>
        <w:t xml:space="preserve"> is not acting bona fide in the sense this term is used in the case law.</w:t>
      </w:r>
    </w:p>
    <w:p w14:paraId="3B8DADBB" w14:textId="20522516" w:rsidR="006B3FAB" w:rsidRPr="00E52C29" w:rsidRDefault="00E52C29" w:rsidP="00F85F00">
      <w:pPr>
        <w:spacing w:after="360" w:line="480" w:lineRule="auto"/>
        <w:ind w:left="720" w:hanging="720"/>
        <w:jc w:val="both"/>
        <w:rPr>
          <w:rFonts w:cs="Arial"/>
          <w:i/>
          <w:iCs/>
          <w:szCs w:val="24"/>
        </w:rPr>
      </w:pPr>
      <w:r>
        <w:rPr>
          <w:rFonts w:cs="Arial"/>
          <w:szCs w:val="24"/>
        </w:rPr>
        <w:t>[27]</w:t>
      </w:r>
      <w:r>
        <w:rPr>
          <w:rFonts w:cs="Arial"/>
          <w:szCs w:val="24"/>
        </w:rPr>
        <w:tab/>
      </w:r>
      <w:r w:rsidR="00163C5F" w:rsidRPr="00E52C29">
        <w:rPr>
          <w:rFonts w:cs="Arial"/>
          <w:szCs w:val="24"/>
        </w:rPr>
        <w:t>The more difficult issue and which is why I have turned to it last</w:t>
      </w:r>
      <w:r w:rsidR="008721D9" w:rsidRPr="00E52C29">
        <w:rPr>
          <w:rFonts w:cs="Arial"/>
          <w:szCs w:val="24"/>
        </w:rPr>
        <w:t>,</w:t>
      </w:r>
      <w:r w:rsidR="00163C5F" w:rsidRPr="00E52C29">
        <w:rPr>
          <w:rFonts w:cs="Arial"/>
          <w:szCs w:val="24"/>
        </w:rPr>
        <w:t xml:space="preserve"> is whether </w:t>
      </w:r>
      <w:r w:rsidR="00C4431D" w:rsidRPr="00E52C29">
        <w:rPr>
          <w:rFonts w:cs="Arial"/>
          <w:szCs w:val="24"/>
        </w:rPr>
        <w:t>Wasilewsky</w:t>
      </w:r>
      <w:r w:rsidR="00163C5F" w:rsidRPr="00E52C29">
        <w:rPr>
          <w:rFonts w:cs="Arial"/>
          <w:szCs w:val="24"/>
        </w:rPr>
        <w:t xml:space="preserve"> gives a </w:t>
      </w:r>
      <w:r w:rsidR="00D4389A" w:rsidRPr="00E52C29">
        <w:rPr>
          <w:rFonts w:cs="Arial"/>
          <w:szCs w:val="24"/>
        </w:rPr>
        <w:t xml:space="preserve">reasonable and acceptable explanation for the default. </w:t>
      </w:r>
      <w:r w:rsidR="00003061" w:rsidRPr="00E52C29">
        <w:rPr>
          <w:rFonts w:cs="Arial"/>
          <w:szCs w:val="24"/>
        </w:rPr>
        <w:t xml:space="preserve">In order to meet this standard </w:t>
      </w:r>
      <w:r w:rsidR="00C4431D" w:rsidRPr="00E52C29">
        <w:rPr>
          <w:rFonts w:cs="Arial"/>
          <w:szCs w:val="24"/>
        </w:rPr>
        <w:t>Wasilewsky</w:t>
      </w:r>
      <w:r w:rsidR="00C4404F" w:rsidRPr="00E52C29">
        <w:rPr>
          <w:rFonts w:cs="Arial"/>
          <w:szCs w:val="24"/>
        </w:rPr>
        <w:t xml:space="preserve"> </w:t>
      </w:r>
      <w:r w:rsidR="002867EA" w:rsidRPr="00E52C29">
        <w:rPr>
          <w:rFonts w:cs="Arial"/>
          <w:szCs w:val="24"/>
        </w:rPr>
        <w:t xml:space="preserve">needs to explain not only his default </w:t>
      </w:r>
      <w:r w:rsidR="00645107" w:rsidRPr="00E52C29">
        <w:rPr>
          <w:rFonts w:cs="Arial"/>
          <w:szCs w:val="24"/>
        </w:rPr>
        <w:t xml:space="preserve">after the </w:t>
      </w:r>
      <w:r w:rsidR="00645107" w:rsidRPr="00E52C29">
        <w:rPr>
          <w:rFonts w:cs="Arial"/>
          <w:szCs w:val="24"/>
        </w:rPr>
        <w:lastRenderedPageBreak/>
        <w:t xml:space="preserve">service of </w:t>
      </w:r>
      <w:r w:rsidR="00D618E5" w:rsidRPr="00E52C29">
        <w:rPr>
          <w:rFonts w:cs="Arial"/>
          <w:szCs w:val="24"/>
        </w:rPr>
        <w:t>n</w:t>
      </w:r>
      <w:r w:rsidR="00645107" w:rsidRPr="00E52C29">
        <w:rPr>
          <w:rFonts w:cs="Arial"/>
          <w:szCs w:val="24"/>
        </w:rPr>
        <w:t xml:space="preserve">otice of bar but also his default prior to this. This is the finding in </w:t>
      </w:r>
      <w:r w:rsidR="00003061" w:rsidRPr="00E52C29">
        <w:rPr>
          <w:rFonts w:cs="Arial"/>
          <w:i/>
          <w:iCs/>
          <w:szCs w:val="24"/>
        </w:rPr>
        <w:t>Ingo</w:t>
      </w:r>
      <w:r w:rsidR="00D90D2E" w:rsidRPr="00E52C29">
        <w:rPr>
          <w:rFonts w:cs="Arial"/>
          <w:i/>
          <w:iCs/>
          <w:szCs w:val="24"/>
        </w:rPr>
        <w:t>s</w:t>
      </w:r>
      <w:r w:rsidR="00003061" w:rsidRPr="00E52C29">
        <w:rPr>
          <w:rFonts w:cs="Arial"/>
          <w:i/>
          <w:iCs/>
          <w:szCs w:val="24"/>
        </w:rPr>
        <w:t xml:space="preserve">struckh </w:t>
      </w:r>
      <w:r w:rsidR="00786B93" w:rsidRPr="00E52C29">
        <w:rPr>
          <w:rFonts w:cs="Arial"/>
          <w:szCs w:val="24"/>
        </w:rPr>
        <w:t>where the court explained it in this way:</w:t>
      </w:r>
    </w:p>
    <w:p w14:paraId="5D64DCC8" w14:textId="4D0A3BAD" w:rsidR="00163C5F" w:rsidRDefault="006B3FAB" w:rsidP="00F85F00">
      <w:pPr>
        <w:pStyle w:val="ListParagraph"/>
        <w:spacing w:after="360" w:line="480" w:lineRule="auto"/>
        <w:ind w:left="1440"/>
        <w:jc w:val="both"/>
        <w:rPr>
          <w:rFonts w:cs="Arial"/>
          <w:i/>
          <w:iCs/>
          <w:szCs w:val="24"/>
        </w:rPr>
      </w:pPr>
      <w:r>
        <w:rPr>
          <w:rFonts w:cs="Arial"/>
          <w:i/>
          <w:iCs/>
          <w:szCs w:val="24"/>
        </w:rPr>
        <w:t>“</w:t>
      </w:r>
      <w:r w:rsidR="00605BBD" w:rsidRPr="006B3FAB">
        <w:rPr>
          <w:rFonts w:cs="Arial"/>
          <w:i/>
          <w:iCs/>
          <w:szCs w:val="24"/>
        </w:rPr>
        <w:t xml:space="preserve">With regard to the explanation for the default, there are two periods of default which Ingosstrakh must explain for its failure to deliver a plea. The first is before the notice of bar was served on it, and the second relates to the period after the bar was served. This is because the notice of bar was served as a consequence of </w:t>
      </w:r>
      <w:r w:rsidR="00907616">
        <w:rPr>
          <w:rFonts w:cs="Arial"/>
          <w:i/>
          <w:iCs/>
          <w:szCs w:val="24"/>
        </w:rPr>
        <w:t>I</w:t>
      </w:r>
      <w:r w:rsidR="00907616" w:rsidRPr="006B3FAB">
        <w:rPr>
          <w:rFonts w:cs="Arial"/>
          <w:i/>
          <w:iCs/>
          <w:szCs w:val="24"/>
        </w:rPr>
        <w:t>ngosstrakh’ s</w:t>
      </w:r>
      <w:r w:rsidR="00605BBD" w:rsidRPr="006B3FAB">
        <w:rPr>
          <w:rFonts w:cs="Arial"/>
          <w:i/>
          <w:iCs/>
          <w:szCs w:val="24"/>
        </w:rPr>
        <w:t xml:space="preserve"> failure to file its plea.</w:t>
      </w:r>
      <w:r>
        <w:rPr>
          <w:rFonts w:cs="Arial"/>
          <w:i/>
          <w:iCs/>
          <w:szCs w:val="24"/>
        </w:rPr>
        <w:t>”</w:t>
      </w:r>
      <w:r>
        <w:rPr>
          <w:rStyle w:val="FootnoteReference"/>
          <w:rFonts w:cs="Arial"/>
          <w:i/>
          <w:iCs/>
          <w:szCs w:val="24"/>
        </w:rPr>
        <w:footnoteReference w:id="4"/>
      </w:r>
    </w:p>
    <w:p w14:paraId="5CD792CB" w14:textId="0ACF21D0" w:rsidR="00717CA1" w:rsidRPr="00F85F00" w:rsidRDefault="00F85F00" w:rsidP="00F85F00">
      <w:pPr>
        <w:spacing w:after="360" w:line="480" w:lineRule="auto"/>
        <w:ind w:left="720" w:hanging="720"/>
        <w:jc w:val="both"/>
        <w:rPr>
          <w:rFonts w:cs="Arial"/>
          <w:i/>
          <w:iCs/>
          <w:szCs w:val="24"/>
        </w:rPr>
      </w:pPr>
      <w:r>
        <w:rPr>
          <w:rFonts w:cs="Arial"/>
          <w:szCs w:val="24"/>
        </w:rPr>
        <w:t>[28]</w:t>
      </w:r>
      <w:r>
        <w:rPr>
          <w:rFonts w:cs="Arial"/>
          <w:szCs w:val="24"/>
        </w:rPr>
        <w:tab/>
      </w:r>
      <w:r w:rsidR="00717CA1" w:rsidRPr="00F85F00">
        <w:rPr>
          <w:rFonts w:cs="Arial"/>
          <w:szCs w:val="24"/>
        </w:rPr>
        <w:t xml:space="preserve">In this case </w:t>
      </w:r>
      <w:r w:rsidR="00C4431D" w:rsidRPr="00F85F00">
        <w:rPr>
          <w:rFonts w:cs="Arial"/>
          <w:szCs w:val="24"/>
        </w:rPr>
        <w:t>Wasilewsky</w:t>
      </w:r>
      <w:r w:rsidR="00717CA1" w:rsidRPr="00F85F00">
        <w:rPr>
          <w:rFonts w:cs="Arial"/>
          <w:szCs w:val="24"/>
        </w:rPr>
        <w:t xml:space="preserve"> has not done that. It is clear from his </w:t>
      </w:r>
      <w:r w:rsidR="00144712" w:rsidRPr="00F85F00">
        <w:rPr>
          <w:rFonts w:cs="Arial"/>
          <w:szCs w:val="24"/>
        </w:rPr>
        <w:t>attorney</w:t>
      </w:r>
      <w:r w:rsidR="00510630" w:rsidRPr="00F85F00">
        <w:rPr>
          <w:rFonts w:cs="Arial"/>
          <w:szCs w:val="24"/>
        </w:rPr>
        <w:t>’</w:t>
      </w:r>
      <w:r w:rsidR="00144712" w:rsidRPr="00F85F00">
        <w:rPr>
          <w:rFonts w:cs="Arial"/>
          <w:szCs w:val="24"/>
        </w:rPr>
        <w:t xml:space="preserve">s </w:t>
      </w:r>
      <w:r w:rsidR="00717CA1" w:rsidRPr="00F85F00">
        <w:rPr>
          <w:rFonts w:cs="Arial"/>
          <w:szCs w:val="24"/>
        </w:rPr>
        <w:t xml:space="preserve">answering affidavit that </w:t>
      </w:r>
      <w:r w:rsidR="00144712" w:rsidRPr="00F85F00">
        <w:rPr>
          <w:rFonts w:cs="Arial"/>
          <w:szCs w:val="24"/>
        </w:rPr>
        <w:t xml:space="preserve">she believed that </w:t>
      </w:r>
      <w:r w:rsidR="00493BF9" w:rsidRPr="00F85F00">
        <w:rPr>
          <w:rFonts w:cs="Arial"/>
          <w:szCs w:val="24"/>
        </w:rPr>
        <w:t>the only time period that required an explanation was the period after the filing of notice of bar. However</w:t>
      </w:r>
      <w:r w:rsidR="00510630" w:rsidRPr="00F85F00">
        <w:rPr>
          <w:rFonts w:cs="Arial"/>
          <w:szCs w:val="24"/>
        </w:rPr>
        <w:t>,</w:t>
      </w:r>
      <w:r w:rsidR="00493BF9" w:rsidRPr="00F85F00">
        <w:rPr>
          <w:rFonts w:cs="Arial"/>
          <w:szCs w:val="24"/>
        </w:rPr>
        <w:t xml:space="preserve"> that is not the law since the </w:t>
      </w:r>
      <w:r w:rsidR="001B137F" w:rsidRPr="00F85F00">
        <w:rPr>
          <w:rFonts w:cs="Arial"/>
          <w:i/>
          <w:iCs/>
          <w:szCs w:val="24"/>
        </w:rPr>
        <w:t>Ingosstrackh</w:t>
      </w:r>
      <w:r w:rsidR="001B137F" w:rsidRPr="00F85F00">
        <w:rPr>
          <w:rFonts w:cs="Arial"/>
          <w:szCs w:val="24"/>
        </w:rPr>
        <w:t xml:space="preserve"> decision. There was a belated attempt from the bar to explain that the default during this period was due to the prevalence of public and religious holidays over the April period. However</w:t>
      </w:r>
      <w:r w:rsidR="00D618E5" w:rsidRPr="00F85F00">
        <w:rPr>
          <w:rFonts w:cs="Arial"/>
          <w:szCs w:val="24"/>
        </w:rPr>
        <w:t>,</w:t>
      </w:r>
      <w:r w:rsidR="001B137F" w:rsidRPr="00F85F00">
        <w:rPr>
          <w:rFonts w:cs="Arial"/>
          <w:szCs w:val="24"/>
        </w:rPr>
        <w:t xml:space="preserve"> that explanation is not on the papers nor is it consistent with attorney’s statement that she had only instructed counsel after receipt of notice of bar. </w:t>
      </w:r>
      <w:r w:rsidR="0082714A" w:rsidRPr="00F85F00">
        <w:rPr>
          <w:rFonts w:cs="Arial"/>
          <w:szCs w:val="24"/>
        </w:rPr>
        <w:t>It appears then that there is no satisfactory explanation for the period prior to the notice of bar being served.</w:t>
      </w:r>
    </w:p>
    <w:p w14:paraId="0F36BFA6" w14:textId="2991E44A" w:rsidR="00D1356C" w:rsidRPr="00F85F00" w:rsidRDefault="00F85F00" w:rsidP="00F85F00">
      <w:pPr>
        <w:spacing w:after="360" w:line="480" w:lineRule="auto"/>
        <w:ind w:left="720" w:hanging="720"/>
        <w:jc w:val="both"/>
        <w:rPr>
          <w:rFonts w:cs="Arial"/>
          <w:i/>
          <w:iCs/>
          <w:szCs w:val="24"/>
        </w:rPr>
      </w:pPr>
      <w:r>
        <w:rPr>
          <w:rFonts w:cs="Arial"/>
          <w:szCs w:val="24"/>
        </w:rPr>
        <w:t>[29]</w:t>
      </w:r>
      <w:r>
        <w:rPr>
          <w:rFonts w:cs="Arial"/>
          <w:szCs w:val="24"/>
        </w:rPr>
        <w:tab/>
      </w:r>
      <w:r w:rsidR="0082714A" w:rsidRPr="00F85F00">
        <w:rPr>
          <w:rFonts w:cs="Arial"/>
          <w:szCs w:val="24"/>
        </w:rPr>
        <w:t xml:space="preserve">However </w:t>
      </w:r>
      <w:r w:rsidR="00E447C1" w:rsidRPr="00F85F00">
        <w:rPr>
          <w:rFonts w:cs="Arial"/>
          <w:szCs w:val="24"/>
        </w:rPr>
        <w:t xml:space="preserve">even though </w:t>
      </w:r>
      <w:r w:rsidR="00217D86" w:rsidRPr="00F85F00">
        <w:rPr>
          <w:rFonts w:cs="Arial"/>
          <w:i/>
          <w:iCs/>
          <w:szCs w:val="24"/>
        </w:rPr>
        <w:t>Ingosstrackh</w:t>
      </w:r>
      <w:r w:rsidR="00E447C1" w:rsidRPr="00F85F00">
        <w:rPr>
          <w:rFonts w:cs="Arial"/>
          <w:szCs w:val="24"/>
        </w:rPr>
        <w:t xml:space="preserve"> requires one to consider both periods</w:t>
      </w:r>
      <w:r w:rsidR="00D402DD" w:rsidRPr="00F85F00">
        <w:rPr>
          <w:rFonts w:cs="Arial"/>
          <w:szCs w:val="24"/>
        </w:rPr>
        <w:t>,</w:t>
      </w:r>
      <w:r w:rsidR="00E447C1" w:rsidRPr="00F85F00">
        <w:rPr>
          <w:rFonts w:cs="Arial"/>
          <w:szCs w:val="24"/>
        </w:rPr>
        <w:t xml:space="preserve"> it does not mean that they need to be looked at </w:t>
      </w:r>
      <w:r w:rsidR="008F6DDE" w:rsidRPr="00F85F00">
        <w:rPr>
          <w:rFonts w:cs="Arial"/>
          <w:szCs w:val="24"/>
        </w:rPr>
        <w:t xml:space="preserve">as </w:t>
      </w:r>
      <w:r w:rsidR="00D46981" w:rsidRPr="00F85F00">
        <w:rPr>
          <w:rFonts w:cs="Arial"/>
          <w:szCs w:val="24"/>
        </w:rPr>
        <w:t xml:space="preserve">self-standing </w:t>
      </w:r>
      <w:r w:rsidR="00CC386E" w:rsidRPr="00F85F00">
        <w:rPr>
          <w:rFonts w:cs="Arial"/>
          <w:szCs w:val="24"/>
        </w:rPr>
        <w:t xml:space="preserve">explanations taken in isolation. </w:t>
      </w:r>
      <w:r w:rsidR="009D44D8" w:rsidRPr="00F85F00">
        <w:rPr>
          <w:rFonts w:cs="Arial"/>
          <w:szCs w:val="24"/>
        </w:rPr>
        <w:t xml:space="preserve">The context of the one period might inform the context of the other. </w:t>
      </w:r>
      <w:r w:rsidR="00CC386E" w:rsidRPr="00F85F00">
        <w:rPr>
          <w:rFonts w:cs="Arial"/>
          <w:szCs w:val="24"/>
        </w:rPr>
        <w:t xml:space="preserve">The </w:t>
      </w:r>
      <w:r w:rsidR="00CC386E" w:rsidRPr="00F85F00">
        <w:rPr>
          <w:rFonts w:cs="Arial"/>
          <w:szCs w:val="24"/>
        </w:rPr>
        <w:lastRenderedPageBreak/>
        <w:t>case law thus far emphasises that condonation is a question of fact in each case.</w:t>
      </w:r>
      <w:r w:rsidR="002E1AB9">
        <w:rPr>
          <w:rStyle w:val="FootnoteReference"/>
          <w:rFonts w:cs="Arial"/>
          <w:szCs w:val="24"/>
        </w:rPr>
        <w:footnoteReference w:id="5"/>
      </w:r>
      <w:r w:rsidR="00CC386E" w:rsidRPr="00F85F00">
        <w:rPr>
          <w:rFonts w:cs="Arial"/>
          <w:szCs w:val="24"/>
        </w:rPr>
        <w:t xml:space="preserve"> </w:t>
      </w:r>
      <w:r w:rsidR="00D247BF" w:rsidRPr="00F85F00">
        <w:rPr>
          <w:rFonts w:cs="Arial"/>
          <w:szCs w:val="24"/>
        </w:rPr>
        <w:t xml:space="preserve"> Nor is the negligence of an attorney fatal.</w:t>
      </w:r>
      <w:r w:rsidR="00D247BF">
        <w:rPr>
          <w:rStyle w:val="FootnoteReference"/>
          <w:rFonts w:cs="Arial"/>
          <w:szCs w:val="24"/>
        </w:rPr>
        <w:footnoteReference w:id="6"/>
      </w:r>
      <w:r w:rsidR="00936E30" w:rsidRPr="00F85F00">
        <w:rPr>
          <w:rFonts w:cs="Arial"/>
          <w:szCs w:val="24"/>
        </w:rPr>
        <w:t xml:space="preserve"> </w:t>
      </w:r>
      <w:r w:rsidR="00CC386E" w:rsidRPr="00F85F00">
        <w:rPr>
          <w:rFonts w:cs="Arial"/>
          <w:szCs w:val="24"/>
        </w:rPr>
        <w:t>The fact is that the attorney was ready to deliver on the</w:t>
      </w:r>
      <w:r w:rsidR="001A1569" w:rsidRPr="00F85F00">
        <w:rPr>
          <w:rFonts w:cs="Arial"/>
          <w:szCs w:val="24"/>
        </w:rPr>
        <w:t xml:space="preserve"> defence documents on </w:t>
      </w:r>
      <w:r w:rsidR="008F6DDE" w:rsidRPr="00F85F00">
        <w:rPr>
          <w:rFonts w:cs="Arial"/>
          <w:szCs w:val="24"/>
        </w:rPr>
        <w:t>the final</w:t>
      </w:r>
      <w:r w:rsidR="00CC386E" w:rsidRPr="00F85F00">
        <w:rPr>
          <w:rFonts w:cs="Arial"/>
          <w:szCs w:val="24"/>
        </w:rPr>
        <w:t xml:space="preserve"> day. She served on</w:t>
      </w:r>
      <w:r w:rsidR="001A1569" w:rsidRPr="00F85F00">
        <w:rPr>
          <w:rFonts w:cs="Arial"/>
          <w:szCs w:val="24"/>
        </w:rPr>
        <w:t xml:space="preserve"> the plaintiffs</w:t>
      </w:r>
      <w:r w:rsidR="0095616C" w:rsidRPr="00F85F00">
        <w:rPr>
          <w:rFonts w:cs="Arial"/>
          <w:szCs w:val="24"/>
        </w:rPr>
        <w:t>’</w:t>
      </w:r>
      <w:r w:rsidR="001A1569" w:rsidRPr="00F85F00">
        <w:rPr>
          <w:rFonts w:cs="Arial"/>
          <w:szCs w:val="24"/>
        </w:rPr>
        <w:t xml:space="preserve"> attorneys in time to meet the deadline. The only reason she could not file on time was the </w:t>
      </w:r>
      <w:r w:rsidR="00043F30" w:rsidRPr="00F85F00">
        <w:rPr>
          <w:rFonts w:cs="Arial"/>
          <w:szCs w:val="24"/>
        </w:rPr>
        <w:t xml:space="preserve">problem with </w:t>
      </w:r>
      <w:r w:rsidR="008F6DDE" w:rsidRPr="00F85F00">
        <w:rPr>
          <w:rFonts w:cs="Arial"/>
          <w:szCs w:val="24"/>
        </w:rPr>
        <w:t>C</w:t>
      </w:r>
      <w:r w:rsidR="00043F30" w:rsidRPr="00F85F00">
        <w:rPr>
          <w:rFonts w:cs="Arial"/>
          <w:szCs w:val="24"/>
        </w:rPr>
        <w:t xml:space="preserve">aselines which was beyond her control. Had </w:t>
      </w:r>
      <w:r w:rsidR="00DE52F6" w:rsidRPr="00F85F00">
        <w:rPr>
          <w:rFonts w:cs="Arial"/>
          <w:szCs w:val="24"/>
        </w:rPr>
        <w:t>C</w:t>
      </w:r>
      <w:r w:rsidR="00043F30" w:rsidRPr="00F85F00">
        <w:rPr>
          <w:rFonts w:cs="Arial"/>
          <w:szCs w:val="24"/>
        </w:rPr>
        <w:t>aselines be</w:t>
      </w:r>
      <w:r w:rsidR="00DE52F6" w:rsidRPr="00F85F00">
        <w:rPr>
          <w:rFonts w:cs="Arial"/>
          <w:szCs w:val="24"/>
        </w:rPr>
        <w:t>en</w:t>
      </w:r>
      <w:r w:rsidR="00043F30" w:rsidRPr="00F85F00">
        <w:rPr>
          <w:rFonts w:cs="Arial"/>
          <w:szCs w:val="24"/>
        </w:rPr>
        <w:t xml:space="preserve"> working that afternoon</w:t>
      </w:r>
      <w:r w:rsidR="00DE52F6" w:rsidRPr="00F85F00">
        <w:rPr>
          <w:rFonts w:cs="Arial"/>
          <w:szCs w:val="24"/>
        </w:rPr>
        <w:t xml:space="preserve">, she would have completed delivery and </w:t>
      </w:r>
      <w:r w:rsidR="00C4431D" w:rsidRPr="00F85F00">
        <w:rPr>
          <w:rFonts w:cs="Arial"/>
          <w:szCs w:val="24"/>
        </w:rPr>
        <w:t>Wasilewsky</w:t>
      </w:r>
      <w:r w:rsidR="00640056" w:rsidRPr="00F85F00">
        <w:rPr>
          <w:rFonts w:cs="Arial"/>
          <w:szCs w:val="24"/>
        </w:rPr>
        <w:t xml:space="preserve"> would not have been barred. </w:t>
      </w:r>
      <w:r w:rsidR="00D1356C" w:rsidRPr="00F85F00">
        <w:rPr>
          <w:rFonts w:cs="Arial"/>
          <w:szCs w:val="24"/>
        </w:rPr>
        <w:t>There was also an attempt by the plaintiffs’ attorneys to suggest that even on 19 May</w:t>
      </w:r>
      <w:r w:rsidR="00165081" w:rsidRPr="00F85F00">
        <w:rPr>
          <w:rFonts w:cs="Arial"/>
          <w:szCs w:val="24"/>
        </w:rPr>
        <w:t>,</w:t>
      </w:r>
      <w:r w:rsidR="00D1356C" w:rsidRPr="00F85F00">
        <w:rPr>
          <w:rFonts w:cs="Arial"/>
          <w:szCs w:val="24"/>
        </w:rPr>
        <w:t xml:space="preserve"> the plea was not properly delivered as the attorney had not signed the pleading. This </w:t>
      </w:r>
      <w:r w:rsidR="001C4FA9" w:rsidRPr="00F85F00">
        <w:rPr>
          <w:rFonts w:cs="Arial"/>
          <w:szCs w:val="24"/>
        </w:rPr>
        <w:t>defect</w:t>
      </w:r>
      <w:r w:rsidR="006625DB" w:rsidRPr="00F85F00">
        <w:rPr>
          <w:rFonts w:cs="Arial"/>
          <w:szCs w:val="24"/>
        </w:rPr>
        <w:t xml:space="preserve"> was later remedied but I suggest</w:t>
      </w:r>
      <w:r w:rsidR="001C4FA9" w:rsidRPr="00F85F00">
        <w:rPr>
          <w:rFonts w:cs="Arial"/>
          <w:szCs w:val="24"/>
        </w:rPr>
        <w:t xml:space="preserve"> this o</w:t>
      </w:r>
      <w:r w:rsidR="0019424E" w:rsidRPr="00F85F00">
        <w:rPr>
          <w:rFonts w:cs="Arial"/>
          <w:szCs w:val="24"/>
        </w:rPr>
        <w:t xml:space="preserve">bjection </w:t>
      </w:r>
      <w:r w:rsidR="006625DB" w:rsidRPr="00F85F00">
        <w:rPr>
          <w:rFonts w:cs="Arial"/>
          <w:szCs w:val="24"/>
        </w:rPr>
        <w:t>was more opportunistic than substanti</w:t>
      </w:r>
      <w:r>
        <w:rPr>
          <w:rFonts w:cs="Arial"/>
          <w:szCs w:val="24"/>
        </w:rPr>
        <w:t xml:space="preserve">al – an attempt to make the one </w:t>
      </w:r>
      <w:r w:rsidR="006625DB" w:rsidRPr="00F85F00">
        <w:rPr>
          <w:rFonts w:cs="Arial"/>
          <w:szCs w:val="24"/>
        </w:rPr>
        <w:t xml:space="preserve">day period relied on by Wasilewsky seem less </w:t>
      </w:r>
      <w:r w:rsidR="0075447D" w:rsidRPr="00F85F00">
        <w:rPr>
          <w:rFonts w:cs="Arial"/>
          <w:szCs w:val="24"/>
        </w:rPr>
        <w:t>compelling.</w:t>
      </w:r>
    </w:p>
    <w:p w14:paraId="754A2185" w14:textId="52A7E33A" w:rsidR="0082714A" w:rsidRPr="00F85F00" w:rsidRDefault="00F85F00" w:rsidP="00F85F00">
      <w:pPr>
        <w:spacing w:after="360" w:line="480" w:lineRule="auto"/>
        <w:ind w:left="720" w:hanging="720"/>
        <w:jc w:val="both"/>
        <w:rPr>
          <w:rFonts w:cs="Arial"/>
          <w:i/>
          <w:iCs/>
          <w:szCs w:val="24"/>
        </w:rPr>
      </w:pPr>
      <w:r>
        <w:rPr>
          <w:rFonts w:cs="Arial"/>
          <w:szCs w:val="24"/>
        </w:rPr>
        <w:t>[30]</w:t>
      </w:r>
      <w:r>
        <w:rPr>
          <w:rFonts w:cs="Arial"/>
          <w:szCs w:val="24"/>
        </w:rPr>
        <w:tab/>
      </w:r>
      <w:r w:rsidR="00640056" w:rsidRPr="00F85F00">
        <w:rPr>
          <w:rFonts w:cs="Arial"/>
          <w:szCs w:val="24"/>
        </w:rPr>
        <w:t>Nor is the time period prior to the bar despite not</w:t>
      </w:r>
      <w:r w:rsidR="009D342D" w:rsidRPr="00F85F00">
        <w:rPr>
          <w:rFonts w:cs="Arial"/>
          <w:szCs w:val="24"/>
        </w:rPr>
        <w:t xml:space="preserve"> being</w:t>
      </w:r>
      <w:r w:rsidR="00640056" w:rsidRPr="00F85F00">
        <w:rPr>
          <w:rFonts w:cs="Arial"/>
          <w:szCs w:val="24"/>
        </w:rPr>
        <w:t xml:space="preserve"> explained excessive. It amounted to </w:t>
      </w:r>
      <w:r w:rsidR="00D1356C" w:rsidRPr="00F85F00">
        <w:rPr>
          <w:rFonts w:cs="Arial"/>
          <w:szCs w:val="24"/>
        </w:rPr>
        <w:t>just over 20</w:t>
      </w:r>
      <w:r w:rsidR="00640056" w:rsidRPr="00F85F00">
        <w:rPr>
          <w:rFonts w:cs="Arial"/>
          <w:szCs w:val="24"/>
        </w:rPr>
        <w:t xml:space="preserve"> days. In a case with stop</w:t>
      </w:r>
      <w:r w:rsidR="0019424E" w:rsidRPr="00F85F00">
        <w:rPr>
          <w:rFonts w:cs="Arial"/>
          <w:szCs w:val="24"/>
        </w:rPr>
        <w:t>-</w:t>
      </w:r>
      <w:r w:rsidR="00640056" w:rsidRPr="00F85F00">
        <w:rPr>
          <w:rFonts w:cs="Arial"/>
          <w:szCs w:val="24"/>
        </w:rPr>
        <w:t xml:space="preserve">start history as this one with neither set of </w:t>
      </w:r>
      <w:r w:rsidR="00017439" w:rsidRPr="00F85F00">
        <w:rPr>
          <w:rFonts w:cs="Arial"/>
          <w:szCs w:val="24"/>
        </w:rPr>
        <w:t>litigant’s</w:t>
      </w:r>
      <w:r w:rsidR="00640056" w:rsidRPr="00F85F00">
        <w:rPr>
          <w:rFonts w:cs="Arial"/>
          <w:szCs w:val="24"/>
        </w:rPr>
        <w:t xml:space="preserve"> devoid of missteps </w:t>
      </w:r>
      <w:r w:rsidR="00590AA3" w:rsidRPr="00F85F00">
        <w:rPr>
          <w:rFonts w:cs="Arial"/>
          <w:szCs w:val="24"/>
        </w:rPr>
        <w:t xml:space="preserve">perhaps the attorney was </w:t>
      </w:r>
      <w:r w:rsidR="00346FA6" w:rsidRPr="00F85F00">
        <w:rPr>
          <w:rFonts w:cs="Arial"/>
          <w:szCs w:val="24"/>
        </w:rPr>
        <w:t>reluctant to start drafting a defence until the 11</w:t>
      </w:r>
      <w:r w:rsidR="00346FA6" w:rsidRPr="00F85F00">
        <w:rPr>
          <w:rFonts w:cs="Arial"/>
          <w:szCs w:val="24"/>
          <w:vertAlign w:val="superscript"/>
        </w:rPr>
        <w:t>th</w:t>
      </w:r>
      <w:r w:rsidR="00346FA6" w:rsidRPr="00F85F00">
        <w:rPr>
          <w:rFonts w:cs="Arial"/>
          <w:szCs w:val="24"/>
        </w:rPr>
        <w:t xml:space="preserve"> hour. She may have </w:t>
      </w:r>
      <w:r w:rsidR="00173F14" w:rsidRPr="00F85F00">
        <w:rPr>
          <w:rFonts w:cs="Arial"/>
          <w:szCs w:val="24"/>
        </w:rPr>
        <w:t>walked close to the edge of the cliff</w:t>
      </w:r>
      <w:r w:rsidR="0095616C" w:rsidRPr="00F85F00">
        <w:rPr>
          <w:rFonts w:cs="Arial"/>
          <w:szCs w:val="24"/>
        </w:rPr>
        <w:t>,</w:t>
      </w:r>
      <w:r w:rsidR="00173F14" w:rsidRPr="00F85F00">
        <w:rPr>
          <w:rFonts w:cs="Arial"/>
          <w:szCs w:val="24"/>
        </w:rPr>
        <w:t xml:space="preserve"> but she would have made it in time but for the technical glitch</w:t>
      </w:r>
      <w:r w:rsidR="007E33BA" w:rsidRPr="00F85F00">
        <w:rPr>
          <w:rFonts w:cs="Arial"/>
          <w:szCs w:val="24"/>
        </w:rPr>
        <w:t xml:space="preserve"> with CaseLines</w:t>
      </w:r>
      <w:r w:rsidR="00173F14" w:rsidRPr="00F85F00">
        <w:rPr>
          <w:rFonts w:cs="Arial"/>
          <w:szCs w:val="24"/>
        </w:rPr>
        <w:t>. It would as her counsel suggested</w:t>
      </w:r>
      <w:r w:rsidR="0095616C" w:rsidRPr="00F85F00">
        <w:rPr>
          <w:rFonts w:cs="Arial"/>
          <w:szCs w:val="24"/>
        </w:rPr>
        <w:t>,</w:t>
      </w:r>
      <w:r w:rsidR="00173F14" w:rsidRPr="00F85F00">
        <w:rPr>
          <w:rFonts w:cs="Arial"/>
          <w:szCs w:val="24"/>
        </w:rPr>
        <w:t xml:space="preserve"> not be in the interests of justice to deprive </w:t>
      </w:r>
      <w:r w:rsidR="00C4431D" w:rsidRPr="00F85F00">
        <w:rPr>
          <w:rFonts w:cs="Arial"/>
          <w:szCs w:val="24"/>
        </w:rPr>
        <w:t>Wasilewsky</w:t>
      </w:r>
      <w:r w:rsidR="0093563C" w:rsidRPr="00F85F00">
        <w:rPr>
          <w:rFonts w:cs="Arial"/>
          <w:szCs w:val="24"/>
        </w:rPr>
        <w:t xml:space="preserve"> of his defence in these circumstances.</w:t>
      </w:r>
      <w:r w:rsidR="007E33BA" w:rsidRPr="00F85F00">
        <w:rPr>
          <w:rFonts w:cs="Arial"/>
          <w:szCs w:val="24"/>
        </w:rPr>
        <w:t xml:space="preserve"> I am satisfied then that good cause has been shown for an upliftment of bar</w:t>
      </w:r>
      <w:r w:rsidR="005B0F47" w:rsidRPr="00F85F00">
        <w:rPr>
          <w:rFonts w:cs="Arial"/>
          <w:szCs w:val="24"/>
        </w:rPr>
        <w:t>.</w:t>
      </w:r>
    </w:p>
    <w:p w14:paraId="68CFC0E7" w14:textId="0A0D9503" w:rsidR="007E33BA" w:rsidRPr="00BD503F" w:rsidRDefault="007E33BA" w:rsidP="00F85F00">
      <w:pPr>
        <w:pStyle w:val="ListParagraph"/>
        <w:spacing w:after="360" w:line="480" w:lineRule="auto"/>
        <w:ind w:left="360" w:firstLine="360"/>
        <w:jc w:val="both"/>
        <w:rPr>
          <w:rFonts w:cs="Arial"/>
          <w:b/>
          <w:bCs/>
          <w:i/>
          <w:iCs/>
          <w:szCs w:val="24"/>
        </w:rPr>
      </w:pPr>
      <w:r w:rsidRPr="00BD503F">
        <w:rPr>
          <w:rFonts w:cs="Arial"/>
          <w:b/>
          <w:bCs/>
          <w:szCs w:val="24"/>
        </w:rPr>
        <w:lastRenderedPageBreak/>
        <w:t xml:space="preserve">Costs </w:t>
      </w:r>
    </w:p>
    <w:p w14:paraId="7B409FF0" w14:textId="1A28CCF1" w:rsidR="007E33BA" w:rsidRPr="00F85F00" w:rsidRDefault="00F85F00" w:rsidP="00F85F00">
      <w:pPr>
        <w:spacing w:after="360" w:line="480" w:lineRule="auto"/>
        <w:ind w:left="720" w:hanging="720"/>
        <w:jc w:val="both"/>
        <w:rPr>
          <w:rFonts w:cs="Arial"/>
          <w:i/>
          <w:iCs/>
          <w:szCs w:val="24"/>
        </w:rPr>
      </w:pPr>
      <w:r>
        <w:rPr>
          <w:rFonts w:cs="Arial"/>
          <w:szCs w:val="24"/>
        </w:rPr>
        <w:t>[31]</w:t>
      </w:r>
      <w:r>
        <w:rPr>
          <w:rFonts w:cs="Arial"/>
          <w:szCs w:val="24"/>
        </w:rPr>
        <w:tab/>
      </w:r>
      <w:r w:rsidR="007E33BA" w:rsidRPr="00F85F00">
        <w:rPr>
          <w:rFonts w:cs="Arial"/>
          <w:szCs w:val="24"/>
        </w:rPr>
        <w:t>Although the applicant had initially sought costs</w:t>
      </w:r>
      <w:r w:rsidR="001817CB" w:rsidRPr="00F85F00">
        <w:rPr>
          <w:rFonts w:cs="Arial"/>
          <w:szCs w:val="24"/>
        </w:rPr>
        <w:t xml:space="preserve"> </w:t>
      </w:r>
      <w:r w:rsidR="001817CB" w:rsidRPr="00F85F00">
        <w:rPr>
          <w:rFonts w:cs="Arial"/>
          <w:i/>
          <w:iCs/>
          <w:szCs w:val="24"/>
        </w:rPr>
        <w:t>de bonis prop</w:t>
      </w:r>
      <w:r w:rsidR="007A276F" w:rsidRPr="00F85F00">
        <w:rPr>
          <w:rFonts w:cs="Arial"/>
          <w:i/>
          <w:iCs/>
          <w:szCs w:val="24"/>
        </w:rPr>
        <w:t>r</w:t>
      </w:r>
      <w:r w:rsidR="001817CB" w:rsidRPr="00F85F00">
        <w:rPr>
          <w:rFonts w:cs="Arial"/>
          <w:i/>
          <w:iCs/>
          <w:szCs w:val="24"/>
        </w:rPr>
        <w:t>iis</w:t>
      </w:r>
      <w:r w:rsidR="001817CB" w:rsidRPr="00F85F00">
        <w:rPr>
          <w:rFonts w:cs="Arial"/>
          <w:szCs w:val="24"/>
        </w:rPr>
        <w:t xml:space="preserve"> against the liquidator plaintiffs</w:t>
      </w:r>
      <w:r w:rsidR="007E33BA" w:rsidRPr="00F85F00">
        <w:rPr>
          <w:rFonts w:cs="Arial"/>
          <w:szCs w:val="24"/>
        </w:rPr>
        <w:t xml:space="preserve">, counsel </w:t>
      </w:r>
      <w:r w:rsidR="005654FF" w:rsidRPr="00F85F00">
        <w:rPr>
          <w:rFonts w:cs="Arial"/>
          <w:szCs w:val="24"/>
        </w:rPr>
        <w:t xml:space="preserve">for the applicant </w:t>
      </w:r>
      <w:r w:rsidR="007E33BA" w:rsidRPr="00F85F00">
        <w:rPr>
          <w:rFonts w:cs="Arial"/>
          <w:szCs w:val="24"/>
        </w:rPr>
        <w:t xml:space="preserve">fairly conceded </w:t>
      </w:r>
      <w:r w:rsidR="00165B26" w:rsidRPr="00F85F00">
        <w:rPr>
          <w:rFonts w:cs="Arial"/>
          <w:szCs w:val="24"/>
        </w:rPr>
        <w:t xml:space="preserve">at the hearing that this would not be appropriate and now seeks only that costs be </w:t>
      </w:r>
      <w:r w:rsidR="00E74B32" w:rsidRPr="00F85F00">
        <w:rPr>
          <w:rFonts w:cs="Arial"/>
          <w:szCs w:val="24"/>
        </w:rPr>
        <w:t xml:space="preserve">costs in the action. I am satisfied that this is the correct order. </w:t>
      </w:r>
    </w:p>
    <w:p w14:paraId="6D24F014" w14:textId="77777777" w:rsidR="00B3749C" w:rsidRPr="00D416CC" w:rsidRDefault="00B3749C" w:rsidP="00F85F00">
      <w:pPr>
        <w:spacing w:after="360" w:line="480" w:lineRule="auto"/>
        <w:ind w:firstLine="720"/>
        <w:jc w:val="both"/>
        <w:rPr>
          <w:rFonts w:eastAsia="MS Mincho" w:cs="Arial"/>
          <w:b/>
          <w:szCs w:val="24"/>
          <w:u w:val="single"/>
          <w:lang w:val="en-GB" w:eastAsia="ja-JP"/>
        </w:rPr>
      </w:pPr>
      <w:r w:rsidRPr="00D416CC">
        <w:rPr>
          <w:rFonts w:eastAsia="MS Mincho" w:cs="Arial"/>
          <w:b/>
          <w:szCs w:val="24"/>
          <w:u w:val="single"/>
          <w:lang w:val="en-GB" w:eastAsia="ja-JP"/>
        </w:rPr>
        <w:t>ORDER:-</w:t>
      </w:r>
    </w:p>
    <w:p w14:paraId="3D1B1EE9" w14:textId="31403080" w:rsidR="00B3749C" w:rsidRDefault="00F85F00" w:rsidP="00F85F00">
      <w:pPr>
        <w:spacing w:after="360" w:line="480" w:lineRule="auto"/>
        <w:jc w:val="both"/>
        <w:rPr>
          <w:rFonts w:eastAsia="MS Mincho" w:cs="Arial"/>
          <w:szCs w:val="24"/>
          <w:lang w:val="en-GB" w:eastAsia="ja-JP"/>
        </w:rPr>
      </w:pPr>
      <w:r>
        <w:rPr>
          <w:rFonts w:eastAsia="MS Mincho" w:cs="Arial"/>
          <w:szCs w:val="24"/>
          <w:lang w:val="en-GB" w:eastAsia="ja-JP"/>
        </w:rPr>
        <w:t>[32</w:t>
      </w:r>
      <w:r w:rsidR="00B3749C" w:rsidRPr="00D416CC">
        <w:rPr>
          <w:rFonts w:eastAsia="MS Mincho" w:cs="Arial"/>
          <w:szCs w:val="24"/>
          <w:lang w:val="en-GB" w:eastAsia="ja-JP"/>
        </w:rPr>
        <w:t xml:space="preserve">] </w:t>
      </w:r>
      <w:r w:rsidR="00B3749C" w:rsidRPr="00D416CC">
        <w:rPr>
          <w:rFonts w:eastAsia="MS Mincho" w:cs="Arial"/>
          <w:szCs w:val="24"/>
          <w:lang w:val="en-GB" w:eastAsia="ja-JP"/>
        </w:rPr>
        <w:tab/>
        <w:t>In the result the following order is made:</w:t>
      </w:r>
    </w:p>
    <w:p w14:paraId="091C4BB6" w14:textId="77777777" w:rsidR="00B3749C" w:rsidRPr="00E37DA4" w:rsidRDefault="00B3749C" w:rsidP="00F85F00">
      <w:pPr>
        <w:pStyle w:val="ListParagraph"/>
        <w:numPr>
          <w:ilvl w:val="0"/>
          <w:numId w:val="2"/>
        </w:numPr>
        <w:spacing w:after="360" w:line="480" w:lineRule="auto"/>
        <w:rPr>
          <w:rFonts w:cs="Arial"/>
          <w:szCs w:val="24"/>
        </w:rPr>
      </w:pPr>
      <w:r w:rsidRPr="00E37DA4">
        <w:rPr>
          <w:rFonts w:cs="Arial"/>
          <w:szCs w:val="24"/>
        </w:rPr>
        <w:t>That the bar in terms of Rule 27 is hereby uplifted;</w:t>
      </w:r>
    </w:p>
    <w:p w14:paraId="0B49CF61" w14:textId="77777777" w:rsidR="00B3749C" w:rsidRPr="00B3749C" w:rsidRDefault="00B3749C" w:rsidP="00F85F00">
      <w:pPr>
        <w:pStyle w:val="ListParagraph"/>
        <w:numPr>
          <w:ilvl w:val="0"/>
          <w:numId w:val="2"/>
        </w:numPr>
        <w:spacing w:after="360" w:line="480" w:lineRule="auto"/>
        <w:rPr>
          <w:rFonts w:cs="Arial"/>
          <w:szCs w:val="24"/>
        </w:rPr>
      </w:pPr>
      <w:r w:rsidRPr="00064505">
        <w:rPr>
          <w:rFonts w:cs="Arial"/>
          <w:color w:val="000000"/>
          <w:szCs w:val="24"/>
        </w:rPr>
        <w:t xml:space="preserve">That the special plea, plea, and counterclaim as served on 18 May 2022 and filed on CaseLines 19 May 2022, serves as the first defendant's special plea, plea, and counterclaim; </w:t>
      </w:r>
    </w:p>
    <w:p w14:paraId="74D1E4C1" w14:textId="452D67C4" w:rsidR="00F85F00" w:rsidRPr="00F85F00" w:rsidRDefault="00B3749C" w:rsidP="00F85F00">
      <w:pPr>
        <w:pStyle w:val="ListParagraph"/>
        <w:numPr>
          <w:ilvl w:val="0"/>
          <w:numId w:val="2"/>
        </w:numPr>
        <w:spacing w:after="360" w:line="480" w:lineRule="auto"/>
        <w:rPr>
          <w:rFonts w:cs="Arial"/>
          <w:szCs w:val="24"/>
        </w:rPr>
      </w:pPr>
      <w:r w:rsidRPr="00B3749C">
        <w:rPr>
          <w:rFonts w:cs="Arial"/>
          <w:color w:val="000000"/>
          <w:szCs w:val="24"/>
        </w:rPr>
        <w:t>Costs of this application are to be costs in the action.</w:t>
      </w:r>
    </w:p>
    <w:p w14:paraId="7B08E5ED" w14:textId="79F2B6FF" w:rsidR="00F85F00" w:rsidRDefault="00F85F00" w:rsidP="00B3749C">
      <w:pPr>
        <w:spacing w:line="360" w:lineRule="auto"/>
        <w:rPr>
          <w:rFonts w:cs="Arial"/>
          <w:szCs w:val="24"/>
        </w:rPr>
      </w:pPr>
    </w:p>
    <w:p w14:paraId="6F634AF2" w14:textId="77777777" w:rsidR="00F85F00" w:rsidRPr="00B3749C" w:rsidRDefault="00F85F00" w:rsidP="00B3749C">
      <w:pPr>
        <w:spacing w:line="360" w:lineRule="auto"/>
        <w:rPr>
          <w:rFonts w:cs="Arial"/>
          <w:szCs w:val="24"/>
        </w:rPr>
      </w:pPr>
    </w:p>
    <w:p w14:paraId="23AEEF25" w14:textId="03932DF1" w:rsidR="00B3749C" w:rsidRDefault="00B3749C" w:rsidP="00B3749C">
      <w:pPr>
        <w:spacing w:line="360" w:lineRule="auto"/>
        <w:rPr>
          <w:rFonts w:cs="Arial"/>
          <w:iCs/>
          <w:szCs w:val="24"/>
        </w:rPr>
      </w:pPr>
    </w:p>
    <w:p w14:paraId="7374F661" w14:textId="77777777" w:rsidR="00B3749C" w:rsidRPr="00D416CC" w:rsidRDefault="00B3749C" w:rsidP="00B3749C">
      <w:pPr>
        <w:spacing w:after="0" w:line="480" w:lineRule="auto"/>
        <w:jc w:val="right"/>
        <w:rPr>
          <w:rFonts w:eastAsia="MS Mincho" w:cs="Arial"/>
          <w:b/>
          <w:szCs w:val="24"/>
          <w:lang w:val="en-GB" w:eastAsia="ja-JP"/>
        </w:rPr>
      </w:pPr>
      <w:r w:rsidRPr="00D416CC">
        <w:rPr>
          <w:rFonts w:eastAsia="MS Mincho" w:cs="Arial"/>
          <w:b/>
          <w:szCs w:val="24"/>
          <w:lang w:val="en-GB" w:eastAsia="ja-JP"/>
        </w:rPr>
        <w:t>_____________________________</w:t>
      </w:r>
    </w:p>
    <w:p w14:paraId="691CE1D2" w14:textId="77777777" w:rsidR="00B3749C" w:rsidRPr="00D416CC" w:rsidRDefault="00B3749C" w:rsidP="00B3749C">
      <w:pPr>
        <w:spacing w:after="0" w:line="360" w:lineRule="auto"/>
        <w:jc w:val="right"/>
        <w:rPr>
          <w:rFonts w:eastAsia="MS Mincho" w:cs="Arial"/>
          <w:b/>
          <w:szCs w:val="24"/>
          <w:lang w:val="en-GB" w:eastAsia="ja-JP"/>
        </w:rPr>
      </w:pPr>
      <w:r w:rsidRPr="00D416CC">
        <w:rPr>
          <w:rFonts w:eastAsia="MS Mincho" w:cs="Arial"/>
          <w:b/>
          <w:szCs w:val="24"/>
          <w:lang w:val="en-GB" w:eastAsia="ja-JP"/>
        </w:rPr>
        <w:t>N.  MANOIM</w:t>
      </w:r>
    </w:p>
    <w:p w14:paraId="1410156D" w14:textId="77777777" w:rsidR="00B3749C" w:rsidRPr="00D416CC" w:rsidRDefault="00B3749C" w:rsidP="00B3749C">
      <w:pPr>
        <w:spacing w:after="0" w:line="360" w:lineRule="auto"/>
        <w:jc w:val="right"/>
        <w:rPr>
          <w:rFonts w:eastAsia="MS Mincho" w:cs="Arial"/>
          <w:b/>
          <w:szCs w:val="24"/>
          <w:lang w:val="en-GB" w:eastAsia="ja-JP"/>
        </w:rPr>
      </w:pPr>
      <w:r w:rsidRPr="00D416CC">
        <w:rPr>
          <w:rFonts w:eastAsia="MS Mincho" w:cs="Arial"/>
          <w:b/>
          <w:szCs w:val="24"/>
          <w:lang w:val="en-GB" w:eastAsia="ja-JP"/>
        </w:rPr>
        <w:t>JUDGE OF THE HIGH COURT</w:t>
      </w:r>
    </w:p>
    <w:p w14:paraId="4812ABCC" w14:textId="77777777" w:rsidR="00B3749C" w:rsidRPr="00D416CC" w:rsidRDefault="00B3749C" w:rsidP="00B3749C">
      <w:pPr>
        <w:spacing w:after="0" w:line="360" w:lineRule="auto"/>
        <w:jc w:val="right"/>
        <w:rPr>
          <w:rFonts w:eastAsia="MS Mincho" w:cs="Arial"/>
          <w:b/>
          <w:szCs w:val="24"/>
          <w:lang w:val="en-GB" w:eastAsia="ja-JP"/>
        </w:rPr>
      </w:pPr>
      <w:r w:rsidRPr="00D416CC">
        <w:rPr>
          <w:rFonts w:eastAsia="MS Mincho" w:cs="Arial"/>
          <w:b/>
          <w:szCs w:val="24"/>
          <w:lang w:val="en-GB" w:eastAsia="ja-JP"/>
        </w:rPr>
        <w:t xml:space="preserve">GAUTENG DIVISION </w:t>
      </w:r>
    </w:p>
    <w:p w14:paraId="0F55899A" w14:textId="77777777" w:rsidR="00B3749C" w:rsidRPr="00D416CC" w:rsidRDefault="00B3749C" w:rsidP="00B3749C">
      <w:pPr>
        <w:spacing w:after="200" w:line="360" w:lineRule="auto"/>
        <w:jc w:val="right"/>
        <w:rPr>
          <w:rFonts w:eastAsia="MS Mincho" w:cs="Arial"/>
          <w:b/>
          <w:szCs w:val="24"/>
          <w:lang w:val="en-GB" w:eastAsia="ja-JP"/>
        </w:rPr>
      </w:pPr>
      <w:r w:rsidRPr="00D416CC">
        <w:rPr>
          <w:rFonts w:eastAsia="MS Mincho" w:cs="Arial"/>
          <w:b/>
          <w:szCs w:val="24"/>
          <w:lang w:val="en-GB" w:eastAsia="ja-JP"/>
        </w:rPr>
        <w:t>JOHNANNESBURG</w:t>
      </w:r>
    </w:p>
    <w:p w14:paraId="5F8CA047" w14:textId="77777777" w:rsidR="00B3749C" w:rsidRPr="00D416CC" w:rsidRDefault="00B3749C" w:rsidP="00B3749C">
      <w:pPr>
        <w:spacing w:after="200" w:line="360" w:lineRule="auto"/>
        <w:jc w:val="right"/>
        <w:rPr>
          <w:rFonts w:eastAsia="MS Mincho" w:cs="Arial"/>
          <w:b/>
          <w:szCs w:val="24"/>
          <w:lang w:val="en-GB" w:eastAsia="ja-JP"/>
        </w:rPr>
      </w:pPr>
    </w:p>
    <w:p w14:paraId="30ED9AA3" w14:textId="38221320" w:rsidR="00B3749C" w:rsidRPr="00D416CC" w:rsidRDefault="00B3749C" w:rsidP="00B3749C">
      <w:pPr>
        <w:spacing w:after="200" w:line="240" w:lineRule="auto"/>
        <w:jc w:val="both"/>
        <w:rPr>
          <w:rFonts w:eastAsia="MS Mincho" w:cs="Arial"/>
          <w:szCs w:val="24"/>
          <w:lang w:val="en-GB" w:eastAsia="ja-JP"/>
        </w:rPr>
      </w:pPr>
      <w:r>
        <w:rPr>
          <w:rFonts w:eastAsia="MS Mincho" w:cs="Arial"/>
          <w:szCs w:val="24"/>
          <w:lang w:val="en-GB" w:eastAsia="ja-JP"/>
        </w:rPr>
        <w:lastRenderedPageBreak/>
        <w:t>Dat</w:t>
      </w:r>
      <w:r w:rsidR="00F85F00">
        <w:rPr>
          <w:rFonts w:eastAsia="MS Mincho" w:cs="Arial"/>
          <w:szCs w:val="24"/>
          <w:lang w:val="en-GB" w:eastAsia="ja-JP"/>
        </w:rPr>
        <w:t>e of hearing: 1</w:t>
      </w:r>
      <w:r>
        <w:rPr>
          <w:rFonts w:eastAsia="MS Mincho" w:cs="Arial"/>
          <w:szCs w:val="24"/>
          <w:lang w:val="en-GB" w:eastAsia="ja-JP"/>
        </w:rPr>
        <w:t>7 February 2023</w:t>
      </w:r>
    </w:p>
    <w:p w14:paraId="265226B3" w14:textId="51A73144" w:rsidR="00B3749C" w:rsidRPr="00D416CC" w:rsidRDefault="00B3749C" w:rsidP="00B3749C">
      <w:pPr>
        <w:spacing w:after="200" w:line="480" w:lineRule="auto"/>
        <w:jc w:val="both"/>
        <w:rPr>
          <w:rFonts w:eastAsia="MS Mincho" w:cs="Arial"/>
          <w:szCs w:val="24"/>
          <w:lang w:val="en-GB" w:eastAsia="ja-JP"/>
        </w:rPr>
      </w:pPr>
      <w:r>
        <w:rPr>
          <w:rFonts w:eastAsia="MS Mincho" w:cs="Arial"/>
          <w:szCs w:val="24"/>
          <w:lang w:val="en-GB" w:eastAsia="ja-JP"/>
        </w:rPr>
        <w:t>Date of judgment: 28 February 2023</w:t>
      </w:r>
    </w:p>
    <w:p w14:paraId="38A35F72" w14:textId="77777777" w:rsidR="00B3749C" w:rsidRPr="00D416CC" w:rsidRDefault="00B3749C" w:rsidP="00B3749C">
      <w:pPr>
        <w:spacing w:after="200" w:line="480" w:lineRule="auto"/>
        <w:jc w:val="both"/>
        <w:rPr>
          <w:rFonts w:eastAsia="MS Mincho" w:cs="Arial"/>
          <w:szCs w:val="24"/>
          <w:lang w:val="en-GB" w:eastAsia="ja-JP"/>
        </w:rPr>
      </w:pPr>
      <w:r w:rsidRPr="00D416CC">
        <w:rPr>
          <w:rFonts w:eastAsia="MS Mincho" w:cs="Arial"/>
          <w:szCs w:val="24"/>
          <w:lang w:val="en-GB" w:eastAsia="ja-JP"/>
        </w:rPr>
        <w:t>Appearances:</w:t>
      </w:r>
    </w:p>
    <w:p w14:paraId="6E9157A7" w14:textId="5CD0DD27" w:rsidR="00B3749C" w:rsidRPr="00D416CC" w:rsidRDefault="00B3749C" w:rsidP="00B3749C">
      <w:pPr>
        <w:spacing w:after="200" w:line="240" w:lineRule="auto"/>
        <w:jc w:val="both"/>
        <w:rPr>
          <w:rFonts w:eastAsia="MS Mincho" w:cs="Arial"/>
          <w:szCs w:val="24"/>
          <w:lang w:val="en-GB" w:eastAsia="ja-JP"/>
        </w:rPr>
      </w:pPr>
      <w:r w:rsidRPr="00D416CC">
        <w:rPr>
          <w:rFonts w:eastAsia="MS Mincho" w:cs="Arial"/>
          <w:szCs w:val="24"/>
          <w:lang w:val="en-GB" w:eastAsia="ja-JP"/>
        </w:rPr>
        <w:t>Counsel for the Applicant</w:t>
      </w:r>
      <w:r w:rsidR="002A20FF">
        <w:rPr>
          <w:rFonts w:eastAsia="MS Mincho" w:cs="Arial"/>
          <w:szCs w:val="24"/>
          <w:lang w:val="en-GB" w:eastAsia="ja-JP"/>
        </w:rPr>
        <w:t>/First Defendant</w:t>
      </w:r>
      <w:r w:rsidRPr="00D416CC">
        <w:rPr>
          <w:rFonts w:eastAsia="MS Mincho" w:cs="Arial"/>
          <w:szCs w:val="24"/>
          <w:lang w:val="en-GB" w:eastAsia="ja-JP"/>
        </w:rPr>
        <w:t xml:space="preserve">:                  </w:t>
      </w:r>
      <w:r w:rsidR="00693FB8">
        <w:rPr>
          <w:rFonts w:eastAsia="MS Mincho" w:cs="Arial"/>
          <w:szCs w:val="24"/>
          <w:lang w:val="en-GB" w:eastAsia="ja-JP"/>
        </w:rPr>
        <w:tab/>
      </w:r>
      <w:r w:rsidR="002A20FF">
        <w:rPr>
          <w:rFonts w:eastAsia="MS Mincho" w:cs="Arial"/>
          <w:szCs w:val="24"/>
          <w:lang w:eastAsia="ja-JP"/>
        </w:rPr>
        <w:t>N Strathern</w:t>
      </w:r>
    </w:p>
    <w:p w14:paraId="1F3B67CD" w14:textId="79705201" w:rsidR="00B3749C" w:rsidRPr="00566063" w:rsidRDefault="00B3749C" w:rsidP="00566063">
      <w:pPr>
        <w:spacing w:after="200" w:line="240" w:lineRule="auto"/>
        <w:jc w:val="both"/>
      </w:pPr>
      <w:r w:rsidRPr="00D416CC">
        <w:rPr>
          <w:rFonts w:eastAsia="MS Mincho" w:cs="Arial"/>
          <w:szCs w:val="24"/>
          <w:lang w:val="en-GB" w:eastAsia="ja-JP"/>
        </w:rPr>
        <w:t xml:space="preserve">Instructed by.                                      </w:t>
      </w:r>
      <w:r>
        <w:rPr>
          <w:rFonts w:eastAsia="MS Mincho" w:cs="Arial"/>
          <w:szCs w:val="24"/>
          <w:lang w:val="en-GB" w:eastAsia="ja-JP"/>
        </w:rPr>
        <w:tab/>
      </w:r>
      <w:r>
        <w:rPr>
          <w:rFonts w:eastAsia="MS Mincho" w:cs="Arial"/>
          <w:szCs w:val="24"/>
          <w:lang w:val="en-GB" w:eastAsia="ja-JP"/>
        </w:rPr>
        <w:tab/>
      </w:r>
      <w:r w:rsidR="00693FB8">
        <w:rPr>
          <w:rFonts w:eastAsia="MS Mincho" w:cs="Arial"/>
          <w:szCs w:val="24"/>
          <w:lang w:val="en-GB" w:eastAsia="ja-JP"/>
        </w:rPr>
        <w:tab/>
      </w:r>
      <w:r w:rsidR="002A20FF">
        <w:rPr>
          <w:rFonts w:eastAsia="MS Mincho" w:cs="Arial"/>
          <w:szCs w:val="24"/>
          <w:lang w:val="en-GB" w:eastAsia="ja-JP"/>
        </w:rPr>
        <w:t>Karen Shafer Attorneys</w:t>
      </w:r>
    </w:p>
    <w:p w14:paraId="4509E6C2" w14:textId="77777777" w:rsidR="00B3749C" w:rsidRPr="00D416CC" w:rsidRDefault="00B3749C" w:rsidP="00B3749C">
      <w:pPr>
        <w:spacing w:after="200" w:line="480" w:lineRule="auto"/>
        <w:jc w:val="both"/>
        <w:rPr>
          <w:rFonts w:eastAsia="MS Mincho" w:cs="Arial"/>
          <w:szCs w:val="24"/>
          <w:lang w:val="en-GB" w:eastAsia="ja-JP"/>
        </w:rPr>
      </w:pPr>
    </w:p>
    <w:p w14:paraId="5095FF99" w14:textId="5537BCBF" w:rsidR="00B3749C" w:rsidRPr="00D416CC" w:rsidRDefault="00693FB8" w:rsidP="00B3749C">
      <w:pPr>
        <w:spacing w:after="200" w:line="240" w:lineRule="auto"/>
        <w:jc w:val="both"/>
        <w:rPr>
          <w:rFonts w:eastAsia="MS Mincho" w:cs="Arial"/>
          <w:szCs w:val="24"/>
          <w:lang w:val="en-GB" w:eastAsia="ja-JP"/>
        </w:rPr>
      </w:pPr>
      <w:r>
        <w:rPr>
          <w:rFonts w:eastAsia="MS Mincho" w:cs="Arial"/>
          <w:szCs w:val="24"/>
          <w:lang w:val="en-GB" w:eastAsia="ja-JP"/>
        </w:rPr>
        <w:t xml:space="preserve">Counsel for the </w:t>
      </w:r>
      <w:r w:rsidR="00B3749C">
        <w:rPr>
          <w:rFonts w:eastAsia="MS Mincho" w:cs="Arial"/>
          <w:szCs w:val="24"/>
          <w:lang w:val="en-GB" w:eastAsia="ja-JP"/>
        </w:rPr>
        <w:t>Respondent</w:t>
      </w:r>
      <w:r w:rsidR="002A20FF">
        <w:rPr>
          <w:rFonts w:eastAsia="MS Mincho" w:cs="Arial"/>
          <w:szCs w:val="24"/>
          <w:lang w:val="en-GB" w:eastAsia="ja-JP"/>
        </w:rPr>
        <w:t>/Plaintiff</w:t>
      </w:r>
      <w:r>
        <w:rPr>
          <w:rFonts w:eastAsia="MS Mincho" w:cs="Arial"/>
          <w:szCs w:val="24"/>
          <w:lang w:val="en-GB" w:eastAsia="ja-JP"/>
        </w:rPr>
        <w:t>:</w:t>
      </w:r>
      <w:r>
        <w:rPr>
          <w:rFonts w:eastAsia="MS Mincho" w:cs="Arial"/>
          <w:szCs w:val="24"/>
          <w:lang w:val="en-GB" w:eastAsia="ja-JP"/>
        </w:rPr>
        <w:tab/>
      </w:r>
      <w:r>
        <w:rPr>
          <w:rFonts w:eastAsia="MS Mincho" w:cs="Arial"/>
          <w:szCs w:val="24"/>
          <w:lang w:val="en-GB" w:eastAsia="ja-JP"/>
        </w:rPr>
        <w:tab/>
      </w:r>
      <w:r w:rsidR="002A20FF">
        <w:rPr>
          <w:rFonts w:eastAsia="MS Mincho" w:cs="Arial"/>
          <w:szCs w:val="24"/>
          <w:lang w:val="en-GB" w:eastAsia="ja-JP"/>
        </w:rPr>
        <w:tab/>
        <w:t>J Smit</w:t>
      </w:r>
    </w:p>
    <w:p w14:paraId="2D1C2AD7" w14:textId="7C54CC14" w:rsidR="002A20FF" w:rsidRPr="00566063" w:rsidRDefault="00B3749C" w:rsidP="002A20FF">
      <w:pPr>
        <w:spacing w:after="200" w:line="240" w:lineRule="auto"/>
        <w:jc w:val="both"/>
      </w:pPr>
      <w:r w:rsidRPr="00D416CC">
        <w:rPr>
          <w:rFonts w:eastAsia="MS Mincho" w:cs="Arial"/>
          <w:szCs w:val="24"/>
          <w:lang w:val="en-GB" w:eastAsia="ja-JP"/>
        </w:rPr>
        <w:t xml:space="preserve">Instructed by:                                  </w:t>
      </w:r>
      <w:r>
        <w:rPr>
          <w:rFonts w:eastAsia="MS Mincho" w:cs="Arial"/>
          <w:szCs w:val="24"/>
          <w:lang w:val="en-GB" w:eastAsia="ja-JP"/>
        </w:rPr>
        <w:tab/>
      </w:r>
      <w:r>
        <w:rPr>
          <w:rFonts w:eastAsia="MS Mincho" w:cs="Arial"/>
          <w:szCs w:val="24"/>
          <w:lang w:val="en-GB" w:eastAsia="ja-JP"/>
        </w:rPr>
        <w:tab/>
      </w:r>
      <w:r w:rsidR="00693FB8">
        <w:rPr>
          <w:rFonts w:eastAsia="MS Mincho" w:cs="Arial"/>
          <w:szCs w:val="24"/>
          <w:lang w:val="en-GB" w:eastAsia="ja-JP"/>
        </w:rPr>
        <w:tab/>
      </w:r>
      <w:r w:rsidR="002A20FF">
        <w:t>Edward Nathan Sonnenbergs</w:t>
      </w:r>
    </w:p>
    <w:p w14:paraId="257B6122" w14:textId="6DEECB25" w:rsidR="00B3749C" w:rsidRPr="00226F43" w:rsidRDefault="00B3749C" w:rsidP="00B3749C">
      <w:pPr>
        <w:spacing w:after="200" w:line="480" w:lineRule="auto"/>
        <w:jc w:val="both"/>
        <w:rPr>
          <w:rFonts w:eastAsia="MS Mincho" w:cs="Arial"/>
          <w:szCs w:val="24"/>
          <w:lang w:val="en-GB" w:eastAsia="ja-JP"/>
        </w:rPr>
      </w:pPr>
    </w:p>
    <w:p w14:paraId="40563617" w14:textId="77777777" w:rsidR="00B3749C" w:rsidRPr="00B3749C" w:rsidRDefault="00B3749C" w:rsidP="00B3749C">
      <w:pPr>
        <w:spacing w:line="360" w:lineRule="auto"/>
        <w:rPr>
          <w:rFonts w:cs="Arial"/>
          <w:iCs/>
          <w:szCs w:val="24"/>
        </w:rPr>
      </w:pPr>
    </w:p>
    <w:p w14:paraId="4993DD84" w14:textId="2C5E0B9A" w:rsidR="00E37DA4" w:rsidRPr="00064505" w:rsidRDefault="00E37DA4" w:rsidP="00B3749C">
      <w:pPr>
        <w:pStyle w:val="ListParagraph"/>
        <w:spacing w:line="360" w:lineRule="auto"/>
        <w:rPr>
          <w:rFonts w:cs="Arial"/>
          <w:szCs w:val="24"/>
        </w:rPr>
      </w:pPr>
    </w:p>
    <w:sectPr w:rsidR="00E37DA4" w:rsidRPr="00064505" w:rsidSect="00FF34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875B8" w14:textId="77777777" w:rsidR="00AF38FB" w:rsidRDefault="00AF38FB" w:rsidP="00926B8E">
      <w:pPr>
        <w:spacing w:after="0" w:line="240" w:lineRule="auto"/>
      </w:pPr>
      <w:r>
        <w:separator/>
      </w:r>
    </w:p>
  </w:endnote>
  <w:endnote w:type="continuationSeparator" w:id="0">
    <w:p w14:paraId="0C787521" w14:textId="77777777" w:rsidR="00AF38FB" w:rsidRDefault="00AF38FB" w:rsidP="0092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DDF85" w14:textId="77777777" w:rsidR="00AF38FB" w:rsidRDefault="00AF38FB" w:rsidP="00926B8E">
      <w:pPr>
        <w:spacing w:after="0" w:line="240" w:lineRule="auto"/>
      </w:pPr>
      <w:r>
        <w:separator/>
      </w:r>
    </w:p>
  </w:footnote>
  <w:footnote w:type="continuationSeparator" w:id="0">
    <w:p w14:paraId="0135A0BD" w14:textId="77777777" w:rsidR="00AF38FB" w:rsidRDefault="00AF38FB" w:rsidP="00926B8E">
      <w:pPr>
        <w:spacing w:after="0" w:line="240" w:lineRule="auto"/>
      </w:pPr>
      <w:r>
        <w:continuationSeparator/>
      </w:r>
    </w:p>
  </w:footnote>
  <w:footnote w:id="1">
    <w:p w14:paraId="7EC9BB23" w14:textId="7C01FD68" w:rsidR="00284A76" w:rsidRPr="00D0749B" w:rsidRDefault="00284A76" w:rsidP="00E52C29">
      <w:pPr>
        <w:pStyle w:val="FootnoteText"/>
        <w:jc w:val="both"/>
        <w:rPr>
          <w:lang w:val="en-US"/>
        </w:rPr>
      </w:pPr>
      <w:r>
        <w:rPr>
          <w:rStyle w:val="FootnoteReference"/>
        </w:rPr>
        <w:footnoteRef/>
      </w:r>
      <w:r>
        <w:t xml:space="preserve"> </w:t>
      </w:r>
      <w:r>
        <w:rPr>
          <w:lang w:val="en-US"/>
        </w:rPr>
        <w:t xml:space="preserve">See the recent case of </w:t>
      </w:r>
      <w:r w:rsidRPr="006C4C17">
        <w:rPr>
          <w:i/>
          <w:iCs/>
          <w:lang w:val="en-US"/>
        </w:rPr>
        <w:t>Ingosstrakh v Global Aviation Investments (Pty) Ltd and Others</w:t>
      </w:r>
      <w:r w:rsidRPr="00D0749B">
        <w:rPr>
          <w:lang w:val="en-US"/>
        </w:rPr>
        <w:t xml:space="preserve"> (934/2019) [2021]ZASCA 69 (4 June 2021)</w:t>
      </w:r>
      <w:r>
        <w:rPr>
          <w:lang w:val="en-US"/>
        </w:rPr>
        <w:t xml:space="preserve"> at paragraph 21. </w:t>
      </w:r>
    </w:p>
  </w:footnote>
  <w:footnote w:id="2">
    <w:p w14:paraId="009386BE" w14:textId="0588835B" w:rsidR="00284A76" w:rsidRPr="004B56A9" w:rsidRDefault="00284A76">
      <w:pPr>
        <w:pStyle w:val="FootnoteText"/>
        <w:rPr>
          <w:lang w:val="en-US"/>
        </w:rPr>
      </w:pPr>
      <w:r w:rsidRPr="002148E1">
        <w:rPr>
          <w:rStyle w:val="FootnoteReference"/>
          <w:i/>
          <w:iCs/>
        </w:rPr>
        <w:footnoteRef/>
      </w:r>
      <w:r w:rsidRPr="002148E1">
        <w:rPr>
          <w:i/>
          <w:iCs/>
        </w:rPr>
        <w:t xml:space="preserve"> </w:t>
      </w:r>
      <w:r w:rsidRPr="002148E1">
        <w:rPr>
          <w:i/>
          <w:iCs/>
          <w:lang w:val="en-US"/>
        </w:rPr>
        <w:t xml:space="preserve">Ford v Groenewald </w:t>
      </w:r>
      <w:r>
        <w:rPr>
          <w:lang w:val="en-US"/>
        </w:rPr>
        <w:t xml:space="preserve">1977(4) SA 224 (T) and </w:t>
      </w:r>
      <w:r w:rsidRPr="005A16A0">
        <w:rPr>
          <w:i/>
          <w:iCs/>
          <w:lang w:val="en-US"/>
        </w:rPr>
        <w:t>Breitenbach v Fiat SA (Pty) Ltd</w:t>
      </w:r>
      <w:r>
        <w:rPr>
          <w:lang w:val="en-US"/>
        </w:rPr>
        <w:t xml:space="preserve"> 1976 (2) SA 226 (T).</w:t>
      </w:r>
    </w:p>
  </w:footnote>
  <w:footnote w:id="3">
    <w:p w14:paraId="1DFFC119" w14:textId="10EA98A5" w:rsidR="00284A76" w:rsidRPr="00BD1573" w:rsidRDefault="00284A76">
      <w:pPr>
        <w:pStyle w:val="FootnoteText"/>
        <w:rPr>
          <w:lang w:val="en-US"/>
        </w:rPr>
      </w:pPr>
      <w:r>
        <w:rPr>
          <w:rStyle w:val="FootnoteReference"/>
        </w:rPr>
        <w:footnoteRef/>
      </w:r>
      <w:r>
        <w:t xml:space="preserve"> </w:t>
      </w:r>
      <w:r w:rsidRPr="00E46575">
        <w:rPr>
          <w:i/>
          <w:iCs/>
        </w:rPr>
        <w:t xml:space="preserve">Gap Merchant Recycling CC v Goal Reach Trading 55 CC </w:t>
      </w:r>
      <w:r w:rsidRPr="000C4D0E">
        <w:t>2016 (I) SA 261 (WCC)</w:t>
      </w:r>
      <w:r>
        <w:t xml:space="preserve"> at paragraph 23.</w:t>
      </w:r>
    </w:p>
  </w:footnote>
  <w:footnote w:id="4">
    <w:p w14:paraId="7058CFB6" w14:textId="65E797C8" w:rsidR="00284A76" w:rsidRPr="006B3FAB" w:rsidRDefault="00284A76" w:rsidP="00F85F00">
      <w:pPr>
        <w:pStyle w:val="FootnoteText"/>
        <w:jc w:val="both"/>
        <w:rPr>
          <w:lang w:val="en-US"/>
        </w:rPr>
      </w:pPr>
      <w:r>
        <w:rPr>
          <w:rStyle w:val="FootnoteReference"/>
        </w:rPr>
        <w:footnoteRef/>
      </w:r>
      <w:r>
        <w:t xml:space="preserve"> </w:t>
      </w:r>
      <w:r w:rsidRPr="00C3067A">
        <w:rPr>
          <w:i/>
          <w:iCs/>
          <w:lang w:val="en-US"/>
        </w:rPr>
        <w:t>Ingosstr</w:t>
      </w:r>
      <w:r>
        <w:rPr>
          <w:i/>
          <w:iCs/>
          <w:lang w:val="en-US"/>
        </w:rPr>
        <w:t>a</w:t>
      </w:r>
      <w:r w:rsidRPr="00C3067A">
        <w:rPr>
          <w:i/>
          <w:iCs/>
          <w:lang w:val="en-US"/>
        </w:rPr>
        <w:t xml:space="preserve">kh </w:t>
      </w:r>
      <w:r>
        <w:rPr>
          <w:lang w:val="en-US"/>
        </w:rPr>
        <w:t>supra, paragraph 22.</w:t>
      </w:r>
    </w:p>
  </w:footnote>
  <w:footnote w:id="5">
    <w:p w14:paraId="2B5B38FA" w14:textId="6899453B" w:rsidR="00284A76" w:rsidRPr="002E1AB9" w:rsidRDefault="00284A76" w:rsidP="00F85F00">
      <w:pPr>
        <w:pStyle w:val="FootnoteText"/>
        <w:jc w:val="both"/>
        <w:rPr>
          <w:lang w:val="en-US"/>
        </w:rPr>
      </w:pPr>
      <w:r>
        <w:rPr>
          <w:rStyle w:val="FootnoteReference"/>
        </w:rPr>
        <w:footnoteRef/>
      </w:r>
      <w:r>
        <w:t xml:space="preserve"> See </w:t>
      </w:r>
      <w:r w:rsidRPr="00841AEF">
        <w:rPr>
          <w:i/>
          <w:iCs/>
          <w:lang w:val="en-US"/>
        </w:rPr>
        <w:t>Cairns v Cairns</w:t>
      </w:r>
      <w:r>
        <w:rPr>
          <w:lang w:val="en-US"/>
        </w:rPr>
        <w:t xml:space="preserve"> 1912 AD 181 where Innes J held in explaining the futility of defining good cause that: “ </w:t>
      </w:r>
      <w:r w:rsidRPr="00A72122">
        <w:rPr>
          <w:i/>
          <w:iCs/>
          <w:lang w:val="en-US"/>
        </w:rPr>
        <w:t>What that something is must be decided upon the circumstances of each particular application.”</w:t>
      </w:r>
    </w:p>
  </w:footnote>
  <w:footnote w:id="6">
    <w:p w14:paraId="52724AEB" w14:textId="34B2C248" w:rsidR="00284A76" w:rsidRPr="00D247BF" w:rsidRDefault="00284A76" w:rsidP="00F85F00">
      <w:pPr>
        <w:pStyle w:val="FootnoteText"/>
        <w:jc w:val="both"/>
        <w:rPr>
          <w:lang w:val="en-US"/>
        </w:rPr>
      </w:pPr>
      <w:r>
        <w:rPr>
          <w:rStyle w:val="FootnoteReference"/>
        </w:rPr>
        <w:footnoteRef/>
      </w:r>
      <w:r>
        <w:t xml:space="preserve"> </w:t>
      </w:r>
      <w:r>
        <w:rPr>
          <w:lang w:val="en-US"/>
        </w:rPr>
        <w:t xml:space="preserve">See Herbstein and Van Winsen: </w:t>
      </w:r>
      <w:r w:rsidRPr="00F24036">
        <w:rPr>
          <w:i/>
          <w:iCs/>
          <w:lang w:val="en-US"/>
        </w:rPr>
        <w:t>“The Civil Practice of the High Courts of South Africa</w:t>
      </w:r>
      <w:r>
        <w:rPr>
          <w:i/>
          <w:iCs/>
          <w:lang w:val="en-US"/>
        </w:rPr>
        <w:t>”</w:t>
      </w:r>
      <w:r>
        <w:rPr>
          <w:lang w:val="en-US"/>
        </w:rPr>
        <w:t xml:space="preserve">. Fifth Edition,  page 733.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5B17561A"/>
    <w:multiLevelType w:val="hybridMultilevel"/>
    <w:tmpl w:val="333E49AE"/>
    <w:lvl w:ilvl="0" w:tplc="1C09000F">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78E7131B"/>
    <w:multiLevelType w:val="hybridMultilevel"/>
    <w:tmpl w:val="AD402332"/>
    <w:lvl w:ilvl="0" w:tplc="B8A4DAD6">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22"/>
    <w:rsid w:val="000011EB"/>
    <w:rsid w:val="00002C7A"/>
    <w:rsid w:val="00003061"/>
    <w:rsid w:val="00003DB3"/>
    <w:rsid w:val="00007D91"/>
    <w:rsid w:val="00017439"/>
    <w:rsid w:val="00024E8B"/>
    <w:rsid w:val="000436EB"/>
    <w:rsid w:val="00043F30"/>
    <w:rsid w:val="0005560A"/>
    <w:rsid w:val="0006158C"/>
    <w:rsid w:val="00064505"/>
    <w:rsid w:val="0006517D"/>
    <w:rsid w:val="00071B3C"/>
    <w:rsid w:val="00076087"/>
    <w:rsid w:val="000A1CC5"/>
    <w:rsid w:val="000A2AB1"/>
    <w:rsid w:val="000A331D"/>
    <w:rsid w:val="000A3B10"/>
    <w:rsid w:val="000A3C25"/>
    <w:rsid w:val="000A5FE6"/>
    <w:rsid w:val="000A73BE"/>
    <w:rsid w:val="000B40DB"/>
    <w:rsid w:val="000B6D83"/>
    <w:rsid w:val="000C0D5C"/>
    <w:rsid w:val="000C4D0E"/>
    <w:rsid w:val="000D74E9"/>
    <w:rsid w:val="000E3C21"/>
    <w:rsid w:val="000E7190"/>
    <w:rsid w:val="000F1D8E"/>
    <w:rsid w:val="000F4D01"/>
    <w:rsid w:val="001002F6"/>
    <w:rsid w:val="00110F1E"/>
    <w:rsid w:val="0011393E"/>
    <w:rsid w:val="0012269D"/>
    <w:rsid w:val="00122AC3"/>
    <w:rsid w:val="00130A6D"/>
    <w:rsid w:val="001328EC"/>
    <w:rsid w:val="00144712"/>
    <w:rsid w:val="00163018"/>
    <w:rsid w:val="00163C5F"/>
    <w:rsid w:val="00165081"/>
    <w:rsid w:val="00165B26"/>
    <w:rsid w:val="00166A69"/>
    <w:rsid w:val="00173F14"/>
    <w:rsid w:val="00177A7D"/>
    <w:rsid w:val="001806C8"/>
    <w:rsid w:val="00181717"/>
    <w:rsid w:val="001817CB"/>
    <w:rsid w:val="00184547"/>
    <w:rsid w:val="00185AEE"/>
    <w:rsid w:val="0019364B"/>
    <w:rsid w:val="00193C8C"/>
    <w:rsid w:val="0019424E"/>
    <w:rsid w:val="001A1569"/>
    <w:rsid w:val="001B137F"/>
    <w:rsid w:val="001B1519"/>
    <w:rsid w:val="001B57D5"/>
    <w:rsid w:val="001C437E"/>
    <w:rsid w:val="001C438D"/>
    <w:rsid w:val="001C4FA9"/>
    <w:rsid w:val="001F09F1"/>
    <w:rsid w:val="001F2151"/>
    <w:rsid w:val="002148E1"/>
    <w:rsid w:val="0021514B"/>
    <w:rsid w:val="00216A1E"/>
    <w:rsid w:val="00217D86"/>
    <w:rsid w:val="00217FA4"/>
    <w:rsid w:val="00225491"/>
    <w:rsid w:val="002259F6"/>
    <w:rsid w:val="00230563"/>
    <w:rsid w:val="0023181D"/>
    <w:rsid w:val="0023432A"/>
    <w:rsid w:val="00235D77"/>
    <w:rsid w:val="00243BCE"/>
    <w:rsid w:val="00261CED"/>
    <w:rsid w:val="00264410"/>
    <w:rsid w:val="00266A4D"/>
    <w:rsid w:val="00271ED1"/>
    <w:rsid w:val="00271FBB"/>
    <w:rsid w:val="00277AE3"/>
    <w:rsid w:val="00277E42"/>
    <w:rsid w:val="00284A76"/>
    <w:rsid w:val="00284E7B"/>
    <w:rsid w:val="002862F1"/>
    <w:rsid w:val="002867EA"/>
    <w:rsid w:val="00293E77"/>
    <w:rsid w:val="002A20FF"/>
    <w:rsid w:val="002A292B"/>
    <w:rsid w:val="002A3006"/>
    <w:rsid w:val="002A461F"/>
    <w:rsid w:val="002A540F"/>
    <w:rsid w:val="002B20B8"/>
    <w:rsid w:val="002B2FD9"/>
    <w:rsid w:val="002B6B94"/>
    <w:rsid w:val="002B6E54"/>
    <w:rsid w:val="002B7A0E"/>
    <w:rsid w:val="002C26B1"/>
    <w:rsid w:val="002C4436"/>
    <w:rsid w:val="002C48CD"/>
    <w:rsid w:val="002C5659"/>
    <w:rsid w:val="002C7A55"/>
    <w:rsid w:val="002D08A4"/>
    <w:rsid w:val="002D7B6C"/>
    <w:rsid w:val="002E1AB9"/>
    <w:rsid w:val="0031538E"/>
    <w:rsid w:val="00337D7D"/>
    <w:rsid w:val="00343563"/>
    <w:rsid w:val="00343640"/>
    <w:rsid w:val="00346FA6"/>
    <w:rsid w:val="00354632"/>
    <w:rsid w:val="00355FC8"/>
    <w:rsid w:val="00356D9D"/>
    <w:rsid w:val="0037369A"/>
    <w:rsid w:val="00376DD0"/>
    <w:rsid w:val="003852EE"/>
    <w:rsid w:val="00390669"/>
    <w:rsid w:val="003A683D"/>
    <w:rsid w:val="003C1DC7"/>
    <w:rsid w:val="003C254D"/>
    <w:rsid w:val="003C5B19"/>
    <w:rsid w:val="003D1B4B"/>
    <w:rsid w:val="003D1C1B"/>
    <w:rsid w:val="003E72FD"/>
    <w:rsid w:val="004043CA"/>
    <w:rsid w:val="00412E51"/>
    <w:rsid w:val="00424695"/>
    <w:rsid w:val="004263DE"/>
    <w:rsid w:val="00427150"/>
    <w:rsid w:val="0043522C"/>
    <w:rsid w:val="00435AD7"/>
    <w:rsid w:val="00440701"/>
    <w:rsid w:val="004419DA"/>
    <w:rsid w:val="00447C96"/>
    <w:rsid w:val="00451FC0"/>
    <w:rsid w:val="0045406A"/>
    <w:rsid w:val="00455667"/>
    <w:rsid w:val="0046123F"/>
    <w:rsid w:val="00461B0F"/>
    <w:rsid w:val="00462BB2"/>
    <w:rsid w:val="004664E6"/>
    <w:rsid w:val="00471B98"/>
    <w:rsid w:val="0047292C"/>
    <w:rsid w:val="0048004C"/>
    <w:rsid w:val="00491EF2"/>
    <w:rsid w:val="00493BF9"/>
    <w:rsid w:val="00496089"/>
    <w:rsid w:val="00497909"/>
    <w:rsid w:val="004A4632"/>
    <w:rsid w:val="004B23C5"/>
    <w:rsid w:val="004B25BF"/>
    <w:rsid w:val="004B56A9"/>
    <w:rsid w:val="004D1055"/>
    <w:rsid w:val="004E0330"/>
    <w:rsid w:val="004E409C"/>
    <w:rsid w:val="004F0AA0"/>
    <w:rsid w:val="00506C73"/>
    <w:rsid w:val="005073E1"/>
    <w:rsid w:val="00510630"/>
    <w:rsid w:val="005371AE"/>
    <w:rsid w:val="0054197C"/>
    <w:rsid w:val="00552BC5"/>
    <w:rsid w:val="00554F06"/>
    <w:rsid w:val="005654FF"/>
    <w:rsid w:val="00566063"/>
    <w:rsid w:val="0057580C"/>
    <w:rsid w:val="0057700B"/>
    <w:rsid w:val="00584D0A"/>
    <w:rsid w:val="00590AA3"/>
    <w:rsid w:val="00592AAE"/>
    <w:rsid w:val="005A16A0"/>
    <w:rsid w:val="005A1C36"/>
    <w:rsid w:val="005A2F53"/>
    <w:rsid w:val="005A7C9D"/>
    <w:rsid w:val="005B0F47"/>
    <w:rsid w:val="005B5A67"/>
    <w:rsid w:val="005B66D5"/>
    <w:rsid w:val="005B6B25"/>
    <w:rsid w:val="005B77F7"/>
    <w:rsid w:val="005F18A9"/>
    <w:rsid w:val="005F7E95"/>
    <w:rsid w:val="00602575"/>
    <w:rsid w:val="00605BBD"/>
    <w:rsid w:val="006150C2"/>
    <w:rsid w:val="006239F5"/>
    <w:rsid w:val="00626BEC"/>
    <w:rsid w:val="00630288"/>
    <w:rsid w:val="0063411E"/>
    <w:rsid w:val="00636D22"/>
    <w:rsid w:val="00640056"/>
    <w:rsid w:val="00645107"/>
    <w:rsid w:val="00654E87"/>
    <w:rsid w:val="006557C6"/>
    <w:rsid w:val="006625DB"/>
    <w:rsid w:val="006926AA"/>
    <w:rsid w:val="00693FB8"/>
    <w:rsid w:val="00695EC6"/>
    <w:rsid w:val="006A17AB"/>
    <w:rsid w:val="006B3FAB"/>
    <w:rsid w:val="006C396F"/>
    <w:rsid w:val="006C4C17"/>
    <w:rsid w:val="006E00BA"/>
    <w:rsid w:val="006E10A5"/>
    <w:rsid w:val="00710547"/>
    <w:rsid w:val="007115F2"/>
    <w:rsid w:val="00717CA1"/>
    <w:rsid w:val="00720A97"/>
    <w:rsid w:val="0072756B"/>
    <w:rsid w:val="00730028"/>
    <w:rsid w:val="00735FAE"/>
    <w:rsid w:val="007439A5"/>
    <w:rsid w:val="0075335F"/>
    <w:rsid w:val="0075447D"/>
    <w:rsid w:val="00757727"/>
    <w:rsid w:val="00765259"/>
    <w:rsid w:val="0077177C"/>
    <w:rsid w:val="00775D38"/>
    <w:rsid w:val="0078305E"/>
    <w:rsid w:val="00786B93"/>
    <w:rsid w:val="00792ADA"/>
    <w:rsid w:val="007A276F"/>
    <w:rsid w:val="007B365B"/>
    <w:rsid w:val="007C24BD"/>
    <w:rsid w:val="007C72FB"/>
    <w:rsid w:val="007D5ED2"/>
    <w:rsid w:val="007E0059"/>
    <w:rsid w:val="007E071D"/>
    <w:rsid w:val="007E0903"/>
    <w:rsid w:val="007E1047"/>
    <w:rsid w:val="007E33BA"/>
    <w:rsid w:val="00802D2B"/>
    <w:rsid w:val="008057DD"/>
    <w:rsid w:val="00807BFE"/>
    <w:rsid w:val="00823D14"/>
    <w:rsid w:val="008250D8"/>
    <w:rsid w:val="0082714A"/>
    <w:rsid w:val="00830B49"/>
    <w:rsid w:val="00831531"/>
    <w:rsid w:val="00831A13"/>
    <w:rsid w:val="00841AEF"/>
    <w:rsid w:val="0084748E"/>
    <w:rsid w:val="008506A5"/>
    <w:rsid w:val="00866D4C"/>
    <w:rsid w:val="00867C81"/>
    <w:rsid w:val="008721D9"/>
    <w:rsid w:val="00886EC5"/>
    <w:rsid w:val="00894862"/>
    <w:rsid w:val="008A19EE"/>
    <w:rsid w:val="008B3DAC"/>
    <w:rsid w:val="008C379D"/>
    <w:rsid w:val="008C74E6"/>
    <w:rsid w:val="008D32F9"/>
    <w:rsid w:val="008D47D6"/>
    <w:rsid w:val="008D7512"/>
    <w:rsid w:val="008E2AE8"/>
    <w:rsid w:val="008F3335"/>
    <w:rsid w:val="008F5D0D"/>
    <w:rsid w:val="008F6DDE"/>
    <w:rsid w:val="00907616"/>
    <w:rsid w:val="00910F9B"/>
    <w:rsid w:val="00913B79"/>
    <w:rsid w:val="00926784"/>
    <w:rsid w:val="00926B8E"/>
    <w:rsid w:val="009279C8"/>
    <w:rsid w:val="00932886"/>
    <w:rsid w:val="0093563C"/>
    <w:rsid w:val="00935D4A"/>
    <w:rsid w:val="00936E30"/>
    <w:rsid w:val="00941911"/>
    <w:rsid w:val="0095616C"/>
    <w:rsid w:val="009627C9"/>
    <w:rsid w:val="009655A2"/>
    <w:rsid w:val="009729B9"/>
    <w:rsid w:val="00973FA4"/>
    <w:rsid w:val="00976A8A"/>
    <w:rsid w:val="00980DF4"/>
    <w:rsid w:val="009848B5"/>
    <w:rsid w:val="00992881"/>
    <w:rsid w:val="00996B29"/>
    <w:rsid w:val="009B0A0C"/>
    <w:rsid w:val="009B683C"/>
    <w:rsid w:val="009C0779"/>
    <w:rsid w:val="009C0A92"/>
    <w:rsid w:val="009C0AAA"/>
    <w:rsid w:val="009C6ECC"/>
    <w:rsid w:val="009D342D"/>
    <w:rsid w:val="009D44D8"/>
    <w:rsid w:val="009D4DD9"/>
    <w:rsid w:val="009D5CA0"/>
    <w:rsid w:val="009D7145"/>
    <w:rsid w:val="009E4F4B"/>
    <w:rsid w:val="009E66AE"/>
    <w:rsid w:val="009F2983"/>
    <w:rsid w:val="009F56EB"/>
    <w:rsid w:val="00A07E0F"/>
    <w:rsid w:val="00A10407"/>
    <w:rsid w:val="00A2594A"/>
    <w:rsid w:val="00A347B9"/>
    <w:rsid w:val="00A444EF"/>
    <w:rsid w:val="00A472F1"/>
    <w:rsid w:val="00A54597"/>
    <w:rsid w:val="00A71214"/>
    <w:rsid w:val="00A72122"/>
    <w:rsid w:val="00A7283D"/>
    <w:rsid w:val="00A732C7"/>
    <w:rsid w:val="00A77925"/>
    <w:rsid w:val="00A8709C"/>
    <w:rsid w:val="00AA7B67"/>
    <w:rsid w:val="00AB1D06"/>
    <w:rsid w:val="00AB5EC1"/>
    <w:rsid w:val="00AC6A5A"/>
    <w:rsid w:val="00AF2DF1"/>
    <w:rsid w:val="00AF38FB"/>
    <w:rsid w:val="00B02665"/>
    <w:rsid w:val="00B11CA2"/>
    <w:rsid w:val="00B31BDB"/>
    <w:rsid w:val="00B36B96"/>
    <w:rsid w:val="00B3749C"/>
    <w:rsid w:val="00B40021"/>
    <w:rsid w:val="00B4284A"/>
    <w:rsid w:val="00B474EE"/>
    <w:rsid w:val="00B70A79"/>
    <w:rsid w:val="00B7182F"/>
    <w:rsid w:val="00B86D88"/>
    <w:rsid w:val="00BB3075"/>
    <w:rsid w:val="00BC3261"/>
    <w:rsid w:val="00BC4728"/>
    <w:rsid w:val="00BD1573"/>
    <w:rsid w:val="00BD40FF"/>
    <w:rsid w:val="00BD503F"/>
    <w:rsid w:val="00BD509F"/>
    <w:rsid w:val="00BD5B82"/>
    <w:rsid w:val="00BF3525"/>
    <w:rsid w:val="00BF4922"/>
    <w:rsid w:val="00C027E4"/>
    <w:rsid w:val="00C12254"/>
    <w:rsid w:val="00C2769A"/>
    <w:rsid w:val="00C304A3"/>
    <w:rsid w:val="00C3067A"/>
    <w:rsid w:val="00C327A7"/>
    <w:rsid w:val="00C4019F"/>
    <w:rsid w:val="00C401C5"/>
    <w:rsid w:val="00C406A1"/>
    <w:rsid w:val="00C43898"/>
    <w:rsid w:val="00C4404F"/>
    <w:rsid w:val="00C4431D"/>
    <w:rsid w:val="00C534EB"/>
    <w:rsid w:val="00C57EE2"/>
    <w:rsid w:val="00C60276"/>
    <w:rsid w:val="00C7300F"/>
    <w:rsid w:val="00C7692C"/>
    <w:rsid w:val="00C83274"/>
    <w:rsid w:val="00CA6914"/>
    <w:rsid w:val="00CB6BFF"/>
    <w:rsid w:val="00CB76C4"/>
    <w:rsid w:val="00CC386E"/>
    <w:rsid w:val="00CC7566"/>
    <w:rsid w:val="00CD1337"/>
    <w:rsid w:val="00CD54D1"/>
    <w:rsid w:val="00CE21B0"/>
    <w:rsid w:val="00CF2C0B"/>
    <w:rsid w:val="00CF6447"/>
    <w:rsid w:val="00D01BE1"/>
    <w:rsid w:val="00D03F06"/>
    <w:rsid w:val="00D0749B"/>
    <w:rsid w:val="00D11E6A"/>
    <w:rsid w:val="00D12251"/>
    <w:rsid w:val="00D122AF"/>
    <w:rsid w:val="00D1356C"/>
    <w:rsid w:val="00D13C79"/>
    <w:rsid w:val="00D23FCA"/>
    <w:rsid w:val="00D247BF"/>
    <w:rsid w:val="00D27AE8"/>
    <w:rsid w:val="00D31A15"/>
    <w:rsid w:val="00D402DD"/>
    <w:rsid w:val="00D4389A"/>
    <w:rsid w:val="00D46981"/>
    <w:rsid w:val="00D5176A"/>
    <w:rsid w:val="00D5518E"/>
    <w:rsid w:val="00D618E5"/>
    <w:rsid w:val="00D62D8D"/>
    <w:rsid w:val="00D62EEB"/>
    <w:rsid w:val="00D637AF"/>
    <w:rsid w:val="00D72CD7"/>
    <w:rsid w:val="00D7416A"/>
    <w:rsid w:val="00D85B32"/>
    <w:rsid w:val="00D90D2E"/>
    <w:rsid w:val="00D92B2D"/>
    <w:rsid w:val="00D93D52"/>
    <w:rsid w:val="00DA7988"/>
    <w:rsid w:val="00DB27E8"/>
    <w:rsid w:val="00DB50F4"/>
    <w:rsid w:val="00DD310E"/>
    <w:rsid w:val="00DE2536"/>
    <w:rsid w:val="00DE3B95"/>
    <w:rsid w:val="00DE52F6"/>
    <w:rsid w:val="00DF2DF2"/>
    <w:rsid w:val="00DF401B"/>
    <w:rsid w:val="00DF4459"/>
    <w:rsid w:val="00E060FA"/>
    <w:rsid w:val="00E162D8"/>
    <w:rsid w:val="00E264A0"/>
    <w:rsid w:val="00E327B2"/>
    <w:rsid w:val="00E37DA4"/>
    <w:rsid w:val="00E42CFC"/>
    <w:rsid w:val="00E443FA"/>
    <w:rsid w:val="00E447C1"/>
    <w:rsid w:val="00E46575"/>
    <w:rsid w:val="00E52C29"/>
    <w:rsid w:val="00E61DC5"/>
    <w:rsid w:val="00E65CF1"/>
    <w:rsid w:val="00E74B32"/>
    <w:rsid w:val="00E760EE"/>
    <w:rsid w:val="00E94A0C"/>
    <w:rsid w:val="00E964AE"/>
    <w:rsid w:val="00EA24ED"/>
    <w:rsid w:val="00EA432A"/>
    <w:rsid w:val="00EB13AB"/>
    <w:rsid w:val="00EB6E69"/>
    <w:rsid w:val="00EC4E79"/>
    <w:rsid w:val="00EF79EA"/>
    <w:rsid w:val="00F0013A"/>
    <w:rsid w:val="00F02E61"/>
    <w:rsid w:val="00F06197"/>
    <w:rsid w:val="00F061F8"/>
    <w:rsid w:val="00F07609"/>
    <w:rsid w:val="00F16541"/>
    <w:rsid w:val="00F1737F"/>
    <w:rsid w:val="00F20C55"/>
    <w:rsid w:val="00F24036"/>
    <w:rsid w:val="00F3096B"/>
    <w:rsid w:val="00F31A95"/>
    <w:rsid w:val="00F362BF"/>
    <w:rsid w:val="00F42F82"/>
    <w:rsid w:val="00F46ECE"/>
    <w:rsid w:val="00F562D5"/>
    <w:rsid w:val="00F57AE5"/>
    <w:rsid w:val="00F57D86"/>
    <w:rsid w:val="00F65F9C"/>
    <w:rsid w:val="00F735CF"/>
    <w:rsid w:val="00F802D8"/>
    <w:rsid w:val="00F85F00"/>
    <w:rsid w:val="00F86F4C"/>
    <w:rsid w:val="00F90B8B"/>
    <w:rsid w:val="00F91969"/>
    <w:rsid w:val="00FA0EC6"/>
    <w:rsid w:val="00FA6341"/>
    <w:rsid w:val="00FA63AC"/>
    <w:rsid w:val="00FA7641"/>
    <w:rsid w:val="00FB0D9F"/>
    <w:rsid w:val="00FC4F17"/>
    <w:rsid w:val="00FD0B3B"/>
    <w:rsid w:val="00FD3247"/>
    <w:rsid w:val="00FD492C"/>
    <w:rsid w:val="00FF34C0"/>
    <w:rsid w:val="00FF49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FA86"/>
  <w15:chartTrackingRefBased/>
  <w15:docId w15:val="{74C32CA4-3F65-4C3C-828A-5A3BAA35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92B2D"/>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imes New Roman" w:hAnsi="Times New Roman" w:cs="Times New Roman"/>
      <w:iCs/>
      <w:color w:val="000000" w:themeColor="text1"/>
      <w:szCs w:val="24"/>
      <w:lang w:val="en-US"/>
    </w:rPr>
  </w:style>
  <w:style w:type="character" w:customStyle="1" w:styleId="IntenseQuoteChar">
    <w:name w:val="Intense Quote Char"/>
    <w:basedOn w:val="DefaultParagraphFont"/>
    <w:link w:val="IntenseQuote"/>
    <w:uiPriority w:val="30"/>
    <w:rsid w:val="00D92B2D"/>
    <w:rPr>
      <w:rFonts w:ascii="Times New Roman" w:eastAsia="Times New Roman" w:hAnsi="Times New Roman" w:cs="Times New Roman"/>
      <w:iCs/>
      <w:color w:val="000000" w:themeColor="text1"/>
      <w:szCs w:val="24"/>
      <w:lang w:val="en-US"/>
    </w:rPr>
  </w:style>
  <w:style w:type="paragraph" w:customStyle="1" w:styleId="Style1">
    <w:name w:val="Style1"/>
    <w:basedOn w:val="IntenseQuote"/>
    <w:link w:val="Style1Char"/>
    <w:autoRedefine/>
    <w:qFormat/>
    <w:rsid w:val="001002F6"/>
    <w:pPr>
      <w:spacing w:line="259" w:lineRule="auto"/>
    </w:pPr>
    <w:rPr>
      <w:rFonts w:cs="Arial"/>
      <w:bCs/>
      <w:iCs w:val="0"/>
    </w:rPr>
  </w:style>
  <w:style w:type="character" w:customStyle="1" w:styleId="Style1Char">
    <w:name w:val="Style1 Char"/>
    <w:basedOn w:val="IntenseQuoteChar"/>
    <w:link w:val="Style1"/>
    <w:rsid w:val="001002F6"/>
    <w:rPr>
      <w:rFonts w:ascii="Times New Roman" w:eastAsia="Times New Roman" w:hAnsi="Times New Roman" w:cs="Arial"/>
      <w:bCs/>
      <w:iCs w:val="0"/>
      <w:color w:val="000000" w:themeColor="text1"/>
      <w:szCs w:val="24"/>
      <w:lang w:val="en-US"/>
    </w:rPr>
  </w:style>
  <w:style w:type="paragraph" w:styleId="ListParagraph">
    <w:name w:val="List Paragraph"/>
    <w:basedOn w:val="Normal"/>
    <w:uiPriority w:val="34"/>
    <w:qFormat/>
    <w:rsid w:val="00D122AF"/>
    <w:pPr>
      <w:ind w:left="720"/>
      <w:contextualSpacing/>
    </w:pPr>
  </w:style>
  <w:style w:type="paragraph" w:styleId="FootnoteText">
    <w:name w:val="footnote text"/>
    <w:basedOn w:val="Normal"/>
    <w:link w:val="FootnoteTextChar"/>
    <w:uiPriority w:val="99"/>
    <w:semiHidden/>
    <w:unhideWhenUsed/>
    <w:rsid w:val="00926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6B8E"/>
    <w:rPr>
      <w:sz w:val="20"/>
      <w:szCs w:val="20"/>
    </w:rPr>
  </w:style>
  <w:style w:type="character" w:styleId="FootnoteReference">
    <w:name w:val="footnote reference"/>
    <w:basedOn w:val="DefaultParagraphFont"/>
    <w:uiPriority w:val="99"/>
    <w:semiHidden/>
    <w:unhideWhenUsed/>
    <w:rsid w:val="00926B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06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Manoim</dc:creator>
  <cp:keywords/>
  <dc:description/>
  <cp:lastModifiedBy>Mokone</cp:lastModifiedBy>
  <cp:revision>2</cp:revision>
  <dcterms:created xsi:type="dcterms:W3CDTF">2023-03-06T13:31:00Z</dcterms:created>
  <dcterms:modified xsi:type="dcterms:W3CDTF">2023-03-06T13:31:00Z</dcterms:modified>
</cp:coreProperties>
</file>