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D571" w14:textId="77777777" w:rsidR="001E2697" w:rsidRDefault="001E2697" w:rsidP="001E2697">
      <w:pPr>
        <w:spacing w:line="360" w:lineRule="auto"/>
        <w:ind w:leftChars="-38" w:left="-91"/>
        <w:jc w:val="center"/>
        <w:rPr>
          <w:rFonts w:cs="Arial"/>
          <w:b/>
        </w:rPr>
      </w:pPr>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027F9957"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113EEB">
        <w:rPr>
          <w:b/>
        </w:rPr>
        <w:t>20</w:t>
      </w:r>
      <w:r w:rsidR="0039420D">
        <w:rPr>
          <w:b/>
        </w:rPr>
        <w:t>22-005166</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4423C5">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4423C5">
            <w:pPr>
              <w:jc w:val="both"/>
              <w:rPr>
                <w:rFonts w:cs="Arial"/>
                <w:sz w:val="16"/>
                <w:szCs w:val="16"/>
              </w:rPr>
            </w:pPr>
          </w:p>
          <w:p w14:paraId="367F2BD7" w14:textId="77777777" w:rsidR="001E2697" w:rsidRPr="008B170D" w:rsidRDefault="001E2697" w:rsidP="004423C5">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4423C5">
            <w:pPr>
              <w:ind w:left="180"/>
              <w:jc w:val="center"/>
              <w:rPr>
                <w:rFonts w:cs="Arial"/>
                <w:b/>
                <w:bCs/>
                <w:color w:val="FF0000"/>
                <w:sz w:val="18"/>
                <w:szCs w:val="18"/>
                <w:u w:val="single"/>
              </w:rPr>
            </w:pPr>
          </w:p>
          <w:p w14:paraId="6D072193" w14:textId="745870B6"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5A7A4C">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1615DBFF"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 xml:space="preserve">2.OF INTEREST TO OTHER JUDGES: </w:t>
            </w:r>
            <w:r w:rsidR="005A7A4C">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p>
          <w:p w14:paraId="24E6769D" w14:textId="11721D30"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3.REVISED</w:t>
            </w:r>
            <w:r w:rsidR="005A7A4C">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4423C5">
            <w:pPr>
              <w:spacing w:line="360" w:lineRule="auto"/>
              <w:ind w:left="180"/>
              <w:jc w:val="both"/>
              <w:rPr>
                <w:rFonts w:cs="Arial"/>
                <w:bCs/>
                <w:color w:val="FF0000"/>
                <w:sz w:val="18"/>
                <w:szCs w:val="18"/>
              </w:rPr>
            </w:pPr>
          </w:p>
          <w:p w14:paraId="047C9726" w14:textId="77777777" w:rsidR="001E2697" w:rsidRPr="00F04BA1" w:rsidRDefault="001E2697" w:rsidP="004423C5">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69FBD819" w14:textId="75812610" w:rsidR="001E2697" w:rsidRDefault="0039420D" w:rsidP="001E2697">
      <w:pPr>
        <w:widowControl w:val="0"/>
        <w:tabs>
          <w:tab w:val="right" w:pos="9356"/>
        </w:tabs>
        <w:jc w:val="both"/>
        <w:rPr>
          <w:b/>
        </w:rPr>
      </w:pPr>
      <w:bookmarkStart w:id="0" w:name="_Hlk67557019"/>
      <w:r>
        <w:rPr>
          <w:b/>
        </w:rPr>
        <w:t>XOLANI NCUBE</w:t>
      </w:r>
      <w:r w:rsidR="001E2697">
        <w:rPr>
          <w:b/>
        </w:rPr>
        <w:tab/>
      </w:r>
      <w:r w:rsidR="005A0267">
        <w:rPr>
          <w:b/>
        </w:rPr>
        <w:t>1</w:t>
      </w:r>
      <w:r w:rsidR="005A0267" w:rsidRPr="005A0267">
        <w:rPr>
          <w:b/>
          <w:vertAlign w:val="superscript"/>
        </w:rPr>
        <w:t>st</w:t>
      </w:r>
      <w:r w:rsidR="005A0267">
        <w:rPr>
          <w:b/>
        </w:rPr>
        <w:t xml:space="preserve"> </w:t>
      </w:r>
      <w:r w:rsidR="001E2697" w:rsidRPr="000F64D9">
        <w:rPr>
          <w:b/>
        </w:rPr>
        <w:t>APPLICANT</w:t>
      </w:r>
    </w:p>
    <w:p w14:paraId="638E98C1" w14:textId="7087109B" w:rsidR="005A0267" w:rsidRDefault="005A0267" w:rsidP="001E2697">
      <w:pPr>
        <w:widowControl w:val="0"/>
        <w:tabs>
          <w:tab w:val="right" w:pos="9356"/>
        </w:tabs>
        <w:jc w:val="both"/>
        <w:rPr>
          <w:b/>
        </w:rPr>
      </w:pPr>
    </w:p>
    <w:p w14:paraId="08950B1D" w14:textId="65B08A47" w:rsidR="005A0267" w:rsidRDefault="0039420D" w:rsidP="001E2697">
      <w:pPr>
        <w:widowControl w:val="0"/>
        <w:tabs>
          <w:tab w:val="right" w:pos="9356"/>
        </w:tabs>
        <w:jc w:val="both"/>
        <w:rPr>
          <w:b/>
        </w:rPr>
      </w:pPr>
      <w:r>
        <w:rPr>
          <w:b/>
        </w:rPr>
        <w:t xml:space="preserve">WARWICK LABORATORIES </w:t>
      </w:r>
      <w:r w:rsidR="005A0267">
        <w:rPr>
          <w:b/>
        </w:rPr>
        <w:tab/>
        <w:t>2</w:t>
      </w:r>
      <w:r w:rsidR="005A0267" w:rsidRPr="005A0267">
        <w:rPr>
          <w:b/>
          <w:vertAlign w:val="superscript"/>
        </w:rPr>
        <w:t>nd</w:t>
      </w:r>
      <w:r w:rsidR="005A0267">
        <w:rPr>
          <w:b/>
        </w:rPr>
        <w:t xml:space="preserve"> </w:t>
      </w:r>
      <w:r w:rsidR="005A0267" w:rsidRPr="000F64D9">
        <w:rPr>
          <w:b/>
        </w:rPr>
        <w:t>APPLICANT</w:t>
      </w:r>
    </w:p>
    <w:p w14:paraId="2293F5A1" w14:textId="2142E753" w:rsidR="005A0267" w:rsidRDefault="005A0267" w:rsidP="001E2697">
      <w:pPr>
        <w:widowControl w:val="0"/>
        <w:tabs>
          <w:tab w:val="right" w:pos="9356"/>
        </w:tabs>
        <w:jc w:val="both"/>
        <w:rPr>
          <w:b/>
        </w:rPr>
      </w:pPr>
    </w:p>
    <w:p w14:paraId="39FAFA59" w14:textId="1F4F4F3C" w:rsidR="001E2697" w:rsidRPr="000F64D9" w:rsidRDefault="005A0267" w:rsidP="001E2697">
      <w:pPr>
        <w:widowControl w:val="0"/>
        <w:tabs>
          <w:tab w:val="right" w:pos="9356"/>
        </w:tabs>
        <w:jc w:val="both"/>
        <w:rPr>
          <w:b/>
        </w:rPr>
      </w:pPr>
      <w:r>
        <w:rPr>
          <w:b/>
        </w:rPr>
        <w:tab/>
      </w:r>
    </w:p>
    <w:p w14:paraId="6C62F3C8" w14:textId="77777777" w:rsidR="001E2697" w:rsidRPr="000F64D9" w:rsidRDefault="001E2697" w:rsidP="001E2697">
      <w:pPr>
        <w:widowControl w:val="0"/>
        <w:tabs>
          <w:tab w:val="right" w:pos="9356"/>
        </w:tabs>
        <w:jc w:val="both"/>
        <w:rPr>
          <w:b/>
        </w:rPr>
      </w:pPr>
      <w:r w:rsidRPr="000F64D9">
        <w:rPr>
          <w:b/>
        </w:rPr>
        <w:t>AND</w:t>
      </w:r>
    </w:p>
    <w:p w14:paraId="2B2F3C7D" w14:textId="77777777" w:rsidR="001E2697" w:rsidRDefault="001E2697" w:rsidP="001E2697">
      <w:pPr>
        <w:widowControl w:val="0"/>
        <w:tabs>
          <w:tab w:val="right" w:pos="9356"/>
        </w:tabs>
        <w:jc w:val="both"/>
        <w:rPr>
          <w:b/>
        </w:rPr>
      </w:pPr>
    </w:p>
    <w:p w14:paraId="3F8DA557" w14:textId="77777777" w:rsidR="0039420D" w:rsidRDefault="0039420D" w:rsidP="001E2697">
      <w:pPr>
        <w:widowControl w:val="0"/>
        <w:tabs>
          <w:tab w:val="right" w:pos="9356"/>
        </w:tabs>
        <w:jc w:val="both"/>
        <w:rPr>
          <w:b/>
        </w:rPr>
      </w:pPr>
    </w:p>
    <w:p w14:paraId="5274158E" w14:textId="2A23FA95" w:rsidR="001E2697" w:rsidRDefault="0039420D" w:rsidP="001E2697">
      <w:pPr>
        <w:widowControl w:val="0"/>
        <w:tabs>
          <w:tab w:val="right" w:pos="9356"/>
        </w:tabs>
        <w:jc w:val="both"/>
        <w:rPr>
          <w:b/>
        </w:rPr>
      </w:pPr>
      <w:r>
        <w:rPr>
          <w:b/>
        </w:rPr>
        <w:t>HEALTH AND HYGIENE (PTY) LTD</w:t>
      </w:r>
      <w:r>
        <w:rPr>
          <w:b/>
        </w:rPr>
        <w:tab/>
      </w:r>
      <w:r w:rsidR="005A0267">
        <w:rPr>
          <w:b/>
        </w:rPr>
        <w:t>RESPONDENT</w:t>
      </w:r>
    </w:p>
    <w:p w14:paraId="3BD5737E" w14:textId="74FD3CC1" w:rsidR="001E2697" w:rsidRDefault="001E2697" w:rsidP="001E2697">
      <w:pPr>
        <w:widowControl w:val="0"/>
        <w:tabs>
          <w:tab w:val="right" w:pos="9356"/>
        </w:tabs>
        <w:jc w:val="both"/>
        <w:rPr>
          <w:b/>
        </w:rPr>
      </w:pPr>
    </w:p>
    <w:p w14:paraId="5F4DABC6" w14:textId="20F912A5" w:rsidR="005A0267" w:rsidRDefault="005A0267" w:rsidP="001E2697">
      <w:pPr>
        <w:widowControl w:val="0"/>
        <w:tabs>
          <w:tab w:val="right" w:pos="9356"/>
        </w:tabs>
        <w:jc w:val="both"/>
        <w:rPr>
          <w:b/>
        </w:rPr>
      </w:pPr>
      <w:r>
        <w:rPr>
          <w:b/>
        </w:rPr>
        <w:t xml:space="preserve"> </w:t>
      </w:r>
    </w:p>
    <w:p w14:paraId="7410BA02" w14:textId="6977BA2F" w:rsidR="004D55A8" w:rsidRDefault="00113EEB" w:rsidP="0039420D">
      <w:pPr>
        <w:widowControl w:val="0"/>
        <w:tabs>
          <w:tab w:val="right" w:pos="9356"/>
        </w:tabs>
        <w:jc w:val="both"/>
        <w:rPr>
          <w:b/>
        </w:rPr>
      </w:pPr>
      <w:r>
        <w:rPr>
          <w:b/>
          <w:lang w:val="en-GB"/>
        </w:rPr>
        <w:tab/>
      </w:r>
      <w:bookmarkEnd w:id="0"/>
      <w:r w:rsidR="005A0267">
        <w:rPr>
          <w:b/>
        </w:rPr>
        <w:t xml:space="preserve"> </w:t>
      </w:r>
    </w:p>
    <w:p w14:paraId="4A6BBA1C" w14:textId="77777777" w:rsidR="001E2697"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29567CB8" w:rsidR="001E2697" w:rsidRPr="000F64D9" w:rsidRDefault="0039420D" w:rsidP="001E2697">
      <w:pPr>
        <w:pStyle w:val="Tramlines"/>
        <w:rPr>
          <w:rFonts w:cs="Arial"/>
          <w:lang w:val="en-US"/>
        </w:rPr>
      </w:pPr>
      <w:r>
        <w:rPr>
          <w:rFonts w:cs="Arial"/>
          <w:lang w:val="en-US"/>
        </w:rPr>
        <w:lastRenderedPageBreak/>
        <w:t xml:space="preserve">LEAVE TO APPEAL </w:t>
      </w:r>
      <w:r w:rsidR="001E2697">
        <w:rPr>
          <w:rFonts w:cs="Arial"/>
          <w:lang w:val="en-US"/>
        </w:rPr>
        <w:t>JUDG</w:t>
      </w:r>
      <w:r w:rsidR="001E2697"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790ADA77"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 xml:space="preserve">This judgment was handed down electronically by circulation to the parties’ legal representatives by e-mail. The date and time for hand-down is deemed to be 10h00 on the </w:t>
      </w:r>
      <w:r w:rsidR="00234DA4">
        <w:rPr>
          <w:rFonts w:cs="Arial"/>
        </w:rPr>
        <w:t>28</w:t>
      </w:r>
      <w:r w:rsidR="0039420D">
        <w:rPr>
          <w:rFonts w:cs="Arial"/>
          <w:vertAlign w:val="superscript"/>
        </w:rPr>
        <w:t>th</w:t>
      </w:r>
      <w:r w:rsidR="00383D1C">
        <w:rPr>
          <w:rFonts w:cs="Arial"/>
        </w:rPr>
        <w:t xml:space="preserve"> </w:t>
      </w:r>
      <w:r w:rsidRPr="003E152F">
        <w:rPr>
          <w:rFonts w:cs="Arial"/>
        </w:rPr>
        <w:t xml:space="preserve">of </w:t>
      </w:r>
      <w:r w:rsidR="005A7A4C">
        <w:rPr>
          <w:rFonts w:cs="Arial"/>
        </w:rPr>
        <w:t xml:space="preserve">February </w:t>
      </w:r>
      <w:r w:rsidRPr="003E152F">
        <w:rPr>
          <w:rFonts w:cs="Arial"/>
        </w:rPr>
        <w:t>202</w:t>
      </w:r>
      <w:r w:rsidR="005A7A4C">
        <w:rPr>
          <w:rFonts w:cs="Arial"/>
        </w:rPr>
        <w:t>3</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4BBCA5DC" w14:textId="77777777" w:rsidR="00216694" w:rsidRPr="00216694" w:rsidRDefault="00216694" w:rsidP="00216694">
      <w:pPr>
        <w:pStyle w:val="level1"/>
        <w:numPr>
          <w:ilvl w:val="0"/>
          <w:numId w:val="0"/>
        </w:numPr>
        <w:spacing w:after="480" w:line="360" w:lineRule="auto"/>
        <w:ind w:left="360"/>
        <w:jc w:val="both"/>
        <w:rPr>
          <w:rFonts w:cs="Arial"/>
        </w:rPr>
      </w:pPr>
    </w:p>
    <w:p w14:paraId="3577F807" w14:textId="179FACFA" w:rsidR="00F6326E" w:rsidRPr="00F6326E" w:rsidRDefault="0002078B" w:rsidP="0002078B">
      <w:pPr>
        <w:pStyle w:val="level1"/>
        <w:numPr>
          <w:ilvl w:val="0"/>
          <w:numId w:val="0"/>
        </w:numPr>
        <w:spacing w:after="480" w:line="360" w:lineRule="auto"/>
        <w:jc w:val="both"/>
        <w:rPr>
          <w:rFonts w:cs="Arial"/>
        </w:rPr>
      </w:pPr>
      <w:r w:rsidRPr="00F6326E">
        <w:rPr>
          <w:rFonts w:cs="Arial"/>
        </w:rPr>
        <w:t>[1]</w:t>
      </w:r>
      <w:r w:rsidRPr="00F6326E">
        <w:rPr>
          <w:rFonts w:cs="Arial"/>
        </w:rPr>
        <w:tab/>
      </w:r>
      <w:r w:rsidR="00234DA4">
        <w:t xml:space="preserve">For ease of reference, the parties will be referred to as in the main application proceedings. The first applicant applies for leave to appeal against the whole of the judgment and order granted by me on </w:t>
      </w:r>
      <w:r w:rsidR="00F6326E">
        <w:t>1</w:t>
      </w:r>
      <w:r w:rsidR="00234DA4">
        <w:t>3</w:t>
      </w:r>
      <w:r w:rsidR="00F6326E">
        <w:t xml:space="preserve"> July</w:t>
      </w:r>
      <w:r w:rsidR="00234DA4">
        <w:t xml:space="preserve"> 2022. In terms of the order</w:t>
      </w:r>
      <w:r w:rsidR="0087406F">
        <w:t>,</w:t>
      </w:r>
      <w:r w:rsidR="00234DA4">
        <w:t xml:space="preserve"> I dismissed the </w:t>
      </w:r>
      <w:r w:rsidR="00663670">
        <w:t xml:space="preserve">applicants’ urgent </w:t>
      </w:r>
      <w:r w:rsidR="00F6326E">
        <w:t xml:space="preserve">application </w:t>
      </w:r>
      <w:r w:rsidR="0087406F">
        <w:t>for an interdict to prohibit a shareholders</w:t>
      </w:r>
      <w:r w:rsidR="00216694">
        <w:t>’</w:t>
      </w:r>
      <w:r w:rsidR="0087406F">
        <w:t xml:space="preserve"> meeting from taking place in terms of which the first applicant would be removed as a director of the second applicant and steps would be taken to deregister the second applicant. Costs were awarded against the </w:t>
      </w:r>
      <w:r w:rsidR="00216694">
        <w:t xml:space="preserve">first </w:t>
      </w:r>
      <w:r w:rsidR="0087406F">
        <w:t xml:space="preserve">applicant </w:t>
      </w:r>
      <w:r w:rsidR="00663670">
        <w:t>on the scale as between attorney and client</w:t>
      </w:r>
      <w:r w:rsidR="00F6326E">
        <w:t>.</w:t>
      </w:r>
      <w:r w:rsidR="00663670">
        <w:t xml:space="preserve"> The respondent seeks the dismissal of the application </w:t>
      </w:r>
      <w:r w:rsidR="00216694">
        <w:t xml:space="preserve">together </w:t>
      </w:r>
      <w:r w:rsidR="00663670">
        <w:t>with a punitive costs order.</w:t>
      </w:r>
    </w:p>
    <w:p w14:paraId="231C8864" w14:textId="5F92A3B8" w:rsidR="00F6326E" w:rsidRPr="00F6326E" w:rsidRDefault="0002078B" w:rsidP="0002078B">
      <w:pPr>
        <w:pStyle w:val="level1"/>
        <w:numPr>
          <w:ilvl w:val="0"/>
          <w:numId w:val="0"/>
        </w:numPr>
        <w:spacing w:after="480" w:line="360" w:lineRule="auto"/>
        <w:jc w:val="both"/>
        <w:rPr>
          <w:rFonts w:cs="Arial"/>
        </w:rPr>
      </w:pPr>
      <w:r w:rsidRPr="00F6326E">
        <w:rPr>
          <w:rFonts w:cs="Arial"/>
        </w:rPr>
        <w:t>[2]</w:t>
      </w:r>
      <w:r w:rsidRPr="00F6326E">
        <w:rPr>
          <w:rFonts w:cs="Arial"/>
        </w:rPr>
        <w:tab/>
      </w:r>
      <w:r w:rsidR="00F6326E">
        <w:t>The application for leave to appeal, dated 3 August 2022 was served on the respondent’s attorneys via email on 17 August 2022.</w:t>
      </w:r>
      <w:r w:rsidR="00952EE8">
        <w:t xml:space="preserve"> It was uploaded onto C</w:t>
      </w:r>
      <w:r w:rsidR="00663670">
        <w:t>a</w:t>
      </w:r>
      <w:r w:rsidR="00952EE8">
        <w:t>seLines on 12 August 2022.</w:t>
      </w:r>
      <w:r w:rsidR="00F6326E">
        <w:t xml:space="preserve"> </w:t>
      </w:r>
    </w:p>
    <w:p w14:paraId="033B53FA" w14:textId="763EBAD6" w:rsidR="0087406F" w:rsidRPr="0087406F" w:rsidRDefault="0002078B" w:rsidP="0002078B">
      <w:pPr>
        <w:pStyle w:val="level1"/>
        <w:numPr>
          <w:ilvl w:val="0"/>
          <w:numId w:val="0"/>
        </w:numPr>
        <w:spacing w:after="480" w:line="360" w:lineRule="auto"/>
        <w:jc w:val="both"/>
        <w:rPr>
          <w:rFonts w:cs="Arial"/>
        </w:rPr>
      </w:pPr>
      <w:r w:rsidRPr="0087406F">
        <w:rPr>
          <w:rFonts w:cs="Arial"/>
        </w:rPr>
        <w:t>[3]</w:t>
      </w:r>
      <w:r w:rsidRPr="0087406F">
        <w:rPr>
          <w:rFonts w:cs="Arial"/>
        </w:rPr>
        <w:tab/>
      </w:r>
      <w:r w:rsidR="00F6326E">
        <w:t xml:space="preserve">The application for leave to appeal was enrolled for hearing on 6 October 2022. </w:t>
      </w:r>
      <w:r w:rsidR="00952EE8">
        <w:t xml:space="preserve">The </w:t>
      </w:r>
      <w:r w:rsidR="00F6326E">
        <w:t xml:space="preserve">respondent </w:t>
      </w:r>
      <w:r w:rsidR="00952EE8">
        <w:t xml:space="preserve">in its heads of argument </w:t>
      </w:r>
      <w:r w:rsidR="00663670">
        <w:t xml:space="preserve">of 30 September 2022 </w:t>
      </w:r>
      <w:r w:rsidR="00F6326E">
        <w:t xml:space="preserve">raised </w:t>
      </w:r>
      <w:r w:rsidR="00216694">
        <w:t xml:space="preserve">the issue </w:t>
      </w:r>
      <w:r w:rsidR="00F6326E">
        <w:t xml:space="preserve">that </w:t>
      </w:r>
      <w:r w:rsidR="00110C72">
        <w:t xml:space="preserve">the application for leave to appeal was late and that </w:t>
      </w:r>
      <w:r w:rsidR="00F6326E">
        <w:t>there was no condonation application</w:t>
      </w:r>
      <w:r w:rsidR="00216694">
        <w:t>, thus justifying the dismissal of the application</w:t>
      </w:r>
      <w:r w:rsidR="00F6326E">
        <w:t xml:space="preserve">. </w:t>
      </w:r>
    </w:p>
    <w:p w14:paraId="7195D483" w14:textId="265717F4" w:rsidR="00234DA4" w:rsidRPr="00110C72" w:rsidRDefault="0002078B" w:rsidP="0002078B">
      <w:pPr>
        <w:pStyle w:val="level1"/>
        <w:numPr>
          <w:ilvl w:val="0"/>
          <w:numId w:val="0"/>
        </w:numPr>
        <w:spacing w:after="480" w:line="360" w:lineRule="auto"/>
        <w:jc w:val="both"/>
        <w:rPr>
          <w:rFonts w:cs="Arial"/>
        </w:rPr>
      </w:pPr>
      <w:r w:rsidRPr="00110C72">
        <w:rPr>
          <w:rFonts w:cs="Arial"/>
        </w:rPr>
        <w:t>[4]</w:t>
      </w:r>
      <w:r w:rsidRPr="00110C72">
        <w:rPr>
          <w:rFonts w:cs="Arial"/>
        </w:rPr>
        <w:tab/>
      </w:r>
      <w:r w:rsidR="00F6326E">
        <w:t xml:space="preserve">The </w:t>
      </w:r>
      <w:r w:rsidR="00216694">
        <w:t xml:space="preserve">first </w:t>
      </w:r>
      <w:r w:rsidR="00F6326E">
        <w:t xml:space="preserve">applicant at the hearing </w:t>
      </w:r>
      <w:r w:rsidR="00216694">
        <w:t xml:space="preserve">on 6 October 2022, </w:t>
      </w:r>
      <w:r w:rsidR="00F6326E">
        <w:t xml:space="preserve">sought a postponement in order to launch a recusal application. The application for leave to appeal was postponed </w:t>
      </w:r>
      <w:r w:rsidR="00F6326E" w:rsidRPr="00F6326E">
        <w:rPr>
          <w:i/>
        </w:rPr>
        <w:t>sine die</w:t>
      </w:r>
      <w:r w:rsidR="00F6326E">
        <w:t xml:space="preserve"> and costs were reserved. No condonation application was </w:t>
      </w:r>
      <w:r w:rsidR="00216694">
        <w:t xml:space="preserve">ever </w:t>
      </w:r>
      <w:r w:rsidR="00F6326E">
        <w:t>launched.</w:t>
      </w:r>
      <w:r w:rsidR="00234DA4">
        <w:t xml:space="preserve"> </w:t>
      </w:r>
    </w:p>
    <w:p w14:paraId="4E485379" w14:textId="5BC16BF2" w:rsidR="00110C72" w:rsidRDefault="0002078B" w:rsidP="0002078B">
      <w:pPr>
        <w:pStyle w:val="level1"/>
        <w:numPr>
          <w:ilvl w:val="0"/>
          <w:numId w:val="0"/>
        </w:numPr>
        <w:spacing w:after="480" w:line="360" w:lineRule="auto"/>
        <w:jc w:val="both"/>
        <w:rPr>
          <w:rFonts w:cs="Arial"/>
        </w:rPr>
      </w:pPr>
      <w:r>
        <w:rPr>
          <w:rFonts w:cs="Arial"/>
        </w:rPr>
        <w:lastRenderedPageBreak/>
        <w:t>[5]</w:t>
      </w:r>
      <w:r>
        <w:rPr>
          <w:rFonts w:cs="Arial"/>
        </w:rPr>
        <w:tab/>
      </w:r>
      <w:r w:rsidR="00C811B0">
        <w:t xml:space="preserve">The respondent challenged the </w:t>
      </w:r>
      <w:r w:rsidR="00C811B0" w:rsidRPr="00216694">
        <w:rPr>
          <w:i/>
        </w:rPr>
        <w:t>locus standi</w:t>
      </w:r>
      <w:r w:rsidR="00C811B0">
        <w:t xml:space="preserve"> of the second applicant</w:t>
      </w:r>
      <w:r w:rsidR="0087406F">
        <w:t xml:space="preserve">, given that it </w:t>
      </w:r>
      <w:r w:rsidR="00216694">
        <w:t>was</w:t>
      </w:r>
      <w:r w:rsidR="0087406F">
        <w:t xml:space="preserve"> deregistered</w:t>
      </w:r>
      <w:r w:rsidR="00216694">
        <w:t xml:space="preserve"> after delivery of the judgment on 13 July 2022</w:t>
      </w:r>
      <w:r w:rsidR="0087406F">
        <w:t xml:space="preserve">. The respondent further on 22 August 2022 delivered a notice in terms of r 30(2)(b) complaining of the failure of the first applicant’s attorneys to act absent a proper notice of withdrawal of the applicants’ erstwhile attorneys and </w:t>
      </w:r>
      <w:r w:rsidR="00216694">
        <w:t xml:space="preserve">absent </w:t>
      </w:r>
      <w:r w:rsidR="0087406F">
        <w:t>a notice of appointment of record. A notice of appointment as attorneys of record was filed by the first applicant’s current attorney of record on 10 October 2022</w:t>
      </w:r>
      <w:r w:rsidR="00827048">
        <w:t xml:space="preserve">, some </w:t>
      </w:r>
      <w:r w:rsidR="00216694">
        <w:t>weeks</w:t>
      </w:r>
      <w:r w:rsidR="00827048">
        <w:t xml:space="preserve"> after the application was launched</w:t>
      </w:r>
      <w:r w:rsidR="0087406F">
        <w:t>.</w:t>
      </w:r>
    </w:p>
    <w:p w14:paraId="4EFA12E8" w14:textId="4F005B75" w:rsidR="00234DA4" w:rsidRDefault="0002078B" w:rsidP="0002078B">
      <w:pPr>
        <w:pStyle w:val="level1"/>
        <w:numPr>
          <w:ilvl w:val="0"/>
          <w:numId w:val="0"/>
        </w:numPr>
        <w:spacing w:after="480" w:line="360" w:lineRule="auto"/>
        <w:jc w:val="both"/>
        <w:rPr>
          <w:lang w:val="en-US"/>
        </w:rPr>
      </w:pPr>
      <w:r>
        <w:rPr>
          <w:lang w:val="en-US"/>
        </w:rPr>
        <w:t>[6]</w:t>
      </w:r>
      <w:r>
        <w:rPr>
          <w:lang w:val="en-US"/>
        </w:rPr>
        <w:tab/>
      </w:r>
      <w:r w:rsidR="00234DA4">
        <w:rPr>
          <w:rFonts w:cs="Arial"/>
        </w:rPr>
        <w:t>I have considered the papers filed of record and the grounds set out in the application for leave to appeal as well as the parties’ extensive arguments for and against the granting of leave to appeal. I have further considered the submissions made in the</w:t>
      </w:r>
      <w:r w:rsidR="00827048">
        <w:rPr>
          <w:rFonts w:cs="Arial"/>
        </w:rPr>
        <w:t>ir respective</w:t>
      </w:r>
      <w:r w:rsidR="00234DA4">
        <w:rPr>
          <w:rFonts w:cs="Arial"/>
        </w:rPr>
        <w:t xml:space="preserve"> heads of argument and</w:t>
      </w:r>
      <w:r w:rsidR="00234DA4">
        <w:rPr>
          <w:lang w:val="en-US"/>
        </w:rPr>
        <w:t xml:space="preserve"> the authorities referred to by the respective parties.</w:t>
      </w:r>
    </w:p>
    <w:p w14:paraId="6AB4202D" w14:textId="29DE44C1" w:rsidR="00234DA4" w:rsidRDefault="0002078B" w:rsidP="0002078B">
      <w:pPr>
        <w:pStyle w:val="level1"/>
        <w:numPr>
          <w:ilvl w:val="0"/>
          <w:numId w:val="0"/>
        </w:numPr>
        <w:spacing w:after="480" w:line="360" w:lineRule="auto"/>
        <w:jc w:val="both"/>
        <w:rPr>
          <w:lang w:val="en-US"/>
        </w:rPr>
      </w:pPr>
      <w:r>
        <w:rPr>
          <w:lang w:val="en-US"/>
        </w:rPr>
        <w:t>[7]</w:t>
      </w:r>
      <w:r>
        <w:rPr>
          <w:lang w:val="en-US"/>
        </w:rPr>
        <w:tab/>
      </w:r>
      <w:r w:rsidR="00234DA4">
        <w:rPr>
          <w:rFonts w:cs="Arial"/>
        </w:rPr>
        <w:t xml:space="preserve">In </w:t>
      </w:r>
      <w:r w:rsidR="00216694">
        <w:rPr>
          <w:rFonts w:cs="Arial"/>
        </w:rPr>
        <w:t>his</w:t>
      </w:r>
      <w:r w:rsidR="00234DA4">
        <w:rPr>
          <w:rFonts w:cs="Arial"/>
        </w:rPr>
        <w:t xml:space="preserve"> application for leave to appeal, the </w:t>
      </w:r>
      <w:r w:rsidR="00216694">
        <w:rPr>
          <w:rFonts w:cs="Arial"/>
        </w:rPr>
        <w:t xml:space="preserve">first </w:t>
      </w:r>
      <w:r w:rsidR="00110C72">
        <w:rPr>
          <w:rFonts w:cs="Arial"/>
        </w:rPr>
        <w:t>applicant</w:t>
      </w:r>
      <w:r w:rsidR="00234DA4">
        <w:rPr>
          <w:rFonts w:cs="Arial"/>
        </w:rPr>
        <w:t xml:space="preserve"> raised various grounds for leave to appeal in support of the contention that </w:t>
      </w:r>
      <w:r w:rsidR="00234DA4">
        <w:rPr>
          <w:lang w:val="en-US"/>
        </w:rPr>
        <w:t>there are reasonable prospects of success that another court would grant a different order as envisaged by s 17(1)(a) of the Superior Courts Act</w:t>
      </w:r>
      <w:r w:rsidR="00234DA4">
        <w:rPr>
          <w:rStyle w:val="FootnoteReference"/>
          <w:lang w:val="en-US"/>
        </w:rPr>
        <w:footnoteReference w:id="1"/>
      </w:r>
      <w:r w:rsidR="00234DA4">
        <w:rPr>
          <w:lang w:val="en-US"/>
        </w:rPr>
        <w:t xml:space="preserve">. </w:t>
      </w:r>
    </w:p>
    <w:p w14:paraId="1B434CA5" w14:textId="5E8EDDC2" w:rsidR="00234DA4" w:rsidRDefault="0002078B" w:rsidP="0002078B">
      <w:pPr>
        <w:pStyle w:val="level1"/>
        <w:numPr>
          <w:ilvl w:val="0"/>
          <w:numId w:val="0"/>
        </w:numPr>
        <w:spacing w:after="480" w:line="360" w:lineRule="auto"/>
        <w:jc w:val="both"/>
        <w:rPr>
          <w:lang w:val="en-US"/>
        </w:rPr>
      </w:pPr>
      <w:r>
        <w:rPr>
          <w:lang w:val="en-US"/>
        </w:rPr>
        <w:t>[8]</w:t>
      </w:r>
      <w:r>
        <w:rPr>
          <w:lang w:val="en-US"/>
        </w:rPr>
        <w:tab/>
      </w:r>
      <w:r w:rsidR="00234DA4">
        <w:rPr>
          <w:lang w:val="en-US"/>
        </w:rPr>
        <w:t>Leave to appeal may only be granted where a court is of the opinion that the appeal would have a reasonable prospect of success, which prospects are not too remote</w:t>
      </w:r>
      <w:r w:rsidR="00234DA4">
        <w:rPr>
          <w:rStyle w:val="FootnoteReference"/>
          <w:lang w:val="en-US"/>
        </w:rPr>
        <w:footnoteReference w:id="2"/>
      </w:r>
      <w:r w:rsidR="00234DA4">
        <w:rPr>
          <w:lang w:val="en-US"/>
        </w:rPr>
        <w:t>. An applicant for leave to appeal faces a higher threshold</w:t>
      </w:r>
      <w:r w:rsidR="00234DA4">
        <w:rPr>
          <w:rStyle w:val="FootnoteReference"/>
          <w:lang w:val="en-US"/>
        </w:rPr>
        <w:footnoteReference w:id="3"/>
      </w:r>
      <w:r w:rsidR="00234DA4">
        <w:rPr>
          <w:lang w:val="en-US"/>
        </w:rPr>
        <w:t xml:space="preserve"> than under the repealed Supreme Court Act.</w:t>
      </w:r>
      <w:r w:rsidR="00234DA4">
        <w:rPr>
          <w:rStyle w:val="FootnoteReference"/>
          <w:lang w:val="en-US"/>
        </w:rPr>
        <w:footnoteReference w:id="4"/>
      </w:r>
      <w:r w:rsidR="00234DA4">
        <w:rPr>
          <w:lang w:val="en-US"/>
        </w:rPr>
        <w:t xml:space="preserve"> A sound rational basis for the conclusion that there are prospects of success must be shown to exist</w:t>
      </w:r>
      <w:r w:rsidR="00234DA4">
        <w:rPr>
          <w:rStyle w:val="FootnoteReference"/>
          <w:lang w:val="en-US"/>
        </w:rPr>
        <w:footnoteReference w:id="5"/>
      </w:r>
      <w:r w:rsidR="00234DA4">
        <w:rPr>
          <w:lang w:val="en-US"/>
        </w:rPr>
        <w:t>.</w:t>
      </w:r>
    </w:p>
    <w:p w14:paraId="668B4CF8" w14:textId="3FF614F5" w:rsidR="008A1289" w:rsidRDefault="0002078B" w:rsidP="0002078B">
      <w:pPr>
        <w:pStyle w:val="level1"/>
        <w:numPr>
          <w:ilvl w:val="0"/>
          <w:numId w:val="0"/>
        </w:numPr>
        <w:spacing w:after="480" w:line="360" w:lineRule="auto"/>
        <w:jc w:val="both"/>
        <w:rPr>
          <w:lang w:val="en-US"/>
        </w:rPr>
      </w:pPr>
      <w:r>
        <w:rPr>
          <w:lang w:val="en-US"/>
        </w:rPr>
        <w:t>[9]</w:t>
      </w:r>
      <w:r>
        <w:rPr>
          <w:lang w:val="en-US"/>
        </w:rPr>
        <w:tab/>
      </w:r>
      <w:r w:rsidR="00105361">
        <w:rPr>
          <w:lang w:val="en-US"/>
        </w:rPr>
        <w:t>At the commencement of the hearing Adv Khumalo, who appeared for the first applicant</w:t>
      </w:r>
      <w:r w:rsidR="00216694">
        <w:rPr>
          <w:lang w:val="en-US"/>
        </w:rPr>
        <w:t>,</w:t>
      </w:r>
      <w:r w:rsidR="00105361">
        <w:rPr>
          <w:lang w:val="en-US"/>
        </w:rPr>
        <w:t xml:space="preserve"> sought to raise various issues pertaining to the deregistration of the second applicant which he contended required investigation. </w:t>
      </w:r>
      <w:r w:rsidR="00216694">
        <w:rPr>
          <w:lang w:val="en-US"/>
        </w:rPr>
        <w:t>A</w:t>
      </w:r>
      <w:r w:rsidR="00105361">
        <w:rPr>
          <w:lang w:val="en-US"/>
        </w:rPr>
        <w:t xml:space="preserve"> postponement of the application </w:t>
      </w:r>
      <w:r w:rsidR="00105361">
        <w:rPr>
          <w:lang w:val="en-US"/>
        </w:rPr>
        <w:lastRenderedPageBreak/>
        <w:t xml:space="preserve">for leave </w:t>
      </w:r>
      <w:r w:rsidR="008A1289">
        <w:rPr>
          <w:lang w:val="en-US"/>
        </w:rPr>
        <w:t xml:space="preserve">to appeal </w:t>
      </w:r>
      <w:r w:rsidR="00105361">
        <w:rPr>
          <w:lang w:val="en-US"/>
        </w:rPr>
        <w:t xml:space="preserve">was </w:t>
      </w:r>
      <w:r w:rsidR="00216694">
        <w:rPr>
          <w:lang w:val="en-US"/>
        </w:rPr>
        <w:t>requested by Adv Khumalo</w:t>
      </w:r>
      <w:r w:rsidR="00E36AEC">
        <w:rPr>
          <w:lang w:val="en-US"/>
        </w:rPr>
        <w:t>.</w:t>
      </w:r>
      <w:r w:rsidR="00105361">
        <w:rPr>
          <w:lang w:val="en-US"/>
        </w:rPr>
        <w:t xml:space="preserve"> </w:t>
      </w:r>
      <w:r w:rsidR="008A1289">
        <w:rPr>
          <w:lang w:val="en-US"/>
        </w:rPr>
        <w:t>The respondent had not been notified of such intention and objected to the procedure adopted, claiming prejudice</w:t>
      </w:r>
      <w:r w:rsidR="00E36AEC">
        <w:rPr>
          <w:lang w:val="en-US"/>
        </w:rPr>
        <w:t xml:space="preserve"> and its interests in the finality of the litigation</w:t>
      </w:r>
      <w:r w:rsidR="008A1289">
        <w:rPr>
          <w:lang w:val="en-US"/>
        </w:rPr>
        <w:t>.</w:t>
      </w:r>
    </w:p>
    <w:p w14:paraId="2F791DDE" w14:textId="2BF70E8E" w:rsidR="008A1289" w:rsidRDefault="0002078B" w:rsidP="0002078B">
      <w:pPr>
        <w:pStyle w:val="level1"/>
        <w:numPr>
          <w:ilvl w:val="0"/>
          <w:numId w:val="0"/>
        </w:numPr>
        <w:spacing w:after="480" w:line="360" w:lineRule="auto"/>
        <w:jc w:val="both"/>
        <w:rPr>
          <w:lang w:val="en-US"/>
        </w:rPr>
      </w:pPr>
      <w:r>
        <w:rPr>
          <w:lang w:val="en-US"/>
        </w:rPr>
        <w:t>[10]</w:t>
      </w:r>
      <w:r>
        <w:rPr>
          <w:lang w:val="en-US"/>
        </w:rPr>
        <w:tab/>
      </w:r>
      <w:r w:rsidR="00105361">
        <w:rPr>
          <w:lang w:val="en-US"/>
        </w:rPr>
        <w:t xml:space="preserve">Absent a formal postponement application and </w:t>
      </w:r>
      <w:r w:rsidR="008A1289">
        <w:rPr>
          <w:lang w:val="en-US"/>
        </w:rPr>
        <w:t xml:space="preserve">the provision of </w:t>
      </w:r>
      <w:r w:rsidR="00105361">
        <w:rPr>
          <w:lang w:val="en-US"/>
        </w:rPr>
        <w:t xml:space="preserve">cogent </w:t>
      </w:r>
      <w:r w:rsidR="00E36AEC">
        <w:rPr>
          <w:lang w:val="en-US"/>
        </w:rPr>
        <w:t xml:space="preserve">and compelling </w:t>
      </w:r>
      <w:r w:rsidR="00105361">
        <w:rPr>
          <w:lang w:val="en-US"/>
        </w:rPr>
        <w:t xml:space="preserve">reasons for </w:t>
      </w:r>
      <w:r w:rsidR="00E36AEC">
        <w:rPr>
          <w:lang w:val="en-US"/>
        </w:rPr>
        <w:t>another</w:t>
      </w:r>
      <w:r w:rsidR="00105361">
        <w:rPr>
          <w:lang w:val="en-US"/>
        </w:rPr>
        <w:t xml:space="preserve"> postponement of the application for leave to appeal</w:t>
      </w:r>
      <w:r w:rsidR="008A1289">
        <w:rPr>
          <w:lang w:val="en-US"/>
        </w:rPr>
        <w:t>, contained in a formal affidavit, there was no proper postponement application which could be entertained.</w:t>
      </w:r>
      <w:r w:rsidR="00216694">
        <w:rPr>
          <w:lang w:val="en-US"/>
        </w:rPr>
        <w:t xml:space="preserve"> </w:t>
      </w:r>
      <w:r w:rsidR="004470F8">
        <w:rPr>
          <w:lang w:val="en-US"/>
        </w:rPr>
        <w:t xml:space="preserve">No attempt was made by the first applicant to launch a proper application. </w:t>
      </w:r>
      <w:r w:rsidR="00216694">
        <w:rPr>
          <w:lang w:val="en-US"/>
        </w:rPr>
        <w:t>I declined to accede to Adv Khumalo’s request.</w:t>
      </w:r>
    </w:p>
    <w:p w14:paraId="1E4851CD" w14:textId="52FC1679" w:rsidR="008A1289" w:rsidRPr="00F6326E" w:rsidRDefault="0002078B" w:rsidP="0002078B">
      <w:pPr>
        <w:pStyle w:val="level1"/>
        <w:numPr>
          <w:ilvl w:val="0"/>
          <w:numId w:val="0"/>
        </w:numPr>
        <w:spacing w:after="480" w:line="360" w:lineRule="auto"/>
        <w:jc w:val="both"/>
        <w:rPr>
          <w:rFonts w:cs="Arial"/>
        </w:rPr>
      </w:pPr>
      <w:r w:rsidRPr="00F6326E">
        <w:rPr>
          <w:rFonts w:cs="Arial"/>
        </w:rPr>
        <w:t>[11]</w:t>
      </w:r>
      <w:r w:rsidRPr="00F6326E">
        <w:rPr>
          <w:rFonts w:cs="Arial"/>
        </w:rPr>
        <w:tab/>
      </w:r>
      <w:r w:rsidR="008A1289">
        <w:rPr>
          <w:lang w:val="en-US"/>
        </w:rPr>
        <w:t xml:space="preserve"> </w:t>
      </w:r>
      <w:r w:rsidR="00110C72">
        <w:rPr>
          <w:lang w:val="en-US"/>
        </w:rPr>
        <w:t xml:space="preserve"> </w:t>
      </w:r>
      <w:r w:rsidR="008A1289">
        <w:t>In terms of r 49(1)(b)</w:t>
      </w:r>
      <w:r w:rsidR="00216694">
        <w:t>,</w:t>
      </w:r>
      <w:r w:rsidR="008A1289">
        <w:t xml:space="preserve"> an application for leave to appeal must be delivered within 15 days of the granting of the order appealed against. A court may, on good cause shown, extend the peremptory fifteen</w:t>
      </w:r>
      <w:r w:rsidR="00216694">
        <w:t>-</w:t>
      </w:r>
      <w:r w:rsidR="008A1289">
        <w:t xml:space="preserve">day period. Delivery of an application envisages both service of the application on the respondent and filing thereof. </w:t>
      </w:r>
    </w:p>
    <w:p w14:paraId="55445118" w14:textId="64EC295F" w:rsidR="008147BF" w:rsidRDefault="0002078B" w:rsidP="0002078B">
      <w:pPr>
        <w:pStyle w:val="level1"/>
        <w:numPr>
          <w:ilvl w:val="0"/>
          <w:numId w:val="0"/>
        </w:numPr>
        <w:spacing w:after="480" w:line="360" w:lineRule="auto"/>
        <w:jc w:val="both"/>
        <w:rPr>
          <w:lang w:val="en-US"/>
        </w:rPr>
      </w:pPr>
      <w:r>
        <w:rPr>
          <w:lang w:val="en-US"/>
        </w:rPr>
        <w:t>[12]</w:t>
      </w:r>
      <w:r>
        <w:rPr>
          <w:lang w:val="en-US"/>
        </w:rPr>
        <w:tab/>
      </w:r>
      <w:r w:rsidR="008A1289">
        <w:rPr>
          <w:lang w:val="en-US"/>
        </w:rPr>
        <w:t xml:space="preserve">The first applicant did not even attempt to seek condonation or to present any grounds illustrating good cause. </w:t>
      </w:r>
      <w:r w:rsidR="008147BF">
        <w:rPr>
          <w:lang w:val="en-US"/>
        </w:rPr>
        <w:t>No facts were placed before court enabling it to exercise the judicial discretion afforded</w:t>
      </w:r>
      <w:r w:rsidR="008147BF">
        <w:rPr>
          <w:rStyle w:val="FootnoteReference"/>
          <w:lang w:val="en-US"/>
        </w:rPr>
        <w:footnoteReference w:id="6"/>
      </w:r>
      <w:r w:rsidR="00E36AEC">
        <w:rPr>
          <w:lang w:val="en-US"/>
        </w:rPr>
        <w:t>, nor was the court requested to do so</w:t>
      </w:r>
      <w:r w:rsidR="008147BF">
        <w:rPr>
          <w:lang w:val="en-US"/>
        </w:rPr>
        <w:t xml:space="preserve">. </w:t>
      </w:r>
    </w:p>
    <w:p w14:paraId="7B1C4B74" w14:textId="2B11CCD7" w:rsidR="008147BF" w:rsidRDefault="0002078B" w:rsidP="0002078B">
      <w:pPr>
        <w:pStyle w:val="level1"/>
        <w:numPr>
          <w:ilvl w:val="0"/>
          <w:numId w:val="0"/>
        </w:numPr>
        <w:spacing w:after="480" w:line="360" w:lineRule="auto"/>
        <w:jc w:val="both"/>
        <w:rPr>
          <w:lang w:val="en-US"/>
        </w:rPr>
      </w:pPr>
      <w:r>
        <w:rPr>
          <w:lang w:val="en-US"/>
        </w:rPr>
        <w:t>[13]</w:t>
      </w:r>
      <w:r>
        <w:rPr>
          <w:lang w:val="en-US"/>
        </w:rPr>
        <w:tab/>
      </w:r>
      <w:r w:rsidR="008A1289">
        <w:rPr>
          <w:lang w:val="en-US"/>
        </w:rPr>
        <w:t>At the hearing</w:t>
      </w:r>
      <w:r w:rsidR="00E36AEC">
        <w:rPr>
          <w:lang w:val="en-US"/>
        </w:rPr>
        <w:t xml:space="preserve">, </w:t>
      </w:r>
      <w:r w:rsidR="008A1289">
        <w:rPr>
          <w:lang w:val="en-US"/>
        </w:rPr>
        <w:t>it was argued that condonation is not required</w:t>
      </w:r>
      <w:r w:rsidR="00E36AEC">
        <w:rPr>
          <w:lang w:val="en-US"/>
        </w:rPr>
        <w:t xml:space="preserve">, </w:t>
      </w:r>
      <w:r w:rsidR="008A1289">
        <w:rPr>
          <w:lang w:val="en-US"/>
        </w:rPr>
        <w:t xml:space="preserve">as the </w:t>
      </w:r>
      <w:r w:rsidR="008147BF">
        <w:rPr>
          <w:lang w:val="en-US"/>
        </w:rPr>
        <w:t xml:space="preserve">application was uploaded on </w:t>
      </w:r>
      <w:r w:rsidR="00E36AEC">
        <w:rPr>
          <w:lang w:val="en-US"/>
        </w:rPr>
        <w:t xml:space="preserve">CaseLines on </w:t>
      </w:r>
      <w:r w:rsidR="008147BF">
        <w:rPr>
          <w:lang w:val="en-US"/>
        </w:rPr>
        <w:t xml:space="preserve">3 August 2022. The relevant file on CaseLines did not support that contention. </w:t>
      </w:r>
      <w:r w:rsidR="004470F8">
        <w:rPr>
          <w:lang w:val="en-US"/>
        </w:rPr>
        <w:t xml:space="preserve">Moreover, the mere filing of an application for leave to appeal, absent service of the application is improper and defective. </w:t>
      </w:r>
      <w:r w:rsidR="008147BF">
        <w:rPr>
          <w:lang w:val="en-US"/>
        </w:rPr>
        <w:t xml:space="preserve">It was not disputed that the application was only served on the respondent on 17 August 2022, some 24 days after the delivery of the judgment. </w:t>
      </w:r>
    </w:p>
    <w:p w14:paraId="6FE2186B" w14:textId="4560BBCF" w:rsidR="008147BF" w:rsidRDefault="0002078B" w:rsidP="0002078B">
      <w:pPr>
        <w:pStyle w:val="level1"/>
        <w:numPr>
          <w:ilvl w:val="0"/>
          <w:numId w:val="0"/>
        </w:numPr>
        <w:spacing w:after="480" w:line="360" w:lineRule="auto"/>
        <w:jc w:val="both"/>
        <w:rPr>
          <w:lang w:val="en-US"/>
        </w:rPr>
      </w:pPr>
      <w:r>
        <w:rPr>
          <w:lang w:val="en-US"/>
        </w:rPr>
        <w:lastRenderedPageBreak/>
        <w:t>[14]</w:t>
      </w:r>
      <w:r>
        <w:rPr>
          <w:lang w:val="en-US"/>
        </w:rPr>
        <w:tab/>
      </w:r>
      <w:r w:rsidR="008147BF">
        <w:rPr>
          <w:lang w:val="en-US"/>
        </w:rPr>
        <w:t>It follows that the application for leave to appeal was delivered late and absent any condonation does not comply with the peremptory requirements of r 49(1)(b)</w:t>
      </w:r>
      <w:r w:rsidR="00E36AEC">
        <w:rPr>
          <w:lang w:val="en-US"/>
        </w:rPr>
        <w:t>. This</w:t>
      </w:r>
      <w:r w:rsidR="008147BF">
        <w:rPr>
          <w:lang w:val="en-US"/>
        </w:rPr>
        <w:t xml:space="preserve"> justif</w:t>
      </w:r>
      <w:r w:rsidR="00E36AEC">
        <w:rPr>
          <w:lang w:val="en-US"/>
        </w:rPr>
        <w:t>ies</w:t>
      </w:r>
      <w:r w:rsidR="008147BF">
        <w:rPr>
          <w:lang w:val="en-US"/>
        </w:rPr>
        <w:t xml:space="preserve"> the dismissal of the application</w:t>
      </w:r>
      <w:r w:rsidR="003B6EBE">
        <w:rPr>
          <w:lang w:val="en-US"/>
        </w:rPr>
        <w:t xml:space="preserve"> on this basis alone</w:t>
      </w:r>
      <w:r w:rsidR="008147BF">
        <w:rPr>
          <w:lang w:val="en-US"/>
        </w:rPr>
        <w:t xml:space="preserve">. </w:t>
      </w:r>
    </w:p>
    <w:p w14:paraId="752B3C08" w14:textId="358EE129" w:rsidR="00827048" w:rsidRDefault="0002078B" w:rsidP="0002078B">
      <w:pPr>
        <w:pStyle w:val="level1"/>
        <w:numPr>
          <w:ilvl w:val="0"/>
          <w:numId w:val="0"/>
        </w:numPr>
        <w:spacing w:after="480" w:line="360" w:lineRule="auto"/>
        <w:jc w:val="both"/>
        <w:rPr>
          <w:lang w:val="en-US"/>
        </w:rPr>
      </w:pPr>
      <w:r>
        <w:rPr>
          <w:lang w:val="en-US"/>
        </w:rPr>
        <w:t>[15]</w:t>
      </w:r>
      <w:r>
        <w:rPr>
          <w:lang w:val="en-US"/>
        </w:rPr>
        <w:tab/>
      </w:r>
      <w:r w:rsidR="003B6EBE" w:rsidRPr="003B6EBE">
        <w:rPr>
          <w:lang w:val="en-US"/>
        </w:rPr>
        <w:t>I have in any event considered the grounds for leave to appeal advanced by the first applicant</w:t>
      </w:r>
      <w:r w:rsidR="003B6EBE">
        <w:rPr>
          <w:lang w:val="en-US"/>
        </w:rPr>
        <w:t xml:space="preserve"> both in the notice for leave to appeal and in argument</w:t>
      </w:r>
      <w:r w:rsidR="003B6EBE" w:rsidRPr="003B6EBE">
        <w:rPr>
          <w:lang w:val="en-US"/>
        </w:rPr>
        <w:t>.</w:t>
      </w:r>
      <w:r w:rsidR="00827048" w:rsidRPr="00827048">
        <w:rPr>
          <w:rFonts w:cs="Arial"/>
        </w:rPr>
        <w:t xml:space="preserve"> </w:t>
      </w:r>
      <w:r w:rsidR="00827048">
        <w:rPr>
          <w:rFonts w:cs="Arial"/>
        </w:rPr>
        <w:t>My judgment is comprehensive and I stand by the reasons set out therein.</w:t>
      </w:r>
      <w:r w:rsidR="003B6EBE" w:rsidRPr="003B6EBE">
        <w:rPr>
          <w:lang w:val="en-US"/>
        </w:rPr>
        <w:t xml:space="preserve"> </w:t>
      </w:r>
    </w:p>
    <w:p w14:paraId="662D80F2" w14:textId="3FDA522A" w:rsidR="00234DA4" w:rsidRPr="003B6EBE" w:rsidRDefault="0002078B" w:rsidP="0002078B">
      <w:pPr>
        <w:pStyle w:val="level1"/>
        <w:numPr>
          <w:ilvl w:val="0"/>
          <w:numId w:val="0"/>
        </w:numPr>
        <w:spacing w:after="480" w:line="360" w:lineRule="auto"/>
        <w:jc w:val="both"/>
        <w:rPr>
          <w:lang w:val="en-US"/>
        </w:rPr>
      </w:pPr>
      <w:r w:rsidRPr="003B6EBE">
        <w:rPr>
          <w:lang w:val="en-US"/>
        </w:rPr>
        <w:t>[16]</w:t>
      </w:r>
      <w:r w:rsidRPr="003B6EBE">
        <w:rPr>
          <w:lang w:val="en-US"/>
        </w:rPr>
        <w:tab/>
      </w:r>
      <w:r w:rsidR="00234DA4" w:rsidRPr="003B6EBE">
        <w:rPr>
          <w:rFonts w:cs="Arial"/>
        </w:rPr>
        <w:t>In applying the relevant principles to the</w:t>
      </w:r>
      <w:r w:rsidR="003B6EBE">
        <w:rPr>
          <w:rFonts w:cs="Arial"/>
        </w:rPr>
        <w:t>se</w:t>
      </w:r>
      <w:r w:rsidR="00234DA4" w:rsidRPr="003B6EBE">
        <w:rPr>
          <w:rFonts w:cs="Arial"/>
        </w:rPr>
        <w:t xml:space="preserve"> grounds when measured against the facts, I conclude that the appeal would not have a reasonable prospect of success as contemplated in s17(1)(a)(i) of the Act. </w:t>
      </w:r>
    </w:p>
    <w:p w14:paraId="5F96181C" w14:textId="2FD9568E" w:rsidR="003B6EBE" w:rsidRDefault="0002078B" w:rsidP="0002078B">
      <w:pPr>
        <w:pStyle w:val="level1"/>
        <w:numPr>
          <w:ilvl w:val="0"/>
          <w:numId w:val="0"/>
        </w:numPr>
        <w:spacing w:after="480" w:line="360" w:lineRule="auto"/>
        <w:jc w:val="both"/>
        <w:rPr>
          <w:lang w:val="en-US"/>
        </w:rPr>
      </w:pPr>
      <w:r>
        <w:rPr>
          <w:lang w:val="en-US"/>
        </w:rPr>
        <w:t>[17]</w:t>
      </w:r>
      <w:r>
        <w:rPr>
          <w:lang w:val="en-US"/>
        </w:rPr>
        <w:tab/>
      </w:r>
      <w:r w:rsidR="003B6EBE">
        <w:rPr>
          <w:lang w:val="en-US"/>
        </w:rPr>
        <w:t xml:space="preserve">Moreover, the common cause fact that the second respondent </w:t>
      </w:r>
      <w:r w:rsidR="00216694">
        <w:rPr>
          <w:lang w:val="en-US"/>
        </w:rPr>
        <w:t>was</w:t>
      </w:r>
      <w:r w:rsidR="003B6EBE">
        <w:rPr>
          <w:lang w:val="en-US"/>
        </w:rPr>
        <w:t xml:space="preserve"> deregistered</w:t>
      </w:r>
      <w:r w:rsidR="00216694">
        <w:rPr>
          <w:lang w:val="en-US"/>
        </w:rPr>
        <w:t xml:space="preserve"> and steps were taken to do so prior to the launching of the application for leave to appeal, to the knowledge of the first applicant and his legal representatives,</w:t>
      </w:r>
      <w:r w:rsidR="003B6EBE">
        <w:rPr>
          <w:lang w:val="en-US"/>
        </w:rPr>
        <w:t xml:space="preserve"> has rendered the issues which would arise in any appeal moot and the decision sought would have no practical effect or result</w:t>
      </w:r>
      <w:r w:rsidR="003B6EBE">
        <w:rPr>
          <w:rStyle w:val="FootnoteReference"/>
          <w:lang w:val="en-US"/>
        </w:rPr>
        <w:footnoteReference w:id="7"/>
      </w:r>
      <w:r w:rsidR="003B6EBE">
        <w:rPr>
          <w:lang w:val="en-US"/>
        </w:rPr>
        <w:t>.  That much was conceded by Adv Khumalo in argument.</w:t>
      </w:r>
      <w:r w:rsidR="00216694">
        <w:rPr>
          <w:lang w:val="en-US"/>
        </w:rPr>
        <w:t xml:space="preserve"> </w:t>
      </w:r>
    </w:p>
    <w:p w14:paraId="1A1270F7" w14:textId="0A1056A9" w:rsidR="00E36AEC" w:rsidRPr="00E36AEC" w:rsidRDefault="0002078B" w:rsidP="0002078B">
      <w:pPr>
        <w:pStyle w:val="level1"/>
        <w:numPr>
          <w:ilvl w:val="0"/>
          <w:numId w:val="0"/>
        </w:numPr>
        <w:spacing w:after="480" w:line="360" w:lineRule="auto"/>
        <w:jc w:val="both"/>
        <w:rPr>
          <w:lang w:val="en-US"/>
        </w:rPr>
      </w:pPr>
      <w:r w:rsidRPr="00E36AEC">
        <w:rPr>
          <w:lang w:val="en-US"/>
        </w:rPr>
        <w:t>[18]</w:t>
      </w:r>
      <w:r w:rsidRPr="00E36AEC">
        <w:rPr>
          <w:lang w:val="en-US"/>
        </w:rPr>
        <w:tab/>
      </w:r>
      <w:r w:rsidR="00234DA4">
        <w:rPr>
          <w:rFonts w:cs="Arial"/>
        </w:rPr>
        <w:t xml:space="preserve">It follows that the application must fail. </w:t>
      </w:r>
    </w:p>
    <w:p w14:paraId="1A65C5CF" w14:textId="1B4D9315" w:rsidR="00234DA4" w:rsidRPr="003B6EBE" w:rsidRDefault="0002078B" w:rsidP="0002078B">
      <w:pPr>
        <w:pStyle w:val="level1"/>
        <w:numPr>
          <w:ilvl w:val="0"/>
          <w:numId w:val="0"/>
        </w:numPr>
        <w:spacing w:after="480" w:line="360" w:lineRule="auto"/>
        <w:jc w:val="both"/>
        <w:rPr>
          <w:lang w:val="en-US"/>
        </w:rPr>
      </w:pPr>
      <w:r w:rsidRPr="003B6EBE">
        <w:rPr>
          <w:lang w:val="en-US"/>
        </w:rPr>
        <w:t>[19]</w:t>
      </w:r>
      <w:r w:rsidRPr="003B6EBE">
        <w:rPr>
          <w:lang w:val="en-US"/>
        </w:rPr>
        <w:tab/>
      </w:r>
      <w:r w:rsidR="00234DA4">
        <w:rPr>
          <w:rFonts w:cs="Arial"/>
        </w:rPr>
        <w:t xml:space="preserve">There is no basis to deviate from the normal principle that costs follow the result. </w:t>
      </w:r>
      <w:r w:rsidR="00110C72">
        <w:rPr>
          <w:rFonts w:cs="Arial"/>
        </w:rPr>
        <w:t>The respondent seeks costs on a punitive scale</w:t>
      </w:r>
      <w:r w:rsidR="00B95B64">
        <w:rPr>
          <w:rFonts w:cs="Arial"/>
        </w:rPr>
        <w:t>.</w:t>
      </w:r>
    </w:p>
    <w:p w14:paraId="577D6D8E" w14:textId="04A3CF1F" w:rsidR="003B6EBE" w:rsidRDefault="0002078B" w:rsidP="0002078B">
      <w:pPr>
        <w:pStyle w:val="level1"/>
        <w:numPr>
          <w:ilvl w:val="0"/>
          <w:numId w:val="0"/>
        </w:numPr>
        <w:spacing w:after="480" w:line="360" w:lineRule="auto"/>
        <w:jc w:val="both"/>
        <w:rPr>
          <w:lang w:val="en-US"/>
        </w:rPr>
      </w:pPr>
      <w:r>
        <w:rPr>
          <w:lang w:val="en-US"/>
        </w:rPr>
        <w:t>[2</w:t>
      </w:r>
      <w:bookmarkStart w:id="1" w:name="_GoBack"/>
      <w:bookmarkEnd w:id="1"/>
      <w:r>
        <w:rPr>
          <w:lang w:val="en-US"/>
        </w:rPr>
        <w:t>0]</w:t>
      </w:r>
      <w:r>
        <w:rPr>
          <w:lang w:val="en-US"/>
        </w:rPr>
        <w:tab/>
      </w:r>
      <w:r w:rsidR="003B6EBE">
        <w:rPr>
          <w:lang w:val="en-US"/>
        </w:rPr>
        <w:t xml:space="preserve">Considering the facts and the first applicant’s conduct in relation to this application, including his persistence in the application after it became clear that it could not succeed, I am persuaded that the facts justify the granting of a costs order as between attorney </w:t>
      </w:r>
      <w:r w:rsidR="003B6EBE">
        <w:rPr>
          <w:lang w:val="en-US"/>
        </w:rPr>
        <w:lastRenderedPageBreak/>
        <w:t xml:space="preserve">and client. It would be just to ensure more efficiently that the respondent </w:t>
      </w:r>
      <w:r w:rsidR="00E36AEC">
        <w:rPr>
          <w:lang w:val="en-US"/>
        </w:rPr>
        <w:t xml:space="preserve">is </w:t>
      </w:r>
      <w:r w:rsidR="003B6EBE">
        <w:rPr>
          <w:lang w:val="en-US"/>
        </w:rPr>
        <w:t xml:space="preserve">not </w:t>
      </w:r>
      <w:r w:rsidR="00E36AEC">
        <w:rPr>
          <w:lang w:val="en-US"/>
        </w:rPr>
        <w:t>left</w:t>
      </w:r>
      <w:r w:rsidR="003B6EBE">
        <w:rPr>
          <w:lang w:val="en-US"/>
        </w:rPr>
        <w:t xml:space="preserve"> out of pocket in respect of the expenses incurred as a result of the first applicant’s conduct</w:t>
      </w:r>
      <w:r w:rsidR="00B95B64">
        <w:rPr>
          <w:rStyle w:val="FootnoteReference"/>
          <w:lang w:val="en-US"/>
        </w:rPr>
        <w:footnoteReference w:id="8"/>
      </w:r>
      <w:r w:rsidR="003B6EBE">
        <w:rPr>
          <w:lang w:val="en-US"/>
        </w:rPr>
        <w:t xml:space="preserve">.   </w:t>
      </w:r>
    </w:p>
    <w:p w14:paraId="4D62609A" w14:textId="7E90E88A" w:rsidR="00234DA4" w:rsidRDefault="0002078B" w:rsidP="0002078B">
      <w:pPr>
        <w:pStyle w:val="level1"/>
        <w:numPr>
          <w:ilvl w:val="0"/>
          <w:numId w:val="0"/>
        </w:numPr>
        <w:spacing w:after="480" w:line="360" w:lineRule="auto"/>
        <w:jc w:val="both"/>
        <w:rPr>
          <w:lang w:val="en-US"/>
        </w:rPr>
      </w:pPr>
      <w:r>
        <w:rPr>
          <w:lang w:val="en-US"/>
        </w:rPr>
        <w:t>[21]</w:t>
      </w:r>
      <w:r>
        <w:rPr>
          <w:lang w:val="en-US"/>
        </w:rPr>
        <w:tab/>
      </w:r>
      <w:r w:rsidR="00234DA4">
        <w:rPr>
          <w:lang w:val="en-US"/>
        </w:rPr>
        <w:t>I grant the following order:</w:t>
      </w:r>
    </w:p>
    <w:p w14:paraId="5220DBF2" w14:textId="412C45F3" w:rsidR="00234DA4" w:rsidRDefault="00234DA4" w:rsidP="00234DA4">
      <w:pPr>
        <w:pStyle w:val="level1"/>
        <w:numPr>
          <w:ilvl w:val="0"/>
          <w:numId w:val="0"/>
        </w:numPr>
        <w:spacing w:after="480" w:line="360" w:lineRule="auto"/>
        <w:ind w:left="360"/>
        <w:jc w:val="both"/>
        <w:rPr>
          <w:lang w:val="en-US"/>
        </w:rPr>
      </w:pPr>
      <w:r>
        <w:rPr>
          <w:lang w:val="en-US"/>
        </w:rPr>
        <w:t xml:space="preserve">The application for leave to appeal is dismissed with costs, including the </w:t>
      </w:r>
      <w:r w:rsidR="00110C72">
        <w:rPr>
          <w:lang w:val="en-US"/>
        </w:rPr>
        <w:t>costs reserved on 6 October 2022</w:t>
      </w:r>
      <w:r>
        <w:rPr>
          <w:lang w:val="en-US"/>
        </w:rPr>
        <w:t>.</w:t>
      </w:r>
    </w:p>
    <w:p w14:paraId="472C438B" w14:textId="77777777" w:rsidR="00234DA4" w:rsidRDefault="00234DA4" w:rsidP="00E36AEC">
      <w:pPr>
        <w:pStyle w:val="level1"/>
        <w:numPr>
          <w:ilvl w:val="0"/>
          <w:numId w:val="0"/>
        </w:numPr>
        <w:spacing w:after="480" w:line="360" w:lineRule="auto"/>
        <w:ind w:left="360"/>
        <w:jc w:val="both"/>
        <w:rPr>
          <w:lang w:val="en-US"/>
        </w:rPr>
      </w:pPr>
    </w:p>
    <w:p w14:paraId="78535DB6" w14:textId="77777777" w:rsidR="00B95B64" w:rsidRDefault="00B95B64" w:rsidP="001E2697">
      <w:pPr>
        <w:spacing w:line="360" w:lineRule="auto"/>
        <w:ind w:left="2880" w:firstLine="720"/>
      </w:pPr>
    </w:p>
    <w:p w14:paraId="40A371D0" w14:textId="77777777" w:rsidR="00B95B64" w:rsidRDefault="00B95B64" w:rsidP="001E2697">
      <w:pPr>
        <w:spacing w:line="360" w:lineRule="auto"/>
        <w:ind w:left="2880" w:firstLine="720"/>
      </w:pPr>
    </w:p>
    <w:p w14:paraId="53FC64C7" w14:textId="77777777" w:rsidR="00B95B64" w:rsidRDefault="00B95B64" w:rsidP="001E2697">
      <w:pPr>
        <w:spacing w:line="360" w:lineRule="auto"/>
        <w:ind w:left="2880" w:firstLine="720"/>
      </w:pPr>
    </w:p>
    <w:p w14:paraId="383AFE0B" w14:textId="61DF70EF"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2DA47FDD"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701207">
        <w:t xml:space="preserve"> </w:t>
      </w:r>
      <w:r w:rsidR="005A7A4C">
        <w:t>24 February 2023</w:t>
      </w:r>
      <w:r>
        <w:rPr>
          <w:b/>
        </w:rPr>
        <w:tab/>
      </w:r>
      <w:r>
        <w:t xml:space="preserve"> </w:t>
      </w:r>
    </w:p>
    <w:p w14:paraId="345B4D09" w14:textId="77777777" w:rsidR="001E2697" w:rsidRPr="008B170D" w:rsidRDefault="001E2697" w:rsidP="001E2697">
      <w:pPr>
        <w:rPr>
          <w:b/>
        </w:rPr>
      </w:pPr>
    </w:p>
    <w:p w14:paraId="2DA72A9D" w14:textId="505AE37D"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701207">
        <w:t xml:space="preserve"> </w:t>
      </w:r>
      <w:r w:rsidR="00110C72">
        <w:t>28</w:t>
      </w:r>
      <w:r w:rsidR="005A7A4C">
        <w:t xml:space="preserve"> February 2023</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710A950B" w14:textId="4DCA3392" w:rsidR="001E2697" w:rsidRDefault="00B95B64" w:rsidP="001E2697">
      <w:pPr>
        <w:pStyle w:val="ListParagraph"/>
        <w:spacing w:line="240" w:lineRule="auto"/>
        <w:ind w:left="0"/>
      </w:pPr>
      <w:r>
        <w:rPr>
          <w:b/>
        </w:rPr>
        <w:t xml:space="preserve">FIRST </w:t>
      </w:r>
      <w:r w:rsidR="001E2697" w:rsidRPr="008B170D">
        <w:rPr>
          <w:b/>
        </w:rPr>
        <w:t>APPLICANT</w:t>
      </w:r>
      <w:r>
        <w:rPr>
          <w:b/>
        </w:rPr>
        <w:t>’S COUNSEL</w:t>
      </w:r>
      <w:r w:rsidR="001E2697">
        <w:rPr>
          <w:b/>
        </w:rPr>
        <w:tab/>
      </w:r>
      <w:r w:rsidR="001E2697">
        <w:rPr>
          <w:b/>
        </w:rPr>
        <w:tab/>
      </w:r>
      <w:r w:rsidR="001E2697" w:rsidRPr="008B170D">
        <w:t>:</w:t>
      </w:r>
      <w:r w:rsidR="001E2697">
        <w:t xml:space="preserve">  </w:t>
      </w:r>
      <w:r w:rsidR="0039420D">
        <w:t>Adv M. Khumalo</w:t>
      </w:r>
    </w:p>
    <w:p w14:paraId="3E04B418" w14:textId="77777777" w:rsidR="001E2697" w:rsidRDefault="001E2697" w:rsidP="001E2697">
      <w:pPr>
        <w:pStyle w:val="ListParagraph"/>
        <w:spacing w:line="240" w:lineRule="auto"/>
        <w:ind w:left="0"/>
        <w:rPr>
          <w:b/>
          <w:bCs/>
        </w:rPr>
      </w:pPr>
    </w:p>
    <w:p w14:paraId="557DCDB7" w14:textId="4280E642" w:rsidR="0039420D" w:rsidRDefault="00B95B64" w:rsidP="0039420D">
      <w:pPr>
        <w:pStyle w:val="ListParagraph"/>
        <w:spacing w:line="240" w:lineRule="auto"/>
        <w:ind w:left="0"/>
      </w:pPr>
      <w:r>
        <w:rPr>
          <w:b/>
          <w:bCs/>
        </w:rPr>
        <w:t>FIRST APPLICANT’S ATTORNE</w:t>
      </w:r>
      <w:r w:rsidR="00701207" w:rsidRPr="00701207">
        <w:rPr>
          <w:b/>
        </w:rPr>
        <w:t>Y</w:t>
      </w:r>
      <w:r w:rsidR="00701207">
        <w:rPr>
          <w:b/>
        </w:rPr>
        <w:t>S</w:t>
      </w:r>
      <w:r w:rsidR="001E2697">
        <w:tab/>
      </w:r>
      <w:r w:rsidR="001E2697">
        <w:tab/>
        <w:t xml:space="preserve">:  </w:t>
      </w:r>
      <w:r w:rsidR="005A7A4C">
        <w:t>Mphambo Michelle</w:t>
      </w:r>
      <w:r w:rsidR="0039420D">
        <w:t xml:space="preserve"> Attorneys</w:t>
      </w:r>
    </w:p>
    <w:p w14:paraId="5DDDA84F" w14:textId="770E2AB5" w:rsidR="0039420D" w:rsidRDefault="001E2697" w:rsidP="005A0267">
      <w:pPr>
        <w:pStyle w:val="ListParagraph"/>
        <w:spacing w:line="240" w:lineRule="auto"/>
        <w:ind w:left="0"/>
      </w:pPr>
      <w:r>
        <w:tab/>
      </w:r>
      <w:r>
        <w:tab/>
      </w:r>
      <w:r>
        <w:tab/>
      </w:r>
      <w:r>
        <w:tab/>
      </w:r>
      <w:bookmarkStart w:id="2" w:name="_Hlk67555944"/>
    </w:p>
    <w:p w14:paraId="00A0BCE8" w14:textId="2B4B276B" w:rsidR="001E2697" w:rsidRPr="001E2697" w:rsidRDefault="001E2697" w:rsidP="005A0267">
      <w:pPr>
        <w:pStyle w:val="ListParagraph"/>
        <w:spacing w:line="240" w:lineRule="auto"/>
        <w:ind w:left="0"/>
      </w:pPr>
      <w:r>
        <w:rPr>
          <w:b/>
        </w:rPr>
        <w:t>RESPONDENT’S COUNSEL</w:t>
      </w:r>
      <w:r>
        <w:rPr>
          <w:b/>
        </w:rPr>
        <w:tab/>
      </w:r>
      <w:r>
        <w:rPr>
          <w:b/>
        </w:rPr>
        <w:tab/>
      </w:r>
      <w:r>
        <w:rPr>
          <w:b/>
        </w:rPr>
        <w:tab/>
      </w:r>
      <w:r w:rsidRPr="00B27F3B">
        <w:t>:</w:t>
      </w:r>
      <w:r>
        <w:t xml:space="preserve"> </w:t>
      </w:r>
      <w:r w:rsidR="0039420D">
        <w:t xml:space="preserve"> Adv R. Blumenthal </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1E563EBC" w14:textId="78604586" w:rsidR="004E41B6" w:rsidRDefault="001E2697" w:rsidP="00A326BA">
      <w:pPr>
        <w:pStyle w:val="ListParagraph"/>
        <w:spacing w:line="240" w:lineRule="auto"/>
        <w:ind w:left="0"/>
      </w:pPr>
      <w:r>
        <w:rPr>
          <w:b/>
        </w:rPr>
        <w:t>RESPONDENT’S ATTORNEYS</w:t>
      </w:r>
      <w:r>
        <w:rPr>
          <w:b/>
        </w:rPr>
        <w:tab/>
      </w:r>
      <w:r w:rsidR="0039420D">
        <w:rPr>
          <w:b/>
        </w:rPr>
        <w:tab/>
      </w:r>
      <w:r>
        <w:rPr>
          <w:b/>
        </w:rPr>
        <w:tab/>
      </w:r>
      <w:r w:rsidRPr="00B27F3B">
        <w:t>:</w:t>
      </w:r>
      <w:r w:rsidR="0039420D">
        <w:t xml:space="preserve">  Brittan Law Attorneys</w:t>
      </w:r>
      <w:bookmarkEnd w:id="2"/>
    </w:p>
    <w:sectPr w:rsidR="004E41B6"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EBFC" w14:textId="77777777" w:rsidR="00D44B5F" w:rsidRDefault="00D44B5F">
      <w:r>
        <w:separator/>
      </w:r>
    </w:p>
  </w:endnote>
  <w:endnote w:type="continuationSeparator" w:id="0">
    <w:p w14:paraId="6F0B2A53" w14:textId="77777777" w:rsidR="00D44B5F" w:rsidRDefault="00D4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5E3A" w14:textId="77777777" w:rsidR="00D44B5F" w:rsidRDefault="00D44B5F">
      <w:r>
        <w:separator/>
      </w:r>
    </w:p>
  </w:footnote>
  <w:footnote w:type="continuationSeparator" w:id="0">
    <w:p w14:paraId="217D3414" w14:textId="77777777" w:rsidR="00D44B5F" w:rsidRDefault="00D44B5F">
      <w:r>
        <w:continuationSeparator/>
      </w:r>
    </w:p>
  </w:footnote>
  <w:footnote w:id="1">
    <w:p w14:paraId="51A2B13F" w14:textId="77777777" w:rsidR="00234DA4" w:rsidRDefault="00234DA4" w:rsidP="00234DA4">
      <w:pPr>
        <w:pStyle w:val="FootnoteText"/>
      </w:pPr>
      <w:r>
        <w:rPr>
          <w:rStyle w:val="FootnoteReference"/>
        </w:rPr>
        <w:footnoteRef/>
      </w:r>
      <w:r>
        <w:t xml:space="preserve"> 10 of 2013</w:t>
      </w:r>
    </w:p>
  </w:footnote>
  <w:footnote w:id="2">
    <w:p w14:paraId="6976B206" w14:textId="77777777" w:rsidR="00234DA4" w:rsidRDefault="00234DA4" w:rsidP="00234DA4">
      <w:pPr>
        <w:pStyle w:val="FootnoteText"/>
      </w:pPr>
      <w:r>
        <w:rPr>
          <w:rStyle w:val="FootnoteReference"/>
        </w:rPr>
        <w:footnoteRef/>
      </w:r>
      <w:r>
        <w:t xml:space="preserve"> Ramakatsa and Others v African National Congress and Another [2021] JOL 49993 (SCA) para [10]</w:t>
      </w:r>
    </w:p>
  </w:footnote>
  <w:footnote w:id="3">
    <w:p w14:paraId="09987EDA" w14:textId="77777777" w:rsidR="00234DA4" w:rsidRDefault="00234DA4" w:rsidP="00234DA4">
      <w:pPr>
        <w:pStyle w:val="FootnoteText"/>
      </w:pPr>
      <w:r>
        <w:rPr>
          <w:rStyle w:val="FootnoteReference"/>
        </w:rPr>
        <w:footnoteRef/>
      </w:r>
      <w:r>
        <w:t xml:space="preserve"> S v Notshokovu Unreported SCA case no 157/15 dated 7 September 2016, para [2]</w:t>
      </w:r>
    </w:p>
  </w:footnote>
  <w:footnote w:id="4">
    <w:p w14:paraId="3A472F89" w14:textId="77777777" w:rsidR="00234DA4" w:rsidRDefault="00234DA4" w:rsidP="00234DA4">
      <w:pPr>
        <w:pStyle w:val="FootnoteText"/>
      </w:pPr>
      <w:r>
        <w:rPr>
          <w:rStyle w:val="FootnoteReference"/>
        </w:rPr>
        <w:footnoteRef/>
      </w:r>
      <w:r>
        <w:t xml:space="preserve"> 59 of 1959</w:t>
      </w:r>
    </w:p>
  </w:footnote>
  <w:footnote w:id="5">
    <w:p w14:paraId="57F77967" w14:textId="77777777" w:rsidR="00234DA4" w:rsidRDefault="00234DA4" w:rsidP="00234DA4">
      <w:pPr>
        <w:pStyle w:val="FootnoteText"/>
      </w:pPr>
      <w:r>
        <w:rPr>
          <w:rStyle w:val="FootnoteReference"/>
        </w:rPr>
        <w:footnoteRef/>
      </w:r>
      <w:r>
        <w:t xml:space="preserve"> Smith v S [2011] ZASCA 15; MEC for Health, Eastern Cape v Mkhitha [2016] ZASCA 176, para [17]</w:t>
      </w:r>
    </w:p>
  </w:footnote>
  <w:footnote w:id="6">
    <w:p w14:paraId="30F36F0D" w14:textId="1973176A" w:rsidR="008147BF" w:rsidRDefault="008147BF">
      <w:pPr>
        <w:pStyle w:val="FootnoteText"/>
      </w:pPr>
      <w:r>
        <w:rPr>
          <w:rStyle w:val="FootnoteReference"/>
        </w:rPr>
        <w:footnoteRef/>
      </w:r>
      <w:r>
        <w:t xml:space="preserve"> United Plant Hire (Pty) Ltd v Hills 1976 (1) SA 717 (A) at 720E-G</w:t>
      </w:r>
    </w:p>
  </w:footnote>
  <w:footnote w:id="7">
    <w:p w14:paraId="1C27D77F" w14:textId="2F4ED595" w:rsidR="003B6EBE" w:rsidRDefault="003B6EBE" w:rsidP="003B6EBE">
      <w:pPr>
        <w:pStyle w:val="FootnoteText"/>
      </w:pPr>
      <w:r>
        <w:rPr>
          <w:rStyle w:val="FootnoteReference"/>
        </w:rPr>
        <w:footnoteRef/>
      </w:r>
      <w:r>
        <w:t xml:space="preserve"> Premier, Provinsie Mpumalanga v </w:t>
      </w:r>
      <w:r w:rsidR="00B95B64">
        <w:t>G</w:t>
      </w:r>
      <w:r>
        <w:t xml:space="preserve">roblersdalse Stadsraad 1998 (2) SA 1136 (SCA) at 1141D-I; Radio Pretoria v Chairman, Independent Communication Authority of South Africa 2005 (1) SA 47 (SCA) </w:t>
      </w:r>
      <w:r w:rsidR="00E36AEC">
        <w:t xml:space="preserve">at </w:t>
      </w:r>
      <w:r>
        <w:t>55E-56H.</w:t>
      </w:r>
    </w:p>
  </w:footnote>
  <w:footnote w:id="8">
    <w:p w14:paraId="4B28691D" w14:textId="0F8C4276" w:rsidR="00B95B64" w:rsidRDefault="00B95B64">
      <w:pPr>
        <w:pStyle w:val="FootnoteText"/>
      </w:pPr>
      <w:r>
        <w:rPr>
          <w:rStyle w:val="FootnoteReference"/>
        </w:rPr>
        <w:footnoteRef/>
      </w:r>
      <w:r>
        <w:t xml:space="preserve"> Nel v Waterberg Landbouwers Ko-operatiewe Vereeniging 1946 AS 597 at 607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1EA50B27" w:rsidR="003759EB" w:rsidRDefault="001E2697">
    <w:pPr>
      <w:pStyle w:val="Header"/>
      <w:jc w:val="right"/>
    </w:pPr>
    <w:r>
      <w:t xml:space="preserve">Page </w:t>
    </w:r>
    <w:r>
      <w:fldChar w:fldCharType="begin"/>
    </w:r>
    <w:r>
      <w:instrText xml:space="preserve"> PAGE   \* MERGEFORMAT </w:instrText>
    </w:r>
    <w:r>
      <w:fldChar w:fldCharType="separate"/>
    </w:r>
    <w:r w:rsidR="0002078B">
      <w:rPr>
        <w:noProof/>
      </w:rPr>
      <w:t>6</w:t>
    </w:r>
    <w:r>
      <w:rPr>
        <w:noProof/>
      </w:rPr>
      <w:fldChar w:fldCharType="end"/>
    </w:r>
  </w:p>
  <w:p w14:paraId="0BA12F91" w14:textId="77777777" w:rsidR="003759EB" w:rsidRDefault="00D4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2078B"/>
    <w:rsid w:val="00045763"/>
    <w:rsid w:val="000464BE"/>
    <w:rsid w:val="000B66AC"/>
    <w:rsid w:val="00105361"/>
    <w:rsid w:val="00110C72"/>
    <w:rsid w:val="00113EEB"/>
    <w:rsid w:val="00167A0B"/>
    <w:rsid w:val="001E2697"/>
    <w:rsid w:val="00216694"/>
    <w:rsid w:val="00234DA4"/>
    <w:rsid w:val="00237065"/>
    <w:rsid w:val="00245037"/>
    <w:rsid w:val="002E3CC3"/>
    <w:rsid w:val="00323F4C"/>
    <w:rsid w:val="00383D1C"/>
    <w:rsid w:val="0039420D"/>
    <w:rsid w:val="003B6EBE"/>
    <w:rsid w:val="0044622C"/>
    <w:rsid w:val="004470F8"/>
    <w:rsid w:val="00450173"/>
    <w:rsid w:val="00456FA9"/>
    <w:rsid w:val="004D55A8"/>
    <w:rsid w:val="004E41B6"/>
    <w:rsid w:val="004E44ED"/>
    <w:rsid w:val="00503815"/>
    <w:rsid w:val="00562DEB"/>
    <w:rsid w:val="00595286"/>
    <w:rsid w:val="005A0267"/>
    <w:rsid w:val="005A7858"/>
    <w:rsid w:val="005A7A4C"/>
    <w:rsid w:val="006224E5"/>
    <w:rsid w:val="006616E5"/>
    <w:rsid w:val="00663670"/>
    <w:rsid w:val="00692AA6"/>
    <w:rsid w:val="00701207"/>
    <w:rsid w:val="00706DFA"/>
    <w:rsid w:val="00732694"/>
    <w:rsid w:val="007703BA"/>
    <w:rsid w:val="00772D6C"/>
    <w:rsid w:val="007C25CD"/>
    <w:rsid w:val="008147BF"/>
    <w:rsid w:val="00827048"/>
    <w:rsid w:val="0087406F"/>
    <w:rsid w:val="00880CB2"/>
    <w:rsid w:val="008A1289"/>
    <w:rsid w:val="008C2A94"/>
    <w:rsid w:val="008C747F"/>
    <w:rsid w:val="00900064"/>
    <w:rsid w:val="00951327"/>
    <w:rsid w:val="00952EE8"/>
    <w:rsid w:val="009845B6"/>
    <w:rsid w:val="009B4A5F"/>
    <w:rsid w:val="009E11DF"/>
    <w:rsid w:val="009E5EA6"/>
    <w:rsid w:val="00A326BA"/>
    <w:rsid w:val="00AF401B"/>
    <w:rsid w:val="00B40203"/>
    <w:rsid w:val="00B56867"/>
    <w:rsid w:val="00B767A4"/>
    <w:rsid w:val="00B948AF"/>
    <w:rsid w:val="00B95B64"/>
    <w:rsid w:val="00BA26F8"/>
    <w:rsid w:val="00BD17F1"/>
    <w:rsid w:val="00BE3AA8"/>
    <w:rsid w:val="00C03CD3"/>
    <w:rsid w:val="00C15987"/>
    <w:rsid w:val="00C811B0"/>
    <w:rsid w:val="00C83782"/>
    <w:rsid w:val="00C853FE"/>
    <w:rsid w:val="00C92D3B"/>
    <w:rsid w:val="00D06735"/>
    <w:rsid w:val="00D44B5F"/>
    <w:rsid w:val="00D5427D"/>
    <w:rsid w:val="00DD3104"/>
    <w:rsid w:val="00E35A5B"/>
    <w:rsid w:val="00E36A52"/>
    <w:rsid w:val="00E36AEC"/>
    <w:rsid w:val="00EC76F4"/>
    <w:rsid w:val="00ED2AC9"/>
    <w:rsid w:val="00F44AF4"/>
    <w:rsid w:val="00F45153"/>
    <w:rsid w:val="00F6326E"/>
    <w:rsid w:val="00FF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w:basedOn w:val="Normal"/>
    <w:link w:val="FootnoteTextChar"/>
    <w:uiPriority w:val="99"/>
    <w:unhideWhenUsed/>
    <w:rsid w:val="00383D1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paragraph" w:styleId="BalloonText">
    <w:name w:val="Balloon Text"/>
    <w:basedOn w:val="Normal"/>
    <w:link w:val="BalloonTextChar"/>
    <w:uiPriority w:val="99"/>
    <w:semiHidden/>
    <w:unhideWhenUsed/>
    <w:rsid w:val="00827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48"/>
    <w:rPr>
      <w:rFonts w:ascii="Segoe UI" w:eastAsia="Times New Roman" w:hAnsi="Segoe UI" w:cs="Segoe UI"/>
      <w:kern w:val="28"/>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05830">
      <w:bodyDiv w:val="1"/>
      <w:marLeft w:val="0"/>
      <w:marRight w:val="0"/>
      <w:marTop w:val="0"/>
      <w:marBottom w:val="0"/>
      <w:divBdr>
        <w:top w:val="none" w:sz="0" w:space="0" w:color="auto"/>
        <w:left w:val="none" w:sz="0" w:space="0" w:color="auto"/>
        <w:bottom w:val="none" w:sz="0" w:space="0" w:color="auto"/>
        <w:right w:val="none" w:sz="0" w:space="0" w:color="auto"/>
      </w:divBdr>
    </w:div>
    <w:div w:id="19955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2536-B8C9-4CAF-97AB-267F168D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cp:lastPrinted>2023-02-28T06:32:00Z</cp:lastPrinted>
  <dcterms:created xsi:type="dcterms:W3CDTF">2023-03-06T13:57:00Z</dcterms:created>
  <dcterms:modified xsi:type="dcterms:W3CDTF">2023-03-06T13:58:00Z</dcterms:modified>
</cp:coreProperties>
</file>