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F346D" w14:textId="5B8DC34E" w:rsidR="0023435E" w:rsidRPr="0023435E" w:rsidRDefault="0023435E" w:rsidP="0023435E">
      <w:pPr>
        <w:rPr>
          <w:color w:val="FF0000"/>
          <w:u w:val="single"/>
        </w:rPr>
      </w:pPr>
      <w:r>
        <w:rPr>
          <w:rFonts w:ascii="Arial" w:hAnsi="Arial" w:cs="Arial"/>
          <w:color w:val="FF0000"/>
        </w:rPr>
        <w:t>Editorial note: Certain information has been redacted from this judgment in compliance with the law.</w:t>
      </w:r>
    </w:p>
    <w:p w14:paraId="499D6477" w14:textId="331EE2CA" w:rsidR="002F0996" w:rsidRPr="00AB52EE" w:rsidRDefault="002F0996" w:rsidP="00D22617">
      <w:pPr>
        <w:autoSpaceDE w:val="0"/>
        <w:autoSpaceDN w:val="0"/>
        <w:adjustRightInd w:val="0"/>
        <w:spacing w:line="360" w:lineRule="auto"/>
        <w:jc w:val="center"/>
        <w:rPr>
          <w:rFonts w:ascii="Arial" w:hAnsi="Arial" w:cs="Arial"/>
          <w:b/>
          <w:bCs/>
          <w:sz w:val="24"/>
          <w:szCs w:val="24"/>
        </w:rPr>
      </w:pPr>
      <w:r w:rsidRPr="00AB52EE">
        <w:rPr>
          <w:rFonts w:ascii="Arial" w:hAnsi="Arial" w:cs="Arial"/>
          <w:b/>
          <w:bCs/>
          <w:noProof/>
          <w:sz w:val="24"/>
          <w:szCs w:val="24"/>
          <w:lang w:eastAsia="en-ZA"/>
        </w:rPr>
        <w:drawing>
          <wp:inline distT="0" distB="0" distL="0" distR="0" wp14:anchorId="4CB7A0EE" wp14:editId="5B581E42">
            <wp:extent cx="1296848" cy="1147212"/>
            <wp:effectExtent l="0" t="0" r="0" b="0"/>
            <wp:docPr id="369414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414636" name="Picture 369414636"/>
                    <pic:cNvPicPr/>
                  </pic:nvPicPr>
                  <pic:blipFill>
                    <a:blip r:embed="rId9">
                      <a:extLst>
                        <a:ext uri="{28A0092B-C50C-407E-A947-70E740481C1C}">
                          <a14:useLocalDpi xmlns:a14="http://schemas.microsoft.com/office/drawing/2010/main" val="0"/>
                        </a:ext>
                      </a:extLst>
                    </a:blip>
                    <a:stretch>
                      <a:fillRect/>
                    </a:stretch>
                  </pic:blipFill>
                  <pic:spPr>
                    <a:xfrm>
                      <a:off x="0" y="0"/>
                      <a:ext cx="1296848" cy="1147212"/>
                    </a:xfrm>
                    <a:prstGeom prst="rect">
                      <a:avLst/>
                    </a:prstGeom>
                  </pic:spPr>
                </pic:pic>
              </a:graphicData>
            </a:graphic>
          </wp:inline>
        </w:drawing>
      </w:r>
    </w:p>
    <w:p w14:paraId="3954D95A" w14:textId="7128E9C7" w:rsidR="000D0102" w:rsidRPr="00AB52EE" w:rsidRDefault="00D202C2" w:rsidP="00D22617">
      <w:pPr>
        <w:autoSpaceDE w:val="0"/>
        <w:autoSpaceDN w:val="0"/>
        <w:adjustRightInd w:val="0"/>
        <w:spacing w:line="360" w:lineRule="auto"/>
        <w:jc w:val="center"/>
        <w:rPr>
          <w:rFonts w:ascii="Arial" w:hAnsi="Arial" w:cs="Arial"/>
          <w:b/>
          <w:bCs/>
          <w:sz w:val="24"/>
          <w:szCs w:val="24"/>
        </w:rPr>
      </w:pPr>
      <w:r w:rsidRPr="00AB52EE">
        <w:rPr>
          <w:rFonts w:ascii="Arial" w:hAnsi="Arial" w:cs="Arial"/>
          <w:b/>
          <w:bCs/>
          <w:sz w:val="24"/>
          <w:szCs w:val="24"/>
        </w:rPr>
        <w:t xml:space="preserve">IN THE </w:t>
      </w:r>
      <w:r w:rsidR="000D0102" w:rsidRPr="00AB52EE">
        <w:rPr>
          <w:rFonts w:ascii="Arial" w:hAnsi="Arial" w:cs="Arial"/>
          <w:b/>
          <w:bCs/>
          <w:sz w:val="24"/>
          <w:szCs w:val="24"/>
        </w:rPr>
        <w:t xml:space="preserve">HIGH </w:t>
      </w:r>
      <w:r w:rsidRPr="00AB52EE">
        <w:rPr>
          <w:rFonts w:ascii="Arial" w:hAnsi="Arial" w:cs="Arial"/>
          <w:b/>
          <w:bCs/>
          <w:sz w:val="24"/>
          <w:szCs w:val="24"/>
        </w:rPr>
        <w:t>COURT OF SOUTH AFRICA</w:t>
      </w:r>
    </w:p>
    <w:p w14:paraId="072336A1" w14:textId="605FDDC8" w:rsidR="00D202C2" w:rsidRPr="00AB52EE" w:rsidRDefault="000D0102" w:rsidP="00986F65">
      <w:pPr>
        <w:autoSpaceDE w:val="0"/>
        <w:autoSpaceDN w:val="0"/>
        <w:adjustRightInd w:val="0"/>
        <w:spacing w:line="360" w:lineRule="auto"/>
        <w:jc w:val="center"/>
        <w:rPr>
          <w:rFonts w:ascii="Arial" w:hAnsi="Arial" w:cs="Arial"/>
          <w:b/>
          <w:bCs/>
          <w:sz w:val="24"/>
          <w:szCs w:val="24"/>
        </w:rPr>
      </w:pPr>
      <w:r w:rsidRPr="00AB52EE">
        <w:rPr>
          <w:rFonts w:ascii="Arial" w:hAnsi="Arial" w:cs="Arial"/>
          <w:b/>
          <w:bCs/>
          <w:sz w:val="24"/>
          <w:szCs w:val="24"/>
        </w:rPr>
        <w:t>(GAUTENG DIVISION</w:t>
      </w:r>
      <w:r w:rsidR="00D202C2" w:rsidRPr="00AB52EE">
        <w:rPr>
          <w:rFonts w:ascii="Arial" w:hAnsi="Arial" w:cs="Arial"/>
          <w:b/>
          <w:bCs/>
          <w:sz w:val="24"/>
          <w:szCs w:val="24"/>
        </w:rPr>
        <w:t xml:space="preserve">, </w:t>
      </w:r>
      <w:r w:rsidR="004071E9" w:rsidRPr="00AB52EE">
        <w:rPr>
          <w:rFonts w:ascii="Arial" w:hAnsi="Arial" w:cs="Arial"/>
          <w:b/>
          <w:bCs/>
          <w:sz w:val="24"/>
          <w:szCs w:val="24"/>
        </w:rPr>
        <w:t>JOHANNESBURG</w:t>
      </w:r>
      <w:r w:rsidRPr="00AB52EE">
        <w:rPr>
          <w:rFonts w:ascii="Arial" w:hAnsi="Arial" w:cs="Arial"/>
          <w:b/>
          <w:bCs/>
          <w:sz w:val="24"/>
          <w:szCs w:val="24"/>
        </w:rPr>
        <w:t>)</w:t>
      </w:r>
    </w:p>
    <w:p w14:paraId="6CF3654C" w14:textId="6A92DB29" w:rsidR="00D202C2" w:rsidRPr="00AB52EE" w:rsidRDefault="00D202C2" w:rsidP="00986F65">
      <w:pPr>
        <w:autoSpaceDE w:val="0"/>
        <w:autoSpaceDN w:val="0"/>
        <w:adjustRightInd w:val="0"/>
        <w:spacing w:line="360" w:lineRule="auto"/>
        <w:ind w:left="720"/>
        <w:jc w:val="right"/>
        <w:rPr>
          <w:rFonts w:ascii="Arial" w:hAnsi="Arial" w:cs="Arial"/>
          <w:sz w:val="24"/>
          <w:szCs w:val="24"/>
        </w:rPr>
      </w:pPr>
      <w:r w:rsidRPr="00AB52EE">
        <w:rPr>
          <w:rFonts w:ascii="Arial" w:hAnsi="Arial" w:cs="Arial"/>
          <w:sz w:val="24"/>
          <w:szCs w:val="24"/>
        </w:rPr>
        <w:t xml:space="preserve">Case no: </w:t>
      </w:r>
      <w:r w:rsidR="002A5F1F" w:rsidRPr="00AB52EE">
        <w:rPr>
          <w:rFonts w:ascii="Arial" w:hAnsi="Arial" w:cs="Arial"/>
          <w:sz w:val="24"/>
          <w:szCs w:val="24"/>
        </w:rPr>
        <w:t>20</w:t>
      </w:r>
      <w:r w:rsidR="00FE6761" w:rsidRPr="00AB52EE">
        <w:rPr>
          <w:rFonts w:ascii="Arial" w:hAnsi="Arial" w:cs="Arial"/>
          <w:sz w:val="24"/>
          <w:szCs w:val="24"/>
        </w:rPr>
        <w:t>2</w:t>
      </w:r>
      <w:r w:rsidR="00986F65">
        <w:rPr>
          <w:rFonts w:ascii="Arial" w:hAnsi="Arial" w:cs="Arial"/>
          <w:sz w:val="24"/>
          <w:szCs w:val="24"/>
        </w:rPr>
        <w:t>2</w:t>
      </w:r>
      <w:r w:rsidR="00F95AEC" w:rsidRPr="00AB52EE">
        <w:rPr>
          <w:rFonts w:ascii="Arial" w:hAnsi="Arial" w:cs="Arial"/>
          <w:sz w:val="24"/>
          <w:szCs w:val="24"/>
        </w:rPr>
        <w:t>/</w:t>
      </w:r>
      <w:r w:rsidR="00986F65">
        <w:rPr>
          <w:rFonts w:ascii="Arial" w:hAnsi="Arial" w:cs="Arial"/>
          <w:sz w:val="24"/>
          <w:szCs w:val="24"/>
        </w:rPr>
        <w:t>018731</w:t>
      </w:r>
    </w:p>
    <w:p w14:paraId="50821842" w14:textId="77777777" w:rsidR="007D51E5" w:rsidRPr="00AB52EE" w:rsidRDefault="007D51E5" w:rsidP="008C6CC3">
      <w:pPr>
        <w:autoSpaceDE w:val="0"/>
        <w:autoSpaceDN w:val="0"/>
        <w:adjustRightInd w:val="0"/>
        <w:spacing w:line="360" w:lineRule="auto"/>
        <w:rPr>
          <w:rFonts w:ascii="Arial" w:hAnsi="Arial" w:cs="Arial"/>
          <w:sz w:val="24"/>
          <w:szCs w:val="24"/>
        </w:rPr>
      </w:pPr>
      <w:r w:rsidRPr="00AB52EE">
        <w:rPr>
          <w:rFonts w:ascii="Arial" w:hAnsi="Arial" w:cs="Arial"/>
          <w:noProof/>
          <w:sz w:val="24"/>
          <w:szCs w:val="24"/>
          <w:lang w:eastAsia="en-ZA"/>
        </w:rPr>
        <mc:AlternateContent>
          <mc:Choice Requires="wps">
            <w:drawing>
              <wp:inline distT="0" distB="0" distL="0" distR="0" wp14:anchorId="354FFED0" wp14:editId="58EF5345">
                <wp:extent cx="3314700" cy="13716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6016463" w14:textId="77777777" w:rsidR="00FC0780" w:rsidRDefault="00FC0780" w:rsidP="007D51E5">
                            <w:pPr>
                              <w:jc w:val="center"/>
                              <w:rPr>
                                <w:rFonts w:ascii="Century Gothic" w:hAnsi="Century Gothic"/>
                                <w:b/>
                                <w:sz w:val="20"/>
                                <w:szCs w:val="20"/>
                              </w:rPr>
                            </w:pPr>
                          </w:p>
                          <w:p w14:paraId="0E750DD9" w14:textId="0CDB5EF1" w:rsidR="00FC0780" w:rsidRDefault="001743E1" w:rsidP="001743E1">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C0780">
                              <w:rPr>
                                <w:rFonts w:ascii="Century Gothic" w:hAnsi="Century Gothic"/>
                                <w:sz w:val="20"/>
                                <w:szCs w:val="20"/>
                              </w:rPr>
                              <w:t xml:space="preserve">REPORTABLE:  </w:t>
                            </w:r>
                            <w:r w:rsidR="00986F65">
                              <w:rPr>
                                <w:rFonts w:ascii="Century Gothic" w:hAnsi="Century Gothic"/>
                                <w:sz w:val="20"/>
                                <w:szCs w:val="20"/>
                              </w:rPr>
                              <w:t>NO</w:t>
                            </w:r>
                          </w:p>
                          <w:p w14:paraId="3BA0F62E" w14:textId="1B259BEC" w:rsidR="00FC0780" w:rsidRDefault="001743E1" w:rsidP="001743E1">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C0780">
                              <w:rPr>
                                <w:rFonts w:ascii="Century Gothic" w:hAnsi="Century Gothic"/>
                                <w:sz w:val="20"/>
                                <w:szCs w:val="20"/>
                              </w:rPr>
                              <w:t xml:space="preserve">OF INTEREST TO OTHER JUDGES: </w:t>
                            </w:r>
                            <w:r w:rsidR="00986F65">
                              <w:rPr>
                                <w:rFonts w:ascii="Century Gothic" w:hAnsi="Century Gothic"/>
                                <w:sz w:val="20"/>
                                <w:szCs w:val="20"/>
                              </w:rPr>
                              <w:t>NO</w:t>
                            </w:r>
                          </w:p>
                          <w:p w14:paraId="29110CF7" w14:textId="29E39706" w:rsidR="00FC0780" w:rsidRDefault="001743E1" w:rsidP="001743E1">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C0780">
                              <w:rPr>
                                <w:rFonts w:ascii="Century Gothic" w:hAnsi="Century Gothic"/>
                                <w:sz w:val="20"/>
                                <w:szCs w:val="20"/>
                              </w:rPr>
                              <w:t>REVISED</w:t>
                            </w:r>
                            <w:r w:rsidR="00EF21BD">
                              <w:rPr>
                                <w:rFonts w:ascii="Century Gothic" w:hAnsi="Century Gothic"/>
                                <w:sz w:val="20"/>
                                <w:szCs w:val="20"/>
                              </w:rPr>
                              <w:t xml:space="preserve">: </w:t>
                            </w:r>
                            <w:r w:rsidR="00986F65">
                              <w:rPr>
                                <w:rFonts w:ascii="Century Gothic" w:hAnsi="Century Gothic"/>
                                <w:sz w:val="20"/>
                                <w:szCs w:val="20"/>
                              </w:rPr>
                              <w:t>NO</w:t>
                            </w:r>
                            <w:r w:rsidR="00692D17">
                              <w:rPr>
                                <w:rFonts w:ascii="Century Gothic" w:hAnsi="Century Gothic"/>
                                <w:sz w:val="20"/>
                                <w:szCs w:val="20"/>
                              </w:rPr>
                              <w:t xml:space="preserve"> </w:t>
                            </w:r>
                          </w:p>
                          <w:p w14:paraId="0E2B39CC" w14:textId="77777777" w:rsidR="00FC0780" w:rsidRDefault="00FC0780" w:rsidP="007D51E5">
                            <w:pPr>
                              <w:rPr>
                                <w:rFonts w:ascii="Century Gothic" w:hAnsi="Century Gothic"/>
                                <w:b/>
                                <w:sz w:val="18"/>
                                <w:szCs w:val="18"/>
                              </w:rPr>
                            </w:pPr>
                          </w:p>
                          <w:p w14:paraId="2B550753" w14:textId="49BE4FB0" w:rsidR="00FC0780" w:rsidRDefault="00FC0780" w:rsidP="007D51E5">
                            <w:pPr>
                              <w:rPr>
                                <w:rFonts w:ascii="Century Gothic" w:hAnsi="Century Gothic"/>
                                <w:b/>
                                <w:sz w:val="18"/>
                                <w:szCs w:val="18"/>
                              </w:rPr>
                            </w:pPr>
                            <w:r>
                              <w:rPr>
                                <w:rFonts w:ascii="Century Gothic" w:hAnsi="Century Gothic"/>
                                <w:b/>
                                <w:sz w:val="18"/>
                                <w:szCs w:val="18"/>
                              </w:rPr>
                              <w:t xml:space="preserve"> </w:t>
                            </w:r>
                            <w:r w:rsidR="00BD1B12">
                              <w:rPr>
                                <w:rFonts w:ascii="Century Gothic" w:hAnsi="Century Gothic"/>
                                <w:b/>
                                <w:sz w:val="18"/>
                                <w:szCs w:val="18"/>
                              </w:rPr>
                              <w:t xml:space="preserve"> </w:t>
                            </w:r>
                            <w:r w:rsidR="00BD1B12" w:rsidRPr="00FE508D">
                              <w:rPr>
                                <w:rFonts w:ascii="Century Gothic" w:hAnsi="Century Gothic"/>
                                <w:b/>
                                <w:sz w:val="18"/>
                                <w:szCs w:val="18"/>
                              </w:rPr>
                              <w:t>Signed: …………………</w:t>
                            </w:r>
                            <w:r w:rsidR="00BD1B12">
                              <w:rPr>
                                <w:rFonts w:ascii="Century Gothic" w:hAnsi="Century Gothic"/>
                                <w:b/>
                                <w:sz w:val="18"/>
                                <w:szCs w:val="18"/>
                              </w:rPr>
                              <w:t xml:space="preserve">…..     </w:t>
                            </w:r>
                            <w:r w:rsidR="00BD1B12" w:rsidRPr="00FE508D">
                              <w:rPr>
                                <w:rFonts w:ascii="Century Gothic" w:hAnsi="Century Gothic"/>
                                <w:b/>
                                <w:sz w:val="18"/>
                                <w:szCs w:val="18"/>
                              </w:rPr>
                              <w:t xml:space="preserve">Date: </w:t>
                            </w:r>
                            <w:r w:rsidR="00384795">
                              <w:rPr>
                                <w:rFonts w:ascii="Century Gothic" w:hAnsi="Century Gothic"/>
                                <w:b/>
                                <w:sz w:val="18"/>
                                <w:szCs w:val="18"/>
                              </w:rPr>
                              <w:t xml:space="preserve">11 December </w:t>
                            </w:r>
                            <w:r w:rsidR="00EF21BD">
                              <w:rPr>
                                <w:rFonts w:ascii="Century Gothic" w:hAnsi="Century Gothic"/>
                                <w:b/>
                                <w:sz w:val="18"/>
                                <w:szCs w:val="18"/>
                              </w:rPr>
                              <w:t>20</w:t>
                            </w:r>
                            <w:r w:rsidR="00E6611A">
                              <w:rPr>
                                <w:rFonts w:ascii="Century Gothic" w:hAnsi="Century Gothic"/>
                                <w:b/>
                                <w:sz w:val="18"/>
                                <w:szCs w:val="18"/>
                              </w:rPr>
                              <w:t>23</w:t>
                            </w:r>
                          </w:p>
                          <w:p w14:paraId="7806C82D" w14:textId="77777777" w:rsidR="00FC0780" w:rsidRDefault="00FC0780" w:rsidP="007D51E5">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inline>
            </w:drawing>
          </mc:Choice>
          <mc:Fallback>
            <w:pict>
              <v:shapetype w14:anchorId="354FFED0" id="_x0000_t202" coordsize="21600,21600" o:spt="202" path="m,l,21600r21600,l21600,xe">
                <v:stroke joinstyle="miter"/>
                <v:path gradientshapeok="t" o:connecttype="rect"/>
              </v:shapetype>
              <v:shape id="Text Box 1" o:spid="_x0000_s1026" type="#_x0000_t202" style="width:261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">
                <v:textbox>
                  <w:txbxContent>
                    <w:p w14:paraId="56016463" w14:textId="77777777" w:rsidR="00FC0780" w:rsidRDefault="00FC0780" w:rsidP="007D51E5">
                      <w:pPr>
                        <w:jc w:val="center"/>
                        <w:rPr>
                          <w:rFonts w:ascii="Century Gothic" w:hAnsi="Century Gothic"/>
                          <w:b/>
                          <w:sz w:val="20"/>
                          <w:szCs w:val="20"/>
                        </w:rPr>
                      </w:pPr>
                    </w:p>
                    <w:p w14:paraId="0E750DD9" w14:textId="0CDB5EF1" w:rsidR="00FC0780" w:rsidRDefault="001743E1" w:rsidP="001743E1">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C0780">
                        <w:rPr>
                          <w:rFonts w:ascii="Century Gothic" w:hAnsi="Century Gothic"/>
                          <w:sz w:val="20"/>
                          <w:szCs w:val="20"/>
                        </w:rPr>
                        <w:t xml:space="preserve">REPORTABLE:  </w:t>
                      </w:r>
                      <w:r w:rsidR="00986F65">
                        <w:rPr>
                          <w:rFonts w:ascii="Century Gothic" w:hAnsi="Century Gothic"/>
                          <w:sz w:val="20"/>
                          <w:szCs w:val="20"/>
                        </w:rPr>
                        <w:t>NO</w:t>
                      </w:r>
                    </w:p>
                    <w:p w14:paraId="3BA0F62E" w14:textId="1B259BEC" w:rsidR="00FC0780" w:rsidRDefault="001743E1" w:rsidP="001743E1">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C0780">
                        <w:rPr>
                          <w:rFonts w:ascii="Century Gothic" w:hAnsi="Century Gothic"/>
                          <w:sz w:val="20"/>
                          <w:szCs w:val="20"/>
                        </w:rPr>
                        <w:t xml:space="preserve">OF INTEREST TO OTHER JUDGES: </w:t>
                      </w:r>
                      <w:r w:rsidR="00986F65">
                        <w:rPr>
                          <w:rFonts w:ascii="Century Gothic" w:hAnsi="Century Gothic"/>
                          <w:sz w:val="20"/>
                          <w:szCs w:val="20"/>
                        </w:rPr>
                        <w:t>NO</w:t>
                      </w:r>
                    </w:p>
                    <w:p w14:paraId="29110CF7" w14:textId="29E39706" w:rsidR="00FC0780" w:rsidRDefault="001743E1" w:rsidP="001743E1">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C0780">
                        <w:rPr>
                          <w:rFonts w:ascii="Century Gothic" w:hAnsi="Century Gothic"/>
                          <w:sz w:val="20"/>
                          <w:szCs w:val="20"/>
                        </w:rPr>
                        <w:t>REVISED</w:t>
                      </w:r>
                      <w:r w:rsidR="00EF21BD">
                        <w:rPr>
                          <w:rFonts w:ascii="Century Gothic" w:hAnsi="Century Gothic"/>
                          <w:sz w:val="20"/>
                          <w:szCs w:val="20"/>
                        </w:rPr>
                        <w:t xml:space="preserve">: </w:t>
                      </w:r>
                      <w:r w:rsidR="00986F65">
                        <w:rPr>
                          <w:rFonts w:ascii="Century Gothic" w:hAnsi="Century Gothic"/>
                          <w:sz w:val="20"/>
                          <w:szCs w:val="20"/>
                        </w:rPr>
                        <w:t>NO</w:t>
                      </w:r>
                      <w:r w:rsidR="00692D17">
                        <w:rPr>
                          <w:rFonts w:ascii="Century Gothic" w:hAnsi="Century Gothic"/>
                          <w:sz w:val="20"/>
                          <w:szCs w:val="20"/>
                        </w:rPr>
                        <w:t xml:space="preserve"> </w:t>
                      </w:r>
                    </w:p>
                    <w:p w14:paraId="0E2B39CC" w14:textId="77777777" w:rsidR="00FC0780" w:rsidRDefault="00FC0780" w:rsidP="007D51E5">
                      <w:pPr>
                        <w:rPr>
                          <w:rFonts w:ascii="Century Gothic" w:hAnsi="Century Gothic"/>
                          <w:b/>
                          <w:sz w:val="18"/>
                          <w:szCs w:val="18"/>
                        </w:rPr>
                      </w:pPr>
                    </w:p>
                    <w:p w14:paraId="2B550753" w14:textId="49BE4FB0" w:rsidR="00FC0780" w:rsidRDefault="00FC0780" w:rsidP="007D51E5">
                      <w:pPr>
                        <w:rPr>
                          <w:rFonts w:ascii="Century Gothic" w:hAnsi="Century Gothic"/>
                          <w:b/>
                          <w:sz w:val="18"/>
                          <w:szCs w:val="18"/>
                        </w:rPr>
                      </w:pPr>
                      <w:r>
                        <w:rPr>
                          <w:rFonts w:ascii="Century Gothic" w:hAnsi="Century Gothic"/>
                          <w:b/>
                          <w:sz w:val="18"/>
                          <w:szCs w:val="18"/>
                        </w:rPr>
                        <w:t xml:space="preserve"> </w:t>
                      </w:r>
                      <w:r w:rsidR="00BD1B12">
                        <w:rPr>
                          <w:rFonts w:ascii="Century Gothic" w:hAnsi="Century Gothic"/>
                          <w:b/>
                          <w:sz w:val="18"/>
                          <w:szCs w:val="18"/>
                        </w:rPr>
                        <w:t xml:space="preserve"> </w:t>
                      </w:r>
                      <w:r w:rsidR="00BD1B12" w:rsidRPr="00FE508D">
                        <w:rPr>
                          <w:rFonts w:ascii="Century Gothic" w:hAnsi="Century Gothic"/>
                          <w:b/>
                          <w:sz w:val="18"/>
                          <w:szCs w:val="18"/>
                        </w:rPr>
                        <w:t>Signed: …………………</w:t>
                      </w:r>
                      <w:r w:rsidR="00BD1B12">
                        <w:rPr>
                          <w:rFonts w:ascii="Century Gothic" w:hAnsi="Century Gothic"/>
                          <w:b/>
                          <w:sz w:val="18"/>
                          <w:szCs w:val="18"/>
                        </w:rPr>
                        <w:t xml:space="preserve">…..     </w:t>
                      </w:r>
                      <w:r w:rsidR="00BD1B12" w:rsidRPr="00FE508D">
                        <w:rPr>
                          <w:rFonts w:ascii="Century Gothic" w:hAnsi="Century Gothic"/>
                          <w:b/>
                          <w:sz w:val="18"/>
                          <w:szCs w:val="18"/>
                        </w:rPr>
                        <w:t xml:space="preserve">Date: </w:t>
                      </w:r>
                      <w:r w:rsidR="00384795">
                        <w:rPr>
                          <w:rFonts w:ascii="Century Gothic" w:hAnsi="Century Gothic"/>
                          <w:b/>
                          <w:sz w:val="18"/>
                          <w:szCs w:val="18"/>
                        </w:rPr>
                        <w:t xml:space="preserve">11 December </w:t>
                      </w:r>
                      <w:r w:rsidR="00EF21BD">
                        <w:rPr>
                          <w:rFonts w:ascii="Century Gothic" w:hAnsi="Century Gothic"/>
                          <w:b/>
                          <w:sz w:val="18"/>
                          <w:szCs w:val="18"/>
                        </w:rPr>
                        <w:t>20</w:t>
                      </w:r>
                      <w:r w:rsidR="00E6611A">
                        <w:rPr>
                          <w:rFonts w:ascii="Century Gothic" w:hAnsi="Century Gothic"/>
                          <w:b/>
                          <w:sz w:val="18"/>
                          <w:szCs w:val="18"/>
                        </w:rPr>
                        <w:t>23</w:t>
                      </w:r>
                    </w:p>
                    <w:p w14:paraId="7806C82D" w14:textId="77777777" w:rsidR="00FC0780" w:rsidRDefault="00FC0780" w:rsidP="007D51E5">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w10:anchorlock/>
              </v:shape>
            </w:pict>
          </mc:Fallback>
        </mc:AlternateContent>
      </w:r>
    </w:p>
    <w:p w14:paraId="118BBB4F" w14:textId="7ACB67D8" w:rsidR="00FE6761" w:rsidRPr="00AB52EE" w:rsidRDefault="00FE6761" w:rsidP="00986F65">
      <w:pPr>
        <w:spacing w:line="240" w:lineRule="auto"/>
        <w:rPr>
          <w:rFonts w:ascii="Arial" w:hAnsi="Arial" w:cs="Arial"/>
          <w:b/>
          <w:sz w:val="24"/>
          <w:szCs w:val="24"/>
          <w:lang w:val="en-US" w:eastAsia="en-ZA"/>
        </w:rPr>
      </w:pPr>
    </w:p>
    <w:p w14:paraId="685BC0D4" w14:textId="6FCF8B5B" w:rsidR="00F95AEC" w:rsidRPr="00AB52EE" w:rsidRDefault="00F95AEC" w:rsidP="00C62EDB">
      <w:pPr>
        <w:spacing w:after="240" w:line="360" w:lineRule="auto"/>
        <w:rPr>
          <w:rFonts w:ascii="Arial" w:hAnsi="Arial" w:cs="Arial"/>
          <w:bCs/>
          <w:i/>
          <w:iCs/>
          <w:sz w:val="24"/>
          <w:szCs w:val="24"/>
          <w:lang w:val="en-US" w:eastAsia="en-ZA"/>
        </w:rPr>
      </w:pPr>
      <w:r w:rsidRPr="00AB52EE">
        <w:rPr>
          <w:rFonts w:ascii="Arial" w:hAnsi="Arial" w:cs="Arial"/>
          <w:bCs/>
          <w:sz w:val="24"/>
          <w:szCs w:val="24"/>
          <w:lang w:val="en-US" w:eastAsia="en-ZA"/>
        </w:rPr>
        <w:t xml:space="preserve">In </w:t>
      </w:r>
      <w:r w:rsidR="00752526" w:rsidRPr="00AB52EE">
        <w:rPr>
          <w:rFonts w:ascii="Arial" w:hAnsi="Arial" w:cs="Arial"/>
          <w:bCs/>
          <w:sz w:val="24"/>
          <w:szCs w:val="24"/>
          <w:lang w:val="en-US" w:eastAsia="en-ZA"/>
        </w:rPr>
        <w:t xml:space="preserve">the </w:t>
      </w:r>
      <w:r w:rsidR="00986F65">
        <w:rPr>
          <w:rFonts w:ascii="Arial" w:hAnsi="Arial" w:cs="Arial"/>
          <w:bCs/>
          <w:sz w:val="24"/>
          <w:szCs w:val="24"/>
          <w:lang w:val="en-US" w:eastAsia="en-ZA"/>
        </w:rPr>
        <w:t>matter between</w:t>
      </w:r>
      <w:r w:rsidRPr="00AB52EE">
        <w:rPr>
          <w:rFonts w:ascii="Arial" w:hAnsi="Arial" w:cs="Arial"/>
          <w:bCs/>
          <w:sz w:val="24"/>
          <w:szCs w:val="24"/>
          <w:lang w:val="en-US" w:eastAsia="en-ZA"/>
        </w:rPr>
        <w:t>:</w:t>
      </w:r>
      <w:r w:rsidRPr="00AB52EE">
        <w:rPr>
          <w:rFonts w:ascii="Arial" w:hAnsi="Arial" w:cs="Arial"/>
          <w:bCs/>
          <w:i/>
          <w:iCs/>
          <w:sz w:val="24"/>
          <w:szCs w:val="24"/>
          <w:lang w:val="en-US" w:eastAsia="en-ZA"/>
        </w:rPr>
        <w:t xml:space="preserve"> </w:t>
      </w:r>
    </w:p>
    <w:p w14:paraId="2912C12C" w14:textId="3D2ED3C7" w:rsidR="00F95AEC" w:rsidRPr="00AB52EE" w:rsidRDefault="00986F65" w:rsidP="00C62EDB">
      <w:pPr>
        <w:tabs>
          <w:tab w:val="right" w:pos="9356"/>
        </w:tabs>
        <w:spacing w:after="240" w:line="360" w:lineRule="auto"/>
        <w:rPr>
          <w:rFonts w:ascii="Arial" w:hAnsi="Arial" w:cs="Arial"/>
          <w:b/>
          <w:sz w:val="24"/>
          <w:szCs w:val="24"/>
          <w:lang w:val="en-US" w:eastAsia="en-ZA"/>
        </w:rPr>
      </w:pPr>
      <w:r>
        <w:rPr>
          <w:rFonts w:ascii="Arial" w:hAnsi="Arial" w:cs="Arial"/>
          <w:b/>
          <w:sz w:val="24"/>
          <w:szCs w:val="24"/>
          <w:lang w:val="en-US" w:eastAsia="en-ZA"/>
        </w:rPr>
        <w:t>KILLARNEY COUNTRY CLUB</w:t>
      </w:r>
      <w:r w:rsidR="00F95AEC" w:rsidRPr="00AB52EE">
        <w:rPr>
          <w:rFonts w:ascii="Arial" w:hAnsi="Arial" w:cs="Arial"/>
          <w:b/>
          <w:sz w:val="24"/>
          <w:szCs w:val="24"/>
          <w:lang w:val="en-US" w:eastAsia="en-ZA"/>
        </w:rPr>
        <w:tab/>
      </w:r>
      <w:r w:rsidR="00F95AEC" w:rsidRPr="00AB52EE">
        <w:rPr>
          <w:rFonts w:ascii="Arial" w:hAnsi="Arial" w:cs="Arial"/>
          <w:bCs/>
          <w:sz w:val="24"/>
          <w:szCs w:val="24"/>
          <w:lang w:val="en-US" w:eastAsia="en-ZA"/>
        </w:rPr>
        <w:t>Applicant</w:t>
      </w:r>
    </w:p>
    <w:p w14:paraId="02D57254" w14:textId="3E4C1560" w:rsidR="00752526" w:rsidRPr="00AB52EE" w:rsidRDefault="00986F65" w:rsidP="00C62EDB">
      <w:pPr>
        <w:spacing w:after="240" w:line="360" w:lineRule="auto"/>
        <w:rPr>
          <w:rFonts w:ascii="Arial" w:hAnsi="Arial" w:cs="Arial"/>
          <w:bCs/>
          <w:sz w:val="24"/>
          <w:szCs w:val="24"/>
          <w:lang w:val="en-US" w:eastAsia="en-ZA"/>
        </w:rPr>
      </w:pPr>
      <w:r>
        <w:rPr>
          <w:rFonts w:ascii="Arial" w:hAnsi="Arial" w:cs="Arial"/>
          <w:bCs/>
          <w:sz w:val="24"/>
          <w:szCs w:val="24"/>
          <w:lang w:val="en-US" w:eastAsia="en-ZA"/>
        </w:rPr>
        <w:t>and</w:t>
      </w:r>
    </w:p>
    <w:p w14:paraId="212A0A7B" w14:textId="02269232" w:rsidR="00752526" w:rsidRPr="00AB52EE" w:rsidRDefault="00986F65" w:rsidP="00633542">
      <w:pPr>
        <w:pStyle w:val="NoSpacing"/>
        <w:tabs>
          <w:tab w:val="left" w:pos="720"/>
          <w:tab w:val="left" w:pos="1440"/>
          <w:tab w:val="left" w:pos="2160"/>
          <w:tab w:val="right" w:pos="9356"/>
        </w:tabs>
        <w:spacing w:after="240" w:line="360" w:lineRule="auto"/>
        <w:rPr>
          <w:rFonts w:ascii="Arial" w:hAnsi="Arial"/>
          <w:b/>
          <w:sz w:val="24"/>
          <w:szCs w:val="24"/>
        </w:rPr>
      </w:pPr>
      <w:r>
        <w:rPr>
          <w:rFonts w:ascii="Arial" w:eastAsia="Times New Roman" w:hAnsi="Arial"/>
          <w:b/>
          <w:sz w:val="24"/>
          <w:szCs w:val="24"/>
          <w:lang w:val="en-GB" w:eastAsia="en-GB"/>
        </w:rPr>
        <w:t xml:space="preserve">CHANCE AND LUNA </w:t>
      </w:r>
      <w:r w:rsidR="00752526" w:rsidRPr="00AB52EE">
        <w:rPr>
          <w:rFonts w:ascii="Arial" w:eastAsia="Times New Roman" w:hAnsi="Arial"/>
          <w:b/>
          <w:sz w:val="24"/>
          <w:szCs w:val="24"/>
          <w:lang w:val="en-GB" w:eastAsia="en-GB"/>
        </w:rPr>
        <w:t>(PTY) LTD</w:t>
      </w:r>
      <w:r w:rsidR="00633542">
        <w:rPr>
          <w:rFonts w:ascii="Arial" w:eastAsia="Times New Roman" w:hAnsi="Arial"/>
          <w:b/>
          <w:sz w:val="24"/>
          <w:szCs w:val="24"/>
          <w:lang w:val="en-GB" w:eastAsia="en-GB"/>
        </w:rPr>
        <w:t xml:space="preserve"> </w:t>
      </w:r>
      <w:r w:rsidR="00633542" w:rsidRPr="00633542">
        <w:rPr>
          <w:rFonts w:ascii="Arial" w:eastAsia="Times New Roman" w:hAnsi="Arial"/>
          <w:bCs/>
          <w:sz w:val="24"/>
          <w:szCs w:val="24"/>
          <w:lang w:val="en-GB" w:eastAsia="en-GB"/>
        </w:rPr>
        <w:t xml:space="preserve">trading as </w:t>
      </w:r>
      <w:r w:rsidR="00633542" w:rsidRPr="00F42884">
        <w:rPr>
          <w:rFonts w:ascii="Arial" w:eastAsia="Times New Roman" w:hAnsi="Arial"/>
          <w:bCs/>
          <w:sz w:val="24"/>
          <w:szCs w:val="24"/>
          <w:lang w:eastAsia="en-GB"/>
        </w:rPr>
        <w:t xml:space="preserve">La Vie </w:t>
      </w:r>
      <w:proofErr w:type="spellStart"/>
      <w:r w:rsidR="00633542" w:rsidRPr="00F42884">
        <w:rPr>
          <w:rFonts w:ascii="Arial" w:eastAsia="Times New Roman" w:hAnsi="Arial"/>
          <w:bCs/>
          <w:sz w:val="24"/>
          <w:szCs w:val="24"/>
          <w:lang w:eastAsia="en-GB"/>
        </w:rPr>
        <w:t>en</w:t>
      </w:r>
      <w:proofErr w:type="spellEnd"/>
      <w:r w:rsidR="00633542" w:rsidRPr="00F42884">
        <w:rPr>
          <w:rFonts w:ascii="Arial" w:eastAsia="Times New Roman" w:hAnsi="Arial"/>
          <w:bCs/>
          <w:sz w:val="24"/>
          <w:szCs w:val="24"/>
          <w:lang w:eastAsia="en-GB"/>
        </w:rPr>
        <w:t xml:space="preserve"> Rose</w:t>
      </w:r>
      <w:r w:rsidR="00752526" w:rsidRPr="00AB52EE">
        <w:rPr>
          <w:rFonts w:ascii="Arial" w:hAnsi="Arial"/>
          <w:b/>
          <w:sz w:val="24"/>
          <w:szCs w:val="24"/>
        </w:rPr>
        <w:tab/>
      </w:r>
      <w:r w:rsidR="00752526" w:rsidRPr="00AB52EE">
        <w:rPr>
          <w:rFonts w:ascii="Arial" w:hAnsi="Arial"/>
          <w:bCs/>
          <w:sz w:val="24"/>
          <w:szCs w:val="24"/>
        </w:rPr>
        <w:t>First</w:t>
      </w:r>
      <w:r w:rsidR="00752526" w:rsidRPr="00AB52EE">
        <w:rPr>
          <w:rFonts w:ascii="Arial" w:hAnsi="Arial"/>
          <w:b/>
          <w:sz w:val="24"/>
          <w:szCs w:val="24"/>
        </w:rPr>
        <w:t xml:space="preserve"> </w:t>
      </w:r>
      <w:r w:rsidR="00752526" w:rsidRPr="00AB52EE">
        <w:rPr>
          <w:rFonts w:ascii="Arial" w:hAnsi="Arial"/>
          <w:bCs/>
          <w:sz w:val="24"/>
          <w:szCs w:val="24"/>
        </w:rPr>
        <w:t>Respondent</w:t>
      </w:r>
    </w:p>
    <w:p w14:paraId="1FF731DE" w14:textId="607CB3DF" w:rsidR="00752526" w:rsidRDefault="00986F65" w:rsidP="00C62EDB">
      <w:pPr>
        <w:pStyle w:val="NoSpacing"/>
        <w:tabs>
          <w:tab w:val="left" w:pos="720"/>
          <w:tab w:val="left" w:pos="1440"/>
          <w:tab w:val="left" w:pos="2160"/>
          <w:tab w:val="right" w:pos="9356"/>
        </w:tabs>
        <w:spacing w:after="240" w:line="360" w:lineRule="auto"/>
        <w:rPr>
          <w:rFonts w:ascii="Arial" w:hAnsi="Arial"/>
          <w:bCs/>
          <w:sz w:val="24"/>
          <w:szCs w:val="24"/>
        </w:rPr>
      </w:pPr>
      <w:r>
        <w:rPr>
          <w:rFonts w:ascii="Arial" w:eastAsia="Times New Roman" w:hAnsi="Arial"/>
          <w:b/>
          <w:sz w:val="24"/>
          <w:szCs w:val="24"/>
          <w:u w:val="single"/>
          <w:lang w:val="en-GB" w:eastAsia="en-GB"/>
        </w:rPr>
        <w:t>MULLER</w:t>
      </w:r>
      <w:r w:rsidR="00752526" w:rsidRPr="00AB52EE">
        <w:rPr>
          <w:rFonts w:ascii="Arial" w:eastAsia="Times New Roman" w:hAnsi="Arial"/>
          <w:b/>
          <w:sz w:val="24"/>
          <w:szCs w:val="24"/>
          <w:lang w:val="en-GB" w:eastAsia="en-GB"/>
        </w:rPr>
        <w:t xml:space="preserve">, </w:t>
      </w:r>
      <w:r>
        <w:rPr>
          <w:rFonts w:ascii="Arial" w:eastAsia="Times New Roman" w:hAnsi="Arial"/>
          <w:b/>
          <w:sz w:val="24"/>
          <w:szCs w:val="24"/>
          <w:lang w:val="en-GB" w:eastAsia="en-GB"/>
        </w:rPr>
        <w:t>RONY</w:t>
      </w:r>
      <w:r>
        <w:rPr>
          <w:rFonts w:ascii="Arial" w:eastAsia="Times New Roman" w:hAnsi="Arial"/>
          <w:b/>
          <w:sz w:val="24"/>
          <w:szCs w:val="24"/>
          <w:lang w:val="en-GB" w:eastAsia="en-GB"/>
        </w:rPr>
        <w:tab/>
      </w:r>
      <w:r w:rsidR="00752526" w:rsidRPr="00AB52EE">
        <w:rPr>
          <w:rFonts w:ascii="Arial" w:hAnsi="Arial"/>
          <w:b/>
          <w:sz w:val="24"/>
          <w:szCs w:val="24"/>
        </w:rPr>
        <w:tab/>
      </w:r>
      <w:r w:rsidR="00752526" w:rsidRPr="00AB52EE">
        <w:rPr>
          <w:rFonts w:ascii="Arial" w:hAnsi="Arial"/>
          <w:bCs/>
          <w:sz w:val="24"/>
          <w:szCs w:val="24"/>
        </w:rPr>
        <w:t>Second</w:t>
      </w:r>
      <w:r w:rsidR="00752526" w:rsidRPr="00AB52EE">
        <w:rPr>
          <w:rFonts w:ascii="Arial" w:hAnsi="Arial"/>
          <w:b/>
          <w:sz w:val="24"/>
          <w:szCs w:val="24"/>
        </w:rPr>
        <w:t xml:space="preserve"> </w:t>
      </w:r>
      <w:r w:rsidR="00752526" w:rsidRPr="00AB52EE">
        <w:rPr>
          <w:rFonts w:ascii="Arial" w:hAnsi="Arial"/>
          <w:bCs/>
          <w:sz w:val="24"/>
          <w:szCs w:val="24"/>
        </w:rPr>
        <w:t>Respondent</w:t>
      </w:r>
    </w:p>
    <w:p w14:paraId="0D4A2249" w14:textId="72C41B0E" w:rsidR="00986F65" w:rsidRPr="00AB52EE" w:rsidRDefault="00986F65" w:rsidP="00C62EDB">
      <w:pPr>
        <w:pStyle w:val="NoSpacing"/>
        <w:tabs>
          <w:tab w:val="left" w:pos="720"/>
          <w:tab w:val="left" w:pos="1440"/>
          <w:tab w:val="left" w:pos="2160"/>
          <w:tab w:val="right" w:pos="9356"/>
        </w:tabs>
        <w:spacing w:after="240" w:line="360" w:lineRule="auto"/>
        <w:rPr>
          <w:rFonts w:ascii="Arial" w:hAnsi="Arial"/>
          <w:b/>
          <w:sz w:val="24"/>
          <w:szCs w:val="24"/>
        </w:rPr>
      </w:pPr>
      <w:r>
        <w:rPr>
          <w:rFonts w:ascii="Arial" w:eastAsia="Times New Roman" w:hAnsi="Arial"/>
          <w:b/>
          <w:sz w:val="24"/>
          <w:szCs w:val="24"/>
          <w:u w:val="single"/>
          <w:lang w:val="en-GB" w:eastAsia="en-GB"/>
        </w:rPr>
        <w:t>EZERZER</w:t>
      </w:r>
      <w:r w:rsidRPr="00AB52EE">
        <w:rPr>
          <w:rFonts w:ascii="Arial" w:eastAsia="Times New Roman" w:hAnsi="Arial"/>
          <w:b/>
          <w:sz w:val="24"/>
          <w:szCs w:val="24"/>
          <w:lang w:val="en-GB" w:eastAsia="en-GB"/>
        </w:rPr>
        <w:t xml:space="preserve">, </w:t>
      </w:r>
      <w:r>
        <w:rPr>
          <w:rFonts w:ascii="Arial" w:eastAsia="Times New Roman" w:hAnsi="Arial"/>
          <w:b/>
          <w:sz w:val="24"/>
          <w:szCs w:val="24"/>
          <w:lang w:val="en-GB" w:eastAsia="en-GB"/>
        </w:rPr>
        <w:t>MOMY</w:t>
      </w:r>
      <w:r>
        <w:rPr>
          <w:rFonts w:ascii="Arial" w:eastAsia="Times New Roman" w:hAnsi="Arial"/>
          <w:b/>
          <w:sz w:val="24"/>
          <w:szCs w:val="24"/>
          <w:lang w:val="en-GB" w:eastAsia="en-GB"/>
        </w:rPr>
        <w:tab/>
      </w:r>
      <w:r w:rsidRPr="00AB52EE">
        <w:rPr>
          <w:rFonts w:ascii="Arial" w:hAnsi="Arial"/>
          <w:b/>
          <w:sz w:val="24"/>
          <w:szCs w:val="24"/>
        </w:rPr>
        <w:tab/>
      </w:r>
      <w:r>
        <w:rPr>
          <w:rFonts w:ascii="Arial" w:hAnsi="Arial"/>
          <w:bCs/>
          <w:sz w:val="24"/>
          <w:szCs w:val="24"/>
        </w:rPr>
        <w:t xml:space="preserve">Third </w:t>
      </w:r>
      <w:r w:rsidRPr="00AB52EE">
        <w:rPr>
          <w:rFonts w:ascii="Arial" w:hAnsi="Arial"/>
          <w:bCs/>
          <w:sz w:val="24"/>
          <w:szCs w:val="24"/>
        </w:rPr>
        <w:t>Respondent</w:t>
      </w:r>
    </w:p>
    <w:p w14:paraId="7011FA3F" w14:textId="19665418" w:rsidR="00986F65" w:rsidRPr="00AB52EE" w:rsidRDefault="00986F65" w:rsidP="00C62EDB">
      <w:pPr>
        <w:pStyle w:val="NoSpacing"/>
        <w:tabs>
          <w:tab w:val="left" w:pos="720"/>
          <w:tab w:val="left" w:pos="1440"/>
          <w:tab w:val="left" w:pos="2160"/>
          <w:tab w:val="right" w:pos="9356"/>
        </w:tabs>
        <w:spacing w:after="240" w:line="360" w:lineRule="auto"/>
        <w:rPr>
          <w:rFonts w:ascii="Arial" w:hAnsi="Arial"/>
          <w:b/>
          <w:sz w:val="24"/>
          <w:szCs w:val="24"/>
        </w:rPr>
      </w:pPr>
      <w:r>
        <w:rPr>
          <w:rFonts w:ascii="Arial" w:eastAsia="Times New Roman" w:hAnsi="Arial"/>
          <w:b/>
          <w:sz w:val="24"/>
          <w:szCs w:val="24"/>
          <w:u w:val="single"/>
          <w:lang w:val="en-GB" w:eastAsia="en-GB"/>
        </w:rPr>
        <w:t>EZERZER</w:t>
      </w:r>
      <w:r w:rsidRPr="00AB52EE">
        <w:rPr>
          <w:rFonts w:ascii="Arial" w:eastAsia="Times New Roman" w:hAnsi="Arial"/>
          <w:b/>
          <w:sz w:val="24"/>
          <w:szCs w:val="24"/>
          <w:lang w:val="en-GB" w:eastAsia="en-GB"/>
        </w:rPr>
        <w:t xml:space="preserve">, </w:t>
      </w:r>
      <w:r>
        <w:rPr>
          <w:rFonts w:ascii="Arial" w:eastAsia="Times New Roman" w:hAnsi="Arial"/>
          <w:b/>
          <w:sz w:val="24"/>
          <w:szCs w:val="24"/>
          <w:lang w:val="en-GB" w:eastAsia="en-GB"/>
        </w:rPr>
        <w:t>LIOR</w:t>
      </w:r>
      <w:r>
        <w:rPr>
          <w:rFonts w:ascii="Arial" w:eastAsia="Times New Roman" w:hAnsi="Arial"/>
          <w:b/>
          <w:sz w:val="24"/>
          <w:szCs w:val="24"/>
          <w:lang w:val="en-GB" w:eastAsia="en-GB"/>
        </w:rPr>
        <w:tab/>
      </w:r>
      <w:r w:rsidRPr="00AB52EE">
        <w:rPr>
          <w:rFonts w:ascii="Arial" w:hAnsi="Arial"/>
          <w:b/>
          <w:sz w:val="24"/>
          <w:szCs w:val="24"/>
        </w:rPr>
        <w:tab/>
      </w:r>
      <w:r>
        <w:rPr>
          <w:rFonts w:ascii="Arial" w:hAnsi="Arial"/>
          <w:bCs/>
          <w:sz w:val="24"/>
          <w:szCs w:val="24"/>
        </w:rPr>
        <w:t xml:space="preserve">Fourth </w:t>
      </w:r>
      <w:r w:rsidRPr="00AB52EE">
        <w:rPr>
          <w:rFonts w:ascii="Arial" w:hAnsi="Arial"/>
          <w:bCs/>
          <w:sz w:val="24"/>
          <w:szCs w:val="24"/>
        </w:rPr>
        <w:t>Respondent</w:t>
      </w:r>
    </w:p>
    <w:p w14:paraId="5D9F1006" w14:textId="0E86F620" w:rsidR="00986F65" w:rsidRPr="00AB52EE" w:rsidRDefault="00986F65" w:rsidP="00C62EDB">
      <w:pPr>
        <w:pStyle w:val="NoSpacing"/>
        <w:tabs>
          <w:tab w:val="left" w:pos="720"/>
          <w:tab w:val="left" w:pos="1440"/>
          <w:tab w:val="left" w:pos="2160"/>
          <w:tab w:val="right" w:pos="9356"/>
        </w:tabs>
        <w:spacing w:line="360" w:lineRule="auto"/>
        <w:rPr>
          <w:rFonts w:ascii="Arial" w:hAnsi="Arial"/>
          <w:b/>
          <w:sz w:val="24"/>
          <w:szCs w:val="24"/>
        </w:rPr>
      </w:pPr>
      <w:r>
        <w:rPr>
          <w:rFonts w:ascii="Arial" w:eastAsia="Times New Roman" w:hAnsi="Arial"/>
          <w:b/>
          <w:sz w:val="24"/>
          <w:szCs w:val="24"/>
          <w:lang w:val="en-GB" w:eastAsia="en-GB"/>
        </w:rPr>
        <w:t>CITY OF JOHANNESBURG PROPERTY</w:t>
      </w:r>
      <w:r w:rsidRPr="00AB52EE">
        <w:rPr>
          <w:rFonts w:ascii="Arial" w:hAnsi="Arial"/>
          <w:b/>
          <w:sz w:val="24"/>
          <w:szCs w:val="24"/>
        </w:rPr>
        <w:tab/>
      </w:r>
      <w:r>
        <w:rPr>
          <w:rFonts w:ascii="Arial" w:hAnsi="Arial"/>
          <w:bCs/>
          <w:sz w:val="24"/>
          <w:szCs w:val="24"/>
        </w:rPr>
        <w:t xml:space="preserve">Fifth </w:t>
      </w:r>
      <w:r w:rsidRPr="00AB52EE">
        <w:rPr>
          <w:rFonts w:ascii="Arial" w:hAnsi="Arial"/>
          <w:bCs/>
          <w:sz w:val="24"/>
          <w:szCs w:val="24"/>
        </w:rPr>
        <w:t>Respondent</w:t>
      </w:r>
    </w:p>
    <w:p w14:paraId="252B6839" w14:textId="240A58AE" w:rsidR="00986F65" w:rsidRDefault="00986F65" w:rsidP="00C62EDB">
      <w:pPr>
        <w:pStyle w:val="NoSpacing"/>
        <w:tabs>
          <w:tab w:val="left" w:pos="720"/>
          <w:tab w:val="left" w:pos="1440"/>
          <w:tab w:val="left" w:pos="2160"/>
          <w:tab w:val="right" w:pos="9356"/>
        </w:tabs>
        <w:spacing w:after="240" w:line="360" w:lineRule="auto"/>
        <w:rPr>
          <w:rFonts w:ascii="Arial" w:hAnsi="Arial"/>
          <w:b/>
          <w:sz w:val="24"/>
          <w:szCs w:val="24"/>
        </w:rPr>
      </w:pPr>
      <w:r>
        <w:rPr>
          <w:rFonts w:ascii="Arial" w:hAnsi="Arial"/>
          <w:b/>
          <w:sz w:val="24"/>
          <w:szCs w:val="24"/>
        </w:rPr>
        <w:t>COMPANY SOC LTD</w:t>
      </w:r>
    </w:p>
    <w:p w14:paraId="0FAD0F0A" w14:textId="62E5C4FE" w:rsidR="009109AB" w:rsidRPr="00AB52EE" w:rsidRDefault="009109AB" w:rsidP="009109AB">
      <w:pPr>
        <w:pStyle w:val="NoSpacing"/>
        <w:tabs>
          <w:tab w:val="left" w:pos="720"/>
          <w:tab w:val="left" w:pos="1440"/>
          <w:tab w:val="left" w:pos="2160"/>
          <w:tab w:val="right" w:pos="9356"/>
        </w:tabs>
        <w:spacing w:line="360" w:lineRule="auto"/>
        <w:rPr>
          <w:rFonts w:ascii="Arial" w:hAnsi="Arial"/>
          <w:b/>
          <w:sz w:val="24"/>
          <w:szCs w:val="24"/>
        </w:rPr>
      </w:pPr>
      <w:r>
        <w:rPr>
          <w:rFonts w:ascii="Arial" w:eastAsia="Times New Roman" w:hAnsi="Arial"/>
          <w:b/>
          <w:sz w:val="24"/>
          <w:szCs w:val="24"/>
          <w:lang w:val="en-GB" w:eastAsia="en-GB"/>
        </w:rPr>
        <w:t xml:space="preserve">CITY OF JOHANNESBURG METROPOLITAN </w:t>
      </w:r>
      <w:r w:rsidRPr="00AB52EE">
        <w:rPr>
          <w:rFonts w:ascii="Arial" w:hAnsi="Arial"/>
          <w:b/>
          <w:sz w:val="24"/>
          <w:szCs w:val="24"/>
        </w:rPr>
        <w:tab/>
      </w:r>
      <w:r>
        <w:rPr>
          <w:rFonts w:ascii="Arial" w:hAnsi="Arial"/>
          <w:bCs/>
          <w:sz w:val="24"/>
          <w:szCs w:val="24"/>
        </w:rPr>
        <w:t xml:space="preserve">Sixth </w:t>
      </w:r>
      <w:r w:rsidRPr="00AB52EE">
        <w:rPr>
          <w:rFonts w:ascii="Arial" w:hAnsi="Arial"/>
          <w:bCs/>
          <w:sz w:val="24"/>
          <w:szCs w:val="24"/>
        </w:rPr>
        <w:t>Respondent</w:t>
      </w:r>
    </w:p>
    <w:p w14:paraId="16427C73" w14:textId="23C31FEA" w:rsidR="009109AB" w:rsidRPr="00AB52EE" w:rsidRDefault="009109AB" w:rsidP="009109AB">
      <w:pPr>
        <w:pStyle w:val="NoSpacing"/>
        <w:tabs>
          <w:tab w:val="left" w:pos="720"/>
          <w:tab w:val="left" w:pos="1440"/>
          <w:tab w:val="left" w:pos="2160"/>
          <w:tab w:val="right" w:pos="9356"/>
        </w:tabs>
        <w:spacing w:line="360" w:lineRule="auto"/>
        <w:rPr>
          <w:rFonts w:ascii="Arial" w:hAnsi="Arial"/>
          <w:b/>
          <w:sz w:val="24"/>
          <w:szCs w:val="24"/>
        </w:rPr>
      </w:pPr>
      <w:r>
        <w:rPr>
          <w:rFonts w:ascii="Arial" w:hAnsi="Arial"/>
          <w:b/>
          <w:sz w:val="24"/>
          <w:szCs w:val="24"/>
        </w:rPr>
        <w:t>MUNICIPALITY</w:t>
      </w:r>
    </w:p>
    <w:p w14:paraId="6B75B693" w14:textId="007E5282" w:rsidR="00B928FE" w:rsidRPr="00AB52EE" w:rsidRDefault="00B928FE" w:rsidP="00C62EDB">
      <w:pPr>
        <w:autoSpaceDE w:val="0"/>
        <w:autoSpaceDN w:val="0"/>
        <w:adjustRightInd w:val="0"/>
        <w:spacing w:after="240" w:line="360" w:lineRule="auto"/>
        <w:rPr>
          <w:rFonts w:ascii="Arial" w:hAnsi="Arial" w:cs="Arial"/>
          <w:b/>
          <w:bCs/>
          <w:sz w:val="24"/>
          <w:szCs w:val="24"/>
        </w:rPr>
      </w:pPr>
      <w:r w:rsidRPr="00AB52EE">
        <w:rPr>
          <w:rFonts w:ascii="Arial" w:hAnsi="Arial" w:cs="Arial"/>
          <w:b/>
          <w:bCs/>
          <w:sz w:val="24"/>
          <w:szCs w:val="24"/>
        </w:rPr>
        <w:t>________________________________________________________________</w:t>
      </w:r>
      <w:r w:rsidR="00A81979" w:rsidRPr="00AB52EE">
        <w:rPr>
          <w:rFonts w:ascii="Arial" w:hAnsi="Arial" w:cs="Arial"/>
          <w:b/>
          <w:bCs/>
          <w:sz w:val="24"/>
          <w:szCs w:val="24"/>
        </w:rPr>
        <w:t>___</w:t>
      </w:r>
    </w:p>
    <w:p w14:paraId="1DEA2455" w14:textId="618E33A6" w:rsidR="00D202C2" w:rsidRPr="00AB52EE" w:rsidRDefault="00F95AEC" w:rsidP="00C62EDB">
      <w:pPr>
        <w:autoSpaceDE w:val="0"/>
        <w:autoSpaceDN w:val="0"/>
        <w:adjustRightInd w:val="0"/>
        <w:spacing w:after="240" w:line="360" w:lineRule="auto"/>
        <w:jc w:val="center"/>
        <w:rPr>
          <w:rFonts w:ascii="Arial" w:hAnsi="Arial" w:cs="Arial"/>
          <w:b/>
          <w:bCs/>
          <w:sz w:val="24"/>
          <w:szCs w:val="24"/>
        </w:rPr>
      </w:pPr>
      <w:r w:rsidRPr="00AB52EE">
        <w:rPr>
          <w:rFonts w:ascii="Arial" w:hAnsi="Arial" w:cs="Arial"/>
          <w:b/>
          <w:bCs/>
          <w:sz w:val="24"/>
          <w:szCs w:val="24"/>
        </w:rPr>
        <w:lastRenderedPageBreak/>
        <w:t>JUDGMENT</w:t>
      </w:r>
    </w:p>
    <w:p w14:paraId="3A809F54" w14:textId="7C178541" w:rsidR="00B928FE" w:rsidRPr="00AB52EE" w:rsidRDefault="00B928FE" w:rsidP="00C62EDB">
      <w:pPr>
        <w:autoSpaceDE w:val="0"/>
        <w:autoSpaceDN w:val="0"/>
        <w:adjustRightInd w:val="0"/>
        <w:spacing w:after="240" w:line="360" w:lineRule="auto"/>
        <w:rPr>
          <w:rFonts w:ascii="Arial" w:hAnsi="Arial" w:cs="Arial"/>
          <w:b/>
          <w:bCs/>
          <w:sz w:val="24"/>
          <w:szCs w:val="24"/>
        </w:rPr>
      </w:pPr>
      <w:r w:rsidRPr="00AB52EE">
        <w:rPr>
          <w:rFonts w:ascii="Arial" w:hAnsi="Arial" w:cs="Arial"/>
          <w:b/>
          <w:bCs/>
          <w:sz w:val="24"/>
          <w:szCs w:val="24"/>
        </w:rPr>
        <w:t>________________________________________________________________</w:t>
      </w:r>
      <w:r w:rsidR="00A81979" w:rsidRPr="00AB52EE">
        <w:rPr>
          <w:rFonts w:ascii="Arial" w:hAnsi="Arial" w:cs="Arial"/>
          <w:b/>
          <w:bCs/>
          <w:sz w:val="24"/>
          <w:szCs w:val="24"/>
        </w:rPr>
        <w:t>___</w:t>
      </w:r>
    </w:p>
    <w:p w14:paraId="0355D1AE" w14:textId="3A8677A5" w:rsidR="00EF21BD" w:rsidRPr="00B21782" w:rsidRDefault="00EF21BD" w:rsidP="00B928FE">
      <w:pPr>
        <w:tabs>
          <w:tab w:val="left" w:pos="0"/>
          <w:tab w:val="right" w:pos="9070"/>
        </w:tabs>
        <w:autoSpaceDE w:val="0"/>
        <w:autoSpaceDN w:val="0"/>
        <w:adjustRightInd w:val="0"/>
        <w:spacing w:before="240" w:after="120" w:line="360" w:lineRule="auto"/>
        <w:rPr>
          <w:rFonts w:ascii="Arial" w:hAnsi="Arial" w:cs="Arial"/>
          <w:b/>
          <w:sz w:val="24"/>
          <w:szCs w:val="24"/>
        </w:rPr>
      </w:pPr>
      <w:r w:rsidRPr="00B21782">
        <w:rPr>
          <w:rFonts w:ascii="Arial" w:hAnsi="Arial" w:cs="Arial"/>
          <w:b/>
          <w:sz w:val="24"/>
          <w:szCs w:val="24"/>
        </w:rPr>
        <w:t xml:space="preserve">This judgment </w:t>
      </w:r>
      <w:r w:rsidR="00B21782" w:rsidRPr="00B21782">
        <w:rPr>
          <w:rFonts w:ascii="Arial" w:hAnsi="Arial" w:cs="Arial"/>
          <w:b/>
          <w:sz w:val="24"/>
          <w:szCs w:val="24"/>
        </w:rPr>
        <w:t xml:space="preserve">is </w:t>
      </w:r>
      <w:r w:rsidRPr="00B21782">
        <w:rPr>
          <w:rFonts w:ascii="Arial" w:hAnsi="Arial" w:cs="Arial"/>
          <w:b/>
          <w:sz w:val="24"/>
          <w:szCs w:val="24"/>
        </w:rPr>
        <w:t xml:space="preserve">handed down electronically by circulation to the parties’ legal representatives by e-mail and publication on CaseLines. </w:t>
      </w:r>
    </w:p>
    <w:p w14:paraId="29248DCA" w14:textId="19626A76" w:rsidR="005168CF" w:rsidRDefault="005168CF">
      <w:pPr>
        <w:spacing w:after="160" w:line="259" w:lineRule="auto"/>
        <w:jc w:val="left"/>
        <w:rPr>
          <w:rFonts w:ascii="Arial" w:hAnsi="Arial" w:cs="Arial"/>
          <w:b/>
          <w:sz w:val="24"/>
          <w:szCs w:val="24"/>
        </w:rPr>
      </w:pPr>
    </w:p>
    <w:p w14:paraId="1F44E0BD" w14:textId="0258F10F" w:rsidR="00EF21BD" w:rsidRPr="00AB52EE" w:rsidRDefault="005168CF" w:rsidP="00EF21BD">
      <w:pPr>
        <w:tabs>
          <w:tab w:val="left" w:pos="0"/>
          <w:tab w:val="right" w:pos="9070"/>
        </w:tabs>
        <w:autoSpaceDE w:val="0"/>
        <w:autoSpaceDN w:val="0"/>
        <w:adjustRightInd w:val="0"/>
        <w:spacing w:before="240" w:after="120" w:line="360" w:lineRule="auto"/>
        <w:rPr>
          <w:rFonts w:ascii="Arial" w:hAnsi="Arial" w:cs="Arial"/>
          <w:b/>
          <w:sz w:val="24"/>
          <w:szCs w:val="24"/>
        </w:rPr>
      </w:pPr>
      <w:r>
        <w:rPr>
          <w:rFonts w:ascii="Arial" w:hAnsi="Arial" w:cs="Arial"/>
          <w:b/>
          <w:sz w:val="24"/>
          <w:szCs w:val="24"/>
        </w:rPr>
        <w:t>MOULTRIE AJ</w:t>
      </w:r>
    </w:p>
    <w:p w14:paraId="092A1060" w14:textId="36F681F0" w:rsidR="00633542" w:rsidRDefault="001743E1" w:rsidP="001743E1">
      <w:pPr>
        <w:pStyle w:val="LC1"/>
        <w:numPr>
          <w:ilvl w:val="0"/>
          <w:numId w:val="0"/>
        </w:numPr>
        <w:ind w:left="720" w:hanging="720"/>
      </w:pPr>
      <w:r>
        <w:rPr>
          <w:rFonts w:cs="Arial"/>
          <w:szCs w:val="24"/>
        </w:rPr>
        <w:t>[1]</w:t>
      </w:r>
      <w:r>
        <w:rPr>
          <w:rFonts w:cs="Arial"/>
          <w:szCs w:val="24"/>
        </w:rPr>
        <w:tab/>
      </w:r>
      <w:r w:rsidR="00B928E7">
        <w:t>In the first</w:t>
      </w:r>
      <w:r w:rsidR="00AC2015">
        <w:t xml:space="preserve"> of two opposed motions argued before me</w:t>
      </w:r>
      <w:r w:rsidR="00460D24">
        <w:t xml:space="preserve"> in the week of 13 November 2023,</w:t>
      </w:r>
      <w:r w:rsidR="00B928E7">
        <w:t xml:space="preserve"> Killarney Country Club seeks the eviction of the first to fourth respondents from premises </w:t>
      </w:r>
      <w:r w:rsidR="00D75E7E">
        <w:t>at which they are operating a restaurant known as “</w:t>
      </w:r>
      <w:r w:rsidR="00D75E7E" w:rsidRPr="00F42884">
        <w:t xml:space="preserve">La Vie </w:t>
      </w:r>
      <w:proofErr w:type="spellStart"/>
      <w:r w:rsidR="00D75E7E" w:rsidRPr="00F42884">
        <w:t>en</w:t>
      </w:r>
      <w:proofErr w:type="spellEnd"/>
      <w:r w:rsidR="00D75E7E" w:rsidRPr="00F42884">
        <w:t xml:space="preserve"> Rose</w:t>
      </w:r>
      <w:r w:rsidR="00D75E7E">
        <w:t xml:space="preserve">” </w:t>
      </w:r>
      <w:r w:rsidR="00342479">
        <w:t xml:space="preserve">on the property that </w:t>
      </w:r>
      <w:r w:rsidR="00AC2015">
        <w:t xml:space="preserve">KCC </w:t>
      </w:r>
      <w:r w:rsidR="00342479">
        <w:t xml:space="preserve">occupies pursuant to various notarial leases </w:t>
      </w:r>
      <w:r w:rsidR="00D75E7E">
        <w:t xml:space="preserve">that </w:t>
      </w:r>
      <w:r w:rsidR="00460D24">
        <w:t xml:space="preserve">it </w:t>
      </w:r>
      <w:r w:rsidR="00342479">
        <w:t>concluded with the City of Johannesburg</w:t>
      </w:r>
      <w:r w:rsidR="00D75E7E">
        <w:t xml:space="preserve">, </w:t>
      </w:r>
      <w:r w:rsidR="00E52A6A">
        <w:t xml:space="preserve">but </w:t>
      </w:r>
      <w:r w:rsidR="00D75E7E">
        <w:t xml:space="preserve">which </w:t>
      </w:r>
      <w:r w:rsidR="00E52A6A">
        <w:t>the COJ purports to have validly cancelled</w:t>
      </w:r>
      <w:r w:rsidR="00D75E7E">
        <w:t xml:space="preserve">. </w:t>
      </w:r>
      <w:r w:rsidR="00795D29">
        <w:t xml:space="preserve">KCC </w:t>
      </w:r>
      <w:r w:rsidR="00342479">
        <w:t xml:space="preserve">also seeks payment of amounts </w:t>
      </w:r>
      <w:r w:rsidR="00AC2015">
        <w:t xml:space="preserve">allegedly </w:t>
      </w:r>
      <w:r w:rsidR="00795D29">
        <w:t xml:space="preserve">owing to it in respect of utility charges arising out </w:t>
      </w:r>
      <w:r w:rsidR="00216C5E">
        <w:t xml:space="preserve">of La Vie’s </w:t>
      </w:r>
      <w:r w:rsidR="00342479">
        <w:t xml:space="preserve">use </w:t>
      </w:r>
      <w:r w:rsidR="00795D29">
        <w:t>of the restaurant premises</w:t>
      </w:r>
      <w:r w:rsidR="00B928E7">
        <w:t xml:space="preserve">. </w:t>
      </w:r>
    </w:p>
    <w:p w14:paraId="48A0EE69" w14:textId="13441C18" w:rsidR="00795D29" w:rsidRPr="0086427C" w:rsidRDefault="001743E1" w:rsidP="001743E1">
      <w:pPr>
        <w:pStyle w:val="LC1"/>
        <w:numPr>
          <w:ilvl w:val="0"/>
          <w:numId w:val="0"/>
        </w:numPr>
        <w:ind w:left="720" w:hanging="720"/>
      </w:pPr>
      <w:r w:rsidRPr="0086427C">
        <w:rPr>
          <w:rFonts w:cs="Arial"/>
          <w:szCs w:val="24"/>
        </w:rPr>
        <w:t>[2]</w:t>
      </w:r>
      <w:r w:rsidRPr="0086427C">
        <w:rPr>
          <w:rFonts w:cs="Arial"/>
          <w:szCs w:val="24"/>
        </w:rPr>
        <w:tab/>
      </w:r>
      <w:r w:rsidR="00795D29">
        <w:t>T</w:t>
      </w:r>
      <w:r w:rsidR="00795D29" w:rsidRPr="0086427C">
        <w:t xml:space="preserve">he questions for determination </w:t>
      </w:r>
      <w:r w:rsidR="00AC2015">
        <w:t>i</w:t>
      </w:r>
      <w:r w:rsidR="00795D29" w:rsidRPr="0086427C">
        <w:t xml:space="preserve">n </w:t>
      </w:r>
      <w:r w:rsidR="00460D24">
        <w:t xml:space="preserve">that </w:t>
      </w:r>
      <w:r w:rsidR="00795D29">
        <w:t xml:space="preserve">application </w:t>
      </w:r>
      <w:r w:rsidR="00795D29" w:rsidRPr="0086427C">
        <w:t xml:space="preserve">are (i) whether the </w:t>
      </w:r>
      <w:r w:rsidR="00D11EED">
        <w:t xml:space="preserve">only </w:t>
      </w:r>
      <w:r w:rsidR="00795D29" w:rsidRPr="0086427C">
        <w:t>defence raised by La Vie</w:t>
      </w:r>
      <w:r w:rsidR="00D11EED">
        <w:t>, which is</w:t>
      </w:r>
      <w:r w:rsidR="00795D29" w:rsidRPr="0086427C">
        <w:t xml:space="preserve"> based on the </w:t>
      </w:r>
      <w:r w:rsidR="00342479">
        <w:t>C</w:t>
      </w:r>
      <w:r w:rsidR="00C00FC9">
        <w:t>O</w:t>
      </w:r>
      <w:r w:rsidR="00342479">
        <w:t xml:space="preserve">J’s </w:t>
      </w:r>
      <w:r w:rsidR="00E52A6A">
        <w:t xml:space="preserve">purported </w:t>
      </w:r>
      <w:r w:rsidR="00795D29" w:rsidRPr="0086427C">
        <w:t xml:space="preserve">cancellation </w:t>
      </w:r>
      <w:r w:rsidR="00342479">
        <w:t>of KCC’s notarial leases</w:t>
      </w:r>
      <w:r w:rsidR="00D11EED">
        <w:t>,</w:t>
      </w:r>
      <w:r w:rsidR="00342479">
        <w:t xml:space="preserve"> </w:t>
      </w:r>
      <w:r w:rsidR="00795D29" w:rsidRPr="0086427C">
        <w:t xml:space="preserve">is a cognisable </w:t>
      </w:r>
      <w:r w:rsidR="00D11EED">
        <w:t xml:space="preserve">basis to </w:t>
      </w:r>
      <w:r w:rsidR="00D75E7E">
        <w:t xml:space="preserve">refuse to grant </w:t>
      </w:r>
      <w:r w:rsidR="00342479">
        <w:t xml:space="preserve">the </w:t>
      </w:r>
      <w:r w:rsidR="00795D29" w:rsidRPr="0086427C">
        <w:t xml:space="preserve">eviction </w:t>
      </w:r>
      <w:r w:rsidR="00A744B7">
        <w:t xml:space="preserve">despite </w:t>
      </w:r>
      <w:r w:rsidR="00A744B7" w:rsidRPr="0086427C">
        <w:t xml:space="preserve">the common law rule confirmed by the Constitutional Court in </w:t>
      </w:r>
      <w:r w:rsidR="00A744B7" w:rsidRPr="00216C5E">
        <w:rPr>
          <w:i/>
          <w:iCs/>
        </w:rPr>
        <w:t>Mighty Solutions</w:t>
      </w:r>
      <w:r w:rsidR="00A744B7" w:rsidRPr="00216C5E">
        <w:rPr>
          <w:rStyle w:val="FootnoteReference"/>
        </w:rPr>
        <w:footnoteReference w:id="1"/>
      </w:r>
      <w:r w:rsidR="00A744B7" w:rsidRPr="0086427C">
        <w:t xml:space="preserve"> </w:t>
      </w:r>
      <w:r w:rsidR="00460D24">
        <w:t xml:space="preserve">to the effect </w:t>
      </w:r>
      <w:r w:rsidR="00A744B7" w:rsidRPr="0086427C">
        <w:t>that a lessee may not dispute the lessor’s “title” to occupy a property</w:t>
      </w:r>
      <w:r w:rsidR="00342479">
        <w:t>;</w:t>
      </w:r>
      <w:r w:rsidR="00795D29" w:rsidRPr="0086427C">
        <w:t xml:space="preserve"> and (ii) whether the dispute as to </w:t>
      </w:r>
      <w:r w:rsidR="00795D29">
        <w:t xml:space="preserve">payment of utility charges </w:t>
      </w:r>
      <w:r w:rsidR="00795D29" w:rsidRPr="0086427C">
        <w:t>should be referred to oral evidence or whether it should be determine</w:t>
      </w:r>
      <w:r w:rsidR="00342479">
        <w:t>d</w:t>
      </w:r>
      <w:r w:rsidR="00795D29" w:rsidRPr="0086427C">
        <w:t xml:space="preserve"> in favour of La Vie</w:t>
      </w:r>
      <w:r w:rsidR="00342479">
        <w:t xml:space="preserve"> on the basis of the </w:t>
      </w:r>
      <w:r w:rsidR="00342479" w:rsidRPr="00216C5E">
        <w:rPr>
          <w:i/>
          <w:iCs/>
        </w:rPr>
        <w:t>Plascon Evans</w:t>
      </w:r>
      <w:r w:rsidR="00342479" w:rsidRPr="0086427C">
        <w:t xml:space="preserve"> rule</w:t>
      </w:r>
      <w:r w:rsidR="00795D29" w:rsidRPr="0086427C">
        <w:t xml:space="preserve">, </w:t>
      </w:r>
      <w:r w:rsidR="00342479">
        <w:t xml:space="preserve">given </w:t>
      </w:r>
      <w:r w:rsidR="00795D29" w:rsidRPr="0086427C">
        <w:t xml:space="preserve">the material disputes of fact that have arisen </w:t>
      </w:r>
      <w:r w:rsidR="00342479">
        <w:t xml:space="preserve">in relation to the </w:t>
      </w:r>
      <w:r w:rsidR="00795D29" w:rsidRPr="0086427C">
        <w:t>amount</w:t>
      </w:r>
      <w:r w:rsidR="00342479">
        <w:t xml:space="preserve"> said to be owing</w:t>
      </w:r>
      <w:r w:rsidR="00795D29" w:rsidRPr="0086427C">
        <w:t xml:space="preserve">. </w:t>
      </w:r>
    </w:p>
    <w:p w14:paraId="226D1E56" w14:textId="6C51A56C" w:rsidR="00216C5E" w:rsidRDefault="001743E1" w:rsidP="001743E1">
      <w:pPr>
        <w:pStyle w:val="LC1"/>
        <w:numPr>
          <w:ilvl w:val="0"/>
          <w:numId w:val="0"/>
        </w:numPr>
        <w:ind w:left="720" w:hanging="720"/>
      </w:pPr>
      <w:r>
        <w:rPr>
          <w:rFonts w:cs="Arial"/>
          <w:szCs w:val="24"/>
        </w:rPr>
        <w:lastRenderedPageBreak/>
        <w:t>[3]</w:t>
      </w:r>
      <w:r>
        <w:rPr>
          <w:rFonts w:cs="Arial"/>
          <w:szCs w:val="24"/>
        </w:rPr>
        <w:tab/>
      </w:r>
      <w:r w:rsidR="00342479">
        <w:t>In the second application</w:t>
      </w:r>
      <w:r w:rsidR="00216C5E">
        <w:t xml:space="preserve"> before me</w:t>
      </w:r>
      <w:r w:rsidR="00342479">
        <w:t xml:space="preserve">, La Vie seeks an order staying the </w:t>
      </w:r>
      <w:r w:rsidR="008561B1">
        <w:t xml:space="preserve">eviction and payment </w:t>
      </w:r>
      <w:r w:rsidR="00342479">
        <w:t xml:space="preserve">application pending the outcome of two </w:t>
      </w:r>
      <w:r w:rsidR="00460D24">
        <w:t xml:space="preserve">further </w:t>
      </w:r>
      <w:r w:rsidR="00342479">
        <w:t xml:space="preserve">applications </w:t>
      </w:r>
      <w:r w:rsidR="00D11EED">
        <w:t xml:space="preserve">which </w:t>
      </w:r>
      <w:r w:rsidR="00D410AE">
        <w:t xml:space="preserve">are due to be heard together but </w:t>
      </w:r>
      <w:r w:rsidR="00D11EED">
        <w:t xml:space="preserve">which </w:t>
      </w:r>
      <w:r w:rsidR="00AC2015">
        <w:t>I am not called upon to determine</w:t>
      </w:r>
      <w:r w:rsidR="00E75D70">
        <w:t xml:space="preserve">. These two further applications are </w:t>
      </w:r>
      <w:r w:rsidR="00216C5E">
        <w:t xml:space="preserve">“the </w:t>
      </w:r>
      <w:r w:rsidR="00267ADF">
        <w:t xml:space="preserve">COJ’s </w:t>
      </w:r>
      <w:r w:rsidR="00216C5E">
        <w:t>eviction application”</w:t>
      </w:r>
      <w:r w:rsidR="00AC2015">
        <w:t>,</w:t>
      </w:r>
      <w:r w:rsidR="00216C5E">
        <w:t xml:space="preserve"> in which the C</w:t>
      </w:r>
      <w:r w:rsidR="00C00FC9">
        <w:t>O</w:t>
      </w:r>
      <w:r w:rsidR="00216C5E">
        <w:t>J seeks the eviction of KCC and “any persons occupying and claiming occupation under or through it”</w:t>
      </w:r>
      <w:r w:rsidR="00D410AE">
        <w:t xml:space="preserve"> </w:t>
      </w:r>
      <w:r w:rsidR="00D6342F">
        <w:t>(</w:t>
      </w:r>
      <w:r w:rsidR="00216C5E">
        <w:t>i.e. including La Vie</w:t>
      </w:r>
      <w:r w:rsidR="00D6342F">
        <w:t>)</w:t>
      </w:r>
      <w:r w:rsidR="00D410AE">
        <w:t xml:space="preserve"> </w:t>
      </w:r>
      <w:r w:rsidR="00216C5E">
        <w:t>from</w:t>
      </w:r>
      <w:r w:rsidR="00D410AE">
        <w:t xml:space="preserve"> </w:t>
      </w:r>
      <w:r w:rsidR="00216C5E">
        <w:t>the property</w:t>
      </w:r>
      <w:r w:rsidR="00D6342F">
        <w:t>;</w:t>
      </w:r>
      <w:r w:rsidR="00216C5E">
        <w:t xml:space="preserve"> and “the review application”</w:t>
      </w:r>
      <w:r w:rsidR="00D6342F">
        <w:t xml:space="preserve">, </w:t>
      </w:r>
      <w:r w:rsidR="00216C5E">
        <w:t>in which KCC seeks orders reviewing and set</w:t>
      </w:r>
      <w:r w:rsidR="00D11EED">
        <w:t>ting</w:t>
      </w:r>
      <w:r w:rsidR="00216C5E">
        <w:t xml:space="preserve"> aside the C</w:t>
      </w:r>
      <w:r w:rsidR="00C00FC9">
        <w:t>O</w:t>
      </w:r>
      <w:r w:rsidR="00216C5E">
        <w:t xml:space="preserve">J’s </w:t>
      </w:r>
      <w:r w:rsidR="00E75D70">
        <w:t xml:space="preserve">purported cancellation of the </w:t>
      </w:r>
      <w:r w:rsidR="00216C5E">
        <w:t xml:space="preserve">notarial leases and declaring that </w:t>
      </w:r>
      <w:r w:rsidR="00D11EED">
        <w:t xml:space="preserve">it </w:t>
      </w:r>
      <w:r w:rsidR="00216C5E">
        <w:t>is entitled to remain in occupation of the property subject to the terms of those leases.</w:t>
      </w:r>
    </w:p>
    <w:p w14:paraId="10491014" w14:textId="3CC8542A" w:rsidR="00B928E7" w:rsidRDefault="001743E1" w:rsidP="001743E1">
      <w:pPr>
        <w:pStyle w:val="LC1"/>
        <w:numPr>
          <w:ilvl w:val="0"/>
          <w:numId w:val="0"/>
        </w:numPr>
        <w:ind w:left="720" w:hanging="720"/>
      </w:pPr>
      <w:r>
        <w:rPr>
          <w:rFonts w:cs="Arial"/>
          <w:szCs w:val="24"/>
        </w:rPr>
        <w:t>[4]</w:t>
      </w:r>
      <w:r>
        <w:rPr>
          <w:rFonts w:cs="Arial"/>
          <w:szCs w:val="24"/>
        </w:rPr>
        <w:tab/>
      </w:r>
      <w:r w:rsidR="00D410AE">
        <w:rPr>
          <w:rFonts w:cs="Arial"/>
          <w:szCs w:val="24"/>
        </w:rPr>
        <w:t xml:space="preserve">At </w:t>
      </w:r>
      <w:r w:rsidR="00B928E7" w:rsidRPr="0086427C">
        <w:rPr>
          <w:rFonts w:cs="Arial"/>
          <w:szCs w:val="24"/>
        </w:rPr>
        <w:t xml:space="preserve">a pre-hearing conference </w:t>
      </w:r>
      <w:r w:rsidR="00B928E7">
        <w:rPr>
          <w:rFonts w:cs="Arial"/>
          <w:szCs w:val="24"/>
        </w:rPr>
        <w:t xml:space="preserve">convened by </w:t>
      </w:r>
      <w:r w:rsidR="00D75E7E">
        <w:rPr>
          <w:rFonts w:cs="Arial"/>
          <w:szCs w:val="24"/>
        </w:rPr>
        <w:t xml:space="preserve">the Court </w:t>
      </w:r>
      <w:r w:rsidR="00B928E7" w:rsidRPr="0086427C">
        <w:rPr>
          <w:rFonts w:cs="Arial"/>
          <w:szCs w:val="24"/>
        </w:rPr>
        <w:t xml:space="preserve">on </w:t>
      </w:r>
      <w:r w:rsidR="00B928E7">
        <w:rPr>
          <w:rFonts w:cs="Arial"/>
          <w:szCs w:val="24"/>
        </w:rPr>
        <w:t>10 November 2023</w:t>
      </w:r>
      <w:r w:rsidR="00B928E7" w:rsidRPr="0086427C">
        <w:rPr>
          <w:rFonts w:cs="Arial"/>
          <w:szCs w:val="24"/>
        </w:rPr>
        <w:t xml:space="preserve">, it was agreed </w:t>
      </w:r>
      <w:r w:rsidR="00B928E7">
        <w:rPr>
          <w:rFonts w:cs="Arial"/>
          <w:szCs w:val="24"/>
        </w:rPr>
        <w:t xml:space="preserve">by the parties </w:t>
      </w:r>
      <w:r w:rsidR="00B928E7" w:rsidRPr="0086427C">
        <w:rPr>
          <w:rFonts w:cs="Arial"/>
          <w:szCs w:val="24"/>
        </w:rPr>
        <w:t xml:space="preserve">that I should hear </w:t>
      </w:r>
      <w:r w:rsidR="00B928E7">
        <w:rPr>
          <w:rFonts w:cs="Arial"/>
          <w:szCs w:val="24"/>
        </w:rPr>
        <w:t xml:space="preserve">argument on </w:t>
      </w:r>
      <w:r w:rsidR="00B928E7" w:rsidRPr="0086427C">
        <w:rPr>
          <w:rFonts w:cs="Arial"/>
          <w:szCs w:val="24"/>
        </w:rPr>
        <w:t xml:space="preserve">both </w:t>
      </w:r>
      <w:r w:rsidR="00D11EED">
        <w:rPr>
          <w:rFonts w:cs="Arial"/>
          <w:szCs w:val="24"/>
        </w:rPr>
        <w:t xml:space="preserve">KCCs’ </w:t>
      </w:r>
      <w:r w:rsidR="00216C5E">
        <w:rPr>
          <w:rFonts w:cs="Arial"/>
          <w:szCs w:val="24"/>
        </w:rPr>
        <w:t xml:space="preserve">eviction </w:t>
      </w:r>
      <w:r w:rsidR="008561B1">
        <w:rPr>
          <w:rFonts w:cs="Arial"/>
          <w:szCs w:val="24"/>
        </w:rPr>
        <w:t xml:space="preserve">and payment </w:t>
      </w:r>
      <w:r w:rsidR="00216C5E">
        <w:rPr>
          <w:rFonts w:cs="Arial"/>
          <w:szCs w:val="24"/>
        </w:rPr>
        <w:t xml:space="preserve">application and </w:t>
      </w:r>
      <w:r w:rsidR="00D11EED">
        <w:rPr>
          <w:rFonts w:cs="Arial"/>
          <w:szCs w:val="24"/>
        </w:rPr>
        <w:t xml:space="preserve">La Vie’s </w:t>
      </w:r>
      <w:r w:rsidR="00216C5E">
        <w:rPr>
          <w:rFonts w:cs="Arial"/>
          <w:szCs w:val="24"/>
        </w:rPr>
        <w:t xml:space="preserve">stay application </w:t>
      </w:r>
      <w:r w:rsidR="00B928E7" w:rsidRPr="0086427C">
        <w:rPr>
          <w:rFonts w:cs="Arial"/>
          <w:szCs w:val="24"/>
        </w:rPr>
        <w:t xml:space="preserve">together, but </w:t>
      </w:r>
      <w:r w:rsidR="00B928E7">
        <w:rPr>
          <w:rFonts w:cs="Arial"/>
          <w:szCs w:val="24"/>
        </w:rPr>
        <w:t xml:space="preserve">that I should determine </w:t>
      </w:r>
      <w:r w:rsidR="00795D29">
        <w:rPr>
          <w:rFonts w:cs="Arial"/>
          <w:szCs w:val="24"/>
        </w:rPr>
        <w:t xml:space="preserve">the </w:t>
      </w:r>
      <w:r w:rsidR="00B928E7">
        <w:rPr>
          <w:rFonts w:cs="Arial"/>
          <w:szCs w:val="24"/>
        </w:rPr>
        <w:t>stay application first and</w:t>
      </w:r>
      <w:r w:rsidR="00795D29">
        <w:rPr>
          <w:rFonts w:cs="Arial"/>
          <w:szCs w:val="24"/>
        </w:rPr>
        <w:t>,</w:t>
      </w:r>
      <w:r w:rsidR="00B928E7">
        <w:rPr>
          <w:rFonts w:cs="Arial"/>
          <w:szCs w:val="24"/>
        </w:rPr>
        <w:t xml:space="preserve"> </w:t>
      </w:r>
      <w:r w:rsidR="00B928E7" w:rsidRPr="0086427C">
        <w:rPr>
          <w:rFonts w:cs="Arial"/>
          <w:szCs w:val="24"/>
        </w:rPr>
        <w:t xml:space="preserve">in the event that I were to conclude that </w:t>
      </w:r>
      <w:r w:rsidR="00B928E7">
        <w:rPr>
          <w:rFonts w:cs="Arial"/>
          <w:szCs w:val="24"/>
        </w:rPr>
        <w:t xml:space="preserve">the relief sought therein </w:t>
      </w:r>
      <w:r w:rsidR="00B928E7" w:rsidRPr="0086427C">
        <w:rPr>
          <w:rFonts w:cs="Arial"/>
          <w:szCs w:val="24"/>
        </w:rPr>
        <w:t xml:space="preserve">should be granted, I would not determine any of the relief </w:t>
      </w:r>
      <w:r w:rsidR="00D6342F">
        <w:rPr>
          <w:rFonts w:cs="Arial"/>
          <w:szCs w:val="24"/>
        </w:rPr>
        <w:t xml:space="preserve">sought </w:t>
      </w:r>
      <w:r w:rsidR="00B928E7" w:rsidRPr="0086427C">
        <w:rPr>
          <w:rFonts w:cs="Arial"/>
          <w:szCs w:val="24"/>
        </w:rPr>
        <w:t xml:space="preserve">in </w:t>
      </w:r>
      <w:r w:rsidR="00795D29">
        <w:rPr>
          <w:rFonts w:cs="Arial"/>
          <w:szCs w:val="24"/>
        </w:rPr>
        <w:t xml:space="preserve">the </w:t>
      </w:r>
      <w:r w:rsidR="00B928E7" w:rsidRPr="0086427C">
        <w:rPr>
          <w:rFonts w:cs="Arial"/>
          <w:szCs w:val="24"/>
        </w:rPr>
        <w:t xml:space="preserve">eviction </w:t>
      </w:r>
      <w:r w:rsidR="008561B1">
        <w:rPr>
          <w:rFonts w:cs="Arial"/>
          <w:szCs w:val="24"/>
        </w:rPr>
        <w:t xml:space="preserve">and payment </w:t>
      </w:r>
      <w:r w:rsidR="00B928E7" w:rsidRPr="0086427C">
        <w:rPr>
          <w:rFonts w:cs="Arial"/>
          <w:szCs w:val="24"/>
        </w:rPr>
        <w:t>application.</w:t>
      </w:r>
    </w:p>
    <w:p w14:paraId="36EA8438" w14:textId="413C8D44" w:rsidR="00795D29" w:rsidRPr="00795D29" w:rsidRDefault="00795D29" w:rsidP="00795D29">
      <w:pPr>
        <w:pStyle w:val="LC1"/>
        <w:numPr>
          <w:ilvl w:val="0"/>
          <w:numId w:val="0"/>
        </w:numPr>
        <w:rPr>
          <w:b/>
          <w:bCs/>
        </w:rPr>
      </w:pPr>
      <w:r w:rsidRPr="00795D29">
        <w:rPr>
          <w:b/>
          <w:bCs/>
        </w:rPr>
        <w:t>BACKGROUND FACTS</w:t>
      </w:r>
    </w:p>
    <w:p w14:paraId="43982890" w14:textId="4ACD3072" w:rsidR="00795D29" w:rsidRDefault="001743E1" w:rsidP="001743E1">
      <w:pPr>
        <w:pStyle w:val="LC1"/>
        <w:numPr>
          <w:ilvl w:val="0"/>
          <w:numId w:val="0"/>
        </w:numPr>
        <w:ind w:left="720" w:hanging="720"/>
      </w:pPr>
      <w:r>
        <w:rPr>
          <w:rFonts w:cs="Arial"/>
          <w:szCs w:val="24"/>
        </w:rPr>
        <w:t>[5]</w:t>
      </w:r>
      <w:r>
        <w:rPr>
          <w:rFonts w:cs="Arial"/>
          <w:szCs w:val="24"/>
        </w:rPr>
        <w:tab/>
      </w:r>
      <w:r w:rsidR="00D6342F">
        <w:t xml:space="preserve">The two applications </w:t>
      </w:r>
      <w:r w:rsidR="00795D29">
        <w:t xml:space="preserve">fall to be determined </w:t>
      </w:r>
      <w:r w:rsidR="00633542">
        <w:t xml:space="preserve">in view of the </w:t>
      </w:r>
      <w:r w:rsidR="00795D29">
        <w:t xml:space="preserve">following </w:t>
      </w:r>
      <w:r w:rsidR="00633542">
        <w:t>facts</w:t>
      </w:r>
      <w:r w:rsidR="00795D29">
        <w:t xml:space="preserve">. </w:t>
      </w:r>
    </w:p>
    <w:p w14:paraId="7BD5D109" w14:textId="7B5A1B10" w:rsidR="009109AB" w:rsidRDefault="001743E1" w:rsidP="001743E1">
      <w:pPr>
        <w:pStyle w:val="LC1"/>
        <w:numPr>
          <w:ilvl w:val="0"/>
          <w:numId w:val="0"/>
        </w:numPr>
        <w:ind w:left="720" w:hanging="720"/>
      </w:pPr>
      <w:r>
        <w:rPr>
          <w:rFonts w:cs="Arial"/>
          <w:szCs w:val="24"/>
        </w:rPr>
        <w:t>[6]</w:t>
      </w:r>
      <w:r>
        <w:rPr>
          <w:rFonts w:cs="Arial"/>
          <w:szCs w:val="24"/>
        </w:rPr>
        <w:tab/>
      </w:r>
      <w:r w:rsidR="000F5D0C">
        <w:t>In the late 1960s</w:t>
      </w:r>
      <w:r w:rsidR="009109AB">
        <w:t>,</w:t>
      </w:r>
      <w:r w:rsidR="000F5D0C">
        <w:t xml:space="preserve"> the land </w:t>
      </w:r>
      <w:r w:rsidR="009109AB">
        <w:t xml:space="preserve">then </w:t>
      </w:r>
      <w:r w:rsidR="000F5D0C">
        <w:t xml:space="preserve">occupied by </w:t>
      </w:r>
      <w:r w:rsidR="00B928E7">
        <w:t xml:space="preserve">KCC </w:t>
      </w:r>
      <w:r w:rsidR="009109AB">
        <w:t xml:space="preserve">was earmarked by </w:t>
      </w:r>
      <w:r w:rsidR="000F5D0C">
        <w:t xml:space="preserve">the City of Johannesburg for the purposes of </w:t>
      </w:r>
      <w:r w:rsidR="00795D29">
        <w:t xml:space="preserve">constructing </w:t>
      </w:r>
      <w:r w:rsidR="009109AB">
        <w:t xml:space="preserve">its </w:t>
      </w:r>
      <w:r w:rsidR="000F5D0C">
        <w:t>main arterial highway</w:t>
      </w:r>
      <w:r w:rsidR="00460D24">
        <w:t>.</w:t>
      </w:r>
      <w:r w:rsidR="00D11EED">
        <w:t xml:space="preserve"> </w:t>
      </w:r>
      <w:r w:rsidR="00460D24">
        <w:t>I</w:t>
      </w:r>
      <w:r w:rsidR="00D11EED">
        <w:t xml:space="preserve">t was agreed that KCC would relocate to </w:t>
      </w:r>
      <w:r w:rsidR="009109AB">
        <w:t xml:space="preserve">five nearby erven </w:t>
      </w:r>
      <w:r w:rsidR="00D11EED">
        <w:t xml:space="preserve">which the </w:t>
      </w:r>
      <w:r w:rsidR="00C00FC9">
        <w:t xml:space="preserve">COJ </w:t>
      </w:r>
      <w:r w:rsidR="00D11EED">
        <w:t>purchased</w:t>
      </w:r>
      <w:r w:rsidR="00862950">
        <w:t>,</w:t>
      </w:r>
      <w:r w:rsidR="00D11EED">
        <w:t xml:space="preserve"> and which </w:t>
      </w:r>
      <w:r w:rsidR="009109AB">
        <w:t xml:space="preserve">together comprise the property that is the </w:t>
      </w:r>
      <w:r w:rsidR="00460D24">
        <w:t xml:space="preserve">object </w:t>
      </w:r>
      <w:r w:rsidR="009109AB">
        <w:t xml:space="preserve">of </w:t>
      </w:r>
      <w:r w:rsidR="00460D24">
        <w:t>the parties’ dispute</w:t>
      </w:r>
      <w:r w:rsidR="00862950">
        <w:t xml:space="preserve">. This led to </w:t>
      </w:r>
      <w:r w:rsidR="009109AB">
        <w:t>the conclusion of various notarial long leases and extensions thereof</w:t>
      </w:r>
      <w:r w:rsidR="00460D24">
        <w:t>,</w:t>
      </w:r>
      <w:r w:rsidR="009109AB">
        <w:t xml:space="preserve"> in terms of which </w:t>
      </w:r>
      <w:r w:rsidR="00951279">
        <w:t xml:space="preserve">the </w:t>
      </w:r>
      <w:r w:rsidR="009109AB">
        <w:t xml:space="preserve">property </w:t>
      </w:r>
      <w:r w:rsidR="00951279">
        <w:t xml:space="preserve">so acquired </w:t>
      </w:r>
      <w:r w:rsidR="009109AB">
        <w:t>was leased by the C</w:t>
      </w:r>
      <w:r w:rsidR="00C00FC9">
        <w:t>O</w:t>
      </w:r>
      <w:r w:rsidR="009109AB">
        <w:t xml:space="preserve">J to KCC until 31 July 2040. </w:t>
      </w:r>
      <w:r w:rsidR="00862950">
        <w:t xml:space="preserve">Of relevance is that </w:t>
      </w:r>
      <w:r w:rsidR="00216886">
        <w:t xml:space="preserve">clause 5 </w:t>
      </w:r>
      <w:r w:rsidR="00477C9F">
        <w:t xml:space="preserve">of KCC’s </w:t>
      </w:r>
      <w:r w:rsidR="00951279">
        <w:lastRenderedPageBreak/>
        <w:t xml:space="preserve">notarial </w:t>
      </w:r>
      <w:r w:rsidR="00477C9F">
        <w:t>lease</w:t>
      </w:r>
      <w:r w:rsidR="00A16910">
        <w:t>s</w:t>
      </w:r>
      <w:r w:rsidR="00477C9F">
        <w:t xml:space="preserve"> </w:t>
      </w:r>
      <w:r w:rsidR="00216886">
        <w:t xml:space="preserve">provided </w:t>
      </w:r>
      <w:r w:rsidR="00477C9F">
        <w:t xml:space="preserve">that </w:t>
      </w:r>
      <w:r w:rsidR="00216886">
        <w:t xml:space="preserve">the property would be used exclusively for the purposes of a social and sports club, and that </w:t>
      </w:r>
      <w:r w:rsidR="00477C9F">
        <w:t xml:space="preserve">“no trade or business shall be carried on at the property” save for the supply of goods and services to </w:t>
      </w:r>
      <w:r w:rsidR="00216886">
        <w:t xml:space="preserve">KCC’s </w:t>
      </w:r>
      <w:r w:rsidR="00477C9F">
        <w:t>members or their guests.</w:t>
      </w:r>
      <w:r w:rsidR="00216886">
        <w:t xml:space="preserve"> In addition, clause 15 provided that KCC “shall not have the right to sub-let the whole or any portion of the property … without the prior written consent” of the C</w:t>
      </w:r>
      <w:r w:rsidR="00C00FC9">
        <w:t>O</w:t>
      </w:r>
      <w:r w:rsidR="00216886">
        <w:t>J</w:t>
      </w:r>
      <w:r w:rsidR="00FE5C1A">
        <w:t xml:space="preserve"> “which consent shall not be unreasonably withheld”</w:t>
      </w:r>
      <w:r w:rsidR="00216886">
        <w:t xml:space="preserve">. </w:t>
      </w:r>
      <w:r w:rsidR="004B6C53">
        <w:t>Clause 11 entitled the C</w:t>
      </w:r>
      <w:r w:rsidR="00C00FC9">
        <w:t>O</w:t>
      </w:r>
      <w:r w:rsidR="004B6C53">
        <w:t xml:space="preserve">J to cancel </w:t>
      </w:r>
      <w:r w:rsidR="00951279">
        <w:t>the notarial lease</w:t>
      </w:r>
      <w:r w:rsidR="00A16910">
        <w:t>s</w:t>
      </w:r>
      <w:r w:rsidR="00951279">
        <w:t xml:space="preserve"> </w:t>
      </w:r>
      <w:r w:rsidR="004B6C53">
        <w:t>under certain specified circumstances, one of which was if KCC failed to remedy a breach within thirty days after the receipt of written notice from the C</w:t>
      </w:r>
      <w:r w:rsidR="00C00FC9">
        <w:t>O</w:t>
      </w:r>
      <w:r w:rsidR="004B6C53">
        <w:t xml:space="preserve">J requiring it do so.  </w:t>
      </w:r>
    </w:p>
    <w:p w14:paraId="61F05CC3" w14:textId="1515AB52" w:rsidR="00477C9F" w:rsidRDefault="001743E1" w:rsidP="001743E1">
      <w:pPr>
        <w:pStyle w:val="LC1"/>
        <w:numPr>
          <w:ilvl w:val="0"/>
          <w:numId w:val="0"/>
        </w:numPr>
        <w:ind w:left="720" w:hanging="720"/>
      </w:pPr>
      <w:r>
        <w:rPr>
          <w:rFonts w:cs="Arial"/>
          <w:szCs w:val="24"/>
        </w:rPr>
        <w:t>[7]</w:t>
      </w:r>
      <w:r>
        <w:rPr>
          <w:rFonts w:cs="Arial"/>
          <w:szCs w:val="24"/>
        </w:rPr>
        <w:tab/>
      </w:r>
      <w:r w:rsidR="008C6CC3">
        <w:t>During April 2017</w:t>
      </w:r>
      <w:r w:rsidR="00D635A6">
        <w:t>,</w:t>
      </w:r>
      <w:r w:rsidR="008C6CC3">
        <w:t xml:space="preserve"> KCC concluded </w:t>
      </w:r>
      <w:r w:rsidR="00A16910">
        <w:t xml:space="preserve">a </w:t>
      </w:r>
      <w:r w:rsidR="00D635A6">
        <w:t xml:space="preserve">transaction </w:t>
      </w:r>
      <w:r w:rsidR="008C6CC3">
        <w:t xml:space="preserve">with the first, second and fourth respondents for the purposes of enabling them and the third respondent to </w:t>
      </w:r>
      <w:r w:rsidR="00FE5C1A">
        <w:t xml:space="preserve">operate </w:t>
      </w:r>
      <w:r w:rsidR="00795D29" w:rsidRPr="00F42884">
        <w:t xml:space="preserve">La Vie </w:t>
      </w:r>
      <w:proofErr w:type="spellStart"/>
      <w:r w:rsidR="00795D29" w:rsidRPr="00F42884">
        <w:t>en</w:t>
      </w:r>
      <w:proofErr w:type="spellEnd"/>
      <w:r w:rsidR="00795D29" w:rsidRPr="00F42884">
        <w:t xml:space="preserve"> Rose</w:t>
      </w:r>
      <w:r w:rsidR="00795D29">
        <w:t xml:space="preserve"> as a </w:t>
      </w:r>
      <w:r w:rsidR="00FE5C1A">
        <w:t xml:space="preserve">publicly accessible </w:t>
      </w:r>
      <w:r w:rsidR="008C6CC3">
        <w:t xml:space="preserve">restaurant </w:t>
      </w:r>
      <w:r w:rsidR="00862950">
        <w:t xml:space="preserve">from premises </w:t>
      </w:r>
      <w:r w:rsidR="008C6CC3">
        <w:t xml:space="preserve">at the KCC. The </w:t>
      </w:r>
      <w:r w:rsidR="00216886">
        <w:t xml:space="preserve">parties’ </w:t>
      </w:r>
      <w:r w:rsidR="008C6CC3" w:rsidRPr="0086427C">
        <w:t xml:space="preserve">joint practice </w:t>
      </w:r>
      <w:proofErr w:type="gramStart"/>
      <w:r w:rsidR="00216886">
        <w:t>note</w:t>
      </w:r>
      <w:proofErr w:type="gramEnd"/>
      <w:r w:rsidR="00216886">
        <w:t xml:space="preserve"> </w:t>
      </w:r>
      <w:r w:rsidR="008C6CC3" w:rsidRPr="0086427C">
        <w:t xml:space="preserve">records that it is common cause that “the true nature and effect of </w:t>
      </w:r>
      <w:r w:rsidR="008C6CC3">
        <w:t xml:space="preserve">[the </w:t>
      </w:r>
      <w:r w:rsidR="00D635A6">
        <w:t>transaction</w:t>
      </w:r>
      <w:r w:rsidR="008C6CC3">
        <w:t xml:space="preserve">] </w:t>
      </w:r>
      <w:r w:rsidR="008C6CC3" w:rsidRPr="0086427C">
        <w:t>was a lease” and that La Vie’s “right of occupation</w:t>
      </w:r>
      <w:r w:rsidR="008C6CC3">
        <w:t>”</w:t>
      </w:r>
      <w:r w:rsidR="008C6CC3" w:rsidRPr="0086427C">
        <w:t xml:space="preserve"> </w:t>
      </w:r>
      <w:r w:rsidR="00477C9F">
        <w:t xml:space="preserve">thereunder </w:t>
      </w:r>
      <w:r w:rsidR="00C00FC9">
        <w:t>“</w:t>
      </w:r>
      <w:r w:rsidR="008C6CC3" w:rsidRPr="0086427C">
        <w:t xml:space="preserve">expired </w:t>
      </w:r>
      <w:r w:rsidR="00C00FC9">
        <w:t xml:space="preserve">in </w:t>
      </w:r>
      <w:r w:rsidR="008C6CC3" w:rsidRPr="0086427C">
        <w:t>June 2021</w:t>
      </w:r>
      <w:r w:rsidR="00C00FC9">
        <w:t>”</w:t>
      </w:r>
      <w:r w:rsidR="00D635A6">
        <w:t>.</w:t>
      </w:r>
      <w:r w:rsidR="00C42798">
        <w:t xml:space="preserve"> </w:t>
      </w:r>
      <w:r w:rsidR="00D635A6">
        <w:t xml:space="preserve">It is also common cause that the conclusion of La Vie’s </w:t>
      </w:r>
      <w:r w:rsidR="00BF5350">
        <w:t>sub</w:t>
      </w:r>
      <w:r w:rsidR="00D635A6">
        <w:t>lease constituted a breach of KCC’s notarial lease</w:t>
      </w:r>
      <w:r w:rsidR="00A16910">
        <w:t>s</w:t>
      </w:r>
      <w:r w:rsidR="00D635A6">
        <w:t xml:space="preserve"> with the C</w:t>
      </w:r>
      <w:r w:rsidR="00C00FC9">
        <w:t>O</w:t>
      </w:r>
      <w:r w:rsidR="00D635A6">
        <w:t xml:space="preserve">J. Although KCC declined to agree to </w:t>
      </w:r>
      <w:r w:rsidR="00A16910">
        <w:t xml:space="preserve">La Vie’s </w:t>
      </w:r>
      <w:r w:rsidR="00D635A6">
        <w:t xml:space="preserve">request for an extension of </w:t>
      </w:r>
      <w:r w:rsidR="00A16910">
        <w:t>its sub</w:t>
      </w:r>
      <w:r w:rsidR="00D635A6">
        <w:t>lease</w:t>
      </w:r>
      <w:r w:rsidR="00862950">
        <w:t xml:space="preserve"> when it expired in June 2021</w:t>
      </w:r>
      <w:r w:rsidR="00D635A6">
        <w:t xml:space="preserve">, La Vie remained in occupation of the restaurant premises and </w:t>
      </w:r>
      <w:r w:rsidR="00C42798">
        <w:t>did not cease its operations</w:t>
      </w:r>
      <w:r w:rsidR="00DE70C4">
        <w:t xml:space="preserve"> despite La Vie’s demand that it vacate</w:t>
      </w:r>
      <w:r w:rsidR="00D635A6">
        <w:t>.</w:t>
      </w:r>
      <w:r w:rsidR="00C42798">
        <w:t xml:space="preserve"> </w:t>
      </w:r>
    </w:p>
    <w:p w14:paraId="38972D05" w14:textId="57BD5293" w:rsidR="00D635A6" w:rsidRDefault="001743E1" w:rsidP="001743E1">
      <w:pPr>
        <w:pStyle w:val="LC1"/>
        <w:numPr>
          <w:ilvl w:val="0"/>
          <w:numId w:val="0"/>
        </w:numPr>
        <w:ind w:left="720" w:hanging="720"/>
      </w:pPr>
      <w:r>
        <w:rPr>
          <w:rFonts w:cs="Arial"/>
          <w:szCs w:val="24"/>
        </w:rPr>
        <w:t>[8]</w:t>
      </w:r>
      <w:r>
        <w:rPr>
          <w:rFonts w:cs="Arial"/>
          <w:szCs w:val="24"/>
        </w:rPr>
        <w:tab/>
      </w:r>
      <w:r w:rsidR="004B6C53">
        <w:t xml:space="preserve">On </w:t>
      </w:r>
      <w:r w:rsidR="00D635A6">
        <w:t xml:space="preserve">29 November </w:t>
      </w:r>
      <w:r w:rsidR="004B6C53">
        <w:t xml:space="preserve">2021, the </w:t>
      </w:r>
      <w:r w:rsidR="00E52A6A">
        <w:t xml:space="preserve">COJ </w:t>
      </w:r>
      <w:r w:rsidR="004B6C53">
        <w:t xml:space="preserve">issued a breach notice to KCC </w:t>
      </w:r>
      <w:r w:rsidR="00D635A6">
        <w:t xml:space="preserve">alleging that </w:t>
      </w:r>
      <w:r w:rsidR="00DE70C4">
        <w:t xml:space="preserve">it </w:t>
      </w:r>
      <w:r w:rsidR="00D635A6">
        <w:t xml:space="preserve">was in breach of clauses 5 and 15 of </w:t>
      </w:r>
      <w:r w:rsidR="00DE70C4">
        <w:t xml:space="preserve">the </w:t>
      </w:r>
      <w:r w:rsidR="00D635A6">
        <w:t>notarial lease</w:t>
      </w:r>
      <w:r w:rsidR="00A16910">
        <w:t>s</w:t>
      </w:r>
      <w:r w:rsidR="00D635A6">
        <w:t xml:space="preserve"> and calling upon it to stop carrying on trade or business on the property through the transaction concluded with La Vie, alternatively to cancel the La Vie </w:t>
      </w:r>
      <w:r w:rsidR="00A16910">
        <w:t>sub</w:t>
      </w:r>
      <w:r w:rsidR="00D635A6">
        <w:t xml:space="preserve">lease and ensure </w:t>
      </w:r>
      <w:r w:rsidR="00D635A6">
        <w:lastRenderedPageBreak/>
        <w:t xml:space="preserve">that </w:t>
      </w:r>
      <w:r w:rsidR="00A16910">
        <w:t xml:space="preserve">La Vie </w:t>
      </w:r>
      <w:r w:rsidR="00D635A6">
        <w:t>vacate</w:t>
      </w:r>
      <w:r w:rsidR="00862950">
        <w:t>d</w:t>
      </w:r>
      <w:r w:rsidR="00D635A6">
        <w:t xml:space="preserve"> the property within 30 days, failing which the C</w:t>
      </w:r>
      <w:r w:rsidR="00C00FC9">
        <w:t>O</w:t>
      </w:r>
      <w:r w:rsidR="00D635A6">
        <w:t>J would “regard your breach of contract as final, and shall be entitled to cancel [KCC</w:t>
      </w:r>
      <w:r w:rsidR="00A16910">
        <w:t>’s</w:t>
      </w:r>
      <w:r w:rsidR="00D635A6">
        <w:t xml:space="preserve"> notarial lease</w:t>
      </w:r>
      <w:r w:rsidR="00A16910">
        <w:t>s</w:t>
      </w:r>
      <w:r w:rsidR="00D635A6">
        <w:t>] and take any further steps we deem necessary”.</w:t>
      </w:r>
    </w:p>
    <w:p w14:paraId="45D9AE22" w14:textId="1A5F5E9C" w:rsidR="00E52A6A" w:rsidRDefault="001743E1" w:rsidP="001743E1">
      <w:pPr>
        <w:pStyle w:val="LC1"/>
        <w:numPr>
          <w:ilvl w:val="0"/>
          <w:numId w:val="0"/>
        </w:numPr>
        <w:ind w:left="720" w:hanging="720"/>
      </w:pPr>
      <w:r>
        <w:rPr>
          <w:rFonts w:cs="Arial"/>
          <w:szCs w:val="24"/>
        </w:rPr>
        <w:t>[9]</w:t>
      </w:r>
      <w:r>
        <w:rPr>
          <w:rFonts w:cs="Arial"/>
          <w:szCs w:val="24"/>
        </w:rPr>
        <w:tab/>
      </w:r>
      <w:r w:rsidR="00FC455A">
        <w:t xml:space="preserve">On 7 April 2022, the </w:t>
      </w:r>
      <w:r w:rsidR="00E52A6A">
        <w:t xml:space="preserve">COJ purported to </w:t>
      </w:r>
      <w:r w:rsidR="00FC455A">
        <w:t xml:space="preserve">cancel KCC’s </w:t>
      </w:r>
      <w:r w:rsidR="00A16910">
        <w:t xml:space="preserve">notarial </w:t>
      </w:r>
      <w:r w:rsidR="00FC455A">
        <w:t>lease</w:t>
      </w:r>
      <w:r w:rsidR="00A16910">
        <w:t>s</w:t>
      </w:r>
      <w:r w:rsidR="00D635A6">
        <w:t xml:space="preserve">, </w:t>
      </w:r>
      <w:r w:rsidR="00D635A6" w:rsidRPr="007C7470">
        <w:rPr>
          <w:i/>
          <w:iCs/>
        </w:rPr>
        <w:t>inter alia</w:t>
      </w:r>
      <w:r w:rsidR="00FC455A">
        <w:t xml:space="preserve"> on the basis that KCC had failed to rectify the breaches set out in the breach notice</w:t>
      </w:r>
      <w:r w:rsidR="00DE70C4">
        <w:t xml:space="preserve"> referred to above</w:t>
      </w:r>
      <w:r w:rsidR="00FC455A">
        <w:t xml:space="preserve">. On 10 June 2022, the </w:t>
      </w:r>
      <w:r w:rsidR="00E52A6A">
        <w:t xml:space="preserve">COJ </w:t>
      </w:r>
      <w:r w:rsidR="00D410AE">
        <w:t xml:space="preserve">launched the </w:t>
      </w:r>
      <w:r w:rsidR="00267ADF">
        <w:t>COJ’s</w:t>
      </w:r>
      <w:r w:rsidR="00E52A6A">
        <w:t xml:space="preserve"> </w:t>
      </w:r>
      <w:r w:rsidR="00D410AE">
        <w:t xml:space="preserve">eviction application </w:t>
      </w:r>
      <w:r w:rsidR="00FC455A">
        <w:t>(albeit as a counter</w:t>
      </w:r>
      <w:r w:rsidR="00DE70C4">
        <w:t xml:space="preserve"> </w:t>
      </w:r>
      <w:r w:rsidR="00FC455A">
        <w:t xml:space="preserve">application in another application that KCC had brought </w:t>
      </w:r>
      <w:r w:rsidR="007C7470">
        <w:t>seeking the eviction of certain other sub</w:t>
      </w:r>
      <w:r w:rsidR="00FC455A">
        <w:t xml:space="preserve">lessees </w:t>
      </w:r>
      <w:r w:rsidR="007C7470">
        <w:t xml:space="preserve">of </w:t>
      </w:r>
      <w:r w:rsidR="00951279">
        <w:t>advertising billboards</w:t>
      </w:r>
      <w:r w:rsidR="00D635A6">
        <w:t xml:space="preserve"> on the property and which also formed the basis of the </w:t>
      </w:r>
      <w:r w:rsidR="00E52A6A">
        <w:t>COJ</w:t>
      </w:r>
      <w:r w:rsidR="00D635A6">
        <w:t>’s cancellation</w:t>
      </w:r>
      <w:r w:rsidR="00951279">
        <w:t xml:space="preserve">) for orders confirming the </w:t>
      </w:r>
      <w:r w:rsidR="00E52A6A">
        <w:t xml:space="preserve">purported </w:t>
      </w:r>
      <w:r w:rsidR="00951279">
        <w:t>cancellation of KCC</w:t>
      </w:r>
      <w:r w:rsidR="00D635A6">
        <w:t>’s</w:t>
      </w:r>
      <w:r w:rsidR="00951279">
        <w:t xml:space="preserve"> notarial lease</w:t>
      </w:r>
      <w:r w:rsidR="00A16910">
        <w:t>s</w:t>
      </w:r>
      <w:r w:rsidR="00951279">
        <w:t xml:space="preserve"> </w:t>
      </w:r>
      <w:r w:rsidR="00D635A6">
        <w:t xml:space="preserve">and for the </w:t>
      </w:r>
      <w:r w:rsidR="00951279">
        <w:t xml:space="preserve">eviction of KCC </w:t>
      </w:r>
      <w:r w:rsidR="00862950">
        <w:t xml:space="preserve">and </w:t>
      </w:r>
      <w:r w:rsidR="00A16910">
        <w:t xml:space="preserve">La Vie </w:t>
      </w:r>
      <w:r w:rsidR="00951279">
        <w:t>from the property</w:t>
      </w:r>
      <w:r w:rsidR="00D635A6">
        <w:t>.</w:t>
      </w:r>
      <w:r w:rsidR="00951279">
        <w:t xml:space="preserve"> </w:t>
      </w:r>
      <w:r w:rsidR="00862950">
        <w:t xml:space="preserve">Although the </w:t>
      </w:r>
      <w:r w:rsidR="00E52A6A">
        <w:t>COJ</w:t>
      </w:r>
      <w:r w:rsidR="00862950">
        <w:t xml:space="preserve"> indicated that it would in due course seek the joinder of La Vie, this joinder has yet to be </w:t>
      </w:r>
      <w:r w:rsidR="00BF5350">
        <w:t xml:space="preserve">sought or </w:t>
      </w:r>
      <w:r w:rsidR="00862950">
        <w:t xml:space="preserve">effected. In </w:t>
      </w:r>
      <w:r w:rsidR="00E52A6A">
        <w:t xml:space="preserve">opposing </w:t>
      </w:r>
      <w:r w:rsidR="00862950">
        <w:t xml:space="preserve">the </w:t>
      </w:r>
      <w:r w:rsidR="00267ADF">
        <w:t>COJ’s</w:t>
      </w:r>
      <w:r w:rsidR="00E52A6A">
        <w:t xml:space="preserve"> </w:t>
      </w:r>
      <w:r w:rsidR="00862950">
        <w:t xml:space="preserve">eviction application, KCC </w:t>
      </w:r>
      <w:r w:rsidR="00E52A6A">
        <w:t xml:space="preserve">contends that it had in fact remedied its breach prior to the issuing of the COJ’s breach notice, </w:t>
      </w:r>
      <w:r w:rsidR="00E52A6A" w:rsidRPr="007C7470">
        <w:rPr>
          <w:i/>
          <w:iCs/>
        </w:rPr>
        <w:t>inter alia</w:t>
      </w:r>
      <w:r w:rsidR="00E52A6A">
        <w:t xml:space="preserve"> because the La Vie sublease had by then already expired and KCC had declined to extend it</w:t>
      </w:r>
      <w:r w:rsidR="007D1E1A">
        <w:t xml:space="preserve"> and </w:t>
      </w:r>
      <w:r w:rsidR="00AF7F1E">
        <w:t xml:space="preserve">demanded that </w:t>
      </w:r>
      <w:r w:rsidR="007D1E1A">
        <w:t>La Vie vacate the restaurant premises</w:t>
      </w:r>
      <w:r w:rsidR="00E52A6A">
        <w:t xml:space="preserve">. In addition, </w:t>
      </w:r>
      <w:r w:rsidR="00DE70C4">
        <w:t xml:space="preserve">on 11 October 2022, </w:t>
      </w:r>
      <w:r w:rsidR="00E52A6A">
        <w:t xml:space="preserve">KCC </w:t>
      </w:r>
      <w:r w:rsidR="004D2334">
        <w:t xml:space="preserve">launched the review application in which it </w:t>
      </w:r>
      <w:r w:rsidR="00E52A6A">
        <w:t>contends that</w:t>
      </w:r>
      <w:r w:rsidR="004D2334">
        <w:t>,</w:t>
      </w:r>
      <w:r w:rsidR="00E52A6A">
        <w:t xml:space="preserve"> even if the COJ </w:t>
      </w:r>
      <w:r w:rsidR="007C7470">
        <w:t xml:space="preserve">did have </w:t>
      </w:r>
      <w:r w:rsidR="00E52A6A">
        <w:t>the right to cancel KCC’s notarial leases</w:t>
      </w:r>
      <w:r w:rsidR="007C7470">
        <w:t xml:space="preserve">, the exercise of that right falls to be reviewed and set aside under the Promotion of Administrative Justice Act, </w:t>
      </w:r>
      <w:r w:rsidR="00DE70C4">
        <w:t>3</w:t>
      </w:r>
      <w:r w:rsidR="007C7470">
        <w:t xml:space="preserve"> of 2000 or the doctrine of legality because</w:t>
      </w:r>
      <w:r w:rsidR="00E52A6A">
        <w:t xml:space="preserve"> </w:t>
      </w:r>
      <w:r w:rsidR="007C7470">
        <w:t>(i) the Legal Manager who made the decision was not duly authorised to do so; (ii) it was procedurally unfair and procedurally irrational; and (iii) it was unreasonable, irrational and failed to take relevant considerations into account</w:t>
      </w:r>
      <w:r w:rsidR="004D2334">
        <w:t>.</w:t>
      </w:r>
    </w:p>
    <w:p w14:paraId="58024EE4" w14:textId="6FF4B8B8" w:rsidR="00216886" w:rsidRDefault="001743E1" w:rsidP="001743E1">
      <w:pPr>
        <w:pStyle w:val="LC1"/>
        <w:numPr>
          <w:ilvl w:val="0"/>
          <w:numId w:val="0"/>
        </w:numPr>
        <w:ind w:left="720" w:hanging="720"/>
      </w:pPr>
      <w:r>
        <w:rPr>
          <w:rFonts w:cs="Arial"/>
          <w:szCs w:val="24"/>
        </w:rPr>
        <w:t>[10]</w:t>
      </w:r>
      <w:r>
        <w:rPr>
          <w:rFonts w:cs="Arial"/>
          <w:szCs w:val="24"/>
        </w:rPr>
        <w:tab/>
      </w:r>
      <w:r w:rsidR="00B928E7">
        <w:t xml:space="preserve">On 23 February 2023, KCC delivered </w:t>
      </w:r>
      <w:r w:rsidR="00D6342F">
        <w:t xml:space="preserve">its eviction and payment </w:t>
      </w:r>
      <w:r w:rsidR="00B928E7">
        <w:t>application.</w:t>
      </w:r>
      <w:r w:rsidR="00D410AE">
        <w:t xml:space="preserve"> After </w:t>
      </w:r>
      <w:r w:rsidR="00D410AE">
        <w:lastRenderedPageBreak/>
        <w:t xml:space="preserve">all the papers and the heads of argument </w:t>
      </w:r>
      <w:r w:rsidR="00D6342F">
        <w:t>had already been filed</w:t>
      </w:r>
      <w:r w:rsidR="004D2334">
        <w:t>,</w:t>
      </w:r>
      <w:r w:rsidR="00D6342F">
        <w:t xml:space="preserve"> and after </w:t>
      </w:r>
      <w:r w:rsidR="002C615E">
        <w:t xml:space="preserve">the application </w:t>
      </w:r>
      <w:r w:rsidR="00D6342F">
        <w:t xml:space="preserve">had </w:t>
      </w:r>
      <w:r w:rsidR="002C615E">
        <w:t xml:space="preserve">already </w:t>
      </w:r>
      <w:r w:rsidR="00D6342F">
        <w:t>been set down for hearing in the week of 1</w:t>
      </w:r>
      <w:r w:rsidR="00017745">
        <w:t>3</w:t>
      </w:r>
      <w:r w:rsidR="00D6342F">
        <w:t xml:space="preserve"> November 2023, La Vie launched the stay application</w:t>
      </w:r>
      <w:r w:rsidR="00DE70C4">
        <w:t>,</w:t>
      </w:r>
      <w:r w:rsidR="00D6342F">
        <w:t xml:space="preserve"> seeking to enrolled </w:t>
      </w:r>
      <w:r w:rsidR="002C615E">
        <w:t xml:space="preserve">it </w:t>
      </w:r>
      <w:r w:rsidR="00D6342F">
        <w:t>on the urgent court roll during the week of 7 November 2023</w:t>
      </w:r>
      <w:r w:rsidR="00BF5350">
        <w:t xml:space="preserve"> (i.e. the week before KCC’s application was due to be heard)</w:t>
      </w:r>
      <w:r w:rsidR="00D6342F">
        <w:t xml:space="preserve">. </w:t>
      </w:r>
      <w:r w:rsidR="002C615E">
        <w:t xml:space="preserve">Despite this, the </w:t>
      </w:r>
      <w:r w:rsidR="00D6342F">
        <w:t xml:space="preserve">stay application was </w:t>
      </w:r>
      <w:r w:rsidR="002C615E">
        <w:t xml:space="preserve">ultimately </w:t>
      </w:r>
      <w:r w:rsidR="00D6342F">
        <w:t>not moved before the urgent court</w:t>
      </w:r>
      <w:r w:rsidR="00000719">
        <w:t xml:space="preserve"> and </w:t>
      </w:r>
      <w:r w:rsidR="00633542">
        <w:t>instead,</w:t>
      </w:r>
      <w:r w:rsidR="00BF5350">
        <w:t xml:space="preserve"> as noted above, it was agreed that the two applications would be </w:t>
      </w:r>
      <w:r w:rsidR="00633542">
        <w:t xml:space="preserve">argued </w:t>
      </w:r>
      <w:r w:rsidR="00BF5350">
        <w:t>together</w:t>
      </w:r>
      <w:r w:rsidR="00633542">
        <w:t xml:space="preserve"> before me</w:t>
      </w:r>
      <w:r w:rsidR="00BF5350">
        <w:t>.</w:t>
      </w:r>
      <w:r w:rsidR="00772AE2">
        <w:t xml:space="preserve"> To the extent that it is necessary, I condoned the late delivery of the </w:t>
      </w:r>
      <w:r w:rsidR="00863DF5">
        <w:t xml:space="preserve">parties’ </w:t>
      </w:r>
      <w:r w:rsidR="00772AE2">
        <w:t xml:space="preserve">answering and replying affidavits in the stay application, and </w:t>
      </w:r>
      <w:r w:rsidR="002C615E">
        <w:t xml:space="preserve">I </w:t>
      </w:r>
      <w:r w:rsidR="00863DF5">
        <w:t>have considered all the papers that have been delivered in that application.</w:t>
      </w:r>
    </w:p>
    <w:p w14:paraId="2EEEFA88" w14:textId="439CC314" w:rsidR="00017745" w:rsidRDefault="001743E1" w:rsidP="001743E1">
      <w:pPr>
        <w:pStyle w:val="LC1"/>
        <w:numPr>
          <w:ilvl w:val="0"/>
          <w:numId w:val="0"/>
        </w:numPr>
        <w:ind w:left="720" w:hanging="720"/>
      </w:pPr>
      <w:r>
        <w:rPr>
          <w:rFonts w:cs="Arial"/>
          <w:szCs w:val="24"/>
        </w:rPr>
        <w:t>[11]</w:t>
      </w:r>
      <w:r>
        <w:rPr>
          <w:rFonts w:cs="Arial"/>
          <w:szCs w:val="24"/>
        </w:rPr>
        <w:tab/>
      </w:r>
      <w:r w:rsidR="001D4623">
        <w:t xml:space="preserve">One of the bases advanced by La Vie for the </w:t>
      </w:r>
      <w:r w:rsidR="003A4050">
        <w:t xml:space="preserve">relief it seeks in </w:t>
      </w:r>
      <w:r w:rsidR="001D4623">
        <w:t xml:space="preserve">stay application </w:t>
      </w:r>
      <w:r w:rsidR="00772AE2">
        <w:t xml:space="preserve">is </w:t>
      </w:r>
      <w:r w:rsidR="001D4623">
        <w:t xml:space="preserve">the contention that the doctrine of </w:t>
      </w:r>
      <w:r w:rsidR="001D4623" w:rsidRPr="001D4623">
        <w:rPr>
          <w:i/>
          <w:iCs/>
        </w:rPr>
        <w:t xml:space="preserve">lis </w:t>
      </w:r>
      <w:r w:rsidR="009C7E05">
        <w:rPr>
          <w:i/>
          <w:iCs/>
        </w:rPr>
        <w:t xml:space="preserve">alibi </w:t>
      </w:r>
      <w:r w:rsidR="001D4623" w:rsidRPr="001D4623">
        <w:rPr>
          <w:i/>
          <w:iCs/>
        </w:rPr>
        <w:t>pendens</w:t>
      </w:r>
      <w:r w:rsidR="001D4623">
        <w:t xml:space="preserve"> </w:t>
      </w:r>
      <w:r w:rsidR="00772AE2">
        <w:t xml:space="preserve">is </w:t>
      </w:r>
      <w:r w:rsidR="001D4623">
        <w:t>applicable. In its answer</w:t>
      </w:r>
      <w:r w:rsidR="00772AE2">
        <w:t>ing affidavit</w:t>
      </w:r>
      <w:r w:rsidR="001D4623">
        <w:t xml:space="preserve">, KCC </w:t>
      </w:r>
      <w:r w:rsidR="00772AE2">
        <w:t xml:space="preserve">sought to take </w:t>
      </w:r>
      <w:r w:rsidR="001D4623">
        <w:t xml:space="preserve">the point that </w:t>
      </w:r>
      <w:r w:rsidR="009C7E05" w:rsidRPr="009C7E05">
        <w:t>this</w:t>
      </w:r>
      <w:r w:rsidR="009C7E05">
        <w:rPr>
          <w:i/>
          <w:iCs/>
        </w:rPr>
        <w:t xml:space="preserve"> </w:t>
      </w:r>
      <w:r w:rsidR="001D4623">
        <w:t xml:space="preserve">had not been raised as a defence in the eviction </w:t>
      </w:r>
      <w:r w:rsidR="008561B1">
        <w:rPr>
          <w:rFonts w:cs="Arial"/>
          <w:szCs w:val="24"/>
        </w:rPr>
        <w:t xml:space="preserve">and payment </w:t>
      </w:r>
      <w:r w:rsidR="001D4623">
        <w:t>application</w:t>
      </w:r>
      <w:r w:rsidR="00772AE2">
        <w:t>.</w:t>
      </w:r>
      <w:r w:rsidR="001D4623">
        <w:t xml:space="preserve"> </w:t>
      </w:r>
      <w:r w:rsidR="00772AE2">
        <w:t>This</w:t>
      </w:r>
      <w:r w:rsidR="001D4623">
        <w:t xml:space="preserve"> in turn</w:t>
      </w:r>
      <w:r w:rsidR="004D2334">
        <w:t xml:space="preserve"> </w:t>
      </w:r>
      <w:r w:rsidR="001D4623">
        <w:t xml:space="preserve">prompted </w:t>
      </w:r>
      <w:r w:rsidR="00017745">
        <w:t xml:space="preserve">La Vie </w:t>
      </w:r>
      <w:r w:rsidR="001D4623">
        <w:t xml:space="preserve">to </w:t>
      </w:r>
      <w:r w:rsidR="00017745">
        <w:t xml:space="preserve">deliver a further interlocutory application seeking to supplement its answering affidavit in the eviction </w:t>
      </w:r>
      <w:r w:rsidR="008561B1">
        <w:rPr>
          <w:rFonts w:cs="Arial"/>
          <w:szCs w:val="24"/>
        </w:rPr>
        <w:t xml:space="preserve">and payment </w:t>
      </w:r>
      <w:r w:rsidR="00017745">
        <w:t>application</w:t>
      </w:r>
      <w:r w:rsidR="004E1FFB">
        <w:t xml:space="preserve"> </w:t>
      </w:r>
      <w:r w:rsidR="004D2334">
        <w:t xml:space="preserve">so as </w:t>
      </w:r>
      <w:r w:rsidR="004E1FFB">
        <w:t>to formally raise that defence</w:t>
      </w:r>
      <w:r w:rsidR="00017745">
        <w:t xml:space="preserve">. Although the supplementation application was opposed by KCC on the basis that </w:t>
      </w:r>
      <w:r w:rsidR="00772AE2">
        <w:t xml:space="preserve">it </w:t>
      </w:r>
      <w:r w:rsidR="00017745">
        <w:t>constituted “a desperate attempt to derail the eviction application … by rendering the eviction application a procedural mess through numerous interlocutory applications” and a strategy to avoid its determination in the week of 13 November</w:t>
      </w:r>
      <w:r w:rsidR="001D4623">
        <w:t xml:space="preserve"> </w:t>
      </w:r>
      <w:r w:rsidR="00017745">
        <w:t xml:space="preserve">2023, it was also agreed at the pre-hearing meeting that </w:t>
      </w:r>
      <w:r w:rsidR="004E1FFB">
        <w:t xml:space="preserve">the supplementation of La Vie’s answering affidavit should be allowed, with only the question of </w:t>
      </w:r>
      <w:r w:rsidR="004D2334">
        <w:t xml:space="preserve">the </w:t>
      </w:r>
      <w:r w:rsidR="004E1FFB">
        <w:t xml:space="preserve">costs </w:t>
      </w:r>
      <w:r w:rsidR="004D2334">
        <w:t>of the supplementation application remaining for determination</w:t>
      </w:r>
      <w:r w:rsidR="004E1FFB">
        <w:t xml:space="preserve">. </w:t>
      </w:r>
    </w:p>
    <w:p w14:paraId="4D5C1180" w14:textId="1363EAC3" w:rsidR="009E74C7" w:rsidRPr="00AB52EE" w:rsidRDefault="00FD2F01" w:rsidP="002A135E">
      <w:pPr>
        <w:pStyle w:val="LC1"/>
        <w:keepNext/>
        <w:numPr>
          <w:ilvl w:val="0"/>
          <w:numId w:val="0"/>
        </w:numPr>
        <w:rPr>
          <w:rFonts w:cs="Arial"/>
          <w:b/>
          <w:bCs/>
          <w:szCs w:val="24"/>
        </w:rPr>
      </w:pPr>
      <w:r>
        <w:rPr>
          <w:rFonts w:cs="Arial"/>
          <w:b/>
          <w:bCs/>
          <w:szCs w:val="24"/>
        </w:rPr>
        <w:lastRenderedPageBreak/>
        <w:t>THE STAY APPLICATION</w:t>
      </w:r>
    </w:p>
    <w:p w14:paraId="6E9784FD" w14:textId="1863B17D" w:rsidR="0086427C" w:rsidRDefault="001743E1" w:rsidP="001743E1">
      <w:pPr>
        <w:pStyle w:val="LC1"/>
        <w:numPr>
          <w:ilvl w:val="0"/>
          <w:numId w:val="0"/>
        </w:numPr>
        <w:ind w:left="720" w:hanging="720"/>
      </w:pPr>
      <w:r>
        <w:rPr>
          <w:rFonts w:cs="Arial"/>
          <w:szCs w:val="24"/>
        </w:rPr>
        <w:t>[12]</w:t>
      </w:r>
      <w:r>
        <w:rPr>
          <w:rFonts w:cs="Arial"/>
          <w:szCs w:val="24"/>
        </w:rPr>
        <w:tab/>
      </w:r>
      <w:r w:rsidR="0086427C">
        <w:t xml:space="preserve">La </w:t>
      </w:r>
      <w:proofErr w:type="spellStart"/>
      <w:r w:rsidR="0086427C">
        <w:t>Vie</w:t>
      </w:r>
      <w:r w:rsidR="00863DF5">
        <w:t>’s</w:t>
      </w:r>
      <w:proofErr w:type="spellEnd"/>
      <w:r w:rsidR="00863DF5">
        <w:t xml:space="preserve"> </w:t>
      </w:r>
      <w:r w:rsidR="0086427C">
        <w:t>founding affidavit in the stay application set</w:t>
      </w:r>
      <w:r w:rsidR="00863DF5">
        <w:t>s</w:t>
      </w:r>
      <w:r w:rsidR="0086427C">
        <w:t xml:space="preserve"> out four </w:t>
      </w:r>
      <w:r w:rsidR="003A4050">
        <w:t>grounds up</w:t>
      </w:r>
      <w:r w:rsidR="0086427C">
        <w:t>on which it seeks the stay</w:t>
      </w:r>
      <w:r w:rsidR="003A4050">
        <w:t xml:space="preserve"> of the eviction and payment application. They are</w:t>
      </w:r>
      <w:r w:rsidR="0086427C">
        <w:t xml:space="preserve"> as follows: (i) “the importance of the matter” to La Vie and its employees; (ii) </w:t>
      </w:r>
      <w:r w:rsidR="00394691">
        <w:t xml:space="preserve">KCC’s </w:t>
      </w:r>
      <w:r w:rsidR="0086427C">
        <w:t xml:space="preserve">eviction </w:t>
      </w:r>
      <w:r w:rsidR="008561B1">
        <w:rPr>
          <w:rFonts w:cs="Arial"/>
          <w:szCs w:val="24"/>
        </w:rPr>
        <w:t xml:space="preserve">and payment </w:t>
      </w:r>
      <w:r w:rsidR="0086427C">
        <w:t>application is premature since La Vie has “started negotiations” with the C</w:t>
      </w:r>
      <w:r w:rsidR="00C00FC9">
        <w:t>O</w:t>
      </w:r>
      <w:r w:rsidR="0086427C">
        <w:t xml:space="preserve">J to conclude a direct lease for the restaurant premises; (iii) the question of KCC’s </w:t>
      </w:r>
      <w:r w:rsidR="0086427C" w:rsidRPr="007D0E1A">
        <w:rPr>
          <w:i/>
          <w:iCs/>
        </w:rPr>
        <w:t>locus standi</w:t>
      </w:r>
      <w:r w:rsidR="0086427C">
        <w:t xml:space="preserve"> is “unclear” given that La Vie has been advised by its legal representatives that the facts of this matter distinguish it from </w:t>
      </w:r>
      <w:r w:rsidR="0086427C" w:rsidRPr="00394691">
        <w:rPr>
          <w:i/>
          <w:iCs/>
        </w:rPr>
        <w:t>Mighty Solutions</w:t>
      </w:r>
      <w:r w:rsidR="0086427C">
        <w:t xml:space="preserve">; and (iv) because the doctrine of </w:t>
      </w:r>
      <w:r w:rsidR="0086427C" w:rsidRPr="00394691">
        <w:rPr>
          <w:i/>
          <w:iCs/>
        </w:rPr>
        <w:t xml:space="preserve">lis </w:t>
      </w:r>
      <w:r w:rsidR="009C7E05">
        <w:rPr>
          <w:i/>
          <w:iCs/>
        </w:rPr>
        <w:t xml:space="preserve">alibi </w:t>
      </w:r>
      <w:r w:rsidR="0086427C" w:rsidRPr="00394691">
        <w:rPr>
          <w:i/>
          <w:iCs/>
        </w:rPr>
        <w:t>pendens</w:t>
      </w:r>
      <w:r w:rsidR="0086427C">
        <w:t xml:space="preserve"> applies since the same relief </w:t>
      </w:r>
      <w:r w:rsidR="002F38F2">
        <w:t xml:space="preserve">(i.e. La Vie’s eviction) </w:t>
      </w:r>
      <w:r w:rsidR="0086427C">
        <w:t xml:space="preserve">is sought in the </w:t>
      </w:r>
      <w:r w:rsidR="00267ADF">
        <w:t xml:space="preserve">COJ’s </w:t>
      </w:r>
      <w:r w:rsidR="0086427C">
        <w:t>eviction application.</w:t>
      </w:r>
    </w:p>
    <w:p w14:paraId="45D5C5D6" w14:textId="78B6D058" w:rsidR="0086427C" w:rsidRDefault="001743E1" w:rsidP="001743E1">
      <w:pPr>
        <w:pStyle w:val="LC1"/>
        <w:numPr>
          <w:ilvl w:val="0"/>
          <w:numId w:val="0"/>
        </w:numPr>
        <w:ind w:left="720" w:hanging="720"/>
      </w:pPr>
      <w:r>
        <w:rPr>
          <w:rFonts w:cs="Arial"/>
          <w:szCs w:val="24"/>
        </w:rPr>
        <w:t>[13]</w:t>
      </w:r>
      <w:r>
        <w:rPr>
          <w:rFonts w:cs="Arial"/>
          <w:szCs w:val="24"/>
        </w:rPr>
        <w:tab/>
      </w:r>
      <w:r w:rsidR="0086427C">
        <w:t xml:space="preserve">The only authorities referred to by La Vie in support of its contention as to the existence of a general discretion to stay legal proceedings are decisions of the Labour Court </w:t>
      </w:r>
      <w:r w:rsidR="00983054">
        <w:t xml:space="preserve">in </w:t>
      </w:r>
      <w:r w:rsidR="0086427C">
        <w:t xml:space="preserve">which it </w:t>
      </w:r>
      <w:r w:rsidR="00983054">
        <w:t xml:space="preserve">has </w:t>
      </w:r>
      <w:r w:rsidR="00E75D70">
        <w:t xml:space="preserve">exercised its statutory power to </w:t>
      </w:r>
      <w:r w:rsidR="00983054">
        <w:t>stay the execution of an arbitration award pending the outcome of a review application</w:t>
      </w:r>
      <w:r w:rsidR="002F5D0B">
        <w:t xml:space="preserve"> in terms of section 145(3) of the Labour Relations Act, 66 of 1995</w:t>
      </w:r>
      <w:r w:rsidR="00DE70C4">
        <w:t>.</w:t>
      </w:r>
      <w:r w:rsidR="00BF5350">
        <w:rPr>
          <w:rStyle w:val="FootnoteReference"/>
        </w:rPr>
        <w:footnoteReference w:id="2"/>
      </w:r>
      <w:r w:rsidR="00983054">
        <w:t xml:space="preserve"> </w:t>
      </w:r>
      <w:r w:rsidR="00DE70C4">
        <w:t xml:space="preserve">These judgments have </w:t>
      </w:r>
      <w:r w:rsidR="002F5D0B">
        <w:t xml:space="preserve">in turn have applied the jurisprudence applicable to </w:t>
      </w:r>
      <w:r w:rsidR="00983054">
        <w:t xml:space="preserve">Uniform Rule 45A, which empowers a court to grant an application to “suspend </w:t>
      </w:r>
      <w:r w:rsidR="00983054" w:rsidRPr="00983054">
        <w:t>the operation and execution of any order for such period as it may deem fit</w:t>
      </w:r>
      <w:r w:rsidR="00983054">
        <w:t>”</w:t>
      </w:r>
      <w:r w:rsidR="002F5D0B">
        <w:t>,</w:t>
      </w:r>
      <w:r w:rsidR="00051931">
        <w:rPr>
          <w:rStyle w:val="FootnoteReference"/>
        </w:rPr>
        <w:footnoteReference w:id="3"/>
      </w:r>
      <w:r w:rsidR="00983054">
        <w:t xml:space="preserve"> </w:t>
      </w:r>
      <w:r w:rsidR="007D0E1A">
        <w:t xml:space="preserve">and </w:t>
      </w:r>
      <w:r w:rsidR="00772AE2">
        <w:t xml:space="preserve">the courts’ similar inherent powers </w:t>
      </w:r>
      <w:r w:rsidR="00983054">
        <w:t>under the common law.</w:t>
      </w:r>
      <w:r w:rsidR="00740FB9">
        <w:rPr>
          <w:rStyle w:val="FootnoteReference"/>
        </w:rPr>
        <w:footnoteReference w:id="4"/>
      </w:r>
      <w:r w:rsidR="00983054">
        <w:t xml:space="preserve"> </w:t>
      </w:r>
      <w:r w:rsidR="002F5D0B">
        <w:t xml:space="preserve">Although </w:t>
      </w:r>
      <w:r w:rsidR="00740FB9">
        <w:t xml:space="preserve">some of </w:t>
      </w:r>
      <w:r w:rsidR="002F5D0B">
        <w:t xml:space="preserve">these cases </w:t>
      </w:r>
      <w:r w:rsidR="00E75D70">
        <w:lastRenderedPageBreak/>
        <w:t xml:space="preserve">observe </w:t>
      </w:r>
      <w:r w:rsidR="002F5D0B">
        <w:t xml:space="preserve">that the court </w:t>
      </w:r>
      <w:r w:rsidR="002F38F2">
        <w:t xml:space="preserve">should in the exercise of its discretion consider </w:t>
      </w:r>
      <w:r w:rsidR="002F5D0B">
        <w:t xml:space="preserve">the factors usually applicable to interim interdicts, a similar threshold requirement applies </w:t>
      </w:r>
      <w:r w:rsidR="00983054">
        <w:t xml:space="preserve">in </w:t>
      </w:r>
      <w:r w:rsidR="00740FB9">
        <w:t xml:space="preserve">all </w:t>
      </w:r>
      <w:r w:rsidR="00215356">
        <w:t xml:space="preserve">these </w:t>
      </w:r>
      <w:r w:rsidR="00740FB9">
        <w:t>instances</w:t>
      </w:r>
      <w:r w:rsidR="00983054">
        <w:t xml:space="preserve">: namely whether the applicant has demonstrated that “real and substantial </w:t>
      </w:r>
      <w:r w:rsidR="002F5D0B">
        <w:t>j</w:t>
      </w:r>
      <w:r w:rsidR="00983054">
        <w:t>ustice</w:t>
      </w:r>
      <w:r w:rsidR="00DE70C4">
        <w:t>”</w:t>
      </w:r>
      <w:r w:rsidR="002F5D0B">
        <w:t xml:space="preserve"> requires </w:t>
      </w:r>
      <w:r w:rsidR="00E75D70">
        <w:t xml:space="preserve">the stay </w:t>
      </w:r>
      <w:r w:rsidR="002F5D0B">
        <w:t xml:space="preserve">or </w:t>
      </w:r>
      <w:r w:rsidR="00DE70C4">
        <w:t>that “</w:t>
      </w:r>
      <w:r w:rsidR="002F5D0B">
        <w:t xml:space="preserve">injustice would </w:t>
      </w:r>
      <w:r w:rsidR="00983054">
        <w:t xml:space="preserve">otherwise </w:t>
      </w:r>
      <w:r w:rsidR="007D0E1A">
        <w:t>be done</w:t>
      </w:r>
      <w:r w:rsidR="002F5D0B">
        <w:t>”</w:t>
      </w:r>
      <w:r w:rsidR="00983054">
        <w:t>.</w:t>
      </w:r>
    </w:p>
    <w:p w14:paraId="35137A2F" w14:textId="72246154" w:rsidR="0086427C" w:rsidRDefault="001743E1" w:rsidP="001743E1">
      <w:pPr>
        <w:pStyle w:val="LC1"/>
        <w:numPr>
          <w:ilvl w:val="0"/>
          <w:numId w:val="0"/>
        </w:numPr>
        <w:ind w:left="720" w:hanging="720"/>
      </w:pPr>
      <w:r>
        <w:rPr>
          <w:rFonts w:cs="Arial"/>
          <w:szCs w:val="24"/>
        </w:rPr>
        <w:t>[14]</w:t>
      </w:r>
      <w:r>
        <w:rPr>
          <w:rFonts w:cs="Arial"/>
          <w:szCs w:val="24"/>
        </w:rPr>
        <w:tab/>
      </w:r>
      <w:r w:rsidR="00263562">
        <w:t xml:space="preserve">While it seems to me that </w:t>
      </w:r>
      <w:r w:rsidR="0086427C">
        <w:t>I do have such a discretion</w:t>
      </w:r>
      <w:r w:rsidR="00263562">
        <w:t xml:space="preserve"> on grounds dictated by the interests of justice</w:t>
      </w:r>
      <w:r w:rsidR="0086427C">
        <w:t>,</w:t>
      </w:r>
      <w:r w:rsidR="00263562">
        <w:rPr>
          <w:rStyle w:val="FootnoteReference"/>
        </w:rPr>
        <w:footnoteReference w:id="5"/>
      </w:r>
      <w:r w:rsidR="0086427C">
        <w:t xml:space="preserve"> </w:t>
      </w:r>
      <w:r w:rsidR="00DE70C4">
        <w:t xml:space="preserve">I am of the view that </w:t>
      </w:r>
      <w:r w:rsidR="0086427C">
        <w:t xml:space="preserve">none of the four </w:t>
      </w:r>
      <w:r w:rsidR="002F38F2">
        <w:t xml:space="preserve">grounds </w:t>
      </w:r>
      <w:r w:rsidR="0086427C">
        <w:t xml:space="preserve">relied upon by La Vie </w:t>
      </w:r>
      <w:r w:rsidR="007D0E1A">
        <w:t xml:space="preserve">in the current matter </w:t>
      </w:r>
      <w:r w:rsidR="001C7FB1">
        <w:t xml:space="preserve">sustains its </w:t>
      </w:r>
      <w:r w:rsidR="0086427C">
        <w:t xml:space="preserve">contention that the </w:t>
      </w:r>
      <w:r w:rsidR="001C7FB1">
        <w:t xml:space="preserve">determination of the </w:t>
      </w:r>
      <w:r w:rsidR="0086427C">
        <w:t xml:space="preserve">eviction </w:t>
      </w:r>
      <w:r w:rsidR="001C7FB1">
        <w:t xml:space="preserve">and payment application </w:t>
      </w:r>
      <w:r w:rsidR="0086427C">
        <w:t>would result in injustice</w:t>
      </w:r>
      <w:r w:rsidR="001C7FB1">
        <w:t>.</w:t>
      </w:r>
    </w:p>
    <w:p w14:paraId="474335F0" w14:textId="16EBB13C" w:rsidR="0086427C" w:rsidRPr="0086427C" w:rsidRDefault="0086427C" w:rsidP="00983054">
      <w:pPr>
        <w:pStyle w:val="LC1"/>
        <w:keepNext/>
        <w:numPr>
          <w:ilvl w:val="0"/>
          <w:numId w:val="0"/>
        </w:numPr>
        <w:rPr>
          <w:u w:val="single"/>
        </w:rPr>
      </w:pPr>
      <w:r w:rsidRPr="0086427C">
        <w:rPr>
          <w:u w:val="single"/>
        </w:rPr>
        <w:t>Importance of the matter</w:t>
      </w:r>
      <w:r w:rsidR="00D410AE">
        <w:rPr>
          <w:u w:val="single"/>
        </w:rPr>
        <w:t xml:space="preserve"> to La Vie</w:t>
      </w:r>
    </w:p>
    <w:p w14:paraId="603E49E1" w14:textId="63B6AD54" w:rsidR="00704B36" w:rsidRDefault="001743E1" w:rsidP="001743E1">
      <w:pPr>
        <w:pStyle w:val="LC1"/>
        <w:numPr>
          <w:ilvl w:val="0"/>
          <w:numId w:val="0"/>
        </w:numPr>
        <w:ind w:left="720" w:hanging="720"/>
      </w:pPr>
      <w:r>
        <w:rPr>
          <w:rFonts w:cs="Arial"/>
          <w:szCs w:val="24"/>
        </w:rPr>
        <w:t>[15]</w:t>
      </w:r>
      <w:r>
        <w:rPr>
          <w:rFonts w:cs="Arial"/>
          <w:szCs w:val="24"/>
        </w:rPr>
        <w:tab/>
      </w:r>
      <w:r w:rsidR="0086427C">
        <w:t xml:space="preserve">La Vie alleges that it and its employees </w:t>
      </w:r>
      <w:r w:rsidR="001C7FB1">
        <w:t xml:space="preserve">will </w:t>
      </w:r>
      <w:r w:rsidR="0086427C">
        <w:t xml:space="preserve">face economic </w:t>
      </w:r>
      <w:r w:rsidR="00DE70C4">
        <w:t xml:space="preserve">hardship </w:t>
      </w:r>
      <w:r w:rsidR="0086427C">
        <w:t xml:space="preserve">if they are evicted. While I do recognise the importance of the matter to them in this sense, </w:t>
      </w:r>
      <w:r w:rsidR="002F38F2">
        <w:t xml:space="preserve">this contention </w:t>
      </w:r>
      <w:r w:rsidR="0086427C">
        <w:t xml:space="preserve">in and of itself (i.e. shorn of the remaining allegations, with which I deal below), boils down to nothing more than a plea </w:t>
      </w:r>
      <w:r w:rsidR="0086427C" w:rsidRPr="001C7FB1">
        <w:rPr>
          <w:i/>
          <w:iCs/>
        </w:rPr>
        <w:t>ad misericordiam</w:t>
      </w:r>
      <w:r w:rsidR="0086427C">
        <w:t xml:space="preserve"> for a delay of the inevitable application of the law.</w:t>
      </w:r>
      <w:r w:rsidR="00704B36">
        <w:t xml:space="preserve"> </w:t>
      </w:r>
    </w:p>
    <w:p w14:paraId="7879225C" w14:textId="7B40101A" w:rsidR="0086427C" w:rsidRDefault="001743E1" w:rsidP="001743E1">
      <w:pPr>
        <w:pStyle w:val="LC1"/>
        <w:numPr>
          <w:ilvl w:val="0"/>
          <w:numId w:val="0"/>
        </w:numPr>
        <w:ind w:left="720" w:hanging="720"/>
      </w:pPr>
      <w:r>
        <w:rPr>
          <w:rFonts w:cs="Arial"/>
          <w:szCs w:val="24"/>
        </w:rPr>
        <w:t>[16]</w:t>
      </w:r>
      <w:r>
        <w:rPr>
          <w:rFonts w:cs="Arial"/>
          <w:szCs w:val="24"/>
        </w:rPr>
        <w:tab/>
      </w:r>
      <w:r w:rsidR="00704B36">
        <w:t>In other words, unless I find that there is doubt about the lawfulness of La Vie’s eviction, I cannot see how the fact of the economic hardship that their eviction would cause could constitute a basis for a finding of injustice</w:t>
      </w:r>
      <w:r w:rsidR="00DE70C4">
        <w:t xml:space="preserve"> justifying a stay of the eviction </w:t>
      </w:r>
      <w:r w:rsidR="008561B1">
        <w:rPr>
          <w:rFonts w:cs="Arial"/>
          <w:szCs w:val="24"/>
        </w:rPr>
        <w:t xml:space="preserve">and payment </w:t>
      </w:r>
      <w:r w:rsidR="00DE70C4">
        <w:t>application</w:t>
      </w:r>
      <w:r w:rsidR="00704B36">
        <w:t xml:space="preserve">. </w:t>
      </w:r>
    </w:p>
    <w:p w14:paraId="5A280C05" w14:textId="4EB9A32E" w:rsidR="0086427C" w:rsidRPr="00983054" w:rsidRDefault="00D410AE" w:rsidP="00263562">
      <w:pPr>
        <w:pStyle w:val="LC1"/>
        <w:keepNext/>
        <w:numPr>
          <w:ilvl w:val="0"/>
          <w:numId w:val="0"/>
        </w:numPr>
        <w:rPr>
          <w:u w:val="single"/>
        </w:rPr>
      </w:pPr>
      <w:r>
        <w:rPr>
          <w:u w:val="single"/>
        </w:rPr>
        <w:t>Alleged n</w:t>
      </w:r>
      <w:r w:rsidR="0086427C" w:rsidRPr="00983054">
        <w:rPr>
          <w:u w:val="single"/>
        </w:rPr>
        <w:t xml:space="preserve">egotiations </w:t>
      </w:r>
      <w:r>
        <w:rPr>
          <w:u w:val="single"/>
        </w:rPr>
        <w:t xml:space="preserve">between La </w:t>
      </w:r>
      <w:r w:rsidR="00704B36">
        <w:rPr>
          <w:u w:val="single"/>
        </w:rPr>
        <w:t>V</w:t>
      </w:r>
      <w:r>
        <w:rPr>
          <w:u w:val="single"/>
        </w:rPr>
        <w:t xml:space="preserve">ie and </w:t>
      </w:r>
      <w:r w:rsidR="00983054">
        <w:rPr>
          <w:u w:val="single"/>
        </w:rPr>
        <w:t xml:space="preserve">the </w:t>
      </w:r>
      <w:r w:rsidR="0086427C" w:rsidRPr="00983054">
        <w:rPr>
          <w:u w:val="single"/>
        </w:rPr>
        <w:t>C</w:t>
      </w:r>
      <w:r w:rsidR="00C00FC9">
        <w:rPr>
          <w:u w:val="single"/>
        </w:rPr>
        <w:t>O</w:t>
      </w:r>
      <w:r w:rsidR="0086427C" w:rsidRPr="00983054">
        <w:rPr>
          <w:u w:val="single"/>
        </w:rPr>
        <w:t>J</w:t>
      </w:r>
      <w:r>
        <w:rPr>
          <w:u w:val="single"/>
        </w:rPr>
        <w:t xml:space="preserve"> for La Vie to remain in occupation</w:t>
      </w:r>
    </w:p>
    <w:p w14:paraId="4D620B89" w14:textId="3E4BC136" w:rsidR="0086427C" w:rsidRDefault="001743E1" w:rsidP="001743E1">
      <w:pPr>
        <w:pStyle w:val="LC1"/>
        <w:numPr>
          <w:ilvl w:val="0"/>
          <w:numId w:val="0"/>
        </w:numPr>
        <w:ind w:left="720" w:hanging="720"/>
      </w:pPr>
      <w:r>
        <w:rPr>
          <w:rFonts w:cs="Arial"/>
          <w:szCs w:val="24"/>
        </w:rPr>
        <w:t>[17]</w:t>
      </w:r>
      <w:r>
        <w:rPr>
          <w:rFonts w:cs="Arial"/>
          <w:szCs w:val="24"/>
        </w:rPr>
        <w:tab/>
      </w:r>
      <w:r w:rsidR="0086427C">
        <w:t xml:space="preserve">Regarding the allegation that La Vie had “started negotiations” with the </w:t>
      </w:r>
      <w:r w:rsidR="00C00FC9">
        <w:t>COJ</w:t>
      </w:r>
      <w:r w:rsidR="0086427C">
        <w:t xml:space="preserve"> to </w:t>
      </w:r>
      <w:r w:rsidR="0086427C">
        <w:lastRenderedPageBreak/>
        <w:t xml:space="preserve">conclude a direct lease for the restaurant premises, this turns out to have been </w:t>
      </w:r>
      <w:r w:rsidR="00EE18B3">
        <w:t>somewhat of an overstatement</w:t>
      </w:r>
      <w:r w:rsidR="0086427C">
        <w:t>. The C</w:t>
      </w:r>
      <w:r w:rsidR="00C00FC9">
        <w:t>O</w:t>
      </w:r>
      <w:r w:rsidR="0086427C">
        <w:t>J filed an affidavit in response to this allegation indicating that</w:t>
      </w:r>
      <w:r w:rsidR="002F38F2">
        <w:t>,</w:t>
      </w:r>
      <w:r w:rsidR="0086427C">
        <w:t xml:space="preserve"> </w:t>
      </w:r>
      <w:r w:rsidR="00DE70C4">
        <w:t xml:space="preserve">in actual fact, </w:t>
      </w:r>
      <w:r w:rsidR="0086427C">
        <w:t>it is not in negotiation with La Vie “or any entity for that matter” in relation to the occupation of the restaurant premises</w:t>
      </w:r>
      <w:r w:rsidR="00DE70C4">
        <w:t xml:space="preserve"> at KCC</w:t>
      </w:r>
      <w:r w:rsidR="0086427C">
        <w:t>. In reply, La Vie concedes that all it had done was to send a letter to the C</w:t>
      </w:r>
      <w:r w:rsidR="00C00FC9">
        <w:t>O</w:t>
      </w:r>
      <w:r w:rsidR="0086427C">
        <w:t xml:space="preserve">J “with the intention of having a direct lease”, and that no response had been received. </w:t>
      </w:r>
      <w:r w:rsidR="00EE18B3">
        <w:t xml:space="preserve">This could hardly be described as </w:t>
      </w:r>
      <w:r w:rsidR="0086427C">
        <w:t>constitut</w:t>
      </w:r>
      <w:r w:rsidR="00EE18B3">
        <w:t>ing</w:t>
      </w:r>
      <w:r w:rsidR="0086427C">
        <w:t xml:space="preserve"> the </w:t>
      </w:r>
      <w:r w:rsidR="00EE18B3">
        <w:t xml:space="preserve">commencement </w:t>
      </w:r>
      <w:r w:rsidR="0086427C">
        <w:t xml:space="preserve">of “negotiations” </w:t>
      </w:r>
      <w:r w:rsidR="00EE18B3">
        <w:t>for the conclusion of a lease</w:t>
      </w:r>
      <w:r w:rsidR="0086427C">
        <w:t>.</w:t>
      </w:r>
    </w:p>
    <w:p w14:paraId="456159F1" w14:textId="2EE5BB36" w:rsidR="0086427C" w:rsidRDefault="001743E1" w:rsidP="001743E1">
      <w:pPr>
        <w:pStyle w:val="LC1"/>
        <w:numPr>
          <w:ilvl w:val="0"/>
          <w:numId w:val="0"/>
        </w:numPr>
        <w:ind w:left="720" w:hanging="720"/>
      </w:pPr>
      <w:r>
        <w:rPr>
          <w:rFonts w:cs="Arial"/>
          <w:szCs w:val="24"/>
        </w:rPr>
        <w:t>[18]</w:t>
      </w:r>
      <w:r>
        <w:rPr>
          <w:rFonts w:cs="Arial"/>
          <w:szCs w:val="24"/>
        </w:rPr>
        <w:tab/>
      </w:r>
      <w:r w:rsidR="00704B36">
        <w:t xml:space="preserve">The </w:t>
      </w:r>
      <w:r w:rsidR="0086427C">
        <w:t>C</w:t>
      </w:r>
      <w:r w:rsidR="00C00FC9">
        <w:t>O</w:t>
      </w:r>
      <w:r w:rsidR="0086427C">
        <w:t xml:space="preserve">J also stated that “in the event that” </w:t>
      </w:r>
      <w:r w:rsidR="00704B36">
        <w:t xml:space="preserve">it </w:t>
      </w:r>
      <w:proofErr w:type="gramStart"/>
      <w:r w:rsidR="00704B36">
        <w:t>were</w:t>
      </w:r>
      <w:proofErr w:type="gramEnd"/>
      <w:r w:rsidR="00704B36">
        <w:t xml:space="preserve"> </w:t>
      </w:r>
      <w:r w:rsidR="0086427C">
        <w:t xml:space="preserve">to </w:t>
      </w:r>
      <w:r w:rsidR="00704B36">
        <w:t xml:space="preserve">consider </w:t>
      </w:r>
      <w:r w:rsidR="0086427C">
        <w:t>conclud</w:t>
      </w:r>
      <w:r w:rsidR="00704B36">
        <w:t>ing</w:t>
      </w:r>
      <w:r w:rsidR="0086427C">
        <w:t xml:space="preserve"> a lease for the restaurant premises, </w:t>
      </w:r>
      <w:r w:rsidR="00DE70C4">
        <w:t xml:space="preserve">that </w:t>
      </w:r>
      <w:r w:rsidR="0086427C">
        <w:t xml:space="preserve">“ought to go out on a tender or procurement process” but </w:t>
      </w:r>
      <w:r w:rsidR="00704B36">
        <w:t xml:space="preserve">that </w:t>
      </w:r>
      <w:r w:rsidR="0086427C">
        <w:t xml:space="preserve">“that process has not started yet”, and “once it is open a public tender will ensue”. Although La Vie appears to read into this that a tender process is “due”, there is no evidence that </w:t>
      </w:r>
      <w:r w:rsidR="00EE18B3">
        <w:t xml:space="preserve">such a process </w:t>
      </w:r>
      <w:r w:rsidR="00704B36">
        <w:t xml:space="preserve">is </w:t>
      </w:r>
      <w:r w:rsidR="00DE70C4">
        <w:t xml:space="preserve">even </w:t>
      </w:r>
      <w:r w:rsidR="0086427C">
        <w:t>being planned</w:t>
      </w:r>
      <w:r w:rsidR="00DE70C4">
        <w:t xml:space="preserve"> by the COJ</w:t>
      </w:r>
      <w:r w:rsidR="0086427C">
        <w:t xml:space="preserve">, let alone </w:t>
      </w:r>
      <w:r w:rsidR="00DE70C4">
        <w:t xml:space="preserve">that it is </w:t>
      </w:r>
      <w:r w:rsidR="0086427C">
        <w:t xml:space="preserve">imminent. </w:t>
      </w:r>
    </w:p>
    <w:p w14:paraId="42C43DDB" w14:textId="4C27D366" w:rsidR="0086427C" w:rsidRDefault="001743E1" w:rsidP="001743E1">
      <w:pPr>
        <w:pStyle w:val="LC1"/>
        <w:numPr>
          <w:ilvl w:val="0"/>
          <w:numId w:val="0"/>
        </w:numPr>
        <w:ind w:left="720" w:hanging="720"/>
      </w:pPr>
      <w:r>
        <w:rPr>
          <w:rFonts w:cs="Arial"/>
          <w:szCs w:val="24"/>
        </w:rPr>
        <w:t>[19]</w:t>
      </w:r>
      <w:r>
        <w:rPr>
          <w:rFonts w:cs="Arial"/>
          <w:szCs w:val="24"/>
        </w:rPr>
        <w:tab/>
      </w:r>
      <w:r w:rsidR="0086427C">
        <w:t xml:space="preserve">This factual basis for the contention that the eviction </w:t>
      </w:r>
      <w:r w:rsidR="008561B1">
        <w:rPr>
          <w:rFonts w:cs="Arial"/>
          <w:szCs w:val="24"/>
        </w:rPr>
        <w:t xml:space="preserve">and payment </w:t>
      </w:r>
      <w:r w:rsidR="0086427C">
        <w:t xml:space="preserve">application is “premature” for this reason is </w:t>
      </w:r>
      <w:r w:rsidR="00EE18B3">
        <w:t xml:space="preserve">therefore </w:t>
      </w:r>
      <w:r w:rsidR="0086427C">
        <w:t>abstract and speculative at best</w:t>
      </w:r>
      <w:r w:rsidR="002F38F2">
        <w:t xml:space="preserve"> and is in my view an insufficient basis to grant the stay that La Vie seeks</w:t>
      </w:r>
      <w:r w:rsidR="0086427C">
        <w:t xml:space="preserve">. </w:t>
      </w:r>
    </w:p>
    <w:p w14:paraId="7D85C316" w14:textId="08D5DC36" w:rsidR="0086427C" w:rsidRPr="00983054" w:rsidRDefault="00D410AE" w:rsidP="00983054">
      <w:pPr>
        <w:pStyle w:val="LC1"/>
        <w:numPr>
          <w:ilvl w:val="0"/>
          <w:numId w:val="0"/>
        </w:numPr>
        <w:rPr>
          <w:u w:val="single"/>
        </w:rPr>
      </w:pPr>
      <w:r>
        <w:rPr>
          <w:u w:val="single"/>
        </w:rPr>
        <w:t xml:space="preserve">KCC’s </w:t>
      </w:r>
      <w:r w:rsidRPr="00D410AE">
        <w:rPr>
          <w:i/>
          <w:iCs/>
          <w:u w:val="single"/>
        </w:rPr>
        <w:t>l</w:t>
      </w:r>
      <w:r w:rsidR="0086427C" w:rsidRPr="00D410AE">
        <w:rPr>
          <w:i/>
          <w:iCs/>
          <w:u w:val="single"/>
        </w:rPr>
        <w:t xml:space="preserve">ocus </w:t>
      </w:r>
      <w:r w:rsidRPr="00D410AE">
        <w:rPr>
          <w:i/>
          <w:iCs/>
          <w:u w:val="single"/>
        </w:rPr>
        <w:t>s</w:t>
      </w:r>
      <w:r w:rsidR="0086427C" w:rsidRPr="00D410AE">
        <w:rPr>
          <w:i/>
          <w:iCs/>
          <w:u w:val="single"/>
        </w:rPr>
        <w:t>tandi</w:t>
      </w:r>
      <w:r w:rsidR="00DF6E28">
        <w:rPr>
          <w:u w:val="single"/>
        </w:rPr>
        <w:t xml:space="preserve"> </w:t>
      </w:r>
      <w:r w:rsidR="0086427C" w:rsidRPr="00983054">
        <w:rPr>
          <w:u w:val="single"/>
        </w:rPr>
        <w:t xml:space="preserve">and </w:t>
      </w:r>
      <w:r>
        <w:rPr>
          <w:u w:val="single"/>
        </w:rPr>
        <w:t xml:space="preserve">the issue of </w:t>
      </w:r>
      <w:r w:rsidR="0086427C" w:rsidRPr="00D410AE">
        <w:rPr>
          <w:i/>
          <w:iCs/>
          <w:u w:val="single"/>
        </w:rPr>
        <w:t xml:space="preserve">lis </w:t>
      </w:r>
      <w:r w:rsidR="009C7E05">
        <w:rPr>
          <w:i/>
          <w:iCs/>
          <w:u w:val="single"/>
        </w:rPr>
        <w:t xml:space="preserve">alibi </w:t>
      </w:r>
      <w:r w:rsidR="0086427C" w:rsidRPr="00D410AE">
        <w:rPr>
          <w:i/>
          <w:iCs/>
          <w:u w:val="single"/>
        </w:rPr>
        <w:t>pendens</w:t>
      </w:r>
    </w:p>
    <w:p w14:paraId="257F934C" w14:textId="08AF67A5" w:rsidR="00E15A6E" w:rsidRDefault="001743E1" w:rsidP="001743E1">
      <w:pPr>
        <w:pStyle w:val="LC1"/>
        <w:numPr>
          <w:ilvl w:val="0"/>
          <w:numId w:val="0"/>
        </w:numPr>
        <w:ind w:left="720" w:hanging="720"/>
      </w:pPr>
      <w:r>
        <w:rPr>
          <w:rFonts w:cs="Arial"/>
          <w:szCs w:val="24"/>
        </w:rPr>
        <w:t>[20]</w:t>
      </w:r>
      <w:r>
        <w:rPr>
          <w:rFonts w:cs="Arial"/>
          <w:szCs w:val="24"/>
        </w:rPr>
        <w:tab/>
      </w:r>
      <w:r w:rsidR="00863DF5">
        <w:t xml:space="preserve">Implicitly recognising the weakness of the aforegoing two grounds for the stay application, La Vie’s counsel submits in his heads of argument that “the purpose of the stay application is to resolve two defences that La Vie has raised against the eviction </w:t>
      </w:r>
      <w:r w:rsidR="00267ADF">
        <w:t xml:space="preserve">sought </w:t>
      </w:r>
      <w:r w:rsidR="00863DF5">
        <w:t xml:space="preserve">by KCC, being the issue of </w:t>
      </w:r>
      <w:r w:rsidR="00863DF5" w:rsidRPr="00E75D70">
        <w:rPr>
          <w:i/>
          <w:iCs/>
        </w:rPr>
        <w:t>locus standi</w:t>
      </w:r>
      <w:r w:rsidR="00863DF5">
        <w:t xml:space="preserve"> and </w:t>
      </w:r>
      <w:r w:rsidR="00863DF5" w:rsidRPr="00E75D70">
        <w:rPr>
          <w:i/>
          <w:iCs/>
        </w:rPr>
        <w:t>lis pendens</w:t>
      </w:r>
      <w:r w:rsidR="00863DF5">
        <w:t>”</w:t>
      </w:r>
      <w:r w:rsidR="00E15A6E">
        <w:t xml:space="preserve"> and that if that application is heard before the COJ’s eviction application and the review application, an “injustice will be carried out” against La Vie because </w:t>
      </w:r>
      <w:r w:rsidR="00E15A6E">
        <w:lastRenderedPageBreak/>
        <w:t>“there are good prospects that the … termination of [KCC’s notarial leases] will be upheld thereby making the standing of [KCC] in this application moot as there would have been no basis for [KCC] to evict [La Vie] instead of the [COJ]”.</w:t>
      </w:r>
    </w:p>
    <w:p w14:paraId="50FF51B3" w14:textId="1E0A3567" w:rsidR="00863DF5" w:rsidRDefault="001743E1" w:rsidP="001743E1">
      <w:pPr>
        <w:pStyle w:val="LC1"/>
        <w:numPr>
          <w:ilvl w:val="0"/>
          <w:numId w:val="0"/>
        </w:numPr>
        <w:ind w:left="720" w:hanging="720"/>
      </w:pPr>
      <w:r>
        <w:rPr>
          <w:rFonts w:cs="Arial"/>
          <w:szCs w:val="24"/>
        </w:rPr>
        <w:t>[21]</w:t>
      </w:r>
      <w:r>
        <w:rPr>
          <w:rFonts w:cs="Arial"/>
          <w:szCs w:val="24"/>
        </w:rPr>
        <w:tab/>
      </w:r>
      <w:r w:rsidR="00863DF5">
        <w:t xml:space="preserve">It is convenient to consider these arguments together in the context of the stay application even though </w:t>
      </w:r>
      <w:r w:rsidR="0086427C">
        <w:t>La Vie itself notes in its founding affidavit in the stay application</w:t>
      </w:r>
      <w:r w:rsidR="00863DF5">
        <w:t xml:space="preserve"> that </w:t>
      </w:r>
      <w:r w:rsidR="00DF6E28">
        <w:t xml:space="preserve">they </w:t>
      </w:r>
      <w:r w:rsidR="00863DF5">
        <w:t xml:space="preserve">are </w:t>
      </w:r>
      <w:r w:rsidR="00DF6E28">
        <w:t xml:space="preserve">both </w:t>
      </w:r>
      <w:r w:rsidR="00E15A6E">
        <w:t xml:space="preserve">(especially in view of the agreed supplementation) </w:t>
      </w:r>
      <w:r w:rsidR="00863DF5">
        <w:t xml:space="preserve">intended to be </w:t>
      </w:r>
      <w:r w:rsidR="0086427C">
        <w:t>raised as preliminary issue</w:t>
      </w:r>
      <w:r w:rsidR="00863DF5">
        <w:t>s</w:t>
      </w:r>
      <w:r w:rsidR="0086427C">
        <w:t xml:space="preserve"> in the eviction</w:t>
      </w:r>
      <w:r w:rsidR="00267ADF">
        <w:t xml:space="preserve"> </w:t>
      </w:r>
      <w:r w:rsidR="00267ADF">
        <w:rPr>
          <w:rFonts w:cs="Arial"/>
          <w:szCs w:val="24"/>
        </w:rPr>
        <w:t>and payment</w:t>
      </w:r>
      <w:r w:rsidR="0086427C">
        <w:t xml:space="preserve"> application</w:t>
      </w:r>
      <w:r w:rsidR="00E15A6E">
        <w:t>,</w:t>
      </w:r>
      <w:r w:rsidR="0086427C">
        <w:t xml:space="preserve"> </w:t>
      </w:r>
      <w:r w:rsidR="00863DF5">
        <w:t xml:space="preserve">and </w:t>
      </w:r>
      <w:r w:rsidR="0086427C">
        <w:t>would</w:t>
      </w:r>
      <w:r w:rsidR="00863DF5">
        <w:t xml:space="preserve"> thus</w:t>
      </w:r>
      <w:r w:rsidR="0086427C">
        <w:t xml:space="preserve"> </w:t>
      </w:r>
      <w:r w:rsidR="0086427C" w:rsidRPr="00FF10AC">
        <w:rPr>
          <w:i/>
          <w:iCs/>
        </w:rPr>
        <w:t>ex hypothesi</w:t>
      </w:r>
      <w:r w:rsidR="0086427C">
        <w:t xml:space="preserve"> only arise for determination </w:t>
      </w:r>
      <w:r w:rsidR="00E15A6E">
        <w:t xml:space="preserve">in the event that </w:t>
      </w:r>
      <w:r w:rsidR="0086427C">
        <w:t xml:space="preserve">the stay were </w:t>
      </w:r>
      <w:r w:rsidR="00E15A6E">
        <w:t xml:space="preserve">to be </w:t>
      </w:r>
      <w:r w:rsidR="0086427C">
        <w:t>refused</w:t>
      </w:r>
      <w:r w:rsidR="00863DF5">
        <w:t xml:space="preserve"> and I were to proceed to determine the eviction </w:t>
      </w:r>
      <w:r w:rsidR="00267ADF">
        <w:rPr>
          <w:rFonts w:cs="Arial"/>
          <w:szCs w:val="24"/>
        </w:rPr>
        <w:t xml:space="preserve">and payment </w:t>
      </w:r>
      <w:r w:rsidR="00863DF5">
        <w:t>application</w:t>
      </w:r>
      <w:r w:rsidR="00DF6E28">
        <w:t>.</w:t>
      </w:r>
      <w:r w:rsidR="00863DF5">
        <w:t xml:space="preserve"> </w:t>
      </w:r>
    </w:p>
    <w:p w14:paraId="35F292A0" w14:textId="413EB749" w:rsidR="0086427C" w:rsidRDefault="001743E1" w:rsidP="001743E1">
      <w:pPr>
        <w:pStyle w:val="LC1"/>
        <w:numPr>
          <w:ilvl w:val="0"/>
          <w:numId w:val="0"/>
        </w:numPr>
        <w:ind w:left="720" w:hanging="720"/>
      </w:pPr>
      <w:r>
        <w:rPr>
          <w:rFonts w:cs="Arial"/>
          <w:szCs w:val="24"/>
        </w:rPr>
        <w:t>[22]</w:t>
      </w:r>
      <w:r>
        <w:rPr>
          <w:rFonts w:cs="Arial"/>
          <w:szCs w:val="24"/>
        </w:rPr>
        <w:tab/>
      </w:r>
      <w:r w:rsidR="00DF6E28">
        <w:t xml:space="preserve">Starting with the </w:t>
      </w:r>
      <w:r w:rsidR="00DF6E28" w:rsidRPr="00DF6E28">
        <w:rPr>
          <w:i/>
          <w:iCs/>
        </w:rPr>
        <w:t>locus standi</w:t>
      </w:r>
      <w:r w:rsidR="00DF6E28">
        <w:t xml:space="preserve"> argument, </w:t>
      </w:r>
      <w:r w:rsidR="00CE3BC9">
        <w:t xml:space="preserve">the </w:t>
      </w:r>
      <w:r w:rsidR="0086427C">
        <w:t xml:space="preserve">deponent </w:t>
      </w:r>
      <w:r w:rsidR="00CE3BC9">
        <w:t xml:space="preserve">to </w:t>
      </w:r>
      <w:r w:rsidR="00DF6E28">
        <w:t xml:space="preserve">the founding affidavit in the </w:t>
      </w:r>
      <w:r w:rsidR="00CE3BC9">
        <w:t xml:space="preserve">stay </w:t>
      </w:r>
      <w:r w:rsidR="00DF6E28">
        <w:t xml:space="preserve">application </w:t>
      </w:r>
      <w:r w:rsidR="00CE3BC9">
        <w:t xml:space="preserve">candidly states </w:t>
      </w:r>
      <w:r w:rsidR="0086427C">
        <w:t xml:space="preserve">that when </w:t>
      </w:r>
      <w:r w:rsidR="00CE3BC9">
        <w:t xml:space="preserve">La Vie </w:t>
      </w:r>
      <w:r w:rsidR="0086427C">
        <w:t xml:space="preserve">requested its new attorneys </w:t>
      </w:r>
      <w:r w:rsidR="00E15A6E">
        <w:t xml:space="preserve">in September 2023 </w:t>
      </w:r>
      <w:r w:rsidR="0086427C">
        <w:t xml:space="preserve">for </w:t>
      </w:r>
      <w:r w:rsidR="00CE3BC9">
        <w:t xml:space="preserve">advice </w:t>
      </w:r>
      <w:r w:rsidR="0086427C">
        <w:t xml:space="preserve">on its prospects of success in the eviction </w:t>
      </w:r>
      <w:r w:rsidR="00267ADF">
        <w:rPr>
          <w:rFonts w:cs="Arial"/>
          <w:szCs w:val="24"/>
        </w:rPr>
        <w:t xml:space="preserve">and payment </w:t>
      </w:r>
      <w:r w:rsidR="0086427C">
        <w:t xml:space="preserve">application, it was furnished with an opinion which had been “confirmed by counsel” </w:t>
      </w:r>
      <w:r w:rsidR="00F90493">
        <w:t xml:space="preserve">advising </w:t>
      </w:r>
      <w:r w:rsidR="0086427C">
        <w:t xml:space="preserve">that, in view of the decision in </w:t>
      </w:r>
      <w:r w:rsidR="0086427C" w:rsidRPr="00DF6E28">
        <w:rPr>
          <w:i/>
          <w:iCs/>
        </w:rPr>
        <w:t>Mighty Solutions</w:t>
      </w:r>
      <w:r w:rsidR="0086427C">
        <w:t xml:space="preserve"> “the preliminary point raised by [its] erstwhile attorneys on the answering affidavit was insufficient to resist the eviction on the basis that the landlord does not have title or lawful occupation of the Property”.</w:t>
      </w:r>
    </w:p>
    <w:p w14:paraId="35EFD3A0" w14:textId="680C7704" w:rsidR="0086427C" w:rsidRDefault="001743E1" w:rsidP="001743E1">
      <w:pPr>
        <w:pStyle w:val="LC1"/>
        <w:numPr>
          <w:ilvl w:val="0"/>
          <w:numId w:val="0"/>
        </w:numPr>
        <w:ind w:left="720" w:hanging="720"/>
      </w:pPr>
      <w:r>
        <w:rPr>
          <w:rFonts w:cs="Arial"/>
          <w:szCs w:val="24"/>
        </w:rPr>
        <w:t>[23]</w:t>
      </w:r>
      <w:r>
        <w:rPr>
          <w:rFonts w:cs="Arial"/>
          <w:szCs w:val="24"/>
        </w:rPr>
        <w:tab/>
      </w:r>
      <w:r w:rsidR="0086427C">
        <w:t>This advice was undoubtedly correct</w:t>
      </w:r>
      <w:r w:rsidR="002F38F2">
        <w:t>.</w:t>
      </w:r>
      <w:r w:rsidR="0086427C">
        <w:t xml:space="preserve"> </w:t>
      </w:r>
      <w:r w:rsidR="002F38F2">
        <w:t xml:space="preserve">The </w:t>
      </w:r>
      <w:r w:rsidR="0086427C">
        <w:t xml:space="preserve">Constitutional Court in </w:t>
      </w:r>
      <w:r w:rsidR="0086427C" w:rsidRPr="00FF10AC">
        <w:rPr>
          <w:i/>
          <w:iCs/>
        </w:rPr>
        <w:t>Mighty Solutions</w:t>
      </w:r>
      <w:r w:rsidR="00F90493">
        <w:t xml:space="preserve"> </w:t>
      </w:r>
      <w:r w:rsidR="002F38F2">
        <w:t xml:space="preserve">expressly </w:t>
      </w:r>
      <w:r w:rsidR="00A744B7">
        <w:t xml:space="preserve">held that </w:t>
      </w:r>
      <w:r w:rsidR="0086427C">
        <w:t xml:space="preserve">the common law rule preventing </w:t>
      </w:r>
      <w:r w:rsidR="00FF10AC">
        <w:t xml:space="preserve">a </w:t>
      </w:r>
      <w:r w:rsidR="0086427C">
        <w:t xml:space="preserve">lessee from disputing the title of the lessor to evict on the basis that </w:t>
      </w:r>
      <w:r w:rsidR="00A744B7">
        <w:t xml:space="preserve">it </w:t>
      </w:r>
      <w:r w:rsidR="0086427C">
        <w:t>has no right to occupy the premises</w:t>
      </w:r>
      <w:r w:rsidR="00F90493">
        <w:t xml:space="preserve"> </w:t>
      </w:r>
      <w:r w:rsidR="00A744B7">
        <w:t xml:space="preserve">applies </w:t>
      </w:r>
      <w:r w:rsidR="0086427C">
        <w:t>even</w:t>
      </w:r>
      <w:r w:rsidR="00F90493">
        <w:t xml:space="preserve"> </w:t>
      </w:r>
      <w:r w:rsidR="0086427C">
        <w:t>if, as a matter fact, the lessor no longer had such a right when it moved to evict the lessee.</w:t>
      </w:r>
      <w:r w:rsidR="009A2533">
        <w:rPr>
          <w:rStyle w:val="FootnoteReference"/>
        </w:rPr>
        <w:footnoteReference w:id="6"/>
      </w:r>
      <w:r w:rsidR="0086427C">
        <w:t xml:space="preserve"> </w:t>
      </w:r>
    </w:p>
    <w:p w14:paraId="4C967040" w14:textId="0B62CAD8" w:rsidR="0086427C" w:rsidRDefault="001743E1" w:rsidP="001743E1">
      <w:pPr>
        <w:pStyle w:val="LC1"/>
        <w:numPr>
          <w:ilvl w:val="0"/>
          <w:numId w:val="0"/>
        </w:numPr>
        <w:ind w:left="720" w:hanging="720"/>
      </w:pPr>
      <w:r>
        <w:rPr>
          <w:rFonts w:cs="Arial"/>
          <w:szCs w:val="24"/>
        </w:rPr>
        <w:lastRenderedPageBreak/>
        <w:t>[24]</w:t>
      </w:r>
      <w:r>
        <w:rPr>
          <w:rFonts w:cs="Arial"/>
          <w:szCs w:val="24"/>
        </w:rPr>
        <w:tab/>
      </w:r>
      <w:r w:rsidR="0086427C">
        <w:t xml:space="preserve">La </w:t>
      </w:r>
      <w:proofErr w:type="spellStart"/>
      <w:r w:rsidR="0086427C">
        <w:t>Vie’s</w:t>
      </w:r>
      <w:proofErr w:type="spellEnd"/>
      <w:r w:rsidR="0086427C">
        <w:t xml:space="preserve"> deponent however </w:t>
      </w:r>
      <w:r w:rsidR="00CE3BC9">
        <w:t xml:space="preserve">states </w:t>
      </w:r>
      <w:r w:rsidR="0086427C">
        <w:t xml:space="preserve">that the opinion </w:t>
      </w:r>
      <w:r w:rsidR="00CE3BC9">
        <w:t xml:space="preserve">went on to </w:t>
      </w:r>
      <w:r w:rsidR="0086427C">
        <w:t xml:space="preserve">indicate that “there are exceptions to the general application of the </w:t>
      </w:r>
      <w:r w:rsidR="002F38F2">
        <w:t>c</w:t>
      </w:r>
      <w:r w:rsidR="0086427C">
        <w:t xml:space="preserve">ommon </w:t>
      </w:r>
      <w:r w:rsidR="002F38F2">
        <w:t>l</w:t>
      </w:r>
      <w:r w:rsidR="0086427C">
        <w:t xml:space="preserve">aw </w:t>
      </w:r>
      <w:r w:rsidR="002F38F2">
        <w:t>r</w:t>
      </w:r>
      <w:r w:rsidR="0086427C">
        <w:t xml:space="preserve">ule and this matter is one of those matters in terms of which the exceptions apply”. </w:t>
      </w:r>
      <w:r w:rsidR="00A744B7">
        <w:t xml:space="preserve">This is evidently a reference to paragraph 55 of </w:t>
      </w:r>
      <w:r w:rsidR="00A744B7" w:rsidRPr="00CE3BC9">
        <w:rPr>
          <w:i/>
          <w:iCs/>
        </w:rPr>
        <w:t>Mighty Solutions</w:t>
      </w:r>
      <w:r w:rsidR="00A744B7">
        <w:t xml:space="preserve">, where the Constitutional Court observed that “there may well be </w:t>
      </w:r>
      <w:r w:rsidR="002F38F2">
        <w:t xml:space="preserve">… </w:t>
      </w:r>
      <w:r w:rsidR="00A744B7">
        <w:t xml:space="preserve">scenarios where the rule should not apply”. </w:t>
      </w:r>
      <w:r w:rsidR="0086427C">
        <w:t xml:space="preserve">The only hint in the founding affidavit in </w:t>
      </w:r>
      <w:r w:rsidR="00A735D4">
        <w:t xml:space="preserve">the </w:t>
      </w:r>
      <w:r w:rsidR="0086427C">
        <w:t xml:space="preserve">stay application itself as </w:t>
      </w:r>
      <w:r w:rsidR="00A735D4">
        <w:t xml:space="preserve">to </w:t>
      </w:r>
      <w:r w:rsidR="0086427C">
        <w:t xml:space="preserve">what the </w:t>
      </w:r>
      <w:r w:rsidR="00CE3BC9">
        <w:t xml:space="preserve">particular </w:t>
      </w:r>
      <w:r w:rsidR="001D78DF">
        <w:t>“</w:t>
      </w:r>
      <w:r w:rsidR="0086427C">
        <w:t>exception</w:t>
      </w:r>
      <w:r w:rsidR="001D78DF">
        <w:t>”</w:t>
      </w:r>
      <w:r w:rsidR="0086427C">
        <w:t xml:space="preserve"> </w:t>
      </w:r>
      <w:r w:rsidR="00A744B7">
        <w:t xml:space="preserve">in the current matter </w:t>
      </w:r>
      <w:r w:rsidR="002F38F2">
        <w:t xml:space="preserve">might be </w:t>
      </w:r>
      <w:r w:rsidR="0086427C">
        <w:t xml:space="preserve">is the statement that KCC’s </w:t>
      </w:r>
      <w:r w:rsidR="0086427C" w:rsidRPr="00A735D4">
        <w:rPr>
          <w:i/>
          <w:iCs/>
        </w:rPr>
        <w:t>locus standi</w:t>
      </w:r>
      <w:r w:rsidR="0086427C">
        <w:t xml:space="preserve"> is “unclear” because KCC does not have a “contractual right” to evict La Vie because “the existence of [KCC</w:t>
      </w:r>
      <w:r w:rsidR="00BF5350">
        <w:t xml:space="preserve">’s notarial </w:t>
      </w:r>
      <w:r w:rsidR="0086427C">
        <w:t>lease</w:t>
      </w:r>
      <w:r w:rsidR="00BF5350">
        <w:t>s]</w:t>
      </w:r>
      <w:r w:rsidR="0086427C">
        <w:t xml:space="preserve"> empowering [KCC] to launch the eviction proceedings has already been cancelled and KCC has instituted [the review application which] is currently pending … for determination together with the [</w:t>
      </w:r>
      <w:r w:rsidR="00267ADF">
        <w:t xml:space="preserve">COJ’s </w:t>
      </w:r>
      <w:r w:rsidR="0086427C">
        <w:t>eviction application]”. The hint</w:t>
      </w:r>
      <w:r w:rsidR="00A744B7">
        <w:t xml:space="preserve"> </w:t>
      </w:r>
      <w:r w:rsidR="00CE3BC9">
        <w:t xml:space="preserve">is the use of the </w:t>
      </w:r>
      <w:r w:rsidR="0086427C">
        <w:t>word</w:t>
      </w:r>
      <w:r w:rsidR="00A744B7">
        <w:t>s “existence” and</w:t>
      </w:r>
      <w:r w:rsidR="0086427C">
        <w:t xml:space="preserve"> “empowering”.</w:t>
      </w:r>
    </w:p>
    <w:p w14:paraId="425D19E5" w14:textId="1EDFD107" w:rsidR="0086427C" w:rsidRDefault="001743E1" w:rsidP="001743E1">
      <w:pPr>
        <w:pStyle w:val="LC1"/>
        <w:numPr>
          <w:ilvl w:val="0"/>
          <w:numId w:val="0"/>
        </w:numPr>
        <w:ind w:left="720" w:hanging="720"/>
      </w:pPr>
      <w:r>
        <w:rPr>
          <w:rFonts w:cs="Arial"/>
          <w:szCs w:val="24"/>
        </w:rPr>
        <w:t>[25]</w:t>
      </w:r>
      <w:r>
        <w:rPr>
          <w:rFonts w:cs="Arial"/>
          <w:szCs w:val="24"/>
        </w:rPr>
        <w:tab/>
      </w:r>
      <w:r w:rsidR="00484133">
        <w:t xml:space="preserve">Slightly </w:t>
      </w:r>
      <w:r w:rsidR="0086427C">
        <w:t xml:space="preserve">different language </w:t>
      </w:r>
      <w:r w:rsidR="00484133">
        <w:t xml:space="preserve">is </w:t>
      </w:r>
      <w:r w:rsidR="0086427C">
        <w:t>employed in reply, where La Vie’s deponent states that:</w:t>
      </w:r>
    </w:p>
    <w:p w14:paraId="08B74D72" w14:textId="2D222064" w:rsidR="0086427C" w:rsidRPr="00484133" w:rsidRDefault="0086427C" w:rsidP="00633542">
      <w:pPr>
        <w:pStyle w:val="LC2"/>
        <w:numPr>
          <w:ilvl w:val="0"/>
          <w:numId w:val="0"/>
        </w:numPr>
        <w:ind w:left="1701"/>
      </w:pPr>
      <w:r w:rsidRPr="00484133">
        <w:t xml:space="preserve">“the facts are different in that in the </w:t>
      </w:r>
      <w:r w:rsidRPr="00484133">
        <w:rPr>
          <w:i/>
          <w:iCs/>
        </w:rPr>
        <w:t>Mighty Solutions</w:t>
      </w:r>
      <w:r w:rsidRPr="00484133">
        <w:t xml:space="preserve"> … case the validity of the sub-lessor's authority to sublease was not in question and therefore the lease was binding. In the [</w:t>
      </w:r>
      <w:r w:rsidR="00267ADF">
        <w:t>COJ’s</w:t>
      </w:r>
      <w:r w:rsidRPr="00484133">
        <w:t xml:space="preserve"> </w:t>
      </w:r>
      <w:r w:rsidR="00267ADF">
        <w:t>e</w:t>
      </w:r>
      <w:r w:rsidRPr="00484133">
        <w:t>viction application, COJ</w:t>
      </w:r>
      <w:r w:rsidR="00A735D4" w:rsidRPr="00484133">
        <w:t xml:space="preserve"> has</w:t>
      </w:r>
      <w:r w:rsidRPr="00484133">
        <w:t xml:space="preserve">] challenged </w:t>
      </w:r>
      <w:r w:rsidR="00A735D4" w:rsidRPr="00484133">
        <w:t xml:space="preserve">[KCC’s] </w:t>
      </w:r>
      <w:r w:rsidRPr="00484133">
        <w:t>authority to sublease. In this instance therefore without their authority to sublease being confirmed, this Honourable Court cannot make an order of eviction</w:t>
      </w:r>
      <w:r w:rsidR="00633542" w:rsidRPr="00484133">
        <w:t>.</w:t>
      </w:r>
      <w:r w:rsidRPr="00484133">
        <w:t>”</w:t>
      </w:r>
      <w:r w:rsidR="00633542" w:rsidRPr="00484133">
        <w:t xml:space="preserve"> </w:t>
      </w:r>
    </w:p>
    <w:p w14:paraId="7B22CD6D" w14:textId="69A94C45" w:rsidR="0086427C" w:rsidRDefault="001743E1" w:rsidP="001743E1">
      <w:pPr>
        <w:pStyle w:val="LC1"/>
        <w:numPr>
          <w:ilvl w:val="0"/>
          <w:numId w:val="0"/>
        </w:numPr>
        <w:ind w:left="720" w:hanging="720"/>
      </w:pPr>
      <w:r>
        <w:rPr>
          <w:rFonts w:cs="Arial"/>
          <w:szCs w:val="24"/>
        </w:rPr>
        <w:t>[26]</w:t>
      </w:r>
      <w:r>
        <w:rPr>
          <w:rFonts w:cs="Arial"/>
          <w:szCs w:val="24"/>
        </w:rPr>
        <w:tab/>
      </w:r>
      <w:r w:rsidR="0086427C">
        <w:t xml:space="preserve">La </w:t>
      </w:r>
      <w:proofErr w:type="spellStart"/>
      <w:r w:rsidR="0086427C">
        <w:t>Vie’s</w:t>
      </w:r>
      <w:proofErr w:type="spellEnd"/>
      <w:r w:rsidR="0086427C">
        <w:t xml:space="preserve"> contention </w:t>
      </w:r>
      <w:r w:rsidR="00CE3BC9">
        <w:t xml:space="preserve">was </w:t>
      </w:r>
      <w:r w:rsidR="00A744B7">
        <w:t xml:space="preserve">further clarified in it </w:t>
      </w:r>
      <w:r w:rsidR="0086427C">
        <w:t>heads of argument</w:t>
      </w:r>
      <w:r w:rsidR="00051931">
        <w:t xml:space="preserve"> </w:t>
      </w:r>
      <w:r w:rsidR="0086427C">
        <w:t xml:space="preserve">and </w:t>
      </w:r>
      <w:r w:rsidR="002F38F2">
        <w:t xml:space="preserve">by its </w:t>
      </w:r>
      <w:r w:rsidR="002F38F2">
        <w:lastRenderedPageBreak/>
        <w:t xml:space="preserve">counsel </w:t>
      </w:r>
      <w:r w:rsidR="0086427C">
        <w:t xml:space="preserve">during the hearing. </w:t>
      </w:r>
      <w:r w:rsidR="00CE3BC9">
        <w:t xml:space="preserve">In essence, </w:t>
      </w:r>
      <w:r w:rsidR="0086427C">
        <w:t xml:space="preserve">La Vie </w:t>
      </w:r>
      <w:r w:rsidR="002F38F2">
        <w:t xml:space="preserve">now </w:t>
      </w:r>
      <w:r w:rsidR="0086427C">
        <w:t xml:space="preserve">seeks to distinguish </w:t>
      </w:r>
      <w:r w:rsidR="0086427C" w:rsidRPr="00881D64">
        <w:rPr>
          <w:i/>
          <w:iCs/>
        </w:rPr>
        <w:t>Mighty Solutions</w:t>
      </w:r>
      <w:r w:rsidR="0086427C">
        <w:t xml:space="preserve"> </w:t>
      </w:r>
      <w:r w:rsidR="002F38F2">
        <w:t xml:space="preserve">not merely </w:t>
      </w:r>
      <w:r w:rsidR="0086427C">
        <w:t xml:space="preserve">on the basis that </w:t>
      </w:r>
      <w:r w:rsidR="00951279">
        <w:t>KCC’s notarial lease</w:t>
      </w:r>
      <w:r w:rsidR="00BF5350">
        <w:t>s</w:t>
      </w:r>
      <w:r w:rsidR="00CE3BC9">
        <w:t xml:space="preserve"> were cancelled</w:t>
      </w:r>
      <w:r w:rsidR="0086427C">
        <w:t xml:space="preserve">, but on the </w:t>
      </w:r>
      <w:r w:rsidR="00A744B7">
        <w:t xml:space="preserve">contention </w:t>
      </w:r>
      <w:r w:rsidR="0086427C">
        <w:t xml:space="preserve">that the La Vie sublease was void </w:t>
      </w:r>
      <w:r w:rsidR="0086427C" w:rsidRPr="00633542">
        <w:rPr>
          <w:i/>
          <w:iCs/>
        </w:rPr>
        <w:t>ab initio</w:t>
      </w:r>
      <w:r w:rsidR="0086427C">
        <w:t xml:space="preserve">. </w:t>
      </w:r>
      <w:r w:rsidR="001D78DF">
        <w:t xml:space="preserve">La Vie’s </w:t>
      </w:r>
      <w:r w:rsidR="0086427C">
        <w:t xml:space="preserve">heads of argument </w:t>
      </w:r>
      <w:r w:rsidR="001D78DF">
        <w:t xml:space="preserve">in the eviction </w:t>
      </w:r>
      <w:r w:rsidR="00267ADF">
        <w:rPr>
          <w:rFonts w:cs="Arial"/>
          <w:szCs w:val="24"/>
        </w:rPr>
        <w:t xml:space="preserve">and payment </w:t>
      </w:r>
      <w:r w:rsidR="001D78DF">
        <w:t xml:space="preserve">application </w:t>
      </w:r>
      <w:r w:rsidR="0086427C">
        <w:t xml:space="preserve">say </w:t>
      </w:r>
      <w:r w:rsidR="001D78DF">
        <w:t xml:space="preserve">the </w:t>
      </w:r>
      <w:r w:rsidR="0086427C">
        <w:t xml:space="preserve">following:  </w:t>
      </w:r>
    </w:p>
    <w:p w14:paraId="012FC597" w14:textId="2290593E" w:rsidR="0086427C" w:rsidRPr="00484133" w:rsidRDefault="00633542" w:rsidP="00633542">
      <w:pPr>
        <w:pStyle w:val="LC2"/>
        <w:numPr>
          <w:ilvl w:val="0"/>
          <w:numId w:val="0"/>
        </w:numPr>
        <w:ind w:left="1701"/>
      </w:pPr>
      <w:r w:rsidRPr="00484133">
        <w:t>“</w:t>
      </w:r>
      <w:r w:rsidR="0086427C" w:rsidRPr="00484133">
        <w:t xml:space="preserve">The lease that existed between COJ and KCC did not empower KCC to enter into any subletting agreements with any entities; … By virtue of the fact that KCC was never empowered to conclude this agreement in terms of the main lease, the sublease is null and void ab </w:t>
      </w:r>
      <w:proofErr w:type="spellStart"/>
      <w:r w:rsidR="0086427C" w:rsidRPr="00484133">
        <w:t>nitio</w:t>
      </w:r>
      <w:proofErr w:type="spellEnd"/>
      <w:r w:rsidR="0086427C" w:rsidRPr="00484133">
        <w:t xml:space="preserve"> [sic]; … As such KCC has no direct and substantial interest in this matter and the party empowered to initiate any eviction proceedings is only COJ being the entity that holds the title to the property</w:t>
      </w:r>
      <w:r w:rsidRPr="00484133">
        <w:t xml:space="preserve">.” </w:t>
      </w:r>
    </w:p>
    <w:p w14:paraId="261C513F" w14:textId="0E0ED25F" w:rsidR="00E15A6E" w:rsidRDefault="001743E1" w:rsidP="001743E1">
      <w:pPr>
        <w:pStyle w:val="LC1"/>
        <w:numPr>
          <w:ilvl w:val="0"/>
          <w:numId w:val="0"/>
        </w:numPr>
        <w:ind w:left="720" w:hanging="720"/>
      </w:pPr>
      <w:r>
        <w:rPr>
          <w:rFonts w:cs="Arial"/>
          <w:szCs w:val="24"/>
        </w:rPr>
        <w:t>[27]</w:t>
      </w:r>
      <w:r>
        <w:rPr>
          <w:rFonts w:cs="Arial"/>
          <w:szCs w:val="24"/>
        </w:rPr>
        <w:tab/>
      </w:r>
      <w:r w:rsidR="00E15A6E">
        <w:t xml:space="preserve">A similar argument is advanced in </w:t>
      </w:r>
      <w:r w:rsidR="00A744B7">
        <w:t xml:space="preserve">its </w:t>
      </w:r>
      <w:r w:rsidR="00E15A6E">
        <w:t>heads of argument in the stay application:</w:t>
      </w:r>
    </w:p>
    <w:p w14:paraId="5BEAF3E4" w14:textId="5C9A12A5" w:rsidR="00E15A6E" w:rsidRDefault="00E15A6E" w:rsidP="00E15A6E">
      <w:pPr>
        <w:pStyle w:val="LC2"/>
        <w:numPr>
          <w:ilvl w:val="0"/>
          <w:numId w:val="0"/>
        </w:numPr>
        <w:ind w:left="1701"/>
      </w:pPr>
      <w:r>
        <w:t xml:space="preserve">“the purported verbal agreement to sub-lease the property was unauthorized by the City and therefore unlawful, in essence there was no sub-lease agreement between the parties, other than the other suite of agreements between the parties. There was no terms between the parties that authorises KCC to evict the La Vie </w:t>
      </w:r>
      <w:proofErr w:type="spellStart"/>
      <w:r>
        <w:t>en</w:t>
      </w:r>
      <w:proofErr w:type="spellEnd"/>
      <w:r>
        <w:t xml:space="preserve"> Rose, at best KCC should be arguing that the Loan Agreement and Employment agreement were terminated, simply stated KCC has no sub-lessor rights towards La Vie </w:t>
      </w:r>
      <w:proofErr w:type="spellStart"/>
      <w:r>
        <w:t>en</w:t>
      </w:r>
      <w:proofErr w:type="spellEnd"/>
      <w:r>
        <w:t xml:space="preserve"> Rose.”</w:t>
      </w:r>
    </w:p>
    <w:p w14:paraId="20BBD00E" w14:textId="74EB9DBA" w:rsidR="0086427C" w:rsidRDefault="001743E1" w:rsidP="001743E1">
      <w:pPr>
        <w:pStyle w:val="LC1"/>
        <w:numPr>
          <w:ilvl w:val="0"/>
          <w:numId w:val="0"/>
        </w:numPr>
        <w:ind w:left="720" w:hanging="720"/>
      </w:pPr>
      <w:r>
        <w:rPr>
          <w:rFonts w:cs="Arial"/>
          <w:szCs w:val="24"/>
        </w:rPr>
        <w:t>[28]</w:t>
      </w:r>
      <w:r>
        <w:rPr>
          <w:rFonts w:cs="Arial"/>
          <w:szCs w:val="24"/>
        </w:rPr>
        <w:tab/>
      </w:r>
      <w:r w:rsidR="0086427C">
        <w:t xml:space="preserve">In my view, </w:t>
      </w:r>
      <w:r w:rsidR="00190DBC">
        <w:t xml:space="preserve">the common cause fact that KCC’s conclusion of the La Vie sublease was in breach of </w:t>
      </w:r>
      <w:r w:rsidR="0086427C">
        <w:t xml:space="preserve">clause 15 of </w:t>
      </w:r>
      <w:r w:rsidR="00951279">
        <w:t xml:space="preserve">KCC’s notarial lease </w:t>
      </w:r>
      <w:r w:rsidR="00E15A6E">
        <w:t xml:space="preserve">does </w:t>
      </w:r>
      <w:r w:rsidR="0086427C">
        <w:t xml:space="preserve">not in itself render the La Vie sublease void </w:t>
      </w:r>
      <w:r w:rsidR="0086427C" w:rsidRPr="00633542">
        <w:rPr>
          <w:i/>
          <w:iCs/>
        </w:rPr>
        <w:t>ab initio</w:t>
      </w:r>
      <w:r w:rsidR="00CE3BC9">
        <w:t xml:space="preserve">, </w:t>
      </w:r>
      <w:r w:rsidR="00E15A6E">
        <w:t xml:space="preserve">non-existent, </w:t>
      </w:r>
      <w:r w:rsidR="001B62DF">
        <w:t xml:space="preserve">“unlawful” </w:t>
      </w:r>
      <w:r w:rsidR="00E15A6E">
        <w:t xml:space="preserve">or </w:t>
      </w:r>
      <w:r w:rsidR="0086427C">
        <w:t xml:space="preserve">otherwise </w:t>
      </w:r>
      <w:r w:rsidR="0086427C">
        <w:lastRenderedPageBreak/>
        <w:t>unenforceable as between KCC and La Vie.</w:t>
      </w:r>
    </w:p>
    <w:p w14:paraId="60296447" w14:textId="4F907BD6" w:rsidR="0086427C" w:rsidRDefault="001743E1" w:rsidP="001743E1">
      <w:pPr>
        <w:pStyle w:val="LC1"/>
        <w:numPr>
          <w:ilvl w:val="0"/>
          <w:numId w:val="0"/>
        </w:numPr>
        <w:ind w:left="720" w:hanging="720"/>
      </w:pPr>
      <w:r>
        <w:rPr>
          <w:rFonts w:cs="Arial"/>
          <w:szCs w:val="24"/>
        </w:rPr>
        <w:t>[29]</w:t>
      </w:r>
      <w:r>
        <w:rPr>
          <w:rFonts w:cs="Arial"/>
          <w:szCs w:val="24"/>
        </w:rPr>
        <w:tab/>
      </w:r>
      <w:r w:rsidR="0086427C">
        <w:t xml:space="preserve">This </w:t>
      </w:r>
      <w:r w:rsidR="00633542">
        <w:t xml:space="preserve">contention </w:t>
      </w:r>
      <w:r w:rsidR="0086427C">
        <w:t xml:space="preserve">faces </w:t>
      </w:r>
      <w:r w:rsidR="001B62DF">
        <w:t xml:space="preserve">two </w:t>
      </w:r>
      <w:r w:rsidR="0086427C">
        <w:t>independent difficulties, each of which is insurmountable in its own right</w:t>
      </w:r>
      <w:r w:rsidR="005B2ECE">
        <w:t>:</w:t>
      </w:r>
      <w:r w:rsidR="0086427C">
        <w:t xml:space="preserve"> </w:t>
      </w:r>
    </w:p>
    <w:p w14:paraId="2EF8F02B" w14:textId="73CE61F2" w:rsidR="0086427C" w:rsidRDefault="001743E1" w:rsidP="001743E1">
      <w:pPr>
        <w:pStyle w:val="LC2"/>
        <w:numPr>
          <w:ilvl w:val="0"/>
          <w:numId w:val="0"/>
        </w:numPr>
        <w:ind w:left="1701" w:hanging="993"/>
      </w:pPr>
      <w:r>
        <w:t>(a)</w:t>
      </w:r>
      <w:r>
        <w:tab/>
      </w:r>
      <w:r w:rsidR="0086427C">
        <w:t xml:space="preserve">In the first place, the issue is </w:t>
      </w:r>
      <w:r w:rsidR="00CE3BC9">
        <w:t xml:space="preserve">in my view </w:t>
      </w:r>
      <w:r w:rsidR="0086427C">
        <w:t>simply not a matter of “authority” or “power”</w:t>
      </w:r>
      <w:r w:rsidR="0019030D">
        <w:t>.</w:t>
      </w:r>
      <w:r w:rsidR="0086427C">
        <w:t xml:space="preserve"> </w:t>
      </w:r>
      <w:r w:rsidR="0019030D">
        <w:t xml:space="preserve">La Vie’s </w:t>
      </w:r>
      <w:r w:rsidR="0086427C">
        <w:t xml:space="preserve">contention that KCC did not have the </w:t>
      </w:r>
      <w:r w:rsidR="00CE3BC9">
        <w:t>“</w:t>
      </w:r>
      <w:r w:rsidR="0086427C">
        <w:t>authority</w:t>
      </w:r>
      <w:r w:rsidR="00CE3BC9">
        <w:t>”</w:t>
      </w:r>
      <w:r w:rsidR="0086427C">
        <w:t xml:space="preserve"> to conclude the La Vie sublease, or that it was not “empowered” do so appears to </w:t>
      </w:r>
      <w:r w:rsidR="0019030D">
        <w:t xml:space="preserve">me to </w:t>
      </w:r>
      <w:r w:rsidR="0086427C">
        <w:t xml:space="preserve">be </w:t>
      </w:r>
      <w:r w:rsidR="002A44FC">
        <w:t xml:space="preserve">a misguided </w:t>
      </w:r>
      <w:r w:rsidR="009D3203">
        <w:t xml:space="preserve">attempt to apply </w:t>
      </w:r>
      <w:r w:rsidR="002A44FC">
        <w:t xml:space="preserve">(incorrect) </w:t>
      </w:r>
      <w:r w:rsidR="0086427C">
        <w:t xml:space="preserve">public law principles to the private law relationship between </w:t>
      </w:r>
      <w:r w:rsidR="0019030D">
        <w:t>those parties</w:t>
      </w:r>
      <w:r w:rsidR="0086427C">
        <w:t xml:space="preserve">. </w:t>
      </w:r>
      <w:r w:rsidR="002A44FC">
        <w:t xml:space="preserve">And indeed, </w:t>
      </w:r>
      <w:r w:rsidR="00BD5BAD">
        <w:t xml:space="preserve">the Constitutional Court in </w:t>
      </w:r>
      <w:r w:rsidR="00BD5BAD" w:rsidRPr="00BD5BAD">
        <w:rPr>
          <w:i/>
          <w:iCs/>
        </w:rPr>
        <w:t>Mighty Solutions</w:t>
      </w:r>
      <w:r w:rsidR="00BD5BAD">
        <w:t xml:space="preserve"> approved venerable authority to the effect that </w:t>
      </w:r>
      <w:r w:rsidR="002A44FC">
        <w:t>e</w:t>
      </w:r>
      <w:r w:rsidR="000300A3">
        <w:t xml:space="preserve">ven a public authority lessee that had no power to lease </w:t>
      </w:r>
      <w:r w:rsidR="00231FEC">
        <w:t xml:space="preserve">the </w:t>
      </w:r>
      <w:r w:rsidR="000300A3">
        <w:t xml:space="preserve">property </w:t>
      </w:r>
      <w:r w:rsidR="00231FEC">
        <w:t xml:space="preserve">from the </w:t>
      </w:r>
      <w:r w:rsidR="002A44FC">
        <w:t xml:space="preserve">main lessor </w:t>
      </w:r>
      <w:r w:rsidR="000300A3">
        <w:t xml:space="preserve">in the first place may seek the </w:t>
      </w:r>
      <w:r w:rsidR="00231FEC">
        <w:t xml:space="preserve">ejectment </w:t>
      </w:r>
      <w:r w:rsidR="000300A3">
        <w:t xml:space="preserve">of its </w:t>
      </w:r>
      <w:r w:rsidR="00231FEC">
        <w:t xml:space="preserve">putative </w:t>
      </w:r>
      <w:r w:rsidR="000300A3">
        <w:t>sublessee</w:t>
      </w:r>
      <w:r w:rsidR="00231FEC">
        <w:t>, who may not raise the public authority’s absence of such power to resist ejectment.</w:t>
      </w:r>
      <w:r w:rsidR="000300A3">
        <w:rPr>
          <w:rStyle w:val="FootnoteReference"/>
        </w:rPr>
        <w:footnoteReference w:id="7"/>
      </w:r>
      <w:r w:rsidR="000300A3">
        <w:t xml:space="preserve"> Furthermore</w:t>
      </w:r>
      <w:r w:rsidR="0086427C">
        <w:t xml:space="preserve">, clause 15 </w:t>
      </w:r>
      <w:r w:rsidR="00BD5BAD">
        <w:t xml:space="preserve">of the KCC notarial leases </w:t>
      </w:r>
      <w:r w:rsidR="0086427C">
        <w:t xml:space="preserve">specifically contemplated that KCC </w:t>
      </w:r>
      <w:r w:rsidR="004D761B">
        <w:t xml:space="preserve">indeed </w:t>
      </w:r>
      <w:r w:rsidR="0086427C">
        <w:t xml:space="preserve">had </w:t>
      </w:r>
      <w:r w:rsidR="004D761B">
        <w:t xml:space="preserve">the </w:t>
      </w:r>
      <w:r w:rsidR="0086427C">
        <w:t xml:space="preserve">“power” to sublease – </w:t>
      </w:r>
      <w:r w:rsidR="00BD5BAD">
        <w:t xml:space="preserve">a power </w:t>
      </w:r>
      <w:r w:rsidR="00026023">
        <w:t xml:space="preserve">which it could exercise </w:t>
      </w:r>
      <w:r w:rsidR="0086427C">
        <w:t>as long as it obtained the prior written consent of the COJ.</w:t>
      </w:r>
      <w:r w:rsidR="00026023">
        <w:t xml:space="preserve"> </w:t>
      </w:r>
      <w:r w:rsidR="00231FEC">
        <w:t xml:space="preserve">In those circumstances, it seems to me that the </w:t>
      </w:r>
      <w:r w:rsidR="00026023">
        <w:t xml:space="preserve">fact that KCC purported to exercise </w:t>
      </w:r>
      <w:r w:rsidR="00231FEC">
        <w:t xml:space="preserve">its </w:t>
      </w:r>
      <w:r w:rsidR="00026023">
        <w:t xml:space="preserve">power </w:t>
      </w:r>
      <w:r w:rsidR="00231FEC">
        <w:t xml:space="preserve">of subleasing </w:t>
      </w:r>
      <w:r w:rsidR="00026023">
        <w:t xml:space="preserve">without </w:t>
      </w:r>
      <w:r w:rsidR="00231FEC">
        <w:t xml:space="preserve">obtaining prior written consent from the COJ would </w:t>
      </w:r>
      <w:r w:rsidR="004D761B">
        <w:t xml:space="preserve">(at best for La Vie) </w:t>
      </w:r>
      <w:r w:rsidR="00231FEC">
        <w:t xml:space="preserve">render the agreement voidable, not void </w:t>
      </w:r>
      <w:r w:rsidR="00231FEC" w:rsidRPr="00231FEC">
        <w:rPr>
          <w:i/>
          <w:iCs/>
        </w:rPr>
        <w:t>ab initio</w:t>
      </w:r>
      <w:r w:rsidR="00231FEC">
        <w:t>.</w:t>
      </w:r>
      <w:r w:rsidR="002A44FC">
        <w:rPr>
          <w:rStyle w:val="FootnoteReference"/>
        </w:rPr>
        <w:footnoteReference w:id="8"/>
      </w:r>
    </w:p>
    <w:p w14:paraId="1F2260DD" w14:textId="02222ABE" w:rsidR="0086427C" w:rsidRDefault="001743E1" w:rsidP="001743E1">
      <w:pPr>
        <w:pStyle w:val="LC2"/>
        <w:numPr>
          <w:ilvl w:val="0"/>
          <w:numId w:val="0"/>
        </w:numPr>
        <w:ind w:left="1701" w:hanging="993"/>
      </w:pPr>
      <w:r>
        <w:t>(b)</w:t>
      </w:r>
      <w:r>
        <w:tab/>
      </w:r>
      <w:r w:rsidR="0086427C">
        <w:t xml:space="preserve">Secondly, a contractual prohibition on subleasing in a lease only </w:t>
      </w:r>
      <w:r w:rsidR="00BD5BAD">
        <w:lastRenderedPageBreak/>
        <w:t xml:space="preserve">affects the validity of </w:t>
      </w:r>
      <w:r w:rsidR="0086427C">
        <w:t xml:space="preserve">a sublease concluded in breach of that prohibition </w:t>
      </w:r>
      <w:r w:rsidR="00231FEC">
        <w:t xml:space="preserve">if </w:t>
      </w:r>
      <w:r w:rsidR="0086427C">
        <w:t>the main lessor choose</w:t>
      </w:r>
      <w:r w:rsidR="00BD5BAD">
        <w:t>s</w:t>
      </w:r>
      <w:r w:rsidR="0086427C">
        <w:t xml:space="preserve"> to enforce </w:t>
      </w:r>
      <w:r w:rsidR="00BD5BAD">
        <w:t xml:space="preserve">that </w:t>
      </w:r>
      <w:r w:rsidR="0086427C">
        <w:t>prohibition against the lessee. Since the main lessor has no contractual relationship with the sublessee,</w:t>
      </w:r>
      <w:r w:rsidR="009D7982">
        <w:rPr>
          <w:rStyle w:val="FootnoteReference"/>
        </w:rPr>
        <w:footnoteReference w:id="9"/>
      </w:r>
      <w:r w:rsidR="0086427C">
        <w:t xml:space="preserve"> the enforcement of the main lessor’s </w:t>
      </w:r>
      <w:r w:rsidR="00EE18B3">
        <w:t xml:space="preserve">rights </w:t>
      </w:r>
      <w:r w:rsidR="0086427C">
        <w:t xml:space="preserve">is a matter strictly between it and the lessee and will depend </w:t>
      </w:r>
      <w:r w:rsidR="00CE3BC9">
        <w:t xml:space="preserve">entirely </w:t>
      </w:r>
      <w:r w:rsidR="0086427C">
        <w:t>on the approach that the lessor takes to the lessee’s breach. In particular, the lessee’s breach of such a prohibition will only affect the ”validity” of the arrangements between the lessee and the sublessee if the lessor chooses to uphold its lease with the lessee and claim specific performance</w:t>
      </w:r>
      <w:r w:rsidR="00CE3BC9">
        <w:t xml:space="preserve"> </w:t>
      </w:r>
      <w:r w:rsidR="0086427C">
        <w:t>in the form of an order requiring that the sublease be cancelled by the sublessee and</w:t>
      </w:r>
      <w:r w:rsidR="00CE3BC9">
        <w:t>/or</w:t>
      </w:r>
      <w:r w:rsidR="0086427C">
        <w:t xml:space="preserve"> declared null and void.</w:t>
      </w:r>
      <w:r w:rsidR="009A2533">
        <w:rPr>
          <w:rStyle w:val="FootnoteReference"/>
        </w:rPr>
        <w:footnoteReference w:id="10"/>
      </w:r>
      <w:r w:rsidR="0086427C">
        <w:t xml:space="preserve">  </w:t>
      </w:r>
      <w:r w:rsidR="00CE3BC9">
        <w:t xml:space="preserve">But </w:t>
      </w:r>
      <w:r w:rsidR="0086427C">
        <w:t xml:space="preserve">that </w:t>
      </w:r>
      <w:r w:rsidR="00CD454A">
        <w:t xml:space="preserve">is </w:t>
      </w:r>
      <w:r w:rsidR="0086427C">
        <w:t xml:space="preserve">not what has happened here: it is common cause that the COJ is not seeking to uphold </w:t>
      </w:r>
      <w:r w:rsidR="00951279">
        <w:t>KCC’s notarial lease</w:t>
      </w:r>
      <w:r w:rsidR="001B62DF">
        <w:t>s</w:t>
      </w:r>
      <w:r w:rsidR="00951279">
        <w:t xml:space="preserve"> </w:t>
      </w:r>
      <w:r w:rsidR="0086427C">
        <w:t>and claim specific performance</w:t>
      </w:r>
      <w:r w:rsidR="00294DA1">
        <w:t xml:space="preserve"> thereof</w:t>
      </w:r>
      <w:r w:rsidR="0086427C">
        <w:t xml:space="preserve">: </w:t>
      </w:r>
      <w:r w:rsidR="00BD5BAD">
        <w:t xml:space="preserve">instead, </w:t>
      </w:r>
      <w:r w:rsidR="0086427C">
        <w:t xml:space="preserve">it has </w:t>
      </w:r>
      <w:r w:rsidR="001B62DF">
        <w:t xml:space="preserve">purported to </w:t>
      </w:r>
      <w:r w:rsidR="0086427C">
        <w:t xml:space="preserve">cancel </w:t>
      </w:r>
      <w:r w:rsidR="00BD5BAD">
        <w:t xml:space="preserve">them </w:t>
      </w:r>
      <w:r w:rsidR="0086427C">
        <w:t xml:space="preserve">and seeks no relief requiring KCC to comply with </w:t>
      </w:r>
      <w:r w:rsidR="00BD5BAD">
        <w:t>them</w:t>
      </w:r>
      <w:r w:rsidR="0086427C">
        <w:t xml:space="preserve">. </w:t>
      </w:r>
    </w:p>
    <w:p w14:paraId="6760E346" w14:textId="1BA77437" w:rsidR="001B62DF" w:rsidRDefault="001743E1" w:rsidP="001743E1">
      <w:pPr>
        <w:pStyle w:val="LC1"/>
        <w:numPr>
          <w:ilvl w:val="0"/>
          <w:numId w:val="0"/>
        </w:numPr>
        <w:ind w:left="720" w:hanging="720"/>
      </w:pPr>
      <w:r>
        <w:rPr>
          <w:rFonts w:cs="Arial"/>
          <w:szCs w:val="24"/>
        </w:rPr>
        <w:t>[30]</w:t>
      </w:r>
      <w:r>
        <w:rPr>
          <w:rFonts w:cs="Arial"/>
          <w:szCs w:val="24"/>
        </w:rPr>
        <w:tab/>
      </w:r>
      <w:r w:rsidR="001B62DF">
        <w:t xml:space="preserve">There is some suggestion in La Vie’s heads of argument that </w:t>
      </w:r>
      <w:r w:rsidR="00F55A9D">
        <w:t xml:space="preserve">the current matter </w:t>
      </w:r>
      <w:r w:rsidR="001B62DF">
        <w:t xml:space="preserve">is also distinguishable from </w:t>
      </w:r>
      <w:r w:rsidR="001B62DF" w:rsidRPr="001B62DF">
        <w:rPr>
          <w:i/>
          <w:iCs/>
        </w:rPr>
        <w:t>Mighty Solutions</w:t>
      </w:r>
      <w:r w:rsidR="001B62DF">
        <w:t xml:space="preserve"> on the basis that </w:t>
      </w:r>
      <w:r w:rsidR="00BD5BAD">
        <w:t xml:space="preserve">the sublease </w:t>
      </w:r>
      <w:r w:rsidR="001B62DF">
        <w:t xml:space="preserve">in </w:t>
      </w:r>
      <w:r w:rsidR="00BD5BAD">
        <w:t xml:space="preserve">question in </w:t>
      </w:r>
      <w:r w:rsidR="001B62DF">
        <w:t>that case</w:t>
      </w:r>
      <w:r w:rsidR="00F55A9D">
        <w:t xml:space="preserve"> </w:t>
      </w:r>
      <w:r w:rsidR="001B62DF">
        <w:t>contained express provision</w:t>
      </w:r>
      <w:r w:rsidR="00F55A9D">
        <w:t>s</w:t>
      </w:r>
      <w:r w:rsidR="001B62DF">
        <w:t xml:space="preserve"> </w:t>
      </w:r>
      <w:r w:rsidR="00F55A9D">
        <w:t xml:space="preserve">obliging the sublessee to restore vacant possession and affording </w:t>
      </w:r>
      <w:r w:rsidR="001B62DF">
        <w:t xml:space="preserve">the lessee </w:t>
      </w:r>
      <w:r w:rsidR="00F55A9D">
        <w:t>a contractual right to demand the ejectment of the sublessee at the end of the contract</w:t>
      </w:r>
      <w:r w:rsidR="001B62DF">
        <w:t>. It seems to me that this is a misreading of paragraph</w:t>
      </w:r>
      <w:r w:rsidR="00F55A9D">
        <w:t>s</w:t>
      </w:r>
      <w:r w:rsidR="001B62DF">
        <w:t xml:space="preserve"> 26 </w:t>
      </w:r>
      <w:r w:rsidR="00F55A9D">
        <w:t xml:space="preserve">and 46 </w:t>
      </w:r>
      <w:r w:rsidR="001B62DF">
        <w:t xml:space="preserve">of the Constitutional </w:t>
      </w:r>
      <w:r w:rsidR="001B62DF">
        <w:lastRenderedPageBreak/>
        <w:t xml:space="preserve">Court’s judgment, which refer to </w:t>
      </w:r>
      <w:r w:rsidR="00F55A9D">
        <w:t xml:space="preserve">these as </w:t>
      </w:r>
      <w:r w:rsidR="001B62DF">
        <w:t xml:space="preserve">“natural incidents” or </w:t>
      </w:r>
      <w:r w:rsidR="00F55A9D">
        <w:t>“</w:t>
      </w:r>
      <w:r w:rsidR="001B62DF">
        <w:t>implied terms</w:t>
      </w:r>
      <w:r w:rsidR="00F55A9D">
        <w:t>”</w:t>
      </w:r>
      <w:r w:rsidR="001B62DF">
        <w:t xml:space="preserve"> of </w:t>
      </w:r>
      <w:r w:rsidR="00CE3BC9">
        <w:t>leases</w:t>
      </w:r>
      <w:r w:rsidR="001B62DF">
        <w:t xml:space="preserve">. The only potential difference between this case and </w:t>
      </w:r>
      <w:r w:rsidR="001B62DF" w:rsidRPr="001B62DF">
        <w:rPr>
          <w:i/>
          <w:iCs/>
        </w:rPr>
        <w:t>Mighty Solutions</w:t>
      </w:r>
      <w:r w:rsidR="001B62DF">
        <w:t xml:space="preserve"> is the fact that it is common cause that </w:t>
      </w:r>
      <w:r w:rsidR="00F55A9D">
        <w:t xml:space="preserve">La Vie’s </w:t>
      </w:r>
      <w:r w:rsidR="001B62DF">
        <w:t xml:space="preserve">sublease was concluded in breach of KCC’s notarial leases, and which I have </w:t>
      </w:r>
      <w:r w:rsidR="00F55A9D">
        <w:t xml:space="preserve">already </w:t>
      </w:r>
      <w:r w:rsidR="001B62DF">
        <w:t xml:space="preserve">found </w:t>
      </w:r>
      <w:r w:rsidR="00F55A9D">
        <w:t xml:space="preserve">above </w:t>
      </w:r>
      <w:r w:rsidR="001B62DF">
        <w:t>do</w:t>
      </w:r>
      <w:r w:rsidR="00F55A9D">
        <w:t>es</w:t>
      </w:r>
      <w:r w:rsidR="001B62DF">
        <w:t xml:space="preserve"> not </w:t>
      </w:r>
      <w:r w:rsidR="00F55A9D">
        <w:t xml:space="preserve">mean that it never existed or was void </w:t>
      </w:r>
      <w:r w:rsidR="00F55A9D" w:rsidRPr="00F55A9D">
        <w:rPr>
          <w:i/>
          <w:iCs/>
        </w:rPr>
        <w:t>ab initio</w:t>
      </w:r>
      <w:r w:rsidR="00F55A9D">
        <w:t xml:space="preserve">. I thus conclude that La Vie has identified no facts that can </w:t>
      </w:r>
      <w:r w:rsidR="001B62DF">
        <w:t xml:space="preserve">distinguish </w:t>
      </w:r>
      <w:r w:rsidR="00F55A9D">
        <w:t xml:space="preserve">this case </w:t>
      </w:r>
      <w:r w:rsidR="00974E57">
        <w:t xml:space="preserve">from </w:t>
      </w:r>
      <w:r w:rsidR="00974E57" w:rsidRPr="00F55A9D">
        <w:rPr>
          <w:i/>
          <w:iCs/>
        </w:rPr>
        <w:t>Mighty Solutions</w:t>
      </w:r>
      <w:r w:rsidR="00974E57">
        <w:t xml:space="preserve">. </w:t>
      </w:r>
    </w:p>
    <w:p w14:paraId="3C72C356" w14:textId="011B9ECB" w:rsidR="0086427C" w:rsidRDefault="001743E1" w:rsidP="001743E1">
      <w:pPr>
        <w:pStyle w:val="LC1"/>
        <w:numPr>
          <w:ilvl w:val="0"/>
          <w:numId w:val="0"/>
        </w:numPr>
        <w:ind w:left="720" w:hanging="720"/>
      </w:pPr>
      <w:r>
        <w:rPr>
          <w:rFonts w:cs="Arial"/>
          <w:szCs w:val="24"/>
        </w:rPr>
        <w:t>[31]</w:t>
      </w:r>
      <w:r>
        <w:rPr>
          <w:rFonts w:cs="Arial"/>
          <w:szCs w:val="24"/>
        </w:rPr>
        <w:tab/>
      </w:r>
      <w:r w:rsidR="00974E57">
        <w:t xml:space="preserve">As to the issue of </w:t>
      </w:r>
      <w:r w:rsidR="00974E57" w:rsidRPr="00974E57">
        <w:rPr>
          <w:i/>
          <w:iCs/>
        </w:rPr>
        <w:t xml:space="preserve">lis </w:t>
      </w:r>
      <w:r w:rsidR="009C7E05">
        <w:rPr>
          <w:i/>
          <w:iCs/>
        </w:rPr>
        <w:t xml:space="preserve">alibi </w:t>
      </w:r>
      <w:r w:rsidR="00974E57" w:rsidRPr="00974E57">
        <w:rPr>
          <w:i/>
          <w:iCs/>
        </w:rPr>
        <w:t>pendens</w:t>
      </w:r>
      <w:r w:rsidR="00974E57">
        <w:t xml:space="preserve">, neither the COJ nor KCC seek to </w:t>
      </w:r>
      <w:r w:rsidR="00BD5BAD">
        <w:t xml:space="preserve">contend </w:t>
      </w:r>
      <w:r w:rsidR="00CE3BC9">
        <w:t xml:space="preserve">in the </w:t>
      </w:r>
      <w:r w:rsidR="00267ADF">
        <w:t xml:space="preserve">COJ’s </w:t>
      </w:r>
      <w:r w:rsidR="00CE3BC9">
        <w:t xml:space="preserve">eviction application or in KCC’s related review application </w:t>
      </w:r>
      <w:r w:rsidR="00974E57">
        <w:t xml:space="preserve">that </w:t>
      </w:r>
      <w:r w:rsidR="0086427C">
        <w:t xml:space="preserve">La Vie’s </w:t>
      </w:r>
      <w:r w:rsidR="00974E57">
        <w:t>sub</w:t>
      </w:r>
      <w:r w:rsidR="0086427C">
        <w:t xml:space="preserve">lease was null and void </w:t>
      </w:r>
      <w:r w:rsidR="0086427C" w:rsidRPr="00484133">
        <w:rPr>
          <w:i/>
          <w:iCs/>
        </w:rPr>
        <w:t>ab initio</w:t>
      </w:r>
      <w:r w:rsidR="0086427C">
        <w:t>.</w:t>
      </w:r>
    </w:p>
    <w:p w14:paraId="19BC9CED" w14:textId="19663568" w:rsidR="0086427C" w:rsidRDefault="001743E1" w:rsidP="001743E1">
      <w:pPr>
        <w:pStyle w:val="LC1"/>
        <w:numPr>
          <w:ilvl w:val="0"/>
          <w:numId w:val="0"/>
        </w:numPr>
        <w:ind w:left="720" w:hanging="720"/>
      </w:pPr>
      <w:r>
        <w:rPr>
          <w:rFonts w:cs="Arial"/>
          <w:szCs w:val="24"/>
        </w:rPr>
        <w:t>[32]</w:t>
      </w:r>
      <w:r>
        <w:rPr>
          <w:rFonts w:cs="Arial"/>
          <w:szCs w:val="24"/>
        </w:rPr>
        <w:tab/>
      </w:r>
      <w:r w:rsidR="00F55A9D">
        <w:t xml:space="preserve">Although paragraph 11 of </w:t>
      </w:r>
      <w:r w:rsidR="0086427C">
        <w:t xml:space="preserve">the affidavit filed by COJ in support of its eviction application </w:t>
      </w:r>
      <w:r w:rsidR="00F55A9D">
        <w:t xml:space="preserve">states somewhat </w:t>
      </w:r>
      <w:r w:rsidR="00CE3BC9">
        <w:t xml:space="preserve">cryptically </w:t>
      </w:r>
      <w:r w:rsidR="00F55A9D">
        <w:t xml:space="preserve">that KCC is </w:t>
      </w:r>
      <w:r w:rsidR="00CE3BC9">
        <w:t>“</w:t>
      </w:r>
      <w:r w:rsidR="00F55A9D">
        <w:t>not competent</w:t>
      </w:r>
      <w:r w:rsidR="00CE3BC9">
        <w:t>”</w:t>
      </w:r>
      <w:r w:rsidR="00F55A9D">
        <w:t xml:space="preserve"> to act as principal lessee of the property </w:t>
      </w:r>
      <w:r w:rsidR="00CE3BC9">
        <w:t xml:space="preserve">given that </w:t>
      </w:r>
      <w:r w:rsidR="00F55A9D">
        <w:t xml:space="preserve">the KCC notarial leases had been cancelled, it is apparent that </w:t>
      </w:r>
      <w:r w:rsidR="00CE3BC9">
        <w:t xml:space="preserve">the COJ </w:t>
      </w:r>
      <w:r w:rsidR="0082354A">
        <w:t xml:space="preserve">does not seek to impugn La Vie’s sublease at all, but rather founds </w:t>
      </w:r>
      <w:r w:rsidR="00F55A9D">
        <w:t xml:space="preserve">its </w:t>
      </w:r>
      <w:r w:rsidR="0082354A">
        <w:t>case</w:t>
      </w:r>
      <w:r w:rsidR="00F55A9D">
        <w:t xml:space="preserve"> </w:t>
      </w:r>
      <w:r w:rsidR="0082354A">
        <w:t xml:space="preserve">for eviction </w:t>
      </w:r>
      <w:r w:rsidR="0086427C">
        <w:t xml:space="preserve">squarely on the </w:t>
      </w:r>
      <w:r w:rsidR="0082354A">
        <w:t xml:space="preserve">purported </w:t>
      </w:r>
      <w:r w:rsidR="0086427C">
        <w:t>cancellation, which COJ seeks to have “confirmed”</w:t>
      </w:r>
      <w:r w:rsidR="00CE3BC9">
        <w:t xml:space="preserve"> by order of the Court</w:t>
      </w:r>
      <w:r w:rsidR="0086427C">
        <w:t xml:space="preserve">. Furthermore, to the extent that it involves KCC’s conduct in relation La Vie, the </w:t>
      </w:r>
      <w:r w:rsidR="00267ADF">
        <w:t>COJ’s</w:t>
      </w:r>
      <w:r w:rsidR="0086427C">
        <w:t xml:space="preserve"> eviction application is based on KCC’s alleged failure to comply with </w:t>
      </w:r>
      <w:r w:rsidR="00974E57">
        <w:t xml:space="preserve">the </w:t>
      </w:r>
      <w:r w:rsidR="0086427C">
        <w:t xml:space="preserve">breach notice delivered by the COJ on 29 November 2021 which alleged that KCC (i) was carrying on trade or business on the property in contravention of clause 5 </w:t>
      </w:r>
      <w:r w:rsidR="00951279">
        <w:t xml:space="preserve">KCC’s notarial lease </w:t>
      </w:r>
      <w:r w:rsidR="0086427C">
        <w:t xml:space="preserve">through an “arrangement / agreement / simulated transaction” with La Vie; or (ii) alternatively that KCC was in breach clause 15 of </w:t>
      </w:r>
      <w:r w:rsidR="00951279">
        <w:t xml:space="preserve">KCC’s notarial lease </w:t>
      </w:r>
      <w:r w:rsidR="0086427C">
        <w:t xml:space="preserve">by subletting and/or ceding some of its rights thereunder to La Vie. As a result of this conduct COJ demanded that KCC should “stop carrying on any trade or business contrary to </w:t>
      </w:r>
      <w:r w:rsidR="00951279">
        <w:t>[KCC’s notarial lease</w:t>
      </w:r>
      <w:r w:rsidR="0086427C">
        <w:t xml:space="preserve">] alternatively cancel the subletting agreement with La Vie </w:t>
      </w:r>
      <w:proofErr w:type="spellStart"/>
      <w:r w:rsidR="0086427C">
        <w:t>en</w:t>
      </w:r>
      <w:proofErr w:type="spellEnd"/>
      <w:r w:rsidR="0086427C">
        <w:t xml:space="preserve"> Rose and ensure that they </w:t>
      </w:r>
      <w:r w:rsidR="0086427C">
        <w:lastRenderedPageBreak/>
        <w:t xml:space="preserve">vacate the property within 30 (thirty) days from date of receipt or this letter”. Paragraph 61 of the COJ’s affidavit makes it clear that, in effecting the cancellation, </w:t>
      </w:r>
      <w:r w:rsidR="008561B1">
        <w:t xml:space="preserve">it </w:t>
      </w:r>
      <w:r w:rsidR="0086427C">
        <w:t>relie</w:t>
      </w:r>
      <w:r w:rsidR="008561B1">
        <w:t>d</w:t>
      </w:r>
      <w:r w:rsidR="0086427C">
        <w:t xml:space="preserve"> on the application and operation of the breach and cancellation clause contained in clause 11 of </w:t>
      </w:r>
      <w:r w:rsidR="00951279">
        <w:t>KCC’s notarial lease</w:t>
      </w:r>
      <w:r w:rsidR="00974E57">
        <w:t>s</w:t>
      </w:r>
      <w:r w:rsidR="00951279">
        <w:t xml:space="preserve"> </w:t>
      </w:r>
      <w:r w:rsidR="0086427C">
        <w:t xml:space="preserve">because KCC had failed to “cure the breaches complained of in the second breach notice” within 30 days. In paragraphs 71 and 72, the COJ alleges that it seeks the eviction of La Vie together with that of KCC on the basis that the cancellation of the </w:t>
      </w:r>
      <w:r w:rsidR="008561B1">
        <w:t>K</w:t>
      </w:r>
      <w:r w:rsidR="0086427C">
        <w:t xml:space="preserve">CC </w:t>
      </w:r>
      <w:r w:rsidR="008561B1">
        <w:t xml:space="preserve">notarial </w:t>
      </w:r>
      <w:r w:rsidR="0086427C">
        <w:t>lease</w:t>
      </w:r>
      <w:r w:rsidR="008561B1">
        <w:t>s</w:t>
      </w:r>
      <w:r w:rsidR="0086427C">
        <w:t xml:space="preserve"> “automatically terminates all subleases”, and that La Vie “derived their right to occupy from [KCC] which right has been terminated” alternatively, if there is no sublease, on the basis that La Vie’s occupation was (and remains) unlawful. It is thus apparent that the COJ does not contend that the La Vie </w:t>
      </w:r>
      <w:r w:rsidR="00190DBC">
        <w:t>sub</w:t>
      </w:r>
      <w:r w:rsidR="0086427C">
        <w:t xml:space="preserve">lease (the existence and termination of which is common cause before me) was void </w:t>
      </w:r>
      <w:r w:rsidR="0086427C" w:rsidRPr="00484133">
        <w:rPr>
          <w:i/>
          <w:iCs/>
        </w:rPr>
        <w:t>ab initio</w:t>
      </w:r>
      <w:r w:rsidR="0086427C">
        <w:t xml:space="preserve">. </w:t>
      </w:r>
    </w:p>
    <w:p w14:paraId="73DCEC0A" w14:textId="54DF6659" w:rsidR="0086427C" w:rsidRDefault="001743E1" w:rsidP="001743E1">
      <w:pPr>
        <w:pStyle w:val="LC1"/>
        <w:numPr>
          <w:ilvl w:val="0"/>
          <w:numId w:val="0"/>
        </w:numPr>
        <w:ind w:left="720" w:hanging="720"/>
      </w:pPr>
      <w:r>
        <w:rPr>
          <w:rFonts w:cs="Arial"/>
          <w:szCs w:val="24"/>
        </w:rPr>
        <w:t>[33]</w:t>
      </w:r>
      <w:r>
        <w:rPr>
          <w:rFonts w:cs="Arial"/>
          <w:szCs w:val="24"/>
        </w:rPr>
        <w:tab/>
      </w:r>
      <w:r w:rsidR="0082354A">
        <w:t>As for KCC, a</w:t>
      </w:r>
      <w:r w:rsidR="00484133" w:rsidRPr="00974E57">
        <w:t xml:space="preserve">lthough </w:t>
      </w:r>
      <w:r w:rsidR="0082354A">
        <w:t xml:space="preserve">it </w:t>
      </w:r>
      <w:r w:rsidR="00484133" w:rsidRPr="00974E57">
        <w:t xml:space="preserve">does appear </w:t>
      </w:r>
      <w:r w:rsidR="0082354A">
        <w:t xml:space="preserve">that </w:t>
      </w:r>
      <w:r w:rsidR="00484133" w:rsidRPr="00974E57">
        <w:t xml:space="preserve">at some point </w:t>
      </w:r>
      <w:r w:rsidR="00974E57" w:rsidRPr="00974E57">
        <w:t xml:space="preserve">in the past </w:t>
      </w:r>
      <w:r w:rsidR="0082354A">
        <w:t xml:space="preserve">it </w:t>
      </w:r>
      <w:r w:rsidR="00484133" w:rsidRPr="00974E57">
        <w:t xml:space="preserve">contended that the La Vie sublease was </w:t>
      </w:r>
      <w:r w:rsidR="0086427C" w:rsidRPr="00974E57">
        <w:t xml:space="preserve">void </w:t>
      </w:r>
      <w:r w:rsidR="0086427C" w:rsidRPr="00974E57">
        <w:rPr>
          <w:i/>
          <w:iCs/>
        </w:rPr>
        <w:t>ab initio</w:t>
      </w:r>
      <w:r w:rsidR="00190DBC" w:rsidRPr="00974E57">
        <w:t xml:space="preserve">, </w:t>
      </w:r>
      <w:r w:rsidR="00974E57">
        <w:t>it did not do so on the basis that it was concluded in breach of the notarial leases</w:t>
      </w:r>
      <w:r w:rsidR="0082354A">
        <w:t>, and</w:t>
      </w:r>
      <w:r w:rsidR="00974E57">
        <w:t xml:space="preserve"> that is </w:t>
      </w:r>
      <w:r w:rsidR="0082354A">
        <w:t xml:space="preserve">not </w:t>
      </w:r>
      <w:r w:rsidR="00974E57">
        <w:t xml:space="preserve">its contention before me. More importantly, however, </w:t>
      </w:r>
      <w:r w:rsidR="00BD5BAD">
        <w:t xml:space="preserve">KCC </w:t>
      </w:r>
      <w:r w:rsidR="00974E57">
        <w:t xml:space="preserve">does not persist with that contention in </w:t>
      </w:r>
      <w:r w:rsidR="0086427C">
        <w:t>resist</w:t>
      </w:r>
      <w:r w:rsidR="00974E57">
        <w:t>ing</w:t>
      </w:r>
      <w:r w:rsidR="0086427C">
        <w:t xml:space="preserve"> the </w:t>
      </w:r>
      <w:r w:rsidR="00190DBC">
        <w:t xml:space="preserve">COJ’s </w:t>
      </w:r>
      <w:r w:rsidR="0086427C">
        <w:t>eviction application</w:t>
      </w:r>
      <w:r w:rsidR="0082354A">
        <w:t xml:space="preserve"> or advancing the review application</w:t>
      </w:r>
      <w:r w:rsidR="00190DBC">
        <w:t xml:space="preserve">. Its </w:t>
      </w:r>
      <w:r w:rsidR="0082354A">
        <w:t xml:space="preserve">defence </w:t>
      </w:r>
      <w:r w:rsidR="00190DBC">
        <w:t xml:space="preserve">is </w:t>
      </w:r>
      <w:r w:rsidR="0086427C">
        <w:t>set out in paragraphs 8 to 12 of its answering affidavit and is as follows:</w:t>
      </w:r>
    </w:p>
    <w:p w14:paraId="7D582175" w14:textId="24BF2AF3" w:rsidR="0086427C" w:rsidRDefault="001743E1" w:rsidP="001743E1">
      <w:pPr>
        <w:pStyle w:val="LC2"/>
        <w:numPr>
          <w:ilvl w:val="0"/>
          <w:numId w:val="0"/>
        </w:numPr>
        <w:ind w:left="1701" w:hanging="993"/>
      </w:pPr>
      <w:r>
        <w:t>(a)</w:t>
      </w:r>
      <w:r>
        <w:tab/>
      </w:r>
      <w:r w:rsidR="0086427C">
        <w:t xml:space="preserve">Firstly, on the basis that the COJ’s decision to cancel </w:t>
      </w:r>
      <w:r w:rsidR="00951279">
        <w:t>KCC’s notarial lease</w:t>
      </w:r>
      <w:r w:rsidR="00BD5BAD">
        <w:t>s</w:t>
      </w:r>
      <w:r w:rsidR="00951279">
        <w:t xml:space="preserve"> </w:t>
      </w:r>
      <w:r w:rsidR="0086427C">
        <w:t xml:space="preserve">was unlawful on the grounds set out in the review application, namely that (i) the Legal Manager who made the decision was not duly authorised; (ii) it was procedurally unfair and procedurally irrational; and (iii) it was unreasonable, irrational and failed to take </w:t>
      </w:r>
      <w:r w:rsidR="0086427C">
        <w:lastRenderedPageBreak/>
        <w:t>relevant considerations into account.</w:t>
      </w:r>
    </w:p>
    <w:p w14:paraId="39088003" w14:textId="50AD55BE" w:rsidR="0086427C" w:rsidRDefault="001743E1" w:rsidP="001743E1">
      <w:pPr>
        <w:pStyle w:val="LC2"/>
        <w:numPr>
          <w:ilvl w:val="0"/>
          <w:numId w:val="0"/>
        </w:numPr>
        <w:ind w:left="1701" w:hanging="993"/>
      </w:pPr>
      <w:r>
        <w:t>(b)</w:t>
      </w:r>
      <w:r>
        <w:tab/>
      </w:r>
      <w:r w:rsidR="0086427C">
        <w:t>Secondly, because “to the extent that KCC had breached the [KCC</w:t>
      </w:r>
      <w:r w:rsidR="00BD5BAD">
        <w:t>’s notarial leases</w:t>
      </w:r>
      <w:r w:rsidR="0086427C">
        <w:t>], KCC remedied that breach within thirty days of the receipt of COJ’s notice of breach”; and</w:t>
      </w:r>
    </w:p>
    <w:p w14:paraId="1623CC55" w14:textId="48F095BD" w:rsidR="0086427C" w:rsidRDefault="001743E1" w:rsidP="001743E1">
      <w:pPr>
        <w:pStyle w:val="LC2"/>
        <w:numPr>
          <w:ilvl w:val="0"/>
          <w:numId w:val="0"/>
        </w:numPr>
        <w:ind w:left="1701" w:hanging="993"/>
      </w:pPr>
      <w:r>
        <w:t>(c)</w:t>
      </w:r>
      <w:r>
        <w:tab/>
      </w:r>
      <w:r w:rsidR="0086427C">
        <w:t xml:space="preserve">Thirdly, because 18 employees of KCC and their families and 17 caddies reside at the property, and the COJ had failed to comply with the provisions the Prevention of Illegal Eviction from and Unlawful Occupation of Land Act, 1998. </w:t>
      </w:r>
    </w:p>
    <w:p w14:paraId="7662992A" w14:textId="502F7D8E" w:rsidR="0086427C" w:rsidRDefault="001743E1" w:rsidP="001743E1">
      <w:pPr>
        <w:pStyle w:val="LC1"/>
        <w:numPr>
          <w:ilvl w:val="0"/>
          <w:numId w:val="0"/>
        </w:numPr>
        <w:ind w:left="720" w:hanging="720"/>
      </w:pPr>
      <w:r>
        <w:rPr>
          <w:rFonts w:cs="Arial"/>
          <w:szCs w:val="24"/>
        </w:rPr>
        <w:t>[34]</w:t>
      </w:r>
      <w:r>
        <w:rPr>
          <w:rFonts w:cs="Arial"/>
          <w:szCs w:val="24"/>
        </w:rPr>
        <w:tab/>
      </w:r>
      <w:r w:rsidR="0086427C">
        <w:t xml:space="preserve">It is thus apparent that neither </w:t>
      </w:r>
      <w:r w:rsidR="00BD5BAD">
        <w:t xml:space="preserve">the </w:t>
      </w:r>
      <w:r w:rsidR="0086427C">
        <w:t xml:space="preserve">COJ nor KCC </w:t>
      </w:r>
      <w:r w:rsidR="008561B1">
        <w:t xml:space="preserve">are </w:t>
      </w:r>
      <w:r w:rsidR="0086427C">
        <w:t xml:space="preserve">alleging that the lease agreement was void </w:t>
      </w:r>
      <w:r w:rsidR="0086427C" w:rsidRPr="00380BF9">
        <w:rPr>
          <w:i/>
          <w:iCs/>
        </w:rPr>
        <w:t>ab initio</w:t>
      </w:r>
      <w:r w:rsidR="0086427C">
        <w:t xml:space="preserve"> </w:t>
      </w:r>
      <w:r w:rsidR="0082354A">
        <w:t>in either the COJ</w:t>
      </w:r>
      <w:r w:rsidR="00267ADF">
        <w:t>’s</w:t>
      </w:r>
      <w:r w:rsidR="0082354A">
        <w:t xml:space="preserve"> eviction application or the review application</w:t>
      </w:r>
      <w:r w:rsidR="00BD5BAD">
        <w:t>.</w:t>
      </w:r>
      <w:r w:rsidR="0082354A">
        <w:t xml:space="preserve"> </w:t>
      </w:r>
      <w:r w:rsidR="00BD5BAD">
        <w:t xml:space="preserve">It </w:t>
      </w:r>
      <w:r w:rsidR="0082354A">
        <w:t xml:space="preserve">is simply not an </w:t>
      </w:r>
      <w:r w:rsidR="0086427C">
        <w:t xml:space="preserve">issue </w:t>
      </w:r>
      <w:r w:rsidR="0082354A">
        <w:t xml:space="preserve">that will </w:t>
      </w:r>
      <w:r w:rsidR="0086427C">
        <w:t>arise for determination</w:t>
      </w:r>
      <w:r w:rsidR="0082354A">
        <w:t xml:space="preserve"> in either </w:t>
      </w:r>
      <w:r w:rsidR="008561B1">
        <w:t xml:space="preserve">of those </w:t>
      </w:r>
      <w:r w:rsidR="0082354A">
        <w:t>case</w:t>
      </w:r>
      <w:r w:rsidR="008561B1">
        <w:t>s</w:t>
      </w:r>
      <w:r w:rsidR="0086427C">
        <w:t xml:space="preserve">. </w:t>
      </w:r>
    </w:p>
    <w:p w14:paraId="4A312612" w14:textId="30EB5BDA" w:rsidR="005B2ECE" w:rsidRDefault="001743E1" w:rsidP="001743E1">
      <w:pPr>
        <w:pStyle w:val="LC1"/>
        <w:numPr>
          <w:ilvl w:val="0"/>
          <w:numId w:val="0"/>
        </w:numPr>
        <w:ind w:left="720" w:hanging="720"/>
      </w:pPr>
      <w:r>
        <w:rPr>
          <w:rFonts w:cs="Arial"/>
          <w:szCs w:val="24"/>
        </w:rPr>
        <w:t>[35]</w:t>
      </w:r>
      <w:r>
        <w:rPr>
          <w:rFonts w:cs="Arial"/>
          <w:szCs w:val="24"/>
        </w:rPr>
        <w:tab/>
      </w:r>
      <w:r w:rsidR="005B2ECE">
        <w:t xml:space="preserve">As such, I conclude that the defence of </w:t>
      </w:r>
      <w:r w:rsidR="005B2ECE" w:rsidRPr="009C7E05">
        <w:rPr>
          <w:i/>
          <w:iCs/>
        </w:rPr>
        <w:t xml:space="preserve">lis </w:t>
      </w:r>
      <w:r w:rsidR="009C7E05">
        <w:rPr>
          <w:i/>
          <w:iCs/>
        </w:rPr>
        <w:t xml:space="preserve">alibi </w:t>
      </w:r>
      <w:r w:rsidR="005B2ECE" w:rsidRPr="009C7E05">
        <w:rPr>
          <w:i/>
          <w:iCs/>
        </w:rPr>
        <w:t>pendens</w:t>
      </w:r>
      <w:r w:rsidR="005B2ECE">
        <w:t xml:space="preserve"> does not avail La Vie because </w:t>
      </w:r>
      <w:r w:rsidR="00F565C1">
        <w:t xml:space="preserve">(even on the most relaxed application of that principle) </w:t>
      </w:r>
      <w:r w:rsidR="005B2ECE">
        <w:t xml:space="preserve">the </w:t>
      </w:r>
      <w:r w:rsidR="00267ADF">
        <w:t xml:space="preserve">COJ’s </w:t>
      </w:r>
      <w:r w:rsidR="005B2ECE">
        <w:t xml:space="preserve">eviction application and the review application </w:t>
      </w:r>
      <w:r w:rsidR="00F565C1">
        <w:t xml:space="preserve">will not involve determination of the central question that </w:t>
      </w:r>
      <w:r w:rsidR="005B2ECE">
        <w:t xml:space="preserve">La Vie seeks to have decided in </w:t>
      </w:r>
      <w:r w:rsidR="00F565C1">
        <w:t>the present case</w:t>
      </w:r>
      <w:r w:rsidR="005B2ECE">
        <w:t>,</w:t>
      </w:r>
      <w:r w:rsidR="00F565C1">
        <w:rPr>
          <w:rStyle w:val="FootnoteReference"/>
        </w:rPr>
        <w:footnoteReference w:id="11"/>
      </w:r>
      <w:r w:rsidR="005B2ECE">
        <w:t xml:space="preserve"> namely whether the La Vie </w:t>
      </w:r>
      <w:r w:rsidR="00BD5BAD">
        <w:t>sub</w:t>
      </w:r>
      <w:r w:rsidR="005B2ECE">
        <w:t xml:space="preserve">lease </w:t>
      </w:r>
      <w:r w:rsidR="008561B1">
        <w:t xml:space="preserve">was </w:t>
      </w:r>
      <w:r w:rsidR="005B2ECE">
        <w:t xml:space="preserve">void </w:t>
      </w:r>
      <w:r w:rsidR="005B2ECE" w:rsidRPr="009C7E05">
        <w:rPr>
          <w:i/>
          <w:iCs/>
        </w:rPr>
        <w:t>ab initio</w:t>
      </w:r>
      <w:r w:rsidR="005B2ECE">
        <w:t xml:space="preserve"> on the basis that it was concluded in breach of the KCC notarial leases.  </w:t>
      </w:r>
    </w:p>
    <w:p w14:paraId="649D2AB3" w14:textId="05874193" w:rsidR="0082354A" w:rsidRDefault="001743E1" w:rsidP="001743E1">
      <w:pPr>
        <w:pStyle w:val="LC1"/>
        <w:numPr>
          <w:ilvl w:val="0"/>
          <w:numId w:val="0"/>
        </w:numPr>
        <w:ind w:left="720" w:hanging="720"/>
      </w:pPr>
      <w:r>
        <w:rPr>
          <w:rFonts w:cs="Arial"/>
          <w:szCs w:val="24"/>
        </w:rPr>
        <w:t>[36]</w:t>
      </w:r>
      <w:r>
        <w:rPr>
          <w:rFonts w:cs="Arial"/>
          <w:szCs w:val="24"/>
        </w:rPr>
        <w:tab/>
      </w:r>
      <w:r w:rsidR="0082354A">
        <w:t xml:space="preserve">Finally, even </w:t>
      </w:r>
      <w:r w:rsidR="005B2ECE">
        <w:t xml:space="preserve">assuming </w:t>
      </w:r>
      <w:r w:rsidR="009C7E05">
        <w:t xml:space="preserve">that </w:t>
      </w:r>
      <w:r w:rsidR="002D115A">
        <w:t xml:space="preserve">La Vie </w:t>
      </w:r>
      <w:r w:rsidR="008561B1">
        <w:t xml:space="preserve">were to </w:t>
      </w:r>
      <w:r w:rsidR="002D115A">
        <w:t xml:space="preserve">“formally join the proceedings and file a substantive affidavit”, </w:t>
      </w:r>
      <w:r w:rsidR="009C7E05">
        <w:t xml:space="preserve">and that it </w:t>
      </w:r>
      <w:proofErr w:type="gramStart"/>
      <w:r w:rsidR="008561B1">
        <w:t>were</w:t>
      </w:r>
      <w:proofErr w:type="gramEnd"/>
      <w:r w:rsidR="008561B1">
        <w:t xml:space="preserve"> to </w:t>
      </w:r>
      <w:r w:rsidR="005B2ECE">
        <w:t xml:space="preserve">successfully </w:t>
      </w:r>
      <w:r w:rsidR="0082354A">
        <w:t xml:space="preserve">argue that its sublease </w:t>
      </w:r>
      <w:r w:rsidR="008561B1">
        <w:t xml:space="preserve">is </w:t>
      </w:r>
      <w:r w:rsidR="0082354A">
        <w:t xml:space="preserve">void </w:t>
      </w:r>
      <w:r w:rsidR="0082354A" w:rsidRPr="0082354A">
        <w:rPr>
          <w:i/>
          <w:iCs/>
        </w:rPr>
        <w:t>ab initio</w:t>
      </w:r>
      <w:r w:rsidR="009C7E05">
        <w:t>, either</w:t>
      </w:r>
      <w:r w:rsidR="005B2ECE">
        <w:rPr>
          <w:i/>
          <w:iCs/>
        </w:rPr>
        <w:t xml:space="preserve"> </w:t>
      </w:r>
      <w:r w:rsidR="005B2ECE">
        <w:t xml:space="preserve">on </w:t>
      </w:r>
      <w:r w:rsidR="009C7E05">
        <w:t xml:space="preserve">the </w:t>
      </w:r>
      <w:r w:rsidR="005B2ECE">
        <w:t>grounds which I have rejected above</w:t>
      </w:r>
      <w:r w:rsidR="009C7E05">
        <w:t xml:space="preserve"> or </w:t>
      </w:r>
      <w:r w:rsidR="009C7E05">
        <w:lastRenderedPageBreak/>
        <w:t>on any other basis</w:t>
      </w:r>
      <w:r w:rsidR="0082354A">
        <w:t xml:space="preserve">, that would be </w:t>
      </w:r>
      <w:r w:rsidR="005B2ECE">
        <w:t>entirely ir</w:t>
      </w:r>
      <w:r w:rsidR="0082354A">
        <w:t>relevant</w:t>
      </w:r>
      <w:r w:rsidR="008561B1">
        <w:t>.</w:t>
      </w:r>
      <w:r w:rsidR="0082354A">
        <w:t xml:space="preserve"> </w:t>
      </w:r>
      <w:r w:rsidR="008561B1">
        <w:t xml:space="preserve">This is </w:t>
      </w:r>
      <w:r w:rsidR="0082354A">
        <w:t xml:space="preserve">because there is no question </w:t>
      </w:r>
      <w:r w:rsidR="002D115A">
        <w:t xml:space="preserve">whatsoever of </w:t>
      </w:r>
      <w:r w:rsidR="0082354A">
        <w:t>the COJ</w:t>
      </w:r>
      <w:r w:rsidR="002D115A">
        <w:t>’s</w:t>
      </w:r>
      <w:r w:rsidR="0082354A">
        <w:t xml:space="preserve"> right to seek La Vie’s eviction in the event that the cancellation of KCC’s notarial leases is upheld:</w:t>
      </w:r>
      <w:r w:rsidR="000F35C5">
        <w:rPr>
          <w:rStyle w:val="FootnoteReference"/>
        </w:rPr>
        <w:t xml:space="preserve"> </w:t>
      </w:r>
      <w:r w:rsidR="0082354A">
        <w:t>indeed that is precisely what the COJ seeks to do</w:t>
      </w:r>
      <w:r w:rsidR="005B2ECE">
        <w:t xml:space="preserve">. </w:t>
      </w:r>
    </w:p>
    <w:p w14:paraId="2D63C4DE" w14:textId="77777777" w:rsidR="0086427C" w:rsidRPr="009A2533" w:rsidRDefault="0086427C" w:rsidP="009A2533">
      <w:pPr>
        <w:pStyle w:val="LC1"/>
        <w:numPr>
          <w:ilvl w:val="0"/>
          <w:numId w:val="0"/>
        </w:numPr>
        <w:ind w:left="720" w:hanging="720"/>
        <w:rPr>
          <w:u w:val="single"/>
        </w:rPr>
      </w:pPr>
      <w:r w:rsidRPr="009A2533">
        <w:rPr>
          <w:u w:val="single"/>
        </w:rPr>
        <w:t>Conclusion and costs in relation to the stay application</w:t>
      </w:r>
    </w:p>
    <w:p w14:paraId="5FBC23CD" w14:textId="1F972C32" w:rsidR="0088082A" w:rsidRDefault="001743E1" w:rsidP="001743E1">
      <w:pPr>
        <w:pStyle w:val="LC1"/>
        <w:numPr>
          <w:ilvl w:val="0"/>
          <w:numId w:val="0"/>
        </w:numPr>
        <w:ind w:left="720" w:hanging="720"/>
      </w:pPr>
      <w:r>
        <w:rPr>
          <w:rFonts w:cs="Arial"/>
          <w:szCs w:val="24"/>
        </w:rPr>
        <w:t>[37]</w:t>
      </w:r>
      <w:r>
        <w:rPr>
          <w:rFonts w:cs="Arial"/>
          <w:szCs w:val="24"/>
        </w:rPr>
        <w:tab/>
      </w:r>
      <w:r w:rsidR="0088082A">
        <w:t>For the reasons set out above, I am of the view that there is no merit in the stay application and that it falls to be dismissed with costs. An order to this effect will issue.</w:t>
      </w:r>
    </w:p>
    <w:p w14:paraId="38F72F41" w14:textId="53027033" w:rsidR="00000719" w:rsidRDefault="001743E1" w:rsidP="001743E1">
      <w:pPr>
        <w:pStyle w:val="LC1"/>
        <w:numPr>
          <w:ilvl w:val="0"/>
          <w:numId w:val="0"/>
        </w:numPr>
        <w:ind w:left="720" w:hanging="720"/>
      </w:pPr>
      <w:r>
        <w:rPr>
          <w:rFonts w:cs="Arial"/>
          <w:szCs w:val="24"/>
        </w:rPr>
        <w:t>[38]</w:t>
      </w:r>
      <w:r>
        <w:rPr>
          <w:rFonts w:cs="Arial"/>
          <w:szCs w:val="24"/>
        </w:rPr>
        <w:tab/>
      </w:r>
      <w:r w:rsidR="0088082A">
        <w:t xml:space="preserve">KCC seeks a punitive costs award in the stay application on the basis that </w:t>
      </w:r>
      <w:r w:rsidR="00000719">
        <w:t xml:space="preserve">the notice of motion sought to set it </w:t>
      </w:r>
      <w:r w:rsidR="0086427C">
        <w:t xml:space="preserve">down on the urgent roll </w:t>
      </w:r>
      <w:r w:rsidR="002D115A">
        <w:t xml:space="preserve">in the week prior to the hearing of the eviction </w:t>
      </w:r>
      <w:r w:rsidR="00267ADF">
        <w:t xml:space="preserve">and payment </w:t>
      </w:r>
      <w:r w:rsidR="002D115A">
        <w:t xml:space="preserve">application. </w:t>
      </w:r>
      <w:r w:rsidR="0086427C">
        <w:t xml:space="preserve">There is some </w:t>
      </w:r>
      <w:r w:rsidR="0088082A">
        <w:t xml:space="preserve">superficial </w:t>
      </w:r>
      <w:r w:rsidR="0086427C">
        <w:t xml:space="preserve">force in </w:t>
      </w:r>
      <w:r w:rsidR="002D115A">
        <w:t xml:space="preserve">KCC’s </w:t>
      </w:r>
      <w:r w:rsidR="0086427C">
        <w:t>contention that this may have been intended to draw an urgent judge who would not be able to consider the matter carefully</w:t>
      </w:r>
      <w:r w:rsidR="00000719">
        <w:t>:</w:t>
      </w:r>
      <w:r w:rsidR="0086427C">
        <w:t xml:space="preserve"> </w:t>
      </w:r>
      <w:r w:rsidR="00000719">
        <w:t>i</w:t>
      </w:r>
      <w:r w:rsidR="0086427C">
        <w:t xml:space="preserve">t has certainly exercised my mind, and </w:t>
      </w:r>
      <w:r w:rsidR="008561B1">
        <w:t>i</w:t>
      </w:r>
      <w:r w:rsidR="0086427C">
        <w:t xml:space="preserve">t has only been on careful </w:t>
      </w:r>
      <w:r w:rsidR="008561B1">
        <w:t xml:space="preserve">and mature </w:t>
      </w:r>
      <w:r w:rsidR="0086427C">
        <w:t>consideration</w:t>
      </w:r>
      <w:r w:rsidR="008561B1">
        <w:rPr>
          <w:rStyle w:val="FootnoteReference"/>
        </w:rPr>
        <w:footnoteReference w:id="12"/>
      </w:r>
      <w:r w:rsidR="0086427C">
        <w:t xml:space="preserve"> that I have been able to reach the conclusion that it is misguided and should not be granted. However,</w:t>
      </w:r>
      <w:r w:rsidR="00000719">
        <w:t xml:space="preserve"> as early as 1</w:t>
      </w:r>
      <w:r w:rsidR="0088082A">
        <w:t>9</w:t>
      </w:r>
      <w:r w:rsidR="00000719">
        <w:t xml:space="preserve"> October 2023, </w:t>
      </w:r>
      <w:r w:rsidR="0088082A">
        <w:t xml:space="preserve">La Vie’s counsel informed </w:t>
      </w:r>
      <w:r w:rsidR="00000719">
        <w:t xml:space="preserve">KCC’s attorneys </w:t>
      </w:r>
      <w:r w:rsidR="0088082A">
        <w:t xml:space="preserve">that he was of the view that their earlier </w:t>
      </w:r>
      <w:r w:rsidR="00000719">
        <w:t>propos</w:t>
      </w:r>
      <w:r w:rsidR="0088082A">
        <w:t>al</w:t>
      </w:r>
      <w:r w:rsidR="00000719">
        <w:t xml:space="preserve"> </w:t>
      </w:r>
      <w:r w:rsidR="0088082A">
        <w:t xml:space="preserve">of 1 October 2023 </w:t>
      </w:r>
      <w:r w:rsidR="00000719">
        <w:t xml:space="preserve">that the stay application </w:t>
      </w:r>
      <w:r w:rsidR="0088082A">
        <w:t xml:space="preserve">should </w:t>
      </w:r>
      <w:r w:rsidR="00000719">
        <w:t>be heard at the commencement of the eviction</w:t>
      </w:r>
      <w:r w:rsidR="00267ADF">
        <w:t xml:space="preserve"> and payment</w:t>
      </w:r>
      <w:r w:rsidR="00000719">
        <w:t xml:space="preserve"> application </w:t>
      </w:r>
      <w:r w:rsidR="00BD5BAD">
        <w:t xml:space="preserve">on the ordinary opposed roll </w:t>
      </w:r>
      <w:r w:rsidR="00000719">
        <w:t xml:space="preserve">during the week of 13 November 2023 </w:t>
      </w:r>
      <w:r w:rsidR="0088082A">
        <w:t>was a sensible one. A</w:t>
      </w:r>
      <w:r w:rsidR="00000719">
        <w:t>lthough this was only confirmed by La Vie’s attorneys on 24 October 2023</w:t>
      </w:r>
      <w:r w:rsidR="008561B1">
        <w:t xml:space="preserve">, </w:t>
      </w:r>
      <w:r w:rsidR="0088082A">
        <w:t>KCC’s attorneys had already withdrawn their proposal earlier that day</w:t>
      </w:r>
      <w:r w:rsidR="008561B1">
        <w:t>.</w:t>
      </w:r>
      <w:r w:rsidR="0088082A">
        <w:t xml:space="preserve"> </w:t>
      </w:r>
      <w:r w:rsidR="008561B1">
        <w:t>A</w:t>
      </w:r>
      <w:r w:rsidR="0088082A">
        <w:t>n agreement was only ultimately formally reached at the pre-hearing conference</w:t>
      </w:r>
      <w:r w:rsidR="00000719">
        <w:t xml:space="preserve"> </w:t>
      </w:r>
      <w:r w:rsidR="00CA3477">
        <w:t xml:space="preserve">convened by the </w:t>
      </w:r>
      <w:r w:rsidR="008561B1">
        <w:t>C</w:t>
      </w:r>
      <w:r w:rsidR="00CA3477">
        <w:t xml:space="preserve">ourt </w:t>
      </w:r>
      <w:r w:rsidR="0088082A">
        <w:t xml:space="preserve">on 10 November </w:t>
      </w:r>
      <w:r w:rsidR="0088082A">
        <w:lastRenderedPageBreak/>
        <w:t>2023</w:t>
      </w:r>
      <w:r w:rsidR="008561B1">
        <w:t>.</w:t>
      </w:r>
      <w:r w:rsidR="0088082A">
        <w:t xml:space="preserve"> </w:t>
      </w:r>
      <w:r w:rsidR="004E54BE">
        <w:t>In the circumstances, a</w:t>
      </w:r>
      <w:r w:rsidR="00CA3477">
        <w:t xml:space="preserve">lthough I am of the view that </w:t>
      </w:r>
      <w:r w:rsidR="008561B1">
        <w:t xml:space="preserve">the stay application </w:t>
      </w:r>
      <w:r w:rsidR="00CA3477">
        <w:t>was misguided</w:t>
      </w:r>
      <w:r w:rsidR="004E54BE">
        <w:t xml:space="preserve"> and cannot succeed</w:t>
      </w:r>
      <w:r w:rsidR="00CA3477">
        <w:t xml:space="preserve">, </w:t>
      </w:r>
      <w:r w:rsidR="0088082A">
        <w:t xml:space="preserve">I am not convinced that </w:t>
      </w:r>
      <w:r w:rsidR="008561B1">
        <w:t xml:space="preserve">it </w:t>
      </w:r>
      <w:r w:rsidR="0088082A">
        <w:t>constitute</w:t>
      </w:r>
      <w:r w:rsidR="008561B1">
        <w:t>d</w:t>
      </w:r>
      <w:r w:rsidR="0088082A">
        <w:t xml:space="preserve"> an abuse that justif</w:t>
      </w:r>
      <w:r w:rsidR="00CA3477">
        <w:t>ies</w:t>
      </w:r>
      <w:r w:rsidR="0088082A">
        <w:t xml:space="preserve"> the award of punitive costs. </w:t>
      </w:r>
    </w:p>
    <w:p w14:paraId="5363120D" w14:textId="53842155" w:rsidR="00FD2F01" w:rsidRPr="00FD2F01" w:rsidRDefault="00FD2F01" w:rsidP="009A2533">
      <w:pPr>
        <w:pStyle w:val="LC1"/>
        <w:keepNext/>
        <w:numPr>
          <w:ilvl w:val="0"/>
          <w:numId w:val="0"/>
        </w:numPr>
        <w:ind w:left="720" w:hanging="720"/>
        <w:rPr>
          <w:rFonts w:cs="Arial"/>
          <w:b/>
          <w:bCs/>
          <w:szCs w:val="24"/>
        </w:rPr>
      </w:pPr>
      <w:r w:rsidRPr="00FD2F01">
        <w:rPr>
          <w:rFonts w:cs="Arial"/>
          <w:b/>
          <w:bCs/>
          <w:szCs w:val="24"/>
        </w:rPr>
        <w:t xml:space="preserve">THE EVICTION </w:t>
      </w:r>
      <w:r w:rsidR="006A45FE">
        <w:rPr>
          <w:rFonts w:cs="Arial"/>
          <w:b/>
          <w:bCs/>
          <w:szCs w:val="24"/>
        </w:rPr>
        <w:t xml:space="preserve">AND PAYMENT </w:t>
      </w:r>
      <w:r w:rsidRPr="00FD2F01">
        <w:rPr>
          <w:rFonts w:cs="Arial"/>
          <w:b/>
          <w:bCs/>
          <w:szCs w:val="24"/>
        </w:rPr>
        <w:t>APPLICATION</w:t>
      </w:r>
    </w:p>
    <w:p w14:paraId="2ACF7BFE" w14:textId="684904A5" w:rsidR="00FD2F01" w:rsidRPr="00FD2F01" w:rsidRDefault="000123D8" w:rsidP="00FD2F01">
      <w:pPr>
        <w:pStyle w:val="LC1"/>
        <w:numPr>
          <w:ilvl w:val="0"/>
          <w:numId w:val="0"/>
        </w:numPr>
        <w:ind w:left="720" w:hanging="720"/>
        <w:rPr>
          <w:u w:val="single"/>
        </w:rPr>
      </w:pPr>
      <w:r>
        <w:rPr>
          <w:u w:val="single"/>
        </w:rPr>
        <w:t xml:space="preserve">The </w:t>
      </w:r>
      <w:r w:rsidR="004E54BE">
        <w:rPr>
          <w:u w:val="single"/>
        </w:rPr>
        <w:t xml:space="preserve">eviction </w:t>
      </w:r>
      <w:r>
        <w:rPr>
          <w:u w:val="single"/>
        </w:rPr>
        <w:t xml:space="preserve">relief, </w:t>
      </w:r>
      <w:r w:rsidR="00FD2F01" w:rsidRPr="00FD2F01">
        <w:rPr>
          <w:u w:val="single"/>
        </w:rPr>
        <w:t>the appropriate order</w:t>
      </w:r>
      <w:r w:rsidR="000F35C5">
        <w:rPr>
          <w:u w:val="single"/>
        </w:rPr>
        <w:t xml:space="preserve"> and costs</w:t>
      </w:r>
    </w:p>
    <w:p w14:paraId="092375BB" w14:textId="08CD9CBB" w:rsidR="000123D8" w:rsidRDefault="001743E1" w:rsidP="001743E1">
      <w:pPr>
        <w:pStyle w:val="LC1"/>
        <w:numPr>
          <w:ilvl w:val="0"/>
          <w:numId w:val="0"/>
        </w:numPr>
        <w:ind w:left="720" w:hanging="720"/>
      </w:pPr>
      <w:r>
        <w:rPr>
          <w:rFonts w:cs="Arial"/>
          <w:szCs w:val="24"/>
        </w:rPr>
        <w:t>[39]</w:t>
      </w:r>
      <w:r>
        <w:rPr>
          <w:rFonts w:cs="Arial"/>
          <w:szCs w:val="24"/>
        </w:rPr>
        <w:tab/>
      </w:r>
      <w:r w:rsidR="000123D8">
        <w:t xml:space="preserve">Given that the only defences raised by La Vie </w:t>
      </w:r>
      <w:r w:rsidR="00267ADF">
        <w:t xml:space="preserve">against its </w:t>
      </w:r>
      <w:r w:rsidR="000123D8">
        <w:t xml:space="preserve">eviction are its contentions in relation to </w:t>
      </w:r>
      <w:r w:rsidR="000123D8" w:rsidRPr="000123D8">
        <w:rPr>
          <w:i/>
          <w:iCs/>
        </w:rPr>
        <w:t>locus standi</w:t>
      </w:r>
      <w:r w:rsidR="000123D8">
        <w:t xml:space="preserve"> and </w:t>
      </w:r>
      <w:r w:rsidR="000123D8" w:rsidRPr="000123D8">
        <w:rPr>
          <w:i/>
          <w:iCs/>
        </w:rPr>
        <w:t>lis alibi pendens</w:t>
      </w:r>
      <w:r w:rsidR="000123D8">
        <w:t xml:space="preserve"> that I have found are unavailing, the inevitable result is that KCC is entitled to the ejectment order that it seeks</w:t>
      </w:r>
      <w:r w:rsidR="00DF05DE">
        <w:t xml:space="preserve"> and </w:t>
      </w:r>
      <w:r w:rsidR="004E54BE">
        <w:t xml:space="preserve">that it </w:t>
      </w:r>
      <w:r w:rsidR="00DF05DE">
        <w:t>should be awarded its costs</w:t>
      </w:r>
      <w:r w:rsidR="000123D8">
        <w:t xml:space="preserve">. KCC did not, however, make out any case for the order it seeks specifically “authorising the sheriff to enlist the services of the South African Police Services or the services of a private security service provider to assist in the eviction of the unlawful occupiers, if necessary”, and I see no reason why such an order should be granted as a matter of course in what </w:t>
      </w:r>
      <w:r w:rsidR="004E54BE">
        <w:t xml:space="preserve">KCC </w:t>
      </w:r>
      <w:r w:rsidR="000123D8">
        <w:t>itself refer</w:t>
      </w:r>
      <w:r w:rsidR="004E54BE">
        <w:t>s</w:t>
      </w:r>
      <w:r w:rsidR="000123D8">
        <w:t xml:space="preserve"> to as a “stock standard” commercial eviction. In addition, KCC made out no case for </w:t>
      </w:r>
      <w:r w:rsidR="004E54BE">
        <w:t xml:space="preserve">an </w:t>
      </w:r>
      <w:r w:rsidR="000123D8">
        <w:t xml:space="preserve">interdict prohibiting La Vie from entering or regaining occupation of the </w:t>
      </w:r>
      <w:r w:rsidR="004E54BE">
        <w:t>p</w:t>
      </w:r>
      <w:r w:rsidR="000123D8">
        <w:t xml:space="preserve">roperty subsequent to the eviction: there was no evidence whatsoever before me of the existence of any reasonable apprehension that </w:t>
      </w:r>
      <w:r w:rsidR="004E54BE">
        <w:t xml:space="preserve">the respondents </w:t>
      </w:r>
      <w:r w:rsidR="000123D8">
        <w:t>might act in contempt of a court order in this manner.</w:t>
      </w:r>
    </w:p>
    <w:p w14:paraId="6E0B4495" w14:textId="14AE966D" w:rsidR="000123D8" w:rsidRPr="000123D8" w:rsidRDefault="001743E1" w:rsidP="001743E1">
      <w:pPr>
        <w:pStyle w:val="LC1"/>
        <w:numPr>
          <w:ilvl w:val="0"/>
          <w:numId w:val="0"/>
        </w:numPr>
        <w:ind w:left="720" w:hanging="720"/>
      </w:pPr>
      <w:r w:rsidRPr="000123D8">
        <w:rPr>
          <w:rFonts w:cs="Arial"/>
          <w:szCs w:val="24"/>
        </w:rPr>
        <w:t>[40]</w:t>
      </w:r>
      <w:r w:rsidRPr="000123D8">
        <w:rPr>
          <w:rFonts w:cs="Arial"/>
          <w:szCs w:val="24"/>
        </w:rPr>
        <w:tab/>
      </w:r>
      <w:r w:rsidR="000123D8">
        <w:t xml:space="preserve">As to costs, </w:t>
      </w:r>
      <w:r w:rsidR="00DF05DE">
        <w:t xml:space="preserve">I am again unpersuaded that a punitive costs order is appropriate. While </w:t>
      </w:r>
      <w:r w:rsidR="004E54BE">
        <w:t xml:space="preserve">the </w:t>
      </w:r>
      <w:r w:rsidR="00DF05DE">
        <w:t xml:space="preserve">defences raised </w:t>
      </w:r>
      <w:r w:rsidR="004E54BE">
        <w:t xml:space="preserve">by La Vie </w:t>
      </w:r>
      <w:r w:rsidR="00DF05DE">
        <w:t xml:space="preserve">were misguided, they were not </w:t>
      </w:r>
      <w:r w:rsidR="00DF05DE" w:rsidRPr="00DF05DE">
        <w:rPr>
          <w:i/>
          <w:iCs/>
        </w:rPr>
        <w:t>per se</w:t>
      </w:r>
      <w:r w:rsidR="00DF05DE">
        <w:t xml:space="preserve"> abusive. Furthermore, although KCC’s counsel specifically sought a punitive costs order in relation to the supplementation application, it seems to me that La Vie delivered that application only because KCC had taken the technical </w:t>
      </w:r>
      <w:r w:rsidR="00DF05DE">
        <w:lastRenderedPageBreak/>
        <w:t xml:space="preserve">point in its answering affidavit in the stay application that La Vie had not formally raised the defence of </w:t>
      </w:r>
      <w:r w:rsidR="00DF05DE" w:rsidRPr="00DF05DE">
        <w:rPr>
          <w:i/>
          <w:iCs/>
        </w:rPr>
        <w:t>lis alibi pendens</w:t>
      </w:r>
      <w:r w:rsidR="00DF05DE">
        <w:t xml:space="preserve"> in its answering affidavit in the eviction </w:t>
      </w:r>
      <w:r w:rsidR="00267ADF">
        <w:t xml:space="preserve">and payment </w:t>
      </w:r>
      <w:r w:rsidR="00DF05DE">
        <w:t>application. As KCC points out, no additional facts of any significant relevance to the defence were raised in the supplementary answering affidavit, and it was therefore not strictly necessary for KCC to have opposed the supplementation application with the vigour that it did.</w:t>
      </w:r>
    </w:p>
    <w:p w14:paraId="11DDDBBB" w14:textId="719DFAA1" w:rsidR="00FD2F01" w:rsidRPr="006A45FE" w:rsidRDefault="006A45FE" w:rsidP="00294DA1">
      <w:pPr>
        <w:pStyle w:val="LC1"/>
        <w:keepNext/>
        <w:numPr>
          <w:ilvl w:val="0"/>
          <w:numId w:val="0"/>
        </w:numPr>
        <w:ind w:left="720" w:hanging="720"/>
        <w:rPr>
          <w:rFonts w:cs="Arial"/>
          <w:szCs w:val="24"/>
          <w:u w:val="single"/>
        </w:rPr>
      </w:pPr>
      <w:r w:rsidRPr="006A45FE">
        <w:rPr>
          <w:rFonts w:cs="Arial"/>
          <w:szCs w:val="24"/>
          <w:u w:val="single"/>
        </w:rPr>
        <w:t xml:space="preserve">Referral </w:t>
      </w:r>
      <w:r>
        <w:rPr>
          <w:rFonts w:cs="Arial"/>
          <w:szCs w:val="24"/>
          <w:u w:val="single"/>
        </w:rPr>
        <w:t>o</w:t>
      </w:r>
      <w:r w:rsidRPr="006A45FE">
        <w:rPr>
          <w:rFonts w:cs="Arial"/>
          <w:szCs w:val="24"/>
          <w:u w:val="single"/>
        </w:rPr>
        <w:t xml:space="preserve">f </w:t>
      </w:r>
      <w:r>
        <w:rPr>
          <w:rFonts w:cs="Arial"/>
          <w:szCs w:val="24"/>
          <w:u w:val="single"/>
        </w:rPr>
        <w:t>t</w:t>
      </w:r>
      <w:r w:rsidRPr="006A45FE">
        <w:rPr>
          <w:rFonts w:cs="Arial"/>
          <w:szCs w:val="24"/>
          <w:u w:val="single"/>
        </w:rPr>
        <w:t xml:space="preserve">he </w:t>
      </w:r>
      <w:r>
        <w:rPr>
          <w:rFonts w:cs="Arial"/>
          <w:szCs w:val="24"/>
          <w:u w:val="single"/>
        </w:rPr>
        <w:t>u</w:t>
      </w:r>
      <w:r w:rsidRPr="006A45FE">
        <w:rPr>
          <w:rFonts w:cs="Arial"/>
          <w:szCs w:val="24"/>
          <w:u w:val="single"/>
        </w:rPr>
        <w:t xml:space="preserve">tility </w:t>
      </w:r>
      <w:r>
        <w:rPr>
          <w:rFonts w:cs="Arial"/>
          <w:szCs w:val="24"/>
          <w:u w:val="single"/>
        </w:rPr>
        <w:t>c</w:t>
      </w:r>
      <w:r w:rsidRPr="006A45FE">
        <w:rPr>
          <w:rFonts w:cs="Arial"/>
          <w:szCs w:val="24"/>
          <w:u w:val="single"/>
        </w:rPr>
        <w:t xml:space="preserve">harges </w:t>
      </w:r>
      <w:r>
        <w:rPr>
          <w:rFonts w:cs="Arial"/>
          <w:szCs w:val="24"/>
          <w:u w:val="single"/>
        </w:rPr>
        <w:t>d</w:t>
      </w:r>
      <w:r w:rsidRPr="006A45FE">
        <w:rPr>
          <w:rFonts w:cs="Arial"/>
          <w:szCs w:val="24"/>
          <w:u w:val="single"/>
        </w:rPr>
        <w:t xml:space="preserve">ispute </w:t>
      </w:r>
      <w:r>
        <w:rPr>
          <w:rFonts w:cs="Arial"/>
          <w:szCs w:val="24"/>
          <w:u w:val="single"/>
        </w:rPr>
        <w:t>t</w:t>
      </w:r>
      <w:r w:rsidRPr="006A45FE">
        <w:rPr>
          <w:rFonts w:cs="Arial"/>
          <w:szCs w:val="24"/>
          <w:u w:val="single"/>
        </w:rPr>
        <w:t xml:space="preserve">o </w:t>
      </w:r>
      <w:r>
        <w:rPr>
          <w:rFonts w:cs="Arial"/>
          <w:szCs w:val="24"/>
          <w:u w:val="single"/>
        </w:rPr>
        <w:t>o</w:t>
      </w:r>
      <w:r w:rsidRPr="006A45FE">
        <w:rPr>
          <w:rFonts w:cs="Arial"/>
          <w:szCs w:val="24"/>
          <w:u w:val="single"/>
        </w:rPr>
        <w:t xml:space="preserve">ral </w:t>
      </w:r>
      <w:r>
        <w:rPr>
          <w:rFonts w:cs="Arial"/>
          <w:szCs w:val="24"/>
          <w:u w:val="single"/>
        </w:rPr>
        <w:t>e</w:t>
      </w:r>
      <w:r w:rsidRPr="006A45FE">
        <w:rPr>
          <w:rFonts w:cs="Arial"/>
          <w:szCs w:val="24"/>
          <w:u w:val="single"/>
        </w:rPr>
        <w:t>vidence</w:t>
      </w:r>
    </w:p>
    <w:p w14:paraId="6C946A7F" w14:textId="40BFAF23" w:rsidR="00793E60" w:rsidRDefault="001743E1" w:rsidP="001743E1">
      <w:pPr>
        <w:pStyle w:val="LC1"/>
        <w:numPr>
          <w:ilvl w:val="0"/>
          <w:numId w:val="0"/>
        </w:numPr>
        <w:ind w:left="720" w:hanging="720"/>
      </w:pPr>
      <w:r>
        <w:rPr>
          <w:rFonts w:cs="Arial"/>
          <w:szCs w:val="24"/>
        </w:rPr>
        <w:t>[41]</w:t>
      </w:r>
      <w:r>
        <w:rPr>
          <w:rFonts w:cs="Arial"/>
          <w:szCs w:val="24"/>
        </w:rPr>
        <w:tab/>
      </w:r>
      <w:r w:rsidR="00793E60">
        <w:t xml:space="preserve">Although it is common cause that </w:t>
      </w:r>
      <w:r w:rsidR="00294DA1">
        <w:t xml:space="preserve">La Vie </w:t>
      </w:r>
      <w:r w:rsidR="00793E60">
        <w:t xml:space="preserve">is liable to KCC in respect of </w:t>
      </w:r>
      <w:r w:rsidR="003D6E31">
        <w:t>the consumption of electricity and water at the restaurant premises and in respect of municipal sewerage charges appliable thereto</w:t>
      </w:r>
      <w:r w:rsidR="00793E60">
        <w:t xml:space="preserve">, </w:t>
      </w:r>
      <w:r w:rsidR="006F217D">
        <w:t xml:space="preserve">I am satisfied that a factual dispute has arisen </w:t>
      </w:r>
      <w:r w:rsidR="00793E60">
        <w:t xml:space="preserve">on the papers </w:t>
      </w:r>
      <w:r w:rsidR="006F217D">
        <w:t>with regard to the amount</w:t>
      </w:r>
      <w:r w:rsidR="003D6E31">
        <w:t>, if any,</w:t>
      </w:r>
      <w:r w:rsidR="006F217D">
        <w:t xml:space="preserve"> </w:t>
      </w:r>
      <w:r w:rsidR="00793E60">
        <w:t>that is due owing and payable</w:t>
      </w:r>
      <w:r w:rsidR="003D6E31">
        <w:t xml:space="preserve"> </w:t>
      </w:r>
      <w:r w:rsidR="004E54BE">
        <w:t xml:space="preserve">by La Vie </w:t>
      </w:r>
      <w:r w:rsidR="003D6E31">
        <w:t>in this regard</w:t>
      </w:r>
      <w:r w:rsidR="00793E60">
        <w:t>.</w:t>
      </w:r>
      <w:r w:rsidR="003D6E31">
        <w:t xml:space="preserve"> </w:t>
      </w:r>
    </w:p>
    <w:p w14:paraId="1995D6A9" w14:textId="4EBCEC3D" w:rsidR="00CF570B" w:rsidRDefault="001743E1" w:rsidP="001743E1">
      <w:pPr>
        <w:pStyle w:val="LC1"/>
        <w:numPr>
          <w:ilvl w:val="0"/>
          <w:numId w:val="0"/>
        </w:numPr>
        <w:ind w:left="720" w:hanging="720"/>
      </w:pPr>
      <w:r>
        <w:rPr>
          <w:rFonts w:cs="Arial"/>
          <w:szCs w:val="24"/>
        </w:rPr>
        <w:t>[42]</w:t>
      </w:r>
      <w:r>
        <w:rPr>
          <w:rFonts w:cs="Arial"/>
          <w:szCs w:val="24"/>
        </w:rPr>
        <w:tab/>
      </w:r>
      <w:r w:rsidR="00793E60">
        <w:t xml:space="preserve">I am furthermore satisfied that KCC could not reasonably </w:t>
      </w:r>
      <w:r w:rsidR="003E205B">
        <w:t xml:space="preserve">have anticipated </w:t>
      </w:r>
      <w:r w:rsidR="00793E60">
        <w:t>this factual dispute</w:t>
      </w:r>
      <w:r w:rsidR="003E205B">
        <w:t xml:space="preserve">. </w:t>
      </w:r>
      <w:r w:rsidR="004D182C">
        <w:t xml:space="preserve">Although the answering affidavit and the annexures annexed thereto show that </w:t>
      </w:r>
      <w:r w:rsidR="00294DA1">
        <w:t xml:space="preserve">La Vie </w:t>
      </w:r>
      <w:r w:rsidR="004D182C">
        <w:t>had during the period between June and October 2021 raised “concerns” and demanded “documentary proof” of the utility charges claimed by KCC</w:t>
      </w:r>
      <w:r w:rsidR="00D72264">
        <w:t xml:space="preserve">, its main complaint related to its liability for a proportionate share of </w:t>
      </w:r>
      <w:r w:rsidR="004E54BE">
        <w:t>“</w:t>
      </w:r>
      <w:r w:rsidR="00D72264">
        <w:t>service and demand charges</w:t>
      </w:r>
      <w:r w:rsidR="004E54BE">
        <w:t>”</w:t>
      </w:r>
      <w:r w:rsidR="00D72264">
        <w:t xml:space="preserve"> levied by the C</w:t>
      </w:r>
      <w:r w:rsidR="00C00FC9">
        <w:t>O</w:t>
      </w:r>
      <w:r w:rsidR="00D72264">
        <w:t>J</w:t>
      </w:r>
      <w:r w:rsidR="008F5F7F">
        <w:t xml:space="preserve"> which KCC sought to </w:t>
      </w:r>
      <w:r w:rsidR="004E54BE">
        <w:t xml:space="preserve">pass on </w:t>
      </w:r>
      <w:r w:rsidR="008F5F7F">
        <w:t>after May 2021</w:t>
      </w:r>
      <w:r w:rsidR="00D72264">
        <w:t>.</w:t>
      </w:r>
      <w:r w:rsidR="004D182C">
        <w:t xml:space="preserve"> </w:t>
      </w:r>
      <w:r w:rsidR="00D72264">
        <w:t xml:space="preserve">It </w:t>
      </w:r>
      <w:r w:rsidR="004D182C">
        <w:t>is apparent that by October 2021</w:t>
      </w:r>
      <w:r w:rsidR="00D72264">
        <w:t xml:space="preserve">, </w:t>
      </w:r>
      <w:r w:rsidR="004E54BE">
        <w:t xml:space="preserve">La Vie’s </w:t>
      </w:r>
      <w:r w:rsidR="00D72264">
        <w:t xml:space="preserve">contention </w:t>
      </w:r>
      <w:r w:rsidR="002769FF">
        <w:t xml:space="preserve">had crystallised into an allegation </w:t>
      </w:r>
      <w:r w:rsidR="00D72264">
        <w:t xml:space="preserve">that it had been overcharged an amount of R39,716.98. </w:t>
      </w:r>
      <w:r w:rsidR="008F5F7F">
        <w:t xml:space="preserve">No allegation is made </w:t>
      </w:r>
      <w:r w:rsidR="002769FF">
        <w:t xml:space="preserve">in the answering affidavit that KCC is claiming any incorrect utility charges for the period after October 2021, or that </w:t>
      </w:r>
      <w:r w:rsidR="00294DA1">
        <w:t xml:space="preserve">La Vie </w:t>
      </w:r>
      <w:r w:rsidR="002769FF">
        <w:t xml:space="preserve">raised any </w:t>
      </w:r>
      <w:r w:rsidR="00D72264">
        <w:t xml:space="preserve">further disputes in respect of </w:t>
      </w:r>
      <w:r w:rsidR="002769FF">
        <w:t xml:space="preserve">such charges between </w:t>
      </w:r>
      <w:r w:rsidR="00D72264">
        <w:t xml:space="preserve">October 2021 and the </w:t>
      </w:r>
      <w:r w:rsidR="002769FF">
        <w:t xml:space="preserve">date upon which </w:t>
      </w:r>
      <w:r w:rsidR="00D72264">
        <w:t>this application</w:t>
      </w:r>
      <w:r w:rsidR="004E54BE">
        <w:t xml:space="preserve"> was launched</w:t>
      </w:r>
      <w:r w:rsidR="00D72264">
        <w:t>.</w:t>
      </w:r>
    </w:p>
    <w:p w14:paraId="08D82AC4" w14:textId="4323C803" w:rsidR="008F5F7F" w:rsidRDefault="001743E1" w:rsidP="001743E1">
      <w:pPr>
        <w:pStyle w:val="LC1"/>
        <w:numPr>
          <w:ilvl w:val="0"/>
          <w:numId w:val="0"/>
        </w:numPr>
        <w:ind w:left="720" w:hanging="720"/>
      </w:pPr>
      <w:r>
        <w:rPr>
          <w:rFonts w:cs="Arial"/>
          <w:szCs w:val="24"/>
        </w:rPr>
        <w:lastRenderedPageBreak/>
        <w:t>[43]</w:t>
      </w:r>
      <w:r>
        <w:rPr>
          <w:rFonts w:cs="Arial"/>
          <w:szCs w:val="24"/>
        </w:rPr>
        <w:tab/>
      </w:r>
      <w:r w:rsidR="008F5F7F">
        <w:t>KCC explains in its replying affidavit</w:t>
      </w:r>
      <w:r w:rsidR="00294DA1">
        <w:t xml:space="preserve"> that its </w:t>
      </w:r>
      <w:r w:rsidR="003D6E31">
        <w:t xml:space="preserve">calculation of the amount claimed </w:t>
      </w:r>
      <w:r w:rsidR="003E205B">
        <w:t>(</w:t>
      </w:r>
      <w:r w:rsidR="003D6E31">
        <w:t>as set out in annexure FA13</w:t>
      </w:r>
      <w:r w:rsidR="003E205B">
        <w:t>)</w:t>
      </w:r>
      <w:r w:rsidR="003D6E31">
        <w:t xml:space="preserve"> was </w:t>
      </w:r>
      <w:r w:rsidR="003E205B">
        <w:t xml:space="preserve">undertaken </w:t>
      </w:r>
      <w:r w:rsidR="003D6E31">
        <w:t xml:space="preserve">on the basis </w:t>
      </w:r>
      <w:r w:rsidR="003E205B">
        <w:t xml:space="preserve">that </w:t>
      </w:r>
      <w:r w:rsidR="00294DA1">
        <w:t xml:space="preserve">La Vie’s </w:t>
      </w:r>
      <w:r w:rsidR="003E205B">
        <w:t>earlier contention</w:t>
      </w:r>
      <w:r w:rsidR="00935331">
        <w:t>s</w:t>
      </w:r>
      <w:r w:rsidR="003E205B">
        <w:t xml:space="preserve"> that it was not liable for a proportionate share of </w:t>
      </w:r>
      <w:r w:rsidR="004E54BE">
        <w:t xml:space="preserve">the </w:t>
      </w:r>
      <w:r w:rsidR="003E205B">
        <w:t>service and demand charges levied by the C</w:t>
      </w:r>
      <w:r w:rsidR="00C00FC9">
        <w:t>O</w:t>
      </w:r>
      <w:r w:rsidR="003E205B">
        <w:t>J</w:t>
      </w:r>
      <w:r w:rsidR="004D25F0">
        <w:t xml:space="preserve">, and </w:t>
      </w:r>
      <w:r w:rsidR="00CF570B">
        <w:t xml:space="preserve">that it </w:t>
      </w:r>
      <w:r w:rsidR="004D25F0">
        <w:t xml:space="preserve">had been overcharged </w:t>
      </w:r>
      <w:r w:rsidR="00D72264">
        <w:t xml:space="preserve">were </w:t>
      </w:r>
      <w:r w:rsidR="008F5F7F">
        <w:t xml:space="preserve">all </w:t>
      </w:r>
      <w:r w:rsidR="00D72264">
        <w:t>correct</w:t>
      </w:r>
      <w:r w:rsidR="003E205B">
        <w:t xml:space="preserve">. </w:t>
      </w:r>
      <w:r w:rsidR="00294DA1">
        <w:t xml:space="preserve">KCC </w:t>
      </w:r>
      <w:r w:rsidR="00D72264">
        <w:t xml:space="preserve">furthermore </w:t>
      </w:r>
      <w:r w:rsidR="00935331">
        <w:t xml:space="preserve">alleges that the </w:t>
      </w:r>
      <w:r w:rsidR="00CF570B">
        <w:t xml:space="preserve">schedule prepared by </w:t>
      </w:r>
      <w:r w:rsidR="00294DA1">
        <w:t xml:space="preserve">La Vie </w:t>
      </w:r>
      <w:r w:rsidR="00CF570B">
        <w:t>and annexed to its answering affidavit setting out the amount</w:t>
      </w:r>
      <w:r w:rsidR="00D72264">
        <w:t>s</w:t>
      </w:r>
      <w:r w:rsidR="00CF570B">
        <w:t xml:space="preserve"> </w:t>
      </w:r>
      <w:r w:rsidR="00D72264">
        <w:t xml:space="preserve">allegedly </w:t>
      </w:r>
      <w:r w:rsidR="00CF570B">
        <w:t xml:space="preserve">overcharged </w:t>
      </w:r>
      <w:r w:rsidR="002769FF">
        <w:t xml:space="preserve">(annexure LC10) </w:t>
      </w:r>
      <w:r w:rsidR="008F5F7F">
        <w:t>either fails to recognise that the alleged overcharges have already been accounted for</w:t>
      </w:r>
      <w:r w:rsidR="002769FF">
        <w:t xml:space="preserve"> in FA13</w:t>
      </w:r>
      <w:r w:rsidR="008F5F7F">
        <w:t xml:space="preserve"> or </w:t>
      </w:r>
      <w:r w:rsidR="00D72264">
        <w:t>raise</w:t>
      </w:r>
      <w:r w:rsidR="002769FF">
        <w:t>s</w:t>
      </w:r>
      <w:r w:rsidR="00D72264">
        <w:t xml:space="preserve"> disputes that </w:t>
      </w:r>
      <w:r w:rsidR="002769FF">
        <w:t xml:space="preserve">had </w:t>
      </w:r>
      <w:r w:rsidR="003E205B">
        <w:t xml:space="preserve">not </w:t>
      </w:r>
      <w:r w:rsidR="002769FF">
        <w:t xml:space="preserve">been </w:t>
      </w:r>
      <w:r w:rsidR="003E205B">
        <w:t>raised</w:t>
      </w:r>
      <w:r w:rsidR="002769FF">
        <w:t xml:space="preserve"> by prior to the launch of the application</w:t>
      </w:r>
      <w:r w:rsidR="003D6E31">
        <w:t>.</w:t>
      </w:r>
      <w:r w:rsidR="008F5F7F">
        <w:t xml:space="preserve"> </w:t>
      </w:r>
    </w:p>
    <w:p w14:paraId="3B1F1D25" w14:textId="4C145593" w:rsidR="006F217D" w:rsidRDefault="001743E1" w:rsidP="001743E1">
      <w:pPr>
        <w:pStyle w:val="LC1"/>
        <w:numPr>
          <w:ilvl w:val="0"/>
          <w:numId w:val="0"/>
        </w:numPr>
        <w:ind w:left="720" w:hanging="720"/>
      </w:pPr>
      <w:r>
        <w:rPr>
          <w:rFonts w:cs="Arial"/>
          <w:szCs w:val="24"/>
        </w:rPr>
        <w:t>[44]</w:t>
      </w:r>
      <w:r>
        <w:rPr>
          <w:rFonts w:cs="Arial"/>
          <w:szCs w:val="24"/>
        </w:rPr>
        <w:tab/>
      </w:r>
      <w:r w:rsidR="00103E2A">
        <w:t>W</w:t>
      </w:r>
      <w:r w:rsidR="00E209BB">
        <w:t xml:space="preserve">hile La </w:t>
      </w:r>
      <w:proofErr w:type="spellStart"/>
      <w:r w:rsidR="00E209BB">
        <w:t>Vie’s</w:t>
      </w:r>
      <w:proofErr w:type="spellEnd"/>
      <w:r w:rsidR="00E209BB">
        <w:t xml:space="preserve"> counsel correctly observes that there is “</w:t>
      </w:r>
      <w:r w:rsidR="00103E2A">
        <w:t>c</w:t>
      </w:r>
      <w:r w:rsidR="00E209BB">
        <w:t xml:space="preserve">learly a material dispute” regarding the utility amounts, </w:t>
      </w:r>
      <w:r w:rsidR="00103E2A">
        <w:t xml:space="preserve">it is simply </w:t>
      </w:r>
      <w:r w:rsidR="002769FF">
        <w:t>reiterate</w:t>
      </w:r>
      <w:r w:rsidR="00103E2A">
        <w:t>d</w:t>
      </w:r>
      <w:r w:rsidR="002769FF">
        <w:t xml:space="preserve"> that </w:t>
      </w:r>
      <w:r w:rsidR="00934EC0">
        <w:t>annexure “</w:t>
      </w:r>
      <w:r w:rsidR="002769FF">
        <w:t>LC10</w:t>
      </w:r>
      <w:r w:rsidR="00934EC0">
        <w:t>”</w:t>
      </w:r>
      <w:r w:rsidR="002769FF">
        <w:t xml:space="preserve"> should be accepted as correct </w:t>
      </w:r>
      <w:r w:rsidR="00E209BB">
        <w:t xml:space="preserve">and </w:t>
      </w:r>
      <w:r w:rsidR="00103E2A">
        <w:t xml:space="preserve">submitted </w:t>
      </w:r>
      <w:r w:rsidR="00E209BB">
        <w:t xml:space="preserve">that </w:t>
      </w:r>
      <w:r w:rsidR="002769FF">
        <w:t xml:space="preserve">had KCC been </w:t>
      </w:r>
      <w:r w:rsidR="00E209BB">
        <w:t>“</w:t>
      </w:r>
      <w:r w:rsidR="002769FF">
        <w:t>acting in good faith</w:t>
      </w:r>
      <w:r w:rsidR="00E209BB">
        <w:t xml:space="preserve">”, it </w:t>
      </w:r>
      <w:r w:rsidR="00103E2A">
        <w:t xml:space="preserve">would </w:t>
      </w:r>
      <w:r w:rsidR="00E209BB">
        <w:t xml:space="preserve">have pursued its claim by way of action proceedings. </w:t>
      </w:r>
      <w:r w:rsidR="00103E2A">
        <w:t xml:space="preserve">This </w:t>
      </w:r>
      <w:r w:rsidR="00E209BB">
        <w:t xml:space="preserve">does not, however, </w:t>
      </w:r>
      <w:r w:rsidR="00294DA1">
        <w:t xml:space="preserve">address </w:t>
      </w:r>
      <w:r w:rsidR="00103E2A">
        <w:t xml:space="preserve">what appears to me to be KCC’s cogent explanation in reply </w:t>
      </w:r>
      <w:r w:rsidR="00E209BB">
        <w:t>as to why it could not have anticipated the factual disput</w:t>
      </w:r>
      <w:r w:rsidR="00103E2A">
        <w:t>e. In the circumstances, I am of the view that it is appropriate that this issue should be referred to oral evidence, as KCC requests.</w:t>
      </w:r>
    </w:p>
    <w:p w14:paraId="081DDAFD" w14:textId="22AFC48F" w:rsidR="00FD2F01" w:rsidRDefault="001743E1" w:rsidP="001743E1">
      <w:pPr>
        <w:pStyle w:val="LC1"/>
        <w:numPr>
          <w:ilvl w:val="0"/>
          <w:numId w:val="0"/>
        </w:numPr>
        <w:ind w:left="720" w:hanging="720"/>
      </w:pPr>
      <w:r>
        <w:rPr>
          <w:rFonts w:cs="Arial"/>
          <w:szCs w:val="24"/>
        </w:rPr>
        <w:t>[45]</w:t>
      </w:r>
      <w:r>
        <w:rPr>
          <w:rFonts w:cs="Arial"/>
          <w:szCs w:val="24"/>
        </w:rPr>
        <w:tab/>
      </w:r>
      <w:r w:rsidR="006F217D">
        <w:t xml:space="preserve">The relief sought by KCC in relation to the utility charges dispute in its proposed draft order is framed as follows: </w:t>
      </w:r>
      <w:r w:rsidR="00934EC0">
        <w:t>“[t]hat the relief set out in paragraph 6 of the Notice of Motion in the Eviction Application be referred to oral evidence</w:t>
      </w:r>
      <w:r w:rsidR="006F217D">
        <w:t xml:space="preserve">”. In my view, this is inappropriately broad, and would be akin to </w:t>
      </w:r>
      <w:r w:rsidR="00294DA1">
        <w:t xml:space="preserve">a </w:t>
      </w:r>
      <w:r w:rsidR="006F217D">
        <w:t xml:space="preserve">referral to trial. </w:t>
      </w:r>
      <w:r w:rsidR="006F217D" w:rsidRPr="006F217D">
        <w:t xml:space="preserve">In </w:t>
      </w:r>
      <w:r w:rsidR="006F217D">
        <w:t>a referral to oral evidence</w:t>
      </w:r>
      <w:r w:rsidR="004E54BE">
        <w:t>,</w:t>
      </w:r>
      <w:r w:rsidR="006F217D">
        <w:t xml:space="preserve"> </w:t>
      </w:r>
      <w:r w:rsidR="006F217D" w:rsidRPr="006F217D">
        <w:t>the affidavits stand as evidence save to the extent that they deal with dispute</w:t>
      </w:r>
      <w:r w:rsidR="006F217D">
        <w:t>s</w:t>
      </w:r>
      <w:r w:rsidR="006F217D" w:rsidRPr="006F217D">
        <w:t xml:space="preserve"> of fact and once the </w:t>
      </w:r>
      <w:r w:rsidR="00934EC0">
        <w:t xml:space="preserve">specific </w:t>
      </w:r>
      <w:r w:rsidR="006F217D" w:rsidRPr="006F217D">
        <w:t>dispute</w:t>
      </w:r>
      <w:r w:rsidR="006F217D">
        <w:t>s</w:t>
      </w:r>
      <w:r w:rsidR="006F217D" w:rsidRPr="006F217D">
        <w:t xml:space="preserve"> have been resolved by oral evidence, the matter is decided on the basis of that finding </w:t>
      </w:r>
      <w:r w:rsidR="006F217D" w:rsidRPr="006F217D">
        <w:lastRenderedPageBreak/>
        <w:t>together with the affidavit evidence that is not in dispute.</w:t>
      </w:r>
      <w:r w:rsidR="006F217D">
        <w:rPr>
          <w:rStyle w:val="FootnoteReference"/>
        </w:rPr>
        <w:footnoteReference w:id="13"/>
      </w:r>
      <w:r w:rsidR="00934EC0">
        <w:t xml:space="preserve"> The dispute of fact that has arisen in the current instance is not about the availability of the relief </w:t>
      </w:r>
      <w:r w:rsidR="00934EC0" w:rsidRPr="00934EC0">
        <w:rPr>
          <w:i/>
          <w:iCs/>
        </w:rPr>
        <w:t>per se</w:t>
      </w:r>
      <w:r w:rsidR="00934EC0">
        <w:t xml:space="preserve">, but about </w:t>
      </w:r>
      <w:r w:rsidR="00934EC0">
        <w:rPr>
          <w:rFonts w:cs="Arial"/>
          <w:szCs w:val="24"/>
        </w:rPr>
        <w:t xml:space="preserve">the amount due, owing and payable by </w:t>
      </w:r>
      <w:r w:rsidR="00294DA1">
        <w:rPr>
          <w:rFonts w:cs="Arial"/>
          <w:szCs w:val="24"/>
        </w:rPr>
        <w:t xml:space="preserve">La Vie </w:t>
      </w:r>
      <w:r w:rsidR="00934EC0">
        <w:rPr>
          <w:rFonts w:cs="Arial"/>
          <w:szCs w:val="24"/>
        </w:rPr>
        <w:t xml:space="preserve">to </w:t>
      </w:r>
      <w:r w:rsidR="00294DA1">
        <w:rPr>
          <w:rFonts w:cs="Arial"/>
          <w:szCs w:val="24"/>
        </w:rPr>
        <w:t xml:space="preserve">KCC </w:t>
      </w:r>
      <w:r w:rsidR="00934EC0">
        <w:rPr>
          <w:rFonts w:cs="Arial"/>
          <w:szCs w:val="24"/>
        </w:rPr>
        <w:t>in respect of utility charges, if any. I have thus formulated the order in a form recently approved by the Supreme Court of Appeal.</w:t>
      </w:r>
      <w:r w:rsidR="00934EC0">
        <w:rPr>
          <w:rStyle w:val="FootnoteReference"/>
        </w:rPr>
        <w:footnoteReference w:id="14"/>
      </w:r>
    </w:p>
    <w:p w14:paraId="6F94CBC3" w14:textId="69AA9B92" w:rsidR="00E54C9A" w:rsidRPr="00E54C9A" w:rsidRDefault="00E54C9A" w:rsidP="0009165F">
      <w:pPr>
        <w:pStyle w:val="LC1"/>
        <w:keepNext/>
        <w:numPr>
          <w:ilvl w:val="0"/>
          <w:numId w:val="0"/>
        </w:numPr>
        <w:ind w:left="720" w:hanging="720"/>
        <w:rPr>
          <w:rFonts w:cs="Arial"/>
          <w:b/>
          <w:bCs/>
          <w:szCs w:val="24"/>
        </w:rPr>
      </w:pPr>
      <w:r w:rsidRPr="00E54C9A">
        <w:rPr>
          <w:rFonts w:cs="Arial"/>
          <w:b/>
          <w:bCs/>
          <w:szCs w:val="24"/>
        </w:rPr>
        <w:t>ORDER</w:t>
      </w:r>
    </w:p>
    <w:p w14:paraId="0B715FF8" w14:textId="0B88D11B" w:rsidR="00F35C22" w:rsidRPr="00AB52EE" w:rsidRDefault="001743E1" w:rsidP="001743E1">
      <w:pPr>
        <w:pStyle w:val="LC1"/>
        <w:numPr>
          <w:ilvl w:val="0"/>
          <w:numId w:val="0"/>
        </w:numPr>
        <w:ind w:left="720" w:hanging="720"/>
        <w:rPr>
          <w:rFonts w:cs="Arial"/>
          <w:szCs w:val="24"/>
        </w:rPr>
      </w:pPr>
      <w:r w:rsidRPr="00AB52EE">
        <w:rPr>
          <w:rFonts w:cs="Arial"/>
          <w:szCs w:val="24"/>
        </w:rPr>
        <w:t>[46]</w:t>
      </w:r>
      <w:r w:rsidRPr="00AB52EE">
        <w:rPr>
          <w:rFonts w:cs="Arial"/>
          <w:szCs w:val="24"/>
        </w:rPr>
        <w:tab/>
      </w:r>
      <w:r w:rsidR="00043065" w:rsidRPr="00AB52EE">
        <w:rPr>
          <w:rFonts w:cs="Arial"/>
          <w:szCs w:val="24"/>
        </w:rPr>
        <w:t xml:space="preserve">The </w:t>
      </w:r>
      <w:r w:rsidR="00030DC0" w:rsidRPr="00AB52EE">
        <w:rPr>
          <w:rFonts w:cs="Arial"/>
          <w:szCs w:val="24"/>
        </w:rPr>
        <w:t>following order</w:t>
      </w:r>
      <w:r w:rsidR="001E4CDA" w:rsidRPr="00AB52EE">
        <w:rPr>
          <w:rFonts w:cs="Arial"/>
          <w:szCs w:val="24"/>
        </w:rPr>
        <w:t xml:space="preserve"> </w:t>
      </w:r>
      <w:r w:rsidR="00043065" w:rsidRPr="00AB52EE">
        <w:rPr>
          <w:rFonts w:cs="Arial"/>
          <w:szCs w:val="24"/>
        </w:rPr>
        <w:t>is issued</w:t>
      </w:r>
      <w:r w:rsidR="00030DC0" w:rsidRPr="00AB52EE">
        <w:rPr>
          <w:rFonts w:cs="Arial"/>
          <w:szCs w:val="24"/>
        </w:rPr>
        <w:t>:</w:t>
      </w:r>
    </w:p>
    <w:p w14:paraId="6BCBE556" w14:textId="5447F3C8" w:rsidR="00907F30" w:rsidRDefault="001743E1" w:rsidP="001743E1">
      <w:pPr>
        <w:pStyle w:val="ORDER"/>
        <w:numPr>
          <w:ilvl w:val="0"/>
          <w:numId w:val="0"/>
        </w:numPr>
        <w:ind w:left="1276" w:hanging="567"/>
        <w:rPr>
          <w:rFonts w:cs="Arial"/>
          <w:szCs w:val="24"/>
        </w:rPr>
      </w:pPr>
      <w:bookmarkStart w:id="0" w:name="_Ref151406422"/>
      <w:r>
        <w:rPr>
          <w:rFonts w:cs="Arial"/>
          <w:szCs w:val="24"/>
        </w:rPr>
        <w:t>1.</w:t>
      </w:r>
      <w:r>
        <w:rPr>
          <w:rFonts w:cs="Arial"/>
          <w:szCs w:val="24"/>
        </w:rPr>
        <w:tab/>
      </w:r>
      <w:r w:rsidR="00497C96">
        <w:rPr>
          <w:rFonts w:cs="Arial"/>
          <w:szCs w:val="24"/>
        </w:rPr>
        <w:t xml:space="preserve">All parties’ </w:t>
      </w:r>
      <w:r w:rsidR="00907F30">
        <w:rPr>
          <w:rStyle w:val="BookTitle"/>
        </w:rPr>
        <w:t>non-compliance</w:t>
      </w:r>
      <w:r w:rsidR="00497C96">
        <w:rPr>
          <w:rStyle w:val="BookTitle"/>
        </w:rPr>
        <w:t>s</w:t>
      </w:r>
      <w:r w:rsidR="00907F30">
        <w:rPr>
          <w:rStyle w:val="BookTitle"/>
        </w:rPr>
        <w:t xml:space="preserve"> with the rules of court relating to time periods and manner of service in relation to the stay application dated 27 September 2023 </w:t>
      </w:r>
      <w:r w:rsidR="00497C96">
        <w:rPr>
          <w:rStyle w:val="BookTitle"/>
        </w:rPr>
        <w:t xml:space="preserve">are </w:t>
      </w:r>
      <w:r w:rsidR="00907F30">
        <w:rPr>
          <w:rStyle w:val="BookTitle"/>
        </w:rPr>
        <w:t>condoned</w:t>
      </w:r>
      <w:r w:rsidR="00907F30">
        <w:rPr>
          <w:rFonts w:cs="Arial"/>
          <w:szCs w:val="24"/>
        </w:rPr>
        <w:t>.</w:t>
      </w:r>
    </w:p>
    <w:p w14:paraId="6304CFC4" w14:textId="0ADCD0EE" w:rsidR="00907F30" w:rsidRDefault="001743E1" w:rsidP="001743E1">
      <w:pPr>
        <w:pStyle w:val="ORDER"/>
        <w:numPr>
          <w:ilvl w:val="0"/>
          <w:numId w:val="0"/>
        </w:numPr>
        <w:ind w:left="1276" w:hanging="567"/>
        <w:rPr>
          <w:rFonts w:cs="Arial"/>
          <w:szCs w:val="24"/>
        </w:rPr>
      </w:pPr>
      <w:r>
        <w:rPr>
          <w:rFonts w:cs="Arial"/>
          <w:szCs w:val="24"/>
        </w:rPr>
        <w:t>2.</w:t>
      </w:r>
      <w:r>
        <w:rPr>
          <w:rFonts w:cs="Arial"/>
          <w:szCs w:val="24"/>
        </w:rPr>
        <w:tab/>
      </w:r>
      <w:r w:rsidR="00907F30">
        <w:rPr>
          <w:rFonts w:cs="Arial"/>
          <w:szCs w:val="24"/>
        </w:rPr>
        <w:t xml:space="preserve">The stay application </w:t>
      </w:r>
      <w:r w:rsidR="004E54BE">
        <w:rPr>
          <w:rFonts w:cs="Arial"/>
          <w:szCs w:val="24"/>
        </w:rPr>
        <w:t xml:space="preserve">launched on or about 28 September 2023 </w:t>
      </w:r>
      <w:r w:rsidR="00907F30">
        <w:rPr>
          <w:rFonts w:cs="Arial"/>
          <w:szCs w:val="24"/>
        </w:rPr>
        <w:t>is dismissed.</w:t>
      </w:r>
    </w:p>
    <w:p w14:paraId="40790D1F" w14:textId="064E74A0" w:rsidR="004E5A44" w:rsidRDefault="001743E1" w:rsidP="001743E1">
      <w:pPr>
        <w:pStyle w:val="ORDER"/>
        <w:numPr>
          <w:ilvl w:val="0"/>
          <w:numId w:val="0"/>
        </w:numPr>
        <w:ind w:left="1276" w:hanging="567"/>
        <w:rPr>
          <w:rFonts w:cs="Arial"/>
          <w:szCs w:val="24"/>
        </w:rPr>
      </w:pPr>
      <w:r>
        <w:rPr>
          <w:rFonts w:cs="Arial"/>
          <w:szCs w:val="24"/>
        </w:rPr>
        <w:t>3.</w:t>
      </w:r>
      <w:r>
        <w:rPr>
          <w:rFonts w:cs="Arial"/>
          <w:szCs w:val="24"/>
        </w:rPr>
        <w:tab/>
      </w:r>
      <w:r w:rsidR="00C62EDB">
        <w:rPr>
          <w:rStyle w:val="BookTitle"/>
        </w:rPr>
        <w:t xml:space="preserve">The </w:t>
      </w:r>
      <w:r w:rsidR="00497C96">
        <w:rPr>
          <w:rFonts w:cs="Arial"/>
          <w:szCs w:val="24"/>
        </w:rPr>
        <w:t xml:space="preserve">first </w:t>
      </w:r>
      <w:r w:rsidR="00C62EDB" w:rsidRPr="009126C0">
        <w:rPr>
          <w:rFonts w:cs="Arial"/>
          <w:szCs w:val="24"/>
        </w:rPr>
        <w:t xml:space="preserve">to </w:t>
      </w:r>
      <w:r w:rsidR="00497C96">
        <w:rPr>
          <w:rFonts w:cs="Arial"/>
          <w:szCs w:val="24"/>
        </w:rPr>
        <w:t>fourth r</w:t>
      </w:r>
      <w:r w:rsidR="00C62EDB">
        <w:rPr>
          <w:rStyle w:val="BookTitle"/>
        </w:rPr>
        <w:t>espondents are granted leave to supplement their answering papers in the form of “Annexure A” in the supplementation application</w:t>
      </w:r>
      <w:r w:rsidR="00497C96">
        <w:rPr>
          <w:rStyle w:val="BookTitle"/>
        </w:rPr>
        <w:t xml:space="preserve"> dated 23 October 2023</w:t>
      </w:r>
      <w:r w:rsidR="009126C0">
        <w:rPr>
          <w:rFonts w:cs="Arial"/>
          <w:szCs w:val="24"/>
        </w:rPr>
        <w:t>.</w:t>
      </w:r>
    </w:p>
    <w:p w14:paraId="2F42CFFD" w14:textId="6691E6C1" w:rsidR="00E54C9A" w:rsidRPr="004E5A44" w:rsidRDefault="001743E1" w:rsidP="001743E1">
      <w:pPr>
        <w:pStyle w:val="ORDER"/>
        <w:numPr>
          <w:ilvl w:val="0"/>
          <w:numId w:val="0"/>
        </w:numPr>
        <w:ind w:left="1276" w:hanging="567"/>
        <w:rPr>
          <w:rFonts w:cs="Arial"/>
        </w:rPr>
      </w:pPr>
      <w:r w:rsidRPr="004E5A44">
        <w:rPr>
          <w:rFonts w:cs="Arial"/>
        </w:rPr>
        <w:t>4.</w:t>
      </w:r>
      <w:r w:rsidRPr="004E5A44">
        <w:rPr>
          <w:rFonts w:cs="Arial"/>
        </w:rPr>
        <w:tab/>
      </w:r>
      <w:r w:rsidR="00E54C9A">
        <w:rPr>
          <w:rFonts w:cs="Arial"/>
        </w:rPr>
        <w:t xml:space="preserve">It is declared that </w:t>
      </w:r>
      <w:r w:rsidR="00E54C9A" w:rsidRPr="004E5A44">
        <w:t xml:space="preserve">the </w:t>
      </w:r>
      <w:r w:rsidR="00497C96">
        <w:t>f</w:t>
      </w:r>
      <w:r w:rsidR="00E54C9A" w:rsidRPr="004E5A44">
        <w:t xml:space="preserve">irst, </w:t>
      </w:r>
      <w:r w:rsidR="00497C96">
        <w:t>s</w:t>
      </w:r>
      <w:r w:rsidR="00E54C9A" w:rsidRPr="004E5A44">
        <w:t xml:space="preserve">econd, </w:t>
      </w:r>
      <w:r w:rsidR="00497C96">
        <w:t>t</w:t>
      </w:r>
      <w:r w:rsidR="00E54C9A" w:rsidRPr="004E5A44">
        <w:t xml:space="preserve">hird and </w:t>
      </w:r>
      <w:r w:rsidR="00497C96">
        <w:t>f</w:t>
      </w:r>
      <w:r w:rsidR="00E54C9A" w:rsidRPr="004E5A44">
        <w:t xml:space="preserve">ourth </w:t>
      </w:r>
      <w:r w:rsidR="00497C96">
        <w:t>r</w:t>
      </w:r>
      <w:r w:rsidR="00E54C9A" w:rsidRPr="004E5A44">
        <w:t xml:space="preserve">espondents have no right of occupation in respect of </w:t>
      </w:r>
      <w:r w:rsidR="00E54C9A" w:rsidRPr="004E5A44">
        <w:rPr>
          <w:rFonts w:cs="Arial"/>
        </w:rPr>
        <w:t>the following erven</w:t>
      </w:r>
      <w:r w:rsidR="00E54C9A">
        <w:rPr>
          <w:rFonts w:cs="Arial"/>
        </w:rPr>
        <w:t xml:space="preserve"> (collectively referred to as “the Property”)</w:t>
      </w:r>
      <w:r w:rsidR="00E54C9A" w:rsidRPr="004E5A44">
        <w:rPr>
          <w:rFonts w:cs="Arial"/>
        </w:rPr>
        <w:t>:</w:t>
      </w:r>
    </w:p>
    <w:p w14:paraId="3131D82E" w14:textId="6BD10670" w:rsidR="00E54C9A" w:rsidRPr="004E5A44" w:rsidRDefault="001743E1" w:rsidP="001743E1">
      <w:pPr>
        <w:pStyle w:val="ORDERa"/>
        <w:numPr>
          <w:ilvl w:val="0"/>
          <w:numId w:val="0"/>
        </w:numPr>
        <w:ind w:left="1701" w:hanging="360"/>
        <w:rPr>
          <w:rFonts w:cs="Arial"/>
        </w:rPr>
      </w:pPr>
      <w:r w:rsidRPr="004E5A44">
        <w:rPr>
          <w:rFonts w:cs="Arial"/>
        </w:rPr>
        <w:t>a.</w:t>
      </w:r>
      <w:r w:rsidRPr="004E5A44">
        <w:rPr>
          <w:rFonts w:cs="Arial"/>
        </w:rPr>
        <w:tab/>
      </w:r>
      <w:r w:rsidR="00E54C9A" w:rsidRPr="004E5A44">
        <w:rPr>
          <w:rFonts w:cs="Arial"/>
        </w:rPr>
        <w:t xml:space="preserve">Erf </w:t>
      </w:r>
      <w:r w:rsidR="00EB7E8C">
        <w:rPr>
          <w:rFonts w:cs="Arial"/>
        </w:rPr>
        <w:t>[…]</w:t>
      </w:r>
      <w:r w:rsidR="00E54C9A" w:rsidRPr="004E5A44">
        <w:rPr>
          <w:rFonts w:cs="Arial"/>
        </w:rPr>
        <w:t xml:space="preserve"> Houghton Estate;</w:t>
      </w:r>
    </w:p>
    <w:p w14:paraId="603F2A2F" w14:textId="03B9AE1C" w:rsidR="00E54C9A" w:rsidRPr="004E5A44" w:rsidRDefault="001743E1" w:rsidP="001743E1">
      <w:pPr>
        <w:pStyle w:val="ORDERa"/>
        <w:numPr>
          <w:ilvl w:val="0"/>
          <w:numId w:val="0"/>
        </w:numPr>
        <w:ind w:left="1701" w:hanging="360"/>
        <w:rPr>
          <w:rFonts w:cs="Arial"/>
        </w:rPr>
      </w:pPr>
      <w:r w:rsidRPr="004E5A44">
        <w:rPr>
          <w:rFonts w:cs="Arial"/>
        </w:rPr>
        <w:t>b.</w:t>
      </w:r>
      <w:r w:rsidRPr="004E5A44">
        <w:rPr>
          <w:rFonts w:cs="Arial"/>
        </w:rPr>
        <w:tab/>
      </w:r>
      <w:r w:rsidR="00E54C9A" w:rsidRPr="004E5A44">
        <w:rPr>
          <w:rFonts w:cs="Arial"/>
        </w:rPr>
        <w:t xml:space="preserve">Erf </w:t>
      </w:r>
      <w:r w:rsidR="00EB7E8C">
        <w:rPr>
          <w:rFonts w:cs="Arial"/>
        </w:rPr>
        <w:t>[…]</w:t>
      </w:r>
      <w:r w:rsidR="00E54C9A" w:rsidRPr="004E5A44">
        <w:rPr>
          <w:rFonts w:cs="Arial"/>
        </w:rPr>
        <w:t xml:space="preserve"> Houghton Estate;</w:t>
      </w:r>
    </w:p>
    <w:p w14:paraId="7242463B" w14:textId="79BCA6BB" w:rsidR="00E54C9A" w:rsidRPr="00E54C9A" w:rsidRDefault="001743E1" w:rsidP="001743E1">
      <w:pPr>
        <w:pStyle w:val="ORDERa"/>
        <w:numPr>
          <w:ilvl w:val="0"/>
          <w:numId w:val="0"/>
        </w:numPr>
        <w:ind w:left="1701" w:hanging="360"/>
        <w:rPr>
          <w:rFonts w:cs="Arial"/>
        </w:rPr>
      </w:pPr>
      <w:r w:rsidRPr="00E54C9A">
        <w:rPr>
          <w:rFonts w:cs="Arial"/>
        </w:rPr>
        <w:lastRenderedPageBreak/>
        <w:t>c.</w:t>
      </w:r>
      <w:r w:rsidRPr="00E54C9A">
        <w:rPr>
          <w:rFonts w:cs="Arial"/>
        </w:rPr>
        <w:tab/>
      </w:r>
      <w:r w:rsidR="00E54C9A" w:rsidRPr="004E5A44">
        <w:rPr>
          <w:rFonts w:cs="Arial"/>
        </w:rPr>
        <w:t xml:space="preserve">Portion </w:t>
      </w:r>
      <w:r w:rsidR="00EB7E8C">
        <w:rPr>
          <w:rFonts w:cs="Arial"/>
        </w:rPr>
        <w:t>[…]</w:t>
      </w:r>
      <w:r w:rsidR="00E54C9A" w:rsidRPr="004E5A44">
        <w:rPr>
          <w:rFonts w:cs="Arial"/>
        </w:rPr>
        <w:t xml:space="preserve"> of th</w:t>
      </w:r>
      <w:r w:rsidR="00E54C9A" w:rsidRPr="00E54C9A">
        <w:rPr>
          <w:rFonts w:cs="Arial"/>
        </w:rPr>
        <w:t xml:space="preserve">e Farm </w:t>
      </w:r>
      <w:proofErr w:type="spellStart"/>
      <w:r w:rsidR="00E54C9A" w:rsidRPr="00E54C9A">
        <w:rPr>
          <w:rFonts w:cs="Arial"/>
        </w:rPr>
        <w:t>Syferfontein</w:t>
      </w:r>
      <w:proofErr w:type="spellEnd"/>
      <w:r w:rsidR="00E54C9A" w:rsidRPr="00E54C9A">
        <w:rPr>
          <w:rFonts w:cs="Arial"/>
        </w:rPr>
        <w:t xml:space="preserve">, No </w:t>
      </w:r>
      <w:r w:rsidR="00EB7E8C">
        <w:rPr>
          <w:rFonts w:cs="Arial"/>
        </w:rPr>
        <w:t>[…]</w:t>
      </w:r>
      <w:r w:rsidR="00E54C9A" w:rsidRPr="00E54C9A">
        <w:rPr>
          <w:rFonts w:cs="Arial"/>
        </w:rPr>
        <w:t>, IR;</w:t>
      </w:r>
    </w:p>
    <w:p w14:paraId="738D3A9E" w14:textId="47EE1507" w:rsidR="00E54C9A" w:rsidRPr="00E54C9A" w:rsidRDefault="001743E1" w:rsidP="001743E1">
      <w:pPr>
        <w:pStyle w:val="ORDERa"/>
        <w:numPr>
          <w:ilvl w:val="0"/>
          <w:numId w:val="0"/>
        </w:numPr>
        <w:ind w:left="1701" w:hanging="360"/>
        <w:rPr>
          <w:rFonts w:cs="Arial"/>
        </w:rPr>
      </w:pPr>
      <w:r w:rsidRPr="00E54C9A">
        <w:rPr>
          <w:rFonts w:cs="Arial"/>
        </w:rPr>
        <w:t>d.</w:t>
      </w:r>
      <w:r w:rsidRPr="00E54C9A">
        <w:rPr>
          <w:rFonts w:cs="Arial"/>
        </w:rPr>
        <w:tab/>
      </w:r>
      <w:r w:rsidR="00E54C9A" w:rsidRPr="00E54C9A">
        <w:rPr>
          <w:rFonts w:cs="Arial"/>
        </w:rPr>
        <w:t xml:space="preserve">Erf </w:t>
      </w:r>
      <w:r w:rsidR="00EB7E8C">
        <w:rPr>
          <w:rFonts w:cs="Arial"/>
        </w:rPr>
        <w:t>[…]</w:t>
      </w:r>
      <w:r w:rsidR="00E54C9A" w:rsidRPr="00E54C9A">
        <w:rPr>
          <w:rFonts w:cs="Arial"/>
        </w:rPr>
        <w:t xml:space="preserve"> Melrose Estate; and</w:t>
      </w:r>
    </w:p>
    <w:p w14:paraId="278F2304" w14:textId="53EF8522" w:rsidR="00E54C9A" w:rsidRPr="00E54C9A" w:rsidRDefault="001743E1" w:rsidP="001743E1">
      <w:pPr>
        <w:pStyle w:val="ORDERa"/>
        <w:numPr>
          <w:ilvl w:val="0"/>
          <w:numId w:val="0"/>
        </w:numPr>
        <w:ind w:left="1701" w:hanging="360"/>
      </w:pPr>
      <w:r w:rsidRPr="00E54C9A">
        <w:t>e.</w:t>
      </w:r>
      <w:r w:rsidRPr="00E54C9A">
        <w:tab/>
      </w:r>
      <w:r w:rsidR="00E54C9A" w:rsidRPr="00E54C9A">
        <w:t xml:space="preserve">Erf </w:t>
      </w:r>
      <w:r w:rsidR="00EB7E8C">
        <w:t>[…]</w:t>
      </w:r>
      <w:bookmarkStart w:id="1" w:name="_GoBack"/>
      <w:bookmarkEnd w:id="1"/>
      <w:r w:rsidR="00E54C9A" w:rsidRPr="00E54C9A">
        <w:t xml:space="preserve"> Melrose Estate.</w:t>
      </w:r>
    </w:p>
    <w:p w14:paraId="439A8356" w14:textId="3C7BD99A" w:rsidR="004E5A44" w:rsidRPr="00E54C9A" w:rsidRDefault="001743E1" w:rsidP="001743E1">
      <w:pPr>
        <w:pStyle w:val="ORDER"/>
        <w:numPr>
          <w:ilvl w:val="0"/>
          <w:numId w:val="0"/>
        </w:numPr>
        <w:ind w:left="1276" w:hanging="567"/>
        <w:rPr>
          <w:rFonts w:cs="Arial"/>
        </w:rPr>
      </w:pPr>
      <w:r w:rsidRPr="00E54C9A">
        <w:rPr>
          <w:rFonts w:cs="Arial"/>
        </w:rPr>
        <w:t>5.</w:t>
      </w:r>
      <w:r w:rsidRPr="00E54C9A">
        <w:rPr>
          <w:rFonts w:cs="Arial"/>
        </w:rPr>
        <w:tab/>
      </w:r>
      <w:r w:rsidR="004E5A44" w:rsidRPr="00E54C9A">
        <w:rPr>
          <w:rFonts w:cs="Arial"/>
        </w:rPr>
        <w:t xml:space="preserve">The </w:t>
      </w:r>
      <w:r w:rsidR="00497C96">
        <w:rPr>
          <w:rFonts w:cs="Arial"/>
        </w:rPr>
        <w:t>f</w:t>
      </w:r>
      <w:r w:rsidR="004E5A44" w:rsidRPr="00E54C9A">
        <w:rPr>
          <w:rFonts w:cs="Arial"/>
        </w:rPr>
        <w:t xml:space="preserve">irst, </w:t>
      </w:r>
      <w:r w:rsidR="00497C96">
        <w:rPr>
          <w:rFonts w:cs="Arial"/>
        </w:rPr>
        <w:t>s</w:t>
      </w:r>
      <w:r w:rsidR="004E5A44" w:rsidRPr="00E54C9A">
        <w:rPr>
          <w:rFonts w:cs="Arial"/>
        </w:rPr>
        <w:t xml:space="preserve">econd, </w:t>
      </w:r>
      <w:r w:rsidR="00497C96">
        <w:rPr>
          <w:rFonts w:cs="Arial"/>
        </w:rPr>
        <w:t>t</w:t>
      </w:r>
      <w:r w:rsidR="004E5A44" w:rsidRPr="00E54C9A">
        <w:rPr>
          <w:rFonts w:cs="Arial"/>
        </w:rPr>
        <w:t xml:space="preserve">hird and </w:t>
      </w:r>
      <w:r w:rsidR="00497C96">
        <w:rPr>
          <w:rFonts w:cs="Arial"/>
        </w:rPr>
        <w:t>f</w:t>
      </w:r>
      <w:r w:rsidR="004E5A44" w:rsidRPr="00E54C9A">
        <w:rPr>
          <w:rFonts w:cs="Arial"/>
        </w:rPr>
        <w:t xml:space="preserve">ourth </w:t>
      </w:r>
      <w:r w:rsidR="00497C96">
        <w:rPr>
          <w:rFonts w:cs="Arial"/>
        </w:rPr>
        <w:t>r</w:t>
      </w:r>
      <w:r w:rsidR="004E5A44" w:rsidRPr="00E54C9A">
        <w:rPr>
          <w:rFonts w:cs="Arial"/>
        </w:rPr>
        <w:t xml:space="preserve">espondents and any other </w:t>
      </w:r>
      <w:r w:rsidR="00E54C9A" w:rsidRPr="00E54C9A">
        <w:rPr>
          <w:rFonts w:cs="Arial"/>
        </w:rPr>
        <w:t xml:space="preserve">persons </w:t>
      </w:r>
      <w:r w:rsidR="004E5A44" w:rsidRPr="00E54C9A">
        <w:rPr>
          <w:rFonts w:cs="Arial"/>
        </w:rPr>
        <w:t xml:space="preserve">occupying through them are ejected </w:t>
      </w:r>
      <w:r w:rsidR="0009165F">
        <w:rPr>
          <w:rFonts w:cs="Arial"/>
        </w:rPr>
        <w:t xml:space="preserve">and </w:t>
      </w:r>
      <w:r w:rsidR="00E54C9A" w:rsidRPr="00E54C9A">
        <w:rPr>
          <w:rFonts w:cs="Arial"/>
        </w:rPr>
        <w:t>ordered to vacate the Property.</w:t>
      </w:r>
    </w:p>
    <w:p w14:paraId="7FE358D9" w14:textId="1E72FDB5" w:rsidR="004E5A44" w:rsidRPr="00E54C9A" w:rsidRDefault="001743E1" w:rsidP="001743E1">
      <w:pPr>
        <w:pStyle w:val="ORDER"/>
        <w:numPr>
          <w:ilvl w:val="0"/>
          <w:numId w:val="0"/>
        </w:numPr>
        <w:ind w:left="1276" w:hanging="567"/>
      </w:pPr>
      <w:r w:rsidRPr="00E54C9A">
        <w:t>6.</w:t>
      </w:r>
      <w:r w:rsidRPr="00E54C9A">
        <w:tab/>
      </w:r>
      <w:r w:rsidR="004E5A44" w:rsidRPr="00E54C9A">
        <w:t xml:space="preserve">In the event of any of the ejected parties failing and/or refusing to vacate the Property </w:t>
      </w:r>
      <w:r w:rsidR="00C65F15" w:rsidRPr="00E54C9A">
        <w:t>as aforesaid</w:t>
      </w:r>
      <w:r w:rsidR="004E5A44" w:rsidRPr="00E54C9A">
        <w:t xml:space="preserve">, the </w:t>
      </w:r>
      <w:r w:rsidR="00F5279A">
        <w:t>s</w:t>
      </w:r>
      <w:r w:rsidR="004E5A44" w:rsidRPr="00E54C9A">
        <w:t xml:space="preserve">heriff is authorised to </w:t>
      </w:r>
      <w:r w:rsidR="00FD2F01">
        <w:t xml:space="preserve">enter the Property and to </w:t>
      </w:r>
      <w:r w:rsidR="00E54C9A" w:rsidRPr="00E54C9A">
        <w:t>take all steps necessary to give effect to paragraph 5 above.</w:t>
      </w:r>
    </w:p>
    <w:bookmarkEnd w:id="0"/>
    <w:p w14:paraId="2DB54331" w14:textId="3FBBB09B" w:rsidR="0009165F" w:rsidRDefault="001743E1" w:rsidP="001743E1">
      <w:pPr>
        <w:pStyle w:val="ORDER"/>
        <w:numPr>
          <w:ilvl w:val="0"/>
          <w:numId w:val="0"/>
        </w:numPr>
        <w:ind w:left="1276" w:hanging="567"/>
        <w:rPr>
          <w:rFonts w:cs="Arial"/>
          <w:szCs w:val="24"/>
        </w:rPr>
      </w:pPr>
      <w:r>
        <w:rPr>
          <w:rFonts w:cs="Arial"/>
          <w:szCs w:val="24"/>
        </w:rPr>
        <w:t>7.</w:t>
      </w:r>
      <w:r>
        <w:rPr>
          <w:rFonts w:cs="Arial"/>
          <w:szCs w:val="24"/>
        </w:rPr>
        <w:tab/>
      </w:r>
      <w:r w:rsidR="0009165F">
        <w:rPr>
          <w:rFonts w:cs="Arial"/>
          <w:szCs w:val="24"/>
        </w:rPr>
        <w:t xml:space="preserve">Save for the costs reserved pursuant to paragraph </w:t>
      </w:r>
      <w:r w:rsidR="0009165F">
        <w:rPr>
          <w:rFonts w:cs="Arial"/>
          <w:szCs w:val="24"/>
        </w:rPr>
        <w:fldChar w:fldCharType="begin"/>
      </w:r>
      <w:r w:rsidR="0009165F">
        <w:rPr>
          <w:rFonts w:cs="Arial"/>
          <w:szCs w:val="24"/>
        </w:rPr>
        <w:instrText xml:space="preserve"> REF _Ref152078235 \r \h </w:instrText>
      </w:r>
      <w:r w:rsidR="0009165F">
        <w:rPr>
          <w:rFonts w:cs="Arial"/>
          <w:szCs w:val="24"/>
        </w:rPr>
      </w:r>
      <w:r w:rsidR="0009165F">
        <w:rPr>
          <w:rFonts w:cs="Arial"/>
          <w:szCs w:val="24"/>
        </w:rPr>
        <w:fldChar w:fldCharType="separate"/>
      </w:r>
      <w:r w:rsidR="0009165F">
        <w:rPr>
          <w:rFonts w:cs="Arial"/>
          <w:szCs w:val="24"/>
        </w:rPr>
        <w:t>8</w:t>
      </w:r>
      <w:r w:rsidR="0009165F">
        <w:rPr>
          <w:rFonts w:cs="Arial"/>
          <w:szCs w:val="24"/>
        </w:rPr>
        <w:fldChar w:fldCharType="end"/>
      </w:r>
      <w:r w:rsidR="0009165F">
        <w:rPr>
          <w:rFonts w:cs="Arial"/>
          <w:szCs w:val="24"/>
        </w:rPr>
        <w:t xml:space="preserve"> below, the </w:t>
      </w:r>
      <w:r w:rsidR="00497C96">
        <w:rPr>
          <w:rFonts w:cs="Arial"/>
          <w:szCs w:val="24"/>
        </w:rPr>
        <w:t>f</w:t>
      </w:r>
      <w:r w:rsidR="0009165F">
        <w:rPr>
          <w:rFonts w:cs="Arial"/>
          <w:szCs w:val="24"/>
        </w:rPr>
        <w:t xml:space="preserve">irst to </w:t>
      </w:r>
      <w:r w:rsidR="00497C96">
        <w:rPr>
          <w:rFonts w:cs="Arial"/>
          <w:szCs w:val="24"/>
        </w:rPr>
        <w:t>f</w:t>
      </w:r>
      <w:r w:rsidR="0009165F">
        <w:rPr>
          <w:rFonts w:cs="Arial"/>
          <w:szCs w:val="24"/>
        </w:rPr>
        <w:t xml:space="preserve">ourth </w:t>
      </w:r>
      <w:r w:rsidR="00F5279A">
        <w:rPr>
          <w:rFonts w:cs="Arial"/>
          <w:szCs w:val="24"/>
        </w:rPr>
        <w:t>r</w:t>
      </w:r>
      <w:r w:rsidR="0009165F">
        <w:rPr>
          <w:rFonts w:cs="Arial"/>
          <w:szCs w:val="24"/>
        </w:rPr>
        <w:t xml:space="preserve">espondents are ordered to pay the </w:t>
      </w:r>
      <w:r w:rsidR="00497C96">
        <w:rPr>
          <w:rFonts w:cs="Arial"/>
          <w:szCs w:val="24"/>
        </w:rPr>
        <w:t>a</w:t>
      </w:r>
      <w:r w:rsidR="0009165F">
        <w:rPr>
          <w:rFonts w:cs="Arial"/>
          <w:szCs w:val="24"/>
        </w:rPr>
        <w:t xml:space="preserve">pplicants costs, including </w:t>
      </w:r>
      <w:r w:rsidR="00497C96">
        <w:rPr>
          <w:rFonts w:cs="Arial"/>
          <w:szCs w:val="24"/>
        </w:rPr>
        <w:t xml:space="preserve">its </w:t>
      </w:r>
      <w:r w:rsidR="0009165F">
        <w:rPr>
          <w:rFonts w:cs="Arial"/>
          <w:szCs w:val="24"/>
        </w:rPr>
        <w:t xml:space="preserve">costs </w:t>
      </w:r>
      <w:r w:rsidR="00497C96">
        <w:rPr>
          <w:rFonts w:cs="Arial"/>
          <w:szCs w:val="24"/>
        </w:rPr>
        <w:t xml:space="preserve">in </w:t>
      </w:r>
      <w:r w:rsidR="0009165F">
        <w:rPr>
          <w:rFonts w:cs="Arial"/>
          <w:szCs w:val="24"/>
        </w:rPr>
        <w:t xml:space="preserve">the </w:t>
      </w:r>
      <w:r w:rsidR="004E54BE">
        <w:rPr>
          <w:rFonts w:cs="Arial"/>
          <w:szCs w:val="24"/>
        </w:rPr>
        <w:t xml:space="preserve">stay and </w:t>
      </w:r>
      <w:r w:rsidR="0009165F" w:rsidRPr="009126C0">
        <w:rPr>
          <w:rFonts w:cs="Arial"/>
          <w:szCs w:val="24"/>
        </w:rPr>
        <w:t>supplementation application</w:t>
      </w:r>
      <w:r w:rsidR="004E54BE">
        <w:rPr>
          <w:rFonts w:cs="Arial"/>
          <w:szCs w:val="24"/>
        </w:rPr>
        <w:t>s</w:t>
      </w:r>
      <w:r w:rsidR="00497C96">
        <w:rPr>
          <w:rFonts w:cs="Arial"/>
          <w:szCs w:val="24"/>
        </w:rPr>
        <w:t>,</w:t>
      </w:r>
      <w:r w:rsidR="0009165F">
        <w:rPr>
          <w:rFonts w:cs="Arial"/>
          <w:szCs w:val="24"/>
        </w:rPr>
        <w:t xml:space="preserve"> jointly and severally, the one paying the others to be absolved.</w:t>
      </w:r>
    </w:p>
    <w:p w14:paraId="7636C083" w14:textId="56CA9001" w:rsidR="0009165F" w:rsidRDefault="001743E1" w:rsidP="001743E1">
      <w:pPr>
        <w:pStyle w:val="ORDER"/>
        <w:numPr>
          <w:ilvl w:val="0"/>
          <w:numId w:val="0"/>
        </w:numPr>
        <w:ind w:left="1276" w:hanging="567"/>
        <w:rPr>
          <w:rFonts w:cs="Arial"/>
          <w:szCs w:val="24"/>
        </w:rPr>
      </w:pPr>
      <w:bookmarkStart w:id="2" w:name="_Ref152078235"/>
      <w:r>
        <w:rPr>
          <w:rFonts w:cs="Arial"/>
          <w:szCs w:val="24"/>
        </w:rPr>
        <w:t>8.</w:t>
      </w:r>
      <w:r>
        <w:rPr>
          <w:rFonts w:cs="Arial"/>
          <w:szCs w:val="24"/>
        </w:rPr>
        <w:tab/>
      </w:r>
      <w:r w:rsidR="006F217D">
        <w:rPr>
          <w:rFonts w:cs="Arial"/>
          <w:szCs w:val="24"/>
        </w:rPr>
        <w:t xml:space="preserve">The determination of the amount due owing and payable by the </w:t>
      </w:r>
      <w:r w:rsidR="00F5279A">
        <w:rPr>
          <w:rFonts w:cs="Arial"/>
          <w:szCs w:val="24"/>
        </w:rPr>
        <w:t>f</w:t>
      </w:r>
      <w:r w:rsidR="006F217D">
        <w:rPr>
          <w:rFonts w:cs="Arial"/>
          <w:szCs w:val="24"/>
        </w:rPr>
        <w:t xml:space="preserve">irst </w:t>
      </w:r>
      <w:r w:rsidR="00F5279A">
        <w:rPr>
          <w:rFonts w:cs="Arial"/>
          <w:szCs w:val="24"/>
        </w:rPr>
        <w:t>r</w:t>
      </w:r>
      <w:r w:rsidR="006F217D">
        <w:rPr>
          <w:rFonts w:cs="Arial"/>
          <w:szCs w:val="24"/>
        </w:rPr>
        <w:t xml:space="preserve">espondent to the </w:t>
      </w:r>
      <w:r w:rsidR="00F5279A">
        <w:rPr>
          <w:rFonts w:cs="Arial"/>
          <w:szCs w:val="24"/>
        </w:rPr>
        <w:t>a</w:t>
      </w:r>
      <w:r w:rsidR="006F217D">
        <w:rPr>
          <w:rFonts w:cs="Arial"/>
          <w:szCs w:val="24"/>
        </w:rPr>
        <w:t>pplicant in respect of utility charges, if any, is referred to oral evidence</w:t>
      </w:r>
      <w:r w:rsidR="0009165F">
        <w:rPr>
          <w:rFonts w:cs="Arial"/>
          <w:szCs w:val="24"/>
        </w:rPr>
        <w:t xml:space="preserve"> and the costs in relation </w:t>
      </w:r>
      <w:r w:rsidR="00497C96">
        <w:rPr>
          <w:rFonts w:cs="Arial"/>
          <w:szCs w:val="24"/>
        </w:rPr>
        <w:t xml:space="preserve">to that determination </w:t>
      </w:r>
      <w:r w:rsidR="0009165F">
        <w:rPr>
          <w:rFonts w:cs="Arial"/>
          <w:szCs w:val="24"/>
        </w:rPr>
        <w:t>are reserved.</w:t>
      </w:r>
      <w:bookmarkEnd w:id="2"/>
      <w:r w:rsidR="0009165F">
        <w:rPr>
          <w:rFonts w:cs="Arial"/>
          <w:szCs w:val="24"/>
        </w:rPr>
        <w:t xml:space="preserve"> </w:t>
      </w:r>
    </w:p>
    <w:p w14:paraId="49A28BB0" w14:textId="77777777" w:rsidR="00F35C22" w:rsidRPr="00AB52EE" w:rsidRDefault="00F35C22" w:rsidP="007A27ED">
      <w:pPr>
        <w:pStyle w:val="LC1"/>
        <w:numPr>
          <w:ilvl w:val="0"/>
          <w:numId w:val="0"/>
        </w:numPr>
        <w:ind w:left="720"/>
        <w:rPr>
          <w:rFonts w:cs="Arial"/>
          <w:szCs w:val="24"/>
        </w:rPr>
      </w:pPr>
    </w:p>
    <w:p w14:paraId="52ACCD6E" w14:textId="3429E84D" w:rsidR="00D202C2" w:rsidRPr="00AB52EE" w:rsidRDefault="00B928FE" w:rsidP="00A40A87">
      <w:pPr>
        <w:keepNext/>
        <w:spacing w:after="120" w:line="360" w:lineRule="auto"/>
        <w:jc w:val="right"/>
        <w:rPr>
          <w:rFonts w:ascii="Arial" w:hAnsi="Arial" w:cs="Arial"/>
          <w:sz w:val="24"/>
          <w:szCs w:val="24"/>
          <w:u w:val="single"/>
        </w:rPr>
      </w:pPr>
      <w:r w:rsidRPr="00AB52EE">
        <w:rPr>
          <w:rFonts w:ascii="Arial" w:hAnsi="Arial" w:cs="Arial"/>
          <w:sz w:val="24"/>
          <w:szCs w:val="24"/>
          <w:u w:val="single"/>
        </w:rPr>
        <w:t>______</w:t>
      </w:r>
      <w:r w:rsidR="00044A38" w:rsidRPr="00AB52EE">
        <w:rPr>
          <w:rFonts w:ascii="Arial" w:hAnsi="Arial" w:cs="Arial"/>
          <w:sz w:val="24"/>
          <w:szCs w:val="24"/>
          <w:u w:val="single"/>
        </w:rPr>
        <w:t>_________</w:t>
      </w:r>
      <w:r w:rsidRPr="00AB52EE">
        <w:rPr>
          <w:rFonts w:ascii="Arial" w:hAnsi="Arial" w:cs="Arial"/>
          <w:sz w:val="24"/>
          <w:szCs w:val="24"/>
          <w:u w:val="single"/>
        </w:rPr>
        <w:t>________</w:t>
      </w:r>
    </w:p>
    <w:p w14:paraId="4A51D625" w14:textId="79407158" w:rsidR="00D202C2" w:rsidRPr="00AB52EE" w:rsidRDefault="001A42D3" w:rsidP="00A40A87">
      <w:pPr>
        <w:keepNext/>
        <w:autoSpaceDE w:val="0"/>
        <w:autoSpaceDN w:val="0"/>
        <w:adjustRightInd w:val="0"/>
        <w:spacing w:after="120" w:line="360" w:lineRule="auto"/>
        <w:jc w:val="right"/>
        <w:rPr>
          <w:rFonts w:ascii="Arial" w:hAnsi="Arial" w:cs="Arial"/>
          <w:b/>
          <w:bCs/>
          <w:sz w:val="24"/>
          <w:szCs w:val="24"/>
        </w:rPr>
      </w:pPr>
      <w:r w:rsidRPr="00AB52EE">
        <w:rPr>
          <w:rFonts w:ascii="Arial" w:hAnsi="Arial" w:cs="Arial"/>
          <w:b/>
          <w:bCs/>
          <w:sz w:val="24"/>
          <w:szCs w:val="24"/>
        </w:rPr>
        <w:t xml:space="preserve">RJ </w:t>
      </w:r>
      <w:r w:rsidR="00166E9B" w:rsidRPr="00AB52EE">
        <w:rPr>
          <w:rFonts w:ascii="Arial" w:hAnsi="Arial" w:cs="Arial"/>
          <w:b/>
          <w:bCs/>
          <w:sz w:val="24"/>
          <w:szCs w:val="24"/>
        </w:rPr>
        <w:t xml:space="preserve">MOULTRIE </w:t>
      </w:r>
      <w:r w:rsidR="00D202C2" w:rsidRPr="00AB52EE">
        <w:rPr>
          <w:rFonts w:ascii="Arial" w:hAnsi="Arial" w:cs="Arial"/>
          <w:b/>
          <w:bCs/>
          <w:sz w:val="24"/>
          <w:szCs w:val="24"/>
        </w:rPr>
        <w:t>AJ</w:t>
      </w:r>
    </w:p>
    <w:p w14:paraId="40911379" w14:textId="77777777" w:rsidR="00D202C2" w:rsidRPr="00AB52EE" w:rsidRDefault="00D202C2" w:rsidP="00A40A87">
      <w:pPr>
        <w:keepNext/>
        <w:autoSpaceDE w:val="0"/>
        <w:autoSpaceDN w:val="0"/>
        <w:adjustRightInd w:val="0"/>
        <w:spacing w:after="120" w:line="360" w:lineRule="auto"/>
        <w:jc w:val="right"/>
        <w:rPr>
          <w:rFonts w:ascii="Arial" w:hAnsi="Arial" w:cs="Arial"/>
          <w:sz w:val="24"/>
          <w:szCs w:val="24"/>
        </w:rPr>
      </w:pPr>
      <w:r w:rsidRPr="00AB52EE">
        <w:rPr>
          <w:rFonts w:ascii="Arial" w:hAnsi="Arial" w:cs="Arial"/>
          <w:sz w:val="24"/>
          <w:szCs w:val="24"/>
        </w:rPr>
        <w:t xml:space="preserve">Acting Judge of the </w:t>
      </w:r>
      <w:r w:rsidR="007D51E5" w:rsidRPr="00AB52EE">
        <w:rPr>
          <w:rFonts w:ascii="Arial" w:hAnsi="Arial" w:cs="Arial"/>
          <w:sz w:val="24"/>
          <w:szCs w:val="24"/>
        </w:rPr>
        <w:t xml:space="preserve">High </w:t>
      </w:r>
      <w:r w:rsidRPr="00AB52EE">
        <w:rPr>
          <w:rFonts w:ascii="Arial" w:hAnsi="Arial" w:cs="Arial"/>
          <w:sz w:val="24"/>
          <w:szCs w:val="24"/>
        </w:rPr>
        <w:t xml:space="preserve">Court </w:t>
      </w:r>
    </w:p>
    <w:p w14:paraId="18A4CE1E" w14:textId="54BA15B5" w:rsidR="007D51E5" w:rsidRPr="00AB52EE" w:rsidRDefault="007D51E5" w:rsidP="00A40A87">
      <w:pPr>
        <w:autoSpaceDE w:val="0"/>
        <w:autoSpaceDN w:val="0"/>
        <w:adjustRightInd w:val="0"/>
        <w:spacing w:after="120" w:line="360" w:lineRule="auto"/>
        <w:jc w:val="right"/>
        <w:rPr>
          <w:rFonts w:ascii="Arial" w:hAnsi="Arial" w:cs="Arial"/>
          <w:sz w:val="24"/>
          <w:szCs w:val="24"/>
        </w:rPr>
      </w:pPr>
      <w:r w:rsidRPr="00AB52EE">
        <w:rPr>
          <w:rFonts w:ascii="Arial" w:hAnsi="Arial" w:cs="Arial"/>
          <w:sz w:val="24"/>
          <w:szCs w:val="24"/>
        </w:rPr>
        <w:t xml:space="preserve">Gauteng Division, </w:t>
      </w:r>
      <w:r w:rsidR="00001F4A" w:rsidRPr="00AB52EE">
        <w:rPr>
          <w:rFonts w:ascii="Arial" w:hAnsi="Arial" w:cs="Arial"/>
          <w:sz w:val="24"/>
          <w:szCs w:val="24"/>
        </w:rPr>
        <w:t>Johannesburg</w:t>
      </w:r>
    </w:p>
    <w:p w14:paraId="76FC8D32" w14:textId="77777777" w:rsidR="009216AB" w:rsidRPr="00AB52EE" w:rsidRDefault="009216AB" w:rsidP="009216AB">
      <w:pPr>
        <w:keepNext/>
        <w:spacing w:before="240" w:line="240" w:lineRule="auto"/>
        <w:jc w:val="left"/>
        <w:rPr>
          <w:rFonts w:ascii="Arial" w:hAnsi="Arial" w:cs="Arial"/>
          <w:sz w:val="24"/>
          <w:szCs w:val="24"/>
        </w:rPr>
      </w:pPr>
    </w:p>
    <w:p w14:paraId="38FCBFB2" w14:textId="325F5431" w:rsidR="00001F4A" w:rsidRPr="00AB52EE" w:rsidRDefault="00001F4A" w:rsidP="00BD1B12">
      <w:pPr>
        <w:keepNext/>
        <w:spacing w:before="240" w:line="360" w:lineRule="auto"/>
        <w:jc w:val="left"/>
        <w:rPr>
          <w:rFonts w:ascii="Arial" w:hAnsi="Arial" w:cs="Arial"/>
          <w:sz w:val="24"/>
          <w:szCs w:val="24"/>
        </w:rPr>
      </w:pPr>
      <w:r w:rsidRPr="00AB52EE">
        <w:rPr>
          <w:rFonts w:ascii="Arial" w:hAnsi="Arial" w:cs="Arial"/>
          <w:sz w:val="24"/>
          <w:szCs w:val="24"/>
        </w:rPr>
        <w:t>DATE HEARD:</w:t>
      </w:r>
      <w:r w:rsidRPr="00AB52EE">
        <w:rPr>
          <w:rFonts w:ascii="Arial" w:hAnsi="Arial" w:cs="Arial"/>
          <w:sz w:val="24"/>
          <w:szCs w:val="24"/>
        </w:rPr>
        <w:tab/>
      </w:r>
      <w:r w:rsidRPr="00AB52EE">
        <w:rPr>
          <w:rFonts w:ascii="Arial" w:hAnsi="Arial" w:cs="Arial"/>
          <w:sz w:val="24"/>
          <w:szCs w:val="24"/>
        </w:rPr>
        <w:tab/>
      </w:r>
      <w:r w:rsidRPr="00AB52EE">
        <w:rPr>
          <w:rFonts w:ascii="Arial" w:hAnsi="Arial" w:cs="Arial"/>
          <w:sz w:val="24"/>
          <w:szCs w:val="24"/>
        </w:rPr>
        <w:tab/>
      </w:r>
      <w:r w:rsidR="00986F65">
        <w:rPr>
          <w:rFonts w:ascii="Arial" w:hAnsi="Arial" w:cs="Arial"/>
          <w:sz w:val="24"/>
          <w:szCs w:val="24"/>
        </w:rPr>
        <w:t xml:space="preserve">16 November </w:t>
      </w:r>
      <w:r w:rsidR="004D60BE" w:rsidRPr="00AB52EE">
        <w:rPr>
          <w:rFonts w:ascii="Arial" w:hAnsi="Arial" w:cs="Arial"/>
          <w:sz w:val="24"/>
          <w:szCs w:val="24"/>
        </w:rPr>
        <w:t>2</w:t>
      </w:r>
      <w:r w:rsidRPr="00AB52EE">
        <w:rPr>
          <w:rFonts w:ascii="Arial" w:hAnsi="Arial" w:cs="Arial"/>
          <w:sz w:val="24"/>
          <w:szCs w:val="24"/>
        </w:rPr>
        <w:t>02</w:t>
      </w:r>
      <w:r w:rsidR="00AE38D8" w:rsidRPr="00AB52EE">
        <w:rPr>
          <w:rFonts w:ascii="Arial" w:hAnsi="Arial" w:cs="Arial"/>
          <w:sz w:val="24"/>
          <w:szCs w:val="24"/>
        </w:rPr>
        <w:t>3</w:t>
      </w:r>
    </w:p>
    <w:p w14:paraId="74389E3A" w14:textId="654DD836" w:rsidR="00FE6761" w:rsidRPr="00AB52EE" w:rsidRDefault="00F95AEC" w:rsidP="00FE6761">
      <w:pPr>
        <w:spacing w:line="360" w:lineRule="auto"/>
        <w:jc w:val="left"/>
        <w:rPr>
          <w:rFonts w:ascii="Arial" w:hAnsi="Arial" w:cs="Arial"/>
          <w:sz w:val="24"/>
          <w:szCs w:val="24"/>
        </w:rPr>
      </w:pPr>
      <w:r w:rsidRPr="00AB52EE">
        <w:rPr>
          <w:rFonts w:ascii="Arial" w:hAnsi="Arial" w:cs="Arial"/>
          <w:sz w:val="24"/>
          <w:szCs w:val="24"/>
        </w:rPr>
        <w:t>JUDGMENT</w:t>
      </w:r>
      <w:r w:rsidR="00FE6761" w:rsidRPr="00AB52EE">
        <w:rPr>
          <w:rFonts w:ascii="Arial" w:hAnsi="Arial" w:cs="Arial"/>
          <w:sz w:val="24"/>
          <w:szCs w:val="24"/>
        </w:rPr>
        <w:t>:</w:t>
      </w:r>
      <w:r w:rsidR="00FE6761" w:rsidRPr="00AB52EE">
        <w:rPr>
          <w:rFonts w:ascii="Arial" w:hAnsi="Arial" w:cs="Arial"/>
          <w:sz w:val="24"/>
          <w:szCs w:val="24"/>
        </w:rPr>
        <w:tab/>
      </w:r>
      <w:r w:rsidR="00FE6761" w:rsidRPr="00AB52EE">
        <w:rPr>
          <w:rFonts w:ascii="Arial" w:hAnsi="Arial" w:cs="Arial"/>
          <w:sz w:val="24"/>
          <w:szCs w:val="24"/>
        </w:rPr>
        <w:tab/>
      </w:r>
      <w:r w:rsidR="00FE6761" w:rsidRPr="00AB52EE">
        <w:rPr>
          <w:rFonts w:ascii="Arial" w:hAnsi="Arial" w:cs="Arial"/>
          <w:sz w:val="24"/>
          <w:szCs w:val="24"/>
        </w:rPr>
        <w:tab/>
      </w:r>
      <w:r w:rsidR="00FE6761" w:rsidRPr="00AB52EE">
        <w:rPr>
          <w:rFonts w:ascii="Arial" w:hAnsi="Arial" w:cs="Arial"/>
          <w:sz w:val="24"/>
          <w:szCs w:val="24"/>
        </w:rPr>
        <w:tab/>
      </w:r>
      <w:r w:rsidR="00384795">
        <w:rPr>
          <w:rFonts w:ascii="Arial" w:hAnsi="Arial" w:cs="Arial"/>
          <w:sz w:val="24"/>
          <w:szCs w:val="24"/>
        </w:rPr>
        <w:t xml:space="preserve">11 December </w:t>
      </w:r>
      <w:r w:rsidR="00FE6761" w:rsidRPr="00AB52EE">
        <w:rPr>
          <w:rFonts w:ascii="Arial" w:hAnsi="Arial" w:cs="Arial"/>
          <w:sz w:val="24"/>
          <w:szCs w:val="24"/>
        </w:rPr>
        <w:t>2023</w:t>
      </w:r>
      <w:r w:rsidR="00692D17">
        <w:rPr>
          <w:rFonts w:ascii="Arial" w:hAnsi="Arial" w:cs="Arial"/>
          <w:sz w:val="24"/>
          <w:szCs w:val="24"/>
        </w:rPr>
        <w:t xml:space="preserve"> </w:t>
      </w:r>
    </w:p>
    <w:p w14:paraId="14143EA4" w14:textId="0C756D95" w:rsidR="009216AB" w:rsidRPr="00AB52EE" w:rsidRDefault="009216AB" w:rsidP="009216AB">
      <w:pPr>
        <w:widowControl w:val="0"/>
        <w:spacing w:after="120" w:line="240" w:lineRule="auto"/>
        <w:jc w:val="left"/>
        <w:rPr>
          <w:rFonts w:ascii="Arial" w:hAnsi="Arial" w:cs="Arial"/>
          <w:sz w:val="24"/>
          <w:szCs w:val="24"/>
        </w:rPr>
      </w:pPr>
    </w:p>
    <w:p w14:paraId="0FF9B01E" w14:textId="77777777" w:rsidR="00F95AEC" w:rsidRPr="00AB52EE" w:rsidRDefault="00F95AEC" w:rsidP="009216AB">
      <w:pPr>
        <w:widowControl w:val="0"/>
        <w:spacing w:after="120" w:line="240" w:lineRule="auto"/>
        <w:jc w:val="left"/>
        <w:rPr>
          <w:rFonts w:ascii="Arial" w:hAnsi="Arial" w:cs="Arial"/>
          <w:sz w:val="24"/>
          <w:szCs w:val="24"/>
          <w:u w:val="single"/>
        </w:rPr>
      </w:pPr>
    </w:p>
    <w:p w14:paraId="127291A0" w14:textId="634974D7" w:rsidR="00D202C2" w:rsidRPr="00AB52EE" w:rsidRDefault="00D202C2" w:rsidP="006E477C">
      <w:pPr>
        <w:widowControl w:val="0"/>
        <w:spacing w:after="120" w:line="360" w:lineRule="auto"/>
        <w:jc w:val="left"/>
        <w:rPr>
          <w:rFonts w:ascii="Arial" w:hAnsi="Arial" w:cs="Arial"/>
          <w:sz w:val="24"/>
          <w:szCs w:val="24"/>
        </w:rPr>
      </w:pPr>
      <w:r w:rsidRPr="00AB52EE">
        <w:rPr>
          <w:rFonts w:ascii="Arial" w:hAnsi="Arial" w:cs="Arial"/>
          <w:sz w:val="24"/>
          <w:szCs w:val="24"/>
          <w:u w:val="single"/>
        </w:rPr>
        <w:t>APPEARANCES</w:t>
      </w:r>
    </w:p>
    <w:p w14:paraId="4015F546" w14:textId="62D7CACA" w:rsidR="003A6A01" w:rsidRPr="00AB52EE" w:rsidRDefault="00FE6761" w:rsidP="00986F65">
      <w:pPr>
        <w:widowControl w:val="0"/>
        <w:autoSpaceDE w:val="0"/>
        <w:autoSpaceDN w:val="0"/>
        <w:adjustRightInd w:val="0"/>
        <w:spacing w:before="240" w:line="360" w:lineRule="auto"/>
        <w:ind w:left="3544" w:hanging="3544"/>
        <w:rPr>
          <w:rFonts w:ascii="Arial" w:hAnsi="Arial" w:cs="Arial"/>
          <w:sz w:val="24"/>
          <w:szCs w:val="24"/>
        </w:rPr>
      </w:pPr>
      <w:bookmarkStart w:id="3" w:name="_Hlk151581821"/>
      <w:r w:rsidRPr="00AB52EE">
        <w:rPr>
          <w:rFonts w:ascii="Arial" w:hAnsi="Arial" w:cs="Arial"/>
          <w:sz w:val="24"/>
          <w:szCs w:val="24"/>
        </w:rPr>
        <w:t xml:space="preserve">For </w:t>
      </w:r>
      <w:r w:rsidR="00636C6A" w:rsidRPr="00AB52EE">
        <w:rPr>
          <w:rFonts w:ascii="Arial" w:hAnsi="Arial" w:cs="Arial"/>
          <w:sz w:val="24"/>
          <w:szCs w:val="24"/>
        </w:rPr>
        <w:t>the applicant</w:t>
      </w:r>
      <w:r w:rsidR="00F35BCB" w:rsidRPr="00AB52EE">
        <w:rPr>
          <w:rFonts w:ascii="Arial" w:hAnsi="Arial" w:cs="Arial"/>
          <w:sz w:val="24"/>
          <w:szCs w:val="24"/>
        </w:rPr>
        <w:t>:</w:t>
      </w:r>
      <w:r w:rsidR="00986F65">
        <w:rPr>
          <w:rFonts w:ascii="Arial" w:hAnsi="Arial" w:cs="Arial"/>
          <w:sz w:val="24"/>
          <w:szCs w:val="24"/>
        </w:rPr>
        <w:tab/>
        <w:t xml:space="preserve">LM Spiller </w:t>
      </w:r>
      <w:r w:rsidR="00636C6A" w:rsidRPr="00AB52EE">
        <w:rPr>
          <w:rFonts w:ascii="Arial" w:hAnsi="Arial" w:cs="Arial"/>
          <w:sz w:val="24"/>
          <w:szCs w:val="24"/>
        </w:rPr>
        <w:t>instructed by</w:t>
      </w:r>
      <w:r w:rsidR="00986F65">
        <w:rPr>
          <w:rFonts w:ascii="Arial" w:hAnsi="Arial" w:cs="Arial"/>
          <w:sz w:val="24"/>
          <w:szCs w:val="24"/>
        </w:rPr>
        <w:t xml:space="preserve"> J Weinberg of Telfer Inc.</w:t>
      </w:r>
    </w:p>
    <w:p w14:paraId="779AB613" w14:textId="381E1B84" w:rsidR="00636C6A" w:rsidRPr="00AB52EE" w:rsidRDefault="00636C6A" w:rsidP="00986F65">
      <w:pPr>
        <w:widowControl w:val="0"/>
        <w:autoSpaceDE w:val="0"/>
        <w:autoSpaceDN w:val="0"/>
        <w:adjustRightInd w:val="0"/>
        <w:spacing w:before="240" w:line="360" w:lineRule="auto"/>
        <w:ind w:left="3544" w:hanging="3544"/>
        <w:rPr>
          <w:rFonts w:ascii="Arial" w:hAnsi="Arial" w:cs="Arial"/>
          <w:sz w:val="24"/>
          <w:szCs w:val="24"/>
        </w:rPr>
      </w:pPr>
      <w:r w:rsidRPr="00AB52EE">
        <w:rPr>
          <w:rFonts w:ascii="Arial" w:hAnsi="Arial" w:cs="Arial"/>
          <w:sz w:val="24"/>
          <w:szCs w:val="24"/>
        </w:rPr>
        <w:t xml:space="preserve">For the </w:t>
      </w:r>
      <w:r w:rsidR="00986F65">
        <w:rPr>
          <w:rFonts w:ascii="Arial" w:hAnsi="Arial" w:cs="Arial"/>
          <w:sz w:val="24"/>
          <w:szCs w:val="24"/>
        </w:rPr>
        <w:t>1</w:t>
      </w:r>
      <w:r w:rsidR="00986F65" w:rsidRPr="00986F65">
        <w:rPr>
          <w:rFonts w:ascii="Arial" w:hAnsi="Arial" w:cs="Arial"/>
          <w:sz w:val="24"/>
          <w:szCs w:val="24"/>
          <w:vertAlign w:val="superscript"/>
        </w:rPr>
        <w:t>st</w:t>
      </w:r>
      <w:r w:rsidR="00986F65">
        <w:rPr>
          <w:rFonts w:ascii="Arial" w:hAnsi="Arial" w:cs="Arial"/>
          <w:sz w:val="24"/>
          <w:szCs w:val="24"/>
        </w:rPr>
        <w:t xml:space="preserve"> to 4</w:t>
      </w:r>
      <w:r w:rsidR="00986F65" w:rsidRPr="00986F65">
        <w:rPr>
          <w:rFonts w:ascii="Arial" w:hAnsi="Arial" w:cs="Arial"/>
          <w:sz w:val="24"/>
          <w:szCs w:val="24"/>
          <w:vertAlign w:val="superscript"/>
        </w:rPr>
        <w:t>th</w:t>
      </w:r>
      <w:r w:rsidR="00986F65">
        <w:rPr>
          <w:rFonts w:ascii="Arial" w:hAnsi="Arial" w:cs="Arial"/>
          <w:sz w:val="24"/>
          <w:szCs w:val="24"/>
        </w:rPr>
        <w:t xml:space="preserve"> </w:t>
      </w:r>
      <w:r w:rsidRPr="00AB52EE">
        <w:rPr>
          <w:rFonts w:ascii="Arial" w:hAnsi="Arial" w:cs="Arial"/>
          <w:sz w:val="24"/>
          <w:szCs w:val="24"/>
        </w:rPr>
        <w:t>respondents</w:t>
      </w:r>
      <w:r w:rsidR="00F35BCB" w:rsidRPr="00AB52EE">
        <w:rPr>
          <w:rFonts w:ascii="Arial" w:hAnsi="Arial" w:cs="Arial"/>
          <w:sz w:val="24"/>
          <w:szCs w:val="24"/>
        </w:rPr>
        <w:t>:</w:t>
      </w:r>
      <w:r w:rsidRPr="00AB52EE">
        <w:rPr>
          <w:rFonts w:ascii="Arial" w:hAnsi="Arial" w:cs="Arial"/>
          <w:sz w:val="24"/>
          <w:szCs w:val="24"/>
        </w:rPr>
        <w:tab/>
      </w:r>
      <w:r w:rsidR="00986F65">
        <w:rPr>
          <w:rFonts w:ascii="Arial" w:hAnsi="Arial" w:cs="Arial"/>
          <w:sz w:val="24"/>
          <w:szCs w:val="24"/>
        </w:rPr>
        <w:t xml:space="preserve">TM </w:t>
      </w:r>
      <w:proofErr w:type="spellStart"/>
      <w:r w:rsidR="00986F65">
        <w:rPr>
          <w:rFonts w:ascii="Arial" w:hAnsi="Arial" w:cs="Arial"/>
          <w:sz w:val="24"/>
          <w:szCs w:val="24"/>
        </w:rPr>
        <w:t>Khaba</w:t>
      </w:r>
      <w:proofErr w:type="spellEnd"/>
      <w:r w:rsidR="00986F65">
        <w:rPr>
          <w:rFonts w:ascii="Arial" w:hAnsi="Arial" w:cs="Arial"/>
          <w:sz w:val="24"/>
          <w:szCs w:val="24"/>
        </w:rPr>
        <w:t xml:space="preserve"> </w:t>
      </w:r>
      <w:r w:rsidRPr="00AB52EE">
        <w:rPr>
          <w:rFonts w:ascii="Arial" w:hAnsi="Arial" w:cs="Arial"/>
          <w:sz w:val="24"/>
          <w:szCs w:val="24"/>
        </w:rPr>
        <w:t xml:space="preserve">instructed by </w:t>
      </w:r>
      <w:bookmarkEnd w:id="3"/>
      <w:r w:rsidR="00986F65">
        <w:rPr>
          <w:rFonts w:ascii="Arial" w:hAnsi="Arial" w:cs="Arial"/>
          <w:sz w:val="24"/>
          <w:szCs w:val="24"/>
        </w:rPr>
        <w:t xml:space="preserve">S </w:t>
      </w:r>
      <w:proofErr w:type="spellStart"/>
      <w:r w:rsidR="00986F65">
        <w:rPr>
          <w:rFonts w:ascii="Arial" w:hAnsi="Arial" w:cs="Arial"/>
          <w:sz w:val="24"/>
          <w:szCs w:val="24"/>
        </w:rPr>
        <w:t>Lusenga</w:t>
      </w:r>
      <w:proofErr w:type="spellEnd"/>
      <w:r w:rsidR="00986F65">
        <w:rPr>
          <w:rFonts w:ascii="Arial" w:hAnsi="Arial" w:cs="Arial"/>
          <w:sz w:val="24"/>
          <w:szCs w:val="24"/>
        </w:rPr>
        <w:t xml:space="preserve"> of </w:t>
      </w:r>
      <w:proofErr w:type="spellStart"/>
      <w:r w:rsidR="00986F65">
        <w:rPr>
          <w:rFonts w:ascii="Arial" w:hAnsi="Arial" w:cs="Arial"/>
          <w:sz w:val="24"/>
          <w:szCs w:val="24"/>
        </w:rPr>
        <w:t>Lusenga</w:t>
      </w:r>
      <w:proofErr w:type="spellEnd"/>
      <w:r w:rsidR="00986F65">
        <w:rPr>
          <w:rFonts w:ascii="Arial" w:hAnsi="Arial" w:cs="Arial"/>
          <w:sz w:val="24"/>
          <w:szCs w:val="24"/>
        </w:rPr>
        <w:t xml:space="preserve"> </w:t>
      </w:r>
      <w:r w:rsidR="009126C0">
        <w:rPr>
          <w:rFonts w:ascii="Arial" w:hAnsi="Arial" w:cs="Arial"/>
          <w:sz w:val="24"/>
          <w:szCs w:val="24"/>
        </w:rPr>
        <w:t xml:space="preserve">Attorneys </w:t>
      </w:r>
      <w:r w:rsidR="00986F65">
        <w:rPr>
          <w:rFonts w:ascii="Arial" w:hAnsi="Arial" w:cs="Arial"/>
          <w:sz w:val="24"/>
          <w:szCs w:val="24"/>
        </w:rPr>
        <w:t>Inc.</w:t>
      </w:r>
    </w:p>
    <w:sectPr w:rsidR="00636C6A" w:rsidRPr="00AB52EE" w:rsidSect="002563C8">
      <w:headerReference w:type="even" r:id="rId10"/>
      <w:headerReference w:type="default" r:id="rId11"/>
      <w:pgSz w:w="11906" w:h="16838"/>
      <w:pgMar w:top="1440" w:right="1440" w:bottom="1276" w:left="144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1"/>
    </wne:keymap>
    <wne:keymap wne:kcmPrimary="0451">
      <wne:acd wne:acdName="acd2"/>
    </wne:keymap>
  </wne:keymaps>
  <wne:toolbars>
    <wne:acdManifest>
      <wne:acdEntry wne:acdName="acd0"/>
      <wne:acdEntry wne:acdName="acd1"/>
      <wne:acdEntry wne:acdName="acd2"/>
    </wne:acdManifest>
  </wne:toolbars>
  <wne:acds>
    <wne:acd wne:acdName="acd0" wne:fciIndexBasedOn="0065"/>
    <wne:acd wne:argValue="AgBMAEMAMgA=" wne:acdName="acd1" wne:fciIndexBasedOn="0065"/>
    <wne:acd wne:argValue="AgBMAEMAMQA=" wne:acdName="acd2"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19838" w14:textId="77777777" w:rsidR="00060567" w:rsidRDefault="00060567" w:rsidP="00D202C2">
      <w:pPr>
        <w:spacing w:line="240" w:lineRule="auto"/>
      </w:pPr>
      <w:r>
        <w:separator/>
      </w:r>
    </w:p>
  </w:endnote>
  <w:endnote w:type="continuationSeparator" w:id="0">
    <w:p w14:paraId="3DEF2BB0" w14:textId="77777777" w:rsidR="00060567" w:rsidRDefault="00060567" w:rsidP="00D20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49F26" w14:textId="77777777" w:rsidR="00060567" w:rsidRDefault="00060567" w:rsidP="00D202C2">
      <w:pPr>
        <w:spacing w:line="240" w:lineRule="auto"/>
      </w:pPr>
      <w:r>
        <w:separator/>
      </w:r>
    </w:p>
  </w:footnote>
  <w:footnote w:type="continuationSeparator" w:id="0">
    <w:p w14:paraId="4AF4BFAD" w14:textId="77777777" w:rsidR="00060567" w:rsidRDefault="00060567" w:rsidP="00D202C2">
      <w:pPr>
        <w:spacing w:line="240" w:lineRule="auto"/>
      </w:pPr>
      <w:r>
        <w:continuationSeparator/>
      </w:r>
    </w:p>
  </w:footnote>
  <w:footnote w:id="1">
    <w:p w14:paraId="4D2083A3" w14:textId="77777777" w:rsidR="00A744B7" w:rsidRDefault="00A744B7" w:rsidP="00A744B7">
      <w:pPr>
        <w:pStyle w:val="FootnoteText"/>
      </w:pPr>
      <w:r>
        <w:rPr>
          <w:rStyle w:val="FootnoteReference"/>
        </w:rPr>
        <w:footnoteRef/>
      </w:r>
      <w:r>
        <w:t xml:space="preserve"> </w:t>
      </w:r>
      <w:r w:rsidRPr="00216C5E">
        <w:rPr>
          <w:i/>
          <w:iCs/>
        </w:rPr>
        <w:t>Mighty Solutions CC v Engen Petroleum Ltd</w:t>
      </w:r>
      <w:r w:rsidRPr="00216C5E">
        <w:t xml:space="preserve"> 2016 (1) SA 621 (CC)</w:t>
      </w:r>
      <w:r>
        <w:t>.</w:t>
      </w:r>
    </w:p>
  </w:footnote>
  <w:footnote w:id="2">
    <w:p w14:paraId="33DCF476" w14:textId="20B9D08D" w:rsidR="00BF5350" w:rsidRDefault="00BF5350" w:rsidP="00051931">
      <w:pPr>
        <w:pStyle w:val="FootnoteText"/>
      </w:pPr>
      <w:r>
        <w:rPr>
          <w:rStyle w:val="FootnoteReference"/>
        </w:rPr>
        <w:footnoteRef/>
      </w:r>
      <w:r>
        <w:t xml:space="preserve"> </w:t>
      </w:r>
      <w:r w:rsidR="00051931" w:rsidRPr="00051931">
        <w:rPr>
          <w:i/>
          <w:iCs/>
        </w:rPr>
        <w:t>Passenger Rail Agency of South Africa Soc Ltd (PRASA) v Sheriff for the District of Goodwood and others</w:t>
      </w:r>
      <w:r w:rsidR="00051931">
        <w:t xml:space="preserve"> [2019] JOL 40989 (LC) para 12; </w:t>
      </w:r>
      <w:proofErr w:type="spellStart"/>
      <w:r w:rsidR="00051931" w:rsidRPr="00051931">
        <w:rPr>
          <w:i/>
          <w:iCs/>
        </w:rPr>
        <w:t>Chillibush</w:t>
      </w:r>
      <w:proofErr w:type="spellEnd"/>
      <w:r w:rsidR="00051931" w:rsidRPr="00051931">
        <w:rPr>
          <w:i/>
          <w:iCs/>
        </w:rPr>
        <w:t xml:space="preserve"> Communications (Pty) Ltd v Gericke &amp; others</w:t>
      </w:r>
      <w:r w:rsidR="00051931">
        <w:t xml:space="preserve"> [2010] JOL 24799 (LC) para 18; </w:t>
      </w:r>
      <w:proofErr w:type="spellStart"/>
      <w:r w:rsidR="00051931" w:rsidRPr="00051931">
        <w:rPr>
          <w:i/>
          <w:iCs/>
        </w:rPr>
        <w:t>Robor</w:t>
      </w:r>
      <w:proofErr w:type="spellEnd"/>
      <w:r w:rsidR="00051931" w:rsidRPr="00051931">
        <w:rPr>
          <w:i/>
          <w:iCs/>
        </w:rPr>
        <w:t xml:space="preserve"> (Pty) Ltd (Tube Division) v Joubert &amp; others</w:t>
      </w:r>
      <w:r w:rsidR="00051931">
        <w:t xml:space="preserve"> [2009] JOL 23568 (LC) paras 9 to 11.</w:t>
      </w:r>
    </w:p>
  </w:footnote>
  <w:footnote w:id="3">
    <w:p w14:paraId="6A543FDE" w14:textId="53374F4B" w:rsidR="00051931" w:rsidRDefault="00051931" w:rsidP="007D0E1A">
      <w:pPr>
        <w:pStyle w:val="FootnoteText"/>
      </w:pPr>
      <w:r>
        <w:rPr>
          <w:rStyle w:val="FootnoteReference"/>
        </w:rPr>
        <w:footnoteRef/>
      </w:r>
      <w:r>
        <w:t xml:space="preserve"> </w:t>
      </w:r>
      <w:r w:rsidR="00740FB9" w:rsidRPr="00740FB9">
        <w:rPr>
          <w:i/>
          <w:iCs/>
        </w:rPr>
        <w:t xml:space="preserve">Erasmus v </w:t>
      </w:r>
      <w:proofErr w:type="spellStart"/>
      <w:r w:rsidR="00740FB9" w:rsidRPr="00740FB9">
        <w:rPr>
          <w:i/>
          <w:iCs/>
        </w:rPr>
        <w:t>Sentraalwes</w:t>
      </w:r>
      <w:proofErr w:type="spellEnd"/>
      <w:r w:rsidR="00740FB9" w:rsidRPr="00740FB9">
        <w:rPr>
          <w:i/>
          <w:iCs/>
        </w:rPr>
        <w:t xml:space="preserve"> </w:t>
      </w:r>
      <w:proofErr w:type="spellStart"/>
      <w:r w:rsidR="00740FB9" w:rsidRPr="00740FB9">
        <w:rPr>
          <w:i/>
          <w:iCs/>
        </w:rPr>
        <w:t>Kooperasie</w:t>
      </w:r>
      <w:proofErr w:type="spellEnd"/>
      <w:r w:rsidR="00740FB9" w:rsidRPr="00740FB9">
        <w:rPr>
          <w:i/>
          <w:iCs/>
        </w:rPr>
        <w:t xml:space="preserve"> </w:t>
      </w:r>
      <w:proofErr w:type="spellStart"/>
      <w:r w:rsidR="00740FB9" w:rsidRPr="00740FB9">
        <w:rPr>
          <w:i/>
          <w:iCs/>
        </w:rPr>
        <w:t>Bpk</w:t>
      </w:r>
      <w:proofErr w:type="spellEnd"/>
      <w:r w:rsidR="00740FB9" w:rsidRPr="00740FB9">
        <w:t xml:space="preserve"> [1997] 4 All SA 303 (O)</w:t>
      </w:r>
      <w:r w:rsidR="007D0E1A">
        <w:t xml:space="preserve">; </w:t>
      </w:r>
      <w:r w:rsidR="007D0E1A" w:rsidRPr="007D0E1A">
        <w:rPr>
          <w:i/>
          <w:iCs/>
        </w:rPr>
        <w:t>Road Accident Fund v Strydom</w:t>
      </w:r>
      <w:r w:rsidR="007D0E1A">
        <w:t xml:space="preserve"> 2001 (1) SA 292 (C)</w:t>
      </w:r>
      <w:r w:rsidR="00772AE2">
        <w:t>.</w:t>
      </w:r>
      <w:r w:rsidR="00740FB9" w:rsidRPr="00740FB9">
        <w:t xml:space="preserve"> </w:t>
      </w:r>
    </w:p>
  </w:footnote>
  <w:footnote w:id="4">
    <w:p w14:paraId="030BD44B" w14:textId="28DB2FF0" w:rsidR="00740FB9" w:rsidRDefault="00740FB9">
      <w:pPr>
        <w:pStyle w:val="FootnoteText"/>
      </w:pPr>
      <w:r>
        <w:rPr>
          <w:rStyle w:val="FootnoteReference"/>
        </w:rPr>
        <w:footnoteRef/>
      </w:r>
      <w:r>
        <w:t xml:space="preserve"> </w:t>
      </w:r>
      <w:proofErr w:type="spellStart"/>
      <w:r w:rsidRPr="00740FB9">
        <w:rPr>
          <w:i/>
          <w:iCs/>
        </w:rPr>
        <w:t>Strime</w:t>
      </w:r>
      <w:proofErr w:type="spellEnd"/>
      <w:r w:rsidRPr="00740FB9">
        <w:rPr>
          <w:i/>
          <w:iCs/>
        </w:rPr>
        <w:t xml:space="preserve"> v </w:t>
      </w:r>
      <w:proofErr w:type="spellStart"/>
      <w:r w:rsidRPr="00740FB9">
        <w:rPr>
          <w:i/>
          <w:iCs/>
        </w:rPr>
        <w:t>Strime</w:t>
      </w:r>
      <w:proofErr w:type="spellEnd"/>
      <w:r w:rsidRPr="00740FB9">
        <w:t xml:space="preserve"> 1983 (4) SA 850 (C)</w:t>
      </w:r>
      <w:r>
        <w:t xml:space="preserve"> at 852A</w:t>
      </w:r>
      <w:r w:rsidR="007D0E1A">
        <w:t xml:space="preserve">; </w:t>
      </w:r>
      <w:r w:rsidR="007D0E1A" w:rsidRPr="00772AE2">
        <w:rPr>
          <w:i/>
          <w:iCs/>
        </w:rPr>
        <w:t>Santam Ltd v Norman</w:t>
      </w:r>
      <w:r w:rsidR="007D0E1A" w:rsidRPr="007D0E1A">
        <w:t xml:space="preserve"> 1996 (3) SA 502 (C)</w:t>
      </w:r>
      <w:r w:rsidR="007D0E1A">
        <w:t xml:space="preserve"> at 505E-F.</w:t>
      </w:r>
    </w:p>
  </w:footnote>
  <w:footnote w:id="5">
    <w:p w14:paraId="0AF18F93" w14:textId="1D119B48" w:rsidR="00263562" w:rsidRPr="00F42884" w:rsidRDefault="00263562">
      <w:pPr>
        <w:pStyle w:val="FootnoteText"/>
        <w:rPr>
          <w:lang w:val="fr-FR"/>
        </w:rPr>
      </w:pPr>
      <w:r>
        <w:rPr>
          <w:rStyle w:val="FootnoteReference"/>
        </w:rPr>
        <w:footnoteRef/>
      </w:r>
      <w:r w:rsidRPr="00F42884">
        <w:rPr>
          <w:lang w:val="fr-FR"/>
        </w:rPr>
        <w:t xml:space="preserve"> </w:t>
      </w:r>
      <w:proofErr w:type="spellStart"/>
      <w:r w:rsidRPr="00F42884">
        <w:rPr>
          <w:i/>
          <w:iCs/>
          <w:lang w:val="fr-FR"/>
        </w:rPr>
        <w:t>Mokone</w:t>
      </w:r>
      <w:proofErr w:type="spellEnd"/>
      <w:r w:rsidRPr="00F42884">
        <w:rPr>
          <w:i/>
          <w:iCs/>
          <w:lang w:val="fr-FR"/>
        </w:rPr>
        <w:t xml:space="preserve"> v </w:t>
      </w:r>
      <w:proofErr w:type="spellStart"/>
      <w:r w:rsidRPr="00F42884">
        <w:rPr>
          <w:i/>
          <w:iCs/>
          <w:lang w:val="fr-FR"/>
        </w:rPr>
        <w:t>Tassos</w:t>
      </w:r>
      <w:proofErr w:type="spellEnd"/>
      <w:r w:rsidRPr="00F42884">
        <w:rPr>
          <w:i/>
          <w:iCs/>
          <w:lang w:val="fr-FR"/>
        </w:rPr>
        <w:t xml:space="preserve"> </w:t>
      </w:r>
      <w:proofErr w:type="spellStart"/>
      <w:r w:rsidRPr="00F42884">
        <w:rPr>
          <w:i/>
          <w:iCs/>
          <w:lang w:val="fr-FR"/>
        </w:rPr>
        <w:t>Properties</w:t>
      </w:r>
      <w:proofErr w:type="spellEnd"/>
      <w:r w:rsidRPr="00F42884">
        <w:rPr>
          <w:i/>
          <w:iCs/>
          <w:lang w:val="fr-FR"/>
        </w:rPr>
        <w:t xml:space="preserve"> CC</w:t>
      </w:r>
      <w:r w:rsidRPr="00F42884">
        <w:rPr>
          <w:lang w:val="fr-FR"/>
        </w:rPr>
        <w:t xml:space="preserve"> 2017 (5) SA 456 (CC) paras 66 </w:t>
      </w:r>
      <w:r w:rsidR="00215356" w:rsidRPr="00F42884">
        <w:rPr>
          <w:lang w:val="fr-FR"/>
        </w:rPr>
        <w:t>–</w:t>
      </w:r>
      <w:r w:rsidRPr="00F42884">
        <w:rPr>
          <w:lang w:val="fr-FR"/>
        </w:rPr>
        <w:t xml:space="preserve"> 69</w:t>
      </w:r>
      <w:r w:rsidR="00215356" w:rsidRPr="00F42884">
        <w:rPr>
          <w:lang w:val="fr-FR"/>
        </w:rPr>
        <w:t>.</w:t>
      </w:r>
    </w:p>
  </w:footnote>
  <w:footnote w:id="6">
    <w:p w14:paraId="501085A0" w14:textId="7690DDDA" w:rsidR="009A2533" w:rsidRDefault="009A2533">
      <w:pPr>
        <w:pStyle w:val="FootnoteText"/>
      </w:pPr>
      <w:r>
        <w:rPr>
          <w:rStyle w:val="FootnoteReference"/>
        </w:rPr>
        <w:footnoteRef/>
      </w:r>
      <w:r>
        <w:t xml:space="preserve"> </w:t>
      </w:r>
      <w:r w:rsidRPr="009A2533">
        <w:rPr>
          <w:i/>
          <w:iCs/>
        </w:rPr>
        <w:t>Mighty Solutions</w:t>
      </w:r>
      <w:r>
        <w:t xml:space="preserve"> (above) para 31.</w:t>
      </w:r>
      <w:r w:rsidR="000F35C5">
        <w:t xml:space="preserve"> For the same reason, I am unmoved by La Vie’s protestations that the KCC acted improperly in failing to refer in its founding affidavit in the eviction </w:t>
      </w:r>
      <w:r w:rsidR="00267ADF">
        <w:rPr>
          <w:rFonts w:cs="Arial"/>
        </w:rPr>
        <w:t xml:space="preserve">and payment </w:t>
      </w:r>
      <w:r w:rsidR="000F35C5">
        <w:t xml:space="preserve">application to the fact that COJ had purportedly cancelled its notarial leases before the application was launched. </w:t>
      </w:r>
    </w:p>
  </w:footnote>
  <w:footnote w:id="7">
    <w:p w14:paraId="153F2E98" w14:textId="309A5A3A" w:rsidR="000300A3" w:rsidRDefault="000300A3" w:rsidP="000300A3">
      <w:pPr>
        <w:pStyle w:val="FootnoteText"/>
      </w:pPr>
      <w:r>
        <w:rPr>
          <w:rStyle w:val="FootnoteReference"/>
        </w:rPr>
        <w:footnoteRef/>
      </w:r>
      <w:r>
        <w:t xml:space="preserve"> </w:t>
      </w:r>
      <w:r w:rsidRPr="000300A3">
        <w:rPr>
          <w:i/>
          <w:iCs/>
        </w:rPr>
        <w:t>Kala Singh v Germiston Municipality</w:t>
      </w:r>
      <w:r>
        <w:t xml:space="preserve"> 1912 TPD 155 at 159 – 160, approved in </w:t>
      </w:r>
      <w:r w:rsidR="00231FEC" w:rsidRPr="00231FEC">
        <w:rPr>
          <w:i/>
          <w:iCs/>
        </w:rPr>
        <w:t>Mighty Solutions</w:t>
      </w:r>
      <w:r w:rsidR="00231FEC">
        <w:t xml:space="preserve"> (above) para 29.</w:t>
      </w:r>
    </w:p>
  </w:footnote>
  <w:footnote w:id="8">
    <w:p w14:paraId="573F6416" w14:textId="66E2A997" w:rsidR="002A44FC" w:rsidRDefault="002A44FC">
      <w:pPr>
        <w:pStyle w:val="FootnoteText"/>
      </w:pPr>
      <w:r>
        <w:rPr>
          <w:rStyle w:val="FootnoteReference"/>
        </w:rPr>
        <w:footnoteRef/>
      </w:r>
      <w:r>
        <w:t xml:space="preserve"> Compare </w:t>
      </w:r>
      <w:r w:rsidRPr="002A44FC">
        <w:rPr>
          <w:i/>
          <w:iCs/>
        </w:rPr>
        <w:t>Gründling v Beyers and Others</w:t>
      </w:r>
      <w:r w:rsidRPr="002A44FC">
        <w:t xml:space="preserve"> 1967 (2) SA 131 (W) at 139H–140 and 145B</w:t>
      </w:r>
      <w:r w:rsidR="00F42884">
        <w:t>–</w:t>
      </w:r>
      <w:r w:rsidRPr="002A44FC">
        <w:t xml:space="preserve">C, applying </w:t>
      </w:r>
      <w:r w:rsidRPr="002A44FC">
        <w:rPr>
          <w:i/>
          <w:iCs/>
        </w:rPr>
        <w:t>Mine Workers’ Union v Prinsloo</w:t>
      </w:r>
      <w:r w:rsidRPr="002A44FC">
        <w:t xml:space="preserve"> 1948 (3) SA 831 (A)</w:t>
      </w:r>
      <w:r w:rsidR="001B62DF">
        <w:t>.</w:t>
      </w:r>
    </w:p>
  </w:footnote>
  <w:footnote w:id="9">
    <w:p w14:paraId="28E87655" w14:textId="2BAA78E9" w:rsidR="009D7982" w:rsidRDefault="009D7982">
      <w:pPr>
        <w:pStyle w:val="FootnoteText"/>
      </w:pPr>
      <w:r>
        <w:rPr>
          <w:rStyle w:val="FootnoteReference"/>
        </w:rPr>
        <w:footnoteRef/>
      </w:r>
      <w:r>
        <w:t xml:space="preserve"> There is no </w:t>
      </w:r>
      <w:r w:rsidRPr="009D7982">
        <w:rPr>
          <w:i/>
          <w:iCs/>
        </w:rPr>
        <w:t>vinculum iuris</w:t>
      </w:r>
      <w:r>
        <w:t xml:space="preserve"> between them: </w:t>
      </w:r>
      <w:r w:rsidRPr="009D7982">
        <w:rPr>
          <w:i/>
          <w:iCs/>
        </w:rPr>
        <w:t xml:space="preserve">Sweets from Heaven (Pty) Ltd v </w:t>
      </w:r>
      <w:proofErr w:type="spellStart"/>
      <w:r w:rsidRPr="009D7982">
        <w:rPr>
          <w:i/>
          <w:iCs/>
        </w:rPr>
        <w:t>Ster</w:t>
      </w:r>
      <w:proofErr w:type="spellEnd"/>
      <w:r w:rsidRPr="009D7982">
        <w:rPr>
          <w:i/>
          <w:iCs/>
        </w:rPr>
        <w:t xml:space="preserve"> </w:t>
      </w:r>
      <w:proofErr w:type="spellStart"/>
      <w:r w:rsidRPr="009D7982">
        <w:rPr>
          <w:i/>
          <w:iCs/>
        </w:rPr>
        <w:t>Kinekor</w:t>
      </w:r>
      <w:proofErr w:type="spellEnd"/>
      <w:r w:rsidRPr="009D7982">
        <w:rPr>
          <w:i/>
          <w:iCs/>
        </w:rPr>
        <w:t xml:space="preserve"> Films (Pty) Ltd</w:t>
      </w:r>
      <w:r w:rsidRPr="009D7982">
        <w:t xml:space="preserve"> 1999 </w:t>
      </w:r>
      <w:r>
        <w:t>(</w:t>
      </w:r>
      <w:r w:rsidRPr="009D7982">
        <w:t>1</w:t>
      </w:r>
      <w:r>
        <w:t>)</w:t>
      </w:r>
      <w:r w:rsidRPr="009D7982">
        <w:t xml:space="preserve"> SA 796 (W) </w:t>
      </w:r>
      <w:r>
        <w:t xml:space="preserve">para 6. </w:t>
      </w:r>
    </w:p>
  </w:footnote>
  <w:footnote w:id="10">
    <w:p w14:paraId="20451116" w14:textId="6A59EBE3" w:rsidR="009A2533" w:rsidRDefault="009A2533" w:rsidP="00F565C1">
      <w:pPr>
        <w:pStyle w:val="FootnoteText"/>
      </w:pPr>
      <w:r>
        <w:rPr>
          <w:rStyle w:val="FootnoteReference"/>
        </w:rPr>
        <w:footnoteRef/>
      </w:r>
      <w:r>
        <w:t xml:space="preserve"> This was </w:t>
      </w:r>
      <w:r w:rsidR="00CD454A">
        <w:t xml:space="preserve">effectively </w:t>
      </w:r>
      <w:r>
        <w:t xml:space="preserve">the situation that arose in </w:t>
      </w:r>
      <w:r w:rsidR="00F565C1" w:rsidRPr="00F565C1">
        <w:rPr>
          <w:i/>
          <w:iCs/>
        </w:rPr>
        <w:t xml:space="preserve">Ummi Properties (Pty) Ltd v </w:t>
      </w:r>
      <w:proofErr w:type="spellStart"/>
      <w:r w:rsidR="00F565C1" w:rsidRPr="00F565C1">
        <w:rPr>
          <w:i/>
          <w:iCs/>
        </w:rPr>
        <w:t>Cowsta</w:t>
      </w:r>
      <w:proofErr w:type="spellEnd"/>
      <w:r w:rsidR="00F565C1" w:rsidRPr="00F565C1">
        <w:rPr>
          <w:i/>
          <w:iCs/>
        </w:rPr>
        <w:t xml:space="preserve"> </w:t>
      </w:r>
      <w:proofErr w:type="spellStart"/>
      <w:r w:rsidR="00F565C1" w:rsidRPr="00F565C1">
        <w:rPr>
          <w:i/>
          <w:iCs/>
        </w:rPr>
        <w:t>Beleggings</w:t>
      </w:r>
      <w:proofErr w:type="spellEnd"/>
      <w:r w:rsidR="00F565C1" w:rsidRPr="00F565C1">
        <w:rPr>
          <w:i/>
          <w:iCs/>
        </w:rPr>
        <w:t xml:space="preserve"> (Pty) Ltd &amp; another</w:t>
      </w:r>
      <w:r w:rsidR="00F565C1">
        <w:t xml:space="preserve"> [2010] JOL 25103 (ECP)</w:t>
      </w:r>
      <w:r>
        <w:t>, to w</w:t>
      </w:r>
      <w:r w:rsidR="00F565C1">
        <w:t>h</w:t>
      </w:r>
      <w:r>
        <w:t>ich</w:t>
      </w:r>
      <w:r w:rsidR="00F565C1">
        <w:t xml:space="preserve"> La Vie’s counsel referred me. </w:t>
      </w:r>
      <w:r w:rsidR="00CD454A">
        <w:t xml:space="preserve">In any event, even if the COJ had taken that approach, it is not </w:t>
      </w:r>
      <w:r w:rsidR="00294DA1">
        <w:t xml:space="preserve">obvious </w:t>
      </w:r>
      <w:r w:rsidR="00CD454A">
        <w:t xml:space="preserve">to me that </w:t>
      </w:r>
      <w:r w:rsidR="00294DA1">
        <w:t xml:space="preserve">a </w:t>
      </w:r>
      <w:r w:rsidR="00CD454A">
        <w:t xml:space="preserve">declaration of nullity would necessarily be retrospective or render the sublease void </w:t>
      </w:r>
      <w:r w:rsidR="00CD454A" w:rsidRPr="001B62DF">
        <w:rPr>
          <w:i/>
          <w:iCs/>
        </w:rPr>
        <w:t>ab initio</w:t>
      </w:r>
      <w:r w:rsidR="00294DA1">
        <w:t xml:space="preserve">. In my view, it such an order would more appropriately be </w:t>
      </w:r>
      <w:r w:rsidR="00CD454A">
        <w:t>prospective</w:t>
      </w:r>
      <w:r w:rsidR="00294DA1">
        <w:t xml:space="preserve"> only, but I am not required to decide this issue.</w:t>
      </w:r>
    </w:p>
  </w:footnote>
  <w:footnote w:id="11">
    <w:p w14:paraId="7D3E2CA8" w14:textId="09E874BD" w:rsidR="00F565C1" w:rsidRDefault="00F565C1">
      <w:pPr>
        <w:pStyle w:val="FootnoteText"/>
      </w:pPr>
      <w:r>
        <w:rPr>
          <w:rStyle w:val="FootnoteReference"/>
        </w:rPr>
        <w:footnoteRef/>
      </w:r>
      <w:r>
        <w:t xml:space="preserve"> Harms</w:t>
      </w:r>
      <w:r w:rsidR="002563C8">
        <w:t>, LTC</w:t>
      </w:r>
      <w:r>
        <w:t xml:space="preserve"> </w:t>
      </w:r>
      <w:r w:rsidRPr="002563C8">
        <w:rPr>
          <w:u w:val="single"/>
        </w:rPr>
        <w:t>Amler’s Precedents of Pleadings</w:t>
      </w:r>
      <w:r>
        <w:t>. 9 ed. (2018, LexisNexis) p</w:t>
      </w:r>
      <w:r w:rsidR="002563C8">
        <w:t>.</w:t>
      </w:r>
      <w:r>
        <w:t xml:space="preserve"> 251, </w:t>
      </w:r>
      <w:r w:rsidR="008561B1">
        <w:t>r</w:t>
      </w:r>
      <w:r>
        <w:t xml:space="preserve">eferring to </w:t>
      </w:r>
      <w:r w:rsidRPr="00F565C1">
        <w:rPr>
          <w:i/>
          <w:iCs/>
        </w:rPr>
        <w:t>Nestlé (SA) (Pty) Ltd v Mars Inc</w:t>
      </w:r>
      <w:r w:rsidRPr="00F565C1">
        <w:t xml:space="preserve"> 2001 (4) SA 542 (SCA)</w:t>
      </w:r>
      <w:r>
        <w:t>.</w:t>
      </w:r>
    </w:p>
  </w:footnote>
  <w:footnote w:id="12">
    <w:p w14:paraId="1AAEB72E" w14:textId="1D0A223D" w:rsidR="008561B1" w:rsidRPr="00F42884" w:rsidRDefault="008561B1">
      <w:pPr>
        <w:pStyle w:val="FootnoteText"/>
        <w:rPr>
          <w:lang w:val="fr-FR"/>
        </w:rPr>
      </w:pPr>
      <w:r>
        <w:rPr>
          <w:rStyle w:val="FootnoteReference"/>
        </w:rPr>
        <w:footnoteRef/>
      </w:r>
      <w:r w:rsidRPr="00F42884">
        <w:rPr>
          <w:lang w:val="fr-FR"/>
        </w:rPr>
        <w:t xml:space="preserve"> C</w:t>
      </w:r>
      <w:r w:rsidR="00F42884">
        <w:rPr>
          <w:lang w:val="fr-FR"/>
        </w:rPr>
        <w:t>f.</w:t>
      </w:r>
      <w:r w:rsidRPr="00F42884">
        <w:rPr>
          <w:lang w:val="fr-FR"/>
        </w:rPr>
        <w:t xml:space="preserve"> </w:t>
      </w:r>
      <w:proofErr w:type="spellStart"/>
      <w:r w:rsidRPr="00F42884">
        <w:rPr>
          <w:i/>
          <w:iCs/>
          <w:lang w:val="fr-FR"/>
        </w:rPr>
        <w:t>Minister</w:t>
      </w:r>
      <w:proofErr w:type="spellEnd"/>
      <w:r w:rsidRPr="00F42884">
        <w:rPr>
          <w:i/>
          <w:iCs/>
          <w:lang w:val="fr-FR"/>
        </w:rPr>
        <w:t xml:space="preserve"> of Justice &amp; Constitutional Dev v SA Litigation Centre</w:t>
      </w:r>
      <w:r w:rsidRPr="00F42884">
        <w:rPr>
          <w:lang w:val="fr-FR"/>
        </w:rPr>
        <w:t xml:space="preserve"> 2016 (3) SA 317 (SCA) para 107.</w:t>
      </w:r>
    </w:p>
  </w:footnote>
  <w:footnote w:id="13">
    <w:p w14:paraId="4CFC5D2F" w14:textId="4BE721D4" w:rsidR="006F217D" w:rsidRDefault="006F217D">
      <w:pPr>
        <w:pStyle w:val="FootnoteText"/>
      </w:pPr>
      <w:r>
        <w:rPr>
          <w:rStyle w:val="FootnoteReference"/>
        </w:rPr>
        <w:footnoteRef/>
      </w:r>
      <w:r>
        <w:t xml:space="preserve"> </w:t>
      </w:r>
      <w:proofErr w:type="spellStart"/>
      <w:r w:rsidRPr="006F217D">
        <w:rPr>
          <w:i/>
          <w:iCs/>
        </w:rPr>
        <w:t>Lekup</w:t>
      </w:r>
      <w:proofErr w:type="spellEnd"/>
      <w:r w:rsidRPr="006F217D">
        <w:rPr>
          <w:i/>
          <w:iCs/>
        </w:rPr>
        <w:t xml:space="preserve"> Prop Co No 4 (Pty) Ltd v Wright</w:t>
      </w:r>
      <w:r w:rsidRPr="006F217D">
        <w:t xml:space="preserve"> 2012 (5) SA 246 (SCA) para 32</w:t>
      </w:r>
      <w:r w:rsidR="0009165F">
        <w:t>.</w:t>
      </w:r>
    </w:p>
  </w:footnote>
  <w:footnote w:id="14">
    <w:p w14:paraId="6AD71141" w14:textId="47B6D3C6" w:rsidR="00934EC0" w:rsidRPr="00F42884" w:rsidRDefault="00934EC0">
      <w:pPr>
        <w:pStyle w:val="FootnoteText"/>
        <w:rPr>
          <w:lang w:val="fr-FR"/>
        </w:rPr>
      </w:pPr>
      <w:r>
        <w:rPr>
          <w:rStyle w:val="FootnoteReference"/>
        </w:rPr>
        <w:footnoteRef/>
      </w:r>
      <w:r w:rsidRPr="00F42884">
        <w:rPr>
          <w:lang w:val="fr-FR"/>
        </w:rPr>
        <w:t xml:space="preserve"> </w:t>
      </w:r>
      <w:r w:rsidR="0009165F" w:rsidRPr="00F42884">
        <w:rPr>
          <w:i/>
          <w:iCs/>
          <w:lang w:val="fr-FR"/>
        </w:rPr>
        <w:t>EFF v Manuel</w:t>
      </w:r>
      <w:r w:rsidR="0009165F" w:rsidRPr="00F42884">
        <w:rPr>
          <w:lang w:val="fr-FR"/>
        </w:rPr>
        <w:t xml:space="preserve"> 2021 (3) SA 425 (SCA) para 133.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8AC33" w14:textId="77777777" w:rsidR="00FC0780" w:rsidRDefault="00FC0780">
    <w:pPr>
      <w:pStyle w:val="Header"/>
    </w:pPr>
  </w:p>
  <w:p w14:paraId="6310E163" w14:textId="77777777" w:rsidR="0034019B" w:rsidRDefault="0034019B"/>
  <w:p w14:paraId="41ECA29C" w14:textId="77777777" w:rsidR="00DE4DCB" w:rsidRDefault="00DE4DC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6C47E" w14:textId="3AACD399" w:rsidR="00DE4DCB" w:rsidRPr="008B50FE" w:rsidRDefault="00FC0780" w:rsidP="008B50FE">
    <w:pPr>
      <w:pStyle w:val="Header"/>
      <w:jc w:val="right"/>
      <w:rPr>
        <w:rFonts w:ascii="Arial" w:hAnsi="Arial" w:cs="Arial"/>
        <w:sz w:val="24"/>
        <w:szCs w:val="24"/>
      </w:rPr>
    </w:pPr>
    <w:r w:rsidRPr="007405CA">
      <w:rPr>
        <w:rFonts w:ascii="Arial" w:hAnsi="Arial" w:cs="Arial"/>
        <w:sz w:val="24"/>
        <w:szCs w:val="24"/>
      </w:rPr>
      <w:fldChar w:fldCharType="begin"/>
    </w:r>
    <w:r w:rsidRPr="007405CA">
      <w:rPr>
        <w:rFonts w:ascii="Arial" w:hAnsi="Arial" w:cs="Arial"/>
        <w:sz w:val="24"/>
        <w:szCs w:val="24"/>
      </w:rPr>
      <w:instrText xml:space="preserve"> PAGE   \* MERGEFORMAT </w:instrText>
    </w:r>
    <w:r w:rsidRPr="007405CA">
      <w:rPr>
        <w:rFonts w:ascii="Arial" w:hAnsi="Arial" w:cs="Arial"/>
        <w:sz w:val="24"/>
        <w:szCs w:val="24"/>
      </w:rPr>
      <w:fldChar w:fldCharType="separate"/>
    </w:r>
    <w:r w:rsidR="00EB7E8C">
      <w:rPr>
        <w:rFonts w:ascii="Arial" w:hAnsi="Arial" w:cs="Arial"/>
        <w:noProof/>
        <w:sz w:val="24"/>
        <w:szCs w:val="24"/>
      </w:rPr>
      <w:t>24</w:t>
    </w:r>
    <w:r w:rsidRPr="007405CA">
      <w:rP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19B09B3"/>
    <w:multiLevelType w:val="hybridMultilevel"/>
    <w:tmpl w:val="37729AE0"/>
    <w:lvl w:ilvl="0" w:tplc="CE541D46">
      <w:start w:val="1"/>
      <w:numFmt w:val="decimal"/>
      <w:pStyle w:val="LC1"/>
      <w:lvlText w:val="[%1]"/>
      <w:lvlJc w:val="left"/>
      <w:pPr>
        <w:ind w:left="720" w:hanging="360"/>
      </w:pPr>
      <w:rPr>
        <w:rFonts w:ascii="Arial" w:hAnsi="Arial" w:cs="Arial" w:hint="default"/>
        <w:b w:val="0"/>
        <w:i w:val="0"/>
        <w:iCs w:val="0"/>
        <w:sz w:val="24"/>
        <w:szCs w:val="24"/>
      </w:rPr>
    </w:lvl>
    <w:lvl w:ilvl="1" w:tplc="85964766">
      <w:start w:val="1"/>
      <w:numFmt w:val="lowerLetter"/>
      <w:pStyle w:val="LC2"/>
      <w:lvlText w:val="(%2)"/>
      <w:lvlJc w:val="left"/>
      <w:pPr>
        <w:ind w:left="1440" w:hanging="360"/>
      </w:pPr>
      <w:rPr>
        <w:rFonts w:hint="default"/>
      </w:rPr>
    </w:lvl>
    <w:lvl w:ilvl="2" w:tplc="1C09001B">
      <w:start w:val="1"/>
      <w:numFmt w:val="lowerRoman"/>
      <w:lvlText w:val="%3."/>
      <w:lvlJc w:val="right"/>
      <w:pPr>
        <w:ind w:left="2160" w:hanging="180"/>
      </w:pPr>
    </w:lvl>
    <w:lvl w:ilvl="3" w:tplc="342CFB9A">
      <w:start w:val="1"/>
      <w:numFmt w:val="decimal"/>
      <w:pStyle w:val="ORDER"/>
      <w:lvlText w:val="%4."/>
      <w:lvlJc w:val="left"/>
      <w:pPr>
        <w:ind w:left="2880" w:hanging="360"/>
      </w:pPr>
    </w:lvl>
    <w:lvl w:ilvl="4" w:tplc="16340702">
      <w:start w:val="1"/>
      <w:numFmt w:val="lowerLetter"/>
      <w:pStyle w:val="ORDERa"/>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6143C46"/>
    <w:multiLevelType w:val="multilevel"/>
    <w:tmpl w:val="50322838"/>
    <w:lvl w:ilvl="0">
      <w:start w:val="1"/>
      <w:numFmt w:val="decimal"/>
      <w:pStyle w:val="Style1"/>
      <w:lvlText w:val="%1."/>
      <w:lvlJc w:val="left"/>
      <w:pPr>
        <w:tabs>
          <w:tab w:val="num" w:pos="720"/>
        </w:tabs>
        <w:ind w:left="720" w:hanging="720"/>
      </w:pPr>
      <w:rPr>
        <w:rFonts w:hint="default"/>
        <w:b w:val="0"/>
        <w:sz w:val="24"/>
        <w:szCs w:val="24"/>
      </w:rPr>
    </w:lvl>
    <w:lvl w:ilvl="1">
      <w:start w:val="1"/>
      <w:numFmt w:val="decimal"/>
      <w:pStyle w:val="Style2"/>
      <w:lvlText w:val="%1.%2"/>
      <w:lvlJc w:val="left"/>
      <w:pPr>
        <w:tabs>
          <w:tab w:val="num" w:pos="1440"/>
        </w:tabs>
        <w:ind w:left="1440" w:hanging="1440"/>
      </w:pPr>
      <w:rPr>
        <w:rFonts w:ascii="Arial" w:hAnsi="Arial" w:hint="default"/>
        <w:b w:val="0"/>
        <w:sz w:val="24"/>
        <w:szCs w:val="24"/>
      </w:rPr>
    </w:lvl>
    <w:lvl w:ilvl="2">
      <w:start w:val="1"/>
      <w:numFmt w:val="decimal"/>
      <w:pStyle w:val="Style3"/>
      <w:lvlText w:val="%1.%2.%3"/>
      <w:lvlJc w:val="left"/>
      <w:pPr>
        <w:tabs>
          <w:tab w:val="num" w:pos="2160"/>
        </w:tabs>
        <w:ind w:left="2160" w:hanging="2160"/>
      </w:pPr>
      <w:rPr>
        <w:rFonts w:ascii="Arial" w:hAnsi="Arial" w:hint="default"/>
        <w:b w:val="0"/>
        <w:sz w:val="24"/>
        <w:szCs w:val="24"/>
      </w:rPr>
    </w:lvl>
    <w:lvl w:ilvl="3">
      <w:start w:val="1"/>
      <w:numFmt w:val="decimal"/>
      <w:pStyle w:val="Style4"/>
      <w:lvlText w:val="%1.%2.%3.%4"/>
      <w:lvlJc w:val="left"/>
      <w:pPr>
        <w:tabs>
          <w:tab w:val="num" w:pos="2880"/>
        </w:tabs>
        <w:ind w:left="2880" w:hanging="2880"/>
      </w:pPr>
      <w:rPr>
        <w:rFonts w:ascii="Arial" w:hAnsi="Arial" w:hint="default"/>
        <w:b w:val="0"/>
        <w:sz w:val="24"/>
        <w:szCs w:val="24"/>
      </w:rPr>
    </w:lvl>
    <w:lvl w:ilvl="4">
      <w:start w:val="1"/>
      <w:numFmt w:val="decimal"/>
      <w:lvlText w:val="%1.%2.%3.%4.%5"/>
      <w:lvlJc w:val="left"/>
      <w:pPr>
        <w:tabs>
          <w:tab w:val="num" w:pos="3600"/>
        </w:tabs>
        <w:ind w:left="3600" w:hanging="3600"/>
      </w:pPr>
      <w:rPr>
        <w:rFonts w:ascii="Arial" w:hAnsi="Arial" w:hint="default"/>
        <w:b w:val="0"/>
        <w:sz w:val="24"/>
        <w:szCs w:val="24"/>
      </w:rPr>
    </w:lvl>
    <w:lvl w:ilvl="5">
      <w:start w:val="1"/>
      <w:numFmt w:val="decimal"/>
      <w:lvlText w:val="%1.%2.%3.%4.%5.%6"/>
      <w:lvlJc w:val="left"/>
      <w:pPr>
        <w:tabs>
          <w:tab w:val="num" w:pos="4321"/>
        </w:tabs>
        <w:ind w:left="4321" w:hanging="4321"/>
      </w:pPr>
      <w:rPr>
        <w:rFonts w:ascii="Arial" w:hAnsi="Arial" w:hint="default"/>
        <w:b w:val="0"/>
        <w:sz w:val="24"/>
        <w:szCs w:val="24"/>
      </w:rPr>
    </w:lvl>
    <w:lvl w:ilvl="6">
      <w:start w:val="1"/>
      <w:numFmt w:val="decimal"/>
      <w:lvlText w:val="%1.%2.%3.%4.%5.%6.%7"/>
      <w:lvlJc w:val="left"/>
      <w:pPr>
        <w:tabs>
          <w:tab w:val="num" w:pos="5041"/>
        </w:tabs>
        <w:ind w:left="5041" w:hanging="5041"/>
      </w:pPr>
      <w:rPr>
        <w:rFonts w:ascii="Arial" w:hAnsi="Arial" w:hint="default"/>
        <w:b w:val="0"/>
        <w:sz w:val="24"/>
        <w:szCs w:val="24"/>
      </w:rPr>
    </w:lvl>
    <w:lvl w:ilvl="7">
      <w:start w:val="1"/>
      <w:numFmt w:val="decimal"/>
      <w:lvlText w:val="%1.%2.%3.%4.%5.%6.%7.%8"/>
      <w:lvlJc w:val="left"/>
      <w:pPr>
        <w:tabs>
          <w:tab w:val="num" w:pos="5761"/>
        </w:tabs>
        <w:ind w:left="5761" w:hanging="5761"/>
      </w:pPr>
      <w:rPr>
        <w:rFonts w:ascii="Arial" w:hAnsi="Arial" w:hint="default"/>
        <w:b w:val="0"/>
        <w:sz w:val="24"/>
        <w:szCs w:val="24"/>
      </w:rPr>
    </w:lvl>
    <w:lvl w:ilvl="8">
      <w:start w:val="1"/>
      <w:numFmt w:val="decimal"/>
      <w:lvlText w:val="%1.%2.%3.%4.%5.%6.%7.%8.%9"/>
      <w:lvlJc w:val="left"/>
      <w:pPr>
        <w:tabs>
          <w:tab w:val="num" w:pos="6481"/>
        </w:tabs>
        <w:ind w:left="6481" w:hanging="6481"/>
      </w:pPr>
      <w:rPr>
        <w:rFonts w:ascii="Arial" w:hAnsi="Arial" w:hint="default"/>
        <w:b w:val="0"/>
        <w:sz w:val="24"/>
        <w:szCs w:val="24"/>
      </w:rPr>
    </w:lvl>
  </w:abstractNum>
  <w:abstractNum w:abstractNumId="3" w15:restartNumberingAfterBreak="0">
    <w:nsid w:val="2EC32EAB"/>
    <w:multiLevelType w:val="multilevel"/>
    <w:tmpl w:val="ED4AC72E"/>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588"/>
        </w:tabs>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 w15:restartNumberingAfterBreak="0">
    <w:nsid w:val="621B7EE1"/>
    <w:multiLevelType w:val="multilevel"/>
    <w:tmpl w:val="802C7B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33F467B"/>
    <w:multiLevelType w:val="hybridMultilevel"/>
    <w:tmpl w:val="3AC4C646"/>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num w:numId="1">
    <w:abstractNumId w:val="4"/>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1C"/>
    <w:rsid w:val="00000719"/>
    <w:rsid w:val="000012A6"/>
    <w:rsid w:val="00001F4A"/>
    <w:rsid w:val="00002272"/>
    <w:rsid w:val="00003782"/>
    <w:rsid w:val="00003803"/>
    <w:rsid w:val="00004549"/>
    <w:rsid w:val="00004D23"/>
    <w:rsid w:val="0000706E"/>
    <w:rsid w:val="000073C9"/>
    <w:rsid w:val="0001167B"/>
    <w:rsid w:val="000123D8"/>
    <w:rsid w:val="000123E9"/>
    <w:rsid w:val="000141CE"/>
    <w:rsid w:val="00014382"/>
    <w:rsid w:val="0001502E"/>
    <w:rsid w:val="00016FA2"/>
    <w:rsid w:val="000171D0"/>
    <w:rsid w:val="00017745"/>
    <w:rsid w:val="0002226B"/>
    <w:rsid w:val="00022F6D"/>
    <w:rsid w:val="00026023"/>
    <w:rsid w:val="0002662D"/>
    <w:rsid w:val="0002788F"/>
    <w:rsid w:val="00027BCB"/>
    <w:rsid w:val="00027D0D"/>
    <w:rsid w:val="000300A3"/>
    <w:rsid w:val="00030DC0"/>
    <w:rsid w:val="00031365"/>
    <w:rsid w:val="00031A26"/>
    <w:rsid w:val="00031BDD"/>
    <w:rsid w:val="0003212C"/>
    <w:rsid w:val="000332BD"/>
    <w:rsid w:val="0003414E"/>
    <w:rsid w:val="00034E66"/>
    <w:rsid w:val="000351B2"/>
    <w:rsid w:val="00036367"/>
    <w:rsid w:val="00036D1E"/>
    <w:rsid w:val="000378DD"/>
    <w:rsid w:val="00040689"/>
    <w:rsid w:val="00040692"/>
    <w:rsid w:val="000409A6"/>
    <w:rsid w:val="00041846"/>
    <w:rsid w:val="00043065"/>
    <w:rsid w:val="00044A38"/>
    <w:rsid w:val="000459C7"/>
    <w:rsid w:val="00045FEF"/>
    <w:rsid w:val="00046503"/>
    <w:rsid w:val="00047515"/>
    <w:rsid w:val="000503EE"/>
    <w:rsid w:val="00050AD8"/>
    <w:rsid w:val="000510E6"/>
    <w:rsid w:val="00051931"/>
    <w:rsid w:val="00052081"/>
    <w:rsid w:val="000520DA"/>
    <w:rsid w:val="00052C5D"/>
    <w:rsid w:val="00054E3D"/>
    <w:rsid w:val="00055919"/>
    <w:rsid w:val="00056BA0"/>
    <w:rsid w:val="000570F0"/>
    <w:rsid w:val="00057D8F"/>
    <w:rsid w:val="00060567"/>
    <w:rsid w:val="0006394C"/>
    <w:rsid w:val="00064401"/>
    <w:rsid w:val="00065E5C"/>
    <w:rsid w:val="00066807"/>
    <w:rsid w:val="00070100"/>
    <w:rsid w:val="00070375"/>
    <w:rsid w:val="000716A9"/>
    <w:rsid w:val="00072A0B"/>
    <w:rsid w:val="00072AB8"/>
    <w:rsid w:val="00075CC1"/>
    <w:rsid w:val="00076382"/>
    <w:rsid w:val="00077868"/>
    <w:rsid w:val="000812AA"/>
    <w:rsid w:val="00081BA6"/>
    <w:rsid w:val="00082032"/>
    <w:rsid w:val="000824F1"/>
    <w:rsid w:val="000829D2"/>
    <w:rsid w:val="00082D42"/>
    <w:rsid w:val="00082F4A"/>
    <w:rsid w:val="000831B3"/>
    <w:rsid w:val="00083375"/>
    <w:rsid w:val="000833AD"/>
    <w:rsid w:val="0008377F"/>
    <w:rsid w:val="000851D1"/>
    <w:rsid w:val="00085E78"/>
    <w:rsid w:val="000874D5"/>
    <w:rsid w:val="00090833"/>
    <w:rsid w:val="0009165F"/>
    <w:rsid w:val="00093277"/>
    <w:rsid w:val="00094012"/>
    <w:rsid w:val="00094DFD"/>
    <w:rsid w:val="00096471"/>
    <w:rsid w:val="00096CCC"/>
    <w:rsid w:val="0009728F"/>
    <w:rsid w:val="00097DED"/>
    <w:rsid w:val="000A2519"/>
    <w:rsid w:val="000A28CE"/>
    <w:rsid w:val="000A5461"/>
    <w:rsid w:val="000A6817"/>
    <w:rsid w:val="000B1174"/>
    <w:rsid w:val="000B123B"/>
    <w:rsid w:val="000B1421"/>
    <w:rsid w:val="000B3E04"/>
    <w:rsid w:val="000B4984"/>
    <w:rsid w:val="000B670C"/>
    <w:rsid w:val="000B73FD"/>
    <w:rsid w:val="000C0393"/>
    <w:rsid w:val="000C142F"/>
    <w:rsid w:val="000C3610"/>
    <w:rsid w:val="000C37E1"/>
    <w:rsid w:val="000C5455"/>
    <w:rsid w:val="000C6122"/>
    <w:rsid w:val="000C785F"/>
    <w:rsid w:val="000C7B37"/>
    <w:rsid w:val="000C7D79"/>
    <w:rsid w:val="000C7E25"/>
    <w:rsid w:val="000D0102"/>
    <w:rsid w:val="000D011D"/>
    <w:rsid w:val="000D10C3"/>
    <w:rsid w:val="000D19BF"/>
    <w:rsid w:val="000D22CA"/>
    <w:rsid w:val="000D294D"/>
    <w:rsid w:val="000D3349"/>
    <w:rsid w:val="000D4CF3"/>
    <w:rsid w:val="000D4DA4"/>
    <w:rsid w:val="000D67C6"/>
    <w:rsid w:val="000D6B38"/>
    <w:rsid w:val="000D6DA6"/>
    <w:rsid w:val="000D75E8"/>
    <w:rsid w:val="000D78E1"/>
    <w:rsid w:val="000E14D0"/>
    <w:rsid w:val="000E16BB"/>
    <w:rsid w:val="000E2737"/>
    <w:rsid w:val="000E3458"/>
    <w:rsid w:val="000E37F3"/>
    <w:rsid w:val="000E3FA9"/>
    <w:rsid w:val="000E4FA3"/>
    <w:rsid w:val="000E6595"/>
    <w:rsid w:val="000E6B70"/>
    <w:rsid w:val="000E6CBA"/>
    <w:rsid w:val="000E6D8C"/>
    <w:rsid w:val="000E7787"/>
    <w:rsid w:val="000E77CD"/>
    <w:rsid w:val="000F0B6A"/>
    <w:rsid w:val="000F20C7"/>
    <w:rsid w:val="000F2126"/>
    <w:rsid w:val="000F35C5"/>
    <w:rsid w:val="000F3905"/>
    <w:rsid w:val="000F4C5D"/>
    <w:rsid w:val="000F5584"/>
    <w:rsid w:val="000F5D0C"/>
    <w:rsid w:val="000F7A03"/>
    <w:rsid w:val="000F7C73"/>
    <w:rsid w:val="00100D7D"/>
    <w:rsid w:val="001036AB"/>
    <w:rsid w:val="001037E6"/>
    <w:rsid w:val="00103E2A"/>
    <w:rsid w:val="0010464A"/>
    <w:rsid w:val="00105282"/>
    <w:rsid w:val="00110166"/>
    <w:rsid w:val="00111F99"/>
    <w:rsid w:val="001129AE"/>
    <w:rsid w:val="00112B49"/>
    <w:rsid w:val="0011336A"/>
    <w:rsid w:val="00113C31"/>
    <w:rsid w:val="0011497C"/>
    <w:rsid w:val="001161A7"/>
    <w:rsid w:val="00117061"/>
    <w:rsid w:val="00120BFC"/>
    <w:rsid w:val="001228A0"/>
    <w:rsid w:val="00122E7C"/>
    <w:rsid w:val="001247D8"/>
    <w:rsid w:val="00124CC5"/>
    <w:rsid w:val="0012530E"/>
    <w:rsid w:val="00125B62"/>
    <w:rsid w:val="0013131C"/>
    <w:rsid w:val="0013148E"/>
    <w:rsid w:val="001317DB"/>
    <w:rsid w:val="001321FD"/>
    <w:rsid w:val="00132EBE"/>
    <w:rsid w:val="00133185"/>
    <w:rsid w:val="0013376C"/>
    <w:rsid w:val="0013396B"/>
    <w:rsid w:val="00134416"/>
    <w:rsid w:val="0013446D"/>
    <w:rsid w:val="00137D1B"/>
    <w:rsid w:val="001407E6"/>
    <w:rsid w:val="00140E5D"/>
    <w:rsid w:val="00141CA5"/>
    <w:rsid w:val="00143153"/>
    <w:rsid w:val="00143762"/>
    <w:rsid w:val="00144219"/>
    <w:rsid w:val="00144C74"/>
    <w:rsid w:val="00144D8F"/>
    <w:rsid w:val="0014517B"/>
    <w:rsid w:val="00151595"/>
    <w:rsid w:val="001521AC"/>
    <w:rsid w:val="001525A0"/>
    <w:rsid w:val="00153263"/>
    <w:rsid w:val="00155545"/>
    <w:rsid w:val="00156514"/>
    <w:rsid w:val="001578EA"/>
    <w:rsid w:val="00160474"/>
    <w:rsid w:val="00161742"/>
    <w:rsid w:val="00161768"/>
    <w:rsid w:val="00166AB8"/>
    <w:rsid w:val="00166E9B"/>
    <w:rsid w:val="00167510"/>
    <w:rsid w:val="0016775F"/>
    <w:rsid w:val="00167DCF"/>
    <w:rsid w:val="00170CCE"/>
    <w:rsid w:val="00171714"/>
    <w:rsid w:val="001736E4"/>
    <w:rsid w:val="001743E1"/>
    <w:rsid w:val="0017488E"/>
    <w:rsid w:val="00175605"/>
    <w:rsid w:val="0017713C"/>
    <w:rsid w:val="001772D1"/>
    <w:rsid w:val="00177537"/>
    <w:rsid w:val="00177A2D"/>
    <w:rsid w:val="001813E8"/>
    <w:rsid w:val="00184BF6"/>
    <w:rsid w:val="00185305"/>
    <w:rsid w:val="0018559B"/>
    <w:rsid w:val="00185D04"/>
    <w:rsid w:val="001861FD"/>
    <w:rsid w:val="001869B1"/>
    <w:rsid w:val="00187351"/>
    <w:rsid w:val="0018761E"/>
    <w:rsid w:val="00187BB9"/>
    <w:rsid w:val="00190099"/>
    <w:rsid w:val="0019030D"/>
    <w:rsid w:val="00190A46"/>
    <w:rsid w:val="00190DBC"/>
    <w:rsid w:val="00190F5B"/>
    <w:rsid w:val="001913F8"/>
    <w:rsid w:val="00191693"/>
    <w:rsid w:val="001938E9"/>
    <w:rsid w:val="0019412F"/>
    <w:rsid w:val="001941AE"/>
    <w:rsid w:val="00194624"/>
    <w:rsid w:val="00195936"/>
    <w:rsid w:val="00195948"/>
    <w:rsid w:val="001A03F9"/>
    <w:rsid w:val="001A066C"/>
    <w:rsid w:val="001A268D"/>
    <w:rsid w:val="001A2909"/>
    <w:rsid w:val="001A3914"/>
    <w:rsid w:val="001A42D3"/>
    <w:rsid w:val="001A55DB"/>
    <w:rsid w:val="001A652F"/>
    <w:rsid w:val="001A66FF"/>
    <w:rsid w:val="001A788C"/>
    <w:rsid w:val="001B05F3"/>
    <w:rsid w:val="001B2593"/>
    <w:rsid w:val="001B3C52"/>
    <w:rsid w:val="001B3C80"/>
    <w:rsid w:val="001B5CB4"/>
    <w:rsid w:val="001B62DF"/>
    <w:rsid w:val="001B66D5"/>
    <w:rsid w:val="001B7FDB"/>
    <w:rsid w:val="001C090A"/>
    <w:rsid w:val="001C0EBD"/>
    <w:rsid w:val="001C2CE4"/>
    <w:rsid w:val="001C2F2F"/>
    <w:rsid w:val="001C338F"/>
    <w:rsid w:val="001C5C62"/>
    <w:rsid w:val="001C714D"/>
    <w:rsid w:val="001C7FB1"/>
    <w:rsid w:val="001D2FCD"/>
    <w:rsid w:val="001D32B6"/>
    <w:rsid w:val="001D3CAA"/>
    <w:rsid w:val="001D3DE1"/>
    <w:rsid w:val="001D4623"/>
    <w:rsid w:val="001D5064"/>
    <w:rsid w:val="001D73D1"/>
    <w:rsid w:val="001D78DF"/>
    <w:rsid w:val="001E17AA"/>
    <w:rsid w:val="001E1934"/>
    <w:rsid w:val="001E1DDE"/>
    <w:rsid w:val="001E2746"/>
    <w:rsid w:val="001E30BE"/>
    <w:rsid w:val="001E3C4A"/>
    <w:rsid w:val="001E4CDA"/>
    <w:rsid w:val="001E6505"/>
    <w:rsid w:val="001F2063"/>
    <w:rsid w:val="001F3346"/>
    <w:rsid w:val="001F40A2"/>
    <w:rsid w:val="001F41FC"/>
    <w:rsid w:val="001F44B3"/>
    <w:rsid w:val="001F6AAC"/>
    <w:rsid w:val="001F6FCF"/>
    <w:rsid w:val="002000EA"/>
    <w:rsid w:val="0020038A"/>
    <w:rsid w:val="002011CA"/>
    <w:rsid w:val="00201D94"/>
    <w:rsid w:val="0020371B"/>
    <w:rsid w:val="0020470F"/>
    <w:rsid w:val="0020587B"/>
    <w:rsid w:val="002067D6"/>
    <w:rsid w:val="002079F3"/>
    <w:rsid w:val="002108BB"/>
    <w:rsid w:val="00212703"/>
    <w:rsid w:val="00212E42"/>
    <w:rsid w:val="002131B0"/>
    <w:rsid w:val="00213258"/>
    <w:rsid w:val="00214702"/>
    <w:rsid w:val="00214B4A"/>
    <w:rsid w:val="00215356"/>
    <w:rsid w:val="002153EB"/>
    <w:rsid w:val="00215954"/>
    <w:rsid w:val="0021615D"/>
    <w:rsid w:val="00216886"/>
    <w:rsid w:val="002169FE"/>
    <w:rsid w:val="00216C5E"/>
    <w:rsid w:val="00217050"/>
    <w:rsid w:val="002204D4"/>
    <w:rsid w:val="002205F7"/>
    <w:rsid w:val="0022201A"/>
    <w:rsid w:val="00222662"/>
    <w:rsid w:val="00223659"/>
    <w:rsid w:val="002236D8"/>
    <w:rsid w:val="00223722"/>
    <w:rsid w:val="00225C87"/>
    <w:rsid w:val="0022691E"/>
    <w:rsid w:val="00226A43"/>
    <w:rsid w:val="00226B0C"/>
    <w:rsid w:val="002307DC"/>
    <w:rsid w:val="00231758"/>
    <w:rsid w:val="00231FEC"/>
    <w:rsid w:val="00232AAA"/>
    <w:rsid w:val="0023435E"/>
    <w:rsid w:val="00234777"/>
    <w:rsid w:val="002354C7"/>
    <w:rsid w:val="0023710F"/>
    <w:rsid w:val="0024029F"/>
    <w:rsid w:val="0024156A"/>
    <w:rsid w:val="00241983"/>
    <w:rsid w:val="00242378"/>
    <w:rsid w:val="00242C83"/>
    <w:rsid w:val="00243FFB"/>
    <w:rsid w:val="002442A7"/>
    <w:rsid w:val="002458DA"/>
    <w:rsid w:val="00245AA0"/>
    <w:rsid w:val="00246A22"/>
    <w:rsid w:val="00247065"/>
    <w:rsid w:val="0025042B"/>
    <w:rsid w:val="002505AB"/>
    <w:rsid w:val="002507E7"/>
    <w:rsid w:val="00250CA2"/>
    <w:rsid w:val="00250F8F"/>
    <w:rsid w:val="00252EA0"/>
    <w:rsid w:val="00254A2A"/>
    <w:rsid w:val="00254C0C"/>
    <w:rsid w:val="002563C8"/>
    <w:rsid w:val="0025656C"/>
    <w:rsid w:val="002566F5"/>
    <w:rsid w:val="002568A5"/>
    <w:rsid w:val="00257038"/>
    <w:rsid w:val="00257F71"/>
    <w:rsid w:val="00261518"/>
    <w:rsid w:val="00262145"/>
    <w:rsid w:val="00263562"/>
    <w:rsid w:val="00264164"/>
    <w:rsid w:val="002649A9"/>
    <w:rsid w:val="00264DBD"/>
    <w:rsid w:val="002662D1"/>
    <w:rsid w:val="0026630F"/>
    <w:rsid w:val="00267735"/>
    <w:rsid w:val="00267ADF"/>
    <w:rsid w:val="00270238"/>
    <w:rsid w:val="002710E0"/>
    <w:rsid w:val="00272CC9"/>
    <w:rsid w:val="00272FA3"/>
    <w:rsid w:val="002738F6"/>
    <w:rsid w:val="00273984"/>
    <w:rsid w:val="00273C6E"/>
    <w:rsid w:val="0027476A"/>
    <w:rsid w:val="00275348"/>
    <w:rsid w:val="00276583"/>
    <w:rsid w:val="00276764"/>
    <w:rsid w:val="002769FF"/>
    <w:rsid w:val="00277802"/>
    <w:rsid w:val="00280F09"/>
    <w:rsid w:val="002819FD"/>
    <w:rsid w:val="00281AA5"/>
    <w:rsid w:val="0028371F"/>
    <w:rsid w:val="00283AE9"/>
    <w:rsid w:val="00284935"/>
    <w:rsid w:val="00284A25"/>
    <w:rsid w:val="0028506A"/>
    <w:rsid w:val="00287983"/>
    <w:rsid w:val="002900F2"/>
    <w:rsid w:val="002904E8"/>
    <w:rsid w:val="00291CE1"/>
    <w:rsid w:val="0029342D"/>
    <w:rsid w:val="00293470"/>
    <w:rsid w:val="002943CC"/>
    <w:rsid w:val="00294703"/>
    <w:rsid w:val="00294C24"/>
    <w:rsid w:val="00294DA1"/>
    <w:rsid w:val="002951E4"/>
    <w:rsid w:val="00295932"/>
    <w:rsid w:val="00297315"/>
    <w:rsid w:val="002A0395"/>
    <w:rsid w:val="002A0630"/>
    <w:rsid w:val="002A06A9"/>
    <w:rsid w:val="002A0B16"/>
    <w:rsid w:val="002A0C34"/>
    <w:rsid w:val="002A135E"/>
    <w:rsid w:val="002A263A"/>
    <w:rsid w:val="002A2834"/>
    <w:rsid w:val="002A44FC"/>
    <w:rsid w:val="002A4BA5"/>
    <w:rsid w:val="002A5354"/>
    <w:rsid w:val="002A5F1F"/>
    <w:rsid w:val="002A62FC"/>
    <w:rsid w:val="002A6A82"/>
    <w:rsid w:val="002B074C"/>
    <w:rsid w:val="002B10B0"/>
    <w:rsid w:val="002B29E2"/>
    <w:rsid w:val="002B2AFF"/>
    <w:rsid w:val="002B4682"/>
    <w:rsid w:val="002B57D5"/>
    <w:rsid w:val="002C0AC9"/>
    <w:rsid w:val="002C1DA5"/>
    <w:rsid w:val="002C3638"/>
    <w:rsid w:val="002C3FF3"/>
    <w:rsid w:val="002C4033"/>
    <w:rsid w:val="002C436E"/>
    <w:rsid w:val="002C4845"/>
    <w:rsid w:val="002C4D66"/>
    <w:rsid w:val="002C5F34"/>
    <w:rsid w:val="002C611F"/>
    <w:rsid w:val="002C615E"/>
    <w:rsid w:val="002C6395"/>
    <w:rsid w:val="002C7131"/>
    <w:rsid w:val="002D115A"/>
    <w:rsid w:val="002D15DF"/>
    <w:rsid w:val="002D16ED"/>
    <w:rsid w:val="002D39B6"/>
    <w:rsid w:val="002D425A"/>
    <w:rsid w:val="002D5D07"/>
    <w:rsid w:val="002D73BF"/>
    <w:rsid w:val="002E3F6F"/>
    <w:rsid w:val="002E5171"/>
    <w:rsid w:val="002E534E"/>
    <w:rsid w:val="002E7349"/>
    <w:rsid w:val="002E73F3"/>
    <w:rsid w:val="002F0996"/>
    <w:rsid w:val="002F0C87"/>
    <w:rsid w:val="002F1953"/>
    <w:rsid w:val="002F38F2"/>
    <w:rsid w:val="002F4137"/>
    <w:rsid w:val="002F4DAA"/>
    <w:rsid w:val="002F53F6"/>
    <w:rsid w:val="002F5681"/>
    <w:rsid w:val="002F5D0B"/>
    <w:rsid w:val="002F7EA9"/>
    <w:rsid w:val="003008E3"/>
    <w:rsid w:val="00300BE1"/>
    <w:rsid w:val="00300C56"/>
    <w:rsid w:val="0030292F"/>
    <w:rsid w:val="00302B56"/>
    <w:rsid w:val="003031DE"/>
    <w:rsid w:val="00303C39"/>
    <w:rsid w:val="00305719"/>
    <w:rsid w:val="0030632A"/>
    <w:rsid w:val="00306A29"/>
    <w:rsid w:val="0030779C"/>
    <w:rsid w:val="00311B83"/>
    <w:rsid w:val="003123B3"/>
    <w:rsid w:val="00313B0E"/>
    <w:rsid w:val="00316134"/>
    <w:rsid w:val="00316A03"/>
    <w:rsid w:val="00316BB4"/>
    <w:rsid w:val="00316EB2"/>
    <w:rsid w:val="00323262"/>
    <w:rsid w:val="00323CEC"/>
    <w:rsid w:val="0032529E"/>
    <w:rsid w:val="0032601A"/>
    <w:rsid w:val="003263B4"/>
    <w:rsid w:val="00327C18"/>
    <w:rsid w:val="00330E90"/>
    <w:rsid w:val="003311D8"/>
    <w:rsid w:val="003318AF"/>
    <w:rsid w:val="00333F6D"/>
    <w:rsid w:val="00334249"/>
    <w:rsid w:val="003370D2"/>
    <w:rsid w:val="00337B11"/>
    <w:rsid w:val="0034019B"/>
    <w:rsid w:val="0034240A"/>
    <w:rsid w:val="00342479"/>
    <w:rsid w:val="00342CE8"/>
    <w:rsid w:val="003434D4"/>
    <w:rsid w:val="0034350B"/>
    <w:rsid w:val="00343523"/>
    <w:rsid w:val="003438A1"/>
    <w:rsid w:val="00344610"/>
    <w:rsid w:val="00350AB6"/>
    <w:rsid w:val="0035787D"/>
    <w:rsid w:val="003605ED"/>
    <w:rsid w:val="003669F1"/>
    <w:rsid w:val="00366EC7"/>
    <w:rsid w:val="00367FE4"/>
    <w:rsid w:val="00371242"/>
    <w:rsid w:val="00371EAC"/>
    <w:rsid w:val="0037250A"/>
    <w:rsid w:val="003730DF"/>
    <w:rsid w:val="00374424"/>
    <w:rsid w:val="00375189"/>
    <w:rsid w:val="00377E20"/>
    <w:rsid w:val="003803B6"/>
    <w:rsid w:val="00380BF9"/>
    <w:rsid w:val="00381899"/>
    <w:rsid w:val="003819AA"/>
    <w:rsid w:val="0038375C"/>
    <w:rsid w:val="00383DE0"/>
    <w:rsid w:val="003843A1"/>
    <w:rsid w:val="003844CD"/>
    <w:rsid w:val="00384795"/>
    <w:rsid w:val="0038584A"/>
    <w:rsid w:val="00387C50"/>
    <w:rsid w:val="00387D95"/>
    <w:rsid w:val="00387E2B"/>
    <w:rsid w:val="00390FEA"/>
    <w:rsid w:val="003911A7"/>
    <w:rsid w:val="00392124"/>
    <w:rsid w:val="00393CFC"/>
    <w:rsid w:val="00394257"/>
    <w:rsid w:val="00394691"/>
    <w:rsid w:val="00394A38"/>
    <w:rsid w:val="0039695C"/>
    <w:rsid w:val="00397648"/>
    <w:rsid w:val="003A063A"/>
    <w:rsid w:val="003A10C4"/>
    <w:rsid w:val="003A1345"/>
    <w:rsid w:val="003A18A9"/>
    <w:rsid w:val="003A1E5C"/>
    <w:rsid w:val="003A2522"/>
    <w:rsid w:val="003A25F7"/>
    <w:rsid w:val="003A2784"/>
    <w:rsid w:val="003A4050"/>
    <w:rsid w:val="003A40B7"/>
    <w:rsid w:val="003A6568"/>
    <w:rsid w:val="003A65D2"/>
    <w:rsid w:val="003A6A01"/>
    <w:rsid w:val="003B0295"/>
    <w:rsid w:val="003B03B4"/>
    <w:rsid w:val="003B06F3"/>
    <w:rsid w:val="003B1C0D"/>
    <w:rsid w:val="003B2686"/>
    <w:rsid w:val="003B39F8"/>
    <w:rsid w:val="003B3AC7"/>
    <w:rsid w:val="003B3FD4"/>
    <w:rsid w:val="003B44DD"/>
    <w:rsid w:val="003B5ACF"/>
    <w:rsid w:val="003B7448"/>
    <w:rsid w:val="003C0FEE"/>
    <w:rsid w:val="003C132D"/>
    <w:rsid w:val="003C133F"/>
    <w:rsid w:val="003C327B"/>
    <w:rsid w:val="003C39BB"/>
    <w:rsid w:val="003C4747"/>
    <w:rsid w:val="003C4764"/>
    <w:rsid w:val="003C4F1C"/>
    <w:rsid w:val="003D0E01"/>
    <w:rsid w:val="003D23C8"/>
    <w:rsid w:val="003D2710"/>
    <w:rsid w:val="003D2AD1"/>
    <w:rsid w:val="003D54AB"/>
    <w:rsid w:val="003D662A"/>
    <w:rsid w:val="003D6B4C"/>
    <w:rsid w:val="003D6E31"/>
    <w:rsid w:val="003D72E0"/>
    <w:rsid w:val="003D736C"/>
    <w:rsid w:val="003D7372"/>
    <w:rsid w:val="003E0BF8"/>
    <w:rsid w:val="003E17E7"/>
    <w:rsid w:val="003E18D0"/>
    <w:rsid w:val="003E205B"/>
    <w:rsid w:val="003E2BBB"/>
    <w:rsid w:val="003E4340"/>
    <w:rsid w:val="003E5CCD"/>
    <w:rsid w:val="003E6F2D"/>
    <w:rsid w:val="003E7B1C"/>
    <w:rsid w:val="003F0485"/>
    <w:rsid w:val="003F0A4D"/>
    <w:rsid w:val="003F1021"/>
    <w:rsid w:val="003F1406"/>
    <w:rsid w:val="003F1B94"/>
    <w:rsid w:val="003F2519"/>
    <w:rsid w:val="003F2922"/>
    <w:rsid w:val="003F30B9"/>
    <w:rsid w:val="003F74A9"/>
    <w:rsid w:val="003F74E6"/>
    <w:rsid w:val="003F7818"/>
    <w:rsid w:val="003F7CBD"/>
    <w:rsid w:val="004005B6"/>
    <w:rsid w:val="00400C5A"/>
    <w:rsid w:val="004013FF"/>
    <w:rsid w:val="00401C97"/>
    <w:rsid w:val="00402CE2"/>
    <w:rsid w:val="00403DCA"/>
    <w:rsid w:val="00403F15"/>
    <w:rsid w:val="00404C6B"/>
    <w:rsid w:val="00405325"/>
    <w:rsid w:val="00405B42"/>
    <w:rsid w:val="00406476"/>
    <w:rsid w:val="00406895"/>
    <w:rsid w:val="004071E9"/>
    <w:rsid w:val="00407CEB"/>
    <w:rsid w:val="0041132B"/>
    <w:rsid w:val="00412232"/>
    <w:rsid w:val="00412EC0"/>
    <w:rsid w:val="0041425C"/>
    <w:rsid w:val="0041543C"/>
    <w:rsid w:val="004209D8"/>
    <w:rsid w:val="0042221E"/>
    <w:rsid w:val="004229C3"/>
    <w:rsid w:val="00422F71"/>
    <w:rsid w:val="00423321"/>
    <w:rsid w:val="00423A21"/>
    <w:rsid w:val="00423F3D"/>
    <w:rsid w:val="00424B50"/>
    <w:rsid w:val="004268B9"/>
    <w:rsid w:val="00427510"/>
    <w:rsid w:val="0042753E"/>
    <w:rsid w:val="00427C68"/>
    <w:rsid w:val="0043006F"/>
    <w:rsid w:val="00430A1E"/>
    <w:rsid w:val="004341D0"/>
    <w:rsid w:val="004341D8"/>
    <w:rsid w:val="00434A43"/>
    <w:rsid w:val="0043517E"/>
    <w:rsid w:val="00435736"/>
    <w:rsid w:val="0044008C"/>
    <w:rsid w:val="0044126E"/>
    <w:rsid w:val="00441882"/>
    <w:rsid w:val="00442158"/>
    <w:rsid w:val="0044293C"/>
    <w:rsid w:val="0044293F"/>
    <w:rsid w:val="004462CD"/>
    <w:rsid w:val="00446D7E"/>
    <w:rsid w:val="0044726A"/>
    <w:rsid w:val="00447795"/>
    <w:rsid w:val="00450395"/>
    <w:rsid w:val="004550B6"/>
    <w:rsid w:val="004554A6"/>
    <w:rsid w:val="0045596B"/>
    <w:rsid w:val="00455E30"/>
    <w:rsid w:val="004574CF"/>
    <w:rsid w:val="00457C05"/>
    <w:rsid w:val="00460D24"/>
    <w:rsid w:val="00461445"/>
    <w:rsid w:val="00461C58"/>
    <w:rsid w:val="004631CF"/>
    <w:rsid w:val="00463289"/>
    <w:rsid w:val="0046341C"/>
    <w:rsid w:val="004639B4"/>
    <w:rsid w:val="004649FA"/>
    <w:rsid w:val="0046540E"/>
    <w:rsid w:val="00466AFA"/>
    <w:rsid w:val="00467B84"/>
    <w:rsid w:val="00467FAE"/>
    <w:rsid w:val="00470CB2"/>
    <w:rsid w:val="004748CC"/>
    <w:rsid w:val="00474FEF"/>
    <w:rsid w:val="004761CE"/>
    <w:rsid w:val="00476A10"/>
    <w:rsid w:val="00477869"/>
    <w:rsid w:val="00477C9F"/>
    <w:rsid w:val="00483098"/>
    <w:rsid w:val="004836EE"/>
    <w:rsid w:val="00484133"/>
    <w:rsid w:val="00485082"/>
    <w:rsid w:val="004850F2"/>
    <w:rsid w:val="00485A06"/>
    <w:rsid w:val="00485BE2"/>
    <w:rsid w:val="00485D51"/>
    <w:rsid w:val="00486E26"/>
    <w:rsid w:val="004871E9"/>
    <w:rsid w:val="00487500"/>
    <w:rsid w:val="004875AA"/>
    <w:rsid w:val="0049036D"/>
    <w:rsid w:val="0049213A"/>
    <w:rsid w:val="004930D2"/>
    <w:rsid w:val="00493927"/>
    <w:rsid w:val="0049403D"/>
    <w:rsid w:val="00494667"/>
    <w:rsid w:val="004951DB"/>
    <w:rsid w:val="004965B2"/>
    <w:rsid w:val="00497C96"/>
    <w:rsid w:val="00497D3D"/>
    <w:rsid w:val="004A2894"/>
    <w:rsid w:val="004A28B9"/>
    <w:rsid w:val="004A2CB0"/>
    <w:rsid w:val="004A2E49"/>
    <w:rsid w:val="004A4011"/>
    <w:rsid w:val="004A482E"/>
    <w:rsid w:val="004A61E8"/>
    <w:rsid w:val="004A7288"/>
    <w:rsid w:val="004A72C3"/>
    <w:rsid w:val="004B0C9B"/>
    <w:rsid w:val="004B1046"/>
    <w:rsid w:val="004B1610"/>
    <w:rsid w:val="004B1678"/>
    <w:rsid w:val="004B16B4"/>
    <w:rsid w:val="004B1830"/>
    <w:rsid w:val="004B3172"/>
    <w:rsid w:val="004B4B86"/>
    <w:rsid w:val="004B5462"/>
    <w:rsid w:val="004B6C53"/>
    <w:rsid w:val="004B70F3"/>
    <w:rsid w:val="004B73FF"/>
    <w:rsid w:val="004B7CF9"/>
    <w:rsid w:val="004C01A3"/>
    <w:rsid w:val="004C1163"/>
    <w:rsid w:val="004C209D"/>
    <w:rsid w:val="004C21E0"/>
    <w:rsid w:val="004C3FB7"/>
    <w:rsid w:val="004C461E"/>
    <w:rsid w:val="004C554E"/>
    <w:rsid w:val="004C655F"/>
    <w:rsid w:val="004C71D5"/>
    <w:rsid w:val="004D059C"/>
    <w:rsid w:val="004D182C"/>
    <w:rsid w:val="004D2334"/>
    <w:rsid w:val="004D25AC"/>
    <w:rsid w:val="004D25F0"/>
    <w:rsid w:val="004D26B8"/>
    <w:rsid w:val="004D2CC7"/>
    <w:rsid w:val="004D4A30"/>
    <w:rsid w:val="004D60BE"/>
    <w:rsid w:val="004D617D"/>
    <w:rsid w:val="004D62D4"/>
    <w:rsid w:val="004D7420"/>
    <w:rsid w:val="004D761B"/>
    <w:rsid w:val="004E1FFB"/>
    <w:rsid w:val="004E2571"/>
    <w:rsid w:val="004E26C1"/>
    <w:rsid w:val="004E2B12"/>
    <w:rsid w:val="004E3832"/>
    <w:rsid w:val="004E3B4E"/>
    <w:rsid w:val="004E4A55"/>
    <w:rsid w:val="004E4E42"/>
    <w:rsid w:val="004E54BE"/>
    <w:rsid w:val="004E55EE"/>
    <w:rsid w:val="004E5A44"/>
    <w:rsid w:val="004E61AC"/>
    <w:rsid w:val="004E669A"/>
    <w:rsid w:val="004E6DBC"/>
    <w:rsid w:val="004E74AB"/>
    <w:rsid w:val="004F022A"/>
    <w:rsid w:val="004F239B"/>
    <w:rsid w:val="004F4CC1"/>
    <w:rsid w:val="004F4D7E"/>
    <w:rsid w:val="004F4E24"/>
    <w:rsid w:val="004F7F49"/>
    <w:rsid w:val="0050152A"/>
    <w:rsid w:val="00502297"/>
    <w:rsid w:val="00502B24"/>
    <w:rsid w:val="00502C6E"/>
    <w:rsid w:val="0050312D"/>
    <w:rsid w:val="00503FAE"/>
    <w:rsid w:val="005048D7"/>
    <w:rsid w:val="00504B76"/>
    <w:rsid w:val="00505F2B"/>
    <w:rsid w:val="00506722"/>
    <w:rsid w:val="0050762B"/>
    <w:rsid w:val="00510EE5"/>
    <w:rsid w:val="0051166F"/>
    <w:rsid w:val="00511E9A"/>
    <w:rsid w:val="0051292F"/>
    <w:rsid w:val="005141FE"/>
    <w:rsid w:val="005142F1"/>
    <w:rsid w:val="0051604B"/>
    <w:rsid w:val="005168CF"/>
    <w:rsid w:val="00516941"/>
    <w:rsid w:val="00516A81"/>
    <w:rsid w:val="00520264"/>
    <w:rsid w:val="005202EA"/>
    <w:rsid w:val="005236FE"/>
    <w:rsid w:val="005244B7"/>
    <w:rsid w:val="005255F5"/>
    <w:rsid w:val="0052738C"/>
    <w:rsid w:val="005279F3"/>
    <w:rsid w:val="005306C8"/>
    <w:rsid w:val="00531A72"/>
    <w:rsid w:val="00535053"/>
    <w:rsid w:val="005357A4"/>
    <w:rsid w:val="00536906"/>
    <w:rsid w:val="005374AC"/>
    <w:rsid w:val="00541BB9"/>
    <w:rsid w:val="00541EE3"/>
    <w:rsid w:val="00543E50"/>
    <w:rsid w:val="0055113E"/>
    <w:rsid w:val="00554368"/>
    <w:rsid w:val="00554C7F"/>
    <w:rsid w:val="0055500B"/>
    <w:rsid w:val="00555228"/>
    <w:rsid w:val="00555F62"/>
    <w:rsid w:val="00555FDE"/>
    <w:rsid w:val="00556835"/>
    <w:rsid w:val="0055724B"/>
    <w:rsid w:val="00560305"/>
    <w:rsid w:val="00560AE9"/>
    <w:rsid w:val="00560C0B"/>
    <w:rsid w:val="00560CB2"/>
    <w:rsid w:val="00560E1C"/>
    <w:rsid w:val="00562889"/>
    <w:rsid w:val="00564164"/>
    <w:rsid w:val="00564761"/>
    <w:rsid w:val="00564B17"/>
    <w:rsid w:val="00564B8A"/>
    <w:rsid w:val="0056687A"/>
    <w:rsid w:val="00566915"/>
    <w:rsid w:val="00566A8C"/>
    <w:rsid w:val="00566B47"/>
    <w:rsid w:val="00566F32"/>
    <w:rsid w:val="0056772F"/>
    <w:rsid w:val="00567801"/>
    <w:rsid w:val="005708F6"/>
    <w:rsid w:val="005714E1"/>
    <w:rsid w:val="00573912"/>
    <w:rsid w:val="00573DC4"/>
    <w:rsid w:val="0057564E"/>
    <w:rsid w:val="0057634C"/>
    <w:rsid w:val="005768A7"/>
    <w:rsid w:val="00576DC0"/>
    <w:rsid w:val="0058008A"/>
    <w:rsid w:val="00580179"/>
    <w:rsid w:val="00580F08"/>
    <w:rsid w:val="005822A7"/>
    <w:rsid w:val="00582CCE"/>
    <w:rsid w:val="0058318E"/>
    <w:rsid w:val="00583873"/>
    <w:rsid w:val="00584B23"/>
    <w:rsid w:val="00586825"/>
    <w:rsid w:val="005901BC"/>
    <w:rsid w:val="00590502"/>
    <w:rsid w:val="00590D45"/>
    <w:rsid w:val="0059151B"/>
    <w:rsid w:val="00592216"/>
    <w:rsid w:val="0059364E"/>
    <w:rsid w:val="005938AC"/>
    <w:rsid w:val="0059397B"/>
    <w:rsid w:val="005953FD"/>
    <w:rsid w:val="005956E9"/>
    <w:rsid w:val="00595D58"/>
    <w:rsid w:val="00596448"/>
    <w:rsid w:val="005A02ED"/>
    <w:rsid w:val="005A3DF9"/>
    <w:rsid w:val="005A3E6A"/>
    <w:rsid w:val="005A4288"/>
    <w:rsid w:val="005A499F"/>
    <w:rsid w:val="005A502D"/>
    <w:rsid w:val="005A68F4"/>
    <w:rsid w:val="005A7917"/>
    <w:rsid w:val="005B088D"/>
    <w:rsid w:val="005B095A"/>
    <w:rsid w:val="005B1663"/>
    <w:rsid w:val="005B20F0"/>
    <w:rsid w:val="005B2ECE"/>
    <w:rsid w:val="005B32B4"/>
    <w:rsid w:val="005B32F4"/>
    <w:rsid w:val="005B3C6E"/>
    <w:rsid w:val="005B42E1"/>
    <w:rsid w:val="005B4A98"/>
    <w:rsid w:val="005B68C9"/>
    <w:rsid w:val="005C0824"/>
    <w:rsid w:val="005C1AA6"/>
    <w:rsid w:val="005C6B73"/>
    <w:rsid w:val="005C740A"/>
    <w:rsid w:val="005D09E3"/>
    <w:rsid w:val="005D1628"/>
    <w:rsid w:val="005D17EA"/>
    <w:rsid w:val="005D2253"/>
    <w:rsid w:val="005D23AF"/>
    <w:rsid w:val="005D2F27"/>
    <w:rsid w:val="005D3B41"/>
    <w:rsid w:val="005D40D5"/>
    <w:rsid w:val="005D47FA"/>
    <w:rsid w:val="005D6850"/>
    <w:rsid w:val="005D7623"/>
    <w:rsid w:val="005E307C"/>
    <w:rsid w:val="005E4F44"/>
    <w:rsid w:val="005E52B8"/>
    <w:rsid w:val="005E7E51"/>
    <w:rsid w:val="005F03D5"/>
    <w:rsid w:val="005F0770"/>
    <w:rsid w:val="005F1181"/>
    <w:rsid w:val="005F20BA"/>
    <w:rsid w:val="005F2700"/>
    <w:rsid w:val="005F30A0"/>
    <w:rsid w:val="005F41AF"/>
    <w:rsid w:val="005F514C"/>
    <w:rsid w:val="005F6D20"/>
    <w:rsid w:val="005F6E00"/>
    <w:rsid w:val="005F7A71"/>
    <w:rsid w:val="005F7C9A"/>
    <w:rsid w:val="006017D4"/>
    <w:rsid w:val="00602402"/>
    <w:rsid w:val="00606093"/>
    <w:rsid w:val="0060783F"/>
    <w:rsid w:val="00607CB9"/>
    <w:rsid w:val="00607DAF"/>
    <w:rsid w:val="00610740"/>
    <w:rsid w:val="00612618"/>
    <w:rsid w:val="0061441D"/>
    <w:rsid w:val="006144DF"/>
    <w:rsid w:val="006147CA"/>
    <w:rsid w:val="00614FF5"/>
    <w:rsid w:val="00615C8B"/>
    <w:rsid w:val="0062043B"/>
    <w:rsid w:val="00620527"/>
    <w:rsid w:val="0062053B"/>
    <w:rsid w:val="00620927"/>
    <w:rsid w:val="0062092E"/>
    <w:rsid w:val="00620A35"/>
    <w:rsid w:val="00620C55"/>
    <w:rsid w:val="00620C69"/>
    <w:rsid w:val="0062116D"/>
    <w:rsid w:val="00623306"/>
    <w:rsid w:val="00623E8C"/>
    <w:rsid w:val="00625E75"/>
    <w:rsid w:val="00626354"/>
    <w:rsid w:val="006271A3"/>
    <w:rsid w:val="00630CBE"/>
    <w:rsid w:val="006319B3"/>
    <w:rsid w:val="00631A43"/>
    <w:rsid w:val="00633542"/>
    <w:rsid w:val="00635E5A"/>
    <w:rsid w:val="00636C6A"/>
    <w:rsid w:val="00640954"/>
    <w:rsid w:val="00640C79"/>
    <w:rsid w:val="00643DDE"/>
    <w:rsid w:val="00644951"/>
    <w:rsid w:val="00644ECD"/>
    <w:rsid w:val="00645DA3"/>
    <w:rsid w:val="00646432"/>
    <w:rsid w:val="0064691B"/>
    <w:rsid w:val="0064732B"/>
    <w:rsid w:val="006477EC"/>
    <w:rsid w:val="00650039"/>
    <w:rsid w:val="00650591"/>
    <w:rsid w:val="00650965"/>
    <w:rsid w:val="00650C12"/>
    <w:rsid w:val="00650E84"/>
    <w:rsid w:val="00651CEC"/>
    <w:rsid w:val="00652EF0"/>
    <w:rsid w:val="00653B17"/>
    <w:rsid w:val="0065459F"/>
    <w:rsid w:val="00654B2E"/>
    <w:rsid w:val="00656584"/>
    <w:rsid w:val="00660038"/>
    <w:rsid w:val="00660D19"/>
    <w:rsid w:val="00662151"/>
    <w:rsid w:val="00662878"/>
    <w:rsid w:val="00663206"/>
    <w:rsid w:val="0066404C"/>
    <w:rsid w:val="0066411D"/>
    <w:rsid w:val="006641F1"/>
    <w:rsid w:val="00664551"/>
    <w:rsid w:val="00665B87"/>
    <w:rsid w:val="00665C3B"/>
    <w:rsid w:val="00665CA5"/>
    <w:rsid w:val="006666F6"/>
    <w:rsid w:val="00666D25"/>
    <w:rsid w:val="00666D98"/>
    <w:rsid w:val="006678CC"/>
    <w:rsid w:val="00671349"/>
    <w:rsid w:val="00671E88"/>
    <w:rsid w:val="00672225"/>
    <w:rsid w:val="00672E25"/>
    <w:rsid w:val="00673672"/>
    <w:rsid w:val="00673B11"/>
    <w:rsid w:val="00675086"/>
    <w:rsid w:val="0067538C"/>
    <w:rsid w:val="006753C6"/>
    <w:rsid w:val="00675D4C"/>
    <w:rsid w:val="00675FDD"/>
    <w:rsid w:val="00676329"/>
    <w:rsid w:val="00676964"/>
    <w:rsid w:val="00677B48"/>
    <w:rsid w:val="00680F01"/>
    <w:rsid w:val="0068156F"/>
    <w:rsid w:val="00681A35"/>
    <w:rsid w:val="00681DB6"/>
    <w:rsid w:val="0068257B"/>
    <w:rsid w:val="00682C1D"/>
    <w:rsid w:val="00682E24"/>
    <w:rsid w:val="00685A78"/>
    <w:rsid w:val="00685BFC"/>
    <w:rsid w:val="00685F17"/>
    <w:rsid w:val="0068645D"/>
    <w:rsid w:val="00686791"/>
    <w:rsid w:val="0068720F"/>
    <w:rsid w:val="006910D5"/>
    <w:rsid w:val="00691BB1"/>
    <w:rsid w:val="00691E98"/>
    <w:rsid w:val="006925A9"/>
    <w:rsid w:val="006925B8"/>
    <w:rsid w:val="006926E9"/>
    <w:rsid w:val="006926EC"/>
    <w:rsid w:val="00692D17"/>
    <w:rsid w:val="00693017"/>
    <w:rsid w:val="00693406"/>
    <w:rsid w:val="00694EAF"/>
    <w:rsid w:val="00694EDB"/>
    <w:rsid w:val="00694F9E"/>
    <w:rsid w:val="006976A4"/>
    <w:rsid w:val="006A19A2"/>
    <w:rsid w:val="006A1C7E"/>
    <w:rsid w:val="006A3AF5"/>
    <w:rsid w:val="006A45FE"/>
    <w:rsid w:val="006A4E09"/>
    <w:rsid w:val="006A5165"/>
    <w:rsid w:val="006A62B2"/>
    <w:rsid w:val="006B005F"/>
    <w:rsid w:val="006B00FC"/>
    <w:rsid w:val="006B1C26"/>
    <w:rsid w:val="006B3770"/>
    <w:rsid w:val="006B38C6"/>
    <w:rsid w:val="006B3BA5"/>
    <w:rsid w:val="006B612E"/>
    <w:rsid w:val="006C106F"/>
    <w:rsid w:val="006C109E"/>
    <w:rsid w:val="006C126C"/>
    <w:rsid w:val="006C1A54"/>
    <w:rsid w:val="006C2292"/>
    <w:rsid w:val="006C2910"/>
    <w:rsid w:val="006C49A0"/>
    <w:rsid w:val="006C4B61"/>
    <w:rsid w:val="006C50B9"/>
    <w:rsid w:val="006C7710"/>
    <w:rsid w:val="006C789D"/>
    <w:rsid w:val="006C790B"/>
    <w:rsid w:val="006C7A09"/>
    <w:rsid w:val="006D0190"/>
    <w:rsid w:val="006D0194"/>
    <w:rsid w:val="006D05EB"/>
    <w:rsid w:val="006D167B"/>
    <w:rsid w:val="006D1DEE"/>
    <w:rsid w:val="006D562E"/>
    <w:rsid w:val="006E0398"/>
    <w:rsid w:val="006E1439"/>
    <w:rsid w:val="006E19FB"/>
    <w:rsid w:val="006E25BF"/>
    <w:rsid w:val="006E406F"/>
    <w:rsid w:val="006E477C"/>
    <w:rsid w:val="006E50DF"/>
    <w:rsid w:val="006E637D"/>
    <w:rsid w:val="006F217D"/>
    <w:rsid w:val="006F2D18"/>
    <w:rsid w:val="006F3A65"/>
    <w:rsid w:val="006F3C07"/>
    <w:rsid w:val="006F4575"/>
    <w:rsid w:val="006F471F"/>
    <w:rsid w:val="006F7F7B"/>
    <w:rsid w:val="00700DA5"/>
    <w:rsid w:val="0070312E"/>
    <w:rsid w:val="007046ED"/>
    <w:rsid w:val="007049EE"/>
    <w:rsid w:val="00704B36"/>
    <w:rsid w:val="00704CE7"/>
    <w:rsid w:val="007055B5"/>
    <w:rsid w:val="007066D6"/>
    <w:rsid w:val="00706851"/>
    <w:rsid w:val="00706DEF"/>
    <w:rsid w:val="00707F03"/>
    <w:rsid w:val="007114D8"/>
    <w:rsid w:val="00717608"/>
    <w:rsid w:val="00720427"/>
    <w:rsid w:val="007223BF"/>
    <w:rsid w:val="0072490A"/>
    <w:rsid w:val="00725E3A"/>
    <w:rsid w:val="007272E8"/>
    <w:rsid w:val="00727BC2"/>
    <w:rsid w:val="00730BAC"/>
    <w:rsid w:val="00731CD4"/>
    <w:rsid w:val="007324EA"/>
    <w:rsid w:val="00734456"/>
    <w:rsid w:val="00734A3F"/>
    <w:rsid w:val="0073729E"/>
    <w:rsid w:val="00737457"/>
    <w:rsid w:val="00740FB9"/>
    <w:rsid w:val="0074167A"/>
    <w:rsid w:val="00741F01"/>
    <w:rsid w:val="00742F61"/>
    <w:rsid w:val="00745C12"/>
    <w:rsid w:val="0074639A"/>
    <w:rsid w:val="00746D3E"/>
    <w:rsid w:val="0075147D"/>
    <w:rsid w:val="00752526"/>
    <w:rsid w:val="00752C94"/>
    <w:rsid w:val="007532D7"/>
    <w:rsid w:val="007539E6"/>
    <w:rsid w:val="00753D4C"/>
    <w:rsid w:val="00760412"/>
    <w:rsid w:val="00760602"/>
    <w:rsid w:val="007613D7"/>
    <w:rsid w:val="007623A2"/>
    <w:rsid w:val="00762AE2"/>
    <w:rsid w:val="00763359"/>
    <w:rsid w:val="007662B3"/>
    <w:rsid w:val="007666C1"/>
    <w:rsid w:val="00767537"/>
    <w:rsid w:val="0076754C"/>
    <w:rsid w:val="00772AE2"/>
    <w:rsid w:val="007734C2"/>
    <w:rsid w:val="00773793"/>
    <w:rsid w:val="007742F0"/>
    <w:rsid w:val="00775D7A"/>
    <w:rsid w:val="00776390"/>
    <w:rsid w:val="007779D1"/>
    <w:rsid w:val="00781AF9"/>
    <w:rsid w:val="00782133"/>
    <w:rsid w:val="007835C0"/>
    <w:rsid w:val="00783E8B"/>
    <w:rsid w:val="00785DCD"/>
    <w:rsid w:val="0078656D"/>
    <w:rsid w:val="007873ED"/>
    <w:rsid w:val="0079152D"/>
    <w:rsid w:val="007917EC"/>
    <w:rsid w:val="00792892"/>
    <w:rsid w:val="007928D5"/>
    <w:rsid w:val="00792BFA"/>
    <w:rsid w:val="00792E9F"/>
    <w:rsid w:val="00793E60"/>
    <w:rsid w:val="0079426F"/>
    <w:rsid w:val="0079576A"/>
    <w:rsid w:val="00795994"/>
    <w:rsid w:val="00795D29"/>
    <w:rsid w:val="00796323"/>
    <w:rsid w:val="00796A89"/>
    <w:rsid w:val="007A0348"/>
    <w:rsid w:val="007A27ED"/>
    <w:rsid w:val="007A36C8"/>
    <w:rsid w:val="007A3DE6"/>
    <w:rsid w:val="007A4A21"/>
    <w:rsid w:val="007A4C86"/>
    <w:rsid w:val="007A4DE5"/>
    <w:rsid w:val="007A5A73"/>
    <w:rsid w:val="007A5DD7"/>
    <w:rsid w:val="007A5E17"/>
    <w:rsid w:val="007A6630"/>
    <w:rsid w:val="007B07F7"/>
    <w:rsid w:val="007B34C8"/>
    <w:rsid w:val="007B3BA2"/>
    <w:rsid w:val="007B42C5"/>
    <w:rsid w:val="007B4D40"/>
    <w:rsid w:val="007B5C7E"/>
    <w:rsid w:val="007B6259"/>
    <w:rsid w:val="007B70A2"/>
    <w:rsid w:val="007B798F"/>
    <w:rsid w:val="007C03FB"/>
    <w:rsid w:val="007C207B"/>
    <w:rsid w:val="007C280E"/>
    <w:rsid w:val="007C2DD4"/>
    <w:rsid w:val="007C3650"/>
    <w:rsid w:val="007C4413"/>
    <w:rsid w:val="007C45BA"/>
    <w:rsid w:val="007C54A7"/>
    <w:rsid w:val="007C56FF"/>
    <w:rsid w:val="007C7470"/>
    <w:rsid w:val="007D0658"/>
    <w:rsid w:val="007D0E1A"/>
    <w:rsid w:val="007D1E1A"/>
    <w:rsid w:val="007D20CC"/>
    <w:rsid w:val="007D25F1"/>
    <w:rsid w:val="007D3888"/>
    <w:rsid w:val="007D41CB"/>
    <w:rsid w:val="007D42D7"/>
    <w:rsid w:val="007D4B04"/>
    <w:rsid w:val="007D51E5"/>
    <w:rsid w:val="007D5490"/>
    <w:rsid w:val="007D5F2C"/>
    <w:rsid w:val="007D71FD"/>
    <w:rsid w:val="007D736B"/>
    <w:rsid w:val="007E0C74"/>
    <w:rsid w:val="007E2A19"/>
    <w:rsid w:val="007E2A9E"/>
    <w:rsid w:val="007E35D8"/>
    <w:rsid w:val="007E3918"/>
    <w:rsid w:val="007E686C"/>
    <w:rsid w:val="007E6AAD"/>
    <w:rsid w:val="007E7881"/>
    <w:rsid w:val="007F1ABB"/>
    <w:rsid w:val="007F2047"/>
    <w:rsid w:val="007F3497"/>
    <w:rsid w:val="007F69B0"/>
    <w:rsid w:val="007F6C16"/>
    <w:rsid w:val="007F70DC"/>
    <w:rsid w:val="0080031B"/>
    <w:rsid w:val="008006CF"/>
    <w:rsid w:val="00801B76"/>
    <w:rsid w:val="00801FC0"/>
    <w:rsid w:val="00802253"/>
    <w:rsid w:val="0080247F"/>
    <w:rsid w:val="0080454C"/>
    <w:rsid w:val="0080467A"/>
    <w:rsid w:val="00805798"/>
    <w:rsid w:val="00806058"/>
    <w:rsid w:val="00807B64"/>
    <w:rsid w:val="0081091C"/>
    <w:rsid w:val="0081217D"/>
    <w:rsid w:val="00814000"/>
    <w:rsid w:val="008140DD"/>
    <w:rsid w:val="00816F6D"/>
    <w:rsid w:val="00817F18"/>
    <w:rsid w:val="008219AD"/>
    <w:rsid w:val="00821C3C"/>
    <w:rsid w:val="00822EAD"/>
    <w:rsid w:val="0082354A"/>
    <w:rsid w:val="008254FE"/>
    <w:rsid w:val="0082557F"/>
    <w:rsid w:val="00826605"/>
    <w:rsid w:val="00826917"/>
    <w:rsid w:val="00826B16"/>
    <w:rsid w:val="00827FB4"/>
    <w:rsid w:val="00830C9E"/>
    <w:rsid w:val="00831041"/>
    <w:rsid w:val="008316C9"/>
    <w:rsid w:val="0083275B"/>
    <w:rsid w:val="008328BE"/>
    <w:rsid w:val="00832F68"/>
    <w:rsid w:val="00833CEF"/>
    <w:rsid w:val="00833DAB"/>
    <w:rsid w:val="00833FC0"/>
    <w:rsid w:val="0083515A"/>
    <w:rsid w:val="0083587D"/>
    <w:rsid w:val="00835906"/>
    <w:rsid w:val="008371CF"/>
    <w:rsid w:val="008435C3"/>
    <w:rsid w:val="008436FD"/>
    <w:rsid w:val="0084389A"/>
    <w:rsid w:val="0084518E"/>
    <w:rsid w:val="008456F8"/>
    <w:rsid w:val="008459E9"/>
    <w:rsid w:val="00845FB2"/>
    <w:rsid w:val="00851F01"/>
    <w:rsid w:val="0085474E"/>
    <w:rsid w:val="00854E6D"/>
    <w:rsid w:val="0085556D"/>
    <w:rsid w:val="008561B1"/>
    <w:rsid w:val="00857B95"/>
    <w:rsid w:val="00857BA7"/>
    <w:rsid w:val="00860E3A"/>
    <w:rsid w:val="00861A51"/>
    <w:rsid w:val="00862950"/>
    <w:rsid w:val="00863DF5"/>
    <w:rsid w:val="0086427C"/>
    <w:rsid w:val="00865F5D"/>
    <w:rsid w:val="008700AC"/>
    <w:rsid w:val="00870882"/>
    <w:rsid w:val="00870F7B"/>
    <w:rsid w:val="0087198C"/>
    <w:rsid w:val="00872FB8"/>
    <w:rsid w:val="00873184"/>
    <w:rsid w:val="00874A3C"/>
    <w:rsid w:val="00874C99"/>
    <w:rsid w:val="00874D3C"/>
    <w:rsid w:val="0087624D"/>
    <w:rsid w:val="008767FE"/>
    <w:rsid w:val="0087737B"/>
    <w:rsid w:val="008775CD"/>
    <w:rsid w:val="00880050"/>
    <w:rsid w:val="0088082A"/>
    <w:rsid w:val="008815BB"/>
    <w:rsid w:val="00881D64"/>
    <w:rsid w:val="008837AE"/>
    <w:rsid w:val="00891496"/>
    <w:rsid w:val="00892086"/>
    <w:rsid w:val="008921E9"/>
    <w:rsid w:val="008924A6"/>
    <w:rsid w:val="00892C1F"/>
    <w:rsid w:val="008942BE"/>
    <w:rsid w:val="008945BF"/>
    <w:rsid w:val="008957E8"/>
    <w:rsid w:val="00896270"/>
    <w:rsid w:val="00897805"/>
    <w:rsid w:val="00897BC9"/>
    <w:rsid w:val="008A0969"/>
    <w:rsid w:val="008A0D0F"/>
    <w:rsid w:val="008A17E1"/>
    <w:rsid w:val="008A23A7"/>
    <w:rsid w:val="008A4C2C"/>
    <w:rsid w:val="008A686A"/>
    <w:rsid w:val="008A6CBE"/>
    <w:rsid w:val="008A6D65"/>
    <w:rsid w:val="008B0530"/>
    <w:rsid w:val="008B0831"/>
    <w:rsid w:val="008B1866"/>
    <w:rsid w:val="008B20F6"/>
    <w:rsid w:val="008B3F14"/>
    <w:rsid w:val="008B4FC4"/>
    <w:rsid w:val="008B50FE"/>
    <w:rsid w:val="008B5440"/>
    <w:rsid w:val="008B6EF8"/>
    <w:rsid w:val="008B785B"/>
    <w:rsid w:val="008C1035"/>
    <w:rsid w:val="008C14F2"/>
    <w:rsid w:val="008C4D76"/>
    <w:rsid w:val="008C55B6"/>
    <w:rsid w:val="008C5790"/>
    <w:rsid w:val="008C5F2B"/>
    <w:rsid w:val="008C6CC3"/>
    <w:rsid w:val="008C6FA5"/>
    <w:rsid w:val="008C7EC0"/>
    <w:rsid w:val="008D0B70"/>
    <w:rsid w:val="008D231D"/>
    <w:rsid w:val="008D4038"/>
    <w:rsid w:val="008D4C28"/>
    <w:rsid w:val="008D59B4"/>
    <w:rsid w:val="008D5A0C"/>
    <w:rsid w:val="008D5BB1"/>
    <w:rsid w:val="008D5BCB"/>
    <w:rsid w:val="008D7962"/>
    <w:rsid w:val="008E0BAF"/>
    <w:rsid w:val="008E174F"/>
    <w:rsid w:val="008E1C4F"/>
    <w:rsid w:val="008E3B6A"/>
    <w:rsid w:val="008E5AE7"/>
    <w:rsid w:val="008E5F6E"/>
    <w:rsid w:val="008E7216"/>
    <w:rsid w:val="008E723B"/>
    <w:rsid w:val="008E7521"/>
    <w:rsid w:val="008F02CB"/>
    <w:rsid w:val="008F0CFF"/>
    <w:rsid w:val="008F2477"/>
    <w:rsid w:val="008F38AE"/>
    <w:rsid w:val="008F5D48"/>
    <w:rsid w:val="008F5D9E"/>
    <w:rsid w:val="008F5F7F"/>
    <w:rsid w:val="008F600E"/>
    <w:rsid w:val="008F70A7"/>
    <w:rsid w:val="00900684"/>
    <w:rsid w:val="00900E59"/>
    <w:rsid w:val="00901B1F"/>
    <w:rsid w:val="009023DA"/>
    <w:rsid w:val="00904073"/>
    <w:rsid w:val="00904D6A"/>
    <w:rsid w:val="00906D03"/>
    <w:rsid w:val="00907E9B"/>
    <w:rsid w:val="00907F30"/>
    <w:rsid w:val="00910236"/>
    <w:rsid w:val="009109AB"/>
    <w:rsid w:val="00910B04"/>
    <w:rsid w:val="00910FEA"/>
    <w:rsid w:val="00912191"/>
    <w:rsid w:val="009126C0"/>
    <w:rsid w:val="0091431D"/>
    <w:rsid w:val="0091457F"/>
    <w:rsid w:val="00914D9D"/>
    <w:rsid w:val="00914E23"/>
    <w:rsid w:val="00916CCA"/>
    <w:rsid w:val="00916ECD"/>
    <w:rsid w:val="00917D7A"/>
    <w:rsid w:val="009202B3"/>
    <w:rsid w:val="00920F0C"/>
    <w:rsid w:val="009216AB"/>
    <w:rsid w:val="00923D42"/>
    <w:rsid w:val="00924366"/>
    <w:rsid w:val="009243BB"/>
    <w:rsid w:val="009248EF"/>
    <w:rsid w:val="00924B73"/>
    <w:rsid w:val="00924EAF"/>
    <w:rsid w:val="00925584"/>
    <w:rsid w:val="00931C18"/>
    <w:rsid w:val="00931C25"/>
    <w:rsid w:val="009323AE"/>
    <w:rsid w:val="00934EC0"/>
    <w:rsid w:val="00935331"/>
    <w:rsid w:val="00935407"/>
    <w:rsid w:val="00936678"/>
    <w:rsid w:val="00936774"/>
    <w:rsid w:val="00936991"/>
    <w:rsid w:val="009372B5"/>
    <w:rsid w:val="009376CB"/>
    <w:rsid w:val="00943282"/>
    <w:rsid w:val="009441CD"/>
    <w:rsid w:val="00944432"/>
    <w:rsid w:val="009460C8"/>
    <w:rsid w:val="00946513"/>
    <w:rsid w:val="0095025A"/>
    <w:rsid w:val="009510D8"/>
    <w:rsid w:val="00951279"/>
    <w:rsid w:val="009523E2"/>
    <w:rsid w:val="0095634A"/>
    <w:rsid w:val="00956E98"/>
    <w:rsid w:val="00960664"/>
    <w:rsid w:val="00961577"/>
    <w:rsid w:val="00961A78"/>
    <w:rsid w:val="00962A74"/>
    <w:rsid w:val="00963D63"/>
    <w:rsid w:val="009644DD"/>
    <w:rsid w:val="009648E8"/>
    <w:rsid w:val="00964EF7"/>
    <w:rsid w:val="00964FA1"/>
    <w:rsid w:val="00966980"/>
    <w:rsid w:val="00967495"/>
    <w:rsid w:val="009706E0"/>
    <w:rsid w:val="009727AC"/>
    <w:rsid w:val="009734A8"/>
    <w:rsid w:val="00973690"/>
    <w:rsid w:val="0097498D"/>
    <w:rsid w:val="00974E57"/>
    <w:rsid w:val="009757B1"/>
    <w:rsid w:val="009763F3"/>
    <w:rsid w:val="00976793"/>
    <w:rsid w:val="009801D2"/>
    <w:rsid w:val="009808AA"/>
    <w:rsid w:val="00980A53"/>
    <w:rsid w:val="009816F5"/>
    <w:rsid w:val="00981B8C"/>
    <w:rsid w:val="00981B92"/>
    <w:rsid w:val="00983054"/>
    <w:rsid w:val="00985105"/>
    <w:rsid w:val="00985E6C"/>
    <w:rsid w:val="00986F65"/>
    <w:rsid w:val="00987BBD"/>
    <w:rsid w:val="009907D3"/>
    <w:rsid w:val="009911A3"/>
    <w:rsid w:val="00991799"/>
    <w:rsid w:val="00991FF4"/>
    <w:rsid w:val="00992C8C"/>
    <w:rsid w:val="009934EE"/>
    <w:rsid w:val="00994F60"/>
    <w:rsid w:val="00997901"/>
    <w:rsid w:val="009A09F7"/>
    <w:rsid w:val="009A121F"/>
    <w:rsid w:val="009A1C92"/>
    <w:rsid w:val="009A2533"/>
    <w:rsid w:val="009A3508"/>
    <w:rsid w:val="009A3820"/>
    <w:rsid w:val="009A52F7"/>
    <w:rsid w:val="009A5D24"/>
    <w:rsid w:val="009B2079"/>
    <w:rsid w:val="009B5C15"/>
    <w:rsid w:val="009B7C78"/>
    <w:rsid w:val="009C124F"/>
    <w:rsid w:val="009C15A2"/>
    <w:rsid w:val="009C252E"/>
    <w:rsid w:val="009C2EC7"/>
    <w:rsid w:val="009C45C5"/>
    <w:rsid w:val="009C47A0"/>
    <w:rsid w:val="009C49D4"/>
    <w:rsid w:val="009C5800"/>
    <w:rsid w:val="009C6DB2"/>
    <w:rsid w:val="009C7076"/>
    <w:rsid w:val="009C7347"/>
    <w:rsid w:val="009C7E05"/>
    <w:rsid w:val="009C7F7B"/>
    <w:rsid w:val="009D0B45"/>
    <w:rsid w:val="009D0CE9"/>
    <w:rsid w:val="009D1353"/>
    <w:rsid w:val="009D18DB"/>
    <w:rsid w:val="009D1CF2"/>
    <w:rsid w:val="009D3203"/>
    <w:rsid w:val="009D36BB"/>
    <w:rsid w:val="009D67C5"/>
    <w:rsid w:val="009D70E7"/>
    <w:rsid w:val="009D788E"/>
    <w:rsid w:val="009D7982"/>
    <w:rsid w:val="009D7A14"/>
    <w:rsid w:val="009D7BD8"/>
    <w:rsid w:val="009D7CF6"/>
    <w:rsid w:val="009E0BB0"/>
    <w:rsid w:val="009E13F7"/>
    <w:rsid w:val="009E1AB9"/>
    <w:rsid w:val="009E23AA"/>
    <w:rsid w:val="009E74C7"/>
    <w:rsid w:val="009F01EF"/>
    <w:rsid w:val="009F10AD"/>
    <w:rsid w:val="009F122D"/>
    <w:rsid w:val="009F17E5"/>
    <w:rsid w:val="009F1D04"/>
    <w:rsid w:val="009F1D47"/>
    <w:rsid w:val="009F45E3"/>
    <w:rsid w:val="009F4D30"/>
    <w:rsid w:val="009F620C"/>
    <w:rsid w:val="009F6DF8"/>
    <w:rsid w:val="009F7AA8"/>
    <w:rsid w:val="009F7CAE"/>
    <w:rsid w:val="00A01AA1"/>
    <w:rsid w:val="00A02A7A"/>
    <w:rsid w:val="00A02BC7"/>
    <w:rsid w:val="00A03752"/>
    <w:rsid w:val="00A04205"/>
    <w:rsid w:val="00A042F2"/>
    <w:rsid w:val="00A04F0D"/>
    <w:rsid w:val="00A05805"/>
    <w:rsid w:val="00A06932"/>
    <w:rsid w:val="00A0725F"/>
    <w:rsid w:val="00A078DF"/>
    <w:rsid w:val="00A07D19"/>
    <w:rsid w:val="00A10787"/>
    <w:rsid w:val="00A11B68"/>
    <w:rsid w:val="00A11D0C"/>
    <w:rsid w:val="00A11E84"/>
    <w:rsid w:val="00A139A3"/>
    <w:rsid w:val="00A13F42"/>
    <w:rsid w:val="00A15981"/>
    <w:rsid w:val="00A16910"/>
    <w:rsid w:val="00A20BFB"/>
    <w:rsid w:val="00A20C8C"/>
    <w:rsid w:val="00A21420"/>
    <w:rsid w:val="00A21B35"/>
    <w:rsid w:val="00A25BF2"/>
    <w:rsid w:val="00A25FDF"/>
    <w:rsid w:val="00A30100"/>
    <w:rsid w:val="00A310FB"/>
    <w:rsid w:val="00A3124C"/>
    <w:rsid w:val="00A31F5E"/>
    <w:rsid w:val="00A35B20"/>
    <w:rsid w:val="00A35DC4"/>
    <w:rsid w:val="00A360BD"/>
    <w:rsid w:val="00A36F91"/>
    <w:rsid w:val="00A4041D"/>
    <w:rsid w:val="00A40A87"/>
    <w:rsid w:val="00A4170D"/>
    <w:rsid w:val="00A42CF6"/>
    <w:rsid w:val="00A45E00"/>
    <w:rsid w:val="00A47311"/>
    <w:rsid w:val="00A47848"/>
    <w:rsid w:val="00A47A4D"/>
    <w:rsid w:val="00A52642"/>
    <w:rsid w:val="00A52923"/>
    <w:rsid w:val="00A52DF2"/>
    <w:rsid w:val="00A53A13"/>
    <w:rsid w:val="00A53ED1"/>
    <w:rsid w:val="00A55D38"/>
    <w:rsid w:val="00A55E36"/>
    <w:rsid w:val="00A57386"/>
    <w:rsid w:val="00A60F68"/>
    <w:rsid w:val="00A6482E"/>
    <w:rsid w:val="00A65E0B"/>
    <w:rsid w:val="00A66381"/>
    <w:rsid w:val="00A67A2C"/>
    <w:rsid w:val="00A7026E"/>
    <w:rsid w:val="00A70791"/>
    <w:rsid w:val="00A70ED0"/>
    <w:rsid w:val="00A71003"/>
    <w:rsid w:val="00A71443"/>
    <w:rsid w:val="00A72418"/>
    <w:rsid w:val="00A72538"/>
    <w:rsid w:val="00A73048"/>
    <w:rsid w:val="00A735D4"/>
    <w:rsid w:val="00A736C9"/>
    <w:rsid w:val="00A73A75"/>
    <w:rsid w:val="00A73CE2"/>
    <w:rsid w:val="00A73F66"/>
    <w:rsid w:val="00A73FDA"/>
    <w:rsid w:val="00A744B7"/>
    <w:rsid w:val="00A746F8"/>
    <w:rsid w:val="00A7609F"/>
    <w:rsid w:val="00A76673"/>
    <w:rsid w:val="00A76AF1"/>
    <w:rsid w:val="00A80612"/>
    <w:rsid w:val="00A80BD7"/>
    <w:rsid w:val="00A80CF7"/>
    <w:rsid w:val="00A81979"/>
    <w:rsid w:val="00A82040"/>
    <w:rsid w:val="00A82384"/>
    <w:rsid w:val="00A836AD"/>
    <w:rsid w:val="00A84440"/>
    <w:rsid w:val="00A8464D"/>
    <w:rsid w:val="00A90277"/>
    <w:rsid w:val="00A922DB"/>
    <w:rsid w:val="00A92AAC"/>
    <w:rsid w:val="00A935E0"/>
    <w:rsid w:val="00A938D8"/>
    <w:rsid w:val="00A96288"/>
    <w:rsid w:val="00A97819"/>
    <w:rsid w:val="00A97AB0"/>
    <w:rsid w:val="00AA0451"/>
    <w:rsid w:val="00AA155B"/>
    <w:rsid w:val="00AA2504"/>
    <w:rsid w:val="00AA2AC3"/>
    <w:rsid w:val="00AA4223"/>
    <w:rsid w:val="00AA47A4"/>
    <w:rsid w:val="00AA49EA"/>
    <w:rsid w:val="00AA54A9"/>
    <w:rsid w:val="00AA5CB0"/>
    <w:rsid w:val="00AA633B"/>
    <w:rsid w:val="00AA6804"/>
    <w:rsid w:val="00AA6ED5"/>
    <w:rsid w:val="00AB2F36"/>
    <w:rsid w:val="00AB3AF8"/>
    <w:rsid w:val="00AB4A29"/>
    <w:rsid w:val="00AB52EE"/>
    <w:rsid w:val="00AB5583"/>
    <w:rsid w:val="00AB625A"/>
    <w:rsid w:val="00AB71D3"/>
    <w:rsid w:val="00AB785C"/>
    <w:rsid w:val="00AC176F"/>
    <w:rsid w:val="00AC2015"/>
    <w:rsid w:val="00AC2651"/>
    <w:rsid w:val="00AC55DE"/>
    <w:rsid w:val="00AC66A9"/>
    <w:rsid w:val="00AC67C4"/>
    <w:rsid w:val="00AC7F14"/>
    <w:rsid w:val="00AD0267"/>
    <w:rsid w:val="00AD0A60"/>
    <w:rsid w:val="00AD0B12"/>
    <w:rsid w:val="00AD2477"/>
    <w:rsid w:val="00AD3077"/>
    <w:rsid w:val="00AD3C04"/>
    <w:rsid w:val="00AD41E5"/>
    <w:rsid w:val="00AD4978"/>
    <w:rsid w:val="00AD4D36"/>
    <w:rsid w:val="00AD4D4C"/>
    <w:rsid w:val="00AD5993"/>
    <w:rsid w:val="00AE08B4"/>
    <w:rsid w:val="00AE24BB"/>
    <w:rsid w:val="00AE2A9D"/>
    <w:rsid w:val="00AE2AC9"/>
    <w:rsid w:val="00AE3028"/>
    <w:rsid w:val="00AE3126"/>
    <w:rsid w:val="00AE3177"/>
    <w:rsid w:val="00AE37A7"/>
    <w:rsid w:val="00AE38D8"/>
    <w:rsid w:val="00AE3B5A"/>
    <w:rsid w:val="00AE3F0E"/>
    <w:rsid w:val="00AE5B51"/>
    <w:rsid w:val="00AE6A1B"/>
    <w:rsid w:val="00AE7205"/>
    <w:rsid w:val="00AE7C92"/>
    <w:rsid w:val="00AF2360"/>
    <w:rsid w:val="00AF474E"/>
    <w:rsid w:val="00AF6DB0"/>
    <w:rsid w:val="00AF77F5"/>
    <w:rsid w:val="00AF7F1E"/>
    <w:rsid w:val="00B01B99"/>
    <w:rsid w:val="00B022C1"/>
    <w:rsid w:val="00B07535"/>
    <w:rsid w:val="00B10B20"/>
    <w:rsid w:val="00B10BEF"/>
    <w:rsid w:val="00B11FA7"/>
    <w:rsid w:val="00B14F5E"/>
    <w:rsid w:val="00B156C3"/>
    <w:rsid w:val="00B15BDC"/>
    <w:rsid w:val="00B204F9"/>
    <w:rsid w:val="00B20D91"/>
    <w:rsid w:val="00B21782"/>
    <w:rsid w:val="00B217BF"/>
    <w:rsid w:val="00B22628"/>
    <w:rsid w:val="00B262CC"/>
    <w:rsid w:val="00B26FD9"/>
    <w:rsid w:val="00B278AE"/>
    <w:rsid w:val="00B27B3A"/>
    <w:rsid w:val="00B30AB7"/>
    <w:rsid w:val="00B30DAD"/>
    <w:rsid w:val="00B3256D"/>
    <w:rsid w:val="00B326BB"/>
    <w:rsid w:val="00B32CEE"/>
    <w:rsid w:val="00B34E7F"/>
    <w:rsid w:val="00B3577A"/>
    <w:rsid w:val="00B37BFF"/>
    <w:rsid w:val="00B415BA"/>
    <w:rsid w:val="00B417FD"/>
    <w:rsid w:val="00B41E04"/>
    <w:rsid w:val="00B447BF"/>
    <w:rsid w:val="00B448E7"/>
    <w:rsid w:val="00B45B44"/>
    <w:rsid w:val="00B47657"/>
    <w:rsid w:val="00B51268"/>
    <w:rsid w:val="00B51EEC"/>
    <w:rsid w:val="00B52A6C"/>
    <w:rsid w:val="00B535D4"/>
    <w:rsid w:val="00B55963"/>
    <w:rsid w:val="00B55FF2"/>
    <w:rsid w:val="00B56288"/>
    <w:rsid w:val="00B5665E"/>
    <w:rsid w:val="00B56C02"/>
    <w:rsid w:val="00B57413"/>
    <w:rsid w:val="00B57EFA"/>
    <w:rsid w:val="00B63782"/>
    <w:rsid w:val="00B637FB"/>
    <w:rsid w:val="00B642EA"/>
    <w:rsid w:val="00B64B9A"/>
    <w:rsid w:val="00B66249"/>
    <w:rsid w:val="00B66FAC"/>
    <w:rsid w:val="00B67FB7"/>
    <w:rsid w:val="00B708F5"/>
    <w:rsid w:val="00B71D61"/>
    <w:rsid w:val="00B7204F"/>
    <w:rsid w:val="00B73B13"/>
    <w:rsid w:val="00B742D7"/>
    <w:rsid w:val="00B74B5C"/>
    <w:rsid w:val="00B75F1E"/>
    <w:rsid w:val="00B778A0"/>
    <w:rsid w:val="00B81055"/>
    <w:rsid w:val="00B8132B"/>
    <w:rsid w:val="00B8255A"/>
    <w:rsid w:val="00B82CD0"/>
    <w:rsid w:val="00B83190"/>
    <w:rsid w:val="00B844F6"/>
    <w:rsid w:val="00B84E72"/>
    <w:rsid w:val="00B8589B"/>
    <w:rsid w:val="00B85B67"/>
    <w:rsid w:val="00B8759F"/>
    <w:rsid w:val="00B87B16"/>
    <w:rsid w:val="00B90D81"/>
    <w:rsid w:val="00B91375"/>
    <w:rsid w:val="00B9165F"/>
    <w:rsid w:val="00B91EE3"/>
    <w:rsid w:val="00B928E7"/>
    <w:rsid w:val="00B928FE"/>
    <w:rsid w:val="00B95210"/>
    <w:rsid w:val="00B95486"/>
    <w:rsid w:val="00B95B6C"/>
    <w:rsid w:val="00B9616D"/>
    <w:rsid w:val="00B9624D"/>
    <w:rsid w:val="00B964B2"/>
    <w:rsid w:val="00B97DAC"/>
    <w:rsid w:val="00BA1ED3"/>
    <w:rsid w:val="00BA2A3A"/>
    <w:rsid w:val="00BA3743"/>
    <w:rsid w:val="00BA4D5F"/>
    <w:rsid w:val="00BA5033"/>
    <w:rsid w:val="00BA607E"/>
    <w:rsid w:val="00BA70C5"/>
    <w:rsid w:val="00BA74AA"/>
    <w:rsid w:val="00BB0109"/>
    <w:rsid w:val="00BB0459"/>
    <w:rsid w:val="00BB094D"/>
    <w:rsid w:val="00BB0A7E"/>
    <w:rsid w:val="00BB0C4C"/>
    <w:rsid w:val="00BB12A0"/>
    <w:rsid w:val="00BB2D24"/>
    <w:rsid w:val="00BB2EE7"/>
    <w:rsid w:val="00BB4BC9"/>
    <w:rsid w:val="00BB4E90"/>
    <w:rsid w:val="00BB5382"/>
    <w:rsid w:val="00BB6EC9"/>
    <w:rsid w:val="00BC06C9"/>
    <w:rsid w:val="00BC1D27"/>
    <w:rsid w:val="00BC1DA7"/>
    <w:rsid w:val="00BC293A"/>
    <w:rsid w:val="00BC3EC9"/>
    <w:rsid w:val="00BC49F6"/>
    <w:rsid w:val="00BC5BCD"/>
    <w:rsid w:val="00BC606E"/>
    <w:rsid w:val="00BC6F3B"/>
    <w:rsid w:val="00BC7272"/>
    <w:rsid w:val="00BD1B12"/>
    <w:rsid w:val="00BD1D47"/>
    <w:rsid w:val="00BD2C41"/>
    <w:rsid w:val="00BD31D0"/>
    <w:rsid w:val="00BD4082"/>
    <w:rsid w:val="00BD4A24"/>
    <w:rsid w:val="00BD4E4B"/>
    <w:rsid w:val="00BD5BAD"/>
    <w:rsid w:val="00BD7CF0"/>
    <w:rsid w:val="00BE06BF"/>
    <w:rsid w:val="00BE0F7F"/>
    <w:rsid w:val="00BE1DDD"/>
    <w:rsid w:val="00BE25CA"/>
    <w:rsid w:val="00BE35B0"/>
    <w:rsid w:val="00BE377D"/>
    <w:rsid w:val="00BE640E"/>
    <w:rsid w:val="00BE6577"/>
    <w:rsid w:val="00BE68B9"/>
    <w:rsid w:val="00BE7533"/>
    <w:rsid w:val="00BF05B7"/>
    <w:rsid w:val="00BF1076"/>
    <w:rsid w:val="00BF2F61"/>
    <w:rsid w:val="00BF3AC3"/>
    <w:rsid w:val="00BF40BC"/>
    <w:rsid w:val="00BF5350"/>
    <w:rsid w:val="00BF5A38"/>
    <w:rsid w:val="00C00FC9"/>
    <w:rsid w:val="00C01589"/>
    <w:rsid w:val="00C03D79"/>
    <w:rsid w:val="00C041C8"/>
    <w:rsid w:val="00C04BCD"/>
    <w:rsid w:val="00C06B16"/>
    <w:rsid w:val="00C1151B"/>
    <w:rsid w:val="00C117AE"/>
    <w:rsid w:val="00C12737"/>
    <w:rsid w:val="00C13C48"/>
    <w:rsid w:val="00C13F3A"/>
    <w:rsid w:val="00C1478D"/>
    <w:rsid w:val="00C1534D"/>
    <w:rsid w:val="00C15A10"/>
    <w:rsid w:val="00C16299"/>
    <w:rsid w:val="00C222FE"/>
    <w:rsid w:val="00C2381F"/>
    <w:rsid w:val="00C258FF"/>
    <w:rsid w:val="00C26FB3"/>
    <w:rsid w:val="00C271ED"/>
    <w:rsid w:val="00C279EC"/>
    <w:rsid w:val="00C315CC"/>
    <w:rsid w:val="00C32BC2"/>
    <w:rsid w:val="00C32ED5"/>
    <w:rsid w:val="00C33025"/>
    <w:rsid w:val="00C35D89"/>
    <w:rsid w:val="00C36071"/>
    <w:rsid w:val="00C368AB"/>
    <w:rsid w:val="00C369EE"/>
    <w:rsid w:val="00C371A1"/>
    <w:rsid w:val="00C37D05"/>
    <w:rsid w:val="00C404DA"/>
    <w:rsid w:val="00C42798"/>
    <w:rsid w:val="00C42C0D"/>
    <w:rsid w:val="00C43547"/>
    <w:rsid w:val="00C46918"/>
    <w:rsid w:val="00C47A7D"/>
    <w:rsid w:val="00C50F13"/>
    <w:rsid w:val="00C53FB4"/>
    <w:rsid w:val="00C54027"/>
    <w:rsid w:val="00C5435D"/>
    <w:rsid w:val="00C60F1E"/>
    <w:rsid w:val="00C61E72"/>
    <w:rsid w:val="00C62EDB"/>
    <w:rsid w:val="00C6317F"/>
    <w:rsid w:val="00C63D1A"/>
    <w:rsid w:val="00C64174"/>
    <w:rsid w:val="00C64C13"/>
    <w:rsid w:val="00C65E33"/>
    <w:rsid w:val="00C65F15"/>
    <w:rsid w:val="00C66376"/>
    <w:rsid w:val="00C67BDC"/>
    <w:rsid w:val="00C70E56"/>
    <w:rsid w:val="00C71BA1"/>
    <w:rsid w:val="00C73765"/>
    <w:rsid w:val="00C74CF4"/>
    <w:rsid w:val="00C77D2E"/>
    <w:rsid w:val="00C800DC"/>
    <w:rsid w:val="00C806C7"/>
    <w:rsid w:val="00C8127A"/>
    <w:rsid w:val="00C818D7"/>
    <w:rsid w:val="00C82011"/>
    <w:rsid w:val="00C860B7"/>
    <w:rsid w:val="00C862AE"/>
    <w:rsid w:val="00C86642"/>
    <w:rsid w:val="00C875AC"/>
    <w:rsid w:val="00C909B9"/>
    <w:rsid w:val="00C941B5"/>
    <w:rsid w:val="00C966DF"/>
    <w:rsid w:val="00C96CA9"/>
    <w:rsid w:val="00C97476"/>
    <w:rsid w:val="00CA0462"/>
    <w:rsid w:val="00CA095C"/>
    <w:rsid w:val="00CA0C3D"/>
    <w:rsid w:val="00CA0D4C"/>
    <w:rsid w:val="00CA0F01"/>
    <w:rsid w:val="00CA13C5"/>
    <w:rsid w:val="00CA1A59"/>
    <w:rsid w:val="00CA2FAE"/>
    <w:rsid w:val="00CA3477"/>
    <w:rsid w:val="00CA35DA"/>
    <w:rsid w:val="00CA37AB"/>
    <w:rsid w:val="00CA39A3"/>
    <w:rsid w:val="00CA430B"/>
    <w:rsid w:val="00CA4C56"/>
    <w:rsid w:val="00CA6F9B"/>
    <w:rsid w:val="00CB0291"/>
    <w:rsid w:val="00CB0579"/>
    <w:rsid w:val="00CB17E6"/>
    <w:rsid w:val="00CB3593"/>
    <w:rsid w:val="00CB37F4"/>
    <w:rsid w:val="00CB392D"/>
    <w:rsid w:val="00CB40FB"/>
    <w:rsid w:val="00CB5E16"/>
    <w:rsid w:val="00CB69C5"/>
    <w:rsid w:val="00CB70DC"/>
    <w:rsid w:val="00CC0A9B"/>
    <w:rsid w:val="00CC1187"/>
    <w:rsid w:val="00CC1764"/>
    <w:rsid w:val="00CC24A7"/>
    <w:rsid w:val="00CC27A4"/>
    <w:rsid w:val="00CC2AFD"/>
    <w:rsid w:val="00CC45B5"/>
    <w:rsid w:val="00CC481B"/>
    <w:rsid w:val="00CC58EB"/>
    <w:rsid w:val="00CC7C3D"/>
    <w:rsid w:val="00CD0FFD"/>
    <w:rsid w:val="00CD1BF6"/>
    <w:rsid w:val="00CD1EF6"/>
    <w:rsid w:val="00CD291C"/>
    <w:rsid w:val="00CD36F5"/>
    <w:rsid w:val="00CD454A"/>
    <w:rsid w:val="00CD49AB"/>
    <w:rsid w:val="00CD5A62"/>
    <w:rsid w:val="00CD5EF8"/>
    <w:rsid w:val="00CD7357"/>
    <w:rsid w:val="00CE0DD0"/>
    <w:rsid w:val="00CE3BC9"/>
    <w:rsid w:val="00CE4C76"/>
    <w:rsid w:val="00CF0561"/>
    <w:rsid w:val="00CF0F7A"/>
    <w:rsid w:val="00CF1AFD"/>
    <w:rsid w:val="00CF3ECB"/>
    <w:rsid w:val="00CF4DB6"/>
    <w:rsid w:val="00CF570B"/>
    <w:rsid w:val="00CF6791"/>
    <w:rsid w:val="00D0072F"/>
    <w:rsid w:val="00D00DF6"/>
    <w:rsid w:val="00D01E65"/>
    <w:rsid w:val="00D03C0F"/>
    <w:rsid w:val="00D041D7"/>
    <w:rsid w:val="00D0437E"/>
    <w:rsid w:val="00D057EE"/>
    <w:rsid w:val="00D066B9"/>
    <w:rsid w:val="00D068B3"/>
    <w:rsid w:val="00D06B97"/>
    <w:rsid w:val="00D100C9"/>
    <w:rsid w:val="00D114AB"/>
    <w:rsid w:val="00D11EED"/>
    <w:rsid w:val="00D126A6"/>
    <w:rsid w:val="00D13465"/>
    <w:rsid w:val="00D1418F"/>
    <w:rsid w:val="00D15AF6"/>
    <w:rsid w:val="00D15D41"/>
    <w:rsid w:val="00D15FB1"/>
    <w:rsid w:val="00D167DE"/>
    <w:rsid w:val="00D1700F"/>
    <w:rsid w:val="00D1798F"/>
    <w:rsid w:val="00D20183"/>
    <w:rsid w:val="00D202C2"/>
    <w:rsid w:val="00D2110F"/>
    <w:rsid w:val="00D21ED8"/>
    <w:rsid w:val="00D22617"/>
    <w:rsid w:val="00D24C63"/>
    <w:rsid w:val="00D24F67"/>
    <w:rsid w:val="00D273F4"/>
    <w:rsid w:val="00D27A8F"/>
    <w:rsid w:val="00D30CB0"/>
    <w:rsid w:val="00D30E33"/>
    <w:rsid w:val="00D31151"/>
    <w:rsid w:val="00D31D9B"/>
    <w:rsid w:val="00D32463"/>
    <w:rsid w:val="00D329BE"/>
    <w:rsid w:val="00D32D05"/>
    <w:rsid w:val="00D32FED"/>
    <w:rsid w:val="00D338B1"/>
    <w:rsid w:val="00D33BD9"/>
    <w:rsid w:val="00D35415"/>
    <w:rsid w:val="00D35488"/>
    <w:rsid w:val="00D4036B"/>
    <w:rsid w:val="00D410AE"/>
    <w:rsid w:val="00D41294"/>
    <w:rsid w:val="00D4408A"/>
    <w:rsid w:val="00D445CC"/>
    <w:rsid w:val="00D452B7"/>
    <w:rsid w:val="00D459DA"/>
    <w:rsid w:val="00D46056"/>
    <w:rsid w:val="00D47429"/>
    <w:rsid w:val="00D475B0"/>
    <w:rsid w:val="00D510CF"/>
    <w:rsid w:val="00D5170B"/>
    <w:rsid w:val="00D51D38"/>
    <w:rsid w:val="00D527E5"/>
    <w:rsid w:val="00D54234"/>
    <w:rsid w:val="00D55AD5"/>
    <w:rsid w:val="00D563AD"/>
    <w:rsid w:val="00D5640B"/>
    <w:rsid w:val="00D57C5D"/>
    <w:rsid w:val="00D60529"/>
    <w:rsid w:val="00D6342F"/>
    <w:rsid w:val="00D635A6"/>
    <w:rsid w:val="00D6411C"/>
    <w:rsid w:val="00D64230"/>
    <w:rsid w:val="00D64FF2"/>
    <w:rsid w:val="00D65B2E"/>
    <w:rsid w:val="00D65E92"/>
    <w:rsid w:val="00D67E03"/>
    <w:rsid w:val="00D705C4"/>
    <w:rsid w:val="00D710B6"/>
    <w:rsid w:val="00D720DB"/>
    <w:rsid w:val="00D72264"/>
    <w:rsid w:val="00D73D3B"/>
    <w:rsid w:val="00D74B7F"/>
    <w:rsid w:val="00D74F4C"/>
    <w:rsid w:val="00D7529B"/>
    <w:rsid w:val="00D75591"/>
    <w:rsid w:val="00D756D6"/>
    <w:rsid w:val="00D75E7E"/>
    <w:rsid w:val="00D809B6"/>
    <w:rsid w:val="00D85020"/>
    <w:rsid w:val="00D852CC"/>
    <w:rsid w:val="00D855E6"/>
    <w:rsid w:val="00D87A87"/>
    <w:rsid w:val="00D9006B"/>
    <w:rsid w:val="00D91DC4"/>
    <w:rsid w:val="00D93215"/>
    <w:rsid w:val="00D93CC5"/>
    <w:rsid w:val="00D943C6"/>
    <w:rsid w:val="00D95578"/>
    <w:rsid w:val="00D958BA"/>
    <w:rsid w:val="00D95C12"/>
    <w:rsid w:val="00DA1925"/>
    <w:rsid w:val="00DA4901"/>
    <w:rsid w:val="00DA63DF"/>
    <w:rsid w:val="00DA72C1"/>
    <w:rsid w:val="00DA7691"/>
    <w:rsid w:val="00DA79A7"/>
    <w:rsid w:val="00DB0397"/>
    <w:rsid w:val="00DB09C1"/>
    <w:rsid w:val="00DB14B7"/>
    <w:rsid w:val="00DB2D11"/>
    <w:rsid w:val="00DB3A04"/>
    <w:rsid w:val="00DB3C17"/>
    <w:rsid w:val="00DB6535"/>
    <w:rsid w:val="00DB6A62"/>
    <w:rsid w:val="00DB6BEF"/>
    <w:rsid w:val="00DC0EDA"/>
    <w:rsid w:val="00DC14F1"/>
    <w:rsid w:val="00DC2A38"/>
    <w:rsid w:val="00DC3014"/>
    <w:rsid w:val="00DD097B"/>
    <w:rsid w:val="00DD3FB7"/>
    <w:rsid w:val="00DD447C"/>
    <w:rsid w:val="00DD4565"/>
    <w:rsid w:val="00DD6D2F"/>
    <w:rsid w:val="00DD7668"/>
    <w:rsid w:val="00DE0893"/>
    <w:rsid w:val="00DE1333"/>
    <w:rsid w:val="00DE1A6C"/>
    <w:rsid w:val="00DE1E27"/>
    <w:rsid w:val="00DE269B"/>
    <w:rsid w:val="00DE3314"/>
    <w:rsid w:val="00DE416A"/>
    <w:rsid w:val="00DE4DCB"/>
    <w:rsid w:val="00DE5CB0"/>
    <w:rsid w:val="00DE65B7"/>
    <w:rsid w:val="00DE70C4"/>
    <w:rsid w:val="00DE7197"/>
    <w:rsid w:val="00DE78C3"/>
    <w:rsid w:val="00DE7F1D"/>
    <w:rsid w:val="00DF05DE"/>
    <w:rsid w:val="00DF10E7"/>
    <w:rsid w:val="00DF4404"/>
    <w:rsid w:val="00DF569F"/>
    <w:rsid w:val="00DF6E28"/>
    <w:rsid w:val="00E00E4F"/>
    <w:rsid w:val="00E0119F"/>
    <w:rsid w:val="00E0601A"/>
    <w:rsid w:val="00E0618C"/>
    <w:rsid w:val="00E07915"/>
    <w:rsid w:val="00E07A85"/>
    <w:rsid w:val="00E10CA7"/>
    <w:rsid w:val="00E1109A"/>
    <w:rsid w:val="00E12C78"/>
    <w:rsid w:val="00E154A6"/>
    <w:rsid w:val="00E15990"/>
    <w:rsid w:val="00E15A6E"/>
    <w:rsid w:val="00E15CD0"/>
    <w:rsid w:val="00E15D50"/>
    <w:rsid w:val="00E164ED"/>
    <w:rsid w:val="00E16BC8"/>
    <w:rsid w:val="00E1726B"/>
    <w:rsid w:val="00E177ED"/>
    <w:rsid w:val="00E200D5"/>
    <w:rsid w:val="00E209BB"/>
    <w:rsid w:val="00E20ADE"/>
    <w:rsid w:val="00E20F1B"/>
    <w:rsid w:val="00E211DA"/>
    <w:rsid w:val="00E2330F"/>
    <w:rsid w:val="00E2383B"/>
    <w:rsid w:val="00E255EC"/>
    <w:rsid w:val="00E25D8C"/>
    <w:rsid w:val="00E26783"/>
    <w:rsid w:val="00E27860"/>
    <w:rsid w:val="00E3256D"/>
    <w:rsid w:val="00E33622"/>
    <w:rsid w:val="00E37B8A"/>
    <w:rsid w:val="00E422BE"/>
    <w:rsid w:val="00E42A07"/>
    <w:rsid w:val="00E42E15"/>
    <w:rsid w:val="00E43492"/>
    <w:rsid w:val="00E44049"/>
    <w:rsid w:val="00E449B3"/>
    <w:rsid w:val="00E4580E"/>
    <w:rsid w:val="00E45909"/>
    <w:rsid w:val="00E47765"/>
    <w:rsid w:val="00E478CE"/>
    <w:rsid w:val="00E479CF"/>
    <w:rsid w:val="00E47D84"/>
    <w:rsid w:val="00E50F85"/>
    <w:rsid w:val="00E518FD"/>
    <w:rsid w:val="00E52A36"/>
    <w:rsid w:val="00E52A6A"/>
    <w:rsid w:val="00E52B41"/>
    <w:rsid w:val="00E549D8"/>
    <w:rsid w:val="00E54C9A"/>
    <w:rsid w:val="00E568E8"/>
    <w:rsid w:val="00E57975"/>
    <w:rsid w:val="00E6001E"/>
    <w:rsid w:val="00E60DE9"/>
    <w:rsid w:val="00E6258E"/>
    <w:rsid w:val="00E62CA0"/>
    <w:rsid w:val="00E64210"/>
    <w:rsid w:val="00E64DCF"/>
    <w:rsid w:val="00E6611A"/>
    <w:rsid w:val="00E66D99"/>
    <w:rsid w:val="00E67158"/>
    <w:rsid w:val="00E704B2"/>
    <w:rsid w:val="00E70BC0"/>
    <w:rsid w:val="00E7225B"/>
    <w:rsid w:val="00E7241D"/>
    <w:rsid w:val="00E72C1D"/>
    <w:rsid w:val="00E75462"/>
    <w:rsid w:val="00E75D70"/>
    <w:rsid w:val="00E766DA"/>
    <w:rsid w:val="00E7784B"/>
    <w:rsid w:val="00E802AD"/>
    <w:rsid w:val="00E81838"/>
    <w:rsid w:val="00E85223"/>
    <w:rsid w:val="00E85847"/>
    <w:rsid w:val="00E863B0"/>
    <w:rsid w:val="00E93192"/>
    <w:rsid w:val="00E95C7B"/>
    <w:rsid w:val="00E966FC"/>
    <w:rsid w:val="00E970E4"/>
    <w:rsid w:val="00EA03A9"/>
    <w:rsid w:val="00EA13B0"/>
    <w:rsid w:val="00EA311A"/>
    <w:rsid w:val="00EA3F95"/>
    <w:rsid w:val="00EA45BB"/>
    <w:rsid w:val="00EA4BFF"/>
    <w:rsid w:val="00EA4D01"/>
    <w:rsid w:val="00EA6165"/>
    <w:rsid w:val="00EA68B5"/>
    <w:rsid w:val="00EA7091"/>
    <w:rsid w:val="00EB483D"/>
    <w:rsid w:val="00EB63A0"/>
    <w:rsid w:val="00EB74BF"/>
    <w:rsid w:val="00EB7E8C"/>
    <w:rsid w:val="00EC00AB"/>
    <w:rsid w:val="00EC0D3D"/>
    <w:rsid w:val="00EC2D3C"/>
    <w:rsid w:val="00EC457F"/>
    <w:rsid w:val="00EC5978"/>
    <w:rsid w:val="00EC64BC"/>
    <w:rsid w:val="00EC7D31"/>
    <w:rsid w:val="00EC7E2F"/>
    <w:rsid w:val="00ED21EB"/>
    <w:rsid w:val="00ED2A04"/>
    <w:rsid w:val="00ED4C55"/>
    <w:rsid w:val="00ED79FF"/>
    <w:rsid w:val="00ED7D08"/>
    <w:rsid w:val="00ED7E41"/>
    <w:rsid w:val="00EE01C6"/>
    <w:rsid w:val="00EE0A65"/>
    <w:rsid w:val="00EE18B3"/>
    <w:rsid w:val="00EE21D0"/>
    <w:rsid w:val="00EE348B"/>
    <w:rsid w:val="00EE3990"/>
    <w:rsid w:val="00EE5601"/>
    <w:rsid w:val="00EE7A67"/>
    <w:rsid w:val="00EF1D60"/>
    <w:rsid w:val="00EF21BD"/>
    <w:rsid w:val="00EF3A1D"/>
    <w:rsid w:val="00EF3C04"/>
    <w:rsid w:val="00EF5E15"/>
    <w:rsid w:val="00EF6106"/>
    <w:rsid w:val="00EF710F"/>
    <w:rsid w:val="00EF7C76"/>
    <w:rsid w:val="00F00387"/>
    <w:rsid w:val="00F02171"/>
    <w:rsid w:val="00F021EA"/>
    <w:rsid w:val="00F02879"/>
    <w:rsid w:val="00F03456"/>
    <w:rsid w:val="00F03ACA"/>
    <w:rsid w:val="00F04643"/>
    <w:rsid w:val="00F0520F"/>
    <w:rsid w:val="00F0535E"/>
    <w:rsid w:val="00F053C9"/>
    <w:rsid w:val="00F06C40"/>
    <w:rsid w:val="00F06E42"/>
    <w:rsid w:val="00F1092D"/>
    <w:rsid w:val="00F17F92"/>
    <w:rsid w:val="00F20399"/>
    <w:rsid w:val="00F206D6"/>
    <w:rsid w:val="00F222AD"/>
    <w:rsid w:val="00F23E10"/>
    <w:rsid w:val="00F24555"/>
    <w:rsid w:val="00F25788"/>
    <w:rsid w:val="00F27254"/>
    <w:rsid w:val="00F27299"/>
    <w:rsid w:val="00F27FC0"/>
    <w:rsid w:val="00F300F5"/>
    <w:rsid w:val="00F31B2C"/>
    <w:rsid w:val="00F31B91"/>
    <w:rsid w:val="00F33E34"/>
    <w:rsid w:val="00F35BCB"/>
    <w:rsid w:val="00F35C22"/>
    <w:rsid w:val="00F3780F"/>
    <w:rsid w:val="00F40194"/>
    <w:rsid w:val="00F41889"/>
    <w:rsid w:val="00F42884"/>
    <w:rsid w:val="00F42B22"/>
    <w:rsid w:val="00F43177"/>
    <w:rsid w:val="00F43421"/>
    <w:rsid w:val="00F4363E"/>
    <w:rsid w:val="00F43690"/>
    <w:rsid w:val="00F45305"/>
    <w:rsid w:val="00F46C6C"/>
    <w:rsid w:val="00F4730B"/>
    <w:rsid w:val="00F504E6"/>
    <w:rsid w:val="00F5069B"/>
    <w:rsid w:val="00F50F05"/>
    <w:rsid w:val="00F513D1"/>
    <w:rsid w:val="00F5279A"/>
    <w:rsid w:val="00F536CF"/>
    <w:rsid w:val="00F5383E"/>
    <w:rsid w:val="00F548D3"/>
    <w:rsid w:val="00F54CDB"/>
    <w:rsid w:val="00F55A9D"/>
    <w:rsid w:val="00F565C1"/>
    <w:rsid w:val="00F56F7D"/>
    <w:rsid w:val="00F576D7"/>
    <w:rsid w:val="00F67879"/>
    <w:rsid w:val="00F67D00"/>
    <w:rsid w:val="00F70037"/>
    <w:rsid w:val="00F728E8"/>
    <w:rsid w:val="00F72F08"/>
    <w:rsid w:val="00F73C84"/>
    <w:rsid w:val="00F77C38"/>
    <w:rsid w:val="00F80F95"/>
    <w:rsid w:val="00F82561"/>
    <w:rsid w:val="00F837C4"/>
    <w:rsid w:val="00F839A0"/>
    <w:rsid w:val="00F84543"/>
    <w:rsid w:val="00F90493"/>
    <w:rsid w:val="00F90FDB"/>
    <w:rsid w:val="00F912F2"/>
    <w:rsid w:val="00F91645"/>
    <w:rsid w:val="00F91787"/>
    <w:rsid w:val="00F918C6"/>
    <w:rsid w:val="00F91E1B"/>
    <w:rsid w:val="00F94515"/>
    <w:rsid w:val="00F952D0"/>
    <w:rsid w:val="00F95AEC"/>
    <w:rsid w:val="00FA0787"/>
    <w:rsid w:val="00FA191C"/>
    <w:rsid w:val="00FA29DD"/>
    <w:rsid w:val="00FA2C32"/>
    <w:rsid w:val="00FA31D3"/>
    <w:rsid w:val="00FA40AC"/>
    <w:rsid w:val="00FA4FAB"/>
    <w:rsid w:val="00FA5859"/>
    <w:rsid w:val="00FA6D38"/>
    <w:rsid w:val="00FB1757"/>
    <w:rsid w:val="00FB2157"/>
    <w:rsid w:val="00FB5DE7"/>
    <w:rsid w:val="00FB665F"/>
    <w:rsid w:val="00FB7410"/>
    <w:rsid w:val="00FB7A02"/>
    <w:rsid w:val="00FB7F6D"/>
    <w:rsid w:val="00FC008E"/>
    <w:rsid w:val="00FC0489"/>
    <w:rsid w:val="00FC0780"/>
    <w:rsid w:val="00FC211D"/>
    <w:rsid w:val="00FC3565"/>
    <w:rsid w:val="00FC455A"/>
    <w:rsid w:val="00FC519F"/>
    <w:rsid w:val="00FC5EBE"/>
    <w:rsid w:val="00FC78ED"/>
    <w:rsid w:val="00FD0316"/>
    <w:rsid w:val="00FD2F01"/>
    <w:rsid w:val="00FD3BB6"/>
    <w:rsid w:val="00FE0474"/>
    <w:rsid w:val="00FE2C35"/>
    <w:rsid w:val="00FE3282"/>
    <w:rsid w:val="00FE5033"/>
    <w:rsid w:val="00FE5100"/>
    <w:rsid w:val="00FE578F"/>
    <w:rsid w:val="00FE5C1A"/>
    <w:rsid w:val="00FE6761"/>
    <w:rsid w:val="00FE6E40"/>
    <w:rsid w:val="00FF10AC"/>
    <w:rsid w:val="00FF29B8"/>
    <w:rsid w:val="00FF3D16"/>
    <w:rsid w:val="00FF437F"/>
    <w:rsid w:val="00FF5076"/>
    <w:rsid w:val="00FF5957"/>
    <w:rsid w:val="00FF5ACF"/>
    <w:rsid w:val="00FF63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0F1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FB7"/>
    <w:pPr>
      <w:spacing w:after="0" w:line="480" w:lineRule="auto"/>
      <w:jc w:val="both"/>
    </w:pPr>
    <w:rPr>
      <w:rFonts w:eastAsia="Times New Roman" w:cs="Times New Roman"/>
    </w:rPr>
  </w:style>
  <w:style w:type="paragraph" w:styleId="Heading1">
    <w:name w:val="heading 1"/>
    <w:basedOn w:val="Normal"/>
    <w:next w:val="Normal"/>
    <w:link w:val="Heading1Char"/>
    <w:qFormat/>
    <w:rsid w:val="00FB74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D30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232AAA"/>
    <w:pPr>
      <w:widowControl w:val="0"/>
      <w:numPr>
        <w:ilvl w:val="2"/>
        <w:numId w:val="1"/>
      </w:numPr>
      <w:spacing w:before="240"/>
      <w:ind w:hanging="2160"/>
      <w:outlineLvl w:val="2"/>
    </w:pPr>
    <w:rPr>
      <w:rFonts w:ascii="Arial" w:eastAsiaTheme="majorEastAsia"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Normal"/>
    <w:link w:val="Style3Char"/>
    <w:qFormat/>
    <w:rsid w:val="00A042F2"/>
    <w:pPr>
      <w:numPr>
        <w:ilvl w:val="2"/>
        <w:numId w:val="2"/>
      </w:numPr>
      <w:tabs>
        <w:tab w:val="clear" w:pos="2160"/>
        <w:tab w:val="num" w:pos="2835"/>
      </w:tabs>
      <w:spacing w:before="240"/>
      <w:ind w:left="2835" w:hanging="2126"/>
      <w:outlineLvl w:val="2"/>
    </w:pPr>
    <w:rPr>
      <w:rFonts w:ascii="Arial" w:hAnsi="Arial"/>
      <w:sz w:val="24"/>
      <w:szCs w:val="20"/>
      <w:lang w:val="en-GB"/>
    </w:rPr>
  </w:style>
  <w:style w:type="character" w:customStyle="1" w:styleId="Style3Char">
    <w:name w:val="Style3 Char"/>
    <w:link w:val="Style3"/>
    <w:rsid w:val="00A042F2"/>
    <w:rPr>
      <w:rFonts w:ascii="Arial" w:eastAsia="Times New Roman" w:hAnsi="Arial" w:cs="Times New Roman"/>
      <w:sz w:val="24"/>
      <w:szCs w:val="20"/>
      <w:lang w:val="en-GB"/>
    </w:rPr>
  </w:style>
  <w:style w:type="paragraph" w:customStyle="1" w:styleId="Style2">
    <w:name w:val="Style2"/>
    <w:basedOn w:val="Normal"/>
    <w:next w:val="Normal"/>
    <w:qFormat/>
    <w:rsid w:val="00A042F2"/>
    <w:pPr>
      <w:widowControl w:val="0"/>
      <w:numPr>
        <w:ilvl w:val="1"/>
        <w:numId w:val="2"/>
      </w:numPr>
      <w:tabs>
        <w:tab w:val="clear" w:pos="1440"/>
      </w:tabs>
      <w:spacing w:before="240"/>
      <w:ind w:left="2127"/>
      <w:outlineLvl w:val="1"/>
    </w:pPr>
    <w:rPr>
      <w:rFonts w:ascii="Arial" w:hAnsi="Arial"/>
      <w:sz w:val="24"/>
      <w:szCs w:val="20"/>
      <w:lang w:val="en-GB"/>
    </w:rPr>
  </w:style>
  <w:style w:type="paragraph" w:customStyle="1" w:styleId="Style1">
    <w:name w:val="Style1"/>
    <w:basedOn w:val="Style2"/>
    <w:next w:val="Normal"/>
    <w:qFormat/>
    <w:rsid w:val="00A042F2"/>
    <w:pPr>
      <w:numPr>
        <w:ilvl w:val="0"/>
      </w:numPr>
      <w:tabs>
        <w:tab w:val="clear" w:pos="720"/>
        <w:tab w:val="num" w:pos="1418"/>
      </w:tabs>
      <w:ind w:left="1418"/>
    </w:pPr>
  </w:style>
  <w:style w:type="paragraph" w:customStyle="1" w:styleId="Style4">
    <w:name w:val="Style4"/>
    <w:basedOn w:val="Normal"/>
    <w:next w:val="Normal"/>
    <w:qFormat/>
    <w:rsid w:val="00A042F2"/>
    <w:pPr>
      <w:widowControl w:val="0"/>
      <w:numPr>
        <w:ilvl w:val="3"/>
        <w:numId w:val="2"/>
      </w:numPr>
      <w:tabs>
        <w:tab w:val="clear" w:pos="2880"/>
        <w:tab w:val="center" w:pos="3686"/>
      </w:tabs>
      <w:spacing w:before="240"/>
      <w:ind w:left="3686" w:hanging="2977"/>
      <w:outlineLvl w:val="3"/>
    </w:pPr>
    <w:rPr>
      <w:rFonts w:ascii="Arial" w:eastAsia="Cambria" w:hAnsi="Arial"/>
      <w:sz w:val="24"/>
      <w:szCs w:val="24"/>
    </w:rPr>
  </w:style>
  <w:style w:type="paragraph" w:customStyle="1" w:styleId="HeadsQuote">
    <w:name w:val="Heads Quote"/>
    <w:basedOn w:val="Normal"/>
    <w:link w:val="HeadsQuoteChar"/>
    <w:qFormat/>
    <w:rsid w:val="00217050"/>
    <w:pPr>
      <w:keepNext/>
      <w:widowControl w:val="0"/>
      <w:spacing w:before="240"/>
      <w:ind w:left="1440"/>
      <w:outlineLvl w:val="2"/>
    </w:pPr>
    <w:rPr>
      <w:rFonts w:ascii="Arial" w:eastAsia="Cambria" w:hAnsi="Arial" w:cs="Arial"/>
      <w:sz w:val="24"/>
      <w:szCs w:val="24"/>
    </w:rPr>
  </w:style>
  <w:style w:type="character" w:customStyle="1" w:styleId="HeadsQuoteChar">
    <w:name w:val="Heads Quote Char"/>
    <w:link w:val="HeadsQuote"/>
    <w:rsid w:val="00217050"/>
    <w:rPr>
      <w:rFonts w:ascii="Arial" w:hAnsi="Arial" w:cs="Arial"/>
      <w:sz w:val="24"/>
      <w:szCs w:val="24"/>
    </w:rPr>
  </w:style>
  <w:style w:type="character" w:customStyle="1" w:styleId="Heading3Char">
    <w:name w:val="Heading 3 Char"/>
    <w:basedOn w:val="DefaultParagraphFont"/>
    <w:link w:val="Heading3"/>
    <w:rsid w:val="00232AAA"/>
    <w:rPr>
      <w:rFonts w:ascii="Arial" w:eastAsiaTheme="majorEastAsia" w:hAnsi="Arial" w:cs="Times New Roman"/>
      <w:bCs/>
      <w:sz w:val="24"/>
      <w:szCs w:val="24"/>
    </w:rPr>
  </w:style>
  <w:style w:type="paragraph" w:styleId="Quote">
    <w:name w:val="Quote"/>
    <w:basedOn w:val="Normal"/>
    <w:next w:val="Normal"/>
    <w:link w:val="QuoteChar"/>
    <w:uiPriority w:val="29"/>
    <w:qFormat/>
    <w:rsid w:val="004E4A55"/>
    <w:pPr>
      <w:spacing w:line="360" w:lineRule="auto"/>
      <w:ind w:left="862" w:right="862"/>
    </w:pPr>
    <w:rPr>
      <w:rFonts w:ascii="Arial" w:hAnsi="Arial"/>
      <w:i/>
      <w:iCs/>
      <w:sz w:val="24"/>
      <w:szCs w:val="20"/>
    </w:rPr>
  </w:style>
  <w:style w:type="character" w:customStyle="1" w:styleId="QuoteChar">
    <w:name w:val="Quote Char"/>
    <w:basedOn w:val="DefaultParagraphFont"/>
    <w:link w:val="Quote"/>
    <w:uiPriority w:val="29"/>
    <w:rsid w:val="004E4A55"/>
    <w:rPr>
      <w:rFonts w:ascii="Arial" w:eastAsia="Times New Roman" w:hAnsi="Arial" w:cs="Times New Roman"/>
      <w:i/>
      <w:iCs/>
      <w:sz w:val="24"/>
      <w:szCs w:val="20"/>
    </w:rPr>
  </w:style>
  <w:style w:type="paragraph" w:styleId="FootnoteText">
    <w:name w:val="footnote text"/>
    <w:aliases w:val="Footnote Text Char1,Footnote Text Char Char,Footnote Text Char1 Char,Footnote Text Char Char Char,Footnote Text Char Char1,Char,Footnote Text Char2,Footnote Text Char2 Char1 Char Char Char,Footnote Text Char1 Char1 Char1 Char Char Ch,Fo,fn"/>
    <w:basedOn w:val="Normal"/>
    <w:link w:val="FootnoteTextChar"/>
    <w:uiPriority w:val="99"/>
    <w:unhideWhenUsed/>
    <w:qFormat/>
    <w:rsid w:val="00E4580E"/>
    <w:pPr>
      <w:widowControl w:val="0"/>
      <w:spacing w:before="120" w:line="240" w:lineRule="auto"/>
    </w:pPr>
    <w:rPr>
      <w:rFonts w:ascii="Arial" w:eastAsia="Cambria" w:hAnsi="Arial"/>
      <w:sz w:val="20"/>
      <w:szCs w:val="24"/>
    </w:rPr>
  </w:style>
  <w:style w:type="character" w:customStyle="1" w:styleId="FootnoteTextChar">
    <w:name w:val="Footnote Text Char"/>
    <w:aliases w:val="Footnote Text Char1 Char1,Footnote Text Char Char Char1,Footnote Text Char1 Char Char,Footnote Text Char Char Char Char,Footnote Text Char Char1 Char,Char Char,Footnote Text Char2 Char,Footnote Text Char2 Char1 Char Char Char Char"/>
    <w:basedOn w:val="DefaultParagraphFont"/>
    <w:link w:val="FootnoteText"/>
    <w:uiPriority w:val="99"/>
    <w:rsid w:val="00E4580E"/>
    <w:rPr>
      <w:rFonts w:ascii="Arial" w:hAnsi="Arial" w:cs="Times New Roman"/>
      <w:sz w:val="20"/>
      <w:szCs w:val="24"/>
    </w:rPr>
  </w:style>
  <w:style w:type="character" w:styleId="FootnoteReference">
    <w:name w:val="footnote reference"/>
    <w:uiPriority w:val="99"/>
    <w:semiHidden/>
    <w:rsid w:val="00B67FB7"/>
    <w:rPr>
      <w:rFonts w:cs="Arial"/>
      <w:szCs w:val="20"/>
      <w:vertAlign w:val="superscript"/>
    </w:rPr>
  </w:style>
  <w:style w:type="paragraph" w:styleId="TOC1">
    <w:name w:val="toc 1"/>
    <w:basedOn w:val="Normal"/>
    <w:next w:val="Normal"/>
    <w:autoRedefine/>
    <w:uiPriority w:val="39"/>
    <w:unhideWhenUsed/>
    <w:rsid w:val="008E1C4F"/>
    <w:pPr>
      <w:spacing w:before="240" w:after="100" w:line="360" w:lineRule="auto"/>
    </w:pPr>
    <w:rPr>
      <w:rFonts w:ascii="Arial" w:eastAsia="Cambria" w:hAnsi="Arial"/>
      <w:sz w:val="24"/>
      <w:szCs w:val="24"/>
    </w:rPr>
  </w:style>
  <w:style w:type="paragraph" w:styleId="TOC2">
    <w:name w:val="toc 2"/>
    <w:basedOn w:val="Normal"/>
    <w:next w:val="Normal"/>
    <w:autoRedefine/>
    <w:uiPriority w:val="39"/>
    <w:unhideWhenUsed/>
    <w:rsid w:val="008E1C4F"/>
    <w:pPr>
      <w:tabs>
        <w:tab w:val="right" w:leader="dot" w:pos="9016"/>
      </w:tabs>
      <w:spacing w:before="240" w:line="240" w:lineRule="auto"/>
      <w:ind w:left="567"/>
    </w:pPr>
    <w:rPr>
      <w:rFonts w:ascii="Arial" w:eastAsia="Cambria" w:hAnsi="Arial"/>
      <w:i/>
      <w:sz w:val="24"/>
      <w:szCs w:val="24"/>
    </w:rPr>
  </w:style>
  <w:style w:type="paragraph" w:styleId="Header">
    <w:name w:val="header"/>
    <w:basedOn w:val="Normal"/>
    <w:link w:val="HeaderChar"/>
    <w:uiPriority w:val="99"/>
    <w:unhideWhenUsed/>
    <w:rsid w:val="00D202C2"/>
    <w:pPr>
      <w:tabs>
        <w:tab w:val="center" w:pos="4680"/>
        <w:tab w:val="right" w:pos="9360"/>
      </w:tabs>
      <w:spacing w:line="240" w:lineRule="auto"/>
    </w:pPr>
  </w:style>
  <w:style w:type="character" w:customStyle="1" w:styleId="HeaderChar">
    <w:name w:val="Header Char"/>
    <w:basedOn w:val="DefaultParagraphFont"/>
    <w:link w:val="Header"/>
    <w:uiPriority w:val="99"/>
    <w:rsid w:val="00D202C2"/>
    <w:rPr>
      <w:rFonts w:eastAsia="Times New Roman" w:cs="Times New Roman"/>
    </w:rPr>
  </w:style>
  <w:style w:type="paragraph" w:styleId="Footer">
    <w:name w:val="footer"/>
    <w:basedOn w:val="Normal"/>
    <w:link w:val="FooterChar"/>
    <w:uiPriority w:val="99"/>
    <w:unhideWhenUsed/>
    <w:rsid w:val="00D202C2"/>
    <w:pPr>
      <w:tabs>
        <w:tab w:val="center" w:pos="4680"/>
        <w:tab w:val="right" w:pos="9360"/>
      </w:tabs>
      <w:spacing w:line="240" w:lineRule="auto"/>
    </w:pPr>
  </w:style>
  <w:style w:type="character" w:customStyle="1" w:styleId="FooterChar">
    <w:name w:val="Footer Char"/>
    <w:basedOn w:val="DefaultParagraphFont"/>
    <w:link w:val="Footer"/>
    <w:uiPriority w:val="99"/>
    <w:rsid w:val="00D202C2"/>
    <w:rPr>
      <w:rFonts w:eastAsia="Times New Roman" w:cs="Times New Roman"/>
    </w:rPr>
  </w:style>
  <w:style w:type="paragraph" w:customStyle="1" w:styleId="LC1">
    <w:name w:val="LC1"/>
    <w:basedOn w:val="Style1"/>
    <w:link w:val="LC1Char"/>
    <w:qFormat/>
    <w:rsid w:val="007A27ED"/>
    <w:pPr>
      <w:numPr>
        <w:numId w:val="3"/>
      </w:numPr>
      <w:ind w:hanging="720"/>
    </w:pPr>
    <w:rPr>
      <w:rFonts w:eastAsia="Cambria"/>
      <w:lang w:val="en-ZA"/>
    </w:rPr>
  </w:style>
  <w:style w:type="character" w:customStyle="1" w:styleId="LC1Char">
    <w:name w:val="LC1 Char"/>
    <w:basedOn w:val="DefaultParagraphFont"/>
    <w:link w:val="LC1"/>
    <w:rsid w:val="007A27ED"/>
    <w:rPr>
      <w:rFonts w:ascii="Arial" w:hAnsi="Arial" w:cs="Times New Roman"/>
      <w:sz w:val="24"/>
      <w:szCs w:val="20"/>
    </w:rPr>
  </w:style>
  <w:style w:type="paragraph" w:customStyle="1" w:styleId="LCQuote">
    <w:name w:val="LC Quote"/>
    <w:basedOn w:val="Normal"/>
    <w:link w:val="LCQuoteChar"/>
    <w:qFormat/>
    <w:rsid w:val="001E6505"/>
    <w:pPr>
      <w:spacing w:before="240" w:after="120" w:line="360" w:lineRule="auto"/>
      <w:ind w:left="1134"/>
    </w:pPr>
    <w:rPr>
      <w:rFonts w:ascii="Arial" w:hAnsi="Arial" w:cs="Arial"/>
      <w:i/>
      <w:sz w:val="24"/>
      <w:szCs w:val="24"/>
    </w:rPr>
  </w:style>
  <w:style w:type="character" w:customStyle="1" w:styleId="LCQuoteChar">
    <w:name w:val="LC Quote Char"/>
    <w:basedOn w:val="DefaultParagraphFont"/>
    <w:link w:val="LCQuote"/>
    <w:rsid w:val="001E6505"/>
    <w:rPr>
      <w:rFonts w:ascii="Arial" w:eastAsia="Times New Roman" w:hAnsi="Arial" w:cs="Arial"/>
      <w:i/>
      <w:sz w:val="24"/>
      <w:szCs w:val="24"/>
    </w:rPr>
  </w:style>
  <w:style w:type="paragraph" w:styleId="ListParagraph">
    <w:name w:val="List Paragraph"/>
    <w:basedOn w:val="Normal"/>
    <w:uiPriority w:val="34"/>
    <w:qFormat/>
    <w:rsid w:val="00991FF4"/>
    <w:pPr>
      <w:ind w:left="720"/>
      <w:contextualSpacing/>
    </w:pPr>
  </w:style>
  <w:style w:type="paragraph" w:styleId="BalloonText">
    <w:name w:val="Balloon Text"/>
    <w:basedOn w:val="Normal"/>
    <w:link w:val="BalloonTextChar"/>
    <w:uiPriority w:val="99"/>
    <w:semiHidden/>
    <w:unhideWhenUsed/>
    <w:rsid w:val="00AC26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51"/>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AD3077"/>
    <w:rPr>
      <w:rFonts w:asciiTheme="majorHAnsi" w:eastAsiaTheme="majorEastAsia" w:hAnsiTheme="majorHAnsi" w:cstheme="majorBidi"/>
      <w:color w:val="2E74B5" w:themeColor="accent1" w:themeShade="BF"/>
      <w:sz w:val="26"/>
      <w:szCs w:val="26"/>
    </w:rPr>
  </w:style>
  <w:style w:type="character" w:customStyle="1" w:styleId="mc">
    <w:name w:val="mc"/>
    <w:basedOn w:val="DefaultParagraphFont"/>
    <w:rsid w:val="00564B8A"/>
  </w:style>
  <w:style w:type="character" w:customStyle="1" w:styleId="Heading1Char">
    <w:name w:val="Heading 1 Char"/>
    <w:basedOn w:val="DefaultParagraphFont"/>
    <w:link w:val="Heading1"/>
    <w:uiPriority w:val="9"/>
    <w:rsid w:val="00FB7410"/>
    <w:rPr>
      <w:rFonts w:asciiTheme="majorHAnsi" w:eastAsiaTheme="majorEastAsia" w:hAnsiTheme="majorHAnsi" w:cstheme="majorBidi"/>
      <w:color w:val="2E74B5" w:themeColor="accent1" w:themeShade="BF"/>
      <w:sz w:val="32"/>
      <w:szCs w:val="32"/>
    </w:rPr>
  </w:style>
  <w:style w:type="paragraph" w:customStyle="1" w:styleId="LC2">
    <w:name w:val="LC2"/>
    <w:basedOn w:val="LC1"/>
    <w:link w:val="LC2Char"/>
    <w:qFormat/>
    <w:rsid w:val="004B1830"/>
    <w:pPr>
      <w:numPr>
        <w:ilvl w:val="1"/>
      </w:numPr>
      <w:ind w:left="1701" w:hanging="993"/>
    </w:pPr>
  </w:style>
  <w:style w:type="paragraph" w:customStyle="1" w:styleId="LCORder">
    <w:name w:val="LC ORder"/>
    <w:basedOn w:val="LC1"/>
    <w:link w:val="LCORderChar"/>
    <w:qFormat/>
    <w:rsid w:val="00400C5A"/>
    <w:pPr>
      <w:numPr>
        <w:numId w:val="0"/>
      </w:numPr>
      <w:spacing w:after="120"/>
    </w:pPr>
    <w:rPr>
      <w:rFonts w:cs="Arial"/>
      <w:szCs w:val="24"/>
    </w:rPr>
  </w:style>
  <w:style w:type="character" w:customStyle="1" w:styleId="LC2Char">
    <w:name w:val="LC2 Char"/>
    <w:basedOn w:val="LC1Char"/>
    <w:link w:val="LC2"/>
    <w:rsid w:val="004B1830"/>
    <w:rPr>
      <w:rFonts w:ascii="Arial" w:hAnsi="Arial" w:cs="Times New Roman"/>
      <w:sz w:val="24"/>
      <w:szCs w:val="20"/>
    </w:rPr>
  </w:style>
  <w:style w:type="character" w:customStyle="1" w:styleId="LCORderChar">
    <w:name w:val="LC ORder Char"/>
    <w:basedOn w:val="LC1Char"/>
    <w:link w:val="LCORder"/>
    <w:rsid w:val="00400C5A"/>
    <w:rPr>
      <w:rFonts w:ascii="Arial" w:eastAsia="Times New Roman" w:hAnsi="Arial" w:cs="Arial"/>
      <w:sz w:val="24"/>
      <w:szCs w:val="24"/>
    </w:rPr>
  </w:style>
  <w:style w:type="character" w:styleId="Hyperlink">
    <w:name w:val="Hyperlink"/>
    <w:basedOn w:val="DefaultParagraphFont"/>
    <w:uiPriority w:val="99"/>
    <w:unhideWhenUsed/>
    <w:rsid w:val="00070375"/>
    <w:rPr>
      <w:color w:val="0563C1" w:themeColor="hyperlink"/>
      <w:u w:val="single"/>
    </w:rPr>
  </w:style>
  <w:style w:type="paragraph" w:customStyle="1" w:styleId="normaltext">
    <w:name w:val="normaltext"/>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ra-a">
    <w:name w:val="para-a"/>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footnote-x">
    <w:name w:val="footnote-x"/>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genumber">
    <w:name w:val="pagenumber"/>
    <w:basedOn w:val="Normal"/>
    <w:rsid w:val="007C3650"/>
    <w:pPr>
      <w:spacing w:before="100" w:beforeAutospacing="1" w:after="100" w:afterAutospacing="1" w:line="240" w:lineRule="auto"/>
      <w:jc w:val="left"/>
    </w:pPr>
    <w:rPr>
      <w:rFonts w:ascii="Times New Roman" w:hAnsi="Times New Roman"/>
      <w:sz w:val="24"/>
      <w:szCs w:val="24"/>
      <w:lang w:eastAsia="en-ZA"/>
    </w:rPr>
  </w:style>
  <w:style w:type="paragraph" w:styleId="NormalWeb">
    <w:name w:val="Normal (Web)"/>
    <w:basedOn w:val="Normal"/>
    <w:uiPriority w:val="99"/>
    <w:semiHidden/>
    <w:unhideWhenUsed/>
    <w:rsid w:val="000073C9"/>
    <w:pPr>
      <w:spacing w:before="100" w:beforeAutospacing="1" w:after="100" w:afterAutospacing="1" w:line="240" w:lineRule="auto"/>
      <w:jc w:val="left"/>
    </w:pPr>
    <w:rPr>
      <w:rFonts w:ascii="Times New Roman" w:hAnsi="Times New Roman"/>
      <w:sz w:val="24"/>
      <w:szCs w:val="24"/>
      <w:lang w:eastAsia="en-ZA"/>
    </w:rPr>
  </w:style>
  <w:style w:type="character" w:customStyle="1" w:styleId="g1">
    <w:name w:val="g1"/>
    <w:basedOn w:val="DefaultParagraphFont"/>
    <w:rsid w:val="00AD0267"/>
  </w:style>
  <w:style w:type="paragraph" w:styleId="NoSpacing">
    <w:name w:val="No Spacing"/>
    <w:uiPriority w:val="1"/>
    <w:qFormat/>
    <w:rsid w:val="004071E9"/>
    <w:pPr>
      <w:spacing w:after="0" w:line="240" w:lineRule="auto"/>
    </w:pPr>
    <w:rPr>
      <w:rFonts w:ascii="Calibri" w:eastAsia="Calibri" w:hAnsi="Calibri" w:cs="Arial"/>
    </w:rPr>
  </w:style>
  <w:style w:type="paragraph" w:styleId="Revision">
    <w:name w:val="Revision"/>
    <w:hidden/>
    <w:uiPriority w:val="99"/>
    <w:semiHidden/>
    <w:rsid w:val="00650965"/>
    <w:pPr>
      <w:spacing w:after="0" w:line="240" w:lineRule="auto"/>
    </w:pPr>
    <w:rPr>
      <w:rFonts w:eastAsia="Times New Roman" w:cs="Times New Roman"/>
    </w:rPr>
  </w:style>
  <w:style w:type="character" w:customStyle="1" w:styleId="UnresolvedMention">
    <w:name w:val="Unresolved Mention"/>
    <w:basedOn w:val="DefaultParagraphFont"/>
    <w:uiPriority w:val="99"/>
    <w:semiHidden/>
    <w:unhideWhenUsed/>
    <w:rsid w:val="00FE6761"/>
    <w:rPr>
      <w:color w:val="605E5C"/>
      <w:shd w:val="clear" w:color="auto" w:fill="E1DFDD"/>
    </w:rPr>
  </w:style>
  <w:style w:type="paragraph" w:customStyle="1" w:styleId="1">
    <w:name w:val="1"/>
    <w:basedOn w:val="BodyText"/>
    <w:link w:val="1Char"/>
    <w:qFormat/>
    <w:rsid w:val="00041846"/>
    <w:pPr>
      <w:numPr>
        <w:numId w:val="5"/>
      </w:numPr>
      <w:spacing w:before="480" w:after="0"/>
    </w:pPr>
    <w:rPr>
      <w:rFonts w:ascii="Arial" w:hAnsi="Arial" w:cstheme="minorBidi"/>
      <w:iCs/>
      <w:color w:val="000000"/>
      <w:sz w:val="24"/>
      <w:lang w:val="en-GB"/>
    </w:rPr>
  </w:style>
  <w:style w:type="paragraph" w:customStyle="1" w:styleId="3">
    <w:name w:val="3"/>
    <w:basedOn w:val="2"/>
    <w:qFormat/>
    <w:rsid w:val="00041846"/>
    <w:pPr>
      <w:numPr>
        <w:ilvl w:val="2"/>
      </w:numPr>
      <w:tabs>
        <w:tab w:val="clear" w:pos="2552"/>
        <w:tab w:val="num" w:pos="2160"/>
      </w:tabs>
      <w:ind w:left="2160" w:hanging="2160"/>
    </w:pPr>
  </w:style>
  <w:style w:type="paragraph" w:customStyle="1" w:styleId="4">
    <w:name w:val="4"/>
    <w:basedOn w:val="2"/>
    <w:qFormat/>
    <w:rsid w:val="00041846"/>
    <w:pPr>
      <w:numPr>
        <w:ilvl w:val="3"/>
      </w:numPr>
      <w:tabs>
        <w:tab w:val="clear" w:pos="3062"/>
        <w:tab w:val="num" w:pos="2880"/>
      </w:tabs>
      <w:ind w:left="2880" w:hanging="2880"/>
    </w:pPr>
    <w:rPr>
      <w:iCs w:val="0"/>
    </w:rPr>
  </w:style>
  <w:style w:type="paragraph" w:customStyle="1" w:styleId="5">
    <w:name w:val="5"/>
    <w:basedOn w:val="4"/>
    <w:qFormat/>
    <w:rsid w:val="00041846"/>
    <w:pPr>
      <w:numPr>
        <w:ilvl w:val="4"/>
      </w:numPr>
      <w:tabs>
        <w:tab w:val="clear" w:pos="3515"/>
        <w:tab w:val="num" w:pos="3600"/>
      </w:tabs>
      <w:ind w:left="3600" w:hanging="3600"/>
    </w:pPr>
    <w:rPr>
      <w:iCs/>
      <w:szCs w:val="16"/>
      <w:lang w:eastAsia="en-ZA"/>
    </w:rPr>
  </w:style>
  <w:style w:type="paragraph" w:customStyle="1" w:styleId="2">
    <w:name w:val="2"/>
    <w:basedOn w:val="1"/>
    <w:qFormat/>
    <w:rsid w:val="00041846"/>
    <w:pPr>
      <w:numPr>
        <w:ilvl w:val="1"/>
      </w:numPr>
      <w:tabs>
        <w:tab w:val="clear" w:pos="1588"/>
        <w:tab w:val="num" w:pos="1440"/>
      </w:tabs>
      <w:spacing w:before="240"/>
      <w:ind w:left="1440" w:hanging="1440"/>
    </w:pPr>
  </w:style>
  <w:style w:type="character" w:customStyle="1" w:styleId="1Char">
    <w:name w:val="1 Char"/>
    <w:basedOn w:val="DefaultParagraphFont"/>
    <w:link w:val="1"/>
    <w:rsid w:val="00041846"/>
    <w:rPr>
      <w:rFonts w:ascii="Arial" w:eastAsia="Times New Roman" w:hAnsi="Arial"/>
      <w:iCs/>
      <w:color w:val="000000"/>
      <w:sz w:val="24"/>
      <w:lang w:val="en-GB"/>
    </w:rPr>
  </w:style>
  <w:style w:type="paragraph" w:styleId="BodyText">
    <w:name w:val="Body Text"/>
    <w:basedOn w:val="Normal"/>
    <w:link w:val="BodyTextChar"/>
    <w:uiPriority w:val="99"/>
    <w:semiHidden/>
    <w:unhideWhenUsed/>
    <w:rsid w:val="00041846"/>
    <w:pPr>
      <w:spacing w:after="120"/>
    </w:pPr>
  </w:style>
  <w:style w:type="character" w:customStyle="1" w:styleId="BodyTextChar">
    <w:name w:val="Body Text Char"/>
    <w:basedOn w:val="DefaultParagraphFont"/>
    <w:link w:val="BodyText"/>
    <w:uiPriority w:val="99"/>
    <w:semiHidden/>
    <w:rsid w:val="00041846"/>
    <w:rPr>
      <w:rFonts w:eastAsia="Times New Roman" w:cs="Times New Roman"/>
    </w:rPr>
  </w:style>
  <w:style w:type="character" w:styleId="CommentReference">
    <w:name w:val="annotation reference"/>
    <w:basedOn w:val="DefaultParagraphFont"/>
    <w:uiPriority w:val="99"/>
    <w:semiHidden/>
    <w:unhideWhenUsed/>
    <w:rsid w:val="007A4DE5"/>
    <w:rPr>
      <w:sz w:val="16"/>
      <w:szCs w:val="16"/>
    </w:rPr>
  </w:style>
  <w:style w:type="paragraph" w:styleId="CommentText">
    <w:name w:val="annotation text"/>
    <w:basedOn w:val="Normal"/>
    <w:link w:val="CommentTextChar"/>
    <w:uiPriority w:val="99"/>
    <w:semiHidden/>
    <w:unhideWhenUsed/>
    <w:rsid w:val="007A4DE5"/>
    <w:pPr>
      <w:spacing w:line="240" w:lineRule="auto"/>
    </w:pPr>
    <w:rPr>
      <w:sz w:val="20"/>
      <w:szCs w:val="20"/>
    </w:rPr>
  </w:style>
  <w:style w:type="character" w:customStyle="1" w:styleId="CommentTextChar">
    <w:name w:val="Comment Text Char"/>
    <w:basedOn w:val="DefaultParagraphFont"/>
    <w:link w:val="CommentText"/>
    <w:uiPriority w:val="99"/>
    <w:semiHidden/>
    <w:rsid w:val="007A4DE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4DE5"/>
    <w:rPr>
      <w:b/>
      <w:bCs/>
    </w:rPr>
  </w:style>
  <w:style w:type="character" w:customStyle="1" w:styleId="CommentSubjectChar">
    <w:name w:val="Comment Subject Char"/>
    <w:basedOn w:val="CommentTextChar"/>
    <w:link w:val="CommentSubject"/>
    <w:uiPriority w:val="99"/>
    <w:semiHidden/>
    <w:rsid w:val="007A4DE5"/>
    <w:rPr>
      <w:rFonts w:eastAsia="Times New Roman" w:cs="Times New Roman"/>
      <w:b/>
      <w:bCs/>
      <w:sz w:val="20"/>
      <w:szCs w:val="20"/>
    </w:rPr>
  </w:style>
  <w:style w:type="paragraph" w:customStyle="1" w:styleId="ORDER">
    <w:name w:val="ORDER"/>
    <w:basedOn w:val="LC1"/>
    <w:link w:val="ORDERChar"/>
    <w:qFormat/>
    <w:rsid w:val="00143762"/>
    <w:pPr>
      <w:numPr>
        <w:ilvl w:val="3"/>
      </w:numPr>
      <w:ind w:left="1276" w:hanging="567"/>
    </w:pPr>
  </w:style>
  <w:style w:type="character" w:customStyle="1" w:styleId="ORDERChar">
    <w:name w:val="ORDER Char"/>
    <w:basedOn w:val="LC1Char"/>
    <w:link w:val="ORDER"/>
    <w:rsid w:val="00143762"/>
    <w:rPr>
      <w:rFonts w:ascii="Arial" w:hAnsi="Arial" w:cs="Times New Roman"/>
      <w:sz w:val="24"/>
      <w:szCs w:val="20"/>
    </w:rPr>
  </w:style>
  <w:style w:type="paragraph" w:customStyle="1" w:styleId="Default">
    <w:name w:val="Default"/>
    <w:rsid w:val="00072A0B"/>
    <w:pPr>
      <w:autoSpaceDE w:val="0"/>
      <w:autoSpaceDN w:val="0"/>
      <w:adjustRightInd w:val="0"/>
      <w:spacing w:after="0" w:line="240" w:lineRule="auto"/>
    </w:pPr>
    <w:rPr>
      <w:rFonts w:ascii="Verdana" w:hAnsi="Verdana" w:cs="Verdana"/>
      <w:color w:val="000000"/>
      <w:sz w:val="24"/>
      <w:szCs w:val="24"/>
    </w:rPr>
  </w:style>
  <w:style w:type="paragraph" w:customStyle="1" w:styleId="CM27">
    <w:name w:val="CM27"/>
    <w:basedOn w:val="Default"/>
    <w:next w:val="Default"/>
    <w:uiPriority w:val="99"/>
    <w:rsid w:val="00072A0B"/>
    <w:rPr>
      <w:rFonts w:cstheme="minorBidi"/>
      <w:color w:val="auto"/>
    </w:rPr>
  </w:style>
  <w:style w:type="paragraph" w:customStyle="1" w:styleId="ORDERa">
    <w:name w:val="ORDER a"/>
    <w:basedOn w:val="ORDER"/>
    <w:link w:val="ORDERaChar"/>
    <w:qFormat/>
    <w:rsid w:val="005A3DF9"/>
    <w:pPr>
      <w:numPr>
        <w:ilvl w:val="4"/>
      </w:numPr>
      <w:ind w:left="1701"/>
    </w:pPr>
  </w:style>
  <w:style w:type="character" w:customStyle="1" w:styleId="ORDERaChar">
    <w:name w:val="ORDER a Char"/>
    <w:basedOn w:val="ORDERChar"/>
    <w:link w:val="ORDERa"/>
    <w:rsid w:val="005A3DF9"/>
    <w:rPr>
      <w:rFonts w:ascii="Arial" w:hAnsi="Arial" w:cs="Times New Roman"/>
      <w:sz w:val="24"/>
      <w:szCs w:val="20"/>
    </w:rPr>
  </w:style>
  <w:style w:type="character" w:styleId="BookTitle">
    <w:name w:val="Book Title"/>
    <w:aliases w:val="Text 1"/>
    <w:qFormat/>
    <w:rsid w:val="00907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1996">
      <w:bodyDiv w:val="1"/>
      <w:marLeft w:val="0"/>
      <w:marRight w:val="0"/>
      <w:marTop w:val="0"/>
      <w:marBottom w:val="0"/>
      <w:divBdr>
        <w:top w:val="none" w:sz="0" w:space="0" w:color="auto"/>
        <w:left w:val="none" w:sz="0" w:space="0" w:color="auto"/>
        <w:bottom w:val="none" w:sz="0" w:space="0" w:color="auto"/>
        <w:right w:val="none" w:sz="0" w:space="0" w:color="auto"/>
      </w:divBdr>
      <w:divsChild>
        <w:div w:id="632716509">
          <w:marLeft w:val="0"/>
          <w:marRight w:val="0"/>
          <w:marTop w:val="0"/>
          <w:marBottom w:val="0"/>
          <w:divBdr>
            <w:top w:val="none" w:sz="0" w:space="0" w:color="auto"/>
            <w:left w:val="none" w:sz="0" w:space="0" w:color="auto"/>
            <w:bottom w:val="none" w:sz="0" w:space="0" w:color="auto"/>
            <w:right w:val="none" w:sz="0" w:space="0" w:color="auto"/>
          </w:divBdr>
        </w:div>
        <w:div w:id="1549565550">
          <w:marLeft w:val="0"/>
          <w:marRight w:val="0"/>
          <w:marTop w:val="0"/>
          <w:marBottom w:val="0"/>
          <w:divBdr>
            <w:top w:val="none" w:sz="0" w:space="0" w:color="auto"/>
            <w:left w:val="none" w:sz="0" w:space="0" w:color="auto"/>
            <w:bottom w:val="none" w:sz="0" w:space="0" w:color="auto"/>
            <w:right w:val="none" w:sz="0" w:space="0" w:color="auto"/>
          </w:divBdr>
        </w:div>
        <w:div w:id="2142067106">
          <w:marLeft w:val="0"/>
          <w:marRight w:val="0"/>
          <w:marTop w:val="0"/>
          <w:marBottom w:val="0"/>
          <w:divBdr>
            <w:top w:val="none" w:sz="0" w:space="0" w:color="auto"/>
            <w:left w:val="none" w:sz="0" w:space="0" w:color="auto"/>
            <w:bottom w:val="none" w:sz="0" w:space="0" w:color="auto"/>
            <w:right w:val="none" w:sz="0" w:space="0" w:color="auto"/>
          </w:divBdr>
        </w:div>
        <w:div w:id="1019812558">
          <w:marLeft w:val="0"/>
          <w:marRight w:val="0"/>
          <w:marTop w:val="0"/>
          <w:marBottom w:val="0"/>
          <w:divBdr>
            <w:top w:val="none" w:sz="0" w:space="0" w:color="auto"/>
            <w:left w:val="none" w:sz="0" w:space="0" w:color="auto"/>
            <w:bottom w:val="none" w:sz="0" w:space="0" w:color="auto"/>
            <w:right w:val="none" w:sz="0" w:space="0" w:color="auto"/>
          </w:divBdr>
        </w:div>
        <w:div w:id="1701278451">
          <w:marLeft w:val="0"/>
          <w:marRight w:val="0"/>
          <w:marTop w:val="0"/>
          <w:marBottom w:val="0"/>
          <w:divBdr>
            <w:top w:val="none" w:sz="0" w:space="0" w:color="auto"/>
            <w:left w:val="none" w:sz="0" w:space="0" w:color="auto"/>
            <w:bottom w:val="none" w:sz="0" w:space="0" w:color="auto"/>
            <w:right w:val="none" w:sz="0" w:space="0" w:color="auto"/>
          </w:divBdr>
        </w:div>
        <w:div w:id="54278814">
          <w:marLeft w:val="0"/>
          <w:marRight w:val="0"/>
          <w:marTop w:val="0"/>
          <w:marBottom w:val="0"/>
          <w:divBdr>
            <w:top w:val="none" w:sz="0" w:space="0" w:color="auto"/>
            <w:left w:val="none" w:sz="0" w:space="0" w:color="auto"/>
            <w:bottom w:val="none" w:sz="0" w:space="0" w:color="auto"/>
            <w:right w:val="none" w:sz="0" w:space="0" w:color="auto"/>
          </w:divBdr>
        </w:div>
        <w:div w:id="1811172879">
          <w:marLeft w:val="0"/>
          <w:marRight w:val="0"/>
          <w:marTop w:val="0"/>
          <w:marBottom w:val="0"/>
          <w:divBdr>
            <w:top w:val="none" w:sz="0" w:space="0" w:color="auto"/>
            <w:left w:val="none" w:sz="0" w:space="0" w:color="auto"/>
            <w:bottom w:val="none" w:sz="0" w:space="0" w:color="auto"/>
            <w:right w:val="none" w:sz="0" w:space="0" w:color="auto"/>
          </w:divBdr>
        </w:div>
        <w:div w:id="563876191">
          <w:marLeft w:val="0"/>
          <w:marRight w:val="0"/>
          <w:marTop w:val="0"/>
          <w:marBottom w:val="0"/>
          <w:divBdr>
            <w:top w:val="none" w:sz="0" w:space="0" w:color="auto"/>
            <w:left w:val="none" w:sz="0" w:space="0" w:color="auto"/>
            <w:bottom w:val="none" w:sz="0" w:space="0" w:color="auto"/>
            <w:right w:val="none" w:sz="0" w:space="0" w:color="auto"/>
          </w:divBdr>
        </w:div>
      </w:divsChild>
    </w:div>
    <w:div w:id="125513372">
      <w:bodyDiv w:val="1"/>
      <w:marLeft w:val="0"/>
      <w:marRight w:val="0"/>
      <w:marTop w:val="0"/>
      <w:marBottom w:val="0"/>
      <w:divBdr>
        <w:top w:val="none" w:sz="0" w:space="0" w:color="auto"/>
        <w:left w:val="none" w:sz="0" w:space="0" w:color="auto"/>
        <w:bottom w:val="none" w:sz="0" w:space="0" w:color="auto"/>
        <w:right w:val="none" w:sz="0" w:space="0" w:color="auto"/>
      </w:divBdr>
      <w:divsChild>
        <w:div w:id="20281497">
          <w:marLeft w:val="0"/>
          <w:marRight w:val="0"/>
          <w:marTop w:val="0"/>
          <w:marBottom w:val="0"/>
          <w:divBdr>
            <w:top w:val="none" w:sz="0" w:space="0" w:color="auto"/>
            <w:left w:val="none" w:sz="0" w:space="0" w:color="auto"/>
            <w:bottom w:val="none" w:sz="0" w:space="0" w:color="auto"/>
            <w:right w:val="none" w:sz="0" w:space="0" w:color="auto"/>
          </w:divBdr>
        </w:div>
        <w:div w:id="585892424">
          <w:marLeft w:val="0"/>
          <w:marRight w:val="0"/>
          <w:marTop w:val="0"/>
          <w:marBottom w:val="0"/>
          <w:divBdr>
            <w:top w:val="none" w:sz="0" w:space="0" w:color="auto"/>
            <w:left w:val="none" w:sz="0" w:space="0" w:color="auto"/>
            <w:bottom w:val="none" w:sz="0" w:space="0" w:color="auto"/>
            <w:right w:val="none" w:sz="0" w:space="0" w:color="auto"/>
          </w:divBdr>
        </w:div>
        <w:div w:id="338771899">
          <w:marLeft w:val="0"/>
          <w:marRight w:val="0"/>
          <w:marTop w:val="0"/>
          <w:marBottom w:val="0"/>
          <w:divBdr>
            <w:top w:val="none" w:sz="0" w:space="0" w:color="auto"/>
            <w:left w:val="none" w:sz="0" w:space="0" w:color="auto"/>
            <w:bottom w:val="none" w:sz="0" w:space="0" w:color="auto"/>
            <w:right w:val="none" w:sz="0" w:space="0" w:color="auto"/>
          </w:divBdr>
        </w:div>
        <w:div w:id="1985964649">
          <w:marLeft w:val="0"/>
          <w:marRight w:val="0"/>
          <w:marTop w:val="0"/>
          <w:marBottom w:val="0"/>
          <w:divBdr>
            <w:top w:val="none" w:sz="0" w:space="0" w:color="auto"/>
            <w:left w:val="none" w:sz="0" w:space="0" w:color="auto"/>
            <w:bottom w:val="none" w:sz="0" w:space="0" w:color="auto"/>
            <w:right w:val="none" w:sz="0" w:space="0" w:color="auto"/>
          </w:divBdr>
        </w:div>
        <w:div w:id="2029791523">
          <w:marLeft w:val="0"/>
          <w:marRight w:val="0"/>
          <w:marTop w:val="0"/>
          <w:marBottom w:val="0"/>
          <w:divBdr>
            <w:top w:val="none" w:sz="0" w:space="0" w:color="auto"/>
            <w:left w:val="none" w:sz="0" w:space="0" w:color="auto"/>
            <w:bottom w:val="none" w:sz="0" w:space="0" w:color="auto"/>
            <w:right w:val="none" w:sz="0" w:space="0" w:color="auto"/>
          </w:divBdr>
        </w:div>
        <w:div w:id="1174761123">
          <w:marLeft w:val="0"/>
          <w:marRight w:val="0"/>
          <w:marTop w:val="0"/>
          <w:marBottom w:val="0"/>
          <w:divBdr>
            <w:top w:val="none" w:sz="0" w:space="0" w:color="auto"/>
            <w:left w:val="none" w:sz="0" w:space="0" w:color="auto"/>
            <w:bottom w:val="none" w:sz="0" w:space="0" w:color="auto"/>
            <w:right w:val="none" w:sz="0" w:space="0" w:color="auto"/>
          </w:divBdr>
        </w:div>
      </w:divsChild>
    </w:div>
    <w:div w:id="144013706">
      <w:bodyDiv w:val="1"/>
      <w:marLeft w:val="0"/>
      <w:marRight w:val="0"/>
      <w:marTop w:val="0"/>
      <w:marBottom w:val="0"/>
      <w:divBdr>
        <w:top w:val="none" w:sz="0" w:space="0" w:color="auto"/>
        <w:left w:val="none" w:sz="0" w:space="0" w:color="auto"/>
        <w:bottom w:val="none" w:sz="0" w:space="0" w:color="auto"/>
        <w:right w:val="none" w:sz="0" w:space="0" w:color="auto"/>
      </w:divBdr>
      <w:divsChild>
        <w:div w:id="927271151">
          <w:marLeft w:val="0"/>
          <w:marRight w:val="0"/>
          <w:marTop w:val="0"/>
          <w:marBottom w:val="0"/>
          <w:divBdr>
            <w:top w:val="none" w:sz="0" w:space="0" w:color="auto"/>
            <w:left w:val="none" w:sz="0" w:space="0" w:color="auto"/>
            <w:bottom w:val="none" w:sz="0" w:space="0" w:color="auto"/>
            <w:right w:val="none" w:sz="0" w:space="0" w:color="auto"/>
          </w:divBdr>
        </w:div>
        <w:div w:id="1434201348">
          <w:marLeft w:val="0"/>
          <w:marRight w:val="0"/>
          <w:marTop w:val="0"/>
          <w:marBottom w:val="0"/>
          <w:divBdr>
            <w:top w:val="none" w:sz="0" w:space="0" w:color="auto"/>
            <w:left w:val="none" w:sz="0" w:space="0" w:color="auto"/>
            <w:bottom w:val="none" w:sz="0" w:space="0" w:color="auto"/>
            <w:right w:val="none" w:sz="0" w:space="0" w:color="auto"/>
          </w:divBdr>
        </w:div>
      </w:divsChild>
    </w:div>
    <w:div w:id="238294125">
      <w:bodyDiv w:val="1"/>
      <w:marLeft w:val="0"/>
      <w:marRight w:val="0"/>
      <w:marTop w:val="0"/>
      <w:marBottom w:val="0"/>
      <w:divBdr>
        <w:top w:val="none" w:sz="0" w:space="0" w:color="auto"/>
        <w:left w:val="none" w:sz="0" w:space="0" w:color="auto"/>
        <w:bottom w:val="none" w:sz="0" w:space="0" w:color="auto"/>
        <w:right w:val="none" w:sz="0" w:space="0" w:color="auto"/>
      </w:divBdr>
      <w:divsChild>
        <w:div w:id="1642466894">
          <w:marLeft w:val="0"/>
          <w:marRight w:val="0"/>
          <w:marTop w:val="0"/>
          <w:marBottom w:val="0"/>
          <w:divBdr>
            <w:top w:val="none" w:sz="0" w:space="0" w:color="auto"/>
            <w:left w:val="none" w:sz="0" w:space="0" w:color="auto"/>
            <w:bottom w:val="none" w:sz="0" w:space="0" w:color="auto"/>
            <w:right w:val="none" w:sz="0" w:space="0" w:color="auto"/>
          </w:divBdr>
        </w:div>
        <w:div w:id="1250769080">
          <w:marLeft w:val="0"/>
          <w:marRight w:val="0"/>
          <w:marTop w:val="0"/>
          <w:marBottom w:val="0"/>
          <w:divBdr>
            <w:top w:val="none" w:sz="0" w:space="0" w:color="auto"/>
            <w:left w:val="none" w:sz="0" w:space="0" w:color="auto"/>
            <w:bottom w:val="none" w:sz="0" w:space="0" w:color="auto"/>
            <w:right w:val="none" w:sz="0" w:space="0" w:color="auto"/>
          </w:divBdr>
        </w:div>
        <w:div w:id="238297684">
          <w:marLeft w:val="0"/>
          <w:marRight w:val="0"/>
          <w:marTop w:val="0"/>
          <w:marBottom w:val="0"/>
          <w:divBdr>
            <w:top w:val="none" w:sz="0" w:space="0" w:color="auto"/>
            <w:left w:val="none" w:sz="0" w:space="0" w:color="auto"/>
            <w:bottom w:val="none" w:sz="0" w:space="0" w:color="auto"/>
            <w:right w:val="none" w:sz="0" w:space="0" w:color="auto"/>
          </w:divBdr>
        </w:div>
      </w:divsChild>
    </w:div>
    <w:div w:id="253055834">
      <w:bodyDiv w:val="1"/>
      <w:marLeft w:val="0"/>
      <w:marRight w:val="0"/>
      <w:marTop w:val="0"/>
      <w:marBottom w:val="0"/>
      <w:divBdr>
        <w:top w:val="none" w:sz="0" w:space="0" w:color="auto"/>
        <w:left w:val="none" w:sz="0" w:space="0" w:color="auto"/>
        <w:bottom w:val="none" w:sz="0" w:space="0" w:color="auto"/>
        <w:right w:val="none" w:sz="0" w:space="0" w:color="auto"/>
      </w:divBdr>
      <w:divsChild>
        <w:div w:id="557278072">
          <w:marLeft w:val="0"/>
          <w:marRight w:val="0"/>
          <w:marTop w:val="0"/>
          <w:marBottom w:val="0"/>
          <w:divBdr>
            <w:top w:val="none" w:sz="0" w:space="0" w:color="auto"/>
            <w:left w:val="none" w:sz="0" w:space="0" w:color="auto"/>
            <w:bottom w:val="none" w:sz="0" w:space="0" w:color="auto"/>
            <w:right w:val="none" w:sz="0" w:space="0" w:color="auto"/>
          </w:divBdr>
        </w:div>
        <w:div w:id="551818198">
          <w:marLeft w:val="0"/>
          <w:marRight w:val="0"/>
          <w:marTop w:val="0"/>
          <w:marBottom w:val="0"/>
          <w:divBdr>
            <w:top w:val="none" w:sz="0" w:space="0" w:color="auto"/>
            <w:left w:val="none" w:sz="0" w:space="0" w:color="auto"/>
            <w:bottom w:val="none" w:sz="0" w:space="0" w:color="auto"/>
            <w:right w:val="none" w:sz="0" w:space="0" w:color="auto"/>
          </w:divBdr>
        </w:div>
        <w:div w:id="52971922">
          <w:marLeft w:val="0"/>
          <w:marRight w:val="0"/>
          <w:marTop w:val="0"/>
          <w:marBottom w:val="0"/>
          <w:divBdr>
            <w:top w:val="none" w:sz="0" w:space="0" w:color="auto"/>
            <w:left w:val="none" w:sz="0" w:space="0" w:color="auto"/>
            <w:bottom w:val="none" w:sz="0" w:space="0" w:color="auto"/>
            <w:right w:val="none" w:sz="0" w:space="0" w:color="auto"/>
          </w:divBdr>
        </w:div>
        <w:div w:id="180896642">
          <w:marLeft w:val="0"/>
          <w:marRight w:val="0"/>
          <w:marTop w:val="0"/>
          <w:marBottom w:val="0"/>
          <w:divBdr>
            <w:top w:val="none" w:sz="0" w:space="0" w:color="auto"/>
            <w:left w:val="none" w:sz="0" w:space="0" w:color="auto"/>
            <w:bottom w:val="none" w:sz="0" w:space="0" w:color="auto"/>
            <w:right w:val="none" w:sz="0" w:space="0" w:color="auto"/>
          </w:divBdr>
        </w:div>
        <w:div w:id="2082603685">
          <w:marLeft w:val="0"/>
          <w:marRight w:val="0"/>
          <w:marTop w:val="0"/>
          <w:marBottom w:val="0"/>
          <w:divBdr>
            <w:top w:val="none" w:sz="0" w:space="0" w:color="auto"/>
            <w:left w:val="none" w:sz="0" w:space="0" w:color="auto"/>
            <w:bottom w:val="none" w:sz="0" w:space="0" w:color="auto"/>
            <w:right w:val="none" w:sz="0" w:space="0" w:color="auto"/>
          </w:divBdr>
        </w:div>
      </w:divsChild>
    </w:div>
    <w:div w:id="268051193">
      <w:bodyDiv w:val="1"/>
      <w:marLeft w:val="0"/>
      <w:marRight w:val="0"/>
      <w:marTop w:val="0"/>
      <w:marBottom w:val="0"/>
      <w:divBdr>
        <w:top w:val="none" w:sz="0" w:space="0" w:color="auto"/>
        <w:left w:val="none" w:sz="0" w:space="0" w:color="auto"/>
        <w:bottom w:val="none" w:sz="0" w:space="0" w:color="auto"/>
        <w:right w:val="none" w:sz="0" w:space="0" w:color="auto"/>
      </w:divBdr>
    </w:div>
    <w:div w:id="279259738">
      <w:bodyDiv w:val="1"/>
      <w:marLeft w:val="0"/>
      <w:marRight w:val="0"/>
      <w:marTop w:val="0"/>
      <w:marBottom w:val="0"/>
      <w:divBdr>
        <w:top w:val="none" w:sz="0" w:space="0" w:color="auto"/>
        <w:left w:val="none" w:sz="0" w:space="0" w:color="auto"/>
        <w:bottom w:val="none" w:sz="0" w:space="0" w:color="auto"/>
        <w:right w:val="none" w:sz="0" w:space="0" w:color="auto"/>
      </w:divBdr>
      <w:divsChild>
        <w:div w:id="1400444433">
          <w:marLeft w:val="0"/>
          <w:marRight w:val="0"/>
          <w:marTop w:val="0"/>
          <w:marBottom w:val="0"/>
          <w:divBdr>
            <w:top w:val="none" w:sz="0" w:space="0" w:color="auto"/>
            <w:left w:val="none" w:sz="0" w:space="0" w:color="auto"/>
            <w:bottom w:val="none" w:sz="0" w:space="0" w:color="auto"/>
            <w:right w:val="none" w:sz="0" w:space="0" w:color="auto"/>
          </w:divBdr>
        </w:div>
        <w:div w:id="231429223">
          <w:marLeft w:val="0"/>
          <w:marRight w:val="0"/>
          <w:marTop w:val="0"/>
          <w:marBottom w:val="0"/>
          <w:divBdr>
            <w:top w:val="none" w:sz="0" w:space="0" w:color="auto"/>
            <w:left w:val="none" w:sz="0" w:space="0" w:color="auto"/>
            <w:bottom w:val="none" w:sz="0" w:space="0" w:color="auto"/>
            <w:right w:val="none" w:sz="0" w:space="0" w:color="auto"/>
          </w:divBdr>
        </w:div>
      </w:divsChild>
    </w:div>
    <w:div w:id="301346730">
      <w:bodyDiv w:val="1"/>
      <w:marLeft w:val="0"/>
      <w:marRight w:val="0"/>
      <w:marTop w:val="0"/>
      <w:marBottom w:val="0"/>
      <w:divBdr>
        <w:top w:val="none" w:sz="0" w:space="0" w:color="auto"/>
        <w:left w:val="none" w:sz="0" w:space="0" w:color="auto"/>
        <w:bottom w:val="none" w:sz="0" w:space="0" w:color="auto"/>
        <w:right w:val="none" w:sz="0" w:space="0" w:color="auto"/>
      </w:divBdr>
      <w:divsChild>
        <w:div w:id="1561210540">
          <w:marLeft w:val="0"/>
          <w:marRight w:val="0"/>
          <w:marTop w:val="0"/>
          <w:marBottom w:val="0"/>
          <w:divBdr>
            <w:top w:val="none" w:sz="0" w:space="0" w:color="auto"/>
            <w:left w:val="none" w:sz="0" w:space="0" w:color="auto"/>
            <w:bottom w:val="none" w:sz="0" w:space="0" w:color="auto"/>
            <w:right w:val="none" w:sz="0" w:space="0" w:color="auto"/>
          </w:divBdr>
          <w:divsChild>
            <w:div w:id="952906634">
              <w:marLeft w:val="0"/>
              <w:marRight w:val="0"/>
              <w:marTop w:val="0"/>
              <w:marBottom w:val="0"/>
              <w:divBdr>
                <w:top w:val="none" w:sz="0" w:space="0" w:color="auto"/>
                <w:left w:val="none" w:sz="0" w:space="0" w:color="auto"/>
                <w:bottom w:val="none" w:sz="0" w:space="0" w:color="auto"/>
                <w:right w:val="none" w:sz="0" w:space="0" w:color="auto"/>
              </w:divBdr>
              <w:divsChild>
                <w:div w:id="12220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13887">
      <w:bodyDiv w:val="1"/>
      <w:marLeft w:val="0"/>
      <w:marRight w:val="0"/>
      <w:marTop w:val="0"/>
      <w:marBottom w:val="0"/>
      <w:divBdr>
        <w:top w:val="none" w:sz="0" w:space="0" w:color="auto"/>
        <w:left w:val="none" w:sz="0" w:space="0" w:color="auto"/>
        <w:bottom w:val="none" w:sz="0" w:space="0" w:color="auto"/>
        <w:right w:val="none" w:sz="0" w:space="0" w:color="auto"/>
      </w:divBdr>
    </w:div>
    <w:div w:id="320542999">
      <w:bodyDiv w:val="1"/>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sChild>
            <w:div w:id="750664856">
              <w:marLeft w:val="0"/>
              <w:marRight w:val="0"/>
              <w:marTop w:val="0"/>
              <w:marBottom w:val="0"/>
              <w:divBdr>
                <w:top w:val="none" w:sz="0" w:space="0" w:color="auto"/>
                <w:left w:val="none" w:sz="0" w:space="0" w:color="auto"/>
                <w:bottom w:val="none" w:sz="0" w:space="0" w:color="auto"/>
                <w:right w:val="none" w:sz="0" w:space="0" w:color="auto"/>
              </w:divBdr>
              <w:divsChild>
                <w:div w:id="12750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38753">
      <w:bodyDiv w:val="1"/>
      <w:marLeft w:val="0"/>
      <w:marRight w:val="0"/>
      <w:marTop w:val="0"/>
      <w:marBottom w:val="0"/>
      <w:divBdr>
        <w:top w:val="none" w:sz="0" w:space="0" w:color="auto"/>
        <w:left w:val="none" w:sz="0" w:space="0" w:color="auto"/>
        <w:bottom w:val="none" w:sz="0" w:space="0" w:color="auto"/>
        <w:right w:val="none" w:sz="0" w:space="0" w:color="auto"/>
      </w:divBdr>
      <w:divsChild>
        <w:div w:id="194272014">
          <w:marLeft w:val="0"/>
          <w:marRight w:val="0"/>
          <w:marTop w:val="0"/>
          <w:marBottom w:val="0"/>
          <w:divBdr>
            <w:top w:val="none" w:sz="0" w:space="0" w:color="auto"/>
            <w:left w:val="none" w:sz="0" w:space="0" w:color="auto"/>
            <w:bottom w:val="none" w:sz="0" w:space="0" w:color="auto"/>
            <w:right w:val="none" w:sz="0" w:space="0" w:color="auto"/>
          </w:divBdr>
        </w:div>
        <w:div w:id="1267228726">
          <w:marLeft w:val="0"/>
          <w:marRight w:val="0"/>
          <w:marTop w:val="0"/>
          <w:marBottom w:val="0"/>
          <w:divBdr>
            <w:top w:val="none" w:sz="0" w:space="0" w:color="auto"/>
            <w:left w:val="none" w:sz="0" w:space="0" w:color="auto"/>
            <w:bottom w:val="none" w:sz="0" w:space="0" w:color="auto"/>
            <w:right w:val="none" w:sz="0" w:space="0" w:color="auto"/>
          </w:divBdr>
        </w:div>
        <w:div w:id="744568322">
          <w:marLeft w:val="0"/>
          <w:marRight w:val="0"/>
          <w:marTop w:val="0"/>
          <w:marBottom w:val="0"/>
          <w:divBdr>
            <w:top w:val="none" w:sz="0" w:space="0" w:color="auto"/>
            <w:left w:val="none" w:sz="0" w:space="0" w:color="auto"/>
            <w:bottom w:val="none" w:sz="0" w:space="0" w:color="auto"/>
            <w:right w:val="none" w:sz="0" w:space="0" w:color="auto"/>
          </w:divBdr>
        </w:div>
        <w:div w:id="2089646077">
          <w:marLeft w:val="0"/>
          <w:marRight w:val="0"/>
          <w:marTop w:val="0"/>
          <w:marBottom w:val="0"/>
          <w:divBdr>
            <w:top w:val="none" w:sz="0" w:space="0" w:color="auto"/>
            <w:left w:val="none" w:sz="0" w:space="0" w:color="auto"/>
            <w:bottom w:val="none" w:sz="0" w:space="0" w:color="auto"/>
            <w:right w:val="none" w:sz="0" w:space="0" w:color="auto"/>
          </w:divBdr>
        </w:div>
        <w:div w:id="1486238424">
          <w:marLeft w:val="0"/>
          <w:marRight w:val="0"/>
          <w:marTop w:val="0"/>
          <w:marBottom w:val="0"/>
          <w:divBdr>
            <w:top w:val="none" w:sz="0" w:space="0" w:color="auto"/>
            <w:left w:val="none" w:sz="0" w:space="0" w:color="auto"/>
            <w:bottom w:val="none" w:sz="0" w:space="0" w:color="auto"/>
            <w:right w:val="none" w:sz="0" w:space="0" w:color="auto"/>
          </w:divBdr>
        </w:div>
        <w:div w:id="763501257">
          <w:marLeft w:val="0"/>
          <w:marRight w:val="0"/>
          <w:marTop w:val="0"/>
          <w:marBottom w:val="0"/>
          <w:divBdr>
            <w:top w:val="none" w:sz="0" w:space="0" w:color="auto"/>
            <w:left w:val="none" w:sz="0" w:space="0" w:color="auto"/>
            <w:bottom w:val="none" w:sz="0" w:space="0" w:color="auto"/>
            <w:right w:val="none" w:sz="0" w:space="0" w:color="auto"/>
          </w:divBdr>
        </w:div>
      </w:divsChild>
    </w:div>
    <w:div w:id="405035146">
      <w:bodyDiv w:val="1"/>
      <w:marLeft w:val="0"/>
      <w:marRight w:val="0"/>
      <w:marTop w:val="0"/>
      <w:marBottom w:val="0"/>
      <w:divBdr>
        <w:top w:val="none" w:sz="0" w:space="0" w:color="auto"/>
        <w:left w:val="none" w:sz="0" w:space="0" w:color="auto"/>
        <w:bottom w:val="none" w:sz="0" w:space="0" w:color="auto"/>
        <w:right w:val="none" w:sz="0" w:space="0" w:color="auto"/>
      </w:divBdr>
    </w:div>
    <w:div w:id="406999514">
      <w:bodyDiv w:val="1"/>
      <w:marLeft w:val="0"/>
      <w:marRight w:val="0"/>
      <w:marTop w:val="0"/>
      <w:marBottom w:val="0"/>
      <w:divBdr>
        <w:top w:val="none" w:sz="0" w:space="0" w:color="auto"/>
        <w:left w:val="none" w:sz="0" w:space="0" w:color="auto"/>
        <w:bottom w:val="none" w:sz="0" w:space="0" w:color="auto"/>
        <w:right w:val="none" w:sz="0" w:space="0" w:color="auto"/>
      </w:divBdr>
      <w:divsChild>
        <w:div w:id="1615139068">
          <w:marLeft w:val="0"/>
          <w:marRight w:val="0"/>
          <w:marTop w:val="0"/>
          <w:marBottom w:val="0"/>
          <w:divBdr>
            <w:top w:val="none" w:sz="0" w:space="0" w:color="auto"/>
            <w:left w:val="none" w:sz="0" w:space="0" w:color="auto"/>
            <w:bottom w:val="none" w:sz="0" w:space="0" w:color="auto"/>
            <w:right w:val="none" w:sz="0" w:space="0" w:color="auto"/>
          </w:divBdr>
          <w:divsChild>
            <w:div w:id="1732145913">
              <w:marLeft w:val="0"/>
              <w:marRight w:val="0"/>
              <w:marTop w:val="0"/>
              <w:marBottom w:val="0"/>
              <w:divBdr>
                <w:top w:val="none" w:sz="0" w:space="0" w:color="auto"/>
                <w:left w:val="none" w:sz="0" w:space="0" w:color="auto"/>
                <w:bottom w:val="none" w:sz="0" w:space="0" w:color="auto"/>
                <w:right w:val="none" w:sz="0" w:space="0" w:color="auto"/>
              </w:divBdr>
              <w:divsChild>
                <w:div w:id="1579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03543">
      <w:bodyDiv w:val="1"/>
      <w:marLeft w:val="0"/>
      <w:marRight w:val="0"/>
      <w:marTop w:val="0"/>
      <w:marBottom w:val="0"/>
      <w:divBdr>
        <w:top w:val="none" w:sz="0" w:space="0" w:color="auto"/>
        <w:left w:val="none" w:sz="0" w:space="0" w:color="auto"/>
        <w:bottom w:val="none" w:sz="0" w:space="0" w:color="auto"/>
        <w:right w:val="none" w:sz="0" w:space="0" w:color="auto"/>
      </w:divBdr>
    </w:div>
    <w:div w:id="421145134">
      <w:bodyDiv w:val="1"/>
      <w:marLeft w:val="0"/>
      <w:marRight w:val="0"/>
      <w:marTop w:val="0"/>
      <w:marBottom w:val="0"/>
      <w:divBdr>
        <w:top w:val="none" w:sz="0" w:space="0" w:color="auto"/>
        <w:left w:val="none" w:sz="0" w:space="0" w:color="auto"/>
        <w:bottom w:val="none" w:sz="0" w:space="0" w:color="auto"/>
        <w:right w:val="none" w:sz="0" w:space="0" w:color="auto"/>
      </w:divBdr>
      <w:divsChild>
        <w:div w:id="1928802238">
          <w:marLeft w:val="0"/>
          <w:marRight w:val="0"/>
          <w:marTop w:val="0"/>
          <w:marBottom w:val="0"/>
          <w:divBdr>
            <w:top w:val="none" w:sz="0" w:space="0" w:color="auto"/>
            <w:left w:val="none" w:sz="0" w:space="0" w:color="auto"/>
            <w:bottom w:val="none" w:sz="0" w:space="0" w:color="auto"/>
            <w:right w:val="none" w:sz="0" w:space="0" w:color="auto"/>
          </w:divBdr>
          <w:divsChild>
            <w:div w:id="894198353">
              <w:marLeft w:val="0"/>
              <w:marRight w:val="0"/>
              <w:marTop w:val="0"/>
              <w:marBottom w:val="0"/>
              <w:divBdr>
                <w:top w:val="none" w:sz="0" w:space="0" w:color="auto"/>
                <w:left w:val="none" w:sz="0" w:space="0" w:color="auto"/>
                <w:bottom w:val="none" w:sz="0" w:space="0" w:color="auto"/>
                <w:right w:val="none" w:sz="0" w:space="0" w:color="auto"/>
              </w:divBdr>
              <w:divsChild>
                <w:div w:id="14335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6433">
      <w:bodyDiv w:val="1"/>
      <w:marLeft w:val="0"/>
      <w:marRight w:val="0"/>
      <w:marTop w:val="0"/>
      <w:marBottom w:val="0"/>
      <w:divBdr>
        <w:top w:val="none" w:sz="0" w:space="0" w:color="auto"/>
        <w:left w:val="none" w:sz="0" w:space="0" w:color="auto"/>
        <w:bottom w:val="none" w:sz="0" w:space="0" w:color="auto"/>
        <w:right w:val="none" w:sz="0" w:space="0" w:color="auto"/>
      </w:divBdr>
      <w:divsChild>
        <w:div w:id="684327867">
          <w:marLeft w:val="0"/>
          <w:marRight w:val="0"/>
          <w:marTop w:val="0"/>
          <w:marBottom w:val="0"/>
          <w:divBdr>
            <w:top w:val="none" w:sz="0" w:space="0" w:color="auto"/>
            <w:left w:val="none" w:sz="0" w:space="0" w:color="auto"/>
            <w:bottom w:val="none" w:sz="0" w:space="0" w:color="auto"/>
            <w:right w:val="none" w:sz="0" w:space="0" w:color="auto"/>
          </w:divBdr>
          <w:divsChild>
            <w:div w:id="1340549327">
              <w:marLeft w:val="0"/>
              <w:marRight w:val="0"/>
              <w:marTop w:val="0"/>
              <w:marBottom w:val="0"/>
              <w:divBdr>
                <w:top w:val="none" w:sz="0" w:space="0" w:color="auto"/>
                <w:left w:val="none" w:sz="0" w:space="0" w:color="auto"/>
                <w:bottom w:val="none" w:sz="0" w:space="0" w:color="auto"/>
                <w:right w:val="none" w:sz="0" w:space="0" w:color="auto"/>
              </w:divBdr>
              <w:divsChild>
                <w:div w:id="6762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1943">
      <w:bodyDiv w:val="1"/>
      <w:marLeft w:val="0"/>
      <w:marRight w:val="0"/>
      <w:marTop w:val="0"/>
      <w:marBottom w:val="0"/>
      <w:divBdr>
        <w:top w:val="none" w:sz="0" w:space="0" w:color="auto"/>
        <w:left w:val="none" w:sz="0" w:space="0" w:color="auto"/>
        <w:bottom w:val="none" w:sz="0" w:space="0" w:color="auto"/>
        <w:right w:val="none" w:sz="0" w:space="0" w:color="auto"/>
      </w:divBdr>
      <w:divsChild>
        <w:div w:id="1437602262">
          <w:marLeft w:val="0"/>
          <w:marRight w:val="0"/>
          <w:marTop w:val="0"/>
          <w:marBottom w:val="0"/>
          <w:divBdr>
            <w:top w:val="none" w:sz="0" w:space="0" w:color="auto"/>
            <w:left w:val="none" w:sz="0" w:space="0" w:color="auto"/>
            <w:bottom w:val="none" w:sz="0" w:space="0" w:color="auto"/>
            <w:right w:val="none" w:sz="0" w:space="0" w:color="auto"/>
          </w:divBdr>
        </w:div>
        <w:div w:id="960652097">
          <w:marLeft w:val="0"/>
          <w:marRight w:val="0"/>
          <w:marTop w:val="0"/>
          <w:marBottom w:val="0"/>
          <w:divBdr>
            <w:top w:val="none" w:sz="0" w:space="0" w:color="auto"/>
            <w:left w:val="none" w:sz="0" w:space="0" w:color="auto"/>
            <w:bottom w:val="none" w:sz="0" w:space="0" w:color="auto"/>
            <w:right w:val="none" w:sz="0" w:space="0" w:color="auto"/>
          </w:divBdr>
        </w:div>
        <w:div w:id="1290208037">
          <w:marLeft w:val="0"/>
          <w:marRight w:val="0"/>
          <w:marTop w:val="0"/>
          <w:marBottom w:val="0"/>
          <w:divBdr>
            <w:top w:val="none" w:sz="0" w:space="0" w:color="auto"/>
            <w:left w:val="none" w:sz="0" w:space="0" w:color="auto"/>
            <w:bottom w:val="none" w:sz="0" w:space="0" w:color="auto"/>
            <w:right w:val="none" w:sz="0" w:space="0" w:color="auto"/>
          </w:divBdr>
        </w:div>
      </w:divsChild>
    </w:div>
    <w:div w:id="610550229">
      <w:bodyDiv w:val="1"/>
      <w:marLeft w:val="0"/>
      <w:marRight w:val="0"/>
      <w:marTop w:val="0"/>
      <w:marBottom w:val="0"/>
      <w:divBdr>
        <w:top w:val="none" w:sz="0" w:space="0" w:color="auto"/>
        <w:left w:val="none" w:sz="0" w:space="0" w:color="auto"/>
        <w:bottom w:val="none" w:sz="0" w:space="0" w:color="auto"/>
        <w:right w:val="none" w:sz="0" w:space="0" w:color="auto"/>
      </w:divBdr>
      <w:divsChild>
        <w:div w:id="59183061">
          <w:marLeft w:val="0"/>
          <w:marRight w:val="0"/>
          <w:marTop w:val="0"/>
          <w:marBottom w:val="0"/>
          <w:divBdr>
            <w:top w:val="none" w:sz="0" w:space="0" w:color="auto"/>
            <w:left w:val="none" w:sz="0" w:space="0" w:color="auto"/>
            <w:bottom w:val="none" w:sz="0" w:space="0" w:color="auto"/>
            <w:right w:val="none" w:sz="0" w:space="0" w:color="auto"/>
          </w:divBdr>
        </w:div>
        <w:div w:id="1685979614">
          <w:marLeft w:val="0"/>
          <w:marRight w:val="0"/>
          <w:marTop w:val="0"/>
          <w:marBottom w:val="0"/>
          <w:divBdr>
            <w:top w:val="none" w:sz="0" w:space="0" w:color="auto"/>
            <w:left w:val="none" w:sz="0" w:space="0" w:color="auto"/>
            <w:bottom w:val="none" w:sz="0" w:space="0" w:color="auto"/>
            <w:right w:val="none" w:sz="0" w:space="0" w:color="auto"/>
          </w:divBdr>
        </w:div>
      </w:divsChild>
    </w:div>
    <w:div w:id="617176444">
      <w:bodyDiv w:val="1"/>
      <w:marLeft w:val="0"/>
      <w:marRight w:val="0"/>
      <w:marTop w:val="0"/>
      <w:marBottom w:val="0"/>
      <w:divBdr>
        <w:top w:val="none" w:sz="0" w:space="0" w:color="auto"/>
        <w:left w:val="none" w:sz="0" w:space="0" w:color="auto"/>
        <w:bottom w:val="none" w:sz="0" w:space="0" w:color="auto"/>
        <w:right w:val="none" w:sz="0" w:space="0" w:color="auto"/>
      </w:divBdr>
      <w:divsChild>
        <w:div w:id="629899097">
          <w:marLeft w:val="0"/>
          <w:marRight w:val="0"/>
          <w:marTop w:val="0"/>
          <w:marBottom w:val="0"/>
          <w:divBdr>
            <w:top w:val="none" w:sz="0" w:space="0" w:color="auto"/>
            <w:left w:val="none" w:sz="0" w:space="0" w:color="auto"/>
            <w:bottom w:val="none" w:sz="0" w:space="0" w:color="auto"/>
            <w:right w:val="none" w:sz="0" w:space="0" w:color="auto"/>
          </w:divBdr>
          <w:divsChild>
            <w:div w:id="1528132854">
              <w:marLeft w:val="0"/>
              <w:marRight w:val="0"/>
              <w:marTop w:val="0"/>
              <w:marBottom w:val="0"/>
              <w:divBdr>
                <w:top w:val="none" w:sz="0" w:space="0" w:color="auto"/>
                <w:left w:val="none" w:sz="0" w:space="0" w:color="auto"/>
                <w:bottom w:val="none" w:sz="0" w:space="0" w:color="auto"/>
                <w:right w:val="none" w:sz="0" w:space="0" w:color="auto"/>
              </w:divBdr>
              <w:divsChild>
                <w:div w:id="6878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8576">
      <w:bodyDiv w:val="1"/>
      <w:marLeft w:val="0"/>
      <w:marRight w:val="0"/>
      <w:marTop w:val="0"/>
      <w:marBottom w:val="0"/>
      <w:divBdr>
        <w:top w:val="none" w:sz="0" w:space="0" w:color="auto"/>
        <w:left w:val="none" w:sz="0" w:space="0" w:color="auto"/>
        <w:bottom w:val="none" w:sz="0" w:space="0" w:color="auto"/>
        <w:right w:val="none" w:sz="0" w:space="0" w:color="auto"/>
      </w:divBdr>
    </w:div>
    <w:div w:id="642007607">
      <w:bodyDiv w:val="1"/>
      <w:marLeft w:val="0"/>
      <w:marRight w:val="0"/>
      <w:marTop w:val="0"/>
      <w:marBottom w:val="0"/>
      <w:divBdr>
        <w:top w:val="none" w:sz="0" w:space="0" w:color="auto"/>
        <w:left w:val="none" w:sz="0" w:space="0" w:color="auto"/>
        <w:bottom w:val="none" w:sz="0" w:space="0" w:color="auto"/>
        <w:right w:val="none" w:sz="0" w:space="0" w:color="auto"/>
      </w:divBdr>
    </w:div>
    <w:div w:id="712002058">
      <w:bodyDiv w:val="1"/>
      <w:marLeft w:val="0"/>
      <w:marRight w:val="0"/>
      <w:marTop w:val="0"/>
      <w:marBottom w:val="0"/>
      <w:divBdr>
        <w:top w:val="none" w:sz="0" w:space="0" w:color="auto"/>
        <w:left w:val="none" w:sz="0" w:space="0" w:color="auto"/>
        <w:bottom w:val="none" w:sz="0" w:space="0" w:color="auto"/>
        <w:right w:val="none" w:sz="0" w:space="0" w:color="auto"/>
      </w:divBdr>
    </w:div>
    <w:div w:id="763887979">
      <w:bodyDiv w:val="1"/>
      <w:marLeft w:val="0"/>
      <w:marRight w:val="0"/>
      <w:marTop w:val="0"/>
      <w:marBottom w:val="0"/>
      <w:divBdr>
        <w:top w:val="none" w:sz="0" w:space="0" w:color="auto"/>
        <w:left w:val="none" w:sz="0" w:space="0" w:color="auto"/>
        <w:bottom w:val="none" w:sz="0" w:space="0" w:color="auto"/>
        <w:right w:val="none" w:sz="0" w:space="0" w:color="auto"/>
      </w:divBdr>
      <w:divsChild>
        <w:div w:id="1947076680">
          <w:marLeft w:val="0"/>
          <w:marRight w:val="0"/>
          <w:marTop w:val="0"/>
          <w:marBottom w:val="0"/>
          <w:divBdr>
            <w:top w:val="none" w:sz="0" w:space="0" w:color="auto"/>
            <w:left w:val="none" w:sz="0" w:space="0" w:color="auto"/>
            <w:bottom w:val="none" w:sz="0" w:space="0" w:color="auto"/>
            <w:right w:val="none" w:sz="0" w:space="0" w:color="auto"/>
          </w:divBdr>
          <w:divsChild>
            <w:div w:id="1274048059">
              <w:marLeft w:val="0"/>
              <w:marRight w:val="0"/>
              <w:marTop w:val="0"/>
              <w:marBottom w:val="0"/>
              <w:divBdr>
                <w:top w:val="none" w:sz="0" w:space="0" w:color="auto"/>
                <w:left w:val="none" w:sz="0" w:space="0" w:color="auto"/>
                <w:bottom w:val="none" w:sz="0" w:space="0" w:color="auto"/>
                <w:right w:val="none" w:sz="0" w:space="0" w:color="auto"/>
              </w:divBdr>
              <w:divsChild>
                <w:div w:id="15782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07513">
      <w:bodyDiv w:val="1"/>
      <w:marLeft w:val="0"/>
      <w:marRight w:val="0"/>
      <w:marTop w:val="0"/>
      <w:marBottom w:val="0"/>
      <w:divBdr>
        <w:top w:val="none" w:sz="0" w:space="0" w:color="auto"/>
        <w:left w:val="none" w:sz="0" w:space="0" w:color="auto"/>
        <w:bottom w:val="none" w:sz="0" w:space="0" w:color="auto"/>
        <w:right w:val="none" w:sz="0" w:space="0" w:color="auto"/>
      </w:divBdr>
      <w:divsChild>
        <w:div w:id="1776710639">
          <w:marLeft w:val="0"/>
          <w:marRight w:val="0"/>
          <w:marTop w:val="0"/>
          <w:marBottom w:val="0"/>
          <w:divBdr>
            <w:top w:val="none" w:sz="0" w:space="0" w:color="auto"/>
            <w:left w:val="none" w:sz="0" w:space="0" w:color="auto"/>
            <w:bottom w:val="none" w:sz="0" w:space="0" w:color="auto"/>
            <w:right w:val="none" w:sz="0" w:space="0" w:color="auto"/>
          </w:divBdr>
        </w:div>
        <w:div w:id="1110273136">
          <w:marLeft w:val="0"/>
          <w:marRight w:val="0"/>
          <w:marTop w:val="0"/>
          <w:marBottom w:val="0"/>
          <w:divBdr>
            <w:top w:val="none" w:sz="0" w:space="0" w:color="auto"/>
            <w:left w:val="none" w:sz="0" w:space="0" w:color="auto"/>
            <w:bottom w:val="none" w:sz="0" w:space="0" w:color="auto"/>
            <w:right w:val="none" w:sz="0" w:space="0" w:color="auto"/>
          </w:divBdr>
        </w:div>
      </w:divsChild>
    </w:div>
    <w:div w:id="811943924">
      <w:bodyDiv w:val="1"/>
      <w:marLeft w:val="0"/>
      <w:marRight w:val="0"/>
      <w:marTop w:val="0"/>
      <w:marBottom w:val="0"/>
      <w:divBdr>
        <w:top w:val="none" w:sz="0" w:space="0" w:color="auto"/>
        <w:left w:val="none" w:sz="0" w:space="0" w:color="auto"/>
        <w:bottom w:val="none" w:sz="0" w:space="0" w:color="auto"/>
        <w:right w:val="none" w:sz="0" w:space="0" w:color="auto"/>
      </w:divBdr>
      <w:divsChild>
        <w:div w:id="1040131022">
          <w:marLeft w:val="0"/>
          <w:marRight w:val="0"/>
          <w:marTop w:val="0"/>
          <w:marBottom w:val="0"/>
          <w:divBdr>
            <w:top w:val="none" w:sz="0" w:space="0" w:color="auto"/>
            <w:left w:val="none" w:sz="0" w:space="0" w:color="auto"/>
            <w:bottom w:val="none" w:sz="0" w:space="0" w:color="auto"/>
            <w:right w:val="none" w:sz="0" w:space="0" w:color="auto"/>
          </w:divBdr>
          <w:divsChild>
            <w:div w:id="1598752760">
              <w:marLeft w:val="0"/>
              <w:marRight w:val="0"/>
              <w:marTop w:val="0"/>
              <w:marBottom w:val="0"/>
              <w:divBdr>
                <w:top w:val="none" w:sz="0" w:space="0" w:color="auto"/>
                <w:left w:val="none" w:sz="0" w:space="0" w:color="auto"/>
                <w:bottom w:val="none" w:sz="0" w:space="0" w:color="auto"/>
                <w:right w:val="none" w:sz="0" w:space="0" w:color="auto"/>
              </w:divBdr>
              <w:divsChild>
                <w:div w:id="21073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2155">
      <w:bodyDiv w:val="1"/>
      <w:marLeft w:val="0"/>
      <w:marRight w:val="0"/>
      <w:marTop w:val="0"/>
      <w:marBottom w:val="0"/>
      <w:divBdr>
        <w:top w:val="none" w:sz="0" w:space="0" w:color="auto"/>
        <w:left w:val="none" w:sz="0" w:space="0" w:color="auto"/>
        <w:bottom w:val="none" w:sz="0" w:space="0" w:color="auto"/>
        <w:right w:val="none" w:sz="0" w:space="0" w:color="auto"/>
      </w:divBdr>
      <w:divsChild>
        <w:div w:id="1297681050">
          <w:marLeft w:val="0"/>
          <w:marRight w:val="0"/>
          <w:marTop w:val="0"/>
          <w:marBottom w:val="0"/>
          <w:divBdr>
            <w:top w:val="none" w:sz="0" w:space="0" w:color="auto"/>
            <w:left w:val="none" w:sz="0" w:space="0" w:color="auto"/>
            <w:bottom w:val="none" w:sz="0" w:space="0" w:color="auto"/>
            <w:right w:val="none" w:sz="0" w:space="0" w:color="auto"/>
          </w:divBdr>
        </w:div>
        <w:div w:id="1116564261">
          <w:marLeft w:val="0"/>
          <w:marRight w:val="0"/>
          <w:marTop w:val="0"/>
          <w:marBottom w:val="0"/>
          <w:divBdr>
            <w:top w:val="none" w:sz="0" w:space="0" w:color="auto"/>
            <w:left w:val="none" w:sz="0" w:space="0" w:color="auto"/>
            <w:bottom w:val="none" w:sz="0" w:space="0" w:color="auto"/>
            <w:right w:val="none" w:sz="0" w:space="0" w:color="auto"/>
          </w:divBdr>
        </w:div>
        <w:div w:id="230389643">
          <w:marLeft w:val="0"/>
          <w:marRight w:val="0"/>
          <w:marTop w:val="0"/>
          <w:marBottom w:val="0"/>
          <w:divBdr>
            <w:top w:val="none" w:sz="0" w:space="0" w:color="auto"/>
            <w:left w:val="none" w:sz="0" w:space="0" w:color="auto"/>
            <w:bottom w:val="none" w:sz="0" w:space="0" w:color="auto"/>
            <w:right w:val="none" w:sz="0" w:space="0" w:color="auto"/>
          </w:divBdr>
        </w:div>
      </w:divsChild>
    </w:div>
    <w:div w:id="830146149">
      <w:bodyDiv w:val="1"/>
      <w:marLeft w:val="0"/>
      <w:marRight w:val="0"/>
      <w:marTop w:val="0"/>
      <w:marBottom w:val="0"/>
      <w:divBdr>
        <w:top w:val="none" w:sz="0" w:space="0" w:color="auto"/>
        <w:left w:val="none" w:sz="0" w:space="0" w:color="auto"/>
        <w:bottom w:val="none" w:sz="0" w:space="0" w:color="auto"/>
        <w:right w:val="none" w:sz="0" w:space="0" w:color="auto"/>
      </w:divBdr>
      <w:divsChild>
        <w:div w:id="1972396377">
          <w:marLeft w:val="0"/>
          <w:marRight w:val="0"/>
          <w:marTop w:val="0"/>
          <w:marBottom w:val="0"/>
          <w:divBdr>
            <w:top w:val="none" w:sz="0" w:space="0" w:color="auto"/>
            <w:left w:val="none" w:sz="0" w:space="0" w:color="auto"/>
            <w:bottom w:val="none" w:sz="0" w:space="0" w:color="auto"/>
            <w:right w:val="none" w:sz="0" w:space="0" w:color="auto"/>
          </w:divBdr>
          <w:divsChild>
            <w:div w:id="1219902391">
              <w:marLeft w:val="0"/>
              <w:marRight w:val="0"/>
              <w:marTop w:val="0"/>
              <w:marBottom w:val="0"/>
              <w:divBdr>
                <w:top w:val="none" w:sz="0" w:space="0" w:color="auto"/>
                <w:left w:val="none" w:sz="0" w:space="0" w:color="auto"/>
                <w:bottom w:val="none" w:sz="0" w:space="0" w:color="auto"/>
                <w:right w:val="none" w:sz="0" w:space="0" w:color="auto"/>
              </w:divBdr>
              <w:divsChild>
                <w:div w:id="539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6507">
      <w:bodyDiv w:val="1"/>
      <w:marLeft w:val="0"/>
      <w:marRight w:val="0"/>
      <w:marTop w:val="0"/>
      <w:marBottom w:val="0"/>
      <w:divBdr>
        <w:top w:val="none" w:sz="0" w:space="0" w:color="auto"/>
        <w:left w:val="none" w:sz="0" w:space="0" w:color="auto"/>
        <w:bottom w:val="none" w:sz="0" w:space="0" w:color="auto"/>
        <w:right w:val="none" w:sz="0" w:space="0" w:color="auto"/>
      </w:divBdr>
      <w:divsChild>
        <w:div w:id="152110664">
          <w:marLeft w:val="0"/>
          <w:marRight w:val="0"/>
          <w:marTop w:val="0"/>
          <w:marBottom w:val="0"/>
          <w:divBdr>
            <w:top w:val="none" w:sz="0" w:space="0" w:color="auto"/>
            <w:left w:val="none" w:sz="0" w:space="0" w:color="auto"/>
            <w:bottom w:val="none" w:sz="0" w:space="0" w:color="auto"/>
            <w:right w:val="none" w:sz="0" w:space="0" w:color="auto"/>
          </w:divBdr>
        </w:div>
        <w:div w:id="1946382482">
          <w:marLeft w:val="0"/>
          <w:marRight w:val="0"/>
          <w:marTop w:val="0"/>
          <w:marBottom w:val="0"/>
          <w:divBdr>
            <w:top w:val="none" w:sz="0" w:space="0" w:color="auto"/>
            <w:left w:val="none" w:sz="0" w:space="0" w:color="auto"/>
            <w:bottom w:val="none" w:sz="0" w:space="0" w:color="auto"/>
            <w:right w:val="none" w:sz="0" w:space="0" w:color="auto"/>
          </w:divBdr>
        </w:div>
      </w:divsChild>
    </w:div>
    <w:div w:id="903220655">
      <w:bodyDiv w:val="1"/>
      <w:marLeft w:val="0"/>
      <w:marRight w:val="0"/>
      <w:marTop w:val="0"/>
      <w:marBottom w:val="0"/>
      <w:divBdr>
        <w:top w:val="none" w:sz="0" w:space="0" w:color="auto"/>
        <w:left w:val="none" w:sz="0" w:space="0" w:color="auto"/>
        <w:bottom w:val="none" w:sz="0" w:space="0" w:color="auto"/>
        <w:right w:val="none" w:sz="0" w:space="0" w:color="auto"/>
      </w:divBdr>
      <w:divsChild>
        <w:div w:id="887424275">
          <w:marLeft w:val="0"/>
          <w:marRight w:val="0"/>
          <w:marTop w:val="0"/>
          <w:marBottom w:val="0"/>
          <w:divBdr>
            <w:top w:val="none" w:sz="0" w:space="0" w:color="auto"/>
            <w:left w:val="none" w:sz="0" w:space="0" w:color="auto"/>
            <w:bottom w:val="none" w:sz="0" w:space="0" w:color="auto"/>
            <w:right w:val="none" w:sz="0" w:space="0" w:color="auto"/>
          </w:divBdr>
          <w:divsChild>
            <w:div w:id="1504853131">
              <w:marLeft w:val="0"/>
              <w:marRight w:val="0"/>
              <w:marTop w:val="0"/>
              <w:marBottom w:val="0"/>
              <w:divBdr>
                <w:top w:val="none" w:sz="0" w:space="0" w:color="auto"/>
                <w:left w:val="none" w:sz="0" w:space="0" w:color="auto"/>
                <w:bottom w:val="none" w:sz="0" w:space="0" w:color="auto"/>
                <w:right w:val="none" w:sz="0" w:space="0" w:color="auto"/>
              </w:divBdr>
              <w:divsChild>
                <w:div w:id="3999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5583">
      <w:bodyDiv w:val="1"/>
      <w:marLeft w:val="0"/>
      <w:marRight w:val="0"/>
      <w:marTop w:val="0"/>
      <w:marBottom w:val="0"/>
      <w:divBdr>
        <w:top w:val="none" w:sz="0" w:space="0" w:color="auto"/>
        <w:left w:val="none" w:sz="0" w:space="0" w:color="auto"/>
        <w:bottom w:val="none" w:sz="0" w:space="0" w:color="auto"/>
        <w:right w:val="none" w:sz="0" w:space="0" w:color="auto"/>
      </w:divBdr>
      <w:divsChild>
        <w:div w:id="1258176465">
          <w:marLeft w:val="0"/>
          <w:marRight w:val="0"/>
          <w:marTop w:val="0"/>
          <w:marBottom w:val="0"/>
          <w:divBdr>
            <w:top w:val="none" w:sz="0" w:space="0" w:color="auto"/>
            <w:left w:val="none" w:sz="0" w:space="0" w:color="auto"/>
            <w:bottom w:val="none" w:sz="0" w:space="0" w:color="auto"/>
            <w:right w:val="none" w:sz="0" w:space="0" w:color="auto"/>
          </w:divBdr>
          <w:divsChild>
            <w:div w:id="137650338">
              <w:marLeft w:val="0"/>
              <w:marRight w:val="0"/>
              <w:marTop w:val="0"/>
              <w:marBottom w:val="0"/>
              <w:divBdr>
                <w:top w:val="none" w:sz="0" w:space="0" w:color="auto"/>
                <w:left w:val="none" w:sz="0" w:space="0" w:color="auto"/>
                <w:bottom w:val="none" w:sz="0" w:space="0" w:color="auto"/>
                <w:right w:val="none" w:sz="0" w:space="0" w:color="auto"/>
              </w:divBdr>
              <w:divsChild>
                <w:div w:id="17712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73762">
      <w:bodyDiv w:val="1"/>
      <w:marLeft w:val="0"/>
      <w:marRight w:val="0"/>
      <w:marTop w:val="0"/>
      <w:marBottom w:val="0"/>
      <w:divBdr>
        <w:top w:val="none" w:sz="0" w:space="0" w:color="auto"/>
        <w:left w:val="none" w:sz="0" w:space="0" w:color="auto"/>
        <w:bottom w:val="none" w:sz="0" w:space="0" w:color="auto"/>
        <w:right w:val="none" w:sz="0" w:space="0" w:color="auto"/>
      </w:divBdr>
      <w:divsChild>
        <w:div w:id="9335131">
          <w:marLeft w:val="0"/>
          <w:marRight w:val="0"/>
          <w:marTop w:val="0"/>
          <w:marBottom w:val="0"/>
          <w:divBdr>
            <w:top w:val="none" w:sz="0" w:space="0" w:color="auto"/>
            <w:left w:val="none" w:sz="0" w:space="0" w:color="auto"/>
            <w:bottom w:val="none" w:sz="0" w:space="0" w:color="auto"/>
            <w:right w:val="none" w:sz="0" w:space="0" w:color="auto"/>
          </w:divBdr>
        </w:div>
        <w:div w:id="1576278450">
          <w:marLeft w:val="0"/>
          <w:marRight w:val="0"/>
          <w:marTop w:val="0"/>
          <w:marBottom w:val="0"/>
          <w:divBdr>
            <w:top w:val="none" w:sz="0" w:space="0" w:color="auto"/>
            <w:left w:val="none" w:sz="0" w:space="0" w:color="auto"/>
            <w:bottom w:val="none" w:sz="0" w:space="0" w:color="auto"/>
            <w:right w:val="none" w:sz="0" w:space="0" w:color="auto"/>
          </w:divBdr>
        </w:div>
        <w:div w:id="1662733497">
          <w:marLeft w:val="0"/>
          <w:marRight w:val="0"/>
          <w:marTop w:val="0"/>
          <w:marBottom w:val="0"/>
          <w:divBdr>
            <w:top w:val="none" w:sz="0" w:space="0" w:color="auto"/>
            <w:left w:val="none" w:sz="0" w:space="0" w:color="auto"/>
            <w:bottom w:val="none" w:sz="0" w:space="0" w:color="auto"/>
            <w:right w:val="none" w:sz="0" w:space="0" w:color="auto"/>
          </w:divBdr>
        </w:div>
        <w:div w:id="1658804136">
          <w:marLeft w:val="0"/>
          <w:marRight w:val="0"/>
          <w:marTop w:val="0"/>
          <w:marBottom w:val="0"/>
          <w:divBdr>
            <w:top w:val="none" w:sz="0" w:space="0" w:color="auto"/>
            <w:left w:val="none" w:sz="0" w:space="0" w:color="auto"/>
            <w:bottom w:val="none" w:sz="0" w:space="0" w:color="auto"/>
            <w:right w:val="none" w:sz="0" w:space="0" w:color="auto"/>
          </w:divBdr>
        </w:div>
        <w:div w:id="1483740255">
          <w:marLeft w:val="0"/>
          <w:marRight w:val="0"/>
          <w:marTop w:val="0"/>
          <w:marBottom w:val="0"/>
          <w:divBdr>
            <w:top w:val="none" w:sz="0" w:space="0" w:color="auto"/>
            <w:left w:val="none" w:sz="0" w:space="0" w:color="auto"/>
            <w:bottom w:val="none" w:sz="0" w:space="0" w:color="auto"/>
            <w:right w:val="none" w:sz="0" w:space="0" w:color="auto"/>
          </w:divBdr>
        </w:div>
        <w:div w:id="318970923">
          <w:marLeft w:val="0"/>
          <w:marRight w:val="0"/>
          <w:marTop w:val="0"/>
          <w:marBottom w:val="0"/>
          <w:divBdr>
            <w:top w:val="none" w:sz="0" w:space="0" w:color="auto"/>
            <w:left w:val="none" w:sz="0" w:space="0" w:color="auto"/>
            <w:bottom w:val="none" w:sz="0" w:space="0" w:color="auto"/>
            <w:right w:val="none" w:sz="0" w:space="0" w:color="auto"/>
          </w:divBdr>
        </w:div>
      </w:divsChild>
    </w:div>
    <w:div w:id="1112482186">
      <w:bodyDiv w:val="1"/>
      <w:marLeft w:val="0"/>
      <w:marRight w:val="0"/>
      <w:marTop w:val="0"/>
      <w:marBottom w:val="0"/>
      <w:divBdr>
        <w:top w:val="none" w:sz="0" w:space="0" w:color="auto"/>
        <w:left w:val="none" w:sz="0" w:space="0" w:color="auto"/>
        <w:bottom w:val="none" w:sz="0" w:space="0" w:color="auto"/>
        <w:right w:val="none" w:sz="0" w:space="0" w:color="auto"/>
      </w:divBdr>
      <w:divsChild>
        <w:div w:id="659043028">
          <w:marLeft w:val="0"/>
          <w:marRight w:val="0"/>
          <w:marTop w:val="0"/>
          <w:marBottom w:val="0"/>
          <w:divBdr>
            <w:top w:val="none" w:sz="0" w:space="0" w:color="auto"/>
            <w:left w:val="none" w:sz="0" w:space="0" w:color="auto"/>
            <w:bottom w:val="none" w:sz="0" w:space="0" w:color="auto"/>
            <w:right w:val="none" w:sz="0" w:space="0" w:color="auto"/>
          </w:divBdr>
        </w:div>
        <w:div w:id="2146121357">
          <w:marLeft w:val="0"/>
          <w:marRight w:val="0"/>
          <w:marTop w:val="0"/>
          <w:marBottom w:val="0"/>
          <w:divBdr>
            <w:top w:val="none" w:sz="0" w:space="0" w:color="auto"/>
            <w:left w:val="none" w:sz="0" w:space="0" w:color="auto"/>
            <w:bottom w:val="none" w:sz="0" w:space="0" w:color="auto"/>
            <w:right w:val="none" w:sz="0" w:space="0" w:color="auto"/>
          </w:divBdr>
        </w:div>
        <w:div w:id="1558585141">
          <w:marLeft w:val="0"/>
          <w:marRight w:val="0"/>
          <w:marTop w:val="0"/>
          <w:marBottom w:val="0"/>
          <w:divBdr>
            <w:top w:val="none" w:sz="0" w:space="0" w:color="auto"/>
            <w:left w:val="none" w:sz="0" w:space="0" w:color="auto"/>
            <w:bottom w:val="none" w:sz="0" w:space="0" w:color="auto"/>
            <w:right w:val="none" w:sz="0" w:space="0" w:color="auto"/>
          </w:divBdr>
        </w:div>
        <w:div w:id="865338054">
          <w:marLeft w:val="0"/>
          <w:marRight w:val="0"/>
          <w:marTop w:val="0"/>
          <w:marBottom w:val="0"/>
          <w:divBdr>
            <w:top w:val="none" w:sz="0" w:space="0" w:color="auto"/>
            <w:left w:val="none" w:sz="0" w:space="0" w:color="auto"/>
            <w:bottom w:val="none" w:sz="0" w:space="0" w:color="auto"/>
            <w:right w:val="none" w:sz="0" w:space="0" w:color="auto"/>
          </w:divBdr>
        </w:div>
        <w:div w:id="1639450886">
          <w:marLeft w:val="0"/>
          <w:marRight w:val="0"/>
          <w:marTop w:val="0"/>
          <w:marBottom w:val="0"/>
          <w:divBdr>
            <w:top w:val="none" w:sz="0" w:space="0" w:color="auto"/>
            <w:left w:val="none" w:sz="0" w:space="0" w:color="auto"/>
            <w:bottom w:val="none" w:sz="0" w:space="0" w:color="auto"/>
            <w:right w:val="none" w:sz="0" w:space="0" w:color="auto"/>
          </w:divBdr>
        </w:div>
      </w:divsChild>
    </w:div>
    <w:div w:id="1119569020">
      <w:bodyDiv w:val="1"/>
      <w:marLeft w:val="0"/>
      <w:marRight w:val="0"/>
      <w:marTop w:val="0"/>
      <w:marBottom w:val="0"/>
      <w:divBdr>
        <w:top w:val="none" w:sz="0" w:space="0" w:color="auto"/>
        <w:left w:val="none" w:sz="0" w:space="0" w:color="auto"/>
        <w:bottom w:val="none" w:sz="0" w:space="0" w:color="auto"/>
        <w:right w:val="none" w:sz="0" w:space="0" w:color="auto"/>
      </w:divBdr>
    </w:div>
    <w:div w:id="1130366748">
      <w:bodyDiv w:val="1"/>
      <w:marLeft w:val="0"/>
      <w:marRight w:val="0"/>
      <w:marTop w:val="0"/>
      <w:marBottom w:val="0"/>
      <w:divBdr>
        <w:top w:val="none" w:sz="0" w:space="0" w:color="auto"/>
        <w:left w:val="none" w:sz="0" w:space="0" w:color="auto"/>
        <w:bottom w:val="none" w:sz="0" w:space="0" w:color="auto"/>
        <w:right w:val="none" w:sz="0" w:space="0" w:color="auto"/>
      </w:divBdr>
      <w:divsChild>
        <w:div w:id="1659843606">
          <w:marLeft w:val="0"/>
          <w:marRight w:val="0"/>
          <w:marTop w:val="0"/>
          <w:marBottom w:val="0"/>
          <w:divBdr>
            <w:top w:val="none" w:sz="0" w:space="0" w:color="auto"/>
            <w:left w:val="none" w:sz="0" w:space="0" w:color="auto"/>
            <w:bottom w:val="none" w:sz="0" w:space="0" w:color="auto"/>
            <w:right w:val="none" w:sz="0" w:space="0" w:color="auto"/>
          </w:divBdr>
        </w:div>
      </w:divsChild>
    </w:div>
    <w:div w:id="1135175142">
      <w:bodyDiv w:val="1"/>
      <w:marLeft w:val="0"/>
      <w:marRight w:val="0"/>
      <w:marTop w:val="0"/>
      <w:marBottom w:val="0"/>
      <w:divBdr>
        <w:top w:val="none" w:sz="0" w:space="0" w:color="auto"/>
        <w:left w:val="none" w:sz="0" w:space="0" w:color="auto"/>
        <w:bottom w:val="none" w:sz="0" w:space="0" w:color="auto"/>
        <w:right w:val="none" w:sz="0" w:space="0" w:color="auto"/>
      </w:divBdr>
      <w:divsChild>
        <w:div w:id="794837975">
          <w:marLeft w:val="0"/>
          <w:marRight w:val="0"/>
          <w:marTop w:val="0"/>
          <w:marBottom w:val="0"/>
          <w:divBdr>
            <w:top w:val="none" w:sz="0" w:space="0" w:color="auto"/>
            <w:left w:val="none" w:sz="0" w:space="0" w:color="auto"/>
            <w:bottom w:val="none" w:sz="0" w:space="0" w:color="auto"/>
            <w:right w:val="none" w:sz="0" w:space="0" w:color="auto"/>
          </w:divBdr>
        </w:div>
        <w:div w:id="772744742">
          <w:marLeft w:val="0"/>
          <w:marRight w:val="0"/>
          <w:marTop w:val="0"/>
          <w:marBottom w:val="0"/>
          <w:divBdr>
            <w:top w:val="none" w:sz="0" w:space="0" w:color="auto"/>
            <w:left w:val="none" w:sz="0" w:space="0" w:color="auto"/>
            <w:bottom w:val="none" w:sz="0" w:space="0" w:color="auto"/>
            <w:right w:val="none" w:sz="0" w:space="0" w:color="auto"/>
          </w:divBdr>
        </w:div>
        <w:div w:id="286132957">
          <w:marLeft w:val="0"/>
          <w:marRight w:val="0"/>
          <w:marTop w:val="0"/>
          <w:marBottom w:val="0"/>
          <w:divBdr>
            <w:top w:val="none" w:sz="0" w:space="0" w:color="auto"/>
            <w:left w:val="none" w:sz="0" w:space="0" w:color="auto"/>
            <w:bottom w:val="none" w:sz="0" w:space="0" w:color="auto"/>
            <w:right w:val="none" w:sz="0" w:space="0" w:color="auto"/>
          </w:divBdr>
        </w:div>
      </w:divsChild>
    </w:div>
    <w:div w:id="1148942269">
      <w:bodyDiv w:val="1"/>
      <w:marLeft w:val="0"/>
      <w:marRight w:val="0"/>
      <w:marTop w:val="0"/>
      <w:marBottom w:val="0"/>
      <w:divBdr>
        <w:top w:val="none" w:sz="0" w:space="0" w:color="auto"/>
        <w:left w:val="none" w:sz="0" w:space="0" w:color="auto"/>
        <w:bottom w:val="none" w:sz="0" w:space="0" w:color="auto"/>
        <w:right w:val="none" w:sz="0" w:space="0" w:color="auto"/>
      </w:divBdr>
      <w:divsChild>
        <w:div w:id="1475944715">
          <w:marLeft w:val="0"/>
          <w:marRight w:val="0"/>
          <w:marTop w:val="0"/>
          <w:marBottom w:val="0"/>
          <w:divBdr>
            <w:top w:val="none" w:sz="0" w:space="0" w:color="auto"/>
            <w:left w:val="none" w:sz="0" w:space="0" w:color="auto"/>
            <w:bottom w:val="none" w:sz="0" w:space="0" w:color="auto"/>
            <w:right w:val="none" w:sz="0" w:space="0" w:color="auto"/>
          </w:divBdr>
          <w:divsChild>
            <w:div w:id="1338121881">
              <w:marLeft w:val="0"/>
              <w:marRight w:val="0"/>
              <w:marTop w:val="0"/>
              <w:marBottom w:val="0"/>
              <w:divBdr>
                <w:top w:val="none" w:sz="0" w:space="0" w:color="auto"/>
                <w:left w:val="none" w:sz="0" w:space="0" w:color="auto"/>
                <w:bottom w:val="none" w:sz="0" w:space="0" w:color="auto"/>
                <w:right w:val="none" w:sz="0" w:space="0" w:color="auto"/>
              </w:divBdr>
              <w:divsChild>
                <w:div w:id="20201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12980">
      <w:bodyDiv w:val="1"/>
      <w:marLeft w:val="0"/>
      <w:marRight w:val="0"/>
      <w:marTop w:val="0"/>
      <w:marBottom w:val="0"/>
      <w:divBdr>
        <w:top w:val="none" w:sz="0" w:space="0" w:color="auto"/>
        <w:left w:val="none" w:sz="0" w:space="0" w:color="auto"/>
        <w:bottom w:val="none" w:sz="0" w:space="0" w:color="auto"/>
        <w:right w:val="none" w:sz="0" w:space="0" w:color="auto"/>
      </w:divBdr>
      <w:divsChild>
        <w:div w:id="316152107">
          <w:marLeft w:val="0"/>
          <w:marRight w:val="0"/>
          <w:marTop w:val="0"/>
          <w:marBottom w:val="0"/>
          <w:divBdr>
            <w:top w:val="none" w:sz="0" w:space="0" w:color="auto"/>
            <w:left w:val="none" w:sz="0" w:space="0" w:color="auto"/>
            <w:bottom w:val="none" w:sz="0" w:space="0" w:color="auto"/>
            <w:right w:val="none" w:sz="0" w:space="0" w:color="auto"/>
          </w:divBdr>
        </w:div>
        <w:div w:id="420300203">
          <w:marLeft w:val="0"/>
          <w:marRight w:val="0"/>
          <w:marTop w:val="0"/>
          <w:marBottom w:val="0"/>
          <w:divBdr>
            <w:top w:val="none" w:sz="0" w:space="0" w:color="auto"/>
            <w:left w:val="none" w:sz="0" w:space="0" w:color="auto"/>
            <w:bottom w:val="none" w:sz="0" w:space="0" w:color="auto"/>
            <w:right w:val="none" w:sz="0" w:space="0" w:color="auto"/>
          </w:divBdr>
        </w:div>
      </w:divsChild>
    </w:div>
    <w:div w:id="1216896219">
      <w:bodyDiv w:val="1"/>
      <w:marLeft w:val="0"/>
      <w:marRight w:val="0"/>
      <w:marTop w:val="0"/>
      <w:marBottom w:val="0"/>
      <w:divBdr>
        <w:top w:val="none" w:sz="0" w:space="0" w:color="auto"/>
        <w:left w:val="none" w:sz="0" w:space="0" w:color="auto"/>
        <w:bottom w:val="none" w:sz="0" w:space="0" w:color="auto"/>
        <w:right w:val="none" w:sz="0" w:space="0" w:color="auto"/>
      </w:divBdr>
      <w:divsChild>
        <w:div w:id="852451260">
          <w:marLeft w:val="0"/>
          <w:marRight w:val="0"/>
          <w:marTop w:val="0"/>
          <w:marBottom w:val="0"/>
          <w:divBdr>
            <w:top w:val="none" w:sz="0" w:space="0" w:color="auto"/>
            <w:left w:val="none" w:sz="0" w:space="0" w:color="auto"/>
            <w:bottom w:val="none" w:sz="0" w:space="0" w:color="auto"/>
            <w:right w:val="none" w:sz="0" w:space="0" w:color="auto"/>
          </w:divBdr>
          <w:divsChild>
            <w:div w:id="1474635927">
              <w:marLeft w:val="0"/>
              <w:marRight w:val="0"/>
              <w:marTop w:val="0"/>
              <w:marBottom w:val="0"/>
              <w:divBdr>
                <w:top w:val="none" w:sz="0" w:space="0" w:color="auto"/>
                <w:left w:val="none" w:sz="0" w:space="0" w:color="auto"/>
                <w:bottom w:val="none" w:sz="0" w:space="0" w:color="auto"/>
                <w:right w:val="none" w:sz="0" w:space="0" w:color="auto"/>
              </w:divBdr>
              <w:divsChild>
                <w:div w:id="6772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604">
      <w:bodyDiv w:val="1"/>
      <w:marLeft w:val="0"/>
      <w:marRight w:val="0"/>
      <w:marTop w:val="0"/>
      <w:marBottom w:val="0"/>
      <w:divBdr>
        <w:top w:val="none" w:sz="0" w:space="0" w:color="auto"/>
        <w:left w:val="none" w:sz="0" w:space="0" w:color="auto"/>
        <w:bottom w:val="none" w:sz="0" w:space="0" w:color="auto"/>
        <w:right w:val="none" w:sz="0" w:space="0" w:color="auto"/>
      </w:divBdr>
      <w:divsChild>
        <w:div w:id="834689989">
          <w:marLeft w:val="0"/>
          <w:marRight w:val="0"/>
          <w:marTop w:val="0"/>
          <w:marBottom w:val="0"/>
          <w:divBdr>
            <w:top w:val="none" w:sz="0" w:space="0" w:color="auto"/>
            <w:left w:val="none" w:sz="0" w:space="0" w:color="auto"/>
            <w:bottom w:val="none" w:sz="0" w:space="0" w:color="auto"/>
            <w:right w:val="none" w:sz="0" w:space="0" w:color="auto"/>
          </w:divBdr>
          <w:divsChild>
            <w:div w:id="681007251">
              <w:marLeft w:val="0"/>
              <w:marRight w:val="0"/>
              <w:marTop w:val="0"/>
              <w:marBottom w:val="0"/>
              <w:divBdr>
                <w:top w:val="none" w:sz="0" w:space="0" w:color="auto"/>
                <w:left w:val="none" w:sz="0" w:space="0" w:color="auto"/>
                <w:bottom w:val="none" w:sz="0" w:space="0" w:color="auto"/>
                <w:right w:val="none" w:sz="0" w:space="0" w:color="auto"/>
              </w:divBdr>
              <w:divsChild>
                <w:div w:id="10022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4580">
      <w:bodyDiv w:val="1"/>
      <w:marLeft w:val="0"/>
      <w:marRight w:val="0"/>
      <w:marTop w:val="0"/>
      <w:marBottom w:val="0"/>
      <w:divBdr>
        <w:top w:val="none" w:sz="0" w:space="0" w:color="auto"/>
        <w:left w:val="none" w:sz="0" w:space="0" w:color="auto"/>
        <w:bottom w:val="none" w:sz="0" w:space="0" w:color="auto"/>
        <w:right w:val="none" w:sz="0" w:space="0" w:color="auto"/>
      </w:divBdr>
    </w:div>
    <w:div w:id="1377392671">
      <w:bodyDiv w:val="1"/>
      <w:marLeft w:val="0"/>
      <w:marRight w:val="0"/>
      <w:marTop w:val="0"/>
      <w:marBottom w:val="0"/>
      <w:divBdr>
        <w:top w:val="none" w:sz="0" w:space="0" w:color="auto"/>
        <w:left w:val="none" w:sz="0" w:space="0" w:color="auto"/>
        <w:bottom w:val="none" w:sz="0" w:space="0" w:color="auto"/>
        <w:right w:val="none" w:sz="0" w:space="0" w:color="auto"/>
      </w:divBdr>
    </w:div>
    <w:div w:id="1398016446">
      <w:bodyDiv w:val="1"/>
      <w:marLeft w:val="0"/>
      <w:marRight w:val="0"/>
      <w:marTop w:val="0"/>
      <w:marBottom w:val="0"/>
      <w:divBdr>
        <w:top w:val="none" w:sz="0" w:space="0" w:color="auto"/>
        <w:left w:val="none" w:sz="0" w:space="0" w:color="auto"/>
        <w:bottom w:val="none" w:sz="0" w:space="0" w:color="auto"/>
        <w:right w:val="none" w:sz="0" w:space="0" w:color="auto"/>
      </w:divBdr>
      <w:divsChild>
        <w:div w:id="84881484">
          <w:marLeft w:val="0"/>
          <w:marRight w:val="0"/>
          <w:marTop w:val="0"/>
          <w:marBottom w:val="0"/>
          <w:divBdr>
            <w:top w:val="none" w:sz="0" w:space="0" w:color="auto"/>
            <w:left w:val="none" w:sz="0" w:space="0" w:color="auto"/>
            <w:bottom w:val="none" w:sz="0" w:space="0" w:color="auto"/>
            <w:right w:val="none" w:sz="0" w:space="0" w:color="auto"/>
          </w:divBdr>
        </w:div>
        <w:div w:id="1838303845">
          <w:marLeft w:val="0"/>
          <w:marRight w:val="0"/>
          <w:marTop w:val="0"/>
          <w:marBottom w:val="0"/>
          <w:divBdr>
            <w:top w:val="none" w:sz="0" w:space="0" w:color="auto"/>
            <w:left w:val="none" w:sz="0" w:space="0" w:color="auto"/>
            <w:bottom w:val="none" w:sz="0" w:space="0" w:color="auto"/>
            <w:right w:val="none" w:sz="0" w:space="0" w:color="auto"/>
          </w:divBdr>
        </w:div>
        <w:div w:id="302388909">
          <w:marLeft w:val="0"/>
          <w:marRight w:val="0"/>
          <w:marTop w:val="0"/>
          <w:marBottom w:val="0"/>
          <w:divBdr>
            <w:top w:val="none" w:sz="0" w:space="0" w:color="auto"/>
            <w:left w:val="none" w:sz="0" w:space="0" w:color="auto"/>
            <w:bottom w:val="none" w:sz="0" w:space="0" w:color="auto"/>
            <w:right w:val="none" w:sz="0" w:space="0" w:color="auto"/>
          </w:divBdr>
        </w:div>
        <w:div w:id="1791708543">
          <w:marLeft w:val="0"/>
          <w:marRight w:val="0"/>
          <w:marTop w:val="0"/>
          <w:marBottom w:val="0"/>
          <w:divBdr>
            <w:top w:val="none" w:sz="0" w:space="0" w:color="auto"/>
            <w:left w:val="none" w:sz="0" w:space="0" w:color="auto"/>
            <w:bottom w:val="none" w:sz="0" w:space="0" w:color="auto"/>
            <w:right w:val="none" w:sz="0" w:space="0" w:color="auto"/>
          </w:divBdr>
        </w:div>
        <w:div w:id="764764205">
          <w:marLeft w:val="0"/>
          <w:marRight w:val="0"/>
          <w:marTop w:val="0"/>
          <w:marBottom w:val="0"/>
          <w:divBdr>
            <w:top w:val="none" w:sz="0" w:space="0" w:color="auto"/>
            <w:left w:val="none" w:sz="0" w:space="0" w:color="auto"/>
            <w:bottom w:val="none" w:sz="0" w:space="0" w:color="auto"/>
            <w:right w:val="none" w:sz="0" w:space="0" w:color="auto"/>
          </w:divBdr>
        </w:div>
      </w:divsChild>
    </w:div>
    <w:div w:id="1420171645">
      <w:bodyDiv w:val="1"/>
      <w:marLeft w:val="0"/>
      <w:marRight w:val="0"/>
      <w:marTop w:val="0"/>
      <w:marBottom w:val="0"/>
      <w:divBdr>
        <w:top w:val="none" w:sz="0" w:space="0" w:color="auto"/>
        <w:left w:val="none" w:sz="0" w:space="0" w:color="auto"/>
        <w:bottom w:val="none" w:sz="0" w:space="0" w:color="auto"/>
        <w:right w:val="none" w:sz="0" w:space="0" w:color="auto"/>
      </w:divBdr>
      <w:divsChild>
        <w:div w:id="203253706">
          <w:marLeft w:val="0"/>
          <w:marRight w:val="0"/>
          <w:marTop w:val="0"/>
          <w:marBottom w:val="0"/>
          <w:divBdr>
            <w:top w:val="none" w:sz="0" w:space="0" w:color="auto"/>
            <w:left w:val="none" w:sz="0" w:space="0" w:color="auto"/>
            <w:bottom w:val="none" w:sz="0" w:space="0" w:color="auto"/>
            <w:right w:val="none" w:sz="0" w:space="0" w:color="auto"/>
          </w:divBdr>
        </w:div>
      </w:divsChild>
    </w:div>
    <w:div w:id="1482770482">
      <w:bodyDiv w:val="1"/>
      <w:marLeft w:val="0"/>
      <w:marRight w:val="0"/>
      <w:marTop w:val="0"/>
      <w:marBottom w:val="0"/>
      <w:divBdr>
        <w:top w:val="none" w:sz="0" w:space="0" w:color="auto"/>
        <w:left w:val="none" w:sz="0" w:space="0" w:color="auto"/>
        <w:bottom w:val="none" w:sz="0" w:space="0" w:color="auto"/>
        <w:right w:val="none" w:sz="0" w:space="0" w:color="auto"/>
      </w:divBdr>
      <w:divsChild>
        <w:div w:id="4526153">
          <w:marLeft w:val="0"/>
          <w:marRight w:val="0"/>
          <w:marTop w:val="0"/>
          <w:marBottom w:val="0"/>
          <w:divBdr>
            <w:top w:val="none" w:sz="0" w:space="0" w:color="auto"/>
            <w:left w:val="none" w:sz="0" w:space="0" w:color="auto"/>
            <w:bottom w:val="none" w:sz="0" w:space="0" w:color="auto"/>
            <w:right w:val="none" w:sz="0" w:space="0" w:color="auto"/>
          </w:divBdr>
          <w:divsChild>
            <w:div w:id="1206019549">
              <w:marLeft w:val="0"/>
              <w:marRight w:val="0"/>
              <w:marTop w:val="0"/>
              <w:marBottom w:val="0"/>
              <w:divBdr>
                <w:top w:val="none" w:sz="0" w:space="0" w:color="auto"/>
                <w:left w:val="none" w:sz="0" w:space="0" w:color="auto"/>
                <w:bottom w:val="none" w:sz="0" w:space="0" w:color="auto"/>
                <w:right w:val="none" w:sz="0" w:space="0" w:color="auto"/>
              </w:divBdr>
              <w:divsChild>
                <w:div w:id="6393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4168">
      <w:bodyDiv w:val="1"/>
      <w:marLeft w:val="0"/>
      <w:marRight w:val="0"/>
      <w:marTop w:val="0"/>
      <w:marBottom w:val="0"/>
      <w:divBdr>
        <w:top w:val="none" w:sz="0" w:space="0" w:color="auto"/>
        <w:left w:val="none" w:sz="0" w:space="0" w:color="auto"/>
        <w:bottom w:val="none" w:sz="0" w:space="0" w:color="auto"/>
        <w:right w:val="none" w:sz="0" w:space="0" w:color="auto"/>
      </w:divBdr>
    </w:div>
    <w:div w:id="1577594551">
      <w:bodyDiv w:val="1"/>
      <w:marLeft w:val="0"/>
      <w:marRight w:val="0"/>
      <w:marTop w:val="0"/>
      <w:marBottom w:val="0"/>
      <w:divBdr>
        <w:top w:val="none" w:sz="0" w:space="0" w:color="auto"/>
        <w:left w:val="none" w:sz="0" w:space="0" w:color="auto"/>
        <w:bottom w:val="none" w:sz="0" w:space="0" w:color="auto"/>
        <w:right w:val="none" w:sz="0" w:space="0" w:color="auto"/>
      </w:divBdr>
      <w:divsChild>
        <w:div w:id="487477800">
          <w:marLeft w:val="0"/>
          <w:marRight w:val="0"/>
          <w:marTop w:val="0"/>
          <w:marBottom w:val="0"/>
          <w:divBdr>
            <w:top w:val="none" w:sz="0" w:space="0" w:color="auto"/>
            <w:left w:val="none" w:sz="0" w:space="0" w:color="auto"/>
            <w:bottom w:val="none" w:sz="0" w:space="0" w:color="auto"/>
            <w:right w:val="none" w:sz="0" w:space="0" w:color="auto"/>
          </w:divBdr>
          <w:divsChild>
            <w:div w:id="1717853461">
              <w:marLeft w:val="0"/>
              <w:marRight w:val="0"/>
              <w:marTop w:val="0"/>
              <w:marBottom w:val="0"/>
              <w:divBdr>
                <w:top w:val="none" w:sz="0" w:space="0" w:color="auto"/>
                <w:left w:val="none" w:sz="0" w:space="0" w:color="auto"/>
                <w:bottom w:val="none" w:sz="0" w:space="0" w:color="auto"/>
                <w:right w:val="none" w:sz="0" w:space="0" w:color="auto"/>
              </w:divBdr>
              <w:divsChild>
                <w:div w:id="9795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82407">
      <w:bodyDiv w:val="1"/>
      <w:marLeft w:val="0"/>
      <w:marRight w:val="0"/>
      <w:marTop w:val="0"/>
      <w:marBottom w:val="0"/>
      <w:divBdr>
        <w:top w:val="none" w:sz="0" w:space="0" w:color="auto"/>
        <w:left w:val="none" w:sz="0" w:space="0" w:color="auto"/>
        <w:bottom w:val="none" w:sz="0" w:space="0" w:color="auto"/>
        <w:right w:val="none" w:sz="0" w:space="0" w:color="auto"/>
      </w:divBdr>
      <w:divsChild>
        <w:div w:id="1800949081">
          <w:marLeft w:val="0"/>
          <w:marRight w:val="0"/>
          <w:marTop w:val="0"/>
          <w:marBottom w:val="0"/>
          <w:divBdr>
            <w:top w:val="none" w:sz="0" w:space="0" w:color="auto"/>
            <w:left w:val="none" w:sz="0" w:space="0" w:color="auto"/>
            <w:bottom w:val="none" w:sz="0" w:space="0" w:color="auto"/>
            <w:right w:val="none" w:sz="0" w:space="0" w:color="auto"/>
          </w:divBdr>
        </w:div>
      </w:divsChild>
    </w:div>
    <w:div w:id="1647315439">
      <w:bodyDiv w:val="1"/>
      <w:marLeft w:val="0"/>
      <w:marRight w:val="0"/>
      <w:marTop w:val="0"/>
      <w:marBottom w:val="0"/>
      <w:divBdr>
        <w:top w:val="none" w:sz="0" w:space="0" w:color="auto"/>
        <w:left w:val="none" w:sz="0" w:space="0" w:color="auto"/>
        <w:bottom w:val="none" w:sz="0" w:space="0" w:color="auto"/>
        <w:right w:val="none" w:sz="0" w:space="0" w:color="auto"/>
      </w:divBdr>
      <w:divsChild>
        <w:div w:id="596979995">
          <w:marLeft w:val="0"/>
          <w:marRight w:val="0"/>
          <w:marTop w:val="0"/>
          <w:marBottom w:val="0"/>
          <w:divBdr>
            <w:top w:val="none" w:sz="0" w:space="0" w:color="auto"/>
            <w:left w:val="none" w:sz="0" w:space="0" w:color="auto"/>
            <w:bottom w:val="none" w:sz="0" w:space="0" w:color="auto"/>
            <w:right w:val="none" w:sz="0" w:space="0" w:color="auto"/>
          </w:divBdr>
          <w:divsChild>
            <w:div w:id="1823737350">
              <w:marLeft w:val="0"/>
              <w:marRight w:val="0"/>
              <w:marTop w:val="0"/>
              <w:marBottom w:val="0"/>
              <w:divBdr>
                <w:top w:val="none" w:sz="0" w:space="0" w:color="auto"/>
                <w:left w:val="none" w:sz="0" w:space="0" w:color="auto"/>
                <w:bottom w:val="none" w:sz="0" w:space="0" w:color="auto"/>
                <w:right w:val="none" w:sz="0" w:space="0" w:color="auto"/>
              </w:divBdr>
              <w:divsChild>
                <w:div w:id="20604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5928">
      <w:bodyDiv w:val="1"/>
      <w:marLeft w:val="0"/>
      <w:marRight w:val="0"/>
      <w:marTop w:val="0"/>
      <w:marBottom w:val="0"/>
      <w:divBdr>
        <w:top w:val="none" w:sz="0" w:space="0" w:color="auto"/>
        <w:left w:val="none" w:sz="0" w:space="0" w:color="auto"/>
        <w:bottom w:val="none" w:sz="0" w:space="0" w:color="auto"/>
        <w:right w:val="none" w:sz="0" w:space="0" w:color="auto"/>
      </w:divBdr>
      <w:divsChild>
        <w:div w:id="114302160">
          <w:marLeft w:val="0"/>
          <w:marRight w:val="0"/>
          <w:marTop w:val="0"/>
          <w:marBottom w:val="0"/>
          <w:divBdr>
            <w:top w:val="none" w:sz="0" w:space="0" w:color="auto"/>
            <w:left w:val="none" w:sz="0" w:space="0" w:color="auto"/>
            <w:bottom w:val="none" w:sz="0" w:space="0" w:color="auto"/>
            <w:right w:val="none" w:sz="0" w:space="0" w:color="auto"/>
          </w:divBdr>
          <w:divsChild>
            <w:div w:id="1951275553">
              <w:marLeft w:val="0"/>
              <w:marRight w:val="0"/>
              <w:marTop w:val="0"/>
              <w:marBottom w:val="0"/>
              <w:divBdr>
                <w:top w:val="none" w:sz="0" w:space="0" w:color="auto"/>
                <w:left w:val="none" w:sz="0" w:space="0" w:color="auto"/>
                <w:bottom w:val="none" w:sz="0" w:space="0" w:color="auto"/>
                <w:right w:val="none" w:sz="0" w:space="0" w:color="auto"/>
              </w:divBdr>
              <w:divsChild>
                <w:div w:id="19875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52379">
      <w:bodyDiv w:val="1"/>
      <w:marLeft w:val="0"/>
      <w:marRight w:val="0"/>
      <w:marTop w:val="0"/>
      <w:marBottom w:val="0"/>
      <w:divBdr>
        <w:top w:val="none" w:sz="0" w:space="0" w:color="auto"/>
        <w:left w:val="none" w:sz="0" w:space="0" w:color="auto"/>
        <w:bottom w:val="none" w:sz="0" w:space="0" w:color="auto"/>
        <w:right w:val="none" w:sz="0" w:space="0" w:color="auto"/>
      </w:divBdr>
      <w:divsChild>
        <w:div w:id="1203402496">
          <w:marLeft w:val="0"/>
          <w:marRight w:val="0"/>
          <w:marTop w:val="0"/>
          <w:marBottom w:val="0"/>
          <w:divBdr>
            <w:top w:val="none" w:sz="0" w:space="0" w:color="auto"/>
            <w:left w:val="none" w:sz="0" w:space="0" w:color="auto"/>
            <w:bottom w:val="none" w:sz="0" w:space="0" w:color="auto"/>
            <w:right w:val="none" w:sz="0" w:space="0" w:color="auto"/>
          </w:divBdr>
          <w:divsChild>
            <w:div w:id="611396910">
              <w:marLeft w:val="0"/>
              <w:marRight w:val="0"/>
              <w:marTop w:val="0"/>
              <w:marBottom w:val="0"/>
              <w:divBdr>
                <w:top w:val="none" w:sz="0" w:space="0" w:color="auto"/>
                <w:left w:val="none" w:sz="0" w:space="0" w:color="auto"/>
                <w:bottom w:val="none" w:sz="0" w:space="0" w:color="auto"/>
                <w:right w:val="none" w:sz="0" w:space="0" w:color="auto"/>
              </w:divBdr>
              <w:divsChild>
                <w:div w:id="16039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2512">
      <w:bodyDiv w:val="1"/>
      <w:marLeft w:val="0"/>
      <w:marRight w:val="0"/>
      <w:marTop w:val="0"/>
      <w:marBottom w:val="0"/>
      <w:divBdr>
        <w:top w:val="none" w:sz="0" w:space="0" w:color="auto"/>
        <w:left w:val="none" w:sz="0" w:space="0" w:color="auto"/>
        <w:bottom w:val="none" w:sz="0" w:space="0" w:color="auto"/>
        <w:right w:val="none" w:sz="0" w:space="0" w:color="auto"/>
      </w:divBdr>
      <w:divsChild>
        <w:div w:id="387800837">
          <w:marLeft w:val="0"/>
          <w:marRight w:val="0"/>
          <w:marTop w:val="0"/>
          <w:marBottom w:val="0"/>
          <w:divBdr>
            <w:top w:val="none" w:sz="0" w:space="0" w:color="auto"/>
            <w:left w:val="none" w:sz="0" w:space="0" w:color="auto"/>
            <w:bottom w:val="none" w:sz="0" w:space="0" w:color="auto"/>
            <w:right w:val="none" w:sz="0" w:space="0" w:color="auto"/>
          </w:divBdr>
          <w:divsChild>
            <w:div w:id="2128039361">
              <w:marLeft w:val="0"/>
              <w:marRight w:val="0"/>
              <w:marTop w:val="0"/>
              <w:marBottom w:val="0"/>
              <w:divBdr>
                <w:top w:val="none" w:sz="0" w:space="0" w:color="auto"/>
                <w:left w:val="none" w:sz="0" w:space="0" w:color="auto"/>
                <w:bottom w:val="none" w:sz="0" w:space="0" w:color="auto"/>
                <w:right w:val="none" w:sz="0" w:space="0" w:color="auto"/>
              </w:divBdr>
              <w:divsChild>
                <w:div w:id="3537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4686">
      <w:bodyDiv w:val="1"/>
      <w:marLeft w:val="0"/>
      <w:marRight w:val="0"/>
      <w:marTop w:val="0"/>
      <w:marBottom w:val="0"/>
      <w:divBdr>
        <w:top w:val="none" w:sz="0" w:space="0" w:color="auto"/>
        <w:left w:val="none" w:sz="0" w:space="0" w:color="auto"/>
        <w:bottom w:val="none" w:sz="0" w:space="0" w:color="auto"/>
        <w:right w:val="none" w:sz="0" w:space="0" w:color="auto"/>
      </w:divBdr>
      <w:divsChild>
        <w:div w:id="1079210846">
          <w:marLeft w:val="0"/>
          <w:marRight w:val="0"/>
          <w:marTop w:val="0"/>
          <w:marBottom w:val="0"/>
          <w:divBdr>
            <w:top w:val="none" w:sz="0" w:space="0" w:color="auto"/>
            <w:left w:val="none" w:sz="0" w:space="0" w:color="auto"/>
            <w:bottom w:val="none" w:sz="0" w:space="0" w:color="auto"/>
            <w:right w:val="none" w:sz="0" w:space="0" w:color="auto"/>
          </w:divBdr>
        </w:div>
        <w:div w:id="2058508955">
          <w:marLeft w:val="0"/>
          <w:marRight w:val="0"/>
          <w:marTop w:val="0"/>
          <w:marBottom w:val="0"/>
          <w:divBdr>
            <w:top w:val="none" w:sz="0" w:space="0" w:color="auto"/>
            <w:left w:val="none" w:sz="0" w:space="0" w:color="auto"/>
            <w:bottom w:val="none" w:sz="0" w:space="0" w:color="auto"/>
            <w:right w:val="none" w:sz="0" w:space="0" w:color="auto"/>
          </w:divBdr>
        </w:div>
        <w:div w:id="2131045882">
          <w:marLeft w:val="0"/>
          <w:marRight w:val="0"/>
          <w:marTop w:val="0"/>
          <w:marBottom w:val="0"/>
          <w:divBdr>
            <w:top w:val="none" w:sz="0" w:space="0" w:color="auto"/>
            <w:left w:val="none" w:sz="0" w:space="0" w:color="auto"/>
            <w:bottom w:val="none" w:sz="0" w:space="0" w:color="auto"/>
            <w:right w:val="none" w:sz="0" w:space="0" w:color="auto"/>
          </w:divBdr>
        </w:div>
        <w:div w:id="1438016022">
          <w:marLeft w:val="0"/>
          <w:marRight w:val="0"/>
          <w:marTop w:val="0"/>
          <w:marBottom w:val="0"/>
          <w:divBdr>
            <w:top w:val="none" w:sz="0" w:space="0" w:color="auto"/>
            <w:left w:val="none" w:sz="0" w:space="0" w:color="auto"/>
            <w:bottom w:val="none" w:sz="0" w:space="0" w:color="auto"/>
            <w:right w:val="none" w:sz="0" w:space="0" w:color="auto"/>
          </w:divBdr>
        </w:div>
        <w:div w:id="270673892">
          <w:marLeft w:val="0"/>
          <w:marRight w:val="0"/>
          <w:marTop w:val="0"/>
          <w:marBottom w:val="0"/>
          <w:divBdr>
            <w:top w:val="none" w:sz="0" w:space="0" w:color="auto"/>
            <w:left w:val="none" w:sz="0" w:space="0" w:color="auto"/>
            <w:bottom w:val="none" w:sz="0" w:space="0" w:color="auto"/>
            <w:right w:val="none" w:sz="0" w:space="0" w:color="auto"/>
          </w:divBdr>
        </w:div>
      </w:divsChild>
    </w:div>
    <w:div w:id="1718358131">
      <w:bodyDiv w:val="1"/>
      <w:marLeft w:val="0"/>
      <w:marRight w:val="0"/>
      <w:marTop w:val="0"/>
      <w:marBottom w:val="0"/>
      <w:divBdr>
        <w:top w:val="none" w:sz="0" w:space="0" w:color="auto"/>
        <w:left w:val="none" w:sz="0" w:space="0" w:color="auto"/>
        <w:bottom w:val="none" w:sz="0" w:space="0" w:color="auto"/>
        <w:right w:val="none" w:sz="0" w:space="0" w:color="auto"/>
      </w:divBdr>
      <w:divsChild>
        <w:div w:id="287591383">
          <w:marLeft w:val="0"/>
          <w:marRight w:val="0"/>
          <w:marTop w:val="0"/>
          <w:marBottom w:val="0"/>
          <w:divBdr>
            <w:top w:val="none" w:sz="0" w:space="0" w:color="auto"/>
            <w:left w:val="none" w:sz="0" w:space="0" w:color="auto"/>
            <w:bottom w:val="none" w:sz="0" w:space="0" w:color="auto"/>
            <w:right w:val="none" w:sz="0" w:space="0" w:color="auto"/>
          </w:divBdr>
        </w:div>
        <w:div w:id="485170985">
          <w:marLeft w:val="0"/>
          <w:marRight w:val="0"/>
          <w:marTop w:val="0"/>
          <w:marBottom w:val="0"/>
          <w:divBdr>
            <w:top w:val="none" w:sz="0" w:space="0" w:color="auto"/>
            <w:left w:val="none" w:sz="0" w:space="0" w:color="auto"/>
            <w:bottom w:val="none" w:sz="0" w:space="0" w:color="auto"/>
            <w:right w:val="none" w:sz="0" w:space="0" w:color="auto"/>
          </w:divBdr>
        </w:div>
        <w:div w:id="144519685">
          <w:marLeft w:val="0"/>
          <w:marRight w:val="0"/>
          <w:marTop w:val="0"/>
          <w:marBottom w:val="0"/>
          <w:divBdr>
            <w:top w:val="none" w:sz="0" w:space="0" w:color="auto"/>
            <w:left w:val="none" w:sz="0" w:space="0" w:color="auto"/>
            <w:bottom w:val="none" w:sz="0" w:space="0" w:color="auto"/>
            <w:right w:val="none" w:sz="0" w:space="0" w:color="auto"/>
          </w:divBdr>
        </w:div>
        <w:div w:id="256713543">
          <w:marLeft w:val="0"/>
          <w:marRight w:val="0"/>
          <w:marTop w:val="0"/>
          <w:marBottom w:val="0"/>
          <w:divBdr>
            <w:top w:val="none" w:sz="0" w:space="0" w:color="auto"/>
            <w:left w:val="none" w:sz="0" w:space="0" w:color="auto"/>
            <w:bottom w:val="none" w:sz="0" w:space="0" w:color="auto"/>
            <w:right w:val="none" w:sz="0" w:space="0" w:color="auto"/>
          </w:divBdr>
        </w:div>
      </w:divsChild>
    </w:div>
    <w:div w:id="1748113325">
      <w:bodyDiv w:val="1"/>
      <w:marLeft w:val="0"/>
      <w:marRight w:val="0"/>
      <w:marTop w:val="0"/>
      <w:marBottom w:val="0"/>
      <w:divBdr>
        <w:top w:val="none" w:sz="0" w:space="0" w:color="auto"/>
        <w:left w:val="none" w:sz="0" w:space="0" w:color="auto"/>
        <w:bottom w:val="none" w:sz="0" w:space="0" w:color="auto"/>
        <w:right w:val="none" w:sz="0" w:space="0" w:color="auto"/>
      </w:divBdr>
      <w:divsChild>
        <w:div w:id="653878260">
          <w:marLeft w:val="0"/>
          <w:marRight w:val="0"/>
          <w:marTop w:val="0"/>
          <w:marBottom w:val="0"/>
          <w:divBdr>
            <w:top w:val="none" w:sz="0" w:space="0" w:color="auto"/>
            <w:left w:val="none" w:sz="0" w:space="0" w:color="auto"/>
            <w:bottom w:val="none" w:sz="0" w:space="0" w:color="auto"/>
            <w:right w:val="none" w:sz="0" w:space="0" w:color="auto"/>
          </w:divBdr>
        </w:div>
        <w:div w:id="982926393">
          <w:marLeft w:val="0"/>
          <w:marRight w:val="0"/>
          <w:marTop w:val="0"/>
          <w:marBottom w:val="0"/>
          <w:divBdr>
            <w:top w:val="none" w:sz="0" w:space="0" w:color="auto"/>
            <w:left w:val="none" w:sz="0" w:space="0" w:color="auto"/>
            <w:bottom w:val="none" w:sz="0" w:space="0" w:color="auto"/>
            <w:right w:val="none" w:sz="0" w:space="0" w:color="auto"/>
          </w:divBdr>
        </w:div>
        <w:div w:id="1769155765">
          <w:marLeft w:val="0"/>
          <w:marRight w:val="0"/>
          <w:marTop w:val="0"/>
          <w:marBottom w:val="0"/>
          <w:divBdr>
            <w:top w:val="none" w:sz="0" w:space="0" w:color="auto"/>
            <w:left w:val="none" w:sz="0" w:space="0" w:color="auto"/>
            <w:bottom w:val="none" w:sz="0" w:space="0" w:color="auto"/>
            <w:right w:val="none" w:sz="0" w:space="0" w:color="auto"/>
          </w:divBdr>
        </w:div>
        <w:div w:id="816844003">
          <w:marLeft w:val="0"/>
          <w:marRight w:val="0"/>
          <w:marTop w:val="0"/>
          <w:marBottom w:val="0"/>
          <w:divBdr>
            <w:top w:val="none" w:sz="0" w:space="0" w:color="auto"/>
            <w:left w:val="none" w:sz="0" w:space="0" w:color="auto"/>
            <w:bottom w:val="none" w:sz="0" w:space="0" w:color="auto"/>
            <w:right w:val="none" w:sz="0" w:space="0" w:color="auto"/>
          </w:divBdr>
        </w:div>
      </w:divsChild>
    </w:div>
    <w:div w:id="1756628752">
      <w:bodyDiv w:val="1"/>
      <w:marLeft w:val="0"/>
      <w:marRight w:val="0"/>
      <w:marTop w:val="0"/>
      <w:marBottom w:val="0"/>
      <w:divBdr>
        <w:top w:val="none" w:sz="0" w:space="0" w:color="auto"/>
        <w:left w:val="none" w:sz="0" w:space="0" w:color="auto"/>
        <w:bottom w:val="none" w:sz="0" w:space="0" w:color="auto"/>
        <w:right w:val="none" w:sz="0" w:space="0" w:color="auto"/>
      </w:divBdr>
      <w:divsChild>
        <w:div w:id="1945649247">
          <w:marLeft w:val="0"/>
          <w:marRight w:val="0"/>
          <w:marTop w:val="0"/>
          <w:marBottom w:val="0"/>
          <w:divBdr>
            <w:top w:val="none" w:sz="0" w:space="0" w:color="auto"/>
            <w:left w:val="none" w:sz="0" w:space="0" w:color="auto"/>
            <w:bottom w:val="none" w:sz="0" w:space="0" w:color="auto"/>
            <w:right w:val="none" w:sz="0" w:space="0" w:color="auto"/>
          </w:divBdr>
        </w:div>
        <w:div w:id="486092053">
          <w:marLeft w:val="0"/>
          <w:marRight w:val="0"/>
          <w:marTop w:val="0"/>
          <w:marBottom w:val="0"/>
          <w:divBdr>
            <w:top w:val="none" w:sz="0" w:space="0" w:color="auto"/>
            <w:left w:val="none" w:sz="0" w:space="0" w:color="auto"/>
            <w:bottom w:val="none" w:sz="0" w:space="0" w:color="auto"/>
            <w:right w:val="none" w:sz="0" w:space="0" w:color="auto"/>
          </w:divBdr>
        </w:div>
        <w:div w:id="37440994">
          <w:marLeft w:val="0"/>
          <w:marRight w:val="0"/>
          <w:marTop w:val="0"/>
          <w:marBottom w:val="0"/>
          <w:divBdr>
            <w:top w:val="none" w:sz="0" w:space="0" w:color="auto"/>
            <w:left w:val="none" w:sz="0" w:space="0" w:color="auto"/>
            <w:bottom w:val="none" w:sz="0" w:space="0" w:color="auto"/>
            <w:right w:val="none" w:sz="0" w:space="0" w:color="auto"/>
          </w:divBdr>
        </w:div>
        <w:div w:id="2082483541">
          <w:marLeft w:val="0"/>
          <w:marRight w:val="0"/>
          <w:marTop w:val="0"/>
          <w:marBottom w:val="0"/>
          <w:divBdr>
            <w:top w:val="none" w:sz="0" w:space="0" w:color="auto"/>
            <w:left w:val="none" w:sz="0" w:space="0" w:color="auto"/>
            <w:bottom w:val="none" w:sz="0" w:space="0" w:color="auto"/>
            <w:right w:val="none" w:sz="0" w:space="0" w:color="auto"/>
          </w:divBdr>
        </w:div>
        <w:div w:id="1044603823">
          <w:marLeft w:val="0"/>
          <w:marRight w:val="0"/>
          <w:marTop w:val="0"/>
          <w:marBottom w:val="0"/>
          <w:divBdr>
            <w:top w:val="none" w:sz="0" w:space="0" w:color="auto"/>
            <w:left w:val="none" w:sz="0" w:space="0" w:color="auto"/>
            <w:bottom w:val="none" w:sz="0" w:space="0" w:color="auto"/>
            <w:right w:val="none" w:sz="0" w:space="0" w:color="auto"/>
          </w:divBdr>
        </w:div>
      </w:divsChild>
    </w:div>
    <w:div w:id="1781223280">
      <w:bodyDiv w:val="1"/>
      <w:marLeft w:val="0"/>
      <w:marRight w:val="0"/>
      <w:marTop w:val="0"/>
      <w:marBottom w:val="0"/>
      <w:divBdr>
        <w:top w:val="none" w:sz="0" w:space="0" w:color="auto"/>
        <w:left w:val="none" w:sz="0" w:space="0" w:color="auto"/>
        <w:bottom w:val="none" w:sz="0" w:space="0" w:color="auto"/>
        <w:right w:val="none" w:sz="0" w:space="0" w:color="auto"/>
      </w:divBdr>
      <w:divsChild>
        <w:div w:id="1371611732">
          <w:marLeft w:val="0"/>
          <w:marRight w:val="0"/>
          <w:marTop w:val="0"/>
          <w:marBottom w:val="0"/>
          <w:divBdr>
            <w:top w:val="none" w:sz="0" w:space="0" w:color="auto"/>
            <w:left w:val="none" w:sz="0" w:space="0" w:color="auto"/>
            <w:bottom w:val="none" w:sz="0" w:space="0" w:color="auto"/>
            <w:right w:val="none" w:sz="0" w:space="0" w:color="auto"/>
          </w:divBdr>
        </w:div>
        <w:div w:id="2065058914">
          <w:marLeft w:val="0"/>
          <w:marRight w:val="0"/>
          <w:marTop w:val="0"/>
          <w:marBottom w:val="0"/>
          <w:divBdr>
            <w:top w:val="none" w:sz="0" w:space="0" w:color="auto"/>
            <w:left w:val="none" w:sz="0" w:space="0" w:color="auto"/>
            <w:bottom w:val="none" w:sz="0" w:space="0" w:color="auto"/>
            <w:right w:val="none" w:sz="0" w:space="0" w:color="auto"/>
          </w:divBdr>
        </w:div>
        <w:div w:id="1813717761">
          <w:marLeft w:val="0"/>
          <w:marRight w:val="0"/>
          <w:marTop w:val="0"/>
          <w:marBottom w:val="0"/>
          <w:divBdr>
            <w:top w:val="none" w:sz="0" w:space="0" w:color="auto"/>
            <w:left w:val="none" w:sz="0" w:space="0" w:color="auto"/>
            <w:bottom w:val="none" w:sz="0" w:space="0" w:color="auto"/>
            <w:right w:val="none" w:sz="0" w:space="0" w:color="auto"/>
          </w:divBdr>
        </w:div>
        <w:div w:id="1851218149">
          <w:marLeft w:val="0"/>
          <w:marRight w:val="0"/>
          <w:marTop w:val="0"/>
          <w:marBottom w:val="0"/>
          <w:divBdr>
            <w:top w:val="none" w:sz="0" w:space="0" w:color="auto"/>
            <w:left w:val="none" w:sz="0" w:space="0" w:color="auto"/>
            <w:bottom w:val="none" w:sz="0" w:space="0" w:color="auto"/>
            <w:right w:val="none" w:sz="0" w:space="0" w:color="auto"/>
          </w:divBdr>
        </w:div>
      </w:divsChild>
    </w:div>
    <w:div w:id="1901163757">
      <w:bodyDiv w:val="1"/>
      <w:marLeft w:val="0"/>
      <w:marRight w:val="0"/>
      <w:marTop w:val="0"/>
      <w:marBottom w:val="0"/>
      <w:divBdr>
        <w:top w:val="none" w:sz="0" w:space="0" w:color="auto"/>
        <w:left w:val="none" w:sz="0" w:space="0" w:color="auto"/>
        <w:bottom w:val="none" w:sz="0" w:space="0" w:color="auto"/>
        <w:right w:val="none" w:sz="0" w:space="0" w:color="auto"/>
      </w:divBdr>
    </w:div>
    <w:div w:id="1923946739">
      <w:bodyDiv w:val="1"/>
      <w:marLeft w:val="0"/>
      <w:marRight w:val="0"/>
      <w:marTop w:val="0"/>
      <w:marBottom w:val="0"/>
      <w:divBdr>
        <w:top w:val="none" w:sz="0" w:space="0" w:color="auto"/>
        <w:left w:val="none" w:sz="0" w:space="0" w:color="auto"/>
        <w:bottom w:val="none" w:sz="0" w:space="0" w:color="auto"/>
        <w:right w:val="none" w:sz="0" w:space="0" w:color="auto"/>
      </w:divBdr>
      <w:divsChild>
        <w:div w:id="662853087">
          <w:marLeft w:val="0"/>
          <w:marRight w:val="0"/>
          <w:marTop w:val="0"/>
          <w:marBottom w:val="0"/>
          <w:divBdr>
            <w:top w:val="none" w:sz="0" w:space="0" w:color="auto"/>
            <w:left w:val="none" w:sz="0" w:space="0" w:color="auto"/>
            <w:bottom w:val="none" w:sz="0" w:space="0" w:color="auto"/>
            <w:right w:val="none" w:sz="0" w:space="0" w:color="auto"/>
          </w:divBdr>
          <w:divsChild>
            <w:div w:id="1275479219">
              <w:marLeft w:val="0"/>
              <w:marRight w:val="0"/>
              <w:marTop w:val="0"/>
              <w:marBottom w:val="0"/>
              <w:divBdr>
                <w:top w:val="none" w:sz="0" w:space="0" w:color="auto"/>
                <w:left w:val="none" w:sz="0" w:space="0" w:color="auto"/>
                <w:bottom w:val="none" w:sz="0" w:space="0" w:color="auto"/>
                <w:right w:val="none" w:sz="0" w:space="0" w:color="auto"/>
              </w:divBdr>
              <w:divsChild>
                <w:div w:id="21138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195">
      <w:bodyDiv w:val="1"/>
      <w:marLeft w:val="0"/>
      <w:marRight w:val="0"/>
      <w:marTop w:val="0"/>
      <w:marBottom w:val="0"/>
      <w:divBdr>
        <w:top w:val="none" w:sz="0" w:space="0" w:color="auto"/>
        <w:left w:val="none" w:sz="0" w:space="0" w:color="auto"/>
        <w:bottom w:val="none" w:sz="0" w:space="0" w:color="auto"/>
        <w:right w:val="none" w:sz="0" w:space="0" w:color="auto"/>
      </w:divBdr>
    </w:div>
    <w:div w:id="2044402158">
      <w:bodyDiv w:val="1"/>
      <w:marLeft w:val="0"/>
      <w:marRight w:val="0"/>
      <w:marTop w:val="0"/>
      <w:marBottom w:val="0"/>
      <w:divBdr>
        <w:top w:val="none" w:sz="0" w:space="0" w:color="auto"/>
        <w:left w:val="none" w:sz="0" w:space="0" w:color="auto"/>
        <w:bottom w:val="none" w:sz="0" w:space="0" w:color="auto"/>
        <w:right w:val="none" w:sz="0" w:space="0" w:color="auto"/>
      </w:divBdr>
    </w:div>
    <w:div w:id="2059547941">
      <w:bodyDiv w:val="1"/>
      <w:marLeft w:val="0"/>
      <w:marRight w:val="0"/>
      <w:marTop w:val="0"/>
      <w:marBottom w:val="0"/>
      <w:divBdr>
        <w:top w:val="none" w:sz="0" w:space="0" w:color="auto"/>
        <w:left w:val="none" w:sz="0" w:space="0" w:color="auto"/>
        <w:bottom w:val="none" w:sz="0" w:space="0" w:color="auto"/>
        <w:right w:val="none" w:sz="0" w:space="0" w:color="auto"/>
      </w:divBdr>
      <w:divsChild>
        <w:div w:id="1877694468">
          <w:marLeft w:val="0"/>
          <w:marRight w:val="0"/>
          <w:marTop w:val="0"/>
          <w:marBottom w:val="0"/>
          <w:divBdr>
            <w:top w:val="none" w:sz="0" w:space="0" w:color="auto"/>
            <w:left w:val="none" w:sz="0" w:space="0" w:color="auto"/>
            <w:bottom w:val="none" w:sz="0" w:space="0" w:color="auto"/>
            <w:right w:val="none" w:sz="0" w:space="0" w:color="auto"/>
          </w:divBdr>
        </w:div>
        <w:div w:id="545989895">
          <w:marLeft w:val="0"/>
          <w:marRight w:val="0"/>
          <w:marTop w:val="0"/>
          <w:marBottom w:val="0"/>
          <w:divBdr>
            <w:top w:val="none" w:sz="0" w:space="0" w:color="auto"/>
            <w:left w:val="none" w:sz="0" w:space="0" w:color="auto"/>
            <w:bottom w:val="none" w:sz="0" w:space="0" w:color="auto"/>
            <w:right w:val="none" w:sz="0" w:space="0" w:color="auto"/>
          </w:divBdr>
        </w:div>
        <w:div w:id="183595459">
          <w:marLeft w:val="0"/>
          <w:marRight w:val="0"/>
          <w:marTop w:val="0"/>
          <w:marBottom w:val="0"/>
          <w:divBdr>
            <w:top w:val="none" w:sz="0" w:space="0" w:color="auto"/>
            <w:left w:val="none" w:sz="0" w:space="0" w:color="auto"/>
            <w:bottom w:val="none" w:sz="0" w:space="0" w:color="auto"/>
            <w:right w:val="none" w:sz="0" w:space="0" w:color="auto"/>
          </w:divBdr>
        </w:div>
      </w:divsChild>
    </w:div>
    <w:div w:id="2090156833">
      <w:bodyDiv w:val="1"/>
      <w:marLeft w:val="0"/>
      <w:marRight w:val="0"/>
      <w:marTop w:val="0"/>
      <w:marBottom w:val="0"/>
      <w:divBdr>
        <w:top w:val="none" w:sz="0" w:space="0" w:color="auto"/>
        <w:left w:val="none" w:sz="0" w:space="0" w:color="auto"/>
        <w:bottom w:val="none" w:sz="0" w:space="0" w:color="auto"/>
        <w:right w:val="none" w:sz="0" w:space="0" w:color="auto"/>
      </w:divBdr>
    </w:div>
    <w:div w:id="2138447288">
      <w:bodyDiv w:val="1"/>
      <w:marLeft w:val="0"/>
      <w:marRight w:val="0"/>
      <w:marTop w:val="0"/>
      <w:marBottom w:val="0"/>
      <w:divBdr>
        <w:top w:val="none" w:sz="0" w:space="0" w:color="auto"/>
        <w:left w:val="none" w:sz="0" w:space="0" w:color="auto"/>
        <w:bottom w:val="none" w:sz="0" w:space="0" w:color="auto"/>
        <w:right w:val="none" w:sz="0" w:space="0" w:color="auto"/>
      </w:divBdr>
      <w:divsChild>
        <w:div w:id="1438679005">
          <w:marLeft w:val="0"/>
          <w:marRight w:val="0"/>
          <w:marTop w:val="0"/>
          <w:marBottom w:val="0"/>
          <w:divBdr>
            <w:top w:val="none" w:sz="0" w:space="0" w:color="auto"/>
            <w:left w:val="none" w:sz="0" w:space="0" w:color="auto"/>
            <w:bottom w:val="none" w:sz="0" w:space="0" w:color="auto"/>
            <w:right w:val="none" w:sz="0" w:space="0" w:color="auto"/>
          </w:divBdr>
        </w:div>
        <w:div w:id="14889452">
          <w:marLeft w:val="0"/>
          <w:marRight w:val="0"/>
          <w:marTop w:val="0"/>
          <w:marBottom w:val="0"/>
          <w:divBdr>
            <w:top w:val="none" w:sz="0" w:space="0" w:color="auto"/>
            <w:left w:val="none" w:sz="0" w:space="0" w:color="auto"/>
            <w:bottom w:val="none" w:sz="0" w:space="0" w:color="auto"/>
            <w:right w:val="none" w:sz="0" w:space="0" w:color="auto"/>
          </w:divBdr>
        </w:div>
        <w:div w:id="110441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7D73C-6F89-4587-8745-C3CA550F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5482</Words>
  <Characters>31249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2023-12-12T11:11:00Z</dcterms:created>
  <dcterms:modified xsi:type="dcterms:W3CDTF">2023-12-27T14:16:00Z</dcterms:modified>
</cp:coreProperties>
</file>