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4C8FC" w14:textId="77777777" w:rsidR="00FC3E54" w:rsidRPr="00FC3E54" w:rsidRDefault="00FC3E54" w:rsidP="00FC3E54">
      <w:pPr>
        <w:spacing w:after="0" w:line="240" w:lineRule="auto"/>
        <w:jc w:val="center"/>
        <w:rPr>
          <w:rFonts w:eastAsia="Times New Roman" w:cs="Arial"/>
          <w:b/>
          <w:sz w:val="24"/>
          <w:szCs w:val="24"/>
          <w:lang w:val="en-ZA" w:eastAsia="en-GB"/>
        </w:rPr>
      </w:pPr>
    </w:p>
    <w:p w14:paraId="2C1F3D72" w14:textId="77777777" w:rsidR="00FC3E54" w:rsidRPr="00FC3E54" w:rsidRDefault="00FC3E54" w:rsidP="00FC3E54">
      <w:pPr>
        <w:spacing w:after="0" w:line="240" w:lineRule="auto"/>
        <w:jc w:val="center"/>
        <w:rPr>
          <w:rFonts w:eastAsia="Times New Roman" w:cs="Arial"/>
          <w:b/>
          <w:sz w:val="24"/>
          <w:szCs w:val="24"/>
          <w:lang w:val="en-ZA" w:eastAsia="en-GB"/>
        </w:rPr>
      </w:pPr>
      <w:r w:rsidRPr="00FC3E54">
        <w:rPr>
          <w:rFonts w:eastAsia="Times New Roman" w:cs="Arial"/>
          <w:b/>
          <w:sz w:val="24"/>
          <w:szCs w:val="24"/>
          <w:lang w:val="en-ZA" w:eastAsia="en-GB"/>
        </w:rPr>
        <w:t>REPUBLIC OF SOUTH AFRICA</w:t>
      </w:r>
    </w:p>
    <w:p w14:paraId="45850658" w14:textId="77777777" w:rsidR="00FC3E54" w:rsidRPr="00FC3E54" w:rsidRDefault="00FC3E54" w:rsidP="00FC3E54">
      <w:pPr>
        <w:spacing w:after="0" w:line="240" w:lineRule="auto"/>
        <w:jc w:val="center"/>
        <w:rPr>
          <w:rFonts w:eastAsia="Times New Roman" w:cs="Arial"/>
          <w:b/>
          <w:sz w:val="24"/>
          <w:szCs w:val="24"/>
          <w:lang w:val="en-ZA" w:eastAsia="en-GB"/>
        </w:rPr>
      </w:pPr>
    </w:p>
    <w:p w14:paraId="1B514632" w14:textId="77777777" w:rsidR="00FC3E54" w:rsidRPr="00FC3E54" w:rsidRDefault="00FC3E54" w:rsidP="00FC3E54">
      <w:pPr>
        <w:spacing w:after="0" w:line="240" w:lineRule="auto"/>
        <w:jc w:val="center"/>
        <w:rPr>
          <w:rFonts w:eastAsia="Times New Roman" w:cs="Arial"/>
          <w:b/>
          <w:noProof/>
          <w:sz w:val="24"/>
          <w:szCs w:val="24"/>
          <w:lang w:val="en-US"/>
        </w:rPr>
      </w:pPr>
    </w:p>
    <w:p w14:paraId="17FEB90B" w14:textId="77777777" w:rsidR="00FC3E54" w:rsidRPr="00FC3E54" w:rsidRDefault="00FC3E54" w:rsidP="00FC3E54">
      <w:pPr>
        <w:spacing w:after="0" w:line="240" w:lineRule="auto"/>
        <w:jc w:val="center"/>
        <w:rPr>
          <w:rFonts w:eastAsia="Times New Roman" w:cs="Arial"/>
          <w:b/>
          <w:sz w:val="24"/>
          <w:szCs w:val="24"/>
          <w:lang w:val="en-ZA" w:eastAsia="en-GB"/>
        </w:rPr>
      </w:pPr>
      <w:r w:rsidRPr="00FC3E54">
        <w:rPr>
          <w:rFonts w:eastAsia="Times New Roman" w:cs="Arial"/>
          <w:b/>
          <w:noProof/>
          <w:sz w:val="24"/>
          <w:szCs w:val="24"/>
          <w:lang w:val="en-US"/>
        </w:rPr>
        <w:drawing>
          <wp:inline distT="0" distB="0" distL="0" distR="0" wp14:anchorId="1AC3AABD" wp14:editId="5F79DF36">
            <wp:extent cx="1362075" cy="1362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220D9C69" w14:textId="77777777" w:rsidR="00FC3E54" w:rsidRPr="00FC3E54" w:rsidRDefault="00FC3E54" w:rsidP="00FC3E54">
      <w:pPr>
        <w:spacing w:after="0" w:line="240" w:lineRule="auto"/>
        <w:jc w:val="center"/>
        <w:rPr>
          <w:rFonts w:eastAsia="Times New Roman" w:cs="Arial"/>
          <w:b/>
          <w:sz w:val="24"/>
          <w:szCs w:val="24"/>
          <w:lang w:val="en-ZA" w:eastAsia="en-GB"/>
        </w:rPr>
      </w:pPr>
    </w:p>
    <w:p w14:paraId="7F363192" w14:textId="77777777" w:rsidR="00FC3E54" w:rsidRPr="00FC3E54" w:rsidRDefault="00FC3E54" w:rsidP="00FC3E54">
      <w:pPr>
        <w:spacing w:after="0" w:line="240" w:lineRule="auto"/>
        <w:jc w:val="center"/>
        <w:rPr>
          <w:rFonts w:eastAsia="Times New Roman" w:cs="Arial"/>
          <w:b/>
          <w:sz w:val="24"/>
          <w:szCs w:val="24"/>
          <w:lang w:val="en-ZA" w:eastAsia="en-GB"/>
        </w:rPr>
      </w:pPr>
      <w:r w:rsidRPr="00FC3E54">
        <w:rPr>
          <w:rFonts w:eastAsia="Times New Roman" w:cs="Arial"/>
          <w:b/>
          <w:sz w:val="24"/>
          <w:szCs w:val="24"/>
          <w:lang w:val="en-ZA" w:eastAsia="en-GB"/>
        </w:rPr>
        <w:t>IN THE HIGH COURT OF SOUTH AFRICA</w:t>
      </w:r>
    </w:p>
    <w:p w14:paraId="5D18AE8A" w14:textId="77777777" w:rsidR="00FC3E54" w:rsidRPr="00FC3E54" w:rsidRDefault="00FC3E54" w:rsidP="00FC3E54">
      <w:pPr>
        <w:spacing w:after="0" w:line="240" w:lineRule="auto"/>
        <w:jc w:val="center"/>
        <w:rPr>
          <w:rFonts w:eastAsia="Times New Roman" w:cs="Arial"/>
          <w:b/>
          <w:sz w:val="24"/>
          <w:szCs w:val="24"/>
          <w:lang w:val="en-ZA" w:eastAsia="en-GB"/>
        </w:rPr>
      </w:pPr>
      <w:r w:rsidRPr="00FC3E54">
        <w:rPr>
          <w:rFonts w:eastAsia="Times New Roman" w:cs="Arial"/>
          <w:b/>
          <w:sz w:val="24"/>
          <w:szCs w:val="24"/>
          <w:lang w:val="en-ZA" w:eastAsia="en-GB"/>
        </w:rPr>
        <w:t xml:space="preserve">GAUTENG DIVISION </w:t>
      </w:r>
    </w:p>
    <w:p w14:paraId="16ECD1C1" w14:textId="77777777" w:rsidR="00FC3E54" w:rsidRPr="00FC3E54" w:rsidRDefault="00FC3E54" w:rsidP="00FC3E54">
      <w:pPr>
        <w:spacing w:after="0" w:line="240" w:lineRule="auto"/>
        <w:jc w:val="center"/>
        <w:rPr>
          <w:rFonts w:eastAsia="Times New Roman" w:cs="Arial"/>
          <w:b/>
          <w:sz w:val="24"/>
          <w:szCs w:val="24"/>
          <w:lang w:val="en-ZA" w:eastAsia="en-GB"/>
        </w:rPr>
      </w:pPr>
      <w:r w:rsidRPr="00FC3E54">
        <w:rPr>
          <w:rFonts w:eastAsia="Times New Roman" w:cs="Arial"/>
          <w:b/>
          <w:sz w:val="24"/>
          <w:szCs w:val="24"/>
          <w:lang w:val="en-ZA" w:eastAsia="en-GB"/>
        </w:rPr>
        <w:t>LOCAL SEAT, JOHANNESBURG</w:t>
      </w:r>
    </w:p>
    <w:p w14:paraId="1637A8FD" w14:textId="77777777" w:rsidR="00FC3E54" w:rsidRDefault="00FC3E54" w:rsidP="00C46165">
      <w:pPr>
        <w:spacing w:before="240" w:line="240" w:lineRule="auto"/>
        <w:ind w:right="98"/>
        <w:jc w:val="right"/>
        <w:rPr>
          <w:rFonts w:cs="Arial"/>
          <w:b/>
          <w:sz w:val="24"/>
          <w:szCs w:val="24"/>
          <w:lang w:eastAsia="en-GB"/>
        </w:rPr>
      </w:pPr>
    </w:p>
    <w:p w14:paraId="705ABD83" w14:textId="04490448" w:rsidR="00C46165" w:rsidRDefault="00EB54A7" w:rsidP="00C46165">
      <w:pPr>
        <w:spacing w:before="240" w:line="240" w:lineRule="auto"/>
        <w:ind w:right="98"/>
        <w:jc w:val="right"/>
        <w:rPr>
          <w:rFonts w:cs="Arial"/>
          <w:b/>
          <w:sz w:val="24"/>
          <w:szCs w:val="24"/>
          <w:lang w:eastAsia="en-GB"/>
        </w:rPr>
      </w:pPr>
      <w:r>
        <w:rPr>
          <w:rFonts w:cs="Arial"/>
          <w:b/>
          <w:sz w:val="24"/>
          <w:szCs w:val="24"/>
          <w:lang w:eastAsia="en-GB"/>
        </w:rPr>
        <w:t>CASE NO</w:t>
      </w:r>
      <w:r w:rsidR="00C46165" w:rsidRPr="0024480A">
        <w:rPr>
          <w:rFonts w:cs="Arial"/>
          <w:b/>
          <w:sz w:val="24"/>
          <w:szCs w:val="24"/>
          <w:lang w:eastAsia="en-GB"/>
        </w:rPr>
        <w:t>:</w:t>
      </w:r>
      <w:r w:rsidR="004F3788">
        <w:rPr>
          <w:rFonts w:cs="Arial"/>
          <w:b/>
          <w:sz w:val="24"/>
          <w:szCs w:val="24"/>
          <w:lang w:eastAsia="en-GB"/>
        </w:rPr>
        <w:t xml:space="preserve"> </w:t>
      </w:r>
      <w:r w:rsidR="00994A48">
        <w:rPr>
          <w:rFonts w:cs="Arial"/>
          <w:b/>
          <w:sz w:val="24"/>
          <w:szCs w:val="24"/>
          <w:lang w:eastAsia="en-GB"/>
        </w:rPr>
        <w:t>55947</w:t>
      </w:r>
      <w:r w:rsidR="004F3788">
        <w:rPr>
          <w:rFonts w:cs="Arial"/>
          <w:b/>
          <w:sz w:val="24"/>
          <w:szCs w:val="24"/>
          <w:lang w:eastAsia="en-GB"/>
        </w:rPr>
        <w:t xml:space="preserve"> </w:t>
      </w:r>
      <w:r w:rsidR="009364B0">
        <w:rPr>
          <w:rFonts w:cs="Arial"/>
          <w:b/>
          <w:sz w:val="24"/>
          <w:szCs w:val="24"/>
          <w:lang w:eastAsia="en-GB"/>
        </w:rPr>
        <w:t>/20</w:t>
      </w:r>
      <w:r w:rsidR="00185F28">
        <w:rPr>
          <w:rFonts w:cs="Arial"/>
          <w:b/>
          <w:sz w:val="24"/>
          <w:szCs w:val="24"/>
          <w:lang w:eastAsia="en-GB"/>
        </w:rPr>
        <w:t>2</w:t>
      </w:r>
      <w:r w:rsidR="00994A48">
        <w:rPr>
          <w:rFonts w:cs="Arial"/>
          <w:b/>
          <w:sz w:val="24"/>
          <w:szCs w:val="24"/>
          <w:lang w:eastAsia="en-GB"/>
        </w:rPr>
        <w:t>2</w:t>
      </w:r>
    </w:p>
    <w:p w14:paraId="64252EFE" w14:textId="7C5F65CE" w:rsidR="00F21918" w:rsidRDefault="00CD699A" w:rsidP="00C46165">
      <w:pPr>
        <w:spacing w:before="240" w:line="240" w:lineRule="auto"/>
        <w:ind w:right="98"/>
        <w:jc w:val="right"/>
        <w:rPr>
          <w:rFonts w:cs="Arial"/>
          <w:b/>
          <w:sz w:val="24"/>
          <w:szCs w:val="24"/>
        </w:rPr>
      </w:pPr>
      <w:r>
        <w:rPr>
          <w:rFonts w:cs="Arial"/>
          <w:b/>
          <w:sz w:val="24"/>
          <w:szCs w:val="24"/>
          <w:lang w:eastAsia="en-GB"/>
        </w:rPr>
        <w:t xml:space="preserve"> </w:t>
      </w:r>
      <w:r w:rsidR="002955C6">
        <w:rPr>
          <w:rFonts w:cs="Arial"/>
          <w:b/>
          <w:sz w:val="24"/>
          <w:szCs w:val="24"/>
        </w:rPr>
        <w:t>DATE:</w:t>
      </w:r>
      <w:r w:rsidR="004F3788">
        <w:rPr>
          <w:rFonts w:cs="Arial"/>
          <w:b/>
          <w:sz w:val="24"/>
          <w:szCs w:val="24"/>
        </w:rPr>
        <w:t xml:space="preserve"> </w:t>
      </w:r>
      <w:r w:rsidR="00420AA9">
        <w:rPr>
          <w:rFonts w:cs="Arial"/>
          <w:b/>
          <w:sz w:val="24"/>
          <w:szCs w:val="24"/>
        </w:rPr>
        <w:t>14</w:t>
      </w:r>
      <w:r w:rsidR="004F3788">
        <w:rPr>
          <w:rFonts w:cs="Arial"/>
          <w:b/>
          <w:sz w:val="24"/>
          <w:szCs w:val="24"/>
        </w:rPr>
        <w:t xml:space="preserve"> </w:t>
      </w:r>
      <w:r w:rsidR="00994A48">
        <w:rPr>
          <w:rFonts w:cs="Arial"/>
          <w:b/>
          <w:sz w:val="24"/>
          <w:szCs w:val="24"/>
        </w:rPr>
        <w:t>Decem</w:t>
      </w:r>
      <w:r w:rsidR="00185F28">
        <w:rPr>
          <w:rFonts w:cs="Arial"/>
          <w:b/>
          <w:sz w:val="24"/>
          <w:szCs w:val="24"/>
        </w:rPr>
        <w:t>ber</w:t>
      </w:r>
      <w:r w:rsidR="004F3788">
        <w:rPr>
          <w:rFonts w:cs="Arial"/>
          <w:b/>
          <w:sz w:val="24"/>
          <w:szCs w:val="24"/>
        </w:rPr>
        <w:t xml:space="preserve"> 202</w:t>
      </w:r>
      <w:r w:rsidR="00185F28">
        <w:rPr>
          <w:rFonts w:cs="Arial"/>
          <w:b/>
          <w:sz w:val="24"/>
          <w:szCs w:val="24"/>
        </w:rPr>
        <w:t>3</w:t>
      </w:r>
    </w:p>
    <w:p w14:paraId="0188AF67" w14:textId="77777777" w:rsidR="00F21918" w:rsidRPr="0024480A" w:rsidRDefault="00F21918" w:rsidP="00C46165">
      <w:pPr>
        <w:spacing w:before="240" w:line="240" w:lineRule="auto"/>
        <w:ind w:right="98"/>
        <w:jc w:val="right"/>
        <w:rPr>
          <w:rFonts w:cs="Arial"/>
          <w:b/>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855"/>
      </w:tblGrid>
      <w:tr w:rsidR="00C46165" w:rsidRPr="0024480A" w14:paraId="4F0F0E57" w14:textId="77777777" w:rsidTr="00A82DE1">
        <w:tc>
          <w:tcPr>
            <w:tcW w:w="4855" w:type="dxa"/>
          </w:tcPr>
          <w:p w14:paraId="73BDAFD2" w14:textId="77777777" w:rsidR="00C46165" w:rsidRPr="004A1A9A" w:rsidRDefault="00C46165" w:rsidP="00A82DE1">
            <w:pPr>
              <w:spacing w:before="240"/>
              <w:ind w:right="101"/>
              <w:contextualSpacing/>
              <w:rPr>
                <w:rFonts w:cs="Arial"/>
                <w:b/>
                <w:szCs w:val="20"/>
                <w:lang w:eastAsia="en-GB"/>
              </w:rPr>
            </w:pPr>
            <w:r w:rsidRPr="004A1A9A">
              <w:rPr>
                <w:rFonts w:cs="Arial"/>
                <w:b/>
                <w:szCs w:val="20"/>
                <w:lang w:eastAsia="en-GB"/>
              </w:rPr>
              <w:t>DELETE WHICHEVER IS NOT APPLICABLE</w:t>
            </w:r>
          </w:p>
        </w:tc>
      </w:tr>
      <w:tr w:rsidR="00C46165" w:rsidRPr="0024480A" w14:paraId="6D53DC9A" w14:textId="77777777" w:rsidTr="00A82DE1">
        <w:tc>
          <w:tcPr>
            <w:tcW w:w="4855" w:type="dxa"/>
          </w:tcPr>
          <w:p w14:paraId="0FA5F926" w14:textId="77777777" w:rsidR="00C46165" w:rsidRPr="004A1A9A" w:rsidRDefault="00C46165" w:rsidP="00A82DE1">
            <w:pPr>
              <w:spacing w:before="240"/>
              <w:ind w:right="101"/>
              <w:rPr>
                <w:rFonts w:cs="Arial"/>
                <w:szCs w:val="20"/>
                <w:lang w:eastAsia="en-GB"/>
              </w:rPr>
            </w:pPr>
            <w:r w:rsidRPr="004A1A9A">
              <w:rPr>
                <w:rFonts w:cs="Arial"/>
                <w:szCs w:val="20"/>
                <w:lang w:eastAsia="en-GB"/>
              </w:rPr>
              <w:t xml:space="preserve">1. </w:t>
            </w:r>
            <w:r w:rsidR="00CA4D53" w:rsidRPr="004A1A9A">
              <w:rPr>
                <w:rFonts w:cs="Arial"/>
                <w:szCs w:val="20"/>
                <w:lang w:eastAsia="en-GB"/>
              </w:rPr>
              <w:t>Reportable</w:t>
            </w:r>
            <w:r w:rsidRPr="004A1A9A">
              <w:rPr>
                <w:rFonts w:cs="Arial"/>
                <w:szCs w:val="20"/>
                <w:lang w:eastAsia="en-GB"/>
              </w:rPr>
              <w:t xml:space="preserve">: </w:t>
            </w:r>
            <w:r w:rsidR="00CA4D53" w:rsidRPr="004A1A9A">
              <w:rPr>
                <w:rFonts w:cs="Arial"/>
                <w:szCs w:val="20"/>
                <w:lang w:eastAsia="en-GB"/>
              </w:rPr>
              <w:t xml:space="preserve">Yes </w:t>
            </w:r>
            <w:r w:rsidRPr="004A1A9A">
              <w:rPr>
                <w:rFonts w:cs="Arial"/>
                <w:szCs w:val="20"/>
                <w:lang w:eastAsia="en-GB"/>
              </w:rPr>
              <w:t xml:space="preserve">/ </w:t>
            </w:r>
            <w:r w:rsidR="00CA4D53" w:rsidRPr="004A1A9A">
              <w:rPr>
                <w:rFonts w:cs="Arial"/>
                <w:szCs w:val="20"/>
                <w:lang w:eastAsia="en-GB"/>
              </w:rPr>
              <w:t>No</w:t>
            </w:r>
          </w:p>
        </w:tc>
      </w:tr>
      <w:tr w:rsidR="00C46165" w:rsidRPr="0024480A" w14:paraId="3310EA17" w14:textId="77777777" w:rsidTr="00A82DE1">
        <w:tc>
          <w:tcPr>
            <w:tcW w:w="4855" w:type="dxa"/>
          </w:tcPr>
          <w:p w14:paraId="4542E9D2" w14:textId="118350E4" w:rsidR="00C46165" w:rsidRPr="004A1A9A" w:rsidRDefault="00C46165" w:rsidP="00A82DE1">
            <w:pPr>
              <w:spacing w:before="240"/>
              <w:ind w:right="101"/>
              <w:contextualSpacing/>
              <w:rPr>
                <w:rFonts w:cs="Arial"/>
                <w:szCs w:val="20"/>
                <w:lang w:eastAsia="en-GB"/>
              </w:rPr>
            </w:pPr>
            <w:r w:rsidRPr="004A1A9A">
              <w:rPr>
                <w:rFonts w:cs="Arial"/>
                <w:szCs w:val="20"/>
                <w:lang w:eastAsia="en-GB"/>
              </w:rPr>
              <w:t xml:space="preserve">2. </w:t>
            </w:r>
            <w:r w:rsidR="00CA4D53" w:rsidRPr="004A1A9A">
              <w:rPr>
                <w:rFonts w:cs="Arial"/>
                <w:szCs w:val="20"/>
                <w:lang w:eastAsia="en-GB"/>
              </w:rPr>
              <w:t xml:space="preserve">Of Interest </w:t>
            </w:r>
            <w:r w:rsidR="00660BD5">
              <w:rPr>
                <w:rFonts w:cs="Arial"/>
                <w:szCs w:val="20"/>
                <w:lang w:eastAsia="en-GB"/>
              </w:rPr>
              <w:t>t</w:t>
            </w:r>
            <w:r w:rsidR="00CA4D53" w:rsidRPr="004A1A9A">
              <w:rPr>
                <w:rFonts w:cs="Arial"/>
                <w:szCs w:val="20"/>
                <w:lang w:eastAsia="en-GB"/>
              </w:rPr>
              <w:t>o Other Judges</w:t>
            </w:r>
            <w:r w:rsidRPr="004A1A9A">
              <w:rPr>
                <w:rFonts w:cs="Arial"/>
                <w:szCs w:val="20"/>
                <w:lang w:eastAsia="en-GB"/>
              </w:rPr>
              <w:t xml:space="preserve">: </w:t>
            </w:r>
            <w:r w:rsidR="00CA4D53" w:rsidRPr="004A1A9A">
              <w:rPr>
                <w:rFonts w:cs="Arial"/>
                <w:szCs w:val="20"/>
                <w:lang w:eastAsia="en-GB"/>
              </w:rPr>
              <w:t>Yes / No</w:t>
            </w:r>
          </w:p>
        </w:tc>
      </w:tr>
      <w:tr w:rsidR="00C46165" w:rsidRPr="0024480A" w14:paraId="075CF9D0" w14:textId="77777777" w:rsidTr="00A82DE1">
        <w:tc>
          <w:tcPr>
            <w:tcW w:w="4855" w:type="dxa"/>
            <w:tcBorders>
              <w:bottom w:val="nil"/>
            </w:tcBorders>
          </w:tcPr>
          <w:p w14:paraId="2AF1552A" w14:textId="77777777" w:rsidR="00C46165" w:rsidRPr="004A1A9A" w:rsidRDefault="00C46165" w:rsidP="00A82DE1">
            <w:pPr>
              <w:spacing w:before="240"/>
              <w:ind w:right="101"/>
              <w:contextualSpacing/>
              <w:rPr>
                <w:rFonts w:cs="Arial"/>
                <w:szCs w:val="20"/>
                <w:lang w:eastAsia="en-GB"/>
              </w:rPr>
            </w:pPr>
            <w:r w:rsidRPr="004A1A9A">
              <w:rPr>
                <w:rFonts w:cs="Arial"/>
                <w:szCs w:val="20"/>
                <w:lang w:eastAsia="en-GB"/>
              </w:rPr>
              <w:t xml:space="preserve">3. </w:t>
            </w:r>
            <w:r w:rsidR="00CA4D53" w:rsidRPr="004A1A9A">
              <w:rPr>
                <w:rFonts w:cs="Arial"/>
                <w:szCs w:val="20"/>
                <w:lang w:eastAsia="en-GB"/>
              </w:rPr>
              <w:t>Revised</w:t>
            </w:r>
          </w:p>
        </w:tc>
      </w:tr>
      <w:tr w:rsidR="00C46165" w:rsidRPr="0024480A" w14:paraId="2FE9F56F" w14:textId="77777777" w:rsidTr="00A82DE1">
        <w:tc>
          <w:tcPr>
            <w:tcW w:w="4855" w:type="dxa"/>
            <w:tcBorders>
              <w:top w:val="nil"/>
              <w:bottom w:val="nil"/>
            </w:tcBorders>
          </w:tcPr>
          <w:p w14:paraId="14E853F7" w14:textId="77777777" w:rsidR="00C46165" w:rsidRPr="004A1A9A" w:rsidRDefault="00C46165" w:rsidP="00A82DE1">
            <w:pPr>
              <w:spacing w:before="240"/>
              <w:ind w:right="101"/>
              <w:contextualSpacing/>
              <w:rPr>
                <w:rFonts w:cs="Arial"/>
                <w:szCs w:val="20"/>
                <w:u w:val="single"/>
                <w:lang w:eastAsia="en-GB"/>
              </w:rPr>
            </w:pPr>
          </w:p>
        </w:tc>
      </w:tr>
      <w:tr w:rsidR="00C46165" w:rsidRPr="0024480A" w14:paraId="79505F97" w14:textId="77777777" w:rsidTr="00A82DE1">
        <w:tc>
          <w:tcPr>
            <w:tcW w:w="4855" w:type="dxa"/>
            <w:tcBorders>
              <w:top w:val="nil"/>
            </w:tcBorders>
          </w:tcPr>
          <w:p w14:paraId="3D7980D6" w14:textId="77777777" w:rsidR="00C46165" w:rsidRPr="004A1A9A" w:rsidRDefault="00C46165" w:rsidP="00A82DE1">
            <w:pPr>
              <w:spacing w:before="240"/>
              <w:ind w:right="101"/>
              <w:contextualSpacing/>
              <w:rPr>
                <w:rFonts w:cs="Arial"/>
                <w:szCs w:val="20"/>
                <w:lang w:eastAsia="en-GB"/>
              </w:rPr>
            </w:pPr>
            <w:r>
              <w:rPr>
                <w:rFonts w:cs="Arial"/>
                <w:szCs w:val="20"/>
                <w:lang w:eastAsia="en-GB"/>
              </w:rPr>
              <w:t>DATE:</w:t>
            </w:r>
            <w:r w:rsidRPr="004A1A9A">
              <w:rPr>
                <w:rFonts w:cs="Arial"/>
                <w:szCs w:val="20"/>
                <w:lang w:eastAsia="en-GB"/>
              </w:rPr>
              <w:t xml:space="preserve">                            SIGNATURE</w:t>
            </w:r>
            <w:r>
              <w:rPr>
                <w:rFonts w:cs="Arial"/>
                <w:szCs w:val="20"/>
                <w:lang w:eastAsia="en-GB"/>
              </w:rPr>
              <w:t>:</w:t>
            </w:r>
          </w:p>
        </w:tc>
      </w:tr>
    </w:tbl>
    <w:p w14:paraId="1B70197F" w14:textId="77777777" w:rsidR="00C46165" w:rsidRPr="0024480A" w:rsidRDefault="00C46165" w:rsidP="00C46165">
      <w:pPr>
        <w:spacing w:before="240" w:after="0" w:line="240" w:lineRule="auto"/>
        <w:ind w:right="101"/>
        <w:rPr>
          <w:rFonts w:cs="Arial"/>
          <w:b/>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471"/>
      </w:tblGrid>
      <w:tr w:rsidR="00C46165" w:rsidRPr="0024480A" w14:paraId="736B4F15" w14:textId="77777777" w:rsidTr="00895B6B">
        <w:tc>
          <w:tcPr>
            <w:tcW w:w="4889" w:type="dxa"/>
          </w:tcPr>
          <w:p w14:paraId="368ED782" w14:textId="77777777" w:rsidR="00C46165" w:rsidRPr="0024480A" w:rsidRDefault="00C46165" w:rsidP="00A82DE1">
            <w:pPr>
              <w:spacing w:before="240" w:after="120"/>
              <w:jc w:val="both"/>
              <w:rPr>
                <w:rFonts w:cs="Arial"/>
                <w:sz w:val="24"/>
                <w:szCs w:val="24"/>
                <w:lang w:eastAsia="en-GB"/>
              </w:rPr>
            </w:pPr>
            <w:r w:rsidRPr="0024480A">
              <w:rPr>
                <w:rFonts w:cs="Arial"/>
                <w:sz w:val="24"/>
                <w:szCs w:val="24"/>
                <w:lang w:eastAsia="en-GB"/>
              </w:rPr>
              <w:t>In the matter between:</w:t>
            </w:r>
          </w:p>
        </w:tc>
        <w:tc>
          <w:tcPr>
            <w:tcW w:w="4471" w:type="dxa"/>
          </w:tcPr>
          <w:p w14:paraId="20EE5CD0" w14:textId="77777777" w:rsidR="00C46165" w:rsidRPr="0024480A" w:rsidRDefault="00C46165" w:rsidP="00A82DE1">
            <w:pPr>
              <w:spacing w:before="240" w:after="120"/>
              <w:jc w:val="both"/>
              <w:rPr>
                <w:rFonts w:cs="Arial"/>
                <w:sz w:val="24"/>
                <w:szCs w:val="24"/>
                <w:lang w:eastAsia="en-GB"/>
              </w:rPr>
            </w:pPr>
          </w:p>
        </w:tc>
      </w:tr>
      <w:tr w:rsidR="00C46165" w:rsidRPr="0024480A" w14:paraId="41704C40" w14:textId="77777777" w:rsidTr="00895B6B">
        <w:tc>
          <w:tcPr>
            <w:tcW w:w="4889" w:type="dxa"/>
          </w:tcPr>
          <w:p w14:paraId="1CC92FD3" w14:textId="54B37CC1" w:rsidR="009364B0" w:rsidRPr="00185F28" w:rsidRDefault="00994A48" w:rsidP="00A82DE1">
            <w:pPr>
              <w:spacing w:before="240" w:after="120"/>
              <w:jc w:val="both"/>
              <w:rPr>
                <w:rFonts w:cs="Arial"/>
                <w:b/>
                <w:sz w:val="24"/>
                <w:szCs w:val="24"/>
                <w:lang w:eastAsia="en-GB"/>
              </w:rPr>
            </w:pPr>
            <w:r w:rsidRPr="00994A48">
              <w:rPr>
                <w:rFonts w:cs="Arial"/>
                <w:b/>
                <w:sz w:val="24"/>
                <w:szCs w:val="24"/>
                <w:lang w:eastAsia="en-GB"/>
              </w:rPr>
              <w:t>Solum Civils</w:t>
            </w:r>
            <w:r>
              <w:rPr>
                <w:rFonts w:cs="Arial"/>
                <w:b/>
                <w:sz w:val="24"/>
                <w:szCs w:val="24"/>
                <w:lang w:eastAsia="en-GB"/>
              </w:rPr>
              <w:t xml:space="preserve"> (Pty) Ltd</w:t>
            </w:r>
            <w:r w:rsidRPr="00994A48">
              <w:rPr>
                <w:rFonts w:cs="Arial"/>
                <w:b/>
                <w:sz w:val="24"/>
                <w:szCs w:val="24"/>
                <w:lang w:eastAsia="en-GB"/>
              </w:rPr>
              <w:t xml:space="preserve"> </w:t>
            </w:r>
          </w:p>
        </w:tc>
        <w:tc>
          <w:tcPr>
            <w:tcW w:w="4471" w:type="dxa"/>
          </w:tcPr>
          <w:p w14:paraId="424DE5A9" w14:textId="0A735E7C" w:rsidR="00895B6B" w:rsidRPr="00D06A29" w:rsidRDefault="00EF1724" w:rsidP="00D06A29">
            <w:pPr>
              <w:spacing w:before="240" w:after="120"/>
              <w:jc w:val="right"/>
              <w:rPr>
                <w:rFonts w:cs="Arial"/>
                <w:b/>
                <w:bCs/>
                <w:sz w:val="24"/>
                <w:szCs w:val="24"/>
                <w:lang w:eastAsia="en-GB"/>
              </w:rPr>
            </w:pPr>
            <w:r>
              <w:rPr>
                <w:rFonts w:cs="Arial"/>
                <w:b/>
                <w:bCs/>
                <w:sz w:val="24"/>
                <w:szCs w:val="24"/>
                <w:lang w:eastAsia="en-GB"/>
              </w:rPr>
              <w:t>Plaintiff</w:t>
            </w:r>
          </w:p>
        </w:tc>
      </w:tr>
      <w:tr w:rsidR="00D06A29" w:rsidRPr="0024480A" w14:paraId="491CC945" w14:textId="77777777" w:rsidTr="00895B6B">
        <w:tc>
          <w:tcPr>
            <w:tcW w:w="4889" w:type="dxa"/>
          </w:tcPr>
          <w:p w14:paraId="09CC5CEA" w14:textId="70622EDC" w:rsidR="00D06A29" w:rsidRPr="00D95692" w:rsidRDefault="00D06A29" w:rsidP="00A82DE1">
            <w:pPr>
              <w:spacing w:before="240"/>
              <w:jc w:val="both"/>
              <w:rPr>
                <w:rFonts w:cs="Arial"/>
                <w:b/>
                <w:sz w:val="24"/>
              </w:rPr>
            </w:pPr>
            <w:r>
              <w:rPr>
                <w:rFonts w:cs="Arial"/>
                <w:sz w:val="24"/>
                <w:szCs w:val="24"/>
                <w:lang w:eastAsia="en-GB"/>
              </w:rPr>
              <w:t>and</w:t>
            </w:r>
          </w:p>
        </w:tc>
        <w:tc>
          <w:tcPr>
            <w:tcW w:w="4471" w:type="dxa"/>
          </w:tcPr>
          <w:p w14:paraId="00153848" w14:textId="77777777" w:rsidR="00D06A29" w:rsidRDefault="00D06A29" w:rsidP="00A82DE1">
            <w:pPr>
              <w:spacing w:before="240"/>
              <w:jc w:val="right"/>
              <w:rPr>
                <w:rFonts w:cs="Arial"/>
                <w:sz w:val="24"/>
                <w:szCs w:val="24"/>
                <w:lang w:eastAsia="en-GB"/>
              </w:rPr>
            </w:pPr>
          </w:p>
        </w:tc>
      </w:tr>
      <w:tr w:rsidR="00C46165" w:rsidRPr="0024480A" w14:paraId="60808901" w14:textId="77777777" w:rsidTr="00895B6B">
        <w:tc>
          <w:tcPr>
            <w:tcW w:w="4889" w:type="dxa"/>
          </w:tcPr>
          <w:p w14:paraId="4AE6C21C" w14:textId="51164E20" w:rsidR="00C46165" w:rsidRPr="0024480A" w:rsidRDefault="00994A48" w:rsidP="00A82DE1">
            <w:pPr>
              <w:spacing w:before="240" w:after="120"/>
              <w:jc w:val="both"/>
              <w:rPr>
                <w:rFonts w:cs="Arial"/>
                <w:b/>
                <w:sz w:val="24"/>
                <w:szCs w:val="24"/>
                <w:lang w:eastAsia="en-GB"/>
              </w:rPr>
            </w:pPr>
            <w:r w:rsidRPr="00994A48">
              <w:rPr>
                <w:rFonts w:cs="Arial"/>
                <w:b/>
                <w:sz w:val="24"/>
                <w:szCs w:val="24"/>
                <w:lang w:eastAsia="en-GB"/>
              </w:rPr>
              <w:t>Tiger Business</w:t>
            </w:r>
            <w:r>
              <w:rPr>
                <w:rFonts w:cs="Arial"/>
                <w:b/>
                <w:sz w:val="24"/>
              </w:rPr>
              <w:t xml:space="preserve"> Enterprises CC:</w:t>
            </w:r>
          </w:p>
        </w:tc>
        <w:tc>
          <w:tcPr>
            <w:tcW w:w="4471" w:type="dxa"/>
          </w:tcPr>
          <w:p w14:paraId="11B17920" w14:textId="52AF52FB" w:rsidR="00C46165" w:rsidRPr="00D06A29" w:rsidRDefault="00994A48" w:rsidP="00A82DE1">
            <w:pPr>
              <w:spacing w:before="240" w:after="120"/>
              <w:jc w:val="right"/>
              <w:rPr>
                <w:rFonts w:cs="Arial"/>
                <w:b/>
                <w:bCs/>
                <w:sz w:val="24"/>
                <w:szCs w:val="24"/>
                <w:lang w:eastAsia="en-GB"/>
              </w:rPr>
            </w:pPr>
            <w:r>
              <w:rPr>
                <w:rFonts w:cs="Arial"/>
                <w:b/>
                <w:bCs/>
                <w:sz w:val="24"/>
                <w:szCs w:val="24"/>
                <w:lang w:eastAsia="en-GB"/>
              </w:rPr>
              <w:t xml:space="preserve">First </w:t>
            </w:r>
            <w:r w:rsidR="00EF1724">
              <w:rPr>
                <w:rFonts w:cs="Arial"/>
                <w:b/>
                <w:bCs/>
                <w:sz w:val="24"/>
                <w:szCs w:val="24"/>
                <w:lang w:eastAsia="en-GB"/>
              </w:rPr>
              <w:t>Defendant</w:t>
            </w:r>
          </w:p>
        </w:tc>
      </w:tr>
      <w:tr w:rsidR="00C46165" w:rsidRPr="0024480A" w14:paraId="23D2E9E1" w14:textId="77777777" w:rsidTr="00895B6B">
        <w:tc>
          <w:tcPr>
            <w:tcW w:w="4889" w:type="dxa"/>
          </w:tcPr>
          <w:p w14:paraId="408A4EC8" w14:textId="1355AFA6" w:rsidR="009364B0" w:rsidRPr="0024480A" w:rsidRDefault="00994A48" w:rsidP="00A82DE1">
            <w:pPr>
              <w:spacing w:before="240" w:after="120"/>
              <w:jc w:val="both"/>
              <w:rPr>
                <w:rFonts w:cs="Arial"/>
                <w:b/>
                <w:sz w:val="24"/>
                <w:szCs w:val="24"/>
                <w:lang w:eastAsia="en-GB"/>
              </w:rPr>
            </w:pPr>
            <w:r>
              <w:rPr>
                <w:rFonts w:cs="Arial"/>
                <w:b/>
                <w:sz w:val="24"/>
                <w:szCs w:val="24"/>
                <w:lang w:eastAsia="en-GB"/>
              </w:rPr>
              <w:t>Simphiwe MacGyver Mbetse</w:t>
            </w:r>
          </w:p>
        </w:tc>
        <w:tc>
          <w:tcPr>
            <w:tcW w:w="4471" w:type="dxa"/>
          </w:tcPr>
          <w:p w14:paraId="74A973F8" w14:textId="4EEDA955" w:rsidR="009364B0" w:rsidRPr="00D06A29" w:rsidRDefault="00994A48" w:rsidP="00A82DE1">
            <w:pPr>
              <w:spacing w:before="240" w:after="120"/>
              <w:jc w:val="right"/>
              <w:rPr>
                <w:rFonts w:cs="Arial"/>
                <w:b/>
                <w:bCs/>
                <w:sz w:val="24"/>
                <w:szCs w:val="24"/>
                <w:lang w:eastAsia="en-GB"/>
              </w:rPr>
            </w:pPr>
            <w:r>
              <w:rPr>
                <w:rFonts w:cs="Arial"/>
                <w:b/>
                <w:bCs/>
                <w:sz w:val="24"/>
                <w:szCs w:val="24"/>
                <w:lang w:eastAsia="en-GB"/>
              </w:rPr>
              <w:t>Second Defendant</w:t>
            </w:r>
          </w:p>
        </w:tc>
      </w:tr>
      <w:tr w:rsidR="00C46165" w:rsidRPr="009A46AD" w14:paraId="00F04E2A" w14:textId="77777777" w:rsidTr="00D06A29">
        <w:tblPrEx>
          <w:tblBorders>
            <w:top w:val="single" w:sz="4" w:space="0" w:color="auto"/>
            <w:bottom w:val="single" w:sz="4" w:space="0" w:color="auto"/>
            <w:insideH w:val="single" w:sz="4" w:space="0" w:color="auto"/>
            <w:insideV w:val="single" w:sz="4" w:space="0" w:color="auto"/>
          </w:tblBorders>
        </w:tblPrEx>
        <w:tc>
          <w:tcPr>
            <w:tcW w:w="9360" w:type="dxa"/>
            <w:gridSpan w:val="2"/>
          </w:tcPr>
          <w:p w14:paraId="11122A60" w14:textId="77777777" w:rsidR="00C46165" w:rsidRPr="009A46AD" w:rsidRDefault="00C46165" w:rsidP="00A82DE1">
            <w:pPr>
              <w:spacing w:before="360" w:after="360" w:line="360" w:lineRule="exact"/>
              <w:jc w:val="center"/>
              <w:rPr>
                <w:b/>
                <w:sz w:val="24"/>
                <w:lang w:eastAsia="en-GB"/>
              </w:rPr>
            </w:pPr>
            <w:r>
              <w:rPr>
                <w:b/>
                <w:sz w:val="24"/>
                <w:lang w:eastAsia="en-GB"/>
              </w:rPr>
              <w:t>JUDGMENT</w:t>
            </w:r>
          </w:p>
        </w:tc>
      </w:tr>
    </w:tbl>
    <w:p w14:paraId="1DF357F5" w14:textId="77777777" w:rsidR="00C46165" w:rsidRDefault="00C46165">
      <w:pPr>
        <w:rPr>
          <w:b/>
        </w:rPr>
      </w:pPr>
    </w:p>
    <w:p w14:paraId="1B821C69" w14:textId="77777777" w:rsidR="00C46165" w:rsidRDefault="009364B0" w:rsidP="0037771E">
      <w:pPr>
        <w:rPr>
          <w:sz w:val="24"/>
        </w:rPr>
      </w:pPr>
      <w:r>
        <w:rPr>
          <w:b/>
          <w:sz w:val="24"/>
          <w:szCs w:val="24"/>
        </w:rPr>
        <w:t xml:space="preserve">Johann </w:t>
      </w:r>
      <w:r w:rsidR="00681F44">
        <w:rPr>
          <w:b/>
          <w:sz w:val="24"/>
          <w:szCs w:val="24"/>
        </w:rPr>
        <w:t>Gauts</w:t>
      </w:r>
      <w:r w:rsidR="0037771E">
        <w:rPr>
          <w:b/>
          <w:sz w:val="24"/>
          <w:szCs w:val="24"/>
        </w:rPr>
        <w:t>c</w:t>
      </w:r>
      <w:r w:rsidR="00681F44">
        <w:rPr>
          <w:b/>
          <w:sz w:val="24"/>
          <w:szCs w:val="24"/>
        </w:rPr>
        <w:t>h</w:t>
      </w:r>
      <w:r w:rsidR="0037771E">
        <w:rPr>
          <w:b/>
          <w:sz w:val="24"/>
          <w:szCs w:val="24"/>
        </w:rPr>
        <w:t>i</w:t>
      </w:r>
      <w:r w:rsidR="00681F44">
        <w:rPr>
          <w:b/>
          <w:sz w:val="24"/>
          <w:szCs w:val="24"/>
        </w:rPr>
        <w:t xml:space="preserve"> </w:t>
      </w:r>
      <w:r w:rsidR="0037771E">
        <w:rPr>
          <w:b/>
          <w:sz w:val="24"/>
          <w:szCs w:val="24"/>
        </w:rPr>
        <w:t>A</w:t>
      </w:r>
      <w:r w:rsidR="009A5E4B">
        <w:rPr>
          <w:b/>
          <w:sz w:val="24"/>
          <w:szCs w:val="24"/>
        </w:rPr>
        <w:t>J</w:t>
      </w:r>
    </w:p>
    <w:p w14:paraId="7B05248D" w14:textId="36AB2492" w:rsidR="008A427C" w:rsidRPr="00FC322F" w:rsidRDefault="00FC322F" w:rsidP="00FC322F">
      <w:pPr>
        <w:ind w:left="360" w:hanging="360"/>
        <w:jc w:val="both"/>
        <w:rPr>
          <w:sz w:val="24"/>
        </w:rPr>
      </w:pPr>
      <w:r>
        <w:rPr>
          <w:sz w:val="24"/>
        </w:rPr>
        <w:t>1.</w:t>
      </w:r>
      <w:r>
        <w:rPr>
          <w:sz w:val="24"/>
        </w:rPr>
        <w:tab/>
      </w:r>
      <w:r w:rsidR="009364B0" w:rsidRPr="00FC322F">
        <w:rPr>
          <w:sz w:val="24"/>
        </w:rPr>
        <w:t xml:space="preserve">This is a </w:t>
      </w:r>
      <w:r w:rsidR="00994A48" w:rsidRPr="00FC322F">
        <w:rPr>
          <w:sz w:val="24"/>
        </w:rPr>
        <w:t xml:space="preserve">provisional sentence </w:t>
      </w:r>
      <w:r w:rsidR="009364B0" w:rsidRPr="00FC322F">
        <w:rPr>
          <w:sz w:val="24"/>
        </w:rPr>
        <w:t>application</w:t>
      </w:r>
      <w:r w:rsidR="008A427C" w:rsidRPr="00FC322F">
        <w:rPr>
          <w:sz w:val="24"/>
        </w:rPr>
        <w:t xml:space="preserve"> for payment of the amount of R7,702,368.28 (inclusive of VAT)</w:t>
      </w:r>
      <w:r w:rsidR="00EF1724" w:rsidRPr="00FC322F">
        <w:rPr>
          <w:sz w:val="24"/>
        </w:rPr>
        <w:t>.</w:t>
      </w:r>
      <w:r w:rsidR="008A427C" w:rsidRPr="00FC322F">
        <w:rPr>
          <w:sz w:val="24"/>
        </w:rPr>
        <w:t xml:space="preserve"> </w:t>
      </w:r>
    </w:p>
    <w:p w14:paraId="0A0C62B4" w14:textId="6C674AC5" w:rsidR="00325500" w:rsidRPr="00FC322F" w:rsidRDefault="00FC322F" w:rsidP="00FC322F">
      <w:pPr>
        <w:ind w:left="360" w:hanging="360"/>
        <w:jc w:val="both"/>
        <w:rPr>
          <w:sz w:val="24"/>
        </w:rPr>
      </w:pPr>
      <w:r>
        <w:rPr>
          <w:sz w:val="24"/>
        </w:rPr>
        <w:t>2.</w:t>
      </w:r>
      <w:r>
        <w:rPr>
          <w:sz w:val="24"/>
        </w:rPr>
        <w:tab/>
      </w:r>
      <w:r w:rsidR="008A427C" w:rsidRPr="00FC322F">
        <w:rPr>
          <w:sz w:val="24"/>
        </w:rPr>
        <w:t>The provisional sentence summons claims from first defendant in terms of an acknowledgement of debt (annexure A to the provisional sentence summons</w:t>
      </w:r>
      <w:r w:rsidR="00920420" w:rsidRPr="00FC322F">
        <w:rPr>
          <w:sz w:val="24"/>
        </w:rPr>
        <w:t xml:space="preserve"> and hereinafter referred to as the AOD</w:t>
      </w:r>
      <w:r w:rsidR="008A427C" w:rsidRPr="00FC322F">
        <w:rPr>
          <w:sz w:val="24"/>
        </w:rPr>
        <w:t>) in favour of the plaintiff signed on or about 7 November 2022 by the second defendant on behalf of the first defendant, the second defendant having been authorised to do so in terms of a resolution of the members of the first defendant, annexure B to the provisional sentence summons.</w:t>
      </w:r>
      <w:r w:rsidR="00237573" w:rsidRPr="00FC322F">
        <w:rPr>
          <w:sz w:val="24"/>
        </w:rPr>
        <w:t xml:space="preserve"> </w:t>
      </w:r>
      <w:r w:rsidR="008A427C" w:rsidRPr="00FC322F">
        <w:rPr>
          <w:sz w:val="24"/>
        </w:rPr>
        <w:t xml:space="preserve"> The summons </w:t>
      </w:r>
      <w:r w:rsidR="00325500" w:rsidRPr="00FC322F">
        <w:rPr>
          <w:sz w:val="24"/>
        </w:rPr>
        <w:t xml:space="preserve">further </w:t>
      </w:r>
      <w:r w:rsidR="008A427C" w:rsidRPr="00FC322F">
        <w:rPr>
          <w:sz w:val="24"/>
        </w:rPr>
        <w:t>alleges that</w:t>
      </w:r>
      <w:r w:rsidR="00325500" w:rsidRPr="00FC322F">
        <w:rPr>
          <w:sz w:val="24"/>
        </w:rPr>
        <w:t>:</w:t>
      </w:r>
      <w:r w:rsidR="008A427C" w:rsidRPr="00FC322F">
        <w:rPr>
          <w:sz w:val="24"/>
        </w:rPr>
        <w:t xml:space="preserve"> </w:t>
      </w:r>
    </w:p>
    <w:p w14:paraId="58A5EA23" w14:textId="756ACA13" w:rsidR="00D14F71" w:rsidRPr="00FC322F" w:rsidRDefault="00FC322F" w:rsidP="00FC322F">
      <w:pPr>
        <w:ind w:left="792" w:hanging="432"/>
        <w:jc w:val="both"/>
        <w:rPr>
          <w:sz w:val="24"/>
        </w:rPr>
      </w:pPr>
      <w:r>
        <w:rPr>
          <w:sz w:val="24"/>
        </w:rPr>
        <w:t>2.1.</w:t>
      </w:r>
      <w:r>
        <w:rPr>
          <w:sz w:val="24"/>
        </w:rPr>
        <w:tab/>
      </w:r>
      <w:r w:rsidR="008A427C" w:rsidRPr="00FC322F">
        <w:rPr>
          <w:sz w:val="24"/>
        </w:rPr>
        <w:t>the</w:t>
      </w:r>
      <w:r w:rsidR="00920420" w:rsidRPr="00FC322F">
        <w:rPr>
          <w:sz w:val="24"/>
        </w:rPr>
        <w:t xml:space="preserve"> AOD </w:t>
      </w:r>
      <w:r w:rsidR="008A427C" w:rsidRPr="00FC322F">
        <w:rPr>
          <w:sz w:val="24"/>
        </w:rPr>
        <w:t xml:space="preserve">acknowledges that the first defendant is truly </w:t>
      </w:r>
      <w:r w:rsidR="00325500" w:rsidRPr="00FC322F">
        <w:rPr>
          <w:sz w:val="24"/>
        </w:rPr>
        <w:t xml:space="preserve">and </w:t>
      </w:r>
      <w:r w:rsidR="008E5B20" w:rsidRPr="00FC322F">
        <w:rPr>
          <w:sz w:val="24"/>
        </w:rPr>
        <w:t>law</w:t>
      </w:r>
      <w:r w:rsidR="008A427C" w:rsidRPr="00FC322F">
        <w:rPr>
          <w:sz w:val="24"/>
        </w:rPr>
        <w:t>f</w:t>
      </w:r>
      <w:bookmarkStart w:id="0" w:name="_GoBack"/>
      <w:bookmarkEnd w:id="0"/>
      <w:r w:rsidR="008A427C" w:rsidRPr="00FC322F">
        <w:rPr>
          <w:sz w:val="24"/>
        </w:rPr>
        <w:t>ully indebted to the plaintiff in the aforementioned amount of R7,702,368.28 (inclusive of VAT) (the “capital sum”) “in respect of works executed and services rendered by the plaintiff and the two separate written agreement entered into between the plaintiff and the first defendant</w:t>
      </w:r>
      <w:r w:rsidR="00325500" w:rsidRPr="00FC322F">
        <w:rPr>
          <w:sz w:val="24"/>
        </w:rPr>
        <w:t>;</w:t>
      </w:r>
    </w:p>
    <w:p w14:paraId="29A813C5" w14:textId="2396B0A7" w:rsidR="00325500" w:rsidRPr="00FC322F" w:rsidRDefault="00FC322F" w:rsidP="00FC322F">
      <w:pPr>
        <w:ind w:left="792" w:hanging="432"/>
        <w:jc w:val="both"/>
        <w:rPr>
          <w:sz w:val="24"/>
        </w:rPr>
      </w:pPr>
      <w:r>
        <w:rPr>
          <w:sz w:val="24"/>
        </w:rPr>
        <w:t>2.2.</w:t>
      </w:r>
      <w:r>
        <w:rPr>
          <w:sz w:val="24"/>
        </w:rPr>
        <w:tab/>
      </w:r>
      <w:r w:rsidR="00325500" w:rsidRPr="00FC322F">
        <w:rPr>
          <w:sz w:val="24"/>
        </w:rPr>
        <w:t>in terms of the</w:t>
      </w:r>
      <w:r w:rsidR="00920420" w:rsidRPr="00FC322F">
        <w:rPr>
          <w:sz w:val="24"/>
        </w:rPr>
        <w:t xml:space="preserve"> AOD </w:t>
      </w:r>
      <w:r w:rsidR="00325500" w:rsidRPr="00FC322F">
        <w:rPr>
          <w:sz w:val="24"/>
        </w:rPr>
        <w:t>the first defendant undertook to make payment of the capital sum in instalments, but</w:t>
      </w:r>
      <w:r w:rsidR="00A63E0A" w:rsidRPr="00FC322F">
        <w:rPr>
          <w:sz w:val="24"/>
        </w:rPr>
        <w:t>,</w:t>
      </w:r>
      <w:r w:rsidR="00325500" w:rsidRPr="00FC322F">
        <w:rPr>
          <w:sz w:val="24"/>
        </w:rPr>
        <w:t xml:space="preserve"> as the first defendant failed to make payment of the first two instalments, the first defendant immediately became liable in terms of clause 3 of the </w:t>
      </w:r>
      <w:r w:rsidR="002D357B" w:rsidRPr="00FC322F">
        <w:rPr>
          <w:sz w:val="24"/>
        </w:rPr>
        <w:t>AOD</w:t>
      </w:r>
      <w:r w:rsidR="00325500" w:rsidRPr="00FC322F">
        <w:rPr>
          <w:sz w:val="24"/>
        </w:rPr>
        <w:t xml:space="preserve"> to pay </w:t>
      </w:r>
      <w:r w:rsidR="00325500" w:rsidRPr="00FC322F">
        <w:rPr>
          <w:i/>
          <w:iCs/>
          <w:sz w:val="24"/>
        </w:rPr>
        <w:t xml:space="preserve">“the full balance outstanding of the capital sum plus interest calculated daily and compounded monthly at the maximum rate permissible in law from the date of default until the date of payment, costs </w:t>
      </w:r>
      <w:r w:rsidR="006F039A" w:rsidRPr="00FC322F">
        <w:rPr>
          <w:i/>
          <w:iCs/>
          <w:sz w:val="24"/>
        </w:rPr>
        <w:t>on</w:t>
      </w:r>
      <w:r w:rsidR="00325500" w:rsidRPr="00FC322F">
        <w:rPr>
          <w:i/>
          <w:iCs/>
          <w:sz w:val="24"/>
        </w:rPr>
        <w:t xml:space="preserve"> an attorney and client scale, collection commission tracing fees</w:t>
      </w:r>
      <w:r w:rsidR="00325500" w:rsidRPr="00FC322F">
        <w:rPr>
          <w:sz w:val="24"/>
        </w:rPr>
        <w:t>” and is further entitled “</w:t>
      </w:r>
      <w:r w:rsidR="00325500" w:rsidRPr="00FC322F">
        <w:rPr>
          <w:i/>
          <w:iCs/>
          <w:sz w:val="24"/>
        </w:rPr>
        <w:t>without prejudice to any other remedy rights it may have against the first defendant, to proceed immediately with the recovery of the outstanding balance, and m</w:t>
      </w:r>
      <w:r w:rsidR="002D357B" w:rsidRPr="00FC322F">
        <w:rPr>
          <w:i/>
          <w:iCs/>
          <w:sz w:val="24"/>
        </w:rPr>
        <w:t>a</w:t>
      </w:r>
      <w:r w:rsidR="00325500" w:rsidRPr="00FC322F">
        <w:rPr>
          <w:i/>
          <w:iCs/>
          <w:sz w:val="24"/>
        </w:rPr>
        <w:t>y issue provisional sentence summons therefore without further notice or demand</w:t>
      </w:r>
      <w:r w:rsidR="00325500" w:rsidRPr="00FC322F">
        <w:rPr>
          <w:sz w:val="24"/>
        </w:rPr>
        <w:t>”</w:t>
      </w:r>
      <w:r w:rsidR="00117CCD" w:rsidRPr="00FC322F">
        <w:rPr>
          <w:sz w:val="24"/>
        </w:rPr>
        <w:t>;</w:t>
      </w:r>
    </w:p>
    <w:p w14:paraId="136FF867" w14:textId="38B2F4DA" w:rsidR="00117CCD" w:rsidRPr="00FC322F" w:rsidRDefault="00FC322F" w:rsidP="00FC322F">
      <w:pPr>
        <w:ind w:left="792" w:hanging="432"/>
        <w:jc w:val="both"/>
        <w:rPr>
          <w:sz w:val="24"/>
        </w:rPr>
      </w:pPr>
      <w:r w:rsidRPr="008A427C">
        <w:rPr>
          <w:sz w:val="24"/>
        </w:rPr>
        <w:t>2.3.</w:t>
      </w:r>
      <w:r w:rsidRPr="008A427C">
        <w:rPr>
          <w:sz w:val="24"/>
        </w:rPr>
        <w:tab/>
      </w:r>
      <w:r w:rsidR="00117CCD" w:rsidRPr="00FC322F">
        <w:rPr>
          <w:sz w:val="24"/>
        </w:rPr>
        <w:t>the existence of the first defendant’s indebtedness to the plaintiff of the aforementioned capital amount is confirmed by a certificate of indebtedness, duly signed by director of the</w:t>
      </w:r>
      <w:r w:rsidR="008E5B20" w:rsidRPr="00FC322F">
        <w:rPr>
          <w:sz w:val="24"/>
        </w:rPr>
        <w:t xml:space="preserve"> plaintiff </w:t>
      </w:r>
      <w:r w:rsidR="00117CCD" w:rsidRPr="00FC322F">
        <w:rPr>
          <w:sz w:val="24"/>
        </w:rPr>
        <w:t>as provided by clause 4 of the</w:t>
      </w:r>
      <w:r w:rsidR="00920420" w:rsidRPr="00FC322F">
        <w:rPr>
          <w:sz w:val="24"/>
        </w:rPr>
        <w:t xml:space="preserve"> AOD </w:t>
      </w:r>
      <w:r w:rsidR="00117CCD" w:rsidRPr="00FC322F">
        <w:rPr>
          <w:sz w:val="24"/>
        </w:rPr>
        <w:t>in terms of which</w:t>
      </w:r>
      <w:r w:rsidR="00F66712" w:rsidRPr="00FC322F">
        <w:rPr>
          <w:sz w:val="24"/>
        </w:rPr>
        <w:t xml:space="preserve"> such certificate would be prima facie proof for the purpose of provisional </w:t>
      </w:r>
      <w:r w:rsidR="00F66712" w:rsidRPr="00FC322F">
        <w:rPr>
          <w:sz w:val="24"/>
        </w:rPr>
        <w:lastRenderedPageBreak/>
        <w:t>sentence summons of</w:t>
      </w:r>
      <w:r w:rsidR="00117CCD" w:rsidRPr="00FC322F">
        <w:rPr>
          <w:sz w:val="24"/>
        </w:rPr>
        <w:t xml:space="preserve"> the existence and amount of indebtedness of the first defendant to the plaintiff</w:t>
      </w:r>
      <w:r w:rsidR="00F66712" w:rsidRPr="00FC322F">
        <w:rPr>
          <w:sz w:val="24"/>
        </w:rPr>
        <w:t>.</w:t>
      </w:r>
    </w:p>
    <w:p w14:paraId="6674BFE4" w14:textId="4E1A53DC" w:rsidR="008A427C" w:rsidRPr="00FC322F" w:rsidRDefault="00FC322F" w:rsidP="00FC322F">
      <w:pPr>
        <w:ind w:left="360" w:hanging="360"/>
        <w:jc w:val="both"/>
        <w:rPr>
          <w:sz w:val="24"/>
        </w:rPr>
      </w:pPr>
      <w:r>
        <w:rPr>
          <w:sz w:val="24"/>
        </w:rPr>
        <w:t>3.</w:t>
      </w:r>
      <w:r>
        <w:rPr>
          <w:sz w:val="24"/>
        </w:rPr>
        <w:tab/>
      </w:r>
      <w:r w:rsidR="008A427C" w:rsidRPr="00FC322F">
        <w:rPr>
          <w:sz w:val="24"/>
        </w:rPr>
        <w:t>As against the second defendant, the provisional sentence summons claims on the basis of a deed of suretyship</w:t>
      </w:r>
      <w:r w:rsidR="008E5B20" w:rsidRPr="00FC322F">
        <w:rPr>
          <w:sz w:val="24"/>
        </w:rPr>
        <w:t xml:space="preserve">, </w:t>
      </w:r>
      <w:r w:rsidR="008A427C" w:rsidRPr="00FC322F">
        <w:rPr>
          <w:sz w:val="24"/>
        </w:rPr>
        <w:t>annexure D to the provisional sentence summons</w:t>
      </w:r>
      <w:r w:rsidR="008E5B20" w:rsidRPr="00FC322F">
        <w:rPr>
          <w:sz w:val="24"/>
        </w:rPr>
        <w:t>,</w:t>
      </w:r>
      <w:r w:rsidR="008A427C" w:rsidRPr="00FC322F">
        <w:rPr>
          <w:sz w:val="24"/>
        </w:rPr>
        <w:t xml:space="preserve"> alleged to have been signed by the second defendant on about 20 October 2021 in terms of which the second defendant is alleged to have bound himself, jointly and severally, in favour of the plaintiff as surety and solid and as joint and several co-principal debtor with the first defendant </w:t>
      </w:r>
      <w:r w:rsidR="004B154D" w:rsidRPr="00FC322F">
        <w:rPr>
          <w:sz w:val="24"/>
        </w:rPr>
        <w:t xml:space="preserve">for </w:t>
      </w:r>
      <w:r w:rsidR="008A427C" w:rsidRPr="00FC322F">
        <w:rPr>
          <w:sz w:val="24"/>
        </w:rPr>
        <w:t>payment of all debts and other monies due of whatsoever nature and howsoever arising.</w:t>
      </w:r>
    </w:p>
    <w:p w14:paraId="09D3E743" w14:textId="728B8C58" w:rsidR="004B55AD" w:rsidRPr="00FC322F" w:rsidRDefault="00FC322F" w:rsidP="00FC322F">
      <w:pPr>
        <w:ind w:left="360" w:hanging="360"/>
        <w:jc w:val="both"/>
        <w:rPr>
          <w:sz w:val="24"/>
        </w:rPr>
      </w:pPr>
      <w:r>
        <w:rPr>
          <w:sz w:val="24"/>
        </w:rPr>
        <w:t>4.</w:t>
      </w:r>
      <w:r>
        <w:rPr>
          <w:sz w:val="24"/>
        </w:rPr>
        <w:tab/>
      </w:r>
      <w:r w:rsidR="00237573" w:rsidRPr="00FC322F">
        <w:rPr>
          <w:sz w:val="24"/>
        </w:rPr>
        <w:t>The affidavit opposing provisional sentence was signed by the second defendant</w:t>
      </w:r>
      <w:r w:rsidR="004B154D" w:rsidRPr="00FC322F">
        <w:rPr>
          <w:sz w:val="24"/>
        </w:rPr>
        <w:t>,</w:t>
      </w:r>
      <w:r w:rsidR="00237573" w:rsidRPr="00FC322F">
        <w:rPr>
          <w:sz w:val="24"/>
        </w:rPr>
        <w:t xml:space="preserve"> also acting on behalf of the first defendant in his capacity as a member of the first defendant and authorised to</w:t>
      </w:r>
      <w:r w:rsidR="00A63E0A" w:rsidRPr="00FC322F">
        <w:rPr>
          <w:sz w:val="24"/>
        </w:rPr>
        <w:t xml:space="preserve"> do so</w:t>
      </w:r>
      <w:r w:rsidR="00237573" w:rsidRPr="00FC322F">
        <w:rPr>
          <w:sz w:val="24"/>
        </w:rPr>
        <w:t xml:space="preserve"> by a resolution attached to the opposing affidavit marked annexure A.</w:t>
      </w:r>
      <w:r w:rsidR="00A63E0A" w:rsidRPr="00FC322F">
        <w:rPr>
          <w:sz w:val="24"/>
        </w:rPr>
        <w:t xml:space="preserve">  In the opposing affidavit the second defendant admits </w:t>
      </w:r>
      <w:r w:rsidR="00237573" w:rsidRPr="00FC322F">
        <w:rPr>
          <w:sz w:val="24"/>
        </w:rPr>
        <w:t xml:space="preserve">the signatures on the </w:t>
      </w:r>
      <w:r w:rsidR="004B154D" w:rsidRPr="00FC322F">
        <w:rPr>
          <w:sz w:val="24"/>
        </w:rPr>
        <w:t>AOD</w:t>
      </w:r>
      <w:r w:rsidR="00A63E0A" w:rsidRPr="00FC322F">
        <w:rPr>
          <w:sz w:val="24"/>
        </w:rPr>
        <w:t>, but denies</w:t>
      </w:r>
      <w:r w:rsidR="00920420" w:rsidRPr="00FC322F">
        <w:rPr>
          <w:sz w:val="24"/>
        </w:rPr>
        <w:t xml:space="preserve"> that “</w:t>
      </w:r>
      <w:r w:rsidR="00920420" w:rsidRPr="00FC322F">
        <w:rPr>
          <w:i/>
          <w:iCs/>
          <w:sz w:val="24"/>
        </w:rPr>
        <w:t>the document attached as Annexure “B”, being the deed of surety was properly executed and signed by me (or by any other person)”</w:t>
      </w:r>
      <w:r w:rsidR="00920420" w:rsidRPr="00FC322F">
        <w:rPr>
          <w:sz w:val="24"/>
        </w:rPr>
        <w:t>. I shall assume that the reference to Annexure B is an obvious topographical error as the suretyship is annexure D to the provisional sentence summons.</w:t>
      </w:r>
    </w:p>
    <w:p w14:paraId="57C44B92" w14:textId="55C49853" w:rsidR="00920420" w:rsidRPr="00FC322F" w:rsidRDefault="00FC322F" w:rsidP="00FC322F">
      <w:pPr>
        <w:ind w:left="360" w:hanging="360"/>
        <w:jc w:val="both"/>
        <w:rPr>
          <w:sz w:val="24"/>
        </w:rPr>
      </w:pPr>
      <w:r>
        <w:rPr>
          <w:sz w:val="24"/>
        </w:rPr>
        <w:t>5.</w:t>
      </w:r>
      <w:r>
        <w:rPr>
          <w:sz w:val="24"/>
        </w:rPr>
        <w:tab/>
      </w:r>
      <w:r w:rsidR="00920420" w:rsidRPr="00FC322F">
        <w:rPr>
          <w:sz w:val="24"/>
        </w:rPr>
        <w:t>The defence raised in respect of the AOD was formulated as follows in the defendants’ opposing affidavit:</w:t>
      </w:r>
    </w:p>
    <w:p w14:paraId="0638AB8A" w14:textId="5AF97E1F" w:rsidR="00920420" w:rsidRPr="005868C5" w:rsidRDefault="00920420" w:rsidP="00920420">
      <w:pPr>
        <w:pStyle w:val="Quote"/>
        <w:jc w:val="both"/>
        <w:rPr>
          <w:sz w:val="24"/>
          <w:szCs w:val="24"/>
        </w:rPr>
      </w:pPr>
      <w:r w:rsidRPr="005868C5">
        <w:rPr>
          <w:sz w:val="24"/>
          <w:szCs w:val="24"/>
        </w:rPr>
        <w:t>“3.2.</w:t>
      </w:r>
      <w:r w:rsidRPr="005868C5">
        <w:rPr>
          <w:sz w:val="24"/>
          <w:szCs w:val="24"/>
        </w:rPr>
        <w:tab/>
        <w:t>Capital must be expressly stipulated that on 7 November 2022 when I on behalf of the First Defendant signed the acknowledgement of debt in favour of the Plaintiff I was under the</w:t>
      </w:r>
      <w:r w:rsidR="005868C5" w:rsidRPr="005868C5">
        <w:rPr>
          <w:sz w:val="24"/>
          <w:szCs w:val="24"/>
        </w:rPr>
        <w:t xml:space="preserve"> bona fide</w:t>
      </w:r>
      <w:r w:rsidRPr="005868C5">
        <w:rPr>
          <w:sz w:val="24"/>
          <w:szCs w:val="24"/>
        </w:rPr>
        <w:t xml:space="preserve">, but mistaken belief and impression, </w:t>
      </w:r>
      <w:r w:rsidR="005868C5" w:rsidRPr="005868C5">
        <w:rPr>
          <w:sz w:val="24"/>
          <w:szCs w:val="24"/>
        </w:rPr>
        <w:t xml:space="preserve">that the amount </w:t>
      </w:r>
      <w:r w:rsidRPr="005868C5">
        <w:rPr>
          <w:sz w:val="24"/>
          <w:szCs w:val="24"/>
        </w:rPr>
        <w:t xml:space="preserve">claimed being </w:t>
      </w:r>
      <w:r w:rsidR="005868C5" w:rsidRPr="005868C5">
        <w:rPr>
          <w:sz w:val="24"/>
          <w:szCs w:val="24"/>
        </w:rPr>
        <w:t xml:space="preserve">R7,702,368.28 </w:t>
      </w:r>
      <w:r w:rsidRPr="005868C5">
        <w:rPr>
          <w:sz w:val="24"/>
          <w:szCs w:val="24"/>
        </w:rPr>
        <w:t>was due, owing payable.</w:t>
      </w:r>
    </w:p>
    <w:p w14:paraId="1EB70C5A" w14:textId="7A98C42F" w:rsidR="005868C5" w:rsidRPr="005868C5" w:rsidRDefault="00920420" w:rsidP="00920420">
      <w:pPr>
        <w:pStyle w:val="Quote"/>
        <w:jc w:val="both"/>
        <w:rPr>
          <w:sz w:val="24"/>
          <w:szCs w:val="24"/>
        </w:rPr>
      </w:pPr>
      <w:r w:rsidRPr="005868C5">
        <w:rPr>
          <w:sz w:val="24"/>
          <w:szCs w:val="24"/>
        </w:rPr>
        <w:t>.3.</w:t>
      </w:r>
      <w:r w:rsidRPr="005868C5">
        <w:rPr>
          <w:sz w:val="24"/>
          <w:szCs w:val="24"/>
        </w:rPr>
        <w:tab/>
        <w:t>The aforesaid impression was created as result of incorrect figures relating to various amounts allegedly due and payments claimed</w:t>
      </w:r>
      <w:r w:rsidR="005868C5" w:rsidRPr="005868C5">
        <w:rPr>
          <w:sz w:val="24"/>
          <w:szCs w:val="24"/>
        </w:rPr>
        <w:t xml:space="preserve"> which I was able to identify through the necessary cheques </w:t>
      </w:r>
      <w:r w:rsidR="005868C5" w:rsidRPr="005868C5">
        <w:rPr>
          <w:i w:val="0"/>
          <w:iCs w:val="0"/>
          <w:sz w:val="24"/>
          <w:szCs w:val="24"/>
        </w:rPr>
        <w:t>(sic)</w:t>
      </w:r>
      <w:r w:rsidR="005868C5" w:rsidRPr="005868C5">
        <w:rPr>
          <w:sz w:val="24"/>
          <w:szCs w:val="24"/>
        </w:rPr>
        <w:t xml:space="preserve"> and balances with the accounting division of the First Defendant.</w:t>
      </w:r>
    </w:p>
    <w:p w14:paraId="01B162D9" w14:textId="28D454F4" w:rsidR="00920420" w:rsidRPr="005868C5" w:rsidRDefault="005868C5" w:rsidP="00920420">
      <w:pPr>
        <w:pStyle w:val="Quote"/>
        <w:jc w:val="both"/>
        <w:rPr>
          <w:sz w:val="24"/>
          <w:szCs w:val="24"/>
        </w:rPr>
      </w:pPr>
      <w:r w:rsidRPr="005868C5">
        <w:rPr>
          <w:sz w:val="24"/>
          <w:szCs w:val="24"/>
        </w:rPr>
        <w:lastRenderedPageBreak/>
        <w:t>3.4.</w:t>
      </w:r>
      <w:r w:rsidRPr="005868C5">
        <w:rPr>
          <w:sz w:val="24"/>
          <w:szCs w:val="24"/>
        </w:rPr>
        <w:tab/>
        <w:t>Subsequent to the signing of the document I was however advised that the calculation is not correct at all and in the circumstances the claimed amount is disputed.”</w:t>
      </w:r>
    </w:p>
    <w:p w14:paraId="10F27728" w14:textId="640D9702" w:rsidR="005868C5" w:rsidRPr="00FC322F" w:rsidRDefault="00FC322F" w:rsidP="00FC322F">
      <w:pPr>
        <w:ind w:left="360" w:hanging="360"/>
        <w:jc w:val="both"/>
        <w:rPr>
          <w:sz w:val="24"/>
        </w:rPr>
      </w:pPr>
      <w:r>
        <w:rPr>
          <w:sz w:val="24"/>
        </w:rPr>
        <w:t>6.</w:t>
      </w:r>
      <w:r>
        <w:rPr>
          <w:sz w:val="24"/>
        </w:rPr>
        <w:tab/>
      </w:r>
      <w:r w:rsidR="00227699" w:rsidRPr="00FC322F">
        <w:rPr>
          <w:sz w:val="24"/>
        </w:rPr>
        <w:t xml:space="preserve">The </w:t>
      </w:r>
      <w:r w:rsidR="005868C5" w:rsidRPr="00FC322F">
        <w:rPr>
          <w:sz w:val="24"/>
        </w:rPr>
        <w:t>second defendant</w:t>
      </w:r>
      <w:r w:rsidR="00227699" w:rsidRPr="00FC322F">
        <w:rPr>
          <w:sz w:val="24"/>
        </w:rPr>
        <w:t>’s opposing affidavit</w:t>
      </w:r>
      <w:r w:rsidR="005868C5" w:rsidRPr="00FC322F">
        <w:rPr>
          <w:sz w:val="24"/>
        </w:rPr>
        <w:t xml:space="preserve"> alleged that the amount</w:t>
      </w:r>
      <w:r w:rsidR="004B154D" w:rsidRPr="00FC322F">
        <w:rPr>
          <w:sz w:val="24"/>
        </w:rPr>
        <w:t xml:space="preserve"> claimed </w:t>
      </w:r>
      <w:r w:rsidR="005868C5" w:rsidRPr="00FC322F">
        <w:rPr>
          <w:sz w:val="24"/>
        </w:rPr>
        <w:t xml:space="preserve">is disputed on the </w:t>
      </w:r>
      <w:r w:rsidR="00227699" w:rsidRPr="00FC322F">
        <w:rPr>
          <w:sz w:val="24"/>
        </w:rPr>
        <w:t>following grounds and thereafter provided some amplification</w:t>
      </w:r>
      <w:r w:rsidR="005868C5" w:rsidRPr="00FC322F">
        <w:rPr>
          <w:sz w:val="24"/>
        </w:rPr>
        <w:t>:</w:t>
      </w:r>
    </w:p>
    <w:p w14:paraId="2A15D317" w14:textId="7FAF5116" w:rsidR="005868C5" w:rsidRPr="00FC322F" w:rsidRDefault="00FC322F" w:rsidP="00FC322F">
      <w:pPr>
        <w:ind w:left="792" w:hanging="432"/>
        <w:jc w:val="both"/>
        <w:rPr>
          <w:i/>
          <w:iCs/>
          <w:sz w:val="24"/>
        </w:rPr>
      </w:pPr>
      <w:r w:rsidRPr="005868C5">
        <w:rPr>
          <w:i/>
          <w:iCs/>
          <w:sz w:val="24"/>
        </w:rPr>
        <w:t>6.1.</w:t>
      </w:r>
      <w:r w:rsidRPr="005868C5">
        <w:rPr>
          <w:i/>
          <w:iCs/>
          <w:sz w:val="24"/>
        </w:rPr>
        <w:tab/>
      </w:r>
      <w:r w:rsidR="005868C5" w:rsidRPr="00FC322F">
        <w:rPr>
          <w:sz w:val="24"/>
        </w:rPr>
        <w:t>“</w:t>
      </w:r>
      <w:r w:rsidR="005868C5" w:rsidRPr="00FC322F">
        <w:rPr>
          <w:i/>
          <w:iCs/>
          <w:sz w:val="24"/>
        </w:rPr>
        <w:t>No contractual basis for s</w:t>
      </w:r>
      <w:r w:rsidR="006F31C5" w:rsidRPr="00FC322F">
        <w:rPr>
          <w:i/>
          <w:iCs/>
          <w:sz w:val="24"/>
        </w:rPr>
        <w:t>ta</w:t>
      </w:r>
      <w:r w:rsidR="005868C5" w:rsidRPr="00FC322F">
        <w:rPr>
          <w:i/>
          <w:iCs/>
          <w:sz w:val="24"/>
        </w:rPr>
        <w:t>nding time claim”;</w:t>
      </w:r>
    </w:p>
    <w:p w14:paraId="1122D703" w14:textId="72FF5ACD" w:rsidR="005868C5" w:rsidRPr="00FC322F" w:rsidRDefault="00FC322F" w:rsidP="00FC322F">
      <w:pPr>
        <w:ind w:left="792" w:hanging="432"/>
        <w:jc w:val="both"/>
        <w:rPr>
          <w:i/>
          <w:iCs/>
          <w:sz w:val="24"/>
        </w:rPr>
      </w:pPr>
      <w:r w:rsidRPr="005868C5">
        <w:rPr>
          <w:i/>
          <w:iCs/>
          <w:sz w:val="24"/>
        </w:rPr>
        <w:t>6.2.</w:t>
      </w:r>
      <w:r w:rsidRPr="005868C5">
        <w:rPr>
          <w:i/>
          <w:iCs/>
          <w:sz w:val="24"/>
        </w:rPr>
        <w:tab/>
      </w:r>
      <w:r w:rsidR="005868C5" w:rsidRPr="00FC322F">
        <w:rPr>
          <w:i/>
          <w:iCs/>
          <w:sz w:val="24"/>
        </w:rPr>
        <w:t xml:space="preserve">“No contractual basis for </w:t>
      </w:r>
      <w:r w:rsidR="006F31C5" w:rsidRPr="00FC322F">
        <w:rPr>
          <w:i/>
          <w:iCs/>
          <w:sz w:val="24"/>
        </w:rPr>
        <w:t>ret</w:t>
      </w:r>
      <w:r w:rsidR="005868C5" w:rsidRPr="00FC322F">
        <w:rPr>
          <w:i/>
          <w:iCs/>
          <w:sz w:val="24"/>
        </w:rPr>
        <w:t>ention</w:t>
      </w:r>
      <w:r w:rsidR="006F31C5" w:rsidRPr="00FC322F">
        <w:rPr>
          <w:i/>
          <w:iCs/>
          <w:sz w:val="24"/>
        </w:rPr>
        <w:t xml:space="preserve"> claims”</w:t>
      </w:r>
      <w:r w:rsidR="005868C5" w:rsidRPr="00FC322F">
        <w:rPr>
          <w:i/>
          <w:iCs/>
          <w:sz w:val="24"/>
        </w:rPr>
        <w:t>;</w:t>
      </w:r>
    </w:p>
    <w:p w14:paraId="60075B9E" w14:textId="008C124E" w:rsidR="005868C5" w:rsidRPr="00FC322F" w:rsidRDefault="00FC322F" w:rsidP="00FC322F">
      <w:pPr>
        <w:ind w:left="792" w:hanging="432"/>
        <w:jc w:val="both"/>
        <w:rPr>
          <w:sz w:val="24"/>
        </w:rPr>
      </w:pPr>
      <w:r>
        <w:rPr>
          <w:sz w:val="24"/>
        </w:rPr>
        <w:t>6.3.</w:t>
      </w:r>
      <w:r>
        <w:rPr>
          <w:sz w:val="24"/>
        </w:rPr>
        <w:tab/>
      </w:r>
      <w:r w:rsidR="005868C5" w:rsidRPr="00FC322F">
        <w:rPr>
          <w:i/>
          <w:iCs/>
          <w:sz w:val="24"/>
        </w:rPr>
        <w:t>“Various bulk services payments made on behalf the Plaintiff by the First Defendant which must be credited</w:t>
      </w:r>
      <w:r w:rsidR="005868C5" w:rsidRPr="00FC322F">
        <w:rPr>
          <w:sz w:val="24"/>
        </w:rPr>
        <w:t>”;</w:t>
      </w:r>
    </w:p>
    <w:p w14:paraId="564DA1EE" w14:textId="04C3C5B6" w:rsidR="005868C5" w:rsidRPr="00FC322F" w:rsidRDefault="00FC322F" w:rsidP="00FC322F">
      <w:pPr>
        <w:ind w:left="792" w:hanging="432"/>
        <w:jc w:val="both"/>
        <w:rPr>
          <w:sz w:val="24"/>
        </w:rPr>
      </w:pPr>
      <w:r>
        <w:rPr>
          <w:sz w:val="24"/>
        </w:rPr>
        <w:t>6.4.</w:t>
      </w:r>
      <w:r>
        <w:rPr>
          <w:sz w:val="24"/>
        </w:rPr>
        <w:tab/>
      </w:r>
      <w:r w:rsidR="005868C5" w:rsidRPr="00FC322F">
        <w:rPr>
          <w:i/>
          <w:iCs/>
          <w:sz w:val="24"/>
        </w:rPr>
        <w:t>“Exceptio errore calculi”</w:t>
      </w:r>
      <w:r w:rsidR="005868C5" w:rsidRPr="00FC322F">
        <w:rPr>
          <w:sz w:val="24"/>
        </w:rPr>
        <w:t>.</w:t>
      </w:r>
    </w:p>
    <w:p w14:paraId="01CFBB6A" w14:textId="4AB875B7" w:rsidR="007573A2" w:rsidRPr="00FC322F" w:rsidRDefault="00FC322F" w:rsidP="00FC322F">
      <w:pPr>
        <w:ind w:left="360" w:hanging="360"/>
        <w:jc w:val="both"/>
        <w:rPr>
          <w:sz w:val="24"/>
        </w:rPr>
      </w:pPr>
      <w:r>
        <w:rPr>
          <w:sz w:val="24"/>
        </w:rPr>
        <w:t>7.</w:t>
      </w:r>
      <w:r>
        <w:rPr>
          <w:sz w:val="24"/>
        </w:rPr>
        <w:tab/>
      </w:r>
      <w:r w:rsidR="007573A2" w:rsidRPr="00FC322F">
        <w:rPr>
          <w:sz w:val="24"/>
        </w:rPr>
        <w:t xml:space="preserve">For reasons explained more fully below, the </w:t>
      </w:r>
      <w:r w:rsidR="00227699" w:rsidRPr="00FC322F">
        <w:rPr>
          <w:sz w:val="24"/>
        </w:rPr>
        <w:t xml:space="preserve">opposing affidavit </w:t>
      </w:r>
      <w:r w:rsidR="00B61AFA" w:rsidRPr="00FC322F">
        <w:rPr>
          <w:sz w:val="24"/>
        </w:rPr>
        <w:t>does not</w:t>
      </w:r>
      <w:r w:rsidR="007573A2" w:rsidRPr="00FC322F">
        <w:rPr>
          <w:sz w:val="24"/>
        </w:rPr>
        <w:t>, in my view,</w:t>
      </w:r>
      <w:r w:rsidR="00B61AFA" w:rsidRPr="00FC322F">
        <w:rPr>
          <w:sz w:val="24"/>
        </w:rPr>
        <w:t xml:space="preserve"> disclose </w:t>
      </w:r>
      <w:r w:rsidR="006F31C5" w:rsidRPr="00FC322F">
        <w:rPr>
          <w:sz w:val="24"/>
        </w:rPr>
        <w:t>a valid defence in law</w:t>
      </w:r>
      <w:r w:rsidR="007573A2" w:rsidRPr="00FC322F">
        <w:rPr>
          <w:sz w:val="24"/>
        </w:rPr>
        <w:t xml:space="preserve">. </w:t>
      </w:r>
    </w:p>
    <w:p w14:paraId="2BD61DEC" w14:textId="5AFCDB29" w:rsidR="006F31C5" w:rsidRPr="00FC322F" w:rsidRDefault="00FC322F" w:rsidP="00FC322F">
      <w:pPr>
        <w:ind w:left="360" w:hanging="360"/>
        <w:jc w:val="both"/>
        <w:rPr>
          <w:sz w:val="24"/>
        </w:rPr>
      </w:pPr>
      <w:r>
        <w:rPr>
          <w:sz w:val="24"/>
        </w:rPr>
        <w:t>8.</w:t>
      </w:r>
      <w:r>
        <w:rPr>
          <w:sz w:val="24"/>
        </w:rPr>
        <w:tab/>
      </w:r>
      <w:r w:rsidR="007573A2" w:rsidRPr="00FC322F">
        <w:rPr>
          <w:sz w:val="24"/>
        </w:rPr>
        <w:t>In the Plaintiff’s heads of argument reliance was placed,</w:t>
      </w:r>
      <w:r w:rsidR="00B944C9" w:rsidRPr="00FC322F">
        <w:rPr>
          <w:sz w:val="24"/>
        </w:rPr>
        <w:t xml:space="preserve"> </w:t>
      </w:r>
      <w:r w:rsidR="00B944C9" w:rsidRPr="00FC322F">
        <w:rPr>
          <w:i/>
          <w:iCs/>
          <w:sz w:val="24"/>
        </w:rPr>
        <w:t>inter alia</w:t>
      </w:r>
      <w:r w:rsidR="00B944C9" w:rsidRPr="00FC322F">
        <w:rPr>
          <w:sz w:val="24"/>
        </w:rPr>
        <w:t xml:space="preserve">, </w:t>
      </w:r>
      <w:r w:rsidR="007573A2" w:rsidRPr="00FC322F">
        <w:rPr>
          <w:sz w:val="24"/>
        </w:rPr>
        <w:t xml:space="preserve">on </w:t>
      </w:r>
      <w:r w:rsidR="00B944C9" w:rsidRPr="00FC322F">
        <w:rPr>
          <w:sz w:val="24"/>
        </w:rPr>
        <w:t>the</w:t>
      </w:r>
      <w:r w:rsidR="007573A2" w:rsidRPr="00FC322F">
        <w:rPr>
          <w:sz w:val="24"/>
        </w:rPr>
        <w:t xml:space="preserve"> applicable legal principles conveniently set out in the</w:t>
      </w:r>
      <w:r w:rsidR="00B944C9" w:rsidRPr="00FC322F">
        <w:rPr>
          <w:sz w:val="24"/>
        </w:rPr>
        <w:t xml:space="preserve"> following passages </w:t>
      </w:r>
      <w:r w:rsidR="004C4795" w:rsidRPr="00FC322F">
        <w:rPr>
          <w:sz w:val="24"/>
        </w:rPr>
        <w:t>from</w:t>
      </w:r>
      <w:r w:rsidR="00B61AFA" w:rsidRPr="00FC322F">
        <w:rPr>
          <w:sz w:val="24"/>
        </w:rPr>
        <w:t xml:space="preserve"> </w:t>
      </w:r>
      <w:r w:rsidR="00B61AFA" w:rsidRPr="00FC322F">
        <w:rPr>
          <w:sz w:val="24"/>
          <w:u w:val="single"/>
        </w:rPr>
        <w:t>George v Fairmead (Pty) Ltd</w:t>
      </w:r>
      <w:r w:rsidR="00707594" w:rsidRPr="00FC322F">
        <w:rPr>
          <w:sz w:val="24"/>
        </w:rPr>
        <w:t xml:space="preserve"> 1958 (2) SA 465 (A)</w:t>
      </w:r>
      <w:r w:rsidR="00273FDC" w:rsidRPr="00FC322F">
        <w:rPr>
          <w:sz w:val="24"/>
        </w:rPr>
        <w:t>:</w:t>
      </w:r>
    </w:p>
    <w:p w14:paraId="73BF9C07" w14:textId="6AB81B31" w:rsidR="004C4795" w:rsidRDefault="004C4795" w:rsidP="004C4795">
      <w:pPr>
        <w:pStyle w:val="Quote"/>
        <w:jc w:val="both"/>
      </w:pPr>
      <w:r>
        <w:t>“– – when the document was put in evidence and the appellant's signature to it was admitted, the onus resting on the respondent was discharged unless the evidence also disclosed some fact which in law entitled the appellant to repudiate the document. If the action had been brought in the Supreme Court, where the Rules would have required the filing of a replication, an admission of the signing of the document in the replication would have necessitated the pleading of some further fact by reason of which the appellant was not bound by it, and the onus of proving that further fact would clearly have rested on the appellant.</w:t>
      </w:r>
    </w:p>
    <w:p w14:paraId="18D1B168" w14:textId="77777777" w:rsidR="004C4795" w:rsidRDefault="004C4795" w:rsidP="004C4795">
      <w:pPr>
        <w:pStyle w:val="Quote"/>
        <w:jc w:val="both"/>
      </w:pPr>
      <w:r>
        <w:t>In Burger v Central South African Railways, 1903 T.S. 571, INNES, C.J., said at p. 578:</w:t>
      </w:r>
    </w:p>
    <w:p w14:paraId="59A67F13" w14:textId="4EACF300" w:rsidR="00273FDC" w:rsidRDefault="004C4795" w:rsidP="004C4795">
      <w:pPr>
        <w:pStyle w:val="Quote"/>
        <w:ind w:left="1440"/>
        <w:jc w:val="both"/>
      </w:pPr>
      <w:r>
        <w:t xml:space="preserve">'It is a sound principle of law that a man, when he signs a contract, is taken to be bound by the ordinary meaning and effect of the words which appear over his signature. There are, of course, grounds upon which he may repudiate a document to which he had put his hand. But no such grounds have been shown to exist in the present case. Consider the circumstances under which this note was signed. Neither fraud nor misrepresentation has been alleged; nothing was </w:t>
      </w:r>
      <w:r>
        <w:lastRenderedPageBreak/>
        <w:t>said by any railway official which misled the signatory; the language of the document was one which the consignor understood; no pressure of any kind was exercised. All that can be said is that the consignor did not choose to read what he was signing, and after he had signed did not know the particulars of the regulations by which he had agreed to abide. For the Court to hold upon these facts that the appellant is legally justified in repudiating his signature would be a decision involving far-reaching consequences, and it would be a principle unsupported by any principle of our law. The mistake or error of the signatory in the present case was not such justus error as would entitle him to claim a restitution in integrum, or as could be successfully pleaded as a defence to an action founded upon the written contract, and therefore it cannot be used for the purpose of attacking that contract when the railway seeks to rely upon it.'</w:t>
      </w:r>
      <w:r>
        <w:rPr>
          <w:rStyle w:val="FootnoteReference"/>
        </w:rPr>
        <w:footnoteReference w:id="1"/>
      </w:r>
    </w:p>
    <w:p w14:paraId="5AF4BC13" w14:textId="18481C9B" w:rsidR="004C4795" w:rsidRPr="004C4795" w:rsidRDefault="004C4795" w:rsidP="004C4795">
      <w:pPr>
        <w:ind w:left="720"/>
      </w:pPr>
      <w:r>
        <w:t>– – –</w:t>
      </w:r>
    </w:p>
    <w:p w14:paraId="0F17C55A" w14:textId="5BF334EB" w:rsidR="004C4795" w:rsidRDefault="004C4795" w:rsidP="004C4795">
      <w:pPr>
        <w:ind w:left="720"/>
        <w:jc w:val="both"/>
        <w:rPr>
          <w:i/>
          <w:iCs/>
        </w:rPr>
      </w:pPr>
      <w:r w:rsidRPr="004C4795">
        <w:rPr>
          <w:i/>
          <w:iCs/>
        </w:rPr>
        <w:t>“When can an error be said to be justus for the purpose of entitling a man to repudiate his apparent assent to a contractual term? As I read the decisions, our Courts, in applying the test, have taken into account the fact that there is another party involved and have considered his position. They have, in effect, said: Has the first party - the one who is trying to resile - been to blame in the sense that by his conduct he has led the other party, as a reasonable man, to believe that he was binding himself? (vide Logan v Beit, 7 S.C. 197; I. Pieters &amp; Company v Salomon, 1911 AD 121 esp. at pp. 130, 137; van Ryn Wine and Spirit Company v Chandos Bar. 1928 T.P.D. 417, esp. at pp. 422, 423, 424; Hodgson Bros v South African Railways, 1928 CPD 257 at p. 261). If his mistake is due to a misrepresentation, whether innocent or fraudulent, by the other party, then, of course, it is the second party who is to blame and the first party is not bound.</w:t>
      </w:r>
      <w:r>
        <w:rPr>
          <w:rStyle w:val="FootnoteReference"/>
          <w:i/>
          <w:iCs/>
        </w:rPr>
        <w:footnoteReference w:id="2"/>
      </w:r>
    </w:p>
    <w:p w14:paraId="03ED5F25" w14:textId="503B1CE3" w:rsidR="004C4795" w:rsidRDefault="004C4795" w:rsidP="004C4795">
      <w:pPr>
        <w:ind w:left="720"/>
        <w:jc w:val="both"/>
        <w:rPr>
          <w:i/>
          <w:iCs/>
        </w:rPr>
      </w:pPr>
      <w:r>
        <w:rPr>
          <w:i/>
          <w:iCs/>
        </w:rPr>
        <w:t>– – –</w:t>
      </w:r>
    </w:p>
    <w:p w14:paraId="4E676594" w14:textId="644279A7" w:rsidR="004C4795" w:rsidRPr="004C4795" w:rsidRDefault="004C4795" w:rsidP="004C4795">
      <w:pPr>
        <w:ind w:left="720"/>
        <w:jc w:val="both"/>
        <w:rPr>
          <w:i/>
          <w:iCs/>
        </w:rPr>
      </w:pPr>
      <w:r>
        <w:rPr>
          <w:i/>
          <w:iCs/>
        </w:rPr>
        <w:t>“”</w:t>
      </w:r>
      <w:r w:rsidRPr="004C4795">
        <w:rPr>
          <w:i/>
          <w:iCs/>
        </w:rPr>
        <w:t>When a man is asked to put his signature to a document he cannot fail to realise that he is called upon to signify, by doing so, his assent to whatever words appear above his signature. In cases of the type of which the three I have mentioned are examples, the party who seeks relief must convince the Court that he was misled as to the purport of the words to which he was thus signifying his assent. That must, in each case, be a question of fact, to be decided on all the evidence led in that particular case.</w:t>
      </w:r>
      <w:r>
        <w:rPr>
          <w:i/>
          <w:iCs/>
        </w:rPr>
        <w:t>”</w:t>
      </w:r>
      <w:r>
        <w:rPr>
          <w:rStyle w:val="FootnoteReference"/>
          <w:i/>
          <w:iCs/>
        </w:rPr>
        <w:footnoteReference w:id="3"/>
      </w:r>
    </w:p>
    <w:p w14:paraId="7046E695" w14:textId="17B699CF" w:rsidR="0097413A" w:rsidRPr="00FC322F" w:rsidRDefault="00FC322F" w:rsidP="00FC322F">
      <w:pPr>
        <w:ind w:left="360" w:hanging="360"/>
        <w:jc w:val="both"/>
        <w:rPr>
          <w:sz w:val="24"/>
        </w:rPr>
      </w:pPr>
      <w:r>
        <w:rPr>
          <w:sz w:val="24"/>
        </w:rPr>
        <w:t>9.</w:t>
      </w:r>
      <w:r>
        <w:rPr>
          <w:sz w:val="24"/>
        </w:rPr>
        <w:tab/>
      </w:r>
      <w:r w:rsidR="0097413A" w:rsidRPr="00FC322F">
        <w:rPr>
          <w:sz w:val="24"/>
        </w:rPr>
        <w:t xml:space="preserve">In </w:t>
      </w:r>
      <w:r w:rsidR="004C4795" w:rsidRPr="00FC322F">
        <w:rPr>
          <w:sz w:val="24"/>
        </w:rPr>
        <w:t xml:space="preserve">the present case </w:t>
      </w:r>
      <w:r w:rsidR="0097413A" w:rsidRPr="00FC322F">
        <w:rPr>
          <w:sz w:val="24"/>
        </w:rPr>
        <w:t>the second defendant</w:t>
      </w:r>
      <w:r w:rsidR="00C0728A" w:rsidRPr="00FC322F">
        <w:rPr>
          <w:sz w:val="24"/>
        </w:rPr>
        <w:t>,</w:t>
      </w:r>
      <w:r w:rsidR="0097413A" w:rsidRPr="00FC322F">
        <w:rPr>
          <w:sz w:val="24"/>
        </w:rPr>
        <w:t xml:space="preserve"> having admitted </w:t>
      </w:r>
      <w:r w:rsidR="00227699" w:rsidRPr="00FC322F">
        <w:rPr>
          <w:sz w:val="24"/>
        </w:rPr>
        <w:t xml:space="preserve">the </w:t>
      </w:r>
      <w:r w:rsidR="0097413A" w:rsidRPr="00FC322F">
        <w:rPr>
          <w:sz w:val="24"/>
        </w:rPr>
        <w:t xml:space="preserve">signature on the AOD, failed to set out any facts which would amount to </w:t>
      </w:r>
      <w:r w:rsidR="0097413A" w:rsidRPr="00FC322F">
        <w:rPr>
          <w:i/>
          <w:iCs/>
          <w:sz w:val="24"/>
        </w:rPr>
        <w:t>justus error</w:t>
      </w:r>
      <w:r w:rsidR="0097413A" w:rsidRPr="00FC322F">
        <w:rPr>
          <w:sz w:val="24"/>
        </w:rPr>
        <w:t xml:space="preserve"> as required by the </w:t>
      </w:r>
      <w:r w:rsidR="0097413A" w:rsidRPr="00FC322F">
        <w:rPr>
          <w:sz w:val="24"/>
        </w:rPr>
        <w:lastRenderedPageBreak/>
        <w:t>authorities</w:t>
      </w:r>
      <w:r w:rsidR="00C0728A" w:rsidRPr="00FC322F">
        <w:rPr>
          <w:sz w:val="24"/>
        </w:rPr>
        <w:t xml:space="preserve"> as conveniently set out in the above-mentioned passages from</w:t>
      </w:r>
      <w:r w:rsidR="00C0728A" w:rsidRPr="00FC322F">
        <w:rPr>
          <w:sz w:val="24"/>
          <w:u w:val="single"/>
        </w:rPr>
        <w:t xml:space="preserve"> George v Fairmead (Pty) Ltd</w:t>
      </w:r>
      <w:r w:rsidR="00C0728A" w:rsidRPr="00FC322F">
        <w:rPr>
          <w:sz w:val="24"/>
        </w:rPr>
        <w:t xml:space="preserve"> (supra)</w:t>
      </w:r>
      <w:r w:rsidR="0097413A" w:rsidRPr="00FC322F">
        <w:rPr>
          <w:sz w:val="24"/>
        </w:rPr>
        <w:t>.  He merely relies upon his own alleged mistaken belief.</w:t>
      </w:r>
    </w:p>
    <w:p w14:paraId="5E0DC513" w14:textId="40C86056" w:rsidR="00CA35BD" w:rsidRPr="00FC322F" w:rsidRDefault="00FC322F" w:rsidP="00FC322F">
      <w:pPr>
        <w:ind w:left="360" w:hanging="360"/>
        <w:jc w:val="both"/>
        <w:rPr>
          <w:sz w:val="24"/>
        </w:rPr>
      </w:pPr>
      <w:r>
        <w:rPr>
          <w:sz w:val="24"/>
        </w:rPr>
        <w:t>10.</w:t>
      </w:r>
      <w:r>
        <w:rPr>
          <w:sz w:val="24"/>
        </w:rPr>
        <w:tab/>
      </w:r>
      <w:r w:rsidR="0097413A" w:rsidRPr="00FC322F">
        <w:rPr>
          <w:sz w:val="24"/>
        </w:rPr>
        <w:t>Besides</w:t>
      </w:r>
      <w:r w:rsidR="00F8526E" w:rsidRPr="00FC322F">
        <w:rPr>
          <w:sz w:val="24"/>
        </w:rPr>
        <w:t xml:space="preserve"> and in any event</w:t>
      </w:r>
      <w:r w:rsidR="0097413A" w:rsidRPr="00FC322F">
        <w:rPr>
          <w:sz w:val="24"/>
        </w:rPr>
        <w:t xml:space="preserve">, even the </w:t>
      </w:r>
      <w:r w:rsidR="00F8526E" w:rsidRPr="00FC322F">
        <w:rPr>
          <w:sz w:val="24"/>
        </w:rPr>
        <w:t xml:space="preserve">underlying </w:t>
      </w:r>
      <w:r w:rsidR="0097413A" w:rsidRPr="00FC322F">
        <w:rPr>
          <w:sz w:val="24"/>
        </w:rPr>
        <w:t>contractual basis</w:t>
      </w:r>
      <w:r w:rsidR="00F8526E" w:rsidRPr="00FC322F">
        <w:rPr>
          <w:sz w:val="24"/>
        </w:rPr>
        <w:t xml:space="preserve"> relied upon as providing the basis for the second defendant’s alleged erroneous calculation is without substance</w:t>
      </w:r>
      <w:r w:rsidR="00CA35BD" w:rsidRPr="00FC322F">
        <w:rPr>
          <w:sz w:val="24"/>
        </w:rPr>
        <w:t xml:space="preserve">: </w:t>
      </w:r>
    </w:p>
    <w:p w14:paraId="7687A3C7" w14:textId="350E540D" w:rsidR="0097413A" w:rsidRPr="00FC322F" w:rsidRDefault="00FC322F" w:rsidP="00FC322F">
      <w:pPr>
        <w:ind w:left="792" w:hanging="432"/>
        <w:jc w:val="both"/>
        <w:rPr>
          <w:sz w:val="24"/>
        </w:rPr>
      </w:pPr>
      <w:r>
        <w:rPr>
          <w:sz w:val="24"/>
        </w:rPr>
        <w:t>10.1.</w:t>
      </w:r>
      <w:r>
        <w:rPr>
          <w:sz w:val="24"/>
        </w:rPr>
        <w:tab/>
      </w:r>
      <w:r w:rsidR="00CA35BD" w:rsidRPr="00FC322F">
        <w:rPr>
          <w:sz w:val="24"/>
        </w:rPr>
        <w:t>firstly, with regard to standing time, h</w:t>
      </w:r>
      <w:r w:rsidR="00F8526E" w:rsidRPr="00FC322F">
        <w:rPr>
          <w:sz w:val="24"/>
        </w:rPr>
        <w:t>e states that no basis exists in any of the underlying service level agreements</w:t>
      </w:r>
      <w:r w:rsidR="008D7240" w:rsidRPr="00FC322F">
        <w:rPr>
          <w:sz w:val="24"/>
        </w:rPr>
        <w:t xml:space="preserve"> entitling the plaintiff to claim </w:t>
      </w:r>
      <w:r w:rsidR="00F8526E" w:rsidRPr="00FC322F">
        <w:rPr>
          <w:sz w:val="24"/>
        </w:rPr>
        <w:t>standing time</w:t>
      </w:r>
      <w:r w:rsidR="008D7240" w:rsidRPr="00FC322F">
        <w:rPr>
          <w:sz w:val="24"/>
        </w:rPr>
        <w:t xml:space="preserve"> and that </w:t>
      </w:r>
      <w:r w:rsidR="008D7240" w:rsidRPr="00FC322F">
        <w:rPr>
          <w:i/>
          <w:iCs/>
          <w:sz w:val="24"/>
        </w:rPr>
        <w:t>“clause 5.2 expressly indemnify</w:t>
      </w:r>
      <w:r w:rsidR="00F5381F" w:rsidRPr="00FC322F">
        <w:rPr>
          <w:sz w:val="24"/>
        </w:rPr>
        <w:t xml:space="preserve"> (sic)</w:t>
      </w:r>
      <w:r w:rsidR="008D7240" w:rsidRPr="00FC322F">
        <w:rPr>
          <w:i/>
          <w:iCs/>
          <w:sz w:val="24"/>
        </w:rPr>
        <w:t xml:space="preserve"> parties to claims of this nature”</w:t>
      </w:r>
      <w:r w:rsidR="008D7240" w:rsidRPr="00FC322F">
        <w:rPr>
          <w:sz w:val="24"/>
        </w:rPr>
        <w:t>.</w:t>
      </w:r>
      <w:r w:rsidR="00F5381F" w:rsidRPr="00FC322F">
        <w:rPr>
          <w:sz w:val="24"/>
        </w:rPr>
        <w:t xml:space="preserve"> </w:t>
      </w:r>
      <w:r w:rsidR="00C0728A" w:rsidRPr="00FC322F">
        <w:rPr>
          <w:sz w:val="24"/>
        </w:rPr>
        <w:t xml:space="preserve"> </w:t>
      </w:r>
      <w:r w:rsidR="00F5381F" w:rsidRPr="00FC322F">
        <w:rPr>
          <w:sz w:val="24"/>
        </w:rPr>
        <w:t xml:space="preserve">But that is not correct.  Clause 2.5 </w:t>
      </w:r>
      <w:r w:rsidR="00C0728A" w:rsidRPr="00FC322F">
        <w:rPr>
          <w:sz w:val="24"/>
        </w:rPr>
        <w:t>does not deal with standing time at all. It reads</w:t>
      </w:r>
      <w:r w:rsidR="00F5381F" w:rsidRPr="00FC322F">
        <w:rPr>
          <w:sz w:val="24"/>
        </w:rPr>
        <w:t>: “</w:t>
      </w:r>
      <w:r w:rsidR="00F5381F" w:rsidRPr="00FC322F">
        <w:rPr>
          <w:i/>
          <w:iCs/>
          <w:sz w:val="24"/>
        </w:rPr>
        <w:t>Unless otherwise provided in any further written Agreement, neither Party shall be liable to the other</w:t>
      </w:r>
      <w:r w:rsidR="00CA35BD" w:rsidRPr="00FC322F">
        <w:rPr>
          <w:i/>
          <w:iCs/>
          <w:sz w:val="24"/>
        </w:rPr>
        <w:t xml:space="preserve"> for any indirect, consequential, special, incidental or punitive damages, including without limitation, loss of use or loss of business, revenue, profits, anticipated savings, reputation and goodwill arising connection with the Scope of Works or Services.</w:t>
      </w:r>
      <w:r w:rsidR="00CA35BD" w:rsidRPr="00FC322F">
        <w:rPr>
          <w:sz w:val="24"/>
        </w:rPr>
        <w:t>”</w:t>
      </w:r>
    </w:p>
    <w:p w14:paraId="2DCD7D93" w14:textId="6209A4A7" w:rsidR="00462DE5" w:rsidRPr="00FC322F" w:rsidRDefault="00FC322F" w:rsidP="00FC322F">
      <w:pPr>
        <w:ind w:left="792" w:hanging="432"/>
        <w:jc w:val="both"/>
        <w:rPr>
          <w:sz w:val="24"/>
        </w:rPr>
      </w:pPr>
      <w:r>
        <w:rPr>
          <w:sz w:val="24"/>
        </w:rPr>
        <w:t>10.2.</w:t>
      </w:r>
      <w:r>
        <w:rPr>
          <w:sz w:val="24"/>
        </w:rPr>
        <w:tab/>
      </w:r>
      <w:r w:rsidR="00CA35BD" w:rsidRPr="00FC322F">
        <w:rPr>
          <w:sz w:val="24"/>
        </w:rPr>
        <w:t>secondly, with regard to retention, he states: “</w:t>
      </w:r>
      <w:r w:rsidR="00CA35BD" w:rsidRPr="00FC322F">
        <w:rPr>
          <w:i/>
          <w:iCs/>
          <w:sz w:val="24"/>
        </w:rPr>
        <w:t xml:space="preserve">The claim amount was calculated to include retention payments, which basis can only be found in the GCC (Clause 6.10.5). When considering these provisions, it is clear that these retention amounts only becomes </w:t>
      </w:r>
      <w:r w:rsidR="00CF5A35" w:rsidRPr="00FC322F">
        <w:rPr>
          <w:sz w:val="24"/>
        </w:rPr>
        <w:t xml:space="preserve">(sic) </w:t>
      </w:r>
      <w:r w:rsidR="00CA35BD" w:rsidRPr="00FC322F">
        <w:rPr>
          <w:i/>
          <w:iCs/>
          <w:sz w:val="24"/>
        </w:rPr>
        <w:t>due when a Final Approval Certificate is issued in terms of Clause 6.10.5.3. This Final Approval Certificate has not been issued in the circumstances claims for these retention amounts are premature and not yet due owing and payable</w:t>
      </w:r>
      <w:r w:rsidR="00CA35BD" w:rsidRPr="00FC322F">
        <w:rPr>
          <w:sz w:val="24"/>
        </w:rPr>
        <w:t>.”</w:t>
      </w:r>
      <w:r w:rsidR="00D47D5E" w:rsidRPr="00FC322F">
        <w:rPr>
          <w:sz w:val="24"/>
        </w:rPr>
        <w:t xml:space="preserve"> </w:t>
      </w:r>
      <w:r w:rsidR="00462DE5" w:rsidRPr="00FC322F">
        <w:rPr>
          <w:sz w:val="24"/>
        </w:rPr>
        <w:t>But t</w:t>
      </w:r>
      <w:r w:rsidR="00D47D5E" w:rsidRPr="00FC322F">
        <w:rPr>
          <w:sz w:val="24"/>
        </w:rPr>
        <w:t>his</w:t>
      </w:r>
      <w:r w:rsidR="0012339B" w:rsidRPr="00FC322F">
        <w:rPr>
          <w:sz w:val="24"/>
        </w:rPr>
        <w:t xml:space="preserve"> is </w:t>
      </w:r>
      <w:r w:rsidR="00D47D5E" w:rsidRPr="00FC322F">
        <w:rPr>
          <w:sz w:val="24"/>
        </w:rPr>
        <w:t>also not correct.</w:t>
      </w:r>
      <w:r w:rsidR="00462DE5" w:rsidRPr="00FC322F">
        <w:rPr>
          <w:sz w:val="24"/>
        </w:rPr>
        <w:t xml:space="preserve"> The second defendant’s version is contradicted by retention certificate 15 attached as annexure </w:t>
      </w:r>
      <w:r w:rsidR="00462DE5" w:rsidRPr="00FC322F">
        <w:rPr>
          <w:b/>
          <w:bCs/>
          <w:sz w:val="24"/>
        </w:rPr>
        <w:t>RA 4</w:t>
      </w:r>
      <w:r w:rsidR="00462DE5" w:rsidRPr="00FC322F">
        <w:rPr>
          <w:sz w:val="24"/>
        </w:rPr>
        <w:t xml:space="preserve"> to the plaintiff’s replying affidavit,</w:t>
      </w:r>
      <w:r w:rsidR="00563537" w:rsidRPr="00FC322F">
        <w:rPr>
          <w:sz w:val="24"/>
        </w:rPr>
        <w:t xml:space="preserve"> which contains the </w:t>
      </w:r>
      <w:r w:rsidR="00462DE5" w:rsidRPr="00FC322F">
        <w:rPr>
          <w:sz w:val="24"/>
        </w:rPr>
        <w:t>second</w:t>
      </w:r>
      <w:r w:rsidR="0012339B" w:rsidRPr="00FC322F">
        <w:rPr>
          <w:sz w:val="24"/>
        </w:rPr>
        <w:t xml:space="preserve"> defendant’s </w:t>
      </w:r>
      <w:r w:rsidR="00563537" w:rsidRPr="00FC322F">
        <w:rPr>
          <w:sz w:val="24"/>
        </w:rPr>
        <w:t xml:space="preserve">signature acknowledging that the retention invoice is correct and payable and on which the amounts and due dates were inserted in manuscript by second defendant; </w:t>
      </w:r>
    </w:p>
    <w:p w14:paraId="068412D9" w14:textId="2AD5DFAF" w:rsidR="00563537" w:rsidRPr="00FC322F" w:rsidRDefault="00FC322F" w:rsidP="00FC322F">
      <w:pPr>
        <w:ind w:left="792" w:hanging="432"/>
        <w:jc w:val="both"/>
        <w:rPr>
          <w:sz w:val="24"/>
        </w:rPr>
      </w:pPr>
      <w:r>
        <w:rPr>
          <w:sz w:val="24"/>
        </w:rPr>
        <w:t>10.3.</w:t>
      </w:r>
      <w:r>
        <w:rPr>
          <w:sz w:val="24"/>
        </w:rPr>
        <w:tab/>
      </w:r>
      <w:r w:rsidR="00563537" w:rsidRPr="00FC322F">
        <w:rPr>
          <w:sz w:val="24"/>
        </w:rPr>
        <w:t xml:space="preserve">thirdly, with regard to bulk services he states that </w:t>
      </w:r>
      <w:r w:rsidR="00563537" w:rsidRPr="00FC322F">
        <w:rPr>
          <w:i/>
          <w:iCs/>
          <w:sz w:val="24"/>
        </w:rPr>
        <w:t>“The claim amount calculated fails to take into account bulk services that was paid for by the First Defendant on the Plaintiff’s behalf which in the circumstances ought to be deducted from the calculation</w:t>
      </w:r>
      <w:r w:rsidR="00563537" w:rsidRPr="00FC322F">
        <w:rPr>
          <w:sz w:val="24"/>
        </w:rPr>
        <w:t xml:space="preserve">”. This explanation is contradicted by contents of the </w:t>
      </w:r>
      <w:r w:rsidR="00563537" w:rsidRPr="00FC322F">
        <w:rPr>
          <w:sz w:val="24"/>
        </w:rPr>
        <w:lastRenderedPageBreak/>
        <w:t>second defendant’s own calculation includ</w:t>
      </w:r>
      <w:r w:rsidR="0012339B" w:rsidRPr="00FC322F">
        <w:rPr>
          <w:sz w:val="24"/>
        </w:rPr>
        <w:t>ed in</w:t>
      </w:r>
      <w:r w:rsidR="00563537" w:rsidRPr="00FC322F">
        <w:rPr>
          <w:sz w:val="24"/>
        </w:rPr>
        <w:t xml:space="preserve"> its replying affidavit which reflects two instances</w:t>
      </w:r>
      <w:r w:rsidR="0012339B" w:rsidRPr="00FC322F">
        <w:rPr>
          <w:sz w:val="24"/>
        </w:rPr>
        <w:t xml:space="preserve"> in which </w:t>
      </w:r>
      <w:r w:rsidR="00563537" w:rsidRPr="00FC322F">
        <w:rPr>
          <w:sz w:val="24"/>
        </w:rPr>
        <w:t>credit</w:t>
      </w:r>
      <w:r w:rsidR="0012339B" w:rsidRPr="00FC322F">
        <w:rPr>
          <w:sz w:val="24"/>
        </w:rPr>
        <w:t xml:space="preserve"> was</w:t>
      </w:r>
      <w:r w:rsidR="00563537" w:rsidRPr="00FC322F">
        <w:rPr>
          <w:sz w:val="24"/>
        </w:rPr>
        <w:t xml:space="preserve"> given for bulk services;</w:t>
      </w:r>
    </w:p>
    <w:p w14:paraId="3EFE67AA" w14:textId="4699E25C" w:rsidR="00563537" w:rsidRPr="00FC322F" w:rsidRDefault="00FC322F" w:rsidP="00FC322F">
      <w:pPr>
        <w:ind w:left="792" w:hanging="432"/>
        <w:jc w:val="both"/>
        <w:rPr>
          <w:sz w:val="24"/>
        </w:rPr>
      </w:pPr>
      <w:r>
        <w:rPr>
          <w:sz w:val="24"/>
        </w:rPr>
        <w:t>10.4.</w:t>
      </w:r>
      <w:r>
        <w:rPr>
          <w:sz w:val="24"/>
        </w:rPr>
        <w:tab/>
      </w:r>
      <w:r w:rsidR="00563537" w:rsidRPr="00FC322F">
        <w:rPr>
          <w:sz w:val="24"/>
        </w:rPr>
        <w:t>fourthly and finally, the defence of</w:t>
      </w:r>
      <w:r w:rsidR="006A7F6D" w:rsidRPr="00FC322F">
        <w:rPr>
          <w:i/>
          <w:iCs/>
          <w:sz w:val="24"/>
        </w:rPr>
        <w:t xml:space="preserve"> exceptio errore calculi</w:t>
      </w:r>
      <w:r w:rsidR="006A7F6D" w:rsidRPr="00FC322F">
        <w:rPr>
          <w:sz w:val="24"/>
        </w:rPr>
        <w:t xml:space="preserve"> is misplaced. The second defendant does not contend for a calculation error, but instead alleges that the account should be revised in various respects.  But, as I have already found above, each of those is incorrect.</w:t>
      </w:r>
    </w:p>
    <w:p w14:paraId="222A0A32" w14:textId="38872837" w:rsidR="003C66F0" w:rsidRPr="00FC322F" w:rsidRDefault="00FC322F" w:rsidP="00FC322F">
      <w:pPr>
        <w:ind w:left="360" w:hanging="360"/>
        <w:jc w:val="both"/>
        <w:rPr>
          <w:sz w:val="24"/>
        </w:rPr>
      </w:pPr>
      <w:r>
        <w:rPr>
          <w:sz w:val="24"/>
        </w:rPr>
        <w:t>11.</w:t>
      </w:r>
      <w:r>
        <w:rPr>
          <w:sz w:val="24"/>
        </w:rPr>
        <w:tab/>
      </w:r>
      <w:r w:rsidR="00C15213" w:rsidRPr="00FC322F">
        <w:rPr>
          <w:sz w:val="24"/>
        </w:rPr>
        <w:t>In the result</w:t>
      </w:r>
      <w:r w:rsidR="001A2C48" w:rsidRPr="00FC322F">
        <w:rPr>
          <w:sz w:val="24"/>
        </w:rPr>
        <w:t>,</w:t>
      </w:r>
      <w:r w:rsidR="00E348A2" w:rsidRPr="00FC322F">
        <w:rPr>
          <w:sz w:val="24"/>
        </w:rPr>
        <w:t xml:space="preserve"> the second defendant has, in my view, not shown that the first defendant has a </w:t>
      </w:r>
      <w:r w:rsidR="00E348A2" w:rsidRPr="00FC322F">
        <w:rPr>
          <w:i/>
          <w:iCs/>
          <w:sz w:val="24"/>
        </w:rPr>
        <w:t>bona fide</w:t>
      </w:r>
      <w:r w:rsidR="00E348A2" w:rsidRPr="00FC322F">
        <w:rPr>
          <w:sz w:val="24"/>
        </w:rPr>
        <w:t xml:space="preserve"> defence to the plaintiff’s claim.</w:t>
      </w:r>
    </w:p>
    <w:p w14:paraId="7894F83B" w14:textId="1348822E" w:rsidR="00E348A2" w:rsidRPr="00FC322F" w:rsidRDefault="00FC322F" w:rsidP="00FC322F">
      <w:pPr>
        <w:ind w:left="360" w:hanging="360"/>
        <w:jc w:val="both"/>
        <w:rPr>
          <w:sz w:val="24"/>
        </w:rPr>
      </w:pPr>
      <w:r>
        <w:rPr>
          <w:sz w:val="24"/>
        </w:rPr>
        <w:t>12.</w:t>
      </w:r>
      <w:r>
        <w:rPr>
          <w:sz w:val="24"/>
        </w:rPr>
        <w:tab/>
      </w:r>
      <w:r w:rsidR="00E348A2" w:rsidRPr="00FC322F">
        <w:rPr>
          <w:sz w:val="24"/>
        </w:rPr>
        <w:t xml:space="preserve">It follows that the claim for provisional sentence against the first defendant must succeed in the amount of </w:t>
      </w:r>
      <w:r w:rsidR="00E348A2" w:rsidRPr="00FC322F">
        <w:rPr>
          <w:sz w:val="24"/>
          <w:szCs w:val="24"/>
        </w:rPr>
        <w:t xml:space="preserve">R7,702,368.28 (including VAT) </w:t>
      </w:r>
      <w:r w:rsidR="00E348A2" w:rsidRPr="00FC322F">
        <w:rPr>
          <w:sz w:val="24"/>
        </w:rPr>
        <w:t xml:space="preserve">claimed together with interest on the aforementioned amount </w:t>
      </w:r>
      <w:r w:rsidR="00E348A2" w:rsidRPr="00FC322F">
        <w:rPr>
          <w:i/>
          <w:iCs/>
          <w:sz w:val="24"/>
        </w:rPr>
        <w:t>a tempore morae</w:t>
      </w:r>
      <w:r w:rsidR="00E348A2" w:rsidRPr="00FC322F">
        <w:rPr>
          <w:sz w:val="24"/>
        </w:rPr>
        <w:t xml:space="preserve"> at the rate of 9% per annum</w:t>
      </w:r>
      <w:r w:rsidR="0012339B" w:rsidRPr="00FC322F">
        <w:rPr>
          <w:sz w:val="24"/>
        </w:rPr>
        <w:t xml:space="preserve"> (</w:t>
      </w:r>
      <w:r w:rsidR="00E348A2" w:rsidRPr="00FC322F">
        <w:rPr>
          <w:sz w:val="24"/>
        </w:rPr>
        <w:t>there having been no dispute as to the applicable rate of interest</w:t>
      </w:r>
      <w:r w:rsidR="0012339B" w:rsidRPr="00FC322F">
        <w:rPr>
          <w:sz w:val="24"/>
        </w:rPr>
        <w:t>)</w:t>
      </w:r>
      <w:r w:rsidR="00E348A2" w:rsidRPr="00FC322F">
        <w:rPr>
          <w:sz w:val="24"/>
        </w:rPr>
        <w:t>.</w:t>
      </w:r>
    </w:p>
    <w:p w14:paraId="73291252" w14:textId="38CC2FBF" w:rsidR="00065D2C" w:rsidRPr="00FC322F" w:rsidRDefault="00FC322F" w:rsidP="00FC322F">
      <w:pPr>
        <w:ind w:left="360" w:hanging="360"/>
        <w:jc w:val="both"/>
        <w:rPr>
          <w:sz w:val="24"/>
        </w:rPr>
      </w:pPr>
      <w:r>
        <w:rPr>
          <w:sz w:val="24"/>
        </w:rPr>
        <w:t>13.</w:t>
      </w:r>
      <w:r>
        <w:rPr>
          <w:sz w:val="24"/>
        </w:rPr>
        <w:tab/>
      </w:r>
      <w:r w:rsidR="00E348A2" w:rsidRPr="00FC322F">
        <w:rPr>
          <w:sz w:val="24"/>
        </w:rPr>
        <w:t xml:space="preserve">I turn now to the claim for provisional sentence against the second defendant based on the deed of suretyship. </w:t>
      </w:r>
      <w:r w:rsidR="00065D2C" w:rsidRPr="00FC322F">
        <w:rPr>
          <w:sz w:val="24"/>
        </w:rPr>
        <w:t xml:space="preserve"> </w:t>
      </w:r>
    </w:p>
    <w:p w14:paraId="24253B48" w14:textId="53DF5D2B" w:rsidR="00065D2C" w:rsidRPr="00FC322F" w:rsidRDefault="00FC322F" w:rsidP="00FC322F">
      <w:pPr>
        <w:ind w:left="360" w:hanging="360"/>
        <w:jc w:val="both"/>
        <w:rPr>
          <w:sz w:val="24"/>
        </w:rPr>
      </w:pPr>
      <w:r>
        <w:rPr>
          <w:sz w:val="24"/>
        </w:rPr>
        <w:t>14.</w:t>
      </w:r>
      <w:r>
        <w:rPr>
          <w:sz w:val="24"/>
        </w:rPr>
        <w:tab/>
      </w:r>
      <w:r w:rsidR="00E348A2" w:rsidRPr="00FC322F">
        <w:rPr>
          <w:sz w:val="24"/>
        </w:rPr>
        <w:t>Both parties</w:t>
      </w:r>
      <w:r w:rsidR="00CF35DD" w:rsidRPr="00FC322F">
        <w:rPr>
          <w:sz w:val="24"/>
        </w:rPr>
        <w:t xml:space="preserve"> addressed </w:t>
      </w:r>
      <w:r w:rsidR="00E348A2" w:rsidRPr="00FC322F">
        <w:rPr>
          <w:sz w:val="24"/>
        </w:rPr>
        <w:t>argument on the</w:t>
      </w:r>
      <w:r w:rsidR="00CF35DD" w:rsidRPr="00FC322F">
        <w:rPr>
          <w:sz w:val="24"/>
        </w:rPr>
        <w:t xml:space="preserve"> defence raised in the opposing affidavit, namely, whether there was compliance with the formalities for contracts of suretyship as required by section 6 of Act 50 of 1956 by reason of the absence of the second defendant’s signature on the last page of the document. </w:t>
      </w:r>
      <w:r w:rsidR="00065D2C" w:rsidRPr="00FC322F">
        <w:rPr>
          <w:sz w:val="24"/>
        </w:rPr>
        <w:t xml:space="preserve"> </w:t>
      </w:r>
      <w:r w:rsidR="00CF35DD" w:rsidRPr="00FC322F">
        <w:rPr>
          <w:sz w:val="24"/>
        </w:rPr>
        <w:t>After the hearing</w:t>
      </w:r>
      <w:r w:rsidR="00065D2C" w:rsidRPr="00FC322F">
        <w:rPr>
          <w:sz w:val="24"/>
        </w:rPr>
        <w:t xml:space="preserve"> and pursuant to my request</w:t>
      </w:r>
      <w:r w:rsidR="00CF35DD" w:rsidRPr="00FC322F">
        <w:rPr>
          <w:sz w:val="24"/>
        </w:rPr>
        <w:t xml:space="preserve">, counsel for both parties filed supplementary heads of argument thereon.  </w:t>
      </w:r>
    </w:p>
    <w:p w14:paraId="301B9070" w14:textId="379BE86A" w:rsidR="00E348A2" w:rsidRPr="00FC322F" w:rsidRDefault="00FC322F" w:rsidP="00FC322F">
      <w:pPr>
        <w:ind w:left="360" w:hanging="360"/>
        <w:jc w:val="both"/>
        <w:rPr>
          <w:sz w:val="24"/>
        </w:rPr>
      </w:pPr>
      <w:r>
        <w:rPr>
          <w:sz w:val="24"/>
        </w:rPr>
        <w:t>15.</w:t>
      </w:r>
      <w:r>
        <w:rPr>
          <w:sz w:val="24"/>
        </w:rPr>
        <w:tab/>
      </w:r>
      <w:r w:rsidR="00CF35DD" w:rsidRPr="00FC322F">
        <w:rPr>
          <w:sz w:val="24"/>
        </w:rPr>
        <w:t>However,</w:t>
      </w:r>
      <w:r w:rsidR="0047006D" w:rsidRPr="00FC322F">
        <w:rPr>
          <w:sz w:val="24"/>
        </w:rPr>
        <w:t xml:space="preserve"> when in the course of preparing this judgment I checked </w:t>
      </w:r>
      <w:r w:rsidR="00065D2C" w:rsidRPr="00FC322F">
        <w:rPr>
          <w:sz w:val="24"/>
        </w:rPr>
        <w:t>legal requirements for provisional sentence</w:t>
      </w:r>
      <w:r w:rsidR="00CF35DD" w:rsidRPr="00FC322F">
        <w:rPr>
          <w:sz w:val="24"/>
        </w:rPr>
        <w:t>, I realised that</w:t>
      </w:r>
      <w:r w:rsidR="0047006D" w:rsidRPr="00FC322F">
        <w:rPr>
          <w:sz w:val="24"/>
        </w:rPr>
        <w:t xml:space="preserve"> following the </w:t>
      </w:r>
      <w:r w:rsidR="002F6650" w:rsidRPr="00FC322F">
        <w:rPr>
          <w:sz w:val="24"/>
        </w:rPr>
        <w:t xml:space="preserve">Full Bench </w:t>
      </w:r>
      <w:r w:rsidR="0047006D" w:rsidRPr="00FC322F">
        <w:rPr>
          <w:sz w:val="24"/>
        </w:rPr>
        <w:t xml:space="preserve">judgment in </w:t>
      </w:r>
      <w:r w:rsidR="0047006D" w:rsidRPr="00FC322F">
        <w:rPr>
          <w:sz w:val="24"/>
          <w:u w:val="single"/>
        </w:rPr>
        <w:t>Harrowsmith v Ceres Flats (Pty) Ltd</w:t>
      </w:r>
      <w:r w:rsidR="0047006D" w:rsidRPr="00FC322F">
        <w:rPr>
          <w:sz w:val="24"/>
        </w:rPr>
        <w:t xml:space="preserve"> 1979 (2) SA 722 (T) and further endorsed by the Appellant Division in </w:t>
      </w:r>
      <w:r w:rsidR="00CF35DD" w:rsidRPr="00FC322F">
        <w:rPr>
          <w:rFonts w:cs="Arial"/>
          <w:sz w:val="24"/>
          <w:szCs w:val="24"/>
          <w:u w:val="single"/>
          <w:lang w:val="en-ZA"/>
        </w:rPr>
        <w:t>Wollach v Barclays National Bank Ltd</w:t>
      </w:r>
      <w:r w:rsidR="00CF35DD" w:rsidRPr="00FC322F">
        <w:rPr>
          <w:rFonts w:cs="Arial"/>
          <w:sz w:val="24"/>
          <w:szCs w:val="24"/>
          <w:lang w:val="en-ZA"/>
        </w:rPr>
        <w:t xml:space="preserve"> 1983 (2) SA 543 (A)</w:t>
      </w:r>
      <w:r w:rsidR="0047006D" w:rsidRPr="00FC322F">
        <w:rPr>
          <w:rFonts w:cs="Arial"/>
          <w:sz w:val="24"/>
          <w:szCs w:val="24"/>
          <w:lang w:val="en-ZA"/>
        </w:rPr>
        <w:t>, a</w:t>
      </w:r>
      <w:r w:rsidR="00CF35DD" w:rsidRPr="00FC322F">
        <w:rPr>
          <w:rFonts w:cs="Arial"/>
          <w:sz w:val="24"/>
          <w:szCs w:val="24"/>
          <w:lang w:val="en-ZA"/>
        </w:rPr>
        <w:t xml:space="preserve"> deed of suretyship is </w:t>
      </w:r>
      <w:r w:rsidR="003557D3" w:rsidRPr="00FC322F">
        <w:rPr>
          <w:rFonts w:cs="Arial"/>
          <w:sz w:val="24"/>
          <w:szCs w:val="24"/>
          <w:lang w:val="en-ZA"/>
        </w:rPr>
        <w:t>n</w:t>
      </w:r>
      <w:r w:rsidR="00CF35DD" w:rsidRPr="00FC322F">
        <w:rPr>
          <w:rFonts w:cs="Arial"/>
          <w:sz w:val="24"/>
          <w:szCs w:val="24"/>
          <w:lang w:val="en-ZA"/>
        </w:rPr>
        <w:t>ot</w:t>
      </w:r>
      <w:r w:rsidR="0047006D" w:rsidRPr="00FC322F">
        <w:rPr>
          <w:rFonts w:cs="Arial"/>
          <w:sz w:val="24"/>
          <w:szCs w:val="24"/>
          <w:lang w:val="en-ZA"/>
        </w:rPr>
        <w:t xml:space="preserve"> a liquid document</w:t>
      </w:r>
      <w:r w:rsidR="009E7D35" w:rsidRPr="00FC322F">
        <w:rPr>
          <w:rFonts w:cs="Arial"/>
          <w:sz w:val="24"/>
          <w:szCs w:val="24"/>
          <w:lang w:val="en-ZA"/>
        </w:rPr>
        <w:t xml:space="preserve"> in respect of which provisional sentence can be granted</w:t>
      </w:r>
      <w:r w:rsidR="0047006D" w:rsidRPr="00FC322F">
        <w:rPr>
          <w:rFonts w:cs="Arial"/>
          <w:sz w:val="24"/>
          <w:szCs w:val="24"/>
          <w:lang w:val="en-ZA"/>
        </w:rPr>
        <w:t xml:space="preserve">. </w:t>
      </w:r>
      <w:r w:rsidR="00754B43" w:rsidRPr="00FC322F">
        <w:rPr>
          <w:rFonts w:cs="Arial"/>
          <w:sz w:val="24"/>
          <w:szCs w:val="24"/>
          <w:lang w:val="en-ZA"/>
        </w:rPr>
        <w:t xml:space="preserve"> </w:t>
      </w:r>
      <w:r w:rsidR="0047006D" w:rsidRPr="00FC322F">
        <w:rPr>
          <w:rFonts w:cs="Arial"/>
          <w:sz w:val="24"/>
          <w:szCs w:val="24"/>
          <w:lang w:val="en-ZA"/>
        </w:rPr>
        <w:t xml:space="preserve">This is because, as in the present case, it does not unequivocally acknowledge any indebtedness for a certain and determinate sum. </w:t>
      </w:r>
      <w:r w:rsidR="00754B43" w:rsidRPr="00FC322F">
        <w:rPr>
          <w:rFonts w:cs="Arial"/>
          <w:sz w:val="24"/>
          <w:szCs w:val="24"/>
          <w:lang w:val="en-ZA"/>
        </w:rPr>
        <w:t xml:space="preserve"> </w:t>
      </w:r>
      <w:r w:rsidR="0047006D" w:rsidRPr="00FC322F">
        <w:rPr>
          <w:rFonts w:cs="Arial"/>
          <w:sz w:val="24"/>
          <w:szCs w:val="24"/>
          <w:lang w:val="en-ZA"/>
        </w:rPr>
        <w:t>Instead, the deed of suretyship</w:t>
      </w:r>
      <w:r w:rsidR="00754B43" w:rsidRPr="00FC322F">
        <w:rPr>
          <w:rFonts w:cs="Arial"/>
          <w:sz w:val="24"/>
          <w:szCs w:val="24"/>
          <w:lang w:val="en-ZA"/>
        </w:rPr>
        <w:t>, which was signed about a year prior to the AOD,</w:t>
      </w:r>
      <w:r w:rsidR="0047006D" w:rsidRPr="00FC322F">
        <w:rPr>
          <w:rFonts w:cs="Arial"/>
          <w:sz w:val="24"/>
          <w:szCs w:val="24"/>
          <w:lang w:val="en-ZA"/>
        </w:rPr>
        <w:t xml:space="preserve"> merely acknowledges an indebtedness for an unspecified sum, namely, such sum or sums of money as </w:t>
      </w:r>
      <w:r w:rsidR="0047006D" w:rsidRPr="00FC322F">
        <w:rPr>
          <w:rFonts w:cs="Arial"/>
          <w:sz w:val="24"/>
          <w:szCs w:val="24"/>
          <w:lang w:val="en-ZA"/>
        </w:rPr>
        <w:lastRenderedPageBreak/>
        <w:t>might at any time in the future become owing or claimable from the debtor to the creditor. In such circumstances extrinsic evidence would be necessary to show the amount owing and the subsequent provision of a certificate of indebtedness</w:t>
      </w:r>
      <w:r w:rsidR="00545AE8" w:rsidRPr="00FC322F">
        <w:rPr>
          <w:rFonts w:cs="Arial"/>
          <w:sz w:val="24"/>
          <w:szCs w:val="24"/>
          <w:lang w:val="en-ZA"/>
        </w:rPr>
        <w:t xml:space="preserve"> (as provided for in clause 7 of the deed of suretyship) </w:t>
      </w:r>
      <w:r w:rsidR="0047006D" w:rsidRPr="00FC322F">
        <w:rPr>
          <w:rFonts w:cs="Arial"/>
          <w:sz w:val="24"/>
          <w:szCs w:val="24"/>
          <w:lang w:val="en-ZA"/>
        </w:rPr>
        <w:t>cannot serve to make the deed of suretyship a liquid document.</w:t>
      </w:r>
    </w:p>
    <w:p w14:paraId="4627E8CB" w14:textId="6CEA98CF" w:rsidR="0047006D" w:rsidRPr="00FC322F" w:rsidRDefault="00FC322F" w:rsidP="00FC322F">
      <w:pPr>
        <w:ind w:left="360" w:hanging="360"/>
        <w:jc w:val="both"/>
        <w:rPr>
          <w:sz w:val="24"/>
        </w:rPr>
      </w:pPr>
      <w:r>
        <w:rPr>
          <w:sz w:val="24"/>
        </w:rPr>
        <w:t>16.</w:t>
      </w:r>
      <w:r>
        <w:rPr>
          <w:sz w:val="24"/>
        </w:rPr>
        <w:tab/>
      </w:r>
      <w:r w:rsidR="0047006D" w:rsidRPr="00FC322F">
        <w:rPr>
          <w:sz w:val="24"/>
        </w:rPr>
        <w:t>In the result provisional sentence cannot be granted against the second defendant.</w:t>
      </w:r>
    </w:p>
    <w:p w14:paraId="1096CC43" w14:textId="515BA38B" w:rsidR="00E348A2" w:rsidRPr="00FC322F" w:rsidRDefault="00FC322F" w:rsidP="00FC322F">
      <w:pPr>
        <w:ind w:left="360" w:hanging="360"/>
        <w:jc w:val="both"/>
        <w:rPr>
          <w:sz w:val="24"/>
        </w:rPr>
      </w:pPr>
      <w:r>
        <w:rPr>
          <w:sz w:val="24"/>
        </w:rPr>
        <w:t>17.</w:t>
      </w:r>
      <w:r>
        <w:rPr>
          <w:sz w:val="24"/>
        </w:rPr>
        <w:tab/>
      </w:r>
      <w:r w:rsidR="0047006D" w:rsidRPr="00FC322F">
        <w:rPr>
          <w:sz w:val="24"/>
        </w:rPr>
        <w:t>Given that neither party drew my attention to this line of authorities, I am of the view that I should in such circumstances make no order as to costs with regard to the plaintiff’s claim against the second defendant.</w:t>
      </w:r>
    </w:p>
    <w:p w14:paraId="41A0CE0A" w14:textId="621C2485" w:rsidR="007100C4" w:rsidRPr="00FC322F" w:rsidRDefault="00FC322F" w:rsidP="00FC322F">
      <w:pPr>
        <w:ind w:left="360" w:hanging="360"/>
        <w:jc w:val="both"/>
        <w:rPr>
          <w:sz w:val="24"/>
        </w:rPr>
      </w:pPr>
      <w:r>
        <w:rPr>
          <w:sz w:val="24"/>
        </w:rPr>
        <w:t>18.</w:t>
      </w:r>
      <w:r>
        <w:rPr>
          <w:sz w:val="24"/>
        </w:rPr>
        <w:tab/>
      </w:r>
      <w:r w:rsidR="003C66F0" w:rsidRPr="00FC322F">
        <w:rPr>
          <w:sz w:val="24"/>
        </w:rPr>
        <w:t>Accordingly</w:t>
      </w:r>
      <w:r w:rsidR="00417A3F" w:rsidRPr="00FC322F">
        <w:rPr>
          <w:sz w:val="24"/>
        </w:rPr>
        <w:t>,</w:t>
      </w:r>
      <w:r w:rsidR="003C66F0" w:rsidRPr="00FC322F">
        <w:rPr>
          <w:sz w:val="24"/>
        </w:rPr>
        <w:t xml:space="preserve"> I make the following order</w:t>
      </w:r>
    </w:p>
    <w:p w14:paraId="338B3C6D" w14:textId="77777777" w:rsidR="00AE3E9C" w:rsidRDefault="00AE3E9C" w:rsidP="00E627CB">
      <w:pPr>
        <w:rPr>
          <w:b/>
          <w:sz w:val="24"/>
        </w:rPr>
      </w:pPr>
    </w:p>
    <w:p w14:paraId="5B608BB9" w14:textId="56F942F9" w:rsidR="00E627CB" w:rsidRPr="00E627CB" w:rsidRDefault="00E627CB" w:rsidP="00E72AD1">
      <w:pPr>
        <w:jc w:val="both"/>
        <w:rPr>
          <w:b/>
          <w:sz w:val="24"/>
        </w:rPr>
      </w:pPr>
      <w:r w:rsidRPr="00E627CB">
        <w:rPr>
          <w:b/>
          <w:sz w:val="24"/>
        </w:rPr>
        <w:t>ORDER:</w:t>
      </w:r>
    </w:p>
    <w:p w14:paraId="21DD15B8" w14:textId="7FDCF60A" w:rsidR="00E627CB" w:rsidRPr="00FC322F" w:rsidRDefault="00FC322F" w:rsidP="00FC322F">
      <w:pPr>
        <w:ind w:left="360" w:hanging="360"/>
        <w:jc w:val="both"/>
        <w:rPr>
          <w:sz w:val="24"/>
        </w:rPr>
      </w:pPr>
      <w:r>
        <w:rPr>
          <w:sz w:val="24"/>
        </w:rPr>
        <w:t>1.</w:t>
      </w:r>
      <w:r>
        <w:rPr>
          <w:sz w:val="24"/>
        </w:rPr>
        <w:tab/>
      </w:r>
      <w:r w:rsidR="00E874B8" w:rsidRPr="00FC322F">
        <w:rPr>
          <w:sz w:val="24"/>
        </w:rPr>
        <w:t>Provisional sentence is granted against the first defendant in the amount of R7,702,368.28 (inclusive of VAT)</w:t>
      </w:r>
      <w:r w:rsidR="0047006D" w:rsidRPr="00FC322F">
        <w:rPr>
          <w:sz w:val="24"/>
        </w:rPr>
        <w:t xml:space="preserve"> and interest on the aforementioned amount </w:t>
      </w:r>
      <w:r w:rsidR="0047006D" w:rsidRPr="00FC322F">
        <w:rPr>
          <w:i/>
          <w:iCs/>
          <w:sz w:val="24"/>
        </w:rPr>
        <w:t>a tempore morae</w:t>
      </w:r>
      <w:r w:rsidR="0047006D" w:rsidRPr="00FC322F">
        <w:rPr>
          <w:sz w:val="24"/>
        </w:rPr>
        <w:t xml:space="preserve"> at the rate of 9% per annum</w:t>
      </w:r>
      <w:r w:rsidR="00B769A4" w:rsidRPr="00FC322F">
        <w:rPr>
          <w:sz w:val="24"/>
        </w:rPr>
        <w:t>.</w:t>
      </w:r>
    </w:p>
    <w:p w14:paraId="4D8E47E0" w14:textId="1C4E7BD2" w:rsidR="0047006D" w:rsidRPr="00FC322F" w:rsidRDefault="00FC322F" w:rsidP="00FC322F">
      <w:pPr>
        <w:ind w:left="360" w:hanging="360"/>
        <w:jc w:val="both"/>
        <w:rPr>
          <w:sz w:val="24"/>
        </w:rPr>
      </w:pPr>
      <w:r>
        <w:rPr>
          <w:sz w:val="24"/>
        </w:rPr>
        <w:t>2.</w:t>
      </w:r>
      <w:r>
        <w:rPr>
          <w:sz w:val="24"/>
        </w:rPr>
        <w:tab/>
      </w:r>
      <w:r w:rsidR="0047006D" w:rsidRPr="00FC322F">
        <w:rPr>
          <w:sz w:val="24"/>
        </w:rPr>
        <w:t>The first defendant is ordered to pay the plaintiff’s costs of provisional sentence application but only insofar as it relates to the claim for provisional sentence against the first defendant.</w:t>
      </w:r>
    </w:p>
    <w:p w14:paraId="403BA801" w14:textId="5AE4346C" w:rsidR="0047006D" w:rsidRPr="00FC322F" w:rsidRDefault="00FC322F" w:rsidP="00FC322F">
      <w:pPr>
        <w:ind w:left="360" w:hanging="360"/>
        <w:jc w:val="both"/>
        <w:rPr>
          <w:sz w:val="24"/>
        </w:rPr>
      </w:pPr>
      <w:r>
        <w:rPr>
          <w:sz w:val="24"/>
        </w:rPr>
        <w:t>3.</w:t>
      </w:r>
      <w:r>
        <w:rPr>
          <w:sz w:val="24"/>
        </w:rPr>
        <w:tab/>
      </w:r>
      <w:r w:rsidR="0047006D" w:rsidRPr="00FC322F">
        <w:rPr>
          <w:sz w:val="24"/>
        </w:rPr>
        <w:t>The claim for provisional sentence against the second defendant is dismissed.</w:t>
      </w:r>
    </w:p>
    <w:p w14:paraId="4C028C59" w14:textId="7B3374FF" w:rsidR="0047006D" w:rsidRPr="00FC322F" w:rsidRDefault="00FC322F" w:rsidP="00FC322F">
      <w:pPr>
        <w:ind w:left="360" w:hanging="360"/>
        <w:jc w:val="both"/>
        <w:rPr>
          <w:sz w:val="24"/>
        </w:rPr>
      </w:pPr>
      <w:r w:rsidRPr="00E627CB">
        <w:rPr>
          <w:sz w:val="24"/>
        </w:rPr>
        <w:t>4.</w:t>
      </w:r>
      <w:r w:rsidRPr="00E627CB">
        <w:rPr>
          <w:sz w:val="24"/>
        </w:rPr>
        <w:tab/>
      </w:r>
      <w:r w:rsidR="0047006D" w:rsidRPr="00FC322F">
        <w:rPr>
          <w:sz w:val="24"/>
        </w:rPr>
        <w:t xml:space="preserve">No order for costs is made </w:t>
      </w:r>
      <w:r w:rsidR="00B41B0E" w:rsidRPr="00FC322F">
        <w:rPr>
          <w:sz w:val="24"/>
        </w:rPr>
        <w:t>with</w:t>
      </w:r>
      <w:r w:rsidR="0047006D" w:rsidRPr="00FC322F">
        <w:rPr>
          <w:sz w:val="24"/>
        </w:rPr>
        <w:t xml:space="preserve"> regard to the claim for provisional sentence against the second defendant.</w:t>
      </w:r>
    </w:p>
    <w:p w14:paraId="6F8B4B10" w14:textId="77777777" w:rsidR="00C15213" w:rsidRDefault="00C15213" w:rsidP="009A5E4B">
      <w:pPr>
        <w:rPr>
          <w:sz w:val="24"/>
        </w:rPr>
      </w:pPr>
    </w:p>
    <w:p w14:paraId="3C042867" w14:textId="77777777" w:rsidR="001773ED" w:rsidRDefault="001773ED" w:rsidP="009A5E4B">
      <w:pPr>
        <w:rPr>
          <w:sz w:val="24"/>
        </w:rPr>
      </w:pPr>
    </w:p>
    <w:p w14:paraId="35790CC3" w14:textId="77777777" w:rsidR="00F55C99" w:rsidRDefault="00F55C99" w:rsidP="009A5E4B">
      <w:pPr>
        <w:rPr>
          <w:sz w:val="24"/>
        </w:rPr>
      </w:pPr>
    </w:p>
    <w:p w14:paraId="068EBCE1" w14:textId="77777777" w:rsidR="009A5E4B" w:rsidRPr="009A5E4B" w:rsidRDefault="009A5E4B" w:rsidP="009A5E4B">
      <w:pPr>
        <w:rPr>
          <w:b/>
          <w:sz w:val="24"/>
        </w:rPr>
      </w:pPr>
      <w:r w:rsidRPr="009A5E4B">
        <w:rPr>
          <w:b/>
          <w:sz w:val="24"/>
        </w:rPr>
        <w:t>___________________</w:t>
      </w:r>
    </w:p>
    <w:p w14:paraId="2CF0C5D4" w14:textId="77777777" w:rsidR="009A5E4B" w:rsidRPr="009A5E4B" w:rsidRDefault="009A5E4B" w:rsidP="009A5E4B">
      <w:pPr>
        <w:rPr>
          <w:b/>
          <w:sz w:val="24"/>
        </w:rPr>
      </w:pPr>
      <w:r w:rsidRPr="009A5E4B">
        <w:rPr>
          <w:b/>
          <w:sz w:val="24"/>
        </w:rPr>
        <w:t>Johann Gautschi AJ</w:t>
      </w:r>
    </w:p>
    <w:p w14:paraId="2BE2116F" w14:textId="723DA9FA" w:rsidR="009A5E4B" w:rsidRDefault="0047006D" w:rsidP="009A5E4B">
      <w:pPr>
        <w:rPr>
          <w:b/>
          <w:sz w:val="24"/>
        </w:rPr>
      </w:pPr>
      <w:r>
        <w:rPr>
          <w:b/>
          <w:sz w:val="24"/>
        </w:rPr>
        <w:t xml:space="preserve">14 December </w:t>
      </w:r>
      <w:r w:rsidR="00E45C36">
        <w:rPr>
          <w:b/>
          <w:sz w:val="24"/>
        </w:rPr>
        <w:t>2023</w:t>
      </w:r>
      <w:r w:rsidR="00103B68">
        <w:rPr>
          <w:b/>
          <w:sz w:val="24"/>
        </w:rPr>
        <w:t xml:space="preserve"> </w:t>
      </w:r>
    </w:p>
    <w:p w14:paraId="19B5A083" w14:textId="42167A5D" w:rsidR="002A1CBA" w:rsidRDefault="002A1CBA" w:rsidP="002A1CBA">
      <w:pPr>
        <w:rPr>
          <w:b/>
          <w:sz w:val="24"/>
        </w:rPr>
      </w:pPr>
      <w:r>
        <w:rPr>
          <w:b/>
          <w:sz w:val="24"/>
        </w:rPr>
        <w:lastRenderedPageBreak/>
        <w:t>Date of judgment: 14 December 2023</w:t>
      </w:r>
    </w:p>
    <w:p w14:paraId="67DB767D" w14:textId="19C45806" w:rsidR="002A1CBA" w:rsidRDefault="002A1CBA" w:rsidP="002A1CBA">
      <w:pPr>
        <w:rPr>
          <w:b/>
          <w:sz w:val="24"/>
        </w:rPr>
      </w:pPr>
      <w:r>
        <w:rPr>
          <w:b/>
          <w:sz w:val="24"/>
        </w:rPr>
        <w:t>Date of hearing: 26 October 2023</w:t>
      </w:r>
    </w:p>
    <w:p w14:paraId="695D7C63" w14:textId="11253BB3" w:rsidR="002A1CBA" w:rsidRDefault="002A1CBA" w:rsidP="002A1CBA">
      <w:pPr>
        <w:rPr>
          <w:b/>
          <w:sz w:val="24"/>
        </w:rPr>
      </w:pPr>
      <w:r>
        <w:rPr>
          <w:b/>
          <w:sz w:val="24"/>
        </w:rPr>
        <w:t>Counsel for Plaintiff: Adv M Jacobs</w:t>
      </w:r>
    </w:p>
    <w:p w14:paraId="4279E025" w14:textId="640EB143" w:rsidR="002A1CBA" w:rsidRDefault="002A1CBA" w:rsidP="002A1CBA">
      <w:pPr>
        <w:rPr>
          <w:b/>
          <w:sz w:val="24"/>
        </w:rPr>
      </w:pPr>
      <w:r>
        <w:rPr>
          <w:b/>
          <w:sz w:val="24"/>
        </w:rPr>
        <w:t xml:space="preserve">Attorneys for Plaintiff: MDA Attorneys </w:t>
      </w:r>
    </w:p>
    <w:p w14:paraId="5898C0C9" w14:textId="3F96A661" w:rsidR="002A1CBA" w:rsidRDefault="002A1CBA" w:rsidP="002A1CBA">
      <w:pPr>
        <w:rPr>
          <w:b/>
          <w:sz w:val="24"/>
        </w:rPr>
      </w:pPr>
      <w:r>
        <w:rPr>
          <w:b/>
          <w:sz w:val="24"/>
        </w:rPr>
        <w:t>Counsel for Respondents: Adv J van den Bergh</w:t>
      </w:r>
    </w:p>
    <w:p w14:paraId="7728B496" w14:textId="09E01391" w:rsidR="002A1CBA" w:rsidRPr="009A5E4B" w:rsidRDefault="002A1CBA" w:rsidP="002A1CBA">
      <w:pPr>
        <w:rPr>
          <w:b/>
          <w:sz w:val="24"/>
        </w:rPr>
      </w:pPr>
      <w:r>
        <w:rPr>
          <w:b/>
          <w:sz w:val="24"/>
        </w:rPr>
        <w:t>Attorneys for Respondents: Neethling and Vosloo Inc</w:t>
      </w:r>
    </w:p>
    <w:p w14:paraId="0D4B3825" w14:textId="77777777" w:rsidR="002A1CBA" w:rsidRPr="009A5E4B" w:rsidRDefault="002A1CBA" w:rsidP="009A5E4B">
      <w:pPr>
        <w:rPr>
          <w:b/>
          <w:sz w:val="24"/>
        </w:rPr>
      </w:pPr>
    </w:p>
    <w:sectPr w:rsidR="002A1CBA" w:rsidRPr="009A5E4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63D04" w14:textId="77777777" w:rsidR="00632DE2" w:rsidRDefault="00632DE2" w:rsidP="00081964">
      <w:pPr>
        <w:spacing w:after="0" w:line="240" w:lineRule="auto"/>
      </w:pPr>
      <w:r>
        <w:separator/>
      </w:r>
    </w:p>
  </w:endnote>
  <w:endnote w:type="continuationSeparator" w:id="0">
    <w:p w14:paraId="2BEA03A5" w14:textId="77777777" w:rsidR="00632DE2" w:rsidRDefault="00632DE2" w:rsidP="00081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02B8D" w14:textId="77777777" w:rsidR="00632DE2" w:rsidRDefault="00632DE2" w:rsidP="00081964">
      <w:pPr>
        <w:spacing w:after="0" w:line="240" w:lineRule="auto"/>
      </w:pPr>
      <w:r>
        <w:separator/>
      </w:r>
    </w:p>
  </w:footnote>
  <w:footnote w:type="continuationSeparator" w:id="0">
    <w:p w14:paraId="065C9949" w14:textId="77777777" w:rsidR="00632DE2" w:rsidRDefault="00632DE2" w:rsidP="00081964">
      <w:pPr>
        <w:spacing w:after="0" w:line="240" w:lineRule="auto"/>
      </w:pPr>
      <w:r>
        <w:continuationSeparator/>
      </w:r>
    </w:p>
  </w:footnote>
  <w:footnote w:id="1">
    <w:p w14:paraId="1F256D05" w14:textId="73D76431" w:rsidR="004C4795" w:rsidRPr="004C4795" w:rsidRDefault="004C4795">
      <w:pPr>
        <w:pStyle w:val="FootnoteText"/>
        <w:rPr>
          <w:lang w:val="en-US"/>
        </w:rPr>
      </w:pPr>
      <w:r>
        <w:rPr>
          <w:rStyle w:val="FootnoteReference"/>
        </w:rPr>
        <w:footnoteRef/>
      </w:r>
      <w:r>
        <w:t xml:space="preserve"> </w:t>
      </w:r>
      <w:r>
        <w:rPr>
          <w:lang w:val="en-US"/>
        </w:rPr>
        <w:t xml:space="preserve"> At p 470</w:t>
      </w:r>
    </w:p>
  </w:footnote>
  <w:footnote w:id="2">
    <w:p w14:paraId="1C42071F" w14:textId="53AE74DB" w:rsidR="004C4795" w:rsidRPr="004C4795" w:rsidRDefault="004C4795">
      <w:pPr>
        <w:pStyle w:val="FootnoteText"/>
        <w:rPr>
          <w:lang w:val="en-US"/>
        </w:rPr>
      </w:pPr>
      <w:r>
        <w:rPr>
          <w:rStyle w:val="FootnoteReference"/>
        </w:rPr>
        <w:footnoteRef/>
      </w:r>
      <w:r>
        <w:t xml:space="preserve"> </w:t>
      </w:r>
      <w:r>
        <w:rPr>
          <w:lang w:val="en-US"/>
        </w:rPr>
        <w:t xml:space="preserve"> At p 471 C-D</w:t>
      </w:r>
    </w:p>
  </w:footnote>
  <w:footnote w:id="3">
    <w:p w14:paraId="09B20024" w14:textId="51195C65" w:rsidR="004C4795" w:rsidRPr="004C4795" w:rsidRDefault="004C4795">
      <w:pPr>
        <w:pStyle w:val="FootnoteText"/>
        <w:rPr>
          <w:lang w:val="en-US"/>
        </w:rPr>
      </w:pPr>
      <w:r>
        <w:rPr>
          <w:rStyle w:val="FootnoteReference"/>
        </w:rPr>
        <w:footnoteRef/>
      </w:r>
      <w:r>
        <w:t xml:space="preserve">  At p 472 A-B</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66373"/>
      <w:docPartObj>
        <w:docPartGallery w:val="Page Numbers (Top of Page)"/>
        <w:docPartUnique/>
      </w:docPartObj>
    </w:sdtPr>
    <w:sdtEndPr>
      <w:rPr>
        <w:noProof/>
      </w:rPr>
    </w:sdtEndPr>
    <w:sdtContent>
      <w:p w14:paraId="221EB016" w14:textId="187EC944" w:rsidR="00081964" w:rsidRDefault="00081964">
        <w:pPr>
          <w:pStyle w:val="Header"/>
          <w:jc w:val="center"/>
        </w:pPr>
        <w:r>
          <w:fldChar w:fldCharType="begin"/>
        </w:r>
        <w:r>
          <w:instrText xml:space="preserve"> PAGE   \* MERGEFORMAT </w:instrText>
        </w:r>
        <w:r>
          <w:fldChar w:fldCharType="separate"/>
        </w:r>
        <w:r w:rsidR="00FC322F">
          <w:rPr>
            <w:noProof/>
          </w:rPr>
          <w:t>9</w:t>
        </w:r>
        <w:r>
          <w:rPr>
            <w:noProof/>
          </w:rPr>
          <w:fldChar w:fldCharType="end"/>
        </w:r>
      </w:p>
    </w:sdtContent>
  </w:sdt>
  <w:p w14:paraId="0E55FF22" w14:textId="77777777" w:rsidR="00081964" w:rsidRDefault="000819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05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5A92655"/>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A8052DD"/>
    <w:multiLevelType w:val="hybridMultilevel"/>
    <w:tmpl w:val="7C5C31AC"/>
    <w:lvl w:ilvl="0" w:tplc="F9F61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B15556C-7B0A-443E-A290-E5A146986F0C}"/>
    <w:docVar w:name="dgnword-eventsink" w:val="779831400"/>
    <w:docVar w:name="dgnword-lastRevisionsView" w:val="0"/>
  </w:docVars>
  <w:rsids>
    <w:rsidRoot w:val="00C46165"/>
    <w:rsid w:val="00030BD9"/>
    <w:rsid w:val="000411F2"/>
    <w:rsid w:val="00047A18"/>
    <w:rsid w:val="000644B6"/>
    <w:rsid w:val="00065D2C"/>
    <w:rsid w:val="000717A4"/>
    <w:rsid w:val="00073F29"/>
    <w:rsid w:val="00076D7A"/>
    <w:rsid w:val="00081964"/>
    <w:rsid w:val="00096754"/>
    <w:rsid w:val="000A1C68"/>
    <w:rsid w:val="000B5186"/>
    <w:rsid w:val="000E582C"/>
    <w:rsid w:val="000F24E4"/>
    <w:rsid w:val="00103B68"/>
    <w:rsid w:val="00114420"/>
    <w:rsid w:val="00117CCD"/>
    <w:rsid w:val="0012339B"/>
    <w:rsid w:val="001318E1"/>
    <w:rsid w:val="001339B1"/>
    <w:rsid w:val="00133F6C"/>
    <w:rsid w:val="00140F76"/>
    <w:rsid w:val="001431FB"/>
    <w:rsid w:val="001567E1"/>
    <w:rsid w:val="00156C88"/>
    <w:rsid w:val="001773ED"/>
    <w:rsid w:val="00185400"/>
    <w:rsid w:val="00185F28"/>
    <w:rsid w:val="001A2C48"/>
    <w:rsid w:val="001C154E"/>
    <w:rsid w:val="00227699"/>
    <w:rsid w:val="002372DF"/>
    <w:rsid w:val="00237573"/>
    <w:rsid w:val="00245E38"/>
    <w:rsid w:val="0025376E"/>
    <w:rsid w:val="00273FDC"/>
    <w:rsid w:val="00290154"/>
    <w:rsid w:val="002955C6"/>
    <w:rsid w:val="002A1CBA"/>
    <w:rsid w:val="002A6C9B"/>
    <w:rsid w:val="002B6F5E"/>
    <w:rsid w:val="002D357B"/>
    <w:rsid w:val="002E46AD"/>
    <w:rsid w:val="002F6650"/>
    <w:rsid w:val="00325500"/>
    <w:rsid w:val="0033701C"/>
    <w:rsid w:val="003371A7"/>
    <w:rsid w:val="003557D3"/>
    <w:rsid w:val="00365022"/>
    <w:rsid w:val="0037771E"/>
    <w:rsid w:val="00381A0B"/>
    <w:rsid w:val="00391252"/>
    <w:rsid w:val="003A72B8"/>
    <w:rsid w:val="003B5315"/>
    <w:rsid w:val="003C5955"/>
    <w:rsid w:val="003C66F0"/>
    <w:rsid w:val="00411604"/>
    <w:rsid w:val="00417A3F"/>
    <w:rsid w:val="00420AA9"/>
    <w:rsid w:val="00431093"/>
    <w:rsid w:val="00462DE5"/>
    <w:rsid w:val="0046419D"/>
    <w:rsid w:val="004661F1"/>
    <w:rsid w:val="0047006D"/>
    <w:rsid w:val="00473C42"/>
    <w:rsid w:val="00485ACF"/>
    <w:rsid w:val="00492CD1"/>
    <w:rsid w:val="004B154D"/>
    <w:rsid w:val="004B55AD"/>
    <w:rsid w:val="004B5D99"/>
    <w:rsid w:val="004C4795"/>
    <w:rsid w:val="004D02A0"/>
    <w:rsid w:val="004E4084"/>
    <w:rsid w:val="004F3788"/>
    <w:rsid w:val="0050203F"/>
    <w:rsid w:val="00522904"/>
    <w:rsid w:val="00527ED6"/>
    <w:rsid w:val="00530B98"/>
    <w:rsid w:val="00545AE8"/>
    <w:rsid w:val="00557686"/>
    <w:rsid w:val="00563537"/>
    <w:rsid w:val="00580EB2"/>
    <w:rsid w:val="005868C5"/>
    <w:rsid w:val="005B0185"/>
    <w:rsid w:val="005D6F1C"/>
    <w:rsid w:val="00612893"/>
    <w:rsid w:val="00632DE2"/>
    <w:rsid w:val="00643462"/>
    <w:rsid w:val="00655924"/>
    <w:rsid w:val="00660BD5"/>
    <w:rsid w:val="00681F44"/>
    <w:rsid w:val="006A2048"/>
    <w:rsid w:val="006A3F61"/>
    <w:rsid w:val="006A7F6D"/>
    <w:rsid w:val="006B23B6"/>
    <w:rsid w:val="006E0462"/>
    <w:rsid w:val="006E7E03"/>
    <w:rsid w:val="006F039A"/>
    <w:rsid w:val="006F31C5"/>
    <w:rsid w:val="00707594"/>
    <w:rsid w:val="007100C4"/>
    <w:rsid w:val="00711861"/>
    <w:rsid w:val="00751E21"/>
    <w:rsid w:val="00754B43"/>
    <w:rsid w:val="007573A2"/>
    <w:rsid w:val="00761FDA"/>
    <w:rsid w:val="00787088"/>
    <w:rsid w:val="00787E7D"/>
    <w:rsid w:val="007D6774"/>
    <w:rsid w:val="007E2F6B"/>
    <w:rsid w:val="00811A43"/>
    <w:rsid w:val="008166AA"/>
    <w:rsid w:val="00841EAF"/>
    <w:rsid w:val="0084550D"/>
    <w:rsid w:val="00874BAE"/>
    <w:rsid w:val="008751F2"/>
    <w:rsid w:val="0087668D"/>
    <w:rsid w:val="00895B6B"/>
    <w:rsid w:val="008A427C"/>
    <w:rsid w:val="008B2142"/>
    <w:rsid w:val="008D7240"/>
    <w:rsid w:val="008E21E1"/>
    <w:rsid w:val="008E5B20"/>
    <w:rsid w:val="008F41C8"/>
    <w:rsid w:val="00920420"/>
    <w:rsid w:val="009364B0"/>
    <w:rsid w:val="009471EE"/>
    <w:rsid w:val="0096172C"/>
    <w:rsid w:val="0097413A"/>
    <w:rsid w:val="00974910"/>
    <w:rsid w:val="00981719"/>
    <w:rsid w:val="00982155"/>
    <w:rsid w:val="00994A48"/>
    <w:rsid w:val="009A5E4B"/>
    <w:rsid w:val="009D380E"/>
    <w:rsid w:val="009D691A"/>
    <w:rsid w:val="009E3516"/>
    <w:rsid w:val="009E7D35"/>
    <w:rsid w:val="00A03870"/>
    <w:rsid w:val="00A30A94"/>
    <w:rsid w:val="00A57806"/>
    <w:rsid w:val="00A62117"/>
    <w:rsid w:val="00A63E0A"/>
    <w:rsid w:val="00A663C4"/>
    <w:rsid w:val="00AC20BF"/>
    <w:rsid w:val="00AD1362"/>
    <w:rsid w:val="00AE174C"/>
    <w:rsid w:val="00AE3E9C"/>
    <w:rsid w:val="00B34B5F"/>
    <w:rsid w:val="00B41B0E"/>
    <w:rsid w:val="00B446C4"/>
    <w:rsid w:val="00B61AFA"/>
    <w:rsid w:val="00B7584A"/>
    <w:rsid w:val="00B769A4"/>
    <w:rsid w:val="00B944C9"/>
    <w:rsid w:val="00BD7081"/>
    <w:rsid w:val="00BF1EB5"/>
    <w:rsid w:val="00C0728A"/>
    <w:rsid w:val="00C15213"/>
    <w:rsid w:val="00C4030B"/>
    <w:rsid w:val="00C44B66"/>
    <w:rsid w:val="00C46165"/>
    <w:rsid w:val="00C62FB2"/>
    <w:rsid w:val="00C72DF8"/>
    <w:rsid w:val="00C808D1"/>
    <w:rsid w:val="00C94F25"/>
    <w:rsid w:val="00CA35BD"/>
    <w:rsid w:val="00CA4D53"/>
    <w:rsid w:val="00CB29A1"/>
    <w:rsid w:val="00CB3215"/>
    <w:rsid w:val="00CD699A"/>
    <w:rsid w:val="00CF35DD"/>
    <w:rsid w:val="00CF5A35"/>
    <w:rsid w:val="00D06A29"/>
    <w:rsid w:val="00D14F71"/>
    <w:rsid w:val="00D25665"/>
    <w:rsid w:val="00D331E0"/>
    <w:rsid w:val="00D47D5E"/>
    <w:rsid w:val="00D71041"/>
    <w:rsid w:val="00D97E23"/>
    <w:rsid w:val="00DA363E"/>
    <w:rsid w:val="00DA6D1C"/>
    <w:rsid w:val="00DC4FFE"/>
    <w:rsid w:val="00DD5B35"/>
    <w:rsid w:val="00DE7294"/>
    <w:rsid w:val="00E348A2"/>
    <w:rsid w:val="00E45C36"/>
    <w:rsid w:val="00E50FB9"/>
    <w:rsid w:val="00E627CB"/>
    <w:rsid w:val="00E72AD1"/>
    <w:rsid w:val="00E874B8"/>
    <w:rsid w:val="00EB54A7"/>
    <w:rsid w:val="00EB7ADA"/>
    <w:rsid w:val="00ED7C35"/>
    <w:rsid w:val="00EE23A0"/>
    <w:rsid w:val="00EE2D47"/>
    <w:rsid w:val="00EF1724"/>
    <w:rsid w:val="00F009BC"/>
    <w:rsid w:val="00F02FA1"/>
    <w:rsid w:val="00F037A9"/>
    <w:rsid w:val="00F05E1F"/>
    <w:rsid w:val="00F1248D"/>
    <w:rsid w:val="00F21918"/>
    <w:rsid w:val="00F43E32"/>
    <w:rsid w:val="00F5381F"/>
    <w:rsid w:val="00F55C99"/>
    <w:rsid w:val="00F56B61"/>
    <w:rsid w:val="00F66712"/>
    <w:rsid w:val="00F8526E"/>
    <w:rsid w:val="00FC322F"/>
    <w:rsid w:val="00FC3E54"/>
    <w:rsid w:val="00FD4AF6"/>
    <w:rsid w:val="00FE3A13"/>
    <w:rsid w:val="00FF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EBCA"/>
  <w15:chartTrackingRefBased/>
  <w15:docId w15:val="{92A38F94-9E20-477C-A96E-E20E0797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165"/>
    <w:rPr>
      <w:rFonts w:ascii="Arial" w:hAnsi="Arial"/>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16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6AA"/>
    <w:pPr>
      <w:ind w:left="720"/>
      <w:contextualSpacing/>
    </w:pPr>
  </w:style>
  <w:style w:type="paragraph" w:styleId="Header">
    <w:name w:val="header"/>
    <w:basedOn w:val="Normal"/>
    <w:link w:val="HeaderChar"/>
    <w:uiPriority w:val="99"/>
    <w:unhideWhenUsed/>
    <w:rsid w:val="00081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964"/>
    <w:rPr>
      <w:rFonts w:ascii="Arial" w:hAnsi="Arial"/>
      <w:sz w:val="20"/>
      <w:lang w:val="en-GB"/>
    </w:rPr>
  </w:style>
  <w:style w:type="paragraph" w:styleId="Footer">
    <w:name w:val="footer"/>
    <w:basedOn w:val="Normal"/>
    <w:link w:val="FooterChar"/>
    <w:uiPriority w:val="99"/>
    <w:unhideWhenUsed/>
    <w:rsid w:val="00081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964"/>
    <w:rPr>
      <w:rFonts w:ascii="Arial" w:hAnsi="Arial"/>
      <w:sz w:val="20"/>
      <w:lang w:val="en-GB"/>
    </w:rPr>
  </w:style>
  <w:style w:type="paragraph" w:styleId="Quote">
    <w:name w:val="Quote"/>
    <w:basedOn w:val="Normal"/>
    <w:next w:val="Normal"/>
    <w:link w:val="QuoteChar"/>
    <w:uiPriority w:val="29"/>
    <w:qFormat/>
    <w:rsid w:val="0092042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0420"/>
    <w:rPr>
      <w:rFonts w:ascii="Arial" w:hAnsi="Arial"/>
      <w:i/>
      <w:iCs/>
      <w:color w:val="404040" w:themeColor="text1" w:themeTint="BF"/>
      <w:sz w:val="20"/>
      <w:lang w:val="en-GB"/>
    </w:rPr>
  </w:style>
  <w:style w:type="paragraph" w:styleId="FootnoteText">
    <w:name w:val="footnote text"/>
    <w:basedOn w:val="Normal"/>
    <w:link w:val="FootnoteTextChar"/>
    <w:uiPriority w:val="99"/>
    <w:semiHidden/>
    <w:unhideWhenUsed/>
    <w:rsid w:val="004C4795"/>
    <w:pPr>
      <w:spacing w:after="0" w:line="240" w:lineRule="auto"/>
    </w:pPr>
    <w:rPr>
      <w:szCs w:val="20"/>
    </w:rPr>
  </w:style>
  <w:style w:type="character" w:customStyle="1" w:styleId="FootnoteTextChar">
    <w:name w:val="Footnote Text Char"/>
    <w:basedOn w:val="DefaultParagraphFont"/>
    <w:link w:val="FootnoteText"/>
    <w:uiPriority w:val="99"/>
    <w:semiHidden/>
    <w:rsid w:val="004C4795"/>
    <w:rPr>
      <w:rFonts w:ascii="Arial" w:hAnsi="Arial"/>
      <w:sz w:val="20"/>
      <w:szCs w:val="20"/>
      <w:lang w:val="en-GB"/>
    </w:rPr>
  </w:style>
  <w:style w:type="character" w:styleId="FootnoteReference">
    <w:name w:val="footnote reference"/>
    <w:basedOn w:val="DefaultParagraphFont"/>
    <w:uiPriority w:val="99"/>
    <w:semiHidden/>
    <w:unhideWhenUsed/>
    <w:rsid w:val="004C47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2285</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Linoa Sibanda</dc:creator>
  <cp:keywords/>
  <dc:description/>
  <cp:lastModifiedBy>Sathish</cp:lastModifiedBy>
  <cp:revision>3</cp:revision>
  <cp:lastPrinted>2023-10-27T07:49:00Z</cp:lastPrinted>
  <dcterms:created xsi:type="dcterms:W3CDTF">2023-12-19T09:41:00Z</dcterms:created>
  <dcterms:modified xsi:type="dcterms:W3CDTF">2023-12-28T19:06:00Z</dcterms:modified>
</cp:coreProperties>
</file>