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D571" w14:textId="77777777" w:rsidR="001E2697" w:rsidRPr="002C3752" w:rsidRDefault="001E2697" w:rsidP="001E2697">
      <w:pPr>
        <w:spacing w:line="360" w:lineRule="auto"/>
        <w:ind w:leftChars="-38" w:left="-91"/>
        <w:jc w:val="center"/>
        <w:rPr>
          <w:rFonts w:cs="Arial"/>
          <w:b/>
        </w:rPr>
      </w:pPr>
    </w:p>
    <w:p w14:paraId="18EF350F" w14:textId="77777777" w:rsidR="001E2697" w:rsidRPr="002C3752" w:rsidRDefault="001E2697" w:rsidP="001E2697">
      <w:pPr>
        <w:spacing w:line="360" w:lineRule="auto"/>
        <w:ind w:leftChars="-38" w:left="-91"/>
        <w:jc w:val="center"/>
        <w:rPr>
          <w:rFonts w:cs="Arial"/>
          <w:b/>
        </w:rPr>
      </w:pPr>
      <w:r w:rsidRPr="002C3752">
        <w:rPr>
          <w:rFonts w:cs="Arial"/>
          <w:b/>
        </w:rPr>
        <w:t>REPUBLIC OF SOUTH AFRICA</w:t>
      </w:r>
    </w:p>
    <w:p w14:paraId="2BD32E3B" w14:textId="77777777" w:rsidR="001E2697" w:rsidRPr="002C3752" w:rsidRDefault="001E2697" w:rsidP="001E2697">
      <w:pPr>
        <w:spacing w:line="360" w:lineRule="auto"/>
        <w:ind w:leftChars="-38" w:left="-91"/>
        <w:jc w:val="center"/>
        <w:rPr>
          <w:rFonts w:cs="Arial"/>
          <w:b/>
        </w:rPr>
      </w:pPr>
      <w:r w:rsidRPr="002C3752">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2C3752" w:rsidRDefault="001E2697" w:rsidP="001E2697">
      <w:pPr>
        <w:spacing w:line="360" w:lineRule="auto"/>
        <w:ind w:leftChars="-38" w:left="-91"/>
        <w:jc w:val="center"/>
        <w:rPr>
          <w:rFonts w:cs="Arial"/>
          <w:b/>
        </w:rPr>
      </w:pPr>
      <w:r w:rsidRPr="002C3752">
        <w:rPr>
          <w:rFonts w:cs="Arial"/>
          <w:b/>
        </w:rPr>
        <w:t>IN THE HIGH COURT OF SOUTH AFRICA</w:t>
      </w:r>
    </w:p>
    <w:p w14:paraId="4DE9DB44" w14:textId="0619354B" w:rsidR="001E2697" w:rsidRPr="002C3752" w:rsidRDefault="001E2697" w:rsidP="001E2697">
      <w:pPr>
        <w:spacing w:line="360" w:lineRule="auto"/>
        <w:ind w:leftChars="-38" w:left="-91"/>
        <w:jc w:val="center"/>
        <w:rPr>
          <w:rFonts w:cs="Arial"/>
          <w:b/>
        </w:rPr>
      </w:pPr>
      <w:r w:rsidRPr="002C3752">
        <w:rPr>
          <w:rFonts w:cs="Arial"/>
          <w:b/>
        </w:rPr>
        <w:t>GAUTENG DIVISION, JOHANNESBURG</w:t>
      </w:r>
    </w:p>
    <w:p w14:paraId="1F8D97D2" w14:textId="77777777" w:rsidR="001E2697" w:rsidRPr="002C3752" w:rsidRDefault="001E2697" w:rsidP="001E2697">
      <w:pPr>
        <w:widowControl w:val="0"/>
        <w:jc w:val="center"/>
        <w:rPr>
          <w:rFonts w:cs="Arial"/>
        </w:rPr>
      </w:pPr>
    </w:p>
    <w:p w14:paraId="16061E25" w14:textId="77777777" w:rsidR="001E2697" w:rsidRPr="002C3752" w:rsidRDefault="001E2697" w:rsidP="001E2697">
      <w:pPr>
        <w:widowControl w:val="0"/>
        <w:jc w:val="center"/>
        <w:rPr>
          <w:rFonts w:cs="Arial"/>
        </w:rPr>
      </w:pPr>
    </w:p>
    <w:p w14:paraId="47200069" w14:textId="05287318" w:rsidR="003A51A3" w:rsidRPr="003E4474" w:rsidRDefault="00D774C5" w:rsidP="003A51A3">
      <w:pPr>
        <w:tabs>
          <w:tab w:val="left" w:pos="-720"/>
        </w:tabs>
        <w:suppressAutoHyphens/>
        <w:jc w:val="right"/>
        <w:rPr>
          <w:rFonts w:cs="Arial"/>
          <w:b/>
          <w:bCs/>
          <w:spacing w:val="-3"/>
        </w:rPr>
      </w:pPr>
      <w:r>
        <w:rPr>
          <w:b/>
          <w:lang w:val="en-GB"/>
        </w:rPr>
        <w:t>CASE NO: 2023-008583</w:t>
      </w:r>
    </w:p>
    <w:p w14:paraId="31BC8F51" w14:textId="77777777" w:rsidR="003A51A3" w:rsidRPr="003E4474" w:rsidRDefault="003A51A3" w:rsidP="003A51A3">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A51A3" w:rsidRPr="003E4474" w14:paraId="10ECC927" w14:textId="77777777" w:rsidTr="00864DE1">
        <w:trPr>
          <w:trHeight w:val="2528"/>
        </w:trPr>
        <w:tc>
          <w:tcPr>
            <w:tcW w:w="5812" w:type="dxa"/>
            <w:tcBorders>
              <w:top w:val="single" w:sz="4" w:space="0" w:color="auto"/>
              <w:left w:val="single" w:sz="4" w:space="0" w:color="auto"/>
              <w:bottom w:val="single" w:sz="4" w:space="0" w:color="auto"/>
              <w:right w:val="single" w:sz="4" w:space="0" w:color="auto"/>
            </w:tcBorders>
          </w:tcPr>
          <w:p w14:paraId="29D2E1BB" w14:textId="77777777" w:rsidR="003A51A3" w:rsidRPr="003E4474" w:rsidRDefault="003A51A3" w:rsidP="00864DE1">
            <w:pPr>
              <w:jc w:val="both"/>
              <w:rPr>
                <w:rFonts w:cs="Arial"/>
                <w:sz w:val="16"/>
                <w:szCs w:val="16"/>
              </w:rPr>
            </w:pPr>
          </w:p>
          <w:p w14:paraId="1A2A8B78" w14:textId="77777777" w:rsidR="003A51A3" w:rsidRPr="003E4474" w:rsidRDefault="003A51A3" w:rsidP="00864DE1">
            <w:pPr>
              <w:ind w:left="180"/>
              <w:jc w:val="center"/>
              <w:rPr>
                <w:rFonts w:cs="Arial"/>
                <w:b/>
                <w:bCs/>
                <w:color w:val="FF0000"/>
                <w:sz w:val="18"/>
                <w:szCs w:val="18"/>
                <w:u w:val="single"/>
              </w:rPr>
            </w:pPr>
            <w:r w:rsidRPr="003E4474">
              <w:rPr>
                <w:rFonts w:cs="Arial"/>
                <w:b/>
                <w:bCs/>
                <w:color w:val="FF0000"/>
                <w:sz w:val="18"/>
                <w:szCs w:val="18"/>
                <w:u w:val="single"/>
              </w:rPr>
              <w:t>DELETE WHICHEVER IS NOT APPLICABLE</w:t>
            </w:r>
          </w:p>
          <w:p w14:paraId="6D352779" w14:textId="77777777" w:rsidR="003A51A3" w:rsidRPr="003E4474" w:rsidRDefault="003A51A3" w:rsidP="00864DE1">
            <w:pPr>
              <w:ind w:left="180"/>
              <w:jc w:val="center"/>
              <w:rPr>
                <w:rFonts w:cs="Arial"/>
                <w:b/>
                <w:bCs/>
                <w:color w:val="FF0000"/>
                <w:sz w:val="18"/>
                <w:szCs w:val="18"/>
                <w:u w:val="single"/>
              </w:rPr>
            </w:pPr>
          </w:p>
          <w:p w14:paraId="2B384598" w14:textId="6779AACC" w:rsidR="003A51A3" w:rsidRPr="003E4474" w:rsidRDefault="003A51A3" w:rsidP="00864DE1">
            <w:pPr>
              <w:spacing w:line="480" w:lineRule="auto"/>
              <w:ind w:left="180"/>
              <w:jc w:val="both"/>
              <w:rPr>
                <w:rFonts w:cs="Arial"/>
                <w:bCs/>
                <w:color w:val="FF0000"/>
                <w:sz w:val="18"/>
                <w:szCs w:val="18"/>
              </w:rPr>
            </w:pPr>
            <w:r w:rsidRPr="003E4474">
              <w:rPr>
                <w:rFonts w:cs="Arial"/>
                <w:bCs/>
                <w:color w:val="FF0000"/>
                <w:sz w:val="18"/>
                <w:szCs w:val="18"/>
              </w:rPr>
              <w:t xml:space="preserve">1.REPORTABLE:      </w:t>
            </w:r>
            <w:r w:rsidR="00FD6ED4">
              <w:rPr>
                <w:rFonts w:cs="Arial"/>
                <w:bCs/>
                <w:color w:val="FF0000"/>
                <w:sz w:val="18"/>
                <w:szCs w:val="18"/>
              </w:rPr>
              <w:t>NO</w:t>
            </w:r>
            <w:r w:rsidRPr="003E4474">
              <w:rPr>
                <w:rFonts w:cs="Arial"/>
                <w:bCs/>
                <w:color w:val="FF0000"/>
                <w:sz w:val="18"/>
                <w:szCs w:val="18"/>
              </w:rPr>
              <w:t xml:space="preserve">                                                             </w:t>
            </w:r>
          </w:p>
          <w:p w14:paraId="28D29CC8" w14:textId="1F8A2CCD" w:rsidR="003A51A3" w:rsidRPr="003E4474" w:rsidRDefault="003A51A3" w:rsidP="00864DE1">
            <w:pPr>
              <w:spacing w:line="480" w:lineRule="auto"/>
              <w:ind w:left="180"/>
              <w:jc w:val="both"/>
              <w:rPr>
                <w:rFonts w:cs="Arial"/>
                <w:bCs/>
                <w:color w:val="FF0000"/>
                <w:sz w:val="18"/>
                <w:szCs w:val="18"/>
              </w:rPr>
            </w:pPr>
            <w:r w:rsidRPr="003E4474">
              <w:rPr>
                <w:rFonts w:cs="Arial"/>
                <w:bCs/>
                <w:color w:val="FF0000"/>
                <w:sz w:val="18"/>
                <w:szCs w:val="18"/>
              </w:rPr>
              <w:t xml:space="preserve">2.OF INTEREST TO OTHER JUDGES:   </w:t>
            </w:r>
            <w:r w:rsidR="00FD6ED4">
              <w:rPr>
                <w:rFonts w:cs="Arial"/>
                <w:bCs/>
                <w:color w:val="FF0000"/>
                <w:sz w:val="18"/>
                <w:szCs w:val="18"/>
              </w:rPr>
              <w:t>NO</w:t>
            </w:r>
            <w:r w:rsidRPr="003E4474">
              <w:rPr>
                <w:rFonts w:cs="Arial"/>
                <w:bCs/>
                <w:color w:val="FF0000"/>
                <w:sz w:val="18"/>
                <w:szCs w:val="18"/>
              </w:rPr>
              <w:t xml:space="preserve">                             </w:t>
            </w:r>
          </w:p>
          <w:p w14:paraId="32D55FDA" w14:textId="56269B83" w:rsidR="003A51A3" w:rsidRPr="003E4474" w:rsidRDefault="003A51A3" w:rsidP="00864DE1">
            <w:pPr>
              <w:spacing w:line="480" w:lineRule="auto"/>
              <w:ind w:left="180"/>
              <w:jc w:val="both"/>
              <w:rPr>
                <w:rFonts w:cs="Arial"/>
                <w:bCs/>
                <w:color w:val="FF0000"/>
                <w:sz w:val="18"/>
                <w:szCs w:val="18"/>
              </w:rPr>
            </w:pPr>
            <w:r w:rsidRPr="003E4474">
              <w:rPr>
                <w:rFonts w:cs="Arial"/>
                <w:bCs/>
                <w:color w:val="FF0000"/>
                <w:sz w:val="18"/>
                <w:szCs w:val="18"/>
              </w:rPr>
              <w:t xml:space="preserve">3.REVISED    </w:t>
            </w:r>
            <w:r w:rsidR="00FD6ED4">
              <w:rPr>
                <w:rFonts w:cs="Arial"/>
                <w:bCs/>
                <w:color w:val="FF0000"/>
                <w:sz w:val="18"/>
                <w:szCs w:val="18"/>
              </w:rPr>
              <w:t>NO</w:t>
            </w:r>
            <w:r w:rsidRPr="003E4474">
              <w:rPr>
                <w:rFonts w:cs="Arial"/>
                <w:bCs/>
                <w:color w:val="FF0000"/>
                <w:sz w:val="18"/>
                <w:szCs w:val="18"/>
              </w:rPr>
              <w:t xml:space="preserve">                                                                        </w:t>
            </w:r>
          </w:p>
          <w:p w14:paraId="3ECAF4B4" w14:textId="77777777" w:rsidR="003A51A3" w:rsidRPr="003E4474" w:rsidRDefault="003A51A3" w:rsidP="00864DE1">
            <w:pPr>
              <w:spacing w:line="360" w:lineRule="auto"/>
              <w:ind w:left="180"/>
              <w:jc w:val="both"/>
              <w:rPr>
                <w:rFonts w:cs="Arial"/>
                <w:bCs/>
                <w:color w:val="FF0000"/>
                <w:sz w:val="18"/>
                <w:szCs w:val="18"/>
              </w:rPr>
            </w:pPr>
          </w:p>
          <w:p w14:paraId="0B1A7450" w14:textId="77777777" w:rsidR="003A51A3" w:rsidRPr="003E4474" w:rsidRDefault="003A51A3" w:rsidP="00864DE1">
            <w:pPr>
              <w:spacing w:line="360" w:lineRule="auto"/>
              <w:ind w:left="180"/>
              <w:jc w:val="both"/>
              <w:rPr>
                <w:rFonts w:cs="Arial"/>
                <w:sz w:val="16"/>
                <w:szCs w:val="16"/>
              </w:rPr>
            </w:pPr>
            <w:r w:rsidRPr="003E4474">
              <w:rPr>
                <w:rFonts w:cs="Arial"/>
                <w:b/>
                <w:bCs/>
                <w:color w:val="FF0000"/>
                <w:sz w:val="18"/>
                <w:szCs w:val="18"/>
              </w:rPr>
              <w:t xml:space="preserve">                                                                   Judge Dippenaar</w:t>
            </w:r>
          </w:p>
        </w:tc>
      </w:tr>
    </w:tbl>
    <w:p w14:paraId="66ED9776" w14:textId="77777777" w:rsidR="003A51A3" w:rsidRPr="003E4474" w:rsidRDefault="003A51A3" w:rsidP="003A51A3">
      <w:pPr>
        <w:tabs>
          <w:tab w:val="left" w:pos="-720"/>
        </w:tabs>
        <w:suppressAutoHyphens/>
        <w:rPr>
          <w:rFonts w:cs="Arial"/>
          <w:bCs/>
          <w:spacing w:val="-3"/>
        </w:rPr>
      </w:pPr>
    </w:p>
    <w:p w14:paraId="43D86FD8" w14:textId="77777777" w:rsidR="003A51A3" w:rsidRPr="003E4474" w:rsidRDefault="003A51A3" w:rsidP="003A51A3">
      <w:pPr>
        <w:tabs>
          <w:tab w:val="left" w:pos="-720"/>
        </w:tabs>
        <w:suppressAutoHyphens/>
        <w:rPr>
          <w:rFonts w:cs="Arial"/>
          <w:bCs/>
          <w:spacing w:val="-3"/>
        </w:rPr>
      </w:pPr>
    </w:p>
    <w:p w14:paraId="61479379" w14:textId="77777777" w:rsidR="003A51A3" w:rsidRPr="003E4474" w:rsidRDefault="003A51A3" w:rsidP="003A51A3">
      <w:pPr>
        <w:tabs>
          <w:tab w:val="left" w:pos="-720"/>
        </w:tabs>
        <w:suppressAutoHyphens/>
        <w:rPr>
          <w:rFonts w:cs="Arial"/>
          <w:bCs/>
          <w:spacing w:val="-3"/>
        </w:rPr>
      </w:pPr>
    </w:p>
    <w:p w14:paraId="11F17947" w14:textId="77777777" w:rsidR="003A51A3" w:rsidRPr="00BB4962" w:rsidRDefault="003A51A3" w:rsidP="003A51A3">
      <w:pPr>
        <w:ind w:left="360" w:hanging="360"/>
        <w:jc w:val="both"/>
        <w:rPr>
          <w:rFonts w:eastAsia="Calibri" w:cs="Arial"/>
          <w:b/>
          <w:bCs/>
        </w:rPr>
      </w:pPr>
    </w:p>
    <w:p w14:paraId="77C656FB" w14:textId="77777777" w:rsidR="003A51A3" w:rsidRPr="00BB4962" w:rsidRDefault="003A51A3" w:rsidP="003A51A3">
      <w:pPr>
        <w:ind w:left="360" w:hanging="360"/>
        <w:jc w:val="both"/>
        <w:rPr>
          <w:rFonts w:eastAsia="Calibri" w:cs="Arial"/>
        </w:rPr>
      </w:pPr>
      <w:r w:rsidRPr="00BB4962">
        <w:rPr>
          <w:rFonts w:eastAsia="Calibri" w:cs="Arial"/>
        </w:rPr>
        <w:t>In the matter between:</w:t>
      </w:r>
    </w:p>
    <w:p w14:paraId="0F03D23F" w14:textId="77777777" w:rsidR="003A51A3" w:rsidRPr="00BB4962" w:rsidRDefault="003A51A3" w:rsidP="003A51A3">
      <w:pPr>
        <w:ind w:left="360" w:hanging="360"/>
        <w:jc w:val="both"/>
        <w:rPr>
          <w:rFonts w:eastAsia="Calibri" w:cs="Arial"/>
        </w:rPr>
      </w:pPr>
    </w:p>
    <w:p w14:paraId="20A5867E" w14:textId="71A587BC" w:rsidR="003A51A3" w:rsidRPr="00BB4962" w:rsidRDefault="00D774C5" w:rsidP="003A51A3">
      <w:pPr>
        <w:ind w:left="360" w:hanging="360"/>
        <w:jc w:val="both"/>
        <w:rPr>
          <w:rFonts w:eastAsia="Calibri" w:cs="Arial"/>
        </w:rPr>
      </w:pPr>
      <w:r>
        <w:rPr>
          <w:rFonts w:eastAsia="Calibri" w:cs="Arial"/>
          <w:b/>
          <w:bCs/>
        </w:rPr>
        <w:t>MARY ANTOINETTE SCHALEKAMP</w:t>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t xml:space="preserve">          </w:t>
      </w:r>
      <w:r w:rsidR="0035520F">
        <w:rPr>
          <w:rFonts w:eastAsia="Calibri" w:cs="Arial"/>
          <w:b/>
          <w:bCs/>
        </w:rPr>
        <w:t xml:space="preserve">     </w:t>
      </w:r>
      <w:r w:rsidR="003A51A3" w:rsidRPr="00BB4962">
        <w:rPr>
          <w:rFonts w:eastAsia="Calibri" w:cs="Arial"/>
          <w:b/>
          <w:bCs/>
        </w:rPr>
        <w:t xml:space="preserve">     </w:t>
      </w:r>
      <w:r w:rsidR="003A51A3" w:rsidRPr="00BB4962">
        <w:rPr>
          <w:rFonts w:eastAsia="Calibri" w:cs="Arial"/>
        </w:rPr>
        <w:t>First Applicant</w:t>
      </w:r>
    </w:p>
    <w:p w14:paraId="09254DD1" w14:textId="77777777" w:rsidR="003A51A3" w:rsidRPr="00BB4962" w:rsidRDefault="003A51A3" w:rsidP="003A51A3">
      <w:pPr>
        <w:ind w:left="360" w:hanging="360"/>
        <w:jc w:val="both"/>
        <w:rPr>
          <w:rFonts w:eastAsia="Calibri" w:cs="Arial"/>
          <w:b/>
          <w:bCs/>
        </w:rPr>
      </w:pPr>
    </w:p>
    <w:p w14:paraId="77270DAF" w14:textId="6822BE2E" w:rsidR="003A51A3" w:rsidRDefault="00D774C5" w:rsidP="003A51A3">
      <w:pPr>
        <w:ind w:left="360" w:hanging="360"/>
        <w:jc w:val="both"/>
        <w:rPr>
          <w:rFonts w:eastAsia="Calibri" w:cs="Arial"/>
        </w:rPr>
      </w:pPr>
      <w:r>
        <w:rPr>
          <w:rFonts w:eastAsia="Calibri" w:cs="Arial"/>
          <w:b/>
          <w:bCs/>
        </w:rPr>
        <w:t>HENICO SHALEKAMP</w:t>
      </w:r>
      <w:r>
        <w:rPr>
          <w:rFonts w:eastAsia="Calibri" w:cs="Arial"/>
          <w:b/>
          <w:bCs/>
        </w:rPr>
        <w:tab/>
      </w:r>
      <w:r>
        <w:rPr>
          <w:rFonts w:eastAsia="Calibri" w:cs="Arial"/>
          <w:b/>
          <w:bCs/>
        </w:rPr>
        <w:tab/>
      </w:r>
      <w:r w:rsidR="003A51A3" w:rsidRPr="00BB4962">
        <w:rPr>
          <w:rFonts w:eastAsia="Calibri" w:cs="Arial"/>
          <w:b/>
          <w:bCs/>
        </w:rPr>
        <w:tab/>
      </w:r>
      <w:r w:rsidR="003A51A3" w:rsidRPr="00BB4962">
        <w:rPr>
          <w:rFonts w:eastAsia="Calibri" w:cs="Arial"/>
          <w:b/>
          <w:bCs/>
        </w:rPr>
        <w:tab/>
        <w:t xml:space="preserve">  </w:t>
      </w:r>
      <w:r w:rsidR="003A51A3" w:rsidRPr="00BB4962">
        <w:rPr>
          <w:rFonts w:eastAsia="Calibri" w:cs="Arial"/>
          <w:b/>
          <w:bCs/>
        </w:rPr>
        <w:tab/>
      </w:r>
      <w:r w:rsidR="003A51A3" w:rsidRPr="00BB4962">
        <w:rPr>
          <w:rFonts w:eastAsia="Calibri" w:cs="Arial"/>
          <w:b/>
          <w:bCs/>
        </w:rPr>
        <w:tab/>
        <w:t xml:space="preserve">         </w:t>
      </w:r>
      <w:r w:rsidR="0035520F">
        <w:rPr>
          <w:rFonts w:eastAsia="Calibri" w:cs="Arial"/>
          <w:b/>
          <w:bCs/>
        </w:rPr>
        <w:t xml:space="preserve">     </w:t>
      </w:r>
      <w:r w:rsidR="003A51A3" w:rsidRPr="00BB4962">
        <w:rPr>
          <w:rFonts w:eastAsia="Calibri" w:cs="Arial"/>
          <w:b/>
          <w:bCs/>
        </w:rPr>
        <w:t xml:space="preserve"> </w:t>
      </w:r>
      <w:r w:rsidR="003A51A3" w:rsidRPr="00BB4962">
        <w:rPr>
          <w:rFonts w:eastAsia="Calibri" w:cs="Arial"/>
        </w:rPr>
        <w:t>Second Applicant</w:t>
      </w:r>
    </w:p>
    <w:p w14:paraId="1EBD8EC2" w14:textId="0AA95075" w:rsidR="00D774C5" w:rsidRDefault="00D774C5" w:rsidP="003A51A3">
      <w:pPr>
        <w:ind w:left="360" w:hanging="360"/>
        <w:jc w:val="both"/>
        <w:rPr>
          <w:rFonts w:eastAsia="Calibri" w:cs="Arial"/>
        </w:rPr>
      </w:pPr>
    </w:p>
    <w:p w14:paraId="1C8042D7" w14:textId="013A3D14" w:rsidR="00D774C5" w:rsidRPr="00D774C5" w:rsidRDefault="00D774C5" w:rsidP="003A51A3">
      <w:pPr>
        <w:ind w:left="360" w:hanging="360"/>
        <w:jc w:val="both"/>
        <w:rPr>
          <w:rFonts w:eastAsia="Calibri" w:cs="Arial"/>
        </w:rPr>
      </w:pPr>
      <w:r>
        <w:rPr>
          <w:rFonts w:eastAsia="Calibri" w:cs="Arial"/>
          <w:b/>
        </w:rPr>
        <w:t>BIANCA ROOS</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 xml:space="preserve">        </w:t>
      </w:r>
      <w:r>
        <w:rPr>
          <w:rFonts w:eastAsia="Calibri" w:cs="Arial"/>
        </w:rPr>
        <w:t xml:space="preserve">Third Applicant </w:t>
      </w:r>
    </w:p>
    <w:p w14:paraId="151AD201" w14:textId="661494FA" w:rsidR="00D774C5" w:rsidRDefault="00D774C5" w:rsidP="003A51A3">
      <w:pPr>
        <w:ind w:left="360" w:hanging="360"/>
        <w:jc w:val="both"/>
        <w:rPr>
          <w:rFonts w:eastAsia="Calibri" w:cs="Arial"/>
          <w:b/>
        </w:rPr>
      </w:pPr>
    </w:p>
    <w:p w14:paraId="26587190" w14:textId="09084B92" w:rsidR="00D774C5" w:rsidRPr="00D774C5" w:rsidRDefault="00D774C5" w:rsidP="00D774C5">
      <w:pPr>
        <w:ind w:left="360" w:hanging="360"/>
        <w:jc w:val="both"/>
        <w:rPr>
          <w:rFonts w:eastAsia="Calibri" w:cs="Arial"/>
        </w:rPr>
      </w:pPr>
      <w:r>
        <w:rPr>
          <w:rFonts w:eastAsia="Calibri" w:cs="Arial"/>
          <w:b/>
        </w:rPr>
        <w:t>CARL MATTHEW VISSER</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 xml:space="preserve">      </w:t>
      </w:r>
      <w:r>
        <w:rPr>
          <w:rFonts w:eastAsia="Calibri" w:cs="Arial"/>
        </w:rPr>
        <w:t xml:space="preserve">Fourth Applicant </w:t>
      </w:r>
    </w:p>
    <w:p w14:paraId="0D67FC46" w14:textId="256FDFFA" w:rsidR="00D774C5" w:rsidRDefault="00D774C5" w:rsidP="00D774C5">
      <w:pPr>
        <w:ind w:left="360" w:hanging="360"/>
        <w:jc w:val="both"/>
        <w:rPr>
          <w:rFonts w:eastAsia="Calibri" w:cs="Arial"/>
          <w:b/>
        </w:rPr>
      </w:pPr>
    </w:p>
    <w:p w14:paraId="4FF037A3" w14:textId="554D8AE7" w:rsidR="00D774C5" w:rsidRPr="00D774C5" w:rsidRDefault="00D774C5" w:rsidP="00D774C5">
      <w:pPr>
        <w:ind w:left="360" w:hanging="360"/>
        <w:jc w:val="both"/>
        <w:rPr>
          <w:rFonts w:eastAsia="Calibri" w:cs="Arial"/>
        </w:rPr>
      </w:pPr>
      <w:r>
        <w:rPr>
          <w:rFonts w:eastAsia="Calibri" w:cs="Arial"/>
          <w:b/>
        </w:rPr>
        <w:t xml:space="preserve">FLORIS SCHALEKAMP    </w:t>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r>
      <w:r>
        <w:rPr>
          <w:rFonts w:eastAsia="Calibri" w:cs="Arial"/>
          <w:b/>
        </w:rPr>
        <w:tab/>
        <w:t xml:space="preserve">         </w:t>
      </w:r>
      <w:r>
        <w:rPr>
          <w:rFonts w:eastAsia="Calibri" w:cs="Arial"/>
        </w:rPr>
        <w:t xml:space="preserve">Fifth Applicant </w:t>
      </w:r>
    </w:p>
    <w:p w14:paraId="3044ECB5" w14:textId="77777777" w:rsidR="003A51A3" w:rsidRPr="00BB4962" w:rsidRDefault="003A51A3" w:rsidP="003A51A3">
      <w:pPr>
        <w:ind w:left="360" w:hanging="360"/>
        <w:jc w:val="both"/>
        <w:rPr>
          <w:rFonts w:eastAsia="Calibri" w:cs="Arial"/>
          <w:b/>
          <w:bCs/>
        </w:rPr>
      </w:pPr>
    </w:p>
    <w:p w14:paraId="5F39B897" w14:textId="77777777" w:rsidR="003A51A3" w:rsidRPr="00BB4962" w:rsidRDefault="003A51A3" w:rsidP="003A51A3">
      <w:pPr>
        <w:ind w:left="360" w:hanging="360"/>
        <w:jc w:val="both"/>
        <w:rPr>
          <w:rFonts w:eastAsia="Calibri" w:cs="Arial"/>
        </w:rPr>
      </w:pPr>
      <w:r w:rsidRPr="00BB4962">
        <w:rPr>
          <w:rFonts w:eastAsia="Calibri" w:cs="Arial"/>
        </w:rPr>
        <w:t>and</w:t>
      </w:r>
    </w:p>
    <w:p w14:paraId="446B54B8" w14:textId="77777777" w:rsidR="003A51A3" w:rsidRPr="00BB4962" w:rsidRDefault="003A51A3" w:rsidP="003A51A3">
      <w:pPr>
        <w:ind w:left="360" w:hanging="360"/>
        <w:jc w:val="both"/>
        <w:rPr>
          <w:rFonts w:eastAsia="Calibri" w:cs="Arial"/>
        </w:rPr>
      </w:pPr>
    </w:p>
    <w:p w14:paraId="7ACFC826" w14:textId="77777777" w:rsidR="00D774C5" w:rsidRDefault="003A51A3" w:rsidP="003A51A3">
      <w:pPr>
        <w:ind w:left="360" w:hanging="360"/>
        <w:jc w:val="both"/>
        <w:rPr>
          <w:rFonts w:eastAsia="Calibri" w:cs="Arial"/>
          <w:b/>
          <w:bCs/>
        </w:rPr>
      </w:pPr>
      <w:r w:rsidRPr="00BB4962">
        <w:rPr>
          <w:rFonts w:eastAsia="Calibri" w:cs="Arial"/>
          <w:b/>
          <w:bCs/>
        </w:rPr>
        <w:tab/>
      </w:r>
      <w:r w:rsidRPr="00BB4962">
        <w:rPr>
          <w:rFonts w:eastAsia="Calibri" w:cs="Arial"/>
          <w:b/>
          <w:bCs/>
        </w:rPr>
        <w:tab/>
        <w:t xml:space="preserve">           </w:t>
      </w:r>
      <w:r w:rsidRPr="00BB4962">
        <w:rPr>
          <w:rFonts w:eastAsia="Calibri" w:cs="Arial"/>
          <w:b/>
          <w:bCs/>
        </w:rPr>
        <w:tab/>
      </w:r>
    </w:p>
    <w:p w14:paraId="649DE4D8" w14:textId="51DFECEE" w:rsidR="003A51A3" w:rsidRPr="00BB4962" w:rsidRDefault="00C53935" w:rsidP="00C53935">
      <w:pPr>
        <w:jc w:val="both"/>
        <w:rPr>
          <w:rFonts w:eastAsia="Calibri" w:cs="Arial"/>
        </w:rPr>
      </w:pPr>
      <w:r>
        <w:rPr>
          <w:rFonts w:eastAsia="Calibri" w:cs="Arial"/>
          <w:b/>
        </w:rPr>
        <w:lastRenderedPageBreak/>
        <w:t xml:space="preserve">PKF OCTAGON CHARTERED ACCOUNTANTS </w:t>
      </w:r>
      <w:r>
        <w:rPr>
          <w:rFonts w:eastAsia="Calibri" w:cs="Arial"/>
          <w:b/>
        </w:rPr>
        <w:tab/>
      </w:r>
      <w:r>
        <w:rPr>
          <w:rFonts w:eastAsia="Calibri" w:cs="Arial"/>
          <w:b/>
        </w:rPr>
        <w:tab/>
      </w:r>
      <w:r>
        <w:rPr>
          <w:rFonts w:eastAsia="Calibri" w:cs="Arial"/>
          <w:b/>
        </w:rPr>
        <w:tab/>
        <w:t xml:space="preserve">     </w:t>
      </w:r>
      <w:r w:rsidR="003A51A3" w:rsidRPr="00BB4962">
        <w:rPr>
          <w:rFonts w:eastAsia="Calibri" w:cs="Arial"/>
        </w:rPr>
        <w:t>First Respondent</w:t>
      </w:r>
    </w:p>
    <w:p w14:paraId="18610FAF" w14:textId="77777777" w:rsidR="003A51A3" w:rsidRPr="00BB4962" w:rsidRDefault="003A51A3" w:rsidP="003A51A3">
      <w:pPr>
        <w:ind w:left="360" w:hanging="360"/>
        <w:jc w:val="both"/>
        <w:rPr>
          <w:rFonts w:eastAsia="Calibri" w:cs="Arial"/>
        </w:rPr>
      </w:pPr>
    </w:p>
    <w:p w14:paraId="5EA35E8D" w14:textId="197CFAB5" w:rsidR="003A51A3" w:rsidRPr="00BB4962" w:rsidRDefault="00C53935" w:rsidP="003A51A3">
      <w:pPr>
        <w:ind w:left="360" w:hanging="360"/>
        <w:jc w:val="both"/>
        <w:rPr>
          <w:rFonts w:eastAsia="Calibri" w:cs="Arial"/>
        </w:rPr>
      </w:pPr>
      <w:r w:rsidRPr="00C53935">
        <w:rPr>
          <w:rFonts w:eastAsia="Calibri" w:cs="Arial"/>
          <w:b/>
          <w:bCs/>
        </w:rPr>
        <w:t>WALDERMAR MAREK WASOWICS</w:t>
      </w:r>
      <w:r>
        <w:rPr>
          <w:rFonts w:eastAsia="Calibri" w:cs="Arial"/>
          <w:bCs/>
        </w:rPr>
        <w:tab/>
      </w:r>
      <w:r>
        <w:rPr>
          <w:rFonts w:eastAsia="Calibri" w:cs="Arial"/>
          <w:bCs/>
        </w:rPr>
        <w:tab/>
      </w:r>
      <w:r>
        <w:rPr>
          <w:rFonts w:eastAsia="Calibri" w:cs="Arial"/>
          <w:bCs/>
        </w:rPr>
        <w:tab/>
        <w:t xml:space="preserve">          </w:t>
      </w:r>
      <w:r w:rsidR="003A51A3" w:rsidRPr="00BB4962">
        <w:rPr>
          <w:rFonts w:eastAsia="Calibri" w:cs="Arial"/>
          <w:b/>
          <w:bCs/>
        </w:rPr>
        <w:tab/>
        <w:t xml:space="preserve">     </w:t>
      </w:r>
      <w:r>
        <w:rPr>
          <w:rFonts w:eastAsia="Calibri" w:cs="Arial"/>
          <w:b/>
          <w:bCs/>
        </w:rPr>
        <w:t xml:space="preserve">     </w:t>
      </w:r>
      <w:r w:rsidR="003A51A3" w:rsidRPr="00BB4962">
        <w:rPr>
          <w:rFonts w:eastAsia="Calibri" w:cs="Arial"/>
        </w:rPr>
        <w:t>Second Respondent</w:t>
      </w:r>
    </w:p>
    <w:p w14:paraId="3C6F26FB" w14:textId="1864DFF2" w:rsidR="003A51A3" w:rsidRPr="00BB4962" w:rsidRDefault="003A51A3" w:rsidP="003A51A3">
      <w:pPr>
        <w:ind w:left="360" w:hanging="360"/>
        <w:jc w:val="both"/>
        <w:rPr>
          <w:rFonts w:eastAsia="Calibri" w:cs="Arial"/>
          <w:b/>
          <w:bCs/>
        </w:rPr>
      </w:pPr>
    </w:p>
    <w:p w14:paraId="5728FFCC" w14:textId="0DA1D872" w:rsidR="003A51A3" w:rsidRPr="00BB4962" w:rsidRDefault="00C53935" w:rsidP="00C53935">
      <w:pPr>
        <w:jc w:val="both"/>
        <w:rPr>
          <w:rFonts w:eastAsia="Calibri" w:cs="Arial"/>
        </w:rPr>
      </w:pPr>
      <w:r>
        <w:rPr>
          <w:rFonts w:eastAsia="Calibri" w:cs="Arial"/>
          <w:b/>
          <w:bCs/>
        </w:rPr>
        <w:t xml:space="preserve">MELANI BROODRYK </w:t>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t xml:space="preserve">   </w:t>
      </w:r>
      <w:r w:rsidR="003A51A3" w:rsidRPr="00BB4962">
        <w:rPr>
          <w:rFonts w:eastAsia="Calibri" w:cs="Arial"/>
        </w:rPr>
        <w:t>Third Respondent</w:t>
      </w:r>
    </w:p>
    <w:p w14:paraId="62FE32E9" w14:textId="245ABA9D" w:rsidR="003A51A3" w:rsidRPr="00BB4962" w:rsidRDefault="003A51A3" w:rsidP="003A51A3">
      <w:pPr>
        <w:jc w:val="both"/>
        <w:rPr>
          <w:rFonts w:eastAsia="Calibri" w:cs="Arial"/>
          <w:b/>
          <w:bCs/>
        </w:rPr>
      </w:pPr>
    </w:p>
    <w:p w14:paraId="4CF3F66D" w14:textId="2D4DC56B" w:rsidR="003A51A3" w:rsidRPr="00BB4962" w:rsidRDefault="00C53935" w:rsidP="003A51A3">
      <w:pPr>
        <w:ind w:left="360" w:hanging="360"/>
        <w:jc w:val="both"/>
        <w:rPr>
          <w:rFonts w:eastAsia="Calibri" w:cs="Arial"/>
        </w:rPr>
      </w:pPr>
      <w:r>
        <w:rPr>
          <w:rFonts w:eastAsia="Calibri" w:cs="Arial"/>
          <w:b/>
          <w:bCs/>
        </w:rPr>
        <w:t>MUHAMMED ZIYAAD MOOSA</w:t>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sidR="003A51A3" w:rsidRPr="00BB4962">
        <w:rPr>
          <w:rFonts w:eastAsia="Calibri" w:cs="Arial"/>
        </w:rPr>
        <w:t xml:space="preserve"> Fourth Respondent</w:t>
      </w:r>
    </w:p>
    <w:p w14:paraId="46418F03" w14:textId="77777777" w:rsidR="003A51A3" w:rsidRPr="00BB4962" w:rsidRDefault="003A51A3" w:rsidP="003A51A3">
      <w:pPr>
        <w:ind w:left="360" w:hanging="360"/>
        <w:jc w:val="both"/>
        <w:rPr>
          <w:rFonts w:eastAsia="Calibri" w:cs="Arial"/>
          <w:b/>
          <w:bCs/>
        </w:rPr>
      </w:pPr>
    </w:p>
    <w:p w14:paraId="5C1830A4" w14:textId="7B040792" w:rsidR="003A51A3" w:rsidRPr="00BB4962" w:rsidRDefault="0035520F" w:rsidP="003A51A3">
      <w:pPr>
        <w:ind w:left="360" w:hanging="360"/>
        <w:jc w:val="both"/>
        <w:rPr>
          <w:rFonts w:eastAsia="Calibri" w:cs="Arial"/>
        </w:rPr>
      </w:pPr>
      <w:r>
        <w:rPr>
          <w:rFonts w:eastAsia="Calibri" w:cs="Arial"/>
          <w:b/>
          <w:bCs/>
        </w:rPr>
        <w:t>STEPHEN LESLIE TUCKER</w:t>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t xml:space="preserve">                   </w:t>
      </w:r>
      <w:r>
        <w:rPr>
          <w:rFonts w:eastAsia="Calibri" w:cs="Arial"/>
          <w:b/>
          <w:bCs/>
        </w:rPr>
        <w:t xml:space="preserve">                 </w:t>
      </w:r>
      <w:r w:rsidR="003A51A3" w:rsidRPr="00BB4962">
        <w:rPr>
          <w:rFonts w:eastAsia="Calibri" w:cs="Arial"/>
          <w:b/>
          <w:bCs/>
        </w:rPr>
        <w:t xml:space="preserve"> </w:t>
      </w:r>
      <w:r w:rsidR="003A51A3" w:rsidRPr="00BB4962">
        <w:rPr>
          <w:rFonts w:eastAsia="Calibri" w:cs="Arial"/>
        </w:rPr>
        <w:t>Fifth Respondent</w:t>
      </w:r>
    </w:p>
    <w:p w14:paraId="270EF984" w14:textId="77777777" w:rsidR="003A51A3" w:rsidRPr="00BB4962" w:rsidRDefault="003A51A3" w:rsidP="003A51A3">
      <w:pPr>
        <w:ind w:left="360" w:hanging="360"/>
        <w:jc w:val="both"/>
        <w:rPr>
          <w:rFonts w:eastAsia="Calibri" w:cs="Arial"/>
          <w:b/>
          <w:bCs/>
        </w:rPr>
      </w:pPr>
    </w:p>
    <w:p w14:paraId="0487130D" w14:textId="5D7D71ED" w:rsidR="003A51A3" w:rsidRPr="00BB4962" w:rsidRDefault="0035520F" w:rsidP="003A51A3">
      <w:pPr>
        <w:ind w:left="360" w:hanging="360"/>
        <w:jc w:val="both"/>
        <w:rPr>
          <w:rFonts w:eastAsia="Calibri" w:cs="Arial"/>
        </w:rPr>
      </w:pPr>
      <w:r>
        <w:rPr>
          <w:rFonts w:eastAsia="Calibri" w:cs="Arial"/>
          <w:b/>
          <w:bCs/>
        </w:rPr>
        <w:t>NICOLE NOWAK THOMPSON</w:t>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t xml:space="preserve">          </w:t>
      </w:r>
      <w:r w:rsidR="003A51A3" w:rsidRPr="00BB4962">
        <w:rPr>
          <w:rFonts w:eastAsia="Calibri" w:cs="Arial"/>
          <w:b/>
          <w:bCs/>
        </w:rPr>
        <w:tab/>
        <w:t xml:space="preserve">     </w:t>
      </w:r>
      <w:r>
        <w:rPr>
          <w:rFonts w:eastAsia="Calibri" w:cs="Arial"/>
          <w:b/>
          <w:bCs/>
        </w:rPr>
        <w:t xml:space="preserve">      </w:t>
      </w:r>
      <w:r w:rsidR="003A51A3" w:rsidRPr="00BB4962">
        <w:rPr>
          <w:rFonts w:eastAsia="Calibri" w:cs="Arial"/>
          <w:b/>
          <w:bCs/>
        </w:rPr>
        <w:t xml:space="preserve">   </w:t>
      </w:r>
      <w:r w:rsidR="003A51A3" w:rsidRPr="00BB4962">
        <w:rPr>
          <w:rFonts w:eastAsia="Calibri" w:cs="Arial"/>
        </w:rPr>
        <w:t>Sixth Respondent</w:t>
      </w:r>
    </w:p>
    <w:p w14:paraId="4CF281E2" w14:textId="77777777" w:rsidR="003A51A3" w:rsidRPr="00BB4962" w:rsidRDefault="003A51A3" w:rsidP="003A51A3">
      <w:pPr>
        <w:ind w:left="360" w:hanging="360"/>
        <w:jc w:val="both"/>
        <w:rPr>
          <w:rFonts w:eastAsia="Calibri" w:cs="Arial"/>
        </w:rPr>
      </w:pPr>
    </w:p>
    <w:p w14:paraId="0E6DA2BB" w14:textId="7EF7C8BB" w:rsidR="003A51A3" w:rsidRPr="00BB4962" w:rsidRDefault="0035520F" w:rsidP="003A51A3">
      <w:pPr>
        <w:ind w:left="360" w:hanging="360"/>
        <w:jc w:val="both"/>
        <w:rPr>
          <w:rFonts w:eastAsia="Calibri" w:cs="Arial"/>
          <w:bCs/>
        </w:rPr>
      </w:pPr>
      <w:r>
        <w:rPr>
          <w:rFonts w:eastAsia="Calibri" w:cs="Arial"/>
          <w:b/>
        </w:rPr>
        <w:t xml:space="preserve">MONIQUE VAN WYK </w:t>
      </w:r>
      <w:r>
        <w:rPr>
          <w:rFonts w:eastAsia="Calibri" w:cs="Arial"/>
          <w:b/>
        </w:rPr>
        <w:tab/>
      </w:r>
      <w:r>
        <w:rPr>
          <w:rFonts w:eastAsia="Calibri" w:cs="Arial"/>
          <w:b/>
        </w:rPr>
        <w:tab/>
      </w:r>
      <w:r>
        <w:rPr>
          <w:rFonts w:eastAsia="Calibri" w:cs="Arial"/>
          <w:b/>
        </w:rPr>
        <w:tab/>
      </w:r>
      <w:r>
        <w:rPr>
          <w:rFonts w:eastAsia="Calibri" w:cs="Arial"/>
          <w:b/>
        </w:rPr>
        <w:tab/>
      </w:r>
      <w:r w:rsidR="003A51A3" w:rsidRPr="00BB4962">
        <w:rPr>
          <w:rFonts w:eastAsia="Calibri" w:cs="Arial"/>
          <w:b/>
        </w:rPr>
        <w:tab/>
      </w:r>
      <w:r w:rsidR="003A51A3" w:rsidRPr="00BB4962">
        <w:rPr>
          <w:rFonts w:eastAsia="Calibri" w:cs="Arial"/>
          <w:b/>
        </w:rPr>
        <w:tab/>
        <w:t xml:space="preserve">  </w:t>
      </w:r>
      <w:r>
        <w:rPr>
          <w:rFonts w:eastAsia="Calibri" w:cs="Arial"/>
          <w:b/>
        </w:rPr>
        <w:t xml:space="preserve">     </w:t>
      </w:r>
      <w:r w:rsidR="003A51A3" w:rsidRPr="00BB4962">
        <w:rPr>
          <w:rFonts w:eastAsia="Calibri" w:cs="Arial"/>
          <w:b/>
        </w:rPr>
        <w:t xml:space="preserve">  </w:t>
      </w:r>
      <w:r w:rsidR="003A51A3" w:rsidRPr="00BB4962">
        <w:rPr>
          <w:rFonts w:eastAsia="Calibri" w:cs="Arial"/>
          <w:bCs/>
        </w:rPr>
        <w:t>Seventh Respondent</w:t>
      </w:r>
    </w:p>
    <w:p w14:paraId="283F86FB" w14:textId="6E43B9BD" w:rsidR="003A51A3" w:rsidRPr="0035520F" w:rsidRDefault="003A51A3" w:rsidP="003A51A3">
      <w:pPr>
        <w:jc w:val="both"/>
        <w:rPr>
          <w:rFonts w:eastAsia="Calibri" w:cs="Arial"/>
        </w:rPr>
      </w:pPr>
      <w:r w:rsidRPr="00BB4962">
        <w:rPr>
          <w:rFonts w:eastAsia="Calibri" w:cs="Arial"/>
          <w:b/>
        </w:rPr>
        <w:tab/>
      </w:r>
      <w:r w:rsidRPr="00BB4962">
        <w:rPr>
          <w:rFonts w:eastAsia="Calibri" w:cs="Arial"/>
          <w:b/>
        </w:rPr>
        <w:tab/>
      </w:r>
      <w:r w:rsidRPr="00BB4962">
        <w:rPr>
          <w:rFonts w:eastAsia="Calibri" w:cs="Arial"/>
          <w:b/>
        </w:rPr>
        <w:tab/>
      </w:r>
      <w:r w:rsidRPr="00BB4962">
        <w:rPr>
          <w:rFonts w:eastAsia="Calibri" w:cs="Arial"/>
          <w:b/>
        </w:rPr>
        <w:tab/>
      </w:r>
      <w:r w:rsidRPr="00BB4962">
        <w:rPr>
          <w:rFonts w:eastAsia="Calibri" w:cs="Arial"/>
          <w:b/>
        </w:rPr>
        <w:tab/>
        <w:t xml:space="preserve">                  </w:t>
      </w:r>
    </w:p>
    <w:p w14:paraId="282A119E" w14:textId="17A12529" w:rsidR="003A51A3" w:rsidRPr="00BB4962" w:rsidRDefault="0035520F" w:rsidP="003A51A3">
      <w:pPr>
        <w:ind w:left="360" w:hanging="360"/>
        <w:jc w:val="both"/>
        <w:rPr>
          <w:rFonts w:eastAsia="Calibri" w:cs="Arial"/>
        </w:rPr>
      </w:pPr>
      <w:r>
        <w:rPr>
          <w:rFonts w:eastAsia="Calibri" w:cs="Arial"/>
          <w:b/>
        </w:rPr>
        <w:t>CHARLES MAZHINDU</w:t>
      </w:r>
      <w:r w:rsidR="003A51A3" w:rsidRPr="00BB4962">
        <w:rPr>
          <w:rFonts w:eastAsia="Calibri" w:cs="Arial"/>
        </w:rPr>
        <w:tab/>
      </w:r>
      <w:r w:rsidR="003A51A3" w:rsidRPr="00BB4962">
        <w:rPr>
          <w:rFonts w:eastAsia="Calibri" w:cs="Arial"/>
        </w:rPr>
        <w:tab/>
      </w:r>
      <w:r w:rsidR="003A51A3" w:rsidRPr="00BB4962">
        <w:rPr>
          <w:rFonts w:eastAsia="Calibri" w:cs="Arial"/>
        </w:rPr>
        <w:tab/>
      </w:r>
      <w:r w:rsidR="003A51A3" w:rsidRPr="00BB4962">
        <w:rPr>
          <w:rFonts w:eastAsia="Calibri" w:cs="Arial"/>
        </w:rPr>
        <w:tab/>
      </w:r>
      <w:r w:rsidR="003A51A3" w:rsidRPr="00BB4962">
        <w:rPr>
          <w:rFonts w:eastAsia="Calibri" w:cs="Arial"/>
        </w:rPr>
        <w:tab/>
      </w:r>
      <w:r w:rsidR="003A51A3" w:rsidRPr="00BB4962">
        <w:rPr>
          <w:rFonts w:eastAsia="Calibri" w:cs="Arial"/>
        </w:rPr>
        <w:tab/>
        <w:t xml:space="preserve">       </w:t>
      </w:r>
      <w:r>
        <w:rPr>
          <w:rFonts w:eastAsia="Calibri" w:cs="Arial"/>
        </w:rPr>
        <w:t xml:space="preserve">     </w:t>
      </w:r>
      <w:r w:rsidR="003A51A3" w:rsidRPr="00BB4962">
        <w:rPr>
          <w:rFonts w:eastAsia="Calibri" w:cs="Arial"/>
        </w:rPr>
        <w:t>Eighth Respondent</w:t>
      </w:r>
    </w:p>
    <w:p w14:paraId="70F2AA58" w14:textId="77777777" w:rsidR="003A51A3" w:rsidRPr="00BB4962" w:rsidRDefault="003A51A3" w:rsidP="003A51A3">
      <w:pPr>
        <w:ind w:left="360" w:hanging="360"/>
        <w:jc w:val="both"/>
        <w:rPr>
          <w:rFonts w:eastAsia="Calibri" w:cs="Arial"/>
        </w:rPr>
      </w:pPr>
    </w:p>
    <w:p w14:paraId="287DEAE8" w14:textId="68BD2465" w:rsidR="003A51A3" w:rsidRPr="00BB4962" w:rsidRDefault="0035520F" w:rsidP="003A51A3">
      <w:pPr>
        <w:ind w:left="360" w:hanging="360"/>
        <w:jc w:val="both"/>
        <w:rPr>
          <w:rFonts w:eastAsia="Calibri" w:cs="Arial"/>
        </w:rPr>
      </w:pPr>
      <w:r>
        <w:rPr>
          <w:rFonts w:eastAsia="Calibri" w:cs="Arial"/>
          <w:b/>
          <w:bCs/>
        </w:rPr>
        <w:t>MATTHEW BERGER</w:t>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t xml:space="preserve"> </w:t>
      </w:r>
      <w:r w:rsidR="003A51A3" w:rsidRPr="00BB4962">
        <w:rPr>
          <w:rFonts w:eastAsia="Calibri" w:cs="Arial"/>
          <w:b/>
          <w:bCs/>
        </w:rPr>
        <w:tab/>
        <w:t xml:space="preserve">      </w:t>
      </w:r>
      <w:r>
        <w:rPr>
          <w:rFonts w:eastAsia="Calibri" w:cs="Arial"/>
          <w:b/>
          <w:bCs/>
        </w:rPr>
        <w:t xml:space="preserve">     </w:t>
      </w:r>
      <w:r w:rsidR="003A51A3" w:rsidRPr="00BB4962">
        <w:rPr>
          <w:rFonts w:eastAsia="Calibri" w:cs="Arial"/>
          <w:b/>
          <w:bCs/>
        </w:rPr>
        <w:t xml:space="preserve">   </w:t>
      </w:r>
      <w:r w:rsidR="003A51A3" w:rsidRPr="00BB4962">
        <w:rPr>
          <w:rFonts w:eastAsia="Calibri" w:cs="Arial"/>
        </w:rPr>
        <w:t>Ninth Respondent</w:t>
      </w:r>
    </w:p>
    <w:p w14:paraId="01A9805B" w14:textId="77777777" w:rsidR="003A51A3" w:rsidRPr="00BB4962" w:rsidRDefault="003A51A3" w:rsidP="003A51A3">
      <w:pPr>
        <w:jc w:val="both"/>
        <w:rPr>
          <w:rFonts w:eastAsia="Calibri" w:cs="Arial"/>
        </w:rPr>
      </w:pPr>
    </w:p>
    <w:p w14:paraId="4CBBC693" w14:textId="46138979" w:rsidR="003A51A3" w:rsidRPr="0035520F" w:rsidRDefault="0035520F" w:rsidP="0035520F">
      <w:pPr>
        <w:ind w:left="360" w:hanging="360"/>
        <w:jc w:val="both"/>
        <w:rPr>
          <w:rFonts w:eastAsia="Calibri" w:cs="Arial"/>
        </w:rPr>
      </w:pPr>
      <w:r>
        <w:rPr>
          <w:rFonts w:eastAsia="Calibri" w:cs="Arial"/>
          <w:b/>
          <w:bCs/>
        </w:rPr>
        <w:t>OUEMAKOUA ALISTER CHABI</w:t>
      </w:r>
      <w:r>
        <w:rPr>
          <w:rFonts w:eastAsia="Calibri" w:cs="Arial"/>
          <w:b/>
          <w:bCs/>
        </w:rPr>
        <w:tab/>
      </w:r>
      <w:r>
        <w:rPr>
          <w:rFonts w:eastAsia="Calibri" w:cs="Arial"/>
          <w:b/>
          <w:bCs/>
        </w:rPr>
        <w:tab/>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r>
      <w:r w:rsidR="003A51A3" w:rsidRPr="00BB4962">
        <w:rPr>
          <w:rFonts w:eastAsia="Calibri" w:cs="Arial"/>
        </w:rPr>
        <w:t xml:space="preserve">      </w:t>
      </w:r>
      <w:r>
        <w:rPr>
          <w:rFonts w:eastAsia="Calibri" w:cs="Arial"/>
        </w:rPr>
        <w:t xml:space="preserve">     </w:t>
      </w:r>
      <w:r w:rsidR="003A51A3" w:rsidRPr="00BB4962">
        <w:rPr>
          <w:rFonts w:eastAsia="Calibri" w:cs="Arial"/>
        </w:rPr>
        <w:t xml:space="preserve">  Tenth Respondent</w:t>
      </w:r>
    </w:p>
    <w:p w14:paraId="5ABDC9B2" w14:textId="77777777" w:rsidR="003A51A3" w:rsidRPr="00BB4962" w:rsidRDefault="003A51A3" w:rsidP="003A51A3">
      <w:pPr>
        <w:jc w:val="both"/>
        <w:rPr>
          <w:rFonts w:eastAsia="Calibri" w:cs="Arial"/>
          <w:b/>
          <w:bCs/>
        </w:rPr>
      </w:pPr>
    </w:p>
    <w:p w14:paraId="3DEF98C4" w14:textId="018C30E8" w:rsidR="003A51A3" w:rsidRPr="00BB4962" w:rsidRDefault="0035520F" w:rsidP="003A51A3">
      <w:pPr>
        <w:ind w:left="360" w:hanging="360"/>
        <w:jc w:val="both"/>
        <w:rPr>
          <w:rFonts w:eastAsia="Calibri" w:cs="Arial"/>
        </w:rPr>
      </w:pPr>
      <w:r>
        <w:rPr>
          <w:rFonts w:eastAsia="Calibri" w:cs="Arial"/>
          <w:b/>
          <w:bCs/>
        </w:rPr>
        <w:t xml:space="preserve">CHRISTAL ANN PRETORIUS </w:t>
      </w:r>
      <w:r>
        <w:rPr>
          <w:rFonts w:eastAsia="Calibri" w:cs="Arial"/>
          <w:b/>
          <w:bCs/>
        </w:rPr>
        <w:tab/>
      </w:r>
      <w:r w:rsidR="003A51A3" w:rsidRPr="00BB4962">
        <w:rPr>
          <w:rFonts w:eastAsia="Calibri" w:cs="Arial"/>
          <w:b/>
          <w:bCs/>
        </w:rPr>
        <w:t xml:space="preserve">     </w:t>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t xml:space="preserve">          </w:t>
      </w:r>
      <w:r>
        <w:rPr>
          <w:rFonts w:eastAsia="Calibri" w:cs="Arial"/>
          <w:b/>
          <w:bCs/>
        </w:rPr>
        <w:t xml:space="preserve">     </w:t>
      </w:r>
      <w:r w:rsidR="003A51A3" w:rsidRPr="00BB4962">
        <w:rPr>
          <w:rFonts w:eastAsia="Calibri" w:cs="Arial"/>
          <w:b/>
          <w:bCs/>
        </w:rPr>
        <w:t xml:space="preserve">    </w:t>
      </w:r>
      <w:r w:rsidR="003A51A3" w:rsidRPr="00BB4962">
        <w:rPr>
          <w:rFonts w:eastAsia="Calibri" w:cs="Arial"/>
        </w:rPr>
        <w:t>Eleventh Respondent</w:t>
      </w:r>
    </w:p>
    <w:p w14:paraId="2BC46EA5" w14:textId="77777777" w:rsidR="003A51A3" w:rsidRPr="00BB4962" w:rsidRDefault="003A51A3" w:rsidP="003A51A3">
      <w:pPr>
        <w:ind w:left="360" w:hanging="360"/>
        <w:jc w:val="both"/>
        <w:rPr>
          <w:rFonts w:eastAsia="Calibri" w:cs="Arial"/>
          <w:b/>
          <w:bCs/>
        </w:rPr>
      </w:pPr>
    </w:p>
    <w:p w14:paraId="29D588CF" w14:textId="7E7B3A61" w:rsidR="003A51A3" w:rsidRPr="00BB4962" w:rsidRDefault="0035520F" w:rsidP="003A51A3">
      <w:pPr>
        <w:ind w:left="360" w:hanging="360"/>
        <w:jc w:val="both"/>
        <w:rPr>
          <w:rFonts w:eastAsia="Calibri" w:cs="Arial"/>
        </w:rPr>
      </w:pPr>
      <w:r>
        <w:rPr>
          <w:rFonts w:eastAsia="Calibri" w:cs="Arial"/>
          <w:b/>
          <w:bCs/>
        </w:rPr>
        <w:t>DESHEN RABINARAIN</w:t>
      </w:r>
      <w:r>
        <w:rPr>
          <w:rFonts w:eastAsia="Calibri" w:cs="Arial"/>
          <w:b/>
          <w:bCs/>
        </w:rPr>
        <w:tab/>
      </w:r>
      <w:r>
        <w:rPr>
          <w:rFonts w:eastAsia="Calibri" w:cs="Arial"/>
          <w:b/>
          <w:bCs/>
        </w:rPr>
        <w:tab/>
      </w:r>
      <w:r>
        <w:rPr>
          <w:rFonts w:eastAsia="Calibri" w:cs="Arial"/>
          <w:b/>
          <w:bCs/>
        </w:rPr>
        <w:tab/>
      </w:r>
      <w:r w:rsidR="003A51A3" w:rsidRPr="00BB4962">
        <w:rPr>
          <w:rFonts w:eastAsia="Calibri" w:cs="Arial"/>
          <w:b/>
          <w:bCs/>
        </w:rPr>
        <w:t xml:space="preserve">        </w:t>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r>
      <w:r>
        <w:rPr>
          <w:rFonts w:eastAsia="Calibri" w:cs="Arial"/>
          <w:b/>
          <w:bCs/>
        </w:rPr>
        <w:t xml:space="preserve">     </w:t>
      </w:r>
      <w:r w:rsidR="003A51A3" w:rsidRPr="00BB4962">
        <w:rPr>
          <w:rFonts w:eastAsia="Calibri" w:cs="Arial"/>
          <w:b/>
          <w:bCs/>
        </w:rPr>
        <w:t xml:space="preserve">      </w:t>
      </w:r>
      <w:r w:rsidR="003A51A3" w:rsidRPr="00BB4962">
        <w:rPr>
          <w:rFonts w:eastAsia="Calibri" w:cs="Arial"/>
        </w:rPr>
        <w:t>Twelfth Respondent</w:t>
      </w:r>
    </w:p>
    <w:p w14:paraId="7FEE3101" w14:textId="77777777" w:rsidR="003A51A3" w:rsidRPr="00BB4962" w:rsidRDefault="003A51A3" w:rsidP="003A51A3">
      <w:pPr>
        <w:ind w:left="360" w:hanging="360"/>
        <w:jc w:val="both"/>
        <w:rPr>
          <w:rFonts w:eastAsia="Calibri" w:cs="Arial"/>
          <w:b/>
          <w:bCs/>
        </w:rPr>
      </w:pPr>
    </w:p>
    <w:p w14:paraId="6FDB0253" w14:textId="6C236CDD" w:rsidR="003A51A3" w:rsidRPr="00BB4962" w:rsidRDefault="0035520F" w:rsidP="003A51A3">
      <w:pPr>
        <w:ind w:left="360" w:hanging="360"/>
        <w:jc w:val="both"/>
        <w:rPr>
          <w:rFonts w:eastAsia="Calibri" w:cs="Arial"/>
        </w:rPr>
      </w:pPr>
      <w:r>
        <w:rPr>
          <w:rFonts w:eastAsia="Calibri" w:cs="Arial"/>
          <w:b/>
          <w:bCs/>
        </w:rPr>
        <w:t>MOHAMMED MAYET</w:t>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t xml:space="preserve">    </w:t>
      </w:r>
      <w:r w:rsidR="003A51A3" w:rsidRPr="00BB4962">
        <w:rPr>
          <w:rFonts w:eastAsia="Calibri" w:cs="Arial"/>
          <w:b/>
          <w:bCs/>
        </w:rPr>
        <w:tab/>
      </w:r>
      <w:r w:rsidR="003A51A3" w:rsidRPr="00BB4962">
        <w:rPr>
          <w:rFonts w:eastAsia="Calibri" w:cs="Arial"/>
          <w:b/>
          <w:bCs/>
        </w:rPr>
        <w:tab/>
      </w:r>
      <w:r w:rsidR="003A51A3" w:rsidRPr="00BB4962">
        <w:rPr>
          <w:rFonts w:eastAsia="Calibri" w:cs="Arial"/>
          <w:b/>
          <w:bCs/>
        </w:rPr>
        <w:tab/>
      </w:r>
      <w:r>
        <w:rPr>
          <w:rFonts w:eastAsia="Calibri" w:cs="Arial"/>
          <w:b/>
          <w:bCs/>
        </w:rPr>
        <w:t xml:space="preserve">     </w:t>
      </w:r>
      <w:r w:rsidR="003A51A3" w:rsidRPr="00BB4962">
        <w:rPr>
          <w:rFonts w:eastAsia="Calibri" w:cs="Arial"/>
          <w:b/>
          <w:bCs/>
        </w:rPr>
        <w:t xml:space="preserve"> </w:t>
      </w:r>
      <w:r w:rsidR="003A51A3" w:rsidRPr="00BB4962">
        <w:rPr>
          <w:rFonts w:eastAsia="Calibri" w:cs="Arial"/>
        </w:rPr>
        <w:t>Thirteenth Respondent</w:t>
      </w:r>
    </w:p>
    <w:p w14:paraId="3FF519DF" w14:textId="77777777" w:rsidR="003A51A3" w:rsidRPr="00BB4962" w:rsidRDefault="003A51A3" w:rsidP="003A51A3">
      <w:pPr>
        <w:ind w:left="360" w:hanging="360"/>
        <w:jc w:val="both"/>
        <w:rPr>
          <w:rFonts w:eastAsia="Calibri" w:cs="Arial"/>
          <w:b/>
          <w:bCs/>
        </w:rPr>
      </w:pPr>
    </w:p>
    <w:p w14:paraId="38EE5342" w14:textId="0A353AA1" w:rsidR="003A51A3" w:rsidRDefault="0035520F" w:rsidP="003A51A3">
      <w:pPr>
        <w:ind w:left="360" w:hanging="360"/>
        <w:jc w:val="both"/>
        <w:rPr>
          <w:rFonts w:eastAsia="Calibri" w:cs="Arial"/>
        </w:rPr>
      </w:pPr>
      <w:r>
        <w:rPr>
          <w:rFonts w:eastAsia="Calibri" w:cs="Arial"/>
          <w:b/>
          <w:bCs/>
        </w:rPr>
        <w:t>ANTHONY FINEBERG</w:t>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r>
      <w:r>
        <w:rPr>
          <w:rFonts w:eastAsia="Calibri" w:cs="Arial"/>
          <w:b/>
          <w:bCs/>
        </w:rPr>
        <w:tab/>
        <w:t xml:space="preserve">     </w:t>
      </w:r>
      <w:r w:rsidR="003A51A3" w:rsidRPr="00BB4962">
        <w:rPr>
          <w:rFonts w:eastAsia="Calibri" w:cs="Arial"/>
        </w:rPr>
        <w:t>Fourteenth Respondent</w:t>
      </w:r>
    </w:p>
    <w:p w14:paraId="29FCDD40" w14:textId="77777777" w:rsidR="003A51A3" w:rsidRDefault="003A51A3" w:rsidP="003A51A3">
      <w:pPr>
        <w:ind w:left="360" w:hanging="360"/>
        <w:jc w:val="both"/>
        <w:rPr>
          <w:rFonts w:eastAsia="Calibri" w:cs="Arial"/>
        </w:rPr>
      </w:pPr>
    </w:p>
    <w:p w14:paraId="64C0A4A8" w14:textId="1088712F" w:rsidR="003A51A3" w:rsidRPr="00BB4962" w:rsidRDefault="0035520F" w:rsidP="003A51A3">
      <w:pPr>
        <w:ind w:left="360" w:hanging="360"/>
        <w:jc w:val="both"/>
        <w:rPr>
          <w:rFonts w:eastAsia="Calibri" w:cs="Arial"/>
        </w:rPr>
      </w:pPr>
      <w:r>
        <w:rPr>
          <w:rFonts w:eastAsia="Calibri" w:cs="Arial"/>
          <w:b/>
        </w:rPr>
        <w:t xml:space="preserve">SAVILLE PAIKEN </w:t>
      </w:r>
      <w:r w:rsidR="003A51A3" w:rsidRPr="004847D9">
        <w:rPr>
          <w:rFonts w:eastAsia="Calibri" w:cs="Arial"/>
          <w:b/>
        </w:rPr>
        <w:tab/>
      </w:r>
      <w:r>
        <w:rPr>
          <w:rFonts w:eastAsia="Calibri" w:cs="Arial"/>
        </w:rPr>
        <w:tab/>
      </w:r>
      <w:r>
        <w:rPr>
          <w:rFonts w:eastAsia="Calibri" w:cs="Arial"/>
        </w:rPr>
        <w:tab/>
      </w:r>
      <w:r>
        <w:rPr>
          <w:rFonts w:eastAsia="Calibri" w:cs="Arial"/>
        </w:rPr>
        <w:tab/>
      </w:r>
      <w:r>
        <w:rPr>
          <w:rFonts w:eastAsia="Calibri" w:cs="Arial"/>
        </w:rPr>
        <w:tab/>
        <w:t xml:space="preserve">              </w:t>
      </w:r>
      <w:r>
        <w:rPr>
          <w:rFonts w:eastAsia="Calibri" w:cs="Arial"/>
        </w:rPr>
        <w:tab/>
        <w:t xml:space="preserve">        Fifteenth Respondent </w:t>
      </w:r>
      <w:r w:rsidR="003A51A3">
        <w:rPr>
          <w:rFonts w:eastAsia="Calibri" w:cs="Arial"/>
        </w:rPr>
        <w:tab/>
      </w:r>
    </w:p>
    <w:p w14:paraId="4D79BB04" w14:textId="77777777" w:rsidR="003A51A3" w:rsidRDefault="003A51A3" w:rsidP="003A51A3">
      <w:pPr>
        <w:widowControl w:val="0"/>
        <w:tabs>
          <w:tab w:val="right" w:pos="9356"/>
        </w:tabs>
        <w:jc w:val="both"/>
        <w:rPr>
          <w:rFonts w:eastAsia="Calibri" w:cs="Arial"/>
          <w:b/>
          <w:bCs/>
          <w:lang w:val="en-US"/>
        </w:rPr>
      </w:pPr>
    </w:p>
    <w:p w14:paraId="52085734" w14:textId="77777777" w:rsidR="003A51A3" w:rsidRDefault="003A51A3" w:rsidP="003A51A3">
      <w:pPr>
        <w:widowControl w:val="0"/>
        <w:tabs>
          <w:tab w:val="right" w:pos="9356"/>
        </w:tabs>
        <w:jc w:val="both"/>
        <w:rPr>
          <w:rFonts w:eastAsia="Calibri" w:cs="Arial"/>
          <w:b/>
          <w:bCs/>
          <w:lang w:val="en-US"/>
        </w:rPr>
      </w:pPr>
    </w:p>
    <w:p w14:paraId="25063C0F" w14:textId="77777777" w:rsidR="003A51A3" w:rsidRPr="003E4474" w:rsidRDefault="003A51A3" w:rsidP="003A51A3">
      <w:pPr>
        <w:widowControl w:val="0"/>
        <w:tabs>
          <w:tab w:val="right" w:pos="9356"/>
        </w:tabs>
        <w:jc w:val="both"/>
        <w:rPr>
          <w:b/>
        </w:rPr>
      </w:pPr>
      <w:r w:rsidRPr="003E4474">
        <w:rPr>
          <w:b/>
        </w:rPr>
        <w:t xml:space="preserve">   </w:t>
      </w:r>
    </w:p>
    <w:p w14:paraId="7B3AE0F0" w14:textId="0E52B1DE" w:rsidR="003A51A3" w:rsidRPr="003E4474" w:rsidRDefault="003A51A3" w:rsidP="003A51A3">
      <w:pPr>
        <w:widowControl w:val="0"/>
        <w:pBdr>
          <w:top w:val="single" w:sz="4" w:space="12" w:color="auto"/>
          <w:bottom w:val="single" w:sz="4" w:space="12" w:color="auto"/>
        </w:pBdr>
        <w:jc w:val="center"/>
        <w:rPr>
          <w:rFonts w:cs="Arial"/>
          <w:b/>
          <w:lang w:val="en-US"/>
        </w:rPr>
      </w:pPr>
      <w:r w:rsidRPr="003E4474">
        <w:rPr>
          <w:rFonts w:cs="Arial"/>
          <w:b/>
          <w:lang w:val="en-US"/>
        </w:rPr>
        <w:t>JUDGMENT</w:t>
      </w:r>
    </w:p>
    <w:p w14:paraId="1CD4610F" w14:textId="77777777" w:rsidR="003A51A3" w:rsidRPr="00AE4B9F" w:rsidRDefault="003A51A3" w:rsidP="003A51A3">
      <w:pPr>
        <w:tabs>
          <w:tab w:val="left" w:pos="-720"/>
        </w:tabs>
        <w:suppressAutoHyphens/>
        <w:spacing w:line="360" w:lineRule="auto"/>
        <w:jc w:val="both"/>
        <w:rPr>
          <w:rFonts w:cs="Arial"/>
          <w:b/>
          <w:bCs/>
          <w:spacing w:val="-3"/>
          <w:sz w:val="28"/>
        </w:rPr>
      </w:pPr>
    </w:p>
    <w:p w14:paraId="1A9C3852" w14:textId="32A3E9EC" w:rsidR="003A51A3" w:rsidRPr="003E4474" w:rsidRDefault="003A51A3" w:rsidP="003A51A3">
      <w:pPr>
        <w:ind w:left="1440" w:hanging="1440"/>
        <w:jc w:val="both"/>
        <w:rPr>
          <w:rFonts w:cs="Arial"/>
        </w:rPr>
      </w:pPr>
      <w:r w:rsidRPr="003E4474">
        <w:rPr>
          <w:rFonts w:cs="Arial"/>
          <w:b/>
        </w:rPr>
        <w:t>Delivered:</w:t>
      </w:r>
      <w:r w:rsidRPr="003E4474">
        <w:rPr>
          <w:rFonts w:cs="Arial"/>
          <w:b/>
        </w:rPr>
        <w:tab/>
      </w:r>
      <w:r w:rsidRPr="003E4474">
        <w:rPr>
          <w:rFonts w:cs="Arial"/>
        </w:rPr>
        <w:t>This judg</w:t>
      </w:r>
      <w:r>
        <w:rPr>
          <w:rFonts w:cs="Arial"/>
        </w:rPr>
        <w:t>e</w:t>
      </w:r>
      <w:r w:rsidRPr="003E4474">
        <w:rPr>
          <w:rFonts w:cs="Arial"/>
        </w:rPr>
        <w:t>ment was handed down electronically by circulation to the parties’ legal representatives by e-mail. The date and time for hand-down is deemed to be 1</w:t>
      </w:r>
      <w:r w:rsidR="00530ED7">
        <w:rPr>
          <w:rFonts w:cs="Arial"/>
        </w:rPr>
        <w:t>0</w:t>
      </w:r>
      <w:r w:rsidRPr="003E4474">
        <w:rPr>
          <w:rFonts w:cs="Arial"/>
        </w:rPr>
        <w:t>h</w:t>
      </w:r>
      <w:r w:rsidR="00530ED7">
        <w:rPr>
          <w:rFonts w:cs="Arial"/>
        </w:rPr>
        <w:t>0</w:t>
      </w:r>
      <w:r w:rsidRPr="003E4474">
        <w:rPr>
          <w:rFonts w:cs="Arial"/>
        </w:rPr>
        <w:t>0 on the</w:t>
      </w:r>
      <w:r>
        <w:rPr>
          <w:rFonts w:cs="Arial"/>
        </w:rPr>
        <w:t xml:space="preserve"> </w:t>
      </w:r>
      <w:r w:rsidR="00EB0F11">
        <w:rPr>
          <w:rFonts w:cs="Arial"/>
        </w:rPr>
        <w:t>2</w:t>
      </w:r>
      <w:r w:rsidR="00530ED7">
        <w:rPr>
          <w:rFonts w:cs="Arial"/>
        </w:rPr>
        <w:t>1st</w:t>
      </w:r>
      <w:r w:rsidRPr="003E4474">
        <w:rPr>
          <w:rFonts w:cs="Arial"/>
        </w:rPr>
        <w:t xml:space="preserve"> of </w:t>
      </w:r>
      <w:r w:rsidR="0035520F">
        <w:rPr>
          <w:rFonts w:cs="Arial"/>
        </w:rPr>
        <w:t>February</w:t>
      </w:r>
      <w:r>
        <w:rPr>
          <w:rFonts w:cs="Arial"/>
        </w:rPr>
        <w:t xml:space="preserve"> 2023</w:t>
      </w:r>
      <w:r w:rsidRPr="003E4474">
        <w:rPr>
          <w:rFonts w:cs="Arial"/>
        </w:rPr>
        <w:t>.</w:t>
      </w:r>
    </w:p>
    <w:p w14:paraId="54A5FD4D" w14:textId="77777777" w:rsidR="001E2697" w:rsidRPr="002C3752" w:rsidRDefault="001E2697" w:rsidP="001E2697">
      <w:pPr>
        <w:tabs>
          <w:tab w:val="left" w:pos="-720"/>
        </w:tabs>
        <w:suppressAutoHyphens/>
        <w:spacing w:line="360" w:lineRule="auto"/>
        <w:jc w:val="both"/>
        <w:rPr>
          <w:rFonts w:cs="Arial"/>
          <w:b/>
          <w:bCs/>
          <w:spacing w:val="-3"/>
          <w:u w:val="single"/>
        </w:rPr>
      </w:pPr>
    </w:p>
    <w:p w14:paraId="7EF343BE" w14:textId="77777777" w:rsidR="001E2697" w:rsidRPr="002C3752" w:rsidRDefault="001E2697" w:rsidP="001E2697">
      <w:pPr>
        <w:tabs>
          <w:tab w:val="left" w:pos="-720"/>
        </w:tabs>
        <w:suppressAutoHyphens/>
        <w:spacing w:line="360" w:lineRule="auto"/>
        <w:jc w:val="both"/>
        <w:rPr>
          <w:rFonts w:cs="Arial"/>
          <w:b/>
          <w:bCs/>
          <w:spacing w:val="-3"/>
          <w:u w:val="single"/>
        </w:rPr>
      </w:pPr>
    </w:p>
    <w:p w14:paraId="210BEE89" w14:textId="287968A7" w:rsidR="0039420D" w:rsidRDefault="001E2697" w:rsidP="00EC7CEF">
      <w:pPr>
        <w:tabs>
          <w:tab w:val="left" w:pos="-720"/>
        </w:tabs>
        <w:suppressAutoHyphens/>
        <w:spacing w:line="360" w:lineRule="auto"/>
        <w:jc w:val="both"/>
        <w:rPr>
          <w:rFonts w:cs="Arial"/>
          <w:b/>
          <w:bCs/>
          <w:spacing w:val="-3"/>
        </w:rPr>
      </w:pPr>
      <w:r w:rsidRPr="002C3752">
        <w:rPr>
          <w:rFonts w:cs="Arial"/>
          <w:b/>
          <w:bCs/>
          <w:spacing w:val="-3"/>
          <w:u w:val="single"/>
        </w:rPr>
        <w:t>DIPPENAAR J</w:t>
      </w:r>
      <w:r w:rsidRPr="002C3752">
        <w:rPr>
          <w:rFonts w:cs="Arial"/>
          <w:b/>
          <w:bCs/>
          <w:spacing w:val="-3"/>
        </w:rPr>
        <w:t>:</w:t>
      </w:r>
    </w:p>
    <w:p w14:paraId="54B0927A" w14:textId="77777777" w:rsidR="00EC7CEF" w:rsidRPr="00EC7CEF" w:rsidRDefault="00EC7CEF" w:rsidP="00EC7CEF">
      <w:pPr>
        <w:tabs>
          <w:tab w:val="left" w:pos="-720"/>
        </w:tabs>
        <w:suppressAutoHyphens/>
        <w:spacing w:line="360" w:lineRule="auto"/>
        <w:jc w:val="both"/>
        <w:rPr>
          <w:rFonts w:cs="Arial"/>
          <w:b/>
          <w:bCs/>
          <w:spacing w:val="-3"/>
        </w:rPr>
      </w:pPr>
    </w:p>
    <w:p w14:paraId="4DF07922" w14:textId="0C29B0F7" w:rsidR="00631C41" w:rsidRDefault="00126822" w:rsidP="00126822">
      <w:pPr>
        <w:pStyle w:val="level11"/>
        <w:numPr>
          <w:ilvl w:val="0"/>
          <w:numId w:val="0"/>
        </w:numPr>
        <w:spacing w:after="480" w:line="360" w:lineRule="auto"/>
        <w:jc w:val="both"/>
        <w:rPr>
          <w:rFonts w:cs="Arial"/>
          <w:lang w:val="en-US"/>
        </w:rPr>
      </w:pPr>
      <w:r>
        <w:rPr>
          <w:rFonts w:cs="Arial"/>
          <w:lang w:val="en-US"/>
        </w:rPr>
        <w:lastRenderedPageBreak/>
        <w:t>[1]</w:t>
      </w:r>
      <w:r>
        <w:rPr>
          <w:rFonts w:cs="Arial"/>
          <w:lang w:val="en-US"/>
        </w:rPr>
        <w:tab/>
      </w:r>
      <w:r w:rsidR="00BE334B" w:rsidRPr="002C3752">
        <w:rPr>
          <w:rFonts w:cs="Arial"/>
          <w:lang w:val="en-US"/>
        </w:rPr>
        <w:t>T</w:t>
      </w:r>
      <w:r w:rsidR="00CF0C79">
        <w:rPr>
          <w:rFonts w:cs="Arial"/>
          <w:lang w:val="en-US"/>
        </w:rPr>
        <w:t>he applicants seek by way of urgent application final interdic</w:t>
      </w:r>
      <w:r w:rsidR="00CE3ACF">
        <w:rPr>
          <w:rFonts w:cs="Arial"/>
          <w:lang w:val="en-US"/>
        </w:rPr>
        <w:t>tory relief aimed at restraining the repsondents from directly or indirectly persuading, enticing or inducin</w:t>
      </w:r>
      <w:r w:rsidR="009B61E1">
        <w:rPr>
          <w:rFonts w:cs="Arial"/>
          <w:lang w:val="en-US"/>
        </w:rPr>
        <w:t xml:space="preserve">g any of the applicants’ employees to terminate their employment with the applicant. They further seek an order restraining the respondents from </w:t>
      </w:r>
      <w:r w:rsidR="00377A22">
        <w:rPr>
          <w:rFonts w:cs="Arial"/>
          <w:lang w:val="en-US"/>
        </w:rPr>
        <w:t xml:space="preserve">enticing or </w:t>
      </w:r>
      <w:r w:rsidR="009B61E1">
        <w:rPr>
          <w:rFonts w:cs="Arial"/>
          <w:lang w:val="en-US"/>
        </w:rPr>
        <w:t>inducing any of the applicant’s clients to take their custom away from the applicants</w:t>
      </w:r>
      <w:r w:rsidR="00CF0C79">
        <w:rPr>
          <w:rFonts w:cs="Arial"/>
          <w:lang w:val="en-US"/>
        </w:rPr>
        <w:t>.</w:t>
      </w:r>
      <w:r w:rsidR="00511BBA">
        <w:rPr>
          <w:rFonts w:cs="Arial"/>
          <w:lang w:val="en-US"/>
        </w:rPr>
        <w:t xml:space="preserve"> </w:t>
      </w:r>
    </w:p>
    <w:p w14:paraId="16BA11D5" w14:textId="6F683798" w:rsidR="00631C41" w:rsidRDefault="00126822" w:rsidP="00126822">
      <w:pPr>
        <w:pStyle w:val="level11"/>
        <w:numPr>
          <w:ilvl w:val="0"/>
          <w:numId w:val="0"/>
        </w:numPr>
        <w:spacing w:after="480" w:line="360" w:lineRule="auto"/>
        <w:jc w:val="both"/>
        <w:rPr>
          <w:rFonts w:cs="Arial"/>
          <w:lang w:val="en-US"/>
        </w:rPr>
      </w:pPr>
      <w:r>
        <w:rPr>
          <w:rFonts w:cs="Arial"/>
          <w:lang w:val="en-US"/>
        </w:rPr>
        <w:t>[2]</w:t>
      </w:r>
      <w:r>
        <w:rPr>
          <w:rFonts w:cs="Arial"/>
          <w:lang w:val="en-US"/>
        </w:rPr>
        <w:tab/>
      </w:r>
      <w:r w:rsidR="00511BBA">
        <w:rPr>
          <w:rFonts w:cs="Arial"/>
          <w:lang w:val="en-US"/>
        </w:rPr>
        <w:t xml:space="preserve">The applicant’s case </w:t>
      </w:r>
      <w:r w:rsidR="00631C41">
        <w:rPr>
          <w:rFonts w:cs="Arial"/>
          <w:lang w:val="en-US"/>
        </w:rPr>
        <w:t xml:space="preserve">is squarely predicated on an order for specific performance of the </w:t>
      </w:r>
      <w:r w:rsidR="00511BBA">
        <w:rPr>
          <w:rFonts w:cs="Arial"/>
          <w:lang w:val="en-US"/>
        </w:rPr>
        <w:t>restraint of trade provisions in a partnership agreement</w:t>
      </w:r>
      <w:r w:rsidR="00631C41">
        <w:rPr>
          <w:rFonts w:cs="Arial"/>
          <w:lang w:val="en-US"/>
        </w:rPr>
        <w:t xml:space="preserve"> </w:t>
      </w:r>
      <w:r w:rsidR="00EB0F11">
        <w:rPr>
          <w:rFonts w:cs="Arial"/>
          <w:lang w:val="en-US"/>
        </w:rPr>
        <w:t xml:space="preserve">concluded between the parties </w:t>
      </w:r>
      <w:r w:rsidR="00377A22">
        <w:rPr>
          <w:rFonts w:cs="Arial"/>
          <w:lang w:val="en-US"/>
        </w:rPr>
        <w:t xml:space="preserve">on 17 </w:t>
      </w:r>
      <w:r w:rsidR="00EB0F11">
        <w:rPr>
          <w:rFonts w:cs="Arial"/>
          <w:lang w:val="en-US"/>
        </w:rPr>
        <w:t xml:space="preserve">March 2016 </w:t>
      </w:r>
      <w:r w:rsidR="00511BBA">
        <w:rPr>
          <w:rFonts w:cs="Arial"/>
          <w:lang w:val="en-US"/>
        </w:rPr>
        <w:t xml:space="preserve">and </w:t>
      </w:r>
      <w:r w:rsidR="00631C41">
        <w:rPr>
          <w:rFonts w:cs="Arial"/>
          <w:lang w:val="en-US"/>
        </w:rPr>
        <w:t xml:space="preserve">an </w:t>
      </w:r>
      <w:r w:rsidR="00377A22">
        <w:rPr>
          <w:rFonts w:cs="Arial"/>
          <w:lang w:val="en-US"/>
        </w:rPr>
        <w:t xml:space="preserve">undated </w:t>
      </w:r>
      <w:r w:rsidR="00511BBA">
        <w:rPr>
          <w:rFonts w:cs="Arial"/>
          <w:lang w:val="en-US"/>
        </w:rPr>
        <w:t xml:space="preserve">addendum thereto, concluded </w:t>
      </w:r>
      <w:r w:rsidR="00EB0F11">
        <w:rPr>
          <w:rFonts w:cs="Arial"/>
          <w:lang w:val="en-US"/>
        </w:rPr>
        <w:t xml:space="preserve">during 2022. The relief sought is </w:t>
      </w:r>
      <w:r w:rsidR="00631C41">
        <w:rPr>
          <w:rFonts w:cs="Arial"/>
          <w:lang w:val="en-US"/>
        </w:rPr>
        <w:t xml:space="preserve">in the form of a final interdict, pursuant to </w:t>
      </w:r>
      <w:r w:rsidR="00EB0F11">
        <w:rPr>
          <w:rFonts w:cs="Arial"/>
          <w:lang w:val="en-US"/>
        </w:rPr>
        <w:t>alleged</w:t>
      </w:r>
      <w:r w:rsidR="00631C41">
        <w:rPr>
          <w:rFonts w:cs="Arial"/>
          <w:lang w:val="en-US"/>
        </w:rPr>
        <w:t xml:space="preserve"> br</w:t>
      </w:r>
      <w:r w:rsidR="000A38A2">
        <w:rPr>
          <w:rFonts w:cs="Arial"/>
          <w:lang w:val="en-US"/>
        </w:rPr>
        <w:t>e</w:t>
      </w:r>
      <w:r w:rsidR="00631C41">
        <w:rPr>
          <w:rFonts w:cs="Arial"/>
          <w:lang w:val="en-US"/>
        </w:rPr>
        <w:t>ach</w:t>
      </w:r>
      <w:r w:rsidR="00EB0F11">
        <w:rPr>
          <w:rFonts w:cs="Arial"/>
          <w:lang w:val="en-US"/>
        </w:rPr>
        <w:t>es</w:t>
      </w:r>
      <w:r w:rsidR="00631C41">
        <w:rPr>
          <w:rFonts w:cs="Arial"/>
          <w:lang w:val="en-US"/>
        </w:rPr>
        <w:t xml:space="preserve"> of the restraint provis</w:t>
      </w:r>
      <w:r w:rsidR="000A38A2">
        <w:rPr>
          <w:rFonts w:cs="Arial"/>
          <w:lang w:val="en-US"/>
        </w:rPr>
        <w:t>i</w:t>
      </w:r>
      <w:r w:rsidR="00631C41">
        <w:rPr>
          <w:rFonts w:cs="Arial"/>
          <w:lang w:val="en-US"/>
        </w:rPr>
        <w:t xml:space="preserve">ons by the </w:t>
      </w:r>
      <w:r w:rsidR="000A38A2">
        <w:rPr>
          <w:rFonts w:cs="Arial"/>
          <w:lang w:val="en-US"/>
        </w:rPr>
        <w:t>respondent</w:t>
      </w:r>
      <w:r w:rsidR="00E82D47">
        <w:rPr>
          <w:rFonts w:cs="Arial"/>
          <w:lang w:val="en-US"/>
        </w:rPr>
        <w:t>s</w:t>
      </w:r>
      <w:r w:rsidR="00511BBA">
        <w:rPr>
          <w:rFonts w:cs="Arial"/>
          <w:lang w:val="en-US"/>
        </w:rPr>
        <w:t xml:space="preserve">. </w:t>
      </w:r>
      <w:r w:rsidR="002117A4">
        <w:rPr>
          <w:rFonts w:cs="Arial"/>
          <w:lang w:val="en-US"/>
        </w:rPr>
        <w:t xml:space="preserve">In the founding affidavit it </w:t>
      </w:r>
      <w:r w:rsidR="00631C41">
        <w:rPr>
          <w:rFonts w:cs="Arial"/>
          <w:lang w:val="en-US"/>
        </w:rPr>
        <w:t>was contended that the applicants established a clear right, an injury actually committed and a threat of injury reasonably apprehended and the absence of an alternative satisfactory remedy</w:t>
      </w:r>
      <w:r w:rsidR="002117A4">
        <w:rPr>
          <w:rFonts w:cs="Arial"/>
          <w:lang w:val="en-US"/>
        </w:rPr>
        <w:t xml:space="preserve"> and thus is entitled to a final interdict.</w:t>
      </w:r>
      <w:r w:rsidR="00631C41">
        <w:rPr>
          <w:rFonts w:cs="Arial"/>
          <w:lang w:val="en-US"/>
        </w:rPr>
        <w:t xml:space="preserve"> </w:t>
      </w:r>
    </w:p>
    <w:p w14:paraId="0D7A69C0" w14:textId="609280E8" w:rsidR="000A38A2" w:rsidRDefault="00126822" w:rsidP="00126822">
      <w:pPr>
        <w:pStyle w:val="level11"/>
        <w:numPr>
          <w:ilvl w:val="0"/>
          <w:numId w:val="0"/>
        </w:numPr>
        <w:spacing w:after="480" w:line="360" w:lineRule="auto"/>
        <w:jc w:val="both"/>
        <w:rPr>
          <w:rFonts w:cs="Arial"/>
          <w:lang w:val="en-US"/>
        </w:rPr>
      </w:pPr>
      <w:r>
        <w:rPr>
          <w:rFonts w:cs="Arial"/>
          <w:lang w:val="en-US"/>
        </w:rPr>
        <w:t>[3]</w:t>
      </w:r>
      <w:r>
        <w:rPr>
          <w:rFonts w:cs="Arial"/>
          <w:lang w:val="en-US"/>
        </w:rPr>
        <w:tab/>
      </w:r>
      <w:r w:rsidR="00631C41">
        <w:rPr>
          <w:rFonts w:cs="Arial"/>
          <w:lang w:val="en-US"/>
        </w:rPr>
        <w:t>In sum, the applicants’ case is that the</w:t>
      </w:r>
      <w:r w:rsidR="00377A22">
        <w:rPr>
          <w:rFonts w:cs="Arial"/>
          <w:lang w:val="en-US"/>
        </w:rPr>
        <w:t>ir</w:t>
      </w:r>
      <w:r w:rsidR="00631C41">
        <w:rPr>
          <w:rFonts w:cs="Arial"/>
          <w:lang w:val="en-US"/>
        </w:rPr>
        <w:t xml:space="preserve"> partnership </w:t>
      </w:r>
      <w:r w:rsidR="00377A22">
        <w:rPr>
          <w:rFonts w:cs="Arial"/>
          <w:lang w:val="en-US"/>
        </w:rPr>
        <w:t xml:space="preserve">with the first respondent </w:t>
      </w:r>
      <w:r w:rsidR="00631C41">
        <w:rPr>
          <w:rFonts w:cs="Arial"/>
          <w:lang w:val="en-US"/>
        </w:rPr>
        <w:t xml:space="preserve">was terminated by agreement with effect from </w:t>
      </w:r>
      <w:r w:rsidR="000A38A2">
        <w:rPr>
          <w:rFonts w:cs="Arial"/>
          <w:lang w:val="en-US"/>
        </w:rPr>
        <w:t>31 December 2022</w:t>
      </w:r>
      <w:r w:rsidR="00631C41">
        <w:rPr>
          <w:rFonts w:cs="Arial"/>
          <w:lang w:val="en-US"/>
        </w:rPr>
        <w:t xml:space="preserve">. </w:t>
      </w:r>
      <w:r w:rsidR="00511BBA">
        <w:rPr>
          <w:rFonts w:cs="Arial"/>
          <w:lang w:val="en-US"/>
        </w:rPr>
        <w:t xml:space="preserve">The applicants exited the partnership </w:t>
      </w:r>
      <w:r w:rsidR="00B239C0">
        <w:rPr>
          <w:rFonts w:cs="Arial"/>
          <w:lang w:val="en-US"/>
        </w:rPr>
        <w:t xml:space="preserve">during December 2022 together with some 78 employees </w:t>
      </w:r>
      <w:r w:rsidR="00511BBA">
        <w:rPr>
          <w:rFonts w:cs="Arial"/>
          <w:lang w:val="en-US"/>
        </w:rPr>
        <w:t xml:space="preserve">and are in the process of </w:t>
      </w:r>
      <w:r w:rsidR="00B239C0">
        <w:rPr>
          <w:rFonts w:cs="Arial"/>
          <w:lang w:val="en-US"/>
        </w:rPr>
        <w:t xml:space="preserve">implementing an agreement concluded with </w:t>
      </w:r>
      <w:r w:rsidR="00EB0F11">
        <w:rPr>
          <w:rFonts w:cs="Arial"/>
          <w:lang w:val="en-US"/>
        </w:rPr>
        <w:t xml:space="preserve">an international accounting firm, </w:t>
      </w:r>
      <w:r w:rsidR="00B239C0">
        <w:rPr>
          <w:rFonts w:cs="Arial"/>
          <w:lang w:val="en-US"/>
        </w:rPr>
        <w:t xml:space="preserve">Moore Infinity (“Moore”) to join that </w:t>
      </w:r>
      <w:r w:rsidR="00377A22">
        <w:rPr>
          <w:rFonts w:cs="Arial"/>
          <w:lang w:val="en-US"/>
        </w:rPr>
        <w:t>firm</w:t>
      </w:r>
      <w:r w:rsidR="00B239C0">
        <w:rPr>
          <w:rFonts w:cs="Arial"/>
          <w:lang w:val="en-US"/>
        </w:rPr>
        <w:t xml:space="preserve">. </w:t>
      </w:r>
      <w:r w:rsidR="00EB0F11">
        <w:rPr>
          <w:rFonts w:cs="Arial"/>
          <w:lang w:val="en-US"/>
        </w:rPr>
        <w:t xml:space="preserve">The aforesaid employees </w:t>
      </w:r>
      <w:r w:rsidR="00F64782">
        <w:rPr>
          <w:rFonts w:cs="Arial"/>
          <w:lang w:val="en-US"/>
        </w:rPr>
        <w:t xml:space="preserve">have been employed by Moore since 1 January 2023 and the first, third, fourth and fifth </w:t>
      </w:r>
      <w:r w:rsidR="00E82D47">
        <w:rPr>
          <w:rFonts w:cs="Arial"/>
          <w:lang w:val="en-US"/>
        </w:rPr>
        <w:t>applicants</w:t>
      </w:r>
      <w:r w:rsidR="00F64782">
        <w:rPr>
          <w:rFonts w:cs="Arial"/>
          <w:lang w:val="en-US"/>
        </w:rPr>
        <w:t xml:space="preserve"> have been appointed as directors of Moore. T</w:t>
      </w:r>
      <w:r w:rsidR="000A38A2">
        <w:rPr>
          <w:rFonts w:cs="Arial"/>
          <w:lang w:val="en-US"/>
        </w:rPr>
        <w:t xml:space="preserve">he parties are still in negotiations relating to the unbundling of the applicants’ interest in the first respondent partnership. The applicant’s clients directly account for an annual turnover of some R55 million per annum. </w:t>
      </w:r>
    </w:p>
    <w:p w14:paraId="230C91A7" w14:textId="6FA3236A" w:rsidR="00511BBA" w:rsidRDefault="00126822" w:rsidP="00126822">
      <w:pPr>
        <w:pStyle w:val="level11"/>
        <w:numPr>
          <w:ilvl w:val="0"/>
          <w:numId w:val="0"/>
        </w:numPr>
        <w:spacing w:after="480" w:line="360" w:lineRule="auto"/>
        <w:jc w:val="both"/>
        <w:rPr>
          <w:rFonts w:cs="Arial"/>
          <w:lang w:val="en-US"/>
        </w:rPr>
      </w:pPr>
      <w:r>
        <w:rPr>
          <w:rFonts w:cs="Arial"/>
          <w:lang w:val="en-US"/>
        </w:rPr>
        <w:t>[4]</w:t>
      </w:r>
      <w:r>
        <w:rPr>
          <w:rFonts w:cs="Arial"/>
          <w:lang w:val="en-US"/>
        </w:rPr>
        <w:tab/>
      </w:r>
      <w:r w:rsidR="00B239C0">
        <w:rPr>
          <w:rFonts w:cs="Arial"/>
          <w:lang w:val="en-US"/>
        </w:rPr>
        <w:t>The urgency contended for is predicated on the contention that the</w:t>
      </w:r>
      <w:r w:rsidR="00377A22">
        <w:rPr>
          <w:rFonts w:cs="Arial"/>
          <w:lang w:val="en-US"/>
        </w:rPr>
        <w:t xml:space="preserve"> applicants’</w:t>
      </w:r>
      <w:r w:rsidR="00B239C0">
        <w:rPr>
          <w:rFonts w:cs="Arial"/>
          <w:lang w:val="en-US"/>
        </w:rPr>
        <w:t xml:space="preserve"> client base constitutes the basis of the valu</w:t>
      </w:r>
      <w:r w:rsidR="00377A22">
        <w:rPr>
          <w:rFonts w:cs="Arial"/>
          <w:lang w:val="en-US"/>
        </w:rPr>
        <w:t>ation</w:t>
      </w:r>
      <w:r w:rsidR="00B239C0">
        <w:rPr>
          <w:rFonts w:cs="Arial"/>
          <w:lang w:val="en-US"/>
        </w:rPr>
        <w:t xml:space="preserve"> currently being negotiated with Moore and that the respondents have approached various of their clients and employees seeking to induce them to remain with the first respondent partnership.</w:t>
      </w:r>
    </w:p>
    <w:p w14:paraId="50C5F2A1" w14:textId="5A0E3F66" w:rsidR="00B239C0" w:rsidRDefault="00126822" w:rsidP="00126822">
      <w:pPr>
        <w:pStyle w:val="level11"/>
        <w:numPr>
          <w:ilvl w:val="0"/>
          <w:numId w:val="0"/>
        </w:numPr>
        <w:spacing w:after="480" w:line="360" w:lineRule="auto"/>
        <w:jc w:val="both"/>
        <w:rPr>
          <w:rFonts w:cs="Arial"/>
          <w:lang w:val="en-US"/>
        </w:rPr>
      </w:pPr>
      <w:r>
        <w:rPr>
          <w:rFonts w:cs="Arial"/>
          <w:lang w:val="en-US"/>
        </w:rPr>
        <w:lastRenderedPageBreak/>
        <w:t>[5]</w:t>
      </w:r>
      <w:r>
        <w:rPr>
          <w:rFonts w:cs="Arial"/>
          <w:lang w:val="en-US"/>
        </w:rPr>
        <w:tab/>
      </w:r>
      <w:r w:rsidR="00C405BA">
        <w:rPr>
          <w:rFonts w:cs="Arial"/>
          <w:lang w:val="en-US"/>
        </w:rPr>
        <w:t xml:space="preserve">In extensive answering papers, the respondents </w:t>
      </w:r>
      <w:r w:rsidR="00377A22">
        <w:rPr>
          <w:rFonts w:cs="Arial"/>
          <w:lang w:val="en-US"/>
        </w:rPr>
        <w:t xml:space="preserve">oppose the application on numerous grounds and </w:t>
      </w:r>
      <w:r w:rsidR="00B239C0">
        <w:rPr>
          <w:rFonts w:cs="Arial"/>
          <w:lang w:val="en-US"/>
        </w:rPr>
        <w:t>seek the dismissal of the application with a punitive costs order</w:t>
      </w:r>
      <w:r w:rsidR="00377A22">
        <w:rPr>
          <w:rFonts w:cs="Arial"/>
          <w:lang w:val="en-US"/>
        </w:rPr>
        <w:t>.</w:t>
      </w:r>
      <w:r w:rsidR="00C405BA">
        <w:rPr>
          <w:rFonts w:cs="Arial"/>
          <w:lang w:val="en-US"/>
        </w:rPr>
        <w:t xml:space="preserve"> </w:t>
      </w:r>
      <w:r w:rsidR="00B239C0">
        <w:rPr>
          <w:rFonts w:cs="Arial"/>
          <w:lang w:val="en-US"/>
        </w:rPr>
        <w:t xml:space="preserve">The second respondent is the deponent to the answering papers. No confirmatory affidavits were provided by the third to fifteenth respondents, despite the answering affidavit envisaging that such affidavits would be provided.  </w:t>
      </w:r>
    </w:p>
    <w:p w14:paraId="28944740" w14:textId="381A0A69" w:rsidR="00C405BA" w:rsidRPr="00377A22" w:rsidRDefault="00126822" w:rsidP="00126822">
      <w:pPr>
        <w:pStyle w:val="level11"/>
        <w:numPr>
          <w:ilvl w:val="0"/>
          <w:numId w:val="0"/>
        </w:numPr>
        <w:spacing w:after="480" w:line="360" w:lineRule="auto"/>
        <w:jc w:val="both"/>
        <w:rPr>
          <w:rFonts w:cs="Arial"/>
          <w:lang w:val="en-US"/>
        </w:rPr>
      </w:pPr>
      <w:r w:rsidRPr="00377A22">
        <w:rPr>
          <w:rFonts w:cs="Arial"/>
          <w:lang w:val="en-US"/>
        </w:rPr>
        <w:t>[6]</w:t>
      </w:r>
      <w:r w:rsidRPr="00377A22">
        <w:rPr>
          <w:rFonts w:cs="Arial"/>
          <w:lang w:val="en-US"/>
        </w:rPr>
        <w:tab/>
      </w:r>
      <w:r w:rsidR="00C405BA" w:rsidRPr="00377A22">
        <w:rPr>
          <w:rFonts w:cs="Arial"/>
          <w:lang w:val="en-US"/>
        </w:rPr>
        <w:t>The</w:t>
      </w:r>
      <w:r w:rsidR="00B239C0" w:rsidRPr="00377A22">
        <w:rPr>
          <w:rFonts w:cs="Arial"/>
          <w:lang w:val="en-US"/>
        </w:rPr>
        <w:t xml:space="preserve"> respondents</w:t>
      </w:r>
      <w:r w:rsidR="00C405BA" w:rsidRPr="00377A22">
        <w:rPr>
          <w:rFonts w:cs="Arial"/>
          <w:lang w:val="en-US"/>
        </w:rPr>
        <w:t xml:space="preserve"> challenge the urgency of the application and contend that no cognisable cause of action is made out,</w:t>
      </w:r>
      <w:r w:rsidR="00F64782" w:rsidRPr="00377A22">
        <w:rPr>
          <w:rFonts w:cs="Arial"/>
          <w:lang w:val="en-US"/>
        </w:rPr>
        <w:t xml:space="preserve"> predicated </w:t>
      </w:r>
      <w:r w:rsidR="00C405BA" w:rsidRPr="00377A22">
        <w:rPr>
          <w:rFonts w:cs="Arial"/>
          <w:lang w:val="en-US"/>
        </w:rPr>
        <w:t xml:space="preserve">on a particular interpretation of the restraint provisions in the partnership agreement. </w:t>
      </w:r>
      <w:r w:rsidR="00377A22" w:rsidRPr="00377A22">
        <w:rPr>
          <w:rFonts w:cs="Arial"/>
          <w:lang w:val="en-US"/>
        </w:rPr>
        <w:t>Their case in sum is that the applicants have not illustrated a clear right to relief and that the applicants lack the requisite right to claim enforcement of clause 20</w:t>
      </w:r>
      <w:r w:rsidR="00E82D47">
        <w:rPr>
          <w:rFonts w:cs="Arial"/>
          <w:lang w:val="en-US"/>
        </w:rPr>
        <w:t xml:space="preserve"> of the partnership agreement</w:t>
      </w:r>
      <w:r w:rsidR="00377A22" w:rsidRPr="00377A22">
        <w:rPr>
          <w:rFonts w:cs="Arial"/>
          <w:lang w:val="en-US"/>
        </w:rPr>
        <w:t>.</w:t>
      </w:r>
      <w:r w:rsidR="00377A22">
        <w:rPr>
          <w:rFonts w:cs="Arial"/>
          <w:lang w:val="en-US"/>
        </w:rPr>
        <w:t xml:space="preserve"> </w:t>
      </w:r>
      <w:r w:rsidR="00C405BA" w:rsidRPr="00377A22">
        <w:rPr>
          <w:rFonts w:cs="Arial"/>
          <w:lang w:val="en-US"/>
        </w:rPr>
        <w:t>The</w:t>
      </w:r>
      <w:r w:rsidR="00377A22" w:rsidRPr="00377A22">
        <w:rPr>
          <w:rFonts w:cs="Arial"/>
          <w:lang w:val="en-US"/>
        </w:rPr>
        <w:t xml:space="preserve"> respondents further contend</w:t>
      </w:r>
      <w:r w:rsidR="00C405BA" w:rsidRPr="00377A22">
        <w:rPr>
          <w:rFonts w:cs="Arial"/>
          <w:lang w:val="en-US"/>
        </w:rPr>
        <w:t xml:space="preserve"> that no partnership exist</w:t>
      </w:r>
      <w:r w:rsidR="00511BBA" w:rsidRPr="00377A22">
        <w:rPr>
          <w:rFonts w:cs="Arial"/>
          <w:lang w:val="en-US"/>
        </w:rPr>
        <w:t>s</w:t>
      </w:r>
      <w:r w:rsidR="00C405BA" w:rsidRPr="00377A22">
        <w:rPr>
          <w:rFonts w:cs="Arial"/>
          <w:lang w:val="en-US"/>
        </w:rPr>
        <w:t xml:space="preserve"> between the </w:t>
      </w:r>
      <w:r w:rsidR="00511BBA" w:rsidRPr="00377A22">
        <w:rPr>
          <w:rFonts w:cs="Arial"/>
          <w:lang w:val="en-US"/>
        </w:rPr>
        <w:t>applicants</w:t>
      </w:r>
      <w:r w:rsidR="00E82D47">
        <w:rPr>
          <w:rFonts w:cs="Arial"/>
          <w:lang w:val="en-US"/>
        </w:rPr>
        <w:t xml:space="preserve"> and</w:t>
      </w:r>
      <w:r w:rsidR="00C405BA" w:rsidRPr="00377A22">
        <w:rPr>
          <w:rFonts w:cs="Arial"/>
          <w:lang w:val="en-US"/>
        </w:rPr>
        <w:t xml:space="preserve"> that the employees are not employed by the applicants</w:t>
      </w:r>
      <w:r w:rsidR="00F64782" w:rsidRPr="00377A22">
        <w:rPr>
          <w:rFonts w:cs="Arial"/>
          <w:lang w:val="en-US"/>
        </w:rPr>
        <w:t>,</w:t>
      </w:r>
      <w:r w:rsidR="00DF2E55" w:rsidRPr="00377A22">
        <w:rPr>
          <w:rFonts w:cs="Arial"/>
          <w:lang w:val="en-US"/>
        </w:rPr>
        <w:t xml:space="preserve"> but </w:t>
      </w:r>
      <w:r w:rsidR="00F64782" w:rsidRPr="00377A22">
        <w:rPr>
          <w:rFonts w:cs="Arial"/>
          <w:lang w:val="en-US"/>
        </w:rPr>
        <w:t>by Moore</w:t>
      </w:r>
      <w:r w:rsidR="00E82D47">
        <w:rPr>
          <w:rFonts w:cs="Arial"/>
          <w:lang w:val="en-US"/>
        </w:rPr>
        <w:t>. It is contended</w:t>
      </w:r>
      <w:r w:rsidR="00F64782" w:rsidRPr="00377A22">
        <w:rPr>
          <w:rFonts w:cs="Arial"/>
          <w:lang w:val="en-US"/>
        </w:rPr>
        <w:t xml:space="preserve"> that the applicants have failed to illustrate a</w:t>
      </w:r>
      <w:r w:rsidR="00377A22" w:rsidRPr="00377A22">
        <w:rPr>
          <w:rFonts w:cs="Arial"/>
          <w:lang w:val="en-US"/>
        </w:rPr>
        <w:t>ny</w:t>
      </w:r>
      <w:r w:rsidR="00F64782" w:rsidRPr="00377A22">
        <w:rPr>
          <w:rFonts w:cs="Arial"/>
          <w:lang w:val="en-US"/>
        </w:rPr>
        <w:t xml:space="preserve"> protectable interest. It is further argued</w:t>
      </w:r>
      <w:r w:rsidR="007614B5" w:rsidRPr="00377A22">
        <w:rPr>
          <w:rFonts w:cs="Arial"/>
          <w:lang w:val="en-US"/>
        </w:rPr>
        <w:t xml:space="preserve"> that the restraint provision, which is to endure for a period of three years, is against public policy</w:t>
      </w:r>
      <w:r w:rsidR="00DF2E55" w:rsidRPr="00377A22">
        <w:rPr>
          <w:rFonts w:cs="Arial"/>
          <w:lang w:val="en-US"/>
        </w:rPr>
        <w:t xml:space="preserve">. </w:t>
      </w:r>
    </w:p>
    <w:p w14:paraId="4B0177E3" w14:textId="48F347E5" w:rsidR="00377A22" w:rsidRDefault="00126822" w:rsidP="00126822">
      <w:pPr>
        <w:pStyle w:val="level11"/>
        <w:numPr>
          <w:ilvl w:val="0"/>
          <w:numId w:val="0"/>
        </w:numPr>
        <w:spacing w:after="480" w:line="360" w:lineRule="auto"/>
        <w:jc w:val="both"/>
        <w:rPr>
          <w:rFonts w:cs="Arial"/>
          <w:lang w:val="en-US"/>
        </w:rPr>
      </w:pPr>
      <w:r>
        <w:rPr>
          <w:rFonts w:cs="Arial"/>
          <w:lang w:val="en-US"/>
        </w:rPr>
        <w:t>[7]</w:t>
      </w:r>
      <w:r>
        <w:rPr>
          <w:rFonts w:cs="Arial"/>
          <w:lang w:val="en-US"/>
        </w:rPr>
        <w:tab/>
      </w:r>
      <w:r w:rsidR="00CE3ACF" w:rsidRPr="00F71521">
        <w:rPr>
          <w:rFonts w:cs="Arial"/>
          <w:lang w:val="en-US"/>
        </w:rPr>
        <w:t xml:space="preserve">The case for urgency made out by the applicant is that the risk of </w:t>
      </w:r>
      <w:r w:rsidR="005F50BF">
        <w:rPr>
          <w:rFonts w:cs="Arial"/>
          <w:lang w:val="en-US"/>
        </w:rPr>
        <w:t xml:space="preserve">financial </w:t>
      </w:r>
      <w:r w:rsidR="00CE3ACF" w:rsidRPr="00F71521">
        <w:rPr>
          <w:rFonts w:cs="Arial"/>
          <w:lang w:val="en-US"/>
        </w:rPr>
        <w:t xml:space="preserve">harm is imminent and ongoing. It is not disputed by the respondents that the second </w:t>
      </w:r>
      <w:r w:rsidR="00377A22">
        <w:rPr>
          <w:rFonts w:cs="Arial"/>
          <w:lang w:val="en-US"/>
        </w:rPr>
        <w:t xml:space="preserve">and fourth </w:t>
      </w:r>
      <w:r w:rsidR="00CE3ACF" w:rsidRPr="00F71521">
        <w:rPr>
          <w:rFonts w:cs="Arial"/>
          <w:lang w:val="en-US"/>
        </w:rPr>
        <w:t>respondent</w:t>
      </w:r>
      <w:r w:rsidR="00377A22">
        <w:rPr>
          <w:rFonts w:cs="Arial"/>
          <w:lang w:val="en-US"/>
        </w:rPr>
        <w:t>s</w:t>
      </w:r>
      <w:r w:rsidR="00CE3ACF" w:rsidRPr="00F71521">
        <w:rPr>
          <w:rFonts w:cs="Arial"/>
          <w:lang w:val="en-US"/>
        </w:rPr>
        <w:t xml:space="preserve"> ha</w:t>
      </w:r>
      <w:r w:rsidR="00377A22">
        <w:rPr>
          <w:rFonts w:cs="Arial"/>
          <w:lang w:val="en-US"/>
        </w:rPr>
        <w:t>ve</w:t>
      </w:r>
      <w:r w:rsidR="00CE3ACF" w:rsidRPr="00F71521">
        <w:rPr>
          <w:rFonts w:cs="Arial"/>
          <w:lang w:val="en-US"/>
        </w:rPr>
        <w:t xml:space="preserve"> been in contact with </w:t>
      </w:r>
      <w:r w:rsidR="00377A22">
        <w:rPr>
          <w:rFonts w:cs="Arial"/>
          <w:lang w:val="en-US"/>
        </w:rPr>
        <w:t xml:space="preserve">certain </w:t>
      </w:r>
      <w:r w:rsidR="00CE3ACF" w:rsidRPr="00F71521">
        <w:rPr>
          <w:rFonts w:cs="Arial"/>
          <w:lang w:val="en-US"/>
        </w:rPr>
        <w:t xml:space="preserve">clients of the applicants and </w:t>
      </w:r>
      <w:r w:rsidR="00377A22">
        <w:rPr>
          <w:rFonts w:cs="Arial"/>
          <w:lang w:val="en-US"/>
        </w:rPr>
        <w:t xml:space="preserve">various </w:t>
      </w:r>
      <w:r w:rsidR="00CE3ACF" w:rsidRPr="00F71521">
        <w:rPr>
          <w:rFonts w:cs="Arial"/>
          <w:lang w:val="en-US"/>
        </w:rPr>
        <w:t>employees who left the employ of the first respondent together with the applicants.</w:t>
      </w:r>
      <w:r w:rsidR="00F71521">
        <w:rPr>
          <w:rFonts w:cs="Arial"/>
          <w:lang w:val="en-US"/>
        </w:rPr>
        <w:t xml:space="preserve"> </w:t>
      </w:r>
    </w:p>
    <w:p w14:paraId="2A964D85" w14:textId="7442FD10" w:rsidR="0097565A" w:rsidRPr="00377A22" w:rsidRDefault="00126822" w:rsidP="00126822">
      <w:pPr>
        <w:pStyle w:val="level11"/>
        <w:numPr>
          <w:ilvl w:val="0"/>
          <w:numId w:val="0"/>
        </w:numPr>
        <w:spacing w:after="480" w:line="360" w:lineRule="auto"/>
        <w:jc w:val="both"/>
        <w:rPr>
          <w:rFonts w:cs="Arial"/>
          <w:lang w:val="en-US"/>
        </w:rPr>
      </w:pPr>
      <w:r w:rsidRPr="00377A22">
        <w:rPr>
          <w:rFonts w:cs="Arial"/>
          <w:lang w:val="en-US"/>
        </w:rPr>
        <w:t>[8]</w:t>
      </w:r>
      <w:r w:rsidRPr="00377A22">
        <w:rPr>
          <w:rFonts w:cs="Arial"/>
          <w:lang w:val="en-US"/>
        </w:rPr>
        <w:tab/>
      </w:r>
      <w:r w:rsidR="00377A22">
        <w:rPr>
          <w:rFonts w:cs="Arial"/>
          <w:lang w:val="en-US"/>
        </w:rPr>
        <w:t>Th</w:t>
      </w:r>
      <w:r w:rsidR="0097565A" w:rsidRPr="00377A22">
        <w:rPr>
          <w:rFonts w:cs="Arial"/>
          <w:lang w:val="en-US"/>
        </w:rPr>
        <w:t>ere is merit in the criticism levied by the respondents</w:t>
      </w:r>
      <w:r w:rsidR="00377A22" w:rsidRPr="00377A22">
        <w:rPr>
          <w:rFonts w:cs="Arial"/>
          <w:lang w:val="en-US"/>
        </w:rPr>
        <w:t xml:space="preserve"> that the case for urgency in the founding papers were advanced in terse terms and in skeleton form, fleshed out in reply</w:t>
      </w:r>
      <w:r w:rsidR="00377A22">
        <w:rPr>
          <w:rFonts w:cs="Arial"/>
          <w:lang w:val="en-US"/>
        </w:rPr>
        <w:t xml:space="preserve">. Despite this, </w:t>
      </w:r>
      <w:r w:rsidR="0097565A" w:rsidRPr="00377A22">
        <w:rPr>
          <w:rFonts w:cs="Arial"/>
          <w:lang w:val="en-US"/>
        </w:rPr>
        <w:t xml:space="preserve">I was persuaded that the applicants have established </w:t>
      </w:r>
      <w:r w:rsidR="00D21585" w:rsidRPr="00377A22">
        <w:rPr>
          <w:rFonts w:cs="Arial"/>
          <w:lang w:val="en-US"/>
        </w:rPr>
        <w:t>commercial urgency</w:t>
      </w:r>
      <w:r w:rsidR="005F50BF">
        <w:rPr>
          <w:rStyle w:val="FootnoteReference"/>
          <w:rFonts w:cs="Arial"/>
          <w:lang w:val="en-US"/>
        </w:rPr>
        <w:footnoteReference w:id="1"/>
      </w:r>
      <w:r w:rsidR="00D21585" w:rsidRPr="00377A22">
        <w:rPr>
          <w:rFonts w:cs="Arial"/>
          <w:lang w:val="en-US"/>
        </w:rPr>
        <w:t xml:space="preserve"> and </w:t>
      </w:r>
      <w:r w:rsidR="0097565A" w:rsidRPr="00377A22">
        <w:rPr>
          <w:rFonts w:cs="Arial"/>
          <w:lang w:val="en-US"/>
        </w:rPr>
        <w:t>that they will not obtain substantial redress at a hearing in due course</w:t>
      </w:r>
      <w:r w:rsidR="001414C1">
        <w:rPr>
          <w:rStyle w:val="FootnoteReference"/>
          <w:rFonts w:cs="Arial"/>
          <w:lang w:val="en-US"/>
        </w:rPr>
        <w:footnoteReference w:id="2"/>
      </w:r>
      <w:r w:rsidR="0097565A" w:rsidRPr="00377A22">
        <w:rPr>
          <w:rFonts w:cs="Arial"/>
          <w:lang w:val="en-US"/>
        </w:rPr>
        <w:t>, considering the risk of ongoing harm in the face of the respondent</w:t>
      </w:r>
      <w:r w:rsidR="00334809" w:rsidRPr="00377A22">
        <w:rPr>
          <w:rFonts w:cs="Arial"/>
          <w:lang w:val="en-US"/>
        </w:rPr>
        <w:t>s</w:t>
      </w:r>
      <w:r w:rsidR="0097565A" w:rsidRPr="00377A22">
        <w:rPr>
          <w:rFonts w:cs="Arial"/>
          <w:lang w:val="en-US"/>
        </w:rPr>
        <w:t>’ undisputed conduct</w:t>
      </w:r>
      <w:r w:rsidR="00334809" w:rsidRPr="00377A22">
        <w:rPr>
          <w:rFonts w:cs="Arial"/>
          <w:lang w:val="en-US"/>
        </w:rPr>
        <w:t>.</w:t>
      </w:r>
      <w:r w:rsidR="00DB6278" w:rsidRPr="00377A22">
        <w:rPr>
          <w:rFonts w:cs="Arial"/>
          <w:lang w:val="en-US"/>
        </w:rPr>
        <w:t xml:space="preserve"> In addition</w:t>
      </w:r>
      <w:r w:rsidR="00334809" w:rsidRPr="00377A22">
        <w:rPr>
          <w:rFonts w:cs="Arial"/>
          <w:lang w:val="en-US"/>
        </w:rPr>
        <w:t>,</w:t>
      </w:r>
      <w:r w:rsidR="00DB6278" w:rsidRPr="00377A22">
        <w:rPr>
          <w:rFonts w:cs="Arial"/>
          <w:lang w:val="en-US"/>
        </w:rPr>
        <w:t xml:space="preserve"> </w:t>
      </w:r>
      <w:r w:rsidR="00377A22">
        <w:rPr>
          <w:rFonts w:cs="Arial"/>
          <w:lang w:val="en-US"/>
        </w:rPr>
        <w:t xml:space="preserve">I was persuaded on </w:t>
      </w:r>
      <w:r w:rsidR="00DB6278" w:rsidRPr="00377A22">
        <w:rPr>
          <w:rFonts w:cs="Arial"/>
          <w:lang w:val="en-US"/>
        </w:rPr>
        <w:t xml:space="preserve">the facts that the </w:t>
      </w:r>
      <w:r w:rsidR="00D17A5C">
        <w:rPr>
          <w:rFonts w:cs="Arial"/>
          <w:lang w:val="en-US"/>
        </w:rPr>
        <w:t xml:space="preserve">undisputed </w:t>
      </w:r>
      <w:r w:rsidR="00DB6278" w:rsidRPr="00377A22">
        <w:rPr>
          <w:rFonts w:cs="Arial"/>
          <w:lang w:val="en-US"/>
        </w:rPr>
        <w:t>conduct of the respondents</w:t>
      </w:r>
      <w:r w:rsidR="00D17A5C">
        <w:rPr>
          <w:rFonts w:cs="Arial"/>
          <w:lang w:val="en-US"/>
        </w:rPr>
        <w:t xml:space="preserve"> </w:t>
      </w:r>
      <w:r w:rsidR="00D17A5C">
        <w:rPr>
          <w:rFonts w:cs="Arial"/>
          <w:lang w:val="en-US"/>
        </w:rPr>
        <w:lastRenderedPageBreak/>
        <w:t>in approaching clients and employees</w:t>
      </w:r>
      <w:r w:rsidR="00DB6278" w:rsidRPr="00377A22">
        <w:rPr>
          <w:rFonts w:cs="Arial"/>
          <w:lang w:val="en-US"/>
        </w:rPr>
        <w:t xml:space="preserve"> may jeopardise the merger with Moore, at least insofar as the monetary benefit to accrue to the applicants is concerned.</w:t>
      </w:r>
      <w:r w:rsidR="005F50BF" w:rsidRPr="00377A22">
        <w:rPr>
          <w:rFonts w:cs="Arial"/>
          <w:lang w:val="en-US"/>
        </w:rPr>
        <w:t xml:space="preserve"> The applicants are not compelled to wait for damages to be incurred and sue afterwards for compensation</w:t>
      </w:r>
      <w:r w:rsidR="005F50BF">
        <w:rPr>
          <w:rStyle w:val="FootnoteReference"/>
          <w:rFonts w:cs="Arial"/>
          <w:lang w:val="en-US"/>
        </w:rPr>
        <w:footnoteReference w:id="3"/>
      </w:r>
      <w:r w:rsidR="00D47217" w:rsidRPr="00377A22">
        <w:rPr>
          <w:rFonts w:cs="Arial"/>
          <w:lang w:val="en-US"/>
        </w:rPr>
        <w:t>.</w:t>
      </w:r>
    </w:p>
    <w:p w14:paraId="574E5EAB" w14:textId="5F12EE0B" w:rsidR="00EE78B5" w:rsidRDefault="00126822" w:rsidP="00126822">
      <w:pPr>
        <w:pStyle w:val="level11"/>
        <w:numPr>
          <w:ilvl w:val="0"/>
          <w:numId w:val="0"/>
        </w:numPr>
        <w:spacing w:after="480" w:line="360" w:lineRule="auto"/>
        <w:jc w:val="both"/>
        <w:rPr>
          <w:lang w:val="en-US"/>
        </w:rPr>
      </w:pPr>
      <w:r>
        <w:rPr>
          <w:lang w:val="en-US"/>
        </w:rPr>
        <w:t>[9]</w:t>
      </w:r>
      <w:r>
        <w:rPr>
          <w:lang w:val="en-US"/>
        </w:rPr>
        <w:tab/>
      </w:r>
      <w:r w:rsidR="00334809">
        <w:rPr>
          <w:lang w:val="en-US"/>
        </w:rPr>
        <w:t>As the applicants seek final relief</w:t>
      </w:r>
      <w:r w:rsidR="00D21585">
        <w:rPr>
          <w:lang w:val="en-US"/>
        </w:rPr>
        <w:t>,</w:t>
      </w:r>
      <w:r w:rsidR="00334809">
        <w:rPr>
          <w:lang w:val="en-US"/>
        </w:rPr>
        <w:t xml:space="preserve"> t</w:t>
      </w:r>
      <w:r w:rsidR="00EE78B5">
        <w:rPr>
          <w:lang w:val="en-US"/>
        </w:rPr>
        <w:t xml:space="preserve">he </w:t>
      </w:r>
      <w:r w:rsidR="00D21585">
        <w:rPr>
          <w:lang w:val="en-US"/>
        </w:rPr>
        <w:t xml:space="preserve">so called Plascon Evans </w:t>
      </w:r>
      <w:r w:rsidR="00EE78B5">
        <w:rPr>
          <w:lang w:val="en-US"/>
        </w:rPr>
        <w:t xml:space="preserve">test </w:t>
      </w:r>
      <w:r w:rsidR="00D21585">
        <w:rPr>
          <w:lang w:val="en-US"/>
        </w:rPr>
        <w:t xml:space="preserve">must </w:t>
      </w:r>
      <w:r w:rsidR="00EE78B5">
        <w:rPr>
          <w:lang w:val="en-US"/>
        </w:rPr>
        <w:t>be applied</w:t>
      </w:r>
      <w:r w:rsidR="00D17A5C">
        <w:rPr>
          <w:lang w:val="en-US"/>
        </w:rPr>
        <w:t xml:space="preserve">. It requires a consideration of whether the applicants are entitled to relief on </w:t>
      </w:r>
      <w:r w:rsidR="00DB3937">
        <w:rPr>
          <w:lang w:val="en-US"/>
        </w:rPr>
        <w:t>the admitted facts in the applicant’s affidavit together with the version of the respondents, unless the latter version is so palpably false or untenable that it can be rejected on the papers</w:t>
      </w:r>
      <w:r w:rsidR="00D17A5C">
        <w:rPr>
          <w:lang w:val="en-US"/>
        </w:rPr>
        <w:t xml:space="preserve"> </w:t>
      </w:r>
      <w:r w:rsidR="00DB3937">
        <w:rPr>
          <w:rStyle w:val="FootnoteReference"/>
          <w:lang w:val="en-US"/>
        </w:rPr>
        <w:footnoteReference w:id="4"/>
      </w:r>
      <w:r w:rsidR="00334809">
        <w:rPr>
          <w:lang w:val="en-US"/>
        </w:rPr>
        <w:t>.</w:t>
      </w:r>
      <w:r w:rsidR="00D17A5C">
        <w:rPr>
          <w:lang w:val="en-US"/>
        </w:rPr>
        <w:t xml:space="preserve"> The respondents’ version pertaining to the interaction between the second and fourth respondents and Mr Lindsay of Continental Group, a client of the applicant was controverted by the affidavit of Mr Lindsay in reply and can be rejected as untenable. It cannot however be concluded that the remainder of the respondents’ version can be rejected on the papers.</w:t>
      </w:r>
    </w:p>
    <w:p w14:paraId="7677A69E" w14:textId="1B7B2A50" w:rsidR="00D17A5C" w:rsidRPr="00EE78B5" w:rsidRDefault="00126822" w:rsidP="00126822">
      <w:pPr>
        <w:pStyle w:val="level11"/>
        <w:numPr>
          <w:ilvl w:val="0"/>
          <w:numId w:val="0"/>
        </w:numPr>
        <w:spacing w:after="480" w:line="360" w:lineRule="auto"/>
        <w:jc w:val="both"/>
      </w:pPr>
      <w:r w:rsidRPr="00EE78B5">
        <w:t>[10]</w:t>
      </w:r>
      <w:r w:rsidRPr="00EE78B5">
        <w:tab/>
      </w:r>
      <w:r w:rsidR="00D17A5C" w:rsidRPr="00E610C8">
        <w:rPr>
          <w:lang w:val="en-US"/>
        </w:rPr>
        <w:t xml:space="preserve">The requirements for </w:t>
      </w:r>
      <w:r w:rsidR="00D17A5C">
        <w:rPr>
          <w:lang w:val="en-US"/>
        </w:rPr>
        <w:t>final</w:t>
      </w:r>
      <w:r w:rsidR="00D17A5C" w:rsidRPr="00E610C8">
        <w:rPr>
          <w:lang w:val="en-US"/>
        </w:rPr>
        <w:t xml:space="preserve"> interdictory relief are trite.</w:t>
      </w:r>
      <w:r w:rsidR="00D17A5C">
        <w:rPr>
          <w:rStyle w:val="FootnoteReference"/>
          <w:lang w:val="en-US"/>
        </w:rPr>
        <w:footnoteReference w:id="5"/>
      </w:r>
      <w:r w:rsidR="00D17A5C" w:rsidRPr="00E610C8">
        <w:rPr>
          <w:lang w:val="en-US"/>
        </w:rPr>
        <w:t xml:space="preserve"> They are</w:t>
      </w:r>
      <w:r w:rsidR="00D17A5C">
        <w:rPr>
          <w:lang w:val="en-US"/>
        </w:rPr>
        <w:t>:</w:t>
      </w:r>
      <w:r w:rsidR="00D17A5C" w:rsidRPr="00E610C8">
        <w:rPr>
          <w:lang w:val="en-US"/>
        </w:rPr>
        <w:t xml:space="preserve"> (i) a </w:t>
      </w:r>
      <w:r w:rsidR="00D17A5C">
        <w:rPr>
          <w:lang w:val="en-US"/>
        </w:rPr>
        <w:t xml:space="preserve">clear </w:t>
      </w:r>
      <w:r w:rsidR="00D17A5C" w:rsidRPr="00E610C8">
        <w:rPr>
          <w:lang w:val="en-US"/>
        </w:rPr>
        <w:t>right</w:t>
      </w:r>
      <w:r w:rsidR="00D17A5C">
        <w:rPr>
          <w:lang w:val="en-US"/>
        </w:rPr>
        <w:t xml:space="preserve"> on the part of the applicant;</w:t>
      </w:r>
      <w:r w:rsidR="00D17A5C" w:rsidRPr="00E610C8">
        <w:rPr>
          <w:lang w:val="en-US"/>
        </w:rPr>
        <w:t xml:space="preserve"> (ii) </w:t>
      </w:r>
      <w:r w:rsidR="00D17A5C">
        <w:rPr>
          <w:lang w:val="en-US"/>
        </w:rPr>
        <w:t>an injury actually committed or reasonably apprehended;</w:t>
      </w:r>
      <w:r w:rsidR="00D17A5C" w:rsidRPr="00E610C8">
        <w:rPr>
          <w:lang w:val="en-US"/>
        </w:rPr>
        <w:t xml:space="preserve"> and (i</w:t>
      </w:r>
      <w:r w:rsidR="00D17A5C">
        <w:rPr>
          <w:lang w:val="en-US"/>
        </w:rPr>
        <w:t>ii)</w:t>
      </w:r>
      <w:r w:rsidR="00D17A5C" w:rsidRPr="00E610C8">
        <w:rPr>
          <w:lang w:val="en-US"/>
        </w:rPr>
        <w:t xml:space="preserve"> the absence of </w:t>
      </w:r>
      <w:r w:rsidR="00D17A5C">
        <w:rPr>
          <w:lang w:val="en-US"/>
        </w:rPr>
        <w:t xml:space="preserve">any other </w:t>
      </w:r>
      <w:r w:rsidR="00D17A5C" w:rsidRPr="00E610C8">
        <w:rPr>
          <w:lang w:val="en-US"/>
        </w:rPr>
        <w:t>s</w:t>
      </w:r>
      <w:r w:rsidR="00D17A5C">
        <w:rPr>
          <w:lang w:val="en-US"/>
        </w:rPr>
        <w:t>atisfactory</w:t>
      </w:r>
      <w:r w:rsidR="00D17A5C" w:rsidRPr="00E610C8">
        <w:rPr>
          <w:lang w:val="en-US"/>
        </w:rPr>
        <w:t xml:space="preserve"> remedy.</w:t>
      </w:r>
    </w:p>
    <w:p w14:paraId="6FE1C291" w14:textId="5BCC39B2" w:rsidR="00334809" w:rsidRDefault="00334809" w:rsidP="00D21585">
      <w:pPr>
        <w:pStyle w:val="level11"/>
        <w:numPr>
          <w:ilvl w:val="0"/>
          <w:numId w:val="0"/>
        </w:numPr>
        <w:spacing w:after="480" w:line="360" w:lineRule="auto"/>
        <w:jc w:val="both"/>
        <w:rPr>
          <w:lang w:val="en-US"/>
        </w:rPr>
      </w:pPr>
      <w:r w:rsidRPr="00334809">
        <w:rPr>
          <w:i/>
          <w:lang w:val="en-US"/>
        </w:rPr>
        <w:t>Have the applicants established a clear right</w:t>
      </w:r>
      <w:r>
        <w:rPr>
          <w:lang w:val="en-US"/>
        </w:rPr>
        <w:t>?</w:t>
      </w:r>
    </w:p>
    <w:p w14:paraId="7140C63B" w14:textId="0189B897" w:rsidR="00414B92" w:rsidRDefault="00126822" w:rsidP="00126822">
      <w:pPr>
        <w:pStyle w:val="level11"/>
        <w:numPr>
          <w:ilvl w:val="0"/>
          <w:numId w:val="0"/>
        </w:numPr>
        <w:spacing w:after="480" w:line="360" w:lineRule="auto"/>
        <w:jc w:val="both"/>
        <w:rPr>
          <w:rFonts w:cs="Arial"/>
          <w:lang w:val="en-US"/>
        </w:rPr>
      </w:pPr>
      <w:r>
        <w:rPr>
          <w:rFonts w:cs="Arial"/>
          <w:lang w:val="en-US"/>
        </w:rPr>
        <w:t>[11]</w:t>
      </w:r>
      <w:r>
        <w:rPr>
          <w:rFonts w:cs="Arial"/>
          <w:lang w:val="en-US"/>
        </w:rPr>
        <w:tab/>
      </w:r>
      <w:r w:rsidR="00334809">
        <w:rPr>
          <w:lang w:val="en-US"/>
        </w:rPr>
        <w:t xml:space="preserve">Central to this issue is the proper interpretation of </w:t>
      </w:r>
      <w:r w:rsidR="00414B92">
        <w:rPr>
          <w:rFonts w:cs="Arial"/>
          <w:lang w:val="en-US"/>
        </w:rPr>
        <w:t xml:space="preserve">the partnership agreement and the addendum thereto. </w:t>
      </w:r>
      <w:r w:rsidR="004D651D">
        <w:rPr>
          <w:rFonts w:cs="Arial"/>
          <w:lang w:val="en-US"/>
        </w:rPr>
        <w:t xml:space="preserve">The shared services agreement referred to in clause 5.2 of the partnership agreement was not placed before the court. </w:t>
      </w:r>
      <w:r w:rsidR="00414B92">
        <w:rPr>
          <w:rFonts w:cs="Arial"/>
          <w:lang w:val="en-US"/>
        </w:rPr>
        <w:t xml:space="preserve">The restraint provisions are contained in clause 20. If the applicants’ interpretation is correct, it follows that they have </w:t>
      </w:r>
      <w:r w:rsidR="00414B92">
        <w:rPr>
          <w:rFonts w:cs="Arial"/>
          <w:lang w:val="en-US"/>
        </w:rPr>
        <w:lastRenderedPageBreak/>
        <w:t xml:space="preserve">established a contractual basis for the relief claimed. The converse applies if the respondents’ interpretation is correct. </w:t>
      </w:r>
    </w:p>
    <w:p w14:paraId="1FC993B4" w14:textId="581A3C57" w:rsidR="00CF63E7" w:rsidRDefault="00126822" w:rsidP="00126822">
      <w:pPr>
        <w:pStyle w:val="level11"/>
        <w:numPr>
          <w:ilvl w:val="0"/>
          <w:numId w:val="0"/>
        </w:numPr>
        <w:spacing w:after="480" w:line="360" w:lineRule="auto"/>
        <w:jc w:val="both"/>
        <w:rPr>
          <w:rFonts w:cs="Arial"/>
          <w:lang w:val="en-US"/>
        </w:rPr>
      </w:pPr>
      <w:r>
        <w:rPr>
          <w:rFonts w:cs="Arial"/>
          <w:lang w:val="en-US"/>
        </w:rPr>
        <w:t>[12]</w:t>
      </w:r>
      <w:r>
        <w:rPr>
          <w:rFonts w:cs="Arial"/>
          <w:lang w:val="en-US"/>
        </w:rPr>
        <w:tab/>
      </w:r>
      <w:r w:rsidR="00CF63E7">
        <w:rPr>
          <w:rFonts w:cs="Arial"/>
          <w:lang w:val="en-US"/>
        </w:rPr>
        <w:t>The interpretation of the words used in the agreement must be approached by considering the language used, understood in the context in which it is used and having regard to the purpose of the provision that constitutes the unitary exercise of interpretation. The triad of text, context and purpose should not be used in a mechanical fashion, but with consideration of the relationship between the words used, the concepts expressed by those words and the place of the contested provision within the scheme of the agreement as a whole. The inevitable point of departure is the language of the provision itself</w:t>
      </w:r>
      <w:r w:rsidR="00A83D9A">
        <w:rPr>
          <w:rFonts w:cs="Arial"/>
          <w:lang w:val="en-US"/>
        </w:rPr>
        <w:t xml:space="preserve"> </w:t>
      </w:r>
      <w:r w:rsidR="00CF63E7">
        <w:rPr>
          <w:rStyle w:val="FootnoteReference"/>
          <w:rFonts w:cs="Arial"/>
          <w:lang w:val="en-US"/>
        </w:rPr>
        <w:footnoteReference w:id="6"/>
      </w:r>
      <w:r w:rsidR="00CF63E7">
        <w:rPr>
          <w:rFonts w:cs="Arial"/>
          <w:lang w:val="en-US"/>
        </w:rPr>
        <w:t>.</w:t>
      </w:r>
    </w:p>
    <w:p w14:paraId="135634F3" w14:textId="49302C24" w:rsidR="00722B1F" w:rsidRPr="00D21585" w:rsidRDefault="00126822" w:rsidP="00126822">
      <w:pPr>
        <w:pStyle w:val="level11"/>
        <w:numPr>
          <w:ilvl w:val="0"/>
          <w:numId w:val="0"/>
        </w:numPr>
        <w:spacing w:after="480" w:line="360" w:lineRule="auto"/>
        <w:jc w:val="both"/>
        <w:rPr>
          <w:rFonts w:cs="Arial"/>
          <w:lang w:val="en-US"/>
        </w:rPr>
      </w:pPr>
      <w:r w:rsidRPr="00D21585">
        <w:rPr>
          <w:rFonts w:cs="Arial"/>
          <w:lang w:val="en-US"/>
        </w:rPr>
        <w:t>[13]</w:t>
      </w:r>
      <w:r w:rsidRPr="00D21585">
        <w:rPr>
          <w:rFonts w:cs="Arial"/>
          <w:lang w:val="en-US"/>
        </w:rPr>
        <w:tab/>
      </w:r>
      <w:r w:rsidR="00722B1F">
        <w:rPr>
          <w:rFonts w:cs="Arial"/>
          <w:lang w:val="en-US"/>
        </w:rPr>
        <w:t xml:space="preserve">As held in </w:t>
      </w:r>
      <w:r w:rsidR="00722B1F" w:rsidRPr="00D47217">
        <w:rPr>
          <w:rFonts w:cs="Arial"/>
          <w:i/>
          <w:lang w:val="en-US"/>
        </w:rPr>
        <w:t>C</w:t>
      </w:r>
      <w:r w:rsidR="00722B1F">
        <w:rPr>
          <w:rFonts w:cs="Arial"/>
          <w:i/>
          <w:lang w:val="en-US"/>
        </w:rPr>
        <w:t>oral Lagoon</w:t>
      </w:r>
      <w:r w:rsidR="00722B1F">
        <w:rPr>
          <w:rStyle w:val="FootnoteReference"/>
          <w:rFonts w:cs="Arial"/>
          <w:lang w:val="en-US"/>
        </w:rPr>
        <w:footnoteReference w:id="7"/>
      </w:r>
      <w:r w:rsidR="00722B1F">
        <w:rPr>
          <w:rFonts w:cs="Arial"/>
          <w:i/>
          <w:lang w:val="en-US"/>
        </w:rPr>
        <w:t xml:space="preserve">, </w:t>
      </w:r>
      <w:r w:rsidR="00722B1F">
        <w:rPr>
          <w:rFonts w:cs="Arial"/>
          <w:lang w:val="en-US"/>
        </w:rPr>
        <w:t xml:space="preserve">the meaning of a contested terms in a contract is properly understood not simply be selecting standard definitions of words, but by understanding the words and sentences that comprise the contested term as they fit into the larger scheme of the agreement, its context and purpose. </w:t>
      </w:r>
      <w:r w:rsidR="00722B1F" w:rsidRPr="00D21585">
        <w:rPr>
          <w:rFonts w:cs="Arial"/>
          <w:lang w:val="en-US"/>
        </w:rPr>
        <w:t xml:space="preserve">In doing so, it must be considered what the design is of the partnership agreement and how its architects chose words and concepts to give effect to that design. </w:t>
      </w:r>
    </w:p>
    <w:p w14:paraId="6D3A1D06" w14:textId="077FB42F" w:rsidR="00722B1F" w:rsidRDefault="00126822" w:rsidP="00126822">
      <w:pPr>
        <w:pStyle w:val="level11"/>
        <w:numPr>
          <w:ilvl w:val="0"/>
          <w:numId w:val="0"/>
        </w:numPr>
        <w:spacing w:after="480" w:line="360" w:lineRule="auto"/>
        <w:jc w:val="both"/>
        <w:rPr>
          <w:rFonts w:cs="Arial"/>
          <w:lang w:val="en-US"/>
        </w:rPr>
      </w:pPr>
      <w:r>
        <w:rPr>
          <w:rFonts w:cs="Arial"/>
          <w:lang w:val="en-US"/>
        </w:rPr>
        <w:t>[14]</w:t>
      </w:r>
      <w:r>
        <w:rPr>
          <w:rFonts w:cs="Arial"/>
          <w:lang w:val="en-US"/>
        </w:rPr>
        <w:tab/>
      </w:r>
      <w:r w:rsidR="00722B1F" w:rsidRPr="00D8095A">
        <w:rPr>
          <w:rFonts w:cs="Arial"/>
          <w:lang w:val="en-US"/>
        </w:rPr>
        <w:t>In applying those principles to the partnership agreement, the exercise as to proper interpretation cannot be l</w:t>
      </w:r>
      <w:r w:rsidR="00722B1F">
        <w:rPr>
          <w:rFonts w:cs="Arial"/>
          <w:lang w:val="en-US"/>
        </w:rPr>
        <w:t>imi</w:t>
      </w:r>
      <w:r w:rsidR="00722B1F" w:rsidRPr="00D8095A">
        <w:rPr>
          <w:rFonts w:cs="Arial"/>
          <w:lang w:val="en-US"/>
        </w:rPr>
        <w:t xml:space="preserve">ted to </w:t>
      </w:r>
      <w:r w:rsidR="00722B1F">
        <w:rPr>
          <w:rFonts w:cs="Arial"/>
          <w:lang w:val="en-US"/>
        </w:rPr>
        <w:t xml:space="preserve">a narrow interpretation of </w:t>
      </w:r>
      <w:r w:rsidR="00722B1F" w:rsidRPr="00D8095A">
        <w:rPr>
          <w:rFonts w:cs="Arial"/>
          <w:lang w:val="en-US"/>
        </w:rPr>
        <w:t>the text only</w:t>
      </w:r>
      <w:r w:rsidR="00722B1F">
        <w:rPr>
          <w:rFonts w:cs="Arial"/>
          <w:lang w:val="en-US"/>
        </w:rPr>
        <w:t>. A consideration of the words used in clause 20.3 in isolation without considering context, is worthless</w:t>
      </w:r>
      <w:r w:rsidR="00722B1F">
        <w:rPr>
          <w:rStyle w:val="FootnoteReference"/>
          <w:rFonts w:cs="Arial"/>
          <w:lang w:val="en-US"/>
        </w:rPr>
        <w:footnoteReference w:id="8"/>
      </w:r>
      <w:r w:rsidR="00722B1F">
        <w:rPr>
          <w:rFonts w:cs="Arial"/>
          <w:lang w:val="en-US"/>
        </w:rPr>
        <w:t>. However, the express wording of an agreement on the other hand also cannot simply be ignored in the interpretation exercise.</w:t>
      </w:r>
    </w:p>
    <w:p w14:paraId="4B0BF9E3" w14:textId="76892C91" w:rsidR="00A83D9A" w:rsidRDefault="00126822" w:rsidP="00126822">
      <w:pPr>
        <w:pStyle w:val="level11"/>
        <w:numPr>
          <w:ilvl w:val="0"/>
          <w:numId w:val="0"/>
        </w:numPr>
        <w:spacing w:after="480" w:line="360" w:lineRule="auto"/>
        <w:jc w:val="both"/>
        <w:rPr>
          <w:lang w:val="en-US"/>
        </w:rPr>
      </w:pPr>
      <w:r>
        <w:rPr>
          <w:lang w:val="en-US"/>
        </w:rPr>
        <w:t>[15]</w:t>
      </w:r>
      <w:r>
        <w:rPr>
          <w:lang w:val="en-US"/>
        </w:rPr>
        <w:tab/>
      </w:r>
      <w:r w:rsidR="00B967D7" w:rsidRPr="00A83D9A">
        <w:rPr>
          <w:lang w:val="en-US"/>
        </w:rPr>
        <w:t>The applicants’</w:t>
      </w:r>
      <w:r w:rsidR="00334809" w:rsidRPr="00A83D9A">
        <w:rPr>
          <w:lang w:val="en-US"/>
        </w:rPr>
        <w:t xml:space="preserve"> argue that the applicants’ partnership, the so-called “Schalekamp Group</w:t>
      </w:r>
      <w:r w:rsidR="00D17A5C" w:rsidRPr="00A83D9A">
        <w:rPr>
          <w:lang w:val="en-US"/>
        </w:rPr>
        <w:t>”</w:t>
      </w:r>
      <w:r w:rsidR="00B967D7" w:rsidRPr="00A83D9A">
        <w:rPr>
          <w:lang w:val="en-US"/>
        </w:rPr>
        <w:t xml:space="preserve"> </w:t>
      </w:r>
      <w:r w:rsidR="00334809" w:rsidRPr="00A83D9A">
        <w:rPr>
          <w:lang w:val="en-US"/>
        </w:rPr>
        <w:t xml:space="preserve">is afforded protection in relation to their clients and employees in terms of clause </w:t>
      </w:r>
      <w:r w:rsidR="00334809" w:rsidRPr="00A83D9A">
        <w:rPr>
          <w:lang w:val="en-US"/>
        </w:rPr>
        <w:lastRenderedPageBreak/>
        <w:t xml:space="preserve">20 as the reference to “partnership” is a reference to the partnerships of the respective partner practices and not a reference to the first respondent partnership. Their </w:t>
      </w:r>
      <w:r w:rsidR="00B967D7" w:rsidRPr="00A83D9A">
        <w:rPr>
          <w:lang w:val="en-US"/>
        </w:rPr>
        <w:t>interpretation is premised on the allegation that the fi</w:t>
      </w:r>
      <w:r w:rsidR="00334809" w:rsidRPr="00A83D9A">
        <w:rPr>
          <w:lang w:val="en-US"/>
        </w:rPr>
        <w:t>r</w:t>
      </w:r>
      <w:r w:rsidR="00B967D7" w:rsidRPr="00A83D9A">
        <w:rPr>
          <w:lang w:val="en-US"/>
        </w:rPr>
        <w:t>st re</w:t>
      </w:r>
      <w:r w:rsidR="00334809" w:rsidRPr="00A83D9A">
        <w:rPr>
          <w:lang w:val="en-US"/>
        </w:rPr>
        <w:t>s</w:t>
      </w:r>
      <w:r w:rsidR="00B967D7" w:rsidRPr="00A83D9A">
        <w:rPr>
          <w:lang w:val="en-US"/>
        </w:rPr>
        <w:t xml:space="preserve">pondent does not have clients of its own </w:t>
      </w:r>
      <w:r w:rsidR="000374BD" w:rsidRPr="00A83D9A">
        <w:rPr>
          <w:lang w:val="en-US"/>
        </w:rPr>
        <w:t xml:space="preserve">and that </w:t>
      </w:r>
      <w:r w:rsidR="00B967D7" w:rsidRPr="00A83D9A">
        <w:rPr>
          <w:lang w:val="en-US"/>
        </w:rPr>
        <w:t>the partnership has no client</w:t>
      </w:r>
      <w:r w:rsidR="000374BD" w:rsidRPr="00A83D9A">
        <w:rPr>
          <w:lang w:val="en-US"/>
        </w:rPr>
        <w:t>s</w:t>
      </w:r>
      <w:r w:rsidR="00B967D7" w:rsidRPr="00A83D9A">
        <w:rPr>
          <w:lang w:val="en-US"/>
        </w:rPr>
        <w:t xml:space="preserve"> separate from the partners.</w:t>
      </w:r>
      <w:r w:rsidR="000374BD" w:rsidRPr="00A83D9A">
        <w:rPr>
          <w:lang w:val="en-US"/>
        </w:rPr>
        <w:t xml:space="preserve"> </w:t>
      </w:r>
      <w:r w:rsidR="002A6EB8" w:rsidRPr="00A83D9A">
        <w:rPr>
          <w:lang w:val="en-US"/>
        </w:rPr>
        <w:t xml:space="preserve">That allegation is however disputed by the respondents. </w:t>
      </w:r>
    </w:p>
    <w:p w14:paraId="0985B7CA" w14:textId="3FB7501D" w:rsidR="000374BD" w:rsidRDefault="00126822" w:rsidP="00126822">
      <w:pPr>
        <w:pStyle w:val="level11"/>
        <w:numPr>
          <w:ilvl w:val="0"/>
          <w:numId w:val="0"/>
        </w:numPr>
        <w:spacing w:after="480" w:line="360" w:lineRule="auto"/>
        <w:jc w:val="both"/>
        <w:rPr>
          <w:lang w:val="en-US"/>
        </w:rPr>
      </w:pPr>
      <w:r>
        <w:rPr>
          <w:lang w:val="en-US"/>
        </w:rPr>
        <w:t>[16]</w:t>
      </w:r>
      <w:r>
        <w:rPr>
          <w:lang w:val="en-US"/>
        </w:rPr>
        <w:tab/>
      </w:r>
      <w:r w:rsidR="000374BD" w:rsidRPr="00A83D9A">
        <w:rPr>
          <w:lang w:val="en-US"/>
        </w:rPr>
        <w:t xml:space="preserve">Reliance is </w:t>
      </w:r>
      <w:r w:rsidR="00697DD7">
        <w:rPr>
          <w:lang w:val="en-US"/>
        </w:rPr>
        <w:t xml:space="preserve">further </w:t>
      </w:r>
      <w:r w:rsidR="000374BD" w:rsidRPr="00A83D9A">
        <w:rPr>
          <w:lang w:val="en-US"/>
        </w:rPr>
        <w:t>placed on a contextual interpretation of the partnership agreement with emphasis on the structure of the partnership and the provisions of clauses 4.2, 5.1, 6.1</w:t>
      </w:r>
      <w:r w:rsidR="002A6EB8" w:rsidRPr="00A83D9A">
        <w:rPr>
          <w:lang w:val="en-US"/>
        </w:rPr>
        <w:t>,</w:t>
      </w:r>
      <w:r w:rsidR="000374BD" w:rsidRPr="00A83D9A">
        <w:rPr>
          <w:lang w:val="en-US"/>
        </w:rPr>
        <w:t xml:space="preserve"> 8.2 </w:t>
      </w:r>
      <w:r w:rsidR="002A6EB8" w:rsidRPr="00A83D9A">
        <w:rPr>
          <w:lang w:val="en-US"/>
        </w:rPr>
        <w:t xml:space="preserve">and 8.3 </w:t>
      </w:r>
      <w:r w:rsidR="000374BD" w:rsidRPr="00A83D9A">
        <w:rPr>
          <w:lang w:val="en-US"/>
        </w:rPr>
        <w:t>of the partnership agreement</w:t>
      </w:r>
      <w:r w:rsidR="00A83D9A">
        <w:rPr>
          <w:lang w:val="en-US"/>
        </w:rPr>
        <w:t xml:space="preserve"> in support of the argument on a contextual interpretation and the consideration of the purpose of the agreement</w:t>
      </w:r>
      <w:r w:rsidR="00803F71">
        <w:rPr>
          <w:lang w:val="en-US"/>
        </w:rPr>
        <w:t>. The applicants argued that the cumulative effect and import</w:t>
      </w:r>
      <w:r w:rsidR="0062359C">
        <w:rPr>
          <w:lang w:val="en-US"/>
        </w:rPr>
        <w:t xml:space="preserve"> of the aforesaid clauses was to entrench the ownership of the individual partner’s clients in the partners</w:t>
      </w:r>
      <w:r w:rsidR="00C87247">
        <w:rPr>
          <w:lang w:val="en-US"/>
        </w:rPr>
        <w:t xml:space="preserve">’ </w:t>
      </w:r>
      <w:r w:rsidR="0062359C">
        <w:rPr>
          <w:lang w:val="en-US"/>
        </w:rPr>
        <w:t xml:space="preserve">practice, separate bank accounts and accounting, separate ownership of equipment and the excluding of sharing by the partners on the profits of another partner. Reliance was further placed on (i) clause 20.1 providing the context that it concerns the partner’s exposure to the other partners’ clients and access to the information of the other partners’ clients; (ii) clause 20.2 which provides for the partners’ acknowledgement of the restraints imposed on them and the reasonableness thereof; (iii) clause 4 of the addendum, which defined the partnership as the listed practices and only when referred to collectively would the practices be referred to as the partnership; (v) clause 4 of the addendum which included the applicants jointly as a single partner. </w:t>
      </w:r>
    </w:p>
    <w:p w14:paraId="42AF90D7" w14:textId="64F25517" w:rsidR="00803F71" w:rsidRDefault="00126822" w:rsidP="00126822">
      <w:pPr>
        <w:pStyle w:val="level11"/>
        <w:numPr>
          <w:ilvl w:val="0"/>
          <w:numId w:val="0"/>
        </w:numPr>
        <w:spacing w:after="480" w:line="360" w:lineRule="auto"/>
        <w:jc w:val="both"/>
        <w:rPr>
          <w:lang w:val="en-US"/>
        </w:rPr>
      </w:pPr>
      <w:r>
        <w:rPr>
          <w:lang w:val="en-US"/>
        </w:rPr>
        <w:t>[17]</w:t>
      </w:r>
      <w:r>
        <w:rPr>
          <w:lang w:val="en-US"/>
        </w:rPr>
        <w:tab/>
      </w:r>
      <w:r w:rsidR="00697DD7">
        <w:rPr>
          <w:lang w:val="en-US"/>
        </w:rPr>
        <w:t xml:space="preserve">It is conceded that if the text is viewed in isolation, the word used in clauses 20.3.1 and 20.3.1 carry the meaning that the partners undertook not to act in the prescribed manner in relation to the employees and clients of the first respondent partnership. They however criticise the respondents’ interpretation as being based on an isolated focus on the word “partnership” in clause 20.3. </w:t>
      </w:r>
    </w:p>
    <w:p w14:paraId="4EBF5FF6" w14:textId="62795D04" w:rsidR="0062359C" w:rsidRDefault="00126822" w:rsidP="00126822">
      <w:pPr>
        <w:pStyle w:val="level11"/>
        <w:numPr>
          <w:ilvl w:val="0"/>
          <w:numId w:val="0"/>
        </w:numPr>
        <w:spacing w:after="480" w:line="360" w:lineRule="auto"/>
        <w:jc w:val="both"/>
        <w:rPr>
          <w:lang w:val="en-US"/>
        </w:rPr>
      </w:pPr>
      <w:r>
        <w:rPr>
          <w:lang w:val="en-US"/>
        </w:rPr>
        <w:t>[18]</w:t>
      </w:r>
      <w:r>
        <w:rPr>
          <w:lang w:val="en-US"/>
        </w:rPr>
        <w:tab/>
      </w:r>
      <w:r w:rsidR="00697DD7">
        <w:rPr>
          <w:lang w:val="en-US"/>
        </w:rPr>
        <w:t xml:space="preserve">It is contended that such interpretation would </w:t>
      </w:r>
      <w:r w:rsidR="003D63FC">
        <w:rPr>
          <w:lang w:val="en-US"/>
        </w:rPr>
        <w:t xml:space="preserve">however </w:t>
      </w:r>
      <w:r w:rsidR="00697DD7">
        <w:rPr>
          <w:lang w:val="en-US"/>
        </w:rPr>
        <w:t xml:space="preserve">produce an absurd, unbusinesslike and meaningless outcome, given the express recordal in clause 4.2 of the agreement between the partners that “ownership” of the individual partners’ clients would </w:t>
      </w:r>
      <w:r w:rsidR="00697DD7">
        <w:rPr>
          <w:lang w:val="en-US"/>
        </w:rPr>
        <w:lastRenderedPageBreak/>
        <w:t>remain as such and would not vest in the partnership or any other partner</w:t>
      </w:r>
      <w:r w:rsidR="00697DD7" w:rsidRPr="00A83D9A">
        <w:rPr>
          <w:lang w:val="en-US"/>
        </w:rPr>
        <w:t>.</w:t>
      </w:r>
      <w:r w:rsidR="00697DD7">
        <w:rPr>
          <w:lang w:val="en-US"/>
        </w:rPr>
        <w:t xml:space="preserve"> </w:t>
      </w:r>
      <w:r w:rsidR="00803F71">
        <w:rPr>
          <w:lang w:val="en-US"/>
        </w:rPr>
        <w:t>It is argued that on a p</w:t>
      </w:r>
      <w:r w:rsidR="00722B1F">
        <w:rPr>
          <w:lang w:val="en-US"/>
        </w:rPr>
        <w:t>lain linguistic</w:t>
      </w:r>
      <w:r w:rsidR="00803F71">
        <w:rPr>
          <w:lang w:val="en-US"/>
        </w:rPr>
        <w:t xml:space="preserve"> interpretation of clause 4.2 the partnership has no clients separate from the partners</w:t>
      </w:r>
      <w:r w:rsidR="00722B1F">
        <w:rPr>
          <w:rFonts w:cs="Arial"/>
          <w:lang w:val="en-US"/>
        </w:rPr>
        <w:t xml:space="preserve"> but that it is only the partners who have clients. They argue that the rights of each partner in its own practice serves the purpose of inter alia protecting these rights from infringement thereon by the other partners.</w:t>
      </w:r>
    </w:p>
    <w:p w14:paraId="21E497C4" w14:textId="59BA7DCF" w:rsidR="00F32E30" w:rsidRDefault="00126822" w:rsidP="00126822">
      <w:pPr>
        <w:pStyle w:val="level11"/>
        <w:numPr>
          <w:ilvl w:val="0"/>
          <w:numId w:val="0"/>
        </w:numPr>
        <w:spacing w:after="480" w:line="360" w:lineRule="auto"/>
        <w:jc w:val="both"/>
        <w:rPr>
          <w:rFonts w:cs="Arial"/>
          <w:lang w:val="en-US"/>
        </w:rPr>
      </w:pPr>
      <w:r>
        <w:rPr>
          <w:rFonts w:cs="Arial"/>
          <w:lang w:val="en-US"/>
        </w:rPr>
        <w:t>[19]</w:t>
      </w:r>
      <w:r>
        <w:rPr>
          <w:rFonts w:cs="Arial"/>
          <w:lang w:val="en-US"/>
        </w:rPr>
        <w:tab/>
      </w:r>
      <w:r w:rsidR="00722B1F">
        <w:rPr>
          <w:rFonts w:cs="Arial"/>
          <w:lang w:val="en-US"/>
        </w:rPr>
        <w:t>In respect of c</w:t>
      </w:r>
      <w:r w:rsidR="00F32E30">
        <w:rPr>
          <w:rFonts w:cs="Arial"/>
          <w:lang w:val="en-US"/>
        </w:rPr>
        <w:t>lause 20.3.1</w:t>
      </w:r>
      <w:r w:rsidR="00722B1F">
        <w:rPr>
          <w:rFonts w:cs="Arial"/>
          <w:lang w:val="en-US"/>
        </w:rPr>
        <w:t>, t</w:t>
      </w:r>
      <w:r w:rsidR="00F32E30">
        <w:rPr>
          <w:rFonts w:cs="Arial"/>
          <w:lang w:val="en-US"/>
        </w:rPr>
        <w:t>he applicants rely on the contractual setting which includes subsequent conduct as a permissible interpretative tool, indicating how the parties understood the agreement. Reliance is placed on the employment contracts and the fact that the employees were on the payroll of the applicants. It is contended that the first respondent partnership has no employees of its own.</w:t>
      </w:r>
    </w:p>
    <w:p w14:paraId="7F4D8D81" w14:textId="566E1F7A" w:rsidR="002A2B9C" w:rsidRDefault="00126822" w:rsidP="00126822">
      <w:pPr>
        <w:pStyle w:val="level11"/>
        <w:numPr>
          <w:ilvl w:val="0"/>
          <w:numId w:val="0"/>
        </w:numPr>
        <w:spacing w:after="480" w:line="360" w:lineRule="auto"/>
        <w:jc w:val="both"/>
        <w:rPr>
          <w:rFonts w:cs="Arial"/>
          <w:lang w:val="en-US"/>
        </w:rPr>
      </w:pPr>
      <w:r>
        <w:rPr>
          <w:rFonts w:cs="Arial"/>
          <w:lang w:val="en-US"/>
        </w:rPr>
        <w:t>[20]</w:t>
      </w:r>
      <w:r>
        <w:rPr>
          <w:rFonts w:cs="Arial"/>
          <w:lang w:val="en-US"/>
        </w:rPr>
        <w:tab/>
      </w:r>
      <w:r w:rsidR="003D63FC">
        <w:rPr>
          <w:rFonts w:cs="Arial"/>
          <w:lang w:val="en-US"/>
        </w:rPr>
        <w:t xml:space="preserve">On the applicants’ interpretation in context of clauses 20.3.1 and 20.3 2 and the subsequent conduct in relation to clause 20.3.1 the word </w:t>
      </w:r>
      <w:r w:rsidR="00E82D47">
        <w:rPr>
          <w:rFonts w:cs="Arial"/>
          <w:lang w:val="en-US"/>
        </w:rPr>
        <w:t>“</w:t>
      </w:r>
      <w:r w:rsidR="003D63FC">
        <w:rPr>
          <w:rFonts w:cs="Arial"/>
          <w:lang w:val="en-US"/>
        </w:rPr>
        <w:t>partnership</w:t>
      </w:r>
      <w:r w:rsidR="00E82D47">
        <w:rPr>
          <w:rFonts w:cs="Arial"/>
          <w:lang w:val="en-US"/>
        </w:rPr>
        <w:t>”</w:t>
      </w:r>
      <w:r w:rsidR="003D63FC">
        <w:rPr>
          <w:rFonts w:cs="Arial"/>
          <w:lang w:val="en-US"/>
        </w:rPr>
        <w:t xml:space="preserve"> does not refer to the first respondent in a collective sense but to the practices of each of the partners in an individual sense. It is argued that the purpose of clause 20 is to place a restraint on the partners in the partnership not to infringe on the other partners’ clients and employees by encouraging enticing or persuading them to respectively take their custom away or terminate their employment, thus to protect the rights of each partner to their respective clients and employees by other partners that had exposure and access to all other partners</w:t>
      </w:r>
      <w:r w:rsidR="00C87247">
        <w:rPr>
          <w:rFonts w:cs="Arial"/>
          <w:lang w:val="en-US"/>
        </w:rPr>
        <w:t>’</w:t>
      </w:r>
      <w:r w:rsidR="003D63FC">
        <w:rPr>
          <w:rFonts w:cs="Arial"/>
          <w:lang w:val="en-US"/>
        </w:rPr>
        <w:t xml:space="preserve"> clients and their information.</w:t>
      </w:r>
    </w:p>
    <w:p w14:paraId="3B6E11F7" w14:textId="043A94E1" w:rsidR="003D63FC" w:rsidRPr="002C3752" w:rsidRDefault="00126822" w:rsidP="00126822">
      <w:pPr>
        <w:pStyle w:val="level11"/>
        <w:numPr>
          <w:ilvl w:val="0"/>
          <w:numId w:val="0"/>
        </w:numPr>
        <w:spacing w:after="480" w:line="360" w:lineRule="auto"/>
        <w:jc w:val="both"/>
        <w:rPr>
          <w:rFonts w:cs="Arial"/>
          <w:lang w:val="en-US"/>
        </w:rPr>
      </w:pPr>
      <w:r w:rsidRPr="002C3752">
        <w:rPr>
          <w:rFonts w:cs="Arial"/>
          <w:lang w:val="en-US"/>
        </w:rPr>
        <w:t>[21]</w:t>
      </w:r>
      <w:r w:rsidRPr="002C3752">
        <w:rPr>
          <w:rFonts w:cs="Arial"/>
          <w:lang w:val="en-US"/>
        </w:rPr>
        <w:tab/>
      </w:r>
      <w:r w:rsidR="002A2B9C">
        <w:rPr>
          <w:rFonts w:cs="Arial"/>
          <w:lang w:val="en-US"/>
        </w:rPr>
        <w:t>In sum, the applicants</w:t>
      </w:r>
      <w:r w:rsidR="001169C5">
        <w:rPr>
          <w:rFonts w:cs="Arial"/>
          <w:lang w:val="en-US"/>
        </w:rPr>
        <w:t>’</w:t>
      </w:r>
      <w:r w:rsidR="002A2B9C">
        <w:rPr>
          <w:rFonts w:cs="Arial"/>
          <w:lang w:val="en-US"/>
        </w:rPr>
        <w:t xml:space="preserve"> arguments</w:t>
      </w:r>
      <w:r w:rsidR="001169C5">
        <w:rPr>
          <w:rFonts w:cs="Arial"/>
          <w:lang w:val="en-US"/>
        </w:rPr>
        <w:t xml:space="preserve"> focus on what they contend the purpose of the agreement is and a contextual reading which elevates certain clauses above others, given that the wording of the relevant clauses do not support their cause. </w:t>
      </w:r>
      <w:r w:rsidR="003D63FC">
        <w:rPr>
          <w:rFonts w:cs="Arial"/>
          <w:lang w:val="en-US"/>
        </w:rPr>
        <w:t xml:space="preserve"> </w:t>
      </w:r>
    </w:p>
    <w:p w14:paraId="56C0A98A" w14:textId="1197B655" w:rsidR="00722B1F" w:rsidRPr="00722B1F" w:rsidRDefault="00126822" w:rsidP="00126822">
      <w:pPr>
        <w:pStyle w:val="level11"/>
        <w:numPr>
          <w:ilvl w:val="0"/>
          <w:numId w:val="0"/>
        </w:numPr>
        <w:spacing w:after="480" w:line="360" w:lineRule="auto"/>
        <w:jc w:val="both"/>
        <w:rPr>
          <w:lang w:val="en-US"/>
        </w:rPr>
      </w:pPr>
      <w:r w:rsidRPr="00722B1F">
        <w:rPr>
          <w:lang w:val="en-US"/>
        </w:rPr>
        <w:t>[22]</w:t>
      </w:r>
      <w:r w:rsidRPr="00722B1F">
        <w:rPr>
          <w:lang w:val="en-US"/>
        </w:rPr>
        <w:tab/>
      </w:r>
      <w:r w:rsidR="00A83D9A" w:rsidRPr="00722B1F">
        <w:rPr>
          <w:lang w:val="en-US"/>
        </w:rPr>
        <w:t xml:space="preserve">The respondents </w:t>
      </w:r>
      <w:r w:rsidR="00722B1F" w:rsidRPr="00722B1F">
        <w:rPr>
          <w:lang w:val="en-US"/>
        </w:rPr>
        <w:t xml:space="preserve">on the other hand </w:t>
      </w:r>
      <w:r w:rsidR="00A83D9A" w:rsidRPr="00722B1F">
        <w:rPr>
          <w:lang w:val="en-US"/>
        </w:rPr>
        <w:t xml:space="preserve">argue that on a proper interpretation of clause 20.3 the word </w:t>
      </w:r>
      <w:r w:rsidR="00E82D47">
        <w:rPr>
          <w:lang w:val="en-US"/>
        </w:rPr>
        <w:t>“</w:t>
      </w:r>
      <w:r w:rsidR="00A83D9A" w:rsidRPr="00722B1F">
        <w:rPr>
          <w:lang w:val="en-US"/>
        </w:rPr>
        <w:t>partnership</w:t>
      </w:r>
      <w:r w:rsidR="00E82D47">
        <w:rPr>
          <w:lang w:val="en-US"/>
        </w:rPr>
        <w:t>”</w:t>
      </w:r>
      <w:r w:rsidR="00A83D9A" w:rsidRPr="00722B1F">
        <w:rPr>
          <w:lang w:val="en-US"/>
        </w:rPr>
        <w:t xml:space="preserve">, is as </w:t>
      </w:r>
      <w:r w:rsidR="00E82D47">
        <w:rPr>
          <w:lang w:val="en-US"/>
        </w:rPr>
        <w:t xml:space="preserve">is </w:t>
      </w:r>
      <w:r w:rsidR="00A83D9A" w:rsidRPr="00722B1F">
        <w:rPr>
          <w:lang w:val="en-US"/>
        </w:rPr>
        <w:t>defined in the agreement and means the collective partnership of the first respondent only.</w:t>
      </w:r>
      <w:r w:rsidR="00722B1F" w:rsidRPr="00722B1F">
        <w:rPr>
          <w:lang w:val="en-US"/>
        </w:rPr>
        <w:t xml:space="preserve"> It is argued that upon a proper construction of the partnership agreement, the restraint provisions in clause 20 afford protection to the first respondent partnership only and not to the respective partners’ practices. Emphasis is </w:t>
      </w:r>
      <w:r w:rsidR="00722B1F" w:rsidRPr="00722B1F">
        <w:rPr>
          <w:lang w:val="en-US"/>
        </w:rPr>
        <w:lastRenderedPageBreak/>
        <w:t xml:space="preserve">placed on the preamble of the partnership agreement, the provisions of clauses 2.3.1 </w:t>
      </w:r>
      <w:r w:rsidR="00331F11">
        <w:rPr>
          <w:lang w:val="en-US"/>
        </w:rPr>
        <w:t xml:space="preserve">(which defines clients) </w:t>
      </w:r>
      <w:r w:rsidR="00722B1F" w:rsidRPr="00722B1F">
        <w:rPr>
          <w:lang w:val="en-US"/>
        </w:rPr>
        <w:t>and 20.6 and the provisions of clause 1.2 .12 of the addendum</w:t>
      </w:r>
      <w:r w:rsidR="001169C5">
        <w:rPr>
          <w:lang w:val="en-US"/>
        </w:rPr>
        <w:t xml:space="preserve"> in arguing that the interpretation advanced by the applicants is untenable</w:t>
      </w:r>
      <w:r w:rsidR="00722B1F" w:rsidRPr="00722B1F">
        <w:rPr>
          <w:lang w:val="en-US"/>
        </w:rPr>
        <w:t xml:space="preserve">. </w:t>
      </w:r>
    </w:p>
    <w:p w14:paraId="763A42EB" w14:textId="1036639A" w:rsidR="00722B1F" w:rsidRPr="00D21585" w:rsidRDefault="00126822" w:rsidP="00126822">
      <w:pPr>
        <w:pStyle w:val="level11"/>
        <w:numPr>
          <w:ilvl w:val="0"/>
          <w:numId w:val="0"/>
        </w:numPr>
        <w:spacing w:after="480" w:line="360" w:lineRule="auto"/>
        <w:jc w:val="both"/>
        <w:rPr>
          <w:rFonts w:cs="Arial"/>
          <w:lang w:val="en-US"/>
        </w:rPr>
      </w:pPr>
      <w:r w:rsidRPr="00D21585">
        <w:rPr>
          <w:rFonts w:cs="Arial"/>
          <w:lang w:val="en-US"/>
        </w:rPr>
        <w:t>[23]</w:t>
      </w:r>
      <w:r w:rsidRPr="00D21585">
        <w:rPr>
          <w:rFonts w:cs="Arial"/>
          <w:lang w:val="en-US"/>
        </w:rPr>
        <w:tab/>
      </w:r>
      <w:r w:rsidR="00722B1F" w:rsidRPr="00D21585">
        <w:rPr>
          <w:lang w:val="en-US"/>
        </w:rPr>
        <w:t xml:space="preserve">It is argued </w:t>
      </w:r>
      <w:r w:rsidR="00722B1F">
        <w:rPr>
          <w:lang w:val="en-US"/>
        </w:rPr>
        <w:t xml:space="preserve">by the respondents </w:t>
      </w:r>
      <w:r w:rsidR="00722B1F" w:rsidRPr="00D21585">
        <w:rPr>
          <w:lang w:val="en-US"/>
        </w:rPr>
        <w:t xml:space="preserve">that on a proper interpretation, the applicants are not able to enforce the restraint provisions of the partnership agreement with the result that the relief claimed is bad in law as the restraint is aimed at protecting the proprietary interests and goodwill of the first respondent partnership in respect of its clients and employees and not </w:t>
      </w:r>
      <w:r w:rsidR="00722B1F" w:rsidRPr="00D21585">
        <w:rPr>
          <w:rFonts w:cs="Arial"/>
          <w:lang w:val="en-US"/>
        </w:rPr>
        <w:t>those of individual partnership groupings such as the applicants.</w:t>
      </w:r>
    </w:p>
    <w:p w14:paraId="1CF896E3" w14:textId="762F50A9" w:rsidR="00722B1F" w:rsidRDefault="00126822" w:rsidP="00126822">
      <w:pPr>
        <w:pStyle w:val="level11"/>
        <w:numPr>
          <w:ilvl w:val="0"/>
          <w:numId w:val="0"/>
        </w:numPr>
        <w:spacing w:after="480" w:line="360" w:lineRule="auto"/>
        <w:jc w:val="both"/>
        <w:rPr>
          <w:rFonts w:cs="Arial"/>
          <w:lang w:val="en-US"/>
        </w:rPr>
      </w:pPr>
      <w:r>
        <w:rPr>
          <w:rFonts w:cs="Arial"/>
          <w:lang w:val="en-US"/>
        </w:rPr>
        <w:t>[24]</w:t>
      </w:r>
      <w:r>
        <w:rPr>
          <w:rFonts w:cs="Arial"/>
          <w:lang w:val="en-US"/>
        </w:rPr>
        <w:tab/>
      </w:r>
      <w:r w:rsidR="003D63FC">
        <w:rPr>
          <w:rFonts w:cs="Arial"/>
          <w:lang w:val="en-US"/>
        </w:rPr>
        <w:t xml:space="preserve">I turn to consider the relevant provisions. </w:t>
      </w:r>
      <w:r w:rsidR="00722B1F">
        <w:rPr>
          <w:rFonts w:cs="Arial"/>
          <w:lang w:val="en-US"/>
        </w:rPr>
        <w:t>Clause 20 is headed “restraint” and provides:</w:t>
      </w:r>
    </w:p>
    <w:p w14:paraId="07C13498" w14:textId="77777777" w:rsidR="00722B1F"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t xml:space="preserve">20.1 </w:t>
      </w:r>
      <w:r>
        <w:rPr>
          <w:rFonts w:cs="Arial"/>
          <w:i/>
          <w:sz w:val="20"/>
          <w:szCs w:val="20"/>
          <w:lang w:val="en-US"/>
        </w:rPr>
        <w:t>T</w:t>
      </w:r>
      <w:r w:rsidRPr="00E7414C">
        <w:rPr>
          <w:rFonts w:cs="Arial"/>
          <w:i/>
          <w:sz w:val="20"/>
          <w:szCs w:val="20"/>
          <w:lang w:val="en-US"/>
        </w:rPr>
        <w:t xml:space="preserve">he partners acknowledge that during the course of the Partnership, they will be exposed to and have access to information relating to the Clients of the other Partners. </w:t>
      </w:r>
    </w:p>
    <w:p w14:paraId="1A0B728E" w14:textId="77777777" w:rsidR="00722B1F"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t xml:space="preserve">20.2 the Partners acknowledge further that the restraints imposed on them in terms of this clause are reasonable and necessary. </w:t>
      </w:r>
    </w:p>
    <w:p w14:paraId="44366211" w14:textId="77777777" w:rsidR="00722B1F"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t>20.3 The Partners hereby undertake that they will not, either alone or jointly or together with any other person-</w:t>
      </w:r>
    </w:p>
    <w:p w14:paraId="755CEDA8" w14:textId="77777777" w:rsidR="00722B1F"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t xml:space="preserve">20.3.1 directly or indirectly, encourage or entice or incite or persuade or induce any employee of the Partnership to terminate employment with the Partnership, or cause or assist in causing any of the aforegoing to take place; </w:t>
      </w:r>
    </w:p>
    <w:p w14:paraId="09162AD0" w14:textId="74FBAF74" w:rsidR="00722B1F"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t>20.3.2 directly or indirectly, encourage or entice or incite or persuade or induce the Clients of the other Partners, to take</w:t>
      </w:r>
      <w:r w:rsidR="00530ED7">
        <w:rPr>
          <w:rFonts w:cs="Arial"/>
          <w:i/>
          <w:sz w:val="20"/>
          <w:szCs w:val="20"/>
          <w:lang w:val="en-US"/>
        </w:rPr>
        <w:t xml:space="preserve"> </w:t>
      </w:r>
      <w:r w:rsidRPr="00E7414C">
        <w:rPr>
          <w:rFonts w:cs="Arial"/>
          <w:i/>
          <w:sz w:val="20"/>
          <w:szCs w:val="20"/>
          <w:lang w:val="en-US"/>
        </w:rPr>
        <w:t xml:space="preserve">its custom away from the Partnership, or cause or assist in causing any of the aforegoing to take place; and </w:t>
      </w:r>
    </w:p>
    <w:p w14:paraId="32752CE1" w14:textId="77777777" w:rsidR="00722B1F"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t>20.3.3 directly or indirectly, discourage or dissuade any of the clients of the other Partners from maintaining its custom with the partnership, or cause or assist in causing any of the aforego</w:t>
      </w:r>
      <w:r>
        <w:rPr>
          <w:rFonts w:cs="Arial"/>
          <w:i/>
          <w:sz w:val="20"/>
          <w:szCs w:val="20"/>
          <w:lang w:val="en-US"/>
        </w:rPr>
        <w:t>i</w:t>
      </w:r>
      <w:r w:rsidRPr="00E7414C">
        <w:rPr>
          <w:rFonts w:cs="Arial"/>
          <w:i/>
          <w:sz w:val="20"/>
          <w:szCs w:val="20"/>
          <w:lang w:val="en-US"/>
        </w:rPr>
        <w:t>ng to take place</w:t>
      </w:r>
      <w:r>
        <w:rPr>
          <w:rFonts w:cs="Arial"/>
          <w:i/>
          <w:sz w:val="20"/>
          <w:szCs w:val="20"/>
          <w:lang w:val="en-US"/>
        </w:rPr>
        <w:t>.</w:t>
      </w:r>
      <w:r w:rsidRPr="00E7414C">
        <w:rPr>
          <w:rFonts w:cs="Arial"/>
          <w:i/>
          <w:sz w:val="20"/>
          <w:szCs w:val="20"/>
          <w:lang w:val="en-US"/>
        </w:rPr>
        <w:t xml:space="preserve"> </w:t>
      </w:r>
    </w:p>
    <w:p w14:paraId="544779DF" w14:textId="1D99276B" w:rsidR="00722B1F"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t>20.4 The restraints imposed in this clause 20 are imposed for a period of 3</w:t>
      </w:r>
      <w:r w:rsidR="001169C5">
        <w:rPr>
          <w:rFonts w:cs="Arial"/>
          <w:i/>
          <w:sz w:val="20"/>
          <w:szCs w:val="20"/>
          <w:lang w:val="en-US"/>
        </w:rPr>
        <w:t xml:space="preserve"> </w:t>
      </w:r>
      <w:r w:rsidRPr="00E7414C">
        <w:rPr>
          <w:rFonts w:cs="Arial"/>
          <w:i/>
          <w:sz w:val="20"/>
          <w:szCs w:val="20"/>
          <w:lang w:val="en-US"/>
        </w:rPr>
        <w:t xml:space="preserve">(Three) years from the termination date (the “Restraint Period”). </w:t>
      </w:r>
    </w:p>
    <w:p w14:paraId="551B3A73" w14:textId="77777777" w:rsidR="00722B1F"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lastRenderedPageBreak/>
        <w:t>20.5 Each of the undertakings and restrictions in this clause 20</w:t>
      </w:r>
      <w:r>
        <w:rPr>
          <w:rFonts w:cs="Arial"/>
          <w:i/>
          <w:sz w:val="20"/>
          <w:szCs w:val="20"/>
          <w:lang w:val="en-US"/>
        </w:rPr>
        <w:t xml:space="preserve"> </w:t>
      </w:r>
      <w:r w:rsidRPr="00E7414C">
        <w:rPr>
          <w:rFonts w:cs="Arial"/>
          <w:i/>
          <w:sz w:val="20"/>
          <w:szCs w:val="20"/>
          <w:lang w:val="en-US"/>
        </w:rPr>
        <w:t>shall be regarded as a distinct and severable covenant, in respect of each magisterial district falling within the Republic of South Africa and each country within which the Partnership conducts business falling within the definition of Territory.</w:t>
      </w:r>
    </w:p>
    <w:p w14:paraId="109E30D6" w14:textId="77777777" w:rsidR="00722B1F" w:rsidRPr="00E7414C" w:rsidRDefault="00722B1F" w:rsidP="00722B1F">
      <w:pPr>
        <w:pStyle w:val="level11"/>
        <w:numPr>
          <w:ilvl w:val="0"/>
          <w:numId w:val="0"/>
        </w:numPr>
        <w:spacing w:after="480"/>
        <w:ind w:left="360"/>
        <w:jc w:val="both"/>
        <w:rPr>
          <w:rFonts w:cs="Arial"/>
          <w:i/>
          <w:sz w:val="20"/>
          <w:szCs w:val="20"/>
          <w:lang w:val="en-US"/>
        </w:rPr>
      </w:pPr>
      <w:r w:rsidRPr="00E7414C">
        <w:rPr>
          <w:rFonts w:cs="Arial"/>
          <w:i/>
          <w:sz w:val="20"/>
          <w:szCs w:val="20"/>
          <w:lang w:val="en-US"/>
        </w:rPr>
        <w:t xml:space="preserve">20.6 The Partners acknowledge and agree that the restraints imposed upon them in terms of this Agreement are reasonable in all respects as to subject matter, period and territorial limitation and are no more than are reasonably and necessarily required by the Partnership to protect its proprietary interests and goodwill.   </w:t>
      </w:r>
    </w:p>
    <w:p w14:paraId="22CC46D3" w14:textId="49DE74B0" w:rsidR="007216BF" w:rsidRPr="001169C5" w:rsidRDefault="00126822" w:rsidP="00126822">
      <w:pPr>
        <w:pStyle w:val="level11"/>
        <w:numPr>
          <w:ilvl w:val="0"/>
          <w:numId w:val="0"/>
        </w:numPr>
        <w:spacing w:after="480" w:line="360" w:lineRule="auto"/>
        <w:jc w:val="both"/>
        <w:rPr>
          <w:lang w:val="en-US"/>
        </w:rPr>
      </w:pPr>
      <w:r w:rsidRPr="001169C5">
        <w:rPr>
          <w:lang w:val="en-US"/>
        </w:rPr>
        <w:t>[25]</w:t>
      </w:r>
      <w:r w:rsidRPr="001169C5">
        <w:rPr>
          <w:lang w:val="en-US"/>
        </w:rPr>
        <w:tab/>
      </w:r>
      <w:r w:rsidR="002A2B9C" w:rsidRPr="001169C5">
        <w:rPr>
          <w:lang w:val="en-US"/>
        </w:rPr>
        <w:t>On a linguistic level</w:t>
      </w:r>
      <w:r w:rsidR="001169C5">
        <w:rPr>
          <w:lang w:val="en-US"/>
        </w:rPr>
        <w:t xml:space="preserve"> and considering the words used, the clause </w:t>
      </w:r>
      <w:r w:rsidR="002A2B9C" w:rsidRPr="001169C5">
        <w:rPr>
          <w:lang w:val="en-US"/>
        </w:rPr>
        <w:t xml:space="preserve">affords protection to the first respondent partnership and not to the individual partners. </w:t>
      </w:r>
      <w:r w:rsidR="00F65A85">
        <w:rPr>
          <w:lang w:val="en-US"/>
        </w:rPr>
        <w:t>On a contextua</w:t>
      </w:r>
      <w:r w:rsidR="007216BF">
        <w:rPr>
          <w:lang w:val="en-US"/>
        </w:rPr>
        <w:t>l</w:t>
      </w:r>
      <w:r w:rsidR="00F65A85">
        <w:rPr>
          <w:lang w:val="en-US"/>
        </w:rPr>
        <w:t xml:space="preserve"> reading and considering the agreement and clause </w:t>
      </w:r>
      <w:r w:rsidR="002A2B9C" w:rsidRPr="001169C5">
        <w:rPr>
          <w:lang w:val="en-US"/>
        </w:rPr>
        <w:t xml:space="preserve">20 </w:t>
      </w:r>
      <w:r w:rsidR="00F65A85">
        <w:rPr>
          <w:lang w:val="en-US"/>
        </w:rPr>
        <w:t xml:space="preserve">as a whole, its provisions </w:t>
      </w:r>
      <w:r w:rsidR="002A2B9C" w:rsidRPr="001169C5">
        <w:rPr>
          <w:lang w:val="en-US"/>
        </w:rPr>
        <w:t xml:space="preserve">impose restraints on the partners </w:t>
      </w:r>
      <w:r w:rsidR="00F65A85">
        <w:rPr>
          <w:lang w:val="en-US"/>
        </w:rPr>
        <w:t xml:space="preserve">during the existence of the partnership </w:t>
      </w:r>
      <w:r w:rsidR="002A2B9C" w:rsidRPr="001169C5">
        <w:rPr>
          <w:lang w:val="en-US"/>
        </w:rPr>
        <w:t xml:space="preserve">in order to protect the collective partnership, the first respondent. </w:t>
      </w:r>
      <w:r w:rsidR="001169C5">
        <w:rPr>
          <w:lang w:val="en-US"/>
        </w:rPr>
        <w:t xml:space="preserve">The clause does not make provision for any arrangements between the parties after the partnership is terminated but rather affords protection to the first respondent partnership whilst the partnership is in existence. </w:t>
      </w:r>
      <w:r w:rsidR="007216BF">
        <w:rPr>
          <w:lang w:val="en-US"/>
        </w:rPr>
        <w:t xml:space="preserve">Clauses 14, 15, 16 and 17 of the partnership agreement expressly regulate the termination of the partnership.  </w:t>
      </w:r>
    </w:p>
    <w:p w14:paraId="1CE9CB39" w14:textId="242F6911" w:rsidR="002A2B9C" w:rsidRPr="001169C5" w:rsidRDefault="00126822" w:rsidP="00126822">
      <w:pPr>
        <w:pStyle w:val="level11"/>
        <w:numPr>
          <w:ilvl w:val="0"/>
          <w:numId w:val="0"/>
        </w:numPr>
        <w:spacing w:after="480" w:line="360" w:lineRule="auto"/>
        <w:jc w:val="both"/>
        <w:rPr>
          <w:lang w:val="en-US"/>
        </w:rPr>
      </w:pPr>
      <w:r w:rsidRPr="001169C5">
        <w:rPr>
          <w:lang w:val="en-US"/>
        </w:rPr>
        <w:t>[26]</w:t>
      </w:r>
      <w:r w:rsidRPr="001169C5">
        <w:rPr>
          <w:lang w:val="en-US"/>
        </w:rPr>
        <w:tab/>
      </w:r>
      <w:r w:rsidR="001169C5" w:rsidRPr="001169C5">
        <w:rPr>
          <w:lang w:val="en-US"/>
        </w:rPr>
        <w:t xml:space="preserve">The provisions of clause 20.6 </w:t>
      </w:r>
      <w:r w:rsidR="00F65A85">
        <w:rPr>
          <w:lang w:val="en-US"/>
        </w:rPr>
        <w:t xml:space="preserve">further </w:t>
      </w:r>
      <w:r w:rsidR="001169C5" w:rsidRPr="001169C5">
        <w:rPr>
          <w:lang w:val="en-US"/>
        </w:rPr>
        <w:t>militate against the interpretation proposed by the applicant</w:t>
      </w:r>
      <w:r w:rsidR="00E82D47">
        <w:rPr>
          <w:lang w:val="en-US"/>
        </w:rPr>
        <w:t>s</w:t>
      </w:r>
      <w:r w:rsidR="007216BF">
        <w:rPr>
          <w:lang w:val="en-US"/>
        </w:rPr>
        <w:t>. The clause</w:t>
      </w:r>
      <w:r w:rsidR="007216BF">
        <w:rPr>
          <w:rFonts w:cs="Arial"/>
          <w:lang w:val="en-US"/>
        </w:rPr>
        <w:t xml:space="preserve"> expressly refers to the protection of the proprietary interests and goodwill of the partnership, rather than the individual partners. </w:t>
      </w:r>
      <w:r w:rsidR="00F65A85">
        <w:rPr>
          <w:lang w:val="en-US"/>
        </w:rPr>
        <w:t xml:space="preserve">Such interpretation is also in accordance with the purpose of the agreement, which is to regulate the affairs of the partnership and the partners </w:t>
      </w:r>
      <w:r w:rsidR="00F65A85" w:rsidRPr="00F65A85">
        <w:rPr>
          <w:i/>
          <w:lang w:val="en-US"/>
        </w:rPr>
        <w:t>inter se</w:t>
      </w:r>
      <w:r w:rsidR="00F65A85">
        <w:rPr>
          <w:lang w:val="en-US"/>
        </w:rPr>
        <w:t xml:space="preserve">. </w:t>
      </w:r>
      <w:r w:rsidR="001169C5" w:rsidRPr="001169C5">
        <w:rPr>
          <w:lang w:val="en-US"/>
        </w:rPr>
        <w:t xml:space="preserve"> </w:t>
      </w:r>
    </w:p>
    <w:p w14:paraId="5A319350" w14:textId="4DBB4413" w:rsidR="00F80975" w:rsidRDefault="00126822" w:rsidP="00126822">
      <w:pPr>
        <w:pStyle w:val="level11"/>
        <w:numPr>
          <w:ilvl w:val="0"/>
          <w:numId w:val="0"/>
        </w:numPr>
        <w:spacing w:after="480" w:line="360" w:lineRule="auto"/>
        <w:jc w:val="both"/>
        <w:rPr>
          <w:lang w:val="en-US"/>
        </w:rPr>
      </w:pPr>
      <w:r>
        <w:rPr>
          <w:lang w:val="en-US"/>
        </w:rPr>
        <w:t>[27]</w:t>
      </w:r>
      <w:r>
        <w:rPr>
          <w:lang w:val="en-US"/>
        </w:rPr>
        <w:tab/>
      </w:r>
      <w:r w:rsidR="00F80975">
        <w:rPr>
          <w:lang w:val="en-US"/>
        </w:rPr>
        <w:t xml:space="preserve">The only clause in the partnership agreement which refers to employees is clause 20.3.1.  </w:t>
      </w:r>
      <w:r w:rsidR="006C3948">
        <w:rPr>
          <w:lang w:val="en-US"/>
        </w:rPr>
        <w:t>In its text protection is afforded to employees of the partnership. Moreover, t</w:t>
      </w:r>
      <w:r w:rsidR="00F80975">
        <w:rPr>
          <w:lang w:val="en-US"/>
        </w:rPr>
        <w:t>he applicants’ reliance on subsequent conduct</w:t>
      </w:r>
      <w:r w:rsidR="00E82D47">
        <w:rPr>
          <w:lang w:val="en-US"/>
        </w:rPr>
        <w:t xml:space="preserve"> to support its interpretation</w:t>
      </w:r>
      <w:r w:rsidR="00F80975">
        <w:rPr>
          <w:lang w:val="en-US"/>
        </w:rPr>
        <w:t xml:space="preserve"> does not avail it. The 78 employees listed in FA5 by the applicants as its employees have been employed by Moore with effect from 1 January 2023. According to the employment contracts and letters of transfer they were previously employed by the first respondent</w:t>
      </w:r>
      <w:r w:rsidR="006C3948">
        <w:rPr>
          <w:lang w:val="en-US"/>
        </w:rPr>
        <w:t xml:space="preserve"> and not by the applicants</w:t>
      </w:r>
      <w:r w:rsidR="00F80975">
        <w:rPr>
          <w:lang w:val="en-US"/>
        </w:rPr>
        <w:t>. This was not disclosed in the applicants</w:t>
      </w:r>
      <w:r w:rsidR="006C3948">
        <w:rPr>
          <w:lang w:val="en-US"/>
        </w:rPr>
        <w:t>’</w:t>
      </w:r>
      <w:r w:rsidR="00F80975">
        <w:rPr>
          <w:lang w:val="en-US"/>
        </w:rPr>
        <w:t xml:space="preserve"> founding papers. </w:t>
      </w:r>
      <w:r w:rsidR="006C3948">
        <w:rPr>
          <w:lang w:val="en-US"/>
        </w:rPr>
        <w:t xml:space="preserve">Not only does the interpretation of the clause not favour the applicants, they further </w:t>
      </w:r>
      <w:r w:rsidR="00F80975">
        <w:rPr>
          <w:lang w:val="en-US"/>
        </w:rPr>
        <w:t xml:space="preserve">cannot enforce rights in </w:t>
      </w:r>
      <w:r w:rsidR="00F80975">
        <w:rPr>
          <w:lang w:val="en-US"/>
        </w:rPr>
        <w:lastRenderedPageBreak/>
        <w:t xml:space="preserve">respect of persons that are already in the employ of Moore, more so absent any explanation of what interest in these employees can be recognised. </w:t>
      </w:r>
    </w:p>
    <w:p w14:paraId="4E1436C7" w14:textId="204D3A1E" w:rsidR="0067164E" w:rsidRPr="0067164E" w:rsidRDefault="00126822" w:rsidP="00126822">
      <w:pPr>
        <w:pStyle w:val="level11"/>
        <w:numPr>
          <w:ilvl w:val="0"/>
          <w:numId w:val="0"/>
        </w:numPr>
        <w:spacing w:after="480" w:line="360" w:lineRule="auto"/>
        <w:jc w:val="both"/>
        <w:rPr>
          <w:lang w:val="en-US"/>
        </w:rPr>
      </w:pPr>
      <w:r w:rsidRPr="0067164E">
        <w:rPr>
          <w:lang w:val="en-US"/>
        </w:rPr>
        <w:t>[28]</w:t>
      </w:r>
      <w:r w:rsidRPr="0067164E">
        <w:rPr>
          <w:lang w:val="en-US"/>
        </w:rPr>
        <w:tab/>
      </w:r>
      <w:r w:rsidR="00F65A85">
        <w:rPr>
          <w:rFonts w:cs="Arial"/>
          <w:lang w:val="en-US"/>
        </w:rPr>
        <w:t>It is necessary to also consider the context of the other clauses relied on by</w:t>
      </w:r>
      <w:r w:rsidR="007216BF">
        <w:rPr>
          <w:rFonts w:cs="Arial"/>
          <w:lang w:val="en-US"/>
        </w:rPr>
        <w:t xml:space="preserve"> </w:t>
      </w:r>
      <w:r w:rsidR="00F65A85">
        <w:rPr>
          <w:rFonts w:cs="Arial"/>
          <w:lang w:val="en-US"/>
        </w:rPr>
        <w:t>the applicants. The applicants rely heavily on c</w:t>
      </w:r>
      <w:r w:rsidR="002A6EB8">
        <w:rPr>
          <w:rFonts w:cs="Arial"/>
          <w:lang w:val="en-US"/>
        </w:rPr>
        <w:t>lause 4.2</w:t>
      </w:r>
      <w:r w:rsidR="00F65A85">
        <w:rPr>
          <w:rFonts w:cs="Arial"/>
          <w:lang w:val="en-US"/>
        </w:rPr>
        <w:t xml:space="preserve">, which </w:t>
      </w:r>
      <w:r w:rsidR="002A6EB8">
        <w:rPr>
          <w:rFonts w:cs="Arial"/>
          <w:lang w:val="en-US"/>
        </w:rPr>
        <w:t xml:space="preserve">provides: </w:t>
      </w:r>
    </w:p>
    <w:p w14:paraId="660DA4DA" w14:textId="7E8C5476" w:rsidR="002A6EB8" w:rsidRPr="0067164E" w:rsidRDefault="002A6EB8" w:rsidP="0067164E">
      <w:pPr>
        <w:pStyle w:val="level11"/>
        <w:numPr>
          <w:ilvl w:val="0"/>
          <w:numId w:val="0"/>
        </w:numPr>
        <w:spacing w:after="480"/>
        <w:ind w:left="360"/>
        <w:jc w:val="both"/>
        <w:rPr>
          <w:i/>
          <w:sz w:val="20"/>
          <w:szCs w:val="20"/>
          <w:lang w:val="en-US"/>
        </w:rPr>
      </w:pPr>
      <w:r w:rsidRPr="0067164E">
        <w:rPr>
          <w:rFonts w:cs="Arial"/>
          <w:i/>
          <w:sz w:val="20"/>
          <w:szCs w:val="20"/>
          <w:lang w:val="en-US"/>
        </w:rPr>
        <w:t>“</w:t>
      </w:r>
      <w:r w:rsidR="0067164E">
        <w:rPr>
          <w:rFonts w:cs="Arial"/>
          <w:i/>
          <w:sz w:val="20"/>
          <w:szCs w:val="20"/>
          <w:lang w:val="en-US"/>
        </w:rPr>
        <w:t>I</w:t>
      </w:r>
      <w:r w:rsidR="00C87247">
        <w:rPr>
          <w:rFonts w:cs="Arial"/>
          <w:i/>
          <w:sz w:val="20"/>
          <w:szCs w:val="20"/>
          <w:lang w:val="en-US"/>
        </w:rPr>
        <w:t>t</w:t>
      </w:r>
      <w:r w:rsidRPr="0067164E">
        <w:rPr>
          <w:rFonts w:cs="Arial"/>
          <w:i/>
          <w:sz w:val="20"/>
          <w:szCs w:val="20"/>
          <w:lang w:val="en-US"/>
        </w:rPr>
        <w:t xml:space="preserve"> is specifically recorded and agreed that the ownership of clients and debtors, whether prior or subsequent to thi</w:t>
      </w:r>
      <w:r w:rsidR="0067164E">
        <w:rPr>
          <w:rFonts w:cs="Arial"/>
          <w:i/>
          <w:sz w:val="20"/>
          <w:szCs w:val="20"/>
          <w:lang w:val="en-US"/>
        </w:rPr>
        <w:t>s</w:t>
      </w:r>
      <w:r w:rsidRPr="0067164E">
        <w:rPr>
          <w:rFonts w:cs="Arial"/>
          <w:i/>
          <w:sz w:val="20"/>
          <w:szCs w:val="20"/>
          <w:lang w:val="en-US"/>
        </w:rPr>
        <w:t xml:space="preserve"> Agreement, of each individual partner shall remain as such and under no circumstances, vest in the Par</w:t>
      </w:r>
      <w:r w:rsidR="0067164E">
        <w:rPr>
          <w:rFonts w:cs="Arial"/>
          <w:i/>
          <w:sz w:val="20"/>
          <w:szCs w:val="20"/>
          <w:lang w:val="en-US"/>
        </w:rPr>
        <w:t>t</w:t>
      </w:r>
      <w:r w:rsidRPr="0067164E">
        <w:rPr>
          <w:rFonts w:cs="Arial"/>
          <w:i/>
          <w:sz w:val="20"/>
          <w:szCs w:val="20"/>
          <w:lang w:val="en-US"/>
        </w:rPr>
        <w:t>nership or any other partner”.</w:t>
      </w:r>
    </w:p>
    <w:p w14:paraId="4621F7BB" w14:textId="55726302" w:rsidR="00331F11" w:rsidRDefault="00126822" w:rsidP="00126822">
      <w:pPr>
        <w:pStyle w:val="level11"/>
        <w:numPr>
          <w:ilvl w:val="0"/>
          <w:numId w:val="0"/>
        </w:numPr>
        <w:spacing w:after="480" w:line="360" w:lineRule="auto"/>
        <w:jc w:val="both"/>
        <w:rPr>
          <w:rFonts w:cs="Arial"/>
          <w:lang w:val="en-US"/>
        </w:rPr>
      </w:pPr>
      <w:r>
        <w:rPr>
          <w:rFonts w:cs="Arial"/>
          <w:lang w:val="en-US"/>
        </w:rPr>
        <w:t>[29]</w:t>
      </w:r>
      <w:r>
        <w:rPr>
          <w:rFonts w:cs="Arial"/>
          <w:lang w:val="en-US"/>
        </w:rPr>
        <w:tab/>
      </w:r>
      <w:r w:rsidR="00C87247">
        <w:rPr>
          <w:lang w:val="en-US"/>
        </w:rPr>
        <w:t xml:space="preserve">The clause entrenches a proprietary interest of each of the partners to its clients. The clause cannot however, as </w:t>
      </w:r>
      <w:r w:rsidR="007216BF">
        <w:rPr>
          <w:lang w:val="en-US"/>
        </w:rPr>
        <w:t xml:space="preserve">argued </w:t>
      </w:r>
      <w:r w:rsidR="00C87247">
        <w:rPr>
          <w:lang w:val="en-US"/>
        </w:rPr>
        <w:t xml:space="preserve">by the applicants, be interpreted as confirmation that the first respondent partnership has no clients. </w:t>
      </w:r>
      <w:r w:rsidR="00331F11">
        <w:rPr>
          <w:lang w:val="en-US"/>
        </w:rPr>
        <w:t>On a factual level, it is disputed by the respondents that the first respondent partnership has no clients. The applicant</w:t>
      </w:r>
      <w:r w:rsidR="00E82D47">
        <w:rPr>
          <w:lang w:val="en-US"/>
        </w:rPr>
        <w:t>s</w:t>
      </w:r>
      <w:r w:rsidR="00331F11">
        <w:rPr>
          <w:lang w:val="en-US"/>
        </w:rPr>
        <w:t>’ interpretation further disregards the provisions of clause</w:t>
      </w:r>
      <w:r w:rsidR="001169C5">
        <w:rPr>
          <w:lang w:val="en-US"/>
        </w:rPr>
        <w:t xml:space="preserve"> 1</w:t>
      </w:r>
      <w:r w:rsidR="00331F11">
        <w:rPr>
          <w:rFonts w:cs="Arial"/>
          <w:lang w:val="en-US"/>
        </w:rPr>
        <w:t xml:space="preserve">.2.3 in which “clients” are defined as all persons for whom the first respondent partnership has carried on work, will carry on work and for whom they have carried on work during the period of 30 years preceding the signature date. </w:t>
      </w:r>
    </w:p>
    <w:p w14:paraId="2891C322" w14:textId="58A88E92" w:rsidR="00331F11" w:rsidRPr="007216BF" w:rsidRDefault="00126822" w:rsidP="00126822">
      <w:pPr>
        <w:pStyle w:val="level11"/>
        <w:numPr>
          <w:ilvl w:val="0"/>
          <w:numId w:val="0"/>
        </w:numPr>
        <w:spacing w:after="480" w:line="360" w:lineRule="auto"/>
        <w:jc w:val="both"/>
        <w:rPr>
          <w:lang w:val="en-US"/>
        </w:rPr>
      </w:pPr>
      <w:r w:rsidRPr="007216BF">
        <w:rPr>
          <w:lang w:val="en-US"/>
        </w:rPr>
        <w:t>[30]</w:t>
      </w:r>
      <w:r w:rsidRPr="007216BF">
        <w:rPr>
          <w:lang w:val="en-US"/>
        </w:rPr>
        <w:tab/>
      </w:r>
      <w:r w:rsidR="002A6EB8" w:rsidRPr="007216BF">
        <w:rPr>
          <w:rFonts w:cs="Arial"/>
          <w:lang w:val="en-US"/>
        </w:rPr>
        <w:t xml:space="preserve">In terms of clauses 5.1, 6.1 and 8.2, each partner holds separate bank accounts, separate books of account and separate ownership of equipment. In terms of clause 8.3, </w:t>
      </w:r>
      <w:r w:rsidR="0067164E" w:rsidRPr="007216BF">
        <w:rPr>
          <w:rFonts w:cs="Arial"/>
          <w:lang w:val="en-US"/>
        </w:rPr>
        <w:t>each practice’s share of the profit of the partnership would be calculated by subtracting the proportionate costs from the turnover of each partner.</w:t>
      </w:r>
      <w:r w:rsidR="003D63FC" w:rsidRPr="007216BF">
        <w:rPr>
          <w:rFonts w:cs="Arial"/>
          <w:lang w:val="en-US"/>
        </w:rPr>
        <w:t xml:space="preserve"> In terms of clause 2</w:t>
      </w:r>
      <w:r w:rsidR="00C87247" w:rsidRPr="007216BF">
        <w:rPr>
          <w:rFonts w:cs="Arial"/>
          <w:lang w:val="en-US"/>
        </w:rPr>
        <w:t>,</w:t>
      </w:r>
      <w:r w:rsidR="003D63FC" w:rsidRPr="007216BF">
        <w:rPr>
          <w:rFonts w:cs="Arial"/>
          <w:lang w:val="en-US"/>
        </w:rPr>
        <w:t xml:space="preserve"> the partners would share all profits in the first respondent partnership and bear its equal losses in proportion to their respective declared turnover.</w:t>
      </w:r>
      <w:r w:rsidR="007216BF">
        <w:rPr>
          <w:rFonts w:cs="Arial"/>
          <w:lang w:val="en-US"/>
        </w:rPr>
        <w:t xml:space="preserve"> </w:t>
      </w:r>
      <w:r w:rsidR="00331F11" w:rsidRPr="007216BF">
        <w:rPr>
          <w:rFonts w:cs="Arial"/>
          <w:lang w:val="en-US"/>
        </w:rPr>
        <w:t xml:space="preserve">These clauses </w:t>
      </w:r>
      <w:r w:rsidR="002A2B9C" w:rsidRPr="007216BF">
        <w:rPr>
          <w:rFonts w:cs="Arial"/>
          <w:lang w:val="en-US"/>
        </w:rPr>
        <w:t>essentially regulate how the business of the first respon</w:t>
      </w:r>
      <w:r w:rsidR="00331F11" w:rsidRPr="007216BF">
        <w:rPr>
          <w:rFonts w:cs="Arial"/>
          <w:lang w:val="en-US"/>
        </w:rPr>
        <w:t>d</w:t>
      </w:r>
      <w:r w:rsidR="002A2B9C" w:rsidRPr="007216BF">
        <w:rPr>
          <w:rFonts w:cs="Arial"/>
          <w:lang w:val="en-US"/>
        </w:rPr>
        <w:t>ent would be conducted</w:t>
      </w:r>
      <w:r w:rsidR="007216BF">
        <w:rPr>
          <w:rFonts w:cs="Arial"/>
          <w:lang w:val="en-US"/>
        </w:rPr>
        <w:t xml:space="preserve"> and do not in my view avail the applicants</w:t>
      </w:r>
      <w:r w:rsidR="002A2B9C" w:rsidRPr="007216BF">
        <w:rPr>
          <w:rFonts w:cs="Arial"/>
          <w:lang w:val="en-US"/>
        </w:rPr>
        <w:t xml:space="preserve">. </w:t>
      </w:r>
      <w:r w:rsidR="00331F11" w:rsidRPr="007216BF">
        <w:rPr>
          <w:rFonts w:cs="Arial"/>
          <w:lang w:val="en-US"/>
        </w:rPr>
        <w:t xml:space="preserve"> </w:t>
      </w:r>
    </w:p>
    <w:p w14:paraId="21D0AA10" w14:textId="10E5BDA1" w:rsidR="00C92FB0" w:rsidRDefault="00126822" w:rsidP="00126822">
      <w:pPr>
        <w:pStyle w:val="level11"/>
        <w:numPr>
          <w:ilvl w:val="0"/>
          <w:numId w:val="0"/>
        </w:numPr>
        <w:spacing w:after="480" w:line="360" w:lineRule="auto"/>
        <w:jc w:val="both"/>
        <w:rPr>
          <w:rFonts w:cs="Arial"/>
          <w:lang w:val="en-US"/>
        </w:rPr>
      </w:pPr>
      <w:r>
        <w:rPr>
          <w:rFonts w:cs="Arial"/>
          <w:lang w:val="en-US"/>
        </w:rPr>
        <w:t>[31]</w:t>
      </w:r>
      <w:r>
        <w:rPr>
          <w:rFonts w:cs="Arial"/>
          <w:lang w:val="en-US"/>
        </w:rPr>
        <w:tab/>
      </w:r>
      <w:r w:rsidR="00C92FB0">
        <w:rPr>
          <w:rFonts w:cs="Arial"/>
          <w:lang w:val="en-US"/>
        </w:rPr>
        <w:t xml:space="preserve">The practices in their collective form constitutes the partnership conducted under the name of the first respondent. Although the applicants comprise five of the six individuals listed in clause 1.2.12.5, they do not on their own make up the partnership of the first respondent. The preamble to the partnership agreement expressly refers to the </w:t>
      </w:r>
      <w:r w:rsidR="00C92FB0">
        <w:rPr>
          <w:rFonts w:cs="Arial"/>
          <w:lang w:val="en-US"/>
        </w:rPr>
        <w:lastRenderedPageBreak/>
        <w:t>establishment of a partnership under the name and style of Octagon Chartered Accountants for the purpose of carrying on an accounting and auditing practice and ancillary activities associated therewith.</w:t>
      </w:r>
    </w:p>
    <w:p w14:paraId="1775230E" w14:textId="243B457E" w:rsidR="0067164E" w:rsidRDefault="00126822" w:rsidP="00126822">
      <w:pPr>
        <w:pStyle w:val="level11"/>
        <w:numPr>
          <w:ilvl w:val="0"/>
          <w:numId w:val="0"/>
        </w:numPr>
        <w:spacing w:after="480" w:line="360" w:lineRule="auto"/>
        <w:jc w:val="both"/>
        <w:rPr>
          <w:rFonts w:cs="Arial"/>
          <w:lang w:val="en-US"/>
        </w:rPr>
      </w:pPr>
      <w:r>
        <w:rPr>
          <w:rFonts w:cs="Arial"/>
          <w:lang w:val="en-US"/>
        </w:rPr>
        <w:t>[32]</w:t>
      </w:r>
      <w:r>
        <w:rPr>
          <w:rFonts w:cs="Arial"/>
          <w:lang w:val="en-US"/>
        </w:rPr>
        <w:tab/>
      </w:r>
      <w:r w:rsidR="0067164E" w:rsidRPr="0067164E">
        <w:rPr>
          <w:rFonts w:cs="Arial"/>
          <w:lang w:val="en-US"/>
        </w:rPr>
        <w:t xml:space="preserve">In terms of </w:t>
      </w:r>
      <w:r w:rsidR="00722B1F">
        <w:rPr>
          <w:rFonts w:cs="Arial"/>
          <w:lang w:val="en-US"/>
        </w:rPr>
        <w:t xml:space="preserve">clause 3 of </w:t>
      </w:r>
      <w:r w:rsidR="0067164E" w:rsidRPr="0067164E">
        <w:rPr>
          <w:rFonts w:cs="Arial"/>
          <w:lang w:val="en-US"/>
        </w:rPr>
        <w:t>the addendum</w:t>
      </w:r>
      <w:r w:rsidR="0067164E">
        <w:rPr>
          <w:rFonts w:cs="Arial"/>
          <w:lang w:val="en-US"/>
        </w:rPr>
        <w:t>,</w:t>
      </w:r>
      <w:r w:rsidR="0067164E" w:rsidRPr="0067164E">
        <w:rPr>
          <w:rFonts w:cs="Arial"/>
          <w:lang w:val="en-US"/>
        </w:rPr>
        <w:t xml:space="preserve"> clause 1.2.1 was deleted. </w:t>
      </w:r>
      <w:r w:rsidR="00E82D47">
        <w:rPr>
          <w:rFonts w:cs="Arial"/>
          <w:lang w:val="en-US"/>
        </w:rPr>
        <w:t>The word ”</w:t>
      </w:r>
      <w:r w:rsidR="0067164E" w:rsidRPr="0067164E">
        <w:rPr>
          <w:rFonts w:cs="Arial"/>
          <w:lang w:val="en-US"/>
        </w:rPr>
        <w:t>business” was defined as</w:t>
      </w:r>
      <w:r w:rsidR="0067164E">
        <w:rPr>
          <w:rFonts w:cs="Arial"/>
          <w:lang w:val="en-US"/>
        </w:rPr>
        <w:t xml:space="preserve">: </w:t>
      </w:r>
      <w:r w:rsidR="0067164E" w:rsidRPr="0067164E">
        <w:rPr>
          <w:rFonts w:cs="Arial"/>
          <w:lang w:val="en-US"/>
        </w:rPr>
        <w:t xml:space="preserve"> </w:t>
      </w:r>
      <w:r w:rsidR="0067164E" w:rsidRPr="0067164E">
        <w:rPr>
          <w:rFonts w:cs="Arial"/>
          <w:i/>
          <w:lang w:val="en-US"/>
        </w:rPr>
        <w:t>“inter alia financial accounting…..carryin</w:t>
      </w:r>
      <w:r w:rsidR="0067164E">
        <w:rPr>
          <w:rFonts w:cs="Arial"/>
          <w:i/>
          <w:lang w:val="en-US"/>
        </w:rPr>
        <w:t>g</w:t>
      </w:r>
      <w:r w:rsidR="0067164E" w:rsidRPr="0067164E">
        <w:rPr>
          <w:rFonts w:cs="Arial"/>
          <w:i/>
          <w:lang w:val="en-US"/>
        </w:rPr>
        <w:t xml:space="preserve"> on business under the name and style of PKF Octagon”</w:t>
      </w:r>
      <w:r w:rsidR="0067164E" w:rsidRPr="0067164E">
        <w:rPr>
          <w:rFonts w:cs="Arial"/>
          <w:lang w:val="en-US"/>
        </w:rPr>
        <w:t xml:space="preserve">. </w:t>
      </w:r>
    </w:p>
    <w:p w14:paraId="531D0CF1" w14:textId="1F3A8CE1" w:rsidR="0067164E" w:rsidRPr="0067164E" w:rsidRDefault="00126822" w:rsidP="00126822">
      <w:pPr>
        <w:pStyle w:val="level11"/>
        <w:numPr>
          <w:ilvl w:val="0"/>
          <w:numId w:val="0"/>
        </w:numPr>
        <w:spacing w:after="480" w:line="360" w:lineRule="auto"/>
        <w:jc w:val="both"/>
        <w:rPr>
          <w:rFonts w:cs="Arial"/>
          <w:lang w:val="en-US"/>
        </w:rPr>
      </w:pPr>
      <w:r w:rsidRPr="0067164E">
        <w:rPr>
          <w:rFonts w:cs="Arial"/>
          <w:lang w:val="en-US"/>
        </w:rPr>
        <w:t>[33]</w:t>
      </w:r>
      <w:r w:rsidRPr="0067164E">
        <w:rPr>
          <w:rFonts w:cs="Arial"/>
          <w:lang w:val="en-US"/>
        </w:rPr>
        <w:tab/>
      </w:r>
      <w:r w:rsidR="0067164E" w:rsidRPr="0067164E">
        <w:rPr>
          <w:rFonts w:cs="Arial"/>
          <w:lang w:val="en-US"/>
        </w:rPr>
        <w:t>In clause 4 of the addendum, clause 1.2</w:t>
      </w:r>
      <w:r w:rsidR="00331F11">
        <w:rPr>
          <w:rFonts w:cs="Arial"/>
          <w:lang w:val="en-US"/>
        </w:rPr>
        <w:t>.</w:t>
      </w:r>
      <w:r w:rsidR="0067164E" w:rsidRPr="0067164E">
        <w:rPr>
          <w:rFonts w:cs="Arial"/>
          <w:lang w:val="en-US"/>
        </w:rPr>
        <w:t xml:space="preserve"> 12 of the partnership agreement was deleted and replaced. In relevant part it provides:</w:t>
      </w:r>
      <w:r w:rsidR="0067164E">
        <w:rPr>
          <w:rFonts w:cs="Arial"/>
          <w:lang w:val="en-US"/>
        </w:rPr>
        <w:t xml:space="preserve"> </w:t>
      </w:r>
      <w:r w:rsidR="0067164E" w:rsidRPr="0067164E">
        <w:rPr>
          <w:rFonts w:cs="Arial"/>
          <w:i/>
          <w:lang w:val="en-US"/>
        </w:rPr>
        <w:t>“Partnership” means the following practices, which shall collectively be referred to as the Partnership on the Effective Date</w:t>
      </w:r>
      <w:r w:rsidR="0067164E" w:rsidRPr="0067164E">
        <w:rPr>
          <w:rFonts w:cs="Arial"/>
          <w:lang w:val="en-US"/>
        </w:rPr>
        <w:t xml:space="preserve">”. The clause then lists the respective practices. </w:t>
      </w:r>
      <w:r w:rsidR="00AC2EBB">
        <w:rPr>
          <w:rFonts w:cs="Arial"/>
          <w:lang w:val="en-US"/>
        </w:rPr>
        <w:t>The applicant</w:t>
      </w:r>
      <w:r w:rsidR="00722B1F">
        <w:rPr>
          <w:rFonts w:cs="Arial"/>
          <w:lang w:val="en-US"/>
        </w:rPr>
        <w:t>s</w:t>
      </w:r>
      <w:r w:rsidR="00AC2EBB">
        <w:rPr>
          <w:rFonts w:cs="Arial"/>
          <w:lang w:val="en-US"/>
        </w:rPr>
        <w:t xml:space="preserve">, together with a Mr </w:t>
      </w:r>
      <w:r w:rsidR="00722B1F">
        <w:rPr>
          <w:rFonts w:cs="Arial"/>
          <w:lang w:val="en-US"/>
        </w:rPr>
        <w:t>Riaan Dalton Kok</w:t>
      </w:r>
      <w:r w:rsidR="00AC2EBB">
        <w:rPr>
          <w:rFonts w:cs="Arial"/>
          <w:lang w:val="en-US"/>
        </w:rPr>
        <w:t xml:space="preserve"> is listed as a practice in paragraph 1.2</w:t>
      </w:r>
      <w:r w:rsidR="00722B1F">
        <w:rPr>
          <w:rFonts w:cs="Arial"/>
          <w:lang w:val="en-US"/>
        </w:rPr>
        <w:t>.12.5.</w:t>
      </w:r>
    </w:p>
    <w:p w14:paraId="273514D6" w14:textId="094B0CE6" w:rsidR="007216BF" w:rsidRDefault="00126822" w:rsidP="00126822">
      <w:pPr>
        <w:pStyle w:val="level11"/>
        <w:numPr>
          <w:ilvl w:val="0"/>
          <w:numId w:val="0"/>
        </w:numPr>
        <w:spacing w:after="480" w:line="360" w:lineRule="auto"/>
        <w:jc w:val="both"/>
        <w:rPr>
          <w:rFonts w:cs="Arial"/>
          <w:lang w:val="en-US"/>
        </w:rPr>
      </w:pPr>
      <w:r>
        <w:rPr>
          <w:rFonts w:cs="Arial"/>
          <w:lang w:val="en-US"/>
        </w:rPr>
        <w:t>[34]</w:t>
      </w:r>
      <w:r>
        <w:rPr>
          <w:rFonts w:cs="Arial"/>
          <w:lang w:val="en-US"/>
        </w:rPr>
        <w:tab/>
      </w:r>
      <w:r w:rsidR="0067164E">
        <w:rPr>
          <w:rFonts w:cs="Arial"/>
          <w:lang w:val="en-US"/>
        </w:rPr>
        <w:t xml:space="preserve">In the original partnership agreement, the same definition was included. </w:t>
      </w:r>
      <w:r w:rsidR="00AC2EBB">
        <w:rPr>
          <w:rFonts w:cs="Arial"/>
          <w:lang w:val="en-US"/>
        </w:rPr>
        <w:t>After the list of practices, the clause provided</w:t>
      </w:r>
      <w:r w:rsidR="0067164E">
        <w:rPr>
          <w:rFonts w:cs="Arial"/>
          <w:lang w:val="en-US"/>
        </w:rPr>
        <w:t xml:space="preserve">: </w:t>
      </w:r>
      <w:r w:rsidR="0067164E" w:rsidRPr="004A5B7F">
        <w:rPr>
          <w:rFonts w:cs="Arial"/>
          <w:i/>
          <w:lang w:val="en-US"/>
        </w:rPr>
        <w:t>”jointly and severally, which shall carry on Business as an accounting and audit practice under the name and style of Octa</w:t>
      </w:r>
      <w:r w:rsidR="0067164E">
        <w:rPr>
          <w:rFonts w:cs="Arial"/>
          <w:i/>
          <w:lang w:val="en-US"/>
        </w:rPr>
        <w:t>g</w:t>
      </w:r>
      <w:r w:rsidR="0067164E" w:rsidRPr="004A5B7F">
        <w:rPr>
          <w:rFonts w:cs="Arial"/>
          <w:i/>
          <w:lang w:val="en-US"/>
        </w:rPr>
        <w:t>on Chartered Accountants”</w:t>
      </w:r>
      <w:r w:rsidR="0067164E">
        <w:rPr>
          <w:rFonts w:cs="Arial"/>
          <w:lang w:val="en-US"/>
        </w:rPr>
        <w:t xml:space="preserve">. That provision was </w:t>
      </w:r>
      <w:r w:rsidR="002A2B9C">
        <w:rPr>
          <w:rFonts w:cs="Arial"/>
          <w:lang w:val="en-US"/>
        </w:rPr>
        <w:t xml:space="preserve">expressly </w:t>
      </w:r>
      <w:r w:rsidR="0067164E">
        <w:rPr>
          <w:rFonts w:cs="Arial"/>
          <w:lang w:val="en-US"/>
        </w:rPr>
        <w:t>excluded from the addendum</w:t>
      </w:r>
      <w:r w:rsidR="002A2B9C">
        <w:rPr>
          <w:rFonts w:cs="Arial"/>
          <w:lang w:val="en-US"/>
        </w:rPr>
        <w:t xml:space="preserve"> by its architects</w:t>
      </w:r>
      <w:r w:rsidR="0067164E">
        <w:rPr>
          <w:rFonts w:cs="Arial"/>
          <w:lang w:val="en-US"/>
        </w:rPr>
        <w:t>.</w:t>
      </w:r>
      <w:r w:rsidR="002A2B9C">
        <w:rPr>
          <w:rFonts w:cs="Arial"/>
          <w:lang w:val="en-US"/>
        </w:rPr>
        <w:t xml:space="preserve"> </w:t>
      </w:r>
      <w:r w:rsidR="0067164E">
        <w:rPr>
          <w:rFonts w:cs="Arial"/>
          <w:lang w:val="en-US"/>
        </w:rPr>
        <w:t xml:space="preserve"> </w:t>
      </w:r>
    </w:p>
    <w:p w14:paraId="1C864921" w14:textId="4C8AF0F7" w:rsidR="0067164E" w:rsidRDefault="00126822" w:rsidP="00126822">
      <w:pPr>
        <w:pStyle w:val="level11"/>
        <w:numPr>
          <w:ilvl w:val="0"/>
          <w:numId w:val="0"/>
        </w:numPr>
        <w:spacing w:after="480" w:line="360" w:lineRule="auto"/>
        <w:jc w:val="both"/>
        <w:rPr>
          <w:rFonts w:cs="Arial"/>
          <w:lang w:val="en-US"/>
        </w:rPr>
      </w:pPr>
      <w:r>
        <w:rPr>
          <w:rFonts w:cs="Arial"/>
          <w:lang w:val="en-US"/>
        </w:rPr>
        <w:t>[35]</w:t>
      </w:r>
      <w:r>
        <w:rPr>
          <w:rFonts w:cs="Arial"/>
          <w:lang w:val="en-US"/>
        </w:rPr>
        <w:tab/>
      </w:r>
      <w:r w:rsidR="007216BF">
        <w:rPr>
          <w:rFonts w:cs="Arial"/>
          <w:lang w:val="en-US"/>
        </w:rPr>
        <w:t xml:space="preserve">The prospect of defining the partnership jointly and severally as the practices was thus expressly removed from the partnership agreement by the amendment. The intention is clearly expressed to refer to the practices collectively as the partnership. </w:t>
      </w:r>
    </w:p>
    <w:p w14:paraId="1194902D" w14:textId="2724DEFA" w:rsidR="003D63FC" w:rsidRDefault="00126822" w:rsidP="00126822">
      <w:pPr>
        <w:pStyle w:val="level11"/>
        <w:numPr>
          <w:ilvl w:val="0"/>
          <w:numId w:val="0"/>
        </w:numPr>
        <w:spacing w:after="480" w:line="360" w:lineRule="auto"/>
        <w:jc w:val="both"/>
        <w:rPr>
          <w:rFonts w:cs="Arial"/>
          <w:lang w:val="en-US"/>
        </w:rPr>
      </w:pPr>
      <w:r>
        <w:rPr>
          <w:rFonts w:cs="Arial"/>
          <w:lang w:val="en-US"/>
        </w:rPr>
        <w:t>[36]</w:t>
      </w:r>
      <w:r>
        <w:rPr>
          <w:rFonts w:cs="Arial"/>
          <w:lang w:val="en-US"/>
        </w:rPr>
        <w:tab/>
      </w:r>
      <w:r w:rsidR="003D63FC">
        <w:rPr>
          <w:rFonts w:cs="Arial"/>
          <w:lang w:val="en-US"/>
        </w:rPr>
        <w:t xml:space="preserve">The deletion in the addendum </w:t>
      </w:r>
      <w:r w:rsidR="000A3B93">
        <w:rPr>
          <w:rFonts w:cs="Arial"/>
          <w:lang w:val="en-US"/>
        </w:rPr>
        <w:t>of the words “jointly and severally”</w:t>
      </w:r>
      <w:r w:rsidR="003D63FC">
        <w:rPr>
          <w:rFonts w:cs="Arial"/>
          <w:lang w:val="en-US"/>
        </w:rPr>
        <w:t xml:space="preserve"> </w:t>
      </w:r>
      <w:r w:rsidR="000A3B93">
        <w:rPr>
          <w:rFonts w:cs="Arial"/>
          <w:lang w:val="en-US"/>
        </w:rPr>
        <w:t>is significant and does not support an interpretation that for purposes of clause 20.3 a reference to the “partnership” would include a reference to the individual partnership practices.</w:t>
      </w:r>
    </w:p>
    <w:p w14:paraId="5E80C5C5" w14:textId="6E434E6F" w:rsidR="00331F11" w:rsidRPr="00E81C4C" w:rsidRDefault="00126822" w:rsidP="00126822">
      <w:pPr>
        <w:pStyle w:val="level11"/>
        <w:numPr>
          <w:ilvl w:val="0"/>
          <w:numId w:val="0"/>
        </w:numPr>
        <w:spacing w:after="480" w:line="360" w:lineRule="auto"/>
        <w:jc w:val="both"/>
        <w:rPr>
          <w:rFonts w:cs="Arial"/>
          <w:lang w:val="en-US"/>
        </w:rPr>
      </w:pPr>
      <w:r w:rsidRPr="00E81C4C">
        <w:rPr>
          <w:rFonts w:cs="Arial"/>
          <w:lang w:val="en-US"/>
        </w:rPr>
        <w:t>[37]</w:t>
      </w:r>
      <w:r w:rsidRPr="00E81C4C">
        <w:rPr>
          <w:rFonts w:cs="Arial"/>
          <w:lang w:val="en-US"/>
        </w:rPr>
        <w:tab/>
      </w:r>
      <w:r w:rsidR="00331F11" w:rsidRPr="00E81C4C">
        <w:rPr>
          <w:rFonts w:cs="Arial"/>
          <w:lang w:val="en-US"/>
        </w:rPr>
        <w:t xml:space="preserve">Had the parties not concluded the addendum in terms of which the applicants and Mr Kok became a practice of the partnership, it would be arguable that the term </w:t>
      </w:r>
      <w:r w:rsidR="00331F11" w:rsidRPr="00E81C4C">
        <w:rPr>
          <w:rFonts w:cs="Arial"/>
          <w:lang w:val="en-US"/>
        </w:rPr>
        <w:lastRenderedPageBreak/>
        <w:t xml:space="preserve">“partnership” in clause 20.3 could have included the individual practices as contended for by the applicants. </w:t>
      </w:r>
      <w:r w:rsidR="00E81C4C" w:rsidRPr="00E81C4C">
        <w:rPr>
          <w:rFonts w:cs="Arial"/>
          <w:lang w:val="en-US"/>
        </w:rPr>
        <w:t>Thus, whilst the applicant</w:t>
      </w:r>
      <w:r w:rsidR="00E82D47">
        <w:rPr>
          <w:rFonts w:cs="Arial"/>
          <w:lang w:val="en-US"/>
        </w:rPr>
        <w:t>s</w:t>
      </w:r>
      <w:r w:rsidR="00E81C4C" w:rsidRPr="00E81C4C">
        <w:rPr>
          <w:rFonts w:cs="Arial"/>
          <w:lang w:val="en-US"/>
        </w:rPr>
        <w:t>’ interpretation may have been viable before the conclusion of the addendum, the express choice of words and the changed intention evidenced by the different wording used in the addendum puts pay to such interpretation,</w:t>
      </w:r>
      <w:r w:rsidR="00E81C4C">
        <w:rPr>
          <w:rFonts w:cs="Arial"/>
          <w:lang w:val="en-US"/>
        </w:rPr>
        <w:t xml:space="preserve"> </w:t>
      </w:r>
      <w:r w:rsidR="00331F11" w:rsidRPr="00E81C4C">
        <w:rPr>
          <w:rFonts w:cs="Arial"/>
          <w:lang w:val="en-US"/>
        </w:rPr>
        <w:t>which cannot be ignored in the interpretation exercise.</w:t>
      </w:r>
    </w:p>
    <w:p w14:paraId="0D2FFD85" w14:textId="5D3C52DA" w:rsidR="00331F11" w:rsidRDefault="00126822" w:rsidP="00126822">
      <w:pPr>
        <w:pStyle w:val="level11"/>
        <w:numPr>
          <w:ilvl w:val="0"/>
          <w:numId w:val="0"/>
        </w:numPr>
        <w:spacing w:after="480" w:line="360" w:lineRule="auto"/>
        <w:jc w:val="both"/>
        <w:rPr>
          <w:rFonts w:cs="Arial"/>
          <w:lang w:val="en-US"/>
        </w:rPr>
      </w:pPr>
      <w:r>
        <w:rPr>
          <w:rFonts w:cs="Arial"/>
          <w:lang w:val="en-US"/>
        </w:rPr>
        <w:t>[38]</w:t>
      </w:r>
      <w:r>
        <w:rPr>
          <w:rFonts w:cs="Arial"/>
          <w:lang w:val="en-US"/>
        </w:rPr>
        <w:tab/>
      </w:r>
      <w:r w:rsidR="00331F11">
        <w:rPr>
          <w:rFonts w:cs="Arial"/>
          <w:lang w:val="en-US"/>
        </w:rPr>
        <w:t xml:space="preserve">The existence of clause 4.2 and the other provisions relied on by the applicants does not mean that it can be read into the provisions of clause 20.3 that the partnership agreement affords protection to each individual partner and that for purposes of the restraint clause, partnership would include the practices of the individual partners. </w:t>
      </w:r>
    </w:p>
    <w:p w14:paraId="7BC82C28" w14:textId="07157529" w:rsidR="00E513FF" w:rsidRDefault="00126822" w:rsidP="00126822">
      <w:pPr>
        <w:pStyle w:val="level11"/>
        <w:numPr>
          <w:ilvl w:val="0"/>
          <w:numId w:val="0"/>
        </w:numPr>
        <w:spacing w:after="480" w:line="360" w:lineRule="auto"/>
        <w:jc w:val="both"/>
        <w:rPr>
          <w:rFonts w:cs="Arial"/>
          <w:lang w:val="en-US"/>
        </w:rPr>
      </w:pPr>
      <w:r>
        <w:rPr>
          <w:rFonts w:cs="Arial"/>
          <w:lang w:val="en-US"/>
        </w:rPr>
        <w:t>[39]</w:t>
      </w:r>
      <w:r>
        <w:rPr>
          <w:rFonts w:cs="Arial"/>
          <w:lang w:val="en-US"/>
        </w:rPr>
        <w:tab/>
      </w:r>
      <w:r w:rsidR="007F02F1">
        <w:rPr>
          <w:rFonts w:cs="Arial"/>
          <w:lang w:val="en-US"/>
        </w:rPr>
        <w:t>The applicants’ interpretation further disregards that the first respondent partnership of which they were partners dissolved</w:t>
      </w:r>
      <w:r w:rsidR="00C92FB0">
        <w:rPr>
          <w:rStyle w:val="FootnoteReference"/>
          <w:rFonts w:cs="Arial"/>
          <w:lang w:val="en-US"/>
        </w:rPr>
        <w:footnoteReference w:id="9"/>
      </w:r>
      <w:r w:rsidR="007F02F1">
        <w:rPr>
          <w:rFonts w:cs="Arial"/>
          <w:lang w:val="en-US"/>
        </w:rPr>
        <w:t xml:space="preserve"> when they left the partnership on 31 December 2022. </w:t>
      </w:r>
      <w:r w:rsidR="00E81C4C">
        <w:rPr>
          <w:rFonts w:cs="Arial"/>
          <w:lang w:val="en-US"/>
        </w:rPr>
        <w:t xml:space="preserve">It cannot be read into the provisions of clause 20 that protection is afforded to </w:t>
      </w:r>
      <w:r w:rsidR="007F02F1">
        <w:rPr>
          <w:rFonts w:cs="Arial"/>
          <w:lang w:val="en-US"/>
        </w:rPr>
        <w:t>former partners</w:t>
      </w:r>
      <w:r w:rsidR="00C92FB0">
        <w:rPr>
          <w:rFonts w:cs="Arial"/>
          <w:lang w:val="en-US"/>
        </w:rPr>
        <w:t>.</w:t>
      </w:r>
      <w:r w:rsidR="00E513FF">
        <w:rPr>
          <w:rFonts w:cs="Arial"/>
          <w:lang w:val="en-US"/>
        </w:rPr>
        <w:t xml:space="preserve">  That does not render the provisions unbusinesslike, as the applicants contend, given that the provisions afford protection as long as the individual partner practices remain partners of the first respondent partnership.</w:t>
      </w:r>
    </w:p>
    <w:p w14:paraId="1627C7BA" w14:textId="1D1D460F" w:rsidR="007F02F1" w:rsidRDefault="00126822" w:rsidP="00126822">
      <w:pPr>
        <w:pStyle w:val="level11"/>
        <w:numPr>
          <w:ilvl w:val="0"/>
          <w:numId w:val="0"/>
        </w:numPr>
        <w:spacing w:after="480" w:line="360" w:lineRule="auto"/>
        <w:jc w:val="both"/>
        <w:rPr>
          <w:rFonts w:cs="Arial"/>
          <w:lang w:val="en-US"/>
        </w:rPr>
      </w:pPr>
      <w:r>
        <w:rPr>
          <w:rFonts w:cs="Arial"/>
          <w:lang w:val="en-US"/>
        </w:rPr>
        <w:t>[40]</w:t>
      </w:r>
      <w:r>
        <w:rPr>
          <w:rFonts w:cs="Arial"/>
          <w:lang w:val="en-US"/>
        </w:rPr>
        <w:tab/>
      </w:r>
      <w:r w:rsidR="00E513FF">
        <w:rPr>
          <w:rFonts w:cs="Arial"/>
          <w:lang w:val="en-US"/>
        </w:rPr>
        <w:t>I conclude that the provisions of clause 20.3, seen in context and considering the purpose of the agreement, do not support the interpretation contended for by the applicants.  The broad context interpretation contended for by the applicants is not supported by the text of the agreement or its structure.</w:t>
      </w:r>
    </w:p>
    <w:p w14:paraId="51E70E24" w14:textId="2791BD70" w:rsidR="00E513FF" w:rsidRDefault="00126822" w:rsidP="00126822">
      <w:pPr>
        <w:pStyle w:val="level11"/>
        <w:numPr>
          <w:ilvl w:val="0"/>
          <w:numId w:val="0"/>
        </w:numPr>
        <w:spacing w:after="480" w:line="360" w:lineRule="auto"/>
        <w:jc w:val="both"/>
        <w:rPr>
          <w:rFonts w:cs="Arial"/>
          <w:lang w:val="en-US"/>
        </w:rPr>
      </w:pPr>
      <w:r>
        <w:rPr>
          <w:rFonts w:cs="Arial"/>
          <w:lang w:val="en-US"/>
        </w:rPr>
        <w:t>[41]</w:t>
      </w:r>
      <w:r>
        <w:rPr>
          <w:rFonts w:cs="Arial"/>
          <w:lang w:val="en-US"/>
        </w:rPr>
        <w:tab/>
      </w:r>
      <w:r w:rsidR="00E513FF">
        <w:rPr>
          <w:rFonts w:cs="Arial"/>
          <w:lang w:val="en-US"/>
        </w:rPr>
        <w:t xml:space="preserve">As held by Unterhalter AJA in </w:t>
      </w:r>
      <w:r w:rsidR="00E513FF" w:rsidRPr="00722B1F">
        <w:rPr>
          <w:rFonts w:cs="Arial"/>
          <w:i/>
          <w:lang w:val="en-US"/>
        </w:rPr>
        <w:t>Coral Lagoon</w:t>
      </w:r>
      <w:r w:rsidR="00E513FF">
        <w:rPr>
          <w:rStyle w:val="FootnoteReference"/>
          <w:rFonts w:cs="Arial"/>
          <w:lang w:val="en-US"/>
        </w:rPr>
        <w:footnoteReference w:id="10"/>
      </w:r>
      <w:r w:rsidR="00E513FF">
        <w:rPr>
          <w:rFonts w:cs="Arial"/>
          <w:lang w:val="en-US"/>
        </w:rPr>
        <w:t xml:space="preserve">: </w:t>
      </w:r>
    </w:p>
    <w:p w14:paraId="281659CA" w14:textId="77777777" w:rsidR="00E513FF" w:rsidRPr="00B47773" w:rsidRDefault="00E513FF" w:rsidP="00E513FF">
      <w:pPr>
        <w:pStyle w:val="level11"/>
        <w:numPr>
          <w:ilvl w:val="0"/>
          <w:numId w:val="0"/>
        </w:numPr>
        <w:spacing w:after="480"/>
        <w:ind w:left="720"/>
        <w:jc w:val="both"/>
        <w:rPr>
          <w:rFonts w:cs="Arial"/>
          <w:i/>
          <w:sz w:val="20"/>
          <w:szCs w:val="20"/>
          <w:lang w:val="en-US"/>
        </w:rPr>
      </w:pPr>
      <w:r w:rsidRPr="00B47773">
        <w:rPr>
          <w:rFonts w:cs="Arial"/>
          <w:i/>
          <w:sz w:val="20"/>
          <w:szCs w:val="20"/>
          <w:lang w:val="en-US"/>
        </w:rPr>
        <w:t>“The proposition that context is everything is not a licence to contend for meani</w:t>
      </w:r>
      <w:r>
        <w:rPr>
          <w:rFonts w:cs="Arial"/>
          <w:i/>
          <w:sz w:val="20"/>
          <w:szCs w:val="20"/>
          <w:lang w:val="en-US"/>
        </w:rPr>
        <w:t>n</w:t>
      </w:r>
      <w:r w:rsidRPr="00B47773">
        <w:rPr>
          <w:rFonts w:cs="Arial"/>
          <w:i/>
          <w:sz w:val="20"/>
          <w:szCs w:val="20"/>
          <w:lang w:val="en-US"/>
        </w:rPr>
        <w:t xml:space="preserve">gs unmoored in the text and its structure. Rather, context and purpose may be used to elucidate the text”. </w:t>
      </w:r>
    </w:p>
    <w:p w14:paraId="57A3751A" w14:textId="4A07C808" w:rsidR="00F80975" w:rsidRDefault="00126822" w:rsidP="00126822">
      <w:pPr>
        <w:pStyle w:val="level11"/>
        <w:numPr>
          <w:ilvl w:val="0"/>
          <w:numId w:val="0"/>
        </w:numPr>
        <w:spacing w:after="480" w:line="360" w:lineRule="auto"/>
        <w:jc w:val="both"/>
        <w:rPr>
          <w:rFonts w:cs="Arial"/>
          <w:lang w:val="en-US"/>
        </w:rPr>
      </w:pPr>
      <w:r>
        <w:rPr>
          <w:rFonts w:cs="Arial"/>
          <w:lang w:val="en-US"/>
        </w:rPr>
        <w:lastRenderedPageBreak/>
        <w:t>[42]</w:t>
      </w:r>
      <w:r>
        <w:rPr>
          <w:rFonts w:cs="Arial"/>
          <w:lang w:val="en-US"/>
        </w:rPr>
        <w:tab/>
      </w:r>
      <w:r w:rsidR="00160E0D">
        <w:rPr>
          <w:rFonts w:cs="Arial"/>
          <w:lang w:val="en-US"/>
        </w:rPr>
        <w:t>Th</w:t>
      </w:r>
      <w:r w:rsidR="00E513FF">
        <w:rPr>
          <w:rFonts w:cs="Arial"/>
          <w:lang w:val="en-US"/>
        </w:rPr>
        <w:t>ere</w:t>
      </w:r>
      <w:r w:rsidR="00160E0D">
        <w:rPr>
          <w:rFonts w:cs="Arial"/>
          <w:lang w:val="en-US"/>
        </w:rPr>
        <w:t xml:space="preserve"> may have been omission</w:t>
      </w:r>
      <w:r w:rsidR="00E513FF">
        <w:rPr>
          <w:rFonts w:cs="Arial"/>
          <w:lang w:val="en-US"/>
        </w:rPr>
        <w:t>s</w:t>
      </w:r>
      <w:r w:rsidR="00160E0D">
        <w:rPr>
          <w:rFonts w:cs="Arial"/>
          <w:lang w:val="en-US"/>
        </w:rPr>
        <w:t xml:space="preserve"> in the drafting of the agreement</w:t>
      </w:r>
      <w:r w:rsidR="00E513FF">
        <w:rPr>
          <w:rFonts w:cs="Arial"/>
          <w:lang w:val="en-US"/>
        </w:rPr>
        <w:t xml:space="preserve"> to protect the position of the applicants as departing partners. Th</w:t>
      </w:r>
      <w:r w:rsidR="00160E0D">
        <w:rPr>
          <w:rFonts w:cs="Arial"/>
          <w:lang w:val="en-US"/>
        </w:rPr>
        <w:t xml:space="preserve">e present case does not </w:t>
      </w:r>
      <w:r w:rsidR="00E513FF">
        <w:rPr>
          <w:rFonts w:cs="Arial"/>
          <w:lang w:val="en-US"/>
        </w:rPr>
        <w:t xml:space="preserve">however </w:t>
      </w:r>
      <w:r w:rsidR="00160E0D">
        <w:rPr>
          <w:rFonts w:cs="Arial"/>
          <w:lang w:val="en-US"/>
        </w:rPr>
        <w:t xml:space="preserve">concern a rectification of the partnership </w:t>
      </w:r>
      <w:r w:rsidR="00F80975">
        <w:rPr>
          <w:rFonts w:cs="Arial"/>
          <w:lang w:val="en-US"/>
        </w:rPr>
        <w:t xml:space="preserve">agreement, </w:t>
      </w:r>
      <w:r w:rsidR="00160E0D">
        <w:rPr>
          <w:rFonts w:cs="Arial"/>
          <w:lang w:val="en-US"/>
        </w:rPr>
        <w:t xml:space="preserve">but </w:t>
      </w:r>
      <w:r w:rsidR="00F80975">
        <w:rPr>
          <w:rFonts w:cs="Arial"/>
          <w:lang w:val="en-US"/>
        </w:rPr>
        <w:t xml:space="preserve">rather </w:t>
      </w:r>
      <w:r w:rsidR="00160E0D">
        <w:rPr>
          <w:rFonts w:cs="Arial"/>
          <w:lang w:val="en-US"/>
        </w:rPr>
        <w:t xml:space="preserve">the enforcement of the provisions thereof. </w:t>
      </w:r>
    </w:p>
    <w:p w14:paraId="45298E5E" w14:textId="73602210" w:rsidR="00160E0D" w:rsidRDefault="00126822" w:rsidP="00126822">
      <w:pPr>
        <w:pStyle w:val="level11"/>
        <w:numPr>
          <w:ilvl w:val="0"/>
          <w:numId w:val="0"/>
        </w:numPr>
        <w:spacing w:after="480" w:line="360" w:lineRule="auto"/>
        <w:jc w:val="both"/>
        <w:rPr>
          <w:rFonts w:cs="Arial"/>
          <w:lang w:val="en-US"/>
        </w:rPr>
      </w:pPr>
      <w:r>
        <w:rPr>
          <w:rFonts w:cs="Arial"/>
          <w:lang w:val="en-US"/>
        </w:rPr>
        <w:t>[43]</w:t>
      </w:r>
      <w:r>
        <w:rPr>
          <w:rFonts w:cs="Arial"/>
          <w:lang w:val="en-US"/>
        </w:rPr>
        <w:tab/>
      </w:r>
      <w:r w:rsidR="00F80975">
        <w:rPr>
          <w:rFonts w:cs="Arial"/>
          <w:lang w:val="en-US"/>
        </w:rPr>
        <w:t>In contending for a broad contextual and purposive interpretation outside the express wording of the contested clauses, t</w:t>
      </w:r>
      <w:r w:rsidR="00160E0D">
        <w:rPr>
          <w:rFonts w:cs="Arial"/>
          <w:lang w:val="en-US"/>
        </w:rPr>
        <w:t xml:space="preserve">he applicants effectively seek from the court to </w:t>
      </w:r>
      <w:r w:rsidR="00CF63E7">
        <w:rPr>
          <w:rFonts w:cs="Arial"/>
          <w:lang w:val="en-US"/>
        </w:rPr>
        <w:t>licence an interpretation that imports meanings into the agreement so as to make it a better contract or one that is ethically preferable</w:t>
      </w:r>
      <w:r w:rsidR="00CF63E7">
        <w:rPr>
          <w:rStyle w:val="FootnoteReference"/>
          <w:rFonts w:cs="Arial"/>
          <w:lang w:val="en-US"/>
        </w:rPr>
        <w:footnoteReference w:id="11"/>
      </w:r>
      <w:r w:rsidR="00CF63E7">
        <w:rPr>
          <w:rFonts w:cs="Arial"/>
          <w:lang w:val="en-US"/>
        </w:rPr>
        <w:t xml:space="preserve">. </w:t>
      </w:r>
      <w:r w:rsidR="00160E0D">
        <w:rPr>
          <w:rFonts w:cs="Arial"/>
          <w:lang w:val="en-US"/>
        </w:rPr>
        <w:t xml:space="preserve">That is not permissible. </w:t>
      </w:r>
    </w:p>
    <w:p w14:paraId="2BFAE47E" w14:textId="616B7B25" w:rsidR="00160E0D" w:rsidRPr="0004211E" w:rsidRDefault="00126822" w:rsidP="00126822">
      <w:pPr>
        <w:pStyle w:val="level11"/>
        <w:numPr>
          <w:ilvl w:val="0"/>
          <w:numId w:val="0"/>
        </w:numPr>
        <w:spacing w:after="480" w:line="360" w:lineRule="auto"/>
        <w:jc w:val="both"/>
        <w:rPr>
          <w:rFonts w:cs="Arial"/>
          <w:lang w:val="en-US"/>
        </w:rPr>
      </w:pPr>
      <w:r w:rsidRPr="0004211E">
        <w:rPr>
          <w:rFonts w:cs="Arial"/>
          <w:lang w:val="en-US"/>
        </w:rPr>
        <w:t>[44]</w:t>
      </w:r>
      <w:r w:rsidRPr="0004211E">
        <w:rPr>
          <w:rFonts w:cs="Arial"/>
          <w:lang w:val="en-US"/>
        </w:rPr>
        <w:tab/>
      </w:r>
      <w:r w:rsidR="00160E0D" w:rsidRPr="0004211E">
        <w:rPr>
          <w:rFonts w:cs="Arial"/>
          <w:lang w:val="en-US"/>
        </w:rPr>
        <w:t>Contracts freely concluded between parties, here highly qualified professionals and chartered accountants</w:t>
      </w:r>
      <w:r w:rsidR="006C3948">
        <w:rPr>
          <w:rFonts w:cs="Arial"/>
          <w:lang w:val="en-US"/>
        </w:rPr>
        <w:t>,</w:t>
      </w:r>
      <w:r w:rsidR="00160E0D" w:rsidRPr="0004211E">
        <w:rPr>
          <w:rFonts w:cs="Arial"/>
          <w:lang w:val="en-US"/>
        </w:rPr>
        <w:t xml:space="preserve"> should be enforced in accordance with the </w:t>
      </w:r>
      <w:r w:rsidR="00160E0D" w:rsidRPr="0004211E">
        <w:rPr>
          <w:rFonts w:cs="Arial"/>
          <w:i/>
          <w:lang w:val="en-US"/>
        </w:rPr>
        <w:t>pacta sunt servanda</w:t>
      </w:r>
      <w:r w:rsidR="00160E0D" w:rsidRPr="0004211E">
        <w:rPr>
          <w:rFonts w:cs="Arial"/>
          <w:lang w:val="en-US"/>
        </w:rPr>
        <w:t xml:space="preserve"> principle, as confirmed by the Constitutional Court in </w:t>
      </w:r>
      <w:r w:rsidR="00160E0D" w:rsidRPr="0004211E">
        <w:rPr>
          <w:i/>
          <w:lang w:val="en-US"/>
        </w:rPr>
        <w:t>Baedica</w:t>
      </w:r>
      <w:r w:rsidR="00160E0D">
        <w:rPr>
          <w:rStyle w:val="FootnoteReference"/>
          <w:lang w:val="en-US"/>
        </w:rPr>
        <w:footnoteReference w:id="12"/>
      </w:r>
      <w:r w:rsidR="00160E0D" w:rsidRPr="0004211E">
        <w:rPr>
          <w:i/>
          <w:lang w:val="en-US"/>
        </w:rPr>
        <w:t>.</w:t>
      </w:r>
    </w:p>
    <w:p w14:paraId="48D64271" w14:textId="26F74422" w:rsidR="0004211E" w:rsidRDefault="00126822" w:rsidP="00126822">
      <w:pPr>
        <w:pStyle w:val="level11"/>
        <w:numPr>
          <w:ilvl w:val="0"/>
          <w:numId w:val="0"/>
        </w:numPr>
        <w:spacing w:after="480" w:line="360" w:lineRule="auto"/>
        <w:jc w:val="both"/>
        <w:rPr>
          <w:lang w:val="en-US"/>
        </w:rPr>
      </w:pPr>
      <w:r>
        <w:rPr>
          <w:lang w:val="en-US"/>
        </w:rPr>
        <w:t>[45]</w:t>
      </w:r>
      <w:r>
        <w:rPr>
          <w:lang w:val="en-US"/>
        </w:rPr>
        <w:tab/>
      </w:r>
      <w:r w:rsidR="002A6EB8">
        <w:rPr>
          <w:lang w:val="en-US"/>
        </w:rPr>
        <w:t>I</w:t>
      </w:r>
      <w:r w:rsidR="00602723" w:rsidRPr="002A6EB8">
        <w:rPr>
          <w:lang w:val="en-US"/>
        </w:rPr>
        <w:t xml:space="preserve"> conclude that </w:t>
      </w:r>
      <w:r w:rsidR="002A6EB8">
        <w:rPr>
          <w:lang w:val="en-US"/>
        </w:rPr>
        <w:t xml:space="preserve">on a grammatical, purposive and contextual interpretation of </w:t>
      </w:r>
      <w:r w:rsidR="00602723" w:rsidRPr="002A6EB8">
        <w:rPr>
          <w:lang w:val="en-US"/>
        </w:rPr>
        <w:t>the partnership agreement and addendum</w:t>
      </w:r>
      <w:r w:rsidR="002A6EB8">
        <w:rPr>
          <w:lang w:val="en-US"/>
        </w:rPr>
        <w:t>, it</w:t>
      </w:r>
      <w:r w:rsidR="00602723" w:rsidRPr="002A6EB8">
        <w:rPr>
          <w:lang w:val="en-US"/>
        </w:rPr>
        <w:t xml:space="preserve"> does not confer on the applicants a contractual right to the relief sought. </w:t>
      </w:r>
      <w:r w:rsidR="002D7284">
        <w:rPr>
          <w:lang w:val="en-US"/>
        </w:rPr>
        <w:t xml:space="preserve">The clause does not purport to </w:t>
      </w:r>
      <w:r w:rsidR="00F80975">
        <w:rPr>
          <w:lang w:val="en-US"/>
        </w:rPr>
        <w:t>c</w:t>
      </w:r>
      <w:r w:rsidR="002D7284">
        <w:rPr>
          <w:lang w:val="en-US"/>
        </w:rPr>
        <w:t xml:space="preserve">reate rights in favour of departing former partners. Rather, it extends rights in favour of the partnership of the first respondent. </w:t>
      </w:r>
      <w:r w:rsidR="002A6EB8">
        <w:rPr>
          <w:lang w:val="en-US"/>
        </w:rPr>
        <w:t xml:space="preserve">Although that is not the only hurdle facing the applicants, it is not necessary to delve into those issues in light of the conclusion reached. </w:t>
      </w:r>
    </w:p>
    <w:p w14:paraId="0E68622B" w14:textId="53EC2FEC" w:rsidR="00090DC1" w:rsidRDefault="00126822" w:rsidP="00126822">
      <w:pPr>
        <w:pStyle w:val="level11"/>
        <w:numPr>
          <w:ilvl w:val="0"/>
          <w:numId w:val="0"/>
        </w:numPr>
        <w:spacing w:after="480" w:line="360" w:lineRule="auto"/>
        <w:jc w:val="both"/>
        <w:rPr>
          <w:lang w:val="en-US"/>
        </w:rPr>
      </w:pPr>
      <w:r>
        <w:rPr>
          <w:lang w:val="en-US"/>
        </w:rPr>
        <w:t>[46]</w:t>
      </w:r>
      <w:r>
        <w:rPr>
          <w:lang w:val="en-US"/>
        </w:rPr>
        <w:tab/>
      </w:r>
      <w:r w:rsidR="00602723">
        <w:rPr>
          <w:lang w:val="en-US"/>
        </w:rPr>
        <w:t>Having failed at the first hurdle, the applicants have not made out a proper case for interdictory relief. Th</w:t>
      </w:r>
      <w:r w:rsidR="008B2E9B">
        <w:rPr>
          <w:lang w:val="en-US"/>
        </w:rPr>
        <w:t xml:space="preserve">e absence of a clear </w:t>
      </w:r>
      <w:r w:rsidR="00FD6ED4">
        <w:rPr>
          <w:lang w:val="en-US"/>
        </w:rPr>
        <w:t xml:space="preserve">contractual </w:t>
      </w:r>
      <w:r w:rsidR="008B2E9B">
        <w:rPr>
          <w:lang w:val="en-US"/>
        </w:rPr>
        <w:t>right</w:t>
      </w:r>
      <w:r w:rsidR="00602723">
        <w:rPr>
          <w:lang w:val="en-US"/>
        </w:rPr>
        <w:t xml:space="preserve"> is dispositive of the application and </w:t>
      </w:r>
      <w:r w:rsidR="008B2E9B">
        <w:rPr>
          <w:lang w:val="en-US"/>
        </w:rPr>
        <w:t>the application must fail. I</w:t>
      </w:r>
      <w:r w:rsidR="00602723">
        <w:rPr>
          <w:lang w:val="en-US"/>
        </w:rPr>
        <w:t>t i</w:t>
      </w:r>
      <w:r w:rsidR="006D2E77">
        <w:rPr>
          <w:lang w:val="en-US"/>
        </w:rPr>
        <w:t>s</w:t>
      </w:r>
      <w:r w:rsidR="00602723">
        <w:rPr>
          <w:lang w:val="en-US"/>
        </w:rPr>
        <w:t xml:space="preserve"> </w:t>
      </w:r>
      <w:r w:rsidR="008B2E9B">
        <w:rPr>
          <w:lang w:val="en-US"/>
        </w:rPr>
        <w:t xml:space="preserve">thus </w:t>
      </w:r>
      <w:r w:rsidR="00602723">
        <w:rPr>
          <w:lang w:val="en-US"/>
        </w:rPr>
        <w:t xml:space="preserve">not necessary </w:t>
      </w:r>
      <w:r w:rsidR="006D2E77">
        <w:rPr>
          <w:lang w:val="en-US"/>
        </w:rPr>
        <w:t xml:space="preserve">to consider the other issues raised in the application papers. </w:t>
      </w:r>
      <w:r w:rsidR="00602723">
        <w:rPr>
          <w:lang w:val="en-US"/>
        </w:rPr>
        <w:t xml:space="preserve">  </w:t>
      </w:r>
    </w:p>
    <w:p w14:paraId="3608CF0F" w14:textId="5B472891" w:rsidR="00BE334B" w:rsidRPr="002C3752" w:rsidRDefault="00126822" w:rsidP="00126822">
      <w:pPr>
        <w:pStyle w:val="level11"/>
        <w:numPr>
          <w:ilvl w:val="0"/>
          <w:numId w:val="0"/>
        </w:numPr>
        <w:spacing w:after="480" w:line="360" w:lineRule="auto"/>
        <w:jc w:val="both"/>
        <w:rPr>
          <w:rFonts w:cs="Arial"/>
          <w:lang w:val="en-US"/>
        </w:rPr>
      </w:pPr>
      <w:r w:rsidRPr="002C3752">
        <w:rPr>
          <w:rFonts w:cs="Arial"/>
          <w:lang w:val="en-US"/>
        </w:rPr>
        <w:t>[47]</w:t>
      </w:r>
      <w:r w:rsidRPr="002C3752">
        <w:rPr>
          <w:rFonts w:cs="Arial"/>
          <w:lang w:val="en-US"/>
        </w:rPr>
        <w:tab/>
      </w:r>
      <w:r w:rsidR="0075475C">
        <w:rPr>
          <w:rFonts w:cs="Arial"/>
          <w:lang w:val="en-US"/>
        </w:rPr>
        <w:t>The</w:t>
      </w:r>
      <w:r w:rsidR="00EB0F11">
        <w:rPr>
          <w:rFonts w:cs="Arial"/>
          <w:lang w:val="en-US"/>
        </w:rPr>
        <w:t>re is no reason to deviate from the normal principle that costs follow the result. The respondents sought a punitive costs order. Despite there being merit in the criticism</w:t>
      </w:r>
      <w:r w:rsidR="008B2E9B">
        <w:rPr>
          <w:rFonts w:cs="Arial"/>
          <w:lang w:val="en-US"/>
        </w:rPr>
        <w:t>s</w:t>
      </w:r>
      <w:r w:rsidR="00EB0F11">
        <w:rPr>
          <w:rFonts w:cs="Arial"/>
          <w:lang w:val="en-US"/>
        </w:rPr>
        <w:t xml:space="preserve"> </w:t>
      </w:r>
      <w:r w:rsidR="00EB0F11">
        <w:rPr>
          <w:rFonts w:cs="Arial"/>
          <w:lang w:val="en-US"/>
        </w:rPr>
        <w:lastRenderedPageBreak/>
        <w:t>levied by the respondents against the</w:t>
      </w:r>
      <w:r w:rsidR="0075475C">
        <w:rPr>
          <w:rFonts w:cs="Arial"/>
          <w:lang w:val="en-US"/>
        </w:rPr>
        <w:t xml:space="preserve"> applicants</w:t>
      </w:r>
      <w:r w:rsidR="00EB0F11">
        <w:rPr>
          <w:rFonts w:cs="Arial"/>
          <w:lang w:val="en-US"/>
        </w:rPr>
        <w:t>, upon a consideration of all the facts, I am not persuaded that it is in interests of justice to grant</w:t>
      </w:r>
      <w:r w:rsidR="0075475C">
        <w:rPr>
          <w:rFonts w:cs="Arial"/>
          <w:lang w:val="en-US"/>
        </w:rPr>
        <w:t xml:space="preserve"> a punitive costs order</w:t>
      </w:r>
      <w:r w:rsidR="00EB0F11">
        <w:rPr>
          <w:rFonts w:cs="Arial"/>
          <w:lang w:val="en-US"/>
        </w:rPr>
        <w:t>.</w:t>
      </w:r>
    </w:p>
    <w:p w14:paraId="76FB1776" w14:textId="5988418A" w:rsidR="00315252" w:rsidRDefault="00126822" w:rsidP="00126822">
      <w:pPr>
        <w:pStyle w:val="level11"/>
        <w:numPr>
          <w:ilvl w:val="0"/>
          <w:numId w:val="0"/>
        </w:numPr>
        <w:spacing w:after="480" w:line="360" w:lineRule="auto"/>
        <w:jc w:val="both"/>
        <w:rPr>
          <w:rFonts w:cs="Arial"/>
          <w:lang w:val="en-US"/>
        </w:rPr>
      </w:pPr>
      <w:r>
        <w:rPr>
          <w:rFonts w:cs="Arial"/>
          <w:lang w:val="en-US"/>
        </w:rPr>
        <w:t>[48]</w:t>
      </w:r>
      <w:r>
        <w:rPr>
          <w:rFonts w:cs="Arial"/>
          <w:lang w:val="en-US"/>
        </w:rPr>
        <w:tab/>
      </w:r>
      <w:r w:rsidR="00315252">
        <w:rPr>
          <w:rFonts w:cs="Arial"/>
          <w:lang w:val="en-US"/>
        </w:rPr>
        <w:t>I grant the following order:</w:t>
      </w:r>
    </w:p>
    <w:p w14:paraId="39081085" w14:textId="6F8196EF" w:rsidR="00BE334B" w:rsidRDefault="00126822" w:rsidP="00126822">
      <w:pPr>
        <w:pStyle w:val="level11"/>
        <w:numPr>
          <w:ilvl w:val="0"/>
          <w:numId w:val="0"/>
        </w:numPr>
        <w:spacing w:after="480" w:line="360" w:lineRule="auto"/>
        <w:jc w:val="both"/>
        <w:rPr>
          <w:rFonts w:cs="Arial"/>
          <w:lang w:val="en-US"/>
        </w:rPr>
      </w:pPr>
      <w:bookmarkStart w:id="0" w:name="_GoBack"/>
      <w:bookmarkEnd w:id="0"/>
      <w:r>
        <w:rPr>
          <w:rFonts w:cs="Arial"/>
          <w:lang w:val="en-US"/>
        </w:rPr>
        <w:t>[49]</w:t>
      </w:r>
      <w:r>
        <w:rPr>
          <w:rFonts w:cs="Arial"/>
          <w:lang w:val="en-US"/>
        </w:rPr>
        <w:tab/>
      </w:r>
      <w:r w:rsidR="00BE334B" w:rsidRPr="002C3752">
        <w:rPr>
          <w:rFonts w:cs="Arial"/>
          <w:lang w:val="en-US"/>
        </w:rPr>
        <w:t>T</w:t>
      </w:r>
      <w:r w:rsidR="00315252">
        <w:rPr>
          <w:rFonts w:cs="Arial"/>
          <w:lang w:val="en-US"/>
        </w:rPr>
        <w:t>he application is dismissed with costs</w:t>
      </w:r>
      <w:r w:rsidR="00EB0F11">
        <w:rPr>
          <w:rFonts w:cs="Arial"/>
          <w:lang w:val="en-US"/>
        </w:rPr>
        <w:t>.</w:t>
      </w:r>
    </w:p>
    <w:p w14:paraId="2141BDA3" w14:textId="72FAAEF0" w:rsidR="007F02F1" w:rsidRDefault="007F02F1" w:rsidP="007F02F1">
      <w:pPr>
        <w:pStyle w:val="level11"/>
        <w:numPr>
          <w:ilvl w:val="0"/>
          <w:numId w:val="0"/>
        </w:numPr>
        <w:spacing w:after="480" w:line="360" w:lineRule="auto"/>
        <w:ind w:left="720" w:hanging="360"/>
        <w:jc w:val="both"/>
        <w:rPr>
          <w:rFonts w:cs="Arial"/>
          <w:lang w:val="en-US"/>
        </w:rPr>
      </w:pPr>
    </w:p>
    <w:p w14:paraId="383AFE0B" w14:textId="7476A098" w:rsidR="001E2697" w:rsidRPr="002C3752" w:rsidRDefault="001E2697" w:rsidP="001E2697">
      <w:pPr>
        <w:spacing w:line="360" w:lineRule="auto"/>
        <w:ind w:left="2880" w:firstLine="720"/>
        <w:rPr>
          <w:rFonts w:cs="Arial"/>
        </w:rPr>
      </w:pPr>
      <w:r w:rsidRPr="002C3752">
        <w:rPr>
          <w:rFonts w:cs="Arial"/>
        </w:rPr>
        <w:t>____________________________________</w:t>
      </w:r>
    </w:p>
    <w:p w14:paraId="4A30BEF1" w14:textId="77777777" w:rsidR="001E2697" w:rsidRPr="002C3752" w:rsidRDefault="001E2697" w:rsidP="001E2697">
      <w:pPr>
        <w:ind w:left="4395"/>
        <w:rPr>
          <w:rFonts w:cs="Arial"/>
          <w:b/>
        </w:rPr>
      </w:pPr>
      <w:r w:rsidRPr="002C3752">
        <w:rPr>
          <w:rFonts w:cs="Arial"/>
          <w:b/>
        </w:rPr>
        <w:t>EF DIPPENAAR</w:t>
      </w:r>
      <w:r w:rsidRPr="002C3752">
        <w:rPr>
          <w:rFonts w:cs="Arial"/>
        </w:rPr>
        <w:t xml:space="preserve">                        </w:t>
      </w:r>
    </w:p>
    <w:p w14:paraId="53CF8FDF" w14:textId="65D91571" w:rsidR="00BE334B" w:rsidRPr="00584335" w:rsidRDefault="001E2697" w:rsidP="00584335">
      <w:pPr>
        <w:ind w:left="4395"/>
        <w:rPr>
          <w:rFonts w:cs="Arial"/>
          <w:b/>
        </w:rPr>
      </w:pPr>
      <w:r w:rsidRPr="002C3752">
        <w:rPr>
          <w:rFonts w:cs="Arial"/>
          <w:b/>
        </w:rPr>
        <w:t>JUDGE OF THE HIGH COURT JOHANNESBURG</w:t>
      </w:r>
    </w:p>
    <w:p w14:paraId="61375C0E" w14:textId="77777777" w:rsidR="00113EEB" w:rsidRPr="002C3752" w:rsidRDefault="00113EEB" w:rsidP="001E2697">
      <w:pPr>
        <w:rPr>
          <w:rFonts w:cs="Arial"/>
          <w:b/>
          <w:u w:val="single"/>
        </w:rPr>
      </w:pPr>
    </w:p>
    <w:p w14:paraId="5390ECFF" w14:textId="77777777" w:rsidR="003A51A3" w:rsidRPr="003E4474" w:rsidRDefault="003A51A3" w:rsidP="003A51A3">
      <w:pPr>
        <w:rPr>
          <w:b/>
          <w:u w:val="single"/>
        </w:rPr>
      </w:pPr>
      <w:bookmarkStart w:id="1" w:name="_Hlk67555944"/>
      <w:r w:rsidRPr="003E4474">
        <w:rPr>
          <w:b/>
          <w:u w:val="single"/>
        </w:rPr>
        <w:t xml:space="preserve">APPEARANCES </w:t>
      </w:r>
    </w:p>
    <w:p w14:paraId="79E0E2F3" w14:textId="77777777" w:rsidR="003A51A3" w:rsidRPr="003E4474" w:rsidRDefault="003A51A3" w:rsidP="003A51A3">
      <w:pPr>
        <w:contextualSpacing/>
        <w:rPr>
          <w:rFonts w:eastAsia="Calibri"/>
        </w:rPr>
      </w:pPr>
    </w:p>
    <w:p w14:paraId="436F8F32" w14:textId="6B4E32AD" w:rsidR="003A51A3" w:rsidRPr="003E4474" w:rsidRDefault="003A51A3" w:rsidP="003A51A3">
      <w:r w:rsidRPr="003E4474">
        <w:rPr>
          <w:b/>
        </w:rPr>
        <w:t>DATE OF HEARING</w:t>
      </w:r>
      <w:r w:rsidRPr="003E4474">
        <w:rPr>
          <w:b/>
        </w:rPr>
        <w:tab/>
        <w:t xml:space="preserve"> </w:t>
      </w:r>
      <w:r w:rsidRPr="003E4474">
        <w:rPr>
          <w:b/>
        </w:rPr>
        <w:tab/>
      </w:r>
      <w:r w:rsidRPr="003E4474">
        <w:rPr>
          <w:b/>
        </w:rPr>
        <w:tab/>
        <w:t xml:space="preserve"> </w:t>
      </w:r>
      <w:r w:rsidRPr="003E4474">
        <w:rPr>
          <w:b/>
        </w:rPr>
        <w:tab/>
      </w:r>
      <w:r w:rsidR="00584335">
        <w:t xml:space="preserve">: </w:t>
      </w:r>
      <w:r w:rsidR="0035520F">
        <w:t>15 February</w:t>
      </w:r>
      <w:r>
        <w:t xml:space="preserve"> 2023</w:t>
      </w:r>
      <w:r w:rsidRPr="003E4474">
        <w:rPr>
          <w:b/>
        </w:rPr>
        <w:tab/>
      </w:r>
      <w:r w:rsidRPr="003E4474">
        <w:t xml:space="preserve"> </w:t>
      </w:r>
    </w:p>
    <w:p w14:paraId="29D54203" w14:textId="77777777" w:rsidR="003A51A3" w:rsidRPr="003E4474" w:rsidRDefault="003A51A3" w:rsidP="003A51A3">
      <w:pPr>
        <w:rPr>
          <w:b/>
        </w:rPr>
      </w:pPr>
    </w:p>
    <w:p w14:paraId="7552468D" w14:textId="2AE25840" w:rsidR="003A51A3" w:rsidRPr="003E4474" w:rsidRDefault="003A51A3" w:rsidP="003A51A3">
      <w:pPr>
        <w:rPr>
          <w:b/>
        </w:rPr>
      </w:pPr>
      <w:r w:rsidRPr="003E4474">
        <w:rPr>
          <w:b/>
        </w:rPr>
        <w:t xml:space="preserve">DATE OF JUDGMENT </w:t>
      </w:r>
      <w:r w:rsidRPr="003E4474">
        <w:rPr>
          <w:b/>
        </w:rPr>
        <w:tab/>
      </w:r>
      <w:r w:rsidRPr="003E4474">
        <w:rPr>
          <w:b/>
        </w:rPr>
        <w:tab/>
      </w:r>
      <w:r w:rsidRPr="003E4474">
        <w:rPr>
          <w:b/>
        </w:rPr>
        <w:tab/>
        <w:t xml:space="preserve"> </w:t>
      </w:r>
      <w:r w:rsidRPr="003E4474">
        <w:rPr>
          <w:b/>
        </w:rPr>
        <w:tab/>
      </w:r>
      <w:r w:rsidRPr="003E4474">
        <w:t xml:space="preserve">: </w:t>
      </w:r>
      <w:r w:rsidR="00EB0F11">
        <w:t>2</w:t>
      </w:r>
      <w:r w:rsidR="00530ED7">
        <w:t>1</w:t>
      </w:r>
      <w:r w:rsidR="00EB0F11">
        <w:t xml:space="preserve"> February 2023</w:t>
      </w:r>
      <w:r w:rsidRPr="003E4474">
        <w:t xml:space="preserve"> </w:t>
      </w:r>
    </w:p>
    <w:p w14:paraId="70698AC7" w14:textId="77777777" w:rsidR="003A51A3" w:rsidRPr="003E4474" w:rsidRDefault="003A51A3" w:rsidP="003A51A3">
      <w:pPr>
        <w:rPr>
          <w:b/>
        </w:rPr>
      </w:pPr>
      <w:r w:rsidRPr="003E4474">
        <w:rPr>
          <w:b/>
        </w:rPr>
        <w:tab/>
      </w:r>
      <w:r w:rsidRPr="003E4474">
        <w:rPr>
          <w:b/>
        </w:rPr>
        <w:tab/>
      </w:r>
      <w:r w:rsidRPr="003E4474">
        <w:rPr>
          <w:b/>
        </w:rPr>
        <w:tab/>
      </w:r>
      <w:r w:rsidRPr="003E4474">
        <w:rPr>
          <w:b/>
        </w:rPr>
        <w:tab/>
      </w:r>
    </w:p>
    <w:p w14:paraId="1BFDE25D" w14:textId="17F25875" w:rsidR="003A51A3" w:rsidRDefault="003A51A3" w:rsidP="003A51A3">
      <w:pPr>
        <w:spacing w:after="200"/>
        <w:contextualSpacing/>
        <w:rPr>
          <w:rFonts w:eastAsia="Calibri"/>
        </w:rPr>
      </w:pPr>
      <w:r>
        <w:rPr>
          <w:rFonts w:eastAsia="Calibri"/>
          <w:b/>
        </w:rPr>
        <w:t>APPLICANTS’</w:t>
      </w:r>
      <w:r w:rsidRPr="002B7224">
        <w:rPr>
          <w:rFonts w:eastAsia="Calibri"/>
          <w:b/>
        </w:rPr>
        <w:t xml:space="preserve"> COUNSEL</w:t>
      </w:r>
      <w:r w:rsidRPr="002B7224">
        <w:rPr>
          <w:rFonts w:eastAsia="Calibri"/>
          <w:b/>
        </w:rPr>
        <w:tab/>
      </w:r>
      <w:r w:rsidRPr="002B7224">
        <w:rPr>
          <w:rFonts w:eastAsia="Calibri"/>
          <w:b/>
        </w:rPr>
        <w:tab/>
      </w:r>
      <w:r w:rsidRPr="002B7224">
        <w:rPr>
          <w:rFonts w:eastAsia="Calibri"/>
          <w:b/>
        </w:rPr>
        <w:tab/>
      </w:r>
      <w:r w:rsidRPr="002B7224">
        <w:rPr>
          <w:rFonts w:eastAsia="Calibri"/>
          <w:b/>
        </w:rPr>
        <w:tab/>
      </w:r>
      <w:r w:rsidRPr="002B7224">
        <w:rPr>
          <w:rFonts w:eastAsia="Calibri"/>
        </w:rPr>
        <w:t>:</w:t>
      </w:r>
      <w:r>
        <w:rPr>
          <w:rFonts w:eastAsia="Calibri"/>
          <w:b/>
        </w:rPr>
        <w:t xml:space="preserve"> </w:t>
      </w:r>
      <w:r w:rsidRPr="0031790F">
        <w:rPr>
          <w:rFonts w:eastAsia="Calibri"/>
        </w:rPr>
        <w:t xml:space="preserve">Adv. </w:t>
      </w:r>
      <w:r w:rsidR="0069782C">
        <w:rPr>
          <w:rFonts w:eastAsia="Calibri"/>
        </w:rPr>
        <w:t>P.G. Cilliers SC</w:t>
      </w:r>
    </w:p>
    <w:p w14:paraId="47384B35" w14:textId="0D70BC23" w:rsidR="0069782C" w:rsidRDefault="0069782C" w:rsidP="003A51A3">
      <w:pPr>
        <w:spacing w:after="200"/>
        <w:contextualSpacing/>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Adv. J.C. Viljoen </w:t>
      </w:r>
    </w:p>
    <w:p w14:paraId="11F5D2E8" w14:textId="02113496" w:rsidR="003A51A3" w:rsidRPr="0035520F" w:rsidRDefault="003A51A3" w:rsidP="003A51A3">
      <w:pPr>
        <w:spacing w:after="200"/>
        <w:contextualSpacing/>
        <w:rPr>
          <w:rFonts w:eastAsia="Calibri"/>
          <w:b/>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1EA8BC5D" w14:textId="0643E240" w:rsidR="003A51A3" w:rsidRDefault="003A51A3" w:rsidP="003A51A3">
      <w:pPr>
        <w:spacing w:after="200"/>
        <w:contextualSpacing/>
        <w:rPr>
          <w:rFonts w:eastAsia="Calibri"/>
        </w:rPr>
      </w:pPr>
      <w:r>
        <w:rPr>
          <w:rFonts w:eastAsia="Calibri"/>
          <w:b/>
          <w:bCs/>
        </w:rPr>
        <w:t>APPLICANTS’</w:t>
      </w:r>
      <w:r w:rsidRPr="002B7224">
        <w:rPr>
          <w:rFonts w:eastAsia="Calibri"/>
          <w:b/>
          <w:bCs/>
        </w:rPr>
        <w:t xml:space="preserve"> ATTORNEYS</w:t>
      </w:r>
      <w:r w:rsidRPr="002B7224">
        <w:rPr>
          <w:rFonts w:eastAsia="Calibri"/>
          <w:b/>
        </w:rPr>
        <w:tab/>
      </w:r>
      <w:r w:rsidRPr="002B7224">
        <w:rPr>
          <w:rFonts w:eastAsia="Calibri"/>
          <w:b/>
        </w:rPr>
        <w:tab/>
      </w:r>
      <w:r w:rsidRPr="002B7224">
        <w:rPr>
          <w:rFonts w:eastAsia="Calibri"/>
          <w:b/>
        </w:rPr>
        <w:tab/>
      </w:r>
      <w:r w:rsidR="0035520F">
        <w:rPr>
          <w:rFonts w:eastAsia="Calibri"/>
        </w:rPr>
        <w:t xml:space="preserve">: </w:t>
      </w:r>
      <w:r w:rsidR="00F719F8">
        <w:rPr>
          <w:rFonts w:eastAsia="Calibri"/>
        </w:rPr>
        <w:t>Stupel &amp; Berman Inc.</w:t>
      </w:r>
    </w:p>
    <w:p w14:paraId="754B65EC" w14:textId="718620E6" w:rsidR="00EB0F11" w:rsidRPr="002B7224" w:rsidRDefault="00EB0F11" w:rsidP="003A51A3">
      <w:pPr>
        <w:spacing w:after="200"/>
        <w:contextualSpacing/>
        <w:rPr>
          <w:rFonts w:eastAsia="Calibri"/>
          <w:b/>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Mr S Jacobs</w:t>
      </w:r>
    </w:p>
    <w:p w14:paraId="55512011" w14:textId="75CA74BC" w:rsidR="003A51A3" w:rsidRPr="00BB4962" w:rsidRDefault="003A51A3" w:rsidP="003A51A3">
      <w:pPr>
        <w:spacing w:after="200"/>
        <w:contextualSpacing/>
        <w:rPr>
          <w:rFonts w:eastAsia="Calibri"/>
          <w:b/>
        </w:rPr>
      </w:pPr>
    </w:p>
    <w:p w14:paraId="244805CB" w14:textId="163CD961" w:rsidR="003A51A3" w:rsidRDefault="003A51A3" w:rsidP="003A51A3">
      <w:pPr>
        <w:spacing w:after="200"/>
        <w:contextualSpacing/>
        <w:rPr>
          <w:rFonts w:eastAsia="Calibri"/>
        </w:rPr>
      </w:pPr>
      <w:r w:rsidRPr="00BB4962">
        <w:rPr>
          <w:rFonts w:eastAsia="Calibri"/>
          <w:b/>
        </w:rPr>
        <w:t>RESPONDENTS</w:t>
      </w:r>
      <w:r>
        <w:rPr>
          <w:rFonts w:eastAsia="Calibri"/>
          <w:b/>
        </w:rPr>
        <w:t>’</w:t>
      </w:r>
      <w:r w:rsidRPr="00BB4962">
        <w:rPr>
          <w:rFonts w:eastAsia="Calibri"/>
          <w:b/>
        </w:rPr>
        <w:t xml:space="preserve"> </w:t>
      </w:r>
      <w:r w:rsidRPr="002B7224">
        <w:rPr>
          <w:rFonts w:eastAsia="Calibri"/>
          <w:b/>
        </w:rPr>
        <w:t>COUNSEL</w:t>
      </w:r>
      <w:r w:rsidR="0035520F">
        <w:rPr>
          <w:rFonts w:eastAsia="Calibri"/>
        </w:rPr>
        <w:tab/>
      </w:r>
      <w:r w:rsidR="0035520F">
        <w:rPr>
          <w:rFonts w:eastAsia="Calibri"/>
        </w:rPr>
        <w:tab/>
      </w:r>
      <w:r w:rsidR="0035520F">
        <w:rPr>
          <w:rFonts w:eastAsia="Calibri"/>
        </w:rPr>
        <w:tab/>
        <w:t>: Adv.</w:t>
      </w:r>
      <w:r w:rsidR="0069782C">
        <w:rPr>
          <w:rFonts w:eastAsia="Calibri"/>
        </w:rPr>
        <w:t xml:space="preserve"> C.</w:t>
      </w:r>
      <w:r w:rsidR="00E82D47">
        <w:rPr>
          <w:rFonts w:eastAsia="Calibri"/>
        </w:rPr>
        <w:t>C.</w:t>
      </w:r>
      <w:r w:rsidR="0069782C">
        <w:rPr>
          <w:rFonts w:eastAsia="Calibri"/>
        </w:rPr>
        <w:t xml:space="preserve"> Bester </w:t>
      </w:r>
    </w:p>
    <w:p w14:paraId="44FAFC58" w14:textId="7E7487EF" w:rsidR="003A51A3" w:rsidRPr="002B7224" w:rsidRDefault="0035520F" w:rsidP="003A51A3">
      <w:pPr>
        <w:spacing w:after="200"/>
        <w:contextualSpacing/>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14:paraId="48300D99" w14:textId="0AAB6101" w:rsidR="003A51A3" w:rsidRDefault="003A51A3" w:rsidP="003A51A3">
      <w:pPr>
        <w:spacing w:after="200"/>
        <w:contextualSpacing/>
      </w:pPr>
      <w:r w:rsidRPr="00BB4962">
        <w:rPr>
          <w:rFonts w:eastAsia="Calibri"/>
          <w:b/>
        </w:rPr>
        <w:t>RESPONDENTS</w:t>
      </w:r>
      <w:r>
        <w:rPr>
          <w:rFonts w:eastAsia="Calibri"/>
          <w:b/>
        </w:rPr>
        <w:t>’</w:t>
      </w:r>
      <w:r w:rsidRPr="00BB4962">
        <w:rPr>
          <w:rFonts w:eastAsia="Calibri"/>
          <w:b/>
        </w:rPr>
        <w:t xml:space="preserve"> </w:t>
      </w:r>
      <w:r w:rsidRPr="002B7224">
        <w:rPr>
          <w:rFonts w:eastAsia="Calibri"/>
          <w:b/>
        </w:rPr>
        <w:t>ATTORNEYS</w:t>
      </w:r>
      <w:r>
        <w:rPr>
          <w:b/>
        </w:rPr>
        <w:tab/>
      </w:r>
      <w:r>
        <w:rPr>
          <w:b/>
        </w:rPr>
        <w:tab/>
      </w:r>
      <w:r>
        <w:rPr>
          <w:b/>
        </w:rPr>
        <w:tab/>
      </w:r>
      <w:r w:rsidRPr="009F1512">
        <w:t>:</w:t>
      </w:r>
      <w:r>
        <w:t xml:space="preserve"> </w:t>
      </w:r>
      <w:r w:rsidR="00F719F8">
        <w:t>Fluxmans Inc. Attorneys</w:t>
      </w:r>
    </w:p>
    <w:p w14:paraId="6BB51C4E" w14:textId="1E5BC645" w:rsidR="00EB0F11" w:rsidRPr="009F1512" w:rsidRDefault="00EB0F11" w:rsidP="003A51A3">
      <w:pPr>
        <w:spacing w:after="200"/>
        <w:contextualSpacing/>
        <w:rPr>
          <w:rFonts w:eastAsia="Calibri" w:cs="Arial"/>
        </w:rPr>
      </w:pPr>
      <w:r>
        <w:tab/>
      </w:r>
      <w:r>
        <w:tab/>
      </w:r>
      <w:r>
        <w:tab/>
      </w:r>
      <w:r>
        <w:tab/>
      </w:r>
      <w:r>
        <w:tab/>
      </w:r>
      <w:r>
        <w:tab/>
      </w:r>
      <w:r>
        <w:tab/>
        <w:t xml:space="preserve">  Mr C Shapiro</w:t>
      </w:r>
    </w:p>
    <w:p w14:paraId="768681EB" w14:textId="77777777" w:rsidR="003A51A3" w:rsidRPr="002B7224" w:rsidRDefault="003A51A3" w:rsidP="003A51A3">
      <w:pPr>
        <w:spacing w:after="200"/>
        <w:contextualSpacing/>
        <w:rPr>
          <w:rFonts w:eastAsia="Calibri"/>
          <w:b/>
        </w:rPr>
      </w:pPr>
      <w:r w:rsidRPr="002B7224">
        <w:rPr>
          <w:rFonts w:eastAsia="Calibri"/>
          <w:b/>
        </w:rPr>
        <w:tab/>
      </w:r>
      <w:r w:rsidRPr="002B7224">
        <w:rPr>
          <w:rFonts w:eastAsia="Calibri"/>
          <w:b/>
        </w:rPr>
        <w:tab/>
      </w:r>
      <w:r w:rsidRPr="002B7224">
        <w:rPr>
          <w:rFonts w:eastAsia="Calibri"/>
          <w:b/>
        </w:rPr>
        <w:tab/>
      </w:r>
      <w:r w:rsidRPr="002B7224">
        <w:rPr>
          <w:rFonts w:eastAsia="Calibri"/>
          <w:b/>
        </w:rPr>
        <w:tab/>
      </w:r>
      <w:r w:rsidRPr="002B7224">
        <w:rPr>
          <w:rFonts w:eastAsia="Calibri"/>
          <w:b/>
        </w:rPr>
        <w:tab/>
      </w:r>
      <w:r w:rsidRPr="002B7224">
        <w:rPr>
          <w:rFonts w:eastAsia="Calibri"/>
          <w:b/>
        </w:rPr>
        <w:tab/>
        <w:t xml:space="preserve">  </w:t>
      </w:r>
      <w:bookmarkEnd w:id="1"/>
    </w:p>
    <w:sectPr w:rsidR="003A51A3" w:rsidRPr="002B7224" w:rsidSect="00864DE1">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E2F6" w14:textId="77777777" w:rsidR="006366E3" w:rsidRDefault="006366E3">
      <w:r>
        <w:separator/>
      </w:r>
    </w:p>
  </w:endnote>
  <w:endnote w:type="continuationSeparator" w:id="0">
    <w:p w14:paraId="0C2F5068" w14:textId="77777777" w:rsidR="006366E3" w:rsidRDefault="0063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WenQuanYi Micro Hei">
    <w:altName w:val="Times New Roman"/>
    <w:charset w:val="00"/>
    <w:family w:val="auto"/>
    <w:pitch w:val="variable"/>
  </w:font>
  <w:font w:name="Lohit Hindi">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4715C" w14:textId="77777777" w:rsidR="006366E3" w:rsidRDefault="006366E3">
      <w:r>
        <w:separator/>
      </w:r>
    </w:p>
  </w:footnote>
  <w:footnote w:type="continuationSeparator" w:id="0">
    <w:p w14:paraId="328F6470" w14:textId="77777777" w:rsidR="006366E3" w:rsidRDefault="006366E3">
      <w:r>
        <w:continuationSeparator/>
      </w:r>
    </w:p>
  </w:footnote>
  <w:footnote w:id="1">
    <w:p w14:paraId="745486CC" w14:textId="503960E0" w:rsidR="00057118" w:rsidRDefault="00057118">
      <w:pPr>
        <w:pStyle w:val="FootnoteText"/>
      </w:pPr>
      <w:r>
        <w:rPr>
          <w:rStyle w:val="FootnoteReference"/>
        </w:rPr>
        <w:footnoteRef/>
      </w:r>
      <w:r>
        <w:t xml:space="preserve"> Twentieth Century Fox Film Corporation and Another v Anthony Black Films (Pty) Ltd 1982 (3) SA 582 (W) at 586E-H</w:t>
      </w:r>
    </w:p>
  </w:footnote>
  <w:footnote w:id="2">
    <w:p w14:paraId="66217C50" w14:textId="6CD3C08F" w:rsidR="00057118" w:rsidRDefault="00057118">
      <w:pPr>
        <w:pStyle w:val="FootnoteText"/>
      </w:pPr>
      <w:r>
        <w:rPr>
          <w:rStyle w:val="FootnoteReference"/>
        </w:rPr>
        <w:footnoteRef/>
      </w:r>
      <w:r>
        <w:t xml:space="preserve"> East Rock Trading 7 (Pty) Ltd and Another v Eagle Valley Granite (Pty) Ltd and Others</w:t>
      </w:r>
      <w:r w:rsidR="00E40FE0">
        <w:t xml:space="preserve"> (11/33767) [2011] ZAGPJHC 196 </w:t>
      </w:r>
      <w:r>
        <w:t>(23 September 2011) paras [6]-[7]</w:t>
      </w:r>
    </w:p>
  </w:footnote>
  <w:footnote w:id="3">
    <w:p w14:paraId="57E271C4" w14:textId="2792BA7F" w:rsidR="00057118" w:rsidRDefault="00057118">
      <w:pPr>
        <w:pStyle w:val="FootnoteText"/>
      </w:pPr>
      <w:r>
        <w:rPr>
          <w:rStyle w:val="FootnoteReference"/>
        </w:rPr>
        <w:footnoteRef/>
      </w:r>
      <w:r>
        <w:t xml:space="preserve"> Buthalezi v Poorter &amp; Others 1974 (4) SA 831 (W)</w:t>
      </w:r>
    </w:p>
  </w:footnote>
  <w:footnote w:id="4">
    <w:p w14:paraId="4E4B781F" w14:textId="5E19164C" w:rsidR="00057118" w:rsidRDefault="00057118">
      <w:pPr>
        <w:pStyle w:val="FootnoteText"/>
      </w:pPr>
      <w:r>
        <w:rPr>
          <w:rStyle w:val="FootnoteReference"/>
        </w:rPr>
        <w:footnoteRef/>
      </w:r>
      <w:r>
        <w:t xml:space="preserve"> Plascon Evans Paints (Pty) Ltd v van Riebeeck Paints (Pty) Ltd 1984 (3) SA 623 (A) at 634E-635B; National Director Public Prosecutions v Zuma 2009 (2) SA 277 (SCA) para [26]; JW Wightman (Pty) Ltd v Headfour (Pty) Ltd 2008 (3) SA 371 (SCA) para </w:t>
      </w:r>
    </w:p>
  </w:footnote>
  <w:footnote w:id="5">
    <w:p w14:paraId="673FFD19" w14:textId="77777777" w:rsidR="00057118" w:rsidRPr="00AD75A9" w:rsidRDefault="00057118" w:rsidP="00D17A5C">
      <w:pPr>
        <w:pStyle w:val="FootnoteText"/>
        <w:rPr>
          <w:lang w:val="en-US"/>
        </w:rPr>
      </w:pPr>
      <w:r>
        <w:rPr>
          <w:rStyle w:val="FootnoteReference"/>
        </w:rPr>
        <w:footnoteRef/>
      </w:r>
      <w:r w:rsidRPr="00C405BA">
        <w:rPr>
          <w:rFonts w:cs="Arial"/>
        </w:rPr>
        <w:t xml:space="preserve"> </w:t>
      </w:r>
      <w:r>
        <w:rPr>
          <w:rFonts w:cs="Arial"/>
        </w:rPr>
        <w:t>Setlogelo v Setlogelo 1914 AD 221</w:t>
      </w:r>
    </w:p>
  </w:footnote>
  <w:footnote w:id="6">
    <w:p w14:paraId="6242ADC2" w14:textId="46EC5EE5" w:rsidR="00057118" w:rsidRDefault="00057118">
      <w:pPr>
        <w:pStyle w:val="FootnoteText"/>
      </w:pPr>
      <w:r>
        <w:rPr>
          <w:rStyle w:val="FootnoteReference"/>
        </w:rPr>
        <w:footnoteRef/>
      </w:r>
      <w:r>
        <w:t xml:space="preserve">  Capitec Bank Holdings Ltd and Another v Coral Lagoon Investments 194 (Pty) Ltd and Others 2022 (1) SA 100 (SCA)</w:t>
      </w:r>
      <w:r w:rsidR="00E40FE0">
        <w:t xml:space="preserve"> (“Coral Lagoon”) </w:t>
      </w:r>
      <w:r>
        <w:t xml:space="preserve">at para [25]; </w:t>
      </w:r>
      <w:r w:rsidRPr="00D21585">
        <w:rPr>
          <w:rFonts w:cs="Arial"/>
          <w:lang w:val="en-US"/>
        </w:rPr>
        <w:t>Natal Joint Municipal Pension Fund v Endumeni Municipality</w:t>
      </w:r>
      <w:r w:rsidRPr="00D21585">
        <w:rPr>
          <w:rFonts w:cs="Arial"/>
          <w:lang w:val="en-GB"/>
        </w:rPr>
        <w:t xml:space="preserve"> </w:t>
      </w:r>
      <w:r w:rsidRPr="00BB50A0">
        <w:rPr>
          <w:rFonts w:cs="Arial"/>
          <w:lang w:val="en-GB"/>
        </w:rPr>
        <w:t>2012 (4) SA 593 (SCA) paras [18]-[19] at 603E-605B</w:t>
      </w:r>
    </w:p>
  </w:footnote>
  <w:footnote w:id="7">
    <w:p w14:paraId="7848D5EA" w14:textId="420CC8D4" w:rsidR="00057118" w:rsidRDefault="00057118" w:rsidP="00722B1F">
      <w:pPr>
        <w:pStyle w:val="FootnoteText"/>
      </w:pPr>
      <w:r>
        <w:rPr>
          <w:rStyle w:val="FootnoteReference"/>
        </w:rPr>
        <w:footnoteRef/>
      </w:r>
      <w:r>
        <w:t xml:space="preserve"> Coral Lagoon supra paras [47], [50] and [51]</w:t>
      </w:r>
    </w:p>
  </w:footnote>
  <w:footnote w:id="8">
    <w:p w14:paraId="1D43725D" w14:textId="77777777" w:rsidR="00057118" w:rsidRDefault="00057118" w:rsidP="00722B1F">
      <w:pPr>
        <w:pStyle w:val="FootnoteText"/>
      </w:pPr>
      <w:r>
        <w:rPr>
          <w:rStyle w:val="FootnoteReference"/>
        </w:rPr>
        <w:footnoteRef/>
      </w:r>
      <w:r>
        <w:t xml:space="preserve"> Novartis v Maphil 2016 (1) SA 518 (SCA) para [28]</w:t>
      </w:r>
    </w:p>
  </w:footnote>
  <w:footnote w:id="9">
    <w:p w14:paraId="355F9C3F" w14:textId="77777777" w:rsidR="00C92FB0" w:rsidRDefault="00C92FB0" w:rsidP="00C92FB0">
      <w:pPr>
        <w:pStyle w:val="FootnoteText"/>
      </w:pPr>
      <w:r>
        <w:rPr>
          <w:rStyle w:val="FootnoteReference"/>
        </w:rPr>
        <w:footnoteRef/>
      </w:r>
      <w:r>
        <w:t xml:space="preserve"> Berco Sameday Express v McNeil and Others 1996 4 All SA 100 (W)</w:t>
      </w:r>
    </w:p>
  </w:footnote>
  <w:footnote w:id="10">
    <w:p w14:paraId="7C7F64A2" w14:textId="2A6F62C8" w:rsidR="00E513FF" w:rsidRDefault="00E513FF" w:rsidP="00E513FF">
      <w:pPr>
        <w:pStyle w:val="FootnoteText"/>
      </w:pPr>
      <w:r>
        <w:rPr>
          <w:rStyle w:val="FootnoteReference"/>
        </w:rPr>
        <w:footnoteRef/>
      </w:r>
      <w:r>
        <w:t xml:space="preserve"> Para</w:t>
      </w:r>
      <w:r w:rsidR="00E40FE0">
        <w:t xml:space="preserve"> </w:t>
      </w:r>
      <w:r>
        <w:t>[51]</w:t>
      </w:r>
    </w:p>
  </w:footnote>
  <w:footnote w:id="11">
    <w:p w14:paraId="6D92DF88" w14:textId="4DCE6807" w:rsidR="00057118" w:rsidRDefault="00057118">
      <w:pPr>
        <w:pStyle w:val="FootnoteText"/>
      </w:pPr>
      <w:r>
        <w:rPr>
          <w:rStyle w:val="FootnoteReference"/>
        </w:rPr>
        <w:footnoteRef/>
      </w:r>
      <w:r>
        <w:t xml:space="preserve"> Coral Lagoon supra para [26]</w:t>
      </w:r>
    </w:p>
  </w:footnote>
  <w:footnote w:id="12">
    <w:p w14:paraId="531C8905" w14:textId="77777777" w:rsidR="00057118" w:rsidRDefault="00057118" w:rsidP="00160E0D">
      <w:pPr>
        <w:pStyle w:val="FootnoteText"/>
      </w:pPr>
      <w:r>
        <w:rPr>
          <w:rStyle w:val="FootnoteReference"/>
        </w:rPr>
        <w:footnoteRef/>
      </w:r>
      <w:r>
        <w:t xml:space="preserve"> Baedica 231 CC and Others v Trustees for the time being of the Oregon Trust and Others 2020 (5) SA 247 (CC) para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EC40" w14:textId="6078D147" w:rsidR="00057118" w:rsidRDefault="00057118">
    <w:pPr>
      <w:pStyle w:val="Header"/>
      <w:jc w:val="right"/>
    </w:pPr>
    <w:r>
      <w:t xml:space="preserve">Page </w:t>
    </w:r>
    <w:r>
      <w:fldChar w:fldCharType="begin"/>
    </w:r>
    <w:r>
      <w:instrText xml:space="preserve"> PAGE   \* MERGEFORMAT </w:instrText>
    </w:r>
    <w:r>
      <w:fldChar w:fldCharType="separate"/>
    </w:r>
    <w:r w:rsidR="00126822">
      <w:rPr>
        <w:noProof/>
      </w:rPr>
      <w:t>15</w:t>
    </w:r>
    <w:r>
      <w:rPr>
        <w:noProof/>
      </w:rPr>
      <w:fldChar w:fldCharType="end"/>
    </w:r>
  </w:p>
  <w:p w14:paraId="0BA12F91" w14:textId="77777777" w:rsidR="00057118" w:rsidRDefault="00057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4A851AE"/>
    <w:lvl w:ilvl="0">
      <w:start w:val="1"/>
      <w:numFmt w:val="decimal"/>
      <w:pStyle w:val="Heading1"/>
      <w:lvlText w:val="%1."/>
      <w:lvlJc w:val="left"/>
      <w:pPr>
        <w:tabs>
          <w:tab w:val="num" w:pos="0"/>
        </w:tabs>
        <w:ind w:left="720" w:hanging="720"/>
      </w:pPr>
      <w:rPr>
        <w:rFonts w:ascii="Arial" w:hAnsi="Arial" w:hint="default"/>
        <w:b w:val="0"/>
        <w:i w:val="0"/>
        <w:sz w:val="24"/>
        <w:szCs w:val="24"/>
      </w:rPr>
    </w:lvl>
    <w:lvl w:ilvl="1">
      <w:start w:val="1"/>
      <w:numFmt w:val="decimal"/>
      <w:pStyle w:val="Heading2"/>
      <w:lvlText w:val="%1.%2"/>
      <w:lvlJc w:val="left"/>
      <w:pPr>
        <w:tabs>
          <w:tab w:val="num" w:pos="1644"/>
        </w:tabs>
        <w:ind w:left="1644" w:hanging="924"/>
      </w:pPr>
      <w:rPr>
        <w:rFonts w:ascii="Arial" w:hAnsi="Arial" w:hint="default"/>
        <w:b w:val="0"/>
        <w:i w:val="0"/>
        <w:sz w:val="24"/>
        <w:szCs w:val="24"/>
      </w:rPr>
    </w:lvl>
    <w:lvl w:ilvl="2">
      <w:start w:val="1"/>
      <w:numFmt w:val="decimal"/>
      <w:pStyle w:val="Heading3"/>
      <w:lvlText w:val="%1.%2.%3"/>
      <w:lvlJc w:val="left"/>
      <w:pPr>
        <w:tabs>
          <w:tab w:val="num" w:pos="2608"/>
        </w:tabs>
        <w:ind w:left="2608" w:hanging="1020"/>
      </w:pPr>
      <w:rPr>
        <w:rFonts w:ascii="Arial" w:hAnsi="Arial" w:hint="default"/>
        <w:b w:val="0"/>
        <w:i w:val="0"/>
        <w:sz w:val="24"/>
        <w:szCs w:val="24"/>
      </w:rPr>
    </w:lvl>
    <w:lvl w:ilvl="3">
      <w:start w:val="1"/>
      <w:numFmt w:val="decimal"/>
      <w:pStyle w:val="Heading4"/>
      <w:lvlText w:val="%1.%2.%3.%4"/>
      <w:lvlJc w:val="left"/>
      <w:pPr>
        <w:tabs>
          <w:tab w:val="num" w:pos="3402"/>
        </w:tabs>
        <w:ind w:left="3402" w:hanging="85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5C2C20"/>
    <w:multiLevelType w:val="multilevel"/>
    <w:tmpl w:val="8978462E"/>
    <w:lvl w:ilvl="0">
      <w:start w:val="1"/>
      <w:numFmt w:val="decimal"/>
      <w:pStyle w:val="Level1"/>
      <w:lvlText w:val="%1."/>
      <w:lvlJc w:val="left"/>
      <w:pPr>
        <w:ind w:left="567" w:hanging="567"/>
      </w:pPr>
      <w:rPr>
        <w:rFonts w:asciiTheme="majorHAnsi" w:hAnsiTheme="majorHAnsi" w:cstheme="majorHAnsi" w:hint="default"/>
        <w:b w:val="0"/>
        <w:i w:val="0"/>
        <w:sz w:val="26"/>
        <w:szCs w:val="26"/>
      </w:rPr>
    </w:lvl>
    <w:lvl w:ilvl="1">
      <w:start w:val="1"/>
      <w:numFmt w:val="decimal"/>
      <w:pStyle w:val="Level2"/>
      <w:lvlText w:val="%1.%2."/>
      <w:lvlJc w:val="left"/>
      <w:pPr>
        <w:ind w:left="1134" w:hanging="1134"/>
      </w:pPr>
      <w:rPr>
        <w:rFonts w:asciiTheme="majorHAnsi" w:hAnsiTheme="majorHAnsi" w:cstheme="majorHAnsi" w:hint="default"/>
        <w:b w:val="0"/>
        <w:sz w:val="26"/>
        <w:szCs w:val="26"/>
      </w:rPr>
    </w:lvl>
    <w:lvl w:ilvl="2">
      <w:start w:val="1"/>
      <w:numFmt w:val="decimal"/>
      <w:pStyle w:val="Level3"/>
      <w:lvlText w:val="%1.%2.%3."/>
      <w:lvlJc w:val="left"/>
      <w:pPr>
        <w:ind w:left="1701" w:hanging="1701"/>
      </w:pPr>
      <w:rPr>
        <w:b w:val="0"/>
        <w:i w:val="0"/>
        <w:sz w:val="20"/>
        <w:szCs w:val="20"/>
      </w:rPr>
    </w:lvl>
    <w:lvl w:ilvl="3">
      <w:start w:val="1"/>
      <w:numFmt w:val="decimal"/>
      <w:pStyle w:val="Level4"/>
      <w:lvlText w:val="%1.%2.%3.%4."/>
      <w:lvlJc w:val="left"/>
      <w:pPr>
        <w:ind w:left="1440" w:hanging="1080"/>
      </w:pPr>
      <w:rPr>
        <w:sz w:val="20"/>
        <w:szCs w:val="20"/>
      </w:rPr>
    </w:lvl>
    <w:lvl w:ilvl="4">
      <w:start w:val="1"/>
      <w:numFmt w:val="lowerLetter"/>
      <w:lvlText w:val="%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C32EAB"/>
    <w:multiLevelType w:val="multilevel"/>
    <w:tmpl w:val="C9BCDF2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7C532D5"/>
    <w:multiLevelType w:val="multilevel"/>
    <w:tmpl w:val="98440AF0"/>
    <w:lvl w:ilvl="0">
      <w:start w:val="1"/>
      <w:numFmt w:val="decimal"/>
      <w:lvlText w:val="%1."/>
      <w:lvlJc w:val="left"/>
      <w:pPr>
        <w:ind w:left="360" w:hanging="360"/>
      </w:pPr>
      <w:rPr>
        <w:i w:val="0"/>
        <w:iCs w:val="0"/>
      </w:rPr>
    </w:lvl>
    <w:lvl w:ilvl="1">
      <w:start w:val="1"/>
      <w:numFmt w:val="decimal"/>
      <w:pStyle w:val="level20"/>
      <w:lvlText w:val="%1.%2."/>
      <w:lvlJc w:val="left"/>
      <w:pPr>
        <w:ind w:left="792" w:hanging="432"/>
      </w:pPr>
      <w:rPr>
        <w:b w:val="0"/>
        <w:i w:val="0"/>
        <w:iCs w:val="0"/>
      </w:rPr>
    </w:lvl>
    <w:lvl w:ilvl="2">
      <w:start w:val="1"/>
      <w:numFmt w:val="decimal"/>
      <w:pStyle w:val="level40"/>
      <w:lvlText w:val="%1.%2.%3."/>
      <w:lvlJc w:val="left"/>
      <w:pPr>
        <w:ind w:left="1224"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9">
    <w:nsid w:val="58A73A84"/>
    <w:multiLevelType w:val="multilevel"/>
    <w:tmpl w:val="D99844A6"/>
    <w:lvl w:ilvl="0">
      <w:start w:val="1"/>
      <w:numFmt w:val="decimal"/>
      <w:pStyle w:val="level10"/>
      <w:lvlText w:val="%1."/>
      <w:lvlJc w:val="left"/>
      <w:pPr>
        <w:tabs>
          <w:tab w:val="num" w:pos="720"/>
        </w:tabs>
        <w:ind w:left="720" w:hanging="720"/>
      </w:pPr>
    </w:lvl>
    <w:lvl w:ilvl="1">
      <w:start w:val="1"/>
      <w:numFmt w:val="decimal"/>
      <w:lvlText w:val="%1.%2"/>
      <w:lvlJc w:val="left"/>
      <w:pPr>
        <w:tabs>
          <w:tab w:val="num" w:pos="1440"/>
        </w:tabs>
        <w:ind w:left="1440" w:hanging="1440"/>
      </w:pPr>
    </w:lvl>
    <w:lvl w:ilvl="2">
      <w:start w:val="1"/>
      <w:numFmt w:val="decimal"/>
      <w:pStyle w:val="level30"/>
      <w:lvlText w:val="%1.%2.%3"/>
      <w:lvlJc w:val="left"/>
      <w:pPr>
        <w:tabs>
          <w:tab w:val="num" w:pos="2160"/>
        </w:tabs>
        <w:ind w:left="2160" w:hanging="2160"/>
      </w:pPr>
    </w:lvl>
    <w:lvl w:ilvl="3">
      <w:start w:val="1"/>
      <w:numFmt w:val="decimal"/>
      <w:lvlText w:val="%1.%2.%3.%4"/>
      <w:lvlJc w:val="left"/>
      <w:pPr>
        <w:tabs>
          <w:tab w:val="num" w:pos="2880"/>
        </w:tabs>
        <w:ind w:left="2880" w:hanging="2880"/>
      </w:pPr>
    </w:lvl>
    <w:lvl w:ilvl="4">
      <w:start w:val="1"/>
      <w:numFmt w:val="decimal"/>
      <w:pStyle w:val="level5"/>
      <w:lvlText w:val="%1.%2.%3.%4.%5"/>
      <w:lvlJc w:val="left"/>
      <w:pPr>
        <w:tabs>
          <w:tab w:val="num" w:pos="3600"/>
        </w:tabs>
        <w:ind w:left="3600" w:hanging="3600"/>
      </w:pPr>
    </w:lvl>
    <w:lvl w:ilvl="5">
      <w:start w:val="1"/>
      <w:numFmt w:val="decimal"/>
      <w:pStyle w:val="level6"/>
      <w:lvlText w:val="%1.%2.%3.%4.%5.%6"/>
      <w:lvlJc w:val="left"/>
      <w:pPr>
        <w:tabs>
          <w:tab w:val="num" w:pos="4320"/>
        </w:tabs>
        <w:ind w:left="4320" w:hanging="4320"/>
      </w:pPr>
    </w:lvl>
    <w:lvl w:ilvl="6">
      <w:start w:val="1"/>
      <w:numFmt w:val="decimal"/>
      <w:pStyle w:val="level7"/>
      <w:lvlText w:val="%1.%2.%3.%4.%5.%6.%7"/>
      <w:lvlJc w:val="left"/>
      <w:pPr>
        <w:tabs>
          <w:tab w:val="num" w:pos="5040"/>
        </w:tabs>
        <w:ind w:left="5040" w:hanging="50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0">
    <w:nsid w:val="5E077CF7"/>
    <w:multiLevelType w:val="hybridMultilevel"/>
    <w:tmpl w:val="D5F813FA"/>
    <w:lvl w:ilvl="0" w:tplc="826CEC10">
      <w:start w:val="1"/>
      <w:numFmt w:val="upperLetter"/>
      <w:pStyle w:val="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A61A9B"/>
    <w:multiLevelType w:val="multilevel"/>
    <w:tmpl w:val="EE40C358"/>
    <w:lvl w:ilvl="0">
      <w:start w:val="1"/>
      <w:numFmt w:val="upperLetter"/>
      <w:lvlText w:val="%1."/>
      <w:lvlJc w:val="left"/>
      <w:pPr>
        <w:tabs>
          <w:tab w:val="num" w:pos="720"/>
        </w:tabs>
        <w:ind w:left="720" w:hanging="720"/>
      </w:pPr>
      <w:rPr>
        <w:rFonts w:ascii="Univers" w:hAnsi="Univers" w:hint="default"/>
        <w:b w:val="0"/>
        <w:i w:val="0"/>
        <w:sz w:val="24"/>
      </w:rPr>
    </w:lvl>
    <w:lvl w:ilvl="1">
      <w:start w:val="1"/>
      <w:numFmt w:val="decimal"/>
      <w:lvlText w:val="%1.%2"/>
      <w:lvlJc w:val="left"/>
      <w:pPr>
        <w:tabs>
          <w:tab w:val="num" w:pos="1440"/>
        </w:tabs>
        <w:ind w:left="1440" w:hanging="1440"/>
      </w:pPr>
    </w:lvl>
    <w:lvl w:ilvl="2">
      <w:start w:val="1"/>
      <w:numFmt w:val="decimal"/>
      <w:pStyle w:val="Clause4"/>
      <w:lvlText w:val="%1.%2.%3"/>
      <w:lvlJc w:val="left"/>
      <w:pPr>
        <w:tabs>
          <w:tab w:val="num" w:pos="2160"/>
        </w:tabs>
        <w:ind w:left="2160" w:hanging="2160"/>
      </w:pPr>
    </w:lvl>
    <w:lvl w:ilvl="3">
      <w:start w:val="1"/>
      <w:numFmt w:val="decimal"/>
      <w:pStyle w:val="Clause4"/>
      <w:lvlText w:val="%1.%2.%3.%4"/>
      <w:lvlJc w:val="left"/>
      <w:pPr>
        <w:tabs>
          <w:tab w:val="num" w:pos="2880"/>
        </w:tabs>
        <w:ind w:left="2880" w:hanging="2880"/>
      </w:pPr>
      <w:rPr>
        <w:rFonts w:ascii="Univers" w:hAnsi="Univer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3600"/>
      </w:pPr>
    </w:lvl>
    <w:lvl w:ilvl="5">
      <w:start w:val="1"/>
      <w:numFmt w:val="decimal"/>
      <w:lvlText w:val="%1.%2.%3.%4.%5.%6"/>
      <w:lvlJc w:val="left"/>
      <w:pPr>
        <w:tabs>
          <w:tab w:val="num" w:pos="4320"/>
        </w:tabs>
        <w:ind w:left="4320" w:hanging="4320"/>
      </w:pPr>
    </w:lvl>
    <w:lvl w:ilvl="6">
      <w:start w:val="1"/>
      <w:numFmt w:val="decimal"/>
      <w:lvlText w:val="%1.%2.%3.%4.%5.%6.%7"/>
      <w:lvlJc w:val="left"/>
      <w:pPr>
        <w:tabs>
          <w:tab w:val="num" w:pos="5040"/>
        </w:tabs>
        <w:ind w:left="5040" w:hanging="5040"/>
      </w:pPr>
    </w:lvl>
    <w:lvl w:ilvl="7">
      <w:start w:val="1"/>
      <w:numFmt w:val="decimal"/>
      <w:lvlText w:val="%1.%2.%3.%4.%5.%6.%7.%8"/>
      <w:lvlJc w:val="left"/>
      <w:pPr>
        <w:tabs>
          <w:tab w:val="num" w:pos="5760"/>
        </w:tabs>
        <w:ind w:left="5760" w:hanging="5760"/>
      </w:pPr>
    </w:lvl>
    <w:lvl w:ilvl="8">
      <w:start w:val="1"/>
      <w:numFmt w:val="decimal"/>
      <w:lvlText w:val="%1.%2.%3.%4.%5.%6.%7.%8.%9"/>
      <w:lvlJc w:val="left"/>
      <w:pPr>
        <w:tabs>
          <w:tab w:val="num" w:pos="6480"/>
        </w:tabs>
        <w:ind w:left="6480" w:hanging="6480"/>
      </w:pPr>
    </w:lvl>
  </w:abstractNum>
  <w:abstractNum w:abstractNumId="12">
    <w:nsid w:val="64A61304"/>
    <w:multiLevelType w:val="multilevel"/>
    <w:tmpl w:val="104A3CB6"/>
    <w:lvl w:ilvl="0">
      <w:start w:val="1"/>
      <w:numFmt w:val="decimal"/>
      <w:pStyle w:val="WLGLevel1"/>
      <w:lvlText w:val="%1."/>
      <w:lvlJc w:val="left"/>
      <w:pPr>
        <w:tabs>
          <w:tab w:val="num" w:pos="648"/>
        </w:tabs>
        <w:ind w:left="648" w:hanging="648"/>
      </w:pPr>
      <w:rPr>
        <w:rFonts w:hint="default"/>
        <w:b w:val="0"/>
        <w:i w:val="0"/>
      </w:rPr>
    </w:lvl>
    <w:lvl w:ilvl="1">
      <w:start w:val="1"/>
      <w:numFmt w:val="decimal"/>
      <w:pStyle w:val="WLGLevel2"/>
      <w:lvlText w:val="%1.%2"/>
      <w:lvlJc w:val="left"/>
      <w:pPr>
        <w:tabs>
          <w:tab w:val="num" w:pos="1584"/>
        </w:tabs>
        <w:ind w:left="1584" w:hanging="936"/>
      </w:pPr>
      <w:rPr>
        <w:rFonts w:hint="default"/>
        <w:b w:val="0"/>
        <w:i w:val="0"/>
      </w:rPr>
    </w:lvl>
    <w:lvl w:ilvl="2">
      <w:start w:val="1"/>
      <w:numFmt w:val="decimal"/>
      <w:pStyle w:val="WLGLevel3"/>
      <w:lvlText w:val="%1.%2.%3"/>
      <w:lvlJc w:val="left"/>
      <w:pPr>
        <w:tabs>
          <w:tab w:val="num" w:pos="2664"/>
        </w:tabs>
        <w:ind w:left="2664" w:hanging="108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3">
    <w:nsid w:val="6BD17F80"/>
    <w:multiLevelType w:val="hybridMultilevel"/>
    <w:tmpl w:val="48A8BF86"/>
    <w:lvl w:ilvl="0" w:tplc="605ABA1C">
      <w:start w:val="1"/>
      <w:numFmt w:val="decimal"/>
      <w:pStyle w:val="level1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4C0496"/>
    <w:multiLevelType w:val="multilevel"/>
    <w:tmpl w:val="D6E00B6E"/>
    <w:lvl w:ilvl="0">
      <w:start w:val="1"/>
      <w:numFmt w:val="decimal"/>
      <w:pStyle w:val="ParaLv1"/>
      <w:lvlText w:val="%1."/>
      <w:lvlJc w:val="left"/>
      <w:pPr>
        <w:ind w:left="360" w:hanging="360"/>
      </w:pPr>
      <w:rPr>
        <w:b w:val="0"/>
      </w:r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6"/>
  </w:num>
  <w:num w:numId="3">
    <w:abstractNumId w:val="1"/>
  </w:num>
  <w:num w:numId="4">
    <w:abstractNumId w:val="8"/>
  </w:num>
  <w:num w:numId="5">
    <w:abstractNumId w:val="15"/>
  </w:num>
  <w:num w:numId="6">
    <w:abstractNumId w:val="7"/>
  </w:num>
  <w:num w:numId="7">
    <w:abstractNumId w:val="3"/>
  </w:num>
  <w:num w:numId="8">
    <w:abstractNumId w:val="14"/>
  </w:num>
  <w:num w:numId="9">
    <w:abstractNumId w:val="0"/>
  </w:num>
  <w:num w:numId="10">
    <w:abstractNumId w:val="11"/>
  </w:num>
  <w:num w:numId="11">
    <w:abstractNumId w:val="9"/>
  </w:num>
  <w:num w:numId="12">
    <w:abstractNumId w:val="4"/>
  </w:num>
  <w:num w:numId="13">
    <w:abstractNumId w:val="12"/>
  </w:num>
  <w:num w:numId="14">
    <w:abstractNumId w:val="5"/>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017D3"/>
    <w:rsid w:val="0000208F"/>
    <w:rsid w:val="000374BD"/>
    <w:rsid w:val="0004211E"/>
    <w:rsid w:val="00045763"/>
    <w:rsid w:val="000464BE"/>
    <w:rsid w:val="000513BF"/>
    <w:rsid w:val="00057118"/>
    <w:rsid w:val="00090DC1"/>
    <w:rsid w:val="000A38A2"/>
    <w:rsid w:val="000A3B93"/>
    <w:rsid w:val="000B66AC"/>
    <w:rsid w:val="00113742"/>
    <w:rsid w:val="00113EEB"/>
    <w:rsid w:val="001169C5"/>
    <w:rsid w:val="00126822"/>
    <w:rsid w:val="001414C1"/>
    <w:rsid w:val="00160E0D"/>
    <w:rsid w:val="00167A0B"/>
    <w:rsid w:val="001D3FBD"/>
    <w:rsid w:val="001E2697"/>
    <w:rsid w:val="00207926"/>
    <w:rsid w:val="002117A4"/>
    <w:rsid w:val="00237065"/>
    <w:rsid w:val="00245037"/>
    <w:rsid w:val="002A2B9C"/>
    <w:rsid w:val="002A6EB8"/>
    <w:rsid w:val="002C3752"/>
    <w:rsid w:val="002D7284"/>
    <w:rsid w:val="002F5BC6"/>
    <w:rsid w:val="00315252"/>
    <w:rsid w:val="0032119D"/>
    <w:rsid w:val="00323F4C"/>
    <w:rsid w:val="00331F11"/>
    <w:rsid w:val="00334809"/>
    <w:rsid w:val="003372D5"/>
    <w:rsid w:val="0035520F"/>
    <w:rsid w:val="00377A22"/>
    <w:rsid w:val="00383D1C"/>
    <w:rsid w:val="0039420D"/>
    <w:rsid w:val="003A51A3"/>
    <w:rsid w:val="003D0282"/>
    <w:rsid w:val="003D63FC"/>
    <w:rsid w:val="00407B08"/>
    <w:rsid w:val="00414B92"/>
    <w:rsid w:val="0044622C"/>
    <w:rsid w:val="0045582F"/>
    <w:rsid w:val="00456FA9"/>
    <w:rsid w:val="004571F1"/>
    <w:rsid w:val="004A5B7F"/>
    <w:rsid w:val="004D55A8"/>
    <w:rsid w:val="004D651D"/>
    <w:rsid w:val="004E41B6"/>
    <w:rsid w:val="004E44ED"/>
    <w:rsid w:val="00503815"/>
    <w:rsid w:val="00511BBA"/>
    <w:rsid w:val="00523DCA"/>
    <w:rsid w:val="005266A1"/>
    <w:rsid w:val="00530ED7"/>
    <w:rsid w:val="00563F3E"/>
    <w:rsid w:val="00582B78"/>
    <w:rsid w:val="00584335"/>
    <w:rsid w:val="00595286"/>
    <w:rsid w:val="005A0267"/>
    <w:rsid w:val="005A2434"/>
    <w:rsid w:val="005A2E08"/>
    <w:rsid w:val="005E6124"/>
    <w:rsid w:val="005F50BF"/>
    <w:rsid w:val="00602723"/>
    <w:rsid w:val="00613FE8"/>
    <w:rsid w:val="006224E5"/>
    <w:rsid w:val="0062291F"/>
    <w:rsid w:val="0062359C"/>
    <w:rsid w:val="00631C41"/>
    <w:rsid w:val="006366E3"/>
    <w:rsid w:val="006616E5"/>
    <w:rsid w:val="0067164E"/>
    <w:rsid w:val="00675F19"/>
    <w:rsid w:val="0069782C"/>
    <w:rsid w:val="00697DD7"/>
    <w:rsid w:val="006A00B6"/>
    <w:rsid w:val="006C3948"/>
    <w:rsid w:val="006D2E77"/>
    <w:rsid w:val="007216BF"/>
    <w:rsid w:val="00722B1F"/>
    <w:rsid w:val="00732694"/>
    <w:rsid w:val="00745947"/>
    <w:rsid w:val="00750EF0"/>
    <w:rsid w:val="0075475C"/>
    <w:rsid w:val="007614B5"/>
    <w:rsid w:val="007703BA"/>
    <w:rsid w:val="00772D6C"/>
    <w:rsid w:val="007838BC"/>
    <w:rsid w:val="00784EEB"/>
    <w:rsid w:val="007912CE"/>
    <w:rsid w:val="007B14DD"/>
    <w:rsid w:val="007C57B1"/>
    <w:rsid w:val="007F02F1"/>
    <w:rsid w:val="00803F71"/>
    <w:rsid w:val="00810510"/>
    <w:rsid w:val="0085493C"/>
    <w:rsid w:val="00864DE1"/>
    <w:rsid w:val="00880CB2"/>
    <w:rsid w:val="00897E1D"/>
    <w:rsid w:val="008B2E9B"/>
    <w:rsid w:val="008C2A94"/>
    <w:rsid w:val="00900064"/>
    <w:rsid w:val="00921BED"/>
    <w:rsid w:val="00937D26"/>
    <w:rsid w:val="00951327"/>
    <w:rsid w:val="00961A76"/>
    <w:rsid w:val="0097565A"/>
    <w:rsid w:val="009845B6"/>
    <w:rsid w:val="009948E9"/>
    <w:rsid w:val="009B4A5F"/>
    <w:rsid w:val="009B61E1"/>
    <w:rsid w:val="009C0601"/>
    <w:rsid w:val="009C4DEC"/>
    <w:rsid w:val="009D6230"/>
    <w:rsid w:val="009E11DF"/>
    <w:rsid w:val="009E5EA6"/>
    <w:rsid w:val="00A009B7"/>
    <w:rsid w:val="00A173DA"/>
    <w:rsid w:val="00A326BA"/>
    <w:rsid w:val="00A414A7"/>
    <w:rsid w:val="00A83D9A"/>
    <w:rsid w:val="00AC2EBB"/>
    <w:rsid w:val="00AE011D"/>
    <w:rsid w:val="00AF401B"/>
    <w:rsid w:val="00B00271"/>
    <w:rsid w:val="00B239C0"/>
    <w:rsid w:val="00B40203"/>
    <w:rsid w:val="00B47773"/>
    <w:rsid w:val="00B56867"/>
    <w:rsid w:val="00B767A4"/>
    <w:rsid w:val="00B948AF"/>
    <w:rsid w:val="00B967D7"/>
    <w:rsid w:val="00BA26F8"/>
    <w:rsid w:val="00BB3897"/>
    <w:rsid w:val="00BD17F1"/>
    <w:rsid w:val="00BE334B"/>
    <w:rsid w:val="00BE3AA8"/>
    <w:rsid w:val="00BF672B"/>
    <w:rsid w:val="00C03CD3"/>
    <w:rsid w:val="00C15987"/>
    <w:rsid w:val="00C405BA"/>
    <w:rsid w:val="00C42B23"/>
    <w:rsid w:val="00C53935"/>
    <w:rsid w:val="00C57658"/>
    <w:rsid w:val="00C77038"/>
    <w:rsid w:val="00C83782"/>
    <w:rsid w:val="00C853FE"/>
    <w:rsid w:val="00C87247"/>
    <w:rsid w:val="00C92FB0"/>
    <w:rsid w:val="00CB7FFB"/>
    <w:rsid w:val="00CE3ACF"/>
    <w:rsid w:val="00CF0C79"/>
    <w:rsid w:val="00CF63E7"/>
    <w:rsid w:val="00D06735"/>
    <w:rsid w:val="00D17A5C"/>
    <w:rsid w:val="00D21585"/>
    <w:rsid w:val="00D24017"/>
    <w:rsid w:val="00D26835"/>
    <w:rsid w:val="00D47217"/>
    <w:rsid w:val="00D5427D"/>
    <w:rsid w:val="00D5483A"/>
    <w:rsid w:val="00D73131"/>
    <w:rsid w:val="00D774C5"/>
    <w:rsid w:val="00D8095A"/>
    <w:rsid w:val="00DB3937"/>
    <w:rsid w:val="00DB6278"/>
    <w:rsid w:val="00DD3104"/>
    <w:rsid w:val="00DF2E55"/>
    <w:rsid w:val="00E11637"/>
    <w:rsid w:val="00E35A5B"/>
    <w:rsid w:val="00E36A52"/>
    <w:rsid w:val="00E40FE0"/>
    <w:rsid w:val="00E513FF"/>
    <w:rsid w:val="00E610C8"/>
    <w:rsid w:val="00E7414C"/>
    <w:rsid w:val="00E81C4C"/>
    <w:rsid w:val="00E82D47"/>
    <w:rsid w:val="00EB0F11"/>
    <w:rsid w:val="00EB7CEF"/>
    <w:rsid w:val="00EC7CEF"/>
    <w:rsid w:val="00ED2AC9"/>
    <w:rsid w:val="00ED372F"/>
    <w:rsid w:val="00EE78B5"/>
    <w:rsid w:val="00F32E30"/>
    <w:rsid w:val="00F44AF4"/>
    <w:rsid w:val="00F64782"/>
    <w:rsid w:val="00F65A85"/>
    <w:rsid w:val="00F71521"/>
    <w:rsid w:val="00F719F8"/>
    <w:rsid w:val="00F80975"/>
    <w:rsid w:val="00FD3AF2"/>
    <w:rsid w:val="00FD6ED4"/>
    <w:rsid w:val="00FE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Heading2"/>
    <w:link w:val="Heading1Char"/>
    <w:qFormat/>
    <w:rsid w:val="002C3752"/>
    <w:pPr>
      <w:numPr>
        <w:numId w:val="9"/>
      </w:numPr>
      <w:spacing w:before="240" w:after="240" w:line="480" w:lineRule="auto"/>
      <w:jc w:val="both"/>
      <w:outlineLvl w:val="0"/>
    </w:pPr>
    <w:rPr>
      <w:szCs w:val="20"/>
      <w:lang w:val="en-GB" w:eastAsia="en-US"/>
    </w:rPr>
  </w:style>
  <w:style w:type="paragraph" w:styleId="Heading2">
    <w:name w:val="heading 2"/>
    <w:basedOn w:val="Normal"/>
    <w:link w:val="Heading2Char"/>
    <w:qFormat/>
    <w:rsid w:val="002C3752"/>
    <w:pPr>
      <w:numPr>
        <w:ilvl w:val="1"/>
        <w:numId w:val="9"/>
      </w:numPr>
      <w:spacing w:before="240" w:after="240" w:line="480" w:lineRule="auto"/>
      <w:jc w:val="both"/>
      <w:outlineLvl w:val="1"/>
    </w:pPr>
    <w:rPr>
      <w:kern w:val="0"/>
      <w:szCs w:val="20"/>
      <w:lang w:eastAsia="en-US"/>
    </w:rPr>
  </w:style>
  <w:style w:type="paragraph" w:styleId="Heading3">
    <w:name w:val="heading 3"/>
    <w:basedOn w:val="Normal"/>
    <w:link w:val="Heading3Char"/>
    <w:qFormat/>
    <w:rsid w:val="002C3752"/>
    <w:pPr>
      <w:numPr>
        <w:ilvl w:val="2"/>
        <w:numId w:val="9"/>
      </w:numPr>
      <w:spacing w:before="240" w:after="240" w:line="480" w:lineRule="auto"/>
      <w:jc w:val="both"/>
      <w:outlineLvl w:val="2"/>
    </w:pPr>
    <w:rPr>
      <w:kern w:val="0"/>
      <w:szCs w:val="20"/>
      <w:lang w:val="en-GB" w:eastAsia="en-US"/>
    </w:rPr>
  </w:style>
  <w:style w:type="paragraph" w:styleId="Heading4">
    <w:name w:val="heading 4"/>
    <w:basedOn w:val="Normal"/>
    <w:link w:val="Heading4Char"/>
    <w:qFormat/>
    <w:rsid w:val="002C3752"/>
    <w:pPr>
      <w:numPr>
        <w:ilvl w:val="3"/>
        <w:numId w:val="9"/>
      </w:numPr>
      <w:spacing w:before="240" w:after="240" w:line="480" w:lineRule="auto"/>
      <w:jc w:val="both"/>
      <w:outlineLvl w:val="3"/>
    </w:pPr>
    <w:rPr>
      <w:kern w:val="0"/>
      <w:szCs w:val="20"/>
      <w:lang w:val="en-GB" w:eastAsia="en-US"/>
    </w:rPr>
  </w:style>
  <w:style w:type="paragraph" w:styleId="Heading5">
    <w:name w:val="heading 5"/>
    <w:basedOn w:val="Normal"/>
    <w:link w:val="Heading5Char"/>
    <w:qFormat/>
    <w:rsid w:val="002C3752"/>
    <w:pPr>
      <w:numPr>
        <w:ilvl w:val="4"/>
        <w:numId w:val="9"/>
      </w:numPr>
      <w:spacing w:before="240" w:after="240" w:line="480" w:lineRule="auto"/>
      <w:jc w:val="both"/>
      <w:outlineLvl w:val="4"/>
    </w:pPr>
    <w:rPr>
      <w:kern w:val="0"/>
      <w:szCs w:val="20"/>
      <w:lang w:val="en-GB" w:eastAsia="en-US"/>
    </w:rPr>
  </w:style>
  <w:style w:type="paragraph" w:styleId="Heading6">
    <w:name w:val="heading 6"/>
    <w:basedOn w:val="Normal"/>
    <w:link w:val="Heading6Char"/>
    <w:qFormat/>
    <w:rsid w:val="002C3752"/>
    <w:pPr>
      <w:spacing w:before="240" w:after="60" w:line="480" w:lineRule="auto"/>
      <w:jc w:val="both"/>
      <w:outlineLvl w:val="5"/>
    </w:pPr>
    <w:rPr>
      <w:i/>
      <w:kern w:val="0"/>
      <w:szCs w:val="20"/>
      <w:lang w:val="en-GB" w:eastAsia="en-US"/>
    </w:rPr>
  </w:style>
  <w:style w:type="paragraph" w:styleId="Heading7">
    <w:name w:val="heading 7"/>
    <w:basedOn w:val="Normal"/>
    <w:link w:val="Heading7Char"/>
    <w:qFormat/>
    <w:rsid w:val="002C3752"/>
    <w:pPr>
      <w:spacing w:before="240" w:after="60" w:line="480" w:lineRule="auto"/>
      <w:jc w:val="both"/>
      <w:outlineLvl w:val="6"/>
    </w:pPr>
    <w:rPr>
      <w:kern w:val="0"/>
      <w:szCs w:val="20"/>
      <w:lang w:val="en-GB" w:eastAsia="en-US"/>
    </w:rPr>
  </w:style>
  <w:style w:type="paragraph" w:styleId="Heading8">
    <w:name w:val="heading 8"/>
    <w:basedOn w:val="Normal"/>
    <w:link w:val="Heading8Char"/>
    <w:qFormat/>
    <w:rsid w:val="002C3752"/>
    <w:pPr>
      <w:spacing w:before="240" w:after="60" w:line="480" w:lineRule="auto"/>
      <w:jc w:val="both"/>
      <w:outlineLvl w:val="7"/>
    </w:pPr>
    <w:rPr>
      <w:i/>
      <w:kern w:val="0"/>
      <w:szCs w:val="20"/>
      <w:lang w:val="en-GB" w:eastAsia="en-US"/>
    </w:rPr>
  </w:style>
  <w:style w:type="paragraph" w:styleId="Heading9">
    <w:name w:val="heading 9"/>
    <w:basedOn w:val="Normal"/>
    <w:next w:val="Normal"/>
    <w:link w:val="Heading9Char"/>
    <w:qFormat/>
    <w:rsid w:val="002C3752"/>
    <w:pPr>
      <w:spacing w:before="240" w:after="60" w:line="480" w:lineRule="auto"/>
      <w:jc w:val="both"/>
      <w:outlineLvl w:val="8"/>
    </w:pPr>
    <w:rPr>
      <w:i/>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1">
    <w:name w:val="level1"/>
    <w:basedOn w:val="Normal"/>
    <w:rsid w:val="001E2697"/>
    <w:pPr>
      <w:numPr>
        <w:numId w:val="1"/>
      </w:numPr>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Footnote Text Char Char1 Char,fn,Char"/>
    <w:basedOn w:val="Normal"/>
    <w:link w:val="FootnoteTextChar"/>
    <w:uiPriority w:val="99"/>
    <w:unhideWhenUsed/>
    <w:qFormat/>
    <w:rsid w:val="00383D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Footnotes refss,(NECG) Footnote Reference,Bow_Footnote Reference,BL_Footnote Reference,Appel note de bas de page,Footnote Reference + Superscript"/>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customStyle="1" w:styleId="Heading1Char">
    <w:name w:val="Heading 1 Char"/>
    <w:basedOn w:val="DefaultParagraphFont"/>
    <w:link w:val="Heading1"/>
    <w:rsid w:val="002C3752"/>
    <w:rPr>
      <w:rFonts w:ascii="Arial" w:eastAsia="Times New Roman" w:hAnsi="Arial" w:cs="Times New Roman"/>
      <w:kern w:val="28"/>
      <w:sz w:val="24"/>
      <w:szCs w:val="20"/>
    </w:rPr>
  </w:style>
  <w:style w:type="character" w:customStyle="1" w:styleId="Heading2Char">
    <w:name w:val="Heading 2 Char"/>
    <w:basedOn w:val="DefaultParagraphFont"/>
    <w:link w:val="Heading2"/>
    <w:rsid w:val="002C3752"/>
    <w:rPr>
      <w:rFonts w:ascii="Arial" w:eastAsia="Times New Roman" w:hAnsi="Arial" w:cs="Times New Roman"/>
      <w:sz w:val="24"/>
      <w:szCs w:val="20"/>
      <w:lang w:val="en-ZA"/>
    </w:rPr>
  </w:style>
  <w:style w:type="character" w:customStyle="1" w:styleId="Heading3Char">
    <w:name w:val="Heading 3 Char"/>
    <w:basedOn w:val="DefaultParagraphFont"/>
    <w:link w:val="Heading3"/>
    <w:rsid w:val="002C3752"/>
    <w:rPr>
      <w:rFonts w:ascii="Arial" w:eastAsia="Times New Roman" w:hAnsi="Arial" w:cs="Times New Roman"/>
      <w:sz w:val="24"/>
      <w:szCs w:val="20"/>
    </w:rPr>
  </w:style>
  <w:style w:type="character" w:customStyle="1" w:styleId="Heading4Char">
    <w:name w:val="Heading 4 Char"/>
    <w:basedOn w:val="DefaultParagraphFont"/>
    <w:link w:val="Heading4"/>
    <w:rsid w:val="002C3752"/>
    <w:rPr>
      <w:rFonts w:ascii="Arial" w:eastAsia="Times New Roman" w:hAnsi="Arial" w:cs="Times New Roman"/>
      <w:sz w:val="24"/>
      <w:szCs w:val="20"/>
    </w:rPr>
  </w:style>
  <w:style w:type="character" w:customStyle="1" w:styleId="Heading5Char">
    <w:name w:val="Heading 5 Char"/>
    <w:basedOn w:val="DefaultParagraphFont"/>
    <w:link w:val="Heading5"/>
    <w:rsid w:val="002C3752"/>
    <w:rPr>
      <w:rFonts w:ascii="Arial" w:eastAsia="Times New Roman" w:hAnsi="Arial" w:cs="Times New Roman"/>
      <w:sz w:val="24"/>
      <w:szCs w:val="20"/>
    </w:rPr>
  </w:style>
  <w:style w:type="character" w:customStyle="1" w:styleId="Heading6Char">
    <w:name w:val="Heading 6 Char"/>
    <w:basedOn w:val="DefaultParagraphFont"/>
    <w:link w:val="Heading6"/>
    <w:rsid w:val="002C3752"/>
    <w:rPr>
      <w:rFonts w:ascii="Arial" w:eastAsia="Times New Roman" w:hAnsi="Arial" w:cs="Times New Roman"/>
      <w:i/>
      <w:sz w:val="24"/>
      <w:szCs w:val="20"/>
    </w:rPr>
  </w:style>
  <w:style w:type="character" w:customStyle="1" w:styleId="Heading7Char">
    <w:name w:val="Heading 7 Char"/>
    <w:basedOn w:val="DefaultParagraphFont"/>
    <w:link w:val="Heading7"/>
    <w:rsid w:val="002C3752"/>
    <w:rPr>
      <w:rFonts w:ascii="Arial" w:eastAsia="Times New Roman" w:hAnsi="Arial" w:cs="Times New Roman"/>
      <w:sz w:val="24"/>
      <w:szCs w:val="20"/>
    </w:rPr>
  </w:style>
  <w:style w:type="character" w:customStyle="1" w:styleId="Heading8Char">
    <w:name w:val="Heading 8 Char"/>
    <w:basedOn w:val="DefaultParagraphFont"/>
    <w:link w:val="Heading8"/>
    <w:rsid w:val="002C3752"/>
    <w:rPr>
      <w:rFonts w:ascii="Arial" w:eastAsia="Times New Roman" w:hAnsi="Arial" w:cs="Times New Roman"/>
      <w:i/>
      <w:sz w:val="24"/>
      <w:szCs w:val="20"/>
    </w:rPr>
  </w:style>
  <w:style w:type="character" w:customStyle="1" w:styleId="Heading9Char">
    <w:name w:val="Heading 9 Char"/>
    <w:basedOn w:val="DefaultParagraphFont"/>
    <w:link w:val="Heading9"/>
    <w:rsid w:val="002C3752"/>
    <w:rPr>
      <w:rFonts w:ascii="Arial" w:eastAsia="Times New Roman" w:hAnsi="Arial" w:cs="Times New Roman"/>
      <w:i/>
      <w:sz w:val="24"/>
      <w:szCs w:val="20"/>
    </w:rPr>
  </w:style>
  <w:style w:type="paragraph" w:customStyle="1" w:styleId="MainHead">
    <w:name w:val="Main Head"/>
    <w:basedOn w:val="Normal"/>
    <w:next w:val="Normal"/>
    <w:rsid w:val="002C3752"/>
    <w:pPr>
      <w:spacing w:before="240" w:after="240" w:line="480" w:lineRule="auto"/>
      <w:jc w:val="center"/>
    </w:pPr>
    <w:rPr>
      <w:b/>
      <w:caps/>
      <w:kern w:val="0"/>
      <w:szCs w:val="20"/>
      <w:u w:val="single"/>
      <w:lang w:val="en-GB" w:eastAsia="en-US"/>
    </w:rPr>
  </w:style>
  <w:style w:type="paragraph" w:customStyle="1" w:styleId="TramHead">
    <w:name w:val="Tram Head"/>
    <w:basedOn w:val="Normal"/>
    <w:rsid w:val="002C3752"/>
    <w:pPr>
      <w:keepNext/>
      <w:pBdr>
        <w:top w:val="single" w:sz="6" w:space="18" w:color="auto"/>
        <w:bottom w:val="single" w:sz="6" w:space="18" w:color="auto"/>
      </w:pBdr>
      <w:spacing w:before="240" w:after="480"/>
      <w:jc w:val="center"/>
    </w:pPr>
    <w:rPr>
      <w:b/>
      <w:caps/>
      <w:szCs w:val="20"/>
      <w:lang w:val="en-GB" w:eastAsia="en-US"/>
    </w:rPr>
  </w:style>
  <w:style w:type="paragraph" w:styleId="Footer">
    <w:name w:val="footer"/>
    <w:basedOn w:val="Normal"/>
    <w:link w:val="FooterChar"/>
    <w:rsid w:val="002C3752"/>
    <w:pPr>
      <w:tabs>
        <w:tab w:val="center" w:pos="4320"/>
        <w:tab w:val="right" w:pos="8640"/>
      </w:tabs>
      <w:spacing w:before="240" w:after="240" w:line="480" w:lineRule="auto"/>
      <w:jc w:val="both"/>
    </w:pPr>
    <w:rPr>
      <w:kern w:val="0"/>
      <w:szCs w:val="20"/>
      <w:lang w:val="en-GB" w:eastAsia="en-US"/>
    </w:rPr>
  </w:style>
  <w:style w:type="character" w:customStyle="1" w:styleId="FooterChar">
    <w:name w:val="Footer Char"/>
    <w:basedOn w:val="DefaultParagraphFont"/>
    <w:link w:val="Footer"/>
    <w:rsid w:val="002C3752"/>
    <w:rPr>
      <w:rFonts w:ascii="Arial" w:eastAsia="Times New Roman" w:hAnsi="Arial" w:cs="Times New Roman"/>
      <w:sz w:val="24"/>
      <w:szCs w:val="20"/>
    </w:rPr>
  </w:style>
  <w:style w:type="character" w:styleId="PageNumber">
    <w:name w:val="page number"/>
    <w:rsid w:val="002C3752"/>
    <w:rPr>
      <w:rFonts w:ascii="Times New Roman" w:hAnsi="Times New Roman"/>
      <w:i/>
      <w:smallCaps/>
      <w:sz w:val="22"/>
    </w:rPr>
  </w:style>
  <w:style w:type="paragraph" w:customStyle="1" w:styleId="Normal1">
    <w:name w:val="Normal1"/>
    <w:basedOn w:val="Normal"/>
    <w:rsid w:val="002C3752"/>
    <w:pPr>
      <w:spacing w:before="720" w:after="240" w:line="480" w:lineRule="auto"/>
    </w:pPr>
    <w:rPr>
      <w:kern w:val="0"/>
      <w:szCs w:val="20"/>
      <w:lang w:val="en-GB" w:eastAsia="en-US"/>
    </w:rPr>
  </w:style>
  <w:style w:type="paragraph" w:styleId="BodyTextIndent">
    <w:name w:val="Body Text Indent"/>
    <w:basedOn w:val="Normal"/>
    <w:link w:val="BodyTextIndentChar"/>
    <w:rsid w:val="002C3752"/>
    <w:pPr>
      <w:pBdr>
        <w:top w:val="single" w:sz="4" w:space="1" w:color="auto"/>
      </w:pBdr>
      <w:spacing w:before="240" w:after="240" w:line="480" w:lineRule="auto"/>
      <w:ind w:left="4254"/>
    </w:pPr>
    <w:rPr>
      <w:b/>
      <w:kern w:val="0"/>
      <w:szCs w:val="20"/>
      <w:lang w:val="en-GB" w:eastAsia="en-US"/>
    </w:rPr>
  </w:style>
  <w:style w:type="character" w:customStyle="1" w:styleId="BodyTextIndentChar">
    <w:name w:val="Body Text Indent Char"/>
    <w:basedOn w:val="DefaultParagraphFont"/>
    <w:link w:val="BodyTextIndent"/>
    <w:rsid w:val="002C3752"/>
    <w:rPr>
      <w:rFonts w:ascii="Arial" w:eastAsia="Times New Roman" w:hAnsi="Arial" w:cs="Times New Roman"/>
      <w:b/>
      <w:sz w:val="24"/>
      <w:szCs w:val="20"/>
    </w:rPr>
  </w:style>
  <w:style w:type="paragraph" w:customStyle="1" w:styleId="Style1">
    <w:name w:val="Style1"/>
    <w:basedOn w:val="Normal"/>
    <w:rsid w:val="002C3752"/>
    <w:pPr>
      <w:spacing w:before="240" w:after="240" w:line="480" w:lineRule="auto"/>
      <w:jc w:val="both"/>
    </w:pPr>
    <w:rPr>
      <w:kern w:val="0"/>
      <w:szCs w:val="20"/>
      <w:lang w:val="en-GB" w:eastAsia="en-US"/>
    </w:rPr>
  </w:style>
  <w:style w:type="paragraph" w:styleId="Title">
    <w:name w:val="Title"/>
    <w:basedOn w:val="Normal"/>
    <w:link w:val="TitleChar"/>
    <w:qFormat/>
    <w:rsid w:val="002C3752"/>
    <w:pPr>
      <w:jc w:val="center"/>
    </w:pPr>
    <w:rPr>
      <w:rFonts w:ascii="Univers" w:hAnsi="Univers"/>
      <w:b/>
      <w:bCs/>
      <w:kern w:val="0"/>
      <w:sz w:val="28"/>
      <w:lang w:val="en-GB" w:eastAsia="en-US"/>
    </w:rPr>
  </w:style>
  <w:style w:type="character" w:customStyle="1" w:styleId="TitleChar">
    <w:name w:val="Title Char"/>
    <w:basedOn w:val="DefaultParagraphFont"/>
    <w:link w:val="Title"/>
    <w:rsid w:val="002C3752"/>
    <w:rPr>
      <w:rFonts w:ascii="Univers" w:eastAsia="Times New Roman" w:hAnsi="Univers" w:cs="Times New Roman"/>
      <w:b/>
      <w:bCs/>
      <w:sz w:val="28"/>
      <w:szCs w:val="24"/>
    </w:rPr>
  </w:style>
  <w:style w:type="paragraph" w:customStyle="1" w:styleId="level10">
    <w:name w:val="level 1"/>
    <w:basedOn w:val="Normal"/>
    <w:next w:val="Normal"/>
    <w:rsid w:val="002C3752"/>
    <w:pPr>
      <w:widowControl w:val="0"/>
      <w:numPr>
        <w:numId w:val="11"/>
      </w:numPr>
      <w:tabs>
        <w:tab w:val="left" w:pos="1440"/>
        <w:tab w:val="left" w:pos="2160"/>
        <w:tab w:val="left" w:pos="2880"/>
        <w:tab w:val="left" w:pos="3600"/>
        <w:tab w:val="left" w:pos="4320"/>
        <w:tab w:val="left" w:pos="5040"/>
        <w:tab w:val="left" w:pos="5760"/>
        <w:tab w:val="right" w:pos="8640"/>
      </w:tabs>
      <w:spacing w:before="360" w:line="360" w:lineRule="auto"/>
      <w:ind w:right="-43"/>
      <w:jc w:val="both"/>
    </w:pPr>
    <w:rPr>
      <w:rFonts w:ascii="Univers" w:hAnsi="Univers"/>
      <w:kern w:val="0"/>
      <w:szCs w:val="20"/>
      <w:lang w:val="en-GB" w:eastAsia="en-US"/>
    </w:rPr>
  </w:style>
  <w:style w:type="paragraph" w:customStyle="1" w:styleId="level20">
    <w:name w:val="level2"/>
    <w:basedOn w:val="Heading4"/>
    <w:next w:val="Normal"/>
    <w:rsid w:val="002C3752"/>
    <w:pPr>
      <w:numPr>
        <w:ilvl w:val="1"/>
        <w:numId w:val="14"/>
      </w:numPr>
      <w:spacing w:after="60"/>
    </w:pPr>
    <w:rPr>
      <w:rFonts w:cs="Arial"/>
      <w:szCs w:val="24"/>
    </w:rPr>
  </w:style>
  <w:style w:type="paragraph" w:customStyle="1" w:styleId="level30">
    <w:name w:val="level3"/>
    <w:basedOn w:val="Heading3"/>
    <w:next w:val="Normal"/>
    <w:rsid w:val="002C3752"/>
    <w:pPr>
      <w:widowControl w:val="0"/>
      <w:numPr>
        <w:numId w:val="11"/>
      </w:numPr>
      <w:tabs>
        <w:tab w:val="right" w:pos="9000"/>
      </w:tabs>
      <w:spacing w:after="0" w:line="360" w:lineRule="auto"/>
    </w:pPr>
    <w:rPr>
      <w:rFonts w:ascii="Univers" w:hAnsi="Univers"/>
    </w:rPr>
  </w:style>
  <w:style w:type="paragraph" w:customStyle="1" w:styleId="level40">
    <w:name w:val="level4"/>
    <w:basedOn w:val="level20"/>
    <w:next w:val="Normal"/>
    <w:rsid w:val="002C3752"/>
    <w:pPr>
      <w:numPr>
        <w:ilvl w:val="2"/>
      </w:numPr>
      <w:spacing w:after="240"/>
    </w:pPr>
  </w:style>
  <w:style w:type="paragraph" w:customStyle="1" w:styleId="level5">
    <w:name w:val="level5"/>
    <w:basedOn w:val="Heading5"/>
    <w:next w:val="Normal"/>
    <w:rsid w:val="002C3752"/>
    <w:pPr>
      <w:keepNext/>
      <w:widowControl w:val="0"/>
      <w:numPr>
        <w:numId w:val="11"/>
      </w:numPr>
      <w:tabs>
        <w:tab w:val="left" w:pos="4320"/>
        <w:tab w:val="left" w:pos="5040"/>
        <w:tab w:val="left" w:pos="5760"/>
      </w:tabs>
      <w:spacing w:after="0" w:line="360" w:lineRule="auto"/>
    </w:pPr>
    <w:rPr>
      <w:rFonts w:ascii="Univers" w:hAnsi="Univers"/>
    </w:rPr>
  </w:style>
  <w:style w:type="paragraph" w:customStyle="1" w:styleId="level6">
    <w:name w:val="level6"/>
    <w:basedOn w:val="Heading6"/>
    <w:next w:val="Normal"/>
    <w:rsid w:val="002C3752"/>
    <w:pPr>
      <w:widowControl w:val="0"/>
      <w:numPr>
        <w:ilvl w:val="5"/>
        <w:numId w:val="11"/>
      </w:numPr>
      <w:tabs>
        <w:tab w:val="left" w:pos="5040"/>
        <w:tab w:val="left" w:pos="5760"/>
      </w:tabs>
      <w:spacing w:after="0" w:line="360" w:lineRule="auto"/>
    </w:pPr>
    <w:rPr>
      <w:rFonts w:ascii="Univers" w:hAnsi="Univers"/>
      <w:i w:val="0"/>
    </w:rPr>
  </w:style>
  <w:style w:type="paragraph" w:customStyle="1" w:styleId="level7">
    <w:name w:val="level7"/>
    <w:basedOn w:val="Heading7"/>
    <w:next w:val="Normal"/>
    <w:rsid w:val="002C3752"/>
    <w:pPr>
      <w:widowControl w:val="0"/>
      <w:numPr>
        <w:ilvl w:val="6"/>
        <w:numId w:val="11"/>
      </w:numPr>
      <w:tabs>
        <w:tab w:val="left" w:pos="5760"/>
      </w:tabs>
      <w:spacing w:after="0" w:line="360" w:lineRule="auto"/>
    </w:pPr>
    <w:rPr>
      <w:rFonts w:ascii="Univers" w:hAnsi="Univers"/>
    </w:rPr>
  </w:style>
  <w:style w:type="paragraph" w:customStyle="1" w:styleId="Clause4">
    <w:name w:val="Clause 4"/>
    <w:basedOn w:val="level40"/>
    <w:autoRedefine/>
    <w:rsid w:val="002C3752"/>
    <w:pPr>
      <w:numPr>
        <w:ilvl w:val="3"/>
        <w:numId w:val="10"/>
      </w:numPr>
      <w:tabs>
        <w:tab w:val="clear" w:pos="2880"/>
        <w:tab w:val="num" w:pos="2160"/>
      </w:tabs>
      <w:ind w:left="2160" w:hanging="2160"/>
    </w:pPr>
  </w:style>
  <w:style w:type="paragraph" w:styleId="BodyText2">
    <w:name w:val="Body Text 2"/>
    <w:basedOn w:val="Normal"/>
    <w:link w:val="BodyText2Char"/>
    <w:rsid w:val="002C3752"/>
    <w:pPr>
      <w:spacing w:before="240" w:after="120" w:line="480" w:lineRule="auto"/>
      <w:jc w:val="both"/>
    </w:pPr>
    <w:rPr>
      <w:kern w:val="0"/>
      <w:szCs w:val="20"/>
      <w:lang w:eastAsia="en-US"/>
    </w:rPr>
  </w:style>
  <w:style w:type="character" w:customStyle="1" w:styleId="BodyText2Char">
    <w:name w:val="Body Text 2 Char"/>
    <w:basedOn w:val="DefaultParagraphFont"/>
    <w:link w:val="BodyText2"/>
    <w:rsid w:val="002C3752"/>
    <w:rPr>
      <w:rFonts w:ascii="Arial" w:eastAsia="Times New Roman" w:hAnsi="Arial" w:cs="Times New Roman"/>
      <w:sz w:val="24"/>
      <w:szCs w:val="20"/>
      <w:lang w:val="en-ZA"/>
    </w:rPr>
  </w:style>
  <w:style w:type="paragraph" w:styleId="DocumentMap">
    <w:name w:val="Document Map"/>
    <w:basedOn w:val="Normal"/>
    <w:link w:val="DocumentMapChar"/>
    <w:semiHidden/>
    <w:rsid w:val="002C3752"/>
    <w:pPr>
      <w:shd w:val="clear" w:color="auto" w:fill="000080"/>
      <w:spacing w:before="240" w:after="240" w:line="480" w:lineRule="auto"/>
      <w:jc w:val="both"/>
    </w:pPr>
    <w:rPr>
      <w:rFonts w:ascii="Tahoma" w:hAnsi="Tahoma" w:cs="Tahoma"/>
      <w:kern w:val="0"/>
      <w:sz w:val="20"/>
      <w:szCs w:val="20"/>
      <w:lang w:val="en-GB" w:eastAsia="en-US"/>
    </w:rPr>
  </w:style>
  <w:style w:type="character" w:customStyle="1" w:styleId="DocumentMapChar">
    <w:name w:val="Document Map Char"/>
    <w:basedOn w:val="DefaultParagraphFont"/>
    <w:link w:val="DocumentMap"/>
    <w:semiHidden/>
    <w:rsid w:val="002C3752"/>
    <w:rPr>
      <w:rFonts w:ascii="Tahoma" w:eastAsia="Times New Roman" w:hAnsi="Tahoma" w:cs="Tahoma"/>
      <w:sz w:val="20"/>
      <w:szCs w:val="20"/>
      <w:shd w:val="clear" w:color="auto" w:fill="000080"/>
    </w:rPr>
  </w:style>
  <w:style w:type="paragraph" w:styleId="BodyText">
    <w:name w:val="Body Text"/>
    <w:basedOn w:val="Normal"/>
    <w:link w:val="BodyTextChar"/>
    <w:rsid w:val="002C3752"/>
    <w:pPr>
      <w:jc w:val="center"/>
    </w:pPr>
    <w:rPr>
      <w:rFonts w:ascii="Times New Roman" w:hAnsi="Times New Roman"/>
      <w:b/>
      <w:bCs/>
      <w:kern w:val="0"/>
      <w:lang w:val="en-GB" w:eastAsia="en-US"/>
    </w:rPr>
  </w:style>
  <w:style w:type="character" w:customStyle="1" w:styleId="BodyTextChar">
    <w:name w:val="Body Text Char"/>
    <w:basedOn w:val="DefaultParagraphFont"/>
    <w:link w:val="BodyText"/>
    <w:rsid w:val="002C375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C3752"/>
    <w:pPr>
      <w:spacing w:before="240" w:after="240" w:line="480" w:lineRule="auto"/>
      <w:ind w:left="1440"/>
      <w:jc w:val="both"/>
    </w:pPr>
    <w:rPr>
      <w:rFonts w:cs="Arial"/>
      <w:b/>
      <w:bCs/>
      <w:kern w:val="0"/>
      <w:szCs w:val="20"/>
      <w:lang w:val="en-GB" w:eastAsia="en-US"/>
    </w:rPr>
  </w:style>
  <w:style w:type="character" w:customStyle="1" w:styleId="BodyTextIndent2Char">
    <w:name w:val="Body Text Indent 2 Char"/>
    <w:basedOn w:val="DefaultParagraphFont"/>
    <w:link w:val="BodyTextIndent2"/>
    <w:rsid w:val="002C3752"/>
    <w:rPr>
      <w:rFonts w:ascii="Arial" w:eastAsia="Times New Roman" w:hAnsi="Arial" w:cs="Arial"/>
      <w:b/>
      <w:bCs/>
      <w:sz w:val="24"/>
      <w:szCs w:val="20"/>
    </w:rPr>
  </w:style>
  <w:style w:type="character" w:styleId="CommentReference">
    <w:name w:val="annotation reference"/>
    <w:semiHidden/>
    <w:rsid w:val="002C3752"/>
    <w:rPr>
      <w:sz w:val="16"/>
      <w:szCs w:val="16"/>
    </w:rPr>
  </w:style>
  <w:style w:type="paragraph" w:styleId="CommentText">
    <w:name w:val="annotation text"/>
    <w:basedOn w:val="Normal"/>
    <w:link w:val="CommentTextChar"/>
    <w:semiHidden/>
    <w:rsid w:val="002C3752"/>
    <w:pPr>
      <w:spacing w:before="240" w:after="240" w:line="480" w:lineRule="auto"/>
      <w:jc w:val="both"/>
    </w:pPr>
    <w:rPr>
      <w:kern w:val="0"/>
      <w:sz w:val="20"/>
      <w:szCs w:val="20"/>
      <w:lang w:eastAsia="en-US"/>
    </w:rPr>
  </w:style>
  <w:style w:type="character" w:customStyle="1" w:styleId="CommentTextChar">
    <w:name w:val="Comment Text Char"/>
    <w:basedOn w:val="DefaultParagraphFont"/>
    <w:link w:val="CommentText"/>
    <w:semiHidden/>
    <w:rsid w:val="002C3752"/>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semiHidden/>
    <w:rsid w:val="002C3752"/>
    <w:rPr>
      <w:b/>
      <w:bCs/>
    </w:rPr>
  </w:style>
  <w:style w:type="character" w:customStyle="1" w:styleId="CommentSubjectChar">
    <w:name w:val="Comment Subject Char"/>
    <w:basedOn w:val="CommentTextChar"/>
    <w:link w:val="CommentSubject"/>
    <w:semiHidden/>
    <w:rsid w:val="002C3752"/>
    <w:rPr>
      <w:rFonts w:ascii="Arial" w:eastAsia="Times New Roman" w:hAnsi="Arial" w:cs="Times New Roman"/>
      <w:b/>
      <w:bCs/>
      <w:sz w:val="20"/>
      <w:szCs w:val="20"/>
      <w:lang w:val="en-ZA"/>
    </w:rPr>
  </w:style>
  <w:style w:type="paragraph" w:styleId="BalloonText">
    <w:name w:val="Balloon Text"/>
    <w:basedOn w:val="Normal"/>
    <w:link w:val="BalloonTextChar"/>
    <w:semiHidden/>
    <w:rsid w:val="002C3752"/>
    <w:pPr>
      <w:spacing w:before="240" w:after="240" w:line="480" w:lineRule="auto"/>
      <w:jc w:val="both"/>
    </w:pPr>
    <w:rPr>
      <w:rFonts w:ascii="Tahoma" w:hAnsi="Tahoma" w:cs="Tahoma"/>
      <w:kern w:val="0"/>
      <w:sz w:val="16"/>
      <w:szCs w:val="16"/>
      <w:lang w:val="en-GB" w:eastAsia="en-US"/>
    </w:rPr>
  </w:style>
  <w:style w:type="character" w:customStyle="1" w:styleId="BalloonTextChar">
    <w:name w:val="Balloon Text Char"/>
    <w:basedOn w:val="DefaultParagraphFont"/>
    <w:link w:val="BalloonText"/>
    <w:semiHidden/>
    <w:rsid w:val="002C3752"/>
    <w:rPr>
      <w:rFonts w:ascii="Tahoma" w:eastAsia="Times New Roman" w:hAnsi="Tahoma" w:cs="Tahoma"/>
      <w:sz w:val="16"/>
      <w:szCs w:val="16"/>
    </w:rPr>
  </w:style>
  <w:style w:type="character" w:styleId="Hyperlink">
    <w:name w:val="Hyperlink"/>
    <w:rsid w:val="002C3752"/>
    <w:rPr>
      <w:color w:val="0000FF"/>
      <w:u w:val="single"/>
    </w:rPr>
  </w:style>
  <w:style w:type="paragraph" w:styleId="NoSpacing">
    <w:name w:val="No Spacing"/>
    <w:uiPriority w:val="1"/>
    <w:qFormat/>
    <w:rsid w:val="002C3752"/>
    <w:pPr>
      <w:spacing w:after="0" w:line="240" w:lineRule="auto"/>
    </w:pPr>
    <w:rPr>
      <w:rFonts w:ascii="Times New Roman" w:eastAsia="PMingLiU" w:hAnsi="Times New Roman" w:cs="Times New Roman"/>
      <w:lang w:val="en-US"/>
    </w:rPr>
  </w:style>
  <w:style w:type="paragraph" w:customStyle="1" w:styleId="1">
    <w:name w:val="1"/>
    <w:basedOn w:val="Normal"/>
    <w:qFormat/>
    <w:rsid w:val="002C3752"/>
    <w:pPr>
      <w:widowControl w:val="0"/>
      <w:numPr>
        <w:numId w:val="12"/>
      </w:numPr>
      <w:suppressAutoHyphens/>
      <w:autoSpaceDN w:val="0"/>
      <w:spacing w:before="480" w:line="480" w:lineRule="auto"/>
      <w:jc w:val="both"/>
      <w:textAlignment w:val="baseline"/>
    </w:pPr>
    <w:rPr>
      <w:rFonts w:eastAsia="WenQuanYi Micro Hei" w:cs="Lohit Hindi"/>
      <w:iCs/>
      <w:kern w:val="0"/>
      <w:szCs w:val="22"/>
      <w:lang w:val="en-GB" w:eastAsia="zh-CN" w:bidi="hi-IN"/>
    </w:rPr>
  </w:style>
  <w:style w:type="paragraph" w:customStyle="1" w:styleId="2">
    <w:name w:val="2"/>
    <w:basedOn w:val="1"/>
    <w:qFormat/>
    <w:rsid w:val="002C3752"/>
    <w:pPr>
      <w:numPr>
        <w:ilvl w:val="1"/>
      </w:numPr>
      <w:spacing w:before="240"/>
    </w:pPr>
  </w:style>
  <w:style w:type="paragraph" w:customStyle="1" w:styleId="3">
    <w:name w:val="3"/>
    <w:basedOn w:val="Normal"/>
    <w:qFormat/>
    <w:rsid w:val="002C3752"/>
    <w:pPr>
      <w:numPr>
        <w:ilvl w:val="2"/>
        <w:numId w:val="12"/>
      </w:numPr>
      <w:spacing w:before="240" w:line="480" w:lineRule="auto"/>
      <w:jc w:val="both"/>
    </w:pPr>
    <w:rPr>
      <w:kern w:val="0"/>
      <w:szCs w:val="16"/>
      <w:lang w:val="en-GB" w:eastAsia="en-ZA"/>
    </w:rPr>
  </w:style>
  <w:style w:type="paragraph" w:customStyle="1" w:styleId="4">
    <w:name w:val="4"/>
    <w:basedOn w:val="Normal"/>
    <w:qFormat/>
    <w:rsid w:val="002C3752"/>
    <w:pPr>
      <w:numPr>
        <w:ilvl w:val="3"/>
        <w:numId w:val="12"/>
      </w:numPr>
      <w:spacing w:before="240" w:line="480" w:lineRule="auto"/>
      <w:jc w:val="both"/>
    </w:pPr>
    <w:rPr>
      <w:iCs/>
      <w:color w:val="000000"/>
      <w:kern w:val="0"/>
      <w:szCs w:val="16"/>
      <w:lang w:val="en-GB" w:eastAsia="en-ZA"/>
    </w:rPr>
  </w:style>
  <w:style w:type="paragraph" w:customStyle="1" w:styleId="5">
    <w:name w:val="5"/>
    <w:basedOn w:val="4"/>
    <w:qFormat/>
    <w:rsid w:val="002C3752"/>
    <w:pPr>
      <w:numPr>
        <w:ilvl w:val="4"/>
      </w:numPr>
    </w:pPr>
  </w:style>
  <w:style w:type="paragraph" w:customStyle="1" w:styleId="WLGLevel1">
    <w:name w:val="WLGLevel1"/>
    <w:basedOn w:val="Normal"/>
    <w:qFormat/>
    <w:rsid w:val="002C3752"/>
    <w:pPr>
      <w:numPr>
        <w:numId w:val="13"/>
      </w:numPr>
      <w:suppressAutoHyphens/>
      <w:spacing w:before="320" w:after="320" w:line="480" w:lineRule="auto"/>
      <w:jc w:val="both"/>
      <w:outlineLvl w:val="0"/>
    </w:pPr>
    <w:rPr>
      <w:kern w:val="0"/>
      <w:szCs w:val="20"/>
      <w:lang w:eastAsia="en-US"/>
    </w:rPr>
  </w:style>
  <w:style w:type="paragraph" w:customStyle="1" w:styleId="WLGLevel2">
    <w:name w:val="WLGLevel2"/>
    <w:basedOn w:val="Normal"/>
    <w:qFormat/>
    <w:rsid w:val="002C3752"/>
    <w:pPr>
      <w:numPr>
        <w:ilvl w:val="1"/>
        <w:numId w:val="13"/>
      </w:numPr>
      <w:suppressAutoHyphens/>
      <w:spacing w:after="320" w:line="480" w:lineRule="auto"/>
      <w:jc w:val="both"/>
      <w:outlineLvl w:val="1"/>
    </w:pPr>
    <w:rPr>
      <w:kern w:val="0"/>
      <w:szCs w:val="20"/>
      <w:lang w:eastAsia="en-US"/>
    </w:rPr>
  </w:style>
  <w:style w:type="paragraph" w:customStyle="1" w:styleId="WLGLevel3">
    <w:name w:val="WLGLevel3"/>
    <w:basedOn w:val="Normal"/>
    <w:qFormat/>
    <w:rsid w:val="002C3752"/>
    <w:pPr>
      <w:numPr>
        <w:ilvl w:val="2"/>
        <w:numId w:val="13"/>
      </w:numPr>
      <w:suppressAutoHyphens/>
      <w:spacing w:after="320" w:line="480" w:lineRule="auto"/>
      <w:jc w:val="both"/>
      <w:outlineLvl w:val="2"/>
    </w:pPr>
    <w:rPr>
      <w:kern w:val="0"/>
      <w:szCs w:val="20"/>
      <w:lang w:eastAsia="en-US"/>
    </w:rPr>
  </w:style>
  <w:style w:type="paragraph" w:customStyle="1" w:styleId="WLGLevel4">
    <w:name w:val="WLGLevel4"/>
    <w:basedOn w:val="Normal"/>
    <w:qFormat/>
    <w:rsid w:val="002C3752"/>
    <w:pPr>
      <w:numPr>
        <w:ilvl w:val="3"/>
        <w:numId w:val="13"/>
      </w:numPr>
      <w:suppressAutoHyphens/>
      <w:spacing w:after="320" w:line="480" w:lineRule="auto"/>
      <w:jc w:val="both"/>
      <w:outlineLvl w:val="3"/>
    </w:pPr>
    <w:rPr>
      <w:kern w:val="0"/>
      <w:szCs w:val="20"/>
      <w:lang w:eastAsia="en-US"/>
    </w:rPr>
  </w:style>
  <w:style w:type="paragraph" w:customStyle="1" w:styleId="WLGLevel5">
    <w:name w:val="WLGLevel5"/>
    <w:basedOn w:val="Normal"/>
    <w:qFormat/>
    <w:rsid w:val="002C3752"/>
    <w:pPr>
      <w:numPr>
        <w:ilvl w:val="4"/>
        <w:numId w:val="13"/>
      </w:numPr>
      <w:suppressAutoHyphens/>
      <w:spacing w:after="320" w:line="480" w:lineRule="auto"/>
      <w:jc w:val="both"/>
      <w:outlineLvl w:val="4"/>
    </w:pPr>
    <w:rPr>
      <w:kern w:val="0"/>
      <w:szCs w:val="20"/>
      <w:lang w:eastAsia="en-US"/>
    </w:rPr>
  </w:style>
  <w:style w:type="character" w:customStyle="1" w:styleId="UnresolvedMention1">
    <w:name w:val="Unresolved Mention1"/>
    <w:basedOn w:val="DefaultParagraphFont"/>
    <w:uiPriority w:val="99"/>
    <w:semiHidden/>
    <w:unhideWhenUsed/>
    <w:rsid w:val="002C3752"/>
    <w:rPr>
      <w:color w:val="605E5C"/>
      <w:shd w:val="clear" w:color="auto" w:fill="E1DFDD"/>
    </w:rPr>
  </w:style>
  <w:style w:type="table" w:customStyle="1" w:styleId="TableGrid1">
    <w:name w:val="Table Grid1"/>
    <w:basedOn w:val="TableNormal"/>
    <w:next w:val="TableGrid"/>
    <w:uiPriority w:val="59"/>
    <w:rsid w:val="002C3752"/>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2C375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3752"/>
    <w:pPr>
      <w:spacing w:before="100" w:beforeAutospacing="1" w:after="100" w:afterAutospacing="1"/>
    </w:pPr>
    <w:rPr>
      <w:rFonts w:ascii="Times New Roman" w:eastAsiaTheme="minorEastAsia" w:hAnsi="Times New Roman"/>
      <w:kern w:val="0"/>
      <w:lang w:eastAsia="en-US"/>
    </w:rPr>
  </w:style>
  <w:style w:type="paragraph" w:styleId="Quote">
    <w:name w:val="Quote"/>
    <w:basedOn w:val="Normal"/>
    <w:link w:val="QuoteChar"/>
    <w:uiPriority w:val="29"/>
    <w:qFormat/>
    <w:rsid w:val="002C3752"/>
    <w:pPr>
      <w:widowControl w:val="0"/>
      <w:spacing w:before="120"/>
      <w:ind w:left="1134"/>
      <w:jc w:val="both"/>
    </w:pPr>
    <w:rPr>
      <w:rFonts w:ascii="Century Schoolbook" w:hAnsi="Century Schoolbook"/>
      <w:iCs/>
      <w:color w:val="000000"/>
      <w:kern w:val="0"/>
      <w:szCs w:val="20"/>
      <w:lang w:eastAsia="en-US"/>
    </w:rPr>
  </w:style>
  <w:style w:type="character" w:customStyle="1" w:styleId="QuoteChar">
    <w:name w:val="Quote Char"/>
    <w:basedOn w:val="DefaultParagraphFont"/>
    <w:link w:val="Quote"/>
    <w:uiPriority w:val="29"/>
    <w:rsid w:val="002C3752"/>
    <w:rPr>
      <w:rFonts w:ascii="Century Schoolbook" w:eastAsia="Times New Roman" w:hAnsi="Century Schoolbook" w:cs="Times New Roman"/>
      <w:iCs/>
      <w:color w:val="000000"/>
      <w:sz w:val="24"/>
      <w:szCs w:val="20"/>
      <w:lang w:val="en-ZA"/>
    </w:rPr>
  </w:style>
  <w:style w:type="paragraph" w:customStyle="1" w:styleId="Level1">
    <w:name w:val="Level1"/>
    <w:basedOn w:val="Normal"/>
    <w:link w:val="Level1Char"/>
    <w:qFormat/>
    <w:rsid w:val="002C3752"/>
    <w:pPr>
      <w:numPr>
        <w:numId w:val="15"/>
      </w:numPr>
      <w:suppressAutoHyphens/>
      <w:spacing w:before="360" w:line="480" w:lineRule="auto"/>
      <w:jc w:val="both"/>
    </w:pPr>
    <w:rPr>
      <w:rFonts w:ascii="Century Schoolbook" w:hAnsi="Century Schoolbook"/>
      <w:kern w:val="0"/>
      <w:szCs w:val="20"/>
      <w:lang w:eastAsia="en-US"/>
    </w:rPr>
  </w:style>
  <w:style w:type="character" w:customStyle="1" w:styleId="Level1Char">
    <w:name w:val="Level1 Char"/>
    <w:basedOn w:val="DefaultParagraphFont"/>
    <w:link w:val="Level1"/>
    <w:rsid w:val="002C3752"/>
    <w:rPr>
      <w:rFonts w:ascii="Century Schoolbook" w:eastAsia="Times New Roman" w:hAnsi="Century Schoolbook" w:cs="Times New Roman"/>
      <w:sz w:val="24"/>
      <w:szCs w:val="20"/>
      <w:lang w:val="en-ZA"/>
    </w:rPr>
  </w:style>
  <w:style w:type="paragraph" w:customStyle="1" w:styleId="Level2">
    <w:name w:val="Level2"/>
    <w:basedOn w:val="Normal"/>
    <w:qFormat/>
    <w:rsid w:val="002C3752"/>
    <w:pPr>
      <w:numPr>
        <w:ilvl w:val="1"/>
        <w:numId w:val="15"/>
      </w:numPr>
      <w:suppressAutoHyphens/>
      <w:spacing w:before="360" w:line="480" w:lineRule="auto"/>
      <w:jc w:val="both"/>
    </w:pPr>
    <w:rPr>
      <w:rFonts w:ascii="Century Schoolbook" w:hAnsi="Century Schoolbook"/>
      <w:kern w:val="0"/>
      <w:szCs w:val="20"/>
      <w:lang w:eastAsia="en-US"/>
    </w:rPr>
  </w:style>
  <w:style w:type="paragraph" w:customStyle="1" w:styleId="Level3">
    <w:name w:val="Level3"/>
    <w:basedOn w:val="Level2"/>
    <w:qFormat/>
    <w:rsid w:val="002C3752"/>
    <w:pPr>
      <w:numPr>
        <w:ilvl w:val="2"/>
      </w:numPr>
    </w:pPr>
  </w:style>
  <w:style w:type="paragraph" w:customStyle="1" w:styleId="Heading">
    <w:name w:val="Heading"/>
    <w:basedOn w:val="Normal"/>
    <w:qFormat/>
    <w:rsid w:val="002C3752"/>
    <w:pPr>
      <w:numPr>
        <w:numId w:val="16"/>
      </w:numPr>
      <w:suppressAutoHyphens/>
      <w:spacing w:before="360" w:after="360" w:line="480" w:lineRule="auto"/>
      <w:ind w:left="567" w:hanging="567"/>
      <w:jc w:val="both"/>
    </w:pPr>
    <w:rPr>
      <w:b/>
      <w:caps/>
      <w:kern w:val="0"/>
      <w:szCs w:val="20"/>
      <w:lang w:eastAsia="en-US"/>
    </w:rPr>
  </w:style>
  <w:style w:type="paragraph" w:customStyle="1" w:styleId="Level4">
    <w:name w:val="Level4"/>
    <w:basedOn w:val="Level3"/>
    <w:qFormat/>
    <w:rsid w:val="002C3752"/>
    <w:pPr>
      <w:numPr>
        <w:ilvl w:val="3"/>
      </w:numPr>
      <w:ind w:left="2268" w:hanging="2268"/>
    </w:pPr>
  </w:style>
  <w:style w:type="paragraph" w:customStyle="1" w:styleId="ParaLv1">
    <w:name w:val="Para Lv1"/>
    <w:basedOn w:val="ListParagraph"/>
    <w:qFormat/>
    <w:rsid w:val="002C3752"/>
    <w:pPr>
      <w:numPr>
        <w:numId w:val="17"/>
      </w:numPr>
      <w:tabs>
        <w:tab w:val="left" w:pos="709"/>
      </w:tabs>
      <w:spacing w:before="240" w:after="240" w:line="480" w:lineRule="auto"/>
      <w:contextualSpacing w:val="0"/>
      <w:jc w:val="both"/>
    </w:pPr>
    <w:rPr>
      <w:rFonts w:eastAsiaTheme="minorHAnsi" w:cs="Arial"/>
      <w:szCs w:val="24"/>
      <w:lang w:val="en-GB"/>
    </w:rPr>
  </w:style>
  <w:style w:type="paragraph" w:customStyle="1" w:styleId="ParaLv2">
    <w:name w:val="Para Lv2"/>
    <w:basedOn w:val="ParaLv1"/>
    <w:qFormat/>
    <w:rsid w:val="002C3752"/>
    <w:pPr>
      <w:numPr>
        <w:ilvl w:val="1"/>
      </w:numPr>
      <w:tabs>
        <w:tab w:val="clear" w:pos="709"/>
        <w:tab w:val="left" w:pos="1701"/>
      </w:tabs>
    </w:pPr>
  </w:style>
  <w:style w:type="paragraph" w:customStyle="1" w:styleId="ParaLv3">
    <w:name w:val="Para Lv3"/>
    <w:basedOn w:val="ParaLv1"/>
    <w:qFormat/>
    <w:rsid w:val="002C3752"/>
    <w:pPr>
      <w:numPr>
        <w:ilvl w:val="2"/>
      </w:numPr>
      <w:tabs>
        <w:tab w:val="clear" w:pos="709"/>
        <w:tab w:val="left" w:pos="2835"/>
      </w:tabs>
      <w:ind w:left="1985" w:hanging="851"/>
    </w:pPr>
  </w:style>
  <w:style w:type="paragraph" w:styleId="Revision">
    <w:name w:val="Revision"/>
    <w:hidden/>
    <w:uiPriority w:val="99"/>
    <w:semiHidden/>
    <w:rsid w:val="002C375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7D30-D474-4505-AFD7-2E4F9EC2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cp:lastPrinted>2023-02-20T13:18:00Z</cp:lastPrinted>
  <dcterms:created xsi:type="dcterms:W3CDTF">2023-03-06T14:33:00Z</dcterms:created>
  <dcterms:modified xsi:type="dcterms:W3CDTF">2023-03-06T14:37:00Z</dcterms:modified>
</cp:coreProperties>
</file>