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490F6617"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713C04">
        <w:rPr>
          <w:rFonts w:eastAsia="Times New Roman" w:cs="Arial"/>
          <w:bCs/>
          <w:szCs w:val="24"/>
          <w:lang w:val="en-ZA"/>
        </w:rPr>
        <w:t>58023</w:t>
      </w:r>
      <w:r w:rsidR="009C63B5">
        <w:rPr>
          <w:rFonts w:eastAsia="Times New Roman" w:cs="Arial"/>
          <w:bCs/>
          <w:szCs w:val="24"/>
          <w:lang w:val="en-ZA"/>
        </w:rPr>
        <w:t>/202</w:t>
      </w:r>
      <w:r w:rsidR="00713C04">
        <w:rPr>
          <w:rFonts w:eastAsia="Times New Roman" w:cs="Arial"/>
          <w:bCs/>
          <w:szCs w:val="24"/>
          <w:lang w:val="en-ZA"/>
        </w:rPr>
        <w:t>1</w:t>
      </w:r>
    </w:p>
    <w:p w14:paraId="1F3CACF4" w14:textId="46FA5AC5" w:rsidR="00C0309A" w:rsidRPr="007B7F59" w:rsidRDefault="006B0FF5" w:rsidP="00C0309A">
      <w:pPr>
        <w:tabs>
          <w:tab w:val="right" w:pos="9029"/>
        </w:tabs>
        <w:spacing w:after="0" w:line="240" w:lineRule="auto"/>
        <w:ind w:left="0"/>
        <w:rPr>
          <w:rFonts w:eastAsia="Times New Roman" w:cs="Arial"/>
          <w:szCs w:val="24"/>
          <w:lang w:val="en-ZA"/>
        </w:rPr>
      </w:pPr>
      <w:r>
        <w:rPr>
          <w:noProof/>
          <w:lang w:val="en-ZA" w:eastAsia="en-ZA"/>
        </w:rPr>
        <mc:AlternateContent>
          <mc:Choice Requires="wps">
            <w:drawing>
              <wp:anchor distT="0" distB="0" distL="114300" distR="114300" simplePos="0" relativeHeight="251659264" behindDoc="0" locked="0" layoutInCell="1" allowOverlap="1" wp14:anchorId="4AE74C94" wp14:editId="404F8DA9">
                <wp:simplePos x="0" y="0"/>
                <wp:positionH relativeFrom="margin">
                  <wp:posOffset>0</wp:posOffset>
                </wp:positionH>
                <wp:positionV relativeFrom="paragraph">
                  <wp:posOffset>20320</wp:posOffset>
                </wp:positionV>
                <wp:extent cx="3314700" cy="105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4F733D9F"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7CD0630"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FC87213"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 xml:space="preserve">REVISED: </w:t>
                            </w:r>
                            <w:r w:rsidR="00AA74DA">
                              <w:rPr>
                                <w:rFonts w:cs="Arial"/>
                                <w:sz w:val="18"/>
                                <w:szCs w:val="20"/>
                              </w:rPr>
                              <w:t>YES/</w:t>
                            </w:r>
                            <w:r w:rsidR="00C0309A" w:rsidRPr="009433D9">
                              <w:rPr>
                                <w:rFonts w:cs="Arial"/>
                                <w:sz w:val="18"/>
                                <w:szCs w:val="20"/>
                              </w:rPr>
                              <w:t>NO</w:t>
                            </w:r>
                          </w:p>
                          <w:p w14:paraId="69EFF85C" w14:textId="0A69C14F" w:rsidR="00C0309A" w:rsidRPr="003B746C" w:rsidRDefault="00713C04" w:rsidP="00C0309A">
                            <w:pPr>
                              <w:spacing w:before="240" w:after="0"/>
                              <w:rPr>
                                <w:rFonts w:cs="Arial"/>
                                <w:b/>
                                <w:sz w:val="18"/>
                                <w:szCs w:val="20"/>
                              </w:rPr>
                            </w:pPr>
                            <w:r>
                              <w:rPr>
                                <w:rFonts w:cs="Arial"/>
                                <w:b/>
                                <w:sz w:val="18"/>
                                <w:szCs w:val="20"/>
                              </w:rPr>
                              <w:t>2</w:t>
                            </w:r>
                            <w:r w:rsidR="00964270">
                              <w:rPr>
                                <w:rFonts w:cs="Arial"/>
                                <w:b/>
                                <w:sz w:val="18"/>
                                <w:szCs w:val="20"/>
                              </w:rPr>
                              <w:t>9</w:t>
                            </w:r>
                            <w:r w:rsidR="00B21DA3">
                              <w:rPr>
                                <w:rFonts w:cs="Arial"/>
                                <w:b/>
                                <w:sz w:val="18"/>
                                <w:szCs w:val="20"/>
                              </w:rPr>
                              <w:t xml:space="preserve"> </w:t>
                            </w:r>
                            <w:r w:rsidR="00F678B2">
                              <w:rPr>
                                <w:rFonts w:cs="Arial"/>
                                <w:b/>
                                <w:sz w:val="18"/>
                                <w:szCs w:val="20"/>
                              </w:rPr>
                              <w:t>December</w:t>
                            </w:r>
                            <w:r w:rsidR="002068A8">
                              <w:rPr>
                                <w:rFonts w:cs="Arial"/>
                                <w:b/>
                                <w:sz w:val="18"/>
                                <w:szCs w:val="20"/>
                              </w:rPr>
                              <w:t xml:space="preserve"> 2023</w:t>
                            </w:r>
                            <w:r w:rsidR="006B0FF5">
                              <w:rPr>
                                <w:rFonts w:cs="Arial"/>
                                <w:b/>
                                <w:sz w:val="18"/>
                                <w:szCs w:val="20"/>
                              </w:rPr>
                              <w:tab/>
                              <w:t>_________</w:t>
                            </w:r>
                            <w:r w:rsidR="00C0309A" w:rsidRPr="009433D9">
                              <w:rPr>
                                <w:rFonts w:cs="Arial"/>
                                <w:b/>
                                <w:sz w:val="18"/>
                                <w:szCs w:val="20"/>
                              </w:rPr>
                              <w:t>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74C94"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7FA02C38" w14:textId="4F733D9F"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C0309A" w:rsidRPr="003B746C">
                        <w:rPr>
                          <w:rFonts w:cs="Arial"/>
                          <w:sz w:val="18"/>
                          <w:szCs w:val="20"/>
                        </w:rPr>
                        <w:t>REPORTABLE</w:t>
                      </w:r>
                      <w:r w:rsidR="00C0309A" w:rsidRPr="009433D9">
                        <w:rPr>
                          <w:rFonts w:cs="Arial"/>
                          <w:sz w:val="18"/>
                          <w:szCs w:val="20"/>
                        </w:rPr>
                        <w:t>: NO</w:t>
                      </w:r>
                    </w:p>
                    <w:p w14:paraId="3ECD6FD5" w14:textId="37CD0630"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C0309A" w:rsidRPr="009433D9">
                        <w:rPr>
                          <w:rFonts w:cs="Arial"/>
                          <w:sz w:val="18"/>
                          <w:szCs w:val="20"/>
                        </w:rPr>
                        <w:t>OF INTEREST TO OTHER JUDGES: NO</w:t>
                      </w:r>
                    </w:p>
                    <w:p w14:paraId="6A481239" w14:textId="2FC87213" w:rsidR="00C0309A" w:rsidRPr="009433D9" w:rsidRDefault="005D4D9D" w:rsidP="005D4D9D">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C0309A" w:rsidRPr="009433D9">
                        <w:rPr>
                          <w:rFonts w:cs="Arial"/>
                          <w:sz w:val="18"/>
                          <w:szCs w:val="20"/>
                        </w:rPr>
                        <w:t xml:space="preserve">REVISED: </w:t>
                      </w:r>
                      <w:r w:rsidR="00AA74DA">
                        <w:rPr>
                          <w:rFonts w:cs="Arial"/>
                          <w:sz w:val="18"/>
                          <w:szCs w:val="20"/>
                        </w:rPr>
                        <w:t>YES/</w:t>
                      </w:r>
                      <w:r w:rsidR="00C0309A" w:rsidRPr="009433D9">
                        <w:rPr>
                          <w:rFonts w:cs="Arial"/>
                          <w:sz w:val="18"/>
                          <w:szCs w:val="20"/>
                        </w:rPr>
                        <w:t>NO</w:t>
                      </w:r>
                    </w:p>
                    <w:p w14:paraId="69EFF85C" w14:textId="0A69C14F" w:rsidR="00C0309A" w:rsidRPr="003B746C" w:rsidRDefault="00713C04" w:rsidP="00C0309A">
                      <w:pPr>
                        <w:spacing w:before="240" w:after="0"/>
                        <w:rPr>
                          <w:rFonts w:cs="Arial"/>
                          <w:b/>
                          <w:sz w:val="18"/>
                          <w:szCs w:val="20"/>
                        </w:rPr>
                      </w:pPr>
                      <w:r>
                        <w:rPr>
                          <w:rFonts w:cs="Arial"/>
                          <w:b/>
                          <w:sz w:val="18"/>
                          <w:szCs w:val="20"/>
                        </w:rPr>
                        <w:t>2</w:t>
                      </w:r>
                      <w:r w:rsidR="00964270">
                        <w:rPr>
                          <w:rFonts w:cs="Arial"/>
                          <w:b/>
                          <w:sz w:val="18"/>
                          <w:szCs w:val="20"/>
                        </w:rPr>
                        <w:t>9</w:t>
                      </w:r>
                      <w:r w:rsidR="00B21DA3">
                        <w:rPr>
                          <w:rFonts w:cs="Arial"/>
                          <w:b/>
                          <w:sz w:val="18"/>
                          <w:szCs w:val="20"/>
                        </w:rPr>
                        <w:t xml:space="preserve"> </w:t>
                      </w:r>
                      <w:r w:rsidR="00F678B2">
                        <w:rPr>
                          <w:rFonts w:cs="Arial"/>
                          <w:b/>
                          <w:sz w:val="18"/>
                          <w:szCs w:val="20"/>
                        </w:rPr>
                        <w:t>December</w:t>
                      </w:r>
                      <w:r w:rsidR="002068A8">
                        <w:rPr>
                          <w:rFonts w:cs="Arial"/>
                          <w:b/>
                          <w:sz w:val="18"/>
                          <w:szCs w:val="20"/>
                        </w:rPr>
                        <w:t xml:space="preserve"> 2023</w:t>
                      </w:r>
                      <w:r w:rsidR="006B0FF5">
                        <w:rPr>
                          <w:rFonts w:cs="Arial"/>
                          <w:b/>
                          <w:sz w:val="18"/>
                          <w:szCs w:val="20"/>
                        </w:rPr>
                        <w:tab/>
                        <w:t>_________</w:t>
                      </w:r>
                      <w:r w:rsidR="00C0309A" w:rsidRPr="009433D9">
                        <w:rPr>
                          <w:rFonts w:cs="Arial"/>
                          <w:b/>
                          <w:sz w:val="18"/>
                          <w:szCs w:val="20"/>
                        </w:rPr>
                        <w:t>_______________</w:t>
                      </w:r>
                    </w:p>
                    <w:p w14:paraId="3617D197" w14:textId="77777777" w:rsidR="00C0309A" w:rsidRPr="003B746C" w:rsidRDefault="00C0309A"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0A85839D"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77777777" w:rsidR="00C0309A" w:rsidRPr="003F4DA6" w:rsidRDefault="00C0309A" w:rsidP="00C0309A">
      <w:pPr>
        <w:tabs>
          <w:tab w:val="right" w:pos="9029"/>
        </w:tabs>
        <w:spacing w:after="0" w:line="240" w:lineRule="auto"/>
        <w:ind w:left="0"/>
        <w:rPr>
          <w:rFonts w:eastAsia="Times New Roman" w:cs="Arial"/>
          <w:b/>
          <w:bCs/>
          <w:szCs w:val="24"/>
          <w:lang w:val="en-ZA"/>
        </w:rPr>
      </w:pPr>
    </w:p>
    <w:p w14:paraId="6C5C090E" w14:textId="737FCF69" w:rsidR="00C0309A" w:rsidRPr="007B7F59" w:rsidRDefault="00C0309A" w:rsidP="00C0309A">
      <w:pPr>
        <w:tabs>
          <w:tab w:val="right" w:pos="9029"/>
        </w:tabs>
        <w:spacing w:after="0" w:line="240" w:lineRule="auto"/>
        <w:ind w:left="0"/>
        <w:rPr>
          <w:rFonts w:eastAsia="Times New Roman" w:cs="Arial"/>
          <w:szCs w:val="24"/>
          <w:lang w:val="en-ZA"/>
        </w:rPr>
      </w:pPr>
    </w:p>
    <w:p w14:paraId="47DF1B6A" w14:textId="77CECF6D" w:rsidR="004E17F7" w:rsidRPr="004E17F7" w:rsidRDefault="004E17F7" w:rsidP="00C0309A">
      <w:pPr>
        <w:tabs>
          <w:tab w:val="right" w:pos="9029"/>
        </w:tabs>
        <w:spacing w:after="0" w:line="240" w:lineRule="auto"/>
        <w:ind w:left="0"/>
        <w:contextualSpacing/>
        <w:rPr>
          <w:rFonts w:eastAsia="Times New Roman" w:cs="Arial"/>
          <w:b/>
          <w:bCs/>
          <w:szCs w:val="24"/>
          <w:lang w:val="en-ZA"/>
        </w:rPr>
      </w:pPr>
    </w:p>
    <w:p w14:paraId="7FE74585" w14:textId="77777777" w:rsidR="004E17F7" w:rsidRDefault="004E17F7" w:rsidP="00C0309A">
      <w:pPr>
        <w:tabs>
          <w:tab w:val="right" w:pos="9029"/>
        </w:tabs>
        <w:spacing w:after="0" w:line="240" w:lineRule="auto"/>
        <w:ind w:left="0"/>
        <w:contextualSpacing/>
        <w:rPr>
          <w:rFonts w:eastAsia="Times New Roman" w:cs="Arial"/>
          <w:szCs w:val="24"/>
          <w:lang w:val="en-ZA"/>
        </w:rPr>
      </w:pPr>
    </w:p>
    <w:p w14:paraId="788132C7" w14:textId="552B79AA"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78D3C95" w14:textId="77777777" w:rsidR="00340BDD" w:rsidRDefault="00340BDD" w:rsidP="00EE3A1F">
      <w:pPr>
        <w:tabs>
          <w:tab w:val="right" w:pos="9029"/>
        </w:tabs>
        <w:spacing w:after="0" w:line="240" w:lineRule="auto"/>
        <w:ind w:left="0"/>
        <w:contextualSpacing/>
        <w:rPr>
          <w:rFonts w:cs="Arial"/>
          <w:b/>
          <w:szCs w:val="24"/>
        </w:rPr>
      </w:pPr>
      <w:bookmarkStart w:id="0" w:name="_Hlk140479949"/>
      <w:bookmarkStart w:id="1" w:name="_Hlk140479922"/>
    </w:p>
    <w:p w14:paraId="31883BB0" w14:textId="2347A68E" w:rsidR="00EE3A1F" w:rsidRPr="00722C87" w:rsidRDefault="00713C04" w:rsidP="00EE3A1F">
      <w:pPr>
        <w:tabs>
          <w:tab w:val="right" w:pos="9029"/>
        </w:tabs>
        <w:spacing w:after="0" w:line="240" w:lineRule="auto"/>
        <w:ind w:left="0"/>
        <w:contextualSpacing/>
        <w:rPr>
          <w:rFonts w:eastAsia="Times New Roman" w:cs="Arial"/>
          <w:bCs/>
          <w:szCs w:val="24"/>
          <w:lang w:val="en-ZA"/>
        </w:rPr>
      </w:pPr>
      <w:bookmarkStart w:id="2" w:name="_Hlk150941235"/>
      <w:bookmarkEnd w:id="0"/>
      <w:bookmarkEnd w:id="1"/>
      <w:r>
        <w:rPr>
          <w:rFonts w:eastAsia="Times New Roman" w:cs="Arial"/>
          <w:b/>
          <w:szCs w:val="24"/>
          <w:lang w:val="en-ZA"/>
        </w:rPr>
        <w:t>AKANI RETIREMENT FUND ADMINISTRATORS</w:t>
      </w:r>
      <w:r w:rsidR="00EE3A1F" w:rsidRPr="007B7F59">
        <w:rPr>
          <w:rFonts w:eastAsia="Times New Roman" w:cs="Arial"/>
          <w:b/>
          <w:szCs w:val="24"/>
          <w:lang w:val="en-ZA"/>
        </w:rPr>
        <w:tab/>
      </w:r>
      <w:r>
        <w:rPr>
          <w:rFonts w:eastAsia="Times New Roman" w:cs="Arial"/>
          <w:bCs/>
          <w:szCs w:val="24"/>
          <w:lang w:val="en-ZA"/>
        </w:rPr>
        <w:t xml:space="preserve">First </w:t>
      </w:r>
      <w:r w:rsidR="00BF69C0">
        <w:rPr>
          <w:rFonts w:eastAsia="Times New Roman" w:cs="Arial"/>
          <w:bCs/>
          <w:szCs w:val="24"/>
          <w:lang w:val="en-ZA"/>
        </w:rPr>
        <w:t>Applicant</w:t>
      </w:r>
      <w:r>
        <w:rPr>
          <w:rFonts w:eastAsia="Times New Roman" w:cs="Arial"/>
          <w:bCs/>
          <w:szCs w:val="24"/>
          <w:lang w:val="en-ZA"/>
        </w:rPr>
        <w:t>/Respondent</w:t>
      </w:r>
    </w:p>
    <w:p w14:paraId="6C069837" w14:textId="47D09B5C" w:rsidR="002068A8" w:rsidRPr="00F678B2" w:rsidRDefault="00713C04" w:rsidP="002068A8">
      <w:pPr>
        <w:tabs>
          <w:tab w:val="right" w:pos="9029"/>
        </w:tabs>
        <w:spacing w:after="0" w:line="240" w:lineRule="auto"/>
        <w:ind w:left="0"/>
        <w:contextualSpacing/>
        <w:rPr>
          <w:rFonts w:eastAsia="Times New Roman" w:cs="Arial"/>
          <w:bCs/>
          <w:szCs w:val="24"/>
          <w:lang w:val="en-ZA"/>
        </w:rPr>
      </w:pPr>
      <w:r>
        <w:rPr>
          <w:rFonts w:eastAsia="Times New Roman" w:cs="Arial"/>
          <w:b/>
          <w:szCs w:val="24"/>
          <w:lang w:val="en-ZA"/>
        </w:rPr>
        <w:t>PROPRIETARY LIMITED</w:t>
      </w:r>
      <w:r w:rsidR="002068A8" w:rsidRPr="00F678B2">
        <w:rPr>
          <w:rFonts w:eastAsia="Times New Roman" w:cs="Arial"/>
          <w:bCs/>
          <w:szCs w:val="24"/>
          <w:lang w:val="en-ZA"/>
        </w:rPr>
        <w:tab/>
      </w:r>
    </w:p>
    <w:bookmarkEnd w:id="2"/>
    <w:p w14:paraId="7E6BDAC1"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4EE50A50" w14:textId="227D8A6D" w:rsidR="00713C04" w:rsidRPr="00713C04" w:rsidRDefault="00713C04" w:rsidP="00713C04">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ZAMANI ERNEST EPHRAIM LETJANE</w:t>
      </w:r>
      <w:r w:rsidRPr="00713C04">
        <w:rPr>
          <w:rFonts w:eastAsia="Times New Roman" w:cs="Arial"/>
          <w:b/>
          <w:szCs w:val="24"/>
          <w:lang w:val="en-ZA"/>
        </w:rPr>
        <w:tab/>
      </w:r>
      <w:r>
        <w:rPr>
          <w:rFonts w:eastAsia="Times New Roman" w:cs="Arial"/>
          <w:szCs w:val="24"/>
          <w:lang w:val="en-ZA"/>
        </w:rPr>
        <w:t>Second Applicant/</w:t>
      </w:r>
      <w:r w:rsidRPr="00713C04">
        <w:rPr>
          <w:rFonts w:eastAsia="Times New Roman" w:cs="Arial"/>
          <w:szCs w:val="24"/>
          <w:lang w:val="en-ZA"/>
        </w:rPr>
        <w:t>Respondent</w:t>
      </w:r>
    </w:p>
    <w:p w14:paraId="2D9F9C93" w14:textId="77777777" w:rsidR="00713C04" w:rsidRDefault="00713C04" w:rsidP="00BF69C0">
      <w:pPr>
        <w:tabs>
          <w:tab w:val="right" w:pos="9029"/>
        </w:tabs>
        <w:spacing w:after="0" w:line="240" w:lineRule="auto"/>
        <w:ind w:left="0"/>
        <w:contextualSpacing/>
        <w:rPr>
          <w:rFonts w:eastAsia="Times New Roman" w:cs="Arial"/>
          <w:bCs/>
          <w:szCs w:val="24"/>
          <w:lang w:val="en-ZA"/>
        </w:rPr>
      </w:pPr>
    </w:p>
    <w:p w14:paraId="3AD67CEE" w14:textId="3B6505E3" w:rsidR="00BF69C0" w:rsidRPr="00BF69C0" w:rsidRDefault="00BF69C0" w:rsidP="00BF69C0">
      <w:pPr>
        <w:tabs>
          <w:tab w:val="right" w:pos="9029"/>
        </w:tabs>
        <w:spacing w:after="0" w:line="240" w:lineRule="auto"/>
        <w:ind w:left="0"/>
        <w:contextualSpacing/>
        <w:rPr>
          <w:rFonts w:eastAsia="Times New Roman" w:cs="Arial"/>
          <w:bCs/>
          <w:szCs w:val="24"/>
          <w:lang w:val="en-ZA"/>
        </w:rPr>
      </w:pPr>
      <w:r>
        <w:rPr>
          <w:rFonts w:eastAsia="Times New Roman" w:cs="Arial"/>
          <w:bCs/>
          <w:szCs w:val="24"/>
          <w:lang w:val="en-ZA"/>
        </w:rPr>
        <w:t>and</w:t>
      </w:r>
    </w:p>
    <w:p w14:paraId="3DD0DC54" w14:textId="77777777" w:rsidR="00BF69C0" w:rsidRDefault="00BF69C0" w:rsidP="00BF69C0">
      <w:pPr>
        <w:tabs>
          <w:tab w:val="right" w:pos="9029"/>
        </w:tabs>
        <w:spacing w:after="0" w:line="240" w:lineRule="auto"/>
        <w:ind w:left="0"/>
        <w:contextualSpacing/>
        <w:rPr>
          <w:rFonts w:eastAsia="Times New Roman" w:cs="Arial"/>
          <w:b/>
          <w:szCs w:val="24"/>
          <w:lang w:val="en-ZA"/>
        </w:rPr>
      </w:pPr>
    </w:p>
    <w:p w14:paraId="38259DF9" w14:textId="2E26E1B2" w:rsidR="00BF69C0" w:rsidRPr="00F22813" w:rsidRDefault="00713C04" w:rsidP="00BF69C0">
      <w:pPr>
        <w:tabs>
          <w:tab w:val="right" w:pos="9029"/>
        </w:tabs>
        <w:spacing w:after="0" w:line="240" w:lineRule="auto"/>
        <w:ind w:left="0"/>
        <w:contextualSpacing/>
        <w:rPr>
          <w:rFonts w:eastAsia="Times New Roman" w:cs="Arial"/>
          <w:szCs w:val="24"/>
          <w:lang w:val="en-ZA"/>
        </w:rPr>
      </w:pPr>
      <w:bookmarkStart w:id="3" w:name="_Hlk153892877"/>
      <w:r>
        <w:rPr>
          <w:rFonts w:eastAsia="Times New Roman" w:cs="Arial"/>
          <w:b/>
          <w:szCs w:val="24"/>
          <w:lang w:val="en-ZA"/>
        </w:rPr>
        <w:t>INDEPENDENT MEDIA</w:t>
      </w:r>
      <w:r w:rsidR="00BF69C0" w:rsidRPr="007B7F59">
        <w:rPr>
          <w:rFonts w:eastAsia="Times New Roman" w:cs="Arial"/>
          <w:b/>
          <w:szCs w:val="24"/>
          <w:lang w:val="en-ZA"/>
        </w:rPr>
        <w:tab/>
      </w:r>
      <w:r w:rsidR="00BF69C0">
        <w:rPr>
          <w:rFonts w:eastAsia="Times New Roman" w:cs="Arial"/>
          <w:bCs/>
          <w:szCs w:val="24"/>
          <w:lang w:val="en-ZA"/>
        </w:rPr>
        <w:t xml:space="preserve">First </w:t>
      </w:r>
      <w:r w:rsidR="00BF69C0">
        <w:rPr>
          <w:rFonts w:eastAsia="Times New Roman" w:cs="Arial"/>
          <w:szCs w:val="24"/>
          <w:lang w:val="en-ZA"/>
        </w:rPr>
        <w:t>Respondent</w:t>
      </w:r>
      <w:r>
        <w:rPr>
          <w:rFonts w:eastAsia="Times New Roman" w:cs="Arial"/>
          <w:szCs w:val="24"/>
          <w:lang w:val="en-ZA"/>
        </w:rPr>
        <w:t>/Applicant</w:t>
      </w:r>
    </w:p>
    <w:bookmarkEnd w:id="3"/>
    <w:p w14:paraId="162A347F" w14:textId="67B67A68" w:rsidR="00BF69C0" w:rsidRPr="00713C04" w:rsidRDefault="00713C04" w:rsidP="00BF69C0">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PROPRIETARY LIMITED</w:t>
      </w:r>
    </w:p>
    <w:p w14:paraId="71968119" w14:textId="77777777" w:rsidR="00713C04" w:rsidRDefault="00713C04" w:rsidP="00F678B2">
      <w:pPr>
        <w:tabs>
          <w:tab w:val="right" w:pos="9029"/>
        </w:tabs>
        <w:spacing w:after="0" w:line="240" w:lineRule="auto"/>
        <w:ind w:left="0"/>
        <w:contextualSpacing/>
        <w:rPr>
          <w:rFonts w:eastAsia="Times New Roman" w:cs="Arial"/>
          <w:b/>
          <w:szCs w:val="24"/>
          <w:lang w:val="en-ZA"/>
        </w:rPr>
      </w:pPr>
    </w:p>
    <w:p w14:paraId="4D0FC1D3" w14:textId="32C52B85" w:rsidR="00713C04" w:rsidRPr="00F22813" w:rsidRDefault="00713C04" w:rsidP="00713C0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ANEEZ SALIE</w:t>
      </w:r>
      <w:r w:rsidRPr="007B7F59">
        <w:rPr>
          <w:rFonts w:eastAsia="Times New Roman" w:cs="Arial"/>
          <w:b/>
          <w:szCs w:val="24"/>
          <w:lang w:val="en-ZA"/>
        </w:rPr>
        <w:tab/>
      </w:r>
      <w:r>
        <w:rPr>
          <w:rFonts w:eastAsia="Times New Roman" w:cs="Arial"/>
          <w:bCs/>
          <w:szCs w:val="24"/>
          <w:lang w:val="en-ZA"/>
        </w:rPr>
        <w:t xml:space="preserve">Second </w:t>
      </w:r>
      <w:r>
        <w:rPr>
          <w:rFonts w:eastAsia="Times New Roman" w:cs="Arial"/>
          <w:szCs w:val="24"/>
          <w:lang w:val="en-ZA"/>
        </w:rPr>
        <w:t>Respondent/Applicant</w:t>
      </w:r>
    </w:p>
    <w:p w14:paraId="5D2CB5E1" w14:textId="77777777" w:rsidR="00713C04" w:rsidRDefault="00713C04" w:rsidP="00F678B2">
      <w:pPr>
        <w:tabs>
          <w:tab w:val="right" w:pos="9029"/>
        </w:tabs>
        <w:spacing w:after="0" w:line="240" w:lineRule="auto"/>
        <w:ind w:left="0"/>
        <w:contextualSpacing/>
        <w:rPr>
          <w:rFonts w:eastAsia="Times New Roman" w:cs="Arial"/>
          <w:b/>
          <w:szCs w:val="24"/>
          <w:lang w:val="en-ZA"/>
        </w:rPr>
      </w:pPr>
    </w:p>
    <w:p w14:paraId="06844AC5" w14:textId="08166011" w:rsidR="00713C04" w:rsidRPr="00F22813" w:rsidRDefault="00713C04" w:rsidP="00713C0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AYANDA MDLULI</w:t>
      </w:r>
      <w:r w:rsidRPr="007B7F59">
        <w:rPr>
          <w:rFonts w:eastAsia="Times New Roman" w:cs="Arial"/>
          <w:b/>
          <w:szCs w:val="24"/>
          <w:lang w:val="en-ZA"/>
        </w:rPr>
        <w:tab/>
      </w:r>
      <w:r>
        <w:rPr>
          <w:rFonts w:eastAsia="Times New Roman" w:cs="Arial"/>
          <w:bCs/>
          <w:szCs w:val="24"/>
          <w:lang w:val="en-ZA"/>
        </w:rPr>
        <w:t xml:space="preserve">Third </w:t>
      </w:r>
      <w:r>
        <w:rPr>
          <w:rFonts w:eastAsia="Times New Roman" w:cs="Arial"/>
          <w:szCs w:val="24"/>
          <w:lang w:val="en-ZA"/>
        </w:rPr>
        <w:t>Respondent/Applicant</w:t>
      </w:r>
    </w:p>
    <w:p w14:paraId="2DEA67FA" w14:textId="77777777" w:rsidR="00713C04" w:rsidRDefault="00713C04" w:rsidP="00F678B2">
      <w:pPr>
        <w:tabs>
          <w:tab w:val="right" w:pos="9029"/>
        </w:tabs>
        <w:spacing w:after="0" w:line="240" w:lineRule="auto"/>
        <w:ind w:left="0"/>
        <w:contextualSpacing/>
        <w:rPr>
          <w:rFonts w:eastAsia="Times New Roman" w:cs="Arial"/>
          <w:b/>
          <w:szCs w:val="24"/>
          <w:lang w:val="en-ZA"/>
        </w:rPr>
      </w:pPr>
    </w:p>
    <w:p w14:paraId="66BCA20A" w14:textId="11F99E09" w:rsidR="005C5D2F" w:rsidRDefault="00F678B2" w:rsidP="00713C04">
      <w:pPr>
        <w:tabs>
          <w:tab w:val="right" w:pos="9029"/>
        </w:tabs>
        <w:spacing w:after="0" w:line="240" w:lineRule="auto"/>
        <w:ind w:left="0"/>
        <w:contextualSpacing/>
        <w:rPr>
          <w:rFonts w:eastAsia="Times New Roman" w:cs="Arial"/>
          <w:szCs w:val="24"/>
          <w:lang w:val="en-ZA"/>
        </w:rPr>
      </w:pPr>
      <w:r>
        <w:rPr>
          <w:rFonts w:eastAsia="Times New Roman" w:cs="Arial"/>
          <w:b/>
          <w:szCs w:val="24"/>
          <w:lang w:val="en-ZA"/>
        </w:rPr>
        <w:t>TH</w:t>
      </w:r>
      <w:r w:rsidR="00713C04">
        <w:rPr>
          <w:rFonts w:eastAsia="Times New Roman" w:cs="Arial"/>
          <w:b/>
          <w:szCs w:val="24"/>
          <w:lang w:val="en-ZA"/>
        </w:rPr>
        <w:t>ABO MAKWAKWA</w:t>
      </w:r>
      <w:r w:rsidRPr="007B7F59">
        <w:rPr>
          <w:rFonts w:eastAsia="Times New Roman" w:cs="Arial"/>
          <w:b/>
          <w:szCs w:val="24"/>
          <w:lang w:val="en-ZA"/>
        </w:rPr>
        <w:tab/>
      </w:r>
      <w:r w:rsidR="00713C04">
        <w:rPr>
          <w:rFonts w:eastAsia="Times New Roman" w:cs="Arial"/>
          <w:bCs/>
          <w:szCs w:val="24"/>
          <w:lang w:val="en-ZA"/>
        </w:rPr>
        <w:t>Fourth</w:t>
      </w:r>
      <w:r>
        <w:rPr>
          <w:rFonts w:eastAsia="Times New Roman" w:cs="Arial"/>
          <w:bCs/>
          <w:szCs w:val="24"/>
          <w:lang w:val="en-ZA"/>
        </w:rPr>
        <w:t xml:space="preserve"> </w:t>
      </w:r>
      <w:r>
        <w:rPr>
          <w:rFonts w:eastAsia="Times New Roman" w:cs="Arial"/>
          <w:szCs w:val="24"/>
          <w:lang w:val="en-ZA"/>
        </w:rPr>
        <w:t>Respondent</w:t>
      </w:r>
      <w:r w:rsidR="00713C04">
        <w:rPr>
          <w:rFonts w:eastAsia="Times New Roman" w:cs="Arial"/>
          <w:szCs w:val="24"/>
          <w:lang w:val="en-ZA"/>
        </w:rPr>
        <w:t>/Applicant</w:t>
      </w:r>
    </w:p>
    <w:p w14:paraId="2E1751DD" w14:textId="77777777" w:rsidR="00964270" w:rsidRDefault="00964270" w:rsidP="00964270">
      <w:pPr>
        <w:pStyle w:val="JudgmentNumbered"/>
        <w:numPr>
          <w:ilvl w:val="0"/>
          <w:numId w:val="0"/>
        </w:numPr>
        <w:pBdr>
          <w:bottom w:val="single" w:sz="12" w:space="1" w:color="auto"/>
        </w:pBdr>
        <w:ind w:left="567" w:hanging="567"/>
        <w:rPr>
          <w:lang w:val="en-ZA"/>
        </w:rPr>
      </w:pPr>
    </w:p>
    <w:p w14:paraId="1DCCD720" w14:textId="77777777" w:rsidR="004E14B6" w:rsidRDefault="004E14B6" w:rsidP="00964270">
      <w:pPr>
        <w:pStyle w:val="JudgmentNumbered"/>
        <w:numPr>
          <w:ilvl w:val="0"/>
          <w:numId w:val="0"/>
        </w:numPr>
        <w:pBdr>
          <w:bottom w:val="single" w:sz="12" w:space="1" w:color="auto"/>
        </w:pBdr>
        <w:ind w:left="567" w:hanging="567"/>
        <w:rPr>
          <w:lang w:val="en-ZA"/>
        </w:rPr>
      </w:pPr>
    </w:p>
    <w:p w14:paraId="05C94575" w14:textId="0D10E7D1" w:rsidR="00ED7F3A" w:rsidRPr="00720A03" w:rsidRDefault="00A33D74" w:rsidP="00964270">
      <w:pPr>
        <w:pStyle w:val="JudgmentNumbered"/>
        <w:numPr>
          <w:ilvl w:val="0"/>
          <w:numId w:val="0"/>
        </w:numPr>
        <w:ind w:left="567" w:hanging="567"/>
        <w:rPr>
          <w:b/>
          <w:bCs/>
          <w:lang w:val="en-ZA"/>
        </w:rPr>
      </w:pPr>
      <w:r>
        <w:rPr>
          <w:lang w:val="en-ZA"/>
        </w:rPr>
        <w:t xml:space="preserve">                                                       </w:t>
      </w:r>
      <w:r w:rsidR="004E14B6" w:rsidRPr="00720A03">
        <w:rPr>
          <w:b/>
          <w:bCs/>
          <w:lang w:val="en-ZA"/>
        </w:rPr>
        <w:t>SUMMARY</w:t>
      </w:r>
    </w:p>
    <w:p w14:paraId="11C0C11A" w14:textId="77777777" w:rsidR="00C0309A" w:rsidRDefault="00C0309A" w:rsidP="00C0309A">
      <w:pPr>
        <w:pBdr>
          <w:bottom w:val="single" w:sz="12" w:space="1" w:color="auto"/>
        </w:pBdr>
        <w:spacing w:after="0" w:line="240" w:lineRule="auto"/>
        <w:ind w:left="0"/>
        <w:jc w:val="left"/>
        <w:rPr>
          <w:rFonts w:cs="Arial"/>
          <w:b/>
          <w:szCs w:val="24"/>
          <w:lang w:val="en-ZA"/>
        </w:rPr>
      </w:pPr>
    </w:p>
    <w:p w14:paraId="215212B4" w14:textId="1C01AE20" w:rsidR="00720A03" w:rsidRPr="00C80900" w:rsidRDefault="00AD4A79" w:rsidP="00C80900">
      <w:pPr>
        <w:pStyle w:val="JudgmentNumbered"/>
        <w:numPr>
          <w:ilvl w:val="0"/>
          <w:numId w:val="0"/>
        </w:numPr>
        <w:ind w:left="567"/>
        <w:rPr>
          <w:lang w:val="en-ZA"/>
        </w:rPr>
      </w:pPr>
      <w:r>
        <w:rPr>
          <w:lang w:val="en-ZA"/>
        </w:rPr>
        <w:lastRenderedPageBreak/>
        <w:t xml:space="preserve">Rule in </w:t>
      </w:r>
      <w:r w:rsidRPr="00AD4A79">
        <w:rPr>
          <w:i/>
          <w:iCs/>
          <w:lang w:val="en-ZA"/>
        </w:rPr>
        <w:t>Hollington v Hewthorn</w:t>
      </w:r>
      <w:r w:rsidR="000839C4">
        <w:rPr>
          <w:i/>
          <w:iCs/>
          <w:lang w:val="en-ZA"/>
        </w:rPr>
        <w:t xml:space="preserve"> </w:t>
      </w:r>
      <w:r w:rsidR="00771685">
        <w:rPr>
          <w:lang w:val="en-ZA"/>
        </w:rPr>
        <w:t xml:space="preserve">to be strictly applied </w:t>
      </w:r>
      <w:r w:rsidR="007D091F">
        <w:rPr>
          <w:lang w:val="en-ZA"/>
        </w:rPr>
        <w:t>– not applicable in circumstances</w:t>
      </w:r>
      <w:r w:rsidR="001B2C79">
        <w:rPr>
          <w:lang w:val="en-ZA"/>
        </w:rPr>
        <w:t xml:space="preserve"> of this case</w:t>
      </w:r>
      <w:r w:rsidR="00FB0C4C">
        <w:rPr>
          <w:lang w:val="en-ZA"/>
        </w:rPr>
        <w:t>. Fi</w:t>
      </w:r>
      <w:r w:rsidR="00A958A0">
        <w:rPr>
          <w:lang w:val="en-ZA"/>
        </w:rPr>
        <w:t xml:space="preserve">ndings of another court relevant </w:t>
      </w:r>
      <w:r w:rsidR="00FB0C4C">
        <w:rPr>
          <w:lang w:val="en-ZA"/>
        </w:rPr>
        <w:t>on</w:t>
      </w:r>
      <w:r w:rsidR="00090531">
        <w:rPr>
          <w:lang w:val="en-ZA"/>
        </w:rPr>
        <w:t xml:space="preserve"> the facts of this case </w:t>
      </w:r>
      <w:r w:rsidR="00510B14">
        <w:rPr>
          <w:lang w:val="en-ZA"/>
        </w:rPr>
        <w:t xml:space="preserve">because it has probative force in relation to issues in the main application. </w:t>
      </w:r>
      <w:r w:rsidR="00FB0C4C">
        <w:rPr>
          <w:lang w:val="en-ZA"/>
        </w:rPr>
        <w:t xml:space="preserve"> </w:t>
      </w:r>
    </w:p>
    <w:p w14:paraId="0BA5CB24" w14:textId="20E9EB2E" w:rsidR="00720A03" w:rsidRPr="00720A03" w:rsidRDefault="00720A03" w:rsidP="00720A03">
      <w:pPr>
        <w:pStyle w:val="JudgmentNumbered"/>
        <w:numPr>
          <w:ilvl w:val="0"/>
          <w:numId w:val="0"/>
        </w:numPr>
        <w:ind w:left="567" w:hanging="567"/>
      </w:pPr>
      <w:r>
        <w:t>___________________________________________________________________</w:t>
      </w: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DFFFDE" w14:textId="21D06FD7" w:rsidR="00FE13F3" w:rsidRDefault="009C63B5" w:rsidP="00FE13F3">
      <w:pPr>
        <w:spacing w:after="0" w:line="240" w:lineRule="auto"/>
        <w:ind w:left="0"/>
        <w:jc w:val="left"/>
        <w:rPr>
          <w:rFonts w:cs="Arial"/>
          <w:b/>
          <w:bCs/>
          <w:szCs w:val="24"/>
        </w:rPr>
      </w:pPr>
      <w:r w:rsidRPr="00B21DA3">
        <w:rPr>
          <w:rFonts w:cs="Arial"/>
          <w:b/>
          <w:bCs/>
          <w:szCs w:val="24"/>
        </w:rPr>
        <w:t>F</w:t>
      </w:r>
      <w:r w:rsidR="00583747" w:rsidRPr="00B21DA3">
        <w:rPr>
          <w:rFonts w:cs="Arial"/>
          <w:b/>
          <w:bCs/>
          <w:szCs w:val="24"/>
        </w:rPr>
        <w:t>ISHER,</w:t>
      </w:r>
      <w:r w:rsidR="00854AE6" w:rsidRPr="00B21DA3">
        <w:rPr>
          <w:rFonts w:cs="Arial"/>
          <w:b/>
          <w:bCs/>
          <w:szCs w:val="24"/>
        </w:rPr>
        <w:t xml:space="preserve"> J</w:t>
      </w:r>
    </w:p>
    <w:p w14:paraId="1196992F" w14:textId="77777777" w:rsidR="00BE20A6" w:rsidRPr="00BE20A6" w:rsidRDefault="00BE20A6" w:rsidP="00BE20A6">
      <w:pPr>
        <w:pStyle w:val="JudgmentNumbered"/>
        <w:numPr>
          <w:ilvl w:val="0"/>
          <w:numId w:val="0"/>
        </w:numPr>
        <w:ind w:left="567" w:hanging="567"/>
      </w:pPr>
    </w:p>
    <w:p w14:paraId="20726558" w14:textId="08986FF7" w:rsidR="00D87AA7" w:rsidRPr="00854AE6" w:rsidRDefault="006819E0" w:rsidP="0065585A">
      <w:pPr>
        <w:pStyle w:val="JudgmentHeading"/>
      </w:pPr>
      <w:r>
        <w:t>Introduction</w:t>
      </w:r>
    </w:p>
    <w:p w14:paraId="2A4CB127" w14:textId="2B3BCA31" w:rsidR="00765FD8" w:rsidRDefault="005D4D9D" w:rsidP="005D4D9D">
      <w:pPr>
        <w:pStyle w:val="JudgmentNumbered"/>
        <w:numPr>
          <w:ilvl w:val="0"/>
          <w:numId w:val="0"/>
        </w:numPr>
        <w:ind w:left="720" w:hanging="720"/>
      </w:pPr>
      <w:r>
        <w:t>[1]</w:t>
      </w:r>
      <w:r>
        <w:tab/>
      </w:r>
      <w:r w:rsidR="00B701CF" w:rsidRPr="00B701CF">
        <w:t>This is an interlocutory application for the admission of further evidence in a main application</w:t>
      </w:r>
      <w:r w:rsidR="00291B68">
        <w:t>.</w:t>
      </w:r>
    </w:p>
    <w:p w14:paraId="0E2A088B" w14:textId="5EF9ABAC" w:rsidR="005816B1" w:rsidRDefault="005D4D9D" w:rsidP="005D4D9D">
      <w:pPr>
        <w:pStyle w:val="JudgmentNumbered"/>
        <w:numPr>
          <w:ilvl w:val="0"/>
          <w:numId w:val="0"/>
        </w:numPr>
        <w:ind w:left="720" w:hanging="720"/>
      </w:pPr>
      <w:r>
        <w:t>[2]</w:t>
      </w:r>
      <w:r>
        <w:tab/>
      </w:r>
      <w:r w:rsidR="00291B68">
        <w:t xml:space="preserve"> </w:t>
      </w:r>
      <w:r w:rsidR="00765FD8">
        <w:t>T</w:t>
      </w:r>
      <w:r w:rsidR="00291B68">
        <w:t xml:space="preserve">he applicants (in the main </w:t>
      </w:r>
      <w:r w:rsidR="00765FD8">
        <w:t>application)</w:t>
      </w:r>
      <w:r w:rsidR="00765FD8" w:rsidRPr="00B701CF">
        <w:t xml:space="preserve"> seek</w:t>
      </w:r>
      <w:r w:rsidR="00B701CF" w:rsidRPr="00B701CF">
        <w:t xml:space="preserve"> relief relating to alleged defamatory statements made in articles published by the respondents (in the main application)</w:t>
      </w:r>
      <w:r w:rsidR="005816B1">
        <w:t xml:space="preserve"> at the end of 2021</w:t>
      </w:r>
      <w:r w:rsidR="00291B68">
        <w:t xml:space="preserve">. </w:t>
      </w:r>
    </w:p>
    <w:p w14:paraId="45F70AEA" w14:textId="519BBEF5" w:rsidR="00765FD8" w:rsidRDefault="005D4D9D" w:rsidP="005D4D9D">
      <w:pPr>
        <w:pStyle w:val="JudgmentNumbered"/>
        <w:numPr>
          <w:ilvl w:val="0"/>
          <w:numId w:val="0"/>
        </w:numPr>
        <w:ind w:left="720" w:hanging="720"/>
      </w:pPr>
      <w:r>
        <w:t>[3]</w:t>
      </w:r>
      <w:r>
        <w:tab/>
      </w:r>
      <w:r w:rsidR="00291B68">
        <w:t xml:space="preserve">The parties are referred to as in the main application. </w:t>
      </w:r>
    </w:p>
    <w:p w14:paraId="2017C838" w14:textId="545164FA" w:rsidR="00B701CF" w:rsidRPr="00B701CF" w:rsidRDefault="005D4D9D" w:rsidP="005D4D9D">
      <w:pPr>
        <w:pStyle w:val="JudgmentNumbered"/>
        <w:numPr>
          <w:ilvl w:val="0"/>
          <w:numId w:val="0"/>
        </w:numPr>
        <w:ind w:left="720" w:hanging="720"/>
      </w:pPr>
      <w:r w:rsidRPr="00B701CF">
        <w:t>[4]</w:t>
      </w:r>
      <w:r w:rsidRPr="00B701CF">
        <w:tab/>
      </w:r>
      <w:r w:rsidR="00291B68">
        <w:t>The respondents</w:t>
      </w:r>
      <w:r w:rsidR="00B701CF" w:rsidRPr="00B701CF">
        <w:t xml:space="preserve"> are members of the press. </w:t>
      </w:r>
    </w:p>
    <w:p w14:paraId="4B68DAB8" w14:textId="4CD64CE9" w:rsidR="00B701CF" w:rsidRPr="00B701CF" w:rsidRDefault="005D4D9D" w:rsidP="005D4D9D">
      <w:pPr>
        <w:pStyle w:val="JudgmentNumbered"/>
        <w:numPr>
          <w:ilvl w:val="0"/>
          <w:numId w:val="0"/>
        </w:numPr>
        <w:ind w:left="720" w:hanging="720"/>
      </w:pPr>
      <w:r w:rsidRPr="00B701CF">
        <w:t>[5]</w:t>
      </w:r>
      <w:r w:rsidRPr="00B701CF">
        <w:tab/>
      </w:r>
      <w:r w:rsidR="00B701CF" w:rsidRPr="00B701CF">
        <w:t xml:space="preserve">The </w:t>
      </w:r>
      <w:r w:rsidR="00765FD8" w:rsidRPr="00B701CF">
        <w:t xml:space="preserve">evidence </w:t>
      </w:r>
      <w:r w:rsidR="00765FD8">
        <w:t>sought</w:t>
      </w:r>
      <w:r w:rsidR="00291B68">
        <w:t xml:space="preserve"> to be admitted by the respondents </w:t>
      </w:r>
      <w:r w:rsidR="00B701CF" w:rsidRPr="00B701CF">
        <w:t xml:space="preserve">takes the form of </w:t>
      </w:r>
      <w:r w:rsidR="004B7511">
        <w:t xml:space="preserve">findings in </w:t>
      </w:r>
      <w:r w:rsidR="0051109A">
        <w:t xml:space="preserve">certain </w:t>
      </w:r>
      <w:r w:rsidR="00B701CF" w:rsidRPr="00B701CF">
        <w:t xml:space="preserve">passages in a </w:t>
      </w:r>
      <w:r w:rsidR="0051109A">
        <w:t>recent</w:t>
      </w:r>
      <w:r w:rsidR="00B701CF" w:rsidRPr="00B701CF">
        <w:t xml:space="preserve"> judgment of the Full Bench of this division, </w:t>
      </w:r>
      <w:r w:rsidR="00B701CF" w:rsidRPr="00B701CF">
        <w:rPr>
          <w:i/>
          <w:iCs/>
        </w:rPr>
        <w:t>Morop</w:t>
      </w:r>
      <w:r w:rsidR="00B701CF">
        <w:rPr>
          <w:i/>
          <w:iCs/>
        </w:rPr>
        <w:t>a</w:t>
      </w:r>
      <w:r w:rsidR="00B701CF" w:rsidRPr="00B701CF">
        <w:rPr>
          <w:i/>
          <w:iCs/>
        </w:rPr>
        <w:t xml:space="preserve"> and 9 Others v Chemical Industries National Provident Fund &amp; 22 Others - </w:t>
      </w:r>
      <w:r w:rsidR="00B701CF" w:rsidRPr="00B701CF">
        <w:t>Appeal Case Number</w:t>
      </w:r>
      <w:r w:rsidR="00B701CF">
        <w:t>:</w:t>
      </w:r>
      <w:r w:rsidR="00B701CF" w:rsidRPr="00B701CF">
        <w:t xml:space="preserve"> A5041/21</w:t>
      </w:r>
      <w:r w:rsidR="002165C9">
        <w:t xml:space="preserve"> </w:t>
      </w:r>
      <w:r w:rsidR="00B701CF" w:rsidRPr="00B701CF">
        <w:t>(</w:t>
      </w:r>
      <w:r w:rsidR="00B701CF" w:rsidRPr="00B701CF">
        <w:rPr>
          <w:i/>
          <w:iCs/>
        </w:rPr>
        <w:t>Morop</w:t>
      </w:r>
      <w:r w:rsidR="002165C9" w:rsidRPr="002165C9">
        <w:rPr>
          <w:i/>
          <w:iCs/>
        </w:rPr>
        <w:t>a</w:t>
      </w:r>
      <w:r w:rsidR="00B701CF" w:rsidRPr="00B701CF">
        <w:t>) and a press release of the Financial Sector Conduct Authority (FSCA).</w:t>
      </w:r>
    </w:p>
    <w:p w14:paraId="109B9E89" w14:textId="774FD61F" w:rsidR="00B701CF" w:rsidRPr="00B701CF" w:rsidRDefault="005D4D9D" w:rsidP="005D4D9D">
      <w:pPr>
        <w:pStyle w:val="JudgmentNumbered"/>
        <w:numPr>
          <w:ilvl w:val="0"/>
          <w:numId w:val="0"/>
        </w:numPr>
        <w:ind w:left="720" w:hanging="720"/>
      </w:pPr>
      <w:r w:rsidRPr="00B701CF">
        <w:t>[6]</w:t>
      </w:r>
      <w:r w:rsidRPr="00B701CF">
        <w:tab/>
      </w:r>
      <w:r w:rsidR="00B701CF" w:rsidRPr="00B701CF">
        <w:t>The handing down of the judgment and the publication of the press release came after the respondents had filed their answering affidavit in the main application and the applicants had replied.</w:t>
      </w:r>
    </w:p>
    <w:p w14:paraId="5789782C" w14:textId="279AC3A2" w:rsidR="00765FD8" w:rsidRDefault="005D4D9D" w:rsidP="005D4D9D">
      <w:pPr>
        <w:pStyle w:val="JudgmentNumbered"/>
        <w:numPr>
          <w:ilvl w:val="0"/>
          <w:numId w:val="0"/>
        </w:numPr>
        <w:ind w:left="720" w:hanging="720"/>
      </w:pPr>
      <w:r>
        <w:t>[7]</w:t>
      </w:r>
      <w:r>
        <w:tab/>
      </w:r>
      <w:r w:rsidR="00B701CF" w:rsidRPr="00B701CF">
        <w:t>Although the applicants purport to raise six objections</w:t>
      </w:r>
      <w:r w:rsidR="00291B68">
        <w:t xml:space="preserve"> to the admission of the evidence</w:t>
      </w:r>
      <w:r w:rsidR="00B701CF" w:rsidRPr="00B701CF">
        <w:t xml:space="preserve">, in reality the objections can be distilled into </w:t>
      </w:r>
      <w:r w:rsidR="00FA2AD2">
        <w:t xml:space="preserve">two </w:t>
      </w:r>
      <w:r w:rsidR="00DD7CA5">
        <w:t>main</w:t>
      </w:r>
      <w:r w:rsidR="002B3D1A">
        <w:t xml:space="preserve"> arguments</w:t>
      </w:r>
      <w:r w:rsidR="00765FD8">
        <w:t>.</w:t>
      </w:r>
    </w:p>
    <w:p w14:paraId="5EF64EFA" w14:textId="4285F1D1" w:rsidR="00507E24" w:rsidRPr="00B701CF" w:rsidRDefault="005D4D9D" w:rsidP="005D4D9D">
      <w:pPr>
        <w:pStyle w:val="JudgmentNumbered"/>
        <w:numPr>
          <w:ilvl w:val="0"/>
          <w:numId w:val="0"/>
        </w:numPr>
        <w:ind w:left="720" w:hanging="720"/>
      </w:pPr>
      <w:r w:rsidRPr="00B701CF">
        <w:lastRenderedPageBreak/>
        <w:t>[8]</w:t>
      </w:r>
      <w:r w:rsidRPr="00B701CF">
        <w:tab/>
      </w:r>
      <w:r w:rsidR="00582681">
        <w:t>First</w:t>
      </w:r>
      <w:r w:rsidR="001D64D6">
        <w:t>,</w:t>
      </w:r>
      <w:r w:rsidR="00B701CF" w:rsidRPr="00B701CF">
        <w:t xml:space="preserve"> that there is a temporal problem in that the judgment and the press release post-date the articles </w:t>
      </w:r>
      <w:r w:rsidR="000254A5">
        <w:t>and are thus irrelevant to the makin</w:t>
      </w:r>
      <w:r w:rsidR="00582681">
        <w:t xml:space="preserve">g of the </w:t>
      </w:r>
      <w:r w:rsidR="005816B1">
        <w:t>statements</w:t>
      </w:r>
      <w:r w:rsidR="00B701CF" w:rsidRPr="00B701CF">
        <w:t>.</w:t>
      </w:r>
    </w:p>
    <w:p w14:paraId="5AE8200C" w14:textId="54EDD15E" w:rsidR="00B70F97" w:rsidRDefault="005D4D9D" w:rsidP="005D4D9D">
      <w:pPr>
        <w:pStyle w:val="JudgmentNumbered"/>
        <w:numPr>
          <w:ilvl w:val="0"/>
          <w:numId w:val="0"/>
        </w:numPr>
        <w:ind w:left="567" w:hanging="567"/>
      </w:pPr>
      <w:r>
        <w:t>[9]</w:t>
      </w:r>
      <w:r>
        <w:tab/>
      </w:r>
      <w:r w:rsidR="00B70F97">
        <w:t>Second,</w:t>
      </w:r>
      <w:r w:rsidR="00B70F97" w:rsidRPr="00B701CF">
        <w:t xml:space="preserve"> reliance on</w:t>
      </w:r>
      <w:r w:rsidR="00A21C76">
        <w:t xml:space="preserve"> </w:t>
      </w:r>
      <w:r w:rsidR="00A21C76" w:rsidRPr="00B953E4">
        <w:rPr>
          <w:i/>
          <w:iCs/>
        </w:rPr>
        <w:t>Hollingt</w:t>
      </w:r>
      <w:r w:rsidR="00B953E4" w:rsidRPr="00B953E4">
        <w:rPr>
          <w:i/>
          <w:iCs/>
        </w:rPr>
        <w:t>on v Hewthorn</w:t>
      </w:r>
      <w:r w:rsidR="00583DA0">
        <w:rPr>
          <w:i/>
          <w:iCs/>
        </w:rPr>
        <w:t xml:space="preserve"> &amp;Co Ltd</w:t>
      </w:r>
      <w:r w:rsidR="00B953E4">
        <w:rPr>
          <w:rStyle w:val="FootnoteReference"/>
        </w:rPr>
        <w:footnoteReference w:id="1"/>
      </w:r>
      <w:r w:rsidR="00B70F97">
        <w:t xml:space="preserve"> </w:t>
      </w:r>
      <w:r w:rsidR="00B953E4">
        <w:t xml:space="preserve"> </w:t>
      </w:r>
      <w:r w:rsidR="00174194">
        <w:t xml:space="preserve">on the basis </w:t>
      </w:r>
      <w:r w:rsidR="00D17430">
        <w:t>that, properly</w:t>
      </w:r>
      <w:r w:rsidR="00174194">
        <w:t xml:space="preserve"> </w:t>
      </w:r>
      <w:r w:rsidR="00D17430">
        <w:t>construed, it</w:t>
      </w:r>
      <w:r w:rsidR="00B953E4">
        <w:t xml:space="preserve"> provides that </w:t>
      </w:r>
      <w:r w:rsidR="002E714B">
        <w:t>finding</w:t>
      </w:r>
      <w:r w:rsidR="002A28D3">
        <w:t>s</w:t>
      </w:r>
      <w:r w:rsidR="002E714B">
        <w:t xml:space="preserve"> in judgments are inadmissible for being the irrelevant </w:t>
      </w:r>
      <w:r w:rsidR="00FB2DD9">
        <w:t>opinion</w:t>
      </w:r>
      <w:r w:rsidR="002A28D3">
        <w:t xml:space="preserve"> evidence</w:t>
      </w:r>
      <w:r w:rsidR="00FB2DD9">
        <w:t xml:space="preserve"> of another court. R</w:t>
      </w:r>
      <w:r w:rsidR="00B70F97">
        <w:t>elated to this</w:t>
      </w:r>
      <w:r w:rsidR="00FB2DD9">
        <w:t xml:space="preserve"> are </w:t>
      </w:r>
      <w:r w:rsidR="00B70F97">
        <w:t xml:space="preserve">the arguments that there is, furthermore, prejudice arising from the fact </w:t>
      </w:r>
      <w:r w:rsidR="009C6DEC">
        <w:t>that (</w:t>
      </w:r>
      <w:r w:rsidR="00B70F97">
        <w:t xml:space="preserve">i) that the evidence sought to be admitted is not, in any event, properly </w:t>
      </w:r>
      <w:r w:rsidR="00D17430">
        <w:t>defined and</w:t>
      </w:r>
      <w:r w:rsidR="00B70F97">
        <w:t xml:space="preserve"> (ii) that the judgment is subject to appeal.</w:t>
      </w:r>
    </w:p>
    <w:p w14:paraId="4357B864" w14:textId="77777777" w:rsidR="00A70111" w:rsidRDefault="00A70111" w:rsidP="00A70111">
      <w:pPr>
        <w:pStyle w:val="ListParagraph"/>
      </w:pPr>
    </w:p>
    <w:p w14:paraId="59EF1078" w14:textId="150AA878" w:rsidR="00A70111" w:rsidRDefault="005D4D9D" w:rsidP="005D4D9D">
      <w:pPr>
        <w:pStyle w:val="JudgmentNumbered"/>
        <w:numPr>
          <w:ilvl w:val="0"/>
          <w:numId w:val="0"/>
        </w:numPr>
        <w:ind w:left="567" w:hanging="567"/>
      </w:pPr>
      <w:r>
        <w:t>[10]</w:t>
      </w:r>
      <w:r>
        <w:tab/>
      </w:r>
      <w:r w:rsidR="00A70111">
        <w:t>These objections, in their essence, are that the evidence is inadmissible for being irrelevant.</w:t>
      </w:r>
    </w:p>
    <w:p w14:paraId="0B9B40BA" w14:textId="0543CC8B" w:rsidR="00173607" w:rsidRPr="0091670B" w:rsidRDefault="005D4D9D" w:rsidP="005D4D9D">
      <w:pPr>
        <w:pStyle w:val="JudgmentNumbered"/>
        <w:numPr>
          <w:ilvl w:val="0"/>
          <w:numId w:val="0"/>
        </w:numPr>
        <w:ind w:left="567" w:hanging="567"/>
      </w:pPr>
      <w:r w:rsidRPr="0091670B">
        <w:t>[11]</w:t>
      </w:r>
      <w:r w:rsidRPr="0091670B">
        <w:tab/>
      </w:r>
      <w:r w:rsidR="00173607" w:rsidRPr="0091670B">
        <w:t>On the merits</w:t>
      </w:r>
      <w:r w:rsidR="00173607">
        <w:t xml:space="preserve"> of the main application</w:t>
      </w:r>
      <w:r w:rsidR="00173607" w:rsidRPr="0091670B">
        <w:t xml:space="preserve">, the respondents dispute the defamatory nature of the statements on the basis that they were reporting on </w:t>
      </w:r>
      <w:r w:rsidR="002F5F78">
        <w:t>facts stated</w:t>
      </w:r>
      <w:r w:rsidR="00CF075E">
        <w:t xml:space="preserve"> by others</w:t>
      </w:r>
      <w:r w:rsidR="00173607" w:rsidRPr="0091670B">
        <w:t xml:space="preserve"> as opposed to themselves stating </w:t>
      </w:r>
      <w:r w:rsidR="002F5F78">
        <w:t>these</w:t>
      </w:r>
      <w:r w:rsidR="00173607" w:rsidRPr="0091670B">
        <w:t xml:space="preserve"> facts.</w:t>
      </w:r>
    </w:p>
    <w:p w14:paraId="5E0EDB83" w14:textId="251DDA13" w:rsidR="00173607" w:rsidRPr="0091670B" w:rsidRDefault="005D4D9D" w:rsidP="005D4D9D">
      <w:pPr>
        <w:pStyle w:val="JudgmentNumbered"/>
        <w:numPr>
          <w:ilvl w:val="0"/>
          <w:numId w:val="0"/>
        </w:numPr>
        <w:ind w:left="720" w:hanging="720"/>
      </w:pPr>
      <w:r w:rsidRPr="0091670B">
        <w:t>[12]</w:t>
      </w:r>
      <w:r w:rsidRPr="0091670B">
        <w:tab/>
      </w:r>
      <w:r w:rsidR="00173607" w:rsidRPr="0091670B">
        <w:t xml:space="preserve"> </w:t>
      </w:r>
      <w:r w:rsidR="00173607">
        <w:t>T</w:t>
      </w:r>
      <w:r w:rsidR="00173607" w:rsidRPr="0091670B">
        <w:t xml:space="preserve">he </w:t>
      </w:r>
      <w:r w:rsidR="0053505D" w:rsidRPr="0091670B">
        <w:t>respondents</w:t>
      </w:r>
      <w:r w:rsidR="0053505D">
        <w:t xml:space="preserve"> </w:t>
      </w:r>
      <w:r w:rsidR="0053505D" w:rsidRPr="0091670B">
        <w:t>also</w:t>
      </w:r>
      <w:r w:rsidR="00173607" w:rsidRPr="0091670B">
        <w:t xml:space="preserve"> deny wrongfulness. More specifically they raise the truth of the statements and that the publication was for the benefit of the public. They also raise the so-called </w:t>
      </w:r>
      <w:r w:rsidR="00173607" w:rsidRPr="0091670B">
        <w:rPr>
          <w:i/>
          <w:iCs/>
        </w:rPr>
        <w:t xml:space="preserve">Bogoshi </w:t>
      </w:r>
      <w:r w:rsidR="00173607" w:rsidRPr="0091670B">
        <w:t>defence</w:t>
      </w:r>
      <w:r w:rsidR="00173607">
        <w:t>,</w:t>
      </w:r>
      <w:r w:rsidR="00173607" w:rsidRPr="0091670B">
        <w:rPr>
          <w:vertAlign w:val="superscript"/>
        </w:rPr>
        <w:footnoteReference w:id="2"/>
      </w:r>
      <w:r w:rsidR="00173607" w:rsidRPr="0091670B">
        <w:t xml:space="preserve"> which accords to the media the privilege of reasonable publication</w:t>
      </w:r>
      <w:r w:rsidR="00173607">
        <w:t>.</w:t>
      </w:r>
    </w:p>
    <w:p w14:paraId="7B08166A" w14:textId="13259DA7" w:rsidR="00173607" w:rsidRDefault="005D4D9D" w:rsidP="005D4D9D">
      <w:pPr>
        <w:pStyle w:val="JudgmentNumbered"/>
        <w:numPr>
          <w:ilvl w:val="0"/>
          <w:numId w:val="0"/>
        </w:numPr>
        <w:ind w:left="567" w:hanging="567"/>
      </w:pPr>
      <w:r>
        <w:t>[13]</w:t>
      </w:r>
      <w:r>
        <w:tab/>
      </w:r>
      <w:r w:rsidR="00173607" w:rsidRPr="0091670B">
        <w:t>A</w:t>
      </w:r>
      <w:r w:rsidR="00E2021F">
        <w:t xml:space="preserve"> central</w:t>
      </w:r>
      <w:r w:rsidR="00173607" w:rsidRPr="0091670B">
        <w:t xml:space="preserve"> basis for both the defences of truth and in the public interest and </w:t>
      </w:r>
      <w:r w:rsidR="00173607">
        <w:t xml:space="preserve">the </w:t>
      </w:r>
      <w:r w:rsidR="00173607" w:rsidRPr="0073467D">
        <w:rPr>
          <w:i/>
          <w:iCs/>
        </w:rPr>
        <w:t>Bogoshi</w:t>
      </w:r>
      <w:r w:rsidR="00173607">
        <w:t xml:space="preserve"> defence</w:t>
      </w:r>
      <w:r w:rsidR="00173607" w:rsidRPr="0091670B">
        <w:t xml:space="preserve"> is the assertion that Akani was under investigation for corruption by the FSCA</w:t>
      </w:r>
      <w:r w:rsidR="00173607">
        <w:t xml:space="preserve"> relating</w:t>
      </w:r>
      <w:r w:rsidR="00173607" w:rsidRPr="0091670B">
        <w:t xml:space="preserve"> to complaints by the </w:t>
      </w:r>
      <w:r w:rsidR="00173607">
        <w:t>CINPF</w:t>
      </w:r>
      <w:r w:rsidR="00173607" w:rsidRPr="0091670B">
        <w:t xml:space="preserve"> against Akani and Mr</w:t>
      </w:r>
      <w:r w:rsidR="00173607">
        <w:t> </w:t>
      </w:r>
      <w:r w:rsidR="00173607" w:rsidRPr="0091670B">
        <w:t>Letjane involving improper relationships with FSCA officials</w:t>
      </w:r>
      <w:r w:rsidR="00173607">
        <w:t>. This is the sting or gist of the statements complained of.</w:t>
      </w:r>
    </w:p>
    <w:p w14:paraId="581A7F87" w14:textId="07A9AB84" w:rsidR="00173607" w:rsidRDefault="005D4D9D" w:rsidP="005D4D9D">
      <w:pPr>
        <w:pStyle w:val="JudgmentNumbered"/>
        <w:numPr>
          <w:ilvl w:val="0"/>
          <w:numId w:val="0"/>
        </w:numPr>
        <w:ind w:left="567" w:hanging="567"/>
      </w:pPr>
      <w:r>
        <w:t>[14]</w:t>
      </w:r>
      <w:r>
        <w:tab/>
      </w:r>
      <w:r w:rsidR="00173607">
        <w:t>It is</w:t>
      </w:r>
      <w:r w:rsidR="00960F79">
        <w:t xml:space="preserve"> in relation to the establishing of these defences or at least </w:t>
      </w:r>
      <w:r w:rsidR="00F65C03">
        <w:t>the raising of a dispute pertaining thereto that the evidence is sought to be admitted.</w:t>
      </w:r>
      <w:r w:rsidR="00960F79">
        <w:t xml:space="preserve"> </w:t>
      </w:r>
      <w:r w:rsidR="00173607">
        <w:t xml:space="preserve"> </w:t>
      </w:r>
    </w:p>
    <w:p w14:paraId="6CB9F4F9" w14:textId="40293381" w:rsidR="00173607" w:rsidRDefault="005D4D9D" w:rsidP="005D4D9D">
      <w:pPr>
        <w:pStyle w:val="JudgmentNumbered"/>
        <w:numPr>
          <w:ilvl w:val="0"/>
          <w:numId w:val="0"/>
        </w:numPr>
        <w:ind w:left="720" w:hanging="720"/>
      </w:pPr>
      <w:r>
        <w:lastRenderedPageBreak/>
        <w:t>[15]</w:t>
      </w:r>
      <w:r>
        <w:tab/>
      </w:r>
      <w:r w:rsidR="00F65C03">
        <w:t>The</w:t>
      </w:r>
      <w:r w:rsidR="00180797">
        <w:t>se competing arguments in relation to relevance must be vie</w:t>
      </w:r>
      <w:r w:rsidR="008B02EC">
        <w:t>wed against the factual and procedural background to the main application</w:t>
      </w:r>
      <w:r w:rsidR="00F50F82">
        <w:t>, to which I now turn.</w:t>
      </w:r>
    </w:p>
    <w:p w14:paraId="545795D4" w14:textId="7F7B2B95" w:rsidR="00B701CF" w:rsidRPr="00B701CF" w:rsidRDefault="00B701CF" w:rsidP="00EB47DA">
      <w:pPr>
        <w:pStyle w:val="JudgmentNumbered"/>
        <w:numPr>
          <w:ilvl w:val="0"/>
          <w:numId w:val="0"/>
        </w:numPr>
      </w:pPr>
    </w:p>
    <w:p w14:paraId="7752360B" w14:textId="5B91F58D" w:rsidR="00B701CF" w:rsidRPr="0091670B" w:rsidRDefault="0091670B" w:rsidP="0091670B">
      <w:pPr>
        <w:pStyle w:val="JudgmentNumbered"/>
        <w:numPr>
          <w:ilvl w:val="0"/>
          <w:numId w:val="0"/>
        </w:numPr>
        <w:rPr>
          <w:i/>
          <w:iCs/>
        </w:rPr>
      </w:pPr>
      <w:r>
        <w:rPr>
          <w:i/>
          <w:iCs/>
        </w:rPr>
        <w:t>Background</w:t>
      </w:r>
    </w:p>
    <w:p w14:paraId="291FE39F" w14:textId="3487287E" w:rsidR="0091670B" w:rsidRPr="0091670B" w:rsidRDefault="005D4D9D" w:rsidP="005D4D9D">
      <w:pPr>
        <w:pStyle w:val="JudgmentNumbered"/>
        <w:numPr>
          <w:ilvl w:val="0"/>
          <w:numId w:val="0"/>
        </w:numPr>
        <w:ind w:left="720" w:hanging="720"/>
      </w:pPr>
      <w:r w:rsidRPr="0091670B">
        <w:t>[16]</w:t>
      </w:r>
      <w:r w:rsidRPr="0091670B">
        <w:tab/>
      </w:r>
      <w:r w:rsidR="0091670B" w:rsidRPr="0091670B">
        <w:t xml:space="preserve">The first article, titled </w:t>
      </w:r>
      <w:r w:rsidR="0091670B">
        <w:t>“</w:t>
      </w:r>
      <w:r w:rsidR="0091670B" w:rsidRPr="0091670B">
        <w:rPr>
          <w:i/>
          <w:iCs/>
        </w:rPr>
        <w:t xml:space="preserve">Akani's boss Zamani Letjane accused of </w:t>
      </w:r>
      <w:r w:rsidR="0091670B">
        <w:rPr>
          <w:i/>
          <w:iCs/>
        </w:rPr>
        <w:t>‘</w:t>
      </w:r>
      <w:r w:rsidR="0091670B" w:rsidRPr="0091670B">
        <w:rPr>
          <w:i/>
          <w:iCs/>
        </w:rPr>
        <w:t>unsavoury</w:t>
      </w:r>
      <w:r w:rsidR="0091670B">
        <w:rPr>
          <w:i/>
          <w:iCs/>
        </w:rPr>
        <w:t>’</w:t>
      </w:r>
      <w:r w:rsidR="0091670B" w:rsidRPr="0091670B">
        <w:rPr>
          <w:i/>
          <w:iCs/>
        </w:rPr>
        <w:t xml:space="preserve"> relationship with the </w:t>
      </w:r>
      <w:bookmarkStart w:id="4" w:name="_Hlk153872154"/>
      <w:r w:rsidR="0091670B" w:rsidRPr="0091670B">
        <w:rPr>
          <w:i/>
          <w:iCs/>
        </w:rPr>
        <w:t>Financial Sector Conduct Authority</w:t>
      </w:r>
      <w:bookmarkEnd w:id="4"/>
      <w:r w:rsidR="0091670B">
        <w:t>”</w:t>
      </w:r>
      <w:r w:rsidR="0091670B" w:rsidRPr="0091670B">
        <w:t>, was published by the respondents on 30 November 2021.</w:t>
      </w:r>
      <w:r w:rsidR="0091670B">
        <w:t>T</w:t>
      </w:r>
      <w:r w:rsidR="0091670B" w:rsidRPr="0091670B">
        <w:t>he second article, titled “</w:t>
      </w:r>
      <w:r w:rsidR="0091670B" w:rsidRPr="00291B68">
        <w:rPr>
          <w:i/>
          <w:iCs/>
        </w:rPr>
        <w:t>Akani Retirement Fund MD in hot water over claims of extortion and failing to hand over documents</w:t>
      </w:r>
      <w:r w:rsidR="0091670B">
        <w:t>”</w:t>
      </w:r>
      <w:r w:rsidR="00291B68">
        <w:t xml:space="preserve"> was</w:t>
      </w:r>
      <w:r w:rsidR="0091670B" w:rsidRPr="0091670B">
        <w:t xml:space="preserve"> published by respondents on 06 December 2021.</w:t>
      </w:r>
    </w:p>
    <w:p w14:paraId="476C1BC2" w14:textId="2E5CADE0" w:rsidR="0091670B" w:rsidRPr="0091670B" w:rsidRDefault="005D4D9D" w:rsidP="005D4D9D">
      <w:pPr>
        <w:pStyle w:val="JudgmentNumbered"/>
        <w:numPr>
          <w:ilvl w:val="0"/>
          <w:numId w:val="0"/>
        </w:numPr>
        <w:ind w:left="720" w:hanging="720"/>
      </w:pPr>
      <w:r w:rsidRPr="0091670B">
        <w:t>[17]</w:t>
      </w:r>
      <w:r w:rsidRPr="0091670B">
        <w:tab/>
      </w:r>
      <w:r w:rsidR="0091670B" w:rsidRPr="0091670B">
        <w:t>There were subsequent tweets</w:t>
      </w:r>
      <w:r w:rsidR="00291B68">
        <w:t xml:space="preserve"> on the social network </w:t>
      </w:r>
      <w:r w:rsidR="00291B68" w:rsidRPr="00291B68">
        <w:rPr>
          <w:i/>
          <w:iCs/>
        </w:rPr>
        <w:t>Twitter</w:t>
      </w:r>
      <w:r w:rsidR="0091670B" w:rsidRPr="0091670B">
        <w:t xml:space="preserve"> related to these articles but the argument centres on the articles themselves.</w:t>
      </w:r>
    </w:p>
    <w:p w14:paraId="210C2CA5" w14:textId="38A9ADA3" w:rsidR="0091670B" w:rsidRPr="0091670B" w:rsidRDefault="005D4D9D" w:rsidP="005D4D9D">
      <w:pPr>
        <w:pStyle w:val="JudgmentNumbered"/>
        <w:numPr>
          <w:ilvl w:val="0"/>
          <w:numId w:val="0"/>
        </w:numPr>
        <w:ind w:left="720" w:hanging="720"/>
      </w:pPr>
      <w:bookmarkStart w:id="5" w:name="_Hlk152584998"/>
      <w:r w:rsidRPr="0091670B">
        <w:t>[18]</w:t>
      </w:r>
      <w:r w:rsidRPr="0091670B">
        <w:tab/>
      </w:r>
      <w:r w:rsidR="0091670B" w:rsidRPr="0091670B">
        <w:t xml:space="preserve">In essence, the articles make reference to </w:t>
      </w:r>
      <w:r w:rsidR="003B5D3B">
        <w:t>reports</w:t>
      </w:r>
      <w:r w:rsidR="0091670B" w:rsidRPr="0091670B">
        <w:t xml:space="preserve"> made</w:t>
      </w:r>
      <w:r w:rsidR="00F50F82">
        <w:t xml:space="preserve"> by others</w:t>
      </w:r>
      <w:r w:rsidR="0091670B" w:rsidRPr="0091670B">
        <w:t xml:space="preserve"> about Akani and its CEO, Mr Letjane, the applicants in the main application.</w:t>
      </w:r>
    </w:p>
    <w:p w14:paraId="4E4641FC" w14:textId="05C383F3" w:rsidR="0091670B" w:rsidRPr="0091670B" w:rsidRDefault="005D4D9D" w:rsidP="005D4D9D">
      <w:pPr>
        <w:pStyle w:val="JudgmentNumbered"/>
        <w:numPr>
          <w:ilvl w:val="0"/>
          <w:numId w:val="0"/>
        </w:numPr>
        <w:ind w:left="720" w:hanging="720"/>
      </w:pPr>
      <w:r w:rsidRPr="0091670B">
        <w:t>[19]</w:t>
      </w:r>
      <w:r w:rsidRPr="0091670B">
        <w:tab/>
      </w:r>
      <w:r w:rsidR="0091670B" w:rsidRPr="0091670B">
        <w:t>Th</w:t>
      </w:r>
      <w:r w:rsidR="003B5D3B">
        <w:t xml:space="preserve">ese reports </w:t>
      </w:r>
      <w:r w:rsidR="00974432">
        <w:t xml:space="preserve">pertain </w:t>
      </w:r>
      <w:r w:rsidR="0091670B" w:rsidRPr="0091670B">
        <w:t xml:space="preserve">to </w:t>
      </w:r>
      <w:r w:rsidR="0008189C">
        <w:t xml:space="preserve">alleged </w:t>
      </w:r>
      <w:r w:rsidR="0091670B" w:rsidRPr="0091670B">
        <w:t>complaints</w:t>
      </w:r>
      <w:r w:rsidR="00974432">
        <w:t xml:space="preserve"> made</w:t>
      </w:r>
      <w:r w:rsidR="0091670B" w:rsidRPr="0091670B">
        <w:t xml:space="preserve"> by the Chemical Industries National Provident Fund (CINPF) to the FSCA against Akani and Mr</w:t>
      </w:r>
      <w:r w:rsidR="0091670B">
        <w:t> </w:t>
      </w:r>
      <w:r w:rsidR="0091670B" w:rsidRPr="0091670B">
        <w:t xml:space="preserve">Letjane </w:t>
      </w:r>
      <w:r w:rsidR="0008189C">
        <w:t>relating to</w:t>
      </w:r>
      <w:r w:rsidR="0091670B" w:rsidRPr="0091670B">
        <w:t xml:space="preserve"> improper relationships with FSCA officials, extortion and failure to hand over documents for forensic investigation.</w:t>
      </w:r>
    </w:p>
    <w:p w14:paraId="785E34FD" w14:textId="00B047EA" w:rsidR="0091670B" w:rsidRPr="0091670B" w:rsidRDefault="005D4D9D" w:rsidP="005D4D9D">
      <w:pPr>
        <w:pStyle w:val="JudgmentNumbered"/>
        <w:numPr>
          <w:ilvl w:val="0"/>
          <w:numId w:val="0"/>
        </w:numPr>
        <w:ind w:left="720" w:hanging="720"/>
      </w:pPr>
      <w:r w:rsidRPr="0091670B">
        <w:t>[20]</w:t>
      </w:r>
      <w:r w:rsidRPr="0091670B">
        <w:tab/>
      </w:r>
      <w:r w:rsidR="0091670B" w:rsidRPr="0091670B">
        <w:t xml:space="preserve">The procedure adopted by the applicants is pertinent to this application. The applicants </w:t>
      </w:r>
      <w:r w:rsidR="0008189C">
        <w:t xml:space="preserve">opted to </w:t>
      </w:r>
      <w:r w:rsidR="0091670B" w:rsidRPr="0091670B">
        <w:t>use a hybrid</w:t>
      </w:r>
      <w:r w:rsidR="00C11837">
        <w:t xml:space="preserve"> model</w:t>
      </w:r>
      <w:r w:rsidR="00044D7F">
        <w:t xml:space="preserve"> which entails</w:t>
      </w:r>
      <w:r w:rsidR="0091670B" w:rsidRPr="0091670B">
        <w:t xml:space="preserve"> launching motion proceedings to pursue a declaration that the articles and tweets contained false and misleading allegations which are defamatory of the applicants and/or injurious to them, final interdictory relief and the publication of an apology or retraction. A declaration is then sought that the respondents are liable for damage</w:t>
      </w:r>
      <w:r w:rsidR="00044D7F">
        <w:t>s in an</w:t>
      </w:r>
      <w:r w:rsidR="0091670B" w:rsidRPr="0091670B">
        <w:t xml:space="preserve"> amount to be determined in action proceedin</w:t>
      </w:r>
      <w:r w:rsidR="00072059">
        <w:t>gs</w:t>
      </w:r>
      <w:r w:rsidR="0091670B" w:rsidRPr="0091670B">
        <w:t>.</w:t>
      </w:r>
    </w:p>
    <w:p w14:paraId="7FA14BDA" w14:textId="40E08738" w:rsidR="0091670B" w:rsidRPr="002C0589" w:rsidRDefault="005D4D9D" w:rsidP="005D4D9D">
      <w:pPr>
        <w:pStyle w:val="JudgmentNumbered"/>
        <w:numPr>
          <w:ilvl w:val="0"/>
          <w:numId w:val="0"/>
        </w:numPr>
        <w:ind w:left="720" w:hanging="720"/>
      </w:pPr>
      <w:r w:rsidRPr="002C0589">
        <w:t>[21]</w:t>
      </w:r>
      <w:r w:rsidRPr="002C0589">
        <w:tab/>
      </w:r>
      <w:r w:rsidR="0091670B" w:rsidRPr="0091670B">
        <w:t xml:space="preserve">The approach is based on the assertion by the applicants that there is no dispute of fact in relation to the defamation and that the only disputed issues </w:t>
      </w:r>
      <w:r w:rsidR="00E2021F">
        <w:t>relate to</w:t>
      </w:r>
      <w:r w:rsidR="0091670B" w:rsidRPr="0091670B">
        <w:t xml:space="preserve"> the determination of the quantum of damages</w:t>
      </w:r>
      <w:r w:rsidR="00BB2AF7">
        <w:t>.</w:t>
      </w:r>
    </w:p>
    <w:p w14:paraId="01910DAA" w14:textId="689540B6" w:rsidR="00280080" w:rsidRDefault="005D4D9D" w:rsidP="005D4D9D">
      <w:pPr>
        <w:pStyle w:val="JudgmentNumbered"/>
        <w:numPr>
          <w:ilvl w:val="0"/>
          <w:numId w:val="0"/>
        </w:numPr>
        <w:ind w:left="720" w:hanging="720"/>
      </w:pPr>
      <w:r>
        <w:lastRenderedPageBreak/>
        <w:t>[22]</w:t>
      </w:r>
      <w:r>
        <w:tab/>
      </w:r>
      <w:r w:rsidR="0091670B" w:rsidRPr="0091670B">
        <w:t>The respondents contend</w:t>
      </w:r>
      <w:r w:rsidR="00280080">
        <w:t>,</w:t>
      </w:r>
      <w:r w:rsidR="0091670B" w:rsidRPr="0091670B">
        <w:t xml:space="preserve"> </w:t>
      </w:r>
      <w:r w:rsidR="0091670B" w:rsidRPr="0091670B">
        <w:rPr>
          <w:i/>
          <w:iCs/>
        </w:rPr>
        <w:t>in limine</w:t>
      </w:r>
      <w:r w:rsidR="00280080">
        <w:rPr>
          <w:i/>
          <w:iCs/>
        </w:rPr>
        <w:t>,</w:t>
      </w:r>
      <w:r w:rsidR="0091670B" w:rsidRPr="0091670B">
        <w:t xml:space="preserve"> in the main application that this hybrid procedure is incompetent. They argue that they are entitled to the dismissal of the application on that basis alone. </w:t>
      </w:r>
    </w:p>
    <w:p w14:paraId="3634D6B3" w14:textId="7AE2C465" w:rsidR="0091670B" w:rsidRDefault="005D4D9D" w:rsidP="005D4D9D">
      <w:pPr>
        <w:pStyle w:val="JudgmentNumbered"/>
        <w:numPr>
          <w:ilvl w:val="0"/>
          <w:numId w:val="0"/>
        </w:numPr>
        <w:ind w:left="720" w:hanging="720"/>
      </w:pPr>
      <w:r>
        <w:t>[23]</w:t>
      </w:r>
      <w:r>
        <w:tab/>
      </w:r>
      <w:r w:rsidR="0091670B" w:rsidRPr="0091670B">
        <w:t xml:space="preserve">I need not make any comment on the correctness or otherwise of the procedure as this is for the court dealing with the main application. </w:t>
      </w:r>
    </w:p>
    <w:p w14:paraId="5A871CE1" w14:textId="71EF0D6B" w:rsidR="00A139A4" w:rsidRDefault="005D4D9D" w:rsidP="005D4D9D">
      <w:pPr>
        <w:pStyle w:val="JudgmentNumbered"/>
        <w:numPr>
          <w:ilvl w:val="0"/>
          <w:numId w:val="0"/>
        </w:numPr>
        <w:ind w:left="720" w:hanging="720"/>
      </w:pPr>
      <w:r>
        <w:t>[24]</w:t>
      </w:r>
      <w:r>
        <w:tab/>
      </w:r>
      <w:r w:rsidR="00B8316D">
        <w:t>Whether the evidence is admissible</w:t>
      </w:r>
      <w:r w:rsidR="002C597B">
        <w:t xml:space="preserve"> </w:t>
      </w:r>
      <w:r w:rsidR="004F2ADD">
        <w:t>is, however</w:t>
      </w:r>
      <w:r w:rsidR="00F11317">
        <w:t>,</w:t>
      </w:r>
      <w:r w:rsidR="002C597B">
        <w:t xml:space="preserve"> pertinent to </w:t>
      </w:r>
      <w:r w:rsidR="00F11317">
        <w:t>whether a dispute of fact arises</w:t>
      </w:r>
      <w:r w:rsidR="004F2ADD">
        <w:t>. This obviously affects the argument as to whether the application procedure is appropriate.</w:t>
      </w:r>
      <w:r w:rsidR="00F11317">
        <w:t xml:space="preserve"> </w:t>
      </w:r>
    </w:p>
    <w:p w14:paraId="28C75AF9" w14:textId="4CE7C14A" w:rsidR="004F2ADD" w:rsidRPr="0091670B" w:rsidRDefault="005D4D9D" w:rsidP="005D4D9D">
      <w:pPr>
        <w:pStyle w:val="JudgmentNumbered"/>
        <w:numPr>
          <w:ilvl w:val="0"/>
          <w:numId w:val="0"/>
        </w:numPr>
        <w:ind w:left="720" w:hanging="720"/>
      </w:pPr>
      <w:r w:rsidRPr="0091670B">
        <w:t>[25]</w:t>
      </w:r>
      <w:r w:rsidRPr="0091670B">
        <w:tab/>
      </w:r>
      <w:r w:rsidR="00145EFA">
        <w:t xml:space="preserve">With this in mind, I turn to an examination of </w:t>
      </w:r>
      <w:r w:rsidR="00026B19">
        <w:t>the relevancy objections raised in this application.</w:t>
      </w:r>
    </w:p>
    <w:p w14:paraId="1C6AA1AE" w14:textId="23B3883E" w:rsidR="00C2127C" w:rsidRPr="00A928D2" w:rsidRDefault="00C2127C" w:rsidP="00C2127C">
      <w:pPr>
        <w:pStyle w:val="JudgmentNumbered"/>
        <w:numPr>
          <w:ilvl w:val="0"/>
          <w:numId w:val="0"/>
        </w:numPr>
        <w:shd w:val="clear" w:color="auto" w:fill="FFFFFF"/>
        <w:spacing w:before="144" w:after="0" w:line="360" w:lineRule="atLeast"/>
        <w:ind w:left="567"/>
        <w:rPr>
          <w:color w:val="242121"/>
          <w:sz w:val="27"/>
          <w:szCs w:val="27"/>
        </w:rPr>
      </w:pPr>
    </w:p>
    <w:p w14:paraId="2EF1E5C5" w14:textId="6BD8F23D" w:rsidR="0091670B" w:rsidRDefault="0091670B" w:rsidP="007E083A">
      <w:pPr>
        <w:pStyle w:val="JudgmentNumbered"/>
        <w:numPr>
          <w:ilvl w:val="0"/>
          <w:numId w:val="0"/>
        </w:numPr>
        <w:ind w:left="567" w:hanging="567"/>
      </w:pPr>
    </w:p>
    <w:p w14:paraId="79226008" w14:textId="7552CD01" w:rsidR="00702E2E" w:rsidRPr="0091670B" w:rsidRDefault="00702E2E" w:rsidP="00702E2E">
      <w:pPr>
        <w:pStyle w:val="JudgmentNumbered"/>
        <w:numPr>
          <w:ilvl w:val="0"/>
          <w:numId w:val="0"/>
        </w:numPr>
        <w:rPr>
          <w:i/>
          <w:iCs/>
        </w:rPr>
      </w:pPr>
      <w:r>
        <w:rPr>
          <w:i/>
          <w:iCs/>
        </w:rPr>
        <w:t>The temporal argument</w:t>
      </w:r>
    </w:p>
    <w:p w14:paraId="23390ADE" w14:textId="51949A14" w:rsidR="006239DB" w:rsidRDefault="005D4D9D" w:rsidP="005D4D9D">
      <w:pPr>
        <w:pStyle w:val="JudgmentNumbered"/>
        <w:numPr>
          <w:ilvl w:val="0"/>
          <w:numId w:val="0"/>
        </w:numPr>
        <w:ind w:left="720" w:hanging="720"/>
      </w:pPr>
      <w:r>
        <w:t>[26]</w:t>
      </w:r>
      <w:r>
        <w:tab/>
      </w:r>
      <w:r w:rsidR="006239DB">
        <w:t xml:space="preserve">The argument is that the </w:t>
      </w:r>
      <w:r w:rsidR="0042638C">
        <w:t xml:space="preserve">evidence sought to be introduced arose after the making of the statements and is thus irrelevant </w:t>
      </w:r>
      <w:r w:rsidR="002032ED">
        <w:t xml:space="preserve">to the issues surrounding their </w:t>
      </w:r>
      <w:r w:rsidR="00193711">
        <w:t>making.</w:t>
      </w:r>
    </w:p>
    <w:p w14:paraId="1DE54A32" w14:textId="17E1EED8" w:rsidR="00193711" w:rsidRDefault="005D4D9D" w:rsidP="005D4D9D">
      <w:pPr>
        <w:pStyle w:val="JudgmentNumbered"/>
        <w:numPr>
          <w:ilvl w:val="0"/>
          <w:numId w:val="0"/>
        </w:numPr>
        <w:ind w:left="720" w:hanging="720"/>
      </w:pPr>
      <w:r>
        <w:t>[27]</w:t>
      </w:r>
      <w:r>
        <w:tab/>
      </w:r>
      <w:r w:rsidR="00B95352" w:rsidRPr="00702E2E">
        <w:t>Thi</w:t>
      </w:r>
      <w:r w:rsidR="00B95352">
        <w:t>s</w:t>
      </w:r>
      <w:r w:rsidR="00B95352" w:rsidRPr="00702E2E">
        <w:t xml:space="preserve"> </w:t>
      </w:r>
      <w:r w:rsidR="00B95352">
        <w:t>assertion</w:t>
      </w:r>
      <w:r w:rsidR="00026B19">
        <w:t xml:space="preserve"> </w:t>
      </w:r>
      <w:r w:rsidR="00702E2E" w:rsidRPr="00702E2E">
        <w:t xml:space="preserve">ignores that the events forming the subject matter of the findings in </w:t>
      </w:r>
      <w:r w:rsidR="00702E2E" w:rsidRPr="00702E2E">
        <w:rPr>
          <w:i/>
          <w:iCs/>
        </w:rPr>
        <w:t xml:space="preserve">Moropa </w:t>
      </w:r>
      <w:r w:rsidR="00702E2E" w:rsidRPr="00702E2E">
        <w:t>pre</w:t>
      </w:r>
      <w:r w:rsidR="00702E2E">
        <w:t>-</w:t>
      </w:r>
      <w:r w:rsidR="00702E2E" w:rsidRPr="00702E2E">
        <w:t>dated the publication of the defamatory matter forming the subject of the main application.</w:t>
      </w:r>
    </w:p>
    <w:p w14:paraId="2A14BBEC" w14:textId="168F70AA" w:rsidR="00193711" w:rsidRDefault="005D4D9D" w:rsidP="005D4D9D">
      <w:pPr>
        <w:pStyle w:val="JudgmentNumbered"/>
        <w:numPr>
          <w:ilvl w:val="0"/>
          <w:numId w:val="0"/>
        </w:numPr>
        <w:ind w:left="720" w:hanging="720"/>
      </w:pPr>
      <w:r>
        <w:t>[28]</w:t>
      </w:r>
      <w:r>
        <w:tab/>
      </w:r>
      <w:r w:rsidR="00702E2E" w:rsidRPr="00702E2E">
        <w:t xml:space="preserve"> The passages in </w:t>
      </w:r>
      <w:r w:rsidR="00702E2E" w:rsidRPr="00702E2E">
        <w:rPr>
          <w:i/>
          <w:iCs/>
        </w:rPr>
        <w:t>Morop</w:t>
      </w:r>
      <w:r w:rsidR="00702E2E">
        <w:rPr>
          <w:i/>
          <w:iCs/>
        </w:rPr>
        <w:t>a</w:t>
      </w:r>
      <w:r w:rsidR="00702E2E" w:rsidRPr="00702E2E">
        <w:t xml:space="preserve"> involve findings that an associated company of Akani which was run and controlled by Letjane, Neighbour Funeral Scheme (NFS) paid bribes to three trustees of CINPF in order to benefit Akani. </w:t>
      </w:r>
    </w:p>
    <w:p w14:paraId="45E1FEF3" w14:textId="551B621A" w:rsidR="00026B19" w:rsidRDefault="005D4D9D" w:rsidP="005D4D9D">
      <w:pPr>
        <w:pStyle w:val="JudgmentNumbered"/>
        <w:numPr>
          <w:ilvl w:val="0"/>
          <w:numId w:val="0"/>
        </w:numPr>
        <w:ind w:left="720" w:hanging="720"/>
      </w:pPr>
      <w:r>
        <w:t>[29]</w:t>
      </w:r>
      <w:r>
        <w:tab/>
      </w:r>
      <w:r w:rsidR="00702E2E" w:rsidRPr="00702E2E">
        <w:t xml:space="preserve">The events described in </w:t>
      </w:r>
      <w:r w:rsidR="00702E2E" w:rsidRPr="00702E2E">
        <w:rPr>
          <w:i/>
          <w:iCs/>
        </w:rPr>
        <w:t xml:space="preserve">Moropa </w:t>
      </w:r>
      <w:r w:rsidR="00702E2E" w:rsidRPr="00702E2E">
        <w:t xml:space="preserve">occurred in November and December 2019. </w:t>
      </w:r>
    </w:p>
    <w:p w14:paraId="40FB6DDF" w14:textId="6B667820" w:rsidR="00702E2E" w:rsidRPr="00702E2E" w:rsidRDefault="005D4D9D" w:rsidP="005D4D9D">
      <w:pPr>
        <w:pStyle w:val="JudgmentNumbered"/>
        <w:numPr>
          <w:ilvl w:val="0"/>
          <w:numId w:val="0"/>
        </w:numPr>
        <w:ind w:left="567" w:hanging="567"/>
      </w:pPr>
      <w:r w:rsidRPr="00702E2E">
        <w:t>[30]</w:t>
      </w:r>
      <w:r w:rsidRPr="00702E2E">
        <w:tab/>
      </w:r>
      <w:r w:rsidR="00702E2E" w:rsidRPr="00702E2E">
        <w:t>The respondents argue that these findings create context for their defences of lack of wrongfulness</w:t>
      </w:r>
      <w:r w:rsidR="00D313D2">
        <w:t xml:space="preserve"> at the time the statements were made – </w:t>
      </w:r>
      <w:r w:rsidR="00026B19">
        <w:t>i.e.</w:t>
      </w:r>
      <w:r w:rsidR="00D313D2">
        <w:t xml:space="preserve"> at the end of 2021.</w:t>
      </w:r>
      <w:r w:rsidR="00B03649">
        <w:t xml:space="preserve"> They</w:t>
      </w:r>
      <w:r w:rsidR="008A705F">
        <w:t xml:space="preserve"> argue that the press release is relevant for the purposes of raising the required rebuttal or at least establishing a dispute of fact as to the truth of the </w:t>
      </w:r>
      <w:r w:rsidR="008A705F">
        <w:lastRenderedPageBreak/>
        <w:t>sting being that the applicants were involved in corrupt</w:t>
      </w:r>
      <w:r w:rsidR="008F6FC4">
        <w:t xml:space="preserve"> activities</w:t>
      </w:r>
      <w:r w:rsidR="00943CA6">
        <w:t xml:space="preserve"> which w</w:t>
      </w:r>
      <w:r w:rsidR="008F6FC4">
        <w:t>ere</w:t>
      </w:r>
      <w:r w:rsidR="00943CA6">
        <w:t xml:space="preserve"> being investigated by the FSCA.</w:t>
      </w:r>
      <w:r w:rsidR="008A705F">
        <w:t xml:space="preserve"> </w:t>
      </w:r>
    </w:p>
    <w:p w14:paraId="0D60776C" w14:textId="308B4F1A" w:rsidR="006124F6" w:rsidRDefault="005D4D9D" w:rsidP="005D4D9D">
      <w:pPr>
        <w:pStyle w:val="JudgmentNumbered"/>
        <w:numPr>
          <w:ilvl w:val="0"/>
          <w:numId w:val="0"/>
        </w:numPr>
        <w:ind w:left="720" w:hanging="720"/>
      </w:pPr>
      <w:r>
        <w:t>[31]</w:t>
      </w:r>
      <w:r>
        <w:tab/>
      </w:r>
      <w:r w:rsidR="00702E2E" w:rsidRPr="00702E2E">
        <w:t xml:space="preserve">The applicants argue that the respondents must show that the investigation </w:t>
      </w:r>
      <w:r w:rsidR="008F6FC4">
        <w:t xml:space="preserve">mentioned in the press release </w:t>
      </w:r>
      <w:r w:rsidR="00702E2E" w:rsidRPr="00702E2E">
        <w:t>was pending at the time the article</w:t>
      </w:r>
      <w:r w:rsidR="00026B19">
        <w:t>s</w:t>
      </w:r>
      <w:r w:rsidR="00702E2E" w:rsidRPr="00702E2E">
        <w:t xml:space="preserve"> in issue w</w:t>
      </w:r>
      <w:r w:rsidR="00026B19">
        <w:t>ere</w:t>
      </w:r>
      <w:r w:rsidR="00702E2E" w:rsidRPr="00702E2E">
        <w:t xml:space="preserve"> written and that this was known of by the respondents</w:t>
      </w:r>
      <w:r w:rsidR="00026B19">
        <w:t xml:space="preserve"> at th</w:t>
      </w:r>
      <w:r w:rsidR="00335C01">
        <w:t>at time</w:t>
      </w:r>
      <w:r w:rsidR="00702E2E" w:rsidRPr="00702E2E">
        <w:t>.</w:t>
      </w:r>
    </w:p>
    <w:p w14:paraId="44CD8DC3" w14:textId="35C70EB0" w:rsidR="006124F6" w:rsidRDefault="005D4D9D" w:rsidP="005D4D9D">
      <w:pPr>
        <w:pStyle w:val="JudgmentNumbered"/>
        <w:numPr>
          <w:ilvl w:val="0"/>
          <w:numId w:val="0"/>
        </w:numPr>
        <w:ind w:left="720" w:hanging="720"/>
      </w:pPr>
      <w:r>
        <w:t>[32]</w:t>
      </w:r>
      <w:r>
        <w:tab/>
      </w:r>
      <w:r w:rsidR="00702E2E" w:rsidRPr="00702E2E">
        <w:t xml:space="preserve"> I disagree. The matter sought to be introduced</w:t>
      </w:r>
      <w:r w:rsidR="00335C01">
        <w:t>,</w:t>
      </w:r>
      <w:r w:rsidR="00702E2E" w:rsidRPr="00702E2E">
        <w:t xml:space="preserve"> although it postdates the statements is relevant to the reasonableness or otherwise of the making of the statements at the time</w:t>
      </w:r>
      <w:r w:rsidR="0078018C">
        <w:t>.</w:t>
      </w:r>
      <w:r w:rsidR="00CC144B" w:rsidRPr="006124F6">
        <w:rPr>
          <w:i/>
          <w:iCs/>
        </w:rPr>
        <w:t xml:space="preserve"> Bogoshi</w:t>
      </w:r>
      <w:r w:rsidR="00CC144B">
        <w:t xml:space="preserve"> provides that publication by the press of false defamatory allegations of fact will not be regarded as unlawful if it is found to have been reasonable </w:t>
      </w:r>
      <w:r w:rsidR="00CC144B" w:rsidRPr="006124F6">
        <w:rPr>
          <w:u w:val="single"/>
        </w:rPr>
        <w:t>in the circumstances of the case</w:t>
      </w:r>
      <w:r w:rsidR="00CC144B">
        <w:t xml:space="preserve"> to publish the particular facts at the particular time of publication.</w:t>
      </w:r>
      <w:r w:rsidR="00CC144B">
        <w:rPr>
          <w:vertAlign w:val="superscript"/>
        </w:rPr>
        <w:footnoteReference w:id="3"/>
      </w:r>
      <w:r w:rsidR="00CC144B">
        <w:t xml:space="preserve"> </w:t>
      </w:r>
    </w:p>
    <w:p w14:paraId="06E3D062" w14:textId="5DEF0606" w:rsidR="00625DFD" w:rsidRDefault="005D4D9D" w:rsidP="005D4D9D">
      <w:pPr>
        <w:pStyle w:val="JudgmentNumbered"/>
        <w:numPr>
          <w:ilvl w:val="0"/>
          <w:numId w:val="0"/>
        </w:numPr>
        <w:ind w:left="720" w:hanging="720"/>
      </w:pPr>
      <w:r>
        <w:t>[33]</w:t>
      </w:r>
      <w:r>
        <w:tab/>
      </w:r>
      <w:r w:rsidR="00CC144B">
        <w:t>The respondents raise also that the applicants have no reputation worthy of protection.</w:t>
      </w:r>
    </w:p>
    <w:p w14:paraId="4BC1B35B" w14:textId="6ADDE6E0" w:rsidR="00625DFD" w:rsidRDefault="005D4D9D" w:rsidP="005D4D9D">
      <w:pPr>
        <w:pStyle w:val="JudgmentNumbered"/>
        <w:numPr>
          <w:ilvl w:val="0"/>
          <w:numId w:val="0"/>
        </w:numPr>
        <w:ind w:left="720" w:hanging="720"/>
      </w:pPr>
      <w:r>
        <w:t>[34]</w:t>
      </w:r>
      <w:r>
        <w:tab/>
      </w:r>
      <w:r w:rsidR="00FB3864">
        <w:t>It is relevant that defendant ‘need not justify immaterial details or mere expressions of abuse which do not add to its sting and would produce no different effect on the mind of the reader than that produced by the substantial part justified’.</w:t>
      </w:r>
      <w:r w:rsidR="00FB3864">
        <w:rPr>
          <w:rStyle w:val="FootnoteReference"/>
          <w:color w:val="242121"/>
        </w:rPr>
        <w:footnoteReference w:id="4"/>
      </w:r>
      <w:r w:rsidR="007D668B" w:rsidRPr="007D668B">
        <w:t xml:space="preserve"> </w:t>
      </w:r>
    </w:p>
    <w:p w14:paraId="21DC8861" w14:textId="311AC3FF" w:rsidR="007D668B" w:rsidRPr="007D668B" w:rsidRDefault="005D4D9D" w:rsidP="005D4D9D">
      <w:pPr>
        <w:pStyle w:val="JudgmentNumbered"/>
        <w:numPr>
          <w:ilvl w:val="0"/>
          <w:numId w:val="0"/>
        </w:numPr>
        <w:ind w:left="720" w:hanging="720"/>
      </w:pPr>
      <w:r w:rsidRPr="007D668B">
        <w:t>[35]</w:t>
      </w:r>
      <w:r w:rsidRPr="007D668B">
        <w:tab/>
      </w:r>
      <w:r w:rsidR="007D668B">
        <w:t>The underlying logic behind this approach appears from the judgment of Wessels JA in </w:t>
      </w:r>
      <w:r w:rsidR="007D668B" w:rsidRPr="007D668B">
        <w:rPr>
          <w:i/>
          <w:iCs/>
        </w:rPr>
        <w:t>Johnson</w:t>
      </w:r>
      <w:r w:rsidR="007D668B">
        <w:t>. The reason, he explained, why truth and public benefit is recognised as a defence, is because a plaintiff is not entitled to recover damages in respect of an injury to a reputation which he does not deserve.</w:t>
      </w:r>
      <w:r w:rsidR="007D668B">
        <w:rPr>
          <w:rStyle w:val="FootnoteReference"/>
          <w:color w:val="242121"/>
        </w:rPr>
        <w:footnoteReference w:id="5"/>
      </w:r>
    </w:p>
    <w:p w14:paraId="0F2B40F0" w14:textId="4329AE91" w:rsidR="00F05319" w:rsidRPr="00960ED3" w:rsidRDefault="005D4D9D" w:rsidP="005D4D9D">
      <w:pPr>
        <w:pStyle w:val="JudgmentNumbered"/>
        <w:numPr>
          <w:ilvl w:val="0"/>
          <w:numId w:val="0"/>
        </w:numPr>
        <w:ind w:left="720" w:hanging="720"/>
      </w:pPr>
      <w:r w:rsidRPr="00960ED3">
        <w:t>[36]</w:t>
      </w:r>
      <w:r w:rsidRPr="00960ED3">
        <w:tab/>
      </w:r>
      <w:r w:rsidR="00FB3864" w:rsidRPr="00625DFD">
        <w:rPr>
          <w:color w:val="242121"/>
        </w:rPr>
        <w:t>The question of whether the applicants have such a reputation is central evidence in the case. The applicant’s place their reputation for honesty and integrity in the forefront of their case. A large portion of the founding papers is devoted to extolling this</w:t>
      </w:r>
      <w:r w:rsidR="006124F6">
        <w:rPr>
          <w:color w:val="242121"/>
        </w:rPr>
        <w:t xml:space="preserve"> alleged</w:t>
      </w:r>
      <w:r w:rsidR="0078018C">
        <w:rPr>
          <w:color w:val="242121"/>
        </w:rPr>
        <w:t xml:space="preserve"> reputation</w:t>
      </w:r>
      <w:r w:rsidR="00FB3864" w:rsidRPr="00625DFD">
        <w:rPr>
          <w:color w:val="242121"/>
        </w:rPr>
        <w:t xml:space="preserve">. </w:t>
      </w:r>
    </w:p>
    <w:p w14:paraId="3F2968DD" w14:textId="77777777" w:rsidR="00960ED3" w:rsidRDefault="00960ED3" w:rsidP="00960ED3">
      <w:pPr>
        <w:pStyle w:val="JudgmentNumbered"/>
        <w:numPr>
          <w:ilvl w:val="0"/>
          <w:numId w:val="0"/>
        </w:numPr>
        <w:ind w:left="720"/>
      </w:pPr>
    </w:p>
    <w:p w14:paraId="6F62596C" w14:textId="405B68A5" w:rsidR="0091670B" w:rsidRPr="00702E2E" w:rsidRDefault="00702E2E" w:rsidP="00702E2E">
      <w:pPr>
        <w:pStyle w:val="JudgmentNumbered"/>
        <w:numPr>
          <w:ilvl w:val="0"/>
          <w:numId w:val="0"/>
        </w:numPr>
        <w:ind w:left="567" w:hanging="567"/>
        <w:rPr>
          <w:i/>
          <w:iCs/>
        </w:rPr>
      </w:pPr>
      <w:r w:rsidRPr="00702E2E">
        <w:rPr>
          <w:i/>
          <w:iCs/>
        </w:rPr>
        <w:lastRenderedPageBreak/>
        <w:t>The rule in Hollington v Hewthorn</w:t>
      </w:r>
    </w:p>
    <w:p w14:paraId="0CD098C6" w14:textId="1250DC8C" w:rsidR="00702E2E" w:rsidRPr="00702E2E" w:rsidRDefault="005D4D9D" w:rsidP="005D4D9D">
      <w:pPr>
        <w:pStyle w:val="JudgmentNumbered"/>
        <w:numPr>
          <w:ilvl w:val="0"/>
          <w:numId w:val="0"/>
        </w:numPr>
        <w:ind w:left="720" w:hanging="720"/>
      </w:pPr>
      <w:r w:rsidRPr="00702E2E">
        <w:t>[37]</w:t>
      </w:r>
      <w:r w:rsidRPr="00702E2E">
        <w:tab/>
      </w:r>
      <w:r w:rsidR="00702E2E" w:rsidRPr="00702E2E">
        <w:t xml:space="preserve">The rule in </w:t>
      </w:r>
      <w:r w:rsidR="00702E2E" w:rsidRPr="00702E2E">
        <w:rPr>
          <w:i/>
          <w:iCs/>
        </w:rPr>
        <w:t>Hollington</w:t>
      </w:r>
      <w:r w:rsidR="00702E2E" w:rsidRPr="00702E2E">
        <w:t xml:space="preserve"> originated from English law</w:t>
      </w:r>
      <w:r w:rsidR="00702E2E">
        <w:t xml:space="preserve">, </w:t>
      </w:r>
      <w:r w:rsidR="00702E2E" w:rsidRPr="00702E2E">
        <w:t>which forms the basis of the South African evidentiary process and is regarded as its common law. Domestic statutes regulate South Africa’s procedures and where statutes are silent on certain issues, the English law of evidence which was in force on 30 May 1961 in South Africa takes precedence. This is provided for in various sections of the Criminal Procedure Act,</w:t>
      </w:r>
      <w:r w:rsidR="00702E2E">
        <w:rPr>
          <w:rStyle w:val="FootnoteReference"/>
        </w:rPr>
        <w:footnoteReference w:id="6"/>
      </w:r>
      <w:r w:rsidR="00702E2E" w:rsidRPr="00702E2E">
        <w:t xml:space="preserve"> as well as section 42 of the Civil Proceedings Evidence Act.</w:t>
      </w:r>
      <w:r w:rsidR="00702E2E">
        <w:rPr>
          <w:rStyle w:val="FootnoteReference"/>
        </w:rPr>
        <w:footnoteReference w:id="7"/>
      </w:r>
      <w:r w:rsidR="00702E2E" w:rsidRPr="00702E2E">
        <w:t xml:space="preserve"> The common law that must be followed includes English cases decided prior to 30 May 1961. It is on this basis that the rule in </w:t>
      </w:r>
      <w:r w:rsidR="00702E2E" w:rsidRPr="00702E2E">
        <w:rPr>
          <w:i/>
          <w:iCs/>
        </w:rPr>
        <w:t>Hollington</w:t>
      </w:r>
      <w:r w:rsidR="00702E2E" w:rsidRPr="00702E2E">
        <w:t xml:space="preserve"> </w:t>
      </w:r>
      <w:r w:rsidR="008F6FC4">
        <w:t>has been said</w:t>
      </w:r>
      <w:r w:rsidR="00747243">
        <w:t xml:space="preserve"> to</w:t>
      </w:r>
      <w:r w:rsidR="00702E2E" w:rsidRPr="00702E2E">
        <w:t xml:space="preserve"> bind South African courts.</w:t>
      </w:r>
    </w:p>
    <w:p w14:paraId="3981AA37" w14:textId="25B7AC11" w:rsidR="00702E2E" w:rsidRPr="00702E2E" w:rsidRDefault="005D4D9D" w:rsidP="005D4D9D">
      <w:pPr>
        <w:pStyle w:val="JudgmentNumbered"/>
        <w:numPr>
          <w:ilvl w:val="0"/>
          <w:numId w:val="0"/>
        </w:numPr>
        <w:ind w:left="720" w:hanging="720"/>
      </w:pPr>
      <w:r w:rsidRPr="00702E2E">
        <w:t>[38]</w:t>
      </w:r>
      <w:r w:rsidRPr="00702E2E">
        <w:tab/>
      </w:r>
      <w:r w:rsidR="00702E2E" w:rsidRPr="00702E2E">
        <w:t xml:space="preserve">Because the </w:t>
      </w:r>
      <w:r w:rsidR="00702E2E" w:rsidRPr="00702E2E">
        <w:rPr>
          <w:i/>
          <w:iCs/>
        </w:rPr>
        <w:t>Hollington</w:t>
      </w:r>
      <w:r w:rsidR="00702E2E" w:rsidRPr="00702E2E">
        <w:t xml:space="preserve"> rule has had its detractors and because it’s strict application often makes no sense our courts have tended to seek to limit its range whilst calling for its abolition </w:t>
      </w:r>
    </w:p>
    <w:p w14:paraId="3E6BC1FE" w14:textId="31D7251E" w:rsidR="00702E2E" w:rsidRPr="00702E2E" w:rsidRDefault="005D4D9D" w:rsidP="005D4D9D">
      <w:pPr>
        <w:pStyle w:val="JudgmentNumbered"/>
        <w:numPr>
          <w:ilvl w:val="0"/>
          <w:numId w:val="0"/>
        </w:numPr>
        <w:ind w:left="720" w:hanging="720"/>
        <w:rPr>
          <w:b/>
          <w:bCs/>
          <w:lang w:val="en-ZA"/>
        </w:rPr>
      </w:pPr>
      <w:r w:rsidRPr="00702E2E">
        <w:rPr>
          <w:lang w:val="en-ZA"/>
        </w:rPr>
        <w:t>[39]</w:t>
      </w:r>
      <w:r w:rsidRPr="00702E2E">
        <w:rPr>
          <w:lang w:val="en-ZA"/>
        </w:rPr>
        <w:tab/>
      </w:r>
      <w:r w:rsidR="00702E2E" w:rsidRPr="00702E2E">
        <w:t xml:space="preserve">In </w:t>
      </w:r>
      <w:r w:rsidR="00B1338E" w:rsidRPr="00B1338E">
        <w:rPr>
          <w:i/>
          <w:iCs/>
          <w:lang w:val="en-ZA"/>
        </w:rPr>
        <w:t xml:space="preserve">Institute for Accountability in Southern Africa v Public </w:t>
      </w:r>
      <w:r w:rsidR="00B1338E" w:rsidRPr="00B1338E">
        <w:rPr>
          <w:lang w:val="en-ZA"/>
        </w:rPr>
        <w:t>2020 (5) SA 179 (GP),</w:t>
      </w:r>
      <w:r w:rsidR="00702E2E" w:rsidRPr="00702E2E">
        <w:rPr>
          <w:vertAlign w:val="superscript"/>
          <w:lang w:val="en-ZA"/>
        </w:rPr>
        <w:footnoteReference w:id="8"/>
      </w:r>
      <w:r w:rsidR="00B1338E">
        <w:rPr>
          <w:b/>
          <w:bCs/>
          <w:lang w:val="en-ZA"/>
        </w:rPr>
        <w:t xml:space="preserve"> </w:t>
      </w:r>
      <w:r w:rsidR="00702E2E" w:rsidRPr="00702E2E">
        <w:rPr>
          <w:lang w:val="en-ZA"/>
        </w:rPr>
        <w:t xml:space="preserve">Coppin J in an eloquent treatment of the rule found that the rule should be strictly construed and confined to the facts in </w:t>
      </w:r>
      <w:r w:rsidR="00702E2E" w:rsidRPr="00702E2E">
        <w:rPr>
          <w:i/>
          <w:iCs/>
          <w:lang w:val="en-ZA"/>
        </w:rPr>
        <w:t xml:space="preserve">Hollington </w:t>
      </w:r>
      <w:r w:rsidR="00702E2E" w:rsidRPr="00702E2E">
        <w:rPr>
          <w:lang w:val="en-ZA"/>
        </w:rPr>
        <w:t xml:space="preserve">and as such did not encompass a bar to admitting findings of civil courts in that </w:t>
      </w:r>
      <w:r w:rsidR="00702E2E" w:rsidRPr="00702E2E">
        <w:rPr>
          <w:i/>
          <w:iCs/>
          <w:lang w:val="en-ZA"/>
        </w:rPr>
        <w:t>Hollington</w:t>
      </w:r>
      <w:r w:rsidR="00702E2E" w:rsidRPr="00702E2E">
        <w:rPr>
          <w:lang w:val="en-ZA"/>
        </w:rPr>
        <w:t xml:space="preserve"> related only to the adm</w:t>
      </w:r>
      <w:r w:rsidR="00627AAA">
        <w:rPr>
          <w:lang w:val="en-ZA"/>
        </w:rPr>
        <w:t>ission of a criminal conviction</w:t>
      </w:r>
      <w:r w:rsidR="00702E2E" w:rsidRPr="00702E2E">
        <w:rPr>
          <w:lang w:val="en-ZA"/>
        </w:rPr>
        <w:t>.</w:t>
      </w:r>
      <w:r w:rsidR="00702E2E" w:rsidRPr="00702E2E">
        <w:rPr>
          <w:vertAlign w:val="superscript"/>
          <w:lang w:val="en-ZA"/>
        </w:rPr>
        <w:footnoteReference w:id="9"/>
      </w:r>
      <w:r w:rsidR="00702E2E" w:rsidRPr="00702E2E">
        <w:rPr>
          <w:lang w:val="en-ZA"/>
        </w:rPr>
        <w:t xml:space="preserve"> I am bound by this decision and like Coppin J</w:t>
      </w:r>
      <w:bookmarkStart w:id="6" w:name="LPHit2"/>
      <w:bookmarkEnd w:id="6"/>
      <w:r w:rsidR="00747243">
        <w:rPr>
          <w:lang w:val="en-ZA"/>
        </w:rPr>
        <w:t xml:space="preserve"> and </w:t>
      </w:r>
      <w:r w:rsidR="00956BB7">
        <w:rPr>
          <w:lang w:val="en-ZA"/>
        </w:rPr>
        <w:t xml:space="preserve">I cannot find that it is clearly wrong as </w:t>
      </w:r>
      <w:r w:rsidR="00B27747">
        <w:rPr>
          <w:lang w:val="en-ZA"/>
        </w:rPr>
        <w:t>the applicants ‘argue that I should</w:t>
      </w:r>
      <w:r w:rsidR="00A753CB">
        <w:rPr>
          <w:lang w:val="en-ZA"/>
        </w:rPr>
        <w:t>.</w:t>
      </w:r>
      <w:r w:rsidR="00B27747">
        <w:rPr>
          <w:lang w:val="en-ZA"/>
        </w:rPr>
        <w:t xml:space="preserve"> </w:t>
      </w:r>
      <w:r w:rsidR="00702E2E" w:rsidRPr="00702E2E">
        <w:rPr>
          <w:lang w:val="en-ZA"/>
        </w:rPr>
        <w:t xml:space="preserve"> I prefer the route </w:t>
      </w:r>
      <w:r w:rsidR="00702E2E" w:rsidRPr="00702E2E">
        <w:t xml:space="preserve">of its strict containment or </w:t>
      </w:r>
      <w:r w:rsidR="00B1338E">
        <w:t>“</w:t>
      </w:r>
      <w:r w:rsidR="00702E2E" w:rsidRPr="00702E2E">
        <w:t>extirpation</w:t>
      </w:r>
      <w:r w:rsidR="00B1338E">
        <w:t>”</w:t>
      </w:r>
      <w:r w:rsidR="00A753CB">
        <w:t xml:space="preserve"> as </w:t>
      </w:r>
      <w:r w:rsidR="00E127CD">
        <w:t>applied by Coppin J.</w:t>
      </w:r>
    </w:p>
    <w:p w14:paraId="46FE0816" w14:textId="6EA4582A" w:rsidR="00702E2E" w:rsidRPr="00702E2E" w:rsidRDefault="005D4D9D" w:rsidP="005D4D9D">
      <w:pPr>
        <w:pStyle w:val="JudgmentNumbered"/>
        <w:numPr>
          <w:ilvl w:val="0"/>
          <w:numId w:val="0"/>
        </w:numPr>
        <w:ind w:left="720" w:hanging="720"/>
        <w:rPr>
          <w:i/>
          <w:iCs/>
        </w:rPr>
      </w:pPr>
      <w:r w:rsidRPr="00702E2E">
        <w:t>[40]</w:t>
      </w:r>
      <w:r w:rsidRPr="00702E2E">
        <w:tab/>
      </w:r>
      <w:r w:rsidR="00702E2E" w:rsidRPr="00702E2E">
        <w:t>Thus, I find that it has no application in this matter and does not operate</w:t>
      </w:r>
      <w:r w:rsidR="00E127CD">
        <w:t xml:space="preserve"> in a blanket fashion</w:t>
      </w:r>
      <w:r w:rsidR="00702E2E" w:rsidRPr="00702E2E">
        <w:t xml:space="preserve"> to exclude the evidence of the passages in </w:t>
      </w:r>
      <w:r w:rsidR="00702E2E" w:rsidRPr="00702E2E">
        <w:rPr>
          <w:i/>
          <w:iCs/>
        </w:rPr>
        <w:t>Morop</w:t>
      </w:r>
      <w:r w:rsidR="00B1338E">
        <w:rPr>
          <w:i/>
          <w:iCs/>
        </w:rPr>
        <w:t>a</w:t>
      </w:r>
      <w:r w:rsidR="00702E2E" w:rsidRPr="00702E2E">
        <w:rPr>
          <w:i/>
          <w:iCs/>
        </w:rPr>
        <w:t>.</w:t>
      </w:r>
    </w:p>
    <w:p w14:paraId="1A891387" w14:textId="635FD612" w:rsidR="00702E2E" w:rsidRPr="00702E2E" w:rsidRDefault="005D4D9D" w:rsidP="005D4D9D">
      <w:pPr>
        <w:pStyle w:val="JudgmentNumbered"/>
        <w:numPr>
          <w:ilvl w:val="0"/>
          <w:numId w:val="0"/>
        </w:numPr>
        <w:ind w:left="720" w:hanging="720"/>
      </w:pPr>
      <w:r w:rsidRPr="00702E2E">
        <w:t>[41]</w:t>
      </w:r>
      <w:r w:rsidRPr="00702E2E">
        <w:tab/>
      </w:r>
      <w:r w:rsidR="00702E2E" w:rsidRPr="00702E2E">
        <w:t>However</w:t>
      </w:r>
      <w:r w:rsidR="00B1338E">
        <w:t>,</w:t>
      </w:r>
      <w:r w:rsidR="00702E2E" w:rsidRPr="00702E2E">
        <w:t xml:space="preserve"> even if one were to engage in a less restrictive approach as to the ratio in </w:t>
      </w:r>
      <w:r w:rsidR="00702E2E" w:rsidRPr="00702E2E">
        <w:rPr>
          <w:i/>
          <w:iCs/>
        </w:rPr>
        <w:t>Hollington</w:t>
      </w:r>
      <w:r w:rsidR="00702E2E" w:rsidRPr="00702E2E">
        <w:t xml:space="preserve"> being that it is essentially no more than a restatement of the rules against receiving opinion evidence and hearsay, the evidence is to my mind still admissible.</w:t>
      </w:r>
    </w:p>
    <w:p w14:paraId="1E12C2CC" w14:textId="6B0614FB" w:rsidR="006A01F9" w:rsidRPr="006A01F9" w:rsidRDefault="005D4D9D" w:rsidP="005D4D9D">
      <w:pPr>
        <w:pStyle w:val="JudgmentNumbered"/>
        <w:numPr>
          <w:ilvl w:val="0"/>
          <w:numId w:val="0"/>
        </w:numPr>
        <w:ind w:left="720" w:hanging="720"/>
      </w:pPr>
      <w:r w:rsidRPr="006A01F9">
        <w:lastRenderedPageBreak/>
        <w:t>[42]</w:t>
      </w:r>
      <w:r w:rsidRPr="006A01F9">
        <w:tab/>
      </w:r>
      <w:r w:rsidR="00702E2E" w:rsidRPr="00702E2E">
        <w:t xml:space="preserve">The Constitutional Court held in </w:t>
      </w:r>
      <w:r w:rsidR="00702E2E" w:rsidRPr="00702E2E">
        <w:rPr>
          <w:i/>
          <w:iCs/>
        </w:rPr>
        <w:t>Helen Suzman Foundation v President of the Republic of South Africa</w:t>
      </w:r>
      <w:r w:rsidR="00702E2E" w:rsidRPr="00702E2E">
        <w:t xml:space="preserve"> (</w:t>
      </w:r>
      <w:r w:rsidR="00702E2E" w:rsidRPr="00702E2E">
        <w:rPr>
          <w:i/>
          <w:iCs/>
        </w:rPr>
        <w:t>HSF</w:t>
      </w:r>
      <w:r w:rsidR="00702E2E" w:rsidRPr="00702E2E">
        <w:t>)</w:t>
      </w:r>
      <w:r w:rsidR="00B1338E">
        <w:t>,</w:t>
      </w:r>
      <w:r w:rsidR="00702E2E" w:rsidRPr="00702E2E">
        <w:rPr>
          <w:vertAlign w:val="superscript"/>
        </w:rPr>
        <w:footnoteReference w:id="10"/>
      </w:r>
      <w:r w:rsidR="00702E2E" w:rsidRPr="00702E2E">
        <w:t xml:space="preserve"> that any opinion, whether from a lay person or expert, which is expressed on an issue the court can decide without receiving such opinion is</w:t>
      </w:r>
      <w:r w:rsidR="0065209E">
        <w:t>,</w:t>
      </w:r>
      <w:r w:rsidR="00702E2E" w:rsidRPr="00702E2E">
        <w:t xml:space="preserve"> in principle</w:t>
      </w:r>
      <w:r w:rsidR="0065209E">
        <w:t>,</w:t>
      </w:r>
      <w:r w:rsidR="00702E2E" w:rsidRPr="00702E2E">
        <w:t xml:space="preserve"> inadmissible because of its irrelevance. </w:t>
      </w:r>
      <w:r w:rsidR="00A67F98">
        <w:t>But</w:t>
      </w:r>
      <w:r w:rsidR="00702E2E" w:rsidRPr="00702E2E">
        <w:t xml:space="preserve"> when an opinion has probative </w:t>
      </w:r>
      <w:r w:rsidR="00BB66C3" w:rsidRPr="00702E2E">
        <w:t>force, it</w:t>
      </w:r>
      <w:r w:rsidR="00A67F98">
        <w:t xml:space="preserve"> can </w:t>
      </w:r>
      <w:r w:rsidR="00702E2E" w:rsidRPr="00702E2E">
        <w:t>be considered admissible.</w:t>
      </w:r>
    </w:p>
    <w:p w14:paraId="17BEEC3A" w14:textId="67380433" w:rsidR="00702E2E" w:rsidRPr="00702E2E" w:rsidRDefault="005D4D9D" w:rsidP="005D4D9D">
      <w:pPr>
        <w:pStyle w:val="JudgmentNumbered"/>
        <w:numPr>
          <w:ilvl w:val="0"/>
          <w:numId w:val="0"/>
        </w:numPr>
        <w:ind w:left="720" w:hanging="720"/>
      </w:pPr>
      <w:r w:rsidRPr="00702E2E">
        <w:t>[43]</w:t>
      </w:r>
      <w:r w:rsidRPr="00702E2E">
        <w:tab/>
      </w:r>
      <w:r w:rsidR="00433C05" w:rsidRPr="00702E2E">
        <w:t xml:space="preserve"> </w:t>
      </w:r>
      <w:r w:rsidR="00702E2E" w:rsidRPr="00702E2E">
        <w:t xml:space="preserve">On </w:t>
      </w:r>
      <w:r w:rsidR="00BB66C3">
        <w:t>the application</w:t>
      </w:r>
      <w:r w:rsidR="006A01F9">
        <w:t xml:space="preserve"> of </w:t>
      </w:r>
      <w:r w:rsidR="00702E2E" w:rsidRPr="00702E2E">
        <w:rPr>
          <w:i/>
          <w:iCs/>
        </w:rPr>
        <w:t>Hollington</w:t>
      </w:r>
      <w:r w:rsidR="00702E2E" w:rsidRPr="00702E2E">
        <w:t xml:space="preserve"> this exclusion applies also to the opinions of judges expressed in court cases.</w:t>
      </w:r>
    </w:p>
    <w:p w14:paraId="127919CE" w14:textId="26495B15" w:rsidR="00702E2E" w:rsidRPr="00702E2E" w:rsidRDefault="005D4D9D" w:rsidP="005D4D9D">
      <w:pPr>
        <w:pStyle w:val="JudgmentNumbered"/>
        <w:numPr>
          <w:ilvl w:val="0"/>
          <w:numId w:val="0"/>
        </w:numPr>
        <w:ind w:left="720" w:hanging="720"/>
      </w:pPr>
      <w:r w:rsidRPr="00702E2E">
        <w:t>[44]</w:t>
      </w:r>
      <w:r w:rsidRPr="00702E2E">
        <w:tab/>
      </w:r>
      <w:r w:rsidR="00702E2E" w:rsidRPr="00702E2E">
        <w:t>Consequently, the evidence is receivable if it is capable of putting the court in a better position when deciding on the matter.</w:t>
      </w:r>
    </w:p>
    <w:p w14:paraId="4ADFB82C" w14:textId="5561DC32" w:rsidR="00702E2E" w:rsidRPr="00702E2E" w:rsidRDefault="005D4D9D" w:rsidP="005D4D9D">
      <w:pPr>
        <w:pStyle w:val="JudgmentNumbered"/>
        <w:numPr>
          <w:ilvl w:val="0"/>
          <w:numId w:val="0"/>
        </w:numPr>
        <w:ind w:left="720" w:hanging="720"/>
      </w:pPr>
      <w:r w:rsidRPr="00702E2E">
        <w:t>[45]</w:t>
      </w:r>
      <w:r w:rsidRPr="00702E2E">
        <w:tab/>
      </w:r>
      <w:r w:rsidR="00702E2E" w:rsidRPr="00702E2E">
        <w:t xml:space="preserve">The court in </w:t>
      </w:r>
      <w:r w:rsidR="00702E2E" w:rsidRPr="00702E2E">
        <w:rPr>
          <w:i/>
          <w:iCs/>
        </w:rPr>
        <w:t>HSF</w:t>
      </w:r>
      <w:r w:rsidR="00702E2E" w:rsidRPr="00702E2E">
        <w:t xml:space="preserve"> was dealing with an application to strike out but the pronouncements as to relevance have application here. The applications to strike out and the application to introduce further evidence are two sides of the same coin and the inquiry into relevance</w:t>
      </w:r>
      <w:r w:rsidR="0065209E">
        <w:t xml:space="preserve"> and prejudice</w:t>
      </w:r>
      <w:r w:rsidR="00702E2E" w:rsidRPr="00702E2E">
        <w:t xml:space="preserve"> is</w:t>
      </w:r>
      <w:r w:rsidR="00BB66C3">
        <w:t>, to my min</w:t>
      </w:r>
      <w:r w:rsidR="00D062D2">
        <w:t>d, the</w:t>
      </w:r>
      <w:r w:rsidR="00702E2E" w:rsidRPr="00702E2E">
        <w:t xml:space="preserve"> the same in each instance.</w:t>
      </w:r>
    </w:p>
    <w:p w14:paraId="03A93CA4" w14:textId="6D86546D" w:rsidR="00702E2E" w:rsidRPr="00702E2E" w:rsidRDefault="005D4D9D" w:rsidP="005D4D9D">
      <w:pPr>
        <w:pStyle w:val="JudgmentNumbered"/>
        <w:numPr>
          <w:ilvl w:val="0"/>
          <w:numId w:val="0"/>
        </w:numPr>
        <w:ind w:left="720" w:hanging="720"/>
      </w:pPr>
      <w:r w:rsidRPr="00702E2E">
        <w:t>[46]</w:t>
      </w:r>
      <w:r w:rsidRPr="00702E2E">
        <w:tab/>
      </w:r>
      <w:r w:rsidR="00702E2E" w:rsidRPr="00702E2E">
        <w:t>Had the evidence which is sought to be introduced been available</w:t>
      </w:r>
      <w:r w:rsidR="00931738">
        <w:t xml:space="preserve"> to the respondents</w:t>
      </w:r>
      <w:r w:rsidR="009F112F">
        <w:t xml:space="preserve"> earlier</w:t>
      </w:r>
      <w:r w:rsidR="00702E2E" w:rsidRPr="00702E2E">
        <w:t xml:space="preserve"> it would</w:t>
      </w:r>
      <w:r w:rsidR="00036DEF">
        <w:t>,</w:t>
      </w:r>
      <w:r w:rsidR="00702E2E" w:rsidRPr="00702E2E">
        <w:t xml:space="preserve"> </w:t>
      </w:r>
      <w:r w:rsidR="00DE5713">
        <w:t>no doubt</w:t>
      </w:r>
      <w:r w:rsidR="00036DEF">
        <w:t xml:space="preserve">, </w:t>
      </w:r>
      <w:r w:rsidR="00702E2E" w:rsidRPr="00702E2E">
        <w:t>have been included in the answering affidavit. The remedy of the applicants would thus have been to apply to strike out the evidence</w:t>
      </w:r>
      <w:r w:rsidR="00D062D2">
        <w:t xml:space="preserve"> if they felt it to be objectionable</w:t>
      </w:r>
      <w:r w:rsidR="00702E2E" w:rsidRPr="00702E2E">
        <w:t>. The basis for such a strike out would have been that the evidence is irrelevant</w:t>
      </w:r>
      <w:r w:rsidR="009557F7">
        <w:t xml:space="preserve"> and prejudicial.</w:t>
      </w:r>
    </w:p>
    <w:p w14:paraId="0E880C17" w14:textId="5EE76123" w:rsidR="00702E2E" w:rsidRPr="00702E2E" w:rsidRDefault="005D4D9D" w:rsidP="005D4D9D">
      <w:pPr>
        <w:pStyle w:val="JudgmentNumbered"/>
        <w:numPr>
          <w:ilvl w:val="0"/>
          <w:numId w:val="0"/>
        </w:numPr>
        <w:ind w:left="720" w:hanging="720"/>
      </w:pPr>
      <w:r w:rsidRPr="00702E2E">
        <w:t>[47]</w:t>
      </w:r>
      <w:r w:rsidRPr="00702E2E">
        <w:tab/>
      </w:r>
      <w:r w:rsidR="00702E2E" w:rsidRPr="00702E2E">
        <w:t xml:space="preserve">In </w:t>
      </w:r>
      <w:r w:rsidR="00702E2E" w:rsidRPr="00702E2E">
        <w:rPr>
          <w:i/>
          <w:iCs/>
        </w:rPr>
        <w:t>HSF</w:t>
      </w:r>
      <w:r w:rsidR="00702E2E" w:rsidRPr="00702E2E">
        <w:t xml:space="preserve"> </w:t>
      </w:r>
      <w:r w:rsidR="00931738">
        <w:t>the position</w:t>
      </w:r>
      <w:r w:rsidR="00702E2E" w:rsidRPr="00702E2E">
        <w:t xml:space="preserve"> </w:t>
      </w:r>
      <w:r w:rsidR="00D8318E">
        <w:t xml:space="preserve">was explained </w:t>
      </w:r>
      <w:r w:rsidR="00702E2E" w:rsidRPr="00702E2E">
        <w:t>in the judgment of Fronamen J (in which Cameron J concurred) as follows</w:t>
      </w:r>
      <w:r w:rsidR="00D8318E">
        <w:t>:</w:t>
      </w:r>
    </w:p>
    <w:p w14:paraId="14447DCA" w14:textId="7D2FCE39" w:rsidR="00702E2E" w:rsidRPr="00702E2E" w:rsidRDefault="00702E2E" w:rsidP="00E343FC">
      <w:pPr>
        <w:pStyle w:val="JudgmentNumbered"/>
        <w:numPr>
          <w:ilvl w:val="0"/>
          <w:numId w:val="0"/>
        </w:numPr>
        <w:ind w:left="1440"/>
        <w:rPr>
          <w:sz w:val="22"/>
        </w:rPr>
      </w:pPr>
      <w:r w:rsidRPr="00702E2E">
        <w:rPr>
          <w:sz w:val="22"/>
        </w:rPr>
        <w:t>“In an application to strike out evidence on affidavit, neither the eventual veracity of the evidence nor the prospects of success of the main application are at issue. This is a trite proposition.</w:t>
      </w:r>
      <w:bookmarkStart w:id="7" w:name="0-0-0-211153"/>
      <w:bookmarkEnd w:id="7"/>
      <w:r w:rsidRPr="00702E2E">
        <w:rPr>
          <w:sz w:val="22"/>
        </w:rPr>
        <w:t xml:space="preserve"> The only question</w:t>
      </w:r>
      <w:r w:rsidR="00E343FC" w:rsidRPr="00E343FC">
        <w:rPr>
          <w:sz w:val="22"/>
        </w:rPr>
        <w:t xml:space="preserve"> </w:t>
      </w:r>
      <w:r w:rsidRPr="00702E2E">
        <w:rPr>
          <w:sz w:val="22"/>
        </w:rPr>
        <w:t>in a striking</w:t>
      </w:r>
      <w:r w:rsidR="00C46598">
        <w:rPr>
          <w:sz w:val="22"/>
        </w:rPr>
        <w:noBreakHyphen/>
      </w:r>
      <w:r w:rsidRPr="00702E2E">
        <w:rPr>
          <w:sz w:val="22"/>
        </w:rPr>
        <w:t>out application is whether the evidence is admissible. The truth of the evidence plays no role at this stage; it is only determined at the end of the matter if the evidence is admitted.”</w:t>
      </w:r>
      <w:r w:rsidR="00D8318E">
        <w:rPr>
          <w:rStyle w:val="FootnoteReference"/>
          <w:sz w:val="22"/>
        </w:rPr>
        <w:footnoteReference w:id="11"/>
      </w:r>
    </w:p>
    <w:p w14:paraId="7E54763F" w14:textId="0E228F7D" w:rsidR="00702E2E" w:rsidRPr="00702E2E" w:rsidRDefault="005D4D9D" w:rsidP="005D4D9D">
      <w:pPr>
        <w:pStyle w:val="JudgmentNumbered"/>
        <w:numPr>
          <w:ilvl w:val="0"/>
          <w:numId w:val="0"/>
        </w:numPr>
        <w:ind w:left="720" w:hanging="720"/>
      </w:pPr>
      <w:r w:rsidRPr="00702E2E">
        <w:lastRenderedPageBreak/>
        <w:t>[48]</w:t>
      </w:r>
      <w:r w:rsidRPr="00702E2E">
        <w:tab/>
      </w:r>
      <w:r w:rsidR="00702E2E" w:rsidRPr="00702E2E">
        <w:t>Therefore, whether an opinion carries any probative force will depend on the issues before the court</w:t>
      </w:r>
      <w:r w:rsidR="00903894">
        <w:t xml:space="preserve"> and the purpose </w:t>
      </w:r>
      <w:r w:rsidR="004D4939">
        <w:t>for which the evidence is sought to be used</w:t>
      </w:r>
      <w:r w:rsidR="00903894">
        <w:t>.</w:t>
      </w:r>
    </w:p>
    <w:p w14:paraId="499A9D19" w14:textId="7CA98364" w:rsidR="00B97901" w:rsidRDefault="005D4D9D" w:rsidP="005D4D9D">
      <w:pPr>
        <w:pStyle w:val="JudgmentNumbered"/>
        <w:numPr>
          <w:ilvl w:val="0"/>
          <w:numId w:val="0"/>
        </w:numPr>
        <w:ind w:left="720" w:hanging="720"/>
      </w:pPr>
      <w:r>
        <w:t>[49]</w:t>
      </w:r>
      <w:r>
        <w:tab/>
      </w:r>
      <w:r w:rsidR="00702E2E" w:rsidRPr="00702E2E">
        <w:t>The court in the main application is asked to consider the question of wrongfulness</w:t>
      </w:r>
      <w:r w:rsidR="009557F7">
        <w:t>. This consideration</w:t>
      </w:r>
      <w:r w:rsidR="009F112F">
        <w:t xml:space="preserve"> includes an </w:t>
      </w:r>
      <w:r w:rsidR="00B97901">
        <w:t>inquiry related to the applicants’</w:t>
      </w:r>
      <w:r w:rsidR="00702E2E" w:rsidRPr="00702E2E">
        <w:t xml:space="preserve"> reputation. </w:t>
      </w:r>
    </w:p>
    <w:p w14:paraId="59D1151B" w14:textId="471E9E3E" w:rsidR="00702E2E" w:rsidRPr="00702E2E" w:rsidRDefault="005D4D9D" w:rsidP="005D4D9D">
      <w:pPr>
        <w:pStyle w:val="JudgmentNumbered"/>
        <w:numPr>
          <w:ilvl w:val="0"/>
          <w:numId w:val="0"/>
        </w:numPr>
        <w:ind w:left="720" w:hanging="720"/>
      </w:pPr>
      <w:r w:rsidRPr="00702E2E">
        <w:t>[50]</w:t>
      </w:r>
      <w:r w:rsidRPr="00702E2E">
        <w:tab/>
      </w:r>
      <w:r w:rsidR="00702E2E" w:rsidRPr="00702E2E">
        <w:t>The</w:t>
      </w:r>
      <w:r w:rsidR="008C418F">
        <w:t>se questions</w:t>
      </w:r>
      <w:r w:rsidR="00702E2E" w:rsidRPr="00702E2E">
        <w:t xml:space="preserve"> could, to my mind</w:t>
      </w:r>
      <w:r w:rsidR="00B97901">
        <w:t>,</w:t>
      </w:r>
      <w:r w:rsidR="00702E2E" w:rsidRPr="00702E2E">
        <w:t xml:space="preserve"> be impacted upon by</w:t>
      </w:r>
      <w:r w:rsidR="009557F7">
        <w:t xml:space="preserve"> the fact of</w:t>
      </w:r>
      <w:r w:rsidR="00702E2E" w:rsidRPr="00702E2E">
        <w:t xml:space="preserve"> litigation involving the applicants in the context of the function of Akani in the pension fund industry and its activities. </w:t>
      </w:r>
      <w:r w:rsidR="00F1633A">
        <w:t xml:space="preserve"> Seen from this perspective, </w:t>
      </w:r>
      <w:r w:rsidR="00F1633A" w:rsidRPr="00702E2E">
        <w:t>the</w:t>
      </w:r>
      <w:r w:rsidR="00702E2E" w:rsidRPr="00702E2E">
        <w:t xml:space="preserve"> truth or otherwise of the findings is not necessarily the basis for the admission of the evidence. The fact that there have been allegations of corruption which have been a matter of public record and scrutiny at material times in relation to the publications in issue</w:t>
      </w:r>
      <w:r w:rsidR="00E74DFC">
        <w:t>, to my mind</w:t>
      </w:r>
      <w:r w:rsidR="004C7761">
        <w:t>,</w:t>
      </w:r>
      <w:r w:rsidR="00702E2E" w:rsidRPr="00702E2E">
        <w:t xml:space="preserve"> creates relevance in the context of the wrongfulness inquiry.</w:t>
      </w:r>
    </w:p>
    <w:p w14:paraId="45238A2B" w14:textId="39B3F083" w:rsidR="00702E2E" w:rsidRPr="00702E2E" w:rsidRDefault="005D4D9D" w:rsidP="005D4D9D">
      <w:pPr>
        <w:pStyle w:val="JudgmentNumbered"/>
        <w:numPr>
          <w:ilvl w:val="0"/>
          <w:numId w:val="0"/>
        </w:numPr>
        <w:ind w:left="720" w:hanging="720"/>
      </w:pPr>
      <w:r w:rsidRPr="00702E2E">
        <w:t>[51]</w:t>
      </w:r>
      <w:r w:rsidRPr="00702E2E">
        <w:tab/>
      </w:r>
      <w:r w:rsidR="00C82C79">
        <w:t xml:space="preserve">It is also </w:t>
      </w:r>
      <w:r w:rsidR="004C7761">
        <w:t>important</w:t>
      </w:r>
      <w:r w:rsidR="00C82C79">
        <w:t xml:space="preserve"> that this application comes at an interlocutory </w:t>
      </w:r>
      <w:r w:rsidR="00652920">
        <w:t>stage of the consideration of the main application.</w:t>
      </w:r>
    </w:p>
    <w:p w14:paraId="7F7879E5" w14:textId="6E832F21" w:rsidR="00702E2E" w:rsidRPr="00702E2E" w:rsidRDefault="005D4D9D" w:rsidP="005D4D9D">
      <w:pPr>
        <w:pStyle w:val="JudgmentNumbered"/>
        <w:numPr>
          <w:ilvl w:val="0"/>
          <w:numId w:val="0"/>
        </w:numPr>
        <w:ind w:left="720" w:hanging="720"/>
        <w:rPr>
          <w:lang w:val="en-ZA"/>
        </w:rPr>
      </w:pPr>
      <w:r w:rsidRPr="00702E2E">
        <w:rPr>
          <w:lang w:val="en-ZA"/>
        </w:rPr>
        <w:t>[52]</w:t>
      </w:r>
      <w:r w:rsidRPr="00702E2E">
        <w:rPr>
          <w:lang w:val="en-ZA"/>
        </w:rPr>
        <w:tab/>
      </w:r>
      <w:r w:rsidR="00702E2E" w:rsidRPr="00702E2E">
        <w:t>The judgment</w:t>
      </w:r>
      <w:r w:rsidR="004C7761">
        <w:t xml:space="preserve"> in</w:t>
      </w:r>
      <w:r w:rsidR="00702E2E" w:rsidRPr="00702E2E">
        <w:t xml:space="preserve"> </w:t>
      </w:r>
      <w:r w:rsidR="00702E2E" w:rsidRPr="00702E2E">
        <w:rPr>
          <w:i/>
          <w:iCs/>
          <w:lang w:val="en-ZA"/>
        </w:rPr>
        <w:t xml:space="preserve">Crypto Open Patent Alliance v </w:t>
      </w:r>
      <w:r w:rsidR="00C46598">
        <w:rPr>
          <w:i/>
          <w:iCs/>
          <w:lang w:val="en-ZA"/>
        </w:rPr>
        <w:t xml:space="preserve">Craig Steven </w:t>
      </w:r>
      <w:r w:rsidR="00702E2E" w:rsidRPr="00702E2E">
        <w:rPr>
          <w:i/>
          <w:iCs/>
          <w:lang w:val="en-ZA"/>
        </w:rPr>
        <w:t>Wrigh</w:t>
      </w:r>
      <w:r w:rsidR="00C46598">
        <w:rPr>
          <w:lang w:val="en-ZA"/>
        </w:rPr>
        <w:t>t,</w:t>
      </w:r>
      <w:r w:rsidR="00702E2E" w:rsidRPr="00702E2E">
        <w:rPr>
          <w:u w:val="single"/>
          <w:vertAlign w:val="superscript"/>
          <w:lang w:val="en-ZA"/>
        </w:rPr>
        <w:footnoteReference w:id="12"/>
      </w:r>
      <w:r w:rsidR="00702E2E" w:rsidRPr="00702E2E">
        <w:rPr>
          <w:lang w:val="en-ZA"/>
        </w:rPr>
        <w:t xml:space="preserve"> in the UK is instructive. The claimant brought an action for a declaration that the defendant did not </w:t>
      </w:r>
      <w:r w:rsidR="00652920" w:rsidRPr="00702E2E">
        <w:rPr>
          <w:lang w:val="en-ZA"/>
        </w:rPr>
        <w:t xml:space="preserve">own </w:t>
      </w:r>
      <w:r w:rsidR="00652920">
        <w:rPr>
          <w:lang w:val="en-ZA"/>
        </w:rPr>
        <w:t xml:space="preserve">certain </w:t>
      </w:r>
      <w:r w:rsidR="00702E2E" w:rsidRPr="00702E2E">
        <w:rPr>
          <w:lang w:val="en-ZA"/>
        </w:rPr>
        <w:t>copyright.</w:t>
      </w:r>
    </w:p>
    <w:p w14:paraId="4EE5465F" w14:textId="5F7033E1" w:rsidR="00702E2E" w:rsidRPr="00702E2E" w:rsidRDefault="005D4D9D" w:rsidP="005D4D9D">
      <w:pPr>
        <w:pStyle w:val="JudgmentNumbered"/>
        <w:numPr>
          <w:ilvl w:val="0"/>
          <w:numId w:val="0"/>
        </w:numPr>
        <w:ind w:left="720" w:hanging="720"/>
      </w:pPr>
      <w:r w:rsidRPr="00702E2E">
        <w:t>[53]</w:t>
      </w:r>
      <w:r w:rsidRPr="00702E2E">
        <w:tab/>
      </w:r>
      <w:r w:rsidR="00702E2E" w:rsidRPr="00702E2E">
        <w:rPr>
          <w:lang w:val="en-ZA"/>
        </w:rPr>
        <w:t>The defendant made an application at an interlocutory stage of action proceedings for a declaratory order that findings of fact made in litigation he was a party to in America w</w:t>
      </w:r>
      <w:r w:rsidR="00F1633A">
        <w:rPr>
          <w:lang w:val="en-ZA"/>
        </w:rPr>
        <w:t>ere</w:t>
      </w:r>
      <w:r w:rsidR="00702E2E" w:rsidRPr="00702E2E">
        <w:rPr>
          <w:lang w:val="en-ZA"/>
        </w:rPr>
        <w:t xml:space="preserve"> not admissible in the main action on the basis of the rule in </w:t>
      </w:r>
      <w:r w:rsidR="00702E2E" w:rsidRPr="00702E2E">
        <w:rPr>
          <w:i/>
          <w:iCs/>
          <w:lang w:val="en-ZA"/>
        </w:rPr>
        <w:t>Hollington</w:t>
      </w:r>
      <w:r w:rsidR="00702E2E" w:rsidRPr="00702E2E">
        <w:rPr>
          <w:lang w:val="en-ZA"/>
        </w:rPr>
        <w:t>. The court dealt with such argument thus:</w:t>
      </w:r>
    </w:p>
    <w:p w14:paraId="1EBF55B8" w14:textId="0C5A6C99" w:rsidR="00702E2E" w:rsidRPr="00702E2E" w:rsidRDefault="00702E2E" w:rsidP="00F36591">
      <w:pPr>
        <w:pStyle w:val="JudgmentNumbered"/>
        <w:numPr>
          <w:ilvl w:val="0"/>
          <w:numId w:val="0"/>
        </w:numPr>
        <w:ind w:left="1440"/>
        <w:rPr>
          <w:sz w:val="22"/>
          <w:lang w:val="en-ZA"/>
        </w:rPr>
      </w:pPr>
      <w:r w:rsidRPr="00702E2E">
        <w:rPr>
          <w:sz w:val="22"/>
          <w:lang w:val="en-ZA"/>
        </w:rPr>
        <w:t>“But,</w:t>
      </w:r>
      <w:r w:rsidR="00F36591" w:rsidRPr="00F36591">
        <w:rPr>
          <w:sz w:val="22"/>
          <w:lang w:val="en-ZA"/>
        </w:rPr>
        <w:t xml:space="preserve"> </w:t>
      </w:r>
      <w:r w:rsidRPr="00702E2E">
        <w:rPr>
          <w:sz w:val="22"/>
          <w:lang w:val="en-ZA"/>
        </w:rPr>
        <w:t>even in the narrower form of order, that the judicial findings from the US litigation be not admissible</w:t>
      </w:r>
      <w:r w:rsidR="00F36591" w:rsidRPr="00F36591">
        <w:rPr>
          <w:sz w:val="22"/>
          <w:lang w:val="en-ZA"/>
        </w:rPr>
        <w:t xml:space="preserve"> </w:t>
      </w:r>
      <w:r w:rsidRPr="00702E2E">
        <w:rPr>
          <w:sz w:val="22"/>
          <w:lang w:val="en-ZA"/>
        </w:rPr>
        <w:t>as evidence of the facts so found, I do not consider that I should make the order. The rule in</w:t>
      </w:r>
      <w:r w:rsidR="00F36591" w:rsidRPr="00F36591">
        <w:rPr>
          <w:sz w:val="22"/>
          <w:lang w:val="en-ZA"/>
        </w:rPr>
        <w:t xml:space="preserve"> </w:t>
      </w:r>
      <w:r w:rsidRPr="00702E2E">
        <w:rPr>
          <w:i/>
          <w:iCs/>
          <w:sz w:val="22"/>
          <w:lang w:val="en-ZA"/>
        </w:rPr>
        <w:t>Hollington v Hewthorn</w:t>
      </w:r>
      <w:r w:rsidR="00F36591" w:rsidRPr="00F36591">
        <w:rPr>
          <w:i/>
          <w:iCs/>
          <w:sz w:val="22"/>
          <w:lang w:val="en-ZA"/>
        </w:rPr>
        <w:t xml:space="preserve"> </w:t>
      </w:r>
      <w:r w:rsidRPr="00702E2E">
        <w:rPr>
          <w:sz w:val="22"/>
          <w:lang w:val="en-ZA"/>
        </w:rPr>
        <w:t xml:space="preserve">is clear, and it will be the duty of the trial judge to decide whether it applies to the particular evidence tendered. </w:t>
      </w:r>
      <w:r w:rsidRPr="00702E2E">
        <w:rPr>
          <w:sz w:val="22"/>
          <w:u w:val="single"/>
          <w:lang w:val="en-ZA"/>
        </w:rPr>
        <w:t xml:space="preserve">It would be unusual for another judge, long before the trial, and with less information than the trial judge will have, to bind the hands of the </w:t>
      </w:r>
      <w:r w:rsidRPr="00702E2E">
        <w:rPr>
          <w:sz w:val="22"/>
          <w:u w:val="single"/>
          <w:lang w:val="en-ZA"/>
        </w:rPr>
        <w:lastRenderedPageBreak/>
        <w:t>trial judge in this respect. If this limb of the order is made now, what is to prevent other orders being sought at this stage to prevent admissibility of evidence at trial which infringes other of the rules of evidence? These are matters best left to the trial judge</w:t>
      </w:r>
      <w:r w:rsidRPr="00702E2E">
        <w:rPr>
          <w:sz w:val="22"/>
          <w:lang w:val="en-ZA"/>
        </w:rPr>
        <w:t>.” (Emphasis added).</w:t>
      </w:r>
    </w:p>
    <w:p w14:paraId="2D483269" w14:textId="69C5AC4F" w:rsidR="00702E2E" w:rsidRPr="00702E2E" w:rsidRDefault="005D4D9D" w:rsidP="005D4D9D">
      <w:pPr>
        <w:pStyle w:val="JudgmentNumbered"/>
        <w:numPr>
          <w:ilvl w:val="0"/>
          <w:numId w:val="0"/>
        </w:numPr>
        <w:ind w:left="720" w:hanging="720"/>
        <w:rPr>
          <w:i/>
          <w:iCs/>
        </w:rPr>
      </w:pPr>
      <w:r w:rsidRPr="00702E2E">
        <w:t>[54]</w:t>
      </w:r>
      <w:r w:rsidRPr="00702E2E">
        <w:tab/>
      </w:r>
      <w:r w:rsidR="00702E2E" w:rsidRPr="00702E2E">
        <w:t xml:space="preserve">The court explored the justification for the rule, finding that it lies in the requirements for a fair trial in that it is </w:t>
      </w:r>
      <w:r w:rsidR="00E80D5C">
        <w:t xml:space="preserve">ultimately </w:t>
      </w:r>
      <w:r w:rsidR="00702E2E" w:rsidRPr="00702E2E">
        <w:t>the</w:t>
      </w:r>
      <w:r w:rsidR="00E80D5C">
        <w:t xml:space="preserve"> trial</w:t>
      </w:r>
      <w:r w:rsidR="00702E2E" w:rsidRPr="00702E2E">
        <w:t xml:space="preserve"> judge’s responsibility to make an independent assessment of the evidence and therefore weight ought not to be attached to conclusions reached by another judge. This is in line with the approach taken by the Constitutional Court in </w:t>
      </w:r>
      <w:r w:rsidR="00702E2E" w:rsidRPr="00702E2E">
        <w:rPr>
          <w:i/>
          <w:iCs/>
        </w:rPr>
        <w:t>HSF</w:t>
      </w:r>
      <w:r w:rsidR="00F36591">
        <w:t>.</w:t>
      </w:r>
    </w:p>
    <w:p w14:paraId="59662E13" w14:textId="36F4D615" w:rsidR="00702E2E" w:rsidRPr="00702E2E" w:rsidRDefault="005D4D9D" w:rsidP="005D4D9D">
      <w:pPr>
        <w:pStyle w:val="JudgmentNumbered"/>
        <w:numPr>
          <w:ilvl w:val="0"/>
          <w:numId w:val="0"/>
        </w:numPr>
        <w:ind w:left="720" w:hanging="720"/>
      </w:pPr>
      <w:r w:rsidRPr="00702E2E">
        <w:t>[55]</w:t>
      </w:r>
      <w:r w:rsidRPr="00702E2E">
        <w:tab/>
      </w:r>
      <w:r w:rsidR="00702E2E" w:rsidRPr="00702E2E">
        <w:t>The hybrid approach taken by the applicants in the main application seeks to have the court determine liability in a vacuum which seals the inquiry off from context.</w:t>
      </w:r>
    </w:p>
    <w:p w14:paraId="5215B2A5" w14:textId="4A9AFD50" w:rsidR="00473BBE" w:rsidRDefault="005D4D9D" w:rsidP="005D4D9D">
      <w:pPr>
        <w:pStyle w:val="JudgmentNumbered"/>
        <w:numPr>
          <w:ilvl w:val="0"/>
          <w:numId w:val="0"/>
        </w:numPr>
        <w:ind w:left="720" w:hanging="720"/>
      </w:pPr>
      <w:r>
        <w:t>[56]</w:t>
      </w:r>
      <w:r>
        <w:tab/>
      </w:r>
      <w:r w:rsidR="00F35FAE">
        <w:t>To my mind, the</w:t>
      </w:r>
      <w:r w:rsidR="00702E2E" w:rsidRPr="00702E2E">
        <w:t xml:space="preserve"> purpose of the objection</w:t>
      </w:r>
      <w:r w:rsidR="00F35FAE">
        <w:t xml:space="preserve"> to the evidence</w:t>
      </w:r>
      <w:r w:rsidR="00702E2E" w:rsidRPr="00702E2E">
        <w:t xml:space="preserve"> is not to protect the applicants from the prejudice attached to the receipt of opinion evidence of </w:t>
      </w:r>
      <w:r w:rsidR="00BB3CAC">
        <w:t xml:space="preserve">the </w:t>
      </w:r>
      <w:r w:rsidR="00702E2E" w:rsidRPr="00702E2E">
        <w:t>court</w:t>
      </w:r>
      <w:r w:rsidR="00BB3CAC">
        <w:t xml:space="preserve"> in </w:t>
      </w:r>
      <w:r w:rsidR="00BB3CAC" w:rsidRPr="005757D1">
        <w:rPr>
          <w:i/>
          <w:iCs/>
        </w:rPr>
        <w:t>Mor</w:t>
      </w:r>
      <w:r w:rsidR="005757D1" w:rsidRPr="005757D1">
        <w:rPr>
          <w:i/>
          <w:iCs/>
        </w:rPr>
        <w:t>opa</w:t>
      </w:r>
      <w:r w:rsidR="00F35FAE">
        <w:rPr>
          <w:i/>
          <w:iCs/>
        </w:rPr>
        <w:t xml:space="preserve">; </w:t>
      </w:r>
      <w:r w:rsidR="00C005B3">
        <w:t xml:space="preserve">its </w:t>
      </w:r>
      <w:r w:rsidR="00702E2E" w:rsidRPr="00702E2E">
        <w:t xml:space="preserve"> purpose is to suppress</w:t>
      </w:r>
      <w:r w:rsidR="000227FE">
        <w:t xml:space="preserve"> evidence</w:t>
      </w:r>
      <w:r w:rsidR="005757D1">
        <w:t xml:space="preserve"> which has relevance to </w:t>
      </w:r>
      <w:r w:rsidR="00CF4057">
        <w:t>and create</w:t>
      </w:r>
      <w:r w:rsidR="00CE4C2D">
        <w:t>s</w:t>
      </w:r>
      <w:r w:rsidR="00CF4057">
        <w:t xml:space="preserve"> context for the </w:t>
      </w:r>
      <w:r w:rsidR="00CE4C2D">
        <w:t xml:space="preserve">defences in respect of which the </w:t>
      </w:r>
      <w:r w:rsidR="000227FE">
        <w:t>respondents bear the onus</w:t>
      </w:r>
      <w:r w:rsidR="00702E2E" w:rsidRPr="00702E2E">
        <w:t>.</w:t>
      </w:r>
    </w:p>
    <w:p w14:paraId="2CE34213" w14:textId="7B06B001" w:rsidR="00702E2E" w:rsidRPr="00702E2E" w:rsidRDefault="005D4D9D" w:rsidP="005D4D9D">
      <w:pPr>
        <w:pStyle w:val="JudgmentNumbered"/>
        <w:numPr>
          <w:ilvl w:val="0"/>
          <w:numId w:val="0"/>
        </w:numPr>
        <w:ind w:left="720" w:hanging="720"/>
      </w:pPr>
      <w:r w:rsidRPr="00702E2E">
        <w:t>[57]</w:t>
      </w:r>
      <w:r w:rsidRPr="00702E2E">
        <w:tab/>
      </w:r>
      <w:r w:rsidR="000227FE">
        <w:t xml:space="preserve"> The </w:t>
      </w:r>
      <w:r w:rsidR="0019068A">
        <w:t>respondents</w:t>
      </w:r>
      <w:r w:rsidR="00D04C88">
        <w:t xml:space="preserve"> would to my mind be prejudiced by the exclusion of the evidence </w:t>
      </w:r>
      <w:r w:rsidR="009F2A8A">
        <w:t xml:space="preserve">at an interlocutory stage, especially in light of </w:t>
      </w:r>
      <w:r w:rsidR="00CB74C4">
        <w:t xml:space="preserve">the </w:t>
      </w:r>
      <w:r w:rsidR="009967FB">
        <w:t>hybrid procedure chosen by the applicants</w:t>
      </w:r>
      <w:r w:rsidR="00AF187E">
        <w:t>.</w:t>
      </w:r>
    </w:p>
    <w:p w14:paraId="256A961D" w14:textId="636D814F" w:rsidR="00702E2E" w:rsidRDefault="005D4D9D" w:rsidP="005D4D9D">
      <w:pPr>
        <w:pStyle w:val="JudgmentNumbered"/>
        <w:numPr>
          <w:ilvl w:val="0"/>
          <w:numId w:val="0"/>
        </w:numPr>
        <w:ind w:left="720" w:hanging="720"/>
      </w:pPr>
      <w:r>
        <w:t>[58]</w:t>
      </w:r>
      <w:r>
        <w:tab/>
      </w:r>
      <w:r w:rsidR="00702E2E" w:rsidRPr="00702E2E">
        <w:t>The introduction of the evidence even for the purposes of context as opposed to truth arguably creates disputes</w:t>
      </w:r>
      <w:r w:rsidR="00AF187E">
        <w:t xml:space="preserve"> of fact</w:t>
      </w:r>
      <w:r w:rsidR="00702E2E" w:rsidRPr="00702E2E">
        <w:t xml:space="preserve"> which </w:t>
      </w:r>
      <w:r w:rsidR="00944A71">
        <w:t xml:space="preserve">would </w:t>
      </w:r>
      <w:r w:rsidR="00702E2E" w:rsidRPr="00702E2E">
        <w:t>require an oral ventilation of the factual complex.</w:t>
      </w:r>
      <w:r w:rsidR="00AF187E">
        <w:t xml:space="preserve"> This</w:t>
      </w:r>
      <w:r w:rsidR="00CC7682">
        <w:t>,</w:t>
      </w:r>
      <w:r w:rsidR="00AF187E">
        <w:t xml:space="preserve"> ultimately</w:t>
      </w:r>
      <w:r w:rsidR="00CC7682">
        <w:t>,</w:t>
      </w:r>
      <w:r w:rsidR="00AF187E">
        <w:t xml:space="preserve"> is for the consideration of the court hearing the main application.</w:t>
      </w:r>
      <w:r w:rsidR="00CC7682">
        <w:t xml:space="preserve"> To my mind </w:t>
      </w:r>
      <w:r w:rsidR="00A8298D">
        <w:t xml:space="preserve">the existence of this evidence should not be excluded </w:t>
      </w:r>
      <w:r w:rsidR="000B2057">
        <w:t>from th</w:t>
      </w:r>
      <w:r w:rsidR="00944A71">
        <w:t xml:space="preserve">e consideration as to whether the hybrid approach was apposite. </w:t>
      </w:r>
    </w:p>
    <w:p w14:paraId="675F3C46" w14:textId="55A3D139" w:rsidR="009E618A" w:rsidRPr="009E618A" w:rsidRDefault="009E618A" w:rsidP="009E618A">
      <w:pPr>
        <w:pStyle w:val="JudgmentNumbered"/>
        <w:numPr>
          <w:ilvl w:val="0"/>
          <w:numId w:val="0"/>
        </w:numPr>
        <w:ind w:left="720"/>
        <w:rPr>
          <w:i/>
          <w:iCs/>
        </w:rPr>
      </w:pPr>
      <w:r w:rsidRPr="009E618A">
        <w:rPr>
          <w:i/>
          <w:iCs/>
        </w:rPr>
        <w:t>Conclusion</w:t>
      </w:r>
    </w:p>
    <w:p w14:paraId="050DADC1" w14:textId="75C36102" w:rsidR="00702E2E" w:rsidRPr="00702E2E" w:rsidRDefault="005D4D9D" w:rsidP="005D4D9D">
      <w:pPr>
        <w:pStyle w:val="JudgmentNumbered"/>
        <w:numPr>
          <w:ilvl w:val="0"/>
          <w:numId w:val="0"/>
        </w:numPr>
        <w:ind w:left="720" w:hanging="720"/>
      </w:pPr>
      <w:r w:rsidRPr="00702E2E">
        <w:t>[59]</w:t>
      </w:r>
      <w:r w:rsidRPr="00702E2E">
        <w:tab/>
      </w:r>
      <w:r w:rsidR="00702E2E" w:rsidRPr="00702E2E">
        <w:t>Thus</w:t>
      </w:r>
      <w:r w:rsidR="00F36591">
        <w:t>,</w:t>
      </w:r>
      <w:r w:rsidR="00702E2E" w:rsidRPr="00702E2E">
        <w:t xml:space="preserve"> I find that the evidence is admissible for being relevant to a determination </w:t>
      </w:r>
      <w:r w:rsidR="00C005B3" w:rsidRPr="00702E2E">
        <w:t>of wrongfulness</w:t>
      </w:r>
      <w:r w:rsidR="00702E2E" w:rsidRPr="00702E2E">
        <w:t xml:space="preserve"> in this matter.</w:t>
      </w:r>
    </w:p>
    <w:p w14:paraId="355B8929" w14:textId="2210B383" w:rsidR="007231D0" w:rsidRDefault="005D4D9D" w:rsidP="005D4D9D">
      <w:pPr>
        <w:pStyle w:val="JudgmentNumbered"/>
        <w:numPr>
          <w:ilvl w:val="0"/>
          <w:numId w:val="0"/>
        </w:numPr>
        <w:ind w:left="720" w:hanging="720"/>
      </w:pPr>
      <w:r>
        <w:lastRenderedPageBreak/>
        <w:t>[60]</w:t>
      </w:r>
      <w:r>
        <w:tab/>
      </w:r>
      <w:r w:rsidR="00702E2E" w:rsidRPr="00702E2E">
        <w:t>The respondents</w:t>
      </w:r>
      <w:r w:rsidR="007231D0">
        <w:t>’</w:t>
      </w:r>
      <w:r w:rsidR="00A81B6D">
        <w:t xml:space="preserve"> </w:t>
      </w:r>
      <w:r w:rsidR="00702E2E" w:rsidRPr="00702E2E">
        <w:t>argu</w:t>
      </w:r>
      <w:r w:rsidR="009E618A">
        <w:t>ment</w:t>
      </w:r>
      <w:r w:rsidR="00702E2E" w:rsidRPr="00702E2E">
        <w:t xml:space="preserve"> that the receipt of this evidence creates or assists with the creation of a dispute of fact</w:t>
      </w:r>
      <w:r w:rsidR="00D22B3C">
        <w:t xml:space="preserve"> and</w:t>
      </w:r>
      <w:r w:rsidR="00A81B6D">
        <w:t xml:space="preserve"> thus</w:t>
      </w:r>
      <w:r w:rsidR="00D22B3C">
        <w:t xml:space="preserve"> has relevance to the process</w:t>
      </w:r>
      <w:r w:rsidR="00A81B6D">
        <w:t xml:space="preserve"> adopted by the applicant</w:t>
      </w:r>
      <w:r w:rsidR="00680E2E">
        <w:t>s</w:t>
      </w:r>
      <w:r w:rsidR="00D22B3C">
        <w:t xml:space="preserve"> is also acce</w:t>
      </w:r>
      <w:r w:rsidR="007231D0">
        <w:t>pted.</w:t>
      </w:r>
    </w:p>
    <w:p w14:paraId="03785EEB" w14:textId="538EA304" w:rsidR="00702E2E" w:rsidRDefault="005D4D9D" w:rsidP="005D4D9D">
      <w:pPr>
        <w:pStyle w:val="JudgmentNumbered"/>
        <w:numPr>
          <w:ilvl w:val="0"/>
          <w:numId w:val="0"/>
        </w:numPr>
        <w:ind w:left="720" w:hanging="720"/>
      </w:pPr>
      <w:r>
        <w:t>[61]</w:t>
      </w:r>
      <w:r>
        <w:tab/>
      </w:r>
      <w:r w:rsidR="00702E2E" w:rsidRPr="00702E2E">
        <w:t xml:space="preserve"> To the extent that these disputes are ultimately dealt with by way of </w:t>
      </w:r>
      <w:r w:rsidR="00DC1246">
        <w:t>oral</w:t>
      </w:r>
      <w:r w:rsidR="00702E2E" w:rsidRPr="00702E2E">
        <w:t xml:space="preserve"> ventilation of all the evidence</w:t>
      </w:r>
      <w:r w:rsidR="003F46E7">
        <w:t>,</w:t>
      </w:r>
      <w:r w:rsidR="00702E2E" w:rsidRPr="00702E2E">
        <w:t xml:space="preserve"> the applicants </w:t>
      </w:r>
      <w:r w:rsidR="002607BD">
        <w:t>be entitled to</w:t>
      </w:r>
      <w:r w:rsidR="00702E2E" w:rsidRPr="00702E2E">
        <w:t xml:space="preserve"> their protections</w:t>
      </w:r>
      <w:r w:rsidR="002607BD">
        <w:t xml:space="preserve"> in due course</w:t>
      </w:r>
      <w:r w:rsidR="00702E2E" w:rsidRPr="00702E2E">
        <w:t xml:space="preserve">. </w:t>
      </w:r>
    </w:p>
    <w:p w14:paraId="253E812B" w14:textId="1ADE5FE2" w:rsidR="00702E2E" w:rsidRPr="00F36591" w:rsidRDefault="00F36591" w:rsidP="00F36591">
      <w:pPr>
        <w:pStyle w:val="JudgmentNumbered"/>
        <w:numPr>
          <w:ilvl w:val="0"/>
          <w:numId w:val="0"/>
        </w:numPr>
        <w:rPr>
          <w:i/>
          <w:iCs/>
        </w:rPr>
      </w:pPr>
      <w:r>
        <w:rPr>
          <w:i/>
          <w:iCs/>
        </w:rPr>
        <w:t>Costs</w:t>
      </w:r>
    </w:p>
    <w:p w14:paraId="42535DFE" w14:textId="6470B9A4" w:rsidR="00F36591" w:rsidRDefault="005D4D9D" w:rsidP="005D4D9D">
      <w:pPr>
        <w:pStyle w:val="JudgmentNumbered"/>
        <w:numPr>
          <w:ilvl w:val="0"/>
          <w:numId w:val="0"/>
        </w:numPr>
        <w:ind w:left="720" w:hanging="720"/>
      </w:pPr>
      <w:r>
        <w:t>[62]</w:t>
      </w:r>
      <w:r>
        <w:tab/>
      </w:r>
      <w:r w:rsidR="00F36591" w:rsidRPr="00F36591">
        <w:t>The respondents seek that the costs be in the cause. This is an appropriate order</w:t>
      </w:r>
      <w:r w:rsidR="00F36591">
        <w:t>.</w:t>
      </w:r>
    </w:p>
    <w:p w14:paraId="6994E917" w14:textId="0D0F94BB" w:rsidR="00F36591" w:rsidRPr="00F36591" w:rsidRDefault="00F36591" w:rsidP="00F36591">
      <w:pPr>
        <w:pStyle w:val="JudgmentNumbered"/>
        <w:numPr>
          <w:ilvl w:val="0"/>
          <w:numId w:val="0"/>
        </w:numPr>
        <w:rPr>
          <w:i/>
          <w:iCs/>
        </w:rPr>
      </w:pPr>
      <w:r>
        <w:rPr>
          <w:i/>
          <w:iCs/>
        </w:rPr>
        <w:t>Order</w:t>
      </w:r>
    </w:p>
    <w:bookmarkEnd w:id="5"/>
    <w:p w14:paraId="428D8E5C" w14:textId="545EE7E0" w:rsidR="005C5D2F" w:rsidRPr="006819E0" w:rsidRDefault="005D4D9D" w:rsidP="005D4D9D">
      <w:pPr>
        <w:pStyle w:val="JudgmentNumbered"/>
        <w:numPr>
          <w:ilvl w:val="0"/>
          <w:numId w:val="0"/>
        </w:numPr>
        <w:ind w:left="720" w:hanging="720"/>
      </w:pPr>
      <w:r w:rsidRPr="006819E0">
        <w:t>[63]</w:t>
      </w:r>
      <w:r w:rsidRPr="006819E0">
        <w:tab/>
      </w:r>
      <w:r w:rsidR="00F36591">
        <w:t>I thus make an order which reads as follows:</w:t>
      </w:r>
    </w:p>
    <w:p w14:paraId="0944661B" w14:textId="5BB4BC15" w:rsidR="005818DD" w:rsidRPr="00BE20A6" w:rsidRDefault="005D4D9D" w:rsidP="005D4D9D">
      <w:pPr>
        <w:pStyle w:val="JudgmentNumbered"/>
        <w:numPr>
          <w:ilvl w:val="0"/>
          <w:numId w:val="0"/>
        </w:numPr>
        <w:ind w:left="1429" w:hanging="720"/>
        <w:rPr>
          <w:lang w:val="en-ZA"/>
        </w:rPr>
      </w:pPr>
      <w:bookmarkStart w:id="8" w:name="_Hlk142415608"/>
      <w:bookmarkStart w:id="9" w:name="_Hlk140479139"/>
      <w:bookmarkStart w:id="10" w:name="_Hlk142415644"/>
      <w:bookmarkStart w:id="11" w:name="_Hlk153892475"/>
      <w:r w:rsidRPr="00BE20A6">
        <w:rPr>
          <w:lang w:val="en-ZA"/>
        </w:rPr>
        <w:t>[1]</w:t>
      </w:r>
      <w:r w:rsidRPr="00BE20A6">
        <w:rPr>
          <w:lang w:val="en-ZA"/>
        </w:rPr>
        <w:tab/>
      </w:r>
      <w:r w:rsidR="003A0271" w:rsidRPr="003A0271">
        <w:t>The</w:t>
      </w:r>
      <w:bookmarkEnd w:id="8"/>
      <w:bookmarkEnd w:id="9"/>
      <w:bookmarkEnd w:id="10"/>
      <w:r w:rsidR="00BE20A6" w:rsidRPr="00BE20A6">
        <w:t xml:space="preserve"> factual findings made by the High Court, Gauteng Division, Johannesburg in the matter between </w:t>
      </w:r>
      <w:r w:rsidR="00BE20A6" w:rsidRPr="00BE20A6">
        <w:rPr>
          <w:i/>
          <w:iCs/>
        </w:rPr>
        <w:t>Moropa &amp; 9 Others v Chemical Industries National Provident Fund &amp; 22 Others</w:t>
      </w:r>
      <w:r w:rsidR="00BE20A6" w:rsidRPr="00BE20A6">
        <w:t>, Appeal Case No. A5041/2021,</w:t>
      </w:r>
      <w:r w:rsidR="0083156B">
        <w:t>(</w:t>
      </w:r>
      <w:r w:rsidR="00BE20A6" w:rsidRPr="00BE20A6">
        <w:t xml:space="preserve"> 29 June 2022</w:t>
      </w:r>
      <w:r w:rsidR="0083156B">
        <w:t>)</w:t>
      </w:r>
      <w:r w:rsidR="003A34C6">
        <w:t xml:space="preserve"> in the following paragraphs</w:t>
      </w:r>
      <w:r w:rsidR="00BF5FB1">
        <w:t xml:space="preserve"> are admitted into evidence</w:t>
      </w:r>
      <w:r w:rsidR="0083156B">
        <w:t>:</w:t>
      </w:r>
    </w:p>
    <w:p w14:paraId="070939DF" w14:textId="50796216" w:rsidR="00BE20A6" w:rsidRDefault="005D4D9D" w:rsidP="005D4D9D">
      <w:pPr>
        <w:pStyle w:val="JudgmentNumbered"/>
        <w:numPr>
          <w:ilvl w:val="0"/>
          <w:numId w:val="0"/>
        </w:numPr>
        <w:ind w:left="2160" w:hanging="720"/>
        <w:rPr>
          <w:lang w:val="en-ZA"/>
        </w:rPr>
      </w:pPr>
      <w:r>
        <w:rPr>
          <w:lang w:val="en-ZA"/>
        </w:rPr>
        <w:t>[1.1]</w:t>
      </w:r>
      <w:r>
        <w:rPr>
          <w:lang w:val="en-ZA"/>
        </w:rPr>
        <w:tab/>
      </w:r>
      <w:r w:rsidR="00BE20A6" w:rsidRPr="00BE20A6">
        <w:rPr>
          <w:lang w:val="en-ZA"/>
        </w:rPr>
        <w:t>Paragraph 5;</w:t>
      </w:r>
    </w:p>
    <w:p w14:paraId="777DC1F2" w14:textId="19864E5F" w:rsidR="00BE20A6" w:rsidRDefault="005D4D9D" w:rsidP="005D4D9D">
      <w:pPr>
        <w:pStyle w:val="JudgmentNumbered"/>
        <w:numPr>
          <w:ilvl w:val="0"/>
          <w:numId w:val="0"/>
        </w:numPr>
        <w:ind w:left="2160" w:hanging="720"/>
        <w:rPr>
          <w:lang w:val="en-ZA"/>
        </w:rPr>
      </w:pPr>
      <w:r>
        <w:rPr>
          <w:lang w:val="en-ZA"/>
        </w:rPr>
        <w:t>[1.2]</w:t>
      </w:r>
      <w:r>
        <w:rPr>
          <w:lang w:val="en-ZA"/>
        </w:rPr>
        <w:tab/>
      </w:r>
      <w:r w:rsidR="00BE20A6" w:rsidRPr="00BE20A6">
        <w:rPr>
          <w:lang w:val="en-ZA"/>
        </w:rPr>
        <w:t>Paragraph 10;</w:t>
      </w:r>
    </w:p>
    <w:p w14:paraId="01D5B2CC" w14:textId="0EC79405" w:rsidR="00BE20A6" w:rsidRDefault="005D4D9D" w:rsidP="005D4D9D">
      <w:pPr>
        <w:pStyle w:val="JudgmentNumbered"/>
        <w:numPr>
          <w:ilvl w:val="0"/>
          <w:numId w:val="0"/>
        </w:numPr>
        <w:ind w:left="2160" w:hanging="720"/>
        <w:rPr>
          <w:lang w:val="en-ZA"/>
        </w:rPr>
      </w:pPr>
      <w:r>
        <w:rPr>
          <w:lang w:val="en-ZA"/>
        </w:rPr>
        <w:t>[1.3]</w:t>
      </w:r>
      <w:r>
        <w:rPr>
          <w:lang w:val="en-ZA"/>
        </w:rPr>
        <w:tab/>
      </w:r>
      <w:r w:rsidR="00BE20A6" w:rsidRPr="00BE20A6">
        <w:rPr>
          <w:lang w:val="en-ZA"/>
        </w:rPr>
        <w:t>Paragraph 13;</w:t>
      </w:r>
    </w:p>
    <w:p w14:paraId="540ADDAD" w14:textId="744B7B56" w:rsidR="00BE20A6" w:rsidRDefault="005D4D9D" w:rsidP="005D4D9D">
      <w:pPr>
        <w:pStyle w:val="JudgmentNumbered"/>
        <w:numPr>
          <w:ilvl w:val="0"/>
          <w:numId w:val="0"/>
        </w:numPr>
        <w:ind w:left="2160" w:hanging="720"/>
        <w:rPr>
          <w:lang w:val="en-ZA"/>
        </w:rPr>
      </w:pPr>
      <w:r>
        <w:rPr>
          <w:lang w:val="en-ZA"/>
        </w:rPr>
        <w:t>[1.4]</w:t>
      </w:r>
      <w:r>
        <w:rPr>
          <w:lang w:val="en-ZA"/>
        </w:rPr>
        <w:tab/>
      </w:r>
      <w:r w:rsidR="00BE20A6" w:rsidRPr="00BE20A6">
        <w:rPr>
          <w:lang w:val="en-ZA"/>
        </w:rPr>
        <w:t>Paragraphs 15</w:t>
      </w:r>
      <w:r w:rsidR="00BE20A6">
        <w:rPr>
          <w:lang w:val="en-ZA"/>
        </w:rPr>
        <w:t>-</w:t>
      </w:r>
      <w:r w:rsidR="00BE20A6" w:rsidRPr="00BE20A6">
        <w:rPr>
          <w:lang w:val="en-ZA"/>
        </w:rPr>
        <w:t>16;</w:t>
      </w:r>
    </w:p>
    <w:p w14:paraId="5A6ECC36" w14:textId="472868DB" w:rsidR="00BE20A6" w:rsidRDefault="005D4D9D" w:rsidP="005D4D9D">
      <w:pPr>
        <w:pStyle w:val="JudgmentNumbered"/>
        <w:numPr>
          <w:ilvl w:val="0"/>
          <w:numId w:val="0"/>
        </w:numPr>
        <w:ind w:left="2160" w:hanging="720"/>
        <w:rPr>
          <w:lang w:val="en-ZA"/>
        </w:rPr>
      </w:pPr>
      <w:r>
        <w:rPr>
          <w:lang w:val="en-ZA"/>
        </w:rPr>
        <w:t>[1.5]</w:t>
      </w:r>
      <w:r>
        <w:rPr>
          <w:lang w:val="en-ZA"/>
        </w:rPr>
        <w:tab/>
      </w:r>
      <w:r w:rsidR="00BE20A6" w:rsidRPr="00BE20A6">
        <w:rPr>
          <w:lang w:val="en-ZA"/>
        </w:rPr>
        <w:t>Paragraphs 29</w:t>
      </w:r>
      <w:r w:rsidR="00BE20A6">
        <w:rPr>
          <w:lang w:val="en-ZA"/>
        </w:rPr>
        <w:t>-</w:t>
      </w:r>
      <w:r w:rsidR="00BE20A6" w:rsidRPr="00BE20A6">
        <w:rPr>
          <w:lang w:val="en-ZA"/>
        </w:rPr>
        <w:t>36;</w:t>
      </w:r>
    </w:p>
    <w:p w14:paraId="6EFFE750" w14:textId="0793AB89" w:rsidR="00BE20A6" w:rsidRDefault="005D4D9D" w:rsidP="005D4D9D">
      <w:pPr>
        <w:pStyle w:val="JudgmentNumbered"/>
        <w:numPr>
          <w:ilvl w:val="0"/>
          <w:numId w:val="0"/>
        </w:numPr>
        <w:ind w:left="2160" w:hanging="720"/>
        <w:rPr>
          <w:lang w:val="en-ZA"/>
        </w:rPr>
      </w:pPr>
      <w:r>
        <w:rPr>
          <w:lang w:val="en-ZA"/>
        </w:rPr>
        <w:t>[1.6]</w:t>
      </w:r>
      <w:r>
        <w:rPr>
          <w:lang w:val="en-ZA"/>
        </w:rPr>
        <w:tab/>
      </w:r>
      <w:r w:rsidR="00BE20A6" w:rsidRPr="00BE20A6">
        <w:rPr>
          <w:lang w:val="en-ZA"/>
        </w:rPr>
        <w:t>Paragraph 50; and</w:t>
      </w:r>
    </w:p>
    <w:p w14:paraId="2A891176" w14:textId="316B972F" w:rsidR="00BE20A6" w:rsidRPr="00BE20A6" w:rsidRDefault="005D4D9D" w:rsidP="005D4D9D">
      <w:pPr>
        <w:pStyle w:val="JudgmentNumbered"/>
        <w:numPr>
          <w:ilvl w:val="0"/>
          <w:numId w:val="0"/>
        </w:numPr>
        <w:ind w:left="2160" w:hanging="720"/>
        <w:rPr>
          <w:lang w:val="en-ZA"/>
        </w:rPr>
      </w:pPr>
      <w:r w:rsidRPr="00BE20A6">
        <w:rPr>
          <w:lang w:val="en-ZA"/>
        </w:rPr>
        <w:t>[1.7]</w:t>
      </w:r>
      <w:r w:rsidRPr="00BE20A6">
        <w:rPr>
          <w:lang w:val="en-ZA"/>
        </w:rPr>
        <w:tab/>
      </w:r>
      <w:r w:rsidR="00BE20A6" w:rsidRPr="00BE20A6">
        <w:rPr>
          <w:lang w:val="en-ZA"/>
        </w:rPr>
        <w:t>Paragraphs 80</w:t>
      </w:r>
      <w:r w:rsidR="00BE20A6">
        <w:rPr>
          <w:lang w:val="en-ZA"/>
        </w:rPr>
        <w:t>-</w:t>
      </w:r>
      <w:r w:rsidR="00BE20A6" w:rsidRPr="00BE20A6">
        <w:rPr>
          <w:lang w:val="en-ZA"/>
        </w:rPr>
        <w:t>82.</w:t>
      </w:r>
    </w:p>
    <w:p w14:paraId="1CEA486C" w14:textId="40C3C50F" w:rsidR="00BE20A6" w:rsidRPr="00BE20A6" w:rsidRDefault="005D4D9D" w:rsidP="005D4D9D">
      <w:pPr>
        <w:pStyle w:val="JudgmentNumbered"/>
        <w:numPr>
          <w:ilvl w:val="0"/>
          <w:numId w:val="0"/>
        </w:numPr>
        <w:ind w:left="1429" w:hanging="720"/>
        <w:rPr>
          <w:lang w:val="en-ZA"/>
        </w:rPr>
      </w:pPr>
      <w:r w:rsidRPr="00BE20A6">
        <w:rPr>
          <w:lang w:val="en-ZA"/>
        </w:rPr>
        <w:t>[2]</w:t>
      </w:r>
      <w:r w:rsidRPr="00BE20A6">
        <w:rPr>
          <w:lang w:val="en-ZA"/>
        </w:rPr>
        <w:tab/>
      </w:r>
      <w:r w:rsidR="00BE20A6" w:rsidRPr="00BE20A6">
        <w:t>The press release of the Financial Sector Conduct Authority dated 14</w:t>
      </w:r>
      <w:r w:rsidR="00BE20A6">
        <w:t> </w:t>
      </w:r>
      <w:r w:rsidR="00BE20A6" w:rsidRPr="00BE20A6">
        <w:t>July</w:t>
      </w:r>
      <w:r w:rsidR="00BE20A6">
        <w:t> </w:t>
      </w:r>
      <w:r w:rsidR="00BE20A6" w:rsidRPr="00BE20A6">
        <w:t>2022, is admitted into evidence</w:t>
      </w:r>
      <w:r w:rsidR="002607BD">
        <w:t>.</w:t>
      </w:r>
    </w:p>
    <w:p w14:paraId="61CA69AF" w14:textId="576B0C4D" w:rsidR="00BE20A6" w:rsidRDefault="005D4D9D" w:rsidP="005D4D9D">
      <w:pPr>
        <w:pStyle w:val="JudgmentNumbered"/>
        <w:numPr>
          <w:ilvl w:val="0"/>
          <w:numId w:val="0"/>
        </w:numPr>
        <w:ind w:left="1429" w:hanging="720"/>
        <w:rPr>
          <w:lang w:val="en-ZA"/>
        </w:rPr>
      </w:pPr>
      <w:r>
        <w:rPr>
          <w:lang w:val="en-ZA"/>
        </w:rPr>
        <w:lastRenderedPageBreak/>
        <w:t>[3]</w:t>
      </w:r>
      <w:r>
        <w:rPr>
          <w:lang w:val="en-ZA"/>
        </w:rPr>
        <w:tab/>
      </w:r>
      <w:r w:rsidR="00BE20A6" w:rsidRPr="00BE20A6">
        <w:t>The costs of this application are to be costs in the cause.</w:t>
      </w:r>
    </w:p>
    <w:bookmarkEnd w:id="11"/>
    <w:p w14:paraId="6CB23FDD" w14:textId="77777777" w:rsidR="00B21DA3" w:rsidRPr="00B21DA3" w:rsidRDefault="00B21DA3" w:rsidP="00B21DA3">
      <w:pPr>
        <w:pStyle w:val="JudgmentNumbered"/>
        <w:numPr>
          <w:ilvl w:val="0"/>
          <w:numId w:val="0"/>
        </w:numPr>
        <w:ind w:left="1429"/>
        <w:rPr>
          <w:lang w:val="en-ZA"/>
        </w:rPr>
      </w:pPr>
    </w:p>
    <w:p w14:paraId="377C8457" w14:textId="14D0AC36" w:rsidR="005818DD" w:rsidRDefault="005818DD" w:rsidP="005818DD">
      <w:pPr>
        <w:pStyle w:val="JudgmentNumbered"/>
        <w:numPr>
          <w:ilvl w:val="0"/>
          <w:numId w:val="0"/>
        </w:numPr>
        <w:spacing w:after="0"/>
        <w:ind w:left="567" w:hanging="567"/>
        <w:jc w:val="right"/>
      </w:pPr>
      <w:r>
        <w:t>___________________________</w:t>
      </w:r>
    </w:p>
    <w:p w14:paraId="3EEDC72F" w14:textId="77777777"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77777777"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76E7BCDF" w14:textId="3F453612" w:rsidR="00427058" w:rsidRPr="00427058" w:rsidRDefault="00427058" w:rsidP="00427058">
      <w:pPr>
        <w:pStyle w:val="JudgmentNumbered"/>
        <w:numPr>
          <w:ilvl w:val="0"/>
          <w:numId w:val="0"/>
        </w:numPr>
        <w:rPr>
          <w:b/>
          <w:bCs/>
        </w:rPr>
      </w:pPr>
      <w:r>
        <w:rPr>
          <w:b/>
          <w:bCs/>
        </w:rPr>
        <w:t xml:space="preserve">Delivered: </w:t>
      </w:r>
      <w:r w:rsidRPr="00D70FFD">
        <w:rPr>
          <w:b/>
          <w:bCs/>
        </w:rPr>
        <w:t>This Judgment was handed down electronically by circulation to the parties/their legal representatives by email and by uploading to the electronic file on Case Lines. The date for hand-down is deemed to be</w:t>
      </w:r>
      <w:r>
        <w:rPr>
          <w:b/>
          <w:bCs/>
        </w:rPr>
        <w:t xml:space="preserve"> </w:t>
      </w:r>
      <w:r w:rsidR="00757DB1">
        <w:rPr>
          <w:b/>
          <w:bCs/>
        </w:rPr>
        <w:t>29</w:t>
      </w:r>
      <w:r w:rsidR="00B21DA3">
        <w:rPr>
          <w:b/>
          <w:bCs/>
        </w:rPr>
        <w:t xml:space="preserve"> Decem</w:t>
      </w:r>
      <w:r w:rsidR="005E749E">
        <w:rPr>
          <w:b/>
          <w:bCs/>
        </w:rPr>
        <w:t>ber</w:t>
      </w:r>
      <w:r>
        <w:rPr>
          <w:b/>
          <w:bCs/>
        </w:rPr>
        <w:t xml:space="preserve"> </w:t>
      </w:r>
      <w:r w:rsidRPr="00D70FFD">
        <w:rPr>
          <w:b/>
          <w:bCs/>
        </w:rPr>
        <w:t>2023</w:t>
      </w:r>
      <w:r>
        <w:rPr>
          <w:b/>
          <w:bCs/>
        </w:rPr>
        <w:t>.</w:t>
      </w:r>
    </w:p>
    <w:p w14:paraId="306A0974" w14:textId="2C2EFB54" w:rsidR="00B21DA3" w:rsidRDefault="00B21DA3" w:rsidP="00B21DA3">
      <w:pPr>
        <w:tabs>
          <w:tab w:val="left" w:pos="3969"/>
          <w:tab w:val="left" w:pos="4536"/>
        </w:tabs>
        <w:ind w:left="0"/>
        <w:rPr>
          <w:rFonts w:eastAsia="Calibri" w:cs="Arial"/>
          <w:bCs/>
        </w:rPr>
      </w:pPr>
      <w:r>
        <w:rPr>
          <w:rFonts w:eastAsia="Calibri" w:cs="Arial"/>
          <w:bCs/>
        </w:rPr>
        <w:tab/>
      </w:r>
      <w:r>
        <w:rPr>
          <w:rFonts w:eastAsia="Calibri" w:cs="Arial"/>
          <w:bCs/>
        </w:rPr>
        <w:tab/>
      </w:r>
    </w:p>
    <w:p w14:paraId="6BD218FE" w14:textId="0052317F" w:rsidR="003F46E7" w:rsidRPr="00F36291" w:rsidRDefault="003F46E7" w:rsidP="003F46E7">
      <w:pPr>
        <w:tabs>
          <w:tab w:val="left" w:pos="3969"/>
          <w:tab w:val="left" w:pos="4536"/>
        </w:tabs>
        <w:ind w:left="0"/>
        <w:rPr>
          <w:rFonts w:eastAsia="Calibri" w:cs="Arial"/>
          <w:bCs/>
        </w:rPr>
      </w:pPr>
      <w:r>
        <w:rPr>
          <w:rFonts w:eastAsia="Calibri" w:cs="Arial"/>
          <w:b/>
        </w:rPr>
        <w:t>Heard:</w:t>
      </w:r>
      <w:r>
        <w:rPr>
          <w:rFonts w:eastAsia="Calibri" w:cs="Arial"/>
          <w:b/>
        </w:rPr>
        <w:tab/>
      </w:r>
      <w:r>
        <w:rPr>
          <w:rFonts w:eastAsia="Calibri" w:cs="Arial"/>
          <w:b/>
        </w:rPr>
        <w:tab/>
      </w:r>
      <w:r>
        <w:rPr>
          <w:rFonts w:eastAsia="Calibri" w:cs="Arial"/>
          <w:bCs/>
        </w:rPr>
        <w:t>19 October 2023.</w:t>
      </w:r>
    </w:p>
    <w:p w14:paraId="7615A794" w14:textId="16B82E2E" w:rsidR="003F46E7" w:rsidRPr="00F36291" w:rsidRDefault="003F46E7" w:rsidP="003F46E7">
      <w:pPr>
        <w:tabs>
          <w:tab w:val="left" w:pos="3969"/>
          <w:tab w:val="left" w:pos="4536"/>
        </w:tabs>
        <w:ind w:hanging="567"/>
        <w:rPr>
          <w:rFonts w:eastAsia="Calibri" w:cs="Arial"/>
          <w:bCs/>
        </w:rPr>
      </w:pPr>
      <w:r>
        <w:rPr>
          <w:rFonts w:eastAsia="Calibri" w:cs="Arial"/>
          <w:b/>
        </w:rPr>
        <w:t>Delivered:</w:t>
      </w:r>
      <w:r>
        <w:rPr>
          <w:rFonts w:eastAsia="Calibri" w:cs="Arial"/>
          <w:b/>
        </w:rPr>
        <w:tab/>
      </w:r>
      <w:r>
        <w:rPr>
          <w:rFonts w:eastAsia="Calibri" w:cs="Arial"/>
          <w:b/>
        </w:rPr>
        <w:tab/>
      </w:r>
      <w:r w:rsidR="008422D7">
        <w:rPr>
          <w:rFonts w:eastAsia="Calibri" w:cs="Arial"/>
          <w:bCs/>
        </w:rPr>
        <w:t>29</w:t>
      </w:r>
      <w:r>
        <w:rPr>
          <w:rFonts w:eastAsia="Calibri" w:cs="Arial"/>
          <w:bCs/>
        </w:rPr>
        <w:t xml:space="preserve"> December 2023.</w:t>
      </w:r>
    </w:p>
    <w:p w14:paraId="37CADAC4" w14:textId="77777777" w:rsidR="003F46E7" w:rsidRDefault="003F46E7" w:rsidP="003F46E7">
      <w:pPr>
        <w:ind w:hanging="567"/>
        <w:rPr>
          <w:rFonts w:eastAsia="Calibri" w:cs="Arial"/>
          <w:b/>
        </w:rPr>
      </w:pPr>
      <w:r>
        <w:rPr>
          <w:rFonts w:eastAsia="Calibri" w:cs="Arial"/>
          <w:b/>
        </w:rPr>
        <w:t>APPEARANCES:</w:t>
      </w:r>
    </w:p>
    <w:p w14:paraId="7C3770BC" w14:textId="2F78E31B" w:rsidR="003F46E7" w:rsidRPr="004A1729" w:rsidRDefault="003F46E7" w:rsidP="003F46E7">
      <w:pPr>
        <w:tabs>
          <w:tab w:val="left" w:pos="3969"/>
          <w:tab w:val="left" w:pos="4536"/>
        </w:tabs>
        <w:ind w:hanging="567"/>
        <w:rPr>
          <w:rFonts w:eastAsia="Calibri" w:cs="Arial"/>
          <w:bCs/>
        </w:rPr>
      </w:pPr>
      <w:r>
        <w:rPr>
          <w:rFonts w:eastAsia="Calibri" w:cs="Arial"/>
          <w:b/>
        </w:rPr>
        <w:t>For the applicants:</w:t>
      </w:r>
      <w:r>
        <w:rPr>
          <w:rFonts w:eastAsia="Calibri" w:cs="Arial"/>
          <w:b/>
        </w:rPr>
        <w:tab/>
      </w:r>
      <w:r w:rsidRPr="000204C0">
        <w:rPr>
          <w:rFonts w:eastAsia="Calibri" w:cs="Arial"/>
          <w:bCs/>
        </w:rPr>
        <w:tab/>
      </w:r>
      <w:r w:rsidR="00872484">
        <w:rPr>
          <w:rFonts w:eastAsia="Calibri" w:cs="Arial"/>
          <w:bCs/>
        </w:rPr>
        <w:t>Adv H J De Waal SC.</w:t>
      </w:r>
    </w:p>
    <w:p w14:paraId="75ECCCD6" w14:textId="0B72FDC5" w:rsidR="003F46E7" w:rsidRDefault="003F46E7" w:rsidP="003F46E7">
      <w:pPr>
        <w:tabs>
          <w:tab w:val="left" w:pos="3969"/>
          <w:tab w:val="left" w:pos="4536"/>
        </w:tabs>
        <w:ind w:left="0"/>
        <w:rPr>
          <w:rFonts w:eastAsia="Calibri" w:cs="Arial"/>
          <w:bCs/>
        </w:rPr>
      </w:pPr>
      <w:r>
        <w:rPr>
          <w:rFonts w:eastAsia="Calibri" w:cs="Arial"/>
          <w:bCs/>
        </w:rPr>
        <w:t>Instructed by:</w:t>
      </w:r>
      <w:r>
        <w:rPr>
          <w:rFonts w:eastAsia="Calibri" w:cs="Arial"/>
          <w:bCs/>
        </w:rPr>
        <w:tab/>
      </w:r>
      <w:r>
        <w:rPr>
          <w:rFonts w:eastAsia="Calibri" w:cs="Arial"/>
          <w:bCs/>
        </w:rPr>
        <w:tab/>
      </w:r>
      <w:r w:rsidR="00872484">
        <w:rPr>
          <w:rFonts w:eastAsia="Calibri" w:cs="Arial"/>
          <w:bCs/>
        </w:rPr>
        <w:t>Abrahams Kiewitz Inc</w:t>
      </w:r>
      <w:r>
        <w:rPr>
          <w:rFonts w:eastAsia="Calibri" w:cs="Arial"/>
          <w:bCs/>
        </w:rPr>
        <w:t>.</w:t>
      </w:r>
    </w:p>
    <w:p w14:paraId="187B275B" w14:textId="04E86C55" w:rsidR="003F46E7" w:rsidRPr="00F01179" w:rsidRDefault="003F46E7" w:rsidP="003F46E7">
      <w:pPr>
        <w:tabs>
          <w:tab w:val="left" w:pos="3969"/>
          <w:tab w:val="left" w:pos="4536"/>
        </w:tabs>
        <w:ind w:hanging="567"/>
        <w:rPr>
          <w:rFonts w:eastAsia="Calibri" w:cs="Arial"/>
          <w:bCs/>
        </w:rPr>
      </w:pPr>
      <w:r>
        <w:rPr>
          <w:rFonts w:eastAsia="Calibri" w:cs="Arial"/>
          <w:b/>
        </w:rPr>
        <w:t xml:space="preserve">For the respondents: </w:t>
      </w:r>
      <w:r>
        <w:rPr>
          <w:rFonts w:eastAsia="Calibri" w:cs="Arial"/>
          <w:b/>
        </w:rPr>
        <w:tab/>
      </w:r>
      <w:r>
        <w:rPr>
          <w:rFonts w:eastAsia="Calibri" w:cs="Arial"/>
          <w:b/>
        </w:rPr>
        <w:tab/>
      </w:r>
      <w:r w:rsidR="00872484">
        <w:rPr>
          <w:rFonts w:eastAsia="Calibri" w:cs="Arial"/>
          <w:bCs/>
        </w:rPr>
        <w:t>Adv. JPV McNally SC, Adv. S Scoot.</w:t>
      </w:r>
    </w:p>
    <w:p w14:paraId="47A17A0B" w14:textId="58059F52" w:rsidR="003F46E7" w:rsidRPr="0065585A" w:rsidRDefault="003F46E7" w:rsidP="003F46E7">
      <w:pPr>
        <w:tabs>
          <w:tab w:val="left" w:pos="3969"/>
          <w:tab w:val="left" w:pos="4536"/>
        </w:tabs>
        <w:ind w:left="0"/>
        <w:rPr>
          <w:rFonts w:eastAsia="Calibri" w:cs="Arial"/>
          <w:b/>
        </w:rPr>
      </w:pPr>
      <w:r>
        <w:rPr>
          <w:rFonts w:eastAsia="Calibri" w:cs="Arial"/>
          <w:bCs/>
        </w:rPr>
        <w:t>Instructed by:</w:t>
      </w:r>
      <w:r>
        <w:rPr>
          <w:rFonts w:eastAsia="Calibri" w:cs="Arial"/>
          <w:bCs/>
        </w:rPr>
        <w:tab/>
      </w:r>
      <w:r>
        <w:rPr>
          <w:rFonts w:eastAsia="Calibri" w:cs="Arial"/>
          <w:bCs/>
        </w:rPr>
        <w:tab/>
      </w:r>
      <w:r w:rsidR="00872484">
        <w:rPr>
          <w:rFonts w:eastAsia="Calibri" w:cs="Arial"/>
          <w:bCs/>
        </w:rPr>
        <w:t>Webber Wentzel</w:t>
      </w:r>
      <w:r>
        <w:rPr>
          <w:rFonts w:eastAsia="Calibri" w:cs="Arial"/>
          <w:bCs/>
        </w:rPr>
        <w:t>.</w:t>
      </w:r>
    </w:p>
    <w:sectPr w:rsidR="003F46E7" w:rsidRPr="0065585A"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DCAF" w14:textId="77777777" w:rsidR="0082147F" w:rsidRDefault="0082147F" w:rsidP="00C0309A">
      <w:pPr>
        <w:spacing w:after="0" w:line="240" w:lineRule="auto"/>
      </w:pPr>
      <w:r>
        <w:separator/>
      </w:r>
    </w:p>
  </w:endnote>
  <w:endnote w:type="continuationSeparator" w:id="0">
    <w:p w14:paraId="13CC3622" w14:textId="77777777" w:rsidR="0082147F" w:rsidRDefault="0082147F"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638"/>
      <w:docPartObj>
        <w:docPartGallery w:val="Page Numbers (Bottom of Page)"/>
        <w:docPartUnique/>
      </w:docPartObj>
    </w:sdtPr>
    <w:sdtEndPr>
      <w:rPr>
        <w:noProof/>
      </w:rPr>
    </w:sdtEndPr>
    <w:sdtContent>
      <w:p w14:paraId="7FBA5D8A" w14:textId="3B0560DD" w:rsidR="008F6C98" w:rsidRDefault="008F6C98">
        <w:pPr>
          <w:pStyle w:val="Footer"/>
          <w:jc w:val="right"/>
        </w:pPr>
        <w:r>
          <w:fldChar w:fldCharType="begin"/>
        </w:r>
        <w:r>
          <w:instrText xml:space="preserve"> PAGE   \* MERGEFORMAT </w:instrText>
        </w:r>
        <w:r>
          <w:fldChar w:fldCharType="separate"/>
        </w:r>
        <w:r w:rsidR="00413D19">
          <w:rPr>
            <w:noProof/>
          </w:rPr>
          <w:t>12</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5E56" w14:textId="77777777" w:rsidR="0082147F" w:rsidRDefault="0082147F" w:rsidP="006779AB">
      <w:pPr>
        <w:spacing w:after="0" w:line="240" w:lineRule="auto"/>
        <w:ind w:left="0"/>
      </w:pPr>
      <w:r>
        <w:separator/>
      </w:r>
    </w:p>
  </w:footnote>
  <w:footnote w:type="continuationSeparator" w:id="0">
    <w:p w14:paraId="57C926BE" w14:textId="77777777" w:rsidR="0082147F" w:rsidRDefault="0082147F" w:rsidP="00C0309A">
      <w:pPr>
        <w:spacing w:after="0" w:line="240" w:lineRule="auto"/>
      </w:pPr>
      <w:r>
        <w:continuationSeparator/>
      </w:r>
    </w:p>
  </w:footnote>
  <w:footnote w:id="1">
    <w:p w14:paraId="2C0EEF47" w14:textId="5C90318F" w:rsidR="00B953E4" w:rsidRPr="0058370D" w:rsidRDefault="00B953E4" w:rsidP="0058370D">
      <w:pPr>
        <w:pStyle w:val="FootnoteText"/>
        <w:ind w:left="0"/>
        <w:rPr>
          <w:i/>
          <w:iCs/>
          <w:sz w:val="18"/>
          <w:szCs w:val="18"/>
          <w:lang w:val="en-US"/>
        </w:rPr>
      </w:pPr>
      <w:r>
        <w:rPr>
          <w:rStyle w:val="FootnoteReference"/>
        </w:rPr>
        <w:footnoteRef/>
      </w:r>
      <w:r>
        <w:t xml:space="preserve"> </w:t>
      </w:r>
      <w:r w:rsidR="007E7C28" w:rsidRPr="0058370D">
        <w:rPr>
          <w:i/>
          <w:iCs/>
          <w:sz w:val="18"/>
          <w:szCs w:val="18"/>
        </w:rPr>
        <w:t>1943 All ER</w:t>
      </w:r>
      <w:r w:rsidR="00095F8C" w:rsidRPr="0058370D">
        <w:rPr>
          <w:i/>
          <w:iCs/>
          <w:sz w:val="18"/>
          <w:szCs w:val="18"/>
        </w:rPr>
        <w:t xml:space="preserve"> 35</w:t>
      </w:r>
    </w:p>
  </w:footnote>
  <w:footnote w:id="2">
    <w:p w14:paraId="38EC21E6" w14:textId="1D8D91CB" w:rsidR="00173607" w:rsidRPr="00702E2E" w:rsidRDefault="00173607" w:rsidP="00173607">
      <w:pPr>
        <w:pStyle w:val="FootnoteText"/>
        <w:ind w:left="0"/>
        <w:rPr>
          <w:i/>
          <w:iCs/>
          <w:sz w:val="18"/>
          <w:szCs w:val="18"/>
          <w:lang w:val="en-ZA"/>
        </w:rPr>
      </w:pPr>
      <w:r w:rsidRPr="00702E2E">
        <w:rPr>
          <w:rStyle w:val="FootnoteReference"/>
          <w:sz w:val="18"/>
          <w:szCs w:val="18"/>
        </w:rPr>
        <w:footnoteRef/>
      </w:r>
      <w:r w:rsidRPr="00702E2E">
        <w:rPr>
          <w:sz w:val="18"/>
          <w:szCs w:val="18"/>
        </w:rPr>
        <w:t xml:space="preserve"> </w:t>
      </w:r>
      <w:r>
        <w:rPr>
          <w:sz w:val="18"/>
          <w:szCs w:val="18"/>
        </w:rPr>
        <w:t xml:space="preserve">  </w:t>
      </w:r>
      <w:r w:rsidRPr="00702E2E">
        <w:rPr>
          <w:sz w:val="18"/>
          <w:szCs w:val="18"/>
          <w:lang w:val="en-US"/>
        </w:rPr>
        <w:t xml:space="preserve">After </w:t>
      </w:r>
      <w:r w:rsidRPr="00702E2E">
        <w:rPr>
          <w:i/>
          <w:iCs/>
          <w:sz w:val="18"/>
          <w:szCs w:val="18"/>
        </w:rPr>
        <w:t xml:space="preserve">National Media Ltd v Bogoshi </w:t>
      </w:r>
      <w:r w:rsidRPr="00702E2E">
        <w:rPr>
          <w:sz w:val="18"/>
          <w:szCs w:val="18"/>
          <w:lang w:val="en-ZA"/>
        </w:rPr>
        <w:t>[1998] ZASCA 94;</w:t>
      </w:r>
      <w:r w:rsidRPr="00702E2E">
        <w:rPr>
          <w:sz w:val="18"/>
          <w:szCs w:val="18"/>
        </w:rPr>
        <w:t xml:space="preserve"> 1998 (4) SA 1196 (SCA).</w:t>
      </w:r>
    </w:p>
  </w:footnote>
  <w:footnote w:id="3">
    <w:p w14:paraId="14BAED6D" w14:textId="77777777" w:rsidR="00CC144B" w:rsidRDefault="00CC144B" w:rsidP="00CC144B">
      <w:pPr>
        <w:pStyle w:val="FootnoteText"/>
        <w:ind w:left="0"/>
        <w:rPr>
          <w:sz w:val="18"/>
          <w:szCs w:val="18"/>
          <w:lang w:val="en-US"/>
        </w:rPr>
      </w:pPr>
      <w:r>
        <w:rPr>
          <w:rStyle w:val="FootnoteReference"/>
          <w:sz w:val="18"/>
          <w:szCs w:val="18"/>
        </w:rPr>
        <w:footnoteRef/>
      </w:r>
      <w:r>
        <w:rPr>
          <w:sz w:val="18"/>
          <w:szCs w:val="18"/>
        </w:rPr>
        <w:t xml:space="preserve"> </w:t>
      </w:r>
      <w:r>
        <w:rPr>
          <w:sz w:val="18"/>
          <w:szCs w:val="18"/>
          <w:lang w:val="en-US"/>
        </w:rPr>
        <w:t>Id at 30-31.</w:t>
      </w:r>
    </w:p>
  </w:footnote>
  <w:footnote w:id="4">
    <w:p w14:paraId="578BA04B" w14:textId="77777777" w:rsidR="00FB3864" w:rsidRDefault="00FB3864" w:rsidP="00FB3864">
      <w:pPr>
        <w:pStyle w:val="FootnoteText"/>
        <w:rPr>
          <w:lang w:val="en-US"/>
        </w:rPr>
      </w:pPr>
      <w:r>
        <w:rPr>
          <w:rStyle w:val="FootnoteReference"/>
        </w:rPr>
        <w:footnoteRef/>
      </w:r>
      <w:r>
        <w:t xml:space="preserve"> </w:t>
      </w:r>
      <w:r>
        <w:rPr>
          <w:i/>
          <w:iCs/>
          <w:lang w:val="en-US"/>
        </w:rPr>
        <w:t xml:space="preserve">Johnson </w:t>
      </w:r>
      <w:r>
        <w:rPr>
          <w:lang w:val="en-US"/>
        </w:rPr>
        <w:t>at 205-206</w:t>
      </w:r>
    </w:p>
  </w:footnote>
  <w:footnote w:id="5">
    <w:p w14:paraId="5EB48471" w14:textId="77777777" w:rsidR="007D668B" w:rsidRDefault="007D668B" w:rsidP="007D668B">
      <w:pPr>
        <w:pStyle w:val="FootnoteText"/>
        <w:rPr>
          <w:lang w:val="en-US"/>
        </w:rPr>
      </w:pPr>
      <w:r>
        <w:rPr>
          <w:rStyle w:val="FootnoteReference"/>
        </w:rPr>
        <w:footnoteRef/>
      </w:r>
      <w:r>
        <w:t xml:space="preserve">  See also </w:t>
      </w:r>
      <w:r>
        <w:rPr>
          <w:i/>
          <w:iCs/>
        </w:rPr>
        <w:t xml:space="preserve">Modiri </w:t>
      </w:r>
      <w:r>
        <w:t xml:space="preserve">op. </w:t>
      </w:r>
      <w:r>
        <w:rPr>
          <w:i/>
          <w:iCs/>
        </w:rPr>
        <w:t>cit. at para 13.</w:t>
      </w:r>
    </w:p>
  </w:footnote>
  <w:footnote w:id="6">
    <w:p w14:paraId="22D662DD" w14:textId="0FA93570" w:rsidR="00702E2E" w:rsidRPr="006F5F34" w:rsidRDefault="00702E2E" w:rsidP="00702E2E">
      <w:pPr>
        <w:pStyle w:val="FootnoteText"/>
        <w:ind w:left="0"/>
        <w:rPr>
          <w:sz w:val="18"/>
          <w:szCs w:val="18"/>
          <w:lang w:val="en-US"/>
        </w:rPr>
      </w:pPr>
      <w:r w:rsidRPr="00702E2E">
        <w:rPr>
          <w:rStyle w:val="FootnoteReference"/>
          <w:sz w:val="18"/>
          <w:szCs w:val="18"/>
        </w:rPr>
        <w:footnoteRef/>
      </w:r>
      <w:r w:rsidRPr="00702E2E">
        <w:rPr>
          <w:sz w:val="18"/>
          <w:szCs w:val="18"/>
        </w:rPr>
        <w:t xml:space="preserve"> </w:t>
      </w:r>
      <w:r w:rsidRPr="00702E2E">
        <w:rPr>
          <w:sz w:val="18"/>
          <w:szCs w:val="18"/>
          <w:lang w:val="en-US"/>
        </w:rPr>
        <w:t>51 of 1977.</w:t>
      </w:r>
    </w:p>
  </w:footnote>
  <w:footnote w:id="7">
    <w:p w14:paraId="36903B64" w14:textId="6017AD01" w:rsidR="00702E2E" w:rsidRPr="006F5F34" w:rsidRDefault="00702E2E" w:rsidP="00702E2E">
      <w:pPr>
        <w:pStyle w:val="FootnoteText"/>
        <w:ind w:left="0"/>
        <w:rPr>
          <w:sz w:val="18"/>
          <w:szCs w:val="18"/>
          <w:lang w:val="en-US"/>
        </w:rPr>
      </w:pPr>
      <w:r w:rsidRPr="00702E2E">
        <w:rPr>
          <w:rStyle w:val="FootnoteReference"/>
          <w:sz w:val="18"/>
          <w:szCs w:val="18"/>
        </w:rPr>
        <w:footnoteRef/>
      </w:r>
      <w:r w:rsidRPr="00702E2E">
        <w:rPr>
          <w:sz w:val="18"/>
          <w:szCs w:val="18"/>
        </w:rPr>
        <w:t xml:space="preserve"> </w:t>
      </w:r>
      <w:r w:rsidRPr="00702E2E">
        <w:rPr>
          <w:sz w:val="18"/>
          <w:szCs w:val="18"/>
          <w:lang w:val="en-US"/>
        </w:rPr>
        <w:t>25 of 1965.</w:t>
      </w:r>
    </w:p>
  </w:footnote>
  <w:footnote w:id="8">
    <w:p w14:paraId="0CEDB688" w14:textId="3421609F" w:rsidR="00702E2E" w:rsidRPr="00B1338E" w:rsidRDefault="00702E2E" w:rsidP="00B1338E">
      <w:pPr>
        <w:pStyle w:val="FootnoteText"/>
        <w:ind w:left="0"/>
        <w:rPr>
          <w:b/>
          <w:bCs/>
          <w:sz w:val="18"/>
          <w:szCs w:val="18"/>
          <w:lang w:val="en-ZA"/>
        </w:rPr>
      </w:pPr>
      <w:r w:rsidRPr="00702E2E">
        <w:rPr>
          <w:rStyle w:val="FootnoteReference"/>
          <w:sz w:val="18"/>
          <w:szCs w:val="18"/>
        </w:rPr>
        <w:footnoteRef/>
      </w:r>
      <w:r w:rsidRPr="00702E2E">
        <w:rPr>
          <w:sz w:val="18"/>
          <w:szCs w:val="18"/>
        </w:rPr>
        <w:t xml:space="preserve"> </w:t>
      </w:r>
      <w:r w:rsidR="00B1338E" w:rsidRPr="00B1338E">
        <w:rPr>
          <w:i/>
          <w:iCs/>
          <w:sz w:val="18"/>
          <w:szCs w:val="18"/>
          <w:lang w:val="en-ZA"/>
        </w:rPr>
        <w:t>Institute for Accountability in Southern Africa v Public Protector</w:t>
      </w:r>
      <w:r w:rsidR="00B1338E" w:rsidRPr="00B1338E">
        <w:rPr>
          <w:sz w:val="18"/>
          <w:szCs w:val="18"/>
          <w:lang w:val="en-ZA"/>
        </w:rPr>
        <w:t xml:space="preserve"> 2020 (5) SA 179 (GP)</w:t>
      </w:r>
    </w:p>
  </w:footnote>
  <w:footnote w:id="9">
    <w:p w14:paraId="16803AE7" w14:textId="77777777" w:rsidR="00702E2E" w:rsidRPr="00702E2E" w:rsidRDefault="00702E2E" w:rsidP="00B1338E">
      <w:pPr>
        <w:pStyle w:val="FootnoteText"/>
        <w:ind w:left="0"/>
        <w:rPr>
          <w:sz w:val="18"/>
          <w:szCs w:val="18"/>
          <w:lang w:val="en-US"/>
        </w:rPr>
      </w:pPr>
      <w:r w:rsidRPr="00702E2E">
        <w:rPr>
          <w:rStyle w:val="FootnoteReference"/>
          <w:sz w:val="18"/>
          <w:szCs w:val="18"/>
        </w:rPr>
        <w:footnoteRef/>
      </w:r>
      <w:r w:rsidRPr="00702E2E">
        <w:rPr>
          <w:sz w:val="18"/>
          <w:szCs w:val="18"/>
        </w:rPr>
        <w:t xml:space="preserve"> </w:t>
      </w:r>
      <w:r w:rsidRPr="00702E2E">
        <w:rPr>
          <w:sz w:val="18"/>
          <w:szCs w:val="18"/>
          <w:lang w:val="en-US"/>
        </w:rPr>
        <w:t>Ibid at para 23 -25</w:t>
      </w:r>
    </w:p>
  </w:footnote>
  <w:footnote w:id="10">
    <w:p w14:paraId="50606BEF" w14:textId="5BFC57DB" w:rsidR="00702E2E" w:rsidRPr="00702E2E" w:rsidRDefault="00702E2E" w:rsidP="00B1338E">
      <w:pPr>
        <w:pStyle w:val="FootnoteText"/>
        <w:ind w:left="0"/>
        <w:rPr>
          <w:sz w:val="18"/>
          <w:szCs w:val="18"/>
          <w:lang w:val="en-US"/>
        </w:rPr>
      </w:pPr>
      <w:r w:rsidRPr="00702E2E">
        <w:rPr>
          <w:rStyle w:val="FootnoteReference"/>
          <w:sz w:val="18"/>
          <w:szCs w:val="18"/>
        </w:rPr>
        <w:footnoteRef/>
      </w:r>
      <w:r w:rsidRPr="00702E2E">
        <w:rPr>
          <w:sz w:val="18"/>
          <w:szCs w:val="18"/>
        </w:rPr>
        <w:t xml:space="preserve"> </w:t>
      </w:r>
      <w:r w:rsidRPr="00702E2E">
        <w:rPr>
          <w:i/>
          <w:iCs/>
          <w:sz w:val="18"/>
          <w:szCs w:val="18"/>
        </w:rPr>
        <w:t>Helen Suzman Foundation v President of the Republic of South Africa</w:t>
      </w:r>
      <w:r w:rsidRPr="00702E2E">
        <w:rPr>
          <w:sz w:val="18"/>
          <w:szCs w:val="18"/>
        </w:rPr>
        <w:t xml:space="preserve"> 2015 </w:t>
      </w:r>
      <w:r w:rsidR="00B1338E">
        <w:rPr>
          <w:sz w:val="18"/>
          <w:szCs w:val="18"/>
        </w:rPr>
        <w:t>(</w:t>
      </w:r>
      <w:r w:rsidRPr="00702E2E">
        <w:rPr>
          <w:sz w:val="18"/>
          <w:szCs w:val="18"/>
        </w:rPr>
        <w:t>2</w:t>
      </w:r>
      <w:r w:rsidR="00B1338E">
        <w:rPr>
          <w:sz w:val="18"/>
          <w:szCs w:val="18"/>
        </w:rPr>
        <w:t>)</w:t>
      </w:r>
      <w:r w:rsidRPr="00702E2E">
        <w:rPr>
          <w:sz w:val="18"/>
          <w:szCs w:val="18"/>
        </w:rPr>
        <w:t xml:space="preserve"> SA 1 (CC)</w:t>
      </w:r>
      <w:r w:rsidR="00B1338E">
        <w:rPr>
          <w:sz w:val="18"/>
          <w:szCs w:val="18"/>
        </w:rPr>
        <w:t>.</w:t>
      </w:r>
    </w:p>
  </w:footnote>
  <w:footnote w:id="11">
    <w:p w14:paraId="2E074E2E" w14:textId="036C3602" w:rsidR="00D8318E" w:rsidRPr="00D8318E" w:rsidRDefault="00D8318E">
      <w:pPr>
        <w:pStyle w:val="FootnoteText"/>
        <w:rPr>
          <w:lang w:val="en-US"/>
        </w:rPr>
      </w:pPr>
      <w:r>
        <w:rPr>
          <w:rStyle w:val="FootnoteReference"/>
        </w:rPr>
        <w:footnoteRef/>
      </w:r>
      <w:r>
        <w:t xml:space="preserve"> </w:t>
      </w:r>
      <w:r w:rsidRPr="00A63B04">
        <w:rPr>
          <w:i/>
          <w:iCs/>
          <w:lang w:val="en-US"/>
        </w:rPr>
        <w:t>HSF</w:t>
      </w:r>
      <w:r>
        <w:rPr>
          <w:lang w:val="en-US"/>
        </w:rPr>
        <w:t xml:space="preserve"> at</w:t>
      </w:r>
      <w:r w:rsidR="00A820E8">
        <w:rPr>
          <w:lang w:val="en-US"/>
        </w:rPr>
        <w:t xml:space="preserve"> </w:t>
      </w:r>
      <w:r w:rsidR="00903894">
        <w:rPr>
          <w:lang w:val="en-US"/>
        </w:rPr>
        <w:t>par 127</w:t>
      </w:r>
    </w:p>
  </w:footnote>
  <w:footnote w:id="12">
    <w:p w14:paraId="579A4FB6" w14:textId="58DA1820" w:rsidR="00702E2E" w:rsidRPr="00C46598" w:rsidRDefault="00702E2E" w:rsidP="00C46598">
      <w:pPr>
        <w:pStyle w:val="FootnoteText"/>
        <w:ind w:left="0"/>
        <w:rPr>
          <w:i/>
          <w:iCs/>
          <w:sz w:val="18"/>
          <w:szCs w:val="18"/>
          <w:lang w:val="en-ZA"/>
        </w:rPr>
      </w:pPr>
      <w:r w:rsidRPr="00702E2E">
        <w:rPr>
          <w:rStyle w:val="FootnoteReference"/>
          <w:sz w:val="18"/>
          <w:szCs w:val="18"/>
        </w:rPr>
        <w:footnoteRef/>
      </w:r>
      <w:r w:rsidRPr="00702E2E">
        <w:rPr>
          <w:sz w:val="18"/>
          <w:szCs w:val="18"/>
        </w:rPr>
        <w:t xml:space="preserve"> </w:t>
      </w:r>
      <w:r w:rsidRPr="00C46598">
        <w:rPr>
          <w:i/>
          <w:iCs/>
          <w:sz w:val="18"/>
          <w:szCs w:val="18"/>
        </w:rPr>
        <w:t xml:space="preserve">Crypto Open Patent Alliance v </w:t>
      </w:r>
      <w:r w:rsidR="00C46598" w:rsidRPr="00C46598">
        <w:rPr>
          <w:i/>
          <w:iCs/>
          <w:sz w:val="18"/>
          <w:szCs w:val="18"/>
          <w:lang w:val="en-ZA"/>
        </w:rPr>
        <w:t>Craig Steven</w:t>
      </w:r>
      <w:r w:rsidR="00C46598">
        <w:rPr>
          <w:i/>
          <w:iCs/>
          <w:sz w:val="18"/>
          <w:szCs w:val="18"/>
          <w:lang w:val="en-ZA"/>
        </w:rPr>
        <w:t xml:space="preserve"> </w:t>
      </w:r>
      <w:r w:rsidRPr="00C46598">
        <w:rPr>
          <w:i/>
          <w:iCs/>
          <w:sz w:val="18"/>
          <w:szCs w:val="18"/>
        </w:rPr>
        <w:t>Wright</w:t>
      </w:r>
      <w:r w:rsidRPr="00702E2E">
        <w:rPr>
          <w:sz w:val="18"/>
          <w:szCs w:val="18"/>
        </w:rPr>
        <w:t xml:space="preserve"> [2021] EWHC 3440 (Ch)</w:t>
      </w:r>
      <w:r w:rsidR="00C46598">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1A"/>
    <w:multiLevelType w:val="hybridMultilevel"/>
    <w:tmpl w:val="36140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8845F5"/>
    <w:multiLevelType w:val="hybridMultilevel"/>
    <w:tmpl w:val="7E527A6C"/>
    <w:lvl w:ilvl="0" w:tplc="1C090019">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37B1397"/>
    <w:multiLevelType w:val="hybridMultilevel"/>
    <w:tmpl w:val="9CCCC894"/>
    <w:lvl w:ilvl="0" w:tplc="A02E7002">
      <w:start w:val="1"/>
      <w:numFmt w:val="decimal"/>
      <w:lvlText w:val="[1.%1]"/>
      <w:lvlJc w:val="left"/>
      <w:pPr>
        <w:ind w:left="2149"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F45473B"/>
    <w:multiLevelType w:val="multilevel"/>
    <w:tmpl w:val="CDD05E6C"/>
    <w:lvl w:ilvl="0">
      <w:start w:val="1"/>
      <w:numFmt w:val="decimal"/>
      <w:pStyle w:val="JudgmentNumbered"/>
      <w:lvlText w:val="[%1]"/>
      <w:lvlJc w:val="left"/>
      <w:pPr>
        <w:ind w:left="567" w:hanging="567"/>
      </w:pPr>
      <w:rPr>
        <w:rFonts w:hint="default"/>
        <w:b w:val="0"/>
        <w:bCs w:val="0"/>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203D6C25"/>
    <w:multiLevelType w:val="hybridMultilevel"/>
    <w:tmpl w:val="48AA11C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2" w15:restartNumberingAfterBreak="0">
    <w:nsid w:val="287E34D6"/>
    <w:multiLevelType w:val="hybridMultilevel"/>
    <w:tmpl w:val="8C16B5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15:restartNumberingAfterBreak="0">
    <w:nsid w:val="2B220052"/>
    <w:multiLevelType w:val="multilevel"/>
    <w:tmpl w:val="FFFFFFFF"/>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cs="Times New Roman" w:hint="default"/>
        <w:b w:val="0"/>
        <w:i w:val="0"/>
      </w:rPr>
    </w:lvl>
    <w:lvl w:ilvl="2">
      <w:start w:val="1"/>
      <w:numFmt w:val="decimal"/>
      <w:lvlText w:val="%1.%2.%3"/>
      <w:lvlJc w:val="left"/>
      <w:pPr>
        <w:tabs>
          <w:tab w:val="num" w:pos="2835"/>
        </w:tabs>
        <w:ind w:left="2835" w:hanging="1417"/>
      </w:pPr>
      <w:rPr>
        <w:rFonts w:cs="Times New Roman" w:hint="default"/>
        <w:b w:val="0"/>
        <w:i w:val="0"/>
      </w:rPr>
    </w:lvl>
    <w:lvl w:ilvl="3">
      <w:start w:val="1"/>
      <w:numFmt w:val="decimal"/>
      <w:lvlText w:val="%1.%2.%3.%4"/>
      <w:lvlJc w:val="left"/>
      <w:pPr>
        <w:tabs>
          <w:tab w:val="num" w:pos="3629"/>
        </w:tabs>
        <w:ind w:left="3629" w:hanging="1418"/>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7696"/>
        </w:tabs>
        <w:ind w:left="7696" w:hanging="1800"/>
      </w:pPr>
      <w:rPr>
        <w:rFonts w:cs="Times New Roman" w:hint="default"/>
      </w:rPr>
    </w:lvl>
  </w:abstractNum>
  <w:abstractNum w:abstractNumId="15"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3E16A6"/>
    <w:multiLevelType w:val="hybridMultilevel"/>
    <w:tmpl w:val="A132A492"/>
    <w:lvl w:ilvl="0" w:tplc="D55A9448">
      <w:start w:val="1"/>
      <w:numFmt w:val="decimal"/>
      <w:lvlText w:val="[1.5.%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7"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8" w15:restartNumberingAfterBreak="0">
    <w:nsid w:val="34822D62"/>
    <w:multiLevelType w:val="multilevel"/>
    <w:tmpl w:val="E0245DA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3679755B"/>
    <w:multiLevelType w:val="hybridMultilevel"/>
    <w:tmpl w:val="D0ECA37C"/>
    <w:lvl w:ilvl="0" w:tplc="A02E7002">
      <w:start w:val="1"/>
      <w:numFmt w:val="decimal"/>
      <w:lvlText w:val="[1.%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E905F53"/>
    <w:multiLevelType w:val="hybridMultilevel"/>
    <w:tmpl w:val="5C6613F0"/>
    <w:lvl w:ilvl="0" w:tplc="E0B04AD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8"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29" w15:restartNumberingAfterBreak="0">
    <w:nsid w:val="72AA25D7"/>
    <w:multiLevelType w:val="hybridMultilevel"/>
    <w:tmpl w:val="0FD6CD3E"/>
    <w:lvl w:ilvl="0" w:tplc="CF28CB8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78802987">
    <w:abstractNumId w:val="8"/>
  </w:num>
  <w:num w:numId="2" w16cid:durableId="728306030">
    <w:abstractNumId w:val="1"/>
  </w:num>
  <w:num w:numId="3" w16cid:durableId="1785883488">
    <w:abstractNumId w:val="8"/>
  </w:num>
  <w:num w:numId="4" w16cid:durableId="1209026174">
    <w:abstractNumId w:val="6"/>
  </w:num>
  <w:num w:numId="5" w16cid:durableId="823470525">
    <w:abstractNumId w:val="17"/>
  </w:num>
  <w:num w:numId="6" w16cid:durableId="377244396">
    <w:abstractNumId w:val="11"/>
  </w:num>
  <w:num w:numId="7" w16cid:durableId="965963529">
    <w:abstractNumId w:val="27"/>
  </w:num>
  <w:num w:numId="8" w16cid:durableId="59252525">
    <w:abstractNumId w:val="13"/>
  </w:num>
  <w:num w:numId="9" w16cid:durableId="165830244">
    <w:abstractNumId w:val="15"/>
  </w:num>
  <w:num w:numId="10" w16cid:durableId="263995334">
    <w:abstractNumId w:val="4"/>
  </w:num>
  <w:num w:numId="11" w16cid:durableId="820803806">
    <w:abstractNumId w:val="10"/>
  </w:num>
  <w:num w:numId="12" w16cid:durableId="1606500819">
    <w:abstractNumId w:val="30"/>
  </w:num>
  <w:num w:numId="13" w16cid:durableId="196935690">
    <w:abstractNumId w:val="7"/>
  </w:num>
  <w:num w:numId="14" w16cid:durableId="1619986097">
    <w:abstractNumId w:val="20"/>
  </w:num>
  <w:num w:numId="15" w16cid:durableId="1489252250">
    <w:abstractNumId w:val="21"/>
  </w:num>
  <w:num w:numId="16" w16cid:durableId="133446779">
    <w:abstractNumId w:val="23"/>
  </w:num>
  <w:num w:numId="17" w16cid:durableId="686059047">
    <w:abstractNumId w:val="25"/>
  </w:num>
  <w:num w:numId="18" w16cid:durableId="1796172536">
    <w:abstractNumId w:val="31"/>
  </w:num>
  <w:num w:numId="19" w16cid:durableId="1043562070">
    <w:abstractNumId w:val="3"/>
  </w:num>
  <w:num w:numId="20" w16cid:durableId="2102096285">
    <w:abstractNumId w:val="24"/>
  </w:num>
  <w:num w:numId="21" w16cid:durableId="313996022">
    <w:abstractNumId w:val="28"/>
  </w:num>
  <w:num w:numId="22" w16cid:durableId="1524636087">
    <w:abstractNumId w:val="26"/>
  </w:num>
  <w:num w:numId="23" w16cid:durableId="1470132152">
    <w:abstractNumId w:val="2"/>
  </w:num>
  <w:num w:numId="24" w16cid:durableId="773131845">
    <w:abstractNumId w:val="16"/>
  </w:num>
  <w:num w:numId="25" w16cid:durableId="446462754">
    <w:abstractNumId w:val="29"/>
  </w:num>
  <w:num w:numId="26" w16cid:durableId="559750175">
    <w:abstractNumId w:val="0"/>
  </w:num>
  <w:num w:numId="27" w16cid:durableId="708408740">
    <w:abstractNumId w:val="9"/>
  </w:num>
  <w:num w:numId="28" w16cid:durableId="92435678">
    <w:abstractNumId w:val="12"/>
  </w:num>
  <w:num w:numId="29" w16cid:durableId="1882861111">
    <w:abstractNumId w:val="22"/>
  </w:num>
  <w:num w:numId="30" w16cid:durableId="58747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0176036">
    <w:abstractNumId w:val="5"/>
  </w:num>
  <w:num w:numId="32" w16cid:durableId="1234395330">
    <w:abstractNumId w:val="19"/>
  </w:num>
  <w:num w:numId="33" w16cid:durableId="1278367268">
    <w:abstractNumId w:val="14"/>
  </w:num>
  <w:num w:numId="34" w16cid:durableId="1965846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9A"/>
    <w:rsid w:val="00000CA9"/>
    <w:rsid w:val="000029C1"/>
    <w:rsid w:val="000049E3"/>
    <w:rsid w:val="00012D37"/>
    <w:rsid w:val="000204C0"/>
    <w:rsid w:val="000227FE"/>
    <w:rsid w:val="000254A5"/>
    <w:rsid w:val="00026B19"/>
    <w:rsid w:val="00034666"/>
    <w:rsid w:val="0003515A"/>
    <w:rsid w:val="00036DEF"/>
    <w:rsid w:val="00040F20"/>
    <w:rsid w:val="000425F0"/>
    <w:rsid w:val="00043D05"/>
    <w:rsid w:val="000446F7"/>
    <w:rsid w:val="00044D7F"/>
    <w:rsid w:val="00045C03"/>
    <w:rsid w:val="000468EE"/>
    <w:rsid w:val="0005146C"/>
    <w:rsid w:val="00057E4A"/>
    <w:rsid w:val="0006425C"/>
    <w:rsid w:val="00072059"/>
    <w:rsid w:val="0008189C"/>
    <w:rsid w:val="000839C4"/>
    <w:rsid w:val="00085598"/>
    <w:rsid w:val="000874CB"/>
    <w:rsid w:val="00090531"/>
    <w:rsid w:val="00093C5B"/>
    <w:rsid w:val="00095F8C"/>
    <w:rsid w:val="000A3FF0"/>
    <w:rsid w:val="000A5B20"/>
    <w:rsid w:val="000A6B0D"/>
    <w:rsid w:val="000A6D38"/>
    <w:rsid w:val="000B2057"/>
    <w:rsid w:val="000B5153"/>
    <w:rsid w:val="000C1011"/>
    <w:rsid w:val="000C210B"/>
    <w:rsid w:val="000D712E"/>
    <w:rsid w:val="000F4568"/>
    <w:rsid w:val="0010364C"/>
    <w:rsid w:val="0011130A"/>
    <w:rsid w:val="00112A1F"/>
    <w:rsid w:val="0012128C"/>
    <w:rsid w:val="00122CA2"/>
    <w:rsid w:val="001348B2"/>
    <w:rsid w:val="00140B9F"/>
    <w:rsid w:val="00145EFA"/>
    <w:rsid w:val="00173607"/>
    <w:rsid w:val="00174194"/>
    <w:rsid w:val="001773E9"/>
    <w:rsid w:val="00180797"/>
    <w:rsid w:val="0018166A"/>
    <w:rsid w:val="0019068A"/>
    <w:rsid w:val="00193711"/>
    <w:rsid w:val="00195844"/>
    <w:rsid w:val="0019666E"/>
    <w:rsid w:val="001B2C79"/>
    <w:rsid w:val="001D0DF1"/>
    <w:rsid w:val="001D1041"/>
    <w:rsid w:val="001D64D6"/>
    <w:rsid w:val="001D78F2"/>
    <w:rsid w:val="001E3DFF"/>
    <w:rsid w:val="001F7CE3"/>
    <w:rsid w:val="002011C8"/>
    <w:rsid w:val="00201C0D"/>
    <w:rsid w:val="002032ED"/>
    <w:rsid w:val="002068A8"/>
    <w:rsid w:val="002141AF"/>
    <w:rsid w:val="002165C9"/>
    <w:rsid w:val="00222A24"/>
    <w:rsid w:val="00223874"/>
    <w:rsid w:val="00226E43"/>
    <w:rsid w:val="00234BCC"/>
    <w:rsid w:val="00242095"/>
    <w:rsid w:val="00253089"/>
    <w:rsid w:val="00253D57"/>
    <w:rsid w:val="00257FFC"/>
    <w:rsid w:val="002607BD"/>
    <w:rsid w:val="00267D1E"/>
    <w:rsid w:val="00273AAF"/>
    <w:rsid w:val="00273B86"/>
    <w:rsid w:val="00280080"/>
    <w:rsid w:val="00282BBE"/>
    <w:rsid w:val="00283FA6"/>
    <w:rsid w:val="00285011"/>
    <w:rsid w:val="00291B68"/>
    <w:rsid w:val="00295C09"/>
    <w:rsid w:val="0029685E"/>
    <w:rsid w:val="002A28D3"/>
    <w:rsid w:val="002B192A"/>
    <w:rsid w:val="002B1FE1"/>
    <w:rsid w:val="002B3C53"/>
    <w:rsid w:val="002B3D1A"/>
    <w:rsid w:val="002C0589"/>
    <w:rsid w:val="002C085A"/>
    <w:rsid w:val="002C597B"/>
    <w:rsid w:val="002D1793"/>
    <w:rsid w:val="002D55BA"/>
    <w:rsid w:val="002E101C"/>
    <w:rsid w:val="002E3551"/>
    <w:rsid w:val="002E3D66"/>
    <w:rsid w:val="002E714B"/>
    <w:rsid w:val="002F1537"/>
    <w:rsid w:val="002F5F78"/>
    <w:rsid w:val="00307D6D"/>
    <w:rsid w:val="003107DD"/>
    <w:rsid w:val="00310B72"/>
    <w:rsid w:val="00322076"/>
    <w:rsid w:val="00325392"/>
    <w:rsid w:val="00334B6A"/>
    <w:rsid w:val="00335C01"/>
    <w:rsid w:val="00340BDD"/>
    <w:rsid w:val="003507EF"/>
    <w:rsid w:val="003701E4"/>
    <w:rsid w:val="00390892"/>
    <w:rsid w:val="003A0271"/>
    <w:rsid w:val="003A34C6"/>
    <w:rsid w:val="003B417F"/>
    <w:rsid w:val="003B507F"/>
    <w:rsid w:val="003B5D3B"/>
    <w:rsid w:val="003B7D54"/>
    <w:rsid w:val="003C35FF"/>
    <w:rsid w:val="003C3F15"/>
    <w:rsid w:val="003E5EEB"/>
    <w:rsid w:val="003F32F6"/>
    <w:rsid w:val="003F46E7"/>
    <w:rsid w:val="003F4DA6"/>
    <w:rsid w:val="003F7715"/>
    <w:rsid w:val="004003FB"/>
    <w:rsid w:val="00410868"/>
    <w:rsid w:val="00411EF1"/>
    <w:rsid w:val="00413D19"/>
    <w:rsid w:val="004201D8"/>
    <w:rsid w:val="00424407"/>
    <w:rsid w:val="0042582B"/>
    <w:rsid w:val="0042638C"/>
    <w:rsid w:val="00427058"/>
    <w:rsid w:val="00433C05"/>
    <w:rsid w:val="00447130"/>
    <w:rsid w:val="00450287"/>
    <w:rsid w:val="0046454D"/>
    <w:rsid w:val="00467819"/>
    <w:rsid w:val="00473BBE"/>
    <w:rsid w:val="00482758"/>
    <w:rsid w:val="00491200"/>
    <w:rsid w:val="00496314"/>
    <w:rsid w:val="00496C4A"/>
    <w:rsid w:val="00496D96"/>
    <w:rsid w:val="004A0FC4"/>
    <w:rsid w:val="004A1729"/>
    <w:rsid w:val="004A3794"/>
    <w:rsid w:val="004A5760"/>
    <w:rsid w:val="004B7511"/>
    <w:rsid w:val="004C0B06"/>
    <w:rsid w:val="004C7761"/>
    <w:rsid w:val="004D1FAE"/>
    <w:rsid w:val="004D4939"/>
    <w:rsid w:val="004E14B6"/>
    <w:rsid w:val="004E17F7"/>
    <w:rsid w:val="004F2ADD"/>
    <w:rsid w:val="004F3FF8"/>
    <w:rsid w:val="004F55D6"/>
    <w:rsid w:val="005009F8"/>
    <w:rsid w:val="00500C58"/>
    <w:rsid w:val="00507E24"/>
    <w:rsid w:val="00510B14"/>
    <w:rsid w:val="0051109A"/>
    <w:rsid w:val="0052748D"/>
    <w:rsid w:val="0053505D"/>
    <w:rsid w:val="00546E22"/>
    <w:rsid w:val="00553A72"/>
    <w:rsid w:val="00561F07"/>
    <w:rsid w:val="0057220C"/>
    <w:rsid w:val="00574025"/>
    <w:rsid w:val="005757D1"/>
    <w:rsid w:val="005816B1"/>
    <w:rsid w:val="005818DD"/>
    <w:rsid w:val="00582681"/>
    <w:rsid w:val="0058370D"/>
    <w:rsid w:val="00583747"/>
    <w:rsid w:val="00583DA0"/>
    <w:rsid w:val="00584D17"/>
    <w:rsid w:val="005854DF"/>
    <w:rsid w:val="00591F6F"/>
    <w:rsid w:val="00595F48"/>
    <w:rsid w:val="00597519"/>
    <w:rsid w:val="005A14E1"/>
    <w:rsid w:val="005A3081"/>
    <w:rsid w:val="005A394D"/>
    <w:rsid w:val="005A54BC"/>
    <w:rsid w:val="005A5732"/>
    <w:rsid w:val="005A5E5C"/>
    <w:rsid w:val="005B12D1"/>
    <w:rsid w:val="005B2792"/>
    <w:rsid w:val="005C1EEA"/>
    <w:rsid w:val="005C2DBD"/>
    <w:rsid w:val="005C5D2F"/>
    <w:rsid w:val="005C6769"/>
    <w:rsid w:val="005D07DB"/>
    <w:rsid w:val="005D4D9D"/>
    <w:rsid w:val="005E749E"/>
    <w:rsid w:val="005F1397"/>
    <w:rsid w:val="005F1D69"/>
    <w:rsid w:val="005F30E3"/>
    <w:rsid w:val="006047CF"/>
    <w:rsid w:val="00607E25"/>
    <w:rsid w:val="006124F6"/>
    <w:rsid w:val="0061468A"/>
    <w:rsid w:val="00616F14"/>
    <w:rsid w:val="00621189"/>
    <w:rsid w:val="006239DB"/>
    <w:rsid w:val="00625948"/>
    <w:rsid w:val="00625DFD"/>
    <w:rsid w:val="00627AAA"/>
    <w:rsid w:val="006314FF"/>
    <w:rsid w:val="00646A0B"/>
    <w:rsid w:val="0065209E"/>
    <w:rsid w:val="00652920"/>
    <w:rsid w:val="0065585A"/>
    <w:rsid w:val="00656F49"/>
    <w:rsid w:val="00661188"/>
    <w:rsid w:val="006672F8"/>
    <w:rsid w:val="006704F5"/>
    <w:rsid w:val="00672ABB"/>
    <w:rsid w:val="0067311A"/>
    <w:rsid w:val="006779AB"/>
    <w:rsid w:val="00680E2E"/>
    <w:rsid w:val="006819E0"/>
    <w:rsid w:val="0068475F"/>
    <w:rsid w:val="00685AC6"/>
    <w:rsid w:val="006A01F9"/>
    <w:rsid w:val="006A09B3"/>
    <w:rsid w:val="006B0FF5"/>
    <w:rsid w:val="006B4C3A"/>
    <w:rsid w:val="006B5E78"/>
    <w:rsid w:val="006F1A4B"/>
    <w:rsid w:val="006F5F34"/>
    <w:rsid w:val="006F67CB"/>
    <w:rsid w:val="00702E2E"/>
    <w:rsid w:val="00712467"/>
    <w:rsid w:val="00713C04"/>
    <w:rsid w:val="0071709A"/>
    <w:rsid w:val="00720A03"/>
    <w:rsid w:val="00722C87"/>
    <w:rsid w:val="007231D0"/>
    <w:rsid w:val="00730E59"/>
    <w:rsid w:val="0073467D"/>
    <w:rsid w:val="007452FF"/>
    <w:rsid w:val="00747223"/>
    <w:rsid w:val="00747243"/>
    <w:rsid w:val="007475CC"/>
    <w:rsid w:val="0075338F"/>
    <w:rsid w:val="00754369"/>
    <w:rsid w:val="00755D4D"/>
    <w:rsid w:val="00757DB1"/>
    <w:rsid w:val="00757F10"/>
    <w:rsid w:val="00762DC5"/>
    <w:rsid w:val="0076454B"/>
    <w:rsid w:val="00765FD8"/>
    <w:rsid w:val="00771685"/>
    <w:rsid w:val="0078018C"/>
    <w:rsid w:val="00781BD1"/>
    <w:rsid w:val="007858AB"/>
    <w:rsid w:val="007A5285"/>
    <w:rsid w:val="007B14A8"/>
    <w:rsid w:val="007C31CC"/>
    <w:rsid w:val="007D091F"/>
    <w:rsid w:val="007D6365"/>
    <w:rsid w:val="007D668B"/>
    <w:rsid w:val="007E083A"/>
    <w:rsid w:val="007E7C28"/>
    <w:rsid w:val="007F5361"/>
    <w:rsid w:val="00817A5D"/>
    <w:rsid w:val="00817F11"/>
    <w:rsid w:val="0082147F"/>
    <w:rsid w:val="0082606B"/>
    <w:rsid w:val="0083156B"/>
    <w:rsid w:val="00831A30"/>
    <w:rsid w:val="008359A2"/>
    <w:rsid w:val="0084221C"/>
    <w:rsid w:val="008422D7"/>
    <w:rsid w:val="008544A2"/>
    <w:rsid w:val="00854AE6"/>
    <w:rsid w:val="008564B8"/>
    <w:rsid w:val="008618BF"/>
    <w:rsid w:val="00872484"/>
    <w:rsid w:val="00876A92"/>
    <w:rsid w:val="00876A96"/>
    <w:rsid w:val="00881AE4"/>
    <w:rsid w:val="00891250"/>
    <w:rsid w:val="008931A9"/>
    <w:rsid w:val="008970AF"/>
    <w:rsid w:val="008A4135"/>
    <w:rsid w:val="008A705F"/>
    <w:rsid w:val="008A79F2"/>
    <w:rsid w:val="008B02EC"/>
    <w:rsid w:val="008C339E"/>
    <w:rsid w:val="008C418F"/>
    <w:rsid w:val="008C56B4"/>
    <w:rsid w:val="008C6354"/>
    <w:rsid w:val="008D002F"/>
    <w:rsid w:val="008F22E1"/>
    <w:rsid w:val="008F6C98"/>
    <w:rsid w:val="008F6FC4"/>
    <w:rsid w:val="00903894"/>
    <w:rsid w:val="009079A7"/>
    <w:rsid w:val="009108C8"/>
    <w:rsid w:val="00915964"/>
    <w:rsid w:val="0091670B"/>
    <w:rsid w:val="00917BDF"/>
    <w:rsid w:val="00931738"/>
    <w:rsid w:val="00943CA6"/>
    <w:rsid w:val="00944A71"/>
    <w:rsid w:val="00947A97"/>
    <w:rsid w:val="00954634"/>
    <w:rsid w:val="009557F7"/>
    <w:rsid w:val="0095605A"/>
    <w:rsid w:val="009567A9"/>
    <w:rsid w:val="00956BB7"/>
    <w:rsid w:val="00960ED3"/>
    <w:rsid w:val="00960F79"/>
    <w:rsid w:val="009639CA"/>
    <w:rsid w:val="00963D9C"/>
    <w:rsid w:val="00964270"/>
    <w:rsid w:val="00966C7E"/>
    <w:rsid w:val="0096777B"/>
    <w:rsid w:val="00971319"/>
    <w:rsid w:val="00972671"/>
    <w:rsid w:val="00974432"/>
    <w:rsid w:val="00992068"/>
    <w:rsid w:val="009967FB"/>
    <w:rsid w:val="00996F25"/>
    <w:rsid w:val="009B554C"/>
    <w:rsid w:val="009C017F"/>
    <w:rsid w:val="009C3D8E"/>
    <w:rsid w:val="009C63B5"/>
    <w:rsid w:val="009C6DEC"/>
    <w:rsid w:val="009D5532"/>
    <w:rsid w:val="009E618A"/>
    <w:rsid w:val="009F112F"/>
    <w:rsid w:val="009F2A8A"/>
    <w:rsid w:val="009F71E7"/>
    <w:rsid w:val="00A139A4"/>
    <w:rsid w:val="00A1695F"/>
    <w:rsid w:val="00A21C76"/>
    <w:rsid w:val="00A335D7"/>
    <w:rsid w:val="00A33D74"/>
    <w:rsid w:val="00A342DE"/>
    <w:rsid w:val="00A54E84"/>
    <w:rsid w:val="00A60C4E"/>
    <w:rsid w:val="00A639A7"/>
    <w:rsid w:val="00A63B04"/>
    <w:rsid w:val="00A67F98"/>
    <w:rsid w:val="00A70111"/>
    <w:rsid w:val="00A71B7F"/>
    <w:rsid w:val="00A7294C"/>
    <w:rsid w:val="00A7516D"/>
    <w:rsid w:val="00A753CB"/>
    <w:rsid w:val="00A81B6D"/>
    <w:rsid w:val="00A820E8"/>
    <w:rsid w:val="00A8298D"/>
    <w:rsid w:val="00A928D2"/>
    <w:rsid w:val="00A93E82"/>
    <w:rsid w:val="00A958A0"/>
    <w:rsid w:val="00AA74DA"/>
    <w:rsid w:val="00AB2188"/>
    <w:rsid w:val="00AC2C6E"/>
    <w:rsid w:val="00AC2CF6"/>
    <w:rsid w:val="00AC495A"/>
    <w:rsid w:val="00AC4EFC"/>
    <w:rsid w:val="00AC59EA"/>
    <w:rsid w:val="00AC68A1"/>
    <w:rsid w:val="00AD4A79"/>
    <w:rsid w:val="00AE1F2D"/>
    <w:rsid w:val="00AF187E"/>
    <w:rsid w:val="00AF22B7"/>
    <w:rsid w:val="00AF4AA1"/>
    <w:rsid w:val="00AF5963"/>
    <w:rsid w:val="00B03649"/>
    <w:rsid w:val="00B1338E"/>
    <w:rsid w:val="00B179D4"/>
    <w:rsid w:val="00B21DA3"/>
    <w:rsid w:val="00B27747"/>
    <w:rsid w:val="00B30EC6"/>
    <w:rsid w:val="00B332FD"/>
    <w:rsid w:val="00B548D2"/>
    <w:rsid w:val="00B564A2"/>
    <w:rsid w:val="00B57ECE"/>
    <w:rsid w:val="00B67D1F"/>
    <w:rsid w:val="00B7013E"/>
    <w:rsid w:val="00B701CF"/>
    <w:rsid w:val="00B70F97"/>
    <w:rsid w:val="00B8316D"/>
    <w:rsid w:val="00B95352"/>
    <w:rsid w:val="00B953E4"/>
    <w:rsid w:val="00B97901"/>
    <w:rsid w:val="00BB2AF7"/>
    <w:rsid w:val="00BB3CAC"/>
    <w:rsid w:val="00BB4D4A"/>
    <w:rsid w:val="00BB66C3"/>
    <w:rsid w:val="00BD659C"/>
    <w:rsid w:val="00BD7616"/>
    <w:rsid w:val="00BE20A6"/>
    <w:rsid w:val="00BF5455"/>
    <w:rsid w:val="00BF5FB1"/>
    <w:rsid w:val="00BF69C0"/>
    <w:rsid w:val="00C005B3"/>
    <w:rsid w:val="00C0309A"/>
    <w:rsid w:val="00C11837"/>
    <w:rsid w:val="00C13C24"/>
    <w:rsid w:val="00C2127C"/>
    <w:rsid w:val="00C42F36"/>
    <w:rsid w:val="00C44929"/>
    <w:rsid w:val="00C46598"/>
    <w:rsid w:val="00C55FCD"/>
    <w:rsid w:val="00C6363F"/>
    <w:rsid w:val="00C651BA"/>
    <w:rsid w:val="00C71529"/>
    <w:rsid w:val="00C77725"/>
    <w:rsid w:val="00C80900"/>
    <w:rsid w:val="00C82C79"/>
    <w:rsid w:val="00C84568"/>
    <w:rsid w:val="00C870C3"/>
    <w:rsid w:val="00CA4130"/>
    <w:rsid w:val="00CA688F"/>
    <w:rsid w:val="00CB1BB3"/>
    <w:rsid w:val="00CB59F4"/>
    <w:rsid w:val="00CB6F93"/>
    <w:rsid w:val="00CB74C4"/>
    <w:rsid w:val="00CC144B"/>
    <w:rsid w:val="00CC1682"/>
    <w:rsid w:val="00CC4D63"/>
    <w:rsid w:val="00CC7682"/>
    <w:rsid w:val="00CD52B5"/>
    <w:rsid w:val="00CE387D"/>
    <w:rsid w:val="00CE4C2D"/>
    <w:rsid w:val="00CF0531"/>
    <w:rsid w:val="00CF075E"/>
    <w:rsid w:val="00CF4057"/>
    <w:rsid w:val="00CF41D1"/>
    <w:rsid w:val="00D0157D"/>
    <w:rsid w:val="00D027D6"/>
    <w:rsid w:val="00D04C88"/>
    <w:rsid w:val="00D062D2"/>
    <w:rsid w:val="00D17430"/>
    <w:rsid w:val="00D223BF"/>
    <w:rsid w:val="00D22A27"/>
    <w:rsid w:val="00D22B3C"/>
    <w:rsid w:val="00D24C20"/>
    <w:rsid w:val="00D252E6"/>
    <w:rsid w:val="00D27E60"/>
    <w:rsid w:val="00D313D2"/>
    <w:rsid w:val="00D318C5"/>
    <w:rsid w:val="00D40BBB"/>
    <w:rsid w:val="00D54019"/>
    <w:rsid w:val="00D611AA"/>
    <w:rsid w:val="00D754EB"/>
    <w:rsid w:val="00D8318E"/>
    <w:rsid w:val="00D83F57"/>
    <w:rsid w:val="00D853DA"/>
    <w:rsid w:val="00D87AA7"/>
    <w:rsid w:val="00D92EED"/>
    <w:rsid w:val="00DC1246"/>
    <w:rsid w:val="00DC1DA1"/>
    <w:rsid w:val="00DC2151"/>
    <w:rsid w:val="00DC673F"/>
    <w:rsid w:val="00DD7CA5"/>
    <w:rsid w:val="00DD7F91"/>
    <w:rsid w:val="00DE080F"/>
    <w:rsid w:val="00DE5713"/>
    <w:rsid w:val="00DF1871"/>
    <w:rsid w:val="00DF7EAA"/>
    <w:rsid w:val="00E07EEA"/>
    <w:rsid w:val="00E127CD"/>
    <w:rsid w:val="00E156E2"/>
    <w:rsid w:val="00E2021F"/>
    <w:rsid w:val="00E25703"/>
    <w:rsid w:val="00E2752F"/>
    <w:rsid w:val="00E343FC"/>
    <w:rsid w:val="00E4373E"/>
    <w:rsid w:val="00E6695B"/>
    <w:rsid w:val="00E706EC"/>
    <w:rsid w:val="00E74DFC"/>
    <w:rsid w:val="00E80D5C"/>
    <w:rsid w:val="00E93E26"/>
    <w:rsid w:val="00E9628A"/>
    <w:rsid w:val="00E96E0B"/>
    <w:rsid w:val="00EA6DC1"/>
    <w:rsid w:val="00EB1E1F"/>
    <w:rsid w:val="00EB47DA"/>
    <w:rsid w:val="00ED7F3A"/>
    <w:rsid w:val="00EE3A1F"/>
    <w:rsid w:val="00EE4428"/>
    <w:rsid w:val="00EF333B"/>
    <w:rsid w:val="00EF3A9A"/>
    <w:rsid w:val="00F05319"/>
    <w:rsid w:val="00F069F6"/>
    <w:rsid w:val="00F11317"/>
    <w:rsid w:val="00F1633A"/>
    <w:rsid w:val="00F212DD"/>
    <w:rsid w:val="00F22813"/>
    <w:rsid w:val="00F26E68"/>
    <w:rsid w:val="00F35FAE"/>
    <w:rsid w:val="00F36591"/>
    <w:rsid w:val="00F50379"/>
    <w:rsid w:val="00F50F82"/>
    <w:rsid w:val="00F553A5"/>
    <w:rsid w:val="00F65C03"/>
    <w:rsid w:val="00F678B2"/>
    <w:rsid w:val="00F87C5F"/>
    <w:rsid w:val="00F87EC2"/>
    <w:rsid w:val="00F96F8B"/>
    <w:rsid w:val="00FA1DD5"/>
    <w:rsid w:val="00FA2AD2"/>
    <w:rsid w:val="00FB0C4C"/>
    <w:rsid w:val="00FB2DD9"/>
    <w:rsid w:val="00FB3864"/>
    <w:rsid w:val="00FC03AA"/>
    <w:rsid w:val="00FC3352"/>
    <w:rsid w:val="00FC3700"/>
    <w:rsid w:val="00FD650B"/>
    <w:rsid w:val="00FE0CF6"/>
    <w:rsid w:val="00FE12EE"/>
    <w:rsid w:val="00FE13F3"/>
    <w:rsid w:val="00FF08C9"/>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docId w15:val="{F895EF8E-E8E5-4D9F-997A-3D04532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3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669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3"/>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rPr>
  </w:style>
  <w:style w:type="character" w:customStyle="1" w:styleId="JudgmentHeadingChar">
    <w:name w:val="Judgment Heading Char"/>
    <w:basedOn w:val="JudgmentNumberedChar"/>
    <w:link w:val="JudgmentHeading"/>
    <w:rsid w:val="00C0309A"/>
    <w:rPr>
      <w:rFonts w:ascii="Arial" w:hAnsi="Arial" w:cs="Arial"/>
      <w:i/>
      <w:kern w:val="0"/>
      <w:sz w:val="24"/>
      <w:lang w:val="en-GB"/>
    </w:rPr>
  </w:style>
  <w:style w:type="paragraph" w:styleId="FootnoteText">
    <w:name w:val="footnote text"/>
    <w:basedOn w:val="Normal"/>
    <w:link w:val="FootnoteTextChar"/>
    <w:uiPriority w:val="99"/>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rsid w:val="00C0309A"/>
    <w:rPr>
      <w:rFonts w:ascii="Arial" w:hAnsi="Arial"/>
      <w:kern w:val="0"/>
      <w:sz w:val="20"/>
      <w:szCs w:val="20"/>
      <w:lang w:val="en-GB"/>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rPr>
  </w:style>
  <w:style w:type="character" w:styleId="Hyperlink">
    <w:name w:val="Hyperlink"/>
    <w:basedOn w:val="DefaultParagraphFont"/>
    <w:uiPriority w:val="99"/>
    <w:unhideWhenUsed/>
    <w:rsid w:val="00831A30"/>
    <w:rPr>
      <w:color w:val="0563C1" w:themeColor="hyperlink"/>
      <w:u w:val="single"/>
    </w:rPr>
  </w:style>
  <w:style w:type="character" w:customStyle="1" w:styleId="UnresolvedMention1">
    <w:name w:val="Unresolved Mention1"/>
    <w:basedOn w:val="DefaultParagraphFont"/>
    <w:uiPriority w:val="99"/>
    <w:semiHidden/>
    <w:unhideWhenUsed/>
    <w:rsid w:val="00831A30"/>
    <w:rPr>
      <w:color w:val="605E5C"/>
      <w:shd w:val="clear" w:color="auto" w:fill="E1DFDD"/>
    </w:rPr>
  </w:style>
  <w:style w:type="character" w:customStyle="1" w:styleId="Heading4Char">
    <w:name w:val="Heading 4 Char"/>
    <w:basedOn w:val="DefaultParagraphFont"/>
    <w:link w:val="Heading4"/>
    <w:uiPriority w:val="9"/>
    <w:semiHidden/>
    <w:rsid w:val="00E6695B"/>
    <w:rPr>
      <w:rFonts w:asciiTheme="majorHAnsi" w:eastAsiaTheme="majorEastAsia" w:hAnsiTheme="majorHAnsi" w:cstheme="majorBidi"/>
      <w:i/>
      <w:iCs/>
      <w:color w:val="2F5496" w:themeColor="accent1" w:themeShade="BF"/>
      <w:kern w:val="0"/>
      <w:sz w:val="24"/>
      <w:lang w:val="en-GB"/>
    </w:rPr>
  </w:style>
  <w:style w:type="character" w:customStyle="1" w:styleId="Heading2Char">
    <w:name w:val="Heading 2 Char"/>
    <w:basedOn w:val="DefaultParagraphFont"/>
    <w:link w:val="Heading2"/>
    <w:uiPriority w:val="9"/>
    <w:semiHidden/>
    <w:rsid w:val="001E3DFF"/>
    <w:rPr>
      <w:rFonts w:asciiTheme="majorHAnsi" w:eastAsiaTheme="majorEastAsia" w:hAnsiTheme="majorHAnsi" w:cstheme="majorBidi"/>
      <w:color w:val="2F5496" w:themeColor="accent1" w:themeShade="BF"/>
      <w:kern w:val="0"/>
      <w:sz w:val="26"/>
      <w:szCs w:val="26"/>
      <w:lang w:val="en-GB"/>
    </w:rPr>
  </w:style>
  <w:style w:type="paragraph" w:styleId="BalloonText">
    <w:name w:val="Balloon Text"/>
    <w:basedOn w:val="Normal"/>
    <w:link w:val="BalloonTextChar"/>
    <w:uiPriority w:val="99"/>
    <w:semiHidden/>
    <w:unhideWhenUsed/>
    <w:rsid w:val="0081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11"/>
    <w:rPr>
      <w:rFonts w:ascii="Segoe UI" w:hAnsi="Segoe UI" w:cs="Segoe UI"/>
      <w:kern w:val="0"/>
      <w:sz w:val="18"/>
      <w:szCs w:val="18"/>
      <w:lang w:val="en-GB"/>
    </w:rPr>
  </w:style>
  <w:style w:type="paragraph" w:customStyle="1" w:styleId="Paragraph12pt">
    <w:name w:val="Paragraph 12pt"/>
    <w:basedOn w:val="Normal"/>
    <w:rsid w:val="008F22E1"/>
    <w:pPr>
      <w:spacing w:line="480" w:lineRule="auto"/>
      <w:ind w:left="0"/>
    </w:pPr>
    <w:rPr>
      <w:rFonts w:eastAsia="Times New Roman" w:cs="Times New Roman"/>
      <w:szCs w:val="20"/>
      <w:lang w:val="en-ZA" w:eastAsia="ja-JP"/>
    </w:rPr>
  </w:style>
  <w:style w:type="character" w:customStyle="1" w:styleId="UnresolvedMention2">
    <w:name w:val="Unresolved Mention2"/>
    <w:basedOn w:val="DefaultParagraphFont"/>
    <w:uiPriority w:val="99"/>
    <w:semiHidden/>
    <w:unhideWhenUsed/>
    <w:rsid w:val="002B3C53"/>
    <w:rPr>
      <w:color w:val="605E5C"/>
      <w:shd w:val="clear" w:color="auto" w:fill="E1DFDD"/>
    </w:rPr>
  </w:style>
  <w:style w:type="paragraph" w:customStyle="1" w:styleId="western">
    <w:name w:val="western"/>
    <w:basedOn w:val="Normal"/>
    <w:rsid w:val="009567A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527">
      <w:bodyDiv w:val="1"/>
      <w:marLeft w:val="0"/>
      <w:marRight w:val="0"/>
      <w:marTop w:val="0"/>
      <w:marBottom w:val="0"/>
      <w:divBdr>
        <w:top w:val="none" w:sz="0" w:space="0" w:color="auto"/>
        <w:left w:val="none" w:sz="0" w:space="0" w:color="auto"/>
        <w:bottom w:val="none" w:sz="0" w:space="0" w:color="auto"/>
        <w:right w:val="none" w:sz="0" w:space="0" w:color="auto"/>
      </w:divBdr>
    </w:div>
    <w:div w:id="61564876">
      <w:bodyDiv w:val="1"/>
      <w:marLeft w:val="0"/>
      <w:marRight w:val="0"/>
      <w:marTop w:val="0"/>
      <w:marBottom w:val="0"/>
      <w:divBdr>
        <w:top w:val="none" w:sz="0" w:space="0" w:color="auto"/>
        <w:left w:val="none" w:sz="0" w:space="0" w:color="auto"/>
        <w:bottom w:val="none" w:sz="0" w:space="0" w:color="auto"/>
        <w:right w:val="none" w:sz="0" w:space="0" w:color="auto"/>
      </w:divBdr>
    </w:div>
    <w:div w:id="128938780">
      <w:bodyDiv w:val="1"/>
      <w:marLeft w:val="0"/>
      <w:marRight w:val="0"/>
      <w:marTop w:val="0"/>
      <w:marBottom w:val="0"/>
      <w:divBdr>
        <w:top w:val="none" w:sz="0" w:space="0" w:color="auto"/>
        <w:left w:val="none" w:sz="0" w:space="0" w:color="auto"/>
        <w:bottom w:val="none" w:sz="0" w:space="0" w:color="auto"/>
        <w:right w:val="none" w:sz="0" w:space="0" w:color="auto"/>
      </w:divBdr>
    </w:div>
    <w:div w:id="206650275">
      <w:bodyDiv w:val="1"/>
      <w:marLeft w:val="0"/>
      <w:marRight w:val="0"/>
      <w:marTop w:val="0"/>
      <w:marBottom w:val="0"/>
      <w:divBdr>
        <w:top w:val="none" w:sz="0" w:space="0" w:color="auto"/>
        <w:left w:val="none" w:sz="0" w:space="0" w:color="auto"/>
        <w:bottom w:val="none" w:sz="0" w:space="0" w:color="auto"/>
        <w:right w:val="none" w:sz="0" w:space="0" w:color="auto"/>
      </w:divBdr>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425619256">
      <w:bodyDiv w:val="1"/>
      <w:marLeft w:val="0"/>
      <w:marRight w:val="0"/>
      <w:marTop w:val="0"/>
      <w:marBottom w:val="0"/>
      <w:divBdr>
        <w:top w:val="none" w:sz="0" w:space="0" w:color="auto"/>
        <w:left w:val="none" w:sz="0" w:space="0" w:color="auto"/>
        <w:bottom w:val="none" w:sz="0" w:space="0" w:color="auto"/>
        <w:right w:val="none" w:sz="0" w:space="0" w:color="auto"/>
      </w:divBdr>
    </w:div>
    <w:div w:id="571278228">
      <w:bodyDiv w:val="1"/>
      <w:marLeft w:val="0"/>
      <w:marRight w:val="0"/>
      <w:marTop w:val="0"/>
      <w:marBottom w:val="0"/>
      <w:divBdr>
        <w:top w:val="none" w:sz="0" w:space="0" w:color="auto"/>
        <w:left w:val="none" w:sz="0" w:space="0" w:color="auto"/>
        <w:bottom w:val="none" w:sz="0" w:space="0" w:color="auto"/>
        <w:right w:val="none" w:sz="0" w:space="0" w:color="auto"/>
      </w:divBdr>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617686513">
      <w:bodyDiv w:val="1"/>
      <w:marLeft w:val="0"/>
      <w:marRight w:val="0"/>
      <w:marTop w:val="0"/>
      <w:marBottom w:val="0"/>
      <w:divBdr>
        <w:top w:val="none" w:sz="0" w:space="0" w:color="auto"/>
        <w:left w:val="none" w:sz="0" w:space="0" w:color="auto"/>
        <w:bottom w:val="none" w:sz="0" w:space="0" w:color="auto"/>
        <w:right w:val="none" w:sz="0" w:space="0" w:color="auto"/>
      </w:divBdr>
    </w:div>
    <w:div w:id="691034047">
      <w:bodyDiv w:val="1"/>
      <w:marLeft w:val="0"/>
      <w:marRight w:val="0"/>
      <w:marTop w:val="0"/>
      <w:marBottom w:val="0"/>
      <w:divBdr>
        <w:top w:val="none" w:sz="0" w:space="0" w:color="auto"/>
        <w:left w:val="none" w:sz="0" w:space="0" w:color="auto"/>
        <w:bottom w:val="none" w:sz="0" w:space="0" w:color="auto"/>
        <w:right w:val="none" w:sz="0" w:space="0" w:color="auto"/>
      </w:divBdr>
    </w:div>
    <w:div w:id="731663802">
      <w:bodyDiv w:val="1"/>
      <w:marLeft w:val="0"/>
      <w:marRight w:val="0"/>
      <w:marTop w:val="0"/>
      <w:marBottom w:val="0"/>
      <w:divBdr>
        <w:top w:val="none" w:sz="0" w:space="0" w:color="auto"/>
        <w:left w:val="none" w:sz="0" w:space="0" w:color="auto"/>
        <w:bottom w:val="none" w:sz="0" w:space="0" w:color="auto"/>
        <w:right w:val="none" w:sz="0" w:space="0" w:color="auto"/>
      </w:divBdr>
    </w:div>
    <w:div w:id="860096610">
      <w:bodyDiv w:val="1"/>
      <w:marLeft w:val="0"/>
      <w:marRight w:val="0"/>
      <w:marTop w:val="0"/>
      <w:marBottom w:val="0"/>
      <w:divBdr>
        <w:top w:val="none" w:sz="0" w:space="0" w:color="auto"/>
        <w:left w:val="none" w:sz="0" w:space="0" w:color="auto"/>
        <w:bottom w:val="none" w:sz="0" w:space="0" w:color="auto"/>
        <w:right w:val="none" w:sz="0" w:space="0" w:color="auto"/>
      </w:divBdr>
    </w:div>
    <w:div w:id="875433378">
      <w:bodyDiv w:val="1"/>
      <w:marLeft w:val="0"/>
      <w:marRight w:val="0"/>
      <w:marTop w:val="0"/>
      <w:marBottom w:val="0"/>
      <w:divBdr>
        <w:top w:val="none" w:sz="0" w:space="0" w:color="auto"/>
        <w:left w:val="none" w:sz="0" w:space="0" w:color="auto"/>
        <w:bottom w:val="none" w:sz="0" w:space="0" w:color="auto"/>
        <w:right w:val="none" w:sz="0" w:space="0" w:color="auto"/>
      </w:divBdr>
    </w:div>
    <w:div w:id="940336128">
      <w:bodyDiv w:val="1"/>
      <w:marLeft w:val="0"/>
      <w:marRight w:val="0"/>
      <w:marTop w:val="0"/>
      <w:marBottom w:val="0"/>
      <w:divBdr>
        <w:top w:val="none" w:sz="0" w:space="0" w:color="auto"/>
        <w:left w:val="none" w:sz="0" w:space="0" w:color="auto"/>
        <w:bottom w:val="none" w:sz="0" w:space="0" w:color="auto"/>
        <w:right w:val="none" w:sz="0" w:space="0" w:color="auto"/>
      </w:divBdr>
    </w:div>
    <w:div w:id="1058817860">
      <w:bodyDiv w:val="1"/>
      <w:marLeft w:val="0"/>
      <w:marRight w:val="0"/>
      <w:marTop w:val="0"/>
      <w:marBottom w:val="0"/>
      <w:divBdr>
        <w:top w:val="none" w:sz="0" w:space="0" w:color="auto"/>
        <w:left w:val="none" w:sz="0" w:space="0" w:color="auto"/>
        <w:bottom w:val="none" w:sz="0" w:space="0" w:color="auto"/>
        <w:right w:val="none" w:sz="0" w:space="0" w:color="auto"/>
      </w:divBdr>
    </w:div>
    <w:div w:id="1062411527">
      <w:bodyDiv w:val="1"/>
      <w:marLeft w:val="0"/>
      <w:marRight w:val="0"/>
      <w:marTop w:val="0"/>
      <w:marBottom w:val="0"/>
      <w:divBdr>
        <w:top w:val="none" w:sz="0" w:space="0" w:color="auto"/>
        <w:left w:val="none" w:sz="0" w:space="0" w:color="auto"/>
        <w:bottom w:val="none" w:sz="0" w:space="0" w:color="auto"/>
        <w:right w:val="none" w:sz="0" w:space="0" w:color="auto"/>
      </w:divBdr>
    </w:div>
    <w:div w:id="1296712755">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377704908">
      <w:bodyDiv w:val="1"/>
      <w:marLeft w:val="0"/>
      <w:marRight w:val="0"/>
      <w:marTop w:val="0"/>
      <w:marBottom w:val="0"/>
      <w:divBdr>
        <w:top w:val="none" w:sz="0" w:space="0" w:color="auto"/>
        <w:left w:val="none" w:sz="0" w:space="0" w:color="auto"/>
        <w:bottom w:val="none" w:sz="0" w:space="0" w:color="auto"/>
        <w:right w:val="none" w:sz="0" w:space="0" w:color="auto"/>
      </w:divBdr>
    </w:div>
    <w:div w:id="1719431942">
      <w:bodyDiv w:val="1"/>
      <w:marLeft w:val="0"/>
      <w:marRight w:val="0"/>
      <w:marTop w:val="0"/>
      <w:marBottom w:val="0"/>
      <w:divBdr>
        <w:top w:val="none" w:sz="0" w:space="0" w:color="auto"/>
        <w:left w:val="none" w:sz="0" w:space="0" w:color="auto"/>
        <w:bottom w:val="none" w:sz="0" w:space="0" w:color="auto"/>
        <w:right w:val="none" w:sz="0" w:space="0" w:color="auto"/>
      </w:divBdr>
    </w:div>
    <w:div w:id="1744058143">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835949566">
      <w:bodyDiv w:val="1"/>
      <w:marLeft w:val="0"/>
      <w:marRight w:val="0"/>
      <w:marTop w:val="0"/>
      <w:marBottom w:val="0"/>
      <w:divBdr>
        <w:top w:val="none" w:sz="0" w:space="0" w:color="auto"/>
        <w:left w:val="none" w:sz="0" w:space="0" w:color="auto"/>
        <w:bottom w:val="none" w:sz="0" w:space="0" w:color="auto"/>
        <w:right w:val="none" w:sz="0" w:space="0" w:color="auto"/>
      </w:divBdr>
    </w:div>
    <w:div w:id="1881697672">
      <w:bodyDiv w:val="1"/>
      <w:marLeft w:val="0"/>
      <w:marRight w:val="0"/>
      <w:marTop w:val="0"/>
      <w:marBottom w:val="0"/>
      <w:divBdr>
        <w:top w:val="none" w:sz="0" w:space="0" w:color="auto"/>
        <w:left w:val="none" w:sz="0" w:space="0" w:color="auto"/>
        <w:bottom w:val="none" w:sz="0" w:space="0" w:color="auto"/>
        <w:right w:val="none" w:sz="0" w:space="0" w:color="auto"/>
      </w:divBdr>
    </w:div>
    <w:div w:id="1885869806">
      <w:bodyDiv w:val="1"/>
      <w:marLeft w:val="0"/>
      <w:marRight w:val="0"/>
      <w:marTop w:val="0"/>
      <w:marBottom w:val="0"/>
      <w:divBdr>
        <w:top w:val="none" w:sz="0" w:space="0" w:color="auto"/>
        <w:left w:val="none" w:sz="0" w:space="0" w:color="auto"/>
        <w:bottom w:val="none" w:sz="0" w:space="0" w:color="auto"/>
        <w:right w:val="none" w:sz="0" w:space="0" w:color="auto"/>
      </w:divBdr>
    </w:div>
    <w:div w:id="195732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265B8-4C2D-424F-B1E2-6194BD4501ED}">
  <ds:schemaRefs>
    <ds:schemaRef ds:uri="http://schemas.openxmlformats.org/officeDocument/2006/bibliography"/>
  </ds:schemaRefs>
</ds:datastoreItem>
</file>

<file path=customXml/itemProps2.xml><?xml version="1.0" encoding="utf-8"?>
<ds:datastoreItem xmlns:ds="http://schemas.openxmlformats.org/officeDocument/2006/customXml" ds:itemID="{86122F01-D79E-49FD-BB21-FA7B50716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6C2B1-34DD-4C50-99B4-9E592E299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A0D5C-EEAF-4943-A332-DCCB2A91B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Lilitha Mdleleni</cp:lastModifiedBy>
  <cp:revision>3</cp:revision>
  <dcterms:created xsi:type="dcterms:W3CDTF">2024-01-03T08:38:00Z</dcterms:created>
  <dcterms:modified xsi:type="dcterms:W3CDTF">2024-01-04T08:54:00Z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