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53B" w14:textId="77777777" w:rsidR="00633CD8" w:rsidRDefault="00633CD8" w:rsidP="00633CD8">
      <w:pPr>
        <w:pStyle w:val="LegalNormal"/>
        <w:spacing w:after="0" w:line="360" w:lineRule="auto"/>
        <w:jc w:val="center"/>
      </w:pPr>
      <w:r w:rsidRPr="00D0071D">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39862BAE" w:rsidR="00633CD8" w:rsidRDefault="00633CD8" w:rsidP="00633CD8">
      <w:pPr>
        <w:pStyle w:val="LegalTitle"/>
        <w:spacing w:after="0" w:line="360" w:lineRule="auto"/>
        <w:rPr>
          <w:u w:val="single"/>
        </w:rPr>
      </w:pPr>
      <w:r w:rsidRPr="00520591">
        <w:rPr>
          <w:u w:val="single"/>
        </w:rPr>
        <w:t xml:space="preserve">GAUTENG </w:t>
      </w:r>
      <w:r w:rsidR="00707CAF">
        <w:rPr>
          <w:u w:val="single"/>
        </w:rPr>
        <w:t xml:space="preserve">LOCAL </w:t>
      </w:r>
      <w:r w:rsidRPr="00520591">
        <w:rPr>
          <w:u w:val="single"/>
        </w:rPr>
        <w:t xml:space="preserve">DIVISION, </w:t>
      </w:r>
      <w:r>
        <w:rPr>
          <w:u w:val="single"/>
        </w:rPr>
        <w:t>JOHANNESBURG</w:t>
      </w:r>
    </w:p>
    <w:p w14:paraId="26F92239" w14:textId="354C4AEA" w:rsidR="00633CD8" w:rsidRDefault="00A561AD" w:rsidP="00633CD8">
      <w:pPr>
        <w:pStyle w:val="LegalAnnexure"/>
        <w:spacing w:after="960" w:line="360" w:lineRule="auto"/>
        <w:rPr>
          <w:u w:val="single"/>
        </w:rPr>
      </w:pPr>
      <w:r>
        <w:rPr>
          <w:noProof/>
          <w:lang w:val="en-ZA" w:eastAsia="en-ZA"/>
        </w:rPr>
        <mc:AlternateContent>
          <mc:Choice Requires="wps">
            <w:drawing>
              <wp:anchor distT="0" distB="0" distL="114300" distR="114300" simplePos="0" relativeHeight="251659264" behindDoc="0" locked="0" layoutInCell="1" allowOverlap="1" wp14:anchorId="161B1FB4" wp14:editId="61487F66">
                <wp:simplePos x="0" y="0"/>
                <wp:positionH relativeFrom="column">
                  <wp:posOffset>-127635</wp:posOffset>
                </wp:positionH>
                <wp:positionV relativeFrom="paragraph">
                  <wp:posOffset>173355</wp:posOffset>
                </wp:positionV>
                <wp:extent cx="3619500" cy="857250"/>
                <wp:effectExtent l="0" t="0" r="0" b="0"/>
                <wp:wrapNone/>
                <wp:docPr id="4207793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295DB9FF" w:rsidR="00633CD8" w:rsidRDefault="006531E0" w:rsidP="006531E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698EE114" w:rsidR="00633CD8" w:rsidRDefault="006531E0" w:rsidP="006531E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4AA2FB48" w:rsidR="00633CD8" w:rsidRDefault="006531E0" w:rsidP="006531E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1FB4"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">
                <v:textbox>
                  <w:txbxContent>
                    <w:p w14:paraId="031C1BFF" w14:textId="295DB9FF" w:rsidR="00633CD8" w:rsidRDefault="006531E0" w:rsidP="006531E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698EE114" w:rsidR="00633CD8" w:rsidRDefault="006531E0" w:rsidP="006531E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4AA2FB48" w:rsidR="00633CD8" w:rsidRDefault="006531E0" w:rsidP="006531E0">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39C718DB" w:rsidR="00633CD8" w:rsidRPr="001C6F28" w:rsidRDefault="00633CD8" w:rsidP="00633CD8">
      <w:pPr>
        <w:pStyle w:val="LegalAnnexure"/>
        <w:spacing w:after="0" w:line="360" w:lineRule="auto"/>
      </w:pPr>
      <w:r>
        <w:rPr>
          <w:u w:val="single"/>
        </w:rPr>
        <w:t>CASE</w:t>
      </w:r>
      <w:r w:rsidRPr="00A84826">
        <w:rPr>
          <w:u w:val="single"/>
        </w:rPr>
        <w:t xml:space="preserve"> NO</w:t>
      </w:r>
      <w:r w:rsidRPr="002D4810">
        <w:rPr>
          <w:b w:val="0"/>
        </w:rPr>
        <w:t>:</w:t>
      </w:r>
      <w:r w:rsidR="006E34E4">
        <w:rPr>
          <w:b w:val="0"/>
        </w:rPr>
        <w:t xml:space="preserve"> </w:t>
      </w:r>
      <w:r w:rsidR="00F300AA">
        <w:rPr>
          <w:b w:val="0"/>
        </w:rPr>
        <w:t>2496/2022</w:t>
      </w:r>
    </w:p>
    <w:p w14:paraId="017B14CF" w14:textId="36AEA251" w:rsidR="00633CD8" w:rsidRPr="0076063C" w:rsidRDefault="00633CD8" w:rsidP="00633CD8">
      <w:pPr>
        <w:pStyle w:val="LegalNormal"/>
        <w:spacing w:after="0" w:line="360" w:lineRule="auto"/>
        <w:jc w:val="right"/>
      </w:pPr>
      <w:r w:rsidRPr="0076063C">
        <w:rPr>
          <w:b/>
          <w:u w:val="single"/>
        </w:rPr>
        <w:t>DATE</w:t>
      </w:r>
      <w:r>
        <w:rPr>
          <w:b/>
        </w:rPr>
        <w:t>:</w:t>
      </w:r>
      <w:r w:rsidR="008770E9">
        <w:rPr>
          <w:b/>
        </w:rPr>
        <w:t>  </w:t>
      </w:r>
      <w:r w:rsidR="00F300AA">
        <w:rPr>
          <w:b/>
        </w:rPr>
        <w:t>2</w:t>
      </w:r>
      <w:r w:rsidR="00800D44">
        <w:rPr>
          <w:b/>
        </w:rPr>
        <w:t>8</w:t>
      </w:r>
      <w:r w:rsidR="00F300AA">
        <w:rPr>
          <w:b/>
        </w:rPr>
        <w:t xml:space="preserve"> December 2023</w:t>
      </w: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72A669D0" w:rsidR="007A3836" w:rsidRPr="00707CAF" w:rsidRDefault="00F300AA" w:rsidP="00707CAF">
            <w:pPr>
              <w:pStyle w:val="Title"/>
              <w:rPr>
                <w:b/>
                <w:sz w:val="21"/>
              </w:rPr>
            </w:pPr>
            <w:r>
              <w:rPr>
                <w:b/>
                <w:sz w:val="21"/>
              </w:rPr>
              <w:t>SASFIN BANK LIMITED</w:t>
            </w:r>
          </w:p>
        </w:tc>
        <w:tc>
          <w:tcPr>
            <w:tcW w:w="2606" w:type="dxa"/>
          </w:tcPr>
          <w:p w14:paraId="6476AE42" w14:textId="52EF59C3" w:rsidR="006E34E4" w:rsidRPr="00D905E4" w:rsidRDefault="00F300AA">
            <w:pPr>
              <w:pStyle w:val="Title"/>
              <w:spacing w:line="360" w:lineRule="auto"/>
              <w:jc w:val="right"/>
              <w:rPr>
                <w:sz w:val="21"/>
              </w:rPr>
            </w:pPr>
            <w:r>
              <w:rPr>
                <w:sz w:val="21"/>
              </w:rPr>
              <w:t xml:space="preserve">Plaintiff </w:t>
            </w:r>
          </w:p>
        </w:tc>
      </w:tr>
      <w:tr w:rsidR="006E34E4" w:rsidRPr="00D905E4" w14:paraId="29265C62" w14:textId="77777777" w:rsidTr="006E34E4">
        <w:tc>
          <w:tcPr>
            <w:tcW w:w="6204" w:type="dxa"/>
          </w:tcPr>
          <w:p w14:paraId="3EB8A71D" w14:textId="51148608" w:rsidR="006E34E4" w:rsidRPr="00D905E4" w:rsidRDefault="006E34E4">
            <w:pPr>
              <w:pStyle w:val="Title"/>
              <w:spacing w:line="360" w:lineRule="auto"/>
              <w:rPr>
                <w:sz w:val="21"/>
              </w:rPr>
            </w:pPr>
          </w:p>
        </w:tc>
        <w:tc>
          <w:tcPr>
            <w:tcW w:w="2606" w:type="dxa"/>
          </w:tcPr>
          <w:p w14:paraId="4CEFDE0C" w14:textId="77777777" w:rsidR="006E34E4" w:rsidRPr="00D905E4" w:rsidRDefault="006E34E4">
            <w:pPr>
              <w:pStyle w:val="Title"/>
              <w:spacing w:line="360" w:lineRule="auto"/>
              <w:rPr>
                <w:sz w:val="21"/>
              </w:rPr>
            </w:pPr>
          </w:p>
        </w:tc>
      </w:tr>
      <w:tr w:rsidR="006E34E4" w:rsidRPr="00D905E4" w14:paraId="09E13C66" w14:textId="77777777" w:rsidTr="006E34E4">
        <w:tc>
          <w:tcPr>
            <w:tcW w:w="6204" w:type="dxa"/>
          </w:tcPr>
          <w:p w14:paraId="3FB2F644" w14:textId="542052B1" w:rsidR="006E34E4" w:rsidRPr="00D905E4" w:rsidRDefault="003C7511">
            <w:pPr>
              <w:pStyle w:val="Title"/>
              <w:spacing w:after="120"/>
              <w:rPr>
                <w:b/>
                <w:sz w:val="21"/>
              </w:rPr>
            </w:pPr>
            <w:r w:rsidRPr="003C7511">
              <w:rPr>
                <w:bCs/>
                <w:sz w:val="21"/>
              </w:rPr>
              <w:t>and</w:t>
            </w:r>
            <w:r w:rsidR="006E34E4" w:rsidRPr="00D905E4">
              <w:rPr>
                <w:b/>
                <w:sz w:val="21"/>
              </w:rPr>
              <w:fldChar w:fldCharType="begin"/>
            </w:r>
            <w:r w:rsidR="006E34E4" w:rsidRPr="00D905E4">
              <w:rPr>
                <w:b/>
                <w:sz w:val="21"/>
              </w:rPr>
              <w:instrText xml:space="preserve">  </w:instrText>
            </w:r>
            <w:r w:rsidR="006E34E4" w:rsidRPr="00D905E4">
              <w:rPr>
                <w:b/>
                <w:sz w:val="21"/>
              </w:rPr>
              <w:fldChar w:fldCharType="end"/>
            </w:r>
          </w:p>
        </w:tc>
        <w:tc>
          <w:tcPr>
            <w:tcW w:w="2606" w:type="dxa"/>
          </w:tcPr>
          <w:p w14:paraId="4F9E604D" w14:textId="77777777" w:rsidR="006E34E4" w:rsidRPr="00D905E4" w:rsidRDefault="006E34E4">
            <w:pPr>
              <w:pStyle w:val="Title"/>
              <w:spacing w:line="360" w:lineRule="auto"/>
              <w:jc w:val="right"/>
              <w:rPr>
                <w:sz w:val="21"/>
              </w:rPr>
            </w:pPr>
          </w:p>
        </w:tc>
      </w:tr>
      <w:tr w:rsidR="006E34E4" w:rsidRPr="00D905E4" w14:paraId="627B0A96" w14:textId="77777777" w:rsidTr="006E34E4">
        <w:tc>
          <w:tcPr>
            <w:tcW w:w="6204" w:type="dxa"/>
          </w:tcPr>
          <w:p w14:paraId="20D6C10A" w14:textId="1F1D9037" w:rsidR="006E34E4" w:rsidRPr="00D905E4" w:rsidRDefault="006E34E4">
            <w:pPr>
              <w:pStyle w:val="Title"/>
              <w:rPr>
                <w:bCs/>
                <w:sz w:val="21"/>
              </w:rPr>
            </w:pPr>
          </w:p>
        </w:tc>
        <w:tc>
          <w:tcPr>
            <w:tcW w:w="2606" w:type="dxa"/>
          </w:tcPr>
          <w:p w14:paraId="69B86802" w14:textId="257BF2C7" w:rsidR="006E34E4" w:rsidRPr="00D905E4" w:rsidRDefault="006E34E4">
            <w:pPr>
              <w:pStyle w:val="Title"/>
              <w:spacing w:line="360" w:lineRule="auto"/>
              <w:jc w:val="right"/>
              <w:rPr>
                <w:sz w:val="21"/>
              </w:rPr>
            </w:pPr>
          </w:p>
        </w:tc>
      </w:tr>
      <w:tr w:rsidR="003C7511" w:rsidRPr="00D905E4" w14:paraId="3B8E44DF" w14:textId="77777777" w:rsidTr="006E34E4">
        <w:tc>
          <w:tcPr>
            <w:tcW w:w="6204" w:type="dxa"/>
          </w:tcPr>
          <w:p w14:paraId="6084FA3E" w14:textId="490C0B50" w:rsidR="003C7511" w:rsidRPr="003C7511" w:rsidRDefault="00F300AA" w:rsidP="00F300AA">
            <w:pPr>
              <w:pStyle w:val="Title"/>
              <w:spacing w:after="120"/>
              <w:rPr>
                <w:b/>
                <w:sz w:val="21"/>
              </w:rPr>
            </w:pPr>
            <w:r>
              <w:rPr>
                <w:b/>
                <w:sz w:val="21"/>
              </w:rPr>
              <w:t xml:space="preserve">INNES RUPERT STEENEKAMP </w:t>
            </w:r>
            <w:r w:rsidR="00DF1EC0">
              <w:rPr>
                <w:b/>
                <w:sz w:val="21"/>
              </w:rPr>
              <w:t xml:space="preserve">t/a </w:t>
            </w:r>
            <w:r>
              <w:rPr>
                <w:b/>
                <w:sz w:val="21"/>
              </w:rPr>
              <w:t xml:space="preserve">INNES STEENEKAMP ATTORNEYS </w:t>
            </w:r>
          </w:p>
        </w:tc>
        <w:tc>
          <w:tcPr>
            <w:tcW w:w="2606" w:type="dxa"/>
          </w:tcPr>
          <w:p w14:paraId="6881184E" w14:textId="4271963D" w:rsidR="003C7511" w:rsidRPr="00D905E4" w:rsidRDefault="00F300AA">
            <w:pPr>
              <w:pStyle w:val="Title"/>
              <w:spacing w:line="360" w:lineRule="auto"/>
              <w:jc w:val="right"/>
              <w:rPr>
                <w:sz w:val="21"/>
              </w:rPr>
            </w:pPr>
            <w:r>
              <w:rPr>
                <w:sz w:val="21"/>
              </w:rPr>
              <w:t xml:space="preserve">Defendant </w:t>
            </w:r>
          </w:p>
        </w:tc>
      </w:tr>
    </w:tbl>
    <w:p w14:paraId="080B1F8B" w14:textId="77777777" w:rsidR="006E34E4" w:rsidRPr="00D905E4" w:rsidRDefault="006E34E4" w:rsidP="006E34E4">
      <w:pPr>
        <w:pStyle w:val="Title"/>
        <w:rPr>
          <w:sz w:val="21"/>
        </w:rPr>
      </w:pPr>
    </w:p>
    <w:p w14:paraId="12DFC443" w14:textId="70143870" w:rsidR="00633CD8" w:rsidRDefault="00633CD8" w:rsidP="006E34E4">
      <w:pPr>
        <w:tabs>
          <w:tab w:val="left" w:pos="1418"/>
        </w:tabs>
        <w:spacing w:before="120" w:after="120"/>
        <w:rPr>
          <w:rFonts w:cs="Arial"/>
        </w:rPr>
      </w:pPr>
      <w:r>
        <w:rPr>
          <w:rFonts w:cs="Arial"/>
          <w:b/>
          <w:bCs/>
        </w:rPr>
        <w:t>Coram:</w:t>
      </w:r>
      <w:r>
        <w:rPr>
          <w:rFonts w:cs="Arial"/>
        </w:rPr>
        <w:tab/>
      </w:r>
      <w:r w:rsidR="003C7511">
        <w:rPr>
          <w:rFonts w:cs="Arial"/>
        </w:rPr>
        <w:tab/>
        <w:t>Ternent AJ</w:t>
      </w:r>
    </w:p>
    <w:p w14:paraId="2D78F15E" w14:textId="2CEE278E"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984D41">
        <w:rPr>
          <w:rFonts w:cs="Arial"/>
        </w:rPr>
        <w:t xml:space="preserve">24 May </w:t>
      </w:r>
      <w:r w:rsidR="00615156">
        <w:rPr>
          <w:rFonts w:cs="Arial"/>
        </w:rPr>
        <w:t>2023</w:t>
      </w:r>
    </w:p>
    <w:p w14:paraId="13D07160" w14:textId="685B3783" w:rsidR="00633CD8" w:rsidRDefault="00633CD8" w:rsidP="00633CD8">
      <w:pPr>
        <w:tabs>
          <w:tab w:val="left" w:pos="1418"/>
        </w:tabs>
        <w:spacing w:after="120"/>
        <w:ind w:left="1418" w:hanging="1418"/>
        <w:rPr>
          <w:rFonts w:cs="Arial"/>
          <w:b/>
        </w:rPr>
      </w:pPr>
      <w:r>
        <w:rPr>
          <w:rFonts w:cs="Arial"/>
          <w:b/>
        </w:rPr>
        <w:t>Delivered:</w:t>
      </w:r>
      <w:r>
        <w:rPr>
          <w:rFonts w:cs="Arial"/>
          <w:b/>
        </w:rPr>
        <w:tab/>
      </w:r>
      <w:r w:rsidR="00F300AA">
        <w:rPr>
          <w:rFonts w:cs="Arial"/>
          <w:b/>
        </w:rPr>
        <w:t>2</w:t>
      </w:r>
      <w:r w:rsidR="00107D02">
        <w:rPr>
          <w:rFonts w:cs="Arial"/>
          <w:b/>
        </w:rPr>
        <w:t>8</w:t>
      </w:r>
      <w:r w:rsidR="00F300AA">
        <w:rPr>
          <w:rFonts w:cs="Arial"/>
          <w:b/>
        </w:rPr>
        <w:t xml:space="preserve"> December 2023</w:t>
      </w:r>
      <w:r w:rsidR="00A649E7">
        <w:rPr>
          <w:rFonts w:cs="Arial"/>
          <w:b/>
        </w:rPr>
        <w:t xml:space="preserve"> </w:t>
      </w:r>
    </w:p>
    <w:p w14:paraId="01779AC8" w14:textId="18592D96" w:rsidR="00A649E7" w:rsidRPr="003C7511" w:rsidRDefault="00A649E7" w:rsidP="00633CD8">
      <w:pPr>
        <w:tabs>
          <w:tab w:val="left" w:pos="1418"/>
        </w:tabs>
        <w:spacing w:after="120"/>
        <w:ind w:left="1418" w:hanging="1418"/>
        <w:rPr>
          <w:rFonts w:cs="Arial"/>
          <w:bCs/>
        </w:rPr>
      </w:pPr>
      <w:r>
        <w:rPr>
          <w:rFonts w:cs="Arial"/>
          <w:b/>
        </w:rPr>
        <w:t>Summary:</w:t>
      </w:r>
    </w:p>
    <w:p w14:paraId="52E1ED33" w14:textId="19202F72" w:rsidR="00A649E7" w:rsidRDefault="00A649E7" w:rsidP="00A649E7">
      <w:pPr>
        <w:spacing w:after="120"/>
        <w:ind w:left="1871" w:hanging="1871"/>
        <w:rPr>
          <w:rFonts w:cs="Arial"/>
          <w:i/>
          <w:szCs w:val="24"/>
        </w:rPr>
      </w:pPr>
      <w:r>
        <w:rPr>
          <w:rFonts w:cs="Arial"/>
          <w:i/>
          <w:szCs w:val="24"/>
        </w:rPr>
        <w:t>Delivered:</w:t>
      </w:r>
      <w:r>
        <w:rPr>
          <w:rFonts w:cs="Arial"/>
          <w:i/>
          <w:szCs w:val="24"/>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A67BBD">
        <w:rPr>
          <w:rFonts w:cs="Arial"/>
          <w:i/>
          <w:szCs w:val="24"/>
        </w:rPr>
        <w:t xml:space="preserve">12h00 on </w:t>
      </w:r>
      <w:r w:rsidR="00F300AA">
        <w:rPr>
          <w:rFonts w:cs="Arial"/>
          <w:i/>
          <w:szCs w:val="24"/>
        </w:rPr>
        <w:t>27 December 2023</w:t>
      </w:r>
      <w:r>
        <w:rPr>
          <w:rFonts w:cs="Arial"/>
          <w:i/>
          <w:szCs w:val="24"/>
        </w:rPr>
        <w:t>.</w:t>
      </w:r>
    </w:p>
    <w:p w14:paraId="16ACB30C" w14:textId="77777777" w:rsidR="00A649E7" w:rsidRDefault="00A649E7" w:rsidP="00633CD8">
      <w:pPr>
        <w:spacing w:after="240"/>
        <w:rPr>
          <w:rFonts w:cs="Arial"/>
        </w:rPr>
      </w:pPr>
    </w:p>
    <w:p w14:paraId="7C37C51C" w14:textId="14920C97" w:rsidR="00633CD8" w:rsidRPr="00A84826" w:rsidRDefault="00633CD8" w:rsidP="00633CD8">
      <w:pPr>
        <w:pStyle w:val="LegalTramLines"/>
        <w:spacing w:after="240"/>
      </w:pPr>
      <w:r>
        <w:t xml:space="preserve">JUDGMENT </w:t>
      </w:r>
    </w:p>
    <w:p w14:paraId="267A531E" w14:textId="77777777" w:rsidR="00A67BBD" w:rsidRDefault="00A67BBD" w:rsidP="00A67BBD">
      <w:pPr>
        <w:pStyle w:val="Heading1"/>
        <w:keepNext/>
        <w:numPr>
          <w:ilvl w:val="0"/>
          <w:numId w:val="0"/>
        </w:numPr>
        <w:spacing w:after="120"/>
        <w:ind w:left="862" w:hanging="862"/>
        <w:rPr>
          <w:b/>
          <w:bCs/>
          <w:u w:val="single"/>
        </w:rPr>
      </w:pPr>
      <w:bookmarkStart w:id="0" w:name="_Hlk81386236"/>
      <w:bookmarkStart w:id="1" w:name="_Hlk81386419"/>
    </w:p>
    <w:p w14:paraId="1C8B327F" w14:textId="1F2340D1" w:rsidR="006F7C73" w:rsidRDefault="005F5D78" w:rsidP="00A34D30">
      <w:pPr>
        <w:pStyle w:val="Heading1"/>
        <w:keepNext/>
        <w:numPr>
          <w:ilvl w:val="0"/>
          <w:numId w:val="0"/>
        </w:numPr>
        <w:ind w:left="862" w:hanging="862"/>
      </w:pPr>
      <w:r w:rsidRPr="000460FA">
        <w:rPr>
          <w:b/>
          <w:bCs/>
          <w:u w:val="single"/>
        </w:rPr>
        <w:t>TERNENT</w:t>
      </w:r>
      <w:r w:rsidR="00833533" w:rsidRPr="000460FA">
        <w:rPr>
          <w:b/>
          <w:bCs/>
          <w:u w:val="single"/>
        </w:rPr>
        <w:t>, AJ</w:t>
      </w:r>
      <w:r w:rsidR="002A19E4" w:rsidRPr="005F5D78">
        <w:t>:</w:t>
      </w:r>
      <w:bookmarkEnd w:id="0"/>
    </w:p>
    <w:p w14:paraId="3A0A8B3A" w14:textId="78861365" w:rsidR="00F300AA" w:rsidRDefault="006531E0" w:rsidP="006531E0">
      <w:pPr>
        <w:pStyle w:val="Heading1"/>
        <w:numPr>
          <w:ilvl w:val="0"/>
          <w:numId w:val="0"/>
        </w:numPr>
        <w:tabs>
          <w:tab w:val="left" w:pos="862"/>
        </w:tabs>
        <w:ind w:left="862" w:hanging="862"/>
      </w:pPr>
      <w:bookmarkStart w:id="2" w:name="_Hlk81386320"/>
      <w:r>
        <w:t>[1]</w:t>
      </w:r>
      <w:r>
        <w:tab/>
      </w:r>
      <w:r w:rsidR="00F300AA">
        <w:t>Th</w:t>
      </w:r>
      <w:r w:rsidR="00C4007D">
        <w:t xml:space="preserve">e applicant, as cessionary, seeks summary judgment </w:t>
      </w:r>
      <w:r w:rsidR="00F300AA">
        <w:t>aris</w:t>
      </w:r>
      <w:r w:rsidR="00C4007D">
        <w:t xml:space="preserve">ing from </w:t>
      </w:r>
      <w:r w:rsidR="00F300AA">
        <w:t xml:space="preserve">two </w:t>
      </w:r>
      <w:r w:rsidR="00C4007D">
        <w:t xml:space="preserve"> rental agreements concluded, under a </w:t>
      </w:r>
      <w:r w:rsidR="00F300AA">
        <w:t>Master Rental Agreement</w:t>
      </w:r>
      <w:r w:rsidR="00C4007D">
        <w:t>,</w:t>
      </w:r>
      <w:r w:rsidR="00F300AA">
        <w:t xml:space="preserve"> between the cedent</w:t>
      </w:r>
      <w:r w:rsidR="00C4007D">
        <w:t>,</w:t>
      </w:r>
      <w:r w:rsidR="00F300AA">
        <w:t xml:space="preserve"> Astfin North (Pty) Limited trading as Assetfin</w:t>
      </w:r>
      <w:r w:rsidR="00C4007D">
        <w:t>,</w:t>
      </w:r>
      <w:r w:rsidR="00F300AA">
        <w:t xml:space="preserve"> and the defendant on 9 April 2018.</w:t>
      </w:r>
      <w:r w:rsidR="004B18B7">
        <w:rPr>
          <w:rStyle w:val="FootnoteReference"/>
        </w:rPr>
        <w:footnoteReference w:id="1"/>
      </w:r>
      <w:r w:rsidR="004B18B7">
        <w:t xml:space="preserve">  Initially Assetfin ceded its rights to Sunlyn (Pty) Limited who then on ceded the</w:t>
      </w:r>
      <w:r w:rsidR="00C4007D">
        <w:t>se</w:t>
      </w:r>
      <w:r w:rsidR="004B18B7">
        <w:t xml:space="preserve"> rights to the plaintiff.  </w:t>
      </w:r>
      <w:r w:rsidR="005026FB">
        <w:t>The plaintiff seeks return of certain CCTV cameras</w:t>
      </w:r>
      <w:r w:rsidR="00C4007D">
        <w:t xml:space="preserve">, </w:t>
      </w:r>
      <w:r w:rsidR="005026FB">
        <w:t>a telephone PABX system and other ancillary equipment,</w:t>
      </w:r>
      <w:r w:rsidR="00C047CE">
        <w:t xml:space="preserve"> and</w:t>
      </w:r>
      <w:r w:rsidR="005026FB">
        <w:t xml:space="preserve"> payment of outstanding rentals in the sum</w:t>
      </w:r>
      <w:r w:rsidR="00C4007D">
        <w:t>s</w:t>
      </w:r>
      <w:r w:rsidR="005026FB">
        <w:t xml:space="preserve"> of R27 904,26</w:t>
      </w:r>
      <w:r w:rsidR="005026FB">
        <w:rPr>
          <w:rStyle w:val="FootnoteReference"/>
        </w:rPr>
        <w:footnoteReference w:id="2"/>
      </w:r>
      <w:r w:rsidR="005026FB">
        <w:t xml:space="preserve"> and R45 366,50</w:t>
      </w:r>
      <w:r w:rsidR="005026FB">
        <w:rPr>
          <w:rStyle w:val="FootnoteReference"/>
        </w:rPr>
        <w:footnoteReference w:id="3"/>
      </w:r>
      <w:r w:rsidR="00C4007D">
        <w:t>, respectively</w:t>
      </w:r>
      <w:r w:rsidR="00BC4E3A">
        <w:t xml:space="preserve">. </w:t>
      </w:r>
      <w:r w:rsidR="00C4007D">
        <w:t>I</w:t>
      </w:r>
      <w:r w:rsidR="005026FB">
        <w:t xml:space="preserve">nterest is </w:t>
      </w:r>
      <w:r w:rsidR="00BC4E3A">
        <w:t xml:space="preserve"> also </w:t>
      </w:r>
      <w:r w:rsidR="005026FB">
        <w:t>sought at the prime interest rate plus 6% per annum from 9 December 2021 to date of payment and costs on a scale as between attorney and client.</w:t>
      </w:r>
    </w:p>
    <w:p w14:paraId="0DBCE16F" w14:textId="3F4C9893" w:rsidR="00F300AA" w:rsidRDefault="006531E0" w:rsidP="006531E0">
      <w:pPr>
        <w:pStyle w:val="Heading1"/>
        <w:numPr>
          <w:ilvl w:val="0"/>
          <w:numId w:val="0"/>
        </w:numPr>
        <w:tabs>
          <w:tab w:val="left" w:pos="862"/>
        </w:tabs>
        <w:ind w:left="862" w:hanging="862"/>
      </w:pPr>
      <w:r>
        <w:t>[2]</w:t>
      </w:r>
      <w:r>
        <w:tab/>
      </w:r>
      <w:r w:rsidR="00C4007D">
        <w:t xml:space="preserve">The defendant </w:t>
      </w:r>
      <w:r w:rsidR="005026FB">
        <w:t xml:space="preserve">brought an </w:t>
      </w:r>
      <w:r w:rsidR="00C4007D">
        <w:t xml:space="preserve">exception to </w:t>
      </w:r>
      <w:r w:rsidR="005026FB">
        <w:t>the particulars of claim</w:t>
      </w:r>
      <w:r w:rsidR="00C4007D">
        <w:t xml:space="preserve"> on the basis that it</w:t>
      </w:r>
      <w:r w:rsidR="005026FB">
        <w:t xml:space="preserve"> lacked averments to sustain a cause of action or was vague and embarrassing.  Th</w:t>
      </w:r>
      <w:r w:rsidR="00C4007D">
        <w:t>e</w:t>
      </w:r>
      <w:r w:rsidR="005026FB">
        <w:t xml:space="preserve"> exception was not pursued by the defendant who abandoned it</w:t>
      </w:r>
      <w:r w:rsidR="00C4007D">
        <w:t>,</w:t>
      </w:r>
      <w:r w:rsidR="005026FB">
        <w:t xml:space="preserve"> on 26 October 2022</w:t>
      </w:r>
      <w:r w:rsidR="00C4007D">
        <w:t>,</w:t>
      </w:r>
      <w:r w:rsidR="005026FB">
        <w:t xml:space="preserve"> subsequent the plaintiff having delivered its heads of argument </w:t>
      </w:r>
      <w:r w:rsidR="009D533B">
        <w:t>and</w:t>
      </w:r>
      <w:r w:rsidR="00C4007D">
        <w:t>, in the face of a</w:t>
      </w:r>
      <w:r w:rsidR="00C4007D" w:rsidRPr="00C4007D">
        <w:t xml:space="preserve"> </w:t>
      </w:r>
      <w:r w:rsidR="00C4007D">
        <w:t xml:space="preserve">compelling application to </w:t>
      </w:r>
      <w:r w:rsidR="009D533B">
        <w:t>file</w:t>
      </w:r>
      <w:r w:rsidR="00C4007D">
        <w:t xml:space="preserve"> his</w:t>
      </w:r>
      <w:r w:rsidR="009D533B">
        <w:t xml:space="preserve"> opposing heads of argu</w:t>
      </w:r>
      <w:r w:rsidR="0009479F">
        <w:t xml:space="preserve">ment. </w:t>
      </w:r>
      <w:r w:rsidR="009D533B">
        <w:t xml:space="preserve">The defendant proceeded to deliver </w:t>
      </w:r>
      <w:r w:rsidR="0009479F">
        <w:t>his</w:t>
      </w:r>
      <w:r w:rsidR="009D533B">
        <w:t xml:space="preserve"> special plea and plea on 25 October 2022.</w:t>
      </w:r>
    </w:p>
    <w:p w14:paraId="0EDEFE19" w14:textId="6ED011ED" w:rsidR="00BC4E3A" w:rsidRDefault="006531E0" w:rsidP="006531E0">
      <w:pPr>
        <w:pStyle w:val="Heading1"/>
        <w:numPr>
          <w:ilvl w:val="0"/>
          <w:numId w:val="0"/>
        </w:numPr>
        <w:tabs>
          <w:tab w:val="left" w:pos="862"/>
        </w:tabs>
        <w:ind w:left="862" w:hanging="862"/>
      </w:pPr>
      <w:r>
        <w:t>[3]</w:t>
      </w:r>
      <w:r>
        <w:tab/>
      </w:r>
      <w:r w:rsidR="00BC4E3A">
        <w:t xml:space="preserve">The defendant’s counsel submitted to me that even though the exception </w:t>
      </w:r>
      <w:r w:rsidR="00BC4E3A">
        <w:lastRenderedPageBreak/>
        <w:t>had not been pursued, the defendant believed that the exception was good and that the decision t</w:t>
      </w:r>
      <w:r w:rsidR="00C047CE">
        <w:t>aken</w:t>
      </w:r>
      <w:r w:rsidR="00BC4E3A">
        <w:t xml:space="preserve"> not </w:t>
      </w:r>
      <w:r w:rsidR="00C047CE">
        <w:t xml:space="preserve"> to </w:t>
      </w:r>
      <w:r w:rsidR="00BC4E3A">
        <w:t>pursue it was because the legal costs attendant on an opposed exception did not justify this claim.</w:t>
      </w:r>
      <w:r w:rsidR="00FB50D2">
        <w:t xml:space="preserve"> The point was raised again by way of the </w:t>
      </w:r>
      <w:r w:rsidR="00FB50D2" w:rsidRPr="00FB50D2">
        <w:rPr>
          <w:i/>
          <w:iCs/>
        </w:rPr>
        <w:t>locus standi</w:t>
      </w:r>
      <w:r w:rsidR="00FB50D2">
        <w:t xml:space="preserve"> defence, dealt with below.</w:t>
      </w:r>
    </w:p>
    <w:p w14:paraId="399A014C" w14:textId="17428AB5" w:rsidR="0009479F" w:rsidRDefault="006531E0" w:rsidP="006531E0">
      <w:pPr>
        <w:pStyle w:val="Heading1"/>
        <w:numPr>
          <w:ilvl w:val="0"/>
          <w:numId w:val="0"/>
        </w:numPr>
        <w:tabs>
          <w:tab w:val="left" w:pos="862"/>
        </w:tabs>
        <w:ind w:left="862" w:hanging="862"/>
      </w:pPr>
      <w:r>
        <w:t>[4]</w:t>
      </w:r>
      <w:r>
        <w:tab/>
      </w:r>
      <w:r w:rsidR="009D533B">
        <w:t xml:space="preserve">Although </w:t>
      </w:r>
      <w:r w:rsidR="00FB50D2">
        <w:t>two</w:t>
      </w:r>
      <w:r w:rsidR="009D533B">
        <w:t xml:space="preserve"> special pleas and</w:t>
      </w:r>
      <w:r w:rsidR="00FB50D2">
        <w:t xml:space="preserve"> several purported </w:t>
      </w:r>
      <w:r w:rsidR="009D533B">
        <w:t>defences were raised by the defendant, this Court was requested</w:t>
      </w:r>
      <w:r w:rsidR="00BC4E3A">
        <w:t xml:space="preserve"> by both counsel</w:t>
      </w:r>
      <w:r w:rsidR="009D533B">
        <w:t xml:space="preserve"> to disregard these defences and focus materially on two defences</w:t>
      </w:r>
      <w:r w:rsidR="0009479F">
        <w:t xml:space="preserve"> which if </w:t>
      </w:r>
      <w:r w:rsidR="00FB50D2">
        <w:t>proven at trial</w:t>
      </w:r>
      <w:r w:rsidR="0009479F">
        <w:t xml:space="preserve"> would require a dismissal of the summary judgment application.</w:t>
      </w:r>
    </w:p>
    <w:p w14:paraId="0D1CE27C" w14:textId="66E917CA" w:rsidR="009D533B" w:rsidRDefault="006531E0" w:rsidP="006531E0">
      <w:pPr>
        <w:pStyle w:val="Heading1"/>
        <w:numPr>
          <w:ilvl w:val="0"/>
          <w:numId w:val="0"/>
        </w:numPr>
        <w:tabs>
          <w:tab w:val="left" w:pos="862"/>
        </w:tabs>
        <w:ind w:left="862" w:hanging="862"/>
      </w:pPr>
      <w:r>
        <w:t>[5]</w:t>
      </w:r>
      <w:r>
        <w:tab/>
      </w:r>
      <w:r w:rsidR="0009479F">
        <w:t>The two defences are</w:t>
      </w:r>
      <w:r w:rsidR="009D533B">
        <w:t>:</w:t>
      </w:r>
    </w:p>
    <w:p w14:paraId="05FDC592" w14:textId="27BBB3AF" w:rsidR="009D533B" w:rsidRDefault="006531E0" w:rsidP="006531E0">
      <w:pPr>
        <w:pStyle w:val="Heading2"/>
        <w:numPr>
          <w:ilvl w:val="0"/>
          <w:numId w:val="0"/>
        </w:numPr>
        <w:tabs>
          <w:tab w:val="left" w:pos="1871"/>
        </w:tabs>
        <w:ind w:left="1871" w:hanging="1009"/>
      </w:pPr>
      <w:r>
        <w:t>[5.1]</w:t>
      </w:r>
      <w:r>
        <w:tab/>
      </w:r>
      <w:r w:rsidR="009D533B">
        <w:t>whether or not there had been a valid cession by As</w:t>
      </w:r>
      <w:r w:rsidR="00BC4E3A">
        <w:t>se</w:t>
      </w:r>
      <w:r w:rsidR="009D533B">
        <w:t>tfin of its right, title and interest to the Master Rental Agreement</w:t>
      </w:r>
      <w:r w:rsidR="00BC4E3A">
        <w:t xml:space="preserve"> and schedules</w:t>
      </w:r>
      <w:r w:rsidR="009D533B">
        <w:t xml:space="preserve"> to the plaintiff and</w:t>
      </w:r>
      <w:r w:rsidR="0009479F">
        <w:t>,</w:t>
      </w:r>
      <w:r w:rsidR="009D533B">
        <w:t xml:space="preserve"> as a consequence</w:t>
      </w:r>
      <w:r w:rsidR="0009479F">
        <w:t>,</w:t>
      </w:r>
      <w:r w:rsidR="009D533B">
        <w:t xml:space="preserve"> whether or not the plaintiff had </w:t>
      </w:r>
      <w:r w:rsidR="009D533B" w:rsidRPr="00EC30B5">
        <w:rPr>
          <w:i/>
        </w:rPr>
        <w:t>locus standi</w:t>
      </w:r>
      <w:r w:rsidR="009D533B">
        <w:t xml:space="preserve"> to bring this claim;</w:t>
      </w:r>
      <w:r w:rsidR="00BC4E3A">
        <w:t xml:space="preserve"> and</w:t>
      </w:r>
    </w:p>
    <w:p w14:paraId="17F951C5" w14:textId="3E5D98CD" w:rsidR="009D533B" w:rsidRDefault="006531E0" w:rsidP="006531E0">
      <w:pPr>
        <w:pStyle w:val="Heading2"/>
        <w:numPr>
          <w:ilvl w:val="0"/>
          <w:numId w:val="0"/>
        </w:numPr>
        <w:tabs>
          <w:tab w:val="left" w:pos="1871"/>
        </w:tabs>
        <w:ind w:left="1871" w:hanging="1009"/>
      </w:pPr>
      <w:r>
        <w:t>[5.2]</w:t>
      </w:r>
      <w:r>
        <w:tab/>
      </w:r>
      <w:r w:rsidR="009D533B">
        <w:t xml:space="preserve">whether the </w:t>
      </w:r>
      <w:r w:rsidR="0009479F">
        <w:t xml:space="preserve">rental </w:t>
      </w:r>
      <w:r w:rsidR="009D533B">
        <w:t>agreement</w:t>
      </w:r>
      <w:r w:rsidR="00BC4E3A">
        <w:t>s</w:t>
      </w:r>
      <w:r w:rsidR="009D533B">
        <w:t xml:space="preserve"> w</w:t>
      </w:r>
      <w:r w:rsidR="00BC4E3A">
        <w:t>ere</w:t>
      </w:r>
      <w:r w:rsidR="009D533B">
        <w:t xml:space="preserve"> validly cancelled by the defendant who pleaded that</w:t>
      </w:r>
      <w:r w:rsidR="0009479F">
        <w:t xml:space="preserve"> he</w:t>
      </w:r>
      <w:r w:rsidR="009D533B">
        <w:t xml:space="preserve"> is not in breach</w:t>
      </w:r>
      <w:r w:rsidR="00BC4E3A">
        <w:t xml:space="preserve"> of the agreements</w:t>
      </w:r>
      <w:r w:rsidR="009D533B">
        <w:t xml:space="preserve"> because on 18 March 2021 he cancelled the agreement</w:t>
      </w:r>
      <w:r w:rsidR="00C047CE">
        <w:t>s</w:t>
      </w:r>
      <w:r w:rsidR="009D533B">
        <w:t xml:space="preserve"> and tendered the return of the equipment in terms of the provisions of section 14 of the Consumer Protection Act 68 of 2008 </w:t>
      </w:r>
      <w:r w:rsidR="00956EF1">
        <w:t>(</w:t>
      </w:r>
      <w:r w:rsidR="00956EF1">
        <w:rPr>
          <w:i/>
          <w:iCs/>
        </w:rPr>
        <w:t>“the CPA”</w:t>
      </w:r>
      <w:r w:rsidR="0009479F">
        <w:t xml:space="preserve">) </w:t>
      </w:r>
      <w:r w:rsidR="009D533B">
        <w:t xml:space="preserve">which pertains to the expiry and renewal </w:t>
      </w:r>
      <w:r w:rsidR="00F91887">
        <w:t>of fixed term agreements.</w:t>
      </w:r>
    </w:p>
    <w:p w14:paraId="759D608A" w14:textId="16B87B44" w:rsidR="0009479F" w:rsidRDefault="006531E0" w:rsidP="006531E0">
      <w:pPr>
        <w:pStyle w:val="Heading1"/>
        <w:numPr>
          <w:ilvl w:val="0"/>
          <w:numId w:val="0"/>
        </w:numPr>
        <w:tabs>
          <w:tab w:val="left" w:pos="862"/>
        </w:tabs>
        <w:ind w:left="862" w:hanging="862"/>
      </w:pPr>
      <w:r>
        <w:t>[6]</w:t>
      </w:r>
      <w:r>
        <w:tab/>
      </w:r>
      <w:r w:rsidR="00FC3F94">
        <w:t xml:space="preserve">The defendant contends that the plaintiff lacks the </w:t>
      </w:r>
      <w:r w:rsidR="00FC3F94" w:rsidRPr="00EC30B5">
        <w:rPr>
          <w:i/>
        </w:rPr>
        <w:t>locus standi</w:t>
      </w:r>
      <w:r w:rsidR="00FC3F94">
        <w:t xml:space="preserve"> to claim </w:t>
      </w:r>
      <w:r w:rsidR="0009479F">
        <w:t xml:space="preserve">because the </w:t>
      </w:r>
      <w:r w:rsidR="00FC3F94">
        <w:t xml:space="preserve">particulars of claim does not establish a valid cession of the </w:t>
      </w:r>
      <w:r w:rsidR="0009479F">
        <w:t>rental</w:t>
      </w:r>
      <w:r w:rsidR="00FC3F94">
        <w:t xml:space="preserve"> agreement</w:t>
      </w:r>
      <w:r w:rsidR="0009479F">
        <w:t xml:space="preserve">. </w:t>
      </w:r>
      <w:r w:rsidR="00FB50D2">
        <w:t xml:space="preserve">A </w:t>
      </w:r>
      <w:r w:rsidR="00FB50D2" w:rsidRPr="00FB50D2">
        <w:rPr>
          <w:i/>
          <w:iCs/>
        </w:rPr>
        <w:t>iusta causa</w:t>
      </w:r>
      <w:r w:rsidR="00FB50D2">
        <w:rPr>
          <w:i/>
          <w:iCs/>
        </w:rPr>
        <w:t>,</w:t>
      </w:r>
      <w:r w:rsidR="00FB50D2">
        <w:t xml:space="preserve"> it was argued, is required for a valid cession. </w:t>
      </w:r>
      <w:r w:rsidR="0009479F">
        <w:t xml:space="preserve">This </w:t>
      </w:r>
      <w:r w:rsidR="00FC3F94">
        <w:t>is</w:t>
      </w:r>
      <w:r w:rsidR="0009479F">
        <w:t xml:space="preserve"> because there is allegedly</w:t>
      </w:r>
      <w:r w:rsidR="00FC3F94">
        <w:t xml:space="preserve"> no detail</w:t>
      </w:r>
      <w:r w:rsidR="000E3353">
        <w:t xml:space="preserve"> or averments made by the plaintiff</w:t>
      </w:r>
      <w:r w:rsidR="00FC3F94">
        <w:t xml:space="preserve"> </w:t>
      </w:r>
      <w:r w:rsidR="0009479F">
        <w:t xml:space="preserve">about </w:t>
      </w:r>
      <w:r w:rsidR="00FC3F94">
        <w:t xml:space="preserve">the </w:t>
      </w:r>
      <w:r w:rsidR="00FB50D2">
        <w:t xml:space="preserve">underlying rental </w:t>
      </w:r>
      <w:r w:rsidR="00FC3F94">
        <w:t>agreement</w:t>
      </w:r>
      <w:r w:rsidR="0009479F">
        <w:t>s</w:t>
      </w:r>
      <w:r w:rsidR="00FC3F94">
        <w:t xml:space="preserve"> concluded between </w:t>
      </w:r>
      <w:r w:rsidR="00FB50D2">
        <w:t>Assetfin and the defendant</w:t>
      </w:r>
      <w:r w:rsidR="00BC4E3A">
        <w:t xml:space="preserve"> </w:t>
      </w:r>
      <w:r w:rsidR="00FB50D2">
        <w:t>at the time of the purported cessions</w:t>
      </w:r>
      <w:r w:rsidR="000E3353">
        <w:t xml:space="preserve"> in the particulars of claim</w:t>
      </w:r>
      <w:r w:rsidR="00FB50D2">
        <w:t xml:space="preserve">. </w:t>
      </w:r>
      <w:r w:rsidR="000E3353">
        <w:t xml:space="preserve">Because </w:t>
      </w:r>
      <w:r w:rsidR="00FC3F94">
        <w:t xml:space="preserve">the cession agreements were concluded </w:t>
      </w:r>
      <w:r w:rsidR="00FC3F94">
        <w:lastRenderedPageBreak/>
        <w:t>some years prior to the conclusion of the</w:t>
      </w:r>
      <w:r w:rsidR="0009479F">
        <w:t xml:space="preserve"> rental</w:t>
      </w:r>
      <w:r w:rsidR="00FC3F94">
        <w:t xml:space="preserve"> agreement</w:t>
      </w:r>
      <w:r w:rsidR="0009479F">
        <w:t>s</w:t>
      </w:r>
      <w:r w:rsidR="00E706DF">
        <w:t>,</w:t>
      </w:r>
      <w:r w:rsidR="00FB50D2">
        <w:t xml:space="preserve"> </w:t>
      </w:r>
      <w:r w:rsidR="000E3353">
        <w:t xml:space="preserve">the argument goes, </w:t>
      </w:r>
      <w:r w:rsidR="00FC3F94">
        <w:t xml:space="preserve">the cession of contingent rights </w:t>
      </w:r>
      <w:r w:rsidR="0009479F">
        <w:t>in and to rental</w:t>
      </w:r>
      <w:r w:rsidR="00FC3F94">
        <w:t xml:space="preserve"> agreements which</w:t>
      </w:r>
      <w:r w:rsidR="00C047CE">
        <w:t xml:space="preserve"> may be</w:t>
      </w:r>
      <w:r w:rsidR="00E706DF">
        <w:t xml:space="preserve"> concluded in the future </w:t>
      </w:r>
      <w:r w:rsidR="00FC3F94">
        <w:t>mean</w:t>
      </w:r>
      <w:r w:rsidR="0009479F">
        <w:t>t</w:t>
      </w:r>
      <w:r w:rsidR="00FC3F94">
        <w:t xml:space="preserve"> that there is </w:t>
      </w:r>
      <w:r w:rsidR="0009479F">
        <w:t xml:space="preserve">no </w:t>
      </w:r>
      <w:r w:rsidR="0009479F">
        <w:rPr>
          <w:i/>
          <w:iCs/>
        </w:rPr>
        <w:t>i</w:t>
      </w:r>
      <w:r w:rsidR="00FC3F94" w:rsidRPr="00FC3F94">
        <w:rPr>
          <w:i/>
          <w:iCs/>
        </w:rPr>
        <w:t>usta causa</w:t>
      </w:r>
      <w:r w:rsidR="00FC3F94">
        <w:t xml:space="preserve"> underpinning the cession</w:t>
      </w:r>
      <w:r w:rsidR="0009479F">
        <w:t>s</w:t>
      </w:r>
      <w:r w:rsidR="00FC3F94">
        <w:t xml:space="preserve"> rendering </w:t>
      </w:r>
      <w:r w:rsidR="0009479F">
        <w:t>them</w:t>
      </w:r>
      <w:r w:rsidR="00FC3F94">
        <w:t xml:space="preserve"> invalid.</w:t>
      </w:r>
      <w:r w:rsidR="000E3353">
        <w:t xml:space="preserve"> The plaintiff therefore lacks and has failed to establish </w:t>
      </w:r>
      <w:r w:rsidR="000E3353" w:rsidRPr="000E3353">
        <w:rPr>
          <w:i/>
          <w:iCs/>
        </w:rPr>
        <w:t>locus standi</w:t>
      </w:r>
      <w:r w:rsidR="000E3353">
        <w:t xml:space="preserve"> to sue in its particulars of claim.</w:t>
      </w:r>
    </w:p>
    <w:p w14:paraId="5D0AF529" w14:textId="2FACE420" w:rsidR="00FC3F94" w:rsidRDefault="006531E0" w:rsidP="006531E0">
      <w:pPr>
        <w:pStyle w:val="Heading1"/>
        <w:numPr>
          <w:ilvl w:val="0"/>
          <w:numId w:val="0"/>
        </w:numPr>
        <w:tabs>
          <w:tab w:val="left" w:pos="862"/>
        </w:tabs>
        <w:ind w:left="862" w:hanging="862"/>
      </w:pPr>
      <w:r>
        <w:t>[7]</w:t>
      </w:r>
      <w:r>
        <w:tab/>
      </w:r>
      <w:r w:rsidR="00FC3F94">
        <w:t xml:space="preserve">As set out in the particulars of claim, the defendant is not a party to the cession agreement. </w:t>
      </w:r>
      <w:r w:rsidR="00E706DF">
        <w:t>T</w:t>
      </w:r>
      <w:r w:rsidR="00FC3F94">
        <w:t>he defendan</w:t>
      </w:r>
      <w:r w:rsidR="00BC4E3A">
        <w:t>t hence</w:t>
      </w:r>
      <w:r w:rsidR="000E3353">
        <w:t>,</w:t>
      </w:r>
      <w:r w:rsidR="00BC4E3A">
        <w:t xml:space="preserve"> as </w:t>
      </w:r>
      <w:r w:rsidR="00FC3F94">
        <w:t xml:space="preserve">an outsider, </w:t>
      </w:r>
      <w:r w:rsidR="00E706DF">
        <w:t xml:space="preserve">seeks </w:t>
      </w:r>
      <w:r w:rsidR="00FC3F94">
        <w:t xml:space="preserve">to dispute the validity </w:t>
      </w:r>
      <w:r w:rsidR="00E706DF">
        <w:t>of the cession agreements</w:t>
      </w:r>
      <w:r w:rsidR="00FC3F94">
        <w:t>.</w:t>
      </w:r>
      <w:r w:rsidR="00C047CE">
        <w:t xml:space="preserve"> The defendant concedes that he has no knowledge of the cess</w:t>
      </w:r>
      <w:r w:rsidR="000E3353">
        <w:t>ion agreements</w:t>
      </w:r>
      <w:r w:rsidR="00C047CE">
        <w:t>.</w:t>
      </w:r>
    </w:p>
    <w:p w14:paraId="29768753" w14:textId="5FFE0905" w:rsidR="00260ED5" w:rsidRDefault="006531E0" w:rsidP="006531E0">
      <w:pPr>
        <w:pStyle w:val="Heading1"/>
        <w:numPr>
          <w:ilvl w:val="0"/>
          <w:numId w:val="0"/>
        </w:numPr>
        <w:tabs>
          <w:tab w:val="left" w:pos="862"/>
        </w:tabs>
        <w:ind w:left="862" w:hanging="862"/>
      </w:pPr>
      <w:r>
        <w:t>[8]</w:t>
      </w:r>
      <w:r>
        <w:tab/>
      </w:r>
      <w:r w:rsidR="00FC3F94">
        <w:t xml:space="preserve">In </w:t>
      </w:r>
      <w:r w:rsidR="00FC3F94" w:rsidRPr="00B771DF">
        <w:rPr>
          <w:b/>
          <w:bCs/>
          <w:i/>
          <w:iCs/>
        </w:rPr>
        <w:t xml:space="preserve">ABSA Bank Bpk v </w:t>
      </w:r>
      <w:r w:rsidR="00ED16A1" w:rsidRPr="00B771DF">
        <w:rPr>
          <w:b/>
          <w:bCs/>
          <w:i/>
          <w:iCs/>
        </w:rPr>
        <w:t>CL Von Abo Farms BK</w:t>
      </w:r>
      <w:r w:rsidR="00FC3F94" w:rsidRPr="00B771DF">
        <w:rPr>
          <w:b/>
          <w:bCs/>
          <w:i/>
          <w:iCs/>
        </w:rPr>
        <w:t xml:space="preserve"> and Others</w:t>
      </w:r>
      <w:r w:rsidR="00FC3F94">
        <w:rPr>
          <w:rStyle w:val="FootnoteReference"/>
          <w:b/>
          <w:bCs/>
          <w:i/>
          <w:iCs/>
        </w:rPr>
        <w:footnoteReference w:id="4"/>
      </w:r>
      <w:r w:rsidR="00260ED5" w:rsidRPr="00B771DF">
        <w:rPr>
          <w:b/>
          <w:bCs/>
          <w:i/>
          <w:iCs/>
        </w:rPr>
        <w:t xml:space="preserve"> </w:t>
      </w:r>
      <w:r w:rsidR="00260ED5">
        <w:t xml:space="preserve">the Court found that what the defendant seeks:  </w:t>
      </w:r>
      <w:r w:rsidR="00260ED5" w:rsidRPr="00B771DF">
        <w:rPr>
          <w:i/>
          <w:iCs/>
        </w:rPr>
        <w:t>“</w:t>
      </w:r>
      <w:r w:rsidR="00B771DF" w:rsidRPr="00B771DF">
        <w:rPr>
          <w:i/>
          <w:iCs/>
        </w:rPr>
        <w:t>is dat die Hof aan hulle as derdes 'n sterker reg tot kansellasie of nietigverklaring van die Ooreenkoms moet verleen as dit waaroor die partye daartoe self beskik - dit behoef geen betoog dat geeneen van die partye op hierdie stadium en op die gronde soos deur die verweerders tans aangevoer die Ooreenkoms suksesvol sal kan laat nietig of ongeldig verklaar nie.</w:t>
      </w:r>
      <w:r w:rsidR="00B771DF">
        <w:rPr>
          <w:i/>
          <w:iCs/>
        </w:rPr>
        <w:t>”</w:t>
      </w:r>
      <w:r w:rsidR="00B771DF" w:rsidRPr="00B771DF">
        <w:rPr>
          <w:i/>
          <w:iCs/>
        </w:rPr>
        <w:t xml:space="preserve"> </w:t>
      </w:r>
    </w:p>
    <w:p w14:paraId="78DE7745" w14:textId="11CC26ED" w:rsidR="004F1B23" w:rsidRDefault="006531E0" w:rsidP="006531E0">
      <w:pPr>
        <w:pStyle w:val="Heading1"/>
        <w:numPr>
          <w:ilvl w:val="0"/>
          <w:numId w:val="0"/>
        </w:numPr>
        <w:tabs>
          <w:tab w:val="left" w:pos="862"/>
        </w:tabs>
        <w:ind w:left="862" w:hanging="862"/>
      </w:pPr>
      <w:r>
        <w:t>[9]</w:t>
      </w:r>
      <w:r>
        <w:tab/>
      </w:r>
      <w:r w:rsidR="00E706DF">
        <w:t>A</w:t>
      </w:r>
      <w:r w:rsidR="004F1B23">
        <w:t xml:space="preserve">s explained in the judgment: </w:t>
      </w:r>
      <w:r w:rsidR="004F1B23">
        <w:rPr>
          <w:i/>
          <w:iCs/>
        </w:rPr>
        <w:t>“</w:t>
      </w:r>
      <w:r w:rsidR="00B771DF" w:rsidRPr="00B771DF">
        <w:rPr>
          <w:i/>
          <w:iCs/>
        </w:rPr>
        <w:t>Daar bestaan myn</w:t>
      </w:r>
      <w:r w:rsidR="00C047CE">
        <w:rPr>
          <w:i/>
          <w:iCs/>
        </w:rPr>
        <w:t>s</w:t>
      </w:r>
      <w:r w:rsidR="00B771DF" w:rsidRPr="00B771DF">
        <w:rPr>
          <w:i/>
          <w:iCs/>
        </w:rPr>
        <w:t>insiens geen beginsel, regtens of andersins, waarkragtens derdes 'n sterkere reg tot die kansellasie van 'n ooreenkoms kan verwerf as dít waaroor die kontrakterende partye self beskik nie</w:t>
      </w:r>
      <w:r w:rsidR="00B771DF">
        <w:rPr>
          <w:i/>
          <w:iCs/>
        </w:rPr>
        <w:t>.”</w:t>
      </w:r>
    </w:p>
    <w:p w14:paraId="76D9DF6C" w14:textId="2379C6CB" w:rsidR="004F1B23" w:rsidRDefault="006531E0" w:rsidP="006531E0">
      <w:pPr>
        <w:pStyle w:val="Heading1"/>
        <w:numPr>
          <w:ilvl w:val="0"/>
          <w:numId w:val="0"/>
        </w:numPr>
        <w:tabs>
          <w:tab w:val="left" w:pos="862"/>
        </w:tabs>
        <w:ind w:left="862" w:hanging="862"/>
      </w:pPr>
      <w:r>
        <w:t>[10]</w:t>
      </w:r>
      <w:r>
        <w:tab/>
      </w:r>
      <w:r w:rsidR="004F1B23">
        <w:t xml:space="preserve">This principle was followed in </w:t>
      </w:r>
      <w:r w:rsidR="00ED16A1">
        <w:rPr>
          <w:b/>
          <w:bCs/>
          <w:i/>
          <w:iCs/>
        </w:rPr>
        <w:t>Letseng Diamonds Ltd v JCI Ltd and Others</w:t>
      </w:r>
      <w:r w:rsidR="00ED16A1">
        <w:rPr>
          <w:rStyle w:val="FootnoteReference"/>
          <w:b/>
          <w:bCs/>
          <w:i/>
          <w:iCs/>
        </w:rPr>
        <w:footnoteReference w:id="5"/>
      </w:r>
      <w:r w:rsidR="00ED16A1">
        <w:t xml:space="preserve"> and referred to in </w:t>
      </w:r>
      <w:r w:rsidR="00ED16A1">
        <w:rPr>
          <w:b/>
          <w:bCs/>
          <w:i/>
          <w:iCs/>
        </w:rPr>
        <w:t>Corporate Finance (Pty) Ltd v S</w:t>
      </w:r>
      <w:r w:rsidR="00BE2145">
        <w:rPr>
          <w:b/>
          <w:bCs/>
          <w:i/>
          <w:iCs/>
        </w:rPr>
        <w:t>ch</w:t>
      </w:r>
      <w:r w:rsidR="00ED16A1">
        <w:rPr>
          <w:b/>
          <w:bCs/>
          <w:i/>
          <w:iCs/>
        </w:rPr>
        <w:t>wartz North</w:t>
      </w:r>
      <w:r w:rsidR="00BE2145">
        <w:rPr>
          <w:rStyle w:val="FootnoteReference"/>
          <w:b/>
          <w:bCs/>
          <w:i/>
          <w:iCs/>
        </w:rPr>
        <w:footnoteReference w:id="6"/>
      </w:r>
      <w:r w:rsidR="00BE2145">
        <w:rPr>
          <w:b/>
          <w:bCs/>
          <w:i/>
          <w:iCs/>
        </w:rPr>
        <w:t xml:space="preserve"> </w:t>
      </w:r>
      <w:r w:rsidR="00BE2145">
        <w:t xml:space="preserve">in which the defendant’s denial of the plaintiff’s </w:t>
      </w:r>
      <w:r w:rsidR="00BE2145" w:rsidRPr="00EC30B5">
        <w:rPr>
          <w:i/>
        </w:rPr>
        <w:t>locus standi</w:t>
      </w:r>
      <w:r w:rsidR="00BE2145">
        <w:t xml:space="preserve"> as </w:t>
      </w:r>
      <w:r w:rsidR="00BE2145">
        <w:lastRenderedPageBreak/>
        <w:t>cessionary was</w:t>
      </w:r>
      <w:r w:rsidR="00E706DF">
        <w:t xml:space="preserve"> also raised and </w:t>
      </w:r>
      <w:r w:rsidR="00BE2145">
        <w:t>determined</w:t>
      </w:r>
      <w:r w:rsidR="00E706DF">
        <w:t xml:space="preserve"> as follows</w:t>
      </w:r>
      <w:r w:rsidR="00BE2145">
        <w:t>:</w:t>
      </w:r>
    </w:p>
    <w:p w14:paraId="28F55BF2" w14:textId="77777777" w:rsidR="00BE2145" w:rsidRDefault="00BE2145" w:rsidP="00BE2145">
      <w:pPr>
        <w:pStyle w:val="Heading1"/>
        <w:numPr>
          <w:ilvl w:val="0"/>
          <w:numId w:val="0"/>
        </w:numPr>
        <w:ind w:left="3022" w:hanging="2160"/>
        <w:rPr>
          <w:i/>
          <w:iCs/>
        </w:rPr>
      </w:pPr>
      <w:r>
        <w:tab/>
      </w:r>
      <w:r>
        <w:rPr>
          <w:i/>
          <w:iCs/>
        </w:rPr>
        <w:t>[20]</w:t>
      </w:r>
      <w:r>
        <w:rPr>
          <w:i/>
          <w:iCs/>
        </w:rPr>
        <w:tab/>
        <w:t>I</w:t>
      </w:r>
      <w:r w:rsidRPr="00BE2145">
        <w:rPr>
          <w:i/>
          <w:iCs/>
        </w:rPr>
        <w:t>t is trite law that a cession is a bilateral juristic act whereby a right, a contractual right is transferred by agreement between the cedent and the cessionary. This can be compared to the sale of the goodwill in the business. In Botha &amp; another v Carapax Shadeports (Pty) Ltd 199</w:t>
      </w:r>
      <w:r>
        <w:rPr>
          <w:i/>
          <w:iCs/>
        </w:rPr>
        <w:t xml:space="preserve">2 (1) SA 2020 </w:t>
      </w:r>
      <w:r w:rsidRPr="00BE2145">
        <w:rPr>
          <w:i/>
          <w:iCs/>
        </w:rPr>
        <w:t>(A) pg 214</w:t>
      </w:r>
      <w:r>
        <w:rPr>
          <w:i/>
          <w:iCs/>
        </w:rPr>
        <w:t xml:space="preserve">, </w:t>
      </w:r>
      <w:r w:rsidRPr="00BE2145">
        <w:rPr>
          <w:i/>
          <w:iCs/>
        </w:rPr>
        <w:t>Botha JA stated ‘When he sells the goodwill of the business, the merx embraces that contractual right.’</w:t>
      </w:r>
    </w:p>
    <w:p w14:paraId="7BA2E3F3" w14:textId="77777777" w:rsidR="00BE2145" w:rsidRDefault="00BE2145" w:rsidP="00BE2145">
      <w:pPr>
        <w:pStyle w:val="Heading1"/>
        <w:numPr>
          <w:ilvl w:val="0"/>
          <w:numId w:val="0"/>
        </w:numPr>
        <w:ind w:left="3022" w:hanging="2160"/>
        <w:rPr>
          <w:i/>
          <w:iCs/>
        </w:rPr>
      </w:pPr>
      <w:r>
        <w:rPr>
          <w:i/>
          <w:iCs/>
        </w:rPr>
        <w:tab/>
        <w:t>[21]</w:t>
      </w:r>
      <w:r>
        <w:rPr>
          <w:i/>
          <w:iCs/>
        </w:rPr>
        <w:tab/>
      </w:r>
      <w:r w:rsidRPr="00BE2145">
        <w:rPr>
          <w:i/>
          <w:iCs/>
        </w:rPr>
        <w:t>The cession therefore embraces the contractual right to sue. It is common cause that a cession, to be effective, does not require the prior consent, knowledge, concurrence or cooperation of the debtor. The debtor has no right of refusal/veto or to intervene in the cession agreement unless there is prejudice. It is effective irrespective of the debtor’s attitude as the debtor is not actively engaged in the process.</w:t>
      </w:r>
    </w:p>
    <w:p w14:paraId="0169A1FF" w14:textId="471ABD1D" w:rsidR="000538BE" w:rsidRPr="000538BE" w:rsidRDefault="00BE2145" w:rsidP="000538BE">
      <w:pPr>
        <w:pStyle w:val="Heading1"/>
        <w:numPr>
          <w:ilvl w:val="0"/>
          <w:numId w:val="0"/>
        </w:numPr>
        <w:ind w:left="3022" w:hanging="3022"/>
        <w:rPr>
          <w:i/>
          <w:iCs/>
        </w:rPr>
      </w:pPr>
      <w:r>
        <w:rPr>
          <w:i/>
          <w:iCs/>
        </w:rPr>
        <w:tab/>
        <w:t>[23]</w:t>
      </w:r>
      <w:r>
        <w:rPr>
          <w:i/>
          <w:iCs/>
        </w:rPr>
        <w:tab/>
      </w:r>
      <w:r w:rsidR="000538BE" w:rsidRPr="000538BE">
        <w:rPr>
          <w:i/>
          <w:iCs/>
        </w:rPr>
        <w:t>In Letseng Diamonds Ltd v JCI Ltd &amp; Others; Trinity Asset Management (Pty) Ltd &amp; Others v Investec Bank Ltd &amp; Others 2007 (5) SA 564 (W) in applying the correct principle in relation to whether a third part</w:t>
      </w:r>
      <w:r w:rsidR="000538BE">
        <w:rPr>
          <w:i/>
          <w:iCs/>
        </w:rPr>
        <w:t>y</w:t>
      </w:r>
      <w:r w:rsidR="000538BE" w:rsidRPr="000538BE">
        <w:rPr>
          <w:i/>
          <w:iCs/>
        </w:rPr>
        <w:t xml:space="preserve"> has locus standi in relation to a declaration of rights it was held that: (1) applicant must have a direct interest in </w:t>
      </w:r>
      <w:r w:rsidR="000538BE">
        <w:rPr>
          <w:i/>
          <w:iCs/>
        </w:rPr>
        <w:t xml:space="preserve">the </w:t>
      </w:r>
      <w:r w:rsidR="000538BE" w:rsidRPr="000538BE">
        <w:rPr>
          <w:i/>
          <w:iCs/>
        </w:rPr>
        <w:t>subject-matter of the litigation; and not an indirect financial interest in validity of agreements and therefore lacks locus standi to bring applications. In an unreported case in 2013 Corporate Finance Solutions (Pty) Ltd v Dwergieland Kleuterskool &amp; Others, a decision of the full bench it was held:</w:t>
      </w:r>
    </w:p>
    <w:p w14:paraId="331A9CD2" w14:textId="3A04174C" w:rsidR="00BE2145" w:rsidRDefault="000538BE" w:rsidP="000538BE">
      <w:pPr>
        <w:pStyle w:val="Heading1"/>
        <w:numPr>
          <w:ilvl w:val="0"/>
          <w:numId w:val="0"/>
        </w:numPr>
        <w:ind w:left="3022" w:hanging="2160"/>
        <w:rPr>
          <w:i/>
          <w:iCs/>
        </w:rPr>
      </w:pPr>
      <w:r>
        <w:rPr>
          <w:i/>
          <w:iCs/>
        </w:rPr>
        <w:lastRenderedPageBreak/>
        <w:tab/>
      </w:r>
      <w:r>
        <w:rPr>
          <w:i/>
          <w:iCs/>
        </w:rPr>
        <w:tab/>
      </w:r>
      <w:r w:rsidRPr="000538BE">
        <w:rPr>
          <w:i/>
          <w:iCs/>
        </w:rPr>
        <w:t>‘The respondent’s contention</w:t>
      </w:r>
      <w:r w:rsidR="00C047CE">
        <w:rPr>
          <w:i/>
          <w:iCs/>
        </w:rPr>
        <w:t>,</w:t>
      </w:r>
      <w:r w:rsidRPr="000538BE">
        <w:rPr>
          <w:i/>
          <w:iCs/>
        </w:rPr>
        <w:t xml:space="preserve"> since the procedure had not been followed, </w:t>
      </w:r>
      <w:r w:rsidR="00C047CE">
        <w:rPr>
          <w:i/>
          <w:iCs/>
        </w:rPr>
        <w:t xml:space="preserve">that </w:t>
      </w:r>
      <w:r w:rsidRPr="000538BE">
        <w:rPr>
          <w:i/>
          <w:iCs/>
        </w:rPr>
        <w:t>there can be no valid and binding cession cannot be entertained. Respondents</w:t>
      </w:r>
      <w:r w:rsidR="00C047CE">
        <w:rPr>
          <w:i/>
          <w:iCs/>
        </w:rPr>
        <w:t>’</w:t>
      </w:r>
      <w:r w:rsidRPr="000538BE">
        <w:rPr>
          <w:i/>
          <w:iCs/>
        </w:rPr>
        <w:t xml:space="preserve"> not having been parties to the cession agreement cannot raise this as a defence, especially when the parties to the agreement do not</w:t>
      </w:r>
      <w:r w:rsidR="00C047CE">
        <w:rPr>
          <w:i/>
          <w:iCs/>
        </w:rPr>
        <w:t>,</w:t>
      </w:r>
      <w:r w:rsidRPr="000538BE">
        <w:rPr>
          <w:i/>
          <w:iCs/>
        </w:rPr>
        <w:t xml:space="preserve"> and in fact, insist that a valid and binding cession was concluded.’</w:t>
      </w:r>
      <w:r w:rsidR="00BE2145">
        <w:rPr>
          <w:i/>
          <w:iCs/>
        </w:rPr>
        <w:t>”</w:t>
      </w:r>
    </w:p>
    <w:p w14:paraId="67413F1D" w14:textId="396CF181" w:rsidR="00E706DF" w:rsidRDefault="006531E0" w:rsidP="006531E0">
      <w:pPr>
        <w:pStyle w:val="Heading1"/>
        <w:numPr>
          <w:ilvl w:val="0"/>
          <w:numId w:val="0"/>
        </w:numPr>
        <w:tabs>
          <w:tab w:val="left" w:pos="862"/>
        </w:tabs>
        <w:ind w:left="862" w:hanging="862"/>
      </w:pPr>
      <w:r>
        <w:t>[11]</w:t>
      </w:r>
      <w:r>
        <w:tab/>
      </w:r>
      <w:r w:rsidR="000538BE">
        <w:t xml:space="preserve">Accordingly, the defendant </w:t>
      </w:r>
      <w:r w:rsidR="00E706DF">
        <w:t xml:space="preserve">cannot </w:t>
      </w:r>
      <w:r w:rsidR="000538BE">
        <w:t>dispute the cession and transfer of the cedent’s rights in the agreements to the plaintiff</w:t>
      </w:r>
      <w:r w:rsidR="00294DAD">
        <w:t xml:space="preserve">. </w:t>
      </w:r>
    </w:p>
    <w:p w14:paraId="23AFFA79" w14:textId="779565BD" w:rsidR="00BE2145" w:rsidRDefault="006531E0" w:rsidP="006531E0">
      <w:pPr>
        <w:pStyle w:val="Heading1"/>
        <w:numPr>
          <w:ilvl w:val="0"/>
          <w:numId w:val="0"/>
        </w:numPr>
        <w:tabs>
          <w:tab w:val="left" w:pos="862"/>
        </w:tabs>
        <w:ind w:left="862" w:hanging="862"/>
      </w:pPr>
      <w:r>
        <w:t>[12]</w:t>
      </w:r>
      <w:r>
        <w:tab/>
      </w:r>
      <w:r w:rsidR="000538BE">
        <w:t xml:space="preserve">Furthermore, it </w:t>
      </w:r>
      <w:r w:rsidR="00E706DF">
        <w:t xml:space="preserve">suffices </w:t>
      </w:r>
      <w:r w:rsidR="000538BE">
        <w:t>for the plaintiff to plead</w:t>
      </w:r>
      <w:r w:rsidR="00E706DF">
        <w:t>, as it did,</w:t>
      </w:r>
      <w:r w:rsidR="000538BE">
        <w:t xml:space="preserve"> that it had complied in full with its obligation</w:t>
      </w:r>
      <w:r w:rsidR="00E706DF">
        <w:t>s</w:t>
      </w:r>
      <w:r w:rsidR="000538BE">
        <w:t xml:space="preserve"> to the cedent to establish a cause of action.  More particularly</w:t>
      </w:r>
      <w:r w:rsidR="00C047CE">
        <w:t>,</w:t>
      </w:r>
      <w:r w:rsidR="000538BE">
        <w:t xml:space="preserve"> in circumstances where the defendant has no knowledge of the cession agreement</w:t>
      </w:r>
      <w:r w:rsidR="000E3353">
        <w:t>s</w:t>
      </w:r>
      <w:r w:rsidR="000538BE">
        <w:t>.</w:t>
      </w:r>
    </w:p>
    <w:p w14:paraId="1C309271" w14:textId="1C33501F" w:rsidR="00E706DF" w:rsidRDefault="006531E0" w:rsidP="006531E0">
      <w:pPr>
        <w:pStyle w:val="Heading1"/>
        <w:numPr>
          <w:ilvl w:val="0"/>
          <w:numId w:val="0"/>
        </w:numPr>
        <w:tabs>
          <w:tab w:val="left" w:pos="862"/>
        </w:tabs>
        <w:ind w:left="862" w:hanging="862"/>
      </w:pPr>
      <w:r>
        <w:t>[13]</w:t>
      </w:r>
      <w:r>
        <w:tab/>
      </w:r>
      <w:r w:rsidR="000538BE">
        <w:t>Insofar, as it is</w:t>
      </w:r>
      <w:r w:rsidR="00E706DF">
        <w:t xml:space="preserve"> also a contention</w:t>
      </w:r>
      <w:r w:rsidR="000538BE">
        <w:t xml:space="preserve"> that there is no </w:t>
      </w:r>
      <w:r w:rsidR="00E706DF">
        <w:rPr>
          <w:i/>
          <w:iCs/>
        </w:rPr>
        <w:t>i</w:t>
      </w:r>
      <w:r w:rsidR="000538BE">
        <w:rPr>
          <w:i/>
          <w:iCs/>
        </w:rPr>
        <w:t xml:space="preserve">usta causa </w:t>
      </w:r>
      <w:r w:rsidR="000538BE">
        <w:t>underlying the cession agreement this too is</w:t>
      </w:r>
      <w:r w:rsidR="00294DAD">
        <w:t xml:space="preserve"> wrong</w:t>
      </w:r>
      <w:r w:rsidR="000538BE">
        <w:t>.</w:t>
      </w:r>
    </w:p>
    <w:p w14:paraId="4507CAB0" w14:textId="7B4B8B7E" w:rsidR="000538BE" w:rsidRPr="0072034A" w:rsidRDefault="006531E0" w:rsidP="006531E0">
      <w:pPr>
        <w:pStyle w:val="Heading1"/>
        <w:numPr>
          <w:ilvl w:val="0"/>
          <w:numId w:val="0"/>
        </w:numPr>
        <w:tabs>
          <w:tab w:val="left" w:pos="862"/>
        </w:tabs>
        <w:ind w:left="862" w:hanging="862"/>
      </w:pPr>
      <w:r w:rsidRPr="0072034A">
        <w:t>[14]</w:t>
      </w:r>
      <w:r w:rsidRPr="0072034A">
        <w:tab/>
      </w:r>
      <w:r w:rsidR="000538BE">
        <w:t xml:space="preserve">  As submitted to me and as is evident in </w:t>
      </w:r>
      <w:r w:rsidR="000538BE">
        <w:rPr>
          <w:b/>
          <w:bCs/>
          <w:i/>
          <w:iCs/>
        </w:rPr>
        <w:t>FNB v Lynn</w:t>
      </w:r>
      <w:r w:rsidR="0072034A">
        <w:rPr>
          <w:b/>
          <w:bCs/>
          <w:i/>
          <w:iCs/>
        </w:rPr>
        <w:t>:</w:t>
      </w:r>
      <w:r w:rsidR="000538BE">
        <w:rPr>
          <w:rStyle w:val="FootnoteReference"/>
          <w:b/>
          <w:bCs/>
          <w:i/>
          <w:iCs/>
        </w:rPr>
        <w:footnoteReference w:id="7"/>
      </w:r>
    </w:p>
    <w:p w14:paraId="6BB8551E" w14:textId="1930F6A3" w:rsidR="0072034A" w:rsidRDefault="0072034A" w:rsidP="0072034A">
      <w:pPr>
        <w:ind w:left="1871" w:hanging="1871"/>
        <w:rPr>
          <w:i/>
          <w:iCs/>
        </w:rPr>
      </w:pPr>
      <w:r>
        <w:tab/>
      </w:r>
      <w:r>
        <w:tab/>
      </w:r>
      <w:r>
        <w:rPr>
          <w:i/>
          <w:iCs/>
        </w:rPr>
        <w:t>“</w:t>
      </w:r>
      <w:r w:rsidRPr="0072034A">
        <w:rPr>
          <w:i/>
          <w:iCs/>
        </w:rPr>
        <w:t xml:space="preserve">The position, in my view, then is that it has been accepted in commerce and by the Courts of our country for more than a century that future rights can be ceded and transferred in anticipando. The decisions of our Courts have thus been regarded for a very long period of time as being correct. Clearly these decisions have been acted upon and served as the basis for the general and well-known practice of taking security in the form of the cession of book debts (including future debts), cession of existing and future rights in securitatem debiti and factoring of existing and future rights. In these circumstances I </w:t>
      </w:r>
      <w:r w:rsidRPr="0072034A">
        <w:rPr>
          <w:i/>
          <w:iCs/>
        </w:rPr>
        <w:lastRenderedPageBreak/>
        <w:t xml:space="preserve">am not inclined to hold that these decisions are wrong </w:t>
      </w:r>
      <w:r>
        <w:rPr>
          <w:i/>
          <w:iCs/>
        </w:rPr>
        <w:t xml:space="preserve">… </w:t>
      </w:r>
      <w:r w:rsidRPr="0072034A">
        <w:rPr>
          <w:i/>
          <w:iCs/>
        </w:rPr>
        <w:t>Although there may be considerations of public policy militating against upholding the cedability of future rights (as to which see Lubbe</w:t>
      </w:r>
      <w:r>
        <w:rPr>
          <w:i/>
          <w:iCs/>
        </w:rPr>
        <w:t xml:space="preserve"> (</w:t>
      </w:r>
      <w:r w:rsidRPr="0072034A">
        <w:rPr>
          <w:i/>
          <w:iCs/>
        </w:rPr>
        <w:t xml:space="preserve">op cit </w:t>
      </w:r>
      <w:r>
        <w:rPr>
          <w:i/>
          <w:iCs/>
        </w:rPr>
        <w:t xml:space="preserve">at </w:t>
      </w:r>
      <w:r w:rsidRPr="0072034A">
        <w:rPr>
          <w:i/>
          <w:iCs/>
        </w:rPr>
        <w:t>131</w:t>
      </w:r>
      <w:r>
        <w:rPr>
          <w:i/>
          <w:iCs/>
        </w:rPr>
        <w:t>-40)</w:t>
      </w:r>
      <w:r w:rsidRPr="0072034A">
        <w:rPr>
          <w:i/>
          <w:iCs/>
        </w:rPr>
        <w:t>), they have not been canvassed in the</w:t>
      </w:r>
      <w:r>
        <w:rPr>
          <w:i/>
          <w:iCs/>
        </w:rPr>
        <w:t xml:space="preserve"> </w:t>
      </w:r>
      <w:r w:rsidRPr="0072034A">
        <w:rPr>
          <w:i/>
          <w:iCs/>
        </w:rPr>
        <w:t>present case. If it is considered that the present position needs review, that is a task that should be undertaken by the legislature.</w:t>
      </w:r>
      <w:r>
        <w:rPr>
          <w:i/>
          <w:iCs/>
        </w:rPr>
        <w:t>”</w:t>
      </w:r>
    </w:p>
    <w:p w14:paraId="0FF12E15" w14:textId="6904E17E" w:rsidR="0072034A" w:rsidRDefault="006531E0" w:rsidP="006531E0">
      <w:pPr>
        <w:pStyle w:val="Heading1"/>
        <w:numPr>
          <w:ilvl w:val="0"/>
          <w:numId w:val="0"/>
        </w:numPr>
        <w:tabs>
          <w:tab w:val="left" w:pos="862"/>
        </w:tabs>
        <w:ind w:left="862" w:hanging="862"/>
      </w:pPr>
      <w:r>
        <w:t>[15]</w:t>
      </w:r>
      <w:r>
        <w:tab/>
      </w:r>
      <w:r w:rsidR="0072034A">
        <w:t xml:space="preserve">Accordingly, I am of the view </w:t>
      </w:r>
      <w:r w:rsidR="000E3353">
        <w:t xml:space="preserve">that the </w:t>
      </w:r>
      <w:r w:rsidR="000E3353" w:rsidRPr="00EC30B5">
        <w:rPr>
          <w:i/>
        </w:rPr>
        <w:t>locus standi</w:t>
      </w:r>
      <w:r w:rsidR="000E3353">
        <w:t xml:space="preserve"> defence is without merit </w:t>
      </w:r>
      <w:r w:rsidR="0072034A">
        <w:t xml:space="preserve">and is not a triable defence.  </w:t>
      </w:r>
    </w:p>
    <w:p w14:paraId="416DB028" w14:textId="6B925CF4" w:rsidR="00294DAD" w:rsidRDefault="006531E0" w:rsidP="006531E0">
      <w:pPr>
        <w:pStyle w:val="Heading1"/>
        <w:numPr>
          <w:ilvl w:val="0"/>
          <w:numId w:val="0"/>
        </w:numPr>
        <w:tabs>
          <w:tab w:val="left" w:pos="862"/>
        </w:tabs>
        <w:ind w:left="862" w:hanging="862"/>
      </w:pPr>
      <w:r>
        <w:t>[16]</w:t>
      </w:r>
      <w:r>
        <w:tab/>
      </w:r>
      <w:r w:rsidR="0072034A">
        <w:t xml:space="preserve">The second defence was argued more </w:t>
      </w:r>
      <w:r w:rsidR="00E706DF">
        <w:t>strenuously</w:t>
      </w:r>
      <w:r w:rsidR="0072034A">
        <w:t xml:space="preserve"> and relates to whether or not the defendant cancelled the agreement in the context of the provisions of the </w:t>
      </w:r>
      <w:r w:rsidR="00956EF1">
        <w:t>CPA</w:t>
      </w:r>
      <w:r w:rsidR="0072034A">
        <w:t>.</w:t>
      </w:r>
    </w:p>
    <w:p w14:paraId="6BA3068B" w14:textId="1F6472BC" w:rsidR="0072034A" w:rsidRDefault="006531E0" w:rsidP="006531E0">
      <w:pPr>
        <w:pStyle w:val="Heading1"/>
        <w:numPr>
          <w:ilvl w:val="0"/>
          <w:numId w:val="0"/>
        </w:numPr>
        <w:tabs>
          <w:tab w:val="left" w:pos="862"/>
        </w:tabs>
        <w:ind w:left="862" w:hanging="862"/>
      </w:pPr>
      <w:r>
        <w:t>[17]</w:t>
      </w:r>
      <w:r>
        <w:tab/>
      </w:r>
      <w:r w:rsidR="0072034A">
        <w:t xml:space="preserve"> Section 14</w:t>
      </w:r>
      <w:r w:rsidR="00E706DF">
        <w:t xml:space="preserve"> of the CPA</w:t>
      </w:r>
      <w:r w:rsidR="0072034A">
        <w:t xml:space="preserve"> provides as follows:</w:t>
      </w:r>
    </w:p>
    <w:p w14:paraId="12635731" w14:textId="25EAFED1" w:rsidR="002875CC" w:rsidRDefault="002875CC" w:rsidP="002875CC">
      <w:pPr>
        <w:ind w:left="1871" w:hanging="1871"/>
        <w:rPr>
          <w:i/>
          <w:iCs/>
        </w:rPr>
      </w:pPr>
      <w:r>
        <w:tab/>
      </w:r>
      <w:r w:rsidR="0072034A">
        <w:rPr>
          <w:i/>
          <w:iCs/>
        </w:rPr>
        <w:t>“</w:t>
      </w:r>
      <w:r w:rsidRPr="002875CC">
        <w:rPr>
          <w:i/>
          <w:iCs/>
        </w:rPr>
        <w:t>14(1)</w:t>
      </w:r>
      <w:r>
        <w:rPr>
          <w:i/>
          <w:iCs/>
        </w:rPr>
        <w:tab/>
      </w:r>
      <w:r w:rsidRPr="002875CC">
        <w:rPr>
          <w:i/>
          <w:iCs/>
        </w:rPr>
        <w:t>This section does not apply to transactions between juristic persons regardless</w:t>
      </w:r>
      <w:r>
        <w:rPr>
          <w:i/>
          <w:iCs/>
        </w:rPr>
        <w:t xml:space="preserve"> </w:t>
      </w:r>
      <w:r w:rsidRPr="002875CC">
        <w:rPr>
          <w:i/>
          <w:iCs/>
        </w:rPr>
        <w:t>of their annual turnover or asset value.</w:t>
      </w:r>
    </w:p>
    <w:p w14:paraId="447F12F1" w14:textId="55CBCAAB" w:rsidR="002875CC" w:rsidRDefault="002875CC" w:rsidP="002875CC">
      <w:pPr>
        <w:ind w:left="3022" w:hanging="3022"/>
        <w:rPr>
          <w:i/>
          <w:iCs/>
        </w:rPr>
      </w:pPr>
      <w:r>
        <w:rPr>
          <w:i/>
          <w:iCs/>
        </w:rPr>
        <w:tab/>
      </w:r>
      <w:r w:rsidRPr="002875CC">
        <w:rPr>
          <w:i/>
          <w:iCs/>
        </w:rPr>
        <w:t xml:space="preserve">(2) </w:t>
      </w:r>
      <w:r>
        <w:rPr>
          <w:i/>
          <w:iCs/>
        </w:rPr>
        <w:tab/>
      </w:r>
      <w:r w:rsidRPr="002875CC">
        <w:rPr>
          <w:i/>
          <w:iCs/>
        </w:rPr>
        <w:t>If a consumer agreement is for a fixed term</w:t>
      </w:r>
      <w:r>
        <w:rPr>
          <w:i/>
          <w:iCs/>
        </w:rPr>
        <w:t xml:space="preserve"> –</w:t>
      </w:r>
    </w:p>
    <w:p w14:paraId="6A8D3552" w14:textId="4F5ECCEB" w:rsidR="002875CC" w:rsidRDefault="002875CC" w:rsidP="00B771DF">
      <w:pPr>
        <w:tabs>
          <w:tab w:val="clear" w:pos="3022"/>
          <w:tab w:val="clear" w:pos="4321"/>
          <w:tab w:val="left" w:pos="2552"/>
          <w:tab w:val="left" w:pos="3544"/>
        </w:tabs>
        <w:ind w:left="2552" w:hanging="2552"/>
        <w:rPr>
          <w:i/>
          <w:iCs/>
        </w:rPr>
      </w:pPr>
      <w:r>
        <w:rPr>
          <w:i/>
          <w:iCs/>
        </w:rPr>
        <w:tab/>
      </w:r>
      <w:r>
        <w:rPr>
          <w:i/>
          <w:iCs/>
        </w:rPr>
        <w:tab/>
      </w:r>
      <w:r w:rsidRPr="002875CC">
        <w:rPr>
          <w:i/>
          <w:iCs/>
        </w:rPr>
        <w:t xml:space="preserve">(a) </w:t>
      </w:r>
      <w:r>
        <w:rPr>
          <w:i/>
          <w:iCs/>
        </w:rPr>
        <w:tab/>
      </w:r>
      <w:r w:rsidRPr="002875CC">
        <w:rPr>
          <w:i/>
          <w:iCs/>
        </w:rPr>
        <w:t>that term must not exceed the maximum period, if any, prescribed in terms of</w:t>
      </w:r>
      <w:r>
        <w:rPr>
          <w:i/>
          <w:iCs/>
        </w:rPr>
        <w:t xml:space="preserve"> </w:t>
      </w:r>
      <w:r w:rsidRPr="002875CC">
        <w:rPr>
          <w:i/>
          <w:iCs/>
        </w:rPr>
        <w:t>subsection (4) with respect to that category of consumer agreement;</w:t>
      </w:r>
    </w:p>
    <w:p w14:paraId="66097AE3" w14:textId="15563253" w:rsidR="002875CC" w:rsidRDefault="002875CC" w:rsidP="00B771DF">
      <w:pPr>
        <w:tabs>
          <w:tab w:val="clear" w:pos="3022"/>
          <w:tab w:val="clear" w:pos="4321"/>
          <w:tab w:val="left" w:pos="2552"/>
          <w:tab w:val="left" w:pos="3544"/>
        </w:tabs>
        <w:ind w:left="2552" w:hanging="2552"/>
        <w:rPr>
          <w:i/>
          <w:iCs/>
        </w:rPr>
      </w:pPr>
      <w:r>
        <w:rPr>
          <w:i/>
          <w:iCs/>
        </w:rPr>
        <w:tab/>
      </w:r>
      <w:r>
        <w:rPr>
          <w:i/>
          <w:iCs/>
        </w:rPr>
        <w:tab/>
      </w:r>
      <w:r w:rsidRPr="002875CC">
        <w:rPr>
          <w:i/>
          <w:iCs/>
        </w:rPr>
        <w:t xml:space="preserve">(b) </w:t>
      </w:r>
      <w:r>
        <w:rPr>
          <w:i/>
          <w:iCs/>
        </w:rPr>
        <w:tab/>
      </w:r>
      <w:r w:rsidRPr="002875CC">
        <w:rPr>
          <w:i/>
          <w:iCs/>
        </w:rPr>
        <w:t>despite any provision of the consumer agreement to the contrary</w:t>
      </w:r>
      <w:r>
        <w:rPr>
          <w:i/>
          <w:iCs/>
        </w:rPr>
        <w:t xml:space="preserve"> –</w:t>
      </w:r>
    </w:p>
    <w:p w14:paraId="073F0318" w14:textId="4EFDDB11" w:rsidR="002875CC" w:rsidRDefault="002875CC" w:rsidP="00B771DF">
      <w:pPr>
        <w:tabs>
          <w:tab w:val="clear" w:pos="3022"/>
          <w:tab w:val="clear" w:pos="4321"/>
          <w:tab w:val="left" w:pos="2552"/>
        </w:tabs>
        <w:ind w:left="3119" w:hanging="3119"/>
        <w:rPr>
          <w:i/>
          <w:iCs/>
        </w:rPr>
      </w:pPr>
      <w:r>
        <w:rPr>
          <w:i/>
          <w:iCs/>
        </w:rPr>
        <w:tab/>
      </w:r>
      <w:r>
        <w:rPr>
          <w:i/>
          <w:iCs/>
        </w:rPr>
        <w:tab/>
      </w:r>
      <w:r>
        <w:rPr>
          <w:i/>
          <w:iCs/>
        </w:rPr>
        <w:tab/>
      </w:r>
      <w:r w:rsidRPr="002875CC">
        <w:rPr>
          <w:i/>
          <w:iCs/>
        </w:rPr>
        <w:t xml:space="preserve">(i) </w:t>
      </w:r>
      <w:r>
        <w:rPr>
          <w:i/>
          <w:iCs/>
        </w:rPr>
        <w:tab/>
      </w:r>
      <w:r w:rsidRPr="002875CC">
        <w:rPr>
          <w:i/>
          <w:iCs/>
        </w:rPr>
        <w:t>the consumer may cancel that agreement</w:t>
      </w:r>
      <w:r>
        <w:rPr>
          <w:i/>
          <w:iCs/>
        </w:rPr>
        <w:t xml:space="preserve"> –</w:t>
      </w:r>
    </w:p>
    <w:p w14:paraId="4C87B86C" w14:textId="0985CA53" w:rsidR="002875CC" w:rsidRDefault="002875CC" w:rsidP="00B771DF">
      <w:pPr>
        <w:tabs>
          <w:tab w:val="clear" w:pos="4321"/>
          <w:tab w:val="clear" w:pos="5761"/>
          <w:tab w:val="left" w:pos="3119"/>
          <w:tab w:val="left" w:pos="3969"/>
        </w:tabs>
        <w:ind w:left="3969" w:hanging="3969"/>
        <w:rPr>
          <w:i/>
          <w:iCs/>
        </w:rPr>
      </w:pPr>
      <w:r>
        <w:rPr>
          <w:i/>
          <w:iCs/>
        </w:rPr>
        <w:tab/>
      </w:r>
      <w:r>
        <w:rPr>
          <w:i/>
          <w:iCs/>
        </w:rPr>
        <w:tab/>
      </w:r>
      <w:r>
        <w:rPr>
          <w:i/>
          <w:iCs/>
        </w:rPr>
        <w:tab/>
      </w:r>
      <w:r>
        <w:rPr>
          <w:i/>
          <w:iCs/>
        </w:rPr>
        <w:tab/>
      </w:r>
      <w:r w:rsidRPr="002875CC">
        <w:rPr>
          <w:i/>
          <w:iCs/>
        </w:rPr>
        <w:t xml:space="preserve">(aa) </w:t>
      </w:r>
      <w:r>
        <w:rPr>
          <w:i/>
          <w:iCs/>
        </w:rPr>
        <w:tab/>
      </w:r>
      <w:r w:rsidRPr="002875CC">
        <w:rPr>
          <w:i/>
          <w:iCs/>
        </w:rPr>
        <w:t xml:space="preserve">upon the expiry of its fixed term, without </w:t>
      </w:r>
      <w:r w:rsidRPr="002875CC">
        <w:rPr>
          <w:i/>
          <w:iCs/>
        </w:rPr>
        <w:lastRenderedPageBreak/>
        <w:t>penalty or charge, but</w:t>
      </w:r>
      <w:r>
        <w:rPr>
          <w:i/>
          <w:iCs/>
        </w:rPr>
        <w:t xml:space="preserve"> </w:t>
      </w:r>
      <w:r w:rsidRPr="002875CC">
        <w:rPr>
          <w:i/>
          <w:iCs/>
        </w:rPr>
        <w:t>subject to subsection (3)(a); or</w:t>
      </w:r>
    </w:p>
    <w:p w14:paraId="59CF471C" w14:textId="75B6AE5F" w:rsidR="002875CC" w:rsidRDefault="002875CC" w:rsidP="00B771DF">
      <w:pPr>
        <w:tabs>
          <w:tab w:val="clear" w:pos="4321"/>
          <w:tab w:val="clear" w:pos="5761"/>
          <w:tab w:val="left" w:pos="3119"/>
          <w:tab w:val="left" w:pos="3969"/>
        </w:tabs>
        <w:ind w:left="3969" w:hanging="3969"/>
        <w:rPr>
          <w:i/>
          <w:iCs/>
        </w:rPr>
      </w:pPr>
      <w:r>
        <w:rPr>
          <w:i/>
          <w:iCs/>
        </w:rPr>
        <w:tab/>
      </w:r>
      <w:r>
        <w:rPr>
          <w:i/>
          <w:iCs/>
        </w:rPr>
        <w:tab/>
      </w:r>
      <w:r>
        <w:rPr>
          <w:i/>
          <w:iCs/>
        </w:rPr>
        <w:tab/>
      </w:r>
      <w:r>
        <w:rPr>
          <w:i/>
          <w:iCs/>
        </w:rPr>
        <w:tab/>
      </w:r>
      <w:r w:rsidRPr="002875CC">
        <w:rPr>
          <w:i/>
          <w:iCs/>
        </w:rPr>
        <w:t xml:space="preserve">(bb) </w:t>
      </w:r>
      <w:r>
        <w:rPr>
          <w:i/>
          <w:iCs/>
        </w:rPr>
        <w:tab/>
      </w:r>
      <w:r w:rsidRPr="002875CC">
        <w:rPr>
          <w:b/>
          <w:bCs/>
          <w:i/>
          <w:iCs/>
        </w:rPr>
        <w:t>at any other time, by giving the supplier 20 business days’ notice in writing or other recorded manner and form, subject to subsection (3)(a) and (b)</w:t>
      </w:r>
      <w:r w:rsidRPr="002875CC">
        <w:rPr>
          <w:i/>
          <w:iCs/>
        </w:rPr>
        <w:t xml:space="preserve">; </w:t>
      </w:r>
      <w:r>
        <w:rPr>
          <w:i/>
          <w:iCs/>
        </w:rPr>
        <w:t>…”</w:t>
      </w:r>
    </w:p>
    <w:p w14:paraId="18F9C956" w14:textId="3602AAEF" w:rsidR="002875CC" w:rsidRDefault="006531E0" w:rsidP="006531E0">
      <w:pPr>
        <w:pStyle w:val="Heading1"/>
        <w:numPr>
          <w:ilvl w:val="0"/>
          <w:numId w:val="0"/>
        </w:numPr>
        <w:tabs>
          <w:tab w:val="left" w:pos="862"/>
        </w:tabs>
        <w:ind w:left="862" w:hanging="862"/>
      </w:pPr>
      <w:r>
        <w:t>[18]</w:t>
      </w:r>
      <w:r>
        <w:tab/>
      </w:r>
      <w:r w:rsidR="00E706DF">
        <w:t>T</w:t>
      </w:r>
      <w:r w:rsidR="002875CC">
        <w:t>he defendant</w:t>
      </w:r>
      <w:r w:rsidR="00E706DF">
        <w:t xml:space="preserve"> contends </w:t>
      </w:r>
      <w:r w:rsidR="002875CC">
        <w:t>that he cancelled the two rental agreements</w:t>
      </w:r>
      <w:r w:rsidR="00294DAD">
        <w:t>,</w:t>
      </w:r>
      <w:r w:rsidR="002875CC">
        <w:t xml:space="preserve"> in writing</w:t>
      </w:r>
      <w:r w:rsidR="00294DAD">
        <w:t>,</w:t>
      </w:r>
      <w:r w:rsidR="002875CC">
        <w:t xml:space="preserve"> on</w:t>
      </w:r>
      <w:r w:rsidR="00E706DF">
        <w:t xml:space="preserve"> 18</w:t>
      </w:r>
      <w:r w:rsidR="002875CC">
        <w:t xml:space="preserve"> March 2021</w:t>
      </w:r>
      <w:r w:rsidR="00294DAD">
        <w:t>, as permitted in the CPA</w:t>
      </w:r>
      <w:r w:rsidR="002875CC">
        <w:t xml:space="preserve">.  Having done so, he </w:t>
      </w:r>
      <w:r w:rsidR="000E3353">
        <w:t xml:space="preserve"> determined and </w:t>
      </w:r>
      <w:r w:rsidR="002875CC">
        <w:t>made payment of a penalty in a reasonable amount</w:t>
      </w:r>
      <w:r w:rsidR="00294DAD">
        <w:t xml:space="preserve"> in instalments over </w:t>
      </w:r>
      <w:r w:rsidR="002875CC">
        <w:t xml:space="preserve">a period of nine months from April 2021 to November 2021 </w:t>
      </w:r>
      <w:r w:rsidR="000E3353">
        <w:t xml:space="preserve"> which </w:t>
      </w:r>
      <w:r w:rsidR="002875CC">
        <w:t>payments were accepted</w:t>
      </w:r>
      <w:r w:rsidR="00BE2964">
        <w:t xml:space="preserve"> by the plaintiff</w:t>
      </w:r>
      <w:r w:rsidR="00214EA2">
        <w:t xml:space="preserve">. </w:t>
      </w:r>
      <w:r w:rsidR="00BE2964">
        <w:t xml:space="preserve">Although he requested that </w:t>
      </w:r>
      <w:r w:rsidR="00294DAD">
        <w:t xml:space="preserve">the </w:t>
      </w:r>
      <w:r w:rsidR="002875CC">
        <w:t xml:space="preserve">equipment </w:t>
      </w:r>
      <w:r w:rsidR="00BE2964">
        <w:t xml:space="preserve">be </w:t>
      </w:r>
      <w:r w:rsidR="002875CC">
        <w:t>collected on 1 June 2021</w:t>
      </w:r>
      <w:r w:rsidR="00BE2964">
        <w:t xml:space="preserve">, </w:t>
      </w:r>
      <w:r w:rsidR="00214EA2">
        <w:t xml:space="preserve"> Jacques Visser (“Visser”) </w:t>
      </w:r>
      <w:r w:rsidR="002875CC">
        <w:t xml:space="preserve">collected certain equipment </w:t>
      </w:r>
      <w:r w:rsidR="00BE2964">
        <w:t>but</w:t>
      </w:r>
      <w:r w:rsidR="002875CC">
        <w:t xml:space="preserve"> </w:t>
      </w:r>
      <w:r w:rsidR="00214EA2">
        <w:t xml:space="preserve">not </w:t>
      </w:r>
      <w:r w:rsidR="00294DAD">
        <w:t xml:space="preserve">the </w:t>
      </w:r>
      <w:r w:rsidR="002875CC">
        <w:t>equipment</w:t>
      </w:r>
      <w:r w:rsidR="00294DAD">
        <w:t xml:space="preserve"> forming the subject matter of this action</w:t>
      </w:r>
      <w:r w:rsidR="002875CC">
        <w:t>.</w:t>
      </w:r>
    </w:p>
    <w:p w14:paraId="534B2934" w14:textId="29FBA556" w:rsidR="00294DAD" w:rsidRDefault="006531E0" w:rsidP="006531E0">
      <w:pPr>
        <w:pStyle w:val="Heading1"/>
        <w:numPr>
          <w:ilvl w:val="0"/>
          <w:numId w:val="0"/>
        </w:numPr>
        <w:tabs>
          <w:tab w:val="left" w:pos="862"/>
        </w:tabs>
        <w:ind w:left="862" w:hanging="862"/>
      </w:pPr>
      <w:r>
        <w:t>[19]</w:t>
      </w:r>
      <w:r>
        <w:tab/>
      </w:r>
      <w:r w:rsidR="0003170B">
        <w:t>There is no dispute that the agreements enured for a fixed term of sixty months</w:t>
      </w:r>
      <w:r w:rsidR="00C047CE">
        <w:t xml:space="preserve">, </w:t>
      </w:r>
      <w:r w:rsidR="000E3353">
        <w:t xml:space="preserve"> and </w:t>
      </w:r>
      <w:r w:rsidR="00C047CE">
        <w:t>that the defendant is a person. As</w:t>
      </w:r>
      <w:r w:rsidR="000E3353">
        <w:t xml:space="preserve"> also appears below,</w:t>
      </w:r>
      <w:r w:rsidR="00C047CE">
        <w:t xml:space="preserve"> the CPA applies to the rental agreements.</w:t>
      </w:r>
      <w:r w:rsidR="00BE2964">
        <w:t xml:space="preserve"> </w:t>
      </w:r>
    </w:p>
    <w:p w14:paraId="7100F1E4" w14:textId="2BCE7217" w:rsidR="00294DAD" w:rsidRDefault="006531E0" w:rsidP="006531E0">
      <w:pPr>
        <w:pStyle w:val="Heading1"/>
        <w:numPr>
          <w:ilvl w:val="0"/>
          <w:numId w:val="0"/>
        </w:numPr>
        <w:tabs>
          <w:tab w:val="left" w:pos="862"/>
        </w:tabs>
        <w:ind w:left="862" w:hanging="862"/>
      </w:pPr>
      <w:r>
        <w:t>[20]</w:t>
      </w:r>
      <w:r>
        <w:tab/>
      </w:r>
      <w:r w:rsidR="000E3353">
        <w:t xml:space="preserve">In </w:t>
      </w:r>
      <w:r w:rsidR="0003170B">
        <w:t>an e-mail</w:t>
      </w:r>
      <w:r w:rsidR="000E3353">
        <w:t>, to which a</w:t>
      </w:r>
      <w:r w:rsidR="00BE2964">
        <w:t xml:space="preserve"> letter</w:t>
      </w:r>
      <w:r w:rsidR="000E3353">
        <w:t xml:space="preserve"> was attached,</w:t>
      </w:r>
      <w:r w:rsidR="0003170B">
        <w:t xml:space="preserve"> addressed by the defendant to Assetfin and sent to </w:t>
      </w:r>
      <w:hyperlink r:id="rId9" w:history="1">
        <w:r w:rsidR="0003170B" w:rsidRPr="00BF0B0D">
          <w:rPr>
            <w:rStyle w:val="Hyperlink"/>
          </w:rPr>
          <w:t>jacquesv@oep.co.za</w:t>
        </w:r>
      </w:hyperlink>
      <w:r w:rsidR="0003170B">
        <w:t xml:space="preserve"> and </w:t>
      </w:r>
      <w:hyperlink r:id="rId10" w:history="1">
        <w:r w:rsidR="0003170B" w:rsidRPr="00BF0B0D">
          <w:rPr>
            <w:rStyle w:val="Hyperlink"/>
          </w:rPr>
          <w:t>jacques@cdc-centurion.co.za</w:t>
        </w:r>
      </w:hyperlink>
      <w:r w:rsidR="00BE2964">
        <w:t>,  on</w:t>
      </w:r>
      <w:r w:rsidR="00294DAD">
        <w:t xml:space="preserve"> </w:t>
      </w:r>
      <w:r w:rsidR="0003170B">
        <w:t>18 March 2021</w:t>
      </w:r>
      <w:r w:rsidR="00BE2964">
        <w:t>,</w:t>
      </w:r>
      <w:r w:rsidR="0003170B">
        <w:t xml:space="preserve"> the defendant cancelled the </w:t>
      </w:r>
      <w:r w:rsidR="00BE2964">
        <w:t xml:space="preserve">rental </w:t>
      </w:r>
      <w:r w:rsidR="0003170B">
        <w:t>agreement</w:t>
      </w:r>
      <w:r w:rsidR="005B1838">
        <w:t>s and</w:t>
      </w:r>
      <w:r w:rsidR="0003170B">
        <w:t xml:space="preserve"> referenced as RSA18030340/E.</w:t>
      </w:r>
      <w:r w:rsidR="00C047CE">
        <w:t xml:space="preserve"> This reference is reflected on the Master Rental agreement</w:t>
      </w:r>
      <w:r w:rsidR="005B1838">
        <w:t xml:space="preserve"> schedule for the CCTV camera equipment</w:t>
      </w:r>
      <w:r w:rsidR="00C047CE">
        <w:t>.</w:t>
      </w:r>
      <w:r w:rsidR="00C047CE">
        <w:rPr>
          <w:rStyle w:val="FootnoteReference"/>
        </w:rPr>
        <w:footnoteReference w:id="8"/>
      </w:r>
    </w:p>
    <w:p w14:paraId="4F6AD0C5" w14:textId="4AF4C8F6" w:rsidR="002875CC" w:rsidRDefault="006531E0" w:rsidP="006531E0">
      <w:pPr>
        <w:pStyle w:val="Heading1"/>
        <w:numPr>
          <w:ilvl w:val="0"/>
          <w:numId w:val="0"/>
        </w:numPr>
        <w:tabs>
          <w:tab w:val="left" w:pos="862"/>
        </w:tabs>
        <w:ind w:left="862" w:hanging="862"/>
      </w:pPr>
      <w:r>
        <w:t>[21]</w:t>
      </w:r>
      <w:r>
        <w:tab/>
      </w:r>
      <w:r w:rsidR="00BE2964">
        <w:t>T</w:t>
      </w:r>
      <w:r w:rsidR="0003170B">
        <w:t>he defendant</w:t>
      </w:r>
      <w:r w:rsidR="00BE2964">
        <w:t>,</w:t>
      </w:r>
      <w:r w:rsidR="0003170B">
        <w:t xml:space="preserve"> a</w:t>
      </w:r>
      <w:r w:rsidR="00BE2964">
        <w:t>n</w:t>
      </w:r>
      <w:r w:rsidR="0003170B">
        <w:t xml:space="preserve"> </w:t>
      </w:r>
      <w:r w:rsidR="00BE2964">
        <w:t>attorney</w:t>
      </w:r>
      <w:r w:rsidR="0003170B">
        <w:t xml:space="preserve">, </w:t>
      </w:r>
      <w:r w:rsidR="00294DAD">
        <w:t xml:space="preserve">in the letter, </w:t>
      </w:r>
      <w:r w:rsidR="0003170B">
        <w:t xml:space="preserve">quoted from the Master Rental Agreement which </w:t>
      </w:r>
      <w:r w:rsidR="00BE2964">
        <w:t xml:space="preserve">provides </w:t>
      </w:r>
      <w:r w:rsidR="0003170B">
        <w:t xml:space="preserve">in clause 1 </w:t>
      </w:r>
      <w:r w:rsidR="00BE2964">
        <w:t>that</w:t>
      </w:r>
      <w:r w:rsidR="0003170B">
        <w:t>:</w:t>
      </w:r>
    </w:p>
    <w:p w14:paraId="537C70CA" w14:textId="776A4151" w:rsidR="0003170B" w:rsidRDefault="0003170B" w:rsidP="0003170B">
      <w:pPr>
        <w:rPr>
          <w:i/>
          <w:iCs/>
        </w:rPr>
      </w:pPr>
      <w:r>
        <w:lastRenderedPageBreak/>
        <w:tab/>
      </w:r>
      <w:r>
        <w:tab/>
      </w:r>
      <w:r>
        <w:rPr>
          <w:i/>
          <w:iCs/>
        </w:rPr>
        <w:t>“1.</w:t>
      </w:r>
      <w:r>
        <w:rPr>
          <w:i/>
          <w:iCs/>
        </w:rPr>
        <w:tab/>
      </w:r>
      <w:r w:rsidRPr="00D370CF">
        <w:rPr>
          <w:b/>
          <w:bCs/>
          <w:i/>
          <w:iCs/>
        </w:rPr>
        <w:t xml:space="preserve">Duration of the </w:t>
      </w:r>
      <w:r w:rsidR="00D370CF" w:rsidRPr="00D370CF">
        <w:rPr>
          <w:b/>
          <w:bCs/>
          <w:i/>
          <w:iCs/>
        </w:rPr>
        <w:t>Agreement</w:t>
      </w:r>
    </w:p>
    <w:p w14:paraId="25083DA0" w14:textId="77777777" w:rsidR="00D370CF" w:rsidRDefault="0003170B" w:rsidP="00D370CF">
      <w:pPr>
        <w:ind w:left="3022" w:hanging="3022"/>
        <w:rPr>
          <w:i/>
          <w:iCs/>
        </w:rPr>
      </w:pPr>
      <w:r>
        <w:rPr>
          <w:i/>
          <w:iCs/>
        </w:rPr>
        <w:tab/>
      </w:r>
      <w:r>
        <w:rPr>
          <w:i/>
          <w:iCs/>
        </w:rPr>
        <w:tab/>
      </w:r>
      <w:r>
        <w:rPr>
          <w:i/>
          <w:iCs/>
        </w:rPr>
        <w:tab/>
        <w:t xml:space="preserve">This agreement commences on the </w:t>
      </w:r>
      <w:r w:rsidR="00D370CF">
        <w:rPr>
          <w:i/>
          <w:iCs/>
        </w:rPr>
        <w:t>Commencement Date</w:t>
      </w:r>
      <w:r>
        <w:rPr>
          <w:i/>
          <w:iCs/>
        </w:rPr>
        <w:t xml:space="preserve"> set out in the </w:t>
      </w:r>
      <w:r w:rsidR="00D370CF">
        <w:rPr>
          <w:i/>
          <w:iCs/>
        </w:rPr>
        <w:t xml:space="preserve">Schedule </w:t>
      </w:r>
      <w:r>
        <w:rPr>
          <w:i/>
          <w:iCs/>
        </w:rPr>
        <w:t>and shall continue indefinitely unless 3 (three) calendar months</w:t>
      </w:r>
      <w:r w:rsidR="00D370CF">
        <w:rPr>
          <w:i/>
          <w:iCs/>
        </w:rPr>
        <w:t>’</w:t>
      </w:r>
      <w:r>
        <w:rPr>
          <w:i/>
          <w:iCs/>
        </w:rPr>
        <w:t xml:space="preserve"> (90 days) prior written notice of termination (“</w:t>
      </w:r>
      <w:r w:rsidR="00D370CF">
        <w:rPr>
          <w:i/>
          <w:iCs/>
        </w:rPr>
        <w:t>Notice</w:t>
      </w:r>
      <w:r>
        <w:rPr>
          <w:i/>
          <w:iCs/>
        </w:rPr>
        <w:t xml:space="preserve">”) is given by either party, provided that this </w:t>
      </w:r>
      <w:r w:rsidR="00D370CF">
        <w:rPr>
          <w:i/>
          <w:iCs/>
        </w:rPr>
        <w:t xml:space="preserve">Agreement </w:t>
      </w:r>
      <w:r>
        <w:rPr>
          <w:i/>
          <w:iCs/>
        </w:rPr>
        <w:t xml:space="preserve">shall not, with prejudice to the Hirer’s rights in terms hereof or in law, be terminated by the User before expiry of the initial rental period as set out in the </w:t>
      </w:r>
      <w:r w:rsidR="00D370CF">
        <w:rPr>
          <w:i/>
          <w:iCs/>
        </w:rPr>
        <w:t>Schedule</w:t>
      </w:r>
      <w:r>
        <w:rPr>
          <w:i/>
          <w:iCs/>
        </w:rPr>
        <w:t>.  Should the Hire</w:t>
      </w:r>
      <w:r w:rsidR="00D370CF">
        <w:rPr>
          <w:i/>
          <w:iCs/>
        </w:rPr>
        <w:t>r</w:t>
      </w:r>
      <w:r>
        <w:rPr>
          <w:i/>
          <w:iCs/>
        </w:rPr>
        <w:t xml:space="preserve"> not receive notice before the expiry of the initial period, the </w:t>
      </w:r>
      <w:r w:rsidR="00D370CF">
        <w:rPr>
          <w:i/>
          <w:iCs/>
        </w:rPr>
        <w:t>Agreement</w:t>
      </w:r>
      <w:r>
        <w:rPr>
          <w:i/>
          <w:iCs/>
        </w:rPr>
        <w:t xml:space="preserve">, will automatically renew for a subsequent 12 (twelve) months.  Thereafter the User shall only be entitled to terminate this </w:t>
      </w:r>
      <w:r w:rsidR="00D370CF">
        <w:rPr>
          <w:i/>
          <w:iCs/>
        </w:rPr>
        <w:t xml:space="preserve">Agreement </w:t>
      </w:r>
      <w:r>
        <w:rPr>
          <w:i/>
          <w:iCs/>
        </w:rPr>
        <w:t xml:space="preserve">on an anniversary of the </w:t>
      </w:r>
      <w:r w:rsidR="00D370CF">
        <w:rPr>
          <w:i/>
          <w:iCs/>
        </w:rPr>
        <w:t>Commencement Date</w:t>
      </w:r>
      <w:r>
        <w:rPr>
          <w:i/>
          <w:iCs/>
        </w:rPr>
        <w:t xml:space="preserve">, by giving </w:t>
      </w:r>
      <w:r w:rsidR="00D370CF">
        <w:rPr>
          <w:i/>
          <w:iCs/>
        </w:rPr>
        <w:t>prior written notice to the Hirer.</w:t>
      </w:r>
    </w:p>
    <w:p w14:paraId="77CACD26" w14:textId="77777777" w:rsidR="00D370CF" w:rsidRDefault="00D370CF" w:rsidP="00D370CF">
      <w:pPr>
        <w:ind w:left="3022" w:hanging="3022"/>
        <w:rPr>
          <w:b/>
          <w:bCs/>
          <w:i/>
          <w:iCs/>
        </w:rPr>
      </w:pPr>
      <w:r>
        <w:rPr>
          <w:i/>
          <w:iCs/>
        </w:rPr>
        <w:tab/>
      </w:r>
      <w:r>
        <w:rPr>
          <w:i/>
          <w:iCs/>
        </w:rPr>
        <w:tab/>
        <w:t>19.</w:t>
      </w:r>
      <w:r>
        <w:rPr>
          <w:i/>
          <w:iCs/>
        </w:rPr>
        <w:tab/>
      </w:r>
      <w:r>
        <w:rPr>
          <w:b/>
          <w:bCs/>
          <w:i/>
          <w:iCs/>
        </w:rPr>
        <w:t>Early settlement</w:t>
      </w:r>
    </w:p>
    <w:p w14:paraId="41A2E566" w14:textId="77777777" w:rsidR="00D370CF" w:rsidRDefault="00D370CF" w:rsidP="00D370CF">
      <w:pPr>
        <w:ind w:left="3022" w:hanging="3022"/>
        <w:rPr>
          <w:i/>
          <w:iCs/>
        </w:rPr>
      </w:pPr>
      <w:r>
        <w:rPr>
          <w:b/>
          <w:bCs/>
          <w:i/>
          <w:iCs/>
        </w:rPr>
        <w:tab/>
      </w:r>
      <w:r>
        <w:rPr>
          <w:b/>
          <w:bCs/>
          <w:i/>
          <w:iCs/>
        </w:rPr>
        <w:tab/>
      </w:r>
      <w:r>
        <w:rPr>
          <w:b/>
          <w:bCs/>
          <w:i/>
          <w:iCs/>
        </w:rPr>
        <w:tab/>
      </w:r>
      <w:r>
        <w:rPr>
          <w:i/>
          <w:iCs/>
        </w:rPr>
        <w:t>The User shall not be entitled to terminate this Agreement or any part thereof, prior to the expiry of the Initial Period stipulated in the relevant Schedule without the Hirer’s prior written approval, which if given may be made subject to such settlement amounts which the Hirer may require.”</w:t>
      </w:r>
    </w:p>
    <w:p w14:paraId="7A0DBADE" w14:textId="5FC95CAA" w:rsidR="00D30355" w:rsidRDefault="006531E0" w:rsidP="006531E0">
      <w:pPr>
        <w:pStyle w:val="Heading1"/>
        <w:numPr>
          <w:ilvl w:val="0"/>
          <w:numId w:val="0"/>
        </w:numPr>
        <w:tabs>
          <w:tab w:val="left" w:pos="862"/>
        </w:tabs>
        <w:ind w:left="862" w:hanging="862"/>
      </w:pPr>
      <w:r>
        <w:t>[22]</w:t>
      </w:r>
      <w:r>
        <w:tab/>
      </w:r>
      <w:r w:rsidR="00D370CF">
        <w:t>The defendant then goes on to quote the provision</w:t>
      </w:r>
      <w:r w:rsidR="00956EF1">
        <w:t>s</w:t>
      </w:r>
      <w:r w:rsidR="00D370CF">
        <w:t xml:space="preserve"> of the C</w:t>
      </w:r>
      <w:r w:rsidR="00956EF1">
        <w:t>PA</w:t>
      </w:r>
      <w:r w:rsidR="00BE2964">
        <w:t>, mentioned above,</w:t>
      </w:r>
      <w:r w:rsidR="00D370CF">
        <w:t xml:space="preserve"> and also makes reference to Regulation 5</w:t>
      </w:r>
      <w:r w:rsidR="00BE2964">
        <w:t xml:space="preserve"> to the CPA</w:t>
      </w:r>
      <w:r w:rsidR="00D370CF">
        <w:t xml:space="preserve"> which provides that</w:t>
      </w:r>
      <w:r w:rsidR="00D30355">
        <w:t>:</w:t>
      </w:r>
    </w:p>
    <w:p w14:paraId="6ECE3BAA" w14:textId="77777777" w:rsidR="00D30355" w:rsidRDefault="00D30355" w:rsidP="00D30355">
      <w:pPr>
        <w:pStyle w:val="Heading1"/>
        <w:numPr>
          <w:ilvl w:val="0"/>
          <w:numId w:val="0"/>
        </w:numPr>
        <w:ind w:left="1871" w:hanging="1009"/>
        <w:rPr>
          <w:i/>
          <w:iCs/>
        </w:rPr>
      </w:pPr>
      <w:r>
        <w:tab/>
      </w:r>
      <w:r w:rsidR="00D370CF" w:rsidRPr="00D370CF">
        <w:rPr>
          <w:i/>
          <w:iCs/>
        </w:rPr>
        <w:t>“</w:t>
      </w:r>
      <w:r w:rsidR="00D370CF">
        <w:rPr>
          <w:i/>
          <w:iCs/>
        </w:rPr>
        <w:t xml:space="preserve">The reasonable credit or charge as contemplated in section 14(4)(c) may not exceed a reasonable amount, taking into </w:t>
      </w:r>
      <w:r w:rsidR="00D370CF">
        <w:rPr>
          <w:i/>
          <w:iCs/>
        </w:rPr>
        <w:lastRenderedPageBreak/>
        <w:t>account:</w:t>
      </w:r>
    </w:p>
    <w:p w14:paraId="03C5074A" w14:textId="77777777" w:rsidR="00956EF1" w:rsidRDefault="00D30355" w:rsidP="00956EF1">
      <w:pPr>
        <w:pStyle w:val="Heading1"/>
        <w:numPr>
          <w:ilvl w:val="0"/>
          <w:numId w:val="0"/>
        </w:numPr>
        <w:ind w:left="3022" w:hanging="2160"/>
        <w:rPr>
          <w:i/>
          <w:iCs/>
        </w:rPr>
      </w:pPr>
      <w:r>
        <w:rPr>
          <w:i/>
          <w:iCs/>
        </w:rPr>
        <w:tab/>
      </w:r>
      <w:r w:rsidR="00D370CF">
        <w:rPr>
          <w:i/>
          <w:iCs/>
        </w:rPr>
        <w:t>(a)</w:t>
      </w:r>
      <w:r w:rsidR="00956EF1">
        <w:rPr>
          <w:i/>
          <w:iCs/>
        </w:rPr>
        <w:tab/>
      </w:r>
      <w:r w:rsidR="00D370CF">
        <w:rPr>
          <w:i/>
          <w:iCs/>
        </w:rPr>
        <w:t xml:space="preserve">the amount which the consumer is still liable for to the supplier up to the date of cancellation;  </w:t>
      </w:r>
    </w:p>
    <w:p w14:paraId="467055D3" w14:textId="77777777" w:rsidR="00956EF1" w:rsidRDefault="00956EF1" w:rsidP="00956EF1">
      <w:pPr>
        <w:pStyle w:val="Heading1"/>
        <w:numPr>
          <w:ilvl w:val="0"/>
          <w:numId w:val="0"/>
        </w:numPr>
        <w:ind w:left="3022" w:hanging="2160"/>
        <w:rPr>
          <w:i/>
          <w:iCs/>
        </w:rPr>
      </w:pPr>
      <w:r>
        <w:rPr>
          <w:i/>
          <w:iCs/>
        </w:rPr>
        <w:tab/>
      </w:r>
      <w:r w:rsidR="00D370CF">
        <w:rPr>
          <w:i/>
          <w:iCs/>
        </w:rPr>
        <w:t xml:space="preserve">(b) </w:t>
      </w:r>
      <w:r>
        <w:rPr>
          <w:i/>
          <w:iCs/>
        </w:rPr>
        <w:tab/>
      </w:r>
      <w:r w:rsidR="00D370CF">
        <w:rPr>
          <w:i/>
          <w:iCs/>
        </w:rPr>
        <w:t xml:space="preserve">the value of the transaction up to cancellation;  </w:t>
      </w:r>
    </w:p>
    <w:p w14:paraId="55F1953C" w14:textId="77777777" w:rsidR="00956EF1" w:rsidRDefault="00956EF1" w:rsidP="00956EF1">
      <w:pPr>
        <w:pStyle w:val="Heading1"/>
        <w:numPr>
          <w:ilvl w:val="0"/>
          <w:numId w:val="0"/>
        </w:numPr>
        <w:ind w:left="3022" w:hanging="2160"/>
        <w:rPr>
          <w:i/>
          <w:iCs/>
        </w:rPr>
      </w:pPr>
      <w:r>
        <w:rPr>
          <w:i/>
          <w:iCs/>
        </w:rPr>
        <w:tab/>
      </w:r>
      <w:r w:rsidR="00D370CF">
        <w:rPr>
          <w:i/>
          <w:iCs/>
        </w:rPr>
        <w:t xml:space="preserve">(c) </w:t>
      </w:r>
      <w:r>
        <w:rPr>
          <w:i/>
          <w:iCs/>
        </w:rPr>
        <w:tab/>
      </w:r>
      <w:r w:rsidR="00D370CF">
        <w:rPr>
          <w:i/>
          <w:iCs/>
        </w:rPr>
        <w:t xml:space="preserve">the value of the goods which will remain in the possession of the consumer after calculation;  </w:t>
      </w:r>
    </w:p>
    <w:p w14:paraId="13A1FA16" w14:textId="77777777" w:rsidR="00956EF1" w:rsidRDefault="00956EF1" w:rsidP="00956EF1">
      <w:pPr>
        <w:pStyle w:val="Heading1"/>
        <w:numPr>
          <w:ilvl w:val="0"/>
          <w:numId w:val="0"/>
        </w:numPr>
        <w:ind w:left="3022" w:hanging="2160"/>
        <w:rPr>
          <w:i/>
          <w:iCs/>
        </w:rPr>
      </w:pPr>
      <w:r>
        <w:rPr>
          <w:i/>
          <w:iCs/>
        </w:rPr>
        <w:tab/>
      </w:r>
      <w:r w:rsidR="00D370CF">
        <w:rPr>
          <w:i/>
          <w:iCs/>
        </w:rPr>
        <w:t xml:space="preserve">(d) </w:t>
      </w:r>
      <w:r>
        <w:rPr>
          <w:i/>
          <w:iCs/>
        </w:rPr>
        <w:tab/>
      </w:r>
      <w:r w:rsidR="00D370CF">
        <w:rPr>
          <w:i/>
          <w:iCs/>
        </w:rPr>
        <w:t xml:space="preserve">the value of the goods that are returned to the supplier;  </w:t>
      </w:r>
    </w:p>
    <w:p w14:paraId="612897E2" w14:textId="77777777" w:rsidR="00956EF1" w:rsidRDefault="00956EF1" w:rsidP="00956EF1">
      <w:pPr>
        <w:pStyle w:val="Heading1"/>
        <w:numPr>
          <w:ilvl w:val="0"/>
          <w:numId w:val="0"/>
        </w:numPr>
        <w:ind w:left="3022" w:hanging="2160"/>
        <w:rPr>
          <w:i/>
          <w:iCs/>
        </w:rPr>
      </w:pPr>
      <w:r>
        <w:rPr>
          <w:i/>
          <w:iCs/>
        </w:rPr>
        <w:tab/>
      </w:r>
      <w:r w:rsidR="00D370CF">
        <w:rPr>
          <w:i/>
          <w:iCs/>
        </w:rPr>
        <w:t xml:space="preserve">(e) </w:t>
      </w:r>
      <w:r>
        <w:rPr>
          <w:i/>
          <w:iCs/>
        </w:rPr>
        <w:tab/>
      </w:r>
      <w:r w:rsidR="00D370CF">
        <w:rPr>
          <w:i/>
          <w:iCs/>
        </w:rPr>
        <w:t xml:space="preserve">the duration of the consumer agreement as initially agreed;  </w:t>
      </w:r>
    </w:p>
    <w:p w14:paraId="14BBCDD9" w14:textId="77777777" w:rsidR="00956EF1" w:rsidRDefault="00956EF1" w:rsidP="00956EF1">
      <w:pPr>
        <w:pStyle w:val="Heading1"/>
        <w:numPr>
          <w:ilvl w:val="0"/>
          <w:numId w:val="0"/>
        </w:numPr>
        <w:ind w:left="3022" w:hanging="2160"/>
        <w:rPr>
          <w:i/>
          <w:iCs/>
        </w:rPr>
      </w:pPr>
      <w:r>
        <w:rPr>
          <w:i/>
          <w:iCs/>
        </w:rPr>
        <w:tab/>
      </w:r>
      <w:r w:rsidR="00D370CF">
        <w:rPr>
          <w:i/>
          <w:iCs/>
        </w:rPr>
        <w:t xml:space="preserve">(f) </w:t>
      </w:r>
      <w:r>
        <w:rPr>
          <w:i/>
          <w:iCs/>
        </w:rPr>
        <w:tab/>
      </w:r>
      <w:r w:rsidR="00D370CF">
        <w:rPr>
          <w:i/>
          <w:iCs/>
        </w:rPr>
        <w:t>losses suffered or benefits accrued by consumer</w:t>
      </w:r>
      <w:r w:rsidR="00D30355">
        <w:rPr>
          <w:i/>
          <w:iCs/>
        </w:rPr>
        <w:t xml:space="preserve"> (sic) as a result of the consumer entering into the consumer agreement;  </w:t>
      </w:r>
    </w:p>
    <w:p w14:paraId="4DEED5E0" w14:textId="045C0EA3" w:rsidR="00956EF1" w:rsidRDefault="00956EF1" w:rsidP="00956EF1">
      <w:pPr>
        <w:pStyle w:val="Heading1"/>
        <w:numPr>
          <w:ilvl w:val="0"/>
          <w:numId w:val="0"/>
        </w:numPr>
        <w:ind w:left="3022" w:hanging="3022"/>
        <w:rPr>
          <w:i/>
          <w:iCs/>
        </w:rPr>
      </w:pPr>
      <w:r>
        <w:rPr>
          <w:i/>
          <w:iCs/>
        </w:rPr>
        <w:tab/>
      </w:r>
      <w:r w:rsidR="00D30355">
        <w:rPr>
          <w:i/>
          <w:iCs/>
        </w:rPr>
        <w:t xml:space="preserve">(g) </w:t>
      </w:r>
      <w:r>
        <w:rPr>
          <w:i/>
          <w:iCs/>
        </w:rPr>
        <w:tab/>
      </w:r>
      <w:r w:rsidR="00D30355">
        <w:rPr>
          <w:i/>
          <w:iCs/>
        </w:rPr>
        <w:t>the</w:t>
      </w:r>
      <w:r>
        <w:rPr>
          <w:i/>
          <w:iCs/>
        </w:rPr>
        <w:t xml:space="preserve"> </w:t>
      </w:r>
      <w:r w:rsidRPr="00956EF1">
        <w:rPr>
          <w:i/>
          <w:iCs/>
        </w:rPr>
        <w:t>nature of the goods or services that were reserved or booked;</w:t>
      </w:r>
    </w:p>
    <w:p w14:paraId="5E8FD13C" w14:textId="5FC017E3" w:rsidR="00956EF1" w:rsidRDefault="00956EF1" w:rsidP="00956EF1">
      <w:pPr>
        <w:pStyle w:val="Heading1"/>
        <w:numPr>
          <w:ilvl w:val="0"/>
          <w:numId w:val="0"/>
        </w:numPr>
        <w:ind w:left="3022" w:hanging="3022"/>
        <w:rPr>
          <w:i/>
          <w:iCs/>
        </w:rPr>
      </w:pPr>
      <w:r>
        <w:rPr>
          <w:i/>
          <w:iCs/>
        </w:rPr>
        <w:tab/>
      </w:r>
      <w:r w:rsidRPr="00956EF1">
        <w:rPr>
          <w:i/>
          <w:iCs/>
        </w:rPr>
        <w:t xml:space="preserve">(h) </w:t>
      </w:r>
      <w:r>
        <w:rPr>
          <w:i/>
          <w:iCs/>
        </w:rPr>
        <w:tab/>
      </w:r>
      <w:r w:rsidRPr="00956EF1">
        <w:rPr>
          <w:i/>
          <w:iCs/>
        </w:rPr>
        <w:t>the length of notice of cancellation provided by the consumer;</w:t>
      </w:r>
    </w:p>
    <w:p w14:paraId="48D52E42" w14:textId="7E92981A" w:rsidR="00956EF1" w:rsidRDefault="00956EF1" w:rsidP="00956EF1">
      <w:pPr>
        <w:pStyle w:val="Heading1"/>
        <w:numPr>
          <w:ilvl w:val="0"/>
          <w:numId w:val="0"/>
        </w:numPr>
        <w:ind w:left="3022" w:hanging="3022"/>
        <w:rPr>
          <w:i/>
          <w:iCs/>
        </w:rPr>
      </w:pPr>
      <w:r>
        <w:rPr>
          <w:i/>
          <w:iCs/>
        </w:rPr>
        <w:tab/>
        <w:t>(i)</w:t>
      </w:r>
      <w:r>
        <w:rPr>
          <w:i/>
          <w:iCs/>
        </w:rPr>
        <w:tab/>
      </w:r>
      <w:r w:rsidRPr="00956EF1">
        <w:rPr>
          <w:i/>
          <w:iCs/>
        </w:rPr>
        <w:t>the reasonable potential for the service provider, acting diligently, to find an</w:t>
      </w:r>
      <w:r>
        <w:rPr>
          <w:i/>
          <w:iCs/>
        </w:rPr>
        <w:t xml:space="preserve"> </w:t>
      </w:r>
      <w:r w:rsidRPr="00956EF1">
        <w:rPr>
          <w:i/>
          <w:iCs/>
        </w:rPr>
        <w:t>alternative consumer between the time of receiving the cancellation notice and</w:t>
      </w:r>
      <w:r>
        <w:rPr>
          <w:i/>
          <w:iCs/>
        </w:rPr>
        <w:t xml:space="preserve"> </w:t>
      </w:r>
      <w:r w:rsidRPr="00956EF1">
        <w:rPr>
          <w:i/>
          <w:iCs/>
        </w:rPr>
        <w:t>the time of the cancelled reservation; and</w:t>
      </w:r>
    </w:p>
    <w:p w14:paraId="387EE121" w14:textId="481F366C" w:rsidR="0003170B" w:rsidRDefault="00956EF1" w:rsidP="00956EF1">
      <w:pPr>
        <w:pStyle w:val="Heading1"/>
        <w:numPr>
          <w:ilvl w:val="0"/>
          <w:numId w:val="0"/>
        </w:numPr>
        <w:ind w:left="3022" w:hanging="3022"/>
        <w:rPr>
          <w:i/>
          <w:iCs/>
        </w:rPr>
      </w:pPr>
      <w:r>
        <w:rPr>
          <w:i/>
          <w:iCs/>
        </w:rPr>
        <w:tab/>
        <w:t>(j)</w:t>
      </w:r>
      <w:r>
        <w:rPr>
          <w:i/>
          <w:iCs/>
        </w:rPr>
        <w:tab/>
      </w:r>
      <w:r w:rsidRPr="00956EF1">
        <w:rPr>
          <w:i/>
          <w:iCs/>
        </w:rPr>
        <w:t>the general practice of the relevant industry.</w:t>
      </w:r>
      <w:r>
        <w:rPr>
          <w:i/>
          <w:iCs/>
        </w:rPr>
        <w:t>”</w:t>
      </w:r>
    </w:p>
    <w:p w14:paraId="3BC3F962" w14:textId="0E229561" w:rsidR="00956EF1" w:rsidRDefault="006531E0" w:rsidP="006531E0">
      <w:pPr>
        <w:pStyle w:val="Heading1"/>
        <w:numPr>
          <w:ilvl w:val="0"/>
          <w:numId w:val="0"/>
        </w:numPr>
        <w:tabs>
          <w:tab w:val="left" w:pos="862"/>
        </w:tabs>
        <w:ind w:left="862" w:hanging="862"/>
      </w:pPr>
      <w:r>
        <w:lastRenderedPageBreak/>
        <w:t>[23]</w:t>
      </w:r>
      <w:r>
        <w:tab/>
      </w:r>
      <w:r w:rsidR="00BE2964">
        <w:t>T</w:t>
      </w:r>
      <w:r w:rsidR="00956EF1">
        <w:t xml:space="preserve">he </w:t>
      </w:r>
      <w:r w:rsidR="00BE2964">
        <w:t xml:space="preserve"> defendant also </w:t>
      </w:r>
      <w:r w:rsidR="00956EF1">
        <w:t>quote</w:t>
      </w:r>
      <w:r w:rsidR="00BE2964">
        <w:t>s</w:t>
      </w:r>
      <w:r w:rsidR="00956EF1">
        <w:t xml:space="preserve"> Regulation 5(1) of the CPA which provides that the maximum period for a fixed term consumer agreement is 24 months from the date of signature by the consumer </w:t>
      </w:r>
      <w:r w:rsidR="004D5318">
        <w:t>unless:</w:t>
      </w:r>
    </w:p>
    <w:p w14:paraId="563A700C" w14:textId="31AB27CC" w:rsidR="004D5318" w:rsidRDefault="006531E0" w:rsidP="006531E0">
      <w:pPr>
        <w:pStyle w:val="Heading2"/>
        <w:numPr>
          <w:ilvl w:val="0"/>
          <w:numId w:val="0"/>
        </w:numPr>
        <w:tabs>
          <w:tab w:val="left" w:pos="1871"/>
        </w:tabs>
        <w:ind w:left="1871" w:hanging="1009"/>
      </w:pPr>
      <w:r>
        <w:t>[23.1]</w:t>
      </w:r>
      <w:r>
        <w:tab/>
      </w:r>
      <w:r w:rsidR="004D5318">
        <w:t>such longer period is expressly agreed with the consumer and the supplier can show a demonstrable financial benefit to the consumer;</w:t>
      </w:r>
    </w:p>
    <w:p w14:paraId="457958B7" w14:textId="588CEE9F" w:rsidR="004D5318" w:rsidRDefault="006531E0" w:rsidP="006531E0">
      <w:pPr>
        <w:pStyle w:val="Heading2"/>
        <w:numPr>
          <w:ilvl w:val="0"/>
          <w:numId w:val="0"/>
        </w:numPr>
        <w:tabs>
          <w:tab w:val="left" w:pos="1871"/>
        </w:tabs>
        <w:ind w:left="1871" w:hanging="1009"/>
      </w:pPr>
      <w:r>
        <w:t>[23.2]</w:t>
      </w:r>
      <w:r>
        <w:tab/>
      </w:r>
      <w:r w:rsidR="004D5318">
        <w:t>differently provided for by Regulation in respect of a specific type of agreement, type of consumer, sector or industry;  and</w:t>
      </w:r>
    </w:p>
    <w:p w14:paraId="67D351E3" w14:textId="6D00F391" w:rsidR="004D5318" w:rsidRDefault="006531E0" w:rsidP="006531E0">
      <w:pPr>
        <w:pStyle w:val="Heading2"/>
        <w:numPr>
          <w:ilvl w:val="0"/>
          <w:numId w:val="0"/>
        </w:numPr>
        <w:tabs>
          <w:tab w:val="left" w:pos="1871"/>
        </w:tabs>
        <w:ind w:left="1871" w:hanging="1009"/>
      </w:pPr>
      <w:r>
        <w:t>[23.3]</w:t>
      </w:r>
      <w:r>
        <w:tab/>
      </w:r>
      <w:r w:rsidR="004D5318">
        <w:t>provided for in an industry code contemplated in section 82 of the Act in respect of specific type of agreement, type of consumer, sector or industry.</w:t>
      </w:r>
    </w:p>
    <w:p w14:paraId="2ABEDBF6" w14:textId="12EEC4CF" w:rsidR="00294DAD" w:rsidRDefault="006531E0" w:rsidP="006531E0">
      <w:pPr>
        <w:pStyle w:val="Heading1"/>
        <w:numPr>
          <w:ilvl w:val="0"/>
          <w:numId w:val="0"/>
        </w:numPr>
        <w:tabs>
          <w:tab w:val="left" w:pos="862"/>
        </w:tabs>
        <w:ind w:left="862" w:hanging="862"/>
      </w:pPr>
      <w:r>
        <w:t>[24]</w:t>
      </w:r>
      <w:r>
        <w:tab/>
      </w:r>
      <w:r w:rsidR="00BB5C60">
        <w:t>The contention then is that the cancellation settlement amount has been calculated on the full outstanding term of the agreement which would continue until April 2023</w:t>
      </w:r>
      <w:r w:rsidR="00DF1EC0">
        <w:t>.  Because</w:t>
      </w:r>
      <w:r w:rsidR="00C047CE">
        <w:t xml:space="preserve"> </w:t>
      </w:r>
      <w:r w:rsidR="00DF1EC0">
        <w:t xml:space="preserve">the agreement falls within the </w:t>
      </w:r>
      <w:r w:rsidR="00294DAD">
        <w:t>provisions</w:t>
      </w:r>
      <w:r w:rsidR="00DF1EC0">
        <w:t xml:space="preserve"> of the CPA, section 14 allows for the imposition of a penalty in a reasonable amount taking into account the factors mentioned above.</w:t>
      </w:r>
    </w:p>
    <w:p w14:paraId="0842588F" w14:textId="77124505" w:rsidR="00294DAD" w:rsidRDefault="006531E0" w:rsidP="006531E0">
      <w:pPr>
        <w:pStyle w:val="Heading1"/>
        <w:numPr>
          <w:ilvl w:val="0"/>
          <w:numId w:val="0"/>
        </w:numPr>
        <w:tabs>
          <w:tab w:val="left" w:pos="862"/>
        </w:tabs>
        <w:ind w:left="862" w:hanging="862"/>
      </w:pPr>
      <w:r>
        <w:t>[25]</w:t>
      </w:r>
      <w:r>
        <w:tab/>
      </w:r>
      <w:r w:rsidR="00DF1EC0">
        <w:t xml:space="preserve">The defendant </w:t>
      </w:r>
      <w:r w:rsidR="00BE2964">
        <w:t>proceeds to</w:t>
      </w:r>
      <w:r w:rsidR="00DF1EC0">
        <w:t xml:space="preserve"> tender what he contends is a reasonable penalty taking into account that two years remain on the agreement </w:t>
      </w:r>
      <w:r w:rsidR="00BE2964">
        <w:t xml:space="preserve"> and </w:t>
      </w:r>
      <w:r w:rsidR="00DF1EC0">
        <w:t xml:space="preserve">which he </w:t>
      </w:r>
      <w:r w:rsidR="00C047CE">
        <w:t>determines</w:t>
      </w:r>
      <w:r w:rsidR="00BE2964">
        <w:t xml:space="preserve"> is a </w:t>
      </w:r>
      <w:r w:rsidR="00DF1EC0">
        <w:t xml:space="preserve"> period of nine months.  He </w:t>
      </w:r>
      <w:r w:rsidR="00BE2964">
        <w:t xml:space="preserve"> requests </w:t>
      </w:r>
      <w:r w:rsidR="00DF1EC0">
        <w:t xml:space="preserve">Assetfin to provide </w:t>
      </w:r>
      <w:r w:rsidR="00BE2964">
        <w:t>a</w:t>
      </w:r>
      <w:r w:rsidR="00DF1EC0">
        <w:t xml:space="preserve"> reasonable penalty settlement amount in the</w:t>
      </w:r>
      <w:r w:rsidR="00757035">
        <w:t xml:space="preserve"> face of the cancellation,</w:t>
      </w:r>
      <w:r w:rsidR="00DF1EC0">
        <w:t xml:space="preserve"> and notifies Assetfin that as </w:t>
      </w:r>
      <w:r w:rsidR="00294DAD">
        <w:t>his</w:t>
      </w:r>
      <w:r w:rsidR="00DF1EC0">
        <w:t xml:space="preserve"> law firm is relocating on 30 March 2021, the equipment will have to be removed prior to that date.  The defendant annexed an e-mail exchange</w:t>
      </w:r>
      <w:r w:rsidR="00757035" w:rsidRPr="00757035">
        <w:t xml:space="preserve"> </w:t>
      </w:r>
      <w:r w:rsidR="00757035">
        <w:t>to his plea</w:t>
      </w:r>
      <w:r w:rsidR="00757035">
        <w:rPr>
          <w:rStyle w:val="FootnoteReference"/>
        </w:rPr>
        <w:footnoteReference w:id="9"/>
      </w:r>
      <w:r w:rsidR="00DF1EC0">
        <w:t xml:space="preserve"> and a more comprehensive e-mail exchange to his opposing affidavit in the summary </w:t>
      </w:r>
      <w:r w:rsidR="00DF1EC0">
        <w:lastRenderedPageBreak/>
        <w:t>judgment proceedings</w:t>
      </w:r>
      <w:r w:rsidR="00C047CE">
        <w:t xml:space="preserve"> in support of his contentions</w:t>
      </w:r>
      <w:r w:rsidR="00CC01D7">
        <w:t>.</w:t>
      </w:r>
      <w:r w:rsidR="00DF1EC0">
        <w:rPr>
          <w:rStyle w:val="FootnoteReference"/>
        </w:rPr>
        <w:footnoteReference w:id="10"/>
      </w:r>
    </w:p>
    <w:p w14:paraId="6DB22B54" w14:textId="452D5492" w:rsidR="00C047CE" w:rsidRDefault="006531E0" w:rsidP="006531E0">
      <w:pPr>
        <w:pStyle w:val="Heading1"/>
        <w:numPr>
          <w:ilvl w:val="0"/>
          <w:numId w:val="0"/>
        </w:numPr>
        <w:tabs>
          <w:tab w:val="left" w:pos="862"/>
        </w:tabs>
        <w:ind w:left="862" w:hanging="862"/>
      </w:pPr>
      <w:r>
        <w:t>[26]</w:t>
      </w:r>
      <w:r>
        <w:tab/>
      </w:r>
      <w:r w:rsidR="00C047CE">
        <w:t>Subsequent the cancellation letter, e-mails are exchanged between Visser and the defendant on 24 March 2021 and 25 March 2021 respectively as the defendant seeks feedback on the cancellation and penalty. Visser states that his Legal Division has to revert.</w:t>
      </w:r>
    </w:p>
    <w:p w14:paraId="6735236F" w14:textId="7384B554" w:rsidR="00C047CE" w:rsidRDefault="006531E0" w:rsidP="006531E0">
      <w:pPr>
        <w:pStyle w:val="Heading1"/>
        <w:numPr>
          <w:ilvl w:val="0"/>
          <w:numId w:val="0"/>
        </w:numPr>
        <w:tabs>
          <w:tab w:val="left" w:pos="862"/>
        </w:tabs>
        <w:ind w:left="862" w:hanging="862"/>
      </w:pPr>
      <w:r>
        <w:t>[27]</w:t>
      </w:r>
      <w:r>
        <w:tab/>
      </w:r>
      <w:r w:rsidR="00C047CE">
        <w:t>On 26 March 2021 at 3:06 pm, Brandon Chetty who is described in the  email as the Assetfin Aftercare Manager, copies in Visser to his email and says that he will revert.  This is after a further e-mail is sent by the defendant on 26 March 2021 at 14:59 to Visser confirming that his offices are moving the following Tuesday and the equipment is remaining behind.</w:t>
      </w:r>
    </w:p>
    <w:p w14:paraId="43EDA24E" w14:textId="77BEF332" w:rsidR="00757035" w:rsidRDefault="006531E0" w:rsidP="006531E0">
      <w:pPr>
        <w:pStyle w:val="Heading1"/>
        <w:numPr>
          <w:ilvl w:val="0"/>
          <w:numId w:val="0"/>
        </w:numPr>
        <w:tabs>
          <w:tab w:val="left" w:pos="862"/>
        </w:tabs>
        <w:ind w:left="862" w:hanging="862"/>
      </w:pPr>
      <w:r>
        <w:t>[28]</w:t>
      </w:r>
      <w:r>
        <w:tab/>
      </w:r>
      <w:r w:rsidR="00CC01D7">
        <w:t>In an e-mail</w:t>
      </w:r>
      <w:r w:rsidR="00294DAD">
        <w:t>,</w:t>
      </w:r>
      <w:r w:rsidR="00CC01D7">
        <w:t xml:space="preserve"> dated 29 March 2021</w:t>
      </w:r>
      <w:r w:rsidR="00757035">
        <w:t>,</w:t>
      </w:r>
      <w:r w:rsidR="00CC01D7">
        <w:t xml:space="preserve"> at 12:32</w:t>
      </w:r>
      <w:r w:rsidR="00757035">
        <w:t xml:space="preserve">, to </w:t>
      </w:r>
      <w:r w:rsidR="00294DAD">
        <w:t>Visser</w:t>
      </w:r>
      <w:r w:rsidR="00CC01D7">
        <w:t xml:space="preserve"> the defendant re</w:t>
      </w:r>
      <w:r w:rsidR="00757035">
        <w:t>cords</w:t>
      </w:r>
      <w:r w:rsidR="00CC01D7">
        <w:t xml:space="preserve"> that he is moving offices the</w:t>
      </w:r>
      <w:r w:rsidR="00757035">
        <w:t xml:space="preserve"> next</w:t>
      </w:r>
      <w:r w:rsidR="00CC01D7">
        <w:t xml:space="preserve"> day, </w:t>
      </w:r>
      <w:r w:rsidR="00757035">
        <w:t xml:space="preserve">and despite </w:t>
      </w:r>
      <w:r w:rsidR="00CC01D7">
        <w:t>th</w:t>
      </w:r>
      <w:r w:rsidR="00757035">
        <w:t>e</w:t>
      </w:r>
      <w:r w:rsidR="00CC01D7">
        <w:t xml:space="preserve"> agreements</w:t>
      </w:r>
      <w:r w:rsidR="00294DAD">
        <w:t xml:space="preserve"> having been cancelled by him,</w:t>
      </w:r>
      <w:r w:rsidR="00CC01D7">
        <w:t xml:space="preserve"> there is no feedback in relation to </w:t>
      </w:r>
      <w:r w:rsidR="00757035">
        <w:t>his</w:t>
      </w:r>
      <w:r w:rsidR="00CC01D7">
        <w:t xml:space="preserve"> penalty tender.  He confirms that he has no further use for the equipment because the telephone system is incompatible with the fibre lines at </w:t>
      </w:r>
      <w:r w:rsidR="00757035">
        <w:t>his</w:t>
      </w:r>
      <w:r w:rsidR="00CC01D7">
        <w:t xml:space="preserve"> new premises and the camera system is not needed.  He </w:t>
      </w:r>
      <w:r w:rsidR="00294DAD">
        <w:t xml:space="preserve">records </w:t>
      </w:r>
      <w:r w:rsidR="00CC01D7">
        <w:t>that he will not be liable for any damages in the event that the equipment is not collected</w:t>
      </w:r>
      <w:r w:rsidR="00757035">
        <w:t xml:space="preserve"> </w:t>
      </w:r>
      <w:r w:rsidR="00294DAD">
        <w:t xml:space="preserve">and </w:t>
      </w:r>
      <w:r w:rsidR="00CC01D7">
        <w:t>should it be stolen.</w:t>
      </w:r>
    </w:p>
    <w:p w14:paraId="33134646" w14:textId="27FEDF08" w:rsidR="00294DAD" w:rsidRDefault="006531E0" w:rsidP="006531E0">
      <w:pPr>
        <w:pStyle w:val="Heading1"/>
        <w:numPr>
          <w:ilvl w:val="0"/>
          <w:numId w:val="0"/>
        </w:numPr>
        <w:tabs>
          <w:tab w:val="left" w:pos="862"/>
        </w:tabs>
        <w:ind w:left="862" w:hanging="862"/>
      </w:pPr>
      <w:r>
        <w:t>[29]</w:t>
      </w:r>
      <w:r>
        <w:tab/>
      </w:r>
      <w:r w:rsidR="006D0A5C">
        <w:t>Again</w:t>
      </w:r>
      <w:r w:rsidR="00A50596">
        <w:t>,</w:t>
      </w:r>
      <w:r w:rsidR="006D0A5C">
        <w:t xml:space="preserve"> on 29</w:t>
      </w:r>
      <w:r w:rsidR="00A50596">
        <w:rPr>
          <w:vertAlign w:val="superscript"/>
        </w:rPr>
        <w:t xml:space="preserve"> </w:t>
      </w:r>
      <w:r w:rsidR="006D0A5C">
        <w:t>March 2021</w:t>
      </w:r>
      <w:r w:rsidR="00A50596">
        <w:t>,</w:t>
      </w:r>
      <w:r w:rsidR="006D0A5C">
        <w:t xml:space="preserve"> Visser sen</w:t>
      </w:r>
      <w:r w:rsidR="00A50596">
        <w:t>ds</w:t>
      </w:r>
      <w:r w:rsidR="006D0A5C">
        <w:t xml:space="preserve"> a f</w:t>
      </w:r>
      <w:r w:rsidR="00294DAD">
        <w:t>ollow - up</w:t>
      </w:r>
      <w:r w:rsidR="006D0A5C">
        <w:t xml:space="preserve"> e-mail to Chetty enclosing the e-mails from the defendant and requesting feedback from the Legal Department.</w:t>
      </w:r>
    </w:p>
    <w:p w14:paraId="302DB051" w14:textId="3D4F5865" w:rsidR="002B4AE3" w:rsidRDefault="006531E0" w:rsidP="006531E0">
      <w:pPr>
        <w:pStyle w:val="Heading1"/>
        <w:numPr>
          <w:ilvl w:val="0"/>
          <w:numId w:val="0"/>
        </w:numPr>
        <w:tabs>
          <w:tab w:val="left" w:pos="862"/>
        </w:tabs>
        <w:ind w:left="862" w:hanging="862"/>
      </w:pPr>
      <w:r>
        <w:t>[30]</w:t>
      </w:r>
      <w:r>
        <w:tab/>
      </w:r>
      <w:r w:rsidR="006D0A5C">
        <w:t>On  8 April 2021</w:t>
      </w:r>
      <w:r w:rsidR="00A50596">
        <w:t>,</w:t>
      </w:r>
      <w:r w:rsidR="006D0A5C">
        <w:t xml:space="preserve"> Visser</w:t>
      </w:r>
      <w:r w:rsidR="00A50596">
        <w:t>,</w:t>
      </w:r>
      <w:r w:rsidR="006D0A5C">
        <w:t xml:space="preserve"> in an e-mail in which he is described as a Branch Director Centurion</w:t>
      </w:r>
      <w:r w:rsidR="00A50596">
        <w:t>,</w:t>
      </w:r>
      <w:r w:rsidR="006D0A5C">
        <w:t xml:space="preserve"> enquires as to whether or not the defendant has </w:t>
      </w:r>
      <w:r w:rsidR="00A50596">
        <w:t>relocated</w:t>
      </w:r>
      <w:r w:rsidR="006D0A5C">
        <w:t xml:space="preserve"> and asks for the new address in order to upload it on the system </w:t>
      </w:r>
      <w:r w:rsidR="00294DAD">
        <w:t xml:space="preserve">so </w:t>
      </w:r>
      <w:r w:rsidR="006D0A5C">
        <w:t>that certain toners</w:t>
      </w:r>
      <w:r w:rsidR="00A50596">
        <w:t>,</w:t>
      </w:r>
      <w:r w:rsidR="006D0A5C">
        <w:t xml:space="preserve"> no doubt for photostating machines or printers</w:t>
      </w:r>
      <w:r w:rsidR="00A50596">
        <w:t>,</w:t>
      </w:r>
      <w:r w:rsidR="006D0A5C">
        <w:t xml:space="preserve"> will be sent to the correct address. </w:t>
      </w:r>
      <w:r w:rsidR="00A50596">
        <w:t xml:space="preserve">The respondent’s counsel submitted that </w:t>
      </w:r>
      <w:r w:rsidR="00A50596">
        <w:lastRenderedPageBreak/>
        <w:t>it was not only the equipment in this action but other equipment that was leased too.</w:t>
      </w:r>
      <w:r w:rsidR="006D0A5C">
        <w:t xml:space="preserve"> </w:t>
      </w:r>
      <w:r w:rsidR="002B4AE3">
        <w:t>Visser’s</w:t>
      </w:r>
      <w:r w:rsidR="006D0A5C">
        <w:t xml:space="preserve"> name</w:t>
      </w:r>
      <w:r w:rsidR="002B4AE3">
        <w:t xml:space="preserve"> in the signature section of the letter</w:t>
      </w:r>
      <w:r w:rsidR="006D0A5C">
        <w:t xml:space="preserve"> appears above an entity known as Daisy Business Solutions.  </w:t>
      </w:r>
      <w:r w:rsidR="002B4AE3">
        <w:t>At the foot of t</w:t>
      </w:r>
      <w:r w:rsidR="006D0A5C">
        <w:t>he e-</w:t>
      </w:r>
      <w:r w:rsidR="000F58E2">
        <w:t>mail</w:t>
      </w:r>
      <w:r w:rsidR="006D0A5C">
        <w:t xml:space="preserve"> are logos referring to Assetfin, Smart Office Connection and Canon and also two different telephone numbers relating to Assetfin accounts and Sox accounts.</w:t>
      </w:r>
    </w:p>
    <w:p w14:paraId="47C6FEF5" w14:textId="02882DBD" w:rsidR="00A50596" w:rsidRDefault="006531E0" w:rsidP="006531E0">
      <w:pPr>
        <w:pStyle w:val="Heading1"/>
        <w:numPr>
          <w:ilvl w:val="0"/>
          <w:numId w:val="0"/>
        </w:numPr>
        <w:tabs>
          <w:tab w:val="left" w:pos="862"/>
        </w:tabs>
        <w:ind w:left="862" w:hanging="862"/>
      </w:pPr>
      <w:r>
        <w:t>[31]</w:t>
      </w:r>
      <w:r>
        <w:tab/>
      </w:r>
      <w:r w:rsidR="006D0A5C">
        <w:t xml:space="preserve"> Visser sends a</w:t>
      </w:r>
      <w:r w:rsidR="002B4AE3">
        <w:t>nother</w:t>
      </w:r>
      <w:r w:rsidR="006D0A5C">
        <w:t xml:space="preserve"> e-mail to the defendant</w:t>
      </w:r>
      <w:r w:rsidR="00A50596">
        <w:t>,</w:t>
      </w:r>
      <w:r w:rsidR="006D0A5C">
        <w:t xml:space="preserve"> on 9</w:t>
      </w:r>
      <w:r w:rsidR="00A50596">
        <w:rPr>
          <w:vertAlign w:val="superscript"/>
        </w:rPr>
        <w:t xml:space="preserve"> </w:t>
      </w:r>
      <w:r w:rsidR="006D0A5C">
        <w:t xml:space="preserve"> April 2021 at 10:54</w:t>
      </w:r>
      <w:r w:rsidR="00A50596">
        <w:t>,</w:t>
      </w:r>
      <w:r w:rsidR="006D0A5C">
        <w:t xml:space="preserve"> in which he </w:t>
      </w:r>
      <w:r w:rsidR="00214EA2">
        <w:rPr>
          <w:i/>
          <w:iCs/>
        </w:rPr>
        <w:t xml:space="preserve">inter alia </w:t>
      </w:r>
      <w:r w:rsidR="006D0A5C">
        <w:t>states that</w:t>
      </w:r>
      <w:r w:rsidR="004C002E">
        <w:t xml:space="preserve"> the defendant must deal directly with Chetty at Assetfin because he </w:t>
      </w:r>
      <w:r w:rsidR="00214EA2">
        <w:t>can’t</w:t>
      </w:r>
      <w:r w:rsidR="004C002E">
        <w:t xml:space="preserve"> take the matter further</w:t>
      </w:r>
      <w:r w:rsidR="00214EA2">
        <w:t>,</w:t>
      </w:r>
      <w:r w:rsidR="004C002E">
        <w:t xml:space="preserve"> particularly as Assetfin can be difficult about cancellation of the agreements and also</w:t>
      </w:r>
      <w:r w:rsidR="007D682B">
        <w:t xml:space="preserve"> in light of</w:t>
      </w:r>
      <w:r w:rsidR="004C002E">
        <w:t xml:space="preserve"> the defendant ha</w:t>
      </w:r>
      <w:r w:rsidR="007D682B">
        <w:t>ving</w:t>
      </w:r>
      <w:r w:rsidR="004C002E">
        <w:t xml:space="preserve"> cancelled in terms of the CPA</w:t>
      </w:r>
      <w:r w:rsidR="002B4AE3">
        <w:t>.</w:t>
      </w:r>
    </w:p>
    <w:p w14:paraId="4369702E" w14:textId="17D5DCE6" w:rsidR="002B4AE3" w:rsidRDefault="006531E0" w:rsidP="006531E0">
      <w:pPr>
        <w:pStyle w:val="Heading1"/>
        <w:numPr>
          <w:ilvl w:val="0"/>
          <w:numId w:val="0"/>
        </w:numPr>
        <w:tabs>
          <w:tab w:val="left" w:pos="862"/>
        </w:tabs>
        <w:ind w:left="862" w:hanging="862"/>
      </w:pPr>
      <w:r>
        <w:t>[32]</w:t>
      </w:r>
      <w:r>
        <w:tab/>
      </w:r>
      <w:r w:rsidR="006D0A5C">
        <w:t xml:space="preserve">The defendant does not </w:t>
      </w:r>
      <w:r w:rsidR="004C002E">
        <w:t>explain</w:t>
      </w:r>
      <w:r w:rsidR="006D0A5C">
        <w:t xml:space="preserve"> these e-mails </w:t>
      </w:r>
      <w:r w:rsidR="004C002E">
        <w:t xml:space="preserve">in his opposing affidavit but they  certainly demonstrate that he had notified Assetfin of his cancellation of the rental agreements. </w:t>
      </w:r>
      <w:r w:rsidR="002B4AE3">
        <w:t>Notably</w:t>
      </w:r>
      <w:r w:rsidR="007D682B">
        <w:t>,</w:t>
      </w:r>
      <w:r w:rsidR="002B4AE3">
        <w:t xml:space="preserve"> the defendant was not aware of the cession</w:t>
      </w:r>
      <w:r w:rsidR="000F58E2">
        <w:t>s</w:t>
      </w:r>
      <w:r w:rsidR="002B4AE3">
        <w:t xml:space="preserve"> and so it is probable that in cancelling the agreement he would </w:t>
      </w:r>
      <w:r w:rsidR="007D682B">
        <w:t xml:space="preserve"> not </w:t>
      </w:r>
      <w:r w:rsidR="002B4AE3">
        <w:t>notify</w:t>
      </w:r>
      <w:r w:rsidR="004C002E">
        <w:t xml:space="preserve"> the plaintiff</w:t>
      </w:r>
      <w:r w:rsidR="007D682B">
        <w:t xml:space="preserve"> but rather Assetfin, as he did</w:t>
      </w:r>
      <w:r w:rsidR="002B4AE3">
        <w:t>.</w:t>
      </w:r>
      <w:r w:rsidR="006D0A5C">
        <w:t xml:space="preserve"> </w:t>
      </w:r>
    </w:p>
    <w:p w14:paraId="086B62B5" w14:textId="44D0C301" w:rsidR="00CA6A40" w:rsidRDefault="006531E0" w:rsidP="006531E0">
      <w:pPr>
        <w:pStyle w:val="Heading1"/>
        <w:numPr>
          <w:ilvl w:val="0"/>
          <w:numId w:val="0"/>
        </w:numPr>
        <w:tabs>
          <w:tab w:val="left" w:pos="862"/>
        </w:tabs>
        <w:ind w:left="862" w:hanging="862"/>
      </w:pPr>
      <w:r>
        <w:t>[33]</w:t>
      </w:r>
      <w:r>
        <w:tab/>
      </w:r>
      <w:r w:rsidR="006D0A5C">
        <w:t>Assetfin is one of the parties in the transaction having</w:t>
      </w:r>
      <w:r w:rsidR="007D682B">
        <w:t xml:space="preserve"> sold the equipment to the defendant and then</w:t>
      </w:r>
      <w:r w:rsidR="006D0A5C">
        <w:t xml:space="preserve"> ceded its rights to Sunlyn who then on ceded</w:t>
      </w:r>
      <w:r w:rsidR="002B4AE3">
        <w:t xml:space="preserve"> the rights</w:t>
      </w:r>
      <w:r w:rsidR="006D0A5C">
        <w:t xml:space="preserve"> to the plaintiff</w:t>
      </w:r>
      <w:r w:rsidR="00CA6A40">
        <w:t>. This</w:t>
      </w:r>
      <w:r w:rsidR="006D0A5C">
        <w:t xml:space="preserve"> indicates a commercial relationship</w:t>
      </w:r>
      <w:r w:rsidR="002B4AE3">
        <w:t xml:space="preserve"> between the parties</w:t>
      </w:r>
      <w:r w:rsidR="006D0A5C">
        <w:t xml:space="preserve"> which </w:t>
      </w:r>
      <w:r w:rsidR="004C002E">
        <w:t>commenced with</w:t>
      </w:r>
      <w:r w:rsidR="006D0A5C">
        <w:t xml:space="preserve"> the purchase and rental of the equipment</w:t>
      </w:r>
      <w:r w:rsidR="002B4AE3">
        <w:t>, at the behest of the defendant,</w:t>
      </w:r>
      <w:r w:rsidR="006D0A5C">
        <w:t xml:space="preserve"> as provided for in the Master Rental Agreement and schedules which are common cause.  It would appear therefore that the plaintiff must </w:t>
      </w:r>
      <w:r w:rsidR="004C002E">
        <w:t xml:space="preserve">know </w:t>
      </w:r>
      <w:r w:rsidR="006D0A5C">
        <w:t>the parties involved in this transaction and to the extent that it was submitted to me that the</w:t>
      </w:r>
      <w:r w:rsidR="00267550">
        <w:t xml:space="preserve"> collection</w:t>
      </w:r>
      <w:r w:rsidR="006D0A5C">
        <w:t xml:space="preserve"> letter of 1 June 2021 reflected an</w:t>
      </w:r>
      <w:r w:rsidR="00267550">
        <w:t xml:space="preserve"> unknown</w:t>
      </w:r>
      <w:r w:rsidR="006D0A5C">
        <w:t xml:space="preserve"> entity</w:t>
      </w:r>
      <w:r w:rsidR="000F58E2">
        <w:t>,</w:t>
      </w:r>
      <w:r w:rsidR="006D0A5C">
        <w:t xml:space="preserve"> Daisy Business Solutions</w:t>
      </w:r>
      <w:r w:rsidR="000F58E2">
        <w:t>,</w:t>
      </w:r>
      <w:r w:rsidR="006D0A5C">
        <w:t xml:space="preserve"> </w:t>
      </w:r>
      <w:r w:rsidR="00267550">
        <w:t>both</w:t>
      </w:r>
      <w:r w:rsidR="006D0A5C">
        <w:t xml:space="preserve"> in the heading</w:t>
      </w:r>
      <w:r w:rsidR="00267550">
        <w:t xml:space="preserve"> and body</w:t>
      </w:r>
      <w:r w:rsidR="006D0A5C">
        <w:t xml:space="preserve"> of the letter, </w:t>
      </w:r>
      <w:r w:rsidR="007D682B">
        <w:t xml:space="preserve">represented by Visser, </w:t>
      </w:r>
      <w:r w:rsidR="00267550">
        <w:t>and was</w:t>
      </w:r>
      <w:r w:rsidR="007D682B">
        <w:t xml:space="preserve"> misleading</w:t>
      </w:r>
      <w:r w:rsidR="006D0A5C">
        <w:t xml:space="preserve"> I cannot accept</w:t>
      </w:r>
      <w:r w:rsidR="00267550">
        <w:t>, especially</w:t>
      </w:r>
      <w:r w:rsidR="006D0A5C">
        <w:t xml:space="preserve"> in summary judgment proceedings,</w:t>
      </w:r>
      <w:r w:rsidR="007D682B">
        <w:t xml:space="preserve">  </w:t>
      </w:r>
      <w:r w:rsidR="006D0A5C">
        <w:t xml:space="preserve">that </w:t>
      </w:r>
      <w:r w:rsidR="004C002E">
        <w:t>that</w:t>
      </w:r>
      <w:r w:rsidR="00267550">
        <w:t xml:space="preserve"> </w:t>
      </w:r>
      <w:r w:rsidR="006D0A5C">
        <w:t xml:space="preserve">is the end of the matter.  The letter </w:t>
      </w:r>
      <w:r w:rsidR="00267550">
        <w:t>does</w:t>
      </w:r>
      <w:r w:rsidR="006D0A5C">
        <w:t xml:space="preserve"> reflect that </w:t>
      </w:r>
      <w:r w:rsidR="00267550">
        <w:rPr>
          <w:i/>
          <w:iCs/>
        </w:rPr>
        <w:t>“Daisy equipment”</w:t>
      </w:r>
      <w:r w:rsidR="00267550">
        <w:t xml:space="preserve"> </w:t>
      </w:r>
      <w:r w:rsidR="006D0A5C">
        <w:t xml:space="preserve"> was collected from the defendant but </w:t>
      </w:r>
      <w:r w:rsidR="00267550">
        <w:t>the letter also lists</w:t>
      </w:r>
      <w:r w:rsidR="006D0A5C">
        <w:t xml:space="preserve"> the equipment </w:t>
      </w:r>
      <w:r w:rsidR="004C002E">
        <w:t xml:space="preserve">leased in terms </w:t>
      </w:r>
      <w:r w:rsidR="00214EA2">
        <w:t>of the</w:t>
      </w:r>
      <w:r w:rsidR="006D0A5C">
        <w:t xml:space="preserve"> Master Rental </w:t>
      </w:r>
      <w:r w:rsidR="006D0A5C">
        <w:lastRenderedPageBreak/>
        <w:t>Agreement</w:t>
      </w:r>
      <w:r w:rsidR="00267550">
        <w:t xml:space="preserve"> as part of the collection list. This equipment</w:t>
      </w:r>
      <w:r w:rsidR="004C002E">
        <w:t>,</w:t>
      </w:r>
      <w:r w:rsidR="00267550">
        <w:t xml:space="preserve"> it is common cause</w:t>
      </w:r>
      <w:r w:rsidR="004C002E">
        <w:t>,</w:t>
      </w:r>
      <w:r w:rsidR="00267550">
        <w:t xml:space="preserve"> was not collected. It is unsurprising then that this equipment</w:t>
      </w:r>
      <w:r w:rsidR="006D0A5C">
        <w:t xml:space="preserve"> has been crossed out with a double line and initialled by Visser, a</w:t>
      </w:r>
      <w:r w:rsidR="004C002E">
        <w:t xml:space="preserve"> clear</w:t>
      </w:r>
      <w:r w:rsidR="006D0A5C">
        <w:t xml:space="preserve"> indication that it was not collected</w:t>
      </w:r>
      <w:r w:rsidR="00267550">
        <w:t>. He also</w:t>
      </w:r>
      <w:r w:rsidR="006D0A5C">
        <w:t xml:space="preserve"> appends his signature to the base of the letter</w:t>
      </w:r>
      <w:r w:rsidR="00267550">
        <w:t>, no doubt in affirmation of the equipment which was collected from the defendant</w:t>
      </w:r>
      <w:r w:rsidR="006D0A5C">
        <w:t>.</w:t>
      </w:r>
    </w:p>
    <w:p w14:paraId="053EEBAC" w14:textId="0E0083E6" w:rsidR="00CA6A40" w:rsidRDefault="006531E0" w:rsidP="006531E0">
      <w:pPr>
        <w:pStyle w:val="Heading1"/>
        <w:numPr>
          <w:ilvl w:val="0"/>
          <w:numId w:val="0"/>
        </w:numPr>
        <w:tabs>
          <w:tab w:val="left" w:pos="862"/>
        </w:tabs>
        <w:ind w:left="862" w:hanging="862"/>
      </w:pPr>
      <w:r>
        <w:t>[34]</w:t>
      </w:r>
      <w:r>
        <w:tab/>
      </w:r>
      <w:r w:rsidR="006D0A5C">
        <w:t>Furthermore, and as is apparent from the</w:t>
      </w:r>
      <w:r w:rsidR="00267550">
        <w:t xml:space="preserve"> annexures to the</w:t>
      </w:r>
      <w:r w:rsidR="006D0A5C">
        <w:t xml:space="preserve"> plea</w:t>
      </w:r>
      <w:r w:rsidR="00CA6A40">
        <w:t>,</w:t>
      </w:r>
      <w:r w:rsidR="006D0A5C">
        <w:t xml:space="preserve"> Chetty</w:t>
      </w:r>
      <w:r w:rsidR="00CA6A40">
        <w:t>,</w:t>
      </w:r>
      <w:r w:rsidR="006D0A5C">
        <w:t xml:space="preserve"> albeit without prejudice</w:t>
      </w:r>
      <w:r w:rsidR="00CA6A40">
        <w:t>,</w:t>
      </w:r>
      <w:r w:rsidR="006D0A5C">
        <w:t xml:space="preserve"> writes two letters</w:t>
      </w:r>
      <w:r w:rsidR="00CA6A40">
        <w:t>,</w:t>
      </w:r>
      <w:r w:rsidR="00267550" w:rsidRPr="00267550">
        <w:t xml:space="preserve"> </w:t>
      </w:r>
      <w:r w:rsidR="00267550">
        <w:t>dated 17 and 29 March 2021 respectively,</w:t>
      </w:r>
      <w:r w:rsidR="006D0A5C">
        <w:t xml:space="preserve"> on behalf of Assetfin</w:t>
      </w:r>
      <w:r w:rsidR="00CA6A40">
        <w:t>,</w:t>
      </w:r>
      <w:r w:rsidR="006D0A5C">
        <w:t xml:space="preserve"> </w:t>
      </w:r>
      <w:r w:rsidR="00AE23FA">
        <w:t>to the defendant cancelling the agreements on the basis of</w:t>
      </w:r>
      <w:r w:rsidR="00267550">
        <w:t xml:space="preserve"> what he terms the </w:t>
      </w:r>
      <w:r w:rsidR="00AE23FA">
        <w:t>early termination</w:t>
      </w:r>
      <w:r w:rsidR="00267550">
        <w:t>,</w:t>
      </w:r>
      <w:r w:rsidR="00AE23FA">
        <w:t xml:space="preserve"> and seeking payment of R40 322,35 and R33 343,66 respectively </w:t>
      </w:r>
      <w:r w:rsidR="00267550">
        <w:t>and fo</w:t>
      </w:r>
      <w:r w:rsidR="000F58E2">
        <w:t>r</w:t>
      </w:r>
      <w:r w:rsidR="00267550">
        <w:t xml:space="preserve"> which </w:t>
      </w:r>
      <w:r w:rsidR="00AE23FA">
        <w:t>payment</w:t>
      </w:r>
      <w:r w:rsidR="00267550">
        <w:t xml:space="preserve"> is required</w:t>
      </w:r>
      <w:r w:rsidR="00AE23FA">
        <w:t xml:space="preserve"> within a period of 14 days.</w:t>
      </w:r>
    </w:p>
    <w:p w14:paraId="013F21E2" w14:textId="1F4AA74A" w:rsidR="00CA6A40" w:rsidRDefault="006531E0" w:rsidP="006531E0">
      <w:pPr>
        <w:pStyle w:val="Heading1"/>
        <w:numPr>
          <w:ilvl w:val="0"/>
          <w:numId w:val="0"/>
        </w:numPr>
        <w:tabs>
          <w:tab w:val="left" w:pos="862"/>
        </w:tabs>
        <w:ind w:left="862" w:hanging="862"/>
      </w:pPr>
      <w:r>
        <w:t>[35]</w:t>
      </w:r>
      <w:r>
        <w:tab/>
      </w:r>
      <w:r w:rsidR="00AE23FA">
        <w:t xml:space="preserve">It appears that this proposal was not acceptable to the defendant who affirms both in the affidavit opposing summary judgment and the plea that having tendered a penalty payment for a period of 9 months these payments were accepted in that the debit order was terminated in November 2021.  </w:t>
      </w:r>
    </w:p>
    <w:p w14:paraId="6DC44DDE" w14:textId="6C2D4205" w:rsidR="00CA6A40" w:rsidRDefault="006531E0" w:rsidP="006531E0">
      <w:pPr>
        <w:pStyle w:val="Heading1"/>
        <w:numPr>
          <w:ilvl w:val="0"/>
          <w:numId w:val="0"/>
        </w:numPr>
        <w:tabs>
          <w:tab w:val="left" w:pos="862"/>
        </w:tabs>
        <w:ind w:left="862" w:hanging="862"/>
      </w:pPr>
      <w:r>
        <w:t>[36]</w:t>
      </w:r>
      <w:r>
        <w:tab/>
      </w:r>
      <w:r w:rsidR="00AE23FA">
        <w:t xml:space="preserve">The only </w:t>
      </w:r>
      <w:r w:rsidR="00CA6A40">
        <w:t>remaining</w:t>
      </w:r>
      <w:r w:rsidR="00AE23FA">
        <w:t xml:space="preserve"> issue</w:t>
      </w:r>
      <w:r w:rsidR="00CA6A40">
        <w:t xml:space="preserve"> from the defendant’s perspective</w:t>
      </w:r>
      <w:r w:rsidR="00AE23FA">
        <w:t xml:space="preserve"> is the return of the equipment which to date has not been collected albeit that it has been tendered again by the defendant.</w:t>
      </w:r>
    </w:p>
    <w:p w14:paraId="753F2BA2" w14:textId="0E29945C" w:rsidR="00466395" w:rsidRDefault="006531E0" w:rsidP="006531E0">
      <w:pPr>
        <w:pStyle w:val="Heading1"/>
        <w:numPr>
          <w:ilvl w:val="0"/>
          <w:numId w:val="0"/>
        </w:numPr>
        <w:tabs>
          <w:tab w:val="left" w:pos="862"/>
        </w:tabs>
        <w:ind w:left="862" w:hanging="862"/>
      </w:pPr>
      <w:r>
        <w:t>[37]</w:t>
      </w:r>
      <w:r>
        <w:tab/>
      </w:r>
      <w:r w:rsidR="00AE23FA">
        <w:t xml:space="preserve">I am guided in this matter by two decisions handed down in this division this year namely </w:t>
      </w:r>
      <w:r w:rsidR="00AE23FA">
        <w:rPr>
          <w:b/>
          <w:bCs/>
          <w:i/>
          <w:iCs/>
        </w:rPr>
        <w:t>South African Securitisation Programme (RF) Ltd v Prelene Jaglal-Govindpershad</w:t>
      </w:r>
      <w:r w:rsidR="00AE23FA" w:rsidRPr="00AE23FA">
        <w:rPr>
          <w:rStyle w:val="FootnoteReference"/>
        </w:rPr>
        <w:footnoteReference w:id="11"/>
      </w:r>
      <w:r w:rsidR="00AE23FA" w:rsidRPr="00AE23FA">
        <w:t xml:space="preserve"> and</w:t>
      </w:r>
      <w:r w:rsidR="00AE23FA">
        <w:t xml:space="preserve"> </w:t>
      </w:r>
      <w:r w:rsidR="00AE23FA">
        <w:rPr>
          <w:b/>
          <w:bCs/>
          <w:i/>
          <w:iCs/>
        </w:rPr>
        <w:t>South African Securitisation Programme (RF) Ltd v Dr Lucic</w:t>
      </w:r>
      <w:r w:rsidR="00994A36">
        <w:rPr>
          <w:b/>
          <w:bCs/>
          <w:i/>
          <w:iCs/>
        </w:rPr>
        <w:t xml:space="preserve"> Mirjane</w:t>
      </w:r>
      <w:r w:rsidR="00994A36" w:rsidRPr="00994A36">
        <w:t>.</w:t>
      </w:r>
      <w:r w:rsidR="00994A36" w:rsidRPr="00994A36">
        <w:rPr>
          <w:rStyle w:val="FootnoteReference"/>
        </w:rPr>
        <w:footnoteReference w:id="12"/>
      </w:r>
      <w:r w:rsidR="00994A36">
        <w:t xml:space="preserve">  In both of these matters, the plaintiff’s counsel was Mr Botha who also appeared before me in this </w:t>
      </w:r>
      <w:r w:rsidR="00994A36">
        <w:lastRenderedPageBreak/>
        <w:t>matter</w:t>
      </w:r>
      <w:r w:rsidR="00466395">
        <w:t>.</w:t>
      </w:r>
    </w:p>
    <w:p w14:paraId="6078E865" w14:textId="39D72816" w:rsidR="00994A36" w:rsidRDefault="006531E0" w:rsidP="006531E0">
      <w:pPr>
        <w:pStyle w:val="Heading1"/>
        <w:numPr>
          <w:ilvl w:val="0"/>
          <w:numId w:val="0"/>
        </w:numPr>
        <w:tabs>
          <w:tab w:val="left" w:pos="862"/>
        </w:tabs>
        <w:ind w:left="862" w:hanging="862"/>
      </w:pPr>
      <w:r>
        <w:t>[38]</w:t>
      </w:r>
      <w:r>
        <w:tab/>
      </w:r>
      <w:r w:rsidR="00466395">
        <w:t>I</w:t>
      </w:r>
      <w:r w:rsidR="00994A36">
        <w:t xml:space="preserve">n all three matters Mr Botha submitted that because the plaintiff is a financier, the CPA is not applicable to it and therefore exempt from its application.  In both decisions, the Court found that the plaintiff was in fact a supplier and more particularly that the definition of </w:t>
      </w:r>
      <w:r w:rsidR="00994A36">
        <w:rPr>
          <w:i/>
          <w:iCs/>
        </w:rPr>
        <w:t>“supplier”</w:t>
      </w:r>
      <w:r w:rsidR="00994A36">
        <w:t xml:space="preserve"> in section 1 of the CPA is defined as </w:t>
      </w:r>
      <w:r w:rsidR="00994A36">
        <w:rPr>
          <w:i/>
          <w:iCs/>
        </w:rPr>
        <w:t>“a person who markets any goods or services”</w:t>
      </w:r>
      <w:r w:rsidR="00994A36">
        <w:t xml:space="preserve"> </w:t>
      </w:r>
      <w:r w:rsidR="00CA6A40">
        <w:t xml:space="preserve"> which </w:t>
      </w:r>
      <w:r w:rsidR="00994A36">
        <w:t>is broad</w:t>
      </w:r>
      <w:r w:rsidR="00CA6A40">
        <w:t xml:space="preserve"> in its ambit</w:t>
      </w:r>
      <w:r w:rsidR="00994A36">
        <w:t xml:space="preserve"> and includes parties other than those who manufacture and sell goods.  In this regard the definition of </w:t>
      </w:r>
      <w:r w:rsidR="00994A36">
        <w:rPr>
          <w:i/>
          <w:iCs/>
        </w:rPr>
        <w:t>“services”</w:t>
      </w:r>
      <w:r w:rsidR="00994A36">
        <w:t xml:space="preserve"> in the CPA </w:t>
      </w:r>
      <w:r w:rsidR="00CA6A40">
        <w:t>permits for</w:t>
      </w:r>
      <w:r w:rsidR="00994A36">
        <w:t xml:space="preserve"> </w:t>
      </w:r>
      <w:r w:rsidR="00994A36">
        <w:rPr>
          <w:i/>
          <w:iCs/>
        </w:rPr>
        <w:t>“any banking services or related or similar financial services”.</w:t>
      </w:r>
      <w:r w:rsidR="00994A36">
        <w:t xml:space="preserve">  As a consequence the CPA is applicable to the Master Rental Agreement.  This matter is on all fours with the</w:t>
      </w:r>
      <w:r w:rsidR="00CA6A40">
        <w:t>se</w:t>
      </w:r>
      <w:r w:rsidR="00994A36">
        <w:t xml:space="preserve"> two matter</w:t>
      </w:r>
      <w:r w:rsidR="00CA6A40">
        <w:t>s</w:t>
      </w:r>
      <w:r w:rsidR="00466395">
        <w:t>.</w:t>
      </w:r>
    </w:p>
    <w:p w14:paraId="2D9286CD" w14:textId="14AFDDA8" w:rsidR="00CA6A40" w:rsidRDefault="006531E0" w:rsidP="006531E0">
      <w:pPr>
        <w:pStyle w:val="Heading1"/>
        <w:numPr>
          <w:ilvl w:val="0"/>
          <w:numId w:val="0"/>
        </w:numPr>
        <w:tabs>
          <w:tab w:val="left" w:pos="862"/>
        </w:tabs>
        <w:ind w:left="862" w:hanging="862"/>
      </w:pPr>
      <w:r>
        <w:t>[39]</w:t>
      </w:r>
      <w:r>
        <w:tab/>
      </w:r>
      <w:r w:rsidR="00466395">
        <w:t>I</w:t>
      </w:r>
      <w:r w:rsidR="00994A36">
        <w:t xml:space="preserve">n the </w:t>
      </w:r>
      <w:r w:rsidR="00466395" w:rsidRPr="00466395">
        <w:rPr>
          <w:b/>
          <w:bCs/>
        </w:rPr>
        <w:t>Mirjane</w:t>
      </w:r>
      <w:r w:rsidR="00994A36">
        <w:t xml:space="preserve"> decision, </w:t>
      </w:r>
      <w:r w:rsidR="00466395">
        <w:t>Mr Botha also</w:t>
      </w:r>
      <w:r w:rsidR="00994A36">
        <w:t xml:space="preserve"> argued</w:t>
      </w:r>
      <w:r w:rsidR="00466395">
        <w:t>, as he did here</w:t>
      </w:r>
      <w:r w:rsidR="00994A36">
        <w:t xml:space="preserve"> that the termination</w:t>
      </w:r>
      <w:r w:rsidR="00466395">
        <w:t>/ cancellation</w:t>
      </w:r>
      <w:r w:rsidR="00994A36">
        <w:t xml:space="preserve"> notice did not come to the attention of the plaintiff but rather </w:t>
      </w:r>
      <w:r w:rsidR="00466395">
        <w:t xml:space="preserve">was addressed </w:t>
      </w:r>
      <w:r w:rsidR="00994A36">
        <w:t>to the supplier</w:t>
      </w:r>
      <w:r w:rsidR="00466395">
        <w:t>,</w:t>
      </w:r>
      <w:r w:rsidR="00994A36">
        <w:t xml:space="preserve"> </w:t>
      </w:r>
      <w:r w:rsidR="007E34CC">
        <w:t>Assetfin</w:t>
      </w:r>
      <w:r w:rsidR="00466395">
        <w:t>,</w:t>
      </w:r>
      <w:r w:rsidR="007E34CC">
        <w:t xml:space="preserve"> and </w:t>
      </w:r>
      <w:r w:rsidR="00466395">
        <w:t>therefore</w:t>
      </w:r>
      <w:r w:rsidR="007E34CC">
        <w:t xml:space="preserve"> </w:t>
      </w:r>
      <w:r w:rsidR="00675992">
        <w:t>the agreements were not validly cancelled.</w:t>
      </w:r>
    </w:p>
    <w:p w14:paraId="60D0925D" w14:textId="49DBEA14" w:rsidR="00CA6A40" w:rsidRDefault="006531E0" w:rsidP="006531E0">
      <w:pPr>
        <w:pStyle w:val="Heading1"/>
        <w:numPr>
          <w:ilvl w:val="0"/>
          <w:numId w:val="0"/>
        </w:numPr>
        <w:tabs>
          <w:tab w:val="left" w:pos="862"/>
        </w:tabs>
        <w:ind w:left="862" w:hanging="862"/>
      </w:pPr>
      <w:r>
        <w:t>[40]</w:t>
      </w:r>
      <w:r>
        <w:tab/>
      </w:r>
      <w:r w:rsidR="00466395">
        <w:t xml:space="preserve">In </w:t>
      </w:r>
      <w:r w:rsidR="007C1ED6">
        <w:rPr>
          <w:b/>
          <w:bCs/>
        </w:rPr>
        <w:t xml:space="preserve">Mirjane </w:t>
      </w:r>
      <w:r w:rsidR="00675992">
        <w:t xml:space="preserve">the defendant’s counsel argued </w:t>
      </w:r>
      <w:r w:rsidR="00675992">
        <w:rPr>
          <w:i/>
          <w:iCs/>
        </w:rPr>
        <w:t xml:space="preserve">“That the issue of the relationship between Sasfin and Telelink and/or Sunlyn and whether her notification conveyed to these third parties constitutes communication of the cancellation on the supplier is an issue for trial, especially in light of Telelink’s responding to her complaints to Sasfin with the settlement quote and the second </w:t>
      </w:r>
      <w:r w:rsidR="00005059">
        <w:rPr>
          <w:i/>
          <w:iCs/>
        </w:rPr>
        <w:t>Master Rental Agreement bearing Sunlyn’s name”</w:t>
      </w:r>
      <w:r w:rsidR="00005059">
        <w:t xml:space="preserve">. </w:t>
      </w:r>
    </w:p>
    <w:p w14:paraId="607E54EE" w14:textId="3E39C8DF" w:rsidR="007C1ED6" w:rsidRDefault="006531E0" w:rsidP="006531E0">
      <w:pPr>
        <w:pStyle w:val="Heading1"/>
        <w:numPr>
          <w:ilvl w:val="0"/>
          <w:numId w:val="0"/>
        </w:numPr>
        <w:tabs>
          <w:tab w:val="left" w:pos="862"/>
        </w:tabs>
        <w:ind w:left="862" w:hanging="862"/>
      </w:pPr>
      <w:r>
        <w:t>[41]</w:t>
      </w:r>
      <w:r>
        <w:tab/>
      </w:r>
      <w:r w:rsidR="007C1ED6">
        <w:t>This submission is apposite here to</w:t>
      </w:r>
      <w:r w:rsidR="007D682B">
        <w:t>o</w:t>
      </w:r>
      <w:r w:rsidR="007C1ED6">
        <w:t xml:space="preserve">. </w:t>
      </w:r>
      <w:r w:rsidR="00005059">
        <w:t xml:space="preserve"> </w:t>
      </w:r>
    </w:p>
    <w:p w14:paraId="0458357F" w14:textId="062E6DDF" w:rsidR="007C1ED6" w:rsidRDefault="006531E0" w:rsidP="006531E0">
      <w:pPr>
        <w:pStyle w:val="Heading1"/>
        <w:numPr>
          <w:ilvl w:val="0"/>
          <w:numId w:val="0"/>
        </w:numPr>
        <w:tabs>
          <w:tab w:val="left" w:pos="862"/>
        </w:tabs>
        <w:ind w:left="862" w:hanging="862"/>
      </w:pPr>
      <w:r>
        <w:t>[42]</w:t>
      </w:r>
      <w:r>
        <w:tab/>
      </w:r>
      <w:r w:rsidR="007C1ED6">
        <w:t xml:space="preserve">It is clear </w:t>
      </w:r>
      <w:r w:rsidR="00005059">
        <w:t>that the cancellation notice which was addressed to Assetfin under the CPA</w:t>
      </w:r>
      <w:r w:rsidR="00107D02">
        <w:t xml:space="preserve"> reflects </w:t>
      </w:r>
      <w:r w:rsidR="00005059">
        <w:t>that the defendant clearly and unequivocally notified</w:t>
      </w:r>
      <w:r w:rsidR="00CA6A40">
        <w:t xml:space="preserve"> Assetfin</w:t>
      </w:r>
      <w:r w:rsidR="00005059">
        <w:t xml:space="preserve"> of his intention to cancel the agreement.</w:t>
      </w:r>
    </w:p>
    <w:p w14:paraId="1728E5C7" w14:textId="39F1A407" w:rsidR="00CA6A40" w:rsidRDefault="006531E0" w:rsidP="006531E0">
      <w:pPr>
        <w:pStyle w:val="Heading1"/>
        <w:numPr>
          <w:ilvl w:val="0"/>
          <w:numId w:val="0"/>
        </w:numPr>
        <w:tabs>
          <w:tab w:val="left" w:pos="862"/>
        </w:tabs>
        <w:ind w:left="862" w:hanging="862"/>
      </w:pPr>
      <w:r>
        <w:t>[43]</w:t>
      </w:r>
      <w:r>
        <w:tab/>
      </w:r>
      <w:r w:rsidR="00005059">
        <w:t xml:space="preserve">Furthermore, and as also permitted in the </w:t>
      </w:r>
      <w:r w:rsidR="007C1ED6" w:rsidRPr="007C1ED6">
        <w:rPr>
          <w:b/>
          <w:bCs/>
        </w:rPr>
        <w:t>Mirjane</w:t>
      </w:r>
      <w:r w:rsidR="00005059">
        <w:t xml:space="preserve"> judgment</w:t>
      </w:r>
      <w:r w:rsidR="007D682B">
        <w:t>,</w:t>
      </w:r>
      <w:r w:rsidR="00005059">
        <w:t xml:space="preserve"> the cancellation must be communicated to the supplier to be effective.  This </w:t>
      </w:r>
      <w:r w:rsidR="00005059">
        <w:lastRenderedPageBreak/>
        <w:t>is expressly provided for in section 14(2)(b)(i)(bb) of the CPA.  As also stated in th</w:t>
      </w:r>
      <w:r w:rsidR="00107D02">
        <w:t>e</w:t>
      </w:r>
      <w:r w:rsidR="00005059">
        <w:t xml:space="preserve"> judgment, the plaintiff must know having been involved in the commercial transaction what the third parties’ roles were in the transaction and whether or not they are agents o</w:t>
      </w:r>
      <w:r w:rsidR="00CA6A40">
        <w:t>f</w:t>
      </w:r>
      <w:r w:rsidR="00005059">
        <w:t xml:space="preserve"> the plaintiff</w:t>
      </w:r>
      <w:r w:rsidR="00CA6A40">
        <w:t>. A</w:t>
      </w:r>
      <w:r w:rsidR="00005059">
        <w:t>lthough no particularity was provided</w:t>
      </w:r>
      <w:r w:rsidR="00107D02">
        <w:t xml:space="preserve"> by the defendant</w:t>
      </w:r>
      <w:r w:rsidR="00005059">
        <w:t xml:space="preserve">, it would be </w:t>
      </w:r>
      <w:r w:rsidR="00CA6A40">
        <w:t>in</w:t>
      </w:r>
      <w:r w:rsidR="00005059">
        <w:t>appropriate in summary judgment proceedings to criticise the defendant therefor</w:t>
      </w:r>
      <w:r w:rsidR="000F58E2">
        <w:t>e</w:t>
      </w:r>
      <w:r w:rsidR="00107D02">
        <w:t xml:space="preserve"> as he is not required to give such detail in these proceedings</w:t>
      </w:r>
      <w:r w:rsidR="00005059">
        <w:t>.</w:t>
      </w:r>
    </w:p>
    <w:p w14:paraId="20A8F2ED" w14:textId="603059CB" w:rsidR="00CA6A40" w:rsidRDefault="006531E0" w:rsidP="006531E0">
      <w:pPr>
        <w:pStyle w:val="Heading1"/>
        <w:numPr>
          <w:ilvl w:val="0"/>
          <w:numId w:val="0"/>
        </w:numPr>
        <w:tabs>
          <w:tab w:val="left" w:pos="862"/>
        </w:tabs>
        <w:ind w:left="862" w:hanging="862"/>
      </w:pPr>
      <w:r>
        <w:t>[44]</w:t>
      </w:r>
      <w:r>
        <w:tab/>
      </w:r>
      <w:r w:rsidR="00005059">
        <w:t xml:space="preserve"> It is clear that Assetfin provided a settlement quote to the defendant albeit rejected by </w:t>
      </w:r>
      <w:r w:rsidR="00107D02">
        <w:t>him</w:t>
      </w:r>
      <w:r w:rsidR="00005059">
        <w:t xml:space="preserve"> and the Master Rental Agreement reflects </w:t>
      </w:r>
      <w:r w:rsidR="00107D02">
        <w:t>Assetfin’s</w:t>
      </w:r>
      <w:r w:rsidR="00005059">
        <w:t xml:space="preserve"> name too. As such, the </w:t>
      </w:r>
      <w:r w:rsidR="00141BA5">
        <w:t>defendant will be given an opportunity at trial to determine whether the plaintiff received notice</w:t>
      </w:r>
      <w:r w:rsidR="004C002E">
        <w:t xml:space="preserve"> of the cancellation</w:t>
      </w:r>
      <w:r w:rsidR="000F58E2">
        <w:t>,</w:t>
      </w:r>
      <w:r w:rsidR="00141BA5">
        <w:t xml:space="preserve"> it having been given to Assetfin</w:t>
      </w:r>
      <w:r w:rsidR="004C002E">
        <w:t>,</w:t>
      </w:r>
      <w:r w:rsidR="00141BA5">
        <w:t xml:space="preserve"> or not.</w:t>
      </w:r>
    </w:p>
    <w:p w14:paraId="0EE73AC9" w14:textId="296343E4" w:rsidR="00B40AC3" w:rsidRDefault="006531E0" w:rsidP="006531E0">
      <w:pPr>
        <w:pStyle w:val="Heading1"/>
        <w:numPr>
          <w:ilvl w:val="0"/>
          <w:numId w:val="0"/>
        </w:numPr>
        <w:tabs>
          <w:tab w:val="left" w:pos="862"/>
        </w:tabs>
        <w:ind w:left="862" w:hanging="862"/>
      </w:pPr>
      <w:r>
        <w:t>[45]</w:t>
      </w:r>
      <w:r>
        <w:tab/>
      </w:r>
      <w:r w:rsidR="00B40AC3">
        <w:t xml:space="preserve">As also stated in the </w:t>
      </w:r>
      <w:r w:rsidR="00B40AC3" w:rsidRPr="00B40AC3">
        <w:rPr>
          <w:b/>
          <w:bCs/>
          <w:i/>
          <w:iCs/>
        </w:rPr>
        <w:t>Jagla</w:t>
      </w:r>
      <w:r w:rsidR="00B40AC3">
        <w:rPr>
          <w:b/>
          <w:bCs/>
          <w:i/>
          <w:iCs/>
        </w:rPr>
        <w:t>l</w:t>
      </w:r>
      <w:r w:rsidR="00B40AC3" w:rsidRPr="00B40AC3">
        <w:rPr>
          <w:b/>
          <w:bCs/>
          <w:i/>
          <w:iCs/>
        </w:rPr>
        <w:t>- Govindpers</w:t>
      </w:r>
      <w:r w:rsidR="00B40AC3">
        <w:rPr>
          <w:b/>
          <w:bCs/>
          <w:i/>
          <w:iCs/>
        </w:rPr>
        <w:t>ha</w:t>
      </w:r>
      <w:r w:rsidR="00B40AC3" w:rsidRPr="00B40AC3">
        <w:rPr>
          <w:b/>
          <w:bCs/>
          <w:i/>
          <w:iCs/>
        </w:rPr>
        <w:t xml:space="preserve">d </w:t>
      </w:r>
      <w:r w:rsidR="00B40AC3">
        <w:t xml:space="preserve"> matter </w:t>
      </w:r>
      <w:r w:rsidR="00B40AC3">
        <w:rPr>
          <w:rStyle w:val="FootnoteReference"/>
        </w:rPr>
        <w:footnoteReference w:id="13"/>
      </w:r>
      <w:r w:rsidR="00B40AC3">
        <w:t xml:space="preserve"> the CPA protects consumer rights and prevents “</w:t>
      </w:r>
      <w:r w:rsidR="00B40AC3" w:rsidRPr="00B40AC3">
        <w:rPr>
          <w:i/>
          <w:iCs/>
        </w:rPr>
        <w:t>trumping provisions</w:t>
      </w:r>
      <w:r w:rsidR="00B40AC3">
        <w:t>” in contracts which exclude these rights. Furthermore, should the</w:t>
      </w:r>
      <w:r w:rsidR="00341D74">
        <w:t xml:space="preserve"> cancellation be valid as against the applicant, the</w:t>
      </w:r>
      <w:r w:rsidR="00B40AC3">
        <w:t xml:space="preserve"> equipment </w:t>
      </w:r>
      <w:r w:rsidR="00341D74">
        <w:t>still to b</w:t>
      </w:r>
      <w:r w:rsidR="00B40AC3">
        <w:t xml:space="preserve">e </w:t>
      </w:r>
      <w:r w:rsidR="00991DF2">
        <w:t>collected</w:t>
      </w:r>
      <w:r w:rsidR="007D682B">
        <w:t xml:space="preserve"> </w:t>
      </w:r>
      <w:r w:rsidR="00B40AC3">
        <w:t>will reduce</w:t>
      </w:r>
      <w:r w:rsidR="00341D74">
        <w:t xml:space="preserve"> the alleged indebtedness</w:t>
      </w:r>
      <w:r w:rsidR="00B40AC3">
        <w:t xml:space="preserve"> and there is also a possible credit due to the defendant for the</w:t>
      </w:r>
      <w:r w:rsidR="003741F7">
        <w:t xml:space="preserve"> debit orders paid as a penalty, should it be determined by the trial court to be a</w:t>
      </w:r>
      <w:r w:rsidR="00341D74">
        <w:t xml:space="preserve"> </w:t>
      </w:r>
      <w:r w:rsidR="003741F7">
        <w:t>fair penalty, and also any</w:t>
      </w:r>
      <w:r w:rsidR="00B40AC3">
        <w:t xml:space="preserve"> </w:t>
      </w:r>
      <w:r w:rsidR="00341D74">
        <w:t>future rentals</w:t>
      </w:r>
      <w:r w:rsidR="00B40AC3">
        <w:t xml:space="preserve"> charged by the plaintiff.</w:t>
      </w:r>
      <w:r w:rsidR="003741F7">
        <w:t xml:space="preserve"> This means that the certificates of balance </w:t>
      </w:r>
      <w:r w:rsidR="00341D74">
        <w:t>tendered in evidence</w:t>
      </w:r>
      <w:r w:rsidR="003741F7">
        <w:t xml:space="preserve"> are incorrect too.</w:t>
      </w:r>
    </w:p>
    <w:p w14:paraId="17B1F1A5" w14:textId="4870C5DB" w:rsidR="00CA6A40" w:rsidRDefault="006531E0" w:rsidP="006531E0">
      <w:pPr>
        <w:pStyle w:val="Heading1"/>
        <w:numPr>
          <w:ilvl w:val="0"/>
          <w:numId w:val="0"/>
        </w:numPr>
        <w:tabs>
          <w:tab w:val="left" w:pos="862"/>
        </w:tabs>
        <w:ind w:left="862" w:hanging="862"/>
      </w:pPr>
      <w:r>
        <w:t>[46]</w:t>
      </w:r>
      <w:r>
        <w:tab/>
      </w:r>
      <w:r w:rsidR="00B40AC3">
        <w:t xml:space="preserve">I </w:t>
      </w:r>
      <w:r w:rsidR="00141BA5">
        <w:t xml:space="preserve">am of the view that this is a triable defence and that the defendant has established a </w:t>
      </w:r>
      <w:r w:rsidR="00141BA5" w:rsidRPr="00C14423">
        <w:rPr>
          <w:i/>
        </w:rPr>
        <w:t>prima facie</w:t>
      </w:r>
      <w:r w:rsidR="00141BA5">
        <w:t xml:space="preserve"> defence to the summary judgment and leave to defend ought to be granted.</w:t>
      </w:r>
    </w:p>
    <w:p w14:paraId="7D415AAF" w14:textId="242206EF" w:rsidR="004D5318" w:rsidRPr="00956EF1" w:rsidRDefault="006531E0" w:rsidP="006531E0">
      <w:pPr>
        <w:pStyle w:val="Heading1"/>
        <w:numPr>
          <w:ilvl w:val="0"/>
          <w:numId w:val="0"/>
        </w:numPr>
        <w:tabs>
          <w:tab w:val="left" w:pos="862"/>
        </w:tabs>
        <w:ind w:left="862" w:hanging="862"/>
      </w:pPr>
      <w:r w:rsidRPr="00956EF1">
        <w:t>[47]</w:t>
      </w:r>
      <w:r w:rsidRPr="00956EF1">
        <w:tab/>
      </w:r>
      <w:r w:rsidR="00141BA5">
        <w:t xml:space="preserve"> As submitted to me and as explained in </w:t>
      </w:r>
      <w:r w:rsidR="00141BA5">
        <w:rPr>
          <w:b/>
          <w:bCs/>
          <w:i/>
          <w:iCs/>
        </w:rPr>
        <w:t xml:space="preserve">Joob Joob Investments (Pty) </w:t>
      </w:r>
      <w:r w:rsidR="00141BA5">
        <w:rPr>
          <w:b/>
          <w:bCs/>
          <w:i/>
          <w:iCs/>
        </w:rPr>
        <w:lastRenderedPageBreak/>
        <w:t>Ltd v Stocks Mavundla Ze</w:t>
      </w:r>
      <w:r w:rsidR="004B4825">
        <w:rPr>
          <w:b/>
          <w:bCs/>
          <w:i/>
          <w:iCs/>
        </w:rPr>
        <w:t>k</w:t>
      </w:r>
      <w:r w:rsidR="00141BA5">
        <w:rPr>
          <w:b/>
          <w:bCs/>
          <w:i/>
          <w:iCs/>
        </w:rPr>
        <w:t xml:space="preserve"> Joint Venture</w:t>
      </w:r>
      <w:r w:rsidR="001D100C" w:rsidRPr="001D100C">
        <w:t>:</w:t>
      </w:r>
      <w:r w:rsidR="00141BA5" w:rsidRPr="001D100C">
        <w:rPr>
          <w:rStyle w:val="FootnoteReference"/>
        </w:rPr>
        <w:footnoteReference w:id="14"/>
      </w:r>
      <w:r w:rsidR="00141BA5">
        <w:rPr>
          <w:b/>
          <w:bCs/>
          <w:i/>
          <w:iCs/>
        </w:rPr>
        <w:t xml:space="preserve"> </w:t>
      </w:r>
      <w:r w:rsidR="00005059">
        <w:t xml:space="preserve"> </w:t>
      </w:r>
    </w:p>
    <w:p w14:paraId="08C352FA" w14:textId="15531866" w:rsidR="0072034A" w:rsidRDefault="004B4825" w:rsidP="004B4825">
      <w:pPr>
        <w:ind w:left="1871" w:hanging="1009"/>
        <w:rPr>
          <w:i/>
          <w:iCs/>
        </w:rPr>
      </w:pPr>
      <w:r>
        <w:rPr>
          <w:i/>
          <w:iCs/>
        </w:rPr>
        <w:t>“</w:t>
      </w:r>
      <w:r w:rsidRPr="004B4825">
        <w:rPr>
          <w:i/>
          <w:iCs/>
        </w:rPr>
        <w:t xml:space="preserve">[31] </w:t>
      </w:r>
      <w:r>
        <w:rPr>
          <w:i/>
          <w:iCs/>
        </w:rPr>
        <w:tab/>
      </w:r>
      <w:r w:rsidRPr="004B4825">
        <w:rPr>
          <w:i/>
          <w:iCs/>
        </w:rPr>
        <w:t>So too in South Africa, the summary judgment procedure was not intended to ‘shut (a defendant) out from defending’, unless it was very clear indeed that he had no case in the action. It was intended to prevent sham defences from defeating the rights of parties by delay, and at the same time causing great loss to plaintiffs who were endeavouring to enforce their rights.</w:t>
      </w:r>
    </w:p>
    <w:p w14:paraId="1CDAB750" w14:textId="29890033" w:rsidR="004B4825" w:rsidRDefault="004B4825" w:rsidP="004B4825">
      <w:pPr>
        <w:ind w:left="1871" w:hanging="1009"/>
        <w:rPr>
          <w:i/>
          <w:iCs/>
        </w:rPr>
      </w:pPr>
      <w:r>
        <w:rPr>
          <w:i/>
          <w:iCs/>
        </w:rPr>
        <w:t>[32]</w:t>
      </w:r>
      <w:r>
        <w:rPr>
          <w:i/>
          <w:iCs/>
        </w:rPr>
        <w:tab/>
      </w:r>
      <w:r w:rsidRPr="004B4825">
        <w:rPr>
          <w:i/>
          <w:iCs/>
        </w:rPr>
        <w:t>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Maharaj case at 425G-426E, Corbett JA, was keen to ensure first, an examination of whether there has been sufficient disclosure by a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requiring of a defendant the precision apposite to pleadings. However, the learned judge was equally astute to ensure that recalcitrant debtors pay what is due to a creditor.</w:t>
      </w:r>
      <w:r w:rsidR="001D100C">
        <w:rPr>
          <w:i/>
          <w:iCs/>
        </w:rPr>
        <w:t>”</w:t>
      </w:r>
    </w:p>
    <w:p w14:paraId="3B3F6B70" w14:textId="20D36250" w:rsidR="001D100C" w:rsidRDefault="006531E0" w:rsidP="006531E0">
      <w:pPr>
        <w:pStyle w:val="Heading1"/>
        <w:numPr>
          <w:ilvl w:val="0"/>
          <w:numId w:val="0"/>
        </w:numPr>
        <w:tabs>
          <w:tab w:val="left" w:pos="862"/>
        </w:tabs>
        <w:ind w:left="862" w:hanging="862"/>
      </w:pPr>
      <w:r>
        <w:t>[48]</w:t>
      </w:r>
      <w:r>
        <w:tab/>
      </w:r>
      <w:r w:rsidR="001D100C">
        <w:t xml:space="preserve">Having disclosed a triable issue, there is a real possibility that the defence </w:t>
      </w:r>
      <w:r w:rsidR="001D100C">
        <w:lastRenderedPageBreak/>
        <w:t>may succeed at trial.</w:t>
      </w:r>
    </w:p>
    <w:p w14:paraId="4F6285EE" w14:textId="4C3B7A65" w:rsidR="001D100C" w:rsidRDefault="006531E0" w:rsidP="006531E0">
      <w:pPr>
        <w:pStyle w:val="Heading1"/>
        <w:numPr>
          <w:ilvl w:val="0"/>
          <w:numId w:val="0"/>
        </w:numPr>
        <w:tabs>
          <w:tab w:val="left" w:pos="862"/>
        </w:tabs>
        <w:ind w:left="862" w:hanging="862"/>
      </w:pPr>
      <w:r>
        <w:t>[49]</w:t>
      </w:r>
      <w:r>
        <w:tab/>
      </w:r>
      <w:r w:rsidR="001D100C">
        <w:t>In respect of the issue of costs, I was asked to make an order of costs if I dismissed the application because the plea and affidavit disclose these defences.  However, it appears to me that a number of the defences which were raised</w:t>
      </w:r>
      <w:r w:rsidR="00705E00">
        <w:t>,</w:t>
      </w:r>
      <w:r w:rsidR="001D100C">
        <w:t xml:space="preserve"> albeit not argued before me</w:t>
      </w:r>
      <w:r w:rsidR="00705E00">
        <w:t>,</w:t>
      </w:r>
      <w:r w:rsidR="001D100C">
        <w:t xml:space="preserve"> are groundless, </w:t>
      </w:r>
      <w:r w:rsidR="00705E00">
        <w:t xml:space="preserve"> having </w:t>
      </w:r>
      <w:r w:rsidR="001D100C">
        <w:t xml:space="preserve">already dismissed the  </w:t>
      </w:r>
      <w:r w:rsidR="00107D02" w:rsidRPr="00EC30B5">
        <w:rPr>
          <w:i/>
        </w:rPr>
        <w:t>locus standi</w:t>
      </w:r>
      <w:r w:rsidR="00107D02">
        <w:t xml:space="preserve"> </w:t>
      </w:r>
      <w:r w:rsidR="001D100C">
        <w:t>defence</w:t>
      </w:r>
      <w:r w:rsidR="00107D02">
        <w:t>.</w:t>
      </w:r>
      <w:r w:rsidR="001D100C">
        <w:t xml:space="preserve">  As a consequence, I am of the view that the ordinary Rule should apply and that costs should be costs in the cause.</w:t>
      </w:r>
    </w:p>
    <w:p w14:paraId="3B6E29A0" w14:textId="35244A19" w:rsidR="001D100C" w:rsidRDefault="006531E0" w:rsidP="006531E0">
      <w:pPr>
        <w:pStyle w:val="Heading1"/>
        <w:numPr>
          <w:ilvl w:val="0"/>
          <w:numId w:val="0"/>
        </w:numPr>
        <w:tabs>
          <w:tab w:val="left" w:pos="862"/>
        </w:tabs>
        <w:ind w:left="862" w:hanging="862"/>
      </w:pPr>
      <w:r>
        <w:t>[50]</w:t>
      </w:r>
      <w:r>
        <w:tab/>
      </w:r>
      <w:r w:rsidR="001D100C">
        <w:t>I make the following order:</w:t>
      </w:r>
    </w:p>
    <w:p w14:paraId="5974B17E" w14:textId="59C900BC" w:rsidR="001D100C" w:rsidRPr="0072034A" w:rsidRDefault="008803EB" w:rsidP="008803EB">
      <w:pPr>
        <w:pStyle w:val="Heading2"/>
        <w:numPr>
          <w:ilvl w:val="0"/>
          <w:numId w:val="0"/>
        </w:numPr>
        <w:ind w:left="1871" w:hanging="1009"/>
      </w:pPr>
      <w:r>
        <w:t>1.</w:t>
      </w:r>
      <w:r>
        <w:tab/>
      </w:r>
      <w:r w:rsidR="001D100C">
        <w:t>The application for summary judgment is dismissed with costs to be in the cause of the main action.</w:t>
      </w:r>
    </w:p>
    <w:p w14:paraId="01739B32" w14:textId="06729792" w:rsidR="00F91887" w:rsidRDefault="00F91887" w:rsidP="00260ED5"/>
    <w:p w14:paraId="53743F67" w14:textId="10C42F70" w:rsidR="006E34E4" w:rsidRDefault="006E34E4" w:rsidP="006E34E4">
      <w:pPr>
        <w:keepNext/>
        <w:keepLines/>
        <w:tabs>
          <w:tab w:val="left" w:pos="0"/>
        </w:tabs>
        <w:spacing w:before="240" w:after="0" w:line="240" w:lineRule="auto"/>
        <w:jc w:val="right"/>
        <w:rPr>
          <w:b/>
          <w:u w:val="single"/>
        </w:rPr>
      </w:pPr>
      <w:r>
        <w:rPr>
          <w:b/>
          <w:u w:val="single"/>
        </w:rPr>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21C6E74A" w14:textId="5A7F7B53" w:rsidR="006E34E4" w:rsidRPr="00705E00" w:rsidRDefault="006E34E4" w:rsidP="00705E00">
      <w:pPr>
        <w:spacing w:after="120"/>
        <w:jc w:val="right"/>
        <w:rPr>
          <w:rFonts w:cs="Arial"/>
          <w:i/>
        </w:rPr>
      </w:pPr>
      <w:r w:rsidRPr="0084771B">
        <w:rPr>
          <w:rFonts w:cs="Arial"/>
          <w:i/>
        </w:rPr>
        <w:t xml:space="preserve">Gauteng Division, </w:t>
      </w:r>
      <w:r>
        <w:rPr>
          <w:rFonts w:cs="Arial"/>
          <w:i/>
        </w:rPr>
        <w:t>Johannesburg</w:t>
      </w:r>
    </w:p>
    <w:p w14:paraId="66A3D0C8"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3EFE509C" w14:textId="77777777">
        <w:tc>
          <w:tcPr>
            <w:tcW w:w="3936" w:type="dxa"/>
            <w:tcMar>
              <w:top w:w="32" w:type="dxa"/>
              <w:left w:w="108" w:type="dxa"/>
              <w:bottom w:w="32" w:type="dxa"/>
              <w:right w:w="108" w:type="dxa"/>
            </w:tcMar>
            <w:vAlign w:val="center"/>
            <w:hideMark/>
          </w:tcPr>
          <w:p w14:paraId="358D6CC3" w14:textId="77777777" w:rsidR="006E34E4" w:rsidRDefault="006E34E4" w:rsidP="007154C1">
            <w:pPr>
              <w:keepNext/>
              <w:spacing w:before="120" w:after="0" w:line="240" w:lineRule="auto"/>
              <w:rPr>
                <w:sz w:val="22"/>
                <w:szCs w:val="22"/>
              </w:rPr>
            </w:pPr>
            <w:r>
              <w:lastRenderedPageBreak/>
              <w:t>HEARD ON: </w:t>
            </w:r>
          </w:p>
        </w:tc>
        <w:tc>
          <w:tcPr>
            <w:tcW w:w="5208" w:type="dxa"/>
            <w:tcMar>
              <w:top w:w="32" w:type="dxa"/>
              <w:left w:w="108" w:type="dxa"/>
              <w:bottom w:w="32" w:type="dxa"/>
              <w:right w:w="108" w:type="dxa"/>
            </w:tcMar>
            <w:vAlign w:val="center"/>
            <w:hideMark/>
          </w:tcPr>
          <w:p w14:paraId="0D924218" w14:textId="566B36D1" w:rsidR="006E34E4" w:rsidRDefault="001D100C" w:rsidP="00C240DF">
            <w:pPr>
              <w:keepNext/>
              <w:spacing w:after="0" w:line="240" w:lineRule="auto"/>
              <w:rPr>
                <w:sz w:val="22"/>
                <w:szCs w:val="22"/>
              </w:rPr>
            </w:pPr>
            <w:r>
              <w:rPr>
                <w:sz w:val="22"/>
                <w:szCs w:val="22"/>
              </w:rPr>
              <w:t>24 May 2023</w:t>
            </w:r>
          </w:p>
        </w:tc>
      </w:tr>
      <w:tr w:rsidR="006E34E4" w14:paraId="35A136C3" w14:textId="77777777">
        <w:tc>
          <w:tcPr>
            <w:tcW w:w="3936" w:type="dxa"/>
            <w:tcMar>
              <w:top w:w="32" w:type="dxa"/>
              <w:left w:w="108" w:type="dxa"/>
              <w:bottom w:w="32" w:type="dxa"/>
              <w:right w:w="108" w:type="dxa"/>
            </w:tcMar>
            <w:vAlign w:val="center"/>
            <w:hideMark/>
          </w:tcPr>
          <w:p w14:paraId="3D674BDC" w14:textId="77777777" w:rsidR="006E34E4" w:rsidRDefault="006E34E4" w:rsidP="007154C1">
            <w:pPr>
              <w:keepNext/>
              <w:spacing w:before="120" w:after="0" w:line="240" w:lineRule="auto"/>
            </w:pPr>
            <w:r>
              <w:t>DATE OF JUDGMENT:</w:t>
            </w:r>
          </w:p>
        </w:tc>
        <w:tc>
          <w:tcPr>
            <w:tcW w:w="5208" w:type="dxa"/>
            <w:tcMar>
              <w:top w:w="32" w:type="dxa"/>
              <w:left w:w="108" w:type="dxa"/>
              <w:bottom w:w="32" w:type="dxa"/>
              <w:right w:w="108" w:type="dxa"/>
            </w:tcMar>
            <w:vAlign w:val="center"/>
            <w:hideMark/>
          </w:tcPr>
          <w:p w14:paraId="3ED612EF" w14:textId="18AFE846" w:rsidR="006E34E4" w:rsidRDefault="00F300AA" w:rsidP="00C240DF">
            <w:pPr>
              <w:keepNext/>
              <w:spacing w:after="0" w:line="240" w:lineRule="auto"/>
            </w:pPr>
            <w:r>
              <w:t>2</w:t>
            </w:r>
            <w:r w:rsidR="00107D02">
              <w:t>8</w:t>
            </w:r>
            <w:r>
              <w:t xml:space="preserve"> December 2023</w:t>
            </w:r>
          </w:p>
        </w:tc>
      </w:tr>
      <w:tr w:rsidR="006E34E4" w14:paraId="0FEED89A" w14:textId="77777777">
        <w:tc>
          <w:tcPr>
            <w:tcW w:w="3936" w:type="dxa"/>
            <w:tcMar>
              <w:top w:w="32" w:type="dxa"/>
              <w:left w:w="108" w:type="dxa"/>
              <w:bottom w:w="32" w:type="dxa"/>
              <w:right w:w="108" w:type="dxa"/>
            </w:tcMar>
            <w:vAlign w:val="center"/>
            <w:hideMark/>
          </w:tcPr>
          <w:p w14:paraId="04BEABD0" w14:textId="48CADE27" w:rsidR="006E34E4" w:rsidRDefault="006E34E4" w:rsidP="00143DA0">
            <w:pPr>
              <w:keepNext/>
              <w:spacing w:before="120" w:after="0" w:line="240" w:lineRule="auto"/>
              <w:ind w:right="-108"/>
              <w:jc w:val="left"/>
            </w:pPr>
            <w:r>
              <w:t xml:space="preserve">FOR </w:t>
            </w:r>
            <w:r w:rsidR="00702DA1">
              <w:t>PLAINTIFF</w:t>
            </w:r>
            <w:r>
              <w:t>:</w:t>
            </w:r>
          </w:p>
        </w:tc>
        <w:tc>
          <w:tcPr>
            <w:tcW w:w="5208" w:type="dxa"/>
            <w:tcMar>
              <w:top w:w="32" w:type="dxa"/>
              <w:left w:w="108" w:type="dxa"/>
              <w:bottom w:w="32" w:type="dxa"/>
              <w:right w:w="108" w:type="dxa"/>
            </w:tcMar>
            <w:vAlign w:val="center"/>
            <w:hideMark/>
          </w:tcPr>
          <w:p w14:paraId="7A3DC197" w14:textId="5B4EFC41" w:rsidR="00DB42AA" w:rsidRDefault="001D100C" w:rsidP="00C240DF">
            <w:pPr>
              <w:keepNext/>
              <w:spacing w:after="0" w:line="240" w:lineRule="auto"/>
            </w:pPr>
            <w:r>
              <w:t>Adv J G Botha</w:t>
            </w:r>
          </w:p>
          <w:p w14:paraId="4E8C465C" w14:textId="7BCA2BB4" w:rsidR="00DB42AA" w:rsidRDefault="00DB42AA" w:rsidP="00C240DF">
            <w:pPr>
              <w:keepNext/>
              <w:spacing w:after="0" w:line="240" w:lineRule="auto"/>
            </w:pPr>
            <w:r>
              <w:t>E-mail:</w:t>
            </w:r>
            <w:r w:rsidR="00831AD2">
              <w:t xml:space="preserve"> </w:t>
            </w:r>
            <w:hyperlink r:id="rId11" w:history="1">
              <w:r w:rsidR="001D100C" w:rsidRPr="00BF0B0D">
                <w:rPr>
                  <w:rStyle w:val="Hyperlink"/>
                </w:rPr>
                <w:t>jgbotha@theproteagroup.co.za</w:t>
              </w:r>
            </w:hyperlink>
            <w:r w:rsidR="001D100C">
              <w:t xml:space="preserve"> </w:t>
            </w:r>
          </w:p>
          <w:p w14:paraId="21D1FD4B" w14:textId="53923937" w:rsidR="00831AD2" w:rsidRDefault="00831AD2" w:rsidP="00C240DF">
            <w:pPr>
              <w:keepNext/>
              <w:spacing w:after="0" w:line="240" w:lineRule="auto"/>
            </w:pPr>
            <w:r>
              <w:t xml:space="preserve">Cell: </w:t>
            </w:r>
            <w:r w:rsidR="001D100C">
              <w:t>083 703 4418</w:t>
            </w:r>
          </w:p>
        </w:tc>
      </w:tr>
      <w:tr w:rsidR="006E34E4" w14:paraId="2DF2512C" w14:textId="77777777">
        <w:tc>
          <w:tcPr>
            <w:tcW w:w="3936" w:type="dxa"/>
            <w:tcMar>
              <w:top w:w="32" w:type="dxa"/>
              <w:left w:w="108" w:type="dxa"/>
              <w:bottom w:w="32" w:type="dxa"/>
              <w:right w:w="108" w:type="dxa"/>
            </w:tcMar>
            <w:vAlign w:val="center"/>
            <w:hideMark/>
          </w:tcPr>
          <w:p w14:paraId="58F841D1"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372109F" w14:textId="73E9176F" w:rsidR="00D478B5" w:rsidRDefault="001D100C" w:rsidP="00D478B5">
            <w:pPr>
              <w:spacing w:after="0" w:line="240" w:lineRule="auto"/>
              <w:ind w:left="3022" w:hanging="3022"/>
            </w:pPr>
            <w:r>
              <w:t>ODBB Attorneys</w:t>
            </w:r>
          </w:p>
          <w:p w14:paraId="0AD17EDC" w14:textId="244916DA" w:rsidR="00C240DF" w:rsidRDefault="003202ED" w:rsidP="00C240DF">
            <w:pPr>
              <w:keepNext/>
              <w:spacing w:after="0" w:line="240" w:lineRule="auto"/>
              <w:rPr>
                <w:sz w:val="22"/>
                <w:szCs w:val="22"/>
              </w:rPr>
            </w:pPr>
            <w:r>
              <w:rPr>
                <w:sz w:val="22"/>
                <w:szCs w:val="22"/>
              </w:rPr>
              <w:t xml:space="preserve">E-mail: </w:t>
            </w:r>
            <w:hyperlink r:id="rId12" w:history="1">
              <w:r w:rsidR="001D100C" w:rsidRPr="00BF0B0D">
                <w:rPr>
                  <w:rStyle w:val="Hyperlink"/>
                  <w:sz w:val="22"/>
                  <w:szCs w:val="22"/>
                </w:rPr>
                <w:t>lelanie@odbb.co.za</w:t>
              </w:r>
            </w:hyperlink>
            <w:r w:rsidR="001D100C">
              <w:rPr>
                <w:sz w:val="22"/>
                <w:szCs w:val="22"/>
              </w:rPr>
              <w:t xml:space="preserve"> / </w:t>
            </w:r>
            <w:hyperlink r:id="rId13" w:history="1">
              <w:r w:rsidR="001D100C" w:rsidRPr="00BF0B0D">
                <w:rPr>
                  <w:rStyle w:val="Hyperlink"/>
                  <w:sz w:val="22"/>
                  <w:szCs w:val="22"/>
                </w:rPr>
                <w:t>adriaan@odbb.co.za</w:t>
              </w:r>
            </w:hyperlink>
            <w:r w:rsidR="001D100C">
              <w:rPr>
                <w:sz w:val="22"/>
                <w:szCs w:val="22"/>
              </w:rPr>
              <w:t xml:space="preserve"> </w:t>
            </w:r>
          </w:p>
          <w:p w14:paraId="4701DFC5" w14:textId="28E7F848" w:rsidR="00831AD2" w:rsidRDefault="001D100C" w:rsidP="00C240DF">
            <w:pPr>
              <w:keepNext/>
              <w:spacing w:after="0" w:line="240" w:lineRule="auto"/>
              <w:rPr>
                <w:sz w:val="22"/>
                <w:szCs w:val="22"/>
              </w:rPr>
            </w:pPr>
            <w:r>
              <w:rPr>
                <w:sz w:val="22"/>
                <w:szCs w:val="22"/>
              </w:rPr>
              <w:t>Tel</w:t>
            </w:r>
            <w:r w:rsidR="00831AD2">
              <w:rPr>
                <w:sz w:val="22"/>
                <w:szCs w:val="22"/>
              </w:rPr>
              <w:t>:</w:t>
            </w:r>
            <w:r>
              <w:rPr>
                <w:sz w:val="22"/>
                <w:szCs w:val="22"/>
              </w:rPr>
              <w:t xml:space="preserve"> (011) 883-9062</w:t>
            </w:r>
            <w:r w:rsidR="00831AD2">
              <w:rPr>
                <w:sz w:val="22"/>
                <w:szCs w:val="22"/>
              </w:rPr>
              <w:t xml:space="preserve"> </w:t>
            </w:r>
          </w:p>
        </w:tc>
      </w:tr>
      <w:tr w:rsidR="006E34E4" w14:paraId="1DF258FF" w14:textId="77777777">
        <w:tc>
          <w:tcPr>
            <w:tcW w:w="3936" w:type="dxa"/>
            <w:tcMar>
              <w:top w:w="32" w:type="dxa"/>
              <w:left w:w="108" w:type="dxa"/>
              <w:bottom w:w="32" w:type="dxa"/>
              <w:right w:w="108" w:type="dxa"/>
            </w:tcMar>
            <w:vAlign w:val="center"/>
            <w:hideMark/>
          </w:tcPr>
          <w:p w14:paraId="4420DF33" w14:textId="42850222" w:rsidR="006E34E4" w:rsidRDefault="006E34E4" w:rsidP="00C240DF">
            <w:pPr>
              <w:keepNext/>
              <w:spacing w:before="120" w:after="0" w:line="240" w:lineRule="auto"/>
              <w:jc w:val="left"/>
              <w:rPr>
                <w:sz w:val="22"/>
                <w:szCs w:val="22"/>
              </w:rPr>
            </w:pPr>
            <w:r>
              <w:t xml:space="preserve">FOR </w:t>
            </w:r>
            <w:r w:rsidR="00702DA1">
              <w:t>DEFENDANT</w:t>
            </w:r>
            <w:r>
              <w:t>: </w:t>
            </w:r>
          </w:p>
        </w:tc>
        <w:tc>
          <w:tcPr>
            <w:tcW w:w="5208" w:type="dxa"/>
            <w:tcMar>
              <w:top w:w="32" w:type="dxa"/>
              <w:left w:w="108" w:type="dxa"/>
              <w:bottom w:w="32" w:type="dxa"/>
              <w:right w:w="108" w:type="dxa"/>
            </w:tcMar>
            <w:vAlign w:val="center"/>
            <w:hideMark/>
          </w:tcPr>
          <w:p w14:paraId="59AA55CD" w14:textId="59CA261B" w:rsidR="00702DA1" w:rsidRDefault="00984D41" w:rsidP="00C240DF">
            <w:pPr>
              <w:keepNext/>
              <w:spacing w:after="0" w:line="240" w:lineRule="auto"/>
            </w:pPr>
            <w:r>
              <w:t>Adv J C Klopper</w:t>
            </w:r>
          </w:p>
          <w:p w14:paraId="4EBF66CC" w14:textId="14579FB8" w:rsidR="00702DA1" w:rsidRDefault="00702DA1" w:rsidP="00C240DF">
            <w:pPr>
              <w:keepNext/>
              <w:spacing w:after="0" w:line="240" w:lineRule="auto"/>
            </w:pPr>
            <w:r>
              <w:t>E-mail:</w:t>
            </w:r>
            <w:r w:rsidR="00984D41">
              <w:t xml:space="preserve"> </w:t>
            </w:r>
            <w:hyperlink r:id="rId14" w:history="1">
              <w:r w:rsidR="00984D41" w:rsidRPr="00BF0B0D">
                <w:rPr>
                  <w:rStyle w:val="Hyperlink"/>
                </w:rPr>
                <w:t>hannesklopper@clubadvocates.co.za</w:t>
              </w:r>
            </w:hyperlink>
            <w:r>
              <w:t xml:space="preserve"> </w:t>
            </w:r>
          </w:p>
          <w:p w14:paraId="111FF68B" w14:textId="0F8318F9" w:rsidR="00702DA1" w:rsidRDefault="00702DA1" w:rsidP="00C240DF">
            <w:pPr>
              <w:keepNext/>
              <w:spacing w:after="0" w:line="240" w:lineRule="auto"/>
            </w:pPr>
            <w:r>
              <w:t xml:space="preserve">Cell: </w:t>
            </w:r>
            <w:r w:rsidR="00984D41">
              <w:t>083 556 6955</w:t>
            </w:r>
          </w:p>
          <w:p w14:paraId="3C1F75AE" w14:textId="6CA634AB" w:rsidR="00EA5BC8" w:rsidRDefault="00EA5BC8" w:rsidP="00C240DF">
            <w:pPr>
              <w:keepNext/>
              <w:spacing w:after="0" w:line="240" w:lineRule="auto"/>
              <w:rPr>
                <w:sz w:val="22"/>
                <w:szCs w:val="22"/>
              </w:rPr>
            </w:pPr>
          </w:p>
        </w:tc>
      </w:tr>
      <w:tr w:rsidR="006E34E4" w14:paraId="03D680E1" w14:textId="77777777">
        <w:tc>
          <w:tcPr>
            <w:tcW w:w="3936" w:type="dxa"/>
            <w:tcMar>
              <w:top w:w="32" w:type="dxa"/>
              <w:left w:w="108" w:type="dxa"/>
              <w:bottom w:w="32" w:type="dxa"/>
              <w:right w:w="108" w:type="dxa"/>
            </w:tcMar>
            <w:vAlign w:val="center"/>
            <w:hideMark/>
          </w:tcPr>
          <w:p w14:paraId="754CFEBB" w14:textId="77777777" w:rsidR="006E34E4" w:rsidRDefault="006E34E4" w:rsidP="00CF7049">
            <w:pPr>
              <w:keepNext/>
              <w:spacing w:before="120" w:line="240" w:lineRule="auto"/>
              <w:rPr>
                <w:sz w:val="22"/>
                <w:szCs w:val="22"/>
              </w:rPr>
            </w:pPr>
            <w:r>
              <w:t>INSTRUCTED BY: </w:t>
            </w:r>
          </w:p>
        </w:tc>
        <w:tc>
          <w:tcPr>
            <w:tcW w:w="5208" w:type="dxa"/>
            <w:tcMar>
              <w:top w:w="32" w:type="dxa"/>
              <w:left w:w="108" w:type="dxa"/>
              <w:bottom w:w="32" w:type="dxa"/>
              <w:right w:w="108" w:type="dxa"/>
            </w:tcMar>
            <w:vAlign w:val="center"/>
            <w:hideMark/>
          </w:tcPr>
          <w:p w14:paraId="3112DF1D" w14:textId="5311A6D3" w:rsidR="00984D41" w:rsidRDefault="00984D41" w:rsidP="00C240DF">
            <w:pPr>
              <w:keepNext/>
              <w:spacing w:after="0" w:line="240" w:lineRule="auto"/>
            </w:pPr>
            <w:r>
              <w:t>Innes R Steenekamp Attorneys</w:t>
            </w:r>
          </w:p>
          <w:p w14:paraId="6BE9CF34" w14:textId="0B9EFD16" w:rsidR="007154C1" w:rsidRPr="004B18B7" w:rsidRDefault="00C240DF" w:rsidP="00C240DF">
            <w:pPr>
              <w:keepNext/>
              <w:spacing w:after="0" w:line="240" w:lineRule="auto"/>
              <w:rPr>
                <w:rStyle w:val="Hyperlink"/>
                <w:color w:val="auto"/>
                <w:u w:val="none"/>
              </w:rPr>
            </w:pPr>
            <w:r>
              <w:t>E-mail:</w:t>
            </w:r>
            <w:r w:rsidR="00984D41">
              <w:t xml:space="preserve"> </w:t>
            </w:r>
            <w:hyperlink r:id="rId15" w:history="1">
              <w:r w:rsidR="00984D41" w:rsidRPr="00BF0B0D">
                <w:rPr>
                  <w:rStyle w:val="Hyperlink"/>
                </w:rPr>
                <w:t>innes@attorneys.co.za</w:t>
              </w:r>
            </w:hyperlink>
            <w:r w:rsidR="00984D41">
              <w:t xml:space="preserve"> </w:t>
            </w:r>
          </w:p>
          <w:p w14:paraId="25D552CE" w14:textId="57E523AA" w:rsidR="00EA5BC8" w:rsidRDefault="00984D41" w:rsidP="00C240DF">
            <w:pPr>
              <w:keepNext/>
              <w:spacing w:after="0" w:line="240" w:lineRule="auto"/>
              <w:rPr>
                <w:sz w:val="22"/>
                <w:szCs w:val="22"/>
              </w:rPr>
            </w:pPr>
            <w:r>
              <w:rPr>
                <w:sz w:val="22"/>
                <w:szCs w:val="22"/>
              </w:rPr>
              <w:t>Tel</w:t>
            </w:r>
            <w:r w:rsidR="00867F57">
              <w:rPr>
                <w:sz w:val="22"/>
                <w:szCs w:val="22"/>
              </w:rPr>
              <w:t xml:space="preserve">: </w:t>
            </w:r>
            <w:r>
              <w:rPr>
                <w:sz w:val="22"/>
                <w:szCs w:val="22"/>
              </w:rPr>
              <w:t>060 828 6271</w:t>
            </w:r>
          </w:p>
        </w:tc>
      </w:tr>
      <w:bookmarkEnd w:id="1"/>
      <w:bookmarkEnd w:id="2"/>
    </w:tbl>
    <w:p w14:paraId="06EDD1BB" w14:textId="77777777" w:rsidR="00EA5BC8" w:rsidRPr="00964F05" w:rsidRDefault="00EA5BC8" w:rsidP="006E34E4">
      <w:pPr>
        <w:pStyle w:val="Heading2"/>
        <w:numPr>
          <w:ilvl w:val="0"/>
          <w:numId w:val="0"/>
        </w:numPr>
      </w:pPr>
    </w:p>
    <w:sectPr w:rsidR="00EA5BC8" w:rsidRPr="00964F05" w:rsidSect="00CF7049">
      <w:headerReference w:type="even" r:id="rId16"/>
      <w:headerReference w:type="default" r:id="rId17"/>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3887" w14:textId="77777777" w:rsidR="000A1F64" w:rsidRDefault="000A1F64" w:rsidP="00B958BA">
      <w:pPr>
        <w:pStyle w:val="Title"/>
      </w:pPr>
      <w:r>
        <w:separator/>
      </w:r>
    </w:p>
  </w:endnote>
  <w:endnote w:type="continuationSeparator" w:id="0">
    <w:p w14:paraId="733827F3" w14:textId="77777777" w:rsidR="000A1F64" w:rsidRDefault="000A1F64"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F1F8" w14:textId="77777777" w:rsidR="000A1F64" w:rsidRDefault="000A1F64" w:rsidP="00B958BA">
      <w:pPr>
        <w:pStyle w:val="Title"/>
      </w:pPr>
      <w:r>
        <w:separator/>
      </w:r>
    </w:p>
  </w:footnote>
  <w:footnote w:type="continuationSeparator" w:id="0">
    <w:p w14:paraId="19B3CD76" w14:textId="77777777" w:rsidR="000A1F64" w:rsidRDefault="000A1F64" w:rsidP="00B958BA">
      <w:pPr>
        <w:pStyle w:val="Title"/>
      </w:pPr>
      <w:r>
        <w:continuationSeparator/>
      </w:r>
    </w:p>
  </w:footnote>
  <w:footnote w:id="1">
    <w:p w14:paraId="062C065E" w14:textId="7FAEF8B4" w:rsidR="004B18B7" w:rsidRPr="004B18B7" w:rsidRDefault="004B18B7">
      <w:pPr>
        <w:pStyle w:val="FootnoteText"/>
        <w:rPr>
          <w:bCs/>
        </w:rPr>
      </w:pPr>
      <w:r>
        <w:rPr>
          <w:rStyle w:val="FootnoteReference"/>
        </w:rPr>
        <w:footnoteRef/>
      </w:r>
      <w:r>
        <w:t xml:space="preserve"> </w:t>
      </w:r>
      <w:r>
        <w:tab/>
      </w:r>
      <w:r w:rsidRPr="00BF0ACB">
        <w:t xml:space="preserve">Annexure </w:t>
      </w:r>
      <w:r w:rsidRPr="00BF0ACB">
        <w:rPr>
          <w:b/>
        </w:rPr>
        <w:t>“</w:t>
      </w:r>
      <w:r>
        <w:rPr>
          <w:b/>
        </w:rPr>
        <w:t>S</w:t>
      </w:r>
      <w:r w:rsidR="005026FB">
        <w:rPr>
          <w:b/>
        </w:rPr>
        <w:t>A</w:t>
      </w:r>
      <w:r>
        <w:rPr>
          <w:b/>
        </w:rPr>
        <w:t xml:space="preserve">S1A” </w:t>
      </w:r>
      <w:r>
        <w:rPr>
          <w:bCs/>
        </w:rPr>
        <w:t xml:space="preserve">read with </w:t>
      </w:r>
      <w:r>
        <w:rPr>
          <w:b/>
        </w:rPr>
        <w:t>“S</w:t>
      </w:r>
      <w:r w:rsidR="005026FB">
        <w:rPr>
          <w:b/>
        </w:rPr>
        <w:t>A</w:t>
      </w:r>
      <w:r>
        <w:rPr>
          <w:b/>
        </w:rPr>
        <w:t xml:space="preserve">S1B” </w:t>
      </w:r>
      <w:r>
        <w:rPr>
          <w:bCs/>
        </w:rPr>
        <w:t xml:space="preserve">and </w:t>
      </w:r>
      <w:r>
        <w:rPr>
          <w:b/>
        </w:rPr>
        <w:t>“S</w:t>
      </w:r>
      <w:r w:rsidR="005026FB">
        <w:rPr>
          <w:b/>
        </w:rPr>
        <w:t>A</w:t>
      </w:r>
      <w:r>
        <w:rPr>
          <w:b/>
        </w:rPr>
        <w:t>S1C”</w:t>
      </w:r>
      <w:r>
        <w:rPr>
          <w:bCs/>
        </w:rPr>
        <w:t xml:space="preserve">, CaseLines 001-32 to 35, </w:t>
      </w:r>
      <w:r>
        <w:rPr>
          <w:b/>
        </w:rPr>
        <w:t>“SAS3A”</w:t>
      </w:r>
      <w:r>
        <w:rPr>
          <w:bCs/>
        </w:rPr>
        <w:t xml:space="preserve">, CaseLines, 001-40 and </w:t>
      </w:r>
      <w:r>
        <w:rPr>
          <w:b/>
        </w:rPr>
        <w:t>“SAS3B”</w:t>
      </w:r>
      <w:r>
        <w:rPr>
          <w:bCs/>
        </w:rPr>
        <w:t>, CaseLines 001-41</w:t>
      </w:r>
    </w:p>
  </w:footnote>
  <w:footnote w:id="2">
    <w:p w14:paraId="7AFA1A42" w14:textId="5F1047D0" w:rsidR="005026FB" w:rsidRDefault="005026FB">
      <w:pPr>
        <w:pStyle w:val="FootnoteText"/>
      </w:pPr>
      <w:r>
        <w:rPr>
          <w:rStyle w:val="FootnoteReference"/>
        </w:rPr>
        <w:footnoteRef/>
      </w:r>
      <w:r>
        <w:t xml:space="preserve"> </w:t>
      </w:r>
      <w:r>
        <w:tab/>
        <w:t xml:space="preserve">Which amount is certified by way of a certificate of balance, </w:t>
      </w:r>
      <w:r w:rsidRPr="00BF0ACB">
        <w:t xml:space="preserve">Annexure </w:t>
      </w:r>
      <w:r w:rsidRPr="00BF0ACB">
        <w:rPr>
          <w:b/>
        </w:rPr>
        <w:t>“</w:t>
      </w:r>
      <w:r>
        <w:rPr>
          <w:b/>
        </w:rPr>
        <w:t>SAS7”</w:t>
      </w:r>
      <w:r>
        <w:t xml:space="preserve">  </w:t>
      </w:r>
    </w:p>
  </w:footnote>
  <w:footnote w:id="3">
    <w:p w14:paraId="2CDE0E50" w14:textId="69D9CBF4" w:rsidR="005026FB" w:rsidRDefault="005026FB">
      <w:pPr>
        <w:pStyle w:val="FootnoteText"/>
      </w:pPr>
      <w:r>
        <w:rPr>
          <w:rStyle w:val="FootnoteReference"/>
        </w:rPr>
        <w:footnoteRef/>
      </w:r>
      <w:r>
        <w:t xml:space="preserve"> </w:t>
      </w:r>
      <w:r>
        <w:tab/>
        <w:t xml:space="preserve">Which is also certified by way of a certificate of balance, </w:t>
      </w:r>
      <w:r w:rsidRPr="00BF0ACB">
        <w:t xml:space="preserve">Annexure </w:t>
      </w:r>
      <w:r w:rsidRPr="00BF0ACB">
        <w:rPr>
          <w:b/>
        </w:rPr>
        <w:t>“</w:t>
      </w:r>
      <w:r>
        <w:rPr>
          <w:b/>
        </w:rPr>
        <w:t>SAS8”</w:t>
      </w:r>
      <w:r>
        <w:t xml:space="preserve"> </w:t>
      </w:r>
    </w:p>
  </w:footnote>
  <w:footnote w:id="4">
    <w:p w14:paraId="21A08BA4" w14:textId="637CA87F" w:rsidR="00FC3F94" w:rsidRDefault="00FC3F94">
      <w:pPr>
        <w:pStyle w:val="FootnoteText"/>
      </w:pPr>
      <w:r>
        <w:rPr>
          <w:rStyle w:val="FootnoteReference"/>
        </w:rPr>
        <w:footnoteRef/>
      </w:r>
      <w:r>
        <w:t xml:space="preserve"> </w:t>
      </w:r>
      <w:r>
        <w:tab/>
        <w:t>1999 (3) SA 2620 at 274E-F</w:t>
      </w:r>
    </w:p>
  </w:footnote>
  <w:footnote w:id="5">
    <w:p w14:paraId="60663E04" w14:textId="5339FEE7" w:rsidR="00ED16A1" w:rsidRDefault="00ED16A1">
      <w:pPr>
        <w:pStyle w:val="FootnoteText"/>
      </w:pPr>
      <w:r>
        <w:rPr>
          <w:rStyle w:val="FootnoteReference"/>
        </w:rPr>
        <w:footnoteRef/>
      </w:r>
      <w:r>
        <w:t xml:space="preserve"> </w:t>
      </w:r>
      <w:r>
        <w:tab/>
        <w:t xml:space="preserve">2009 (4) </w:t>
      </w:r>
      <w:r>
        <w:tab/>
        <w:t>SA 58 (SCA) at 63H-I</w:t>
      </w:r>
    </w:p>
  </w:footnote>
  <w:footnote w:id="6">
    <w:p w14:paraId="3B37D1CF" w14:textId="38C95AE2" w:rsidR="00BE2145" w:rsidRDefault="00BE2145">
      <w:pPr>
        <w:pStyle w:val="FootnoteText"/>
      </w:pPr>
      <w:r>
        <w:rPr>
          <w:rStyle w:val="FootnoteReference"/>
        </w:rPr>
        <w:footnoteRef/>
      </w:r>
      <w:r>
        <w:t xml:space="preserve"> </w:t>
      </w:r>
      <w:r>
        <w:tab/>
        <w:t>Case No. 32806/2012 [2017] ZAGPJHC 369 (10 March 2017)</w:t>
      </w:r>
    </w:p>
  </w:footnote>
  <w:footnote w:id="7">
    <w:p w14:paraId="51DE71B9" w14:textId="039628E9" w:rsidR="000538BE" w:rsidRDefault="000538BE">
      <w:pPr>
        <w:pStyle w:val="FootnoteText"/>
      </w:pPr>
      <w:r>
        <w:rPr>
          <w:rStyle w:val="FootnoteReference"/>
        </w:rPr>
        <w:footnoteRef/>
      </w:r>
      <w:r>
        <w:t xml:space="preserve"> </w:t>
      </w:r>
      <w:r>
        <w:tab/>
        <w:t>1996 (2) SA 339 (A) at 360A-B</w:t>
      </w:r>
    </w:p>
  </w:footnote>
  <w:footnote w:id="8">
    <w:p w14:paraId="3C01C4D5" w14:textId="5606387D" w:rsidR="00C047CE" w:rsidRPr="00C047CE" w:rsidRDefault="00C047CE">
      <w:pPr>
        <w:pStyle w:val="FootnoteText"/>
        <w:rPr>
          <w:lang w:val="en-US"/>
        </w:rPr>
      </w:pPr>
      <w:r>
        <w:rPr>
          <w:rStyle w:val="FootnoteReference"/>
        </w:rPr>
        <w:footnoteRef/>
      </w:r>
      <w:r>
        <w:t xml:space="preserve"> </w:t>
      </w:r>
      <w:r w:rsidR="005B1838">
        <w:t xml:space="preserve"> SAS(1)(b) Caselines 001-34</w:t>
      </w:r>
    </w:p>
  </w:footnote>
  <w:footnote w:id="9">
    <w:p w14:paraId="0DD6491D" w14:textId="77777777" w:rsidR="00757035" w:rsidRPr="00DF1EC0" w:rsidRDefault="00757035" w:rsidP="00757035">
      <w:pPr>
        <w:pStyle w:val="FootnoteText"/>
        <w:rPr>
          <w:bCs/>
        </w:rPr>
      </w:pPr>
      <w:r>
        <w:rPr>
          <w:rStyle w:val="FootnoteReference"/>
        </w:rPr>
        <w:footnoteRef/>
      </w:r>
      <w:r>
        <w:t xml:space="preserve"> </w:t>
      </w:r>
      <w:r>
        <w:tab/>
      </w:r>
      <w:r w:rsidRPr="00BF0ACB">
        <w:t xml:space="preserve">Annexure </w:t>
      </w:r>
      <w:r w:rsidRPr="00BF0ACB">
        <w:rPr>
          <w:b/>
        </w:rPr>
        <w:t>“</w:t>
      </w:r>
      <w:r>
        <w:rPr>
          <w:b/>
        </w:rPr>
        <w:t xml:space="preserve">IRS1” </w:t>
      </w:r>
      <w:r>
        <w:rPr>
          <w:bCs/>
        </w:rPr>
        <w:t>to the plea, CaseLines 012-29 to 012-45</w:t>
      </w:r>
    </w:p>
  </w:footnote>
  <w:footnote w:id="10">
    <w:p w14:paraId="03F4C1C0" w14:textId="1A0675B0" w:rsidR="00DF1EC0" w:rsidRPr="00CC01D7" w:rsidRDefault="00DF1EC0">
      <w:pPr>
        <w:pStyle w:val="FootnoteText"/>
        <w:rPr>
          <w:bCs/>
        </w:rPr>
      </w:pPr>
      <w:r>
        <w:rPr>
          <w:rStyle w:val="FootnoteReference"/>
        </w:rPr>
        <w:footnoteRef/>
      </w:r>
      <w:r>
        <w:t xml:space="preserve"> </w:t>
      </w:r>
      <w:r>
        <w:tab/>
      </w:r>
      <w:r w:rsidR="00CC01D7" w:rsidRPr="00BF0ACB">
        <w:t xml:space="preserve">Annexure </w:t>
      </w:r>
      <w:r w:rsidR="00CC01D7" w:rsidRPr="00BF0ACB">
        <w:rPr>
          <w:b/>
        </w:rPr>
        <w:t>“</w:t>
      </w:r>
      <w:r w:rsidR="00CC01D7">
        <w:rPr>
          <w:b/>
        </w:rPr>
        <w:t>IRSOA1”</w:t>
      </w:r>
      <w:r w:rsidR="00CC01D7">
        <w:rPr>
          <w:bCs/>
        </w:rPr>
        <w:t>, CaseLines 019-36 to 019-65</w:t>
      </w:r>
    </w:p>
  </w:footnote>
  <w:footnote w:id="11">
    <w:p w14:paraId="6D46DDB6" w14:textId="3EC99F24" w:rsidR="00AE23FA" w:rsidRDefault="00AE23FA">
      <w:pPr>
        <w:pStyle w:val="FootnoteText"/>
      </w:pPr>
      <w:r>
        <w:rPr>
          <w:rStyle w:val="FootnoteReference"/>
        </w:rPr>
        <w:footnoteRef/>
      </w:r>
      <w:r>
        <w:t xml:space="preserve"> </w:t>
      </w:r>
      <w:r>
        <w:tab/>
        <w:t xml:space="preserve">2023 JDR 2260 (GJ) </w:t>
      </w:r>
    </w:p>
  </w:footnote>
  <w:footnote w:id="12">
    <w:p w14:paraId="66E4AC9D" w14:textId="3A6058FB" w:rsidR="00994A36" w:rsidRDefault="00994A36">
      <w:pPr>
        <w:pStyle w:val="FootnoteText"/>
      </w:pPr>
      <w:r>
        <w:rPr>
          <w:rStyle w:val="FootnoteReference"/>
        </w:rPr>
        <w:footnoteRef/>
      </w:r>
      <w:r>
        <w:t xml:space="preserve"> </w:t>
      </w:r>
      <w:r>
        <w:tab/>
        <w:t>(2022/6034) [2023] ZAGPJHC 768 (6 July 2023)</w:t>
      </w:r>
    </w:p>
  </w:footnote>
  <w:footnote w:id="13">
    <w:p w14:paraId="141823F8" w14:textId="334D020E" w:rsidR="00B40AC3" w:rsidRPr="00B40AC3" w:rsidRDefault="00B40AC3">
      <w:pPr>
        <w:pStyle w:val="FootnoteText"/>
        <w:rPr>
          <w:lang w:val="en-US"/>
        </w:rPr>
      </w:pPr>
      <w:r>
        <w:rPr>
          <w:rStyle w:val="FootnoteReference"/>
        </w:rPr>
        <w:footnoteRef/>
      </w:r>
      <w:r>
        <w:t xml:space="preserve"> </w:t>
      </w:r>
      <w:r>
        <w:rPr>
          <w:lang w:val="en-US"/>
        </w:rPr>
        <w:t>Para [13]</w:t>
      </w:r>
    </w:p>
  </w:footnote>
  <w:footnote w:id="14">
    <w:p w14:paraId="0C5B3CCC" w14:textId="6897E418" w:rsidR="00141BA5" w:rsidRDefault="00141BA5">
      <w:pPr>
        <w:pStyle w:val="FootnoteText"/>
      </w:pPr>
      <w:r>
        <w:rPr>
          <w:rStyle w:val="FootnoteReference"/>
        </w:rPr>
        <w:footnoteRef/>
      </w:r>
      <w:r>
        <w:t xml:space="preserve"> </w:t>
      </w:r>
      <w:r>
        <w:tab/>
        <w:t>2009 (5) SA 1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21655"/>
      <w:docPartObj>
        <w:docPartGallery w:val="Page Numbers (Top of Page)"/>
        <w:docPartUnique/>
      </w:docPartObj>
    </w:sdtPr>
    <w:sdtEndPr>
      <w:rPr>
        <w:noProof/>
        <w:sz w:val="24"/>
        <w:szCs w:val="24"/>
      </w:rPr>
    </w:sdtEndPr>
    <w:sdtContent>
      <w:p w14:paraId="2A952557" w14:textId="0C127617" w:rsidR="00CF7049" w:rsidRPr="00E928E8" w:rsidRDefault="00CF7049">
        <w:pPr>
          <w:pStyle w:val="Header"/>
          <w:jc w:val="right"/>
          <w:rPr>
            <w:sz w:val="24"/>
            <w:szCs w:val="24"/>
          </w:rPr>
        </w:pPr>
        <w:r w:rsidRPr="00E928E8">
          <w:rPr>
            <w:sz w:val="24"/>
            <w:szCs w:val="24"/>
          </w:rPr>
          <w:fldChar w:fldCharType="begin"/>
        </w:r>
        <w:r w:rsidRPr="00E928E8">
          <w:rPr>
            <w:sz w:val="24"/>
            <w:szCs w:val="24"/>
          </w:rPr>
          <w:instrText xml:space="preserve"> PAGE   \* MERGEFORMAT </w:instrText>
        </w:r>
        <w:r w:rsidRPr="00E928E8">
          <w:rPr>
            <w:sz w:val="24"/>
            <w:szCs w:val="24"/>
          </w:rPr>
          <w:fldChar w:fldCharType="separate"/>
        </w:r>
        <w:r w:rsidR="00672268">
          <w:rPr>
            <w:noProof/>
            <w:sz w:val="24"/>
            <w:szCs w:val="24"/>
          </w:rPr>
          <w:t>2</w:t>
        </w:r>
        <w:r w:rsidRPr="00E928E8">
          <w:rPr>
            <w:noProof/>
            <w:sz w:val="24"/>
            <w:szCs w:val="24"/>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52B"/>
    <w:multiLevelType w:val="hybridMultilevel"/>
    <w:tmpl w:val="3A925C82"/>
    <w:lvl w:ilvl="0" w:tplc="A740E922">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AB15D65"/>
    <w:multiLevelType w:val="hybridMultilevel"/>
    <w:tmpl w:val="97424382"/>
    <w:lvl w:ilvl="0" w:tplc="0C9C1414">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3" w15:restartNumberingAfterBreak="0">
    <w:nsid w:val="154C3444"/>
    <w:multiLevelType w:val="multilevel"/>
    <w:tmpl w:val="CFDE2536"/>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4" w15:restartNumberingAfterBreak="0">
    <w:nsid w:val="311536CB"/>
    <w:multiLevelType w:val="multilevel"/>
    <w:tmpl w:val="9F646534"/>
    <w:lvl w:ilvl="0">
      <w:start w:val="5"/>
      <w:numFmt w:val="decimal"/>
      <w:lvlText w:val="%1"/>
      <w:lvlJc w:val="left"/>
      <w:pPr>
        <w:ind w:left="360" w:hanging="360"/>
      </w:pPr>
      <w:rPr>
        <w:rFonts w:hint="default"/>
      </w:rPr>
    </w:lvl>
    <w:lvl w:ilvl="1">
      <w:start w:val="1"/>
      <w:numFmt w:val="decimal"/>
      <w:lvlText w:val="%1.%2"/>
      <w:lvlJc w:val="left"/>
      <w:pPr>
        <w:ind w:left="2235" w:hanging="360"/>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705" w:hanging="108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5"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46D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abstractNum w:abstractNumId="8"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0" w15:restartNumberingAfterBreak="0">
    <w:nsid w:val="59AD1D2E"/>
    <w:multiLevelType w:val="hybridMultilevel"/>
    <w:tmpl w:val="D982CEFC"/>
    <w:lvl w:ilvl="0" w:tplc="CE08C4DC">
      <w:start w:val="1"/>
      <w:numFmt w:val="decimal"/>
      <w:lvlText w:val="%1."/>
      <w:lvlJc w:val="left"/>
      <w:pPr>
        <w:ind w:left="1875" w:hanging="102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12" w15:restartNumberingAfterBreak="0">
    <w:nsid w:val="7A3F0572"/>
    <w:multiLevelType w:val="multilevel"/>
    <w:tmpl w:val="0EDECADA"/>
    <w:lvl w:ilvl="0">
      <w:start w:val="1"/>
      <w:numFmt w:val="decimal"/>
      <w:lvlText w:val="%1"/>
      <w:lvlJc w:val="left"/>
      <w:pPr>
        <w:ind w:left="1140" w:hanging="1140"/>
      </w:pPr>
      <w:rPr>
        <w:rFonts w:hint="default"/>
      </w:rPr>
    </w:lvl>
    <w:lvl w:ilvl="1">
      <w:start w:val="1"/>
      <w:numFmt w:val="decimal"/>
      <w:lvlText w:val="%1.%2"/>
      <w:lvlJc w:val="left"/>
      <w:pPr>
        <w:ind w:left="3015" w:hanging="1140"/>
      </w:pPr>
      <w:rPr>
        <w:rFonts w:hint="default"/>
      </w:rPr>
    </w:lvl>
    <w:lvl w:ilvl="2">
      <w:start w:val="1"/>
      <w:numFmt w:val="decimal"/>
      <w:lvlText w:val="%1.%2.%3"/>
      <w:lvlJc w:val="left"/>
      <w:pPr>
        <w:ind w:left="4890" w:hanging="1140"/>
      </w:pPr>
      <w:rPr>
        <w:rFonts w:hint="default"/>
      </w:rPr>
    </w:lvl>
    <w:lvl w:ilvl="3">
      <w:start w:val="1"/>
      <w:numFmt w:val="decimal"/>
      <w:lvlText w:val="%1.%2.%3.%4"/>
      <w:lvlJc w:val="left"/>
      <w:pPr>
        <w:ind w:left="6765" w:hanging="1140"/>
      </w:pPr>
      <w:rPr>
        <w:rFonts w:hint="default"/>
      </w:rPr>
    </w:lvl>
    <w:lvl w:ilvl="4">
      <w:start w:val="1"/>
      <w:numFmt w:val="decimal"/>
      <w:lvlText w:val="%1.%2.%3.%4.%5"/>
      <w:lvlJc w:val="left"/>
      <w:pPr>
        <w:ind w:left="8640" w:hanging="1140"/>
      </w:pPr>
      <w:rPr>
        <w:rFonts w:hint="default"/>
      </w:rPr>
    </w:lvl>
    <w:lvl w:ilvl="5">
      <w:start w:val="1"/>
      <w:numFmt w:val="decimal"/>
      <w:lvlText w:val="%1.%2.%3.%4.%5.%6"/>
      <w:lvlJc w:val="left"/>
      <w:pPr>
        <w:ind w:left="10815" w:hanging="144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925" w:hanging="1800"/>
      </w:pPr>
      <w:rPr>
        <w:rFonts w:hint="default"/>
      </w:rPr>
    </w:lvl>
    <w:lvl w:ilvl="8">
      <w:start w:val="1"/>
      <w:numFmt w:val="decimal"/>
      <w:lvlText w:val="%1.%2.%3.%4.%5.%6.%7.%8.%9"/>
      <w:lvlJc w:val="left"/>
      <w:pPr>
        <w:ind w:left="16800" w:hanging="1800"/>
      </w:pPr>
      <w:rPr>
        <w:rFonts w:hint="default"/>
      </w:rPr>
    </w:lvl>
  </w:abstractNum>
  <w:num w:numId="1" w16cid:durableId="701369109">
    <w:abstractNumId w:val="3"/>
  </w:num>
  <w:num w:numId="2" w16cid:durableId="592278760">
    <w:abstractNumId w:val="3"/>
  </w:num>
  <w:num w:numId="3" w16cid:durableId="412631422">
    <w:abstractNumId w:val="3"/>
  </w:num>
  <w:num w:numId="4" w16cid:durableId="922952826">
    <w:abstractNumId w:val="3"/>
  </w:num>
  <w:num w:numId="5" w16cid:durableId="1090154493">
    <w:abstractNumId w:val="3"/>
  </w:num>
  <w:num w:numId="6" w16cid:durableId="278075141">
    <w:abstractNumId w:val="3"/>
  </w:num>
  <w:num w:numId="7" w16cid:durableId="903301228">
    <w:abstractNumId w:val="3"/>
  </w:num>
  <w:num w:numId="8" w16cid:durableId="1612274418">
    <w:abstractNumId w:val="3"/>
  </w:num>
  <w:num w:numId="9" w16cid:durableId="780880240">
    <w:abstractNumId w:val="3"/>
  </w:num>
  <w:num w:numId="10" w16cid:durableId="1431851594">
    <w:abstractNumId w:val="3"/>
  </w:num>
  <w:num w:numId="11" w16cid:durableId="268704194">
    <w:abstractNumId w:val="3"/>
  </w:num>
  <w:num w:numId="12" w16cid:durableId="1223826805">
    <w:abstractNumId w:val="3"/>
  </w:num>
  <w:num w:numId="13" w16cid:durableId="1385059149">
    <w:abstractNumId w:val="3"/>
  </w:num>
  <w:num w:numId="14" w16cid:durableId="587886401">
    <w:abstractNumId w:val="3"/>
  </w:num>
  <w:num w:numId="15" w16cid:durableId="1514369886">
    <w:abstractNumId w:val="3"/>
  </w:num>
  <w:num w:numId="16" w16cid:durableId="757363954">
    <w:abstractNumId w:val="3"/>
  </w:num>
  <w:num w:numId="17" w16cid:durableId="869221384">
    <w:abstractNumId w:val="3"/>
  </w:num>
  <w:num w:numId="18" w16cid:durableId="493305362">
    <w:abstractNumId w:val="3"/>
  </w:num>
  <w:num w:numId="19" w16cid:durableId="1141574041">
    <w:abstractNumId w:val="3"/>
  </w:num>
  <w:num w:numId="20" w16cid:durableId="1705402162">
    <w:abstractNumId w:val="3"/>
  </w:num>
  <w:num w:numId="21" w16cid:durableId="279462402">
    <w:abstractNumId w:val="3"/>
  </w:num>
  <w:num w:numId="22" w16cid:durableId="307832263">
    <w:abstractNumId w:val="3"/>
  </w:num>
  <w:num w:numId="23" w16cid:durableId="474225097">
    <w:abstractNumId w:val="3"/>
  </w:num>
  <w:num w:numId="24" w16cid:durableId="1322613767">
    <w:abstractNumId w:val="3"/>
  </w:num>
  <w:num w:numId="25" w16cid:durableId="1203785780">
    <w:abstractNumId w:val="3"/>
  </w:num>
  <w:num w:numId="26" w16cid:durableId="785731718">
    <w:abstractNumId w:val="3"/>
  </w:num>
  <w:num w:numId="27" w16cid:durableId="1846168164">
    <w:abstractNumId w:val="3"/>
  </w:num>
  <w:num w:numId="28" w16cid:durableId="504248836">
    <w:abstractNumId w:val="3"/>
  </w:num>
  <w:num w:numId="29" w16cid:durableId="1337420456">
    <w:abstractNumId w:val="3"/>
  </w:num>
  <w:num w:numId="30" w16cid:durableId="1718551415">
    <w:abstractNumId w:val="3"/>
  </w:num>
  <w:num w:numId="31" w16cid:durableId="16835059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214129">
    <w:abstractNumId w:val="3"/>
  </w:num>
  <w:num w:numId="33" w16cid:durableId="1866095426">
    <w:abstractNumId w:val="3"/>
  </w:num>
  <w:num w:numId="34" w16cid:durableId="1477066573">
    <w:abstractNumId w:val="5"/>
  </w:num>
  <w:num w:numId="35" w16cid:durableId="584537122">
    <w:abstractNumId w:val="8"/>
  </w:num>
  <w:num w:numId="36" w16cid:durableId="277876782">
    <w:abstractNumId w:val="6"/>
  </w:num>
  <w:num w:numId="37" w16cid:durableId="297227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3705216">
    <w:abstractNumId w:val="9"/>
  </w:num>
  <w:num w:numId="39" w16cid:durableId="437725795">
    <w:abstractNumId w:val="11"/>
  </w:num>
  <w:num w:numId="40" w16cid:durableId="114755421">
    <w:abstractNumId w:val="2"/>
  </w:num>
  <w:num w:numId="41" w16cid:durableId="98377602">
    <w:abstractNumId w:val="0"/>
  </w:num>
  <w:num w:numId="42" w16cid:durableId="307131234">
    <w:abstractNumId w:val="7"/>
  </w:num>
  <w:num w:numId="43" w16cid:durableId="1326007945">
    <w:abstractNumId w:val="12"/>
  </w:num>
  <w:num w:numId="44" w16cid:durableId="1548104714">
    <w:abstractNumId w:val="4"/>
  </w:num>
  <w:num w:numId="45" w16cid:durableId="11103983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4"/>
    <w:rsid w:val="00000058"/>
    <w:rsid w:val="00005059"/>
    <w:rsid w:val="00006720"/>
    <w:rsid w:val="00013916"/>
    <w:rsid w:val="00013F13"/>
    <w:rsid w:val="00013F66"/>
    <w:rsid w:val="00016FCE"/>
    <w:rsid w:val="000206B9"/>
    <w:rsid w:val="00021572"/>
    <w:rsid w:val="000223E2"/>
    <w:rsid w:val="00024069"/>
    <w:rsid w:val="00024EC0"/>
    <w:rsid w:val="000269A0"/>
    <w:rsid w:val="0003170B"/>
    <w:rsid w:val="000330AA"/>
    <w:rsid w:val="000331E1"/>
    <w:rsid w:val="00033689"/>
    <w:rsid w:val="00035295"/>
    <w:rsid w:val="00035850"/>
    <w:rsid w:val="00036510"/>
    <w:rsid w:val="00040532"/>
    <w:rsid w:val="00042E37"/>
    <w:rsid w:val="000449C9"/>
    <w:rsid w:val="00045C2A"/>
    <w:rsid w:val="000460FA"/>
    <w:rsid w:val="000463D4"/>
    <w:rsid w:val="0005193C"/>
    <w:rsid w:val="000538BE"/>
    <w:rsid w:val="00056698"/>
    <w:rsid w:val="000600AD"/>
    <w:rsid w:val="00060B83"/>
    <w:rsid w:val="00062E02"/>
    <w:rsid w:val="00064ABB"/>
    <w:rsid w:val="00076A3C"/>
    <w:rsid w:val="000806A3"/>
    <w:rsid w:val="00081824"/>
    <w:rsid w:val="00090BBB"/>
    <w:rsid w:val="0009479F"/>
    <w:rsid w:val="00096D51"/>
    <w:rsid w:val="000A1F64"/>
    <w:rsid w:val="000A3B02"/>
    <w:rsid w:val="000A4A93"/>
    <w:rsid w:val="000A5255"/>
    <w:rsid w:val="000A7277"/>
    <w:rsid w:val="000B0F7E"/>
    <w:rsid w:val="000B2270"/>
    <w:rsid w:val="000B57CF"/>
    <w:rsid w:val="000C3DC6"/>
    <w:rsid w:val="000C3E53"/>
    <w:rsid w:val="000C42FC"/>
    <w:rsid w:val="000C4BAD"/>
    <w:rsid w:val="000C6E46"/>
    <w:rsid w:val="000D17F5"/>
    <w:rsid w:val="000D45A1"/>
    <w:rsid w:val="000E201A"/>
    <w:rsid w:val="000E3353"/>
    <w:rsid w:val="000E51FA"/>
    <w:rsid w:val="000E5E70"/>
    <w:rsid w:val="000E687A"/>
    <w:rsid w:val="000E7C01"/>
    <w:rsid w:val="000F04D0"/>
    <w:rsid w:val="000F0879"/>
    <w:rsid w:val="000F50B7"/>
    <w:rsid w:val="000F562D"/>
    <w:rsid w:val="000F58E2"/>
    <w:rsid w:val="000F6E3C"/>
    <w:rsid w:val="0010300F"/>
    <w:rsid w:val="0010379E"/>
    <w:rsid w:val="001073B8"/>
    <w:rsid w:val="00107D02"/>
    <w:rsid w:val="00117066"/>
    <w:rsid w:val="0012080E"/>
    <w:rsid w:val="0012130E"/>
    <w:rsid w:val="0012684E"/>
    <w:rsid w:val="00127FB4"/>
    <w:rsid w:val="001348C7"/>
    <w:rsid w:val="0013761F"/>
    <w:rsid w:val="00141BA5"/>
    <w:rsid w:val="00141EEC"/>
    <w:rsid w:val="00142F93"/>
    <w:rsid w:val="00143DA0"/>
    <w:rsid w:val="001471ED"/>
    <w:rsid w:val="0014737C"/>
    <w:rsid w:val="00150259"/>
    <w:rsid w:val="00153383"/>
    <w:rsid w:val="0015742D"/>
    <w:rsid w:val="00161D1A"/>
    <w:rsid w:val="0016510E"/>
    <w:rsid w:val="00165DA8"/>
    <w:rsid w:val="001662A9"/>
    <w:rsid w:val="00167703"/>
    <w:rsid w:val="00171857"/>
    <w:rsid w:val="0017394F"/>
    <w:rsid w:val="001740EB"/>
    <w:rsid w:val="00176C16"/>
    <w:rsid w:val="0017730A"/>
    <w:rsid w:val="0018027A"/>
    <w:rsid w:val="0018046C"/>
    <w:rsid w:val="00191E78"/>
    <w:rsid w:val="00193B63"/>
    <w:rsid w:val="00193BA1"/>
    <w:rsid w:val="00196B94"/>
    <w:rsid w:val="001A4643"/>
    <w:rsid w:val="001B2D8A"/>
    <w:rsid w:val="001B3615"/>
    <w:rsid w:val="001B4598"/>
    <w:rsid w:val="001B4819"/>
    <w:rsid w:val="001B48CB"/>
    <w:rsid w:val="001C1534"/>
    <w:rsid w:val="001C4CC1"/>
    <w:rsid w:val="001D100C"/>
    <w:rsid w:val="001D151A"/>
    <w:rsid w:val="001D5D9B"/>
    <w:rsid w:val="001E24C1"/>
    <w:rsid w:val="001E3056"/>
    <w:rsid w:val="001E48C8"/>
    <w:rsid w:val="001E5695"/>
    <w:rsid w:val="001E6155"/>
    <w:rsid w:val="0020226C"/>
    <w:rsid w:val="00204CA6"/>
    <w:rsid w:val="00206B44"/>
    <w:rsid w:val="00207BCE"/>
    <w:rsid w:val="00210EF6"/>
    <w:rsid w:val="00211229"/>
    <w:rsid w:val="00212F35"/>
    <w:rsid w:val="00213776"/>
    <w:rsid w:val="00214EA2"/>
    <w:rsid w:val="002167A8"/>
    <w:rsid w:val="00220088"/>
    <w:rsid w:val="002231BF"/>
    <w:rsid w:val="002238E5"/>
    <w:rsid w:val="00233C3C"/>
    <w:rsid w:val="00233C6D"/>
    <w:rsid w:val="002369F2"/>
    <w:rsid w:val="00244807"/>
    <w:rsid w:val="00245902"/>
    <w:rsid w:val="00247B19"/>
    <w:rsid w:val="0025399F"/>
    <w:rsid w:val="00260ED5"/>
    <w:rsid w:val="00267550"/>
    <w:rsid w:val="00272D1E"/>
    <w:rsid w:val="002754D8"/>
    <w:rsid w:val="002757F0"/>
    <w:rsid w:val="002800C5"/>
    <w:rsid w:val="0028289C"/>
    <w:rsid w:val="00283838"/>
    <w:rsid w:val="00284C8A"/>
    <w:rsid w:val="002856E1"/>
    <w:rsid w:val="00285FB4"/>
    <w:rsid w:val="002875CC"/>
    <w:rsid w:val="002912A7"/>
    <w:rsid w:val="00292568"/>
    <w:rsid w:val="002929B8"/>
    <w:rsid w:val="00294114"/>
    <w:rsid w:val="00294DAD"/>
    <w:rsid w:val="00294E30"/>
    <w:rsid w:val="002A19E4"/>
    <w:rsid w:val="002A1E37"/>
    <w:rsid w:val="002A2729"/>
    <w:rsid w:val="002A3918"/>
    <w:rsid w:val="002A554A"/>
    <w:rsid w:val="002B4AE3"/>
    <w:rsid w:val="002C6134"/>
    <w:rsid w:val="002E082A"/>
    <w:rsid w:val="002E1EEC"/>
    <w:rsid w:val="002E703F"/>
    <w:rsid w:val="002F0615"/>
    <w:rsid w:val="002F30AA"/>
    <w:rsid w:val="002F39A3"/>
    <w:rsid w:val="00300F41"/>
    <w:rsid w:val="00310029"/>
    <w:rsid w:val="00311DAF"/>
    <w:rsid w:val="0031638A"/>
    <w:rsid w:val="00316597"/>
    <w:rsid w:val="003202ED"/>
    <w:rsid w:val="003204FF"/>
    <w:rsid w:val="00324245"/>
    <w:rsid w:val="003325C0"/>
    <w:rsid w:val="003366C1"/>
    <w:rsid w:val="0033693B"/>
    <w:rsid w:val="00337192"/>
    <w:rsid w:val="00340B40"/>
    <w:rsid w:val="003414B0"/>
    <w:rsid w:val="00341D74"/>
    <w:rsid w:val="003458D7"/>
    <w:rsid w:val="00345C84"/>
    <w:rsid w:val="003470FF"/>
    <w:rsid w:val="003504CE"/>
    <w:rsid w:val="00351515"/>
    <w:rsid w:val="00352048"/>
    <w:rsid w:val="003521B3"/>
    <w:rsid w:val="0035315B"/>
    <w:rsid w:val="00354DFA"/>
    <w:rsid w:val="00357F85"/>
    <w:rsid w:val="00365157"/>
    <w:rsid w:val="0037012A"/>
    <w:rsid w:val="0037230C"/>
    <w:rsid w:val="003724BA"/>
    <w:rsid w:val="003741F7"/>
    <w:rsid w:val="00374A10"/>
    <w:rsid w:val="0038171B"/>
    <w:rsid w:val="00382631"/>
    <w:rsid w:val="00390FA1"/>
    <w:rsid w:val="00395E13"/>
    <w:rsid w:val="003969E9"/>
    <w:rsid w:val="003A1760"/>
    <w:rsid w:val="003A4CE2"/>
    <w:rsid w:val="003B13EC"/>
    <w:rsid w:val="003B1EC4"/>
    <w:rsid w:val="003B42D5"/>
    <w:rsid w:val="003C0382"/>
    <w:rsid w:val="003C2823"/>
    <w:rsid w:val="003C2889"/>
    <w:rsid w:val="003C3E35"/>
    <w:rsid w:val="003C6767"/>
    <w:rsid w:val="003C68E4"/>
    <w:rsid w:val="003C6B86"/>
    <w:rsid w:val="003C7511"/>
    <w:rsid w:val="003D0EF9"/>
    <w:rsid w:val="003D20CC"/>
    <w:rsid w:val="003D30FA"/>
    <w:rsid w:val="003D5E64"/>
    <w:rsid w:val="003E2E2E"/>
    <w:rsid w:val="003E3B3D"/>
    <w:rsid w:val="003E4735"/>
    <w:rsid w:val="003E5F9A"/>
    <w:rsid w:val="003E6F1C"/>
    <w:rsid w:val="003F1E6B"/>
    <w:rsid w:val="003F4D15"/>
    <w:rsid w:val="003F7203"/>
    <w:rsid w:val="00402157"/>
    <w:rsid w:val="004031B7"/>
    <w:rsid w:val="00407878"/>
    <w:rsid w:val="00407BBF"/>
    <w:rsid w:val="00410657"/>
    <w:rsid w:val="00415AE9"/>
    <w:rsid w:val="00417C15"/>
    <w:rsid w:val="00421296"/>
    <w:rsid w:val="00421F93"/>
    <w:rsid w:val="00424920"/>
    <w:rsid w:val="004253C5"/>
    <w:rsid w:val="00426B56"/>
    <w:rsid w:val="00427341"/>
    <w:rsid w:val="00430AE3"/>
    <w:rsid w:val="00430D78"/>
    <w:rsid w:val="004363DF"/>
    <w:rsid w:val="004447F3"/>
    <w:rsid w:val="00446DF2"/>
    <w:rsid w:val="0044753A"/>
    <w:rsid w:val="00447580"/>
    <w:rsid w:val="004521D0"/>
    <w:rsid w:val="00457F34"/>
    <w:rsid w:val="00463B1B"/>
    <w:rsid w:val="0046533B"/>
    <w:rsid w:val="00465FDC"/>
    <w:rsid w:val="00466395"/>
    <w:rsid w:val="00470040"/>
    <w:rsid w:val="00481C88"/>
    <w:rsid w:val="0048459E"/>
    <w:rsid w:val="004845DF"/>
    <w:rsid w:val="00484D33"/>
    <w:rsid w:val="00484FE7"/>
    <w:rsid w:val="0049082C"/>
    <w:rsid w:val="0049324B"/>
    <w:rsid w:val="00496A2E"/>
    <w:rsid w:val="004A12A6"/>
    <w:rsid w:val="004A12D0"/>
    <w:rsid w:val="004A2102"/>
    <w:rsid w:val="004A4B36"/>
    <w:rsid w:val="004A665C"/>
    <w:rsid w:val="004B18B7"/>
    <w:rsid w:val="004B214D"/>
    <w:rsid w:val="004B4825"/>
    <w:rsid w:val="004B544B"/>
    <w:rsid w:val="004B69BB"/>
    <w:rsid w:val="004C002E"/>
    <w:rsid w:val="004C24E9"/>
    <w:rsid w:val="004D5318"/>
    <w:rsid w:val="004D671B"/>
    <w:rsid w:val="004D6885"/>
    <w:rsid w:val="004D7EB1"/>
    <w:rsid w:val="004F18B2"/>
    <w:rsid w:val="004F1B23"/>
    <w:rsid w:val="004F2C82"/>
    <w:rsid w:val="00500CF6"/>
    <w:rsid w:val="00501216"/>
    <w:rsid w:val="00501614"/>
    <w:rsid w:val="005026FB"/>
    <w:rsid w:val="00504A4D"/>
    <w:rsid w:val="00504C83"/>
    <w:rsid w:val="0050502F"/>
    <w:rsid w:val="00505AA1"/>
    <w:rsid w:val="00505F6E"/>
    <w:rsid w:val="00511FC0"/>
    <w:rsid w:val="0051663B"/>
    <w:rsid w:val="0052278C"/>
    <w:rsid w:val="005361BD"/>
    <w:rsid w:val="00542D61"/>
    <w:rsid w:val="00545B8F"/>
    <w:rsid w:val="00547233"/>
    <w:rsid w:val="00552DA5"/>
    <w:rsid w:val="005546A8"/>
    <w:rsid w:val="00554864"/>
    <w:rsid w:val="00555319"/>
    <w:rsid w:val="005601A9"/>
    <w:rsid w:val="005615A7"/>
    <w:rsid w:val="00561695"/>
    <w:rsid w:val="0056639C"/>
    <w:rsid w:val="0058561A"/>
    <w:rsid w:val="00586DEC"/>
    <w:rsid w:val="00586E1D"/>
    <w:rsid w:val="005953BC"/>
    <w:rsid w:val="00597C6F"/>
    <w:rsid w:val="005A0D18"/>
    <w:rsid w:val="005A415D"/>
    <w:rsid w:val="005A5817"/>
    <w:rsid w:val="005A6491"/>
    <w:rsid w:val="005A66C2"/>
    <w:rsid w:val="005A70BF"/>
    <w:rsid w:val="005B1838"/>
    <w:rsid w:val="005B230A"/>
    <w:rsid w:val="005B3E15"/>
    <w:rsid w:val="005B6B8D"/>
    <w:rsid w:val="005C5F65"/>
    <w:rsid w:val="005C6062"/>
    <w:rsid w:val="005C6451"/>
    <w:rsid w:val="005D08C4"/>
    <w:rsid w:val="005E22C9"/>
    <w:rsid w:val="005E4649"/>
    <w:rsid w:val="005E7DCC"/>
    <w:rsid w:val="005F3902"/>
    <w:rsid w:val="005F4A06"/>
    <w:rsid w:val="005F58FB"/>
    <w:rsid w:val="005F5D78"/>
    <w:rsid w:val="005F5DEF"/>
    <w:rsid w:val="00601150"/>
    <w:rsid w:val="00615156"/>
    <w:rsid w:val="0061578A"/>
    <w:rsid w:val="0061629E"/>
    <w:rsid w:val="006162C1"/>
    <w:rsid w:val="00616303"/>
    <w:rsid w:val="006211E1"/>
    <w:rsid w:val="006247CE"/>
    <w:rsid w:val="0062734B"/>
    <w:rsid w:val="00630EFF"/>
    <w:rsid w:val="00633CD8"/>
    <w:rsid w:val="00636673"/>
    <w:rsid w:val="00640BF2"/>
    <w:rsid w:val="00642B95"/>
    <w:rsid w:val="006435B6"/>
    <w:rsid w:val="00644462"/>
    <w:rsid w:val="006474D2"/>
    <w:rsid w:val="0065099B"/>
    <w:rsid w:val="006531E0"/>
    <w:rsid w:val="00654EE3"/>
    <w:rsid w:val="006566CD"/>
    <w:rsid w:val="00660DC9"/>
    <w:rsid w:val="00662EF2"/>
    <w:rsid w:val="00664022"/>
    <w:rsid w:val="0066675E"/>
    <w:rsid w:val="0067053A"/>
    <w:rsid w:val="006714D1"/>
    <w:rsid w:val="00672268"/>
    <w:rsid w:val="00675992"/>
    <w:rsid w:val="00677A91"/>
    <w:rsid w:val="00682D44"/>
    <w:rsid w:val="0068303E"/>
    <w:rsid w:val="00683DBE"/>
    <w:rsid w:val="00684176"/>
    <w:rsid w:val="006844B0"/>
    <w:rsid w:val="00686FCD"/>
    <w:rsid w:val="00690157"/>
    <w:rsid w:val="00690B26"/>
    <w:rsid w:val="006923FD"/>
    <w:rsid w:val="006A09E7"/>
    <w:rsid w:val="006A0B4E"/>
    <w:rsid w:val="006A2B3F"/>
    <w:rsid w:val="006A31BB"/>
    <w:rsid w:val="006A563E"/>
    <w:rsid w:val="006A5E45"/>
    <w:rsid w:val="006A6B54"/>
    <w:rsid w:val="006B11CE"/>
    <w:rsid w:val="006B19F7"/>
    <w:rsid w:val="006B5704"/>
    <w:rsid w:val="006B5DAC"/>
    <w:rsid w:val="006B6D95"/>
    <w:rsid w:val="006C2652"/>
    <w:rsid w:val="006C53ED"/>
    <w:rsid w:val="006D02DC"/>
    <w:rsid w:val="006D03AA"/>
    <w:rsid w:val="006D0A5C"/>
    <w:rsid w:val="006D0E5D"/>
    <w:rsid w:val="006D4E2B"/>
    <w:rsid w:val="006E34E4"/>
    <w:rsid w:val="006E3C40"/>
    <w:rsid w:val="006E42A9"/>
    <w:rsid w:val="006E5155"/>
    <w:rsid w:val="006E522B"/>
    <w:rsid w:val="006E557B"/>
    <w:rsid w:val="006E73B9"/>
    <w:rsid w:val="006E77C0"/>
    <w:rsid w:val="006F0B86"/>
    <w:rsid w:val="006F1EF6"/>
    <w:rsid w:val="006F7C73"/>
    <w:rsid w:val="00700CC4"/>
    <w:rsid w:val="00702DA1"/>
    <w:rsid w:val="00705E00"/>
    <w:rsid w:val="00707490"/>
    <w:rsid w:val="00707CAF"/>
    <w:rsid w:val="00710FD9"/>
    <w:rsid w:val="00713C91"/>
    <w:rsid w:val="007154C1"/>
    <w:rsid w:val="00716A2D"/>
    <w:rsid w:val="0072034A"/>
    <w:rsid w:val="0072246D"/>
    <w:rsid w:val="00723EE1"/>
    <w:rsid w:val="00724F3C"/>
    <w:rsid w:val="00733979"/>
    <w:rsid w:val="00733E99"/>
    <w:rsid w:val="00741025"/>
    <w:rsid w:val="007425AB"/>
    <w:rsid w:val="00756B54"/>
    <w:rsid w:val="00757035"/>
    <w:rsid w:val="00757DB9"/>
    <w:rsid w:val="00760FFF"/>
    <w:rsid w:val="007619B3"/>
    <w:rsid w:val="00763C6D"/>
    <w:rsid w:val="00771A66"/>
    <w:rsid w:val="0077321B"/>
    <w:rsid w:val="00774612"/>
    <w:rsid w:val="00776F15"/>
    <w:rsid w:val="007773AC"/>
    <w:rsid w:val="00785236"/>
    <w:rsid w:val="00792018"/>
    <w:rsid w:val="00796047"/>
    <w:rsid w:val="007A04FD"/>
    <w:rsid w:val="007A2ABB"/>
    <w:rsid w:val="007A3836"/>
    <w:rsid w:val="007A4FC5"/>
    <w:rsid w:val="007B2070"/>
    <w:rsid w:val="007B4E86"/>
    <w:rsid w:val="007B7744"/>
    <w:rsid w:val="007B7DE0"/>
    <w:rsid w:val="007B7E35"/>
    <w:rsid w:val="007C00E6"/>
    <w:rsid w:val="007C0237"/>
    <w:rsid w:val="007C1ED6"/>
    <w:rsid w:val="007C3EBD"/>
    <w:rsid w:val="007C4EAB"/>
    <w:rsid w:val="007C6E1E"/>
    <w:rsid w:val="007C7824"/>
    <w:rsid w:val="007D03A3"/>
    <w:rsid w:val="007D459F"/>
    <w:rsid w:val="007D4A8A"/>
    <w:rsid w:val="007D63CE"/>
    <w:rsid w:val="007D682B"/>
    <w:rsid w:val="007D7235"/>
    <w:rsid w:val="007E126A"/>
    <w:rsid w:val="007E1556"/>
    <w:rsid w:val="007E34CC"/>
    <w:rsid w:val="007F0F35"/>
    <w:rsid w:val="007F446F"/>
    <w:rsid w:val="007F5466"/>
    <w:rsid w:val="00800D44"/>
    <w:rsid w:val="008051A7"/>
    <w:rsid w:val="00806985"/>
    <w:rsid w:val="008119A9"/>
    <w:rsid w:val="00813352"/>
    <w:rsid w:val="008150D5"/>
    <w:rsid w:val="008173DB"/>
    <w:rsid w:val="008255C7"/>
    <w:rsid w:val="00825EB5"/>
    <w:rsid w:val="00831AD2"/>
    <w:rsid w:val="008326F1"/>
    <w:rsid w:val="00833533"/>
    <w:rsid w:val="00833792"/>
    <w:rsid w:val="008353F0"/>
    <w:rsid w:val="00844404"/>
    <w:rsid w:val="00844EA1"/>
    <w:rsid w:val="00846E44"/>
    <w:rsid w:val="008509BE"/>
    <w:rsid w:val="0085264E"/>
    <w:rsid w:val="00853F12"/>
    <w:rsid w:val="00853FC4"/>
    <w:rsid w:val="008555DE"/>
    <w:rsid w:val="00855658"/>
    <w:rsid w:val="00860B9E"/>
    <w:rsid w:val="0086223F"/>
    <w:rsid w:val="008624E2"/>
    <w:rsid w:val="0086270F"/>
    <w:rsid w:val="00863A38"/>
    <w:rsid w:val="00864519"/>
    <w:rsid w:val="008653CC"/>
    <w:rsid w:val="00867F57"/>
    <w:rsid w:val="008739CB"/>
    <w:rsid w:val="00873D0F"/>
    <w:rsid w:val="008770E9"/>
    <w:rsid w:val="008803EB"/>
    <w:rsid w:val="0088113C"/>
    <w:rsid w:val="00885048"/>
    <w:rsid w:val="00885F18"/>
    <w:rsid w:val="0089156D"/>
    <w:rsid w:val="008923E1"/>
    <w:rsid w:val="008924CA"/>
    <w:rsid w:val="00895C40"/>
    <w:rsid w:val="00897206"/>
    <w:rsid w:val="008A129D"/>
    <w:rsid w:val="008A1AC9"/>
    <w:rsid w:val="008A2E5B"/>
    <w:rsid w:val="008A6D05"/>
    <w:rsid w:val="008A78E7"/>
    <w:rsid w:val="008A7EC7"/>
    <w:rsid w:val="008B1DDB"/>
    <w:rsid w:val="008C0814"/>
    <w:rsid w:val="008C2196"/>
    <w:rsid w:val="008C4C23"/>
    <w:rsid w:val="008D0F9C"/>
    <w:rsid w:val="008D66A9"/>
    <w:rsid w:val="008E129B"/>
    <w:rsid w:val="008E407B"/>
    <w:rsid w:val="008F63B3"/>
    <w:rsid w:val="008F6C0F"/>
    <w:rsid w:val="00902987"/>
    <w:rsid w:val="0090528A"/>
    <w:rsid w:val="00907BBD"/>
    <w:rsid w:val="00912C24"/>
    <w:rsid w:val="00915EBA"/>
    <w:rsid w:val="0092135E"/>
    <w:rsid w:val="00922F8F"/>
    <w:rsid w:val="0092318D"/>
    <w:rsid w:val="00926FC3"/>
    <w:rsid w:val="00937FB2"/>
    <w:rsid w:val="00947A8C"/>
    <w:rsid w:val="0095600B"/>
    <w:rsid w:val="00956EF1"/>
    <w:rsid w:val="00964991"/>
    <w:rsid w:val="00964F05"/>
    <w:rsid w:val="00965FAA"/>
    <w:rsid w:val="009777C7"/>
    <w:rsid w:val="009804A8"/>
    <w:rsid w:val="00984D41"/>
    <w:rsid w:val="009874C6"/>
    <w:rsid w:val="00991DF2"/>
    <w:rsid w:val="00992E21"/>
    <w:rsid w:val="00994A36"/>
    <w:rsid w:val="00994CFE"/>
    <w:rsid w:val="009A0BD5"/>
    <w:rsid w:val="009A1259"/>
    <w:rsid w:val="009A4CDC"/>
    <w:rsid w:val="009B12AD"/>
    <w:rsid w:val="009B7BD3"/>
    <w:rsid w:val="009C256C"/>
    <w:rsid w:val="009D24C2"/>
    <w:rsid w:val="009D4549"/>
    <w:rsid w:val="009D533B"/>
    <w:rsid w:val="009E00E3"/>
    <w:rsid w:val="009E2CB7"/>
    <w:rsid w:val="009E65C0"/>
    <w:rsid w:val="009F0396"/>
    <w:rsid w:val="009F0AC2"/>
    <w:rsid w:val="009F2F16"/>
    <w:rsid w:val="00A00585"/>
    <w:rsid w:val="00A03C6A"/>
    <w:rsid w:val="00A10756"/>
    <w:rsid w:val="00A124D5"/>
    <w:rsid w:val="00A15DD5"/>
    <w:rsid w:val="00A1796E"/>
    <w:rsid w:val="00A27FA6"/>
    <w:rsid w:val="00A3251B"/>
    <w:rsid w:val="00A34D30"/>
    <w:rsid w:val="00A34EE3"/>
    <w:rsid w:val="00A35BB8"/>
    <w:rsid w:val="00A36EB9"/>
    <w:rsid w:val="00A4202C"/>
    <w:rsid w:val="00A42064"/>
    <w:rsid w:val="00A424AC"/>
    <w:rsid w:val="00A433AA"/>
    <w:rsid w:val="00A439B0"/>
    <w:rsid w:val="00A50596"/>
    <w:rsid w:val="00A5441E"/>
    <w:rsid w:val="00A561AD"/>
    <w:rsid w:val="00A60DA6"/>
    <w:rsid w:val="00A629A8"/>
    <w:rsid w:val="00A649E7"/>
    <w:rsid w:val="00A67BBD"/>
    <w:rsid w:val="00A7023E"/>
    <w:rsid w:val="00A70EDD"/>
    <w:rsid w:val="00A71CAA"/>
    <w:rsid w:val="00A802F7"/>
    <w:rsid w:val="00A80C25"/>
    <w:rsid w:val="00A80FBE"/>
    <w:rsid w:val="00A8182A"/>
    <w:rsid w:val="00A81DEE"/>
    <w:rsid w:val="00A91D4E"/>
    <w:rsid w:val="00A93999"/>
    <w:rsid w:val="00A96295"/>
    <w:rsid w:val="00A975C1"/>
    <w:rsid w:val="00AA14E7"/>
    <w:rsid w:val="00AA282F"/>
    <w:rsid w:val="00AB65AA"/>
    <w:rsid w:val="00AC33C6"/>
    <w:rsid w:val="00AC3F61"/>
    <w:rsid w:val="00AC4D68"/>
    <w:rsid w:val="00AC56D3"/>
    <w:rsid w:val="00AC743C"/>
    <w:rsid w:val="00AD2B7D"/>
    <w:rsid w:val="00AD2B8A"/>
    <w:rsid w:val="00AD780A"/>
    <w:rsid w:val="00AE23FA"/>
    <w:rsid w:val="00AE4675"/>
    <w:rsid w:val="00AE546A"/>
    <w:rsid w:val="00AF0C2E"/>
    <w:rsid w:val="00AF1308"/>
    <w:rsid w:val="00AF2E72"/>
    <w:rsid w:val="00AF5EAC"/>
    <w:rsid w:val="00AF72EB"/>
    <w:rsid w:val="00B0132A"/>
    <w:rsid w:val="00B11B7B"/>
    <w:rsid w:val="00B158CB"/>
    <w:rsid w:val="00B17D38"/>
    <w:rsid w:val="00B21804"/>
    <w:rsid w:val="00B21985"/>
    <w:rsid w:val="00B236D8"/>
    <w:rsid w:val="00B40AC3"/>
    <w:rsid w:val="00B453DC"/>
    <w:rsid w:val="00B63A10"/>
    <w:rsid w:val="00B663AB"/>
    <w:rsid w:val="00B66B19"/>
    <w:rsid w:val="00B76DE9"/>
    <w:rsid w:val="00B771DF"/>
    <w:rsid w:val="00B77395"/>
    <w:rsid w:val="00B77DE1"/>
    <w:rsid w:val="00B82DF7"/>
    <w:rsid w:val="00B93E5F"/>
    <w:rsid w:val="00B958BA"/>
    <w:rsid w:val="00B96E0E"/>
    <w:rsid w:val="00B97B71"/>
    <w:rsid w:val="00BB1870"/>
    <w:rsid w:val="00BB4FFF"/>
    <w:rsid w:val="00BB5C60"/>
    <w:rsid w:val="00BC4E3A"/>
    <w:rsid w:val="00BE2145"/>
    <w:rsid w:val="00BE2224"/>
    <w:rsid w:val="00BE2964"/>
    <w:rsid w:val="00BE33E3"/>
    <w:rsid w:val="00BE788A"/>
    <w:rsid w:val="00BF06A5"/>
    <w:rsid w:val="00BF2BEC"/>
    <w:rsid w:val="00BF34C6"/>
    <w:rsid w:val="00C01FF9"/>
    <w:rsid w:val="00C0292E"/>
    <w:rsid w:val="00C047CE"/>
    <w:rsid w:val="00C04B0E"/>
    <w:rsid w:val="00C050C9"/>
    <w:rsid w:val="00C05564"/>
    <w:rsid w:val="00C14F08"/>
    <w:rsid w:val="00C15A7F"/>
    <w:rsid w:val="00C17582"/>
    <w:rsid w:val="00C22F42"/>
    <w:rsid w:val="00C240DF"/>
    <w:rsid w:val="00C24A03"/>
    <w:rsid w:val="00C25A16"/>
    <w:rsid w:val="00C35AE6"/>
    <w:rsid w:val="00C35F34"/>
    <w:rsid w:val="00C4007D"/>
    <w:rsid w:val="00C55EC2"/>
    <w:rsid w:val="00C5712B"/>
    <w:rsid w:val="00C63194"/>
    <w:rsid w:val="00C63391"/>
    <w:rsid w:val="00C66445"/>
    <w:rsid w:val="00C74E36"/>
    <w:rsid w:val="00C76854"/>
    <w:rsid w:val="00C77169"/>
    <w:rsid w:val="00C77411"/>
    <w:rsid w:val="00C808A9"/>
    <w:rsid w:val="00C85248"/>
    <w:rsid w:val="00C860FB"/>
    <w:rsid w:val="00C8788C"/>
    <w:rsid w:val="00C906EC"/>
    <w:rsid w:val="00C956DF"/>
    <w:rsid w:val="00C96454"/>
    <w:rsid w:val="00CA268A"/>
    <w:rsid w:val="00CA4A2B"/>
    <w:rsid w:val="00CA6A40"/>
    <w:rsid w:val="00CA78DD"/>
    <w:rsid w:val="00CB0D15"/>
    <w:rsid w:val="00CB20B2"/>
    <w:rsid w:val="00CB2503"/>
    <w:rsid w:val="00CB3AFB"/>
    <w:rsid w:val="00CB4DB9"/>
    <w:rsid w:val="00CC01D7"/>
    <w:rsid w:val="00CC17D9"/>
    <w:rsid w:val="00CC5BF0"/>
    <w:rsid w:val="00CD50F3"/>
    <w:rsid w:val="00CD6D6A"/>
    <w:rsid w:val="00CE4A6C"/>
    <w:rsid w:val="00CE6950"/>
    <w:rsid w:val="00CF3964"/>
    <w:rsid w:val="00CF7049"/>
    <w:rsid w:val="00CF7F6C"/>
    <w:rsid w:val="00D10CBB"/>
    <w:rsid w:val="00D127B9"/>
    <w:rsid w:val="00D134CE"/>
    <w:rsid w:val="00D1692F"/>
    <w:rsid w:val="00D22F94"/>
    <w:rsid w:val="00D30355"/>
    <w:rsid w:val="00D31952"/>
    <w:rsid w:val="00D31B6A"/>
    <w:rsid w:val="00D3360D"/>
    <w:rsid w:val="00D3373C"/>
    <w:rsid w:val="00D34D64"/>
    <w:rsid w:val="00D36320"/>
    <w:rsid w:val="00D370CF"/>
    <w:rsid w:val="00D4019A"/>
    <w:rsid w:val="00D42865"/>
    <w:rsid w:val="00D43327"/>
    <w:rsid w:val="00D478B5"/>
    <w:rsid w:val="00D52B3B"/>
    <w:rsid w:val="00D52E36"/>
    <w:rsid w:val="00D552FC"/>
    <w:rsid w:val="00D60D2D"/>
    <w:rsid w:val="00D65172"/>
    <w:rsid w:val="00D70420"/>
    <w:rsid w:val="00D75DBC"/>
    <w:rsid w:val="00D842FD"/>
    <w:rsid w:val="00D905E4"/>
    <w:rsid w:val="00D90FD8"/>
    <w:rsid w:val="00D912C4"/>
    <w:rsid w:val="00D964BA"/>
    <w:rsid w:val="00D96639"/>
    <w:rsid w:val="00D97DE4"/>
    <w:rsid w:val="00DA332F"/>
    <w:rsid w:val="00DA3F1D"/>
    <w:rsid w:val="00DA4E0C"/>
    <w:rsid w:val="00DB0B8E"/>
    <w:rsid w:val="00DB1590"/>
    <w:rsid w:val="00DB42AA"/>
    <w:rsid w:val="00DB4489"/>
    <w:rsid w:val="00DB7D1C"/>
    <w:rsid w:val="00DC027A"/>
    <w:rsid w:val="00DC0AD9"/>
    <w:rsid w:val="00DD651B"/>
    <w:rsid w:val="00DE0AE6"/>
    <w:rsid w:val="00DE0B7B"/>
    <w:rsid w:val="00DE3255"/>
    <w:rsid w:val="00DE41F0"/>
    <w:rsid w:val="00DF1EC0"/>
    <w:rsid w:val="00DF1F5C"/>
    <w:rsid w:val="00DF4A7A"/>
    <w:rsid w:val="00DF5DA1"/>
    <w:rsid w:val="00E00E1B"/>
    <w:rsid w:val="00E00FDF"/>
    <w:rsid w:val="00E02B6E"/>
    <w:rsid w:val="00E02C94"/>
    <w:rsid w:val="00E05230"/>
    <w:rsid w:val="00E13867"/>
    <w:rsid w:val="00E13A1D"/>
    <w:rsid w:val="00E156EB"/>
    <w:rsid w:val="00E23510"/>
    <w:rsid w:val="00E25969"/>
    <w:rsid w:val="00E26023"/>
    <w:rsid w:val="00E303AF"/>
    <w:rsid w:val="00E34CF6"/>
    <w:rsid w:val="00E36B92"/>
    <w:rsid w:val="00E37DD8"/>
    <w:rsid w:val="00E50CC7"/>
    <w:rsid w:val="00E51266"/>
    <w:rsid w:val="00E51A50"/>
    <w:rsid w:val="00E53D8B"/>
    <w:rsid w:val="00E54DAA"/>
    <w:rsid w:val="00E55495"/>
    <w:rsid w:val="00E558C3"/>
    <w:rsid w:val="00E63CD1"/>
    <w:rsid w:val="00E706DF"/>
    <w:rsid w:val="00E75408"/>
    <w:rsid w:val="00E77851"/>
    <w:rsid w:val="00E81456"/>
    <w:rsid w:val="00E82176"/>
    <w:rsid w:val="00E858B8"/>
    <w:rsid w:val="00E877EE"/>
    <w:rsid w:val="00E87D02"/>
    <w:rsid w:val="00E91505"/>
    <w:rsid w:val="00E927E5"/>
    <w:rsid w:val="00E928E8"/>
    <w:rsid w:val="00E940B8"/>
    <w:rsid w:val="00E94884"/>
    <w:rsid w:val="00EA240C"/>
    <w:rsid w:val="00EA4FA7"/>
    <w:rsid w:val="00EA5BC8"/>
    <w:rsid w:val="00EA6B5D"/>
    <w:rsid w:val="00EA6CD4"/>
    <w:rsid w:val="00EA788F"/>
    <w:rsid w:val="00EB6F17"/>
    <w:rsid w:val="00ED16A1"/>
    <w:rsid w:val="00ED2946"/>
    <w:rsid w:val="00EE1978"/>
    <w:rsid w:val="00EE1F1C"/>
    <w:rsid w:val="00EF2ED0"/>
    <w:rsid w:val="00EF2F5C"/>
    <w:rsid w:val="00EF45EB"/>
    <w:rsid w:val="00EF5740"/>
    <w:rsid w:val="00EF5857"/>
    <w:rsid w:val="00F033F2"/>
    <w:rsid w:val="00F04A6E"/>
    <w:rsid w:val="00F0722B"/>
    <w:rsid w:val="00F07E82"/>
    <w:rsid w:val="00F11A88"/>
    <w:rsid w:val="00F15C35"/>
    <w:rsid w:val="00F26D06"/>
    <w:rsid w:val="00F300AA"/>
    <w:rsid w:val="00F334D0"/>
    <w:rsid w:val="00F44665"/>
    <w:rsid w:val="00F44D75"/>
    <w:rsid w:val="00F554DB"/>
    <w:rsid w:val="00F606EA"/>
    <w:rsid w:val="00F67FE3"/>
    <w:rsid w:val="00F851FE"/>
    <w:rsid w:val="00F91887"/>
    <w:rsid w:val="00F95C27"/>
    <w:rsid w:val="00F97B1F"/>
    <w:rsid w:val="00FA0C06"/>
    <w:rsid w:val="00FA13A5"/>
    <w:rsid w:val="00FA5336"/>
    <w:rsid w:val="00FB12E7"/>
    <w:rsid w:val="00FB42CF"/>
    <w:rsid w:val="00FB50D2"/>
    <w:rsid w:val="00FB60F0"/>
    <w:rsid w:val="00FC3F94"/>
    <w:rsid w:val="00FC4520"/>
    <w:rsid w:val="00FC48B7"/>
    <w:rsid w:val="00FC50BF"/>
    <w:rsid w:val="00FC52B8"/>
    <w:rsid w:val="00FD4554"/>
    <w:rsid w:val="00FD4C4B"/>
    <w:rsid w:val="00FD68D5"/>
    <w:rsid w:val="00FE38D9"/>
    <w:rsid w:val="00FE5C07"/>
    <w:rsid w:val="00FE6896"/>
    <w:rsid w:val="00FF0F2C"/>
    <w:rsid w:val="00FF1374"/>
    <w:rsid w:val="00FF7C71"/>
    <w:rsid w:val="00FF7FB7"/>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E151"/>
  <w15:docId w15:val="{F4616BA8-200D-4F1B-B6E6-307BA65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5137">
      <w:bodyDiv w:val="1"/>
      <w:marLeft w:val="0"/>
      <w:marRight w:val="0"/>
      <w:marTop w:val="0"/>
      <w:marBottom w:val="0"/>
      <w:divBdr>
        <w:top w:val="none" w:sz="0" w:space="0" w:color="auto"/>
        <w:left w:val="none" w:sz="0" w:space="0" w:color="auto"/>
        <w:bottom w:val="none" w:sz="0" w:space="0" w:color="auto"/>
        <w:right w:val="none" w:sz="0" w:space="0" w:color="auto"/>
      </w:divBdr>
    </w:div>
    <w:div w:id="664436645">
      <w:bodyDiv w:val="1"/>
      <w:marLeft w:val="0"/>
      <w:marRight w:val="0"/>
      <w:marTop w:val="0"/>
      <w:marBottom w:val="0"/>
      <w:divBdr>
        <w:top w:val="none" w:sz="0" w:space="0" w:color="auto"/>
        <w:left w:val="none" w:sz="0" w:space="0" w:color="auto"/>
        <w:bottom w:val="none" w:sz="0" w:space="0" w:color="auto"/>
        <w:right w:val="none" w:sz="0" w:space="0" w:color="auto"/>
      </w:divBdr>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714040656">
      <w:bodyDiv w:val="1"/>
      <w:marLeft w:val="0"/>
      <w:marRight w:val="0"/>
      <w:marTop w:val="0"/>
      <w:marBottom w:val="0"/>
      <w:divBdr>
        <w:top w:val="none" w:sz="0" w:space="0" w:color="auto"/>
        <w:left w:val="none" w:sz="0" w:space="0" w:color="auto"/>
        <w:bottom w:val="none" w:sz="0" w:space="0" w:color="auto"/>
        <w:right w:val="none" w:sz="0" w:space="0" w:color="auto"/>
      </w:divBdr>
    </w:div>
    <w:div w:id="801846258">
      <w:bodyDiv w:val="1"/>
      <w:marLeft w:val="0"/>
      <w:marRight w:val="0"/>
      <w:marTop w:val="0"/>
      <w:marBottom w:val="0"/>
      <w:divBdr>
        <w:top w:val="none" w:sz="0" w:space="0" w:color="auto"/>
        <w:left w:val="none" w:sz="0" w:space="0" w:color="auto"/>
        <w:bottom w:val="none" w:sz="0" w:space="0" w:color="auto"/>
        <w:right w:val="none" w:sz="0" w:space="0" w:color="auto"/>
      </w:divBdr>
    </w:div>
    <w:div w:id="822309839">
      <w:bodyDiv w:val="1"/>
      <w:marLeft w:val="0"/>
      <w:marRight w:val="0"/>
      <w:marTop w:val="0"/>
      <w:marBottom w:val="0"/>
      <w:divBdr>
        <w:top w:val="none" w:sz="0" w:space="0" w:color="auto"/>
        <w:left w:val="none" w:sz="0" w:space="0" w:color="auto"/>
        <w:bottom w:val="none" w:sz="0" w:space="0" w:color="auto"/>
        <w:right w:val="none" w:sz="0" w:space="0" w:color="auto"/>
      </w:divBdr>
      <w:divsChild>
        <w:div w:id="71709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959066192">
      <w:bodyDiv w:val="1"/>
      <w:marLeft w:val="0"/>
      <w:marRight w:val="0"/>
      <w:marTop w:val="0"/>
      <w:marBottom w:val="0"/>
      <w:divBdr>
        <w:top w:val="none" w:sz="0" w:space="0" w:color="auto"/>
        <w:left w:val="none" w:sz="0" w:space="0" w:color="auto"/>
        <w:bottom w:val="none" w:sz="0" w:space="0" w:color="auto"/>
        <w:right w:val="none" w:sz="0" w:space="0" w:color="auto"/>
      </w:divBdr>
    </w:div>
    <w:div w:id="1175460938">
      <w:bodyDiv w:val="1"/>
      <w:marLeft w:val="0"/>
      <w:marRight w:val="0"/>
      <w:marTop w:val="0"/>
      <w:marBottom w:val="0"/>
      <w:divBdr>
        <w:top w:val="none" w:sz="0" w:space="0" w:color="auto"/>
        <w:left w:val="none" w:sz="0" w:space="0" w:color="auto"/>
        <w:bottom w:val="none" w:sz="0" w:space="0" w:color="auto"/>
        <w:right w:val="none" w:sz="0" w:space="0" w:color="auto"/>
      </w:divBdr>
    </w:div>
    <w:div w:id="1319000483">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34083898">
      <w:bodyDiv w:val="1"/>
      <w:marLeft w:val="0"/>
      <w:marRight w:val="0"/>
      <w:marTop w:val="0"/>
      <w:marBottom w:val="0"/>
      <w:divBdr>
        <w:top w:val="none" w:sz="0" w:space="0" w:color="auto"/>
        <w:left w:val="none" w:sz="0" w:space="0" w:color="auto"/>
        <w:bottom w:val="none" w:sz="0" w:space="0" w:color="auto"/>
        <w:right w:val="none" w:sz="0" w:space="0" w:color="auto"/>
      </w:divBdr>
    </w:div>
    <w:div w:id="1444616439">
      <w:bodyDiv w:val="1"/>
      <w:marLeft w:val="0"/>
      <w:marRight w:val="0"/>
      <w:marTop w:val="0"/>
      <w:marBottom w:val="0"/>
      <w:divBdr>
        <w:top w:val="none" w:sz="0" w:space="0" w:color="auto"/>
        <w:left w:val="none" w:sz="0" w:space="0" w:color="auto"/>
        <w:bottom w:val="none" w:sz="0" w:space="0" w:color="auto"/>
        <w:right w:val="none" w:sz="0" w:space="0" w:color="auto"/>
      </w:divBdr>
    </w:div>
    <w:div w:id="1677222819">
      <w:bodyDiv w:val="1"/>
      <w:marLeft w:val="0"/>
      <w:marRight w:val="0"/>
      <w:marTop w:val="0"/>
      <w:marBottom w:val="0"/>
      <w:divBdr>
        <w:top w:val="none" w:sz="0" w:space="0" w:color="auto"/>
        <w:left w:val="none" w:sz="0" w:space="0" w:color="auto"/>
        <w:bottom w:val="none" w:sz="0" w:space="0" w:color="auto"/>
        <w:right w:val="none" w:sz="0" w:space="0" w:color="auto"/>
      </w:divBdr>
    </w:div>
    <w:div w:id="1883863398">
      <w:bodyDiv w:val="1"/>
      <w:marLeft w:val="0"/>
      <w:marRight w:val="0"/>
      <w:marTop w:val="0"/>
      <w:marBottom w:val="0"/>
      <w:divBdr>
        <w:top w:val="none" w:sz="0" w:space="0" w:color="auto"/>
        <w:left w:val="none" w:sz="0" w:space="0" w:color="auto"/>
        <w:bottom w:val="none" w:sz="0" w:space="0" w:color="auto"/>
        <w:right w:val="none" w:sz="0" w:space="0" w:color="auto"/>
      </w:divBdr>
    </w:div>
    <w:div w:id="2019042913">
      <w:bodyDiv w:val="1"/>
      <w:marLeft w:val="0"/>
      <w:marRight w:val="0"/>
      <w:marTop w:val="0"/>
      <w:marBottom w:val="0"/>
      <w:divBdr>
        <w:top w:val="none" w:sz="0" w:space="0" w:color="auto"/>
        <w:left w:val="none" w:sz="0" w:space="0" w:color="auto"/>
        <w:bottom w:val="none" w:sz="0" w:space="0" w:color="auto"/>
        <w:right w:val="none" w:sz="0" w:space="0" w:color="auto"/>
      </w:divBdr>
    </w:div>
    <w:div w:id="212168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yperlink" Target="mailto:adriaan@odbb.co.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elanie@odbb.co.z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botha@theproteagroup.co.za" TargetMode="External"/><Relationship Id="rId5" Type="http://schemas.openxmlformats.org/officeDocument/2006/relationships/footnotes" Target="footnotes.xml"/><Relationship Id="rId15" Type="http://schemas.openxmlformats.org/officeDocument/2006/relationships/hyperlink" Target="mailto:innes@attorneys.co.za" TargetMode="External"/><Relationship Id="rId10" Type="http://schemas.openxmlformats.org/officeDocument/2006/relationships/hyperlink" Target="mailto:jacques@cdc-centurion.co.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cquesv@oep.co.za" TargetMode="External"/><Relationship Id="rId14" Type="http://schemas.openxmlformats.org/officeDocument/2006/relationships/hyperlink" Target="mailto:hannesklopper@clubadvocates.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1</TotalTime>
  <Pages>19</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VL</dc:creator>
  <cp:keywords/>
  <dc:description/>
  <cp:lastModifiedBy>Lilitha Mdleleni</cp:lastModifiedBy>
  <cp:revision>3</cp:revision>
  <cp:lastPrinted>2023-12-28T08:26:00Z</cp:lastPrinted>
  <dcterms:created xsi:type="dcterms:W3CDTF">2024-01-03T08:52:00Z</dcterms:created>
  <dcterms:modified xsi:type="dcterms:W3CDTF">2024-01-05T08:24:00Z</dcterms:modified>
</cp:coreProperties>
</file>