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AEB3" w14:textId="36B4FC1C" w:rsidR="0025329B" w:rsidRDefault="0025329B" w:rsidP="0025329B">
      <w:pPr>
        <w:tabs>
          <w:tab w:val="left" w:pos="2342"/>
          <w:tab w:val="center" w:pos="4513"/>
        </w:tabs>
        <w:spacing w:after="0" w:line="240" w:lineRule="auto"/>
        <w:ind w:left="0"/>
        <w:jc w:val="left"/>
        <w:outlineLvl w:val="0"/>
        <w:rPr>
          <w:rFonts w:eastAsia="Times New Roman" w:cs="Arial"/>
          <w:b/>
          <w:noProof/>
          <w:szCs w:val="24"/>
          <w:lang w:val="en-ZA" w:eastAsia="en-ZA"/>
        </w:rPr>
      </w:pPr>
      <w:r>
        <w:rPr>
          <w:rFonts w:eastAsia="Times New Roman" w:cs="Arial"/>
          <w:b/>
          <w:noProof/>
          <w:szCs w:val="24"/>
          <w:lang w:val="en-ZA" w:eastAsia="en-ZA"/>
        </w:rPr>
        <w:pict w14:anchorId="78CE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7.5pt;height:36.75pt">
            <v:imagedata r:id="rId11" o:title="Editorial note - Word"/>
          </v:shape>
        </w:pict>
      </w:r>
    </w:p>
    <w:p w14:paraId="3C89A9DF" w14:textId="1F30FD35" w:rsidR="00422DCC" w:rsidRPr="00422DCC" w:rsidRDefault="00422DCC" w:rsidP="00422DCC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szCs w:val="24"/>
          <w:lang w:val="en-ZA" w:eastAsia="en-ZA"/>
        </w:rPr>
      </w:pPr>
      <w:r w:rsidRPr="00422DCC">
        <w:rPr>
          <w:rFonts w:eastAsia="Times New Roman" w:cs="Arial"/>
          <w:b/>
          <w:noProof/>
          <w:szCs w:val="24"/>
          <w:lang w:val="en-ZA" w:eastAsia="en-ZA"/>
        </w:rPr>
        <w:t>REPUBLIC OF SOUTH AFRICA</w:t>
      </w:r>
    </w:p>
    <w:p w14:paraId="0846ADFA" w14:textId="77777777" w:rsidR="00422DCC" w:rsidRPr="00422DCC" w:rsidRDefault="00422DCC" w:rsidP="00422DCC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szCs w:val="24"/>
          <w:lang w:val="en-ZA" w:eastAsia="en-ZA"/>
        </w:rPr>
      </w:pPr>
    </w:p>
    <w:p w14:paraId="1A8CFAC2" w14:textId="77777777" w:rsidR="00422DCC" w:rsidRPr="00422DCC" w:rsidRDefault="00422DCC" w:rsidP="00422DCC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szCs w:val="24"/>
          <w:lang w:val="en-ZA"/>
        </w:rPr>
      </w:pPr>
      <w:r w:rsidRPr="00422DCC">
        <w:rPr>
          <w:rFonts w:eastAsia="Times New Roman" w:cs="Arial"/>
          <w:noProof/>
          <w:szCs w:val="24"/>
          <w:lang w:val="en-US"/>
        </w:rPr>
        <w:drawing>
          <wp:inline distT="0" distB="0" distL="0" distR="0" wp14:anchorId="4DAFB8C6" wp14:editId="695066E8">
            <wp:extent cx="1350645" cy="1350645"/>
            <wp:effectExtent l="0" t="0" r="1905" b="1905"/>
            <wp:docPr id="3" name="Picture 3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9B07" w14:textId="77777777" w:rsidR="00422DCC" w:rsidRPr="00422DCC" w:rsidRDefault="00422DCC" w:rsidP="00422DCC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</w:p>
    <w:p w14:paraId="20541803" w14:textId="77777777" w:rsidR="00422DCC" w:rsidRPr="00422DCC" w:rsidRDefault="00422DCC" w:rsidP="00422DCC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  <w:r w:rsidRPr="00422DCC">
        <w:rPr>
          <w:rFonts w:eastAsia="Times New Roman" w:cs="Arial"/>
          <w:b/>
          <w:szCs w:val="24"/>
          <w:lang w:val="en-ZA"/>
        </w:rPr>
        <w:t>IN THE HIGH COURT OF SOUTH AFRICA</w:t>
      </w:r>
    </w:p>
    <w:p w14:paraId="5529F4F8" w14:textId="77777777" w:rsidR="00422DCC" w:rsidRPr="00422DCC" w:rsidRDefault="00422DCC" w:rsidP="00422DCC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  <w:r w:rsidRPr="00422DCC">
        <w:rPr>
          <w:rFonts w:eastAsia="Times New Roman" w:cs="Arial"/>
          <w:b/>
          <w:szCs w:val="24"/>
          <w:lang w:val="en-ZA"/>
        </w:rPr>
        <w:t>GAUTENG DIVISION, JOHANNESBURG</w:t>
      </w:r>
    </w:p>
    <w:p w14:paraId="45A7ABAE" w14:textId="77777777" w:rsidR="00422DCC" w:rsidRPr="00422DCC" w:rsidRDefault="00422DCC" w:rsidP="00422DCC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4C720708" w14:textId="77777777" w:rsidR="00422DCC" w:rsidRPr="00422DCC" w:rsidRDefault="00422DCC" w:rsidP="00422DCC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1DFA32E3" w14:textId="77777777" w:rsidR="005A2A57" w:rsidRPr="00395555" w:rsidRDefault="00422DCC" w:rsidP="005A2A57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b/>
          <w:bCs/>
          <w:szCs w:val="24"/>
          <w:lang w:val="en-ZA"/>
        </w:rPr>
      </w:pPr>
      <w:r w:rsidRPr="00422DCC">
        <w:rPr>
          <w:rFonts w:eastAsia="Times New Roman" w:cs="Arial"/>
          <w:szCs w:val="24"/>
          <w:lang w:val="en-ZA"/>
        </w:rPr>
        <w:tab/>
      </w:r>
      <w:r w:rsidR="005A2A57">
        <w:rPr>
          <w:rFonts w:eastAsia="Times New Roman" w:cs="Arial"/>
          <w:szCs w:val="24"/>
          <w:lang w:val="en-ZA"/>
        </w:rPr>
        <w:t xml:space="preserve"> </w:t>
      </w:r>
    </w:p>
    <w:p w14:paraId="783BBCE5" w14:textId="03903A37" w:rsidR="005A2A57" w:rsidRPr="00395555" w:rsidRDefault="005A2A57" w:rsidP="005A2A57">
      <w:pPr>
        <w:pStyle w:val="JudgmentNumbered"/>
        <w:numPr>
          <w:ilvl w:val="0"/>
          <w:numId w:val="0"/>
        </w:numPr>
        <w:ind w:left="567" w:hanging="567"/>
        <w:jc w:val="right"/>
        <w:rPr>
          <w:b/>
          <w:bCs/>
          <w:lang w:val="en-ZA"/>
        </w:rPr>
      </w:pPr>
      <w:r w:rsidRPr="00395555">
        <w:rPr>
          <w:b/>
          <w:bCs/>
          <w:lang w:val="en-ZA"/>
        </w:rPr>
        <w:t xml:space="preserve">Case </w:t>
      </w:r>
      <w:r w:rsidR="0051381B" w:rsidRPr="00395555">
        <w:rPr>
          <w:b/>
          <w:bCs/>
          <w:lang w:val="en-ZA"/>
        </w:rPr>
        <w:t>No.</w:t>
      </w:r>
      <w:r w:rsidR="004767AA" w:rsidRPr="00395555">
        <w:rPr>
          <w:b/>
          <w:bCs/>
          <w:lang w:val="en-ZA"/>
        </w:rPr>
        <w:t xml:space="preserve"> </w:t>
      </w:r>
      <w:r w:rsidR="00395555" w:rsidRPr="00395555">
        <w:rPr>
          <w:b/>
          <w:bCs/>
        </w:rPr>
        <w:t>2020/33986</w:t>
      </w:r>
    </w:p>
    <w:p w14:paraId="708AE567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422DCC"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D076" wp14:editId="37B2143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3147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2AFF" w14:textId="00744575" w:rsidR="00B95DE9" w:rsidRPr="008E6535" w:rsidRDefault="0025329B" w:rsidP="0025329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(1)</w:t>
                            </w: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95DE9"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REPORTABLE: </w:t>
                            </w:r>
                          </w:p>
                          <w:p w14:paraId="4C8C5104" w14:textId="64A747A4" w:rsidR="00B95DE9" w:rsidRPr="008E6535" w:rsidRDefault="0025329B" w:rsidP="0025329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(2)</w:t>
                            </w: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95DE9"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OF INTEREST TO OTHER JUDGES: </w:t>
                            </w:r>
                          </w:p>
                          <w:p w14:paraId="48F85747" w14:textId="75F57570" w:rsidR="00B95DE9" w:rsidRPr="008E6535" w:rsidRDefault="0025329B" w:rsidP="0025329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(3)</w:t>
                            </w:r>
                            <w:r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95DE9"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A32357" w:rsidRPr="008E6535">
                              <w:rPr>
                                <w:rFonts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5B7AD43" w14:textId="77777777" w:rsidR="008E6535" w:rsidRPr="00422DCC" w:rsidRDefault="008E6535" w:rsidP="00422DCC">
                            <w:pPr>
                              <w:pStyle w:val="Judgmen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67"/>
                            </w:pPr>
                          </w:p>
                          <w:p w14:paraId="2EE5D385" w14:textId="353221AC" w:rsidR="00B95DE9" w:rsidRPr="00C344A5" w:rsidRDefault="00B95DE9" w:rsidP="008E65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4767AA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/0</w:t>
                            </w:r>
                            <w:r w:rsidR="004767AA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/2023</w:t>
                            </w:r>
                            <w:r w:rsidRPr="00C344A5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Pr="00C344A5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__________________</w:t>
                            </w:r>
                          </w:p>
                          <w:p w14:paraId="41F058C1" w14:textId="1024204B" w:rsidR="00B95DE9" w:rsidRPr="00C344A5" w:rsidRDefault="00B95DE9" w:rsidP="008E6535">
                            <w:pPr>
                              <w:spacing w:before="240" w:after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rFonts w:cs="Arial"/>
                                <w:sz w:val="18"/>
                                <w:szCs w:val="20"/>
                              </w:rPr>
                              <w:t>DATE</w:t>
                            </w:r>
                            <w:r w:rsidR="00CE03A5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CE03A5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="00CE03A5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C344A5">
                              <w:rPr>
                                <w:rFonts w:cs="Arial"/>
                                <w:sz w:val="18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8D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261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eVKQIAAFE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">
                <v:textbox>
                  <w:txbxContent>
                    <w:p w14:paraId="4A662AFF" w14:textId="00744575" w:rsidR="00B95DE9" w:rsidRPr="008E6535" w:rsidRDefault="0025329B" w:rsidP="0025329B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>(1)</w:t>
                      </w: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95DE9" w:rsidRPr="008E6535">
                        <w:rPr>
                          <w:rFonts w:cs="Arial"/>
                          <w:sz w:val="18"/>
                          <w:szCs w:val="18"/>
                        </w:rPr>
                        <w:t xml:space="preserve">REPORTABLE: </w:t>
                      </w:r>
                    </w:p>
                    <w:p w14:paraId="4C8C5104" w14:textId="64A747A4" w:rsidR="00B95DE9" w:rsidRPr="008E6535" w:rsidRDefault="0025329B" w:rsidP="0025329B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>(2)</w:t>
                      </w: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95DE9" w:rsidRPr="008E6535">
                        <w:rPr>
                          <w:rFonts w:cs="Arial"/>
                          <w:sz w:val="18"/>
                          <w:szCs w:val="18"/>
                        </w:rPr>
                        <w:t xml:space="preserve">OF INTEREST TO OTHER JUDGES: </w:t>
                      </w:r>
                    </w:p>
                    <w:p w14:paraId="48F85747" w14:textId="75F57570" w:rsidR="00B95DE9" w:rsidRPr="008E6535" w:rsidRDefault="0025329B" w:rsidP="0025329B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>(3)</w:t>
                      </w:r>
                      <w:r w:rsidRPr="008E6535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95DE9" w:rsidRPr="008E6535">
                        <w:rPr>
                          <w:rFonts w:cs="Arial"/>
                          <w:sz w:val="18"/>
                          <w:szCs w:val="18"/>
                        </w:rPr>
                        <w:t xml:space="preserve">REVISED: </w:t>
                      </w:r>
                      <w:r w:rsidR="00A32357" w:rsidRPr="008E6535">
                        <w:rPr>
                          <w:rFonts w:cs="Arial"/>
                          <w:sz w:val="18"/>
                          <w:szCs w:val="18"/>
                        </w:rPr>
                        <w:t>YES</w:t>
                      </w:r>
                    </w:p>
                    <w:p w14:paraId="15B7AD43" w14:textId="77777777" w:rsidR="008E6535" w:rsidRPr="00422DCC" w:rsidRDefault="008E6535" w:rsidP="00422DCC">
                      <w:pPr>
                        <w:pStyle w:val="JudgmentNumbered"/>
                        <w:numPr>
                          <w:ilvl w:val="0"/>
                          <w:numId w:val="0"/>
                        </w:numPr>
                        <w:spacing w:after="0"/>
                        <w:ind w:left="567"/>
                      </w:pPr>
                    </w:p>
                    <w:p w14:paraId="2EE5D385" w14:textId="353221AC" w:rsidR="00B95DE9" w:rsidRPr="00C344A5" w:rsidRDefault="00B95DE9" w:rsidP="008E6535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>0</w:t>
                      </w:r>
                      <w:r w:rsidR="004767AA">
                        <w:rPr>
                          <w:rFonts w:cs="Arial"/>
                          <w:b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>/0</w:t>
                      </w:r>
                      <w:r w:rsidR="004767AA">
                        <w:rPr>
                          <w:rFonts w:cs="Arial"/>
                          <w:b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>/2023</w:t>
                      </w:r>
                      <w:r w:rsidRPr="00C344A5">
                        <w:rPr>
                          <w:rFonts w:cs="Arial"/>
                          <w:b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ab/>
                      </w:r>
                      <w:r w:rsidRPr="00C344A5">
                        <w:rPr>
                          <w:rFonts w:cs="Arial"/>
                          <w:b/>
                          <w:sz w:val="18"/>
                          <w:szCs w:val="20"/>
                        </w:rPr>
                        <w:t>__________________</w:t>
                      </w:r>
                    </w:p>
                    <w:p w14:paraId="41F058C1" w14:textId="1024204B" w:rsidR="00B95DE9" w:rsidRPr="00C344A5" w:rsidRDefault="00B95DE9" w:rsidP="008E6535">
                      <w:pPr>
                        <w:spacing w:before="240" w:after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344A5">
                        <w:rPr>
                          <w:rFonts w:cs="Arial"/>
                          <w:sz w:val="18"/>
                          <w:szCs w:val="20"/>
                        </w:rPr>
                        <w:t>DATE</w:t>
                      </w:r>
                      <w:r w:rsidR="00CE03A5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CE03A5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="00CE03A5">
                        <w:rPr>
                          <w:rFonts w:cs="Arial"/>
                          <w:sz w:val="18"/>
                          <w:szCs w:val="20"/>
                        </w:rPr>
                        <w:tab/>
                        <w:t xml:space="preserve">     </w:t>
                      </w:r>
                      <w:r w:rsidRPr="00C344A5">
                        <w:rPr>
                          <w:rFonts w:cs="Arial"/>
                          <w:sz w:val="18"/>
                          <w:szCs w:val="2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FA245" w14:textId="77777777" w:rsidR="00422DCC" w:rsidRPr="00422DCC" w:rsidRDefault="00422DCC" w:rsidP="00422DCC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705102A9" w14:textId="77777777" w:rsidR="00422DCC" w:rsidRPr="00422DCC" w:rsidRDefault="00422DCC" w:rsidP="00422DCC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6EE0062D" w14:textId="77777777" w:rsidR="00422DCC" w:rsidRPr="00422DCC" w:rsidRDefault="00422DCC" w:rsidP="00422DCC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422DCC">
        <w:rPr>
          <w:rFonts w:eastAsia="Times New Roman" w:cs="Arial"/>
          <w:szCs w:val="24"/>
          <w:lang w:val="en-ZA"/>
        </w:rPr>
        <w:t>In the matter between:</w:t>
      </w:r>
    </w:p>
    <w:p w14:paraId="2359E50F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4AB53BE7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5C7E363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006B17F9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2783581E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74D83443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szCs w:val="24"/>
          <w:lang w:val="en-ZA"/>
        </w:rPr>
      </w:pPr>
      <w:r w:rsidRPr="00422DCC">
        <w:rPr>
          <w:rFonts w:eastAsia="Times New Roman" w:cs="Arial"/>
          <w:szCs w:val="24"/>
          <w:lang w:val="en-ZA"/>
        </w:rPr>
        <w:t>In the matter between:</w:t>
      </w:r>
    </w:p>
    <w:p w14:paraId="2559F0FB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067E8802" w14:textId="77777777" w:rsidR="00422DCC" w:rsidRPr="00422DCC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0256A6A2" w14:textId="41D666EB" w:rsidR="005A2A57" w:rsidRDefault="00C10C09" w:rsidP="00422DCC">
      <w:pPr>
        <w:tabs>
          <w:tab w:val="right" w:pos="9029"/>
        </w:tabs>
        <w:spacing w:after="0" w:line="240" w:lineRule="auto"/>
        <w:ind w:left="0"/>
        <w:contextualSpacing/>
      </w:pPr>
      <w:proofErr w:type="gramStart"/>
      <w:r w:rsidRPr="00C10C09">
        <w:t>H</w:t>
      </w:r>
      <w:r w:rsidR="0025329B" w:rsidRPr="0025329B">
        <w:rPr>
          <w:b/>
        </w:rPr>
        <w:t>[</w:t>
      </w:r>
      <w:proofErr w:type="gramEnd"/>
      <w:r w:rsidR="0025329B" w:rsidRPr="0025329B">
        <w:rPr>
          <w:b/>
        </w:rPr>
        <w:t>…]</w:t>
      </w:r>
      <w:r w:rsidRPr="00C10C09">
        <w:t>N</w:t>
      </w:r>
      <w:r w:rsidR="0025329B" w:rsidRPr="0025329B">
        <w:rPr>
          <w:b/>
        </w:rPr>
        <w:t>[…]</w:t>
      </w:r>
      <w:r w:rsidRPr="00C10C09">
        <w:t>M</w:t>
      </w:r>
      <w:r w:rsidR="0025329B" w:rsidRPr="0025329B">
        <w:rPr>
          <w:b/>
        </w:rPr>
        <w:t>[…]</w:t>
      </w:r>
      <w:r w:rsidRPr="00C10C09">
        <w:t>obo H</w:t>
      </w:r>
      <w:r w:rsidR="0025329B" w:rsidRPr="0025329B">
        <w:rPr>
          <w:b/>
        </w:rPr>
        <w:t>[…]</w:t>
      </w:r>
      <w:r w:rsidRPr="00C10C09">
        <w:t>V</w:t>
      </w:r>
      <w:r w:rsidR="0025329B" w:rsidRPr="0025329B">
        <w:rPr>
          <w:b/>
        </w:rPr>
        <w:t>[…]</w:t>
      </w:r>
      <w:r>
        <w:t xml:space="preserve">                                                  </w:t>
      </w:r>
      <w:r w:rsidR="0025329B">
        <w:tab/>
      </w:r>
      <w:r>
        <w:t xml:space="preserve"> Plaintiff </w:t>
      </w:r>
    </w:p>
    <w:p w14:paraId="3431DA93" w14:textId="77777777" w:rsidR="005A2A57" w:rsidRPr="005A2A57" w:rsidRDefault="005A2A57" w:rsidP="005A2A57">
      <w:pPr>
        <w:pStyle w:val="JudgmentNumbered"/>
        <w:numPr>
          <w:ilvl w:val="0"/>
          <w:numId w:val="0"/>
        </w:numPr>
        <w:ind w:left="567"/>
      </w:pPr>
    </w:p>
    <w:p w14:paraId="1CCD551B" w14:textId="77777777" w:rsidR="005A2A57" w:rsidRDefault="005A2A57" w:rsidP="00422DCC">
      <w:pPr>
        <w:tabs>
          <w:tab w:val="right" w:pos="9029"/>
        </w:tabs>
        <w:spacing w:after="0" w:line="240" w:lineRule="auto"/>
        <w:ind w:left="0"/>
        <w:contextualSpacing/>
      </w:pPr>
      <w:r>
        <w:t xml:space="preserve">and </w:t>
      </w:r>
    </w:p>
    <w:p w14:paraId="1059D5D6" w14:textId="77777777" w:rsidR="005A2A57" w:rsidRDefault="005A2A57" w:rsidP="00422DCC">
      <w:pPr>
        <w:tabs>
          <w:tab w:val="right" w:pos="9029"/>
        </w:tabs>
        <w:spacing w:after="0" w:line="240" w:lineRule="auto"/>
        <w:ind w:left="0"/>
        <w:contextualSpacing/>
      </w:pPr>
    </w:p>
    <w:p w14:paraId="78E08B01" w14:textId="76019B92" w:rsidR="002A276A" w:rsidRDefault="005A2A57" w:rsidP="00422DCC">
      <w:pPr>
        <w:tabs>
          <w:tab w:val="right" w:pos="9029"/>
        </w:tabs>
        <w:spacing w:after="0" w:line="240" w:lineRule="auto"/>
        <w:ind w:left="0"/>
        <w:contextualSpacing/>
        <w:rPr>
          <w:rFonts w:cs="Arial"/>
          <w:b/>
          <w:szCs w:val="24"/>
          <w:lang w:val="en-ZA"/>
        </w:rPr>
      </w:pPr>
      <w:r>
        <w:t>R</w:t>
      </w:r>
      <w:r w:rsidR="00C10C09">
        <w:t xml:space="preserve">OAD ACCIDENT FUND             </w:t>
      </w:r>
      <w:r>
        <w:t xml:space="preserve">                                                        </w:t>
      </w:r>
      <w:r w:rsidR="00C10C09">
        <w:t xml:space="preserve">          Defendant</w:t>
      </w:r>
    </w:p>
    <w:p w14:paraId="383B155F" w14:textId="309A04C4" w:rsidR="00422DCC" w:rsidRPr="002A276A" w:rsidRDefault="00422DCC" w:rsidP="00422DCC">
      <w:pPr>
        <w:tabs>
          <w:tab w:val="right" w:pos="9029"/>
        </w:tabs>
        <w:spacing w:after="0" w:line="240" w:lineRule="auto"/>
        <w:ind w:left="0"/>
        <w:contextualSpacing/>
        <w:rPr>
          <w:rFonts w:cs="Arial"/>
          <w:szCs w:val="24"/>
          <w:lang w:val="en-ZA"/>
        </w:rPr>
      </w:pPr>
      <w:r w:rsidRPr="002A276A">
        <w:rPr>
          <w:rFonts w:cs="Arial"/>
          <w:szCs w:val="24"/>
          <w:lang w:val="en-ZA"/>
        </w:rPr>
        <w:tab/>
      </w:r>
    </w:p>
    <w:p w14:paraId="619451C8" w14:textId="3C492B25" w:rsidR="0091178F" w:rsidRDefault="0091178F" w:rsidP="00B43C8A">
      <w:pPr>
        <w:spacing w:after="200" w:line="276" w:lineRule="auto"/>
        <w:ind w:left="0"/>
        <w:contextualSpacing/>
        <w:rPr>
          <w:rFonts w:eastAsia="Times New Roman" w:cs="Arial"/>
          <w:szCs w:val="24"/>
          <w:lang w:eastAsia="en-GB"/>
        </w:rPr>
      </w:pPr>
    </w:p>
    <w:p w14:paraId="4407300A" w14:textId="223F24B3" w:rsidR="0091178F" w:rsidRDefault="0091178F" w:rsidP="00B43C8A">
      <w:pPr>
        <w:spacing w:after="200" w:line="276" w:lineRule="auto"/>
        <w:ind w:left="0"/>
        <w:contextualSpacing/>
        <w:rPr>
          <w:rFonts w:eastAsia="Calibri" w:cs="Arial"/>
          <w:bCs/>
          <w:i/>
        </w:rPr>
      </w:pPr>
      <w:r w:rsidRPr="001947E9">
        <w:rPr>
          <w:rFonts w:eastAsia="Calibri" w:cs="Arial"/>
          <w:bCs/>
          <w:i/>
        </w:rPr>
        <w:t xml:space="preserve">This judgment was handed down electronically by circulation to the parties’ representatives via e-mail, by being uploaded to </w:t>
      </w:r>
      <w:proofErr w:type="spellStart"/>
      <w:r w:rsidRPr="001947E9">
        <w:rPr>
          <w:rFonts w:eastAsia="Calibri" w:cs="Arial"/>
          <w:bCs/>
          <w:i/>
        </w:rPr>
        <w:t>CaseLines</w:t>
      </w:r>
      <w:proofErr w:type="spellEnd"/>
      <w:r w:rsidRPr="001947E9">
        <w:rPr>
          <w:rFonts w:eastAsia="Calibri" w:cs="Arial"/>
          <w:bCs/>
          <w:i/>
        </w:rPr>
        <w:t xml:space="preserve"> and by release to SAFLII. The date and time for hand- down is deemed to be 10h00 on </w:t>
      </w:r>
      <w:r w:rsidR="005A2A57">
        <w:rPr>
          <w:rFonts w:eastAsia="Calibri" w:cs="Arial"/>
          <w:bCs/>
          <w:i/>
        </w:rPr>
        <w:t>0</w:t>
      </w:r>
      <w:r w:rsidR="004767AA">
        <w:rPr>
          <w:rFonts w:eastAsia="Calibri" w:cs="Arial"/>
          <w:bCs/>
          <w:i/>
        </w:rPr>
        <w:t>0</w:t>
      </w:r>
      <w:r w:rsidRPr="001947E9">
        <w:rPr>
          <w:rFonts w:eastAsia="Calibri" w:cs="Arial"/>
          <w:bCs/>
          <w:i/>
        </w:rPr>
        <w:t xml:space="preserve"> </w:t>
      </w:r>
      <w:r w:rsidR="004767AA">
        <w:rPr>
          <w:rFonts w:eastAsia="Calibri" w:cs="Arial"/>
          <w:bCs/>
          <w:i/>
        </w:rPr>
        <w:t xml:space="preserve">………… </w:t>
      </w:r>
      <w:r w:rsidRPr="001947E9">
        <w:rPr>
          <w:rFonts w:eastAsia="Calibri" w:cs="Arial"/>
          <w:bCs/>
          <w:i/>
        </w:rPr>
        <w:t xml:space="preserve"> 2023</w:t>
      </w:r>
      <w:r>
        <w:rPr>
          <w:rFonts w:eastAsia="Calibri" w:cs="Arial"/>
          <w:bCs/>
          <w:i/>
        </w:rPr>
        <w:t>.</w:t>
      </w:r>
    </w:p>
    <w:p w14:paraId="3EB95798" w14:textId="62CAD4DC" w:rsidR="0091178F" w:rsidRPr="0091178F" w:rsidRDefault="0091178F" w:rsidP="00B43C8A">
      <w:pPr>
        <w:pBdr>
          <w:bottom w:val="single" w:sz="12" w:space="1" w:color="auto"/>
        </w:pBdr>
        <w:spacing w:after="0" w:line="276" w:lineRule="auto"/>
        <w:ind w:left="0"/>
        <w:rPr>
          <w:rFonts w:eastAsia="Times New Roman" w:cs="Arial"/>
          <w:szCs w:val="24"/>
          <w:lang w:eastAsia="en-GB"/>
        </w:rPr>
      </w:pPr>
    </w:p>
    <w:p w14:paraId="1DB6B05A" w14:textId="339794DA" w:rsidR="005F2B52" w:rsidRPr="0021593A" w:rsidRDefault="00D21754" w:rsidP="005A2A57">
      <w:pPr>
        <w:pBdr>
          <w:bottom w:val="single" w:sz="12" w:space="1" w:color="auto"/>
        </w:pBdr>
        <w:spacing w:after="0" w:line="276" w:lineRule="auto"/>
        <w:ind w:left="0"/>
        <w:rPr>
          <w:lang w:val="en-US"/>
        </w:rPr>
      </w:pPr>
      <w:r>
        <w:rPr>
          <w:rFonts w:cs="Arial"/>
          <w:bCs/>
          <w:szCs w:val="24"/>
          <w:lang w:val="en-ZA"/>
        </w:rPr>
        <w:t>Summar</w:t>
      </w:r>
      <w:r w:rsidR="003E74AB">
        <w:rPr>
          <w:rFonts w:cs="Arial"/>
          <w:bCs/>
          <w:szCs w:val="24"/>
          <w:lang w:val="en-ZA"/>
        </w:rPr>
        <w:t xml:space="preserve">y: </w:t>
      </w:r>
    </w:p>
    <w:p w14:paraId="6B2B308F" w14:textId="4DA53C7A" w:rsidR="00FD0778" w:rsidRPr="00FD0778" w:rsidRDefault="005F2B52" w:rsidP="00430570">
      <w:pPr>
        <w:pBdr>
          <w:bottom w:val="single" w:sz="12" w:space="1" w:color="auto"/>
        </w:pBdr>
        <w:spacing w:after="0" w:line="276" w:lineRule="auto"/>
        <w:ind w:left="0"/>
        <w:rPr>
          <w:lang w:val="en-US"/>
        </w:rPr>
      </w:pPr>
      <w:r>
        <w:rPr>
          <w:lang w:val="en-US"/>
        </w:rPr>
        <w:t>Held:</w:t>
      </w:r>
      <w:r w:rsidR="005C791C">
        <w:rPr>
          <w:lang w:val="en-US"/>
        </w:rPr>
        <w:t xml:space="preserve"> </w:t>
      </w:r>
    </w:p>
    <w:p w14:paraId="41A95576" w14:textId="77777777" w:rsidR="00B018C3" w:rsidRDefault="00B018C3" w:rsidP="00B43C8A">
      <w:pPr>
        <w:pBdr>
          <w:bottom w:val="single" w:sz="12" w:space="1" w:color="auto"/>
        </w:pBdr>
        <w:spacing w:after="0" w:line="276" w:lineRule="auto"/>
        <w:ind w:left="0"/>
        <w:jc w:val="left"/>
        <w:rPr>
          <w:lang w:val="en-US"/>
        </w:rPr>
      </w:pPr>
    </w:p>
    <w:p w14:paraId="40169746" w14:textId="6C254CE2" w:rsidR="00BE2FDA" w:rsidRPr="00BE2FDA" w:rsidRDefault="00505AFB" w:rsidP="000812A5">
      <w:pPr>
        <w:pBdr>
          <w:bottom w:val="single" w:sz="12" w:space="1" w:color="auto"/>
        </w:pBdr>
        <w:spacing w:after="0"/>
        <w:ind w:left="0"/>
        <w:jc w:val="left"/>
        <w:rPr>
          <w:lang w:val="en-US"/>
        </w:rPr>
      </w:pPr>
      <w:r>
        <w:rPr>
          <w:lang w:val="en-US"/>
        </w:rPr>
        <w:t xml:space="preserve">Order: </w:t>
      </w:r>
      <w:r w:rsidR="000956CC">
        <w:rPr>
          <w:lang w:val="en-US"/>
        </w:rPr>
        <w:t xml:space="preserve">Following </w:t>
      </w:r>
      <w:r w:rsidR="00DC7E89">
        <w:rPr>
          <w:lang w:val="en-US"/>
        </w:rPr>
        <w:t>p</w:t>
      </w:r>
      <w:r w:rsidR="007032DC">
        <w:rPr>
          <w:lang w:val="en-US"/>
        </w:rPr>
        <w:t xml:space="preserve">ara </w:t>
      </w:r>
      <w:r w:rsidR="000956CC">
        <w:rPr>
          <w:lang w:val="en-US"/>
        </w:rPr>
        <w:t>61</w:t>
      </w:r>
      <w:r w:rsidR="007032DC">
        <w:rPr>
          <w:lang w:val="en-US"/>
        </w:rPr>
        <w:t xml:space="preserve"> of this judgment.</w:t>
      </w:r>
    </w:p>
    <w:p w14:paraId="797CF5B1" w14:textId="77777777" w:rsidR="007B7F59" w:rsidRPr="007B7F59" w:rsidRDefault="007B7F59" w:rsidP="007B7F59">
      <w:pPr>
        <w:spacing w:after="0" w:line="240" w:lineRule="auto"/>
        <w:ind w:left="1440" w:hanging="1440"/>
        <w:jc w:val="left"/>
        <w:rPr>
          <w:rFonts w:cs="Arial"/>
          <w:b/>
          <w:szCs w:val="24"/>
        </w:rPr>
      </w:pPr>
    </w:p>
    <w:p w14:paraId="49EA7DB0" w14:textId="77777777" w:rsidR="007B7F59" w:rsidRPr="007B7F59" w:rsidRDefault="007B7F59" w:rsidP="007B7F59">
      <w:pPr>
        <w:pBdr>
          <w:bottom w:val="single" w:sz="12" w:space="1" w:color="auto"/>
        </w:pBdr>
        <w:spacing w:line="480" w:lineRule="auto"/>
        <w:ind w:left="0"/>
        <w:jc w:val="center"/>
        <w:rPr>
          <w:rFonts w:cs="Arial"/>
          <w:b/>
          <w:szCs w:val="24"/>
          <w:lang w:val="en-ZA"/>
        </w:rPr>
      </w:pPr>
      <w:r w:rsidRPr="007B7F59">
        <w:rPr>
          <w:rFonts w:cs="Arial"/>
          <w:b/>
          <w:szCs w:val="24"/>
          <w:lang w:val="en-ZA"/>
        </w:rPr>
        <w:t>JUDGMENT</w:t>
      </w:r>
    </w:p>
    <w:p w14:paraId="5663E65F" w14:textId="56686ECD" w:rsidR="007E3224" w:rsidRPr="00A34F0A" w:rsidRDefault="00C10C09" w:rsidP="007E3224">
      <w:pPr>
        <w:spacing w:after="0" w:line="240" w:lineRule="auto"/>
        <w:ind w:left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WHITINGTON</w:t>
      </w:r>
      <w:r w:rsidR="00642E81">
        <w:rPr>
          <w:rFonts w:cs="Arial"/>
          <w:b/>
          <w:bCs/>
          <w:szCs w:val="24"/>
        </w:rPr>
        <w:t>,</w:t>
      </w:r>
      <w:r w:rsidR="00C01821">
        <w:rPr>
          <w:rFonts w:cs="Arial"/>
          <w:b/>
          <w:bCs/>
          <w:szCs w:val="24"/>
        </w:rPr>
        <w:t xml:space="preserve"> </w:t>
      </w:r>
      <w:r w:rsidR="004767AA">
        <w:rPr>
          <w:rFonts w:cs="Arial"/>
          <w:b/>
          <w:bCs/>
          <w:szCs w:val="24"/>
        </w:rPr>
        <w:t>A</w:t>
      </w:r>
      <w:r w:rsidR="00C01821">
        <w:rPr>
          <w:rFonts w:cs="Arial"/>
          <w:b/>
          <w:bCs/>
          <w:szCs w:val="24"/>
        </w:rPr>
        <w:t>J</w:t>
      </w:r>
      <w:r w:rsidR="003660B3">
        <w:rPr>
          <w:rFonts w:cs="Arial"/>
          <w:b/>
          <w:bCs/>
          <w:szCs w:val="24"/>
        </w:rPr>
        <w:t>:</w:t>
      </w:r>
    </w:p>
    <w:p w14:paraId="5EE237CD" w14:textId="3F2FC482" w:rsidR="00C80925" w:rsidRPr="00073D81" w:rsidRDefault="00C80925" w:rsidP="002A276A">
      <w:pPr>
        <w:pStyle w:val="JudgmentNumbered"/>
        <w:numPr>
          <w:ilvl w:val="0"/>
          <w:numId w:val="0"/>
        </w:numPr>
        <w:spacing w:line="240" w:lineRule="auto"/>
      </w:pPr>
    </w:p>
    <w:p w14:paraId="206CDA74" w14:textId="45173E07" w:rsidR="000D75DF" w:rsidRPr="001F6FE0" w:rsidRDefault="000D75DF" w:rsidP="000D75DF">
      <w:pPr>
        <w:pStyle w:val="JudgmentNumbered"/>
        <w:numPr>
          <w:ilvl w:val="0"/>
          <w:numId w:val="0"/>
        </w:numPr>
        <w:ind w:left="567" w:hanging="567"/>
        <w:rPr>
          <w:b/>
          <w:bCs/>
        </w:rPr>
      </w:pPr>
      <w:r w:rsidRPr="001F6FE0">
        <w:rPr>
          <w:b/>
          <w:bCs/>
        </w:rPr>
        <w:t>INTRODUCTION</w:t>
      </w:r>
    </w:p>
    <w:p w14:paraId="37B592E9" w14:textId="48E9749D" w:rsidR="000145DF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[1]</w:t>
      </w:r>
      <w:r>
        <w:tab/>
      </w:r>
      <w:r w:rsidR="004058C6">
        <w:t xml:space="preserve">At issue in this matter are the </w:t>
      </w:r>
      <w:r w:rsidR="005A740B">
        <w:t xml:space="preserve">future </w:t>
      </w:r>
      <w:r w:rsidR="002464B3">
        <w:t>pros</w:t>
      </w:r>
      <w:r w:rsidR="00127E87">
        <w:t xml:space="preserve">pects of </w:t>
      </w:r>
      <w:proofErr w:type="gramStart"/>
      <w:r w:rsidR="00127E87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127E87">
        <w:t xml:space="preserve"> A</w:t>
      </w:r>
      <w:r w:rsidRPr="0025329B">
        <w:rPr>
          <w:b/>
        </w:rPr>
        <w:t>[…]</w:t>
      </w:r>
      <w:r w:rsidR="00127E87">
        <w:t xml:space="preserve"> H</w:t>
      </w:r>
      <w:r w:rsidRPr="0025329B">
        <w:rPr>
          <w:b/>
        </w:rPr>
        <w:t>[…]</w:t>
      </w:r>
      <w:r w:rsidR="005903AC">
        <w:t xml:space="preserve"> who, at the time of the hearing of this matter, was </w:t>
      </w:r>
      <w:r w:rsidR="00AC59AB">
        <w:t>14 years of age</w:t>
      </w:r>
      <w:r w:rsidR="004C0074">
        <w:t>.</w:t>
      </w:r>
    </w:p>
    <w:p w14:paraId="6585563A" w14:textId="035817FF" w:rsidR="00146CA3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[2]</w:t>
      </w:r>
      <w:r>
        <w:tab/>
      </w:r>
      <w:r w:rsidR="004C0074">
        <w:t xml:space="preserve">On </w:t>
      </w:r>
      <w:r w:rsidR="006D473C">
        <w:t xml:space="preserve">the </w:t>
      </w:r>
      <w:r w:rsidR="004C0074">
        <w:t>20</w:t>
      </w:r>
      <w:r w:rsidR="006D473C" w:rsidRPr="006D473C">
        <w:rPr>
          <w:vertAlign w:val="superscript"/>
        </w:rPr>
        <w:t>th</w:t>
      </w:r>
      <w:r w:rsidR="006D473C">
        <w:t xml:space="preserve"> </w:t>
      </w:r>
      <w:r w:rsidR="004C0074">
        <w:t xml:space="preserve">September </w:t>
      </w:r>
      <w:r w:rsidR="006D473C">
        <w:t xml:space="preserve">2018 </w:t>
      </w:r>
      <w:proofErr w:type="gramStart"/>
      <w:r w:rsidR="008E6F71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6D6B28">
        <w:t>,</w:t>
      </w:r>
      <w:r w:rsidR="008E6F71">
        <w:t xml:space="preserve"> </w:t>
      </w:r>
      <w:r w:rsidR="0039494A">
        <w:t>wh</w:t>
      </w:r>
      <w:r w:rsidR="00B365BA">
        <w:t xml:space="preserve">o was </w:t>
      </w:r>
      <w:r w:rsidR="00D405AE">
        <w:t>9 years old at the time</w:t>
      </w:r>
      <w:r w:rsidR="006D6B28">
        <w:t>,</w:t>
      </w:r>
      <w:r w:rsidR="00D405AE">
        <w:t xml:space="preserve"> </w:t>
      </w:r>
      <w:r w:rsidR="000B37B8">
        <w:t>was injured in a motor vehicle collision</w:t>
      </w:r>
      <w:r w:rsidR="006E11C3">
        <w:t>.</w:t>
      </w:r>
    </w:p>
    <w:p w14:paraId="67ECE736" w14:textId="5D1080BE" w:rsidR="006A23FD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[3]</w:t>
      </w:r>
      <w:r>
        <w:tab/>
      </w:r>
      <w:r w:rsidR="006A23FD">
        <w:t>Subsequently</w:t>
      </w:r>
      <w:r w:rsidR="00A54446">
        <w:t xml:space="preserve"> </w:t>
      </w:r>
      <w:proofErr w:type="gramStart"/>
      <w:r w:rsidR="00A54446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A54446">
        <w:t>’</w:t>
      </w:r>
      <w:r w:rsidR="00A54446">
        <w:t>s mother</w:t>
      </w:r>
      <w:r w:rsidR="00146CA3">
        <w:t>, N</w:t>
      </w:r>
      <w:r w:rsidR="007B5076" w:rsidRPr="0025329B">
        <w:rPr>
          <w:b/>
          <w:szCs w:val="24"/>
        </w:rPr>
        <w:t>[…]</w:t>
      </w:r>
      <w:r w:rsidR="00146CA3">
        <w:t xml:space="preserve"> M</w:t>
      </w:r>
      <w:r w:rsidR="007B5076" w:rsidRPr="0025329B">
        <w:rPr>
          <w:b/>
          <w:szCs w:val="24"/>
        </w:rPr>
        <w:t>[…]</w:t>
      </w:r>
      <w:r w:rsidR="00146CA3">
        <w:t xml:space="preserve"> H</w:t>
      </w:r>
      <w:r w:rsidR="007B5076" w:rsidRPr="0025329B">
        <w:rPr>
          <w:b/>
          <w:szCs w:val="24"/>
        </w:rPr>
        <w:t>[…]</w:t>
      </w:r>
      <w:r w:rsidR="00146CA3">
        <w:t xml:space="preserve">, instituted a claim on her behalf </w:t>
      </w:r>
      <w:r w:rsidR="00BC2482">
        <w:t xml:space="preserve">against the Road Accident Fund </w:t>
      </w:r>
      <w:r w:rsidR="00E465DA">
        <w:t>(“Fund”)</w:t>
      </w:r>
      <w:r w:rsidR="00B36F19">
        <w:t>.</w:t>
      </w:r>
    </w:p>
    <w:p w14:paraId="181DE674" w14:textId="45230972" w:rsidR="00CB15B5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[4]</w:t>
      </w:r>
      <w:r>
        <w:tab/>
      </w:r>
      <w:r w:rsidR="00B457C4">
        <w:t>The issue</w:t>
      </w:r>
      <w:r w:rsidR="00632CE2">
        <w:t>s</w:t>
      </w:r>
      <w:r w:rsidR="00B457C4">
        <w:t xml:space="preserve"> of the </w:t>
      </w:r>
      <w:r w:rsidR="00632CE2">
        <w:t xml:space="preserve">merits of the matter were settled by the </w:t>
      </w:r>
      <w:r w:rsidR="004A6EDC">
        <w:t xml:space="preserve">parties at the pre-trial </w:t>
      </w:r>
      <w:r w:rsidR="00EF4D4B">
        <w:t>conference</w:t>
      </w:r>
      <w:r w:rsidR="003E18C5">
        <w:t xml:space="preserve"> of </w:t>
      </w:r>
      <w:r w:rsidR="00114C98">
        <w:t>13</w:t>
      </w:r>
      <w:r w:rsidR="00BE1C53" w:rsidRPr="00BE1C53">
        <w:rPr>
          <w:vertAlign w:val="superscript"/>
        </w:rPr>
        <w:t>th</w:t>
      </w:r>
      <w:r w:rsidR="00BE1C53">
        <w:t xml:space="preserve"> </w:t>
      </w:r>
      <w:r w:rsidR="003E18C5">
        <w:t xml:space="preserve">June </w:t>
      </w:r>
      <w:r w:rsidR="00C21C67">
        <w:t>2022</w:t>
      </w:r>
      <w:r w:rsidR="00F905A2">
        <w:t xml:space="preserve"> with the </w:t>
      </w:r>
      <w:r w:rsidR="00041E9D">
        <w:t>Fund</w:t>
      </w:r>
      <w:r w:rsidR="00F905A2">
        <w:t xml:space="preserve"> conceding the merits in favour of the plaintiff</w:t>
      </w:r>
      <w:r w:rsidR="00CB15B5">
        <w:t>.</w:t>
      </w:r>
    </w:p>
    <w:p w14:paraId="134CC9DC" w14:textId="03934DF9" w:rsidR="00164325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[5]</w:t>
      </w:r>
      <w:r>
        <w:tab/>
      </w:r>
      <w:r w:rsidR="00CB2523">
        <w:t xml:space="preserve">It further appears that the </w:t>
      </w:r>
      <w:r w:rsidR="00041E9D">
        <w:t xml:space="preserve">dispute relating to the liability of the Fund </w:t>
      </w:r>
      <w:r w:rsidR="00C66C31">
        <w:t>for the payment of general damages</w:t>
      </w:r>
      <w:r w:rsidR="00E9402A">
        <w:t xml:space="preserve"> was settled </w:t>
      </w:r>
      <w:r w:rsidR="00FE2B57">
        <w:t>between the parties by agreement on the 18</w:t>
      </w:r>
      <w:r w:rsidR="00FE2B57" w:rsidRPr="00FE2B57">
        <w:rPr>
          <w:vertAlign w:val="superscript"/>
        </w:rPr>
        <w:t>th</w:t>
      </w:r>
      <w:r w:rsidR="00FE2B57">
        <w:t xml:space="preserve"> October 2022</w:t>
      </w:r>
      <w:r w:rsidR="00D05E35">
        <w:t>. T</w:t>
      </w:r>
      <w:r w:rsidR="008F63CE">
        <w:t xml:space="preserve">he plaintiff </w:t>
      </w:r>
      <w:r w:rsidR="00D15311">
        <w:t xml:space="preserve">accepted an offer by the Fund </w:t>
      </w:r>
      <w:r w:rsidR="00D05E35">
        <w:t xml:space="preserve">for payment </w:t>
      </w:r>
      <w:r w:rsidR="00D15311">
        <w:t xml:space="preserve">in the amount of R 600,000.00 </w:t>
      </w:r>
      <w:r w:rsidR="00142573">
        <w:t>in respect of general damages.</w:t>
      </w:r>
    </w:p>
    <w:p w14:paraId="5808D1AF" w14:textId="4826623B" w:rsidR="007577D0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[6]</w:t>
      </w:r>
      <w:r>
        <w:tab/>
      </w:r>
      <w:r w:rsidR="00C00963">
        <w:t>There being no claim for past medical expenses</w:t>
      </w:r>
      <w:r w:rsidR="0038586F">
        <w:t xml:space="preserve">, the remaining issues for determination </w:t>
      </w:r>
      <w:r w:rsidR="002A7204">
        <w:t xml:space="preserve">relate to </w:t>
      </w:r>
      <w:r w:rsidR="0064256E">
        <w:t xml:space="preserve">the </w:t>
      </w:r>
      <w:r w:rsidR="00273BAD">
        <w:t xml:space="preserve">estimated </w:t>
      </w:r>
      <w:r w:rsidR="00BE6810">
        <w:t xml:space="preserve">future loss of earnings and </w:t>
      </w:r>
      <w:r w:rsidR="002A7204">
        <w:t>future medical expenses</w:t>
      </w:r>
      <w:r w:rsidR="007577D0">
        <w:t>.</w:t>
      </w:r>
    </w:p>
    <w:p w14:paraId="3325D244" w14:textId="6AD3530F" w:rsidR="00093331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[7]</w:t>
      </w:r>
      <w:r>
        <w:tab/>
      </w:r>
      <w:r w:rsidR="007577D0">
        <w:t>I note that</w:t>
      </w:r>
      <w:r w:rsidR="006D6B28">
        <w:t>,</w:t>
      </w:r>
      <w:r w:rsidR="007577D0">
        <w:t xml:space="preserve"> at the hearing of the matter</w:t>
      </w:r>
      <w:r w:rsidR="006D6B28">
        <w:t>,</w:t>
      </w:r>
      <w:r w:rsidR="007577D0">
        <w:t xml:space="preserve"> </w:t>
      </w:r>
      <w:r w:rsidR="005B0DE6">
        <w:t xml:space="preserve">the representatives for the parties confirmed that, in the event that an order </w:t>
      </w:r>
      <w:r w:rsidR="00375663">
        <w:t>was</w:t>
      </w:r>
      <w:r w:rsidR="005B0DE6">
        <w:t xml:space="preserve"> made in the plaintiff’s favour, the </w:t>
      </w:r>
      <w:r w:rsidR="007061C7">
        <w:t xml:space="preserve">subject of the future medical expenses would be accounted for by means of an undertaking by the Fund in terms of </w:t>
      </w:r>
      <w:r w:rsidR="00F30A50">
        <w:t xml:space="preserve">section 17 (4) (a) </w:t>
      </w:r>
      <w:r w:rsidR="00397487">
        <w:t>of the Act.</w:t>
      </w:r>
    </w:p>
    <w:p w14:paraId="05C66ED1" w14:textId="28DF6A77" w:rsidR="00A17002" w:rsidRPr="001F6FE0" w:rsidRDefault="00CE074B" w:rsidP="00A17002">
      <w:pPr>
        <w:pStyle w:val="JudgmentNumbered"/>
        <w:numPr>
          <w:ilvl w:val="0"/>
          <w:numId w:val="0"/>
        </w:numPr>
        <w:rPr>
          <w:b/>
          <w:bCs/>
        </w:rPr>
      </w:pPr>
      <w:r w:rsidRPr="001F6FE0">
        <w:rPr>
          <w:b/>
          <w:bCs/>
        </w:rPr>
        <w:t>THE</w:t>
      </w:r>
      <w:r w:rsidR="001F6FE0" w:rsidRPr="001F6FE0">
        <w:rPr>
          <w:b/>
          <w:bCs/>
        </w:rPr>
        <w:t xml:space="preserve"> PLAINTIFF’S INJURIES</w:t>
      </w:r>
    </w:p>
    <w:p w14:paraId="1E460019" w14:textId="0583C0CF" w:rsidR="005A2A57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[8]</w:t>
      </w:r>
      <w:r>
        <w:tab/>
      </w:r>
      <w:r w:rsidR="00A37EA6">
        <w:t>The hospital records indicate that o</w:t>
      </w:r>
      <w:r w:rsidR="000A3E76">
        <w:t>n the day of the accident</w:t>
      </w:r>
      <w:r w:rsidR="003309B5">
        <w:t xml:space="preserve"> </w:t>
      </w:r>
      <w:proofErr w:type="gramStart"/>
      <w:r w:rsidR="003309B5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4020AC">
        <w:t xml:space="preserve"> </w:t>
      </w:r>
      <w:r w:rsidR="003725FF">
        <w:t xml:space="preserve">was </w:t>
      </w:r>
      <w:r w:rsidR="00422DC0">
        <w:t xml:space="preserve">initially taken to </w:t>
      </w:r>
      <w:proofErr w:type="spellStart"/>
      <w:r w:rsidR="00422DC0">
        <w:t>Chamel</w:t>
      </w:r>
      <w:r w:rsidR="007F25C2">
        <w:t>a</w:t>
      </w:r>
      <w:proofErr w:type="spellEnd"/>
      <w:r w:rsidR="007F25C2">
        <w:t xml:space="preserve"> Clinic before she was transferred and admitted</w:t>
      </w:r>
      <w:r w:rsidR="003725FF">
        <w:t xml:space="preserve"> to </w:t>
      </w:r>
      <w:r w:rsidR="0088531B">
        <w:t xml:space="preserve">the Chris </w:t>
      </w:r>
      <w:r w:rsidR="0088531B">
        <w:lastRenderedPageBreak/>
        <w:t xml:space="preserve">Hani </w:t>
      </w:r>
      <w:proofErr w:type="spellStart"/>
      <w:r w:rsidR="0088531B">
        <w:t>Baragwanath</w:t>
      </w:r>
      <w:proofErr w:type="spellEnd"/>
      <w:r w:rsidR="0088531B">
        <w:t xml:space="preserve"> Hospital</w:t>
      </w:r>
      <w:r w:rsidR="003725FF">
        <w:t xml:space="preserve"> </w:t>
      </w:r>
      <w:r w:rsidR="00960331">
        <w:t>(“</w:t>
      </w:r>
      <w:proofErr w:type="spellStart"/>
      <w:r w:rsidR="00960331">
        <w:t>Baragwanath</w:t>
      </w:r>
      <w:proofErr w:type="spellEnd"/>
      <w:r w:rsidR="00960331">
        <w:t xml:space="preserve">”) </w:t>
      </w:r>
      <w:r w:rsidR="00754693">
        <w:t>with a dislocated hip,</w:t>
      </w:r>
      <w:r w:rsidR="0000703B">
        <w:t xml:space="preserve"> fractures to the right arm and left hip</w:t>
      </w:r>
      <w:r w:rsidR="0045119F">
        <w:t xml:space="preserve">, a laceration to her liver </w:t>
      </w:r>
      <w:r w:rsidR="001A0A45">
        <w:t xml:space="preserve">and </w:t>
      </w:r>
      <w:r w:rsidR="00531ADB">
        <w:t>a laceration to her head.</w:t>
      </w:r>
    </w:p>
    <w:p w14:paraId="2ADECCCF" w14:textId="6154F906" w:rsidR="00531ADB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[9]</w:t>
      </w:r>
      <w:r>
        <w:tab/>
      </w:r>
      <w:r w:rsidR="00273716">
        <w:t xml:space="preserve">Her score on the </w:t>
      </w:r>
      <w:proofErr w:type="spellStart"/>
      <w:r w:rsidR="00273716">
        <w:t>Glascow</w:t>
      </w:r>
      <w:proofErr w:type="spellEnd"/>
      <w:r w:rsidR="00273716">
        <w:t xml:space="preserve"> Coma Scale </w:t>
      </w:r>
      <w:r w:rsidR="00563C07">
        <w:t xml:space="preserve">(“GCS”) </w:t>
      </w:r>
      <w:r w:rsidR="00273716">
        <w:t xml:space="preserve">at the scene was </w:t>
      </w:r>
      <w:r w:rsidR="003D5D1F">
        <w:t>reported as 15/15 however</w:t>
      </w:r>
      <w:r w:rsidR="00976D9B">
        <w:t>,</w:t>
      </w:r>
      <w:r w:rsidR="00440445">
        <w:t xml:space="preserve"> </w:t>
      </w:r>
      <w:r w:rsidR="00590B61">
        <w:t xml:space="preserve">this dropped to </w:t>
      </w:r>
      <w:r w:rsidR="00C46FC4">
        <w:t xml:space="preserve">10/15 when tested at </w:t>
      </w:r>
      <w:proofErr w:type="spellStart"/>
      <w:r w:rsidR="00C46FC4">
        <w:t>Chamela</w:t>
      </w:r>
      <w:proofErr w:type="spellEnd"/>
      <w:r w:rsidR="00C46FC4">
        <w:t xml:space="preserve"> Clinic. S</w:t>
      </w:r>
      <w:r w:rsidR="00440445">
        <w:t xml:space="preserve">hortly after </w:t>
      </w:r>
      <w:r w:rsidR="00976D9B">
        <w:t xml:space="preserve">her arrival at the </w:t>
      </w:r>
      <w:r w:rsidR="00C46FC4">
        <w:t>clinic</w:t>
      </w:r>
      <w:r w:rsidR="00976D9B">
        <w:t xml:space="preserve">, </w:t>
      </w:r>
      <w:r w:rsidR="004D4157">
        <w:t xml:space="preserve">she experienced a seizure </w:t>
      </w:r>
      <w:r w:rsidR="007C7EC0">
        <w:t>and required resu</w:t>
      </w:r>
      <w:r w:rsidR="00156814">
        <w:t>scitation.</w:t>
      </w:r>
    </w:p>
    <w:p w14:paraId="744B841A" w14:textId="4DBBB6DA" w:rsidR="00023B94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[10]</w:t>
      </w:r>
      <w:r>
        <w:tab/>
      </w:r>
      <w:proofErr w:type="gramStart"/>
      <w:r w:rsidR="00881448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881448">
        <w:t xml:space="preserve"> was stabilised and </w:t>
      </w:r>
      <w:r w:rsidR="008868AB">
        <w:t xml:space="preserve">transferred </w:t>
      </w:r>
      <w:r w:rsidR="0058634D">
        <w:t xml:space="preserve">to </w:t>
      </w:r>
      <w:proofErr w:type="spellStart"/>
      <w:r w:rsidR="0058634D">
        <w:t>Baragwanath</w:t>
      </w:r>
      <w:proofErr w:type="spellEnd"/>
      <w:r w:rsidR="0058634D">
        <w:t xml:space="preserve"> </w:t>
      </w:r>
      <w:r w:rsidR="00F06C8B">
        <w:t>later on the same day. O</w:t>
      </w:r>
      <w:r w:rsidR="008868AB">
        <w:t>n arrival</w:t>
      </w:r>
      <w:r w:rsidR="00F06C8B">
        <w:t xml:space="preserve"> at </w:t>
      </w:r>
      <w:proofErr w:type="spellStart"/>
      <w:r w:rsidR="00F06C8B">
        <w:t>Bara</w:t>
      </w:r>
      <w:r w:rsidR="009C6715">
        <w:t>gwanath</w:t>
      </w:r>
      <w:proofErr w:type="spellEnd"/>
      <w:r w:rsidR="009C6715">
        <w:t xml:space="preserve"> her</w:t>
      </w:r>
      <w:r w:rsidR="0088531B">
        <w:t xml:space="preserve"> </w:t>
      </w:r>
      <w:r w:rsidR="00132BDF">
        <w:t>GCS score</w:t>
      </w:r>
      <w:r w:rsidR="00A6336B">
        <w:t xml:space="preserve"> </w:t>
      </w:r>
      <w:r w:rsidR="0060438D">
        <w:t xml:space="preserve">had </w:t>
      </w:r>
      <w:r w:rsidR="00A6336B">
        <w:t>dropped to 6/15</w:t>
      </w:r>
      <w:r w:rsidR="00FA1A88">
        <w:t xml:space="preserve"> and on further investigation </w:t>
      </w:r>
      <w:r w:rsidR="00666AA5">
        <w:t>she was found to ha</w:t>
      </w:r>
      <w:r w:rsidR="001F561A">
        <w:t>ve</w:t>
      </w:r>
      <w:r w:rsidR="00666AA5">
        <w:t xml:space="preserve"> sustained </w:t>
      </w:r>
      <w:r w:rsidR="001F561A">
        <w:t xml:space="preserve">a right frontal brain </w:t>
      </w:r>
      <w:r w:rsidR="00ED4652">
        <w:t>haemorrhage</w:t>
      </w:r>
      <w:r w:rsidR="001F561A">
        <w:t>.</w:t>
      </w:r>
    </w:p>
    <w:p w14:paraId="653A3C28" w14:textId="7DB431E9" w:rsidR="00164F6F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[11]</w:t>
      </w:r>
      <w:r>
        <w:tab/>
      </w:r>
      <w:r w:rsidR="00342E4E">
        <w:t xml:space="preserve">Thereafter, and later during the day of the collision </w:t>
      </w:r>
      <w:r w:rsidR="00A0448C">
        <w:t xml:space="preserve">her </w:t>
      </w:r>
      <w:r w:rsidR="00132BDF">
        <w:t>GSC</w:t>
      </w:r>
      <w:r w:rsidR="00A0448C">
        <w:t xml:space="preserve"> score improved to </w:t>
      </w:r>
      <w:r w:rsidR="00582901">
        <w:t>12/15.</w:t>
      </w:r>
    </w:p>
    <w:p w14:paraId="5610B8A1" w14:textId="232F6C4A" w:rsidR="00526097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[12]</w:t>
      </w:r>
      <w:r>
        <w:tab/>
      </w:r>
      <w:proofErr w:type="gramStart"/>
      <w:r w:rsidR="00D72E60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D72E60">
        <w:t xml:space="preserve"> </w:t>
      </w:r>
      <w:r w:rsidR="00A41702">
        <w:t xml:space="preserve">received treatment for </w:t>
      </w:r>
      <w:r w:rsidR="00D527AC">
        <w:t xml:space="preserve">her multiple injuries and was discharged from hospital </w:t>
      </w:r>
      <w:r w:rsidR="00C33409">
        <w:t>on 5 October 2018</w:t>
      </w:r>
      <w:r w:rsidR="00164F6F">
        <w:t>.</w:t>
      </w:r>
    </w:p>
    <w:p w14:paraId="583C9C9E" w14:textId="350B628E" w:rsidR="007406B9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[13]</w:t>
      </w:r>
      <w:r>
        <w:tab/>
      </w:r>
      <w:r w:rsidR="00915903">
        <w:t>Follo</w:t>
      </w:r>
      <w:r w:rsidR="00F87B36">
        <w:t xml:space="preserve">wing this, on </w:t>
      </w:r>
      <w:r w:rsidR="005E31BC">
        <w:t>10</w:t>
      </w:r>
      <w:r w:rsidR="00F87B36">
        <w:t xml:space="preserve"> </w:t>
      </w:r>
      <w:r w:rsidR="005E31BC">
        <w:t>June</w:t>
      </w:r>
      <w:r w:rsidR="00F87B36">
        <w:t xml:space="preserve"> 20</w:t>
      </w:r>
      <w:r w:rsidR="00AB30A4">
        <w:t>21</w:t>
      </w:r>
      <w:r w:rsidR="00F87B36">
        <w:t xml:space="preserve">, </w:t>
      </w:r>
      <w:proofErr w:type="gramStart"/>
      <w:r w:rsidR="00112972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112972">
        <w:t xml:space="preserve">’s injuries were assessed by a </w:t>
      </w:r>
      <w:r w:rsidR="004B7F36">
        <w:t xml:space="preserve">specialist </w:t>
      </w:r>
      <w:r w:rsidR="00DE082F">
        <w:t xml:space="preserve">neurosurgeon, Dr </w:t>
      </w:r>
      <w:proofErr w:type="spellStart"/>
      <w:r w:rsidR="00DE082F">
        <w:t>Mazwi</w:t>
      </w:r>
      <w:proofErr w:type="spellEnd"/>
      <w:r w:rsidR="00DE082F">
        <w:t>,</w:t>
      </w:r>
      <w:r w:rsidR="00112972">
        <w:t xml:space="preserve"> </w:t>
      </w:r>
      <w:r w:rsidR="00C2481F">
        <w:t>in accordance with the provisions of regulation</w:t>
      </w:r>
      <w:r w:rsidR="001661D2">
        <w:t xml:space="preserve"> 3 </w:t>
      </w:r>
      <w:r w:rsidR="003A3754">
        <w:t>read with the provisions of section 17 (1A) of t</w:t>
      </w:r>
      <w:r w:rsidR="002C6038">
        <w:t xml:space="preserve">he </w:t>
      </w:r>
      <w:r w:rsidR="007406B9">
        <w:t>Road Accident Fund Act 56 of 1996 (“Act”).</w:t>
      </w:r>
    </w:p>
    <w:p w14:paraId="3683E914" w14:textId="36D351EA" w:rsidR="00F34727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[14]</w:t>
      </w:r>
      <w:r>
        <w:tab/>
      </w:r>
      <w:r w:rsidR="00D8757C">
        <w:t>I am aware that the regulations referred to above</w:t>
      </w:r>
      <w:r w:rsidR="00534B71">
        <w:t xml:space="preserve"> relate to claims for </w:t>
      </w:r>
      <w:r w:rsidR="0064241C">
        <w:t>non-pecuniary loss</w:t>
      </w:r>
      <w:r w:rsidR="00674620">
        <w:t xml:space="preserve">. Nonetheless, </w:t>
      </w:r>
      <w:r w:rsidR="004731CB">
        <w:t xml:space="preserve">the diagnosis which is recorded </w:t>
      </w:r>
      <w:r w:rsidR="006860EB">
        <w:t xml:space="preserve">on the “RAF4” form has not been challenged </w:t>
      </w:r>
      <w:r w:rsidR="00235F5F">
        <w:t>by the Fund</w:t>
      </w:r>
      <w:r w:rsidR="00F34727">
        <w:t>.</w:t>
      </w:r>
    </w:p>
    <w:p w14:paraId="0E30A99E" w14:textId="329097D3" w:rsidR="00853666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[15]</w:t>
      </w:r>
      <w:r>
        <w:tab/>
      </w:r>
      <w:r w:rsidR="00853666">
        <w:t xml:space="preserve">When the Fund’s representative was asked directly whether there could be any challenge to proposition that </w:t>
      </w:r>
      <w:proofErr w:type="gramStart"/>
      <w:r w:rsidR="00853666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853666">
        <w:t xml:space="preserve"> had suffered a right frontal brain haemorrhage as a result of the accident or that her subsequent seizure was as a result of this injury it was conceded that there could be no challenge.</w:t>
      </w:r>
    </w:p>
    <w:p w14:paraId="142093CB" w14:textId="2BF14A4C" w:rsidR="0072589E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[16]</w:t>
      </w:r>
      <w:r>
        <w:tab/>
      </w:r>
      <w:r w:rsidR="00EE2A7F">
        <w:t>Accordingly</w:t>
      </w:r>
      <w:r w:rsidR="0072589E">
        <w:t>,</w:t>
      </w:r>
      <w:r w:rsidR="00EE2A7F">
        <w:t xml:space="preserve"> it can be accepted that </w:t>
      </w:r>
      <w:proofErr w:type="gramStart"/>
      <w:r w:rsidR="00EE2A7F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EE2A7F">
        <w:t xml:space="preserve"> sustained the injuries </w:t>
      </w:r>
      <w:r w:rsidR="00F60ED9">
        <w:t xml:space="preserve">set out in paragraph </w:t>
      </w:r>
      <w:r w:rsidR="00DF013B">
        <w:t>8</w:t>
      </w:r>
      <w:r w:rsidR="00F60ED9">
        <w:t xml:space="preserve"> above</w:t>
      </w:r>
      <w:r w:rsidR="007029A5">
        <w:t xml:space="preserve">, </w:t>
      </w:r>
      <w:r w:rsidR="00610C3A">
        <w:t xml:space="preserve">that she suffered </w:t>
      </w:r>
      <w:r w:rsidR="00170324">
        <w:t>a seizure as a result of her injur</w:t>
      </w:r>
      <w:r w:rsidR="00C178AE">
        <w:t>ies</w:t>
      </w:r>
      <w:r w:rsidR="007029A5">
        <w:t xml:space="preserve"> and that </w:t>
      </w:r>
      <w:r w:rsidR="00FA7F81">
        <w:t xml:space="preserve">the injury to her head </w:t>
      </w:r>
      <w:r w:rsidR="00644613">
        <w:t>was severe</w:t>
      </w:r>
      <w:r w:rsidR="0072589E">
        <w:t>.</w:t>
      </w:r>
    </w:p>
    <w:p w14:paraId="2C948779" w14:textId="251DF3B1" w:rsidR="00206790" w:rsidRPr="00206790" w:rsidRDefault="00206790" w:rsidP="00206790">
      <w:pPr>
        <w:pStyle w:val="JudgmentNumbered"/>
        <w:numPr>
          <w:ilvl w:val="0"/>
          <w:numId w:val="0"/>
        </w:numPr>
        <w:rPr>
          <w:b/>
          <w:bCs/>
        </w:rPr>
      </w:pPr>
      <w:r w:rsidRPr="00206790">
        <w:rPr>
          <w:b/>
          <w:bCs/>
        </w:rPr>
        <w:t>THE EXPERT REPORTS</w:t>
      </w:r>
    </w:p>
    <w:p w14:paraId="6F63A2A8" w14:textId="76C0F037" w:rsidR="003B6D91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lastRenderedPageBreak/>
        <w:t>[17]</w:t>
      </w:r>
      <w:r>
        <w:tab/>
      </w:r>
      <w:r w:rsidR="009A3367">
        <w:t>At the outset of the</w:t>
      </w:r>
      <w:r w:rsidR="00693D97">
        <w:t xml:space="preserve"> proceedings before me</w:t>
      </w:r>
      <w:r w:rsidR="00456167">
        <w:t xml:space="preserve"> the Fund had indicated that the objection</w:t>
      </w:r>
      <w:r w:rsidR="009A3367">
        <w:t xml:space="preserve"> to the </w:t>
      </w:r>
      <w:r w:rsidR="00693D97">
        <w:t xml:space="preserve">evidence of the experts related to the </w:t>
      </w:r>
      <w:r w:rsidR="00D52860">
        <w:t xml:space="preserve">reports of </w:t>
      </w:r>
      <w:r w:rsidR="00050B0F">
        <w:t xml:space="preserve">the neuro surgeon, Dr </w:t>
      </w:r>
      <w:proofErr w:type="spellStart"/>
      <w:r w:rsidR="00050B0F">
        <w:t>Mazwi</w:t>
      </w:r>
      <w:proofErr w:type="spellEnd"/>
      <w:r w:rsidR="00450F27">
        <w:t xml:space="preserve">, </w:t>
      </w:r>
      <w:r w:rsidR="00050B0F">
        <w:t xml:space="preserve">and </w:t>
      </w:r>
      <w:r w:rsidR="00450F27">
        <w:t xml:space="preserve">the </w:t>
      </w:r>
      <w:r w:rsidR="003C628C">
        <w:t>neuropsycholog</w:t>
      </w:r>
      <w:r w:rsidR="00450F27">
        <w:t>ical</w:t>
      </w:r>
      <w:r w:rsidR="003C628C">
        <w:t xml:space="preserve"> and </w:t>
      </w:r>
      <w:r w:rsidR="00AC4757">
        <w:t>edu</w:t>
      </w:r>
      <w:r w:rsidR="0088142D">
        <w:t>cational psychologist</w:t>
      </w:r>
      <w:r w:rsidR="00450F27">
        <w:t xml:space="preserve">, </w:t>
      </w:r>
      <w:r w:rsidR="006E227A">
        <w:t xml:space="preserve">Ms </w:t>
      </w:r>
      <w:r w:rsidR="00450F27">
        <w:t>Margaret Anne Gibson</w:t>
      </w:r>
      <w:r w:rsidR="00CD4902">
        <w:t>.</w:t>
      </w:r>
    </w:p>
    <w:p w14:paraId="1B0DF083" w14:textId="5D1481B5" w:rsidR="00DB5073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[18]</w:t>
      </w:r>
      <w:r>
        <w:tab/>
      </w:r>
      <w:r w:rsidR="003B6D91">
        <w:t>After the objections to the reliance on expert affidavits had been withdrawn</w:t>
      </w:r>
      <w:r w:rsidR="00AF4BF7">
        <w:t>,</w:t>
      </w:r>
      <w:r w:rsidR="00436D84">
        <w:t xml:space="preserve"> </w:t>
      </w:r>
      <w:r w:rsidR="00CD5BF2">
        <w:t>the Fund</w:t>
      </w:r>
      <w:r w:rsidR="0018183E">
        <w:t xml:space="preserve">’s representative </w:t>
      </w:r>
      <w:r w:rsidR="00FF50D7">
        <w:t xml:space="preserve">indicated that he would limit his submissions to the evidence of </w:t>
      </w:r>
      <w:r w:rsidR="00D46AE8">
        <w:t xml:space="preserve">Dr </w:t>
      </w:r>
      <w:proofErr w:type="spellStart"/>
      <w:r w:rsidR="00D46AE8">
        <w:t>Mazwi</w:t>
      </w:r>
      <w:proofErr w:type="spellEnd"/>
      <w:r w:rsidR="00D46AE8">
        <w:t xml:space="preserve"> and Ms Gibson</w:t>
      </w:r>
      <w:r w:rsidR="00486A73">
        <w:t>.</w:t>
      </w:r>
    </w:p>
    <w:p w14:paraId="59F368B2" w14:textId="443FC279" w:rsidR="000A0DD8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[19]</w:t>
      </w:r>
      <w:r>
        <w:tab/>
      </w:r>
      <w:r w:rsidR="00486A73">
        <w:t xml:space="preserve">Neither party made any submissions regarding the </w:t>
      </w:r>
      <w:r w:rsidR="00227A05">
        <w:t xml:space="preserve">evidence of the remaining </w:t>
      </w:r>
      <w:proofErr w:type="gramStart"/>
      <w:r w:rsidR="00227A05">
        <w:t>experts</w:t>
      </w:r>
      <w:proofErr w:type="gramEnd"/>
      <w:r w:rsidR="00227A05">
        <w:t xml:space="preserve"> </w:t>
      </w:r>
      <w:r w:rsidR="008250DD">
        <w:t xml:space="preserve">Dr </w:t>
      </w:r>
      <w:proofErr w:type="spellStart"/>
      <w:r w:rsidR="008250DD">
        <w:t>Kumbirai</w:t>
      </w:r>
      <w:proofErr w:type="spellEnd"/>
      <w:r w:rsidR="004D190B">
        <w:t xml:space="preserve"> (orthopaedic surgeon)</w:t>
      </w:r>
      <w:r w:rsidR="000A0DD8">
        <w:t xml:space="preserve">, </w:t>
      </w:r>
      <w:r w:rsidR="004D190B">
        <w:t xml:space="preserve">Dr </w:t>
      </w:r>
      <w:proofErr w:type="spellStart"/>
      <w:r w:rsidR="004D190B">
        <w:t>Strydom</w:t>
      </w:r>
      <w:proofErr w:type="spellEnd"/>
      <w:r w:rsidR="004D190B">
        <w:t xml:space="preserve"> </w:t>
      </w:r>
      <w:r w:rsidR="000A0DD8">
        <w:t>(industrial psychologist)</w:t>
      </w:r>
      <w:r w:rsidR="00082C80">
        <w:t xml:space="preserve"> </w:t>
      </w:r>
      <w:r w:rsidR="007D743F">
        <w:t xml:space="preserve">and </w:t>
      </w:r>
      <w:r w:rsidR="006A238A">
        <w:t xml:space="preserve">Mr </w:t>
      </w:r>
      <w:r w:rsidR="00082C80">
        <w:t xml:space="preserve">Willem </w:t>
      </w:r>
      <w:proofErr w:type="spellStart"/>
      <w:r w:rsidR="00082C80">
        <w:t>Boshoff</w:t>
      </w:r>
      <w:proofErr w:type="spellEnd"/>
      <w:r w:rsidR="007D743F">
        <w:t xml:space="preserve"> (actuary)</w:t>
      </w:r>
      <w:r w:rsidR="000A0DD8">
        <w:t>.</w:t>
      </w:r>
    </w:p>
    <w:p w14:paraId="3C3DEDF0" w14:textId="64886209" w:rsidR="00855584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[20]</w:t>
      </w:r>
      <w:r>
        <w:tab/>
      </w:r>
      <w:r w:rsidR="00EA2A86">
        <w:t xml:space="preserve">Dr </w:t>
      </w:r>
      <w:proofErr w:type="spellStart"/>
      <w:r w:rsidR="00EA2A86">
        <w:t>Mazwi’s</w:t>
      </w:r>
      <w:proofErr w:type="spellEnd"/>
      <w:r w:rsidR="00EA2A86">
        <w:t xml:space="preserve"> report </w:t>
      </w:r>
      <w:r w:rsidR="00280E50">
        <w:t xml:space="preserve">notes that the </w:t>
      </w:r>
      <w:r w:rsidR="00E55E7A">
        <w:t xml:space="preserve">hospital records indicate that </w:t>
      </w:r>
      <w:proofErr w:type="gramStart"/>
      <w:r w:rsidR="00E34A22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E34A22">
        <w:t xml:space="preserve"> presented </w:t>
      </w:r>
      <w:r w:rsidR="00855584">
        <w:t xml:space="preserve">with a </w:t>
      </w:r>
      <w:r w:rsidR="004A33F2">
        <w:t xml:space="preserve">GSC </w:t>
      </w:r>
      <w:r w:rsidR="00855584">
        <w:t>score of 12/15.</w:t>
      </w:r>
    </w:p>
    <w:p w14:paraId="236CEF91" w14:textId="4BAA1545" w:rsidR="00ED60C7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[21]</w:t>
      </w:r>
      <w:r>
        <w:tab/>
      </w:r>
      <w:r w:rsidR="005D6BEE">
        <w:t xml:space="preserve">This, according to the Fund, is indicative of the fact that the </w:t>
      </w:r>
      <w:r w:rsidR="00551938">
        <w:t xml:space="preserve">head </w:t>
      </w:r>
      <w:r w:rsidR="00A633AA">
        <w:t>injur</w:t>
      </w:r>
      <w:r w:rsidR="00551938">
        <w:t>y</w:t>
      </w:r>
      <w:r w:rsidR="00A633AA">
        <w:t xml:space="preserve"> sustained by </w:t>
      </w:r>
      <w:proofErr w:type="gramStart"/>
      <w:r w:rsidR="00A633AA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A633AA">
        <w:t xml:space="preserve"> </w:t>
      </w:r>
      <w:r w:rsidR="00ED60C7">
        <w:t>w</w:t>
      </w:r>
      <w:r w:rsidR="00551938">
        <w:t>as</w:t>
      </w:r>
      <w:r w:rsidR="00ED60C7">
        <w:t xml:space="preserve"> moderate rather than severe</w:t>
      </w:r>
      <w:r w:rsidR="00551938">
        <w:t xml:space="preserve"> </w:t>
      </w:r>
      <w:r w:rsidR="006125AC">
        <w:t xml:space="preserve">on the reasoning that </w:t>
      </w:r>
      <w:r w:rsidR="001F485A">
        <w:t xml:space="preserve">a score of under 9 is indicative of a severe </w:t>
      </w:r>
      <w:r w:rsidR="00B9491D">
        <w:t>injury.</w:t>
      </w:r>
      <w:r w:rsidR="007517A4">
        <w:t xml:space="preserve"> This was the main thrust of the attack on the report of Dr </w:t>
      </w:r>
      <w:proofErr w:type="spellStart"/>
      <w:r w:rsidR="007517A4">
        <w:t>Mazwi</w:t>
      </w:r>
      <w:proofErr w:type="spellEnd"/>
      <w:r w:rsidR="007517A4">
        <w:t>.</w:t>
      </w:r>
    </w:p>
    <w:p w14:paraId="217A88CF" w14:textId="0973FB32" w:rsidR="004B3907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[22]</w:t>
      </w:r>
      <w:r>
        <w:tab/>
      </w:r>
      <w:r w:rsidR="007517A4">
        <w:t>T</w:t>
      </w:r>
      <w:r w:rsidR="00B9491D">
        <w:t>his reasoning cannot be sustained</w:t>
      </w:r>
      <w:r w:rsidR="000A3F25">
        <w:t xml:space="preserve"> on the </w:t>
      </w:r>
      <w:r w:rsidR="00A57C1A">
        <w:t>information</w:t>
      </w:r>
      <w:r w:rsidR="000A3F25">
        <w:t xml:space="preserve"> recorded </w:t>
      </w:r>
      <w:r w:rsidR="006D3F59">
        <w:t>in the hospital records</w:t>
      </w:r>
      <w:r w:rsidR="00A57C1A">
        <w:t>, as set out above</w:t>
      </w:r>
      <w:r w:rsidR="00483810">
        <w:t xml:space="preserve"> – if anything </w:t>
      </w:r>
      <w:r w:rsidR="001D664C">
        <w:t xml:space="preserve">the total picture </w:t>
      </w:r>
      <w:r w:rsidR="00FB2DA1">
        <w:t xml:space="preserve">suggests that </w:t>
      </w:r>
      <w:r w:rsidR="00840AD7">
        <w:t xml:space="preserve">the </w:t>
      </w:r>
      <w:r w:rsidR="009548F1">
        <w:t xml:space="preserve">injury sustained by </w:t>
      </w:r>
      <w:proofErr w:type="gramStart"/>
      <w:r w:rsidR="009548F1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9548F1">
        <w:t xml:space="preserve"> was rather more pronounced than </w:t>
      </w:r>
      <w:r w:rsidR="00932567">
        <w:t xml:space="preserve">a finding that she presented with </w:t>
      </w:r>
      <w:r w:rsidR="00A26595">
        <w:t>a GCS score of 12/15 might suggest</w:t>
      </w:r>
      <w:r w:rsidR="003B6D91">
        <w:t>.</w:t>
      </w:r>
    </w:p>
    <w:p w14:paraId="1A02F1DF" w14:textId="453F614C" w:rsidR="00E70920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[23]</w:t>
      </w:r>
      <w:r>
        <w:tab/>
      </w:r>
      <w:r w:rsidR="00102509">
        <w:t>In any event</w:t>
      </w:r>
      <w:r w:rsidR="00D53B09">
        <w:t>,</w:t>
      </w:r>
      <w:r w:rsidR="00102509">
        <w:t xml:space="preserve"> </w:t>
      </w:r>
      <w:r w:rsidR="00F62073">
        <w:t xml:space="preserve">I note that the </w:t>
      </w:r>
      <w:r w:rsidR="00AE1DE6">
        <w:t xml:space="preserve">conclusions reached by Dr </w:t>
      </w:r>
      <w:proofErr w:type="spellStart"/>
      <w:r w:rsidR="00AE1DE6">
        <w:t>Mazwi</w:t>
      </w:r>
      <w:proofErr w:type="spellEnd"/>
      <w:r w:rsidR="00F62073">
        <w:t xml:space="preserve"> </w:t>
      </w:r>
      <w:r w:rsidR="00AE1DE6">
        <w:t xml:space="preserve">were based on </w:t>
      </w:r>
      <w:r w:rsidR="00ED3C89">
        <w:t>a number of factors</w:t>
      </w:r>
      <w:r w:rsidR="00C24FEB">
        <w:t xml:space="preserve"> including a general examination of </w:t>
      </w:r>
      <w:proofErr w:type="gramStart"/>
      <w:r w:rsidR="006470BF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3E1EE2">
        <w:t xml:space="preserve"> and </w:t>
      </w:r>
      <w:r w:rsidR="005B1760">
        <w:t xml:space="preserve">a </w:t>
      </w:r>
      <w:r w:rsidR="003E1EE2">
        <w:t>detailed</w:t>
      </w:r>
      <w:r w:rsidR="000C70D8">
        <w:t xml:space="preserve"> neurological examination</w:t>
      </w:r>
      <w:r w:rsidR="005B1760">
        <w:t xml:space="preserve"> in order to establish the full picture </w:t>
      </w:r>
      <w:r w:rsidR="00CA7472">
        <w:t xml:space="preserve">of any impairment </w:t>
      </w:r>
      <w:r w:rsidR="00D53B09">
        <w:t xml:space="preserve">resulting </w:t>
      </w:r>
      <w:r w:rsidR="00710EFE">
        <w:t>from the injuries sustained -</w:t>
      </w:r>
      <w:r w:rsidR="00ED3C89">
        <w:t xml:space="preserve"> the GCS score is but one</w:t>
      </w:r>
      <w:r w:rsidR="00710EFE">
        <w:t xml:space="preserve"> factor to consider</w:t>
      </w:r>
      <w:r w:rsidR="00943EB7">
        <w:t xml:space="preserve"> and cannot be regarded in isolation</w:t>
      </w:r>
      <w:r w:rsidR="004B3907">
        <w:t>.</w:t>
      </w:r>
    </w:p>
    <w:p w14:paraId="3DBE819E" w14:textId="1512572D" w:rsidR="003A6ABD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[24]</w:t>
      </w:r>
      <w:r>
        <w:tab/>
      </w:r>
      <w:r w:rsidR="00FB72AD">
        <w:t xml:space="preserve">It was further pointed </w:t>
      </w:r>
      <w:r w:rsidR="00A93997">
        <w:t xml:space="preserve">out </w:t>
      </w:r>
      <w:r w:rsidR="00FB72AD">
        <w:t xml:space="preserve">by the Fund that the </w:t>
      </w:r>
      <w:r w:rsidR="00BA4EC0">
        <w:t xml:space="preserve">conclusion of Dr </w:t>
      </w:r>
      <w:proofErr w:type="spellStart"/>
      <w:r w:rsidR="00BA4EC0">
        <w:t>Mazwi’s</w:t>
      </w:r>
      <w:proofErr w:type="spellEnd"/>
      <w:r w:rsidR="00BA4EC0">
        <w:t xml:space="preserve"> report states</w:t>
      </w:r>
      <w:r w:rsidR="001467BE">
        <w:t xml:space="preserve"> </w:t>
      </w:r>
      <w:r w:rsidR="00683DF1">
        <w:t xml:space="preserve">both </w:t>
      </w:r>
      <w:r w:rsidR="001467BE">
        <w:t xml:space="preserve">that </w:t>
      </w:r>
      <w:proofErr w:type="gramStart"/>
      <w:r w:rsidR="001467BE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1467BE">
        <w:t xml:space="preserve"> </w:t>
      </w:r>
      <w:r w:rsidR="00683DF1">
        <w:t xml:space="preserve">sustained a </w:t>
      </w:r>
      <w:r w:rsidR="006838D6">
        <w:t xml:space="preserve">severe head injury and </w:t>
      </w:r>
      <w:r w:rsidR="00683DF1">
        <w:t>mild head injury</w:t>
      </w:r>
      <w:r w:rsidR="003A6ABD">
        <w:t xml:space="preserve"> and that these conclusions are incompatible</w:t>
      </w:r>
      <w:r w:rsidR="00E70920">
        <w:t>.</w:t>
      </w:r>
    </w:p>
    <w:p w14:paraId="1A2EE3DB" w14:textId="534A84D3" w:rsidR="00C06CA7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lastRenderedPageBreak/>
        <w:t>[25]</w:t>
      </w:r>
      <w:r>
        <w:tab/>
      </w:r>
      <w:r w:rsidR="00275B72">
        <w:t xml:space="preserve">The representative for the plaintiff however made the submission that the </w:t>
      </w:r>
      <w:r w:rsidR="004D5B70">
        <w:t>one line stating</w:t>
      </w:r>
      <w:r w:rsidR="00275B72">
        <w:t xml:space="preserve"> that </w:t>
      </w:r>
      <w:proofErr w:type="gramStart"/>
      <w:r w:rsidR="005B11D1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5B11D1">
        <w:t xml:space="preserve"> had sustained a mild head injury </w:t>
      </w:r>
      <w:r w:rsidR="004D5B70">
        <w:t xml:space="preserve">in the conclusion of </w:t>
      </w:r>
      <w:r w:rsidR="00207AF9">
        <w:t xml:space="preserve">a report spanning </w:t>
      </w:r>
      <w:r w:rsidR="003D3A7F">
        <w:t>nineteen</w:t>
      </w:r>
      <w:r w:rsidR="00207AF9">
        <w:t xml:space="preserve"> </w:t>
      </w:r>
      <w:r w:rsidR="003D3A7F">
        <w:t xml:space="preserve">pages </w:t>
      </w:r>
      <w:r w:rsidR="00FF21E7">
        <w:t>and which is</w:t>
      </w:r>
      <w:r w:rsidR="003D3A7F">
        <w:t xml:space="preserve"> incompatible with everything else in the report </w:t>
      </w:r>
      <w:r w:rsidR="00D4701F">
        <w:t>was</w:t>
      </w:r>
      <w:r w:rsidR="000D043C">
        <w:t xml:space="preserve"> probably </w:t>
      </w:r>
      <w:r w:rsidR="00AE4814">
        <w:t>an error. I am inclined to agree.</w:t>
      </w:r>
    </w:p>
    <w:p w14:paraId="255BD501" w14:textId="77A87F7B" w:rsidR="005D6A26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[26]</w:t>
      </w:r>
      <w:r>
        <w:tab/>
      </w:r>
      <w:r w:rsidR="00C06CA7">
        <w:t xml:space="preserve">I note that </w:t>
      </w:r>
      <w:r w:rsidR="00E022EA">
        <w:t xml:space="preserve">it is not disputed that </w:t>
      </w:r>
      <w:proofErr w:type="gramStart"/>
      <w:r w:rsidR="00E022EA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E022EA">
        <w:t xml:space="preserve"> ha</w:t>
      </w:r>
      <w:r w:rsidR="0031253B">
        <w:t>d</w:t>
      </w:r>
      <w:r w:rsidR="00E022EA">
        <w:t xml:space="preserve"> </w:t>
      </w:r>
      <w:r w:rsidR="0031253B">
        <w:t xml:space="preserve">reached maximal medical improvement by the time she was examined by Dr </w:t>
      </w:r>
      <w:proofErr w:type="spellStart"/>
      <w:r w:rsidR="0031253B">
        <w:t>Mazwi</w:t>
      </w:r>
      <w:proofErr w:type="spellEnd"/>
      <w:r w:rsidR="00C06CA7">
        <w:t>.</w:t>
      </w:r>
    </w:p>
    <w:p w14:paraId="5C743D34" w14:textId="5A8ABA75" w:rsidR="00F80545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[27]</w:t>
      </w:r>
      <w:r>
        <w:tab/>
      </w:r>
      <w:r w:rsidR="00280EF0">
        <w:t xml:space="preserve">It was contended on behalf of the Fund that, as the </w:t>
      </w:r>
      <w:r w:rsidR="00D841A1">
        <w:t xml:space="preserve">report of Dr </w:t>
      </w:r>
      <w:proofErr w:type="spellStart"/>
      <w:r w:rsidR="00D841A1">
        <w:t>Mazwi</w:t>
      </w:r>
      <w:proofErr w:type="spellEnd"/>
      <w:r w:rsidR="00D841A1">
        <w:t xml:space="preserve"> was</w:t>
      </w:r>
      <w:r w:rsidR="007503B9">
        <w:t xml:space="preserve"> unsustainable</w:t>
      </w:r>
      <w:r w:rsidR="002F1DAD">
        <w:t xml:space="preserve">, on the </w:t>
      </w:r>
      <w:r w:rsidR="00AF6E31">
        <w:t xml:space="preserve">reasoning </w:t>
      </w:r>
      <w:r w:rsidR="002F1DAD">
        <w:t xml:space="preserve">set out </w:t>
      </w:r>
      <w:r w:rsidR="00AF6E31">
        <w:t xml:space="preserve">paragraphs </w:t>
      </w:r>
      <w:r w:rsidR="002F1DAD">
        <w:t xml:space="preserve">19, 20 </w:t>
      </w:r>
      <w:r w:rsidR="00AF6E31">
        <w:t>and 23</w:t>
      </w:r>
      <w:r w:rsidR="006431D6">
        <w:t xml:space="preserve"> above, the report of Ms Gibson </w:t>
      </w:r>
      <w:r w:rsidR="008E43E2">
        <w:t xml:space="preserve">could not be sustained </w:t>
      </w:r>
      <w:r w:rsidR="00F80545">
        <w:t>as the latter relied on the findings in the former.</w:t>
      </w:r>
    </w:p>
    <w:p w14:paraId="34759094" w14:textId="3608B0BC" w:rsidR="00F1246B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[28]</w:t>
      </w:r>
      <w:r>
        <w:tab/>
      </w:r>
      <w:r w:rsidR="00010381">
        <w:t xml:space="preserve">I have already </w:t>
      </w:r>
      <w:r w:rsidR="001E5E63">
        <w:t>noted that the reasoning of the Fund</w:t>
      </w:r>
      <w:r w:rsidR="00337365">
        <w:t xml:space="preserve">, which is based on the </w:t>
      </w:r>
      <w:r w:rsidR="0060527C">
        <w:t xml:space="preserve">submission that a GCS score of 12/15 </w:t>
      </w:r>
      <w:r w:rsidR="00BA16E8">
        <w:t xml:space="preserve">indicates that the injury sustained by </w:t>
      </w:r>
      <w:proofErr w:type="gramStart"/>
      <w:r w:rsidR="00070D08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070D08">
        <w:t xml:space="preserve"> was moderate at best, is flawed and cannot be </w:t>
      </w:r>
      <w:r w:rsidR="00B31070">
        <w:t xml:space="preserve">sustained. It follows that </w:t>
      </w:r>
      <w:r w:rsidR="00436B72">
        <w:t xml:space="preserve">this line of </w:t>
      </w:r>
      <w:r w:rsidR="00B31070">
        <w:t xml:space="preserve">the attack on </w:t>
      </w:r>
      <w:r w:rsidR="00436B72">
        <w:t>Ms Gibson’s report</w:t>
      </w:r>
      <w:r w:rsidR="00F1246B">
        <w:t xml:space="preserve"> must also fail.</w:t>
      </w:r>
    </w:p>
    <w:p w14:paraId="0BD7C2C4" w14:textId="36858F8D" w:rsidR="0091625A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[29]</w:t>
      </w:r>
      <w:r>
        <w:tab/>
      </w:r>
      <w:r w:rsidR="00B33CBD">
        <w:t xml:space="preserve">Ms Gibson’s </w:t>
      </w:r>
      <w:r w:rsidR="001D63C3">
        <w:t>report notes that, at the time of the injury</w:t>
      </w:r>
      <w:r w:rsidR="00323A5B">
        <w:t xml:space="preserve">, </w:t>
      </w:r>
      <w:proofErr w:type="gramStart"/>
      <w:r w:rsidR="00323A5B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323A5B">
        <w:t xml:space="preserve"> was in grade </w:t>
      </w:r>
      <w:r w:rsidR="0091625A">
        <w:t xml:space="preserve">4 and had done well </w:t>
      </w:r>
      <w:r w:rsidR="001D609B">
        <w:t>scholastically.</w:t>
      </w:r>
    </w:p>
    <w:p w14:paraId="658457F3" w14:textId="1BD79076" w:rsidR="00C04091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[30]</w:t>
      </w:r>
      <w:r>
        <w:tab/>
      </w:r>
      <w:r w:rsidR="0091625A">
        <w:t xml:space="preserve">The Fund makes much of the fact </w:t>
      </w:r>
      <w:r w:rsidR="001A37DD">
        <w:t>that</w:t>
      </w:r>
      <w:r w:rsidR="00B208E9">
        <w:t>,</w:t>
      </w:r>
      <w:r w:rsidR="00251249">
        <w:t xml:space="preserve"> on the evidence of her most recent </w:t>
      </w:r>
      <w:r w:rsidR="00D16368">
        <w:t xml:space="preserve">report card, </w:t>
      </w:r>
      <w:proofErr w:type="gramStart"/>
      <w:r w:rsidR="00D16368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B208E9">
        <w:t xml:space="preserve"> </w:t>
      </w:r>
      <w:r w:rsidR="00D16368">
        <w:t>achieved very well</w:t>
      </w:r>
      <w:r w:rsidR="00C04091">
        <w:t xml:space="preserve"> in certain of her subjects.</w:t>
      </w:r>
    </w:p>
    <w:p w14:paraId="755368A8" w14:textId="6BE32D3F" w:rsidR="00AE1A16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[31]</w:t>
      </w:r>
      <w:r>
        <w:tab/>
      </w:r>
      <w:r w:rsidR="00C04091">
        <w:t xml:space="preserve">This, so the argument goes, is indicative of the fact </w:t>
      </w:r>
      <w:r w:rsidR="00C32626">
        <w:t xml:space="preserve">that any difficulties which </w:t>
      </w:r>
      <w:proofErr w:type="gramStart"/>
      <w:r w:rsidR="00C32626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C32626">
        <w:t xml:space="preserve"> has experienced </w:t>
      </w:r>
      <w:r w:rsidR="00A32835">
        <w:t xml:space="preserve">following her injury </w:t>
      </w:r>
      <w:r w:rsidR="00AE1A16">
        <w:t>must be negligible.</w:t>
      </w:r>
    </w:p>
    <w:p w14:paraId="0188D898" w14:textId="25CED46F" w:rsidR="003144FC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[32]</w:t>
      </w:r>
      <w:r>
        <w:tab/>
      </w:r>
      <w:r w:rsidR="00AE1A16">
        <w:t xml:space="preserve">This argument fails to </w:t>
      </w:r>
      <w:r w:rsidR="00693E19">
        <w:t>consider</w:t>
      </w:r>
      <w:r w:rsidR="00AE1A16">
        <w:t xml:space="preserve"> that </w:t>
      </w:r>
      <w:r w:rsidR="00787711">
        <w:t xml:space="preserve">her average has dropped </w:t>
      </w:r>
      <w:r w:rsidR="003C41F4">
        <w:t xml:space="preserve">from 67% at the end of grade 8 to </w:t>
      </w:r>
      <w:r w:rsidR="00F31F8D">
        <w:t xml:space="preserve">under </w:t>
      </w:r>
      <w:r w:rsidR="008E260E">
        <w:t>60</w:t>
      </w:r>
      <w:r w:rsidR="002E463C">
        <w:t>%</w:t>
      </w:r>
      <w:r w:rsidR="008E260E">
        <w:t xml:space="preserve"> in grade 9 and that these results are </w:t>
      </w:r>
      <w:r w:rsidR="00BF5CED">
        <w:t xml:space="preserve">well below </w:t>
      </w:r>
      <w:r w:rsidR="00431325">
        <w:t xml:space="preserve">those attained in grade 4 in which year her average was </w:t>
      </w:r>
      <w:r w:rsidR="002E463C">
        <w:t>76%</w:t>
      </w:r>
      <w:r w:rsidR="005D6A26">
        <w:t>.</w:t>
      </w:r>
    </w:p>
    <w:p w14:paraId="0D5E1343" w14:textId="461C16F8" w:rsidR="00C33409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[33]</w:t>
      </w:r>
      <w:r>
        <w:tab/>
      </w:r>
      <w:r w:rsidR="003144FC">
        <w:t>It is further apparent that, in certain subjects</w:t>
      </w:r>
      <w:r w:rsidR="00F01006">
        <w:t xml:space="preserve">, </w:t>
      </w:r>
      <w:proofErr w:type="gramStart"/>
      <w:r w:rsidR="00F01006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F01006">
        <w:t xml:space="preserve"> has begun to face challenges. By way of example her mathematics results</w:t>
      </w:r>
      <w:r w:rsidR="002F4746">
        <w:t>,</w:t>
      </w:r>
      <w:r w:rsidR="00F01006">
        <w:t xml:space="preserve"> </w:t>
      </w:r>
      <w:r w:rsidR="00BE04A5">
        <w:t xml:space="preserve">which were </w:t>
      </w:r>
      <w:r w:rsidR="009C3D12">
        <w:t>previously good</w:t>
      </w:r>
      <w:r w:rsidR="001E0B50">
        <w:t>,</w:t>
      </w:r>
      <w:r w:rsidR="009C3D12">
        <w:t xml:space="preserve"> dropped </w:t>
      </w:r>
      <w:r w:rsidR="00456F2B">
        <w:t>significantly</w:t>
      </w:r>
      <w:r w:rsidR="00370B9F">
        <w:t xml:space="preserve"> </w:t>
      </w:r>
      <w:r w:rsidR="00D052A4">
        <w:t>on her most recent reports</w:t>
      </w:r>
      <w:r w:rsidR="003144FC">
        <w:t>.</w:t>
      </w:r>
    </w:p>
    <w:p w14:paraId="75CAFEAA" w14:textId="1B721B7D" w:rsidR="005F6B9D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[34]</w:t>
      </w:r>
      <w:r>
        <w:tab/>
      </w:r>
      <w:r w:rsidR="00912D11">
        <w:t>There was no challenge to the findings in Ms Gibson’s report</w:t>
      </w:r>
      <w:r w:rsidR="005131E4">
        <w:t xml:space="preserve"> that the adverse effects of injuries of the kind sustained by </w:t>
      </w:r>
      <w:proofErr w:type="gramStart"/>
      <w:r w:rsidR="005131E4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5131E4">
        <w:t xml:space="preserve"> </w:t>
      </w:r>
      <w:r w:rsidR="00111C63">
        <w:t xml:space="preserve">are likely to become more </w:t>
      </w:r>
      <w:r w:rsidR="00111C63">
        <w:lastRenderedPageBreak/>
        <w:t>manifest over the course of her development to adulthood</w:t>
      </w:r>
      <w:r w:rsidR="00B860FC">
        <w:t xml:space="preserve"> as the divergence between injured and non-injured people would tend to be more obvious over time.</w:t>
      </w:r>
    </w:p>
    <w:p w14:paraId="7D61E31F" w14:textId="7DFF5D5D" w:rsidR="005B298E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[35]</w:t>
      </w:r>
      <w:r>
        <w:tab/>
      </w:r>
      <w:r w:rsidR="00DA1C34">
        <w:t>Additionally</w:t>
      </w:r>
      <w:r w:rsidR="00DB2579">
        <w:t>,</w:t>
      </w:r>
      <w:r w:rsidR="00DA1C34">
        <w:t xml:space="preserve"> there w</w:t>
      </w:r>
      <w:r w:rsidR="00E9338E">
        <w:t xml:space="preserve">as no challenge to the findings that, following a battery of tests, </w:t>
      </w:r>
      <w:proofErr w:type="gramStart"/>
      <w:r w:rsidR="00E9338E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E9338E">
        <w:t xml:space="preserve"> was found to have various educational</w:t>
      </w:r>
      <w:r w:rsidR="00C0554E">
        <w:t xml:space="preserve"> deficiencies in literacy, numeracy</w:t>
      </w:r>
      <w:r w:rsidR="00640E82">
        <w:t xml:space="preserve"> fund of knowledge, difficulty</w:t>
      </w:r>
      <w:r w:rsidR="005A3A2C">
        <w:t xml:space="preserve"> in comprehension of English and ability to extract meaning from print</w:t>
      </w:r>
      <w:r w:rsidR="00DB2579">
        <w:t xml:space="preserve">. All of these would eventually </w:t>
      </w:r>
      <w:r w:rsidR="009C66F7">
        <w:t>have implications in the real world and scholastically.</w:t>
      </w:r>
      <w:r w:rsidR="004930B4">
        <w:t xml:space="preserve"> Importantly Ms Gibson notes that </w:t>
      </w:r>
      <w:r w:rsidR="008F22A4">
        <w:t xml:space="preserve">educational difficulties are likely to become more evident as </w:t>
      </w:r>
      <w:proofErr w:type="gramStart"/>
      <w:r w:rsidR="008F22A4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8F22A4">
        <w:t xml:space="preserve"> progresses through secondary school</w:t>
      </w:r>
      <w:r w:rsidR="00AC4987">
        <w:t xml:space="preserve"> where the quantity and nature of the tasks she is expected to perform</w:t>
      </w:r>
      <w:r w:rsidR="00BB00A3">
        <w:t xml:space="preserve"> increases and become more abstract and complex.</w:t>
      </w:r>
    </w:p>
    <w:p w14:paraId="4FC91CEC" w14:textId="4F69F11D" w:rsidR="00BB00A3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[36]</w:t>
      </w:r>
      <w:r>
        <w:tab/>
      </w:r>
      <w:r w:rsidR="00A85D7B">
        <w:t xml:space="preserve">Ms Gibson in her report </w:t>
      </w:r>
      <w:r w:rsidR="00770E0B">
        <w:t xml:space="preserve">states that the </w:t>
      </w:r>
      <w:proofErr w:type="spellStart"/>
      <w:r w:rsidR="00770E0B">
        <w:t>postmorbid</w:t>
      </w:r>
      <w:proofErr w:type="spellEnd"/>
      <w:r w:rsidR="00770E0B">
        <w:t xml:space="preserve"> </w:t>
      </w:r>
      <w:r w:rsidR="0044427C">
        <w:t xml:space="preserve">educational </w:t>
      </w:r>
      <w:r w:rsidR="00770E0B">
        <w:t xml:space="preserve">outcome </w:t>
      </w:r>
      <w:r w:rsidR="0044427C">
        <w:t xml:space="preserve">for </w:t>
      </w:r>
      <w:proofErr w:type="gramStart"/>
      <w:r w:rsidR="0044427C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44427C">
        <w:t xml:space="preserve"> is like</w:t>
      </w:r>
      <w:r w:rsidR="006570C0">
        <w:t>ly to be between National Qualifying Level</w:t>
      </w:r>
      <w:r w:rsidR="00C552C0">
        <w:t xml:space="preserve"> (“NQF”)</w:t>
      </w:r>
      <w:r w:rsidR="006570C0">
        <w:t xml:space="preserve"> </w:t>
      </w:r>
      <w:r w:rsidR="00ED31B3">
        <w:t>4</w:t>
      </w:r>
      <w:r w:rsidR="006570C0">
        <w:t xml:space="preserve"> to 6</w:t>
      </w:r>
      <w:r w:rsidR="00ED31B3">
        <w:t xml:space="preserve"> which she notes is a substantial deterioration from what could have been expected</w:t>
      </w:r>
      <w:r w:rsidR="00C22B43">
        <w:t xml:space="preserve"> if not for the injuries sustained.</w:t>
      </w:r>
      <w:r w:rsidR="00BB3A5A">
        <w:t xml:space="preserve"> For the sake of clarity, Ms Gibson estimates that </w:t>
      </w:r>
      <w:r w:rsidR="0017294C">
        <w:t xml:space="preserve">prior to her injury </w:t>
      </w:r>
      <w:proofErr w:type="gramStart"/>
      <w:r w:rsidR="0017294C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17294C">
        <w:t xml:space="preserve"> might have </w:t>
      </w:r>
      <w:r w:rsidR="007546C7">
        <w:t>expected an educational outcome</w:t>
      </w:r>
      <w:r w:rsidR="00C552C0">
        <w:t xml:space="preserve"> between NQF 7 and 8.</w:t>
      </w:r>
    </w:p>
    <w:p w14:paraId="736F6527" w14:textId="7D48BA13" w:rsidR="001833F0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[37]</w:t>
      </w:r>
      <w:r>
        <w:tab/>
      </w:r>
      <w:r w:rsidR="00C4210A">
        <w:t xml:space="preserve">I note that the report records that </w:t>
      </w:r>
      <w:r w:rsidR="00405230">
        <w:t xml:space="preserve">both </w:t>
      </w:r>
      <w:proofErr w:type="gramStart"/>
      <w:r w:rsidR="00405230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405230">
        <w:t xml:space="preserve">’s parents only achieved a grade 11 qualification and </w:t>
      </w:r>
      <w:r w:rsidR="003C24F4">
        <w:t xml:space="preserve">that </w:t>
      </w:r>
      <w:r w:rsidR="00405230">
        <w:t xml:space="preserve">neither </w:t>
      </w:r>
      <w:r w:rsidR="00C1507C">
        <w:t>are employed. She further has two sisters</w:t>
      </w:r>
      <w:r w:rsidR="001777CF">
        <w:t xml:space="preserve">, one older and one younger, neither of whom have any difficulties however no further information regarding the scholastic achievements of </w:t>
      </w:r>
      <w:proofErr w:type="gramStart"/>
      <w:r w:rsidR="001777CF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1777CF">
        <w:t>’s siblings is recorded</w:t>
      </w:r>
      <w:r w:rsidR="00F358B6">
        <w:t>.</w:t>
      </w:r>
    </w:p>
    <w:p w14:paraId="113E4942" w14:textId="20521286" w:rsidR="00C4210A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[38]</w:t>
      </w:r>
      <w:r>
        <w:tab/>
      </w:r>
      <w:r w:rsidR="001833F0">
        <w:t xml:space="preserve">I am mindful of the fact that the family history as recorded in Ms Gibson’s report would probably need to be taken into account as a factor which may operate to lower </w:t>
      </w:r>
      <w:proofErr w:type="gramStart"/>
      <w:r w:rsidR="001833F0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1833F0">
        <w:t xml:space="preserve">’s expected educational outcomes however this must be weighed against </w:t>
      </w:r>
      <w:r w:rsidR="005E12A7">
        <w:t xml:space="preserve">her scholastic achievements to date which, even </w:t>
      </w:r>
      <w:r w:rsidR="00F358B6">
        <w:t xml:space="preserve">now, </w:t>
      </w:r>
      <w:r w:rsidR="002C642F">
        <w:t>suggest that she may be capable of more than what her parents were able to ach</w:t>
      </w:r>
      <w:r w:rsidR="00173A17">
        <w:t>ie</w:t>
      </w:r>
      <w:r w:rsidR="002C642F">
        <w:t>ve</w:t>
      </w:r>
      <w:r w:rsidR="001777CF">
        <w:t>.</w:t>
      </w:r>
    </w:p>
    <w:p w14:paraId="3C3F88E6" w14:textId="3D848ABE" w:rsidR="00ED31B3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[39]</w:t>
      </w:r>
      <w:r>
        <w:tab/>
      </w:r>
      <w:r w:rsidR="00090B8C">
        <w:t>The</w:t>
      </w:r>
      <w:r w:rsidR="00C1525A">
        <w:t xml:space="preserve"> </w:t>
      </w:r>
      <w:r w:rsidR="00090B8C">
        <w:t xml:space="preserve">report of </w:t>
      </w:r>
      <w:r w:rsidR="00C1525A">
        <w:t xml:space="preserve">Dr </w:t>
      </w:r>
      <w:proofErr w:type="spellStart"/>
      <w:r w:rsidR="00C1525A">
        <w:t>Strydom</w:t>
      </w:r>
      <w:proofErr w:type="spellEnd"/>
      <w:r w:rsidR="004400E1">
        <w:t>, an industrial psychologist</w:t>
      </w:r>
      <w:r w:rsidR="001552ED">
        <w:t xml:space="preserve">, </w:t>
      </w:r>
      <w:r w:rsidR="00090B8C">
        <w:t xml:space="preserve">builds on that of Ms Gibson. </w:t>
      </w:r>
      <w:r w:rsidR="0038557F">
        <w:t>Sh</w:t>
      </w:r>
      <w:r w:rsidR="00320F12">
        <w:t>e estimates</w:t>
      </w:r>
      <w:r w:rsidR="003E03AF">
        <w:t xml:space="preserve"> th</w:t>
      </w:r>
      <w:r w:rsidR="003E393B">
        <w:t>at prior to her injuries</w:t>
      </w:r>
      <w:r w:rsidR="00341117">
        <w:t>, and assuming an edu</w:t>
      </w:r>
      <w:r w:rsidR="00A842A1">
        <w:t xml:space="preserve">cational </w:t>
      </w:r>
      <w:r w:rsidR="006D6B28">
        <w:t xml:space="preserve">outcome </w:t>
      </w:r>
      <w:r w:rsidR="00BA71AB">
        <w:t xml:space="preserve">between NQF 7 and 8, </w:t>
      </w:r>
      <w:proofErr w:type="gramStart"/>
      <w:r w:rsidR="00090B8C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090B8C">
        <w:t xml:space="preserve"> </w:t>
      </w:r>
      <w:r w:rsidR="00BA71AB">
        <w:t xml:space="preserve">would </w:t>
      </w:r>
      <w:r w:rsidR="00320F12">
        <w:t>have entered the job market</w:t>
      </w:r>
      <w:r w:rsidR="00E67241">
        <w:t xml:space="preserve"> at a B4</w:t>
      </w:r>
      <w:r w:rsidR="0080608A">
        <w:t xml:space="preserve"> or </w:t>
      </w:r>
      <w:r w:rsidR="00E67241">
        <w:t xml:space="preserve">5 level on the </w:t>
      </w:r>
      <w:r w:rsidR="004B3CCD">
        <w:t xml:space="preserve">Paterson Scale </w:t>
      </w:r>
      <w:r w:rsidR="0080608A">
        <w:t>and progressed to D2 or 3 level.</w:t>
      </w:r>
    </w:p>
    <w:p w14:paraId="4B81BACB" w14:textId="60A3420B" w:rsidR="0080608A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lastRenderedPageBreak/>
        <w:t>[40]</w:t>
      </w:r>
      <w:r>
        <w:tab/>
      </w:r>
      <w:r w:rsidR="0080608A">
        <w:t xml:space="preserve">Importantly, Dr </w:t>
      </w:r>
      <w:proofErr w:type="spellStart"/>
      <w:r w:rsidR="0080608A">
        <w:t>Strydom</w:t>
      </w:r>
      <w:proofErr w:type="spellEnd"/>
      <w:r w:rsidR="0080608A">
        <w:t xml:space="preserve"> notes</w:t>
      </w:r>
      <w:r w:rsidR="008713E9">
        <w:t xml:space="preserve"> that pre-morbid contingencies should be applied to accommodate uncertainties</w:t>
      </w:r>
      <w:r w:rsidR="00062ABB">
        <w:t xml:space="preserve"> regarding specific future educational qualifications.</w:t>
      </w:r>
    </w:p>
    <w:p w14:paraId="2683264F" w14:textId="35CE10CC" w:rsidR="00062ABB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[41]</w:t>
      </w:r>
      <w:r>
        <w:tab/>
      </w:r>
      <w:r w:rsidR="00474706">
        <w:t xml:space="preserve">Regarding </w:t>
      </w:r>
      <w:proofErr w:type="gramStart"/>
      <w:r w:rsidR="00474706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474706">
        <w:t xml:space="preserve">’s post morbid potential, Dr </w:t>
      </w:r>
      <w:proofErr w:type="spellStart"/>
      <w:r w:rsidR="00C33F5B">
        <w:t>Strydom</w:t>
      </w:r>
      <w:proofErr w:type="spellEnd"/>
      <w:r w:rsidR="00C33F5B">
        <w:t xml:space="preserve"> </w:t>
      </w:r>
      <w:r w:rsidR="00745DBD">
        <w:t>bas</w:t>
      </w:r>
      <w:r w:rsidR="006D6B28">
        <w:t>e</w:t>
      </w:r>
      <w:r w:rsidR="00745DBD">
        <w:t>s h</w:t>
      </w:r>
      <w:r w:rsidR="00683912">
        <w:t>er</w:t>
      </w:r>
      <w:r w:rsidR="00745DBD">
        <w:t xml:space="preserve"> estimations on the projection that </w:t>
      </w:r>
      <w:r w:rsidR="001265FA">
        <w:t>an NQF 5 certificate would be obtained</w:t>
      </w:r>
      <w:r w:rsidR="00FC5E5F">
        <w:t xml:space="preserve"> which would translate potentially to </w:t>
      </w:r>
      <w:r w:rsidR="00A87AFC">
        <w:t xml:space="preserve">an entry into the job market at a B2 or 3 level </w:t>
      </w:r>
      <w:r w:rsidR="00572FC1">
        <w:t xml:space="preserve">(again on the Paterson Scale) </w:t>
      </w:r>
      <w:r w:rsidR="00A87AFC">
        <w:t xml:space="preserve">with a progression to </w:t>
      </w:r>
      <w:r w:rsidR="00572FC1">
        <w:t>level C1 or 2.</w:t>
      </w:r>
    </w:p>
    <w:p w14:paraId="4E9D315E" w14:textId="3C204EB3" w:rsidR="00615C19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[42]</w:t>
      </w:r>
      <w:r>
        <w:tab/>
      </w:r>
      <w:r w:rsidR="00615C19">
        <w:t>Again</w:t>
      </w:r>
      <w:r w:rsidR="00CB1501">
        <w:t xml:space="preserve">, regarding </w:t>
      </w:r>
      <w:proofErr w:type="gramStart"/>
      <w:r w:rsidR="00CB1501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CB1501">
        <w:t xml:space="preserve">’s post morbid potential Dr </w:t>
      </w:r>
      <w:proofErr w:type="spellStart"/>
      <w:r w:rsidR="00CB1501">
        <w:t>Strydom</w:t>
      </w:r>
      <w:proofErr w:type="spellEnd"/>
      <w:r w:rsidR="00CB1501">
        <w:t xml:space="preserve"> acknowledges the fact that </w:t>
      </w:r>
      <w:r w:rsidR="00C37897">
        <w:t>the outcomes predicted in h</w:t>
      </w:r>
      <w:r w:rsidR="0041428E">
        <w:t>er</w:t>
      </w:r>
      <w:r w:rsidR="00C37897">
        <w:t xml:space="preserve"> report would be subject to contingencies.</w:t>
      </w:r>
    </w:p>
    <w:p w14:paraId="71C55152" w14:textId="02238E20" w:rsidR="00644613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[43]</w:t>
      </w:r>
      <w:r>
        <w:tab/>
      </w:r>
      <w:r w:rsidR="00DF245C">
        <w:t>T</w:t>
      </w:r>
      <w:r w:rsidR="000B1394">
        <w:t xml:space="preserve">he </w:t>
      </w:r>
      <w:r w:rsidR="00C33F5B">
        <w:t xml:space="preserve">most recent </w:t>
      </w:r>
      <w:r w:rsidR="000B1394">
        <w:t>actuarial calc</w:t>
      </w:r>
      <w:r w:rsidR="001A4629">
        <w:t xml:space="preserve">ulation provided by the plaintiff </w:t>
      </w:r>
      <w:r w:rsidR="00472726">
        <w:t xml:space="preserve">applies </w:t>
      </w:r>
      <w:r w:rsidR="0005455D">
        <w:t xml:space="preserve">a 20% </w:t>
      </w:r>
      <w:r w:rsidR="00472726">
        <w:t>contingenc</w:t>
      </w:r>
      <w:r w:rsidR="0005455D">
        <w:t xml:space="preserve">y to </w:t>
      </w:r>
      <w:r w:rsidR="00424803">
        <w:t xml:space="preserve">the </w:t>
      </w:r>
      <w:r w:rsidR="005677E3">
        <w:t xml:space="preserve">uninjured </w:t>
      </w:r>
      <w:r w:rsidR="0005455D">
        <w:t xml:space="preserve">future earnings and </w:t>
      </w:r>
      <w:r w:rsidR="005677E3">
        <w:t>30% to the injured future earnings</w:t>
      </w:r>
      <w:r w:rsidR="00C33F5B">
        <w:t xml:space="preserve"> and notes that a contingency differential of less than 20% would be normal in the circumstances.</w:t>
      </w:r>
    </w:p>
    <w:p w14:paraId="1436E871" w14:textId="1DAB2978" w:rsidR="00EE45B1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[44]</w:t>
      </w:r>
      <w:r>
        <w:tab/>
      </w:r>
      <w:r w:rsidR="00644613">
        <w:t xml:space="preserve">Based on these reports </w:t>
      </w:r>
      <w:r w:rsidR="006F77E9">
        <w:t>it would appear that</w:t>
      </w:r>
      <w:r w:rsidR="004D2D56">
        <w:t xml:space="preserve"> </w:t>
      </w:r>
      <w:proofErr w:type="gramStart"/>
      <w:r w:rsidR="004D2D56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1557F0">
        <w:t xml:space="preserve"> would have</w:t>
      </w:r>
      <w:r w:rsidR="000D3B9B">
        <w:t xml:space="preserve">, but for her injuries, been capable of </w:t>
      </w:r>
      <w:r w:rsidR="00A75887">
        <w:t xml:space="preserve">attaining </w:t>
      </w:r>
      <w:r w:rsidR="00EE45B1">
        <w:t xml:space="preserve">a degree qualification at an </w:t>
      </w:r>
      <w:r w:rsidR="00A75887">
        <w:t xml:space="preserve">NQF 7 or 8 </w:t>
      </w:r>
      <w:r w:rsidR="00EE45B1">
        <w:t>level</w:t>
      </w:r>
      <w:r w:rsidR="00AC6578">
        <w:t>.</w:t>
      </w:r>
    </w:p>
    <w:p w14:paraId="42C9BBF0" w14:textId="36D4D789" w:rsidR="0079294D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[45]</w:t>
      </w:r>
      <w:r>
        <w:tab/>
      </w:r>
      <w:r w:rsidR="00AC6578">
        <w:t>It would further appear that</w:t>
      </w:r>
      <w:r w:rsidR="00C33F5B">
        <w:t>,</w:t>
      </w:r>
      <w:r w:rsidR="00AC6578">
        <w:t xml:space="preserve"> </w:t>
      </w:r>
      <w:r w:rsidR="00A5647D">
        <w:t>after her injuries</w:t>
      </w:r>
      <w:r w:rsidR="00C33F5B">
        <w:t>,</w:t>
      </w:r>
      <w:r w:rsidR="00A5647D">
        <w:t xml:space="preserve"> she might be expected to attain </w:t>
      </w:r>
      <w:r w:rsidR="00EE45B1">
        <w:t xml:space="preserve">a certificate </w:t>
      </w:r>
      <w:r w:rsidR="009A48CF">
        <w:t>qualification at an NQF 4 to 6 level</w:t>
      </w:r>
      <w:r w:rsidR="00644613">
        <w:t>.</w:t>
      </w:r>
    </w:p>
    <w:p w14:paraId="6584C78A" w14:textId="51C465E3" w:rsidR="00C37897" w:rsidRPr="00575B93" w:rsidRDefault="00056789" w:rsidP="00056789">
      <w:pPr>
        <w:pStyle w:val="JudgmentNumbered"/>
        <w:numPr>
          <w:ilvl w:val="0"/>
          <w:numId w:val="0"/>
        </w:numPr>
        <w:rPr>
          <w:b/>
          <w:bCs/>
        </w:rPr>
      </w:pPr>
      <w:r w:rsidRPr="00575B93">
        <w:rPr>
          <w:b/>
          <w:bCs/>
        </w:rPr>
        <w:t>CONTINGENCIES</w:t>
      </w:r>
    </w:p>
    <w:p w14:paraId="16A63B72" w14:textId="7F8F4847" w:rsidR="00531138" w:rsidRPr="00531138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 w:rsidRPr="00531138">
        <w:rPr>
          <w:lang w:val="en-ZA"/>
        </w:rPr>
        <w:t>[46]</w:t>
      </w:r>
      <w:r w:rsidRPr="00531138">
        <w:rPr>
          <w:lang w:val="en-ZA"/>
        </w:rPr>
        <w:tab/>
      </w:r>
      <w:r w:rsidR="00A02D6D">
        <w:rPr>
          <w:lang w:val="en-ZA"/>
        </w:rPr>
        <w:t>I</w:t>
      </w:r>
      <w:r w:rsidR="00531138">
        <w:rPr>
          <w:lang w:val="en-ZA"/>
        </w:rPr>
        <w:t xml:space="preserve">t has been </w:t>
      </w:r>
      <w:r w:rsidR="00A02D6D">
        <w:rPr>
          <w:lang w:val="en-ZA"/>
        </w:rPr>
        <w:t xml:space="preserve">noted by the court in the matter of </w:t>
      </w:r>
      <w:proofErr w:type="spellStart"/>
      <w:r w:rsidR="00A02D6D">
        <w:rPr>
          <w:lang w:val="en-ZA"/>
        </w:rPr>
        <w:t>Masemola</w:t>
      </w:r>
      <w:proofErr w:type="spellEnd"/>
      <w:r w:rsidR="00A02D6D">
        <w:rPr>
          <w:lang w:val="en-ZA"/>
        </w:rPr>
        <w:t xml:space="preserve"> v Road</w:t>
      </w:r>
      <w:r w:rsidR="00A02D6D" w:rsidRPr="00FA0A30">
        <w:rPr>
          <w:szCs w:val="24"/>
          <w:lang w:val="en-ZA"/>
        </w:rPr>
        <w:t xml:space="preserve"> Accident Fund</w:t>
      </w:r>
      <w:r w:rsidR="000468D8" w:rsidRPr="00FA0A30">
        <w:rPr>
          <w:rStyle w:val="FootnoteReference"/>
          <w:szCs w:val="24"/>
          <w:lang w:val="en-ZA"/>
        </w:rPr>
        <w:footnoteReference w:id="1"/>
      </w:r>
      <w:r w:rsidR="00EC6B31" w:rsidRPr="00FA0A30">
        <w:rPr>
          <w:szCs w:val="24"/>
          <w:lang w:val="en-ZA"/>
        </w:rPr>
        <w:t xml:space="preserve"> that </w:t>
      </w:r>
      <w:r w:rsidR="00FA0A30" w:rsidRPr="00FA0A30">
        <w:rPr>
          <w:color w:val="000000"/>
          <w:szCs w:val="24"/>
          <w:shd w:val="clear" w:color="auto" w:fill="FFFFFF"/>
        </w:rPr>
        <w:t>the determination of allowances for</w:t>
      </w:r>
      <w:r w:rsidR="00FA0A30">
        <w:rPr>
          <w:color w:val="000000"/>
          <w:szCs w:val="24"/>
          <w:shd w:val="clear" w:color="auto" w:fill="FFFFFF"/>
        </w:rPr>
        <w:t xml:space="preserve"> </w:t>
      </w:r>
      <w:r w:rsidR="00FA0A30" w:rsidRPr="00FA0A30">
        <w:t>contingencies</w:t>
      </w:r>
      <w:r w:rsidR="00FA0A30">
        <w:t xml:space="preserve"> </w:t>
      </w:r>
      <w:r w:rsidR="00FA0A30" w:rsidRPr="00FA0A30">
        <w:rPr>
          <w:color w:val="000000"/>
          <w:szCs w:val="24"/>
          <w:shd w:val="clear" w:color="auto" w:fill="FFFFFF"/>
        </w:rPr>
        <w:t>involves, by its very nature, a process of subjective impression or estimation rather than an objective calculation.</w:t>
      </w:r>
    </w:p>
    <w:p w14:paraId="55936F16" w14:textId="7B68D3B9" w:rsidR="00056789" w:rsidRPr="00056789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 w:rsidRPr="00056789">
        <w:rPr>
          <w:lang w:val="en-ZA"/>
        </w:rPr>
        <w:t>[47]</w:t>
      </w:r>
      <w:r w:rsidRPr="00056789">
        <w:rPr>
          <w:lang w:val="en-ZA"/>
        </w:rPr>
        <w:tab/>
      </w:r>
      <w:r w:rsidR="002C0B89">
        <w:t>Further, i</w:t>
      </w:r>
      <w:r w:rsidR="00056789" w:rsidRPr="00056789">
        <w:t>n the Quantum Yearbook</w:t>
      </w:r>
      <w:r w:rsidR="00085FFD">
        <w:rPr>
          <w:rStyle w:val="FootnoteReference"/>
        </w:rPr>
        <w:footnoteReference w:id="2"/>
      </w:r>
      <w:r w:rsidR="00056789" w:rsidRPr="00056789">
        <w:t xml:space="preserve"> the learned author points out that there are no fixed rules as regards general</w:t>
      </w:r>
      <w:r w:rsidR="00464057">
        <w:t xml:space="preserve"> </w:t>
      </w:r>
      <w:r w:rsidR="00056789" w:rsidRPr="00A62CD5">
        <w:t>contingencies.</w:t>
      </w:r>
      <w:r w:rsidR="00056789" w:rsidRPr="00056789">
        <w:t xml:space="preserve"> However, he suggests the following guidelines:</w:t>
      </w:r>
    </w:p>
    <w:p w14:paraId="141984D3" w14:textId="0FEC146D" w:rsidR="00056789" w:rsidRPr="00995049" w:rsidRDefault="00056789" w:rsidP="00056789">
      <w:pPr>
        <w:pStyle w:val="JudgmentNumbered"/>
        <w:numPr>
          <w:ilvl w:val="0"/>
          <w:numId w:val="0"/>
        </w:numPr>
        <w:ind w:left="567"/>
        <w:rPr>
          <w:i/>
          <w:iCs/>
        </w:rPr>
      </w:pPr>
      <w:r w:rsidRPr="00056789">
        <w:lastRenderedPageBreak/>
        <w:t>"</w:t>
      </w:r>
      <w:r w:rsidRPr="00995049">
        <w:rPr>
          <w:i/>
          <w:iCs/>
        </w:rPr>
        <w:t xml:space="preserve">Sliding scale: </w:t>
      </w:r>
      <w:r w:rsidR="00D47EF7" w:rsidRPr="00995049">
        <w:rPr>
          <w:i/>
          <w:iCs/>
        </w:rPr>
        <w:t>0,5</w:t>
      </w:r>
      <w:r w:rsidRPr="00995049">
        <w:rPr>
          <w:i/>
          <w:iCs/>
        </w:rPr>
        <w:t xml:space="preserve">% per year to retirement age, i.e. 25% for a child, 20% for a youth and 10% in the middle </w:t>
      </w:r>
      <w:proofErr w:type="gramStart"/>
      <w:r w:rsidRPr="00995049">
        <w:rPr>
          <w:i/>
          <w:iCs/>
        </w:rPr>
        <w:t>age .</w:t>
      </w:r>
      <w:proofErr w:type="gramEnd"/>
      <w:r w:rsidRPr="00995049">
        <w:rPr>
          <w:i/>
          <w:iCs/>
        </w:rPr>
        <w:t> . .</w:t>
      </w:r>
    </w:p>
    <w:p w14:paraId="3209405C" w14:textId="4C99C2B9" w:rsidR="00056789" w:rsidRDefault="00056789" w:rsidP="00056789">
      <w:pPr>
        <w:pStyle w:val="JudgmentNumbered"/>
        <w:numPr>
          <w:ilvl w:val="0"/>
          <w:numId w:val="0"/>
        </w:numPr>
        <w:ind w:left="567"/>
      </w:pPr>
      <w:r w:rsidRPr="00995049">
        <w:rPr>
          <w:i/>
          <w:iCs/>
        </w:rPr>
        <w:t>Normal</w:t>
      </w:r>
      <w:r w:rsidR="00A62CD5" w:rsidRPr="00995049">
        <w:rPr>
          <w:i/>
          <w:iCs/>
        </w:rPr>
        <w:t xml:space="preserve"> </w:t>
      </w:r>
      <w:r w:rsidRPr="00995049">
        <w:rPr>
          <w:i/>
          <w:iCs/>
        </w:rPr>
        <w:t>contingencies: The</w:t>
      </w:r>
      <w:r w:rsidR="00A62CD5" w:rsidRPr="00995049">
        <w:rPr>
          <w:i/>
          <w:iCs/>
        </w:rPr>
        <w:t xml:space="preserve"> </w:t>
      </w:r>
      <w:r w:rsidRPr="00995049">
        <w:rPr>
          <w:i/>
          <w:iCs/>
        </w:rPr>
        <w:t>RAF</w:t>
      </w:r>
      <w:r w:rsidR="00A62CD5" w:rsidRPr="00995049">
        <w:rPr>
          <w:i/>
          <w:iCs/>
        </w:rPr>
        <w:t xml:space="preserve"> </w:t>
      </w:r>
      <w:r w:rsidRPr="00995049">
        <w:rPr>
          <w:i/>
          <w:iCs/>
        </w:rPr>
        <w:t>usually agrees to deductions of 5% for past loss and 15% for future loss, the so-called normal</w:t>
      </w:r>
      <w:r w:rsidR="00A62CD5" w:rsidRPr="00995049">
        <w:rPr>
          <w:i/>
          <w:iCs/>
        </w:rPr>
        <w:t xml:space="preserve"> </w:t>
      </w:r>
      <w:r w:rsidRPr="00995049">
        <w:rPr>
          <w:i/>
          <w:iCs/>
        </w:rPr>
        <w:t>contingencies.</w:t>
      </w:r>
      <w:r w:rsidRPr="00056789">
        <w:t>"</w:t>
      </w:r>
    </w:p>
    <w:p w14:paraId="736F3669" w14:textId="7332B579" w:rsidR="00056789" w:rsidRPr="00575B93" w:rsidRDefault="0025329B" w:rsidP="0025329B">
      <w:pPr>
        <w:pStyle w:val="JudgmentNumbered"/>
        <w:numPr>
          <w:ilvl w:val="0"/>
          <w:numId w:val="0"/>
        </w:numPr>
        <w:ind w:left="567" w:hanging="567"/>
      </w:pPr>
      <w:r w:rsidRPr="00575B93">
        <w:t>[48]</w:t>
      </w:r>
      <w:r w:rsidRPr="00575B93">
        <w:tab/>
      </w:r>
      <w:r w:rsidR="00AF5443">
        <w:t xml:space="preserve">In the matter of </w:t>
      </w:r>
      <w:proofErr w:type="spellStart"/>
      <w:r w:rsidR="00AF5443">
        <w:t>Masemola</w:t>
      </w:r>
      <w:proofErr w:type="spellEnd"/>
      <w:r w:rsidR="00AF5443">
        <w:t xml:space="preserve"> referred to above the </w:t>
      </w:r>
      <w:r w:rsidR="0087403A">
        <w:t>court n</w:t>
      </w:r>
      <w:r w:rsidR="0087403A" w:rsidRPr="00B71476">
        <w:rPr>
          <w:szCs w:val="24"/>
        </w:rPr>
        <w:t xml:space="preserve">oted that the </w:t>
      </w:r>
      <w:r w:rsidR="00B71476" w:rsidRPr="00B71476">
        <w:rPr>
          <w:color w:val="000000"/>
          <w:szCs w:val="24"/>
          <w:shd w:val="clear" w:color="auto" w:fill="FFFFFF"/>
        </w:rPr>
        <w:t xml:space="preserve">resultant consequence of allowing a higher contingency deduction for pre-morbid future loss of earnings is that </w:t>
      </w:r>
      <w:r w:rsidR="00B71476">
        <w:rPr>
          <w:color w:val="000000"/>
          <w:szCs w:val="24"/>
          <w:shd w:val="clear" w:color="auto" w:fill="FFFFFF"/>
        </w:rPr>
        <w:t>a plaintiff</w:t>
      </w:r>
      <w:r w:rsidR="00B71476" w:rsidRPr="00B71476">
        <w:rPr>
          <w:color w:val="000000"/>
          <w:szCs w:val="24"/>
          <w:shd w:val="clear" w:color="auto" w:fill="FFFFFF"/>
        </w:rPr>
        <w:t xml:space="preserve"> will get a lower award for damages for loss of earnings</w:t>
      </w:r>
      <w:r w:rsidR="00F4410D">
        <w:rPr>
          <w:color w:val="000000"/>
          <w:szCs w:val="24"/>
          <w:shd w:val="clear" w:color="auto" w:fill="FFFFFF"/>
        </w:rPr>
        <w:t>.</w:t>
      </w:r>
    </w:p>
    <w:p w14:paraId="3E8E5E12" w14:textId="1B359F73" w:rsidR="0071615A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[49]</w:t>
      </w:r>
      <w:r>
        <w:tab/>
      </w:r>
      <w:r w:rsidR="002D7429">
        <w:t xml:space="preserve">The </w:t>
      </w:r>
      <w:r w:rsidR="00E31E7B">
        <w:t xml:space="preserve">plaintiff in its </w:t>
      </w:r>
      <w:r w:rsidR="000C0CCB">
        <w:t xml:space="preserve">heads of argument </w:t>
      </w:r>
      <w:r w:rsidR="0071615A">
        <w:t>submits</w:t>
      </w:r>
      <w:r w:rsidR="000C0CCB">
        <w:t xml:space="preserve"> that the court ought to accept </w:t>
      </w:r>
      <w:r w:rsidR="001451A8">
        <w:t>a 20% contingency in respect of</w:t>
      </w:r>
      <w:r w:rsidR="00587308">
        <w:t xml:space="preserve"> “uninjured income” and 30% in respect of “injured income”.</w:t>
      </w:r>
    </w:p>
    <w:p w14:paraId="5AD3B9E2" w14:textId="448954AF" w:rsidR="00575B93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[50]</w:t>
      </w:r>
      <w:r>
        <w:tab/>
      </w:r>
      <w:r w:rsidR="00AA4DFE">
        <w:t xml:space="preserve">Given </w:t>
      </w:r>
      <w:r w:rsidR="00424BC5">
        <w:rPr>
          <w:i/>
          <w:iCs/>
        </w:rPr>
        <w:t xml:space="preserve">inter alia </w:t>
      </w:r>
      <w:r w:rsidR="00AA4DFE">
        <w:t xml:space="preserve">that </w:t>
      </w:r>
      <w:proofErr w:type="gramStart"/>
      <w:r w:rsidR="007341F1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7341F1">
        <w:t xml:space="preserve"> </w:t>
      </w:r>
      <w:r w:rsidR="0039494A">
        <w:t xml:space="preserve">was </w:t>
      </w:r>
      <w:r w:rsidR="00D405AE">
        <w:t>9 years old at the time of her injur</w:t>
      </w:r>
      <w:r w:rsidR="007A7D4C">
        <w:t>y</w:t>
      </w:r>
      <w:r w:rsidR="00424BC5">
        <w:t xml:space="preserve"> and</w:t>
      </w:r>
      <w:r w:rsidR="007A7D4C">
        <w:t xml:space="preserve"> her family background </w:t>
      </w:r>
      <w:r w:rsidR="00FD03A7">
        <w:t>I am of the view that the application of a 2</w:t>
      </w:r>
      <w:r w:rsidR="00041CAC">
        <w:t>5</w:t>
      </w:r>
      <w:r w:rsidR="00FD03A7">
        <w:t xml:space="preserve">% contingency </w:t>
      </w:r>
      <w:r w:rsidR="00D734B1">
        <w:t xml:space="preserve">in respect of </w:t>
      </w:r>
      <w:r w:rsidR="0037509D">
        <w:t xml:space="preserve">“injured” income </w:t>
      </w:r>
      <w:r w:rsidR="00D4694D">
        <w:t>would be justified</w:t>
      </w:r>
      <w:r w:rsidR="0071615A">
        <w:t>.</w:t>
      </w:r>
    </w:p>
    <w:p w14:paraId="3823DD5D" w14:textId="22A17E92" w:rsidR="007F4C2A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[51]</w:t>
      </w:r>
      <w:r>
        <w:tab/>
      </w:r>
      <w:r w:rsidR="00BE5827">
        <w:t xml:space="preserve">I </w:t>
      </w:r>
      <w:r w:rsidR="00EC5169">
        <w:t>note</w:t>
      </w:r>
      <w:r w:rsidR="00BE5827">
        <w:t xml:space="preserve"> that </w:t>
      </w:r>
      <w:proofErr w:type="gramStart"/>
      <w:r w:rsidR="00BE5827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BE5827">
        <w:t xml:space="preserve">’s demonstrated work ethic </w:t>
      </w:r>
      <w:r w:rsidR="00EE35D6">
        <w:t xml:space="preserve">has enabled her to </w:t>
      </w:r>
      <w:r w:rsidR="00A40E33">
        <w:t xml:space="preserve">mitigate, to a degree, the challenges </w:t>
      </w:r>
      <w:r w:rsidR="00533088">
        <w:t xml:space="preserve">she faces scholastically to this point </w:t>
      </w:r>
      <w:r w:rsidR="00ED66D9">
        <w:t xml:space="preserve">however </w:t>
      </w:r>
      <w:r w:rsidR="00872861">
        <w:t xml:space="preserve">she is still only </w:t>
      </w:r>
      <w:r w:rsidR="00DA4702">
        <w:t>14 years of age</w:t>
      </w:r>
      <w:r w:rsidR="00E876F2">
        <w:t xml:space="preserve"> </w:t>
      </w:r>
      <w:r w:rsidR="00A11CFB">
        <w:t xml:space="preserve">and the full impact of her injuries </w:t>
      </w:r>
      <w:r w:rsidR="001D1CAB">
        <w:t>on her future prospects is difficult to predict</w:t>
      </w:r>
      <w:r w:rsidR="00DC2381">
        <w:t>. I am accordingly satisfied</w:t>
      </w:r>
      <w:r w:rsidR="00344625">
        <w:t xml:space="preserve"> that the </w:t>
      </w:r>
      <w:r w:rsidR="00B11BF2">
        <w:t>application of a 30% contingency</w:t>
      </w:r>
      <w:r w:rsidR="00344625">
        <w:t xml:space="preserve"> in respect of </w:t>
      </w:r>
      <w:r w:rsidR="003F7DE4">
        <w:t xml:space="preserve">“uninjured” earnings may </w:t>
      </w:r>
      <w:r w:rsidR="00DC2381">
        <w:t xml:space="preserve">be </w:t>
      </w:r>
      <w:r w:rsidR="00D643E9">
        <w:t>justified</w:t>
      </w:r>
      <w:r w:rsidR="003F7DE4">
        <w:t>.</w:t>
      </w:r>
    </w:p>
    <w:p w14:paraId="421E80E7" w14:textId="6997F661" w:rsidR="003F7DE4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[52]</w:t>
      </w:r>
      <w:r>
        <w:tab/>
      </w:r>
      <w:r w:rsidR="003F7DE4">
        <w:t xml:space="preserve">I am inclined in the circumstances </w:t>
      </w:r>
      <w:r w:rsidR="003601F6">
        <w:t xml:space="preserve">to </w:t>
      </w:r>
      <w:r w:rsidR="00D734B1">
        <w:t xml:space="preserve">make the </w:t>
      </w:r>
      <w:r w:rsidR="0037509D">
        <w:t xml:space="preserve">projected “injured” income subject to </w:t>
      </w:r>
      <w:r w:rsidR="009613C8">
        <w:t>a contingency of 2</w:t>
      </w:r>
      <w:r w:rsidR="00195DC0">
        <w:t>5</w:t>
      </w:r>
      <w:r w:rsidR="009613C8">
        <w:t>%.</w:t>
      </w:r>
    </w:p>
    <w:p w14:paraId="3F46318F" w14:textId="00E8447C" w:rsidR="009613C8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[53]</w:t>
      </w:r>
      <w:r>
        <w:tab/>
      </w:r>
      <w:r w:rsidR="00EB0CA2">
        <w:t xml:space="preserve">I am further inclined to make the projected “uninjured” income subject to a contingency of </w:t>
      </w:r>
      <w:r w:rsidR="00DC2381">
        <w:t>30</w:t>
      </w:r>
      <w:r w:rsidR="00CD3AB9">
        <w:t>%.</w:t>
      </w:r>
    </w:p>
    <w:p w14:paraId="4B49175E" w14:textId="549CD4DE" w:rsidR="00CD3AB9" w:rsidRPr="00627D91" w:rsidRDefault="00627D91" w:rsidP="00627D91">
      <w:pPr>
        <w:pStyle w:val="JudgmentNumbered"/>
        <w:numPr>
          <w:ilvl w:val="0"/>
          <w:numId w:val="0"/>
        </w:numPr>
        <w:rPr>
          <w:b/>
          <w:bCs/>
        </w:rPr>
      </w:pPr>
      <w:r w:rsidRPr="00627D91">
        <w:rPr>
          <w:b/>
          <w:bCs/>
        </w:rPr>
        <w:t>CONCLU</w:t>
      </w:r>
      <w:r w:rsidR="00F4027E">
        <w:rPr>
          <w:b/>
          <w:bCs/>
        </w:rPr>
        <w:t>DING REMARKS</w:t>
      </w:r>
    </w:p>
    <w:p w14:paraId="2FC0CC23" w14:textId="019D0C29" w:rsidR="000174B2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[54]</w:t>
      </w:r>
      <w:r>
        <w:tab/>
      </w:r>
      <w:r w:rsidR="00EC73C0">
        <w:t xml:space="preserve">I note that the plaintiff </w:t>
      </w:r>
      <w:r w:rsidR="0065264B">
        <w:t xml:space="preserve">entered into a contingency fee agreement with </w:t>
      </w:r>
      <w:r w:rsidR="00696D2A">
        <w:t xml:space="preserve">her attorneys on 7 August 2023. </w:t>
      </w:r>
      <w:r w:rsidR="00005FB1">
        <w:t xml:space="preserve">The matter was heard before me </w:t>
      </w:r>
      <w:r w:rsidR="002C4FA8">
        <w:t>on 16 August 2023.</w:t>
      </w:r>
    </w:p>
    <w:p w14:paraId="296023B8" w14:textId="20B602FB" w:rsidR="00627D91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lastRenderedPageBreak/>
        <w:t>[55]</w:t>
      </w:r>
      <w:r>
        <w:tab/>
      </w:r>
      <w:r w:rsidR="00DC4296">
        <w:t xml:space="preserve">Having considered the application of the </w:t>
      </w:r>
      <w:r w:rsidR="00701894">
        <w:t xml:space="preserve">principles enunciated in the matter of </w:t>
      </w:r>
      <w:proofErr w:type="spellStart"/>
      <w:r w:rsidR="00701894">
        <w:t>Tjatji</w:t>
      </w:r>
      <w:proofErr w:type="spellEnd"/>
      <w:r w:rsidR="00111E93">
        <w:t xml:space="preserve"> v Road Accident Fund and Two Similar Cases</w:t>
      </w:r>
      <w:r w:rsidR="00111E93">
        <w:rPr>
          <w:rStyle w:val="FootnoteReference"/>
        </w:rPr>
        <w:footnoteReference w:id="3"/>
      </w:r>
      <w:r w:rsidR="00134D05">
        <w:t xml:space="preserve"> </w:t>
      </w:r>
      <w:r w:rsidR="00AA31AF">
        <w:t xml:space="preserve">I am of the view that the </w:t>
      </w:r>
      <w:r w:rsidR="00B774D2">
        <w:t>contingency fee agreement is invalid.</w:t>
      </w:r>
    </w:p>
    <w:p w14:paraId="51C067EC" w14:textId="2C4CFDEC" w:rsidR="007D2C6D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[56]</w:t>
      </w:r>
      <w:r>
        <w:tab/>
      </w:r>
      <w:r w:rsidR="001A56D1">
        <w:t>Having revisited the actuarial calculation in the light of the contingencies which I intend to apply as set out above</w:t>
      </w:r>
      <w:r w:rsidR="008630E9">
        <w:t xml:space="preserve"> I have made the following adjustments: The </w:t>
      </w:r>
      <w:r w:rsidR="00AB4EBF">
        <w:t xml:space="preserve">“Uninjured Earnings” are </w:t>
      </w:r>
      <w:r w:rsidR="00E12F94">
        <w:t>reduced</w:t>
      </w:r>
      <w:r w:rsidR="00B57A24">
        <w:t xml:space="preserve"> </w:t>
      </w:r>
      <w:r w:rsidR="006A219D">
        <w:t xml:space="preserve">at </w:t>
      </w:r>
      <w:r w:rsidR="006C5B30">
        <w:t xml:space="preserve">R </w:t>
      </w:r>
      <w:r w:rsidR="00A066FE">
        <w:t>10,982,850</w:t>
      </w:r>
      <w:r w:rsidR="00DF58B8">
        <w:t xml:space="preserve">.00 </w:t>
      </w:r>
      <w:r w:rsidR="00DF340D">
        <w:t>and</w:t>
      </w:r>
      <w:r w:rsidR="00DF58B8">
        <w:t xml:space="preserve"> the “Injured Earnings” </w:t>
      </w:r>
      <w:r w:rsidR="0096613C">
        <w:t xml:space="preserve">remain at </w:t>
      </w:r>
      <w:r w:rsidR="00F14D46">
        <w:t>R</w:t>
      </w:r>
      <w:r w:rsidR="00332349">
        <w:t xml:space="preserve"> </w:t>
      </w:r>
      <w:r w:rsidR="0020746C">
        <w:t>6,694,350.00</w:t>
      </w:r>
      <w:r w:rsidR="005A78F6">
        <w:t>.</w:t>
      </w:r>
    </w:p>
    <w:p w14:paraId="27E80CC7" w14:textId="1E227E1E" w:rsidR="000174B2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[57]</w:t>
      </w:r>
      <w:r>
        <w:tab/>
      </w:r>
      <w:r w:rsidR="007D2C6D">
        <w:t>As a result</w:t>
      </w:r>
      <w:r w:rsidR="00EE71CC">
        <w:t>,</w:t>
      </w:r>
      <w:r w:rsidR="007D2C6D">
        <w:t xml:space="preserve"> </w:t>
      </w:r>
      <w:r w:rsidR="00A24F63">
        <w:t xml:space="preserve">the quantum of the future loss of earnings is reduced from an amount of </w:t>
      </w:r>
      <w:r w:rsidR="003D2334">
        <w:t xml:space="preserve">R </w:t>
      </w:r>
      <w:r w:rsidR="00B43668">
        <w:t>5,466,980.00</w:t>
      </w:r>
      <w:r w:rsidR="003D2334">
        <w:t xml:space="preserve"> to </w:t>
      </w:r>
      <w:r w:rsidR="00DB0397">
        <w:t>R</w:t>
      </w:r>
      <w:r w:rsidR="004E6C9A">
        <w:t xml:space="preserve"> </w:t>
      </w:r>
      <w:r w:rsidR="00630BF7">
        <w:t>4,288,500.00</w:t>
      </w:r>
      <w:r w:rsidR="007D2C6D">
        <w:t>.</w:t>
      </w:r>
    </w:p>
    <w:p w14:paraId="767D5B2D" w14:textId="09E9B88B" w:rsidR="008C2C18" w:rsidRPr="0082289B" w:rsidRDefault="0025329B" w:rsidP="0025329B">
      <w:pPr>
        <w:pStyle w:val="JudgmentNumbered"/>
        <w:numPr>
          <w:ilvl w:val="0"/>
          <w:numId w:val="0"/>
        </w:numPr>
        <w:ind w:left="567" w:hanging="567"/>
      </w:pPr>
      <w:r w:rsidRPr="0082289B">
        <w:t>[58]</w:t>
      </w:r>
      <w:r w:rsidRPr="0082289B">
        <w:tab/>
      </w:r>
      <w:r w:rsidR="003D7F93">
        <w:t xml:space="preserve">I note that provision has been made for </w:t>
      </w:r>
      <w:r w:rsidR="00AE5219">
        <w:t>the establishment of a trust</w:t>
      </w:r>
      <w:r w:rsidR="00830714">
        <w:t xml:space="preserve"> for the benefit of </w:t>
      </w:r>
      <w:proofErr w:type="gramStart"/>
      <w:r w:rsidR="00830714">
        <w:t>V</w:t>
      </w:r>
      <w:r w:rsidRPr="0025329B">
        <w:rPr>
          <w:b/>
        </w:rPr>
        <w:t>[</w:t>
      </w:r>
      <w:proofErr w:type="gramEnd"/>
      <w:r w:rsidRPr="0025329B">
        <w:rPr>
          <w:b/>
        </w:rPr>
        <w:t>…]</w:t>
      </w:r>
      <w:r w:rsidR="00C34695">
        <w:t xml:space="preserve"> and that</w:t>
      </w:r>
      <w:r w:rsidR="00491FC9">
        <w:t xml:space="preserve"> </w:t>
      </w:r>
      <w:r w:rsidR="009506CF">
        <w:t>Standard</w:t>
      </w:r>
      <w:r w:rsidR="00D643E9">
        <w:t xml:space="preserve"> </w:t>
      </w:r>
      <w:r w:rsidR="009506CF">
        <w:t xml:space="preserve">Trust Limited </w:t>
      </w:r>
      <w:r w:rsidR="002625BF">
        <w:t>have consented to act as trustees.</w:t>
      </w:r>
      <w:r w:rsidR="00C07A9C">
        <w:t xml:space="preserve"> I note further that the proposed tariff of fees </w:t>
      </w:r>
      <w:r w:rsidR="00A07FD5">
        <w:t>appears to be in</w:t>
      </w:r>
      <w:r w:rsidR="00A07FD5" w:rsidRPr="002E1204">
        <w:rPr>
          <w:szCs w:val="24"/>
        </w:rPr>
        <w:t xml:space="preserve"> line with </w:t>
      </w:r>
      <w:r w:rsidR="005C7EFD" w:rsidRPr="002E1204">
        <w:rPr>
          <w:szCs w:val="24"/>
        </w:rPr>
        <w:t xml:space="preserve">the customary charges noted in the matter of </w:t>
      </w:r>
      <w:r w:rsidR="002E1204" w:rsidRPr="002E1204">
        <w:rPr>
          <w:color w:val="000000"/>
          <w:szCs w:val="24"/>
          <w:shd w:val="clear" w:color="auto" w:fill="FFFFFF"/>
        </w:rPr>
        <w:t>Master of the High Court (Pretoria Society of Advocates and others as</w:t>
      </w:r>
      <w:r w:rsidR="00194173">
        <w:rPr>
          <w:color w:val="000000"/>
          <w:szCs w:val="24"/>
          <w:shd w:val="clear" w:color="auto" w:fill="FFFFFF"/>
        </w:rPr>
        <w:t xml:space="preserve"> </w:t>
      </w:r>
      <w:r w:rsidR="002E1204" w:rsidRPr="002E1204">
        <w:rPr>
          <w:color w:val="000000"/>
          <w:szCs w:val="24"/>
          <w:shd w:val="clear" w:color="auto" w:fill="FFFFFF"/>
        </w:rPr>
        <w:t>Amici Curiae)</w:t>
      </w:r>
      <w:r w:rsidR="002E1204">
        <w:rPr>
          <w:color w:val="000000"/>
          <w:szCs w:val="24"/>
          <w:shd w:val="clear" w:color="auto" w:fill="FFFFFF"/>
        </w:rPr>
        <w:t xml:space="preserve"> </w:t>
      </w:r>
      <w:r w:rsidR="002E1204" w:rsidRPr="002E1204">
        <w:rPr>
          <w:color w:val="000000"/>
          <w:szCs w:val="24"/>
          <w:shd w:val="clear" w:color="auto" w:fill="FFFFFF"/>
        </w:rPr>
        <w:t>and related matters</w:t>
      </w:r>
      <w:r w:rsidR="002E1204">
        <w:rPr>
          <w:rStyle w:val="FootnoteReference"/>
          <w:color w:val="000000"/>
          <w:szCs w:val="24"/>
          <w:shd w:val="clear" w:color="auto" w:fill="FFFFFF"/>
        </w:rPr>
        <w:footnoteReference w:id="4"/>
      </w:r>
      <w:r w:rsidR="00194173">
        <w:rPr>
          <w:color w:val="000000"/>
          <w:szCs w:val="24"/>
          <w:shd w:val="clear" w:color="auto" w:fill="FFFFFF"/>
        </w:rPr>
        <w:t>.</w:t>
      </w:r>
    </w:p>
    <w:p w14:paraId="6F93B891" w14:textId="4D207E23" w:rsidR="0082289B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[59]</w:t>
      </w:r>
      <w:r>
        <w:tab/>
      </w:r>
      <w:r w:rsidR="0082289B">
        <w:t>The plaintiff</w:t>
      </w:r>
      <w:r w:rsidR="003043D1">
        <w:t>’s attorneys</w:t>
      </w:r>
      <w:r w:rsidR="0082289B">
        <w:t xml:space="preserve"> ha</w:t>
      </w:r>
      <w:r w:rsidR="003043D1">
        <w:t>ve</w:t>
      </w:r>
      <w:r w:rsidR="002A7203">
        <w:t>, in its proposed draft order, included several provisions regulating payment of the</w:t>
      </w:r>
      <w:r w:rsidR="003043D1">
        <w:t>ir fee</w:t>
      </w:r>
      <w:r w:rsidR="00C02F33">
        <w:t>s by the plaintiff. Such matters ought properly to be regulated by way of a</w:t>
      </w:r>
      <w:r w:rsidR="002F68F7">
        <w:t xml:space="preserve"> fee mandate signed and agreed to between the attorney and the client.</w:t>
      </w:r>
    </w:p>
    <w:p w14:paraId="4CB51118" w14:textId="43C08E50" w:rsidR="005A4B96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[60]</w:t>
      </w:r>
      <w:r>
        <w:tab/>
      </w:r>
      <w:r w:rsidR="005A4B96">
        <w:t xml:space="preserve">The court is not entitled to make an agreement between the plaintiff’s attorneys and the plaintiff </w:t>
      </w:r>
      <w:r w:rsidR="003A4EA7">
        <w:t xml:space="preserve">nor would it be proper, in the absence of a dispute between the plaintiff and her attorneys </w:t>
      </w:r>
      <w:r w:rsidR="005265F5">
        <w:t xml:space="preserve">which I have been called upon to </w:t>
      </w:r>
      <w:r w:rsidR="008E4F2B">
        <w:t xml:space="preserve">adjudicate, for me </w:t>
      </w:r>
      <w:r w:rsidR="00D643E9">
        <w:t xml:space="preserve">to </w:t>
      </w:r>
      <w:r w:rsidR="008E4F2B">
        <w:t>make such an order</w:t>
      </w:r>
      <w:r w:rsidR="00014466">
        <w:t>.</w:t>
      </w:r>
    </w:p>
    <w:p w14:paraId="5F516028" w14:textId="00AB3944" w:rsidR="00014466" w:rsidRDefault="0025329B" w:rsidP="0025329B">
      <w:pPr>
        <w:pStyle w:val="JudgmentNumbered"/>
        <w:numPr>
          <w:ilvl w:val="0"/>
          <w:numId w:val="0"/>
        </w:numPr>
        <w:ind w:left="567" w:hanging="567"/>
      </w:pPr>
      <w:r>
        <w:t>[61]</w:t>
      </w:r>
      <w:r>
        <w:tab/>
      </w:r>
      <w:r w:rsidR="00014466">
        <w:t xml:space="preserve">I accordingly decline to </w:t>
      </w:r>
      <w:r w:rsidR="008A3EA2">
        <w:t>act as a collection agent for the plaintiff’s attorneys</w:t>
      </w:r>
      <w:r w:rsidR="00144095">
        <w:t>. In the event that any issues regarding payment of fees arises the plaintiff’s attorneys are at liberty to approach the court for appropriate relief.</w:t>
      </w:r>
    </w:p>
    <w:p w14:paraId="1A5F9490" w14:textId="61C66A97" w:rsidR="0034193C" w:rsidRDefault="00DF0A7D" w:rsidP="0082289B">
      <w:pPr>
        <w:pStyle w:val="JudgmentNumbered"/>
        <w:numPr>
          <w:ilvl w:val="0"/>
          <w:numId w:val="0"/>
        </w:numPr>
      </w:pPr>
      <w:proofErr w:type="gramStart"/>
      <w:r>
        <w:t>Accordingly</w:t>
      </w:r>
      <w:proofErr w:type="gramEnd"/>
      <w:r>
        <w:t xml:space="preserve"> I</w:t>
      </w:r>
      <w:r w:rsidR="00EB13A5">
        <w:t xml:space="preserve"> </w:t>
      </w:r>
      <w:r w:rsidR="00073B2B">
        <w:t>make the following order:</w:t>
      </w:r>
    </w:p>
    <w:p w14:paraId="1ACC33AC" w14:textId="68F7ACC0" w:rsidR="00884717" w:rsidRPr="00884717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884717">
        <w:rPr>
          <w:szCs w:val="24"/>
        </w:rPr>
        <w:lastRenderedPageBreak/>
        <w:t>1.</w:t>
      </w:r>
      <w:r w:rsidRPr="00884717">
        <w:rPr>
          <w:szCs w:val="24"/>
        </w:rPr>
        <w:tab/>
      </w:r>
      <w:r w:rsidR="00FE2357">
        <w:t xml:space="preserve">The </w:t>
      </w:r>
      <w:r w:rsidR="00B21AE1">
        <w:t xml:space="preserve">defendant is to make payment </w:t>
      </w:r>
      <w:r w:rsidR="007542AF">
        <w:t>int</w:t>
      </w:r>
      <w:r w:rsidR="00B21AE1">
        <w:t xml:space="preserve">o the </w:t>
      </w:r>
      <w:r w:rsidR="007542AF">
        <w:t xml:space="preserve">trust account of the </w:t>
      </w:r>
      <w:r w:rsidR="00890F3D">
        <w:t xml:space="preserve">attorneys </w:t>
      </w:r>
      <w:r w:rsidR="007542AF">
        <w:t>for</w:t>
      </w:r>
      <w:r w:rsidR="00890F3D">
        <w:t xml:space="preserve"> the plaintiff </w:t>
      </w:r>
      <w:r w:rsidR="00B21AE1">
        <w:t>in the amount of R 4,288,500.00</w:t>
      </w:r>
      <w:r w:rsidR="00BD723C">
        <w:t xml:space="preserve"> </w:t>
      </w:r>
      <w:r w:rsidR="00E65DA1" w:rsidRPr="00890F3D">
        <w:rPr>
          <w:szCs w:val="24"/>
        </w:rPr>
        <w:t xml:space="preserve">(four million two hundred and </w:t>
      </w:r>
      <w:proofErr w:type="gramStart"/>
      <w:r w:rsidR="00E65DA1" w:rsidRPr="00890F3D">
        <w:rPr>
          <w:szCs w:val="24"/>
        </w:rPr>
        <w:t>eighty eight</w:t>
      </w:r>
      <w:proofErr w:type="gramEnd"/>
      <w:r w:rsidR="00E65DA1" w:rsidRPr="00890F3D">
        <w:rPr>
          <w:szCs w:val="24"/>
        </w:rPr>
        <w:t xml:space="preserve"> thousand five hundred Rand)</w:t>
      </w:r>
      <w:r w:rsidR="00142559">
        <w:t>.</w:t>
      </w:r>
    </w:p>
    <w:p w14:paraId="065C17B5" w14:textId="3DC52FA1" w:rsidR="00884717" w:rsidRPr="00884717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884717">
        <w:rPr>
          <w:szCs w:val="24"/>
        </w:rPr>
        <w:t>2.</w:t>
      </w:r>
      <w:r w:rsidRPr="00884717">
        <w:rPr>
          <w:szCs w:val="24"/>
        </w:rPr>
        <w:tab/>
      </w:r>
      <w:r w:rsidR="00884717">
        <w:rPr>
          <w:szCs w:val="24"/>
        </w:rPr>
        <w:t xml:space="preserve">The amount set out above </w:t>
      </w:r>
      <w:r w:rsidR="007542AF">
        <w:rPr>
          <w:szCs w:val="24"/>
        </w:rPr>
        <w:t xml:space="preserve">shall be held </w:t>
      </w:r>
      <w:r w:rsidR="002F257E">
        <w:rPr>
          <w:szCs w:val="24"/>
        </w:rPr>
        <w:t xml:space="preserve">for the benefit of </w:t>
      </w:r>
      <w:proofErr w:type="gramStart"/>
      <w:r w:rsidR="002F257E" w:rsidRPr="001A4A7D">
        <w:rPr>
          <w:szCs w:val="24"/>
        </w:rPr>
        <w:t>V</w:t>
      </w:r>
      <w:r w:rsidRPr="0025329B">
        <w:rPr>
          <w:b/>
          <w:szCs w:val="24"/>
        </w:rPr>
        <w:t>[</w:t>
      </w:r>
      <w:proofErr w:type="gramEnd"/>
      <w:r w:rsidRPr="0025329B">
        <w:rPr>
          <w:b/>
          <w:szCs w:val="24"/>
        </w:rPr>
        <w:t>…]</w:t>
      </w:r>
      <w:r w:rsidR="002F257E" w:rsidRPr="001A4A7D">
        <w:rPr>
          <w:szCs w:val="24"/>
        </w:rPr>
        <w:t xml:space="preserve"> A</w:t>
      </w:r>
      <w:r w:rsidR="007B5076" w:rsidRPr="0025329B">
        <w:rPr>
          <w:b/>
          <w:szCs w:val="24"/>
        </w:rPr>
        <w:t>[…]</w:t>
      </w:r>
      <w:r w:rsidR="002F257E" w:rsidRPr="001A4A7D">
        <w:rPr>
          <w:szCs w:val="24"/>
        </w:rPr>
        <w:t xml:space="preserve"> H</w:t>
      </w:r>
      <w:r w:rsidR="007B5076" w:rsidRPr="0025329B">
        <w:rPr>
          <w:b/>
          <w:szCs w:val="24"/>
        </w:rPr>
        <w:t>[…]</w:t>
      </w:r>
      <w:r w:rsidR="002F257E">
        <w:rPr>
          <w:szCs w:val="24"/>
        </w:rPr>
        <w:t xml:space="preserve"> </w:t>
      </w:r>
      <w:r w:rsidR="003B7FAA">
        <w:rPr>
          <w:szCs w:val="24"/>
        </w:rPr>
        <w:t xml:space="preserve">pending the establishment of </w:t>
      </w:r>
      <w:r w:rsidR="008720E1">
        <w:rPr>
          <w:szCs w:val="24"/>
        </w:rPr>
        <w:t>the</w:t>
      </w:r>
      <w:r w:rsidR="003B7FAA">
        <w:rPr>
          <w:szCs w:val="24"/>
        </w:rPr>
        <w:t xml:space="preserve"> trust</w:t>
      </w:r>
      <w:r w:rsidR="00B635C7">
        <w:rPr>
          <w:szCs w:val="24"/>
        </w:rPr>
        <w:t xml:space="preserve"> </w:t>
      </w:r>
      <w:r w:rsidR="00112C9C">
        <w:rPr>
          <w:szCs w:val="24"/>
        </w:rPr>
        <w:t>more fully described below</w:t>
      </w:r>
      <w:r w:rsidR="00D30AEF">
        <w:rPr>
          <w:szCs w:val="24"/>
        </w:rPr>
        <w:t>. On establishment of the trust</w:t>
      </w:r>
      <w:r w:rsidR="00D10708">
        <w:rPr>
          <w:szCs w:val="24"/>
        </w:rPr>
        <w:t>,</w:t>
      </w:r>
      <w:r w:rsidR="00D30AEF">
        <w:rPr>
          <w:szCs w:val="24"/>
        </w:rPr>
        <w:t xml:space="preserve"> all funds held on </w:t>
      </w:r>
      <w:r w:rsidR="00BE11BA">
        <w:rPr>
          <w:szCs w:val="24"/>
        </w:rPr>
        <w:t xml:space="preserve">her behalf are to be transferred to the </w:t>
      </w:r>
      <w:r w:rsidR="00112C9C">
        <w:rPr>
          <w:szCs w:val="24"/>
        </w:rPr>
        <w:t xml:space="preserve">bank account of the </w:t>
      </w:r>
      <w:r w:rsidR="00BE11BA">
        <w:rPr>
          <w:szCs w:val="24"/>
        </w:rPr>
        <w:t>trust together with any interes</w:t>
      </w:r>
      <w:r w:rsidR="00AC7EC6">
        <w:rPr>
          <w:szCs w:val="24"/>
        </w:rPr>
        <w:t>t</w:t>
      </w:r>
      <w:r w:rsidR="00BE11BA">
        <w:rPr>
          <w:szCs w:val="24"/>
        </w:rPr>
        <w:t>.</w:t>
      </w:r>
    </w:p>
    <w:p w14:paraId="0700AE1F" w14:textId="2F9E7CE6" w:rsidR="00F93B51" w:rsidRPr="00890F3D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890F3D">
        <w:rPr>
          <w:szCs w:val="24"/>
        </w:rPr>
        <w:t>3.</w:t>
      </w:r>
      <w:r w:rsidRPr="00890F3D">
        <w:rPr>
          <w:szCs w:val="24"/>
        </w:rPr>
        <w:tab/>
      </w:r>
      <w:r w:rsidR="00A578E1">
        <w:t>The total amount of R 4,288,500.0</w:t>
      </w:r>
      <w:r w:rsidR="00A578E1" w:rsidRPr="00890F3D">
        <w:rPr>
          <w:szCs w:val="24"/>
        </w:rPr>
        <w:t xml:space="preserve">0 shall be payable on or before </w:t>
      </w:r>
      <w:r w:rsidR="008D72A7" w:rsidRPr="00890F3D">
        <w:rPr>
          <w:szCs w:val="24"/>
        </w:rPr>
        <w:t>one hundred and eighty days from the date of this order.</w:t>
      </w:r>
    </w:p>
    <w:p w14:paraId="27545BB0" w14:textId="36B09705" w:rsidR="00AB39A1" w:rsidRPr="004B427D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4B427D">
        <w:rPr>
          <w:szCs w:val="24"/>
        </w:rPr>
        <w:t>4.</w:t>
      </w:r>
      <w:r w:rsidRPr="004B427D">
        <w:rPr>
          <w:szCs w:val="24"/>
        </w:rPr>
        <w:tab/>
      </w:r>
      <w:r w:rsidR="00AB39A1">
        <w:rPr>
          <w:szCs w:val="24"/>
        </w:rPr>
        <w:t>The defendant shall pay interest</w:t>
      </w:r>
      <w:r w:rsidR="00D85900">
        <w:rPr>
          <w:szCs w:val="24"/>
        </w:rPr>
        <w:t xml:space="preserve"> at the rate of 10.5%</w:t>
      </w:r>
      <w:r w:rsidR="00DF5C22">
        <w:rPr>
          <w:szCs w:val="24"/>
        </w:rPr>
        <w:t xml:space="preserve"> per annum </w:t>
      </w:r>
      <w:r w:rsidR="00F92AA5">
        <w:rPr>
          <w:szCs w:val="24"/>
        </w:rPr>
        <w:t>after</w:t>
      </w:r>
      <w:r w:rsidR="00883C99">
        <w:rPr>
          <w:szCs w:val="24"/>
        </w:rPr>
        <w:t xml:space="preserve"> one hundred and eighty days of this order to date of full and final payment.</w:t>
      </w:r>
    </w:p>
    <w:p w14:paraId="49476D11" w14:textId="6C2B2F12" w:rsidR="00833E5D" w:rsidRPr="001A4A7D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1A4A7D">
        <w:rPr>
          <w:szCs w:val="24"/>
        </w:rPr>
        <w:t>5.</w:t>
      </w:r>
      <w:r w:rsidRPr="001A4A7D">
        <w:rPr>
          <w:szCs w:val="24"/>
        </w:rPr>
        <w:tab/>
      </w:r>
      <w:r w:rsidR="00215D72" w:rsidRPr="004B427D">
        <w:rPr>
          <w:szCs w:val="24"/>
        </w:rPr>
        <w:t>The plaintiff’s attorneys shall</w:t>
      </w:r>
      <w:r w:rsidR="003C365B" w:rsidRPr="004B427D">
        <w:rPr>
          <w:szCs w:val="24"/>
        </w:rPr>
        <w:t xml:space="preserve">, cause a </w:t>
      </w:r>
      <w:r w:rsidR="00AC7EC6">
        <w:rPr>
          <w:szCs w:val="24"/>
        </w:rPr>
        <w:t>t</w:t>
      </w:r>
      <w:r w:rsidR="003C365B" w:rsidRPr="004B427D">
        <w:rPr>
          <w:szCs w:val="24"/>
        </w:rPr>
        <w:t>rust to be esta</w:t>
      </w:r>
      <w:r w:rsidR="00141E64">
        <w:rPr>
          <w:szCs w:val="24"/>
        </w:rPr>
        <w:t>blished</w:t>
      </w:r>
      <w:r w:rsidR="00F93B51" w:rsidRPr="004B427D">
        <w:rPr>
          <w:szCs w:val="24"/>
        </w:rPr>
        <w:t xml:space="preserve"> </w:t>
      </w:r>
      <w:r w:rsidR="00F93B51" w:rsidRPr="004B427D">
        <w:rPr>
          <w:szCs w:val="24"/>
          <w:lang w:val="en-ZA"/>
        </w:rPr>
        <w:t>in accordance</w:t>
      </w:r>
      <w:r w:rsidR="00F93B51" w:rsidRPr="001A4A7D">
        <w:rPr>
          <w:szCs w:val="24"/>
          <w:lang w:val="en-ZA"/>
        </w:rPr>
        <w:t xml:space="preserve"> with the provisions of the Trust Property Control Act 57 of 1988 in favour of </w:t>
      </w:r>
      <w:proofErr w:type="gramStart"/>
      <w:r w:rsidR="004B427D" w:rsidRPr="001A4A7D">
        <w:rPr>
          <w:szCs w:val="24"/>
        </w:rPr>
        <w:t>V</w:t>
      </w:r>
      <w:r w:rsidRPr="0025329B">
        <w:rPr>
          <w:b/>
          <w:szCs w:val="24"/>
        </w:rPr>
        <w:t>[</w:t>
      </w:r>
      <w:proofErr w:type="gramEnd"/>
      <w:r w:rsidRPr="0025329B">
        <w:rPr>
          <w:b/>
          <w:szCs w:val="24"/>
        </w:rPr>
        <w:t>…]</w:t>
      </w:r>
      <w:r w:rsidR="004B427D" w:rsidRPr="001A4A7D">
        <w:rPr>
          <w:szCs w:val="24"/>
        </w:rPr>
        <w:t xml:space="preserve"> A</w:t>
      </w:r>
      <w:r w:rsidR="007B5076" w:rsidRPr="0025329B">
        <w:rPr>
          <w:b/>
          <w:szCs w:val="24"/>
        </w:rPr>
        <w:t>[…]</w:t>
      </w:r>
      <w:bookmarkStart w:id="0" w:name="_GoBack"/>
      <w:bookmarkEnd w:id="0"/>
      <w:r w:rsidR="004B427D" w:rsidRPr="001A4A7D">
        <w:rPr>
          <w:szCs w:val="24"/>
        </w:rPr>
        <w:t xml:space="preserve"> H</w:t>
      </w:r>
      <w:r w:rsidR="007B5076" w:rsidRPr="0025329B">
        <w:rPr>
          <w:b/>
          <w:szCs w:val="24"/>
        </w:rPr>
        <w:t>[…]</w:t>
      </w:r>
      <w:r w:rsidR="00833E5D" w:rsidRPr="001A4A7D">
        <w:rPr>
          <w:szCs w:val="24"/>
        </w:rPr>
        <w:t>.</w:t>
      </w:r>
    </w:p>
    <w:p w14:paraId="151A880C" w14:textId="2B2A56E2" w:rsidR="00CD3734" w:rsidRPr="001A4A7D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1A4A7D">
        <w:rPr>
          <w:szCs w:val="24"/>
        </w:rPr>
        <w:t>6.</w:t>
      </w:r>
      <w:r w:rsidRPr="001A4A7D">
        <w:rPr>
          <w:szCs w:val="24"/>
        </w:rPr>
        <w:tab/>
      </w:r>
      <w:r w:rsidR="00F0644A" w:rsidRPr="001A4A7D">
        <w:rPr>
          <w:szCs w:val="24"/>
          <w:lang w:val="en-ZA"/>
        </w:rPr>
        <w:t>The trust instrument establishing the trust</w:t>
      </w:r>
      <w:r w:rsidR="00CD3734" w:rsidRPr="001A4A7D">
        <w:rPr>
          <w:szCs w:val="24"/>
          <w:lang w:val="en-ZA"/>
        </w:rPr>
        <w:t xml:space="preserve"> shall make provision for the following:</w:t>
      </w:r>
    </w:p>
    <w:p w14:paraId="6F9AA94F" w14:textId="388EE324" w:rsidR="00215D72" w:rsidRPr="001A4A7D" w:rsidRDefault="0025329B" w:rsidP="0025329B">
      <w:pPr>
        <w:pStyle w:val="JudgmentNumbered"/>
        <w:numPr>
          <w:ilvl w:val="0"/>
          <w:numId w:val="0"/>
        </w:numPr>
        <w:ind w:left="1418" w:hanging="851"/>
        <w:rPr>
          <w:szCs w:val="24"/>
        </w:rPr>
      </w:pPr>
      <w:r w:rsidRPr="001A4A7D">
        <w:rPr>
          <w:szCs w:val="24"/>
        </w:rPr>
        <w:t>6.1.</w:t>
      </w:r>
      <w:r w:rsidRPr="001A4A7D">
        <w:rPr>
          <w:szCs w:val="24"/>
        </w:rPr>
        <w:tab/>
      </w:r>
      <w:r w:rsidR="00373F04" w:rsidRPr="001A4A7D">
        <w:rPr>
          <w:szCs w:val="24"/>
          <w:lang w:val="en-ZA"/>
        </w:rPr>
        <w:t>t</w:t>
      </w:r>
      <w:r w:rsidR="00CD3734" w:rsidRPr="001A4A7D">
        <w:rPr>
          <w:szCs w:val="24"/>
          <w:lang w:val="en-ZA"/>
        </w:rPr>
        <w:t xml:space="preserve">he sole beneficiary of the trust shall be </w:t>
      </w:r>
      <w:proofErr w:type="gramStart"/>
      <w:r w:rsidR="00CD3734" w:rsidRPr="001A4A7D">
        <w:rPr>
          <w:szCs w:val="24"/>
        </w:rPr>
        <w:t>V</w:t>
      </w:r>
      <w:r w:rsidRPr="0025329B">
        <w:rPr>
          <w:b/>
          <w:szCs w:val="24"/>
        </w:rPr>
        <w:t>[</w:t>
      </w:r>
      <w:proofErr w:type="gramEnd"/>
      <w:r w:rsidRPr="0025329B">
        <w:rPr>
          <w:b/>
          <w:szCs w:val="24"/>
        </w:rPr>
        <w:t>…]</w:t>
      </w:r>
      <w:r w:rsidR="00CD3734" w:rsidRPr="001A4A7D">
        <w:rPr>
          <w:szCs w:val="24"/>
        </w:rPr>
        <w:t xml:space="preserve"> A</w:t>
      </w:r>
      <w:r w:rsidR="007B5076" w:rsidRPr="0025329B">
        <w:rPr>
          <w:b/>
          <w:szCs w:val="24"/>
        </w:rPr>
        <w:t>[…]</w:t>
      </w:r>
      <w:r w:rsidR="00D10708">
        <w:rPr>
          <w:szCs w:val="24"/>
        </w:rPr>
        <w:t xml:space="preserve"> </w:t>
      </w:r>
      <w:r w:rsidR="00CD3734" w:rsidRPr="001A4A7D">
        <w:rPr>
          <w:szCs w:val="24"/>
        </w:rPr>
        <w:t>H</w:t>
      </w:r>
      <w:r w:rsidR="007B5076" w:rsidRPr="0025329B">
        <w:rPr>
          <w:b/>
          <w:szCs w:val="24"/>
        </w:rPr>
        <w:t>[…]</w:t>
      </w:r>
      <w:r w:rsidR="00CD3734" w:rsidRPr="001A4A7D">
        <w:rPr>
          <w:szCs w:val="24"/>
          <w:lang w:val="en-ZA"/>
        </w:rPr>
        <w:t>;</w:t>
      </w:r>
    </w:p>
    <w:p w14:paraId="751353D5" w14:textId="2D9732FA" w:rsidR="00320030" w:rsidRDefault="0025329B" w:rsidP="0025329B">
      <w:pPr>
        <w:pStyle w:val="JudgmentNumbered"/>
        <w:numPr>
          <w:ilvl w:val="0"/>
          <w:numId w:val="0"/>
        </w:numPr>
        <w:ind w:left="1418" w:hanging="851"/>
        <w:rPr>
          <w:szCs w:val="24"/>
        </w:rPr>
      </w:pPr>
      <w:r>
        <w:rPr>
          <w:szCs w:val="24"/>
        </w:rPr>
        <w:t>6.2.</w:t>
      </w:r>
      <w:r>
        <w:rPr>
          <w:szCs w:val="24"/>
        </w:rPr>
        <w:tab/>
      </w:r>
      <w:r w:rsidR="00FA58C9" w:rsidRPr="001A4A7D">
        <w:rPr>
          <w:szCs w:val="24"/>
        </w:rPr>
        <w:t xml:space="preserve">Standard Trust </w:t>
      </w:r>
      <w:r w:rsidR="00D10708">
        <w:rPr>
          <w:szCs w:val="24"/>
        </w:rPr>
        <w:t xml:space="preserve">Limited </w:t>
      </w:r>
      <w:r w:rsidR="006558E0">
        <w:rPr>
          <w:szCs w:val="24"/>
        </w:rPr>
        <w:t xml:space="preserve">shall be nominated </w:t>
      </w:r>
      <w:r w:rsidR="00FA58C9" w:rsidRPr="001A4A7D">
        <w:rPr>
          <w:szCs w:val="24"/>
        </w:rPr>
        <w:t xml:space="preserve">as </w:t>
      </w:r>
      <w:r w:rsidR="00842121">
        <w:rPr>
          <w:szCs w:val="24"/>
        </w:rPr>
        <w:t>t</w:t>
      </w:r>
      <w:r w:rsidR="00FA58C9" w:rsidRPr="001A4A7D">
        <w:rPr>
          <w:szCs w:val="24"/>
        </w:rPr>
        <w:t>rustee</w:t>
      </w:r>
      <w:r w:rsidR="00842121">
        <w:rPr>
          <w:szCs w:val="24"/>
        </w:rPr>
        <w:t xml:space="preserve"> and the plaintiff’s mother as co-trustee</w:t>
      </w:r>
      <w:r w:rsidR="007E4063">
        <w:rPr>
          <w:szCs w:val="24"/>
        </w:rPr>
        <w:t>;</w:t>
      </w:r>
    </w:p>
    <w:p w14:paraId="0AC25BD6" w14:textId="0CAB959C" w:rsidR="007079F1" w:rsidRDefault="0025329B" w:rsidP="0025329B">
      <w:pPr>
        <w:pStyle w:val="JudgmentNumbered"/>
        <w:numPr>
          <w:ilvl w:val="0"/>
          <w:numId w:val="0"/>
        </w:numPr>
        <w:ind w:left="1418" w:hanging="851"/>
        <w:rPr>
          <w:szCs w:val="24"/>
        </w:rPr>
      </w:pPr>
      <w:r>
        <w:rPr>
          <w:szCs w:val="24"/>
        </w:rPr>
        <w:t>6.3.</w:t>
      </w:r>
      <w:r>
        <w:rPr>
          <w:szCs w:val="24"/>
        </w:rPr>
        <w:tab/>
      </w:r>
      <w:r w:rsidR="00320030">
        <w:rPr>
          <w:szCs w:val="24"/>
        </w:rPr>
        <w:t xml:space="preserve">The </w:t>
      </w:r>
      <w:r w:rsidR="00225993">
        <w:rPr>
          <w:szCs w:val="24"/>
        </w:rPr>
        <w:t>co-trustee shall act in an advisory capacity only and for this reason shall be excused from providing security to the Master</w:t>
      </w:r>
      <w:r w:rsidR="00320030">
        <w:rPr>
          <w:szCs w:val="24"/>
        </w:rPr>
        <w:t>;</w:t>
      </w:r>
    </w:p>
    <w:p w14:paraId="1AA8F14D" w14:textId="55613142" w:rsidR="00FA58C9" w:rsidRPr="001A4A7D" w:rsidRDefault="0025329B" w:rsidP="0025329B">
      <w:pPr>
        <w:pStyle w:val="JudgmentNumbered"/>
        <w:numPr>
          <w:ilvl w:val="0"/>
          <w:numId w:val="0"/>
        </w:numPr>
        <w:ind w:left="1418" w:hanging="851"/>
        <w:rPr>
          <w:szCs w:val="24"/>
        </w:rPr>
      </w:pPr>
      <w:r w:rsidRPr="001A4A7D">
        <w:rPr>
          <w:szCs w:val="24"/>
        </w:rPr>
        <w:t>6.4.</w:t>
      </w:r>
      <w:r w:rsidRPr="001A4A7D">
        <w:rPr>
          <w:szCs w:val="24"/>
        </w:rPr>
        <w:tab/>
      </w:r>
      <w:r w:rsidR="00373F04" w:rsidRPr="001A4A7D">
        <w:rPr>
          <w:szCs w:val="24"/>
          <w:lang w:val="en-ZA"/>
        </w:rPr>
        <w:t>t</w:t>
      </w:r>
      <w:r w:rsidR="00215B0C" w:rsidRPr="001A4A7D">
        <w:rPr>
          <w:szCs w:val="24"/>
          <w:lang w:val="en-ZA"/>
        </w:rPr>
        <w:t>he trustee sh</w:t>
      </w:r>
      <w:r w:rsidR="00E80198" w:rsidRPr="001A4A7D">
        <w:rPr>
          <w:szCs w:val="24"/>
          <w:lang w:val="en-ZA"/>
        </w:rPr>
        <w:t>all</w:t>
      </w:r>
      <w:r w:rsidR="00215B0C" w:rsidRPr="001A4A7D">
        <w:rPr>
          <w:szCs w:val="24"/>
          <w:lang w:val="en-ZA"/>
        </w:rPr>
        <w:t xml:space="preserve"> immediately take all requisite steps to secure an appropriate bond of security</w:t>
      </w:r>
      <w:r w:rsidR="00C55586" w:rsidRPr="001A4A7D">
        <w:rPr>
          <w:szCs w:val="24"/>
          <w:lang w:val="en-ZA"/>
        </w:rPr>
        <w:t xml:space="preserve"> to the satisfaction of the Master of the High Court for</w:t>
      </w:r>
      <w:r w:rsidR="00E80198" w:rsidRPr="001A4A7D">
        <w:rPr>
          <w:szCs w:val="24"/>
          <w:lang w:val="en-ZA"/>
        </w:rPr>
        <w:t xml:space="preserve"> </w:t>
      </w:r>
      <w:r w:rsidR="00C55586" w:rsidRPr="001A4A7D">
        <w:rPr>
          <w:szCs w:val="24"/>
          <w:lang w:val="en-ZA"/>
        </w:rPr>
        <w:t xml:space="preserve">the due fulfilment of </w:t>
      </w:r>
      <w:r w:rsidR="0018324B">
        <w:rPr>
          <w:szCs w:val="24"/>
          <w:lang w:val="en-ZA"/>
        </w:rPr>
        <w:t>their</w:t>
      </w:r>
      <w:r w:rsidR="00E80198" w:rsidRPr="001A4A7D">
        <w:rPr>
          <w:szCs w:val="24"/>
          <w:lang w:val="en-ZA"/>
        </w:rPr>
        <w:t xml:space="preserve"> </w:t>
      </w:r>
      <w:r w:rsidR="00C55586" w:rsidRPr="001A4A7D">
        <w:rPr>
          <w:szCs w:val="24"/>
          <w:lang w:val="en-ZA"/>
        </w:rPr>
        <w:t>obligations and ensure that</w:t>
      </w:r>
      <w:r w:rsidR="00E80198" w:rsidRPr="001A4A7D">
        <w:rPr>
          <w:szCs w:val="24"/>
          <w:lang w:val="en-ZA"/>
        </w:rPr>
        <w:t xml:space="preserve"> </w:t>
      </w:r>
      <w:r w:rsidR="00C55586" w:rsidRPr="001A4A7D">
        <w:rPr>
          <w:szCs w:val="24"/>
          <w:lang w:val="en-ZA"/>
        </w:rPr>
        <w:t xml:space="preserve">the bond of security </w:t>
      </w:r>
      <w:r w:rsidR="00E674AE">
        <w:rPr>
          <w:szCs w:val="24"/>
          <w:lang w:val="en-ZA"/>
        </w:rPr>
        <w:t>is</w:t>
      </w:r>
      <w:r w:rsidR="00C55586" w:rsidRPr="001A4A7D">
        <w:rPr>
          <w:szCs w:val="24"/>
          <w:lang w:val="en-ZA"/>
        </w:rPr>
        <w:t xml:space="preserve"> submitted to the Master of High</w:t>
      </w:r>
      <w:r w:rsidR="00E80198" w:rsidRPr="001A4A7D">
        <w:rPr>
          <w:szCs w:val="24"/>
          <w:lang w:val="en-ZA"/>
        </w:rPr>
        <w:t xml:space="preserve"> </w:t>
      </w:r>
      <w:r w:rsidR="00C55586" w:rsidRPr="001A4A7D">
        <w:rPr>
          <w:szCs w:val="24"/>
          <w:lang w:val="en-ZA"/>
        </w:rPr>
        <w:t>Court</w:t>
      </w:r>
      <w:r w:rsidR="00DC2E00" w:rsidRPr="001A4A7D">
        <w:rPr>
          <w:szCs w:val="24"/>
          <w:lang w:val="en-ZA"/>
        </w:rPr>
        <w:t>;</w:t>
      </w:r>
    </w:p>
    <w:p w14:paraId="6CC1EDC9" w14:textId="68AD2494" w:rsidR="00DC2E00" w:rsidRPr="001A4A7D" w:rsidRDefault="0025329B" w:rsidP="0025329B">
      <w:pPr>
        <w:pStyle w:val="JudgmentNumbered"/>
        <w:numPr>
          <w:ilvl w:val="0"/>
          <w:numId w:val="0"/>
        </w:numPr>
        <w:ind w:left="1418" w:hanging="851"/>
        <w:rPr>
          <w:szCs w:val="24"/>
        </w:rPr>
      </w:pPr>
      <w:r w:rsidRPr="001A4A7D">
        <w:rPr>
          <w:szCs w:val="24"/>
        </w:rPr>
        <w:t>6.5.</w:t>
      </w:r>
      <w:r w:rsidRPr="001A4A7D">
        <w:rPr>
          <w:szCs w:val="24"/>
        </w:rPr>
        <w:tab/>
      </w:r>
      <w:r w:rsidR="00373F04" w:rsidRPr="001A4A7D">
        <w:rPr>
          <w:szCs w:val="24"/>
          <w:lang w:val="en-ZA"/>
        </w:rPr>
        <w:t>t</w:t>
      </w:r>
      <w:r w:rsidR="00DC2E00" w:rsidRPr="001A4A7D">
        <w:rPr>
          <w:szCs w:val="24"/>
          <w:lang w:val="en-ZA"/>
        </w:rPr>
        <w:t xml:space="preserve">he </w:t>
      </w:r>
      <w:r w:rsidR="00E607B6" w:rsidRPr="001A4A7D">
        <w:rPr>
          <w:szCs w:val="24"/>
          <w:lang w:val="en-ZA"/>
        </w:rPr>
        <w:t>trustee shall be required to disclose any personal interest in any transaction involving the trust property</w:t>
      </w:r>
      <w:r w:rsidR="00373F04" w:rsidRPr="001A4A7D">
        <w:rPr>
          <w:szCs w:val="24"/>
          <w:lang w:val="en-ZA"/>
        </w:rPr>
        <w:t>;</w:t>
      </w:r>
    </w:p>
    <w:p w14:paraId="37CE4A8B" w14:textId="4D3E436A" w:rsidR="00373F04" w:rsidRPr="001A4A7D" w:rsidRDefault="0025329B" w:rsidP="0025329B">
      <w:pPr>
        <w:pStyle w:val="JudgmentNumbered"/>
        <w:numPr>
          <w:ilvl w:val="0"/>
          <w:numId w:val="0"/>
        </w:numPr>
        <w:ind w:left="1418" w:hanging="851"/>
        <w:rPr>
          <w:szCs w:val="24"/>
        </w:rPr>
      </w:pPr>
      <w:r w:rsidRPr="001A4A7D">
        <w:rPr>
          <w:szCs w:val="24"/>
        </w:rPr>
        <w:lastRenderedPageBreak/>
        <w:t>6.6.</w:t>
      </w:r>
      <w:r w:rsidRPr="001A4A7D">
        <w:rPr>
          <w:szCs w:val="24"/>
        </w:rPr>
        <w:tab/>
      </w:r>
      <w:r w:rsidR="006C1B69" w:rsidRPr="001A4A7D">
        <w:rPr>
          <w:szCs w:val="24"/>
        </w:rPr>
        <w:t xml:space="preserve">the contingent rights of </w:t>
      </w:r>
      <w:r w:rsidR="00287DF5" w:rsidRPr="001A4A7D">
        <w:rPr>
          <w:szCs w:val="24"/>
        </w:rPr>
        <w:t xml:space="preserve">the beneficiary </w:t>
      </w:r>
      <w:r w:rsidR="00424991">
        <w:rPr>
          <w:szCs w:val="24"/>
        </w:rPr>
        <w:t>shall be</w:t>
      </w:r>
      <w:r w:rsidR="00287DF5" w:rsidRPr="001A4A7D">
        <w:rPr>
          <w:szCs w:val="24"/>
        </w:rPr>
        <w:t xml:space="preserve"> excluded in the event of attachment </w:t>
      </w:r>
      <w:r w:rsidR="0098467C" w:rsidRPr="001A4A7D">
        <w:rPr>
          <w:szCs w:val="24"/>
        </w:rPr>
        <w:t xml:space="preserve">or insolvency of the minor child, prior to the </w:t>
      </w:r>
      <w:r w:rsidR="00905876" w:rsidRPr="001A4A7D">
        <w:rPr>
          <w:szCs w:val="24"/>
        </w:rPr>
        <w:t xml:space="preserve">date of </w:t>
      </w:r>
      <w:r w:rsidR="0098467C" w:rsidRPr="001A4A7D">
        <w:rPr>
          <w:szCs w:val="24"/>
        </w:rPr>
        <w:t xml:space="preserve">distribution </w:t>
      </w:r>
      <w:r w:rsidR="00905876" w:rsidRPr="001A4A7D">
        <w:rPr>
          <w:szCs w:val="24"/>
        </w:rPr>
        <w:t>to the beneficiary;</w:t>
      </w:r>
    </w:p>
    <w:p w14:paraId="08572FC9" w14:textId="352AFD25" w:rsidR="005B79B1" w:rsidRPr="001A4A7D" w:rsidRDefault="0025329B" w:rsidP="0025329B">
      <w:pPr>
        <w:pStyle w:val="JudgmentNumbered"/>
        <w:numPr>
          <w:ilvl w:val="0"/>
          <w:numId w:val="0"/>
        </w:numPr>
        <w:ind w:left="1418" w:hanging="851"/>
        <w:rPr>
          <w:szCs w:val="24"/>
        </w:rPr>
      </w:pPr>
      <w:r w:rsidRPr="001A4A7D">
        <w:rPr>
          <w:szCs w:val="24"/>
        </w:rPr>
        <w:t>6.7.</w:t>
      </w:r>
      <w:r w:rsidRPr="001A4A7D">
        <w:rPr>
          <w:szCs w:val="24"/>
        </w:rPr>
        <w:tab/>
      </w:r>
      <w:r w:rsidR="005B79B1" w:rsidRPr="001A4A7D">
        <w:rPr>
          <w:szCs w:val="24"/>
        </w:rPr>
        <w:t>t</w:t>
      </w:r>
      <w:r w:rsidR="00996119" w:rsidRPr="001A4A7D">
        <w:rPr>
          <w:szCs w:val="24"/>
        </w:rPr>
        <w:t>he trust deed is to be amended only with leave of the court;</w:t>
      </w:r>
    </w:p>
    <w:p w14:paraId="5C5AF06E" w14:textId="62FA3E0A" w:rsidR="00996119" w:rsidRDefault="0025329B" w:rsidP="0025329B">
      <w:pPr>
        <w:pStyle w:val="JudgmentNumbered"/>
        <w:numPr>
          <w:ilvl w:val="0"/>
          <w:numId w:val="0"/>
        </w:numPr>
        <w:ind w:left="1418" w:hanging="851"/>
      </w:pPr>
      <w:r>
        <w:t>6.8.</w:t>
      </w:r>
      <w:r>
        <w:tab/>
      </w:r>
      <w:r w:rsidR="00362911">
        <w:rPr>
          <w:szCs w:val="24"/>
        </w:rPr>
        <w:t>t</w:t>
      </w:r>
      <w:r w:rsidR="00996119" w:rsidRPr="001A4A7D">
        <w:rPr>
          <w:szCs w:val="24"/>
        </w:rPr>
        <w:t xml:space="preserve">he trustee </w:t>
      </w:r>
      <w:r w:rsidR="006D566E">
        <w:rPr>
          <w:szCs w:val="24"/>
        </w:rPr>
        <w:t>is</w:t>
      </w:r>
      <w:r w:rsidR="00996119" w:rsidRPr="001A4A7D">
        <w:rPr>
          <w:szCs w:val="24"/>
        </w:rPr>
        <w:t xml:space="preserve"> to </w:t>
      </w:r>
      <w:r w:rsidR="00983325" w:rsidRPr="001A4A7D">
        <w:rPr>
          <w:szCs w:val="24"/>
        </w:rPr>
        <w:t>utilise the c</w:t>
      </w:r>
      <w:r w:rsidR="00983325">
        <w:t>apital amount and any income of the trust for the maintenance and benefit of the beneficiary exclusively</w:t>
      </w:r>
      <w:r w:rsidR="00743445">
        <w:t>;</w:t>
      </w:r>
    </w:p>
    <w:p w14:paraId="1BD59A3B" w14:textId="3D40333B" w:rsidR="00362911" w:rsidRDefault="0025329B" w:rsidP="0025329B">
      <w:pPr>
        <w:pStyle w:val="JudgmentNumbered"/>
        <w:numPr>
          <w:ilvl w:val="0"/>
          <w:numId w:val="0"/>
        </w:numPr>
        <w:ind w:left="1418" w:hanging="851"/>
      </w:pPr>
      <w:r>
        <w:t>6.9.</w:t>
      </w:r>
      <w:r>
        <w:tab/>
      </w:r>
      <w:r w:rsidR="00B42449">
        <w:t xml:space="preserve">the trustee shall be entitled to remuneration </w:t>
      </w:r>
      <w:r w:rsidR="00023ABE">
        <w:t xml:space="preserve">in accordance </w:t>
      </w:r>
      <w:r w:rsidR="007B1906">
        <w:t xml:space="preserve">with the tariff set out in paragraph 3 of the </w:t>
      </w:r>
      <w:r w:rsidR="005C5FBA">
        <w:t xml:space="preserve">consent </w:t>
      </w:r>
      <w:r w:rsidR="00C4430B">
        <w:t>signed by the proposed trustee dated 1 August 2023</w:t>
      </w:r>
      <w:r w:rsidR="0098250F">
        <w:t xml:space="preserve"> only</w:t>
      </w:r>
      <w:r w:rsidR="00C4430B">
        <w:t>;</w:t>
      </w:r>
    </w:p>
    <w:p w14:paraId="3D72ADA5" w14:textId="18ACEE57" w:rsidR="00B42449" w:rsidRDefault="0025329B" w:rsidP="0025329B">
      <w:pPr>
        <w:pStyle w:val="JudgmentNumbered"/>
        <w:numPr>
          <w:ilvl w:val="0"/>
          <w:numId w:val="0"/>
        </w:numPr>
        <w:ind w:left="1418" w:hanging="851"/>
      </w:pPr>
      <w:r>
        <w:t>6.10.</w:t>
      </w:r>
      <w:r>
        <w:tab/>
      </w:r>
      <w:r w:rsidR="00362911">
        <w:t xml:space="preserve">the trust may be terminated by order of </w:t>
      </w:r>
      <w:r w:rsidR="008B4B83">
        <w:t>court</w:t>
      </w:r>
      <w:r w:rsidR="00362911">
        <w:t>;</w:t>
      </w:r>
    </w:p>
    <w:p w14:paraId="3BFE09A1" w14:textId="5BB3B829" w:rsidR="008C7DB7" w:rsidRDefault="0025329B" w:rsidP="0025329B">
      <w:pPr>
        <w:pStyle w:val="JudgmentNumbered"/>
        <w:numPr>
          <w:ilvl w:val="0"/>
          <w:numId w:val="0"/>
        </w:numPr>
        <w:ind w:left="1418" w:hanging="851"/>
      </w:pPr>
      <w:r>
        <w:t>6.11.</w:t>
      </w:r>
      <w:r>
        <w:tab/>
      </w:r>
      <w:r w:rsidR="007E0CC4">
        <w:t>the</w:t>
      </w:r>
      <w:r w:rsidR="00743445">
        <w:t xml:space="preserve"> costs and charges</w:t>
      </w:r>
      <w:r w:rsidR="00467EDF">
        <w:t xml:space="preserve"> relating to the administration of the </w:t>
      </w:r>
      <w:r w:rsidR="007E0CC4">
        <w:t>trust</w:t>
      </w:r>
      <w:r w:rsidR="001438BA">
        <w:t>,</w:t>
      </w:r>
      <w:r w:rsidR="0043661F">
        <w:t xml:space="preserve"> the costs and charges incidental to the formation thereof</w:t>
      </w:r>
      <w:r w:rsidR="00620177">
        <w:t xml:space="preserve"> (</w:t>
      </w:r>
      <w:r w:rsidR="00FE0E85">
        <w:t>including the costs of furnishing security to the Master</w:t>
      </w:r>
      <w:r w:rsidR="00057659">
        <w:t xml:space="preserve"> </w:t>
      </w:r>
      <w:r w:rsidR="00620177">
        <w:t xml:space="preserve">and </w:t>
      </w:r>
      <w:r w:rsidR="00057659">
        <w:t>the annual retention of the security</w:t>
      </w:r>
      <w:r w:rsidR="00620177">
        <w:t>)</w:t>
      </w:r>
      <w:r w:rsidR="00057659">
        <w:t xml:space="preserve"> </w:t>
      </w:r>
      <w:r w:rsidR="000F1420">
        <w:t>as well as</w:t>
      </w:r>
      <w:r w:rsidR="00057659">
        <w:t xml:space="preserve"> </w:t>
      </w:r>
      <w:r w:rsidR="001312F2">
        <w:t xml:space="preserve">the costs of an annual audit </w:t>
      </w:r>
      <w:r w:rsidR="0043661F">
        <w:t xml:space="preserve">shall </w:t>
      </w:r>
      <w:r w:rsidR="000D4524">
        <w:t>be borne by the defendant</w:t>
      </w:r>
      <w:r w:rsidR="00057659">
        <w:t>.</w:t>
      </w:r>
    </w:p>
    <w:p w14:paraId="1E2BD6E2" w14:textId="27289A49" w:rsidR="006B49D0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910689" w:rsidRPr="006B49D0">
        <w:rPr>
          <w:szCs w:val="24"/>
        </w:rPr>
        <w:t xml:space="preserve">The provisions </w:t>
      </w:r>
      <w:r w:rsidR="00BD7265" w:rsidRPr="006B49D0">
        <w:rPr>
          <w:szCs w:val="24"/>
        </w:rPr>
        <w:t>referred to above shall be subject to the approval of the Master</w:t>
      </w:r>
      <w:r w:rsidR="007F5FC0" w:rsidRPr="006B49D0">
        <w:rPr>
          <w:szCs w:val="24"/>
        </w:rPr>
        <w:t>.</w:t>
      </w:r>
    </w:p>
    <w:p w14:paraId="0501D443" w14:textId="6D927893" w:rsidR="00952DB3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0D6E5E" w:rsidRPr="006B49D0">
        <w:rPr>
          <w:szCs w:val="24"/>
          <w:lang w:val="en-ZA"/>
        </w:rPr>
        <w:t xml:space="preserve">The defendant shall furnish to the </w:t>
      </w:r>
      <w:r w:rsidR="00D879EC">
        <w:rPr>
          <w:szCs w:val="24"/>
          <w:lang w:val="en-ZA"/>
        </w:rPr>
        <w:t>p</w:t>
      </w:r>
      <w:r w:rsidR="000D6E5E" w:rsidRPr="006B49D0">
        <w:rPr>
          <w:szCs w:val="24"/>
          <w:lang w:val="en-ZA"/>
        </w:rPr>
        <w:t>laintiff an undertaking in terms of section 17(4)(a) of the Road Accident Fund Act 56 of 1996,</w:t>
      </w:r>
      <w:r w:rsidR="00EA71DF">
        <w:rPr>
          <w:szCs w:val="24"/>
          <w:lang w:val="en-ZA"/>
        </w:rPr>
        <w:t xml:space="preserve"> </w:t>
      </w:r>
      <w:r w:rsidR="000D6E5E" w:rsidRPr="006B49D0">
        <w:rPr>
          <w:szCs w:val="24"/>
          <w:lang w:val="en-ZA"/>
        </w:rPr>
        <w:t xml:space="preserve">for the costs of the future accommodation of the minor child in a hospital or nursing home, or treatment of or rendering of service or supplying of goods to the </w:t>
      </w:r>
      <w:r w:rsidR="005125C0">
        <w:rPr>
          <w:szCs w:val="24"/>
          <w:lang w:val="en-ZA"/>
        </w:rPr>
        <w:t>beneficiary</w:t>
      </w:r>
      <w:r w:rsidR="000D6E5E" w:rsidRPr="006B49D0">
        <w:rPr>
          <w:szCs w:val="24"/>
          <w:lang w:val="en-ZA"/>
        </w:rPr>
        <w:t>, arising out</w:t>
      </w:r>
      <w:r w:rsidR="006B49D0" w:rsidRPr="006B49D0">
        <w:rPr>
          <w:szCs w:val="24"/>
          <w:lang w:val="en-ZA"/>
        </w:rPr>
        <w:t xml:space="preserve"> </w:t>
      </w:r>
      <w:r w:rsidR="000D6E5E" w:rsidRPr="006B49D0">
        <w:rPr>
          <w:szCs w:val="24"/>
          <w:lang w:val="en-ZA"/>
        </w:rPr>
        <w:t>of the injuries sustained in a motor vehicle collision on the 20</w:t>
      </w:r>
      <w:r w:rsidR="000D6E5E" w:rsidRPr="006B49D0">
        <w:rPr>
          <w:szCs w:val="24"/>
          <w:vertAlign w:val="superscript"/>
          <w:lang w:val="en-ZA"/>
        </w:rPr>
        <w:t>th</w:t>
      </w:r>
      <w:r w:rsidR="006B49D0" w:rsidRPr="006B49D0">
        <w:rPr>
          <w:szCs w:val="24"/>
          <w:lang w:val="en-ZA"/>
        </w:rPr>
        <w:t xml:space="preserve"> </w:t>
      </w:r>
      <w:r w:rsidR="000D6E5E" w:rsidRPr="006B49D0">
        <w:rPr>
          <w:szCs w:val="24"/>
          <w:lang w:val="en-ZA"/>
        </w:rPr>
        <w:t xml:space="preserve">September 2018, and the </w:t>
      </w:r>
      <w:r w:rsidR="000D6E5E" w:rsidRPr="006B49D0">
        <w:rPr>
          <w:i/>
          <w:iCs/>
          <w:szCs w:val="24"/>
          <w:lang w:val="en-ZA"/>
        </w:rPr>
        <w:t xml:space="preserve">sequelae </w:t>
      </w:r>
      <w:r w:rsidR="000D6E5E" w:rsidRPr="006B49D0">
        <w:rPr>
          <w:szCs w:val="24"/>
          <w:lang w:val="en-ZA"/>
        </w:rPr>
        <w:t>thereof, after such costs have</w:t>
      </w:r>
      <w:r w:rsidR="006B49D0" w:rsidRPr="006B49D0">
        <w:rPr>
          <w:szCs w:val="24"/>
          <w:lang w:val="en-ZA"/>
        </w:rPr>
        <w:t xml:space="preserve"> </w:t>
      </w:r>
      <w:r w:rsidR="000D6E5E" w:rsidRPr="006B49D0">
        <w:rPr>
          <w:szCs w:val="24"/>
          <w:lang w:val="en-ZA"/>
        </w:rPr>
        <w:t>been incurred and upon proof thereof</w:t>
      </w:r>
      <w:r w:rsidR="006B49D0" w:rsidRPr="006B49D0">
        <w:rPr>
          <w:szCs w:val="24"/>
          <w:lang w:val="en-ZA"/>
        </w:rPr>
        <w:t>.</w:t>
      </w:r>
    </w:p>
    <w:p w14:paraId="7976B505" w14:textId="5740D75A" w:rsidR="00E64352" w:rsidRPr="00E64352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E64352">
        <w:rPr>
          <w:szCs w:val="24"/>
        </w:rPr>
        <w:t>9.</w:t>
      </w:r>
      <w:r w:rsidRPr="00E64352">
        <w:rPr>
          <w:szCs w:val="24"/>
        </w:rPr>
        <w:tab/>
      </w:r>
      <w:r w:rsidR="00682D3B" w:rsidRPr="00952DB3">
        <w:rPr>
          <w:szCs w:val="24"/>
          <w:lang w:val="en-ZA"/>
        </w:rPr>
        <w:t>The defendant shall pay the plaintiff’s agreed or taxed party and party High Court costs until to date</w:t>
      </w:r>
      <w:r w:rsidR="00B91790">
        <w:rPr>
          <w:szCs w:val="24"/>
          <w:lang w:val="en-ZA"/>
        </w:rPr>
        <w:t>.</w:t>
      </w:r>
    </w:p>
    <w:p w14:paraId="7910917B" w14:textId="2B00C2E0" w:rsidR="00001984" w:rsidRPr="00001984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001984">
        <w:rPr>
          <w:szCs w:val="24"/>
        </w:rPr>
        <w:t>10.</w:t>
      </w:r>
      <w:r w:rsidRPr="00001984">
        <w:rPr>
          <w:szCs w:val="24"/>
        </w:rPr>
        <w:tab/>
      </w:r>
      <w:r w:rsidR="00242363" w:rsidRPr="00001984">
        <w:rPr>
          <w:szCs w:val="24"/>
          <w:lang w:val="en-ZA"/>
        </w:rPr>
        <w:t>The defendant is to make payment of the plaintiff’s taxed or agreed costs within one hundred and eighty (180) days of taxation or</w:t>
      </w:r>
      <w:r w:rsidR="00242363" w:rsidRPr="00001984">
        <w:rPr>
          <w:szCs w:val="24"/>
        </w:rPr>
        <w:t xml:space="preserve"> </w:t>
      </w:r>
      <w:r w:rsidR="00242363" w:rsidRPr="00001984">
        <w:rPr>
          <w:szCs w:val="24"/>
          <w:lang w:val="en-ZA"/>
        </w:rPr>
        <w:t>agreement.</w:t>
      </w:r>
    </w:p>
    <w:p w14:paraId="522BC058" w14:textId="39C739CA" w:rsidR="00001984" w:rsidRPr="00001984" w:rsidRDefault="0025329B" w:rsidP="0025329B">
      <w:pPr>
        <w:pStyle w:val="JudgmentNumbered"/>
        <w:numPr>
          <w:ilvl w:val="0"/>
          <w:numId w:val="0"/>
        </w:numPr>
        <w:ind w:left="567" w:hanging="567"/>
        <w:rPr>
          <w:szCs w:val="24"/>
        </w:rPr>
      </w:pPr>
      <w:r w:rsidRPr="00001984">
        <w:rPr>
          <w:szCs w:val="24"/>
        </w:rPr>
        <w:t>11.</w:t>
      </w:r>
      <w:r w:rsidRPr="00001984">
        <w:rPr>
          <w:szCs w:val="24"/>
        </w:rPr>
        <w:tab/>
      </w:r>
      <w:r w:rsidR="00001984" w:rsidRPr="00001984">
        <w:rPr>
          <w:szCs w:val="24"/>
          <w:lang w:val="en-ZA"/>
        </w:rPr>
        <w:t xml:space="preserve">This order must be served by the </w:t>
      </w:r>
      <w:r w:rsidR="00FD67B9">
        <w:rPr>
          <w:szCs w:val="24"/>
          <w:lang w:val="en-ZA"/>
        </w:rPr>
        <w:t>p</w:t>
      </w:r>
      <w:r w:rsidR="00001984" w:rsidRPr="00001984">
        <w:rPr>
          <w:szCs w:val="24"/>
          <w:lang w:val="en-ZA"/>
        </w:rPr>
        <w:t>laintiff’s attorneys on the Master of the High Court within thirty (30) days from the date of the Court order</w:t>
      </w:r>
      <w:r w:rsidR="00FF1419">
        <w:rPr>
          <w:szCs w:val="24"/>
          <w:lang w:val="en-ZA"/>
        </w:rPr>
        <w:t>.</w:t>
      </w:r>
    </w:p>
    <w:p w14:paraId="73802AAA" w14:textId="77777777" w:rsidR="00C33409" w:rsidRPr="00001984" w:rsidRDefault="00C33409" w:rsidP="00001984">
      <w:pPr>
        <w:pStyle w:val="JudgmentNumbered"/>
        <w:numPr>
          <w:ilvl w:val="0"/>
          <w:numId w:val="0"/>
        </w:numPr>
        <w:ind w:left="567"/>
        <w:rPr>
          <w:szCs w:val="24"/>
        </w:rPr>
      </w:pPr>
    </w:p>
    <w:p w14:paraId="63691BC7" w14:textId="77777777" w:rsidR="005D6A26" w:rsidRDefault="005D6A26" w:rsidP="00C33409">
      <w:pPr>
        <w:pStyle w:val="JudgmentNumbered"/>
        <w:numPr>
          <w:ilvl w:val="0"/>
          <w:numId w:val="0"/>
        </w:numPr>
        <w:ind w:left="567"/>
      </w:pPr>
    </w:p>
    <w:p w14:paraId="4C8E45D9" w14:textId="77777777" w:rsidR="002B448C" w:rsidRDefault="002B448C" w:rsidP="00596BC8">
      <w:pPr>
        <w:pStyle w:val="JudgmentNumbered"/>
        <w:keepNext/>
        <w:numPr>
          <w:ilvl w:val="0"/>
          <w:numId w:val="0"/>
        </w:numPr>
        <w:spacing w:after="0"/>
        <w:ind w:left="567" w:hanging="567"/>
        <w:jc w:val="right"/>
      </w:pPr>
      <w:r>
        <w:t>___________</w:t>
      </w:r>
      <w:r w:rsidR="00EB01DA">
        <w:t>__</w:t>
      </w:r>
      <w:r>
        <w:t>______________</w:t>
      </w:r>
    </w:p>
    <w:p w14:paraId="091A7106" w14:textId="46EEA4B0" w:rsidR="002B448C" w:rsidRDefault="00C10C09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WHIT</w:t>
      </w:r>
      <w:r w:rsidR="00A17002">
        <w:rPr>
          <w:b/>
        </w:rPr>
        <w:t>T</w:t>
      </w:r>
      <w:r>
        <w:rPr>
          <w:b/>
        </w:rPr>
        <w:t>INGTON</w:t>
      </w:r>
    </w:p>
    <w:p w14:paraId="566EA8D4" w14:textId="5FE3A7C8" w:rsidR="002B448C" w:rsidRDefault="004767AA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 xml:space="preserve">ACTING </w:t>
      </w:r>
      <w:r w:rsidR="002B448C">
        <w:rPr>
          <w:b/>
        </w:rPr>
        <w:t>JUDGE OF THE HIGH COURT</w:t>
      </w:r>
    </w:p>
    <w:p w14:paraId="6E4FA8F3" w14:textId="182F817D" w:rsidR="00EB01DA" w:rsidRDefault="002B448C" w:rsidP="00EB01DA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JOHANNESBURG</w:t>
      </w:r>
    </w:p>
    <w:p w14:paraId="5CD871AD" w14:textId="77777777" w:rsidR="00D251BD" w:rsidRDefault="00D251BD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242BB250" w14:textId="77777777" w:rsidR="00D251BD" w:rsidRDefault="00D251BD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3F51C9F9" w14:textId="77777777" w:rsidR="00D251BD" w:rsidRDefault="00D251BD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31B940C7" w14:textId="77777777" w:rsidR="00D251BD" w:rsidRDefault="00D251BD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3F81B821" w14:textId="77777777" w:rsidR="00D251BD" w:rsidRDefault="00D251BD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4CE00C9A" w14:textId="77777777" w:rsidR="00D251BD" w:rsidRDefault="00D251BD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3F1783F5" w14:textId="079911ED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 xml:space="preserve">Date of Hearing: 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="00C10C09">
        <w:rPr>
          <w:rFonts w:eastAsia="Times New Roman" w:cs="Arial"/>
          <w:szCs w:val="24"/>
          <w:lang w:eastAsia="en-GB"/>
        </w:rPr>
        <w:t xml:space="preserve">16 August </w:t>
      </w:r>
      <w:r w:rsidR="00C10C09" w:rsidRPr="001947E9">
        <w:rPr>
          <w:rFonts w:eastAsia="Times New Roman" w:cs="Arial"/>
          <w:szCs w:val="24"/>
          <w:lang w:eastAsia="en-GB"/>
        </w:rPr>
        <w:t>2023</w:t>
      </w:r>
    </w:p>
    <w:p w14:paraId="042E1CD5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7814CE26" w14:textId="15DB3EB2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>Date of Judgment: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="005E60A6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>2023</w:t>
      </w:r>
    </w:p>
    <w:p w14:paraId="51357F8A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0C6AB52A" w14:textId="77777777" w:rsidR="001947E9" w:rsidRPr="005A2A57" w:rsidRDefault="001947E9" w:rsidP="001947E9">
      <w:pPr>
        <w:spacing w:after="0" w:line="240" w:lineRule="auto"/>
        <w:ind w:left="0"/>
        <w:rPr>
          <w:rFonts w:eastAsia="Times New Roman" w:cs="Arial"/>
          <w:b/>
          <w:bCs/>
          <w:szCs w:val="24"/>
          <w:lang w:eastAsia="en-GB"/>
        </w:rPr>
      </w:pPr>
      <w:r w:rsidRPr="005A2A57">
        <w:rPr>
          <w:rFonts w:eastAsia="Times New Roman" w:cs="Arial"/>
          <w:b/>
          <w:bCs/>
          <w:szCs w:val="24"/>
          <w:lang w:eastAsia="en-GB"/>
        </w:rPr>
        <w:t>APPEARANCES</w:t>
      </w:r>
    </w:p>
    <w:p w14:paraId="74B4D28A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57FDE082" w14:textId="7A0ACF5D" w:rsidR="001947E9" w:rsidRPr="001947E9" w:rsidRDefault="001947E9" w:rsidP="001947E9">
      <w:pPr>
        <w:spacing w:after="0" w:line="240" w:lineRule="auto"/>
        <w:ind w:left="0"/>
        <w:rPr>
          <w:rFonts w:cs="Arial"/>
          <w:szCs w:val="24"/>
          <w:lang w:val="en-US"/>
        </w:rPr>
      </w:pPr>
      <w:r w:rsidRPr="001947E9">
        <w:rPr>
          <w:rFonts w:eastAsia="Times New Roman" w:cs="Arial"/>
          <w:szCs w:val="24"/>
          <w:lang w:eastAsia="en-GB"/>
        </w:rPr>
        <w:t xml:space="preserve">For the </w:t>
      </w:r>
      <w:r w:rsidR="00C10C09">
        <w:rPr>
          <w:rFonts w:eastAsia="Times New Roman" w:cs="Arial"/>
          <w:szCs w:val="24"/>
          <w:lang w:eastAsia="en-GB"/>
        </w:rPr>
        <w:t>Plaintiff</w:t>
      </w:r>
      <w:r w:rsidRPr="001947E9">
        <w:rPr>
          <w:rFonts w:eastAsia="Times New Roman" w:cs="Arial"/>
          <w:szCs w:val="24"/>
          <w:lang w:eastAsia="en-GB"/>
        </w:rPr>
        <w:t>: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="00C10C09">
        <w:t xml:space="preserve">Mr </w:t>
      </w:r>
      <w:proofErr w:type="spellStart"/>
      <w:r w:rsidR="00C10C09">
        <w:t>Kutama</w:t>
      </w:r>
      <w:proofErr w:type="spellEnd"/>
      <w:r w:rsidR="00C10C09">
        <w:t xml:space="preserve"> (Attorney with the right of appearance)</w:t>
      </w:r>
    </w:p>
    <w:p w14:paraId="419AB61D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</w:p>
    <w:p w14:paraId="67495D09" w14:textId="6068D10E" w:rsid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>Instructed by: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proofErr w:type="spellStart"/>
      <w:r w:rsidR="00732DCF">
        <w:rPr>
          <w:rFonts w:eastAsia="Times New Roman" w:cs="Arial"/>
          <w:szCs w:val="24"/>
          <w:lang w:eastAsia="en-GB"/>
        </w:rPr>
        <w:t>Kutama</w:t>
      </w:r>
      <w:proofErr w:type="spellEnd"/>
      <w:r w:rsidR="005A2A57">
        <w:rPr>
          <w:rFonts w:eastAsia="Times New Roman" w:cs="Arial"/>
          <w:szCs w:val="24"/>
          <w:lang w:eastAsia="en-GB"/>
        </w:rPr>
        <w:t xml:space="preserve"> Attorneys</w:t>
      </w:r>
    </w:p>
    <w:p w14:paraId="5F4FAAE1" w14:textId="77777777" w:rsidR="00D13B70" w:rsidRPr="00D13B70" w:rsidRDefault="00D13B70" w:rsidP="00D13B70">
      <w:pPr>
        <w:pStyle w:val="JudgmentNumbered"/>
        <w:numPr>
          <w:ilvl w:val="0"/>
          <w:numId w:val="0"/>
        </w:numPr>
        <w:ind w:left="567"/>
        <w:rPr>
          <w:lang w:eastAsia="en-GB"/>
        </w:rPr>
      </w:pPr>
    </w:p>
    <w:p w14:paraId="04830EB2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</w:p>
    <w:p w14:paraId="32D76FC6" w14:textId="1AC2EB25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 xml:space="preserve">For the </w:t>
      </w:r>
      <w:r w:rsidR="00C10C09">
        <w:rPr>
          <w:rFonts w:eastAsia="Times New Roman" w:cs="Arial"/>
          <w:szCs w:val="24"/>
          <w:lang w:eastAsia="en-GB"/>
        </w:rPr>
        <w:t>Defendant</w:t>
      </w:r>
      <w:r w:rsidRPr="001947E9">
        <w:rPr>
          <w:rFonts w:eastAsia="Times New Roman" w:cs="Arial"/>
          <w:szCs w:val="24"/>
          <w:lang w:eastAsia="en-GB"/>
        </w:rPr>
        <w:t>: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="005E60A6">
        <w:rPr>
          <w:rFonts w:eastAsia="Times New Roman" w:cs="Arial"/>
          <w:szCs w:val="24"/>
          <w:lang w:eastAsia="en-GB"/>
        </w:rPr>
        <w:tab/>
      </w:r>
      <w:r w:rsidR="00D13B70" w:rsidRPr="00D13B70">
        <w:rPr>
          <w:rFonts w:eastAsia="Times New Roman" w:cs="Arial"/>
          <w:szCs w:val="24"/>
          <w:lang w:eastAsia="en-GB"/>
        </w:rPr>
        <w:t xml:space="preserve">Adv. </w:t>
      </w:r>
      <w:proofErr w:type="spellStart"/>
      <w:r w:rsidR="004D493B">
        <w:t>Dokotela</w:t>
      </w:r>
      <w:proofErr w:type="spellEnd"/>
      <w:r w:rsidR="004D493B">
        <w:t xml:space="preserve"> </w:t>
      </w:r>
      <w:proofErr w:type="spellStart"/>
      <w:r w:rsidR="004D493B">
        <w:t>Sondlani</w:t>
      </w:r>
      <w:proofErr w:type="spellEnd"/>
    </w:p>
    <w:p w14:paraId="0DE7BFBF" w14:textId="77777777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</w:p>
    <w:p w14:paraId="0EB3BA70" w14:textId="0085ED16" w:rsidR="001947E9" w:rsidRPr="001947E9" w:rsidRDefault="001947E9" w:rsidP="001947E9">
      <w:pPr>
        <w:spacing w:after="0" w:line="240" w:lineRule="auto"/>
        <w:ind w:left="0"/>
        <w:rPr>
          <w:rFonts w:eastAsia="Times New Roman" w:cs="Arial"/>
          <w:szCs w:val="24"/>
          <w:lang w:eastAsia="en-GB"/>
        </w:rPr>
      </w:pPr>
      <w:r w:rsidRPr="001947E9">
        <w:rPr>
          <w:rFonts w:eastAsia="Times New Roman" w:cs="Arial"/>
          <w:szCs w:val="24"/>
          <w:lang w:eastAsia="en-GB"/>
        </w:rPr>
        <w:t>Instructed by:</w:t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Pr="001947E9">
        <w:rPr>
          <w:rFonts w:eastAsia="Times New Roman" w:cs="Arial"/>
          <w:szCs w:val="24"/>
          <w:lang w:eastAsia="en-GB"/>
        </w:rPr>
        <w:tab/>
      </w:r>
      <w:r w:rsidR="00D13B70">
        <w:rPr>
          <w:rFonts w:eastAsia="Times New Roman" w:cs="Arial"/>
          <w:szCs w:val="24"/>
          <w:lang w:eastAsia="en-GB"/>
        </w:rPr>
        <w:t>R</w:t>
      </w:r>
      <w:r w:rsidR="00C10C09">
        <w:rPr>
          <w:rFonts w:eastAsia="Times New Roman" w:cs="Arial"/>
          <w:szCs w:val="24"/>
          <w:lang w:eastAsia="en-GB"/>
        </w:rPr>
        <w:t>oad Accident Fund</w:t>
      </w:r>
    </w:p>
    <w:p w14:paraId="657B49FD" w14:textId="053FF00D" w:rsidR="002B448C" w:rsidRPr="003673B7" w:rsidRDefault="002B448C" w:rsidP="00EB01DA">
      <w:pPr>
        <w:spacing w:after="0" w:line="240" w:lineRule="auto"/>
        <w:ind w:left="0"/>
        <w:rPr>
          <w:rFonts w:cs="Arial"/>
          <w:b/>
          <w:szCs w:val="24"/>
        </w:rPr>
      </w:pPr>
    </w:p>
    <w:sectPr w:rsidR="002B448C" w:rsidRPr="003673B7" w:rsidSect="00FE13EA">
      <w:footerReference w:type="default" r:id="rId14"/>
      <w:type w:val="continuous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0417" w14:textId="77777777" w:rsidR="0054654D" w:rsidRDefault="0054654D" w:rsidP="00E469E1">
      <w:pPr>
        <w:spacing w:after="0" w:line="240" w:lineRule="auto"/>
      </w:pPr>
      <w:r>
        <w:separator/>
      </w:r>
    </w:p>
  </w:endnote>
  <w:endnote w:type="continuationSeparator" w:id="0">
    <w:p w14:paraId="71CA49D4" w14:textId="77777777" w:rsidR="0054654D" w:rsidRDefault="0054654D" w:rsidP="00E4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94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6EC59" w14:textId="732FC8B7" w:rsidR="00B95DE9" w:rsidRDefault="00B95DE9" w:rsidP="00E46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5C8F4" w14:textId="77777777" w:rsidR="00B95DE9" w:rsidRDefault="00B95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50AA" w14:textId="77777777" w:rsidR="0054654D" w:rsidRDefault="0054654D" w:rsidP="00E469E1">
      <w:pPr>
        <w:spacing w:after="0" w:line="240" w:lineRule="auto"/>
      </w:pPr>
      <w:r>
        <w:separator/>
      </w:r>
    </w:p>
  </w:footnote>
  <w:footnote w:type="continuationSeparator" w:id="0">
    <w:p w14:paraId="4861A1C0" w14:textId="77777777" w:rsidR="0054654D" w:rsidRDefault="0054654D" w:rsidP="00E469E1">
      <w:pPr>
        <w:spacing w:after="0" w:line="240" w:lineRule="auto"/>
      </w:pPr>
      <w:r>
        <w:continuationSeparator/>
      </w:r>
    </w:p>
  </w:footnote>
  <w:footnote w:id="1">
    <w:p w14:paraId="529A6F62" w14:textId="6791454E" w:rsidR="000468D8" w:rsidRPr="00EC6B31" w:rsidRDefault="000468D8">
      <w:pPr>
        <w:pStyle w:val="FootnoteText"/>
        <w:rPr>
          <w:rFonts w:cs="Arial"/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EC6B31" w:rsidRPr="00EC6B31">
        <w:rPr>
          <w:rFonts w:cs="Arial"/>
          <w:color w:val="000000"/>
          <w:shd w:val="clear" w:color="auto" w:fill="FFFFFF"/>
        </w:rPr>
        <w:t>[2016] JOL 36003 (SCA)</w:t>
      </w:r>
      <w:r w:rsidR="008917CB">
        <w:rPr>
          <w:rFonts w:cs="Arial"/>
          <w:color w:val="000000"/>
          <w:shd w:val="clear" w:color="auto" w:fill="FFFFFF"/>
        </w:rPr>
        <w:t xml:space="preserve"> at 13</w:t>
      </w:r>
    </w:p>
  </w:footnote>
  <w:footnote w:id="2">
    <w:p w14:paraId="47157096" w14:textId="17BC8CF9" w:rsidR="00085FFD" w:rsidRPr="00085FFD" w:rsidRDefault="00085FFD">
      <w:pPr>
        <w:pStyle w:val="FootnoteText"/>
        <w:rPr>
          <w:lang w:val="en-ZA"/>
        </w:rPr>
      </w:pPr>
      <w:r w:rsidRPr="00EC6B31">
        <w:rPr>
          <w:rStyle w:val="FootnoteReference"/>
          <w:rFonts w:cs="Arial"/>
        </w:rPr>
        <w:footnoteRef/>
      </w:r>
      <w:r w:rsidRPr="00EC6B31">
        <w:rPr>
          <w:rFonts w:cs="Arial"/>
        </w:rPr>
        <w:t xml:space="preserve"> </w:t>
      </w:r>
      <w:r w:rsidRPr="00EC6B31">
        <w:rPr>
          <w:rFonts w:cs="Arial"/>
          <w:lang w:val="en-ZA"/>
        </w:rPr>
        <w:t xml:space="preserve">Robert Koch (2017 Edition) </w:t>
      </w:r>
      <w:r>
        <w:rPr>
          <w:lang w:val="en-ZA"/>
        </w:rPr>
        <w:t>at 126</w:t>
      </w:r>
    </w:p>
  </w:footnote>
  <w:footnote w:id="3">
    <w:p w14:paraId="518DEFDC" w14:textId="07A15923" w:rsidR="00111E93" w:rsidRPr="00111E93" w:rsidRDefault="00111E93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2013 (</w:t>
      </w:r>
      <w:r w:rsidR="00134D05">
        <w:rPr>
          <w:lang w:val="en-ZA"/>
        </w:rPr>
        <w:t>2) SA 632 (GSJ)</w:t>
      </w:r>
    </w:p>
  </w:footnote>
  <w:footnote w:id="4">
    <w:p w14:paraId="4B94189F" w14:textId="51E1097D" w:rsidR="002E1204" w:rsidRPr="002E1204" w:rsidRDefault="002E1204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7D06FF" w:rsidRPr="007D06FF">
        <w:rPr>
          <w:rFonts w:ascii="Verdana" w:hAnsi="Verdana"/>
          <w:color w:val="000000"/>
          <w:sz w:val="18"/>
          <w:szCs w:val="18"/>
          <w:shd w:val="clear" w:color="auto" w:fill="FFFFFF"/>
        </w:rPr>
        <w:t>[2022] JOL 54227 (GP)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F8"/>
    <w:multiLevelType w:val="hybridMultilevel"/>
    <w:tmpl w:val="EA64938E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477E20"/>
    <w:multiLevelType w:val="hybridMultilevel"/>
    <w:tmpl w:val="3BC692B2"/>
    <w:lvl w:ilvl="0" w:tplc="213684F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862377A"/>
    <w:multiLevelType w:val="hybridMultilevel"/>
    <w:tmpl w:val="226AB856"/>
    <w:lvl w:ilvl="0" w:tplc="23DE4DE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13" w:hanging="360"/>
      </w:pPr>
    </w:lvl>
    <w:lvl w:ilvl="2" w:tplc="1C09001B" w:tentative="1">
      <w:start w:val="1"/>
      <w:numFmt w:val="lowerRoman"/>
      <w:lvlText w:val="%3."/>
      <w:lvlJc w:val="right"/>
      <w:pPr>
        <w:ind w:left="3033" w:hanging="180"/>
      </w:pPr>
    </w:lvl>
    <w:lvl w:ilvl="3" w:tplc="1C09000F" w:tentative="1">
      <w:start w:val="1"/>
      <w:numFmt w:val="decimal"/>
      <w:lvlText w:val="%4."/>
      <w:lvlJc w:val="left"/>
      <w:pPr>
        <w:ind w:left="3753" w:hanging="360"/>
      </w:pPr>
    </w:lvl>
    <w:lvl w:ilvl="4" w:tplc="1C090019" w:tentative="1">
      <w:start w:val="1"/>
      <w:numFmt w:val="lowerLetter"/>
      <w:lvlText w:val="%5."/>
      <w:lvlJc w:val="left"/>
      <w:pPr>
        <w:ind w:left="4473" w:hanging="360"/>
      </w:pPr>
    </w:lvl>
    <w:lvl w:ilvl="5" w:tplc="1C09001B" w:tentative="1">
      <w:start w:val="1"/>
      <w:numFmt w:val="lowerRoman"/>
      <w:lvlText w:val="%6."/>
      <w:lvlJc w:val="right"/>
      <w:pPr>
        <w:ind w:left="5193" w:hanging="180"/>
      </w:pPr>
    </w:lvl>
    <w:lvl w:ilvl="6" w:tplc="1C09000F" w:tentative="1">
      <w:start w:val="1"/>
      <w:numFmt w:val="decimal"/>
      <w:lvlText w:val="%7."/>
      <w:lvlJc w:val="left"/>
      <w:pPr>
        <w:ind w:left="5913" w:hanging="360"/>
      </w:pPr>
    </w:lvl>
    <w:lvl w:ilvl="7" w:tplc="1C090019" w:tentative="1">
      <w:start w:val="1"/>
      <w:numFmt w:val="lowerLetter"/>
      <w:lvlText w:val="%8."/>
      <w:lvlJc w:val="left"/>
      <w:pPr>
        <w:ind w:left="6633" w:hanging="360"/>
      </w:pPr>
    </w:lvl>
    <w:lvl w:ilvl="8" w:tplc="1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9C2237"/>
    <w:multiLevelType w:val="hybridMultilevel"/>
    <w:tmpl w:val="AA66B1E4"/>
    <w:lvl w:ilvl="0" w:tplc="4B5EAC90">
      <w:start w:val="1"/>
      <w:numFmt w:val="lowerLetter"/>
      <w:lvlText w:val="(%1)"/>
      <w:lvlJc w:val="left"/>
      <w:pPr>
        <w:ind w:left="1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16601645"/>
    <w:multiLevelType w:val="hybridMultilevel"/>
    <w:tmpl w:val="160AFBCE"/>
    <w:lvl w:ilvl="0" w:tplc="C7942934">
      <w:start w:val="2"/>
      <w:numFmt w:val="lowerLetter"/>
      <w:lvlText w:val="(%1)"/>
      <w:lvlJc w:val="left"/>
      <w:pPr>
        <w:ind w:left="1495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AEA364C"/>
    <w:multiLevelType w:val="hybridMultilevel"/>
    <w:tmpl w:val="B5D2A8B8"/>
    <w:lvl w:ilvl="0" w:tplc="213684F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45473B"/>
    <w:multiLevelType w:val="multilevel"/>
    <w:tmpl w:val="191A5ECE"/>
    <w:lvl w:ilvl="0">
      <w:start w:val="1"/>
      <w:numFmt w:val="decimal"/>
      <w:pStyle w:val="JudgmentNumbered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8" w15:restartNumberingAfterBreak="0">
    <w:nsid w:val="25501463"/>
    <w:multiLevelType w:val="hybridMultilevel"/>
    <w:tmpl w:val="02827C8E"/>
    <w:lvl w:ilvl="0" w:tplc="2F64870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CD6F14"/>
    <w:multiLevelType w:val="hybridMultilevel"/>
    <w:tmpl w:val="7F54371A"/>
    <w:lvl w:ilvl="0" w:tplc="65CE2400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F87791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62690F"/>
    <w:multiLevelType w:val="hybridMultilevel"/>
    <w:tmpl w:val="198C623E"/>
    <w:lvl w:ilvl="0" w:tplc="8FB22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058B0"/>
    <w:multiLevelType w:val="multilevel"/>
    <w:tmpl w:val="CDC485AE"/>
    <w:lvl w:ilvl="0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CF77C8"/>
    <w:multiLevelType w:val="hybridMultilevel"/>
    <w:tmpl w:val="2462345A"/>
    <w:lvl w:ilvl="0" w:tplc="9DF2B2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060D9F"/>
    <w:multiLevelType w:val="hybridMultilevel"/>
    <w:tmpl w:val="CA50E7C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A77C7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B015C7"/>
    <w:multiLevelType w:val="hybridMultilevel"/>
    <w:tmpl w:val="033200D2"/>
    <w:lvl w:ilvl="0" w:tplc="60BA2A9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97C1A36"/>
    <w:multiLevelType w:val="hybridMultilevel"/>
    <w:tmpl w:val="2F24F616"/>
    <w:lvl w:ilvl="0" w:tplc="4FD054D0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697E51E1"/>
    <w:multiLevelType w:val="hybridMultilevel"/>
    <w:tmpl w:val="D916BF82"/>
    <w:lvl w:ilvl="0" w:tplc="213684F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B8F2BF0"/>
    <w:multiLevelType w:val="hybridMultilevel"/>
    <w:tmpl w:val="8812A77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C0C6876"/>
    <w:multiLevelType w:val="hybridMultilevel"/>
    <w:tmpl w:val="FD88D452"/>
    <w:lvl w:ilvl="0" w:tplc="0DD4DD80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E0325AD"/>
    <w:multiLevelType w:val="hybridMultilevel"/>
    <w:tmpl w:val="6BCE26AE"/>
    <w:lvl w:ilvl="0" w:tplc="CEFC1BDE">
      <w:start w:val="1"/>
      <w:numFmt w:val="lowerLetter"/>
      <w:lvlText w:val="(%1)"/>
      <w:lvlJc w:val="left"/>
      <w:pPr>
        <w:ind w:left="287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87" w:hanging="360"/>
      </w:pPr>
    </w:lvl>
    <w:lvl w:ilvl="2" w:tplc="1C09001B" w:tentative="1">
      <w:start w:val="1"/>
      <w:numFmt w:val="lowerRoman"/>
      <w:lvlText w:val="%3."/>
      <w:lvlJc w:val="right"/>
      <w:pPr>
        <w:ind w:left="3807" w:hanging="180"/>
      </w:pPr>
    </w:lvl>
    <w:lvl w:ilvl="3" w:tplc="1C09000F" w:tentative="1">
      <w:start w:val="1"/>
      <w:numFmt w:val="decimal"/>
      <w:lvlText w:val="%4."/>
      <w:lvlJc w:val="left"/>
      <w:pPr>
        <w:ind w:left="4527" w:hanging="360"/>
      </w:pPr>
    </w:lvl>
    <w:lvl w:ilvl="4" w:tplc="1C090019" w:tentative="1">
      <w:start w:val="1"/>
      <w:numFmt w:val="lowerLetter"/>
      <w:lvlText w:val="%5."/>
      <w:lvlJc w:val="left"/>
      <w:pPr>
        <w:ind w:left="5247" w:hanging="360"/>
      </w:pPr>
    </w:lvl>
    <w:lvl w:ilvl="5" w:tplc="1C09001B" w:tentative="1">
      <w:start w:val="1"/>
      <w:numFmt w:val="lowerRoman"/>
      <w:lvlText w:val="%6."/>
      <w:lvlJc w:val="right"/>
      <w:pPr>
        <w:ind w:left="5967" w:hanging="180"/>
      </w:pPr>
    </w:lvl>
    <w:lvl w:ilvl="6" w:tplc="1C09000F" w:tentative="1">
      <w:start w:val="1"/>
      <w:numFmt w:val="decimal"/>
      <w:lvlText w:val="%7."/>
      <w:lvlJc w:val="left"/>
      <w:pPr>
        <w:ind w:left="6687" w:hanging="360"/>
      </w:pPr>
    </w:lvl>
    <w:lvl w:ilvl="7" w:tplc="1C090019" w:tentative="1">
      <w:start w:val="1"/>
      <w:numFmt w:val="lowerLetter"/>
      <w:lvlText w:val="%8."/>
      <w:lvlJc w:val="left"/>
      <w:pPr>
        <w:ind w:left="7407" w:hanging="360"/>
      </w:pPr>
    </w:lvl>
    <w:lvl w:ilvl="8" w:tplc="1C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2" w15:restartNumberingAfterBreak="0">
    <w:nsid w:val="7916132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4C2EA5"/>
    <w:multiLevelType w:val="hybridMultilevel"/>
    <w:tmpl w:val="3774ADF4"/>
    <w:lvl w:ilvl="0" w:tplc="F334C90C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8"/>
  </w:num>
  <w:num w:numId="7">
    <w:abstractNumId w:val="16"/>
  </w:num>
  <w:num w:numId="8">
    <w:abstractNumId w:val="17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14"/>
  </w:num>
  <w:num w:numId="17">
    <w:abstractNumId w:val="19"/>
  </w:num>
  <w:num w:numId="18">
    <w:abstractNumId w:val="8"/>
  </w:num>
  <w:num w:numId="19">
    <w:abstractNumId w:val="20"/>
  </w:num>
  <w:num w:numId="20">
    <w:abstractNumId w:val="21"/>
  </w:num>
  <w:num w:numId="21">
    <w:abstractNumId w:val="23"/>
  </w:num>
  <w:num w:numId="22">
    <w:abstractNumId w:val="0"/>
  </w:num>
  <w:num w:numId="23">
    <w:abstractNumId w:val="1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wNzM3MrAwsTSyMDJU0lEKTi0uzszPAykwrAUAofZZZCwAAAA="/>
  </w:docVars>
  <w:rsids>
    <w:rsidRoot w:val="00A671BB"/>
    <w:rsid w:val="00000A69"/>
    <w:rsid w:val="00000B6A"/>
    <w:rsid w:val="000014C7"/>
    <w:rsid w:val="00001984"/>
    <w:rsid w:val="00003539"/>
    <w:rsid w:val="00005FB1"/>
    <w:rsid w:val="0000703B"/>
    <w:rsid w:val="0000712C"/>
    <w:rsid w:val="0001002E"/>
    <w:rsid w:val="00010381"/>
    <w:rsid w:val="00010FA4"/>
    <w:rsid w:val="000119FD"/>
    <w:rsid w:val="00011BB0"/>
    <w:rsid w:val="00014466"/>
    <w:rsid w:val="000145DF"/>
    <w:rsid w:val="00014920"/>
    <w:rsid w:val="000170D0"/>
    <w:rsid w:val="000174B2"/>
    <w:rsid w:val="00021CA6"/>
    <w:rsid w:val="00022F64"/>
    <w:rsid w:val="00023ABE"/>
    <w:rsid w:val="00023B94"/>
    <w:rsid w:val="00025337"/>
    <w:rsid w:val="000263EB"/>
    <w:rsid w:val="0002650C"/>
    <w:rsid w:val="00027370"/>
    <w:rsid w:val="00030122"/>
    <w:rsid w:val="0003082A"/>
    <w:rsid w:val="00031AE7"/>
    <w:rsid w:val="00031D50"/>
    <w:rsid w:val="00032888"/>
    <w:rsid w:val="00032F92"/>
    <w:rsid w:val="00033C9C"/>
    <w:rsid w:val="00037519"/>
    <w:rsid w:val="0004013B"/>
    <w:rsid w:val="00040D10"/>
    <w:rsid w:val="00041062"/>
    <w:rsid w:val="0004147C"/>
    <w:rsid w:val="000419E9"/>
    <w:rsid w:val="00041CAC"/>
    <w:rsid w:val="00041E9D"/>
    <w:rsid w:val="00041FC7"/>
    <w:rsid w:val="00042584"/>
    <w:rsid w:val="000436B7"/>
    <w:rsid w:val="00043CD0"/>
    <w:rsid w:val="00044122"/>
    <w:rsid w:val="00045102"/>
    <w:rsid w:val="00046021"/>
    <w:rsid w:val="000468D8"/>
    <w:rsid w:val="00050B0F"/>
    <w:rsid w:val="00053EC4"/>
    <w:rsid w:val="0005455D"/>
    <w:rsid w:val="000551EA"/>
    <w:rsid w:val="000558D3"/>
    <w:rsid w:val="00056789"/>
    <w:rsid w:val="00056C1E"/>
    <w:rsid w:val="00057659"/>
    <w:rsid w:val="00057CCA"/>
    <w:rsid w:val="00061B2A"/>
    <w:rsid w:val="00061DFF"/>
    <w:rsid w:val="00062482"/>
    <w:rsid w:val="00062ABB"/>
    <w:rsid w:val="00062EC4"/>
    <w:rsid w:val="00063233"/>
    <w:rsid w:val="000649DF"/>
    <w:rsid w:val="00066348"/>
    <w:rsid w:val="00070D08"/>
    <w:rsid w:val="000724B6"/>
    <w:rsid w:val="00072A53"/>
    <w:rsid w:val="00073B2B"/>
    <w:rsid w:val="00073D81"/>
    <w:rsid w:val="0007543A"/>
    <w:rsid w:val="00076208"/>
    <w:rsid w:val="000762FC"/>
    <w:rsid w:val="00080783"/>
    <w:rsid w:val="00080B4F"/>
    <w:rsid w:val="000812A5"/>
    <w:rsid w:val="000824EE"/>
    <w:rsid w:val="00082C80"/>
    <w:rsid w:val="00084000"/>
    <w:rsid w:val="00085EF4"/>
    <w:rsid w:val="00085FFD"/>
    <w:rsid w:val="000877CC"/>
    <w:rsid w:val="000879CF"/>
    <w:rsid w:val="000903C9"/>
    <w:rsid w:val="00090B8C"/>
    <w:rsid w:val="00092271"/>
    <w:rsid w:val="00093331"/>
    <w:rsid w:val="00095057"/>
    <w:rsid w:val="000956CC"/>
    <w:rsid w:val="000962DF"/>
    <w:rsid w:val="00096FD9"/>
    <w:rsid w:val="000A0DD8"/>
    <w:rsid w:val="000A1489"/>
    <w:rsid w:val="000A3E76"/>
    <w:rsid w:val="000A3F25"/>
    <w:rsid w:val="000A4EBA"/>
    <w:rsid w:val="000A7C5D"/>
    <w:rsid w:val="000B08C4"/>
    <w:rsid w:val="000B12C1"/>
    <w:rsid w:val="000B1394"/>
    <w:rsid w:val="000B140F"/>
    <w:rsid w:val="000B3169"/>
    <w:rsid w:val="000B37B8"/>
    <w:rsid w:val="000B4A7D"/>
    <w:rsid w:val="000B53C4"/>
    <w:rsid w:val="000B585F"/>
    <w:rsid w:val="000B5ADD"/>
    <w:rsid w:val="000B5B51"/>
    <w:rsid w:val="000B6413"/>
    <w:rsid w:val="000B75F9"/>
    <w:rsid w:val="000C0CCB"/>
    <w:rsid w:val="000C5F3E"/>
    <w:rsid w:val="000C6EAA"/>
    <w:rsid w:val="000C70D8"/>
    <w:rsid w:val="000D043C"/>
    <w:rsid w:val="000D0AD1"/>
    <w:rsid w:val="000D1928"/>
    <w:rsid w:val="000D3B9B"/>
    <w:rsid w:val="000D4524"/>
    <w:rsid w:val="000D49C4"/>
    <w:rsid w:val="000D4C3B"/>
    <w:rsid w:val="000D5B56"/>
    <w:rsid w:val="000D5B61"/>
    <w:rsid w:val="000D6E5E"/>
    <w:rsid w:val="000D6FF7"/>
    <w:rsid w:val="000D75DF"/>
    <w:rsid w:val="000D7901"/>
    <w:rsid w:val="000E14BB"/>
    <w:rsid w:val="000E28CD"/>
    <w:rsid w:val="000E31E2"/>
    <w:rsid w:val="000E3A53"/>
    <w:rsid w:val="000E3D96"/>
    <w:rsid w:val="000E4E29"/>
    <w:rsid w:val="000E561E"/>
    <w:rsid w:val="000E5A5D"/>
    <w:rsid w:val="000E6167"/>
    <w:rsid w:val="000E6321"/>
    <w:rsid w:val="000E6ED6"/>
    <w:rsid w:val="000F1420"/>
    <w:rsid w:val="000F2A38"/>
    <w:rsid w:val="000F546E"/>
    <w:rsid w:val="0010016D"/>
    <w:rsid w:val="001013DF"/>
    <w:rsid w:val="001018C5"/>
    <w:rsid w:val="00102509"/>
    <w:rsid w:val="00102A7B"/>
    <w:rsid w:val="00103361"/>
    <w:rsid w:val="001039F2"/>
    <w:rsid w:val="001044E2"/>
    <w:rsid w:val="001107DE"/>
    <w:rsid w:val="00111181"/>
    <w:rsid w:val="00111C63"/>
    <w:rsid w:val="00111E93"/>
    <w:rsid w:val="00112972"/>
    <w:rsid w:val="00112C9C"/>
    <w:rsid w:val="0011398A"/>
    <w:rsid w:val="00114C98"/>
    <w:rsid w:val="00115502"/>
    <w:rsid w:val="00121BC9"/>
    <w:rsid w:val="00122E44"/>
    <w:rsid w:val="0012592E"/>
    <w:rsid w:val="00125DEE"/>
    <w:rsid w:val="0012628F"/>
    <w:rsid w:val="001265FA"/>
    <w:rsid w:val="00127E2B"/>
    <w:rsid w:val="00127E87"/>
    <w:rsid w:val="001302B6"/>
    <w:rsid w:val="00130DC9"/>
    <w:rsid w:val="001312F2"/>
    <w:rsid w:val="001319A7"/>
    <w:rsid w:val="00131AD3"/>
    <w:rsid w:val="0013203A"/>
    <w:rsid w:val="00132BDF"/>
    <w:rsid w:val="00134324"/>
    <w:rsid w:val="00134D05"/>
    <w:rsid w:val="0013552C"/>
    <w:rsid w:val="0013554F"/>
    <w:rsid w:val="00140843"/>
    <w:rsid w:val="00140AB0"/>
    <w:rsid w:val="00141E64"/>
    <w:rsid w:val="00142114"/>
    <w:rsid w:val="00142559"/>
    <w:rsid w:val="00142573"/>
    <w:rsid w:val="00142B14"/>
    <w:rsid w:val="001438B7"/>
    <w:rsid w:val="001438BA"/>
    <w:rsid w:val="00144095"/>
    <w:rsid w:val="00144AA0"/>
    <w:rsid w:val="001451A8"/>
    <w:rsid w:val="001467BE"/>
    <w:rsid w:val="00146CA3"/>
    <w:rsid w:val="00150593"/>
    <w:rsid w:val="001527A9"/>
    <w:rsid w:val="001529D3"/>
    <w:rsid w:val="00152A6E"/>
    <w:rsid w:val="001539CC"/>
    <w:rsid w:val="001550E7"/>
    <w:rsid w:val="001552ED"/>
    <w:rsid w:val="001557F0"/>
    <w:rsid w:val="00156814"/>
    <w:rsid w:val="00160CAB"/>
    <w:rsid w:val="001623F8"/>
    <w:rsid w:val="00162E3D"/>
    <w:rsid w:val="00163FF6"/>
    <w:rsid w:val="001642F5"/>
    <w:rsid w:val="00164325"/>
    <w:rsid w:val="00164E02"/>
    <w:rsid w:val="00164F6F"/>
    <w:rsid w:val="00165AF6"/>
    <w:rsid w:val="001661D2"/>
    <w:rsid w:val="0016682C"/>
    <w:rsid w:val="00170324"/>
    <w:rsid w:val="001706F7"/>
    <w:rsid w:val="00171FD2"/>
    <w:rsid w:val="0017294C"/>
    <w:rsid w:val="001732F3"/>
    <w:rsid w:val="00173A17"/>
    <w:rsid w:val="0017525B"/>
    <w:rsid w:val="001762AF"/>
    <w:rsid w:val="00176E81"/>
    <w:rsid w:val="001777CF"/>
    <w:rsid w:val="00181267"/>
    <w:rsid w:val="0018183E"/>
    <w:rsid w:val="0018324B"/>
    <w:rsid w:val="001833F0"/>
    <w:rsid w:val="00183FEB"/>
    <w:rsid w:val="00184F7A"/>
    <w:rsid w:val="001861CA"/>
    <w:rsid w:val="00186FB4"/>
    <w:rsid w:val="001879FC"/>
    <w:rsid w:val="001915FB"/>
    <w:rsid w:val="00191B3E"/>
    <w:rsid w:val="00192D65"/>
    <w:rsid w:val="0019333F"/>
    <w:rsid w:val="00193EBB"/>
    <w:rsid w:val="00194173"/>
    <w:rsid w:val="001947E9"/>
    <w:rsid w:val="00195DC0"/>
    <w:rsid w:val="001968B7"/>
    <w:rsid w:val="001972F3"/>
    <w:rsid w:val="001A08DE"/>
    <w:rsid w:val="001A0A45"/>
    <w:rsid w:val="001A0BE6"/>
    <w:rsid w:val="001A361E"/>
    <w:rsid w:val="001A37DD"/>
    <w:rsid w:val="001A4629"/>
    <w:rsid w:val="001A4A7D"/>
    <w:rsid w:val="001A4F3D"/>
    <w:rsid w:val="001A5497"/>
    <w:rsid w:val="001A56D1"/>
    <w:rsid w:val="001A5D55"/>
    <w:rsid w:val="001B05CF"/>
    <w:rsid w:val="001B2358"/>
    <w:rsid w:val="001B2515"/>
    <w:rsid w:val="001B3E9C"/>
    <w:rsid w:val="001B4809"/>
    <w:rsid w:val="001B4891"/>
    <w:rsid w:val="001B5D30"/>
    <w:rsid w:val="001B78CF"/>
    <w:rsid w:val="001C0616"/>
    <w:rsid w:val="001C3576"/>
    <w:rsid w:val="001C3BDD"/>
    <w:rsid w:val="001C5042"/>
    <w:rsid w:val="001C54DD"/>
    <w:rsid w:val="001C681A"/>
    <w:rsid w:val="001C6D55"/>
    <w:rsid w:val="001C7C68"/>
    <w:rsid w:val="001D03CA"/>
    <w:rsid w:val="001D12EF"/>
    <w:rsid w:val="001D14E9"/>
    <w:rsid w:val="001D1AC5"/>
    <w:rsid w:val="001D1CAB"/>
    <w:rsid w:val="001D1CC3"/>
    <w:rsid w:val="001D3257"/>
    <w:rsid w:val="001D415E"/>
    <w:rsid w:val="001D44E4"/>
    <w:rsid w:val="001D4965"/>
    <w:rsid w:val="001D609B"/>
    <w:rsid w:val="001D63C3"/>
    <w:rsid w:val="001D664C"/>
    <w:rsid w:val="001D780C"/>
    <w:rsid w:val="001E0B50"/>
    <w:rsid w:val="001E0F5B"/>
    <w:rsid w:val="001E4D97"/>
    <w:rsid w:val="001E5E63"/>
    <w:rsid w:val="001E6321"/>
    <w:rsid w:val="001E6F64"/>
    <w:rsid w:val="001F1E42"/>
    <w:rsid w:val="001F27D5"/>
    <w:rsid w:val="001F485A"/>
    <w:rsid w:val="001F561A"/>
    <w:rsid w:val="001F6FE0"/>
    <w:rsid w:val="001F78EB"/>
    <w:rsid w:val="0020166F"/>
    <w:rsid w:val="00203181"/>
    <w:rsid w:val="00203202"/>
    <w:rsid w:val="00204244"/>
    <w:rsid w:val="002046AE"/>
    <w:rsid w:val="002048D3"/>
    <w:rsid w:val="00206790"/>
    <w:rsid w:val="0020746C"/>
    <w:rsid w:val="00207632"/>
    <w:rsid w:val="00207AF9"/>
    <w:rsid w:val="002106FB"/>
    <w:rsid w:val="0021172E"/>
    <w:rsid w:val="00211C28"/>
    <w:rsid w:val="002139FF"/>
    <w:rsid w:val="00214055"/>
    <w:rsid w:val="002149C5"/>
    <w:rsid w:val="0021593A"/>
    <w:rsid w:val="00215B0C"/>
    <w:rsid w:val="00215D72"/>
    <w:rsid w:val="00216260"/>
    <w:rsid w:val="002165F6"/>
    <w:rsid w:val="00217923"/>
    <w:rsid w:val="00217A4D"/>
    <w:rsid w:val="00220394"/>
    <w:rsid w:val="002222E9"/>
    <w:rsid w:val="002230AA"/>
    <w:rsid w:val="00223885"/>
    <w:rsid w:val="00225993"/>
    <w:rsid w:val="00227A05"/>
    <w:rsid w:val="00227C96"/>
    <w:rsid w:val="00230974"/>
    <w:rsid w:val="00230BD7"/>
    <w:rsid w:val="002318B6"/>
    <w:rsid w:val="00231DCE"/>
    <w:rsid w:val="0023295C"/>
    <w:rsid w:val="0023589D"/>
    <w:rsid w:val="00235F5F"/>
    <w:rsid w:val="002372CB"/>
    <w:rsid w:val="00240AA0"/>
    <w:rsid w:val="00242363"/>
    <w:rsid w:val="00243D40"/>
    <w:rsid w:val="00243F0C"/>
    <w:rsid w:val="00244246"/>
    <w:rsid w:val="0024601F"/>
    <w:rsid w:val="002464B3"/>
    <w:rsid w:val="00247599"/>
    <w:rsid w:val="00247A37"/>
    <w:rsid w:val="00247D67"/>
    <w:rsid w:val="00250410"/>
    <w:rsid w:val="002504F2"/>
    <w:rsid w:val="00250D83"/>
    <w:rsid w:val="00251249"/>
    <w:rsid w:val="0025329B"/>
    <w:rsid w:val="002534D0"/>
    <w:rsid w:val="002539B7"/>
    <w:rsid w:val="0025586B"/>
    <w:rsid w:val="002602DD"/>
    <w:rsid w:val="00261F9A"/>
    <w:rsid w:val="002625BF"/>
    <w:rsid w:val="00263A7D"/>
    <w:rsid w:val="0026415A"/>
    <w:rsid w:val="002654CC"/>
    <w:rsid w:val="002677DC"/>
    <w:rsid w:val="00270117"/>
    <w:rsid w:val="002703CE"/>
    <w:rsid w:val="00273716"/>
    <w:rsid w:val="00273BAD"/>
    <w:rsid w:val="00273D5A"/>
    <w:rsid w:val="00273F3E"/>
    <w:rsid w:val="00275B72"/>
    <w:rsid w:val="00275C91"/>
    <w:rsid w:val="0027625A"/>
    <w:rsid w:val="0027659D"/>
    <w:rsid w:val="00276848"/>
    <w:rsid w:val="0027692B"/>
    <w:rsid w:val="00280214"/>
    <w:rsid w:val="0028042D"/>
    <w:rsid w:val="00280E50"/>
    <w:rsid w:val="00280EF0"/>
    <w:rsid w:val="00281A30"/>
    <w:rsid w:val="00281C6C"/>
    <w:rsid w:val="002824F5"/>
    <w:rsid w:val="002833C6"/>
    <w:rsid w:val="00283DDB"/>
    <w:rsid w:val="00283F39"/>
    <w:rsid w:val="00284D00"/>
    <w:rsid w:val="0028568F"/>
    <w:rsid w:val="0028622F"/>
    <w:rsid w:val="0028725B"/>
    <w:rsid w:val="002873D3"/>
    <w:rsid w:val="002876C7"/>
    <w:rsid w:val="0028793B"/>
    <w:rsid w:val="00287A0B"/>
    <w:rsid w:val="00287DF5"/>
    <w:rsid w:val="002903B8"/>
    <w:rsid w:val="00291484"/>
    <w:rsid w:val="002927D3"/>
    <w:rsid w:val="00293B38"/>
    <w:rsid w:val="00295690"/>
    <w:rsid w:val="00295B87"/>
    <w:rsid w:val="00296C20"/>
    <w:rsid w:val="00296F81"/>
    <w:rsid w:val="002A0BB1"/>
    <w:rsid w:val="002A1BFD"/>
    <w:rsid w:val="002A1FCC"/>
    <w:rsid w:val="002A276A"/>
    <w:rsid w:val="002A3A5F"/>
    <w:rsid w:val="002A6DFD"/>
    <w:rsid w:val="002A7203"/>
    <w:rsid w:val="002A7204"/>
    <w:rsid w:val="002B0F14"/>
    <w:rsid w:val="002B17F6"/>
    <w:rsid w:val="002B2A9F"/>
    <w:rsid w:val="002B2B7E"/>
    <w:rsid w:val="002B34F6"/>
    <w:rsid w:val="002B3C46"/>
    <w:rsid w:val="002B41C4"/>
    <w:rsid w:val="002B448C"/>
    <w:rsid w:val="002B4EF2"/>
    <w:rsid w:val="002B5183"/>
    <w:rsid w:val="002B5F5C"/>
    <w:rsid w:val="002B6029"/>
    <w:rsid w:val="002B6CD7"/>
    <w:rsid w:val="002B7302"/>
    <w:rsid w:val="002C0ABC"/>
    <w:rsid w:val="002C0B89"/>
    <w:rsid w:val="002C2644"/>
    <w:rsid w:val="002C27C2"/>
    <w:rsid w:val="002C34C4"/>
    <w:rsid w:val="002C4551"/>
    <w:rsid w:val="002C4FA8"/>
    <w:rsid w:val="002C6038"/>
    <w:rsid w:val="002C642F"/>
    <w:rsid w:val="002D0ACB"/>
    <w:rsid w:val="002D1765"/>
    <w:rsid w:val="002D1ACF"/>
    <w:rsid w:val="002D1BC8"/>
    <w:rsid w:val="002D2B76"/>
    <w:rsid w:val="002D4191"/>
    <w:rsid w:val="002D5B39"/>
    <w:rsid w:val="002D7429"/>
    <w:rsid w:val="002D798E"/>
    <w:rsid w:val="002E11E7"/>
    <w:rsid w:val="002E1204"/>
    <w:rsid w:val="002E463C"/>
    <w:rsid w:val="002E5240"/>
    <w:rsid w:val="002E58E2"/>
    <w:rsid w:val="002E5EDB"/>
    <w:rsid w:val="002E7BBB"/>
    <w:rsid w:val="002F0159"/>
    <w:rsid w:val="002F0583"/>
    <w:rsid w:val="002F10BE"/>
    <w:rsid w:val="002F1DAD"/>
    <w:rsid w:val="002F257E"/>
    <w:rsid w:val="002F4746"/>
    <w:rsid w:val="002F4813"/>
    <w:rsid w:val="002F4935"/>
    <w:rsid w:val="002F5C7B"/>
    <w:rsid w:val="002F68F7"/>
    <w:rsid w:val="002F741E"/>
    <w:rsid w:val="003001A2"/>
    <w:rsid w:val="00303EF1"/>
    <w:rsid w:val="003043D1"/>
    <w:rsid w:val="00304C8E"/>
    <w:rsid w:val="0030581B"/>
    <w:rsid w:val="00305904"/>
    <w:rsid w:val="003063A0"/>
    <w:rsid w:val="0031153E"/>
    <w:rsid w:val="00312079"/>
    <w:rsid w:val="0031253B"/>
    <w:rsid w:val="00312ED9"/>
    <w:rsid w:val="00313CE9"/>
    <w:rsid w:val="003144FC"/>
    <w:rsid w:val="00314C15"/>
    <w:rsid w:val="00317D1C"/>
    <w:rsid w:val="00320030"/>
    <w:rsid w:val="003201B7"/>
    <w:rsid w:val="00320F12"/>
    <w:rsid w:val="003224A3"/>
    <w:rsid w:val="0032368A"/>
    <w:rsid w:val="00323A5B"/>
    <w:rsid w:val="00323DAA"/>
    <w:rsid w:val="0032473E"/>
    <w:rsid w:val="00326FD8"/>
    <w:rsid w:val="00330856"/>
    <w:rsid w:val="003309B5"/>
    <w:rsid w:val="00330CC1"/>
    <w:rsid w:val="00331755"/>
    <w:rsid w:val="00332349"/>
    <w:rsid w:val="00334062"/>
    <w:rsid w:val="003364F3"/>
    <w:rsid w:val="00336F4F"/>
    <w:rsid w:val="00337365"/>
    <w:rsid w:val="003374AE"/>
    <w:rsid w:val="003379C4"/>
    <w:rsid w:val="00341117"/>
    <w:rsid w:val="0034193C"/>
    <w:rsid w:val="00342379"/>
    <w:rsid w:val="00342B11"/>
    <w:rsid w:val="00342E4E"/>
    <w:rsid w:val="00344625"/>
    <w:rsid w:val="00344F3B"/>
    <w:rsid w:val="0034585F"/>
    <w:rsid w:val="003463F0"/>
    <w:rsid w:val="00353AF7"/>
    <w:rsid w:val="003552C8"/>
    <w:rsid w:val="00355E18"/>
    <w:rsid w:val="00357B7C"/>
    <w:rsid w:val="003601F6"/>
    <w:rsid w:val="00361A68"/>
    <w:rsid w:val="00362845"/>
    <w:rsid w:val="00362911"/>
    <w:rsid w:val="0036307D"/>
    <w:rsid w:val="00363295"/>
    <w:rsid w:val="003634FF"/>
    <w:rsid w:val="00364294"/>
    <w:rsid w:val="003642F9"/>
    <w:rsid w:val="00364F92"/>
    <w:rsid w:val="0036535F"/>
    <w:rsid w:val="003660B3"/>
    <w:rsid w:val="003665CF"/>
    <w:rsid w:val="003673B7"/>
    <w:rsid w:val="00367BE2"/>
    <w:rsid w:val="00367DCB"/>
    <w:rsid w:val="00370805"/>
    <w:rsid w:val="00370B9F"/>
    <w:rsid w:val="00371FE0"/>
    <w:rsid w:val="003725FF"/>
    <w:rsid w:val="00373F04"/>
    <w:rsid w:val="0037509D"/>
    <w:rsid w:val="00375663"/>
    <w:rsid w:val="0037675A"/>
    <w:rsid w:val="003807B7"/>
    <w:rsid w:val="0038279E"/>
    <w:rsid w:val="00382FE6"/>
    <w:rsid w:val="003843DF"/>
    <w:rsid w:val="003845BA"/>
    <w:rsid w:val="0038487F"/>
    <w:rsid w:val="0038557F"/>
    <w:rsid w:val="0038586F"/>
    <w:rsid w:val="003907E6"/>
    <w:rsid w:val="0039494A"/>
    <w:rsid w:val="00395555"/>
    <w:rsid w:val="00397487"/>
    <w:rsid w:val="00397ED4"/>
    <w:rsid w:val="003A0975"/>
    <w:rsid w:val="003A1490"/>
    <w:rsid w:val="003A1A3A"/>
    <w:rsid w:val="003A20AC"/>
    <w:rsid w:val="003A3754"/>
    <w:rsid w:val="003A37BF"/>
    <w:rsid w:val="003A4E49"/>
    <w:rsid w:val="003A4EA7"/>
    <w:rsid w:val="003A6A62"/>
    <w:rsid w:val="003A6ABD"/>
    <w:rsid w:val="003A6CE1"/>
    <w:rsid w:val="003A7706"/>
    <w:rsid w:val="003B0BEA"/>
    <w:rsid w:val="003B2B78"/>
    <w:rsid w:val="003B32E7"/>
    <w:rsid w:val="003B44A4"/>
    <w:rsid w:val="003B5071"/>
    <w:rsid w:val="003B6D91"/>
    <w:rsid w:val="003B71B4"/>
    <w:rsid w:val="003B71CE"/>
    <w:rsid w:val="003B76C4"/>
    <w:rsid w:val="003B7A0C"/>
    <w:rsid w:val="003B7CA3"/>
    <w:rsid w:val="003B7FAA"/>
    <w:rsid w:val="003C0380"/>
    <w:rsid w:val="003C0490"/>
    <w:rsid w:val="003C0D91"/>
    <w:rsid w:val="003C24F4"/>
    <w:rsid w:val="003C2FC7"/>
    <w:rsid w:val="003C31F0"/>
    <w:rsid w:val="003C365B"/>
    <w:rsid w:val="003C3821"/>
    <w:rsid w:val="003C38BD"/>
    <w:rsid w:val="003C3A33"/>
    <w:rsid w:val="003C3C9A"/>
    <w:rsid w:val="003C41F4"/>
    <w:rsid w:val="003C564C"/>
    <w:rsid w:val="003C628C"/>
    <w:rsid w:val="003D0322"/>
    <w:rsid w:val="003D0688"/>
    <w:rsid w:val="003D09C0"/>
    <w:rsid w:val="003D0B9D"/>
    <w:rsid w:val="003D19D8"/>
    <w:rsid w:val="003D2334"/>
    <w:rsid w:val="003D3A7F"/>
    <w:rsid w:val="003D47E2"/>
    <w:rsid w:val="003D5D1F"/>
    <w:rsid w:val="003D5E74"/>
    <w:rsid w:val="003D7F93"/>
    <w:rsid w:val="003E03AF"/>
    <w:rsid w:val="003E0A7B"/>
    <w:rsid w:val="003E17CE"/>
    <w:rsid w:val="003E18C5"/>
    <w:rsid w:val="003E1EE2"/>
    <w:rsid w:val="003E2257"/>
    <w:rsid w:val="003E248C"/>
    <w:rsid w:val="003E3053"/>
    <w:rsid w:val="003E367B"/>
    <w:rsid w:val="003E393B"/>
    <w:rsid w:val="003E3DD9"/>
    <w:rsid w:val="003E3DF4"/>
    <w:rsid w:val="003E3F70"/>
    <w:rsid w:val="003E43B5"/>
    <w:rsid w:val="003E46BF"/>
    <w:rsid w:val="003E74AB"/>
    <w:rsid w:val="003F11DE"/>
    <w:rsid w:val="003F1AFF"/>
    <w:rsid w:val="003F24F9"/>
    <w:rsid w:val="003F5100"/>
    <w:rsid w:val="003F6289"/>
    <w:rsid w:val="003F66CD"/>
    <w:rsid w:val="003F7DE4"/>
    <w:rsid w:val="00401549"/>
    <w:rsid w:val="004015E3"/>
    <w:rsid w:val="00401858"/>
    <w:rsid w:val="004020AC"/>
    <w:rsid w:val="00403701"/>
    <w:rsid w:val="0040407B"/>
    <w:rsid w:val="004042E5"/>
    <w:rsid w:val="00405230"/>
    <w:rsid w:val="00405436"/>
    <w:rsid w:val="004058C6"/>
    <w:rsid w:val="00405FA3"/>
    <w:rsid w:val="0040666E"/>
    <w:rsid w:val="00407C11"/>
    <w:rsid w:val="0041184C"/>
    <w:rsid w:val="00413EBA"/>
    <w:rsid w:val="0041428E"/>
    <w:rsid w:val="0041483D"/>
    <w:rsid w:val="004154E3"/>
    <w:rsid w:val="0041556E"/>
    <w:rsid w:val="00417AC5"/>
    <w:rsid w:val="00420A45"/>
    <w:rsid w:val="00422DC0"/>
    <w:rsid w:val="00422DCC"/>
    <w:rsid w:val="00423925"/>
    <w:rsid w:val="00424803"/>
    <w:rsid w:val="00424991"/>
    <w:rsid w:val="00424BC5"/>
    <w:rsid w:val="0042667D"/>
    <w:rsid w:val="0042735D"/>
    <w:rsid w:val="00430570"/>
    <w:rsid w:val="00431325"/>
    <w:rsid w:val="004339D5"/>
    <w:rsid w:val="00434A79"/>
    <w:rsid w:val="0043554D"/>
    <w:rsid w:val="0043570B"/>
    <w:rsid w:val="00435DBB"/>
    <w:rsid w:val="0043661F"/>
    <w:rsid w:val="00436B72"/>
    <w:rsid w:val="00436D84"/>
    <w:rsid w:val="004400E1"/>
    <w:rsid w:val="00440445"/>
    <w:rsid w:val="004404FF"/>
    <w:rsid w:val="00442CCC"/>
    <w:rsid w:val="00442E72"/>
    <w:rsid w:val="00442ECA"/>
    <w:rsid w:val="0044427C"/>
    <w:rsid w:val="00444F17"/>
    <w:rsid w:val="004456A2"/>
    <w:rsid w:val="004460AC"/>
    <w:rsid w:val="00450AB9"/>
    <w:rsid w:val="00450F27"/>
    <w:rsid w:val="0045119F"/>
    <w:rsid w:val="00452109"/>
    <w:rsid w:val="00452C12"/>
    <w:rsid w:val="0045378E"/>
    <w:rsid w:val="00455426"/>
    <w:rsid w:val="00455E18"/>
    <w:rsid w:val="00456167"/>
    <w:rsid w:val="0045647A"/>
    <w:rsid w:val="00456956"/>
    <w:rsid w:val="00456F2B"/>
    <w:rsid w:val="00460022"/>
    <w:rsid w:val="00461171"/>
    <w:rsid w:val="0046398D"/>
    <w:rsid w:val="00464057"/>
    <w:rsid w:val="004640D4"/>
    <w:rsid w:val="0046421F"/>
    <w:rsid w:val="00465363"/>
    <w:rsid w:val="004657C0"/>
    <w:rsid w:val="00467EDF"/>
    <w:rsid w:val="004719CA"/>
    <w:rsid w:val="00472726"/>
    <w:rsid w:val="004731CB"/>
    <w:rsid w:val="00474706"/>
    <w:rsid w:val="004749B0"/>
    <w:rsid w:val="00474A02"/>
    <w:rsid w:val="004750E4"/>
    <w:rsid w:val="00475524"/>
    <w:rsid w:val="00475F22"/>
    <w:rsid w:val="004764A6"/>
    <w:rsid w:val="0047655D"/>
    <w:rsid w:val="004767AA"/>
    <w:rsid w:val="004769EE"/>
    <w:rsid w:val="00476C98"/>
    <w:rsid w:val="004778FF"/>
    <w:rsid w:val="00477928"/>
    <w:rsid w:val="00480A59"/>
    <w:rsid w:val="00481A51"/>
    <w:rsid w:val="00482CE1"/>
    <w:rsid w:val="00483810"/>
    <w:rsid w:val="00486A73"/>
    <w:rsid w:val="0048739E"/>
    <w:rsid w:val="00490984"/>
    <w:rsid w:val="00490DC7"/>
    <w:rsid w:val="00491FC9"/>
    <w:rsid w:val="004930B4"/>
    <w:rsid w:val="00494F77"/>
    <w:rsid w:val="004951D1"/>
    <w:rsid w:val="004961F7"/>
    <w:rsid w:val="00497377"/>
    <w:rsid w:val="004A0170"/>
    <w:rsid w:val="004A2AE4"/>
    <w:rsid w:val="004A312A"/>
    <w:rsid w:val="004A33F2"/>
    <w:rsid w:val="004A5EED"/>
    <w:rsid w:val="004A60D1"/>
    <w:rsid w:val="004A6EDC"/>
    <w:rsid w:val="004A6FF5"/>
    <w:rsid w:val="004B230C"/>
    <w:rsid w:val="004B3907"/>
    <w:rsid w:val="004B3CCD"/>
    <w:rsid w:val="004B427D"/>
    <w:rsid w:val="004B467F"/>
    <w:rsid w:val="004B7F36"/>
    <w:rsid w:val="004C0074"/>
    <w:rsid w:val="004C03C6"/>
    <w:rsid w:val="004C171A"/>
    <w:rsid w:val="004C3457"/>
    <w:rsid w:val="004C34BF"/>
    <w:rsid w:val="004C50C0"/>
    <w:rsid w:val="004C5344"/>
    <w:rsid w:val="004C5BA0"/>
    <w:rsid w:val="004C6094"/>
    <w:rsid w:val="004C61EC"/>
    <w:rsid w:val="004C6350"/>
    <w:rsid w:val="004C673C"/>
    <w:rsid w:val="004D11A3"/>
    <w:rsid w:val="004D1239"/>
    <w:rsid w:val="004D126B"/>
    <w:rsid w:val="004D190B"/>
    <w:rsid w:val="004D2D56"/>
    <w:rsid w:val="004D2EFE"/>
    <w:rsid w:val="004D374C"/>
    <w:rsid w:val="004D406A"/>
    <w:rsid w:val="004D4157"/>
    <w:rsid w:val="004D493B"/>
    <w:rsid w:val="004D52C7"/>
    <w:rsid w:val="004D5B70"/>
    <w:rsid w:val="004E06FE"/>
    <w:rsid w:val="004E0EBE"/>
    <w:rsid w:val="004E11B0"/>
    <w:rsid w:val="004E2031"/>
    <w:rsid w:val="004E211E"/>
    <w:rsid w:val="004E5E24"/>
    <w:rsid w:val="004E6C9A"/>
    <w:rsid w:val="004E7E75"/>
    <w:rsid w:val="004F01E4"/>
    <w:rsid w:val="004F03BB"/>
    <w:rsid w:val="004F136B"/>
    <w:rsid w:val="004F378D"/>
    <w:rsid w:val="004F4C71"/>
    <w:rsid w:val="00500164"/>
    <w:rsid w:val="00500D27"/>
    <w:rsid w:val="005024D8"/>
    <w:rsid w:val="005039A2"/>
    <w:rsid w:val="0050409B"/>
    <w:rsid w:val="00505340"/>
    <w:rsid w:val="00505AFB"/>
    <w:rsid w:val="00506C8E"/>
    <w:rsid w:val="00506ECD"/>
    <w:rsid w:val="00507572"/>
    <w:rsid w:val="00510490"/>
    <w:rsid w:val="0051138E"/>
    <w:rsid w:val="00512360"/>
    <w:rsid w:val="005125C0"/>
    <w:rsid w:val="005130C0"/>
    <w:rsid w:val="005131E4"/>
    <w:rsid w:val="0051381B"/>
    <w:rsid w:val="005150B2"/>
    <w:rsid w:val="005154A3"/>
    <w:rsid w:val="00515A91"/>
    <w:rsid w:val="0051635A"/>
    <w:rsid w:val="005167EE"/>
    <w:rsid w:val="00522918"/>
    <w:rsid w:val="00522FAE"/>
    <w:rsid w:val="005230F8"/>
    <w:rsid w:val="00523403"/>
    <w:rsid w:val="00523FFC"/>
    <w:rsid w:val="00524B8C"/>
    <w:rsid w:val="00524BCB"/>
    <w:rsid w:val="00525A95"/>
    <w:rsid w:val="00526097"/>
    <w:rsid w:val="005262E3"/>
    <w:rsid w:val="0052649F"/>
    <w:rsid w:val="005264EC"/>
    <w:rsid w:val="005265F5"/>
    <w:rsid w:val="00527215"/>
    <w:rsid w:val="0053048F"/>
    <w:rsid w:val="005306D2"/>
    <w:rsid w:val="00531138"/>
    <w:rsid w:val="00531ADB"/>
    <w:rsid w:val="00533088"/>
    <w:rsid w:val="00533D5A"/>
    <w:rsid w:val="00533FA8"/>
    <w:rsid w:val="00533FC2"/>
    <w:rsid w:val="00534B71"/>
    <w:rsid w:val="005357A7"/>
    <w:rsid w:val="00537AD3"/>
    <w:rsid w:val="0054052D"/>
    <w:rsid w:val="0054125D"/>
    <w:rsid w:val="00542C33"/>
    <w:rsid w:val="0054427C"/>
    <w:rsid w:val="00545572"/>
    <w:rsid w:val="0054654D"/>
    <w:rsid w:val="0054729B"/>
    <w:rsid w:val="005503B7"/>
    <w:rsid w:val="00550FD7"/>
    <w:rsid w:val="005514BC"/>
    <w:rsid w:val="005517D2"/>
    <w:rsid w:val="00551938"/>
    <w:rsid w:val="005527DE"/>
    <w:rsid w:val="005547E0"/>
    <w:rsid w:val="00554A56"/>
    <w:rsid w:val="005558FE"/>
    <w:rsid w:val="00557735"/>
    <w:rsid w:val="00560FD8"/>
    <w:rsid w:val="00563C07"/>
    <w:rsid w:val="0056620B"/>
    <w:rsid w:val="005667EF"/>
    <w:rsid w:val="00567120"/>
    <w:rsid w:val="005677E3"/>
    <w:rsid w:val="00570F7E"/>
    <w:rsid w:val="00572933"/>
    <w:rsid w:val="00572FC1"/>
    <w:rsid w:val="00574316"/>
    <w:rsid w:val="00575B93"/>
    <w:rsid w:val="00577B47"/>
    <w:rsid w:val="00582901"/>
    <w:rsid w:val="00583BB6"/>
    <w:rsid w:val="00585694"/>
    <w:rsid w:val="0058634D"/>
    <w:rsid w:val="00586861"/>
    <w:rsid w:val="00586BE6"/>
    <w:rsid w:val="00587308"/>
    <w:rsid w:val="00587342"/>
    <w:rsid w:val="00587B4E"/>
    <w:rsid w:val="00587F8C"/>
    <w:rsid w:val="005903AC"/>
    <w:rsid w:val="00590AEB"/>
    <w:rsid w:val="00590B61"/>
    <w:rsid w:val="005926CD"/>
    <w:rsid w:val="00592839"/>
    <w:rsid w:val="00592ED5"/>
    <w:rsid w:val="005933D5"/>
    <w:rsid w:val="005959FC"/>
    <w:rsid w:val="005963DE"/>
    <w:rsid w:val="00596BC8"/>
    <w:rsid w:val="00597996"/>
    <w:rsid w:val="005A15F7"/>
    <w:rsid w:val="005A22D7"/>
    <w:rsid w:val="005A2A57"/>
    <w:rsid w:val="005A2AEC"/>
    <w:rsid w:val="005A2CC6"/>
    <w:rsid w:val="005A3483"/>
    <w:rsid w:val="005A3A2C"/>
    <w:rsid w:val="005A419A"/>
    <w:rsid w:val="005A46D6"/>
    <w:rsid w:val="005A4B96"/>
    <w:rsid w:val="005A6DFD"/>
    <w:rsid w:val="005A740B"/>
    <w:rsid w:val="005A78F6"/>
    <w:rsid w:val="005A7DE3"/>
    <w:rsid w:val="005B0DE6"/>
    <w:rsid w:val="005B11D1"/>
    <w:rsid w:val="005B1760"/>
    <w:rsid w:val="005B27D5"/>
    <w:rsid w:val="005B298E"/>
    <w:rsid w:val="005B30A9"/>
    <w:rsid w:val="005B457E"/>
    <w:rsid w:val="005B52CB"/>
    <w:rsid w:val="005B7566"/>
    <w:rsid w:val="005B79B1"/>
    <w:rsid w:val="005B7AD2"/>
    <w:rsid w:val="005C1503"/>
    <w:rsid w:val="005C2026"/>
    <w:rsid w:val="005C434D"/>
    <w:rsid w:val="005C451C"/>
    <w:rsid w:val="005C520B"/>
    <w:rsid w:val="005C5FBA"/>
    <w:rsid w:val="005C6209"/>
    <w:rsid w:val="005C764B"/>
    <w:rsid w:val="005C791C"/>
    <w:rsid w:val="005C7EFD"/>
    <w:rsid w:val="005D019B"/>
    <w:rsid w:val="005D1EDA"/>
    <w:rsid w:val="005D3ED8"/>
    <w:rsid w:val="005D486D"/>
    <w:rsid w:val="005D4ADA"/>
    <w:rsid w:val="005D5250"/>
    <w:rsid w:val="005D5B59"/>
    <w:rsid w:val="005D6A26"/>
    <w:rsid w:val="005D6BEE"/>
    <w:rsid w:val="005D7FD3"/>
    <w:rsid w:val="005E0F3F"/>
    <w:rsid w:val="005E106C"/>
    <w:rsid w:val="005E12A7"/>
    <w:rsid w:val="005E1D8B"/>
    <w:rsid w:val="005E224C"/>
    <w:rsid w:val="005E31BC"/>
    <w:rsid w:val="005E3406"/>
    <w:rsid w:val="005E370B"/>
    <w:rsid w:val="005E3FC0"/>
    <w:rsid w:val="005E495D"/>
    <w:rsid w:val="005E583C"/>
    <w:rsid w:val="005E60A6"/>
    <w:rsid w:val="005F0916"/>
    <w:rsid w:val="005F1B23"/>
    <w:rsid w:val="005F2A9B"/>
    <w:rsid w:val="005F2B52"/>
    <w:rsid w:val="005F2C77"/>
    <w:rsid w:val="005F3A1A"/>
    <w:rsid w:val="005F3C55"/>
    <w:rsid w:val="005F547D"/>
    <w:rsid w:val="005F55BB"/>
    <w:rsid w:val="005F6B9D"/>
    <w:rsid w:val="0060381C"/>
    <w:rsid w:val="0060438D"/>
    <w:rsid w:val="00604B7D"/>
    <w:rsid w:val="0060527C"/>
    <w:rsid w:val="0060771F"/>
    <w:rsid w:val="00610C3A"/>
    <w:rsid w:val="006125AC"/>
    <w:rsid w:val="0061449E"/>
    <w:rsid w:val="00615C19"/>
    <w:rsid w:val="00620177"/>
    <w:rsid w:val="0062162D"/>
    <w:rsid w:val="006226F2"/>
    <w:rsid w:val="00622FAE"/>
    <w:rsid w:val="0062317D"/>
    <w:rsid w:val="00623BB8"/>
    <w:rsid w:val="00624D47"/>
    <w:rsid w:val="0062545F"/>
    <w:rsid w:val="00625D20"/>
    <w:rsid w:val="00627D91"/>
    <w:rsid w:val="00627F62"/>
    <w:rsid w:val="00630BF7"/>
    <w:rsid w:val="00632CE2"/>
    <w:rsid w:val="006332D4"/>
    <w:rsid w:val="0063392A"/>
    <w:rsid w:val="00633F77"/>
    <w:rsid w:val="00640E82"/>
    <w:rsid w:val="0064241C"/>
    <w:rsid w:val="0064256E"/>
    <w:rsid w:val="00642E81"/>
    <w:rsid w:val="006431D6"/>
    <w:rsid w:val="00643C51"/>
    <w:rsid w:val="00644613"/>
    <w:rsid w:val="00645117"/>
    <w:rsid w:val="00645597"/>
    <w:rsid w:val="00645B6E"/>
    <w:rsid w:val="00646DC1"/>
    <w:rsid w:val="006470BF"/>
    <w:rsid w:val="00647B1D"/>
    <w:rsid w:val="00650B4E"/>
    <w:rsid w:val="0065184D"/>
    <w:rsid w:val="0065186D"/>
    <w:rsid w:val="0065264B"/>
    <w:rsid w:val="00655261"/>
    <w:rsid w:val="006558E0"/>
    <w:rsid w:val="00655B25"/>
    <w:rsid w:val="006565E1"/>
    <w:rsid w:val="006570C0"/>
    <w:rsid w:val="00657FCD"/>
    <w:rsid w:val="00662397"/>
    <w:rsid w:val="00663021"/>
    <w:rsid w:val="006642BA"/>
    <w:rsid w:val="006642F0"/>
    <w:rsid w:val="00666AA5"/>
    <w:rsid w:val="00666BA6"/>
    <w:rsid w:val="006704B5"/>
    <w:rsid w:val="00671FAD"/>
    <w:rsid w:val="00672696"/>
    <w:rsid w:val="00673757"/>
    <w:rsid w:val="0067398D"/>
    <w:rsid w:val="00674620"/>
    <w:rsid w:val="006767F1"/>
    <w:rsid w:val="00676850"/>
    <w:rsid w:val="0067706D"/>
    <w:rsid w:val="0067713A"/>
    <w:rsid w:val="00682D3B"/>
    <w:rsid w:val="006830AF"/>
    <w:rsid w:val="006838D6"/>
    <w:rsid w:val="00683912"/>
    <w:rsid w:val="00683DF1"/>
    <w:rsid w:val="006841F0"/>
    <w:rsid w:val="00684708"/>
    <w:rsid w:val="00684F8E"/>
    <w:rsid w:val="006860EB"/>
    <w:rsid w:val="00690330"/>
    <w:rsid w:val="006907B0"/>
    <w:rsid w:val="00690CA6"/>
    <w:rsid w:val="00690FE2"/>
    <w:rsid w:val="00693D07"/>
    <w:rsid w:val="00693D97"/>
    <w:rsid w:val="00693E19"/>
    <w:rsid w:val="006940D3"/>
    <w:rsid w:val="00694A7A"/>
    <w:rsid w:val="00694C98"/>
    <w:rsid w:val="00696BA9"/>
    <w:rsid w:val="00696D2A"/>
    <w:rsid w:val="00696E7E"/>
    <w:rsid w:val="006A03BA"/>
    <w:rsid w:val="006A16E9"/>
    <w:rsid w:val="006A219D"/>
    <w:rsid w:val="006A238A"/>
    <w:rsid w:val="006A23FD"/>
    <w:rsid w:val="006A24C8"/>
    <w:rsid w:val="006A2FBB"/>
    <w:rsid w:val="006A360F"/>
    <w:rsid w:val="006A3C45"/>
    <w:rsid w:val="006A405A"/>
    <w:rsid w:val="006A7B63"/>
    <w:rsid w:val="006A7D0D"/>
    <w:rsid w:val="006B0D2E"/>
    <w:rsid w:val="006B49D0"/>
    <w:rsid w:val="006B5706"/>
    <w:rsid w:val="006C1435"/>
    <w:rsid w:val="006C1A34"/>
    <w:rsid w:val="006C1B69"/>
    <w:rsid w:val="006C33E5"/>
    <w:rsid w:val="006C49EB"/>
    <w:rsid w:val="006C4A5F"/>
    <w:rsid w:val="006C5A6F"/>
    <w:rsid w:val="006C5B30"/>
    <w:rsid w:val="006C6503"/>
    <w:rsid w:val="006D0993"/>
    <w:rsid w:val="006D1ACF"/>
    <w:rsid w:val="006D253B"/>
    <w:rsid w:val="006D3F59"/>
    <w:rsid w:val="006D473C"/>
    <w:rsid w:val="006D55BA"/>
    <w:rsid w:val="006D566E"/>
    <w:rsid w:val="006D6B28"/>
    <w:rsid w:val="006D7410"/>
    <w:rsid w:val="006D7464"/>
    <w:rsid w:val="006D75AD"/>
    <w:rsid w:val="006E00FE"/>
    <w:rsid w:val="006E10F9"/>
    <w:rsid w:val="006E11C3"/>
    <w:rsid w:val="006E12BE"/>
    <w:rsid w:val="006E1B08"/>
    <w:rsid w:val="006E1C68"/>
    <w:rsid w:val="006E2013"/>
    <w:rsid w:val="006E227A"/>
    <w:rsid w:val="006E2716"/>
    <w:rsid w:val="006E3BE1"/>
    <w:rsid w:val="006E67BD"/>
    <w:rsid w:val="006E7C08"/>
    <w:rsid w:val="006E7C11"/>
    <w:rsid w:val="006F1696"/>
    <w:rsid w:val="006F1B65"/>
    <w:rsid w:val="006F2A33"/>
    <w:rsid w:val="006F2C77"/>
    <w:rsid w:val="006F2CA1"/>
    <w:rsid w:val="006F63BB"/>
    <w:rsid w:val="006F77E9"/>
    <w:rsid w:val="006F7D55"/>
    <w:rsid w:val="00700D42"/>
    <w:rsid w:val="00701894"/>
    <w:rsid w:val="007029A5"/>
    <w:rsid w:val="007032DC"/>
    <w:rsid w:val="00703FAD"/>
    <w:rsid w:val="00705397"/>
    <w:rsid w:val="00705ABA"/>
    <w:rsid w:val="007061C7"/>
    <w:rsid w:val="00706544"/>
    <w:rsid w:val="007079F1"/>
    <w:rsid w:val="00710EFE"/>
    <w:rsid w:val="00711A18"/>
    <w:rsid w:val="00713978"/>
    <w:rsid w:val="00713B65"/>
    <w:rsid w:val="00714499"/>
    <w:rsid w:val="00714B71"/>
    <w:rsid w:val="0071615A"/>
    <w:rsid w:val="00716671"/>
    <w:rsid w:val="00716B0F"/>
    <w:rsid w:val="00716C6A"/>
    <w:rsid w:val="00720B6E"/>
    <w:rsid w:val="0072165F"/>
    <w:rsid w:val="0072296A"/>
    <w:rsid w:val="00723333"/>
    <w:rsid w:val="00723F13"/>
    <w:rsid w:val="00724418"/>
    <w:rsid w:val="0072589E"/>
    <w:rsid w:val="00726485"/>
    <w:rsid w:val="007267E2"/>
    <w:rsid w:val="00727D48"/>
    <w:rsid w:val="00730606"/>
    <w:rsid w:val="00731E92"/>
    <w:rsid w:val="00732DCF"/>
    <w:rsid w:val="00733D2B"/>
    <w:rsid w:val="00733FCC"/>
    <w:rsid w:val="00734152"/>
    <w:rsid w:val="007341F1"/>
    <w:rsid w:val="00735377"/>
    <w:rsid w:val="007355F6"/>
    <w:rsid w:val="00735931"/>
    <w:rsid w:val="00736744"/>
    <w:rsid w:val="00737052"/>
    <w:rsid w:val="00737481"/>
    <w:rsid w:val="007406B9"/>
    <w:rsid w:val="00741411"/>
    <w:rsid w:val="007414E1"/>
    <w:rsid w:val="0074219B"/>
    <w:rsid w:val="00743445"/>
    <w:rsid w:val="00743DEB"/>
    <w:rsid w:val="00743F5F"/>
    <w:rsid w:val="00745DBD"/>
    <w:rsid w:val="00745E47"/>
    <w:rsid w:val="00746F96"/>
    <w:rsid w:val="00747FDF"/>
    <w:rsid w:val="007503B9"/>
    <w:rsid w:val="00750590"/>
    <w:rsid w:val="007510C8"/>
    <w:rsid w:val="007517A4"/>
    <w:rsid w:val="00751A29"/>
    <w:rsid w:val="00752E71"/>
    <w:rsid w:val="00753EDB"/>
    <w:rsid w:val="007542AF"/>
    <w:rsid w:val="00754693"/>
    <w:rsid w:val="007546C7"/>
    <w:rsid w:val="00754D63"/>
    <w:rsid w:val="007550E4"/>
    <w:rsid w:val="00755605"/>
    <w:rsid w:val="0075591D"/>
    <w:rsid w:val="007565D4"/>
    <w:rsid w:val="007577D0"/>
    <w:rsid w:val="00757CF5"/>
    <w:rsid w:val="00760C54"/>
    <w:rsid w:val="00762B89"/>
    <w:rsid w:val="007646FB"/>
    <w:rsid w:val="00764983"/>
    <w:rsid w:val="00764D52"/>
    <w:rsid w:val="0076537B"/>
    <w:rsid w:val="00765A4C"/>
    <w:rsid w:val="007705D8"/>
    <w:rsid w:val="00770E0B"/>
    <w:rsid w:val="00772538"/>
    <w:rsid w:val="0077473B"/>
    <w:rsid w:val="0077768A"/>
    <w:rsid w:val="00780384"/>
    <w:rsid w:val="00780D8D"/>
    <w:rsid w:val="00783D72"/>
    <w:rsid w:val="00787711"/>
    <w:rsid w:val="00790D50"/>
    <w:rsid w:val="007911A1"/>
    <w:rsid w:val="0079294D"/>
    <w:rsid w:val="00792952"/>
    <w:rsid w:val="007931F9"/>
    <w:rsid w:val="00794A62"/>
    <w:rsid w:val="00794DCB"/>
    <w:rsid w:val="00796972"/>
    <w:rsid w:val="007969FF"/>
    <w:rsid w:val="007A0C9D"/>
    <w:rsid w:val="007A5BB5"/>
    <w:rsid w:val="007A6355"/>
    <w:rsid w:val="007A681C"/>
    <w:rsid w:val="007A7D4C"/>
    <w:rsid w:val="007A7D7A"/>
    <w:rsid w:val="007B04D3"/>
    <w:rsid w:val="007B17BB"/>
    <w:rsid w:val="007B1906"/>
    <w:rsid w:val="007B1BB2"/>
    <w:rsid w:val="007B1F1D"/>
    <w:rsid w:val="007B2611"/>
    <w:rsid w:val="007B2D41"/>
    <w:rsid w:val="007B4C24"/>
    <w:rsid w:val="007B4D55"/>
    <w:rsid w:val="007B5076"/>
    <w:rsid w:val="007B5175"/>
    <w:rsid w:val="007B5E16"/>
    <w:rsid w:val="007B7F59"/>
    <w:rsid w:val="007C1AB7"/>
    <w:rsid w:val="007C2C91"/>
    <w:rsid w:val="007C34DA"/>
    <w:rsid w:val="007C3EAD"/>
    <w:rsid w:val="007C4156"/>
    <w:rsid w:val="007C48F6"/>
    <w:rsid w:val="007C5161"/>
    <w:rsid w:val="007C7C01"/>
    <w:rsid w:val="007C7EC0"/>
    <w:rsid w:val="007D0068"/>
    <w:rsid w:val="007D06FF"/>
    <w:rsid w:val="007D14BE"/>
    <w:rsid w:val="007D194B"/>
    <w:rsid w:val="007D2067"/>
    <w:rsid w:val="007D232C"/>
    <w:rsid w:val="007D2C6D"/>
    <w:rsid w:val="007D2E79"/>
    <w:rsid w:val="007D36EF"/>
    <w:rsid w:val="007D3F30"/>
    <w:rsid w:val="007D4701"/>
    <w:rsid w:val="007D4F7F"/>
    <w:rsid w:val="007D512D"/>
    <w:rsid w:val="007D5AD3"/>
    <w:rsid w:val="007D647B"/>
    <w:rsid w:val="007D743F"/>
    <w:rsid w:val="007E0CC4"/>
    <w:rsid w:val="007E0E75"/>
    <w:rsid w:val="007E3224"/>
    <w:rsid w:val="007E3E92"/>
    <w:rsid w:val="007E4063"/>
    <w:rsid w:val="007E49D1"/>
    <w:rsid w:val="007E4CD9"/>
    <w:rsid w:val="007E5CFB"/>
    <w:rsid w:val="007E7349"/>
    <w:rsid w:val="007E75EC"/>
    <w:rsid w:val="007E7BE5"/>
    <w:rsid w:val="007F0E83"/>
    <w:rsid w:val="007F14D6"/>
    <w:rsid w:val="007F24AB"/>
    <w:rsid w:val="007F25C2"/>
    <w:rsid w:val="007F4C2A"/>
    <w:rsid w:val="007F5FC0"/>
    <w:rsid w:val="007F78C9"/>
    <w:rsid w:val="007F7BA1"/>
    <w:rsid w:val="00800523"/>
    <w:rsid w:val="00802BDD"/>
    <w:rsid w:val="0080346C"/>
    <w:rsid w:val="00803612"/>
    <w:rsid w:val="0080573A"/>
    <w:rsid w:val="00805BDC"/>
    <w:rsid w:val="0080608A"/>
    <w:rsid w:val="00806314"/>
    <w:rsid w:val="00806751"/>
    <w:rsid w:val="008101EE"/>
    <w:rsid w:val="00810910"/>
    <w:rsid w:val="0081374B"/>
    <w:rsid w:val="008145FD"/>
    <w:rsid w:val="008168A2"/>
    <w:rsid w:val="00816AB3"/>
    <w:rsid w:val="008176B3"/>
    <w:rsid w:val="00817EA4"/>
    <w:rsid w:val="00820393"/>
    <w:rsid w:val="0082289B"/>
    <w:rsid w:val="00824C2F"/>
    <w:rsid w:val="008250DD"/>
    <w:rsid w:val="008257D9"/>
    <w:rsid w:val="00825B41"/>
    <w:rsid w:val="00826573"/>
    <w:rsid w:val="00830714"/>
    <w:rsid w:val="00833E5D"/>
    <w:rsid w:val="00835BF8"/>
    <w:rsid w:val="00837581"/>
    <w:rsid w:val="00840749"/>
    <w:rsid w:val="00840AD7"/>
    <w:rsid w:val="00841007"/>
    <w:rsid w:val="00841BA2"/>
    <w:rsid w:val="00842121"/>
    <w:rsid w:val="008431E2"/>
    <w:rsid w:val="00843BA0"/>
    <w:rsid w:val="00844674"/>
    <w:rsid w:val="00844727"/>
    <w:rsid w:val="00847F32"/>
    <w:rsid w:val="00851AFA"/>
    <w:rsid w:val="00852A0C"/>
    <w:rsid w:val="00852B49"/>
    <w:rsid w:val="0085316D"/>
    <w:rsid w:val="00853334"/>
    <w:rsid w:val="00853666"/>
    <w:rsid w:val="00853C53"/>
    <w:rsid w:val="00855584"/>
    <w:rsid w:val="008575AD"/>
    <w:rsid w:val="00857739"/>
    <w:rsid w:val="0086036F"/>
    <w:rsid w:val="008630E9"/>
    <w:rsid w:val="00864A00"/>
    <w:rsid w:val="00864A58"/>
    <w:rsid w:val="00864A90"/>
    <w:rsid w:val="008660A4"/>
    <w:rsid w:val="008713E9"/>
    <w:rsid w:val="008720E1"/>
    <w:rsid w:val="00872861"/>
    <w:rsid w:val="00872956"/>
    <w:rsid w:val="00872DE1"/>
    <w:rsid w:val="00873002"/>
    <w:rsid w:val="008735BD"/>
    <w:rsid w:val="0087383B"/>
    <w:rsid w:val="0087403A"/>
    <w:rsid w:val="0087403B"/>
    <w:rsid w:val="008746BF"/>
    <w:rsid w:val="00875ADD"/>
    <w:rsid w:val="00876C6F"/>
    <w:rsid w:val="008807A0"/>
    <w:rsid w:val="0088142D"/>
    <w:rsid w:val="00881448"/>
    <w:rsid w:val="0088184F"/>
    <w:rsid w:val="00881EAB"/>
    <w:rsid w:val="0088205E"/>
    <w:rsid w:val="00883078"/>
    <w:rsid w:val="00883486"/>
    <w:rsid w:val="00883C99"/>
    <w:rsid w:val="00884088"/>
    <w:rsid w:val="00884717"/>
    <w:rsid w:val="00885303"/>
    <w:rsid w:val="0088531B"/>
    <w:rsid w:val="00886039"/>
    <w:rsid w:val="008868AB"/>
    <w:rsid w:val="00887C8F"/>
    <w:rsid w:val="00890136"/>
    <w:rsid w:val="00890F3D"/>
    <w:rsid w:val="008917CB"/>
    <w:rsid w:val="008930D1"/>
    <w:rsid w:val="008973B9"/>
    <w:rsid w:val="00897797"/>
    <w:rsid w:val="008A28FA"/>
    <w:rsid w:val="008A2B13"/>
    <w:rsid w:val="008A2F29"/>
    <w:rsid w:val="008A3EA2"/>
    <w:rsid w:val="008A504A"/>
    <w:rsid w:val="008A52C5"/>
    <w:rsid w:val="008A5956"/>
    <w:rsid w:val="008A5C44"/>
    <w:rsid w:val="008A727B"/>
    <w:rsid w:val="008A7FD6"/>
    <w:rsid w:val="008B2F95"/>
    <w:rsid w:val="008B3FC5"/>
    <w:rsid w:val="008B4B83"/>
    <w:rsid w:val="008B590F"/>
    <w:rsid w:val="008B6A51"/>
    <w:rsid w:val="008B747F"/>
    <w:rsid w:val="008C06C2"/>
    <w:rsid w:val="008C2B02"/>
    <w:rsid w:val="008C2B4C"/>
    <w:rsid w:val="008C2C18"/>
    <w:rsid w:val="008C7DB7"/>
    <w:rsid w:val="008D1DFB"/>
    <w:rsid w:val="008D20F2"/>
    <w:rsid w:val="008D25AD"/>
    <w:rsid w:val="008D2AB8"/>
    <w:rsid w:val="008D326D"/>
    <w:rsid w:val="008D339C"/>
    <w:rsid w:val="008D4DF8"/>
    <w:rsid w:val="008D541C"/>
    <w:rsid w:val="008D6006"/>
    <w:rsid w:val="008D72A7"/>
    <w:rsid w:val="008E1526"/>
    <w:rsid w:val="008E16E0"/>
    <w:rsid w:val="008E260E"/>
    <w:rsid w:val="008E385C"/>
    <w:rsid w:val="008E3E3E"/>
    <w:rsid w:val="008E3EBC"/>
    <w:rsid w:val="008E4214"/>
    <w:rsid w:val="008E43E2"/>
    <w:rsid w:val="008E4B4E"/>
    <w:rsid w:val="008E4F2B"/>
    <w:rsid w:val="008E5C17"/>
    <w:rsid w:val="008E5FB2"/>
    <w:rsid w:val="008E6535"/>
    <w:rsid w:val="008E6F71"/>
    <w:rsid w:val="008E7246"/>
    <w:rsid w:val="008F0AFE"/>
    <w:rsid w:val="008F22A4"/>
    <w:rsid w:val="008F3075"/>
    <w:rsid w:val="008F3EC0"/>
    <w:rsid w:val="008F5C28"/>
    <w:rsid w:val="008F63CE"/>
    <w:rsid w:val="008F6D33"/>
    <w:rsid w:val="008F7422"/>
    <w:rsid w:val="008F79D1"/>
    <w:rsid w:val="00900F6A"/>
    <w:rsid w:val="009019E0"/>
    <w:rsid w:val="00901D4F"/>
    <w:rsid w:val="00903316"/>
    <w:rsid w:val="00903742"/>
    <w:rsid w:val="0090442F"/>
    <w:rsid w:val="00905876"/>
    <w:rsid w:val="00905F74"/>
    <w:rsid w:val="00906254"/>
    <w:rsid w:val="00906B67"/>
    <w:rsid w:val="00907298"/>
    <w:rsid w:val="00907F48"/>
    <w:rsid w:val="00910442"/>
    <w:rsid w:val="00910689"/>
    <w:rsid w:val="009111D7"/>
    <w:rsid w:val="0091178F"/>
    <w:rsid w:val="00911B0B"/>
    <w:rsid w:val="00912BE8"/>
    <w:rsid w:val="00912D11"/>
    <w:rsid w:val="00912ECF"/>
    <w:rsid w:val="00913B58"/>
    <w:rsid w:val="0091412E"/>
    <w:rsid w:val="00914E34"/>
    <w:rsid w:val="009157D2"/>
    <w:rsid w:val="00915903"/>
    <w:rsid w:val="0091625A"/>
    <w:rsid w:val="00916D3F"/>
    <w:rsid w:val="00922991"/>
    <w:rsid w:val="00923B50"/>
    <w:rsid w:val="00923E03"/>
    <w:rsid w:val="00925303"/>
    <w:rsid w:val="00926312"/>
    <w:rsid w:val="009263FA"/>
    <w:rsid w:val="0092648D"/>
    <w:rsid w:val="0093015E"/>
    <w:rsid w:val="009301CA"/>
    <w:rsid w:val="00931984"/>
    <w:rsid w:val="00932567"/>
    <w:rsid w:val="00933312"/>
    <w:rsid w:val="009351B1"/>
    <w:rsid w:val="009357FD"/>
    <w:rsid w:val="00935B78"/>
    <w:rsid w:val="00940123"/>
    <w:rsid w:val="00942D2B"/>
    <w:rsid w:val="00943EB7"/>
    <w:rsid w:val="00943F93"/>
    <w:rsid w:val="00944543"/>
    <w:rsid w:val="00944C25"/>
    <w:rsid w:val="00944F3B"/>
    <w:rsid w:val="009459EA"/>
    <w:rsid w:val="00947B14"/>
    <w:rsid w:val="009506CF"/>
    <w:rsid w:val="00950D6A"/>
    <w:rsid w:val="00950F9D"/>
    <w:rsid w:val="00951C28"/>
    <w:rsid w:val="00952DB3"/>
    <w:rsid w:val="00953D9C"/>
    <w:rsid w:val="009546FE"/>
    <w:rsid w:val="009548F1"/>
    <w:rsid w:val="00955AD8"/>
    <w:rsid w:val="009560AE"/>
    <w:rsid w:val="00960331"/>
    <w:rsid w:val="009603BC"/>
    <w:rsid w:val="00960B51"/>
    <w:rsid w:val="00960C24"/>
    <w:rsid w:val="009613C8"/>
    <w:rsid w:val="0096143B"/>
    <w:rsid w:val="00962E94"/>
    <w:rsid w:val="00962FC4"/>
    <w:rsid w:val="009655D0"/>
    <w:rsid w:val="0096613C"/>
    <w:rsid w:val="009721E5"/>
    <w:rsid w:val="00972B15"/>
    <w:rsid w:val="0097309E"/>
    <w:rsid w:val="00974FCE"/>
    <w:rsid w:val="00976D9B"/>
    <w:rsid w:val="00977165"/>
    <w:rsid w:val="00980A19"/>
    <w:rsid w:val="0098250F"/>
    <w:rsid w:val="00982DEF"/>
    <w:rsid w:val="00983325"/>
    <w:rsid w:val="009834FA"/>
    <w:rsid w:val="00983538"/>
    <w:rsid w:val="00983960"/>
    <w:rsid w:val="0098467C"/>
    <w:rsid w:val="009865D5"/>
    <w:rsid w:val="00986FC8"/>
    <w:rsid w:val="009907F2"/>
    <w:rsid w:val="00990941"/>
    <w:rsid w:val="00991356"/>
    <w:rsid w:val="00991577"/>
    <w:rsid w:val="00991B6F"/>
    <w:rsid w:val="009920C3"/>
    <w:rsid w:val="00994B4F"/>
    <w:rsid w:val="00995049"/>
    <w:rsid w:val="0099555D"/>
    <w:rsid w:val="00996119"/>
    <w:rsid w:val="009963E2"/>
    <w:rsid w:val="009A3367"/>
    <w:rsid w:val="009A48CF"/>
    <w:rsid w:val="009A4AC4"/>
    <w:rsid w:val="009A6EA0"/>
    <w:rsid w:val="009B424A"/>
    <w:rsid w:val="009B4E6E"/>
    <w:rsid w:val="009B60AD"/>
    <w:rsid w:val="009C08C0"/>
    <w:rsid w:val="009C1265"/>
    <w:rsid w:val="009C129E"/>
    <w:rsid w:val="009C1CF7"/>
    <w:rsid w:val="009C21C1"/>
    <w:rsid w:val="009C3D12"/>
    <w:rsid w:val="009C45B4"/>
    <w:rsid w:val="009C493D"/>
    <w:rsid w:val="009C601C"/>
    <w:rsid w:val="009C6404"/>
    <w:rsid w:val="009C66F7"/>
    <w:rsid w:val="009C6715"/>
    <w:rsid w:val="009D153F"/>
    <w:rsid w:val="009D16D5"/>
    <w:rsid w:val="009D24A0"/>
    <w:rsid w:val="009D2CD0"/>
    <w:rsid w:val="009D39DF"/>
    <w:rsid w:val="009D3A2A"/>
    <w:rsid w:val="009D598F"/>
    <w:rsid w:val="009D7076"/>
    <w:rsid w:val="009D7D04"/>
    <w:rsid w:val="009E006D"/>
    <w:rsid w:val="009E287A"/>
    <w:rsid w:val="009E3968"/>
    <w:rsid w:val="009E3A3A"/>
    <w:rsid w:val="009E3B90"/>
    <w:rsid w:val="009E4268"/>
    <w:rsid w:val="009E4AC4"/>
    <w:rsid w:val="009E5AAE"/>
    <w:rsid w:val="009E7F7A"/>
    <w:rsid w:val="009F0899"/>
    <w:rsid w:val="009F121A"/>
    <w:rsid w:val="009F32A0"/>
    <w:rsid w:val="009F3329"/>
    <w:rsid w:val="009F510D"/>
    <w:rsid w:val="009F6B95"/>
    <w:rsid w:val="00A002E2"/>
    <w:rsid w:val="00A02D6D"/>
    <w:rsid w:val="00A03274"/>
    <w:rsid w:val="00A0448C"/>
    <w:rsid w:val="00A05501"/>
    <w:rsid w:val="00A05CF7"/>
    <w:rsid w:val="00A066FE"/>
    <w:rsid w:val="00A076E2"/>
    <w:rsid w:val="00A07FD5"/>
    <w:rsid w:val="00A11ABC"/>
    <w:rsid w:val="00A11CFB"/>
    <w:rsid w:val="00A12B2A"/>
    <w:rsid w:val="00A149AD"/>
    <w:rsid w:val="00A16016"/>
    <w:rsid w:val="00A164E0"/>
    <w:rsid w:val="00A16F6A"/>
    <w:rsid w:val="00A17002"/>
    <w:rsid w:val="00A20A3F"/>
    <w:rsid w:val="00A2185D"/>
    <w:rsid w:val="00A22ED6"/>
    <w:rsid w:val="00A24B3F"/>
    <w:rsid w:val="00A24F63"/>
    <w:rsid w:val="00A25862"/>
    <w:rsid w:val="00A261E6"/>
    <w:rsid w:val="00A26595"/>
    <w:rsid w:val="00A305AB"/>
    <w:rsid w:val="00A30A34"/>
    <w:rsid w:val="00A30D96"/>
    <w:rsid w:val="00A31304"/>
    <w:rsid w:val="00A32357"/>
    <w:rsid w:val="00A32835"/>
    <w:rsid w:val="00A32DB9"/>
    <w:rsid w:val="00A3321D"/>
    <w:rsid w:val="00A3467B"/>
    <w:rsid w:val="00A34F0A"/>
    <w:rsid w:val="00A350F8"/>
    <w:rsid w:val="00A36E15"/>
    <w:rsid w:val="00A37ABE"/>
    <w:rsid w:val="00A37EA6"/>
    <w:rsid w:val="00A40E33"/>
    <w:rsid w:val="00A41702"/>
    <w:rsid w:val="00A42C91"/>
    <w:rsid w:val="00A43665"/>
    <w:rsid w:val="00A44638"/>
    <w:rsid w:val="00A456A1"/>
    <w:rsid w:val="00A50B84"/>
    <w:rsid w:val="00A511F2"/>
    <w:rsid w:val="00A513FF"/>
    <w:rsid w:val="00A51708"/>
    <w:rsid w:val="00A5207B"/>
    <w:rsid w:val="00A52086"/>
    <w:rsid w:val="00A54446"/>
    <w:rsid w:val="00A546C5"/>
    <w:rsid w:val="00A55A4B"/>
    <w:rsid w:val="00A5647D"/>
    <w:rsid w:val="00A575FB"/>
    <w:rsid w:val="00A578E1"/>
    <w:rsid w:val="00A57C1A"/>
    <w:rsid w:val="00A61335"/>
    <w:rsid w:val="00A62CD5"/>
    <w:rsid w:val="00A6336B"/>
    <w:rsid w:val="00A633AA"/>
    <w:rsid w:val="00A63A59"/>
    <w:rsid w:val="00A63A8A"/>
    <w:rsid w:val="00A64749"/>
    <w:rsid w:val="00A664B9"/>
    <w:rsid w:val="00A66E96"/>
    <w:rsid w:val="00A671BB"/>
    <w:rsid w:val="00A67932"/>
    <w:rsid w:val="00A701B1"/>
    <w:rsid w:val="00A70745"/>
    <w:rsid w:val="00A70B35"/>
    <w:rsid w:val="00A71F18"/>
    <w:rsid w:val="00A73309"/>
    <w:rsid w:val="00A7333B"/>
    <w:rsid w:val="00A75887"/>
    <w:rsid w:val="00A77A80"/>
    <w:rsid w:val="00A837CF"/>
    <w:rsid w:val="00A83A79"/>
    <w:rsid w:val="00A842A1"/>
    <w:rsid w:val="00A8500A"/>
    <w:rsid w:val="00A85777"/>
    <w:rsid w:val="00A85D7B"/>
    <w:rsid w:val="00A8612C"/>
    <w:rsid w:val="00A87AFC"/>
    <w:rsid w:val="00A9100A"/>
    <w:rsid w:val="00A9176F"/>
    <w:rsid w:val="00A91B8A"/>
    <w:rsid w:val="00A93997"/>
    <w:rsid w:val="00A93EEE"/>
    <w:rsid w:val="00A95C10"/>
    <w:rsid w:val="00AA2641"/>
    <w:rsid w:val="00AA2712"/>
    <w:rsid w:val="00AA31AF"/>
    <w:rsid w:val="00AA33AA"/>
    <w:rsid w:val="00AA3436"/>
    <w:rsid w:val="00AA4DFE"/>
    <w:rsid w:val="00AA7700"/>
    <w:rsid w:val="00AA775A"/>
    <w:rsid w:val="00AA7963"/>
    <w:rsid w:val="00AB03AF"/>
    <w:rsid w:val="00AB0F64"/>
    <w:rsid w:val="00AB30A4"/>
    <w:rsid w:val="00AB33D6"/>
    <w:rsid w:val="00AB39A1"/>
    <w:rsid w:val="00AB4EBF"/>
    <w:rsid w:val="00AB50E7"/>
    <w:rsid w:val="00AB794F"/>
    <w:rsid w:val="00AB7CC6"/>
    <w:rsid w:val="00AB7F2E"/>
    <w:rsid w:val="00AC3BD0"/>
    <w:rsid w:val="00AC4207"/>
    <w:rsid w:val="00AC4757"/>
    <w:rsid w:val="00AC4987"/>
    <w:rsid w:val="00AC5441"/>
    <w:rsid w:val="00AC564A"/>
    <w:rsid w:val="00AC59AB"/>
    <w:rsid w:val="00AC5ED7"/>
    <w:rsid w:val="00AC6578"/>
    <w:rsid w:val="00AC7EC6"/>
    <w:rsid w:val="00AD0821"/>
    <w:rsid w:val="00AD103B"/>
    <w:rsid w:val="00AD433E"/>
    <w:rsid w:val="00AD5835"/>
    <w:rsid w:val="00AD6FD8"/>
    <w:rsid w:val="00AD7E0D"/>
    <w:rsid w:val="00AE16EE"/>
    <w:rsid w:val="00AE1A16"/>
    <w:rsid w:val="00AE1DE6"/>
    <w:rsid w:val="00AE244C"/>
    <w:rsid w:val="00AE4814"/>
    <w:rsid w:val="00AE5219"/>
    <w:rsid w:val="00AE573A"/>
    <w:rsid w:val="00AE62BE"/>
    <w:rsid w:val="00AE7890"/>
    <w:rsid w:val="00AF0060"/>
    <w:rsid w:val="00AF027E"/>
    <w:rsid w:val="00AF0628"/>
    <w:rsid w:val="00AF109C"/>
    <w:rsid w:val="00AF170D"/>
    <w:rsid w:val="00AF3257"/>
    <w:rsid w:val="00AF3872"/>
    <w:rsid w:val="00AF489C"/>
    <w:rsid w:val="00AF4BF7"/>
    <w:rsid w:val="00AF522F"/>
    <w:rsid w:val="00AF53B6"/>
    <w:rsid w:val="00AF5443"/>
    <w:rsid w:val="00AF6E31"/>
    <w:rsid w:val="00AF79A3"/>
    <w:rsid w:val="00AF7AC6"/>
    <w:rsid w:val="00B004D6"/>
    <w:rsid w:val="00B00749"/>
    <w:rsid w:val="00B018C3"/>
    <w:rsid w:val="00B0275E"/>
    <w:rsid w:val="00B0643C"/>
    <w:rsid w:val="00B1081A"/>
    <w:rsid w:val="00B11BF2"/>
    <w:rsid w:val="00B11DAE"/>
    <w:rsid w:val="00B12620"/>
    <w:rsid w:val="00B12FE4"/>
    <w:rsid w:val="00B13A57"/>
    <w:rsid w:val="00B14DF4"/>
    <w:rsid w:val="00B17AB6"/>
    <w:rsid w:val="00B17BF4"/>
    <w:rsid w:val="00B208E9"/>
    <w:rsid w:val="00B21AE1"/>
    <w:rsid w:val="00B21D26"/>
    <w:rsid w:val="00B24008"/>
    <w:rsid w:val="00B24284"/>
    <w:rsid w:val="00B25578"/>
    <w:rsid w:val="00B26A10"/>
    <w:rsid w:val="00B31070"/>
    <w:rsid w:val="00B33CBD"/>
    <w:rsid w:val="00B35249"/>
    <w:rsid w:val="00B35EE9"/>
    <w:rsid w:val="00B361B3"/>
    <w:rsid w:val="00B36366"/>
    <w:rsid w:val="00B365BA"/>
    <w:rsid w:val="00B3666F"/>
    <w:rsid w:val="00B36F19"/>
    <w:rsid w:val="00B370A0"/>
    <w:rsid w:val="00B376AA"/>
    <w:rsid w:val="00B40E94"/>
    <w:rsid w:val="00B42449"/>
    <w:rsid w:val="00B42774"/>
    <w:rsid w:val="00B43668"/>
    <w:rsid w:val="00B43C8A"/>
    <w:rsid w:val="00B457C4"/>
    <w:rsid w:val="00B50F69"/>
    <w:rsid w:val="00B50FD5"/>
    <w:rsid w:val="00B524A5"/>
    <w:rsid w:val="00B530A6"/>
    <w:rsid w:val="00B53577"/>
    <w:rsid w:val="00B538E5"/>
    <w:rsid w:val="00B53932"/>
    <w:rsid w:val="00B540A7"/>
    <w:rsid w:val="00B54564"/>
    <w:rsid w:val="00B5480A"/>
    <w:rsid w:val="00B57A24"/>
    <w:rsid w:val="00B62DC2"/>
    <w:rsid w:val="00B635C7"/>
    <w:rsid w:val="00B6374C"/>
    <w:rsid w:val="00B63FB0"/>
    <w:rsid w:val="00B651A4"/>
    <w:rsid w:val="00B663BF"/>
    <w:rsid w:val="00B70335"/>
    <w:rsid w:val="00B71476"/>
    <w:rsid w:val="00B71D88"/>
    <w:rsid w:val="00B72572"/>
    <w:rsid w:val="00B746AC"/>
    <w:rsid w:val="00B7595F"/>
    <w:rsid w:val="00B75FAB"/>
    <w:rsid w:val="00B765A4"/>
    <w:rsid w:val="00B774D2"/>
    <w:rsid w:val="00B82705"/>
    <w:rsid w:val="00B841BF"/>
    <w:rsid w:val="00B860FC"/>
    <w:rsid w:val="00B8759F"/>
    <w:rsid w:val="00B87BD4"/>
    <w:rsid w:val="00B902B8"/>
    <w:rsid w:val="00B91790"/>
    <w:rsid w:val="00B91D00"/>
    <w:rsid w:val="00B9491D"/>
    <w:rsid w:val="00B95DE9"/>
    <w:rsid w:val="00B97FCC"/>
    <w:rsid w:val="00BA16E8"/>
    <w:rsid w:val="00BA3AA9"/>
    <w:rsid w:val="00BA3C92"/>
    <w:rsid w:val="00BA4EC0"/>
    <w:rsid w:val="00BA525E"/>
    <w:rsid w:val="00BA5F29"/>
    <w:rsid w:val="00BA631B"/>
    <w:rsid w:val="00BA66B0"/>
    <w:rsid w:val="00BA71AB"/>
    <w:rsid w:val="00BA7CC3"/>
    <w:rsid w:val="00BB00A3"/>
    <w:rsid w:val="00BB0C9B"/>
    <w:rsid w:val="00BB3A5A"/>
    <w:rsid w:val="00BB5055"/>
    <w:rsid w:val="00BB6841"/>
    <w:rsid w:val="00BB7682"/>
    <w:rsid w:val="00BC10D1"/>
    <w:rsid w:val="00BC1232"/>
    <w:rsid w:val="00BC2482"/>
    <w:rsid w:val="00BC32F5"/>
    <w:rsid w:val="00BC3881"/>
    <w:rsid w:val="00BC3F42"/>
    <w:rsid w:val="00BC4D00"/>
    <w:rsid w:val="00BC5E75"/>
    <w:rsid w:val="00BC6439"/>
    <w:rsid w:val="00BD0585"/>
    <w:rsid w:val="00BD0828"/>
    <w:rsid w:val="00BD08C0"/>
    <w:rsid w:val="00BD2FB9"/>
    <w:rsid w:val="00BD4240"/>
    <w:rsid w:val="00BD485F"/>
    <w:rsid w:val="00BD4B5A"/>
    <w:rsid w:val="00BD723C"/>
    <w:rsid w:val="00BD7265"/>
    <w:rsid w:val="00BD7C0E"/>
    <w:rsid w:val="00BD7EC1"/>
    <w:rsid w:val="00BE04A5"/>
    <w:rsid w:val="00BE074D"/>
    <w:rsid w:val="00BE09DC"/>
    <w:rsid w:val="00BE11BA"/>
    <w:rsid w:val="00BE127D"/>
    <w:rsid w:val="00BE18B0"/>
    <w:rsid w:val="00BE1C53"/>
    <w:rsid w:val="00BE1D38"/>
    <w:rsid w:val="00BE2F56"/>
    <w:rsid w:val="00BE2FDA"/>
    <w:rsid w:val="00BE3DA8"/>
    <w:rsid w:val="00BE40D6"/>
    <w:rsid w:val="00BE40EB"/>
    <w:rsid w:val="00BE41FA"/>
    <w:rsid w:val="00BE4968"/>
    <w:rsid w:val="00BE5827"/>
    <w:rsid w:val="00BE6810"/>
    <w:rsid w:val="00BE7B32"/>
    <w:rsid w:val="00BE7BDC"/>
    <w:rsid w:val="00BF1216"/>
    <w:rsid w:val="00BF1ADC"/>
    <w:rsid w:val="00BF1BD2"/>
    <w:rsid w:val="00BF2EF4"/>
    <w:rsid w:val="00BF3706"/>
    <w:rsid w:val="00BF438B"/>
    <w:rsid w:val="00BF4BD1"/>
    <w:rsid w:val="00BF53C5"/>
    <w:rsid w:val="00BF5CED"/>
    <w:rsid w:val="00C00963"/>
    <w:rsid w:val="00C01821"/>
    <w:rsid w:val="00C01C06"/>
    <w:rsid w:val="00C02473"/>
    <w:rsid w:val="00C02F33"/>
    <w:rsid w:val="00C04091"/>
    <w:rsid w:val="00C04181"/>
    <w:rsid w:val="00C04372"/>
    <w:rsid w:val="00C04A5D"/>
    <w:rsid w:val="00C0554E"/>
    <w:rsid w:val="00C0612C"/>
    <w:rsid w:val="00C06705"/>
    <w:rsid w:val="00C06CA7"/>
    <w:rsid w:val="00C07798"/>
    <w:rsid w:val="00C078B0"/>
    <w:rsid w:val="00C07A9C"/>
    <w:rsid w:val="00C1078F"/>
    <w:rsid w:val="00C10C09"/>
    <w:rsid w:val="00C13F9D"/>
    <w:rsid w:val="00C14706"/>
    <w:rsid w:val="00C1507C"/>
    <w:rsid w:val="00C1525A"/>
    <w:rsid w:val="00C16938"/>
    <w:rsid w:val="00C178AE"/>
    <w:rsid w:val="00C21C67"/>
    <w:rsid w:val="00C22B43"/>
    <w:rsid w:val="00C22D0F"/>
    <w:rsid w:val="00C2444C"/>
    <w:rsid w:val="00C2481F"/>
    <w:rsid w:val="00C24FEB"/>
    <w:rsid w:val="00C2595D"/>
    <w:rsid w:val="00C25F8F"/>
    <w:rsid w:val="00C277D1"/>
    <w:rsid w:val="00C304DE"/>
    <w:rsid w:val="00C316DF"/>
    <w:rsid w:val="00C32626"/>
    <w:rsid w:val="00C33409"/>
    <w:rsid w:val="00C33F5B"/>
    <w:rsid w:val="00C34695"/>
    <w:rsid w:val="00C353E2"/>
    <w:rsid w:val="00C36B9D"/>
    <w:rsid w:val="00C377E2"/>
    <w:rsid w:val="00C37897"/>
    <w:rsid w:val="00C4210A"/>
    <w:rsid w:val="00C42ACF"/>
    <w:rsid w:val="00C4430B"/>
    <w:rsid w:val="00C4686C"/>
    <w:rsid w:val="00C46FC4"/>
    <w:rsid w:val="00C5031F"/>
    <w:rsid w:val="00C503A1"/>
    <w:rsid w:val="00C54320"/>
    <w:rsid w:val="00C54436"/>
    <w:rsid w:val="00C54B32"/>
    <w:rsid w:val="00C552C0"/>
    <w:rsid w:val="00C55586"/>
    <w:rsid w:val="00C55A28"/>
    <w:rsid w:val="00C55BAB"/>
    <w:rsid w:val="00C560EA"/>
    <w:rsid w:val="00C56E66"/>
    <w:rsid w:val="00C6042E"/>
    <w:rsid w:val="00C62CDA"/>
    <w:rsid w:val="00C63F1B"/>
    <w:rsid w:val="00C6540D"/>
    <w:rsid w:val="00C66C31"/>
    <w:rsid w:val="00C66F30"/>
    <w:rsid w:val="00C718D1"/>
    <w:rsid w:val="00C75513"/>
    <w:rsid w:val="00C75EC5"/>
    <w:rsid w:val="00C76400"/>
    <w:rsid w:val="00C7650C"/>
    <w:rsid w:val="00C7694C"/>
    <w:rsid w:val="00C77572"/>
    <w:rsid w:val="00C80514"/>
    <w:rsid w:val="00C80885"/>
    <w:rsid w:val="00C80925"/>
    <w:rsid w:val="00C80F2B"/>
    <w:rsid w:val="00C81DB9"/>
    <w:rsid w:val="00C823A1"/>
    <w:rsid w:val="00C82B0C"/>
    <w:rsid w:val="00C867DB"/>
    <w:rsid w:val="00C86C11"/>
    <w:rsid w:val="00C90296"/>
    <w:rsid w:val="00C9145A"/>
    <w:rsid w:val="00C931D2"/>
    <w:rsid w:val="00C93789"/>
    <w:rsid w:val="00C951C5"/>
    <w:rsid w:val="00C9558A"/>
    <w:rsid w:val="00C959E1"/>
    <w:rsid w:val="00CA085E"/>
    <w:rsid w:val="00CA1198"/>
    <w:rsid w:val="00CA1B8A"/>
    <w:rsid w:val="00CA52DF"/>
    <w:rsid w:val="00CA6F37"/>
    <w:rsid w:val="00CA7472"/>
    <w:rsid w:val="00CB00CC"/>
    <w:rsid w:val="00CB0C3E"/>
    <w:rsid w:val="00CB1501"/>
    <w:rsid w:val="00CB15B5"/>
    <w:rsid w:val="00CB2523"/>
    <w:rsid w:val="00CB2B41"/>
    <w:rsid w:val="00CB2C52"/>
    <w:rsid w:val="00CB6F46"/>
    <w:rsid w:val="00CB7D7A"/>
    <w:rsid w:val="00CB7DD9"/>
    <w:rsid w:val="00CC5049"/>
    <w:rsid w:val="00CC58F2"/>
    <w:rsid w:val="00CC744D"/>
    <w:rsid w:val="00CC7583"/>
    <w:rsid w:val="00CD0B93"/>
    <w:rsid w:val="00CD1958"/>
    <w:rsid w:val="00CD265E"/>
    <w:rsid w:val="00CD3734"/>
    <w:rsid w:val="00CD3AB9"/>
    <w:rsid w:val="00CD439C"/>
    <w:rsid w:val="00CD4902"/>
    <w:rsid w:val="00CD5BF2"/>
    <w:rsid w:val="00CD7049"/>
    <w:rsid w:val="00CD709D"/>
    <w:rsid w:val="00CE03A5"/>
    <w:rsid w:val="00CE074B"/>
    <w:rsid w:val="00CE0BB6"/>
    <w:rsid w:val="00CE1D9D"/>
    <w:rsid w:val="00CE42FC"/>
    <w:rsid w:val="00CE619F"/>
    <w:rsid w:val="00CE670C"/>
    <w:rsid w:val="00CF10C7"/>
    <w:rsid w:val="00CF47EC"/>
    <w:rsid w:val="00CF5B37"/>
    <w:rsid w:val="00D00302"/>
    <w:rsid w:val="00D0060E"/>
    <w:rsid w:val="00D00CE5"/>
    <w:rsid w:val="00D0297D"/>
    <w:rsid w:val="00D03458"/>
    <w:rsid w:val="00D050F8"/>
    <w:rsid w:val="00D0527C"/>
    <w:rsid w:val="00D052A4"/>
    <w:rsid w:val="00D05E35"/>
    <w:rsid w:val="00D0611E"/>
    <w:rsid w:val="00D078E4"/>
    <w:rsid w:val="00D10708"/>
    <w:rsid w:val="00D113ED"/>
    <w:rsid w:val="00D12F8D"/>
    <w:rsid w:val="00D13B70"/>
    <w:rsid w:val="00D13D12"/>
    <w:rsid w:val="00D15311"/>
    <w:rsid w:val="00D16368"/>
    <w:rsid w:val="00D172E3"/>
    <w:rsid w:val="00D17AEB"/>
    <w:rsid w:val="00D17B0A"/>
    <w:rsid w:val="00D205E9"/>
    <w:rsid w:val="00D21754"/>
    <w:rsid w:val="00D22AC4"/>
    <w:rsid w:val="00D23F8A"/>
    <w:rsid w:val="00D24FA7"/>
    <w:rsid w:val="00D251BD"/>
    <w:rsid w:val="00D2710D"/>
    <w:rsid w:val="00D27289"/>
    <w:rsid w:val="00D30AEF"/>
    <w:rsid w:val="00D311B2"/>
    <w:rsid w:val="00D32173"/>
    <w:rsid w:val="00D33524"/>
    <w:rsid w:val="00D341F9"/>
    <w:rsid w:val="00D34CCE"/>
    <w:rsid w:val="00D37155"/>
    <w:rsid w:val="00D405AE"/>
    <w:rsid w:val="00D40633"/>
    <w:rsid w:val="00D408C7"/>
    <w:rsid w:val="00D418E1"/>
    <w:rsid w:val="00D438E7"/>
    <w:rsid w:val="00D43D67"/>
    <w:rsid w:val="00D45759"/>
    <w:rsid w:val="00D4694D"/>
    <w:rsid w:val="00D46AE8"/>
    <w:rsid w:val="00D4701F"/>
    <w:rsid w:val="00D47EF7"/>
    <w:rsid w:val="00D51B23"/>
    <w:rsid w:val="00D51DF8"/>
    <w:rsid w:val="00D525E4"/>
    <w:rsid w:val="00D52685"/>
    <w:rsid w:val="00D527AC"/>
    <w:rsid w:val="00D52860"/>
    <w:rsid w:val="00D53B09"/>
    <w:rsid w:val="00D55E9B"/>
    <w:rsid w:val="00D56A27"/>
    <w:rsid w:val="00D61AE6"/>
    <w:rsid w:val="00D63094"/>
    <w:rsid w:val="00D643E9"/>
    <w:rsid w:val="00D64750"/>
    <w:rsid w:val="00D656CD"/>
    <w:rsid w:val="00D669E1"/>
    <w:rsid w:val="00D7141E"/>
    <w:rsid w:val="00D7269E"/>
    <w:rsid w:val="00D72E60"/>
    <w:rsid w:val="00D734B1"/>
    <w:rsid w:val="00D73C59"/>
    <w:rsid w:val="00D74244"/>
    <w:rsid w:val="00D75306"/>
    <w:rsid w:val="00D75393"/>
    <w:rsid w:val="00D75880"/>
    <w:rsid w:val="00D8078F"/>
    <w:rsid w:val="00D81F7E"/>
    <w:rsid w:val="00D83652"/>
    <w:rsid w:val="00D841A1"/>
    <w:rsid w:val="00D84E5D"/>
    <w:rsid w:val="00D85900"/>
    <w:rsid w:val="00D86948"/>
    <w:rsid w:val="00D86FC2"/>
    <w:rsid w:val="00D87328"/>
    <w:rsid w:val="00D8746E"/>
    <w:rsid w:val="00D8757C"/>
    <w:rsid w:val="00D879EC"/>
    <w:rsid w:val="00D911FE"/>
    <w:rsid w:val="00D91A03"/>
    <w:rsid w:val="00D92AE4"/>
    <w:rsid w:val="00D92E19"/>
    <w:rsid w:val="00D9343A"/>
    <w:rsid w:val="00D93B4D"/>
    <w:rsid w:val="00D94658"/>
    <w:rsid w:val="00D94E03"/>
    <w:rsid w:val="00D95C15"/>
    <w:rsid w:val="00DA01B0"/>
    <w:rsid w:val="00DA1C34"/>
    <w:rsid w:val="00DA22B2"/>
    <w:rsid w:val="00DA282F"/>
    <w:rsid w:val="00DA35E3"/>
    <w:rsid w:val="00DA395E"/>
    <w:rsid w:val="00DA4702"/>
    <w:rsid w:val="00DA640C"/>
    <w:rsid w:val="00DA6694"/>
    <w:rsid w:val="00DB00D0"/>
    <w:rsid w:val="00DB0397"/>
    <w:rsid w:val="00DB0572"/>
    <w:rsid w:val="00DB0CC7"/>
    <w:rsid w:val="00DB231B"/>
    <w:rsid w:val="00DB2579"/>
    <w:rsid w:val="00DB2AA4"/>
    <w:rsid w:val="00DB3C1E"/>
    <w:rsid w:val="00DB5073"/>
    <w:rsid w:val="00DB623B"/>
    <w:rsid w:val="00DB68CB"/>
    <w:rsid w:val="00DB690B"/>
    <w:rsid w:val="00DB7E7E"/>
    <w:rsid w:val="00DC0852"/>
    <w:rsid w:val="00DC2381"/>
    <w:rsid w:val="00DC26C9"/>
    <w:rsid w:val="00DC2D20"/>
    <w:rsid w:val="00DC2E00"/>
    <w:rsid w:val="00DC3366"/>
    <w:rsid w:val="00DC40A8"/>
    <w:rsid w:val="00DC4296"/>
    <w:rsid w:val="00DC4BCB"/>
    <w:rsid w:val="00DC51AD"/>
    <w:rsid w:val="00DC7E89"/>
    <w:rsid w:val="00DD1027"/>
    <w:rsid w:val="00DD207D"/>
    <w:rsid w:val="00DD385F"/>
    <w:rsid w:val="00DD3B43"/>
    <w:rsid w:val="00DD4550"/>
    <w:rsid w:val="00DD62C0"/>
    <w:rsid w:val="00DD7415"/>
    <w:rsid w:val="00DE082F"/>
    <w:rsid w:val="00DE1D40"/>
    <w:rsid w:val="00DE211C"/>
    <w:rsid w:val="00DE3A46"/>
    <w:rsid w:val="00DE3D2F"/>
    <w:rsid w:val="00DE6913"/>
    <w:rsid w:val="00DF013B"/>
    <w:rsid w:val="00DF01F8"/>
    <w:rsid w:val="00DF0A7D"/>
    <w:rsid w:val="00DF245C"/>
    <w:rsid w:val="00DF340D"/>
    <w:rsid w:val="00DF522F"/>
    <w:rsid w:val="00DF5389"/>
    <w:rsid w:val="00DF58B8"/>
    <w:rsid w:val="00DF5C22"/>
    <w:rsid w:val="00DF65C9"/>
    <w:rsid w:val="00DF68C4"/>
    <w:rsid w:val="00DF70EA"/>
    <w:rsid w:val="00E00D2C"/>
    <w:rsid w:val="00E020F2"/>
    <w:rsid w:val="00E022EA"/>
    <w:rsid w:val="00E0351A"/>
    <w:rsid w:val="00E037C2"/>
    <w:rsid w:val="00E05F66"/>
    <w:rsid w:val="00E07DDC"/>
    <w:rsid w:val="00E07EC8"/>
    <w:rsid w:val="00E105E0"/>
    <w:rsid w:val="00E10FD0"/>
    <w:rsid w:val="00E12F94"/>
    <w:rsid w:val="00E145AC"/>
    <w:rsid w:val="00E14A70"/>
    <w:rsid w:val="00E14DAD"/>
    <w:rsid w:val="00E14E6B"/>
    <w:rsid w:val="00E15996"/>
    <w:rsid w:val="00E16150"/>
    <w:rsid w:val="00E16299"/>
    <w:rsid w:val="00E202BE"/>
    <w:rsid w:val="00E216A0"/>
    <w:rsid w:val="00E21876"/>
    <w:rsid w:val="00E21BE4"/>
    <w:rsid w:val="00E21CFE"/>
    <w:rsid w:val="00E224F1"/>
    <w:rsid w:val="00E23596"/>
    <w:rsid w:val="00E24117"/>
    <w:rsid w:val="00E260E8"/>
    <w:rsid w:val="00E26F7F"/>
    <w:rsid w:val="00E2702E"/>
    <w:rsid w:val="00E27E26"/>
    <w:rsid w:val="00E31DA2"/>
    <w:rsid w:val="00E31DF3"/>
    <w:rsid w:val="00E31E7B"/>
    <w:rsid w:val="00E3462C"/>
    <w:rsid w:val="00E34A22"/>
    <w:rsid w:val="00E34D3B"/>
    <w:rsid w:val="00E358E6"/>
    <w:rsid w:val="00E36323"/>
    <w:rsid w:val="00E40B32"/>
    <w:rsid w:val="00E43DFD"/>
    <w:rsid w:val="00E44E36"/>
    <w:rsid w:val="00E453A9"/>
    <w:rsid w:val="00E46014"/>
    <w:rsid w:val="00E465DA"/>
    <w:rsid w:val="00E469E1"/>
    <w:rsid w:val="00E55E7A"/>
    <w:rsid w:val="00E573F1"/>
    <w:rsid w:val="00E60352"/>
    <w:rsid w:val="00E605CA"/>
    <w:rsid w:val="00E607B6"/>
    <w:rsid w:val="00E61710"/>
    <w:rsid w:val="00E61A65"/>
    <w:rsid w:val="00E636AD"/>
    <w:rsid w:val="00E64352"/>
    <w:rsid w:val="00E65418"/>
    <w:rsid w:val="00E654BF"/>
    <w:rsid w:val="00E65DA1"/>
    <w:rsid w:val="00E65FBE"/>
    <w:rsid w:val="00E67241"/>
    <w:rsid w:val="00E67495"/>
    <w:rsid w:val="00E674AE"/>
    <w:rsid w:val="00E70248"/>
    <w:rsid w:val="00E70920"/>
    <w:rsid w:val="00E70979"/>
    <w:rsid w:val="00E70CAF"/>
    <w:rsid w:val="00E72565"/>
    <w:rsid w:val="00E75683"/>
    <w:rsid w:val="00E77100"/>
    <w:rsid w:val="00E7770F"/>
    <w:rsid w:val="00E80198"/>
    <w:rsid w:val="00E80D04"/>
    <w:rsid w:val="00E80FAA"/>
    <w:rsid w:val="00E83CBB"/>
    <w:rsid w:val="00E847B4"/>
    <w:rsid w:val="00E86310"/>
    <w:rsid w:val="00E876F2"/>
    <w:rsid w:val="00E87CDA"/>
    <w:rsid w:val="00E9338E"/>
    <w:rsid w:val="00E9402A"/>
    <w:rsid w:val="00E95E6C"/>
    <w:rsid w:val="00E96A48"/>
    <w:rsid w:val="00EA068B"/>
    <w:rsid w:val="00EA2A86"/>
    <w:rsid w:val="00EA2C49"/>
    <w:rsid w:val="00EA3303"/>
    <w:rsid w:val="00EA4EC6"/>
    <w:rsid w:val="00EA6475"/>
    <w:rsid w:val="00EA71DF"/>
    <w:rsid w:val="00EA7CEF"/>
    <w:rsid w:val="00EB01DA"/>
    <w:rsid w:val="00EB0CA2"/>
    <w:rsid w:val="00EB13A5"/>
    <w:rsid w:val="00EB2685"/>
    <w:rsid w:val="00EB3704"/>
    <w:rsid w:val="00EB4CA8"/>
    <w:rsid w:val="00EB6D52"/>
    <w:rsid w:val="00EC2C97"/>
    <w:rsid w:val="00EC34EF"/>
    <w:rsid w:val="00EC4E59"/>
    <w:rsid w:val="00EC5169"/>
    <w:rsid w:val="00EC6707"/>
    <w:rsid w:val="00EC6B31"/>
    <w:rsid w:val="00EC7255"/>
    <w:rsid w:val="00EC73C0"/>
    <w:rsid w:val="00EC73D1"/>
    <w:rsid w:val="00EC76D2"/>
    <w:rsid w:val="00ED0399"/>
    <w:rsid w:val="00ED1F45"/>
    <w:rsid w:val="00ED31B3"/>
    <w:rsid w:val="00ED3C89"/>
    <w:rsid w:val="00ED4652"/>
    <w:rsid w:val="00ED521E"/>
    <w:rsid w:val="00ED60C7"/>
    <w:rsid w:val="00ED66D9"/>
    <w:rsid w:val="00EE25E4"/>
    <w:rsid w:val="00EE2A7F"/>
    <w:rsid w:val="00EE2FDA"/>
    <w:rsid w:val="00EE327C"/>
    <w:rsid w:val="00EE35D6"/>
    <w:rsid w:val="00EE3DC8"/>
    <w:rsid w:val="00EE4559"/>
    <w:rsid w:val="00EE45B1"/>
    <w:rsid w:val="00EE6254"/>
    <w:rsid w:val="00EE71CC"/>
    <w:rsid w:val="00EF0920"/>
    <w:rsid w:val="00EF18D4"/>
    <w:rsid w:val="00EF2312"/>
    <w:rsid w:val="00EF2540"/>
    <w:rsid w:val="00EF2675"/>
    <w:rsid w:val="00EF3993"/>
    <w:rsid w:val="00EF4D4B"/>
    <w:rsid w:val="00EF4DDA"/>
    <w:rsid w:val="00EF7952"/>
    <w:rsid w:val="00EF7A5F"/>
    <w:rsid w:val="00EF7C16"/>
    <w:rsid w:val="00F01006"/>
    <w:rsid w:val="00F0272F"/>
    <w:rsid w:val="00F0644A"/>
    <w:rsid w:val="00F06C8B"/>
    <w:rsid w:val="00F07178"/>
    <w:rsid w:val="00F07D4A"/>
    <w:rsid w:val="00F10144"/>
    <w:rsid w:val="00F10B6F"/>
    <w:rsid w:val="00F1246B"/>
    <w:rsid w:val="00F14D46"/>
    <w:rsid w:val="00F155D3"/>
    <w:rsid w:val="00F15A8B"/>
    <w:rsid w:val="00F1729D"/>
    <w:rsid w:val="00F20182"/>
    <w:rsid w:val="00F21EF0"/>
    <w:rsid w:val="00F2298B"/>
    <w:rsid w:val="00F239A9"/>
    <w:rsid w:val="00F24877"/>
    <w:rsid w:val="00F26014"/>
    <w:rsid w:val="00F26C6D"/>
    <w:rsid w:val="00F276AF"/>
    <w:rsid w:val="00F30630"/>
    <w:rsid w:val="00F30A50"/>
    <w:rsid w:val="00F30B88"/>
    <w:rsid w:val="00F31F8D"/>
    <w:rsid w:val="00F321A0"/>
    <w:rsid w:val="00F333E8"/>
    <w:rsid w:val="00F34727"/>
    <w:rsid w:val="00F358B6"/>
    <w:rsid w:val="00F36754"/>
    <w:rsid w:val="00F40258"/>
    <w:rsid w:val="00F4027E"/>
    <w:rsid w:val="00F409B9"/>
    <w:rsid w:val="00F41159"/>
    <w:rsid w:val="00F41A08"/>
    <w:rsid w:val="00F42910"/>
    <w:rsid w:val="00F43B28"/>
    <w:rsid w:val="00F4410D"/>
    <w:rsid w:val="00F51958"/>
    <w:rsid w:val="00F52E2C"/>
    <w:rsid w:val="00F54AC5"/>
    <w:rsid w:val="00F562C6"/>
    <w:rsid w:val="00F570CB"/>
    <w:rsid w:val="00F60ED9"/>
    <w:rsid w:val="00F610C5"/>
    <w:rsid w:val="00F61638"/>
    <w:rsid w:val="00F61659"/>
    <w:rsid w:val="00F62073"/>
    <w:rsid w:val="00F644DA"/>
    <w:rsid w:val="00F67CB9"/>
    <w:rsid w:val="00F74DB1"/>
    <w:rsid w:val="00F75D34"/>
    <w:rsid w:val="00F80545"/>
    <w:rsid w:val="00F843D0"/>
    <w:rsid w:val="00F8483E"/>
    <w:rsid w:val="00F85A31"/>
    <w:rsid w:val="00F86F3A"/>
    <w:rsid w:val="00F87B36"/>
    <w:rsid w:val="00F901FA"/>
    <w:rsid w:val="00F905A2"/>
    <w:rsid w:val="00F907DB"/>
    <w:rsid w:val="00F91C2E"/>
    <w:rsid w:val="00F92AA5"/>
    <w:rsid w:val="00F92E39"/>
    <w:rsid w:val="00F93450"/>
    <w:rsid w:val="00F936A0"/>
    <w:rsid w:val="00F93726"/>
    <w:rsid w:val="00F93B51"/>
    <w:rsid w:val="00F93CCE"/>
    <w:rsid w:val="00F957D3"/>
    <w:rsid w:val="00F96437"/>
    <w:rsid w:val="00F9646F"/>
    <w:rsid w:val="00F9679A"/>
    <w:rsid w:val="00FA0A30"/>
    <w:rsid w:val="00FA1A88"/>
    <w:rsid w:val="00FA202A"/>
    <w:rsid w:val="00FA489E"/>
    <w:rsid w:val="00FA58C9"/>
    <w:rsid w:val="00FA6FDA"/>
    <w:rsid w:val="00FA7F81"/>
    <w:rsid w:val="00FB0E15"/>
    <w:rsid w:val="00FB2D2D"/>
    <w:rsid w:val="00FB2D7D"/>
    <w:rsid w:val="00FB2DA1"/>
    <w:rsid w:val="00FB45E5"/>
    <w:rsid w:val="00FB5EBE"/>
    <w:rsid w:val="00FB67A6"/>
    <w:rsid w:val="00FB6A2A"/>
    <w:rsid w:val="00FB72AD"/>
    <w:rsid w:val="00FB7514"/>
    <w:rsid w:val="00FC00C5"/>
    <w:rsid w:val="00FC0749"/>
    <w:rsid w:val="00FC1D43"/>
    <w:rsid w:val="00FC2277"/>
    <w:rsid w:val="00FC5E5F"/>
    <w:rsid w:val="00FD03A7"/>
    <w:rsid w:val="00FD0778"/>
    <w:rsid w:val="00FD0A3F"/>
    <w:rsid w:val="00FD3A99"/>
    <w:rsid w:val="00FD5A15"/>
    <w:rsid w:val="00FD5D63"/>
    <w:rsid w:val="00FD6316"/>
    <w:rsid w:val="00FD672B"/>
    <w:rsid w:val="00FD67B9"/>
    <w:rsid w:val="00FD69F7"/>
    <w:rsid w:val="00FE07EB"/>
    <w:rsid w:val="00FE0E85"/>
    <w:rsid w:val="00FE1235"/>
    <w:rsid w:val="00FE13EA"/>
    <w:rsid w:val="00FE2357"/>
    <w:rsid w:val="00FE28D5"/>
    <w:rsid w:val="00FE2B57"/>
    <w:rsid w:val="00FE2DD9"/>
    <w:rsid w:val="00FE4272"/>
    <w:rsid w:val="00FE44C3"/>
    <w:rsid w:val="00FE462D"/>
    <w:rsid w:val="00FE53B8"/>
    <w:rsid w:val="00FE55FE"/>
    <w:rsid w:val="00FE603C"/>
    <w:rsid w:val="00FE649E"/>
    <w:rsid w:val="00FE68C9"/>
    <w:rsid w:val="00FE7C32"/>
    <w:rsid w:val="00FF1419"/>
    <w:rsid w:val="00FF21E7"/>
    <w:rsid w:val="00FF293F"/>
    <w:rsid w:val="00FF29F4"/>
    <w:rsid w:val="00FF3134"/>
    <w:rsid w:val="00FF3A1F"/>
    <w:rsid w:val="00FF4223"/>
    <w:rsid w:val="00FF425C"/>
    <w:rsid w:val="00FF4BA3"/>
    <w:rsid w:val="00FF50D7"/>
    <w:rsid w:val="00FF66C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85F6"/>
  <w15:chartTrackingRefBased/>
  <w15:docId w15:val="{E1B3FDE7-E9C2-4D66-BD50-02F77AF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udgment Continued"/>
    <w:next w:val="JudgmentNumbered"/>
    <w:qFormat/>
    <w:rsid w:val="00794DCB"/>
    <w:pPr>
      <w:spacing w:after="240" w:line="360" w:lineRule="auto"/>
      <w:ind w:left="567"/>
      <w:jc w:val="both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1915F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mentNumbered">
    <w:name w:val="Judgment Numbered"/>
    <w:basedOn w:val="Normal"/>
    <w:link w:val="JudgmentNumberedChar"/>
    <w:qFormat/>
    <w:rsid w:val="009C08C0"/>
    <w:pPr>
      <w:numPr>
        <w:numId w:val="4"/>
      </w:numPr>
    </w:pPr>
    <w:rPr>
      <w:rFonts w:cs="Arial"/>
    </w:rPr>
  </w:style>
  <w:style w:type="paragraph" w:customStyle="1" w:styleId="JudgmentHeading">
    <w:name w:val="Judgment Heading"/>
    <w:basedOn w:val="JudgmentNumbered"/>
    <w:next w:val="JudgmentNumbered"/>
    <w:link w:val="JudgmentHeadingChar"/>
    <w:qFormat/>
    <w:rsid w:val="009C08C0"/>
    <w:pPr>
      <w:numPr>
        <w:numId w:val="0"/>
      </w:numPr>
    </w:pPr>
    <w:rPr>
      <w:i/>
    </w:rPr>
  </w:style>
  <w:style w:type="character" w:customStyle="1" w:styleId="JudgmentNumberedChar">
    <w:name w:val="Judgment Numbered Char"/>
    <w:basedOn w:val="DefaultParagraphFont"/>
    <w:link w:val="JudgmentNumbered"/>
    <w:rsid w:val="009C08C0"/>
    <w:rPr>
      <w:rFonts w:ascii="Arial" w:hAnsi="Arial" w:cs="Arial"/>
      <w:sz w:val="24"/>
      <w:lang w:val="en-GB"/>
    </w:rPr>
  </w:style>
  <w:style w:type="paragraph" w:customStyle="1" w:styleId="Normal1">
    <w:name w:val="Normal1"/>
    <w:basedOn w:val="Normal"/>
    <w:next w:val="JudgmentHeading"/>
    <w:link w:val="NORMALChar"/>
    <w:qFormat/>
    <w:rsid w:val="003B0BEA"/>
    <w:pPr>
      <w:spacing w:after="0" w:line="240" w:lineRule="auto"/>
      <w:ind w:left="0"/>
    </w:pPr>
  </w:style>
  <w:style w:type="character" w:customStyle="1" w:styleId="JudgmentHeadingChar">
    <w:name w:val="Judgment Heading Char"/>
    <w:basedOn w:val="JudgmentNumberedChar"/>
    <w:link w:val="JudgmentHeading"/>
    <w:rsid w:val="009C08C0"/>
    <w:rPr>
      <w:rFonts w:ascii="Arial" w:hAnsi="Arial" w:cs="Arial"/>
      <w:i/>
      <w:sz w:val="24"/>
      <w:lang w:val="en-GB"/>
    </w:rPr>
  </w:style>
  <w:style w:type="character" w:customStyle="1" w:styleId="NORMALChar">
    <w:name w:val="NORMAL Char"/>
    <w:basedOn w:val="DefaultParagraphFont"/>
    <w:link w:val="Normal1"/>
    <w:rsid w:val="003B0BEA"/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E1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E1"/>
    <w:rPr>
      <w:rFonts w:ascii="Arial" w:hAnsi="Arial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B5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183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51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6C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92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E4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5E4"/>
    <w:rPr>
      <w:rFonts w:ascii="Arial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B4CA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5FB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1915FB"/>
    <w:rPr>
      <w:color w:val="954F72" w:themeColor="followedHyperlink"/>
      <w:u w:val="single"/>
    </w:rPr>
  </w:style>
  <w:style w:type="paragraph" w:customStyle="1" w:styleId="Default">
    <w:name w:val="Default"/>
    <w:rsid w:val="005262E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ZA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text">
    <w:name w:val="normaltext"/>
    <w:basedOn w:val="Normal"/>
    <w:rsid w:val="0005678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val="en-ZA" w:eastAsia="en-ZA"/>
    </w:rPr>
  </w:style>
  <w:style w:type="character" w:customStyle="1" w:styleId="footnote-link">
    <w:name w:val="footnote-link"/>
    <w:basedOn w:val="DefaultParagraphFont"/>
    <w:rsid w:val="00056789"/>
  </w:style>
  <w:style w:type="character" w:customStyle="1" w:styleId="lphit">
    <w:name w:val="lphit"/>
    <w:basedOn w:val="DefaultParagraphFont"/>
    <w:rsid w:val="00056789"/>
  </w:style>
  <w:style w:type="paragraph" w:customStyle="1" w:styleId="blockquote-x">
    <w:name w:val="blockquote-x"/>
    <w:basedOn w:val="Normal"/>
    <w:rsid w:val="0005678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  <w:lang w:val="en-ZA" w:eastAsia="en-ZA"/>
    </w:rPr>
  </w:style>
  <w:style w:type="paragraph" w:styleId="Revision">
    <w:name w:val="Revision"/>
    <w:hidden/>
    <w:uiPriority w:val="99"/>
    <w:semiHidden/>
    <w:rsid w:val="00D643E9"/>
    <w:pPr>
      <w:spacing w:after="0" w:line="240" w:lineRule="auto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102A3.6AE5447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3ae50-825d-4e06-9055-d98ed20791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2B2D569D2B240AEE7EB12A7C6C4EE" ma:contentTypeVersion="13" ma:contentTypeDescription="Create a new document." ma:contentTypeScope="" ma:versionID="34286bb63c35deb60dec4bb3f99ae2e0">
  <xsd:schema xmlns:xsd="http://www.w3.org/2001/XMLSchema" xmlns:xs="http://www.w3.org/2001/XMLSchema" xmlns:p="http://schemas.microsoft.com/office/2006/metadata/properties" xmlns:ns3="7803ae50-825d-4e06-9055-d98ed2079135" xmlns:ns4="3acb1509-cbd2-408a-830c-c119568ad540" targetNamespace="http://schemas.microsoft.com/office/2006/metadata/properties" ma:root="true" ma:fieldsID="395d1c3c1d117eb3456b7493db41c492" ns3:_="" ns4:_="">
    <xsd:import namespace="7803ae50-825d-4e06-9055-d98ed2079135"/>
    <xsd:import namespace="3acb1509-cbd2-408a-830c-c119568ad54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ae50-825d-4e06-9055-d98ed207913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b1509-cbd2-408a-830c-c119568ad54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230C2-5138-45A7-ADBA-4FEA93D6858F}">
  <ds:schemaRefs>
    <ds:schemaRef ds:uri="http://schemas.microsoft.com/office/2006/metadata/properties"/>
    <ds:schemaRef ds:uri="http://schemas.microsoft.com/office/infopath/2007/PartnerControls"/>
    <ds:schemaRef ds:uri="7803ae50-825d-4e06-9055-d98ed2079135"/>
  </ds:schemaRefs>
</ds:datastoreItem>
</file>

<file path=customXml/itemProps2.xml><?xml version="1.0" encoding="utf-8"?>
<ds:datastoreItem xmlns:ds="http://schemas.openxmlformats.org/officeDocument/2006/customXml" ds:itemID="{699651ED-4836-4A2E-9F16-F4AF4E6DE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ae50-825d-4e06-9055-d98ed2079135"/>
    <ds:schemaRef ds:uri="3acb1509-cbd2-408a-830c-c119568ad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9882C-3287-494C-8962-0FE395F59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23AC4-2443-46D4-BE38-B7FE2049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Sathish</cp:lastModifiedBy>
  <cp:revision>3</cp:revision>
  <cp:lastPrinted>2023-06-01T13:17:00Z</cp:lastPrinted>
  <dcterms:created xsi:type="dcterms:W3CDTF">2024-01-30T08:32:00Z</dcterms:created>
  <dcterms:modified xsi:type="dcterms:W3CDTF">2024-01-30T12:55:00Z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0x0101009BB2B2D569D2B240AEE7EB12A7C6C4EE</vt:lpwstr>
  </property>
</Properties>
</file>