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09A" w:rsidRPr="006E2081" w:rsidRDefault="00F3309A" w:rsidP="00F3309A">
      <w:pPr>
        <w:rPr>
          <w:b/>
          <w:u w:val="none"/>
          <w:lang w:val="en-ZA"/>
        </w:rPr>
      </w:pPr>
      <w:bookmarkStart w:id="0" w:name="_GoBack"/>
      <w:bookmarkEnd w:id="0"/>
      <w:r w:rsidRPr="006E2081">
        <w:rPr>
          <w:b/>
          <w:u w:val="none"/>
          <w:lang w:val="en-ZA"/>
        </w:rPr>
        <w:tab/>
      </w:r>
      <w:r w:rsidRPr="006E2081">
        <w:rPr>
          <w:b/>
          <w:u w:val="none"/>
          <w:lang w:val="en-ZA"/>
        </w:rPr>
        <w:tab/>
      </w:r>
      <w:r w:rsidRPr="006E2081">
        <w:rPr>
          <w:b/>
          <w:u w:val="none"/>
          <w:lang w:val="en-ZA"/>
        </w:rPr>
        <w:tab/>
        <w:t>REPUBLIC OF SOUTH AFRICA</w:t>
      </w:r>
    </w:p>
    <w:p w:rsidR="00F3309A" w:rsidRPr="00F3610A" w:rsidRDefault="00F3309A" w:rsidP="00F3309A">
      <w:pPr>
        <w:jc w:val="center"/>
        <w:rPr>
          <w:b/>
          <w:u w:val="none"/>
          <w:lang w:val="en-ZA"/>
        </w:rPr>
      </w:pPr>
      <w:r>
        <w:rPr>
          <w:u w:val="none"/>
          <w:lang w:val="en-US"/>
        </w:rPr>
        <w:t xml:space="preserve">          </w:t>
      </w:r>
      <w:r>
        <w:rPr>
          <w:noProof/>
          <w:u w:val="none"/>
          <w:lang w:val="en-US" w:eastAsia="en-US"/>
        </w:rPr>
        <w:drawing>
          <wp:inline distT="0" distB="0" distL="0" distR="0" wp14:anchorId="5B0EE26C" wp14:editId="6511259F">
            <wp:extent cx="1441450" cy="1441450"/>
            <wp:effectExtent l="0" t="0" r="6350" b="635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r>
        <w:rPr>
          <w:b/>
          <w:noProof/>
          <w:u w:val="none"/>
          <w:lang w:val="en-US" w:eastAsia="en-US"/>
        </w:rPr>
        <mc:AlternateContent>
          <mc:Choice Requires="wpc">
            <w:drawing>
              <wp:inline distT="0" distB="0" distL="0" distR="0" wp14:anchorId="5DDD342E" wp14:editId="0A27A660">
                <wp:extent cx="673100" cy="863600"/>
                <wp:effectExtent l="635" t="3175" r="254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cx1="http://schemas.microsoft.com/office/drawing/2015/9/8/chartex" xmlns:cx="http://schemas.microsoft.com/office/drawing/2014/chartex">
            <w:pict>
              <v:group w14:anchorId="59270D9B" id="Canvas 3"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rsidR="00F3309A" w:rsidRPr="006E2081" w:rsidRDefault="00F3309A" w:rsidP="00F3309A">
      <w:pPr>
        <w:jc w:val="center"/>
        <w:rPr>
          <w:b/>
          <w:u w:val="none"/>
          <w:lang w:val="en-ZA"/>
        </w:rPr>
      </w:pPr>
      <w:r w:rsidRPr="006E2081">
        <w:rPr>
          <w:b/>
          <w:u w:val="none"/>
          <w:lang w:val="en-ZA"/>
        </w:rPr>
        <w:t xml:space="preserve">IN THE HIGH COURT OF </w:t>
      </w:r>
      <w:smartTag w:uri="urn:schemas-microsoft-com:office:smarttags" w:element="place">
        <w:smartTag w:uri="urn:schemas-microsoft-com:office:smarttags" w:element="country-region">
          <w:r w:rsidRPr="006E2081">
            <w:rPr>
              <w:b/>
              <w:u w:val="none"/>
              <w:lang w:val="en-ZA"/>
            </w:rPr>
            <w:t>SOUTH AFRICA</w:t>
          </w:r>
        </w:smartTag>
      </w:smartTag>
      <w:r w:rsidRPr="006E2081">
        <w:rPr>
          <w:b/>
          <w:u w:val="none"/>
          <w:lang w:val="en-ZA"/>
        </w:rPr>
        <w:t xml:space="preserve">, </w:t>
      </w:r>
    </w:p>
    <w:p w:rsidR="00F3309A" w:rsidRPr="006E2081" w:rsidRDefault="00F3309A" w:rsidP="00F3309A">
      <w:pPr>
        <w:jc w:val="center"/>
        <w:rPr>
          <w:b/>
          <w:u w:val="none"/>
          <w:lang w:val="en-ZA"/>
        </w:rPr>
      </w:pPr>
      <w:r w:rsidRPr="006E2081">
        <w:rPr>
          <w:b/>
          <w:u w:val="none"/>
          <w:lang w:val="en-ZA"/>
        </w:rPr>
        <w:t xml:space="preserve">GAUTENG LOCAL DIVISION, </w:t>
      </w:r>
      <w:smartTag w:uri="urn:schemas-microsoft-com:office:smarttags" w:element="City">
        <w:smartTag w:uri="urn:schemas-microsoft-com:office:smarttags" w:element="place">
          <w:r w:rsidRPr="006E2081">
            <w:rPr>
              <w:b/>
              <w:u w:val="none"/>
              <w:lang w:val="en-ZA"/>
            </w:rPr>
            <w:t>JOHANNESBURG</w:t>
          </w:r>
        </w:smartTag>
      </w:smartTag>
    </w:p>
    <w:p w:rsidR="00F3309A" w:rsidRPr="006E2081" w:rsidRDefault="00F3309A" w:rsidP="00F3309A">
      <w:pPr>
        <w:jc w:val="center"/>
        <w:rPr>
          <w:b/>
          <w:u w:val="none"/>
          <w:lang w:val="en-ZA"/>
        </w:rPr>
      </w:pPr>
    </w:p>
    <w:p w:rsidR="00F3309A" w:rsidRDefault="00F3309A" w:rsidP="00F3309A">
      <w:pPr>
        <w:rPr>
          <w:b/>
          <w:u w:val="none"/>
          <w:lang w:val="en-ZA"/>
        </w:rPr>
      </w:pPr>
    </w:p>
    <w:p w:rsidR="00E42433" w:rsidRPr="006E2081" w:rsidRDefault="00E42433" w:rsidP="00F3309A">
      <w:pPr>
        <w:rPr>
          <w:b/>
          <w:u w:val="none"/>
          <w:lang w:val="en-ZA"/>
        </w:rPr>
      </w:pPr>
    </w:p>
    <w:p w:rsidR="00F3309A" w:rsidRPr="00F3610A" w:rsidRDefault="00F3309A" w:rsidP="00F3309A">
      <w:pPr>
        <w:jc w:val="center"/>
        <w:rPr>
          <w:b/>
          <w:u w:val="none"/>
          <w:lang w:val="en-ZA"/>
        </w:rPr>
      </w:pPr>
      <w:r>
        <w:rPr>
          <w:b/>
          <w:u w:val="none"/>
          <w:lang w:val="en-ZA"/>
        </w:rPr>
        <w:t xml:space="preserve">                                                                                CASE NO:</w:t>
      </w:r>
      <w:r>
        <w:rPr>
          <w:noProof/>
          <w:lang w:val="en-US" w:eastAsia="en-US"/>
        </w:rPr>
        <mc:AlternateContent>
          <mc:Choice Requires="wps">
            <w:drawing>
              <wp:anchor distT="0" distB="0" distL="114300" distR="114300" simplePos="0" relativeHeight="251659264" behindDoc="0" locked="0" layoutInCell="1" allowOverlap="1" wp14:anchorId="2E26664D" wp14:editId="122F5F02">
                <wp:simplePos x="0" y="0"/>
                <wp:positionH relativeFrom="column">
                  <wp:posOffset>0</wp:posOffset>
                </wp:positionH>
                <wp:positionV relativeFrom="paragraph">
                  <wp:posOffset>154940</wp:posOffset>
                </wp:positionV>
                <wp:extent cx="3314700" cy="137160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DB4BCF" w:rsidRPr="00913F95" w:rsidRDefault="00DB4BCF" w:rsidP="00F3309A">
                            <w:pPr>
                              <w:jc w:val="center"/>
                              <w:rPr>
                                <w:rFonts w:ascii="Century Gothic" w:hAnsi="Century Gothic"/>
                                <w:b/>
                                <w:sz w:val="20"/>
                                <w:szCs w:val="20"/>
                              </w:rPr>
                            </w:pPr>
                          </w:p>
                          <w:p w:rsidR="00DB4BCF" w:rsidRDefault="00DB4BCF" w:rsidP="00F3309A">
                            <w:pPr>
                              <w:numPr>
                                <w:ilvl w:val="0"/>
                                <w:numId w:val="1"/>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rsidR="00DB4BCF" w:rsidRPr="00913F95" w:rsidRDefault="00DB4BCF" w:rsidP="00F3309A">
                            <w:pPr>
                              <w:numPr>
                                <w:ilvl w:val="0"/>
                                <w:numId w:val="1"/>
                              </w:numPr>
                              <w:rPr>
                                <w:rFonts w:ascii="Century Gothic" w:hAnsi="Century Gothic"/>
                                <w:sz w:val="20"/>
                                <w:szCs w:val="20"/>
                              </w:rPr>
                            </w:pPr>
                            <w:r w:rsidRPr="00913F95">
                              <w:rPr>
                                <w:rFonts w:ascii="Century Gothic" w:hAnsi="Century Gothic"/>
                                <w:sz w:val="20"/>
                                <w:szCs w:val="20"/>
                              </w:rPr>
                              <w:t>OF INTEREST TO OTHER JUDGES: NO</w:t>
                            </w:r>
                          </w:p>
                          <w:p w:rsidR="00DB4BCF" w:rsidRPr="00913F95" w:rsidRDefault="00DB4BCF" w:rsidP="00F3309A">
                            <w:pPr>
                              <w:ind w:left="900"/>
                              <w:rPr>
                                <w:rFonts w:ascii="Century Gothic" w:hAnsi="Century Gothic"/>
                                <w:sz w:val="20"/>
                                <w:szCs w:val="20"/>
                              </w:rPr>
                            </w:pPr>
                          </w:p>
                          <w:p w:rsidR="00DB4BCF" w:rsidRDefault="00DB4BCF" w:rsidP="00F3309A">
                            <w:pPr>
                              <w:rPr>
                                <w:rFonts w:ascii="Century Gothic" w:hAnsi="Century Gothic"/>
                                <w:b/>
                                <w:sz w:val="18"/>
                                <w:szCs w:val="18"/>
                              </w:rPr>
                            </w:pPr>
                          </w:p>
                          <w:p w:rsidR="00DB4BCF" w:rsidRPr="00084341" w:rsidRDefault="00DB4BCF" w:rsidP="00F3309A">
                            <w:pPr>
                              <w:rPr>
                                <w:rFonts w:ascii="Century Gothic" w:hAnsi="Century Gothic"/>
                                <w:b/>
                                <w:sz w:val="18"/>
                                <w:szCs w:val="18"/>
                                <w:u w:val="none"/>
                              </w:rPr>
                            </w:pPr>
                            <w:r w:rsidRPr="00084341">
                              <w:rPr>
                                <w:rFonts w:ascii="Century Gothic" w:hAnsi="Century Gothic"/>
                                <w:b/>
                                <w:sz w:val="18"/>
                                <w:szCs w:val="18"/>
                                <w:u w:val="none"/>
                              </w:rPr>
                              <w:t xml:space="preserve">      </w:t>
                            </w:r>
                            <w:r>
                              <w:rPr>
                                <w:rFonts w:ascii="Century Gothic" w:hAnsi="Century Gothic"/>
                                <w:b/>
                                <w:sz w:val="18"/>
                                <w:szCs w:val="18"/>
                                <w:u w:val="none"/>
                              </w:rPr>
                              <w:tab/>
                            </w:r>
                            <w:r w:rsidR="008807D6">
                              <w:rPr>
                                <w:rFonts w:ascii="Century Gothic" w:hAnsi="Century Gothic"/>
                                <w:b/>
                                <w:sz w:val="18"/>
                                <w:szCs w:val="18"/>
                                <w:u w:val="none"/>
                              </w:rPr>
                              <w:t xml:space="preserve">20 </w:t>
                            </w:r>
                            <w:r>
                              <w:rPr>
                                <w:rFonts w:ascii="Century Gothic" w:hAnsi="Century Gothic"/>
                                <w:b/>
                                <w:sz w:val="18"/>
                                <w:szCs w:val="18"/>
                                <w:u w:val="none"/>
                              </w:rPr>
                              <w:t>February</w:t>
                            </w:r>
                            <w:r w:rsidRPr="00084341">
                              <w:rPr>
                                <w:rFonts w:ascii="Century Gothic" w:hAnsi="Century Gothic"/>
                                <w:b/>
                                <w:sz w:val="18"/>
                                <w:szCs w:val="18"/>
                                <w:u w:val="none"/>
                              </w:rPr>
                              <w:t xml:space="preserve"> </w:t>
                            </w:r>
                            <w:r>
                              <w:rPr>
                                <w:rFonts w:ascii="Century Gothic" w:hAnsi="Century Gothic"/>
                                <w:b/>
                                <w:sz w:val="18"/>
                                <w:szCs w:val="18"/>
                                <w:u w:val="none"/>
                              </w:rPr>
                              <w:t xml:space="preserve"> 2023</w:t>
                            </w:r>
                            <w:r w:rsidRPr="00084341">
                              <w:rPr>
                                <w:rFonts w:ascii="Century Gothic" w:hAnsi="Century Gothic"/>
                                <w:b/>
                                <w:sz w:val="18"/>
                                <w:szCs w:val="18"/>
                                <w:u w:val="none"/>
                              </w:rPr>
                              <w:tab/>
                            </w:r>
                            <w:r w:rsidRPr="00084341">
                              <w:rPr>
                                <w:rFonts w:ascii="Century Gothic" w:hAnsi="Century Gothic"/>
                                <w:b/>
                                <w:sz w:val="18"/>
                                <w:szCs w:val="18"/>
                                <w:u w:val="none"/>
                              </w:rPr>
                              <w:tab/>
                            </w:r>
                            <w:r w:rsidR="00470DC0">
                              <w:rPr>
                                <w:rFonts w:ascii="Century Gothic" w:hAnsi="Century Gothic"/>
                                <w:b/>
                                <w:sz w:val="18"/>
                                <w:szCs w:val="18"/>
                                <w:u w:val="none"/>
                              </w:rPr>
                              <w:tab/>
                            </w:r>
                            <w:r w:rsidR="00470DC0">
                              <w:rPr>
                                <w:rFonts w:ascii="Century Gothic" w:hAnsi="Century Gothic"/>
                                <w:b/>
                                <w:sz w:val="18"/>
                                <w:szCs w:val="18"/>
                                <w:u w:val="none"/>
                              </w:rPr>
                              <w:tab/>
                            </w:r>
                            <w:r w:rsidR="00470DC0">
                              <w:rPr>
                                <w:rFonts w:ascii="Century Gothic" w:hAnsi="Century Gothic"/>
                                <w:b/>
                                <w:sz w:val="18"/>
                                <w:szCs w:val="18"/>
                                <w:u w:val="none"/>
                              </w:rPr>
                              <w:tab/>
                            </w:r>
                            <w:r w:rsidR="00470DC0">
                              <w:rPr>
                                <w:rFonts w:ascii="Century Gothic" w:hAnsi="Century Gothic"/>
                                <w:b/>
                                <w:sz w:val="18"/>
                                <w:szCs w:val="18"/>
                                <w:u w:val="none"/>
                              </w:rPr>
                              <w:tab/>
                            </w:r>
                            <w:r w:rsidR="00470DC0">
                              <w:rPr>
                                <w:rFonts w:ascii="Century Gothic" w:hAnsi="Century Gothic"/>
                                <w:b/>
                                <w:sz w:val="18"/>
                                <w:szCs w:val="18"/>
                                <w:u w:val="none"/>
                              </w:rPr>
                              <w:tab/>
                            </w:r>
                            <w:r w:rsidRPr="00084341">
                              <w:rPr>
                                <w:rFonts w:ascii="Century Gothic" w:hAnsi="Century Gothic"/>
                                <w:b/>
                                <w:sz w:val="18"/>
                                <w:szCs w:val="18"/>
                                <w:u w:val="none"/>
                              </w:rPr>
                              <w:t>………………………...</w:t>
                            </w:r>
                          </w:p>
                          <w:p w:rsidR="00DB4BCF" w:rsidRPr="00084341" w:rsidRDefault="00DB4BCF" w:rsidP="00F3309A">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E26664D"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rsidR="00DB4BCF" w:rsidRPr="00913F95" w:rsidRDefault="00DB4BCF" w:rsidP="00F3309A">
                      <w:pPr>
                        <w:jc w:val="center"/>
                        <w:rPr>
                          <w:rFonts w:ascii="Century Gothic" w:hAnsi="Century Gothic"/>
                          <w:b/>
                          <w:sz w:val="20"/>
                          <w:szCs w:val="20"/>
                        </w:rPr>
                      </w:pPr>
                    </w:p>
                    <w:p w:rsidR="00DB4BCF" w:rsidRDefault="00DB4BCF" w:rsidP="00F3309A">
                      <w:pPr>
                        <w:numPr>
                          <w:ilvl w:val="0"/>
                          <w:numId w:val="1"/>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rsidR="00DB4BCF" w:rsidRPr="00913F95" w:rsidRDefault="00DB4BCF" w:rsidP="00F3309A">
                      <w:pPr>
                        <w:numPr>
                          <w:ilvl w:val="0"/>
                          <w:numId w:val="1"/>
                        </w:numPr>
                        <w:rPr>
                          <w:rFonts w:ascii="Century Gothic" w:hAnsi="Century Gothic"/>
                          <w:sz w:val="20"/>
                          <w:szCs w:val="20"/>
                        </w:rPr>
                      </w:pPr>
                      <w:r w:rsidRPr="00913F95">
                        <w:rPr>
                          <w:rFonts w:ascii="Century Gothic" w:hAnsi="Century Gothic"/>
                          <w:sz w:val="20"/>
                          <w:szCs w:val="20"/>
                        </w:rPr>
                        <w:t>OF INTEREST TO OTHER JUDGES: NO</w:t>
                      </w:r>
                    </w:p>
                    <w:p w:rsidR="00DB4BCF" w:rsidRPr="00913F95" w:rsidRDefault="00DB4BCF" w:rsidP="00F3309A">
                      <w:pPr>
                        <w:ind w:left="900"/>
                        <w:rPr>
                          <w:rFonts w:ascii="Century Gothic" w:hAnsi="Century Gothic"/>
                          <w:sz w:val="20"/>
                          <w:szCs w:val="20"/>
                        </w:rPr>
                      </w:pPr>
                    </w:p>
                    <w:p w:rsidR="00DB4BCF" w:rsidRDefault="00DB4BCF" w:rsidP="00F3309A">
                      <w:pPr>
                        <w:rPr>
                          <w:rFonts w:ascii="Century Gothic" w:hAnsi="Century Gothic"/>
                          <w:b/>
                          <w:sz w:val="18"/>
                          <w:szCs w:val="18"/>
                        </w:rPr>
                      </w:pPr>
                    </w:p>
                    <w:p w:rsidR="00DB4BCF" w:rsidRPr="00084341" w:rsidRDefault="00DB4BCF" w:rsidP="00F3309A">
                      <w:pPr>
                        <w:rPr>
                          <w:rFonts w:ascii="Century Gothic" w:hAnsi="Century Gothic"/>
                          <w:b/>
                          <w:sz w:val="18"/>
                          <w:szCs w:val="18"/>
                          <w:u w:val="none"/>
                        </w:rPr>
                      </w:pPr>
                      <w:r w:rsidRPr="00084341">
                        <w:rPr>
                          <w:rFonts w:ascii="Century Gothic" w:hAnsi="Century Gothic"/>
                          <w:b/>
                          <w:sz w:val="18"/>
                          <w:szCs w:val="18"/>
                          <w:u w:val="none"/>
                        </w:rPr>
                        <w:t xml:space="preserve">      </w:t>
                      </w:r>
                      <w:r>
                        <w:rPr>
                          <w:rFonts w:ascii="Century Gothic" w:hAnsi="Century Gothic"/>
                          <w:b/>
                          <w:sz w:val="18"/>
                          <w:szCs w:val="18"/>
                          <w:u w:val="none"/>
                        </w:rPr>
                        <w:tab/>
                      </w:r>
                      <w:r w:rsidR="008807D6">
                        <w:rPr>
                          <w:rFonts w:ascii="Century Gothic" w:hAnsi="Century Gothic"/>
                          <w:b/>
                          <w:sz w:val="18"/>
                          <w:szCs w:val="18"/>
                          <w:u w:val="none"/>
                        </w:rPr>
                        <w:t xml:space="preserve">20 </w:t>
                      </w:r>
                      <w:proofErr w:type="gramStart"/>
                      <w:r>
                        <w:rPr>
                          <w:rFonts w:ascii="Century Gothic" w:hAnsi="Century Gothic"/>
                          <w:b/>
                          <w:sz w:val="18"/>
                          <w:szCs w:val="18"/>
                          <w:u w:val="none"/>
                        </w:rPr>
                        <w:t>February</w:t>
                      </w:r>
                      <w:r w:rsidRPr="00084341">
                        <w:rPr>
                          <w:rFonts w:ascii="Century Gothic" w:hAnsi="Century Gothic"/>
                          <w:b/>
                          <w:sz w:val="18"/>
                          <w:szCs w:val="18"/>
                          <w:u w:val="none"/>
                        </w:rPr>
                        <w:t xml:space="preserve"> </w:t>
                      </w:r>
                      <w:r>
                        <w:rPr>
                          <w:rFonts w:ascii="Century Gothic" w:hAnsi="Century Gothic"/>
                          <w:b/>
                          <w:sz w:val="18"/>
                          <w:szCs w:val="18"/>
                          <w:u w:val="none"/>
                        </w:rPr>
                        <w:t xml:space="preserve"> 2023</w:t>
                      </w:r>
                      <w:proofErr w:type="gramEnd"/>
                      <w:r w:rsidRPr="00084341">
                        <w:rPr>
                          <w:rFonts w:ascii="Century Gothic" w:hAnsi="Century Gothic"/>
                          <w:b/>
                          <w:sz w:val="18"/>
                          <w:szCs w:val="18"/>
                          <w:u w:val="none"/>
                        </w:rPr>
                        <w:tab/>
                      </w:r>
                      <w:r w:rsidRPr="00084341">
                        <w:rPr>
                          <w:rFonts w:ascii="Century Gothic" w:hAnsi="Century Gothic"/>
                          <w:b/>
                          <w:sz w:val="18"/>
                          <w:szCs w:val="18"/>
                          <w:u w:val="none"/>
                        </w:rPr>
                        <w:tab/>
                      </w:r>
                      <w:r w:rsidR="00470DC0">
                        <w:rPr>
                          <w:rFonts w:ascii="Century Gothic" w:hAnsi="Century Gothic"/>
                          <w:b/>
                          <w:sz w:val="18"/>
                          <w:szCs w:val="18"/>
                          <w:u w:val="none"/>
                        </w:rPr>
                        <w:tab/>
                      </w:r>
                      <w:r w:rsidR="00470DC0">
                        <w:rPr>
                          <w:rFonts w:ascii="Century Gothic" w:hAnsi="Century Gothic"/>
                          <w:b/>
                          <w:sz w:val="18"/>
                          <w:szCs w:val="18"/>
                          <w:u w:val="none"/>
                        </w:rPr>
                        <w:tab/>
                      </w:r>
                      <w:r w:rsidR="00470DC0">
                        <w:rPr>
                          <w:rFonts w:ascii="Century Gothic" w:hAnsi="Century Gothic"/>
                          <w:b/>
                          <w:sz w:val="18"/>
                          <w:szCs w:val="18"/>
                          <w:u w:val="none"/>
                        </w:rPr>
                        <w:tab/>
                      </w:r>
                      <w:r w:rsidR="00470DC0">
                        <w:rPr>
                          <w:rFonts w:ascii="Century Gothic" w:hAnsi="Century Gothic"/>
                          <w:b/>
                          <w:sz w:val="18"/>
                          <w:szCs w:val="18"/>
                          <w:u w:val="none"/>
                        </w:rPr>
                        <w:tab/>
                      </w:r>
                      <w:r w:rsidR="00470DC0">
                        <w:rPr>
                          <w:rFonts w:ascii="Century Gothic" w:hAnsi="Century Gothic"/>
                          <w:b/>
                          <w:sz w:val="18"/>
                          <w:szCs w:val="18"/>
                          <w:u w:val="none"/>
                        </w:rPr>
                        <w:tab/>
                      </w:r>
                      <w:bookmarkStart w:id="1" w:name="_GoBack"/>
                      <w:bookmarkEnd w:id="1"/>
                      <w:r w:rsidRPr="00084341">
                        <w:rPr>
                          <w:rFonts w:ascii="Century Gothic" w:hAnsi="Century Gothic"/>
                          <w:b/>
                          <w:sz w:val="18"/>
                          <w:szCs w:val="18"/>
                          <w:u w:val="none"/>
                        </w:rPr>
                        <w:t>………………………...</w:t>
                      </w:r>
                    </w:p>
                    <w:p w:rsidR="00DB4BCF" w:rsidRPr="00084341" w:rsidRDefault="00DB4BCF" w:rsidP="00F3309A">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v:textbox>
              </v:shape>
            </w:pict>
          </mc:Fallback>
        </mc:AlternateContent>
      </w:r>
      <w:r>
        <w:rPr>
          <w:b/>
          <w:u w:val="none"/>
          <w:lang w:val="en-ZA"/>
        </w:rPr>
        <w:t xml:space="preserve"> </w:t>
      </w:r>
      <w:r w:rsidR="00B00985">
        <w:rPr>
          <w:b/>
          <w:u w:val="none"/>
          <w:lang w:val="en-ZA"/>
        </w:rPr>
        <w:t>30404/2021</w:t>
      </w: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rPr>
          <w:u w:val="none"/>
        </w:rPr>
      </w:pPr>
    </w:p>
    <w:p w:rsidR="00F3309A" w:rsidRDefault="00F3309A" w:rsidP="00F3309A">
      <w:pPr>
        <w:rPr>
          <w:u w:val="none"/>
        </w:rPr>
      </w:pPr>
    </w:p>
    <w:p w:rsidR="00F3309A" w:rsidRPr="006E2081" w:rsidRDefault="00F3309A" w:rsidP="00F3309A">
      <w:pPr>
        <w:rPr>
          <w:u w:val="none"/>
        </w:rPr>
      </w:pPr>
      <w:r w:rsidRPr="006E2081">
        <w:rPr>
          <w:u w:val="none"/>
        </w:rPr>
        <w:t>In the matter between:</w:t>
      </w:r>
    </w:p>
    <w:p w:rsidR="00F3309A" w:rsidRDefault="00F3309A" w:rsidP="00F3309A">
      <w:pPr>
        <w:spacing w:line="360" w:lineRule="auto"/>
        <w:jc w:val="both"/>
        <w:rPr>
          <w:b/>
          <w:u w:val="none"/>
        </w:rPr>
      </w:pPr>
      <w:r>
        <w:rPr>
          <w:b/>
          <w:u w:val="none"/>
        </w:rPr>
        <w:tab/>
      </w:r>
      <w:r w:rsidRPr="0096135C">
        <w:rPr>
          <w:b/>
          <w:u w:val="none"/>
        </w:rPr>
        <w:tab/>
      </w:r>
      <w:r w:rsidRPr="0096135C">
        <w:rPr>
          <w:b/>
          <w:u w:val="none"/>
        </w:rPr>
        <w:tab/>
      </w:r>
      <w:r w:rsidRPr="0096135C">
        <w:rPr>
          <w:b/>
          <w:u w:val="none"/>
        </w:rPr>
        <w:tab/>
      </w:r>
      <w:r>
        <w:rPr>
          <w:b/>
          <w:u w:val="none"/>
        </w:rPr>
        <w:t xml:space="preserve">         </w:t>
      </w:r>
    </w:p>
    <w:p w:rsidR="00B00985" w:rsidRDefault="00B00985" w:rsidP="00B00985">
      <w:pPr>
        <w:spacing w:line="360" w:lineRule="auto"/>
        <w:jc w:val="both"/>
        <w:rPr>
          <w:u w:val="none"/>
        </w:rPr>
      </w:pPr>
      <w:r w:rsidRPr="00B00985">
        <w:rPr>
          <w:b/>
          <w:u w:val="none"/>
        </w:rPr>
        <w:t>43 AIR SCHOOL HOLDINGS (PTY) LTD</w:t>
      </w:r>
      <w:r>
        <w:rPr>
          <w:u w:val="none"/>
        </w:rPr>
        <w:tab/>
      </w:r>
      <w:r>
        <w:rPr>
          <w:u w:val="none"/>
        </w:rPr>
        <w:tab/>
      </w:r>
      <w:r>
        <w:rPr>
          <w:u w:val="none"/>
        </w:rPr>
        <w:tab/>
        <w:t>1</w:t>
      </w:r>
      <w:r w:rsidRPr="00B00985">
        <w:rPr>
          <w:u w:val="none"/>
          <w:vertAlign w:val="superscript"/>
        </w:rPr>
        <w:t>st</w:t>
      </w:r>
      <w:r>
        <w:rPr>
          <w:u w:val="none"/>
        </w:rPr>
        <w:t xml:space="preserve"> Applicant</w:t>
      </w:r>
    </w:p>
    <w:p w:rsidR="00B00985" w:rsidRDefault="00B00985" w:rsidP="00B00985">
      <w:pPr>
        <w:spacing w:line="360" w:lineRule="auto"/>
        <w:jc w:val="both"/>
        <w:rPr>
          <w:u w:val="none"/>
        </w:rPr>
      </w:pPr>
      <w:r>
        <w:rPr>
          <w:u w:val="none"/>
        </w:rPr>
        <w:t xml:space="preserve"> </w:t>
      </w:r>
      <w:r w:rsidRPr="00B00985">
        <w:rPr>
          <w:b/>
          <w:u w:val="none"/>
        </w:rPr>
        <w:t>43 AIR SCHOOL (PTY) LTD</w:t>
      </w:r>
      <w:r>
        <w:rPr>
          <w:u w:val="none"/>
        </w:rPr>
        <w:tab/>
      </w:r>
      <w:r>
        <w:rPr>
          <w:u w:val="none"/>
        </w:rPr>
        <w:tab/>
      </w:r>
      <w:r>
        <w:rPr>
          <w:u w:val="none"/>
        </w:rPr>
        <w:tab/>
      </w:r>
      <w:r>
        <w:rPr>
          <w:u w:val="none"/>
        </w:rPr>
        <w:tab/>
      </w:r>
      <w:r>
        <w:rPr>
          <w:u w:val="none"/>
        </w:rPr>
        <w:tab/>
        <w:t>2</w:t>
      </w:r>
      <w:r w:rsidRPr="00B00985">
        <w:rPr>
          <w:u w:val="none"/>
          <w:vertAlign w:val="superscript"/>
        </w:rPr>
        <w:t>nd</w:t>
      </w:r>
      <w:r>
        <w:rPr>
          <w:u w:val="none"/>
        </w:rPr>
        <w:t xml:space="preserve"> Applicant </w:t>
      </w:r>
    </w:p>
    <w:p w:rsidR="00B00985" w:rsidRDefault="00B00985" w:rsidP="00B00985">
      <w:pPr>
        <w:spacing w:line="360" w:lineRule="auto"/>
        <w:jc w:val="both"/>
        <w:rPr>
          <w:u w:val="none"/>
        </w:rPr>
      </w:pPr>
      <w:r>
        <w:rPr>
          <w:u w:val="none"/>
        </w:rPr>
        <w:t xml:space="preserve"> </w:t>
      </w:r>
      <w:r w:rsidRPr="00B00985">
        <w:rPr>
          <w:b/>
          <w:u w:val="none"/>
        </w:rPr>
        <w:t>PTC AVIATION (PTY) LTD</w:t>
      </w:r>
      <w:r>
        <w:rPr>
          <w:u w:val="none"/>
        </w:rPr>
        <w:tab/>
      </w:r>
      <w:r>
        <w:rPr>
          <w:u w:val="none"/>
        </w:rPr>
        <w:tab/>
      </w:r>
      <w:r>
        <w:rPr>
          <w:u w:val="none"/>
        </w:rPr>
        <w:tab/>
      </w:r>
      <w:r>
        <w:rPr>
          <w:u w:val="none"/>
        </w:rPr>
        <w:tab/>
      </w:r>
      <w:r>
        <w:rPr>
          <w:u w:val="none"/>
        </w:rPr>
        <w:tab/>
        <w:t>3</w:t>
      </w:r>
      <w:r w:rsidRPr="00B00985">
        <w:rPr>
          <w:u w:val="none"/>
          <w:vertAlign w:val="superscript"/>
        </w:rPr>
        <w:t>rd</w:t>
      </w:r>
      <w:r>
        <w:rPr>
          <w:u w:val="none"/>
        </w:rPr>
        <w:t xml:space="preserve"> Applicant</w:t>
      </w:r>
    </w:p>
    <w:p w:rsidR="00B00985" w:rsidRDefault="00B00985" w:rsidP="00B00985">
      <w:pPr>
        <w:spacing w:line="360" w:lineRule="auto"/>
        <w:jc w:val="both"/>
        <w:rPr>
          <w:u w:val="none"/>
        </w:rPr>
      </w:pPr>
      <w:r w:rsidRPr="00B00985">
        <w:rPr>
          <w:u w:val="none"/>
        </w:rPr>
        <w:t xml:space="preserve"> </w:t>
      </w:r>
      <w:r w:rsidRPr="00B00985">
        <w:rPr>
          <w:b/>
          <w:u w:val="none"/>
        </w:rPr>
        <w:t>JET ORIENTATION CENTRE (PTY) LTD</w:t>
      </w:r>
      <w:r w:rsidRPr="00B00985">
        <w:rPr>
          <w:u w:val="none"/>
        </w:rPr>
        <w:t xml:space="preserve"> </w:t>
      </w:r>
      <w:r>
        <w:rPr>
          <w:u w:val="none"/>
        </w:rPr>
        <w:tab/>
      </w:r>
      <w:r>
        <w:rPr>
          <w:u w:val="none"/>
        </w:rPr>
        <w:tab/>
      </w:r>
      <w:r>
        <w:rPr>
          <w:u w:val="none"/>
        </w:rPr>
        <w:tab/>
        <w:t>4</w:t>
      </w:r>
      <w:r w:rsidRPr="00B00985">
        <w:rPr>
          <w:u w:val="none"/>
          <w:vertAlign w:val="superscript"/>
        </w:rPr>
        <w:t>th</w:t>
      </w:r>
      <w:r>
        <w:rPr>
          <w:u w:val="none"/>
        </w:rPr>
        <w:t xml:space="preserve"> Applicant</w:t>
      </w:r>
    </w:p>
    <w:p w:rsidR="00B00985" w:rsidRDefault="00B00985" w:rsidP="00B00985">
      <w:pPr>
        <w:spacing w:line="360" w:lineRule="auto"/>
        <w:jc w:val="both"/>
        <w:rPr>
          <w:u w:val="none"/>
        </w:rPr>
      </w:pPr>
    </w:p>
    <w:p w:rsidR="00B00985" w:rsidRPr="008B7C93" w:rsidRDefault="00B00985" w:rsidP="00B00985">
      <w:pPr>
        <w:spacing w:line="360" w:lineRule="auto"/>
        <w:jc w:val="both"/>
        <w:rPr>
          <w:b/>
          <w:u w:val="none"/>
        </w:rPr>
      </w:pPr>
      <w:r w:rsidRPr="008B7C93">
        <w:rPr>
          <w:b/>
          <w:u w:val="none"/>
        </w:rPr>
        <w:t>And</w:t>
      </w:r>
    </w:p>
    <w:p w:rsidR="00B00985" w:rsidRDefault="00B00985" w:rsidP="00B00985">
      <w:pPr>
        <w:spacing w:line="360" w:lineRule="auto"/>
        <w:jc w:val="both"/>
        <w:rPr>
          <w:u w:val="none"/>
        </w:rPr>
      </w:pPr>
    </w:p>
    <w:p w:rsidR="007548FE" w:rsidRPr="00B00985" w:rsidRDefault="00B00985" w:rsidP="00B00985">
      <w:pPr>
        <w:spacing w:line="360" w:lineRule="auto"/>
        <w:jc w:val="both"/>
        <w:rPr>
          <w:u w:val="none"/>
        </w:rPr>
      </w:pPr>
      <w:r w:rsidRPr="00B00985">
        <w:rPr>
          <w:b/>
          <w:u w:val="none"/>
        </w:rPr>
        <w:t>AIG SOUTH AFRICA LTD</w:t>
      </w:r>
      <w:r>
        <w:rPr>
          <w:u w:val="none"/>
        </w:rPr>
        <w:tab/>
      </w:r>
      <w:r>
        <w:rPr>
          <w:u w:val="none"/>
        </w:rPr>
        <w:tab/>
      </w:r>
      <w:r>
        <w:rPr>
          <w:u w:val="none"/>
        </w:rPr>
        <w:tab/>
      </w:r>
      <w:r>
        <w:rPr>
          <w:u w:val="none"/>
        </w:rPr>
        <w:tab/>
      </w:r>
      <w:r>
        <w:rPr>
          <w:u w:val="none"/>
        </w:rPr>
        <w:tab/>
      </w:r>
      <w:r>
        <w:rPr>
          <w:u w:val="none"/>
        </w:rPr>
        <w:tab/>
        <w:t>Respondent</w:t>
      </w:r>
    </w:p>
    <w:p w:rsidR="007548FE" w:rsidRDefault="007548FE" w:rsidP="007548FE">
      <w:pPr>
        <w:spacing w:line="360" w:lineRule="auto"/>
        <w:jc w:val="both"/>
        <w:rPr>
          <w:u w:val="none"/>
        </w:rPr>
      </w:pPr>
    </w:p>
    <w:p w:rsidR="002078E9" w:rsidRPr="004C5A95" w:rsidRDefault="002078E9" w:rsidP="004C5A95">
      <w:pPr>
        <w:spacing w:line="360" w:lineRule="auto"/>
        <w:jc w:val="both"/>
        <w:rPr>
          <w:u w:val="none"/>
        </w:rPr>
      </w:pPr>
      <w:r w:rsidRPr="008D2F45">
        <w:rPr>
          <w:sz w:val="22"/>
          <w:szCs w:val="22"/>
          <w:u w:val="none"/>
        </w:rPr>
        <w:t>(</w:t>
      </w:r>
      <w:r w:rsidRPr="00992EF6">
        <w:rPr>
          <w:bCs/>
          <w:sz w:val="20"/>
          <w:szCs w:val="20"/>
          <w:u w:val="none"/>
        </w:rPr>
        <w:t>This judgment is handed down electronically by circulation to the parties’ legal representatives by email and by uploading it to the electronic file of this matter on CaseLines.  The date for hand-down is deemed to be</w:t>
      </w:r>
      <w:r w:rsidR="00F16069">
        <w:rPr>
          <w:sz w:val="20"/>
          <w:szCs w:val="20"/>
          <w:u w:val="none"/>
        </w:rPr>
        <w:t xml:space="preserve">  </w:t>
      </w:r>
      <w:r w:rsidR="008807D6">
        <w:rPr>
          <w:sz w:val="20"/>
          <w:szCs w:val="20"/>
          <w:u w:val="none"/>
        </w:rPr>
        <w:t>20</w:t>
      </w:r>
      <w:r w:rsidR="00BB47A5">
        <w:rPr>
          <w:sz w:val="20"/>
          <w:szCs w:val="20"/>
          <w:u w:val="none"/>
        </w:rPr>
        <w:t xml:space="preserve"> February </w:t>
      </w:r>
      <w:r w:rsidR="00F16069">
        <w:rPr>
          <w:sz w:val="20"/>
          <w:szCs w:val="20"/>
          <w:u w:val="none"/>
        </w:rPr>
        <w:t>2023</w:t>
      </w:r>
      <w:r w:rsidRPr="008D2F45">
        <w:rPr>
          <w:sz w:val="22"/>
          <w:szCs w:val="22"/>
          <w:u w:val="none"/>
        </w:rPr>
        <w:t>.)</w:t>
      </w:r>
    </w:p>
    <w:p w:rsidR="00F3309A" w:rsidRPr="008D2F45" w:rsidRDefault="00F3309A" w:rsidP="00F3309A">
      <w:pPr>
        <w:pBdr>
          <w:bottom w:val="single" w:sz="12" w:space="1" w:color="auto"/>
        </w:pBdr>
        <w:spacing w:line="360" w:lineRule="auto"/>
        <w:jc w:val="both"/>
        <w:rPr>
          <w:sz w:val="22"/>
          <w:szCs w:val="22"/>
          <w:u w:val="none"/>
        </w:rPr>
      </w:pPr>
    </w:p>
    <w:p w:rsidR="00F3309A" w:rsidRPr="0096135C" w:rsidRDefault="00F3309A" w:rsidP="00F3309A">
      <w:pPr>
        <w:spacing w:line="360" w:lineRule="auto"/>
        <w:rPr>
          <w:b/>
          <w:u w:val="none"/>
        </w:rPr>
      </w:pPr>
    </w:p>
    <w:p w:rsidR="00F3309A" w:rsidRPr="0096135C" w:rsidRDefault="00B37CA2" w:rsidP="00F3309A">
      <w:pPr>
        <w:pBdr>
          <w:bottom w:val="single" w:sz="12" w:space="1" w:color="auto"/>
        </w:pBdr>
        <w:spacing w:line="360" w:lineRule="auto"/>
        <w:jc w:val="center"/>
        <w:rPr>
          <w:u w:val="none"/>
        </w:rPr>
      </w:pPr>
      <w:r>
        <w:rPr>
          <w:b/>
          <w:u w:val="none"/>
        </w:rPr>
        <w:t>JUDGMENT</w:t>
      </w:r>
    </w:p>
    <w:p w:rsidR="001B7095" w:rsidRDefault="00F3309A" w:rsidP="001B7095">
      <w:pPr>
        <w:spacing w:line="360" w:lineRule="auto"/>
        <w:jc w:val="both"/>
        <w:rPr>
          <w:b/>
          <w:u w:val="none"/>
        </w:rPr>
      </w:pPr>
      <w:r>
        <w:rPr>
          <w:b/>
          <w:u w:val="none"/>
        </w:rPr>
        <w:t xml:space="preserve">MIA, </w:t>
      </w:r>
      <w:r w:rsidRPr="0096135C">
        <w:rPr>
          <w:b/>
          <w:u w:val="none"/>
        </w:rPr>
        <w:t>J</w:t>
      </w:r>
    </w:p>
    <w:p w:rsidR="001B7095" w:rsidRDefault="008807D6" w:rsidP="001B7095">
      <w:pPr>
        <w:spacing w:line="360" w:lineRule="auto"/>
        <w:jc w:val="both"/>
        <w:rPr>
          <w:u w:val="none"/>
        </w:rPr>
      </w:pPr>
      <w:r>
        <w:rPr>
          <w:u w:val="none"/>
        </w:rPr>
        <w:lastRenderedPageBreak/>
        <w:t xml:space="preserve"> </w:t>
      </w:r>
      <w:r w:rsidR="001B7095">
        <w:rPr>
          <w:u w:val="none"/>
        </w:rPr>
        <w:t>[1]</w:t>
      </w:r>
      <w:r w:rsidR="001B7095">
        <w:rPr>
          <w:u w:val="none"/>
        </w:rPr>
        <w:tab/>
      </w:r>
      <w:r w:rsidR="001B7095" w:rsidRPr="001B7095">
        <w:rPr>
          <w:u w:val="none"/>
        </w:rPr>
        <w:t xml:space="preserve">The applicants </w:t>
      </w:r>
      <w:r w:rsidR="00E432E6">
        <w:rPr>
          <w:u w:val="none"/>
        </w:rPr>
        <w:t>sought</w:t>
      </w:r>
      <w:r w:rsidR="001B7095" w:rsidRPr="001B7095">
        <w:rPr>
          <w:u w:val="none"/>
        </w:rPr>
        <w:t xml:space="preserve"> the following relief. </w:t>
      </w:r>
    </w:p>
    <w:p w:rsidR="00DA7DCD" w:rsidRPr="00483686" w:rsidRDefault="00483686" w:rsidP="00483686">
      <w:pPr>
        <w:spacing w:line="360" w:lineRule="auto"/>
        <w:ind w:left="1440"/>
        <w:jc w:val="both"/>
        <w:rPr>
          <w:sz w:val="22"/>
          <w:szCs w:val="22"/>
          <w:u w:val="none"/>
        </w:rPr>
      </w:pPr>
      <w:r w:rsidRPr="00483686">
        <w:rPr>
          <w:sz w:val="22"/>
          <w:szCs w:val="22"/>
          <w:u w:val="none"/>
        </w:rPr>
        <w:t>“</w:t>
      </w:r>
      <w:r w:rsidR="001B7095" w:rsidRPr="00483686">
        <w:rPr>
          <w:sz w:val="22"/>
          <w:szCs w:val="22"/>
          <w:u w:val="none"/>
        </w:rPr>
        <w:t>1. Declaring that the respondent is liable to compensate the second, third and fourth applicants in respect of business interruption insurance</w:t>
      </w:r>
      <w:r w:rsidR="00EF6FC4" w:rsidRPr="00483686">
        <w:rPr>
          <w:sz w:val="22"/>
          <w:szCs w:val="22"/>
          <w:u w:val="none"/>
        </w:rPr>
        <w:t xml:space="preserve"> cover</w:t>
      </w:r>
      <w:r w:rsidR="001B7095" w:rsidRPr="00483686">
        <w:rPr>
          <w:sz w:val="22"/>
          <w:szCs w:val="22"/>
          <w:u w:val="none"/>
        </w:rPr>
        <w:t>, from the period from 27 March 2020</w:t>
      </w:r>
      <w:r w:rsidR="00DA7DCD" w:rsidRPr="00483686">
        <w:rPr>
          <w:sz w:val="22"/>
          <w:szCs w:val="22"/>
          <w:u w:val="none"/>
        </w:rPr>
        <w:t xml:space="preserve"> to</w:t>
      </w:r>
      <w:r w:rsidR="008807D6">
        <w:rPr>
          <w:sz w:val="22"/>
          <w:szCs w:val="22"/>
          <w:u w:val="none"/>
        </w:rPr>
        <w:t xml:space="preserve"> 31 May 2020</w:t>
      </w:r>
      <w:r w:rsidR="001B7095" w:rsidRPr="00483686">
        <w:rPr>
          <w:sz w:val="22"/>
          <w:szCs w:val="22"/>
          <w:u w:val="none"/>
        </w:rPr>
        <w:t>.</w:t>
      </w:r>
    </w:p>
    <w:p w:rsidR="00DA7DCD" w:rsidRPr="00483686" w:rsidRDefault="00DA7DCD" w:rsidP="00483686">
      <w:pPr>
        <w:spacing w:line="360" w:lineRule="auto"/>
        <w:ind w:left="1440"/>
        <w:jc w:val="both"/>
        <w:rPr>
          <w:sz w:val="22"/>
          <w:szCs w:val="22"/>
          <w:u w:val="none"/>
        </w:rPr>
      </w:pPr>
      <w:r w:rsidRPr="00483686">
        <w:rPr>
          <w:sz w:val="22"/>
          <w:szCs w:val="22"/>
          <w:u w:val="none"/>
        </w:rPr>
        <w:t>2.</w:t>
      </w:r>
      <w:r w:rsidR="001B7095" w:rsidRPr="00483686">
        <w:rPr>
          <w:sz w:val="22"/>
          <w:szCs w:val="22"/>
          <w:u w:val="none"/>
        </w:rPr>
        <w:t xml:space="preserve"> Directin</w:t>
      </w:r>
      <w:r w:rsidRPr="00483686">
        <w:rPr>
          <w:sz w:val="22"/>
          <w:szCs w:val="22"/>
          <w:u w:val="none"/>
        </w:rPr>
        <w:t>g</w:t>
      </w:r>
      <w:r w:rsidR="001B7095" w:rsidRPr="00483686">
        <w:rPr>
          <w:sz w:val="22"/>
          <w:szCs w:val="22"/>
          <w:u w:val="none"/>
        </w:rPr>
        <w:t xml:space="preserve"> the respondent to engage the second, third and fourth applicants meaningfully for the purposes of quantifying the monetary value of the claims of each of the second, third and fourth applicants for compensation in respect of business interruption insurance for the period fr</w:t>
      </w:r>
      <w:r w:rsidR="008807D6">
        <w:rPr>
          <w:sz w:val="22"/>
          <w:szCs w:val="22"/>
          <w:u w:val="none"/>
        </w:rPr>
        <w:t>om 27 March 2020 to 31 May 2020</w:t>
      </w:r>
      <w:r w:rsidRPr="00483686">
        <w:rPr>
          <w:sz w:val="22"/>
          <w:szCs w:val="22"/>
          <w:u w:val="none"/>
        </w:rPr>
        <w:t xml:space="preserve">. </w:t>
      </w:r>
    </w:p>
    <w:p w:rsidR="001B7095" w:rsidRPr="00483686" w:rsidRDefault="00DA7DCD" w:rsidP="001B7095">
      <w:pPr>
        <w:spacing w:line="360" w:lineRule="auto"/>
        <w:ind w:left="720" w:firstLine="720"/>
        <w:jc w:val="both"/>
        <w:rPr>
          <w:rFonts w:asciiTheme="minorHAnsi" w:hAnsiTheme="minorHAnsi" w:cstheme="minorBidi"/>
          <w:sz w:val="22"/>
          <w:szCs w:val="22"/>
          <w:u w:val="none"/>
          <w:lang w:val="en-US" w:eastAsia="en-US"/>
        </w:rPr>
      </w:pPr>
      <w:r w:rsidRPr="00483686">
        <w:rPr>
          <w:sz w:val="22"/>
          <w:szCs w:val="22"/>
          <w:u w:val="none"/>
        </w:rPr>
        <w:t>3.D</w:t>
      </w:r>
      <w:r w:rsidR="001B7095" w:rsidRPr="00483686">
        <w:rPr>
          <w:sz w:val="22"/>
          <w:szCs w:val="22"/>
          <w:u w:val="none"/>
        </w:rPr>
        <w:t>irectin</w:t>
      </w:r>
      <w:r w:rsidRPr="00483686">
        <w:rPr>
          <w:sz w:val="22"/>
          <w:szCs w:val="22"/>
          <w:u w:val="none"/>
        </w:rPr>
        <w:t>g</w:t>
      </w:r>
      <w:r w:rsidR="001B7095" w:rsidRPr="00483686">
        <w:rPr>
          <w:sz w:val="22"/>
          <w:szCs w:val="22"/>
          <w:u w:val="none"/>
        </w:rPr>
        <w:t xml:space="preserve"> the responden</w:t>
      </w:r>
      <w:r w:rsidRPr="00483686">
        <w:rPr>
          <w:sz w:val="22"/>
          <w:szCs w:val="22"/>
          <w:u w:val="none"/>
        </w:rPr>
        <w:t>t to pay the applicants costs.</w:t>
      </w:r>
      <w:r w:rsidR="00483686">
        <w:rPr>
          <w:sz w:val="22"/>
          <w:szCs w:val="22"/>
          <w:u w:val="none"/>
        </w:rPr>
        <w:t>”</w:t>
      </w:r>
    </w:p>
    <w:p w:rsidR="001B7095" w:rsidRPr="001B7095" w:rsidRDefault="001B7095" w:rsidP="001B7095">
      <w:pPr>
        <w:spacing w:line="360" w:lineRule="auto"/>
        <w:jc w:val="both"/>
        <w:rPr>
          <w:u w:val="none"/>
        </w:rPr>
      </w:pPr>
    </w:p>
    <w:p w:rsidR="001B7095" w:rsidRPr="001B7095" w:rsidRDefault="00483686" w:rsidP="00DB4BCF">
      <w:pPr>
        <w:spacing w:line="360" w:lineRule="auto"/>
        <w:jc w:val="both"/>
        <w:rPr>
          <w:u w:val="none"/>
        </w:rPr>
      </w:pPr>
      <w:r>
        <w:rPr>
          <w:u w:val="none"/>
        </w:rPr>
        <w:t>[2]</w:t>
      </w:r>
      <w:r>
        <w:rPr>
          <w:u w:val="none"/>
        </w:rPr>
        <w:tab/>
        <w:t>T</w:t>
      </w:r>
      <w:r w:rsidR="001B7095" w:rsidRPr="001B7095">
        <w:rPr>
          <w:u w:val="none"/>
        </w:rPr>
        <w:t>he first applicant is 43 A</w:t>
      </w:r>
      <w:r>
        <w:rPr>
          <w:u w:val="none"/>
        </w:rPr>
        <w:t>ir School H</w:t>
      </w:r>
      <w:r w:rsidR="001B7095" w:rsidRPr="001B7095">
        <w:rPr>
          <w:u w:val="none"/>
        </w:rPr>
        <w:t xml:space="preserve">oldings </w:t>
      </w:r>
      <w:r>
        <w:rPr>
          <w:u w:val="none"/>
        </w:rPr>
        <w:t>(Pty)</w:t>
      </w:r>
      <w:r w:rsidR="001B7095" w:rsidRPr="001B7095">
        <w:rPr>
          <w:u w:val="none"/>
        </w:rPr>
        <w:t xml:space="preserve"> Ltd</w:t>
      </w:r>
      <w:r w:rsidR="009A3DBF">
        <w:rPr>
          <w:u w:val="none"/>
        </w:rPr>
        <w:t xml:space="preserve"> </w:t>
      </w:r>
      <w:r w:rsidR="000C1C82">
        <w:rPr>
          <w:u w:val="none"/>
        </w:rPr>
        <w:t>(</w:t>
      </w:r>
      <w:r>
        <w:rPr>
          <w:u w:val="none"/>
        </w:rPr>
        <w:t>Holdings)</w:t>
      </w:r>
      <w:r w:rsidR="001B7095" w:rsidRPr="001B7095">
        <w:rPr>
          <w:u w:val="none"/>
        </w:rPr>
        <w:t xml:space="preserve">, </w:t>
      </w:r>
      <w:r w:rsidR="00DB4BCF">
        <w:rPr>
          <w:u w:val="none"/>
        </w:rPr>
        <w:t>i</w:t>
      </w:r>
      <w:r w:rsidR="001B7095" w:rsidRPr="001B7095">
        <w:rPr>
          <w:u w:val="none"/>
        </w:rPr>
        <w:t>t has 100</w:t>
      </w:r>
      <w:r>
        <w:rPr>
          <w:u w:val="none"/>
        </w:rPr>
        <w:t xml:space="preserve"> percent </w:t>
      </w:r>
      <w:r w:rsidR="001B7095" w:rsidRPr="001B7095">
        <w:rPr>
          <w:u w:val="none"/>
        </w:rPr>
        <w:t xml:space="preserve">shares in </w:t>
      </w:r>
      <w:r w:rsidR="00DB4BCF">
        <w:rPr>
          <w:u w:val="none"/>
        </w:rPr>
        <w:t xml:space="preserve">the second applicant, </w:t>
      </w:r>
      <w:r w:rsidR="001B7095" w:rsidRPr="001B7095">
        <w:rPr>
          <w:u w:val="none"/>
        </w:rPr>
        <w:t xml:space="preserve">43 </w:t>
      </w:r>
      <w:r>
        <w:rPr>
          <w:u w:val="none"/>
        </w:rPr>
        <w:t>Air S</w:t>
      </w:r>
      <w:r w:rsidR="001B7095" w:rsidRPr="001B7095">
        <w:rPr>
          <w:u w:val="none"/>
        </w:rPr>
        <w:t>chool</w:t>
      </w:r>
      <w:r w:rsidR="001A3B8C">
        <w:rPr>
          <w:u w:val="none"/>
        </w:rPr>
        <w:t xml:space="preserve"> (Pty) Ltd</w:t>
      </w:r>
      <w:r w:rsidR="00DB4BCF">
        <w:rPr>
          <w:u w:val="none"/>
        </w:rPr>
        <w:t xml:space="preserve"> (43 Air School)</w:t>
      </w:r>
      <w:r>
        <w:rPr>
          <w:u w:val="none"/>
        </w:rPr>
        <w:t>.</w:t>
      </w:r>
      <w:r w:rsidR="00DB4BCF">
        <w:rPr>
          <w:u w:val="none"/>
        </w:rPr>
        <w:t xml:space="preserve"> </w:t>
      </w:r>
      <w:r w:rsidR="00DB4BCF" w:rsidRPr="001B7095">
        <w:rPr>
          <w:u w:val="none"/>
        </w:rPr>
        <w:t>43 A</w:t>
      </w:r>
      <w:r w:rsidR="00DB4BCF">
        <w:rPr>
          <w:u w:val="none"/>
        </w:rPr>
        <w:t>ir</w:t>
      </w:r>
      <w:r w:rsidR="00DB4BCF" w:rsidRPr="001B7095">
        <w:rPr>
          <w:u w:val="none"/>
        </w:rPr>
        <w:t xml:space="preserve"> </w:t>
      </w:r>
      <w:r w:rsidR="00DB4BCF">
        <w:rPr>
          <w:u w:val="none"/>
        </w:rPr>
        <w:t>S</w:t>
      </w:r>
      <w:r w:rsidR="00DB4BCF" w:rsidRPr="001B7095">
        <w:rPr>
          <w:u w:val="none"/>
        </w:rPr>
        <w:t>chool is the main operating entity which consists of all four applicants.</w:t>
      </w:r>
    </w:p>
    <w:p w:rsidR="001B7095" w:rsidRPr="001B7095" w:rsidRDefault="001B7095" w:rsidP="001B7095">
      <w:pPr>
        <w:spacing w:line="360" w:lineRule="auto"/>
        <w:jc w:val="both"/>
        <w:rPr>
          <w:u w:val="none"/>
        </w:rPr>
      </w:pPr>
    </w:p>
    <w:p w:rsidR="001B7095" w:rsidRPr="001B7095" w:rsidRDefault="00483686" w:rsidP="001B7095">
      <w:pPr>
        <w:spacing w:line="360" w:lineRule="auto"/>
        <w:jc w:val="both"/>
        <w:rPr>
          <w:u w:val="none"/>
        </w:rPr>
      </w:pPr>
      <w:r>
        <w:rPr>
          <w:u w:val="none"/>
        </w:rPr>
        <w:t>[3]</w:t>
      </w:r>
      <w:r>
        <w:rPr>
          <w:u w:val="none"/>
        </w:rPr>
        <w:tab/>
      </w:r>
      <w:r w:rsidR="001B7095" w:rsidRPr="001B7095">
        <w:rPr>
          <w:u w:val="none"/>
        </w:rPr>
        <w:t xml:space="preserve">The third applicant is PTC </w:t>
      </w:r>
      <w:r w:rsidR="001A3B8C">
        <w:rPr>
          <w:u w:val="none"/>
        </w:rPr>
        <w:t>A</w:t>
      </w:r>
      <w:r w:rsidR="001B7095" w:rsidRPr="001B7095">
        <w:rPr>
          <w:u w:val="none"/>
        </w:rPr>
        <w:t xml:space="preserve">viation </w:t>
      </w:r>
      <w:r w:rsidR="001A3B8C">
        <w:rPr>
          <w:u w:val="none"/>
        </w:rPr>
        <w:t>(Pty) Ltd</w:t>
      </w:r>
      <w:r w:rsidR="00DB4BCF">
        <w:rPr>
          <w:u w:val="none"/>
        </w:rPr>
        <w:t xml:space="preserve"> (PTC).</w:t>
      </w:r>
      <w:r w:rsidR="001B7095" w:rsidRPr="001B7095">
        <w:rPr>
          <w:u w:val="none"/>
        </w:rPr>
        <w:t xml:space="preserve"> </w:t>
      </w:r>
      <w:r w:rsidR="00976281">
        <w:rPr>
          <w:u w:val="none"/>
        </w:rPr>
        <w:t>H</w:t>
      </w:r>
      <w:r w:rsidR="001B7095" w:rsidRPr="001B7095">
        <w:rPr>
          <w:u w:val="none"/>
        </w:rPr>
        <w:t>oldings holds 50</w:t>
      </w:r>
      <w:r w:rsidR="008C61EA">
        <w:rPr>
          <w:u w:val="none"/>
        </w:rPr>
        <w:t xml:space="preserve"> percent </w:t>
      </w:r>
      <w:r w:rsidR="001B7095" w:rsidRPr="001B7095">
        <w:rPr>
          <w:u w:val="none"/>
        </w:rPr>
        <w:t xml:space="preserve">shares in PTC and the balance is held by a </w:t>
      </w:r>
      <w:r w:rsidR="008C61EA">
        <w:rPr>
          <w:u w:val="none"/>
        </w:rPr>
        <w:t xml:space="preserve">Trust. </w:t>
      </w:r>
      <w:r w:rsidR="00DB4BCF">
        <w:rPr>
          <w:u w:val="none"/>
        </w:rPr>
        <w:t xml:space="preserve">The fourth applicant is </w:t>
      </w:r>
      <w:r w:rsidR="00976281">
        <w:rPr>
          <w:u w:val="none"/>
        </w:rPr>
        <w:t xml:space="preserve">Jet </w:t>
      </w:r>
      <w:r w:rsidR="008C61EA">
        <w:rPr>
          <w:u w:val="none"/>
        </w:rPr>
        <w:t>O</w:t>
      </w:r>
      <w:r w:rsidR="00976281">
        <w:rPr>
          <w:u w:val="none"/>
        </w:rPr>
        <w:t>rientation C</w:t>
      </w:r>
      <w:r w:rsidR="001B7095" w:rsidRPr="001B7095">
        <w:rPr>
          <w:u w:val="none"/>
        </w:rPr>
        <w:t>ent</w:t>
      </w:r>
      <w:r w:rsidR="00976281">
        <w:rPr>
          <w:u w:val="none"/>
        </w:rPr>
        <w:t>re</w:t>
      </w:r>
      <w:r w:rsidR="001B7095" w:rsidRPr="001B7095">
        <w:rPr>
          <w:u w:val="none"/>
        </w:rPr>
        <w:t xml:space="preserve">, </w:t>
      </w:r>
      <w:r w:rsidR="008C61EA">
        <w:rPr>
          <w:u w:val="none"/>
        </w:rPr>
        <w:t xml:space="preserve">(Pty) Ltd </w:t>
      </w:r>
      <w:r w:rsidR="00976281">
        <w:rPr>
          <w:u w:val="none"/>
        </w:rPr>
        <w:t>(JOC)</w:t>
      </w:r>
      <w:r w:rsidR="00DB4BCF">
        <w:rPr>
          <w:u w:val="none"/>
        </w:rPr>
        <w:t xml:space="preserve">. </w:t>
      </w:r>
      <w:r w:rsidR="00976281">
        <w:rPr>
          <w:u w:val="none"/>
        </w:rPr>
        <w:t xml:space="preserve">PTC and 43 Air School hold shares equally in JOC, making 43 Air School an </w:t>
      </w:r>
      <w:r w:rsidR="001B7095" w:rsidRPr="001B7095">
        <w:rPr>
          <w:u w:val="none"/>
        </w:rPr>
        <w:t>effective holder of 75% of shares in J</w:t>
      </w:r>
      <w:r w:rsidR="00976281">
        <w:rPr>
          <w:u w:val="none"/>
        </w:rPr>
        <w:t>OC</w:t>
      </w:r>
      <w:r w:rsidR="001B7095" w:rsidRPr="001B7095">
        <w:rPr>
          <w:u w:val="none"/>
        </w:rPr>
        <w:t>.</w:t>
      </w:r>
    </w:p>
    <w:p w:rsidR="001B7095" w:rsidRPr="001B7095" w:rsidRDefault="001B7095" w:rsidP="001B7095">
      <w:pPr>
        <w:spacing w:line="360" w:lineRule="auto"/>
        <w:jc w:val="both"/>
        <w:rPr>
          <w:u w:val="none"/>
        </w:rPr>
      </w:pPr>
    </w:p>
    <w:p w:rsidR="003C5BBC" w:rsidRDefault="00976281" w:rsidP="001B7095">
      <w:pPr>
        <w:spacing w:line="360" w:lineRule="auto"/>
        <w:jc w:val="both"/>
        <w:rPr>
          <w:u w:val="none"/>
        </w:rPr>
      </w:pPr>
      <w:r>
        <w:rPr>
          <w:u w:val="none"/>
        </w:rPr>
        <w:t>[4]</w:t>
      </w:r>
      <w:r>
        <w:rPr>
          <w:u w:val="none"/>
        </w:rPr>
        <w:tab/>
      </w:r>
      <w:r w:rsidR="001B7095" w:rsidRPr="001B7095">
        <w:rPr>
          <w:u w:val="none"/>
        </w:rPr>
        <w:t xml:space="preserve">The respondent in the matter is AIG, South Africa </w:t>
      </w:r>
      <w:r>
        <w:rPr>
          <w:u w:val="none"/>
        </w:rPr>
        <w:t>L</w:t>
      </w:r>
      <w:r w:rsidR="001B7095" w:rsidRPr="001B7095">
        <w:rPr>
          <w:u w:val="none"/>
        </w:rPr>
        <w:t>imited</w:t>
      </w:r>
      <w:r w:rsidR="005A35E2">
        <w:rPr>
          <w:u w:val="none"/>
        </w:rPr>
        <w:t xml:space="preserve"> (AIG)</w:t>
      </w:r>
      <w:r>
        <w:rPr>
          <w:u w:val="none"/>
        </w:rPr>
        <w:t>,</w:t>
      </w:r>
      <w:r w:rsidR="001B7095" w:rsidRPr="001B7095">
        <w:rPr>
          <w:u w:val="none"/>
        </w:rPr>
        <w:t xml:space="preserve"> a</w:t>
      </w:r>
      <w:r w:rsidR="00494F3B">
        <w:rPr>
          <w:u w:val="none"/>
        </w:rPr>
        <w:t>n insurance company.</w:t>
      </w:r>
    </w:p>
    <w:p w:rsidR="00F947EF" w:rsidRDefault="001B7095" w:rsidP="001B7095">
      <w:pPr>
        <w:spacing w:line="360" w:lineRule="auto"/>
        <w:jc w:val="both"/>
        <w:rPr>
          <w:u w:val="none"/>
        </w:rPr>
      </w:pPr>
      <w:r w:rsidRPr="001B7095">
        <w:rPr>
          <w:u w:val="none"/>
        </w:rPr>
        <w:t xml:space="preserve"> </w:t>
      </w:r>
    </w:p>
    <w:p w:rsidR="00D17977" w:rsidRDefault="00F947EF" w:rsidP="001B7095">
      <w:pPr>
        <w:spacing w:line="360" w:lineRule="auto"/>
        <w:jc w:val="both"/>
        <w:rPr>
          <w:u w:val="none"/>
        </w:rPr>
      </w:pPr>
      <w:r>
        <w:rPr>
          <w:u w:val="none"/>
        </w:rPr>
        <w:t>[5]</w:t>
      </w:r>
      <w:r>
        <w:rPr>
          <w:u w:val="none"/>
        </w:rPr>
        <w:tab/>
      </w:r>
      <w:r w:rsidR="001B7095" w:rsidRPr="001B7095">
        <w:rPr>
          <w:u w:val="none"/>
        </w:rPr>
        <w:t xml:space="preserve">43 </w:t>
      </w:r>
      <w:r w:rsidR="00976281">
        <w:rPr>
          <w:u w:val="none"/>
        </w:rPr>
        <w:t>Air S</w:t>
      </w:r>
      <w:r w:rsidR="001B7095" w:rsidRPr="001B7095">
        <w:rPr>
          <w:u w:val="none"/>
        </w:rPr>
        <w:t>chool was the main operating management entit</w:t>
      </w:r>
      <w:r>
        <w:rPr>
          <w:u w:val="none"/>
        </w:rPr>
        <w:t>y within the 43 Air S</w:t>
      </w:r>
      <w:r w:rsidR="008A2A48">
        <w:rPr>
          <w:u w:val="none"/>
        </w:rPr>
        <w:t>chool group. It he</w:t>
      </w:r>
      <w:r w:rsidR="001B7095" w:rsidRPr="001B7095">
        <w:rPr>
          <w:u w:val="none"/>
        </w:rPr>
        <w:t xml:space="preserve">ld short term insurance </w:t>
      </w:r>
      <w:r w:rsidR="009D4E05">
        <w:rPr>
          <w:u w:val="none"/>
        </w:rPr>
        <w:t xml:space="preserve">which included </w:t>
      </w:r>
      <w:r w:rsidR="001B7095" w:rsidRPr="001B7095">
        <w:rPr>
          <w:u w:val="none"/>
        </w:rPr>
        <w:t>business interruption insurance cover</w:t>
      </w:r>
      <w:r>
        <w:rPr>
          <w:u w:val="none"/>
        </w:rPr>
        <w:t xml:space="preserve"> with the respondent</w:t>
      </w:r>
      <w:r w:rsidR="009D4E05">
        <w:rPr>
          <w:u w:val="none"/>
        </w:rPr>
        <w:t xml:space="preserve"> for the period 1 July 2019</w:t>
      </w:r>
      <w:r w:rsidR="001B7095" w:rsidRPr="001B7095">
        <w:rPr>
          <w:u w:val="none"/>
        </w:rPr>
        <w:t xml:space="preserve"> to 30 June 2020</w:t>
      </w:r>
      <w:r w:rsidR="009D4E05">
        <w:rPr>
          <w:u w:val="none"/>
        </w:rPr>
        <w:t xml:space="preserve">, </w:t>
      </w:r>
      <w:r w:rsidR="001B7095" w:rsidRPr="001B7095">
        <w:rPr>
          <w:u w:val="none"/>
        </w:rPr>
        <w:t xml:space="preserve">arranged by Marsh </w:t>
      </w:r>
      <w:r w:rsidR="00886A6F">
        <w:rPr>
          <w:u w:val="none"/>
        </w:rPr>
        <w:t>(</w:t>
      </w:r>
      <w:r>
        <w:rPr>
          <w:u w:val="none"/>
        </w:rPr>
        <w:t>Pty</w:t>
      </w:r>
      <w:r w:rsidR="00886A6F">
        <w:rPr>
          <w:u w:val="none"/>
        </w:rPr>
        <w:t>)</w:t>
      </w:r>
      <w:r>
        <w:rPr>
          <w:u w:val="none"/>
        </w:rPr>
        <w:t xml:space="preserve"> Ltd (</w:t>
      </w:r>
      <w:r w:rsidR="001B7095" w:rsidRPr="001B7095">
        <w:rPr>
          <w:u w:val="none"/>
        </w:rPr>
        <w:t>Marsh</w:t>
      </w:r>
      <w:r>
        <w:rPr>
          <w:u w:val="none"/>
        </w:rPr>
        <w:t>)</w:t>
      </w:r>
      <w:r w:rsidR="009D4E05">
        <w:rPr>
          <w:u w:val="none"/>
        </w:rPr>
        <w:t xml:space="preserve"> who </w:t>
      </w:r>
      <w:r>
        <w:rPr>
          <w:u w:val="none"/>
        </w:rPr>
        <w:t>was the i</w:t>
      </w:r>
      <w:r w:rsidR="001B7095" w:rsidRPr="001B7095">
        <w:rPr>
          <w:u w:val="none"/>
        </w:rPr>
        <w:t>nsurance broker</w:t>
      </w:r>
      <w:r>
        <w:rPr>
          <w:u w:val="none"/>
        </w:rPr>
        <w:t xml:space="preserve"> and </w:t>
      </w:r>
      <w:r w:rsidR="001B7095" w:rsidRPr="001B7095">
        <w:rPr>
          <w:u w:val="none"/>
        </w:rPr>
        <w:t>the underwriter in respect of the policy</w:t>
      </w:r>
      <w:r>
        <w:rPr>
          <w:u w:val="none"/>
        </w:rPr>
        <w:t xml:space="preserve"> with </w:t>
      </w:r>
      <w:r w:rsidR="005A35E2">
        <w:rPr>
          <w:u w:val="none"/>
        </w:rPr>
        <w:t>AIG</w:t>
      </w:r>
      <w:r w:rsidR="001B7095" w:rsidRPr="001B7095">
        <w:rPr>
          <w:u w:val="none"/>
        </w:rPr>
        <w:t>.</w:t>
      </w:r>
      <w:r w:rsidR="008A2A48">
        <w:rPr>
          <w:u w:val="none"/>
        </w:rPr>
        <w:t xml:space="preserve"> The policy r</w:t>
      </w:r>
      <w:r w:rsidR="005A35E2">
        <w:rPr>
          <w:u w:val="none"/>
        </w:rPr>
        <w:t xml:space="preserve">an </w:t>
      </w:r>
      <w:r w:rsidR="008A2A48">
        <w:rPr>
          <w:u w:val="none"/>
        </w:rPr>
        <w:t xml:space="preserve">from 1 July to 30 June </w:t>
      </w:r>
      <w:r w:rsidR="00886A6F">
        <w:rPr>
          <w:u w:val="none"/>
        </w:rPr>
        <w:t xml:space="preserve">every </w:t>
      </w:r>
      <w:r w:rsidR="008A2A48">
        <w:rPr>
          <w:u w:val="none"/>
        </w:rPr>
        <w:t>year</w:t>
      </w:r>
      <w:r w:rsidR="009D4E05">
        <w:rPr>
          <w:u w:val="none"/>
        </w:rPr>
        <w:t xml:space="preserve"> and had been in place for a number of year</w:t>
      </w:r>
      <w:r w:rsidR="00494F3B">
        <w:rPr>
          <w:u w:val="none"/>
        </w:rPr>
        <w:t>s</w:t>
      </w:r>
      <w:r w:rsidR="008A2A48">
        <w:rPr>
          <w:u w:val="none"/>
        </w:rPr>
        <w:t xml:space="preserve">. The applicants </w:t>
      </w:r>
      <w:r w:rsidR="005A35E2">
        <w:rPr>
          <w:u w:val="none"/>
        </w:rPr>
        <w:t xml:space="preserve">were </w:t>
      </w:r>
      <w:r w:rsidR="008A2A48">
        <w:rPr>
          <w:u w:val="none"/>
        </w:rPr>
        <w:t xml:space="preserve">required to </w:t>
      </w:r>
      <w:r w:rsidR="00D17977">
        <w:rPr>
          <w:u w:val="none"/>
        </w:rPr>
        <w:t xml:space="preserve">complete an insurance renewal questionnaire transcribing the insurance values for </w:t>
      </w:r>
      <w:r w:rsidR="005A35E2">
        <w:rPr>
          <w:u w:val="none"/>
        </w:rPr>
        <w:t xml:space="preserve">each </w:t>
      </w:r>
      <w:r w:rsidR="00D17977">
        <w:rPr>
          <w:u w:val="none"/>
        </w:rPr>
        <w:t>year</w:t>
      </w:r>
      <w:r w:rsidR="009D4E05">
        <w:rPr>
          <w:u w:val="none"/>
        </w:rPr>
        <w:t xml:space="preserve">. The second applicant </w:t>
      </w:r>
      <w:r w:rsidR="005A35E2">
        <w:rPr>
          <w:u w:val="none"/>
        </w:rPr>
        <w:t xml:space="preserve">did so </w:t>
      </w:r>
      <w:r w:rsidR="005A35E2">
        <w:rPr>
          <w:u w:val="none"/>
        </w:rPr>
        <w:lastRenderedPageBreak/>
        <w:t xml:space="preserve">for </w:t>
      </w:r>
      <w:r w:rsidR="00D17977">
        <w:rPr>
          <w:u w:val="none"/>
        </w:rPr>
        <w:t>2019 to 2020</w:t>
      </w:r>
      <w:r w:rsidR="009D4E05">
        <w:rPr>
          <w:u w:val="none"/>
        </w:rPr>
        <w:t xml:space="preserve"> on behalf of the group</w:t>
      </w:r>
      <w:r w:rsidR="00D17977">
        <w:rPr>
          <w:u w:val="none"/>
        </w:rPr>
        <w:t>. T</w:t>
      </w:r>
      <w:r w:rsidR="003C5BBC">
        <w:rPr>
          <w:u w:val="none"/>
        </w:rPr>
        <w:t xml:space="preserve">he updated questionnaire </w:t>
      </w:r>
      <w:r w:rsidR="00D17977">
        <w:rPr>
          <w:u w:val="none"/>
        </w:rPr>
        <w:t xml:space="preserve">was submitted on 7 June 2019 to Marsh </w:t>
      </w:r>
      <w:r w:rsidR="00255EA3">
        <w:rPr>
          <w:u w:val="none"/>
        </w:rPr>
        <w:t>to</w:t>
      </w:r>
      <w:r w:rsidR="009D4E05">
        <w:rPr>
          <w:u w:val="none"/>
        </w:rPr>
        <w:t xml:space="preserve"> </w:t>
      </w:r>
      <w:r w:rsidR="003C5BBC">
        <w:rPr>
          <w:u w:val="none"/>
        </w:rPr>
        <w:t>forward</w:t>
      </w:r>
      <w:r w:rsidR="00255EA3">
        <w:rPr>
          <w:u w:val="none"/>
        </w:rPr>
        <w:t xml:space="preserve"> it</w:t>
      </w:r>
      <w:r w:rsidR="00494F3B">
        <w:rPr>
          <w:u w:val="none"/>
        </w:rPr>
        <w:t xml:space="preserve"> to</w:t>
      </w:r>
      <w:r w:rsidR="00255EA3">
        <w:rPr>
          <w:u w:val="none"/>
        </w:rPr>
        <w:t xml:space="preserve"> </w:t>
      </w:r>
      <w:r w:rsidR="003C5BBC">
        <w:rPr>
          <w:u w:val="none"/>
        </w:rPr>
        <w:t>AIG</w:t>
      </w:r>
      <w:r w:rsidR="00D17977">
        <w:rPr>
          <w:u w:val="none"/>
        </w:rPr>
        <w:t xml:space="preserve">. </w:t>
      </w:r>
    </w:p>
    <w:p w:rsidR="00D17977" w:rsidRDefault="00D17977" w:rsidP="001B7095">
      <w:pPr>
        <w:spacing w:line="360" w:lineRule="auto"/>
        <w:jc w:val="both"/>
        <w:rPr>
          <w:u w:val="none"/>
        </w:rPr>
      </w:pPr>
    </w:p>
    <w:p w:rsidR="00F947EF" w:rsidRDefault="00D17977" w:rsidP="001B7095">
      <w:pPr>
        <w:spacing w:line="360" w:lineRule="auto"/>
        <w:jc w:val="both"/>
        <w:rPr>
          <w:u w:val="none"/>
        </w:rPr>
      </w:pPr>
      <w:r>
        <w:rPr>
          <w:u w:val="none"/>
        </w:rPr>
        <w:t>[6]</w:t>
      </w:r>
      <w:r>
        <w:rPr>
          <w:u w:val="none"/>
        </w:rPr>
        <w:tab/>
      </w:r>
      <w:r w:rsidR="00A15085">
        <w:rPr>
          <w:u w:val="none"/>
        </w:rPr>
        <w:t xml:space="preserve">The policy covered </w:t>
      </w:r>
      <w:r w:rsidR="008A2A48">
        <w:rPr>
          <w:u w:val="none"/>
        </w:rPr>
        <w:t>business interruption</w:t>
      </w:r>
      <w:r w:rsidR="00A15085">
        <w:rPr>
          <w:u w:val="none"/>
        </w:rPr>
        <w:t xml:space="preserve"> and </w:t>
      </w:r>
      <w:r w:rsidR="00255EA3">
        <w:rPr>
          <w:u w:val="none"/>
        </w:rPr>
        <w:t>the applicant</w:t>
      </w:r>
      <w:r w:rsidR="00494F3B">
        <w:rPr>
          <w:u w:val="none"/>
        </w:rPr>
        <w:t>s</w:t>
      </w:r>
      <w:r w:rsidR="00255EA3">
        <w:rPr>
          <w:u w:val="none"/>
        </w:rPr>
        <w:t xml:space="preserve"> referred to the specific </w:t>
      </w:r>
      <w:r w:rsidR="001B041B">
        <w:rPr>
          <w:u w:val="none"/>
        </w:rPr>
        <w:t xml:space="preserve">definitions </w:t>
      </w:r>
      <w:r w:rsidR="00255EA3">
        <w:rPr>
          <w:u w:val="none"/>
        </w:rPr>
        <w:t xml:space="preserve">in the </w:t>
      </w:r>
      <w:r w:rsidR="005A35E2">
        <w:rPr>
          <w:u w:val="none"/>
        </w:rPr>
        <w:t>policy which included</w:t>
      </w:r>
      <w:r w:rsidR="00255EA3">
        <w:rPr>
          <w:u w:val="none"/>
        </w:rPr>
        <w:t xml:space="preserve"> definitions of the </w:t>
      </w:r>
      <w:r w:rsidR="00886A6F">
        <w:rPr>
          <w:u w:val="none"/>
        </w:rPr>
        <w:t>“</w:t>
      </w:r>
      <w:r w:rsidR="00255EA3">
        <w:rPr>
          <w:u w:val="none"/>
        </w:rPr>
        <w:t>business</w:t>
      </w:r>
      <w:r w:rsidR="00886A6F">
        <w:rPr>
          <w:u w:val="none"/>
        </w:rPr>
        <w:t>”</w:t>
      </w:r>
      <w:r w:rsidR="00255EA3">
        <w:rPr>
          <w:u w:val="none"/>
        </w:rPr>
        <w:t xml:space="preserve"> and the </w:t>
      </w:r>
      <w:r w:rsidR="00886A6F">
        <w:rPr>
          <w:u w:val="none"/>
        </w:rPr>
        <w:t>“</w:t>
      </w:r>
      <w:r w:rsidR="00255EA3">
        <w:rPr>
          <w:u w:val="none"/>
        </w:rPr>
        <w:t>premises</w:t>
      </w:r>
      <w:r w:rsidR="00886A6F">
        <w:rPr>
          <w:u w:val="none"/>
        </w:rPr>
        <w:t>”</w:t>
      </w:r>
      <w:r w:rsidR="00255EA3">
        <w:rPr>
          <w:u w:val="none"/>
        </w:rPr>
        <w:t xml:space="preserve"> and a </w:t>
      </w:r>
      <w:r w:rsidR="00886A6F">
        <w:rPr>
          <w:u w:val="none"/>
        </w:rPr>
        <w:t>“</w:t>
      </w:r>
      <w:r w:rsidR="00255EA3">
        <w:rPr>
          <w:u w:val="none"/>
        </w:rPr>
        <w:t>defined event</w:t>
      </w:r>
      <w:r w:rsidR="00886A6F">
        <w:rPr>
          <w:u w:val="none"/>
        </w:rPr>
        <w:t>”</w:t>
      </w:r>
      <w:r w:rsidR="00255EA3">
        <w:rPr>
          <w:u w:val="none"/>
        </w:rPr>
        <w:t xml:space="preserve"> for the purpose of business interruption</w:t>
      </w:r>
      <w:r w:rsidR="001B041B">
        <w:rPr>
          <w:u w:val="none"/>
        </w:rPr>
        <w:t>:</w:t>
      </w:r>
    </w:p>
    <w:p w:rsidR="001B041B" w:rsidRPr="00A15085" w:rsidRDefault="00A15085" w:rsidP="00FF6BAC">
      <w:pPr>
        <w:spacing w:line="360" w:lineRule="auto"/>
        <w:ind w:firstLine="720"/>
        <w:jc w:val="both"/>
        <w:rPr>
          <w:sz w:val="22"/>
          <w:szCs w:val="22"/>
          <w:u w:val="none"/>
        </w:rPr>
      </w:pPr>
      <w:r>
        <w:rPr>
          <w:sz w:val="22"/>
          <w:szCs w:val="22"/>
          <w:u w:val="none"/>
        </w:rPr>
        <w:t>“</w:t>
      </w:r>
      <w:r w:rsidR="001B041B" w:rsidRPr="00A15085">
        <w:rPr>
          <w:sz w:val="22"/>
          <w:szCs w:val="22"/>
          <w:u w:val="none"/>
        </w:rPr>
        <w:t>SPECIFIC DEFINITIONS</w:t>
      </w:r>
    </w:p>
    <w:p w:rsidR="001B041B" w:rsidRPr="00A15085" w:rsidRDefault="001B041B" w:rsidP="00FF6BAC">
      <w:pPr>
        <w:spacing w:line="360" w:lineRule="auto"/>
        <w:ind w:firstLine="720"/>
        <w:jc w:val="both"/>
        <w:rPr>
          <w:sz w:val="22"/>
          <w:szCs w:val="22"/>
          <w:u w:val="none"/>
        </w:rPr>
      </w:pPr>
      <w:r w:rsidRPr="00A15085">
        <w:rPr>
          <w:sz w:val="22"/>
          <w:szCs w:val="22"/>
          <w:u w:val="none"/>
        </w:rPr>
        <w:t>Business shall mean any activity of the insured</w:t>
      </w:r>
    </w:p>
    <w:p w:rsidR="001B041B" w:rsidRPr="00A15085" w:rsidRDefault="001B041B" w:rsidP="00FF6BAC">
      <w:pPr>
        <w:spacing w:line="360" w:lineRule="auto"/>
        <w:ind w:firstLine="720"/>
        <w:jc w:val="both"/>
        <w:rPr>
          <w:sz w:val="22"/>
          <w:szCs w:val="22"/>
          <w:u w:val="none"/>
        </w:rPr>
      </w:pPr>
      <w:r w:rsidRPr="00A15085">
        <w:rPr>
          <w:sz w:val="22"/>
          <w:szCs w:val="22"/>
          <w:u w:val="none"/>
        </w:rPr>
        <w:t>Premises shall mean any premises used for the purpose of the insured.</w:t>
      </w:r>
    </w:p>
    <w:p w:rsidR="001B041B" w:rsidRPr="00A15085" w:rsidRDefault="001B041B" w:rsidP="00FF6BAC">
      <w:pPr>
        <w:spacing w:line="360" w:lineRule="auto"/>
        <w:ind w:firstLine="720"/>
        <w:jc w:val="both"/>
        <w:rPr>
          <w:sz w:val="22"/>
          <w:szCs w:val="22"/>
          <w:u w:val="none"/>
        </w:rPr>
      </w:pPr>
      <w:r w:rsidRPr="00A15085">
        <w:rPr>
          <w:sz w:val="22"/>
          <w:szCs w:val="22"/>
          <w:u w:val="none"/>
        </w:rPr>
        <w:t xml:space="preserve">And </w:t>
      </w:r>
    </w:p>
    <w:p w:rsidR="001B041B" w:rsidRPr="00A15085" w:rsidRDefault="001B041B" w:rsidP="00FF6BAC">
      <w:pPr>
        <w:spacing w:line="360" w:lineRule="auto"/>
        <w:ind w:firstLine="720"/>
        <w:jc w:val="both"/>
        <w:rPr>
          <w:sz w:val="22"/>
          <w:szCs w:val="22"/>
          <w:u w:val="none"/>
        </w:rPr>
      </w:pPr>
      <w:r w:rsidRPr="00A15085">
        <w:rPr>
          <w:sz w:val="22"/>
          <w:szCs w:val="22"/>
          <w:u w:val="none"/>
        </w:rPr>
        <w:t>EXTENDED DAMAGE</w:t>
      </w:r>
    </w:p>
    <w:p w:rsidR="001B041B" w:rsidRPr="00A15085" w:rsidRDefault="001B041B" w:rsidP="00FF6BAC">
      <w:pPr>
        <w:spacing w:line="360" w:lineRule="auto"/>
        <w:ind w:firstLine="720"/>
        <w:jc w:val="both"/>
        <w:rPr>
          <w:sz w:val="22"/>
          <w:szCs w:val="22"/>
          <w:u w:val="none"/>
        </w:rPr>
      </w:pPr>
      <w:r w:rsidRPr="00A15085">
        <w:rPr>
          <w:sz w:val="22"/>
          <w:szCs w:val="22"/>
          <w:u w:val="none"/>
        </w:rPr>
        <w:t>The Defined event extends to include:</w:t>
      </w:r>
    </w:p>
    <w:p w:rsidR="001B041B" w:rsidRPr="00A15085" w:rsidRDefault="001B041B" w:rsidP="00FF6BAC">
      <w:pPr>
        <w:spacing w:line="360" w:lineRule="auto"/>
        <w:ind w:firstLine="720"/>
        <w:jc w:val="both"/>
        <w:rPr>
          <w:sz w:val="22"/>
          <w:szCs w:val="22"/>
          <w:u w:val="none"/>
        </w:rPr>
      </w:pPr>
      <w:r w:rsidRPr="00A15085">
        <w:rPr>
          <w:sz w:val="22"/>
          <w:szCs w:val="22"/>
          <w:u w:val="none"/>
        </w:rPr>
        <w:t>a)</w:t>
      </w:r>
    </w:p>
    <w:p w:rsidR="00FF6BAC" w:rsidRPr="00A15085" w:rsidRDefault="00FF6BAC" w:rsidP="00FF6BAC">
      <w:pPr>
        <w:spacing w:line="360" w:lineRule="auto"/>
        <w:ind w:firstLine="720"/>
        <w:jc w:val="both"/>
        <w:rPr>
          <w:sz w:val="22"/>
          <w:szCs w:val="22"/>
          <w:u w:val="none"/>
        </w:rPr>
      </w:pPr>
      <w:r w:rsidRPr="00A15085">
        <w:rPr>
          <w:sz w:val="22"/>
          <w:szCs w:val="22"/>
          <w:u w:val="none"/>
        </w:rPr>
        <w:t>b)</w:t>
      </w:r>
    </w:p>
    <w:p w:rsidR="00FF6BAC" w:rsidRPr="00A15085" w:rsidRDefault="00FF6BAC" w:rsidP="00FF6BAC">
      <w:pPr>
        <w:spacing w:line="360" w:lineRule="auto"/>
        <w:ind w:firstLine="720"/>
        <w:jc w:val="both"/>
        <w:rPr>
          <w:sz w:val="22"/>
          <w:szCs w:val="22"/>
          <w:u w:val="none"/>
        </w:rPr>
      </w:pPr>
      <w:r w:rsidRPr="00A15085">
        <w:rPr>
          <w:sz w:val="22"/>
          <w:szCs w:val="22"/>
          <w:u w:val="none"/>
        </w:rPr>
        <w:t>c)</w:t>
      </w:r>
    </w:p>
    <w:p w:rsidR="00FF6BAC" w:rsidRPr="00A15085" w:rsidRDefault="00FF6BAC" w:rsidP="00FF6BAC">
      <w:pPr>
        <w:spacing w:line="360" w:lineRule="auto"/>
        <w:ind w:firstLine="720"/>
        <w:jc w:val="both"/>
        <w:rPr>
          <w:sz w:val="22"/>
          <w:szCs w:val="22"/>
          <w:u w:val="none"/>
        </w:rPr>
      </w:pPr>
      <w:r w:rsidRPr="00A15085">
        <w:rPr>
          <w:sz w:val="22"/>
          <w:szCs w:val="22"/>
          <w:u w:val="none"/>
        </w:rPr>
        <w:t>d)</w:t>
      </w:r>
    </w:p>
    <w:p w:rsidR="00FF6BAC" w:rsidRPr="00A15085" w:rsidRDefault="00FF6BAC" w:rsidP="00FF6BAC">
      <w:pPr>
        <w:spacing w:line="360" w:lineRule="auto"/>
        <w:ind w:firstLine="720"/>
        <w:jc w:val="both"/>
        <w:rPr>
          <w:sz w:val="22"/>
          <w:szCs w:val="22"/>
          <w:u w:val="none"/>
        </w:rPr>
      </w:pPr>
      <w:r w:rsidRPr="00A15085">
        <w:rPr>
          <w:sz w:val="22"/>
          <w:szCs w:val="22"/>
          <w:u w:val="none"/>
        </w:rPr>
        <w:t>e)</w:t>
      </w:r>
    </w:p>
    <w:p w:rsidR="002D0C8D" w:rsidRDefault="00FF6BAC" w:rsidP="00FF6BAC">
      <w:pPr>
        <w:spacing w:line="360" w:lineRule="auto"/>
        <w:ind w:left="1440" w:hanging="720"/>
        <w:jc w:val="both"/>
        <w:rPr>
          <w:sz w:val="22"/>
          <w:szCs w:val="22"/>
          <w:u w:val="none"/>
        </w:rPr>
      </w:pPr>
      <w:r w:rsidRPr="00A15085">
        <w:rPr>
          <w:sz w:val="22"/>
          <w:szCs w:val="22"/>
          <w:u w:val="none"/>
        </w:rPr>
        <w:t>f)</w:t>
      </w:r>
      <w:r w:rsidRPr="00A15085">
        <w:rPr>
          <w:sz w:val="22"/>
          <w:szCs w:val="22"/>
          <w:u w:val="none"/>
        </w:rPr>
        <w:tab/>
        <w:t>outbreak of infectious or Contagious disease within a radius of 25 kilometres of the premises. Infectious or Contagious Disease shall mean any human infectious or contagious</w:t>
      </w:r>
      <w:r w:rsidR="00597909" w:rsidRPr="00A15085">
        <w:rPr>
          <w:sz w:val="22"/>
          <w:szCs w:val="22"/>
          <w:u w:val="none"/>
        </w:rPr>
        <w:t xml:space="preserve"> illness or disease which a competent authority </w:t>
      </w:r>
      <w:r w:rsidR="00A15085" w:rsidRPr="00A15085">
        <w:rPr>
          <w:sz w:val="22"/>
          <w:szCs w:val="22"/>
          <w:u w:val="none"/>
        </w:rPr>
        <w:t xml:space="preserve">has stipulated shall be notified to them or has caused a competent authority to declare a notifiable medical condition to exist or impose or impose quarantine regulations or restrict access to any place. </w:t>
      </w:r>
      <w:r w:rsidR="009F0044">
        <w:rPr>
          <w:sz w:val="22"/>
          <w:szCs w:val="22"/>
          <w:u w:val="none"/>
        </w:rPr>
        <w:t>“</w:t>
      </w:r>
    </w:p>
    <w:p w:rsidR="00255EA3" w:rsidRDefault="00255EA3" w:rsidP="00FF6BAC">
      <w:pPr>
        <w:spacing w:line="360" w:lineRule="auto"/>
        <w:ind w:left="1440" w:hanging="720"/>
        <w:jc w:val="both"/>
        <w:rPr>
          <w:sz w:val="22"/>
          <w:szCs w:val="22"/>
          <w:u w:val="none"/>
        </w:rPr>
      </w:pPr>
    </w:p>
    <w:p w:rsidR="00255EA3" w:rsidRPr="00255EA3" w:rsidRDefault="00255EA3" w:rsidP="00255EA3">
      <w:pPr>
        <w:spacing w:line="360" w:lineRule="auto"/>
        <w:jc w:val="both"/>
        <w:rPr>
          <w:u w:val="none"/>
        </w:rPr>
      </w:pPr>
      <w:r w:rsidRPr="00255EA3">
        <w:rPr>
          <w:u w:val="none"/>
        </w:rPr>
        <w:t>[7]</w:t>
      </w:r>
      <w:r>
        <w:rPr>
          <w:u w:val="none"/>
        </w:rPr>
        <w:tab/>
        <w:t>The polic</w:t>
      </w:r>
      <w:r w:rsidR="00494F3B">
        <w:rPr>
          <w:u w:val="none"/>
        </w:rPr>
        <w:t>y</w:t>
      </w:r>
      <w:r>
        <w:rPr>
          <w:u w:val="none"/>
        </w:rPr>
        <w:t xml:space="preserve"> also required claims to be submitted within a particular period</w:t>
      </w:r>
    </w:p>
    <w:p w:rsidR="00255EA3" w:rsidRPr="009F0044" w:rsidRDefault="00255EA3" w:rsidP="009F0044">
      <w:pPr>
        <w:spacing w:line="360" w:lineRule="auto"/>
        <w:jc w:val="both"/>
        <w:rPr>
          <w:u w:val="none"/>
        </w:rPr>
      </w:pPr>
      <w:r w:rsidRPr="009F0044">
        <w:rPr>
          <w:u w:val="none"/>
        </w:rPr>
        <w:t>under its reporting of claims clause as follows:</w:t>
      </w:r>
    </w:p>
    <w:p w:rsidR="002D0C8D" w:rsidRDefault="009F0044" w:rsidP="00EC6BE0">
      <w:pPr>
        <w:spacing w:line="360" w:lineRule="auto"/>
        <w:ind w:left="1440" w:hanging="720"/>
        <w:jc w:val="both"/>
        <w:rPr>
          <w:sz w:val="22"/>
          <w:szCs w:val="22"/>
          <w:u w:val="none"/>
        </w:rPr>
      </w:pPr>
      <w:r>
        <w:rPr>
          <w:sz w:val="22"/>
          <w:szCs w:val="22"/>
          <w:u w:val="none"/>
        </w:rPr>
        <w:t>“</w:t>
      </w:r>
      <w:r w:rsidR="002D0C8D">
        <w:rPr>
          <w:sz w:val="22"/>
          <w:szCs w:val="22"/>
          <w:u w:val="none"/>
        </w:rPr>
        <w:t>SPECIFIC CONDITIONS</w:t>
      </w:r>
    </w:p>
    <w:p w:rsidR="002D0C8D" w:rsidRDefault="002D0C8D" w:rsidP="00EC6BE0">
      <w:pPr>
        <w:spacing w:line="360" w:lineRule="auto"/>
        <w:ind w:firstLine="720"/>
        <w:jc w:val="both"/>
        <w:rPr>
          <w:sz w:val="22"/>
          <w:szCs w:val="22"/>
          <w:u w:val="none"/>
        </w:rPr>
      </w:pPr>
      <w:r>
        <w:rPr>
          <w:sz w:val="22"/>
          <w:szCs w:val="22"/>
          <w:u w:val="none"/>
        </w:rPr>
        <w:t>2 CLAIMS</w:t>
      </w:r>
    </w:p>
    <w:p w:rsidR="002D0C8D" w:rsidRDefault="002D0C8D" w:rsidP="00EC6BE0">
      <w:pPr>
        <w:spacing w:line="360" w:lineRule="auto"/>
        <w:ind w:left="720"/>
        <w:jc w:val="both"/>
        <w:rPr>
          <w:sz w:val="22"/>
          <w:szCs w:val="22"/>
          <w:u w:val="none"/>
        </w:rPr>
      </w:pPr>
      <w:r>
        <w:rPr>
          <w:sz w:val="22"/>
          <w:szCs w:val="22"/>
          <w:u w:val="none"/>
        </w:rPr>
        <w:t xml:space="preserve">On the happening of any defined event in consequence of which a claim may be made under this section the insured shall in addition to complying with General condition 1- Reporting of claims and General Condition 2 – Insurers rights with due diligence do and concur in doing and permit to be done all things that may be reasonably practicable to minimise or check any interruption of or interference  with the Business or to avoid or diminish the loss and in the event </w:t>
      </w:r>
      <w:r>
        <w:rPr>
          <w:sz w:val="22"/>
          <w:szCs w:val="22"/>
          <w:u w:val="none"/>
        </w:rPr>
        <w:lastRenderedPageBreak/>
        <w:t xml:space="preserve">of a claim being made under this section, shall at their own expense (subject to the provisions of General Extension 1-Claims Preparation Costs) deliver to the insurer in writing a statement setting forth particulars of their claim together with details of all other insurance covering the loss or any part of it or consequential loss of any kind resulting therefrom.  No claim under this section </w:t>
      </w:r>
      <w:r w:rsidR="00EC6BE0">
        <w:rPr>
          <w:sz w:val="22"/>
          <w:szCs w:val="22"/>
          <w:u w:val="none"/>
        </w:rPr>
        <w:t>shall be payable unless the terms of this Specific</w:t>
      </w:r>
      <w:r>
        <w:rPr>
          <w:sz w:val="22"/>
          <w:szCs w:val="22"/>
          <w:u w:val="none"/>
        </w:rPr>
        <w:t xml:space="preserve"> </w:t>
      </w:r>
      <w:r w:rsidR="00EC6BE0">
        <w:rPr>
          <w:sz w:val="22"/>
          <w:szCs w:val="22"/>
          <w:u w:val="none"/>
        </w:rPr>
        <w:t>condition have been complied with and in the event of non-compliance therewith in any respect, any payment on account of the claim already made shall be repaid to the insurer forthwith”</w:t>
      </w:r>
    </w:p>
    <w:p w:rsidR="00FF6BAC" w:rsidRDefault="00FF6BAC" w:rsidP="00FF6BAC">
      <w:pPr>
        <w:spacing w:line="360" w:lineRule="auto"/>
        <w:ind w:left="1440" w:hanging="720"/>
        <w:jc w:val="both"/>
        <w:rPr>
          <w:sz w:val="22"/>
          <w:szCs w:val="22"/>
          <w:u w:val="none"/>
        </w:rPr>
      </w:pPr>
    </w:p>
    <w:p w:rsidR="001B7095" w:rsidRPr="001B7095" w:rsidRDefault="008C2C30" w:rsidP="001B7095">
      <w:pPr>
        <w:spacing w:line="360" w:lineRule="auto"/>
        <w:jc w:val="both"/>
        <w:rPr>
          <w:u w:val="none"/>
        </w:rPr>
      </w:pPr>
      <w:r>
        <w:rPr>
          <w:u w:val="none"/>
        </w:rPr>
        <w:t>[8</w:t>
      </w:r>
      <w:r w:rsidR="003C5BBC" w:rsidRPr="003C5BBC">
        <w:rPr>
          <w:u w:val="none"/>
        </w:rPr>
        <w:t>]</w:t>
      </w:r>
      <w:r w:rsidR="003C5BBC">
        <w:rPr>
          <w:u w:val="none"/>
        </w:rPr>
        <w:tab/>
      </w:r>
      <w:r w:rsidR="001B7095" w:rsidRPr="001B7095">
        <w:rPr>
          <w:u w:val="none"/>
        </w:rPr>
        <w:t>43</w:t>
      </w:r>
      <w:r w:rsidR="00F947EF">
        <w:rPr>
          <w:u w:val="none"/>
        </w:rPr>
        <w:t xml:space="preserve"> Air School</w:t>
      </w:r>
      <w:r w:rsidR="003C5BBC">
        <w:rPr>
          <w:u w:val="none"/>
        </w:rPr>
        <w:t xml:space="preserve">, </w:t>
      </w:r>
      <w:r w:rsidR="001B7095" w:rsidRPr="001B7095">
        <w:rPr>
          <w:u w:val="none"/>
        </w:rPr>
        <w:t xml:space="preserve">PTC and </w:t>
      </w:r>
      <w:r w:rsidR="003C5BBC">
        <w:rPr>
          <w:u w:val="none"/>
        </w:rPr>
        <w:t>JOC</w:t>
      </w:r>
      <w:r w:rsidR="001B7095" w:rsidRPr="001B7095">
        <w:rPr>
          <w:u w:val="none"/>
        </w:rPr>
        <w:t xml:space="preserve"> </w:t>
      </w:r>
      <w:r w:rsidR="009F0044">
        <w:rPr>
          <w:u w:val="none"/>
        </w:rPr>
        <w:t>allege</w:t>
      </w:r>
      <w:r w:rsidR="00494F3B">
        <w:rPr>
          <w:u w:val="none"/>
        </w:rPr>
        <w:t xml:space="preserve"> that</w:t>
      </w:r>
      <w:r w:rsidR="009F0044">
        <w:rPr>
          <w:u w:val="none"/>
        </w:rPr>
        <w:t xml:space="preserve"> </w:t>
      </w:r>
      <w:r w:rsidR="00886A6F">
        <w:rPr>
          <w:u w:val="none"/>
        </w:rPr>
        <w:t xml:space="preserve">in 2020, </w:t>
      </w:r>
      <w:r w:rsidR="009F0044">
        <w:rPr>
          <w:u w:val="none"/>
        </w:rPr>
        <w:t xml:space="preserve">they </w:t>
      </w:r>
      <w:r w:rsidR="001B7095" w:rsidRPr="001B7095">
        <w:rPr>
          <w:u w:val="none"/>
        </w:rPr>
        <w:t xml:space="preserve">suffered losses as a result of the </w:t>
      </w:r>
      <w:r w:rsidR="003C5BBC">
        <w:rPr>
          <w:u w:val="none"/>
        </w:rPr>
        <w:t xml:space="preserve">national </w:t>
      </w:r>
      <w:r w:rsidR="001B7095" w:rsidRPr="001B7095">
        <w:rPr>
          <w:u w:val="none"/>
        </w:rPr>
        <w:t xml:space="preserve">lockdown </w:t>
      </w:r>
      <w:r w:rsidR="009F0044">
        <w:rPr>
          <w:u w:val="none"/>
        </w:rPr>
        <w:t xml:space="preserve">declared in terms of </w:t>
      </w:r>
      <w:r w:rsidR="001B7095" w:rsidRPr="001B7095">
        <w:rPr>
          <w:u w:val="none"/>
        </w:rPr>
        <w:t>Disaster Management Act 57 of 2002</w:t>
      </w:r>
      <w:r w:rsidR="009F0044">
        <w:rPr>
          <w:u w:val="none"/>
        </w:rPr>
        <w:t xml:space="preserve"> that </w:t>
      </w:r>
      <w:r w:rsidR="009F0044" w:rsidRPr="001B7095">
        <w:rPr>
          <w:u w:val="none"/>
        </w:rPr>
        <w:t>came into effect on 26 March 2020</w:t>
      </w:r>
      <w:r w:rsidR="001B7095" w:rsidRPr="001B7095">
        <w:rPr>
          <w:u w:val="none"/>
        </w:rPr>
        <w:t>.</w:t>
      </w:r>
      <w:r w:rsidR="000F4832">
        <w:rPr>
          <w:u w:val="none"/>
        </w:rPr>
        <w:t xml:space="preserve"> </w:t>
      </w:r>
      <w:r w:rsidR="001B7095" w:rsidRPr="001B7095">
        <w:rPr>
          <w:u w:val="none"/>
        </w:rPr>
        <w:t>43 A</w:t>
      </w:r>
      <w:r w:rsidR="000F4832">
        <w:rPr>
          <w:u w:val="none"/>
        </w:rPr>
        <w:t>ir</w:t>
      </w:r>
      <w:r w:rsidR="001B7095" w:rsidRPr="001B7095">
        <w:rPr>
          <w:u w:val="none"/>
        </w:rPr>
        <w:t xml:space="preserve"> </w:t>
      </w:r>
      <w:r w:rsidR="000F4832">
        <w:rPr>
          <w:u w:val="none"/>
        </w:rPr>
        <w:t>S</w:t>
      </w:r>
      <w:r w:rsidR="001B7095" w:rsidRPr="001B7095">
        <w:rPr>
          <w:u w:val="none"/>
        </w:rPr>
        <w:t xml:space="preserve">chool prepared and submitted </w:t>
      </w:r>
      <w:r w:rsidR="005A35E2">
        <w:rPr>
          <w:u w:val="none"/>
        </w:rPr>
        <w:t xml:space="preserve">a </w:t>
      </w:r>
      <w:r w:rsidR="001B7095" w:rsidRPr="001B7095">
        <w:rPr>
          <w:u w:val="none"/>
        </w:rPr>
        <w:t>claim to the respondent under the policy</w:t>
      </w:r>
      <w:r w:rsidR="009F0044">
        <w:rPr>
          <w:u w:val="none"/>
        </w:rPr>
        <w:t xml:space="preserve"> in March 2020. This</w:t>
      </w:r>
      <w:r w:rsidR="000F4832">
        <w:rPr>
          <w:u w:val="none"/>
        </w:rPr>
        <w:t xml:space="preserve"> claim was</w:t>
      </w:r>
      <w:r w:rsidR="001B7095" w:rsidRPr="001B7095">
        <w:rPr>
          <w:u w:val="none"/>
        </w:rPr>
        <w:t xml:space="preserve"> rejected by the respondent</w:t>
      </w:r>
      <w:r w:rsidR="005A35E2">
        <w:rPr>
          <w:u w:val="none"/>
        </w:rPr>
        <w:t xml:space="preserve">. </w:t>
      </w:r>
    </w:p>
    <w:p w:rsidR="001B7095" w:rsidRPr="001B7095" w:rsidRDefault="001B7095" w:rsidP="001B7095">
      <w:pPr>
        <w:spacing w:line="360" w:lineRule="auto"/>
        <w:jc w:val="both"/>
        <w:rPr>
          <w:u w:val="none"/>
        </w:rPr>
      </w:pPr>
    </w:p>
    <w:p w:rsidR="00D87448" w:rsidRDefault="008C2C30" w:rsidP="001B7095">
      <w:pPr>
        <w:spacing w:line="360" w:lineRule="auto"/>
        <w:jc w:val="both"/>
        <w:rPr>
          <w:u w:val="none"/>
        </w:rPr>
      </w:pPr>
      <w:r>
        <w:rPr>
          <w:u w:val="none"/>
        </w:rPr>
        <w:t>[9</w:t>
      </w:r>
      <w:r w:rsidR="00DF2329">
        <w:rPr>
          <w:u w:val="none"/>
        </w:rPr>
        <w:t>]</w:t>
      </w:r>
      <w:r w:rsidR="00DF2329">
        <w:rPr>
          <w:u w:val="none"/>
        </w:rPr>
        <w:tab/>
        <w:t xml:space="preserve">The </w:t>
      </w:r>
      <w:r w:rsidR="009F0044">
        <w:rPr>
          <w:u w:val="none"/>
        </w:rPr>
        <w:t xml:space="preserve">applicant’s </w:t>
      </w:r>
      <w:r w:rsidR="00DF2329">
        <w:rPr>
          <w:u w:val="none"/>
        </w:rPr>
        <w:t>claim</w:t>
      </w:r>
      <w:r w:rsidR="009F0044">
        <w:rPr>
          <w:u w:val="none"/>
        </w:rPr>
        <w:t>s</w:t>
      </w:r>
      <w:r w:rsidR="00DF2329">
        <w:rPr>
          <w:u w:val="none"/>
        </w:rPr>
        <w:t xml:space="preserve"> submitted to </w:t>
      </w:r>
      <w:r w:rsidR="001B7095" w:rsidRPr="001B7095">
        <w:rPr>
          <w:u w:val="none"/>
        </w:rPr>
        <w:t xml:space="preserve">the respondent over </w:t>
      </w:r>
      <w:r w:rsidR="00D87448">
        <w:rPr>
          <w:u w:val="none"/>
        </w:rPr>
        <w:t xml:space="preserve">the period </w:t>
      </w:r>
      <w:r w:rsidR="001B7095" w:rsidRPr="001B7095">
        <w:rPr>
          <w:u w:val="none"/>
        </w:rPr>
        <w:t xml:space="preserve">amounts to the sum of </w:t>
      </w:r>
      <w:r w:rsidR="00D87448">
        <w:rPr>
          <w:u w:val="none"/>
        </w:rPr>
        <w:t>R</w:t>
      </w:r>
      <w:r w:rsidR="001B7095" w:rsidRPr="001B7095">
        <w:rPr>
          <w:u w:val="none"/>
        </w:rPr>
        <w:t xml:space="preserve">4,130,926. </w:t>
      </w:r>
      <w:r w:rsidR="00D87448">
        <w:rPr>
          <w:u w:val="none"/>
        </w:rPr>
        <w:t>According to t</w:t>
      </w:r>
      <w:r w:rsidR="001B7095" w:rsidRPr="001B7095">
        <w:rPr>
          <w:u w:val="none"/>
        </w:rPr>
        <w:t>he applicant</w:t>
      </w:r>
      <w:r w:rsidR="009F0044">
        <w:rPr>
          <w:u w:val="none"/>
        </w:rPr>
        <w:t>s</w:t>
      </w:r>
      <w:r w:rsidR="0060543C">
        <w:rPr>
          <w:u w:val="none"/>
        </w:rPr>
        <w:t>,</w:t>
      </w:r>
      <w:r w:rsidR="001B7095" w:rsidRPr="001B7095">
        <w:rPr>
          <w:u w:val="none"/>
        </w:rPr>
        <w:t xml:space="preserve"> the scope and quantum of the</w:t>
      </w:r>
      <w:r w:rsidR="009F0044">
        <w:rPr>
          <w:u w:val="none"/>
        </w:rPr>
        <w:t>ir</w:t>
      </w:r>
      <w:r w:rsidR="001B7095" w:rsidRPr="001B7095">
        <w:rPr>
          <w:u w:val="none"/>
        </w:rPr>
        <w:t xml:space="preserve"> claim stands to be revised to include business interruption losses </w:t>
      </w:r>
      <w:r w:rsidR="0044305C">
        <w:rPr>
          <w:u w:val="none"/>
        </w:rPr>
        <w:t xml:space="preserve">that relate to </w:t>
      </w:r>
      <w:r w:rsidR="001B7095" w:rsidRPr="001B7095">
        <w:rPr>
          <w:u w:val="none"/>
        </w:rPr>
        <w:t>PTC and J</w:t>
      </w:r>
      <w:r w:rsidR="00D87448">
        <w:rPr>
          <w:u w:val="none"/>
        </w:rPr>
        <w:t>OC</w:t>
      </w:r>
      <w:r w:rsidR="001B7095" w:rsidRPr="001B7095">
        <w:rPr>
          <w:u w:val="none"/>
        </w:rPr>
        <w:t xml:space="preserve">. </w:t>
      </w:r>
      <w:r w:rsidR="009F0044">
        <w:rPr>
          <w:u w:val="none"/>
        </w:rPr>
        <w:t xml:space="preserve">They seek </w:t>
      </w:r>
      <w:r w:rsidR="001B7095" w:rsidRPr="001B7095">
        <w:rPr>
          <w:u w:val="none"/>
        </w:rPr>
        <w:t xml:space="preserve">a declaratory order to the effect that </w:t>
      </w:r>
      <w:r w:rsidR="00D87448">
        <w:rPr>
          <w:u w:val="none"/>
        </w:rPr>
        <w:t>the respondent is liable to</w:t>
      </w:r>
      <w:r w:rsidR="0044305C">
        <w:rPr>
          <w:u w:val="none"/>
        </w:rPr>
        <w:t xml:space="preserve"> the applicants under the policy for the extent of their losses and to direct and </w:t>
      </w:r>
      <w:r w:rsidR="001B7095" w:rsidRPr="001B7095">
        <w:rPr>
          <w:u w:val="none"/>
        </w:rPr>
        <w:t xml:space="preserve">that </w:t>
      </w:r>
      <w:r w:rsidR="009F0044">
        <w:rPr>
          <w:u w:val="none"/>
        </w:rPr>
        <w:t xml:space="preserve">the respondent </w:t>
      </w:r>
      <w:r w:rsidR="001B7095" w:rsidRPr="001B7095">
        <w:rPr>
          <w:u w:val="none"/>
        </w:rPr>
        <w:t>engage</w:t>
      </w:r>
      <w:r w:rsidR="009F0044">
        <w:rPr>
          <w:u w:val="none"/>
        </w:rPr>
        <w:t>s</w:t>
      </w:r>
      <w:r w:rsidR="001B7095" w:rsidRPr="001B7095">
        <w:rPr>
          <w:u w:val="none"/>
        </w:rPr>
        <w:t xml:space="preserve"> meaningfully with the applicants</w:t>
      </w:r>
      <w:r w:rsidR="00D87448">
        <w:rPr>
          <w:u w:val="none"/>
        </w:rPr>
        <w:t xml:space="preserve">. </w:t>
      </w:r>
    </w:p>
    <w:p w:rsidR="00D87448" w:rsidRDefault="00D87448" w:rsidP="001B7095">
      <w:pPr>
        <w:spacing w:line="360" w:lineRule="auto"/>
        <w:jc w:val="both"/>
        <w:rPr>
          <w:u w:val="none"/>
        </w:rPr>
      </w:pPr>
    </w:p>
    <w:p w:rsidR="00B576F0" w:rsidRDefault="008C2C30" w:rsidP="001B7095">
      <w:pPr>
        <w:spacing w:line="360" w:lineRule="auto"/>
        <w:jc w:val="both"/>
        <w:rPr>
          <w:u w:val="none"/>
        </w:rPr>
      </w:pPr>
      <w:r>
        <w:rPr>
          <w:u w:val="none"/>
        </w:rPr>
        <w:t>[10</w:t>
      </w:r>
      <w:r w:rsidR="00D87448">
        <w:rPr>
          <w:u w:val="none"/>
        </w:rPr>
        <w:t>]</w:t>
      </w:r>
      <w:r w:rsidR="00D87448">
        <w:rPr>
          <w:u w:val="none"/>
        </w:rPr>
        <w:tab/>
      </w:r>
      <w:r w:rsidR="004F1216">
        <w:rPr>
          <w:u w:val="none"/>
        </w:rPr>
        <w:t xml:space="preserve">The </w:t>
      </w:r>
      <w:r w:rsidR="0044305C">
        <w:rPr>
          <w:u w:val="none"/>
        </w:rPr>
        <w:t xml:space="preserve">applicants conduct their business in the field of aviation. </w:t>
      </w:r>
      <w:r w:rsidR="001B7095" w:rsidRPr="001B7095">
        <w:rPr>
          <w:u w:val="none"/>
        </w:rPr>
        <w:t>43 A</w:t>
      </w:r>
      <w:r w:rsidR="00D87448">
        <w:rPr>
          <w:u w:val="none"/>
        </w:rPr>
        <w:t>ir S</w:t>
      </w:r>
      <w:r w:rsidR="001B7095" w:rsidRPr="001B7095">
        <w:rPr>
          <w:u w:val="none"/>
        </w:rPr>
        <w:t>chool is based at Port Alfred and provides pilot tr</w:t>
      </w:r>
      <w:r w:rsidR="00D87448">
        <w:rPr>
          <w:u w:val="none"/>
        </w:rPr>
        <w:t>aining and air traffic control t</w:t>
      </w:r>
      <w:r w:rsidR="001B7095" w:rsidRPr="001B7095">
        <w:rPr>
          <w:u w:val="none"/>
        </w:rPr>
        <w:t xml:space="preserve">raining from Port Alfred </w:t>
      </w:r>
      <w:r w:rsidR="00D87448">
        <w:rPr>
          <w:u w:val="none"/>
        </w:rPr>
        <w:t>A</w:t>
      </w:r>
      <w:r w:rsidR="001B7095" w:rsidRPr="001B7095">
        <w:rPr>
          <w:u w:val="none"/>
        </w:rPr>
        <w:t>erodrome</w:t>
      </w:r>
      <w:r w:rsidR="00D87448">
        <w:rPr>
          <w:u w:val="none"/>
        </w:rPr>
        <w:t xml:space="preserve"> which is a dedicated flight</w:t>
      </w:r>
      <w:r w:rsidR="004F1216">
        <w:rPr>
          <w:u w:val="none"/>
        </w:rPr>
        <w:t xml:space="preserve"> training </w:t>
      </w:r>
      <w:r w:rsidR="00AC739D">
        <w:rPr>
          <w:u w:val="none"/>
        </w:rPr>
        <w:t>company</w:t>
      </w:r>
      <w:r w:rsidR="00D87448">
        <w:rPr>
          <w:u w:val="none"/>
        </w:rPr>
        <w:t xml:space="preserve">. It </w:t>
      </w:r>
      <w:r w:rsidR="001B7095" w:rsidRPr="001B7095">
        <w:rPr>
          <w:u w:val="none"/>
        </w:rPr>
        <w:t>caters for commercial</w:t>
      </w:r>
      <w:r w:rsidR="00D87448">
        <w:rPr>
          <w:u w:val="none"/>
        </w:rPr>
        <w:t xml:space="preserve">, </w:t>
      </w:r>
      <w:r w:rsidR="001B7095" w:rsidRPr="001B7095">
        <w:rPr>
          <w:u w:val="none"/>
        </w:rPr>
        <w:t xml:space="preserve">private and general airline and military sectors. 43 </w:t>
      </w:r>
      <w:r w:rsidR="00D87448">
        <w:rPr>
          <w:u w:val="none"/>
        </w:rPr>
        <w:t>Air S</w:t>
      </w:r>
      <w:r w:rsidR="001B7095" w:rsidRPr="001B7095">
        <w:rPr>
          <w:u w:val="none"/>
        </w:rPr>
        <w:t xml:space="preserve">chool </w:t>
      </w:r>
      <w:r w:rsidR="004F1216">
        <w:rPr>
          <w:u w:val="none"/>
        </w:rPr>
        <w:t xml:space="preserve">with a purported </w:t>
      </w:r>
      <w:r w:rsidR="001B7095" w:rsidRPr="001B7095">
        <w:rPr>
          <w:u w:val="none"/>
        </w:rPr>
        <w:t xml:space="preserve">extensive </w:t>
      </w:r>
      <w:r w:rsidR="004F1216">
        <w:rPr>
          <w:u w:val="none"/>
        </w:rPr>
        <w:t xml:space="preserve">background in </w:t>
      </w:r>
      <w:r w:rsidR="001B7095" w:rsidRPr="001B7095">
        <w:rPr>
          <w:u w:val="none"/>
        </w:rPr>
        <w:t xml:space="preserve">training, </w:t>
      </w:r>
      <w:r w:rsidR="004F1216">
        <w:rPr>
          <w:u w:val="none"/>
        </w:rPr>
        <w:t>offer</w:t>
      </w:r>
      <w:r w:rsidR="0044305C">
        <w:rPr>
          <w:u w:val="none"/>
        </w:rPr>
        <w:t>s</w:t>
      </w:r>
      <w:r w:rsidR="004F1216">
        <w:rPr>
          <w:u w:val="none"/>
        </w:rPr>
        <w:t xml:space="preserve"> training to individuals, </w:t>
      </w:r>
      <w:r w:rsidR="001B7095" w:rsidRPr="001B7095">
        <w:rPr>
          <w:u w:val="none"/>
        </w:rPr>
        <w:t>and corporate sponsor</w:t>
      </w:r>
      <w:r w:rsidR="0044305C">
        <w:rPr>
          <w:u w:val="none"/>
        </w:rPr>
        <w:t>ed</w:t>
      </w:r>
      <w:r w:rsidR="001B7095" w:rsidRPr="001B7095">
        <w:rPr>
          <w:u w:val="none"/>
        </w:rPr>
        <w:t xml:space="preserve"> pilots from different backgrounds</w:t>
      </w:r>
      <w:r w:rsidR="006501CE">
        <w:rPr>
          <w:u w:val="none"/>
        </w:rPr>
        <w:t xml:space="preserve">. It also trains pilots </w:t>
      </w:r>
      <w:r w:rsidR="001B7095" w:rsidRPr="001B7095">
        <w:rPr>
          <w:u w:val="none"/>
        </w:rPr>
        <w:t xml:space="preserve">from various countries around the world. PTC operates </w:t>
      </w:r>
      <w:r w:rsidR="006501CE">
        <w:rPr>
          <w:u w:val="none"/>
        </w:rPr>
        <w:t xml:space="preserve">an </w:t>
      </w:r>
      <w:r w:rsidR="001B7095" w:rsidRPr="001B7095">
        <w:rPr>
          <w:u w:val="none"/>
        </w:rPr>
        <w:t>airline pilot preparation service exclusively for 43 A</w:t>
      </w:r>
      <w:r w:rsidR="006501CE">
        <w:rPr>
          <w:u w:val="none"/>
        </w:rPr>
        <w:t>ir S</w:t>
      </w:r>
      <w:r w:rsidR="001B7095" w:rsidRPr="001B7095">
        <w:rPr>
          <w:u w:val="none"/>
        </w:rPr>
        <w:t xml:space="preserve">chool students </w:t>
      </w:r>
      <w:r w:rsidR="006501CE">
        <w:rPr>
          <w:u w:val="none"/>
        </w:rPr>
        <w:t xml:space="preserve">and provides </w:t>
      </w:r>
      <w:r w:rsidR="0044305C">
        <w:rPr>
          <w:u w:val="none"/>
        </w:rPr>
        <w:t>Boeing 737</w:t>
      </w:r>
      <w:r w:rsidR="001B7095" w:rsidRPr="001B7095">
        <w:rPr>
          <w:u w:val="none"/>
        </w:rPr>
        <w:t xml:space="preserve"> and </w:t>
      </w:r>
      <w:r w:rsidR="006501CE">
        <w:rPr>
          <w:u w:val="none"/>
        </w:rPr>
        <w:t xml:space="preserve">Airbus </w:t>
      </w:r>
      <w:r w:rsidR="001B7095" w:rsidRPr="001B7095">
        <w:rPr>
          <w:u w:val="none"/>
        </w:rPr>
        <w:t xml:space="preserve">320 flight training for newly qualified commercial pilots </w:t>
      </w:r>
      <w:r w:rsidR="00B576F0">
        <w:rPr>
          <w:u w:val="none"/>
        </w:rPr>
        <w:t>f</w:t>
      </w:r>
      <w:r w:rsidR="001B7095" w:rsidRPr="001B7095">
        <w:rPr>
          <w:u w:val="none"/>
        </w:rPr>
        <w:t xml:space="preserve">rom </w:t>
      </w:r>
      <w:r w:rsidR="0044305C">
        <w:rPr>
          <w:u w:val="none"/>
        </w:rPr>
        <w:t xml:space="preserve">their </w:t>
      </w:r>
      <w:r w:rsidR="00AC739D">
        <w:rPr>
          <w:u w:val="none"/>
        </w:rPr>
        <w:t>Gqe</w:t>
      </w:r>
      <w:r w:rsidR="00B576F0">
        <w:rPr>
          <w:u w:val="none"/>
        </w:rPr>
        <w:t>berha</w:t>
      </w:r>
      <w:r w:rsidR="0044305C" w:rsidRPr="0044305C">
        <w:rPr>
          <w:u w:val="none"/>
        </w:rPr>
        <w:t xml:space="preserve"> </w:t>
      </w:r>
      <w:r w:rsidR="0044305C">
        <w:rPr>
          <w:u w:val="none"/>
        </w:rPr>
        <w:t xml:space="preserve">premises </w:t>
      </w:r>
      <w:r w:rsidR="001B7095" w:rsidRPr="001B7095">
        <w:rPr>
          <w:u w:val="none"/>
        </w:rPr>
        <w:t>w</w:t>
      </w:r>
      <w:r w:rsidR="00B576F0">
        <w:rPr>
          <w:u w:val="none"/>
        </w:rPr>
        <w:t xml:space="preserve">hich are owned by </w:t>
      </w:r>
      <w:r w:rsidR="00B576F0">
        <w:rPr>
          <w:u w:val="none"/>
        </w:rPr>
        <w:lastRenderedPageBreak/>
        <w:t>Green Gecko T</w:t>
      </w:r>
      <w:r w:rsidR="001B7095" w:rsidRPr="001B7095">
        <w:rPr>
          <w:u w:val="none"/>
        </w:rPr>
        <w:t xml:space="preserve">rading </w:t>
      </w:r>
      <w:r w:rsidR="00B576F0">
        <w:rPr>
          <w:u w:val="none"/>
        </w:rPr>
        <w:t xml:space="preserve">(Pty) Ltd (Green Gecko). The shares in Green Gecko are owned by Holdings. </w:t>
      </w:r>
    </w:p>
    <w:p w:rsidR="00B576F0" w:rsidRDefault="00B576F0" w:rsidP="001B7095">
      <w:pPr>
        <w:spacing w:line="360" w:lineRule="auto"/>
        <w:jc w:val="both"/>
        <w:rPr>
          <w:u w:val="none"/>
        </w:rPr>
      </w:pPr>
    </w:p>
    <w:p w:rsidR="003F1EFB" w:rsidRDefault="008C2C30" w:rsidP="003F1EFB">
      <w:pPr>
        <w:spacing w:line="360" w:lineRule="auto"/>
        <w:jc w:val="both"/>
        <w:rPr>
          <w:u w:val="none"/>
        </w:rPr>
      </w:pPr>
      <w:r>
        <w:rPr>
          <w:u w:val="none"/>
        </w:rPr>
        <w:t>[11</w:t>
      </w:r>
      <w:r w:rsidR="00B576F0">
        <w:rPr>
          <w:u w:val="none"/>
        </w:rPr>
        <w:t>]</w:t>
      </w:r>
      <w:r w:rsidR="00B576F0">
        <w:rPr>
          <w:u w:val="none"/>
        </w:rPr>
        <w:tab/>
        <w:t xml:space="preserve">JOC </w:t>
      </w:r>
      <w:r w:rsidR="001B7095" w:rsidRPr="001B7095">
        <w:rPr>
          <w:u w:val="none"/>
        </w:rPr>
        <w:t>owns and provide</w:t>
      </w:r>
      <w:r w:rsidR="0093071A">
        <w:rPr>
          <w:u w:val="none"/>
        </w:rPr>
        <w:t>s</w:t>
      </w:r>
      <w:r w:rsidR="001B7095" w:rsidRPr="001B7095">
        <w:rPr>
          <w:u w:val="none"/>
        </w:rPr>
        <w:t xml:space="preserve"> flight simulators for lease at </w:t>
      </w:r>
      <w:r w:rsidR="00B576F0">
        <w:rPr>
          <w:u w:val="none"/>
        </w:rPr>
        <w:t>the Gqeberha premises which are owned by G</w:t>
      </w:r>
      <w:r w:rsidR="001B7095" w:rsidRPr="001B7095">
        <w:rPr>
          <w:u w:val="none"/>
        </w:rPr>
        <w:t>reen Gecko and utili</w:t>
      </w:r>
      <w:r w:rsidR="00B576F0">
        <w:rPr>
          <w:u w:val="none"/>
        </w:rPr>
        <w:t>sed by 43</w:t>
      </w:r>
      <w:r w:rsidR="001B7095" w:rsidRPr="001B7095">
        <w:rPr>
          <w:u w:val="none"/>
        </w:rPr>
        <w:t xml:space="preserve"> A</w:t>
      </w:r>
      <w:r w:rsidR="00B576F0">
        <w:rPr>
          <w:u w:val="none"/>
        </w:rPr>
        <w:t>ir S</w:t>
      </w:r>
      <w:r w:rsidR="001B7095" w:rsidRPr="001B7095">
        <w:rPr>
          <w:u w:val="none"/>
        </w:rPr>
        <w:t>chool</w:t>
      </w:r>
      <w:r w:rsidR="00CF7C8A">
        <w:rPr>
          <w:u w:val="none"/>
        </w:rPr>
        <w:t xml:space="preserve"> for PTC</w:t>
      </w:r>
      <w:r w:rsidR="001B7095" w:rsidRPr="001B7095">
        <w:rPr>
          <w:u w:val="none"/>
        </w:rPr>
        <w:t xml:space="preserve"> training purposes</w:t>
      </w:r>
      <w:r w:rsidR="003632D7">
        <w:rPr>
          <w:u w:val="none"/>
        </w:rPr>
        <w:t>. 43 A</w:t>
      </w:r>
      <w:r w:rsidR="001B7095" w:rsidRPr="001B7095">
        <w:rPr>
          <w:u w:val="none"/>
        </w:rPr>
        <w:t xml:space="preserve">dvanced, </w:t>
      </w:r>
      <w:r w:rsidR="003632D7">
        <w:rPr>
          <w:u w:val="none"/>
        </w:rPr>
        <w:t xml:space="preserve">was a division operated by 43 Air School. It </w:t>
      </w:r>
      <w:r w:rsidR="001B7095" w:rsidRPr="001B7095">
        <w:rPr>
          <w:u w:val="none"/>
        </w:rPr>
        <w:t>provided re</w:t>
      </w:r>
      <w:r w:rsidR="003632D7">
        <w:rPr>
          <w:u w:val="none"/>
        </w:rPr>
        <w:t>-</w:t>
      </w:r>
      <w:r w:rsidR="001B7095" w:rsidRPr="001B7095">
        <w:rPr>
          <w:u w:val="none"/>
        </w:rPr>
        <w:t xml:space="preserve">currency and </w:t>
      </w:r>
      <w:r w:rsidR="003632D7">
        <w:rPr>
          <w:u w:val="none"/>
        </w:rPr>
        <w:t>post-qualification</w:t>
      </w:r>
      <w:r w:rsidR="001B7095" w:rsidRPr="001B7095">
        <w:rPr>
          <w:u w:val="none"/>
        </w:rPr>
        <w:t xml:space="preserve"> training for pilo</w:t>
      </w:r>
      <w:r w:rsidR="003632D7">
        <w:rPr>
          <w:u w:val="none"/>
        </w:rPr>
        <w:t>ts at L</w:t>
      </w:r>
      <w:r w:rsidR="001B7095" w:rsidRPr="001B7095">
        <w:rPr>
          <w:u w:val="none"/>
        </w:rPr>
        <w:t xml:space="preserve">anseria until the end of June 2020 when it </w:t>
      </w:r>
      <w:r w:rsidR="00C078E6">
        <w:rPr>
          <w:u w:val="none"/>
        </w:rPr>
        <w:t>c</w:t>
      </w:r>
      <w:r w:rsidR="001B7095" w:rsidRPr="001B7095">
        <w:rPr>
          <w:u w:val="none"/>
        </w:rPr>
        <w:t>losed due to the negative effects of the C</w:t>
      </w:r>
      <w:r w:rsidR="003632D7">
        <w:rPr>
          <w:u w:val="none"/>
        </w:rPr>
        <w:t>ovid 19</w:t>
      </w:r>
      <w:r w:rsidR="001B7095" w:rsidRPr="001B7095">
        <w:rPr>
          <w:u w:val="none"/>
        </w:rPr>
        <w:t xml:space="preserve"> pandemic</w:t>
      </w:r>
      <w:r w:rsidR="00CF7C8A">
        <w:rPr>
          <w:u w:val="none"/>
        </w:rPr>
        <w:t>.</w:t>
      </w:r>
      <w:r>
        <w:rPr>
          <w:u w:val="none"/>
        </w:rPr>
        <w:t xml:space="preserve"> The applicant indicated</w:t>
      </w:r>
      <w:r w:rsidR="001B7095" w:rsidRPr="001B7095">
        <w:rPr>
          <w:u w:val="none"/>
        </w:rPr>
        <w:t xml:space="preserve"> that 43 A</w:t>
      </w:r>
      <w:r w:rsidR="002C7D8D">
        <w:rPr>
          <w:u w:val="none"/>
        </w:rPr>
        <w:t>ir S</w:t>
      </w:r>
      <w:r w:rsidR="001B7095" w:rsidRPr="001B7095">
        <w:rPr>
          <w:u w:val="none"/>
        </w:rPr>
        <w:t xml:space="preserve">chool provides the main administrative management function for each of </w:t>
      </w:r>
      <w:r w:rsidR="002C7D8D">
        <w:rPr>
          <w:u w:val="none"/>
        </w:rPr>
        <w:t xml:space="preserve">the applicants. The pilot training courses </w:t>
      </w:r>
      <w:r>
        <w:rPr>
          <w:u w:val="none"/>
        </w:rPr>
        <w:t>offered</w:t>
      </w:r>
      <w:r w:rsidR="002C7D8D">
        <w:rPr>
          <w:u w:val="none"/>
        </w:rPr>
        <w:t xml:space="preserve"> are extensive</w:t>
      </w:r>
      <w:r w:rsidR="00713750">
        <w:rPr>
          <w:u w:val="none"/>
        </w:rPr>
        <w:t xml:space="preserve"> and include private and commercial </w:t>
      </w:r>
      <w:r w:rsidR="001B7095" w:rsidRPr="001B7095">
        <w:rPr>
          <w:u w:val="none"/>
        </w:rPr>
        <w:t>pilot license training</w:t>
      </w:r>
      <w:r w:rsidR="00713750">
        <w:rPr>
          <w:u w:val="none"/>
        </w:rPr>
        <w:t xml:space="preserve">. The training also includes </w:t>
      </w:r>
      <w:r w:rsidR="00AC498B">
        <w:rPr>
          <w:u w:val="none"/>
        </w:rPr>
        <w:t>airline pilot training that would lead to the</w:t>
      </w:r>
      <w:r w:rsidR="00713750">
        <w:rPr>
          <w:u w:val="none"/>
        </w:rPr>
        <w:t xml:space="preserve"> integrated airline transport and instructor rating t</w:t>
      </w:r>
      <w:r w:rsidR="0030711B">
        <w:rPr>
          <w:u w:val="none"/>
        </w:rPr>
        <w:t>raining</w:t>
      </w:r>
      <w:r w:rsidR="00713750">
        <w:rPr>
          <w:u w:val="none"/>
        </w:rPr>
        <w:t>,</w:t>
      </w:r>
      <w:r w:rsidR="0030711B">
        <w:rPr>
          <w:u w:val="none"/>
        </w:rPr>
        <w:t xml:space="preserve"> technical training</w:t>
      </w:r>
      <w:r w:rsidR="00713750">
        <w:rPr>
          <w:u w:val="none"/>
        </w:rPr>
        <w:t>, a</w:t>
      </w:r>
      <w:r w:rsidR="001B7095" w:rsidRPr="001B7095">
        <w:rPr>
          <w:u w:val="none"/>
        </w:rPr>
        <w:t xml:space="preserve">ircraft </w:t>
      </w:r>
      <w:r w:rsidR="00713750">
        <w:rPr>
          <w:u w:val="none"/>
        </w:rPr>
        <w:t>m</w:t>
      </w:r>
      <w:r w:rsidR="001B7095" w:rsidRPr="001B7095">
        <w:rPr>
          <w:u w:val="none"/>
        </w:rPr>
        <w:t xml:space="preserve">aintenance </w:t>
      </w:r>
      <w:r w:rsidR="00713750">
        <w:rPr>
          <w:u w:val="none"/>
        </w:rPr>
        <w:t xml:space="preserve">and mechanic training. The training is either offered at Port Alfred by 43 Air School or </w:t>
      </w:r>
      <w:r>
        <w:rPr>
          <w:u w:val="none"/>
        </w:rPr>
        <w:t xml:space="preserve">by </w:t>
      </w:r>
      <w:r w:rsidR="00713750">
        <w:rPr>
          <w:u w:val="none"/>
        </w:rPr>
        <w:t>PTC using aircraft simulators owned by JOC. The training is offered to the local as</w:t>
      </w:r>
      <w:r>
        <w:rPr>
          <w:u w:val="none"/>
        </w:rPr>
        <w:t xml:space="preserve"> well as international market</w:t>
      </w:r>
      <w:r w:rsidR="003F1EFB">
        <w:rPr>
          <w:u w:val="none"/>
        </w:rPr>
        <w:t xml:space="preserve">. They also conduct the training for the </w:t>
      </w:r>
      <w:r w:rsidR="002C1D4A">
        <w:rPr>
          <w:u w:val="none"/>
        </w:rPr>
        <w:t>Vietnam Airline</w:t>
      </w:r>
      <w:r w:rsidR="003F1EFB" w:rsidRPr="001B7095">
        <w:rPr>
          <w:u w:val="none"/>
        </w:rPr>
        <w:t xml:space="preserve"> cadet program</w:t>
      </w:r>
      <w:r w:rsidR="00387A8F">
        <w:rPr>
          <w:u w:val="none"/>
        </w:rPr>
        <w:t>.</w:t>
      </w:r>
      <w:r w:rsidR="00387A8F" w:rsidRPr="00387A8F">
        <w:rPr>
          <w:u w:val="none"/>
        </w:rPr>
        <w:t xml:space="preserve"> </w:t>
      </w:r>
      <w:r w:rsidR="00387A8F">
        <w:rPr>
          <w:u w:val="none"/>
        </w:rPr>
        <w:t xml:space="preserve">The organogram </w:t>
      </w:r>
      <w:r w:rsidR="002C1D4A">
        <w:rPr>
          <w:u w:val="none"/>
        </w:rPr>
        <w:t xml:space="preserve">relied on by the applicant </w:t>
      </w:r>
      <w:r w:rsidR="00387A8F">
        <w:rPr>
          <w:u w:val="none"/>
        </w:rPr>
        <w:t>is</w:t>
      </w:r>
      <w:r w:rsidR="002C1D4A">
        <w:rPr>
          <w:u w:val="none"/>
        </w:rPr>
        <w:t xml:space="preserve"> marked “</w:t>
      </w:r>
      <w:r w:rsidR="00387A8F">
        <w:rPr>
          <w:u w:val="none"/>
        </w:rPr>
        <w:t>Annexure</w:t>
      </w:r>
      <w:r w:rsidR="002C1D4A">
        <w:rPr>
          <w:u w:val="none"/>
        </w:rPr>
        <w:t>”</w:t>
      </w:r>
      <w:r w:rsidR="00387A8F">
        <w:rPr>
          <w:u w:val="none"/>
        </w:rPr>
        <w:t xml:space="preserve"> C below.</w:t>
      </w:r>
      <w:r w:rsidR="00C078E6" w:rsidRPr="00C078E6">
        <w:rPr>
          <w:noProof/>
          <w:u w:val="none"/>
          <w:lang w:val="en-ZA" w:eastAsia="en-ZA"/>
        </w:rPr>
        <w:t xml:space="preserve"> </w:t>
      </w:r>
      <w:r w:rsidR="00C078E6">
        <w:rPr>
          <w:noProof/>
          <w:u w:val="none"/>
          <w:lang w:val="en-US" w:eastAsia="en-US"/>
        </w:rPr>
        <w:drawing>
          <wp:inline distT="0" distB="0" distL="0" distR="0" wp14:anchorId="0CBB1D1B" wp14:editId="3C346D96">
            <wp:extent cx="5625348" cy="3613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1436" cy="3617060"/>
                    </a:xfrm>
                    <a:prstGeom prst="rect">
                      <a:avLst/>
                    </a:prstGeom>
                    <a:noFill/>
                  </pic:spPr>
                </pic:pic>
              </a:graphicData>
            </a:graphic>
          </wp:inline>
        </w:drawing>
      </w:r>
    </w:p>
    <w:p w:rsidR="00C078E6" w:rsidRDefault="00C078E6" w:rsidP="003F1EFB">
      <w:pPr>
        <w:spacing w:line="360" w:lineRule="auto"/>
        <w:jc w:val="both"/>
        <w:rPr>
          <w:u w:val="none"/>
        </w:rPr>
      </w:pPr>
    </w:p>
    <w:p w:rsidR="00387A8F" w:rsidRDefault="00387A8F" w:rsidP="003F1EFB">
      <w:pPr>
        <w:spacing w:line="360" w:lineRule="auto"/>
        <w:jc w:val="both"/>
        <w:rPr>
          <w:u w:val="none"/>
        </w:rPr>
      </w:pPr>
    </w:p>
    <w:p w:rsidR="003F1EFB" w:rsidRDefault="003F1EFB" w:rsidP="003F1EFB">
      <w:pPr>
        <w:spacing w:line="360" w:lineRule="auto"/>
        <w:jc w:val="both"/>
        <w:rPr>
          <w:u w:val="none"/>
        </w:rPr>
      </w:pPr>
    </w:p>
    <w:p w:rsidR="001B7FF7" w:rsidRDefault="001B7FF7" w:rsidP="003F1EFB">
      <w:pPr>
        <w:spacing w:line="360" w:lineRule="auto"/>
        <w:jc w:val="both"/>
        <w:rPr>
          <w:u w:val="none"/>
        </w:rPr>
      </w:pPr>
      <w:r>
        <w:rPr>
          <w:u w:val="none"/>
        </w:rPr>
        <w:t>[12</w:t>
      </w:r>
      <w:r w:rsidR="003F1EFB">
        <w:rPr>
          <w:u w:val="none"/>
        </w:rPr>
        <w:t>]</w:t>
      </w:r>
      <w:r w:rsidR="003F1EFB">
        <w:rPr>
          <w:u w:val="none"/>
        </w:rPr>
        <w:tab/>
        <w:t>T</w:t>
      </w:r>
      <w:r w:rsidR="001B7095" w:rsidRPr="001B7095">
        <w:rPr>
          <w:u w:val="none"/>
        </w:rPr>
        <w:t>he respondent was the insurer of the applicant for several years, up to June 2020</w:t>
      </w:r>
      <w:r w:rsidR="003F1EFB">
        <w:rPr>
          <w:u w:val="none"/>
        </w:rPr>
        <w:t xml:space="preserve">. </w:t>
      </w:r>
      <w:r w:rsidR="008C0C86">
        <w:rPr>
          <w:u w:val="none"/>
        </w:rPr>
        <w:t>The premium including VAT was R 467 342,98</w:t>
      </w:r>
      <w:r w:rsidR="00D45CA8">
        <w:rPr>
          <w:u w:val="none"/>
        </w:rPr>
        <w:t xml:space="preserve">  per annum</w:t>
      </w:r>
      <w:r w:rsidR="008C0C86">
        <w:rPr>
          <w:u w:val="none"/>
        </w:rPr>
        <w:t xml:space="preserve">. </w:t>
      </w:r>
      <w:r w:rsidR="00FD25FF">
        <w:rPr>
          <w:u w:val="none"/>
        </w:rPr>
        <w:t>The policy covered business interru</w:t>
      </w:r>
      <w:r w:rsidR="000F2A28">
        <w:rPr>
          <w:u w:val="none"/>
        </w:rPr>
        <w:t>ption for the amount of R 66 443 </w:t>
      </w:r>
      <w:r w:rsidR="00FD25FF">
        <w:rPr>
          <w:u w:val="none"/>
        </w:rPr>
        <w:t>230</w:t>
      </w:r>
      <w:r w:rsidR="00D45CA8">
        <w:rPr>
          <w:u w:val="none"/>
        </w:rPr>
        <w:t>.00 per annum.</w:t>
      </w:r>
      <w:r w:rsidR="00FD25FF">
        <w:rPr>
          <w:u w:val="none"/>
        </w:rPr>
        <w:t xml:space="preserve"> </w:t>
      </w:r>
      <w:r w:rsidR="001B7095" w:rsidRPr="001B7095">
        <w:rPr>
          <w:u w:val="none"/>
        </w:rPr>
        <w:t xml:space="preserve">The applicant </w:t>
      </w:r>
      <w:r w:rsidR="003F1EFB">
        <w:rPr>
          <w:u w:val="none"/>
        </w:rPr>
        <w:t xml:space="preserve">was required to </w:t>
      </w:r>
      <w:r w:rsidR="001B7095" w:rsidRPr="001B7095">
        <w:rPr>
          <w:u w:val="none"/>
        </w:rPr>
        <w:t>complete</w:t>
      </w:r>
      <w:r w:rsidR="003F1EFB">
        <w:rPr>
          <w:u w:val="none"/>
        </w:rPr>
        <w:t xml:space="preserve"> a questionnaire </w:t>
      </w:r>
      <w:r w:rsidR="001B7095" w:rsidRPr="001B7095">
        <w:rPr>
          <w:u w:val="none"/>
        </w:rPr>
        <w:t xml:space="preserve">at the beginning of each year </w:t>
      </w:r>
      <w:r w:rsidR="00063906">
        <w:rPr>
          <w:u w:val="none"/>
        </w:rPr>
        <w:t xml:space="preserve">relating to the insurance required. The questionnaire was completed </w:t>
      </w:r>
      <w:r w:rsidR="001B7095" w:rsidRPr="001B7095">
        <w:rPr>
          <w:u w:val="none"/>
        </w:rPr>
        <w:t>as requested by the insurer and updated</w:t>
      </w:r>
      <w:r w:rsidR="0042084D">
        <w:rPr>
          <w:u w:val="none"/>
        </w:rPr>
        <w:t xml:space="preserve"> and submitted</w:t>
      </w:r>
      <w:r w:rsidR="0042084D" w:rsidRPr="001B7095">
        <w:rPr>
          <w:u w:val="none"/>
        </w:rPr>
        <w:t xml:space="preserve"> </w:t>
      </w:r>
      <w:r w:rsidR="001B7095" w:rsidRPr="001B7095">
        <w:rPr>
          <w:u w:val="none"/>
        </w:rPr>
        <w:t xml:space="preserve">for </w:t>
      </w:r>
      <w:r w:rsidR="00063906">
        <w:rPr>
          <w:u w:val="none"/>
        </w:rPr>
        <w:t xml:space="preserve">the period </w:t>
      </w:r>
      <w:r w:rsidR="001B7095" w:rsidRPr="001B7095">
        <w:rPr>
          <w:u w:val="none"/>
        </w:rPr>
        <w:t xml:space="preserve">2019 to 2020. </w:t>
      </w:r>
      <w:r w:rsidR="00063906">
        <w:rPr>
          <w:u w:val="none"/>
        </w:rPr>
        <w:t>T</w:t>
      </w:r>
      <w:r w:rsidR="001B7095" w:rsidRPr="001B7095">
        <w:rPr>
          <w:u w:val="none"/>
        </w:rPr>
        <w:t xml:space="preserve">he </w:t>
      </w:r>
      <w:r w:rsidR="008C0C86">
        <w:rPr>
          <w:u w:val="none"/>
        </w:rPr>
        <w:t xml:space="preserve">insurance </w:t>
      </w:r>
      <w:r w:rsidR="0042084D">
        <w:rPr>
          <w:u w:val="none"/>
        </w:rPr>
        <w:t xml:space="preserve">policy </w:t>
      </w:r>
      <w:r w:rsidR="001B7095" w:rsidRPr="001B7095">
        <w:rPr>
          <w:u w:val="none"/>
        </w:rPr>
        <w:t>cover</w:t>
      </w:r>
      <w:r w:rsidR="008C0C86">
        <w:rPr>
          <w:u w:val="none"/>
        </w:rPr>
        <w:t xml:space="preserve">ed the business </w:t>
      </w:r>
      <w:r w:rsidR="00196CB3">
        <w:rPr>
          <w:u w:val="none"/>
        </w:rPr>
        <w:t xml:space="preserve">and premises </w:t>
      </w:r>
      <w:r w:rsidR="008C0C86">
        <w:rPr>
          <w:u w:val="none"/>
        </w:rPr>
        <w:t xml:space="preserve">in Lanseria, Port Alfred, </w:t>
      </w:r>
      <w:r w:rsidR="00196CB3">
        <w:rPr>
          <w:u w:val="none"/>
        </w:rPr>
        <w:t xml:space="preserve">and Gqeberha for </w:t>
      </w:r>
      <w:r w:rsidR="001B7095" w:rsidRPr="001B7095">
        <w:rPr>
          <w:u w:val="none"/>
        </w:rPr>
        <w:t xml:space="preserve">assets </w:t>
      </w:r>
      <w:r w:rsidR="00196CB3">
        <w:rPr>
          <w:u w:val="none"/>
        </w:rPr>
        <w:t>to the value of R</w:t>
      </w:r>
      <w:r w:rsidR="001B7095" w:rsidRPr="001B7095">
        <w:rPr>
          <w:u w:val="none"/>
        </w:rPr>
        <w:t>258,000,296</w:t>
      </w:r>
      <w:r w:rsidR="00196CB3">
        <w:rPr>
          <w:u w:val="none"/>
        </w:rPr>
        <w:t>.00</w:t>
      </w:r>
      <w:r w:rsidR="001B7095" w:rsidRPr="001B7095">
        <w:rPr>
          <w:u w:val="none"/>
        </w:rPr>
        <w:t xml:space="preserve"> </w:t>
      </w:r>
      <w:r w:rsidR="00196CB3">
        <w:rPr>
          <w:u w:val="none"/>
        </w:rPr>
        <w:t xml:space="preserve">and </w:t>
      </w:r>
      <w:r w:rsidR="001B7095" w:rsidRPr="001B7095">
        <w:rPr>
          <w:u w:val="none"/>
        </w:rPr>
        <w:t xml:space="preserve">in respect of cover for business interruption </w:t>
      </w:r>
      <w:r w:rsidR="00B76298">
        <w:rPr>
          <w:u w:val="none"/>
        </w:rPr>
        <w:t xml:space="preserve">in </w:t>
      </w:r>
      <w:r w:rsidR="001B7095" w:rsidRPr="001B7095">
        <w:rPr>
          <w:u w:val="none"/>
        </w:rPr>
        <w:t xml:space="preserve">the amount of </w:t>
      </w:r>
      <w:r w:rsidR="00196CB3">
        <w:rPr>
          <w:u w:val="none"/>
        </w:rPr>
        <w:t xml:space="preserve">R </w:t>
      </w:r>
      <w:r w:rsidR="000F2A28">
        <w:rPr>
          <w:u w:val="none"/>
        </w:rPr>
        <w:t>66 443</w:t>
      </w:r>
      <w:r w:rsidR="00196CB3">
        <w:rPr>
          <w:u w:val="none"/>
        </w:rPr>
        <w:t xml:space="preserve">, </w:t>
      </w:r>
      <w:r w:rsidR="001B7095" w:rsidRPr="001B7095">
        <w:rPr>
          <w:u w:val="none"/>
        </w:rPr>
        <w:t>230</w:t>
      </w:r>
      <w:r w:rsidR="00196CB3">
        <w:rPr>
          <w:u w:val="none"/>
        </w:rPr>
        <w:t>.00</w:t>
      </w:r>
      <w:r w:rsidR="00BD3A53">
        <w:rPr>
          <w:u w:val="none"/>
        </w:rPr>
        <w:t>.</w:t>
      </w:r>
      <w:r w:rsidR="001B7095" w:rsidRPr="001B7095">
        <w:rPr>
          <w:u w:val="none"/>
        </w:rPr>
        <w:t xml:space="preserve"> The m</w:t>
      </w:r>
      <w:r w:rsidR="00B76298">
        <w:rPr>
          <w:u w:val="none"/>
        </w:rPr>
        <w:t xml:space="preserve">eaning of business interruption as </w:t>
      </w:r>
      <w:r w:rsidR="001B7095" w:rsidRPr="001B7095">
        <w:rPr>
          <w:u w:val="none"/>
        </w:rPr>
        <w:t xml:space="preserve">described </w:t>
      </w:r>
      <w:r w:rsidR="00B76298">
        <w:rPr>
          <w:u w:val="none"/>
        </w:rPr>
        <w:t xml:space="preserve">in the policy is relied upon by </w:t>
      </w:r>
      <w:r w:rsidR="00E20612">
        <w:rPr>
          <w:u w:val="none"/>
        </w:rPr>
        <w:t>43 Air School</w:t>
      </w:r>
      <w:r w:rsidR="00D45CA8">
        <w:rPr>
          <w:u w:val="none"/>
        </w:rPr>
        <w:t xml:space="preserve"> </w:t>
      </w:r>
      <w:r w:rsidR="00B76298">
        <w:rPr>
          <w:u w:val="none"/>
        </w:rPr>
        <w:t xml:space="preserve">who was compelled to </w:t>
      </w:r>
      <w:r w:rsidR="00E20612">
        <w:rPr>
          <w:u w:val="none"/>
        </w:rPr>
        <w:t xml:space="preserve">changed its </w:t>
      </w:r>
      <w:r w:rsidR="00B76298">
        <w:rPr>
          <w:u w:val="none"/>
        </w:rPr>
        <w:t xml:space="preserve">business </w:t>
      </w:r>
      <w:r w:rsidR="00E20612">
        <w:rPr>
          <w:u w:val="none"/>
        </w:rPr>
        <w:t xml:space="preserve">location </w:t>
      </w:r>
      <w:r w:rsidR="00BD3A53">
        <w:rPr>
          <w:u w:val="none"/>
        </w:rPr>
        <w:t>a</w:t>
      </w:r>
      <w:r w:rsidR="00D45CA8">
        <w:rPr>
          <w:u w:val="none"/>
        </w:rPr>
        <w:t>s</w:t>
      </w:r>
      <w:r w:rsidR="00E20612">
        <w:rPr>
          <w:u w:val="none"/>
        </w:rPr>
        <w:t xml:space="preserve"> it was fundamentally impacted</w:t>
      </w:r>
      <w:r w:rsidR="00B76298">
        <w:rPr>
          <w:u w:val="none"/>
        </w:rPr>
        <w:t xml:space="preserve"> by the </w:t>
      </w:r>
      <w:r w:rsidR="00DF7C10">
        <w:rPr>
          <w:u w:val="none"/>
        </w:rPr>
        <w:t xml:space="preserve">national lockdown and </w:t>
      </w:r>
      <w:r w:rsidR="00B76298">
        <w:rPr>
          <w:u w:val="none"/>
        </w:rPr>
        <w:t>Covid 19 disease</w:t>
      </w:r>
      <w:r w:rsidR="00DF7C10">
        <w:rPr>
          <w:u w:val="none"/>
        </w:rPr>
        <w:t xml:space="preserve"> was diagnosed </w:t>
      </w:r>
      <w:r w:rsidR="00DB10F3">
        <w:rPr>
          <w:u w:val="none"/>
        </w:rPr>
        <w:t xml:space="preserve">within the 25 km radius </w:t>
      </w:r>
      <w:r w:rsidR="00DF7C10">
        <w:rPr>
          <w:u w:val="none"/>
        </w:rPr>
        <w:t xml:space="preserve">when the Lanseria business closed. </w:t>
      </w:r>
      <w:r w:rsidR="00B76298">
        <w:rPr>
          <w:u w:val="none"/>
        </w:rPr>
        <w:t>The</w:t>
      </w:r>
      <w:r w:rsidR="00DF7C10">
        <w:rPr>
          <w:u w:val="none"/>
        </w:rPr>
        <w:t xml:space="preserve"> 43 Air School premises based at the </w:t>
      </w:r>
      <w:r w:rsidR="00B76298">
        <w:rPr>
          <w:u w:val="none"/>
        </w:rPr>
        <w:t>Port Alfred premises was also</w:t>
      </w:r>
      <w:r w:rsidR="00E20612">
        <w:rPr>
          <w:u w:val="none"/>
        </w:rPr>
        <w:t xml:space="preserve"> affected</w:t>
      </w:r>
      <w:r w:rsidR="00485896">
        <w:rPr>
          <w:u w:val="none"/>
        </w:rPr>
        <w:t xml:space="preserve"> </w:t>
      </w:r>
      <w:r w:rsidR="00DF7C10">
        <w:rPr>
          <w:u w:val="none"/>
        </w:rPr>
        <w:t xml:space="preserve">due to a defined incident, namely the diagnosis of Covid </w:t>
      </w:r>
      <w:r w:rsidR="005B242F">
        <w:rPr>
          <w:u w:val="none"/>
        </w:rPr>
        <w:t>19</w:t>
      </w:r>
      <w:r w:rsidR="00DF7C10">
        <w:rPr>
          <w:u w:val="none"/>
        </w:rPr>
        <w:t xml:space="preserve"> within the 25 km radius</w:t>
      </w:r>
      <w:r w:rsidR="005B242F">
        <w:rPr>
          <w:u w:val="none"/>
        </w:rPr>
        <w:t xml:space="preserve"> impacting </w:t>
      </w:r>
      <w:r w:rsidR="00485896">
        <w:rPr>
          <w:u w:val="none"/>
        </w:rPr>
        <w:t xml:space="preserve"> </w:t>
      </w:r>
      <w:r w:rsidR="00E20612">
        <w:rPr>
          <w:u w:val="none"/>
        </w:rPr>
        <w:t xml:space="preserve"> PTC</w:t>
      </w:r>
      <w:r w:rsidR="005B242F">
        <w:rPr>
          <w:u w:val="none"/>
        </w:rPr>
        <w:t xml:space="preserve"> as well, </w:t>
      </w:r>
      <w:r w:rsidR="00E20612">
        <w:rPr>
          <w:u w:val="none"/>
        </w:rPr>
        <w:t>it was submitted</w:t>
      </w:r>
      <w:r w:rsidR="005B242F">
        <w:rPr>
          <w:u w:val="none"/>
        </w:rPr>
        <w:t xml:space="preserve">. The rejection of PTC’s claim is not justified as a claim by PTC was accepted in the past in respect of a computer. </w:t>
      </w:r>
      <w:r w:rsidR="00E20612">
        <w:rPr>
          <w:u w:val="none"/>
        </w:rPr>
        <w:t>JOC’s claim</w:t>
      </w:r>
      <w:r w:rsidR="00190A81">
        <w:rPr>
          <w:u w:val="none"/>
        </w:rPr>
        <w:t>,</w:t>
      </w:r>
      <w:r w:rsidR="005B242F">
        <w:rPr>
          <w:u w:val="none"/>
        </w:rPr>
        <w:t xml:space="preserve"> the applicant submits</w:t>
      </w:r>
      <w:r w:rsidR="00190A81">
        <w:rPr>
          <w:u w:val="none"/>
        </w:rPr>
        <w:t>,</w:t>
      </w:r>
      <w:r w:rsidR="005B242F">
        <w:rPr>
          <w:u w:val="none"/>
        </w:rPr>
        <w:t xml:space="preserve"> is correctly </w:t>
      </w:r>
      <w:r>
        <w:rPr>
          <w:u w:val="none"/>
        </w:rPr>
        <w:t xml:space="preserve">submitted </w:t>
      </w:r>
      <w:r w:rsidR="005B242F">
        <w:rPr>
          <w:u w:val="none"/>
        </w:rPr>
        <w:t xml:space="preserve">along with the other claims. </w:t>
      </w:r>
      <w:r w:rsidR="00E20612">
        <w:rPr>
          <w:u w:val="none"/>
        </w:rPr>
        <w:t xml:space="preserve">The </w:t>
      </w:r>
      <w:r w:rsidR="00487613">
        <w:rPr>
          <w:u w:val="none"/>
        </w:rPr>
        <w:t xml:space="preserve">applicants as the insured </w:t>
      </w:r>
      <w:r w:rsidR="00E20612">
        <w:rPr>
          <w:u w:val="none"/>
        </w:rPr>
        <w:t xml:space="preserve">submitted claims </w:t>
      </w:r>
      <w:r>
        <w:rPr>
          <w:u w:val="none"/>
        </w:rPr>
        <w:t>to the respondent</w:t>
      </w:r>
      <w:r w:rsidR="00190A81">
        <w:rPr>
          <w:u w:val="none"/>
        </w:rPr>
        <w:t>’</w:t>
      </w:r>
      <w:r>
        <w:rPr>
          <w:u w:val="none"/>
        </w:rPr>
        <w:t xml:space="preserve">s claims department </w:t>
      </w:r>
      <w:r w:rsidR="00E20612">
        <w:rPr>
          <w:u w:val="none"/>
        </w:rPr>
        <w:t>in litigation</w:t>
      </w:r>
      <w:r>
        <w:rPr>
          <w:u w:val="none"/>
        </w:rPr>
        <w:t xml:space="preserve">. </w:t>
      </w:r>
    </w:p>
    <w:p w:rsidR="001B7FF7" w:rsidRDefault="001B7FF7" w:rsidP="003F1EFB">
      <w:pPr>
        <w:spacing w:line="360" w:lineRule="auto"/>
        <w:jc w:val="both"/>
        <w:rPr>
          <w:u w:val="none"/>
        </w:rPr>
      </w:pPr>
    </w:p>
    <w:p w:rsidR="00E20612" w:rsidRDefault="001B7FF7" w:rsidP="003F1EFB">
      <w:pPr>
        <w:spacing w:line="360" w:lineRule="auto"/>
        <w:jc w:val="both"/>
        <w:rPr>
          <w:rFonts w:ascii="Arial Bold" w:hAnsi="Arial Bold"/>
          <w:b/>
          <w:caps/>
          <w:u w:val="none"/>
        </w:rPr>
      </w:pPr>
      <w:r>
        <w:rPr>
          <w:u w:val="none"/>
        </w:rPr>
        <w:t>[13]</w:t>
      </w:r>
      <w:r>
        <w:rPr>
          <w:u w:val="none"/>
        </w:rPr>
        <w:tab/>
        <w:t>T</w:t>
      </w:r>
      <w:r w:rsidR="00E20612">
        <w:rPr>
          <w:u w:val="none"/>
        </w:rPr>
        <w:t xml:space="preserve">he </w:t>
      </w:r>
      <w:r>
        <w:rPr>
          <w:u w:val="none"/>
        </w:rPr>
        <w:t xml:space="preserve">respondent rejected </w:t>
      </w:r>
      <w:r w:rsidR="00681012">
        <w:rPr>
          <w:u w:val="none"/>
        </w:rPr>
        <w:t>43 Ai</w:t>
      </w:r>
      <w:r w:rsidR="00190A81">
        <w:rPr>
          <w:u w:val="none"/>
        </w:rPr>
        <w:t xml:space="preserve">r </w:t>
      </w:r>
      <w:r w:rsidR="00681012">
        <w:rPr>
          <w:u w:val="none"/>
        </w:rPr>
        <w:t>school’s</w:t>
      </w:r>
      <w:r>
        <w:rPr>
          <w:u w:val="none"/>
        </w:rPr>
        <w:t xml:space="preserve"> first </w:t>
      </w:r>
      <w:r w:rsidR="00681012">
        <w:rPr>
          <w:u w:val="none"/>
        </w:rPr>
        <w:t xml:space="preserve">claim for the period 26 April to 9 June 2020  as it contends the national lockdown was not in response to an incident of Covid 19 </w:t>
      </w:r>
      <w:r w:rsidR="000D2040">
        <w:rPr>
          <w:u w:val="none"/>
        </w:rPr>
        <w:t>with</w:t>
      </w:r>
      <w:r w:rsidR="00681012">
        <w:rPr>
          <w:u w:val="none"/>
        </w:rPr>
        <w:t>in the 25 km radius of Port Alfred and the policy is not a joint policy</w:t>
      </w:r>
      <w:r w:rsidR="00487613">
        <w:rPr>
          <w:u w:val="none"/>
        </w:rPr>
        <w:t>.</w:t>
      </w:r>
      <w:r w:rsidR="00681012">
        <w:rPr>
          <w:u w:val="none"/>
        </w:rPr>
        <w:t xml:space="preserve"> </w:t>
      </w:r>
      <w:r w:rsidR="00487613">
        <w:rPr>
          <w:u w:val="none"/>
        </w:rPr>
        <w:t>T</w:t>
      </w:r>
      <w:r w:rsidR="00681012">
        <w:rPr>
          <w:u w:val="none"/>
        </w:rPr>
        <w:t xml:space="preserve">hus the case in Gqeberha </w:t>
      </w:r>
      <w:r w:rsidR="000D2040">
        <w:rPr>
          <w:u w:val="none"/>
        </w:rPr>
        <w:t xml:space="preserve">is not a trigger event for the </w:t>
      </w:r>
      <w:r w:rsidR="00681012">
        <w:rPr>
          <w:u w:val="none"/>
        </w:rPr>
        <w:t>second applicant</w:t>
      </w:r>
      <w:r w:rsidR="000D2040">
        <w:rPr>
          <w:u w:val="none"/>
        </w:rPr>
        <w:t xml:space="preserve"> to claim on the policy</w:t>
      </w:r>
      <w:r w:rsidR="00681012">
        <w:rPr>
          <w:u w:val="none"/>
        </w:rPr>
        <w:t xml:space="preserve">. Its second claim </w:t>
      </w:r>
      <w:r w:rsidR="009D351D">
        <w:rPr>
          <w:u w:val="none"/>
        </w:rPr>
        <w:t>was not submitted prior t</w:t>
      </w:r>
      <w:r w:rsidR="000D2040">
        <w:rPr>
          <w:u w:val="none"/>
        </w:rPr>
        <w:t>o the launch of this</w:t>
      </w:r>
      <w:r w:rsidR="009D351D">
        <w:rPr>
          <w:u w:val="none"/>
        </w:rPr>
        <w:t xml:space="preserve"> application and again the respondent indicates it is not a joint policy. PTC’s claim for the period 27 March 2020 to 1 June 2020 </w:t>
      </w:r>
      <w:r w:rsidR="00190A81">
        <w:rPr>
          <w:u w:val="none"/>
        </w:rPr>
        <w:t>was</w:t>
      </w:r>
      <w:r w:rsidR="009D351D">
        <w:rPr>
          <w:u w:val="none"/>
        </w:rPr>
        <w:t xml:space="preserve"> rejected because the respondent assert</w:t>
      </w:r>
      <w:r w:rsidR="00190A81">
        <w:rPr>
          <w:u w:val="none"/>
        </w:rPr>
        <w:t>ed that</w:t>
      </w:r>
      <w:r w:rsidR="009D351D">
        <w:rPr>
          <w:u w:val="none"/>
        </w:rPr>
        <w:t xml:space="preserve"> it was not subm</w:t>
      </w:r>
      <w:r w:rsidR="000D2040">
        <w:rPr>
          <w:u w:val="none"/>
        </w:rPr>
        <w:t>itted prior to the launch of this</w:t>
      </w:r>
      <w:r w:rsidR="009D351D">
        <w:rPr>
          <w:u w:val="none"/>
        </w:rPr>
        <w:t xml:space="preserve"> application </w:t>
      </w:r>
      <w:r w:rsidR="006D00F2">
        <w:rPr>
          <w:u w:val="none"/>
        </w:rPr>
        <w:t xml:space="preserve">and PTC is </w:t>
      </w:r>
      <w:r w:rsidR="009D351D">
        <w:rPr>
          <w:u w:val="none"/>
        </w:rPr>
        <w:t>not insured under the policy</w:t>
      </w:r>
      <w:r w:rsidR="006D00F2">
        <w:rPr>
          <w:u w:val="none"/>
        </w:rPr>
        <w:t xml:space="preserve">. JOC’s claim </w:t>
      </w:r>
      <w:r w:rsidR="00190A81">
        <w:rPr>
          <w:u w:val="none"/>
        </w:rPr>
        <w:t>was</w:t>
      </w:r>
      <w:r w:rsidR="006D00F2">
        <w:rPr>
          <w:u w:val="none"/>
        </w:rPr>
        <w:t xml:space="preserve"> rejected because it was not submitted prior to the launch of this application. There is n</w:t>
      </w:r>
      <w:r w:rsidR="006F47B3">
        <w:rPr>
          <w:u w:val="none"/>
        </w:rPr>
        <w:t xml:space="preserve">o major opposition </w:t>
      </w:r>
      <w:r w:rsidR="00487613">
        <w:rPr>
          <w:u w:val="none"/>
        </w:rPr>
        <w:t>to</w:t>
      </w:r>
      <w:r w:rsidR="006F47B3">
        <w:rPr>
          <w:u w:val="none"/>
        </w:rPr>
        <w:t xml:space="preserve"> JOC</w:t>
      </w:r>
      <w:r w:rsidR="006D00F2">
        <w:rPr>
          <w:u w:val="none"/>
        </w:rPr>
        <w:t>’s claim</w:t>
      </w:r>
      <w:r w:rsidR="00487613">
        <w:rPr>
          <w:u w:val="none"/>
        </w:rPr>
        <w:t>.</w:t>
      </w:r>
    </w:p>
    <w:p w:rsidR="00E21604" w:rsidRDefault="00E21604" w:rsidP="001B7095">
      <w:pPr>
        <w:spacing w:line="360" w:lineRule="auto"/>
        <w:jc w:val="both"/>
        <w:rPr>
          <w:rFonts w:ascii="Arial Bold" w:hAnsi="Arial Bold"/>
          <w:b/>
          <w:caps/>
          <w:u w:val="none"/>
        </w:rPr>
      </w:pPr>
    </w:p>
    <w:p w:rsidR="005E125D" w:rsidRPr="006D00F2" w:rsidRDefault="00487613" w:rsidP="006D00F2">
      <w:pPr>
        <w:spacing w:line="360" w:lineRule="auto"/>
        <w:jc w:val="both"/>
        <w:rPr>
          <w:rFonts w:ascii="Arial Bold" w:hAnsi="Arial Bold"/>
          <w:b/>
          <w:caps/>
          <w:u w:val="none"/>
        </w:rPr>
      </w:pPr>
      <w:r w:rsidRPr="006D00F2">
        <w:rPr>
          <w:caps/>
          <w:u w:val="none"/>
        </w:rPr>
        <w:t xml:space="preserve"> </w:t>
      </w:r>
      <w:r w:rsidR="006D00F2" w:rsidRPr="006D00F2">
        <w:rPr>
          <w:caps/>
          <w:u w:val="none"/>
        </w:rPr>
        <w:t>[14]</w:t>
      </w:r>
      <w:r w:rsidR="005E125D" w:rsidRPr="006D00F2">
        <w:rPr>
          <w:caps/>
          <w:u w:val="none"/>
        </w:rPr>
        <w:t xml:space="preserve"> </w:t>
      </w:r>
      <w:r w:rsidR="006D00F2">
        <w:rPr>
          <w:caps/>
          <w:u w:val="none"/>
        </w:rPr>
        <w:tab/>
      </w:r>
      <w:r w:rsidR="00E21604">
        <w:rPr>
          <w:u w:val="none"/>
        </w:rPr>
        <w:t xml:space="preserve">The issues for determination were agreed </w:t>
      </w:r>
      <w:r>
        <w:rPr>
          <w:u w:val="none"/>
        </w:rPr>
        <w:t>to be</w:t>
      </w:r>
      <w:r w:rsidR="00E21604">
        <w:rPr>
          <w:u w:val="none"/>
        </w:rPr>
        <w:t>:</w:t>
      </w:r>
    </w:p>
    <w:p w:rsidR="00510566" w:rsidRDefault="00E21604" w:rsidP="00E21604">
      <w:pPr>
        <w:pStyle w:val="ListParagraph"/>
        <w:numPr>
          <w:ilvl w:val="0"/>
          <w:numId w:val="2"/>
        </w:numPr>
        <w:spacing w:line="360" w:lineRule="auto"/>
        <w:jc w:val="both"/>
        <w:rPr>
          <w:u w:val="none"/>
        </w:rPr>
      </w:pPr>
      <w:r>
        <w:rPr>
          <w:u w:val="none"/>
        </w:rPr>
        <w:t xml:space="preserve">Whether </w:t>
      </w:r>
      <w:r w:rsidR="00487613">
        <w:rPr>
          <w:u w:val="none"/>
        </w:rPr>
        <w:t>PTC</w:t>
      </w:r>
      <w:r w:rsidR="006D00F2">
        <w:rPr>
          <w:u w:val="none"/>
        </w:rPr>
        <w:t xml:space="preserve"> </w:t>
      </w:r>
      <w:r w:rsidR="00510566">
        <w:rPr>
          <w:u w:val="none"/>
        </w:rPr>
        <w:t>is an insured under the policy?</w:t>
      </w:r>
    </w:p>
    <w:p w:rsidR="00BC2FFD" w:rsidRDefault="00510566" w:rsidP="00E21604">
      <w:pPr>
        <w:pStyle w:val="ListParagraph"/>
        <w:numPr>
          <w:ilvl w:val="0"/>
          <w:numId w:val="2"/>
        </w:numPr>
        <w:spacing w:line="360" w:lineRule="auto"/>
        <w:jc w:val="both"/>
        <w:rPr>
          <w:u w:val="none"/>
        </w:rPr>
      </w:pPr>
      <w:r>
        <w:rPr>
          <w:u w:val="none"/>
        </w:rPr>
        <w:t xml:space="preserve">Whether the second third and fourth applicant are entitled to seek declaratory relief by way of litigation where only the second applicant </w:t>
      </w:r>
      <w:r w:rsidR="00BC2FFD">
        <w:rPr>
          <w:u w:val="none"/>
        </w:rPr>
        <w:t xml:space="preserve">submitted a claim for business interruption to the respondent from 27 April 2020 -31 May 2020 which was rejected by the respondent. </w:t>
      </w:r>
    </w:p>
    <w:p w:rsidR="00967AD7" w:rsidRPr="006D00F2" w:rsidRDefault="00BC2FFD" w:rsidP="00631CFB">
      <w:pPr>
        <w:pStyle w:val="ListParagraph"/>
        <w:numPr>
          <w:ilvl w:val="0"/>
          <w:numId w:val="2"/>
        </w:numPr>
        <w:spacing w:line="360" w:lineRule="auto"/>
        <w:jc w:val="both"/>
        <w:rPr>
          <w:u w:val="none"/>
        </w:rPr>
      </w:pPr>
      <w:r w:rsidRPr="006D00F2">
        <w:rPr>
          <w:u w:val="none"/>
        </w:rPr>
        <w:t xml:space="preserve">Whether the second </w:t>
      </w:r>
      <w:r w:rsidR="006D00F2" w:rsidRPr="006D00F2">
        <w:rPr>
          <w:u w:val="none"/>
        </w:rPr>
        <w:t xml:space="preserve">applicant </w:t>
      </w:r>
      <w:r w:rsidRPr="006D00F2">
        <w:rPr>
          <w:u w:val="none"/>
        </w:rPr>
        <w:t xml:space="preserve">is entitled to indemnity under the insurance policy  for the period during which its business was interrupted </w:t>
      </w:r>
      <w:r w:rsidR="00967AD7" w:rsidRPr="006D00F2">
        <w:rPr>
          <w:u w:val="none"/>
        </w:rPr>
        <w:t>as a result of the lockdown  but where the outbreak of Covid 19  occurred within the radial limit on a date after  and could not have been the cause of the Government</w:t>
      </w:r>
      <w:r w:rsidR="00487613">
        <w:rPr>
          <w:u w:val="none"/>
        </w:rPr>
        <w:t>’</w:t>
      </w:r>
      <w:r w:rsidR="00967AD7" w:rsidRPr="006D00F2">
        <w:rPr>
          <w:u w:val="none"/>
        </w:rPr>
        <w:t xml:space="preserve">s imposition of the lockdown imposed. </w:t>
      </w:r>
    </w:p>
    <w:p w:rsidR="00967AD7" w:rsidRDefault="00967AD7" w:rsidP="00967AD7">
      <w:pPr>
        <w:spacing w:line="360" w:lineRule="auto"/>
        <w:jc w:val="both"/>
        <w:rPr>
          <w:rFonts w:ascii="Arial Bold" w:hAnsi="Arial Bold"/>
          <w:b/>
          <w:caps/>
          <w:u w:val="none"/>
        </w:rPr>
      </w:pPr>
    </w:p>
    <w:p w:rsidR="00025B65" w:rsidRDefault="00487613" w:rsidP="00025B65">
      <w:pPr>
        <w:spacing w:line="360" w:lineRule="auto"/>
        <w:jc w:val="both"/>
      </w:pPr>
      <w:r>
        <w:rPr>
          <w:u w:val="none"/>
        </w:rPr>
        <w:t xml:space="preserve"> </w:t>
      </w:r>
      <w:r w:rsidR="004F533F">
        <w:rPr>
          <w:u w:val="none"/>
        </w:rPr>
        <w:t>[15]</w:t>
      </w:r>
      <w:r w:rsidR="004F533F">
        <w:rPr>
          <w:u w:val="none"/>
        </w:rPr>
        <w:tab/>
      </w:r>
      <w:r w:rsidR="0080786B" w:rsidRPr="0080786B">
        <w:rPr>
          <w:u w:val="none"/>
        </w:rPr>
        <w:t>In</w:t>
      </w:r>
      <w:r w:rsidR="0080786B">
        <w:rPr>
          <w:u w:val="none"/>
        </w:rPr>
        <w:t xml:space="preserve"> </w:t>
      </w:r>
      <w:r w:rsidR="0080786B" w:rsidRPr="00025B65">
        <w:rPr>
          <w:i/>
          <w:u w:val="none"/>
        </w:rPr>
        <w:t>Guard Risk Insurance Company v Café Chameleon</w:t>
      </w:r>
      <w:r w:rsidR="00025B65">
        <w:rPr>
          <w:rStyle w:val="FootnoteReference"/>
          <w:i/>
          <w:u w:val="none"/>
        </w:rPr>
        <w:footnoteReference w:id="1"/>
      </w:r>
      <w:r w:rsidR="0080786B">
        <w:rPr>
          <w:u w:val="none"/>
        </w:rPr>
        <w:t xml:space="preserve"> </w:t>
      </w:r>
      <w:r w:rsidR="004F533F">
        <w:rPr>
          <w:u w:val="none"/>
        </w:rPr>
        <w:t>the Court states the approach to interpreting insurance contracts:</w:t>
      </w:r>
      <w:r w:rsidR="00025B65">
        <w:rPr>
          <w:u w:val="none"/>
        </w:rPr>
        <w:t xml:space="preserve"> </w:t>
      </w:r>
    </w:p>
    <w:p w:rsidR="00025B65" w:rsidRPr="00504DC0" w:rsidRDefault="00190A81" w:rsidP="00504DC0">
      <w:pPr>
        <w:spacing w:line="360" w:lineRule="auto"/>
        <w:ind w:left="1440" w:hanging="590"/>
        <w:jc w:val="both"/>
        <w:rPr>
          <w:sz w:val="20"/>
          <w:szCs w:val="20"/>
          <w:u w:val="none"/>
        </w:rPr>
      </w:pPr>
      <w:r>
        <w:rPr>
          <w:sz w:val="20"/>
          <w:szCs w:val="20"/>
          <w:u w:val="none"/>
        </w:rPr>
        <w:t>“</w:t>
      </w:r>
      <w:r w:rsidR="00025B65" w:rsidRPr="00504DC0">
        <w:rPr>
          <w:sz w:val="20"/>
          <w:szCs w:val="20"/>
          <w:u w:val="none"/>
        </w:rPr>
        <w:t>This Court recently restated the approach to interpreting insurance contracts in Centriq v Oosthuizen</w:t>
      </w:r>
      <w:r w:rsidR="00504DC0" w:rsidRPr="00504DC0">
        <w:rPr>
          <w:sz w:val="20"/>
          <w:szCs w:val="20"/>
          <w:u w:val="none"/>
        </w:rPr>
        <w:t>:</w:t>
      </w:r>
      <w:r w:rsidR="00025B65" w:rsidRPr="00504DC0">
        <w:rPr>
          <w:sz w:val="20"/>
          <w:szCs w:val="20"/>
          <w:u w:val="none"/>
        </w:rPr>
        <w:t xml:space="preserve"> </w:t>
      </w:r>
    </w:p>
    <w:p w:rsidR="004F533F" w:rsidRDefault="00025B65" w:rsidP="004F533F">
      <w:pPr>
        <w:spacing w:line="360" w:lineRule="auto"/>
        <w:ind w:left="2160"/>
        <w:jc w:val="both"/>
        <w:rPr>
          <w:sz w:val="20"/>
          <w:szCs w:val="20"/>
          <w:u w:val="none"/>
        </w:rPr>
      </w:pPr>
      <w:r w:rsidRPr="00504DC0">
        <w:rPr>
          <w:sz w:val="20"/>
          <w:szCs w:val="20"/>
          <w:u w:val="none"/>
        </w:rPr>
        <w:t>“[I]nsurance contracts are contracts like any other and must be const</w:t>
      </w:r>
      <w:r w:rsidR="008079EC" w:rsidRPr="00504DC0">
        <w:rPr>
          <w:sz w:val="20"/>
          <w:szCs w:val="20"/>
          <w:u w:val="none"/>
        </w:rPr>
        <w:t xml:space="preserve">rued by having regard to their language context, and purpose in what is a unitary exercise. A commercially sensible meaning is to be adopted instead of one that is insensible or that is at odds with the purpose of the contract. The analysis is objective and is aimed at establishing what the parties must </w:t>
      </w:r>
      <w:r w:rsidR="00504DC0" w:rsidRPr="00504DC0">
        <w:rPr>
          <w:sz w:val="20"/>
          <w:szCs w:val="20"/>
          <w:u w:val="none"/>
        </w:rPr>
        <w:t xml:space="preserve">be taken to have intended, having regard to the words they used in the light of the document as a whole and of the factual matrix within which they concluded the contract” </w:t>
      </w:r>
    </w:p>
    <w:p w:rsidR="004F533F" w:rsidRDefault="00504DC0" w:rsidP="004F533F">
      <w:pPr>
        <w:spacing w:line="360" w:lineRule="auto"/>
        <w:ind w:left="2160"/>
        <w:jc w:val="both"/>
        <w:rPr>
          <w:sz w:val="20"/>
          <w:szCs w:val="20"/>
          <w:u w:val="none"/>
        </w:rPr>
      </w:pPr>
      <w:r w:rsidRPr="00504DC0">
        <w:rPr>
          <w:sz w:val="20"/>
          <w:szCs w:val="20"/>
          <w:u w:val="none"/>
        </w:rPr>
        <w:t>[13]</w:t>
      </w:r>
      <w:r w:rsidRPr="00504DC0">
        <w:rPr>
          <w:sz w:val="20"/>
          <w:szCs w:val="20"/>
          <w:u w:val="none"/>
        </w:rPr>
        <w:tab/>
        <w:t xml:space="preserve">In this analysis it must be borne in mind that insurance contracts are </w:t>
      </w:r>
      <w:r w:rsidR="005A6D9A">
        <w:rPr>
          <w:sz w:val="20"/>
          <w:szCs w:val="20"/>
          <w:u w:val="none"/>
        </w:rPr>
        <w:t xml:space="preserve">“contracts </w:t>
      </w:r>
      <w:r w:rsidRPr="00504DC0">
        <w:rPr>
          <w:sz w:val="20"/>
          <w:szCs w:val="20"/>
          <w:u w:val="none"/>
        </w:rPr>
        <w:t xml:space="preserve">of indemnity”. They should </w:t>
      </w:r>
      <w:r w:rsidR="0080786B" w:rsidRPr="00504DC0">
        <w:rPr>
          <w:sz w:val="20"/>
          <w:szCs w:val="20"/>
          <w:u w:val="none"/>
        </w:rPr>
        <w:t>therefore be interpreted "reas</w:t>
      </w:r>
      <w:r w:rsidRPr="00504DC0">
        <w:rPr>
          <w:sz w:val="20"/>
          <w:szCs w:val="20"/>
          <w:u w:val="none"/>
        </w:rPr>
        <w:t>onably and fairly to this end".</w:t>
      </w:r>
      <w:r w:rsidR="0080786B" w:rsidRPr="00504DC0">
        <w:rPr>
          <w:sz w:val="20"/>
          <w:szCs w:val="20"/>
          <w:u w:val="none"/>
        </w:rPr>
        <w:t>  In this </w:t>
      </w:r>
    </w:p>
    <w:p w:rsidR="00E4357F" w:rsidRDefault="0080786B" w:rsidP="00E4357F">
      <w:pPr>
        <w:spacing w:line="360" w:lineRule="auto"/>
        <w:ind w:left="2160"/>
        <w:jc w:val="both"/>
        <w:rPr>
          <w:sz w:val="20"/>
          <w:szCs w:val="20"/>
          <w:u w:val="none"/>
        </w:rPr>
      </w:pPr>
      <w:r w:rsidRPr="00504DC0">
        <w:rPr>
          <w:sz w:val="20"/>
          <w:szCs w:val="20"/>
          <w:u w:val="none"/>
        </w:rPr>
        <w:t>regard it is instructive to recall Schreiner JA's</w:t>
      </w:r>
      <w:r w:rsidR="00B15EE3">
        <w:rPr>
          <w:sz w:val="20"/>
          <w:szCs w:val="20"/>
          <w:u w:val="none"/>
        </w:rPr>
        <w:t xml:space="preserve"> adoption of the following statement from the English authorities on insurance law:</w:t>
      </w:r>
      <w:r w:rsidR="005E15E2">
        <w:rPr>
          <w:rStyle w:val="FootnoteReference"/>
          <w:sz w:val="20"/>
          <w:szCs w:val="20"/>
          <w:u w:val="none"/>
        </w:rPr>
        <w:footnoteReference w:id="2"/>
      </w:r>
      <w:r w:rsidR="004F533F" w:rsidRPr="004F533F">
        <w:rPr>
          <w:sz w:val="20"/>
          <w:szCs w:val="20"/>
          <w:u w:val="none"/>
        </w:rPr>
        <w:t xml:space="preserve"> "No rule, in the interpretation of a policy, is more firmly established, </w:t>
      </w:r>
    </w:p>
    <w:p w:rsidR="0080786B" w:rsidRPr="004F533F" w:rsidRDefault="00E4357F" w:rsidP="00E4357F">
      <w:pPr>
        <w:spacing w:line="360" w:lineRule="auto"/>
        <w:ind w:left="2160"/>
        <w:jc w:val="both"/>
        <w:rPr>
          <w:sz w:val="20"/>
          <w:szCs w:val="20"/>
          <w:u w:val="none"/>
        </w:rPr>
      </w:pPr>
      <w:r>
        <w:rPr>
          <w:sz w:val="20"/>
          <w:szCs w:val="20"/>
          <w:u w:val="none"/>
        </w:rPr>
        <w:lastRenderedPageBreak/>
        <w:t>or</w:t>
      </w:r>
      <w:r w:rsidR="004F533F" w:rsidRPr="004F533F">
        <w:rPr>
          <w:sz w:val="20"/>
          <w:szCs w:val="20"/>
          <w:u w:val="none"/>
        </w:rPr>
        <w:t xml:space="preserve"> more imperative and controlling, than that, in </w:t>
      </w:r>
      <w:r w:rsidR="00B15EE3">
        <w:rPr>
          <w:sz w:val="20"/>
          <w:szCs w:val="20"/>
          <w:u w:val="none"/>
        </w:rPr>
        <w:t>all cases, it must be liberally construed in favour of the insured, so as not to defeat without plain necessity his claim to indemnity</w:t>
      </w:r>
      <w:r w:rsidR="000359FE">
        <w:rPr>
          <w:sz w:val="20"/>
          <w:szCs w:val="20"/>
          <w:u w:val="none"/>
        </w:rPr>
        <w:t>, which in making the insurance, it was his object to secure. When the words are without violence, susceptible of two interpretations, that which will sustain the claim and cover the loss, must in preference be adopted.</w:t>
      </w:r>
      <w:r>
        <w:rPr>
          <w:sz w:val="20"/>
          <w:szCs w:val="20"/>
          <w:u w:val="none"/>
        </w:rPr>
        <w:t>”</w:t>
      </w:r>
      <w:r w:rsidR="00190A81">
        <w:rPr>
          <w:rStyle w:val="FootnoteReference"/>
          <w:sz w:val="20"/>
          <w:szCs w:val="20"/>
          <w:u w:val="none"/>
        </w:rPr>
        <w:footnoteReference w:id="3"/>
      </w:r>
    </w:p>
    <w:p w:rsidR="00534990" w:rsidRDefault="0080786B" w:rsidP="001B7095">
      <w:pPr>
        <w:spacing w:line="360" w:lineRule="auto"/>
        <w:jc w:val="both"/>
        <w:rPr>
          <w:rFonts w:ascii="Arial Bold" w:hAnsi="Arial Bold"/>
          <w:b/>
          <w:caps/>
          <w:u w:val="none"/>
        </w:rPr>
      </w:pPr>
      <w:r>
        <w:rPr>
          <w:caps/>
          <w:u w:val="none"/>
        </w:rPr>
        <w:t xml:space="preserve"> </w:t>
      </w:r>
    </w:p>
    <w:p w:rsidR="000D2040" w:rsidRDefault="000D2040" w:rsidP="001B7095">
      <w:pPr>
        <w:spacing w:line="360" w:lineRule="auto"/>
        <w:jc w:val="both"/>
        <w:rPr>
          <w:rFonts w:ascii="Arial Bold" w:hAnsi="Arial Bold"/>
          <w:caps/>
          <w:u w:val="none"/>
        </w:rPr>
      </w:pPr>
    </w:p>
    <w:p w:rsidR="007C5196" w:rsidRDefault="007C5196" w:rsidP="001B7095">
      <w:pPr>
        <w:spacing w:line="360" w:lineRule="auto"/>
        <w:jc w:val="both"/>
        <w:rPr>
          <w:rFonts w:ascii="Arial Bold" w:hAnsi="Arial Bold"/>
          <w:caps/>
          <w:u w:val="none"/>
        </w:rPr>
      </w:pPr>
      <w:r>
        <w:rPr>
          <w:rFonts w:ascii="Arial Bold" w:hAnsi="Arial Bold"/>
          <w:caps/>
          <w:u w:val="none"/>
        </w:rPr>
        <w:t>whether the third applicant is covered under the insurance policy?</w:t>
      </w:r>
    </w:p>
    <w:p w:rsidR="00631CFB" w:rsidRDefault="00E4357F" w:rsidP="00C91596">
      <w:pPr>
        <w:spacing w:line="360" w:lineRule="auto"/>
        <w:jc w:val="both"/>
        <w:rPr>
          <w:u w:val="none"/>
        </w:rPr>
      </w:pPr>
      <w:r>
        <w:rPr>
          <w:u w:val="none"/>
        </w:rPr>
        <w:t>[16</w:t>
      </w:r>
      <w:r w:rsidR="007C5196">
        <w:rPr>
          <w:u w:val="none"/>
        </w:rPr>
        <w:t>]</w:t>
      </w:r>
      <w:r w:rsidR="007C5196">
        <w:rPr>
          <w:u w:val="none"/>
        </w:rPr>
        <w:tab/>
      </w:r>
      <w:r w:rsidR="00C21F51">
        <w:rPr>
          <w:u w:val="none"/>
        </w:rPr>
        <w:t xml:space="preserve">Counsel for the applicants submitted that PTC was covered under the policy in view of 43 Air School managing the insurance for the group. The respondent disputed this on the basis that there was no connection between 43 Air School and PTC and the policy made no reference to PTC. Furthermore,   PTC did not prove that it was covered under the policy. He argued that the wording of the policy is clear that insurance is afforded to NAC, 43 Air School and subsidiary companies “managed” and “controlled” by NAC and 43 Air School and for which they have authority to obtain insurance. </w:t>
      </w:r>
    </w:p>
    <w:p w:rsidR="00631CFB" w:rsidRDefault="00631CFB" w:rsidP="00C91596">
      <w:pPr>
        <w:spacing w:line="360" w:lineRule="auto"/>
        <w:jc w:val="both"/>
        <w:rPr>
          <w:u w:val="none"/>
        </w:rPr>
      </w:pPr>
    </w:p>
    <w:p w:rsidR="00C21F51" w:rsidRDefault="00631CFB" w:rsidP="00C21F51">
      <w:pPr>
        <w:spacing w:line="360" w:lineRule="auto"/>
        <w:jc w:val="both"/>
        <w:rPr>
          <w:u w:val="none"/>
        </w:rPr>
      </w:pPr>
      <w:r>
        <w:rPr>
          <w:u w:val="none"/>
        </w:rPr>
        <w:t>[17]</w:t>
      </w:r>
      <w:r>
        <w:rPr>
          <w:u w:val="none"/>
        </w:rPr>
        <w:tab/>
      </w:r>
      <w:r w:rsidR="00C21F51">
        <w:rPr>
          <w:u w:val="none"/>
        </w:rPr>
        <w:t xml:space="preserve">Having regard to the guidance in para[12] of </w:t>
      </w:r>
      <w:r w:rsidR="00C21F51" w:rsidRPr="00124164">
        <w:rPr>
          <w:i/>
          <w:u w:val="none"/>
        </w:rPr>
        <w:t>Guardrisk</w:t>
      </w:r>
      <w:r w:rsidR="00C21F51">
        <w:rPr>
          <w:u w:val="none"/>
        </w:rPr>
        <w:t xml:space="preserve"> and its reference to </w:t>
      </w:r>
      <w:r w:rsidR="00C21F51" w:rsidRPr="00631CFB">
        <w:rPr>
          <w:i/>
          <w:u w:val="none"/>
        </w:rPr>
        <w:t xml:space="preserve">Centriq v Oosthuisen </w:t>
      </w:r>
      <w:r w:rsidR="00C21F51">
        <w:rPr>
          <w:i/>
          <w:u w:val="none"/>
        </w:rPr>
        <w:t xml:space="preserve"> </w:t>
      </w:r>
      <w:r w:rsidR="00C21F51">
        <w:rPr>
          <w:u w:val="none"/>
        </w:rPr>
        <w:t xml:space="preserve">to have regard to the language, context and purpose of insurance contracts in a unitary manner, I have considered the respondent’s admission in paragraph 80 of the answering affidavit where it states as follows: </w:t>
      </w:r>
    </w:p>
    <w:p w:rsidR="00C21F51" w:rsidRPr="00966B02" w:rsidRDefault="00C21F51" w:rsidP="00C21F51">
      <w:pPr>
        <w:spacing w:line="360" w:lineRule="auto"/>
        <w:ind w:left="720"/>
        <w:jc w:val="both"/>
        <w:rPr>
          <w:i/>
          <w:u w:val="none"/>
        </w:rPr>
      </w:pPr>
      <w:r w:rsidRPr="00966B02">
        <w:rPr>
          <w:i/>
          <w:u w:val="none"/>
        </w:rPr>
        <w:t xml:space="preserve">“ </w:t>
      </w:r>
      <w:r w:rsidRPr="00966B02">
        <w:rPr>
          <w:i/>
          <w:sz w:val="22"/>
          <w:u w:val="none"/>
        </w:rPr>
        <w:t xml:space="preserve">I admit </w:t>
      </w:r>
      <w:r w:rsidRPr="00966B02">
        <w:rPr>
          <w:i/>
          <w:u w:val="none"/>
        </w:rPr>
        <w:t xml:space="preserve"> that AIG was the insurer of NAC and 43 Air School (Pty) </w:t>
      </w:r>
      <w:r>
        <w:rPr>
          <w:i/>
          <w:u w:val="none"/>
        </w:rPr>
        <w:t>Ltd and</w:t>
      </w:r>
      <w:r w:rsidRPr="00966B02">
        <w:rPr>
          <w:i/>
          <w:u w:val="none"/>
        </w:rPr>
        <w:t xml:space="preserve"> their respective subsidiary companies, managed, controlled, member companies,….and any other persons or entities for which they have authority to insure, jointly or severally each for their respective right or interests) for many years.</w:t>
      </w:r>
      <w:r>
        <w:rPr>
          <w:i/>
          <w:u w:val="none"/>
        </w:rPr>
        <w:t>”</w:t>
      </w:r>
    </w:p>
    <w:p w:rsidR="00BA41C3" w:rsidRDefault="00BA41C3" w:rsidP="001B7095">
      <w:pPr>
        <w:spacing w:line="360" w:lineRule="auto"/>
        <w:jc w:val="both"/>
        <w:rPr>
          <w:u w:val="none"/>
        </w:rPr>
      </w:pPr>
    </w:p>
    <w:p w:rsidR="00BA41C3" w:rsidRDefault="000E5F37" w:rsidP="001B7095">
      <w:pPr>
        <w:spacing w:line="360" w:lineRule="auto"/>
        <w:jc w:val="both"/>
        <w:rPr>
          <w:u w:val="none"/>
        </w:rPr>
      </w:pPr>
      <w:r>
        <w:rPr>
          <w:u w:val="none"/>
        </w:rPr>
        <w:t>[18</w:t>
      </w:r>
      <w:r w:rsidR="00AE7562">
        <w:rPr>
          <w:u w:val="none"/>
        </w:rPr>
        <w:t>]</w:t>
      </w:r>
      <w:r w:rsidR="00AE7562">
        <w:rPr>
          <w:u w:val="none"/>
        </w:rPr>
        <w:tab/>
      </w:r>
      <w:r w:rsidR="00BA41C3">
        <w:rPr>
          <w:u w:val="none"/>
        </w:rPr>
        <w:t xml:space="preserve">Counsel for the respondents argued that this was a factual consideration and not a legal one. The court had to consider whether the applicants had a joint interest. Counsel for the respondent submitted further, that it was incorrect </w:t>
      </w:r>
      <w:r w:rsidR="00BA41C3">
        <w:rPr>
          <w:u w:val="none"/>
        </w:rPr>
        <w:lastRenderedPageBreak/>
        <w:t>to say that the businesses were inter –related. Having regard to the organogram he pointed out that Holdings was the overarching company. 43 Air School had no shareholder relationship with PTC. This relationship was only between 43 Air School and JOC when regard was had to  the applicants’ organogram</w:t>
      </w:r>
      <w:r w:rsidR="00BA41C3">
        <w:rPr>
          <w:rStyle w:val="FootnoteReference"/>
          <w:u w:val="none"/>
        </w:rPr>
        <w:footnoteReference w:id="4"/>
      </w:r>
      <w:r w:rsidR="000D2040">
        <w:rPr>
          <w:u w:val="none"/>
        </w:rPr>
        <w:t>. The NAC</w:t>
      </w:r>
      <w:r w:rsidR="00BA41C3">
        <w:rPr>
          <w:u w:val="none"/>
        </w:rPr>
        <w:t xml:space="preserve"> replaced by Holdings in the organogram. Counsel pointed out further that PTC was a subsidiary of Holdings and not of 43 Air School and 43 Air School could not have arranged insurance for PTC as a subsidiary.  </w:t>
      </w:r>
    </w:p>
    <w:p w:rsidR="003507F7" w:rsidRDefault="003507F7" w:rsidP="001B7095">
      <w:pPr>
        <w:spacing w:line="360" w:lineRule="auto"/>
        <w:jc w:val="both"/>
        <w:rPr>
          <w:u w:val="none"/>
        </w:rPr>
      </w:pPr>
    </w:p>
    <w:p w:rsidR="00BA41C3" w:rsidRDefault="003507F7" w:rsidP="00BA41C3">
      <w:pPr>
        <w:spacing w:line="360" w:lineRule="auto"/>
        <w:jc w:val="both"/>
        <w:rPr>
          <w:u w:val="none"/>
        </w:rPr>
      </w:pPr>
      <w:r>
        <w:rPr>
          <w:u w:val="none"/>
        </w:rPr>
        <w:t>[19]</w:t>
      </w:r>
      <w:r w:rsidR="001B2DCA">
        <w:rPr>
          <w:u w:val="none"/>
        </w:rPr>
        <w:t xml:space="preserve"> </w:t>
      </w:r>
      <w:r w:rsidR="00BA41C3">
        <w:rPr>
          <w:u w:val="none"/>
        </w:rPr>
        <w:t xml:space="preserve">To the contrary, counsel for the applicants referred to the annexures, indicating it is evident that the insurance for the period from July 2019 was renewed as a composite insurance policy including NAC and 43 Air School (Pty) Ltd. The annexures completed by the deponent and submitted to Marsh reflect property belonging to PTC and JOC. It followed that they were included in the policy. </w:t>
      </w:r>
    </w:p>
    <w:p w:rsidR="00BA41C3" w:rsidRDefault="00BA41C3" w:rsidP="00BA41C3">
      <w:pPr>
        <w:spacing w:line="360" w:lineRule="auto"/>
        <w:jc w:val="both"/>
        <w:rPr>
          <w:u w:val="none"/>
        </w:rPr>
      </w:pPr>
    </w:p>
    <w:p w:rsidR="007C5196" w:rsidRPr="007C5196" w:rsidRDefault="00BA41C3" w:rsidP="001B7095">
      <w:pPr>
        <w:spacing w:line="360" w:lineRule="auto"/>
        <w:jc w:val="both"/>
        <w:rPr>
          <w:u w:val="none"/>
        </w:rPr>
      </w:pPr>
      <w:r>
        <w:rPr>
          <w:u w:val="none"/>
        </w:rPr>
        <w:t>[20]</w:t>
      </w:r>
      <w:r>
        <w:rPr>
          <w:u w:val="none"/>
        </w:rPr>
        <w:tab/>
      </w:r>
      <w:r w:rsidR="00AE7562">
        <w:rPr>
          <w:u w:val="none"/>
        </w:rPr>
        <w:t xml:space="preserve">Having regard to the facts and considering the documents which are attached </w:t>
      </w:r>
      <w:r w:rsidR="001B2DCA">
        <w:rPr>
          <w:u w:val="none"/>
        </w:rPr>
        <w:t xml:space="preserve">as </w:t>
      </w:r>
      <w:r w:rsidR="00AE7562">
        <w:rPr>
          <w:u w:val="none"/>
        </w:rPr>
        <w:t xml:space="preserve">annexures which include the questionnaire concluded by </w:t>
      </w:r>
      <w:r w:rsidR="001B2DCA">
        <w:rPr>
          <w:u w:val="none"/>
        </w:rPr>
        <w:t xml:space="preserve">Shaun </w:t>
      </w:r>
      <w:r w:rsidR="00AE7562">
        <w:rPr>
          <w:u w:val="none"/>
        </w:rPr>
        <w:t>Musson</w:t>
      </w:r>
      <w:r w:rsidR="00063CA9">
        <w:rPr>
          <w:u w:val="none"/>
        </w:rPr>
        <w:t xml:space="preserve">, the director of the applicants, </w:t>
      </w:r>
      <w:r w:rsidR="00AE7562">
        <w:rPr>
          <w:u w:val="none"/>
        </w:rPr>
        <w:t>as well as the email correspondence concluded prior to the renewal of the 2019 policy</w:t>
      </w:r>
      <w:r w:rsidR="001B2DCA">
        <w:rPr>
          <w:u w:val="none"/>
        </w:rPr>
        <w:t>,</w:t>
      </w:r>
      <w:r w:rsidR="00AE7562">
        <w:rPr>
          <w:u w:val="none"/>
        </w:rPr>
        <w:t xml:space="preserve"> reference is made to NAC and 43 Air School (Pty) Ltd and the admission is made that there was a history of covering both</w:t>
      </w:r>
      <w:r w:rsidR="001B2DCA">
        <w:rPr>
          <w:u w:val="none"/>
        </w:rPr>
        <w:t xml:space="preserve"> NAC and 43 Air School, </w:t>
      </w:r>
      <w:r w:rsidR="00AE7562">
        <w:rPr>
          <w:u w:val="none"/>
        </w:rPr>
        <w:t>including subsidiary companies which are managed and controlled</w:t>
      </w:r>
      <w:r>
        <w:rPr>
          <w:u w:val="none"/>
        </w:rPr>
        <w:t>.</w:t>
      </w:r>
      <w:r w:rsidR="00AE7562">
        <w:rPr>
          <w:u w:val="none"/>
        </w:rPr>
        <w:t xml:space="preserve"> </w:t>
      </w:r>
      <w:r w:rsidR="001B2DCA">
        <w:rPr>
          <w:u w:val="none"/>
        </w:rPr>
        <w:t>This would include Holdings and its subsidiaries and 43 Air School and it</w:t>
      </w:r>
      <w:r w:rsidR="00394363">
        <w:rPr>
          <w:u w:val="none"/>
        </w:rPr>
        <w:t>s</w:t>
      </w:r>
      <w:r w:rsidR="001B2DCA">
        <w:rPr>
          <w:u w:val="none"/>
        </w:rPr>
        <w:t xml:space="preserve"> subsidiaries. </w:t>
      </w:r>
      <w:r w:rsidR="00AF3DDA">
        <w:rPr>
          <w:u w:val="none"/>
        </w:rPr>
        <w:t xml:space="preserve">This includes both PTC and JOC. My view is reinforced by the reference to specific items listed for cover belonging to PTC and JOC and the undisputed evidence that the respondent paid out a claim submitted by PTC previously. This in the light of their admission in paragraph </w:t>
      </w:r>
      <w:r>
        <w:rPr>
          <w:u w:val="none"/>
        </w:rPr>
        <w:t>[</w:t>
      </w:r>
      <w:r w:rsidR="00AF3DDA">
        <w:rPr>
          <w:u w:val="none"/>
        </w:rPr>
        <w:t>80</w:t>
      </w:r>
      <w:r>
        <w:rPr>
          <w:u w:val="none"/>
        </w:rPr>
        <w:t>]</w:t>
      </w:r>
      <w:r w:rsidR="00AF3DDA">
        <w:rPr>
          <w:u w:val="none"/>
        </w:rPr>
        <w:t xml:space="preserve"> leads me to the conclusion that PTC was covered under the policy.</w:t>
      </w:r>
      <w:r w:rsidR="00AE7562">
        <w:rPr>
          <w:u w:val="none"/>
        </w:rPr>
        <w:t xml:space="preserve"> </w:t>
      </w:r>
    </w:p>
    <w:p w:rsidR="00E14D7A" w:rsidRPr="007C5196" w:rsidRDefault="00E14D7A" w:rsidP="001B7095">
      <w:pPr>
        <w:spacing w:line="360" w:lineRule="auto"/>
        <w:jc w:val="both"/>
        <w:rPr>
          <w:u w:val="none"/>
        </w:rPr>
      </w:pPr>
    </w:p>
    <w:p w:rsidR="00423FFF" w:rsidRDefault="00423FFF" w:rsidP="001B7095">
      <w:pPr>
        <w:spacing w:line="360" w:lineRule="auto"/>
        <w:jc w:val="both"/>
        <w:rPr>
          <w:rFonts w:ascii="Arial Bold" w:hAnsi="Arial Bold"/>
          <w:caps/>
          <w:u w:val="none"/>
        </w:rPr>
      </w:pPr>
    </w:p>
    <w:p w:rsidR="00E14D7A" w:rsidRPr="00E20612" w:rsidRDefault="00C91596" w:rsidP="001B7095">
      <w:pPr>
        <w:spacing w:line="360" w:lineRule="auto"/>
        <w:jc w:val="both"/>
        <w:rPr>
          <w:rFonts w:ascii="Arial Bold" w:hAnsi="Arial Bold"/>
          <w:u w:val="none"/>
        </w:rPr>
      </w:pPr>
      <w:r>
        <w:rPr>
          <w:rFonts w:ascii="Arial Bold" w:hAnsi="Arial Bold"/>
          <w:caps/>
          <w:u w:val="none"/>
        </w:rPr>
        <w:lastRenderedPageBreak/>
        <w:t>whether the second third and fourth respondent</w:t>
      </w:r>
      <w:r w:rsidR="00AF3DDA">
        <w:rPr>
          <w:rFonts w:ascii="Arial Bold" w:hAnsi="Arial Bold"/>
          <w:caps/>
          <w:u w:val="none"/>
        </w:rPr>
        <w:t>s</w:t>
      </w:r>
      <w:r>
        <w:rPr>
          <w:rFonts w:ascii="Arial Bold" w:hAnsi="Arial Bold"/>
          <w:caps/>
          <w:u w:val="none"/>
        </w:rPr>
        <w:t xml:space="preserve"> are entitled to interdictory relief where only second respondent submitted a claim </w:t>
      </w:r>
    </w:p>
    <w:p w:rsidR="00534990" w:rsidRDefault="00BA41C3" w:rsidP="007273F2">
      <w:pPr>
        <w:spacing w:line="360" w:lineRule="auto"/>
        <w:jc w:val="both"/>
        <w:rPr>
          <w:u w:val="none"/>
        </w:rPr>
      </w:pPr>
      <w:r>
        <w:rPr>
          <w:u w:val="none"/>
        </w:rPr>
        <w:t>[21</w:t>
      </w:r>
      <w:r w:rsidR="00E54C70">
        <w:rPr>
          <w:u w:val="none"/>
        </w:rPr>
        <w:t>]</w:t>
      </w:r>
      <w:r w:rsidR="00E54C70">
        <w:rPr>
          <w:u w:val="none"/>
        </w:rPr>
        <w:tab/>
      </w:r>
      <w:r w:rsidR="00617DFD">
        <w:rPr>
          <w:u w:val="none"/>
        </w:rPr>
        <w:t xml:space="preserve">The </w:t>
      </w:r>
      <w:r>
        <w:rPr>
          <w:u w:val="none"/>
        </w:rPr>
        <w:t xml:space="preserve">second </w:t>
      </w:r>
      <w:r w:rsidR="00C91596">
        <w:rPr>
          <w:u w:val="none"/>
        </w:rPr>
        <w:t>applicant submitted it</w:t>
      </w:r>
      <w:r w:rsidR="00394363">
        <w:rPr>
          <w:u w:val="none"/>
        </w:rPr>
        <w:t>s</w:t>
      </w:r>
      <w:r w:rsidR="00C91596">
        <w:rPr>
          <w:u w:val="none"/>
        </w:rPr>
        <w:t xml:space="preserve"> first claim for the period 27 April -31 May 2020. This claim was rejected </w:t>
      </w:r>
      <w:r w:rsidR="00AF3DDA">
        <w:rPr>
          <w:u w:val="none"/>
        </w:rPr>
        <w:t xml:space="preserve"> for the reasons indicated abo</w:t>
      </w:r>
      <w:r w:rsidR="0051227C">
        <w:rPr>
          <w:u w:val="none"/>
        </w:rPr>
        <w:t xml:space="preserve">ve and </w:t>
      </w:r>
      <w:r w:rsidR="00C91596">
        <w:rPr>
          <w:u w:val="none"/>
        </w:rPr>
        <w:t xml:space="preserve">based on the principle that </w:t>
      </w:r>
      <w:r w:rsidR="00A94E4E">
        <w:rPr>
          <w:u w:val="none"/>
        </w:rPr>
        <w:t>43</w:t>
      </w:r>
      <w:r w:rsidR="0021696D">
        <w:rPr>
          <w:u w:val="none"/>
        </w:rPr>
        <w:t xml:space="preserve"> Air School</w:t>
      </w:r>
      <w:r w:rsidR="00A94E4E">
        <w:rPr>
          <w:u w:val="none"/>
        </w:rPr>
        <w:t>’s</w:t>
      </w:r>
      <w:r w:rsidR="0021696D">
        <w:rPr>
          <w:u w:val="none"/>
        </w:rPr>
        <w:t xml:space="preserve"> claim for the period 26 -30 April 2020  was </w:t>
      </w:r>
      <w:r w:rsidR="00A94E4E">
        <w:rPr>
          <w:u w:val="none"/>
        </w:rPr>
        <w:t xml:space="preserve">due to </w:t>
      </w:r>
      <w:r w:rsidR="0021696D">
        <w:rPr>
          <w:u w:val="none"/>
        </w:rPr>
        <w:t xml:space="preserve">the lockdown </w:t>
      </w:r>
      <w:r w:rsidR="00A94E4E">
        <w:rPr>
          <w:u w:val="none"/>
        </w:rPr>
        <w:t xml:space="preserve">and </w:t>
      </w:r>
      <w:r w:rsidR="0021696D">
        <w:rPr>
          <w:u w:val="none"/>
        </w:rPr>
        <w:t>was not in response to a Covid 19 occurrence within a 25 km radius of the business premises in Port Alfred. The second reason the claim was rejected was because the policy is not a joint policy</w:t>
      </w:r>
      <w:r w:rsidR="00A94E4E">
        <w:rPr>
          <w:u w:val="none"/>
        </w:rPr>
        <w:t xml:space="preserve"> and </w:t>
      </w:r>
      <w:r w:rsidR="0021696D">
        <w:rPr>
          <w:u w:val="none"/>
        </w:rPr>
        <w:t>an occurrence of an incidence of Covid 19 in Gqeberha was not within 25 km of Port Alfred.</w:t>
      </w:r>
      <w:r w:rsidR="00383602">
        <w:rPr>
          <w:u w:val="none"/>
        </w:rPr>
        <w:t xml:space="preserve"> The </w:t>
      </w:r>
      <w:r w:rsidR="007A7308">
        <w:rPr>
          <w:u w:val="none"/>
        </w:rPr>
        <w:t xml:space="preserve">third </w:t>
      </w:r>
      <w:r w:rsidR="00383602">
        <w:rPr>
          <w:u w:val="none"/>
        </w:rPr>
        <w:t xml:space="preserve">and </w:t>
      </w:r>
      <w:r w:rsidR="007A7308">
        <w:rPr>
          <w:u w:val="none"/>
        </w:rPr>
        <w:t xml:space="preserve">fourth </w:t>
      </w:r>
      <w:r w:rsidR="00383602">
        <w:rPr>
          <w:u w:val="none"/>
        </w:rPr>
        <w:t>applicant</w:t>
      </w:r>
      <w:r w:rsidR="0021696D">
        <w:rPr>
          <w:u w:val="none"/>
        </w:rPr>
        <w:t>s</w:t>
      </w:r>
      <w:r w:rsidR="00383602">
        <w:rPr>
          <w:u w:val="none"/>
        </w:rPr>
        <w:t>’</w:t>
      </w:r>
      <w:r w:rsidR="0021696D">
        <w:rPr>
          <w:u w:val="none"/>
        </w:rPr>
        <w:t xml:space="preserve"> claims were rejected because they</w:t>
      </w:r>
      <w:r w:rsidR="00F7686F">
        <w:rPr>
          <w:u w:val="none"/>
        </w:rPr>
        <w:t xml:space="preserve"> </w:t>
      </w:r>
      <w:r w:rsidR="00E54C70">
        <w:rPr>
          <w:u w:val="none"/>
        </w:rPr>
        <w:t>failed to comply with the submission of claim</w:t>
      </w:r>
      <w:r w:rsidR="00A94E4E">
        <w:rPr>
          <w:u w:val="none"/>
        </w:rPr>
        <w:t xml:space="preserve"> as per a </w:t>
      </w:r>
      <w:r w:rsidR="00E54C70">
        <w:rPr>
          <w:u w:val="none"/>
        </w:rPr>
        <w:t>condition</w:t>
      </w:r>
      <w:r w:rsidR="00A94E4E">
        <w:rPr>
          <w:u w:val="none"/>
        </w:rPr>
        <w:t xml:space="preserve"> of the policy</w:t>
      </w:r>
      <w:r w:rsidR="00A94E4E">
        <w:rPr>
          <w:rStyle w:val="FootnoteReference"/>
          <w:u w:val="none"/>
        </w:rPr>
        <w:footnoteReference w:id="5"/>
      </w:r>
      <w:r w:rsidR="00E54C70">
        <w:rPr>
          <w:u w:val="none"/>
        </w:rPr>
        <w:t xml:space="preserve"> prior to approaching the court for relief, thereby depriving the respondents of their contractual rights to investigate the claims</w:t>
      </w:r>
      <w:r w:rsidR="00617DFD">
        <w:rPr>
          <w:u w:val="none"/>
        </w:rPr>
        <w:t>.</w:t>
      </w:r>
      <w:r w:rsidR="000731F9">
        <w:rPr>
          <w:u w:val="none"/>
        </w:rPr>
        <w:t xml:space="preserve"> There wa</w:t>
      </w:r>
      <w:r w:rsidR="007A7308">
        <w:rPr>
          <w:u w:val="none"/>
        </w:rPr>
        <w:t>s an indication that the fourth</w:t>
      </w:r>
      <w:r w:rsidR="00E54C70">
        <w:rPr>
          <w:u w:val="none"/>
        </w:rPr>
        <w:t xml:space="preserve"> applicant has a claim</w:t>
      </w:r>
      <w:r w:rsidR="007A7308">
        <w:rPr>
          <w:u w:val="none"/>
        </w:rPr>
        <w:t xml:space="preserve">. </w:t>
      </w:r>
      <w:r w:rsidR="00E54C70">
        <w:rPr>
          <w:u w:val="none"/>
        </w:rPr>
        <w:t xml:space="preserve"> </w:t>
      </w:r>
      <w:r w:rsidR="007A7308">
        <w:rPr>
          <w:u w:val="none"/>
        </w:rPr>
        <w:t xml:space="preserve">There was a possibility that the third applicant’s claim </w:t>
      </w:r>
      <w:r w:rsidR="000731F9">
        <w:rPr>
          <w:u w:val="none"/>
        </w:rPr>
        <w:t xml:space="preserve">would be considered </w:t>
      </w:r>
      <w:r w:rsidR="00E54C70">
        <w:rPr>
          <w:u w:val="none"/>
        </w:rPr>
        <w:t xml:space="preserve">provided </w:t>
      </w:r>
      <w:r w:rsidR="000731F9">
        <w:rPr>
          <w:u w:val="none"/>
        </w:rPr>
        <w:t xml:space="preserve">the </w:t>
      </w:r>
      <w:r w:rsidR="007A7308">
        <w:rPr>
          <w:u w:val="none"/>
        </w:rPr>
        <w:t xml:space="preserve">third </w:t>
      </w:r>
      <w:r w:rsidR="000731F9">
        <w:rPr>
          <w:u w:val="none"/>
        </w:rPr>
        <w:t xml:space="preserve">applicant could prove it was </w:t>
      </w:r>
      <w:r w:rsidR="00E54C70">
        <w:rPr>
          <w:u w:val="none"/>
        </w:rPr>
        <w:t>insured.</w:t>
      </w:r>
      <w:r w:rsidR="00063CA9">
        <w:rPr>
          <w:u w:val="none"/>
        </w:rPr>
        <w:t xml:space="preserve"> This court’s finding above indicates the third applicant was insured.</w:t>
      </w:r>
      <w:r w:rsidR="007273F2">
        <w:rPr>
          <w:u w:val="none"/>
        </w:rPr>
        <w:t xml:space="preserve"> </w:t>
      </w:r>
    </w:p>
    <w:p w:rsidR="00BD3A53" w:rsidRPr="0021696D" w:rsidRDefault="00BD3A53" w:rsidP="007273F2">
      <w:pPr>
        <w:spacing w:line="360" w:lineRule="auto"/>
        <w:jc w:val="both"/>
        <w:rPr>
          <w:i/>
          <w:u w:val="none"/>
        </w:rPr>
      </w:pPr>
    </w:p>
    <w:p w:rsidR="00534990" w:rsidRDefault="00B51765" w:rsidP="001B7095">
      <w:pPr>
        <w:spacing w:line="360" w:lineRule="auto"/>
        <w:jc w:val="both"/>
        <w:rPr>
          <w:u w:val="none"/>
        </w:rPr>
      </w:pPr>
      <w:r>
        <w:rPr>
          <w:rFonts w:ascii="Arial Bold" w:hAnsi="Arial Bold"/>
          <w:b/>
          <w:caps/>
          <w:u w:val="none"/>
        </w:rPr>
        <w:t>Joint and composite policy</w:t>
      </w:r>
    </w:p>
    <w:p w:rsidR="0051227C" w:rsidRDefault="007A7308" w:rsidP="001B7095">
      <w:pPr>
        <w:spacing w:line="360" w:lineRule="auto"/>
        <w:jc w:val="both"/>
        <w:rPr>
          <w:u w:val="none"/>
        </w:rPr>
      </w:pPr>
      <w:r>
        <w:rPr>
          <w:u w:val="none"/>
        </w:rPr>
        <w:t>[22</w:t>
      </w:r>
      <w:r w:rsidR="007273F2">
        <w:rPr>
          <w:u w:val="none"/>
        </w:rPr>
        <w:t>]</w:t>
      </w:r>
      <w:r w:rsidR="007273F2">
        <w:rPr>
          <w:u w:val="none"/>
        </w:rPr>
        <w:tab/>
        <w:t xml:space="preserve">The question whether the applicants are entitled to declaratory relief </w:t>
      </w:r>
      <w:r w:rsidR="0051227C">
        <w:rPr>
          <w:u w:val="none"/>
        </w:rPr>
        <w:t xml:space="preserve">is best answered by considering whether the policy was composite or considering whether the business was impacted by a defined event at Gqeberha. </w:t>
      </w:r>
    </w:p>
    <w:p w:rsidR="00394363" w:rsidRDefault="00394363" w:rsidP="001B7095">
      <w:pPr>
        <w:spacing w:line="360" w:lineRule="auto"/>
        <w:jc w:val="both"/>
        <w:rPr>
          <w:u w:val="none"/>
        </w:rPr>
      </w:pPr>
    </w:p>
    <w:p w:rsidR="00D843D7" w:rsidRDefault="007A7308" w:rsidP="009B7BC5">
      <w:pPr>
        <w:spacing w:line="360" w:lineRule="auto"/>
        <w:jc w:val="both"/>
        <w:rPr>
          <w:u w:val="none"/>
        </w:rPr>
      </w:pPr>
      <w:r>
        <w:rPr>
          <w:u w:val="none"/>
        </w:rPr>
        <w:t>[23</w:t>
      </w:r>
      <w:r w:rsidR="0051227C">
        <w:rPr>
          <w:u w:val="none"/>
        </w:rPr>
        <w:t>]</w:t>
      </w:r>
      <w:r w:rsidR="0051227C">
        <w:rPr>
          <w:u w:val="none"/>
        </w:rPr>
        <w:tab/>
        <w:t xml:space="preserve">Counsel for the respondent pointed out that claims were subject to a time clause </w:t>
      </w:r>
      <w:r w:rsidR="00383602">
        <w:rPr>
          <w:u w:val="none"/>
        </w:rPr>
        <w:t xml:space="preserve">for example </w:t>
      </w:r>
      <w:r w:rsidR="00472823">
        <w:rPr>
          <w:u w:val="none"/>
        </w:rPr>
        <w:t xml:space="preserve">General Condition 1(b) </w:t>
      </w:r>
      <w:r w:rsidR="000731F9">
        <w:rPr>
          <w:u w:val="none"/>
        </w:rPr>
        <w:t xml:space="preserve">provided </w:t>
      </w:r>
      <w:r w:rsidR="00472823">
        <w:rPr>
          <w:u w:val="none"/>
        </w:rPr>
        <w:t xml:space="preserve">time limitations which </w:t>
      </w:r>
      <w:r w:rsidR="000731F9">
        <w:rPr>
          <w:u w:val="none"/>
        </w:rPr>
        <w:t xml:space="preserve">stated </w:t>
      </w:r>
      <w:r w:rsidR="00472823">
        <w:rPr>
          <w:u w:val="none"/>
        </w:rPr>
        <w:t xml:space="preserve">that “no claim is payable after the expiry of twenty four months  or such further time as the insurer may </w:t>
      </w:r>
      <w:r w:rsidR="00AC712E">
        <w:rPr>
          <w:u w:val="none"/>
        </w:rPr>
        <w:t xml:space="preserve">in writing </w:t>
      </w:r>
      <w:r w:rsidR="00472823">
        <w:rPr>
          <w:u w:val="none"/>
        </w:rPr>
        <w:t xml:space="preserve">allow unless </w:t>
      </w:r>
      <w:r w:rsidR="00AC712E">
        <w:rPr>
          <w:u w:val="none"/>
        </w:rPr>
        <w:t xml:space="preserve">the </w:t>
      </w:r>
      <w:r w:rsidR="00472823">
        <w:rPr>
          <w:u w:val="none"/>
        </w:rPr>
        <w:t>claim is the subject of litigation</w:t>
      </w:r>
      <w:r w:rsidR="00AC712E">
        <w:rPr>
          <w:u w:val="none"/>
        </w:rPr>
        <w:t xml:space="preserve"> </w:t>
      </w:r>
      <w:r w:rsidR="000731F9">
        <w:rPr>
          <w:u w:val="none"/>
        </w:rPr>
        <w:t>s</w:t>
      </w:r>
      <w:r w:rsidR="00AC712E">
        <w:rPr>
          <w:u w:val="none"/>
        </w:rPr>
        <w:t>till to be assessed  or is a claim under the business interruption section of the policy”</w:t>
      </w:r>
      <w:r w:rsidR="000731F9">
        <w:rPr>
          <w:u w:val="none"/>
        </w:rPr>
        <w:t xml:space="preserve">. </w:t>
      </w:r>
      <w:r w:rsidR="00C15214">
        <w:rPr>
          <w:u w:val="none"/>
        </w:rPr>
        <w:t xml:space="preserve"> </w:t>
      </w:r>
      <w:r w:rsidR="00D30EBB">
        <w:rPr>
          <w:u w:val="none"/>
        </w:rPr>
        <w:t xml:space="preserve"> </w:t>
      </w:r>
      <w:r w:rsidR="00617DFD">
        <w:rPr>
          <w:u w:val="none"/>
        </w:rPr>
        <w:t>The</w:t>
      </w:r>
      <w:r w:rsidR="00D843D7">
        <w:rPr>
          <w:u w:val="none"/>
        </w:rPr>
        <w:t xml:space="preserve"> respondent</w:t>
      </w:r>
      <w:r w:rsidR="009B7BC5">
        <w:rPr>
          <w:u w:val="none"/>
        </w:rPr>
        <w:t xml:space="preserve"> </w:t>
      </w:r>
      <w:r w:rsidR="00D843D7">
        <w:rPr>
          <w:u w:val="none"/>
        </w:rPr>
        <w:t>reject</w:t>
      </w:r>
      <w:r w:rsidR="009B7BC5">
        <w:rPr>
          <w:u w:val="none"/>
        </w:rPr>
        <w:t xml:space="preserve">ed </w:t>
      </w:r>
      <w:r w:rsidR="00D843D7">
        <w:rPr>
          <w:u w:val="none"/>
        </w:rPr>
        <w:t xml:space="preserve">the </w:t>
      </w:r>
      <w:r w:rsidR="00617DFD">
        <w:rPr>
          <w:u w:val="none"/>
        </w:rPr>
        <w:t xml:space="preserve">claim </w:t>
      </w:r>
      <w:r w:rsidR="00D843D7">
        <w:rPr>
          <w:u w:val="none"/>
        </w:rPr>
        <w:t>of the second applicant</w:t>
      </w:r>
      <w:r>
        <w:rPr>
          <w:u w:val="none"/>
        </w:rPr>
        <w:t xml:space="preserve"> on the strength of this clause</w:t>
      </w:r>
      <w:r w:rsidR="009B7BC5">
        <w:rPr>
          <w:u w:val="none"/>
        </w:rPr>
        <w:t xml:space="preserve">. This necessitated the present </w:t>
      </w:r>
      <w:r w:rsidR="009B7BC5">
        <w:rPr>
          <w:u w:val="none"/>
        </w:rPr>
        <w:lastRenderedPageBreak/>
        <w:t xml:space="preserve">application to enable the applicants to </w:t>
      </w:r>
      <w:r w:rsidR="00383602">
        <w:rPr>
          <w:u w:val="none"/>
        </w:rPr>
        <w:t>s</w:t>
      </w:r>
      <w:r w:rsidR="009B7BC5">
        <w:rPr>
          <w:u w:val="none"/>
        </w:rPr>
        <w:t>ubmit and negotiate claims</w:t>
      </w:r>
      <w:r w:rsidR="00D843D7">
        <w:rPr>
          <w:u w:val="none"/>
        </w:rPr>
        <w:t xml:space="preserve"> in terms of the policy.</w:t>
      </w:r>
    </w:p>
    <w:p w:rsidR="00D843D7" w:rsidRDefault="00D843D7" w:rsidP="001B7095">
      <w:pPr>
        <w:spacing w:line="360" w:lineRule="auto"/>
        <w:jc w:val="both"/>
        <w:rPr>
          <w:u w:val="none"/>
        </w:rPr>
      </w:pPr>
    </w:p>
    <w:p w:rsidR="00455BFB" w:rsidRPr="00455BFB" w:rsidRDefault="007A7308" w:rsidP="00B51765">
      <w:pPr>
        <w:spacing w:line="360" w:lineRule="auto"/>
        <w:jc w:val="both"/>
        <w:rPr>
          <w:sz w:val="22"/>
          <w:szCs w:val="22"/>
          <w:u w:val="none"/>
        </w:rPr>
      </w:pPr>
      <w:r>
        <w:rPr>
          <w:u w:val="none"/>
        </w:rPr>
        <w:t>[24</w:t>
      </w:r>
      <w:r w:rsidR="00D843D7">
        <w:rPr>
          <w:u w:val="none"/>
        </w:rPr>
        <w:t>]</w:t>
      </w:r>
      <w:r w:rsidR="00D843D7">
        <w:rPr>
          <w:u w:val="none"/>
        </w:rPr>
        <w:tab/>
      </w:r>
      <w:r w:rsidR="009B7BC5">
        <w:rPr>
          <w:u w:val="none"/>
        </w:rPr>
        <w:t xml:space="preserve">Counsel for the respondent </w:t>
      </w:r>
      <w:r w:rsidR="00A27FEF">
        <w:rPr>
          <w:u w:val="none"/>
        </w:rPr>
        <w:t xml:space="preserve">argued that </w:t>
      </w:r>
      <w:r>
        <w:rPr>
          <w:u w:val="none"/>
        </w:rPr>
        <w:t xml:space="preserve">the applicants </w:t>
      </w:r>
      <w:r w:rsidR="00A27FEF">
        <w:rPr>
          <w:u w:val="none"/>
        </w:rPr>
        <w:t xml:space="preserve">are separate juristic companies and carry on business at different places. </w:t>
      </w:r>
      <w:r w:rsidR="00A6492E">
        <w:rPr>
          <w:u w:val="none"/>
        </w:rPr>
        <w:t>Thus</w:t>
      </w:r>
      <w:r w:rsidR="00383602">
        <w:rPr>
          <w:u w:val="none"/>
        </w:rPr>
        <w:t xml:space="preserve"> it wa</w:t>
      </w:r>
      <w:r w:rsidR="0074027B">
        <w:rPr>
          <w:u w:val="none"/>
        </w:rPr>
        <w:t>s</w:t>
      </w:r>
      <w:r w:rsidR="00B51765">
        <w:rPr>
          <w:u w:val="none"/>
        </w:rPr>
        <w:t xml:space="preserve"> argued </w:t>
      </w:r>
      <w:r w:rsidR="00A6492E">
        <w:rPr>
          <w:u w:val="none"/>
        </w:rPr>
        <w:t xml:space="preserve">they cannot rely on </w:t>
      </w:r>
      <w:r w:rsidR="009B7BC5">
        <w:rPr>
          <w:u w:val="none"/>
        </w:rPr>
        <w:t xml:space="preserve">the policy to claim </w:t>
      </w:r>
      <w:r w:rsidR="00A609A0">
        <w:rPr>
          <w:u w:val="none"/>
        </w:rPr>
        <w:t xml:space="preserve">for </w:t>
      </w:r>
      <w:r w:rsidR="009B7BC5">
        <w:rPr>
          <w:u w:val="none"/>
        </w:rPr>
        <w:t xml:space="preserve">the same incident. </w:t>
      </w:r>
    </w:p>
    <w:p w:rsidR="0091349F" w:rsidRPr="00A609A0" w:rsidRDefault="0091349F" w:rsidP="001B7095">
      <w:pPr>
        <w:spacing w:line="360" w:lineRule="auto"/>
        <w:jc w:val="both"/>
        <w:rPr>
          <w:sz w:val="22"/>
          <w:szCs w:val="22"/>
          <w:u w:val="none"/>
        </w:rPr>
      </w:pPr>
    </w:p>
    <w:p w:rsidR="0086728E" w:rsidRPr="00966B02" w:rsidRDefault="00AE7883" w:rsidP="0086728E">
      <w:pPr>
        <w:spacing w:line="360" w:lineRule="auto"/>
        <w:jc w:val="both"/>
        <w:rPr>
          <w:i/>
          <w:u w:val="none"/>
        </w:rPr>
      </w:pPr>
      <w:r>
        <w:rPr>
          <w:u w:val="none"/>
        </w:rPr>
        <w:t>[</w:t>
      </w:r>
      <w:r w:rsidR="000B34CD">
        <w:rPr>
          <w:u w:val="none"/>
        </w:rPr>
        <w:t>25</w:t>
      </w:r>
      <w:r>
        <w:rPr>
          <w:u w:val="none"/>
        </w:rPr>
        <w:t>]</w:t>
      </w:r>
      <w:r>
        <w:rPr>
          <w:u w:val="none"/>
        </w:rPr>
        <w:tab/>
        <w:t xml:space="preserve">He argued that the question of the policy covering all the companies required the court to determine whether the policy was a composite one. In considering </w:t>
      </w:r>
      <w:r w:rsidR="00806DE3">
        <w:rPr>
          <w:u w:val="none"/>
        </w:rPr>
        <w:t>thi</w:t>
      </w:r>
      <w:r>
        <w:rPr>
          <w:u w:val="none"/>
        </w:rPr>
        <w:t>s ref</w:t>
      </w:r>
      <w:r w:rsidR="009F7BD6">
        <w:rPr>
          <w:u w:val="none"/>
        </w:rPr>
        <w:t>erence he referred</w:t>
      </w:r>
      <w:r w:rsidR="00806DE3">
        <w:rPr>
          <w:u w:val="none"/>
        </w:rPr>
        <w:t xml:space="preserve"> to </w:t>
      </w:r>
      <w:r w:rsidR="009F7BD6">
        <w:rPr>
          <w:u w:val="none"/>
        </w:rPr>
        <w:t xml:space="preserve">the </w:t>
      </w:r>
      <w:r w:rsidR="00F04A2D">
        <w:rPr>
          <w:u w:val="none"/>
        </w:rPr>
        <w:t xml:space="preserve">description of </w:t>
      </w:r>
      <w:r>
        <w:rPr>
          <w:u w:val="none"/>
        </w:rPr>
        <w:t>“the business” of the insured</w:t>
      </w:r>
      <w:r w:rsidR="00F04A2D">
        <w:rPr>
          <w:u w:val="none"/>
        </w:rPr>
        <w:t xml:space="preserve"> as well as the terms “business interruption”, “defined event”, “premises”</w:t>
      </w:r>
      <w:r>
        <w:rPr>
          <w:u w:val="none"/>
        </w:rPr>
        <w:t>. The res</w:t>
      </w:r>
      <w:r w:rsidR="00D87308">
        <w:rPr>
          <w:u w:val="none"/>
        </w:rPr>
        <w:t>pondents admitted in paragraph 8</w:t>
      </w:r>
      <w:r>
        <w:rPr>
          <w:u w:val="none"/>
        </w:rPr>
        <w:t xml:space="preserve">0 they have covered </w:t>
      </w:r>
      <w:r w:rsidR="00BF0308">
        <w:rPr>
          <w:u w:val="none"/>
        </w:rPr>
        <w:t xml:space="preserve">the applicants </w:t>
      </w:r>
      <w:r>
        <w:rPr>
          <w:u w:val="none"/>
        </w:rPr>
        <w:t>for a number of years. The insure</w:t>
      </w:r>
      <w:r w:rsidR="00D87308">
        <w:rPr>
          <w:u w:val="none"/>
        </w:rPr>
        <w:t>d</w:t>
      </w:r>
      <w:r w:rsidR="00BF0308">
        <w:rPr>
          <w:u w:val="none"/>
        </w:rPr>
        <w:t xml:space="preserve"> admitted covering </w:t>
      </w:r>
      <w:r w:rsidR="00D87308">
        <w:rPr>
          <w:u w:val="none"/>
        </w:rPr>
        <w:t xml:space="preserve"> the applicants as follows: </w:t>
      </w:r>
      <w:r>
        <w:rPr>
          <w:u w:val="none"/>
        </w:rPr>
        <w:t xml:space="preserve"> ” </w:t>
      </w:r>
      <w:r w:rsidRPr="00BF0308">
        <w:rPr>
          <w:i/>
          <w:u w:val="none"/>
        </w:rPr>
        <w:t xml:space="preserve">National Airways Corporation (Pty) Limited and 43 Air School (Pty) Ltd  and </w:t>
      </w:r>
      <w:r w:rsidRPr="00BF0308">
        <w:rPr>
          <w:b/>
          <w:i/>
          <w:u w:val="none"/>
        </w:rPr>
        <w:t>subsidiary companies managed, controlled member companies</w:t>
      </w:r>
      <w:r w:rsidRPr="00BF0308">
        <w:rPr>
          <w:i/>
          <w:u w:val="none"/>
        </w:rPr>
        <w:t>, joint venture sports, social and recreational clubs, and societies and any other persons or entities for which they have</w:t>
      </w:r>
      <w:r w:rsidR="0086728E">
        <w:rPr>
          <w:i/>
          <w:u w:val="none"/>
        </w:rPr>
        <w:t xml:space="preserve"> </w:t>
      </w:r>
      <w:r w:rsidR="0086728E" w:rsidRPr="00966B02">
        <w:rPr>
          <w:i/>
          <w:u w:val="none"/>
        </w:rPr>
        <w:t>they have authority to insure, jointly or severally each for their respective right or interests) for many years.</w:t>
      </w:r>
      <w:r w:rsidR="0086728E">
        <w:rPr>
          <w:i/>
          <w:u w:val="none"/>
        </w:rPr>
        <w:t>”</w:t>
      </w:r>
    </w:p>
    <w:p w:rsidR="00CD2496" w:rsidRDefault="00CD2496" w:rsidP="00D87308">
      <w:pPr>
        <w:spacing w:line="360" w:lineRule="auto"/>
        <w:jc w:val="both"/>
        <w:rPr>
          <w:u w:val="none"/>
        </w:rPr>
      </w:pPr>
    </w:p>
    <w:p w:rsidR="00D87308" w:rsidRDefault="00D87308" w:rsidP="00D87308">
      <w:pPr>
        <w:spacing w:line="360" w:lineRule="auto"/>
        <w:jc w:val="both"/>
        <w:rPr>
          <w:u w:val="none"/>
        </w:rPr>
      </w:pPr>
      <w:r>
        <w:rPr>
          <w:u w:val="none"/>
        </w:rPr>
        <w:t>Thus, to make a determination whether the policy was a composite one, counsel submitted, was a factual determination. Having regard to the insurance policy, it is evident that it refers to companies which are managed and controlled as well as subsidiaries which are clearly under the control of Holdings which replaced NAC and 43 Air School which manages some subsidiaries and arranges insurance.</w:t>
      </w:r>
    </w:p>
    <w:p w:rsidR="000B34CD" w:rsidRDefault="000B34CD" w:rsidP="00215E1E">
      <w:pPr>
        <w:spacing w:line="360" w:lineRule="auto"/>
        <w:jc w:val="both"/>
        <w:rPr>
          <w:rFonts w:ascii="Arial Bold" w:hAnsi="Arial Bold"/>
          <w:b/>
          <w:caps/>
          <w:u w:val="none"/>
        </w:rPr>
      </w:pPr>
    </w:p>
    <w:p w:rsidR="000B34CD" w:rsidRDefault="000B34CD" w:rsidP="000B34CD">
      <w:pPr>
        <w:spacing w:line="360" w:lineRule="auto"/>
        <w:jc w:val="both"/>
        <w:rPr>
          <w:u w:val="none"/>
        </w:rPr>
      </w:pPr>
      <w:r>
        <w:rPr>
          <w:u w:val="none"/>
        </w:rPr>
        <w:t>[26</w:t>
      </w:r>
      <w:r w:rsidR="00BF0308">
        <w:rPr>
          <w:u w:val="none"/>
        </w:rPr>
        <w:t>]</w:t>
      </w:r>
      <w:r w:rsidR="00BF0308">
        <w:rPr>
          <w:u w:val="none"/>
        </w:rPr>
        <w:tab/>
      </w:r>
      <w:r>
        <w:rPr>
          <w:u w:val="none"/>
        </w:rPr>
        <w:t>A further consideration is the factual consideration whether the p</w:t>
      </w:r>
      <w:r w:rsidR="00B51765">
        <w:rPr>
          <w:u w:val="none"/>
        </w:rPr>
        <w:t>arties are impacted by the loss</w:t>
      </w:r>
      <w:r>
        <w:rPr>
          <w:u w:val="none"/>
        </w:rPr>
        <w:t xml:space="preserve"> where there is a defined event. There was an incident of Covid 19 within the 25 km radius of JOC and PTC’s premises in Gqeberha. It was argued this did not qualify 43 Air School’s claims. The respondent based its decision on an understanding of a joint and composite policy and description of the insured’s business. Counsel referred to MacGillavray</w:t>
      </w:r>
      <w:r>
        <w:rPr>
          <w:rStyle w:val="FootnoteReference"/>
          <w:u w:val="none"/>
        </w:rPr>
        <w:footnoteReference w:id="6"/>
      </w:r>
      <w:r w:rsidDel="00EB7A53">
        <w:rPr>
          <w:u w:val="none"/>
        </w:rPr>
        <w:t xml:space="preserve"> </w:t>
      </w:r>
      <w:r>
        <w:rPr>
          <w:u w:val="none"/>
        </w:rPr>
        <w:t xml:space="preserve"> </w:t>
      </w:r>
    </w:p>
    <w:p w:rsidR="000B34CD" w:rsidRDefault="000B34CD" w:rsidP="000B34CD">
      <w:pPr>
        <w:spacing w:line="360" w:lineRule="auto"/>
        <w:ind w:left="720"/>
        <w:jc w:val="both"/>
        <w:rPr>
          <w:sz w:val="22"/>
          <w:szCs w:val="22"/>
          <w:u w:val="none"/>
        </w:rPr>
      </w:pPr>
      <w:r>
        <w:rPr>
          <w:sz w:val="22"/>
          <w:szCs w:val="22"/>
          <w:u w:val="none"/>
        </w:rPr>
        <w:lastRenderedPageBreak/>
        <w:t>“There can be no joint insurance policy unless the interests of the several persons who are interested in the subject matter are joint interests so that they are exposed to the same risk and will suffer a joint loss by the occurrence of an insured peril…. The interests of such co-insureds are so inseparably connected that a loss or benefit must necessarily affect them both ”</w:t>
      </w:r>
    </w:p>
    <w:p w:rsidR="000B34CD" w:rsidRDefault="000B34CD" w:rsidP="000B34CD">
      <w:pPr>
        <w:spacing w:line="360" w:lineRule="auto"/>
        <w:ind w:left="720"/>
        <w:jc w:val="both"/>
        <w:rPr>
          <w:sz w:val="22"/>
          <w:szCs w:val="22"/>
          <w:u w:val="none"/>
        </w:rPr>
      </w:pPr>
      <w:r>
        <w:rPr>
          <w:sz w:val="22"/>
          <w:szCs w:val="22"/>
          <w:u w:val="none"/>
        </w:rPr>
        <w:t>…..</w:t>
      </w:r>
      <w:r w:rsidDel="00EB7A53">
        <w:rPr>
          <w:sz w:val="22"/>
          <w:szCs w:val="22"/>
          <w:u w:val="none"/>
        </w:rPr>
        <w:t xml:space="preserve"> </w:t>
      </w:r>
    </w:p>
    <w:p w:rsidR="000B34CD" w:rsidRDefault="000B34CD" w:rsidP="000B34CD">
      <w:pPr>
        <w:spacing w:line="360" w:lineRule="auto"/>
        <w:ind w:left="720"/>
        <w:jc w:val="both"/>
        <w:rPr>
          <w:sz w:val="22"/>
          <w:szCs w:val="22"/>
          <w:u w:val="none"/>
        </w:rPr>
      </w:pPr>
      <w:r>
        <w:rPr>
          <w:sz w:val="22"/>
          <w:szCs w:val="22"/>
          <w:u w:val="none"/>
        </w:rPr>
        <w:t>“It is usual to describe the co-insured in a composite policy as being insure for “their respective rights and interests” but a policy lacking that wording may nonetheless be construed as composite”</w:t>
      </w:r>
      <w:r>
        <w:rPr>
          <w:rStyle w:val="FootnoteReference"/>
          <w:sz w:val="22"/>
          <w:szCs w:val="22"/>
          <w:u w:val="none"/>
        </w:rPr>
        <w:footnoteReference w:id="7"/>
      </w:r>
    </w:p>
    <w:p w:rsidR="000B34CD" w:rsidRDefault="000B34CD" w:rsidP="000B34CD">
      <w:pPr>
        <w:spacing w:line="360" w:lineRule="auto"/>
        <w:ind w:firstLine="720"/>
        <w:jc w:val="both"/>
        <w:rPr>
          <w:u w:val="none"/>
        </w:rPr>
      </w:pPr>
    </w:p>
    <w:p w:rsidR="000B34CD" w:rsidRDefault="000B34CD" w:rsidP="000B34CD">
      <w:pPr>
        <w:spacing w:line="360" w:lineRule="auto"/>
        <w:jc w:val="both"/>
        <w:rPr>
          <w:u w:val="none"/>
        </w:rPr>
      </w:pPr>
      <w:r>
        <w:rPr>
          <w:u w:val="none"/>
        </w:rPr>
        <w:t>[27]</w:t>
      </w:r>
      <w:r>
        <w:rPr>
          <w:u w:val="none"/>
        </w:rPr>
        <w:tab/>
        <w:t>In the above paragraph it is evident that the wording used to identify a composite policy is found in the description of the definition of the insured namely “</w:t>
      </w:r>
      <w:r w:rsidRPr="00966B02">
        <w:rPr>
          <w:i/>
          <w:u w:val="none"/>
        </w:rPr>
        <w:t xml:space="preserve">they have authority to insure, </w:t>
      </w:r>
      <w:r w:rsidRPr="009F7BD6">
        <w:rPr>
          <w:b/>
          <w:i/>
          <w:u w:val="none"/>
        </w:rPr>
        <w:t>jointly or severally</w:t>
      </w:r>
      <w:r w:rsidRPr="00966B02">
        <w:rPr>
          <w:i/>
          <w:u w:val="none"/>
        </w:rPr>
        <w:t xml:space="preserve"> each for their </w:t>
      </w:r>
      <w:r w:rsidRPr="009F7BD6">
        <w:rPr>
          <w:b/>
          <w:i/>
          <w:u w:val="none"/>
        </w:rPr>
        <w:t>respective right or interests</w:t>
      </w:r>
      <w:r w:rsidRPr="00966B02">
        <w:rPr>
          <w:i/>
          <w:u w:val="none"/>
        </w:rPr>
        <w:t>.</w:t>
      </w:r>
      <w:r>
        <w:rPr>
          <w:i/>
          <w:u w:val="none"/>
        </w:rPr>
        <w:t>”(my emphasis).</w:t>
      </w:r>
      <w:r>
        <w:rPr>
          <w:u w:val="none"/>
        </w:rPr>
        <w:t xml:space="preserve"> In addition to the description which define the elements, the event which impacted the one facility has an impact on the other facilities as well. The respondent did not dispute the applicants’ version regarding the losses suffered or that the business interruption of one facility did not impact the other. Having regard to the description of training service</w:t>
      </w:r>
      <w:r w:rsidR="002058C6">
        <w:rPr>
          <w:u w:val="none"/>
        </w:rPr>
        <w:t>s</w:t>
      </w:r>
      <w:r>
        <w:rPr>
          <w:u w:val="none"/>
        </w:rPr>
        <w:t xml:space="preserve"> offered it is apparent that the facilities are inter related and supportive. </w:t>
      </w:r>
    </w:p>
    <w:p w:rsidR="000B34CD" w:rsidRDefault="000B34CD" w:rsidP="000B34CD">
      <w:pPr>
        <w:spacing w:line="360" w:lineRule="auto"/>
        <w:jc w:val="both"/>
        <w:rPr>
          <w:u w:val="none"/>
        </w:rPr>
      </w:pPr>
    </w:p>
    <w:p w:rsidR="00B725A9" w:rsidRDefault="000B34CD" w:rsidP="00B725A9">
      <w:pPr>
        <w:spacing w:line="360" w:lineRule="auto"/>
        <w:jc w:val="both"/>
        <w:rPr>
          <w:u w:val="none"/>
        </w:rPr>
      </w:pPr>
      <w:r>
        <w:rPr>
          <w:u w:val="none"/>
        </w:rPr>
        <w:t>[28]</w:t>
      </w:r>
      <w:r>
        <w:rPr>
          <w:u w:val="none"/>
        </w:rPr>
        <w:tab/>
        <w:t xml:space="preserve">Aviation is a specialised training area. The applicants describe in their founding affidavit how they offer training programmes at Port Alfred and Gqeberha.  Some of the training such as the cadet training is conducted partly at Port Alfred and partly as Gqeberha. It is evident that an interruption at one site will impact the other site. On reading the policy “the business” is all of the places where business is conducted and is a factual determination. There is nothing to gainsay the version put forward by the applicants in the founding affidavit regarding the conduct of training. </w:t>
      </w:r>
      <w:r w:rsidR="00B725A9">
        <w:rPr>
          <w:u w:val="none"/>
        </w:rPr>
        <w:t xml:space="preserve">In </w:t>
      </w:r>
      <w:r w:rsidR="00B725A9" w:rsidRPr="00A609A0">
        <w:rPr>
          <w:i/>
          <w:u w:val="none"/>
        </w:rPr>
        <w:t>Guard Risk</w:t>
      </w:r>
      <w:r w:rsidR="00B725A9">
        <w:rPr>
          <w:rStyle w:val="FootnoteReference"/>
          <w:i/>
          <w:u w:val="none"/>
        </w:rPr>
        <w:footnoteReference w:id="8"/>
      </w:r>
      <w:r w:rsidR="00B725A9">
        <w:rPr>
          <w:u w:val="none"/>
        </w:rPr>
        <w:t xml:space="preserve"> , the Court referred to the flexible common sense approach to be adopted over strict logic in insurance contracts to give effect to the intention of parties in a contract:</w:t>
      </w:r>
    </w:p>
    <w:p w:rsidR="00B725A9" w:rsidRDefault="00B725A9" w:rsidP="00B725A9">
      <w:pPr>
        <w:spacing w:line="360" w:lineRule="auto"/>
        <w:jc w:val="both"/>
        <w:rPr>
          <w:u w:val="none"/>
        </w:rPr>
      </w:pPr>
    </w:p>
    <w:p w:rsidR="00B725A9" w:rsidRDefault="00B725A9" w:rsidP="002058C6">
      <w:pPr>
        <w:spacing w:line="360" w:lineRule="auto"/>
        <w:ind w:left="2160"/>
        <w:jc w:val="both"/>
        <w:rPr>
          <w:sz w:val="22"/>
          <w:szCs w:val="22"/>
          <w:u w:val="none"/>
        </w:rPr>
      </w:pPr>
      <w:r>
        <w:rPr>
          <w:sz w:val="22"/>
          <w:szCs w:val="22"/>
          <w:u w:val="none"/>
        </w:rPr>
        <w:t>“The common</w:t>
      </w:r>
      <w:r w:rsidRPr="00455BFB">
        <w:rPr>
          <w:sz w:val="22"/>
          <w:szCs w:val="22"/>
          <w:u w:val="none"/>
        </w:rPr>
        <w:t>law test is thus applied flexibly, recognising that </w:t>
      </w:r>
      <w:r>
        <w:rPr>
          <w:sz w:val="22"/>
          <w:szCs w:val="22"/>
          <w:u w:val="none"/>
        </w:rPr>
        <w:t>“common sense may have to prevail over strict logic” in the contractual context it has long been accepted that causation rules should be applied “with good sense to give effect to, and not to defeat the intention of the contracting parties”.19 For insurance contracts the question always is:”[H] as the event, on which I put my premium, actually occurred?”</w:t>
      </w:r>
    </w:p>
    <w:p w:rsidR="00B725A9" w:rsidRDefault="00B725A9" w:rsidP="002058C6">
      <w:pPr>
        <w:spacing w:line="360" w:lineRule="auto"/>
        <w:ind w:left="2160"/>
        <w:jc w:val="both"/>
        <w:rPr>
          <w:sz w:val="22"/>
          <w:szCs w:val="22"/>
          <w:u w:val="none"/>
        </w:rPr>
      </w:pPr>
      <w:r>
        <w:rPr>
          <w:sz w:val="22"/>
          <w:szCs w:val="22"/>
          <w:u w:val="none"/>
        </w:rPr>
        <w:t>[40] Of relevance in the instant case is that they may be more than one cause or multiple causes giving rise to a claim. In that case “the approximate for actual or effective cause (it matters not what term is used) must be ascertained…”21 even if a loss is “not felt as the immediate result of the peril insured against, but occurs after a succession of other causes, the peril remains the proximate cause of the loss, as long as there is no break in the chain of causation.” 22</w:t>
      </w:r>
      <w:r w:rsidR="00B1441D">
        <w:rPr>
          <w:sz w:val="22"/>
          <w:szCs w:val="22"/>
          <w:u w:val="none"/>
        </w:rPr>
        <w:t xml:space="preserve"> A</w:t>
      </w:r>
      <w:r>
        <w:rPr>
          <w:sz w:val="22"/>
          <w:szCs w:val="22"/>
          <w:u w:val="none"/>
        </w:rPr>
        <w:t xml:space="preserve"> proximate cause should be identified as a matter of reality, predominance [and] efficiency”. Put differently the real or dominant cause is ascertained by applying good business sense.</w:t>
      </w:r>
    </w:p>
    <w:p w:rsidR="00B725A9" w:rsidRDefault="00B725A9" w:rsidP="00B725A9">
      <w:pPr>
        <w:spacing w:line="360" w:lineRule="auto"/>
        <w:ind w:left="720"/>
        <w:jc w:val="both"/>
        <w:rPr>
          <w:sz w:val="22"/>
          <w:szCs w:val="22"/>
          <w:u w:val="none"/>
        </w:rPr>
      </w:pPr>
      <w:r>
        <w:rPr>
          <w:u w:val="none"/>
        </w:rPr>
        <w:t xml:space="preserve">I am thus persuaded that the third and fourth applicants should, in line with the </w:t>
      </w:r>
      <w:r w:rsidR="00B1441D">
        <w:rPr>
          <w:u w:val="none"/>
        </w:rPr>
        <w:t xml:space="preserve">common sense </w:t>
      </w:r>
      <w:r>
        <w:rPr>
          <w:u w:val="none"/>
        </w:rPr>
        <w:t>approach</w:t>
      </w:r>
      <w:r w:rsidR="00B1441D">
        <w:rPr>
          <w:u w:val="none"/>
        </w:rPr>
        <w:t xml:space="preserve"> that </w:t>
      </w:r>
      <w:r>
        <w:rPr>
          <w:u w:val="none"/>
        </w:rPr>
        <w:t xml:space="preserve">the Supreme Court of Appeal in </w:t>
      </w:r>
      <w:r w:rsidRPr="0020530E">
        <w:rPr>
          <w:i/>
          <w:u w:val="none"/>
        </w:rPr>
        <w:t>Guardian Risk</w:t>
      </w:r>
      <w:r>
        <w:rPr>
          <w:u w:val="none"/>
        </w:rPr>
        <w:t xml:space="preserve"> provides, be afforded relief. </w:t>
      </w:r>
      <w:r w:rsidR="002058C6">
        <w:rPr>
          <w:u w:val="none"/>
        </w:rPr>
        <w:t xml:space="preserve">Especially as where they </w:t>
      </w:r>
      <w:r w:rsidR="00E332D2">
        <w:rPr>
          <w:u w:val="none"/>
        </w:rPr>
        <w:t xml:space="preserve">shared </w:t>
      </w:r>
      <w:r w:rsidR="002058C6">
        <w:rPr>
          <w:u w:val="none"/>
        </w:rPr>
        <w:t>the same facilities to conduct training and for support and ongoing</w:t>
      </w:r>
      <w:r w:rsidR="00E332D2">
        <w:rPr>
          <w:u w:val="none"/>
        </w:rPr>
        <w:t xml:space="preserve"> or secondary </w:t>
      </w:r>
      <w:r w:rsidR="002058C6">
        <w:rPr>
          <w:u w:val="none"/>
        </w:rPr>
        <w:t xml:space="preserve">training. </w:t>
      </w:r>
      <w:r>
        <w:rPr>
          <w:u w:val="none"/>
        </w:rPr>
        <w:t>Not to do so would lead to an absurdity which the insurer (reasonably) and so too insured in this case the applicants, did not contemplate.</w:t>
      </w:r>
    </w:p>
    <w:p w:rsidR="00B725A9" w:rsidRPr="00455BFB" w:rsidRDefault="00B725A9" w:rsidP="00B725A9">
      <w:pPr>
        <w:spacing w:line="360" w:lineRule="auto"/>
        <w:jc w:val="both"/>
        <w:rPr>
          <w:sz w:val="22"/>
          <w:szCs w:val="22"/>
          <w:u w:val="none"/>
        </w:rPr>
      </w:pPr>
    </w:p>
    <w:p w:rsidR="000B34CD" w:rsidRDefault="000B34CD" w:rsidP="000B34CD">
      <w:pPr>
        <w:spacing w:line="360" w:lineRule="auto"/>
        <w:jc w:val="both"/>
        <w:rPr>
          <w:u w:val="none"/>
        </w:rPr>
      </w:pPr>
      <w:r>
        <w:rPr>
          <w:rFonts w:ascii="Arial Bold" w:hAnsi="Arial Bold"/>
          <w:b/>
          <w:caps/>
          <w:u w:val="none"/>
        </w:rPr>
        <w:t>order</w:t>
      </w:r>
    </w:p>
    <w:p w:rsidR="000B34CD" w:rsidRDefault="000B34CD" w:rsidP="000B34CD">
      <w:pPr>
        <w:spacing w:line="360" w:lineRule="auto"/>
        <w:jc w:val="both"/>
        <w:rPr>
          <w:u w:val="none"/>
        </w:rPr>
      </w:pPr>
      <w:r>
        <w:rPr>
          <w:u w:val="none"/>
        </w:rPr>
        <w:t>[2</w:t>
      </w:r>
      <w:r w:rsidR="00947772">
        <w:rPr>
          <w:u w:val="none"/>
        </w:rPr>
        <w:t>9</w:t>
      </w:r>
      <w:r>
        <w:rPr>
          <w:u w:val="none"/>
        </w:rPr>
        <w:t xml:space="preserve">] </w:t>
      </w:r>
      <w:r>
        <w:rPr>
          <w:u w:val="none"/>
        </w:rPr>
        <w:tab/>
        <w:t>For the reasons above, I make the following order:</w:t>
      </w:r>
    </w:p>
    <w:p w:rsidR="000B34CD" w:rsidRDefault="000B34CD" w:rsidP="000B34CD">
      <w:pPr>
        <w:spacing w:line="360" w:lineRule="auto"/>
        <w:jc w:val="both"/>
        <w:rPr>
          <w:u w:val="none"/>
        </w:rPr>
      </w:pPr>
    </w:p>
    <w:p w:rsidR="000B34CD" w:rsidRPr="003B4038" w:rsidRDefault="000B34CD" w:rsidP="000B34CD">
      <w:pPr>
        <w:pStyle w:val="ListParagraph"/>
        <w:numPr>
          <w:ilvl w:val="0"/>
          <w:numId w:val="3"/>
        </w:numPr>
        <w:spacing w:line="360" w:lineRule="auto"/>
        <w:ind w:left="1635"/>
        <w:jc w:val="both"/>
        <w:rPr>
          <w:u w:val="none"/>
        </w:rPr>
      </w:pPr>
      <w:r w:rsidRPr="003B4038">
        <w:rPr>
          <w:u w:val="none"/>
        </w:rPr>
        <w:t xml:space="preserve">The respondent is liable to compensate the second, third and fourth applicants in respect of business interruption insurance cover, </w:t>
      </w:r>
      <w:r>
        <w:rPr>
          <w:u w:val="none"/>
        </w:rPr>
        <w:t xml:space="preserve">for </w:t>
      </w:r>
      <w:r w:rsidRPr="003B4038">
        <w:rPr>
          <w:u w:val="none"/>
        </w:rPr>
        <w:t>the period 27 March 2020 to 31 May 202</w:t>
      </w:r>
      <w:r w:rsidR="00947772">
        <w:rPr>
          <w:u w:val="none"/>
        </w:rPr>
        <w:t>0</w:t>
      </w:r>
      <w:r w:rsidRPr="003B4038">
        <w:rPr>
          <w:u w:val="none"/>
        </w:rPr>
        <w:t>.</w:t>
      </w:r>
    </w:p>
    <w:p w:rsidR="000B34CD" w:rsidRPr="003B4038" w:rsidRDefault="000B34CD" w:rsidP="000B34CD">
      <w:pPr>
        <w:spacing w:line="360" w:lineRule="auto"/>
        <w:jc w:val="both"/>
        <w:rPr>
          <w:u w:val="none"/>
        </w:rPr>
      </w:pPr>
    </w:p>
    <w:p w:rsidR="000B34CD" w:rsidRPr="003B4038" w:rsidRDefault="000B34CD" w:rsidP="000B34CD">
      <w:pPr>
        <w:pStyle w:val="ListParagraph"/>
        <w:numPr>
          <w:ilvl w:val="0"/>
          <w:numId w:val="3"/>
        </w:numPr>
        <w:spacing w:line="360" w:lineRule="auto"/>
        <w:ind w:left="1635"/>
        <w:jc w:val="both"/>
        <w:rPr>
          <w:u w:val="none"/>
        </w:rPr>
      </w:pPr>
      <w:r>
        <w:rPr>
          <w:u w:val="none"/>
        </w:rPr>
        <w:lastRenderedPageBreak/>
        <w:t>The respondent is d</w:t>
      </w:r>
      <w:r w:rsidRPr="003B4038">
        <w:rPr>
          <w:u w:val="none"/>
        </w:rPr>
        <w:t>irect</w:t>
      </w:r>
      <w:r>
        <w:rPr>
          <w:u w:val="none"/>
        </w:rPr>
        <w:t xml:space="preserve">ed </w:t>
      </w:r>
      <w:r w:rsidRPr="003B4038">
        <w:rPr>
          <w:u w:val="none"/>
        </w:rPr>
        <w:t>to engage the second, third and fourth applicants meaningfully for the purposes of quantifying the monetary value of the claims of each of the second, third and fourth applicants for compensation in respect of business interruption insurance for the period f</w:t>
      </w:r>
      <w:r w:rsidR="00947772">
        <w:rPr>
          <w:u w:val="none"/>
        </w:rPr>
        <w:t>rom 27 March 2020 to 31 May 2020</w:t>
      </w:r>
      <w:r w:rsidRPr="003B4038">
        <w:rPr>
          <w:u w:val="none"/>
        </w:rPr>
        <w:t xml:space="preserve">. </w:t>
      </w:r>
    </w:p>
    <w:p w:rsidR="000B34CD" w:rsidRPr="003B4038" w:rsidRDefault="000B34CD" w:rsidP="000B34CD">
      <w:pPr>
        <w:pStyle w:val="ListParagraph"/>
        <w:rPr>
          <w:u w:val="none"/>
        </w:rPr>
      </w:pPr>
    </w:p>
    <w:p w:rsidR="00F97526" w:rsidRPr="003B4038" w:rsidRDefault="00F97526" w:rsidP="00F97526">
      <w:pPr>
        <w:spacing w:line="360" w:lineRule="auto"/>
        <w:ind w:left="720" w:firstLine="720"/>
        <w:jc w:val="both"/>
        <w:rPr>
          <w:rFonts w:asciiTheme="minorHAnsi" w:hAnsiTheme="minorHAnsi" w:cstheme="minorBidi"/>
          <w:u w:val="none"/>
          <w:lang w:val="en-US" w:eastAsia="en-US"/>
        </w:rPr>
      </w:pPr>
      <w:r w:rsidRPr="003B4038">
        <w:rPr>
          <w:u w:val="none"/>
        </w:rPr>
        <w:t>3.</w:t>
      </w:r>
      <w:r w:rsidR="003B4038" w:rsidRPr="003B4038">
        <w:rPr>
          <w:u w:val="none"/>
        </w:rPr>
        <w:t>T</w:t>
      </w:r>
      <w:r w:rsidRPr="003B4038">
        <w:rPr>
          <w:u w:val="none"/>
        </w:rPr>
        <w:t>he respondent to pay the applicants</w:t>
      </w:r>
      <w:r w:rsidR="0074027B">
        <w:rPr>
          <w:u w:val="none"/>
        </w:rPr>
        <w:t>’</w:t>
      </w:r>
      <w:r w:rsidRPr="003B4038">
        <w:rPr>
          <w:u w:val="none"/>
        </w:rPr>
        <w:t xml:space="preserve"> costs.</w:t>
      </w:r>
    </w:p>
    <w:p w:rsidR="00F97526" w:rsidRPr="003B4038" w:rsidRDefault="00F97526" w:rsidP="001B7095">
      <w:pPr>
        <w:spacing w:line="360" w:lineRule="auto"/>
        <w:jc w:val="both"/>
        <w:rPr>
          <w:u w:val="none"/>
        </w:rPr>
      </w:pPr>
    </w:p>
    <w:p w:rsidR="00F97526" w:rsidRPr="00F97526" w:rsidRDefault="00F97526" w:rsidP="001B7095">
      <w:pPr>
        <w:spacing w:line="360" w:lineRule="auto"/>
        <w:jc w:val="both"/>
        <w:rPr>
          <w:u w:val="none"/>
        </w:rPr>
      </w:pPr>
      <w:r>
        <w:rPr>
          <w:u w:val="none"/>
        </w:rPr>
        <w:tab/>
      </w:r>
    </w:p>
    <w:p w:rsidR="00F97526" w:rsidRPr="005E125D" w:rsidRDefault="00F97526" w:rsidP="001B7095">
      <w:pPr>
        <w:spacing w:line="360" w:lineRule="auto"/>
        <w:jc w:val="both"/>
        <w:rPr>
          <w:rFonts w:ascii="Arial Bold" w:hAnsi="Arial Bold"/>
          <w:b/>
          <w:caps/>
          <w:u w:val="none"/>
        </w:rPr>
      </w:pPr>
    </w:p>
    <w:p w:rsidR="00F3309A" w:rsidRPr="001B7095" w:rsidRDefault="00F3309A" w:rsidP="001B7095">
      <w:pPr>
        <w:spacing w:before="180" w:line="360" w:lineRule="auto"/>
        <w:ind w:left="720" w:hanging="720"/>
        <w:jc w:val="both"/>
        <w:rPr>
          <w:b/>
          <w:u w:val="none"/>
        </w:rPr>
      </w:pPr>
    </w:p>
    <w:p w:rsidR="00410BCD" w:rsidRDefault="00410BCD" w:rsidP="00F3309A">
      <w:pPr>
        <w:tabs>
          <w:tab w:val="right" w:pos="0"/>
        </w:tabs>
        <w:spacing w:line="360" w:lineRule="auto"/>
        <w:jc w:val="both"/>
        <w:rPr>
          <w:b/>
          <w:u w:val="none"/>
          <w:lang w:val="en-ZA"/>
        </w:rPr>
      </w:pPr>
    </w:p>
    <w:p w:rsidR="00410BCD" w:rsidRDefault="00410BCD" w:rsidP="00F3309A">
      <w:pPr>
        <w:tabs>
          <w:tab w:val="right" w:pos="0"/>
        </w:tabs>
        <w:spacing w:line="360" w:lineRule="auto"/>
        <w:jc w:val="both"/>
        <w:rPr>
          <w:b/>
          <w:u w:val="none"/>
          <w:lang w:val="en-ZA"/>
        </w:rPr>
      </w:pPr>
    </w:p>
    <w:p w:rsidR="00F3309A" w:rsidRPr="0096135C" w:rsidRDefault="00F3309A" w:rsidP="00F3309A">
      <w:pPr>
        <w:tabs>
          <w:tab w:val="right" w:pos="0"/>
        </w:tabs>
        <w:spacing w:line="360" w:lineRule="auto"/>
        <w:jc w:val="both"/>
        <w:rPr>
          <w:u w:val="none"/>
          <w:lang w:val="en-ZA"/>
        </w:rPr>
      </w:pPr>
      <w:r>
        <w:rPr>
          <w:b/>
          <w:u w:val="none"/>
          <w:lang w:val="en-ZA"/>
        </w:rPr>
        <w:tab/>
      </w:r>
      <w:r>
        <w:rPr>
          <w:b/>
          <w:u w:val="none"/>
          <w:lang w:val="en-ZA"/>
        </w:rPr>
        <w:tab/>
      </w:r>
      <w:r w:rsidRPr="0096135C">
        <w:rPr>
          <w:b/>
          <w:u w:val="none"/>
          <w:lang w:val="en-ZA"/>
        </w:rPr>
        <w:t xml:space="preserve"> </w:t>
      </w:r>
      <w:r w:rsidRPr="0096135C">
        <w:rPr>
          <w:u w:val="none"/>
          <w:lang w:val="en-ZA"/>
        </w:rPr>
        <w:t>_________________________________________________</w:t>
      </w:r>
    </w:p>
    <w:p w:rsidR="00F3309A" w:rsidRPr="0096135C" w:rsidRDefault="00F3309A" w:rsidP="00F3309A">
      <w:pPr>
        <w:tabs>
          <w:tab w:val="right" w:pos="0"/>
        </w:tabs>
        <w:jc w:val="both"/>
        <w:rPr>
          <w:b/>
          <w:u w:val="none"/>
          <w:lang w:val="en-ZA"/>
        </w:rPr>
      </w:pP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t xml:space="preserve"> </w:t>
      </w:r>
      <w:r w:rsidRPr="0096135C">
        <w:rPr>
          <w:b/>
          <w:u w:val="none"/>
          <w:lang w:val="en-ZA"/>
        </w:rPr>
        <w:t>S C MIA</w:t>
      </w:r>
    </w:p>
    <w:p w:rsidR="00F3309A" w:rsidRPr="0096135C" w:rsidRDefault="00F3309A" w:rsidP="00F3309A">
      <w:pPr>
        <w:tabs>
          <w:tab w:val="right" w:pos="0"/>
        </w:tabs>
        <w:jc w:val="both"/>
        <w:rPr>
          <w:b/>
          <w:u w:val="none"/>
          <w:lang w:val="en-ZA"/>
        </w:rPr>
      </w:pPr>
      <w:r w:rsidRPr="0096135C">
        <w:rPr>
          <w:b/>
          <w:u w:val="none"/>
          <w:lang w:val="en-ZA"/>
        </w:rPr>
        <w:tab/>
      </w:r>
      <w:r w:rsidRPr="0096135C">
        <w:rPr>
          <w:b/>
          <w:u w:val="none"/>
          <w:lang w:val="en-ZA"/>
        </w:rPr>
        <w:tab/>
        <w:t xml:space="preserve">   </w:t>
      </w:r>
      <w:r>
        <w:rPr>
          <w:b/>
          <w:u w:val="none"/>
          <w:lang w:val="en-ZA"/>
        </w:rPr>
        <w:t xml:space="preserve">      </w:t>
      </w:r>
      <w:r w:rsidRPr="0096135C">
        <w:rPr>
          <w:b/>
          <w:u w:val="none"/>
          <w:lang w:val="en-ZA"/>
        </w:rPr>
        <w:t xml:space="preserve"> JUDGE OF THE HIGH COURT OF SOUTH AFRICA</w:t>
      </w:r>
    </w:p>
    <w:p w:rsidR="00F3309A" w:rsidRDefault="00F3309A" w:rsidP="00F3309A">
      <w:pPr>
        <w:tabs>
          <w:tab w:val="right" w:pos="0"/>
        </w:tabs>
        <w:jc w:val="both"/>
        <w:rPr>
          <w:b/>
          <w:u w:val="none"/>
          <w:lang w:val="en-ZA"/>
        </w:rPr>
      </w:pPr>
      <w:r w:rsidRPr="0096135C">
        <w:rPr>
          <w:b/>
          <w:u w:val="none"/>
          <w:lang w:val="en-ZA"/>
        </w:rPr>
        <w:tab/>
      </w:r>
      <w:r w:rsidRPr="0096135C">
        <w:rPr>
          <w:b/>
          <w:u w:val="none"/>
          <w:lang w:val="en-ZA"/>
        </w:rPr>
        <w:tab/>
        <w:t xml:space="preserve">             GAUTENG  </w:t>
      </w:r>
      <w:r w:rsidR="00D07901">
        <w:rPr>
          <w:b/>
          <w:u w:val="none"/>
          <w:lang w:val="en-ZA"/>
        </w:rPr>
        <w:t xml:space="preserve">LOCAL </w:t>
      </w:r>
      <w:r w:rsidRPr="0096135C">
        <w:rPr>
          <w:b/>
          <w:u w:val="none"/>
          <w:lang w:val="en-ZA"/>
        </w:rPr>
        <w:t>DIVISION, JOHANNESBURG</w:t>
      </w:r>
    </w:p>
    <w:p w:rsidR="00F3309A" w:rsidRPr="0096135C" w:rsidRDefault="00F3309A"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FE0AA3" w:rsidRDefault="00FE0AA3">
      <w:pPr>
        <w:spacing w:after="160" w:line="259" w:lineRule="auto"/>
        <w:rPr>
          <w:b/>
          <w:u w:val="none"/>
          <w:lang w:val="en-ZA"/>
        </w:rPr>
      </w:pPr>
      <w:r>
        <w:rPr>
          <w:b/>
          <w:u w:val="none"/>
          <w:lang w:val="en-ZA"/>
        </w:rPr>
        <w:br w:type="page"/>
      </w: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F3309A" w:rsidRDefault="00F3309A" w:rsidP="00F3309A">
      <w:pPr>
        <w:tabs>
          <w:tab w:val="right" w:pos="0"/>
        </w:tabs>
        <w:jc w:val="both"/>
        <w:rPr>
          <w:b/>
          <w:u w:val="none"/>
          <w:lang w:val="en-ZA"/>
        </w:rPr>
      </w:pPr>
      <w:r>
        <w:rPr>
          <w:b/>
          <w:u w:val="none"/>
          <w:lang w:val="en-ZA"/>
        </w:rPr>
        <w:t>Appearances:</w:t>
      </w:r>
    </w:p>
    <w:p w:rsidR="00F3309A" w:rsidRPr="00813D40" w:rsidRDefault="00F3309A" w:rsidP="00F3309A">
      <w:pPr>
        <w:tabs>
          <w:tab w:val="right" w:pos="0"/>
        </w:tabs>
        <w:jc w:val="both"/>
        <w:rPr>
          <w:b/>
          <w:u w:val="none"/>
          <w:lang w:val="en-ZA"/>
        </w:rPr>
      </w:pPr>
    </w:p>
    <w:p w:rsidR="00B37CA2" w:rsidRDefault="00F3309A" w:rsidP="00F3309A">
      <w:pPr>
        <w:tabs>
          <w:tab w:val="right" w:pos="0"/>
        </w:tabs>
        <w:spacing w:line="360" w:lineRule="auto"/>
        <w:jc w:val="both"/>
        <w:rPr>
          <w:u w:val="none"/>
        </w:rPr>
      </w:pPr>
      <w:r>
        <w:rPr>
          <w:u w:val="none"/>
          <w:lang w:val="en-ZA"/>
        </w:rPr>
        <w:t>On behalf of the</w:t>
      </w:r>
      <w:r w:rsidR="003F4A8F">
        <w:rPr>
          <w:u w:val="none"/>
          <w:lang w:val="en-ZA"/>
        </w:rPr>
        <w:t xml:space="preserve"> applicant</w:t>
      </w:r>
      <w:r>
        <w:rPr>
          <w:u w:val="none"/>
          <w:lang w:val="en-ZA"/>
        </w:rPr>
        <w:tab/>
      </w:r>
      <w:r>
        <w:rPr>
          <w:u w:val="none"/>
          <w:lang w:val="en-ZA"/>
        </w:rPr>
        <w:tab/>
        <w:t>:</w:t>
      </w:r>
      <w:r w:rsidRPr="00EA4F48">
        <w:rPr>
          <w:u w:val="none"/>
        </w:rPr>
        <w:t xml:space="preserve"> </w:t>
      </w:r>
      <w:r w:rsidR="00B00985">
        <w:rPr>
          <w:u w:val="none"/>
        </w:rPr>
        <w:t>Adv KJ Van Huyssteen</w:t>
      </w:r>
    </w:p>
    <w:p w:rsidR="00630B29" w:rsidRDefault="00F3309A" w:rsidP="00F3309A">
      <w:pPr>
        <w:tabs>
          <w:tab w:val="right" w:pos="0"/>
        </w:tabs>
        <w:spacing w:line="360" w:lineRule="auto"/>
        <w:jc w:val="both"/>
        <w:rPr>
          <w:u w:val="none"/>
          <w:lang w:val="en-ZA"/>
        </w:rPr>
      </w:pPr>
      <w:r>
        <w:rPr>
          <w:u w:val="none"/>
          <w:lang w:val="en-ZA"/>
        </w:rPr>
        <w:t xml:space="preserve">Instructed by                                 </w:t>
      </w:r>
      <w:r>
        <w:rPr>
          <w:u w:val="none"/>
          <w:lang w:val="en-ZA"/>
        </w:rPr>
        <w:tab/>
        <w:t>:</w:t>
      </w:r>
      <w:r w:rsidR="00B00985">
        <w:rPr>
          <w:u w:val="none"/>
          <w:lang w:val="en-ZA"/>
        </w:rPr>
        <w:t xml:space="preserve"> Fluxmans Inc</w:t>
      </w:r>
      <w:r w:rsidR="00630B29">
        <w:rPr>
          <w:u w:val="none"/>
          <w:lang w:val="en-ZA"/>
        </w:rPr>
        <w:tab/>
      </w:r>
      <w:r w:rsidR="00630B29">
        <w:rPr>
          <w:u w:val="none"/>
          <w:lang w:val="en-ZA"/>
        </w:rPr>
        <w:tab/>
      </w:r>
      <w:r w:rsidR="00630B29">
        <w:rPr>
          <w:u w:val="none"/>
          <w:lang w:val="en-ZA"/>
        </w:rPr>
        <w:tab/>
      </w:r>
      <w:r w:rsidR="00630B29">
        <w:rPr>
          <w:u w:val="none"/>
          <w:lang w:val="en-ZA"/>
        </w:rPr>
        <w:tab/>
      </w:r>
      <w:r w:rsidR="00DF6BCB">
        <w:rPr>
          <w:u w:val="none"/>
          <w:lang w:val="en-ZA"/>
        </w:rPr>
        <w:t xml:space="preserve">  </w:t>
      </w:r>
    </w:p>
    <w:p w:rsidR="00F3309A" w:rsidRDefault="00F3309A" w:rsidP="00F3309A">
      <w:pPr>
        <w:tabs>
          <w:tab w:val="right" w:pos="0"/>
        </w:tabs>
        <w:jc w:val="both"/>
        <w:rPr>
          <w:u w:val="none"/>
          <w:lang w:val="en-ZA"/>
        </w:rPr>
      </w:pPr>
    </w:p>
    <w:p w:rsidR="00DF6BCB" w:rsidRDefault="00F3309A" w:rsidP="00F3309A">
      <w:pPr>
        <w:tabs>
          <w:tab w:val="right" w:pos="0"/>
        </w:tabs>
        <w:spacing w:line="360" w:lineRule="auto"/>
        <w:jc w:val="both"/>
        <w:rPr>
          <w:u w:val="none"/>
          <w:lang w:val="en-ZA"/>
        </w:rPr>
      </w:pPr>
      <w:r>
        <w:rPr>
          <w:u w:val="none"/>
          <w:lang w:val="en-ZA"/>
        </w:rPr>
        <w:t>On behalf of the respondents</w:t>
      </w:r>
      <w:r>
        <w:rPr>
          <w:u w:val="none"/>
          <w:lang w:val="en-ZA"/>
        </w:rPr>
        <w:tab/>
        <w:t xml:space="preserve">:  </w:t>
      </w:r>
      <w:r w:rsidR="00B00985">
        <w:rPr>
          <w:u w:val="none"/>
          <w:lang w:val="en-ZA"/>
        </w:rPr>
        <w:t>Adv I Green SC</w:t>
      </w:r>
    </w:p>
    <w:p w:rsidR="00720740" w:rsidRDefault="00720740" w:rsidP="00F3309A">
      <w:pPr>
        <w:tabs>
          <w:tab w:val="right" w:pos="0"/>
        </w:tabs>
        <w:spacing w:line="360" w:lineRule="auto"/>
        <w:jc w:val="both"/>
        <w:rPr>
          <w:u w:val="none"/>
          <w:lang w:val="en-ZA"/>
        </w:rPr>
      </w:pPr>
      <w:r>
        <w:rPr>
          <w:u w:val="none"/>
          <w:lang w:val="en-ZA"/>
        </w:rPr>
        <w:tab/>
      </w:r>
      <w:r>
        <w:rPr>
          <w:u w:val="none"/>
          <w:lang w:val="en-ZA"/>
        </w:rPr>
        <w:tab/>
      </w:r>
      <w:r>
        <w:rPr>
          <w:u w:val="none"/>
          <w:lang w:val="en-ZA"/>
        </w:rPr>
        <w:tab/>
      </w:r>
      <w:r>
        <w:rPr>
          <w:u w:val="none"/>
          <w:lang w:val="en-ZA"/>
        </w:rPr>
        <w:tab/>
      </w:r>
      <w:r>
        <w:rPr>
          <w:u w:val="none"/>
          <w:lang w:val="en-ZA"/>
        </w:rPr>
        <w:tab/>
      </w:r>
      <w:r w:rsidR="00EE5546">
        <w:rPr>
          <w:u w:val="none"/>
          <w:lang w:val="en-ZA"/>
        </w:rPr>
        <w:t xml:space="preserve">   </w:t>
      </w:r>
      <w:r>
        <w:rPr>
          <w:u w:val="none"/>
          <w:lang w:val="en-ZA"/>
        </w:rPr>
        <w:t>R Ismail</w:t>
      </w:r>
    </w:p>
    <w:p w:rsidR="00F3309A" w:rsidRDefault="00DF6BCB" w:rsidP="00F3309A">
      <w:pPr>
        <w:tabs>
          <w:tab w:val="right" w:pos="0"/>
        </w:tabs>
        <w:spacing w:line="360" w:lineRule="auto"/>
        <w:jc w:val="both"/>
        <w:rPr>
          <w:u w:val="none"/>
          <w:lang w:val="en-ZA"/>
        </w:rPr>
      </w:pPr>
      <w:r>
        <w:rPr>
          <w:u w:val="none"/>
          <w:lang w:val="en-ZA"/>
        </w:rPr>
        <w:tab/>
      </w:r>
      <w:r>
        <w:rPr>
          <w:u w:val="none"/>
          <w:lang w:val="en-ZA"/>
        </w:rPr>
        <w:tab/>
      </w:r>
      <w:r>
        <w:rPr>
          <w:u w:val="none"/>
          <w:lang w:val="en-ZA"/>
        </w:rPr>
        <w:tab/>
      </w:r>
      <w:r>
        <w:rPr>
          <w:u w:val="none"/>
          <w:lang w:val="en-ZA"/>
        </w:rPr>
        <w:tab/>
      </w:r>
      <w:r>
        <w:rPr>
          <w:u w:val="none"/>
          <w:lang w:val="en-ZA"/>
        </w:rPr>
        <w:tab/>
      </w:r>
    </w:p>
    <w:p w:rsidR="00F3309A" w:rsidRDefault="00F3309A" w:rsidP="00F3309A">
      <w:pPr>
        <w:tabs>
          <w:tab w:val="right" w:pos="0"/>
        </w:tabs>
        <w:spacing w:line="360" w:lineRule="auto"/>
        <w:jc w:val="both"/>
        <w:rPr>
          <w:u w:val="none"/>
          <w:lang w:val="en-ZA"/>
        </w:rPr>
      </w:pPr>
      <w:r>
        <w:rPr>
          <w:u w:val="none"/>
          <w:lang w:val="en-ZA"/>
        </w:rPr>
        <w:t xml:space="preserve">Instructed by                           </w:t>
      </w:r>
      <w:r>
        <w:rPr>
          <w:u w:val="none"/>
          <w:lang w:val="en-ZA"/>
        </w:rPr>
        <w:tab/>
        <w:t xml:space="preserve">:  </w:t>
      </w:r>
      <w:r w:rsidR="00B00985">
        <w:rPr>
          <w:u w:val="none"/>
          <w:lang w:val="en-ZA"/>
        </w:rPr>
        <w:t>Webber Wentzel</w:t>
      </w:r>
      <w:r w:rsidR="00630B29">
        <w:rPr>
          <w:u w:val="none"/>
          <w:lang w:val="en-ZA"/>
        </w:rPr>
        <w:tab/>
      </w:r>
      <w:r w:rsidR="00630B29">
        <w:rPr>
          <w:u w:val="none"/>
          <w:lang w:val="en-ZA"/>
        </w:rPr>
        <w:tab/>
      </w:r>
      <w:r w:rsidR="00630B29">
        <w:rPr>
          <w:u w:val="none"/>
          <w:lang w:val="en-ZA"/>
        </w:rPr>
        <w:tab/>
      </w:r>
      <w:r w:rsidR="00630B29">
        <w:rPr>
          <w:u w:val="none"/>
          <w:lang w:val="en-ZA"/>
        </w:rPr>
        <w:tab/>
      </w:r>
      <w:r w:rsidR="00630B29">
        <w:rPr>
          <w:u w:val="none"/>
          <w:lang w:val="en-ZA"/>
        </w:rPr>
        <w:tab/>
      </w:r>
    </w:p>
    <w:p w:rsidR="00F3309A" w:rsidRDefault="00F3309A" w:rsidP="00F3309A">
      <w:pPr>
        <w:tabs>
          <w:tab w:val="right" w:pos="0"/>
        </w:tabs>
        <w:spacing w:line="360" w:lineRule="auto"/>
        <w:jc w:val="both"/>
        <w:rPr>
          <w:u w:val="none"/>
          <w:lang w:val="en-ZA"/>
        </w:rPr>
      </w:pPr>
    </w:p>
    <w:p w:rsidR="00F3309A" w:rsidRDefault="00F3309A" w:rsidP="00F3309A">
      <w:pPr>
        <w:tabs>
          <w:tab w:val="right" w:pos="0"/>
        </w:tabs>
        <w:spacing w:line="360" w:lineRule="auto"/>
        <w:jc w:val="both"/>
        <w:rPr>
          <w:u w:val="none"/>
          <w:lang w:val="en-ZA"/>
        </w:rPr>
      </w:pPr>
      <w:r>
        <w:rPr>
          <w:u w:val="none"/>
          <w:lang w:val="en-ZA"/>
        </w:rPr>
        <w:t xml:space="preserve">Date of hearing                              : </w:t>
      </w:r>
      <w:r w:rsidR="00D50294">
        <w:rPr>
          <w:u w:val="none"/>
          <w:lang w:val="en-ZA"/>
        </w:rPr>
        <w:t>23 February 2022</w:t>
      </w:r>
    </w:p>
    <w:p w:rsidR="00F3309A" w:rsidRDefault="00F3309A" w:rsidP="003818C2">
      <w:pPr>
        <w:tabs>
          <w:tab w:val="right" w:pos="0"/>
        </w:tabs>
        <w:spacing w:line="360" w:lineRule="auto"/>
        <w:jc w:val="both"/>
      </w:pPr>
      <w:r>
        <w:rPr>
          <w:u w:val="none"/>
          <w:lang w:val="en-ZA"/>
        </w:rPr>
        <w:t xml:space="preserve">Date of judgment                          </w:t>
      </w:r>
      <w:r>
        <w:rPr>
          <w:u w:val="none"/>
          <w:lang w:val="en-ZA"/>
        </w:rPr>
        <w:tab/>
        <w:t xml:space="preserve"> : </w:t>
      </w:r>
      <w:r w:rsidR="00947772">
        <w:rPr>
          <w:u w:val="none"/>
          <w:lang w:val="en-ZA"/>
        </w:rPr>
        <w:t>20</w:t>
      </w:r>
      <w:r w:rsidR="00BB47A5">
        <w:rPr>
          <w:u w:val="none"/>
          <w:lang w:val="en-ZA"/>
        </w:rPr>
        <w:t xml:space="preserve"> February 2023</w:t>
      </w:r>
    </w:p>
    <w:p w:rsidR="00F3309A" w:rsidRDefault="00F3309A" w:rsidP="00F3309A"/>
    <w:p w:rsidR="0089552F" w:rsidRDefault="0089552F"/>
    <w:sectPr w:rsidR="0089552F" w:rsidSect="0021227A">
      <w:headerReference w:type="even" r:id="rId11"/>
      <w:headerReference w:type="default" r:id="rId12"/>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E60" w:rsidRDefault="00A41E60">
      <w:r>
        <w:separator/>
      </w:r>
    </w:p>
  </w:endnote>
  <w:endnote w:type="continuationSeparator" w:id="0">
    <w:p w:rsidR="00A41E60" w:rsidRDefault="00A4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20B07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E60" w:rsidRDefault="00A41E60">
      <w:r>
        <w:separator/>
      </w:r>
    </w:p>
  </w:footnote>
  <w:footnote w:type="continuationSeparator" w:id="0">
    <w:p w:rsidR="00A41E60" w:rsidRDefault="00A41E60">
      <w:r>
        <w:continuationSeparator/>
      </w:r>
    </w:p>
  </w:footnote>
  <w:footnote w:id="1">
    <w:p w:rsidR="00DB4BCF" w:rsidRPr="00025B65" w:rsidRDefault="00DB4BCF">
      <w:pPr>
        <w:pStyle w:val="FootnoteText"/>
        <w:rPr>
          <w:lang w:val="en-ZA"/>
        </w:rPr>
      </w:pPr>
      <w:r w:rsidRPr="00025B65">
        <w:rPr>
          <w:rStyle w:val="FootnoteReference"/>
          <w:u w:val="none"/>
        </w:rPr>
        <w:footnoteRef/>
      </w:r>
      <w:r w:rsidRPr="00025B65">
        <w:rPr>
          <w:u w:val="none"/>
        </w:rPr>
        <w:t xml:space="preserve"> </w:t>
      </w:r>
      <w:r w:rsidR="00487613" w:rsidRPr="00025B65">
        <w:rPr>
          <w:i/>
          <w:u w:val="none"/>
        </w:rPr>
        <w:t>Guard Risk Insurance Company v Café Chameleon</w:t>
      </w:r>
      <w:r w:rsidR="00487613" w:rsidRPr="00025B65">
        <w:rPr>
          <w:u w:val="none"/>
        </w:rPr>
        <w:t xml:space="preserve"> </w:t>
      </w:r>
      <w:r w:rsidRPr="00025B65">
        <w:rPr>
          <w:u w:val="none"/>
        </w:rPr>
        <w:t>[</w:t>
      </w:r>
      <w:r>
        <w:rPr>
          <w:u w:val="none"/>
        </w:rPr>
        <w:t xml:space="preserve">2021] 1 </w:t>
      </w:r>
      <w:r w:rsidR="00487613">
        <w:rPr>
          <w:u w:val="none"/>
        </w:rPr>
        <w:t xml:space="preserve">All </w:t>
      </w:r>
      <w:r>
        <w:rPr>
          <w:u w:val="none"/>
        </w:rPr>
        <w:t>SA 707</w:t>
      </w:r>
      <w:r w:rsidR="00190A81">
        <w:rPr>
          <w:u w:val="none"/>
        </w:rPr>
        <w:t xml:space="preserve"> </w:t>
      </w:r>
      <w:r w:rsidR="00487613">
        <w:rPr>
          <w:u w:val="none"/>
        </w:rPr>
        <w:t xml:space="preserve">(SCA) </w:t>
      </w:r>
    </w:p>
  </w:footnote>
  <w:footnote w:id="2">
    <w:p w:rsidR="00C21F51" w:rsidRDefault="00DB4BCF" w:rsidP="00C21F51">
      <w:pPr>
        <w:pStyle w:val="FootnoteText"/>
        <w:rPr>
          <w:u w:val="none"/>
        </w:rPr>
      </w:pPr>
      <w:r w:rsidRPr="005E15E2">
        <w:rPr>
          <w:rStyle w:val="FootnoteReference"/>
          <w:u w:val="none"/>
        </w:rPr>
        <w:footnoteRef/>
      </w:r>
      <w:r w:rsidR="00C21F51">
        <w:rPr>
          <w:u w:val="none"/>
        </w:rPr>
        <w:t>May on </w:t>
      </w:r>
      <w:r w:rsidR="00C21F51" w:rsidRPr="0020530E">
        <w:rPr>
          <w:i/>
          <w:u w:val="none"/>
        </w:rPr>
        <w:t>Insurance</w:t>
      </w:r>
      <w:r w:rsidR="00C21F51">
        <w:rPr>
          <w:u w:val="none"/>
        </w:rPr>
        <w:t xml:space="preserve"> (4ed) at 174- 5 cited with approval in </w:t>
      </w:r>
      <w:r w:rsidR="00C21F51" w:rsidRPr="0020530E">
        <w:rPr>
          <w:i/>
          <w:u w:val="none"/>
        </w:rPr>
        <w:t>Kliptown Clothing Industries (Pty) Ltd v Marine and Trade Insurance Co of SA Ltd</w:t>
      </w:r>
      <w:r w:rsidR="00C21F51">
        <w:rPr>
          <w:u w:val="none"/>
        </w:rPr>
        <w:t xml:space="preserve"> 1961 (1)  SA 103 (A) at 107A-B</w:t>
      </w:r>
    </w:p>
    <w:p w:rsidR="00C21F51" w:rsidRDefault="00C21F51" w:rsidP="00C21F51">
      <w:pPr>
        <w:pStyle w:val="FootnoteText"/>
        <w:rPr>
          <w:u w:val="none"/>
        </w:rPr>
      </w:pPr>
      <w:r w:rsidRPr="005E15E2">
        <w:rPr>
          <w:u w:val="none"/>
        </w:rPr>
        <w:t>[also reported at [1961] 1 All SA 385 (A) </w:t>
      </w:r>
      <w:r w:rsidRPr="005E15E2">
        <w:rPr>
          <w:u w:val="none"/>
        </w:rPr>
        <w:softHyphen/>
        <w:t> Ed]. However, the recent statement in </w:t>
      </w:r>
      <w:r w:rsidRPr="0020530E">
        <w:rPr>
          <w:i/>
          <w:u w:val="none"/>
        </w:rPr>
        <w:t>Ma- Afrika Hotels and Another v Santam Limited</w:t>
      </w:r>
      <w:r>
        <w:rPr>
          <w:u w:val="none"/>
        </w:rPr>
        <w:t xml:space="preserve"> [2020] ZAWCHC 160 [reported] at [2020]</w:t>
      </w:r>
      <w:r w:rsidRPr="005E15E2">
        <w:rPr>
          <w:u w:val="none"/>
        </w:rPr>
        <w:t> JOL 48995 (WCC) </w:t>
      </w:r>
      <w:r w:rsidRPr="005E15E2">
        <w:rPr>
          <w:u w:val="none"/>
        </w:rPr>
        <w:softHyphen/>
      </w:r>
      <w:r>
        <w:rPr>
          <w:u w:val="none"/>
        </w:rPr>
        <w:t xml:space="preserve"> Ed] at para does not accord with our law. It reads “Insurance is intended to serve as a social safety net to cover financially devastating losses and compensate injured parties. This is precisely the safety net required as a result of the unprecedented Covid 19 pandemic.” </w:t>
      </w:r>
    </w:p>
    <w:p w:rsidR="00DB4BCF" w:rsidRPr="005E15E2" w:rsidRDefault="00DB4BCF" w:rsidP="00B15EE3">
      <w:pPr>
        <w:pStyle w:val="FootnoteText"/>
        <w:rPr>
          <w:u w:val="none"/>
          <w:lang w:val="en-ZA"/>
        </w:rPr>
      </w:pPr>
    </w:p>
  </w:footnote>
  <w:footnote w:id="3">
    <w:p w:rsidR="00190A81" w:rsidRPr="00EC7CC7" w:rsidRDefault="00190A81">
      <w:pPr>
        <w:pStyle w:val="FootnoteText"/>
        <w:rPr>
          <w:u w:val="none"/>
          <w:lang w:val="en-ZA"/>
        </w:rPr>
      </w:pPr>
      <w:r w:rsidRPr="00EC7CC7">
        <w:rPr>
          <w:rStyle w:val="FootnoteReference"/>
          <w:u w:val="none"/>
        </w:rPr>
        <w:footnoteRef/>
      </w:r>
      <w:r w:rsidRPr="00EC7CC7">
        <w:rPr>
          <w:u w:val="none"/>
        </w:rPr>
        <w:t xml:space="preserve"> </w:t>
      </w:r>
      <w:r w:rsidRPr="00EC7CC7">
        <w:rPr>
          <w:u w:val="none"/>
          <w:lang w:val="en-ZA"/>
        </w:rPr>
        <w:t xml:space="preserve">At para </w:t>
      </w:r>
      <w:r w:rsidR="00EC7CC7">
        <w:rPr>
          <w:u w:val="none"/>
          <w:lang w:val="en-ZA"/>
        </w:rPr>
        <w:t>[</w:t>
      </w:r>
      <w:r w:rsidRPr="00EC7CC7">
        <w:rPr>
          <w:u w:val="none"/>
          <w:lang w:val="en-ZA"/>
        </w:rPr>
        <w:t>12</w:t>
      </w:r>
      <w:r w:rsidR="00EC7CC7">
        <w:rPr>
          <w:u w:val="none"/>
          <w:lang w:val="en-ZA"/>
        </w:rPr>
        <w:t>]</w:t>
      </w:r>
    </w:p>
  </w:footnote>
  <w:footnote w:id="4">
    <w:p w:rsidR="00BA41C3" w:rsidRPr="00A96088" w:rsidRDefault="00BA41C3" w:rsidP="00BA41C3">
      <w:pPr>
        <w:pStyle w:val="FootnoteText"/>
        <w:rPr>
          <w:u w:val="none"/>
          <w:lang w:val="en-ZA"/>
        </w:rPr>
      </w:pPr>
      <w:r w:rsidRPr="00A96088">
        <w:rPr>
          <w:rStyle w:val="FootnoteReference"/>
          <w:u w:val="none"/>
        </w:rPr>
        <w:footnoteRef/>
      </w:r>
      <w:r w:rsidRPr="00A96088">
        <w:rPr>
          <w:u w:val="none"/>
        </w:rPr>
        <w:t xml:space="preserve"> </w:t>
      </w:r>
      <w:r w:rsidRPr="00A96088">
        <w:rPr>
          <w:u w:val="none"/>
          <w:lang w:val="en-ZA"/>
        </w:rPr>
        <w:t>See Annexure C above</w:t>
      </w:r>
    </w:p>
  </w:footnote>
  <w:footnote w:id="5">
    <w:p w:rsidR="00DB4BCF" w:rsidRPr="00A94E4E" w:rsidRDefault="00DB4BCF">
      <w:pPr>
        <w:pStyle w:val="FootnoteText"/>
        <w:rPr>
          <w:lang w:val="en-ZA"/>
        </w:rPr>
      </w:pPr>
      <w:r>
        <w:rPr>
          <w:rStyle w:val="FootnoteReference"/>
        </w:rPr>
        <w:footnoteRef/>
      </w:r>
      <w:r>
        <w:rPr>
          <w:u w:val="none"/>
        </w:rPr>
        <w:t xml:space="preserve">Caselines 001-122, </w:t>
      </w:r>
      <w:r w:rsidRPr="00446390">
        <w:rPr>
          <w:u w:val="none"/>
          <w:lang w:val="en-ZA"/>
        </w:rPr>
        <w:t>General Condition 1(a) (iii)</w:t>
      </w:r>
      <w:r>
        <w:rPr>
          <w:u w:val="none"/>
          <w:lang w:val="en-ZA"/>
        </w:rPr>
        <w:t xml:space="preserve"> and 001-152 Specific Condition 2</w:t>
      </w:r>
      <w:r>
        <w:t xml:space="preserve"> </w:t>
      </w:r>
    </w:p>
  </w:footnote>
  <w:footnote w:id="6">
    <w:p w:rsidR="000B34CD" w:rsidRPr="00915634" w:rsidRDefault="000B34CD" w:rsidP="000B34CD">
      <w:pPr>
        <w:pStyle w:val="FootnoteText"/>
        <w:rPr>
          <w:u w:val="none"/>
          <w:lang w:val="en-ZA"/>
        </w:rPr>
      </w:pPr>
      <w:r w:rsidRPr="0020530E">
        <w:rPr>
          <w:rStyle w:val="FootnoteReference"/>
          <w:u w:val="none"/>
        </w:rPr>
        <w:footnoteRef/>
      </w:r>
      <w:r w:rsidRPr="0020530E">
        <w:rPr>
          <w:u w:val="none"/>
        </w:rPr>
        <w:t xml:space="preserve"> </w:t>
      </w:r>
      <w:r w:rsidRPr="00915634">
        <w:rPr>
          <w:u w:val="none"/>
        </w:rPr>
        <w:t xml:space="preserve">Birds J, Lynch B, Paul S MacGillavray On Insurance Law – Relating to All Risks Other than Marine </w:t>
      </w:r>
      <w:r w:rsidRPr="00915634">
        <w:rPr>
          <w:u w:val="none"/>
          <w:lang w:val="en-ZA"/>
        </w:rPr>
        <w:t>1-202 Sweet and Maxwell 4</w:t>
      </w:r>
      <w:r w:rsidRPr="00915634">
        <w:rPr>
          <w:u w:val="none"/>
          <w:vertAlign w:val="superscript"/>
          <w:lang w:val="en-ZA"/>
        </w:rPr>
        <w:t>th</w:t>
      </w:r>
      <w:r w:rsidRPr="00915634">
        <w:rPr>
          <w:u w:val="none"/>
          <w:lang w:val="en-ZA"/>
        </w:rPr>
        <w:t xml:space="preserve"> Ed.</w:t>
      </w:r>
      <w:r>
        <w:rPr>
          <w:u w:val="none"/>
          <w:lang w:val="en-ZA"/>
        </w:rPr>
        <w:t xml:space="preserve"> </w:t>
      </w:r>
      <w:r>
        <w:rPr>
          <w:u w:val="none"/>
        </w:rPr>
        <w:t>at para1-202</w:t>
      </w:r>
    </w:p>
    <w:p w:rsidR="000B34CD" w:rsidRPr="0020530E" w:rsidRDefault="000B34CD" w:rsidP="000B34CD">
      <w:pPr>
        <w:pStyle w:val="FootnoteText"/>
        <w:rPr>
          <w:lang w:val="en-ZA"/>
        </w:rPr>
      </w:pPr>
    </w:p>
  </w:footnote>
  <w:footnote w:id="7">
    <w:p w:rsidR="000B34CD" w:rsidRPr="0020530E" w:rsidRDefault="000B34CD" w:rsidP="000B34CD">
      <w:pPr>
        <w:spacing w:line="360" w:lineRule="auto"/>
        <w:jc w:val="both"/>
        <w:rPr>
          <w:sz w:val="20"/>
          <w:szCs w:val="20"/>
          <w:u w:val="none"/>
        </w:rPr>
      </w:pPr>
      <w:r w:rsidRPr="0020530E">
        <w:rPr>
          <w:rStyle w:val="FootnoteReference"/>
          <w:sz w:val="20"/>
          <w:szCs w:val="20"/>
          <w:u w:val="none"/>
        </w:rPr>
        <w:footnoteRef/>
      </w:r>
      <w:r w:rsidRPr="0020530E">
        <w:rPr>
          <w:sz w:val="20"/>
          <w:szCs w:val="20"/>
          <w:u w:val="none"/>
        </w:rPr>
        <w:t xml:space="preserve"> </w:t>
      </w:r>
      <w:r>
        <w:rPr>
          <w:sz w:val="20"/>
          <w:szCs w:val="20"/>
          <w:u w:val="none"/>
        </w:rPr>
        <w:t>As above,</w:t>
      </w:r>
      <w:r w:rsidRPr="0020530E">
        <w:rPr>
          <w:sz w:val="20"/>
          <w:szCs w:val="20"/>
          <w:u w:val="none"/>
        </w:rPr>
        <w:t xml:space="preserve"> para 1-204</w:t>
      </w:r>
    </w:p>
    <w:p w:rsidR="000B34CD" w:rsidRPr="00B725A9" w:rsidRDefault="000B34CD" w:rsidP="000B34CD">
      <w:pPr>
        <w:pStyle w:val="FootnoteText"/>
        <w:rPr>
          <w:u w:val="none"/>
          <w:lang w:val="en-ZA"/>
        </w:rPr>
      </w:pPr>
    </w:p>
  </w:footnote>
  <w:footnote w:id="8">
    <w:p w:rsidR="00B725A9" w:rsidRPr="00B725A9" w:rsidRDefault="00B725A9">
      <w:pPr>
        <w:pStyle w:val="FootnoteText"/>
        <w:rPr>
          <w:lang w:val="en-ZA"/>
        </w:rPr>
      </w:pPr>
      <w:r w:rsidRPr="00B725A9">
        <w:rPr>
          <w:rStyle w:val="FootnoteReference"/>
          <w:u w:val="none"/>
        </w:rPr>
        <w:footnoteRef/>
      </w:r>
      <w:r w:rsidRPr="00B725A9">
        <w:rPr>
          <w:u w:val="none"/>
        </w:rPr>
        <w:t xml:space="preserve"> </w:t>
      </w:r>
      <w:r w:rsidRPr="00B725A9">
        <w:rPr>
          <w:u w:val="none"/>
          <w:lang w:val="en-ZA"/>
        </w:rPr>
        <w:t>A</w:t>
      </w:r>
      <w:r>
        <w:rPr>
          <w:u w:val="none"/>
          <w:lang w:val="en-ZA"/>
        </w:rPr>
        <w:t>bove p</w:t>
      </w:r>
      <w:r w:rsidRPr="00B725A9">
        <w:rPr>
          <w:u w:val="none"/>
          <w:lang w:val="en-ZA"/>
        </w:rPr>
        <w:t>ar</w:t>
      </w:r>
      <w:r>
        <w:rPr>
          <w:u w:val="none"/>
          <w:lang w:val="en-ZA"/>
        </w:rPr>
        <w:t>a</w:t>
      </w:r>
      <w:r w:rsidRPr="00B725A9">
        <w:rPr>
          <w:u w:val="none"/>
          <w:lang w:val="en-ZA"/>
        </w:rPr>
        <w:t xml:space="preserve"> [39]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BCF" w:rsidRDefault="00DB4BCF" w:rsidP="002122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BCF" w:rsidRDefault="00DB4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BCF" w:rsidRPr="00165851" w:rsidRDefault="00DB4BCF" w:rsidP="0021227A">
    <w:pPr>
      <w:pStyle w:val="Header"/>
      <w:framePr w:wrap="around" w:vAnchor="text" w:hAnchor="margin" w:xAlign="center" w:y="1"/>
      <w:rPr>
        <w:rStyle w:val="PageNumber"/>
        <w:u w:val="none"/>
      </w:rPr>
    </w:pPr>
    <w:r w:rsidRPr="00165851">
      <w:rPr>
        <w:rStyle w:val="PageNumber"/>
        <w:u w:val="none"/>
      </w:rPr>
      <w:fldChar w:fldCharType="begin"/>
    </w:r>
    <w:r w:rsidRPr="00165851">
      <w:rPr>
        <w:rStyle w:val="PageNumber"/>
        <w:u w:val="none"/>
      </w:rPr>
      <w:instrText xml:space="preserve">PAGE  </w:instrText>
    </w:r>
    <w:r w:rsidRPr="00165851">
      <w:rPr>
        <w:rStyle w:val="PageNumber"/>
        <w:u w:val="none"/>
      </w:rPr>
      <w:fldChar w:fldCharType="separate"/>
    </w:r>
    <w:r w:rsidR="00103486">
      <w:rPr>
        <w:rStyle w:val="PageNumber"/>
        <w:noProof/>
        <w:u w:val="none"/>
      </w:rPr>
      <w:t>3</w:t>
    </w:r>
    <w:r w:rsidRPr="00165851">
      <w:rPr>
        <w:rStyle w:val="PageNumber"/>
        <w:u w:val="none"/>
      </w:rPr>
      <w:fldChar w:fldCharType="end"/>
    </w:r>
  </w:p>
  <w:p w:rsidR="00DB4BCF" w:rsidRDefault="00DB4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40B92A67"/>
    <w:multiLevelType w:val="hybridMultilevel"/>
    <w:tmpl w:val="FC0CEF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4345BC0"/>
    <w:multiLevelType w:val="hybridMultilevel"/>
    <w:tmpl w:val="1A2A3C5A"/>
    <w:lvl w:ilvl="0" w:tplc="6CC676E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yMrY0MbQ0NDU1NTNU0lEKTi0uzszPAykwqQUA7gBViywAAAA="/>
    <w:docVar w:name="dgnword-docGUID" w:val="{3263ED0B-B257-46C6-82C3-CBA71DEF79D0}"/>
    <w:docVar w:name="dgnword-eventsink" w:val="2457729303936"/>
  </w:docVars>
  <w:rsids>
    <w:rsidRoot w:val="00F3309A"/>
    <w:rsid w:val="00006310"/>
    <w:rsid w:val="00025B65"/>
    <w:rsid w:val="000359FE"/>
    <w:rsid w:val="00051793"/>
    <w:rsid w:val="00063906"/>
    <w:rsid w:val="00063CA9"/>
    <w:rsid w:val="000731F9"/>
    <w:rsid w:val="000756F2"/>
    <w:rsid w:val="000775A4"/>
    <w:rsid w:val="000A2772"/>
    <w:rsid w:val="000B34CD"/>
    <w:rsid w:val="000C1C82"/>
    <w:rsid w:val="000D2040"/>
    <w:rsid w:val="000D5938"/>
    <w:rsid w:val="000E5F37"/>
    <w:rsid w:val="000F2A28"/>
    <w:rsid w:val="000F4832"/>
    <w:rsid w:val="000F5F5E"/>
    <w:rsid w:val="00100497"/>
    <w:rsid w:val="00103486"/>
    <w:rsid w:val="00112D5F"/>
    <w:rsid w:val="0012159A"/>
    <w:rsid w:val="00121BD2"/>
    <w:rsid w:val="001223BE"/>
    <w:rsid w:val="00127420"/>
    <w:rsid w:val="00131D9D"/>
    <w:rsid w:val="00151310"/>
    <w:rsid w:val="00171857"/>
    <w:rsid w:val="00176832"/>
    <w:rsid w:val="0017791A"/>
    <w:rsid w:val="00180851"/>
    <w:rsid w:val="001843E3"/>
    <w:rsid w:val="00190A81"/>
    <w:rsid w:val="00196CB3"/>
    <w:rsid w:val="001A3B8C"/>
    <w:rsid w:val="001B041B"/>
    <w:rsid w:val="001B2DCA"/>
    <w:rsid w:val="001B7095"/>
    <w:rsid w:val="001B7FF7"/>
    <w:rsid w:val="001C43F4"/>
    <w:rsid w:val="001E00B0"/>
    <w:rsid w:val="001E27DA"/>
    <w:rsid w:val="002058C6"/>
    <w:rsid w:val="002078E9"/>
    <w:rsid w:val="0021227A"/>
    <w:rsid w:val="00215C91"/>
    <w:rsid w:val="00215E1E"/>
    <w:rsid w:val="0021696D"/>
    <w:rsid w:val="00255EA3"/>
    <w:rsid w:val="002754C6"/>
    <w:rsid w:val="002A4CD6"/>
    <w:rsid w:val="002B46A2"/>
    <w:rsid w:val="002C1D4A"/>
    <w:rsid w:val="002C59F8"/>
    <w:rsid w:val="002C7D8D"/>
    <w:rsid w:val="002D0745"/>
    <w:rsid w:val="002D0C8D"/>
    <w:rsid w:val="002E03FB"/>
    <w:rsid w:val="002F2D15"/>
    <w:rsid w:val="002F3909"/>
    <w:rsid w:val="003051F1"/>
    <w:rsid w:val="0030711B"/>
    <w:rsid w:val="003144A9"/>
    <w:rsid w:val="0033070E"/>
    <w:rsid w:val="003507F7"/>
    <w:rsid w:val="003578B9"/>
    <w:rsid w:val="00361A85"/>
    <w:rsid w:val="0036201A"/>
    <w:rsid w:val="003632D7"/>
    <w:rsid w:val="003818C2"/>
    <w:rsid w:val="0038326D"/>
    <w:rsid w:val="00383602"/>
    <w:rsid w:val="00387A8F"/>
    <w:rsid w:val="00390155"/>
    <w:rsid w:val="00394363"/>
    <w:rsid w:val="003B4038"/>
    <w:rsid w:val="003B7997"/>
    <w:rsid w:val="003C30EA"/>
    <w:rsid w:val="003C5BBC"/>
    <w:rsid w:val="003E3A10"/>
    <w:rsid w:val="003F1EFB"/>
    <w:rsid w:val="003F4A8F"/>
    <w:rsid w:val="00410BCD"/>
    <w:rsid w:val="0042084D"/>
    <w:rsid w:val="00423FFF"/>
    <w:rsid w:val="0043329F"/>
    <w:rsid w:val="0043754F"/>
    <w:rsid w:val="0044305C"/>
    <w:rsid w:val="00443FA2"/>
    <w:rsid w:val="00446390"/>
    <w:rsid w:val="00455BFB"/>
    <w:rsid w:val="00470DC0"/>
    <w:rsid w:val="00472823"/>
    <w:rsid w:val="00483686"/>
    <w:rsid w:val="00485896"/>
    <w:rsid w:val="00487613"/>
    <w:rsid w:val="00493BAB"/>
    <w:rsid w:val="00494F3B"/>
    <w:rsid w:val="004970FA"/>
    <w:rsid w:val="004A2474"/>
    <w:rsid w:val="004B2AF2"/>
    <w:rsid w:val="004C5A95"/>
    <w:rsid w:val="004E3E8F"/>
    <w:rsid w:val="004E642B"/>
    <w:rsid w:val="004F1216"/>
    <w:rsid w:val="004F533F"/>
    <w:rsid w:val="00504DC0"/>
    <w:rsid w:val="00505A2A"/>
    <w:rsid w:val="00510566"/>
    <w:rsid w:val="0051227C"/>
    <w:rsid w:val="00531B74"/>
    <w:rsid w:val="00534990"/>
    <w:rsid w:val="00567BA6"/>
    <w:rsid w:val="005774D8"/>
    <w:rsid w:val="00577A6B"/>
    <w:rsid w:val="00595468"/>
    <w:rsid w:val="00596BA6"/>
    <w:rsid w:val="00597909"/>
    <w:rsid w:val="005A29B7"/>
    <w:rsid w:val="005A35E2"/>
    <w:rsid w:val="005A6D9A"/>
    <w:rsid w:val="005B11FD"/>
    <w:rsid w:val="005B242F"/>
    <w:rsid w:val="005C490F"/>
    <w:rsid w:val="005E125D"/>
    <w:rsid w:val="005E15E2"/>
    <w:rsid w:val="00600CCF"/>
    <w:rsid w:val="0060543C"/>
    <w:rsid w:val="00616460"/>
    <w:rsid w:val="00617DFD"/>
    <w:rsid w:val="00630B29"/>
    <w:rsid w:val="00631CFB"/>
    <w:rsid w:val="00645F2A"/>
    <w:rsid w:val="006501CE"/>
    <w:rsid w:val="00667570"/>
    <w:rsid w:val="006736C9"/>
    <w:rsid w:val="006750FC"/>
    <w:rsid w:val="00681012"/>
    <w:rsid w:val="006820B6"/>
    <w:rsid w:val="00686646"/>
    <w:rsid w:val="00686B51"/>
    <w:rsid w:val="006D00F2"/>
    <w:rsid w:val="006D261C"/>
    <w:rsid w:val="006F1CF8"/>
    <w:rsid w:val="006F47B3"/>
    <w:rsid w:val="00713750"/>
    <w:rsid w:val="00720740"/>
    <w:rsid w:val="007273F2"/>
    <w:rsid w:val="00734904"/>
    <w:rsid w:val="0073649F"/>
    <w:rsid w:val="0074027B"/>
    <w:rsid w:val="007548FE"/>
    <w:rsid w:val="00762784"/>
    <w:rsid w:val="00763203"/>
    <w:rsid w:val="00782C1C"/>
    <w:rsid w:val="007A7308"/>
    <w:rsid w:val="007A7BF8"/>
    <w:rsid w:val="007C2285"/>
    <w:rsid w:val="007C5196"/>
    <w:rsid w:val="007C6E92"/>
    <w:rsid w:val="007D0FF4"/>
    <w:rsid w:val="007D5354"/>
    <w:rsid w:val="00802A89"/>
    <w:rsid w:val="00806DE3"/>
    <w:rsid w:val="0080786B"/>
    <w:rsid w:val="008079EC"/>
    <w:rsid w:val="00823931"/>
    <w:rsid w:val="00827A52"/>
    <w:rsid w:val="0086728E"/>
    <w:rsid w:val="00877882"/>
    <w:rsid w:val="008807D6"/>
    <w:rsid w:val="00886A6F"/>
    <w:rsid w:val="0089552F"/>
    <w:rsid w:val="008A2A48"/>
    <w:rsid w:val="008B7C93"/>
    <w:rsid w:val="008C0C86"/>
    <w:rsid w:val="008C2C30"/>
    <w:rsid w:val="008C61EA"/>
    <w:rsid w:val="008E4E60"/>
    <w:rsid w:val="0091349F"/>
    <w:rsid w:val="00915634"/>
    <w:rsid w:val="0093071A"/>
    <w:rsid w:val="00947772"/>
    <w:rsid w:val="00960FB2"/>
    <w:rsid w:val="00966B02"/>
    <w:rsid w:val="00967AD7"/>
    <w:rsid w:val="00976281"/>
    <w:rsid w:val="009A3DBF"/>
    <w:rsid w:val="009B7BC5"/>
    <w:rsid w:val="009C306D"/>
    <w:rsid w:val="009D351D"/>
    <w:rsid w:val="009D4E05"/>
    <w:rsid w:val="009E5487"/>
    <w:rsid w:val="009F0044"/>
    <w:rsid w:val="009F7BD6"/>
    <w:rsid w:val="00A15085"/>
    <w:rsid w:val="00A27FEF"/>
    <w:rsid w:val="00A41E60"/>
    <w:rsid w:val="00A609A0"/>
    <w:rsid w:val="00A615FE"/>
    <w:rsid w:val="00A6492E"/>
    <w:rsid w:val="00A94E4E"/>
    <w:rsid w:val="00AB52FD"/>
    <w:rsid w:val="00AC30DD"/>
    <w:rsid w:val="00AC498B"/>
    <w:rsid w:val="00AC712E"/>
    <w:rsid w:val="00AC739D"/>
    <w:rsid w:val="00AE0C13"/>
    <w:rsid w:val="00AE7562"/>
    <w:rsid w:val="00AE7883"/>
    <w:rsid w:val="00AF3DDA"/>
    <w:rsid w:val="00AF7F9D"/>
    <w:rsid w:val="00B00985"/>
    <w:rsid w:val="00B119DE"/>
    <w:rsid w:val="00B1441D"/>
    <w:rsid w:val="00B15EE3"/>
    <w:rsid w:val="00B37CA2"/>
    <w:rsid w:val="00B51765"/>
    <w:rsid w:val="00B55AD7"/>
    <w:rsid w:val="00B56ACD"/>
    <w:rsid w:val="00B575CD"/>
    <w:rsid w:val="00B576F0"/>
    <w:rsid w:val="00B725A9"/>
    <w:rsid w:val="00B76298"/>
    <w:rsid w:val="00B90B36"/>
    <w:rsid w:val="00BA2085"/>
    <w:rsid w:val="00BA41C3"/>
    <w:rsid w:val="00BB47A5"/>
    <w:rsid w:val="00BC04F2"/>
    <w:rsid w:val="00BC2FFD"/>
    <w:rsid w:val="00BD3A53"/>
    <w:rsid w:val="00BF0308"/>
    <w:rsid w:val="00C078E6"/>
    <w:rsid w:val="00C15214"/>
    <w:rsid w:val="00C21F51"/>
    <w:rsid w:val="00C91596"/>
    <w:rsid w:val="00CD2496"/>
    <w:rsid w:val="00CD431C"/>
    <w:rsid w:val="00CF7C8A"/>
    <w:rsid w:val="00D02ECE"/>
    <w:rsid w:val="00D07901"/>
    <w:rsid w:val="00D17977"/>
    <w:rsid w:val="00D30EBB"/>
    <w:rsid w:val="00D3177E"/>
    <w:rsid w:val="00D44B95"/>
    <w:rsid w:val="00D45CA8"/>
    <w:rsid w:val="00D50294"/>
    <w:rsid w:val="00D62DF4"/>
    <w:rsid w:val="00D843D7"/>
    <w:rsid w:val="00D87308"/>
    <w:rsid w:val="00D87448"/>
    <w:rsid w:val="00D92D60"/>
    <w:rsid w:val="00DA7DCD"/>
    <w:rsid w:val="00DB10F3"/>
    <w:rsid w:val="00DB4BCF"/>
    <w:rsid w:val="00DE6324"/>
    <w:rsid w:val="00DF2329"/>
    <w:rsid w:val="00DF6BCB"/>
    <w:rsid w:val="00DF7C10"/>
    <w:rsid w:val="00E06A10"/>
    <w:rsid w:val="00E14D7A"/>
    <w:rsid w:val="00E20612"/>
    <w:rsid w:val="00E21604"/>
    <w:rsid w:val="00E25BE5"/>
    <w:rsid w:val="00E26083"/>
    <w:rsid w:val="00E332D2"/>
    <w:rsid w:val="00E33B04"/>
    <w:rsid w:val="00E35825"/>
    <w:rsid w:val="00E42433"/>
    <w:rsid w:val="00E432E6"/>
    <w:rsid w:val="00E4357F"/>
    <w:rsid w:val="00E54C70"/>
    <w:rsid w:val="00EC6BE0"/>
    <w:rsid w:val="00EC7CC7"/>
    <w:rsid w:val="00EE5546"/>
    <w:rsid w:val="00EF0938"/>
    <w:rsid w:val="00EF6FC4"/>
    <w:rsid w:val="00F0283B"/>
    <w:rsid w:val="00F04A2D"/>
    <w:rsid w:val="00F16069"/>
    <w:rsid w:val="00F32AA8"/>
    <w:rsid w:val="00F3309A"/>
    <w:rsid w:val="00F65945"/>
    <w:rsid w:val="00F7686F"/>
    <w:rsid w:val="00F947EF"/>
    <w:rsid w:val="00F97526"/>
    <w:rsid w:val="00F97602"/>
    <w:rsid w:val="00FC39FA"/>
    <w:rsid w:val="00FD25FF"/>
    <w:rsid w:val="00FE0AA3"/>
    <w:rsid w:val="00FF38C4"/>
    <w:rsid w:val="00FF6B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E751F00-8F50-4861-8042-E2B3FA05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09A"/>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309A"/>
    <w:pPr>
      <w:tabs>
        <w:tab w:val="center" w:pos="4153"/>
        <w:tab w:val="right" w:pos="8306"/>
      </w:tabs>
    </w:pPr>
  </w:style>
  <w:style w:type="character" w:customStyle="1" w:styleId="HeaderChar">
    <w:name w:val="Header Char"/>
    <w:basedOn w:val="DefaultParagraphFont"/>
    <w:link w:val="Header"/>
    <w:rsid w:val="00F3309A"/>
    <w:rPr>
      <w:rFonts w:ascii="Arial" w:eastAsia="Times New Roman" w:hAnsi="Arial" w:cs="Arial"/>
      <w:sz w:val="24"/>
      <w:szCs w:val="24"/>
      <w:u w:val="single"/>
      <w:lang w:val="en-GB" w:eastAsia="en-GB"/>
    </w:rPr>
  </w:style>
  <w:style w:type="character" w:styleId="PageNumber">
    <w:name w:val="page number"/>
    <w:basedOn w:val="DefaultParagraphFont"/>
    <w:rsid w:val="00F3309A"/>
  </w:style>
  <w:style w:type="paragraph" w:customStyle="1" w:styleId="q-normal">
    <w:name w:val="q-normal"/>
    <w:basedOn w:val="Normal"/>
    <w:rsid w:val="00F3309A"/>
    <w:pPr>
      <w:spacing w:before="100" w:beforeAutospacing="1" w:after="100" w:afterAutospacing="1"/>
    </w:pPr>
    <w:rPr>
      <w:rFonts w:ascii="Times New Roman" w:hAnsi="Times New Roman" w:cs="Times New Roman"/>
      <w:u w:val="none"/>
      <w:lang w:val="en-ZA" w:eastAsia="en-ZA"/>
    </w:rPr>
  </w:style>
  <w:style w:type="character" w:customStyle="1" w:styleId="footnote-link">
    <w:name w:val="footnote-link"/>
    <w:basedOn w:val="DefaultParagraphFont"/>
    <w:rsid w:val="00F3309A"/>
  </w:style>
  <w:style w:type="paragraph" w:customStyle="1" w:styleId="lg-i-a-i-sl">
    <w:name w:val="lg-i-a-i-sl"/>
    <w:basedOn w:val="Normal"/>
    <w:rsid w:val="00F3309A"/>
    <w:pPr>
      <w:spacing w:before="100" w:beforeAutospacing="1" w:after="100" w:afterAutospacing="1"/>
    </w:pPr>
    <w:rPr>
      <w:rFonts w:ascii="Times New Roman" w:hAnsi="Times New Roman" w:cs="Times New Roman"/>
      <w:u w:val="none"/>
      <w:lang w:val="en-ZA" w:eastAsia="en-ZA"/>
    </w:rPr>
  </w:style>
  <w:style w:type="paragraph" w:customStyle="1" w:styleId="lg-i-a-1">
    <w:name w:val="lg-i-a-1"/>
    <w:basedOn w:val="Normal"/>
    <w:rsid w:val="00F3309A"/>
    <w:pPr>
      <w:spacing w:before="100" w:beforeAutospacing="1" w:after="100" w:afterAutospacing="1"/>
    </w:pPr>
    <w:rPr>
      <w:rFonts w:ascii="Times New Roman" w:hAnsi="Times New Roman" w:cs="Times New Roman"/>
      <w:u w:val="none"/>
      <w:lang w:val="en-ZA" w:eastAsia="en-ZA"/>
    </w:rPr>
  </w:style>
  <w:style w:type="paragraph" w:customStyle="1" w:styleId="n10pt-1">
    <w:name w:val="n10pt-1"/>
    <w:basedOn w:val="Normal"/>
    <w:rsid w:val="00F3309A"/>
    <w:pPr>
      <w:spacing w:before="100" w:beforeAutospacing="1" w:after="100" w:afterAutospacing="1"/>
    </w:pPr>
    <w:rPr>
      <w:rFonts w:ascii="Times New Roman" w:hAnsi="Times New Roman" w:cs="Times New Roman"/>
      <w:u w:val="none"/>
      <w:lang w:val="en-ZA" w:eastAsia="en-ZA"/>
    </w:rPr>
  </w:style>
  <w:style w:type="paragraph" w:customStyle="1" w:styleId="lg-section">
    <w:name w:val="lg-section"/>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a-1">
    <w:name w:val="lg-a-1"/>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para3">
    <w:name w:val="lg-para3"/>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para5">
    <w:name w:val="lg-para5"/>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para4">
    <w:name w:val="lg-para4"/>
    <w:basedOn w:val="Normal"/>
    <w:rsid w:val="00176832"/>
    <w:pPr>
      <w:spacing w:before="100" w:beforeAutospacing="1" w:after="100" w:afterAutospacing="1"/>
    </w:pPr>
    <w:rPr>
      <w:rFonts w:ascii="Times New Roman" w:hAnsi="Times New Roman" w:cs="Times New Roman"/>
      <w:u w:val="none"/>
      <w:lang w:val="en-ZA" w:eastAsia="en-ZA"/>
    </w:rPr>
  </w:style>
  <w:style w:type="character" w:styleId="Hyperlink">
    <w:name w:val="Hyperlink"/>
    <w:basedOn w:val="DefaultParagraphFont"/>
    <w:uiPriority w:val="99"/>
    <w:semiHidden/>
    <w:unhideWhenUsed/>
    <w:rsid w:val="00176832"/>
    <w:rPr>
      <w:color w:val="0000FF"/>
      <w:u w:val="single"/>
    </w:rPr>
  </w:style>
  <w:style w:type="paragraph" w:customStyle="1" w:styleId="lg-i">
    <w:name w:val="lg-i"/>
    <w:basedOn w:val="Normal"/>
    <w:rsid w:val="00176832"/>
    <w:pPr>
      <w:spacing w:before="100" w:beforeAutospacing="1" w:after="100" w:afterAutospacing="1"/>
    </w:pPr>
    <w:rPr>
      <w:rFonts w:ascii="Times New Roman" w:hAnsi="Times New Roman" w:cs="Times New Roman"/>
      <w:u w:val="none"/>
      <w:lang w:val="en-ZA" w:eastAsia="en-ZA"/>
    </w:rPr>
  </w:style>
  <w:style w:type="paragraph" w:styleId="NormalWeb">
    <w:name w:val="Normal (Web)"/>
    <w:basedOn w:val="Normal"/>
    <w:uiPriority w:val="99"/>
    <w:semiHidden/>
    <w:unhideWhenUsed/>
    <w:rsid w:val="00176832"/>
    <w:pPr>
      <w:spacing w:before="100" w:beforeAutospacing="1" w:after="100" w:afterAutospacing="1"/>
    </w:pPr>
    <w:rPr>
      <w:rFonts w:ascii="Times New Roman" w:hAnsi="Times New Roman" w:cs="Times New Roman"/>
      <w:u w:val="none"/>
      <w:lang w:val="en-ZA" w:eastAsia="en-ZA"/>
    </w:rPr>
  </w:style>
  <w:style w:type="paragraph" w:styleId="FootnoteText">
    <w:name w:val="footnote text"/>
    <w:basedOn w:val="Normal"/>
    <w:link w:val="FootnoteTextChar"/>
    <w:uiPriority w:val="99"/>
    <w:unhideWhenUsed/>
    <w:rsid w:val="002B46A2"/>
    <w:rPr>
      <w:sz w:val="20"/>
      <w:szCs w:val="20"/>
    </w:rPr>
  </w:style>
  <w:style w:type="character" w:customStyle="1" w:styleId="FootnoteTextChar">
    <w:name w:val="Footnote Text Char"/>
    <w:basedOn w:val="DefaultParagraphFont"/>
    <w:link w:val="FootnoteText"/>
    <w:uiPriority w:val="99"/>
    <w:rsid w:val="002B46A2"/>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2B46A2"/>
    <w:rPr>
      <w:vertAlign w:val="superscript"/>
    </w:rPr>
  </w:style>
  <w:style w:type="paragraph" w:styleId="BalloonText">
    <w:name w:val="Balloon Text"/>
    <w:basedOn w:val="Normal"/>
    <w:link w:val="BalloonTextChar"/>
    <w:uiPriority w:val="99"/>
    <w:semiHidden/>
    <w:unhideWhenUsed/>
    <w:rsid w:val="00E35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825"/>
    <w:rPr>
      <w:rFonts w:ascii="Segoe UI" w:eastAsia="Times New Roman" w:hAnsi="Segoe UI" w:cs="Segoe UI"/>
      <w:sz w:val="18"/>
      <w:szCs w:val="18"/>
      <w:u w:val="single"/>
      <w:lang w:val="en-GB" w:eastAsia="en-GB"/>
    </w:rPr>
  </w:style>
  <w:style w:type="paragraph" w:styleId="ListParagraph">
    <w:name w:val="List Paragraph"/>
    <w:basedOn w:val="Normal"/>
    <w:uiPriority w:val="34"/>
    <w:qFormat/>
    <w:rsid w:val="00E21604"/>
    <w:pPr>
      <w:ind w:left="720"/>
      <w:contextualSpacing/>
    </w:pPr>
  </w:style>
  <w:style w:type="character" w:styleId="CommentReference">
    <w:name w:val="annotation reference"/>
    <w:basedOn w:val="DefaultParagraphFont"/>
    <w:uiPriority w:val="99"/>
    <w:semiHidden/>
    <w:unhideWhenUsed/>
    <w:rsid w:val="00494F3B"/>
    <w:rPr>
      <w:sz w:val="16"/>
      <w:szCs w:val="16"/>
    </w:rPr>
  </w:style>
  <w:style w:type="paragraph" w:styleId="CommentText">
    <w:name w:val="annotation text"/>
    <w:basedOn w:val="Normal"/>
    <w:link w:val="CommentTextChar"/>
    <w:uiPriority w:val="99"/>
    <w:semiHidden/>
    <w:unhideWhenUsed/>
    <w:rsid w:val="00494F3B"/>
    <w:rPr>
      <w:sz w:val="20"/>
      <w:szCs w:val="20"/>
    </w:rPr>
  </w:style>
  <w:style w:type="character" w:customStyle="1" w:styleId="CommentTextChar">
    <w:name w:val="Comment Text Char"/>
    <w:basedOn w:val="DefaultParagraphFont"/>
    <w:link w:val="CommentText"/>
    <w:uiPriority w:val="99"/>
    <w:semiHidden/>
    <w:rsid w:val="00494F3B"/>
    <w:rPr>
      <w:rFonts w:ascii="Arial" w:eastAsia="Times New Roman" w:hAnsi="Arial" w:cs="Arial"/>
      <w:sz w:val="20"/>
      <w:szCs w:val="20"/>
      <w:u w:val="single"/>
      <w:lang w:val="en-GB" w:eastAsia="en-GB"/>
    </w:rPr>
  </w:style>
  <w:style w:type="paragraph" w:styleId="CommentSubject">
    <w:name w:val="annotation subject"/>
    <w:basedOn w:val="CommentText"/>
    <w:next w:val="CommentText"/>
    <w:link w:val="CommentSubjectChar"/>
    <w:uiPriority w:val="99"/>
    <w:semiHidden/>
    <w:unhideWhenUsed/>
    <w:rsid w:val="00494F3B"/>
    <w:rPr>
      <w:b/>
      <w:bCs/>
    </w:rPr>
  </w:style>
  <w:style w:type="character" w:customStyle="1" w:styleId="CommentSubjectChar">
    <w:name w:val="Comment Subject Char"/>
    <w:basedOn w:val="CommentTextChar"/>
    <w:link w:val="CommentSubject"/>
    <w:uiPriority w:val="99"/>
    <w:semiHidden/>
    <w:rsid w:val="00494F3B"/>
    <w:rPr>
      <w:rFonts w:ascii="Arial" w:eastAsia="Times New Roman" w:hAnsi="Arial" w:cs="Arial"/>
      <w:b/>
      <w:bCs/>
      <w:sz w:val="20"/>
      <w:szCs w:val="20"/>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73135">
      <w:bodyDiv w:val="1"/>
      <w:marLeft w:val="0"/>
      <w:marRight w:val="0"/>
      <w:marTop w:val="0"/>
      <w:marBottom w:val="0"/>
      <w:divBdr>
        <w:top w:val="none" w:sz="0" w:space="0" w:color="auto"/>
        <w:left w:val="none" w:sz="0" w:space="0" w:color="auto"/>
        <w:bottom w:val="none" w:sz="0" w:space="0" w:color="auto"/>
        <w:right w:val="none" w:sz="0" w:space="0" w:color="auto"/>
      </w:divBdr>
    </w:div>
    <w:div w:id="10953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35BB-53E3-4EA2-A48E-79A47F9D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3674</Words>
  <Characters>20944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Mokone</cp:lastModifiedBy>
  <cp:revision>2</cp:revision>
  <cp:lastPrinted>2023-02-20T12:35:00Z</cp:lastPrinted>
  <dcterms:created xsi:type="dcterms:W3CDTF">2023-03-07T08:29:00Z</dcterms:created>
  <dcterms:modified xsi:type="dcterms:W3CDTF">2023-03-07T08:29:00Z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f499ba7f25f099b8b6b45817323c07cb021191de935cd00cca2b6b9e3a92f986</vt:lpwstr>
  </property>
</Properties>
</file>