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981421" w14:textId="0E3C41AF" w:rsidR="006C43D7" w:rsidRPr="00E05C83" w:rsidRDefault="006C43D7" w:rsidP="00285ACC">
      <w:pPr>
        <w:spacing w:after="120" w:line="360" w:lineRule="auto"/>
        <w:ind w:firstLine="720"/>
        <w:jc w:val="center"/>
        <w:rPr>
          <w:rFonts w:cs="Arial"/>
          <w:b/>
          <w:bCs/>
          <w:szCs w:val="22"/>
        </w:rPr>
      </w:pPr>
      <w:r w:rsidRPr="00E05C83">
        <w:rPr>
          <w:rFonts w:cs="Arial"/>
          <w:b/>
          <w:bCs/>
          <w:noProof/>
          <w:szCs w:val="22"/>
          <w:lang w:eastAsia="en-ZA"/>
        </w:rPr>
        <w:drawing>
          <wp:inline distT="0" distB="0" distL="0" distR="0" wp14:anchorId="533B6FEC" wp14:editId="2A4182C8">
            <wp:extent cx="1536065" cy="1536065"/>
            <wp:effectExtent l="0" t="0" r="6985" b="6985"/>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065" cy="1536065"/>
                    </a:xfrm>
                    <a:prstGeom prst="rect">
                      <a:avLst/>
                    </a:prstGeom>
                    <a:noFill/>
                  </pic:spPr>
                </pic:pic>
              </a:graphicData>
            </a:graphic>
          </wp:inline>
        </w:drawing>
      </w:r>
    </w:p>
    <w:p w14:paraId="7E492062" w14:textId="77777777" w:rsidR="006C43D7" w:rsidRPr="00E05C83" w:rsidRDefault="006C43D7" w:rsidP="00C74E97">
      <w:pPr>
        <w:spacing w:line="360" w:lineRule="auto"/>
        <w:jc w:val="center"/>
        <w:rPr>
          <w:rFonts w:cs="Arial"/>
          <w:b/>
          <w:szCs w:val="22"/>
        </w:rPr>
      </w:pPr>
      <w:r w:rsidRPr="00E05C83">
        <w:rPr>
          <w:rFonts w:cs="Arial"/>
          <w:b/>
          <w:szCs w:val="22"/>
        </w:rPr>
        <w:t xml:space="preserve">IN THE HIGH COURT OF SOUTH AFRICA, </w:t>
      </w:r>
    </w:p>
    <w:p w14:paraId="566C4D1B" w14:textId="77777777" w:rsidR="006C43D7" w:rsidRPr="00E05C83" w:rsidRDefault="006C43D7" w:rsidP="00C74E97">
      <w:pPr>
        <w:spacing w:line="360" w:lineRule="auto"/>
        <w:jc w:val="center"/>
        <w:rPr>
          <w:rFonts w:cs="Arial"/>
          <w:b/>
          <w:szCs w:val="22"/>
        </w:rPr>
      </w:pPr>
      <w:r w:rsidRPr="00E05C83">
        <w:rPr>
          <w:rFonts w:cs="Arial"/>
          <w:b/>
          <w:szCs w:val="22"/>
        </w:rPr>
        <w:t>GAUTENG DIVISION, JOHANNESBURG</w:t>
      </w:r>
    </w:p>
    <w:p w14:paraId="13D6E83E" w14:textId="77777777" w:rsidR="006C43D7" w:rsidRPr="00E05C83" w:rsidRDefault="006C43D7" w:rsidP="00C74E97">
      <w:pPr>
        <w:spacing w:line="360" w:lineRule="auto"/>
        <w:jc w:val="both"/>
        <w:rPr>
          <w:rFonts w:cs="Arial"/>
          <w:b/>
          <w:szCs w:val="22"/>
        </w:rPr>
      </w:pPr>
    </w:p>
    <w:p w14:paraId="0AF8DD38" w14:textId="0ACF7D86" w:rsidR="006C43D7" w:rsidRPr="00E05C83" w:rsidRDefault="006C43D7" w:rsidP="00C74E97">
      <w:pPr>
        <w:spacing w:line="360" w:lineRule="auto"/>
        <w:jc w:val="right"/>
        <w:rPr>
          <w:rFonts w:cs="Arial"/>
          <w:bCs/>
          <w:szCs w:val="22"/>
        </w:rPr>
      </w:pPr>
      <w:r w:rsidRPr="00E05C83">
        <w:rPr>
          <w:rFonts w:cs="Arial"/>
          <w:bCs/>
          <w:szCs w:val="22"/>
        </w:rPr>
        <w:t xml:space="preserve">CASE NO: </w:t>
      </w:r>
      <w:r w:rsidR="00285ACC" w:rsidRPr="00E05C83">
        <w:rPr>
          <w:rFonts w:cs="Arial"/>
          <w:bCs/>
          <w:szCs w:val="22"/>
        </w:rPr>
        <w:t>2017/11257</w:t>
      </w:r>
      <w:r w:rsidRPr="00E05C83">
        <w:rPr>
          <w:rFonts w:cs="Arial"/>
          <w:bCs/>
          <w:noProof/>
          <w:szCs w:val="22"/>
          <w:lang w:eastAsia="en-ZA"/>
        </w:rPr>
        <mc:AlternateContent>
          <mc:Choice Requires="wps">
            <w:drawing>
              <wp:anchor distT="0" distB="0" distL="114300" distR="114300" simplePos="0" relativeHeight="251658752" behindDoc="0" locked="0" layoutInCell="1" allowOverlap="1" wp14:anchorId="2E430887" wp14:editId="55507A88">
                <wp:simplePos x="0" y="0"/>
                <wp:positionH relativeFrom="margin">
                  <wp:align>left</wp:align>
                </wp:positionH>
                <wp:positionV relativeFrom="paragraph">
                  <wp:posOffset>49304</wp:posOffset>
                </wp:positionV>
                <wp:extent cx="3314700" cy="1592825"/>
                <wp:effectExtent l="0" t="0" r="1905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92825"/>
                        </a:xfrm>
                        <a:prstGeom prst="rect">
                          <a:avLst/>
                        </a:prstGeom>
                        <a:solidFill>
                          <a:srgbClr val="FFFFFF"/>
                        </a:solidFill>
                        <a:ln w="9525">
                          <a:solidFill>
                            <a:srgbClr val="000000"/>
                          </a:solidFill>
                          <a:miter lim="800000"/>
                          <a:headEnd/>
                          <a:tailEnd/>
                        </a:ln>
                      </wps:spPr>
                      <wps:txbx>
                        <w:txbxContent>
                          <w:p w14:paraId="0EA4B470" w14:textId="77777777" w:rsidR="00893C08" w:rsidRPr="00913F95" w:rsidRDefault="00893C08" w:rsidP="006C43D7">
                            <w:pPr>
                              <w:jc w:val="center"/>
                              <w:rPr>
                                <w:rFonts w:ascii="Century Gothic" w:hAnsi="Century Gothic"/>
                                <w:b/>
                                <w:sz w:val="20"/>
                                <w:szCs w:val="20"/>
                              </w:rPr>
                            </w:pPr>
                          </w:p>
                          <w:p w14:paraId="01FDAE28" w14:textId="49515D33" w:rsidR="00893C08" w:rsidRDefault="00AA6F87" w:rsidP="00AA6F8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03A76EC6" w:rsidR="00893C08" w:rsidRPr="001D3CC2" w:rsidRDefault="00AA6F87" w:rsidP="00AA6F8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E3033">
                              <w:rPr>
                                <w:rFonts w:ascii="Century Gothic" w:hAnsi="Century Gothic"/>
                                <w:sz w:val="20"/>
                                <w:szCs w:val="20"/>
                              </w:rPr>
                              <w:t>YES</w:t>
                            </w: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430887" id="_x0000_t202" coordsize="21600,21600" o:spt="202" path="m,l,21600r21600,l21600,xe">
                <v:stroke joinstyle="miter"/>
                <v:path gradientshapeok="t" o:connecttype="rect"/>
              </v:shapetype>
              <v:shape id="Text Box 4" o:spid="_x0000_s1026" type="#_x0000_t202" style="position:absolute;left:0;text-align:left;margin-left:0;margin-top:3.9pt;width:261pt;height:125.4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">
                <v:textbox>
                  <w:txbxContent>
                    <w:p w14:paraId="0EA4B470" w14:textId="77777777" w:rsidR="00893C08" w:rsidRPr="00913F95" w:rsidRDefault="00893C08" w:rsidP="006C43D7">
                      <w:pPr>
                        <w:jc w:val="center"/>
                        <w:rPr>
                          <w:rFonts w:ascii="Century Gothic" w:hAnsi="Century Gothic"/>
                          <w:b/>
                          <w:sz w:val="20"/>
                          <w:szCs w:val="20"/>
                        </w:rPr>
                      </w:pPr>
                    </w:p>
                    <w:p w14:paraId="01FDAE28" w14:textId="49515D33" w:rsidR="00893C08" w:rsidRDefault="00AA6F87" w:rsidP="00AA6F87">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893C08" w:rsidRPr="001D3CC2">
                        <w:rPr>
                          <w:rFonts w:ascii="Century Gothic" w:hAnsi="Century Gothic"/>
                          <w:sz w:val="20"/>
                          <w:szCs w:val="20"/>
                        </w:rPr>
                        <w:t xml:space="preserve">REPORTABLE: </w:t>
                      </w:r>
                      <w:r w:rsidR="004F5D23">
                        <w:rPr>
                          <w:rFonts w:ascii="Century Gothic" w:hAnsi="Century Gothic"/>
                          <w:sz w:val="20"/>
                          <w:szCs w:val="20"/>
                        </w:rPr>
                        <w:t>NO</w:t>
                      </w:r>
                    </w:p>
                    <w:p w14:paraId="3A4C7296" w14:textId="03A76EC6" w:rsidR="00893C08" w:rsidRPr="001D3CC2" w:rsidRDefault="00AA6F87" w:rsidP="00AA6F87">
                      <w:pPr>
                        <w:tabs>
                          <w:tab w:val="left" w:pos="900"/>
                        </w:tabs>
                        <w:ind w:left="900" w:hanging="720"/>
                        <w:rPr>
                          <w:rFonts w:ascii="Century Gothic" w:hAnsi="Century Gothic"/>
                          <w:sz w:val="20"/>
                          <w:szCs w:val="20"/>
                        </w:rPr>
                      </w:pPr>
                      <w:r w:rsidRPr="001D3CC2">
                        <w:rPr>
                          <w:rFonts w:ascii="Century Gothic" w:hAnsi="Century Gothic"/>
                          <w:sz w:val="20"/>
                          <w:szCs w:val="20"/>
                        </w:rPr>
                        <w:t>(2)</w:t>
                      </w:r>
                      <w:r w:rsidRPr="001D3CC2">
                        <w:rPr>
                          <w:rFonts w:ascii="Century Gothic" w:hAnsi="Century Gothic"/>
                          <w:sz w:val="20"/>
                          <w:szCs w:val="20"/>
                        </w:rPr>
                        <w:tab/>
                      </w:r>
                      <w:r w:rsidR="00893C08" w:rsidRPr="001D3CC2">
                        <w:rPr>
                          <w:rFonts w:ascii="Century Gothic" w:hAnsi="Century Gothic"/>
                          <w:sz w:val="20"/>
                          <w:szCs w:val="20"/>
                        </w:rPr>
                        <w:t>OF INTEREST TO OTHER JUDGES</w:t>
                      </w:r>
                      <w:r w:rsidR="00893C08">
                        <w:rPr>
                          <w:rFonts w:ascii="Century Gothic" w:hAnsi="Century Gothic"/>
                          <w:sz w:val="20"/>
                          <w:szCs w:val="20"/>
                        </w:rPr>
                        <w:t xml:space="preserve">: </w:t>
                      </w:r>
                      <w:r w:rsidR="004E3033">
                        <w:rPr>
                          <w:rFonts w:ascii="Century Gothic" w:hAnsi="Century Gothic"/>
                          <w:sz w:val="20"/>
                          <w:szCs w:val="20"/>
                        </w:rPr>
                        <w:t>YES</w:t>
                      </w:r>
                    </w:p>
                    <w:p w14:paraId="21D4A71B" w14:textId="5B58BFC8" w:rsidR="00893C08" w:rsidRPr="00913F95" w:rsidRDefault="00893C08" w:rsidP="001D3CC2">
                      <w:pPr>
                        <w:ind w:left="180"/>
                        <w:rPr>
                          <w:rFonts w:ascii="Century Gothic" w:hAnsi="Century Gothic"/>
                          <w:sz w:val="20"/>
                          <w:szCs w:val="20"/>
                        </w:rPr>
                      </w:pPr>
                    </w:p>
                    <w:p w14:paraId="761B7CA4" w14:textId="77777777" w:rsidR="00893C08" w:rsidRDefault="00893C08" w:rsidP="006C43D7">
                      <w:pPr>
                        <w:rPr>
                          <w:rFonts w:ascii="Century Gothic" w:hAnsi="Century Gothic"/>
                          <w:b/>
                          <w:sz w:val="18"/>
                          <w:szCs w:val="18"/>
                        </w:rPr>
                      </w:pPr>
                    </w:p>
                    <w:p w14:paraId="0EC4BA5C" w14:textId="61945B0D" w:rsidR="00893C08" w:rsidRPr="001D3CC2" w:rsidRDefault="00893C08" w:rsidP="001D3CC2">
                      <w:pPr>
                        <w:keepNext/>
                        <w:tabs>
                          <w:tab w:val="right" w:pos="0"/>
                        </w:tabs>
                        <w:contextualSpacing/>
                        <w:jc w:val="center"/>
                        <w:rPr>
                          <w:rFonts w:cs="Arial"/>
                          <w:sz w:val="32"/>
                          <w:szCs w:val="32"/>
                        </w:rPr>
                      </w:pPr>
                      <w:r>
                        <w:rPr>
                          <w:rFonts w:ascii="Century Gothic" w:hAnsi="Century Gothic"/>
                          <w:b/>
                          <w:sz w:val="18"/>
                          <w:szCs w:val="18"/>
                        </w:rPr>
                        <w:t xml:space="preserve">                        </w:t>
                      </w:r>
                      <w:r w:rsidRPr="001D3CC2">
                        <w:rPr>
                          <w:rFonts w:ascii="Century Gothic" w:hAnsi="Century Gothic"/>
                          <w:b/>
                          <w:sz w:val="32"/>
                          <w:szCs w:val="32"/>
                        </w:rPr>
                        <w:t xml:space="preserve">  </w:t>
                      </w:r>
                    </w:p>
                    <w:p w14:paraId="11AD3C7B" w14:textId="4114C951" w:rsidR="00893C08" w:rsidRPr="00084341" w:rsidRDefault="00893C08" w:rsidP="001D3CC2">
                      <w:pPr>
                        <w:rPr>
                          <w:rFonts w:ascii="Century Gothic" w:hAnsi="Century Gothic"/>
                          <w:sz w:val="18"/>
                          <w:szCs w:val="18"/>
                        </w:rPr>
                      </w:pPr>
                      <w:r w:rsidRPr="00084341">
                        <w:rPr>
                          <w:rFonts w:ascii="Century Gothic" w:hAnsi="Century Gothic"/>
                          <w:b/>
                          <w:sz w:val="18"/>
                          <w:szCs w:val="18"/>
                        </w:rPr>
                        <w:t xml:space="preserve">    </w:t>
                      </w:r>
                      <w:r>
                        <w:rPr>
                          <w:rFonts w:ascii="Century Gothic" w:hAnsi="Century Gothic"/>
                          <w:b/>
                          <w:sz w:val="18"/>
                          <w:szCs w:val="18"/>
                        </w:rPr>
                        <w:t xml:space="preserve">   </w:t>
                      </w: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w10:wrap anchorx="margin"/>
              </v:shape>
            </w:pict>
          </mc:Fallback>
        </mc:AlternateContent>
      </w:r>
    </w:p>
    <w:p w14:paraId="084B5ECD" w14:textId="77777777" w:rsidR="006C43D7" w:rsidRPr="00E05C83" w:rsidRDefault="006C43D7" w:rsidP="00C74E97">
      <w:pPr>
        <w:spacing w:line="360" w:lineRule="auto"/>
        <w:jc w:val="both"/>
        <w:rPr>
          <w:rFonts w:cs="Arial"/>
          <w:szCs w:val="22"/>
        </w:rPr>
      </w:pPr>
    </w:p>
    <w:p w14:paraId="4E808D74" w14:textId="77777777" w:rsidR="006C43D7" w:rsidRPr="00E05C83" w:rsidRDefault="006C43D7" w:rsidP="00C74E97">
      <w:pPr>
        <w:spacing w:line="360" w:lineRule="auto"/>
        <w:jc w:val="both"/>
        <w:rPr>
          <w:rFonts w:cs="Arial"/>
          <w:szCs w:val="22"/>
        </w:rPr>
      </w:pPr>
    </w:p>
    <w:p w14:paraId="34BF70B6" w14:textId="77777777" w:rsidR="006C43D7" w:rsidRPr="00E05C83" w:rsidRDefault="006C43D7" w:rsidP="00C74E97">
      <w:pPr>
        <w:spacing w:line="360" w:lineRule="auto"/>
        <w:jc w:val="both"/>
        <w:rPr>
          <w:rFonts w:cs="Arial"/>
          <w:szCs w:val="22"/>
        </w:rPr>
      </w:pPr>
    </w:p>
    <w:p w14:paraId="2F53BA3A" w14:textId="77777777" w:rsidR="006C43D7" w:rsidRPr="00E05C83" w:rsidRDefault="006C43D7" w:rsidP="00C74E97">
      <w:pPr>
        <w:spacing w:line="360" w:lineRule="auto"/>
        <w:jc w:val="both"/>
        <w:rPr>
          <w:rFonts w:cs="Arial"/>
          <w:szCs w:val="22"/>
        </w:rPr>
      </w:pPr>
    </w:p>
    <w:p w14:paraId="3A1C212E" w14:textId="77777777" w:rsidR="006C43D7" w:rsidRPr="00E05C83" w:rsidRDefault="006C43D7" w:rsidP="00C74E97">
      <w:pPr>
        <w:spacing w:line="360" w:lineRule="auto"/>
        <w:jc w:val="both"/>
        <w:rPr>
          <w:rFonts w:cs="Arial"/>
          <w:szCs w:val="22"/>
        </w:rPr>
      </w:pPr>
    </w:p>
    <w:p w14:paraId="04919B1B" w14:textId="77777777" w:rsidR="001D3CC2" w:rsidRPr="00E05C83" w:rsidRDefault="001D3CC2" w:rsidP="00C74E97">
      <w:pPr>
        <w:spacing w:line="360" w:lineRule="auto"/>
        <w:jc w:val="both"/>
        <w:rPr>
          <w:rFonts w:cs="Arial"/>
          <w:szCs w:val="22"/>
        </w:rPr>
      </w:pPr>
    </w:p>
    <w:p w14:paraId="045D3852" w14:textId="77777777" w:rsidR="00E57446" w:rsidRPr="00E05C83" w:rsidRDefault="00E57446" w:rsidP="00C74E97">
      <w:pPr>
        <w:spacing w:line="360" w:lineRule="auto"/>
        <w:jc w:val="both"/>
        <w:rPr>
          <w:rFonts w:cs="Arial"/>
          <w:szCs w:val="22"/>
        </w:rPr>
      </w:pPr>
    </w:p>
    <w:p w14:paraId="2804C32A" w14:textId="6C8D50AF" w:rsidR="00E57446" w:rsidRPr="00E05C83" w:rsidRDefault="00E57446" w:rsidP="00C74E97">
      <w:pPr>
        <w:spacing w:line="360" w:lineRule="auto"/>
        <w:jc w:val="both"/>
        <w:rPr>
          <w:rFonts w:cs="Arial"/>
          <w:szCs w:val="22"/>
        </w:rPr>
      </w:pPr>
      <w:r w:rsidRPr="00E05C83">
        <w:rPr>
          <w:rFonts w:cs="Arial"/>
          <w:szCs w:val="22"/>
        </w:rPr>
        <w:t>In the application by</w:t>
      </w:r>
    </w:p>
    <w:p w14:paraId="06590558" w14:textId="77777777" w:rsidR="00991A47" w:rsidRPr="00E05C83" w:rsidRDefault="00991A47" w:rsidP="00C74E97">
      <w:pPr>
        <w:spacing w:line="360" w:lineRule="auto"/>
        <w:jc w:val="both"/>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592"/>
      </w:tblGrid>
      <w:tr w:rsidR="00E57446" w:rsidRPr="00E05C83" w14:paraId="4CBFF906" w14:textId="77777777" w:rsidTr="00991A47">
        <w:tc>
          <w:tcPr>
            <w:tcW w:w="5949" w:type="dxa"/>
          </w:tcPr>
          <w:p w14:paraId="07466740" w14:textId="64E31823" w:rsidR="00E57446" w:rsidRPr="00E05C83" w:rsidRDefault="00285ACC" w:rsidP="00D32ED3">
            <w:pPr>
              <w:spacing w:line="360" w:lineRule="auto"/>
              <w:rPr>
                <w:rFonts w:cs="Arial"/>
                <w:b/>
                <w:bCs/>
                <w:szCs w:val="22"/>
              </w:rPr>
            </w:pPr>
            <w:r w:rsidRPr="00E05C83">
              <w:rPr>
                <w:rFonts w:cs="Arial"/>
                <w:b/>
                <w:bCs/>
                <w:szCs w:val="22"/>
              </w:rPr>
              <w:t xml:space="preserve">MOTUPA, MMAPUTHI MARIA </w:t>
            </w:r>
          </w:p>
        </w:tc>
        <w:tc>
          <w:tcPr>
            <w:tcW w:w="2592" w:type="dxa"/>
          </w:tcPr>
          <w:p w14:paraId="32F3C456" w14:textId="168EDB30" w:rsidR="00E57446" w:rsidRPr="00E05C83" w:rsidRDefault="00B56631" w:rsidP="00D32ED3">
            <w:pPr>
              <w:spacing w:line="360" w:lineRule="auto"/>
              <w:rPr>
                <w:rFonts w:cs="Arial"/>
                <w:szCs w:val="22"/>
              </w:rPr>
            </w:pPr>
            <w:r w:rsidRPr="00E05C83">
              <w:rPr>
                <w:rFonts w:cs="Arial"/>
                <w:szCs w:val="22"/>
              </w:rPr>
              <w:t>APPLICANT</w:t>
            </w:r>
          </w:p>
        </w:tc>
      </w:tr>
      <w:tr w:rsidR="00E57446" w:rsidRPr="00E05C83" w14:paraId="143F83E0" w14:textId="77777777" w:rsidTr="00991A47">
        <w:tc>
          <w:tcPr>
            <w:tcW w:w="5949" w:type="dxa"/>
          </w:tcPr>
          <w:p w14:paraId="66C3A0D3" w14:textId="67E02288" w:rsidR="00E57446" w:rsidRPr="00E05C83" w:rsidRDefault="00285ACC" w:rsidP="00D32ED3">
            <w:pPr>
              <w:spacing w:line="360" w:lineRule="auto"/>
              <w:rPr>
                <w:rFonts w:cs="Arial"/>
                <w:b/>
                <w:bCs/>
                <w:szCs w:val="22"/>
              </w:rPr>
            </w:pPr>
            <w:r w:rsidRPr="00E05C83">
              <w:rPr>
                <w:rFonts w:cs="Arial"/>
                <w:b/>
                <w:bCs/>
                <w:szCs w:val="22"/>
              </w:rPr>
              <w:t>AND</w:t>
            </w:r>
          </w:p>
        </w:tc>
        <w:tc>
          <w:tcPr>
            <w:tcW w:w="2592" w:type="dxa"/>
          </w:tcPr>
          <w:p w14:paraId="79FDAF6B" w14:textId="2EBB72CF" w:rsidR="00E57446" w:rsidRPr="00E05C83" w:rsidRDefault="00E57446" w:rsidP="00D32ED3">
            <w:pPr>
              <w:spacing w:line="360" w:lineRule="auto"/>
              <w:rPr>
                <w:rFonts w:cs="Arial"/>
                <w:szCs w:val="22"/>
              </w:rPr>
            </w:pPr>
          </w:p>
        </w:tc>
      </w:tr>
      <w:tr w:rsidR="008C7019" w:rsidRPr="00E05C83" w14:paraId="77CF61B5" w14:textId="77777777" w:rsidTr="00991A47">
        <w:tc>
          <w:tcPr>
            <w:tcW w:w="5949" w:type="dxa"/>
          </w:tcPr>
          <w:p w14:paraId="7D5559A9" w14:textId="4D5548A9" w:rsidR="008C7019" w:rsidRPr="00E05C83" w:rsidRDefault="00285ACC" w:rsidP="00D32ED3">
            <w:pPr>
              <w:spacing w:line="360" w:lineRule="auto"/>
              <w:rPr>
                <w:rFonts w:cs="Arial"/>
                <w:b/>
                <w:bCs/>
                <w:szCs w:val="22"/>
              </w:rPr>
            </w:pPr>
            <w:r w:rsidRPr="00E05C83">
              <w:rPr>
                <w:rFonts w:cs="Arial"/>
                <w:b/>
                <w:bCs/>
                <w:szCs w:val="22"/>
              </w:rPr>
              <w:t>THE MINISTER OF POLICE</w:t>
            </w:r>
          </w:p>
        </w:tc>
        <w:tc>
          <w:tcPr>
            <w:tcW w:w="2592" w:type="dxa"/>
          </w:tcPr>
          <w:p w14:paraId="4E5D9950" w14:textId="1B19B079" w:rsidR="008C7019" w:rsidRPr="00E05C83" w:rsidRDefault="00B56631" w:rsidP="00D32ED3">
            <w:pPr>
              <w:spacing w:line="360" w:lineRule="auto"/>
              <w:rPr>
                <w:rFonts w:cs="Arial"/>
                <w:szCs w:val="22"/>
              </w:rPr>
            </w:pPr>
            <w:r w:rsidRPr="00E05C83">
              <w:rPr>
                <w:rFonts w:cs="Arial"/>
                <w:szCs w:val="22"/>
              </w:rPr>
              <w:t xml:space="preserve">RESPONDENT </w:t>
            </w:r>
          </w:p>
        </w:tc>
      </w:tr>
    </w:tbl>
    <w:p w14:paraId="093FB9CE" w14:textId="77777777" w:rsidR="00991A47" w:rsidRPr="00E05C83" w:rsidRDefault="00991A47" w:rsidP="00D32ED3">
      <w:pPr>
        <w:rPr>
          <w:rFonts w:cs="Arial"/>
          <w:szCs w:val="22"/>
        </w:rPr>
      </w:pPr>
    </w:p>
    <w:p w14:paraId="507D0247" w14:textId="5C6E3380" w:rsidR="00991A47" w:rsidRPr="00E05C83" w:rsidRDefault="00991A47" w:rsidP="00D32ED3">
      <w:pPr>
        <w:rPr>
          <w:rFonts w:cs="Arial"/>
          <w:szCs w:val="22"/>
        </w:rPr>
      </w:pPr>
      <w:r w:rsidRPr="00E05C83">
        <w:rPr>
          <w:rFonts w:cs="Arial"/>
          <w:i/>
          <w:iCs/>
          <w:szCs w:val="22"/>
        </w:rPr>
        <w:t>In re</w:t>
      </w:r>
      <w:r w:rsidRPr="00E05C83">
        <w:rPr>
          <w:rFonts w:cs="Arial"/>
          <w:szCs w:val="22"/>
        </w:rPr>
        <w:t xml:space="preserve"> the matter between</w:t>
      </w:r>
    </w:p>
    <w:p w14:paraId="6888E2C8" w14:textId="77777777" w:rsidR="00991A47" w:rsidRPr="00E05C83" w:rsidRDefault="00991A47" w:rsidP="00D32ED3">
      <w:pPr>
        <w:rPr>
          <w:rFonts w:cs="Arial"/>
          <w:szCs w:val="22"/>
        </w:rPr>
      </w:pPr>
    </w:p>
    <w:p w14:paraId="18FEE9D7" w14:textId="77777777" w:rsidR="00991A47" w:rsidRPr="00E05C83" w:rsidRDefault="00991A47" w:rsidP="00D32ED3">
      <w:pPr>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49"/>
        <w:gridCol w:w="2592"/>
      </w:tblGrid>
      <w:tr w:rsidR="00991A47" w:rsidRPr="00E05C83" w14:paraId="2AEC2D76" w14:textId="77777777" w:rsidTr="00FF03A9">
        <w:tc>
          <w:tcPr>
            <w:tcW w:w="5949" w:type="dxa"/>
          </w:tcPr>
          <w:p w14:paraId="6CC7C583" w14:textId="62251D4B" w:rsidR="00991A47" w:rsidRPr="00E05C83" w:rsidRDefault="00DF054C" w:rsidP="00D32ED3">
            <w:pPr>
              <w:spacing w:line="360" w:lineRule="auto"/>
              <w:rPr>
                <w:rFonts w:cs="Arial"/>
                <w:b/>
                <w:szCs w:val="22"/>
              </w:rPr>
            </w:pPr>
            <w:r w:rsidRPr="00E05C83">
              <w:rPr>
                <w:rFonts w:cs="Arial"/>
                <w:b/>
                <w:bCs/>
                <w:szCs w:val="22"/>
              </w:rPr>
              <w:t>MOTUPA, MMAPUTHI MARIA</w:t>
            </w:r>
          </w:p>
        </w:tc>
        <w:tc>
          <w:tcPr>
            <w:tcW w:w="2592" w:type="dxa"/>
          </w:tcPr>
          <w:p w14:paraId="46F11CD7" w14:textId="489ECC3E" w:rsidR="00991A47" w:rsidRPr="00E05C83" w:rsidRDefault="00991A47" w:rsidP="00D32ED3">
            <w:pPr>
              <w:spacing w:line="360" w:lineRule="auto"/>
              <w:rPr>
                <w:rFonts w:cs="Arial"/>
                <w:szCs w:val="22"/>
              </w:rPr>
            </w:pPr>
            <w:r w:rsidRPr="00E05C83">
              <w:rPr>
                <w:rFonts w:cs="Arial"/>
                <w:szCs w:val="22"/>
              </w:rPr>
              <w:t>PLAINTIFF</w:t>
            </w:r>
          </w:p>
        </w:tc>
      </w:tr>
      <w:tr w:rsidR="00991A47" w:rsidRPr="00E05C83" w14:paraId="4E1094B8" w14:textId="77777777" w:rsidTr="00FF03A9">
        <w:tc>
          <w:tcPr>
            <w:tcW w:w="5949" w:type="dxa"/>
          </w:tcPr>
          <w:p w14:paraId="4198DB0A" w14:textId="14D557F7" w:rsidR="00991A47" w:rsidRPr="00E05C83" w:rsidRDefault="00DF054C" w:rsidP="00D32ED3">
            <w:pPr>
              <w:spacing w:line="360" w:lineRule="auto"/>
              <w:rPr>
                <w:rFonts w:cs="Arial"/>
                <w:b/>
                <w:bCs/>
                <w:szCs w:val="22"/>
              </w:rPr>
            </w:pPr>
            <w:r w:rsidRPr="00E05C83">
              <w:rPr>
                <w:rFonts w:cs="Arial"/>
                <w:b/>
                <w:bCs/>
                <w:szCs w:val="22"/>
              </w:rPr>
              <w:t>and</w:t>
            </w:r>
          </w:p>
        </w:tc>
        <w:tc>
          <w:tcPr>
            <w:tcW w:w="2592" w:type="dxa"/>
          </w:tcPr>
          <w:p w14:paraId="2017D9F0" w14:textId="5E929984" w:rsidR="00991A47" w:rsidRPr="00E05C83" w:rsidRDefault="00991A47" w:rsidP="00D32ED3">
            <w:pPr>
              <w:spacing w:line="360" w:lineRule="auto"/>
              <w:rPr>
                <w:rFonts w:cs="Arial"/>
                <w:szCs w:val="22"/>
              </w:rPr>
            </w:pPr>
          </w:p>
        </w:tc>
      </w:tr>
      <w:tr w:rsidR="00991A47" w:rsidRPr="00E05C83" w14:paraId="101E930D" w14:textId="77777777" w:rsidTr="00FF03A9">
        <w:tc>
          <w:tcPr>
            <w:tcW w:w="5949" w:type="dxa"/>
          </w:tcPr>
          <w:p w14:paraId="6D262A16" w14:textId="3CC7C2CE" w:rsidR="00991A47" w:rsidRPr="00E05C83" w:rsidRDefault="00877BB8" w:rsidP="00D32ED3">
            <w:pPr>
              <w:spacing w:line="360" w:lineRule="auto"/>
              <w:rPr>
                <w:rFonts w:cs="Arial"/>
                <w:b/>
                <w:szCs w:val="22"/>
              </w:rPr>
            </w:pPr>
            <w:r w:rsidRPr="00E05C83">
              <w:rPr>
                <w:rFonts w:cs="Arial"/>
                <w:b/>
                <w:szCs w:val="22"/>
              </w:rPr>
              <w:t>THE MINISTER OF POLICE</w:t>
            </w:r>
          </w:p>
        </w:tc>
        <w:tc>
          <w:tcPr>
            <w:tcW w:w="2592" w:type="dxa"/>
          </w:tcPr>
          <w:p w14:paraId="6C2986A0" w14:textId="3BAF8A72" w:rsidR="00991A47" w:rsidRPr="00E05C83" w:rsidRDefault="00991A47" w:rsidP="00D32ED3">
            <w:pPr>
              <w:spacing w:line="360" w:lineRule="auto"/>
              <w:rPr>
                <w:rFonts w:cs="Arial"/>
                <w:szCs w:val="22"/>
              </w:rPr>
            </w:pPr>
            <w:r w:rsidRPr="00E05C83">
              <w:rPr>
                <w:rFonts w:cs="Arial"/>
                <w:szCs w:val="22"/>
              </w:rPr>
              <w:t>FIRST DEFENDANT</w:t>
            </w:r>
          </w:p>
        </w:tc>
      </w:tr>
      <w:tr w:rsidR="00991A47" w:rsidRPr="00E05C83" w14:paraId="0D2195B3" w14:textId="77777777" w:rsidTr="00FF03A9">
        <w:tc>
          <w:tcPr>
            <w:tcW w:w="5949" w:type="dxa"/>
          </w:tcPr>
          <w:p w14:paraId="7FFC14FD" w14:textId="5E8219FB" w:rsidR="00991A47" w:rsidRPr="00E05C83" w:rsidRDefault="00877BB8" w:rsidP="00D32ED3">
            <w:pPr>
              <w:spacing w:line="360" w:lineRule="auto"/>
              <w:rPr>
                <w:rFonts w:cs="Arial"/>
                <w:b/>
                <w:szCs w:val="22"/>
              </w:rPr>
            </w:pPr>
            <w:r w:rsidRPr="00E05C83">
              <w:rPr>
                <w:rFonts w:cs="Arial"/>
                <w:b/>
                <w:szCs w:val="22"/>
              </w:rPr>
              <w:t>NATIONAL COMMISSIONER OF POLICE</w:t>
            </w:r>
          </w:p>
        </w:tc>
        <w:tc>
          <w:tcPr>
            <w:tcW w:w="2592" w:type="dxa"/>
          </w:tcPr>
          <w:p w14:paraId="04BE21C1" w14:textId="447FB8FB" w:rsidR="00991A47" w:rsidRPr="00E05C83" w:rsidRDefault="00991A47" w:rsidP="00D32ED3">
            <w:pPr>
              <w:spacing w:line="360" w:lineRule="auto"/>
              <w:rPr>
                <w:rFonts w:cs="Arial"/>
                <w:szCs w:val="22"/>
              </w:rPr>
            </w:pPr>
            <w:r w:rsidRPr="00E05C83">
              <w:rPr>
                <w:rFonts w:cs="Arial"/>
                <w:szCs w:val="22"/>
              </w:rPr>
              <w:t>SECOND DEFENDANT</w:t>
            </w:r>
          </w:p>
        </w:tc>
      </w:tr>
      <w:tr w:rsidR="00877BB8" w:rsidRPr="00E05C83" w14:paraId="1738C91C" w14:textId="77777777" w:rsidTr="00FF03A9">
        <w:tc>
          <w:tcPr>
            <w:tcW w:w="5949" w:type="dxa"/>
          </w:tcPr>
          <w:p w14:paraId="7E817D02" w14:textId="6807D630" w:rsidR="00877BB8" w:rsidRPr="00E05C83" w:rsidRDefault="00877BB8" w:rsidP="00D32ED3">
            <w:pPr>
              <w:spacing w:line="360" w:lineRule="auto"/>
              <w:rPr>
                <w:rFonts w:cs="Arial"/>
                <w:b/>
                <w:szCs w:val="22"/>
              </w:rPr>
            </w:pPr>
            <w:r w:rsidRPr="00E05C83">
              <w:rPr>
                <w:rFonts w:cs="Arial"/>
                <w:b/>
                <w:szCs w:val="22"/>
              </w:rPr>
              <w:t>STATION COMMISSIONER NORKEM PARK</w:t>
            </w:r>
          </w:p>
        </w:tc>
        <w:tc>
          <w:tcPr>
            <w:tcW w:w="2592" w:type="dxa"/>
          </w:tcPr>
          <w:p w14:paraId="48A5AF09" w14:textId="331264DB" w:rsidR="00877BB8" w:rsidRPr="00E05C83" w:rsidRDefault="00877BB8" w:rsidP="00D32ED3">
            <w:pPr>
              <w:spacing w:line="360" w:lineRule="auto"/>
              <w:rPr>
                <w:rFonts w:cs="Arial"/>
                <w:szCs w:val="22"/>
              </w:rPr>
            </w:pPr>
            <w:r w:rsidRPr="00E05C83">
              <w:rPr>
                <w:rFonts w:cs="Arial"/>
                <w:szCs w:val="22"/>
              </w:rPr>
              <w:t>THIRD DEFENDANT</w:t>
            </w:r>
          </w:p>
        </w:tc>
      </w:tr>
    </w:tbl>
    <w:p w14:paraId="5C78AA6D" w14:textId="77777777" w:rsidR="00991A47" w:rsidRPr="00E05C83" w:rsidRDefault="00991A47" w:rsidP="00991A47">
      <w:pPr>
        <w:pBdr>
          <w:bottom w:val="single" w:sz="4" w:space="1" w:color="auto"/>
        </w:pBdr>
        <w:spacing w:line="360" w:lineRule="auto"/>
        <w:jc w:val="both"/>
        <w:rPr>
          <w:rFonts w:cs="Arial"/>
          <w:szCs w:val="22"/>
        </w:rPr>
      </w:pPr>
    </w:p>
    <w:p w14:paraId="58DE5549" w14:textId="77777777" w:rsidR="006C43D7" w:rsidRPr="00E05C83" w:rsidRDefault="006C43D7" w:rsidP="00C74E97">
      <w:pPr>
        <w:spacing w:line="360" w:lineRule="auto"/>
        <w:jc w:val="both"/>
        <w:rPr>
          <w:rFonts w:cs="Arial"/>
          <w:szCs w:val="22"/>
        </w:rPr>
      </w:pPr>
    </w:p>
    <w:p w14:paraId="647AB70C" w14:textId="77777777" w:rsidR="006C43D7" w:rsidRPr="00E05C83" w:rsidRDefault="006C43D7" w:rsidP="00C74E97">
      <w:pPr>
        <w:keepNext/>
        <w:spacing w:line="360" w:lineRule="auto"/>
        <w:jc w:val="center"/>
        <w:outlineLvl w:val="1"/>
        <w:rPr>
          <w:rFonts w:cs="Arial"/>
          <w:b/>
          <w:bCs/>
          <w:szCs w:val="22"/>
        </w:rPr>
      </w:pPr>
      <w:r w:rsidRPr="00E05C83">
        <w:rPr>
          <w:rFonts w:cs="Arial"/>
          <w:b/>
          <w:bCs/>
          <w:szCs w:val="22"/>
        </w:rPr>
        <w:t>JUDGMENT</w:t>
      </w:r>
    </w:p>
    <w:p w14:paraId="52CD25EB" w14:textId="77777777" w:rsidR="006C43D7" w:rsidRPr="00E05C83" w:rsidRDefault="006C43D7" w:rsidP="00C74E97">
      <w:pPr>
        <w:pBdr>
          <w:bottom w:val="single" w:sz="4" w:space="1" w:color="auto"/>
        </w:pBdr>
        <w:spacing w:line="360" w:lineRule="auto"/>
        <w:jc w:val="both"/>
        <w:rPr>
          <w:rFonts w:cs="Arial"/>
          <w:szCs w:val="22"/>
        </w:rPr>
      </w:pPr>
    </w:p>
    <w:p w14:paraId="0CA76DA1" w14:textId="77777777" w:rsidR="00DC621D" w:rsidRPr="00E05C83" w:rsidRDefault="00DC621D" w:rsidP="00C74E97">
      <w:pPr>
        <w:spacing w:line="360" w:lineRule="auto"/>
        <w:jc w:val="both"/>
        <w:rPr>
          <w:rFonts w:cs="Arial"/>
          <w:b/>
          <w:szCs w:val="22"/>
        </w:rPr>
      </w:pPr>
    </w:p>
    <w:p w14:paraId="5BD82EFE" w14:textId="0F8FBF70" w:rsidR="00BE6AB8" w:rsidRPr="00E05C83" w:rsidRDefault="00C676F3" w:rsidP="00C74E97">
      <w:pPr>
        <w:spacing w:after="480" w:line="360" w:lineRule="auto"/>
        <w:jc w:val="both"/>
        <w:rPr>
          <w:rFonts w:cs="Arial"/>
          <w:b/>
          <w:szCs w:val="22"/>
        </w:rPr>
      </w:pPr>
      <w:r w:rsidRPr="00E05C83">
        <w:rPr>
          <w:rFonts w:cs="Arial"/>
          <w:b/>
          <w:szCs w:val="22"/>
        </w:rPr>
        <w:t>MOORCROFT</w:t>
      </w:r>
      <w:r w:rsidR="006C43D7" w:rsidRPr="00E05C83">
        <w:rPr>
          <w:rFonts w:cs="Arial"/>
          <w:b/>
          <w:szCs w:val="22"/>
        </w:rPr>
        <w:t xml:space="preserve"> AJ:</w:t>
      </w:r>
    </w:p>
    <w:p w14:paraId="09239A78" w14:textId="205827F2" w:rsidR="00C460A0" w:rsidRPr="00E05C83" w:rsidRDefault="00C460A0" w:rsidP="00C74E97">
      <w:pPr>
        <w:keepNext/>
        <w:spacing w:after="480" w:line="360" w:lineRule="auto"/>
        <w:jc w:val="both"/>
        <w:rPr>
          <w:rFonts w:cs="Arial"/>
          <w:bCs/>
          <w:i/>
          <w:iCs/>
          <w:szCs w:val="22"/>
          <w:u w:val="single"/>
        </w:rPr>
      </w:pPr>
      <w:r w:rsidRPr="00E05C83">
        <w:rPr>
          <w:rFonts w:cs="Arial"/>
          <w:bCs/>
          <w:i/>
          <w:iCs/>
          <w:szCs w:val="22"/>
          <w:u w:val="single"/>
        </w:rPr>
        <w:lastRenderedPageBreak/>
        <w:t>Summary</w:t>
      </w:r>
    </w:p>
    <w:p w14:paraId="452C028C" w14:textId="07067E01" w:rsidR="00F80C1E" w:rsidRPr="00E05C83" w:rsidRDefault="004E3033" w:rsidP="00C74E97">
      <w:pPr>
        <w:spacing w:after="480" w:line="360" w:lineRule="auto"/>
        <w:jc w:val="both"/>
        <w:rPr>
          <w:rFonts w:cs="Arial"/>
          <w:bCs/>
          <w:i/>
          <w:iCs/>
          <w:szCs w:val="22"/>
        </w:rPr>
      </w:pPr>
      <w:r w:rsidRPr="00E05C83">
        <w:rPr>
          <w:rFonts w:cs="Arial"/>
          <w:bCs/>
          <w:i/>
          <w:iCs/>
          <w:szCs w:val="22"/>
        </w:rPr>
        <w:t>Settlement – attorney briefed by a party has the authority to compromise claim – actual or ostensible authority – apparent authority not limited by instructions not known to other party</w:t>
      </w:r>
    </w:p>
    <w:p w14:paraId="29C21A8B" w14:textId="182BC168" w:rsidR="004E3033" w:rsidRPr="00E05C83" w:rsidRDefault="004E3033" w:rsidP="00C74E97">
      <w:pPr>
        <w:spacing w:after="480" w:line="360" w:lineRule="auto"/>
        <w:jc w:val="both"/>
        <w:rPr>
          <w:rFonts w:cs="Arial"/>
          <w:bCs/>
          <w:i/>
          <w:iCs/>
          <w:szCs w:val="22"/>
        </w:rPr>
      </w:pPr>
      <w:r w:rsidRPr="00E05C83">
        <w:rPr>
          <w:rFonts w:cs="Arial"/>
          <w:bCs/>
          <w:i/>
          <w:iCs/>
          <w:szCs w:val="22"/>
        </w:rPr>
        <w:t xml:space="preserve">Agreement – may be entered into under circumstances where parties foresee that there </w:t>
      </w:r>
      <w:r w:rsidR="00B026C3">
        <w:rPr>
          <w:rFonts w:cs="Arial"/>
          <w:bCs/>
          <w:i/>
          <w:iCs/>
          <w:szCs w:val="22"/>
        </w:rPr>
        <w:t>might</w:t>
      </w:r>
      <w:r w:rsidRPr="00E05C83">
        <w:rPr>
          <w:rFonts w:cs="Arial"/>
          <w:bCs/>
          <w:i/>
          <w:iCs/>
          <w:szCs w:val="22"/>
        </w:rPr>
        <w:t xml:space="preserve"> be outstanding issues to negotiate – parties may </w:t>
      </w:r>
      <w:r w:rsidRPr="00E05C83">
        <w:rPr>
          <w:rFonts w:cs="Arial"/>
          <w:i/>
          <w:iCs/>
          <w:szCs w:val="22"/>
          <w:lang w:val="en-GB"/>
        </w:rPr>
        <w:t xml:space="preserve">expressly or by implication leave outstanding </w:t>
      </w:r>
      <w:r w:rsidR="00D32ED3" w:rsidRPr="00E05C83">
        <w:rPr>
          <w:rFonts w:cs="Arial"/>
          <w:i/>
          <w:iCs/>
          <w:szCs w:val="22"/>
          <w:lang w:val="en-GB"/>
        </w:rPr>
        <w:t>issues</w:t>
      </w:r>
      <w:r w:rsidRPr="00E05C83">
        <w:rPr>
          <w:rFonts w:cs="Arial"/>
          <w:i/>
          <w:iCs/>
          <w:szCs w:val="22"/>
          <w:lang w:val="en-GB"/>
        </w:rPr>
        <w:t xml:space="preserve"> to future negotiation while entering into a binding agreement</w:t>
      </w:r>
    </w:p>
    <w:p w14:paraId="06BF08A9" w14:textId="77777777" w:rsidR="004E3033" w:rsidRPr="00E05C83" w:rsidRDefault="004E3033" w:rsidP="00C74E97">
      <w:pPr>
        <w:keepNext/>
        <w:spacing w:after="480" w:line="360" w:lineRule="auto"/>
        <w:jc w:val="both"/>
        <w:rPr>
          <w:rFonts w:cs="Arial"/>
          <w:bCs/>
          <w:szCs w:val="22"/>
          <w:u w:val="single"/>
        </w:rPr>
      </w:pPr>
    </w:p>
    <w:p w14:paraId="18AFD427" w14:textId="2D21DA43" w:rsidR="00BE6AB8" w:rsidRPr="00E05C83" w:rsidRDefault="00BE6AB8" w:rsidP="00C74E97">
      <w:pPr>
        <w:keepNext/>
        <w:spacing w:after="480" w:line="360" w:lineRule="auto"/>
        <w:jc w:val="both"/>
        <w:rPr>
          <w:rFonts w:cs="Arial"/>
          <w:bCs/>
          <w:szCs w:val="22"/>
          <w:u w:val="single"/>
        </w:rPr>
      </w:pPr>
      <w:r w:rsidRPr="00E05C83">
        <w:rPr>
          <w:rFonts w:cs="Arial"/>
          <w:bCs/>
          <w:szCs w:val="22"/>
          <w:u w:val="single"/>
        </w:rPr>
        <w:t>Order</w:t>
      </w:r>
    </w:p>
    <w:p w14:paraId="25A66E53" w14:textId="5F95749C" w:rsidR="00DC6EF8" w:rsidRPr="00E05C83" w:rsidRDefault="00AA6F87" w:rsidP="00AA6F87">
      <w:pPr>
        <w:tabs>
          <w:tab w:val="left" w:pos="567"/>
        </w:tabs>
        <w:spacing w:after="480" w:line="360" w:lineRule="auto"/>
        <w:jc w:val="both"/>
        <w:rPr>
          <w:rFonts w:cs="Arial"/>
          <w:bCs/>
          <w:szCs w:val="22"/>
        </w:rPr>
      </w:pPr>
      <w:r w:rsidRPr="00E05C83">
        <w:rPr>
          <w:rFonts w:cs="Arial"/>
          <w:bCs/>
          <w:szCs w:val="22"/>
        </w:rPr>
        <w:t>[1]</w:t>
      </w:r>
      <w:r w:rsidRPr="00E05C83">
        <w:rPr>
          <w:rFonts w:cs="Arial"/>
          <w:bCs/>
          <w:szCs w:val="22"/>
        </w:rPr>
        <w:tab/>
      </w:r>
      <w:r w:rsidR="003B4100" w:rsidRPr="00E05C83">
        <w:rPr>
          <w:rFonts w:cs="Arial"/>
          <w:bCs/>
          <w:szCs w:val="22"/>
        </w:rPr>
        <w:t xml:space="preserve">In this </w:t>
      </w:r>
      <w:r w:rsidR="00B56906" w:rsidRPr="00E05C83">
        <w:rPr>
          <w:rFonts w:cs="Arial"/>
          <w:bCs/>
          <w:szCs w:val="22"/>
        </w:rPr>
        <w:t xml:space="preserve">matter </w:t>
      </w:r>
      <w:r w:rsidR="00C460A0" w:rsidRPr="00E05C83">
        <w:rPr>
          <w:rFonts w:cs="Arial"/>
          <w:bCs/>
          <w:szCs w:val="22"/>
        </w:rPr>
        <w:t>I ma</w:t>
      </w:r>
      <w:r w:rsidR="00FF03A9" w:rsidRPr="00E05C83">
        <w:rPr>
          <w:rFonts w:cs="Arial"/>
          <w:bCs/>
          <w:szCs w:val="22"/>
        </w:rPr>
        <w:t>k</w:t>
      </w:r>
      <w:r w:rsidR="00DC6EF8" w:rsidRPr="00E05C83">
        <w:rPr>
          <w:rFonts w:cs="Arial"/>
          <w:bCs/>
          <w:szCs w:val="22"/>
        </w:rPr>
        <w:t>e</w:t>
      </w:r>
      <w:r w:rsidR="00C460A0" w:rsidRPr="00E05C83">
        <w:rPr>
          <w:rFonts w:cs="Arial"/>
          <w:bCs/>
          <w:szCs w:val="22"/>
        </w:rPr>
        <w:t xml:space="preserve"> the following order</w:t>
      </w:r>
      <w:r w:rsidR="00FF03A9" w:rsidRPr="00E05C83">
        <w:rPr>
          <w:rFonts w:cs="Arial"/>
          <w:bCs/>
          <w:szCs w:val="22"/>
        </w:rPr>
        <w:t>:</w:t>
      </w:r>
    </w:p>
    <w:p w14:paraId="376FB8AA" w14:textId="31E5FFDC" w:rsidR="00285ACC" w:rsidRPr="00AA6F87" w:rsidRDefault="00AA6F87" w:rsidP="00AA6F87">
      <w:pPr>
        <w:spacing w:before="120" w:after="120" w:line="360" w:lineRule="auto"/>
        <w:ind w:left="360" w:hanging="360"/>
        <w:rPr>
          <w:rFonts w:cs="Arial"/>
          <w:i/>
          <w:iCs/>
          <w:szCs w:val="22"/>
        </w:rPr>
      </w:pPr>
      <w:r w:rsidRPr="00E05C83">
        <w:rPr>
          <w:rFonts w:cs="Arial"/>
          <w:i/>
          <w:iCs/>
          <w:szCs w:val="22"/>
        </w:rPr>
        <w:t>1.</w:t>
      </w:r>
      <w:r w:rsidRPr="00E05C83">
        <w:rPr>
          <w:rFonts w:cs="Arial"/>
          <w:i/>
          <w:iCs/>
          <w:szCs w:val="22"/>
        </w:rPr>
        <w:tab/>
      </w:r>
      <w:r w:rsidR="004346A7" w:rsidRPr="00AA6F87">
        <w:rPr>
          <w:rFonts w:cs="Arial"/>
          <w:i/>
          <w:iCs/>
          <w:szCs w:val="22"/>
          <w:lang w:val="en-GB"/>
        </w:rPr>
        <w:t>The respondent is ordered to pay the amount of R 4 918 244.00 to the applicant;</w:t>
      </w:r>
    </w:p>
    <w:p w14:paraId="34108646" w14:textId="0450CA03" w:rsidR="004346A7" w:rsidRPr="00AA6F87" w:rsidRDefault="00AA6F87" w:rsidP="00AA6F87">
      <w:pPr>
        <w:spacing w:before="120" w:after="120" w:line="360" w:lineRule="auto"/>
        <w:ind w:left="360" w:hanging="360"/>
        <w:rPr>
          <w:rFonts w:cs="Arial"/>
          <w:i/>
          <w:iCs/>
          <w:szCs w:val="22"/>
        </w:rPr>
      </w:pPr>
      <w:r w:rsidRPr="00E05C83">
        <w:rPr>
          <w:rFonts w:cs="Arial"/>
          <w:i/>
          <w:iCs/>
          <w:szCs w:val="22"/>
        </w:rPr>
        <w:t>2.</w:t>
      </w:r>
      <w:r w:rsidRPr="00E05C83">
        <w:rPr>
          <w:rFonts w:cs="Arial"/>
          <w:i/>
          <w:iCs/>
          <w:szCs w:val="22"/>
        </w:rPr>
        <w:tab/>
      </w:r>
      <w:r w:rsidR="004346A7" w:rsidRPr="00AA6F87">
        <w:rPr>
          <w:rFonts w:cs="Arial"/>
          <w:i/>
          <w:iCs/>
          <w:szCs w:val="22"/>
          <w:lang w:val="en-GB"/>
        </w:rPr>
        <w:t>The respondent is ordered to pay interest on the above amount at the rate of 10.5% per annum from date of service of summons to date of payment;</w:t>
      </w:r>
    </w:p>
    <w:p w14:paraId="7286D787" w14:textId="752CFD31" w:rsidR="00285ACC" w:rsidRPr="00AA6F87" w:rsidRDefault="00AA6F87" w:rsidP="00AA6F87">
      <w:pPr>
        <w:spacing w:before="120" w:after="120" w:line="360" w:lineRule="auto"/>
        <w:ind w:left="360" w:hanging="360"/>
        <w:rPr>
          <w:rFonts w:cs="Arial"/>
          <w:i/>
          <w:iCs/>
          <w:szCs w:val="22"/>
        </w:rPr>
      </w:pPr>
      <w:r w:rsidRPr="00E05C83">
        <w:rPr>
          <w:rFonts w:cs="Arial"/>
          <w:i/>
          <w:iCs/>
          <w:szCs w:val="22"/>
        </w:rPr>
        <w:t>3.</w:t>
      </w:r>
      <w:r w:rsidRPr="00E05C83">
        <w:rPr>
          <w:rFonts w:cs="Arial"/>
          <w:i/>
          <w:iCs/>
          <w:szCs w:val="22"/>
        </w:rPr>
        <w:tab/>
      </w:r>
      <w:r w:rsidR="004346A7" w:rsidRPr="00AA6F87">
        <w:rPr>
          <w:rFonts w:cs="Arial"/>
          <w:i/>
          <w:iCs/>
          <w:szCs w:val="22"/>
          <w:lang w:val="en-GB"/>
        </w:rPr>
        <w:t>The respondent is ordered to pay the cost of the action and the cost of the application;</w:t>
      </w:r>
    </w:p>
    <w:p w14:paraId="475FA2D1" w14:textId="3A073F51" w:rsidR="000264AE" w:rsidRPr="00E05C83" w:rsidRDefault="000264AE" w:rsidP="004346A7">
      <w:pPr>
        <w:spacing w:before="120" w:after="120" w:line="360" w:lineRule="auto"/>
        <w:rPr>
          <w:rFonts w:cs="Arial"/>
          <w:i/>
          <w:iCs/>
          <w:szCs w:val="22"/>
        </w:rPr>
      </w:pPr>
    </w:p>
    <w:p w14:paraId="08540072" w14:textId="527EDEA7" w:rsidR="00C9310B" w:rsidRPr="00AA6F87" w:rsidRDefault="00AA6F87" w:rsidP="00AA6F87">
      <w:pPr>
        <w:widowControl w:val="0"/>
        <w:tabs>
          <w:tab w:val="left" w:pos="567"/>
        </w:tabs>
        <w:spacing w:before="480" w:after="480" w:line="360" w:lineRule="auto"/>
        <w:jc w:val="both"/>
        <w:rPr>
          <w:rFonts w:cs="Arial"/>
          <w:bCs/>
          <w:szCs w:val="22"/>
          <w:u w:val="single"/>
        </w:rPr>
      </w:pPr>
      <w:r w:rsidRPr="00E05C83">
        <w:rPr>
          <w:rFonts w:cs="Arial"/>
          <w:bCs/>
          <w:szCs w:val="22"/>
        </w:rPr>
        <w:t>[2]</w:t>
      </w:r>
      <w:r w:rsidRPr="00E05C83">
        <w:rPr>
          <w:rFonts w:cs="Arial"/>
          <w:bCs/>
          <w:szCs w:val="22"/>
        </w:rPr>
        <w:tab/>
      </w:r>
      <w:r w:rsidR="00573FF9" w:rsidRPr="00AA6F87">
        <w:rPr>
          <w:rFonts w:cs="Arial"/>
          <w:bCs/>
          <w:szCs w:val="22"/>
        </w:rPr>
        <w:t xml:space="preserve">The reasons for the order </w:t>
      </w:r>
      <w:r w:rsidR="00A63709" w:rsidRPr="00AA6F87">
        <w:rPr>
          <w:rFonts w:cs="Arial"/>
          <w:bCs/>
          <w:szCs w:val="22"/>
        </w:rPr>
        <w:t>follow</w:t>
      </w:r>
      <w:r w:rsidR="00573FF9" w:rsidRPr="00AA6F87">
        <w:rPr>
          <w:rFonts w:cs="Arial"/>
          <w:bCs/>
          <w:szCs w:val="22"/>
        </w:rPr>
        <w:t xml:space="preserve"> below.</w:t>
      </w:r>
    </w:p>
    <w:p w14:paraId="037F1A01" w14:textId="77777777" w:rsidR="00A444DD" w:rsidRPr="00E05C83" w:rsidRDefault="00A444DD" w:rsidP="00C74E97">
      <w:pPr>
        <w:keepNext/>
        <w:widowControl w:val="0"/>
        <w:spacing w:before="480" w:after="480" w:line="360" w:lineRule="auto"/>
        <w:jc w:val="both"/>
        <w:rPr>
          <w:rFonts w:cs="Arial"/>
          <w:bCs/>
          <w:szCs w:val="22"/>
          <w:u w:val="single"/>
        </w:rPr>
      </w:pPr>
    </w:p>
    <w:p w14:paraId="3658C913" w14:textId="6056F843" w:rsidR="00573FF9" w:rsidRPr="00E05C83" w:rsidRDefault="00D9086C" w:rsidP="00C74E97">
      <w:pPr>
        <w:keepNext/>
        <w:widowControl w:val="0"/>
        <w:spacing w:before="480" w:after="480" w:line="360" w:lineRule="auto"/>
        <w:jc w:val="both"/>
        <w:rPr>
          <w:rFonts w:cs="Arial"/>
          <w:bCs/>
          <w:szCs w:val="22"/>
          <w:u w:val="single"/>
        </w:rPr>
      </w:pPr>
      <w:r w:rsidRPr="00E05C83">
        <w:rPr>
          <w:rFonts w:cs="Arial"/>
          <w:bCs/>
          <w:szCs w:val="22"/>
          <w:u w:val="single"/>
        </w:rPr>
        <w:t>Introduction</w:t>
      </w:r>
    </w:p>
    <w:p w14:paraId="141D14AB" w14:textId="4AE2CF4E" w:rsidR="00285ACC"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[3]</w:t>
      </w:r>
      <w:r w:rsidRPr="00E05C83">
        <w:rPr>
          <w:rFonts w:cs="Arial"/>
          <w:bCs/>
          <w:szCs w:val="22"/>
        </w:rPr>
        <w:tab/>
      </w:r>
      <w:r w:rsidR="00AD34F0" w:rsidRPr="00E05C83">
        <w:rPr>
          <w:rFonts w:cs="Arial"/>
          <w:bCs/>
          <w:szCs w:val="22"/>
        </w:rPr>
        <w:t xml:space="preserve">The applicant as plaintiff claimed damages from the Minister as first defendant and respondent arising out of a shooting incident. She was shot by a member of the South African Police </w:t>
      </w:r>
      <w:r w:rsidR="000D247E" w:rsidRPr="00E05C83">
        <w:rPr>
          <w:rFonts w:cs="Arial"/>
          <w:bCs/>
          <w:szCs w:val="22"/>
        </w:rPr>
        <w:t xml:space="preserve">Service </w:t>
      </w:r>
      <w:r w:rsidR="00AD34F0" w:rsidRPr="00E05C83">
        <w:rPr>
          <w:rFonts w:cs="Arial"/>
          <w:bCs/>
          <w:szCs w:val="22"/>
        </w:rPr>
        <w:t xml:space="preserve">under circumstances where the member was mentally unfit and did not qualify to possess a firearm allocated to him by the Police </w:t>
      </w:r>
      <w:r w:rsidR="004E3033" w:rsidRPr="00E05C83">
        <w:rPr>
          <w:rFonts w:cs="Arial"/>
          <w:bCs/>
          <w:szCs w:val="22"/>
        </w:rPr>
        <w:t>Service</w:t>
      </w:r>
      <w:r w:rsidR="00AD34F0" w:rsidRPr="00E05C83">
        <w:rPr>
          <w:rFonts w:cs="Arial"/>
          <w:bCs/>
          <w:szCs w:val="22"/>
        </w:rPr>
        <w:t xml:space="preserve">. The respondent </w:t>
      </w:r>
      <w:r w:rsidR="00AD34F0" w:rsidRPr="00E05C83">
        <w:rPr>
          <w:rFonts w:cs="Arial"/>
          <w:bCs/>
          <w:szCs w:val="22"/>
        </w:rPr>
        <w:lastRenderedPageBreak/>
        <w:t>conceded liability</w:t>
      </w:r>
      <w:r w:rsidR="00F7664B" w:rsidRPr="00E05C83">
        <w:rPr>
          <w:rFonts w:cs="Arial"/>
          <w:bCs/>
          <w:szCs w:val="22"/>
        </w:rPr>
        <w:t xml:space="preserve">. (The second and third </w:t>
      </w:r>
      <w:r w:rsidR="004E3033" w:rsidRPr="00E05C83">
        <w:rPr>
          <w:rFonts w:cs="Arial"/>
          <w:bCs/>
          <w:szCs w:val="22"/>
        </w:rPr>
        <w:t>defendants</w:t>
      </w:r>
      <w:r w:rsidR="00F7664B" w:rsidRPr="00E05C83">
        <w:rPr>
          <w:rFonts w:cs="Arial"/>
          <w:bCs/>
          <w:szCs w:val="22"/>
        </w:rPr>
        <w:t xml:space="preserve"> are the National Police Commissioner and the Station Commander of the Norkem Park Police Station and it is not necessary to differentiate between the three </w:t>
      </w:r>
      <w:r w:rsidR="004E3033" w:rsidRPr="00E05C83">
        <w:rPr>
          <w:rFonts w:cs="Arial"/>
          <w:bCs/>
          <w:szCs w:val="22"/>
        </w:rPr>
        <w:t>defendants in the trial action</w:t>
      </w:r>
      <w:r w:rsidR="00F7664B" w:rsidRPr="00E05C83">
        <w:rPr>
          <w:rFonts w:cs="Arial"/>
          <w:bCs/>
          <w:szCs w:val="22"/>
        </w:rPr>
        <w:t xml:space="preserve"> as the first </w:t>
      </w:r>
      <w:r w:rsidR="004E3033" w:rsidRPr="00E05C83">
        <w:rPr>
          <w:rFonts w:cs="Arial"/>
          <w:bCs/>
          <w:szCs w:val="22"/>
        </w:rPr>
        <w:t>defendant</w:t>
      </w:r>
      <w:r w:rsidR="00F7664B" w:rsidRPr="00E05C83">
        <w:rPr>
          <w:rFonts w:cs="Arial"/>
          <w:bCs/>
          <w:szCs w:val="22"/>
        </w:rPr>
        <w:t xml:space="preserve"> as the responsible Minister is liable, </w:t>
      </w:r>
      <w:r w:rsidR="00F7664B" w:rsidRPr="00E05C83">
        <w:rPr>
          <w:rFonts w:cs="Arial"/>
          <w:bCs/>
          <w:i/>
          <w:szCs w:val="22"/>
        </w:rPr>
        <w:t>nomine officio</w:t>
      </w:r>
      <w:r w:rsidR="00F7664B" w:rsidRPr="00E05C83">
        <w:rPr>
          <w:rFonts w:cs="Arial"/>
          <w:bCs/>
          <w:szCs w:val="22"/>
        </w:rPr>
        <w:t xml:space="preserve">, for delicts committed by members of the </w:t>
      </w:r>
      <w:r w:rsidR="004E3033" w:rsidRPr="00E05C83">
        <w:rPr>
          <w:rFonts w:cs="Arial"/>
          <w:bCs/>
          <w:szCs w:val="22"/>
        </w:rPr>
        <w:t>Service</w:t>
      </w:r>
      <w:r w:rsidR="00F7664B" w:rsidRPr="00E05C83">
        <w:rPr>
          <w:rFonts w:cs="Arial"/>
          <w:bCs/>
          <w:szCs w:val="22"/>
        </w:rPr>
        <w:t xml:space="preserve"> acting within the </w:t>
      </w:r>
      <w:r w:rsidR="00F3463A" w:rsidRPr="00E05C83">
        <w:rPr>
          <w:rFonts w:cs="Arial"/>
          <w:bCs/>
          <w:szCs w:val="22"/>
        </w:rPr>
        <w:t>course</w:t>
      </w:r>
      <w:r w:rsidR="00F7664B" w:rsidRPr="00E05C83">
        <w:rPr>
          <w:rFonts w:cs="Arial"/>
          <w:bCs/>
          <w:szCs w:val="22"/>
        </w:rPr>
        <w:t xml:space="preserve"> and scope of their duties or in circumstances such as the present.)</w:t>
      </w:r>
      <w:r w:rsidR="004E4210" w:rsidRPr="00E05C83">
        <w:rPr>
          <w:rFonts w:cs="Arial"/>
          <w:bCs/>
          <w:szCs w:val="22"/>
        </w:rPr>
        <w:t xml:space="preserve"> </w:t>
      </w:r>
    </w:p>
    <w:p w14:paraId="40D799DD" w14:textId="343AB29C" w:rsidR="00E15659"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[4]</w:t>
      </w:r>
      <w:r w:rsidRPr="00E05C83">
        <w:rPr>
          <w:rFonts w:cs="Arial"/>
          <w:bCs/>
          <w:szCs w:val="22"/>
        </w:rPr>
        <w:tab/>
      </w:r>
      <w:r w:rsidR="00E15659" w:rsidRPr="00E05C83">
        <w:rPr>
          <w:rFonts w:cs="Arial"/>
          <w:bCs/>
          <w:szCs w:val="22"/>
        </w:rPr>
        <w:t xml:space="preserve">The claim for medical expenses and the interest of 10.5% </w:t>
      </w:r>
      <w:r w:rsidR="00E15659" w:rsidRPr="00E05C83">
        <w:rPr>
          <w:rFonts w:cs="Arial"/>
          <w:bCs/>
          <w:i/>
          <w:iCs/>
          <w:szCs w:val="22"/>
        </w:rPr>
        <w:t>per annum</w:t>
      </w:r>
      <w:r w:rsidR="00E15659" w:rsidRPr="00E05C83">
        <w:rPr>
          <w:rFonts w:cs="Arial"/>
          <w:bCs/>
          <w:szCs w:val="22"/>
        </w:rPr>
        <w:t xml:space="preserve"> payable on the claim became settled by 17 October 2022. </w:t>
      </w:r>
      <w:r w:rsidR="00A40760" w:rsidRPr="00E05C83">
        <w:rPr>
          <w:rFonts w:cs="Arial"/>
          <w:bCs/>
          <w:szCs w:val="22"/>
        </w:rPr>
        <w:t xml:space="preserve">The only outstanding issues </w:t>
      </w:r>
      <w:r w:rsidR="004E3033" w:rsidRPr="00E05C83">
        <w:rPr>
          <w:rFonts w:cs="Arial"/>
          <w:bCs/>
          <w:szCs w:val="22"/>
        </w:rPr>
        <w:t>then were</w:t>
      </w:r>
      <w:r w:rsidR="00A40760" w:rsidRPr="00E05C83">
        <w:rPr>
          <w:rFonts w:cs="Arial"/>
          <w:bCs/>
          <w:szCs w:val="22"/>
        </w:rPr>
        <w:t xml:space="preserve"> the claim for past and future loss of income and general damages.</w:t>
      </w:r>
    </w:p>
    <w:p w14:paraId="48A58833" w14:textId="2AA5C31B" w:rsidR="00A40760"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[5]</w:t>
      </w:r>
      <w:r w:rsidRPr="00E05C83">
        <w:rPr>
          <w:rFonts w:cs="Arial"/>
          <w:bCs/>
          <w:szCs w:val="22"/>
        </w:rPr>
        <w:tab/>
      </w:r>
      <w:r w:rsidR="00A40760" w:rsidRPr="00E05C83">
        <w:rPr>
          <w:rFonts w:cs="Arial"/>
          <w:bCs/>
          <w:szCs w:val="22"/>
        </w:rPr>
        <w:t>The app</w:t>
      </w:r>
      <w:r w:rsidR="00AB19D7" w:rsidRPr="00E05C83">
        <w:rPr>
          <w:rFonts w:cs="Arial"/>
          <w:bCs/>
          <w:szCs w:val="22"/>
        </w:rPr>
        <w:t xml:space="preserve">licant now </w:t>
      </w:r>
      <w:r w:rsidR="00F3463A" w:rsidRPr="00E05C83">
        <w:rPr>
          <w:rFonts w:cs="Arial"/>
          <w:bCs/>
          <w:szCs w:val="22"/>
        </w:rPr>
        <w:t>alleges</w:t>
      </w:r>
      <w:r w:rsidR="00AB19D7" w:rsidRPr="00E05C83">
        <w:rPr>
          <w:rFonts w:cs="Arial"/>
          <w:bCs/>
          <w:szCs w:val="22"/>
        </w:rPr>
        <w:t xml:space="preserve"> that both these claims have been compromised and that the compromise offer was accepted by her. This compromise is den</w:t>
      </w:r>
      <w:r w:rsidR="006D5794" w:rsidRPr="00E05C83">
        <w:rPr>
          <w:rFonts w:cs="Arial"/>
          <w:bCs/>
          <w:szCs w:val="22"/>
        </w:rPr>
        <w:t>ied</w:t>
      </w:r>
      <w:r w:rsidR="00AB19D7" w:rsidRPr="00E05C83">
        <w:rPr>
          <w:rFonts w:cs="Arial"/>
          <w:bCs/>
          <w:szCs w:val="22"/>
        </w:rPr>
        <w:t xml:space="preserve"> by the respondent.</w:t>
      </w:r>
    </w:p>
    <w:p w14:paraId="1BD8469E" w14:textId="6D3879CE" w:rsidR="00276D43"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[6]</w:t>
      </w:r>
      <w:r w:rsidRPr="00E05C83">
        <w:rPr>
          <w:rFonts w:cs="Arial"/>
          <w:bCs/>
          <w:szCs w:val="22"/>
        </w:rPr>
        <w:tab/>
      </w:r>
      <w:r w:rsidR="00AB19D7" w:rsidRPr="00E05C83">
        <w:rPr>
          <w:rFonts w:cs="Arial"/>
          <w:bCs/>
          <w:szCs w:val="22"/>
        </w:rPr>
        <w:t xml:space="preserve">On 31 October 2022 the State Attorneys in their capacity as the attorneys of record for the respondent, made a written offer to the applicant. </w:t>
      </w:r>
      <w:r w:rsidR="00276D43" w:rsidRPr="00E05C83">
        <w:rPr>
          <w:rFonts w:cs="Arial"/>
          <w:bCs/>
          <w:szCs w:val="22"/>
        </w:rPr>
        <w:t>The offer was summarised as follows:</w:t>
      </w:r>
    </w:p>
    <w:p w14:paraId="23A35E67" w14:textId="1DD00DF2" w:rsidR="00276D43" w:rsidRPr="00E05C83" w:rsidRDefault="00276D43" w:rsidP="00276D43">
      <w:pPr>
        <w:widowControl w:val="0"/>
        <w:spacing w:before="480" w:after="480" w:line="360" w:lineRule="auto"/>
        <w:jc w:val="both"/>
        <w:rPr>
          <w:rFonts w:cs="Arial"/>
          <w:bCs/>
          <w:szCs w:val="22"/>
        </w:rPr>
      </w:pPr>
      <w:r w:rsidRPr="00E05C83">
        <w:rPr>
          <w:rFonts w:cs="Arial"/>
          <w:bCs/>
          <w:noProof/>
          <w:szCs w:val="22"/>
          <w:lang w:eastAsia="en-ZA"/>
        </w:rPr>
        <w:drawing>
          <wp:inline distT="0" distB="0" distL="0" distR="0" wp14:anchorId="56F87631" wp14:editId="6BD710EF">
            <wp:extent cx="5348605" cy="1791222"/>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6338" cy="1810557"/>
                    </a:xfrm>
                    <a:prstGeom prst="rect">
                      <a:avLst/>
                    </a:prstGeom>
                    <a:noFill/>
                    <a:ln>
                      <a:noFill/>
                    </a:ln>
                  </pic:spPr>
                </pic:pic>
              </a:graphicData>
            </a:graphic>
          </wp:inline>
        </w:drawing>
      </w:r>
    </w:p>
    <w:p w14:paraId="10786A20" w14:textId="3BA61320" w:rsidR="00276D43"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[7]</w:t>
      </w:r>
      <w:r w:rsidRPr="00E05C83">
        <w:rPr>
          <w:rFonts w:cs="Arial"/>
          <w:bCs/>
          <w:szCs w:val="22"/>
        </w:rPr>
        <w:tab/>
      </w:r>
      <w:r w:rsidR="00AB19D7" w:rsidRPr="00E05C83">
        <w:rPr>
          <w:rFonts w:cs="Arial"/>
          <w:bCs/>
          <w:szCs w:val="22"/>
        </w:rPr>
        <w:t xml:space="preserve">This offer was revised and increased </w:t>
      </w:r>
      <w:r w:rsidR="00737C7B" w:rsidRPr="00E05C83">
        <w:rPr>
          <w:rFonts w:cs="Arial"/>
          <w:bCs/>
          <w:szCs w:val="22"/>
        </w:rPr>
        <w:t xml:space="preserve">in an email </w:t>
      </w:r>
      <w:r w:rsidR="00AB19D7" w:rsidRPr="00E05C83">
        <w:rPr>
          <w:rFonts w:cs="Arial"/>
          <w:bCs/>
          <w:szCs w:val="22"/>
        </w:rPr>
        <w:t>on 7 November 2022</w:t>
      </w:r>
      <w:r w:rsidR="009A4834" w:rsidRPr="00E05C83">
        <w:rPr>
          <w:rFonts w:cs="Arial"/>
          <w:bCs/>
          <w:szCs w:val="22"/>
        </w:rPr>
        <w:t xml:space="preserve"> – the amount of R2 618 244 was increased by R500 000 to R3 118 244.</w:t>
      </w:r>
    </w:p>
    <w:p w14:paraId="0ABC6D76" w14:textId="4251152C" w:rsidR="00AB19D7"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[8]</w:t>
      </w:r>
      <w:r w:rsidRPr="00E05C83">
        <w:rPr>
          <w:rFonts w:cs="Arial"/>
          <w:bCs/>
          <w:szCs w:val="22"/>
        </w:rPr>
        <w:tab/>
      </w:r>
      <w:r w:rsidR="00AB19D7" w:rsidRPr="00E05C83">
        <w:rPr>
          <w:rFonts w:cs="Arial"/>
          <w:bCs/>
          <w:szCs w:val="22"/>
        </w:rPr>
        <w:t>The offer was accepted on 10 November 2022.</w:t>
      </w:r>
      <w:r w:rsidR="00276D43" w:rsidRPr="00E05C83">
        <w:rPr>
          <w:rFonts w:cs="Arial"/>
          <w:bCs/>
          <w:szCs w:val="22"/>
        </w:rPr>
        <w:t xml:space="preserve"> The applicant’s attorneys wrote as follows to the respondent’s attorney</w:t>
      </w:r>
      <w:r w:rsidR="00D32ED3" w:rsidRPr="00E05C83">
        <w:rPr>
          <w:rFonts w:cs="Arial"/>
          <w:bCs/>
          <w:szCs w:val="22"/>
        </w:rPr>
        <w:t>s</w:t>
      </w:r>
      <w:r w:rsidR="00276D43" w:rsidRPr="00E05C83">
        <w:rPr>
          <w:rFonts w:cs="Arial"/>
          <w:bCs/>
          <w:szCs w:val="22"/>
        </w:rPr>
        <w:t xml:space="preserve"> on 10 November 2023:</w:t>
      </w:r>
    </w:p>
    <w:p w14:paraId="394E660B" w14:textId="6BF09243" w:rsidR="00276D43" w:rsidRPr="00E05C83" w:rsidRDefault="00276D43" w:rsidP="00276D43">
      <w:pPr>
        <w:widowControl w:val="0"/>
        <w:spacing w:before="480" w:after="480" w:line="360" w:lineRule="auto"/>
        <w:jc w:val="both"/>
        <w:rPr>
          <w:rFonts w:cs="Arial"/>
          <w:bCs/>
          <w:szCs w:val="22"/>
        </w:rPr>
      </w:pPr>
      <w:r w:rsidRPr="00E05C83">
        <w:rPr>
          <w:rFonts w:cs="Arial"/>
          <w:bCs/>
          <w:noProof/>
          <w:szCs w:val="22"/>
          <w:lang w:eastAsia="en-ZA"/>
        </w:rPr>
        <w:lastRenderedPageBreak/>
        <w:drawing>
          <wp:inline distT="0" distB="0" distL="0" distR="0" wp14:anchorId="122E0877" wp14:editId="59E62E98">
            <wp:extent cx="5429885" cy="58108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29885" cy="5810885"/>
                    </a:xfrm>
                    <a:prstGeom prst="rect">
                      <a:avLst/>
                    </a:prstGeom>
                    <a:noFill/>
                    <a:ln>
                      <a:noFill/>
                    </a:ln>
                  </pic:spPr>
                </pic:pic>
              </a:graphicData>
            </a:graphic>
          </wp:inline>
        </w:drawing>
      </w:r>
    </w:p>
    <w:p w14:paraId="238A57C2" w14:textId="35BD82D6" w:rsidR="00AB19D7"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[9]</w:t>
      </w:r>
      <w:r w:rsidRPr="00E05C83">
        <w:rPr>
          <w:rFonts w:cs="Arial"/>
          <w:bCs/>
          <w:szCs w:val="22"/>
        </w:rPr>
        <w:tab/>
      </w:r>
      <w:r w:rsidR="00AB19D7" w:rsidRPr="00E05C83">
        <w:rPr>
          <w:rFonts w:cs="Arial"/>
          <w:bCs/>
          <w:szCs w:val="22"/>
        </w:rPr>
        <w:t xml:space="preserve">The question for decision now is whether this correspondence constitutes a settlement of the outstanding issues. </w:t>
      </w:r>
    </w:p>
    <w:p w14:paraId="13364E08" w14:textId="260F585C" w:rsidR="00AB19D7"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[10]</w:t>
      </w:r>
      <w:r w:rsidRPr="00E05C83">
        <w:rPr>
          <w:rFonts w:cs="Arial"/>
          <w:bCs/>
          <w:szCs w:val="22"/>
        </w:rPr>
        <w:tab/>
      </w:r>
      <w:r w:rsidR="00AB19D7" w:rsidRPr="00E05C83">
        <w:rPr>
          <w:rFonts w:cs="Arial"/>
          <w:bCs/>
          <w:szCs w:val="22"/>
        </w:rPr>
        <w:t xml:space="preserve">The respondent raises three defences and these will be dealt with under separate headings below. These defences are that there exist factual disputes that preclude a decision </w:t>
      </w:r>
      <w:r w:rsidR="00B026C3">
        <w:rPr>
          <w:rFonts w:cs="Arial"/>
          <w:bCs/>
          <w:szCs w:val="22"/>
        </w:rPr>
        <w:t>o</w:t>
      </w:r>
      <w:r w:rsidR="00AB19D7" w:rsidRPr="00E05C83">
        <w:rPr>
          <w:rFonts w:cs="Arial"/>
          <w:bCs/>
          <w:szCs w:val="22"/>
        </w:rPr>
        <w:t>n application, that the settlement agreement was conditional and subject to further full and final instructions</w:t>
      </w:r>
      <w:r w:rsidR="00737C7B" w:rsidRPr="00E05C83">
        <w:rPr>
          <w:rFonts w:cs="Arial"/>
          <w:bCs/>
          <w:szCs w:val="22"/>
        </w:rPr>
        <w:t>,</w:t>
      </w:r>
      <w:r w:rsidR="00AB19D7" w:rsidRPr="00E05C83">
        <w:rPr>
          <w:rFonts w:cs="Arial"/>
          <w:bCs/>
          <w:szCs w:val="22"/>
        </w:rPr>
        <w:t xml:space="preserve"> and the lack of authority of the State Attorney to conclude a settlement agreement.</w:t>
      </w:r>
    </w:p>
    <w:p w14:paraId="6EBDFCC4" w14:textId="77777777" w:rsidR="000D247E" w:rsidRPr="00E05C83" w:rsidRDefault="000D247E" w:rsidP="00AB19D7">
      <w:pPr>
        <w:widowControl w:val="0"/>
        <w:spacing w:before="480" w:after="480" w:line="360" w:lineRule="auto"/>
        <w:jc w:val="both"/>
        <w:rPr>
          <w:rFonts w:cs="Arial"/>
          <w:bCs/>
          <w:szCs w:val="22"/>
          <w:u w:val="single"/>
        </w:rPr>
      </w:pPr>
    </w:p>
    <w:p w14:paraId="550DC916" w14:textId="654A4ECD" w:rsidR="00AB19D7" w:rsidRPr="00E05C83" w:rsidRDefault="00AB19D7" w:rsidP="00AB19D7">
      <w:pPr>
        <w:widowControl w:val="0"/>
        <w:spacing w:before="480" w:after="480" w:line="360" w:lineRule="auto"/>
        <w:jc w:val="both"/>
        <w:rPr>
          <w:rFonts w:cs="Arial"/>
          <w:bCs/>
          <w:szCs w:val="22"/>
          <w:u w:val="single"/>
        </w:rPr>
      </w:pPr>
      <w:r w:rsidRPr="00E05C83">
        <w:rPr>
          <w:rFonts w:cs="Arial"/>
          <w:bCs/>
          <w:szCs w:val="22"/>
          <w:u w:val="single"/>
        </w:rPr>
        <w:lastRenderedPageBreak/>
        <w:t>Factual disputes</w:t>
      </w:r>
    </w:p>
    <w:p w14:paraId="40FF67B7" w14:textId="33F3ABB7" w:rsidR="00AB19D7"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[11]</w:t>
      </w:r>
      <w:r w:rsidRPr="00E05C83">
        <w:rPr>
          <w:rFonts w:cs="Arial"/>
          <w:bCs/>
          <w:szCs w:val="22"/>
        </w:rPr>
        <w:tab/>
      </w:r>
      <w:r w:rsidR="00AB19D7" w:rsidRPr="00E05C83">
        <w:rPr>
          <w:rFonts w:cs="Arial"/>
          <w:bCs/>
          <w:szCs w:val="22"/>
        </w:rPr>
        <w:t>The allegation of factual disputes is a b</w:t>
      </w:r>
      <w:r w:rsidR="00737C7B" w:rsidRPr="00E05C83">
        <w:rPr>
          <w:rFonts w:cs="Arial"/>
          <w:bCs/>
          <w:szCs w:val="22"/>
        </w:rPr>
        <w:t>a</w:t>
      </w:r>
      <w:r w:rsidR="00AB19D7" w:rsidRPr="00E05C83">
        <w:rPr>
          <w:rFonts w:cs="Arial"/>
          <w:bCs/>
          <w:szCs w:val="22"/>
        </w:rPr>
        <w:t>ld statement and no actual factual disputes are identified on the papers. I conclude upon a reading of the affidavits and particularly the documents relied upon as constituting the settlement agreement that there are no</w:t>
      </w:r>
      <w:r w:rsidR="00F3463A" w:rsidRPr="00E05C83">
        <w:rPr>
          <w:rFonts w:cs="Arial"/>
          <w:bCs/>
          <w:szCs w:val="22"/>
        </w:rPr>
        <w:t xml:space="preserve"> factual disputes arising </w:t>
      </w:r>
      <w:r w:rsidR="000D247E" w:rsidRPr="00E05C83">
        <w:rPr>
          <w:rFonts w:cs="Arial"/>
          <w:bCs/>
          <w:szCs w:val="22"/>
        </w:rPr>
        <w:t>from the papers</w:t>
      </w:r>
      <w:r w:rsidR="00F3463A" w:rsidRPr="00E05C83">
        <w:rPr>
          <w:rFonts w:cs="Arial"/>
          <w:bCs/>
          <w:szCs w:val="22"/>
        </w:rPr>
        <w:t>.</w:t>
      </w:r>
    </w:p>
    <w:p w14:paraId="7FC343C0" w14:textId="6378FFA1" w:rsidR="00AB19D7"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[12]</w:t>
      </w:r>
      <w:r w:rsidRPr="00E05C83">
        <w:rPr>
          <w:rFonts w:cs="Arial"/>
          <w:bCs/>
          <w:szCs w:val="22"/>
        </w:rPr>
        <w:tab/>
      </w:r>
      <w:r w:rsidR="00AB19D7" w:rsidRPr="00E05C83">
        <w:rPr>
          <w:rFonts w:cs="Arial"/>
          <w:bCs/>
          <w:szCs w:val="22"/>
        </w:rPr>
        <w:t xml:space="preserve">The factual disputes that are referred to, relate </w:t>
      </w:r>
      <w:r w:rsidR="00F3463A" w:rsidRPr="00E05C83">
        <w:rPr>
          <w:rFonts w:cs="Arial"/>
          <w:bCs/>
          <w:szCs w:val="22"/>
        </w:rPr>
        <w:t xml:space="preserve">in the main </w:t>
      </w:r>
      <w:r w:rsidR="00AB19D7" w:rsidRPr="00E05C83">
        <w:rPr>
          <w:rFonts w:cs="Arial"/>
          <w:bCs/>
          <w:szCs w:val="22"/>
        </w:rPr>
        <w:t>to matters that preceded the making of the offer and they relate to the expert reports.</w:t>
      </w:r>
    </w:p>
    <w:p w14:paraId="64C931F8" w14:textId="77777777" w:rsidR="00F3463A" w:rsidRPr="00E05C83" w:rsidRDefault="00F3463A" w:rsidP="00AB19D7">
      <w:pPr>
        <w:widowControl w:val="0"/>
        <w:spacing w:before="480" w:after="480" w:line="360" w:lineRule="auto"/>
        <w:jc w:val="both"/>
        <w:rPr>
          <w:rFonts w:cs="Arial"/>
          <w:bCs/>
          <w:szCs w:val="22"/>
          <w:u w:val="single"/>
        </w:rPr>
      </w:pPr>
    </w:p>
    <w:p w14:paraId="21A3650F" w14:textId="2AEF47AD" w:rsidR="00AB19D7" w:rsidRPr="00E05C83" w:rsidRDefault="00AB19D7" w:rsidP="00AB19D7">
      <w:pPr>
        <w:widowControl w:val="0"/>
        <w:spacing w:before="480" w:after="480" w:line="360" w:lineRule="auto"/>
        <w:jc w:val="both"/>
        <w:rPr>
          <w:rFonts w:cs="Arial"/>
          <w:bCs/>
          <w:szCs w:val="22"/>
          <w:u w:val="single"/>
        </w:rPr>
      </w:pPr>
      <w:r w:rsidRPr="00E05C83">
        <w:rPr>
          <w:rFonts w:cs="Arial"/>
          <w:bCs/>
          <w:szCs w:val="22"/>
          <w:u w:val="single"/>
        </w:rPr>
        <w:t>The absence of full and final instructions</w:t>
      </w:r>
      <w:r w:rsidR="009A4834" w:rsidRPr="00E05C83">
        <w:rPr>
          <w:rFonts w:cs="Arial"/>
          <w:bCs/>
          <w:szCs w:val="22"/>
          <w:u w:val="single"/>
        </w:rPr>
        <w:t>, and the authority of the State Attorney to reach a compromise</w:t>
      </w:r>
    </w:p>
    <w:p w14:paraId="2182587A" w14:textId="38F9D54F" w:rsidR="00AB19D7"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[13]</w:t>
      </w:r>
      <w:r w:rsidRPr="00E05C83">
        <w:rPr>
          <w:rFonts w:cs="Arial"/>
          <w:bCs/>
          <w:szCs w:val="22"/>
        </w:rPr>
        <w:tab/>
      </w:r>
      <w:r w:rsidR="00AB19D7" w:rsidRPr="00E05C83">
        <w:rPr>
          <w:rFonts w:cs="Arial"/>
          <w:bCs/>
          <w:szCs w:val="22"/>
        </w:rPr>
        <w:t>The State Attorney act</w:t>
      </w:r>
      <w:r w:rsidR="00B026C3">
        <w:rPr>
          <w:rFonts w:cs="Arial"/>
          <w:bCs/>
          <w:szCs w:val="22"/>
        </w:rPr>
        <w:t>ing</w:t>
      </w:r>
      <w:r w:rsidR="00AB19D7" w:rsidRPr="00E05C83">
        <w:rPr>
          <w:rFonts w:cs="Arial"/>
          <w:bCs/>
          <w:szCs w:val="22"/>
        </w:rPr>
        <w:t xml:space="preserve"> for the respondent</w:t>
      </w:r>
      <w:r w:rsidR="00D32ED3" w:rsidRPr="00E05C83">
        <w:rPr>
          <w:rFonts w:cs="Arial"/>
          <w:bCs/>
          <w:szCs w:val="22"/>
        </w:rPr>
        <w:t>,</w:t>
      </w:r>
      <w:r w:rsidR="00AB19D7" w:rsidRPr="00E05C83">
        <w:rPr>
          <w:rFonts w:cs="Arial"/>
          <w:bCs/>
          <w:szCs w:val="22"/>
        </w:rPr>
        <w:t xml:space="preserve"> Mr Mpulo</w:t>
      </w:r>
      <w:r w:rsidR="00D32ED3" w:rsidRPr="00E05C83">
        <w:rPr>
          <w:rFonts w:cs="Arial"/>
          <w:bCs/>
          <w:szCs w:val="22"/>
        </w:rPr>
        <w:t>,</w:t>
      </w:r>
      <w:r w:rsidR="00AB19D7" w:rsidRPr="00E05C83">
        <w:rPr>
          <w:rFonts w:cs="Arial"/>
          <w:bCs/>
          <w:szCs w:val="22"/>
        </w:rPr>
        <w:t xml:space="preserve"> settled the merits, the medical expenses portion of the damages claim and the interest rate in October 2022. On 17 October 2022, the parties agreed that the two outstanding issues on the </w:t>
      </w:r>
      <w:r w:rsidR="00AB19D7" w:rsidRPr="00E05C83">
        <w:rPr>
          <w:rFonts w:cs="Arial"/>
          <w:bCs/>
          <w:i/>
          <w:iCs/>
          <w:szCs w:val="22"/>
        </w:rPr>
        <w:t>quantum</w:t>
      </w:r>
      <w:r w:rsidR="00AB19D7" w:rsidRPr="00E05C83">
        <w:rPr>
          <w:rFonts w:cs="Arial"/>
          <w:bCs/>
          <w:szCs w:val="22"/>
        </w:rPr>
        <w:t xml:space="preserve"> namely past and future loss of income and general damages should be settled through negotiation.</w:t>
      </w:r>
    </w:p>
    <w:p w14:paraId="4D763E1E" w14:textId="4A0EE87D" w:rsidR="00D67F63"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[14]</w:t>
      </w:r>
      <w:r w:rsidRPr="00E05C83">
        <w:rPr>
          <w:rFonts w:cs="Arial"/>
          <w:bCs/>
          <w:szCs w:val="22"/>
        </w:rPr>
        <w:tab/>
      </w:r>
      <w:r w:rsidR="00D67F63" w:rsidRPr="00E05C83">
        <w:rPr>
          <w:rFonts w:cs="Arial"/>
          <w:bCs/>
          <w:szCs w:val="22"/>
        </w:rPr>
        <w:t xml:space="preserve">Mr Mpulo admits that he received instructions from the respondent to send the letters of October and November 2022. The letters are unconditional and not open to the interpretation that these are mere proposals for discussion subject to full and final instructions. The applicant accepted the offers. </w:t>
      </w:r>
    </w:p>
    <w:p w14:paraId="2ADB3B28" w14:textId="5F0125AB" w:rsidR="00F3463A"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[15]</w:t>
      </w:r>
      <w:r w:rsidRPr="00E05C83">
        <w:rPr>
          <w:rFonts w:cs="Arial"/>
          <w:bCs/>
          <w:szCs w:val="22"/>
        </w:rPr>
        <w:tab/>
      </w:r>
      <w:r w:rsidR="00D67F63" w:rsidRPr="00E05C83">
        <w:rPr>
          <w:rFonts w:cs="Arial"/>
          <w:bCs/>
          <w:szCs w:val="22"/>
        </w:rPr>
        <w:t>The applicant argues in addition that even if it were accepted that Mr Mpulo did not have actual authority, then he certainly had ostensible authority. He was the State Attorney acting for the respondent</w:t>
      </w:r>
      <w:r w:rsidR="000D247E" w:rsidRPr="00E05C83">
        <w:rPr>
          <w:rFonts w:cs="Arial"/>
          <w:bCs/>
          <w:szCs w:val="22"/>
        </w:rPr>
        <w:t>. The respondent</w:t>
      </w:r>
      <w:r w:rsidR="00D67F63" w:rsidRPr="00E05C83">
        <w:rPr>
          <w:rFonts w:cs="Arial"/>
          <w:bCs/>
          <w:szCs w:val="22"/>
        </w:rPr>
        <w:t xml:space="preserve"> by appointing the State Attorney, represented that Mr Mpulo had authority to act for and to bind the respondent. </w:t>
      </w:r>
    </w:p>
    <w:p w14:paraId="420D20AF" w14:textId="400A1CD6" w:rsidR="00F3463A"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[16]</w:t>
      </w:r>
      <w:r w:rsidRPr="00E05C83">
        <w:rPr>
          <w:rFonts w:cs="Arial"/>
          <w:bCs/>
          <w:szCs w:val="22"/>
        </w:rPr>
        <w:tab/>
      </w:r>
      <w:r w:rsidR="00F3463A" w:rsidRPr="00E05C83">
        <w:rPr>
          <w:rFonts w:cs="Arial"/>
          <w:szCs w:val="22"/>
        </w:rPr>
        <w:t xml:space="preserve">In </w:t>
      </w:r>
      <w:r w:rsidR="00D67F63" w:rsidRPr="00E05C83">
        <w:rPr>
          <w:rFonts w:cs="Arial"/>
          <w:i/>
          <w:iCs/>
          <w:szCs w:val="22"/>
        </w:rPr>
        <w:t>Hlobo v Multilateral Motor Vehicle Accident Fund</w:t>
      </w:r>
      <w:r w:rsidR="00D67F63" w:rsidRPr="00E05C83">
        <w:rPr>
          <w:rStyle w:val="FootnoteReference"/>
          <w:rFonts w:cs="Arial"/>
          <w:bCs/>
          <w:szCs w:val="22"/>
        </w:rPr>
        <w:footnoteReference w:id="1"/>
      </w:r>
      <w:r w:rsidR="00D67F63" w:rsidRPr="00E05C83">
        <w:rPr>
          <w:rFonts w:cs="Arial"/>
          <w:bCs/>
          <w:szCs w:val="22"/>
        </w:rPr>
        <w:t xml:space="preserve"> </w:t>
      </w:r>
      <w:r w:rsidR="00F3463A" w:rsidRPr="00E05C83">
        <w:rPr>
          <w:rFonts w:cs="Arial"/>
          <w:bCs/>
          <w:szCs w:val="22"/>
        </w:rPr>
        <w:t>Plewman JA said</w:t>
      </w:r>
      <w:r w:rsidR="00F3463A" w:rsidRPr="00E05C83">
        <w:rPr>
          <w:rStyle w:val="FootnoteReference"/>
          <w:rFonts w:cs="Arial"/>
          <w:bCs/>
          <w:szCs w:val="22"/>
        </w:rPr>
        <w:footnoteReference w:id="2"/>
      </w:r>
      <w:r w:rsidR="00F3463A" w:rsidRPr="00E05C83">
        <w:rPr>
          <w:rFonts w:cs="Arial"/>
          <w:bCs/>
          <w:szCs w:val="22"/>
        </w:rPr>
        <w:t xml:space="preserve"> that</w:t>
      </w:r>
      <w:r w:rsidR="00D67F63" w:rsidRPr="00E05C83">
        <w:rPr>
          <w:rFonts w:cs="Arial"/>
          <w:bCs/>
          <w:szCs w:val="22"/>
        </w:rPr>
        <w:t xml:space="preserve"> </w:t>
      </w:r>
      <w:r w:rsidR="00F3463A" w:rsidRPr="00E05C83">
        <w:rPr>
          <w:rFonts w:cs="Arial"/>
          <w:szCs w:val="22"/>
        </w:rPr>
        <w:t xml:space="preserve">the </w:t>
      </w:r>
      <w:r w:rsidR="00406F2B" w:rsidRPr="00E05C83">
        <w:rPr>
          <w:rFonts w:cs="Arial"/>
          <w:szCs w:val="22"/>
        </w:rPr>
        <w:t xml:space="preserve">Courts </w:t>
      </w:r>
      <w:r w:rsidR="00F3463A" w:rsidRPr="00E05C83">
        <w:rPr>
          <w:rFonts w:cs="Arial"/>
          <w:szCs w:val="22"/>
        </w:rPr>
        <w:t xml:space="preserve">encourage parties to deal with their disputes by attempting to reach a </w:t>
      </w:r>
      <w:r w:rsidR="00F3463A" w:rsidRPr="00E05C83">
        <w:rPr>
          <w:rFonts w:cs="Arial"/>
          <w:szCs w:val="22"/>
        </w:rPr>
        <w:lastRenderedPageBreak/>
        <w:t>compromise</w:t>
      </w:r>
      <w:r w:rsidR="00406F2B" w:rsidRPr="00E05C83">
        <w:rPr>
          <w:rStyle w:val="FootnoteReference"/>
          <w:rFonts w:cs="Arial"/>
          <w:szCs w:val="22"/>
        </w:rPr>
        <w:footnoteReference w:id="3"/>
      </w:r>
      <w:r w:rsidR="00406F2B" w:rsidRPr="00E05C83">
        <w:rPr>
          <w:rFonts w:cs="Arial"/>
          <w:szCs w:val="22"/>
        </w:rPr>
        <w:t xml:space="preserve"> and the practice is well-established</w:t>
      </w:r>
      <w:r w:rsidR="00F3463A" w:rsidRPr="00E05C83">
        <w:rPr>
          <w:rFonts w:cs="Arial"/>
          <w:szCs w:val="22"/>
        </w:rPr>
        <w:t>.</w:t>
      </w:r>
      <w:r w:rsidR="00F3463A" w:rsidRPr="00E05C83">
        <w:rPr>
          <w:rStyle w:val="FootnoteReference"/>
          <w:rFonts w:cs="Arial"/>
          <w:szCs w:val="22"/>
        </w:rPr>
        <w:footnoteReference w:id="4"/>
      </w:r>
      <w:r w:rsidR="00F3463A" w:rsidRPr="00E05C83">
        <w:rPr>
          <w:rFonts w:cs="Arial"/>
          <w:szCs w:val="22"/>
        </w:rPr>
        <w:t xml:space="preserve"> </w:t>
      </w:r>
      <w:r w:rsidR="00966A55" w:rsidRPr="00E05C83">
        <w:rPr>
          <w:rFonts w:cs="Arial"/>
          <w:szCs w:val="22"/>
        </w:rPr>
        <w:t>A</w:t>
      </w:r>
      <w:r w:rsidR="00966A55" w:rsidRPr="00E05C83">
        <w:rPr>
          <w:rFonts w:cs="Arial"/>
          <w:szCs w:val="22"/>
          <w:lang w:val="en-GB"/>
        </w:rPr>
        <w:t xml:space="preserve"> compromise </w:t>
      </w:r>
      <w:r w:rsidR="00F3463A" w:rsidRPr="00E05C83">
        <w:rPr>
          <w:rFonts w:cs="Arial"/>
          <w:szCs w:val="22"/>
        </w:rPr>
        <w:t>disposes of the proceedings.</w:t>
      </w:r>
      <w:r w:rsidR="00966A55" w:rsidRPr="00E05C83">
        <w:rPr>
          <w:rStyle w:val="FootnoteReference"/>
          <w:rFonts w:cs="Arial"/>
          <w:szCs w:val="22"/>
        </w:rPr>
        <w:footnoteReference w:id="5"/>
      </w:r>
      <w:r w:rsidR="00F3463A" w:rsidRPr="00E05C83">
        <w:rPr>
          <w:rFonts w:cs="Arial"/>
          <w:szCs w:val="22"/>
        </w:rPr>
        <w:t xml:space="preserve">  </w:t>
      </w:r>
      <w:r w:rsidR="00966A55" w:rsidRPr="00E05C83">
        <w:rPr>
          <w:rFonts w:cs="Arial"/>
          <w:szCs w:val="22"/>
        </w:rPr>
        <w:t>T</w:t>
      </w:r>
      <w:r w:rsidR="00F3463A" w:rsidRPr="00E05C83">
        <w:rPr>
          <w:rFonts w:cs="Arial"/>
          <w:szCs w:val="22"/>
        </w:rPr>
        <w:t xml:space="preserve">he conduct  of a party's case at the trial of an action is </w:t>
      </w:r>
      <w:r w:rsidR="00D32ED3" w:rsidRPr="00E05C83">
        <w:rPr>
          <w:rFonts w:cs="Arial"/>
          <w:szCs w:val="22"/>
        </w:rPr>
        <w:t>under</w:t>
      </w:r>
      <w:r w:rsidR="00F3463A" w:rsidRPr="00E05C83">
        <w:rPr>
          <w:rFonts w:cs="Arial"/>
          <w:szCs w:val="22"/>
        </w:rPr>
        <w:t xml:space="preserve"> the control of the party's counsel</w:t>
      </w:r>
      <w:r w:rsidR="00966A55" w:rsidRPr="00E05C83">
        <w:rPr>
          <w:rFonts w:cs="Arial"/>
          <w:szCs w:val="22"/>
        </w:rPr>
        <w:t xml:space="preserve"> and c</w:t>
      </w:r>
      <w:r w:rsidR="00F3463A" w:rsidRPr="00E05C83">
        <w:rPr>
          <w:rFonts w:cs="Arial"/>
          <w:szCs w:val="22"/>
        </w:rPr>
        <w:t>ounsel has authority to compromise the action</w:t>
      </w:r>
      <w:r w:rsidR="00966A55" w:rsidRPr="00E05C83">
        <w:rPr>
          <w:rFonts w:cs="Arial"/>
          <w:szCs w:val="22"/>
        </w:rPr>
        <w:t>.</w:t>
      </w:r>
      <w:r w:rsidR="00966A55" w:rsidRPr="00E05C83">
        <w:rPr>
          <w:rStyle w:val="FootnoteReference"/>
          <w:rFonts w:cs="Arial"/>
          <w:szCs w:val="22"/>
        </w:rPr>
        <w:footnoteReference w:id="6"/>
      </w:r>
      <w:r w:rsidR="00966A55" w:rsidRPr="00E05C83">
        <w:rPr>
          <w:rFonts w:cs="Arial"/>
          <w:szCs w:val="22"/>
        </w:rPr>
        <w:t xml:space="preserve"> The apparent authority of counsel</w:t>
      </w:r>
      <w:r w:rsidR="00F3463A" w:rsidRPr="00E05C83">
        <w:rPr>
          <w:rFonts w:cs="Arial"/>
          <w:szCs w:val="22"/>
        </w:rPr>
        <w:t xml:space="preserve"> cannot be limited by instructions unknown to the other party.</w:t>
      </w:r>
      <w:r w:rsidR="00966A55" w:rsidRPr="00E05C83">
        <w:rPr>
          <w:rStyle w:val="FootnoteReference"/>
          <w:rFonts w:cs="Arial"/>
          <w:szCs w:val="22"/>
        </w:rPr>
        <w:footnoteReference w:id="7"/>
      </w:r>
      <w:r w:rsidR="00F3463A" w:rsidRPr="00E05C83">
        <w:rPr>
          <w:rFonts w:cs="Arial"/>
          <w:szCs w:val="22"/>
        </w:rPr>
        <w:t xml:space="preserve">  </w:t>
      </w:r>
      <w:r w:rsidR="00966A55" w:rsidRPr="00E05C83">
        <w:rPr>
          <w:rFonts w:cs="Arial"/>
          <w:szCs w:val="22"/>
        </w:rPr>
        <w:t>T</w:t>
      </w:r>
      <w:r w:rsidR="00F3463A" w:rsidRPr="00E05C83">
        <w:rPr>
          <w:rFonts w:cs="Arial"/>
          <w:szCs w:val="22"/>
        </w:rPr>
        <w:t>he attorney of record stands in the same position</w:t>
      </w:r>
      <w:r w:rsidR="00966A55" w:rsidRPr="00E05C83">
        <w:rPr>
          <w:rFonts w:cs="Arial"/>
          <w:szCs w:val="22"/>
        </w:rPr>
        <w:t xml:space="preserve"> as counsel</w:t>
      </w:r>
      <w:r w:rsidR="00F3463A" w:rsidRPr="00E05C83">
        <w:rPr>
          <w:rFonts w:cs="Arial"/>
          <w:szCs w:val="22"/>
        </w:rPr>
        <w:t>.</w:t>
      </w:r>
      <w:r w:rsidR="00966A55" w:rsidRPr="00E05C83">
        <w:rPr>
          <w:rStyle w:val="FootnoteReference"/>
          <w:rFonts w:cs="Arial"/>
          <w:szCs w:val="22"/>
        </w:rPr>
        <w:footnoteReference w:id="8"/>
      </w:r>
      <w:r w:rsidR="00F3463A" w:rsidRPr="00E05C83">
        <w:rPr>
          <w:rFonts w:cs="Arial"/>
          <w:szCs w:val="22"/>
        </w:rPr>
        <w:t xml:space="preserve"> </w:t>
      </w:r>
    </w:p>
    <w:p w14:paraId="23BADB87" w14:textId="63FEC64B" w:rsidR="00D67F63"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[17]</w:t>
      </w:r>
      <w:r w:rsidRPr="00E05C83">
        <w:rPr>
          <w:rFonts w:cs="Arial"/>
          <w:bCs/>
          <w:szCs w:val="22"/>
        </w:rPr>
        <w:tab/>
      </w:r>
      <w:r w:rsidR="006B4121" w:rsidRPr="00E05C83">
        <w:rPr>
          <w:rFonts w:cs="Arial"/>
          <w:bCs/>
          <w:szCs w:val="22"/>
        </w:rPr>
        <w:t>In</w:t>
      </w:r>
      <w:r w:rsidR="006B4121" w:rsidRPr="00E05C83">
        <w:rPr>
          <w:rFonts w:cs="Arial"/>
          <w:bCs/>
          <w:i/>
          <w:iCs/>
          <w:szCs w:val="22"/>
        </w:rPr>
        <w:t xml:space="preserve"> </w:t>
      </w:r>
      <w:r w:rsidR="006228B3" w:rsidRPr="00E05C83">
        <w:rPr>
          <w:rFonts w:cs="Arial"/>
          <w:bCs/>
          <w:i/>
          <w:iCs/>
          <w:szCs w:val="22"/>
        </w:rPr>
        <w:t>Minister of Police v Van der Watt and Another</w:t>
      </w:r>
      <w:r w:rsidR="006228B3" w:rsidRPr="00E05C83">
        <w:rPr>
          <w:rStyle w:val="FootnoteReference"/>
          <w:rFonts w:cs="Arial"/>
          <w:bCs/>
          <w:szCs w:val="22"/>
          <w:vertAlign w:val="baseline"/>
        </w:rPr>
        <w:t xml:space="preserve"> </w:t>
      </w:r>
      <w:r w:rsidR="00D67F63" w:rsidRPr="00E05C83">
        <w:rPr>
          <w:rStyle w:val="FootnoteReference"/>
          <w:rFonts w:cs="Arial"/>
          <w:b/>
          <w:bCs/>
          <w:szCs w:val="22"/>
        </w:rPr>
        <w:footnoteReference w:id="9"/>
      </w:r>
      <w:r w:rsidR="006B4121" w:rsidRPr="00E05C83">
        <w:rPr>
          <w:rFonts w:cs="Arial"/>
          <w:bCs/>
          <w:szCs w:val="22"/>
        </w:rPr>
        <w:t xml:space="preserve"> Kubushi J (speaking for the Full Court </w:t>
      </w:r>
      <w:r w:rsidR="006B4121" w:rsidRPr="00E05C83">
        <w:rPr>
          <w:rFonts w:cs="Arial"/>
          <w:bCs/>
          <w:szCs w:val="22"/>
          <w:lang w:val="en-GB"/>
        </w:rPr>
        <w:t>of the Gauteng Division of the High Court in Pretoria</w:t>
      </w:r>
      <w:r w:rsidR="008D0AE0" w:rsidRPr="00E05C83">
        <w:rPr>
          <w:rFonts w:cs="Arial"/>
          <w:bCs/>
          <w:szCs w:val="22"/>
          <w:lang w:val="en-GB"/>
        </w:rPr>
        <w:t>) concluded</w:t>
      </w:r>
      <w:r w:rsidR="008D0AE0" w:rsidRPr="00E05C83">
        <w:rPr>
          <w:rStyle w:val="FootnoteReference"/>
          <w:rFonts w:cs="Arial"/>
          <w:bCs/>
          <w:szCs w:val="22"/>
          <w:lang w:val="en-GB"/>
        </w:rPr>
        <w:footnoteReference w:id="10"/>
      </w:r>
      <w:r w:rsidR="008D0AE0" w:rsidRPr="00E05C83">
        <w:rPr>
          <w:rFonts w:cs="Arial"/>
          <w:bCs/>
          <w:szCs w:val="22"/>
          <w:lang w:val="en-GB"/>
        </w:rPr>
        <w:t xml:space="preserve"> that -</w:t>
      </w:r>
    </w:p>
    <w:p w14:paraId="4A38F2F3" w14:textId="47048551" w:rsidR="008D0AE0" w:rsidRPr="00E05C83" w:rsidRDefault="008D0AE0" w:rsidP="008D0AE0">
      <w:pPr>
        <w:widowControl w:val="0"/>
        <w:spacing w:before="480" w:after="480" w:line="360" w:lineRule="auto"/>
        <w:ind w:left="720"/>
        <w:jc w:val="both"/>
        <w:rPr>
          <w:rFonts w:cs="Arial"/>
          <w:bCs/>
          <w:i/>
          <w:iCs/>
          <w:szCs w:val="22"/>
        </w:rPr>
      </w:pPr>
      <w:r w:rsidRPr="00E05C83">
        <w:rPr>
          <w:rFonts w:cs="Arial"/>
          <w:i/>
          <w:iCs/>
          <w:color w:val="000000" w:themeColor="text1"/>
          <w:szCs w:val="22"/>
          <w:shd w:val="clear" w:color="auto" w:fill="FFFFFF"/>
        </w:rPr>
        <w:t>“….by merely appointing the State Attorney to represent the appellant in resisting the first respondent’s claim, the appellant represented to the first respondent and to the world at large, that the State Attorney had the necessary authority to settle the claim.  There was no information conveyed to the first respondent’s legal representatives that the settlement reached was against the express instructions of the appellant and for that reason they must reasonably have believed that the State Attorney and counsel had the requisite authority to settle the claim.  The appellant is accordingly bound to the settlement agreement on the basis of the State Attorney’s apparent authority.</w:t>
      </w:r>
      <w:r w:rsidRPr="00E05C83">
        <w:rPr>
          <w:rStyle w:val="FootnoteReference"/>
          <w:rFonts w:cs="Arial"/>
          <w:i/>
          <w:iCs/>
          <w:color w:val="000000" w:themeColor="text1"/>
          <w:szCs w:val="22"/>
          <w:shd w:val="clear" w:color="auto" w:fill="FFFFFF"/>
        </w:rPr>
        <w:footnoteReference w:id="11"/>
      </w:r>
    </w:p>
    <w:p w14:paraId="54051B61" w14:textId="1A665CB2" w:rsidR="006D5794" w:rsidRPr="00E05C83" w:rsidRDefault="00AA6F87" w:rsidP="00AA6F87">
      <w:pPr>
        <w:keepNext/>
        <w:widowControl w:val="0"/>
        <w:tabs>
          <w:tab w:val="left" w:pos="567"/>
        </w:tabs>
        <w:spacing w:before="480" w:after="480" w:line="360" w:lineRule="auto"/>
        <w:jc w:val="both"/>
        <w:rPr>
          <w:rFonts w:cs="Arial"/>
          <w:bCs/>
          <w:szCs w:val="22"/>
        </w:rPr>
      </w:pPr>
      <w:r w:rsidRPr="00E05C83">
        <w:rPr>
          <w:rFonts w:cs="Arial"/>
          <w:bCs/>
          <w:szCs w:val="22"/>
        </w:rPr>
        <w:t>[18]</w:t>
      </w:r>
      <w:r w:rsidRPr="00E05C83">
        <w:rPr>
          <w:rFonts w:cs="Arial"/>
          <w:bCs/>
          <w:szCs w:val="22"/>
        </w:rPr>
        <w:tab/>
      </w:r>
      <w:r w:rsidR="00261129" w:rsidRPr="00E05C83">
        <w:rPr>
          <w:rFonts w:cs="Arial"/>
          <w:bCs/>
          <w:szCs w:val="22"/>
        </w:rPr>
        <w:t xml:space="preserve">I find that the State Attorney made an offer to the applicant’s attorneys on 31 October and 7 November 2022 in respect of the outstanding issues, namely the loss of </w:t>
      </w:r>
      <w:r w:rsidR="00261129" w:rsidRPr="00E05C83">
        <w:rPr>
          <w:rFonts w:cs="Arial"/>
          <w:bCs/>
          <w:szCs w:val="22"/>
        </w:rPr>
        <w:lastRenderedPageBreak/>
        <w:t>earnings claim and the general damages claim</w:t>
      </w:r>
      <w:r w:rsidR="00737C7B" w:rsidRPr="00E05C83">
        <w:rPr>
          <w:rFonts w:cs="Arial"/>
          <w:bCs/>
          <w:szCs w:val="22"/>
        </w:rPr>
        <w:t xml:space="preserve">. </w:t>
      </w:r>
    </w:p>
    <w:p w14:paraId="088C3FDA" w14:textId="77777777" w:rsidR="000D247E" w:rsidRPr="00E05C83" w:rsidRDefault="000D247E" w:rsidP="000D247E">
      <w:pPr>
        <w:keepNext/>
        <w:widowControl w:val="0"/>
        <w:spacing w:before="480" w:after="480" w:line="360" w:lineRule="auto"/>
        <w:jc w:val="both"/>
        <w:rPr>
          <w:rFonts w:cs="Arial"/>
          <w:bCs/>
          <w:szCs w:val="22"/>
        </w:rPr>
      </w:pPr>
    </w:p>
    <w:p w14:paraId="048935AE" w14:textId="7143FE9B" w:rsidR="000D247E" w:rsidRPr="00E05C83" w:rsidRDefault="000D247E" w:rsidP="001C27DF">
      <w:pPr>
        <w:keepNext/>
        <w:widowControl w:val="0"/>
        <w:spacing w:before="480" w:after="480" w:line="360" w:lineRule="auto"/>
        <w:jc w:val="both"/>
        <w:rPr>
          <w:rFonts w:cs="Arial"/>
          <w:bCs/>
          <w:szCs w:val="22"/>
          <w:u w:val="single"/>
        </w:rPr>
      </w:pPr>
      <w:r w:rsidRPr="00E05C83">
        <w:rPr>
          <w:rFonts w:cs="Arial"/>
          <w:bCs/>
          <w:szCs w:val="22"/>
          <w:u w:val="single"/>
        </w:rPr>
        <w:t>Did the applicant make a counter-offer?</w:t>
      </w:r>
    </w:p>
    <w:p w14:paraId="33EDE0CF" w14:textId="184E9993" w:rsidR="000D247E"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[19]</w:t>
      </w:r>
      <w:r w:rsidRPr="00E05C83">
        <w:rPr>
          <w:rFonts w:cs="Arial"/>
          <w:bCs/>
          <w:szCs w:val="22"/>
        </w:rPr>
        <w:tab/>
      </w:r>
      <w:r w:rsidR="000D247E" w:rsidRPr="00E05C83">
        <w:rPr>
          <w:rFonts w:cs="Arial"/>
          <w:bCs/>
          <w:szCs w:val="22"/>
        </w:rPr>
        <w:t xml:space="preserve">The question then is whether the offer was accepted as is </w:t>
      </w:r>
      <w:r w:rsidR="001C27DF" w:rsidRPr="00E05C83">
        <w:rPr>
          <w:rFonts w:cs="Arial"/>
          <w:bCs/>
          <w:szCs w:val="22"/>
        </w:rPr>
        <w:t>stated</w:t>
      </w:r>
      <w:r w:rsidR="000D247E" w:rsidRPr="00E05C83">
        <w:rPr>
          <w:rFonts w:cs="Arial"/>
          <w:bCs/>
          <w:szCs w:val="22"/>
        </w:rPr>
        <w:t xml:space="preserve"> in the second line of the applicant’s attorneys</w:t>
      </w:r>
      <w:r w:rsidR="00D32ED3" w:rsidRPr="00E05C83">
        <w:rPr>
          <w:rFonts w:cs="Arial"/>
          <w:bCs/>
          <w:szCs w:val="22"/>
        </w:rPr>
        <w:t>’</w:t>
      </w:r>
      <w:r w:rsidR="000D247E" w:rsidRPr="00E05C83">
        <w:rPr>
          <w:rFonts w:cs="Arial"/>
          <w:bCs/>
          <w:szCs w:val="22"/>
        </w:rPr>
        <w:t xml:space="preserve"> letter of 10 November 2022, or whether the letter constitutes a counter-offer.</w:t>
      </w:r>
    </w:p>
    <w:p w14:paraId="4B5ED954" w14:textId="3CAB7259" w:rsidR="00737C7B"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[20]</w:t>
      </w:r>
      <w:r w:rsidRPr="00E05C83">
        <w:rPr>
          <w:rFonts w:cs="Arial"/>
          <w:bCs/>
          <w:szCs w:val="22"/>
        </w:rPr>
        <w:tab/>
      </w:r>
      <w:r w:rsidR="000D247E" w:rsidRPr="00E05C83">
        <w:rPr>
          <w:rFonts w:cs="Arial"/>
          <w:bCs/>
          <w:szCs w:val="22"/>
        </w:rPr>
        <w:t xml:space="preserve">On 11 November 2022 the applicant’s attorney wrote to the respondent’s attorney, as follows: </w:t>
      </w:r>
    </w:p>
    <w:p w14:paraId="534FE5C6" w14:textId="3EA8A453" w:rsidR="00737C7B" w:rsidRPr="00E05C83" w:rsidRDefault="00737C7B" w:rsidP="00737C7B">
      <w:pPr>
        <w:widowControl w:val="0"/>
        <w:spacing w:before="480" w:after="480" w:line="360" w:lineRule="auto"/>
        <w:jc w:val="both"/>
        <w:rPr>
          <w:rFonts w:cs="Arial"/>
          <w:bCs/>
          <w:szCs w:val="22"/>
        </w:rPr>
      </w:pPr>
      <w:r w:rsidRPr="00E05C83">
        <w:rPr>
          <w:rFonts w:cs="Arial"/>
          <w:bCs/>
          <w:noProof/>
          <w:szCs w:val="22"/>
          <w:lang w:eastAsia="en-ZA"/>
        </w:rPr>
        <w:drawing>
          <wp:inline distT="0" distB="0" distL="0" distR="0" wp14:anchorId="093567E9" wp14:editId="61308F5D">
            <wp:extent cx="6056686" cy="1920657"/>
            <wp:effectExtent l="0" t="0" r="127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19598" cy="1940607"/>
                    </a:xfrm>
                    <a:prstGeom prst="rect">
                      <a:avLst/>
                    </a:prstGeom>
                    <a:noFill/>
                    <a:ln>
                      <a:noFill/>
                    </a:ln>
                  </pic:spPr>
                </pic:pic>
              </a:graphicData>
            </a:graphic>
          </wp:inline>
        </w:drawing>
      </w:r>
      <w:r w:rsidRPr="00E05C83">
        <w:rPr>
          <w:rFonts w:cs="Arial"/>
          <w:bCs/>
          <w:szCs w:val="22"/>
        </w:rPr>
        <w:t>.</w:t>
      </w:r>
    </w:p>
    <w:p w14:paraId="789C8B9D" w14:textId="263E3CB3" w:rsidR="00737C7B"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[21]</w:t>
      </w:r>
      <w:r w:rsidRPr="00E05C83">
        <w:rPr>
          <w:rFonts w:cs="Arial"/>
          <w:bCs/>
          <w:szCs w:val="22"/>
        </w:rPr>
        <w:tab/>
      </w:r>
      <w:r w:rsidR="00737C7B" w:rsidRPr="00E05C83">
        <w:rPr>
          <w:rFonts w:cs="Arial"/>
          <w:bCs/>
          <w:szCs w:val="22"/>
        </w:rPr>
        <w:t xml:space="preserve">The draft </w:t>
      </w:r>
      <w:r w:rsidR="00C66DD8" w:rsidRPr="00E05C83">
        <w:rPr>
          <w:rFonts w:cs="Arial"/>
          <w:bCs/>
          <w:szCs w:val="22"/>
        </w:rPr>
        <w:t xml:space="preserve">written </w:t>
      </w:r>
      <w:r w:rsidR="00737C7B" w:rsidRPr="00E05C83">
        <w:rPr>
          <w:rFonts w:cs="Arial"/>
          <w:bCs/>
          <w:szCs w:val="22"/>
        </w:rPr>
        <w:t xml:space="preserve">settlement agreement sets out the exact </w:t>
      </w:r>
      <w:r w:rsidR="00C66DD8" w:rsidRPr="00E05C83">
        <w:rPr>
          <w:rFonts w:cs="Arial"/>
          <w:bCs/>
          <w:szCs w:val="22"/>
        </w:rPr>
        <w:t xml:space="preserve">same </w:t>
      </w:r>
      <w:r w:rsidR="00737C7B" w:rsidRPr="00E05C83">
        <w:rPr>
          <w:rFonts w:cs="Arial"/>
          <w:bCs/>
          <w:szCs w:val="22"/>
        </w:rPr>
        <w:t xml:space="preserve">terms of the </w:t>
      </w:r>
      <w:r w:rsidR="00C66DD8" w:rsidRPr="00E05C83">
        <w:rPr>
          <w:rFonts w:cs="Arial"/>
          <w:bCs/>
          <w:szCs w:val="22"/>
        </w:rPr>
        <w:t>settlement</w:t>
      </w:r>
      <w:r w:rsidR="00322B6D" w:rsidRPr="00E05C83">
        <w:rPr>
          <w:rFonts w:cs="Arial"/>
          <w:bCs/>
          <w:szCs w:val="22"/>
        </w:rPr>
        <w:t>, as follows:</w:t>
      </w:r>
    </w:p>
    <w:p w14:paraId="73C52FFC" w14:textId="01EAE8D5" w:rsidR="00322B6D" w:rsidRPr="00E05C83" w:rsidRDefault="00322B6D" w:rsidP="00322B6D">
      <w:pPr>
        <w:widowControl w:val="0"/>
        <w:spacing w:before="480" w:after="480" w:line="360" w:lineRule="auto"/>
        <w:jc w:val="both"/>
        <w:rPr>
          <w:rFonts w:cs="Arial"/>
          <w:bCs/>
          <w:szCs w:val="22"/>
        </w:rPr>
      </w:pPr>
      <w:r w:rsidRPr="00E05C83">
        <w:rPr>
          <w:rFonts w:cs="Arial"/>
          <w:bCs/>
          <w:noProof/>
          <w:szCs w:val="22"/>
          <w:lang w:eastAsia="en-ZA"/>
        </w:rPr>
        <w:drawing>
          <wp:inline distT="0" distB="0" distL="0" distR="0" wp14:anchorId="168ADE2A" wp14:editId="6D3BF1CC">
            <wp:extent cx="6024880" cy="1941534"/>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24880" cy="1941534"/>
                    </a:xfrm>
                    <a:prstGeom prst="rect">
                      <a:avLst/>
                    </a:prstGeom>
                    <a:noFill/>
                    <a:ln>
                      <a:noFill/>
                    </a:ln>
                  </pic:spPr>
                </pic:pic>
              </a:graphicData>
            </a:graphic>
          </wp:inline>
        </w:drawing>
      </w:r>
    </w:p>
    <w:p w14:paraId="7FF3F273" w14:textId="361D89DA" w:rsidR="00C66DD8"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lastRenderedPageBreak/>
        <w:t>[22]</w:t>
      </w:r>
      <w:r w:rsidRPr="00E05C83">
        <w:rPr>
          <w:rFonts w:cs="Arial"/>
          <w:bCs/>
          <w:szCs w:val="22"/>
        </w:rPr>
        <w:tab/>
      </w:r>
      <w:r w:rsidR="00322B6D" w:rsidRPr="00E05C83">
        <w:rPr>
          <w:rFonts w:cs="Arial"/>
          <w:bCs/>
          <w:szCs w:val="22"/>
        </w:rPr>
        <w:t xml:space="preserve">The document provides for </w:t>
      </w:r>
      <w:r w:rsidR="00C66DD8" w:rsidRPr="00E05C83">
        <w:rPr>
          <w:rFonts w:cs="Arial"/>
          <w:bCs/>
          <w:szCs w:val="22"/>
        </w:rPr>
        <w:t>certain aspects not agreed on in the correspondence, namely -</w:t>
      </w:r>
    </w:p>
    <w:p w14:paraId="74AB6A04" w14:textId="00401977" w:rsidR="00C66DD8" w:rsidRPr="00E05C83" w:rsidRDefault="00AA6F87" w:rsidP="00AA6F87">
      <w:pPr>
        <w:widowControl w:val="0"/>
        <w:tabs>
          <w:tab w:val="left" w:pos="1418"/>
        </w:tabs>
        <w:spacing w:before="480" w:after="480" w:line="360" w:lineRule="auto"/>
        <w:ind w:left="1418" w:hanging="851"/>
        <w:jc w:val="both"/>
        <w:rPr>
          <w:rFonts w:cs="Arial"/>
          <w:bCs/>
          <w:szCs w:val="22"/>
        </w:rPr>
      </w:pPr>
      <w:r w:rsidRPr="00E05C83">
        <w:rPr>
          <w:rFonts w:cs="Arial"/>
          <w:bCs/>
          <w:szCs w:val="22"/>
        </w:rPr>
        <w:t>22.1</w:t>
      </w:r>
      <w:r w:rsidRPr="00E05C83">
        <w:rPr>
          <w:rFonts w:cs="Arial"/>
          <w:bCs/>
          <w:szCs w:val="22"/>
        </w:rPr>
        <w:tab/>
      </w:r>
      <w:r w:rsidR="00C66DD8" w:rsidRPr="00E05C83">
        <w:rPr>
          <w:rFonts w:cs="Arial"/>
          <w:bCs/>
          <w:szCs w:val="22"/>
        </w:rPr>
        <w:t>costs on a party and party scale, inclusive of the cost of senior counsel;</w:t>
      </w:r>
    </w:p>
    <w:p w14:paraId="2E114506" w14:textId="2228548B" w:rsidR="00C66DD8" w:rsidRPr="00E05C83" w:rsidRDefault="00AA6F87" w:rsidP="00AA6F87">
      <w:pPr>
        <w:widowControl w:val="0"/>
        <w:tabs>
          <w:tab w:val="left" w:pos="1418"/>
        </w:tabs>
        <w:spacing w:before="480" w:after="480" w:line="360" w:lineRule="auto"/>
        <w:ind w:left="1418" w:hanging="851"/>
        <w:jc w:val="both"/>
        <w:rPr>
          <w:rFonts w:cs="Arial"/>
          <w:bCs/>
          <w:szCs w:val="22"/>
        </w:rPr>
      </w:pPr>
      <w:r w:rsidRPr="00E05C83">
        <w:rPr>
          <w:rFonts w:cs="Arial"/>
          <w:bCs/>
          <w:szCs w:val="22"/>
        </w:rPr>
        <w:t>22.2</w:t>
      </w:r>
      <w:r w:rsidRPr="00E05C83">
        <w:rPr>
          <w:rFonts w:cs="Arial"/>
          <w:bCs/>
          <w:szCs w:val="22"/>
        </w:rPr>
        <w:tab/>
      </w:r>
      <w:r w:rsidR="00322B6D" w:rsidRPr="00E05C83">
        <w:rPr>
          <w:rFonts w:cs="Arial"/>
          <w:bCs/>
          <w:szCs w:val="22"/>
        </w:rPr>
        <w:t xml:space="preserve">the agreement to be made an order of court, and </w:t>
      </w:r>
    </w:p>
    <w:p w14:paraId="37FC2515" w14:textId="75BB0128" w:rsidR="00322B6D" w:rsidRPr="00E05C83" w:rsidRDefault="00AA6F87" w:rsidP="00AA6F87">
      <w:pPr>
        <w:widowControl w:val="0"/>
        <w:tabs>
          <w:tab w:val="left" w:pos="1418"/>
        </w:tabs>
        <w:spacing w:before="480" w:after="480" w:line="360" w:lineRule="auto"/>
        <w:ind w:left="1418" w:hanging="851"/>
        <w:jc w:val="both"/>
        <w:rPr>
          <w:rFonts w:cs="Arial"/>
          <w:bCs/>
          <w:szCs w:val="22"/>
        </w:rPr>
      </w:pPr>
      <w:r w:rsidRPr="00E05C83">
        <w:rPr>
          <w:rFonts w:cs="Arial"/>
          <w:bCs/>
          <w:szCs w:val="22"/>
        </w:rPr>
        <w:t>22.3</w:t>
      </w:r>
      <w:r w:rsidRPr="00E05C83">
        <w:rPr>
          <w:rFonts w:cs="Arial"/>
          <w:bCs/>
          <w:szCs w:val="22"/>
        </w:rPr>
        <w:tab/>
      </w:r>
      <w:r w:rsidR="00D32ED3" w:rsidRPr="00E05C83">
        <w:rPr>
          <w:rFonts w:cs="Arial"/>
          <w:bCs/>
          <w:szCs w:val="22"/>
        </w:rPr>
        <w:t xml:space="preserve">the draft document </w:t>
      </w:r>
      <w:r w:rsidR="00322B6D" w:rsidRPr="00E05C83">
        <w:rPr>
          <w:rFonts w:cs="Arial"/>
          <w:bCs/>
          <w:szCs w:val="22"/>
        </w:rPr>
        <w:t>confirms that the offer is in full and final settlement of all claims</w:t>
      </w:r>
      <w:r w:rsidR="00D32ED3" w:rsidRPr="00E05C83">
        <w:rPr>
          <w:rFonts w:cs="Arial"/>
          <w:bCs/>
          <w:szCs w:val="22"/>
        </w:rPr>
        <w:t>.</w:t>
      </w:r>
    </w:p>
    <w:p w14:paraId="43D74028" w14:textId="6BA6B6AD" w:rsidR="000E668F"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[23]</w:t>
      </w:r>
      <w:r w:rsidRPr="00E05C83">
        <w:rPr>
          <w:rFonts w:cs="Arial"/>
          <w:bCs/>
          <w:szCs w:val="22"/>
        </w:rPr>
        <w:tab/>
      </w:r>
      <w:r w:rsidR="00737C7B" w:rsidRPr="00E05C83">
        <w:rPr>
          <w:rFonts w:cs="Arial"/>
          <w:bCs/>
          <w:szCs w:val="22"/>
        </w:rPr>
        <w:t xml:space="preserve">Neither counsel dealt expressly with the question whether the applicant’s letters of 10 and 11 November 2022 constituted a counter-offer. </w:t>
      </w:r>
      <w:r w:rsidR="007B6E99" w:rsidRPr="00E05C83">
        <w:rPr>
          <w:rFonts w:cs="Arial"/>
          <w:bCs/>
          <w:szCs w:val="22"/>
        </w:rPr>
        <w:t>It was argued on behalf of the respondent that there was no offer to be accepted, and therefore no counter-offer</w:t>
      </w:r>
      <w:r w:rsidR="00D32ED3" w:rsidRPr="00E05C83">
        <w:rPr>
          <w:rFonts w:cs="Arial"/>
          <w:bCs/>
          <w:szCs w:val="22"/>
        </w:rPr>
        <w:t>,</w:t>
      </w:r>
      <w:r w:rsidR="007B6E99" w:rsidRPr="00E05C83">
        <w:rPr>
          <w:rFonts w:cs="Arial"/>
          <w:bCs/>
          <w:szCs w:val="22"/>
        </w:rPr>
        <w:t xml:space="preserve"> while the applicant did not regard the proposed written settlement agreement of 11 November 2022 as a counter-offer. </w:t>
      </w:r>
      <w:r w:rsidR="00737C7B" w:rsidRPr="00E05C83">
        <w:rPr>
          <w:rFonts w:cs="Arial"/>
          <w:bCs/>
          <w:szCs w:val="22"/>
        </w:rPr>
        <w:t xml:space="preserve">I therefore invited both parties to file further heads of argument on this question and they both </w:t>
      </w:r>
      <w:r w:rsidR="00D32ED3" w:rsidRPr="00E05C83">
        <w:rPr>
          <w:rFonts w:cs="Arial"/>
          <w:bCs/>
          <w:szCs w:val="22"/>
        </w:rPr>
        <w:t>did so.</w:t>
      </w:r>
    </w:p>
    <w:p w14:paraId="2DDCC850" w14:textId="1C184F4B" w:rsidR="000E668F"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[24]</w:t>
      </w:r>
      <w:r w:rsidRPr="00E05C83">
        <w:rPr>
          <w:rFonts w:cs="Arial"/>
          <w:bCs/>
          <w:szCs w:val="22"/>
        </w:rPr>
        <w:tab/>
      </w:r>
      <w:r w:rsidR="008D39B6" w:rsidRPr="00E05C83">
        <w:rPr>
          <w:rFonts w:cs="Arial"/>
          <w:szCs w:val="22"/>
          <w:lang w:val="en-GB"/>
        </w:rPr>
        <w:t xml:space="preserve">Where parties negotiating an agreement reach agreement by way of offer and acceptance the fact that </w:t>
      </w:r>
      <w:r w:rsidR="00D32ED3" w:rsidRPr="00E05C83">
        <w:rPr>
          <w:rFonts w:cs="Arial"/>
          <w:szCs w:val="22"/>
          <w:lang w:val="en-GB"/>
        </w:rPr>
        <w:t>there</w:t>
      </w:r>
      <w:r w:rsidR="008D39B6" w:rsidRPr="00E05C83">
        <w:rPr>
          <w:rFonts w:cs="Arial"/>
          <w:szCs w:val="22"/>
          <w:lang w:val="en-GB"/>
        </w:rPr>
        <w:t xml:space="preserve"> are still a number of other outstanding issues material </w:t>
      </w:r>
      <w:r w:rsidR="007B6E99" w:rsidRPr="00E05C83">
        <w:rPr>
          <w:rFonts w:cs="Arial"/>
          <w:szCs w:val="22"/>
          <w:lang w:val="en-GB"/>
        </w:rPr>
        <w:t>t</w:t>
      </w:r>
      <w:r w:rsidR="008D39B6" w:rsidRPr="00E05C83">
        <w:rPr>
          <w:rFonts w:cs="Arial"/>
          <w:szCs w:val="22"/>
          <w:lang w:val="en-GB"/>
        </w:rPr>
        <w:t xml:space="preserve">o the contractual relationship upon which the parties have not yet agreed </w:t>
      </w:r>
      <w:r w:rsidR="00475883" w:rsidRPr="00E05C83">
        <w:rPr>
          <w:rFonts w:cs="Arial"/>
          <w:szCs w:val="22"/>
          <w:lang w:val="en-GB"/>
        </w:rPr>
        <w:t xml:space="preserve">may indeed </w:t>
      </w:r>
      <w:r w:rsidR="008D39B6" w:rsidRPr="00E05C83">
        <w:rPr>
          <w:rFonts w:cs="Arial"/>
          <w:szCs w:val="22"/>
          <w:lang w:val="en-GB"/>
        </w:rPr>
        <w:t xml:space="preserve">prevent the agreement from having contractual force. This would be the case where the parties contemplated that consensus on the outstanding issues would have to be reached before a binding contract could come into existence. </w:t>
      </w:r>
      <w:r w:rsidR="007B6E99" w:rsidRPr="00E05C83">
        <w:rPr>
          <w:rFonts w:cs="Arial"/>
          <w:szCs w:val="22"/>
          <w:lang w:val="en-GB"/>
        </w:rPr>
        <w:t>However, t</w:t>
      </w:r>
      <w:r w:rsidR="008D39B6" w:rsidRPr="00E05C83">
        <w:rPr>
          <w:rFonts w:cs="Arial"/>
          <w:szCs w:val="22"/>
          <w:lang w:val="en-GB"/>
        </w:rPr>
        <w:t xml:space="preserve">he existence of outstanding issues do not necessarily deprive an agreement of contractual force </w:t>
      </w:r>
      <w:r w:rsidR="00475883" w:rsidRPr="00E05C83">
        <w:rPr>
          <w:rFonts w:cs="Arial"/>
          <w:szCs w:val="22"/>
          <w:lang w:val="en-GB"/>
        </w:rPr>
        <w:t xml:space="preserve">when the parties intend </w:t>
      </w:r>
      <w:r w:rsidR="008D39B6" w:rsidRPr="00E05C83">
        <w:rPr>
          <w:rFonts w:cs="Arial"/>
          <w:szCs w:val="22"/>
          <w:lang w:val="en-GB"/>
        </w:rPr>
        <w:t xml:space="preserve">to conclude a binding agreement while agreeing either expressly or by implication to leave the outstanding </w:t>
      </w:r>
      <w:r w:rsidR="004E3033" w:rsidRPr="00E05C83">
        <w:rPr>
          <w:rFonts w:cs="Arial"/>
          <w:szCs w:val="22"/>
          <w:lang w:val="en-GB"/>
        </w:rPr>
        <w:t>issues</w:t>
      </w:r>
      <w:r w:rsidR="008D39B6" w:rsidRPr="00E05C83">
        <w:rPr>
          <w:rFonts w:cs="Arial"/>
          <w:szCs w:val="22"/>
          <w:lang w:val="en-GB"/>
        </w:rPr>
        <w:t xml:space="preserve"> to future negotiation. Should more terms be agreed subsequently the second contract would supersede the first</w:t>
      </w:r>
      <w:r w:rsidR="005B6615" w:rsidRPr="00E05C83">
        <w:rPr>
          <w:rFonts w:cs="Arial"/>
          <w:szCs w:val="22"/>
          <w:lang w:val="en-GB"/>
        </w:rPr>
        <w:t>; should more terms not be agreed the first contract stands</w:t>
      </w:r>
      <w:r w:rsidR="00475883" w:rsidRPr="00E05C83">
        <w:rPr>
          <w:rFonts w:cs="Arial"/>
          <w:szCs w:val="22"/>
          <w:lang w:val="en-GB"/>
        </w:rPr>
        <w:t xml:space="preserve"> on its own</w:t>
      </w:r>
      <w:r w:rsidR="005B6615" w:rsidRPr="00E05C83">
        <w:rPr>
          <w:rFonts w:cs="Arial"/>
          <w:szCs w:val="22"/>
          <w:lang w:val="en-GB"/>
        </w:rPr>
        <w:t>.</w:t>
      </w:r>
      <w:r w:rsidR="005B6615" w:rsidRPr="00E05C83">
        <w:rPr>
          <w:rStyle w:val="FootnoteReference"/>
          <w:rFonts w:cs="Arial"/>
          <w:szCs w:val="22"/>
          <w:lang w:val="en-GB"/>
        </w:rPr>
        <w:t xml:space="preserve"> </w:t>
      </w:r>
      <w:r w:rsidR="005B6615" w:rsidRPr="00E05C83">
        <w:rPr>
          <w:rStyle w:val="FootnoteReference"/>
          <w:rFonts w:cs="Arial"/>
          <w:szCs w:val="22"/>
          <w:lang w:val="en-GB"/>
        </w:rPr>
        <w:footnoteReference w:id="12"/>
      </w:r>
    </w:p>
    <w:p w14:paraId="01E274A2" w14:textId="768E7FF2" w:rsidR="00475883"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[25]</w:t>
      </w:r>
      <w:r w:rsidRPr="00E05C83">
        <w:rPr>
          <w:rFonts w:cs="Arial"/>
          <w:bCs/>
          <w:szCs w:val="22"/>
        </w:rPr>
        <w:tab/>
      </w:r>
      <w:r w:rsidR="006B0F6B" w:rsidRPr="00E05C83">
        <w:rPr>
          <w:rFonts w:cs="Arial"/>
          <w:bCs/>
          <w:szCs w:val="22"/>
          <w:lang w:val="en-GB"/>
        </w:rPr>
        <w:t xml:space="preserve">In the present matter the parties were involved in litigation in the court and at some stage the costs aspect would have to be either argued or settled. </w:t>
      </w:r>
    </w:p>
    <w:p w14:paraId="4CE60BA8" w14:textId="6EEC33DC" w:rsidR="007B6E99"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lastRenderedPageBreak/>
        <w:t>[26]</w:t>
      </w:r>
      <w:r w:rsidRPr="00E05C83">
        <w:rPr>
          <w:rFonts w:cs="Arial"/>
          <w:bCs/>
          <w:szCs w:val="22"/>
        </w:rPr>
        <w:tab/>
      </w:r>
      <w:r w:rsidR="006B0F6B" w:rsidRPr="00E05C83">
        <w:rPr>
          <w:rFonts w:cs="Arial"/>
          <w:bCs/>
          <w:szCs w:val="22"/>
          <w:lang w:val="en-GB"/>
        </w:rPr>
        <w:t>Settlement agreements in litigation are often reduced to writing</w:t>
      </w:r>
      <w:r w:rsidR="007B6E99" w:rsidRPr="00E05C83">
        <w:rPr>
          <w:rFonts w:cs="Arial"/>
          <w:bCs/>
          <w:szCs w:val="22"/>
          <w:lang w:val="en-GB"/>
        </w:rPr>
        <w:t>, signed</w:t>
      </w:r>
      <w:r w:rsidR="006B0F6B" w:rsidRPr="00E05C83">
        <w:rPr>
          <w:rFonts w:cs="Arial"/>
          <w:bCs/>
          <w:szCs w:val="22"/>
          <w:lang w:val="en-GB"/>
        </w:rPr>
        <w:t xml:space="preserve"> and made an order of court but </w:t>
      </w:r>
      <w:r w:rsidR="007B6E99" w:rsidRPr="00E05C83">
        <w:rPr>
          <w:rFonts w:cs="Arial"/>
          <w:bCs/>
          <w:szCs w:val="22"/>
          <w:lang w:val="en-GB"/>
        </w:rPr>
        <w:t>doing so</w:t>
      </w:r>
      <w:r w:rsidR="006B0F6B" w:rsidRPr="00E05C83">
        <w:rPr>
          <w:rFonts w:cs="Arial"/>
          <w:bCs/>
          <w:szCs w:val="22"/>
          <w:lang w:val="en-GB"/>
        </w:rPr>
        <w:t xml:space="preserve"> </w:t>
      </w:r>
      <w:r w:rsidR="007B6E99" w:rsidRPr="00E05C83">
        <w:rPr>
          <w:rFonts w:cs="Arial"/>
          <w:bCs/>
          <w:szCs w:val="22"/>
          <w:lang w:val="en-GB"/>
        </w:rPr>
        <w:t xml:space="preserve">is </w:t>
      </w:r>
      <w:r w:rsidR="006B0F6B" w:rsidRPr="00E05C83">
        <w:rPr>
          <w:rFonts w:cs="Arial"/>
          <w:bCs/>
          <w:szCs w:val="22"/>
          <w:lang w:val="en-GB"/>
        </w:rPr>
        <w:t>not a prerequisite for enforceability when the agreement is valid and enforceable in itself</w:t>
      </w:r>
      <w:r w:rsidR="000E668F" w:rsidRPr="00E05C83">
        <w:rPr>
          <w:rFonts w:cs="Arial"/>
          <w:bCs/>
          <w:szCs w:val="22"/>
        </w:rPr>
        <w:t>.</w:t>
      </w:r>
      <w:r w:rsidR="006B0F6B" w:rsidRPr="00E05C83">
        <w:rPr>
          <w:rFonts w:cs="Arial"/>
          <w:bCs/>
          <w:szCs w:val="22"/>
          <w:lang w:val="en-GB"/>
        </w:rPr>
        <w:t xml:space="preserve"> </w:t>
      </w:r>
    </w:p>
    <w:p w14:paraId="65347C0C" w14:textId="226745C4" w:rsidR="00475883"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[27]</w:t>
      </w:r>
      <w:r w:rsidRPr="00E05C83">
        <w:rPr>
          <w:rFonts w:cs="Arial"/>
          <w:bCs/>
          <w:szCs w:val="22"/>
        </w:rPr>
        <w:tab/>
      </w:r>
      <w:r w:rsidR="006B0F6B" w:rsidRPr="00E05C83">
        <w:rPr>
          <w:rFonts w:cs="Arial"/>
          <w:bCs/>
          <w:szCs w:val="22"/>
          <w:lang w:val="en-GB"/>
        </w:rPr>
        <w:t>The making and acceptance of the offer</w:t>
      </w:r>
      <w:r w:rsidR="007B6E99" w:rsidRPr="00E05C83">
        <w:rPr>
          <w:rFonts w:cs="Arial"/>
          <w:bCs/>
          <w:szCs w:val="22"/>
          <w:lang w:val="en-GB"/>
        </w:rPr>
        <w:t xml:space="preserve"> in the  correspondence referred to</w:t>
      </w:r>
      <w:r w:rsidR="006B0F6B" w:rsidRPr="00E05C83">
        <w:rPr>
          <w:rFonts w:cs="Arial"/>
          <w:bCs/>
          <w:szCs w:val="22"/>
          <w:lang w:val="en-GB"/>
        </w:rPr>
        <w:t xml:space="preserve"> dealt with all the outstanding issues in the litigation and written agreement to the effect that the agreement was in full and final settlement of all claims would merely have confirmed t</w:t>
      </w:r>
      <w:r w:rsidR="00475883" w:rsidRPr="00E05C83">
        <w:rPr>
          <w:rFonts w:cs="Arial"/>
          <w:bCs/>
          <w:szCs w:val="22"/>
          <w:lang w:val="en-GB"/>
        </w:rPr>
        <w:t>his fact</w:t>
      </w:r>
      <w:r w:rsidR="006B0F6B" w:rsidRPr="00E05C83">
        <w:rPr>
          <w:rFonts w:cs="Arial"/>
          <w:bCs/>
          <w:szCs w:val="22"/>
          <w:lang w:val="en-GB"/>
        </w:rPr>
        <w:t xml:space="preserve">. </w:t>
      </w:r>
      <w:r w:rsidR="00475883" w:rsidRPr="00E05C83">
        <w:rPr>
          <w:rFonts w:cs="Arial"/>
          <w:bCs/>
          <w:szCs w:val="22"/>
          <w:lang w:val="en-GB"/>
        </w:rPr>
        <w:t xml:space="preserve">There is nothing on the papers to suggest that the parties did foresee more litigation arising from the tragic incident and any subsequent claim </w:t>
      </w:r>
      <w:r w:rsidR="00B026C3">
        <w:rPr>
          <w:rFonts w:cs="Arial"/>
          <w:bCs/>
          <w:szCs w:val="22"/>
          <w:lang w:val="en-GB"/>
        </w:rPr>
        <w:t>c</w:t>
      </w:r>
      <w:r w:rsidR="00475883" w:rsidRPr="00E05C83">
        <w:rPr>
          <w:rFonts w:cs="Arial"/>
          <w:bCs/>
          <w:szCs w:val="22"/>
          <w:lang w:val="en-GB"/>
        </w:rPr>
        <w:t>ould no doubt have been met with the defence that the claim was compromised in 2022.</w:t>
      </w:r>
    </w:p>
    <w:p w14:paraId="208211DD" w14:textId="1B5EE441" w:rsidR="00C87002"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[28]</w:t>
      </w:r>
      <w:r w:rsidRPr="00E05C83">
        <w:rPr>
          <w:rFonts w:cs="Arial"/>
          <w:bCs/>
          <w:szCs w:val="22"/>
        </w:rPr>
        <w:tab/>
      </w:r>
      <w:r w:rsidR="006B0F6B" w:rsidRPr="00E05C83">
        <w:rPr>
          <w:rFonts w:cs="Arial"/>
          <w:bCs/>
          <w:szCs w:val="22"/>
          <w:lang w:val="en-GB"/>
        </w:rPr>
        <w:t xml:space="preserve">Under these circumstances I conclude that the settlement reached had full contractual force irrespective of </w:t>
      </w:r>
      <w:r w:rsidR="00C87002" w:rsidRPr="00E05C83">
        <w:rPr>
          <w:rFonts w:cs="Arial"/>
          <w:bCs/>
          <w:szCs w:val="22"/>
          <w:lang w:val="en-GB"/>
        </w:rPr>
        <w:t xml:space="preserve">whether </w:t>
      </w:r>
      <w:r w:rsidR="006B0F6B" w:rsidRPr="00E05C83">
        <w:rPr>
          <w:rFonts w:cs="Arial"/>
          <w:bCs/>
          <w:szCs w:val="22"/>
          <w:lang w:val="en-GB"/>
        </w:rPr>
        <w:t xml:space="preserve">the parties agreed on costs of senior counsel, making the agreement an order of court, and confirming that it was an agreement in full and final settlement of all claims. </w:t>
      </w:r>
      <w:r w:rsidR="00475883" w:rsidRPr="00E05C83">
        <w:rPr>
          <w:rFonts w:cs="Arial"/>
          <w:bCs/>
          <w:szCs w:val="22"/>
          <w:lang w:val="en-GB"/>
        </w:rPr>
        <w:t>They were at liberty to enter into a further or more detailed agreement but did not have to do so.</w:t>
      </w:r>
    </w:p>
    <w:p w14:paraId="1F279989" w14:textId="081EA9A5" w:rsidR="00D67F63"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[29]</w:t>
      </w:r>
      <w:r w:rsidRPr="00E05C83">
        <w:rPr>
          <w:rFonts w:cs="Arial"/>
          <w:bCs/>
          <w:szCs w:val="22"/>
        </w:rPr>
        <w:tab/>
      </w:r>
      <w:r w:rsidR="006B0F6B" w:rsidRPr="00E05C83">
        <w:rPr>
          <w:rFonts w:cs="Arial"/>
          <w:bCs/>
          <w:szCs w:val="22"/>
          <w:lang w:val="en-GB"/>
        </w:rPr>
        <w:t>The settlement is therefore enforceable</w:t>
      </w:r>
      <w:r w:rsidR="00F140E1" w:rsidRPr="00E05C83">
        <w:rPr>
          <w:rFonts w:cs="Arial"/>
          <w:bCs/>
          <w:szCs w:val="22"/>
          <w:lang w:val="en-GB"/>
        </w:rPr>
        <w:t xml:space="preserve"> and the applicant is entitled the relief it seeks</w:t>
      </w:r>
      <w:r w:rsidR="006B0F6B" w:rsidRPr="00E05C83">
        <w:rPr>
          <w:rFonts w:cs="Arial"/>
          <w:bCs/>
          <w:szCs w:val="22"/>
          <w:lang w:val="en-GB"/>
        </w:rPr>
        <w:t>.</w:t>
      </w:r>
      <w:r w:rsidR="00F140E1" w:rsidRPr="00E05C83">
        <w:rPr>
          <w:rFonts w:cs="Arial"/>
          <w:bCs/>
          <w:szCs w:val="22"/>
          <w:lang w:val="en-GB"/>
        </w:rPr>
        <w:t xml:space="preserve"> The costs should follow the result but I do not believe that the punitive cost order </w:t>
      </w:r>
      <w:r w:rsidR="00475883" w:rsidRPr="00E05C83">
        <w:rPr>
          <w:rFonts w:cs="Arial"/>
          <w:bCs/>
          <w:szCs w:val="22"/>
          <w:lang w:val="en-GB"/>
        </w:rPr>
        <w:t xml:space="preserve">argued for by the applicant </w:t>
      </w:r>
      <w:r w:rsidR="00F140E1" w:rsidRPr="00E05C83">
        <w:rPr>
          <w:rFonts w:cs="Arial"/>
          <w:bCs/>
          <w:szCs w:val="22"/>
          <w:lang w:val="en-GB"/>
        </w:rPr>
        <w:t>is justified.</w:t>
      </w:r>
    </w:p>
    <w:p w14:paraId="49B1067F" w14:textId="06766C20" w:rsidR="003E54E1" w:rsidRPr="00E05C83" w:rsidRDefault="00AA6F87" w:rsidP="00AA6F87">
      <w:pPr>
        <w:widowControl w:val="0"/>
        <w:tabs>
          <w:tab w:val="left" w:pos="567"/>
        </w:tabs>
        <w:spacing w:before="480" w:after="480" w:line="360" w:lineRule="auto"/>
        <w:jc w:val="both"/>
        <w:rPr>
          <w:rFonts w:cs="Arial"/>
          <w:bCs/>
          <w:szCs w:val="22"/>
        </w:rPr>
      </w:pPr>
      <w:r w:rsidRPr="00E05C83">
        <w:rPr>
          <w:rFonts w:cs="Arial"/>
          <w:bCs/>
          <w:szCs w:val="22"/>
        </w:rPr>
        <w:t>[30]</w:t>
      </w:r>
      <w:r w:rsidRPr="00E05C83">
        <w:rPr>
          <w:rFonts w:cs="Arial"/>
          <w:bCs/>
          <w:szCs w:val="22"/>
        </w:rPr>
        <w:tab/>
      </w:r>
      <w:r w:rsidR="003E54E1" w:rsidRPr="00E05C83">
        <w:rPr>
          <w:rFonts w:cs="Arial"/>
          <w:bCs/>
          <w:szCs w:val="22"/>
        </w:rPr>
        <w:t>For the reasons set out above I make the order in paragraph 1.</w:t>
      </w:r>
    </w:p>
    <w:p w14:paraId="5E3F3A66" w14:textId="77777777" w:rsidR="00293C02" w:rsidRDefault="00293C02" w:rsidP="003A1D18">
      <w:pPr>
        <w:widowControl w:val="0"/>
        <w:tabs>
          <w:tab w:val="right" w:pos="0"/>
        </w:tabs>
        <w:spacing w:line="360" w:lineRule="auto"/>
        <w:contextualSpacing/>
        <w:jc w:val="right"/>
        <w:rPr>
          <w:rFonts w:cs="Arial"/>
          <w:b/>
          <w:szCs w:val="22"/>
        </w:rPr>
      </w:pPr>
    </w:p>
    <w:p w14:paraId="19D68806" w14:textId="77777777" w:rsidR="00B918D5" w:rsidRDefault="00B918D5" w:rsidP="003A1D18">
      <w:pPr>
        <w:widowControl w:val="0"/>
        <w:tabs>
          <w:tab w:val="right" w:pos="0"/>
        </w:tabs>
        <w:spacing w:line="360" w:lineRule="auto"/>
        <w:contextualSpacing/>
        <w:jc w:val="right"/>
        <w:rPr>
          <w:rFonts w:cs="Arial"/>
          <w:b/>
          <w:szCs w:val="22"/>
        </w:rPr>
      </w:pPr>
    </w:p>
    <w:p w14:paraId="182995C2" w14:textId="77777777" w:rsidR="00B918D5" w:rsidRDefault="00B918D5" w:rsidP="003A1D18">
      <w:pPr>
        <w:widowControl w:val="0"/>
        <w:tabs>
          <w:tab w:val="right" w:pos="0"/>
        </w:tabs>
        <w:spacing w:line="360" w:lineRule="auto"/>
        <w:contextualSpacing/>
        <w:jc w:val="right"/>
        <w:rPr>
          <w:rFonts w:cs="Arial"/>
          <w:b/>
          <w:szCs w:val="22"/>
        </w:rPr>
      </w:pPr>
    </w:p>
    <w:p w14:paraId="0387ED36" w14:textId="77777777" w:rsidR="00B918D5" w:rsidRPr="00E05C83" w:rsidRDefault="00B918D5" w:rsidP="003A1D18">
      <w:pPr>
        <w:widowControl w:val="0"/>
        <w:tabs>
          <w:tab w:val="right" w:pos="0"/>
        </w:tabs>
        <w:spacing w:line="360" w:lineRule="auto"/>
        <w:contextualSpacing/>
        <w:jc w:val="right"/>
        <w:rPr>
          <w:rFonts w:cs="Arial"/>
          <w:b/>
          <w:szCs w:val="22"/>
        </w:rPr>
      </w:pPr>
    </w:p>
    <w:p w14:paraId="53CD27EE" w14:textId="0B3A7FA3" w:rsidR="00AE287F" w:rsidRPr="00E05C83" w:rsidRDefault="00A649E6" w:rsidP="003A1D18">
      <w:pPr>
        <w:widowControl w:val="0"/>
        <w:tabs>
          <w:tab w:val="right" w:pos="0"/>
        </w:tabs>
        <w:spacing w:line="360" w:lineRule="auto"/>
        <w:contextualSpacing/>
        <w:jc w:val="right"/>
        <w:rPr>
          <w:rFonts w:cs="Arial"/>
          <w:b/>
          <w:szCs w:val="22"/>
        </w:rPr>
      </w:pPr>
      <w:r w:rsidRPr="00E05C83">
        <w:rPr>
          <w:rFonts w:cs="Arial"/>
          <w:b/>
          <w:szCs w:val="22"/>
        </w:rPr>
        <w:t>______________</w:t>
      </w:r>
    </w:p>
    <w:p w14:paraId="0CCB9BFE" w14:textId="7ABE564D" w:rsidR="006C43D7" w:rsidRPr="00E05C83" w:rsidRDefault="00C676F3" w:rsidP="003A1D18">
      <w:pPr>
        <w:widowControl w:val="0"/>
        <w:tabs>
          <w:tab w:val="right" w:pos="0"/>
        </w:tabs>
        <w:spacing w:line="360" w:lineRule="auto"/>
        <w:contextualSpacing/>
        <w:jc w:val="right"/>
        <w:rPr>
          <w:rFonts w:cs="Arial"/>
          <w:b/>
          <w:szCs w:val="22"/>
        </w:rPr>
      </w:pPr>
      <w:r w:rsidRPr="00E05C83">
        <w:rPr>
          <w:rFonts w:cs="Arial"/>
          <w:b/>
          <w:szCs w:val="22"/>
        </w:rPr>
        <w:t>J MOORCROFT</w:t>
      </w:r>
    </w:p>
    <w:p w14:paraId="7A2C1059" w14:textId="77777777" w:rsidR="006C43D7" w:rsidRPr="00E05C83" w:rsidRDefault="006C43D7" w:rsidP="003A1D18">
      <w:pPr>
        <w:widowControl w:val="0"/>
        <w:tabs>
          <w:tab w:val="right" w:pos="0"/>
        </w:tabs>
        <w:spacing w:line="360" w:lineRule="auto"/>
        <w:contextualSpacing/>
        <w:jc w:val="right"/>
        <w:rPr>
          <w:rFonts w:cs="Arial"/>
          <w:b/>
          <w:szCs w:val="22"/>
        </w:rPr>
      </w:pPr>
      <w:r w:rsidRPr="00E05C83">
        <w:rPr>
          <w:rFonts w:cs="Arial"/>
          <w:b/>
          <w:szCs w:val="22"/>
        </w:rPr>
        <w:t>ACTING JUDGE OF THE HIGH COURT OF SOUTH AFRICA</w:t>
      </w:r>
    </w:p>
    <w:p w14:paraId="077C2590" w14:textId="7452355B" w:rsidR="006C43D7" w:rsidRPr="00E05C83" w:rsidRDefault="006C43D7" w:rsidP="003A1D18">
      <w:pPr>
        <w:widowControl w:val="0"/>
        <w:tabs>
          <w:tab w:val="right" w:pos="0"/>
          <w:tab w:val="left" w:pos="4253"/>
        </w:tabs>
        <w:spacing w:line="360" w:lineRule="auto"/>
        <w:contextualSpacing/>
        <w:jc w:val="right"/>
        <w:rPr>
          <w:rFonts w:cs="Arial"/>
          <w:b/>
          <w:szCs w:val="22"/>
        </w:rPr>
      </w:pPr>
      <w:r w:rsidRPr="00E05C83">
        <w:rPr>
          <w:rFonts w:cs="Arial"/>
          <w:b/>
          <w:szCs w:val="22"/>
        </w:rPr>
        <w:t>GAUTENG DIVISION</w:t>
      </w:r>
    </w:p>
    <w:p w14:paraId="40B9C946" w14:textId="77777777" w:rsidR="006C43D7" w:rsidRPr="00E05C83" w:rsidRDefault="006C43D7" w:rsidP="003A1D18">
      <w:pPr>
        <w:widowControl w:val="0"/>
        <w:tabs>
          <w:tab w:val="right" w:pos="0"/>
          <w:tab w:val="left" w:pos="4253"/>
        </w:tabs>
        <w:spacing w:line="360" w:lineRule="auto"/>
        <w:contextualSpacing/>
        <w:jc w:val="right"/>
        <w:rPr>
          <w:rFonts w:cs="Arial"/>
          <w:b/>
          <w:szCs w:val="22"/>
        </w:rPr>
      </w:pPr>
      <w:r w:rsidRPr="00E05C83">
        <w:rPr>
          <w:rFonts w:cs="Arial"/>
          <w:b/>
          <w:szCs w:val="22"/>
        </w:rPr>
        <w:t>JOHANNESBURG</w:t>
      </w:r>
    </w:p>
    <w:p w14:paraId="326B529B" w14:textId="77777777" w:rsidR="006C43D7" w:rsidRPr="00E05C83" w:rsidRDefault="006C43D7" w:rsidP="003A1D18">
      <w:pPr>
        <w:widowControl w:val="0"/>
        <w:tabs>
          <w:tab w:val="right" w:pos="0"/>
          <w:tab w:val="left" w:pos="4253"/>
        </w:tabs>
        <w:spacing w:line="360" w:lineRule="auto"/>
        <w:contextualSpacing/>
        <w:jc w:val="center"/>
        <w:rPr>
          <w:rFonts w:cs="Arial"/>
          <w:b/>
          <w:szCs w:val="22"/>
        </w:rPr>
      </w:pPr>
    </w:p>
    <w:p w14:paraId="5A4CC56C" w14:textId="051C4E22" w:rsidR="006C43D7" w:rsidRPr="00E05C83" w:rsidRDefault="006C43D7" w:rsidP="003A1D18">
      <w:pPr>
        <w:widowControl w:val="0"/>
        <w:spacing w:after="200" w:line="480" w:lineRule="auto"/>
        <w:contextualSpacing/>
        <w:jc w:val="right"/>
        <w:rPr>
          <w:rFonts w:cs="Arial"/>
          <w:b/>
          <w:i/>
          <w:iCs/>
          <w:szCs w:val="22"/>
        </w:rPr>
      </w:pPr>
      <w:r w:rsidRPr="00E05C83">
        <w:rPr>
          <w:rFonts w:cs="Arial"/>
          <w:b/>
          <w:i/>
          <w:iCs/>
          <w:szCs w:val="22"/>
        </w:rPr>
        <w:t>Electronically submitted</w:t>
      </w:r>
    </w:p>
    <w:p w14:paraId="4E3E9427" w14:textId="77777777" w:rsidR="006C43D7" w:rsidRPr="00E05C83" w:rsidRDefault="006C43D7" w:rsidP="003A1D18">
      <w:pPr>
        <w:widowControl w:val="0"/>
        <w:spacing w:after="200" w:line="360" w:lineRule="auto"/>
        <w:contextualSpacing/>
        <w:jc w:val="both"/>
        <w:rPr>
          <w:rFonts w:eastAsia="Arial Unicode MS" w:cs="Arial"/>
          <w:bCs/>
          <w:szCs w:val="22"/>
        </w:rPr>
      </w:pPr>
    </w:p>
    <w:p w14:paraId="51C686CA" w14:textId="650F821A" w:rsidR="006C43D7" w:rsidRPr="00E05C83" w:rsidRDefault="006C43D7" w:rsidP="003A1D18">
      <w:pPr>
        <w:widowControl w:val="0"/>
        <w:spacing w:after="200" w:line="360" w:lineRule="auto"/>
        <w:contextualSpacing/>
        <w:jc w:val="both"/>
        <w:rPr>
          <w:rFonts w:eastAsia="Arial Unicode MS" w:cs="Arial"/>
          <w:bCs/>
          <w:szCs w:val="22"/>
        </w:rPr>
      </w:pPr>
      <w:r w:rsidRPr="00E05C83">
        <w:rPr>
          <w:rFonts w:eastAsia="Arial Unicode MS" w:cs="Arial"/>
          <w:bCs/>
          <w:szCs w:val="22"/>
        </w:rPr>
        <w:lastRenderedPageBreak/>
        <w:t>Delivered: This judgement was prepared and authored by the Acting Judge whose name is reflected and is handed down electronically by circulation to the Parties / their legal representatives by email and by uploading it to the electronic file of this matter on CaseLines. The date of the judgment is deemed to be</w:t>
      </w:r>
      <w:r w:rsidR="00C460A0" w:rsidRPr="00E05C83">
        <w:rPr>
          <w:rFonts w:eastAsia="Arial Unicode MS" w:cs="Arial"/>
          <w:bCs/>
          <w:szCs w:val="22"/>
        </w:rPr>
        <w:t xml:space="preserve"> </w:t>
      </w:r>
      <w:r w:rsidR="00475883" w:rsidRPr="00E05C83">
        <w:rPr>
          <w:rFonts w:eastAsia="Arial Unicode MS" w:cs="Arial"/>
          <w:b/>
          <w:szCs w:val="22"/>
        </w:rPr>
        <w:t>21</w:t>
      </w:r>
      <w:r w:rsidR="00285ACC" w:rsidRPr="00E05C83">
        <w:rPr>
          <w:rFonts w:eastAsia="Arial Unicode MS" w:cs="Arial"/>
          <w:b/>
          <w:szCs w:val="22"/>
        </w:rPr>
        <w:t xml:space="preserve"> AUGUST</w:t>
      </w:r>
      <w:r w:rsidR="006F62A6" w:rsidRPr="00E05C83">
        <w:rPr>
          <w:rFonts w:eastAsia="Arial Unicode MS" w:cs="Arial"/>
          <w:b/>
          <w:szCs w:val="22"/>
        </w:rPr>
        <w:t xml:space="preserve"> </w:t>
      </w:r>
      <w:r w:rsidR="00237FF9" w:rsidRPr="00E05C83">
        <w:rPr>
          <w:rFonts w:eastAsia="Arial Unicode MS" w:cs="Arial"/>
          <w:b/>
          <w:bCs/>
          <w:szCs w:val="22"/>
        </w:rPr>
        <w:t>202</w:t>
      </w:r>
      <w:r w:rsidR="00051A2B" w:rsidRPr="00E05C83">
        <w:rPr>
          <w:rFonts w:eastAsia="Arial Unicode MS" w:cs="Arial"/>
          <w:b/>
          <w:bCs/>
          <w:szCs w:val="22"/>
        </w:rPr>
        <w:t>3</w:t>
      </w:r>
      <w:r w:rsidR="00051A2B" w:rsidRPr="00E05C83">
        <w:rPr>
          <w:rFonts w:eastAsia="Arial Unicode MS" w:cs="Arial"/>
          <w:bCs/>
          <w:szCs w:val="22"/>
        </w:rPr>
        <w:t>.</w:t>
      </w:r>
    </w:p>
    <w:p w14:paraId="482DDF6E" w14:textId="77777777" w:rsidR="006C43D7" w:rsidRPr="00E05C83" w:rsidRDefault="006C43D7" w:rsidP="006C43D7">
      <w:pPr>
        <w:tabs>
          <w:tab w:val="right" w:pos="0"/>
          <w:tab w:val="left" w:pos="4253"/>
        </w:tabs>
        <w:spacing w:line="360" w:lineRule="auto"/>
        <w:contextualSpacing/>
        <w:jc w:val="center"/>
        <w:rPr>
          <w:rFonts w:cs="Arial"/>
          <w:b/>
          <w:szCs w:val="22"/>
        </w:rPr>
      </w:pPr>
    </w:p>
    <w:tbl>
      <w:tblPr>
        <w:tblStyle w:val="TableGrid"/>
        <w:tblW w:w="861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35"/>
      </w:tblGrid>
      <w:tr w:rsidR="009D35B5" w:rsidRPr="00E05C83" w14:paraId="493AF0D7" w14:textId="77777777" w:rsidTr="00615F6B">
        <w:tc>
          <w:tcPr>
            <w:tcW w:w="4678" w:type="dxa"/>
          </w:tcPr>
          <w:p w14:paraId="6A05541A" w14:textId="5BD14798" w:rsidR="009D35B5" w:rsidRPr="00E05C83" w:rsidRDefault="009D35B5" w:rsidP="00A25AB4">
            <w:pPr>
              <w:tabs>
                <w:tab w:val="right" w:pos="0"/>
                <w:tab w:val="left" w:pos="4253"/>
              </w:tabs>
              <w:spacing w:before="120" w:after="120"/>
              <w:rPr>
                <w:rFonts w:cs="Arial"/>
                <w:szCs w:val="22"/>
              </w:rPr>
            </w:pPr>
            <w:r w:rsidRPr="00E05C83">
              <w:rPr>
                <w:rFonts w:cs="Arial"/>
                <w:szCs w:val="22"/>
              </w:rPr>
              <w:t xml:space="preserve">COUNSEL FOR </w:t>
            </w:r>
            <w:r w:rsidR="00404A52" w:rsidRPr="00E05C83">
              <w:rPr>
                <w:rFonts w:cs="Arial"/>
                <w:szCs w:val="22"/>
              </w:rPr>
              <w:t>THE APPLICANT</w:t>
            </w:r>
            <w:r w:rsidRPr="00E05C83">
              <w:rPr>
                <w:rFonts w:cs="Arial"/>
                <w:szCs w:val="22"/>
              </w:rPr>
              <w:t>:</w:t>
            </w:r>
          </w:p>
        </w:tc>
        <w:tc>
          <w:tcPr>
            <w:tcW w:w="3935" w:type="dxa"/>
          </w:tcPr>
          <w:p w14:paraId="69785AA9" w14:textId="606C9FF4" w:rsidR="00D15C79" w:rsidRPr="00E05C83" w:rsidRDefault="00285ACC" w:rsidP="00FF03A9">
            <w:pPr>
              <w:tabs>
                <w:tab w:val="right" w:pos="0"/>
                <w:tab w:val="left" w:pos="567"/>
                <w:tab w:val="right" w:pos="2727"/>
                <w:tab w:val="left" w:pos="4253"/>
              </w:tabs>
              <w:spacing w:before="120" w:after="120"/>
              <w:jc w:val="right"/>
              <w:rPr>
                <w:rFonts w:cs="Arial"/>
                <w:szCs w:val="22"/>
              </w:rPr>
            </w:pPr>
            <w:r w:rsidRPr="00E05C83">
              <w:rPr>
                <w:rFonts w:cs="Arial"/>
                <w:szCs w:val="22"/>
              </w:rPr>
              <w:t>JW KLOEK</w:t>
            </w:r>
          </w:p>
        </w:tc>
      </w:tr>
      <w:tr w:rsidR="009D35B5" w:rsidRPr="00E05C83" w14:paraId="183C176D" w14:textId="77777777" w:rsidTr="00615F6B">
        <w:tc>
          <w:tcPr>
            <w:tcW w:w="4678" w:type="dxa"/>
          </w:tcPr>
          <w:p w14:paraId="75365413" w14:textId="481747BC" w:rsidR="009D35B5" w:rsidRPr="00E05C83" w:rsidRDefault="009D35B5" w:rsidP="00A25AB4">
            <w:pPr>
              <w:tabs>
                <w:tab w:val="right" w:pos="0"/>
                <w:tab w:val="left" w:pos="4253"/>
              </w:tabs>
              <w:spacing w:before="120" w:after="120"/>
              <w:rPr>
                <w:rFonts w:cs="Arial"/>
                <w:szCs w:val="22"/>
              </w:rPr>
            </w:pPr>
            <w:r w:rsidRPr="00E05C83">
              <w:rPr>
                <w:rFonts w:cs="Arial"/>
                <w:szCs w:val="22"/>
              </w:rPr>
              <w:t>INSTRUCTED BY:</w:t>
            </w:r>
          </w:p>
        </w:tc>
        <w:tc>
          <w:tcPr>
            <w:tcW w:w="3935" w:type="dxa"/>
          </w:tcPr>
          <w:p w14:paraId="4044534A" w14:textId="06D1A70E" w:rsidR="00E10D04" w:rsidRPr="00E05C83" w:rsidRDefault="00705FE5" w:rsidP="00A25AB4">
            <w:pPr>
              <w:tabs>
                <w:tab w:val="right" w:pos="0"/>
                <w:tab w:val="left" w:pos="4253"/>
              </w:tabs>
              <w:spacing w:before="120" w:after="120"/>
              <w:jc w:val="right"/>
              <w:rPr>
                <w:rFonts w:cs="Arial"/>
                <w:szCs w:val="22"/>
              </w:rPr>
            </w:pPr>
            <w:r w:rsidRPr="00E05C83">
              <w:rPr>
                <w:rFonts w:cs="Arial"/>
                <w:szCs w:val="22"/>
              </w:rPr>
              <w:t>MINNIE &amp; DU PREEZ INC</w:t>
            </w:r>
          </w:p>
        </w:tc>
      </w:tr>
      <w:tr w:rsidR="009D35B5" w:rsidRPr="00E05C83" w14:paraId="6E2BF966" w14:textId="77777777" w:rsidTr="00615F6B">
        <w:tc>
          <w:tcPr>
            <w:tcW w:w="4678" w:type="dxa"/>
          </w:tcPr>
          <w:p w14:paraId="545B6665" w14:textId="024FB565" w:rsidR="009D35B5" w:rsidRPr="00E05C83" w:rsidRDefault="009D35B5" w:rsidP="00A25AB4">
            <w:pPr>
              <w:tabs>
                <w:tab w:val="right" w:pos="0"/>
                <w:tab w:val="left" w:pos="4253"/>
              </w:tabs>
              <w:spacing w:before="120" w:after="120"/>
              <w:rPr>
                <w:rFonts w:cs="Arial"/>
                <w:szCs w:val="22"/>
              </w:rPr>
            </w:pPr>
            <w:r w:rsidRPr="00E05C83">
              <w:rPr>
                <w:rFonts w:cs="Arial"/>
                <w:szCs w:val="22"/>
              </w:rPr>
              <w:t xml:space="preserve">COUNSEL FOR </w:t>
            </w:r>
            <w:r w:rsidR="00404A52" w:rsidRPr="00E05C83">
              <w:rPr>
                <w:rFonts w:cs="Arial"/>
                <w:szCs w:val="22"/>
              </w:rPr>
              <w:t xml:space="preserve">THE </w:t>
            </w:r>
            <w:r w:rsidR="00027D19" w:rsidRPr="00E05C83">
              <w:rPr>
                <w:rFonts w:cs="Arial"/>
                <w:szCs w:val="22"/>
              </w:rPr>
              <w:t>RESPONDENT</w:t>
            </w:r>
            <w:r w:rsidRPr="00E05C83">
              <w:rPr>
                <w:rFonts w:cs="Arial"/>
                <w:szCs w:val="22"/>
              </w:rPr>
              <w:t>:</w:t>
            </w:r>
          </w:p>
        </w:tc>
        <w:tc>
          <w:tcPr>
            <w:tcW w:w="3935" w:type="dxa"/>
          </w:tcPr>
          <w:p w14:paraId="51741A90" w14:textId="1D8ED7D0" w:rsidR="009D35B5" w:rsidRPr="00E05C83" w:rsidRDefault="00285ACC" w:rsidP="00A25AB4">
            <w:pPr>
              <w:tabs>
                <w:tab w:val="right" w:pos="0"/>
                <w:tab w:val="left" w:pos="4253"/>
              </w:tabs>
              <w:spacing w:before="120" w:after="120"/>
              <w:jc w:val="right"/>
              <w:rPr>
                <w:rFonts w:cs="Arial"/>
                <w:szCs w:val="22"/>
              </w:rPr>
            </w:pPr>
            <w:r w:rsidRPr="00E05C83">
              <w:rPr>
                <w:rFonts w:cs="Arial"/>
                <w:szCs w:val="22"/>
              </w:rPr>
              <w:t>L TYATYA</w:t>
            </w:r>
          </w:p>
        </w:tc>
      </w:tr>
      <w:tr w:rsidR="009D35B5" w:rsidRPr="00E05C83" w14:paraId="1EC4105A" w14:textId="77777777" w:rsidTr="00615F6B">
        <w:tc>
          <w:tcPr>
            <w:tcW w:w="4678" w:type="dxa"/>
          </w:tcPr>
          <w:p w14:paraId="184EC2ED" w14:textId="1E42F28A" w:rsidR="009D35B5" w:rsidRPr="00E05C83" w:rsidRDefault="009D35B5" w:rsidP="00A25AB4">
            <w:pPr>
              <w:tabs>
                <w:tab w:val="right" w:pos="0"/>
                <w:tab w:val="left" w:pos="4253"/>
              </w:tabs>
              <w:spacing w:before="120" w:after="120"/>
              <w:rPr>
                <w:rFonts w:cs="Arial"/>
                <w:szCs w:val="22"/>
              </w:rPr>
            </w:pPr>
            <w:r w:rsidRPr="00E05C83">
              <w:rPr>
                <w:rFonts w:cs="Arial"/>
                <w:szCs w:val="22"/>
              </w:rPr>
              <w:t>INSTRUCTED BY:</w:t>
            </w:r>
          </w:p>
        </w:tc>
        <w:tc>
          <w:tcPr>
            <w:tcW w:w="3935" w:type="dxa"/>
          </w:tcPr>
          <w:p w14:paraId="2098BE2A" w14:textId="47295AB3" w:rsidR="009D35B5" w:rsidRPr="00E05C83" w:rsidRDefault="003C411A" w:rsidP="00A25AB4">
            <w:pPr>
              <w:tabs>
                <w:tab w:val="right" w:pos="0"/>
                <w:tab w:val="left" w:pos="4253"/>
              </w:tabs>
              <w:spacing w:before="120" w:after="120"/>
              <w:jc w:val="right"/>
              <w:rPr>
                <w:rFonts w:cs="Arial"/>
                <w:szCs w:val="22"/>
              </w:rPr>
            </w:pPr>
            <w:r w:rsidRPr="00E05C83">
              <w:rPr>
                <w:rFonts w:cs="Arial"/>
                <w:szCs w:val="22"/>
              </w:rPr>
              <w:t>STATE ATTORNEY</w:t>
            </w:r>
          </w:p>
        </w:tc>
      </w:tr>
      <w:tr w:rsidR="009D35B5" w:rsidRPr="00E05C83" w14:paraId="2A3FE2B1" w14:textId="77777777" w:rsidTr="00615F6B">
        <w:tc>
          <w:tcPr>
            <w:tcW w:w="4678" w:type="dxa"/>
          </w:tcPr>
          <w:p w14:paraId="0767D0FE" w14:textId="61925A22" w:rsidR="009D35B5" w:rsidRPr="00E05C83" w:rsidRDefault="009D35B5" w:rsidP="00A25AB4">
            <w:pPr>
              <w:tabs>
                <w:tab w:val="right" w:pos="0"/>
                <w:tab w:val="left" w:pos="4253"/>
              </w:tabs>
              <w:spacing w:before="120" w:after="120"/>
              <w:rPr>
                <w:rFonts w:cs="Arial"/>
                <w:szCs w:val="22"/>
              </w:rPr>
            </w:pPr>
            <w:r w:rsidRPr="00E05C83">
              <w:rPr>
                <w:rFonts w:cs="Arial"/>
                <w:szCs w:val="22"/>
              </w:rPr>
              <w:t xml:space="preserve">DATE </w:t>
            </w:r>
            <w:r w:rsidR="00E57446" w:rsidRPr="00E05C83">
              <w:rPr>
                <w:rFonts w:cs="Arial"/>
                <w:szCs w:val="22"/>
              </w:rPr>
              <w:t>OF ARGUMENT</w:t>
            </w:r>
            <w:r w:rsidRPr="00E05C83">
              <w:rPr>
                <w:rFonts w:cs="Arial"/>
                <w:szCs w:val="22"/>
              </w:rPr>
              <w:t>:</w:t>
            </w:r>
          </w:p>
        </w:tc>
        <w:tc>
          <w:tcPr>
            <w:tcW w:w="3935" w:type="dxa"/>
          </w:tcPr>
          <w:p w14:paraId="34C95147" w14:textId="0F432C7B" w:rsidR="009D35B5" w:rsidRPr="00E05C83" w:rsidRDefault="00FF03A9" w:rsidP="00A25AB4">
            <w:pPr>
              <w:tabs>
                <w:tab w:val="right" w:pos="0"/>
                <w:tab w:val="left" w:pos="4253"/>
              </w:tabs>
              <w:spacing w:before="120" w:after="120"/>
              <w:jc w:val="right"/>
              <w:rPr>
                <w:rFonts w:cs="Arial"/>
                <w:szCs w:val="22"/>
              </w:rPr>
            </w:pPr>
            <w:r w:rsidRPr="00E05C83">
              <w:rPr>
                <w:rFonts w:cs="Arial"/>
                <w:szCs w:val="22"/>
              </w:rPr>
              <w:t>24 JULY 2023</w:t>
            </w:r>
            <w:r w:rsidR="000E668F" w:rsidRPr="00E05C83">
              <w:rPr>
                <w:rFonts w:cs="Arial"/>
                <w:szCs w:val="22"/>
              </w:rPr>
              <w:t>, additional heads filed 11 AUGUST 2023</w:t>
            </w:r>
          </w:p>
        </w:tc>
      </w:tr>
      <w:tr w:rsidR="00A25AB4" w:rsidRPr="00E05C83" w14:paraId="5ECDFF3A" w14:textId="77777777" w:rsidTr="00615F6B">
        <w:tc>
          <w:tcPr>
            <w:tcW w:w="4678" w:type="dxa"/>
          </w:tcPr>
          <w:p w14:paraId="1DF2AE9E" w14:textId="1FC539A4" w:rsidR="00A25AB4" w:rsidRPr="00E05C83" w:rsidRDefault="00A25AB4" w:rsidP="00A25AB4">
            <w:pPr>
              <w:tabs>
                <w:tab w:val="right" w:pos="0"/>
                <w:tab w:val="left" w:pos="4253"/>
              </w:tabs>
              <w:spacing w:before="120" w:after="120"/>
              <w:rPr>
                <w:rFonts w:cs="Arial"/>
                <w:szCs w:val="22"/>
              </w:rPr>
            </w:pPr>
            <w:r w:rsidRPr="00E05C83">
              <w:rPr>
                <w:rFonts w:cs="Arial"/>
                <w:szCs w:val="22"/>
              </w:rPr>
              <w:t>DATE OF JUDGMENT:</w:t>
            </w:r>
          </w:p>
        </w:tc>
        <w:tc>
          <w:tcPr>
            <w:tcW w:w="3935" w:type="dxa"/>
          </w:tcPr>
          <w:p w14:paraId="02219E99" w14:textId="10F912A3" w:rsidR="00A25AB4" w:rsidRPr="00E05C83" w:rsidRDefault="00475883" w:rsidP="00A25AB4">
            <w:pPr>
              <w:tabs>
                <w:tab w:val="right" w:pos="0"/>
                <w:tab w:val="left" w:pos="4253"/>
              </w:tabs>
              <w:spacing w:before="120" w:after="120"/>
              <w:jc w:val="right"/>
              <w:rPr>
                <w:rFonts w:cs="Arial"/>
                <w:szCs w:val="22"/>
              </w:rPr>
            </w:pPr>
            <w:r w:rsidRPr="00E05C83">
              <w:rPr>
                <w:rFonts w:cs="Arial"/>
                <w:szCs w:val="22"/>
              </w:rPr>
              <w:t xml:space="preserve">21 </w:t>
            </w:r>
            <w:r w:rsidR="00285ACC" w:rsidRPr="00E05C83">
              <w:rPr>
                <w:rFonts w:cs="Arial"/>
                <w:szCs w:val="22"/>
              </w:rPr>
              <w:t>AUGUST</w:t>
            </w:r>
            <w:r w:rsidR="006F62A6" w:rsidRPr="00E05C83">
              <w:rPr>
                <w:rFonts w:cs="Arial"/>
                <w:szCs w:val="22"/>
              </w:rPr>
              <w:t xml:space="preserve"> </w:t>
            </w:r>
            <w:r w:rsidR="00A25AB4" w:rsidRPr="00E05C83">
              <w:rPr>
                <w:rFonts w:cs="Arial"/>
                <w:szCs w:val="22"/>
              </w:rPr>
              <w:t>2023</w:t>
            </w:r>
          </w:p>
        </w:tc>
      </w:tr>
    </w:tbl>
    <w:p w14:paraId="1BD8F4EB" w14:textId="491B3C8F" w:rsidR="00A402F6" w:rsidRPr="00E05C83" w:rsidRDefault="00A402F6" w:rsidP="00C428AB">
      <w:pPr>
        <w:widowControl w:val="0"/>
        <w:spacing w:before="480" w:after="480" w:line="360" w:lineRule="auto"/>
        <w:jc w:val="both"/>
        <w:rPr>
          <w:rFonts w:cs="Arial"/>
          <w:szCs w:val="22"/>
        </w:rPr>
      </w:pPr>
    </w:p>
    <w:sectPr w:rsidR="00A402F6" w:rsidRPr="00E05C83" w:rsidSect="00435352">
      <w:headerReference w:type="default" r:id="rId13"/>
      <w:pgSz w:w="11906" w:h="16838"/>
      <w:pgMar w:top="1440" w:right="1558" w:bottom="1276"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600FAC" w14:textId="77777777" w:rsidR="00435352" w:rsidRDefault="00435352">
      <w:r>
        <w:separator/>
      </w:r>
    </w:p>
  </w:endnote>
  <w:endnote w:type="continuationSeparator" w:id="0">
    <w:p w14:paraId="5B75CF82" w14:textId="77777777" w:rsidR="00435352" w:rsidRDefault="00435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BE2BAA" w14:textId="77777777" w:rsidR="00435352" w:rsidRDefault="00435352">
      <w:r>
        <w:separator/>
      </w:r>
    </w:p>
  </w:footnote>
  <w:footnote w:type="continuationSeparator" w:id="0">
    <w:p w14:paraId="2DBEC84B" w14:textId="77777777" w:rsidR="00435352" w:rsidRDefault="00435352">
      <w:r>
        <w:continuationSeparator/>
      </w:r>
    </w:p>
  </w:footnote>
  <w:footnote w:id="1">
    <w:p w14:paraId="21B7F813" w14:textId="00447A44" w:rsidR="00D67F63" w:rsidRDefault="00D67F63">
      <w:pPr>
        <w:pStyle w:val="FootnoteText"/>
      </w:pPr>
      <w:r>
        <w:rPr>
          <w:rStyle w:val="FootnoteReference"/>
        </w:rPr>
        <w:footnoteRef/>
      </w:r>
      <w:r>
        <w:t xml:space="preserve"> </w:t>
      </w:r>
      <w:r>
        <w:tab/>
      </w:r>
      <w:r w:rsidR="006228B3" w:rsidRPr="006228B3">
        <w:rPr>
          <w:rFonts w:cs="Arial"/>
          <w:i/>
          <w:iCs/>
          <w:szCs w:val="22"/>
        </w:rPr>
        <w:t>Hlobo v Multilateral Motor Vehicle Accident Fund</w:t>
      </w:r>
      <w:r w:rsidR="006228B3">
        <w:t xml:space="preserve"> </w:t>
      </w:r>
      <w:r>
        <w:t>2001 (2) SA 59 (SCA).</w:t>
      </w:r>
    </w:p>
  </w:footnote>
  <w:footnote w:id="2">
    <w:p w14:paraId="5FDBAA9D" w14:textId="62EE23EF" w:rsidR="00F3463A" w:rsidRDefault="00F3463A">
      <w:pPr>
        <w:pStyle w:val="FootnoteText"/>
      </w:pPr>
      <w:r>
        <w:rPr>
          <w:rStyle w:val="FootnoteReference"/>
        </w:rPr>
        <w:footnoteRef/>
      </w:r>
      <w:r>
        <w:t xml:space="preserve"> </w:t>
      </w:r>
      <w:r>
        <w:tab/>
        <w:t>Para 10.</w:t>
      </w:r>
    </w:p>
  </w:footnote>
  <w:footnote w:id="3">
    <w:p w14:paraId="4BE1F8AB" w14:textId="55EC7418" w:rsidR="00406F2B" w:rsidRDefault="00406F2B">
      <w:pPr>
        <w:pStyle w:val="FootnoteText"/>
      </w:pPr>
      <w:r>
        <w:rPr>
          <w:rStyle w:val="FootnoteReference"/>
        </w:rPr>
        <w:footnoteRef/>
      </w:r>
      <w:r>
        <w:t xml:space="preserve"> </w:t>
      </w:r>
      <w:r>
        <w:tab/>
        <w:t xml:space="preserve">Or, a </w:t>
      </w:r>
      <w:r w:rsidRPr="00406F2B">
        <w:rPr>
          <w:i/>
          <w:iCs/>
        </w:rPr>
        <w:t>transactio</w:t>
      </w:r>
      <w:r>
        <w:rPr>
          <w:i/>
          <w:iCs/>
        </w:rPr>
        <w:t>.</w:t>
      </w:r>
    </w:p>
  </w:footnote>
  <w:footnote w:id="4">
    <w:p w14:paraId="67202CE0" w14:textId="6FB0C119" w:rsidR="00F3463A" w:rsidRDefault="00F3463A">
      <w:pPr>
        <w:pStyle w:val="FootnoteText"/>
      </w:pPr>
      <w:r>
        <w:rPr>
          <w:rStyle w:val="FootnoteReference"/>
        </w:rPr>
        <w:footnoteRef/>
      </w:r>
      <w:r>
        <w:t xml:space="preserve"> </w:t>
      </w:r>
      <w:r>
        <w:tab/>
        <w:t xml:space="preserve">See Rule 37(6)(c) that compel litigants to discuss settlement at pretrial conferences, and now also </w:t>
      </w:r>
      <w:r w:rsidR="000B67AB">
        <w:t xml:space="preserve">Rule 41A that encourages voluntary </w:t>
      </w:r>
      <w:r w:rsidR="00E05C83">
        <w:t>mediation</w:t>
      </w:r>
      <w:r w:rsidR="000B67AB">
        <w:t>.</w:t>
      </w:r>
    </w:p>
  </w:footnote>
  <w:footnote w:id="5">
    <w:p w14:paraId="5C7207C5" w14:textId="7F55AE82" w:rsidR="00966A55" w:rsidRDefault="00966A55">
      <w:pPr>
        <w:pStyle w:val="FootnoteText"/>
      </w:pPr>
      <w:r>
        <w:rPr>
          <w:rStyle w:val="FootnoteReference"/>
        </w:rPr>
        <w:footnoteRef/>
      </w:r>
      <w:r>
        <w:t xml:space="preserve"> </w:t>
      </w:r>
      <w:r>
        <w:tab/>
        <w:t xml:space="preserve">See also </w:t>
      </w:r>
      <w:r w:rsidRPr="00966A55">
        <w:rPr>
          <w:i/>
          <w:iCs/>
        </w:rPr>
        <w:t>Estate Erasmus v Church</w:t>
      </w:r>
      <w:r w:rsidRPr="001D52F3">
        <w:t> 1927 TPD 20 at 23</w:t>
      </w:r>
      <w:r>
        <w:t>.</w:t>
      </w:r>
    </w:p>
  </w:footnote>
  <w:footnote w:id="6">
    <w:p w14:paraId="65E73613" w14:textId="2CE6BB23" w:rsidR="00966A55" w:rsidRDefault="00966A55">
      <w:pPr>
        <w:pStyle w:val="FootnoteText"/>
      </w:pPr>
      <w:r w:rsidRPr="00966A55">
        <w:rPr>
          <w:rStyle w:val="FootnoteReference"/>
          <w:color w:val="000000" w:themeColor="text1"/>
        </w:rPr>
        <w:footnoteRef/>
      </w:r>
      <w:r w:rsidRPr="00966A55">
        <w:rPr>
          <w:color w:val="000000" w:themeColor="text1"/>
        </w:rPr>
        <w:t xml:space="preserve"> </w:t>
      </w:r>
      <w:r w:rsidRPr="00966A55">
        <w:rPr>
          <w:color w:val="000000" w:themeColor="text1"/>
        </w:rPr>
        <w:tab/>
      </w:r>
      <w:r w:rsidRPr="00966A55">
        <w:rPr>
          <w:i/>
          <w:iCs/>
          <w:color w:val="000000" w:themeColor="text1"/>
        </w:rPr>
        <w:t>R v Matonsi</w:t>
      </w:r>
      <w:r w:rsidRPr="00966A55">
        <w:rPr>
          <w:color w:val="000000" w:themeColor="text1"/>
        </w:rPr>
        <w:t> </w:t>
      </w:r>
      <w:hyperlink r:id="rId1" w:history="1">
        <w:r w:rsidRPr="00966A55">
          <w:rPr>
            <w:rStyle w:val="Hyperlink"/>
            <w:color w:val="000000" w:themeColor="text1"/>
            <w:u w:val="none"/>
          </w:rPr>
          <w:t>1958 (2) SA 450 (A)</w:t>
        </w:r>
      </w:hyperlink>
      <w:r w:rsidRPr="00966A55">
        <w:rPr>
          <w:color w:val="000000" w:themeColor="text1"/>
        </w:rPr>
        <w:t xml:space="preserve"> 456A - H and </w:t>
      </w:r>
      <w:r w:rsidRPr="00966A55">
        <w:rPr>
          <w:i/>
          <w:iCs/>
          <w:color w:val="000000" w:themeColor="text1"/>
        </w:rPr>
        <w:t>Benjamin v Gurewitz</w:t>
      </w:r>
      <w:r w:rsidRPr="00966A55">
        <w:rPr>
          <w:color w:val="000000" w:themeColor="text1"/>
        </w:rPr>
        <w:t> </w:t>
      </w:r>
      <w:hyperlink r:id="rId2" w:history="1">
        <w:r w:rsidRPr="00966A55">
          <w:rPr>
            <w:rStyle w:val="Hyperlink"/>
            <w:color w:val="000000" w:themeColor="text1"/>
            <w:u w:val="none"/>
          </w:rPr>
          <w:t>1973 (1) SA 418 (A)</w:t>
        </w:r>
      </w:hyperlink>
      <w:r w:rsidRPr="00966A55">
        <w:rPr>
          <w:color w:val="000000" w:themeColor="text1"/>
        </w:rPr>
        <w:t> 428E - F</w:t>
      </w:r>
      <w:r w:rsidRPr="001D52F3">
        <w:t>.</w:t>
      </w:r>
    </w:p>
  </w:footnote>
  <w:footnote w:id="7">
    <w:p w14:paraId="11199286" w14:textId="6DD8DFA5" w:rsidR="00966A55" w:rsidRDefault="00966A55">
      <w:pPr>
        <w:pStyle w:val="FootnoteText"/>
      </w:pPr>
      <w:r>
        <w:rPr>
          <w:rStyle w:val="FootnoteReference"/>
        </w:rPr>
        <w:footnoteRef/>
      </w:r>
      <w:r>
        <w:t xml:space="preserve"> </w:t>
      </w:r>
      <w:r>
        <w:tab/>
        <w:t xml:space="preserve">Plewman JA referred to </w:t>
      </w:r>
      <w:r w:rsidRPr="00966A55">
        <w:rPr>
          <w:i/>
          <w:iCs/>
        </w:rPr>
        <w:t>Halsbury's Law of England</w:t>
      </w:r>
      <w:r w:rsidRPr="001D52F3">
        <w:t> 4</w:t>
      </w:r>
      <w:r w:rsidRPr="00966A55">
        <w:rPr>
          <w:vertAlign w:val="superscript"/>
        </w:rPr>
        <w:t>th</w:t>
      </w:r>
      <w:r w:rsidRPr="001D52F3">
        <w:t xml:space="preserve"> ed vol 37 para 511</w:t>
      </w:r>
      <w:r>
        <w:t>.</w:t>
      </w:r>
      <w:r w:rsidR="006B4121">
        <w:t xml:space="preserve"> This </w:t>
      </w:r>
      <w:r w:rsidR="006B4121" w:rsidRPr="006B4121">
        <w:rPr>
          <w:i/>
          <w:iCs/>
        </w:rPr>
        <w:t>obiter</w:t>
      </w:r>
      <w:r w:rsidR="006B4121">
        <w:t xml:space="preserve"> statement by Plewman JA was endorsed in </w:t>
      </w:r>
      <w:r w:rsidR="006B4121" w:rsidRPr="006B4121">
        <w:rPr>
          <w:i/>
          <w:iCs/>
        </w:rPr>
        <w:t xml:space="preserve">MEC for Economic Affairs, Environment </w:t>
      </w:r>
      <w:r w:rsidR="006B4121">
        <w:rPr>
          <w:i/>
          <w:iCs/>
        </w:rPr>
        <w:t>and</w:t>
      </w:r>
      <w:r w:rsidR="006B4121" w:rsidRPr="006B4121">
        <w:rPr>
          <w:i/>
          <w:iCs/>
        </w:rPr>
        <w:t xml:space="preserve"> Tourism v Kruizenga</w:t>
      </w:r>
      <w:r w:rsidR="006B4121">
        <w:t xml:space="preserve">  [2010] ZASCA 58.</w:t>
      </w:r>
    </w:p>
  </w:footnote>
  <w:footnote w:id="8">
    <w:p w14:paraId="19CB0606" w14:textId="7BA34D1B" w:rsidR="00966A55" w:rsidRDefault="00966A55">
      <w:pPr>
        <w:pStyle w:val="FootnoteText"/>
      </w:pPr>
      <w:r>
        <w:rPr>
          <w:rStyle w:val="FootnoteReference"/>
        </w:rPr>
        <w:footnoteRef/>
      </w:r>
      <w:r>
        <w:t xml:space="preserve"> </w:t>
      </w:r>
      <w:r>
        <w:tab/>
      </w:r>
      <w:r w:rsidRPr="00966A55">
        <w:rPr>
          <w:i/>
          <w:iCs/>
        </w:rPr>
        <w:t>Waugh and   Others v H B Clifford &amp; Sons Ltd and Others</w:t>
      </w:r>
      <w:r w:rsidRPr="001D52F3">
        <w:t> [1982] 1 All ER 1095 (CA)</w:t>
      </w:r>
      <w:r>
        <w:t xml:space="preserve"> and </w:t>
      </w:r>
      <w:r w:rsidRPr="00966A55">
        <w:rPr>
          <w:i/>
          <w:iCs/>
        </w:rPr>
        <w:t>Alexander v Klitzke</w:t>
      </w:r>
      <w:r w:rsidRPr="001D52F3">
        <w:t> 1917 EDL 408</w:t>
      </w:r>
      <w:r>
        <w:t>.</w:t>
      </w:r>
    </w:p>
  </w:footnote>
  <w:footnote w:id="9">
    <w:p w14:paraId="31E4D351" w14:textId="6DB49C82" w:rsidR="00D67F63" w:rsidRDefault="00D67F63">
      <w:pPr>
        <w:pStyle w:val="FootnoteText"/>
      </w:pPr>
      <w:r>
        <w:rPr>
          <w:rStyle w:val="FootnoteReference"/>
        </w:rPr>
        <w:footnoteRef/>
      </w:r>
      <w:r>
        <w:t xml:space="preserve"> </w:t>
      </w:r>
      <w:r>
        <w:tab/>
      </w:r>
      <w:r w:rsidR="006228B3" w:rsidRPr="006228B3">
        <w:rPr>
          <w:rFonts w:cs="Arial"/>
          <w:bCs/>
          <w:i/>
          <w:iCs/>
          <w:szCs w:val="22"/>
        </w:rPr>
        <w:t>Minister of Police v Van der Watt and Another [2021</w:t>
      </w:r>
      <w:r w:rsidR="006228B3" w:rsidRPr="006228B3">
        <w:rPr>
          <w:rFonts w:cs="Arial"/>
          <w:bCs/>
          <w:szCs w:val="22"/>
        </w:rPr>
        <w:t>] ZAGPPHC 53</w:t>
      </w:r>
      <w:r w:rsidR="006228B3">
        <w:rPr>
          <w:rFonts w:cs="Arial"/>
          <w:bCs/>
          <w:szCs w:val="22"/>
        </w:rPr>
        <w:t xml:space="preserve"> paras 45, 49, 55 and 58.</w:t>
      </w:r>
    </w:p>
  </w:footnote>
  <w:footnote w:id="10">
    <w:p w14:paraId="1B071E3D" w14:textId="72609F0A" w:rsidR="008D0AE0" w:rsidRDefault="008D0AE0">
      <w:pPr>
        <w:pStyle w:val="FootnoteText"/>
      </w:pPr>
      <w:r>
        <w:rPr>
          <w:rStyle w:val="FootnoteReference"/>
        </w:rPr>
        <w:footnoteRef/>
      </w:r>
      <w:r>
        <w:t xml:space="preserve"> </w:t>
      </w:r>
      <w:r>
        <w:tab/>
        <w:t>Para 50.</w:t>
      </w:r>
    </w:p>
  </w:footnote>
  <w:footnote w:id="11">
    <w:p w14:paraId="137B58C2" w14:textId="0E15A3B5" w:rsidR="008D0AE0" w:rsidRDefault="008D0AE0">
      <w:pPr>
        <w:pStyle w:val="FootnoteText"/>
      </w:pPr>
      <w:r>
        <w:rPr>
          <w:rStyle w:val="FootnoteReference"/>
        </w:rPr>
        <w:footnoteRef/>
      </w:r>
      <w:r>
        <w:t xml:space="preserve"> </w:t>
      </w:r>
      <w:r>
        <w:tab/>
        <w:t xml:space="preserve">The learned Judge referred in footnote 10 to </w:t>
      </w:r>
      <w:r w:rsidRPr="008D0AE0">
        <w:rPr>
          <w:rFonts w:cs="Calibri"/>
          <w:bCs/>
          <w:i/>
          <w:iCs/>
        </w:rPr>
        <w:t>MEC for Health and Social Development of the Gauteng Provincial Government v Mathebula and Others</w:t>
      </w:r>
      <w:r w:rsidRPr="001A7E21">
        <w:rPr>
          <w:rFonts w:cs="Calibri"/>
          <w:bCs/>
        </w:rPr>
        <w:t xml:space="preserve"> [2016] ZAGPJHC 187</w:t>
      </w:r>
      <w:r>
        <w:rPr>
          <w:rFonts w:cs="Calibri"/>
          <w:bCs/>
        </w:rPr>
        <w:t xml:space="preserve"> para 30.</w:t>
      </w:r>
    </w:p>
  </w:footnote>
  <w:footnote w:id="12">
    <w:p w14:paraId="26FCC374" w14:textId="7E9B17DE" w:rsidR="005B6615" w:rsidRDefault="005B6615" w:rsidP="005B6615">
      <w:pPr>
        <w:pStyle w:val="FootnoteText"/>
      </w:pPr>
      <w:r>
        <w:rPr>
          <w:rStyle w:val="FootnoteReference"/>
        </w:rPr>
        <w:footnoteRef/>
      </w:r>
      <w:r>
        <w:t xml:space="preserve"> </w:t>
      </w:r>
      <w:r>
        <w:tab/>
      </w:r>
      <w:r w:rsidRPr="002F52BA">
        <w:rPr>
          <w:i/>
          <w:iCs/>
        </w:rPr>
        <w:t>C</w:t>
      </w:r>
      <w:r>
        <w:rPr>
          <w:i/>
          <w:iCs/>
        </w:rPr>
        <w:t>gee</w:t>
      </w:r>
      <w:r w:rsidRPr="002F52BA">
        <w:rPr>
          <w:i/>
          <w:iCs/>
        </w:rPr>
        <w:t xml:space="preserve"> Alsthom Equipments et Enterprises Electriques, South African Division v GKN Sankey (Pty)</w:t>
      </w:r>
      <w:r>
        <w:rPr>
          <w:i/>
          <w:iCs/>
        </w:rPr>
        <w:t xml:space="preserve"> </w:t>
      </w:r>
      <w:r w:rsidRPr="002F52BA">
        <w:rPr>
          <w:i/>
          <w:iCs/>
        </w:rPr>
        <w:t xml:space="preserve"> Ltd</w:t>
      </w:r>
      <w:r>
        <w:rPr>
          <w:i/>
          <w:iCs/>
        </w:rPr>
        <w:t xml:space="preserve"> </w:t>
      </w:r>
      <w:r w:rsidRPr="002F52BA">
        <w:t>1987 (1) SA 81 (A)</w:t>
      </w:r>
      <w:r>
        <w:t xml:space="preserve"> 92C. See also</w:t>
      </w:r>
      <w:r w:rsidR="007B6E99">
        <w:t xml:space="preserve"> </w:t>
      </w:r>
      <w:r w:rsidR="007B6E99" w:rsidRPr="00C72E22">
        <w:rPr>
          <w:i/>
          <w:iCs/>
        </w:rPr>
        <w:t>Command Protection Services (Gauteng) (Pty) Ltd t/a Maxi Security v South African Post Office Ltd</w:t>
      </w:r>
      <w:r w:rsidR="007B6E99">
        <w:rPr>
          <w:i/>
          <w:iCs/>
        </w:rPr>
        <w:t xml:space="preserve"> </w:t>
      </w:r>
      <w:r w:rsidR="007B6E99" w:rsidRPr="00C72E22">
        <w:t>2013 (2) SA 133 (SCA)</w:t>
      </w:r>
      <w:r>
        <w:t xml:space="preserve"> para 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68A9B" w14:textId="1F3BC4F6" w:rsidR="00893C08" w:rsidRPr="006C43D7" w:rsidRDefault="00893C08" w:rsidP="004B21D9">
    <w:pPr>
      <w:tabs>
        <w:tab w:val="center" w:pos="4153"/>
        <w:tab w:val="right" w:pos="8306"/>
      </w:tabs>
      <w:spacing w:line="276" w:lineRule="auto"/>
      <w:rPr>
        <w:rFonts w:cs="Arial"/>
        <w:sz w:val="20"/>
        <w:szCs w:val="20"/>
        <w:lang w:val="en-GB"/>
      </w:rPr>
    </w:pPr>
    <w:r w:rsidRPr="006C43D7">
      <w:rPr>
        <w:rFonts w:cs="Arial"/>
        <w:sz w:val="20"/>
        <w:szCs w:val="20"/>
        <w:lang w:val="en-GB"/>
      </w:rPr>
      <w:fldChar w:fldCharType="begin"/>
    </w:r>
    <w:r w:rsidRPr="006C43D7">
      <w:rPr>
        <w:rFonts w:cs="Arial"/>
        <w:sz w:val="20"/>
        <w:szCs w:val="20"/>
        <w:lang w:val="en-GB"/>
      </w:rPr>
      <w:instrText xml:space="preserve"> PAGE </w:instrText>
    </w:r>
    <w:r w:rsidRPr="006C43D7">
      <w:rPr>
        <w:rFonts w:cs="Arial"/>
        <w:sz w:val="20"/>
        <w:szCs w:val="20"/>
        <w:lang w:val="en-GB"/>
      </w:rPr>
      <w:fldChar w:fldCharType="separate"/>
    </w:r>
    <w:r w:rsidR="0012651F">
      <w:rPr>
        <w:rFonts w:cs="Arial"/>
        <w:noProof/>
        <w:sz w:val="20"/>
        <w:szCs w:val="20"/>
        <w:lang w:val="en-GB"/>
      </w:rPr>
      <w:t>4</w:t>
    </w:r>
    <w:r w:rsidRPr="006C43D7">
      <w:rPr>
        <w:rFonts w:cs="Arial"/>
        <w:sz w:val="20"/>
        <w:szCs w:val="20"/>
        <w:lang w:val="en-GB"/>
      </w:rPr>
      <w:fldChar w:fldCharType="end"/>
    </w:r>
  </w:p>
  <w:p w14:paraId="08C008E5" w14:textId="77777777" w:rsidR="00893C08" w:rsidRPr="006C43D7" w:rsidRDefault="00893C08" w:rsidP="006C43D7">
    <w:pPr>
      <w:tabs>
        <w:tab w:val="center" w:pos="4153"/>
        <w:tab w:val="right" w:pos="8306"/>
      </w:tabs>
      <w:spacing w:line="276" w:lineRule="auto"/>
      <w:jc w:val="right"/>
      <w:rPr>
        <w:rFonts w:cs="Arial"/>
        <w:lang w:val="en-US"/>
      </w:rPr>
    </w:pPr>
  </w:p>
  <w:p w14:paraId="4A21EF97" w14:textId="77777777" w:rsidR="00893C08" w:rsidRPr="006C43D7" w:rsidRDefault="00893C08" w:rsidP="006C43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01149B"/>
    <w:multiLevelType w:val="multilevel"/>
    <w:tmpl w:val="BB262BC0"/>
    <w:lvl w:ilvl="0">
      <w:start w:val="1"/>
      <w:numFmt w:val="decimal"/>
      <w:lvlText w:val="%1."/>
      <w:lvlJc w:val="left"/>
      <w:pPr>
        <w:ind w:left="1701" w:hanging="567"/>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395632B"/>
    <w:multiLevelType w:val="multilevel"/>
    <w:tmpl w:val="18D4C7F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8DD7D02"/>
    <w:multiLevelType w:val="multilevel"/>
    <w:tmpl w:val="DF0C55CC"/>
    <w:lvl w:ilvl="0">
      <w:start w:val="1"/>
      <w:numFmt w:val="decimal"/>
      <w:pStyle w:val="AFUaffidavitnumbering"/>
      <w:lvlText w:val="%1"/>
      <w:lvlJc w:val="left"/>
      <w:pPr>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15:restartNumberingAfterBreak="0">
    <w:nsid w:val="2FFC1874"/>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15:restartNumberingAfterBreak="0">
    <w:nsid w:val="31CA61CD"/>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6" w15:restartNumberingAfterBreak="0">
    <w:nsid w:val="384B5003"/>
    <w:multiLevelType w:val="multilevel"/>
    <w:tmpl w:val="BA7E0772"/>
    <w:lvl w:ilvl="0">
      <w:start w:val="8"/>
      <w:numFmt w:val="decimal"/>
      <w:lvlText w:val="%1"/>
      <w:lvlJc w:val="left"/>
      <w:pPr>
        <w:ind w:left="360" w:hanging="360"/>
      </w:pPr>
    </w:lvl>
    <w:lvl w:ilvl="1">
      <w:start w:val="1"/>
      <w:numFmt w:val="decimal"/>
      <w:lvlText w:val="%2."/>
      <w:lvlJc w:val="left"/>
      <w:pPr>
        <w:ind w:left="1440" w:hanging="360"/>
      </w:pPr>
      <w:rPr>
        <w:rFonts w:ascii="Arial" w:eastAsia="Times New Roman" w:hAnsi="Arial" w:cs="Arial"/>
        <w:b w:val="0"/>
      </w:rPr>
    </w:lvl>
    <w:lvl w:ilvl="2">
      <w:start w:val="1"/>
      <w:numFmt w:val="decimal"/>
      <w:lvlText w:val="%1.%2.%3"/>
      <w:lvlJc w:val="left"/>
      <w:pPr>
        <w:ind w:left="2880" w:hanging="720"/>
      </w:pPr>
      <w:rPr>
        <w:b w:val="0"/>
      </w:rPr>
    </w:lvl>
    <w:lvl w:ilvl="3">
      <w:start w:val="1"/>
      <w:numFmt w:val="decimal"/>
      <w:lvlText w:val="%1.%2.%3.%4"/>
      <w:lvlJc w:val="left"/>
      <w:pPr>
        <w:ind w:left="4320" w:hanging="1080"/>
      </w:pPr>
      <w:rPr>
        <w:b w:val="0"/>
      </w:r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7920" w:hanging="1440"/>
      </w:pPr>
    </w:lvl>
    <w:lvl w:ilvl="7">
      <w:start w:val="1"/>
      <w:numFmt w:val="decimal"/>
      <w:lvlText w:val="%1.%2.%3.%4.%5.%6.%7.%8"/>
      <w:lvlJc w:val="left"/>
      <w:pPr>
        <w:ind w:left="9360" w:hanging="1800"/>
      </w:pPr>
    </w:lvl>
    <w:lvl w:ilvl="8">
      <w:start w:val="1"/>
      <w:numFmt w:val="decimal"/>
      <w:lvlText w:val="%1.%2.%3.%4.%5.%6.%7.%8.%9"/>
      <w:lvlJc w:val="left"/>
      <w:pPr>
        <w:ind w:left="10440" w:hanging="1800"/>
      </w:pPr>
    </w:lvl>
  </w:abstractNum>
  <w:abstractNum w:abstractNumId="7" w15:restartNumberingAfterBreak="0">
    <w:nsid w:val="3F8F0C59"/>
    <w:multiLevelType w:val="hybridMultilevel"/>
    <w:tmpl w:val="FCCCA750"/>
    <w:lvl w:ilvl="0" w:tplc="F6887E70">
      <w:start w:val="1"/>
      <w:numFmt w:val="decimal"/>
      <w:lvlText w:val="%1."/>
      <w:lvlJc w:val="left"/>
      <w:pPr>
        <w:ind w:left="1650" w:hanging="564"/>
      </w:pPr>
      <w:rPr>
        <w:rFonts w:hint="default"/>
      </w:rPr>
    </w:lvl>
    <w:lvl w:ilvl="1" w:tplc="1C090019">
      <w:start w:val="1"/>
      <w:numFmt w:val="lowerLetter"/>
      <w:lvlText w:val="%2."/>
      <w:lvlJc w:val="left"/>
      <w:pPr>
        <w:ind w:left="2166" w:hanging="360"/>
      </w:pPr>
    </w:lvl>
    <w:lvl w:ilvl="2" w:tplc="1C09001B" w:tentative="1">
      <w:start w:val="1"/>
      <w:numFmt w:val="lowerRoman"/>
      <w:lvlText w:val="%3."/>
      <w:lvlJc w:val="right"/>
      <w:pPr>
        <w:ind w:left="2886" w:hanging="180"/>
      </w:pPr>
    </w:lvl>
    <w:lvl w:ilvl="3" w:tplc="1C09000F" w:tentative="1">
      <w:start w:val="1"/>
      <w:numFmt w:val="decimal"/>
      <w:lvlText w:val="%4."/>
      <w:lvlJc w:val="left"/>
      <w:pPr>
        <w:ind w:left="3606" w:hanging="360"/>
      </w:pPr>
    </w:lvl>
    <w:lvl w:ilvl="4" w:tplc="1C090019" w:tentative="1">
      <w:start w:val="1"/>
      <w:numFmt w:val="lowerLetter"/>
      <w:lvlText w:val="%5."/>
      <w:lvlJc w:val="left"/>
      <w:pPr>
        <w:ind w:left="4326" w:hanging="360"/>
      </w:pPr>
    </w:lvl>
    <w:lvl w:ilvl="5" w:tplc="1C09001B" w:tentative="1">
      <w:start w:val="1"/>
      <w:numFmt w:val="lowerRoman"/>
      <w:lvlText w:val="%6."/>
      <w:lvlJc w:val="right"/>
      <w:pPr>
        <w:ind w:left="5046" w:hanging="180"/>
      </w:pPr>
    </w:lvl>
    <w:lvl w:ilvl="6" w:tplc="1C09000F" w:tentative="1">
      <w:start w:val="1"/>
      <w:numFmt w:val="decimal"/>
      <w:lvlText w:val="%7."/>
      <w:lvlJc w:val="left"/>
      <w:pPr>
        <w:ind w:left="5766" w:hanging="360"/>
      </w:pPr>
    </w:lvl>
    <w:lvl w:ilvl="7" w:tplc="1C090019" w:tentative="1">
      <w:start w:val="1"/>
      <w:numFmt w:val="lowerLetter"/>
      <w:lvlText w:val="%8."/>
      <w:lvlJc w:val="left"/>
      <w:pPr>
        <w:ind w:left="6486" w:hanging="360"/>
      </w:pPr>
    </w:lvl>
    <w:lvl w:ilvl="8" w:tplc="1C09001B" w:tentative="1">
      <w:start w:val="1"/>
      <w:numFmt w:val="lowerRoman"/>
      <w:lvlText w:val="%9."/>
      <w:lvlJc w:val="right"/>
      <w:pPr>
        <w:ind w:left="7206" w:hanging="180"/>
      </w:pPr>
    </w:lvl>
  </w:abstractNum>
  <w:abstractNum w:abstractNumId="8" w15:restartNumberingAfterBreak="0">
    <w:nsid w:val="439C0D19"/>
    <w:multiLevelType w:val="multilevel"/>
    <w:tmpl w:val="1228ED04"/>
    <w:lvl w:ilvl="0">
      <w:start w:val="1"/>
      <w:numFmt w:val="decimal"/>
      <w:lvlText w:val="[%1]"/>
      <w:lvlJc w:val="left"/>
      <w:pPr>
        <w:tabs>
          <w:tab w:val="num" w:pos="567"/>
        </w:tabs>
        <w:ind w:left="0" w:firstLine="0"/>
      </w:pPr>
      <w:rPr>
        <w:rFonts w:hint="default"/>
        <w:b w:val="0"/>
        <w:i w:val="0"/>
        <w:color w:val="auto"/>
      </w:rPr>
    </w:lvl>
    <w:lvl w:ilvl="1">
      <w:start w:val="1"/>
      <w:numFmt w:val="decimal"/>
      <w:lvlText w:val="%1.%2"/>
      <w:lvlJc w:val="left"/>
      <w:pPr>
        <w:tabs>
          <w:tab w:val="num" w:pos="1418"/>
        </w:tabs>
        <w:ind w:left="1418" w:hanging="851"/>
      </w:pPr>
      <w:rPr>
        <w:rFonts w:hint="default"/>
        <w:b w:val="0"/>
        <w:color w:val="auto"/>
      </w:rPr>
    </w:lvl>
    <w:lvl w:ilvl="2">
      <w:start w:val="1"/>
      <w:numFmt w:val="decimal"/>
      <w:lvlText w:val="%1.%2.%3"/>
      <w:lvlJc w:val="left"/>
      <w:pPr>
        <w:tabs>
          <w:tab w:val="num" w:pos="2268"/>
        </w:tabs>
        <w:ind w:left="2268" w:hanging="850"/>
      </w:pPr>
      <w:rPr>
        <w:rFonts w:hint="default"/>
        <w:color w:val="auto"/>
      </w:rPr>
    </w:lvl>
    <w:lvl w:ilvl="3">
      <w:start w:val="1"/>
      <w:numFmt w:val="decimal"/>
      <w:lvlText w:val="%1.%2.%3.%4."/>
      <w:lvlJc w:val="left"/>
      <w:pPr>
        <w:tabs>
          <w:tab w:val="num" w:pos="3402"/>
        </w:tabs>
        <w:ind w:left="3402" w:hanging="1134"/>
      </w:pPr>
      <w:rPr>
        <w:rFonts w:hint="default"/>
      </w:rPr>
    </w:lvl>
    <w:lvl w:ilvl="4">
      <w:start w:val="1"/>
      <w:numFmt w:val="decimal"/>
      <w:lvlText w:val="%1.%2.%3.%4.%5."/>
      <w:lvlJc w:val="left"/>
      <w:pPr>
        <w:tabs>
          <w:tab w:val="num" w:pos="4820"/>
        </w:tabs>
        <w:ind w:left="4820" w:hanging="1418"/>
      </w:pPr>
      <w:rPr>
        <w:rFonts w:hint="default"/>
      </w:rPr>
    </w:lvl>
    <w:lvl w:ilvl="5">
      <w:start w:val="1"/>
      <w:numFmt w:val="decimal"/>
      <w:lvlText w:val="%1.%2.%3.%4.%5.%6."/>
      <w:lvlJc w:val="left"/>
      <w:pPr>
        <w:tabs>
          <w:tab w:val="num" w:pos="5760"/>
        </w:tabs>
        <w:ind w:left="5760" w:hanging="115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462F3097"/>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9950EAD"/>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34C2701"/>
    <w:multiLevelType w:val="multilevel"/>
    <w:tmpl w:val="B54A59FE"/>
    <w:lvl w:ilvl="0">
      <w:start w:val="1"/>
      <w:numFmt w:val="decimal"/>
      <w:lvlText w:val="%1."/>
      <w:lvlJc w:val="left"/>
      <w:pPr>
        <w:tabs>
          <w:tab w:val="num" w:pos="1701"/>
        </w:tabs>
        <w:ind w:left="1701" w:hanging="567"/>
      </w:pPr>
      <w:rPr>
        <w:rFonts w:hint="default"/>
      </w:rPr>
    </w:lvl>
    <w:lvl w:ilvl="1">
      <w:start w:val="1"/>
      <w:numFmt w:val="decimal"/>
      <w:lvlText w:val="%1.%2."/>
      <w:lvlJc w:val="left"/>
      <w:pPr>
        <w:tabs>
          <w:tab w:val="num" w:pos="2438"/>
        </w:tabs>
        <w:ind w:left="2438" w:hanging="73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900780E"/>
    <w:multiLevelType w:val="multilevel"/>
    <w:tmpl w:val="3058E7CA"/>
    <w:lvl w:ilvl="0">
      <w:start w:val="1"/>
      <w:numFmt w:val="decimal"/>
      <w:lvlText w:val="%1."/>
      <w:lvlJc w:val="left"/>
      <w:pPr>
        <w:tabs>
          <w:tab w:val="num" w:pos="1701"/>
        </w:tabs>
        <w:ind w:left="1701" w:hanging="567"/>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 w15:restartNumberingAfterBreak="0">
    <w:nsid w:val="77EE27AA"/>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54922056">
    <w:abstractNumId w:val="4"/>
  </w:num>
  <w:num w:numId="2" w16cid:durableId="817725275">
    <w:abstractNumId w:val="1"/>
  </w:num>
  <w:num w:numId="3" w16cid:durableId="1056973904">
    <w:abstractNumId w:val="12"/>
  </w:num>
  <w:num w:numId="4" w16cid:durableId="840893546">
    <w:abstractNumId w:val="5"/>
  </w:num>
  <w:num w:numId="5" w16cid:durableId="107631474">
    <w:abstractNumId w:val="11"/>
  </w:num>
  <w:num w:numId="6" w16cid:durableId="1467578722">
    <w:abstractNumId w:val="9"/>
  </w:num>
  <w:num w:numId="7" w16cid:durableId="241138321">
    <w:abstractNumId w:val="0"/>
  </w:num>
  <w:num w:numId="8" w16cid:durableId="98568811">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2099910">
    <w:abstractNumId w:val="7"/>
  </w:num>
  <w:num w:numId="10" w16cid:durableId="1986398161">
    <w:abstractNumId w:val="2"/>
  </w:num>
  <w:num w:numId="11" w16cid:durableId="1748383250">
    <w:abstractNumId w:val="13"/>
  </w:num>
  <w:num w:numId="12" w16cid:durableId="1656566906">
    <w:abstractNumId w:val="3"/>
    <w:lvlOverride w:ilvl="0">
      <w:lvl w:ilvl="0">
        <w:start w:val="1"/>
        <w:numFmt w:val="decimal"/>
        <w:pStyle w:val="AFUaffidavitnumbering"/>
        <w:lvlText w:val="%1"/>
        <w:lvlJc w:val="left"/>
        <w:pPr>
          <w:tabs>
            <w:tab w:val="num" w:pos="567"/>
          </w:tabs>
          <w:ind w:left="567" w:hanging="567"/>
        </w:pPr>
        <w:rPr>
          <w:rFonts w:hint="default"/>
        </w:rPr>
      </w:lvl>
    </w:lvlOverride>
    <w:lvlOverride w:ilvl="1">
      <w:lvl w:ilvl="1">
        <w:start w:val="1"/>
        <w:numFmt w:val="decimal"/>
        <w:lvlText w:val="%1.%2"/>
        <w:lvlJc w:val="left"/>
        <w:pPr>
          <w:tabs>
            <w:tab w:val="num" w:pos="1418"/>
          </w:tabs>
          <w:ind w:left="1418" w:hanging="851"/>
        </w:pPr>
        <w:rPr>
          <w:rFonts w:hint="default"/>
        </w:rPr>
      </w:lvl>
    </w:lvlOverride>
    <w:lvlOverride w:ilvl="2">
      <w:lvl w:ilvl="2">
        <w:start w:val="1"/>
        <w:numFmt w:val="decimal"/>
        <w:lvlText w:val="%1.%2.%3"/>
        <w:lvlJc w:val="left"/>
        <w:pPr>
          <w:tabs>
            <w:tab w:val="num" w:pos="2268"/>
          </w:tabs>
          <w:ind w:left="2268" w:hanging="850"/>
        </w:pPr>
        <w:rPr>
          <w:rFonts w:hint="default"/>
          <w:b w:val="0"/>
        </w:rPr>
      </w:lvl>
    </w:lvlOverride>
    <w:lvlOverride w:ilvl="3">
      <w:lvl w:ilvl="3">
        <w:start w:val="1"/>
        <w:numFmt w:val="decimal"/>
        <w:lvlText w:val="%1.%2.%3.%4"/>
        <w:lvlJc w:val="left"/>
        <w:pPr>
          <w:tabs>
            <w:tab w:val="num" w:pos="141"/>
          </w:tabs>
          <w:ind w:left="2409" w:hanging="567"/>
        </w:pPr>
        <w:rPr>
          <w:rFonts w:hint="default"/>
          <w:b w:val="0"/>
        </w:rPr>
      </w:lvl>
    </w:lvlOverride>
    <w:lvlOverride w:ilvl="4">
      <w:lvl w:ilvl="4">
        <w:start w:val="1"/>
        <w:numFmt w:val="decimal"/>
        <w:lvlText w:val="%1.%2.%3.%4.%5."/>
        <w:lvlJc w:val="left"/>
        <w:pPr>
          <w:tabs>
            <w:tab w:val="num" w:pos="0"/>
          </w:tabs>
          <w:ind w:left="2835" w:hanging="567"/>
        </w:pPr>
        <w:rPr>
          <w:rFonts w:hint="default"/>
        </w:rPr>
      </w:lvl>
    </w:lvlOverride>
    <w:lvlOverride w:ilvl="5">
      <w:lvl w:ilvl="5">
        <w:start w:val="1"/>
        <w:numFmt w:val="decimal"/>
        <w:lvlText w:val="%1.%2.%3.%4.%5.%6."/>
        <w:lvlJc w:val="left"/>
        <w:pPr>
          <w:tabs>
            <w:tab w:val="num" w:pos="0"/>
          </w:tabs>
          <w:ind w:left="3402" w:hanging="567"/>
        </w:pPr>
        <w:rPr>
          <w:rFonts w:hint="default"/>
        </w:rPr>
      </w:lvl>
    </w:lvlOverride>
    <w:lvlOverride w:ilvl="6">
      <w:lvl w:ilvl="6">
        <w:start w:val="1"/>
        <w:numFmt w:val="decimal"/>
        <w:lvlText w:val="%1.%2.%3.%4.%5.%6.%7."/>
        <w:lvlJc w:val="left"/>
        <w:pPr>
          <w:tabs>
            <w:tab w:val="num" w:pos="0"/>
          </w:tabs>
          <w:ind w:left="3969" w:hanging="567"/>
        </w:pPr>
        <w:rPr>
          <w:rFonts w:hint="default"/>
        </w:rPr>
      </w:lvl>
    </w:lvlOverride>
    <w:lvlOverride w:ilvl="7">
      <w:lvl w:ilvl="7">
        <w:start w:val="1"/>
        <w:numFmt w:val="decimal"/>
        <w:lvlText w:val="%1.%2.%3.%4.%5.%6.%7.%8."/>
        <w:lvlJc w:val="left"/>
        <w:pPr>
          <w:tabs>
            <w:tab w:val="num" w:pos="0"/>
          </w:tabs>
          <w:ind w:left="4536" w:hanging="567"/>
        </w:pPr>
        <w:rPr>
          <w:rFonts w:hint="default"/>
        </w:rPr>
      </w:lvl>
    </w:lvlOverride>
    <w:lvlOverride w:ilvl="8">
      <w:lvl w:ilvl="8">
        <w:start w:val="1"/>
        <w:numFmt w:val="decimal"/>
        <w:lvlText w:val="%1.%2.%3.%4.%5.%6.%7.%8.%9."/>
        <w:lvlJc w:val="left"/>
        <w:pPr>
          <w:tabs>
            <w:tab w:val="num" w:pos="0"/>
          </w:tabs>
          <w:ind w:left="5103" w:hanging="567"/>
        </w:pPr>
        <w:rPr>
          <w:rFonts w:hint="default"/>
        </w:rPr>
      </w:lvl>
    </w:lvlOverride>
  </w:num>
  <w:num w:numId="13" w16cid:durableId="912856651">
    <w:abstractNumId w:val="10"/>
  </w:num>
  <w:num w:numId="14" w16cid:durableId="19303836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ttachedTemplate r:id="rId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76F3"/>
    <w:rsid w:val="000004A3"/>
    <w:rsid w:val="00000AFE"/>
    <w:rsid w:val="00001138"/>
    <w:rsid w:val="000019D2"/>
    <w:rsid w:val="00005CDD"/>
    <w:rsid w:val="00006113"/>
    <w:rsid w:val="0001111B"/>
    <w:rsid w:val="0001140A"/>
    <w:rsid w:val="00011522"/>
    <w:rsid w:val="00013B7F"/>
    <w:rsid w:val="00013F00"/>
    <w:rsid w:val="0001593E"/>
    <w:rsid w:val="00015D74"/>
    <w:rsid w:val="00022ACD"/>
    <w:rsid w:val="00024A29"/>
    <w:rsid w:val="00025815"/>
    <w:rsid w:val="000262B3"/>
    <w:rsid w:val="000264AE"/>
    <w:rsid w:val="00026D9A"/>
    <w:rsid w:val="00027D19"/>
    <w:rsid w:val="00030A89"/>
    <w:rsid w:val="000319AA"/>
    <w:rsid w:val="000325E2"/>
    <w:rsid w:val="00036508"/>
    <w:rsid w:val="00040CD3"/>
    <w:rsid w:val="00042D0E"/>
    <w:rsid w:val="00047F26"/>
    <w:rsid w:val="00050086"/>
    <w:rsid w:val="000504F1"/>
    <w:rsid w:val="00051A2B"/>
    <w:rsid w:val="000550EB"/>
    <w:rsid w:val="0005636C"/>
    <w:rsid w:val="00063F7B"/>
    <w:rsid w:val="00066971"/>
    <w:rsid w:val="00072105"/>
    <w:rsid w:val="000737E1"/>
    <w:rsid w:val="00073E30"/>
    <w:rsid w:val="00077D11"/>
    <w:rsid w:val="00081716"/>
    <w:rsid w:val="00082EDC"/>
    <w:rsid w:val="000833BB"/>
    <w:rsid w:val="000835BE"/>
    <w:rsid w:val="00085288"/>
    <w:rsid w:val="00087AE6"/>
    <w:rsid w:val="000906B5"/>
    <w:rsid w:val="00092591"/>
    <w:rsid w:val="0009429D"/>
    <w:rsid w:val="0009488C"/>
    <w:rsid w:val="0009540B"/>
    <w:rsid w:val="000956E5"/>
    <w:rsid w:val="00096A67"/>
    <w:rsid w:val="00097968"/>
    <w:rsid w:val="000A19D4"/>
    <w:rsid w:val="000A29D3"/>
    <w:rsid w:val="000A6AD8"/>
    <w:rsid w:val="000B21DA"/>
    <w:rsid w:val="000B67AB"/>
    <w:rsid w:val="000C7A3D"/>
    <w:rsid w:val="000D01E0"/>
    <w:rsid w:val="000D21E7"/>
    <w:rsid w:val="000D247E"/>
    <w:rsid w:val="000D415C"/>
    <w:rsid w:val="000D4E84"/>
    <w:rsid w:val="000D53F5"/>
    <w:rsid w:val="000D5760"/>
    <w:rsid w:val="000D71C5"/>
    <w:rsid w:val="000D76AE"/>
    <w:rsid w:val="000D7D6A"/>
    <w:rsid w:val="000E1EC8"/>
    <w:rsid w:val="000E3EE8"/>
    <w:rsid w:val="000E4985"/>
    <w:rsid w:val="000E5343"/>
    <w:rsid w:val="000E668F"/>
    <w:rsid w:val="000F0215"/>
    <w:rsid w:val="000F430D"/>
    <w:rsid w:val="000F59F8"/>
    <w:rsid w:val="00101890"/>
    <w:rsid w:val="001025B5"/>
    <w:rsid w:val="00104142"/>
    <w:rsid w:val="00105F97"/>
    <w:rsid w:val="00107D26"/>
    <w:rsid w:val="00107D90"/>
    <w:rsid w:val="001142D1"/>
    <w:rsid w:val="00120C79"/>
    <w:rsid w:val="00120FB1"/>
    <w:rsid w:val="00121BDA"/>
    <w:rsid w:val="0012651F"/>
    <w:rsid w:val="00130253"/>
    <w:rsid w:val="00130C4A"/>
    <w:rsid w:val="00133E81"/>
    <w:rsid w:val="001342B3"/>
    <w:rsid w:val="00140CED"/>
    <w:rsid w:val="00141AD1"/>
    <w:rsid w:val="0014628D"/>
    <w:rsid w:val="00147FF5"/>
    <w:rsid w:val="00151DA9"/>
    <w:rsid w:val="00152899"/>
    <w:rsid w:val="00154961"/>
    <w:rsid w:val="00155A21"/>
    <w:rsid w:val="00161057"/>
    <w:rsid w:val="0016589D"/>
    <w:rsid w:val="001671C1"/>
    <w:rsid w:val="00171182"/>
    <w:rsid w:val="0017124B"/>
    <w:rsid w:val="00171D7F"/>
    <w:rsid w:val="00172DDF"/>
    <w:rsid w:val="00175DDD"/>
    <w:rsid w:val="001802F8"/>
    <w:rsid w:val="00180CB6"/>
    <w:rsid w:val="001838CC"/>
    <w:rsid w:val="00183EB6"/>
    <w:rsid w:val="00185ACF"/>
    <w:rsid w:val="00185F6E"/>
    <w:rsid w:val="00190579"/>
    <w:rsid w:val="00190F4E"/>
    <w:rsid w:val="001916C4"/>
    <w:rsid w:val="0019236B"/>
    <w:rsid w:val="001923E3"/>
    <w:rsid w:val="00192613"/>
    <w:rsid w:val="00192F78"/>
    <w:rsid w:val="00193DDD"/>
    <w:rsid w:val="00195810"/>
    <w:rsid w:val="00196E14"/>
    <w:rsid w:val="001A2608"/>
    <w:rsid w:val="001A5145"/>
    <w:rsid w:val="001A522A"/>
    <w:rsid w:val="001A7904"/>
    <w:rsid w:val="001B1D39"/>
    <w:rsid w:val="001B2EA3"/>
    <w:rsid w:val="001B35C2"/>
    <w:rsid w:val="001B4217"/>
    <w:rsid w:val="001B4812"/>
    <w:rsid w:val="001B4893"/>
    <w:rsid w:val="001B5D3E"/>
    <w:rsid w:val="001B606B"/>
    <w:rsid w:val="001B7889"/>
    <w:rsid w:val="001C0755"/>
    <w:rsid w:val="001C2371"/>
    <w:rsid w:val="001C27DF"/>
    <w:rsid w:val="001C33E6"/>
    <w:rsid w:val="001C4860"/>
    <w:rsid w:val="001C7048"/>
    <w:rsid w:val="001D3CC2"/>
    <w:rsid w:val="001E0529"/>
    <w:rsid w:val="001E2EED"/>
    <w:rsid w:val="001E44D1"/>
    <w:rsid w:val="001E4691"/>
    <w:rsid w:val="001E518E"/>
    <w:rsid w:val="001F09D1"/>
    <w:rsid w:val="001F0A29"/>
    <w:rsid w:val="001F0CE5"/>
    <w:rsid w:val="001F3DBD"/>
    <w:rsid w:val="001F648A"/>
    <w:rsid w:val="001F6F43"/>
    <w:rsid w:val="00201620"/>
    <w:rsid w:val="00203DA2"/>
    <w:rsid w:val="0020474A"/>
    <w:rsid w:val="00205392"/>
    <w:rsid w:val="00206919"/>
    <w:rsid w:val="002104BF"/>
    <w:rsid w:val="002108B6"/>
    <w:rsid w:val="00214877"/>
    <w:rsid w:val="00215824"/>
    <w:rsid w:val="00215931"/>
    <w:rsid w:val="00216BC8"/>
    <w:rsid w:val="002175BA"/>
    <w:rsid w:val="0022218D"/>
    <w:rsid w:val="00226926"/>
    <w:rsid w:val="002302E3"/>
    <w:rsid w:val="00232528"/>
    <w:rsid w:val="00235D20"/>
    <w:rsid w:val="00237806"/>
    <w:rsid w:val="00237FF9"/>
    <w:rsid w:val="0024012B"/>
    <w:rsid w:val="00243D2F"/>
    <w:rsid w:val="00244FB9"/>
    <w:rsid w:val="00250164"/>
    <w:rsid w:val="00251668"/>
    <w:rsid w:val="00253F38"/>
    <w:rsid w:val="00253F72"/>
    <w:rsid w:val="00260B0A"/>
    <w:rsid w:val="00261129"/>
    <w:rsid w:val="002625C5"/>
    <w:rsid w:val="00262819"/>
    <w:rsid w:val="00263A96"/>
    <w:rsid w:val="00272B77"/>
    <w:rsid w:val="0027600C"/>
    <w:rsid w:val="00276D43"/>
    <w:rsid w:val="00285040"/>
    <w:rsid w:val="00285062"/>
    <w:rsid w:val="00285ACC"/>
    <w:rsid w:val="00292E3E"/>
    <w:rsid w:val="0029369B"/>
    <w:rsid w:val="00293C02"/>
    <w:rsid w:val="0029605B"/>
    <w:rsid w:val="00296DAF"/>
    <w:rsid w:val="002976B8"/>
    <w:rsid w:val="002A030C"/>
    <w:rsid w:val="002A0F8D"/>
    <w:rsid w:val="002A4B7B"/>
    <w:rsid w:val="002B0355"/>
    <w:rsid w:val="002B05EA"/>
    <w:rsid w:val="002C15AC"/>
    <w:rsid w:val="002C2E80"/>
    <w:rsid w:val="002C4687"/>
    <w:rsid w:val="002D2842"/>
    <w:rsid w:val="002D47B3"/>
    <w:rsid w:val="002E0E37"/>
    <w:rsid w:val="002E3586"/>
    <w:rsid w:val="002E5B57"/>
    <w:rsid w:val="002E6CD7"/>
    <w:rsid w:val="002F1C4D"/>
    <w:rsid w:val="002F2881"/>
    <w:rsid w:val="002F41F8"/>
    <w:rsid w:val="002F508A"/>
    <w:rsid w:val="002F6DBA"/>
    <w:rsid w:val="002F72D3"/>
    <w:rsid w:val="00302290"/>
    <w:rsid w:val="003023F9"/>
    <w:rsid w:val="00302C31"/>
    <w:rsid w:val="00303919"/>
    <w:rsid w:val="003047C2"/>
    <w:rsid w:val="0030653F"/>
    <w:rsid w:val="00306B41"/>
    <w:rsid w:val="003102C8"/>
    <w:rsid w:val="0031117B"/>
    <w:rsid w:val="00312EBC"/>
    <w:rsid w:val="00313056"/>
    <w:rsid w:val="00322B6D"/>
    <w:rsid w:val="00323058"/>
    <w:rsid w:val="003312BF"/>
    <w:rsid w:val="003313A2"/>
    <w:rsid w:val="00337135"/>
    <w:rsid w:val="0034147B"/>
    <w:rsid w:val="00342E02"/>
    <w:rsid w:val="003448B1"/>
    <w:rsid w:val="003463D6"/>
    <w:rsid w:val="00346D31"/>
    <w:rsid w:val="00346DE6"/>
    <w:rsid w:val="00347E19"/>
    <w:rsid w:val="0035170A"/>
    <w:rsid w:val="003541F6"/>
    <w:rsid w:val="003543C5"/>
    <w:rsid w:val="00354EF2"/>
    <w:rsid w:val="00355BEB"/>
    <w:rsid w:val="00357081"/>
    <w:rsid w:val="00357D35"/>
    <w:rsid w:val="0036253D"/>
    <w:rsid w:val="00363FCD"/>
    <w:rsid w:val="00364C43"/>
    <w:rsid w:val="00364E6A"/>
    <w:rsid w:val="00364E80"/>
    <w:rsid w:val="003676CF"/>
    <w:rsid w:val="00367720"/>
    <w:rsid w:val="00367778"/>
    <w:rsid w:val="0037029D"/>
    <w:rsid w:val="00371332"/>
    <w:rsid w:val="00372A48"/>
    <w:rsid w:val="00373181"/>
    <w:rsid w:val="00375E93"/>
    <w:rsid w:val="003761BD"/>
    <w:rsid w:val="00377123"/>
    <w:rsid w:val="00377CD6"/>
    <w:rsid w:val="00380919"/>
    <w:rsid w:val="00381213"/>
    <w:rsid w:val="003832F7"/>
    <w:rsid w:val="003840EC"/>
    <w:rsid w:val="00385DBA"/>
    <w:rsid w:val="0038715A"/>
    <w:rsid w:val="00390C3F"/>
    <w:rsid w:val="00393127"/>
    <w:rsid w:val="00395873"/>
    <w:rsid w:val="003A1D18"/>
    <w:rsid w:val="003A62CC"/>
    <w:rsid w:val="003A649B"/>
    <w:rsid w:val="003A7864"/>
    <w:rsid w:val="003A7CA2"/>
    <w:rsid w:val="003B0845"/>
    <w:rsid w:val="003B4100"/>
    <w:rsid w:val="003B6C02"/>
    <w:rsid w:val="003C067B"/>
    <w:rsid w:val="003C0ED8"/>
    <w:rsid w:val="003C1488"/>
    <w:rsid w:val="003C1A16"/>
    <w:rsid w:val="003C1E91"/>
    <w:rsid w:val="003C411A"/>
    <w:rsid w:val="003C5536"/>
    <w:rsid w:val="003C7FCC"/>
    <w:rsid w:val="003D1202"/>
    <w:rsid w:val="003D19C3"/>
    <w:rsid w:val="003D36F9"/>
    <w:rsid w:val="003D77F1"/>
    <w:rsid w:val="003D7970"/>
    <w:rsid w:val="003E0159"/>
    <w:rsid w:val="003E449A"/>
    <w:rsid w:val="003E4A33"/>
    <w:rsid w:val="003E54E1"/>
    <w:rsid w:val="003E724B"/>
    <w:rsid w:val="003E7A60"/>
    <w:rsid w:val="003F1F49"/>
    <w:rsid w:val="003F4801"/>
    <w:rsid w:val="003F7448"/>
    <w:rsid w:val="00404A52"/>
    <w:rsid w:val="00406F2B"/>
    <w:rsid w:val="00407F28"/>
    <w:rsid w:val="00410BA9"/>
    <w:rsid w:val="0041100A"/>
    <w:rsid w:val="004131C5"/>
    <w:rsid w:val="0041363D"/>
    <w:rsid w:val="00413D9B"/>
    <w:rsid w:val="0042161A"/>
    <w:rsid w:val="0042423E"/>
    <w:rsid w:val="00424BA6"/>
    <w:rsid w:val="004274E7"/>
    <w:rsid w:val="004339E6"/>
    <w:rsid w:val="004346A7"/>
    <w:rsid w:val="00434796"/>
    <w:rsid w:val="00435352"/>
    <w:rsid w:val="0043683A"/>
    <w:rsid w:val="00437EB1"/>
    <w:rsid w:val="00441422"/>
    <w:rsid w:val="00444ED6"/>
    <w:rsid w:val="00445DCB"/>
    <w:rsid w:val="00447235"/>
    <w:rsid w:val="0045044C"/>
    <w:rsid w:val="00460495"/>
    <w:rsid w:val="00460EEA"/>
    <w:rsid w:val="004630B6"/>
    <w:rsid w:val="00463106"/>
    <w:rsid w:val="00466A30"/>
    <w:rsid w:val="00467F5B"/>
    <w:rsid w:val="00474607"/>
    <w:rsid w:val="00474910"/>
    <w:rsid w:val="004749AF"/>
    <w:rsid w:val="00475410"/>
    <w:rsid w:val="00475883"/>
    <w:rsid w:val="004774FF"/>
    <w:rsid w:val="0048285C"/>
    <w:rsid w:val="00484116"/>
    <w:rsid w:val="00484163"/>
    <w:rsid w:val="0048424E"/>
    <w:rsid w:val="00486F42"/>
    <w:rsid w:val="00487D14"/>
    <w:rsid w:val="0049165E"/>
    <w:rsid w:val="004922FC"/>
    <w:rsid w:val="004923A9"/>
    <w:rsid w:val="00495F7C"/>
    <w:rsid w:val="004976D5"/>
    <w:rsid w:val="004A11D9"/>
    <w:rsid w:val="004A1E3F"/>
    <w:rsid w:val="004A2C7E"/>
    <w:rsid w:val="004A6625"/>
    <w:rsid w:val="004A69D6"/>
    <w:rsid w:val="004A70AB"/>
    <w:rsid w:val="004A7DFE"/>
    <w:rsid w:val="004B085D"/>
    <w:rsid w:val="004B0DBA"/>
    <w:rsid w:val="004B21D9"/>
    <w:rsid w:val="004B3CA9"/>
    <w:rsid w:val="004C0CE3"/>
    <w:rsid w:val="004C368B"/>
    <w:rsid w:val="004D1A31"/>
    <w:rsid w:val="004D1A91"/>
    <w:rsid w:val="004D262A"/>
    <w:rsid w:val="004D2C6F"/>
    <w:rsid w:val="004D2E01"/>
    <w:rsid w:val="004D3237"/>
    <w:rsid w:val="004D4E89"/>
    <w:rsid w:val="004D635C"/>
    <w:rsid w:val="004E0F3F"/>
    <w:rsid w:val="004E1191"/>
    <w:rsid w:val="004E1349"/>
    <w:rsid w:val="004E3033"/>
    <w:rsid w:val="004E3305"/>
    <w:rsid w:val="004E4210"/>
    <w:rsid w:val="004E568C"/>
    <w:rsid w:val="004E5AD8"/>
    <w:rsid w:val="004E61DE"/>
    <w:rsid w:val="004F0806"/>
    <w:rsid w:val="004F12D8"/>
    <w:rsid w:val="004F2189"/>
    <w:rsid w:val="004F22A6"/>
    <w:rsid w:val="004F4A37"/>
    <w:rsid w:val="004F5D23"/>
    <w:rsid w:val="00504B53"/>
    <w:rsid w:val="00505867"/>
    <w:rsid w:val="00505FF7"/>
    <w:rsid w:val="0051015D"/>
    <w:rsid w:val="0051292D"/>
    <w:rsid w:val="0051442D"/>
    <w:rsid w:val="0051622D"/>
    <w:rsid w:val="005207B2"/>
    <w:rsid w:val="005219EB"/>
    <w:rsid w:val="005262C2"/>
    <w:rsid w:val="0052705A"/>
    <w:rsid w:val="00537126"/>
    <w:rsid w:val="00537A72"/>
    <w:rsid w:val="005405F8"/>
    <w:rsid w:val="00542EAE"/>
    <w:rsid w:val="0054482D"/>
    <w:rsid w:val="00546878"/>
    <w:rsid w:val="005509BE"/>
    <w:rsid w:val="00550A2C"/>
    <w:rsid w:val="00560E18"/>
    <w:rsid w:val="005615BB"/>
    <w:rsid w:val="005621E7"/>
    <w:rsid w:val="00562B7E"/>
    <w:rsid w:val="00563355"/>
    <w:rsid w:val="00571E81"/>
    <w:rsid w:val="00573FF9"/>
    <w:rsid w:val="00576B16"/>
    <w:rsid w:val="00577427"/>
    <w:rsid w:val="005808E5"/>
    <w:rsid w:val="005875A9"/>
    <w:rsid w:val="005949BC"/>
    <w:rsid w:val="005971D5"/>
    <w:rsid w:val="005A313A"/>
    <w:rsid w:val="005A35EB"/>
    <w:rsid w:val="005A5582"/>
    <w:rsid w:val="005A680F"/>
    <w:rsid w:val="005A70F0"/>
    <w:rsid w:val="005A747A"/>
    <w:rsid w:val="005B07CB"/>
    <w:rsid w:val="005B2FF9"/>
    <w:rsid w:val="005B3F1C"/>
    <w:rsid w:val="005B6615"/>
    <w:rsid w:val="005B696E"/>
    <w:rsid w:val="005B6D81"/>
    <w:rsid w:val="005B7767"/>
    <w:rsid w:val="005B7DD3"/>
    <w:rsid w:val="005C1E41"/>
    <w:rsid w:val="005C7FC2"/>
    <w:rsid w:val="005D1F92"/>
    <w:rsid w:val="005D2137"/>
    <w:rsid w:val="005D2408"/>
    <w:rsid w:val="005D32A9"/>
    <w:rsid w:val="005D5B93"/>
    <w:rsid w:val="005D6122"/>
    <w:rsid w:val="005D6E80"/>
    <w:rsid w:val="005E03B3"/>
    <w:rsid w:val="005E0B20"/>
    <w:rsid w:val="005E2936"/>
    <w:rsid w:val="005E2F7B"/>
    <w:rsid w:val="005E3C94"/>
    <w:rsid w:val="005E5C01"/>
    <w:rsid w:val="005E6A9D"/>
    <w:rsid w:val="005E7118"/>
    <w:rsid w:val="005E7E9F"/>
    <w:rsid w:val="005F1CDA"/>
    <w:rsid w:val="005F35C5"/>
    <w:rsid w:val="005F37A4"/>
    <w:rsid w:val="005F561B"/>
    <w:rsid w:val="005F7093"/>
    <w:rsid w:val="00602403"/>
    <w:rsid w:val="006041A4"/>
    <w:rsid w:val="00610873"/>
    <w:rsid w:val="006109EC"/>
    <w:rsid w:val="00610F53"/>
    <w:rsid w:val="00611D8A"/>
    <w:rsid w:val="006122AB"/>
    <w:rsid w:val="0061430D"/>
    <w:rsid w:val="006150CE"/>
    <w:rsid w:val="00615F6B"/>
    <w:rsid w:val="006165F4"/>
    <w:rsid w:val="006228B3"/>
    <w:rsid w:val="006245EC"/>
    <w:rsid w:val="00626ABB"/>
    <w:rsid w:val="006309D5"/>
    <w:rsid w:val="006376C5"/>
    <w:rsid w:val="00641F4F"/>
    <w:rsid w:val="00642664"/>
    <w:rsid w:val="00644BBE"/>
    <w:rsid w:val="006466DA"/>
    <w:rsid w:val="00646711"/>
    <w:rsid w:val="006479F9"/>
    <w:rsid w:val="00647DDD"/>
    <w:rsid w:val="00653AB5"/>
    <w:rsid w:val="00653BA4"/>
    <w:rsid w:val="00656E2E"/>
    <w:rsid w:val="00657478"/>
    <w:rsid w:val="00657EDA"/>
    <w:rsid w:val="00657F9A"/>
    <w:rsid w:val="006609A2"/>
    <w:rsid w:val="00660C84"/>
    <w:rsid w:val="0066132D"/>
    <w:rsid w:val="0066194B"/>
    <w:rsid w:val="00661FC4"/>
    <w:rsid w:val="00666D4D"/>
    <w:rsid w:val="00672205"/>
    <w:rsid w:val="00672E95"/>
    <w:rsid w:val="0067508C"/>
    <w:rsid w:val="00677059"/>
    <w:rsid w:val="00680072"/>
    <w:rsid w:val="00680421"/>
    <w:rsid w:val="00681B06"/>
    <w:rsid w:val="006858DA"/>
    <w:rsid w:val="006902F1"/>
    <w:rsid w:val="006918E9"/>
    <w:rsid w:val="00692A13"/>
    <w:rsid w:val="006951CE"/>
    <w:rsid w:val="00695B2C"/>
    <w:rsid w:val="006A1F2C"/>
    <w:rsid w:val="006A3B6B"/>
    <w:rsid w:val="006A438B"/>
    <w:rsid w:val="006A4F20"/>
    <w:rsid w:val="006A6039"/>
    <w:rsid w:val="006B0F6B"/>
    <w:rsid w:val="006B1E87"/>
    <w:rsid w:val="006B4121"/>
    <w:rsid w:val="006B514A"/>
    <w:rsid w:val="006B58D7"/>
    <w:rsid w:val="006C0EC2"/>
    <w:rsid w:val="006C1EA3"/>
    <w:rsid w:val="006C2AB0"/>
    <w:rsid w:val="006C2B5F"/>
    <w:rsid w:val="006C31B7"/>
    <w:rsid w:val="006C4213"/>
    <w:rsid w:val="006C43D7"/>
    <w:rsid w:val="006C49F6"/>
    <w:rsid w:val="006C53ED"/>
    <w:rsid w:val="006C5694"/>
    <w:rsid w:val="006D11AD"/>
    <w:rsid w:val="006D193A"/>
    <w:rsid w:val="006D25DD"/>
    <w:rsid w:val="006D29AA"/>
    <w:rsid w:val="006D4128"/>
    <w:rsid w:val="006D4C1B"/>
    <w:rsid w:val="006D5794"/>
    <w:rsid w:val="006D5E57"/>
    <w:rsid w:val="006E0B4D"/>
    <w:rsid w:val="006E2083"/>
    <w:rsid w:val="006E2725"/>
    <w:rsid w:val="006E3064"/>
    <w:rsid w:val="006E405E"/>
    <w:rsid w:val="006E68E6"/>
    <w:rsid w:val="006F042A"/>
    <w:rsid w:val="006F0C74"/>
    <w:rsid w:val="006F1875"/>
    <w:rsid w:val="006F2187"/>
    <w:rsid w:val="006F25E5"/>
    <w:rsid w:val="006F2FCE"/>
    <w:rsid w:val="006F36B9"/>
    <w:rsid w:val="006F415C"/>
    <w:rsid w:val="006F489F"/>
    <w:rsid w:val="006F62A6"/>
    <w:rsid w:val="00700C86"/>
    <w:rsid w:val="0070560F"/>
    <w:rsid w:val="00705FE5"/>
    <w:rsid w:val="007112CA"/>
    <w:rsid w:val="007202BD"/>
    <w:rsid w:val="007205BF"/>
    <w:rsid w:val="00721AE9"/>
    <w:rsid w:val="007237D1"/>
    <w:rsid w:val="007241D4"/>
    <w:rsid w:val="00724D82"/>
    <w:rsid w:val="00725C14"/>
    <w:rsid w:val="00726C1D"/>
    <w:rsid w:val="00730BF2"/>
    <w:rsid w:val="00732A6F"/>
    <w:rsid w:val="007351A5"/>
    <w:rsid w:val="00737C7B"/>
    <w:rsid w:val="0074214D"/>
    <w:rsid w:val="00742764"/>
    <w:rsid w:val="00745456"/>
    <w:rsid w:val="00751452"/>
    <w:rsid w:val="0075156A"/>
    <w:rsid w:val="00751F90"/>
    <w:rsid w:val="00754BDD"/>
    <w:rsid w:val="007619C5"/>
    <w:rsid w:val="00761B26"/>
    <w:rsid w:val="00761C35"/>
    <w:rsid w:val="00762178"/>
    <w:rsid w:val="00765F62"/>
    <w:rsid w:val="00766026"/>
    <w:rsid w:val="00772025"/>
    <w:rsid w:val="007726C0"/>
    <w:rsid w:val="00775AB7"/>
    <w:rsid w:val="00776B34"/>
    <w:rsid w:val="00781088"/>
    <w:rsid w:val="00781AA0"/>
    <w:rsid w:val="00781CF7"/>
    <w:rsid w:val="00781D24"/>
    <w:rsid w:val="00782DE8"/>
    <w:rsid w:val="00786D45"/>
    <w:rsid w:val="00792E10"/>
    <w:rsid w:val="0079383D"/>
    <w:rsid w:val="007A006B"/>
    <w:rsid w:val="007A1D60"/>
    <w:rsid w:val="007A5BDB"/>
    <w:rsid w:val="007B165A"/>
    <w:rsid w:val="007B2DAD"/>
    <w:rsid w:val="007B2DF7"/>
    <w:rsid w:val="007B6E99"/>
    <w:rsid w:val="007B7246"/>
    <w:rsid w:val="007B78C2"/>
    <w:rsid w:val="007C23FF"/>
    <w:rsid w:val="007C25B0"/>
    <w:rsid w:val="007C416B"/>
    <w:rsid w:val="007C4CB7"/>
    <w:rsid w:val="007C5008"/>
    <w:rsid w:val="007C6046"/>
    <w:rsid w:val="007C658B"/>
    <w:rsid w:val="007D1E79"/>
    <w:rsid w:val="007D27CF"/>
    <w:rsid w:val="007D4DAF"/>
    <w:rsid w:val="007E1175"/>
    <w:rsid w:val="007E220A"/>
    <w:rsid w:val="007E468A"/>
    <w:rsid w:val="007E54E5"/>
    <w:rsid w:val="007E58FC"/>
    <w:rsid w:val="007E7463"/>
    <w:rsid w:val="007F07D4"/>
    <w:rsid w:val="007F1517"/>
    <w:rsid w:val="007F207F"/>
    <w:rsid w:val="007F5B91"/>
    <w:rsid w:val="007F7DAA"/>
    <w:rsid w:val="008019A7"/>
    <w:rsid w:val="00803CEC"/>
    <w:rsid w:val="008040B5"/>
    <w:rsid w:val="00804B15"/>
    <w:rsid w:val="008076A4"/>
    <w:rsid w:val="00807DC2"/>
    <w:rsid w:val="0081003E"/>
    <w:rsid w:val="00810CA3"/>
    <w:rsid w:val="008112DE"/>
    <w:rsid w:val="00811776"/>
    <w:rsid w:val="008200A7"/>
    <w:rsid w:val="00822050"/>
    <w:rsid w:val="008304EC"/>
    <w:rsid w:val="00830952"/>
    <w:rsid w:val="00830F84"/>
    <w:rsid w:val="00831859"/>
    <w:rsid w:val="00832326"/>
    <w:rsid w:val="0084184E"/>
    <w:rsid w:val="00841C01"/>
    <w:rsid w:val="00843EFD"/>
    <w:rsid w:val="008443A9"/>
    <w:rsid w:val="008469B3"/>
    <w:rsid w:val="008535CA"/>
    <w:rsid w:val="00856FA8"/>
    <w:rsid w:val="00856FF2"/>
    <w:rsid w:val="008578F4"/>
    <w:rsid w:val="00860576"/>
    <w:rsid w:val="0086688C"/>
    <w:rsid w:val="008674AA"/>
    <w:rsid w:val="008675CC"/>
    <w:rsid w:val="0087609B"/>
    <w:rsid w:val="00877BB8"/>
    <w:rsid w:val="00880850"/>
    <w:rsid w:val="0088094C"/>
    <w:rsid w:val="00881004"/>
    <w:rsid w:val="00882C40"/>
    <w:rsid w:val="00885973"/>
    <w:rsid w:val="00892908"/>
    <w:rsid w:val="00893C08"/>
    <w:rsid w:val="008942FC"/>
    <w:rsid w:val="0089562F"/>
    <w:rsid w:val="008957BF"/>
    <w:rsid w:val="00895BE0"/>
    <w:rsid w:val="0089629F"/>
    <w:rsid w:val="008A082A"/>
    <w:rsid w:val="008A389B"/>
    <w:rsid w:val="008A4DF4"/>
    <w:rsid w:val="008B0950"/>
    <w:rsid w:val="008B1DA9"/>
    <w:rsid w:val="008B571D"/>
    <w:rsid w:val="008B6162"/>
    <w:rsid w:val="008C3710"/>
    <w:rsid w:val="008C3EBC"/>
    <w:rsid w:val="008C4AE0"/>
    <w:rsid w:val="008C57F6"/>
    <w:rsid w:val="008C68A7"/>
    <w:rsid w:val="008C7019"/>
    <w:rsid w:val="008D0AE0"/>
    <w:rsid w:val="008D0AFD"/>
    <w:rsid w:val="008D33A3"/>
    <w:rsid w:val="008D39B6"/>
    <w:rsid w:val="008D4715"/>
    <w:rsid w:val="008D5B23"/>
    <w:rsid w:val="008D6F1D"/>
    <w:rsid w:val="008E03A3"/>
    <w:rsid w:val="008E1B11"/>
    <w:rsid w:val="008E2ACD"/>
    <w:rsid w:val="008E53BA"/>
    <w:rsid w:val="008E7F87"/>
    <w:rsid w:val="008F0CC7"/>
    <w:rsid w:val="008F11CF"/>
    <w:rsid w:val="008F189C"/>
    <w:rsid w:val="008F1FE1"/>
    <w:rsid w:val="008F32FF"/>
    <w:rsid w:val="008F4486"/>
    <w:rsid w:val="008F4FC6"/>
    <w:rsid w:val="008F72CD"/>
    <w:rsid w:val="009015D3"/>
    <w:rsid w:val="00902179"/>
    <w:rsid w:val="00903877"/>
    <w:rsid w:val="0090677E"/>
    <w:rsid w:val="00914A6E"/>
    <w:rsid w:val="0091544C"/>
    <w:rsid w:val="00921D03"/>
    <w:rsid w:val="00925CD2"/>
    <w:rsid w:val="00932559"/>
    <w:rsid w:val="00933065"/>
    <w:rsid w:val="00933569"/>
    <w:rsid w:val="009365B1"/>
    <w:rsid w:val="0093799C"/>
    <w:rsid w:val="009422A1"/>
    <w:rsid w:val="00943484"/>
    <w:rsid w:val="00944804"/>
    <w:rsid w:val="009449FB"/>
    <w:rsid w:val="0094634F"/>
    <w:rsid w:val="009473D8"/>
    <w:rsid w:val="00954386"/>
    <w:rsid w:val="00957513"/>
    <w:rsid w:val="00960ADF"/>
    <w:rsid w:val="009623DA"/>
    <w:rsid w:val="00963A0C"/>
    <w:rsid w:val="009661B5"/>
    <w:rsid w:val="00966A55"/>
    <w:rsid w:val="009725C0"/>
    <w:rsid w:val="009729BD"/>
    <w:rsid w:val="00974A92"/>
    <w:rsid w:val="00975270"/>
    <w:rsid w:val="00975BA1"/>
    <w:rsid w:val="00976F39"/>
    <w:rsid w:val="009809DD"/>
    <w:rsid w:val="009835E3"/>
    <w:rsid w:val="009837A6"/>
    <w:rsid w:val="00983C64"/>
    <w:rsid w:val="009869F0"/>
    <w:rsid w:val="009869F2"/>
    <w:rsid w:val="00987CDB"/>
    <w:rsid w:val="00991A47"/>
    <w:rsid w:val="009A087C"/>
    <w:rsid w:val="009A2613"/>
    <w:rsid w:val="009A2726"/>
    <w:rsid w:val="009A30E0"/>
    <w:rsid w:val="009A3619"/>
    <w:rsid w:val="009A4834"/>
    <w:rsid w:val="009A57B9"/>
    <w:rsid w:val="009A66D0"/>
    <w:rsid w:val="009A739F"/>
    <w:rsid w:val="009B08AF"/>
    <w:rsid w:val="009B0AC9"/>
    <w:rsid w:val="009B10F4"/>
    <w:rsid w:val="009B3DFC"/>
    <w:rsid w:val="009B793E"/>
    <w:rsid w:val="009C1EA6"/>
    <w:rsid w:val="009C37B9"/>
    <w:rsid w:val="009C38E7"/>
    <w:rsid w:val="009D31FA"/>
    <w:rsid w:val="009D32BD"/>
    <w:rsid w:val="009D33F1"/>
    <w:rsid w:val="009D35B5"/>
    <w:rsid w:val="009D3771"/>
    <w:rsid w:val="009D37BD"/>
    <w:rsid w:val="009D4486"/>
    <w:rsid w:val="009D7128"/>
    <w:rsid w:val="009E21DE"/>
    <w:rsid w:val="009E6174"/>
    <w:rsid w:val="009F1DC7"/>
    <w:rsid w:val="009F211E"/>
    <w:rsid w:val="009F2572"/>
    <w:rsid w:val="009F294E"/>
    <w:rsid w:val="009F30F1"/>
    <w:rsid w:val="009F37C7"/>
    <w:rsid w:val="009F50AB"/>
    <w:rsid w:val="00A005F6"/>
    <w:rsid w:val="00A0424F"/>
    <w:rsid w:val="00A051FB"/>
    <w:rsid w:val="00A10039"/>
    <w:rsid w:val="00A100BA"/>
    <w:rsid w:val="00A103FF"/>
    <w:rsid w:val="00A121B5"/>
    <w:rsid w:val="00A16C6E"/>
    <w:rsid w:val="00A17DB2"/>
    <w:rsid w:val="00A22A14"/>
    <w:rsid w:val="00A23A49"/>
    <w:rsid w:val="00A25AB4"/>
    <w:rsid w:val="00A26214"/>
    <w:rsid w:val="00A26566"/>
    <w:rsid w:val="00A27A51"/>
    <w:rsid w:val="00A31837"/>
    <w:rsid w:val="00A33018"/>
    <w:rsid w:val="00A3310D"/>
    <w:rsid w:val="00A37BA4"/>
    <w:rsid w:val="00A402F6"/>
    <w:rsid w:val="00A40760"/>
    <w:rsid w:val="00A42167"/>
    <w:rsid w:val="00A434B9"/>
    <w:rsid w:val="00A43739"/>
    <w:rsid w:val="00A444DD"/>
    <w:rsid w:val="00A47150"/>
    <w:rsid w:val="00A471EF"/>
    <w:rsid w:val="00A47466"/>
    <w:rsid w:val="00A47815"/>
    <w:rsid w:val="00A47A18"/>
    <w:rsid w:val="00A47CD6"/>
    <w:rsid w:val="00A539CB"/>
    <w:rsid w:val="00A57DA7"/>
    <w:rsid w:val="00A63709"/>
    <w:rsid w:val="00A643AB"/>
    <w:rsid w:val="00A649E6"/>
    <w:rsid w:val="00A660AF"/>
    <w:rsid w:val="00A7021C"/>
    <w:rsid w:val="00A70A95"/>
    <w:rsid w:val="00A70BDA"/>
    <w:rsid w:val="00A740B6"/>
    <w:rsid w:val="00A7621E"/>
    <w:rsid w:val="00A817D5"/>
    <w:rsid w:val="00A84F01"/>
    <w:rsid w:val="00A91332"/>
    <w:rsid w:val="00A93351"/>
    <w:rsid w:val="00A95538"/>
    <w:rsid w:val="00AA0013"/>
    <w:rsid w:val="00AA26FF"/>
    <w:rsid w:val="00AA43EC"/>
    <w:rsid w:val="00AA4C92"/>
    <w:rsid w:val="00AA4E77"/>
    <w:rsid w:val="00AA6E8C"/>
    <w:rsid w:val="00AA6F19"/>
    <w:rsid w:val="00AA6F87"/>
    <w:rsid w:val="00AA75E6"/>
    <w:rsid w:val="00AA79A8"/>
    <w:rsid w:val="00AA7A76"/>
    <w:rsid w:val="00AA7C2E"/>
    <w:rsid w:val="00AB0286"/>
    <w:rsid w:val="00AB0DD9"/>
    <w:rsid w:val="00AB19D7"/>
    <w:rsid w:val="00AB404E"/>
    <w:rsid w:val="00AB4C6D"/>
    <w:rsid w:val="00AB53F2"/>
    <w:rsid w:val="00AB55F7"/>
    <w:rsid w:val="00AB6E29"/>
    <w:rsid w:val="00AB7162"/>
    <w:rsid w:val="00AC022F"/>
    <w:rsid w:val="00AC114D"/>
    <w:rsid w:val="00AC2995"/>
    <w:rsid w:val="00AC2F6A"/>
    <w:rsid w:val="00AC38A4"/>
    <w:rsid w:val="00AC4165"/>
    <w:rsid w:val="00AC556A"/>
    <w:rsid w:val="00AC76EA"/>
    <w:rsid w:val="00AC7FB7"/>
    <w:rsid w:val="00AD23B3"/>
    <w:rsid w:val="00AD23BF"/>
    <w:rsid w:val="00AD25B6"/>
    <w:rsid w:val="00AD2631"/>
    <w:rsid w:val="00AD2C31"/>
    <w:rsid w:val="00AD34F0"/>
    <w:rsid w:val="00AD3D5D"/>
    <w:rsid w:val="00AD5A05"/>
    <w:rsid w:val="00AD662C"/>
    <w:rsid w:val="00AE1220"/>
    <w:rsid w:val="00AE287F"/>
    <w:rsid w:val="00AE39F3"/>
    <w:rsid w:val="00AE4006"/>
    <w:rsid w:val="00AE4875"/>
    <w:rsid w:val="00AE5118"/>
    <w:rsid w:val="00AE63BD"/>
    <w:rsid w:val="00AF0B2B"/>
    <w:rsid w:val="00AF2914"/>
    <w:rsid w:val="00AF363F"/>
    <w:rsid w:val="00AF3E4F"/>
    <w:rsid w:val="00AF71E5"/>
    <w:rsid w:val="00B026C3"/>
    <w:rsid w:val="00B0366D"/>
    <w:rsid w:val="00B071FF"/>
    <w:rsid w:val="00B110BC"/>
    <w:rsid w:val="00B11505"/>
    <w:rsid w:val="00B11DC2"/>
    <w:rsid w:val="00B15142"/>
    <w:rsid w:val="00B16F69"/>
    <w:rsid w:val="00B1789D"/>
    <w:rsid w:val="00B207DD"/>
    <w:rsid w:val="00B21CA9"/>
    <w:rsid w:val="00B223FE"/>
    <w:rsid w:val="00B3208F"/>
    <w:rsid w:val="00B3260E"/>
    <w:rsid w:val="00B36F2F"/>
    <w:rsid w:val="00B413BD"/>
    <w:rsid w:val="00B42807"/>
    <w:rsid w:val="00B428A6"/>
    <w:rsid w:val="00B43340"/>
    <w:rsid w:val="00B4461C"/>
    <w:rsid w:val="00B53913"/>
    <w:rsid w:val="00B554D4"/>
    <w:rsid w:val="00B55F3A"/>
    <w:rsid w:val="00B56631"/>
    <w:rsid w:val="00B56906"/>
    <w:rsid w:val="00B569F1"/>
    <w:rsid w:val="00B6007E"/>
    <w:rsid w:val="00B61484"/>
    <w:rsid w:val="00B6179E"/>
    <w:rsid w:val="00B71CB5"/>
    <w:rsid w:val="00B71F16"/>
    <w:rsid w:val="00B72922"/>
    <w:rsid w:val="00B72A13"/>
    <w:rsid w:val="00B72ADA"/>
    <w:rsid w:val="00B7473A"/>
    <w:rsid w:val="00B74A39"/>
    <w:rsid w:val="00B75819"/>
    <w:rsid w:val="00B75CDA"/>
    <w:rsid w:val="00B81526"/>
    <w:rsid w:val="00B819E4"/>
    <w:rsid w:val="00B84042"/>
    <w:rsid w:val="00B84DD5"/>
    <w:rsid w:val="00B903CC"/>
    <w:rsid w:val="00B90626"/>
    <w:rsid w:val="00B9165A"/>
    <w:rsid w:val="00B918D5"/>
    <w:rsid w:val="00B924B4"/>
    <w:rsid w:val="00B9487E"/>
    <w:rsid w:val="00B95910"/>
    <w:rsid w:val="00B9692A"/>
    <w:rsid w:val="00BA0848"/>
    <w:rsid w:val="00BA29E7"/>
    <w:rsid w:val="00BA33AF"/>
    <w:rsid w:val="00BA3A4C"/>
    <w:rsid w:val="00BA61FA"/>
    <w:rsid w:val="00BA67FC"/>
    <w:rsid w:val="00BB0F20"/>
    <w:rsid w:val="00BB17D2"/>
    <w:rsid w:val="00BB2328"/>
    <w:rsid w:val="00BB3264"/>
    <w:rsid w:val="00BB50D7"/>
    <w:rsid w:val="00BB7F08"/>
    <w:rsid w:val="00BC0623"/>
    <w:rsid w:val="00BC35CD"/>
    <w:rsid w:val="00BC3C54"/>
    <w:rsid w:val="00BC415B"/>
    <w:rsid w:val="00BC5B96"/>
    <w:rsid w:val="00BD2C66"/>
    <w:rsid w:val="00BD2CDE"/>
    <w:rsid w:val="00BD3D16"/>
    <w:rsid w:val="00BD41CF"/>
    <w:rsid w:val="00BD75F3"/>
    <w:rsid w:val="00BE0164"/>
    <w:rsid w:val="00BE12BD"/>
    <w:rsid w:val="00BE2ED7"/>
    <w:rsid w:val="00BE3498"/>
    <w:rsid w:val="00BE6AB8"/>
    <w:rsid w:val="00BF040B"/>
    <w:rsid w:val="00BF086D"/>
    <w:rsid w:val="00BF2167"/>
    <w:rsid w:val="00BF43BC"/>
    <w:rsid w:val="00BF4DDA"/>
    <w:rsid w:val="00BF55C7"/>
    <w:rsid w:val="00BF7ED8"/>
    <w:rsid w:val="00C00A14"/>
    <w:rsid w:val="00C0222C"/>
    <w:rsid w:val="00C04139"/>
    <w:rsid w:val="00C0572E"/>
    <w:rsid w:val="00C1108E"/>
    <w:rsid w:val="00C14A51"/>
    <w:rsid w:val="00C14B1A"/>
    <w:rsid w:val="00C15C65"/>
    <w:rsid w:val="00C173A8"/>
    <w:rsid w:val="00C17853"/>
    <w:rsid w:val="00C17EE4"/>
    <w:rsid w:val="00C21656"/>
    <w:rsid w:val="00C21B3D"/>
    <w:rsid w:val="00C24267"/>
    <w:rsid w:val="00C243E6"/>
    <w:rsid w:val="00C26FA6"/>
    <w:rsid w:val="00C2788D"/>
    <w:rsid w:val="00C31D37"/>
    <w:rsid w:val="00C33398"/>
    <w:rsid w:val="00C34C5B"/>
    <w:rsid w:val="00C361F6"/>
    <w:rsid w:val="00C3669A"/>
    <w:rsid w:val="00C371D5"/>
    <w:rsid w:val="00C423E3"/>
    <w:rsid w:val="00C428AB"/>
    <w:rsid w:val="00C44BAC"/>
    <w:rsid w:val="00C45626"/>
    <w:rsid w:val="00C458AF"/>
    <w:rsid w:val="00C460A0"/>
    <w:rsid w:val="00C4720D"/>
    <w:rsid w:val="00C47768"/>
    <w:rsid w:val="00C50068"/>
    <w:rsid w:val="00C51C4B"/>
    <w:rsid w:val="00C539A5"/>
    <w:rsid w:val="00C53DFA"/>
    <w:rsid w:val="00C549F4"/>
    <w:rsid w:val="00C60DD4"/>
    <w:rsid w:val="00C60F27"/>
    <w:rsid w:val="00C610F2"/>
    <w:rsid w:val="00C61B5E"/>
    <w:rsid w:val="00C66DD8"/>
    <w:rsid w:val="00C676F3"/>
    <w:rsid w:val="00C71AB8"/>
    <w:rsid w:val="00C73E8B"/>
    <w:rsid w:val="00C74E97"/>
    <w:rsid w:val="00C75909"/>
    <w:rsid w:val="00C767D5"/>
    <w:rsid w:val="00C77219"/>
    <w:rsid w:val="00C77EFD"/>
    <w:rsid w:val="00C809AF"/>
    <w:rsid w:val="00C81A10"/>
    <w:rsid w:val="00C81F39"/>
    <w:rsid w:val="00C829DF"/>
    <w:rsid w:val="00C82F5A"/>
    <w:rsid w:val="00C84021"/>
    <w:rsid w:val="00C86AEA"/>
    <w:rsid w:val="00C87002"/>
    <w:rsid w:val="00C875AE"/>
    <w:rsid w:val="00C90CE6"/>
    <w:rsid w:val="00C93030"/>
    <w:rsid w:val="00C9310B"/>
    <w:rsid w:val="00C937FB"/>
    <w:rsid w:val="00C95190"/>
    <w:rsid w:val="00CA2964"/>
    <w:rsid w:val="00CA696D"/>
    <w:rsid w:val="00CA6B5A"/>
    <w:rsid w:val="00CB1536"/>
    <w:rsid w:val="00CB3907"/>
    <w:rsid w:val="00CB3B51"/>
    <w:rsid w:val="00CB46F0"/>
    <w:rsid w:val="00CB6167"/>
    <w:rsid w:val="00CC0C54"/>
    <w:rsid w:val="00CC1016"/>
    <w:rsid w:val="00CC32A0"/>
    <w:rsid w:val="00CC3829"/>
    <w:rsid w:val="00CD0D1D"/>
    <w:rsid w:val="00CD1673"/>
    <w:rsid w:val="00CD1721"/>
    <w:rsid w:val="00CD4DDC"/>
    <w:rsid w:val="00CD6592"/>
    <w:rsid w:val="00CE0808"/>
    <w:rsid w:val="00CE35B4"/>
    <w:rsid w:val="00CE6301"/>
    <w:rsid w:val="00CF06D4"/>
    <w:rsid w:val="00CF2008"/>
    <w:rsid w:val="00CF2496"/>
    <w:rsid w:val="00CF3649"/>
    <w:rsid w:val="00CF4188"/>
    <w:rsid w:val="00CF4E9E"/>
    <w:rsid w:val="00CF52CE"/>
    <w:rsid w:val="00CF7848"/>
    <w:rsid w:val="00D00B84"/>
    <w:rsid w:val="00D058FC"/>
    <w:rsid w:val="00D06213"/>
    <w:rsid w:val="00D073D1"/>
    <w:rsid w:val="00D10010"/>
    <w:rsid w:val="00D11510"/>
    <w:rsid w:val="00D116EE"/>
    <w:rsid w:val="00D12BB7"/>
    <w:rsid w:val="00D159D4"/>
    <w:rsid w:val="00D15C79"/>
    <w:rsid w:val="00D1641A"/>
    <w:rsid w:val="00D20E16"/>
    <w:rsid w:val="00D21601"/>
    <w:rsid w:val="00D21AA7"/>
    <w:rsid w:val="00D22F1C"/>
    <w:rsid w:val="00D23D75"/>
    <w:rsid w:val="00D31882"/>
    <w:rsid w:val="00D31BAB"/>
    <w:rsid w:val="00D31D27"/>
    <w:rsid w:val="00D32109"/>
    <w:rsid w:val="00D32ED3"/>
    <w:rsid w:val="00D336A4"/>
    <w:rsid w:val="00D34AFB"/>
    <w:rsid w:val="00D352EE"/>
    <w:rsid w:val="00D35A03"/>
    <w:rsid w:val="00D37377"/>
    <w:rsid w:val="00D41830"/>
    <w:rsid w:val="00D45B8C"/>
    <w:rsid w:val="00D56058"/>
    <w:rsid w:val="00D567E0"/>
    <w:rsid w:val="00D56A09"/>
    <w:rsid w:val="00D57976"/>
    <w:rsid w:val="00D61F2D"/>
    <w:rsid w:val="00D630DE"/>
    <w:rsid w:val="00D63DBC"/>
    <w:rsid w:val="00D645C6"/>
    <w:rsid w:val="00D6548A"/>
    <w:rsid w:val="00D65905"/>
    <w:rsid w:val="00D65A71"/>
    <w:rsid w:val="00D67355"/>
    <w:rsid w:val="00D67F63"/>
    <w:rsid w:val="00D71B03"/>
    <w:rsid w:val="00D7327A"/>
    <w:rsid w:val="00D74EC8"/>
    <w:rsid w:val="00D76F23"/>
    <w:rsid w:val="00D81AC9"/>
    <w:rsid w:val="00D858CC"/>
    <w:rsid w:val="00D9086C"/>
    <w:rsid w:val="00D92C84"/>
    <w:rsid w:val="00D93AAA"/>
    <w:rsid w:val="00D93ECC"/>
    <w:rsid w:val="00D94745"/>
    <w:rsid w:val="00D95DFF"/>
    <w:rsid w:val="00D963D5"/>
    <w:rsid w:val="00D96C96"/>
    <w:rsid w:val="00DA41B2"/>
    <w:rsid w:val="00DA5D06"/>
    <w:rsid w:val="00DA62C4"/>
    <w:rsid w:val="00DA7B20"/>
    <w:rsid w:val="00DB049D"/>
    <w:rsid w:val="00DB473D"/>
    <w:rsid w:val="00DB5727"/>
    <w:rsid w:val="00DB68CC"/>
    <w:rsid w:val="00DC2E38"/>
    <w:rsid w:val="00DC2FBF"/>
    <w:rsid w:val="00DC52BC"/>
    <w:rsid w:val="00DC60C2"/>
    <w:rsid w:val="00DC621D"/>
    <w:rsid w:val="00DC6A98"/>
    <w:rsid w:val="00DC6EF8"/>
    <w:rsid w:val="00DC7245"/>
    <w:rsid w:val="00DC730A"/>
    <w:rsid w:val="00DD12FC"/>
    <w:rsid w:val="00DD1ED6"/>
    <w:rsid w:val="00DD2B0D"/>
    <w:rsid w:val="00DE130A"/>
    <w:rsid w:val="00DE1F21"/>
    <w:rsid w:val="00DE3369"/>
    <w:rsid w:val="00DE33DB"/>
    <w:rsid w:val="00DE38B2"/>
    <w:rsid w:val="00DF054C"/>
    <w:rsid w:val="00DF2C9A"/>
    <w:rsid w:val="00DF5291"/>
    <w:rsid w:val="00DF6AC1"/>
    <w:rsid w:val="00E010C4"/>
    <w:rsid w:val="00E03EBC"/>
    <w:rsid w:val="00E05572"/>
    <w:rsid w:val="00E05C83"/>
    <w:rsid w:val="00E06927"/>
    <w:rsid w:val="00E06AB6"/>
    <w:rsid w:val="00E10D04"/>
    <w:rsid w:val="00E1217F"/>
    <w:rsid w:val="00E15659"/>
    <w:rsid w:val="00E16292"/>
    <w:rsid w:val="00E166FD"/>
    <w:rsid w:val="00E17143"/>
    <w:rsid w:val="00E17918"/>
    <w:rsid w:val="00E20294"/>
    <w:rsid w:val="00E221E9"/>
    <w:rsid w:val="00E22886"/>
    <w:rsid w:val="00E25706"/>
    <w:rsid w:val="00E25F47"/>
    <w:rsid w:val="00E264BB"/>
    <w:rsid w:val="00E267F5"/>
    <w:rsid w:val="00E276DF"/>
    <w:rsid w:val="00E30596"/>
    <w:rsid w:val="00E31FF9"/>
    <w:rsid w:val="00E33434"/>
    <w:rsid w:val="00E33B23"/>
    <w:rsid w:val="00E37B1B"/>
    <w:rsid w:val="00E417B9"/>
    <w:rsid w:val="00E43C23"/>
    <w:rsid w:val="00E45160"/>
    <w:rsid w:val="00E45E6A"/>
    <w:rsid w:val="00E50A42"/>
    <w:rsid w:val="00E54FA5"/>
    <w:rsid w:val="00E56788"/>
    <w:rsid w:val="00E56D64"/>
    <w:rsid w:val="00E57446"/>
    <w:rsid w:val="00E61081"/>
    <w:rsid w:val="00E65B18"/>
    <w:rsid w:val="00E65B9D"/>
    <w:rsid w:val="00E71CE6"/>
    <w:rsid w:val="00E71E16"/>
    <w:rsid w:val="00E728C6"/>
    <w:rsid w:val="00E73E65"/>
    <w:rsid w:val="00E76641"/>
    <w:rsid w:val="00E77AC7"/>
    <w:rsid w:val="00E83DA2"/>
    <w:rsid w:val="00E851E8"/>
    <w:rsid w:val="00E862E7"/>
    <w:rsid w:val="00E86395"/>
    <w:rsid w:val="00E86DF2"/>
    <w:rsid w:val="00E879EC"/>
    <w:rsid w:val="00E9538B"/>
    <w:rsid w:val="00E95703"/>
    <w:rsid w:val="00E95707"/>
    <w:rsid w:val="00E964C2"/>
    <w:rsid w:val="00EA0297"/>
    <w:rsid w:val="00EA116B"/>
    <w:rsid w:val="00EA2C29"/>
    <w:rsid w:val="00EA3F05"/>
    <w:rsid w:val="00EA5E85"/>
    <w:rsid w:val="00EB0B07"/>
    <w:rsid w:val="00EB0C6A"/>
    <w:rsid w:val="00EB144E"/>
    <w:rsid w:val="00EB1B82"/>
    <w:rsid w:val="00EB2F49"/>
    <w:rsid w:val="00EB462A"/>
    <w:rsid w:val="00EB4E42"/>
    <w:rsid w:val="00EB635D"/>
    <w:rsid w:val="00EB6AA6"/>
    <w:rsid w:val="00EC0354"/>
    <w:rsid w:val="00EC5A70"/>
    <w:rsid w:val="00EC5B97"/>
    <w:rsid w:val="00EC6BED"/>
    <w:rsid w:val="00EC70BC"/>
    <w:rsid w:val="00ED018E"/>
    <w:rsid w:val="00ED044F"/>
    <w:rsid w:val="00ED07AD"/>
    <w:rsid w:val="00ED2A04"/>
    <w:rsid w:val="00ED370F"/>
    <w:rsid w:val="00ED39D5"/>
    <w:rsid w:val="00ED3B36"/>
    <w:rsid w:val="00EE21F2"/>
    <w:rsid w:val="00EE55F9"/>
    <w:rsid w:val="00EE62A5"/>
    <w:rsid w:val="00EE63DE"/>
    <w:rsid w:val="00EE64F9"/>
    <w:rsid w:val="00EF00EA"/>
    <w:rsid w:val="00EF0CBA"/>
    <w:rsid w:val="00EF34E1"/>
    <w:rsid w:val="00EF3688"/>
    <w:rsid w:val="00EF36A0"/>
    <w:rsid w:val="00EF6CC3"/>
    <w:rsid w:val="00F00D0F"/>
    <w:rsid w:val="00F0109E"/>
    <w:rsid w:val="00F03A0B"/>
    <w:rsid w:val="00F11454"/>
    <w:rsid w:val="00F12E5A"/>
    <w:rsid w:val="00F140E1"/>
    <w:rsid w:val="00F221FC"/>
    <w:rsid w:val="00F24025"/>
    <w:rsid w:val="00F322F5"/>
    <w:rsid w:val="00F3463A"/>
    <w:rsid w:val="00F35033"/>
    <w:rsid w:val="00F35CAE"/>
    <w:rsid w:val="00F36EE7"/>
    <w:rsid w:val="00F41B64"/>
    <w:rsid w:val="00F41D9D"/>
    <w:rsid w:val="00F4468A"/>
    <w:rsid w:val="00F47653"/>
    <w:rsid w:val="00F47EFB"/>
    <w:rsid w:val="00F505CE"/>
    <w:rsid w:val="00F5169E"/>
    <w:rsid w:val="00F51C0B"/>
    <w:rsid w:val="00F57AFC"/>
    <w:rsid w:val="00F57CF3"/>
    <w:rsid w:val="00F627E4"/>
    <w:rsid w:val="00F6494D"/>
    <w:rsid w:val="00F65DBD"/>
    <w:rsid w:val="00F669B9"/>
    <w:rsid w:val="00F67D80"/>
    <w:rsid w:val="00F7664B"/>
    <w:rsid w:val="00F773E6"/>
    <w:rsid w:val="00F77DEE"/>
    <w:rsid w:val="00F80A07"/>
    <w:rsid w:val="00F80C1E"/>
    <w:rsid w:val="00F80CEE"/>
    <w:rsid w:val="00F81639"/>
    <w:rsid w:val="00F81C18"/>
    <w:rsid w:val="00F81F36"/>
    <w:rsid w:val="00F83E85"/>
    <w:rsid w:val="00F8493C"/>
    <w:rsid w:val="00F85468"/>
    <w:rsid w:val="00F86A45"/>
    <w:rsid w:val="00F86BC7"/>
    <w:rsid w:val="00F907D4"/>
    <w:rsid w:val="00F9202F"/>
    <w:rsid w:val="00F92AA4"/>
    <w:rsid w:val="00FA2519"/>
    <w:rsid w:val="00FA625E"/>
    <w:rsid w:val="00FA6B1E"/>
    <w:rsid w:val="00FB4165"/>
    <w:rsid w:val="00FB59A0"/>
    <w:rsid w:val="00FC1792"/>
    <w:rsid w:val="00FC42BD"/>
    <w:rsid w:val="00FD2E9B"/>
    <w:rsid w:val="00FD378D"/>
    <w:rsid w:val="00FE065B"/>
    <w:rsid w:val="00FE06D8"/>
    <w:rsid w:val="00FE17D2"/>
    <w:rsid w:val="00FE2BF0"/>
    <w:rsid w:val="00FE43C6"/>
    <w:rsid w:val="00FE7835"/>
    <w:rsid w:val="00FF03A9"/>
    <w:rsid w:val="00FF6D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457696"/>
  <w15:docId w15:val="{5C09E90A-BC0C-4AAE-9F34-99F9FDC6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669A"/>
    <w:rPr>
      <w:rFonts w:ascii="Arial" w:hAnsi="Arial"/>
      <w:sz w:val="22"/>
      <w:szCs w:val="24"/>
      <w:lang w:eastAsia="en-US"/>
    </w:rPr>
  </w:style>
  <w:style w:type="paragraph" w:styleId="Heading1">
    <w:name w:val="heading 1"/>
    <w:basedOn w:val="Normal"/>
    <w:next w:val="Normal"/>
    <w:qFormat/>
    <w:pPr>
      <w:keepNext/>
      <w:spacing w:line="480" w:lineRule="auto"/>
      <w:jc w:val="both"/>
      <w:outlineLvl w:val="0"/>
    </w:pPr>
    <w:rPr>
      <w:rFonts w:cs="Arial"/>
      <w:b/>
      <w:bCs/>
    </w:rPr>
  </w:style>
  <w:style w:type="paragraph" w:styleId="Heading2">
    <w:name w:val="heading 2"/>
    <w:basedOn w:val="Normal"/>
    <w:next w:val="Normal"/>
    <w:qFormat/>
    <w:rsid w:val="009B08AF"/>
    <w:pPr>
      <w:keepNext/>
      <w:spacing w:after="480" w:line="480" w:lineRule="auto"/>
      <w:outlineLvl w:val="1"/>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84021"/>
    <w:pPr>
      <w:keepNext/>
      <w:widowControl w:val="0"/>
      <w:spacing w:before="360" w:after="240"/>
    </w:pPr>
    <w:rPr>
      <w:rFonts w:cs="Arial"/>
      <w:b/>
      <w:bCs/>
    </w:rPr>
  </w:style>
  <w:style w:type="paragraph" w:styleId="Header">
    <w:name w:val="header"/>
    <w:basedOn w:val="Normal"/>
    <w:semiHidden/>
    <w:pPr>
      <w:tabs>
        <w:tab w:val="center" w:pos="4153"/>
        <w:tab w:val="right" w:pos="8306"/>
      </w:tabs>
    </w:pPr>
    <w:rPr>
      <w:lang w:val="en-GB"/>
    </w:rPr>
  </w:style>
  <w:style w:type="character" w:styleId="PageNumber">
    <w:name w:val="page number"/>
    <w:basedOn w:val="DefaultParagraphFont"/>
    <w:semiHidden/>
  </w:style>
  <w:style w:type="paragraph" w:styleId="BodyText">
    <w:name w:val="Body Text"/>
    <w:basedOn w:val="Normal"/>
    <w:semiHidden/>
    <w:pPr>
      <w:jc w:val="both"/>
    </w:pPr>
    <w:rPr>
      <w:bCs/>
    </w:rPr>
  </w:style>
  <w:style w:type="paragraph" w:styleId="Footer">
    <w:name w:val="footer"/>
    <w:basedOn w:val="Normal"/>
    <w:link w:val="FooterChar"/>
    <w:uiPriority w:val="99"/>
    <w:unhideWhenUsed/>
    <w:rsid w:val="008B1DA9"/>
    <w:pPr>
      <w:tabs>
        <w:tab w:val="center" w:pos="4513"/>
        <w:tab w:val="right" w:pos="9026"/>
      </w:tabs>
    </w:pPr>
  </w:style>
  <w:style w:type="character" w:customStyle="1" w:styleId="FooterChar">
    <w:name w:val="Footer Char"/>
    <w:basedOn w:val="DefaultParagraphFont"/>
    <w:link w:val="Footer"/>
    <w:uiPriority w:val="99"/>
    <w:rsid w:val="008B1DA9"/>
    <w:rPr>
      <w:sz w:val="24"/>
      <w:szCs w:val="24"/>
      <w:lang w:eastAsia="en-US"/>
    </w:rPr>
  </w:style>
  <w:style w:type="paragraph" w:styleId="BalloonText">
    <w:name w:val="Balloon Text"/>
    <w:basedOn w:val="Normal"/>
    <w:link w:val="BalloonTextChar"/>
    <w:uiPriority w:val="99"/>
    <w:semiHidden/>
    <w:unhideWhenUsed/>
    <w:rsid w:val="006C43D7"/>
    <w:rPr>
      <w:rFonts w:ascii="Tahoma" w:hAnsi="Tahoma" w:cs="Tahoma"/>
      <w:sz w:val="16"/>
      <w:szCs w:val="16"/>
    </w:rPr>
  </w:style>
  <w:style w:type="character" w:customStyle="1" w:styleId="BalloonTextChar">
    <w:name w:val="Balloon Text Char"/>
    <w:basedOn w:val="DefaultParagraphFont"/>
    <w:link w:val="BalloonText"/>
    <w:uiPriority w:val="99"/>
    <w:semiHidden/>
    <w:rsid w:val="006C43D7"/>
    <w:rPr>
      <w:rFonts w:ascii="Tahoma" w:hAnsi="Tahoma" w:cs="Tahoma"/>
      <w:sz w:val="16"/>
      <w:szCs w:val="16"/>
      <w:lang w:eastAsia="en-US"/>
    </w:rPr>
  </w:style>
  <w:style w:type="paragraph" w:styleId="FootnoteText">
    <w:name w:val="footnote text"/>
    <w:basedOn w:val="Normal"/>
    <w:link w:val="FootnoteTextChar"/>
    <w:uiPriority w:val="99"/>
    <w:unhideWhenUsed/>
    <w:rsid w:val="009869F2"/>
    <w:pPr>
      <w:ind w:left="340" w:hanging="340"/>
      <w:jc w:val="both"/>
    </w:pPr>
    <w:rPr>
      <w:sz w:val="20"/>
      <w:szCs w:val="20"/>
    </w:rPr>
  </w:style>
  <w:style w:type="character" w:customStyle="1" w:styleId="FootnoteTextChar">
    <w:name w:val="Footnote Text Char"/>
    <w:basedOn w:val="DefaultParagraphFont"/>
    <w:link w:val="FootnoteText"/>
    <w:uiPriority w:val="99"/>
    <w:rsid w:val="009869F2"/>
    <w:rPr>
      <w:rFonts w:ascii="Arial" w:hAnsi="Arial"/>
      <w:lang w:eastAsia="en-US"/>
    </w:rPr>
  </w:style>
  <w:style w:type="character" w:styleId="FootnoteReference">
    <w:name w:val="footnote reference"/>
    <w:basedOn w:val="DefaultParagraphFont"/>
    <w:uiPriority w:val="99"/>
    <w:semiHidden/>
    <w:unhideWhenUsed/>
    <w:rsid w:val="00AD2631"/>
    <w:rPr>
      <w:vertAlign w:val="superscript"/>
    </w:rPr>
  </w:style>
  <w:style w:type="paragraph" w:styleId="ListParagraph">
    <w:name w:val="List Paragraph"/>
    <w:basedOn w:val="Normal"/>
    <w:uiPriority w:val="34"/>
    <w:qFormat/>
    <w:rsid w:val="00504B53"/>
    <w:pPr>
      <w:ind w:left="720"/>
      <w:contextualSpacing/>
    </w:pPr>
  </w:style>
  <w:style w:type="paragraph" w:styleId="Quote">
    <w:name w:val="Quote"/>
    <w:basedOn w:val="Normal"/>
    <w:next w:val="Normal"/>
    <w:link w:val="QuoteChar"/>
    <w:uiPriority w:val="29"/>
    <w:qFormat/>
    <w:rsid w:val="00933065"/>
    <w:pPr>
      <w:spacing w:before="200" w:after="160"/>
      <w:ind w:left="864" w:right="864"/>
    </w:pPr>
    <w:rPr>
      <w:i/>
      <w:iCs/>
      <w:color w:val="000000" w:themeColor="text1"/>
    </w:rPr>
  </w:style>
  <w:style w:type="character" w:customStyle="1" w:styleId="QuoteChar">
    <w:name w:val="Quote Char"/>
    <w:basedOn w:val="DefaultParagraphFont"/>
    <w:link w:val="Quote"/>
    <w:uiPriority w:val="29"/>
    <w:rsid w:val="00933065"/>
    <w:rPr>
      <w:rFonts w:ascii="Arial" w:hAnsi="Arial"/>
      <w:i/>
      <w:iCs/>
      <w:color w:val="000000" w:themeColor="text1"/>
      <w:sz w:val="22"/>
      <w:szCs w:val="24"/>
      <w:lang w:eastAsia="en-US"/>
    </w:rPr>
  </w:style>
  <w:style w:type="paragraph" w:customStyle="1" w:styleId="lrpara">
    <w:name w:val="lrpara"/>
    <w:basedOn w:val="Normal"/>
    <w:rsid w:val="00EA3F05"/>
    <w:pPr>
      <w:spacing w:before="100" w:beforeAutospacing="1" w:after="100" w:afterAutospacing="1"/>
    </w:pPr>
    <w:rPr>
      <w:rFonts w:ascii="Times New Roman" w:hAnsi="Times New Roman"/>
      <w:sz w:val="24"/>
      <w:lang w:eastAsia="en-ZA"/>
    </w:rPr>
  </w:style>
  <w:style w:type="paragraph" w:customStyle="1" w:styleId="pageno">
    <w:name w:val="pageno"/>
    <w:basedOn w:val="Normal"/>
    <w:rsid w:val="00EA3F05"/>
    <w:pPr>
      <w:spacing w:before="100" w:beforeAutospacing="1" w:after="100" w:afterAutospacing="1"/>
    </w:pPr>
    <w:rPr>
      <w:rFonts w:ascii="Times New Roman" w:hAnsi="Times New Roman"/>
      <w:sz w:val="24"/>
      <w:lang w:eastAsia="en-ZA"/>
    </w:rPr>
  </w:style>
  <w:style w:type="paragraph" w:customStyle="1" w:styleId="lrjudgecont">
    <w:name w:val="lrjudgecont"/>
    <w:basedOn w:val="Normal"/>
    <w:rsid w:val="00EA3F05"/>
    <w:pPr>
      <w:spacing w:before="100" w:beforeAutospacing="1" w:after="100" w:afterAutospacing="1"/>
    </w:pPr>
    <w:rPr>
      <w:rFonts w:ascii="Times New Roman" w:hAnsi="Times New Roman"/>
      <w:sz w:val="24"/>
      <w:lang w:eastAsia="en-ZA"/>
    </w:rPr>
  </w:style>
  <w:style w:type="paragraph" w:styleId="NormalWeb">
    <w:name w:val="Normal (Web)"/>
    <w:basedOn w:val="Normal"/>
    <w:uiPriority w:val="99"/>
    <w:unhideWhenUsed/>
    <w:rsid w:val="00EA3F05"/>
    <w:pPr>
      <w:spacing w:before="100" w:beforeAutospacing="1" w:after="100" w:afterAutospacing="1"/>
    </w:pPr>
    <w:rPr>
      <w:rFonts w:ascii="Times New Roman" w:hAnsi="Times New Roman"/>
      <w:sz w:val="24"/>
      <w:lang w:eastAsia="en-ZA"/>
    </w:rPr>
  </w:style>
  <w:style w:type="character" w:customStyle="1" w:styleId="mc">
    <w:name w:val="mc"/>
    <w:basedOn w:val="DefaultParagraphFont"/>
    <w:rsid w:val="00EA3F05"/>
  </w:style>
  <w:style w:type="character" w:customStyle="1" w:styleId="italic">
    <w:name w:val="italic"/>
    <w:basedOn w:val="DefaultParagraphFont"/>
    <w:rsid w:val="008675CC"/>
  </w:style>
  <w:style w:type="character" w:styleId="Hyperlink">
    <w:name w:val="Hyperlink"/>
    <w:basedOn w:val="DefaultParagraphFont"/>
    <w:uiPriority w:val="99"/>
    <w:unhideWhenUsed/>
    <w:rsid w:val="008675CC"/>
    <w:rPr>
      <w:color w:val="0000FF"/>
      <w:u w:val="single"/>
    </w:rPr>
  </w:style>
  <w:style w:type="paragraph" w:customStyle="1" w:styleId="normaltext">
    <w:name w:val="normaltext"/>
    <w:basedOn w:val="Normal"/>
    <w:rsid w:val="002A030C"/>
    <w:pPr>
      <w:spacing w:before="100" w:beforeAutospacing="1" w:after="100" w:afterAutospacing="1"/>
    </w:pPr>
    <w:rPr>
      <w:rFonts w:ascii="Times New Roman" w:hAnsi="Times New Roman"/>
      <w:sz w:val="24"/>
      <w:lang w:eastAsia="en-ZA"/>
    </w:rPr>
  </w:style>
  <w:style w:type="table" w:styleId="TableGrid">
    <w:name w:val="Table Grid"/>
    <w:basedOn w:val="TableNormal"/>
    <w:uiPriority w:val="59"/>
    <w:rsid w:val="002104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030A89"/>
    <w:rPr>
      <w:sz w:val="20"/>
      <w:szCs w:val="20"/>
    </w:rPr>
  </w:style>
  <w:style w:type="character" w:customStyle="1" w:styleId="EndnoteTextChar">
    <w:name w:val="Endnote Text Char"/>
    <w:basedOn w:val="DefaultParagraphFont"/>
    <w:link w:val="EndnoteText"/>
    <w:uiPriority w:val="99"/>
    <w:semiHidden/>
    <w:rsid w:val="00030A89"/>
    <w:rPr>
      <w:rFonts w:ascii="Arial" w:hAnsi="Arial"/>
      <w:lang w:eastAsia="en-US"/>
    </w:rPr>
  </w:style>
  <w:style w:type="character" w:styleId="EndnoteReference">
    <w:name w:val="endnote reference"/>
    <w:basedOn w:val="DefaultParagraphFont"/>
    <w:uiPriority w:val="99"/>
    <w:semiHidden/>
    <w:unhideWhenUsed/>
    <w:rsid w:val="00030A89"/>
    <w:rPr>
      <w:vertAlign w:val="superscript"/>
    </w:rPr>
  </w:style>
  <w:style w:type="character" w:customStyle="1" w:styleId="footnoteanchor">
    <w:name w:val="footnoteanchor"/>
    <w:basedOn w:val="DefaultParagraphFont"/>
    <w:rsid w:val="00BF7ED8"/>
  </w:style>
  <w:style w:type="character" w:customStyle="1" w:styleId="AFUBodytextCharChar">
    <w:name w:val="AFU Body text Char Char"/>
    <w:basedOn w:val="DefaultParagraphFont"/>
    <w:link w:val="AFUBodytext"/>
    <w:locked/>
    <w:rsid w:val="007A1D60"/>
    <w:rPr>
      <w:rFonts w:ascii="Arial" w:hAnsi="Arial" w:cs="Arial"/>
      <w:sz w:val="22"/>
      <w:szCs w:val="22"/>
      <w:lang w:eastAsia="en-GB"/>
    </w:rPr>
  </w:style>
  <w:style w:type="paragraph" w:customStyle="1" w:styleId="AFUBodytext">
    <w:name w:val="AFU Body text"/>
    <w:basedOn w:val="Normal"/>
    <w:link w:val="AFUBodytextCharChar"/>
    <w:rsid w:val="007A1D60"/>
    <w:pPr>
      <w:spacing w:before="120" w:after="120" w:line="480" w:lineRule="auto"/>
      <w:jc w:val="both"/>
    </w:pPr>
    <w:rPr>
      <w:rFonts w:cs="Arial"/>
      <w:szCs w:val="22"/>
      <w:lang w:eastAsia="en-GB"/>
    </w:rPr>
  </w:style>
  <w:style w:type="paragraph" w:customStyle="1" w:styleId="AFUaffidavitnumbering">
    <w:name w:val="AFU affidavit numbering"/>
    <w:basedOn w:val="Normal"/>
    <w:link w:val="AFUaffidavitnumberingCharChar"/>
    <w:uiPriority w:val="99"/>
    <w:qFormat/>
    <w:rsid w:val="00E61081"/>
    <w:pPr>
      <w:numPr>
        <w:numId w:val="12"/>
      </w:numPr>
      <w:spacing w:before="240" w:after="240" w:line="480" w:lineRule="auto"/>
      <w:jc w:val="both"/>
    </w:pPr>
    <w:rPr>
      <w:rFonts w:eastAsia="Calibri"/>
      <w:szCs w:val="22"/>
    </w:rPr>
  </w:style>
  <w:style w:type="character" w:customStyle="1" w:styleId="AFUaffidavitnumberingCharChar">
    <w:name w:val="AFU affidavit numbering Char Char"/>
    <w:basedOn w:val="DefaultParagraphFont"/>
    <w:link w:val="AFUaffidavitnumbering"/>
    <w:uiPriority w:val="99"/>
    <w:rsid w:val="00E61081"/>
    <w:rPr>
      <w:rFonts w:ascii="Arial" w:eastAsia="Calibri" w:hAnsi="Arial"/>
      <w:sz w:val="22"/>
      <w:szCs w:val="22"/>
      <w:lang w:eastAsia="en-US"/>
    </w:rPr>
  </w:style>
  <w:style w:type="paragraph" w:customStyle="1" w:styleId="Default">
    <w:name w:val="Default"/>
    <w:rsid w:val="00A434B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854104">
      <w:bodyDiv w:val="1"/>
      <w:marLeft w:val="0"/>
      <w:marRight w:val="0"/>
      <w:marTop w:val="0"/>
      <w:marBottom w:val="0"/>
      <w:divBdr>
        <w:top w:val="none" w:sz="0" w:space="0" w:color="auto"/>
        <w:left w:val="none" w:sz="0" w:space="0" w:color="auto"/>
        <w:bottom w:val="none" w:sz="0" w:space="0" w:color="auto"/>
        <w:right w:val="none" w:sz="0" w:space="0" w:color="auto"/>
      </w:divBdr>
    </w:div>
    <w:div w:id="163209253">
      <w:bodyDiv w:val="1"/>
      <w:marLeft w:val="0"/>
      <w:marRight w:val="0"/>
      <w:marTop w:val="0"/>
      <w:marBottom w:val="0"/>
      <w:divBdr>
        <w:top w:val="none" w:sz="0" w:space="0" w:color="auto"/>
        <w:left w:val="none" w:sz="0" w:space="0" w:color="auto"/>
        <w:bottom w:val="none" w:sz="0" w:space="0" w:color="auto"/>
        <w:right w:val="none" w:sz="0" w:space="0" w:color="auto"/>
      </w:divBdr>
      <w:divsChild>
        <w:div w:id="1238244361">
          <w:marLeft w:val="0"/>
          <w:marRight w:val="0"/>
          <w:marTop w:val="240"/>
          <w:marBottom w:val="0"/>
          <w:divBdr>
            <w:top w:val="none" w:sz="0" w:space="0" w:color="auto"/>
            <w:left w:val="none" w:sz="0" w:space="0" w:color="auto"/>
            <w:bottom w:val="none" w:sz="0" w:space="0" w:color="auto"/>
            <w:right w:val="none" w:sz="0" w:space="0" w:color="auto"/>
          </w:divBdr>
        </w:div>
        <w:div w:id="559486776">
          <w:marLeft w:val="0"/>
          <w:marRight w:val="0"/>
          <w:marTop w:val="120"/>
          <w:marBottom w:val="0"/>
          <w:divBdr>
            <w:top w:val="none" w:sz="0" w:space="0" w:color="auto"/>
            <w:left w:val="none" w:sz="0" w:space="0" w:color="auto"/>
            <w:bottom w:val="none" w:sz="0" w:space="0" w:color="auto"/>
            <w:right w:val="none" w:sz="0" w:space="0" w:color="auto"/>
          </w:divBdr>
        </w:div>
        <w:div w:id="1412848520">
          <w:marLeft w:val="567"/>
          <w:marRight w:val="567"/>
          <w:marTop w:val="20"/>
          <w:marBottom w:val="20"/>
          <w:divBdr>
            <w:top w:val="none" w:sz="0" w:space="0" w:color="auto"/>
            <w:left w:val="none" w:sz="0" w:space="0" w:color="auto"/>
            <w:bottom w:val="none" w:sz="0" w:space="0" w:color="auto"/>
            <w:right w:val="none" w:sz="0" w:space="0" w:color="auto"/>
          </w:divBdr>
        </w:div>
      </w:divsChild>
    </w:div>
    <w:div w:id="339508733">
      <w:bodyDiv w:val="1"/>
      <w:marLeft w:val="0"/>
      <w:marRight w:val="0"/>
      <w:marTop w:val="0"/>
      <w:marBottom w:val="0"/>
      <w:divBdr>
        <w:top w:val="none" w:sz="0" w:space="0" w:color="auto"/>
        <w:left w:val="none" w:sz="0" w:space="0" w:color="auto"/>
        <w:bottom w:val="none" w:sz="0" w:space="0" w:color="auto"/>
        <w:right w:val="none" w:sz="0" w:space="0" w:color="auto"/>
      </w:divBdr>
    </w:div>
    <w:div w:id="352655753">
      <w:bodyDiv w:val="1"/>
      <w:marLeft w:val="0"/>
      <w:marRight w:val="0"/>
      <w:marTop w:val="0"/>
      <w:marBottom w:val="0"/>
      <w:divBdr>
        <w:top w:val="none" w:sz="0" w:space="0" w:color="auto"/>
        <w:left w:val="none" w:sz="0" w:space="0" w:color="auto"/>
        <w:bottom w:val="none" w:sz="0" w:space="0" w:color="auto"/>
        <w:right w:val="none" w:sz="0" w:space="0" w:color="auto"/>
      </w:divBdr>
      <w:divsChild>
        <w:div w:id="795026512">
          <w:marLeft w:val="0"/>
          <w:marRight w:val="0"/>
          <w:marTop w:val="120"/>
          <w:marBottom w:val="0"/>
          <w:divBdr>
            <w:top w:val="none" w:sz="0" w:space="0" w:color="auto"/>
            <w:left w:val="none" w:sz="0" w:space="0" w:color="auto"/>
            <w:bottom w:val="none" w:sz="0" w:space="0" w:color="auto"/>
            <w:right w:val="none" w:sz="0" w:space="0" w:color="auto"/>
          </w:divBdr>
        </w:div>
        <w:div w:id="543565086">
          <w:marLeft w:val="0"/>
          <w:marRight w:val="0"/>
          <w:marTop w:val="60"/>
          <w:marBottom w:val="0"/>
          <w:divBdr>
            <w:top w:val="none" w:sz="0" w:space="0" w:color="auto"/>
            <w:left w:val="none" w:sz="0" w:space="0" w:color="auto"/>
            <w:bottom w:val="none" w:sz="0" w:space="0" w:color="auto"/>
            <w:right w:val="none" w:sz="0" w:space="0" w:color="auto"/>
          </w:divBdr>
        </w:div>
      </w:divsChild>
    </w:div>
    <w:div w:id="538202760">
      <w:bodyDiv w:val="1"/>
      <w:marLeft w:val="0"/>
      <w:marRight w:val="0"/>
      <w:marTop w:val="0"/>
      <w:marBottom w:val="0"/>
      <w:divBdr>
        <w:top w:val="none" w:sz="0" w:space="0" w:color="auto"/>
        <w:left w:val="none" w:sz="0" w:space="0" w:color="auto"/>
        <w:bottom w:val="none" w:sz="0" w:space="0" w:color="auto"/>
        <w:right w:val="none" w:sz="0" w:space="0" w:color="auto"/>
      </w:divBdr>
    </w:div>
    <w:div w:id="570697089">
      <w:bodyDiv w:val="1"/>
      <w:marLeft w:val="0"/>
      <w:marRight w:val="0"/>
      <w:marTop w:val="0"/>
      <w:marBottom w:val="0"/>
      <w:divBdr>
        <w:top w:val="none" w:sz="0" w:space="0" w:color="auto"/>
        <w:left w:val="none" w:sz="0" w:space="0" w:color="auto"/>
        <w:bottom w:val="none" w:sz="0" w:space="0" w:color="auto"/>
        <w:right w:val="none" w:sz="0" w:space="0" w:color="auto"/>
      </w:divBdr>
    </w:div>
    <w:div w:id="813523022">
      <w:bodyDiv w:val="1"/>
      <w:marLeft w:val="0"/>
      <w:marRight w:val="0"/>
      <w:marTop w:val="0"/>
      <w:marBottom w:val="0"/>
      <w:divBdr>
        <w:top w:val="none" w:sz="0" w:space="0" w:color="auto"/>
        <w:left w:val="none" w:sz="0" w:space="0" w:color="auto"/>
        <w:bottom w:val="none" w:sz="0" w:space="0" w:color="auto"/>
        <w:right w:val="none" w:sz="0" w:space="0" w:color="auto"/>
      </w:divBdr>
    </w:div>
    <w:div w:id="900557229">
      <w:bodyDiv w:val="1"/>
      <w:marLeft w:val="0"/>
      <w:marRight w:val="0"/>
      <w:marTop w:val="0"/>
      <w:marBottom w:val="0"/>
      <w:divBdr>
        <w:top w:val="none" w:sz="0" w:space="0" w:color="auto"/>
        <w:left w:val="none" w:sz="0" w:space="0" w:color="auto"/>
        <w:bottom w:val="none" w:sz="0" w:space="0" w:color="auto"/>
        <w:right w:val="none" w:sz="0" w:space="0" w:color="auto"/>
      </w:divBdr>
    </w:div>
    <w:div w:id="1026834901">
      <w:bodyDiv w:val="1"/>
      <w:marLeft w:val="0"/>
      <w:marRight w:val="0"/>
      <w:marTop w:val="0"/>
      <w:marBottom w:val="0"/>
      <w:divBdr>
        <w:top w:val="none" w:sz="0" w:space="0" w:color="auto"/>
        <w:left w:val="none" w:sz="0" w:space="0" w:color="auto"/>
        <w:bottom w:val="none" w:sz="0" w:space="0" w:color="auto"/>
        <w:right w:val="none" w:sz="0" w:space="0" w:color="auto"/>
      </w:divBdr>
    </w:div>
    <w:div w:id="1150560590">
      <w:bodyDiv w:val="1"/>
      <w:marLeft w:val="0"/>
      <w:marRight w:val="0"/>
      <w:marTop w:val="0"/>
      <w:marBottom w:val="0"/>
      <w:divBdr>
        <w:top w:val="none" w:sz="0" w:space="0" w:color="auto"/>
        <w:left w:val="none" w:sz="0" w:space="0" w:color="auto"/>
        <w:bottom w:val="none" w:sz="0" w:space="0" w:color="auto"/>
        <w:right w:val="none" w:sz="0" w:space="0" w:color="auto"/>
      </w:divBdr>
    </w:div>
    <w:div w:id="1170483299">
      <w:bodyDiv w:val="1"/>
      <w:marLeft w:val="0"/>
      <w:marRight w:val="0"/>
      <w:marTop w:val="0"/>
      <w:marBottom w:val="0"/>
      <w:divBdr>
        <w:top w:val="none" w:sz="0" w:space="0" w:color="auto"/>
        <w:left w:val="none" w:sz="0" w:space="0" w:color="auto"/>
        <w:bottom w:val="none" w:sz="0" w:space="0" w:color="auto"/>
        <w:right w:val="none" w:sz="0" w:space="0" w:color="auto"/>
      </w:divBdr>
    </w:div>
    <w:div w:id="1174035608">
      <w:bodyDiv w:val="1"/>
      <w:marLeft w:val="0"/>
      <w:marRight w:val="0"/>
      <w:marTop w:val="0"/>
      <w:marBottom w:val="0"/>
      <w:divBdr>
        <w:top w:val="none" w:sz="0" w:space="0" w:color="auto"/>
        <w:left w:val="none" w:sz="0" w:space="0" w:color="auto"/>
        <w:bottom w:val="none" w:sz="0" w:space="0" w:color="auto"/>
        <w:right w:val="none" w:sz="0" w:space="0" w:color="auto"/>
      </w:divBdr>
    </w:div>
    <w:div w:id="1197696140">
      <w:bodyDiv w:val="1"/>
      <w:marLeft w:val="0"/>
      <w:marRight w:val="0"/>
      <w:marTop w:val="0"/>
      <w:marBottom w:val="0"/>
      <w:divBdr>
        <w:top w:val="none" w:sz="0" w:space="0" w:color="auto"/>
        <w:left w:val="none" w:sz="0" w:space="0" w:color="auto"/>
        <w:bottom w:val="none" w:sz="0" w:space="0" w:color="auto"/>
        <w:right w:val="none" w:sz="0" w:space="0" w:color="auto"/>
      </w:divBdr>
      <w:divsChild>
        <w:div w:id="1892958996">
          <w:marLeft w:val="675"/>
          <w:marRight w:val="0"/>
          <w:marTop w:val="0"/>
          <w:marBottom w:val="0"/>
          <w:divBdr>
            <w:top w:val="none" w:sz="0" w:space="0" w:color="auto"/>
            <w:left w:val="none" w:sz="0" w:space="0" w:color="auto"/>
            <w:bottom w:val="none" w:sz="0" w:space="0" w:color="auto"/>
            <w:right w:val="none" w:sz="0" w:space="0" w:color="auto"/>
          </w:divBdr>
        </w:div>
        <w:div w:id="1878808815">
          <w:marLeft w:val="675"/>
          <w:marRight w:val="0"/>
          <w:marTop w:val="0"/>
          <w:marBottom w:val="0"/>
          <w:divBdr>
            <w:top w:val="none" w:sz="0" w:space="0" w:color="auto"/>
            <w:left w:val="none" w:sz="0" w:space="0" w:color="auto"/>
            <w:bottom w:val="none" w:sz="0" w:space="0" w:color="auto"/>
            <w:right w:val="none" w:sz="0" w:space="0" w:color="auto"/>
          </w:divBdr>
        </w:div>
        <w:div w:id="1937789993">
          <w:marLeft w:val="675"/>
          <w:marRight w:val="0"/>
          <w:marTop w:val="0"/>
          <w:marBottom w:val="0"/>
          <w:divBdr>
            <w:top w:val="none" w:sz="0" w:space="0" w:color="auto"/>
            <w:left w:val="none" w:sz="0" w:space="0" w:color="auto"/>
            <w:bottom w:val="none" w:sz="0" w:space="0" w:color="auto"/>
            <w:right w:val="none" w:sz="0" w:space="0" w:color="auto"/>
          </w:divBdr>
        </w:div>
      </w:divsChild>
    </w:div>
    <w:div w:id="1338922163">
      <w:bodyDiv w:val="1"/>
      <w:marLeft w:val="0"/>
      <w:marRight w:val="0"/>
      <w:marTop w:val="0"/>
      <w:marBottom w:val="0"/>
      <w:divBdr>
        <w:top w:val="none" w:sz="0" w:space="0" w:color="auto"/>
        <w:left w:val="none" w:sz="0" w:space="0" w:color="auto"/>
        <w:bottom w:val="none" w:sz="0" w:space="0" w:color="auto"/>
        <w:right w:val="none" w:sz="0" w:space="0" w:color="auto"/>
      </w:divBdr>
    </w:div>
    <w:div w:id="1558584358">
      <w:bodyDiv w:val="1"/>
      <w:marLeft w:val="0"/>
      <w:marRight w:val="0"/>
      <w:marTop w:val="0"/>
      <w:marBottom w:val="0"/>
      <w:divBdr>
        <w:top w:val="none" w:sz="0" w:space="0" w:color="auto"/>
        <w:left w:val="none" w:sz="0" w:space="0" w:color="auto"/>
        <w:bottom w:val="none" w:sz="0" w:space="0" w:color="auto"/>
        <w:right w:val="none" w:sz="0" w:space="0" w:color="auto"/>
      </w:divBdr>
    </w:div>
    <w:div w:id="1658531569">
      <w:bodyDiv w:val="1"/>
      <w:marLeft w:val="0"/>
      <w:marRight w:val="0"/>
      <w:marTop w:val="0"/>
      <w:marBottom w:val="0"/>
      <w:divBdr>
        <w:top w:val="none" w:sz="0" w:space="0" w:color="auto"/>
        <w:left w:val="none" w:sz="0" w:space="0" w:color="auto"/>
        <w:bottom w:val="none" w:sz="0" w:space="0" w:color="auto"/>
        <w:right w:val="none" w:sz="0" w:space="0" w:color="auto"/>
      </w:divBdr>
    </w:div>
    <w:div w:id="1670987435">
      <w:bodyDiv w:val="1"/>
      <w:marLeft w:val="0"/>
      <w:marRight w:val="0"/>
      <w:marTop w:val="0"/>
      <w:marBottom w:val="0"/>
      <w:divBdr>
        <w:top w:val="none" w:sz="0" w:space="0" w:color="auto"/>
        <w:left w:val="none" w:sz="0" w:space="0" w:color="auto"/>
        <w:bottom w:val="none" w:sz="0" w:space="0" w:color="auto"/>
        <w:right w:val="none" w:sz="0" w:space="0" w:color="auto"/>
      </w:divBdr>
    </w:div>
    <w:div w:id="1767656935">
      <w:bodyDiv w:val="1"/>
      <w:marLeft w:val="0"/>
      <w:marRight w:val="0"/>
      <w:marTop w:val="0"/>
      <w:marBottom w:val="0"/>
      <w:divBdr>
        <w:top w:val="none" w:sz="0" w:space="0" w:color="auto"/>
        <w:left w:val="none" w:sz="0" w:space="0" w:color="auto"/>
        <w:bottom w:val="none" w:sz="0" w:space="0" w:color="auto"/>
        <w:right w:val="none" w:sz="0" w:space="0" w:color="auto"/>
      </w:divBdr>
    </w:div>
    <w:div w:id="1782408303">
      <w:bodyDiv w:val="1"/>
      <w:marLeft w:val="0"/>
      <w:marRight w:val="0"/>
      <w:marTop w:val="0"/>
      <w:marBottom w:val="0"/>
      <w:divBdr>
        <w:top w:val="none" w:sz="0" w:space="0" w:color="auto"/>
        <w:left w:val="none" w:sz="0" w:space="0" w:color="auto"/>
        <w:bottom w:val="none" w:sz="0" w:space="0" w:color="auto"/>
        <w:right w:val="none" w:sz="0" w:space="0" w:color="auto"/>
      </w:divBdr>
    </w:div>
    <w:div w:id="1796942867">
      <w:bodyDiv w:val="1"/>
      <w:marLeft w:val="0"/>
      <w:marRight w:val="0"/>
      <w:marTop w:val="0"/>
      <w:marBottom w:val="0"/>
      <w:divBdr>
        <w:top w:val="none" w:sz="0" w:space="0" w:color="auto"/>
        <w:left w:val="none" w:sz="0" w:space="0" w:color="auto"/>
        <w:bottom w:val="none" w:sz="0" w:space="0" w:color="auto"/>
        <w:right w:val="none" w:sz="0" w:space="0" w:color="auto"/>
      </w:divBdr>
      <w:divsChild>
        <w:div w:id="180821449">
          <w:marLeft w:val="0"/>
          <w:marRight w:val="0"/>
          <w:marTop w:val="120"/>
          <w:marBottom w:val="0"/>
          <w:divBdr>
            <w:top w:val="none" w:sz="0" w:space="0" w:color="auto"/>
            <w:left w:val="none" w:sz="0" w:space="0" w:color="auto"/>
            <w:bottom w:val="none" w:sz="0" w:space="0" w:color="auto"/>
            <w:right w:val="none" w:sz="0" w:space="0" w:color="auto"/>
          </w:divBdr>
        </w:div>
        <w:div w:id="1104307864">
          <w:marLeft w:val="0"/>
          <w:marRight w:val="0"/>
          <w:marTop w:val="60"/>
          <w:marBottom w:val="0"/>
          <w:divBdr>
            <w:top w:val="none" w:sz="0" w:space="0" w:color="auto"/>
            <w:left w:val="none" w:sz="0" w:space="0" w:color="auto"/>
            <w:bottom w:val="none" w:sz="0" w:space="0" w:color="auto"/>
            <w:right w:val="none" w:sz="0" w:space="0" w:color="auto"/>
          </w:divBdr>
        </w:div>
      </w:divsChild>
    </w:div>
    <w:div w:id="193987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app.jutastatevolve.co.za/y1973v1SApg418" TargetMode="External"/><Relationship Id="rId1" Type="http://schemas.openxmlformats.org/officeDocument/2006/relationships/hyperlink" Target="https://app.jutastatevolve.co.za/y1958v2SApg45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Judgment%20Ac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9CFFD-7AC8-40E1-839A-D32E5E8E7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Acting.dotx</Template>
  <TotalTime>0</TotalTime>
  <Pages>10</Pages>
  <Words>1666</Words>
  <Characters>9498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JUDGMENT</vt:lpstr>
    </vt:vector>
  </TitlesOfParts>
  <Company>Group21</Company>
  <LinksUpToDate>false</LinksUpToDate>
  <CharactersWithSpaces>11142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dc:title>
  <dc:creator>JR TYPING SERVICES</dc:creator>
  <cp:keywords>JOHAN MOORCROFT</cp:keywords>
  <cp:lastModifiedBy>sathish sarshan  mohan</cp:lastModifiedBy>
  <cp:revision>3</cp:revision>
  <cp:lastPrinted>2023-08-20T16:33:00Z</cp:lastPrinted>
  <dcterms:created xsi:type="dcterms:W3CDTF">2024-04-24T09:00:00Z</dcterms:created>
  <dcterms:modified xsi:type="dcterms:W3CDTF">2024-04-26T18:21:00Z</dcterms:modified>
</cp:coreProperties>
</file>