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7EA" w:rsidRDefault="00AB67EA" w:rsidP="00AB67EA">
      <w:pPr>
        <w:pStyle w:val="LegalTitle"/>
        <w:spacing w:after="120" w:line="360" w:lineRule="auto"/>
        <w:rPr>
          <w:u w:val="single"/>
        </w:rPr>
      </w:pPr>
      <w:r>
        <w:rPr>
          <w:u w:val="single"/>
        </w:rPr>
        <w:t>REPUBLIC OF SOUTH AFRICA</w:t>
      </w:r>
    </w:p>
    <w:p w:rsidR="000C3AF7" w:rsidRPr="000C3AF7" w:rsidRDefault="00E30837" w:rsidP="00027B5A">
      <w:pPr>
        <w:pStyle w:val="LegalNormal"/>
        <w:spacing w:after="0" w:line="360" w:lineRule="auto"/>
        <w:jc w:val="center"/>
      </w:pPr>
      <w:r>
        <w:rPr>
          <w:noProof/>
          <w:lang w:val="en-US" w:eastAsia="en-US"/>
        </w:rPr>
        <w:drawing>
          <wp:inline distT="0" distB="0" distL="0" distR="0" wp14:anchorId="7D78611B" wp14:editId="0E32487D">
            <wp:extent cx="1533525" cy="1533525"/>
            <wp:effectExtent l="0" t="0" r="9525" b="9525"/>
            <wp:docPr id="3" name="Picture 3" descr="cid:image001.png@01D0BF16.DA35A980"/>
            <wp:cNvGraphicFramePr/>
            <a:graphic xmlns:a="http://schemas.openxmlformats.org/drawingml/2006/main">
              <a:graphicData uri="http://schemas.openxmlformats.org/drawingml/2006/picture">
                <pic:pic xmlns:pic="http://schemas.openxmlformats.org/drawingml/2006/picture">
                  <pic:nvPicPr>
                    <pic:cNvPr id="1" name="Picture 1" descr="cid:image001.png@01D0BF16.DA35A98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inline>
        </w:drawing>
      </w:r>
    </w:p>
    <w:p w:rsidR="00781994" w:rsidRDefault="00781994" w:rsidP="00655628">
      <w:pPr>
        <w:pStyle w:val="LegalTitle"/>
        <w:spacing w:after="0" w:line="360" w:lineRule="auto"/>
        <w:rPr>
          <w:u w:val="single"/>
        </w:rPr>
      </w:pPr>
      <w:r>
        <w:rPr>
          <w:u w:val="single"/>
        </w:rPr>
        <w:t>IN THE HIGH COURT OF SOUTH AFRICA</w:t>
      </w:r>
    </w:p>
    <w:p w:rsidR="00520591" w:rsidRPr="00520591" w:rsidRDefault="000C3AF7" w:rsidP="00520591">
      <w:pPr>
        <w:pStyle w:val="LegalTitle"/>
        <w:rPr>
          <w:u w:val="single"/>
        </w:rPr>
      </w:pPr>
      <w:r w:rsidRPr="00C51D56">
        <w:rPr>
          <w:rFonts w:eastAsiaTheme="minorEastAsia"/>
          <w:noProof/>
          <w:lang w:val="en-US" w:eastAsia="en-US"/>
        </w:rPr>
        <mc:AlternateContent>
          <mc:Choice Requires="wps">
            <w:drawing>
              <wp:anchor distT="0" distB="0" distL="114300" distR="114300" simplePos="0" relativeHeight="251661312" behindDoc="0" locked="0" layoutInCell="1" allowOverlap="1" wp14:anchorId="55190B56" wp14:editId="3CD4B3D7">
                <wp:simplePos x="0" y="0"/>
                <wp:positionH relativeFrom="column">
                  <wp:posOffset>-51435</wp:posOffset>
                </wp:positionH>
                <wp:positionV relativeFrom="paragraph">
                  <wp:posOffset>274320</wp:posOffset>
                </wp:positionV>
                <wp:extent cx="3810000" cy="9239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923925"/>
                        </a:xfrm>
                        <a:prstGeom prst="rect">
                          <a:avLst/>
                        </a:prstGeom>
                        <a:solidFill>
                          <a:srgbClr val="FFFFFF"/>
                        </a:solidFill>
                        <a:ln w="9525">
                          <a:solidFill>
                            <a:srgbClr val="000000"/>
                          </a:solidFill>
                          <a:miter lim="800000"/>
                          <a:headEnd/>
                          <a:tailEnd/>
                        </a:ln>
                      </wps:spPr>
                      <wps:txbx>
                        <w:txbxContent>
                          <w:p w:rsidR="00236346" w:rsidRPr="0038792A" w:rsidRDefault="005A58C4" w:rsidP="005A58C4">
                            <w:pPr>
                              <w:tabs>
                                <w:tab w:val="left" w:pos="900"/>
                              </w:tabs>
                              <w:suppressAutoHyphens w:val="0"/>
                              <w:ind w:left="900" w:hanging="720"/>
                              <w:rPr>
                                <w:rFonts w:ascii="Century Gothic" w:hAnsi="Century Gothic"/>
                                <w:sz w:val="20"/>
                                <w:szCs w:val="20"/>
                              </w:rPr>
                            </w:pPr>
                            <w:r w:rsidRPr="0038792A">
                              <w:rPr>
                                <w:rFonts w:ascii="Century Gothic" w:hAnsi="Century Gothic"/>
                                <w:sz w:val="20"/>
                                <w:szCs w:val="20"/>
                              </w:rPr>
                              <w:t>(1)</w:t>
                            </w:r>
                            <w:r w:rsidRPr="0038792A">
                              <w:rPr>
                                <w:rFonts w:ascii="Century Gothic" w:hAnsi="Century Gothic"/>
                                <w:sz w:val="20"/>
                                <w:szCs w:val="20"/>
                              </w:rPr>
                              <w:tab/>
                            </w:r>
                            <w:r w:rsidR="00236346">
                              <w:rPr>
                                <w:rFonts w:ascii="Century Gothic" w:hAnsi="Century Gothic"/>
                                <w:sz w:val="20"/>
                                <w:szCs w:val="20"/>
                              </w:rPr>
                              <w:t xml:space="preserve">REPORTABLE: </w:t>
                            </w:r>
                            <w:r w:rsidR="00236346" w:rsidRPr="008C535C">
                              <w:rPr>
                                <w:rFonts w:ascii="Century Gothic" w:hAnsi="Century Gothic"/>
                                <w:b/>
                                <w:i/>
                                <w:sz w:val="20"/>
                                <w:szCs w:val="20"/>
                              </w:rPr>
                              <w:t>NO</w:t>
                            </w:r>
                          </w:p>
                          <w:p w:rsidR="00236346" w:rsidRPr="0038792A" w:rsidRDefault="005A58C4" w:rsidP="005A58C4">
                            <w:pPr>
                              <w:tabs>
                                <w:tab w:val="left" w:pos="900"/>
                              </w:tabs>
                              <w:suppressAutoHyphens w:val="0"/>
                              <w:ind w:left="900" w:hanging="720"/>
                              <w:rPr>
                                <w:rFonts w:ascii="Century Gothic" w:hAnsi="Century Gothic"/>
                                <w:sz w:val="20"/>
                                <w:szCs w:val="20"/>
                              </w:rPr>
                            </w:pPr>
                            <w:r w:rsidRPr="0038792A">
                              <w:rPr>
                                <w:rFonts w:ascii="Century Gothic" w:hAnsi="Century Gothic"/>
                                <w:sz w:val="20"/>
                                <w:szCs w:val="20"/>
                              </w:rPr>
                              <w:t>(2)</w:t>
                            </w:r>
                            <w:r w:rsidRPr="0038792A">
                              <w:rPr>
                                <w:rFonts w:ascii="Century Gothic" w:hAnsi="Century Gothic"/>
                                <w:sz w:val="20"/>
                                <w:szCs w:val="20"/>
                              </w:rPr>
                              <w:tab/>
                            </w:r>
                            <w:r w:rsidR="00236346" w:rsidRPr="0038792A">
                              <w:rPr>
                                <w:rFonts w:ascii="Century Gothic" w:hAnsi="Century Gothic"/>
                                <w:sz w:val="20"/>
                                <w:szCs w:val="20"/>
                              </w:rPr>
                              <w:t xml:space="preserve">OF </w:t>
                            </w:r>
                            <w:r w:rsidR="00236346">
                              <w:rPr>
                                <w:rFonts w:ascii="Century Gothic" w:hAnsi="Century Gothic"/>
                                <w:sz w:val="20"/>
                                <w:szCs w:val="20"/>
                              </w:rPr>
                              <w:t xml:space="preserve">INTEREST TO OTHER JUDGES: </w:t>
                            </w:r>
                            <w:r w:rsidR="00236346" w:rsidRPr="008C535C">
                              <w:rPr>
                                <w:rFonts w:ascii="Century Gothic" w:hAnsi="Century Gothic"/>
                                <w:b/>
                                <w:i/>
                                <w:sz w:val="20"/>
                                <w:szCs w:val="20"/>
                              </w:rPr>
                              <w:t>NO</w:t>
                            </w:r>
                          </w:p>
                          <w:p w:rsidR="00236346" w:rsidRPr="0038792A" w:rsidRDefault="005A58C4" w:rsidP="005A58C4">
                            <w:pPr>
                              <w:tabs>
                                <w:tab w:val="left" w:pos="900"/>
                              </w:tabs>
                              <w:suppressAutoHyphens w:val="0"/>
                              <w:spacing w:after="240"/>
                              <w:ind w:left="901" w:hanging="720"/>
                              <w:rPr>
                                <w:rFonts w:ascii="Century Gothic" w:hAnsi="Century Gothic"/>
                                <w:sz w:val="20"/>
                                <w:szCs w:val="20"/>
                              </w:rPr>
                            </w:pPr>
                            <w:r w:rsidRPr="0038792A">
                              <w:rPr>
                                <w:rFonts w:ascii="Century Gothic" w:hAnsi="Century Gothic"/>
                                <w:sz w:val="20"/>
                                <w:szCs w:val="20"/>
                              </w:rPr>
                              <w:t>(3)</w:t>
                            </w:r>
                            <w:r w:rsidRPr="0038792A">
                              <w:rPr>
                                <w:rFonts w:ascii="Century Gothic" w:hAnsi="Century Gothic"/>
                                <w:sz w:val="20"/>
                                <w:szCs w:val="20"/>
                              </w:rPr>
                              <w:tab/>
                            </w:r>
                            <w:r w:rsidR="00236346" w:rsidRPr="0038792A">
                              <w:rPr>
                                <w:rFonts w:ascii="Century Gothic" w:hAnsi="Century Gothic"/>
                                <w:sz w:val="20"/>
                                <w:szCs w:val="20"/>
                              </w:rPr>
                              <w:t xml:space="preserve">REVISED: </w:t>
                            </w:r>
                          </w:p>
                          <w:p w:rsidR="00236346" w:rsidRPr="00B93709" w:rsidRDefault="00236346" w:rsidP="000C3AF7">
                            <w:pPr>
                              <w:rPr>
                                <w:rFonts w:ascii="Century Gothic" w:hAnsi="Century Gothic"/>
                                <w:sz w:val="18"/>
                                <w:szCs w:val="18"/>
                              </w:rPr>
                            </w:pPr>
                            <w:r>
                              <w:rPr>
                                <w:rFonts w:ascii="Century Gothic" w:hAnsi="Century Gothic"/>
                                <w:sz w:val="22"/>
                                <w:szCs w:val="22"/>
                              </w:rPr>
                              <w:t xml:space="preserve">Date: </w:t>
                            </w:r>
                            <w:r w:rsidR="00E712DC">
                              <w:rPr>
                                <w:rFonts w:ascii="Century Gothic" w:hAnsi="Century Gothic"/>
                                <w:b/>
                                <w:i/>
                                <w:sz w:val="22"/>
                                <w:szCs w:val="22"/>
                                <w:u w:val="single"/>
                              </w:rPr>
                              <w:t>6</w:t>
                            </w:r>
                            <w:r w:rsidR="00E712DC" w:rsidRPr="00E712DC">
                              <w:rPr>
                                <w:rFonts w:ascii="Century Gothic" w:hAnsi="Century Gothic"/>
                                <w:b/>
                                <w:i/>
                                <w:sz w:val="22"/>
                                <w:szCs w:val="22"/>
                                <w:u w:val="single"/>
                                <w:vertAlign w:val="superscript"/>
                              </w:rPr>
                              <w:t>th</w:t>
                            </w:r>
                            <w:r w:rsidR="00E712DC">
                              <w:rPr>
                                <w:rFonts w:ascii="Century Gothic" w:hAnsi="Century Gothic"/>
                                <w:b/>
                                <w:i/>
                                <w:sz w:val="22"/>
                                <w:szCs w:val="22"/>
                                <w:u w:val="single"/>
                              </w:rPr>
                              <w:t xml:space="preserve"> </w:t>
                            </w:r>
                            <w:r w:rsidR="003B47B7">
                              <w:rPr>
                                <w:rFonts w:ascii="Century Gothic" w:hAnsi="Century Gothic"/>
                                <w:b/>
                                <w:i/>
                                <w:sz w:val="22"/>
                                <w:szCs w:val="22"/>
                                <w:u w:val="single"/>
                              </w:rPr>
                              <w:t>March</w:t>
                            </w:r>
                            <w:r>
                              <w:rPr>
                                <w:rFonts w:ascii="Century Gothic" w:hAnsi="Century Gothic"/>
                                <w:b/>
                                <w:i/>
                                <w:sz w:val="22"/>
                                <w:szCs w:val="22"/>
                                <w:u w:val="single"/>
                              </w:rPr>
                              <w:t xml:space="preserve"> 202</w:t>
                            </w:r>
                            <w:r w:rsidR="003B47B7">
                              <w:rPr>
                                <w:rFonts w:ascii="Century Gothic" w:hAnsi="Century Gothic"/>
                                <w:b/>
                                <w:i/>
                                <w:sz w:val="22"/>
                                <w:szCs w:val="22"/>
                                <w:u w:val="single"/>
                              </w:rPr>
                              <w:t>3</w:t>
                            </w:r>
                            <w:r>
                              <w:rPr>
                                <w:rFonts w:ascii="Century Gothic" w:hAnsi="Century Gothic"/>
                                <w:sz w:val="22"/>
                                <w:szCs w:val="22"/>
                              </w:rPr>
                              <w:t xml:space="preserve"> Signature: </w:t>
                            </w:r>
                            <w:r w:rsidR="002D5770">
                              <w:rPr>
                                <w:rFonts w:ascii="Century Gothic" w:hAnsi="Century Gothic"/>
                                <w:b/>
                                <w:i/>
                                <w:sz w:val="22"/>
                                <w:szCs w:val="22"/>
                                <w:u w:val="single"/>
                              </w:rPr>
                              <w:t>_______</w:t>
                            </w:r>
                            <w:r w:rsidR="00955957">
                              <w:rPr>
                                <w:rFonts w:ascii="Century Gothic" w:hAnsi="Century Gothic"/>
                                <w:b/>
                                <w:i/>
                                <w:sz w:val="22"/>
                                <w:szCs w:val="22"/>
                                <w:u w:val="single"/>
                              </w:rPr>
                              <w:t>__</w:t>
                            </w:r>
                            <w:r w:rsidR="003B47B7">
                              <w:rPr>
                                <w:rFonts w:ascii="Century Gothic" w:hAnsi="Century Gothic"/>
                                <w:b/>
                                <w:i/>
                                <w:sz w:val="22"/>
                                <w:szCs w:val="22"/>
                                <w:u w:val="single"/>
                              </w:rPr>
                              <w:t>__</w:t>
                            </w:r>
                            <w:r w:rsidR="00955957">
                              <w:rPr>
                                <w:rFonts w:ascii="Century Gothic" w:hAnsi="Century Gothic"/>
                                <w:b/>
                                <w:i/>
                                <w:sz w:val="22"/>
                                <w:szCs w:val="22"/>
                                <w:u w:val="single"/>
                              </w:rPr>
                              <w:t>_</w:t>
                            </w:r>
                            <w:r w:rsidR="002D5770">
                              <w:rPr>
                                <w:rFonts w:ascii="Century Gothic" w:hAnsi="Century Gothic"/>
                                <w:b/>
                                <w:i/>
                                <w:sz w:val="22"/>
                                <w:szCs w:val="22"/>
                                <w:u w:val="single"/>
                              </w:rPr>
                              <w:t>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190B56" id="_x0000_t202" coordsize="21600,21600" o:spt="202" path="m,l,21600r21600,l21600,xe">
                <v:stroke joinstyle="miter"/>
                <v:path gradientshapeok="t" o:connecttype="rect"/>
              </v:shapetype>
              <v:shape id="Text Box 1" o:spid="_x0000_s1026" type="#_x0000_t202" style="position:absolute;left:0;text-align:left;margin-left:-4.05pt;margin-top:21.6pt;width:300pt;height:7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">
                <v:textbox>
                  <w:txbxContent>
                    <w:p w:rsidR="00236346" w:rsidRPr="0038792A" w:rsidRDefault="005A58C4" w:rsidP="005A58C4">
                      <w:pPr>
                        <w:tabs>
                          <w:tab w:val="left" w:pos="900"/>
                        </w:tabs>
                        <w:suppressAutoHyphens w:val="0"/>
                        <w:ind w:left="900" w:hanging="720"/>
                        <w:rPr>
                          <w:rFonts w:ascii="Century Gothic" w:hAnsi="Century Gothic"/>
                          <w:sz w:val="20"/>
                          <w:szCs w:val="20"/>
                        </w:rPr>
                      </w:pPr>
                      <w:r w:rsidRPr="0038792A">
                        <w:rPr>
                          <w:rFonts w:ascii="Century Gothic" w:hAnsi="Century Gothic"/>
                          <w:sz w:val="20"/>
                          <w:szCs w:val="20"/>
                        </w:rPr>
                        <w:t>(1)</w:t>
                      </w:r>
                      <w:r w:rsidRPr="0038792A">
                        <w:rPr>
                          <w:rFonts w:ascii="Century Gothic" w:hAnsi="Century Gothic"/>
                          <w:sz w:val="20"/>
                          <w:szCs w:val="20"/>
                        </w:rPr>
                        <w:tab/>
                      </w:r>
                      <w:r w:rsidR="00236346">
                        <w:rPr>
                          <w:rFonts w:ascii="Century Gothic" w:hAnsi="Century Gothic"/>
                          <w:sz w:val="20"/>
                          <w:szCs w:val="20"/>
                        </w:rPr>
                        <w:t xml:space="preserve">REPORTABLE: </w:t>
                      </w:r>
                      <w:r w:rsidR="00236346" w:rsidRPr="008C535C">
                        <w:rPr>
                          <w:rFonts w:ascii="Century Gothic" w:hAnsi="Century Gothic"/>
                          <w:b/>
                          <w:i/>
                          <w:sz w:val="20"/>
                          <w:szCs w:val="20"/>
                        </w:rPr>
                        <w:t>NO</w:t>
                      </w:r>
                    </w:p>
                    <w:p w:rsidR="00236346" w:rsidRPr="0038792A" w:rsidRDefault="005A58C4" w:rsidP="005A58C4">
                      <w:pPr>
                        <w:tabs>
                          <w:tab w:val="left" w:pos="900"/>
                        </w:tabs>
                        <w:suppressAutoHyphens w:val="0"/>
                        <w:ind w:left="900" w:hanging="720"/>
                        <w:rPr>
                          <w:rFonts w:ascii="Century Gothic" w:hAnsi="Century Gothic"/>
                          <w:sz w:val="20"/>
                          <w:szCs w:val="20"/>
                        </w:rPr>
                      </w:pPr>
                      <w:r w:rsidRPr="0038792A">
                        <w:rPr>
                          <w:rFonts w:ascii="Century Gothic" w:hAnsi="Century Gothic"/>
                          <w:sz w:val="20"/>
                          <w:szCs w:val="20"/>
                        </w:rPr>
                        <w:t>(2)</w:t>
                      </w:r>
                      <w:r w:rsidRPr="0038792A">
                        <w:rPr>
                          <w:rFonts w:ascii="Century Gothic" w:hAnsi="Century Gothic"/>
                          <w:sz w:val="20"/>
                          <w:szCs w:val="20"/>
                        </w:rPr>
                        <w:tab/>
                      </w:r>
                      <w:r w:rsidR="00236346" w:rsidRPr="0038792A">
                        <w:rPr>
                          <w:rFonts w:ascii="Century Gothic" w:hAnsi="Century Gothic"/>
                          <w:sz w:val="20"/>
                          <w:szCs w:val="20"/>
                        </w:rPr>
                        <w:t xml:space="preserve">OF </w:t>
                      </w:r>
                      <w:r w:rsidR="00236346">
                        <w:rPr>
                          <w:rFonts w:ascii="Century Gothic" w:hAnsi="Century Gothic"/>
                          <w:sz w:val="20"/>
                          <w:szCs w:val="20"/>
                        </w:rPr>
                        <w:t xml:space="preserve">INTEREST TO OTHER JUDGES: </w:t>
                      </w:r>
                      <w:r w:rsidR="00236346" w:rsidRPr="008C535C">
                        <w:rPr>
                          <w:rFonts w:ascii="Century Gothic" w:hAnsi="Century Gothic"/>
                          <w:b/>
                          <w:i/>
                          <w:sz w:val="20"/>
                          <w:szCs w:val="20"/>
                        </w:rPr>
                        <w:t>NO</w:t>
                      </w:r>
                    </w:p>
                    <w:p w:rsidR="00236346" w:rsidRPr="0038792A" w:rsidRDefault="005A58C4" w:rsidP="005A58C4">
                      <w:pPr>
                        <w:tabs>
                          <w:tab w:val="left" w:pos="900"/>
                        </w:tabs>
                        <w:suppressAutoHyphens w:val="0"/>
                        <w:spacing w:after="240"/>
                        <w:ind w:left="901" w:hanging="720"/>
                        <w:rPr>
                          <w:rFonts w:ascii="Century Gothic" w:hAnsi="Century Gothic"/>
                          <w:sz w:val="20"/>
                          <w:szCs w:val="20"/>
                        </w:rPr>
                      </w:pPr>
                      <w:r w:rsidRPr="0038792A">
                        <w:rPr>
                          <w:rFonts w:ascii="Century Gothic" w:hAnsi="Century Gothic"/>
                          <w:sz w:val="20"/>
                          <w:szCs w:val="20"/>
                        </w:rPr>
                        <w:t>(3)</w:t>
                      </w:r>
                      <w:r w:rsidRPr="0038792A">
                        <w:rPr>
                          <w:rFonts w:ascii="Century Gothic" w:hAnsi="Century Gothic"/>
                          <w:sz w:val="20"/>
                          <w:szCs w:val="20"/>
                        </w:rPr>
                        <w:tab/>
                      </w:r>
                      <w:r w:rsidR="00236346" w:rsidRPr="0038792A">
                        <w:rPr>
                          <w:rFonts w:ascii="Century Gothic" w:hAnsi="Century Gothic"/>
                          <w:sz w:val="20"/>
                          <w:szCs w:val="20"/>
                        </w:rPr>
                        <w:t xml:space="preserve">REVISED: </w:t>
                      </w:r>
                    </w:p>
                    <w:p w:rsidR="00236346" w:rsidRPr="00B93709" w:rsidRDefault="00236346" w:rsidP="000C3AF7">
                      <w:pPr>
                        <w:rPr>
                          <w:rFonts w:ascii="Century Gothic" w:hAnsi="Century Gothic"/>
                          <w:sz w:val="18"/>
                          <w:szCs w:val="18"/>
                        </w:rPr>
                      </w:pPr>
                      <w:r>
                        <w:rPr>
                          <w:rFonts w:ascii="Century Gothic" w:hAnsi="Century Gothic"/>
                          <w:sz w:val="22"/>
                          <w:szCs w:val="22"/>
                        </w:rPr>
                        <w:t xml:space="preserve">Date: </w:t>
                      </w:r>
                      <w:r w:rsidR="00E712DC">
                        <w:rPr>
                          <w:rFonts w:ascii="Century Gothic" w:hAnsi="Century Gothic"/>
                          <w:b/>
                          <w:i/>
                          <w:sz w:val="22"/>
                          <w:szCs w:val="22"/>
                          <w:u w:val="single"/>
                        </w:rPr>
                        <w:t>6</w:t>
                      </w:r>
                      <w:r w:rsidR="00E712DC" w:rsidRPr="00E712DC">
                        <w:rPr>
                          <w:rFonts w:ascii="Century Gothic" w:hAnsi="Century Gothic"/>
                          <w:b/>
                          <w:i/>
                          <w:sz w:val="22"/>
                          <w:szCs w:val="22"/>
                          <w:u w:val="single"/>
                          <w:vertAlign w:val="superscript"/>
                        </w:rPr>
                        <w:t>th</w:t>
                      </w:r>
                      <w:r w:rsidR="00E712DC">
                        <w:rPr>
                          <w:rFonts w:ascii="Century Gothic" w:hAnsi="Century Gothic"/>
                          <w:b/>
                          <w:i/>
                          <w:sz w:val="22"/>
                          <w:szCs w:val="22"/>
                          <w:u w:val="single"/>
                        </w:rPr>
                        <w:t xml:space="preserve"> </w:t>
                      </w:r>
                      <w:r w:rsidR="003B47B7">
                        <w:rPr>
                          <w:rFonts w:ascii="Century Gothic" w:hAnsi="Century Gothic"/>
                          <w:b/>
                          <w:i/>
                          <w:sz w:val="22"/>
                          <w:szCs w:val="22"/>
                          <w:u w:val="single"/>
                        </w:rPr>
                        <w:t>March</w:t>
                      </w:r>
                      <w:r>
                        <w:rPr>
                          <w:rFonts w:ascii="Century Gothic" w:hAnsi="Century Gothic"/>
                          <w:b/>
                          <w:i/>
                          <w:sz w:val="22"/>
                          <w:szCs w:val="22"/>
                          <w:u w:val="single"/>
                        </w:rPr>
                        <w:t xml:space="preserve"> 202</w:t>
                      </w:r>
                      <w:r w:rsidR="003B47B7">
                        <w:rPr>
                          <w:rFonts w:ascii="Century Gothic" w:hAnsi="Century Gothic"/>
                          <w:b/>
                          <w:i/>
                          <w:sz w:val="22"/>
                          <w:szCs w:val="22"/>
                          <w:u w:val="single"/>
                        </w:rPr>
                        <w:t>3</w:t>
                      </w:r>
                      <w:r>
                        <w:rPr>
                          <w:rFonts w:ascii="Century Gothic" w:hAnsi="Century Gothic"/>
                          <w:sz w:val="22"/>
                          <w:szCs w:val="22"/>
                        </w:rPr>
                        <w:t xml:space="preserve"> Signature: </w:t>
                      </w:r>
                      <w:r w:rsidR="002D5770">
                        <w:rPr>
                          <w:rFonts w:ascii="Century Gothic" w:hAnsi="Century Gothic"/>
                          <w:b/>
                          <w:i/>
                          <w:sz w:val="22"/>
                          <w:szCs w:val="22"/>
                          <w:u w:val="single"/>
                        </w:rPr>
                        <w:t>_______</w:t>
                      </w:r>
                      <w:r w:rsidR="00955957">
                        <w:rPr>
                          <w:rFonts w:ascii="Century Gothic" w:hAnsi="Century Gothic"/>
                          <w:b/>
                          <w:i/>
                          <w:sz w:val="22"/>
                          <w:szCs w:val="22"/>
                          <w:u w:val="single"/>
                        </w:rPr>
                        <w:t>__</w:t>
                      </w:r>
                      <w:r w:rsidR="003B47B7">
                        <w:rPr>
                          <w:rFonts w:ascii="Century Gothic" w:hAnsi="Century Gothic"/>
                          <w:b/>
                          <w:i/>
                          <w:sz w:val="22"/>
                          <w:szCs w:val="22"/>
                          <w:u w:val="single"/>
                        </w:rPr>
                        <w:t>__</w:t>
                      </w:r>
                      <w:r w:rsidR="00955957">
                        <w:rPr>
                          <w:rFonts w:ascii="Century Gothic" w:hAnsi="Century Gothic"/>
                          <w:b/>
                          <w:i/>
                          <w:sz w:val="22"/>
                          <w:szCs w:val="22"/>
                          <w:u w:val="single"/>
                        </w:rPr>
                        <w:t>_</w:t>
                      </w:r>
                      <w:r w:rsidR="002D5770">
                        <w:rPr>
                          <w:rFonts w:ascii="Century Gothic" w:hAnsi="Century Gothic"/>
                          <w:b/>
                          <w:i/>
                          <w:sz w:val="22"/>
                          <w:szCs w:val="22"/>
                          <w:u w:val="single"/>
                        </w:rPr>
                        <w:t>________</w:t>
                      </w:r>
                    </w:p>
                  </w:txbxContent>
                </v:textbox>
              </v:shape>
            </w:pict>
          </mc:Fallback>
        </mc:AlternateContent>
      </w:r>
      <w:r w:rsidR="00520591" w:rsidRPr="00520591">
        <w:rPr>
          <w:u w:val="single"/>
        </w:rPr>
        <w:t xml:space="preserve">GAUTENG DIVISION, </w:t>
      </w:r>
      <w:r w:rsidR="00027B5A">
        <w:rPr>
          <w:u w:val="single"/>
        </w:rPr>
        <w:t>JOHANNESBURG</w:t>
      </w:r>
    </w:p>
    <w:p w:rsidR="00781994" w:rsidRDefault="00781994" w:rsidP="00592459">
      <w:pPr>
        <w:pStyle w:val="LegalAnnexure"/>
        <w:spacing w:after="480"/>
        <w:rPr>
          <w:u w:val="single"/>
        </w:rPr>
      </w:pPr>
    </w:p>
    <w:p w:rsidR="009314F3" w:rsidRDefault="009314F3" w:rsidP="00027B5A">
      <w:pPr>
        <w:pStyle w:val="LegalAnnexure"/>
        <w:spacing w:after="0" w:line="360" w:lineRule="auto"/>
      </w:pPr>
      <w:r w:rsidRPr="00A84826">
        <w:rPr>
          <w:u w:val="single"/>
        </w:rPr>
        <w:t>CASE NO</w:t>
      </w:r>
      <w:r w:rsidRPr="0080126D">
        <w:t>:</w:t>
      </w:r>
      <w:r w:rsidR="00F86558">
        <w:t xml:space="preserve"> </w:t>
      </w:r>
      <w:r w:rsidR="003B47B7">
        <w:rPr>
          <w:b w:val="0"/>
        </w:rPr>
        <w:t>5974</w:t>
      </w:r>
      <w:r w:rsidR="00F86558" w:rsidRPr="004E00FA">
        <w:rPr>
          <w:b w:val="0"/>
        </w:rPr>
        <w:t>/</w:t>
      </w:r>
      <w:r w:rsidR="00F94A41">
        <w:rPr>
          <w:b w:val="0"/>
        </w:rPr>
        <w:t>20</w:t>
      </w:r>
      <w:r w:rsidR="00955957">
        <w:rPr>
          <w:b w:val="0"/>
        </w:rPr>
        <w:t>2</w:t>
      </w:r>
      <w:r w:rsidR="003B47B7">
        <w:rPr>
          <w:b w:val="0"/>
        </w:rPr>
        <w:t>2</w:t>
      </w:r>
    </w:p>
    <w:p w:rsidR="004E00FA" w:rsidRDefault="004E00FA" w:rsidP="004E00FA">
      <w:pPr>
        <w:pStyle w:val="LegalAnnexure"/>
        <w:spacing w:after="0" w:line="360" w:lineRule="auto"/>
      </w:pPr>
      <w:r>
        <w:rPr>
          <w:u w:val="single"/>
        </w:rPr>
        <w:t>DATE</w:t>
      </w:r>
      <w:r w:rsidRPr="0080126D">
        <w:t>:</w:t>
      </w:r>
      <w:r>
        <w:t xml:space="preserve"> </w:t>
      </w:r>
      <w:r w:rsidR="00E712DC">
        <w:rPr>
          <w:b w:val="0"/>
        </w:rPr>
        <w:t>6</w:t>
      </w:r>
      <w:r w:rsidR="00E712DC" w:rsidRPr="00E712DC">
        <w:rPr>
          <w:b w:val="0"/>
          <w:vertAlign w:val="superscript"/>
        </w:rPr>
        <w:t>th</w:t>
      </w:r>
      <w:r w:rsidR="00E712DC">
        <w:rPr>
          <w:b w:val="0"/>
        </w:rPr>
        <w:t xml:space="preserve"> </w:t>
      </w:r>
      <w:r w:rsidR="003B47B7">
        <w:rPr>
          <w:b w:val="0"/>
        </w:rPr>
        <w:t>march</w:t>
      </w:r>
      <w:r w:rsidR="00592459">
        <w:rPr>
          <w:b w:val="0"/>
        </w:rPr>
        <w:t xml:space="preserve"> </w:t>
      </w:r>
      <w:r w:rsidR="0062393B">
        <w:rPr>
          <w:b w:val="0"/>
        </w:rPr>
        <w:t>20</w:t>
      </w:r>
      <w:r w:rsidR="00BE3209">
        <w:rPr>
          <w:b w:val="0"/>
        </w:rPr>
        <w:t>2</w:t>
      </w:r>
      <w:r w:rsidR="003B47B7">
        <w:rPr>
          <w:b w:val="0"/>
        </w:rPr>
        <w:t>3</w:t>
      </w:r>
    </w:p>
    <w:p w:rsidR="009314F3" w:rsidRPr="00A84826" w:rsidRDefault="009314F3" w:rsidP="0006059E">
      <w:pPr>
        <w:pStyle w:val="LegalNormal"/>
        <w:spacing w:after="120" w:line="360" w:lineRule="auto"/>
      </w:pPr>
      <w:r w:rsidRPr="00A84826">
        <w:t>In the matter between:</w:t>
      </w:r>
    </w:p>
    <w:p w:rsidR="00027B5A" w:rsidRDefault="003B47B7" w:rsidP="00955957">
      <w:pPr>
        <w:pStyle w:val="LegalPlainDef"/>
        <w:spacing w:after="120" w:line="360" w:lineRule="auto"/>
      </w:pPr>
      <w:r>
        <w:rPr>
          <w:b/>
        </w:rPr>
        <w:t>INTELLO CAPITAL CC</w:t>
      </w:r>
      <w:r w:rsidR="00F94A41">
        <w:rPr>
          <w:b/>
        </w:rPr>
        <w:t xml:space="preserve"> </w:t>
      </w:r>
      <w:r w:rsidR="00027B5A">
        <w:rPr>
          <w:b/>
        </w:rPr>
        <w:tab/>
      </w:r>
      <w:r w:rsidR="002D5770">
        <w:t>A</w:t>
      </w:r>
      <w:r w:rsidR="00027B5A">
        <w:t>pplicant</w:t>
      </w:r>
    </w:p>
    <w:p w:rsidR="009314F3" w:rsidRPr="00A84826" w:rsidRDefault="009314F3" w:rsidP="0006059E">
      <w:pPr>
        <w:pStyle w:val="LegalNormal"/>
        <w:spacing w:after="120" w:line="360" w:lineRule="auto"/>
      </w:pPr>
      <w:r w:rsidRPr="00A84826">
        <w:t>and</w:t>
      </w:r>
    </w:p>
    <w:p w:rsidR="007D4738" w:rsidRDefault="003B47B7" w:rsidP="00123792">
      <w:pPr>
        <w:pStyle w:val="LegalPlainDef"/>
        <w:spacing w:after="240" w:line="360" w:lineRule="auto"/>
      </w:pPr>
      <w:r>
        <w:rPr>
          <w:b/>
          <w:bCs/>
          <w:lang w:val="en-US"/>
        </w:rPr>
        <w:t>SIGGE MANAGED SOLUTIONS (PTY) LIMITED</w:t>
      </w:r>
      <w:r w:rsidR="007D4738" w:rsidRPr="00DE6787">
        <w:rPr>
          <w:b/>
        </w:rPr>
        <w:tab/>
      </w:r>
      <w:r w:rsidR="0006059E">
        <w:t>R</w:t>
      </w:r>
      <w:r w:rsidR="007D4738">
        <w:t>espondent</w:t>
      </w:r>
    </w:p>
    <w:p w:rsidR="00DA3FFC" w:rsidRPr="00DA3FFC" w:rsidRDefault="006D3032" w:rsidP="006D4550">
      <w:pPr>
        <w:suppressAutoHyphens w:val="0"/>
        <w:spacing w:line="360" w:lineRule="auto"/>
        <w:ind w:left="851" w:hanging="851"/>
        <w:rPr>
          <w:rFonts w:cs="Arial"/>
          <w:lang w:val="en-ZA" w:eastAsia="en-US"/>
        </w:rPr>
      </w:pPr>
      <w:r>
        <w:rPr>
          <w:rFonts w:cs="Arial"/>
          <w:b/>
          <w:bCs/>
          <w:lang w:val="en-ZA" w:eastAsia="en-US"/>
        </w:rPr>
        <w:t>Coram</w:t>
      </w:r>
      <w:r w:rsidR="00DA3FFC" w:rsidRPr="00DA3FFC">
        <w:rPr>
          <w:rFonts w:cs="Arial"/>
          <w:b/>
          <w:bCs/>
          <w:lang w:val="en-ZA" w:eastAsia="en-US"/>
        </w:rPr>
        <w:t>:</w:t>
      </w:r>
      <w:r w:rsidR="00DA3FFC">
        <w:rPr>
          <w:rFonts w:cs="Arial"/>
          <w:lang w:val="en-ZA" w:eastAsia="en-US"/>
        </w:rPr>
        <w:tab/>
      </w:r>
      <w:r w:rsidR="00DA3FFC">
        <w:rPr>
          <w:rFonts w:cs="Arial"/>
          <w:lang w:val="en-ZA" w:eastAsia="en-US"/>
        </w:rPr>
        <w:tab/>
      </w:r>
      <w:r w:rsidR="007A7170">
        <w:rPr>
          <w:rFonts w:cs="Arial"/>
          <w:lang w:val="en-ZA" w:eastAsia="en-US"/>
        </w:rPr>
        <w:t>Adams J</w:t>
      </w:r>
    </w:p>
    <w:p w:rsidR="004F6C0A" w:rsidRPr="00DA3FFC" w:rsidRDefault="00DA3FFC" w:rsidP="006D4550">
      <w:pPr>
        <w:suppressAutoHyphens w:val="0"/>
        <w:spacing w:line="360" w:lineRule="auto"/>
        <w:ind w:left="851" w:hanging="851"/>
        <w:jc w:val="both"/>
        <w:rPr>
          <w:rFonts w:cs="Arial"/>
          <w:b/>
          <w:lang w:val="en-ZA" w:eastAsia="en-US"/>
        </w:rPr>
      </w:pPr>
      <w:r w:rsidRPr="00DA3FFC">
        <w:rPr>
          <w:rFonts w:cs="Arial"/>
          <w:b/>
          <w:bCs/>
          <w:lang w:val="en-ZA" w:eastAsia="en-US"/>
        </w:rPr>
        <w:t>Heard</w:t>
      </w:r>
      <w:r w:rsidR="004F6C0A">
        <w:rPr>
          <w:rFonts w:cs="Arial"/>
          <w:lang w:val="en-ZA" w:eastAsia="en-US"/>
        </w:rPr>
        <w:t>:</w:t>
      </w:r>
      <w:r w:rsidR="004F6C0A">
        <w:rPr>
          <w:rFonts w:cs="Arial"/>
          <w:lang w:val="en-ZA" w:eastAsia="en-US"/>
        </w:rPr>
        <w:tab/>
      </w:r>
      <w:r w:rsidR="003B47B7">
        <w:rPr>
          <w:rFonts w:cs="Arial"/>
          <w:lang w:val="en-ZA" w:eastAsia="en-US"/>
        </w:rPr>
        <w:tab/>
        <w:t>27</w:t>
      </w:r>
      <w:r>
        <w:rPr>
          <w:rFonts w:cs="Arial"/>
          <w:lang w:val="en-ZA" w:eastAsia="en-US"/>
        </w:rPr>
        <w:t xml:space="preserve"> </w:t>
      </w:r>
      <w:r w:rsidR="003B47B7">
        <w:rPr>
          <w:rFonts w:cs="Arial"/>
          <w:lang w:val="en-ZA" w:eastAsia="en-US"/>
        </w:rPr>
        <w:t>February</w:t>
      </w:r>
      <w:r w:rsidRPr="00DA3FFC">
        <w:rPr>
          <w:rFonts w:cs="Arial"/>
          <w:lang w:val="en-ZA" w:eastAsia="en-US"/>
        </w:rPr>
        <w:t xml:space="preserve"> 20</w:t>
      </w:r>
      <w:r w:rsidR="003B47B7">
        <w:rPr>
          <w:rFonts w:cs="Arial"/>
          <w:lang w:val="en-ZA" w:eastAsia="en-US"/>
        </w:rPr>
        <w:t>23</w:t>
      </w:r>
    </w:p>
    <w:p w:rsidR="00DA3FFC" w:rsidRPr="00DA3FFC" w:rsidRDefault="00DA3FFC" w:rsidP="003B47B7">
      <w:pPr>
        <w:suppressAutoHyphens w:val="0"/>
        <w:spacing w:after="120" w:line="360" w:lineRule="auto"/>
        <w:ind w:left="1418" w:hanging="1418"/>
        <w:jc w:val="both"/>
        <w:rPr>
          <w:rFonts w:cs="Arial"/>
          <w:lang w:val="en-ZA" w:eastAsia="en-US"/>
        </w:rPr>
      </w:pPr>
      <w:r w:rsidRPr="00DA3FFC">
        <w:rPr>
          <w:rFonts w:cs="Arial"/>
          <w:b/>
          <w:lang w:val="en-ZA" w:eastAsia="en-US"/>
        </w:rPr>
        <w:t>Delivered:</w:t>
      </w:r>
      <w:r w:rsidRPr="00DA3FFC">
        <w:rPr>
          <w:rFonts w:cs="Arial"/>
          <w:b/>
          <w:lang w:val="en-ZA" w:eastAsia="en-US"/>
        </w:rPr>
        <w:tab/>
      </w:r>
      <w:r w:rsidR="00E712DC">
        <w:rPr>
          <w:rFonts w:cs="Arial"/>
          <w:lang w:val="en-ZA" w:eastAsia="en-US"/>
        </w:rPr>
        <w:t>06</w:t>
      </w:r>
      <w:r w:rsidR="002149EC">
        <w:rPr>
          <w:rFonts w:cs="Arial"/>
          <w:lang w:val="en-ZA" w:eastAsia="en-US"/>
        </w:rPr>
        <w:t xml:space="preserve"> </w:t>
      </w:r>
      <w:r w:rsidR="003B47B7">
        <w:rPr>
          <w:rFonts w:cs="Arial"/>
          <w:lang w:val="en-ZA" w:eastAsia="en-US"/>
        </w:rPr>
        <w:t>March 2023</w:t>
      </w:r>
      <w:r w:rsidR="002149EC">
        <w:rPr>
          <w:rFonts w:cs="Arial"/>
          <w:lang w:val="en-ZA" w:eastAsia="en-US"/>
        </w:rPr>
        <w:t xml:space="preserve"> – This judgment was handed down electronically by circulation to the parties' representatives by email, by being uploaded to </w:t>
      </w:r>
      <w:r w:rsidR="002149EC" w:rsidRPr="002149EC">
        <w:rPr>
          <w:rFonts w:cs="Arial"/>
          <w:i/>
          <w:lang w:val="en-ZA" w:eastAsia="en-US"/>
        </w:rPr>
        <w:t>CaseLines</w:t>
      </w:r>
      <w:r w:rsidR="002149EC">
        <w:rPr>
          <w:rFonts w:cs="Arial"/>
          <w:lang w:val="en-ZA" w:eastAsia="en-US"/>
        </w:rPr>
        <w:t xml:space="preserve"> and by release to SAFLII. The date and time for hand-down is deemed to be </w:t>
      </w:r>
      <w:r w:rsidR="00BE0BC1">
        <w:rPr>
          <w:rFonts w:cs="Arial"/>
          <w:lang w:val="en-ZA" w:eastAsia="en-US"/>
        </w:rPr>
        <w:t>1</w:t>
      </w:r>
      <w:r w:rsidR="00E712DC">
        <w:rPr>
          <w:rFonts w:cs="Arial"/>
          <w:lang w:val="en-ZA" w:eastAsia="en-US"/>
        </w:rPr>
        <w:t>0</w:t>
      </w:r>
      <w:r w:rsidR="00A6546E">
        <w:rPr>
          <w:rFonts w:cs="Arial"/>
          <w:lang w:val="en-ZA" w:eastAsia="en-US"/>
        </w:rPr>
        <w:t>:</w:t>
      </w:r>
      <w:r w:rsidR="00123792">
        <w:rPr>
          <w:rFonts w:cs="Arial"/>
          <w:lang w:val="en-ZA" w:eastAsia="en-US"/>
        </w:rPr>
        <w:t>00</w:t>
      </w:r>
      <w:r w:rsidR="002149EC">
        <w:rPr>
          <w:rFonts w:cs="Arial"/>
          <w:lang w:val="en-ZA" w:eastAsia="en-US"/>
        </w:rPr>
        <w:t xml:space="preserve"> on </w:t>
      </w:r>
      <w:r w:rsidR="00E712DC">
        <w:rPr>
          <w:rFonts w:cs="Arial"/>
          <w:lang w:val="en-ZA" w:eastAsia="en-US"/>
        </w:rPr>
        <w:t>6</w:t>
      </w:r>
      <w:r w:rsidR="002149EC">
        <w:rPr>
          <w:rFonts w:cs="Arial"/>
          <w:lang w:val="en-ZA" w:eastAsia="en-US"/>
        </w:rPr>
        <w:t xml:space="preserve"> </w:t>
      </w:r>
      <w:r w:rsidR="003B47B7">
        <w:rPr>
          <w:rFonts w:cs="Arial"/>
          <w:lang w:val="en-ZA" w:eastAsia="en-US"/>
        </w:rPr>
        <w:t>March 2023</w:t>
      </w:r>
      <w:r w:rsidR="002149EC">
        <w:rPr>
          <w:rFonts w:cs="Arial"/>
          <w:lang w:val="en-ZA" w:eastAsia="en-US"/>
        </w:rPr>
        <w:t>.</w:t>
      </w:r>
    </w:p>
    <w:p w:rsidR="00FE27ED" w:rsidRDefault="00DA3FFC" w:rsidP="00336D37">
      <w:pPr>
        <w:spacing w:line="360" w:lineRule="auto"/>
        <w:jc w:val="both"/>
        <w:rPr>
          <w:rFonts w:cs="Arial"/>
          <w:lang w:val="en-ZA"/>
        </w:rPr>
      </w:pPr>
      <w:r w:rsidRPr="00DA3FFC">
        <w:rPr>
          <w:rFonts w:cs="Arial"/>
          <w:b/>
          <w:bCs/>
          <w:lang w:val="en-ZA" w:eastAsia="en-US"/>
        </w:rPr>
        <w:t>Summary:</w:t>
      </w:r>
      <w:r w:rsidRPr="00DA3FFC">
        <w:rPr>
          <w:rFonts w:cs="Arial"/>
          <w:b/>
          <w:bCs/>
          <w:lang w:val="en-ZA" w:eastAsia="en-US"/>
        </w:rPr>
        <w:tab/>
      </w:r>
      <w:r w:rsidR="00FC765E" w:rsidRPr="00FC765E">
        <w:rPr>
          <w:rFonts w:cs="Arial"/>
        </w:rPr>
        <w:t xml:space="preserve">Liquidation – </w:t>
      </w:r>
      <w:r w:rsidR="00DD3F8C">
        <w:rPr>
          <w:rFonts w:cs="Arial"/>
        </w:rPr>
        <w:t>company – a</w:t>
      </w:r>
      <w:r w:rsidR="00FC765E" w:rsidRPr="00FC765E">
        <w:rPr>
          <w:rFonts w:cs="Arial"/>
        </w:rPr>
        <w:t xml:space="preserve">pplication for </w:t>
      </w:r>
      <w:r w:rsidR="00336D37">
        <w:rPr>
          <w:rFonts w:cs="Arial"/>
        </w:rPr>
        <w:t>provisional</w:t>
      </w:r>
      <w:r w:rsidR="00FC765E" w:rsidRPr="00FC765E">
        <w:rPr>
          <w:rFonts w:cs="Arial"/>
        </w:rPr>
        <w:t xml:space="preserve"> winding-up order on the grounds that </w:t>
      </w:r>
      <w:r w:rsidR="00255FAF">
        <w:rPr>
          <w:rFonts w:cs="Arial"/>
        </w:rPr>
        <w:t>the respondent</w:t>
      </w:r>
      <w:r w:rsidR="007B17A2">
        <w:rPr>
          <w:rFonts w:cs="Arial"/>
        </w:rPr>
        <w:t xml:space="preserve"> </w:t>
      </w:r>
      <w:r w:rsidR="00892C9E">
        <w:rPr>
          <w:rFonts w:cs="Arial"/>
        </w:rPr>
        <w:t>company</w:t>
      </w:r>
      <w:r w:rsidR="00FC765E" w:rsidRPr="00FC765E">
        <w:rPr>
          <w:rFonts w:cs="Arial"/>
        </w:rPr>
        <w:t xml:space="preserve"> is unable to pay its debts within the meaning </w:t>
      </w:r>
      <w:r w:rsidR="00255FAF">
        <w:rPr>
          <w:rFonts w:cs="Arial"/>
        </w:rPr>
        <w:t>of s 345(1)(c</w:t>
      </w:r>
      <w:r w:rsidR="00FC765E" w:rsidRPr="00FC765E">
        <w:rPr>
          <w:rFonts w:cs="Arial"/>
        </w:rPr>
        <w:t xml:space="preserve">) </w:t>
      </w:r>
      <w:r w:rsidR="00255FAF" w:rsidRPr="00255FAF">
        <w:rPr>
          <w:rFonts w:cs="Arial"/>
        </w:rPr>
        <w:t>of the Companies Act 61 of 1973</w:t>
      </w:r>
      <w:r w:rsidR="00FC765E" w:rsidRPr="00FC765E">
        <w:rPr>
          <w:rFonts w:cs="Arial"/>
        </w:rPr>
        <w:t xml:space="preserve"> </w:t>
      </w:r>
      <w:r w:rsidR="00FC765E">
        <w:rPr>
          <w:rFonts w:cs="Arial"/>
        </w:rPr>
        <w:t>– w</w:t>
      </w:r>
      <w:r w:rsidR="00FC765E" w:rsidRPr="00FC765E">
        <w:rPr>
          <w:rFonts w:cs="Arial"/>
        </w:rPr>
        <w:t>hether applicant</w:t>
      </w:r>
      <w:r w:rsidR="00A6546E">
        <w:rPr>
          <w:rFonts w:cs="Arial"/>
        </w:rPr>
        <w:t>’s</w:t>
      </w:r>
      <w:r w:rsidR="00FC765E" w:rsidRPr="00FC765E">
        <w:rPr>
          <w:rFonts w:cs="Arial"/>
        </w:rPr>
        <w:t xml:space="preserve"> claim </w:t>
      </w:r>
      <w:r w:rsidR="00A6546E">
        <w:rPr>
          <w:rFonts w:cs="Arial"/>
        </w:rPr>
        <w:t>is</w:t>
      </w:r>
      <w:r w:rsidR="004F6C0A">
        <w:rPr>
          <w:rFonts w:cs="Arial"/>
        </w:rPr>
        <w:t xml:space="preserve"> </w:t>
      </w:r>
      <w:r w:rsidR="004F6C0A" w:rsidRPr="004F6C0A">
        <w:rPr>
          <w:rFonts w:cs="Arial"/>
          <w:i/>
        </w:rPr>
        <w:t>bona fide</w:t>
      </w:r>
      <w:r w:rsidR="00FC765E">
        <w:rPr>
          <w:rFonts w:cs="Arial"/>
        </w:rPr>
        <w:t xml:space="preserve"> disputed on reasonable grounds</w:t>
      </w:r>
      <w:r w:rsidR="004F6C0A">
        <w:rPr>
          <w:rFonts w:cs="Arial"/>
        </w:rPr>
        <w:t xml:space="preserve"> (the </w:t>
      </w:r>
      <w:r w:rsidR="004F6C0A">
        <w:rPr>
          <w:rFonts w:cs="Arial"/>
          <w:i/>
        </w:rPr>
        <w:t xml:space="preserve">Badenhorst </w:t>
      </w:r>
      <w:r w:rsidR="00B3355E">
        <w:rPr>
          <w:rFonts w:cs="Arial"/>
        </w:rPr>
        <w:t>rule</w:t>
      </w:r>
      <w:r w:rsidR="004F6C0A">
        <w:rPr>
          <w:rFonts w:cs="Arial"/>
        </w:rPr>
        <w:t>)</w:t>
      </w:r>
      <w:r w:rsidR="00FC765E">
        <w:rPr>
          <w:rFonts w:cs="Arial"/>
        </w:rPr>
        <w:t xml:space="preserve"> </w:t>
      </w:r>
      <w:r w:rsidR="000A01AC">
        <w:rPr>
          <w:rFonts w:cs="Arial"/>
          <w:lang w:val="en-ZA"/>
        </w:rPr>
        <w:t xml:space="preserve">– </w:t>
      </w:r>
      <w:r w:rsidR="00336D37">
        <w:rPr>
          <w:rFonts w:cs="Arial"/>
          <w:lang w:val="en-ZA"/>
        </w:rPr>
        <w:t>defences raised by respondent bad in law</w:t>
      </w:r>
      <w:r w:rsidR="003C255A">
        <w:rPr>
          <w:rFonts w:cs="Arial"/>
          <w:lang w:val="en-ZA"/>
        </w:rPr>
        <w:t xml:space="preserve"> </w:t>
      </w:r>
      <w:r w:rsidR="00B32378">
        <w:rPr>
          <w:rFonts w:cs="Arial"/>
          <w:lang w:val="en-ZA"/>
        </w:rPr>
        <w:t>–</w:t>
      </w:r>
      <w:r w:rsidR="00FE27ED">
        <w:rPr>
          <w:rFonts w:cs="Arial"/>
          <w:lang w:val="en-ZA"/>
        </w:rPr>
        <w:t xml:space="preserve"> </w:t>
      </w:r>
      <w:r w:rsidR="00B56ACD">
        <w:rPr>
          <w:rFonts w:cs="Arial"/>
          <w:lang w:val="en-ZA"/>
        </w:rPr>
        <w:t xml:space="preserve"> </w:t>
      </w:r>
    </w:p>
    <w:p w:rsidR="00F70011" w:rsidRDefault="00336D37" w:rsidP="00F70011">
      <w:pPr>
        <w:spacing w:line="360" w:lineRule="auto"/>
        <w:jc w:val="both"/>
        <w:rPr>
          <w:rFonts w:cs="Arial"/>
          <w:lang w:val="en-ZA"/>
        </w:rPr>
      </w:pPr>
      <w:r w:rsidRPr="00336D37">
        <w:rPr>
          <w:rFonts w:cs="Arial"/>
          <w:lang w:val="en-ZA"/>
        </w:rPr>
        <w:lastRenderedPageBreak/>
        <w:t xml:space="preserve">Furnishing of copy </w:t>
      </w:r>
      <w:r w:rsidR="00DD3F8C">
        <w:rPr>
          <w:rFonts w:cs="Arial"/>
          <w:lang w:val="en-ZA"/>
        </w:rPr>
        <w:t xml:space="preserve">of winding-up order </w:t>
      </w:r>
      <w:r w:rsidRPr="00336D37">
        <w:rPr>
          <w:rFonts w:cs="Arial"/>
          <w:lang w:val="en-ZA"/>
        </w:rPr>
        <w:t xml:space="preserve">to employees </w:t>
      </w:r>
      <w:r w:rsidR="00F70011">
        <w:rPr>
          <w:rFonts w:cs="Arial"/>
          <w:lang w:val="en-ZA"/>
        </w:rPr>
        <w:t>– a</w:t>
      </w:r>
      <w:r w:rsidRPr="00336D37">
        <w:rPr>
          <w:rFonts w:cs="Arial"/>
          <w:lang w:val="en-ZA"/>
        </w:rPr>
        <w:t>lternative</w:t>
      </w:r>
      <w:r w:rsidR="00F70011">
        <w:rPr>
          <w:rFonts w:cs="Arial"/>
          <w:lang w:val="en-ZA"/>
        </w:rPr>
        <w:t xml:space="preserve"> </w:t>
      </w:r>
      <w:r w:rsidRPr="00336D37">
        <w:rPr>
          <w:rFonts w:cs="Arial"/>
          <w:lang w:val="en-ZA"/>
        </w:rPr>
        <w:t xml:space="preserve">modes of doing so </w:t>
      </w:r>
      <w:r w:rsidR="00F70011">
        <w:rPr>
          <w:rFonts w:cs="Arial"/>
          <w:lang w:val="en-ZA"/>
        </w:rPr>
        <w:t xml:space="preserve">– failure </w:t>
      </w:r>
      <w:r w:rsidRPr="00336D37">
        <w:rPr>
          <w:rFonts w:cs="Arial"/>
          <w:lang w:val="en-ZA"/>
        </w:rPr>
        <w:t xml:space="preserve">to furnish papers </w:t>
      </w:r>
      <w:r w:rsidR="00F70011">
        <w:rPr>
          <w:rFonts w:cs="Arial"/>
          <w:lang w:val="en-ZA"/>
        </w:rPr>
        <w:t xml:space="preserve">to employees of respondent </w:t>
      </w:r>
      <w:r w:rsidRPr="00336D37">
        <w:rPr>
          <w:rFonts w:cs="Arial"/>
          <w:lang w:val="en-ZA"/>
        </w:rPr>
        <w:t xml:space="preserve">before hearing </w:t>
      </w:r>
      <w:r w:rsidR="00F70011">
        <w:rPr>
          <w:rFonts w:cs="Arial"/>
          <w:lang w:val="en-ZA"/>
        </w:rPr>
        <w:t xml:space="preserve">– not </w:t>
      </w:r>
      <w:r w:rsidRPr="00336D37">
        <w:rPr>
          <w:rFonts w:cs="Arial"/>
          <w:lang w:val="en-ZA"/>
        </w:rPr>
        <w:t>barring court</w:t>
      </w:r>
      <w:r w:rsidR="00F70011">
        <w:rPr>
          <w:rFonts w:cs="Arial"/>
          <w:lang w:val="en-ZA"/>
        </w:rPr>
        <w:t xml:space="preserve"> from </w:t>
      </w:r>
      <w:r w:rsidRPr="00336D37">
        <w:rPr>
          <w:rFonts w:cs="Arial"/>
          <w:lang w:val="en-ZA"/>
        </w:rPr>
        <w:t xml:space="preserve">granting </w:t>
      </w:r>
      <w:r w:rsidR="00F70011">
        <w:rPr>
          <w:rFonts w:cs="Arial"/>
          <w:lang w:val="en-ZA"/>
        </w:rPr>
        <w:t xml:space="preserve">provisional winding-up order – </w:t>
      </w:r>
      <w:r w:rsidRPr="00336D37">
        <w:rPr>
          <w:rFonts w:cs="Arial"/>
          <w:lang w:val="en-ZA"/>
        </w:rPr>
        <w:t>Companies</w:t>
      </w:r>
      <w:r w:rsidR="00F70011">
        <w:rPr>
          <w:rFonts w:cs="Arial"/>
          <w:lang w:val="en-ZA"/>
        </w:rPr>
        <w:t xml:space="preserve"> Act 61 of 1973, ss </w:t>
      </w:r>
      <w:r w:rsidRPr="00336D37">
        <w:rPr>
          <w:rFonts w:cs="Arial"/>
          <w:lang w:val="en-ZA"/>
        </w:rPr>
        <w:t xml:space="preserve">346(4A)(a)(ii) </w:t>
      </w:r>
      <w:r w:rsidR="00F70011">
        <w:rPr>
          <w:rFonts w:cs="Arial"/>
          <w:lang w:val="en-ZA"/>
        </w:rPr>
        <w:t xml:space="preserve">– </w:t>
      </w:r>
      <w:r w:rsidR="00622A7C">
        <w:rPr>
          <w:rFonts w:cs="Arial"/>
          <w:lang w:val="en-ZA"/>
        </w:rPr>
        <w:t>r</w:t>
      </w:r>
      <w:r w:rsidR="00B56ACD" w:rsidRPr="00B56ACD">
        <w:rPr>
          <w:rFonts w:cs="Arial"/>
          <w:lang w:val="en-ZA"/>
        </w:rPr>
        <w:t>espondent</w:t>
      </w:r>
      <w:r w:rsidR="00622A7C">
        <w:rPr>
          <w:rFonts w:cs="Arial"/>
          <w:lang w:val="en-ZA"/>
        </w:rPr>
        <w:t xml:space="preserve"> could nevertheless be</w:t>
      </w:r>
      <w:r w:rsidR="00B56ACD" w:rsidRPr="00B56ACD">
        <w:rPr>
          <w:rFonts w:cs="Arial"/>
          <w:lang w:val="en-ZA"/>
        </w:rPr>
        <w:t xml:space="preserve"> placed under provisional liquidation</w:t>
      </w:r>
      <w:r w:rsidR="00F70011">
        <w:rPr>
          <w:rFonts w:cs="Arial"/>
          <w:lang w:val="en-ZA"/>
        </w:rPr>
        <w:t xml:space="preserve"> – </w:t>
      </w:r>
    </w:p>
    <w:p w:rsidR="00B56ACD" w:rsidRDefault="00F70011" w:rsidP="00F70011">
      <w:pPr>
        <w:spacing w:after="240" w:line="360" w:lineRule="auto"/>
        <w:jc w:val="both"/>
        <w:rPr>
          <w:rFonts w:cs="Arial"/>
          <w:lang w:val="en-ZA"/>
        </w:rPr>
      </w:pPr>
      <w:r>
        <w:rPr>
          <w:rFonts w:cs="Arial"/>
          <w:lang w:val="en-ZA"/>
        </w:rPr>
        <w:t>Provisional winding-up order granted with a return date.</w:t>
      </w:r>
    </w:p>
    <w:p w:rsidR="00DA3FFC" w:rsidRPr="00DA3FFC" w:rsidRDefault="00DA3FFC" w:rsidP="00A31AA0">
      <w:pPr>
        <w:pBdr>
          <w:top w:val="single" w:sz="4" w:space="18" w:color="auto"/>
          <w:bottom w:val="single" w:sz="4" w:space="18" w:color="auto"/>
        </w:pBdr>
        <w:spacing w:after="240"/>
        <w:jc w:val="center"/>
        <w:rPr>
          <w:rFonts w:ascii="Arial Bold" w:hAnsi="Arial Bold"/>
          <w:b/>
        </w:rPr>
      </w:pPr>
      <w:r w:rsidRPr="00DA3FFC">
        <w:rPr>
          <w:rFonts w:ascii="Arial Bold" w:hAnsi="Arial Bold"/>
          <w:b/>
        </w:rPr>
        <w:t>ORDER</w:t>
      </w:r>
    </w:p>
    <w:p w:rsidR="005B0D7E" w:rsidRDefault="005A58C4" w:rsidP="005A58C4">
      <w:pPr>
        <w:pStyle w:val="LegalBodyText1"/>
        <w:spacing w:after="120" w:line="360" w:lineRule="auto"/>
        <w:ind w:left="561" w:hanging="561"/>
      </w:pPr>
      <w:r>
        <w:t>(1)</w:t>
      </w:r>
      <w:r>
        <w:tab/>
      </w:r>
      <w:r w:rsidR="004613B7">
        <w:t xml:space="preserve">The </w:t>
      </w:r>
      <w:r w:rsidR="005B0D7E">
        <w:t>respondent</w:t>
      </w:r>
      <w:r w:rsidR="00DD3F8C">
        <w:t>, Sigge Managed Solutions (Pty) Limited, with registration number 2017/388673/07,</w:t>
      </w:r>
      <w:r w:rsidR="005B0D7E">
        <w:t xml:space="preserve"> be and is hereby placed under provisional liquidation in the hands of the Master</w:t>
      </w:r>
      <w:r w:rsidR="00785311">
        <w:t xml:space="preserve"> of the High Court, Johannesburg</w:t>
      </w:r>
      <w:r w:rsidR="005B0D7E">
        <w:t>.</w:t>
      </w:r>
    </w:p>
    <w:p w:rsidR="005B0D7E" w:rsidRDefault="005A58C4" w:rsidP="005A58C4">
      <w:pPr>
        <w:pStyle w:val="LegalBodyText1"/>
        <w:spacing w:after="0" w:line="360" w:lineRule="auto"/>
        <w:ind w:hanging="567"/>
      </w:pPr>
      <w:r>
        <w:t>(2)</w:t>
      </w:r>
      <w:r>
        <w:tab/>
      </w:r>
      <w:r w:rsidR="005B0D7E">
        <w:t xml:space="preserve">A </w:t>
      </w:r>
      <w:r w:rsidR="005B0D7E" w:rsidRPr="005B0D7E">
        <w:rPr>
          <w:i/>
        </w:rPr>
        <w:t>rule nisi</w:t>
      </w:r>
      <w:r w:rsidR="005B0D7E">
        <w:t xml:space="preserve"> be and is hereby issued calling upon the respondent and all other interested persons to appear and to show good cause on </w:t>
      </w:r>
      <w:r w:rsidR="002A109C">
        <w:rPr>
          <w:b/>
        </w:rPr>
        <w:t>Monday</w:t>
      </w:r>
      <w:r w:rsidR="005B0D7E">
        <w:t xml:space="preserve">, the </w:t>
      </w:r>
      <w:r w:rsidR="002A109C" w:rsidRPr="002A109C">
        <w:rPr>
          <w:b/>
        </w:rPr>
        <w:t>1</w:t>
      </w:r>
      <w:r w:rsidR="002A109C" w:rsidRPr="002A109C">
        <w:rPr>
          <w:b/>
          <w:vertAlign w:val="superscript"/>
        </w:rPr>
        <w:t>st</w:t>
      </w:r>
      <w:r w:rsidR="002A109C">
        <w:t xml:space="preserve"> </w:t>
      </w:r>
      <w:r w:rsidR="005B0D7E">
        <w:t xml:space="preserve">of </w:t>
      </w:r>
      <w:r w:rsidR="002A109C">
        <w:rPr>
          <w:b/>
        </w:rPr>
        <w:t>May 2023</w:t>
      </w:r>
      <w:r w:rsidR="005B0D7E">
        <w:t xml:space="preserve"> at </w:t>
      </w:r>
      <w:r w:rsidR="005B0D7E" w:rsidRPr="002A109C">
        <w:rPr>
          <w:b/>
        </w:rPr>
        <w:t>10:00</w:t>
      </w:r>
      <w:r w:rsidR="005B0D7E">
        <w:t xml:space="preserve"> or so soon thereafter as the matter may be heard, </w:t>
      </w:r>
      <w:r w:rsidR="00A31AA0">
        <w:t xml:space="preserve">as to </w:t>
      </w:r>
      <w:r w:rsidR="005B0D7E">
        <w:t>why:</w:t>
      </w:r>
    </w:p>
    <w:p w:rsidR="005B0D7E" w:rsidRDefault="005B0D7E" w:rsidP="00A31AA0">
      <w:pPr>
        <w:pStyle w:val="LegalBodyText1"/>
        <w:spacing w:after="0" w:line="360" w:lineRule="auto"/>
        <w:ind w:left="851" w:hanging="851"/>
      </w:pPr>
      <w:r>
        <w:t>2.1.</w:t>
      </w:r>
      <w:r>
        <w:tab/>
        <w:t>The Respondent should not be placed in final liquidation;</w:t>
      </w:r>
    </w:p>
    <w:p w:rsidR="005B0D7E" w:rsidRDefault="00096011" w:rsidP="005B0D7E">
      <w:pPr>
        <w:pStyle w:val="LegalBodyText1"/>
        <w:spacing w:after="120" w:line="360" w:lineRule="auto"/>
        <w:ind w:left="851" w:hanging="851"/>
      </w:pPr>
      <w:r>
        <w:t xml:space="preserve">2.2. </w:t>
      </w:r>
      <w:r>
        <w:tab/>
        <w:t>T</w:t>
      </w:r>
      <w:r w:rsidR="005B0D7E">
        <w:t>he costs of this application should not be costs in the liquidation on an attorney and client scale;</w:t>
      </w:r>
    </w:p>
    <w:p w:rsidR="005B0D7E" w:rsidRDefault="005A58C4" w:rsidP="005A58C4">
      <w:pPr>
        <w:pStyle w:val="LegalBodyText1"/>
        <w:spacing w:after="0" w:line="360" w:lineRule="auto"/>
        <w:ind w:hanging="567"/>
      </w:pPr>
      <w:r>
        <w:t>(3)</w:t>
      </w:r>
      <w:r>
        <w:tab/>
      </w:r>
      <w:r w:rsidR="005B0D7E">
        <w:t xml:space="preserve">Service of this Order is to be effected </w:t>
      </w:r>
      <w:r w:rsidR="00A31AA0">
        <w:t>as follows</w:t>
      </w:r>
      <w:r w:rsidR="005B0D7E">
        <w:t>:</w:t>
      </w:r>
    </w:p>
    <w:p w:rsidR="005B0D7E" w:rsidRDefault="005B0D7E" w:rsidP="00A31AA0">
      <w:pPr>
        <w:pStyle w:val="LegalBodyText1"/>
        <w:spacing w:after="0" w:line="360" w:lineRule="auto"/>
        <w:ind w:left="851" w:hanging="851"/>
      </w:pPr>
      <w:r>
        <w:t>3.1.</w:t>
      </w:r>
      <w:bookmarkStart w:id="0" w:name="_GoBack"/>
      <w:bookmarkEnd w:id="0"/>
      <w:r>
        <w:tab/>
        <w:t>Service by the Sheriff upon the respondent</w:t>
      </w:r>
      <w:r w:rsidR="00DD3F8C">
        <w:t xml:space="preserve"> </w:t>
      </w:r>
      <w:r>
        <w:t xml:space="preserve">at its </w:t>
      </w:r>
      <w:r w:rsidR="00096011">
        <w:t>business address</w:t>
      </w:r>
      <w:r>
        <w:t>;</w:t>
      </w:r>
    </w:p>
    <w:p w:rsidR="00DD3F8C" w:rsidRDefault="00096011" w:rsidP="00DD3F8C">
      <w:pPr>
        <w:pStyle w:val="LegalBodyText1"/>
        <w:spacing w:after="0" w:line="360" w:lineRule="auto"/>
        <w:ind w:left="851" w:hanging="851"/>
      </w:pPr>
      <w:r>
        <w:t>3.2</w:t>
      </w:r>
      <w:r w:rsidR="00DD3F8C">
        <w:t>.</w:t>
      </w:r>
      <w:r w:rsidR="00DD3F8C">
        <w:tab/>
        <w:t xml:space="preserve">Service by the Sheriff upon the employees of the respondent and on any registered trade unions (if any), at </w:t>
      </w:r>
      <w:r>
        <w:t>the business address of the respondent, in terms of s 346A of the Companies Act, Act 61 of 1973</w:t>
      </w:r>
      <w:r w:rsidR="00DD3F8C">
        <w:t>;</w:t>
      </w:r>
    </w:p>
    <w:p w:rsidR="005B0D7E" w:rsidRDefault="00096011" w:rsidP="00A31AA0">
      <w:pPr>
        <w:pStyle w:val="LegalBodyText1"/>
        <w:spacing w:after="0" w:line="360" w:lineRule="auto"/>
        <w:ind w:left="851" w:hanging="851"/>
      </w:pPr>
      <w:r>
        <w:t>3.3</w:t>
      </w:r>
      <w:r w:rsidR="00A31AA0">
        <w:t>.</w:t>
      </w:r>
      <w:r w:rsidR="00A31AA0">
        <w:tab/>
      </w:r>
      <w:r w:rsidR="005B0D7E">
        <w:t>Service on the South African Revenue Service by the applicant’s attorneys;</w:t>
      </w:r>
    </w:p>
    <w:p w:rsidR="005B0D7E" w:rsidRDefault="00096011" w:rsidP="00A31AA0">
      <w:pPr>
        <w:pStyle w:val="LegalBodyText1"/>
        <w:spacing w:after="0" w:line="360" w:lineRule="auto"/>
        <w:ind w:left="851" w:hanging="851"/>
      </w:pPr>
      <w:r>
        <w:t>3.4</w:t>
      </w:r>
      <w:r w:rsidR="00A31AA0">
        <w:t>.</w:t>
      </w:r>
      <w:r w:rsidR="00A31AA0">
        <w:tab/>
      </w:r>
      <w:r w:rsidR="005B0D7E">
        <w:t>Service on the Master of the High Court by the applicant’s attorneys;</w:t>
      </w:r>
    </w:p>
    <w:p w:rsidR="005B0D7E" w:rsidRDefault="00096011" w:rsidP="00A31AA0">
      <w:pPr>
        <w:pStyle w:val="LegalBodyText1"/>
        <w:spacing w:after="0" w:line="360" w:lineRule="auto"/>
        <w:ind w:left="851" w:hanging="851"/>
      </w:pPr>
      <w:r>
        <w:t>3.5</w:t>
      </w:r>
      <w:r w:rsidR="005B0D7E">
        <w:t xml:space="preserve">. </w:t>
      </w:r>
      <w:r w:rsidR="00A31AA0">
        <w:tab/>
        <w:t>On a</w:t>
      </w:r>
      <w:r w:rsidR="005B0D7E">
        <w:t>ll known credito</w:t>
      </w:r>
      <w:r w:rsidR="00A31AA0">
        <w:t>rs with claims in excess of R25 </w:t>
      </w:r>
      <w:r w:rsidR="005B0D7E">
        <w:t>000 by means of registered mail</w:t>
      </w:r>
      <w:r w:rsidR="00A31AA0">
        <w:t xml:space="preserve"> and/or email</w:t>
      </w:r>
      <w:r w:rsidR="005B0D7E">
        <w:t>;</w:t>
      </w:r>
    </w:p>
    <w:p w:rsidR="005B0D7E" w:rsidRDefault="00096011" w:rsidP="00A31AA0">
      <w:pPr>
        <w:pStyle w:val="LegalBodyText1"/>
        <w:spacing w:after="240" w:line="360" w:lineRule="auto"/>
        <w:ind w:left="851" w:hanging="851"/>
      </w:pPr>
      <w:r>
        <w:lastRenderedPageBreak/>
        <w:t>3.6</w:t>
      </w:r>
      <w:r w:rsidR="005B0D7E">
        <w:t>.</w:t>
      </w:r>
      <w:r w:rsidR="005B0D7E">
        <w:tab/>
        <w:t xml:space="preserve">Publication of this Order </w:t>
      </w:r>
      <w:r w:rsidR="00A31AA0">
        <w:t xml:space="preserve">shall be </w:t>
      </w:r>
      <w:r w:rsidR="005B0D7E">
        <w:t>in both an English and Afrikaans newspaper</w:t>
      </w:r>
      <w:r w:rsidR="00A31AA0">
        <w:t xml:space="preserve"> </w:t>
      </w:r>
      <w:r w:rsidR="005B0D7E">
        <w:t>circulating in th</w:t>
      </w:r>
      <w:r w:rsidR="00A31AA0">
        <w:t>e local provincial area of the respondent’s registered address, as well as in the Government Gazette.</w:t>
      </w:r>
    </w:p>
    <w:p w:rsidR="009314F3" w:rsidRPr="00A84826" w:rsidRDefault="00F86558" w:rsidP="00A31AA0">
      <w:pPr>
        <w:pStyle w:val="LegalTramLines"/>
        <w:keepNext/>
        <w:spacing w:after="240"/>
      </w:pPr>
      <w:r>
        <w:t xml:space="preserve">JUDGMENT </w:t>
      </w:r>
    </w:p>
    <w:p w:rsidR="007D27AD" w:rsidRPr="007D27AD" w:rsidRDefault="007D27AD" w:rsidP="00630DF9">
      <w:pPr>
        <w:keepNext/>
        <w:spacing w:before="120" w:after="120" w:line="360" w:lineRule="auto"/>
        <w:jc w:val="both"/>
        <w:rPr>
          <w:b/>
          <w:caps/>
        </w:rPr>
      </w:pPr>
      <w:r w:rsidRPr="007D27AD">
        <w:rPr>
          <w:b/>
        </w:rPr>
        <w:t>Adams J:</w:t>
      </w:r>
    </w:p>
    <w:p w:rsidR="00070D6F" w:rsidRPr="003A1352" w:rsidRDefault="005A58C4" w:rsidP="005A58C4">
      <w:pPr>
        <w:spacing w:after="120" w:line="360" w:lineRule="auto"/>
        <w:jc w:val="both"/>
        <w:outlineLvl w:val="0"/>
        <w:rPr>
          <w:color w:val="000000"/>
          <w:lang w:val="en-ZA"/>
        </w:rPr>
      </w:pPr>
      <w:r w:rsidRPr="003A1352">
        <w:rPr>
          <w:color w:val="000000"/>
          <w:lang w:val="en-ZA"/>
        </w:rPr>
        <w:t>[1].</w:t>
      </w:r>
      <w:r w:rsidRPr="003A1352">
        <w:rPr>
          <w:color w:val="000000"/>
          <w:lang w:val="en-ZA"/>
        </w:rPr>
        <w:tab/>
      </w:r>
      <w:r w:rsidR="00ED20EA">
        <w:rPr>
          <w:color w:val="000000"/>
        </w:rPr>
        <w:t>In this opposed application, the applicant (‘</w:t>
      </w:r>
      <w:r w:rsidR="00802ED9">
        <w:rPr>
          <w:color w:val="000000"/>
        </w:rPr>
        <w:t>Intello Capital</w:t>
      </w:r>
      <w:r w:rsidR="00ED20EA">
        <w:rPr>
          <w:color w:val="000000"/>
        </w:rPr>
        <w:t xml:space="preserve">’) </w:t>
      </w:r>
      <w:r w:rsidR="00511371" w:rsidRPr="00ED20EA">
        <w:rPr>
          <w:color w:val="000000"/>
          <w:lang w:val="en-ZA"/>
        </w:rPr>
        <w:t>seek</w:t>
      </w:r>
      <w:r w:rsidR="00ED20EA">
        <w:rPr>
          <w:color w:val="000000"/>
          <w:lang w:val="en-ZA"/>
        </w:rPr>
        <w:t>s</w:t>
      </w:r>
      <w:r w:rsidR="008F2FD1" w:rsidRPr="00ED20EA">
        <w:rPr>
          <w:color w:val="000000"/>
          <w:lang w:val="en-ZA"/>
        </w:rPr>
        <w:t xml:space="preserve"> a </w:t>
      </w:r>
      <w:r w:rsidR="00802ED9">
        <w:rPr>
          <w:color w:val="000000"/>
          <w:lang w:val="en-ZA"/>
        </w:rPr>
        <w:t>provisional</w:t>
      </w:r>
      <w:r w:rsidR="008F2FD1" w:rsidRPr="00ED20EA">
        <w:rPr>
          <w:color w:val="000000"/>
          <w:lang w:val="en-ZA"/>
        </w:rPr>
        <w:t xml:space="preserve"> winding-up order against the respondent</w:t>
      </w:r>
      <w:r w:rsidR="00ED20EA">
        <w:rPr>
          <w:color w:val="000000"/>
          <w:lang w:val="en-ZA"/>
        </w:rPr>
        <w:t xml:space="preserve"> (‘</w:t>
      </w:r>
      <w:r w:rsidR="00802ED9">
        <w:rPr>
          <w:color w:val="000000"/>
          <w:lang w:val="en-ZA"/>
        </w:rPr>
        <w:t>Sigge'</w:t>
      </w:r>
      <w:r w:rsidR="00ED20EA">
        <w:rPr>
          <w:color w:val="000000"/>
          <w:lang w:val="en-ZA"/>
        </w:rPr>
        <w:t xml:space="preserve">), which, according to </w:t>
      </w:r>
      <w:r w:rsidR="00802ED9">
        <w:rPr>
          <w:color w:val="000000"/>
          <w:lang w:val="en-ZA"/>
        </w:rPr>
        <w:t>Intello Capital,</w:t>
      </w:r>
      <w:r w:rsidR="00ED20EA">
        <w:rPr>
          <w:color w:val="000000"/>
          <w:lang w:val="en-ZA"/>
        </w:rPr>
        <w:t xml:space="preserve"> is unable to pay its debts</w:t>
      </w:r>
      <w:r w:rsidR="008F2FD1" w:rsidRPr="00ED20EA">
        <w:rPr>
          <w:color w:val="000000"/>
          <w:lang w:val="en-ZA"/>
        </w:rPr>
        <w:t xml:space="preserve">. </w:t>
      </w:r>
      <w:r w:rsidR="00802ED9">
        <w:rPr>
          <w:rFonts w:cs="Arial"/>
        </w:rPr>
        <w:t xml:space="preserve">Intello Capital </w:t>
      </w:r>
      <w:r w:rsidR="003A1352">
        <w:rPr>
          <w:rFonts w:cs="Arial"/>
        </w:rPr>
        <w:t xml:space="preserve">therefore </w:t>
      </w:r>
      <w:r w:rsidR="00E83B6A" w:rsidRPr="003A1352">
        <w:rPr>
          <w:rFonts w:cs="Arial"/>
        </w:rPr>
        <w:t xml:space="preserve">applies for </w:t>
      </w:r>
      <w:r w:rsidR="000E11AA" w:rsidRPr="003A1352">
        <w:rPr>
          <w:rFonts w:cs="Arial"/>
        </w:rPr>
        <w:t xml:space="preserve">the winding up of </w:t>
      </w:r>
      <w:r w:rsidR="00802ED9">
        <w:rPr>
          <w:rFonts w:cs="Arial"/>
        </w:rPr>
        <w:t>Sigge</w:t>
      </w:r>
      <w:r w:rsidR="00E83B6A" w:rsidRPr="003A1352">
        <w:rPr>
          <w:rFonts w:cs="Arial"/>
        </w:rPr>
        <w:t xml:space="preserve"> </w:t>
      </w:r>
      <w:r w:rsidR="000E11AA" w:rsidRPr="003A1352">
        <w:rPr>
          <w:rFonts w:cs="Arial"/>
        </w:rPr>
        <w:t>on the grounds that it is unable to pay its debts within the meaning of s 345(1)</w:t>
      </w:r>
      <w:r w:rsidR="000E11AA" w:rsidRPr="003A1352">
        <w:rPr>
          <w:rFonts w:cs="Arial"/>
          <w:iCs/>
        </w:rPr>
        <w:t xml:space="preserve">(c) </w:t>
      </w:r>
      <w:r w:rsidR="000E11AA" w:rsidRPr="003A1352">
        <w:rPr>
          <w:rFonts w:cs="Arial"/>
        </w:rPr>
        <w:t xml:space="preserve">of the Companies Act, Act 61 of 1973 (‘the 1973 Companies Act’). The </w:t>
      </w:r>
      <w:r w:rsidR="00070D6F" w:rsidRPr="003A1352">
        <w:rPr>
          <w:rFonts w:cs="Arial"/>
        </w:rPr>
        <w:t xml:space="preserve">case of </w:t>
      </w:r>
      <w:r w:rsidR="00802ED9">
        <w:rPr>
          <w:rFonts w:cs="Arial"/>
        </w:rPr>
        <w:t>Intello Capital in</w:t>
      </w:r>
      <w:r w:rsidR="007B1F4E">
        <w:rPr>
          <w:rFonts w:cs="Arial"/>
        </w:rPr>
        <w:t xml:space="preserve"> the main is </w:t>
      </w:r>
      <w:r w:rsidR="00070D6F" w:rsidRPr="003A1352">
        <w:rPr>
          <w:rFonts w:cs="Arial"/>
        </w:rPr>
        <w:t xml:space="preserve">that </w:t>
      </w:r>
      <w:r w:rsidR="00802ED9">
        <w:rPr>
          <w:rFonts w:cs="Arial"/>
        </w:rPr>
        <w:t>Sigge</w:t>
      </w:r>
      <w:r w:rsidR="007B1F4E">
        <w:rPr>
          <w:rFonts w:cs="Arial"/>
        </w:rPr>
        <w:t xml:space="preserve"> </w:t>
      </w:r>
      <w:r w:rsidR="00070D6F" w:rsidRPr="003A1352">
        <w:rPr>
          <w:rFonts w:cs="Arial"/>
        </w:rPr>
        <w:t>i</w:t>
      </w:r>
      <w:r w:rsidR="000E11AA" w:rsidRPr="003A1352">
        <w:rPr>
          <w:rFonts w:cs="Arial"/>
        </w:rPr>
        <w:t xml:space="preserve">s </w:t>
      </w:r>
      <w:r w:rsidR="004B4F31">
        <w:rPr>
          <w:rFonts w:cs="Arial"/>
        </w:rPr>
        <w:t xml:space="preserve">commercially insolvent in that it is </w:t>
      </w:r>
      <w:r w:rsidR="000E11AA" w:rsidRPr="003A1352">
        <w:rPr>
          <w:rFonts w:cs="Arial"/>
        </w:rPr>
        <w:t>factually unable to pay its debts.</w:t>
      </w:r>
    </w:p>
    <w:p w:rsidR="004B4F31" w:rsidRDefault="005A58C4" w:rsidP="005A58C4">
      <w:pPr>
        <w:spacing w:after="120" w:line="360" w:lineRule="auto"/>
        <w:jc w:val="both"/>
        <w:outlineLvl w:val="0"/>
        <w:rPr>
          <w:color w:val="000000"/>
          <w:lang w:val="en-ZA"/>
        </w:rPr>
      </w:pPr>
      <w:r>
        <w:rPr>
          <w:color w:val="000000"/>
          <w:lang w:val="en-ZA"/>
        </w:rPr>
        <w:t>[2].</w:t>
      </w:r>
      <w:r>
        <w:rPr>
          <w:color w:val="000000"/>
          <w:lang w:val="en-ZA"/>
        </w:rPr>
        <w:tab/>
      </w:r>
      <w:r w:rsidR="00802ED9">
        <w:rPr>
          <w:color w:val="000000"/>
          <w:lang w:val="en-ZA"/>
        </w:rPr>
        <w:t>Intello Capital claims</w:t>
      </w:r>
      <w:r w:rsidR="00EA38B6">
        <w:rPr>
          <w:color w:val="000000"/>
          <w:lang w:val="en-ZA"/>
        </w:rPr>
        <w:t xml:space="preserve"> that </w:t>
      </w:r>
      <w:r w:rsidR="00802ED9">
        <w:rPr>
          <w:color w:val="000000"/>
          <w:lang w:val="en-ZA"/>
        </w:rPr>
        <w:t>Sigge</w:t>
      </w:r>
      <w:r w:rsidR="00EA38B6">
        <w:rPr>
          <w:color w:val="000000"/>
          <w:lang w:val="en-ZA"/>
        </w:rPr>
        <w:t xml:space="preserve"> is indebted to it (</w:t>
      </w:r>
      <w:r w:rsidR="004B4F31">
        <w:rPr>
          <w:color w:val="000000"/>
          <w:lang w:val="en-ZA"/>
        </w:rPr>
        <w:t>Intello Capital</w:t>
      </w:r>
      <w:r w:rsidR="00EA38B6">
        <w:rPr>
          <w:color w:val="000000"/>
          <w:lang w:val="en-ZA"/>
        </w:rPr>
        <w:t xml:space="preserve">) in an amount of </w:t>
      </w:r>
      <w:r w:rsidR="004B4F31">
        <w:rPr>
          <w:color w:val="000000"/>
          <w:lang w:val="en-ZA"/>
        </w:rPr>
        <w:t>R3 343 163.45</w:t>
      </w:r>
      <w:r w:rsidR="007B1F4E">
        <w:rPr>
          <w:color w:val="000000"/>
          <w:lang w:val="en-ZA"/>
        </w:rPr>
        <w:t>,</w:t>
      </w:r>
      <w:r w:rsidR="00EA38B6">
        <w:rPr>
          <w:color w:val="000000"/>
          <w:lang w:val="en-ZA"/>
        </w:rPr>
        <w:t xml:space="preserve"> being in respect of </w:t>
      </w:r>
      <w:r w:rsidR="004B4F31">
        <w:rPr>
          <w:color w:val="000000"/>
          <w:lang w:val="en-ZA"/>
        </w:rPr>
        <w:t xml:space="preserve">monies lent and advanced </w:t>
      </w:r>
      <w:r w:rsidR="007B1F4E">
        <w:rPr>
          <w:color w:val="000000"/>
          <w:lang w:val="en-ZA"/>
        </w:rPr>
        <w:t>by</w:t>
      </w:r>
      <w:r w:rsidR="004B4F31">
        <w:rPr>
          <w:color w:val="000000"/>
          <w:lang w:val="en-ZA"/>
        </w:rPr>
        <w:t xml:space="preserve"> Intello Capital to Sigg</w:t>
      </w:r>
      <w:r w:rsidR="00A90552">
        <w:rPr>
          <w:color w:val="000000"/>
          <w:lang w:val="en-ZA"/>
        </w:rPr>
        <w:t>e during or about November 2020 pursuant to and in terms of a written ‘Facility Letter’ duly signed by Sigge</w:t>
      </w:r>
      <w:r w:rsidR="00C03BF1">
        <w:rPr>
          <w:color w:val="000000"/>
          <w:lang w:val="en-ZA"/>
        </w:rPr>
        <w:t xml:space="preserve"> on</w:t>
      </w:r>
      <w:r w:rsidR="00A90552">
        <w:rPr>
          <w:color w:val="000000"/>
          <w:lang w:val="en-ZA"/>
        </w:rPr>
        <w:t xml:space="preserve"> 18 November 2020, as well as a written acknowledgment of debt of the same date by Sigge in favour of Intello Capital. Sigge reneged on the first set of agreements and failed to repay the outstanding amount of the loan by April 2021 and the parties concluded a further acknowledgement of debt on the 25</w:t>
      </w:r>
      <w:r w:rsidR="00A90552" w:rsidRPr="00A90552">
        <w:rPr>
          <w:color w:val="000000"/>
          <w:vertAlign w:val="superscript"/>
          <w:lang w:val="en-ZA"/>
        </w:rPr>
        <w:t>th</w:t>
      </w:r>
      <w:r w:rsidR="00A90552">
        <w:rPr>
          <w:color w:val="000000"/>
          <w:lang w:val="en-ZA"/>
        </w:rPr>
        <w:t xml:space="preserve"> of October 2021, which agreem</w:t>
      </w:r>
      <w:r w:rsidR="00C135EA">
        <w:rPr>
          <w:color w:val="000000"/>
          <w:lang w:val="en-ZA"/>
        </w:rPr>
        <w:t>ent Sigge also breached. I</w:t>
      </w:r>
      <w:r w:rsidR="00A90552">
        <w:rPr>
          <w:color w:val="000000"/>
          <w:lang w:val="en-ZA"/>
        </w:rPr>
        <w:t xml:space="preserve">t failed to effect payment of the whole amount of the loan by </w:t>
      </w:r>
      <w:r w:rsidR="00C135EA">
        <w:rPr>
          <w:color w:val="000000"/>
          <w:lang w:val="en-ZA"/>
        </w:rPr>
        <w:t>18 </w:t>
      </w:r>
      <w:r w:rsidR="00C03BF1">
        <w:rPr>
          <w:color w:val="000000"/>
          <w:lang w:val="en-ZA"/>
        </w:rPr>
        <w:t>March 2022, as per the latter agreement between the parties.</w:t>
      </w:r>
    </w:p>
    <w:p w:rsidR="009E57CE" w:rsidRDefault="005A58C4" w:rsidP="005A58C4">
      <w:pPr>
        <w:spacing w:after="120" w:line="360" w:lineRule="auto"/>
        <w:jc w:val="both"/>
        <w:outlineLvl w:val="0"/>
        <w:rPr>
          <w:color w:val="000000"/>
          <w:lang w:val="en-ZA"/>
        </w:rPr>
      </w:pPr>
      <w:r>
        <w:rPr>
          <w:color w:val="000000"/>
          <w:lang w:val="en-ZA"/>
        </w:rPr>
        <w:t>[3].</w:t>
      </w:r>
      <w:r>
        <w:rPr>
          <w:color w:val="000000"/>
          <w:lang w:val="en-ZA"/>
        </w:rPr>
        <w:tab/>
      </w:r>
      <w:r w:rsidR="00A3678D">
        <w:rPr>
          <w:color w:val="000000"/>
          <w:lang w:val="en-ZA"/>
        </w:rPr>
        <w:t xml:space="preserve">It is the case of </w:t>
      </w:r>
      <w:r w:rsidR="00802ED9">
        <w:rPr>
          <w:color w:val="000000"/>
          <w:lang w:val="en-ZA"/>
        </w:rPr>
        <w:t>Intello Capital</w:t>
      </w:r>
      <w:r w:rsidR="00A3678D">
        <w:rPr>
          <w:color w:val="000000"/>
          <w:lang w:val="en-ZA"/>
        </w:rPr>
        <w:t xml:space="preserve"> that </w:t>
      </w:r>
      <w:r w:rsidR="00802ED9">
        <w:rPr>
          <w:color w:val="000000"/>
          <w:lang w:val="en-ZA"/>
        </w:rPr>
        <w:t>Sigge</w:t>
      </w:r>
      <w:r w:rsidR="00A3678D">
        <w:rPr>
          <w:color w:val="000000"/>
          <w:lang w:val="en-ZA"/>
        </w:rPr>
        <w:t xml:space="preserve"> does not have a valid and</w:t>
      </w:r>
      <w:r w:rsidR="003D0B49">
        <w:rPr>
          <w:color w:val="000000"/>
          <w:lang w:val="en-ZA"/>
        </w:rPr>
        <w:t xml:space="preserve"> a</w:t>
      </w:r>
      <w:r w:rsidR="00A3678D">
        <w:rPr>
          <w:color w:val="000000"/>
          <w:lang w:val="en-ZA"/>
        </w:rPr>
        <w:t xml:space="preserve"> </w:t>
      </w:r>
      <w:r w:rsidR="00A3678D" w:rsidRPr="00A3678D">
        <w:rPr>
          <w:i/>
          <w:color w:val="000000"/>
          <w:lang w:val="en-ZA"/>
        </w:rPr>
        <w:t>bona fide</w:t>
      </w:r>
      <w:r w:rsidR="00A3678D">
        <w:rPr>
          <w:color w:val="000000"/>
          <w:lang w:val="en-ZA"/>
        </w:rPr>
        <w:t xml:space="preserve"> defence to the claim, which, so </w:t>
      </w:r>
      <w:r w:rsidR="00802ED9">
        <w:rPr>
          <w:color w:val="000000"/>
          <w:lang w:val="en-ZA"/>
        </w:rPr>
        <w:t xml:space="preserve">Intello Capital </w:t>
      </w:r>
      <w:r w:rsidR="00A3678D">
        <w:rPr>
          <w:color w:val="000000"/>
          <w:lang w:val="en-ZA"/>
        </w:rPr>
        <w:t>contends, is aptly demonstrated by the fact that</w:t>
      </w:r>
      <w:r w:rsidR="00C135EA">
        <w:rPr>
          <w:color w:val="000000"/>
          <w:lang w:val="en-ZA"/>
        </w:rPr>
        <w:t xml:space="preserve"> during January 2022</w:t>
      </w:r>
      <w:r w:rsidR="009E57CE">
        <w:rPr>
          <w:color w:val="000000"/>
          <w:lang w:val="en-ZA"/>
        </w:rPr>
        <w:t xml:space="preserve"> it attempted to extricate itself from its admitted indebtedness to Intello Capital by disingenuously relying </w:t>
      </w:r>
      <w:r w:rsidR="007C1CE3">
        <w:rPr>
          <w:color w:val="000000"/>
          <w:lang w:val="en-ZA"/>
        </w:rPr>
        <w:t>on</w:t>
      </w:r>
      <w:r w:rsidR="009E57CE">
        <w:rPr>
          <w:color w:val="000000"/>
          <w:lang w:val="en-ZA"/>
        </w:rPr>
        <w:t xml:space="preserve"> spurious legal defence</w:t>
      </w:r>
      <w:r w:rsidR="007C1CE3">
        <w:rPr>
          <w:color w:val="000000"/>
          <w:lang w:val="en-ZA"/>
        </w:rPr>
        <w:t>s</w:t>
      </w:r>
      <w:r w:rsidR="009E57CE">
        <w:rPr>
          <w:color w:val="000000"/>
          <w:lang w:val="en-ZA"/>
        </w:rPr>
        <w:t xml:space="preserve">, such as claims that the agreements are void and unenforceable because it ostensibly </w:t>
      </w:r>
      <w:r w:rsidR="00C86E5E">
        <w:rPr>
          <w:color w:val="000000"/>
          <w:lang w:val="en-ZA"/>
        </w:rPr>
        <w:t>contravene</w:t>
      </w:r>
      <w:r w:rsidR="009E57CE">
        <w:rPr>
          <w:color w:val="000000"/>
          <w:lang w:val="en-ZA"/>
        </w:rPr>
        <w:t xml:space="preserve"> provisions of the Pension Fund </w:t>
      </w:r>
      <w:r w:rsidR="009E57CE">
        <w:rPr>
          <w:color w:val="000000"/>
          <w:lang w:val="en-ZA"/>
        </w:rPr>
        <w:lastRenderedPageBreak/>
        <w:t>Act</w:t>
      </w:r>
      <w:r w:rsidR="00FC50DC">
        <w:rPr>
          <w:rStyle w:val="FootnoteReference"/>
          <w:color w:val="000000"/>
          <w:lang w:val="en-ZA"/>
        </w:rPr>
        <w:footnoteReference w:id="1"/>
      </w:r>
      <w:r w:rsidR="009E57CE">
        <w:rPr>
          <w:color w:val="000000"/>
          <w:lang w:val="en-ZA"/>
        </w:rPr>
        <w:t xml:space="preserve"> and </w:t>
      </w:r>
      <w:r w:rsidR="00FC50DC">
        <w:rPr>
          <w:color w:val="000000"/>
          <w:lang w:val="en-ZA"/>
        </w:rPr>
        <w:t>the National Credit Act</w:t>
      </w:r>
      <w:r w:rsidR="00FC50DC">
        <w:rPr>
          <w:rStyle w:val="FootnoteReference"/>
          <w:color w:val="000000"/>
          <w:lang w:val="en-ZA"/>
        </w:rPr>
        <w:footnoteReference w:id="2"/>
      </w:r>
      <w:r w:rsidR="007C1CE3">
        <w:rPr>
          <w:color w:val="000000"/>
          <w:lang w:val="en-ZA"/>
        </w:rPr>
        <w:t>. There is</w:t>
      </w:r>
      <w:r w:rsidR="00FC50DC">
        <w:rPr>
          <w:color w:val="000000"/>
          <w:lang w:val="en-ZA"/>
        </w:rPr>
        <w:t xml:space="preserve"> merit in this contention</w:t>
      </w:r>
      <w:r w:rsidR="007C1CE3">
        <w:rPr>
          <w:color w:val="000000"/>
          <w:lang w:val="en-ZA"/>
        </w:rPr>
        <w:t xml:space="preserve"> by the Intello Capital</w:t>
      </w:r>
      <w:r w:rsidR="00FC50DC">
        <w:rPr>
          <w:color w:val="000000"/>
          <w:lang w:val="en-ZA"/>
        </w:rPr>
        <w:t xml:space="preserve">. These grounds of defences to the claim by Intello Capital, although repeated in the answering affidavit of Sigge, were not persisted with by Sigge by the time this application was heard before me on 27 February 2023. That was confirmed by Mr Aucamp, who appeared on behalf of Sigge. As for the other defences raised to the monetary claim by Intello Capital, as well as </w:t>
      </w:r>
      <w:r w:rsidR="007C1CE3">
        <w:rPr>
          <w:color w:val="000000"/>
          <w:lang w:val="en-ZA"/>
        </w:rPr>
        <w:t xml:space="preserve">to the defences raised </w:t>
      </w:r>
      <w:r w:rsidR="00FC50DC">
        <w:rPr>
          <w:color w:val="000000"/>
          <w:lang w:val="en-ZA"/>
        </w:rPr>
        <w:t>to this liquidation application, I shall revert to those later on in this judgment.</w:t>
      </w:r>
    </w:p>
    <w:p w:rsidR="005E0890" w:rsidRPr="00FD46F2" w:rsidRDefault="005A58C4" w:rsidP="005A58C4">
      <w:pPr>
        <w:spacing w:after="120" w:line="360" w:lineRule="auto"/>
        <w:jc w:val="both"/>
        <w:outlineLvl w:val="0"/>
        <w:rPr>
          <w:color w:val="000000"/>
          <w:lang w:val="en-ZA"/>
        </w:rPr>
      </w:pPr>
      <w:r w:rsidRPr="00FD46F2">
        <w:rPr>
          <w:color w:val="000000"/>
          <w:lang w:val="en-ZA"/>
        </w:rPr>
        <w:t>[4].</w:t>
      </w:r>
      <w:r w:rsidRPr="00FD46F2">
        <w:rPr>
          <w:color w:val="000000"/>
          <w:lang w:val="en-ZA"/>
        </w:rPr>
        <w:tab/>
      </w:r>
      <w:r w:rsidR="00E96B97">
        <w:rPr>
          <w:color w:val="000000"/>
          <w:lang w:val="en-ZA"/>
        </w:rPr>
        <w:t xml:space="preserve">On </w:t>
      </w:r>
      <w:r w:rsidR="00FD46F2">
        <w:rPr>
          <w:color w:val="000000"/>
          <w:lang w:val="en-ZA"/>
        </w:rPr>
        <w:t>3</w:t>
      </w:r>
      <w:r w:rsidR="00E96B97">
        <w:rPr>
          <w:color w:val="000000"/>
          <w:lang w:val="en-ZA"/>
        </w:rPr>
        <w:t xml:space="preserve"> </w:t>
      </w:r>
      <w:r w:rsidR="00FD46F2">
        <w:rPr>
          <w:color w:val="000000"/>
          <w:lang w:val="en-ZA"/>
        </w:rPr>
        <w:t>February 2022</w:t>
      </w:r>
      <w:r w:rsidR="00E96B97">
        <w:rPr>
          <w:color w:val="000000"/>
          <w:lang w:val="en-ZA"/>
        </w:rPr>
        <w:t xml:space="preserve"> </w:t>
      </w:r>
      <w:r w:rsidR="00802ED9">
        <w:rPr>
          <w:color w:val="000000"/>
          <w:lang w:val="en-ZA"/>
        </w:rPr>
        <w:t xml:space="preserve">Intello Capital </w:t>
      </w:r>
      <w:r w:rsidR="00E96B97">
        <w:rPr>
          <w:color w:val="000000"/>
          <w:lang w:val="en-ZA"/>
        </w:rPr>
        <w:t xml:space="preserve">caused to be delivered to </w:t>
      </w:r>
      <w:r w:rsidR="00802ED9">
        <w:rPr>
          <w:color w:val="000000"/>
          <w:lang w:val="en-ZA"/>
        </w:rPr>
        <w:t>Sigge</w:t>
      </w:r>
      <w:r w:rsidR="00FD46F2">
        <w:rPr>
          <w:color w:val="000000"/>
          <w:lang w:val="en-ZA"/>
        </w:rPr>
        <w:t>’s attorneys a letter, which in effect was</w:t>
      </w:r>
      <w:r w:rsidR="00E96B97">
        <w:rPr>
          <w:color w:val="000000"/>
          <w:lang w:val="en-ZA"/>
        </w:rPr>
        <w:t xml:space="preserve"> a demand in terms of </w:t>
      </w:r>
      <w:r w:rsidR="00BE2D46" w:rsidRPr="00BE2D46">
        <w:rPr>
          <w:color w:val="000000"/>
          <w:lang w:val="en-ZA"/>
        </w:rPr>
        <w:t>Section 345 of the Companies Act</w:t>
      </w:r>
      <w:r w:rsidR="00E96B97">
        <w:rPr>
          <w:color w:val="000000"/>
          <w:lang w:val="en-ZA"/>
        </w:rPr>
        <w:t xml:space="preserve">, Act 71 of 2008, </w:t>
      </w:r>
      <w:r w:rsidR="00FD46F2">
        <w:rPr>
          <w:color w:val="000000"/>
          <w:lang w:val="en-ZA"/>
        </w:rPr>
        <w:t xml:space="preserve">advising Sigge that Intello Capital would be applying for its winding-up on the basis that it was </w:t>
      </w:r>
      <w:r w:rsidR="005E0890" w:rsidRPr="00FD46F2">
        <w:rPr>
          <w:color w:val="000000"/>
          <w:lang w:val="en-ZA"/>
        </w:rPr>
        <w:t>unable to pay its debts as and when they fall due and</w:t>
      </w:r>
      <w:r w:rsidR="00FD46F2">
        <w:rPr>
          <w:color w:val="000000"/>
          <w:lang w:val="en-ZA"/>
        </w:rPr>
        <w:t xml:space="preserve">, so the letter indicated, it was therefore </w:t>
      </w:r>
      <w:r w:rsidR="00BE2D46" w:rsidRPr="00FD46F2">
        <w:rPr>
          <w:color w:val="000000"/>
          <w:lang w:val="en-ZA"/>
        </w:rPr>
        <w:t>commercially insolvent</w:t>
      </w:r>
      <w:r w:rsidR="005E0890" w:rsidRPr="00FD46F2">
        <w:rPr>
          <w:color w:val="000000"/>
          <w:lang w:val="en-ZA"/>
        </w:rPr>
        <w:t>.</w:t>
      </w:r>
    </w:p>
    <w:p w:rsidR="00EB22B5" w:rsidRDefault="005A58C4" w:rsidP="005A58C4">
      <w:pPr>
        <w:spacing w:after="120" w:line="360" w:lineRule="auto"/>
        <w:jc w:val="both"/>
        <w:outlineLvl w:val="0"/>
        <w:rPr>
          <w:color w:val="000000"/>
          <w:lang w:val="en-ZA"/>
        </w:rPr>
      </w:pPr>
      <w:r>
        <w:rPr>
          <w:color w:val="000000"/>
          <w:lang w:val="en-ZA"/>
        </w:rPr>
        <w:t>[5].</w:t>
      </w:r>
      <w:r>
        <w:rPr>
          <w:color w:val="000000"/>
          <w:lang w:val="en-ZA"/>
        </w:rPr>
        <w:tab/>
      </w:r>
      <w:r w:rsidR="005E0890">
        <w:rPr>
          <w:color w:val="000000"/>
          <w:lang w:val="en-ZA"/>
        </w:rPr>
        <w:t xml:space="preserve">Whilst </w:t>
      </w:r>
      <w:r w:rsidR="00802ED9">
        <w:rPr>
          <w:color w:val="000000"/>
          <w:lang w:val="en-ZA"/>
        </w:rPr>
        <w:t>Sigge</w:t>
      </w:r>
      <w:r w:rsidR="005E0890">
        <w:rPr>
          <w:color w:val="000000"/>
          <w:lang w:val="en-ZA"/>
        </w:rPr>
        <w:t xml:space="preserve"> accepts that it </w:t>
      </w:r>
      <w:r w:rsidR="00FD46F2">
        <w:rPr>
          <w:color w:val="000000"/>
          <w:lang w:val="en-ZA"/>
        </w:rPr>
        <w:t xml:space="preserve">was advanced an amount of R3 100 000 by Intello Capital during November 2020 and that </w:t>
      </w:r>
      <w:r w:rsidR="00FD46F2" w:rsidRPr="00FD46F2">
        <w:rPr>
          <w:i/>
          <w:color w:val="000000"/>
          <w:lang w:val="en-ZA"/>
        </w:rPr>
        <w:t>ex facie</w:t>
      </w:r>
      <w:r w:rsidR="00FD46F2">
        <w:rPr>
          <w:color w:val="000000"/>
          <w:lang w:val="en-ZA"/>
        </w:rPr>
        <w:t xml:space="preserve"> it is liable to Intello Capital for repayment of that sum, together with interest thereon, </w:t>
      </w:r>
      <w:r w:rsidR="00DF3C85" w:rsidRPr="00FD46F2">
        <w:rPr>
          <w:color w:val="000000"/>
          <w:lang w:val="en-ZA"/>
        </w:rPr>
        <w:t xml:space="preserve">it alleges that it is entitled to withhold payment of the said sum on the basis </w:t>
      </w:r>
      <w:r w:rsidR="00C135EA">
        <w:rPr>
          <w:color w:val="000000"/>
          <w:lang w:val="en-ZA"/>
        </w:rPr>
        <w:t xml:space="preserve">of a material </w:t>
      </w:r>
      <w:r w:rsidR="00655628">
        <w:rPr>
          <w:color w:val="000000"/>
          <w:lang w:val="en-ZA"/>
        </w:rPr>
        <w:t>mis</w:t>
      </w:r>
      <w:r w:rsidR="00C135EA">
        <w:rPr>
          <w:color w:val="000000"/>
          <w:lang w:val="en-ZA"/>
        </w:rPr>
        <w:t>representation, which presumably induced it to enter into the loan agreement, which it would not have done but for the said misrepresentation. The case of Sigge is that a Mr Cloete Greeff, a</w:t>
      </w:r>
      <w:r w:rsidR="00754E18" w:rsidRPr="00C135EA">
        <w:rPr>
          <w:color w:val="000000"/>
          <w:lang w:val="en-ZA"/>
        </w:rPr>
        <w:t xml:space="preserve"> representative of </w:t>
      </w:r>
      <w:r w:rsidR="00C135EA">
        <w:rPr>
          <w:color w:val="000000"/>
          <w:lang w:val="en-ZA"/>
        </w:rPr>
        <w:t xml:space="preserve">a related company by the name of </w:t>
      </w:r>
      <w:r w:rsidR="00754E18" w:rsidRPr="00C135EA">
        <w:rPr>
          <w:color w:val="000000"/>
          <w:lang w:val="en-ZA"/>
        </w:rPr>
        <w:t>Optimum Financial Services</w:t>
      </w:r>
      <w:r w:rsidR="00C135EA" w:rsidRPr="00C135EA">
        <w:rPr>
          <w:color w:val="000000"/>
          <w:lang w:val="en-ZA"/>
        </w:rPr>
        <w:t xml:space="preserve"> </w:t>
      </w:r>
      <w:r w:rsidR="00754E18" w:rsidRPr="00C135EA">
        <w:rPr>
          <w:color w:val="000000"/>
          <w:lang w:val="en-ZA"/>
        </w:rPr>
        <w:t>CC</w:t>
      </w:r>
      <w:r w:rsidR="00EB22B5">
        <w:rPr>
          <w:color w:val="000000"/>
          <w:lang w:val="en-ZA"/>
        </w:rPr>
        <w:t xml:space="preserve"> (‘Optimum’)</w:t>
      </w:r>
      <w:r w:rsidR="00754E18" w:rsidRPr="00C135EA">
        <w:rPr>
          <w:color w:val="000000"/>
          <w:lang w:val="en-ZA"/>
        </w:rPr>
        <w:t xml:space="preserve">, introduced </w:t>
      </w:r>
      <w:r w:rsidR="00EB22B5">
        <w:rPr>
          <w:color w:val="000000"/>
          <w:lang w:val="en-ZA"/>
        </w:rPr>
        <w:t>Sigge</w:t>
      </w:r>
      <w:r w:rsidR="00754E18" w:rsidRPr="00C135EA">
        <w:rPr>
          <w:color w:val="000000"/>
          <w:lang w:val="en-ZA"/>
        </w:rPr>
        <w:t xml:space="preserve"> to Intello Capital</w:t>
      </w:r>
      <w:r w:rsidR="00EB22B5">
        <w:rPr>
          <w:color w:val="000000"/>
          <w:lang w:val="en-ZA"/>
        </w:rPr>
        <w:t xml:space="preserve"> </w:t>
      </w:r>
      <w:r w:rsidR="00754E18" w:rsidRPr="00C135EA">
        <w:rPr>
          <w:color w:val="000000"/>
          <w:lang w:val="en-ZA"/>
        </w:rPr>
        <w:t xml:space="preserve">under the </w:t>
      </w:r>
      <w:r w:rsidR="00EB22B5">
        <w:rPr>
          <w:color w:val="000000"/>
          <w:lang w:val="en-ZA"/>
        </w:rPr>
        <w:t>pretence that Intello Capital</w:t>
      </w:r>
      <w:r w:rsidR="00754E18" w:rsidRPr="00C135EA">
        <w:rPr>
          <w:color w:val="000000"/>
          <w:lang w:val="en-ZA"/>
        </w:rPr>
        <w:t xml:space="preserve"> was a division </w:t>
      </w:r>
      <w:r w:rsidR="00EB22B5">
        <w:rPr>
          <w:color w:val="000000"/>
          <w:lang w:val="en-ZA"/>
        </w:rPr>
        <w:t>of Optimum</w:t>
      </w:r>
      <w:r w:rsidR="00754E18" w:rsidRPr="00C135EA">
        <w:rPr>
          <w:color w:val="000000"/>
          <w:lang w:val="en-ZA"/>
        </w:rPr>
        <w:t xml:space="preserve">. </w:t>
      </w:r>
    </w:p>
    <w:p w:rsidR="00DD61BA" w:rsidRDefault="005A58C4" w:rsidP="005A58C4">
      <w:pPr>
        <w:spacing w:after="120" w:line="360" w:lineRule="auto"/>
        <w:jc w:val="both"/>
        <w:outlineLvl w:val="0"/>
        <w:rPr>
          <w:color w:val="000000"/>
          <w:lang w:val="en-ZA"/>
        </w:rPr>
      </w:pPr>
      <w:r>
        <w:rPr>
          <w:color w:val="000000"/>
          <w:lang w:val="en-ZA"/>
        </w:rPr>
        <w:t>[6].</w:t>
      </w:r>
      <w:r>
        <w:rPr>
          <w:color w:val="000000"/>
          <w:lang w:val="en-ZA"/>
        </w:rPr>
        <w:tab/>
      </w:r>
      <w:r w:rsidR="00EB22B5">
        <w:rPr>
          <w:color w:val="000000"/>
          <w:lang w:val="en-ZA"/>
        </w:rPr>
        <w:t>Sigge makes much of the fact that, according to it, the agreements were concluded with Intello Capital ‘</w:t>
      </w:r>
      <w:r w:rsidR="00754E18" w:rsidRPr="00EB22B5">
        <w:rPr>
          <w:color w:val="000000"/>
          <w:lang w:val="en-ZA"/>
        </w:rPr>
        <w:t>on the strength of the impression created that Intello Capital CC was a division of Optimum Financial Services CC</w:t>
      </w:r>
      <w:r w:rsidR="00EB22B5">
        <w:rPr>
          <w:color w:val="000000"/>
          <w:lang w:val="en-ZA"/>
        </w:rPr>
        <w:t>’</w:t>
      </w:r>
      <w:r w:rsidR="00754E18" w:rsidRPr="00EB22B5">
        <w:rPr>
          <w:color w:val="000000"/>
          <w:lang w:val="en-ZA"/>
        </w:rPr>
        <w:t>.</w:t>
      </w:r>
      <w:r w:rsidR="00C77D0D">
        <w:rPr>
          <w:color w:val="000000"/>
          <w:lang w:val="en-ZA"/>
        </w:rPr>
        <w:t xml:space="preserve"> There are two difficulties with Sigge’s case in that regard and, in my view, they are clutching at the proverbial straw</w:t>
      </w:r>
      <w:r w:rsidR="006B0A67">
        <w:rPr>
          <w:color w:val="000000"/>
          <w:lang w:val="en-ZA"/>
        </w:rPr>
        <w:t>s</w:t>
      </w:r>
      <w:r w:rsidR="00C77D0D">
        <w:rPr>
          <w:color w:val="000000"/>
          <w:lang w:val="en-ZA"/>
        </w:rPr>
        <w:t xml:space="preserve">. </w:t>
      </w:r>
    </w:p>
    <w:p w:rsidR="00EB22B5" w:rsidRDefault="005A58C4" w:rsidP="005A58C4">
      <w:pPr>
        <w:spacing w:after="120" w:line="360" w:lineRule="auto"/>
        <w:jc w:val="both"/>
        <w:outlineLvl w:val="0"/>
        <w:rPr>
          <w:color w:val="000000"/>
          <w:lang w:val="en-ZA"/>
        </w:rPr>
      </w:pPr>
      <w:r>
        <w:rPr>
          <w:color w:val="000000"/>
          <w:lang w:val="en-ZA"/>
        </w:rPr>
        <w:lastRenderedPageBreak/>
        <w:t>[7].</w:t>
      </w:r>
      <w:r>
        <w:rPr>
          <w:color w:val="000000"/>
          <w:lang w:val="en-ZA"/>
        </w:rPr>
        <w:tab/>
      </w:r>
      <w:r w:rsidR="00C77D0D">
        <w:rPr>
          <w:color w:val="000000"/>
          <w:lang w:val="en-ZA"/>
        </w:rPr>
        <w:t>Firstly, nowhere in the answering affidavit does Sigge allege that they were induced by this supposed misrepresentation to enter into the contractual relationship with Intello Capital. Moreover, I can think of no reason why, in the circumstances of this matter, it would have made any difference to Sigge as to who was advancing to them the so-called ‘bridging finance’, which they apparently</w:t>
      </w:r>
      <w:r w:rsidR="00C84415">
        <w:rPr>
          <w:color w:val="000000"/>
          <w:lang w:val="en-ZA"/>
        </w:rPr>
        <w:t xml:space="preserve"> were</w:t>
      </w:r>
      <w:r w:rsidR="00C77D0D">
        <w:rPr>
          <w:color w:val="000000"/>
          <w:lang w:val="en-ZA"/>
        </w:rPr>
        <w:t xml:space="preserve"> in desperate need of at the time. The point is simply that, howsoever one views this matter, it appears that this defence by Sigge is an afterthought and </w:t>
      </w:r>
      <w:r w:rsidR="00DD61BA">
        <w:rPr>
          <w:color w:val="000000"/>
          <w:lang w:val="en-ZA"/>
        </w:rPr>
        <w:t>an attempt to get out of their clear obligation to refund to Intello Capital the amount in excess of R3 million. Sigge’s conduct seems to me to be unconscionable.</w:t>
      </w:r>
    </w:p>
    <w:p w:rsidR="00DD61BA" w:rsidRDefault="005A58C4" w:rsidP="005A58C4">
      <w:pPr>
        <w:spacing w:after="120" w:line="360" w:lineRule="auto"/>
        <w:jc w:val="both"/>
        <w:outlineLvl w:val="0"/>
        <w:rPr>
          <w:color w:val="000000"/>
          <w:lang w:val="en-ZA"/>
        </w:rPr>
      </w:pPr>
      <w:r>
        <w:rPr>
          <w:color w:val="000000"/>
          <w:lang w:val="en-ZA"/>
        </w:rPr>
        <w:t>[8].</w:t>
      </w:r>
      <w:r>
        <w:rPr>
          <w:color w:val="000000"/>
          <w:lang w:val="en-ZA"/>
        </w:rPr>
        <w:tab/>
      </w:r>
      <w:r w:rsidR="00DD61BA">
        <w:rPr>
          <w:color w:val="000000"/>
          <w:lang w:val="en-ZA"/>
        </w:rPr>
        <w:t xml:space="preserve">Secondly, the allegation of a misrepresentation flies in the face of the agreements concluded between the parties, notably the two written acknowledgements of debt, which made it abundantly clear that Sigge was contracting with Intello Capital and </w:t>
      </w:r>
      <w:r w:rsidR="00C84415">
        <w:rPr>
          <w:color w:val="000000"/>
          <w:lang w:val="en-ZA"/>
        </w:rPr>
        <w:t xml:space="preserve">with </w:t>
      </w:r>
      <w:r w:rsidR="00DD61BA">
        <w:rPr>
          <w:color w:val="000000"/>
          <w:lang w:val="en-ZA"/>
        </w:rPr>
        <w:t>no one else. That, in my view, spells the end of Sigge’s case on that aspect.</w:t>
      </w:r>
      <w:r w:rsidR="006B0A67">
        <w:rPr>
          <w:color w:val="000000"/>
          <w:lang w:val="en-ZA"/>
        </w:rPr>
        <w:t xml:space="preserve"> Its defence based on a supposed misrepresentation is bad in law and is rejected.</w:t>
      </w:r>
    </w:p>
    <w:p w:rsidR="008F2FD1" w:rsidRPr="008F2FD1" w:rsidRDefault="005A58C4" w:rsidP="005A58C4">
      <w:pPr>
        <w:spacing w:after="120" w:line="360" w:lineRule="auto"/>
        <w:jc w:val="both"/>
        <w:outlineLvl w:val="0"/>
        <w:rPr>
          <w:color w:val="000000"/>
          <w:lang w:val="en-ZA"/>
        </w:rPr>
      </w:pPr>
      <w:r w:rsidRPr="008F2FD1">
        <w:rPr>
          <w:color w:val="000000"/>
          <w:lang w:val="en-ZA"/>
        </w:rPr>
        <w:t>[9].</w:t>
      </w:r>
      <w:r w:rsidRPr="008F2FD1">
        <w:rPr>
          <w:color w:val="000000"/>
          <w:lang w:val="en-ZA"/>
        </w:rPr>
        <w:tab/>
      </w:r>
      <w:r w:rsidR="008F2FD1" w:rsidRPr="008F2FD1">
        <w:rPr>
          <w:color w:val="000000"/>
          <w:lang w:val="en-ZA"/>
        </w:rPr>
        <w:t>It is trite that liquidation may not be used to enforce payment of disputed debts. It is not suitable to resolve complex factual dispute</w:t>
      </w:r>
      <w:r w:rsidR="008009EC">
        <w:rPr>
          <w:color w:val="000000"/>
          <w:lang w:val="en-ZA"/>
        </w:rPr>
        <w:t>s</w:t>
      </w:r>
      <w:r w:rsidR="008F2FD1" w:rsidRPr="008F2FD1">
        <w:rPr>
          <w:color w:val="000000"/>
          <w:lang w:val="en-ZA"/>
        </w:rPr>
        <w:t xml:space="preserve">. See </w:t>
      </w:r>
      <w:r w:rsidR="008F2FD1" w:rsidRPr="008009EC">
        <w:rPr>
          <w:i/>
          <w:iCs/>
          <w:color w:val="000000"/>
          <w:lang w:val="en-ZA"/>
        </w:rPr>
        <w:t xml:space="preserve">Trinity </w:t>
      </w:r>
      <w:r w:rsidR="008F2FD1" w:rsidRPr="008009EC">
        <w:rPr>
          <w:i/>
          <w:color w:val="000000"/>
          <w:lang w:val="en-ZA"/>
        </w:rPr>
        <w:t xml:space="preserve">Asset </w:t>
      </w:r>
      <w:r w:rsidR="008F2FD1" w:rsidRPr="008009EC">
        <w:rPr>
          <w:i/>
          <w:iCs/>
          <w:color w:val="000000"/>
          <w:lang w:val="en-ZA"/>
        </w:rPr>
        <w:t>Management (Pty) Ltd v Grindstone Investments (Pty) Ltd</w:t>
      </w:r>
      <w:r w:rsidR="0002161D">
        <w:rPr>
          <w:rStyle w:val="FootnoteReference"/>
          <w:i/>
          <w:iCs/>
          <w:color w:val="000000"/>
          <w:lang w:val="en-ZA"/>
        </w:rPr>
        <w:footnoteReference w:id="3"/>
      </w:r>
      <w:r w:rsidR="008009EC">
        <w:rPr>
          <w:color w:val="000000"/>
          <w:lang w:val="en-ZA"/>
        </w:rPr>
        <w:t xml:space="preserve"> and</w:t>
      </w:r>
      <w:r w:rsidR="008F2FD1" w:rsidRPr="008F2FD1">
        <w:rPr>
          <w:color w:val="000000"/>
          <w:lang w:val="en-ZA"/>
        </w:rPr>
        <w:t xml:space="preserve"> </w:t>
      </w:r>
      <w:r w:rsidR="008F2FD1" w:rsidRPr="008F2FD1">
        <w:rPr>
          <w:i/>
          <w:iCs/>
          <w:color w:val="000000"/>
          <w:lang w:val="en-ZA"/>
        </w:rPr>
        <w:t>Badenhorst v Northern Construction Enterprises (Pty) Ltd</w:t>
      </w:r>
      <w:r w:rsidR="0002161D">
        <w:rPr>
          <w:rStyle w:val="FootnoteReference"/>
          <w:i/>
          <w:iCs/>
          <w:color w:val="000000"/>
          <w:lang w:val="en-ZA"/>
        </w:rPr>
        <w:footnoteReference w:id="4"/>
      </w:r>
      <w:r w:rsidR="008F2FD1" w:rsidRPr="008F2FD1">
        <w:rPr>
          <w:color w:val="000000"/>
          <w:lang w:val="en-ZA"/>
        </w:rPr>
        <w:t xml:space="preserve">. Probabilities may not be the basis for factual findings unless the court is satisfied that there is no real and genuine factual dispute. Where the court finds that there is a real and genuine factual dispute incapable of resolution on papers, it can only dismiss the application if it finds that the applicant should have realized when launching the application that there was a factual dispute. See </w:t>
      </w:r>
      <w:r w:rsidR="008F2FD1" w:rsidRPr="008F2FD1">
        <w:rPr>
          <w:i/>
          <w:iCs/>
          <w:color w:val="000000"/>
          <w:lang w:val="en-ZA"/>
        </w:rPr>
        <w:t>Adbro Investment Compan</w:t>
      </w:r>
      <w:r w:rsidR="008009EC">
        <w:rPr>
          <w:i/>
          <w:iCs/>
          <w:color w:val="000000"/>
          <w:lang w:val="en-ZA"/>
        </w:rPr>
        <w:t xml:space="preserve">y Ltd v </w:t>
      </w:r>
      <w:r w:rsidR="008F2FD1" w:rsidRPr="008F2FD1">
        <w:rPr>
          <w:i/>
          <w:iCs/>
          <w:color w:val="000000"/>
          <w:lang w:val="en-ZA"/>
        </w:rPr>
        <w:t>Minister of Interior</w:t>
      </w:r>
      <w:r w:rsidR="001C35A2">
        <w:rPr>
          <w:rStyle w:val="FootnoteReference"/>
          <w:i/>
          <w:iCs/>
          <w:color w:val="000000"/>
          <w:lang w:val="en-ZA"/>
        </w:rPr>
        <w:footnoteReference w:id="5"/>
      </w:r>
      <w:r w:rsidR="008F2FD1" w:rsidRPr="008F2FD1">
        <w:rPr>
          <w:color w:val="000000"/>
          <w:lang w:val="en-ZA"/>
        </w:rPr>
        <w:t>.</w:t>
      </w:r>
    </w:p>
    <w:p w:rsidR="006603E3" w:rsidRPr="0017371F" w:rsidRDefault="005A58C4" w:rsidP="005A58C4">
      <w:pPr>
        <w:spacing w:after="120" w:line="360" w:lineRule="auto"/>
        <w:jc w:val="both"/>
        <w:outlineLvl w:val="0"/>
        <w:rPr>
          <w:color w:val="000000"/>
          <w:lang w:val="en-ZA"/>
        </w:rPr>
      </w:pPr>
      <w:r w:rsidRPr="0017371F">
        <w:rPr>
          <w:color w:val="000000"/>
          <w:lang w:val="en-ZA"/>
        </w:rPr>
        <w:t>[10].</w:t>
      </w:r>
      <w:r w:rsidRPr="0017371F">
        <w:rPr>
          <w:color w:val="000000"/>
          <w:lang w:val="en-ZA"/>
        </w:rPr>
        <w:tab/>
      </w:r>
      <w:r w:rsidR="00541329">
        <w:rPr>
          <w:color w:val="000000"/>
          <w:lang w:val="en-ZA"/>
        </w:rPr>
        <w:t xml:space="preserve">As already indicated, </w:t>
      </w:r>
      <w:r w:rsidR="00541329" w:rsidRPr="00541329">
        <w:rPr>
          <w:i/>
          <w:color w:val="000000"/>
          <w:lang w:val="en-ZA"/>
        </w:rPr>
        <w:t>in casu</w:t>
      </w:r>
      <w:r w:rsidR="00541329">
        <w:rPr>
          <w:color w:val="000000"/>
          <w:lang w:val="en-ZA"/>
        </w:rPr>
        <w:t xml:space="preserve"> there is no real factual dispute relating to </w:t>
      </w:r>
      <w:r w:rsidR="0017371F">
        <w:rPr>
          <w:color w:val="000000"/>
          <w:lang w:val="en-ZA"/>
        </w:rPr>
        <w:t xml:space="preserve">Sigge’s liability to Intello Capital arising from not one, but two written </w:t>
      </w:r>
      <w:r w:rsidR="0017371F">
        <w:rPr>
          <w:color w:val="000000"/>
          <w:lang w:val="en-ZA"/>
        </w:rPr>
        <w:lastRenderedPageBreak/>
        <w:t xml:space="preserve">acknowledgments of debts. </w:t>
      </w:r>
      <w:r w:rsidR="006B0A67">
        <w:rPr>
          <w:color w:val="000000"/>
          <w:lang w:val="en-ZA"/>
        </w:rPr>
        <w:t xml:space="preserve">Moreover, the defence is bad in law. </w:t>
      </w:r>
      <w:r w:rsidR="0017371F">
        <w:rPr>
          <w:color w:val="000000"/>
          <w:lang w:val="en-ZA"/>
        </w:rPr>
        <w:t xml:space="preserve">Therefore, the defence raised by Sigge </w:t>
      </w:r>
      <w:r w:rsidR="005C5D0E" w:rsidRPr="0017371F">
        <w:rPr>
          <w:lang w:val="en-ZA"/>
        </w:rPr>
        <w:t>is</w:t>
      </w:r>
      <w:r w:rsidR="0017371F">
        <w:rPr>
          <w:lang w:val="en-ZA"/>
        </w:rPr>
        <w:t xml:space="preserve"> not </w:t>
      </w:r>
      <w:r w:rsidR="006603E3" w:rsidRPr="0017371F">
        <w:rPr>
          <w:i/>
          <w:lang w:val="en-ZA"/>
        </w:rPr>
        <w:t>bona fide</w:t>
      </w:r>
      <w:r w:rsidR="006603E3" w:rsidRPr="0017371F">
        <w:rPr>
          <w:lang w:val="en-ZA"/>
        </w:rPr>
        <w:t xml:space="preserve"> </w:t>
      </w:r>
      <w:r w:rsidR="0017371F">
        <w:rPr>
          <w:lang w:val="en-ZA"/>
        </w:rPr>
        <w:t xml:space="preserve">and it is not disputing its liability to Intello Capital </w:t>
      </w:r>
      <w:r w:rsidR="006603E3" w:rsidRPr="0017371F">
        <w:rPr>
          <w:lang w:val="en-ZA"/>
        </w:rPr>
        <w:t>on reasonable grounds.</w:t>
      </w:r>
      <w:r w:rsidR="0017371F">
        <w:rPr>
          <w:lang w:val="en-ZA"/>
        </w:rPr>
        <w:t xml:space="preserve"> Far from it.</w:t>
      </w:r>
    </w:p>
    <w:p w:rsidR="006603E3" w:rsidRPr="006603E3" w:rsidRDefault="005A58C4" w:rsidP="005A58C4">
      <w:pPr>
        <w:spacing w:line="360" w:lineRule="auto"/>
        <w:jc w:val="both"/>
        <w:outlineLvl w:val="0"/>
        <w:rPr>
          <w:lang w:val="en-ZA"/>
        </w:rPr>
      </w:pPr>
      <w:r w:rsidRPr="006603E3">
        <w:rPr>
          <w:lang w:val="en-ZA"/>
        </w:rPr>
        <w:t>[11].</w:t>
      </w:r>
      <w:r w:rsidRPr="006603E3">
        <w:rPr>
          <w:lang w:val="en-ZA"/>
        </w:rPr>
        <w:tab/>
      </w:r>
      <w:r w:rsidR="00802ED9">
        <w:rPr>
          <w:lang w:val="en-ZA"/>
        </w:rPr>
        <w:t xml:space="preserve">Intello Capital </w:t>
      </w:r>
      <w:r w:rsidR="006603E3" w:rsidRPr="006603E3">
        <w:rPr>
          <w:lang w:val="en-ZA"/>
        </w:rPr>
        <w:t>seek</w:t>
      </w:r>
      <w:r w:rsidR="005C5D0E">
        <w:rPr>
          <w:lang w:val="en-ZA"/>
        </w:rPr>
        <w:t>s</w:t>
      </w:r>
      <w:r w:rsidR="006603E3" w:rsidRPr="006603E3">
        <w:rPr>
          <w:lang w:val="en-ZA"/>
        </w:rPr>
        <w:t xml:space="preserve"> a </w:t>
      </w:r>
      <w:r w:rsidR="005C5D0E">
        <w:rPr>
          <w:lang w:val="en-ZA"/>
        </w:rPr>
        <w:t xml:space="preserve">provisional </w:t>
      </w:r>
      <w:r w:rsidR="0017371F">
        <w:rPr>
          <w:lang w:val="en-ZA"/>
        </w:rPr>
        <w:t>winding-up order</w:t>
      </w:r>
      <w:r w:rsidR="005C5D0E">
        <w:rPr>
          <w:lang w:val="en-ZA"/>
        </w:rPr>
        <w:t>,</w:t>
      </w:r>
      <w:r w:rsidR="006603E3" w:rsidRPr="006603E3">
        <w:rPr>
          <w:lang w:val="en-ZA"/>
        </w:rPr>
        <w:t xml:space="preserve"> and the issues </w:t>
      </w:r>
      <w:r w:rsidR="00E85BD1">
        <w:rPr>
          <w:lang w:val="en-ZA"/>
        </w:rPr>
        <w:t xml:space="preserve">in summary </w:t>
      </w:r>
      <w:r w:rsidR="006603E3" w:rsidRPr="006603E3">
        <w:rPr>
          <w:lang w:val="en-ZA"/>
        </w:rPr>
        <w:t xml:space="preserve">are whether </w:t>
      </w:r>
      <w:r w:rsidR="00802ED9">
        <w:rPr>
          <w:lang w:val="en-ZA"/>
        </w:rPr>
        <w:t xml:space="preserve">Intello Capital </w:t>
      </w:r>
      <w:r w:rsidR="005C5D0E">
        <w:rPr>
          <w:lang w:val="en-ZA"/>
        </w:rPr>
        <w:t>is</w:t>
      </w:r>
      <w:r w:rsidR="00E85BD1">
        <w:rPr>
          <w:lang w:val="en-ZA"/>
        </w:rPr>
        <w:t xml:space="preserve"> owed the </w:t>
      </w:r>
      <w:r w:rsidR="005C5D0E">
        <w:rPr>
          <w:lang w:val="en-ZA"/>
        </w:rPr>
        <w:t>money</w:t>
      </w:r>
      <w:r w:rsidR="00E85BD1">
        <w:rPr>
          <w:lang w:val="en-ZA"/>
        </w:rPr>
        <w:t xml:space="preserve"> they claim </w:t>
      </w:r>
      <w:r w:rsidR="001C35A2">
        <w:rPr>
          <w:lang w:val="en-ZA"/>
        </w:rPr>
        <w:t xml:space="preserve">and </w:t>
      </w:r>
      <w:r w:rsidR="006603E3" w:rsidRPr="006603E3">
        <w:rPr>
          <w:lang w:val="en-ZA"/>
        </w:rPr>
        <w:t xml:space="preserve">whether </w:t>
      </w:r>
      <w:r w:rsidR="00E85BD1">
        <w:rPr>
          <w:lang w:val="en-ZA"/>
        </w:rPr>
        <w:t>their</w:t>
      </w:r>
      <w:r w:rsidR="006603E3" w:rsidRPr="006603E3">
        <w:rPr>
          <w:lang w:val="en-ZA"/>
        </w:rPr>
        <w:t xml:space="preserve"> claim </w:t>
      </w:r>
      <w:r w:rsidR="005C5D0E">
        <w:rPr>
          <w:lang w:val="en-ZA"/>
        </w:rPr>
        <w:t>is</w:t>
      </w:r>
      <w:r w:rsidR="006603E3" w:rsidRPr="006603E3">
        <w:rPr>
          <w:lang w:val="en-ZA"/>
        </w:rPr>
        <w:t xml:space="preserve"> disputed on reasonable grounds.  In </w:t>
      </w:r>
      <w:r w:rsidR="006603E3" w:rsidRPr="00E85BD1">
        <w:rPr>
          <w:i/>
          <w:lang w:val="en-ZA"/>
        </w:rPr>
        <w:t xml:space="preserve">Orestisolve (Pty) Ltd </w:t>
      </w:r>
      <w:r w:rsidR="00E85BD1" w:rsidRPr="00E85BD1">
        <w:rPr>
          <w:i/>
          <w:lang w:val="en-ZA"/>
        </w:rPr>
        <w:t>t/a</w:t>
      </w:r>
      <w:r w:rsidR="006603E3" w:rsidRPr="00E85BD1">
        <w:rPr>
          <w:i/>
          <w:lang w:val="en-ZA"/>
        </w:rPr>
        <w:t xml:space="preserve"> Essa Investments v NDFT Investment Holdings (Pty) Ltd and Another</w:t>
      </w:r>
      <w:r w:rsidR="001C35A2">
        <w:rPr>
          <w:rStyle w:val="FootnoteReference"/>
          <w:i/>
          <w:lang w:val="en-ZA"/>
        </w:rPr>
        <w:footnoteReference w:id="6"/>
      </w:r>
      <w:r w:rsidR="006603E3" w:rsidRPr="006603E3">
        <w:rPr>
          <w:lang w:val="en-ZA"/>
        </w:rPr>
        <w:t>, Rogers J said the following:</w:t>
      </w:r>
    </w:p>
    <w:p w:rsidR="006603E3" w:rsidRPr="00014B05" w:rsidRDefault="00E85BD1" w:rsidP="00E85BD1">
      <w:pPr>
        <w:spacing w:line="360" w:lineRule="auto"/>
        <w:jc w:val="both"/>
        <w:outlineLvl w:val="0"/>
        <w:rPr>
          <w:sz w:val="22"/>
          <w:szCs w:val="22"/>
          <w:lang w:val="en-ZA"/>
        </w:rPr>
      </w:pPr>
      <w:r w:rsidRPr="00014B05">
        <w:rPr>
          <w:sz w:val="22"/>
          <w:szCs w:val="22"/>
          <w:lang w:val="en-ZA"/>
        </w:rPr>
        <w:t>‘[7]</w:t>
      </w:r>
      <w:r w:rsidRPr="00014B05">
        <w:rPr>
          <w:sz w:val="22"/>
          <w:szCs w:val="22"/>
          <w:lang w:val="en-ZA"/>
        </w:rPr>
        <w:tab/>
      </w:r>
      <w:r w:rsidR="006603E3" w:rsidRPr="00014B05">
        <w:rPr>
          <w:sz w:val="22"/>
          <w:szCs w:val="22"/>
          <w:lang w:val="en-ZA"/>
        </w:rPr>
        <w:t xml:space="preserve">In an opposed application for provisional liquidation the applicant must establish its entitlement to an order on a </w:t>
      </w:r>
      <w:r w:rsidR="006603E3" w:rsidRPr="00014B05">
        <w:rPr>
          <w:i/>
          <w:sz w:val="22"/>
          <w:szCs w:val="22"/>
          <w:lang w:val="en-ZA"/>
        </w:rPr>
        <w:t>prima facie</w:t>
      </w:r>
      <w:r w:rsidR="006603E3" w:rsidRPr="00014B05">
        <w:rPr>
          <w:sz w:val="22"/>
          <w:szCs w:val="22"/>
          <w:lang w:val="en-ZA"/>
        </w:rPr>
        <w:t xml:space="preserve"> basis, meaning that the applicant must show that the balance of probabilities on the affidavits is in its favour (</w:t>
      </w:r>
      <w:r w:rsidR="006603E3" w:rsidRPr="00014B05">
        <w:rPr>
          <w:i/>
          <w:sz w:val="22"/>
          <w:szCs w:val="22"/>
          <w:lang w:val="en-ZA"/>
        </w:rPr>
        <w:t>Kalil v Decotex (Pty) Ltd and Another</w:t>
      </w:r>
      <w:r w:rsidR="006603E3" w:rsidRPr="00014B05">
        <w:rPr>
          <w:sz w:val="22"/>
          <w:szCs w:val="22"/>
          <w:lang w:val="en-ZA"/>
        </w:rPr>
        <w:t xml:space="preserve"> 1988 (1) SA 943 (A) at 975J – 979F). This would include the existence of the applicant's claim where such is disputed. (I need not concern myself with the circumstances in which oral evidence will be permitted where the applicant cannot establish a </w:t>
      </w:r>
      <w:r w:rsidR="006603E3" w:rsidRPr="001F39E5">
        <w:rPr>
          <w:i/>
          <w:sz w:val="22"/>
          <w:szCs w:val="22"/>
          <w:lang w:val="en-ZA"/>
        </w:rPr>
        <w:t>prima facie</w:t>
      </w:r>
      <w:r w:rsidR="006603E3" w:rsidRPr="00014B05">
        <w:rPr>
          <w:sz w:val="22"/>
          <w:szCs w:val="22"/>
          <w:lang w:val="en-ZA"/>
        </w:rPr>
        <w:t xml:space="preserve"> case.)</w:t>
      </w:r>
    </w:p>
    <w:p w:rsidR="006603E3" w:rsidRPr="00014B05" w:rsidRDefault="006603E3" w:rsidP="0017371F">
      <w:pPr>
        <w:spacing w:after="120" w:line="360" w:lineRule="auto"/>
        <w:jc w:val="both"/>
        <w:outlineLvl w:val="0"/>
        <w:rPr>
          <w:sz w:val="22"/>
          <w:szCs w:val="22"/>
          <w:lang w:val="en-ZA"/>
        </w:rPr>
      </w:pPr>
      <w:r w:rsidRPr="00014B05">
        <w:rPr>
          <w:sz w:val="22"/>
          <w:szCs w:val="22"/>
          <w:lang w:val="en-ZA"/>
        </w:rPr>
        <w:t xml:space="preserve">[8] </w:t>
      </w:r>
      <w:r w:rsidR="005C5D0E">
        <w:rPr>
          <w:sz w:val="22"/>
          <w:szCs w:val="22"/>
          <w:lang w:val="en-ZA"/>
        </w:rPr>
        <w:tab/>
      </w:r>
      <w:r w:rsidRPr="00014B05">
        <w:rPr>
          <w:sz w:val="22"/>
          <w:szCs w:val="22"/>
          <w:lang w:val="en-ZA"/>
        </w:rPr>
        <w:t xml:space="preserve">Even if the applicant establishes its claim on a </w:t>
      </w:r>
      <w:r w:rsidRPr="00014B05">
        <w:rPr>
          <w:i/>
          <w:sz w:val="22"/>
          <w:szCs w:val="22"/>
          <w:lang w:val="en-ZA"/>
        </w:rPr>
        <w:t>prima facie</w:t>
      </w:r>
      <w:r w:rsidRPr="00014B05">
        <w:rPr>
          <w:sz w:val="22"/>
          <w:szCs w:val="22"/>
          <w:lang w:val="en-ZA"/>
        </w:rPr>
        <w:t xml:space="preserve"> basis, a court will ordinarily refuse the application if the claim is </w:t>
      </w:r>
      <w:r w:rsidRPr="00014B05">
        <w:rPr>
          <w:i/>
          <w:sz w:val="22"/>
          <w:szCs w:val="22"/>
          <w:lang w:val="en-ZA"/>
        </w:rPr>
        <w:t>bona fide</w:t>
      </w:r>
      <w:r w:rsidRPr="00014B05">
        <w:rPr>
          <w:sz w:val="22"/>
          <w:szCs w:val="22"/>
          <w:lang w:val="en-ZA"/>
        </w:rPr>
        <w:t xml:space="preserve"> disputed on reasonable grounds. The rule that winding-up proceedings should not be resorted to as a means of enforcing payment of a debt, the existence of which is </w:t>
      </w:r>
      <w:r w:rsidRPr="00014B05">
        <w:rPr>
          <w:i/>
          <w:sz w:val="22"/>
          <w:szCs w:val="22"/>
          <w:lang w:val="en-ZA"/>
        </w:rPr>
        <w:t>bona fide</w:t>
      </w:r>
      <w:r w:rsidRPr="00014B05">
        <w:rPr>
          <w:sz w:val="22"/>
          <w:szCs w:val="22"/>
          <w:lang w:val="en-ZA"/>
        </w:rPr>
        <w:t xml:space="preserve"> disputed on reasonable grounds, is part of the broader principle that the court's processes should not be abused. In the context of liquidation </w:t>
      </w:r>
      <w:r w:rsidR="005C5D0E" w:rsidRPr="00014B05">
        <w:rPr>
          <w:sz w:val="22"/>
          <w:szCs w:val="22"/>
          <w:lang w:val="en-ZA"/>
        </w:rPr>
        <w:t>proceedings,</w:t>
      </w:r>
      <w:r w:rsidRPr="00014B05">
        <w:rPr>
          <w:sz w:val="22"/>
          <w:szCs w:val="22"/>
          <w:lang w:val="en-ZA"/>
        </w:rPr>
        <w:t xml:space="preserve"> the rule is generally known as the </w:t>
      </w:r>
      <w:r w:rsidRPr="00014B05">
        <w:rPr>
          <w:i/>
          <w:sz w:val="22"/>
          <w:szCs w:val="22"/>
          <w:lang w:val="en-ZA"/>
        </w:rPr>
        <w:t>Badenhorst</w:t>
      </w:r>
      <w:r w:rsidRPr="00014B05">
        <w:rPr>
          <w:sz w:val="22"/>
          <w:szCs w:val="22"/>
          <w:lang w:val="en-ZA"/>
        </w:rPr>
        <w:t xml:space="preserve"> rule, from the leading eponymous case on the subject, </w:t>
      </w:r>
      <w:r w:rsidRPr="00014B05">
        <w:rPr>
          <w:i/>
          <w:sz w:val="22"/>
          <w:szCs w:val="22"/>
          <w:lang w:val="en-ZA"/>
        </w:rPr>
        <w:t>Badenhorst v Northern Construction Enterprises (Pty) Ltd</w:t>
      </w:r>
      <w:r w:rsidRPr="00014B05">
        <w:rPr>
          <w:sz w:val="22"/>
          <w:szCs w:val="22"/>
          <w:lang w:val="en-ZA"/>
        </w:rPr>
        <w:t xml:space="preserve"> 1956 (2) SA 346 (T) at 347H – 348C, and is generally now treated as an independent rule, not dependent on proof of actual abuse of process (</w:t>
      </w:r>
      <w:r w:rsidRPr="00014B05">
        <w:rPr>
          <w:i/>
          <w:sz w:val="22"/>
          <w:szCs w:val="22"/>
          <w:lang w:val="en-ZA"/>
        </w:rPr>
        <w:t>Blackman et al Commentary on the Companies Act</w:t>
      </w:r>
      <w:r w:rsidR="00E85BD1" w:rsidRPr="00014B05">
        <w:rPr>
          <w:sz w:val="22"/>
          <w:szCs w:val="22"/>
          <w:lang w:val="en-ZA"/>
        </w:rPr>
        <w:t>, V</w:t>
      </w:r>
      <w:r w:rsidRPr="00014B05">
        <w:rPr>
          <w:sz w:val="22"/>
          <w:szCs w:val="22"/>
          <w:lang w:val="en-ZA"/>
        </w:rPr>
        <w:t xml:space="preserve">ol 3 at 14 – 82 to 14 – 83). A distinction must thus be drawn between factual disputes relating to the respondent's liability to the applicant and disputes relating to the other requirements for liquidation. At the provisional stage the other requirements must be satisfied on a balance of probabilities with reference to the affidavits. In relation to the applicant's claim, however, the court must consider not only where the balance of probabilities lies on the papers but also whether the claim is </w:t>
      </w:r>
      <w:r w:rsidRPr="00014B05">
        <w:rPr>
          <w:i/>
          <w:sz w:val="22"/>
          <w:szCs w:val="22"/>
          <w:lang w:val="en-ZA"/>
        </w:rPr>
        <w:t>bona fide</w:t>
      </w:r>
      <w:r w:rsidRPr="00014B05">
        <w:rPr>
          <w:sz w:val="22"/>
          <w:szCs w:val="22"/>
          <w:lang w:val="en-ZA"/>
        </w:rPr>
        <w:t xml:space="preserve"> disputed on reasonable grounds. A court may reach this conclusion even though on a balance of probabilities (based on the papers) the applicant's claim </w:t>
      </w:r>
      <w:r w:rsidRPr="00014B05">
        <w:rPr>
          <w:sz w:val="22"/>
          <w:szCs w:val="22"/>
          <w:lang w:val="en-ZA"/>
        </w:rPr>
        <w:lastRenderedPageBreak/>
        <w:t>has been made out (</w:t>
      </w:r>
      <w:r w:rsidRPr="00014B05">
        <w:rPr>
          <w:i/>
          <w:sz w:val="22"/>
          <w:szCs w:val="22"/>
          <w:lang w:val="en-ZA"/>
        </w:rPr>
        <w:t>Payslip Investment Holdings CC v Y</w:t>
      </w:r>
      <w:r w:rsidR="00E85BD1" w:rsidRPr="00014B05">
        <w:rPr>
          <w:i/>
          <w:sz w:val="22"/>
          <w:szCs w:val="22"/>
          <w:lang w:val="en-ZA"/>
        </w:rPr>
        <w:t>2K Tec Ltd</w:t>
      </w:r>
      <w:r w:rsidR="00E85BD1" w:rsidRPr="00014B05">
        <w:rPr>
          <w:sz w:val="22"/>
          <w:szCs w:val="22"/>
          <w:lang w:val="en-ZA"/>
        </w:rPr>
        <w:t xml:space="preserve"> 2001 (4) SA 781 (C) </w:t>
      </w:r>
      <w:r w:rsidRPr="00014B05">
        <w:rPr>
          <w:sz w:val="22"/>
          <w:szCs w:val="22"/>
          <w:lang w:val="en-ZA"/>
        </w:rPr>
        <w:t xml:space="preserve">at 783G – I). However, where the applicant at the provisional stage shows that the debt </w:t>
      </w:r>
      <w:r w:rsidRPr="00014B05">
        <w:rPr>
          <w:i/>
          <w:sz w:val="22"/>
          <w:szCs w:val="22"/>
          <w:lang w:val="en-ZA"/>
        </w:rPr>
        <w:t>prima facie</w:t>
      </w:r>
      <w:r w:rsidRPr="00014B05">
        <w:rPr>
          <w:sz w:val="22"/>
          <w:szCs w:val="22"/>
          <w:lang w:val="en-ZA"/>
        </w:rPr>
        <w:t xml:space="preserve"> exists, the onus is on the company to show that it is </w:t>
      </w:r>
      <w:r w:rsidRPr="00014B05">
        <w:rPr>
          <w:i/>
          <w:sz w:val="22"/>
          <w:szCs w:val="22"/>
          <w:lang w:val="en-ZA"/>
        </w:rPr>
        <w:t>bona fide</w:t>
      </w:r>
      <w:r w:rsidRPr="00014B05">
        <w:rPr>
          <w:sz w:val="22"/>
          <w:szCs w:val="22"/>
          <w:lang w:val="en-ZA"/>
        </w:rPr>
        <w:t xml:space="preserve"> disputed on reasonable grounds (</w:t>
      </w:r>
      <w:r w:rsidRPr="00014B05">
        <w:rPr>
          <w:i/>
          <w:sz w:val="22"/>
          <w:szCs w:val="22"/>
          <w:lang w:val="en-ZA"/>
        </w:rPr>
        <w:t>Hülse-Reutter and Another v HEG Consulting Enterprises (Pty) Ltd (Lane and Fey NNO Intervening)</w:t>
      </w:r>
      <w:r w:rsidRPr="00014B05">
        <w:rPr>
          <w:sz w:val="22"/>
          <w:szCs w:val="22"/>
          <w:lang w:val="en-ZA"/>
        </w:rPr>
        <w:t xml:space="preserve"> 1998 (2) SA 208 (C) at 218D – 219C).</w:t>
      </w:r>
      <w:r w:rsidR="0017371F">
        <w:rPr>
          <w:sz w:val="22"/>
          <w:szCs w:val="22"/>
          <w:lang w:val="en-ZA"/>
        </w:rPr>
        <w:t>’</w:t>
      </w:r>
    </w:p>
    <w:p w:rsidR="00CE2F20" w:rsidRPr="004B51DF" w:rsidRDefault="005A58C4" w:rsidP="005A58C4">
      <w:pPr>
        <w:spacing w:after="120" w:line="360" w:lineRule="auto"/>
        <w:jc w:val="both"/>
        <w:outlineLvl w:val="0"/>
        <w:rPr>
          <w:color w:val="000000"/>
          <w:lang w:val="en-ZA"/>
        </w:rPr>
      </w:pPr>
      <w:r w:rsidRPr="004B51DF">
        <w:rPr>
          <w:color w:val="000000"/>
          <w:lang w:val="en-ZA"/>
        </w:rPr>
        <w:t>[12].</w:t>
      </w:r>
      <w:r w:rsidRPr="004B51DF">
        <w:rPr>
          <w:color w:val="000000"/>
          <w:lang w:val="en-ZA"/>
        </w:rPr>
        <w:tab/>
      </w:r>
      <w:r w:rsidR="004B51DF">
        <w:rPr>
          <w:color w:val="000000"/>
          <w:lang w:val="en-ZA"/>
        </w:rPr>
        <w:t xml:space="preserve">For all of these reasons, I agree with Mr Els, Counsel for Intello Capital, that this defence of misrepresentation </w:t>
      </w:r>
      <w:r w:rsidR="004B51DF" w:rsidRPr="00C84415">
        <w:rPr>
          <w:color w:val="000000"/>
          <w:lang w:val="en-ZA"/>
        </w:rPr>
        <w:t xml:space="preserve">is not a valid and a </w:t>
      </w:r>
      <w:r w:rsidR="004B51DF" w:rsidRPr="00C84415">
        <w:rPr>
          <w:i/>
          <w:color w:val="000000"/>
          <w:lang w:val="en-ZA"/>
        </w:rPr>
        <w:t>bona fide</w:t>
      </w:r>
      <w:r w:rsidR="004B51DF" w:rsidRPr="00C84415">
        <w:rPr>
          <w:color w:val="000000"/>
          <w:lang w:val="en-ZA"/>
        </w:rPr>
        <w:t xml:space="preserve"> defence, which can assist Sigge in resisting the winding-up application. It is an afterthought</w:t>
      </w:r>
      <w:r w:rsidR="004B51DF">
        <w:rPr>
          <w:color w:val="000000"/>
          <w:lang w:val="en-ZA"/>
        </w:rPr>
        <w:t xml:space="preserve"> </w:t>
      </w:r>
      <w:r w:rsidR="004B51DF" w:rsidRPr="00C84415">
        <w:rPr>
          <w:color w:val="000000"/>
          <w:lang w:val="en-ZA"/>
        </w:rPr>
        <w:t>aimed at camouflaging Sigge’s commercial insolvency</w:t>
      </w:r>
      <w:r w:rsidR="004B51DF">
        <w:rPr>
          <w:color w:val="000000"/>
          <w:lang w:val="en-ZA"/>
        </w:rPr>
        <w:t xml:space="preserve">. </w:t>
      </w:r>
      <w:r w:rsidR="00CE2F20" w:rsidRPr="004B51DF">
        <w:rPr>
          <w:lang w:val="en-ZA"/>
        </w:rPr>
        <w:t>I</w:t>
      </w:r>
      <w:r w:rsidR="004B51DF">
        <w:rPr>
          <w:lang w:val="en-ZA"/>
        </w:rPr>
        <w:t xml:space="preserve"> therefore of the view that </w:t>
      </w:r>
      <w:r w:rsidR="00CE2F20" w:rsidRPr="004B51DF">
        <w:rPr>
          <w:lang w:val="en-ZA"/>
        </w:rPr>
        <w:t>Intello Capital has made out a case for the provisional winding-up of Sigge.</w:t>
      </w:r>
    </w:p>
    <w:p w:rsidR="00F316BD" w:rsidRPr="00A043D6" w:rsidRDefault="005A58C4" w:rsidP="005A58C4">
      <w:pPr>
        <w:spacing w:line="360" w:lineRule="auto"/>
        <w:jc w:val="both"/>
        <w:outlineLvl w:val="0"/>
        <w:rPr>
          <w:lang w:val="en-ZA"/>
        </w:rPr>
      </w:pPr>
      <w:r w:rsidRPr="00A043D6">
        <w:rPr>
          <w:lang w:val="en-ZA"/>
        </w:rPr>
        <w:t>[13].</w:t>
      </w:r>
      <w:r w:rsidRPr="00A043D6">
        <w:rPr>
          <w:lang w:val="en-ZA"/>
        </w:rPr>
        <w:tab/>
      </w:r>
      <w:r w:rsidR="00A9714E">
        <w:rPr>
          <w:lang w:val="en-ZA"/>
        </w:rPr>
        <w:t>There is one more issue which I need to address and that relates the alleged non-compliance by Intello Capital with the provisions of s 346(4A) of the Companies Act</w:t>
      </w:r>
      <w:r w:rsidR="00A9714E">
        <w:rPr>
          <w:rStyle w:val="FootnoteReference"/>
          <w:lang w:val="en-ZA"/>
        </w:rPr>
        <w:footnoteReference w:id="7"/>
      </w:r>
      <w:r w:rsidR="00A9714E">
        <w:rPr>
          <w:lang w:val="en-ZA"/>
        </w:rPr>
        <w:t xml:space="preserve">, which provides as follows: - </w:t>
      </w:r>
    </w:p>
    <w:p w:rsidR="00F316BD" w:rsidRPr="00F316BD" w:rsidRDefault="00F316BD" w:rsidP="00BB4D50">
      <w:pPr>
        <w:spacing w:line="360" w:lineRule="auto"/>
        <w:ind w:left="567" w:hanging="567"/>
        <w:jc w:val="both"/>
        <w:outlineLvl w:val="0"/>
        <w:rPr>
          <w:sz w:val="20"/>
          <w:szCs w:val="20"/>
          <w:lang w:val="en-ZA"/>
        </w:rPr>
      </w:pPr>
      <w:r>
        <w:rPr>
          <w:sz w:val="20"/>
          <w:szCs w:val="20"/>
          <w:lang w:val="en-ZA"/>
        </w:rPr>
        <w:t>‘(4A)</w:t>
      </w:r>
      <w:r>
        <w:rPr>
          <w:sz w:val="20"/>
          <w:szCs w:val="20"/>
          <w:lang w:val="en-ZA"/>
        </w:rPr>
        <w:tab/>
        <w:t>(a)</w:t>
      </w:r>
      <w:r w:rsidR="00BB4D50">
        <w:rPr>
          <w:sz w:val="20"/>
          <w:szCs w:val="20"/>
          <w:lang w:val="en-ZA"/>
        </w:rPr>
        <w:t xml:space="preserve"> </w:t>
      </w:r>
      <w:r w:rsidRPr="00F316BD">
        <w:rPr>
          <w:sz w:val="20"/>
          <w:szCs w:val="20"/>
          <w:lang w:val="en-ZA"/>
        </w:rPr>
        <w:t>When an application is presented to the court in terms of this section, the applicant must fu</w:t>
      </w:r>
      <w:r w:rsidR="00BB4D50">
        <w:rPr>
          <w:sz w:val="20"/>
          <w:szCs w:val="20"/>
          <w:lang w:val="en-ZA"/>
        </w:rPr>
        <w:t xml:space="preserve">rnish a copy of the application – </w:t>
      </w:r>
    </w:p>
    <w:p w:rsidR="00F316BD" w:rsidRPr="005A58C4" w:rsidRDefault="005A58C4" w:rsidP="005A58C4">
      <w:pPr>
        <w:spacing w:line="360" w:lineRule="auto"/>
        <w:ind w:left="1080" w:hanging="720"/>
        <w:jc w:val="both"/>
        <w:outlineLvl w:val="0"/>
        <w:rPr>
          <w:sz w:val="20"/>
          <w:szCs w:val="20"/>
          <w:lang w:val="en-ZA"/>
        </w:rPr>
      </w:pPr>
      <w:r>
        <w:rPr>
          <w:sz w:val="20"/>
          <w:szCs w:val="20"/>
          <w:lang w:val="en-ZA"/>
        </w:rPr>
        <w:t>(i)</w:t>
      </w:r>
      <w:r>
        <w:rPr>
          <w:sz w:val="20"/>
          <w:szCs w:val="20"/>
          <w:lang w:val="en-ZA"/>
        </w:rPr>
        <w:tab/>
      </w:r>
      <w:r w:rsidR="00F316BD" w:rsidRPr="005A58C4">
        <w:rPr>
          <w:sz w:val="20"/>
          <w:szCs w:val="20"/>
          <w:lang w:val="en-ZA"/>
        </w:rPr>
        <w:t>to every registered trade union that, as far as the applicant can reasonably ascertain, represents any of the employees of the company; and</w:t>
      </w:r>
    </w:p>
    <w:p w:rsidR="00F316BD" w:rsidRPr="005A58C4" w:rsidRDefault="005A58C4" w:rsidP="005A58C4">
      <w:pPr>
        <w:spacing w:line="360" w:lineRule="auto"/>
        <w:ind w:left="1080" w:hanging="720"/>
        <w:jc w:val="both"/>
        <w:outlineLvl w:val="0"/>
        <w:rPr>
          <w:sz w:val="20"/>
          <w:szCs w:val="20"/>
          <w:lang w:val="en-ZA"/>
        </w:rPr>
      </w:pPr>
      <w:r w:rsidRPr="00BB4D50">
        <w:rPr>
          <w:sz w:val="20"/>
          <w:szCs w:val="20"/>
          <w:lang w:val="en-ZA"/>
        </w:rPr>
        <w:t>(ii)</w:t>
      </w:r>
      <w:r w:rsidRPr="00BB4D50">
        <w:rPr>
          <w:sz w:val="20"/>
          <w:szCs w:val="20"/>
          <w:lang w:val="en-ZA"/>
        </w:rPr>
        <w:tab/>
      </w:r>
      <w:r w:rsidR="00BB4D50" w:rsidRPr="005A58C4">
        <w:rPr>
          <w:sz w:val="20"/>
          <w:szCs w:val="20"/>
          <w:lang w:val="en-ZA"/>
        </w:rPr>
        <w:t xml:space="preserve">to the employees themselves – </w:t>
      </w:r>
    </w:p>
    <w:p w:rsidR="00F316BD" w:rsidRPr="00F316BD" w:rsidRDefault="00BB4D50" w:rsidP="00BB4D50">
      <w:pPr>
        <w:spacing w:line="360" w:lineRule="auto"/>
        <w:ind w:left="1418" w:hanging="567"/>
        <w:jc w:val="both"/>
        <w:outlineLvl w:val="0"/>
        <w:rPr>
          <w:sz w:val="20"/>
          <w:szCs w:val="20"/>
          <w:lang w:val="en-ZA"/>
        </w:rPr>
      </w:pPr>
      <w:r>
        <w:rPr>
          <w:sz w:val="20"/>
          <w:szCs w:val="20"/>
          <w:lang w:val="en-ZA"/>
        </w:rPr>
        <w:t>(aa)</w:t>
      </w:r>
      <w:r>
        <w:rPr>
          <w:sz w:val="20"/>
          <w:szCs w:val="20"/>
          <w:lang w:val="en-ZA"/>
        </w:rPr>
        <w:tab/>
      </w:r>
      <w:r w:rsidR="00F316BD" w:rsidRPr="00F316BD">
        <w:rPr>
          <w:sz w:val="20"/>
          <w:szCs w:val="20"/>
          <w:lang w:val="en-ZA"/>
        </w:rPr>
        <w:t>by affixing a copy of the application to any notice board to which the applicant and the employees have access inside the premises of the company; or</w:t>
      </w:r>
    </w:p>
    <w:p w:rsidR="00F316BD" w:rsidRPr="00F316BD" w:rsidRDefault="00BB4D50" w:rsidP="00BB4D50">
      <w:pPr>
        <w:spacing w:line="360" w:lineRule="auto"/>
        <w:ind w:left="1418" w:hanging="567"/>
        <w:jc w:val="both"/>
        <w:outlineLvl w:val="0"/>
        <w:rPr>
          <w:sz w:val="20"/>
          <w:szCs w:val="20"/>
          <w:lang w:val="en-ZA"/>
        </w:rPr>
      </w:pPr>
      <w:r>
        <w:rPr>
          <w:sz w:val="20"/>
          <w:szCs w:val="20"/>
          <w:lang w:val="en-ZA"/>
        </w:rPr>
        <w:t>(bb)</w:t>
      </w:r>
      <w:r>
        <w:rPr>
          <w:sz w:val="20"/>
          <w:szCs w:val="20"/>
          <w:lang w:val="en-ZA"/>
        </w:rPr>
        <w:tab/>
      </w:r>
      <w:r w:rsidR="00F316BD" w:rsidRPr="00F316BD">
        <w:rPr>
          <w:sz w:val="20"/>
          <w:szCs w:val="20"/>
          <w:lang w:val="en-ZA"/>
        </w:rPr>
        <w:t>if there is no access to the premises by the applicant and the employees, by affixing a copy of the application to the front gate of the premises, where applicable, failing which to the front door of the premises from which the company conducted any business at the time of the application;</w:t>
      </w:r>
    </w:p>
    <w:p w:rsidR="00F316BD" w:rsidRPr="005A58C4" w:rsidRDefault="005A58C4" w:rsidP="005A58C4">
      <w:pPr>
        <w:spacing w:line="360" w:lineRule="auto"/>
        <w:ind w:left="1080" w:hanging="720"/>
        <w:jc w:val="both"/>
        <w:outlineLvl w:val="0"/>
        <w:rPr>
          <w:sz w:val="20"/>
          <w:szCs w:val="20"/>
          <w:lang w:val="en-ZA"/>
        </w:rPr>
      </w:pPr>
      <w:r>
        <w:rPr>
          <w:sz w:val="20"/>
          <w:szCs w:val="20"/>
          <w:lang w:val="en-ZA"/>
        </w:rPr>
        <w:t>(iii)</w:t>
      </w:r>
      <w:r>
        <w:rPr>
          <w:sz w:val="20"/>
          <w:szCs w:val="20"/>
          <w:lang w:val="en-ZA"/>
        </w:rPr>
        <w:tab/>
      </w:r>
      <w:r w:rsidR="00F316BD" w:rsidRPr="005A58C4">
        <w:rPr>
          <w:sz w:val="20"/>
          <w:szCs w:val="20"/>
          <w:lang w:val="en-ZA"/>
        </w:rPr>
        <w:t>to the South African Revenue Service; and</w:t>
      </w:r>
    </w:p>
    <w:p w:rsidR="00BB4D50" w:rsidRPr="005A58C4" w:rsidRDefault="005A58C4" w:rsidP="005A58C4">
      <w:pPr>
        <w:spacing w:line="360" w:lineRule="auto"/>
        <w:ind w:left="1077" w:hanging="720"/>
        <w:jc w:val="both"/>
        <w:outlineLvl w:val="0"/>
        <w:rPr>
          <w:sz w:val="20"/>
          <w:szCs w:val="20"/>
          <w:lang w:val="en-ZA"/>
        </w:rPr>
      </w:pPr>
      <w:r>
        <w:rPr>
          <w:sz w:val="20"/>
          <w:szCs w:val="20"/>
          <w:lang w:val="en-ZA"/>
        </w:rPr>
        <w:t>(iv)</w:t>
      </w:r>
      <w:r>
        <w:rPr>
          <w:sz w:val="20"/>
          <w:szCs w:val="20"/>
          <w:lang w:val="en-ZA"/>
        </w:rPr>
        <w:tab/>
      </w:r>
      <w:r w:rsidR="00F316BD" w:rsidRPr="005A58C4">
        <w:rPr>
          <w:sz w:val="20"/>
          <w:szCs w:val="20"/>
          <w:lang w:val="en-ZA"/>
        </w:rPr>
        <w:t>to the company, unless the application is made by the company, or the court, at its discretion, dispenses with the furnishing of a copy where the court is satisfied that it would be in the interests of the company or of the creditors to dispense with it.</w:t>
      </w:r>
    </w:p>
    <w:p w:rsidR="00BB4D50" w:rsidRPr="00BB4D50" w:rsidRDefault="00BB4D50" w:rsidP="00BB4D50">
      <w:pPr>
        <w:spacing w:after="120" w:line="360" w:lineRule="auto"/>
        <w:ind w:left="993" w:hanging="426"/>
        <w:jc w:val="both"/>
        <w:outlineLvl w:val="0"/>
        <w:rPr>
          <w:sz w:val="20"/>
          <w:szCs w:val="20"/>
          <w:lang w:val="en-ZA"/>
        </w:rPr>
      </w:pPr>
      <w:r>
        <w:rPr>
          <w:sz w:val="20"/>
          <w:szCs w:val="20"/>
          <w:lang w:val="en-ZA"/>
        </w:rPr>
        <w:t>(b)</w:t>
      </w:r>
      <w:r>
        <w:rPr>
          <w:sz w:val="20"/>
          <w:szCs w:val="20"/>
          <w:lang w:val="en-ZA"/>
        </w:rPr>
        <w:tab/>
      </w:r>
      <w:r w:rsidRPr="00BB4D50">
        <w:rPr>
          <w:sz w:val="20"/>
          <w:szCs w:val="20"/>
          <w:lang w:val="en-ZA"/>
        </w:rPr>
        <w:t>The applicant must, before or during the hearing, file an affidavit by the person who furnished a copy of the application which sets out the manner in which paragraph (a) was complied with.</w:t>
      </w:r>
      <w:r w:rsidR="00B56ACD">
        <w:rPr>
          <w:sz w:val="20"/>
          <w:szCs w:val="20"/>
          <w:lang w:val="en-ZA"/>
        </w:rPr>
        <w:t>’</w:t>
      </w:r>
      <w:r w:rsidR="00F316BD" w:rsidRPr="00BB4D50">
        <w:rPr>
          <w:sz w:val="20"/>
          <w:szCs w:val="20"/>
          <w:lang w:val="en-ZA"/>
        </w:rPr>
        <w:t xml:space="preserve"> </w:t>
      </w:r>
    </w:p>
    <w:p w:rsidR="00ED0D85" w:rsidRPr="00ED0D85" w:rsidRDefault="005A58C4" w:rsidP="005A58C4">
      <w:pPr>
        <w:spacing w:after="120" w:line="360" w:lineRule="auto"/>
        <w:jc w:val="both"/>
        <w:outlineLvl w:val="0"/>
        <w:rPr>
          <w:color w:val="000000"/>
          <w:lang w:val="en-ZA"/>
        </w:rPr>
      </w:pPr>
      <w:r w:rsidRPr="00ED0D85">
        <w:rPr>
          <w:color w:val="000000"/>
          <w:lang w:val="en-ZA"/>
        </w:rPr>
        <w:t>[14].</w:t>
      </w:r>
      <w:r w:rsidRPr="00ED0D85">
        <w:rPr>
          <w:color w:val="000000"/>
          <w:lang w:val="en-ZA"/>
        </w:rPr>
        <w:tab/>
      </w:r>
      <w:r w:rsidR="00CD0DF4">
        <w:rPr>
          <w:color w:val="000000"/>
          <w:lang w:val="en-ZA"/>
        </w:rPr>
        <w:t xml:space="preserve">Sigge takes issue with the fact that </w:t>
      </w:r>
      <w:r w:rsidR="00ED0D85">
        <w:rPr>
          <w:color w:val="000000"/>
          <w:lang w:val="en-ZA"/>
        </w:rPr>
        <w:t xml:space="preserve">the </w:t>
      </w:r>
      <w:r w:rsidR="00CD0DF4">
        <w:rPr>
          <w:color w:val="000000"/>
          <w:lang w:val="en-ZA"/>
        </w:rPr>
        <w:t>winding-up application</w:t>
      </w:r>
      <w:r w:rsidR="00E12B97">
        <w:rPr>
          <w:color w:val="000000"/>
          <w:lang w:val="en-ZA"/>
        </w:rPr>
        <w:t xml:space="preserve">, although addressed to the ‘Employees of the respondent’ and </w:t>
      </w:r>
      <w:r w:rsidR="00ED0D85">
        <w:rPr>
          <w:color w:val="000000"/>
          <w:lang w:val="en-ZA"/>
        </w:rPr>
        <w:t xml:space="preserve">to </w:t>
      </w:r>
      <w:r w:rsidR="00E12B97">
        <w:rPr>
          <w:color w:val="000000"/>
          <w:lang w:val="en-ZA"/>
        </w:rPr>
        <w:t xml:space="preserve">the ‘Trade Unions of the </w:t>
      </w:r>
      <w:r w:rsidR="00E12B97">
        <w:rPr>
          <w:color w:val="000000"/>
          <w:lang w:val="en-ZA"/>
        </w:rPr>
        <w:lastRenderedPageBreak/>
        <w:t xml:space="preserve">Employees’, </w:t>
      </w:r>
      <w:r w:rsidR="00CD0DF4">
        <w:rPr>
          <w:color w:val="000000"/>
          <w:lang w:val="en-ZA"/>
        </w:rPr>
        <w:t xml:space="preserve">was </w:t>
      </w:r>
      <w:r w:rsidR="00E12B97">
        <w:rPr>
          <w:color w:val="000000"/>
          <w:lang w:val="en-ZA"/>
        </w:rPr>
        <w:t xml:space="preserve">apparently not served on them as required by subsection (4A)(ii). This means, so Sigge contends, that the application should </w:t>
      </w:r>
      <w:r w:rsidR="00ED0D85">
        <w:rPr>
          <w:color w:val="000000"/>
          <w:lang w:val="en-ZA"/>
        </w:rPr>
        <w:t xml:space="preserve">either be dismissed or </w:t>
      </w:r>
      <w:r w:rsidR="00E12B97">
        <w:rPr>
          <w:color w:val="000000"/>
          <w:lang w:val="en-ZA"/>
        </w:rPr>
        <w:t xml:space="preserve">be removed from the roll and for that contention reliance is placed on a </w:t>
      </w:r>
      <w:r w:rsidR="006D4550">
        <w:rPr>
          <w:color w:val="000000"/>
          <w:lang w:val="en-ZA"/>
        </w:rPr>
        <w:t>couple</w:t>
      </w:r>
      <w:r w:rsidR="00E12B97">
        <w:rPr>
          <w:color w:val="000000"/>
          <w:lang w:val="en-ZA"/>
        </w:rPr>
        <w:t xml:space="preserve"> of High Court cas</w:t>
      </w:r>
      <w:r w:rsidR="00ED0D85">
        <w:rPr>
          <w:color w:val="000000"/>
          <w:lang w:val="en-ZA"/>
        </w:rPr>
        <w:t xml:space="preserve">es, notably </w:t>
      </w:r>
      <w:r w:rsidR="00ED0D85" w:rsidRPr="00ED0D85">
        <w:rPr>
          <w:i/>
          <w:color w:val="000000"/>
          <w:lang w:val="en-ZA"/>
        </w:rPr>
        <w:t>Cassim v Ramagale Holdings (Pty) Ltd</w:t>
      </w:r>
      <w:r w:rsidR="00ED0D85">
        <w:rPr>
          <w:rStyle w:val="FootnoteReference"/>
          <w:i/>
          <w:color w:val="000000"/>
          <w:lang w:val="en-ZA"/>
        </w:rPr>
        <w:footnoteReference w:id="8"/>
      </w:r>
      <w:r w:rsidR="00ED0D85">
        <w:rPr>
          <w:color w:val="000000"/>
          <w:lang w:val="en-ZA"/>
        </w:rPr>
        <w:t xml:space="preserve"> </w:t>
      </w:r>
      <w:r w:rsidR="00ED0D85" w:rsidRPr="00ED0D85">
        <w:rPr>
          <w:color w:val="000000"/>
          <w:lang w:val="en-ZA"/>
        </w:rPr>
        <w:t xml:space="preserve">and </w:t>
      </w:r>
      <w:r w:rsidR="00ED0D85" w:rsidRPr="00ED0D85">
        <w:rPr>
          <w:i/>
          <w:color w:val="000000"/>
          <w:lang w:val="en-ZA"/>
        </w:rPr>
        <w:t>Bees Winkel (Pty) Ltd v Mkhulu Tshukudu Holdings (Pty)</w:t>
      </w:r>
      <w:r w:rsidR="00ED0D85">
        <w:rPr>
          <w:rStyle w:val="FootnoteReference"/>
          <w:i/>
          <w:color w:val="000000"/>
          <w:lang w:val="en-ZA"/>
        </w:rPr>
        <w:footnoteReference w:id="9"/>
      </w:r>
      <w:r w:rsidR="00ED0D85">
        <w:rPr>
          <w:color w:val="000000"/>
          <w:lang w:val="en-ZA"/>
        </w:rPr>
        <w:t>.</w:t>
      </w:r>
      <w:r w:rsidR="00ED0D85" w:rsidRPr="00ED0D85">
        <w:rPr>
          <w:color w:val="000000"/>
          <w:lang w:val="en-ZA"/>
        </w:rPr>
        <w:t xml:space="preserve"> </w:t>
      </w:r>
    </w:p>
    <w:p w:rsidR="00A043D6" w:rsidRDefault="005A58C4" w:rsidP="005A58C4">
      <w:pPr>
        <w:spacing w:line="360" w:lineRule="auto"/>
        <w:jc w:val="both"/>
        <w:outlineLvl w:val="0"/>
        <w:rPr>
          <w:color w:val="000000"/>
          <w:lang w:val="en-ZA"/>
        </w:rPr>
      </w:pPr>
      <w:r>
        <w:rPr>
          <w:color w:val="000000"/>
          <w:lang w:val="en-ZA"/>
        </w:rPr>
        <w:t>[15].</w:t>
      </w:r>
      <w:r>
        <w:rPr>
          <w:color w:val="000000"/>
          <w:lang w:val="en-ZA"/>
        </w:rPr>
        <w:tab/>
      </w:r>
      <w:r w:rsidR="00A043D6">
        <w:rPr>
          <w:color w:val="000000"/>
          <w:lang w:val="en-ZA"/>
        </w:rPr>
        <w:t xml:space="preserve">As regards the furnishing of the winding-up application to the employees of Sigge and/or any of their Trade Unions, the sheriff served same or attempted to serve same on them. The sheriff’s return relating to the employees </w:t>
      </w:r>
      <w:r w:rsidR="006D4550">
        <w:rPr>
          <w:color w:val="000000"/>
          <w:lang w:val="en-ZA"/>
        </w:rPr>
        <w:t xml:space="preserve">of Sigge </w:t>
      </w:r>
      <w:r w:rsidR="00A043D6">
        <w:rPr>
          <w:color w:val="000000"/>
          <w:lang w:val="en-ZA"/>
        </w:rPr>
        <w:t xml:space="preserve">reads as follows: - </w:t>
      </w:r>
    </w:p>
    <w:p w:rsidR="009A23B2" w:rsidRPr="003217F2" w:rsidRDefault="003217F2" w:rsidP="003217F2">
      <w:pPr>
        <w:spacing w:line="360" w:lineRule="auto"/>
        <w:jc w:val="both"/>
        <w:outlineLvl w:val="0"/>
        <w:rPr>
          <w:color w:val="000000"/>
          <w:sz w:val="20"/>
          <w:szCs w:val="20"/>
          <w:lang w:val="en-ZA"/>
        </w:rPr>
      </w:pPr>
      <w:r w:rsidRPr="003217F2">
        <w:rPr>
          <w:color w:val="000000"/>
          <w:sz w:val="20"/>
          <w:szCs w:val="20"/>
          <w:lang w:val="en-ZA"/>
        </w:rPr>
        <w:t>‘</w:t>
      </w:r>
      <w:r w:rsidR="009A23B2" w:rsidRPr="003217F2">
        <w:rPr>
          <w:color w:val="000000"/>
          <w:sz w:val="20"/>
          <w:szCs w:val="20"/>
          <w:lang w:val="en-ZA"/>
        </w:rPr>
        <w:t>On this 06 day of April 2022 at 12:28, I served the Notice of Motion in this mater upon Enver, Employee, apparently a responsible employee and apparently not less than 16 years of age, of and in control of and at the principal place of business within the court's jurisdiction of Sigge Managed Solutions (Pty) Ltd at The Employees of the Respondent at 1 Houer Road, Bidvest SADC Depot, City Deep, Johannesburg, by handing to the PARTY SERVED a copy thereof after explaining the nature and exigency of the said process. Rule 4(1) (a) (v)</w:t>
      </w:r>
    </w:p>
    <w:p w:rsidR="009A23B2" w:rsidRPr="003217F2" w:rsidRDefault="006D4550" w:rsidP="003217F2">
      <w:pPr>
        <w:spacing w:after="120" w:line="360" w:lineRule="auto"/>
        <w:jc w:val="both"/>
        <w:outlineLvl w:val="0"/>
        <w:rPr>
          <w:color w:val="000000"/>
          <w:sz w:val="20"/>
          <w:szCs w:val="20"/>
          <w:lang w:val="en-ZA"/>
        </w:rPr>
      </w:pPr>
      <w:r w:rsidRPr="003217F2">
        <w:rPr>
          <w:color w:val="000000"/>
          <w:sz w:val="20"/>
          <w:szCs w:val="20"/>
          <w:lang w:val="en-ZA"/>
        </w:rPr>
        <w:t>REMARK: Spoke t</w:t>
      </w:r>
      <w:r w:rsidR="009A23B2" w:rsidRPr="003217F2">
        <w:rPr>
          <w:color w:val="000000"/>
          <w:sz w:val="20"/>
          <w:szCs w:val="20"/>
          <w:lang w:val="en-ZA"/>
        </w:rPr>
        <w:t xml:space="preserve">o </w:t>
      </w:r>
      <w:r w:rsidRPr="003217F2">
        <w:rPr>
          <w:color w:val="000000"/>
          <w:sz w:val="20"/>
          <w:szCs w:val="20"/>
          <w:lang w:val="en-ZA"/>
        </w:rPr>
        <w:t>Lelanie, Director’s wife, s</w:t>
      </w:r>
      <w:r w:rsidR="009A23B2" w:rsidRPr="003217F2">
        <w:rPr>
          <w:color w:val="000000"/>
          <w:sz w:val="20"/>
          <w:szCs w:val="20"/>
          <w:lang w:val="en-ZA"/>
        </w:rPr>
        <w:t xml:space="preserve">he </w:t>
      </w:r>
      <w:r w:rsidRPr="003217F2">
        <w:rPr>
          <w:color w:val="000000"/>
          <w:sz w:val="20"/>
          <w:szCs w:val="20"/>
          <w:lang w:val="en-ZA"/>
        </w:rPr>
        <w:t>said t</w:t>
      </w:r>
      <w:r w:rsidR="009A23B2" w:rsidRPr="003217F2">
        <w:rPr>
          <w:color w:val="000000"/>
          <w:sz w:val="20"/>
          <w:szCs w:val="20"/>
          <w:lang w:val="en-ZA"/>
        </w:rPr>
        <w:t>he</w:t>
      </w:r>
      <w:r w:rsidRPr="003217F2">
        <w:rPr>
          <w:color w:val="000000"/>
          <w:sz w:val="20"/>
          <w:szCs w:val="20"/>
          <w:lang w:val="en-ZA"/>
        </w:rPr>
        <w:t xml:space="preserve"> registered address i</w:t>
      </w:r>
      <w:r w:rsidR="009A23B2" w:rsidRPr="003217F2">
        <w:rPr>
          <w:color w:val="000000"/>
          <w:sz w:val="20"/>
          <w:szCs w:val="20"/>
          <w:lang w:val="en-ZA"/>
        </w:rPr>
        <w:t>s 21 The Broads</w:t>
      </w:r>
      <w:r w:rsidRPr="003217F2">
        <w:rPr>
          <w:color w:val="000000"/>
          <w:sz w:val="20"/>
          <w:szCs w:val="20"/>
          <w:lang w:val="en-ZA"/>
        </w:rPr>
        <w:t>, Mulbarton;</w:t>
      </w:r>
      <w:r w:rsidR="009A23B2" w:rsidRPr="003217F2">
        <w:rPr>
          <w:color w:val="000000"/>
          <w:sz w:val="20"/>
          <w:szCs w:val="20"/>
          <w:lang w:val="en-ZA"/>
        </w:rPr>
        <w:t xml:space="preserve"> Residential </w:t>
      </w:r>
      <w:r w:rsidRPr="003217F2">
        <w:rPr>
          <w:color w:val="000000"/>
          <w:sz w:val="20"/>
          <w:szCs w:val="20"/>
          <w:lang w:val="en-ZA"/>
        </w:rPr>
        <w:t>address</w:t>
      </w:r>
      <w:r w:rsidR="009A23B2" w:rsidRPr="003217F2">
        <w:rPr>
          <w:color w:val="000000"/>
          <w:sz w:val="20"/>
          <w:szCs w:val="20"/>
          <w:lang w:val="en-ZA"/>
        </w:rPr>
        <w:t xml:space="preserve"> </w:t>
      </w:r>
      <w:r w:rsidRPr="003217F2">
        <w:rPr>
          <w:color w:val="000000"/>
          <w:sz w:val="20"/>
          <w:szCs w:val="20"/>
          <w:lang w:val="en-ZA"/>
        </w:rPr>
        <w:t xml:space="preserve">is 10 </w:t>
      </w:r>
      <w:r w:rsidR="003217F2" w:rsidRPr="003217F2">
        <w:rPr>
          <w:color w:val="000000"/>
          <w:sz w:val="20"/>
          <w:szCs w:val="20"/>
          <w:lang w:val="en-ZA"/>
        </w:rPr>
        <w:t>Poinsettia</w:t>
      </w:r>
      <w:r w:rsidRPr="003217F2">
        <w:rPr>
          <w:color w:val="000000"/>
          <w:sz w:val="20"/>
          <w:szCs w:val="20"/>
          <w:lang w:val="en-ZA"/>
        </w:rPr>
        <w:t xml:space="preserve"> </w:t>
      </w:r>
      <w:r w:rsidR="003217F2" w:rsidRPr="003217F2">
        <w:rPr>
          <w:color w:val="000000"/>
          <w:sz w:val="20"/>
          <w:szCs w:val="20"/>
          <w:lang w:val="en-ZA"/>
        </w:rPr>
        <w:t>Road</w:t>
      </w:r>
      <w:r w:rsidRPr="003217F2">
        <w:rPr>
          <w:color w:val="000000"/>
          <w:sz w:val="20"/>
          <w:szCs w:val="20"/>
          <w:lang w:val="en-ZA"/>
        </w:rPr>
        <w:t xml:space="preserve">, Meyersdal – </w:t>
      </w:r>
      <w:r w:rsidR="009A23B2" w:rsidRPr="003217F2">
        <w:rPr>
          <w:color w:val="000000"/>
          <w:sz w:val="20"/>
          <w:szCs w:val="20"/>
          <w:lang w:val="en-ZA"/>
        </w:rPr>
        <w:t>Enver</w:t>
      </w:r>
      <w:r w:rsidRPr="003217F2">
        <w:rPr>
          <w:color w:val="000000"/>
          <w:sz w:val="20"/>
          <w:szCs w:val="20"/>
          <w:lang w:val="en-ZA"/>
        </w:rPr>
        <w:t xml:space="preserve"> informed that t</w:t>
      </w:r>
      <w:r w:rsidR="009A23B2" w:rsidRPr="003217F2">
        <w:rPr>
          <w:color w:val="000000"/>
          <w:sz w:val="20"/>
          <w:szCs w:val="20"/>
          <w:lang w:val="en-ZA"/>
        </w:rPr>
        <w:t xml:space="preserve">here </w:t>
      </w:r>
      <w:r w:rsidRPr="003217F2">
        <w:rPr>
          <w:color w:val="000000"/>
          <w:sz w:val="20"/>
          <w:szCs w:val="20"/>
          <w:lang w:val="en-ZA"/>
        </w:rPr>
        <w:t>is n</w:t>
      </w:r>
      <w:r w:rsidR="009A23B2" w:rsidRPr="003217F2">
        <w:rPr>
          <w:color w:val="000000"/>
          <w:sz w:val="20"/>
          <w:szCs w:val="20"/>
          <w:lang w:val="en-ZA"/>
        </w:rPr>
        <w:t>o Trade Unions</w:t>
      </w:r>
      <w:r w:rsidR="003217F2" w:rsidRPr="003217F2">
        <w:rPr>
          <w:color w:val="000000"/>
          <w:sz w:val="20"/>
          <w:szCs w:val="20"/>
          <w:lang w:val="en-ZA"/>
        </w:rPr>
        <w:t>.’</w:t>
      </w:r>
    </w:p>
    <w:p w:rsidR="009A23B2" w:rsidRDefault="005A58C4" w:rsidP="005A58C4">
      <w:pPr>
        <w:spacing w:line="360" w:lineRule="auto"/>
        <w:jc w:val="both"/>
        <w:outlineLvl w:val="0"/>
        <w:rPr>
          <w:color w:val="000000"/>
          <w:lang w:val="en-ZA"/>
        </w:rPr>
      </w:pPr>
      <w:r>
        <w:rPr>
          <w:color w:val="000000"/>
          <w:lang w:val="en-ZA"/>
        </w:rPr>
        <w:t>[16].</w:t>
      </w:r>
      <w:r>
        <w:rPr>
          <w:color w:val="000000"/>
          <w:lang w:val="en-ZA"/>
        </w:rPr>
        <w:tab/>
      </w:r>
      <w:r w:rsidR="003217F2">
        <w:rPr>
          <w:color w:val="000000"/>
          <w:lang w:val="en-ZA"/>
        </w:rPr>
        <w:t>The sheriff’s return in respect of the Trade Unions of the Employees read along similar lines as follows: -</w:t>
      </w:r>
    </w:p>
    <w:p w:rsidR="003217F2" w:rsidRPr="003217F2" w:rsidRDefault="003217F2" w:rsidP="003217F2">
      <w:pPr>
        <w:spacing w:line="360" w:lineRule="auto"/>
        <w:jc w:val="both"/>
        <w:outlineLvl w:val="0"/>
        <w:rPr>
          <w:color w:val="000000"/>
          <w:sz w:val="20"/>
          <w:szCs w:val="20"/>
          <w:lang w:val="en-ZA"/>
        </w:rPr>
      </w:pPr>
      <w:r w:rsidRPr="003217F2">
        <w:rPr>
          <w:color w:val="000000"/>
          <w:sz w:val="20"/>
          <w:szCs w:val="20"/>
          <w:lang w:val="en-ZA"/>
        </w:rPr>
        <w:t xml:space="preserve">‘On this 06 day of April 2022 at 12:28, I served the Notice of Motion in this mater upon Enver, Employee, apparently a responsible employee and apparently not less than 16 years of age, of and in control of and at the principal place of business within the court's jurisdiction of Sigge Managed Solutions (Pty) Ltd at </w:t>
      </w:r>
      <w:r w:rsidRPr="003217F2">
        <w:rPr>
          <w:color w:val="000000"/>
          <w:sz w:val="20"/>
          <w:szCs w:val="20"/>
          <w:u w:val="single"/>
          <w:lang w:val="en-ZA"/>
        </w:rPr>
        <w:t>The Trade Unions of the Employees</w:t>
      </w:r>
      <w:r w:rsidRPr="003217F2">
        <w:rPr>
          <w:color w:val="000000"/>
          <w:sz w:val="20"/>
          <w:szCs w:val="20"/>
          <w:lang w:val="en-ZA"/>
        </w:rPr>
        <w:t xml:space="preserve"> at 1 Houer Road, Bidvest SADC Depot, City Deep, Johannesburg, by handing to the PARTY SERVED a copy thereof after explaining the nature and exigency of the said process. Rule 4(1) (a) (v)</w:t>
      </w:r>
    </w:p>
    <w:p w:rsidR="003217F2" w:rsidRPr="003217F2" w:rsidRDefault="003217F2" w:rsidP="003217F2">
      <w:pPr>
        <w:spacing w:after="120" w:line="360" w:lineRule="auto"/>
        <w:jc w:val="both"/>
        <w:outlineLvl w:val="0"/>
        <w:rPr>
          <w:color w:val="000000"/>
          <w:sz w:val="20"/>
          <w:szCs w:val="20"/>
          <w:lang w:val="en-ZA"/>
        </w:rPr>
      </w:pPr>
      <w:r w:rsidRPr="003217F2">
        <w:rPr>
          <w:color w:val="000000"/>
          <w:sz w:val="20"/>
          <w:szCs w:val="20"/>
          <w:lang w:val="en-ZA"/>
        </w:rPr>
        <w:t>REMARK: Spoke to Lelanie, Director’s wife, she said the registered address is 21 The Broads, Mulbarton; Residential address is 10 Poinsettia Road, Meyersdal – Enver informed that there is no Trade Unions.’</w:t>
      </w:r>
      <w:r>
        <w:rPr>
          <w:color w:val="000000"/>
          <w:sz w:val="20"/>
          <w:szCs w:val="20"/>
          <w:lang w:val="en-ZA"/>
        </w:rPr>
        <w:t xml:space="preserve"> (Emphasis added).</w:t>
      </w:r>
    </w:p>
    <w:p w:rsidR="00B96579" w:rsidRDefault="005A58C4" w:rsidP="005A58C4">
      <w:pPr>
        <w:spacing w:after="120" w:line="360" w:lineRule="auto"/>
        <w:jc w:val="both"/>
        <w:outlineLvl w:val="0"/>
        <w:rPr>
          <w:color w:val="000000"/>
          <w:lang w:val="en-ZA"/>
        </w:rPr>
      </w:pPr>
      <w:r>
        <w:rPr>
          <w:color w:val="000000"/>
          <w:lang w:val="en-ZA"/>
        </w:rPr>
        <w:t>[17].</w:t>
      </w:r>
      <w:r>
        <w:rPr>
          <w:color w:val="000000"/>
          <w:lang w:val="en-ZA"/>
        </w:rPr>
        <w:tab/>
      </w:r>
      <w:r w:rsidR="003217F2">
        <w:rPr>
          <w:color w:val="000000"/>
          <w:lang w:val="en-ZA"/>
        </w:rPr>
        <w:t xml:space="preserve">From the aforegoing, </w:t>
      </w:r>
      <w:r w:rsidR="0010118A">
        <w:rPr>
          <w:color w:val="000000"/>
          <w:lang w:val="en-ZA"/>
        </w:rPr>
        <w:t xml:space="preserve">it is apparent that a copy of the winding-up application was furnished to at least </w:t>
      </w:r>
      <w:r w:rsidR="004B51DF">
        <w:rPr>
          <w:color w:val="000000"/>
          <w:lang w:val="en-ZA"/>
        </w:rPr>
        <w:t xml:space="preserve">to </w:t>
      </w:r>
      <w:r w:rsidR="0010118A">
        <w:rPr>
          <w:color w:val="000000"/>
          <w:lang w:val="en-ZA"/>
        </w:rPr>
        <w:t xml:space="preserve">one employee of Sigge and that there is apparently no Trade Union or Trade Unions which represent the employees of </w:t>
      </w:r>
      <w:r w:rsidR="0010118A">
        <w:rPr>
          <w:color w:val="000000"/>
          <w:lang w:val="en-ZA"/>
        </w:rPr>
        <w:lastRenderedPageBreak/>
        <w:t xml:space="preserve">Sigge. It also appears that there may very well be other persons employed by Sigge, although that is not certain. There has however not been compliance with the letter of s </w:t>
      </w:r>
      <w:r w:rsidR="00B56ACD">
        <w:rPr>
          <w:color w:val="000000"/>
          <w:lang w:val="en-ZA"/>
        </w:rPr>
        <w:t>(4A)(a)(ii) in that the said application was not displayed on the notice board to which the employees have access or on the front gate or on the front door.</w:t>
      </w:r>
      <w:r w:rsidR="0010118A">
        <w:rPr>
          <w:color w:val="000000"/>
          <w:lang w:val="en-ZA"/>
        </w:rPr>
        <w:t xml:space="preserve"> The question </w:t>
      </w:r>
      <w:r w:rsidR="00B56ACD">
        <w:rPr>
          <w:color w:val="000000"/>
          <w:lang w:val="en-ZA"/>
        </w:rPr>
        <w:t xml:space="preserve">therefore </w:t>
      </w:r>
      <w:r w:rsidR="0010118A">
        <w:rPr>
          <w:color w:val="000000"/>
          <w:lang w:val="en-ZA"/>
        </w:rPr>
        <w:t>remains whether</w:t>
      </w:r>
      <w:r w:rsidR="00B56ACD">
        <w:rPr>
          <w:color w:val="000000"/>
          <w:lang w:val="en-ZA"/>
        </w:rPr>
        <w:t xml:space="preserve"> this means that the winding-up application should fail or be removed from the roll as was held in </w:t>
      </w:r>
      <w:r w:rsidR="00B56ACD" w:rsidRPr="00B56ACD">
        <w:rPr>
          <w:i/>
          <w:color w:val="000000"/>
          <w:lang w:val="en-ZA"/>
        </w:rPr>
        <w:t>Cassim</w:t>
      </w:r>
      <w:r w:rsidR="00B56ACD">
        <w:rPr>
          <w:color w:val="000000"/>
          <w:lang w:val="en-ZA"/>
        </w:rPr>
        <w:t xml:space="preserve"> and </w:t>
      </w:r>
      <w:r w:rsidR="00B56ACD" w:rsidRPr="00B56ACD">
        <w:rPr>
          <w:i/>
          <w:color w:val="000000"/>
          <w:lang w:val="en-ZA"/>
        </w:rPr>
        <w:t>Bees Winkel</w:t>
      </w:r>
      <w:r w:rsidR="00B56ACD">
        <w:rPr>
          <w:color w:val="000000"/>
          <w:lang w:val="en-ZA"/>
        </w:rPr>
        <w:t>.</w:t>
      </w:r>
      <w:r w:rsidR="0010118A">
        <w:rPr>
          <w:color w:val="000000"/>
          <w:lang w:val="en-ZA"/>
        </w:rPr>
        <w:t xml:space="preserve"> </w:t>
      </w:r>
      <w:r w:rsidR="00B56ACD">
        <w:rPr>
          <w:color w:val="000000"/>
          <w:lang w:val="en-ZA"/>
        </w:rPr>
        <w:t>I think not. And I say so for the reasons mentioned in a more recent judgment</w:t>
      </w:r>
      <w:r w:rsidR="00622A7C">
        <w:rPr>
          <w:color w:val="000000"/>
          <w:lang w:val="en-ZA"/>
        </w:rPr>
        <w:t xml:space="preserve"> by this Court (per Viljoen AJ), namely </w:t>
      </w:r>
      <w:r w:rsidR="00622A7C" w:rsidRPr="00622A7C">
        <w:rPr>
          <w:i/>
          <w:color w:val="000000"/>
          <w:lang w:val="en-ZA"/>
        </w:rPr>
        <w:t>Aqua Transport and Plant Hire (Pty) Ltd v TST Broker (Pty) Ltd</w:t>
      </w:r>
      <w:r w:rsidR="00B96579">
        <w:rPr>
          <w:rStyle w:val="FootnoteReference"/>
          <w:i/>
          <w:color w:val="000000"/>
          <w:lang w:val="en-ZA"/>
        </w:rPr>
        <w:footnoteReference w:id="10"/>
      </w:r>
      <w:r w:rsidR="00B96579">
        <w:rPr>
          <w:color w:val="000000"/>
          <w:lang w:val="en-ZA"/>
        </w:rPr>
        <w:t xml:space="preserve">, which contains a useful discussion on the relevant authorities, including </w:t>
      </w:r>
      <w:r w:rsidR="00B96579" w:rsidRPr="00B96579">
        <w:rPr>
          <w:i/>
          <w:color w:val="000000"/>
          <w:lang w:val="en-ZA"/>
        </w:rPr>
        <w:t>Cassim</w:t>
      </w:r>
      <w:r w:rsidR="00B96579">
        <w:rPr>
          <w:color w:val="000000"/>
          <w:lang w:val="en-ZA"/>
        </w:rPr>
        <w:t xml:space="preserve"> and </w:t>
      </w:r>
      <w:r w:rsidR="00B96579" w:rsidRPr="00B96579">
        <w:rPr>
          <w:i/>
          <w:color w:val="000000"/>
          <w:lang w:val="en-ZA"/>
        </w:rPr>
        <w:t>Bees Winkel</w:t>
      </w:r>
      <w:r w:rsidR="00B96579">
        <w:rPr>
          <w:color w:val="000000"/>
          <w:lang w:val="en-ZA"/>
        </w:rPr>
        <w:t xml:space="preserve">. </w:t>
      </w:r>
    </w:p>
    <w:p w:rsidR="00CD0DF4" w:rsidRDefault="005A58C4" w:rsidP="005A58C4">
      <w:pPr>
        <w:spacing w:line="360" w:lineRule="auto"/>
        <w:jc w:val="both"/>
        <w:outlineLvl w:val="0"/>
        <w:rPr>
          <w:color w:val="000000"/>
          <w:lang w:val="en-ZA"/>
        </w:rPr>
      </w:pPr>
      <w:r>
        <w:rPr>
          <w:color w:val="000000"/>
          <w:lang w:val="en-ZA"/>
        </w:rPr>
        <w:t>[18].</w:t>
      </w:r>
      <w:r>
        <w:rPr>
          <w:color w:val="000000"/>
          <w:lang w:val="en-ZA"/>
        </w:rPr>
        <w:tab/>
      </w:r>
      <w:r w:rsidR="00B96579">
        <w:rPr>
          <w:color w:val="000000"/>
          <w:lang w:val="en-ZA"/>
        </w:rPr>
        <w:t xml:space="preserve">I can do no better than to quote from </w:t>
      </w:r>
      <w:r w:rsidR="00B96579" w:rsidRPr="00B96579">
        <w:rPr>
          <w:i/>
          <w:color w:val="000000"/>
          <w:lang w:val="en-ZA"/>
        </w:rPr>
        <w:t>Aqua Transport and Plant Hire</w:t>
      </w:r>
      <w:r w:rsidR="00B96579">
        <w:rPr>
          <w:color w:val="000000"/>
          <w:lang w:val="en-ZA"/>
        </w:rPr>
        <w:t xml:space="preserve">, in which Viljoen AJ held as </w:t>
      </w:r>
      <w:r w:rsidR="007F5EDC">
        <w:rPr>
          <w:color w:val="000000"/>
          <w:lang w:val="en-ZA"/>
        </w:rPr>
        <w:t>follows: -</w:t>
      </w:r>
      <w:r w:rsidR="00B96579">
        <w:rPr>
          <w:color w:val="000000"/>
          <w:lang w:val="en-ZA"/>
        </w:rPr>
        <w:t xml:space="preserve"> </w:t>
      </w:r>
    </w:p>
    <w:p w:rsidR="007F5EDC" w:rsidRPr="007F5EDC" w:rsidRDefault="007F5EDC" w:rsidP="007F5EDC">
      <w:pPr>
        <w:spacing w:line="360" w:lineRule="auto"/>
        <w:jc w:val="both"/>
        <w:outlineLvl w:val="0"/>
        <w:rPr>
          <w:color w:val="000000"/>
          <w:sz w:val="20"/>
          <w:szCs w:val="20"/>
          <w:lang w:val="en-ZA"/>
        </w:rPr>
      </w:pPr>
      <w:r>
        <w:rPr>
          <w:color w:val="000000"/>
          <w:sz w:val="20"/>
          <w:szCs w:val="20"/>
          <w:lang w:val="en-ZA"/>
        </w:rPr>
        <w:t xml:space="preserve">‘[38] </w:t>
      </w:r>
      <w:r>
        <w:rPr>
          <w:color w:val="000000"/>
          <w:sz w:val="20"/>
          <w:szCs w:val="20"/>
          <w:lang w:val="en-ZA"/>
        </w:rPr>
        <w:tab/>
      </w:r>
      <w:r w:rsidRPr="007F5EDC">
        <w:rPr>
          <w:color w:val="000000"/>
          <w:sz w:val="20"/>
          <w:szCs w:val="20"/>
          <w:lang w:val="en-ZA"/>
        </w:rPr>
        <w:t xml:space="preserve">I find myself in respectful disagreement with the conclusions in the judgments of </w:t>
      </w:r>
      <w:r w:rsidRPr="007F5EDC">
        <w:rPr>
          <w:i/>
          <w:color w:val="000000"/>
          <w:sz w:val="20"/>
          <w:szCs w:val="20"/>
          <w:lang w:val="en-ZA"/>
        </w:rPr>
        <w:t>Pilot Freight, Cassim and Bees Winkel</w:t>
      </w:r>
      <w:r w:rsidRPr="007F5EDC">
        <w:rPr>
          <w:color w:val="000000"/>
          <w:sz w:val="20"/>
          <w:szCs w:val="20"/>
          <w:lang w:val="en-ZA"/>
        </w:rPr>
        <w:t xml:space="preserve"> insofar as those judgments elevate a service affidavit to an indispensable requirement for the granting of a provisional order. I say this for four reasons:</w:t>
      </w:r>
    </w:p>
    <w:p w:rsidR="007F5EDC" w:rsidRPr="007F5EDC" w:rsidRDefault="007F5EDC" w:rsidP="007F5EDC">
      <w:pPr>
        <w:spacing w:line="360" w:lineRule="auto"/>
        <w:ind w:left="851" w:hanging="567"/>
        <w:jc w:val="both"/>
        <w:outlineLvl w:val="0"/>
        <w:rPr>
          <w:color w:val="000000"/>
          <w:sz w:val="20"/>
          <w:szCs w:val="20"/>
          <w:lang w:val="en-ZA"/>
        </w:rPr>
      </w:pPr>
      <w:r>
        <w:rPr>
          <w:color w:val="000000"/>
          <w:sz w:val="20"/>
          <w:szCs w:val="20"/>
          <w:lang w:val="en-ZA"/>
        </w:rPr>
        <w:t>38.1</w:t>
      </w:r>
      <w:r>
        <w:rPr>
          <w:color w:val="000000"/>
          <w:sz w:val="20"/>
          <w:szCs w:val="20"/>
          <w:lang w:val="en-ZA"/>
        </w:rPr>
        <w:tab/>
      </w:r>
      <w:r w:rsidRPr="007F5EDC">
        <w:rPr>
          <w:color w:val="000000"/>
          <w:sz w:val="20"/>
          <w:szCs w:val="20"/>
          <w:lang w:val="en-ZA"/>
        </w:rPr>
        <w:t xml:space="preserve">Firstly, in the </w:t>
      </w:r>
      <w:r w:rsidRPr="007F5EDC">
        <w:rPr>
          <w:i/>
          <w:color w:val="000000"/>
          <w:sz w:val="20"/>
          <w:szCs w:val="20"/>
          <w:lang w:val="en-ZA"/>
        </w:rPr>
        <w:t>E B Steam</w:t>
      </w:r>
      <w:r w:rsidRPr="007F5EDC">
        <w:rPr>
          <w:color w:val="000000"/>
          <w:sz w:val="20"/>
          <w:szCs w:val="20"/>
          <w:lang w:val="en-ZA"/>
        </w:rPr>
        <w:t xml:space="preserve"> matter, the Supreme Court of Appeal considered whether a final order of liquidation had been granted correctly. The court considered the need for and the required content of a service affidavit in the context of a final order.</w:t>
      </w:r>
    </w:p>
    <w:p w:rsidR="007F5EDC" w:rsidRPr="007F5EDC" w:rsidRDefault="007F5EDC" w:rsidP="007F5EDC">
      <w:pPr>
        <w:spacing w:line="360" w:lineRule="auto"/>
        <w:ind w:left="851" w:hanging="567"/>
        <w:jc w:val="both"/>
        <w:outlineLvl w:val="0"/>
        <w:rPr>
          <w:color w:val="000000"/>
          <w:sz w:val="20"/>
          <w:szCs w:val="20"/>
          <w:lang w:val="en-ZA"/>
        </w:rPr>
      </w:pPr>
      <w:r>
        <w:rPr>
          <w:color w:val="000000"/>
          <w:sz w:val="20"/>
          <w:szCs w:val="20"/>
          <w:lang w:val="en-ZA"/>
        </w:rPr>
        <w:t>38.2</w:t>
      </w:r>
      <w:r>
        <w:rPr>
          <w:color w:val="000000"/>
          <w:sz w:val="20"/>
          <w:szCs w:val="20"/>
          <w:lang w:val="en-ZA"/>
        </w:rPr>
        <w:tab/>
      </w:r>
      <w:r w:rsidRPr="007F5EDC">
        <w:rPr>
          <w:color w:val="000000"/>
          <w:sz w:val="20"/>
          <w:szCs w:val="20"/>
          <w:lang w:val="en-ZA"/>
        </w:rPr>
        <w:t xml:space="preserve">Secondly, according to the exposition of the facts found in the </w:t>
      </w:r>
      <w:r w:rsidRPr="007F5EDC">
        <w:rPr>
          <w:i/>
          <w:color w:val="000000"/>
          <w:sz w:val="20"/>
          <w:szCs w:val="20"/>
          <w:lang w:val="en-ZA"/>
        </w:rPr>
        <w:t>E B Steam</w:t>
      </w:r>
      <w:r w:rsidRPr="007F5EDC">
        <w:rPr>
          <w:color w:val="000000"/>
          <w:sz w:val="20"/>
          <w:szCs w:val="20"/>
          <w:lang w:val="en-ZA"/>
        </w:rPr>
        <w:t xml:space="preserve"> judgment, the application papers contained no information</w:t>
      </w:r>
      <w:r>
        <w:rPr>
          <w:color w:val="000000"/>
          <w:sz w:val="20"/>
          <w:szCs w:val="20"/>
          <w:lang w:val="en-ZA"/>
        </w:rPr>
        <w:t xml:space="preserve"> </w:t>
      </w:r>
      <w:r w:rsidRPr="007F5EDC">
        <w:rPr>
          <w:color w:val="000000"/>
          <w:sz w:val="20"/>
          <w:szCs w:val="20"/>
          <w:lang w:val="en-ZA"/>
        </w:rPr>
        <w:t>against which the efficacy of the service on the employees could be judged but for the sheriff's return. There is no mention of a service affidavit. Despite the apparent absence of a service affidavit, the court considered the content of the return of service and found it insufficient to prove that the application had been furnished to employees. Although there was no service affidavit and no compliance with s 346(4A)(a)(i) and (ii), the court granted a provisional order of winding up. If this judgment is interpreted to require a service affidavit, and a comprehensive one at that, as a prerequisite for a provisional order, a disconnect between the court's findings and the eventual order follows. In my view, a judgment must be interpreted in such a way as to preserve the integrity thereof.</w:t>
      </w:r>
    </w:p>
    <w:p w:rsidR="007F5EDC" w:rsidRPr="005A58C4" w:rsidRDefault="005A58C4" w:rsidP="005A58C4">
      <w:pPr>
        <w:spacing w:line="360" w:lineRule="auto"/>
        <w:ind w:left="851" w:hanging="567"/>
        <w:jc w:val="both"/>
        <w:outlineLvl w:val="0"/>
        <w:rPr>
          <w:color w:val="000000"/>
          <w:sz w:val="20"/>
          <w:szCs w:val="20"/>
          <w:lang w:val="en-ZA"/>
        </w:rPr>
      </w:pPr>
      <w:r w:rsidRPr="007F5EDC">
        <w:rPr>
          <w:color w:val="000000"/>
          <w:sz w:val="20"/>
          <w:szCs w:val="20"/>
          <w:lang w:val="en-ZA"/>
        </w:rPr>
        <w:t>38.3</w:t>
      </w:r>
      <w:r w:rsidRPr="007F5EDC">
        <w:rPr>
          <w:color w:val="000000"/>
          <w:sz w:val="20"/>
          <w:szCs w:val="20"/>
          <w:lang w:val="en-ZA"/>
        </w:rPr>
        <w:tab/>
      </w:r>
      <w:r w:rsidR="007F5EDC" w:rsidRPr="005A58C4">
        <w:rPr>
          <w:color w:val="000000"/>
          <w:sz w:val="20"/>
          <w:szCs w:val="20"/>
          <w:lang w:val="en-ZA"/>
        </w:rPr>
        <w:t xml:space="preserve">Thirdly, the </w:t>
      </w:r>
      <w:r w:rsidR="007F5EDC" w:rsidRPr="005A58C4">
        <w:rPr>
          <w:i/>
          <w:color w:val="000000"/>
          <w:sz w:val="20"/>
          <w:szCs w:val="20"/>
          <w:lang w:val="en-ZA"/>
        </w:rPr>
        <w:t>E B Steam</w:t>
      </w:r>
      <w:r w:rsidR="007F5EDC" w:rsidRPr="005A58C4">
        <w:rPr>
          <w:color w:val="000000"/>
          <w:sz w:val="20"/>
          <w:szCs w:val="20"/>
          <w:lang w:val="en-ZA"/>
        </w:rPr>
        <w:t xml:space="preserve"> matter distinguishes between "service" in terms of the rules of court and the "furnishing" of a copy of the application to employees. The court found the methods of "furnishing" set out in that section not to be peremptory. I do not read the judgment as suggesting that "service", an endeavour aimed at achieving certainty of receipt beyond that required by s 346(4A)(a), is unacceptable as means of complying </w:t>
      </w:r>
      <w:r w:rsidR="007F5EDC" w:rsidRPr="005A58C4">
        <w:rPr>
          <w:color w:val="000000"/>
          <w:sz w:val="20"/>
          <w:szCs w:val="20"/>
          <w:lang w:val="en-ZA"/>
        </w:rPr>
        <w:lastRenderedPageBreak/>
        <w:t xml:space="preserve">with that section. "Service" is proven by a sheriff's return. Thus, the court was quite prepared, as I mentioned above, to determine the matter of the furnishing of copies to employees on the evidence provided by the sheriff's return in the absence of a service affidavit by the sheriff or anybody else. It stands to reason that if the sheriff's return is accepted as </w:t>
      </w:r>
      <w:r w:rsidR="007F5EDC" w:rsidRPr="005A58C4">
        <w:rPr>
          <w:i/>
          <w:color w:val="000000"/>
          <w:sz w:val="20"/>
          <w:szCs w:val="20"/>
          <w:lang w:val="en-ZA"/>
        </w:rPr>
        <w:t>prima facie</w:t>
      </w:r>
      <w:r w:rsidR="007F5EDC" w:rsidRPr="005A58C4">
        <w:rPr>
          <w:color w:val="000000"/>
          <w:sz w:val="20"/>
          <w:szCs w:val="20"/>
          <w:lang w:val="en-ZA"/>
        </w:rPr>
        <w:t xml:space="preserve"> evidence of service for purposes of the institution of proceedings, a return of service should in principle be acceptable proof of service on interested parties.</w:t>
      </w:r>
    </w:p>
    <w:p w:rsidR="007F5EDC" w:rsidRPr="007F5EDC" w:rsidRDefault="007F5EDC" w:rsidP="007F5EDC">
      <w:pPr>
        <w:spacing w:line="360" w:lineRule="auto"/>
        <w:ind w:left="851" w:hanging="567"/>
        <w:jc w:val="both"/>
        <w:outlineLvl w:val="0"/>
        <w:rPr>
          <w:color w:val="000000"/>
          <w:sz w:val="20"/>
          <w:szCs w:val="20"/>
          <w:lang w:val="en-ZA"/>
        </w:rPr>
      </w:pPr>
      <w:r>
        <w:rPr>
          <w:color w:val="000000"/>
          <w:sz w:val="20"/>
          <w:szCs w:val="20"/>
          <w:lang w:val="en-ZA"/>
        </w:rPr>
        <w:t>38.4</w:t>
      </w:r>
      <w:r>
        <w:rPr>
          <w:color w:val="000000"/>
          <w:sz w:val="20"/>
          <w:szCs w:val="20"/>
          <w:lang w:val="en-ZA"/>
        </w:rPr>
        <w:tab/>
      </w:r>
      <w:r w:rsidRPr="007F5EDC">
        <w:rPr>
          <w:color w:val="000000"/>
          <w:sz w:val="20"/>
          <w:szCs w:val="20"/>
          <w:lang w:val="en-ZA"/>
        </w:rPr>
        <w:t xml:space="preserve">Fourthly, an overly strict approach to proof of service of the application on employees undermines the caution expressed in the </w:t>
      </w:r>
      <w:r w:rsidRPr="00E507D6">
        <w:rPr>
          <w:i/>
          <w:color w:val="000000"/>
          <w:sz w:val="20"/>
          <w:szCs w:val="20"/>
          <w:lang w:val="en-ZA"/>
        </w:rPr>
        <w:t>E B Steam</w:t>
      </w:r>
      <w:r w:rsidRPr="007F5EDC">
        <w:rPr>
          <w:color w:val="000000"/>
          <w:sz w:val="20"/>
          <w:szCs w:val="20"/>
          <w:lang w:val="en-ZA"/>
        </w:rPr>
        <w:t xml:space="preserve"> judgment that </w:t>
      </w:r>
      <w:r w:rsidRPr="00E507D6">
        <w:rPr>
          <w:color w:val="000000"/>
          <w:sz w:val="20"/>
          <w:szCs w:val="20"/>
          <w:u w:val="single"/>
          <w:lang w:val="en-ZA"/>
        </w:rPr>
        <w:t>s 346(4A) is not intended to provide a respondent with technical defences</w:t>
      </w:r>
      <w:r w:rsidRPr="007F5EDC">
        <w:rPr>
          <w:color w:val="000000"/>
          <w:sz w:val="20"/>
          <w:szCs w:val="20"/>
          <w:lang w:val="en-ZA"/>
        </w:rPr>
        <w:t>. Its intention is to provide employees and their representatives adequate opportunity to protect their interests in the event of the insolvency of their employer. This aim is effectively achieved by an order in the terms of that granted by the Supreme Court of Appeal.</w:t>
      </w:r>
    </w:p>
    <w:p w:rsidR="00B96579" w:rsidRPr="007F5EDC" w:rsidRDefault="007F5EDC" w:rsidP="007F5EDC">
      <w:pPr>
        <w:spacing w:after="120" w:line="360" w:lineRule="auto"/>
        <w:jc w:val="both"/>
        <w:outlineLvl w:val="0"/>
        <w:rPr>
          <w:color w:val="000000"/>
          <w:sz w:val="20"/>
          <w:szCs w:val="20"/>
          <w:lang w:val="en-ZA"/>
        </w:rPr>
      </w:pPr>
      <w:r>
        <w:rPr>
          <w:color w:val="000000"/>
          <w:sz w:val="20"/>
          <w:szCs w:val="20"/>
          <w:lang w:val="en-ZA"/>
        </w:rPr>
        <w:t>[39]</w:t>
      </w:r>
      <w:r>
        <w:rPr>
          <w:color w:val="000000"/>
          <w:sz w:val="20"/>
          <w:szCs w:val="20"/>
          <w:lang w:val="en-ZA"/>
        </w:rPr>
        <w:tab/>
      </w:r>
      <w:r w:rsidRPr="007F5EDC">
        <w:rPr>
          <w:color w:val="000000"/>
          <w:sz w:val="20"/>
          <w:szCs w:val="20"/>
          <w:lang w:val="en-ZA"/>
        </w:rPr>
        <w:t xml:space="preserve">I thus conclude that the filing of a service affidavit is not an absolute </w:t>
      </w:r>
      <w:r w:rsidRPr="00E507D6">
        <w:rPr>
          <w:i/>
          <w:color w:val="000000"/>
          <w:sz w:val="20"/>
          <w:szCs w:val="20"/>
          <w:lang w:val="en-ZA"/>
        </w:rPr>
        <w:t>sine qua non</w:t>
      </w:r>
      <w:r w:rsidRPr="007F5EDC">
        <w:rPr>
          <w:color w:val="000000"/>
          <w:sz w:val="20"/>
          <w:szCs w:val="20"/>
          <w:lang w:val="en-ZA"/>
        </w:rPr>
        <w:t xml:space="preserve"> for a provisional order of liquidation.</w:t>
      </w:r>
      <w:r>
        <w:rPr>
          <w:color w:val="000000"/>
          <w:sz w:val="20"/>
          <w:szCs w:val="20"/>
          <w:lang w:val="en-ZA"/>
        </w:rPr>
        <w:t>’</w:t>
      </w:r>
      <w:r w:rsidR="006B0A67">
        <w:rPr>
          <w:color w:val="000000"/>
          <w:sz w:val="20"/>
          <w:szCs w:val="20"/>
          <w:lang w:val="en-ZA"/>
        </w:rPr>
        <w:t xml:space="preserve"> (Emphasis added).</w:t>
      </w:r>
    </w:p>
    <w:p w:rsidR="006A0153" w:rsidRPr="006A0153" w:rsidRDefault="005A58C4" w:rsidP="005A58C4">
      <w:pPr>
        <w:spacing w:after="120" w:line="360" w:lineRule="auto"/>
        <w:jc w:val="both"/>
        <w:outlineLvl w:val="0"/>
        <w:rPr>
          <w:color w:val="000000"/>
          <w:lang w:val="en-ZA"/>
        </w:rPr>
      </w:pPr>
      <w:r w:rsidRPr="006A0153">
        <w:rPr>
          <w:color w:val="000000"/>
          <w:lang w:val="en-ZA"/>
        </w:rPr>
        <w:t>[19].</w:t>
      </w:r>
      <w:r w:rsidRPr="006A0153">
        <w:rPr>
          <w:color w:val="000000"/>
          <w:lang w:val="en-ZA"/>
        </w:rPr>
        <w:tab/>
      </w:r>
      <w:r w:rsidR="0025050E" w:rsidRPr="0025050E">
        <w:rPr>
          <w:color w:val="000000"/>
          <w:lang w:val="en-ZA"/>
        </w:rPr>
        <w:t xml:space="preserve">I respectfully adopt the reasoning and conclusion in </w:t>
      </w:r>
      <w:r w:rsidR="0025050E" w:rsidRPr="0025050E">
        <w:rPr>
          <w:i/>
          <w:color w:val="000000"/>
          <w:lang w:val="en-ZA"/>
        </w:rPr>
        <w:t>Aqua Transport and Plant Hire</w:t>
      </w:r>
      <w:r w:rsidR="0025050E" w:rsidRPr="0025050E">
        <w:rPr>
          <w:color w:val="000000"/>
          <w:lang w:val="en-ZA"/>
        </w:rPr>
        <w:t xml:space="preserve">. </w:t>
      </w:r>
      <w:r w:rsidR="0025050E">
        <w:rPr>
          <w:color w:val="000000"/>
          <w:lang w:val="en-ZA"/>
        </w:rPr>
        <w:t>T</w:t>
      </w:r>
      <w:r w:rsidR="0025050E" w:rsidRPr="0025050E">
        <w:rPr>
          <w:color w:val="000000"/>
          <w:lang w:val="en-ZA"/>
        </w:rPr>
        <w:t>he requirement that an affidavit of service be filed in terms of s</w:t>
      </w:r>
      <w:r w:rsidR="0025050E">
        <w:rPr>
          <w:color w:val="000000"/>
          <w:lang w:val="en-ZA"/>
        </w:rPr>
        <w:t> </w:t>
      </w:r>
      <w:r w:rsidR="0025050E" w:rsidRPr="0025050E">
        <w:rPr>
          <w:color w:val="000000"/>
          <w:lang w:val="en-ZA"/>
        </w:rPr>
        <w:t xml:space="preserve">346(4A)(b) before any order may be granted is </w:t>
      </w:r>
      <w:r w:rsidR="0025050E">
        <w:rPr>
          <w:color w:val="000000"/>
          <w:lang w:val="en-ZA"/>
        </w:rPr>
        <w:t xml:space="preserve">not </w:t>
      </w:r>
      <w:r w:rsidR="0025050E" w:rsidRPr="0025050E">
        <w:rPr>
          <w:color w:val="000000"/>
          <w:lang w:val="en-ZA"/>
        </w:rPr>
        <w:t>absolute</w:t>
      </w:r>
      <w:r w:rsidR="0025050E">
        <w:rPr>
          <w:color w:val="000000"/>
          <w:lang w:val="en-ZA"/>
        </w:rPr>
        <w:t>. A</w:t>
      </w:r>
      <w:r w:rsidR="0025050E" w:rsidRPr="0025050E">
        <w:rPr>
          <w:color w:val="000000"/>
          <w:lang w:val="en-ZA"/>
        </w:rPr>
        <w:t>n affidavit is</w:t>
      </w:r>
      <w:r w:rsidR="0025050E">
        <w:rPr>
          <w:color w:val="000000"/>
          <w:lang w:val="en-ZA"/>
        </w:rPr>
        <w:t xml:space="preserve"> not</w:t>
      </w:r>
      <w:r w:rsidR="0025050E" w:rsidRPr="0025050E">
        <w:rPr>
          <w:color w:val="000000"/>
          <w:lang w:val="en-ZA"/>
        </w:rPr>
        <w:t xml:space="preserve"> required in the event of the sheriff </w:t>
      </w:r>
      <w:r w:rsidR="0025050E">
        <w:rPr>
          <w:color w:val="000000"/>
          <w:lang w:val="en-ZA"/>
        </w:rPr>
        <w:t>having</w:t>
      </w:r>
      <w:r w:rsidR="0025050E" w:rsidRPr="0025050E">
        <w:rPr>
          <w:color w:val="000000"/>
          <w:lang w:val="en-ZA"/>
        </w:rPr>
        <w:t xml:space="preserve"> furnish</w:t>
      </w:r>
      <w:r w:rsidR="0025050E">
        <w:rPr>
          <w:color w:val="000000"/>
          <w:lang w:val="en-ZA"/>
        </w:rPr>
        <w:t>ed</w:t>
      </w:r>
      <w:r w:rsidR="0025050E" w:rsidRPr="0025050E">
        <w:rPr>
          <w:color w:val="000000"/>
          <w:lang w:val="en-ZA"/>
        </w:rPr>
        <w:t xml:space="preserve"> a copy of the application papers</w:t>
      </w:r>
      <w:r w:rsidR="0025050E">
        <w:rPr>
          <w:color w:val="000000"/>
          <w:lang w:val="en-ZA"/>
        </w:rPr>
        <w:t xml:space="preserve"> to the Trade Union representing the employees of </w:t>
      </w:r>
      <w:r w:rsidR="00CC487A">
        <w:rPr>
          <w:color w:val="000000"/>
          <w:lang w:val="en-ZA"/>
        </w:rPr>
        <w:t xml:space="preserve">the company or to the employees. It will suffice that the sheriff’s return or returns confirm </w:t>
      </w:r>
      <w:r w:rsidR="0005276A">
        <w:rPr>
          <w:color w:val="000000"/>
          <w:lang w:val="en-ZA"/>
        </w:rPr>
        <w:t xml:space="preserve">that the purpose of </w:t>
      </w:r>
      <w:r w:rsidR="003F2DD3">
        <w:rPr>
          <w:color w:val="000000"/>
          <w:lang w:val="en-ZA"/>
        </w:rPr>
        <w:t>subsection 346(4A)(a</w:t>
      </w:r>
      <w:r w:rsidR="0025050E">
        <w:rPr>
          <w:color w:val="000000"/>
          <w:lang w:val="en-ZA"/>
        </w:rPr>
        <w:t xml:space="preserve">)(i) and (ii) </w:t>
      </w:r>
      <w:r w:rsidR="0005276A">
        <w:rPr>
          <w:color w:val="000000"/>
          <w:lang w:val="en-ZA"/>
        </w:rPr>
        <w:t xml:space="preserve">have been achieved, that being that the </w:t>
      </w:r>
      <w:r w:rsidR="00CC487A">
        <w:rPr>
          <w:color w:val="000000"/>
          <w:lang w:val="en-ZA"/>
        </w:rPr>
        <w:t xml:space="preserve">employees’ </w:t>
      </w:r>
      <w:r w:rsidR="0005276A">
        <w:rPr>
          <w:color w:val="000000"/>
          <w:lang w:val="en-ZA"/>
        </w:rPr>
        <w:t xml:space="preserve">attention has been drawn to the </w:t>
      </w:r>
      <w:r w:rsidR="00CC487A">
        <w:rPr>
          <w:color w:val="000000"/>
          <w:lang w:val="en-ZA"/>
        </w:rPr>
        <w:t>fact that an application has been brought for the liquidation of their employer.</w:t>
      </w:r>
      <w:r w:rsidR="006A0153">
        <w:rPr>
          <w:color w:val="000000"/>
          <w:lang w:val="en-ZA"/>
        </w:rPr>
        <w:t xml:space="preserve"> T</w:t>
      </w:r>
      <w:r w:rsidR="006A0153" w:rsidRPr="006A0153">
        <w:rPr>
          <w:color w:val="000000"/>
          <w:lang w:val="en-ZA"/>
        </w:rPr>
        <w:t>he emphasis</w:t>
      </w:r>
      <w:r w:rsidR="006A0153">
        <w:rPr>
          <w:color w:val="000000"/>
          <w:lang w:val="en-ZA"/>
        </w:rPr>
        <w:t xml:space="preserve"> throughout</w:t>
      </w:r>
      <w:r w:rsidR="006A0153" w:rsidRPr="006A0153">
        <w:rPr>
          <w:color w:val="000000"/>
          <w:lang w:val="en-ZA"/>
        </w:rPr>
        <w:t xml:space="preserve"> must be on achieving the statutory purpose of</w:t>
      </w:r>
      <w:r w:rsidR="003F2DD3">
        <w:rPr>
          <w:color w:val="000000"/>
          <w:lang w:val="en-ZA"/>
        </w:rPr>
        <w:t>,</w:t>
      </w:r>
      <w:r w:rsidR="006A0153" w:rsidRPr="006A0153">
        <w:rPr>
          <w:color w:val="000000"/>
          <w:lang w:val="en-ZA"/>
        </w:rPr>
        <w:t xml:space="preserve"> so far as reasonably possible</w:t>
      </w:r>
      <w:r w:rsidR="003F2DD3">
        <w:rPr>
          <w:color w:val="000000"/>
          <w:lang w:val="en-ZA"/>
        </w:rPr>
        <w:t>,</w:t>
      </w:r>
      <w:r w:rsidR="006A0153" w:rsidRPr="006A0153">
        <w:rPr>
          <w:color w:val="000000"/>
          <w:lang w:val="en-ZA"/>
        </w:rPr>
        <w:t xml:space="preserve"> bringing the application to the attention of the employees.</w:t>
      </w:r>
    </w:p>
    <w:p w:rsidR="00005673" w:rsidRDefault="005A58C4" w:rsidP="005A58C4">
      <w:pPr>
        <w:spacing w:line="360" w:lineRule="auto"/>
        <w:jc w:val="both"/>
        <w:outlineLvl w:val="0"/>
        <w:rPr>
          <w:color w:val="000000"/>
          <w:lang w:val="en-ZA"/>
        </w:rPr>
      </w:pPr>
      <w:r>
        <w:rPr>
          <w:color w:val="000000"/>
          <w:lang w:val="en-ZA"/>
        </w:rPr>
        <w:t>[20].</w:t>
      </w:r>
      <w:r>
        <w:rPr>
          <w:color w:val="000000"/>
          <w:lang w:val="en-ZA"/>
        </w:rPr>
        <w:tab/>
      </w:r>
      <w:r w:rsidR="000935FF">
        <w:rPr>
          <w:color w:val="000000"/>
          <w:lang w:val="en-ZA"/>
        </w:rPr>
        <w:t xml:space="preserve">Importantly, and on the basis of </w:t>
      </w:r>
      <w:r w:rsidR="000935FF" w:rsidRPr="000935FF">
        <w:rPr>
          <w:i/>
          <w:color w:val="000000"/>
          <w:lang w:val="en-ZA"/>
        </w:rPr>
        <w:t>EB Steam Co (Pty) Ltd v Eskom Holdings SOC</w:t>
      </w:r>
      <w:r w:rsidR="000935FF" w:rsidRPr="000935FF">
        <w:rPr>
          <w:color w:val="000000"/>
          <w:lang w:val="en-ZA"/>
        </w:rPr>
        <w:t xml:space="preserve"> Ltd</w:t>
      </w:r>
      <w:r w:rsidR="000935FF">
        <w:rPr>
          <w:rStyle w:val="FootnoteReference"/>
          <w:color w:val="000000"/>
          <w:lang w:val="en-ZA"/>
        </w:rPr>
        <w:footnoteReference w:id="11"/>
      </w:r>
      <w:r w:rsidR="000935FF">
        <w:rPr>
          <w:color w:val="000000"/>
          <w:lang w:val="en-ZA"/>
        </w:rPr>
        <w:t>,</w:t>
      </w:r>
      <w:r w:rsidR="0005276A">
        <w:rPr>
          <w:color w:val="000000"/>
          <w:lang w:val="en-ZA"/>
        </w:rPr>
        <w:t xml:space="preserve"> t</w:t>
      </w:r>
      <w:r w:rsidR="00A417B9" w:rsidRPr="0005276A">
        <w:rPr>
          <w:color w:val="000000"/>
          <w:lang w:val="en-ZA"/>
        </w:rPr>
        <w:t xml:space="preserve">he requirement that the application papers be furnished to the </w:t>
      </w:r>
      <w:r w:rsidR="0005276A">
        <w:rPr>
          <w:color w:val="000000"/>
          <w:lang w:val="en-ZA"/>
        </w:rPr>
        <w:t>employees i</w:t>
      </w:r>
      <w:r w:rsidR="006A0153">
        <w:rPr>
          <w:color w:val="000000"/>
          <w:lang w:val="en-ZA"/>
        </w:rPr>
        <w:t xml:space="preserve">s peremptory. However, even if the applicant is, </w:t>
      </w:r>
      <w:r w:rsidR="00A417B9" w:rsidRPr="006A0153">
        <w:rPr>
          <w:color w:val="000000"/>
          <w:lang w:val="en-ZA"/>
        </w:rPr>
        <w:t xml:space="preserve">for whatever reason, </w:t>
      </w:r>
      <w:r w:rsidR="006A0153">
        <w:rPr>
          <w:color w:val="000000"/>
          <w:lang w:val="en-ZA"/>
        </w:rPr>
        <w:t xml:space="preserve">not able </w:t>
      </w:r>
      <w:r w:rsidR="00A417B9" w:rsidRPr="006A0153">
        <w:rPr>
          <w:color w:val="000000"/>
          <w:lang w:val="en-ZA"/>
        </w:rPr>
        <w:t>to furnish the application papers to the employees before the hearing</w:t>
      </w:r>
      <w:r w:rsidR="006A0153">
        <w:rPr>
          <w:color w:val="000000"/>
          <w:lang w:val="en-ZA"/>
        </w:rPr>
        <w:t xml:space="preserve">, a court </w:t>
      </w:r>
      <w:r w:rsidR="00310436">
        <w:rPr>
          <w:color w:val="000000"/>
          <w:lang w:val="en-ZA"/>
        </w:rPr>
        <w:t>could still grant relief in the form of a provisional winding-up order.</w:t>
      </w:r>
      <w:r w:rsidR="00005673">
        <w:rPr>
          <w:color w:val="000000"/>
          <w:lang w:val="en-ZA"/>
        </w:rPr>
        <w:t xml:space="preserve"> </w:t>
      </w:r>
      <w:r w:rsidR="00005673" w:rsidRPr="00005673">
        <w:rPr>
          <w:color w:val="000000"/>
          <w:lang w:val="en-ZA"/>
        </w:rPr>
        <w:t>Put another way, there will be circumstances (and not necessarily exceptional ones</w:t>
      </w:r>
      <w:r w:rsidR="00005673">
        <w:rPr>
          <w:color w:val="000000"/>
          <w:lang w:val="en-ZA"/>
        </w:rPr>
        <w:t xml:space="preserve">, </w:t>
      </w:r>
      <w:r w:rsidR="00005673">
        <w:rPr>
          <w:color w:val="000000"/>
          <w:lang w:val="en-ZA"/>
        </w:rPr>
        <w:lastRenderedPageBreak/>
        <w:t xml:space="preserve">as was held by </w:t>
      </w:r>
      <w:r w:rsidR="00005673" w:rsidRPr="00005673">
        <w:rPr>
          <w:i/>
          <w:color w:val="000000"/>
          <w:lang w:val="en-ZA"/>
        </w:rPr>
        <w:t>Bees Winkel</w:t>
      </w:r>
      <w:r w:rsidR="00005673">
        <w:rPr>
          <w:color w:val="000000"/>
          <w:lang w:val="en-ZA"/>
        </w:rPr>
        <w:t>) in which a court will be justified in granting a provisional winding-up order</w:t>
      </w:r>
      <w:r w:rsidR="004256A6">
        <w:rPr>
          <w:color w:val="000000"/>
          <w:lang w:val="en-ZA"/>
        </w:rPr>
        <w:t xml:space="preserve">. An important consideration in that regard would, in my view, relate to whether or not the respondent is </w:t>
      </w:r>
      <w:r w:rsidR="004256A6" w:rsidRPr="0072234D">
        <w:rPr>
          <w:i/>
          <w:color w:val="000000"/>
          <w:lang w:val="en-ZA"/>
        </w:rPr>
        <w:t>bona fide</w:t>
      </w:r>
      <w:r w:rsidR="004256A6">
        <w:rPr>
          <w:color w:val="000000"/>
          <w:lang w:val="en-ZA"/>
        </w:rPr>
        <w:t xml:space="preserve"> in its opposition t</w:t>
      </w:r>
      <w:r w:rsidR="0072234D">
        <w:rPr>
          <w:color w:val="000000"/>
          <w:lang w:val="en-ZA"/>
        </w:rPr>
        <w:t xml:space="preserve">o the winding-up application. As was held in EB Steam: - </w:t>
      </w:r>
    </w:p>
    <w:p w:rsidR="0072234D" w:rsidRPr="0072234D" w:rsidRDefault="0072234D" w:rsidP="0072234D">
      <w:pPr>
        <w:spacing w:after="120" w:line="360" w:lineRule="auto"/>
        <w:jc w:val="both"/>
        <w:outlineLvl w:val="0"/>
        <w:rPr>
          <w:color w:val="000000"/>
          <w:sz w:val="20"/>
          <w:szCs w:val="20"/>
          <w:lang w:val="en-ZA"/>
        </w:rPr>
      </w:pPr>
      <w:r w:rsidRPr="0072234D">
        <w:rPr>
          <w:color w:val="000000"/>
          <w:sz w:val="20"/>
          <w:szCs w:val="20"/>
          <w:lang w:val="en-ZA"/>
        </w:rPr>
        <w:t>‘The position may well be that an overwhelming case is made on the papers for the grant of a winding-up order and that any delay will allow assets to be concealed or disposed of to the detriment of the general body of creditors and particularly the employees and SARS, who may have preferential claims. It would be absurd to hold that the court was disabled from granting a provisional order merely because it had not been feasible, possibly as a result of the conduct of the employer, to furnish a copy of the application papers to the employees or a representative trade union or even SARS, although the latter is unlikely to be a practical problem.</w:t>
      </w:r>
      <w:r>
        <w:rPr>
          <w:color w:val="000000"/>
          <w:sz w:val="20"/>
          <w:szCs w:val="20"/>
          <w:lang w:val="en-ZA"/>
        </w:rPr>
        <w:t>’</w:t>
      </w:r>
    </w:p>
    <w:p w:rsidR="00134BD8" w:rsidRDefault="005A58C4" w:rsidP="005A58C4">
      <w:pPr>
        <w:spacing w:after="120" w:line="360" w:lineRule="auto"/>
        <w:jc w:val="both"/>
        <w:outlineLvl w:val="0"/>
        <w:rPr>
          <w:color w:val="000000"/>
          <w:lang w:val="en-ZA"/>
        </w:rPr>
      </w:pPr>
      <w:r>
        <w:rPr>
          <w:color w:val="000000"/>
          <w:lang w:val="en-ZA"/>
        </w:rPr>
        <w:t>[21].</w:t>
      </w:r>
      <w:r>
        <w:rPr>
          <w:color w:val="000000"/>
          <w:lang w:val="en-ZA"/>
        </w:rPr>
        <w:tab/>
      </w:r>
      <w:r w:rsidR="00D67085" w:rsidRPr="00D67085">
        <w:rPr>
          <w:i/>
          <w:color w:val="000000"/>
          <w:lang w:val="en-ZA"/>
        </w:rPr>
        <w:t>In casu</w:t>
      </w:r>
      <w:r w:rsidR="00D67085">
        <w:rPr>
          <w:color w:val="000000"/>
          <w:lang w:val="en-ZA"/>
        </w:rPr>
        <w:t xml:space="preserve">, I have already found that Sigge’s indebtedness to Intello Capital is not disputed on </w:t>
      </w:r>
      <w:r w:rsidR="00D67085" w:rsidRPr="00D67085">
        <w:rPr>
          <w:i/>
          <w:color w:val="000000"/>
          <w:lang w:val="en-ZA"/>
        </w:rPr>
        <w:t>bona fide</w:t>
      </w:r>
      <w:r w:rsidR="00D67085">
        <w:rPr>
          <w:color w:val="000000"/>
          <w:lang w:val="en-ZA"/>
        </w:rPr>
        <w:t xml:space="preserve"> and reasonable grounds. In fact, in my view</w:t>
      </w:r>
      <w:r w:rsidR="003F2DD3">
        <w:rPr>
          <w:color w:val="000000"/>
          <w:lang w:val="en-ZA"/>
        </w:rPr>
        <w:t>,</w:t>
      </w:r>
      <w:r w:rsidR="00D67085">
        <w:rPr>
          <w:color w:val="000000"/>
          <w:lang w:val="en-ZA"/>
        </w:rPr>
        <w:t xml:space="preserve"> Sigge disputes its liable to Intello Capital to pay the amount in excess of R3 million on rather spurious grounds aimed at camouflaging its commercial </w:t>
      </w:r>
      <w:r w:rsidR="00D764BE">
        <w:rPr>
          <w:color w:val="000000"/>
          <w:lang w:val="en-ZA"/>
        </w:rPr>
        <w:t>insolvency. This in itself is good reason why consideration should be given to granting the provisiona</w:t>
      </w:r>
      <w:r w:rsidR="00134BD8">
        <w:rPr>
          <w:color w:val="000000"/>
          <w:lang w:val="en-ZA"/>
        </w:rPr>
        <w:t>l winding-up order. Moreover</w:t>
      </w:r>
      <w:r w:rsidR="00E507D6" w:rsidRPr="00134BD8">
        <w:rPr>
          <w:color w:val="000000"/>
          <w:lang w:val="en-ZA"/>
        </w:rPr>
        <w:t xml:space="preserve">, </w:t>
      </w:r>
      <w:r w:rsidR="00134BD8">
        <w:rPr>
          <w:color w:val="000000"/>
          <w:lang w:val="en-ZA"/>
        </w:rPr>
        <w:t>although the sheriff did not comply with the letter of s 346(4A), it may very well be that the service of the application on ‘an employee’</w:t>
      </w:r>
      <w:r w:rsidR="00E507D6" w:rsidRPr="00134BD8">
        <w:rPr>
          <w:color w:val="000000"/>
          <w:lang w:val="en-ZA"/>
        </w:rPr>
        <w:t xml:space="preserve"> </w:t>
      </w:r>
      <w:r w:rsidR="00134BD8">
        <w:rPr>
          <w:color w:val="000000"/>
          <w:lang w:val="en-ZA"/>
        </w:rPr>
        <w:t>of Sigge served the purpose of bringing the said application to the attention of the employees.</w:t>
      </w:r>
    </w:p>
    <w:p w:rsidR="00134BD8" w:rsidRPr="00134BD8" w:rsidRDefault="005A58C4" w:rsidP="005A58C4">
      <w:pPr>
        <w:spacing w:after="240" w:line="360" w:lineRule="auto"/>
        <w:jc w:val="both"/>
        <w:outlineLvl w:val="0"/>
        <w:rPr>
          <w:color w:val="000000"/>
          <w:lang w:val="en-ZA"/>
        </w:rPr>
      </w:pPr>
      <w:r w:rsidRPr="00134BD8">
        <w:rPr>
          <w:color w:val="000000"/>
          <w:lang w:val="en-ZA"/>
        </w:rPr>
        <w:t>[22].</w:t>
      </w:r>
      <w:r w:rsidRPr="00134BD8">
        <w:rPr>
          <w:color w:val="000000"/>
          <w:lang w:val="en-ZA"/>
        </w:rPr>
        <w:tab/>
      </w:r>
      <w:r w:rsidR="00134BD8">
        <w:rPr>
          <w:color w:val="000000"/>
          <w:lang w:val="en-ZA"/>
        </w:rPr>
        <w:t>For these reasons, I am of the view that an order for the provisional winding-up of Sigge should be granted.</w:t>
      </w:r>
    </w:p>
    <w:p w:rsidR="00311374" w:rsidRPr="00311374" w:rsidRDefault="00311374" w:rsidP="00311374">
      <w:pPr>
        <w:suppressAutoHyphens w:val="0"/>
        <w:autoSpaceDE w:val="0"/>
        <w:autoSpaceDN w:val="0"/>
        <w:adjustRightInd w:val="0"/>
        <w:spacing w:after="120" w:line="360" w:lineRule="auto"/>
        <w:jc w:val="both"/>
        <w:rPr>
          <w:rFonts w:cs="Arial"/>
          <w:b/>
          <w:lang w:eastAsia="en-ZA"/>
        </w:rPr>
      </w:pPr>
      <w:r w:rsidRPr="00311374">
        <w:rPr>
          <w:b/>
        </w:rPr>
        <w:t>Order</w:t>
      </w:r>
    </w:p>
    <w:p w:rsidR="007D27AD" w:rsidRPr="00311374" w:rsidRDefault="005A58C4" w:rsidP="005A58C4">
      <w:pPr>
        <w:suppressAutoHyphens w:val="0"/>
        <w:autoSpaceDE w:val="0"/>
        <w:autoSpaceDN w:val="0"/>
        <w:adjustRightInd w:val="0"/>
        <w:spacing w:after="120" w:line="360" w:lineRule="auto"/>
        <w:jc w:val="both"/>
        <w:rPr>
          <w:rFonts w:cs="Arial"/>
          <w:lang w:eastAsia="en-ZA"/>
        </w:rPr>
      </w:pPr>
      <w:r w:rsidRPr="00311374">
        <w:rPr>
          <w:rFonts w:cs="Arial"/>
          <w:lang w:eastAsia="en-ZA"/>
        </w:rPr>
        <w:t>[23].</w:t>
      </w:r>
      <w:r w:rsidRPr="00311374">
        <w:rPr>
          <w:rFonts w:cs="Arial"/>
          <w:lang w:eastAsia="en-ZA"/>
        </w:rPr>
        <w:tab/>
      </w:r>
      <w:r w:rsidR="007D27AD" w:rsidRPr="007D27AD">
        <w:t xml:space="preserve">Accordingly, I make the following </w:t>
      </w:r>
      <w:r w:rsidR="00FC765E" w:rsidRPr="007D27AD">
        <w:t>order: -</w:t>
      </w:r>
    </w:p>
    <w:p w:rsidR="00096011" w:rsidRPr="00096011" w:rsidRDefault="005A58C4" w:rsidP="005A58C4">
      <w:pPr>
        <w:pStyle w:val="LegalBodyText1"/>
        <w:spacing w:after="120" w:line="360" w:lineRule="auto"/>
        <w:ind w:hanging="567"/>
      </w:pPr>
      <w:r w:rsidRPr="00096011">
        <w:t>(1)</w:t>
      </w:r>
      <w:r w:rsidRPr="00096011">
        <w:tab/>
      </w:r>
      <w:r w:rsidR="00096011" w:rsidRPr="00096011">
        <w:t xml:space="preserve">The respondent, Sigge Managed Solutions (Pty) Limited, with registration number 2017/388673/07, be and is hereby placed under provisional liquidation in the hands of the Master of the </w:t>
      </w:r>
      <w:r w:rsidR="00785311">
        <w:t>High Court, Johannesburg</w:t>
      </w:r>
      <w:r w:rsidR="00096011" w:rsidRPr="00096011">
        <w:t>.</w:t>
      </w:r>
    </w:p>
    <w:p w:rsidR="00A6367B" w:rsidRDefault="005A58C4" w:rsidP="005A58C4">
      <w:pPr>
        <w:pStyle w:val="LegalBodyText1"/>
        <w:spacing w:after="120" w:line="360" w:lineRule="auto"/>
        <w:ind w:hanging="567"/>
      </w:pPr>
      <w:r>
        <w:t>(2)</w:t>
      </w:r>
      <w:r>
        <w:tab/>
      </w:r>
      <w:r w:rsidR="00A6367B">
        <w:t xml:space="preserve">A </w:t>
      </w:r>
      <w:r w:rsidR="00A6367B" w:rsidRPr="00A6367B">
        <w:rPr>
          <w:i/>
        </w:rPr>
        <w:t>rule nisi</w:t>
      </w:r>
      <w:r w:rsidR="00A6367B">
        <w:t xml:space="preserve"> be and is hereby issued calling upon the respondent and all other interested persons to appear and to show good cause on </w:t>
      </w:r>
      <w:r w:rsidR="002A109C">
        <w:rPr>
          <w:b/>
        </w:rPr>
        <w:t>Monday</w:t>
      </w:r>
      <w:r w:rsidR="00A6367B">
        <w:t xml:space="preserve">, the </w:t>
      </w:r>
      <w:r w:rsidR="002A109C">
        <w:rPr>
          <w:b/>
        </w:rPr>
        <w:t>1</w:t>
      </w:r>
      <w:r w:rsidR="002A109C" w:rsidRPr="002A109C">
        <w:rPr>
          <w:b/>
          <w:vertAlign w:val="superscript"/>
        </w:rPr>
        <w:t>st</w:t>
      </w:r>
      <w:r w:rsidR="002A109C">
        <w:rPr>
          <w:b/>
        </w:rPr>
        <w:t xml:space="preserve"> </w:t>
      </w:r>
      <w:r w:rsidR="00A6367B">
        <w:t xml:space="preserve">of </w:t>
      </w:r>
      <w:r w:rsidR="002A109C">
        <w:rPr>
          <w:b/>
        </w:rPr>
        <w:t>May 2023,</w:t>
      </w:r>
      <w:r w:rsidR="00A6367B">
        <w:t xml:space="preserve"> at </w:t>
      </w:r>
      <w:r w:rsidR="00A6367B" w:rsidRPr="002A109C">
        <w:rPr>
          <w:b/>
        </w:rPr>
        <w:t>10:00</w:t>
      </w:r>
      <w:r w:rsidR="00A6367B">
        <w:t xml:space="preserve"> or so soon thereafter as the matter may be heard, as to why:</w:t>
      </w:r>
    </w:p>
    <w:p w:rsidR="00A6367B" w:rsidRDefault="00A6367B" w:rsidP="00A6367B">
      <w:pPr>
        <w:pStyle w:val="LegalBodyText1"/>
        <w:spacing w:after="0" w:line="360" w:lineRule="auto"/>
        <w:ind w:left="851" w:hanging="851"/>
      </w:pPr>
      <w:r>
        <w:lastRenderedPageBreak/>
        <w:t>2.1.</w:t>
      </w:r>
      <w:r>
        <w:tab/>
        <w:t>The Respondent should not be placed in final liquidation;</w:t>
      </w:r>
    </w:p>
    <w:p w:rsidR="00A6367B" w:rsidRDefault="00A6367B" w:rsidP="00A6367B">
      <w:pPr>
        <w:pStyle w:val="LegalBodyText1"/>
        <w:spacing w:after="120" w:line="360" w:lineRule="auto"/>
        <w:ind w:left="851" w:hanging="851"/>
      </w:pPr>
      <w:r>
        <w:t xml:space="preserve">2.2. </w:t>
      </w:r>
      <w:r>
        <w:tab/>
        <w:t>the costs of this application should not be costs in the liquidation on an attorney and client scale;</w:t>
      </w:r>
    </w:p>
    <w:p w:rsidR="00A6367B" w:rsidRDefault="005A58C4" w:rsidP="005A58C4">
      <w:pPr>
        <w:pStyle w:val="LegalBodyText1"/>
        <w:spacing w:after="0" w:line="360" w:lineRule="auto"/>
        <w:ind w:hanging="567"/>
      </w:pPr>
      <w:r>
        <w:t>(3)</w:t>
      </w:r>
      <w:r>
        <w:tab/>
      </w:r>
      <w:r w:rsidR="00A6367B">
        <w:t>Service of this Order is to be effected as follows:</w:t>
      </w:r>
    </w:p>
    <w:p w:rsidR="00785311" w:rsidRDefault="00785311" w:rsidP="00785311">
      <w:pPr>
        <w:pStyle w:val="LegalBodyText1"/>
        <w:spacing w:after="0" w:line="360" w:lineRule="auto"/>
        <w:ind w:left="851" w:hanging="851"/>
      </w:pPr>
      <w:r>
        <w:t>3.1.</w:t>
      </w:r>
      <w:r>
        <w:tab/>
        <w:t>Service by the Sheriff upon the respondent at its business address;</w:t>
      </w:r>
    </w:p>
    <w:p w:rsidR="00785311" w:rsidRDefault="00785311" w:rsidP="00785311">
      <w:pPr>
        <w:pStyle w:val="LegalBodyText1"/>
        <w:spacing w:after="0" w:line="360" w:lineRule="auto"/>
        <w:ind w:left="851" w:hanging="851"/>
      </w:pPr>
      <w:r>
        <w:t>3.2.</w:t>
      </w:r>
      <w:r>
        <w:tab/>
        <w:t>Service by the Sheriff upon the employees of the respondent and on any registered trade unions (if any), at the business address of the respondent, in terms of s 346A of the Companies Act, Act 61 of 1973;</w:t>
      </w:r>
    </w:p>
    <w:p w:rsidR="00785311" w:rsidRDefault="00785311" w:rsidP="00785311">
      <w:pPr>
        <w:pStyle w:val="LegalBodyText1"/>
        <w:spacing w:after="0" w:line="360" w:lineRule="auto"/>
        <w:ind w:left="851" w:hanging="851"/>
      </w:pPr>
      <w:r>
        <w:t>3.3.</w:t>
      </w:r>
      <w:r>
        <w:tab/>
        <w:t>Service on the South African Revenue Service by the applicant’s attorneys;</w:t>
      </w:r>
    </w:p>
    <w:p w:rsidR="00785311" w:rsidRDefault="00785311" w:rsidP="00785311">
      <w:pPr>
        <w:pStyle w:val="LegalBodyText1"/>
        <w:spacing w:after="0" w:line="360" w:lineRule="auto"/>
        <w:ind w:left="851" w:hanging="851"/>
      </w:pPr>
      <w:r>
        <w:t>3.4.</w:t>
      </w:r>
      <w:r>
        <w:tab/>
        <w:t>Service on the Master of the High Court by the applicant’s attorneys;</w:t>
      </w:r>
    </w:p>
    <w:p w:rsidR="00785311" w:rsidRDefault="00785311" w:rsidP="00785311">
      <w:pPr>
        <w:pStyle w:val="LegalBodyText1"/>
        <w:spacing w:after="0" w:line="360" w:lineRule="auto"/>
        <w:ind w:left="851" w:hanging="851"/>
      </w:pPr>
      <w:r>
        <w:t xml:space="preserve">3.5. </w:t>
      </w:r>
      <w:r>
        <w:tab/>
        <w:t>On all known creditors with claims in excess of R25 000 by means of registered mail and/or email;</w:t>
      </w:r>
    </w:p>
    <w:p w:rsidR="00785311" w:rsidRDefault="00785311" w:rsidP="00785311">
      <w:pPr>
        <w:pStyle w:val="LegalBodyText1"/>
        <w:spacing w:after="240" w:line="360" w:lineRule="auto"/>
        <w:ind w:left="851" w:hanging="851"/>
      </w:pPr>
      <w:r>
        <w:t>3.6.</w:t>
      </w:r>
      <w:r>
        <w:tab/>
        <w:t>Publication of this Order shall be in both an English and Afrikaans newspaper circulating in the local provincial area of the respondent’s registered address, as well as in the Government Gazette.</w:t>
      </w:r>
    </w:p>
    <w:p w:rsidR="00ED20EA" w:rsidRPr="00ED20EA" w:rsidRDefault="00ED20EA" w:rsidP="00ED20EA">
      <w:pPr>
        <w:keepNext/>
        <w:keepLines/>
        <w:tabs>
          <w:tab w:val="left" w:pos="0"/>
        </w:tabs>
        <w:spacing w:before="1200" w:line="360" w:lineRule="auto"/>
        <w:jc w:val="right"/>
      </w:pPr>
      <w:r w:rsidRPr="00ED20EA">
        <w:t>________________________________</w:t>
      </w:r>
    </w:p>
    <w:p w:rsidR="00ED20EA" w:rsidRDefault="00ED20EA" w:rsidP="00ED20EA">
      <w:pPr>
        <w:keepNext/>
        <w:jc w:val="right"/>
        <w:rPr>
          <w:rFonts w:cs="Arial"/>
          <w:b/>
        </w:rPr>
      </w:pPr>
      <w:r>
        <w:rPr>
          <w:rFonts w:cs="Arial"/>
          <w:b/>
        </w:rPr>
        <w:t>L R ADAMS</w:t>
      </w:r>
    </w:p>
    <w:p w:rsidR="00ED20EA" w:rsidRDefault="00ED20EA" w:rsidP="00ED20EA">
      <w:pPr>
        <w:keepNext/>
        <w:jc w:val="right"/>
        <w:rPr>
          <w:rFonts w:cs="Arial"/>
          <w:i/>
        </w:rPr>
      </w:pPr>
      <w:r>
        <w:rPr>
          <w:rFonts w:cs="Arial"/>
          <w:i/>
        </w:rPr>
        <w:t>Judge of the High Court of South Africa</w:t>
      </w:r>
    </w:p>
    <w:p w:rsidR="00ED20EA" w:rsidRDefault="00ED20EA" w:rsidP="00ED20EA">
      <w:pPr>
        <w:jc w:val="right"/>
        <w:rPr>
          <w:rFonts w:cs="Arial"/>
          <w:i/>
        </w:rPr>
      </w:pPr>
      <w:r>
        <w:rPr>
          <w:rFonts w:cs="Arial"/>
          <w:i/>
        </w:rPr>
        <w:t>Gauteng Division, Johannesburg</w:t>
      </w:r>
    </w:p>
    <w:p w:rsidR="007D27AD" w:rsidRPr="007D27AD" w:rsidRDefault="007D27AD" w:rsidP="00ED20EA">
      <w:pPr>
        <w:pBdr>
          <w:bottom w:val="single" w:sz="6" w:space="1" w:color="auto"/>
        </w:pBdr>
        <w:spacing w:after="240"/>
        <w:jc w:val="right"/>
        <w:rPr>
          <w:rFonts w:cs="Arial"/>
          <w:i/>
        </w:rPr>
      </w:pPr>
    </w:p>
    <w:tbl>
      <w:tblPr>
        <w:tblW w:w="8614" w:type="dxa"/>
        <w:tblLook w:val="04A0" w:firstRow="1" w:lastRow="0" w:firstColumn="1" w:lastColumn="0" w:noHBand="0" w:noVBand="1"/>
      </w:tblPr>
      <w:tblGrid>
        <w:gridCol w:w="4786"/>
        <w:gridCol w:w="3828"/>
      </w:tblGrid>
      <w:tr w:rsidR="007D27AD" w:rsidRPr="007D27AD" w:rsidTr="00055988">
        <w:tc>
          <w:tcPr>
            <w:tcW w:w="4786" w:type="dxa"/>
            <w:tcMar>
              <w:top w:w="32" w:type="dxa"/>
              <w:left w:w="108" w:type="dxa"/>
              <w:bottom w:w="32" w:type="dxa"/>
              <w:right w:w="108" w:type="dxa"/>
            </w:tcMar>
            <w:vAlign w:val="center"/>
            <w:hideMark/>
          </w:tcPr>
          <w:p w:rsidR="007D27AD" w:rsidRPr="007D27AD" w:rsidRDefault="007D27AD" w:rsidP="00A6546E">
            <w:pPr>
              <w:keepNext/>
              <w:spacing w:before="120" w:after="120"/>
              <w:rPr>
                <w:sz w:val="22"/>
                <w:szCs w:val="22"/>
                <w:lang w:eastAsia="en-US"/>
              </w:rPr>
            </w:pPr>
            <w:r w:rsidRPr="007D27AD">
              <w:lastRenderedPageBreak/>
              <w:t>HEARD ON: </w:t>
            </w:r>
          </w:p>
        </w:tc>
        <w:tc>
          <w:tcPr>
            <w:tcW w:w="0" w:type="auto"/>
            <w:tcMar>
              <w:top w:w="32" w:type="dxa"/>
              <w:left w:w="108" w:type="dxa"/>
              <w:bottom w:w="32" w:type="dxa"/>
              <w:right w:w="108" w:type="dxa"/>
            </w:tcMar>
            <w:vAlign w:val="center"/>
            <w:hideMark/>
          </w:tcPr>
          <w:p w:rsidR="007D27AD" w:rsidRPr="007D27AD" w:rsidRDefault="003B47B7" w:rsidP="003B47B7">
            <w:pPr>
              <w:keepNext/>
              <w:spacing w:before="120" w:after="120"/>
              <w:ind w:left="-108"/>
              <w:jc w:val="both"/>
              <w:rPr>
                <w:sz w:val="22"/>
                <w:szCs w:val="22"/>
                <w:lang w:eastAsia="en-US"/>
              </w:rPr>
            </w:pPr>
            <w:r>
              <w:t>27</w:t>
            </w:r>
            <w:r w:rsidRPr="003B47B7">
              <w:rPr>
                <w:vertAlign w:val="superscript"/>
              </w:rPr>
              <w:t>th</w:t>
            </w:r>
            <w:r>
              <w:t xml:space="preserve"> February 2023</w:t>
            </w:r>
          </w:p>
        </w:tc>
      </w:tr>
      <w:tr w:rsidR="007D27AD" w:rsidRPr="007D27AD" w:rsidTr="00055988">
        <w:tc>
          <w:tcPr>
            <w:tcW w:w="4786" w:type="dxa"/>
            <w:tcMar>
              <w:top w:w="32" w:type="dxa"/>
              <w:left w:w="108" w:type="dxa"/>
              <w:bottom w:w="32" w:type="dxa"/>
              <w:right w:w="108" w:type="dxa"/>
            </w:tcMar>
            <w:vAlign w:val="center"/>
            <w:hideMark/>
          </w:tcPr>
          <w:p w:rsidR="007D27AD" w:rsidRPr="007D27AD" w:rsidRDefault="007D27AD" w:rsidP="00A6546E">
            <w:pPr>
              <w:keepNext/>
              <w:spacing w:before="120" w:after="120"/>
              <w:rPr>
                <w:sz w:val="22"/>
                <w:szCs w:val="22"/>
                <w:lang w:eastAsia="en-US"/>
              </w:rPr>
            </w:pPr>
            <w:r w:rsidRPr="007D27AD">
              <w:t>JUDGMENT DATE: </w:t>
            </w:r>
          </w:p>
        </w:tc>
        <w:tc>
          <w:tcPr>
            <w:tcW w:w="0" w:type="auto"/>
            <w:tcMar>
              <w:top w:w="32" w:type="dxa"/>
              <w:left w:w="108" w:type="dxa"/>
              <w:bottom w:w="32" w:type="dxa"/>
              <w:right w:w="108" w:type="dxa"/>
            </w:tcMar>
            <w:vAlign w:val="center"/>
            <w:hideMark/>
          </w:tcPr>
          <w:p w:rsidR="007D27AD" w:rsidRPr="007D27AD" w:rsidRDefault="00E712DC" w:rsidP="00E712DC">
            <w:pPr>
              <w:keepNext/>
              <w:spacing w:before="120" w:after="120"/>
              <w:ind w:left="-108"/>
              <w:jc w:val="both"/>
            </w:pPr>
            <w:r>
              <w:t>6</w:t>
            </w:r>
            <w:r w:rsidRPr="00E712DC">
              <w:rPr>
                <w:vertAlign w:val="superscript"/>
              </w:rPr>
              <w:t>th</w:t>
            </w:r>
            <w:r>
              <w:t xml:space="preserve"> </w:t>
            </w:r>
            <w:r w:rsidR="003B47B7">
              <w:t>March</w:t>
            </w:r>
            <w:r w:rsidR="004F6C0A">
              <w:t xml:space="preserve"> </w:t>
            </w:r>
            <w:r w:rsidR="004F6C0A" w:rsidRPr="007D27AD">
              <w:t>20</w:t>
            </w:r>
            <w:r w:rsidR="003B47B7">
              <w:t>23</w:t>
            </w:r>
            <w:r w:rsidR="004F6C0A">
              <w:t xml:space="preserve"> – judgment handed down electronically</w:t>
            </w:r>
          </w:p>
        </w:tc>
      </w:tr>
      <w:tr w:rsidR="007D27AD" w:rsidRPr="007D27AD" w:rsidTr="00055988">
        <w:tc>
          <w:tcPr>
            <w:tcW w:w="4786" w:type="dxa"/>
            <w:tcMar>
              <w:top w:w="32" w:type="dxa"/>
              <w:left w:w="108" w:type="dxa"/>
              <w:bottom w:w="32" w:type="dxa"/>
              <w:right w:w="108" w:type="dxa"/>
            </w:tcMar>
            <w:vAlign w:val="center"/>
            <w:hideMark/>
          </w:tcPr>
          <w:p w:rsidR="007D27AD" w:rsidRPr="007D27AD" w:rsidRDefault="007D27AD" w:rsidP="00A6546E">
            <w:pPr>
              <w:keepNext/>
              <w:spacing w:before="120" w:after="120"/>
              <w:rPr>
                <w:sz w:val="22"/>
                <w:szCs w:val="22"/>
                <w:lang w:eastAsia="en-US"/>
              </w:rPr>
            </w:pPr>
            <w:r w:rsidRPr="007D27AD">
              <w:t>FOR THE APPLICANT: </w:t>
            </w:r>
          </w:p>
        </w:tc>
        <w:tc>
          <w:tcPr>
            <w:tcW w:w="0" w:type="auto"/>
            <w:tcMar>
              <w:top w:w="32" w:type="dxa"/>
              <w:left w:w="108" w:type="dxa"/>
              <w:bottom w:w="32" w:type="dxa"/>
              <w:right w:w="108" w:type="dxa"/>
            </w:tcMar>
            <w:vAlign w:val="center"/>
            <w:hideMark/>
          </w:tcPr>
          <w:p w:rsidR="007D27AD" w:rsidRPr="007D27AD" w:rsidRDefault="009E3E41" w:rsidP="003B47B7">
            <w:pPr>
              <w:keepNext/>
              <w:spacing w:before="120" w:after="120"/>
              <w:ind w:left="-108"/>
              <w:rPr>
                <w:sz w:val="22"/>
                <w:szCs w:val="22"/>
                <w:lang w:eastAsia="en-US"/>
              </w:rPr>
            </w:pPr>
            <w:r>
              <w:t xml:space="preserve">Advocate </w:t>
            </w:r>
            <w:r w:rsidR="003B47B7">
              <w:t xml:space="preserve">A P J Els </w:t>
            </w:r>
            <w:r w:rsidR="00D14255">
              <w:t xml:space="preserve"> </w:t>
            </w:r>
          </w:p>
        </w:tc>
      </w:tr>
      <w:tr w:rsidR="007D27AD" w:rsidRPr="007D27AD" w:rsidTr="00055988">
        <w:tc>
          <w:tcPr>
            <w:tcW w:w="4786" w:type="dxa"/>
            <w:tcMar>
              <w:top w:w="32" w:type="dxa"/>
              <w:left w:w="108" w:type="dxa"/>
              <w:bottom w:w="32" w:type="dxa"/>
              <w:right w:w="108" w:type="dxa"/>
            </w:tcMar>
            <w:vAlign w:val="center"/>
            <w:hideMark/>
          </w:tcPr>
          <w:p w:rsidR="007D27AD" w:rsidRPr="007D27AD" w:rsidRDefault="007D27AD" w:rsidP="00A6546E">
            <w:pPr>
              <w:keepNext/>
              <w:spacing w:before="120" w:after="120"/>
              <w:rPr>
                <w:sz w:val="22"/>
                <w:szCs w:val="22"/>
                <w:lang w:eastAsia="en-US"/>
              </w:rPr>
            </w:pPr>
            <w:r w:rsidRPr="007D27AD">
              <w:t>INSTRUCTED BY: </w:t>
            </w:r>
          </w:p>
        </w:tc>
        <w:tc>
          <w:tcPr>
            <w:tcW w:w="0" w:type="auto"/>
            <w:tcMar>
              <w:top w:w="32" w:type="dxa"/>
              <w:left w:w="108" w:type="dxa"/>
              <w:bottom w:w="32" w:type="dxa"/>
              <w:right w:w="108" w:type="dxa"/>
            </w:tcMar>
            <w:vAlign w:val="center"/>
            <w:hideMark/>
          </w:tcPr>
          <w:p w:rsidR="007D27AD" w:rsidRPr="007D27AD" w:rsidRDefault="003B47B7" w:rsidP="003B47B7">
            <w:pPr>
              <w:keepNext/>
              <w:spacing w:before="120" w:after="120"/>
              <w:ind w:left="-108"/>
              <w:rPr>
                <w:sz w:val="22"/>
                <w:szCs w:val="22"/>
                <w:lang w:eastAsia="en-US"/>
              </w:rPr>
            </w:pPr>
            <w:r>
              <w:t>Barnard &amp; Patel Incorporated</w:t>
            </w:r>
            <w:r w:rsidR="00A6546E">
              <w:t xml:space="preserve">, </w:t>
            </w:r>
            <w:r>
              <w:t>Clydesdale, Pretoria</w:t>
            </w:r>
          </w:p>
        </w:tc>
      </w:tr>
      <w:tr w:rsidR="007D27AD" w:rsidRPr="007D27AD" w:rsidTr="00055988">
        <w:tc>
          <w:tcPr>
            <w:tcW w:w="4786" w:type="dxa"/>
            <w:tcMar>
              <w:top w:w="32" w:type="dxa"/>
              <w:left w:w="108" w:type="dxa"/>
              <w:bottom w:w="32" w:type="dxa"/>
              <w:right w:w="108" w:type="dxa"/>
            </w:tcMar>
            <w:vAlign w:val="center"/>
            <w:hideMark/>
          </w:tcPr>
          <w:p w:rsidR="007D27AD" w:rsidRPr="007D27AD" w:rsidRDefault="007D27AD" w:rsidP="00A6546E">
            <w:pPr>
              <w:keepNext/>
              <w:spacing w:before="120" w:after="120"/>
              <w:rPr>
                <w:sz w:val="22"/>
                <w:szCs w:val="22"/>
                <w:lang w:eastAsia="en-US"/>
              </w:rPr>
            </w:pPr>
            <w:r w:rsidRPr="007D27AD">
              <w:t>FOR THE RESPONDENT: </w:t>
            </w:r>
          </w:p>
        </w:tc>
        <w:tc>
          <w:tcPr>
            <w:tcW w:w="0" w:type="auto"/>
            <w:tcMar>
              <w:top w:w="32" w:type="dxa"/>
              <w:left w:w="108" w:type="dxa"/>
              <w:bottom w:w="32" w:type="dxa"/>
              <w:right w:w="108" w:type="dxa"/>
            </w:tcMar>
            <w:vAlign w:val="center"/>
            <w:hideMark/>
          </w:tcPr>
          <w:p w:rsidR="007D27AD" w:rsidRPr="007D27AD" w:rsidRDefault="009E3E41" w:rsidP="003B47B7">
            <w:pPr>
              <w:keepNext/>
              <w:spacing w:before="120" w:after="120"/>
              <w:ind w:left="-108"/>
            </w:pPr>
            <w:r>
              <w:t xml:space="preserve">Advocate </w:t>
            </w:r>
            <w:r w:rsidR="003B47B7">
              <w:t>S Aucamp</w:t>
            </w:r>
            <w:r w:rsidR="00A6546E">
              <w:t xml:space="preserve"> </w:t>
            </w:r>
          </w:p>
        </w:tc>
      </w:tr>
      <w:tr w:rsidR="007D27AD" w:rsidRPr="007D27AD" w:rsidTr="00055988">
        <w:tc>
          <w:tcPr>
            <w:tcW w:w="4786" w:type="dxa"/>
            <w:tcMar>
              <w:top w:w="32" w:type="dxa"/>
              <w:left w:w="108" w:type="dxa"/>
              <w:bottom w:w="32" w:type="dxa"/>
              <w:right w:w="108" w:type="dxa"/>
            </w:tcMar>
            <w:vAlign w:val="center"/>
            <w:hideMark/>
          </w:tcPr>
          <w:p w:rsidR="007D27AD" w:rsidRPr="007D27AD" w:rsidRDefault="007D27AD" w:rsidP="00A6546E">
            <w:pPr>
              <w:spacing w:before="120" w:after="120"/>
              <w:rPr>
                <w:sz w:val="22"/>
                <w:szCs w:val="22"/>
                <w:lang w:eastAsia="en-US"/>
              </w:rPr>
            </w:pPr>
            <w:r w:rsidRPr="007D27AD">
              <w:t>INSTRUCTED BY: </w:t>
            </w:r>
          </w:p>
        </w:tc>
        <w:tc>
          <w:tcPr>
            <w:tcW w:w="0" w:type="auto"/>
            <w:tcMar>
              <w:top w:w="32" w:type="dxa"/>
              <w:left w:w="108" w:type="dxa"/>
              <w:bottom w:w="32" w:type="dxa"/>
              <w:right w:w="108" w:type="dxa"/>
            </w:tcMar>
            <w:vAlign w:val="center"/>
            <w:hideMark/>
          </w:tcPr>
          <w:p w:rsidR="007D27AD" w:rsidRPr="007D27AD" w:rsidRDefault="003B47B7" w:rsidP="003B47B7">
            <w:pPr>
              <w:spacing w:before="120" w:after="120"/>
              <w:ind w:left="-108"/>
              <w:rPr>
                <w:sz w:val="22"/>
                <w:szCs w:val="22"/>
                <w:lang w:eastAsia="en-US"/>
              </w:rPr>
            </w:pPr>
            <w:r>
              <w:t>Brian Wilkin</w:t>
            </w:r>
            <w:r w:rsidR="00A6546E">
              <w:t xml:space="preserve"> Attorneys</w:t>
            </w:r>
            <w:r>
              <w:t xml:space="preserve"> Inc</w:t>
            </w:r>
            <w:r w:rsidR="00A6546E">
              <w:t xml:space="preserve">, </w:t>
            </w:r>
            <w:r>
              <w:t xml:space="preserve">Mulbarton, </w:t>
            </w:r>
            <w:r w:rsidR="00795FD9">
              <w:t>Johannesburg</w:t>
            </w:r>
            <w:r w:rsidR="00385FAB">
              <w:t xml:space="preserve"> </w:t>
            </w:r>
            <w:r w:rsidR="007D27AD" w:rsidRPr="007D27AD">
              <w:t xml:space="preserve"> </w:t>
            </w:r>
          </w:p>
        </w:tc>
      </w:tr>
    </w:tbl>
    <w:p w:rsidR="002F15F5" w:rsidRPr="00D63801" w:rsidRDefault="002F15F5" w:rsidP="009E3E41">
      <w:pPr>
        <w:pStyle w:val="LegalMAINHEADING"/>
        <w:spacing w:before="0" w:after="120" w:line="360" w:lineRule="auto"/>
        <w:rPr>
          <w:b w:val="0"/>
        </w:rPr>
      </w:pPr>
    </w:p>
    <w:sectPr w:rsidR="002F15F5" w:rsidRPr="00D63801" w:rsidSect="002B6C0E">
      <w:headerReference w:type="even" r:id="rId10"/>
      <w:headerReference w:type="default" r:id="rId11"/>
      <w:headerReference w:type="first" r:id="rId12"/>
      <w:endnotePr>
        <w:numFmt w:val="decimal"/>
      </w:endnotePr>
      <w:pgSz w:w="11904" w:h="16836" w:code="9"/>
      <w:pgMar w:top="1701" w:right="1701" w:bottom="1701" w:left="1701" w:header="567" w:footer="567"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EED" w:rsidRDefault="00873EED">
      <w:pPr>
        <w:spacing w:line="20" w:lineRule="exact"/>
      </w:pPr>
    </w:p>
  </w:endnote>
  <w:endnote w:type="continuationSeparator" w:id="0">
    <w:p w:rsidR="00873EED" w:rsidRDefault="00873EED">
      <w:r>
        <w:t xml:space="preserve"> </w:t>
      </w:r>
    </w:p>
  </w:endnote>
  <w:endnote w:type="continuationNotice" w:id="1">
    <w:p w:rsidR="00873EED" w:rsidRDefault="00873EE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EED" w:rsidRDefault="00873EED">
      <w:r>
        <w:separator/>
      </w:r>
    </w:p>
  </w:footnote>
  <w:footnote w:type="continuationSeparator" w:id="0">
    <w:p w:rsidR="00873EED" w:rsidRDefault="00873EED">
      <w:r>
        <w:continuationSeparator/>
      </w:r>
    </w:p>
  </w:footnote>
  <w:footnote w:id="1">
    <w:p w:rsidR="00FC50DC" w:rsidRDefault="00FC50DC">
      <w:pPr>
        <w:pStyle w:val="FootnoteText"/>
      </w:pPr>
      <w:r>
        <w:rPr>
          <w:rStyle w:val="FootnoteReference"/>
        </w:rPr>
        <w:footnoteRef/>
      </w:r>
      <w:r>
        <w:t xml:space="preserve"> </w:t>
      </w:r>
      <w:r>
        <w:rPr>
          <w:color w:val="000000"/>
          <w:lang w:val="en-ZA"/>
        </w:rPr>
        <w:t xml:space="preserve">Pension Fund Act, Act 24 of 1956; </w:t>
      </w:r>
    </w:p>
  </w:footnote>
  <w:footnote w:id="2">
    <w:p w:rsidR="00FC50DC" w:rsidRDefault="00FC50DC">
      <w:pPr>
        <w:pStyle w:val="FootnoteText"/>
      </w:pPr>
      <w:r>
        <w:rPr>
          <w:rStyle w:val="FootnoteReference"/>
        </w:rPr>
        <w:footnoteRef/>
      </w:r>
      <w:r>
        <w:t xml:space="preserve"> </w:t>
      </w:r>
      <w:r>
        <w:rPr>
          <w:color w:val="000000"/>
          <w:lang w:val="en-ZA"/>
        </w:rPr>
        <w:t>National Credit Act, Act 34 of 2005;</w:t>
      </w:r>
    </w:p>
  </w:footnote>
  <w:footnote w:id="3">
    <w:p w:rsidR="0002161D" w:rsidRDefault="0002161D">
      <w:pPr>
        <w:pStyle w:val="FootnoteText"/>
      </w:pPr>
      <w:r>
        <w:rPr>
          <w:rStyle w:val="FootnoteReference"/>
        </w:rPr>
        <w:footnoteRef/>
      </w:r>
      <w:r>
        <w:t xml:space="preserve"> </w:t>
      </w:r>
      <w:r w:rsidRPr="008009EC">
        <w:rPr>
          <w:i/>
          <w:iCs/>
          <w:color w:val="000000"/>
          <w:lang w:val="en-ZA"/>
        </w:rPr>
        <w:t xml:space="preserve">Trinity </w:t>
      </w:r>
      <w:r w:rsidRPr="008009EC">
        <w:rPr>
          <w:i/>
          <w:color w:val="000000"/>
          <w:lang w:val="en-ZA"/>
        </w:rPr>
        <w:t xml:space="preserve">Asset </w:t>
      </w:r>
      <w:r w:rsidRPr="008009EC">
        <w:rPr>
          <w:i/>
          <w:iCs/>
          <w:color w:val="000000"/>
          <w:lang w:val="en-ZA"/>
        </w:rPr>
        <w:t>Management (Pty) Ltd v Grindstone Investments (Pty) Ltd</w:t>
      </w:r>
      <w:r w:rsidRPr="008F2FD1">
        <w:rPr>
          <w:i/>
          <w:iCs/>
          <w:color w:val="000000"/>
          <w:lang w:val="en-ZA"/>
        </w:rPr>
        <w:t xml:space="preserve"> </w:t>
      </w:r>
      <w:r w:rsidRPr="008F2FD1">
        <w:rPr>
          <w:color w:val="000000"/>
          <w:lang w:val="en-ZA"/>
        </w:rPr>
        <w:t>2017</w:t>
      </w:r>
      <w:r>
        <w:rPr>
          <w:color w:val="000000"/>
          <w:lang w:val="en-ZA"/>
        </w:rPr>
        <w:t xml:space="preserve"> </w:t>
      </w:r>
      <w:r w:rsidRPr="008F2FD1">
        <w:rPr>
          <w:color w:val="000000"/>
          <w:lang w:val="en-ZA"/>
        </w:rPr>
        <w:t>(</w:t>
      </w:r>
      <w:r>
        <w:rPr>
          <w:color w:val="000000"/>
          <w:lang w:val="en-ZA"/>
        </w:rPr>
        <w:t>1</w:t>
      </w:r>
      <w:r w:rsidRPr="008F2FD1">
        <w:rPr>
          <w:color w:val="000000"/>
          <w:lang w:val="en-ZA"/>
        </w:rPr>
        <w:t xml:space="preserve">2) BCLR 1562 (CC); 2018 (1) SA 94 (CC) </w:t>
      </w:r>
      <w:r>
        <w:rPr>
          <w:color w:val="000000"/>
          <w:lang w:val="en-ZA"/>
        </w:rPr>
        <w:t>at para 154;</w:t>
      </w:r>
    </w:p>
  </w:footnote>
  <w:footnote w:id="4">
    <w:p w:rsidR="0002161D" w:rsidRDefault="0002161D">
      <w:pPr>
        <w:pStyle w:val="FootnoteText"/>
      </w:pPr>
      <w:r>
        <w:rPr>
          <w:rStyle w:val="FootnoteReference"/>
        </w:rPr>
        <w:footnoteRef/>
      </w:r>
      <w:r>
        <w:t xml:space="preserve"> </w:t>
      </w:r>
      <w:r w:rsidRPr="008F2FD1">
        <w:rPr>
          <w:i/>
          <w:iCs/>
          <w:color w:val="000000"/>
          <w:lang w:val="en-ZA"/>
        </w:rPr>
        <w:t xml:space="preserve">Badenhorst v Northern Construction Enterprises (Pty) Ltd </w:t>
      </w:r>
      <w:r w:rsidRPr="008F2FD1">
        <w:rPr>
          <w:color w:val="000000"/>
          <w:lang w:val="en-ZA"/>
        </w:rPr>
        <w:t>1956 (2) SA 346(T) at 347-348</w:t>
      </w:r>
      <w:r>
        <w:rPr>
          <w:color w:val="000000"/>
          <w:lang w:val="en-ZA"/>
        </w:rPr>
        <w:t>;</w:t>
      </w:r>
    </w:p>
  </w:footnote>
  <w:footnote w:id="5">
    <w:p w:rsidR="001C35A2" w:rsidRDefault="001C35A2">
      <w:pPr>
        <w:pStyle w:val="FootnoteText"/>
      </w:pPr>
      <w:r>
        <w:rPr>
          <w:rStyle w:val="FootnoteReference"/>
        </w:rPr>
        <w:footnoteRef/>
      </w:r>
      <w:r>
        <w:t xml:space="preserve"> </w:t>
      </w:r>
      <w:r w:rsidRPr="008F2FD1">
        <w:rPr>
          <w:i/>
          <w:iCs/>
          <w:color w:val="000000"/>
          <w:lang w:val="en-ZA"/>
        </w:rPr>
        <w:t>Adbro Investment Compan</w:t>
      </w:r>
      <w:r>
        <w:rPr>
          <w:i/>
          <w:iCs/>
          <w:color w:val="000000"/>
          <w:lang w:val="en-ZA"/>
        </w:rPr>
        <w:t xml:space="preserve">y Ltd v </w:t>
      </w:r>
      <w:r w:rsidRPr="008F2FD1">
        <w:rPr>
          <w:i/>
          <w:iCs/>
          <w:color w:val="000000"/>
          <w:lang w:val="en-ZA"/>
        </w:rPr>
        <w:t xml:space="preserve">Minister of Interior </w:t>
      </w:r>
      <w:r w:rsidRPr="008F2FD1">
        <w:rPr>
          <w:color w:val="000000"/>
          <w:lang w:val="en-ZA"/>
        </w:rPr>
        <w:t>1956 (3) SA 345 (A) at 350A</w:t>
      </w:r>
      <w:r>
        <w:rPr>
          <w:color w:val="000000"/>
          <w:lang w:val="en-ZA"/>
        </w:rPr>
        <w:t>.</w:t>
      </w:r>
    </w:p>
  </w:footnote>
  <w:footnote w:id="6">
    <w:p w:rsidR="001C35A2" w:rsidRDefault="001C35A2">
      <w:pPr>
        <w:pStyle w:val="FootnoteText"/>
      </w:pPr>
      <w:r>
        <w:rPr>
          <w:rStyle w:val="FootnoteReference"/>
        </w:rPr>
        <w:footnoteRef/>
      </w:r>
      <w:r>
        <w:t xml:space="preserve"> </w:t>
      </w:r>
      <w:r w:rsidRPr="00E85BD1">
        <w:rPr>
          <w:i/>
          <w:lang w:val="en-ZA"/>
        </w:rPr>
        <w:t>Orestisolve (Pty) Ltd t/a Essa Investments v NDFT Investment Holdings (Pty) Ltd and Another</w:t>
      </w:r>
      <w:r w:rsidRPr="006603E3">
        <w:rPr>
          <w:lang w:val="en-ZA"/>
        </w:rPr>
        <w:t xml:space="preserve"> 2015 (4) SA 449 (WCC)</w:t>
      </w:r>
      <w:r>
        <w:rPr>
          <w:lang w:val="en-ZA"/>
        </w:rPr>
        <w:t>;</w:t>
      </w:r>
    </w:p>
  </w:footnote>
  <w:footnote w:id="7">
    <w:p w:rsidR="00A9714E" w:rsidRDefault="00A9714E">
      <w:pPr>
        <w:pStyle w:val="FootnoteText"/>
      </w:pPr>
      <w:r>
        <w:rPr>
          <w:rStyle w:val="FootnoteReference"/>
        </w:rPr>
        <w:footnoteRef/>
      </w:r>
      <w:r>
        <w:t xml:space="preserve"> </w:t>
      </w:r>
      <w:r>
        <w:rPr>
          <w:lang w:val="en-ZA"/>
        </w:rPr>
        <w:t xml:space="preserve">Companies Act, Act 61 of 1973; </w:t>
      </w:r>
    </w:p>
  </w:footnote>
  <w:footnote w:id="8">
    <w:p w:rsidR="00ED0D85" w:rsidRDefault="00ED0D85">
      <w:pPr>
        <w:pStyle w:val="FootnoteText"/>
      </w:pPr>
      <w:r>
        <w:rPr>
          <w:rStyle w:val="FootnoteReference"/>
        </w:rPr>
        <w:footnoteRef/>
      </w:r>
      <w:r>
        <w:t xml:space="preserve"> </w:t>
      </w:r>
      <w:r w:rsidRPr="00ED0D85">
        <w:rPr>
          <w:i/>
          <w:color w:val="000000"/>
          <w:lang w:val="en-ZA"/>
        </w:rPr>
        <w:t>Cassim v Ramagale Holdings (Pty) Ltd</w:t>
      </w:r>
      <w:r w:rsidRPr="00ED0D85">
        <w:rPr>
          <w:color w:val="000000"/>
          <w:lang w:val="en-ZA"/>
        </w:rPr>
        <w:t xml:space="preserve"> 2020 JDR 1325 (GJ)</w:t>
      </w:r>
      <w:r>
        <w:rPr>
          <w:color w:val="000000"/>
          <w:lang w:val="en-ZA"/>
        </w:rPr>
        <w:t xml:space="preserve">; </w:t>
      </w:r>
    </w:p>
  </w:footnote>
  <w:footnote w:id="9">
    <w:p w:rsidR="00ED0D85" w:rsidRDefault="00ED0D85">
      <w:pPr>
        <w:pStyle w:val="FootnoteText"/>
      </w:pPr>
      <w:r>
        <w:rPr>
          <w:rStyle w:val="FootnoteReference"/>
        </w:rPr>
        <w:footnoteRef/>
      </w:r>
      <w:r>
        <w:t xml:space="preserve"> </w:t>
      </w:r>
      <w:r w:rsidRPr="00ED0D85">
        <w:rPr>
          <w:i/>
          <w:color w:val="000000"/>
          <w:lang w:val="en-ZA"/>
        </w:rPr>
        <w:t>Bees Winkel (Pty) Ltd v Mkhulu Tshukudu Holdings (Pty) Ltd</w:t>
      </w:r>
      <w:r w:rsidRPr="00ED0D85">
        <w:rPr>
          <w:color w:val="000000"/>
          <w:lang w:val="en-ZA"/>
        </w:rPr>
        <w:t xml:space="preserve"> 2021 JDR 1760 (NWM)</w:t>
      </w:r>
      <w:r>
        <w:rPr>
          <w:color w:val="000000"/>
          <w:lang w:val="en-ZA"/>
        </w:rPr>
        <w:t xml:space="preserve">; </w:t>
      </w:r>
    </w:p>
  </w:footnote>
  <w:footnote w:id="10">
    <w:p w:rsidR="00B96579" w:rsidRDefault="00B96579">
      <w:pPr>
        <w:pStyle w:val="FootnoteText"/>
      </w:pPr>
      <w:r>
        <w:rPr>
          <w:rStyle w:val="FootnoteReference"/>
        </w:rPr>
        <w:footnoteRef/>
      </w:r>
      <w:r>
        <w:t xml:space="preserve"> </w:t>
      </w:r>
      <w:r w:rsidRPr="00622A7C">
        <w:rPr>
          <w:i/>
          <w:color w:val="000000"/>
          <w:lang w:val="en-ZA"/>
        </w:rPr>
        <w:t>Aqua Transport and Plant Hire (Pty) Ltd v TST Broker (Pty) Ltd</w:t>
      </w:r>
      <w:r w:rsidRPr="00622A7C">
        <w:rPr>
          <w:color w:val="000000"/>
          <w:lang w:val="en-ZA"/>
        </w:rPr>
        <w:t xml:space="preserve"> 2023 JDR 0191 (GJ)</w:t>
      </w:r>
      <w:r>
        <w:rPr>
          <w:color w:val="000000"/>
          <w:lang w:val="en-ZA"/>
        </w:rPr>
        <w:t xml:space="preserve">; </w:t>
      </w:r>
    </w:p>
  </w:footnote>
  <w:footnote w:id="11">
    <w:p w:rsidR="000935FF" w:rsidRDefault="000935FF">
      <w:pPr>
        <w:pStyle w:val="FootnoteText"/>
      </w:pPr>
      <w:r>
        <w:rPr>
          <w:rStyle w:val="FootnoteReference"/>
        </w:rPr>
        <w:footnoteRef/>
      </w:r>
      <w:r>
        <w:t xml:space="preserve"> </w:t>
      </w:r>
      <w:r w:rsidRPr="000935FF">
        <w:rPr>
          <w:i/>
          <w:color w:val="000000"/>
          <w:lang w:val="en-ZA"/>
        </w:rPr>
        <w:t>EB Steam Co (Pty) Ltd v Eskom Holdings SOC</w:t>
      </w:r>
      <w:r w:rsidRPr="000935FF">
        <w:rPr>
          <w:color w:val="000000"/>
          <w:lang w:val="en-ZA"/>
        </w:rPr>
        <w:t xml:space="preserve"> Ltd 2015 (2) SA 526 (SCA)</w:t>
      </w:r>
      <w:r>
        <w:rPr>
          <w:color w:val="000000"/>
          <w:lang w:val="en-ZA"/>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346" w:rsidRDefault="0023634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36346" w:rsidRDefault="002363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6084767"/>
      <w:docPartObj>
        <w:docPartGallery w:val="Page Numbers (Top of Page)"/>
        <w:docPartUnique/>
      </w:docPartObj>
    </w:sdtPr>
    <w:sdtEndPr>
      <w:rPr>
        <w:noProof/>
      </w:rPr>
    </w:sdtEndPr>
    <w:sdtContent>
      <w:p w:rsidR="00236346" w:rsidRPr="00B45F72" w:rsidRDefault="00236346" w:rsidP="00766386">
        <w:pPr>
          <w:pStyle w:val="Header"/>
          <w:jc w:val="right"/>
        </w:pPr>
        <w:r>
          <w:fldChar w:fldCharType="begin"/>
        </w:r>
        <w:r>
          <w:instrText xml:space="preserve"> PAGE   \* MERGEFORMAT </w:instrText>
        </w:r>
        <w:r>
          <w:fldChar w:fldCharType="separate"/>
        </w:r>
        <w:r w:rsidR="005A58C4">
          <w:rPr>
            <w:noProof/>
          </w:rPr>
          <w:t>3</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346" w:rsidRDefault="00236346">
    <w:pPr>
      <w:pStyle w:val="Header"/>
      <w:jc w:val="right"/>
    </w:pPr>
  </w:p>
  <w:p w:rsidR="00236346" w:rsidRDefault="002363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39FE4DFC"/>
    <w:lvl w:ilvl="0">
      <w:start w:val="1"/>
      <w:numFmt w:val="decimal"/>
      <w:lvlText w:val="[%1]"/>
      <w:lvlJc w:val="left"/>
      <w:pPr>
        <w:ind w:left="896" w:hanging="697"/>
      </w:pPr>
      <w:rPr>
        <w:rFonts w:cs="Times New Roman"/>
        <w:b w:val="0"/>
        <w:bCs w:val="0"/>
        <w:color w:val="000000" w:themeColor="text1"/>
        <w:spacing w:val="0"/>
        <w:w w:val="100"/>
      </w:rPr>
    </w:lvl>
    <w:lvl w:ilvl="1">
      <w:numFmt w:val="bullet"/>
      <w:lvlText w:val="•"/>
      <w:lvlJc w:val="left"/>
      <w:pPr>
        <w:ind w:left="1852" w:hanging="697"/>
      </w:pPr>
    </w:lvl>
    <w:lvl w:ilvl="2">
      <w:numFmt w:val="bullet"/>
      <w:lvlText w:val="•"/>
      <w:lvlJc w:val="left"/>
      <w:pPr>
        <w:ind w:left="2804" w:hanging="697"/>
      </w:pPr>
    </w:lvl>
    <w:lvl w:ilvl="3">
      <w:numFmt w:val="bullet"/>
      <w:lvlText w:val="•"/>
      <w:lvlJc w:val="left"/>
      <w:pPr>
        <w:ind w:left="3756" w:hanging="697"/>
      </w:pPr>
    </w:lvl>
    <w:lvl w:ilvl="4">
      <w:numFmt w:val="bullet"/>
      <w:lvlText w:val="•"/>
      <w:lvlJc w:val="left"/>
      <w:pPr>
        <w:ind w:left="4708" w:hanging="697"/>
      </w:pPr>
    </w:lvl>
    <w:lvl w:ilvl="5">
      <w:numFmt w:val="bullet"/>
      <w:lvlText w:val="•"/>
      <w:lvlJc w:val="left"/>
      <w:pPr>
        <w:ind w:left="5660" w:hanging="697"/>
      </w:pPr>
    </w:lvl>
    <w:lvl w:ilvl="6">
      <w:numFmt w:val="bullet"/>
      <w:lvlText w:val="•"/>
      <w:lvlJc w:val="left"/>
      <w:pPr>
        <w:ind w:left="6612" w:hanging="697"/>
      </w:pPr>
    </w:lvl>
    <w:lvl w:ilvl="7">
      <w:numFmt w:val="bullet"/>
      <w:lvlText w:val="•"/>
      <w:lvlJc w:val="left"/>
      <w:pPr>
        <w:ind w:left="7564" w:hanging="697"/>
      </w:pPr>
    </w:lvl>
    <w:lvl w:ilvl="8">
      <w:numFmt w:val="bullet"/>
      <w:lvlText w:val="•"/>
      <w:lvlJc w:val="left"/>
      <w:pPr>
        <w:ind w:left="8516" w:hanging="697"/>
      </w:pPr>
    </w:lvl>
  </w:abstractNum>
  <w:abstractNum w:abstractNumId="1">
    <w:nsid w:val="00000403"/>
    <w:multiLevelType w:val="multilevel"/>
    <w:tmpl w:val="00000886"/>
    <w:lvl w:ilvl="0">
      <w:start w:val="1"/>
      <w:numFmt w:val="decimal"/>
      <w:lvlText w:val="%1."/>
      <w:lvlJc w:val="left"/>
      <w:pPr>
        <w:ind w:left="954" w:hanging="287"/>
      </w:pPr>
      <w:rPr>
        <w:rFonts w:cs="Times New Roman"/>
        <w:b w:val="0"/>
        <w:bCs w:val="0"/>
        <w:spacing w:val="-5"/>
        <w:w w:val="108"/>
      </w:rPr>
    </w:lvl>
    <w:lvl w:ilvl="1">
      <w:numFmt w:val="bullet"/>
      <w:lvlText w:val="•"/>
      <w:lvlJc w:val="left"/>
      <w:pPr>
        <w:ind w:left="1906" w:hanging="287"/>
      </w:pPr>
    </w:lvl>
    <w:lvl w:ilvl="2">
      <w:numFmt w:val="bullet"/>
      <w:lvlText w:val="•"/>
      <w:lvlJc w:val="left"/>
      <w:pPr>
        <w:ind w:left="2852" w:hanging="287"/>
      </w:pPr>
    </w:lvl>
    <w:lvl w:ilvl="3">
      <w:numFmt w:val="bullet"/>
      <w:lvlText w:val="•"/>
      <w:lvlJc w:val="left"/>
      <w:pPr>
        <w:ind w:left="3798" w:hanging="287"/>
      </w:pPr>
    </w:lvl>
    <w:lvl w:ilvl="4">
      <w:numFmt w:val="bullet"/>
      <w:lvlText w:val="•"/>
      <w:lvlJc w:val="left"/>
      <w:pPr>
        <w:ind w:left="4744" w:hanging="287"/>
      </w:pPr>
    </w:lvl>
    <w:lvl w:ilvl="5">
      <w:numFmt w:val="bullet"/>
      <w:lvlText w:val="•"/>
      <w:lvlJc w:val="left"/>
      <w:pPr>
        <w:ind w:left="5690" w:hanging="287"/>
      </w:pPr>
    </w:lvl>
    <w:lvl w:ilvl="6">
      <w:numFmt w:val="bullet"/>
      <w:lvlText w:val="•"/>
      <w:lvlJc w:val="left"/>
      <w:pPr>
        <w:ind w:left="6636" w:hanging="287"/>
      </w:pPr>
    </w:lvl>
    <w:lvl w:ilvl="7">
      <w:numFmt w:val="bullet"/>
      <w:lvlText w:val="•"/>
      <w:lvlJc w:val="left"/>
      <w:pPr>
        <w:ind w:left="7582" w:hanging="287"/>
      </w:pPr>
    </w:lvl>
    <w:lvl w:ilvl="8">
      <w:numFmt w:val="bullet"/>
      <w:lvlText w:val="•"/>
      <w:lvlJc w:val="left"/>
      <w:pPr>
        <w:ind w:left="8528" w:hanging="287"/>
      </w:pPr>
    </w:lvl>
  </w:abstractNum>
  <w:abstractNum w:abstractNumId="2">
    <w:nsid w:val="00000404"/>
    <w:multiLevelType w:val="multilevel"/>
    <w:tmpl w:val="00000887"/>
    <w:lvl w:ilvl="0">
      <w:start w:val="12"/>
      <w:numFmt w:val="decimal"/>
      <w:lvlText w:val="[%1]"/>
      <w:lvlJc w:val="left"/>
      <w:pPr>
        <w:ind w:left="845" w:hanging="601"/>
      </w:pPr>
      <w:rPr>
        <w:rFonts w:cs="Times New Roman"/>
        <w:b w:val="0"/>
        <w:bCs w:val="0"/>
        <w:spacing w:val="-1"/>
        <w:w w:val="104"/>
      </w:rPr>
    </w:lvl>
    <w:lvl w:ilvl="1">
      <w:numFmt w:val="bullet"/>
      <w:lvlText w:val="•"/>
      <w:lvlJc w:val="left"/>
      <w:pPr>
        <w:ind w:left="1798" w:hanging="601"/>
      </w:pPr>
    </w:lvl>
    <w:lvl w:ilvl="2">
      <w:numFmt w:val="bullet"/>
      <w:lvlText w:val="•"/>
      <w:lvlJc w:val="left"/>
      <w:pPr>
        <w:ind w:left="2756" w:hanging="601"/>
      </w:pPr>
    </w:lvl>
    <w:lvl w:ilvl="3">
      <w:numFmt w:val="bullet"/>
      <w:lvlText w:val="•"/>
      <w:lvlJc w:val="left"/>
      <w:pPr>
        <w:ind w:left="3714" w:hanging="601"/>
      </w:pPr>
    </w:lvl>
    <w:lvl w:ilvl="4">
      <w:numFmt w:val="bullet"/>
      <w:lvlText w:val="•"/>
      <w:lvlJc w:val="left"/>
      <w:pPr>
        <w:ind w:left="4672" w:hanging="601"/>
      </w:pPr>
    </w:lvl>
    <w:lvl w:ilvl="5">
      <w:numFmt w:val="bullet"/>
      <w:lvlText w:val="•"/>
      <w:lvlJc w:val="left"/>
      <w:pPr>
        <w:ind w:left="5630" w:hanging="601"/>
      </w:pPr>
    </w:lvl>
    <w:lvl w:ilvl="6">
      <w:numFmt w:val="bullet"/>
      <w:lvlText w:val="•"/>
      <w:lvlJc w:val="left"/>
      <w:pPr>
        <w:ind w:left="6588" w:hanging="601"/>
      </w:pPr>
    </w:lvl>
    <w:lvl w:ilvl="7">
      <w:numFmt w:val="bullet"/>
      <w:lvlText w:val="•"/>
      <w:lvlJc w:val="left"/>
      <w:pPr>
        <w:ind w:left="7546" w:hanging="601"/>
      </w:pPr>
    </w:lvl>
    <w:lvl w:ilvl="8">
      <w:numFmt w:val="bullet"/>
      <w:lvlText w:val="•"/>
      <w:lvlJc w:val="left"/>
      <w:pPr>
        <w:ind w:left="8504" w:hanging="601"/>
      </w:pPr>
    </w:lvl>
  </w:abstractNum>
  <w:abstractNum w:abstractNumId="3">
    <w:nsid w:val="0068529D"/>
    <w:multiLevelType w:val="hybridMultilevel"/>
    <w:tmpl w:val="3A843116"/>
    <w:lvl w:ilvl="0" w:tplc="2D2C462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4924F96"/>
    <w:multiLevelType w:val="singleLevel"/>
    <w:tmpl w:val="0074AB64"/>
    <w:lvl w:ilvl="0">
      <w:start w:val="2"/>
      <w:numFmt w:val="decimal"/>
      <w:lvlText w:val="(%1)"/>
      <w:lvlJc w:val="left"/>
      <w:pPr>
        <w:ind w:left="432" w:hanging="360"/>
      </w:pPr>
      <w:rPr>
        <w:rFonts w:cs="Times New Roman" w:hint="default"/>
        <w:spacing w:val="3"/>
        <w:sz w:val="22"/>
        <w:szCs w:val="22"/>
      </w:rPr>
    </w:lvl>
  </w:abstractNum>
  <w:abstractNum w:abstractNumId="5">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6">
    <w:nsid w:val="0C820DF1"/>
    <w:multiLevelType w:val="hybridMultilevel"/>
    <w:tmpl w:val="68003670"/>
    <w:lvl w:ilvl="0" w:tplc="B9826034">
      <w:start w:val="1"/>
      <w:numFmt w:val="upperLetter"/>
      <w:pStyle w:val="LegalAlpha"/>
      <w:lvlText w:val="%1."/>
      <w:lvlJc w:val="left"/>
      <w:pPr>
        <w:tabs>
          <w:tab w:val="num" w:pos="567"/>
        </w:tabs>
        <w:ind w:left="567" w:hanging="567"/>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0CE72673"/>
    <w:multiLevelType w:val="hybridMultilevel"/>
    <w:tmpl w:val="041030F4"/>
    <w:lvl w:ilvl="0" w:tplc="C20497E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3A673BF"/>
    <w:multiLevelType w:val="multilevel"/>
    <w:tmpl w:val="63ECEE72"/>
    <w:lvl w:ilvl="0">
      <w:start w:val="38"/>
      <w:numFmt w:val="decimal"/>
      <w:lvlText w:val="%1"/>
      <w:lvlJc w:val="left"/>
      <w:pPr>
        <w:ind w:left="390" w:hanging="390"/>
      </w:pPr>
      <w:rPr>
        <w:rFonts w:hint="default"/>
      </w:rPr>
    </w:lvl>
    <w:lvl w:ilvl="1">
      <w:start w:val="3"/>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A3F20C8"/>
    <w:multiLevelType w:val="hybridMultilevel"/>
    <w:tmpl w:val="B4849B9A"/>
    <w:lvl w:ilvl="0" w:tplc="D070E40A">
      <w:start w:val="1"/>
      <w:numFmt w:val="decimal"/>
      <w:lvlText w:val="(%1)"/>
      <w:lvlJc w:val="left"/>
      <w:pPr>
        <w:ind w:left="3114"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B6D5612"/>
    <w:multiLevelType w:val="multilevel"/>
    <w:tmpl w:val="67744E96"/>
    <w:lvl w:ilvl="0">
      <w:start w:val="1"/>
      <w:numFmt w:val="decimal"/>
      <w:pStyle w:val="LegalAnnexList1"/>
      <w:lvlText w:val="%1."/>
      <w:lvlJc w:val="left"/>
      <w:pPr>
        <w:tabs>
          <w:tab w:val="num" w:pos="567"/>
        </w:tabs>
        <w:ind w:left="567" w:hanging="567"/>
      </w:pPr>
      <w:rPr>
        <w:rFonts w:cs="Times New Roman" w:hint="default"/>
        <w:b w:val="0"/>
        <w:i w:val="0"/>
      </w:rPr>
    </w:lvl>
    <w:lvl w:ilvl="1">
      <w:start w:val="1"/>
      <w:numFmt w:val="decimal"/>
      <w:pStyle w:val="LegalAnnexList2"/>
      <w:lvlText w:val="%1.%2"/>
      <w:lvlJc w:val="left"/>
      <w:pPr>
        <w:tabs>
          <w:tab w:val="num" w:pos="1134"/>
        </w:tabs>
        <w:ind w:left="1134" w:hanging="1134"/>
      </w:pPr>
      <w:rPr>
        <w:rFonts w:cs="Times New Roman" w:hint="default"/>
        <w:b w:val="0"/>
        <w:i w:val="0"/>
      </w:rPr>
    </w:lvl>
    <w:lvl w:ilvl="2">
      <w:start w:val="1"/>
      <w:numFmt w:val="decimal"/>
      <w:pStyle w:val="LegalAnnexList3"/>
      <w:lvlText w:val="%1.%2.%3"/>
      <w:lvlJc w:val="left"/>
      <w:pPr>
        <w:tabs>
          <w:tab w:val="num" w:pos="1701"/>
        </w:tabs>
        <w:ind w:left="1701" w:hanging="1701"/>
      </w:pPr>
      <w:rPr>
        <w:rFonts w:cs="Times New Roman" w:hint="default"/>
        <w:b w:val="0"/>
        <w:i w:val="0"/>
      </w:rPr>
    </w:lvl>
    <w:lvl w:ilvl="3">
      <w:start w:val="1"/>
      <w:numFmt w:val="decimal"/>
      <w:pStyle w:val="LegalAnnexList4"/>
      <w:lvlText w:val="%1.%2.%3.%4"/>
      <w:lvlJc w:val="left"/>
      <w:pPr>
        <w:tabs>
          <w:tab w:val="num" w:pos="2268"/>
        </w:tabs>
        <w:ind w:left="2268" w:hanging="2268"/>
      </w:pPr>
      <w:rPr>
        <w:rFonts w:cs="Times New Roman" w:hint="default"/>
        <w:b w:val="0"/>
        <w:i w:val="0"/>
      </w:rPr>
    </w:lvl>
    <w:lvl w:ilvl="4">
      <w:start w:val="1"/>
      <w:numFmt w:val="decimal"/>
      <w:pStyle w:val="LegalAnnexList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969"/>
        </w:tabs>
        <w:ind w:left="3969" w:hanging="3969"/>
      </w:pPr>
      <w:rPr>
        <w:rFonts w:cs="Times New Roman" w:hint="default"/>
        <w:b w:val="0"/>
        <w:i w:val="0"/>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nsid w:val="1E98553D"/>
    <w:multiLevelType w:val="hybridMultilevel"/>
    <w:tmpl w:val="9A6E0B88"/>
    <w:lvl w:ilvl="0" w:tplc="C1A8BB0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09E1086"/>
    <w:multiLevelType w:val="hybridMultilevel"/>
    <w:tmpl w:val="A70CFD44"/>
    <w:lvl w:ilvl="0" w:tplc="1C09000F">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3093C96"/>
    <w:multiLevelType w:val="hybridMultilevel"/>
    <w:tmpl w:val="0FFA4EA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D8625F7"/>
    <w:multiLevelType w:val="hybridMultilevel"/>
    <w:tmpl w:val="5058C8F2"/>
    <w:lvl w:ilvl="0" w:tplc="1C09000F">
      <w:start w:val="30"/>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F2E4380"/>
    <w:multiLevelType w:val="hybridMultilevel"/>
    <w:tmpl w:val="0C5A5AA4"/>
    <w:lvl w:ilvl="0" w:tplc="FE7EC12E">
      <w:start w:val="1"/>
      <w:numFmt w:val="lowerRoman"/>
      <w:lvlText w:val="(%1)"/>
      <w:lvlJc w:val="left"/>
      <w:pPr>
        <w:ind w:left="1854" w:hanging="720"/>
      </w:pPr>
      <w:rPr>
        <w:rFonts w:hint="default"/>
      </w:rPr>
    </w:lvl>
    <w:lvl w:ilvl="1" w:tplc="D7D6B09E">
      <w:numFmt w:val="bullet"/>
      <w:lvlText w:val="•"/>
      <w:lvlJc w:val="left"/>
      <w:pPr>
        <w:ind w:left="2304" w:hanging="450"/>
      </w:pPr>
      <w:rPr>
        <w:rFonts w:ascii="Arial" w:eastAsia="Times New Roman" w:hAnsi="Arial" w:cs="Arial" w:hint="default"/>
      </w:rPr>
    </w:lvl>
    <w:lvl w:ilvl="2" w:tplc="D070E40A">
      <w:start w:val="1"/>
      <w:numFmt w:val="decimal"/>
      <w:lvlText w:val="(%3)"/>
      <w:lvlJc w:val="left"/>
      <w:pPr>
        <w:ind w:left="3114" w:hanging="360"/>
      </w:pPr>
      <w:rPr>
        <w:rFonts w:cs="Times New Roman" w:hint="default"/>
      </w:r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16">
    <w:nsid w:val="351F281D"/>
    <w:multiLevelType w:val="hybridMultilevel"/>
    <w:tmpl w:val="48F2C69C"/>
    <w:lvl w:ilvl="0" w:tplc="859E9736">
      <w:start w:val="1"/>
      <w:numFmt w:val="decimal"/>
      <w:lvlText w:val="(%1)"/>
      <w:lvlJc w:val="left"/>
      <w:pPr>
        <w:ind w:left="930" w:hanging="570"/>
      </w:pPr>
      <w:rPr>
        <w:rFonts w:cs="Times New Roman"/>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7">
    <w:nsid w:val="40011C1C"/>
    <w:multiLevelType w:val="hybridMultilevel"/>
    <w:tmpl w:val="2E6083BA"/>
    <w:lvl w:ilvl="0" w:tplc="D070E40A">
      <w:start w:val="1"/>
      <w:numFmt w:val="decimal"/>
      <w:lvlText w:val="(%1)"/>
      <w:lvlJc w:val="left"/>
      <w:pPr>
        <w:ind w:left="3114"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D2584F"/>
    <w:multiLevelType w:val="hybridMultilevel"/>
    <w:tmpl w:val="5048491C"/>
    <w:lvl w:ilvl="0" w:tplc="DEFAB7D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1DB2E8E"/>
    <w:multiLevelType w:val="hybridMultilevel"/>
    <w:tmpl w:val="6B0AD5E8"/>
    <w:lvl w:ilvl="0" w:tplc="1264F674">
      <w:start w:val="1"/>
      <w:numFmt w:val="lowerLetter"/>
      <w:lvlText w:val="(%1)."/>
      <w:lvlJc w:val="left"/>
      <w:pPr>
        <w:ind w:left="1287"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32F1448"/>
    <w:multiLevelType w:val="hybridMultilevel"/>
    <w:tmpl w:val="2B4443C6"/>
    <w:lvl w:ilvl="0" w:tplc="562C34E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51C0287"/>
    <w:multiLevelType w:val="multilevel"/>
    <w:tmpl w:val="2F7C0716"/>
    <w:lvl w:ilvl="0">
      <w:start w:val="1"/>
      <w:numFmt w:val="decimal"/>
      <w:pStyle w:val="LegalHeading1"/>
      <w:lvlText w:val="%1."/>
      <w:lvlJc w:val="left"/>
      <w:pPr>
        <w:tabs>
          <w:tab w:val="num" w:pos="567"/>
        </w:tabs>
        <w:ind w:left="567" w:hanging="567"/>
      </w:pPr>
      <w:rPr>
        <w:rFonts w:cs="Times New Roman" w:hint="default"/>
        <w:b w:val="0"/>
        <w:i w:val="0"/>
      </w:rPr>
    </w:lvl>
    <w:lvl w:ilvl="1">
      <w:start w:val="1"/>
      <w:numFmt w:val="lowerLetter"/>
      <w:lvlText w:val="(%2)."/>
      <w:lvlJc w:val="left"/>
      <w:pPr>
        <w:tabs>
          <w:tab w:val="num" w:pos="1134"/>
        </w:tabs>
        <w:ind w:left="1134" w:hanging="1134"/>
      </w:pPr>
      <w:rPr>
        <w:rFonts w:hint="default"/>
        <w:b w:val="0"/>
        <w:i w:val="0"/>
      </w:rPr>
    </w:lvl>
    <w:lvl w:ilvl="2">
      <w:start w:val="1"/>
      <w:numFmt w:val="decimal"/>
      <w:pStyle w:val="LegalHeading3"/>
      <w:lvlText w:val="%1.%2.%3"/>
      <w:lvlJc w:val="left"/>
      <w:pPr>
        <w:tabs>
          <w:tab w:val="num" w:pos="1701"/>
        </w:tabs>
        <w:ind w:left="1701" w:hanging="1701"/>
      </w:pPr>
      <w:rPr>
        <w:rFonts w:cs="Times New Roman" w:hint="default"/>
        <w:b w:val="0"/>
        <w:i w:val="0"/>
      </w:rPr>
    </w:lvl>
    <w:lvl w:ilvl="3">
      <w:start w:val="1"/>
      <w:numFmt w:val="decimal"/>
      <w:pStyle w:val="LegalHeading4"/>
      <w:lvlText w:val="%1.%2.%3.%4"/>
      <w:lvlJc w:val="left"/>
      <w:pPr>
        <w:tabs>
          <w:tab w:val="num" w:pos="2268"/>
        </w:tabs>
        <w:ind w:left="2268" w:hanging="2268"/>
      </w:pPr>
      <w:rPr>
        <w:rFonts w:cs="Times New Roman" w:hint="default"/>
        <w:b w:val="0"/>
        <w:i w:val="0"/>
      </w:rPr>
    </w:lvl>
    <w:lvl w:ilvl="4">
      <w:start w:val="1"/>
      <w:numFmt w:val="decimal"/>
      <w:pStyle w:val="LegalHeading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22">
    <w:nsid w:val="461D13BD"/>
    <w:multiLevelType w:val="multilevel"/>
    <w:tmpl w:val="62B8B3E8"/>
    <w:lvl w:ilvl="0">
      <w:start w:val="1"/>
      <w:numFmt w:val="decimal"/>
      <w:pStyle w:val="JUGMENTNUMBERED"/>
      <w:lvlText w:val="[%1]"/>
      <w:lvlJc w:val="left"/>
      <w:pPr>
        <w:tabs>
          <w:tab w:val="num" w:pos="680"/>
        </w:tabs>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nsid w:val="47791EA1"/>
    <w:multiLevelType w:val="hybridMultilevel"/>
    <w:tmpl w:val="38127126"/>
    <w:lvl w:ilvl="0" w:tplc="E7B47F1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2484B75"/>
    <w:multiLevelType w:val="hybridMultilevel"/>
    <w:tmpl w:val="2FE278BC"/>
    <w:lvl w:ilvl="0" w:tplc="0BC013F6">
      <w:start w:val="1"/>
      <w:numFmt w:val="lowerLetter"/>
      <w:lvlText w:val="(%1)."/>
      <w:lvlJc w:val="left"/>
      <w:pPr>
        <w:ind w:left="1287" w:hanging="36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25">
    <w:nsid w:val="55833EB4"/>
    <w:multiLevelType w:val="hybridMultilevel"/>
    <w:tmpl w:val="DEACF6B6"/>
    <w:lvl w:ilvl="0" w:tplc="E2F09732">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6">
    <w:nsid w:val="58737F5F"/>
    <w:multiLevelType w:val="hybridMultilevel"/>
    <w:tmpl w:val="22DCC74E"/>
    <w:lvl w:ilvl="0" w:tplc="5418AF0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87E30AB"/>
    <w:multiLevelType w:val="hybridMultilevel"/>
    <w:tmpl w:val="75ACC360"/>
    <w:lvl w:ilvl="0" w:tplc="698A5A9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9FE33ED"/>
    <w:multiLevelType w:val="hybridMultilevel"/>
    <w:tmpl w:val="C43E30DC"/>
    <w:lvl w:ilvl="0" w:tplc="004241E8">
      <w:start w:val="1"/>
      <w:numFmt w:val="decimal"/>
      <w:lvlText w:val="[%1]."/>
      <w:lvlJc w:val="left"/>
      <w:pPr>
        <w:ind w:left="720" w:hanging="360"/>
      </w:pPr>
      <w:rPr>
        <w:rFonts w:hint="default"/>
      </w:rPr>
    </w:lvl>
    <w:lvl w:ilvl="1" w:tplc="0BC013F6">
      <w:start w:val="1"/>
      <w:numFmt w:val="lowerLetter"/>
      <w:lvlText w:val="(%2)."/>
      <w:lvlJc w:val="left"/>
      <w:pPr>
        <w:ind w:left="1440" w:hanging="360"/>
      </w:pPr>
      <w:rPr>
        <w:rFonts w:hint="default"/>
      </w:rPr>
    </w:lvl>
    <w:lvl w:ilvl="2" w:tplc="A1FA804E">
      <w:start w:val="1"/>
      <w:numFmt w:val="lowerRoman"/>
      <w:lvlText w:val="(%3)."/>
      <w:lvlJc w:val="right"/>
      <w:pPr>
        <w:ind w:left="2160" w:hanging="180"/>
      </w:pPr>
      <w:rPr>
        <w:rFonts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CB84884"/>
    <w:multiLevelType w:val="hybridMultilevel"/>
    <w:tmpl w:val="65388AE0"/>
    <w:lvl w:ilvl="0" w:tplc="D192512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D956F9E"/>
    <w:multiLevelType w:val="hybridMultilevel"/>
    <w:tmpl w:val="B810DBB8"/>
    <w:lvl w:ilvl="0" w:tplc="09EE6D54">
      <w:start w:val="1"/>
      <w:numFmt w:val="decimal"/>
      <w:lvlText w:val="(%1)"/>
      <w:lvlJc w:val="left"/>
      <w:pPr>
        <w:ind w:left="720" w:hanging="360"/>
      </w:pPr>
      <w:rPr>
        <w:rFonts w:cs="Times New Roman"/>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1">
    <w:nsid w:val="64F01317"/>
    <w:multiLevelType w:val="hybridMultilevel"/>
    <w:tmpl w:val="6B54F56C"/>
    <w:lvl w:ilvl="0" w:tplc="FDE4A5B0">
      <w:start w:val="1"/>
      <w:numFmt w:val="decimal"/>
      <w:pStyle w:val="LegalCitation"/>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65B75C8D"/>
    <w:multiLevelType w:val="hybridMultilevel"/>
    <w:tmpl w:val="AB488C1A"/>
    <w:lvl w:ilvl="0" w:tplc="0BC013F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6D664155"/>
    <w:multiLevelType w:val="hybridMultilevel"/>
    <w:tmpl w:val="966EA6C8"/>
    <w:lvl w:ilvl="0" w:tplc="009EF64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EC716EF"/>
    <w:multiLevelType w:val="hybridMultilevel"/>
    <w:tmpl w:val="ECBA2E64"/>
    <w:lvl w:ilvl="0" w:tplc="D070E40A">
      <w:start w:val="1"/>
      <w:numFmt w:val="decimal"/>
      <w:lvlText w:val="(%1)"/>
      <w:lvlJc w:val="left"/>
      <w:pPr>
        <w:ind w:left="3114" w:hanging="360"/>
      </w:pPr>
      <w:rPr>
        <w:rFonts w:hint="default"/>
      </w:rPr>
    </w:lvl>
    <w:lvl w:ilvl="1" w:tplc="1C090019" w:tentative="1">
      <w:start w:val="1"/>
      <w:numFmt w:val="lowerLetter"/>
      <w:lvlText w:val="%2."/>
      <w:lvlJc w:val="left"/>
      <w:pPr>
        <w:ind w:left="3834" w:hanging="360"/>
      </w:pPr>
    </w:lvl>
    <w:lvl w:ilvl="2" w:tplc="1C09001B">
      <w:start w:val="1"/>
      <w:numFmt w:val="lowerRoman"/>
      <w:lvlText w:val="%3."/>
      <w:lvlJc w:val="right"/>
      <w:pPr>
        <w:ind w:left="4554" w:hanging="180"/>
      </w:pPr>
    </w:lvl>
    <w:lvl w:ilvl="3" w:tplc="1C09000F" w:tentative="1">
      <w:start w:val="1"/>
      <w:numFmt w:val="decimal"/>
      <w:lvlText w:val="%4."/>
      <w:lvlJc w:val="left"/>
      <w:pPr>
        <w:ind w:left="5274" w:hanging="360"/>
      </w:pPr>
    </w:lvl>
    <w:lvl w:ilvl="4" w:tplc="1C090019" w:tentative="1">
      <w:start w:val="1"/>
      <w:numFmt w:val="lowerLetter"/>
      <w:lvlText w:val="%5."/>
      <w:lvlJc w:val="left"/>
      <w:pPr>
        <w:ind w:left="5994" w:hanging="360"/>
      </w:pPr>
    </w:lvl>
    <w:lvl w:ilvl="5" w:tplc="1C09001B" w:tentative="1">
      <w:start w:val="1"/>
      <w:numFmt w:val="lowerRoman"/>
      <w:lvlText w:val="%6."/>
      <w:lvlJc w:val="right"/>
      <w:pPr>
        <w:ind w:left="6714" w:hanging="180"/>
      </w:pPr>
    </w:lvl>
    <w:lvl w:ilvl="6" w:tplc="1C09000F" w:tentative="1">
      <w:start w:val="1"/>
      <w:numFmt w:val="decimal"/>
      <w:lvlText w:val="%7."/>
      <w:lvlJc w:val="left"/>
      <w:pPr>
        <w:ind w:left="7434" w:hanging="360"/>
      </w:pPr>
    </w:lvl>
    <w:lvl w:ilvl="7" w:tplc="1C090019" w:tentative="1">
      <w:start w:val="1"/>
      <w:numFmt w:val="lowerLetter"/>
      <w:lvlText w:val="%8."/>
      <w:lvlJc w:val="left"/>
      <w:pPr>
        <w:ind w:left="8154" w:hanging="360"/>
      </w:pPr>
    </w:lvl>
    <w:lvl w:ilvl="8" w:tplc="1C09001B" w:tentative="1">
      <w:start w:val="1"/>
      <w:numFmt w:val="lowerRoman"/>
      <w:lvlText w:val="%9."/>
      <w:lvlJc w:val="right"/>
      <w:pPr>
        <w:ind w:left="8874" w:hanging="180"/>
      </w:pPr>
    </w:lvl>
  </w:abstractNum>
  <w:abstractNum w:abstractNumId="35">
    <w:nsid w:val="72795CDE"/>
    <w:multiLevelType w:val="hybridMultilevel"/>
    <w:tmpl w:val="EAA67ADE"/>
    <w:lvl w:ilvl="0" w:tplc="6C5A2140">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6">
    <w:nsid w:val="7606031F"/>
    <w:multiLevelType w:val="hybridMultilevel"/>
    <w:tmpl w:val="B262E016"/>
    <w:lvl w:ilvl="0" w:tplc="D57E0422">
      <w:start w:val="1"/>
      <w:numFmt w:val="lowerLetter"/>
      <w:lvlText w:val="(%1)."/>
      <w:lvlJc w:val="left"/>
      <w:pPr>
        <w:ind w:left="1287"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9701461"/>
    <w:multiLevelType w:val="multilevel"/>
    <w:tmpl w:val="E5E405EA"/>
    <w:lvl w:ilvl="0">
      <w:start w:val="38"/>
      <w:numFmt w:val="decimal"/>
      <w:lvlText w:val="%1"/>
      <w:lvlJc w:val="left"/>
      <w:pPr>
        <w:ind w:left="390" w:hanging="390"/>
      </w:pPr>
      <w:rPr>
        <w:rFonts w:hint="default"/>
      </w:rPr>
    </w:lvl>
    <w:lvl w:ilvl="1">
      <w:start w:val="3"/>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A950937"/>
    <w:multiLevelType w:val="hybridMultilevel"/>
    <w:tmpl w:val="659212E6"/>
    <w:lvl w:ilvl="0" w:tplc="A1FA804E">
      <w:start w:val="1"/>
      <w:numFmt w:val="lowerRoman"/>
      <w:lvlText w:val="(%1)."/>
      <w:lvlJc w:val="right"/>
      <w:pPr>
        <w:ind w:left="1287" w:hanging="360"/>
      </w:pPr>
    </w:lvl>
    <w:lvl w:ilvl="1" w:tplc="1C090019">
      <w:start w:val="1"/>
      <w:numFmt w:val="lowerLetter"/>
      <w:lvlText w:val="%2."/>
      <w:lvlJc w:val="left"/>
      <w:pPr>
        <w:ind w:left="2007" w:hanging="360"/>
      </w:pPr>
    </w:lvl>
    <w:lvl w:ilvl="2" w:tplc="1C09001B">
      <w:start w:val="1"/>
      <w:numFmt w:val="lowerRoman"/>
      <w:lvlText w:val="%3."/>
      <w:lvlJc w:val="right"/>
      <w:pPr>
        <w:ind w:left="2727" w:hanging="180"/>
      </w:pPr>
    </w:lvl>
    <w:lvl w:ilvl="3" w:tplc="1C09000F">
      <w:start w:val="1"/>
      <w:numFmt w:val="decimal"/>
      <w:lvlText w:val="%4."/>
      <w:lvlJc w:val="left"/>
      <w:pPr>
        <w:ind w:left="3447" w:hanging="360"/>
      </w:pPr>
    </w:lvl>
    <w:lvl w:ilvl="4" w:tplc="1C090019">
      <w:start w:val="1"/>
      <w:numFmt w:val="lowerLetter"/>
      <w:lvlText w:val="%5."/>
      <w:lvlJc w:val="left"/>
      <w:pPr>
        <w:ind w:left="4167" w:hanging="360"/>
      </w:pPr>
    </w:lvl>
    <w:lvl w:ilvl="5" w:tplc="1C09001B">
      <w:start w:val="1"/>
      <w:numFmt w:val="lowerRoman"/>
      <w:lvlText w:val="%6."/>
      <w:lvlJc w:val="right"/>
      <w:pPr>
        <w:ind w:left="4887" w:hanging="180"/>
      </w:pPr>
    </w:lvl>
    <w:lvl w:ilvl="6" w:tplc="1C09000F">
      <w:start w:val="1"/>
      <w:numFmt w:val="decimal"/>
      <w:lvlText w:val="%7."/>
      <w:lvlJc w:val="left"/>
      <w:pPr>
        <w:ind w:left="5607" w:hanging="360"/>
      </w:pPr>
    </w:lvl>
    <w:lvl w:ilvl="7" w:tplc="1C090019">
      <w:start w:val="1"/>
      <w:numFmt w:val="lowerLetter"/>
      <w:lvlText w:val="%8."/>
      <w:lvlJc w:val="left"/>
      <w:pPr>
        <w:ind w:left="6327" w:hanging="360"/>
      </w:pPr>
    </w:lvl>
    <w:lvl w:ilvl="8" w:tplc="1C09001B">
      <w:start w:val="1"/>
      <w:numFmt w:val="lowerRoman"/>
      <w:lvlText w:val="%9."/>
      <w:lvlJc w:val="right"/>
      <w:pPr>
        <w:ind w:left="7047" w:hanging="180"/>
      </w:pPr>
    </w:lvl>
  </w:abstractNum>
  <w:num w:numId="1">
    <w:abstractNumId w:val="10"/>
  </w:num>
  <w:num w:numId="2">
    <w:abstractNumId w:val="21"/>
  </w:num>
  <w:num w:numId="3">
    <w:abstractNumId w:val="31"/>
  </w:num>
  <w:num w:numId="4">
    <w:abstractNumId w:val="6"/>
    <w:lvlOverride w:ilvl="0">
      <w:startOverride w:val="1"/>
    </w:lvlOverride>
  </w:num>
  <w:num w:numId="5">
    <w:abstractNumId w:val="5"/>
  </w:num>
  <w:num w:numId="6">
    <w:abstractNumId w:val="22"/>
  </w:num>
  <w:num w:numId="7">
    <w:abstractNumId w:val="15"/>
  </w:num>
  <w:num w:numId="8">
    <w:abstractNumId w:val="28"/>
  </w:num>
  <w:num w:numId="9">
    <w:abstractNumId w:val="21"/>
  </w:num>
  <w:num w:numId="10">
    <w:abstractNumId w:val="32"/>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8"/>
  </w:num>
  <w:num w:numId="14">
    <w:abstractNumId w:val="4"/>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25"/>
  </w:num>
  <w:num w:numId="19">
    <w:abstractNumId w:val="30"/>
  </w:num>
  <w:num w:numId="20">
    <w:abstractNumId w:val="27"/>
  </w:num>
  <w:num w:numId="21">
    <w:abstractNumId w:val="36"/>
  </w:num>
  <w:num w:numId="22">
    <w:abstractNumId w:val="11"/>
  </w:num>
  <w:num w:numId="23">
    <w:abstractNumId w:val="33"/>
  </w:num>
  <w:num w:numId="24">
    <w:abstractNumId w:val="3"/>
  </w:num>
  <w:num w:numId="25">
    <w:abstractNumId w:val="19"/>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26"/>
  </w:num>
  <w:num w:numId="30">
    <w:abstractNumId w:val="13"/>
  </w:num>
  <w:num w:numId="31">
    <w:abstractNumId w:val="34"/>
  </w:num>
  <w:num w:numId="32">
    <w:abstractNumId w:val="29"/>
  </w:num>
  <w:num w:numId="33">
    <w:abstractNumId w:val="12"/>
  </w:num>
  <w:num w:numId="34">
    <w:abstractNumId w:val="14"/>
  </w:num>
  <w:num w:numId="35">
    <w:abstractNumId w:val="9"/>
  </w:num>
  <w:num w:numId="36">
    <w:abstractNumId w:val="0"/>
    <w:lvlOverride w:ilvl="0">
      <w:startOverride w:val="1"/>
    </w:lvlOverride>
    <w:lvlOverride w:ilvl="1"/>
    <w:lvlOverride w:ilvl="2"/>
    <w:lvlOverride w:ilvl="3"/>
    <w:lvlOverride w:ilvl="4"/>
    <w:lvlOverride w:ilvl="5"/>
    <w:lvlOverride w:ilvl="6"/>
    <w:lvlOverride w:ilvl="7"/>
    <w:lvlOverride w:ilvl="8"/>
  </w:num>
  <w:num w:numId="37">
    <w:abstractNumId w:val="1"/>
    <w:lvlOverride w:ilvl="0">
      <w:startOverride w:val="1"/>
    </w:lvlOverride>
    <w:lvlOverride w:ilvl="1"/>
    <w:lvlOverride w:ilvl="2"/>
    <w:lvlOverride w:ilvl="3"/>
    <w:lvlOverride w:ilvl="4"/>
    <w:lvlOverride w:ilvl="5"/>
    <w:lvlOverride w:ilvl="6"/>
    <w:lvlOverride w:ilvl="7"/>
    <w:lvlOverride w:ilvl="8"/>
  </w:num>
  <w:num w:numId="38">
    <w:abstractNumId w:val="2"/>
    <w:lvlOverride w:ilvl="0">
      <w:startOverride w:val="12"/>
    </w:lvlOverride>
    <w:lvlOverride w:ilvl="1"/>
    <w:lvlOverride w:ilvl="2"/>
    <w:lvlOverride w:ilvl="3"/>
    <w:lvlOverride w:ilvl="4"/>
    <w:lvlOverride w:ilvl="5"/>
    <w:lvlOverride w:ilvl="6"/>
    <w:lvlOverride w:ilvl="7"/>
    <w:lvlOverride w:ilvl="8"/>
  </w:num>
  <w:num w:numId="39">
    <w:abstractNumId w:val="17"/>
  </w:num>
  <w:num w:numId="40">
    <w:abstractNumId w:val="7"/>
  </w:num>
  <w:num w:numId="41">
    <w:abstractNumId w:val="23"/>
  </w:num>
  <w:num w:numId="42">
    <w:abstractNumId w:val="20"/>
  </w:num>
  <w:num w:numId="43">
    <w:abstractNumId w:val="37"/>
  </w:num>
  <w:num w:numId="44">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826"/>
    <w:rsid w:val="000024F0"/>
    <w:rsid w:val="0000342A"/>
    <w:rsid w:val="000044DD"/>
    <w:rsid w:val="00005673"/>
    <w:rsid w:val="00006C41"/>
    <w:rsid w:val="000104DF"/>
    <w:rsid w:val="00010637"/>
    <w:rsid w:val="00014B05"/>
    <w:rsid w:val="000201EB"/>
    <w:rsid w:val="0002161D"/>
    <w:rsid w:val="00022583"/>
    <w:rsid w:val="00022C07"/>
    <w:rsid w:val="00022F88"/>
    <w:rsid w:val="0002500F"/>
    <w:rsid w:val="00025EA8"/>
    <w:rsid w:val="0002792E"/>
    <w:rsid w:val="00027B5A"/>
    <w:rsid w:val="0003241F"/>
    <w:rsid w:val="0003349A"/>
    <w:rsid w:val="00034856"/>
    <w:rsid w:val="000402A4"/>
    <w:rsid w:val="00044069"/>
    <w:rsid w:val="000445C8"/>
    <w:rsid w:val="000462E1"/>
    <w:rsid w:val="0004668A"/>
    <w:rsid w:val="00046699"/>
    <w:rsid w:val="00046717"/>
    <w:rsid w:val="0004728A"/>
    <w:rsid w:val="0005276A"/>
    <w:rsid w:val="00053277"/>
    <w:rsid w:val="000533C1"/>
    <w:rsid w:val="00053CA7"/>
    <w:rsid w:val="000542A1"/>
    <w:rsid w:val="00055988"/>
    <w:rsid w:val="0005727B"/>
    <w:rsid w:val="000574A8"/>
    <w:rsid w:val="000578BA"/>
    <w:rsid w:val="0006059E"/>
    <w:rsid w:val="0006315B"/>
    <w:rsid w:val="000632FF"/>
    <w:rsid w:val="00064B63"/>
    <w:rsid w:val="00066884"/>
    <w:rsid w:val="00070D07"/>
    <w:rsid w:val="00070D6F"/>
    <w:rsid w:val="00071294"/>
    <w:rsid w:val="00071615"/>
    <w:rsid w:val="00081021"/>
    <w:rsid w:val="000814F0"/>
    <w:rsid w:val="00081D5F"/>
    <w:rsid w:val="0008219B"/>
    <w:rsid w:val="00086BE3"/>
    <w:rsid w:val="00090F50"/>
    <w:rsid w:val="000935FF"/>
    <w:rsid w:val="00095F0E"/>
    <w:rsid w:val="00096011"/>
    <w:rsid w:val="00096904"/>
    <w:rsid w:val="000A01AC"/>
    <w:rsid w:val="000A12C2"/>
    <w:rsid w:val="000A12C9"/>
    <w:rsid w:val="000A1606"/>
    <w:rsid w:val="000A3741"/>
    <w:rsid w:val="000A5653"/>
    <w:rsid w:val="000A7387"/>
    <w:rsid w:val="000A779C"/>
    <w:rsid w:val="000B4636"/>
    <w:rsid w:val="000B53AD"/>
    <w:rsid w:val="000B64EF"/>
    <w:rsid w:val="000C017F"/>
    <w:rsid w:val="000C2C18"/>
    <w:rsid w:val="000C3AF7"/>
    <w:rsid w:val="000C3F2A"/>
    <w:rsid w:val="000C4A10"/>
    <w:rsid w:val="000C564F"/>
    <w:rsid w:val="000C6C30"/>
    <w:rsid w:val="000C7321"/>
    <w:rsid w:val="000D0AF6"/>
    <w:rsid w:val="000D39D5"/>
    <w:rsid w:val="000D3D74"/>
    <w:rsid w:val="000D5E2F"/>
    <w:rsid w:val="000D7041"/>
    <w:rsid w:val="000E01DD"/>
    <w:rsid w:val="000E091F"/>
    <w:rsid w:val="000E11AA"/>
    <w:rsid w:val="000E1836"/>
    <w:rsid w:val="000E1955"/>
    <w:rsid w:val="000E1E64"/>
    <w:rsid w:val="000E1EAC"/>
    <w:rsid w:val="000E2097"/>
    <w:rsid w:val="000E3A95"/>
    <w:rsid w:val="000E3AAB"/>
    <w:rsid w:val="000F0DCE"/>
    <w:rsid w:val="000F1289"/>
    <w:rsid w:val="000F18C7"/>
    <w:rsid w:val="000F3B88"/>
    <w:rsid w:val="000F441B"/>
    <w:rsid w:val="0010118A"/>
    <w:rsid w:val="00102771"/>
    <w:rsid w:val="00102D9D"/>
    <w:rsid w:val="0010314E"/>
    <w:rsid w:val="00105056"/>
    <w:rsid w:val="00105640"/>
    <w:rsid w:val="00106C97"/>
    <w:rsid w:val="00107E81"/>
    <w:rsid w:val="00110BD4"/>
    <w:rsid w:val="0011424F"/>
    <w:rsid w:val="00114D0F"/>
    <w:rsid w:val="0011574C"/>
    <w:rsid w:val="00115783"/>
    <w:rsid w:val="00116675"/>
    <w:rsid w:val="00116EF2"/>
    <w:rsid w:val="00120DE5"/>
    <w:rsid w:val="001218BA"/>
    <w:rsid w:val="001230FB"/>
    <w:rsid w:val="00123792"/>
    <w:rsid w:val="00123FBA"/>
    <w:rsid w:val="00124B7A"/>
    <w:rsid w:val="00124F00"/>
    <w:rsid w:val="00126288"/>
    <w:rsid w:val="00130E55"/>
    <w:rsid w:val="0013287E"/>
    <w:rsid w:val="0013390C"/>
    <w:rsid w:val="001348F0"/>
    <w:rsid w:val="00134BD8"/>
    <w:rsid w:val="00140558"/>
    <w:rsid w:val="0014119D"/>
    <w:rsid w:val="0014239A"/>
    <w:rsid w:val="00147F04"/>
    <w:rsid w:val="00155F1F"/>
    <w:rsid w:val="00157F64"/>
    <w:rsid w:val="00160E8B"/>
    <w:rsid w:val="00163C01"/>
    <w:rsid w:val="00164084"/>
    <w:rsid w:val="0016529B"/>
    <w:rsid w:val="001654DE"/>
    <w:rsid w:val="00166C17"/>
    <w:rsid w:val="00167CB4"/>
    <w:rsid w:val="00171416"/>
    <w:rsid w:val="001715FC"/>
    <w:rsid w:val="001730A8"/>
    <w:rsid w:val="0017371F"/>
    <w:rsid w:val="001751E0"/>
    <w:rsid w:val="00176117"/>
    <w:rsid w:val="00177C74"/>
    <w:rsid w:val="0018024F"/>
    <w:rsid w:val="00183726"/>
    <w:rsid w:val="00185055"/>
    <w:rsid w:val="00185197"/>
    <w:rsid w:val="00185298"/>
    <w:rsid w:val="001920DA"/>
    <w:rsid w:val="00193988"/>
    <w:rsid w:val="001947FF"/>
    <w:rsid w:val="0019694E"/>
    <w:rsid w:val="00196C48"/>
    <w:rsid w:val="00197892"/>
    <w:rsid w:val="001A255B"/>
    <w:rsid w:val="001A6747"/>
    <w:rsid w:val="001A7168"/>
    <w:rsid w:val="001A719F"/>
    <w:rsid w:val="001B0045"/>
    <w:rsid w:val="001B04D1"/>
    <w:rsid w:val="001B182A"/>
    <w:rsid w:val="001B3F14"/>
    <w:rsid w:val="001B49F3"/>
    <w:rsid w:val="001C0A0D"/>
    <w:rsid w:val="001C1E85"/>
    <w:rsid w:val="001C2344"/>
    <w:rsid w:val="001C2642"/>
    <w:rsid w:val="001C2BAA"/>
    <w:rsid w:val="001C35A2"/>
    <w:rsid w:val="001C70F8"/>
    <w:rsid w:val="001D4CB9"/>
    <w:rsid w:val="001D5D9C"/>
    <w:rsid w:val="001D5F2F"/>
    <w:rsid w:val="001D6ACD"/>
    <w:rsid w:val="001E2508"/>
    <w:rsid w:val="001E4F62"/>
    <w:rsid w:val="001E54EE"/>
    <w:rsid w:val="001E66C9"/>
    <w:rsid w:val="001E6B14"/>
    <w:rsid w:val="001F3099"/>
    <w:rsid w:val="001F316B"/>
    <w:rsid w:val="001F39E5"/>
    <w:rsid w:val="001F45A5"/>
    <w:rsid w:val="001F47D7"/>
    <w:rsid w:val="001F57B4"/>
    <w:rsid w:val="001F581D"/>
    <w:rsid w:val="001F5A8E"/>
    <w:rsid w:val="001F6D44"/>
    <w:rsid w:val="001F78C4"/>
    <w:rsid w:val="0020081C"/>
    <w:rsid w:val="00200D74"/>
    <w:rsid w:val="00200F5C"/>
    <w:rsid w:val="00202074"/>
    <w:rsid w:val="002027EC"/>
    <w:rsid w:val="00203F91"/>
    <w:rsid w:val="0020582F"/>
    <w:rsid w:val="00206218"/>
    <w:rsid w:val="0020664E"/>
    <w:rsid w:val="00210E02"/>
    <w:rsid w:val="00211E4E"/>
    <w:rsid w:val="0021225B"/>
    <w:rsid w:val="00213B9F"/>
    <w:rsid w:val="002149EC"/>
    <w:rsid w:val="00214A6C"/>
    <w:rsid w:val="00214E3A"/>
    <w:rsid w:val="00214FF0"/>
    <w:rsid w:val="0021531D"/>
    <w:rsid w:val="002161AB"/>
    <w:rsid w:val="002178A0"/>
    <w:rsid w:val="00217CF7"/>
    <w:rsid w:val="00220F12"/>
    <w:rsid w:val="00223058"/>
    <w:rsid w:val="0022437C"/>
    <w:rsid w:val="00224EDB"/>
    <w:rsid w:val="002271ED"/>
    <w:rsid w:val="002273D3"/>
    <w:rsid w:val="00230307"/>
    <w:rsid w:val="002303E4"/>
    <w:rsid w:val="002309AF"/>
    <w:rsid w:val="00230C36"/>
    <w:rsid w:val="00230DF6"/>
    <w:rsid w:val="0023319F"/>
    <w:rsid w:val="00233A6E"/>
    <w:rsid w:val="00234007"/>
    <w:rsid w:val="00234507"/>
    <w:rsid w:val="00235AC0"/>
    <w:rsid w:val="00235EBC"/>
    <w:rsid w:val="00236346"/>
    <w:rsid w:val="0024001C"/>
    <w:rsid w:val="00247370"/>
    <w:rsid w:val="00247A06"/>
    <w:rsid w:val="0025050E"/>
    <w:rsid w:val="00252153"/>
    <w:rsid w:val="00253951"/>
    <w:rsid w:val="00255FAF"/>
    <w:rsid w:val="00257D52"/>
    <w:rsid w:val="00257DCC"/>
    <w:rsid w:val="002601DD"/>
    <w:rsid w:val="00260B62"/>
    <w:rsid w:val="00261222"/>
    <w:rsid w:val="00261791"/>
    <w:rsid w:val="00262F54"/>
    <w:rsid w:val="00264DD1"/>
    <w:rsid w:val="00270461"/>
    <w:rsid w:val="0027069E"/>
    <w:rsid w:val="002707D9"/>
    <w:rsid w:val="00271071"/>
    <w:rsid w:val="00272260"/>
    <w:rsid w:val="00273196"/>
    <w:rsid w:val="00273A58"/>
    <w:rsid w:val="00275F90"/>
    <w:rsid w:val="0028129B"/>
    <w:rsid w:val="00282A30"/>
    <w:rsid w:val="00284D9A"/>
    <w:rsid w:val="00286241"/>
    <w:rsid w:val="00286F5F"/>
    <w:rsid w:val="002910FD"/>
    <w:rsid w:val="002920DC"/>
    <w:rsid w:val="002924A9"/>
    <w:rsid w:val="002924E6"/>
    <w:rsid w:val="00293059"/>
    <w:rsid w:val="0029407B"/>
    <w:rsid w:val="00294CBA"/>
    <w:rsid w:val="00296B4D"/>
    <w:rsid w:val="002A0339"/>
    <w:rsid w:val="002A109C"/>
    <w:rsid w:val="002A183B"/>
    <w:rsid w:val="002A2443"/>
    <w:rsid w:val="002A24CE"/>
    <w:rsid w:val="002A461F"/>
    <w:rsid w:val="002A4952"/>
    <w:rsid w:val="002A5EB4"/>
    <w:rsid w:val="002A77DD"/>
    <w:rsid w:val="002A7B19"/>
    <w:rsid w:val="002B0F1B"/>
    <w:rsid w:val="002B1051"/>
    <w:rsid w:val="002B1ABA"/>
    <w:rsid w:val="002B2BA2"/>
    <w:rsid w:val="002B5A8F"/>
    <w:rsid w:val="002B6B65"/>
    <w:rsid w:val="002B6C0E"/>
    <w:rsid w:val="002C04E8"/>
    <w:rsid w:val="002C0FDD"/>
    <w:rsid w:val="002C15A4"/>
    <w:rsid w:val="002C4309"/>
    <w:rsid w:val="002C4603"/>
    <w:rsid w:val="002C4AC3"/>
    <w:rsid w:val="002C6BC7"/>
    <w:rsid w:val="002C7929"/>
    <w:rsid w:val="002D3126"/>
    <w:rsid w:val="002D33E9"/>
    <w:rsid w:val="002D3401"/>
    <w:rsid w:val="002D3996"/>
    <w:rsid w:val="002D5770"/>
    <w:rsid w:val="002D5A72"/>
    <w:rsid w:val="002D5BC0"/>
    <w:rsid w:val="002D693C"/>
    <w:rsid w:val="002D6E26"/>
    <w:rsid w:val="002E0905"/>
    <w:rsid w:val="002E2102"/>
    <w:rsid w:val="002E22BB"/>
    <w:rsid w:val="002E26DB"/>
    <w:rsid w:val="002E47C9"/>
    <w:rsid w:val="002E49A9"/>
    <w:rsid w:val="002E5934"/>
    <w:rsid w:val="002E5CDA"/>
    <w:rsid w:val="002E654A"/>
    <w:rsid w:val="002F0534"/>
    <w:rsid w:val="002F15F5"/>
    <w:rsid w:val="002F3A96"/>
    <w:rsid w:val="002F5364"/>
    <w:rsid w:val="00300053"/>
    <w:rsid w:val="0030029A"/>
    <w:rsid w:val="003047A4"/>
    <w:rsid w:val="00310436"/>
    <w:rsid w:val="00311374"/>
    <w:rsid w:val="0031174A"/>
    <w:rsid w:val="00313408"/>
    <w:rsid w:val="00314694"/>
    <w:rsid w:val="00314B8A"/>
    <w:rsid w:val="00314BF5"/>
    <w:rsid w:val="00314E0C"/>
    <w:rsid w:val="00315F1D"/>
    <w:rsid w:val="003165C3"/>
    <w:rsid w:val="00316678"/>
    <w:rsid w:val="00317219"/>
    <w:rsid w:val="00317BE4"/>
    <w:rsid w:val="00320D52"/>
    <w:rsid w:val="003217F2"/>
    <w:rsid w:val="00322EE5"/>
    <w:rsid w:val="00322F1E"/>
    <w:rsid w:val="00323F2A"/>
    <w:rsid w:val="00324E14"/>
    <w:rsid w:val="00326DBA"/>
    <w:rsid w:val="00330C8B"/>
    <w:rsid w:val="003321FE"/>
    <w:rsid w:val="003339AE"/>
    <w:rsid w:val="00336D37"/>
    <w:rsid w:val="00340130"/>
    <w:rsid w:val="00340EBC"/>
    <w:rsid w:val="00341050"/>
    <w:rsid w:val="00342132"/>
    <w:rsid w:val="00342409"/>
    <w:rsid w:val="0034377D"/>
    <w:rsid w:val="00343A76"/>
    <w:rsid w:val="00345903"/>
    <w:rsid w:val="00352BA9"/>
    <w:rsid w:val="00353027"/>
    <w:rsid w:val="00353CE9"/>
    <w:rsid w:val="00353FA4"/>
    <w:rsid w:val="003564AA"/>
    <w:rsid w:val="00360565"/>
    <w:rsid w:val="00363701"/>
    <w:rsid w:val="00364F91"/>
    <w:rsid w:val="0036670F"/>
    <w:rsid w:val="00366948"/>
    <w:rsid w:val="00367283"/>
    <w:rsid w:val="003704DC"/>
    <w:rsid w:val="0037249E"/>
    <w:rsid w:val="00374176"/>
    <w:rsid w:val="00374BEE"/>
    <w:rsid w:val="0037738F"/>
    <w:rsid w:val="00381B82"/>
    <w:rsid w:val="003828ED"/>
    <w:rsid w:val="003829F1"/>
    <w:rsid w:val="00384277"/>
    <w:rsid w:val="00385FAB"/>
    <w:rsid w:val="00391008"/>
    <w:rsid w:val="003926BE"/>
    <w:rsid w:val="00392AC0"/>
    <w:rsid w:val="00392F03"/>
    <w:rsid w:val="00392FF5"/>
    <w:rsid w:val="003938E1"/>
    <w:rsid w:val="00395AD7"/>
    <w:rsid w:val="00395E16"/>
    <w:rsid w:val="0039631A"/>
    <w:rsid w:val="003A1352"/>
    <w:rsid w:val="003A1FE4"/>
    <w:rsid w:val="003A2810"/>
    <w:rsid w:val="003A4D14"/>
    <w:rsid w:val="003A5867"/>
    <w:rsid w:val="003A65DE"/>
    <w:rsid w:val="003A7624"/>
    <w:rsid w:val="003B12D2"/>
    <w:rsid w:val="003B47B7"/>
    <w:rsid w:val="003C255A"/>
    <w:rsid w:val="003C30DF"/>
    <w:rsid w:val="003C5E65"/>
    <w:rsid w:val="003C6237"/>
    <w:rsid w:val="003C6522"/>
    <w:rsid w:val="003C6C62"/>
    <w:rsid w:val="003C6EE5"/>
    <w:rsid w:val="003D0B49"/>
    <w:rsid w:val="003D1632"/>
    <w:rsid w:val="003D5DE0"/>
    <w:rsid w:val="003D67EE"/>
    <w:rsid w:val="003E1497"/>
    <w:rsid w:val="003E23C2"/>
    <w:rsid w:val="003E33C4"/>
    <w:rsid w:val="003E51D2"/>
    <w:rsid w:val="003E7988"/>
    <w:rsid w:val="003F0384"/>
    <w:rsid w:val="003F22DC"/>
    <w:rsid w:val="003F2DD3"/>
    <w:rsid w:val="003F357D"/>
    <w:rsid w:val="003F57FE"/>
    <w:rsid w:val="003F601A"/>
    <w:rsid w:val="003F637D"/>
    <w:rsid w:val="003F687C"/>
    <w:rsid w:val="003F7774"/>
    <w:rsid w:val="004012AE"/>
    <w:rsid w:val="00401AA7"/>
    <w:rsid w:val="00401ECA"/>
    <w:rsid w:val="00402D96"/>
    <w:rsid w:val="00403BD5"/>
    <w:rsid w:val="00405527"/>
    <w:rsid w:val="00407050"/>
    <w:rsid w:val="00410A52"/>
    <w:rsid w:val="00411C77"/>
    <w:rsid w:val="00412548"/>
    <w:rsid w:val="00414CFD"/>
    <w:rsid w:val="00414D64"/>
    <w:rsid w:val="00415DB9"/>
    <w:rsid w:val="00417F88"/>
    <w:rsid w:val="00422270"/>
    <w:rsid w:val="00422DE9"/>
    <w:rsid w:val="00422E2C"/>
    <w:rsid w:val="0042366F"/>
    <w:rsid w:val="00423B6D"/>
    <w:rsid w:val="004247C9"/>
    <w:rsid w:val="0042486A"/>
    <w:rsid w:val="00424A84"/>
    <w:rsid w:val="004256A6"/>
    <w:rsid w:val="00425E0A"/>
    <w:rsid w:val="00426587"/>
    <w:rsid w:val="00426DFD"/>
    <w:rsid w:val="004271FA"/>
    <w:rsid w:val="00427D7F"/>
    <w:rsid w:val="0043118E"/>
    <w:rsid w:val="00431BFE"/>
    <w:rsid w:val="0043381C"/>
    <w:rsid w:val="004341CB"/>
    <w:rsid w:val="00441F8C"/>
    <w:rsid w:val="00442BAE"/>
    <w:rsid w:val="0044319C"/>
    <w:rsid w:val="004431F5"/>
    <w:rsid w:val="004459C6"/>
    <w:rsid w:val="004460B7"/>
    <w:rsid w:val="00447FD7"/>
    <w:rsid w:val="00451F69"/>
    <w:rsid w:val="00453830"/>
    <w:rsid w:val="00454458"/>
    <w:rsid w:val="00454D4A"/>
    <w:rsid w:val="00456058"/>
    <w:rsid w:val="0045713F"/>
    <w:rsid w:val="00460609"/>
    <w:rsid w:val="004613B7"/>
    <w:rsid w:val="00462F0B"/>
    <w:rsid w:val="00464253"/>
    <w:rsid w:val="004643B3"/>
    <w:rsid w:val="004650A0"/>
    <w:rsid w:val="00470F99"/>
    <w:rsid w:val="004713C0"/>
    <w:rsid w:val="004737A6"/>
    <w:rsid w:val="004738F7"/>
    <w:rsid w:val="00474852"/>
    <w:rsid w:val="00475066"/>
    <w:rsid w:val="004754F7"/>
    <w:rsid w:val="00476EF9"/>
    <w:rsid w:val="00477000"/>
    <w:rsid w:val="0047728D"/>
    <w:rsid w:val="00482005"/>
    <w:rsid w:val="00483010"/>
    <w:rsid w:val="004836A8"/>
    <w:rsid w:val="0048792B"/>
    <w:rsid w:val="00487D66"/>
    <w:rsid w:val="00487FF8"/>
    <w:rsid w:val="00490E8F"/>
    <w:rsid w:val="0049268B"/>
    <w:rsid w:val="004938E2"/>
    <w:rsid w:val="00494D5B"/>
    <w:rsid w:val="00495DFD"/>
    <w:rsid w:val="004A0022"/>
    <w:rsid w:val="004A64E2"/>
    <w:rsid w:val="004A69D3"/>
    <w:rsid w:val="004B0F6D"/>
    <w:rsid w:val="004B20DB"/>
    <w:rsid w:val="004B4386"/>
    <w:rsid w:val="004B4F31"/>
    <w:rsid w:val="004B51DF"/>
    <w:rsid w:val="004B6987"/>
    <w:rsid w:val="004B6BF6"/>
    <w:rsid w:val="004B7E32"/>
    <w:rsid w:val="004C0244"/>
    <w:rsid w:val="004C0C23"/>
    <w:rsid w:val="004C672F"/>
    <w:rsid w:val="004D124F"/>
    <w:rsid w:val="004D2006"/>
    <w:rsid w:val="004D2106"/>
    <w:rsid w:val="004D4CB5"/>
    <w:rsid w:val="004D5D47"/>
    <w:rsid w:val="004D77D2"/>
    <w:rsid w:val="004D77DB"/>
    <w:rsid w:val="004D7D69"/>
    <w:rsid w:val="004E00FA"/>
    <w:rsid w:val="004E4CEF"/>
    <w:rsid w:val="004E4F3C"/>
    <w:rsid w:val="004E5DF9"/>
    <w:rsid w:val="004E644B"/>
    <w:rsid w:val="004F017E"/>
    <w:rsid w:val="004F06FE"/>
    <w:rsid w:val="004F10C6"/>
    <w:rsid w:val="004F1C61"/>
    <w:rsid w:val="004F2B4D"/>
    <w:rsid w:val="004F33A2"/>
    <w:rsid w:val="004F6C0A"/>
    <w:rsid w:val="004F7771"/>
    <w:rsid w:val="00503A07"/>
    <w:rsid w:val="00503CE9"/>
    <w:rsid w:val="00504AFC"/>
    <w:rsid w:val="00505572"/>
    <w:rsid w:val="00511371"/>
    <w:rsid w:val="005118A6"/>
    <w:rsid w:val="00511A0B"/>
    <w:rsid w:val="00511BBC"/>
    <w:rsid w:val="00512916"/>
    <w:rsid w:val="005134E1"/>
    <w:rsid w:val="00513653"/>
    <w:rsid w:val="00513719"/>
    <w:rsid w:val="0051485B"/>
    <w:rsid w:val="00514B23"/>
    <w:rsid w:val="0052022D"/>
    <w:rsid w:val="00520591"/>
    <w:rsid w:val="00521094"/>
    <w:rsid w:val="005220DE"/>
    <w:rsid w:val="00523855"/>
    <w:rsid w:val="00523F39"/>
    <w:rsid w:val="00525DA6"/>
    <w:rsid w:val="005261D9"/>
    <w:rsid w:val="005264E8"/>
    <w:rsid w:val="005303C0"/>
    <w:rsid w:val="00530E4D"/>
    <w:rsid w:val="005330A7"/>
    <w:rsid w:val="00533C08"/>
    <w:rsid w:val="0053743B"/>
    <w:rsid w:val="00540D08"/>
    <w:rsid w:val="00540D76"/>
    <w:rsid w:val="00540EF4"/>
    <w:rsid w:val="00541329"/>
    <w:rsid w:val="00542274"/>
    <w:rsid w:val="005425A5"/>
    <w:rsid w:val="00542869"/>
    <w:rsid w:val="00545D61"/>
    <w:rsid w:val="00546620"/>
    <w:rsid w:val="0055313D"/>
    <w:rsid w:val="0055482B"/>
    <w:rsid w:val="005557AD"/>
    <w:rsid w:val="00555901"/>
    <w:rsid w:val="00557477"/>
    <w:rsid w:val="00561B3A"/>
    <w:rsid w:val="005642BB"/>
    <w:rsid w:val="00564C4F"/>
    <w:rsid w:val="0056589D"/>
    <w:rsid w:val="00565A95"/>
    <w:rsid w:val="005665D4"/>
    <w:rsid w:val="00566CDC"/>
    <w:rsid w:val="005675F3"/>
    <w:rsid w:val="005717F2"/>
    <w:rsid w:val="00572554"/>
    <w:rsid w:val="00572EFF"/>
    <w:rsid w:val="0057429E"/>
    <w:rsid w:val="0057601E"/>
    <w:rsid w:val="00580142"/>
    <w:rsid w:val="0058260D"/>
    <w:rsid w:val="00582E13"/>
    <w:rsid w:val="005830FE"/>
    <w:rsid w:val="00583EF7"/>
    <w:rsid w:val="00586028"/>
    <w:rsid w:val="00587EBB"/>
    <w:rsid w:val="00590812"/>
    <w:rsid w:val="005914A4"/>
    <w:rsid w:val="00591596"/>
    <w:rsid w:val="00591A4E"/>
    <w:rsid w:val="00592459"/>
    <w:rsid w:val="005958D4"/>
    <w:rsid w:val="00597786"/>
    <w:rsid w:val="005A0C73"/>
    <w:rsid w:val="005A216A"/>
    <w:rsid w:val="005A22DF"/>
    <w:rsid w:val="005A43A6"/>
    <w:rsid w:val="005A51A3"/>
    <w:rsid w:val="005A58C4"/>
    <w:rsid w:val="005B0A20"/>
    <w:rsid w:val="005B0D7E"/>
    <w:rsid w:val="005B17FC"/>
    <w:rsid w:val="005B618E"/>
    <w:rsid w:val="005B6F3C"/>
    <w:rsid w:val="005C0303"/>
    <w:rsid w:val="005C1410"/>
    <w:rsid w:val="005C3882"/>
    <w:rsid w:val="005C5220"/>
    <w:rsid w:val="005C5505"/>
    <w:rsid w:val="005C5D0E"/>
    <w:rsid w:val="005C6FB7"/>
    <w:rsid w:val="005C763B"/>
    <w:rsid w:val="005C7C82"/>
    <w:rsid w:val="005D0C11"/>
    <w:rsid w:val="005D411C"/>
    <w:rsid w:val="005D7057"/>
    <w:rsid w:val="005E0890"/>
    <w:rsid w:val="005E0981"/>
    <w:rsid w:val="005E1975"/>
    <w:rsid w:val="005E2831"/>
    <w:rsid w:val="005E6CE5"/>
    <w:rsid w:val="005F0553"/>
    <w:rsid w:val="005F2312"/>
    <w:rsid w:val="005F49F5"/>
    <w:rsid w:val="005F68FD"/>
    <w:rsid w:val="005F72E9"/>
    <w:rsid w:val="00600E49"/>
    <w:rsid w:val="00600F23"/>
    <w:rsid w:val="006077CA"/>
    <w:rsid w:val="0061534E"/>
    <w:rsid w:val="00617E8C"/>
    <w:rsid w:val="00622A7C"/>
    <w:rsid w:val="0062393B"/>
    <w:rsid w:val="00623FF2"/>
    <w:rsid w:val="00625283"/>
    <w:rsid w:val="00625747"/>
    <w:rsid w:val="00626303"/>
    <w:rsid w:val="0062690C"/>
    <w:rsid w:val="006272EE"/>
    <w:rsid w:val="00627C4C"/>
    <w:rsid w:val="00630DF9"/>
    <w:rsid w:val="006311BA"/>
    <w:rsid w:val="006313C9"/>
    <w:rsid w:val="00632181"/>
    <w:rsid w:val="00632E6C"/>
    <w:rsid w:val="00635BD5"/>
    <w:rsid w:val="00636A69"/>
    <w:rsid w:val="00640CF7"/>
    <w:rsid w:val="006413C3"/>
    <w:rsid w:val="00642074"/>
    <w:rsid w:val="006423D7"/>
    <w:rsid w:val="00642CBF"/>
    <w:rsid w:val="00644813"/>
    <w:rsid w:val="00646160"/>
    <w:rsid w:val="00652E4B"/>
    <w:rsid w:val="00653587"/>
    <w:rsid w:val="0065360E"/>
    <w:rsid w:val="006544BC"/>
    <w:rsid w:val="00655628"/>
    <w:rsid w:val="00657245"/>
    <w:rsid w:val="006603E3"/>
    <w:rsid w:val="0066114F"/>
    <w:rsid w:val="006625F0"/>
    <w:rsid w:val="00665443"/>
    <w:rsid w:val="00665BBD"/>
    <w:rsid w:val="00665BE8"/>
    <w:rsid w:val="006677B0"/>
    <w:rsid w:val="00670AF7"/>
    <w:rsid w:val="00670BE0"/>
    <w:rsid w:val="00673974"/>
    <w:rsid w:val="00676D30"/>
    <w:rsid w:val="006815B3"/>
    <w:rsid w:val="00684829"/>
    <w:rsid w:val="00686C2D"/>
    <w:rsid w:val="00687EC8"/>
    <w:rsid w:val="00690F32"/>
    <w:rsid w:val="00692812"/>
    <w:rsid w:val="00696C18"/>
    <w:rsid w:val="00696E2A"/>
    <w:rsid w:val="006A0153"/>
    <w:rsid w:val="006A0AA9"/>
    <w:rsid w:val="006A0B57"/>
    <w:rsid w:val="006A0FCA"/>
    <w:rsid w:val="006A3C6A"/>
    <w:rsid w:val="006A7A6C"/>
    <w:rsid w:val="006B0A67"/>
    <w:rsid w:val="006B1945"/>
    <w:rsid w:val="006B34E1"/>
    <w:rsid w:val="006B3518"/>
    <w:rsid w:val="006B45E7"/>
    <w:rsid w:val="006B5760"/>
    <w:rsid w:val="006B5C4C"/>
    <w:rsid w:val="006B661F"/>
    <w:rsid w:val="006B6D3A"/>
    <w:rsid w:val="006B7CDD"/>
    <w:rsid w:val="006C06CB"/>
    <w:rsid w:val="006C10F7"/>
    <w:rsid w:val="006C75AB"/>
    <w:rsid w:val="006C7A8B"/>
    <w:rsid w:val="006C7F1A"/>
    <w:rsid w:val="006D0461"/>
    <w:rsid w:val="006D063A"/>
    <w:rsid w:val="006D3032"/>
    <w:rsid w:val="006D43C4"/>
    <w:rsid w:val="006D4550"/>
    <w:rsid w:val="006D4572"/>
    <w:rsid w:val="006D4C72"/>
    <w:rsid w:val="006D67A1"/>
    <w:rsid w:val="006D722B"/>
    <w:rsid w:val="006D7938"/>
    <w:rsid w:val="006E0E17"/>
    <w:rsid w:val="006E2C4F"/>
    <w:rsid w:val="006E5E65"/>
    <w:rsid w:val="006F16B8"/>
    <w:rsid w:val="006F2E4B"/>
    <w:rsid w:val="006F3208"/>
    <w:rsid w:val="006F3DB5"/>
    <w:rsid w:val="006F5DC2"/>
    <w:rsid w:val="006F6AF8"/>
    <w:rsid w:val="00700254"/>
    <w:rsid w:val="0070328E"/>
    <w:rsid w:val="00705082"/>
    <w:rsid w:val="00705418"/>
    <w:rsid w:val="00705E2F"/>
    <w:rsid w:val="00706D4B"/>
    <w:rsid w:val="00707AC9"/>
    <w:rsid w:val="00710722"/>
    <w:rsid w:val="0071131D"/>
    <w:rsid w:val="00712BFD"/>
    <w:rsid w:val="00713DC1"/>
    <w:rsid w:val="00713F36"/>
    <w:rsid w:val="00720193"/>
    <w:rsid w:val="007204C5"/>
    <w:rsid w:val="00720DCC"/>
    <w:rsid w:val="00720FA4"/>
    <w:rsid w:val="007221E2"/>
    <w:rsid w:val="0072234D"/>
    <w:rsid w:val="00722981"/>
    <w:rsid w:val="00726A81"/>
    <w:rsid w:val="00726C25"/>
    <w:rsid w:val="00727B75"/>
    <w:rsid w:val="00727C4C"/>
    <w:rsid w:val="00732BA3"/>
    <w:rsid w:val="00733068"/>
    <w:rsid w:val="007338D1"/>
    <w:rsid w:val="00733E81"/>
    <w:rsid w:val="00736099"/>
    <w:rsid w:val="007458A7"/>
    <w:rsid w:val="00745C2A"/>
    <w:rsid w:val="00754E18"/>
    <w:rsid w:val="00755318"/>
    <w:rsid w:val="007569B6"/>
    <w:rsid w:val="00756E0D"/>
    <w:rsid w:val="007571C2"/>
    <w:rsid w:val="00757CF5"/>
    <w:rsid w:val="007610BA"/>
    <w:rsid w:val="00761D9E"/>
    <w:rsid w:val="00761FA7"/>
    <w:rsid w:val="00763355"/>
    <w:rsid w:val="00763D7C"/>
    <w:rsid w:val="0076525B"/>
    <w:rsid w:val="00766386"/>
    <w:rsid w:val="00766BC0"/>
    <w:rsid w:val="00766C91"/>
    <w:rsid w:val="00766CF8"/>
    <w:rsid w:val="00772430"/>
    <w:rsid w:val="0077388E"/>
    <w:rsid w:val="00773AAE"/>
    <w:rsid w:val="00775229"/>
    <w:rsid w:val="00775826"/>
    <w:rsid w:val="00775AE1"/>
    <w:rsid w:val="007776FF"/>
    <w:rsid w:val="0077775C"/>
    <w:rsid w:val="00781994"/>
    <w:rsid w:val="00783E42"/>
    <w:rsid w:val="00785311"/>
    <w:rsid w:val="00787121"/>
    <w:rsid w:val="00787A4F"/>
    <w:rsid w:val="00792363"/>
    <w:rsid w:val="0079381A"/>
    <w:rsid w:val="007954F2"/>
    <w:rsid w:val="0079585B"/>
    <w:rsid w:val="00795974"/>
    <w:rsid w:val="00795FD9"/>
    <w:rsid w:val="00797161"/>
    <w:rsid w:val="007A0869"/>
    <w:rsid w:val="007A138E"/>
    <w:rsid w:val="007A1C5A"/>
    <w:rsid w:val="007A287B"/>
    <w:rsid w:val="007A3C61"/>
    <w:rsid w:val="007A7170"/>
    <w:rsid w:val="007A7B40"/>
    <w:rsid w:val="007B17A2"/>
    <w:rsid w:val="007B1F4E"/>
    <w:rsid w:val="007B272D"/>
    <w:rsid w:val="007B3A9E"/>
    <w:rsid w:val="007B422D"/>
    <w:rsid w:val="007B5A0B"/>
    <w:rsid w:val="007B7919"/>
    <w:rsid w:val="007B7C1C"/>
    <w:rsid w:val="007C17FB"/>
    <w:rsid w:val="007C1CE3"/>
    <w:rsid w:val="007C5738"/>
    <w:rsid w:val="007C7EA3"/>
    <w:rsid w:val="007D12AF"/>
    <w:rsid w:val="007D165A"/>
    <w:rsid w:val="007D1A12"/>
    <w:rsid w:val="007D247F"/>
    <w:rsid w:val="007D27AD"/>
    <w:rsid w:val="007D2A9D"/>
    <w:rsid w:val="007D3873"/>
    <w:rsid w:val="007D3E94"/>
    <w:rsid w:val="007D4738"/>
    <w:rsid w:val="007D600C"/>
    <w:rsid w:val="007D677C"/>
    <w:rsid w:val="007D7B75"/>
    <w:rsid w:val="007D7CB0"/>
    <w:rsid w:val="007E012D"/>
    <w:rsid w:val="007E2C1A"/>
    <w:rsid w:val="007E2C20"/>
    <w:rsid w:val="007E35AF"/>
    <w:rsid w:val="007E3F4C"/>
    <w:rsid w:val="007E5976"/>
    <w:rsid w:val="007E66CE"/>
    <w:rsid w:val="007E6E8B"/>
    <w:rsid w:val="007E7C12"/>
    <w:rsid w:val="007E7DBC"/>
    <w:rsid w:val="007F049E"/>
    <w:rsid w:val="007F2625"/>
    <w:rsid w:val="007F3DB4"/>
    <w:rsid w:val="007F4023"/>
    <w:rsid w:val="007F44E1"/>
    <w:rsid w:val="007F5EDC"/>
    <w:rsid w:val="007F6A96"/>
    <w:rsid w:val="007F7AE1"/>
    <w:rsid w:val="008002E0"/>
    <w:rsid w:val="008004D5"/>
    <w:rsid w:val="008009EC"/>
    <w:rsid w:val="00800F99"/>
    <w:rsid w:val="0080126D"/>
    <w:rsid w:val="00802904"/>
    <w:rsid w:val="00802ED9"/>
    <w:rsid w:val="00804282"/>
    <w:rsid w:val="00804D29"/>
    <w:rsid w:val="00806FCA"/>
    <w:rsid w:val="008079AD"/>
    <w:rsid w:val="0081170B"/>
    <w:rsid w:val="00812BA7"/>
    <w:rsid w:val="0081785F"/>
    <w:rsid w:val="00820FD1"/>
    <w:rsid w:val="0082139E"/>
    <w:rsid w:val="00821DF4"/>
    <w:rsid w:val="008233A8"/>
    <w:rsid w:val="008246AB"/>
    <w:rsid w:val="0082547B"/>
    <w:rsid w:val="008274A6"/>
    <w:rsid w:val="00827D06"/>
    <w:rsid w:val="00831AB2"/>
    <w:rsid w:val="00834122"/>
    <w:rsid w:val="00834B98"/>
    <w:rsid w:val="00836245"/>
    <w:rsid w:val="00836C74"/>
    <w:rsid w:val="008378A3"/>
    <w:rsid w:val="00841BB6"/>
    <w:rsid w:val="0084371A"/>
    <w:rsid w:val="00844EFD"/>
    <w:rsid w:val="0084669D"/>
    <w:rsid w:val="00846F26"/>
    <w:rsid w:val="0084771B"/>
    <w:rsid w:val="0085095D"/>
    <w:rsid w:val="00851A68"/>
    <w:rsid w:val="008526BD"/>
    <w:rsid w:val="00854763"/>
    <w:rsid w:val="0085560F"/>
    <w:rsid w:val="00855966"/>
    <w:rsid w:val="00856B35"/>
    <w:rsid w:val="008574FB"/>
    <w:rsid w:val="0086121B"/>
    <w:rsid w:val="008628C4"/>
    <w:rsid w:val="00864932"/>
    <w:rsid w:val="00865470"/>
    <w:rsid w:val="00866BDE"/>
    <w:rsid w:val="00867EAC"/>
    <w:rsid w:val="00872693"/>
    <w:rsid w:val="00873EED"/>
    <w:rsid w:val="00875F92"/>
    <w:rsid w:val="00876890"/>
    <w:rsid w:val="00876B1D"/>
    <w:rsid w:val="00880E23"/>
    <w:rsid w:val="008827A5"/>
    <w:rsid w:val="00883096"/>
    <w:rsid w:val="0088405B"/>
    <w:rsid w:val="00890603"/>
    <w:rsid w:val="00890D68"/>
    <w:rsid w:val="00892C9E"/>
    <w:rsid w:val="008948FF"/>
    <w:rsid w:val="0089565B"/>
    <w:rsid w:val="008958F2"/>
    <w:rsid w:val="008A0776"/>
    <w:rsid w:val="008A099F"/>
    <w:rsid w:val="008A0E0A"/>
    <w:rsid w:val="008A3962"/>
    <w:rsid w:val="008A472E"/>
    <w:rsid w:val="008A4A98"/>
    <w:rsid w:val="008A509C"/>
    <w:rsid w:val="008A69B2"/>
    <w:rsid w:val="008B1224"/>
    <w:rsid w:val="008B1556"/>
    <w:rsid w:val="008B326B"/>
    <w:rsid w:val="008B3FFD"/>
    <w:rsid w:val="008B4AA8"/>
    <w:rsid w:val="008B5038"/>
    <w:rsid w:val="008B6E91"/>
    <w:rsid w:val="008C19EE"/>
    <w:rsid w:val="008C308C"/>
    <w:rsid w:val="008C535C"/>
    <w:rsid w:val="008C7E0F"/>
    <w:rsid w:val="008D03DA"/>
    <w:rsid w:val="008D05F2"/>
    <w:rsid w:val="008D1209"/>
    <w:rsid w:val="008D2CA9"/>
    <w:rsid w:val="008D2DA8"/>
    <w:rsid w:val="008D2DB2"/>
    <w:rsid w:val="008D2E6F"/>
    <w:rsid w:val="008E040E"/>
    <w:rsid w:val="008E09B8"/>
    <w:rsid w:val="008E3A95"/>
    <w:rsid w:val="008E4025"/>
    <w:rsid w:val="008E4A54"/>
    <w:rsid w:val="008E4DD4"/>
    <w:rsid w:val="008E6058"/>
    <w:rsid w:val="008E6A17"/>
    <w:rsid w:val="008F2574"/>
    <w:rsid w:val="008F2FD1"/>
    <w:rsid w:val="008F37BE"/>
    <w:rsid w:val="008F4562"/>
    <w:rsid w:val="008F6ADE"/>
    <w:rsid w:val="0090139D"/>
    <w:rsid w:val="00901F76"/>
    <w:rsid w:val="009020BE"/>
    <w:rsid w:val="0090343D"/>
    <w:rsid w:val="00903BE2"/>
    <w:rsid w:val="00904BA1"/>
    <w:rsid w:val="009059FD"/>
    <w:rsid w:val="00906022"/>
    <w:rsid w:val="00907442"/>
    <w:rsid w:val="00910CE2"/>
    <w:rsid w:val="0091102F"/>
    <w:rsid w:val="009115DE"/>
    <w:rsid w:val="00913EDB"/>
    <w:rsid w:val="00915507"/>
    <w:rsid w:val="009169B6"/>
    <w:rsid w:val="0091748B"/>
    <w:rsid w:val="00920109"/>
    <w:rsid w:val="00920511"/>
    <w:rsid w:val="00920875"/>
    <w:rsid w:val="009234DE"/>
    <w:rsid w:val="00923A6B"/>
    <w:rsid w:val="009240A7"/>
    <w:rsid w:val="00927C0C"/>
    <w:rsid w:val="009304A4"/>
    <w:rsid w:val="009314F3"/>
    <w:rsid w:val="00931B02"/>
    <w:rsid w:val="00932614"/>
    <w:rsid w:val="00935089"/>
    <w:rsid w:val="00935966"/>
    <w:rsid w:val="00940584"/>
    <w:rsid w:val="00944F8F"/>
    <w:rsid w:val="00946F23"/>
    <w:rsid w:val="00946F8A"/>
    <w:rsid w:val="00952064"/>
    <w:rsid w:val="009537B9"/>
    <w:rsid w:val="00953A0B"/>
    <w:rsid w:val="00954CE3"/>
    <w:rsid w:val="00955957"/>
    <w:rsid w:val="009603BB"/>
    <w:rsid w:val="00960A29"/>
    <w:rsid w:val="00960DCF"/>
    <w:rsid w:val="009610C4"/>
    <w:rsid w:val="009626F0"/>
    <w:rsid w:val="00962749"/>
    <w:rsid w:val="0096333F"/>
    <w:rsid w:val="00963AE3"/>
    <w:rsid w:val="009657B4"/>
    <w:rsid w:val="00966386"/>
    <w:rsid w:val="00966B92"/>
    <w:rsid w:val="00967D07"/>
    <w:rsid w:val="00967F7F"/>
    <w:rsid w:val="009704CC"/>
    <w:rsid w:val="00971499"/>
    <w:rsid w:val="009716CC"/>
    <w:rsid w:val="00973A1E"/>
    <w:rsid w:val="00973C02"/>
    <w:rsid w:val="009757AD"/>
    <w:rsid w:val="00980229"/>
    <w:rsid w:val="00981DAF"/>
    <w:rsid w:val="00984E7A"/>
    <w:rsid w:val="00985B0B"/>
    <w:rsid w:val="00987EBD"/>
    <w:rsid w:val="00991BE6"/>
    <w:rsid w:val="0099237C"/>
    <w:rsid w:val="0099352B"/>
    <w:rsid w:val="00995500"/>
    <w:rsid w:val="0099681B"/>
    <w:rsid w:val="00996A5C"/>
    <w:rsid w:val="009A143F"/>
    <w:rsid w:val="009A23B2"/>
    <w:rsid w:val="009A3E79"/>
    <w:rsid w:val="009A5024"/>
    <w:rsid w:val="009A7E98"/>
    <w:rsid w:val="009B1265"/>
    <w:rsid w:val="009B15BA"/>
    <w:rsid w:val="009B1FF9"/>
    <w:rsid w:val="009B2E80"/>
    <w:rsid w:val="009B43DE"/>
    <w:rsid w:val="009B4BB4"/>
    <w:rsid w:val="009B56E5"/>
    <w:rsid w:val="009B6537"/>
    <w:rsid w:val="009C2505"/>
    <w:rsid w:val="009C5162"/>
    <w:rsid w:val="009D15B1"/>
    <w:rsid w:val="009D1B99"/>
    <w:rsid w:val="009D57A8"/>
    <w:rsid w:val="009D5AC0"/>
    <w:rsid w:val="009D5EA2"/>
    <w:rsid w:val="009D70B4"/>
    <w:rsid w:val="009D7A09"/>
    <w:rsid w:val="009E07F6"/>
    <w:rsid w:val="009E31C2"/>
    <w:rsid w:val="009E3E41"/>
    <w:rsid w:val="009E4764"/>
    <w:rsid w:val="009E544F"/>
    <w:rsid w:val="009E57CE"/>
    <w:rsid w:val="009E5CB7"/>
    <w:rsid w:val="009E66E8"/>
    <w:rsid w:val="009E7B20"/>
    <w:rsid w:val="009F2D0C"/>
    <w:rsid w:val="009F49CA"/>
    <w:rsid w:val="009F5172"/>
    <w:rsid w:val="009F5D6E"/>
    <w:rsid w:val="009F6C26"/>
    <w:rsid w:val="00A00A33"/>
    <w:rsid w:val="00A02BCC"/>
    <w:rsid w:val="00A03AB5"/>
    <w:rsid w:val="00A042B8"/>
    <w:rsid w:val="00A043D6"/>
    <w:rsid w:val="00A11793"/>
    <w:rsid w:val="00A12BB1"/>
    <w:rsid w:val="00A13D95"/>
    <w:rsid w:val="00A1750E"/>
    <w:rsid w:val="00A2171C"/>
    <w:rsid w:val="00A2271E"/>
    <w:rsid w:val="00A2434F"/>
    <w:rsid w:val="00A24C05"/>
    <w:rsid w:val="00A24FDD"/>
    <w:rsid w:val="00A25306"/>
    <w:rsid w:val="00A258BD"/>
    <w:rsid w:val="00A25CBA"/>
    <w:rsid w:val="00A26A2F"/>
    <w:rsid w:val="00A311D3"/>
    <w:rsid w:val="00A31AA0"/>
    <w:rsid w:val="00A32117"/>
    <w:rsid w:val="00A33E7A"/>
    <w:rsid w:val="00A34723"/>
    <w:rsid w:val="00A34C86"/>
    <w:rsid w:val="00A34DD5"/>
    <w:rsid w:val="00A351D9"/>
    <w:rsid w:val="00A36613"/>
    <w:rsid w:val="00A3678D"/>
    <w:rsid w:val="00A36F01"/>
    <w:rsid w:val="00A37CED"/>
    <w:rsid w:val="00A37F9A"/>
    <w:rsid w:val="00A417B9"/>
    <w:rsid w:val="00A424FC"/>
    <w:rsid w:val="00A42A8E"/>
    <w:rsid w:val="00A44EFD"/>
    <w:rsid w:val="00A45184"/>
    <w:rsid w:val="00A55736"/>
    <w:rsid w:val="00A55CB6"/>
    <w:rsid w:val="00A5695A"/>
    <w:rsid w:val="00A57C8A"/>
    <w:rsid w:val="00A61396"/>
    <w:rsid w:val="00A6157A"/>
    <w:rsid w:val="00A62088"/>
    <w:rsid w:val="00A62B2F"/>
    <w:rsid w:val="00A6367B"/>
    <w:rsid w:val="00A63DEF"/>
    <w:rsid w:val="00A64E6B"/>
    <w:rsid w:val="00A6546E"/>
    <w:rsid w:val="00A655F3"/>
    <w:rsid w:val="00A67E64"/>
    <w:rsid w:val="00A70430"/>
    <w:rsid w:val="00A70CDF"/>
    <w:rsid w:val="00A71EFE"/>
    <w:rsid w:val="00A73B4D"/>
    <w:rsid w:val="00A7536E"/>
    <w:rsid w:val="00A75FCD"/>
    <w:rsid w:val="00A774F3"/>
    <w:rsid w:val="00A77B2F"/>
    <w:rsid w:val="00A80D38"/>
    <w:rsid w:val="00A80F3D"/>
    <w:rsid w:val="00A811F0"/>
    <w:rsid w:val="00A814AF"/>
    <w:rsid w:val="00A81EFD"/>
    <w:rsid w:val="00A82466"/>
    <w:rsid w:val="00A82835"/>
    <w:rsid w:val="00A8327C"/>
    <w:rsid w:val="00A84826"/>
    <w:rsid w:val="00A850CE"/>
    <w:rsid w:val="00A8540F"/>
    <w:rsid w:val="00A87399"/>
    <w:rsid w:val="00A87C30"/>
    <w:rsid w:val="00A87F7A"/>
    <w:rsid w:val="00A903A4"/>
    <w:rsid w:val="00A90552"/>
    <w:rsid w:val="00A90B05"/>
    <w:rsid w:val="00A93CA5"/>
    <w:rsid w:val="00A946DB"/>
    <w:rsid w:val="00A9602C"/>
    <w:rsid w:val="00A9714E"/>
    <w:rsid w:val="00AA092F"/>
    <w:rsid w:val="00AA5F6D"/>
    <w:rsid w:val="00AB11CA"/>
    <w:rsid w:val="00AB1BD1"/>
    <w:rsid w:val="00AB1EFE"/>
    <w:rsid w:val="00AB49DF"/>
    <w:rsid w:val="00AB67EA"/>
    <w:rsid w:val="00AB70D9"/>
    <w:rsid w:val="00AB74F0"/>
    <w:rsid w:val="00AC0562"/>
    <w:rsid w:val="00AC0E7E"/>
    <w:rsid w:val="00AC3443"/>
    <w:rsid w:val="00AC35B4"/>
    <w:rsid w:val="00AC4F0A"/>
    <w:rsid w:val="00AC5A33"/>
    <w:rsid w:val="00AC6ED9"/>
    <w:rsid w:val="00AC6FCA"/>
    <w:rsid w:val="00AC7A58"/>
    <w:rsid w:val="00AD06C4"/>
    <w:rsid w:val="00AD32FF"/>
    <w:rsid w:val="00AD3E8F"/>
    <w:rsid w:val="00AD41F8"/>
    <w:rsid w:val="00AD4E45"/>
    <w:rsid w:val="00AD7511"/>
    <w:rsid w:val="00AD7CD9"/>
    <w:rsid w:val="00AE4747"/>
    <w:rsid w:val="00AE654D"/>
    <w:rsid w:val="00AE69DC"/>
    <w:rsid w:val="00AF601F"/>
    <w:rsid w:val="00B0058A"/>
    <w:rsid w:val="00B02383"/>
    <w:rsid w:val="00B03E45"/>
    <w:rsid w:val="00B04AD3"/>
    <w:rsid w:val="00B05E39"/>
    <w:rsid w:val="00B06BDB"/>
    <w:rsid w:val="00B07D3A"/>
    <w:rsid w:val="00B07D41"/>
    <w:rsid w:val="00B11188"/>
    <w:rsid w:val="00B11363"/>
    <w:rsid w:val="00B14866"/>
    <w:rsid w:val="00B162AD"/>
    <w:rsid w:val="00B1686D"/>
    <w:rsid w:val="00B17416"/>
    <w:rsid w:val="00B20F4C"/>
    <w:rsid w:val="00B229CB"/>
    <w:rsid w:val="00B2444F"/>
    <w:rsid w:val="00B2528C"/>
    <w:rsid w:val="00B26C8D"/>
    <w:rsid w:val="00B30389"/>
    <w:rsid w:val="00B318EF"/>
    <w:rsid w:val="00B32378"/>
    <w:rsid w:val="00B324BE"/>
    <w:rsid w:val="00B33307"/>
    <w:rsid w:val="00B3355E"/>
    <w:rsid w:val="00B34B54"/>
    <w:rsid w:val="00B36B5A"/>
    <w:rsid w:val="00B376B8"/>
    <w:rsid w:val="00B37A94"/>
    <w:rsid w:val="00B410AD"/>
    <w:rsid w:val="00B427FF"/>
    <w:rsid w:val="00B429B6"/>
    <w:rsid w:val="00B449DC"/>
    <w:rsid w:val="00B45957"/>
    <w:rsid w:val="00B45F72"/>
    <w:rsid w:val="00B52DB8"/>
    <w:rsid w:val="00B53C4C"/>
    <w:rsid w:val="00B5477F"/>
    <w:rsid w:val="00B55F2E"/>
    <w:rsid w:val="00B56ACD"/>
    <w:rsid w:val="00B63E74"/>
    <w:rsid w:val="00B64DDB"/>
    <w:rsid w:val="00B713E8"/>
    <w:rsid w:val="00B71A61"/>
    <w:rsid w:val="00B71DC2"/>
    <w:rsid w:val="00B71E39"/>
    <w:rsid w:val="00B7493D"/>
    <w:rsid w:val="00B74B43"/>
    <w:rsid w:val="00B74D6C"/>
    <w:rsid w:val="00B82D0B"/>
    <w:rsid w:val="00B84047"/>
    <w:rsid w:val="00B847F3"/>
    <w:rsid w:val="00B85096"/>
    <w:rsid w:val="00B8552F"/>
    <w:rsid w:val="00B86246"/>
    <w:rsid w:val="00B86D7B"/>
    <w:rsid w:val="00B9020E"/>
    <w:rsid w:val="00B92B7B"/>
    <w:rsid w:val="00B93A86"/>
    <w:rsid w:val="00B95F71"/>
    <w:rsid w:val="00B96579"/>
    <w:rsid w:val="00B965F6"/>
    <w:rsid w:val="00B9693A"/>
    <w:rsid w:val="00B96E6F"/>
    <w:rsid w:val="00BA2B4E"/>
    <w:rsid w:val="00BA3B7F"/>
    <w:rsid w:val="00BA40C7"/>
    <w:rsid w:val="00BA611C"/>
    <w:rsid w:val="00BA63F7"/>
    <w:rsid w:val="00BB05A0"/>
    <w:rsid w:val="00BB26AE"/>
    <w:rsid w:val="00BB35CF"/>
    <w:rsid w:val="00BB3686"/>
    <w:rsid w:val="00BB3A2E"/>
    <w:rsid w:val="00BB4D50"/>
    <w:rsid w:val="00BB4FBB"/>
    <w:rsid w:val="00BB5C9F"/>
    <w:rsid w:val="00BB63C9"/>
    <w:rsid w:val="00BB6E57"/>
    <w:rsid w:val="00BB7341"/>
    <w:rsid w:val="00BB7B48"/>
    <w:rsid w:val="00BC06E8"/>
    <w:rsid w:val="00BC0A98"/>
    <w:rsid w:val="00BC103A"/>
    <w:rsid w:val="00BC125B"/>
    <w:rsid w:val="00BC3764"/>
    <w:rsid w:val="00BC52BD"/>
    <w:rsid w:val="00BC7CEB"/>
    <w:rsid w:val="00BD2198"/>
    <w:rsid w:val="00BD241C"/>
    <w:rsid w:val="00BD279E"/>
    <w:rsid w:val="00BD30FE"/>
    <w:rsid w:val="00BD351B"/>
    <w:rsid w:val="00BD3A79"/>
    <w:rsid w:val="00BD6F9F"/>
    <w:rsid w:val="00BD7C19"/>
    <w:rsid w:val="00BE0BC1"/>
    <w:rsid w:val="00BE19C2"/>
    <w:rsid w:val="00BE253F"/>
    <w:rsid w:val="00BE2D46"/>
    <w:rsid w:val="00BE3209"/>
    <w:rsid w:val="00BE34C3"/>
    <w:rsid w:val="00BE3FF2"/>
    <w:rsid w:val="00BE4BE4"/>
    <w:rsid w:val="00BE5508"/>
    <w:rsid w:val="00BE5C18"/>
    <w:rsid w:val="00BE6294"/>
    <w:rsid w:val="00BE7BC4"/>
    <w:rsid w:val="00BF3770"/>
    <w:rsid w:val="00BF3809"/>
    <w:rsid w:val="00BF38D9"/>
    <w:rsid w:val="00BF415E"/>
    <w:rsid w:val="00BF4192"/>
    <w:rsid w:val="00BF6DC1"/>
    <w:rsid w:val="00C019EF"/>
    <w:rsid w:val="00C02379"/>
    <w:rsid w:val="00C03BF1"/>
    <w:rsid w:val="00C03EB3"/>
    <w:rsid w:val="00C04027"/>
    <w:rsid w:val="00C07048"/>
    <w:rsid w:val="00C0771D"/>
    <w:rsid w:val="00C0791B"/>
    <w:rsid w:val="00C12ADD"/>
    <w:rsid w:val="00C12BFC"/>
    <w:rsid w:val="00C1307E"/>
    <w:rsid w:val="00C135EA"/>
    <w:rsid w:val="00C13A01"/>
    <w:rsid w:val="00C1441D"/>
    <w:rsid w:val="00C175FD"/>
    <w:rsid w:val="00C228CE"/>
    <w:rsid w:val="00C22A64"/>
    <w:rsid w:val="00C22CC1"/>
    <w:rsid w:val="00C237F1"/>
    <w:rsid w:val="00C243AE"/>
    <w:rsid w:val="00C2489B"/>
    <w:rsid w:val="00C2576D"/>
    <w:rsid w:val="00C26D57"/>
    <w:rsid w:val="00C274CB"/>
    <w:rsid w:val="00C27973"/>
    <w:rsid w:val="00C30AB3"/>
    <w:rsid w:val="00C31797"/>
    <w:rsid w:val="00C33E37"/>
    <w:rsid w:val="00C3435D"/>
    <w:rsid w:val="00C36137"/>
    <w:rsid w:val="00C374AB"/>
    <w:rsid w:val="00C422E3"/>
    <w:rsid w:val="00C4250C"/>
    <w:rsid w:val="00C437FB"/>
    <w:rsid w:val="00C460B6"/>
    <w:rsid w:val="00C46184"/>
    <w:rsid w:val="00C474E5"/>
    <w:rsid w:val="00C561B1"/>
    <w:rsid w:val="00C56E50"/>
    <w:rsid w:val="00C5766D"/>
    <w:rsid w:val="00C57975"/>
    <w:rsid w:val="00C57C9A"/>
    <w:rsid w:val="00C57E35"/>
    <w:rsid w:val="00C60C3E"/>
    <w:rsid w:val="00C61684"/>
    <w:rsid w:val="00C61E65"/>
    <w:rsid w:val="00C62247"/>
    <w:rsid w:val="00C624EB"/>
    <w:rsid w:val="00C636A9"/>
    <w:rsid w:val="00C642CA"/>
    <w:rsid w:val="00C651D2"/>
    <w:rsid w:val="00C6578F"/>
    <w:rsid w:val="00C66738"/>
    <w:rsid w:val="00C70A93"/>
    <w:rsid w:val="00C71C93"/>
    <w:rsid w:val="00C747C7"/>
    <w:rsid w:val="00C75847"/>
    <w:rsid w:val="00C75943"/>
    <w:rsid w:val="00C77A9F"/>
    <w:rsid w:val="00C77D0D"/>
    <w:rsid w:val="00C8037F"/>
    <w:rsid w:val="00C80A65"/>
    <w:rsid w:val="00C80BAB"/>
    <w:rsid w:val="00C80D5E"/>
    <w:rsid w:val="00C80DDA"/>
    <w:rsid w:val="00C815D7"/>
    <w:rsid w:val="00C82A9F"/>
    <w:rsid w:val="00C82B5B"/>
    <w:rsid w:val="00C82C88"/>
    <w:rsid w:val="00C82ECE"/>
    <w:rsid w:val="00C8419E"/>
    <w:rsid w:val="00C84415"/>
    <w:rsid w:val="00C86D50"/>
    <w:rsid w:val="00C86E5E"/>
    <w:rsid w:val="00C870DC"/>
    <w:rsid w:val="00C87933"/>
    <w:rsid w:val="00C91F36"/>
    <w:rsid w:val="00C941AE"/>
    <w:rsid w:val="00C9445F"/>
    <w:rsid w:val="00C95C34"/>
    <w:rsid w:val="00C96315"/>
    <w:rsid w:val="00C963F2"/>
    <w:rsid w:val="00C96903"/>
    <w:rsid w:val="00C975FD"/>
    <w:rsid w:val="00CA0978"/>
    <w:rsid w:val="00CA137A"/>
    <w:rsid w:val="00CA17AB"/>
    <w:rsid w:val="00CA1825"/>
    <w:rsid w:val="00CA2132"/>
    <w:rsid w:val="00CA2F29"/>
    <w:rsid w:val="00CA44D3"/>
    <w:rsid w:val="00CA4B4D"/>
    <w:rsid w:val="00CB20C0"/>
    <w:rsid w:val="00CB41BB"/>
    <w:rsid w:val="00CB465C"/>
    <w:rsid w:val="00CB5734"/>
    <w:rsid w:val="00CB629C"/>
    <w:rsid w:val="00CC1622"/>
    <w:rsid w:val="00CC2854"/>
    <w:rsid w:val="00CC37B5"/>
    <w:rsid w:val="00CC40E7"/>
    <w:rsid w:val="00CC487A"/>
    <w:rsid w:val="00CC6058"/>
    <w:rsid w:val="00CC66F1"/>
    <w:rsid w:val="00CC7B5B"/>
    <w:rsid w:val="00CD06C7"/>
    <w:rsid w:val="00CD0DF4"/>
    <w:rsid w:val="00CD0FD6"/>
    <w:rsid w:val="00CE02E1"/>
    <w:rsid w:val="00CE05C2"/>
    <w:rsid w:val="00CE0657"/>
    <w:rsid w:val="00CE134C"/>
    <w:rsid w:val="00CE2F20"/>
    <w:rsid w:val="00CE3785"/>
    <w:rsid w:val="00CE3B3E"/>
    <w:rsid w:val="00CE3EDF"/>
    <w:rsid w:val="00CE5F0E"/>
    <w:rsid w:val="00CF01CD"/>
    <w:rsid w:val="00CF05ED"/>
    <w:rsid w:val="00CF1530"/>
    <w:rsid w:val="00CF6C29"/>
    <w:rsid w:val="00CF72F5"/>
    <w:rsid w:val="00D01545"/>
    <w:rsid w:val="00D02B71"/>
    <w:rsid w:val="00D14255"/>
    <w:rsid w:val="00D153D4"/>
    <w:rsid w:val="00D16098"/>
    <w:rsid w:val="00D17BCE"/>
    <w:rsid w:val="00D20C7E"/>
    <w:rsid w:val="00D23C19"/>
    <w:rsid w:val="00D241BC"/>
    <w:rsid w:val="00D25AB2"/>
    <w:rsid w:val="00D30A84"/>
    <w:rsid w:val="00D30E9F"/>
    <w:rsid w:val="00D31D26"/>
    <w:rsid w:val="00D33E0D"/>
    <w:rsid w:val="00D346AB"/>
    <w:rsid w:val="00D3618B"/>
    <w:rsid w:val="00D3646B"/>
    <w:rsid w:val="00D36C6D"/>
    <w:rsid w:val="00D36DD4"/>
    <w:rsid w:val="00D3701B"/>
    <w:rsid w:val="00D379C0"/>
    <w:rsid w:val="00D37C97"/>
    <w:rsid w:val="00D37D12"/>
    <w:rsid w:val="00D41D15"/>
    <w:rsid w:val="00D42513"/>
    <w:rsid w:val="00D44DF6"/>
    <w:rsid w:val="00D460FE"/>
    <w:rsid w:val="00D47D0F"/>
    <w:rsid w:val="00D509E5"/>
    <w:rsid w:val="00D537B2"/>
    <w:rsid w:val="00D56B92"/>
    <w:rsid w:val="00D6327C"/>
    <w:rsid w:val="00D63801"/>
    <w:rsid w:val="00D656DA"/>
    <w:rsid w:val="00D66175"/>
    <w:rsid w:val="00D67085"/>
    <w:rsid w:val="00D760BA"/>
    <w:rsid w:val="00D764BE"/>
    <w:rsid w:val="00D812F1"/>
    <w:rsid w:val="00D814DE"/>
    <w:rsid w:val="00D84E91"/>
    <w:rsid w:val="00D9315A"/>
    <w:rsid w:val="00D938F5"/>
    <w:rsid w:val="00D93D01"/>
    <w:rsid w:val="00D94C12"/>
    <w:rsid w:val="00D95635"/>
    <w:rsid w:val="00D95C4D"/>
    <w:rsid w:val="00D96D5A"/>
    <w:rsid w:val="00DA02E1"/>
    <w:rsid w:val="00DA3815"/>
    <w:rsid w:val="00DA3FFC"/>
    <w:rsid w:val="00DA434B"/>
    <w:rsid w:val="00DA43FF"/>
    <w:rsid w:val="00DA4DDD"/>
    <w:rsid w:val="00DA6625"/>
    <w:rsid w:val="00DA6EDC"/>
    <w:rsid w:val="00DA7B38"/>
    <w:rsid w:val="00DB1A1D"/>
    <w:rsid w:val="00DB24DB"/>
    <w:rsid w:val="00DB2C75"/>
    <w:rsid w:val="00DB4C5C"/>
    <w:rsid w:val="00DB6966"/>
    <w:rsid w:val="00DC13AB"/>
    <w:rsid w:val="00DC3E47"/>
    <w:rsid w:val="00DC4C5F"/>
    <w:rsid w:val="00DC4CA9"/>
    <w:rsid w:val="00DC658B"/>
    <w:rsid w:val="00DC766D"/>
    <w:rsid w:val="00DD04BB"/>
    <w:rsid w:val="00DD2128"/>
    <w:rsid w:val="00DD26CC"/>
    <w:rsid w:val="00DD3F8C"/>
    <w:rsid w:val="00DD43A0"/>
    <w:rsid w:val="00DD5D1E"/>
    <w:rsid w:val="00DD61BA"/>
    <w:rsid w:val="00DD649A"/>
    <w:rsid w:val="00DE01EE"/>
    <w:rsid w:val="00DE25F1"/>
    <w:rsid w:val="00DE50B4"/>
    <w:rsid w:val="00DE5FBD"/>
    <w:rsid w:val="00DE6787"/>
    <w:rsid w:val="00DF188A"/>
    <w:rsid w:val="00DF19EE"/>
    <w:rsid w:val="00DF2CE8"/>
    <w:rsid w:val="00DF3C85"/>
    <w:rsid w:val="00DF6C04"/>
    <w:rsid w:val="00DF7585"/>
    <w:rsid w:val="00E001C0"/>
    <w:rsid w:val="00E005B2"/>
    <w:rsid w:val="00E02FB2"/>
    <w:rsid w:val="00E05383"/>
    <w:rsid w:val="00E0678B"/>
    <w:rsid w:val="00E06BC1"/>
    <w:rsid w:val="00E06CD4"/>
    <w:rsid w:val="00E0711D"/>
    <w:rsid w:val="00E11CBB"/>
    <w:rsid w:val="00E12691"/>
    <w:rsid w:val="00E12B97"/>
    <w:rsid w:val="00E149D0"/>
    <w:rsid w:val="00E1634B"/>
    <w:rsid w:val="00E206ED"/>
    <w:rsid w:val="00E20811"/>
    <w:rsid w:val="00E237DC"/>
    <w:rsid w:val="00E2512A"/>
    <w:rsid w:val="00E257C6"/>
    <w:rsid w:val="00E2629A"/>
    <w:rsid w:val="00E26F14"/>
    <w:rsid w:val="00E27020"/>
    <w:rsid w:val="00E30837"/>
    <w:rsid w:val="00E311B7"/>
    <w:rsid w:val="00E33321"/>
    <w:rsid w:val="00E3517A"/>
    <w:rsid w:val="00E35C5E"/>
    <w:rsid w:val="00E36644"/>
    <w:rsid w:val="00E378FA"/>
    <w:rsid w:val="00E37B19"/>
    <w:rsid w:val="00E40B06"/>
    <w:rsid w:val="00E40C72"/>
    <w:rsid w:val="00E4537D"/>
    <w:rsid w:val="00E454B4"/>
    <w:rsid w:val="00E4575C"/>
    <w:rsid w:val="00E459E5"/>
    <w:rsid w:val="00E46319"/>
    <w:rsid w:val="00E46FC6"/>
    <w:rsid w:val="00E47D00"/>
    <w:rsid w:val="00E507D6"/>
    <w:rsid w:val="00E51848"/>
    <w:rsid w:val="00E54DF1"/>
    <w:rsid w:val="00E553C5"/>
    <w:rsid w:val="00E5577D"/>
    <w:rsid w:val="00E55AE4"/>
    <w:rsid w:val="00E55E7E"/>
    <w:rsid w:val="00E563D8"/>
    <w:rsid w:val="00E56B73"/>
    <w:rsid w:val="00E60C01"/>
    <w:rsid w:val="00E62017"/>
    <w:rsid w:val="00E623A5"/>
    <w:rsid w:val="00E63A64"/>
    <w:rsid w:val="00E64075"/>
    <w:rsid w:val="00E64472"/>
    <w:rsid w:val="00E64577"/>
    <w:rsid w:val="00E673E6"/>
    <w:rsid w:val="00E712DC"/>
    <w:rsid w:val="00E7139D"/>
    <w:rsid w:val="00E72FD1"/>
    <w:rsid w:val="00E741C6"/>
    <w:rsid w:val="00E750D6"/>
    <w:rsid w:val="00E761D9"/>
    <w:rsid w:val="00E839F2"/>
    <w:rsid w:val="00E83B6A"/>
    <w:rsid w:val="00E83F35"/>
    <w:rsid w:val="00E84642"/>
    <w:rsid w:val="00E85BD1"/>
    <w:rsid w:val="00E87AC5"/>
    <w:rsid w:val="00E909A2"/>
    <w:rsid w:val="00E91F60"/>
    <w:rsid w:val="00E92C2C"/>
    <w:rsid w:val="00E92CD7"/>
    <w:rsid w:val="00E9302B"/>
    <w:rsid w:val="00E94EC8"/>
    <w:rsid w:val="00E95115"/>
    <w:rsid w:val="00E96407"/>
    <w:rsid w:val="00E96B97"/>
    <w:rsid w:val="00E96BD7"/>
    <w:rsid w:val="00EA037F"/>
    <w:rsid w:val="00EA11F8"/>
    <w:rsid w:val="00EA13B5"/>
    <w:rsid w:val="00EA221B"/>
    <w:rsid w:val="00EA25C7"/>
    <w:rsid w:val="00EA26CF"/>
    <w:rsid w:val="00EA2900"/>
    <w:rsid w:val="00EA38B6"/>
    <w:rsid w:val="00EA3C73"/>
    <w:rsid w:val="00EA4185"/>
    <w:rsid w:val="00EA689F"/>
    <w:rsid w:val="00EA6A8C"/>
    <w:rsid w:val="00EA72A9"/>
    <w:rsid w:val="00EB0615"/>
    <w:rsid w:val="00EB0FD8"/>
    <w:rsid w:val="00EB1D98"/>
    <w:rsid w:val="00EB22B5"/>
    <w:rsid w:val="00EB272E"/>
    <w:rsid w:val="00EB2D4C"/>
    <w:rsid w:val="00EB30A0"/>
    <w:rsid w:val="00EB3A65"/>
    <w:rsid w:val="00EB640C"/>
    <w:rsid w:val="00EB6693"/>
    <w:rsid w:val="00EC1816"/>
    <w:rsid w:val="00EC1A99"/>
    <w:rsid w:val="00EC2428"/>
    <w:rsid w:val="00EC2F7C"/>
    <w:rsid w:val="00EC4264"/>
    <w:rsid w:val="00EC5311"/>
    <w:rsid w:val="00EC59D3"/>
    <w:rsid w:val="00EC692C"/>
    <w:rsid w:val="00EC6E09"/>
    <w:rsid w:val="00EC7316"/>
    <w:rsid w:val="00ED0D85"/>
    <w:rsid w:val="00ED1897"/>
    <w:rsid w:val="00ED20EA"/>
    <w:rsid w:val="00ED3583"/>
    <w:rsid w:val="00ED4AFC"/>
    <w:rsid w:val="00ED51DC"/>
    <w:rsid w:val="00ED671E"/>
    <w:rsid w:val="00EE072E"/>
    <w:rsid w:val="00EE15A1"/>
    <w:rsid w:val="00EE3473"/>
    <w:rsid w:val="00EE3D84"/>
    <w:rsid w:val="00EF187A"/>
    <w:rsid w:val="00EF2AEB"/>
    <w:rsid w:val="00EF2CBE"/>
    <w:rsid w:val="00EF4735"/>
    <w:rsid w:val="00EF5A2C"/>
    <w:rsid w:val="00EF6F21"/>
    <w:rsid w:val="00EF7871"/>
    <w:rsid w:val="00F00002"/>
    <w:rsid w:val="00F01ED1"/>
    <w:rsid w:val="00F02530"/>
    <w:rsid w:val="00F02BCE"/>
    <w:rsid w:val="00F0314B"/>
    <w:rsid w:val="00F05559"/>
    <w:rsid w:val="00F06C6E"/>
    <w:rsid w:val="00F06F65"/>
    <w:rsid w:val="00F07AE1"/>
    <w:rsid w:val="00F1065C"/>
    <w:rsid w:val="00F10692"/>
    <w:rsid w:val="00F20513"/>
    <w:rsid w:val="00F219AF"/>
    <w:rsid w:val="00F229F7"/>
    <w:rsid w:val="00F22B4C"/>
    <w:rsid w:val="00F23591"/>
    <w:rsid w:val="00F24830"/>
    <w:rsid w:val="00F24F96"/>
    <w:rsid w:val="00F316BD"/>
    <w:rsid w:val="00F31CF2"/>
    <w:rsid w:val="00F3226A"/>
    <w:rsid w:val="00F32E0B"/>
    <w:rsid w:val="00F33C62"/>
    <w:rsid w:val="00F34E17"/>
    <w:rsid w:val="00F353FE"/>
    <w:rsid w:val="00F35F53"/>
    <w:rsid w:val="00F36C53"/>
    <w:rsid w:val="00F36F65"/>
    <w:rsid w:val="00F40E6F"/>
    <w:rsid w:val="00F41882"/>
    <w:rsid w:val="00F46447"/>
    <w:rsid w:val="00F54142"/>
    <w:rsid w:val="00F573B4"/>
    <w:rsid w:val="00F578D2"/>
    <w:rsid w:val="00F6005B"/>
    <w:rsid w:val="00F6060C"/>
    <w:rsid w:val="00F64AB8"/>
    <w:rsid w:val="00F6511D"/>
    <w:rsid w:val="00F673B7"/>
    <w:rsid w:val="00F70011"/>
    <w:rsid w:val="00F70CF8"/>
    <w:rsid w:val="00F75439"/>
    <w:rsid w:val="00F76392"/>
    <w:rsid w:val="00F77FCD"/>
    <w:rsid w:val="00F81585"/>
    <w:rsid w:val="00F81DFE"/>
    <w:rsid w:val="00F85578"/>
    <w:rsid w:val="00F85A4F"/>
    <w:rsid w:val="00F86558"/>
    <w:rsid w:val="00F865F1"/>
    <w:rsid w:val="00F86670"/>
    <w:rsid w:val="00F91F56"/>
    <w:rsid w:val="00F92300"/>
    <w:rsid w:val="00F92406"/>
    <w:rsid w:val="00F92876"/>
    <w:rsid w:val="00F941F3"/>
    <w:rsid w:val="00F94A41"/>
    <w:rsid w:val="00F95715"/>
    <w:rsid w:val="00F96821"/>
    <w:rsid w:val="00F969CD"/>
    <w:rsid w:val="00F9747E"/>
    <w:rsid w:val="00FA0273"/>
    <w:rsid w:val="00FA076F"/>
    <w:rsid w:val="00FA0DC7"/>
    <w:rsid w:val="00FA11D9"/>
    <w:rsid w:val="00FA21E7"/>
    <w:rsid w:val="00FA59E0"/>
    <w:rsid w:val="00FB008A"/>
    <w:rsid w:val="00FB0530"/>
    <w:rsid w:val="00FB06D4"/>
    <w:rsid w:val="00FB0FD6"/>
    <w:rsid w:val="00FB2D8C"/>
    <w:rsid w:val="00FB3C6C"/>
    <w:rsid w:val="00FB45CA"/>
    <w:rsid w:val="00FB5D57"/>
    <w:rsid w:val="00FC02FD"/>
    <w:rsid w:val="00FC0BCD"/>
    <w:rsid w:val="00FC14DF"/>
    <w:rsid w:val="00FC3428"/>
    <w:rsid w:val="00FC50DC"/>
    <w:rsid w:val="00FC765E"/>
    <w:rsid w:val="00FC7710"/>
    <w:rsid w:val="00FC7F35"/>
    <w:rsid w:val="00FD0496"/>
    <w:rsid w:val="00FD0EC9"/>
    <w:rsid w:val="00FD41A0"/>
    <w:rsid w:val="00FD422A"/>
    <w:rsid w:val="00FD46F2"/>
    <w:rsid w:val="00FD56E5"/>
    <w:rsid w:val="00FD6FCF"/>
    <w:rsid w:val="00FD7282"/>
    <w:rsid w:val="00FD7303"/>
    <w:rsid w:val="00FE0C0A"/>
    <w:rsid w:val="00FE14FA"/>
    <w:rsid w:val="00FE2697"/>
    <w:rsid w:val="00FE26AA"/>
    <w:rsid w:val="00FE27ED"/>
    <w:rsid w:val="00FE3403"/>
    <w:rsid w:val="00FE44B6"/>
    <w:rsid w:val="00FE57B0"/>
    <w:rsid w:val="00FE678A"/>
    <w:rsid w:val="00FE681F"/>
    <w:rsid w:val="00FE7075"/>
    <w:rsid w:val="00FF1A23"/>
    <w:rsid w:val="00FF2A30"/>
    <w:rsid w:val="00FF38B6"/>
    <w:rsid w:val="00FF4C26"/>
    <w:rsid w:val="00FF7847"/>
    <w:rsid w:val="00FF7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3990C19-CAFE-4B5F-AEAC-B5B6DDC9E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7F2"/>
    <w:pPr>
      <w:suppressAutoHyphens/>
    </w:pPr>
    <w:rPr>
      <w:rFonts w:ascii="Arial" w:hAnsi="Arial"/>
      <w:sz w:val="24"/>
      <w:szCs w:val="24"/>
      <w:lang w:val="en-GB" w:eastAsia="en-GB"/>
    </w:rPr>
  </w:style>
  <w:style w:type="paragraph" w:styleId="Heading1">
    <w:name w:val="heading 1"/>
    <w:basedOn w:val="Normal"/>
    <w:next w:val="Normal"/>
    <w:qFormat/>
    <w:rsid w:val="00D36C6D"/>
    <w:pPr>
      <w:keepNext/>
      <w:keepLines/>
      <w:tabs>
        <w:tab w:val="left" w:pos="0"/>
      </w:tabs>
      <w:outlineLvl w:val="0"/>
    </w:pPr>
  </w:style>
  <w:style w:type="paragraph" w:styleId="Heading2">
    <w:name w:val="heading 2"/>
    <w:basedOn w:val="Normal"/>
    <w:next w:val="Normal"/>
    <w:qFormat/>
    <w:rsid w:val="00D36C6D"/>
    <w:pPr>
      <w:keepNext/>
      <w:keepLines/>
      <w:tabs>
        <w:tab w:val="left" w:pos="0"/>
      </w:tabs>
      <w:outlineLvl w:val="1"/>
    </w:pPr>
    <w:rPr>
      <w:b/>
    </w:rPr>
  </w:style>
  <w:style w:type="paragraph" w:styleId="Heading3">
    <w:name w:val="heading 3"/>
    <w:basedOn w:val="Normal"/>
    <w:next w:val="Normal"/>
    <w:qFormat/>
    <w:rsid w:val="00D36C6D"/>
    <w:pPr>
      <w:keepNext/>
      <w:tabs>
        <w:tab w:val="left" w:pos="0"/>
      </w:tabs>
      <w:spacing w:line="360" w:lineRule="auto"/>
      <w:ind w:left="1440"/>
      <w:jc w:val="right"/>
      <w:outlineLvl w:val="2"/>
    </w:pPr>
    <w:rPr>
      <w:b/>
    </w:rPr>
  </w:style>
  <w:style w:type="paragraph" w:styleId="Heading4">
    <w:name w:val="heading 4"/>
    <w:basedOn w:val="Normal"/>
    <w:next w:val="Normal"/>
    <w:qFormat/>
    <w:rsid w:val="00D36C6D"/>
    <w:pPr>
      <w:keepNext/>
      <w:tabs>
        <w:tab w:val="left" w:pos="0"/>
      </w:tabs>
      <w:spacing w:line="360" w:lineRule="auto"/>
      <w:ind w:left="1440"/>
      <w:outlineLvl w:val="3"/>
    </w:pPr>
  </w:style>
  <w:style w:type="paragraph" w:styleId="Heading5">
    <w:name w:val="heading 5"/>
    <w:basedOn w:val="Normal"/>
    <w:next w:val="Normal"/>
    <w:qFormat/>
    <w:rsid w:val="00D36C6D"/>
    <w:pPr>
      <w:keepNext/>
      <w:ind w:left="1440"/>
      <w:jc w:val="right"/>
      <w:outlineLvl w:val="4"/>
    </w:pPr>
    <w:rPr>
      <w:b/>
    </w:rPr>
  </w:style>
  <w:style w:type="paragraph" w:styleId="Heading6">
    <w:name w:val="heading 6"/>
    <w:basedOn w:val="Normal"/>
    <w:next w:val="Normal"/>
    <w:qFormat/>
    <w:rsid w:val="00D36C6D"/>
    <w:pPr>
      <w:keepNext/>
      <w:keepLines/>
      <w:tabs>
        <w:tab w:val="left" w:pos="0"/>
      </w:tabs>
      <w:jc w:val="right"/>
      <w:outlineLvl w:val="5"/>
    </w:pPr>
    <w:rPr>
      <w:b/>
    </w:rPr>
  </w:style>
  <w:style w:type="paragraph" w:styleId="Heading7">
    <w:name w:val="heading 7"/>
    <w:basedOn w:val="Normal"/>
    <w:next w:val="Normal"/>
    <w:qFormat/>
    <w:rsid w:val="00D36C6D"/>
    <w:pPr>
      <w:keepNext/>
      <w:keepLines/>
      <w:tabs>
        <w:tab w:val="left" w:pos="0"/>
      </w:tabs>
      <w:jc w:val="right"/>
      <w:outlineLvl w:val="6"/>
    </w:pPr>
  </w:style>
  <w:style w:type="paragraph" w:styleId="Heading8">
    <w:name w:val="heading 8"/>
    <w:basedOn w:val="Normal"/>
    <w:next w:val="Normal"/>
    <w:qFormat/>
    <w:rsid w:val="00D36C6D"/>
    <w:pPr>
      <w:keepNext/>
      <w:keepLines/>
      <w:tabs>
        <w:tab w:val="left" w:pos="0"/>
      </w:tabs>
      <w:ind w:right="-899"/>
      <w:jc w:val="right"/>
      <w:outlineLvl w:val="7"/>
    </w:pPr>
  </w:style>
  <w:style w:type="paragraph" w:styleId="Heading9">
    <w:name w:val="heading 9"/>
    <w:basedOn w:val="Normal"/>
    <w:next w:val="Normal"/>
    <w:qFormat/>
    <w:rsid w:val="00D36C6D"/>
    <w:pPr>
      <w:keepNext/>
      <w:tabs>
        <w:tab w:val="left" w:pos="-720"/>
      </w:tabs>
      <w:spacing w:line="360" w:lineRule="auto"/>
      <w:jc w:val="both"/>
      <w:outlineLvl w:val="8"/>
    </w:pPr>
    <w:rPr>
      <w:b/>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22270"/>
    <w:pPr>
      <w:tabs>
        <w:tab w:val="left" w:pos="340"/>
      </w:tabs>
      <w:spacing w:after="60"/>
      <w:ind w:left="340" w:hanging="340"/>
      <w:jc w:val="both"/>
    </w:pPr>
    <w:rPr>
      <w:sz w:val="20"/>
      <w:szCs w:val="20"/>
    </w:rPr>
  </w:style>
  <w:style w:type="character" w:styleId="EndnoteReference">
    <w:name w:val="endnote reference"/>
    <w:semiHidden/>
    <w:rsid w:val="00422270"/>
    <w:rPr>
      <w:rFonts w:cs="Times New Roman"/>
      <w:vertAlign w:val="superscript"/>
    </w:rPr>
  </w:style>
  <w:style w:type="paragraph" w:styleId="FootnoteText">
    <w:name w:val="footnote text"/>
    <w:basedOn w:val="Normal"/>
    <w:link w:val="FootnoteTextChar"/>
    <w:semiHidden/>
    <w:rsid w:val="00422270"/>
    <w:pPr>
      <w:tabs>
        <w:tab w:val="left" w:pos="340"/>
      </w:tabs>
      <w:spacing w:after="60"/>
      <w:ind w:left="340" w:hanging="340"/>
      <w:jc w:val="both"/>
    </w:pPr>
    <w:rPr>
      <w:sz w:val="18"/>
      <w:szCs w:val="20"/>
    </w:rPr>
  </w:style>
  <w:style w:type="character" w:styleId="FootnoteReference">
    <w:name w:val="footnote reference"/>
    <w:semiHidden/>
    <w:rsid w:val="00422270"/>
    <w:rPr>
      <w:rFonts w:cs="Times New Roman"/>
      <w:sz w:val="22"/>
      <w:vertAlign w:val="superscript"/>
    </w:rPr>
  </w:style>
  <w:style w:type="paragraph" w:styleId="TOC1">
    <w:name w:val="toc 1"/>
    <w:basedOn w:val="Normal"/>
    <w:next w:val="Normal"/>
    <w:autoRedefine/>
    <w:semiHidden/>
    <w:rsid w:val="00422270"/>
    <w:pPr>
      <w:tabs>
        <w:tab w:val="left" w:pos="567"/>
        <w:tab w:val="right" w:leader="dot" w:pos="8448"/>
      </w:tabs>
      <w:spacing w:before="120"/>
      <w:jc w:val="both"/>
    </w:pPr>
    <w:rPr>
      <w:caps/>
    </w:rPr>
  </w:style>
  <w:style w:type="paragraph" w:styleId="TOC2">
    <w:name w:val="toc 2"/>
    <w:basedOn w:val="Normal"/>
    <w:next w:val="Normal"/>
    <w:autoRedefine/>
    <w:semiHidden/>
    <w:rsid w:val="00422270"/>
    <w:pPr>
      <w:tabs>
        <w:tab w:val="left" w:pos="1134"/>
        <w:tab w:val="right" w:leader="dot" w:pos="8448"/>
      </w:tabs>
      <w:spacing w:before="120"/>
      <w:jc w:val="both"/>
    </w:pPr>
  </w:style>
  <w:style w:type="paragraph" w:styleId="TOC3">
    <w:name w:val="toc 3"/>
    <w:basedOn w:val="Normal"/>
    <w:next w:val="Normal"/>
    <w:autoRedefine/>
    <w:semiHidden/>
    <w:rsid w:val="00422270"/>
    <w:pPr>
      <w:tabs>
        <w:tab w:val="left" w:pos="1701"/>
        <w:tab w:val="right" w:leader="dot" w:pos="8448"/>
      </w:tabs>
      <w:spacing w:before="120"/>
      <w:jc w:val="both"/>
    </w:pPr>
  </w:style>
  <w:style w:type="paragraph" w:styleId="TOC4">
    <w:name w:val="toc 4"/>
    <w:basedOn w:val="Normal"/>
    <w:next w:val="Normal"/>
    <w:autoRedefine/>
    <w:semiHidden/>
    <w:rsid w:val="00422270"/>
    <w:pPr>
      <w:tabs>
        <w:tab w:val="left" w:pos="2041"/>
        <w:tab w:val="right" w:leader="dot" w:pos="8448"/>
      </w:tabs>
      <w:spacing w:before="120"/>
      <w:jc w:val="both"/>
    </w:pPr>
  </w:style>
  <w:style w:type="paragraph" w:styleId="TOC5">
    <w:name w:val="toc 5"/>
    <w:basedOn w:val="Normal"/>
    <w:next w:val="Normal"/>
    <w:autoRedefine/>
    <w:semiHidden/>
    <w:rsid w:val="00D36C6D"/>
    <w:pPr>
      <w:tabs>
        <w:tab w:val="right" w:leader="dot" w:pos="9360"/>
      </w:tabs>
      <w:ind w:left="3600" w:right="720" w:hanging="720"/>
    </w:pPr>
  </w:style>
  <w:style w:type="paragraph" w:styleId="TOC6">
    <w:name w:val="toc 6"/>
    <w:basedOn w:val="Normal"/>
    <w:next w:val="Normal"/>
    <w:autoRedefine/>
    <w:semiHidden/>
    <w:rsid w:val="00D36C6D"/>
    <w:pPr>
      <w:tabs>
        <w:tab w:val="right" w:pos="9360"/>
      </w:tabs>
      <w:ind w:left="720" w:hanging="720"/>
    </w:pPr>
  </w:style>
  <w:style w:type="paragraph" w:styleId="TOC7">
    <w:name w:val="toc 7"/>
    <w:basedOn w:val="Normal"/>
    <w:next w:val="Normal"/>
    <w:autoRedefine/>
    <w:semiHidden/>
    <w:rsid w:val="00D36C6D"/>
    <w:pPr>
      <w:ind w:left="720" w:hanging="720"/>
    </w:pPr>
  </w:style>
  <w:style w:type="paragraph" w:styleId="TOC8">
    <w:name w:val="toc 8"/>
    <w:basedOn w:val="Normal"/>
    <w:next w:val="Normal"/>
    <w:autoRedefine/>
    <w:semiHidden/>
    <w:rsid w:val="00D36C6D"/>
    <w:pPr>
      <w:tabs>
        <w:tab w:val="right" w:pos="9360"/>
      </w:tabs>
      <w:ind w:left="720" w:hanging="720"/>
    </w:pPr>
  </w:style>
  <w:style w:type="paragraph" w:styleId="TOC9">
    <w:name w:val="toc 9"/>
    <w:basedOn w:val="Normal"/>
    <w:next w:val="Normal"/>
    <w:autoRedefine/>
    <w:semiHidden/>
    <w:rsid w:val="00D36C6D"/>
    <w:pPr>
      <w:tabs>
        <w:tab w:val="right" w:leader="dot" w:pos="9360"/>
      </w:tabs>
      <w:ind w:left="720" w:hanging="720"/>
    </w:pPr>
  </w:style>
  <w:style w:type="paragraph" w:styleId="Index1">
    <w:name w:val="index 1"/>
    <w:basedOn w:val="Normal"/>
    <w:next w:val="Normal"/>
    <w:autoRedefine/>
    <w:semiHidden/>
    <w:rsid w:val="00D36C6D"/>
    <w:pPr>
      <w:tabs>
        <w:tab w:val="right" w:leader="dot" w:pos="9360"/>
      </w:tabs>
      <w:ind w:left="1440" w:right="720" w:hanging="1440"/>
    </w:pPr>
  </w:style>
  <w:style w:type="paragraph" w:styleId="Index2">
    <w:name w:val="index 2"/>
    <w:basedOn w:val="Normal"/>
    <w:next w:val="Normal"/>
    <w:autoRedefine/>
    <w:semiHidden/>
    <w:rsid w:val="00D36C6D"/>
    <w:pPr>
      <w:tabs>
        <w:tab w:val="right" w:leader="dot" w:pos="9360"/>
      </w:tabs>
      <w:ind w:left="1440" w:right="720" w:hanging="720"/>
    </w:pPr>
  </w:style>
  <w:style w:type="paragraph" w:styleId="TOAHeading">
    <w:name w:val="toa heading"/>
    <w:basedOn w:val="Normal"/>
    <w:next w:val="Normal"/>
    <w:semiHidden/>
    <w:rsid w:val="00D36C6D"/>
    <w:pPr>
      <w:tabs>
        <w:tab w:val="right" w:pos="9360"/>
      </w:tabs>
    </w:pPr>
  </w:style>
  <w:style w:type="paragraph" w:styleId="Caption">
    <w:name w:val="caption"/>
    <w:basedOn w:val="Normal"/>
    <w:next w:val="Normal"/>
    <w:qFormat/>
    <w:rsid w:val="00D36C6D"/>
  </w:style>
  <w:style w:type="character" w:customStyle="1" w:styleId="EquationCaption">
    <w:name w:val="_Equation Caption"/>
    <w:rsid w:val="00D36C6D"/>
  </w:style>
  <w:style w:type="paragraph" w:styleId="BodyTextIndent">
    <w:name w:val="Body Text Indent"/>
    <w:basedOn w:val="Normal"/>
    <w:rsid w:val="00D36C6D"/>
    <w:pPr>
      <w:tabs>
        <w:tab w:val="left" w:pos="0"/>
      </w:tabs>
      <w:ind w:left="720"/>
    </w:pPr>
  </w:style>
  <w:style w:type="paragraph" w:styleId="Header">
    <w:name w:val="header"/>
    <w:basedOn w:val="Normal"/>
    <w:link w:val="HeaderChar"/>
    <w:uiPriority w:val="99"/>
    <w:rsid w:val="00422270"/>
    <w:pPr>
      <w:tabs>
        <w:tab w:val="center" w:pos="4253"/>
        <w:tab w:val="right" w:pos="8505"/>
      </w:tabs>
      <w:jc w:val="both"/>
    </w:pPr>
  </w:style>
  <w:style w:type="character" w:styleId="PageNumber">
    <w:name w:val="page number"/>
    <w:semiHidden/>
    <w:rsid w:val="00422270"/>
    <w:rPr>
      <w:rFonts w:cs="Times New Roman"/>
      <w:sz w:val="22"/>
    </w:rPr>
  </w:style>
  <w:style w:type="paragraph" w:styleId="BodyTextIndent2">
    <w:name w:val="Body Text Indent 2"/>
    <w:basedOn w:val="Normal"/>
    <w:rsid w:val="00D36C6D"/>
    <w:pPr>
      <w:tabs>
        <w:tab w:val="left" w:pos="0"/>
      </w:tabs>
      <w:spacing w:line="360" w:lineRule="auto"/>
      <w:ind w:left="1440"/>
    </w:pPr>
  </w:style>
  <w:style w:type="paragraph" w:styleId="BodyText">
    <w:name w:val="Body Text"/>
    <w:basedOn w:val="Normal"/>
    <w:rsid w:val="00D36C6D"/>
    <w:pPr>
      <w:tabs>
        <w:tab w:val="left" w:pos="-720"/>
        <w:tab w:val="left" w:pos="0"/>
      </w:tabs>
      <w:spacing w:line="480" w:lineRule="auto"/>
      <w:jc w:val="both"/>
    </w:pPr>
    <w:rPr>
      <w:spacing w:val="-3"/>
    </w:rPr>
  </w:style>
  <w:style w:type="paragraph" w:styleId="BodyText2">
    <w:name w:val="Body Text 2"/>
    <w:basedOn w:val="Normal"/>
    <w:rsid w:val="00D36C6D"/>
    <w:pPr>
      <w:tabs>
        <w:tab w:val="left" w:pos="-720"/>
        <w:tab w:val="left" w:pos="0"/>
      </w:tabs>
      <w:spacing w:line="480" w:lineRule="auto"/>
      <w:jc w:val="both"/>
    </w:pPr>
    <w:rPr>
      <w:i/>
      <w:spacing w:val="-3"/>
      <w:sz w:val="28"/>
    </w:rPr>
  </w:style>
  <w:style w:type="paragraph" w:styleId="Footer">
    <w:name w:val="footer"/>
    <w:basedOn w:val="Normal"/>
    <w:semiHidden/>
    <w:rsid w:val="00422270"/>
    <w:pPr>
      <w:tabs>
        <w:tab w:val="center" w:pos="4253"/>
        <w:tab w:val="right" w:pos="8505"/>
      </w:tabs>
      <w:jc w:val="both"/>
    </w:pPr>
  </w:style>
  <w:style w:type="character" w:customStyle="1" w:styleId="Filename">
    <w:name w:val="Filename"/>
    <w:semiHidden/>
    <w:rsid w:val="00422270"/>
    <w:rPr>
      <w:rFonts w:cs="Times New Roman"/>
      <w:sz w:val="13"/>
    </w:rPr>
  </w:style>
  <w:style w:type="paragraph" w:customStyle="1" w:styleId="LegalList1">
    <w:name w:val="Legal_List1"/>
    <w:basedOn w:val="LegalHeading1"/>
    <w:semiHidden/>
    <w:rsid w:val="00422270"/>
    <w:pPr>
      <w:keepNext w:val="0"/>
      <w:spacing w:before="0"/>
    </w:pPr>
    <w:rPr>
      <w:b w:val="0"/>
      <w:caps w:val="0"/>
    </w:rPr>
  </w:style>
  <w:style w:type="paragraph" w:customStyle="1" w:styleId="LegalAnnexList1">
    <w:name w:val="Legal_AnnexList1"/>
    <w:basedOn w:val="LegalNormal"/>
    <w:semiHidden/>
    <w:rsid w:val="00422270"/>
    <w:pPr>
      <w:numPr>
        <w:numId w:val="1"/>
      </w:numPr>
      <w:outlineLvl w:val="0"/>
    </w:pPr>
  </w:style>
  <w:style w:type="paragraph" w:customStyle="1" w:styleId="LegalAnnexList2">
    <w:name w:val="Legal_AnnexList2"/>
    <w:basedOn w:val="LegalNormal"/>
    <w:semiHidden/>
    <w:rsid w:val="00422270"/>
    <w:pPr>
      <w:numPr>
        <w:ilvl w:val="1"/>
        <w:numId w:val="1"/>
      </w:numPr>
      <w:tabs>
        <w:tab w:val="left" w:pos="3402"/>
        <w:tab w:val="left" w:pos="3969"/>
      </w:tabs>
      <w:outlineLvl w:val="1"/>
    </w:pPr>
  </w:style>
  <w:style w:type="paragraph" w:customStyle="1" w:styleId="LegalAnnexList3">
    <w:name w:val="Legal_AnnexList3"/>
    <w:basedOn w:val="LegalNormal"/>
    <w:semiHidden/>
    <w:rsid w:val="00422270"/>
    <w:pPr>
      <w:numPr>
        <w:ilvl w:val="2"/>
        <w:numId w:val="1"/>
      </w:numPr>
      <w:tabs>
        <w:tab w:val="left" w:pos="3969"/>
        <w:tab w:val="left" w:pos="4536"/>
      </w:tabs>
      <w:outlineLvl w:val="2"/>
    </w:pPr>
  </w:style>
  <w:style w:type="paragraph" w:customStyle="1" w:styleId="LegalAnnexList4">
    <w:name w:val="Legal_AnnexList4"/>
    <w:basedOn w:val="LegalNormal"/>
    <w:semiHidden/>
    <w:rsid w:val="00422270"/>
    <w:pPr>
      <w:numPr>
        <w:ilvl w:val="3"/>
        <w:numId w:val="1"/>
      </w:numPr>
      <w:outlineLvl w:val="3"/>
    </w:pPr>
  </w:style>
  <w:style w:type="paragraph" w:customStyle="1" w:styleId="LegalAnnexList5">
    <w:name w:val="Legal_AnnexList5"/>
    <w:basedOn w:val="LegalNormal"/>
    <w:semiHidden/>
    <w:rsid w:val="00422270"/>
    <w:pPr>
      <w:numPr>
        <w:ilvl w:val="4"/>
        <w:numId w:val="1"/>
      </w:numPr>
      <w:outlineLvl w:val="4"/>
    </w:pPr>
  </w:style>
  <w:style w:type="paragraph" w:styleId="DocumentMap">
    <w:name w:val="Document Map"/>
    <w:basedOn w:val="Normal"/>
    <w:semiHidden/>
    <w:rsid w:val="00422270"/>
    <w:pPr>
      <w:shd w:val="clear" w:color="auto" w:fill="000080"/>
    </w:pPr>
    <w:rPr>
      <w:rFonts w:ascii="Tahoma" w:hAnsi="Tahoma" w:cs="Tahoma"/>
      <w:sz w:val="20"/>
      <w:szCs w:val="20"/>
    </w:rPr>
  </w:style>
  <w:style w:type="paragraph" w:customStyle="1" w:styleId="LegalList2">
    <w:name w:val="Legal_List2"/>
    <w:basedOn w:val="LegalHeading2"/>
    <w:semiHidden/>
    <w:rsid w:val="00422270"/>
    <w:pPr>
      <w:keepNext w:val="0"/>
    </w:pPr>
    <w:rPr>
      <w:b w:val="0"/>
    </w:rPr>
  </w:style>
  <w:style w:type="paragraph" w:customStyle="1" w:styleId="LegalAnnexure">
    <w:name w:val="Legal_Annexure"/>
    <w:basedOn w:val="LegalNormal"/>
    <w:next w:val="LegalNormal"/>
    <w:semiHidden/>
    <w:rsid w:val="00422270"/>
    <w:pPr>
      <w:keepNext/>
      <w:jc w:val="right"/>
    </w:pPr>
    <w:rPr>
      <w:b/>
      <w:caps/>
    </w:rPr>
  </w:style>
  <w:style w:type="paragraph" w:customStyle="1" w:styleId="LegalBodyText1">
    <w:name w:val="Legal_BodyText1"/>
    <w:basedOn w:val="LegalNormal"/>
    <w:semiHidden/>
    <w:rsid w:val="00422270"/>
    <w:pPr>
      <w:ind w:left="567"/>
    </w:pPr>
  </w:style>
  <w:style w:type="paragraph" w:customStyle="1" w:styleId="LegalBodyText10">
    <w:name w:val="Legal_BodyText10"/>
    <w:basedOn w:val="LegalNormal"/>
    <w:semiHidden/>
    <w:rsid w:val="00422270"/>
    <w:pPr>
      <w:ind w:left="5670"/>
    </w:pPr>
  </w:style>
  <w:style w:type="paragraph" w:customStyle="1" w:styleId="LegalBodyText2">
    <w:name w:val="Legal_BodyText2"/>
    <w:basedOn w:val="LegalNormal"/>
    <w:semiHidden/>
    <w:rsid w:val="00422270"/>
    <w:pPr>
      <w:tabs>
        <w:tab w:val="left" w:pos="3402"/>
        <w:tab w:val="left" w:pos="3969"/>
      </w:tabs>
      <w:ind w:left="1134"/>
    </w:pPr>
  </w:style>
  <w:style w:type="paragraph" w:customStyle="1" w:styleId="LegalBodyText3">
    <w:name w:val="Legal_BodyText3"/>
    <w:basedOn w:val="LegalNormal"/>
    <w:semiHidden/>
    <w:rsid w:val="00422270"/>
    <w:pPr>
      <w:tabs>
        <w:tab w:val="left" w:pos="3969"/>
        <w:tab w:val="left" w:pos="4536"/>
      </w:tabs>
      <w:ind w:left="1701"/>
    </w:pPr>
  </w:style>
  <w:style w:type="paragraph" w:customStyle="1" w:styleId="LegalBodyText4">
    <w:name w:val="Legal_BodyText4"/>
    <w:basedOn w:val="LegalNormal"/>
    <w:semiHidden/>
    <w:rsid w:val="00422270"/>
    <w:pPr>
      <w:ind w:left="2268"/>
    </w:pPr>
  </w:style>
  <w:style w:type="paragraph" w:customStyle="1" w:styleId="LegalBodyText5">
    <w:name w:val="Legal_BodyText5"/>
    <w:basedOn w:val="LegalNormal"/>
    <w:semiHidden/>
    <w:rsid w:val="00422270"/>
    <w:pPr>
      <w:ind w:left="2835"/>
    </w:pPr>
  </w:style>
  <w:style w:type="paragraph" w:customStyle="1" w:styleId="LegalBodyText6">
    <w:name w:val="Legal_BodyText6"/>
    <w:basedOn w:val="LegalNormal"/>
    <w:semiHidden/>
    <w:rsid w:val="00422270"/>
    <w:pPr>
      <w:ind w:left="3402"/>
    </w:pPr>
  </w:style>
  <w:style w:type="paragraph" w:customStyle="1" w:styleId="LegalBodyText7">
    <w:name w:val="Legal_BodyText7"/>
    <w:basedOn w:val="LegalNormal"/>
    <w:semiHidden/>
    <w:rsid w:val="00422270"/>
    <w:pPr>
      <w:ind w:left="3969"/>
    </w:pPr>
  </w:style>
  <w:style w:type="paragraph" w:customStyle="1" w:styleId="LegalBodyText8">
    <w:name w:val="Legal_BodyText8"/>
    <w:basedOn w:val="LegalNormal"/>
    <w:semiHidden/>
    <w:rsid w:val="00422270"/>
    <w:pPr>
      <w:ind w:left="4536"/>
    </w:pPr>
  </w:style>
  <w:style w:type="paragraph" w:customStyle="1" w:styleId="LegalBodyText9">
    <w:name w:val="Legal_BodyText9"/>
    <w:basedOn w:val="LegalNormal"/>
    <w:semiHidden/>
    <w:rsid w:val="00422270"/>
    <w:pPr>
      <w:ind w:left="5103"/>
    </w:pPr>
  </w:style>
  <w:style w:type="paragraph" w:customStyle="1" w:styleId="LegalHeading1">
    <w:name w:val="Legal_Heading1"/>
    <w:basedOn w:val="LegalNormal"/>
    <w:next w:val="LegalBodyText1"/>
    <w:semiHidden/>
    <w:rsid w:val="00422270"/>
    <w:pPr>
      <w:keepNext/>
      <w:numPr>
        <w:numId w:val="9"/>
      </w:numPr>
      <w:spacing w:before="480"/>
      <w:outlineLvl w:val="0"/>
    </w:pPr>
    <w:rPr>
      <w:b/>
      <w:caps/>
    </w:rPr>
  </w:style>
  <w:style w:type="paragraph" w:customStyle="1" w:styleId="LegalHeading2">
    <w:name w:val="Legal_Heading2"/>
    <w:basedOn w:val="LegalNormal"/>
    <w:next w:val="LegalBodyText2"/>
    <w:semiHidden/>
    <w:rsid w:val="00422270"/>
    <w:pPr>
      <w:keepNext/>
      <w:tabs>
        <w:tab w:val="left" w:pos="3402"/>
        <w:tab w:val="left" w:pos="3969"/>
      </w:tabs>
      <w:outlineLvl w:val="1"/>
    </w:pPr>
    <w:rPr>
      <w:b/>
    </w:rPr>
  </w:style>
  <w:style w:type="paragraph" w:customStyle="1" w:styleId="LegalHeading3">
    <w:name w:val="Legal_Heading3"/>
    <w:basedOn w:val="LegalNormal"/>
    <w:next w:val="LegalBodyText3"/>
    <w:semiHidden/>
    <w:rsid w:val="00422270"/>
    <w:pPr>
      <w:keepNext/>
      <w:numPr>
        <w:ilvl w:val="2"/>
        <w:numId w:val="9"/>
      </w:numPr>
      <w:tabs>
        <w:tab w:val="left" w:pos="3969"/>
        <w:tab w:val="left" w:pos="4536"/>
      </w:tabs>
      <w:outlineLvl w:val="2"/>
    </w:pPr>
    <w:rPr>
      <w:b/>
    </w:rPr>
  </w:style>
  <w:style w:type="paragraph" w:customStyle="1" w:styleId="LegalHeading4">
    <w:name w:val="Legal_Heading4"/>
    <w:basedOn w:val="LegalNormal"/>
    <w:next w:val="LegalBodyText4"/>
    <w:semiHidden/>
    <w:rsid w:val="00422270"/>
    <w:pPr>
      <w:keepNext/>
      <w:numPr>
        <w:ilvl w:val="3"/>
        <w:numId w:val="9"/>
      </w:numPr>
      <w:spacing w:after="240"/>
      <w:outlineLvl w:val="3"/>
    </w:pPr>
    <w:rPr>
      <w:b/>
    </w:rPr>
  </w:style>
  <w:style w:type="paragraph" w:customStyle="1" w:styleId="LegalHeading5">
    <w:name w:val="Legal_Heading5"/>
    <w:basedOn w:val="LegalNormal"/>
    <w:next w:val="LegalBodyText5"/>
    <w:semiHidden/>
    <w:rsid w:val="00422270"/>
    <w:pPr>
      <w:keepNext/>
      <w:numPr>
        <w:ilvl w:val="4"/>
        <w:numId w:val="9"/>
      </w:numPr>
      <w:spacing w:after="240"/>
      <w:outlineLvl w:val="4"/>
    </w:pPr>
    <w:rPr>
      <w:b/>
    </w:rPr>
  </w:style>
  <w:style w:type="paragraph" w:customStyle="1" w:styleId="LegalTitle">
    <w:name w:val="Legal_Title"/>
    <w:basedOn w:val="LegalNormal"/>
    <w:next w:val="LegalNormal"/>
    <w:semiHidden/>
    <w:rsid w:val="00422270"/>
    <w:pPr>
      <w:keepNext/>
      <w:jc w:val="center"/>
    </w:pPr>
    <w:rPr>
      <w:b/>
      <w:caps/>
    </w:rPr>
  </w:style>
  <w:style w:type="paragraph" w:customStyle="1" w:styleId="LegalList3">
    <w:name w:val="Legal_List3"/>
    <w:basedOn w:val="LegalHeading3"/>
    <w:semiHidden/>
    <w:rsid w:val="00422270"/>
    <w:pPr>
      <w:keepNext w:val="0"/>
    </w:pPr>
    <w:rPr>
      <w:b w:val="0"/>
    </w:rPr>
  </w:style>
  <w:style w:type="paragraph" w:customStyle="1" w:styleId="LegalAlpha">
    <w:name w:val="Legal_Alpha"/>
    <w:basedOn w:val="LegalNormal"/>
    <w:semiHidden/>
    <w:rsid w:val="00422270"/>
    <w:pPr>
      <w:keepNext/>
      <w:numPr>
        <w:numId w:val="4"/>
      </w:numPr>
    </w:pPr>
    <w:rPr>
      <w:b/>
      <w:caps/>
      <w:spacing w:val="2"/>
    </w:rPr>
  </w:style>
  <w:style w:type="paragraph" w:customStyle="1" w:styleId="LegalCitation">
    <w:name w:val="Legal_Citation"/>
    <w:basedOn w:val="LegalNormal"/>
    <w:semiHidden/>
    <w:rsid w:val="00422270"/>
    <w:pPr>
      <w:numPr>
        <w:numId w:val="3"/>
      </w:numPr>
    </w:pPr>
    <w:rPr>
      <w:spacing w:val="2"/>
    </w:rPr>
  </w:style>
  <w:style w:type="paragraph" w:customStyle="1" w:styleId="LegalList4">
    <w:name w:val="Legal_List4"/>
    <w:basedOn w:val="LegalHeading4"/>
    <w:semiHidden/>
    <w:rsid w:val="00422270"/>
    <w:pPr>
      <w:keepNext w:val="0"/>
    </w:pPr>
    <w:rPr>
      <w:b w:val="0"/>
    </w:rPr>
  </w:style>
  <w:style w:type="paragraph" w:customStyle="1" w:styleId="LegalList5">
    <w:name w:val="Legal_List5"/>
    <w:basedOn w:val="LegalHeading5"/>
    <w:semiHidden/>
    <w:rsid w:val="00422270"/>
    <w:pPr>
      <w:keepNext w:val="0"/>
    </w:pPr>
    <w:rPr>
      <w:b w:val="0"/>
    </w:rPr>
  </w:style>
  <w:style w:type="table" w:styleId="TableGrid">
    <w:name w:val="Table Grid"/>
    <w:basedOn w:val="TableNormal"/>
    <w:semiHidden/>
    <w:rsid w:val="00422270"/>
    <w:pPr>
      <w:suppressAutoHyphens/>
      <w:spacing w:before="40" w:after="40" w:line="264" w:lineRule="auto"/>
    </w:pPr>
    <w:rPr>
      <w:sz w:val="18"/>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qFormat/>
    <w:rsid w:val="00422270"/>
    <w:pPr>
      <w:keepNext/>
      <w:jc w:val="center"/>
    </w:pPr>
    <w:rPr>
      <w:rFonts w:cs="Arial"/>
      <w:b/>
      <w:bCs/>
      <w:caps/>
      <w:szCs w:val="32"/>
    </w:rPr>
  </w:style>
  <w:style w:type="character" w:styleId="CommentReference">
    <w:name w:val="annotation reference"/>
    <w:semiHidden/>
    <w:rsid w:val="00422270"/>
    <w:rPr>
      <w:rFonts w:cs="Times New Roman"/>
      <w:sz w:val="16"/>
      <w:szCs w:val="16"/>
    </w:rPr>
  </w:style>
  <w:style w:type="paragraph" w:styleId="CommentText">
    <w:name w:val="annotation text"/>
    <w:basedOn w:val="Normal"/>
    <w:semiHidden/>
    <w:rsid w:val="00422270"/>
    <w:rPr>
      <w:sz w:val="16"/>
      <w:szCs w:val="20"/>
    </w:rPr>
  </w:style>
  <w:style w:type="paragraph" w:styleId="CommentSubject">
    <w:name w:val="annotation subject"/>
    <w:basedOn w:val="CommentText"/>
    <w:next w:val="CommentText"/>
    <w:semiHidden/>
    <w:rsid w:val="00422270"/>
    <w:rPr>
      <w:b/>
      <w:bCs/>
    </w:rPr>
  </w:style>
  <w:style w:type="paragraph" w:styleId="BalloonText">
    <w:name w:val="Balloon Text"/>
    <w:basedOn w:val="Normal"/>
    <w:link w:val="BalloonTextChar"/>
    <w:semiHidden/>
    <w:rsid w:val="00422270"/>
    <w:rPr>
      <w:rFonts w:ascii="Tahoma" w:hAnsi="Tahoma" w:cs="Tahoma"/>
      <w:sz w:val="16"/>
      <w:szCs w:val="16"/>
    </w:rPr>
  </w:style>
  <w:style w:type="paragraph" w:customStyle="1" w:styleId="LegalMAINHEADING">
    <w:name w:val="Legal_MAINHEADING"/>
    <w:basedOn w:val="LegalNormal"/>
    <w:next w:val="LegalNormal"/>
    <w:semiHidden/>
    <w:rsid w:val="00422270"/>
    <w:pPr>
      <w:keepNext/>
      <w:spacing w:before="480"/>
    </w:pPr>
    <w:rPr>
      <w:b/>
      <w:caps/>
    </w:rPr>
  </w:style>
  <w:style w:type="paragraph" w:customStyle="1" w:styleId="LegalTramLines">
    <w:name w:val="Legal_TramLines"/>
    <w:basedOn w:val="LegalNormal"/>
    <w:next w:val="LegalNormal"/>
    <w:semiHidden/>
    <w:rsid w:val="00422270"/>
    <w:pPr>
      <w:pBdr>
        <w:top w:val="single" w:sz="4" w:space="18" w:color="auto"/>
        <w:bottom w:val="single" w:sz="4" w:space="18" w:color="auto"/>
      </w:pBdr>
      <w:spacing w:after="480" w:line="240" w:lineRule="auto"/>
      <w:jc w:val="center"/>
    </w:pPr>
    <w:rPr>
      <w:rFonts w:ascii="Arial Bold" w:hAnsi="Arial Bold"/>
      <w:b/>
    </w:rPr>
  </w:style>
  <w:style w:type="paragraph" w:customStyle="1" w:styleId="LegalPlainDef">
    <w:name w:val="Legal_PlainDef"/>
    <w:basedOn w:val="LegalNormal"/>
    <w:next w:val="LegalNormal"/>
    <w:semiHidden/>
    <w:rsid w:val="00422270"/>
    <w:pPr>
      <w:tabs>
        <w:tab w:val="right" w:pos="8789"/>
      </w:tabs>
    </w:pPr>
  </w:style>
  <w:style w:type="paragraph" w:customStyle="1" w:styleId="LegalNormal">
    <w:name w:val="Legal_Normal"/>
    <w:basedOn w:val="Normal"/>
    <w:rsid w:val="00422270"/>
    <w:pPr>
      <w:spacing w:after="360" w:line="480" w:lineRule="auto"/>
      <w:jc w:val="both"/>
    </w:pPr>
  </w:style>
  <w:style w:type="paragraph" w:customStyle="1" w:styleId="LegalAddressee">
    <w:name w:val="Legal_Addressee"/>
    <w:basedOn w:val="Normal"/>
    <w:next w:val="LegalNormal"/>
    <w:semiHidden/>
    <w:rsid w:val="00422270"/>
    <w:pPr>
      <w:suppressAutoHyphens w:val="0"/>
      <w:spacing w:before="480" w:after="480"/>
      <w:contextualSpacing/>
    </w:pPr>
    <w:rPr>
      <w:rFonts w:ascii="Verdana" w:hAnsi="Verdana"/>
      <w:lang w:val="en-US" w:eastAsia="en-US"/>
    </w:rPr>
  </w:style>
  <w:style w:type="paragraph" w:customStyle="1" w:styleId="LegalDate">
    <w:name w:val="Legal_Date"/>
    <w:basedOn w:val="Normal"/>
    <w:next w:val="Normal"/>
    <w:semiHidden/>
    <w:rsid w:val="00422270"/>
    <w:pPr>
      <w:suppressAutoHyphens w:val="0"/>
      <w:spacing w:before="480" w:after="480"/>
      <w:jc w:val="both"/>
    </w:pPr>
    <w:rPr>
      <w:rFonts w:ascii="Verdana" w:hAnsi="Verdana"/>
      <w:lang w:val="en-US" w:eastAsia="en-US"/>
    </w:rPr>
  </w:style>
  <w:style w:type="paragraph" w:customStyle="1" w:styleId="LegalEnding">
    <w:name w:val="Legal_Ending"/>
    <w:basedOn w:val="Normal"/>
    <w:next w:val="Normal"/>
    <w:semiHidden/>
    <w:rsid w:val="00422270"/>
    <w:pPr>
      <w:suppressAutoHyphens w:val="0"/>
      <w:spacing w:before="480" w:after="960"/>
    </w:pPr>
    <w:rPr>
      <w:bCs/>
      <w:szCs w:val="20"/>
      <w:lang w:eastAsia="en-US"/>
    </w:rPr>
  </w:style>
  <w:style w:type="paragraph" w:customStyle="1" w:styleId="LegalSalutation">
    <w:name w:val="Legal_Salutation"/>
    <w:basedOn w:val="Normal"/>
    <w:next w:val="Normal"/>
    <w:semiHidden/>
    <w:rsid w:val="00422270"/>
    <w:pPr>
      <w:suppressAutoHyphens w:val="0"/>
      <w:spacing w:before="480"/>
      <w:jc w:val="both"/>
    </w:pPr>
    <w:rPr>
      <w:rFonts w:ascii="Verdana" w:hAnsi="Verdana"/>
      <w:lang w:val="en-US" w:eastAsia="en-US"/>
    </w:rPr>
  </w:style>
  <w:style w:type="paragraph" w:customStyle="1" w:styleId="LegalSubject">
    <w:name w:val="Legal_Subject"/>
    <w:basedOn w:val="Normal"/>
    <w:next w:val="Normal"/>
    <w:semiHidden/>
    <w:rsid w:val="00422270"/>
    <w:pPr>
      <w:suppressAutoHyphens w:val="0"/>
      <w:spacing w:before="480" w:after="480"/>
      <w:jc w:val="both"/>
    </w:pPr>
    <w:rPr>
      <w:b/>
      <w:caps/>
      <w:lang w:val="en-US" w:eastAsia="en-US"/>
    </w:rPr>
  </w:style>
  <w:style w:type="character" w:customStyle="1" w:styleId="HeaderChar">
    <w:name w:val="Header Char"/>
    <w:basedOn w:val="DefaultParagraphFont"/>
    <w:link w:val="Header"/>
    <w:uiPriority w:val="99"/>
    <w:rsid w:val="00B74B43"/>
    <w:rPr>
      <w:rFonts w:ascii="Arial" w:hAnsi="Arial"/>
      <w:sz w:val="24"/>
      <w:szCs w:val="24"/>
      <w:lang w:val="en-GB" w:eastAsia="en-GB"/>
    </w:rPr>
  </w:style>
  <w:style w:type="paragraph" w:styleId="ListParagraph">
    <w:name w:val="List Paragraph"/>
    <w:basedOn w:val="Normal"/>
    <w:uiPriority w:val="34"/>
    <w:qFormat/>
    <w:rsid w:val="007338D1"/>
    <w:pPr>
      <w:ind w:left="720"/>
    </w:pPr>
  </w:style>
  <w:style w:type="character" w:customStyle="1" w:styleId="apple-converted-space">
    <w:name w:val="apple-converted-space"/>
    <w:basedOn w:val="DefaultParagraphFont"/>
    <w:rsid w:val="00200F5C"/>
  </w:style>
  <w:style w:type="character" w:customStyle="1" w:styleId="g1">
    <w:name w:val="g1"/>
    <w:basedOn w:val="DefaultParagraphFont"/>
    <w:rsid w:val="00200F5C"/>
  </w:style>
  <w:style w:type="character" w:styleId="Hyperlink">
    <w:name w:val="Hyperlink"/>
    <w:basedOn w:val="DefaultParagraphFont"/>
    <w:uiPriority w:val="99"/>
    <w:unhideWhenUsed/>
    <w:rsid w:val="00200F5C"/>
    <w:rPr>
      <w:color w:val="0000FF"/>
      <w:u w:val="single"/>
    </w:rPr>
  </w:style>
  <w:style w:type="paragraph" w:customStyle="1" w:styleId="western">
    <w:name w:val="western"/>
    <w:basedOn w:val="Normal"/>
    <w:rsid w:val="005D7057"/>
    <w:pPr>
      <w:suppressAutoHyphens w:val="0"/>
      <w:spacing w:before="100" w:beforeAutospacing="1" w:after="100" w:afterAutospacing="1"/>
    </w:pPr>
    <w:rPr>
      <w:rFonts w:ascii="Times New Roman" w:hAnsi="Times New Roman"/>
    </w:rPr>
  </w:style>
  <w:style w:type="paragraph" w:styleId="NormalWeb">
    <w:name w:val="Normal (Web)"/>
    <w:basedOn w:val="Normal"/>
    <w:uiPriority w:val="99"/>
    <w:unhideWhenUsed/>
    <w:rsid w:val="00B93A86"/>
    <w:pPr>
      <w:suppressAutoHyphens w:val="0"/>
      <w:spacing w:before="100" w:beforeAutospacing="1" w:after="100" w:afterAutospacing="1"/>
    </w:pPr>
    <w:rPr>
      <w:rFonts w:ascii="Times New Roman" w:hAnsi="Times New Roman"/>
      <w:lang w:val="en-ZA" w:eastAsia="en-ZA"/>
    </w:rPr>
  </w:style>
  <w:style w:type="paragraph" w:customStyle="1" w:styleId="JUGMENTNUMBERED">
    <w:name w:val="JUGMENT NUMBERED"/>
    <w:basedOn w:val="Normal"/>
    <w:uiPriority w:val="99"/>
    <w:rsid w:val="00504AFC"/>
    <w:pPr>
      <w:numPr>
        <w:numId w:val="6"/>
      </w:numPr>
      <w:suppressAutoHyphens w:val="0"/>
      <w:spacing w:line="480" w:lineRule="auto"/>
      <w:jc w:val="both"/>
    </w:pPr>
    <w:rPr>
      <w:rFonts w:ascii="Times New Roman" w:hAnsi="Times New Roman"/>
      <w:sz w:val="26"/>
      <w:szCs w:val="26"/>
      <w:lang w:val="en-ZA" w:eastAsia="en-ZA"/>
    </w:rPr>
  </w:style>
  <w:style w:type="character" w:customStyle="1" w:styleId="FootnoteTextChar">
    <w:name w:val="Footnote Text Char"/>
    <w:basedOn w:val="DefaultParagraphFont"/>
    <w:link w:val="FootnoteText"/>
    <w:semiHidden/>
    <w:rsid w:val="00095F0E"/>
    <w:rPr>
      <w:rFonts w:ascii="Arial" w:hAnsi="Arial"/>
      <w:sz w:val="18"/>
      <w:lang w:val="en-GB" w:eastAsia="en-GB"/>
    </w:rPr>
  </w:style>
  <w:style w:type="character" w:customStyle="1" w:styleId="BalloonTextChar">
    <w:name w:val="Balloon Text Char"/>
    <w:basedOn w:val="DefaultParagraphFont"/>
    <w:link w:val="BalloonText"/>
    <w:semiHidden/>
    <w:rsid w:val="002271ED"/>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98142">
      <w:bodyDiv w:val="1"/>
      <w:marLeft w:val="0"/>
      <w:marRight w:val="0"/>
      <w:marTop w:val="0"/>
      <w:marBottom w:val="0"/>
      <w:divBdr>
        <w:top w:val="none" w:sz="0" w:space="0" w:color="auto"/>
        <w:left w:val="none" w:sz="0" w:space="0" w:color="auto"/>
        <w:bottom w:val="none" w:sz="0" w:space="0" w:color="auto"/>
        <w:right w:val="none" w:sz="0" w:space="0" w:color="auto"/>
      </w:divBdr>
    </w:div>
    <w:div w:id="59905774">
      <w:bodyDiv w:val="1"/>
      <w:marLeft w:val="0"/>
      <w:marRight w:val="0"/>
      <w:marTop w:val="0"/>
      <w:marBottom w:val="0"/>
      <w:divBdr>
        <w:top w:val="none" w:sz="0" w:space="0" w:color="auto"/>
        <w:left w:val="none" w:sz="0" w:space="0" w:color="auto"/>
        <w:bottom w:val="none" w:sz="0" w:space="0" w:color="auto"/>
        <w:right w:val="none" w:sz="0" w:space="0" w:color="auto"/>
      </w:divBdr>
    </w:div>
    <w:div w:id="60257634">
      <w:bodyDiv w:val="1"/>
      <w:marLeft w:val="0"/>
      <w:marRight w:val="0"/>
      <w:marTop w:val="0"/>
      <w:marBottom w:val="0"/>
      <w:divBdr>
        <w:top w:val="none" w:sz="0" w:space="0" w:color="auto"/>
        <w:left w:val="none" w:sz="0" w:space="0" w:color="auto"/>
        <w:bottom w:val="none" w:sz="0" w:space="0" w:color="auto"/>
        <w:right w:val="none" w:sz="0" w:space="0" w:color="auto"/>
      </w:divBdr>
    </w:div>
    <w:div w:id="225453236">
      <w:bodyDiv w:val="1"/>
      <w:marLeft w:val="0"/>
      <w:marRight w:val="0"/>
      <w:marTop w:val="0"/>
      <w:marBottom w:val="0"/>
      <w:divBdr>
        <w:top w:val="none" w:sz="0" w:space="0" w:color="auto"/>
        <w:left w:val="none" w:sz="0" w:space="0" w:color="auto"/>
        <w:bottom w:val="none" w:sz="0" w:space="0" w:color="auto"/>
        <w:right w:val="none" w:sz="0" w:space="0" w:color="auto"/>
      </w:divBdr>
    </w:div>
    <w:div w:id="333538454">
      <w:bodyDiv w:val="1"/>
      <w:marLeft w:val="0"/>
      <w:marRight w:val="0"/>
      <w:marTop w:val="0"/>
      <w:marBottom w:val="0"/>
      <w:divBdr>
        <w:top w:val="none" w:sz="0" w:space="0" w:color="auto"/>
        <w:left w:val="none" w:sz="0" w:space="0" w:color="auto"/>
        <w:bottom w:val="none" w:sz="0" w:space="0" w:color="auto"/>
        <w:right w:val="none" w:sz="0" w:space="0" w:color="auto"/>
      </w:divBdr>
    </w:div>
    <w:div w:id="384913583">
      <w:bodyDiv w:val="1"/>
      <w:marLeft w:val="0"/>
      <w:marRight w:val="0"/>
      <w:marTop w:val="0"/>
      <w:marBottom w:val="0"/>
      <w:divBdr>
        <w:top w:val="none" w:sz="0" w:space="0" w:color="auto"/>
        <w:left w:val="none" w:sz="0" w:space="0" w:color="auto"/>
        <w:bottom w:val="none" w:sz="0" w:space="0" w:color="auto"/>
        <w:right w:val="none" w:sz="0" w:space="0" w:color="auto"/>
      </w:divBdr>
    </w:div>
    <w:div w:id="521625947">
      <w:bodyDiv w:val="1"/>
      <w:marLeft w:val="0"/>
      <w:marRight w:val="0"/>
      <w:marTop w:val="0"/>
      <w:marBottom w:val="0"/>
      <w:divBdr>
        <w:top w:val="none" w:sz="0" w:space="0" w:color="auto"/>
        <w:left w:val="none" w:sz="0" w:space="0" w:color="auto"/>
        <w:bottom w:val="none" w:sz="0" w:space="0" w:color="auto"/>
        <w:right w:val="none" w:sz="0" w:space="0" w:color="auto"/>
      </w:divBdr>
      <w:divsChild>
        <w:div w:id="1910728285">
          <w:marLeft w:val="567"/>
          <w:marRight w:val="0"/>
          <w:marTop w:val="120"/>
          <w:marBottom w:val="0"/>
          <w:divBdr>
            <w:top w:val="none" w:sz="0" w:space="0" w:color="auto"/>
            <w:left w:val="none" w:sz="0" w:space="0" w:color="auto"/>
            <w:bottom w:val="none" w:sz="0" w:space="0" w:color="auto"/>
            <w:right w:val="none" w:sz="0" w:space="0" w:color="auto"/>
          </w:divBdr>
        </w:div>
      </w:divsChild>
    </w:div>
    <w:div w:id="550849310">
      <w:bodyDiv w:val="1"/>
      <w:marLeft w:val="0"/>
      <w:marRight w:val="0"/>
      <w:marTop w:val="0"/>
      <w:marBottom w:val="0"/>
      <w:divBdr>
        <w:top w:val="none" w:sz="0" w:space="0" w:color="auto"/>
        <w:left w:val="none" w:sz="0" w:space="0" w:color="auto"/>
        <w:bottom w:val="none" w:sz="0" w:space="0" w:color="auto"/>
        <w:right w:val="none" w:sz="0" w:space="0" w:color="auto"/>
      </w:divBdr>
      <w:divsChild>
        <w:div w:id="1308625457">
          <w:marLeft w:val="567"/>
          <w:marRight w:val="0"/>
          <w:marTop w:val="120"/>
          <w:marBottom w:val="0"/>
          <w:divBdr>
            <w:top w:val="none" w:sz="0" w:space="0" w:color="auto"/>
            <w:left w:val="none" w:sz="0" w:space="0" w:color="auto"/>
            <w:bottom w:val="none" w:sz="0" w:space="0" w:color="auto"/>
            <w:right w:val="none" w:sz="0" w:space="0" w:color="auto"/>
          </w:divBdr>
        </w:div>
        <w:div w:id="2082242159">
          <w:marLeft w:val="1293"/>
          <w:marRight w:val="0"/>
          <w:marTop w:val="0"/>
          <w:marBottom w:val="180"/>
          <w:divBdr>
            <w:top w:val="none" w:sz="0" w:space="0" w:color="auto"/>
            <w:left w:val="none" w:sz="0" w:space="0" w:color="auto"/>
            <w:bottom w:val="none" w:sz="0" w:space="0" w:color="auto"/>
            <w:right w:val="none" w:sz="0" w:space="0" w:color="auto"/>
          </w:divBdr>
        </w:div>
      </w:divsChild>
    </w:div>
    <w:div w:id="589241952">
      <w:bodyDiv w:val="1"/>
      <w:marLeft w:val="0"/>
      <w:marRight w:val="0"/>
      <w:marTop w:val="0"/>
      <w:marBottom w:val="0"/>
      <w:divBdr>
        <w:top w:val="none" w:sz="0" w:space="0" w:color="auto"/>
        <w:left w:val="none" w:sz="0" w:space="0" w:color="auto"/>
        <w:bottom w:val="none" w:sz="0" w:space="0" w:color="auto"/>
        <w:right w:val="none" w:sz="0" w:space="0" w:color="auto"/>
      </w:divBdr>
    </w:div>
    <w:div w:id="739401106">
      <w:bodyDiv w:val="1"/>
      <w:marLeft w:val="0"/>
      <w:marRight w:val="0"/>
      <w:marTop w:val="0"/>
      <w:marBottom w:val="0"/>
      <w:divBdr>
        <w:top w:val="none" w:sz="0" w:space="0" w:color="auto"/>
        <w:left w:val="none" w:sz="0" w:space="0" w:color="auto"/>
        <w:bottom w:val="none" w:sz="0" w:space="0" w:color="auto"/>
        <w:right w:val="none" w:sz="0" w:space="0" w:color="auto"/>
      </w:divBdr>
    </w:div>
    <w:div w:id="755398023">
      <w:bodyDiv w:val="1"/>
      <w:marLeft w:val="0"/>
      <w:marRight w:val="0"/>
      <w:marTop w:val="0"/>
      <w:marBottom w:val="0"/>
      <w:divBdr>
        <w:top w:val="none" w:sz="0" w:space="0" w:color="auto"/>
        <w:left w:val="none" w:sz="0" w:space="0" w:color="auto"/>
        <w:bottom w:val="none" w:sz="0" w:space="0" w:color="auto"/>
        <w:right w:val="none" w:sz="0" w:space="0" w:color="auto"/>
      </w:divBdr>
    </w:div>
    <w:div w:id="779566151">
      <w:bodyDiv w:val="1"/>
      <w:marLeft w:val="0"/>
      <w:marRight w:val="0"/>
      <w:marTop w:val="0"/>
      <w:marBottom w:val="0"/>
      <w:divBdr>
        <w:top w:val="none" w:sz="0" w:space="0" w:color="auto"/>
        <w:left w:val="none" w:sz="0" w:space="0" w:color="auto"/>
        <w:bottom w:val="none" w:sz="0" w:space="0" w:color="auto"/>
        <w:right w:val="none" w:sz="0" w:space="0" w:color="auto"/>
      </w:divBdr>
    </w:div>
    <w:div w:id="987856261">
      <w:bodyDiv w:val="1"/>
      <w:marLeft w:val="0"/>
      <w:marRight w:val="0"/>
      <w:marTop w:val="0"/>
      <w:marBottom w:val="0"/>
      <w:divBdr>
        <w:top w:val="none" w:sz="0" w:space="0" w:color="auto"/>
        <w:left w:val="none" w:sz="0" w:space="0" w:color="auto"/>
        <w:bottom w:val="none" w:sz="0" w:space="0" w:color="auto"/>
        <w:right w:val="none" w:sz="0" w:space="0" w:color="auto"/>
      </w:divBdr>
    </w:div>
    <w:div w:id="1086416972">
      <w:bodyDiv w:val="1"/>
      <w:marLeft w:val="0"/>
      <w:marRight w:val="0"/>
      <w:marTop w:val="0"/>
      <w:marBottom w:val="0"/>
      <w:divBdr>
        <w:top w:val="none" w:sz="0" w:space="0" w:color="auto"/>
        <w:left w:val="none" w:sz="0" w:space="0" w:color="auto"/>
        <w:bottom w:val="none" w:sz="0" w:space="0" w:color="auto"/>
        <w:right w:val="none" w:sz="0" w:space="0" w:color="auto"/>
      </w:divBdr>
    </w:div>
    <w:div w:id="1193151734">
      <w:bodyDiv w:val="1"/>
      <w:marLeft w:val="0"/>
      <w:marRight w:val="0"/>
      <w:marTop w:val="0"/>
      <w:marBottom w:val="0"/>
      <w:divBdr>
        <w:top w:val="none" w:sz="0" w:space="0" w:color="auto"/>
        <w:left w:val="none" w:sz="0" w:space="0" w:color="auto"/>
        <w:bottom w:val="none" w:sz="0" w:space="0" w:color="auto"/>
        <w:right w:val="none" w:sz="0" w:space="0" w:color="auto"/>
      </w:divBdr>
    </w:div>
    <w:div w:id="1261183235">
      <w:bodyDiv w:val="1"/>
      <w:marLeft w:val="0"/>
      <w:marRight w:val="0"/>
      <w:marTop w:val="0"/>
      <w:marBottom w:val="0"/>
      <w:divBdr>
        <w:top w:val="none" w:sz="0" w:space="0" w:color="auto"/>
        <w:left w:val="none" w:sz="0" w:space="0" w:color="auto"/>
        <w:bottom w:val="none" w:sz="0" w:space="0" w:color="auto"/>
        <w:right w:val="none" w:sz="0" w:space="0" w:color="auto"/>
      </w:divBdr>
    </w:div>
    <w:div w:id="1297179603">
      <w:bodyDiv w:val="1"/>
      <w:marLeft w:val="0"/>
      <w:marRight w:val="0"/>
      <w:marTop w:val="0"/>
      <w:marBottom w:val="0"/>
      <w:divBdr>
        <w:top w:val="none" w:sz="0" w:space="0" w:color="auto"/>
        <w:left w:val="none" w:sz="0" w:space="0" w:color="auto"/>
        <w:bottom w:val="none" w:sz="0" w:space="0" w:color="auto"/>
        <w:right w:val="none" w:sz="0" w:space="0" w:color="auto"/>
      </w:divBdr>
    </w:div>
    <w:div w:id="1554004672">
      <w:bodyDiv w:val="1"/>
      <w:marLeft w:val="0"/>
      <w:marRight w:val="0"/>
      <w:marTop w:val="0"/>
      <w:marBottom w:val="0"/>
      <w:divBdr>
        <w:top w:val="none" w:sz="0" w:space="0" w:color="auto"/>
        <w:left w:val="none" w:sz="0" w:space="0" w:color="auto"/>
        <w:bottom w:val="none" w:sz="0" w:space="0" w:color="auto"/>
        <w:right w:val="none" w:sz="0" w:space="0" w:color="auto"/>
      </w:divBdr>
    </w:div>
    <w:div w:id="1569652817">
      <w:bodyDiv w:val="1"/>
      <w:marLeft w:val="0"/>
      <w:marRight w:val="0"/>
      <w:marTop w:val="0"/>
      <w:marBottom w:val="0"/>
      <w:divBdr>
        <w:top w:val="none" w:sz="0" w:space="0" w:color="auto"/>
        <w:left w:val="none" w:sz="0" w:space="0" w:color="auto"/>
        <w:bottom w:val="none" w:sz="0" w:space="0" w:color="auto"/>
        <w:right w:val="none" w:sz="0" w:space="0" w:color="auto"/>
      </w:divBdr>
    </w:div>
    <w:div w:id="1686176827">
      <w:bodyDiv w:val="1"/>
      <w:marLeft w:val="0"/>
      <w:marRight w:val="0"/>
      <w:marTop w:val="0"/>
      <w:marBottom w:val="0"/>
      <w:divBdr>
        <w:top w:val="none" w:sz="0" w:space="0" w:color="auto"/>
        <w:left w:val="none" w:sz="0" w:space="0" w:color="auto"/>
        <w:bottom w:val="none" w:sz="0" w:space="0" w:color="auto"/>
        <w:right w:val="none" w:sz="0" w:space="0" w:color="auto"/>
      </w:divBdr>
    </w:div>
    <w:div w:id="1894192331">
      <w:bodyDiv w:val="1"/>
      <w:marLeft w:val="0"/>
      <w:marRight w:val="0"/>
      <w:marTop w:val="0"/>
      <w:marBottom w:val="0"/>
      <w:divBdr>
        <w:top w:val="none" w:sz="0" w:space="0" w:color="auto"/>
        <w:left w:val="none" w:sz="0" w:space="0" w:color="auto"/>
        <w:bottom w:val="none" w:sz="0" w:space="0" w:color="auto"/>
        <w:right w:val="none" w:sz="0" w:space="0" w:color="auto"/>
      </w:divBdr>
    </w:div>
    <w:div w:id="2104297295">
      <w:bodyDiv w:val="1"/>
      <w:marLeft w:val="0"/>
      <w:marRight w:val="0"/>
      <w:marTop w:val="0"/>
      <w:marBottom w:val="0"/>
      <w:divBdr>
        <w:top w:val="none" w:sz="0" w:space="0" w:color="auto"/>
        <w:left w:val="none" w:sz="0" w:space="0" w:color="auto"/>
        <w:bottom w:val="none" w:sz="0" w:space="0" w:color="auto"/>
        <w:right w:val="none" w:sz="0" w:space="0" w:color="auto"/>
      </w:divBdr>
    </w:div>
    <w:div w:id="2130389548">
      <w:bodyDiv w:val="1"/>
      <w:marLeft w:val="0"/>
      <w:marRight w:val="0"/>
      <w:marTop w:val="0"/>
      <w:marBottom w:val="0"/>
      <w:divBdr>
        <w:top w:val="none" w:sz="0" w:space="0" w:color="auto"/>
        <w:left w:val="none" w:sz="0" w:space="0" w:color="auto"/>
        <w:bottom w:val="none" w:sz="0" w:space="0" w:color="auto"/>
        <w:right w:val="none" w:sz="0" w:space="0" w:color="auto"/>
      </w:divBdr>
      <w:divsChild>
        <w:div w:id="781610103">
          <w:marLeft w:val="737"/>
          <w:marRight w:val="0"/>
          <w:marTop w:val="60"/>
          <w:marBottom w:val="0"/>
          <w:divBdr>
            <w:top w:val="none" w:sz="0" w:space="0" w:color="auto"/>
            <w:left w:val="none" w:sz="0" w:space="0" w:color="auto"/>
            <w:bottom w:val="none" w:sz="0" w:space="0" w:color="auto"/>
            <w:right w:val="none" w:sz="0" w:space="0" w:color="auto"/>
          </w:divBdr>
        </w:div>
        <w:div w:id="968517382">
          <w:marLeft w:val="0"/>
          <w:marRight w:val="0"/>
          <w:marTop w:val="160"/>
          <w:marBottom w:val="60"/>
          <w:divBdr>
            <w:top w:val="single" w:sz="8" w:space="1" w:color="808080"/>
            <w:left w:val="none" w:sz="0" w:space="0" w:color="auto"/>
            <w:bottom w:val="none" w:sz="0" w:space="0" w:color="auto"/>
            <w:right w:val="none" w:sz="0" w:space="0" w:color="auto"/>
          </w:divBdr>
        </w:div>
        <w:div w:id="2134058105">
          <w:marLeft w:val="0"/>
          <w:marRight w:val="0"/>
          <w:marTop w:val="120"/>
          <w:marBottom w:val="120"/>
          <w:divBdr>
            <w:top w:val="none" w:sz="0" w:space="0" w:color="auto"/>
            <w:left w:val="none" w:sz="0" w:space="0" w:color="auto"/>
            <w:bottom w:val="none" w:sz="0" w:space="0" w:color="auto"/>
            <w:right w:val="none" w:sz="0" w:space="0" w:color="auto"/>
          </w:divBdr>
        </w:div>
        <w:div w:id="1099182630">
          <w:marLeft w:val="0"/>
          <w:marRight w:val="0"/>
          <w:marTop w:val="0"/>
          <w:marBottom w:val="0"/>
          <w:divBdr>
            <w:top w:val="none" w:sz="0" w:space="0" w:color="auto"/>
            <w:left w:val="none" w:sz="0" w:space="0" w:color="auto"/>
            <w:bottom w:val="none" w:sz="0" w:space="0" w:color="auto"/>
            <w:right w:val="none" w:sz="0" w:space="0" w:color="auto"/>
          </w:divBdr>
          <w:divsChild>
            <w:div w:id="1095172718">
              <w:marLeft w:val="840"/>
              <w:marRight w:val="0"/>
              <w:marTop w:val="0"/>
              <w:marBottom w:val="0"/>
              <w:divBdr>
                <w:top w:val="none" w:sz="0" w:space="0" w:color="auto"/>
                <w:left w:val="none" w:sz="0" w:space="0" w:color="auto"/>
                <w:bottom w:val="none" w:sz="0" w:space="0" w:color="auto"/>
                <w:right w:val="none" w:sz="0" w:space="0" w:color="auto"/>
              </w:divBdr>
            </w:div>
            <w:div w:id="1011640548">
              <w:marLeft w:val="840"/>
              <w:marRight w:val="0"/>
              <w:marTop w:val="0"/>
              <w:marBottom w:val="0"/>
              <w:divBdr>
                <w:top w:val="none" w:sz="0" w:space="0" w:color="auto"/>
                <w:left w:val="none" w:sz="0" w:space="0" w:color="auto"/>
                <w:bottom w:val="none" w:sz="0" w:space="0" w:color="auto"/>
                <w:right w:val="none" w:sz="0" w:space="0" w:color="auto"/>
              </w:divBdr>
            </w:div>
            <w:div w:id="204489324">
              <w:marLeft w:val="840"/>
              <w:marRight w:val="0"/>
              <w:marTop w:val="0"/>
              <w:marBottom w:val="0"/>
              <w:divBdr>
                <w:top w:val="none" w:sz="0" w:space="0" w:color="auto"/>
                <w:left w:val="none" w:sz="0" w:space="0" w:color="auto"/>
                <w:bottom w:val="none" w:sz="0" w:space="0" w:color="auto"/>
                <w:right w:val="none" w:sz="0" w:space="0" w:color="auto"/>
              </w:divBdr>
            </w:div>
            <w:div w:id="109867610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0BF16.DA35A980"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14\Legal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B18937-B5B9-4451-B501-ADCB944D9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LegalPleading</Template>
  <TotalTime>4</TotalTime>
  <Pages>13</Pages>
  <Words>3741</Words>
  <Characters>21328</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Judgment - Limbada &amp; 6 Others v Jazz Spirit</vt:lpstr>
    </vt:vector>
  </TitlesOfParts>
  <Company>.</Company>
  <LinksUpToDate>false</LinksUpToDate>
  <CharactersWithSpaces>25019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 Limbada &amp; 6 Others v Jazz Spirit</dc:title>
  <dc:creator>ladams</dc:creator>
  <dc:description>The Mother of all Judgments</dc:description>
  <cp:lastModifiedBy>Mokone</cp:lastModifiedBy>
  <cp:revision>3</cp:revision>
  <cp:lastPrinted>2020-07-13T10:37:00Z</cp:lastPrinted>
  <dcterms:created xsi:type="dcterms:W3CDTF">2023-03-08T09:45:00Z</dcterms:created>
  <dcterms:modified xsi:type="dcterms:W3CDTF">2023-03-08T09:48:00Z</dcterms:modified>
</cp:coreProperties>
</file>