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F6" w:rsidRPr="00FA70F6" w:rsidRDefault="00FA70F6" w:rsidP="00FA70F6">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FA70F6">
        <w:rPr>
          <w:rFonts w:ascii="Arial" w:eastAsia="Times New Roman" w:hAnsi="Arial" w:cs="Arial"/>
          <w:b/>
          <w:noProof/>
          <w:sz w:val="24"/>
          <w:szCs w:val="24"/>
          <w:lang w:eastAsia="en-ZA"/>
        </w:rPr>
        <w:t>REPUBLIC OF SOUTH AFRICA</w:t>
      </w:r>
    </w:p>
    <w:p w:rsidR="00FA70F6" w:rsidRPr="00FA70F6" w:rsidRDefault="00FA70F6" w:rsidP="00FA70F6">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rsidR="00FA70F6" w:rsidRPr="00FA70F6" w:rsidRDefault="00FA70F6" w:rsidP="00FA70F6">
      <w:pPr>
        <w:tabs>
          <w:tab w:val="left" w:pos="2342"/>
          <w:tab w:val="center" w:pos="4513"/>
        </w:tabs>
        <w:spacing w:after="0" w:line="240" w:lineRule="auto"/>
        <w:jc w:val="center"/>
        <w:outlineLvl w:val="0"/>
        <w:rPr>
          <w:rFonts w:ascii="Arial" w:eastAsia="Times New Roman" w:hAnsi="Arial" w:cs="Arial"/>
          <w:sz w:val="24"/>
          <w:szCs w:val="24"/>
        </w:rPr>
      </w:pPr>
      <w:r w:rsidRPr="00FA70F6">
        <w:rPr>
          <w:rFonts w:ascii="Arial" w:eastAsia="Times New Roman" w:hAnsi="Arial" w:cs="Arial"/>
          <w:noProof/>
          <w:sz w:val="24"/>
          <w:szCs w:val="24"/>
          <w:lang w:val="en-US"/>
        </w:rPr>
        <w:drawing>
          <wp:inline distT="0" distB="0" distL="0" distR="0" wp14:anchorId="69347901" wp14:editId="1D1301F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FA70F6" w:rsidRPr="00FA70F6" w:rsidRDefault="00FA70F6" w:rsidP="00FA70F6">
      <w:pPr>
        <w:spacing w:after="0" w:line="240" w:lineRule="auto"/>
        <w:jc w:val="center"/>
        <w:outlineLvl w:val="0"/>
        <w:rPr>
          <w:rFonts w:ascii="Arial" w:eastAsia="Times New Roman" w:hAnsi="Arial" w:cs="Arial"/>
          <w:b/>
          <w:sz w:val="24"/>
          <w:szCs w:val="24"/>
        </w:rPr>
      </w:pPr>
    </w:p>
    <w:p w:rsidR="00FA70F6" w:rsidRPr="00FA70F6" w:rsidRDefault="00FA70F6" w:rsidP="00FA70F6">
      <w:pPr>
        <w:spacing w:after="0" w:line="240" w:lineRule="auto"/>
        <w:jc w:val="center"/>
        <w:outlineLvl w:val="0"/>
        <w:rPr>
          <w:rFonts w:ascii="Arial" w:eastAsia="Times New Roman" w:hAnsi="Arial" w:cs="Arial"/>
          <w:b/>
          <w:sz w:val="24"/>
          <w:szCs w:val="24"/>
        </w:rPr>
      </w:pPr>
      <w:r w:rsidRPr="00FA70F6">
        <w:rPr>
          <w:rFonts w:ascii="Arial" w:eastAsia="Times New Roman" w:hAnsi="Arial" w:cs="Arial"/>
          <w:b/>
          <w:sz w:val="24"/>
          <w:szCs w:val="24"/>
        </w:rPr>
        <w:t>IN THE HIGH COURT OF SOUTH AFRICA</w:t>
      </w:r>
    </w:p>
    <w:p w:rsidR="00FA70F6" w:rsidRPr="00FA70F6" w:rsidRDefault="00FA70F6" w:rsidP="00FA70F6">
      <w:pPr>
        <w:spacing w:after="0" w:line="240" w:lineRule="auto"/>
        <w:jc w:val="center"/>
        <w:outlineLvl w:val="0"/>
        <w:rPr>
          <w:rFonts w:ascii="Arial" w:eastAsia="Times New Roman" w:hAnsi="Arial" w:cs="Arial"/>
          <w:b/>
          <w:sz w:val="24"/>
          <w:szCs w:val="24"/>
        </w:rPr>
      </w:pPr>
      <w:r w:rsidRPr="00FA70F6">
        <w:rPr>
          <w:rFonts w:ascii="Arial" w:eastAsia="Times New Roman" w:hAnsi="Arial" w:cs="Arial"/>
          <w:b/>
          <w:sz w:val="24"/>
          <w:szCs w:val="24"/>
        </w:rPr>
        <w:t>GAUTENG DIVISION, JOHANNESBURG</w:t>
      </w:r>
    </w:p>
    <w:p w:rsidR="00FA70F6" w:rsidRPr="00FA70F6" w:rsidRDefault="00FA70F6" w:rsidP="00FA70F6">
      <w:pPr>
        <w:spacing w:after="0" w:line="240" w:lineRule="auto"/>
        <w:jc w:val="both"/>
        <w:rPr>
          <w:rFonts w:ascii="Arial" w:eastAsia="Times New Roman" w:hAnsi="Arial" w:cs="Arial"/>
          <w:sz w:val="24"/>
          <w:szCs w:val="24"/>
        </w:rPr>
      </w:pPr>
    </w:p>
    <w:p w:rsidR="00FA70F6" w:rsidRPr="00FA70F6" w:rsidRDefault="00FA70F6" w:rsidP="00FA70F6">
      <w:pPr>
        <w:spacing w:after="0" w:line="240" w:lineRule="auto"/>
        <w:jc w:val="both"/>
        <w:rPr>
          <w:rFonts w:ascii="Arial" w:eastAsia="Times New Roman" w:hAnsi="Arial" w:cs="Arial"/>
          <w:sz w:val="24"/>
          <w:szCs w:val="24"/>
        </w:rPr>
      </w:pPr>
    </w:p>
    <w:p w:rsidR="00FA70F6" w:rsidRPr="00FA70F6" w:rsidRDefault="00FA70F6" w:rsidP="00FA70F6">
      <w:pPr>
        <w:tabs>
          <w:tab w:val="right" w:pos="9029"/>
        </w:tabs>
        <w:spacing w:after="0" w:line="240" w:lineRule="auto"/>
        <w:jc w:val="both"/>
        <w:rPr>
          <w:rFonts w:ascii="Arial" w:eastAsia="Times New Roman" w:hAnsi="Arial" w:cs="Arial"/>
          <w:bCs/>
          <w:sz w:val="24"/>
          <w:szCs w:val="24"/>
        </w:rPr>
      </w:pPr>
      <w:r w:rsidRPr="00FA70F6">
        <w:rPr>
          <w:rFonts w:ascii="Arial" w:eastAsia="Times New Roman" w:hAnsi="Arial" w:cs="Arial"/>
          <w:sz w:val="24"/>
          <w:szCs w:val="24"/>
        </w:rPr>
        <w:tab/>
      </w:r>
      <w:r w:rsidRPr="00FA70F6">
        <w:rPr>
          <w:rFonts w:ascii="Arial" w:eastAsia="Times New Roman" w:hAnsi="Arial" w:cs="Arial"/>
          <w:bCs/>
          <w:sz w:val="24"/>
          <w:szCs w:val="24"/>
        </w:rPr>
        <w:t>Case Number: 49230/2021</w:t>
      </w:r>
    </w:p>
    <w:p w:rsidR="00FA70F6" w:rsidRPr="00FA70F6" w:rsidRDefault="00FA70F6" w:rsidP="00FA70F6">
      <w:pPr>
        <w:tabs>
          <w:tab w:val="right" w:pos="9029"/>
        </w:tabs>
        <w:spacing w:after="0" w:line="240" w:lineRule="auto"/>
        <w:jc w:val="both"/>
        <w:rPr>
          <w:rFonts w:ascii="Arial" w:eastAsia="Times New Roman" w:hAnsi="Arial" w:cs="Arial"/>
          <w:sz w:val="24"/>
          <w:szCs w:val="24"/>
        </w:rPr>
      </w:pPr>
      <w:r w:rsidRPr="00FA70F6">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7D3E4793" wp14:editId="594CC81D">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2C40CB" w:rsidRPr="00913F95" w:rsidRDefault="002C40CB" w:rsidP="00FA70F6">
                            <w:pPr>
                              <w:jc w:val="center"/>
                              <w:rPr>
                                <w:rFonts w:ascii="Century Gothic" w:hAnsi="Century Gothic"/>
                                <w:b/>
                                <w:sz w:val="20"/>
                                <w:szCs w:val="20"/>
                              </w:rPr>
                            </w:pPr>
                          </w:p>
                          <w:p w:rsidR="002C40CB" w:rsidRPr="00C344A5" w:rsidRDefault="00FE712F" w:rsidP="00FE7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2C40CB">
                              <w:rPr>
                                <w:rFonts w:ascii="Arial" w:hAnsi="Arial" w:cs="Arial"/>
                                <w:sz w:val="18"/>
                                <w:szCs w:val="20"/>
                              </w:rPr>
                              <w:t>REPORTABLE: YES</w:t>
                            </w:r>
                          </w:p>
                          <w:p w:rsidR="002C40CB" w:rsidRPr="00C344A5" w:rsidRDefault="00FE712F" w:rsidP="00FE7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2C40CB">
                              <w:rPr>
                                <w:rFonts w:ascii="Arial" w:hAnsi="Arial" w:cs="Arial"/>
                                <w:sz w:val="18"/>
                                <w:szCs w:val="20"/>
                              </w:rPr>
                              <w:t>OF INTEREST TO OTHER JUDGES: YES</w:t>
                            </w:r>
                          </w:p>
                          <w:p w:rsidR="002C40CB" w:rsidRPr="00C344A5" w:rsidRDefault="00FE712F" w:rsidP="00FE7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2C40CB" w:rsidRPr="00C344A5">
                              <w:rPr>
                                <w:rFonts w:ascii="Arial" w:hAnsi="Arial" w:cs="Arial"/>
                                <w:sz w:val="18"/>
                                <w:szCs w:val="20"/>
                              </w:rPr>
                              <w:t>REVISED</w:t>
                            </w:r>
                            <w:r w:rsidR="002C40CB">
                              <w:rPr>
                                <w:rFonts w:ascii="Arial" w:hAnsi="Arial" w:cs="Arial"/>
                                <w:sz w:val="18"/>
                                <w:szCs w:val="20"/>
                              </w:rPr>
                              <w:t>: YES</w:t>
                            </w:r>
                          </w:p>
                          <w:p w:rsidR="002C40CB" w:rsidRPr="00C344A5" w:rsidRDefault="002C40CB" w:rsidP="00FA70F6">
                            <w:pPr>
                              <w:rPr>
                                <w:rFonts w:ascii="Arial" w:hAnsi="Arial" w:cs="Arial"/>
                                <w:b/>
                                <w:sz w:val="18"/>
                                <w:szCs w:val="20"/>
                              </w:rPr>
                            </w:pPr>
                          </w:p>
                          <w:p w:rsidR="002C40CB" w:rsidRPr="00C344A5" w:rsidRDefault="002C40CB" w:rsidP="00FA70F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rsidR="002C40CB" w:rsidRPr="00C344A5" w:rsidRDefault="002C40CB" w:rsidP="00FA70F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E4793"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rsidR="002C40CB" w:rsidRPr="00913F95" w:rsidRDefault="002C40CB" w:rsidP="00FA70F6">
                      <w:pPr>
                        <w:jc w:val="center"/>
                        <w:rPr>
                          <w:rFonts w:ascii="Century Gothic" w:hAnsi="Century Gothic"/>
                          <w:b/>
                          <w:sz w:val="20"/>
                          <w:szCs w:val="20"/>
                        </w:rPr>
                      </w:pPr>
                    </w:p>
                    <w:p w:rsidR="002C40CB" w:rsidRPr="00C344A5" w:rsidRDefault="00FE712F" w:rsidP="00FE7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2C40CB">
                        <w:rPr>
                          <w:rFonts w:ascii="Arial" w:hAnsi="Arial" w:cs="Arial"/>
                          <w:sz w:val="18"/>
                          <w:szCs w:val="20"/>
                        </w:rPr>
                        <w:t>REPORTABLE: YES</w:t>
                      </w:r>
                    </w:p>
                    <w:p w:rsidR="002C40CB" w:rsidRPr="00C344A5" w:rsidRDefault="00FE712F" w:rsidP="00FE7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2C40CB">
                        <w:rPr>
                          <w:rFonts w:ascii="Arial" w:hAnsi="Arial" w:cs="Arial"/>
                          <w:sz w:val="18"/>
                          <w:szCs w:val="20"/>
                        </w:rPr>
                        <w:t>OF INTEREST TO OTHER JUDGES: YES</w:t>
                      </w:r>
                    </w:p>
                    <w:p w:rsidR="002C40CB" w:rsidRPr="00C344A5" w:rsidRDefault="00FE712F" w:rsidP="00FE712F">
                      <w:pPr>
                        <w:tabs>
                          <w:tab w:val="left" w:pos="900"/>
                        </w:tabs>
                        <w:spacing w:after="0" w:line="240" w:lineRule="auto"/>
                        <w:ind w:left="900" w:hanging="720"/>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2C40CB" w:rsidRPr="00C344A5">
                        <w:rPr>
                          <w:rFonts w:ascii="Arial" w:hAnsi="Arial" w:cs="Arial"/>
                          <w:sz w:val="18"/>
                          <w:szCs w:val="20"/>
                        </w:rPr>
                        <w:t>REVISED</w:t>
                      </w:r>
                      <w:r w:rsidR="002C40CB">
                        <w:rPr>
                          <w:rFonts w:ascii="Arial" w:hAnsi="Arial" w:cs="Arial"/>
                          <w:sz w:val="18"/>
                          <w:szCs w:val="20"/>
                        </w:rPr>
                        <w:t>: YES</w:t>
                      </w:r>
                    </w:p>
                    <w:p w:rsidR="002C40CB" w:rsidRPr="00C344A5" w:rsidRDefault="002C40CB" w:rsidP="00FA70F6">
                      <w:pPr>
                        <w:rPr>
                          <w:rFonts w:ascii="Arial" w:hAnsi="Arial" w:cs="Arial"/>
                          <w:b/>
                          <w:sz w:val="18"/>
                          <w:szCs w:val="20"/>
                        </w:rPr>
                      </w:pPr>
                    </w:p>
                    <w:p w:rsidR="002C40CB" w:rsidRPr="00C344A5" w:rsidRDefault="002C40CB" w:rsidP="00FA70F6">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rsidR="002C40CB" w:rsidRPr="00C344A5" w:rsidRDefault="002C40CB" w:rsidP="00FA70F6">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rsidR="00FA70F6" w:rsidRPr="00FA70F6" w:rsidRDefault="00FA70F6" w:rsidP="00FA70F6">
      <w:pPr>
        <w:tabs>
          <w:tab w:val="left" w:pos="8998"/>
        </w:tabs>
        <w:spacing w:after="0" w:line="240" w:lineRule="auto"/>
        <w:jc w:val="both"/>
        <w:rPr>
          <w:rFonts w:ascii="Arial" w:eastAsia="Times New Roman" w:hAnsi="Arial" w:cs="Arial"/>
          <w:sz w:val="24"/>
          <w:szCs w:val="24"/>
        </w:rPr>
      </w:pPr>
    </w:p>
    <w:p w:rsidR="00FA70F6" w:rsidRPr="00FA70F6" w:rsidRDefault="00FA70F6" w:rsidP="00FA70F6">
      <w:pPr>
        <w:tabs>
          <w:tab w:val="left" w:pos="8998"/>
        </w:tabs>
        <w:spacing w:after="0" w:line="240" w:lineRule="auto"/>
        <w:jc w:val="both"/>
        <w:rPr>
          <w:rFonts w:ascii="Arial" w:eastAsia="Times New Roman" w:hAnsi="Arial" w:cs="Arial"/>
          <w:sz w:val="24"/>
          <w:szCs w:val="24"/>
        </w:rPr>
      </w:pPr>
    </w:p>
    <w:p w:rsidR="00FA70F6" w:rsidRPr="00FA70F6" w:rsidRDefault="00FA70F6" w:rsidP="00FA70F6">
      <w:pPr>
        <w:tabs>
          <w:tab w:val="left" w:pos="8998"/>
        </w:tabs>
        <w:spacing w:after="0" w:line="240" w:lineRule="auto"/>
        <w:jc w:val="both"/>
        <w:rPr>
          <w:rFonts w:ascii="Arial" w:eastAsia="Times New Roman" w:hAnsi="Arial" w:cs="Arial"/>
          <w:sz w:val="24"/>
          <w:szCs w:val="24"/>
        </w:rPr>
      </w:pPr>
      <w:r w:rsidRPr="00FA70F6">
        <w:rPr>
          <w:rFonts w:ascii="Arial" w:eastAsia="Times New Roman" w:hAnsi="Arial" w:cs="Arial"/>
          <w:sz w:val="24"/>
          <w:szCs w:val="24"/>
        </w:rPr>
        <w:t>In the matter between:</w:t>
      </w:r>
    </w:p>
    <w:p w:rsidR="00FA70F6" w:rsidRPr="00FA70F6" w:rsidRDefault="00FA70F6" w:rsidP="00FA70F6">
      <w:pPr>
        <w:tabs>
          <w:tab w:val="right" w:pos="9029"/>
        </w:tabs>
        <w:spacing w:after="0" w:line="240" w:lineRule="auto"/>
        <w:jc w:val="both"/>
        <w:rPr>
          <w:rFonts w:ascii="Arial" w:eastAsia="Times New Roman" w:hAnsi="Arial" w:cs="Arial"/>
          <w:sz w:val="24"/>
          <w:szCs w:val="24"/>
        </w:rPr>
      </w:pPr>
    </w:p>
    <w:p w:rsidR="00FA70F6" w:rsidRPr="00FA70F6" w:rsidRDefault="00FA70F6" w:rsidP="00FA70F6">
      <w:pPr>
        <w:tabs>
          <w:tab w:val="right" w:pos="9029"/>
        </w:tabs>
        <w:spacing w:after="0" w:line="240" w:lineRule="auto"/>
        <w:jc w:val="both"/>
        <w:rPr>
          <w:rFonts w:ascii="Arial" w:eastAsia="Times New Roman" w:hAnsi="Arial" w:cs="Arial"/>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r w:rsidRPr="00FA70F6">
        <w:rPr>
          <w:rFonts w:ascii="Arial" w:eastAsia="Times New Roman" w:hAnsi="Arial" w:cs="Arial"/>
          <w:sz w:val="24"/>
          <w:szCs w:val="24"/>
        </w:rPr>
        <w:t>In the matter between:</w:t>
      </w:r>
    </w:p>
    <w:p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b/>
          <w:sz w:val="24"/>
          <w:szCs w:val="24"/>
        </w:rPr>
      </w:pPr>
    </w:p>
    <w:p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eastAsia="Times New Roman" w:hAnsi="Arial" w:cs="Times New Roman"/>
          <w:b/>
          <w:kern w:val="28"/>
          <w:sz w:val="24"/>
          <w:szCs w:val="24"/>
          <w:lang w:eastAsia="en-GB"/>
        </w:rPr>
        <w:t>ANIOMA PROPERTY (PTY) LTD</w:t>
      </w:r>
      <w:r w:rsidRPr="008C1539">
        <w:rPr>
          <w:rFonts w:ascii="Arial" w:eastAsia="Times New Roman" w:hAnsi="Arial" w:cs="Arial"/>
          <w:b/>
          <w:sz w:val="24"/>
          <w:szCs w:val="24"/>
        </w:rPr>
        <w:tab/>
      </w:r>
      <w:r w:rsidRPr="008C1539">
        <w:rPr>
          <w:rFonts w:ascii="Arial" w:eastAsia="Times New Roman" w:hAnsi="Arial" w:cs="Arial"/>
          <w:sz w:val="24"/>
          <w:szCs w:val="24"/>
        </w:rPr>
        <w:t>First</w:t>
      </w:r>
      <w:r w:rsidRPr="008C1539">
        <w:rPr>
          <w:rFonts w:ascii="Arial" w:eastAsia="Times New Roman" w:hAnsi="Arial" w:cs="Arial"/>
          <w:b/>
          <w:sz w:val="24"/>
          <w:szCs w:val="24"/>
        </w:rPr>
        <w:t xml:space="preserve"> </w:t>
      </w:r>
      <w:r w:rsidRPr="008C1539">
        <w:rPr>
          <w:rFonts w:ascii="Arial" w:eastAsia="Times New Roman" w:hAnsi="Arial" w:cs="Arial"/>
          <w:sz w:val="24"/>
          <w:szCs w:val="24"/>
        </w:rPr>
        <w:t>Applicant</w:t>
      </w:r>
    </w:p>
    <w:p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p>
    <w:p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eastAsia="Times New Roman" w:hAnsi="Arial" w:cs="Arial"/>
          <w:sz w:val="24"/>
          <w:szCs w:val="24"/>
        </w:rPr>
        <w:t>and</w:t>
      </w:r>
    </w:p>
    <w:p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p>
    <w:p w:rsidR="00FA70F6" w:rsidRPr="008C1539" w:rsidRDefault="00FA70F6" w:rsidP="00FA70F6">
      <w:pPr>
        <w:tabs>
          <w:tab w:val="right" w:pos="9029"/>
        </w:tabs>
        <w:spacing w:after="0" w:line="240" w:lineRule="auto"/>
        <w:contextualSpacing/>
        <w:jc w:val="both"/>
        <w:rPr>
          <w:rFonts w:ascii="Arial" w:eastAsia="Times New Roman" w:hAnsi="Arial" w:cs="Arial"/>
          <w:sz w:val="24"/>
          <w:szCs w:val="24"/>
        </w:rPr>
      </w:pPr>
      <w:bookmarkStart w:id="0" w:name="_GoBack"/>
      <w:r w:rsidRPr="008C1539">
        <w:rPr>
          <w:rFonts w:ascii="Arial" w:hAnsi="Arial" w:cs="Arial"/>
          <w:b/>
          <w:sz w:val="24"/>
          <w:szCs w:val="24"/>
        </w:rPr>
        <w:t>DMFT PROPERTY DEVELOPERS</w:t>
      </w:r>
      <w:bookmarkEnd w:id="0"/>
      <w:r w:rsidRPr="008C1539">
        <w:rPr>
          <w:rFonts w:ascii="Arial" w:hAnsi="Arial" w:cs="Arial"/>
          <w:b/>
          <w:sz w:val="24"/>
          <w:szCs w:val="24"/>
        </w:rPr>
        <w:tab/>
      </w:r>
      <w:r w:rsidRPr="008C1539">
        <w:rPr>
          <w:rFonts w:ascii="Arial" w:eastAsia="Times New Roman" w:hAnsi="Arial" w:cs="Arial"/>
          <w:sz w:val="24"/>
          <w:szCs w:val="24"/>
        </w:rPr>
        <w:t>First Respondent</w:t>
      </w:r>
    </w:p>
    <w:p w:rsidR="00FA70F6" w:rsidRPr="008C1539" w:rsidRDefault="00FA70F6" w:rsidP="00FA70F6">
      <w:pPr>
        <w:spacing w:after="0" w:line="240" w:lineRule="auto"/>
        <w:contextualSpacing/>
        <w:jc w:val="both"/>
        <w:rPr>
          <w:rFonts w:ascii="Arial" w:eastAsia="Times New Roman" w:hAnsi="Arial" w:cs="Arial"/>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r w:rsidRPr="008C1539">
        <w:rPr>
          <w:rFonts w:ascii="Arial" w:hAnsi="Arial" w:cs="Arial"/>
          <w:b/>
          <w:sz w:val="24"/>
          <w:szCs w:val="24"/>
        </w:rPr>
        <w:t>LINDIE LOMBARD ATTORNEYS</w:t>
      </w:r>
      <w:r w:rsidRPr="008C1539">
        <w:rPr>
          <w:rFonts w:ascii="Arial" w:eastAsia="Times New Roman" w:hAnsi="Arial" w:cs="Arial"/>
          <w:sz w:val="24"/>
          <w:szCs w:val="24"/>
        </w:rPr>
        <w:tab/>
        <w:t>Second Respondent</w:t>
      </w:r>
    </w:p>
    <w:p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p>
    <w:p w:rsidR="00FA70F6" w:rsidRPr="00FA70F6" w:rsidRDefault="00FA70F6" w:rsidP="00FA70F6">
      <w:pPr>
        <w:tabs>
          <w:tab w:val="right" w:pos="9029"/>
        </w:tabs>
        <w:spacing w:after="0" w:line="240" w:lineRule="auto"/>
        <w:contextualSpacing/>
        <w:jc w:val="both"/>
        <w:rPr>
          <w:rFonts w:ascii="Arial" w:eastAsia="Times New Roman" w:hAnsi="Arial" w:cs="Arial"/>
          <w:sz w:val="24"/>
          <w:szCs w:val="24"/>
        </w:rPr>
      </w:pPr>
      <w:r w:rsidRPr="00FA70F6">
        <w:rPr>
          <w:rFonts w:ascii="Arial" w:eastAsia="Times New Roman" w:hAnsi="Arial" w:cs="Arial"/>
          <w:b/>
          <w:sz w:val="24"/>
          <w:szCs w:val="24"/>
        </w:rPr>
        <w:t>PAM GOLDING PROPERTIES</w:t>
      </w:r>
      <w:r w:rsidRPr="00FA70F6">
        <w:rPr>
          <w:rFonts w:ascii="Arial" w:eastAsia="Times New Roman" w:hAnsi="Arial" w:cs="Arial"/>
          <w:b/>
          <w:sz w:val="24"/>
          <w:szCs w:val="24"/>
        </w:rPr>
        <w:tab/>
      </w:r>
      <w:r w:rsidRPr="00FA70F6">
        <w:rPr>
          <w:rFonts w:ascii="Arial" w:eastAsia="Times New Roman" w:hAnsi="Arial" w:cs="Arial"/>
          <w:sz w:val="24"/>
          <w:szCs w:val="24"/>
        </w:rPr>
        <w:t>Third Respondent</w:t>
      </w:r>
    </w:p>
    <w:p w:rsidR="00FA70F6" w:rsidRPr="00FA70F6" w:rsidRDefault="00FA70F6" w:rsidP="00FA70F6">
      <w:pPr>
        <w:tabs>
          <w:tab w:val="right" w:pos="9029"/>
        </w:tabs>
        <w:spacing w:after="0" w:line="240" w:lineRule="auto"/>
        <w:contextualSpacing/>
        <w:jc w:val="both"/>
        <w:rPr>
          <w:rFonts w:ascii="Arial" w:hAnsi="Arial" w:cs="Arial"/>
          <w:b/>
          <w:sz w:val="24"/>
          <w:szCs w:val="24"/>
          <w:lang w:val="en-GB"/>
        </w:rPr>
      </w:pPr>
    </w:p>
    <w:p w:rsidR="00FA70F6" w:rsidRPr="00FA70F6" w:rsidRDefault="00FA70F6" w:rsidP="00FA70F6">
      <w:pPr>
        <w:pBdr>
          <w:bottom w:val="single" w:sz="12" w:space="1" w:color="auto"/>
        </w:pBdr>
        <w:spacing w:after="0" w:line="240" w:lineRule="auto"/>
        <w:rPr>
          <w:rFonts w:ascii="Arial" w:hAnsi="Arial" w:cs="Arial"/>
          <w:b/>
          <w:sz w:val="24"/>
          <w:szCs w:val="24"/>
        </w:rPr>
      </w:pPr>
    </w:p>
    <w:p w:rsidR="00FA70F6" w:rsidRPr="00FA70F6" w:rsidRDefault="00FA70F6" w:rsidP="00FA70F6">
      <w:pPr>
        <w:spacing w:after="0" w:line="240" w:lineRule="auto"/>
        <w:ind w:left="1440" w:hanging="1440"/>
        <w:rPr>
          <w:rFonts w:ascii="Arial" w:hAnsi="Arial" w:cs="Arial"/>
          <w:b/>
          <w:sz w:val="24"/>
          <w:szCs w:val="24"/>
          <w:lang w:val="en-GB"/>
        </w:rPr>
      </w:pPr>
    </w:p>
    <w:p w:rsidR="00FA70F6" w:rsidRPr="00FA70F6" w:rsidRDefault="00FA70F6" w:rsidP="00FA70F6">
      <w:pPr>
        <w:pBdr>
          <w:bottom w:val="single" w:sz="12" w:space="1" w:color="auto"/>
        </w:pBdr>
        <w:spacing w:after="240" w:line="480" w:lineRule="auto"/>
        <w:jc w:val="center"/>
        <w:rPr>
          <w:rFonts w:ascii="Arial" w:hAnsi="Arial" w:cs="Arial"/>
          <w:b/>
          <w:sz w:val="24"/>
          <w:szCs w:val="24"/>
        </w:rPr>
      </w:pPr>
      <w:r w:rsidRPr="00FA70F6">
        <w:rPr>
          <w:rFonts w:ascii="Arial" w:hAnsi="Arial" w:cs="Arial"/>
          <w:b/>
          <w:sz w:val="24"/>
          <w:szCs w:val="24"/>
        </w:rPr>
        <w:t>JUDGMENT</w:t>
      </w:r>
    </w:p>
    <w:p w:rsidR="00FA70F6" w:rsidRPr="00FA70F6" w:rsidRDefault="00FA70F6" w:rsidP="00FA70F6">
      <w:pPr>
        <w:spacing w:after="0" w:line="240" w:lineRule="auto"/>
        <w:rPr>
          <w:rFonts w:ascii="Arial" w:hAnsi="Arial" w:cs="Arial"/>
          <w:sz w:val="24"/>
          <w:szCs w:val="24"/>
          <w:lang w:val="en-GB"/>
        </w:rPr>
      </w:pPr>
      <w:r w:rsidRPr="00FA70F6">
        <w:rPr>
          <w:rFonts w:ascii="Arial" w:hAnsi="Arial" w:cs="Arial"/>
          <w:sz w:val="24"/>
          <w:szCs w:val="24"/>
          <w:lang w:val="en-GB"/>
        </w:rPr>
        <w:t>MAHALELO J</w:t>
      </w:r>
    </w:p>
    <w:p w:rsidR="00FA70F6" w:rsidRPr="00FA70F6" w:rsidRDefault="00FA70F6" w:rsidP="00FA70F6">
      <w:pPr>
        <w:spacing w:after="0" w:line="240" w:lineRule="auto"/>
        <w:rPr>
          <w:rFonts w:ascii="Arial" w:hAnsi="Arial" w:cs="Arial"/>
          <w:sz w:val="24"/>
          <w:szCs w:val="24"/>
          <w:lang w:val="en-GB"/>
        </w:rPr>
      </w:pPr>
    </w:p>
    <w:p w:rsidR="0068130F" w:rsidRDefault="000A7D51" w:rsidP="0068130F">
      <w:pPr>
        <w:spacing w:before="180" w:line="480" w:lineRule="auto"/>
        <w:jc w:val="both"/>
        <w:rPr>
          <w:rFonts w:ascii="Arial" w:hAnsi="Arial" w:cs="Arial"/>
          <w:b/>
          <w:sz w:val="24"/>
          <w:szCs w:val="24"/>
        </w:rPr>
      </w:pPr>
      <w:r>
        <w:rPr>
          <w:rFonts w:ascii="Arial" w:hAnsi="Arial" w:cs="Arial"/>
          <w:b/>
          <w:sz w:val="24"/>
          <w:szCs w:val="24"/>
        </w:rPr>
        <w:t>Introduction</w:t>
      </w:r>
    </w:p>
    <w:p w:rsidR="001E37D6" w:rsidRPr="00FE712F" w:rsidRDefault="00FE712F" w:rsidP="00FE712F">
      <w:pPr>
        <w:spacing w:before="180" w:line="480" w:lineRule="auto"/>
        <w:jc w:val="both"/>
        <w:rPr>
          <w:rFonts w:ascii="Arial" w:hAnsi="Arial" w:cs="Arial"/>
          <w:b/>
          <w:sz w:val="24"/>
          <w:szCs w:val="24"/>
        </w:rPr>
      </w:pPr>
      <w:r w:rsidRPr="00F40AAF">
        <w:rPr>
          <w:rFonts w:ascii="Arial" w:hAnsi="Arial" w:cs="Arial"/>
          <w:sz w:val="24"/>
          <w:szCs w:val="24"/>
        </w:rPr>
        <w:lastRenderedPageBreak/>
        <w:t>[1]</w:t>
      </w:r>
      <w:r w:rsidRPr="00F40AAF">
        <w:rPr>
          <w:rFonts w:ascii="Arial" w:hAnsi="Arial" w:cs="Arial"/>
          <w:sz w:val="24"/>
          <w:szCs w:val="24"/>
        </w:rPr>
        <w:tab/>
      </w:r>
      <w:r w:rsidR="00717F23" w:rsidRPr="00FE712F">
        <w:rPr>
          <w:rFonts w:ascii="Arial" w:hAnsi="Arial" w:cs="Arial"/>
          <w:sz w:val="24"/>
          <w:szCs w:val="24"/>
          <w:lang w:val="en-GB"/>
        </w:rPr>
        <w:t xml:space="preserve">The applicant, Anioma </w:t>
      </w:r>
      <w:r w:rsidR="00727095" w:rsidRPr="00FE712F">
        <w:rPr>
          <w:rFonts w:ascii="Arial" w:hAnsi="Arial" w:cs="Arial"/>
          <w:sz w:val="24"/>
          <w:szCs w:val="24"/>
          <w:lang w:val="en-GB"/>
        </w:rPr>
        <w:t>P</w:t>
      </w:r>
      <w:r w:rsidR="00717F23" w:rsidRPr="00FE712F">
        <w:rPr>
          <w:rFonts w:ascii="Arial" w:hAnsi="Arial" w:cs="Arial"/>
          <w:sz w:val="24"/>
          <w:szCs w:val="24"/>
          <w:lang w:val="en-GB"/>
        </w:rPr>
        <w:t xml:space="preserve">roperty (Pty) Ltd (the seller) claims specific performance by the first respondent, </w:t>
      </w:r>
      <w:r w:rsidR="00717F23" w:rsidRPr="00FE712F">
        <w:rPr>
          <w:rFonts w:ascii="Arial" w:hAnsi="Arial" w:cs="Arial"/>
          <w:sz w:val="24"/>
          <w:szCs w:val="24"/>
        </w:rPr>
        <w:t xml:space="preserve">DMFT Property Developers (the purchaser), of the obligation to pay transfer </w:t>
      </w:r>
      <w:r w:rsidR="00301F08" w:rsidRPr="00FE712F">
        <w:rPr>
          <w:rFonts w:ascii="Arial" w:hAnsi="Arial" w:cs="Arial"/>
          <w:sz w:val="24"/>
          <w:szCs w:val="24"/>
        </w:rPr>
        <w:t xml:space="preserve">costs </w:t>
      </w:r>
      <w:r w:rsidR="00717F23" w:rsidRPr="00FE712F">
        <w:rPr>
          <w:rFonts w:ascii="Arial" w:hAnsi="Arial" w:cs="Arial"/>
          <w:sz w:val="24"/>
          <w:szCs w:val="24"/>
        </w:rPr>
        <w:t xml:space="preserve">for the registration of an immovable property into the names of the purchaser, which obligation arose from a written agreement of sale that was concluded between them during </w:t>
      </w:r>
      <w:r w:rsidR="002179E4" w:rsidRPr="00FE712F">
        <w:rPr>
          <w:rFonts w:ascii="Arial" w:hAnsi="Arial" w:cs="Arial"/>
          <w:sz w:val="24"/>
          <w:szCs w:val="24"/>
        </w:rPr>
        <w:t>July 2021</w:t>
      </w:r>
      <w:r w:rsidR="00727095" w:rsidRPr="00FE712F">
        <w:rPr>
          <w:rFonts w:ascii="Arial" w:hAnsi="Arial" w:cs="Arial"/>
          <w:sz w:val="24"/>
          <w:szCs w:val="24"/>
        </w:rPr>
        <w:t xml:space="preserve"> </w:t>
      </w:r>
      <w:r w:rsidR="002179E4" w:rsidRPr="00FE712F">
        <w:rPr>
          <w:rFonts w:ascii="Arial" w:hAnsi="Arial" w:cs="Arial"/>
          <w:sz w:val="24"/>
          <w:szCs w:val="24"/>
        </w:rPr>
        <w:t xml:space="preserve">(the </w:t>
      </w:r>
      <w:r w:rsidR="00727095" w:rsidRPr="00FE712F">
        <w:rPr>
          <w:rFonts w:ascii="Arial" w:hAnsi="Arial" w:cs="Arial"/>
          <w:sz w:val="24"/>
          <w:szCs w:val="24"/>
        </w:rPr>
        <w:t>c</w:t>
      </w:r>
      <w:r w:rsidR="00717F23" w:rsidRPr="00FE712F">
        <w:rPr>
          <w:rFonts w:ascii="Arial" w:hAnsi="Arial" w:cs="Arial"/>
          <w:sz w:val="24"/>
          <w:szCs w:val="24"/>
        </w:rPr>
        <w:t>ontract). The immovable property</w:t>
      </w:r>
      <w:r w:rsidR="00727095" w:rsidRPr="00FE712F">
        <w:rPr>
          <w:rFonts w:ascii="Arial" w:hAnsi="Arial" w:cs="Arial"/>
          <w:sz w:val="24"/>
          <w:szCs w:val="24"/>
        </w:rPr>
        <w:t>, known as</w:t>
      </w:r>
      <w:r w:rsidR="00717F23" w:rsidRPr="00FE712F">
        <w:rPr>
          <w:rFonts w:ascii="Arial" w:hAnsi="Arial" w:cs="Arial"/>
          <w:sz w:val="24"/>
          <w:szCs w:val="24"/>
        </w:rPr>
        <w:t xml:space="preserve"> </w:t>
      </w:r>
      <w:r w:rsidR="00717F23" w:rsidRPr="00FE712F">
        <w:rPr>
          <w:rFonts w:ascii="Arial" w:hAnsi="Arial" w:cs="Arial"/>
          <w:sz w:val="24"/>
          <w:szCs w:val="24"/>
          <w:lang w:val="en-GB"/>
        </w:rPr>
        <w:t>Portion 4 of Erf 208</w:t>
      </w:r>
      <w:r w:rsidR="00727095" w:rsidRPr="00FE712F">
        <w:rPr>
          <w:rFonts w:ascii="Arial" w:hAnsi="Arial" w:cs="Arial"/>
          <w:sz w:val="24"/>
          <w:szCs w:val="24"/>
          <w:lang w:val="en-GB"/>
        </w:rPr>
        <w:t>,</w:t>
      </w:r>
      <w:r w:rsidR="00717F23" w:rsidRPr="00FE712F">
        <w:rPr>
          <w:rFonts w:ascii="Arial" w:hAnsi="Arial" w:cs="Arial"/>
          <w:sz w:val="24"/>
          <w:szCs w:val="24"/>
          <w:lang w:val="en-GB"/>
        </w:rPr>
        <w:t xml:space="preserve"> </w:t>
      </w:r>
      <w:r w:rsidR="00727095" w:rsidRPr="00FE712F">
        <w:rPr>
          <w:rFonts w:ascii="Arial" w:hAnsi="Arial" w:cs="Arial"/>
          <w:sz w:val="24"/>
          <w:szCs w:val="24"/>
        </w:rPr>
        <w:t xml:space="preserve">is situated at </w:t>
      </w:r>
      <w:r w:rsidR="00717F23" w:rsidRPr="00FE712F">
        <w:rPr>
          <w:rFonts w:ascii="Arial" w:hAnsi="Arial" w:cs="Arial"/>
          <w:sz w:val="24"/>
          <w:szCs w:val="24"/>
          <w:lang w:val="en-GB"/>
        </w:rPr>
        <w:t>161 Empire Place</w:t>
      </w:r>
      <w:r w:rsidR="00727095" w:rsidRPr="00FE712F">
        <w:rPr>
          <w:rFonts w:ascii="Arial" w:hAnsi="Arial" w:cs="Arial"/>
          <w:sz w:val="24"/>
          <w:szCs w:val="24"/>
          <w:lang w:val="en-GB"/>
        </w:rPr>
        <w:t>,</w:t>
      </w:r>
      <w:r w:rsidR="00717F23" w:rsidRPr="00FE712F">
        <w:rPr>
          <w:rFonts w:ascii="Arial" w:hAnsi="Arial" w:cs="Arial"/>
          <w:sz w:val="24"/>
          <w:szCs w:val="24"/>
          <w:lang w:val="en-GB"/>
        </w:rPr>
        <w:t xml:space="preserve"> Sandhurst.</w:t>
      </w:r>
      <w:r w:rsidR="005C43E8" w:rsidRPr="00FE712F">
        <w:rPr>
          <w:rFonts w:ascii="Arial" w:hAnsi="Arial" w:cs="Arial"/>
          <w:sz w:val="24"/>
          <w:szCs w:val="24"/>
          <w:lang w:val="en-GB"/>
        </w:rPr>
        <w:t xml:space="preserve"> The immovable property is owned by the applicant. The agreed purchase </w:t>
      </w:r>
      <w:r w:rsidR="00727095" w:rsidRPr="00FE712F">
        <w:rPr>
          <w:rFonts w:ascii="Arial" w:hAnsi="Arial" w:cs="Arial"/>
          <w:sz w:val="24"/>
          <w:szCs w:val="24"/>
          <w:lang w:val="en-GB"/>
        </w:rPr>
        <w:t xml:space="preserve">price </w:t>
      </w:r>
      <w:r w:rsidR="005C43E8" w:rsidRPr="00FE712F">
        <w:rPr>
          <w:rFonts w:ascii="Arial" w:hAnsi="Arial" w:cs="Arial"/>
          <w:sz w:val="24"/>
          <w:szCs w:val="24"/>
          <w:lang w:val="en-GB"/>
        </w:rPr>
        <w:t>co</w:t>
      </w:r>
      <w:r w:rsidR="00796B1E" w:rsidRPr="00FE712F">
        <w:rPr>
          <w:rFonts w:ascii="Arial" w:hAnsi="Arial" w:cs="Arial"/>
          <w:sz w:val="24"/>
          <w:szCs w:val="24"/>
          <w:lang w:val="en-GB"/>
        </w:rPr>
        <w:t>nsideration is R13 Million rand</w:t>
      </w:r>
      <w:r w:rsidR="005C43E8" w:rsidRPr="00FE712F">
        <w:rPr>
          <w:rFonts w:ascii="Arial" w:hAnsi="Arial" w:cs="Arial"/>
          <w:sz w:val="24"/>
          <w:szCs w:val="24"/>
          <w:lang w:val="en-GB"/>
        </w:rPr>
        <w:t>.</w:t>
      </w:r>
    </w:p>
    <w:p w:rsidR="00717F23" w:rsidRPr="00F40AAF" w:rsidRDefault="00717F23" w:rsidP="00F40AAF">
      <w:pPr>
        <w:pStyle w:val="ListParagraph"/>
        <w:spacing w:before="180" w:line="240" w:lineRule="auto"/>
        <w:ind w:left="0"/>
        <w:jc w:val="both"/>
        <w:rPr>
          <w:rFonts w:ascii="Arial" w:hAnsi="Arial" w:cs="Arial"/>
          <w:b/>
          <w:sz w:val="24"/>
          <w:szCs w:val="24"/>
        </w:rPr>
      </w:pPr>
    </w:p>
    <w:p w:rsidR="005D6EFE" w:rsidRPr="00FE712F" w:rsidRDefault="00FE712F" w:rsidP="00FE712F">
      <w:pPr>
        <w:spacing w:line="48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5C43E8" w:rsidRPr="00FE712F">
        <w:rPr>
          <w:rFonts w:ascii="Arial" w:hAnsi="Arial" w:cs="Arial"/>
          <w:sz w:val="24"/>
          <w:szCs w:val="24"/>
          <w:lang w:val="en-GB"/>
        </w:rPr>
        <w:t xml:space="preserve">It is common cause that the purchaser has paid the full purchase price which money is currently held in the trust account of the second defendant. The second defendant is appointed as the </w:t>
      </w:r>
      <w:r w:rsidR="00727095" w:rsidRPr="00FE712F">
        <w:rPr>
          <w:rFonts w:ascii="Arial" w:hAnsi="Arial" w:cs="Arial"/>
          <w:sz w:val="24"/>
          <w:szCs w:val="24"/>
          <w:lang w:val="en-GB"/>
        </w:rPr>
        <w:t>c</w:t>
      </w:r>
      <w:r w:rsidR="005C43E8" w:rsidRPr="00FE712F">
        <w:rPr>
          <w:rFonts w:ascii="Arial" w:hAnsi="Arial" w:cs="Arial"/>
          <w:sz w:val="24"/>
          <w:szCs w:val="24"/>
          <w:lang w:val="en-GB"/>
        </w:rPr>
        <w:t>onveyancer of the applicant.</w:t>
      </w:r>
      <w:r w:rsidR="0068130F" w:rsidRPr="00FE712F">
        <w:rPr>
          <w:rFonts w:ascii="Arial" w:hAnsi="Arial" w:cs="Arial"/>
          <w:sz w:val="24"/>
          <w:szCs w:val="24"/>
          <w:lang w:val="en-GB"/>
        </w:rPr>
        <w:t xml:space="preserve"> No relief is sought against the second and third respondents, they are only cited as interested parties.</w:t>
      </w:r>
      <w:r w:rsidR="005C43E8" w:rsidRPr="00FE712F">
        <w:rPr>
          <w:rFonts w:ascii="Arial" w:hAnsi="Arial" w:cs="Arial"/>
          <w:sz w:val="24"/>
          <w:szCs w:val="24"/>
          <w:lang w:val="en-GB"/>
        </w:rPr>
        <w:t xml:space="preserve"> It is also common cause that an amount of</w:t>
      </w:r>
      <w:r w:rsidR="00E812D2" w:rsidRPr="00FE712F">
        <w:rPr>
          <w:rFonts w:ascii="Arial" w:hAnsi="Arial" w:cs="Arial"/>
          <w:i/>
          <w:sz w:val="24"/>
          <w:szCs w:val="24"/>
          <w:lang w:val="en-GB"/>
        </w:rPr>
        <w:t xml:space="preserve"> </w:t>
      </w:r>
      <w:r w:rsidR="00E812D2" w:rsidRPr="00FE712F">
        <w:rPr>
          <w:rFonts w:ascii="Arial" w:hAnsi="Arial" w:cs="Arial"/>
          <w:sz w:val="24"/>
          <w:szCs w:val="24"/>
          <w:lang w:val="en-GB"/>
        </w:rPr>
        <w:t>R 1 392 237,27</w:t>
      </w:r>
      <w:r w:rsidR="005C43E8" w:rsidRPr="00FE712F">
        <w:rPr>
          <w:rFonts w:ascii="Arial" w:hAnsi="Arial" w:cs="Arial"/>
          <w:sz w:val="24"/>
          <w:szCs w:val="24"/>
          <w:lang w:val="en-GB"/>
        </w:rPr>
        <w:t xml:space="preserve"> still </w:t>
      </w:r>
      <w:r w:rsidR="002179E4" w:rsidRPr="00FE712F">
        <w:rPr>
          <w:rFonts w:ascii="Arial" w:hAnsi="Arial" w:cs="Arial"/>
          <w:sz w:val="24"/>
          <w:szCs w:val="24"/>
          <w:lang w:val="en-GB"/>
        </w:rPr>
        <w:t xml:space="preserve">has </w:t>
      </w:r>
      <w:r w:rsidR="005C43E8" w:rsidRPr="00FE712F">
        <w:rPr>
          <w:rFonts w:ascii="Arial" w:hAnsi="Arial" w:cs="Arial"/>
          <w:sz w:val="24"/>
          <w:szCs w:val="24"/>
          <w:lang w:val="en-GB"/>
        </w:rPr>
        <w:t>to be paid towards the registration of transfer of the immovable property into the names of the purchaser.</w:t>
      </w:r>
      <w:r w:rsidR="0068130F" w:rsidRPr="00FE712F">
        <w:rPr>
          <w:rFonts w:ascii="Arial" w:hAnsi="Arial" w:cs="Arial"/>
          <w:sz w:val="24"/>
          <w:szCs w:val="24"/>
          <w:lang w:val="en-GB"/>
        </w:rPr>
        <w:t xml:space="preserve"> The purchaser refuses to pay the transfer costs and take the transfer of the immovable property.</w:t>
      </w:r>
    </w:p>
    <w:p w:rsidR="001E37D6" w:rsidRDefault="001E37D6" w:rsidP="00F40AAF">
      <w:pPr>
        <w:pStyle w:val="ListParagraph"/>
        <w:spacing w:line="240" w:lineRule="auto"/>
        <w:ind w:left="0"/>
        <w:jc w:val="both"/>
        <w:rPr>
          <w:rFonts w:ascii="Arial" w:hAnsi="Arial" w:cs="Arial"/>
          <w:sz w:val="24"/>
          <w:szCs w:val="24"/>
          <w:lang w:val="en-GB"/>
        </w:rPr>
      </w:pPr>
    </w:p>
    <w:p w:rsidR="001E37D6" w:rsidRPr="00FE712F" w:rsidRDefault="00FE712F" w:rsidP="00FE712F">
      <w:pPr>
        <w:spacing w:line="480" w:lineRule="auto"/>
        <w:jc w:val="both"/>
        <w:rPr>
          <w:rFonts w:ascii="Arial" w:hAnsi="Arial" w:cs="Arial"/>
          <w:spacing w:val="-3"/>
          <w:sz w:val="24"/>
          <w:szCs w:val="24"/>
        </w:rPr>
      </w:pPr>
      <w:r>
        <w:rPr>
          <w:rFonts w:ascii="Arial" w:hAnsi="Arial" w:cs="Arial"/>
          <w:spacing w:val="-3"/>
          <w:sz w:val="24"/>
          <w:szCs w:val="24"/>
        </w:rPr>
        <w:t>[3]</w:t>
      </w:r>
      <w:r>
        <w:rPr>
          <w:rFonts w:ascii="Arial" w:hAnsi="Arial" w:cs="Arial"/>
          <w:spacing w:val="-3"/>
          <w:sz w:val="24"/>
          <w:szCs w:val="24"/>
        </w:rPr>
        <w:tab/>
      </w:r>
      <w:r w:rsidR="00B3771C" w:rsidRPr="00FE712F">
        <w:rPr>
          <w:rFonts w:ascii="Arial" w:hAnsi="Arial" w:cs="Arial"/>
          <w:sz w:val="24"/>
          <w:szCs w:val="24"/>
          <w:lang w:val="en-GB"/>
        </w:rPr>
        <w:t xml:space="preserve">The purchaser states in its answering affidavit in these proceedings that </w:t>
      </w:r>
      <w:r w:rsidR="00727095" w:rsidRPr="00FE712F">
        <w:rPr>
          <w:rFonts w:ascii="Arial" w:hAnsi="Arial" w:cs="Arial"/>
          <w:sz w:val="24"/>
          <w:szCs w:val="24"/>
          <w:lang w:val="en-GB"/>
        </w:rPr>
        <w:t xml:space="preserve">the </w:t>
      </w:r>
      <w:r w:rsidR="006F6C5D" w:rsidRPr="00FE712F">
        <w:rPr>
          <w:rFonts w:ascii="Arial" w:hAnsi="Arial" w:cs="Arial"/>
          <w:spacing w:val="-3"/>
          <w:sz w:val="24"/>
          <w:szCs w:val="24"/>
        </w:rPr>
        <w:t>seller</w:t>
      </w:r>
      <w:r w:rsidR="00B3771C" w:rsidRPr="00FE712F">
        <w:rPr>
          <w:rFonts w:ascii="Arial" w:hAnsi="Arial" w:cs="Arial"/>
          <w:spacing w:val="-3"/>
          <w:sz w:val="24"/>
          <w:szCs w:val="24"/>
        </w:rPr>
        <w:t xml:space="preserve"> or its representative deliberately failed to make disclosures of material facts notwithstanding an obligation to do so in that they failed to make disclosure of all conditions and/or endorsements on the title deed and/or circumstances that brought about the condition</w:t>
      </w:r>
      <w:r w:rsidR="00533609" w:rsidRPr="00FE712F">
        <w:rPr>
          <w:rFonts w:ascii="Arial" w:hAnsi="Arial" w:cs="Arial"/>
          <w:spacing w:val="-3"/>
          <w:sz w:val="24"/>
          <w:szCs w:val="24"/>
        </w:rPr>
        <w:t>s</w:t>
      </w:r>
      <w:r w:rsidR="00B3771C" w:rsidRPr="00FE712F">
        <w:rPr>
          <w:rFonts w:ascii="Arial" w:hAnsi="Arial" w:cs="Arial"/>
          <w:spacing w:val="-3"/>
          <w:sz w:val="24"/>
          <w:szCs w:val="24"/>
        </w:rPr>
        <w:t xml:space="preserve"> or the endorsements.</w:t>
      </w:r>
      <w:r w:rsidR="002179E4" w:rsidRPr="00FE712F">
        <w:rPr>
          <w:rFonts w:ascii="Arial" w:hAnsi="Arial" w:cs="Arial"/>
          <w:sz w:val="24"/>
          <w:szCs w:val="24"/>
          <w:lang w:val="en-GB"/>
        </w:rPr>
        <w:t xml:space="preserve"> </w:t>
      </w:r>
      <w:r w:rsidR="006F6C5D" w:rsidRPr="00FE712F">
        <w:rPr>
          <w:rFonts w:ascii="Arial" w:hAnsi="Arial" w:cs="Arial"/>
          <w:sz w:val="24"/>
          <w:szCs w:val="24"/>
          <w:lang w:val="en-GB"/>
        </w:rPr>
        <w:t>According to the purchaser</w:t>
      </w:r>
      <w:r w:rsidR="0068130F" w:rsidRPr="00FE712F">
        <w:rPr>
          <w:rFonts w:ascii="Arial" w:hAnsi="Arial" w:cs="Arial"/>
          <w:sz w:val="24"/>
          <w:szCs w:val="24"/>
          <w:lang w:val="en-GB"/>
        </w:rPr>
        <w:t>,</w:t>
      </w:r>
      <w:r w:rsidR="006F6C5D" w:rsidRPr="00FE712F">
        <w:rPr>
          <w:rFonts w:ascii="Arial" w:hAnsi="Arial" w:cs="Arial"/>
          <w:sz w:val="24"/>
          <w:szCs w:val="24"/>
          <w:lang w:val="en-GB"/>
        </w:rPr>
        <w:t xml:space="preserve"> the seller or its representative failed to disclose to the purchaser that the immovable property in question is under hijack</w:t>
      </w:r>
      <w:r w:rsidR="0068130F" w:rsidRPr="00FE712F">
        <w:rPr>
          <w:rFonts w:ascii="Arial" w:hAnsi="Arial" w:cs="Arial"/>
          <w:sz w:val="24"/>
          <w:szCs w:val="24"/>
          <w:lang w:val="en-GB"/>
        </w:rPr>
        <w:t xml:space="preserve">, that upon learning of the caveat to the title deed and </w:t>
      </w:r>
      <w:r w:rsidR="0068130F" w:rsidRPr="00FE712F">
        <w:rPr>
          <w:rFonts w:ascii="Arial" w:hAnsi="Arial" w:cs="Arial"/>
          <w:sz w:val="24"/>
          <w:szCs w:val="24"/>
          <w:lang w:val="en-GB"/>
        </w:rPr>
        <w:lastRenderedPageBreak/>
        <w:t>investigating it, it became aware that the immovable property was targeted by hijackers and is under attack. Those hijackers will have to be warded off in court and that will delay its plans to develop the immovable property.</w:t>
      </w:r>
      <w:r w:rsidR="006F6C5D" w:rsidRPr="00FE712F">
        <w:rPr>
          <w:rFonts w:ascii="Arial" w:hAnsi="Arial" w:cs="Arial"/>
          <w:sz w:val="24"/>
          <w:szCs w:val="24"/>
          <w:lang w:val="en-GB"/>
        </w:rPr>
        <w:t xml:space="preserve"> </w:t>
      </w:r>
      <w:r w:rsidR="002179E4" w:rsidRPr="00FE712F">
        <w:rPr>
          <w:rFonts w:ascii="Arial" w:hAnsi="Arial" w:cs="Arial"/>
          <w:sz w:val="24"/>
          <w:szCs w:val="24"/>
          <w:lang w:val="en-GB"/>
        </w:rPr>
        <w:t>The purchaser says that the contract stands to be rescinded or cancelled. This was after it had sent correspondence to the seller</w:t>
      </w:r>
      <w:r w:rsidR="00533609" w:rsidRPr="00FE712F">
        <w:rPr>
          <w:rFonts w:ascii="Arial" w:hAnsi="Arial" w:cs="Arial"/>
          <w:sz w:val="24"/>
          <w:szCs w:val="24"/>
          <w:lang w:val="en-GB"/>
        </w:rPr>
        <w:t xml:space="preserve"> and</w:t>
      </w:r>
      <w:r w:rsidR="002179E4" w:rsidRPr="00FE712F">
        <w:rPr>
          <w:rFonts w:ascii="Arial" w:hAnsi="Arial" w:cs="Arial"/>
          <w:sz w:val="24"/>
          <w:szCs w:val="24"/>
          <w:lang w:val="en-GB"/>
        </w:rPr>
        <w:t xml:space="preserve"> the second and third respondents through its attorneys on </w:t>
      </w:r>
      <w:r w:rsidR="002179E4" w:rsidRPr="00FE712F">
        <w:rPr>
          <w:rFonts w:ascii="Arial" w:hAnsi="Arial" w:cs="Arial"/>
          <w:spacing w:val="-3"/>
          <w:sz w:val="24"/>
          <w:szCs w:val="24"/>
        </w:rPr>
        <w:t xml:space="preserve">3 September </w:t>
      </w:r>
      <w:r w:rsidR="00533609" w:rsidRPr="00FE712F">
        <w:rPr>
          <w:rFonts w:ascii="Arial" w:hAnsi="Arial" w:cs="Arial"/>
          <w:spacing w:val="-3"/>
          <w:sz w:val="24"/>
          <w:szCs w:val="24"/>
        </w:rPr>
        <w:t>and stated</w:t>
      </w:r>
      <w:r w:rsidR="002179E4" w:rsidRPr="00FE712F">
        <w:rPr>
          <w:rFonts w:ascii="Arial" w:hAnsi="Arial" w:cs="Arial"/>
          <w:spacing w:val="-3"/>
          <w:sz w:val="24"/>
          <w:szCs w:val="24"/>
        </w:rPr>
        <w:t xml:space="preserve"> its “resolve to withdraw from the transaction”,</w:t>
      </w:r>
      <w:r w:rsidR="002179E4" w:rsidRPr="00FE712F">
        <w:rPr>
          <w:rFonts w:ascii="Arial" w:hAnsi="Arial" w:cs="Arial"/>
          <w:i/>
          <w:spacing w:val="-3"/>
          <w:sz w:val="24"/>
          <w:szCs w:val="24"/>
        </w:rPr>
        <w:t xml:space="preserve"> </w:t>
      </w:r>
      <w:r w:rsidR="00533609" w:rsidRPr="00FE712F">
        <w:rPr>
          <w:rFonts w:ascii="Arial" w:hAnsi="Arial" w:cs="Arial"/>
          <w:spacing w:val="-3"/>
          <w:sz w:val="24"/>
          <w:szCs w:val="24"/>
        </w:rPr>
        <w:t xml:space="preserve">and further </w:t>
      </w:r>
      <w:r w:rsidR="002179E4" w:rsidRPr="00FE712F">
        <w:rPr>
          <w:rFonts w:ascii="Arial" w:hAnsi="Arial" w:cs="Arial"/>
          <w:spacing w:val="-3"/>
          <w:sz w:val="24"/>
          <w:szCs w:val="24"/>
        </w:rPr>
        <w:t>that the “second and third respondents cease all activities related to the transfer of the property” and that it be</w:t>
      </w:r>
      <w:r w:rsidR="002179E4" w:rsidRPr="00FE712F">
        <w:rPr>
          <w:rFonts w:ascii="Arial" w:hAnsi="Arial" w:cs="Arial"/>
          <w:i/>
          <w:spacing w:val="-3"/>
          <w:sz w:val="24"/>
          <w:szCs w:val="24"/>
        </w:rPr>
        <w:t xml:space="preserve"> “</w:t>
      </w:r>
      <w:r w:rsidR="002179E4" w:rsidRPr="00FE712F">
        <w:rPr>
          <w:rFonts w:ascii="Arial" w:hAnsi="Arial" w:cs="Arial"/>
          <w:spacing w:val="-3"/>
          <w:sz w:val="24"/>
          <w:szCs w:val="24"/>
        </w:rPr>
        <w:t>reimbursed of all amounts it had paid in anticipation of the transfer”.</w:t>
      </w:r>
    </w:p>
    <w:p w:rsidR="005D6EFE" w:rsidRPr="00F40AAF" w:rsidRDefault="005D6EFE" w:rsidP="00F40AAF">
      <w:pPr>
        <w:pStyle w:val="ListParagraph"/>
        <w:spacing w:line="240" w:lineRule="auto"/>
        <w:ind w:left="0"/>
        <w:jc w:val="both"/>
        <w:rPr>
          <w:rFonts w:ascii="Arial" w:hAnsi="Arial" w:cs="Arial"/>
          <w:spacing w:val="-3"/>
          <w:sz w:val="24"/>
          <w:szCs w:val="24"/>
        </w:rPr>
      </w:pPr>
    </w:p>
    <w:p w:rsidR="001E37D6" w:rsidRPr="00FE712F" w:rsidRDefault="00FE712F" w:rsidP="00FE712F">
      <w:pPr>
        <w:spacing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[4]</w:t>
      </w:r>
      <w:r>
        <w:rPr>
          <w:rFonts w:ascii="Arial" w:hAnsi="Arial" w:cs="Arial"/>
          <w:color w:val="000000" w:themeColor="text1"/>
          <w:sz w:val="24"/>
          <w:szCs w:val="24"/>
          <w:lang w:val="en-GB"/>
        </w:rPr>
        <w:tab/>
      </w:r>
      <w:r w:rsidR="002179E4" w:rsidRPr="00FE712F">
        <w:rPr>
          <w:rFonts w:ascii="Arial" w:hAnsi="Arial" w:cs="Arial"/>
          <w:sz w:val="24"/>
          <w:szCs w:val="24"/>
          <w:lang w:val="en-GB"/>
        </w:rPr>
        <w:t>The seller</w:t>
      </w:r>
      <w:r w:rsidR="006F6C5D" w:rsidRPr="00FE712F">
        <w:rPr>
          <w:rFonts w:ascii="Arial" w:hAnsi="Arial" w:cs="Arial"/>
          <w:sz w:val="24"/>
          <w:szCs w:val="24"/>
          <w:lang w:val="en-GB"/>
        </w:rPr>
        <w:t xml:space="preserve"> says </w:t>
      </w:r>
      <w:r w:rsidR="008C799E" w:rsidRPr="00FE712F">
        <w:rPr>
          <w:rFonts w:ascii="Arial" w:hAnsi="Arial" w:cs="Arial"/>
          <w:sz w:val="24"/>
          <w:szCs w:val="24"/>
          <w:lang w:val="en-GB"/>
        </w:rPr>
        <w:t xml:space="preserve">that </w:t>
      </w:r>
      <w:r w:rsidR="006F6C5D" w:rsidRPr="00FE712F">
        <w:rPr>
          <w:rFonts w:ascii="Arial" w:hAnsi="Arial" w:cs="Arial"/>
          <w:color w:val="000000" w:themeColor="text1"/>
          <w:sz w:val="24"/>
          <w:szCs w:val="24"/>
          <w:lang w:val="en-GB"/>
        </w:rPr>
        <w:t>it has complied</w:t>
      </w:r>
      <w:r w:rsidR="002179E4" w:rsidRPr="00FE712F">
        <w:rPr>
          <w:rFonts w:ascii="Arial" w:hAnsi="Arial" w:cs="Arial"/>
          <w:color w:val="000000" w:themeColor="text1"/>
          <w:sz w:val="24"/>
          <w:szCs w:val="24"/>
          <w:lang w:val="en-GB"/>
        </w:rPr>
        <w:t xml:space="preserve"> </w:t>
      </w:r>
      <w:r w:rsidR="008C799E" w:rsidRPr="00FE712F">
        <w:rPr>
          <w:rFonts w:ascii="Arial" w:hAnsi="Arial" w:cs="Arial"/>
          <w:color w:val="000000" w:themeColor="text1"/>
          <w:sz w:val="24"/>
          <w:szCs w:val="24"/>
          <w:lang w:val="en-GB"/>
        </w:rPr>
        <w:t>with its obligations in terms of the contract including instructing the second respondent to deal with the qu</w:t>
      </w:r>
      <w:r w:rsidR="00A950CD" w:rsidRPr="00FE712F">
        <w:rPr>
          <w:rFonts w:ascii="Arial" w:hAnsi="Arial" w:cs="Arial"/>
          <w:color w:val="000000" w:themeColor="text1"/>
          <w:sz w:val="24"/>
          <w:szCs w:val="24"/>
          <w:lang w:val="en-GB"/>
        </w:rPr>
        <w:t>estion of removing the caveat on</w:t>
      </w:r>
      <w:r w:rsidR="008C799E" w:rsidRPr="00FE712F">
        <w:rPr>
          <w:rFonts w:ascii="Arial" w:hAnsi="Arial" w:cs="Arial"/>
          <w:color w:val="000000" w:themeColor="text1"/>
          <w:sz w:val="24"/>
          <w:szCs w:val="24"/>
          <w:lang w:val="en-GB"/>
        </w:rPr>
        <w:t xml:space="preserve"> the title deed in terms of clause 20.1 of the contract. The seller contended that the caveat served to inform the Registrar of Deeds not to issue a copy of the title deed to the property to anyone without leave of the court.</w:t>
      </w:r>
    </w:p>
    <w:p w:rsidR="005D6EFE" w:rsidRPr="00F40AAF" w:rsidRDefault="005D6EFE" w:rsidP="00F40AAF">
      <w:pPr>
        <w:pStyle w:val="ListParagraph"/>
        <w:spacing w:line="240" w:lineRule="auto"/>
        <w:ind w:left="0"/>
        <w:jc w:val="both"/>
        <w:rPr>
          <w:rFonts w:ascii="Arial" w:hAnsi="Arial" w:cs="Arial"/>
          <w:color w:val="000000" w:themeColor="text1"/>
          <w:sz w:val="24"/>
          <w:szCs w:val="24"/>
          <w:lang w:val="en-GB"/>
        </w:rPr>
      </w:pPr>
    </w:p>
    <w:p w:rsidR="002179E4" w:rsidRPr="00FE712F" w:rsidRDefault="00FE712F" w:rsidP="00FE712F">
      <w:pPr>
        <w:spacing w:after="0" w:line="480" w:lineRule="auto"/>
        <w:jc w:val="both"/>
        <w:rPr>
          <w:rFonts w:ascii="Arial" w:hAnsi="Arial" w:cs="Arial"/>
          <w:sz w:val="24"/>
          <w:szCs w:val="24"/>
          <w:lang w:val="en-GB"/>
        </w:rPr>
      </w:pPr>
      <w:r w:rsidRPr="00F40AAF">
        <w:rPr>
          <w:rFonts w:ascii="Arial" w:hAnsi="Arial" w:cs="Arial"/>
          <w:sz w:val="24"/>
          <w:szCs w:val="24"/>
          <w:lang w:val="en-GB"/>
        </w:rPr>
        <w:t>[5]</w:t>
      </w:r>
      <w:r w:rsidRPr="00F40AAF">
        <w:rPr>
          <w:rFonts w:ascii="Arial" w:hAnsi="Arial" w:cs="Arial"/>
          <w:sz w:val="24"/>
          <w:szCs w:val="24"/>
          <w:lang w:val="en-GB"/>
        </w:rPr>
        <w:tab/>
      </w:r>
      <w:r w:rsidR="008C799E" w:rsidRPr="00FE712F">
        <w:rPr>
          <w:rFonts w:ascii="Arial" w:hAnsi="Arial" w:cs="Arial"/>
          <w:color w:val="000000" w:themeColor="text1"/>
          <w:sz w:val="24"/>
          <w:szCs w:val="24"/>
          <w:lang w:val="en-GB"/>
        </w:rPr>
        <w:t xml:space="preserve">The seller </w:t>
      </w:r>
      <w:r w:rsidR="00B14CA3" w:rsidRPr="00FE712F">
        <w:rPr>
          <w:rFonts w:ascii="Arial" w:hAnsi="Arial" w:cs="Arial"/>
          <w:color w:val="000000" w:themeColor="text1"/>
          <w:sz w:val="24"/>
          <w:szCs w:val="24"/>
          <w:lang w:val="en-GB"/>
        </w:rPr>
        <w:t>contended</w:t>
      </w:r>
      <w:r w:rsidR="008C799E" w:rsidRPr="00FE712F">
        <w:rPr>
          <w:rFonts w:ascii="Arial" w:hAnsi="Arial" w:cs="Arial"/>
          <w:color w:val="000000" w:themeColor="text1"/>
          <w:sz w:val="24"/>
          <w:szCs w:val="24"/>
          <w:lang w:val="en-GB"/>
        </w:rPr>
        <w:t xml:space="preserve"> </w:t>
      </w:r>
      <w:r w:rsidR="00A950CD" w:rsidRPr="00FE712F">
        <w:rPr>
          <w:rFonts w:ascii="Arial" w:hAnsi="Arial" w:cs="Arial"/>
          <w:color w:val="000000" w:themeColor="text1"/>
          <w:sz w:val="24"/>
          <w:szCs w:val="24"/>
          <w:lang w:val="en-GB"/>
        </w:rPr>
        <w:t xml:space="preserve">further </w:t>
      </w:r>
      <w:r w:rsidR="008C799E" w:rsidRPr="00FE712F">
        <w:rPr>
          <w:rFonts w:ascii="Arial" w:hAnsi="Arial" w:cs="Arial"/>
          <w:color w:val="000000" w:themeColor="text1"/>
          <w:sz w:val="24"/>
          <w:szCs w:val="24"/>
          <w:lang w:val="en-GB"/>
        </w:rPr>
        <w:t>that</w:t>
      </w:r>
      <w:r w:rsidR="00B14CA3" w:rsidRPr="00FE712F">
        <w:rPr>
          <w:rFonts w:ascii="Arial" w:hAnsi="Arial" w:cs="Arial"/>
          <w:color w:val="000000" w:themeColor="text1"/>
          <w:sz w:val="24"/>
          <w:szCs w:val="24"/>
          <w:lang w:val="en-GB"/>
        </w:rPr>
        <w:t xml:space="preserve"> there is no truth about the hijacking issue.</w:t>
      </w:r>
      <w:r w:rsidR="008B130A" w:rsidRPr="00FE712F">
        <w:rPr>
          <w:rFonts w:ascii="Arial" w:hAnsi="Arial" w:cs="Arial"/>
          <w:color w:val="000000" w:themeColor="text1"/>
          <w:sz w:val="24"/>
          <w:szCs w:val="24"/>
          <w:lang w:val="en-GB"/>
        </w:rPr>
        <w:t xml:space="preserve"> It argued that it is the registered and undisputed owner of the immovable property and is not fending off hijackers. It says that there has never been an attempt to hijack the immovable property</w:t>
      </w:r>
      <w:r w:rsidR="000F7D52" w:rsidRPr="00FE712F">
        <w:rPr>
          <w:rFonts w:ascii="Arial" w:hAnsi="Arial" w:cs="Arial"/>
          <w:color w:val="000000" w:themeColor="text1"/>
          <w:sz w:val="24"/>
          <w:szCs w:val="24"/>
          <w:lang w:val="en-GB"/>
        </w:rPr>
        <w:t xml:space="preserve"> either as alleged or at all. The seller </w:t>
      </w:r>
      <w:r w:rsidR="00A950CD" w:rsidRPr="00FE712F">
        <w:rPr>
          <w:rFonts w:ascii="Arial" w:hAnsi="Arial" w:cs="Arial"/>
          <w:color w:val="000000" w:themeColor="text1"/>
          <w:sz w:val="24"/>
          <w:szCs w:val="24"/>
          <w:lang w:val="en-GB"/>
        </w:rPr>
        <w:t>argued</w:t>
      </w:r>
      <w:r w:rsidR="000F7D52" w:rsidRPr="00FE712F">
        <w:rPr>
          <w:rFonts w:ascii="Arial" w:hAnsi="Arial" w:cs="Arial"/>
          <w:color w:val="000000" w:themeColor="text1"/>
          <w:sz w:val="24"/>
          <w:szCs w:val="24"/>
          <w:lang w:val="en-GB"/>
        </w:rPr>
        <w:t xml:space="preserve"> that the averments by the purchaser in respect of hijacking </w:t>
      </w:r>
      <w:r w:rsidR="00A950CD" w:rsidRPr="00FE712F">
        <w:rPr>
          <w:rFonts w:ascii="Arial" w:hAnsi="Arial" w:cs="Arial"/>
          <w:color w:val="000000" w:themeColor="text1"/>
          <w:sz w:val="24"/>
          <w:szCs w:val="24"/>
          <w:lang w:val="en-GB"/>
        </w:rPr>
        <w:t xml:space="preserve">of the immovable property </w:t>
      </w:r>
      <w:r w:rsidR="000F7D52" w:rsidRPr="00FE712F">
        <w:rPr>
          <w:rFonts w:ascii="Arial" w:hAnsi="Arial" w:cs="Arial"/>
          <w:color w:val="000000" w:themeColor="text1"/>
          <w:sz w:val="24"/>
          <w:szCs w:val="24"/>
          <w:lang w:val="en-GB"/>
        </w:rPr>
        <w:t xml:space="preserve">and its effect are speculation and far-fetched. The </w:t>
      </w:r>
      <w:r w:rsidR="00A950CD" w:rsidRPr="00FE712F">
        <w:rPr>
          <w:rFonts w:ascii="Arial" w:hAnsi="Arial" w:cs="Arial"/>
          <w:color w:val="000000" w:themeColor="text1"/>
          <w:sz w:val="24"/>
          <w:szCs w:val="24"/>
          <w:lang w:val="en-GB"/>
        </w:rPr>
        <w:t xml:space="preserve">seller </w:t>
      </w:r>
      <w:r w:rsidR="000F7D52" w:rsidRPr="00FE712F">
        <w:rPr>
          <w:rFonts w:ascii="Arial" w:hAnsi="Arial" w:cs="Arial"/>
          <w:color w:val="000000" w:themeColor="text1"/>
          <w:sz w:val="24"/>
          <w:szCs w:val="24"/>
          <w:lang w:val="en-GB"/>
        </w:rPr>
        <w:t xml:space="preserve">stated that the caveat related to an attempt to liquidate it and had nothing to do with hijacking of the immovable property and </w:t>
      </w:r>
      <w:r w:rsidR="00A950CD" w:rsidRPr="00FE712F">
        <w:rPr>
          <w:rFonts w:ascii="Arial" w:hAnsi="Arial" w:cs="Arial"/>
          <w:color w:val="000000" w:themeColor="text1"/>
          <w:sz w:val="24"/>
          <w:szCs w:val="24"/>
          <w:lang w:val="en-GB"/>
        </w:rPr>
        <w:t xml:space="preserve">in any event, </w:t>
      </w:r>
      <w:r w:rsidR="000F7D52" w:rsidRPr="00FE712F">
        <w:rPr>
          <w:rFonts w:ascii="Arial" w:hAnsi="Arial" w:cs="Arial"/>
          <w:color w:val="000000" w:themeColor="text1"/>
          <w:sz w:val="24"/>
          <w:szCs w:val="24"/>
          <w:lang w:val="en-GB"/>
        </w:rPr>
        <w:t>clause 20.1</w:t>
      </w:r>
      <w:r w:rsidR="00A950CD" w:rsidRPr="00FE712F">
        <w:rPr>
          <w:rFonts w:ascii="Arial" w:hAnsi="Arial" w:cs="Arial"/>
          <w:color w:val="000000" w:themeColor="text1"/>
          <w:sz w:val="24"/>
          <w:szCs w:val="24"/>
          <w:lang w:val="en-GB"/>
        </w:rPr>
        <w:t xml:space="preserve"> of the contract</w:t>
      </w:r>
      <w:r w:rsidR="000F7D52" w:rsidRPr="00FE712F">
        <w:rPr>
          <w:rFonts w:ascii="Arial" w:hAnsi="Arial" w:cs="Arial"/>
          <w:color w:val="000000" w:themeColor="text1"/>
          <w:sz w:val="24"/>
          <w:szCs w:val="24"/>
          <w:lang w:val="en-GB"/>
        </w:rPr>
        <w:t xml:space="preserve"> does not in any way impede the transfer of the immovable property. The seller </w:t>
      </w:r>
      <w:r w:rsidR="002179E4" w:rsidRPr="00FE712F">
        <w:rPr>
          <w:rFonts w:ascii="Arial" w:hAnsi="Arial" w:cs="Arial"/>
          <w:color w:val="000000" w:themeColor="text1"/>
          <w:sz w:val="24"/>
          <w:szCs w:val="24"/>
          <w:lang w:val="en-GB"/>
        </w:rPr>
        <w:t xml:space="preserve">considers the purchaser’s unilateral </w:t>
      </w:r>
      <w:r w:rsidR="000F7D52" w:rsidRPr="00FE712F">
        <w:rPr>
          <w:rFonts w:ascii="Arial" w:hAnsi="Arial" w:cs="Arial"/>
          <w:color w:val="000000" w:themeColor="text1"/>
          <w:sz w:val="24"/>
          <w:szCs w:val="24"/>
          <w:lang w:val="en-GB"/>
        </w:rPr>
        <w:t>non-compliance</w:t>
      </w:r>
      <w:r w:rsidR="002179E4" w:rsidRPr="00FE712F">
        <w:rPr>
          <w:rFonts w:ascii="Arial" w:hAnsi="Arial" w:cs="Arial"/>
          <w:color w:val="000000" w:themeColor="text1"/>
          <w:sz w:val="24"/>
          <w:szCs w:val="24"/>
          <w:lang w:val="en-GB"/>
        </w:rPr>
        <w:t xml:space="preserve"> </w:t>
      </w:r>
      <w:r w:rsidR="002179E4" w:rsidRPr="00FE712F">
        <w:rPr>
          <w:rFonts w:ascii="Arial" w:hAnsi="Arial" w:cs="Arial"/>
          <w:sz w:val="24"/>
          <w:szCs w:val="24"/>
          <w:lang w:val="en-GB"/>
        </w:rPr>
        <w:lastRenderedPageBreak/>
        <w:t>with the terms of the contract a repudiation which it refuses to accept and it demanded specific performance from the purchaser of its obligation to pay the transfer costs for the registration of the transfer of the immovable property into the purchaser’s names. The purchaser did not heed to the demand and hence the present application.</w:t>
      </w:r>
    </w:p>
    <w:p w:rsidR="005D6EFE" w:rsidRDefault="005D6EFE" w:rsidP="00F40AAF">
      <w:pPr>
        <w:spacing w:after="0" w:line="240" w:lineRule="auto"/>
        <w:jc w:val="both"/>
        <w:rPr>
          <w:rFonts w:ascii="Arial" w:hAnsi="Arial" w:cs="Arial"/>
          <w:b/>
          <w:sz w:val="24"/>
          <w:szCs w:val="24"/>
          <w:lang w:val="en-GB"/>
        </w:rPr>
      </w:pPr>
    </w:p>
    <w:p w:rsidR="00217B5E" w:rsidRDefault="006A1708" w:rsidP="00217B5E">
      <w:pPr>
        <w:spacing w:line="480" w:lineRule="auto"/>
        <w:jc w:val="both"/>
        <w:rPr>
          <w:rFonts w:ascii="Arial" w:hAnsi="Arial" w:cs="Arial"/>
          <w:b/>
          <w:sz w:val="24"/>
          <w:szCs w:val="24"/>
          <w:lang w:val="en-GB"/>
        </w:rPr>
      </w:pPr>
      <w:r>
        <w:rPr>
          <w:rFonts w:ascii="Arial" w:hAnsi="Arial" w:cs="Arial"/>
          <w:b/>
          <w:sz w:val="24"/>
          <w:szCs w:val="24"/>
          <w:lang w:val="en-GB"/>
        </w:rPr>
        <w:t>The C</w:t>
      </w:r>
      <w:r w:rsidRPr="002179E4">
        <w:rPr>
          <w:rFonts w:ascii="Arial" w:hAnsi="Arial" w:cs="Arial"/>
          <w:b/>
          <w:sz w:val="24"/>
          <w:szCs w:val="24"/>
          <w:lang w:val="en-GB"/>
        </w:rPr>
        <w:t>aveat</w:t>
      </w:r>
    </w:p>
    <w:p w:rsidR="00DC4544" w:rsidRPr="00FE712F" w:rsidRDefault="00FE712F" w:rsidP="00FE712F">
      <w:pPr>
        <w:spacing w:line="480" w:lineRule="auto"/>
        <w:jc w:val="both"/>
        <w:rPr>
          <w:rFonts w:ascii="Arial" w:hAnsi="Arial" w:cs="Arial"/>
          <w:b/>
          <w:spacing w:val="-3"/>
          <w:sz w:val="24"/>
          <w:szCs w:val="24"/>
        </w:rPr>
      </w:pPr>
      <w:r w:rsidRPr="00F40AAF">
        <w:rPr>
          <w:rFonts w:ascii="Arial" w:hAnsi="Arial" w:cs="Arial"/>
          <w:spacing w:val="-3"/>
          <w:sz w:val="24"/>
          <w:szCs w:val="24"/>
        </w:rPr>
        <w:t>[6]</w:t>
      </w:r>
      <w:r w:rsidRPr="00F40AAF">
        <w:rPr>
          <w:rFonts w:ascii="Arial" w:hAnsi="Arial" w:cs="Arial"/>
          <w:spacing w:val="-3"/>
          <w:sz w:val="24"/>
          <w:szCs w:val="24"/>
        </w:rPr>
        <w:tab/>
      </w:r>
      <w:r w:rsidR="00DC4544" w:rsidRPr="00FE712F">
        <w:rPr>
          <w:rFonts w:ascii="Arial" w:hAnsi="Arial" w:cs="Arial"/>
          <w:sz w:val="24"/>
          <w:szCs w:val="24"/>
        </w:rPr>
        <w:t xml:space="preserve">In </w:t>
      </w:r>
      <w:r w:rsidR="00DC4544" w:rsidRPr="00FE712F">
        <w:rPr>
          <w:rFonts w:ascii="Arial" w:hAnsi="Arial" w:cs="Arial"/>
          <w:color w:val="0F0F0F"/>
          <w:sz w:val="24"/>
          <w:szCs w:val="24"/>
        </w:rPr>
        <w:t xml:space="preserve">the founding affidavit the </w:t>
      </w:r>
      <w:r w:rsidR="006F6C5D" w:rsidRPr="00FE712F">
        <w:rPr>
          <w:rFonts w:ascii="Arial" w:hAnsi="Arial" w:cs="Arial"/>
          <w:color w:val="0F0F0F"/>
          <w:sz w:val="24"/>
          <w:szCs w:val="24"/>
        </w:rPr>
        <w:t>seller</w:t>
      </w:r>
      <w:r w:rsidR="00533609" w:rsidRPr="00FE712F">
        <w:rPr>
          <w:rFonts w:ascii="Arial" w:hAnsi="Arial" w:cs="Arial"/>
          <w:color w:val="0F0F0F"/>
          <w:sz w:val="24"/>
          <w:szCs w:val="24"/>
        </w:rPr>
        <w:t xml:space="preserve"> </w:t>
      </w:r>
      <w:r w:rsidR="006F6C5D" w:rsidRPr="00FE712F">
        <w:rPr>
          <w:rFonts w:ascii="Arial" w:hAnsi="Arial" w:cs="Arial"/>
          <w:color w:val="0F0F0F"/>
          <w:sz w:val="24"/>
          <w:szCs w:val="24"/>
        </w:rPr>
        <w:t>(applicant)</w:t>
      </w:r>
      <w:r w:rsidR="00DC4544" w:rsidRPr="00FE712F">
        <w:rPr>
          <w:rFonts w:ascii="Arial" w:hAnsi="Arial" w:cs="Arial"/>
          <w:color w:val="0F0F0F"/>
          <w:sz w:val="24"/>
          <w:szCs w:val="24"/>
        </w:rPr>
        <w:t xml:space="preserve"> alleges that p</w:t>
      </w:r>
      <w:r w:rsidR="00DC4544" w:rsidRPr="00FE712F">
        <w:rPr>
          <w:rFonts w:ascii="Arial" w:hAnsi="Arial" w:cs="Arial"/>
          <w:spacing w:val="-1"/>
          <w:sz w:val="24"/>
          <w:szCs w:val="24"/>
        </w:rPr>
        <w:t>rior</w:t>
      </w:r>
      <w:r w:rsidR="00DC4544" w:rsidRPr="00FE712F">
        <w:rPr>
          <w:rFonts w:ascii="Arial" w:hAnsi="Arial" w:cs="Arial"/>
          <w:spacing w:val="-6"/>
          <w:sz w:val="24"/>
          <w:szCs w:val="24"/>
        </w:rPr>
        <w:t xml:space="preserve"> </w:t>
      </w:r>
      <w:r w:rsidR="00DC4544" w:rsidRPr="00FE712F">
        <w:rPr>
          <w:rFonts w:ascii="Arial" w:hAnsi="Arial" w:cs="Arial"/>
          <w:sz w:val="24"/>
          <w:szCs w:val="24"/>
        </w:rPr>
        <w:t>to</w:t>
      </w:r>
      <w:r w:rsidR="00DC4544" w:rsidRPr="00FE712F">
        <w:rPr>
          <w:rFonts w:ascii="Arial" w:hAnsi="Arial" w:cs="Arial"/>
          <w:spacing w:val="-4"/>
          <w:sz w:val="24"/>
          <w:szCs w:val="24"/>
        </w:rPr>
        <w:t xml:space="preserve"> </w:t>
      </w:r>
      <w:r w:rsidR="00DC4544" w:rsidRPr="00FE712F">
        <w:rPr>
          <w:rFonts w:ascii="Arial" w:hAnsi="Arial" w:cs="Arial"/>
          <w:spacing w:val="-1"/>
          <w:sz w:val="24"/>
          <w:szCs w:val="24"/>
        </w:rPr>
        <w:t>2020,</w:t>
      </w:r>
      <w:r w:rsidR="00DC4544" w:rsidRPr="00FE712F">
        <w:rPr>
          <w:rFonts w:ascii="Arial" w:hAnsi="Arial" w:cs="Arial"/>
          <w:spacing w:val="-4"/>
          <w:sz w:val="24"/>
          <w:szCs w:val="24"/>
        </w:rPr>
        <w:t xml:space="preserve"> </w:t>
      </w:r>
      <w:r w:rsidR="00DC4544" w:rsidRPr="00FE712F">
        <w:rPr>
          <w:rFonts w:ascii="Arial" w:hAnsi="Arial" w:cs="Arial"/>
          <w:sz w:val="24"/>
          <w:szCs w:val="24"/>
        </w:rPr>
        <w:t>a</w:t>
      </w:r>
      <w:r w:rsidR="00DC4544" w:rsidRPr="00FE712F">
        <w:rPr>
          <w:rFonts w:ascii="Arial" w:hAnsi="Arial" w:cs="Arial"/>
          <w:spacing w:val="-6"/>
          <w:sz w:val="24"/>
          <w:szCs w:val="24"/>
        </w:rPr>
        <w:t xml:space="preserve"> </w:t>
      </w:r>
      <w:r w:rsidR="00DC4544" w:rsidRPr="00FE712F">
        <w:rPr>
          <w:rFonts w:ascii="Arial" w:hAnsi="Arial" w:cs="Arial"/>
          <w:spacing w:val="-1"/>
          <w:sz w:val="24"/>
          <w:szCs w:val="24"/>
        </w:rPr>
        <w:t>third</w:t>
      </w:r>
      <w:r w:rsidR="00DC4544" w:rsidRPr="00FE712F">
        <w:rPr>
          <w:rFonts w:ascii="Arial" w:hAnsi="Arial" w:cs="Arial"/>
          <w:spacing w:val="-6"/>
          <w:sz w:val="24"/>
          <w:szCs w:val="24"/>
        </w:rPr>
        <w:t xml:space="preserve"> </w:t>
      </w:r>
      <w:r w:rsidR="00DC4544" w:rsidRPr="00FE712F">
        <w:rPr>
          <w:rFonts w:ascii="Arial" w:hAnsi="Arial" w:cs="Arial"/>
          <w:spacing w:val="-1"/>
          <w:sz w:val="24"/>
          <w:szCs w:val="24"/>
        </w:rPr>
        <w:t>party</w:t>
      </w:r>
      <w:r w:rsidR="00DC4544" w:rsidRPr="00FE712F">
        <w:rPr>
          <w:rFonts w:ascii="Arial" w:hAnsi="Arial" w:cs="Arial"/>
          <w:spacing w:val="-7"/>
          <w:sz w:val="24"/>
          <w:szCs w:val="24"/>
        </w:rPr>
        <w:t xml:space="preserve"> </w:t>
      </w:r>
      <w:r w:rsidR="00DC4544" w:rsidRPr="00FE712F">
        <w:rPr>
          <w:rFonts w:ascii="Arial" w:hAnsi="Arial" w:cs="Arial"/>
          <w:spacing w:val="-1"/>
          <w:sz w:val="24"/>
          <w:szCs w:val="24"/>
        </w:rPr>
        <w:t>attempted</w:t>
      </w:r>
      <w:r w:rsidR="00DC4544" w:rsidRPr="00FE712F">
        <w:rPr>
          <w:rFonts w:ascii="Arial" w:hAnsi="Arial" w:cs="Arial"/>
          <w:spacing w:val="-4"/>
          <w:sz w:val="24"/>
          <w:szCs w:val="24"/>
        </w:rPr>
        <w:t xml:space="preserve"> </w:t>
      </w:r>
      <w:r w:rsidR="00DC4544" w:rsidRPr="00FE712F">
        <w:rPr>
          <w:rFonts w:ascii="Arial" w:hAnsi="Arial" w:cs="Arial"/>
          <w:spacing w:val="-1"/>
          <w:sz w:val="24"/>
          <w:szCs w:val="24"/>
        </w:rPr>
        <w:t>to</w:t>
      </w:r>
      <w:r w:rsidR="00DC4544" w:rsidRPr="00FE712F">
        <w:rPr>
          <w:rFonts w:ascii="Arial" w:hAnsi="Arial" w:cs="Arial"/>
          <w:spacing w:val="-6"/>
          <w:sz w:val="24"/>
          <w:szCs w:val="24"/>
        </w:rPr>
        <w:t xml:space="preserve"> </w:t>
      </w:r>
      <w:r w:rsidR="00DC4544" w:rsidRPr="00FE712F">
        <w:rPr>
          <w:rFonts w:ascii="Arial" w:hAnsi="Arial" w:cs="Arial"/>
          <w:spacing w:val="-1"/>
          <w:sz w:val="24"/>
          <w:szCs w:val="24"/>
        </w:rPr>
        <w:t>fraudulently</w:t>
      </w:r>
      <w:r w:rsidR="00DC4544" w:rsidRPr="00FE712F">
        <w:rPr>
          <w:rFonts w:ascii="Arial" w:hAnsi="Arial" w:cs="Arial"/>
          <w:spacing w:val="-7"/>
          <w:sz w:val="24"/>
          <w:szCs w:val="24"/>
        </w:rPr>
        <w:t xml:space="preserve"> </w:t>
      </w:r>
      <w:r w:rsidR="00DC4544" w:rsidRPr="00FE712F">
        <w:rPr>
          <w:rFonts w:ascii="Arial" w:hAnsi="Arial" w:cs="Arial"/>
          <w:spacing w:val="-1"/>
          <w:sz w:val="24"/>
          <w:szCs w:val="24"/>
        </w:rPr>
        <w:t>liquidate</w:t>
      </w:r>
      <w:r w:rsidR="00DC4544" w:rsidRPr="00FE712F">
        <w:rPr>
          <w:rFonts w:ascii="Arial" w:hAnsi="Arial" w:cs="Arial"/>
          <w:spacing w:val="-4"/>
          <w:sz w:val="24"/>
          <w:szCs w:val="24"/>
        </w:rPr>
        <w:t xml:space="preserve"> </w:t>
      </w:r>
      <w:r w:rsidR="00DC4544" w:rsidRPr="00FE712F">
        <w:rPr>
          <w:rFonts w:ascii="Arial" w:hAnsi="Arial" w:cs="Arial"/>
          <w:sz w:val="24"/>
          <w:szCs w:val="24"/>
        </w:rPr>
        <w:t>the applicant.</w:t>
      </w:r>
      <w:r w:rsidR="00DC4544" w:rsidRPr="00FE712F">
        <w:rPr>
          <w:rFonts w:ascii="Arial" w:hAnsi="Arial" w:cs="Arial"/>
          <w:spacing w:val="17"/>
          <w:position w:val="8"/>
          <w:sz w:val="24"/>
          <w:szCs w:val="24"/>
        </w:rPr>
        <w:t xml:space="preserve"> </w:t>
      </w:r>
      <w:r w:rsidR="00DC4544" w:rsidRPr="00FE712F">
        <w:rPr>
          <w:rFonts w:ascii="Arial" w:hAnsi="Arial" w:cs="Arial"/>
          <w:sz w:val="24"/>
          <w:szCs w:val="24"/>
        </w:rPr>
        <w:t>In</w:t>
      </w:r>
      <w:r w:rsidR="00DC4544" w:rsidRPr="00FE712F">
        <w:rPr>
          <w:rFonts w:ascii="Arial" w:hAnsi="Arial" w:cs="Arial"/>
          <w:spacing w:val="15"/>
          <w:sz w:val="24"/>
          <w:szCs w:val="24"/>
        </w:rPr>
        <w:t xml:space="preserve"> </w:t>
      </w:r>
      <w:r w:rsidR="00DC4544" w:rsidRPr="00FE712F">
        <w:rPr>
          <w:rFonts w:ascii="Arial" w:hAnsi="Arial" w:cs="Arial"/>
          <w:spacing w:val="-1"/>
          <w:sz w:val="24"/>
          <w:szCs w:val="24"/>
        </w:rPr>
        <w:t>early</w:t>
      </w:r>
      <w:r w:rsidR="00DC4544" w:rsidRPr="00FE712F">
        <w:rPr>
          <w:rFonts w:ascii="Arial" w:hAnsi="Arial" w:cs="Arial"/>
          <w:spacing w:val="12"/>
          <w:sz w:val="24"/>
          <w:szCs w:val="24"/>
        </w:rPr>
        <w:t xml:space="preserve"> </w:t>
      </w:r>
      <w:r w:rsidR="00DC4544" w:rsidRPr="00FE712F">
        <w:rPr>
          <w:rFonts w:ascii="Arial" w:hAnsi="Arial" w:cs="Arial"/>
          <w:spacing w:val="-1"/>
          <w:sz w:val="24"/>
          <w:szCs w:val="24"/>
        </w:rPr>
        <w:t>2020</w:t>
      </w:r>
      <w:r w:rsidR="00533609" w:rsidRPr="00FE712F">
        <w:rPr>
          <w:rFonts w:ascii="Arial" w:hAnsi="Arial" w:cs="Arial"/>
          <w:spacing w:val="-1"/>
          <w:sz w:val="24"/>
          <w:szCs w:val="24"/>
        </w:rPr>
        <w:t>,</w:t>
      </w:r>
      <w:r w:rsidR="00DC4544" w:rsidRPr="00FE712F">
        <w:rPr>
          <w:rFonts w:ascii="Arial" w:hAnsi="Arial" w:cs="Arial"/>
          <w:spacing w:val="17"/>
          <w:sz w:val="24"/>
          <w:szCs w:val="24"/>
        </w:rPr>
        <w:t xml:space="preserve"> the applicant </w:t>
      </w:r>
      <w:r w:rsidR="00DC4544" w:rsidRPr="00FE712F">
        <w:rPr>
          <w:rFonts w:ascii="Arial" w:hAnsi="Arial" w:cs="Arial"/>
          <w:spacing w:val="-1"/>
          <w:sz w:val="24"/>
          <w:szCs w:val="24"/>
        </w:rPr>
        <w:t>successfully</w:t>
      </w:r>
      <w:r w:rsidR="00DC4544" w:rsidRPr="00FE712F">
        <w:rPr>
          <w:rFonts w:ascii="Arial" w:hAnsi="Arial" w:cs="Arial"/>
          <w:spacing w:val="13"/>
          <w:sz w:val="24"/>
          <w:szCs w:val="24"/>
        </w:rPr>
        <w:t xml:space="preserve"> </w:t>
      </w:r>
      <w:r w:rsidR="00DC4544" w:rsidRPr="00FE712F">
        <w:rPr>
          <w:rFonts w:ascii="Arial" w:hAnsi="Arial" w:cs="Arial"/>
          <w:spacing w:val="-1"/>
          <w:sz w:val="24"/>
          <w:szCs w:val="24"/>
        </w:rPr>
        <w:t>approached</w:t>
      </w:r>
      <w:r w:rsidR="00DC4544" w:rsidRPr="00FE712F">
        <w:rPr>
          <w:rFonts w:ascii="Arial" w:hAnsi="Arial" w:cs="Arial"/>
          <w:spacing w:val="12"/>
          <w:sz w:val="24"/>
          <w:szCs w:val="24"/>
        </w:rPr>
        <w:t xml:space="preserve"> </w:t>
      </w:r>
      <w:r w:rsidR="00DC4544" w:rsidRPr="00FE712F">
        <w:rPr>
          <w:rFonts w:ascii="Arial" w:hAnsi="Arial" w:cs="Arial"/>
          <w:sz w:val="24"/>
          <w:szCs w:val="24"/>
        </w:rPr>
        <w:t>this</w:t>
      </w:r>
      <w:r w:rsidR="00DC4544" w:rsidRPr="00FE712F">
        <w:rPr>
          <w:rFonts w:ascii="Arial" w:hAnsi="Arial" w:cs="Arial"/>
          <w:spacing w:val="14"/>
          <w:sz w:val="24"/>
          <w:szCs w:val="24"/>
        </w:rPr>
        <w:t xml:space="preserve"> </w:t>
      </w:r>
      <w:r w:rsidR="00DC4544" w:rsidRPr="00FE712F">
        <w:rPr>
          <w:rFonts w:ascii="Arial" w:hAnsi="Arial" w:cs="Arial"/>
          <w:spacing w:val="-1"/>
          <w:sz w:val="24"/>
          <w:szCs w:val="24"/>
        </w:rPr>
        <w:t>Court</w:t>
      </w:r>
      <w:r w:rsidR="00DC4544" w:rsidRPr="00FE712F">
        <w:rPr>
          <w:rFonts w:ascii="Arial" w:hAnsi="Arial" w:cs="Arial"/>
          <w:spacing w:val="12"/>
          <w:sz w:val="24"/>
          <w:szCs w:val="24"/>
        </w:rPr>
        <w:t xml:space="preserve"> </w:t>
      </w:r>
      <w:r w:rsidR="00DC4544" w:rsidRPr="00FE712F">
        <w:rPr>
          <w:rFonts w:ascii="Arial" w:hAnsi="Arial" w:cs="Arial"/>
          <w:sz w:val="24"/>
          <w:szCs w:val="24"/>
        </w:rPr>
        <w:t>for</w:t>
      </w:r>
      <w:r w:rsidR="00DC4544" w:rsidRPr="00FE712F">
        <w:rPr>
          <w:rFonts w:ascii="Arial" w:hAnsi="Arial" w:cs="Arial"/>
          <w:spacing w:val="13"/>
          <w:sz w:val="24"/>
          <w:szCs w:val="24"/>
        </w:rPr>
        <w:t xml:space="preserve"> </w:t>
      </w:r>
      <w:r w:rsidR="00DC4544" w:rsidRPr="00FE712F">
        <w:rPr>
          <w:rFonts w:ascii="Arial" w:hAnsi="Arial" w:cs="Arial"/>
          <w:sz w:val="24"/>
          <w:szCs w:val="24"/>
        </w:rPr>
        <w:t>an</w:t>
      </w:r>
      <w:r w:rsidR="00DC4544" w:rsidRPr="00FE712F">
        <w:rPr>
          <w:rFonts w:ascii="Arial" w:hAnsi="Arial" w:cs="Arial"/>
          <w:spacing w:val="13"/>
          <w:sz w:val="24"/>
          <w:szCs w:val="24"/>
        </w:rPr>
        <w:t xml:space="preserve"> </w:t>
      </w:r>
      <w:r w:rsidR="00DC4544" w:rsidRPr="00FE712F">
        <w:rPr>
          <w:rFonts w:ascii="Arial" w:hAnsi="Arial" w:cs="Arial"/>
          <w:sz w:val="24"/>
          <w:szCs w:val="24"/>
        </w:rPr>
        <w:t>interdict</w:t>
      </w:r>
      <w:r w:rsidR="00DC4544" w:rsidRPr="00FE712F">
        <w:rPr>
          <w:rFonts w:ascii="Arial" w:hAnsi="Arial" w:cs="Arial"/>
          <w:spacing w:val="12"/>
          <w:sz w:val="24"/>
          <w:szCs w:val="24"/>
        </w:rPr>
        <w:t xml:space="preserve"> </w:t>
      </w:r>
      <w:r w:rsidR="00DC4544" w:rsidRPr="00FE712F">
        <w:rPr>
          <w:rFonts w:ascii="Arial" w:hAnsi="Arial" w:cs="Arial"/>
          <w:spacing w:val="-1"/>
          <w:sz w:val="24"/>
          <w:szCs w:val="24"/>
        </w:rPr>
        <w:t>to</w:t>
      </w:r>
      <w:r w:rsidR="00DC4544" w:rsidRPr="00FE712F">
        <w:rPr>
          <w:rFonts w:ascii="Arial" w:hAnsi="Arial" w:cs="Arial"/>
          <w:spacing w:val="57"/>
          <w:sz w:val="24"/>
          <w:szCs w:val="24"/>
        </w:rPr>
        <w:t xml:space="preserve"> </w:t>
      </w:r>
      <w:r w:rsidR="00DC4544" w:rsidRPr="00FE712F">
        <w:rPr>
          <w:rFonts w:ascii="Arial" w:hAnsi="Arial" w:cs="Arial"/>
          <w:sz w:val="24"/>
          <w:szCs w:val="24"/>
        </w:rPr>
        <w:t>stop</w:t>
      </w:r>
      <w:r w:rsidR="00DC4544" w:rsidRPr="00FE712F">
        <w:rPr>
          <w:rFonts w:ascii="Arial" w:hAnsi="Arial" w:cs="Arial"/>
          <w:spacing w:val="3"/>
          <w:sz w:val="24"/>
          <w:szCs w:val="24"/>
        </w:rPr>
        <w:t xml:space="preserve"> </w:t>
      </w:r>
      <w:r w:rsidR="00DC4544" w:rsidRPr="00FE712F">
        <w:rPr>
          <w:rFonts w:ascii="Arial" w:hAnsi="Arial" w:cs="Arial"/>
          <w:sz w:val="24"/>
          <w:szCs w:val="24"/>
        </w:rPr>
        <w:t>the</w:t>
      </w:r>
      <w:r w:rsidR="00DC4544" w:rsidRPr="00FE712F">
        <w:rPr>
          <w:rFonts w:ascii="Arial" w:hAnsi="Arial" w:cs="Arial"/>
          <w:spacing w:val="3"/>
          <w:sz w:val="24"/>
          <w:szCs w:val="24"/>
        </w:rPr>
        <w:t xml:space="preserve"> </w:t>
      </w:r>
      <w:r w:rsidR="00DC4544" w:rsidRPr="00FE712F">
        <w:rPr>
          <w:rFonts w:ascii="Arial" w:hAnsi="Arial" w:cs="Arial"/>
          <w:spacing w:val="-1"/>
          <w:sz w:val="24"/>
          <w:szCs w:val="24"/>
        </w:rPr>
        <w:t>third</w:t>
      </w:r>
      <w:r w:rsidR="00DC4544" w:rsidRPr="00FE712F">
        <w:rPr>
          <w:rFonts w:ascii="Arial" w:hAnsi="Arial" w:cs="Arial"/>
          <w:spacing w:val="5"/>
          <w:sz w:val="24"/>
          <w:szCs w:val="24"/>
        </w:rPr>
        <w:t xml:space="preserve"> </w:t>
      </w:r>
      <w:r w:rsidR="00DC4544" w:rsidRPr="00FE712F">
        <w:rPr>
          <w:rFonts w:ascii="Arial" w:hAnsi="Arial" w:cs="Arial"/>
          <w:spacing w:val="-1"/>
          <w:sz w:val="24"/>
          <w:szCs w:val="24"/>
        </w:rPr>
        <w:t>party.</w:t>
      </w:r>
      <w:r w:rsidR="00DC4544" w:rsidRPr="00FE712F">
        <w:rPr>
          <w:rFonts w:ascii="Arial" w:hAnsi="Arial" w:cs="Arial"/>
          <w:spacing w:val="26"/>
          <w:position w:val="8"/>
          <w:sz w:val="24"/>
          <w:szCs w:val="24"/>
        </w:rPr>
        <w:t xml:space="preserve"> </w:t>
      </w:r>
      <w:r w:rsidR="00DC4544" w:rsidRPr="00FE712F">
        <w:rPr>
          <w:rFonts w:ascii="Arial" w:hAnsi="Arial" w:cs="Arial"/>
          <w:sz w:val="24"/>
          <w:szCs w:val="24"/>
        </w:rPr>
        <w:t xml:space="preserve"> During the </w:t>
      </w:r>
      <w:r w:rsidR="00DC4544" w:rsidRPr="00FE712F">
        <w:rPr>
          <w:rFonts w:ascii="Arial" w:hAnsi="Arial" w:cs="Arial"/>
          <w:spacing w:val="-1"/>
          <w:sz w:val="24"/>
          <w:szCs w:val="24"/>
        </w:rPr>
        <w:t>process</w:t>
      </w:r>
      <w:r w:rsidR="00DC4544" w:rsidRPr="00FE712F">
        <w:rPr>
          <w:rFonts w:ascii="Arial" w:hAnsi="Arial" w:cs="Arial"/>
          <w:spacing w:val="7"/>
          <w:sz w:val="24"/>
          <w:szCs w:val="24"/>
        </w:rPr>
        <w:t xml:space="preserve"> it </w:t>
      </w:r>
      <w:r w:rsidR="00DC4544" w:rsidRPr="00FE712F">
        <w:rPr>
          <w:rFonts w:ascii="Arial" w:hAnsi="Arial" w:cs="Arial"/>
          <w:spacing w:val="-1"/>
          <w:sz w:val="24"/>
          <w:szCs w:val="24"/>
        </w:rPr>
        <w:t>caused</w:t>
      </w:r>
      <w:r w:rsidR="00DC4544" w:rsidRPr="00FE712F">
        <w:rPr>
          <w:rFonts w:ascii="Arial" w:hAnsi="Arial" w:cs="Arial"/>
          <w:spacing w:val="4"/>
          <w:sz w:val="24"/>
          <w:szCs w:val="24"/>
        </w:rPr>
        <w:t xml:space="preserve"> </w:t>
      </w:r>
      <w:r w:rsidR="00DC4544" w:rsidRPr="00FE712F">
        <w:rPr>
          <w:rFonts w:ascii="Arial" w:hAnsi="Arial" w:cs="Arial"/>
          <w:sz w:val="24"/>
          <w:szCs w:val="24"/>
        </w:rPr>
        <w:t>a</w:t>
      </w:r>
      <w:r w:rsidR="00DC4544" w:rsidRPr="00FE712F">
        <w:rPr>
          <w:rFonts w:ascii="Arial" w:hAnsi="Arial" w:cs="Arial"/>
          <w:spacing w:val="3"/>
          <w:sz w:val="24"/>
          <w:szCs w:val="24"/>
        </w:rPr>
        <w:t xml:space="preserve"> </w:t>
      </w:r>
      <w:r w:rsidR="00DC4544" w:rsidRPr="00FE712F">
        <w:rPr>
          <w:rFonts w:ascii="Arial" w:hAnsi="Arial" w:cs="Arial"/>
          <w:spacing w:val="-1"/>
          <w:sz w:val="24"/>
          <w:szCs w:val="24"/>
        </w:rPr>
        <w:t>caveat</w:t>
      </w:r>
      <w:r w:rsidR="00DC4544" w:rsidRPr="00FE712F">
        <w:rPr>
          <w:rFonts w:ascii="Arial" w:hAnsi="Arial" w:cs="Arial"/>
          <w:spacing w:val="4"/>
          <w:sz w:val="24"/>
          <w:szCs w:val="24"/>
        </w:rPr>
        <w:t xml:space="preserve"> </w:t>
      </w:r>
      <w:r w:rsidR="00DC4544" w:rsidRPr="00FE712F">
        <w:rPr>
          <w:rFonts w:ascii="Arial" w:hAnsi="Arial" w:cs="Arial"/>
          <w:sz w:val="24"/>
          <w:szCs w:val="24"/>
        </w:rPr>
        <w:t>to</w:t>
      </w:r>
      <w:r w:rsidR="00DC4544" w:rsidRPr="00FE712F">
        <w:rPr>
          <w:rFonts w:ascii="Arial" w:hAnsi="Arial" w:cs="Arial"/>
          <w:spacing w:val="1"/>
          <w:sz w:val="24"/>
          <w:szCs w:val="24"/>
        </w:rPr>
        <w:t xml:space="preserve"> </w:t>
      </w:r>
      <w:r w:rsidR="00DC4544" w:rsidRPr="00FE712F">
        <w:rPr>
          <w:rFonts w:ascii="Arial" w:hAnsi="Arial" w:cs="Arial"/>
          <w:sz w:val="24"/>
          <w:szCs w:val="24"/>
        </w:rPr>
        <w:t>be</w:t>
      </w:r>
      <w:r w:rsidR="00DC4544" w:rsidRPr="00FE712F">
        <w:rPr>
          <w:rFonts w:ascii="Arial" w:hAnsi="Arial" w:cs="Arial"/>
          <w:spacing w:val="3"/>
          <w:sz w:val="24"/>
          <w:szCs w:val="24"/>
        </w:rPr>
        <w:t xml:space="preserve"> </w:t>
      </w:r>
      <w:r w:rsidR="00DC4544" w:rsidRPr="00FE712F">
        <w:rPr>
          <w:rFonts w:ascii="Arial" w:hAnsi="Arial" w:cs="Arial"/>
          <w:spacing w:val="-1"/>
          <w:sz w:val="24"/>
          <w:szCs w:val="24"/>
        </w:rPr>
        <w:t>noted</w:t>
      </w:r>
      <w:r w:rsidR="00DC4544" w:rsidRPr="00FE712F">
        <w:rPr>
          <w:rFonts w:ascii="Arial" w:hAnsi="Arial" w:cs="Arial"/>
          <w:spacing w:val="51"/>
          <w:sz w:val="24"/>
          <w:szCs w:val="24"/>
        </w:rPr>
        <w:t xml:space="preserve"> </w:t>
      </w:r>
      <w:r w:rsidR="00DC4544" w:rsidRPr="00FE712F">
        <w:rPr>
          <w:rFonts w:ascii="Arial" w:hAnsi="Arial" w:cs="Arial"/>
          <w:spacing w:val="-1"/>
          <w:sz w:val="24"/>
          <w:szCs w:val="24"/>
        </w:rPr>
        <w:t>against</w:t>
      </w:r>
      <w:r w:rsidR="00DC4544" w:rsidRPr="00FE712F">
        <w:rPr>
          <w:rFonts w:ascii="Arial" w:hAnsi="Arial" w:cs="Arial"/>
          <w:sz w:val="24"/>
          <w:szCs w:val="24"/>
        </w:rPr>
        <w:t xml:space="preserve"> </w:t>
      </w:r>
      <w:r w:rsidR="00DC4544" w:rsidRPr="00FE712F">
        <w:rPr>
          <w:rFonts w:ascii="Arial" w:hAnsi="Arial" w:cs="Arial"/>
          <w:spacing w:val="-1"/>
          <w:sz w:val="24"/>
          <w:szCs w:val="24"/>
        </w:rPr>
        <w:t>the</w:t>
      </w:r>
      <w:r w:rsidR="00DC4544" w:rsidRPr="00FE712F">
        <w:rPr>
          <w:rFonts w:ascii="Arial" w:hAnsi="Arial" w:cs="Arial"/>
          <w:sz w:val="24"/>
          <w:szCs w:val="24"/>
        </w:rPr>
        <w:t xml:space="preserve"> title</w:t>
      </w:r>
      <w:r w:rsidR="00DC4544" w:rsidRPr="00FE712F">
        <w:rPr>
          <w:rFonts w:ascii="Arial" w:hAnsi="Arial" w:cs="Arial"/>
          <w:spacing w:val="-2"/>
          <w:sz w:val="24"/>
          <w:szCs w:val="24"/>
        </w:rPr>
        <w:t xml:space="preserve"> </w:t>
      </w:r>
      <w:r w:rsidR="00DC4544" w:rsidRPr="00FE712F">
        <w:rPr>
          <w:rFonts w:ascii="Arial" w:hAnsi="Arial" w:cs="Arial"/>
          <w:spacing w:val="-1"/>
          <w:sz w:val="24"/>
          <w:szCs w:val="24"/>
        </w:rPr>
        <w:t>deed</w:t>
      </w:r>
      <w:r w:rsidR="00DC4544" w:rsidRPr="00FE712F">
        <w:rPr>
          <w:rFonts w:ascii="Arial" w:hAnsi="Arial" w:cs="Arial"/>
          <w:spacing w:val="-2"/>
          <w:sz w:val="24"/>
          <w:szCs w:val="24"/>
        </w:rPr>
        <w:t xml:space="preserve"> </w:t>
      </w:r>
      <w:r w:rsidR="00DC4544" w:rsidRPr="00FE712F">
        <w:rPr>
          <w:rFonts w:ascii="Arial" w:hAnsi="Arial" w:cs="Arial"/>
          <w:spacing w:val="-1"/>
          <w:sz w:val="24"/>
          <w:szCs w:val="24"/>
        </w:rPr>
        <w:t>of</w:t>
      </w:r>
      <w:r w:rsidR="00DC4544" w:rsidRPr="00FE712F">
        <w:rPr>
          <w:rFonts w:ascii="Arial" w:hAnsi="Arial" w:cs="Arial"/>
          <w:sz w:val="24"/>
          <w:szCs w:val="24"/>
        </w:rPr>
        <w:t xml:space="preserve"> the</w:t>
      </w:r>
      <w:r w:rsidR="00DC4544" w:rsidRPr="00FE712F">
        <w:rPr>
          <w:rFonts w:ascii="Arial" w:hAnsi="Arial" w:cs="Arial"/>
          <w:spacing w:val="-2"/>
          <w:sz w:val="24"/>
          <w:szCs w:val="24"/>
        </w:rPr>
        <w:t xml:space="preserve"> </w:t>
      </w:r>
      <w:r w:rsidR="00DC4544" w:rsidRPr="00FE712F">
        <w:rPr>
          <w:rFonts w:ascii="Arial" w:hAnsi="Arial" w:cs="Arial"/>
          <w:sz w:val="24"/>
          <w:szCs w:val="24"/>
        </w:rPr>
        <w:t>property.</w:t>
      </w:r>
      <w:r w:rsidR="006A1708" w:rsidRPr="00FE712F">
        <w:rPr>
          <w:rFonts w:ascii="Arial" w:hAnsi="Arial" w:cs="Arial"/>
          <w:spacing w:val="-3"/>
          <w:sz w:val="24"/>
          <w:szCs w:val="24"/>
        </w:rPr>
        <w:t xml:space="preserve"> </w:t>
      </w:r>
      <w:r w:rsidR="00DC4544" w:rsidRPr="00FE712F">
        <w:rPr>
          <w:rFonts w:ascii="Arial" w:hAnsi="Arial" w:cs="Arial"/>
          <w:spacing w:val="-1"/>
          <w:sz w:val="24"/>
          <w:szCs w:val="24"/>
        </w:rPr>
        <w:t>The</w:t>
      </w:r>
      <w:r w:rsidR="00DC4544" w:rsidRPr="00FE712F">
        <w:rPr>
          <w:rFonts w:ascii="Arial" w:hAnsi="Arial" w:cs="Arial"/>
          <w:sz w:val="24"/>
          <w:szCs w:val="24"/>
        </w:rPr>
        <w:t xml:space="preserve"> </w:t>
      </w:r>
      <w:r w:rsidR="00DC4544" w:rsidRPr="00FE712F">
        <w:rPr>
          <w:rFonts w:ascii="Arial" w:hAnsi="Arial" w:cs="Arial"/>
          <w:spacing w:val="-1"/>
          <w:sz w:val="24"/>
          <w:szCs w:val="24"/>
        </w:rPr>
        <w:t>caveat</w:t>
      </w:r>
      <w:r w:rsidR="00DC4544" w:rsidRPr="00FE712F">
        <w:rPr>
          <w:rFonts w:ascii="Arial" w:hAnsi="Arial" w:cs="Arial"/>
          <w:spacing w:val="-2"/>
          <w:sz w:val="24"/>
          <w:szCs w:val="24"/>
        </w:rPr>
        <w:t xml:space="preserve"> </w:t>
      </w:r>
      <w:r w:rsidR="00DC4544" w:rsidRPr="00FE712F">
        <w:rPr>
          <w:rFonts w:ascii="Arial" w:hAnsi="Arial" w:cs="Arial"/>
          <w:spacing w:val="-1"/>
          <w:sz w:val="24"/>
          <w:szCs w:val="24"/>
        </w:rPr>
        <w:t>provides,</w:t>
      </w:r>
      <w:r w:rsidR="00DC4544" w:rsidRPr="00FE712F">
        <w:rPr>
          <w:rFonts w:ascii="Arial" w:hAnsi="Arial" w:cs="Arial"/>
          <w:sz w:val="24"/>
          <w:szCs w:val="24"/>
        </w:rPr>
        <w:t xml:space="preserve"> </w:t>
      </w:r>
      <w:r w:rsidR="00DC4544" w:rsidRPr="00FE712F">
        <w:rPr>
          <w:rFonts w:ascii="Arial" w:hAnsi="Arial" w:cs="Arial"/>
          <w:spacing w:val="-1"/>
          <w:sz w:val="24"/>
          <w:szCs w:val="24"/>
        </w:rPr>
        <w:t>inter</w:t>
      </w:r>
      <w:r w:rsidR="00DC4544" w:rsidRPr="00FE712F">
        <w:rPr>
          <w:rFonts w:ascii="Arial" w:hAnsi="Arial" w:cs="Arial"/>
          <w:sz w:val="24"/>
          <w:szCs w:val="24"/>
        </w:rPr>
        <w:t xml:space="preserve"> </w:t>
      </w:r>
      <w:r w:rsidR="00DC4544" w:rsidRPr="00FE712F">
        <w:rPr>
          <w:rFonts w:ascii="Arial" w:hAnsi="Arial" w:cs="Arial"/>
          <w:spacing w:val="-1"/>
          <w:sz w:val="24"/>
          <w:szCs w:val="24"/>
        </w:rPr>
        <w:t>alia,</w:t>
      </w:r>
      <w:r w:rsidR="00DC4544" w:rsidRPr="00FE712F">
        <w:rPr>
          <w:rFonts w:ascii="Arial" w:hAnsi="Arial" w:cs="Arial"/>
          <w:spacing w:val="-2"/>
          <w:sz w:val="24"/>
          <w:szCs w:val="24"/>
        </w:rPr>
        <w:t xml:space="preserve"> </w:t>
      </w:r>
      <w:r w:rsidR="00DC4544" w:rsidRPr="00FE712F">
        <w:rPr>
          <w:rFonts w:ascii="Arial" w:hAnsi="Arial" w:cs="Arial"/>
          <w:sz w:val="24"/>
          <w:szCs w:val="24"/>
        </w:rPr>
        <w:t>as</w:t>
      </w:r>
      <w:r w:rsidR="00DC4544" w:rsidRPr="00FE712F">
        <w:rPr>
          <w:rFonts w:ascii="Arial" w:hAnsi="Arial" w:cs="Arial"/>
          <w:spacing w:val="-2"/>
          <w:sz w:val="24"/>
          <w:szCs w:val="24"/>
        </w:rPr>
        <w:t xml:space="preserve"> </w:t>
      </w:r>
      <w:r w:rsidR="00DC4544" w:rsidRPr="00FE712F">
        <w:rPr>
          <w:rFonts w:ascii="Arial" w:hAnsi="Arial" w:cs="Arial"/>
          <w:sz w:val="24"/>
          <w:szCs w:val="24"/>
        </w:rPr>
        <w:t>follows</w:t>
      </w:r>
      <w:r w:rsidR="00DC4544">
        <w:t>:</w:t>
      </w:r>
    </w:p>
    <w:p w:rsidR="00533609" w:rsidRPr="00533609" w:rsidRDefault="00533609" w:rsidP="00533609">
      <w:pPr>
        <w:spacing w:before="69" w:line="240" w:lineRule="auto"/>
        <w:ind w:left="567"/>
        <w:jc w:val="both"/>
        <w:rPr>
          <w:rFonts w:ascii="Arial" w:eastAsia="Arial" w:hAnsi="Arial" w:cs="Arial"/>
        </w:rPr>
      </w:pPr>
      <w:r w:rsidRPr="00533609">
        <w:rPr>
          <w:rFonts w:ascii="Arial" w:eastAsia="Arial" w:hAnsi="Arial" w:cs="Arial"/>
        </w:rPr>
        <w:t xml:space="preserve">“On the 18th of February 2020, the registered owner [i.e Anioma] and its directors obtained a court order against various parties </w:t>
      </w:r>
      <w:r w:rsidRPr="002C40CB">
        <w:rPr>
          <w:rFonts w:ascii="Arial" w:eastAsia="Arial" w:hAnsi="Arial" w:cs="Arial"/>
        </w:rPr>
        <w:t>inter alia</w:t>
      </w:r>
      <w:r w:rsidRPr="00533609">
        <w:rPr>
          <w:rFonts w:ascii="Arial" w:eastAsia="Arial" w:hAnsi="Arial" w:cs="Arial"/>
        </w:rPr>
        <w:t xml:space="preserve"> the Commissioner of the Companies and Intellectual </w:t>
      </w:r>
      <w:r w:rsidR="004C0CFB">
        <w:rPr>
          <w:rFonts w:ascii="Arial" w:eastAsia="Arial" w:hAnsi="Arial" w:cs="Arial"/>
        </w:rPr>
        <w:t>Property</w:t>
      </w:r>
      <w:r w:rsidRPr="00533609">
        <w:rPr>
          <w:rFonts w:ascii="Arial" w:eastAsia="Arial" w:hAnsi="Arial" w:cs="Arial"/>
        </w:rPr>
        <w:t xml:space="preserve"> Commission, the Master of the High Court South Africa, Johannesburg and Johannes Hendrickus du Plessis N.O. insofar as to reverse a stay and to subsequently reverse the unlawful and fraudulent liquidation in respect of the registered owner by the Third Respondent.</w:t>
      </w:r>
    </w:p>
    <w:p w:rsidR="004C0CFB" w:rsidRDefault="004C0CFB" w:rsidP="00F40AAF">
      <w:pPr>
        <w:spacing w:before="69" w:line="240" w:lineRule="auto"/>
        <w:ind w:left="567"/>
        <w:jc w:val="both"/>
        <w:rPr>
          <w:rFonts w:ascii="Arial" w:eastAsia="Arial" w:hAnsi="Arial" w:cs="Arial"/>
        </w:rPr>
      </w:pPr>
      <w:r>
        <w:rPr>
          <w:rFonts w:ascii="Arial" w:eastAsia="Arial" w:hAnsi="Arial" w:cs="Arial"/>
        </w:rPr>
        <w:t>…</w:t>
      </w:r>
    </w:p>
    <w:p w:rsidR="00DC4544" w:rsidRPr="00F40AAF" w:rsidRDefault="00DC4544" w:rsidP="00F40AAF">
      <w:pPr>
        <w:spacing w:before="69" w:after="0" w:line="240" w:lineRule="auto"/>
        <w:ind w:left="567"/>
        <w:jc w:val="both"/>
        <w:rPr>
          <w:rFonts w:ascii="Arial" w:eastAsia="Arial" w:hAnsi="Arial" w:cs="Arial"/>
        </w:rPr>
      </w:pPr>
      <w:r w:rsidRPr="00F40AAF">
        <w:rPr>
          <w:rFonts w:ascii="Arial" w:eastAsia="Arial" w:hAnsi="Arial" w:cs="Arial"/>
        </w:rPr>
        <w:t>Accordingly</w:t>
      </w:r>
      <w:r w:rsidRPr="00F40AAF">
        <w:rPr>
          <w:rFonts w:ascii="Arial" w:eastAsia="Arial" w:hAnsi="Arial" w:cs="Arial"/>
          <w:spacing w:val="21"/>
        </w:rPr>
        <w:t xml:space="preserve"> </w:t>
      </w:r>
      <w:r w:rsidRPr="00F40AAF">
        <w:rPr>
          <w:rFonts w:ascii="Arial" w:eastAsia="Arial" w:hAnsi="Arial" w:cs="Arial"/>
          <w:spacing w:val="-1"/>
        </w:rPr>
        <w:t>the</w:t>
      </w:r>
      <w:r w:rsidRPr="00F40AAF">
        <w:rPr>
          <w:rFonts w:ascii="Arial" w:eastAsia="Arial" w:hAnsi="Arial" w:cs="Arial"/>
          <w:spacing w:val="25"/>
        </w:rPr>
        <w:t xml:space="preserve"> </w:t>
      </w:r>
      <w:r w:rsidRPr="00F40AAF">
        <w:rPr>
          <w:rFonts w:ascii="Arial" w:eastAsia="Arial" w:hAnsi="Arial" w:cs="Arial"/>
          <w:spacing w:val="-1"/>
        </w:rPr>
        <w:t>registered</w:t>
      </w:r>
      <w:r w:rsidRPr="00F40AAF">
        <w:rPr>
          <w:rFonts w:ascii="Arial" w:eastAsia="Arial" w:hAnsi="Arial" w:cs="Arial"/>
          <w:spacing w:val="23"/>
        </w:rPr>
        <w:t xml:space="preserve"> </w:t>
      </w:r>
      <w:r w:rsidRPr="00F40AAF">
        <w:rPr>
          <w:rFonts w:ascii="Arial" w:eastAsia="Arial" w:hAnsi="Arial" w:cs="Arial"/>
          <w:spacing w:val="-1"/>
        </w:rPr>
        <w:t>owner</w:t>
      </w:r>
      <w:r w:rsidRPr="00F40AAF">
        <w:rPr>
          <w:rFonts w:ascii="Arial" w:eastAsia="Arial" w:hAnsi="Arial" w:cs="Arial"/>
          <w:spacing w:val="21"/>
        </w:rPr>
        <w:t xml:space="preserve"> </w:t>
      </w:r>
      <w:r w:rsidRPr="00F40AAF">
        <w:rPr>
          <w:rFonts w:ascii="Arial" w:eastAsia="Arial" w:hAnsi="Arial" w:cs="Arial"/>
          <w:spacing w:val="-1"/>
        </w:rPr>
        <w:t>being</w:t>
      </w:r>
      <w:r w:rsidRPr="00F40AAF">
        <w:rPr>
          <w:rFonts w:ascii="Arial" w:eastAsia="Arial" w:hAnsi="Arial" w:cs="Arial"/>
          <w:spacing w:val="23"/>
        </w:rPr>
        <w:t xml:space="preserve"> </w:t>
      </w:r>
      <w:r w:rsidRPr="00F40AAF">
        <w:rPr>
          <w:rFonts w:ascii="Arial" w:eastAsia="Arial" w:hAnsi="Arial" w:cs="Arial"/>
          <w:spacing w:val="-1"/>
        </w:rPr>
        <w:t>the</w:t>
      </w:r>
      <w:r w:rsidRPr="00F40AAF">
        <w:rPr>
          <w:rFonts w:ascii="Arial" w:eastAsia="Arial" w:hAnsi="Arial" w:cs="Arial"/>
          <w:spacing w:val="25"/>
        </w:rPr>
        <w:t xml:space="preserve"> </w:t>
      </w:r>
      <w:r w:rsidRPr="00F40AAF">
        <w:rPr>
          <w:rFonts w:ascii="Arial" w:eastAsia="Arial" w:hAnsi="Arial" w:cs="Arial"/>
          <w:spacing w:val="-1"/>
        </w:rPr>
        <w:t>true</w:t>
      </w:r>
      <w:r w:rsidRPr="00F40AAF">
        <w:rPr>
          <w:rFonts w:ascii="Arial" w:eastAsia="Arial" w:hAnsi="Arial" w:cs="Arial"/>
          <w:spacing w:val="23"/>
        </w:rPr>
        <w:t xml:space="preserve"> </w:t>
      </w:r>
      <w:r w:rsidRPr="00F40AAF">
        <w:rPr>
          <w:rFonts w:ascii="Arial" w:eastAsia="Arial" w:hAnsi="Arial" w:cs="Arial"/>
          <w:spacing w:val="-1"/>
        </w:rPr>
        <w:t>applicant,</w:t>
      </w:r>
      <w:r w:rsidRPr="00F40AAF">
        <w:rPr>
          <w:rFonts w:ascii="Arial" w:eastAsia="Arial" w:hAnsi="Arial" w:cs="Arial"/>
          <w:spacing w:val="45"/>
        </w:rPr>
        <w:t xml:space="preserve"> </w:t>
      </w:r>
      <w:r w:rsidRPr="00F40AAF">
        <w:rPr>
          <w:rFonts w:ascii="Arial" w:eastAsia="Arial" w:hAnsi="Arial" w:cs="Arial"/>
        </w:rPr>
        <w:t>hereby</w:t>
      </w:r>
      <w:r w:rsidRPr="00F40AAF">
        <w:rPr>
          <w:rFonts w:ascii="Arial" w:eastAsia="Arial" w:hAnsi="Arial" w:cs="Arial"/>
          <w:spacing w:val="5"/>
        </w:rPr>
        <w:t xml:space="preserve"> </w:t>
      </w:r>
      <w:r w:rsidRPr="00F40AAF">
        <w:rPr>
          <w:rFonts w:ascii="Arial" w:eastAsia="Arial" w:hAnsi="Arial" w:cs="Arial"/>
          <w:spacing w:val="-1"/>
        </w:rPr>
        <w:t>makes</w:t>
      </w:r>
      <w:r w:rsidRPr="00F40AAF">
        <w:rPr>
          <w:rFonts w:ascii="Arial" w:eastAsia="Arial" w:hAnsi="Arial" w:cs="Arial"/>
          <w:spacing w:val="2"/>
        </w:rPr>
        <w:t xml:space="preserve"> </w:t>
      </w:r>
      <w:r w:rsidRPr="00F40AAF">
        <w:rPr>
          <w:rFonts w:ascii="Arial" w:eastAsia="Arial" w:hAnsi="Arial" w:cs="Arial"/>
          <w:spacing w:val="-1"/>
        </w:rPr>
        <w:t>objection</w:t>
      </w:r>
      <w:r w:rsidRPr="00F40AAF">
        <w:rPr>
          <w:rFonts w:ascii="Arial" w:eastAsia="Arial" w:hAnsi="Arial" w:cs="Arial"/>
          <w:spacing w:val="5"/>
        </w:rPr>
        <w:t xml:space="preserve"> </w:t>
      </w:r>
      <w:r w:rsidRPr="00F40AAF">
        <w:rPr>
          <w:rFonts w:ascii="Arial" w:eastAsia="Arial" w:hAnsi="Arial" w:cs="Arial"/>
        </w:rPr>
        <w:t>to</w:t>
      </w:r>
      <w:r w:rsidRPr="00F40AAF">
        <w:rPr>
          <w:rFonts w:ascii="Arial" w:eastAsia="Arial" w:hAnsi="Arial" w:cs="Arial"/>
          <w:spacing w:val="4"/>
        </w:rPr>
        <w:t xml:space="preserve"> </w:t>
      </w:r>
      <w:r w:rsidRPr="00F40AAF">
        <w:rPr>
          <w:rFonts w:ascii="Arial" w:eastAsia="Arial" w:hAnsi="Arial" w:cs="Arial"/>
          <w:spacing w:val="-1"/>
        </w:rPr>
        <w:t>the</w:t>
      </w:r>
      <w:r w:rsidRPr="00F40AAF">
        <w:rPr>
          <w:rFonts w:ascii="Arial" w:eastAsia="Arial" w:hAnsi="Arial" w:cs="Arial"/>
          <w:spacing w:val="5"/>
        </w:rPr>
        <w:t xml:space="preserve"> </w:t>
      </w:r>
      <w:r w:rsidRPr="00F40AAF">
        <w:rPr>
          <w:rFonts w:ascii="Arial" w:eastAsia="Arial" w:hAnsi="Arial" w:cs="Arial"/>
        </w:rPr>
        <w:t>issuing</w:t>
      </w:r>
      <w:r w:rsidRPr="00F40AAF">
        <w:rPr>
          <w:rFonts w:ascii="Arial" w:eastAsia="Arial" w:hAnsi="Arial" w:cs="Arial"/>
          <w:spacing w:val="3"/>
        </w:rPr>
        <w:t xml:space="preserve"> </w:t>
      </w:r>
      <w:r w:rsidRPr="00F40AAF">
        <w:rPr>
          <w:rFonts w:ascii="Arial" w:eastAsia="Arial" w:hAnsi="Arial" w:cs="Arial"/>
        </w:rPr>
        <w:t>of</w:t>
      </w:r>
      <w:r w:rsidRPr="00F40AAF">
        <w:rPr>
          <w:rFonts w:ascii="Arial" w:eastAsia="Arial" w:hAnsi="Arial" w:cs="Arial"/>
          <w:spacing w:val="3"/>
        </w:rPr>
        <w:t xml:space="preserve"> </w:t>
      </w:r>
      <w:r w:rsidRPr="00F40AAF">
        <w:rPr>
          <w:rFonts w:ascii="Arial" w:eastAsia="Arial" w:hAnsi="Arial" w:cs="Arial"/>
        </w:rPr>
        <w:t>a</w:t>
      </w:r>
      <w:r w:rsidRPr="00F40AAF">
        <w:rPr>
          <w:rFonts w:ascii="Arial" w:eastAsia="Arial" w:hAnsi="Arial" w:cs="Arial"/>
          <w:spacing w:val="5"/>
        </w:rPr>
        <w:t xml:space="preserve"> </w:t>
      </w:r>
      <w:r w:rsidRPr="00F40AAF">
        <w:rPr>
          <w:rFonts w:ascii="Arial" w:eastAsia="Arial" w:hAnsi="Arial" w:cs="Arial"/>
          <w:spacing w:val="-1"/>
        </w:rPr>
        <w:t>certified</w:t>
      </w:r>
      <w:r w:rsidRPr="00F40AAF">
        <w:rPr>
          <w:rFonts w:ascii="Arial" w:eastAsia="Arial" w:hAnsi="Arial" w:cs="Arial"/>
          <w:spacing w:val="5"/>
        </w:rPr>
        <w:t xml:space="preserve"> </w:t>
      </w:r>
      <w:r w:rsidRPr="00F40AAF">
        <w:rPr>
          <w:rFonts w:ascii="Arial" w:eastAsia="Arial" w:hAnsi="Arial" w:cs="Arial"/>
        </w:rPr>
        <w:t>copy</w:t>
      </w:r>
      <w:r w:rsidRPr="00F40AAF">
        <w:rPr>
          <w:rFonts w:ascii="Arial" w:eastAsia="Arial" w:hAnsi="Arial" w:cs="Arial"/>
          <w:spacing w:val="2"/>
        </w:rPr>
        <w:t xml:space="preserve"> </w:t>
      </w:r>
      <w:r w:rsidRPr="00F40AAF">
        <w:rPr>
          <w:rFonts w:ascii="Arial" w:eastAsia="Arial" w:hAnsi="Arial" w:cs="Arial"/>
          <w:spacing w:val="-1"/>
        </w:rPr>
        <w:t>and/or</w:t>
      </w:r>
      <w:r w:rsidRPr="00F40AAF">
        <w:rPr>
          <w:rFonts w:ascii="Arial" w:eastAsia="Arial" w:hAnsi="Arial" w:cs="Arial"/>
          <w:spacing w:val="31"/>
        </w:rPr>
        <w:t xml:space="preserve"> </w:t>
      </w:r>
      <w:r w:rsidRPr="00F40AAF">
        <w:rPr>
          <w:rFonts w:ascii="Arial" w:eastAsia="Arial" w:hAnsi="Arial" w:cs="Arial"/>
        </w:rPr>
        <w:t>any</w:t>
      </w:r>
      <w:r w:rsidRPr="00F40AAF">
        <w:rPr>
          <w:rFonts w:ascii="Arial" w:eastAsia="Arial" w:hAnsi="Arial" w:cs="Arial"/>
          <w:spacing w:val="-5"/>
        </w:rPr>
        <w:t xml:space="preserve"> </w:t>
      </w:r>
      <w:r w:rsidRPr="00F40AAF">
        <w:rPr>
          <w:rFonts w:ascii="Arial" w:eastAsia="Arial" w:hAnsi="Arial" w:cs="Arial"/>
          <w:spacing w:val="-1"/>
        </w:rPr>
        <w:t>subsequent</w:t>
      </w:r>
      <w:r w:rsidRPr="00F40AAF">
        <w:rPr>
          <w:rFonts w:ascii="Arial" w:eastAsia="Arial" w:hAnsi="Arial" w:cs="Arial"/>
          <w:spacing w:val="-4"/>
        </w:rPr>
        <w:t xml:space="preserve"> </w:t>
      </w:r>
      <w:r w:rsidRPr="00F40AAF">
        <w:rPr>
          <w:rFonts w:ascii="Arial" w:eastAsia="Arial" w:hAnsi="Arial" w:cs="Arial"/>
          <w:spacing w:val="-1"/>
        </w:rPr>
        <w:t>transfer</w:t>
      </w:r>
      <w:r w:rsidRPr="00F40AAF">
        <w:rPr>
          <w:rFonts w:ascii="Arial" w:eastAsia="Arial" w:hAnsi="Arial" w:cs="Arial"/>
          <w:spacing w:val="-6"/>
        </w:rPr>
        <w:t xml:space="preserve"> </w:t>
      </w:r>
      <w:r w:rsidRPr="00F40AAF">
        <w:rPr>
          <w:rFonts w:ascii="Arial" w:eastAsia="Arial" w:hAnsi="Arial" w:cs="Arial"/>
        </w:rPr>
        <w:t>of</w:t>
      </w:r>
      <w:r w:rsidRPr="00F40AAF">
        <w:rPr>
          <w:rFonts w:ascii="Arial" w:eastAsia="Arial" w:hAnsi="Arial" w:cs="Arial"/>
          <w:spacing w:val="-4"/>
        </w:rPr>
        <w:t xml:space="preserve"> </w:t>
      </w:r>
      <w:r w:rsidRPr="00F40AAF">
        <w:rPr>
          <w:rFonts w:ascii="Arial" w:eastAsia="Arial" w:hAnsi="Arial" w:cs="Arial"/>
        </w:rPr>
        <w:t>the</w:t>
      </w:r>
      <w:r w:rsidRPr="00F40AAF">
        <w:rPr>
          <w:rFonts w:ascii="Arial" w:eastAsia="Arial" w:hAnsi="Arial" w:cs="Arial"/>
          <w:spacing w:val="-4"/>
        </w:rPr>
        <w:t xml:space="preserve"> </w:t>
      </w:r>
      <w:r w:rsidRPr="00F40AAF">
        <w:rPr>
          <w:rFonts w:ascii="Arial" w:eastAsia="Arial" w:hAnsi="Arial" w:cs="Arial"/>
          <w:spacing w:val="-1"/>
        </w:rPr>
        <w:t>immovable</w:t>
      </w:r>
      <w:r w:rsidRPr="00F40AAF">
        <w:rPr>
          <w:rFonts w:ascii="Arial" w:eastAsia="Arial" w:hAnsi="Arial" w:cs="Arial"/>
          <w:spacing w:val="-4"/>
        </w:rPr>
        <w:t xml:space="preserve"> </w:t>
      </w:r>
      <w:r w:rsidRPr="00F40AAF">
        <w:rPr>
          <w:rFonts w:ascii="Arial" w:eastAsia="Arial" w:hAnsi="Arial" w:cs="Arial"/>
        </w:rPr>
        <w:t>property</w:t>
      </w:r>
      <w:r w:rsidRPr="00F40AAF">
        <w:rPr>
          <w:rFonts w:ascii="Arial" w:eastAsia="Arial" w:hAnsi="Arial" w:cs="Arial"/>
          <w:spacing w:val="-5"/>
        </w:rPr>
        <w:t xml:space="preserve"> </w:t>
      </w:r>
      <w:r w:rsidRPr="00F40AAF">
        <w:rPr>
          <w:rFonts w:ascii="Arial" w:eastAsia="Arial" w:hAnsi="Arial" w:cs="Arial"/>
        </w:rPr>
        <w:t>in</w:t>
      </w:r>
      <w:r w:rsidRPr="00F40AAF">
        <w:rPr>
          <w:rFonts w:ascii="Arial" w:eastAsia="Arial" w:hAnsi="Arial" w:cs="Arial"/>
          <w:spacing w:val="-4"/>
        </w:rPr>
        <w:t xml:space="preserve"> </w:t>
      </w:r>
      <w:r w:rsidRPr="00F40AAF">
        <w:rPr>
          <w:rFonts w:ascii="Arial" w:eastAsia="Arial" w:hAnsi="Arial" w:cs="Arial"/>
          <w:spacing w:val="-1"/>
        </w:rPr>
        <w:t>respect</w:t>
      </w:r>
      <w:r w:rsidRPr="00F40AAF">
        <w:rPr>
          <w:rFonts w:ascii="Arial" w:eastAsia="Arial" w:hAnsi="Arial" w:cs="Arial"/>
          <w:spacing w:val="2"/>
        </w:rPr>
        <w:t xml:space="preserve"> </w:t>
      </w:r>
      <w:r w:rsidRPr="00F40AAF">
        <w:rPr>
          <w:rFonts w:ascii="Arial" w:eastAsia="Arial" w:hAnsi="Arial" w:cs="Arial"/>
          <w:spacing w:val="-1"/>
        </w:rPr>
        <w:t>of</w:t>
      </w:r>
      <w:r w:rsidRPr="00F40AAF">
        <w:rPr>
          <w:rFonts w:ascii="Arial" w:eastAsia="Arial" w:hAnsi="Arial" w:cs="Arial"/>
          <w:spacing w:val="37"/>
        </w:rPr>
        <w:t xml:space="preserve"> </w:t>
      </w:r>
      <w:r w:rsidRPr="00F40AAF">
        <w:rPr>
          <w:rFonts w:ascii="Arial" w:eastAsia="Arial" w:hAnsi="Arial" w:cs="Arial"/>
        </w:rPr>
        <w:t>such</w:t>
      </w:r>
      <w:r w:rsidRPr="00F40AAF">
        <w:rPr>
          <w:rFonts w:ascii="Arial" w:eastAsia="Arial" w:hAnsi="Arial" w:cs="Arial"/>
          <w:spacing w:val="-6"/>
        </w:rPr>
        <w:t xml:space="preserve"> </w:t>
      </w:r>
      <w:r w:rsidRPr="00F40AAF">
        <w:rPr>
          <w:rFonts w:ascii="Arial" w:eastAsia="Arial" w:hAnsi="Arial" w:cs="Arial"/>
          <w:spacing w:val="-1"/>
        </w:rPr>
        <w:t>copy</w:t>
      </w:r>
      <w:r w:rsidRPr="00F40AAF">
        <w:rPr>
          <w:rFonts w:ascii="Arial" w:eastAsia="Arial" w:hAnsi="Arial" w:cs="Arial"/>
          <w:spacing w:val="-7"/>
        </w:rPr>
        <w:t xml:space="preserve"> </w:t>
      </w:r>
      <w:r w:rsidRPr="00F40AAF">
        <w:rPr>
          <w:rFonts w:ascii="Arial" w:eastAsia="Arial" w:hAnsi="Arial" w:cs="Arial"/>
          <w:spacing w:val="-1"/>
        </w:rPr>
        <w:t>unless</w:t>
      </w:r>
      <w:r w:rsidRPr="00F40AAF">
        <w:rPr>
          <w:rFonts w:ascii="Arial" w:eastAsia="Arial" w:hAnsi="Arial" w:cs="Arial"/>
          <w:spacing w:val="-7"/>
        </w:rPr>
        <w:t xml:space="preserve"> </w:t>
      </w:r>
      <w:r w:rsidRPr="00F40AAF">
        <w:rPr>
          <w:rFonts w:ascii="Arial" w:eastAsia="Arial" w:hAnsi="Arial" w:cs="Arial"/>
          <w:spacing w:val="-1"/>
        </w:rPr>
        <w:t>leave</w:t>
      </w:r>
      <w:r w:rsidRPr="00F40AAF">
        <w:rPr>
          <w:rFonts w:ascii="Arial" w:eastAsia="Arial" w:hAnsi="Arial" w:cs="Arial"/>
          <w:spacing w:val="-6"/>
        </w:rPr>
        <w:t xml:space="preserve"> </w:t>
      </w:r>
      <w:r w:rsidRPr="00F40AAF">
        <w:rPr>
          <w:rFonts w:ascii="Arial" w:eastAsia="Arial" w:hAnsi="Arial" w:cs="Arial"/>
        </w:rPr>
        <w:t>has</w:t>
      </w:r>
      <w:r w:rsidRPr="00F40AAF">
        <w:rPr>
          <w:rFonts w:ascii="Arial" w:eastAsia="Arial" w:hAnsi="Arial" w:cs="Arial"/>
          <w:spacing w:val="-10"/>
        </w:rPr>
        <w:t xml:space="preserve"> </w:t>
      </w:r>
      <w:r w:rsidRPr="00F40AAF">
        <w:rPr>
          <w:rFonts w:ascii="Arial" w:eastAsia="Arial" w:hAnsi="Arial" w:cs="Arial"/>
          <w:spacing w:val="-1"/>
        </w:rPr>
        <w:t>been</w:t>
      </w:r>
      <w:r w:rsidRPr="00F40AAF">
        <w:rPr>
          <w:rFonts w:ascii="Arial" w:eastAsia="Arial" w:hAnsi="Arial" w:cs="Arial"/>
          <w:spacing w:val="-6"/>
        </w:rPr>
        <w:t xml:space="preserve"> </w:t>
      </w:r>
      <w:r w:rsidRPr="00F40AAF">
        <w:rPr>
          <w:rFonts w:ascii="Arial" w:eastAsia="Arial" w:hAnsi="Arial" w:cs="Arial"/>
          <w:spacing w:val="-1"/>
        </w:rPr>
        <w:t>obtained</w:t>
      </w:r>
      <w:r w:rsidRPr="00F40AAF">
        <w:rPr>
          <w:rFonts w:ascii="Arial" w:eastAsia="Arial" w:hAnsi="Arial" w:cs="Arial"/>
          <w:spacing w:val="-6"/>
        </w:rPr>
        <w:t xml:space="preserve"> </w:t>
      </w:r>
      <w:r w:rsidRPr="00F40AAF">
        <w:rPr>
          <w:rFonts w:ascii="Arial" w:eastAsia="Arial" w:hAnsi="Arial" w:cs="Arial"/>
          <w:spacing w:val="-1"/>
        </w:rPr>
        <w:t>to</w:t>
      </w:r>
      <w:r w:rsidRPr="00F40AAF">
        <w:rPr>
          <w:rFonts w:ascii="Arial" w:eastAsia="Arial" w:hAnsi="Arial" w:cs="Arial"/>
          <w:spacing w:val="-9"/>
        </w:rPr>
        <w:t xml:space="preserve"> </w:t>
      </w:r>
      <w:r w:rsidRPr="00F40AAF">
        <w:rPr>
          <w:rFonts w:ascii="Arial" w:eastAsia="Arial" w:hAnsi="Arial" w:cs="Arial"/>
        </w:rPr>
        <w:t>do</w:t>
      </w:r>
      <w:r w:rsidRPr="00F40AAF">
        <w:rPr>
          <w:rFonts w:ascii="Arial" w:eastAsia="Arial" w:hAnsi="Arial" w:cs="Arial"/>
          <w:spacing w:val="-6"/>
        </w:rPr>
        <w:t xml:space="preserve"> </w:t>
      </w:r>
      <w:r w:rsidRPr="00F40AAF">
        <w:rPr>
          <w:rFonts w:ascii="Arial" w:eastAsia="Arial" w:hAnsi="Arial" w:cs="Arial"/>
        </w:rPr>
        <w:t>so</w:t>
      </w:r>
      <w:r w:rsidRPr="00F40AAF">
        <w:rPr>
          <w:rFonts w:ascii="Arial" w:eastAsia="Arial" w:hAnsi="Arial" w:cs="Arial"/>
          <w:spacing w:val="-9"/>
        </w:rPr>
        <w:t xml:space="preserve"> </w:t>
      </w:r>
      <w:r w:rsidRPr="00F40AAF">
        <w:rPr>
          <w:rFonts w:ascii="Arial" w:eastAsia="Arial" w:hAnsi="Arial" w:cs="Arial"/>
        </w:rPr>
        <w:t>and</w:t>
      </w:r>
      <w:r w:rsidRPr="00F40AAF">
        <w:rPr>
          <w:rFonts w:ascii="Arial" w:eastAsia="Arial" w:hAnsi="Arial" w:cs="Arial"/>
          <w:spacing w:val="-9"/>
        </w:rPr>
        <w:t xml:space="preserve"> </w:t>
      </w:r>
      <w:r w:rsidRPr="00F40AAF">
        <w:rPr>
          <w:rFonts w:ascii="Arial" w:eastAsia="Arial" w:hAnsi="Arial" w:cs="Arial"/>
          <w:spacing w:val="-1"/>
        </w:rPr>
        <w:t>pending</w:t>
      </w:r>
      <w:r w:rsidRPr="00F40AAF">
        <w:rPr>
          <w:rFonts w:ascii="Arial" w:eastAsia="Arial" w:hAnsi="Arial" w:cs="Arial"/>
          <w:spacing w:val="37"/>
        </w:rPr>
        <w:t xml:space="preserve"> </w:t>
      </w:r>
      <w:r w:rsidRPr="00F40AAF">
        <w:rPr>
          <w:rFonts w:ascii="Arial" w:eastAsia="Arial" w:hAnsi="Arial" w:cs="Arial"/>
        </w:rPr>
        <w:t>the</w:t>
      </w:r>
      <w:r w:rsidRPr="00F40AAF">
        <w:rPr>
          <w:rFonts w:ascii="Arial" w:eastAsia="Arial" w:hAnsi="Arial" w:cs="Arial"/>
          <w:spacing w:val="3"/>
        </w:rPr>
        <w:t xml:space="preserve"> </w:t>
      </w:r>
      <w:r w:rsidRPr="00F40AAF">
        <w:rPr>
          <w:rFonts w:ascii="Arial" w:eastAsia="Arial" w:hAnsi="Arial" w:cs="Arial"/>
          <w:spacing w:val="-1"/>
        </w:rPr>
        <w:t>outcome</w:t>
      </w:r>
      <w:r w:rsidRPr="00F40AAF">
        <w:rPr>
          <w:rFonts w:ascii="Arial" w:eastAsia="Arial" w:hAnsi="Arial" w:cs="Arial"/>
          <w:spacing w:val="3"/>
        </w:rPr>
        <w:t xml:space="preserve"> </w:t>
      </w:r>
      <w:r w:rsidRPr="00F40AAF">
        <w:rPr>
          <w:rFonts w:ascii="Arial" w:eastAsia="Arial" w:hAnsi="Arial" w:cs="Arial"/>
        </w:rPr>
        <w:t>of</w:t>
      </w:r>
      <w:r w:rsidRPr="00F40AAF">
        <w:rPr>
          <w:rFonts w:ascii="Arial" w:eastAsia="Arial" w:hAnsi="Arial" w:cs="Arial"/>
          <w:spacing w:val="3"/>
        </w:rPr>
        <w:t xml:space="preserve"> </w:t>
      </w:r>
      <w:r w:rsidRPr="00F40AAF">
        <w:rPr>
          <w:rFonts w:ascii="Arial" w:eastAsia="Arial" w:hAnsi="Arial" w:cs="Arial"/>
          <w:spacing w:val="-1"/>
        </w:rPr>
        <w:t>any</w:t>
      </w:r>
      <w:r w:rsidRPr="00F40AAF">
        <w:rPr>
          <w:rFonts w:ascii="Arial" w:eastAsia="Arial" w:hAnsi="Arial" w:cs="Arial"/>
          <w:spacing w:val="2"/>
        </w:rPr>
        <w:t xml:space="preserve"> </w:t>
      </w:r>
      <w:r w:rsidRPr="00F40AAF">
        <w:rPr>
          <w:rFonts w:ascii="Arial" w:eastAsia="Arial" w:hAnsi="Arial" w:cs="Arial"/>
          <w:spacing w:val="-1"/>
        </w:rPr>
        <w:t>actions</w:t>
      </w:r>
      <w:r w:rsidRPr="00F40AAF">
        <w:rPr>
          <w:rFonts w:ascii="Arial" w:eastAsia="Arial" w:hAnsi="Arial" w:cs="Arial"/>
          <w:spacing w:val="2"/>
        </w:rPr>
        <w:t xml:space="preserve"> </w:t>
      </w:r>
      <w:r w:rsidRPr="00F40AAF">
        <w:rPr>
          <w:rFonts w:ascii="Arial" w:eastAsia="Arial" w:hAnsi="Arial" w:cs="Arial"/>
          <w:spacing w:val="-1"/>
        </w:rPr>
        <w:t>pending</w:t>
      </w:r>
      <w:r w:rsidRPr="00F40AAF">
        <w:rPr>
          <w:rFonts w:ascii="Arial" w:eastAsia="Arial" w:hAnsi="Arial" w:cs="Arial"/>
          <w:spacing w:val="3"/>
        </w:rPr>
        <w:t xml:space="preserve"> </w:t>
      </w:r>
      <w:r w:rsidRPr="00F40AAF">
        <w:rPr>
          <w:rFonts w:ascii="Arial" w:eastAsia="Arial" w:hAnsi="Arial" w:cs="Arial"/>
        </w:rPr>
        <w:t>or</w:t>
      </w:r>
      <w:r w:rsidRPr="00F40AAF">
        <w:rPr>
          <w:rFonts w:ascii="Arial" w:eastAsia="Arial" w:hAnsi="Arial" w:cs="Arial"/>
          <w:spacing w:val="1"/>
        </w:rPr>
        <w:t xml:space="preserve"> </w:t>
      </w:r>
      <w:r w:rsidRPr="00F40AAF">
        <w:rPr>
          <w:rFonts w:ascii="Arial" w:eastAsia="Arial" w:hAnsi="Arial" w:cs="Arial"/>
        </w:rPr>
        <w:t>to</w:t>
      </w:r>
      <w:r w:rsidRPr="00F40AAF">
        <w:rPr>
          <w:rFonts w:ascii="Arial" w:eastAsia="Arial" w:hAnsi="Arial" w:cs="Arial"/>
          <w:spacing w:val="1"/>
        </w:rPr>
        <w:t xml:space="preserve"> </w:t>
      </w:r>
      <w:r w:rsidRPr="00F40AAF">
        <w:rPr>
          <w:rFonts w:ascii="Arial" w:eastAsia="Arial" w:hAnsi="Arial" w:cs="Arial"/>
        </w:rPr>
        <w:t xml:space="preserve">be urgently </w:t>
      </w:r>
      <w:r w:rsidRPr="00F40AAF">
        <w:rPr>
          <w:rFonts w:ascii="Arial" w:eastAsia="Arial" w:hAnsi="Arial" w:cs="Arial"/>
          <w:spacing w:val="-1"/>
        </w:rPr>
        <w:t>brought</w:t>
      </w:r>
      <w:r w:rsidRPr="00F40AAF">
        <w:rPr>
          <w:rFonts w:ascii="Arial" w:eastAsia="Arial" w:hAnsi="Arial" w:cs="Arial"/>
          <w:spacing w:val="3"/>
        </w:rPr>
        <w:t xml:space="preserve"> </w:t>
      </w:r>
      <w:r w:rsidRPr="00F40AAF">
        <w:rPr>
          <w:rFonts w:ascii="Arial" w:eastAsia="Arial" w:hAnsi="Arial" w:cs="Arial"/>
          <w:spacing w:val="-2"/>
        </w:rPr>
        <w:t>in</w:t>
      </w:r>
      <w:r w:rsidRPr="00F40AAF">
        <w:rPr>
          <w:rFonts w:ascii="Arial" w:eastAsia="Arial" w:hAnsi="Arial" w:cs="Arial"/>
          <w:spacing w:val="45"/>
        </w:rPr>
        <w:t xml:space="preserve"> </w:t>
      </w:r>
      <w:r w:rsidRPr="00F40AAF">
        <w:rPr>
          <w:rFonts w:ascii="Arial" w:eastAsia="Arial" w:hAnsi="Arial" w:cs="Arial"/>
        </w:rPr>
        <w:t xml:space="preserve">the </w:t>
      </w:r>
      <w:r w:rsidRPr="00F40AAF">
        <w:rPr>
          <w:rFonts w:ascii="Arial" w:eastAsia="Arial" w:hAnsi="Arial" w:cs="Arial"/>
          <w:spacing w:val="-1"/>
        </w:rPr>
        <w:t>High</w:t>
      </w:r>
      <w:r w:rsidR="002179E4" w:rsidRPr="00F40AAF">
        <w:rPr>
          <w:rFonts w:ascii="Arial" w:eastAsia="Arial" w:hAnsi="Arial" w:cs="Arial"/>
        </w:rPr>
        <w:t xml:space="preserve"> Court.</w:t>
      </w:r>
      <w:r w:rsidR="00533609">
        <w:rPr>
          <w:rFonts w:ascii="Arial" w:eastAsia="Arial" w:hAnsi="Arial" w:cs="Arial"/>
        </w:rPr>
        <w:t>”</w:t>
      </w:r>
    </w:p>
    <w:p w:rsidR="005D6EFE" w:rsidRDefault="005D6EFE" w:rsidP="00F40AAF">
      <w:pPr>
        <w:spacing w:after="0" w:line="480" w:lineRule="auto"/>
        <w:jc w:val="both"/>
        <w:rPr>
          <w:rFonts w:ascii="Arial" w:eastAsia="Times New Roman" w:hAnsi="Arial" w:cs="Arial"/>
          <w:b/>
          <w:bCs/>
          <w:sz w:val="24"/>
          <w:szCs w:val="24"/>
          <w:lang w:val="en-GB"/>
        </w:rPr>
      </w:pPr>
    </w:p>
    <w:p w:rsidR="00DC4544" w:rsidRPr="006A1708" w:rsidRDefault="006A1708" w:rsidP="00F40AAF">
      <w:pPr>
        <w:spacing w:after="0" w:line="480" w:lineRule="auto"/>
        <w:jc w:val="both"/>
        <w:rPr>
          <w:rFonts w:ascii="Arial" w:hAnsi="Arial" w:cs="Arial"/>
          <w:b/>
          <w:sz w:val="24"/>
          <w:szCs w:val="24"/>
          <w:lang w:val="en-GB"/>
        </w:rPr>
      </w:pPr>
      <w:r>
        <w:rPr>
          <w:rFonts w:ascii="Arial" w:eastAsia="Times New Roman" w:hAnsi="Arial" w:cs="Arial"/>
          <w:b/>
          <w:bCs/>
          <w:sz w:val="24"/>
          <w:szCs w:val="24"/>
          <w:lang w:val="en-GB"/>
        </w:rPr>
        <w:t>The C</w:t>
      </w:r>
      <w:r w:rsidRPr="006A1708">
        <w:rPr>
          <w:rFonts w:ascii="Arial" w:eastAsia="Times New Roman" w:hAnsi="Arial" w:cs="Arial"/>
          <w:b/>
          <w:bCs/>
          <w:sz w:val="24"/>
          <w:szCs w:val="24"/>
          <w:lang w:val="en-GB"/>
        </w:rPr>
        <w:t>ontract</w:t>
      </w:r>
    </w:p>
    <w:p w:rsidR="00AA7D07" w:rsidRPr="00FE712F" w:rsidRDefault="00FE712F" w:rsidP="00FE712F">
      <w:pPr>
        <w:spacing w:line="480" w:lineRule="auto"/>
        <w:jc w:val="both"/>
        <w:rPr>
          <w:rFonts w:ascii="Arial" w:hAnsi="Arial" w:cs="Arial"/>
          <w:sz w:val="24"/>
          <w:szCs w:val="24"/>
        </w:rPr>
      </w:pPr>
      <w:r w:rsidRPr="00F40AAF">
        <w:rPr>
          <w:rFonts w:ascii="Arial" w:hAnsi="Arial" w:cs="Arial"/>
          <w:sz w:val="24"/>
          <w:szCs w:val="24"/>
        </w:rPr>
        <w:t>[7]</w:t>
      </w:r>
      <w:r w:rsidRPr="00F40AAF">
        <w:rPr>
          <w:rFonts w:ascii="Arial" w:hAnsi="Arial" w:cs="Arial"/>
          <w:sz w:val="24"/>
          <w:szCs w:val="24"/>
        </w:rPr>
        <w:tab/>
      </w:r>
      <w:r w:rsidR="00AA7D07" w:rsidRPr="00FE712F">
        <w:rPr>
          <w:rFonts w:ascii="Arial" w:hAnsi="Arial" w:cs="Arial"/>
          <w:sz w:val="24"/>
          <w:szCs w:val="24"/>
        </w:rPr>
        <w:t>The material and relevant terms and conditions of the sale agreement were as follows: -</w:t>
      </w:r>
    </w:p>
    <w:p w:rsidR="00AA7D07" w:rsidRPr="00FE712F" w:rsidRDefault="00FE712F" w:rsidP="00FE712F">
      <w:pPr>
        <w:spacing w:line="480" w:lineRule="auto"/>
        <w:ind w:left="1134" w:hanging="567"/>
        <w:jc w:val="both"/>
        <w:rPr>
          <w:rFonts w:ascii="Arial" w:hAnsi="Arial" w:cs="Arial"/>
          <w:sz w:val="24"/>
          <w:szCs w:val="24"/>
        </w:rPr>
      </w:pPr>
      <w:r w:rsidRPr="00F40AAF">
        <w:rPr>
          <w:rFonts w:ascii="Arial" w:hAnsi="Arial" w:cs="Arial"/>
          <w:sz w:val="24"/>
          <w:szCs w:val="24"/>
        </w:rPr>
        <w:t>1.</w:t>
      </w:r>
      <w:r w:rsidRPr="00F40AAF">
        <w:rPr>
          <w:rFonts w:ascii="Arial" w:hAnsi="Arial" w:cs="Arial"/>
          <w:sz w:val="24"/>
          <w:szCs w:val="24"/>
        </w:rPr>
        <w:tab/>
      </w:r>
      <w:r w:rsidR="00AA7D07" w:rsidRPr="00FE712F">
        <w:rPr>
          <w:rFonts w:ascii="Arial" w:hAnsi="Arial" w:cs="Arial"/>
          <w:sz w:val="24"/>
          <w:szCs w:val="24"/>
        </w:rPr>
        <w:t>The immovable property was sold on a voetstoots basis, for the amount of R 13,000,000.00</w:t>
      </w:r>
      <w:r w:rsidR="002C40CB" w:rsidRPr="00FE712F">
        <w:rPr>
          <w:rFonts w:ascii="Arial" w:hAnsi="Arial" w:cs="Arial"/>
          <w:sz w:val="24"/>
          <w:szCs w:val="24"/>
        </w:rPr>
        <w:t xml:space="preserve"> </w:t>
      </w:r>
      <w:r w:rsidR="00AA7D07" w:rsidRPr="00FE712F">
        <w:rPr>
          <w:rFonts w:ascii="Arial" w:hAnsi="Arial" w:cs="Arial"/>
          <w:sz w:val="24"/>
          <w:szCs w:val="24"/>
        </w:rPr>
        <w:t>(Thirteen Million), payable by a deposit of R</w:t>
      </w:r>
      <w:r w:rsidR="002C40CB" w:rsidRPr="00FE712F">
        <w:rPr>
          <w:rFonts w:ascii="Arial" w:hAnsi="Arial" w:cs="Arial"/>
          <w:sz w:val="24"/>
          <w:szCs w:val="24"/>
        </w:rPr>
        <w:t> </w:t>
      </w:r>
      <w:r w:rsidR="00AA7D07" w:rsidRPr="00FE712F">
        <w:rPr>
          <w:rFonts w:ascii="Arial" w:hAnsi="Arial" w:cs="Arial"/>
          <w:sz w:val="24"/>
          <w:szCs w:val="24"/>
        </w:rPr>
        <w:t>1,000,000.00</w:t>
      </w:r>
      <w:r w:rsidR="002C40CB" w:rsidRPr="00FE712F">
        <w:rPr>
          <w:rFonts w:ascii="Arial" w:hAnsi="Arial" w:cs="Arial"/>
          <w:sz w:val="24"/>
          <w:szCs w:val="24"/>
        </w:rPr>
        <w:t xml:space="preserve"> </w:t>
      </w:r>
      <w:r w:rsidR="00AA7D07" w:rsidRPr="00FE712F">
        <w:rPr>
          <w:rFonts w:ascii="Arial" w:hAnsi="Arial" w:cs="Arial"/>
          <w:sz w:val="24"/>
          <w:szCs w:val="24"/>
        </w:rPr>
        <w:t xml:space="preserve">(One Million), within 3 business days after the date of the signature of the </w:t>
      </w:r>
      <w:r w:rsidR="00AA7D07" w:rsidRPr="00FE712F">
        <w:rPr>
          <w:rFonts w:ascii="Arial" w:hAnsi="Arial" w:cs="Arial"/>
          <w:sz w:val="24"/>
          <w:szCs w:val="24"/>
        </w:rPr>
        <w:lastRenderedPageBreak/>
        <w:t>agreement by the applicant and R 12,000,000.00</w:t>
      </w:r>
      <w:r w:rsidR="002C40CB" w:rsidRPr="00FE712F">
        <w:rPr>
          <w:rFonts w:ascii="Arial" w:hAnsi="Arial" w:cs="Arial"/>
          <w:sz w:val="24"/>
          <w:szCs w:val="24"/>
        </w:rPr>
        <w:t xml:space="preserve"> </w:t>
      </w:r>
      <w:r w:rsidR="00AA7D07" w:rsidRPr="00FE712F">
        <w:rPr>
          <w:rFonts w:ascii="Arial" w:hAnsi="Arial" w:cs="Arial"/>
          <w:sz w:val="24"/>
          <w:szCs w:val="24"/>
        </w:rPr>
        <w:t>(Twelve</w:t>
      </w:r>
      <w:r w:rsidR="002C40CB" w:rsidRPr="00FE712F">
        <w:rPr>
          <w:rFonts w:ascii="Arial" w:hAnsi="Arial" w:cs="Arial"/>
          <w:sz w:val="24"/>
          <w:szCs w:val="24"/>
        </w:rPr>
        <w:t> </w:t>
      </w:r>
      <w:r w:rsidR="00AA7D07" w:rsidRPr="00FE712F">
        <w:rPr>
          <w:rFonts w:ascii="Arial" w:hAnsi="Arial" w:cs="Arial"/>
          <w:sz w:val="24"/>
          <w:szCs w:val="24"/>
        </w:rPr>
        <w:t>Million) payable within 30 days thereafter.</w:t>
      </w:r>
    </w:p>
    <w:p w:rsidR="00AA7D07" w:rsidRPr="00FE712F" w:rsidRDefault="00FE712F" w:rsidP="00FE712F">
      <w:pPr>
        <w:spacing w:line="480" w:lineRule="auto"/>
        <w:ind w:left="1134" w:hanging="567"/>
        <w:jc w:val="both"/>
        <w:rPr>
          <w:rFonts w:ascii="Arial" w:hAnsi="Arial" w:cs="Arial"/>
          <w:sz w:val="24"/>
          <w:szCs w:val="24"/>
        </w:rPr>
      </w:pPr>
      <w:r w:rsidRPr="00F40AAF">
        <w:rPr>
          <w:rFonts w:ascii="Arial" w:hAnsi="Arial" w:cs="Arial"/>
          <w:sz w:val="24"/>
          <w:szCs w:val="24"/>
        </w:rPr>
        <w:t>2.</w:t>
      </w:r>
      <w:r w:rsidRPr="00F40AAF">
        <w:rPr>
          <w:rFonts w:ascii="Arial" w:hAnsi="Arial" w:cs="Arial"/>
          <w:sz w:val="24"/>
          <w:szCs w:val="24"/>
        </w:rPr>
        <w:tab/>
      </w:r>
      <w:r w:rsidR="00AA7D07" w:rsidRPr="00FE712F">
        <w:rPr>
          <w:rFonts w:ascii="Arial" w:hAnsi="Arial" w:cs="Arial"/>
          <w:sz w:val="24"/>
          <w:szCs w:val="24"/>
        </w:rPr>
        <w:t>Occupation of the immovable property to be given to the first respondent on registration of transfer of the immovable property.</w:t>
      </w:r>
    </w:p>
    <w:p w:rsidR="00AA7D07" w:rsidRPr="00FE712F" w:rsidRDefault="00FE712F" w:rsidP="00FE712F">
      <w:pPr>
        <w:spacing w:line="480" w:lineRule="auto"/>
        <w:ind w:left="1134" w:hanging="567"/>
        <w:jc w:val="both"/>
        <w:rPr>
          <w:rFonts w:ascii="Arial" w:hAnsi="Arial" w:cs="Arial"/>
          <w:sz w:val="24"/>
          <w:szCs w:val="24"/>
        </w:rPr>
      </w:pPr>
      <w:r w:rsidRPr="00F40AAF">
        <w:rPr>
          <w:rFonts w:ascii="Arial" w:hAnsi="Arial" w:cs="Arial"/>
          <w:sz w:val="24"/>
          <w:szCs w:val="24"/>
        </w:rPr>
        <w:t>3.</w:t>
      </w:r>
      <w:r w:rsidRPr="00F40AAF">
        <w:rPr>
          <w:rFonts w:ascii="Arial" w:hAnsi="Arial" w:cs="Arial"/>
          <w:sz w:val="24"/>
          <w:szCs w:val="24"/>
        </w:rPr>
        <w:tab/>
      </w:r>
      <w:r w:rsidR="00AA7D07" w:rsidRPr="00FE712F">
        <w:rPr>
          <w:rFonts w:ascii="Arial" w:hAnsi="Arial" w:cs="Arial"/>
          <w:sz w:val="24"/>
          <w:szCs w:val="24"/>
        </w:rPr>
        <w:t>Possession and ownership of and all benefits and risk in respect of the immovable property would pass to the first respondent on registration of transfer, from which date the first</w:t>
      </w:r>
      <w:r w:rsidR="002C40CB" w:rsidRPr="00FE712F">
        <w:rPr>
          <w:rFonts w:ascii="Arial" w:hAnsi="Arial" w:cs="Arial"/>
          <w:sz w:val="24"/>
          <w:szCs w:val="24"/>
        </w:rPr>
        <w:t xml:space="preserve"> </w:t>
      </w:r>
      <w:r w:rsidR="00AA7D07" w:rsidRPr="00FE712F">
        <w:rPr>
          <w:rFonts w:ascii="Arial" w:hAnsi="Arial" w:cs="Arial"/>
          <w:sz w:val="24"/>
          <w:szCs w:val="24"/>
        </w:rPr>
        <w:t>respondent would also be liable for inter alia all rates, taxes</w:t>
      </w:r>
      <w:r w:rsidR="002C40CB" w:rsidRPr="00FE712F">
        <w:rPr>
          <w:rFonts w:ascii="Arial" w:hAnsi="Arial" w:cs="Arial"/>
          <w:sz w:val="24"/>
          <w:szCs w:val="24"/>
        </w:rPr>
        <w:t xml:space="preserve"> </w:t>
      </w:r>
      <w:r w:rsidR="00AA7D07" w:rsidRPr="00FE712F">
        <w:rPr>
          <w:rFonts w:ascii="Arial" w:hAnsi="Arial" w:cs="Arial"/>
          <w:sz w:val="24"/>
          <w:szCs w:val="24"/>
        </w:rPr>
        <w:t>and/or levies pertaining to the immovable property.</w:t>
      </w:r>
    </w:p>
    <w:p w:rsidR="00AA7D07" w:rsidRPr="00FE712F" w:rsidRDefault="00FE712F" w:rsidP="00FE712F">
      <w:pPr>
        <w:spacing w:line="480" w:lineRule="auto"/>
        <w:ind w:left="1134" w:hanging="567"/>
        <w:jc w:val="both"/>
        <w:rPr>
          <w:rFonts w:ascii="Arial" w:hAnsi="Arial" w:cs="Arial"/>
          <w:sz w:val="24"/>
          <w:szCs w:val="24"/>
        </w:rPr>
      </w:pPr>
      <w:r w:rsidRPr="00F40AAF">
        <w:rPr>
          <w:rFonts w:ascii="Arial" w:hAnsi="Arial" w:cs="Arial"/>
          <w:sz w:val="24"/>
          <w:szCs w:val="24"/>
        </w:rPr>
        <w:t>4.</w:t>
      </w:r>
      <w:r w:rsidRPr="00F40AAF">
        <w:rPr>
          <w:rFonts w:ascii="Arial" w:hAnsi="Arial" w:cs="Arial"/>
          <w:sz w:val="24"/>
          <w:szCs w:val="24"/>
        </w:rPr>
        <w:tab/>
      </w:r>
      <w:r w:rsidR="00AA7D07" w:rsidRPr="00FE712F">
        <w:rPr>
          <w:rFonts w:ascii="Arial" w:hAnsi="Arial" w:cs="Arial"/>
          <w:sz w:val="24"/>
          <w:szCs w:val="24"/>
        </w:rPr>
        <w:t>Transfer would be effected by the second respondent as soon as reasonably possible provided that the first respondent has complied with the provision of the agreement, signed all necessary bond and transfer documentation and paid all necessary costs of transfer.</w:t>
      </w:r>
    </w:p>
    <w:p w:rsidR="002C40CB" w:rsidRPr="00FE712F" w:rsidRDefault="00FE712F" w:rsidP="00FE712F">
      <w:pPr>
        <w:spacing w:line="480" w:lineRule="auto"/>
        <w:ind w:left="1134" w:hanging="567"/>
        <w:jc w:val="both"/>
        <w:rPr>
          <w:rFonts w:ascii="Arial" w:hAnsi="Arial" w:cs="Arial"/>
          <w:sz w:val="24"/>
          <w:szCs w:val="24"/>
        </w:rPr>
      </w:pPr>
      <w:r w:rsidRPr="00F40AAF">
        <w:rPr>
          <w:rFonts w:ascii="Arial" w:hAnsi="Arial" w:cs="Arial"/>
          <w:sz w:val="24"/>
          <w:szCs w:val="24"/>
        </w:rPr>
        <w:t>5.</w:t>
      </w:r>
      <w:r w:rsidRPr="00F40AAF">
        <w:rPr>
          <w:rFonts w:ascii="Arial" w:hAnsi="Arial" w:cs="Arial"/>
          <w:sz w:val="24"/>
          <w:szCs w:val="24"/>
        </w:rPr>
        <w:tab/>
      </w:r>
      <w:r w:rsidR="00AA7D07" w:rsidRPr="00FE712F">
        <w:rPr>
          <w:rFonts w:ascii="Arial" w:hAnsi="Arial" w:cs="Arial"/>
          <w:sz w:val="24"/>
          <w:szCs w:val="24"/>
        </w:rPr>
        <w:t>In addition to the purchase price, the first respondent would pay all costs</w:t>
      </w:r>
      <w:r w:rsidR="002C40CB" w:rsidRPr="00FE712F">
        <w:rPr>
          <w:rFonts w:ascii="Arial" w:hAnsi="Arial" w:cs="Arial"/>
          <w:sz w:val="24"/>
          <w:szCs w:val="24"/>
        </w:rPr>
        <w:t xml:space="preserve"> </w:t>
      </w:r>
      <w:r w:rsidR="00AA7D07" w:rsidRPr="00FE712F">
        <w:rPr>
          <w:rFonts w:ascii="Arial" w:hAnsi="Arial" w:cs="Arial"/>
          <w:sz w:val="24"/>
          <w:szCs w:val="24"/>
        </w:rPr>
        <w:t>and charges incidental to registration of transfer of the immovable property, including such administrative</w:t>
      </w:r>
      <w:r w:rsidR="002C40CB" w:rsidRPr="00FE712F">
        <w:rPr>
          <w:rFonts w:ascii="Arial" w:hAnsi="Arial" w:cs="Arial"/>
          <w:sz w:val="24"/>
          <w:szCs w:val="24"/>
        </w:rPr>
        <w:t xml:space="preserve"> </w:t>
      </w:r>
      <w:r w:rsidR="00AA7D07" w:rsidRPr="00FE712F">
        <w:rPr>
          <w:rFonts w:ascii="Arial" w:hAnsi="Arial" w:cs="Arial"/>
          <w:sz w:val="24"/>
          <w:szCs w:val="24"/>
        </w:rPr>
        <w:t>amounts as may be necessary to obtain a rates and/or levies clearance certificate to facilitate registration of transfer (excluding rates, taxes, levies and/or arear municipal charges for which the applicant is liable).</w:t>
      </w:r>
    </w:p>
    <w:p w:rsidR="00AA7D07" w:rsidRPr="00FE712F" w:rsidRDefault="00FE712F" w:rsidP="00FE712F">
      <w:pPr>
        <w:spacing w:line="480" w:lineRule="auto"/>
        <w:ind w:left="1134" w:hanging="567"/>
        <w:jc w:val="both"/>
        <w:rPr>
          <w:rFonts w:ascii="Arial" w:hAnsi="Arial" w:cs="Arial"/>
          <w:sz w:val="24"/>
          <w:szCs w:val="24"/>
        </w:rPr>
      </w:pPr>
      <w:r w:rsidRPr="00F40AAF">
        <w:rPr>
          <w:rFonts w:ascii="Arial" w:hAnsi="Arial" w:cs="Arial"/>
          <w:sz w:val="24"/>
          <w:szCs w:val="24"/>
        </w:rPr>
        <w:t>6.</w:t>
      </w:r>
      <w:r w:rsidRPr="00F40AAF">
        <w:rPr>
          <w:rFonts w:ascii="Arial" w:hAnsi="Arial" w:cs="Arial"/>
          <w:sz w:val="24"/>
          <w:szCs w:val="24"/>
        </w:rPr>
        <w:tab/>
      </w:r>
      <w:r w:rsidR="00AA7D07" w:rsidRPr="00FE712F">
        <w:rPr>
          <w:rFonts w:ascii="Arial" w:hAnsi="Arial" w:cs="Arial"/>
          <w:sz w:val="24"/>
          <w:szCs w:val="24"/>
        </w:rPr>
        <w:t>The first respondent would also be liable for VAT</w:t>
      </w:r>
      <w:r w:rsidR="002C40CB" w:rsidRPr="00FE712F">
        <w:rPr>
          <w:rFonts w:ascii="Arial" w:hAnsi="Arial" w:cs="Arial"/>
          <w:sz w:val="24"/>
          <w:szCs w:val="24"/>
        </w:rPr>
        <w:t xml:space="preserve"> </w:t>
      </w:r>
      <w:r w:rsidR="00AA7D07" w:rsidRPr="00FE712F">
        <w:rPr>
          <w:rFonts w:ascii="Arial" w:hAnsi="Arial" w:cs="Arial"/>
          <w:sz w:val="24"/>
          <w:szCs w:val="24"/>
        </w:rPr>
        <w:t>levied in terms of the Value-Added Tax Act No. 89 of 1991 (as amended) or transfer duty levied in terms of the Transfer Duties Act No. 40 of 1949 (as amended) (if applicable); legal costs charged by the second respondent and costs of registering any mortgage bond (if any).</w:t>
      </w:r>
    </w:p>
    <w:p w:rsidR="000F7D52" w:rsidRPr="00FE712F" w:rsidRDefault="00FE712F" w:rsidP="00FE712F">
      <w:pPr>
        <w:spacing w:line="480" w:lineRule="auto"/>
        <w:ind w:left="1134" w:hanging="567"/>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AA7D07" w:rsidRPr="00FE712F">
        <w:rPr>
          <w:rFonts w:ascii="Arial" w:hAnsi="Arial" w:cs="Arial"/>
          <w:sz w:val="24"/>
          <w:szCs w:val="24"/>
        </w:rPr>
        <w:t>The Applicant and the first respondent warranted in favour of each other that neither party was aware of the existence of any fact or circumstance that may impair its ability to comply with all of its obligations in terms of the agreement</w:t>
      </w:r>
      <w:r w:rsidR="000F7D52" w:rsidRPr="00FE712F">
        <w:rPr>
          <w:rFonts w:ascii="Arial" w:hAnsi="Arial" w:cs="Arial"/>
          <w:sz w:val="24"/>
          <w:szCs w:val="24"/>
        </w:rPr>
        <w:t>.</w:t>
      </w:r>
    </w:p>
    <w:p w:rsidR="001E37D6" w:rsidRPr="00F40AAF" w:rsidRDefault="001E37D6" w:rsidP="00F40AAF">
      <w:pPr>
        <w:pStyle w:val="ListParagraph"/>
        <w:spacing w:line="240" w:lineRule="auto"/>
        <w:ind w:left="1134"/>
        <w:jc w:val="both"/>
        <w:rPr>
          <w:rFonts w:ascii="Arial" w:hAnsi="Arial" w:cs="Arial"/>
          <w:sz w:val="24"/>
          <w:szCs w:val="24"/>
        </w:rPr>
      </w:pPr>
    </w:p>
    <w:p w:rsidR="00DC4544" w:rsidRPr="00FE712F" w:rsidRDefault="00FE712F" w:rsidP="00FE712F">
      <w:pPr>
        <w:spacing w:line="480" w:lineRule="auto"/>
        <w:jc w:val="both"/>
        <w:rPr>
          <w:rFonts w:ascii="Arial" w:hAnsi="Arial" w:cs="Arial"/>
          <w:sz w:val="24"/>
          <w:szCs w:val="24"/>
        </w:rPr>
      </w:pPr>
      <w:r w:rsidRPr="00F40AAF">
        <w:rPr>
          <w:rFonts w:ascii="Arial" w:hAnsi="Arial" w:cs="Arial"/>
          <w:sz w:val="24"/>
          <w:szCs w:val="24"/>
        </w:rPr>
        <w:t>[8]</w:t>
      </w:r>
      <w:r w:rsidRPr="00F40AAF">
        <w:rPr>
          <w:rFonts w:ascii="Arial" w:hAnsi="Arial" w:cs="Arial"/>
          <w:sz w:val="24"/>
          <w:szCs w:val="24"/>
        </w:rPr>
        <w:tab/>
      </w:r>
      <w:r w:rsidR="000F7D52" w:rsidRPr="00FE712F">
        <w:rPr>
          <w:rFonts w:ascii="Arial" w:hAnsi="Arial" w:cs="Arial"/>
          <w:sz w:val="24"/>
          <w:szCs w:val="24"/>
        </w:rPr>
        <w:t>Cause 20.1</w:t>
      </w:r>
      <w:r w:rsidR="002C40CB" w:rsidRPr="00FE712F">
        <w:rPr>
          <w:rFonts w:ascii="Arial" w:hAnsi="Arial" w:cs="Arial"/>
          <w:sz w:val="24"/>
          <w:szCs w:val="24"/>
        </w:rPr>
        <w:t xml:space="preserve"> </w:t>
      </w:r>
      <w:r w:rsidR="00217B5E" w:rsidRPr="00FE712F">
        <w:rPr>
          <w:rFonts w:ascii="Arial" w:hAnsi="Arial" w:cs="Arial"/>
          <w:sz w:val="24"/>
          <w:szCs w:val="24"/>
        </w:rPr>
        <w:t>of the contract</w:t>
      </w:r>
      <w:r w:rsidR="000F7D52" w:rsidRPr="00FE712F">
        <w:rPr>
          <w:rFonts w:ascii="Arial" w:hAnsi="Arial" w:cs="Arial"/>
          <w:sz w:val="24"/>
          <w:szCs w:val="24"/>
        </w:rPr>
        <w:t xml:space="preserve"> provides that</w:t>
      </w:r>
      <w:r w:rsidR="00AA7D07" w:rsidRPr="00FE712F">
        <w:rPr>
          <w:rFonts w:ascii="Arial" w:hAnsi="Arial" w:cs="Arial"/>
          <w:sz w:val="24"/>
          <w:szCs w:val="24"/>
        </w:rPr>
        <w:t xml:space="preserve"> </w:t>
      </w:r>
      <w:r w:rsidR="00B00F7E" w:rsidRPr="00FE712F">
        <w:rPr>
          <w:rFonts w:ascii="Arial" w:hAnsi="Arial" w:cs="Arial"/>
          <w:sz w:val="24"/>
          <w:szCs w:val="24"/>
        </w:rPr>
        <w:t>“</w:t>
      </w:r>
      <w:r w:rsidR="002C40CB" w:rsidRPr="00FE712F">
        <w:rPr>
          <w:rFonts w:ascii="Arial" w:hAnsi="Arial" w:cs="Arial"/>
          <w:sz w:val="24"/>
          <w:szCs w:val="24"/>
        </w:rPr>
        <w:t>[t]</w:t>
      </w:r>
      <w:r w:rsidR="00AA7D07" w:rsidRPr="00FE712F">
        <w:rPr>
          <w:rFonts w:ascii="Arial" w:hAnsi="Arial" w:cs="Arial"/>
          <w:sz w:val="24"/>
          <w:szCs w:val="24"/>
        </w:rPr>
        <w:t xml:space="preserve">he </w:t>
      </w:r>
      <w:r w:rsidR="002C40CB" w:rsidRPr="00FE712F">
        <w:rPr>
          <w:rFonts w:ascii="Arial" w:hAnsi="Arial" w:cs="Arial"/>
          <w:sz w:val="24"/>
          <w:szCs w:val="24"/>
        </w:rPr>
        <w:t xml:space="preserve">seller shall </w:t>
      </w:r>
      <w:r w:rsidR="00AA7D07" w:rsidRPr="00FE712F">
        <w:rPr>
          <w:rFonts w:ascii="Arial" w:hAnsi="Arial" w:cs="Arial"/>
          <w:sz w:val="24"/>
          <w:szCs w:val="24"/>
        </w:rPr>
        <w:t>remove all caveats that may be placed on the property and facilitate the transfer process</w:t>
      </w:r>
      <w:r w:rsidR="00B00F7E" w:rsidRPr="00FE712F">
        <w:rPr>
          <w:rFonts w:ascii="Arial" w:hAnsi="Arial" w:cs="Arial"/>
          <w:sz w:val="24"/>
          <w:szCs w:val="24"/>
        </w:rPr>
        <w:t>”</w:t>
      </w:r>
      <w:r w:rsidR="00AA7D07" w:rsidRPr="00FE712F">
        <w:rPr>
          <w:rFonts w:ascii="Arial" w:hAnsi="Arial" w:cs="Arial"/>
          <w:sz w:val="24"/>
          <w:szCs w:val="24"/>
        </w:rPr>
        <w:t>.</w:t>
      </w:r>
    </w:p>
    <w:p w:rsidR="00DC4544" w:rsidRPr="00FE712F" w:rsidRDefault="00FE712F" w:rsidP="00FE712F">
      <w:pPr>
        <w:spacing w:line="480" w:lineRule="auto"/>
        <w:rPr>
          <w:rFonts w:ascii="Arial" w:hAnsi="Arial" w:cs="Arial"/>
          <w:sz w:val="24"/>
          <w:szCs w:val="24"/>
          <w:lang w:val="en-GB"/>
        </w:rPr>
      </w:pPr>
      <w:r w:rsidRPr="00F40AAF">
        <w:rPr>
          <w:rFonts w:ascii="Arial" w:hAnsi="Arial" w:cs="Arial"/>
          <w:sz w:val="24"/>
          <w:szCs w:val="24"/>
          <w:lang w:val="en-GB"/>
        </w:rPr>
        <w:t>[9]</w:t>
      </w:r>
      <w:r w:rsidRPr="00F40AAF">
        <w:rPr>
          <w:rFonts w:ascii="Arial" w:hAnsi="Arial" w:cs="Arial"/>
          <w:sz w:val="24"/>
          <w:szCs w:val="24"/>
          <w:lang w:val="en-GB"/>
        </w:rPr>
        <w:tab/>
      </w:r>
      <w:r w:rsidR="00DC4544" w:rsidRPr="00FE712F">
        <w:rPr>
          <w:rFonts w:ascii="Arial" w:hAnsi="Arial" w:cs="Arial"/>
          <w:sz w:val="24"/>
          <w:szCs w:val="24"/>
          <w:lang w:val="en-GB"/>
        </w:rPr>
        <w:t>The following questions arise for determination in this application:</w:t>
      </w:r>
    </w:p>
    <w:p w:rsidR="00DC4544" w:rsidRPr="00FE712F" w:rsidRDefault="00FE712F" w:rsidP="00FE712F">
      <w:pPr>
        <w:spacing w:after="0" w:line="360" w:lineRule="auto"/>
        <w:ind w:left="1134" w:hanging="567"/>
        <w:rPr>
          <w:rFonts w:ascii="Arial" w:eastAsia="Times New Roman" w:hAnsi="Arial" w:cs="Arial"/>
          <w:bCs/>
          <w:sz w:val="24"/>
          <w:szCs w:val="24"/>
          <w:lang w:val="en-GB"/>
        </w:rPr>
      </w:pPr>
      <w:r w:rsidRPr="00F40AAF">
        <w:rPr>
          <w:rFonts w:ascii="Arial" w:eastAsia="Times New Roman" w:hAnsi="Arial" w:cs="Arial"/>
          <w:bCs/>
          <w:sz w:val="24"/>
          <w:szCs w:val="24"/>
          <w:lang w:val="en-GB"/>
        </w:rPr>
        <w:t>(a)</w:t>
      </w:r>
      <w:r w:rsidRPr="00F40AAF">
        <w:rPr>
          <w:rFonts w:ascii="Arial" w:eastAsia="Times New Roman" w:hAnsi="Arial" w:cs="Arial"/>
          <w:bCs/>
          <w:sz w:val="24"/>
          <w:szCs w:val="24"/>
          <w:lang w:val="en-GB"/>
        </w:rPr>
        <w:tab/>
      </w:r>
      <w:r w:rsidR="00DC4544" w:rsidRPr="00FE712F">
        <w:rPr>
          <w:rFonts w:ascii="Arial" w:eastAsia="Times New Roman" w:hAnsi="Arial" w:cs="Arial"/>
          <w:bCs/>
          <w:sz w:val="24"/>
          <w:szCs w:val="24"/>
          <w:lang w:val="en-GB"/>
        </w:rPr>
        <w:t>Was the language of clause 20.1 of the sale agreement misleading and were pertinent facts omitted?</w:t>
      </w:r>
    </w:p>
    <w:p w:rsidR="00DC4544" w:rsidRPr="00FE712F" w:rsidRDefault="00FE712F" w:rsidP="00FE712F">
      <w:pPr>
        <w:spacing w:after="0" w:line="360" w:lineRule="auto"/>
        <w:ind w:left="1134" w:hanging="567"/>
        <w:rPr>
          <w:rFonts w:ascii="Arial" w:eastAsia="Times New Roman" w:hAnsi="Arial" w:cs="Arial"/>
          <w:bCs/>
          <w:sz w:val="24"/>
          <w:szCs w:val="24"/>
          <w:lang w:val="en-GB"/>
        </w:rPr>
      </w:pPr>
      <w:r w:rsidRPr="00F40AAF">
        <w:rPr>
          <w:rFonts w:ascii="Arial" w:eastAsia="Times New Roman" w:hAnsi="Arial" w:cs="Arial"/>
          <w:bCs/>
          <w:sz w:val="24"/>
          <w:szCs w:val="24"/>
          <w:lang w:val="en-GB"/>
        </w:rPr>
        <w:t>(b)</w:t>
      </w:r>
      <w:r w:rsidRPr="00F40AAF">
        <w:rPr>
          <w:rFonts w:ascii="Arial" w:eastAsia="Times New Roman" w:hAnsi="Arial" w:cs="Arial"/>
          <w:bCs/>
          <w:sz w:val="24"/>
          <w:szCs w:val="24"/>
          <w:lang w:val="en-GB"/>
        </w:rPr>
        <w:tab/>
      </w:r>
      <w:r w:rsidR="00DC4544" w:rsidRPr="00FE712F">
        <w:rPr>
          <w:rFonts w:ascii="Arial" w:eastAsia="Times New Roman" w:hAnsi="Arial" w:cs="Arial"/>
          <w:bCs/>
          <w:sz w:val="24"/>
          <w:szCs w:val="24"/>
          <w:lang w:val="en-GB"/>
        </w:rPr>
        <w:t>Was there a legal duty on the applicant to disclose the exact nature of the caveat?</w:t>
      </w:r>
    </w:p>
    <w:p w:rsidR="00DC4544" w:rsidRPr="00FE712F" w:rsidRDefault="00FE712F" w:rsidP="00FE712F">
      <w:pPr>
        <w:spacing w:line="480" w:lineRule="auto"/>
        <w:ind w:left="1134" w:hanging="567"/>
        <w:rPr>
          <w:rFonts w:ascii="Times New Roman" w:eastAsia="Times New Roman" w:hAnsi="Times New Roman" w:cs="Times New Roman"/>
          <w:bCs/>
          <w:sz w:val="26"/>
          <w:szCs w:val="26"/>
          <w:lang w:val="en-GB"/>
        </w:rPr>
      </w:pPr>
      <w:r w:rsidRPr="00F40AAF">
        <w:rPr>
          <w:rFonts w:ascii="Arial" w:eastAsia="Times New Roman" w:hAnsi="Arial" w:cs="Arial"/>
          <w:bCs/>
          <w:sz w:val="24"/>
          <w:szCs w:val="24"/>
          <w:lang w:val="en-GB"/>
        </w:rPr>
        <w:t>(c)</w:t>
      </w:r>
      <w:r w:rsidRPr="00F40AAF">
        <w:rPr>
          <w:rFonts w:ascii="Arial" w:eastAsia="Times New Roman" w:hAnsi="Arial" w:cs="Arial"/>
          <w:bCs/>
          <w:sz w:val="24"/>
          <w:szCs w:val="24"/>
          <w:lang w:val="en-GB"/>
        </w:rPr>
        <w:tab/>
      </w:r>
      <w:r w:rsidR="00DC4544" w:rsidRPr="00FE712F">
        <w:rPr>
          <w:rFonts w:ascii="Arial" w:eastAsia="Times New Roman" w:hAnsi="Arial" w:cs="Arial"/>
          <w:bCs/>
          <w:sz w:val="24"/>
          <w:szCs w:val="24"/>
          <w:lang w:val="en-GB"/>
        </w:rPr>
        <w:t>Were the non-disclosed facts material thereby invalidating the contract?</w:t>
      </w:r>
    </w:p>
    <w:p w:rsidR="00214220" w:rsidRDefault="00214220" w:rsidP="00214220">
      <w:pPr>
        <w:pStyle w:val="NormalWeb"/>
        <w:shd w:val="clear" w:color="auto" w:fill="FFFFFF"/>
        <w:spacing w:before="144" w:beforeAutospacing="0" w:after="288" w:afterAutospacing="0" w:line="480" w:lineRule="atLeast"/>
        <w:rPr>
          <w:rFonts w:ascii="Verdana" w:hAnsi="Verdana"/>
          <w:color w:val="242121"/>
          <w:sz w:val="27"/>
          <w:szCs w:val="27"/>
          <w:lang w:val="en-GB"/>
        </w:rPr>
      </w:pPr>
      <w:r>
        <w:rPr>
          <w:rFonts w:ascii="Arial" w:hAnsi="Arial" w:cs="Arial"/>
          <w:b/>
          <w:bCs/>
          <w:color w:val="242121"/>
          <w:lang w:val="en-GB"/>
        </w:rPr>
        <w:t>Specific performance as remedy for breach</w:t>
      </w:r>
    </w:p>
    <w:p w:rsidR="00214220" w:rsidRPr="00FE712F" w:rsidRDefault="00FE712F" w:rsidP="00FE712F">
      <w:pPr>
        <w:spacing w:after="0" w:line="480" w:lineRule="auto"/>
        <w:jc w:val="both"/>
        <w:rPr>
          <w:rFonts w:ascii="Arial" w:hAnsi="Arial" w:cs="Arial"/>
          <w:sz w:val="24"/>
          <w:szCs w:val="24"/>
          <w:lang w:val="en-GB"/>
        </w:rPr>
      </w:pPr>
      <w:r w:rsidRPr="00F40AAF">
        <w:rPr>
          <w:rFonts w:ascii="Arial" w:hAnsi="Arial" w:cs="Arial"/>
          <w:sz w:val="24"/>
          <w:szCs w:val="24"/>
          <w:lang w:val="en-GB"/>
        </w:rPr>
        <w:t>[10]</w:t>
      </w:r>
      <w:r w:rsidRPr="00F40AAF">
        <w:rPr>
          <w:rFonts w:ascii="Arial" w:hAnsi="Arial" w:cs="Arial"/>
          <w:sz w:val="24"/>
          <w:szCs w:val="24"/>
          <w:lang w:val="en-GB"/>
        </w:rPr>
        <w:tab/>
      </w:r>
      <w:r w:rsidR="00214220" w:rsidRPr="00FE712F">
        <w:rPr>
          <w:rFonts w:ascii="Arial" w:hAnsi="Arial" w:cs="Arial"/>
          <w:sz w:val="24"/>
          <w:szCs w:val="24"/>
          <w:lang w:val="en-GB"/>
        </w:rPr>
        <w:t>Christie’s</w:t>
      </w:r>
      <w:r w:rsidR="008F7208" w:rsidRPr="00FE712F">
        <w:rPr>
          <w:rFonts w:ascii="Arial" w:hAnsi="Arial" w:cs="Arial"/>
          <w:sz w:val="24"/>
          <w:szCs w:val="24"/>
          <w:lang w:val="en-GB"/>
        </w:rPr>
        <w:t xml:space="preserve"> </w:t>
      </w:r>
      <w:r w:rsidR="00214220" w:rsidRPr="00FE712F">
        <w:rPr>
          <w:rFonts w:ascii="Arial" w:hAnsi="Arial" w:cs="Arial"/>
          <w:i/>
          <w:sz w:val="24"/>
          <w:szCs w:val="24"/>
          <w:lang w:val="en-GB"/>
        </w:rPr>
        <w:t>Law of Contract in South Africa</w:t>
      </w:r>
      <w:r w:rsidR="00F21FA9" w:rsidRPr="00FE712F">
        <w:rPr>
          <w:rFonts w:ascii="Arial" w:hAnsi="Arial" w:cs="Arial"/>
          <w:sz w:val="24"/>
          <w:szCs w:val="24"/>
          <w:lang w:val="en-GB"/>
        </w:rPr>
        <w:t xml:space="preserve"> </w:t>
      </w:r>
      <w:r w:rsidR="00214220" w:rsidRPr="00FE712F">
        <w:rPr>
          <w:rFonts w:ascii="Arial" w:hAnsi="Arial" w:cs="Arial"/>
          <w:sz w:val="24"/>
          <w:szCs w:val="24"/>
          <w:lang w:val="en-GB"/>
        </w:rPr>
        <w:t>7 ed</w:t>
      </w:r>
      <w:r w:rsidR="00864B38" w:rsidRPr="00FE712F">
        <w:rPr>
          <w:rFonts w:ascii="Arial" w:hAnsi="Arial" w:cs="Arial"/>
          <w:sz w:val="24"/>
          <w:szCs w:val="24"/>
          <w:lang w:val="en-GB"/>
        </w:rPr>
        <w:t xml:space="preserve"> </w:t>
      </w:r>
      <w:r w:rsidR="00214220" w:rsidRPr="00FE712F">
        <w:rPr>
          <w:rFonts w:ascii="Arial" w:hAnsi="Arial" w:cs="Arial"/>
          <w:sz w:val="24"/>
          <w:szCs w:val="24"/>
          <w:lang w:val="en-GB"/>
        </w:rPr>
        <w:t>at 616 states:</w:t>
      </w:r>
    </w:p>
    <w:p w:rsidR="00214220" w:rsidRDefault="00EF2171" w:rsidP="00F40AAF">
      <w:pPr>
        <w:spacing w:before="69" w:line="240" w:lineRule="auto"/>
        <w:ind w:left="567"/>
        <w:jc w:val="both"/>
        <w:rPr>
          <w:rFonts w:ascii="Arial" w:eastAsia="Arial" w:hAnsi="Arial" w:cs="Arial"/>
        </w:rPr>
      </w:pPr>
      <w:r w:rsidRPr="00F40AAF">
        <w:rPr>
          <w:rFonts w:ascii="Arial" w:eastAsia="Arial" w:hAnsi="Arial" w:cs="Arial"/>
        </w:rPr>
        <w:t>“</w:t>
      </w:r>
      <w:r w:rsidR="00214220" w:rsidRPr="00F40AAF">
        <w:rPr>
          <w:rFonts w:ascii="Arial" w:eastAsia="Arial" w:hAnsi="Arial" w:cs="Arial"/>
        </w:rPr>
        <w:t>The remedies available for a breach or, in some cases, a threatened breach of contract are five in number. Specific performance, interdict, declaration of rights, cancellation, damages. The first three may be regarded as methods of enforcement and the last two as recompenses for non-performance. The choice among these remedies rests primarily with the injured party, the plaintiff, who may choose more than one of them, either in the alternative or together, subject to the overriding principles that the plaintiff must not claim inconsistent remedies and must not be overcompensated.</w:t>
      </w:r>
      <w:r w:rsidRPr="00F40AAF">
        <w:rPr>
          <w:rFonts w:ascii="Arial" w:eastAsia="Arial" w:hAnsi="Arial" w:cs="Arial"/>
        </w:rPr>
        <w:t>”</w:t>
      </w:r>
      <w:r w:rsidR="00214220" w:rsidRPr="00F40AAF">
        <w:rPr>
          <w:rFonts w:ascii="Arial" w:eastAsia="Arial" w:hAnsi="Arial" w:cs="Arial"/>
        </w:rPr>
        <w:t xml:space="preserve"> (Footnote omitted.)</w:t>
      </w:r>
    </w:p>
    <w:p w:rsidR="001E37D6" w:rsidRPr="00F40AAF" w:rsidRDefault="001E37D6" w:rsidP="00F40AAF">
      <w:pPr>
        <w:spacing w:before="69" w:line="240" w:lineRule="auto"/>
        <w:ind w:left="567"/>
        <w:jc w:val="both"/>
        <w:rPr>
          <w:rFonts w:ascii="Arial" w:eastAsia="Arial" w:hAnsi="Arial" w:cs="Arial"/>
        </w:rPr>
      </w:pPr>
    </w:p>
    <w:p w:rsidR="00214220" w:rsidRPr="00FE712F" w:rsidRDefault="00FE712F" w:rsidP="00FE712F">
      <w:pPr>
        <w:spacing w:after="0" w:line="480" w:lineRule="auto"/>
        <w:jc w:val="both"/>
        <w:rPr>
          <w:rFonts w:ascii="Arial" w:hAnsi="Arial" w:cs="Arial"/>
          <w:sz w:val="24"/>
          <w:szCs w:val="24"/>
          <w:lang w:val="en-GB"/>
        </w:rPr>
      </w:pPr>
      <w:r w:rsidRPr="00F40AAF">
        <w:rPr>
          <w:rFonts w:ascii="Arial" w:hAnsi="Arial" w:cs="Arial"/>
          <w:sz w:val="24"/>
          <w:szCs w:val="24"/>
          <w:lang w:val="en-GB"/>
        </w:rPr>
        <w:t>[11]</w:t>
      </w:r>
      <w:r w:rsidRPr="00F40AAF">
        <w:rPr>
          <w:rFonts w:ascii="Arial" w:hAnsi="Arial" w:cs="Arial"/>
          <w:sz w:val="24"/>
          <w:szCs w:val="24"/>
          <w:lang w:val="en-GB"/>
        </w:rPr>
        <w:tab/>
      </w:r>
      <w:r w:rsidR="00862B30" w:rsidRPr="00FE712F">
        <w:rPr>
          <w:rFonts w:ascii="Arial" w:hAnsi="Arial" w:cs="Arial"/>
          <w:sz w:val="24"/>
          <w:szCs w:val="24"/>
          <w:lang w:val="en-GB"/>
        </w:rPr>
        <w:t xml:space="preserve">In </w:t>
      </w:r>
      <w:r w:rsidR="00214220" w:rsidRPr="00FE712F">
        <w:rPr>
          <w:rFonts w:ascii="Arial" w:hAnsi="Arial" w:cs="Arial"/>
          <w:i/>
          <w:sz w:val="24"/>
          <w:szCs w:val="24"/>
          <w:lang w:val="en-GB"/>
        </w:rPr>
        <w:t>Farmers’ Co-operative Society</w:t>
      </w:r>
      <w:r w:rsidR="00F21FA9" w:rsidRPr="00FE712F">
        <w:rPr>
          <w:rFonts w:ascii="Arial" w:hAnsi="Arial" w:cs="Arial"/>
          <w:i/>
          <w:sz w:val="24"/>
          <w:szCs w:val="24"/>
          <w:lang w:val="en-GB"/>
        </w:rPr>
        <w:t xml:space="preserve"> v Berry</w:t>
      </w:r>
      <w:r w:rsidR="00214220" w:rsidRPr="00F40AAF">
        <w:footnoteReference w:id="1"/>
      </w:r>
      <w:r w:rsidR="008F7208" w:rsidRPr="00FE712F">
        <w:rPr>
          <w:rFonts w:ascii="Arial" w:hAnsi="Arial" w:cs="Arial"/>
          <w:sz w:val="24"/>
          <w:szCs w:val="24"/>
          <w:lang w:val="en-GB"/>
        </w:rPr>
        <w:t xml:space="preserve"> </w:t>
      </w:r>
      <w:r w:rsidR="00862B30" w:rsidRPr="00FE712F">
        <w:rPr>
          <w:rFonts w:ascii="Arial" w:hAnsi="Arial" w:cs="Arial"/>
          <w:sz w:val="24"/>
          <w:szCs w:val="24"/>
          <w:lang w:val="en-GB"/>
        </w:rPr>
        <w:t>t</w:t>
      </w:r>
      <w:r w:rsidR="00214220" w:rsidRPr="00FE712F">
        <w:rPr>
          <w:rFonts w:ascii="Arial" w:hAnsi="Arial" w:cs="Arial"/>
          <w:sz w:val="24"/>
          <w:szCs w:val="24"/>
          <w:lang w:val="en-GB"/>
        </w:rPr>
        <w:t>he question was whether specific performance should be decreed.</w:t>
      </w:r>
      <w:r w:rsidR="00862B30" w:rsidRPr="00FE712F">
        <w:rPr>
          <w:rFonts w:ascii="Arial" w:hAnsi="Arial" w:cs="Arial"/>
          <w:sz w:val="24"/>
          <w:szCs w:val="24"/>
          <w:lang w:val="en-GB"/>
        </w:rPr>
        <w:t xml:space="preserve"> The case concerned a claim for the delivery of certain movables, alternatively for damages</w:t>
      </w:r>
      <w:r w:rsidR="00F21FA9" w:rsidRPr="00FE712F">
        <w:rPr>
          <w:rFonts w:ascii="Arial" w:hAnsi="Arial" w:cs="Arial"/>
          <w:sz w:val="24"/>
          <w:szCs w:val="24"/>
          <w:lang w:val="en-GB"/>
        </w:rPr>
        <w:t>.</w:t>
      </w:r>
      <w:r w:rsidR="008F7208" w:rsidRPr="00FE712F">
        <w:rPr>
          <w:rFonts w:ascii="Arial" w:hAnsi="Arial" w:cs="Arial"/>
          <w:sz w:val="24"/>
          <w:szCs w:val="24"/>
          <w:lang w:val="en-GB"/>
        </w:rPr>
        <w:t xml:space="preserve"> </w:t>
      </w:r>
      <w:r w:rsidR="00214220" w:rsidRPr="00FE712F">
        <w:rPr>
          <w:rFonts w:ascii="Arial" w:hAnsi="Arial" w:cs="Arial"/>
          <w:sz w:val="24"/>
          <w:szCs w:val="24"/>
          <w:lang w:val="en-GB"/>
        </w:rPr>
        <w:t>Innes JA answered that question as follows:</w:t>
      </w:r>
    </w:p>
    <w:p w:rsidR="001E37D6" w:rsidRDefault="00EF2171" w:rsidP="00F40AAF">
      <w:pPr>
        <w:spacing w:before="69" w:line="240" w:lineRule="auto"/>
        <w:ind w:left="567"/>
        <w:jc w:val="both"/>
        <w:rPr>
          <w:rFonts w:ascii="Arial" w:eastAsia="Arial" w:hAnsi="Arial" w:cs="Arial"/>
        </w:rPr>
      </w:pPr>
      <w:r w:rsidRPr="00F40AAF">
        <w:rPr>
          <w:rFonts w:ascii="Arial" w:eastAsia="Arial" w:hAnsi="Arial" w:cs="Arial"/>
        </w:rPr>
        <w:t>“</w:t>
      </w:r>
      <w:r w:rsidR="00214220" w:rsidRPr="00F40AAF">
        <w:rPr>
          <w:rFonts w:ascii="Arial" w:eastAsia="Arial" w:hAnsi="Arial" w:cs="Arial"/>
        </w:rPr>
        <w:t>Prima facie</w:t>
      </w:r>
      <w:r w:rsidR="00F21FA9" w:rsidRPr="00F40AAF">
        <w:rPr>
          <w:rFonts w:ascii="Arial" w:eastAsia="Arial" w:hAnsi="Arial" w:cs="Arial"/>
        </w:rPr>
        <w:t xml:space="preserve"> </w:t>
      </w:r>
      <w:r w:rsidR="00214220" w:rsidRPr="00F40AAF">
        <w:rPr>
          <w:rFonts w:ascii="Arial" w:eastAsia="Arial" w:hAnsi="Arial" w:cs="Arial"/>
        </w:rPr>
        <w:t xml:space="preserve">every party to a binding agreement who is ready to carry out his own obligation under it has a right to demand from the other party, so far as it is possible a performance of his undertaking in terms of the contract. As remarked by KOTZE, C.J., </w:t>
      </w:r>
      <w:r w:rsidR="00214220" w:rsidRPr="00F40AAF">
        <w:rPr>
          <w:rFonts w:ascii="Arial" w:eastAsia="Arial" w:hAnsi="Arial" w:cs="Arial"/>
        </w:rPr>
        <w:lastRenderedPageBreak/>
        <w:t>in Thompson vs. Pullinger</w:t>
      </w:r>
      <w:r w:rsidR="00F21FA9" w:rsidRPr="00F40AAF">
        <w:rPr>
          <w:rFonts w:ascii="Arial" w:eastAsia="Arial" w:hAnsi="Arial" w:cs="Arial"/>
        </w:rPr>
        <w:t xml:space="preserve"> </w:t>
      </w:r>
      <w:r w:rsidR="00214220" w:rsidRPr="00F40AAF">
        <w:rPr>
          <w:rFonts w:ascii="Arial" w:eastAsia="Arial" w:hAnsi="Arial" w:cs="Arial"/>
        </w:rPr>
        <w:t>(1 O. R., at p. 301), “the right of a plaintiff to the specific performance of a contract where the defendant is in a position to do so is beyond all doubt.” It is true that Courts will exercise a discretion in determining whether or not decrees of specific performance should be made. They will not, of course, be issued where it is impossible for the defendant to comply with them. And there are many cases in which justice between the parties can be fully and conveniently done by an award of damages.</w:t>
      </w:r>
      <w:r w:rsidRPr="00F40AAF">
        <w:rPr>
          <w:rFonts w:ascii="Arial" w:eastAsia="Arial" w:hAnsi="Arial" w:cs="Arial"/>
        </w:rPr>
        <w:t>”</w:t>
      </w:r>
    </w:p>
    <w:p w:rsidR="00214220" w:rsidRPr="00F40AAF" w:rsidRDefault="00214220" w:rsidP="00F40AAF">
      <w:pPr>
        <w:spacing w:before="69" w:line="240" w:lineRule="auto"/>
        <w:ind w:left="567"/>
        <w:jc w:val="both"/>
        <w:rPr>
          <w:rFonts w:ascii="Arial" w:eastAsia="Arial" w:hAnsi="Arial" w:cs="Arial"/>
        </w:rPr>
      </w:pPr>
    </w:p>
    <w:p w:rsidR="006F6C5D" w:rsidRPr="00FE712F" w:rsidRDefault="00FE712F" w:rsidP="00FE712F">
      <w:pPr>
        <w:spacing w:after="0" w:line="480" w:lineRule="auto"/>
        <w:jc w:val="both"/>
        <w:rPr>
          <w:rFonts w:ascii="Arial" w:hAnsi="Arial" w:cs="Arial"/>
          <w:sz w:val="24"/>
          <w:szCs w:val="24"/>
          <w:lang w:val="en-GB"/>
        </w:rPr>
      </w:pPr>
      <w:r w:rsidRPr="00F40AAF">
        <w:rPr>
          <w:rFonts w:ascii="Arial" w:hAnsi="Arial" w:cs="Arial"/>
          <w:sz w:val="24"/>
          <w:szCs w:val="24"/>
          <w:lang w:val="en-GB"/>
        </w:rPr>
        <w:t>[12]</w:t>
      </w:r>
      <w:r w:rsidRPr="00F40AAF">
        <w:rPr>
          <w:rFonts w:ascii="Arial" w:hAnsi="Arial" w:cs="Arial"/>
          <w:sz w:val="24"/>
          <w:szCs w:val="24"/>
          <w:lang w:val="en-GB"/>
        </w:rPr>
        <w:tab/>
      </w:r>
      <w:r w:rsidR="00AA7D07" w:rsidRPr="00FE712F">
        <w:rPr>
          <w:rFonts w:ascii="Arial" w:hAnsi="Arial" w:cs="Arial"/>
          <w:sz w:val="24"/>
          <w:szCs w:val="24"/>
          <w:lang w:val="en-GB"/>
        </w:rPr>
        <w:t xml:space="preserve">As Zondi JA held in </w:t>
      </w:r>
      <w:r w:rsidR="00AA7D07" w:rsidRPr="00FE712F">
        <w:rPr>
          <w:rFonts w:ascii="Arial" w:hAnsi="Arial" w:cs="Arial"/>
          <w:i/>
          <w:sz w:val="24"/>
          <w:szCs w:val="24"/>
          <w:lang w:val="en-GB"/>
        </w:rPr>
        <w:t>Basson and Others v Hanna</w:t>
      </w:r>
      <w:r w:rsidR="008F7208" w:rsidRPr="00FE712F">
        <w:rPr>
          <w:rFonts w:ascii="Arial" w:hAnsi="Arial" w:cs="Arial"/>
          <w:sz w:val="24"/>
          <w:szCs w:val="24"/>
          <w:lang w:val="en-GB"/>
        </w:rPr>
        <w:t>,</w:t>
      </w:r>
      <w:r w:rsidR="00AA7D07" w:rsidRPr="00F40AAF">
        <w:rPr>
          <w:lang w:val="en-GB"/>
        </w:rPr>
        <w:footnoteReference w:id="2"/>
      </w:r>
      <w:r w:rsidR="00AA7D07" w:rsidRPr="00FE712F">
        <w:rPr>
          <w:rFonts w:ascii="Arial" w:hAnsi="Arial" w:cs="Arial"/>
          <w:sz w:val="24"/>
          <w:szCs w:val="24"/>
          <w:lang w:val="en-GB"/>
        </w:rPr>
        <w:t xml:space="preserve"> there are many cases in which it was held that, if one party to the agreement repudiates the agreement, the other party at his election may claim specific performance of the agreement or damages in lieu of specific performance and that his claim will in general be granted, subject to the court's discretion.</w:t>
      </w:r>
    </w:p>
    <w:p w:rsidR="008F7208" w:rsidRDefault="008F7208" w:rsidP="00F40AAF">
      <w:pPr>
        <w:spacing w:after="0" w:line="240" w:lineRule="auto"/>
        <w:rPr>
          <w:rFonts w:ascii="Arial" w:hAnsi="Arial" w:cs="Arial"/>
          <w:b/>
          <w:spacing w:val="-3"/>
          <w:sz w:val="24"/>
          <w:szCs w:val="24"/>
        </w:rPr>
      </w:pPr>
    </w:p>
    <w:p w:rsidR="00024C89" w:rsidRDefault="00024C89" w:rsidP="00024C89">
      <w:pPr>
        <w:spacing w:after="0" w:line="480" w:lineRule="auto"/>
        <w:rPr>
          <w:rFonts w:ascii="Arial" w:hAnsi="Arial" w:cs="Arial"/>
          <w:b/>
          <w:spacing w:val="-3"/>
          <w:sz w:val="24"/>
          <w:szCs w:val="24"/>
        </w:rPr>
      </w:pPr>
      <w:r>
        <w:rPr>
          <w:rFonts w:ascii="Arial" w:hAnsi="Arial" w:cs="Arial"/>
          <w:b/>
          <w:spacing w:val="-3"/>
          <w:sz w:val="24"/>
          <w:szCs w:val="24"/>
        </w:rPr>
        <w:t>Analysis</w:t>
      </w:r>
    </w:p>
    <w:p w:rsidR="00E00D28" w:rsidRPr="00FE712F" w:rsidRDefault="00FE712F" w:rsidP="00FE712F">
      <w:pPr>
        <w:spacing w:after="0" w:line="48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E00D28" w:rsidRPr="00FE712F">
        <w:rPr>
          <w:rFonts w:ascii="Arial" w:hAnsi="Arial" w:cs="Arial"/>
          <w:sz w:val="24"/>
          <w:szCs w:val="24"/>
          <w:lang w:val="en-GB"/>
        </w:rPr>
        <w:t xml:space="preserve">Where a party has entered a contract, or otherwise been induced to enter said contract as a result of a false representation by the other party, this amounts to misrepresentation. Misrepresentation occurs when a false or incorrect statement is made by a contractor or agent to the contracting party, which consequently induces the latter party to conclude the contract. The effect of such misrepresentation is that the party who was induced into concluding the contract may rescind the contract. This can only be done if the misrepresentation was material, and is therefore essential to whether the contracting party would have entered into the contract or not. The duty to disclose a material fact arises when a party has sole knowledge of the material fact which the other party would have relied upon and must be in line with the </w:t>
      </w:r>
      <w:r w:rsidR="00E00D28" w:rsidRPr="00FE712F">
        <w:rPr>
          <w:rFonts w:ascii="Arial" w:hAnsi="Arial" w:cs="Arial"/>
          <w:i/>
          <w:sz w:val="24"/>
          <w:szCs w:val="24"/>
          <w:lang w:val="en-GB"/>
        </w:rPr>
        <w:t>boni mores</w:t>
      </w:r>
      <w:r w:rsidR="00E00D28" w:rsidRPr="00FE712F">
        <w:rPr>
          <w:rFonts w:ascii="Arial" w:hAnsi="Arial" w:cs="Arial"/>
          <w:sz w:val="24"/>
          <w:szCs w:val="24"/>
          <w:lang w:val="en-GB"/>
        </w:rPr>
        <w:t xml:space="preserve"> of the community.</w:t>
      </w:r>
    </w:p>
    <w:p w:rsidR="001E37D6" w:rsidRPr="00F40AAF" w:rsidRDefault="001E37D6" w:rsidP="00F40AAF">
      <w:pPr>
        <w:pStyle w:val="ListParagraph"/>
        <w:spacing w:after="0" w:line="240" w:lineRule="auto"/>
        <w:ind w:left="0"/>
        <w:jc w:val="both"/>
        <w:rPr>
          <w:rFonts w:ascii="Arial" w:hAnsi="Arial" w:cs="Arial"/>
          <w:sz w:val="24"/>
          <w:szCs w:val="24"/>
          <w:lang w:val="en-GB"/>
        </w:rPr>
      </w:pPr>
    </w:p>
    <w:p w:rsidR="00D37098" w:rsidRPr="00FE712F" w:rsidRDefault="00FE712F" w:rsidP="00FE712F">
      <w:pPr>
        <w:spacing w:after="0" w:line="480" w:lineRule="auto"/>
        <w:jc w:val="both"/>
        <w:rPr>
          <w:rFonts w:ascii="Arial" w:hAnsi="Arial" w:cs="Arial"/>
          <w:sz w:val="24"/>
          <w:szCs w:val="24"/>
          <w:lang w:val="en-GB"/>
        </w:rPr>
      </w:pPr>
      <w:r>
        <w:rPr>
          <w:rFonts w:ascii="Arial" w:hAnsi="Arial" w:cs="Arial"/>
          <w:sz w:val="24"/>
          <w:szCs w:val="24"/>
          <w:lang w:val="en-GB"/>
        </w:rPr>
        <w:lastRenderedPageBreak/>
        <w:t>[14]</w:t>
      </w:r>
      <w:r>
        <w:rPr>
          <w:rFonts w:ascii="Arial" w:hAnsi="Arial" w:cs="Arial"/>
          <w:sz w:val="24"/>
          <w:szCs w:val="24"/>
          <w:lang w:val="en-GB"/>
        </w:rPr>
        <w:tab/>
      </w:r>
      <w:r w:rsidR="00E00D28" w:rsidRPr="00FE712F">
        <w:rPr>
          <w:rFonts w:ascii="Arial" w:hAnsi="Arial" w:cs="Arial"/>
          <w:sz w:val="24"/>
          <w:szCs w:val="24"/>
          <w:lang w:val="en-GB"/>
        </w:rPr>
        <w:t>Such actions are regarded as non-disclosure, which is often thought of as misrepresentation by silence.</w:t>
      </w:r>
      <w:r w:rsidR="00E00D28" w:rsidRPr="00F40AAF">
        <w:rPr>
          <w:lang w:val="en-GB"/>
        </w:rPr>
        <w:footnoteReference w:id="3"/>
      </w:r>
      <w:r w:rsidR="00E00D28" w:rsidRPr="00FE712F">
        <w:rPr>
          <w:rFonts w:ascii="Arial" w:hAnsi="Arial" w:cs="Arial"/>
          <w:sz w:val="24"/>
          <w:szCs w:val="24"/>
          <w:lang w:val="en-GB"/>
        </w:rPr>
        <w:t xml:space="preserve"> As a result, the failure to disclose a material fact to the other contracting party when there is a legal duty to do so constitutes misrepresentation. Non-disclosure and misrepresentation are treated in the same manner, in that they are both grounds for re</w:t>
      </w:r>
      <w:r w:rsidR="00D37098" w:rsidRPr="00FE712F">
        <w:rPr>
          <w:rFonts w:ascii="Arial" w:hAnsi="Arial" w:cs="Arial"/>
          <w:sz w:val="24"/>
          <w:szCs w:val="24"/>
          <w:lang w:val="en-GB"/>
        </w:rPr>
        <w:t>scission of the contract if one party</w:t>
      </w:r>
      <w:r w:rsidR="00E00D28" w:rsidRPr="00FE712F">
        <w:rPr>
          <w:rFonts w:ascii="Arial" w:hAnsi="Arial" w:cs="Arial"/>
          <w:sz w:val="24"/>
          <w:szCs w:val="24"/>
          <w:lang w:val="en-GB"/>
        </w:rPr>
        <w:t xml:space="preserve"> is under a duty to disclose such facts and fails to do so.</w:t>
      </w:r>
    </w:p>
    <w:p w:rsidR="001E37D6" w:rsidRPr="00F40AAF" w:rsidRDefault="001E37D6" w:rsidP="00F40AAF">
      <w:pPr>
        <w:pStyle w:val="ListParagraph"/>
        <w:spacing w:after="0" w:line="240" w:lineRule="auto"/>
        <w:ind w:left="0"/>
        <w:jc w:val="both"/>
        <w:rPr>
          <w:rFonts w:ascii="Arial" w:hAnsi="Arial" w:cs="Arial"/>
          <w:sz w:val="24"/>
          <w:szCs w:val="24"/>
          <w:lang w:val="en-GB"/>
        </w:rPr>
      </w:pPr>
    </w:p>
    <w:p w:rsidR="00015081" w:rsidRPr="00FE712F" w:rsidRDefault="00FE712F" w:rsidP="00FE712F">
      <w:pPr>
        <w:spacing w:after="0" w:line="480" w:lineRule="auto"/>
        <w:jc w:val="both"/>
        <w:rPr>
          <w:rFonts w:ascii="Arial" w:hAnsi="Arial" w:cs="Arial"/>
          <w:sz w:val="24"/>
          <w:szCs w:val="24"/>
        </w:rPr>
      </w:pPr>
      <w:r w:rsidRPr="00F40AAF">
        <w:rPr>
          <w:rFonts w:ascii="Arial" w:hAnsi="Arial" w:cs="Arial"/>
          <w:sz w:val="24"/>
          <w:szCs w:val="24"/>
        </w:rPr>
        <w:t>[15]</w:t>
      </w:r>
      <w:r w:rsidRPr="00F40AAF">
        <w:rPr>
          <w:rFonts w:ascii="Arial" w:hAnsi="Arial" w:cs="Arial"/>
          <w:sz w:val="24"/>
          <w:szCs w:val="24"/>
        </w:rPr>
        <w:tab/>
      </w:r>
      <w:r w:rsidR="00015081" w:rsidRPr="00FE712F">
        <w:rPr>
          <w:rFonts w:ascii="Arial" w:hAnsi="Arial" w:cs="Arial"/>
          <w:sz w:val="24"/>
          <w:szCs w:val="24"/>
        </w:rPr>
        <w:t xml:space="preserve">The case of </w:t>
      </w:r>
      <w:r w:rsidR="00015081" w:rsidRPr="00FE712F">
        <w:rPr>
          <w:rFonts w:ascii="Arial" w:hAnsi="Arial" w:cs="Arial"/>
          <w:i/>
          <w:sz w:val="24"/>
          <w:szCs w:val="24"/>
        </w:rPr>
        <w:t>McCann v Goodall Group Operations (Pty) Ltd</w:t>
      </w:r>
      <w:r w:rsidR="00015081" w:rsidRPr="00FE712F">
        <w:rPr>
          <w:rFonts w:ascii="Arial" w:hAnsi="Arial" w:cs="Arial"/>
          <w:sz w:val="24"/>
          <w:szCs w:val="24"/>
        </w:rPr>
        <w:t xml:space="preserve"> illuminates on instances when a duty to disclose exists:</w:t>
      </w:r>
      <w:r w:rsidR="00015081" w:rsidRPr="00862B30">
        <w:rPr>
          <w:rStyle w:val="FootnoteReference"/>
          <w:rFonts w:ascii="Arial" w:hAnsi="Arial" w:cs="Arial"/>
          <w:sz w:val="24"/>
          <w:szCs w:val="24"/>
        </w:rPr>
        <w:footnoteReference w:id="4"/>
      </w:r>
    </w:p>
    <w:p w:rsidR="00015081" w:rsidRPr="00F40AAF" w:rsidRDefault="00015081">
      <w:pPr>
        <w:spacing w:after="0" w:line="240" w:lineRule="auto"/>
        <w:ind w:left="1134" w:hanging="567"/>
        <w:jc w:val="both"/>
        <w:rPr>
          <w:rFonts w:ascii="Arial" w:eastAsia="Times New Roman" w:hAnsi="Arial" w:cs="Arial"/>
          <w:color w:val="000000"/>
          <w:lang w:eastAsia="en-ZA"/>
        </w:rPr>
      </w:pPr>
      <w:r w:rsidRPr="00F40AAF">
        <w:rPr>
          <w:rFonts w:ascii="Arial" w:eastAsia="Times New Roman" w:hAnsi="Arial" w:cs="Arial"/>
          <w:iCs/>
          <w:color w:val="000000"/>
          <w:lang w:eastAsia="en-ZA"/>
        </w:rPr>
        <w:t>“(c)</w:t>
      </w:r>
      <w:r w:rsidRPr="00F40AAF">
        <w:rPr>
          <w:rFonts w:ascii="Arial" w:eastAsia="Times New Roman" w:hAnsi="Arial" w:cs="Arial"/>
          <w:color w:val="000000"/>
          <w:lang w:eastAsia="en-ZA"/>
        </w:rPr>
        <w:tab/>
        <w:t>A negligent misrepresentation by way of an omission may occur in the form of a non</w:t>
      </w:r>
      <w:r w:rsidRPr="00F40AAF">
        <w:rPr>
          <w:rFonts w:ascii="Arial" w:eastAsia="Times New Roman" w:hAnsi="Arial" w:cs="Arial"/>
          <w:color w:val="000000"/>
          <w:lang w:eastAsia="en-ZA"/>
        </w:rPr>
        <w:noBreakHyphen/>
        <w:t>disclosure where there is a legal duty on the defendant to disclose some or other material fact to the plaintiff and he fails to do so.</w:t>
      </w:r>
    </w:p>
    <w:p w:rsidR="00015081" w:rsidRPr="00F40AAF" w:rsidRDefault="00015081">
      <w:pPr>
        <w:spacing w:after="0" w:line="240" w:lineRule="auto"/>
        <w:ind w:left="1134" w:hanging="567"/>
        <w:jc w:val="both"/>
        <w:rPr>
          <w:rFonts w:ascii="Arial" w:eastAsia="Times New Roman" w:hAnsi="Arial" w:cs="Arial"/>
          <w:color w:val="000000"/>
          <w:lang w:eastAsia="en-ZA"/>
        </w:rPr>
      </w:pPr>
      <w:r w:rsidRPr="00F40AAF">
        <w:rPr>
          <w:rFonts w:ascii="Arial" w:eastAsia="Times New Roman" w:hAnsi="Arial" w:cs="Arial"/>
          <w:iCs/>
          <w:color w:val="000000"/>
          <w:lang w:eastAsia="en-ZA"/>
        </w:rPr>
        <w:t>(d)</w:t>
      </w:r>
      <w:r w:rsidRPr="00F40AAF">
        <w:rPr>
          <w:rFonts w:ascii="Arial" w:eastAsia="Times New Roman" w:hAnsi="Arial" w:cs="Arial"/>
          <w:color w:val="000000"/>
          <w:lang w:eastAsia="en-ZA"/>
        </w:rPr>
        <w:tab/>
        <w:t>Silence or inaction as such cannot constitute a misrepresentation of any kind unless there is a duty to speak or act as aforesaid.</w:t>
      </w:r>
    </w:p>
    <w:p w:rsidR="00015081" w:rsidRPr="00F40AAF" w:rsidRDefault="00015081">
      <w:pPr>
        <w:spacing w:after="0" w:line="240" w:lineRule="auto"/>
        <w:jc w:val="both"/>
        <w:rPr>
          <w:rFonts w:ascii="Arial" w:eastAsia="Times New Roman" w:hAnsi="Arial" w:cs="Arial"/>
          <w:color w:val="000000"/>
          <w:lang w:eastAsia="en-ZA"/>
        </w:rPr>
      </w:pPr>
    </w:p>
    <w:p w:rsidR="00015081" w:rsidRPr="00F40AAF" w:rsidRDefault="00015081">
      <w:pPr>
        <w:spacing w:after="0" w:line="240" w:lineRule="auto"/>
        <w:ind w:left="1134" w:hanging="567"/>
        <w:jc w:val="both"/>
        <w:rPr>
          <w:rFonts w:ascii="Arial" w:eastAsia="Times New Roman" w:hAnsi="Arial" w:cs="Arial"/>
          <w:color w:val="000000"/>
          <w:lang w:eastAsia="en-ZA"/>
        </w:rPr>
      </w:pPr>
      <w:r w:rsidRPr="00F40AAF">
        <w:rPr>
          <w:rFonts w:ascii="Arial" w:eastAsia="Times New Roman" w:hAnsi="Arial" w:cs="Arial"/>
          <w:color w:val="000000"/>
          <w:lang w:eastAsia="en-ZA"/>
        </w:rPr>
        <w:t>Examples of a duty of this nature include the following:</w:t>
      </w:r>
    </w:p>
    <w:p w:rsidR="00015081" w:rsidRPr="00F40AAF" w:rsidRDefault="00015081">
      <w:pPr>
        <w:spacing w:after="0" w:line="240" w:lineRule="auto"/>
        <w:ind w:left="1134" w:hanging="567"/>
        <w:jc w:val="both"/>
        <w:rPr>
          <w:rFonts w:ascii="Arial" w:eastAsia="Times New Roman" w:hAnsi="Arial" w:cs="Arial"/>
          <w:color w:val="000000"/>
          <w:lang w:eastAsia="en-ZA"/>
        </w:rPr>
      </w:pPr>
    </w:p>
    <w:p w:rsidR="00015081" w:rsidRPr="00FE712F" w:rsidRDefault="00FE712F" w:rsidP="00FE712F">
      <w:pPr>
        <w:spacing w:after="0" w:line="240" w:lineRule="auto"/>
        <w:ind w:left="1287" w:hanging="720"/>
        <w:jc w:val="both"/>
        <w:rPr>
          <w:rFonts w:ascii="Arial" w:eastAsia="Times New Roman" w:hAnsi="Arial" w:cs="Arial"/>
          <w:color w:val="000000"/>
          <w:lang w:eastAsia="en-ZA"/>
        </w:rPr>
      </w:pPr>
      <w:r w:rsidRPr="00F40AAF">
        <w:rPr>
          <w:rFonts w:ascii="Arial" w:eastAsia="Times New Roman" w:hAnsi="Arial" w:cs="Arial"/>
          <w:color w:val="000000"/>
          <w:lang w:eastAsia="en-ZA"/>
        </w:rPr>
        <w:t>(i)</w:t>
      </w:r>
      <w:r w:rsidRPr="00F40AAF">
        <w:rPr>
          <w:rFonts w:ascii="Arial" w:eastAsia="Times New Roman" w:hAnsi="Arial" w:cs="Arial"/>
          <w:color w:val="000000"/>
          <w:lang w:eastAsia="en-ZA"/>
        </w:rPr>
        <w:tab/>
      </w:r>
      <w:r w:rsidR="00015081" w:rsidRPr="00FE712F">
        <w:rPr>
          <w:rFonts w:ascii="Arial" w:eastAsia="Times New Roman" w:hAnsi="Arial" w:cs="Arial"/>
          <w:color w:val="000000"/>
          <w:lang w:eastAsia="en-ZA"/>
        </w:rPr>
        <w:t>A duty to disclose a material fact arises when the fact in question falls within the exclusive knowledge of the defendant and the plaintiff relies on the frank disclosure thereof in accordance with the legal convictions of the community.</w:t>
      </w:r>
    </w:p>
    <w:p w:rsidR="00015081" w:rsidRPr="00FE712F" w:rsidRDefault="00FE712F" w:rsidP="00FE712F">
      <w:pPr>
        <w:spacing w:after="0" w:line="240" w:lineRule="auto"/>
        <w:ind w:left="1287" w:hanging="720"/>
        <w:jc w:val="both"/>
        <w:rPr>
          <w:rFonts w:ascii="Arial" w:eastAsia="Times New Roman" w:hAnsi="Arial" w:cs="Arial"/>
          <w:color w:val="000000"/>
          <w:lang w:eastAsia="en-ZA"/>
        </w:rPr>
      </w:pPr>
      <w:r w:rsidRPr="00F40AAF">
        <w:rPr>
          <w:rFonts w:ascii="Arial" w:eastAsia="Times New Roman" w:hAnsi="Arial" w:cs="Arial"/>
          <w:color w:val="000000"/>
          <w:lang w:eastAsia="en-ZA"/>
        </w:rPr>
        <w:t>(ii)</w:t>
      </w:r>
      <w:r w:rsidRPr="00F40AAF">
        <w:rPr>
          <w:rFonts w:ascii="Arial" w:eastAsia="Times New Roman" w:hAnsi="Arial" w:cs="Arial"/>
          <w:color w:val="000000"/>
          <w:lang w:eastAsia="en-ZA"/>
        </w:rPr>
        <w:tab/>
      </w:r>
      <w:r w:rsidR="00015081" w:rsidRPr="00FE712F">
        <w:rPr>
          <w:rFonts w:ascii="Arial" w:eastAsia="Times New Roman" w:hAnsi="Arial" w:cs="Arial"/>
          <w:color w:val="000000"/>
          <w:lang w:eastAsia="en-ZA"/>
        </w:rPr>
        <w:t>Such duty likewise arises if the defendant has knowledge of certain unusual characteristics relating to or circumstances surrounding the transaction in question and policy considerations require that the plaintiff be apprised thereof.</w:t>
      </w:r>
    </w:p>
    <w:p w:rsidR="00015081" w:rsidRPr="00FE712F" w:rsidRDefault="00FE712F" w:rsidP="00FE712F">
      <w:pPr>
        <w:spacing w:after="0" w:line="240" w:lineRule="auto"/>
        <w:ind w:left="1287" w:hanging="720"/>
        <w:jc w:val="both"/>
        <w:rPr>
          <w:rFonts w:ascii="Arial" w:eastAsia="Times New Roman" w:hAnsi="Arial" w:cs="Arial"/>
          <w:color w:val="000000"/>
          <w:lang w:eastAsia="en-ZA"/>
        </w:rPr>
      </w:pPr>
      <w:r w:rsidRPr="00F40AAF">
        <w:rPr>
          <w:rFonts w:ascii="Arial" w:eastAsia="Times New Roman" w:hAnsi="Arial" w:cs="Arial"/>
          <w:color w:val="000000"/>
          <w:lang w:eastAsia="en-ZA"/>
        </w:rPr>
        <w:t>(iii)</w:t>
      </w:r>
      <w:r w:rsidRPr="00F40AAF">
        <w:rPr>
          <w:rFonts w:ascii="Arial" w:eastAsia="Times New Roman" w:hAnsi="Arial" w:cs="Arial"/>
          <w:color w:val="000000"/>
          <w:lang w:eastAsia="en-ZA"/>
        </w:rPr>
        <w:tab/>
      </w:r>
      <w:r w:rsidR="00015081" w:rsidRPr="00FE712F">
        <w:rPr>
          <w:rFonts w:ascii="Arial" w:eastAsia="Times New Roman" w:hAnsi="Arial" w:cs="Arial"/>
          <w:color w:val="000000"/>
          <w:lang w:eastAsia="en-ZA"/>
        </w:rPr>
        <w:t>Similarly, there is a duty to make a full disclosure if a previous statement or representation of the defendant constitutes an incomplete or vague disclosure which requires to be supplemented or elucidated.”</w:t>
      </w:r>
    </w:p>
    <w:p w:rsidR="00015081" w:rsidRPr="001C4D61" w:rsidRDefault="00015081" w:rsidP="00015081">
      <w:pPr>
        <w:spacing w:after="0" w:line="360" w:lineRule="auto"/>
        <w:ind w:left="567"/>
        <w:jc w:val="both"/>
        <w:rPr>
          <w:rFonts w:ascii="Arial" w:hAnsi="Arial" w:cs="Arial"/>
          <w:sz w:val="24"/>
          <w:szCs w:val="24"/>
        </w:rPr>
      </w:pPr>
    </w:p>
    <w:p w:rsidR="00015081" w:rsidRPr="00FE712F" w:rsidRDefault="00FE712F" w:rsidP="00FE712F">
      <w:pPr>
        <w:spacing w:after="0" w:line="480" w:lineRule="auto"/>
        <w:jc w:val="both"/>
        <w:rPr>
          <w:rFonts w:ascii="Arial" w:hAnsi="Arial" w:cs="Arial"/>
          <w:sz w:val="24"/>
          <w:szCs w:val="24"/>
        </w:rPr>
      </w:pPr>
      <w:r w:rsidRPr="004E11CB">
        <w:rPr>
          <w:rFonts w:ascii="Arial" w:hAnsi="Arial" w:cs="Arial"/>
          <w:sz w:val="24"/>
          <w:szCs w:val="24"/>
        </w:rPr>
        <w:t>[16]</w:t>
      </w:r>
      <w:r w:rsidRPr="004E11CB">
        <w:rPr>
          <w:rFonts w:ascii="Arial" w:hAnsi="Arial" w:cs="Arial"/>
          <w:sz w:val="24"/>
          <w:szCs w:val="24"/>
        </w:rPr>
        <w:tab/>
      </w:r>
      <w:r w:rsidR="00015081" w:rsidRPr="00FE712F">
        <w:rPr>
          <w:rFonts w:ascii="Arial" w:hAnsi="Arial" w:cs="Arial"/>
          <w:sz w:val="24"/>
          <w:szCs w:val="24"/>
        </w:rPr>
        <w:t xml:space="preserve">Given the facts of the present matter, the only two grounds the </w:t>
      </w:r>
      <w:r w:rsidR="00DC037F" w:rsidRPr="00FE712F">
        <w:rPr>
          <w:rFonts w:ascii="Arial" w:hAnsi="Arial" w:cs="Arial"/>
          <w:sz w:val="24"/>
          <w:szCs w:val="24"/>
        </w:rPr>
        <w:t xml:space="preserve">purchaser </w:t>
      </w:r>
      <w:r w:rsidR="00015081" w:rsidRPr="00FE712F">
        <w:rPr>
          <w:rFonts w:ascii="Arial" w:hAnsi="Arial" w:cs="Arial"/>
          <w:sz w:val="24"/>
          <w:szCs w:val="24"/>
        </w:rPr>
        <w:t xml:space="preserve">can rely on in establishing that the </w:t>
      </w:r>
      <w:r w:rsidR="00DC037F" w:rsidRPr="00FE712F">
        <w:rPr>
          <w:rFonts w:ascii="Arial" w:hAnsi="Arial" w:cs="Arial"/>
          <w:sz w:val="24"/>
          <w:szCs w:val="24"/>
        </w:rPr>
        <w:t xml:space="preserve">seller </w:t>
      </w:r>
      <w:r w:rsidR="00015081" w:rsidRPr="00FE712F">
        <w:rPr>
          <w:rFonts w:ascii="Arial" w:hAnsi="Arial" w:cs="Arial"/>
          <w:sz w:val="24"/>
          <w:szCs w:val="24"/>
        </w:rPr>
        <w:t>had a duty to disclose the exact nature of the caveat are the “sole knowledge” ground and the “omission of pertinent facts or using misleading language” ground. These grounds are discussed in further detail below.</w:t>
      </w:r>
    </w:p>
    <w:p w:rsidR="00DC037F" w:rsidRPr="004E11CB" w:rsidRDefault="00DC037F" w:rsidP="00DC037F">
      <w:pPr>
        <w:spacing w:after="0" w:line="360" w:lineRule="auto"/>
        <w:jc w:val="both"/>
        <w:rPr>
          <w:rFonts w:ascii="Arial" w:hAnsi="Arial" w:cs="Arial"/>
          <w:sz w:val="24"/>
          <w:szCs w:val="24"/>
        </w:rPr>
      </w:pPr>
    </w:p>
    <w:p w:rsidR="00DC037F" w:rsidRDefault="00DC037F" w:rsidP="00DC037F">
      <w:pPr>
        <w:pStyle w:val="ListParagraph"/>
        <w:spacing w:line="360" w:lineRule="auto"/>
        <w:ind w:left="0"/>
        <w:jc w:val="both"/>
        <w:rPr>
          <w:rFonts w:ascii="Arial" w:hAnsi="Arial" w:cs="Arial"/>
          <w:b/>
          <w:sz w:val="24"/>
          <w:szCs w:val="24"/>
        </w:rPr>
      </w:pPr>
      <w:r w:rsidRPr="007359CC">
        <w:rPr>
          <w:rFonts w:ascii="Arial" w:hAnsi="Arial" w:cs="Arial"/>
          <w:b/>
          <w:sz w:val="24"/>
          <w:szCs w:val="24"/>
        </w:rPr>
        <w:t>Sole knowledge of the material fact</w:t>
      </w:r>
    </w:p>
    <w:p w:rsidR="001E37D6" w:rsidRPr="007359CC" w:rsidRDefault="001E37D6" w:rsidP="00F40AAF">
      <w:pPr>
        <w:pStyle w:val="ListParagraph"/>
        <w:spacing w:line="240" w:lineRule="auto"/>
        <w:ind w:left="0"/>
        <w:jc w:val="both"/>
        <w:rPr>
          <w:rFonts w:ascii="Arial" w:hAnsi="Arial" w:cs="Arial"/>
          <w:b/>
          <w:sz w:val="24"/>
          <w:szCs w:val="24"/>
        </w:rPr>
      </w:pPr>
    </w:p>
    <w:p w:rsidR="00DC037F" w:rsidRPr="00FE712F" w:rsidRDefault="00FE712F" w:rsidP="00FE712F">
      <w:pPr>
        <w:spacing w:after="0" w:line="480" w:lineRule="auto"/>
        <w:jc w:val="both"/>
        <w:rPr>
          <w:rFonts w:ascii="Arial" w:hAnsi="Arial" w:cs="Arial"/>
          <w:sz w:val="24"/>
          <w:szCs w:val="24"/>
        </w:rPr>
      </w:pPr>
      <w:r w:rsidRPr="004E11CB">
        <w:rPr>
          <w:rFonts w:ascii="Arial" w:hAnsi="Arial" w:cs="Arial"/>
          <w:sz w:val="24"/>
          <w:szCs w:val="24"/>
        </w:rPr>
        <w:lastRenderedPageBreak/>
        <w:t>[17]</w:t>
      </w:r>
      <w:r w:rsidRPr="004E11CB">
        <w:rPr>
          <w:rFonts w:ascii="Arial" w:hAnsi="Arial" w:cs="Arial"/>
          <w:sz w:val="24"/>
          <w:szCs w:val="24"/>
        </w:rPr>
        <w:tab/>
      </w:r>
      <w:r w:rsidR="00DC037F" w:rsidRPr="00FE712F">
        <w:rPr>
          <w:rFonts w:ascii="Arial" w:hAnsi="Arial" w:cs="Arial"/>
          <w:sz w:val="24"/>
          <w:szCs w:val="24"/>
        </w:rPr>
        <w:t>A contracting party is under a duty to disclose any information that he has sole knowledge of, which the other party would have relied upon, and where silence and ultimately a lack of communication to the other party would amount to misrepresentation.</w:t>
      </w:r>
      <w:r w:rsidR="00DC037F" w:rsidRPr="004E11CB">
        <w:rPr>
          <w:rStyle w:val="FootnoteReference"/>
          <w:rFonts w:ascii="Arial" w:hAnsi="Arial" w:cs="Arial"/>
          <w:sz w:val="24"/>
          <w:szCs w:val="24"/>
        </w:rPr>
        <w:footnoteReference w:id="5"/>
      </w:r>
      <w:r w:rsidR="00DC037F" w:rsidRPr="00FE712F">
        <w:rPr>
          <w:rFonts w:ascii="Arial" w:hAnsi="Arial" w:cs="Arial"/>
          <w:sz w:val="24"/>
          <w:szCs w:val="24"/>
        </w:rPr>
        <w:t xml:space="preserve"> In order to determine whether a failure of a duty to disclose will result in the defendant’s failure amounting to unlawfulness, one must look at the general test for liability.</w:t>
      </w:r>
      <w:r w:rsidR="00DC037F" w:rsidRPr="004E11CB">
        <w:rPr>
          <w:rStyle w:val="FootnoteReference"/>
          <w:rFonts w:ascii="Arial" w:hAnsi="Arial" w:cs="Arial"/>
          <w:sz w:val="24"/>
          <w:szCs w:val="24"/>
        </w:rPr>
        <w:footnoteReference w:id="6"/>
      </w:r>
      <w:r w:rsidR="00DC037F" w:rsidRPr="00FE712F">
        <w:rPr>
          <w:rFonts w:ascii="Arial" w:hAnsi="Arial" w:cs="Arial"/>
          <w:sz w:val="24"/>
          <w:szCs w:val="24"/>
        </w:rPr>
        <w:t xml:space="preserve"> This is expressed as follows:</w:t>
      </w:r>
    </w:p>
    <w:p w:rsidR="00DC037F" w:rsidRPr="00F40AAF" w:rsidRDefault="00DC037F" w:rsidP="001B5E40">
      <w:pPr>
        <w:ind w:left="567" w:right="57"/>
        <w:jc w:val="both"/>
        <w:rPr>
          <w:rFonts w:ascii="Arial" w:hAnsi="Arial" w:cs="Arial"/>
        </w:rPr>
      </w:pPr>
      <w:r w:rsidRPr="00F40AAF">
        <w:rPr>
          <w:rFonts w:ascii="Arial" w:hAnsi="Arial" w:cs="Arial"/>
        </w:rPr>
        <w:t>“A party is expected to speak when the information he has to impart falls within his exclusive knowledge (so that in a practical business sense the other party has him as his only source) and the information, moreover, is such that the right to have it communicated to him ‘would be mutually recognised by honest men in the circumstances”</w:t>
      </w:r>
      <w:r w:rsidRPr="00F40AAF">
        <w:rPr>
          <w:rStyle w:val="FootnoteReference"/>
          <w:rFonts w:ascii="Arial" w:hAnsi="Arial" w:cs="Arial"/>
        </w:rPr>
        <w:footnoteReference w:id="7"/>
      </w:r>
    </w:p>
    <w:p w:rsidR="00DC037F" w:rsidRPr="00F40AAF" w:rsidRDefault="00DC037F" w:rsidP="00F40AAF">
      <w:pPr>
        <w:spacing w:line="240" w:lineRule="auto"/>
        <w:ind w:left="567"/>
        <w:jc w:val="both"/>
        <w:rPr>
          <w:rFonts w:ascii="Arial" w:hAnsi="Arial" w:cs="Arial"/>
        </w:rPr>
      </w:pPr>
    </w:p>
    <w:p w:rsidR="00DC037F" w:rsidRPr="00FE712F" w:rsidRDefault="00FE712F" w:rsidP="00FE712F">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E11CB" w:rsidRPr="00FE712F">
        <w:rPr>
          <w:rFonts w:ascii="Arial" w:hAnsi="Arial" w:cs="Arial"/>
          <w:sz w:val="24"/>
          <w:szCs w:val="24"/>
        </w:rPr>
        <w:t>In</w:t>
      </w:r>
      <w:r w:rsidR="004E11CB" w:rsidRPr="00FE712F">
        <w:rPr>
          <w:rFonts w:ascii="Arial" w:hAnsi="Arial" w:cs="Arial"/>
          <w:i/>
          <w:sz w:val="24"/>
          <w:szCs w:val="24"/>
        </w:rPr>
        <w:t xml:space="preserve"> </w:t>
      </w:r>
      <w:r w:rsidR="00DC037F" w:rsidRPr="00FE712F">
        <w:rPr>
          <w:rFonts w:ascii="Arial" w:hAnsi="Arial" w:cs="Arial"/>
          <w:i/>
          <w:sz w:val="24"/>
          <w:szCs w:val="24"/>
        </w:rPr>
        <w:t>Speight v Glass</w:t>
      </w:r>
      <w:r w:rsidR="00DC037F" w:rsidRPr="00862B30">
        <w:rPr>
          <w:rStyle w:val="FootnoteReference"/>
          <w:rFonts w:ascii="Arial" w:hAnsi="Arial" w:cs="Arial"/>
          <w:sz w:val="24"/>
          <w:szCs w:val="24"/>
        </w:rPr>
        <w:footnoteReference w:id="8"/>
      </w:r>
      <w:r w:rsidR="004E11CB" w:rsidRPr="00FE712F">
        <w:rPr>
          <w:rFonts w:ascii="Arial" w:hAnsi="Arial" w:cs="Arial"/>
          <w:i/>
          <w:sz w:val="24"/>
          <w:szCs w:val="24"/>
        </w:rPr>
        <w:t xml:space="preserve"> </w:t>
      </w:r>
      <w:r w:rsidR="004E11CB" w:rsidRPr="00FE712F">
        <w:rPr>
          <w:rFonts w:ascii="Arial" w:hAnsi="Arial" w:cs="Arial"/>
          <w:sz w:val="24"/>
          <w:szCs w:val="24"/>
        </w:rPr>
        <w:t>t</w:t>
      </w:r>
      <w:r w:rsidR="00DC037F" w:rsidRPr="00FE712F">
        <w:rPr>
          <w:rFonts w:ascii="Arial" w:hAnsi="Arial" w:cs="Arial"/>
          <w:sz w:val="24"/>
          <w:szCs w:val="24"/>
        </w:rPr>
        <w:t>he plaintiff purchased shares in a hotel in its entirety, and at the time of the conclusion of the contract he was unaware that the town council was exploring the possibility of constructing a road that would run through the property that the hotel was on. The seller on the other hand was aware of this possible construction, and as a result the purchaser was of the opinion that the court should cancel the contract, and he should be reimbursed for the purchase price of the property. The purchaser based his allegations on the basis that he would not have entered into the contract had he been aware of the construction. Furthermore, he alleged that the seller was under a duty to disclose the planned construction.</w:t>
      </w:r>
    </w:p>
    <w:p w:rsidR="001E37D6" w:rsidRPr="00862B30" w:rsidRDefault="001E37D6" w:rsidP="00F40AAF">
      <w:pPr>
        <w:pStyle w:val="ListParagraph"/>
        <w:spacing w:after="0" w:line="240" w:lineRule="auto"/>
        <w:ind w:left="0"/>
        <w:jc w:val="both"/>
        <w:rPr>
          <w:rFonts w:ascii="Arial" w:hAnsi="Arial" w:cs="Arial"/>
          <w:sz w:val="24"/>
          <w:szCs w:val="24"/>
        </w:rPr>
      </w:pPr>
    </w:p>
    <w:p w:rsidR="00DC037F" w:rsidRPr="00FE712F" w:rsidRDefault="00FE712F" w:rsidP="00FE712F">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C037F" w:rsidRPr="00FE712F">
        <w:rPr>
          <w:rFonts w:ascii="Arial" w:hAnsi="Arial" w:cs="Arial"/>
          <w:sz w:val="24"/>
          <w:szCs w:val="24"/>
        </w:rPr>
        <w:t>The court ultimately determined that the seller had no specialised knowledge of the terms of the construction.</w:t>
      </w:r>
      <w:r w:rsidR="00DC037F" w:rsidRPr="00862B30">
        <w:rPr>
          <w:rStyle w:val="FootnoteReference"/>
          <w:rFonts w:ascii="Arial" w:hAnsi="Arial" w:cs="Arial"/>
          <w:sz w:val="24"/>
          <w:szCs w:val="24"/>
        </w:rPr>
        <w:footnoteReference w:id="9"/>
      </w:r>
      <w:r w:rsidR="00DC037F" w:rsidRPr="00FE712F">
        <w:rPr>
          <w:rFonts w:ascii="Arial" w:hAnsi="Arial" w:cs="Arial"/>
          <w:sz w:val="24"/>
          <w:szCs w:val="24"/>
        </w:rPr>
        <w:t xml:space="preserve"> The court further agreed with the counter allegation of the seller that the necessary information, and full details of the construction plan, </w:t>
      </w:r>
      <w:r w:rsidR="00DC037F" w:rsidRPr="00FE712F">
        <w:rPr>
          <w:rFonts w:ascii="Arial" w:hAnsi="Arial" w:cs="Arial"/>
          <w:sz w:val="24"/>
          <w:szCs w:val="24"/>
        </w:rPr>
        <w:lastRenderedPageBreak/>
        <w:t>was accessible to the purchaser through the town council.</w:t>
      </w:r>
      <w:r w:rsidR="00DC037F" w:rsidRPr="00862B30">
        <w:rPr>
          <w:rStyle w:val="FootnoteReference"/>
          <w:rFonts w:ascii="Arial" w:hAnsi="Arial" w:cs="Arial"/>
          <w:sz w:val="24"/>
          <w:szCs w:val="24"/>
        </w:rPr>
        <w:footnoteReference w:id="10"/>
      </w:r>
      <w:r w:rsidR="00DC037F" w:rsidRPr="00FE712F">
        <w:rPr>
          <w:rFonts w:ascii="Arial" w:hAnsi="Arial" w:cs="Arial"/>
          <w:sz w:val="24"/>
          <w:szCs w:val="24"/>
        </w:rPr>
        <w:t xml:space="preserve"> As a result, the claim for the cancellation of the contract of sale was dismissed due to the failure of the purchaser to prove that the seller had a duty to disclose the information to him.</w:t>
      </w:r>
      <w:r w:rsidR="00DC037F" w:rsidRPr="00862B30">
        <w:rPr>
          <w:rStyle w:val="FootnoteReference"/>
          <w:rFonts w:ascii="Arial" w:hAnsi="Arial" w:cs="Arial"/>
          <w:sz w:val="24"/>
          <w:szCs w:val="24"/>
        </w:rPr>
        <w:footnoteReference w:id="11"/>
      </w:r>
    </w:p>
    <w:p w:rsidR="001E37D6" w:rsidRPr="00862B30" w:rsidRDefault="001E37D6" w:rsidP="00F40AAF">
      <w:pPr>
        <w:pStyle w:val="ListParagraph"/>
        <w:spacing w:after="0" w:line="240" w:lineRule="auto"/>
        <w:ind w:left="0"/>
        <w:jc w:val="both"/>
        <w:rPr>
          <w:rFonts w:ascii="Arial" w:hAnsi="Arial" w:cs="Arial"/>
          <w:sz w:val="24"/>
          <w:szCs w:val="24"/>
        </w:rPr>
      </w:pPr>
    </w:p>
    <w:p w:rsidR="00DC037F" w:rsidRPr="00FE712F" w:rsidRDefault="00FE712F" w:rsidP="00FE712F">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DC037F" w:rsidRPr="00FE712F">
        <w:rPr>
          <w:rFonts w:ascii="Arial" w:hAnsi="Arial" w:cs="Arial"/>
          <w:sz w:val="24"/>
          <w:szCs w:val="24"/>
        </w:rPr>
        <w:t xml:space="preserve">A parallel can be drawn between </w:t>
      </w:r>
      <w:r w:rsidR="00DC037F" w:rsidRPr="00FE712F">
        <w:rPr>
          <w:rFonts w:ascii="Arial" w:hAnsi="Arial" w:cs="Arial"/>
          <w:i/>
          <w:sz w:val="24"/>
          <w:szCs w:val="24"/>
        </w:rPr>
        <w:t xml:space="preserve">Speight </w:t>
      </w:r>
      <w:r w:rsidR="00DC037F" w:rsidRPr="00FE712F">
        <w:rPr>
          <w:rFonts w:ascii="Arial" w:hAnsi="Arial" w:cs="Arial"/>
          <w:sz w:val="24"/>
          <w:szCs w:val="24"/>
        </w:rPr>
        <w:t xml:space="preserve">and the present matter. In </w:t>
      </w:r>
      <w:r w:rsidR="00DC037F" w:rsidRPr="00FE712F">
        <w:rPr>
          <w:rFonts w:ascii="Arial" w:hAnsi="Arial" w:cs="Arial"/>
          <w:i/>
          <w:sz w:val="24"/>
          <w:szCs w:val="24"/>
        </w:rPr>
        <w:t>Speight</w:t>
      </w:r>
      <w:r w:rsidR="00DC037F" w:rsidRPr="00FE712F">
        <w:rPr>
          <w:rFonts w:ascii="Arial" w:hAnsi="Arial" w:cs="Arial"/>
          <w:sz w:val="24"/>
          <w:szCs w:val="24"/>
        </w:rPr>
        <w:t>, the Court found that the seller did not have sole knowledge of the construction and that this information could be easily accessed through the town council. Similarly, in the present matter, the information detailing the history of events that led to the filing of the caveat could be easily accessed through the Deeds Office.</w:t>
      </w:r>
    </w:p>
    <w:p w:rsidR="001E37D6" w:rsidRPr="00A950CD" w:rsidRDefault="001E37D6" w:rsidP="00F40AAF">
      <w:pPr>
        <w:pStyle w:val="ListParagraph"/>
        <w:spacing w:after="0" w:line="240" w:lineRule="auto"/>
        <w:ind w:left="0"/>
        <w:jc w:val="both"/>
        <w:rPr>
          <w:rFonts w:ascii="Arial" w:hAnsi="Arial" w:cs="Arial"/>
          <w:sz w:val="24"/>
          <w:szCs w:val="24"/>
        </w:rPr>
      </w:pPr>
    </w:p>
    <w:p w:rsidR="00DC037F" w:rsidRPr="00FE712F" w:rsidRDefault="00FE712F" w:rsidP="00FE712F">
      <w:pPr>
        <w:spacing w:after="0" w:line="480" w:lineRule="auto"/>
        <w:jc w:val="both"/>
        <w:rPr>
          <w:rFonts w:ascii="Arial" w:hAnsi="Arial" w:cs="Arial"/>
          <w:sz w:val="24"/>
          <w:szCs w:val="24"/>
        </w:rPr>
      </w:pPr>
      <w:r w:rsidRPr="00862B30">
        <w:rPr>
          <w:rFonts w:ascii="Arial" w:hAnsi="Arial" w:cs="Arial"/>
          <w:sz w:val="24"/>
          <w:szCs w:val="24"/>
        </w:rPr>
        <w:t>[21]</w:t>
      </w:r>
      <w:r w:rsidRPr="00862B30">
        <w:rPr>
          <w:rFonts w:ascii="Arial" w:hAnsi="Arial" w:cs="Arial"/>
          <w:sz w:val="24"/>
          <w:szCs w:val="24"/>
        </w:rPr>
        <w:tab/>
      </w:r>
      <w:r w:rsidR="00DC037F" w:rsidRPr="00FE712F">
        <w:rPr>
          <w:rFonts w:ascii="Arial" w:hAnsi="Arial" w:cs="Arial"/>
          <w:sz w:val="24"/>
          <w:szCs w:val="24"/>
        </w:rPr>
        <w:t xml:space="preserve">In </w:t>
      </w:r>
      <w:r w:rsidR="00DC037F" w:rsidRPr="00FE712F">
        <w:rPr>
          <w:rFonts w:ascii="Arial" w:hAnsi="Arial" w:cs="Arial"/>
          <w:i/>
          <w:sz w:val="24"/>
          <w:szCs w:val="24"/>
        </w:rPr>
        <w:t>ABSA Bank Ltd v Fouche</w:t>
      </w:r>
      <w:r w:rsidR="00DC037F" w:rsidRPr="00862B30">
        <w:rPr>
          <w:rStyle w:val="FootnoteReference"/>
          <w:rFonts w:ascii="Arial" w:hAnsi="Arial" w:cs="Arial"/>
          <w:sz w:val="24"/>
          <w:szCs w:val="24"/>
        </w:rPr>
        <w:footnoteReference w:id="12"/>
      </w:r>
      <w:r w:rsidR="00DC037F" w:rsidRPr="00FE712F">
        <w:rPr>
          <w:rFonts w:ascii="Arial" w:hAnsi="Arial" w:cs="Arial"/>
          <w:sz w:val="24"/>
          <w:szCs w:val="24"/>
        </w:rPr>
        <w:t xml:space="preserve"> the court canvassed the notion of classifying information as being “exclusive” to a single person. The court found that, “information which is, if desired, [is] readily</w:t>
      </w:r>
      <w:r w:rsidR="0054576F" w:rsidRPr="00FE712F">
        <w:rPr>
          <w:rFonts w:ascii="Arial" w:hAnsi="Arial" w:cs="Arial"/>
          <w:sz w:val="24"/>
          <w:szCs w:val="24"/>
        </w:rPr>
        <w:t xml:space="preserve"> </w:t>
      </w:r>
      <w:r w:rsidR="00DC037F" w:rsidRPr="00FE712F">
        <w:rPr>
          <w:rFonts w:ascii="Arial" w:hAnsi="Arial" w:cs="Arial"/>
          <w:sz w:val="24"/>
          <w:szCs w:val="24"/>
        </w:rPr>
        <w:t xml:space="preserve">ascertainable…, should not be categorised as exclusive knowledge. 'Exclusive knowledge' in this sense is </w:t>
      </w:r>
      <w:r w:rsidR="00DC037F" w:rsidRPr="00FE712F">
        <w:rPr>
          <w:rFonts w:ascii="Arial" w:hAnsi="Arial" w:cs="Arial"/>
          <w:sz w:val="24"/>
          <w:szCs w:val="24"/>
          <w:u w:val="single"/>
        </w:rPr>
        <w:t>knowledge which is inaccessible to the point where its inaccessibility produces an involuntary reliance on the party possessing the information</w:t>
      </w:r>
      <w:r w:rsidR="00DC037F" w:rsidRPr="00FE712F">
        <w:rPr>
          <w:rFonts w:ascii="Arial" w:hAnsi="Arial" w:cs="Arial"/>
          <w:sz w:val="24"/>
          <w:szCs w:val="24"/>
        </w:rPr>
        <w:t>”.</w:t>
      </w:r>
      <w:r w:rsidR="00DC037F" w:rsidRPr="00862B30">
        <w:rPr>
          <w:rStyle w:val="FootnoteReference"/>
          <w:rFonts w:ascii="Arial" w:hAnsi="Arial" w:cs="Arial"/>
          <w:sz w:val="24"/>
          <w:szCs w:val="24"/>
        </w:rPr>
        <w:footnoteReference w:id="13"/>
      </w:r>
      <w:r w:rsidR="00DC037F" w:rsidRPr="00FE712F">
        <w:rPr>
          <w:rFonts w:ascii="Arial" w:hAnsi="Arial" w:cs="Arial"/>
          <w:sz w:val="24"/>
          <w:szCs w:val="24"/>
        </w:rPr>
        <w:t xml:space="preserve"> (own emphasis added)</w:t>
      </w:r>
    </w:p>
    <w:p w:rsidR="00DC037F" w:rsidRDefault="00DC037F" w:rsidP="00F40AAF">
      <w:pPr>
        <w:pStyle w:val="ListParagraph"/>
        <w:spacing w:line="240" w:lineRule="auto"/>
        <w:ind w:left="567"/>
        <w:jc w:val="both"/>
        <w:rPr>
          <w:rFonts w:ascii="Times New Roman" w:hAnsi="Times New Roman" w:cs="Times New Roman"/>
          <w:sz w:val="26"/>
          <w:szCs w:val="26"/>
        </w:rPr>
      </w:pPr>
    </w:p>
    <w:p w:rsidR="00DC037F" w:rsidRPr="00FE712F" w:rsidRDefault="00FE712F" w:rsidP="00FE712F">
      <w:pPr>
        <w:spacing w:after="0" w:line="480" w:lineRule="auto"/>
        <w:jc w:val="both"/>
        <w:rPr>
          <w:rFonts w:ascii="Arial" w:hAnsi="Arial" w:cs="Arial"/>
          <w:sz w:val="24"/>
          <w:szCs w:val="24"/>
        </w:rPr>
      </w:pPr>
      <w:r w:rsidRPr="00862B30">
        <w:rPr>
          <w:rFonts w:ascii="Arial" w:hAnsi="Arial" w:cs="Arial"/>
          <w:sz w:val="24"/>
          <w:szCs w:val="24"/>
        </w:rPr>
        <w:t>[22]</w:t>
      </w:r>
      <w:r w:rsidRPr="00862B30">
        <w:rPr>
          <w:rFonts w:ascii="Arial" w:hAnsi="Arial" w:cs="Arial"/>
          <w:sz w:val="24"/>
          <w:szCs w:val="24"/>
        </w:rPr>
        <w:tab/>
      </w:r>
      <w:r w:rsidR="00DC037F" w:rsidRPr="00FE712F">
        <w:rPr>
          <w:rFonts w:ascii="Arial" w:hAnsi="Arial" w:cs="Arial"/>
          <w:sz w:val="24"/>
          <w:szCs w:val="24"/>
        </w:rPr>
        <w:t xml:space="preserve">Here again, a parallel can be drawn between the present matter and </w:t>
      </w:r>
      <w:r w:rsidR="00DC037F" w:rsidRPr="00FE712F">
        <w:rPr>
          <w:rFonts w:ascii="Arial" w:hAnsi="Arial" w:cs="Arial"/>
          <w:i/>
          <w:sz w:val="24"/>
          <w:szCs w:val="24"/>
        </w:rPr>
        <w:t>Fouche</w:t>
      </w:r>
      <w:r w:rsidR="00DC037F" w:rsidRPr="00FE712F">
        <w:rPr>
          <w:rFonts w:ascii="Arial" w:hAnsi="Arial" w:cs="Arial"/>
          <w:sz w:val="24"/>
          <w:szCs w:val="24"/>
        </w:rPr>
        <w:t xml:space="preserve">. Given that the caveat could have been easily uncovered through a simple deeds search and subsequently accessed through the Deeds Office, it may not qualify as being exclusive knowledge or knowledge which the </w:t>
      </w:r>
      <w:r w:rsidR="006F6C5D" w:rsidRPr="00FE712F">
        <w:rPr>
          <w:rFonts w:ascii="Arial" w:hAnsi="Arial" w:cs="Arial"/>
          <w:sz w:val="24"/>
          <w:szCs w:val="24"/>
        </w:rPr>
        <w:t xml:space="preserve">seller </w:t>
      </w:r>
      <w:r w:rsidR="00DC037F" w:rsidRPr="00FE712F">
        <w:rPr>
          <w:rFonts w:ascii="Arial" w:hAnsi="Arial" w:cs="Arial"/>
          <w:sz w:val="24"/>
          <w:szCs w:val="24"/>
        </w:rPr>
        <w:t>was the sole possessor of.</w:t>
      </w:r>
      <w:r w:rsidR="00DC037F" w:rsidRPr="00862B30">
        <w:rPr>
          <w:rStyle w:val="FootnoteReference"/>
          <w:rFonts w:ascii="Arial" w:hAnsi="Arial" w:cs="Arial"/>
          <w:sz w:val="24"/>
          <w:szCs w:val="24"/>
        </w:rPr>
        <w:footnoteReference w:id="14"/>
      </w:r>
    </w:p>
    <w:p w:rsidR="00DC037F" w:rsidRPr="00862B30" w:rsidRDefault="00DC037F" w:rsidP="00F40AAF">
      <w:pPr>
        <w:pStyle w:val="ListParagraph"/>
        <w:spacing w:after="0" w:line="240" w:lineRule="auto"/>
        <w:ind w:left="0"/>
        <w:jc w:val="both"/>
        <w:rPr>
          <w:rFonts w:ascii="Arial" w:hAnsi="Arial" w:cs="Arial"/>
          <w:sz w:val="24"/>
          <w:szCs w:val="24"/>
        </w:rPr>
      </w:pPr>
    </w:p>
    <w:p w:rsidR="00DC037F" w:rsidRPr="00FE712F" w:rsidRDefault="00FE712F" w:rsidP="00FE712F">
      <w:pPr>
        <w:spacing w:after="0" w:line="480" w:lineRule="auto"/>
        <w:jc w:val="both"/>
        <w:rPr>
          <w:rFonts w:ascii="Arial" w:hAnsi="Arial" w:cs="Arial"/>
          <w:sz w:val="24"/>
          <w:szCs w:val="24"/>
        </w:rPr>
      </w:pPr>
      <w:r w:rsidRPr="00862B30">
        <w:rPr>
          <w:rFonts w:ascii="Arial" w:hAnsi="Arial" w:cs="Arial"/>
          <w:sz w:val="24"/>
          <w:szCs w:val="24"/>
        </w:rPr>
        <w:lastRenderedPageBreak/>
        <w:t>[23]</w:t>
      </w:r>
      <w:r w:rsidRPr="00862B30">
        <w:rPr>
          <w:rFonts w:ascii="Arial" w:hAnsi="Arial" w:cs="Arial"/>
          <w:sz w:val="24"/>
          <w:szCs w:val="24"/>
        </w:rPr>
        <w:tab/>
      </w:r>
      <w:r w:rsidR="00DC037F" w:rsidRPr="00FE712F">
        <w:rPr>
          <w:rFonts w:ascii="Arial" w:hAnsi="Arial" w:cs="Arial"/>
          <w:sz w:val="24"/>
          <w:szCs w:val="24"/>
        </w:rPr>
        <w:t xml:space="preserve">Even if the information is qualified as “exclusive” to the </w:t>
      </w:r>
      <w:r w:rsidR="0054576F" w:rsidRPr="00FE712F">
        <w:rPr>
          <w:rFonts w:ascii="Arial" w:hAnsi="Arial" w:cs="Arial"/>
          <w:sz w:val="24"/>
          <w:szCs w:val="24"/>
        </w:rPr>
        <w:t>seller</w:t>
      </w:r>
      <w:r w:rsidR="00DC037F" w:rsidRPr="00FE712F">
        <w:rPr>
          <w:rFonts w:ascii="Arial" w:hAnsi="Arial" w:cs="Arial"/>
          <w:sz w:val="24"/>
          <w:szCs w:val="24"/>
        </w:rPr>
        <w:t>, the second part of the test in order to establish a duty to disclose is  that the right to have the knowledge communicated to him “would be mutually recognised by honest men in the circumstances.”</w:t>
      </w:r>
      <w:r w:rsidR="00DC037F" w:rsidRPr="001E37D6">
        <w:rPr>
          <w:vertAlign w:val="superscript"/>
        </w:rPr>
        <w:footnoteReference w:id="15"/>
      </w:r>
    </w:p>
    <w:p w:rsidR="0054576F" w:rsidRPr="00862B30" w:rsidRDefault="0054576F" w:rsidP="00F40AAF">
      <w:pPr>
        <w:spacing w:after="0" w:line="240" w:lineRule="auto"/>
        <w:jc w:val="both"/>
        <w:rPr>
          <w:rFonts w:ascii="Arial" w:hAnsi="Arial" w:cs="Arial"/>
          <w:sz w:val="24"/>
          <w:szCs w:val="24"/>
        </w:rPr>
      </w:pPr>
    </w:p>
    <w:p w:rsidR="0054576F" w:rsidRPr="00FE712F" w:rsidRDefault="00FE712F" w:rsidP="00FE712F">
      <w:pPr>
        <w:spacing w:after="0" w:line="480" w:lineRule="auto"/>
        <w:jc w:val="both"/>
        <w:rPr>
          <w:rFonts w:ascii="Arial" w:hAnsi="Arial" w:cs="Arial"/>
          <w:sz w:val="24"/>
          <w:szCs w:val="24"/>
        </w:rPr>
      </w:pPr>
      <w:r w:rsidRPr="00862B30">
        <w:rPr>
          <w:rFonts w:ascii="Arial" w:hAnsi="Arial" w:cs="Arial"/>
          <w:sz w:val="24"/>
          <w:szCs w:val="24"/>
        </w:rPr>
        <w:t>[24]</w:t>
      </w:r>
      <w:r w:rsidRPr="00862B30">
        <w:rPr>
          <w:rFonts w:ascii="Arial" w:hAnsi="Arial" w:cs="Arial"/>
          <w:sz w:val="24"/>
          <w:szCs w:val="24"/>
        </w:rPr>
        <w:tab/>
      </w:r>
      <w:r w:rsidR="0054576F" w:rsidRPr="00FE712F">
        <w:rPr>
          <w:rFonts w:ascii="Arial" w:hAnsi="Arial" w:cs="Arial"/>
          <w:sz w:val="24"/>
          <w:szCs w:val="24"/>
        </w:rPr>
        <w:t xml:space="preserve">In the present matter, </w:t>
      </w:r>
      <w:r w:rsidR="009867A6" w:rsidRPr="00FE712F">
        <w:rPr>
          <w:rFonts w:ascii="Arial" w:hAnsi="Arial" w:cs="Arial"/>
          <w:sz w:val="24"/>
          <w:szCs w:val="24"/>
        </w:rPr>
        <w:t xml:space="preserve">I am not persuaded by the presence of the caveat that the </w:t>
      </w:r>
      <w:r w:rsidR="009356C0" w:rsidRPr="00FE712F">
        <w:rPr>
          <w:rFonts w:ascii="Arial" w:hAnsi="Arial" w:cs="Arial"/>
          <w:sz w:val="24"/>
          <w:szCs w:val="24"/>
        </w:rPr>
        <w:t>immovable property was hijacked. Further</w:t>
      </w:r>
      <w:r w:rsidR="0054576F" w:rsidRPr="00FE712F">
        <w:rPr>
          <w:rFonts w:ascii="Arial" w:hAnsi="Arial" w:cs="Arial"/>
          <w:sz w:val="24"/>
          <w:szCs w:val="24"/>
        </w:rPr>
        <w:t xml:space="preserve">, the </w:t>
      </w:r>
      <w:r w:rsidR="009356C0" w:rsidRPr="00FE712F">
        <w:rPr>
          <w:rFonts w:ascii="Arial" w:hAnsi="Arial" w:cs="Arial"/>
          <w:sz w:val="24"/>
          <w:szCs w:val="24"/>
        </w:rPr>
        <w:t>seller</w:t>
      </w:r>
      <w:r w:rsidR="0054576F" w:rsidRPr="00FE712F">
        <w:rPr>
          <w:rFonts w:ascii="Arial" w:hAnsi="Arial" w:cs="Arial"/>
          <w:sz w:val="24"/>
          <w:szCs w:val="24"/>
        </w:rPr>
        <w:t xml:space="preserve"> submits that the existence of the caveat would not have impeded the transfer. Importantly, </w:t>
      </w:r>
      <w:r w:rsidR="00733784" w:rsidRPr="00FE712F">
        <w:rPr>
          <w:rFonts w:ascii="Arial" w:hAnsi="Arial" w:cs="Arial"/>
          <w:sz w:val="24"/>
          <w:szCs w:val="24"/>
        </w:rPr>
        <w:t>in terms of claus</w:t>
      </w:r>
      <w:r w:rsidR="009867A6" w:rsidRPr="00FE712F">
        <w:rPr>
          <w:rFonts w:ascii="Arial" w:hAnsi="Arial" w:cs="Arial"/>
          <w:sz w:val="24"/>
          <w:szCs w:val="24"/>
        </w:rPr>
        <w:t xml:space="preserve">e 20.1 </w:t>
      </w:r>
      <w:r w:rsidR="0054576F" w:rsidRPr="00FE712F">
        <w:rPr>
          <w:rFonts w:ascii="Arial" w:hAnsi="Arial" w:cs="Arial"/>
          <w:sz w:val="24"/>
          <w:szCs w:val="24"/>
        </w:rPr>
        <w:t xml:space="preserve">the applicant was bound to remove all caveats in terms of the agreement. Therefore, it would appear that disclosing all the facts surrounding the caveat was not considered necessary by the </w:t>
      </w:r>
      <w:r w:rsidR="009356C0" w:rsidRPr="00FE712F">
        <w:rPr>
          <w:rFonts w:ascii="Arial" w:hAnsi="Arial" w:cs="Arial"/>
          <w:sz w:val="24"/>
          <w:szCs w:val="24"/>
        </w:rPr>
        <w:t xml:space="preserve">seller </w:t>
      </w:r>
      <w:r w:rsidR="0054576F" w:rsidRPr="00FE712F">
        <w:rPr>
          <w:rFonts w:ascii="Arial" w:hAnsi="Arial" w:cs="Arial"/>
          <w:sz w:val="24"/>
          <w:szCs w:val="24"/>
        </w:rPr>
        <w:t>because there were, in fact, no title issues. Given that the property was never hijacked and the title deed was never compromised</w:t>
      </w:r>
      <w:r w:rsidR="00733784" w:rsidRPr="00FE712F">
        <w:rPr>
          <w:rFonts w:ascii="Arial" w:hAnsi="Arial" w:cs="Arial"/>
          <w:sz w:val="24"/>
          <w:szCs w:val="24"/>
        </w:rPr>
        <w:t>, and all litigation regarding the alleged fraudulent liquidation of the applicant was resolved,</w:t>
      </w:r>
      <w:r w:rsidR="0054576F" w:rsidRPr="00FE712F">
        <w:rPr>
          <w:rFonts w:ascii="Arial" w:hAnsi="Arial" w:cs="Arial"/>
          <w:sz w:val="24"/>
          <w:szCs w:val="24"/>
        </w:rPr>
        <w:t xml:space="preserve"> it seems reasonable to assume that an “honest man” in the circumstances would not deem it necessary to disclose the entire nature of the caveat. It is important to reiterate here again, the information in question was readily accessible had the </w:t>
      </w:r>
      <w:r w:rsidR="006F6C5D" w:rsidRPr="00FE712F">
        <w:rPr>
          <w:rFonts w:ascii="Arial" w:hAnsi="Arial" w:cs="Arial"/>
          <w:sz w:val="24"/>
          <w:szCs w:val="24"/>
        </w:rPr>
        <w:t>purchaser</w:t>
      </w:r>
      <w:r w:rsidR="0054576F" w:rsidRPr="00FE712F">
        <w:rPr>
          <w:rFonts w:ascii="Arial" w:hAnsi="Arial" w:cs="Arial"/>
          <w:sz w:val="24"/>
          <w:szCs w:val="24"/>
        </w:rPr>
        <w:t xml:space="preserve"> performed his due diligence and simply conducted a deed search.</w:t>
      </w:r>
    </w:p>
    <w:p w:rsidR="00850C7C" w:rsidRPr="00862B30" w:rsidRDefault="00850C7C" w:rsidP="00F40AAF">
      <w:pPr>
        <w:spacing w:after="0" w:line="240" w:lineRule="auto"/>
        <w:jc w:val="both"/>
        <w:rPr>
          <w:rFonts w:ascii="Arial" w:hAnsi="Arial" w:cs="Arial"/>
          <w:sz w:val="24"/>
          <w:szCs w:val="24"/>
        </w:rPr>
      </w:pPr>
    </w:p>
    <w:p w:rsidR="00850C7C" w:rsidRDefault="00850C7C" w:rsidP="00850C7C">
      <w:pPr>
        <w:jc w:val="both"/>
        <w:rPr>
          <w:rFonts w:ascii="Arial" w:hAnsi="Arial" w:cs="Arial"/>
          <w:b/>
          <w:sz w:val="24"/>
          <w:szCs w:val="24"/>
        </w:rPr>
      </w:pPr>
      <w:r w:rsidRPr="00862B30">
        <w:rPr>
          <w:rFonts w:ascii="Arial" w:hAnsi="Arial" w:cs="Arial"/>
          <w:b/>
          <w:sz w:val="24"/>
          <w:szCs w:val="24"/>
        </w:rPr>
        <w:t>Omission or misleading language</w:t>
      </w:r>
    </w:p>
    <w:p w:rsidR="00BF7A99" w:rsidRPr="00862B30" w:rsidRDefault="00BF7A99" w:rsidP="00F40AAF">
      <w:pPr>
        <w:spacing w:line="240" w:lineRule="auto"/>
        <w:jc w:val="both"/>
        <w:rPr>
          <w:rFonts w:ascii="Arial" w:hAnsi="Arial" w:cs="Arial"/>
          <w:b/>
          <w:sz w:val="24"/>
          <w:szCs w:val="24"/>
        </w:rPr>
      </w:pPr>
    </w:p>
    <w:p w:rsidR="00850C7C" w:rsidRPr="00FE712F" w:rsidRDefault="00FE712F" w:rsidP="00FE712F">
      <w:pPr>
        <w:spacing w:after="0" w:line="480" w:lineRule="auto"/>
        <w:jc w:val="both"/>
        <w:rPr>
          <w:rFonts w:ascii="Arial" w:hAnsi="Arial" w:cs="Arial"/>
          <w:sz w:val="24"/>
          <w:szCs w:val="24"/>
        </w:rPr>
      </w:pPr>
      <w:r w:rsidRPr="00862B30">
        <w:rPr>
          <w:rFonts w:ascii="Arial" w:hAnsi="Arial" w:cs="Arial"/>
          <w:sz w:val="24"/>
          <w:szCs w:val="24"/>
        </w:rPr>
        <w:t>[25]</w:t>
      </w:r>
      <w:r w:rsidRPr="00862B30">
        <w:rPr>
          <w:rFonts w:ascii="Arial" w:hAnsi="Arial" w:cs="Arial"/>
          <w:sz w:val="24"/>
          <w:szCs w:val="24"/>
        </w:rPr>
        <w:tab/>
      </w:r>
      <w:r w:rsidR="00850C7C" w:rsidRPr="00FE712F">
        <w:rPr>
          <w:rFonts w:ascii="Arial" w:hAnsi="Arial" w:cs="Arial"/>
          <w:sz w:val="24"/>
          <w:szCs w:val="24"/>
        </w:rPr>
        <w:t>A legal duty to disclose in this instance occurs when the contractor has omitted pertinent facts or has used language that is misleading.</w:t>
      </w:r>
      <w:r w:rsidR="00850C7C" w:rsidRPr="00862B30">
        <w:rPr>
          <w:rStyle w:val="FootnoteReference"/>
          <w:rFonts w:ascii="Arial" w:hAnsi="Arial" w:cs="Arial"/>
          <w:sz w:val="24"/>
          <w:szCs w:val="24"/>
        </w:rPr>
        <w:footnoteReference w:id="16"/>
      </w:r>
      <w:r w:rsidR="00850C7C" w:rsidRPr="00FE712F">
        <w:rPr>
          <w:rFonts w:ascii="Arial" w:hAnsi="Arial" w:cs="Arial"/>
          <w:sz w:val="24"/>
          <w:szCs w:val="24"/>
        </w:rPr>
        <w:t xml:space="preserve"> Certain policy considerations may also necessitate the communication of certain facts or information to the </w:t>
      </w:r>
      <w:r w:rsidR="009356C0" w:rsidRPr="00FE712F">
        <w:rPr>
          <w:rFonts w:ascii="Arial" w:hAnsi="Arial" w:cs="Arial"/>
          <w:sz w:val="24"/>
          <w:szCs w:val="24"/>
        </w:rPr>
        <w:t>other party</w:t>
      </w:r>
      <w:r w:rsidR="00850C7C" w:rsidRPr="00FE712F">
        <w:rPr>
          <w:rFonts w:ascii="Arial" w:hAnsi="Arial" w:cs="Arial"/>
          <w:sz w:val="24"/>
          <w:szCs w:val="24"/>
        </w:rPr>
        <w:t>.</w:t>
      </w:r>
      <w:r w:rsidR="00850C7C" w:rsidRPr="00862B30">
        <w:rPr>
          <w:rStyle w:val="FootnoteReference"/>
          <w:rFonts w:ascii="Arial" w:hAnsi="Arial" w:cs="Arial"/>
          <w:sz w:val="24"/>
          <w:szCs w:val="24"/>
        </w:rPr>
        <w:footnoteReference w:id="17"/>
      </w:r>
      <w:r w:rsidR="00850C7C" w:rsidRPr="00FE712F">
        <w:rPr>
          <w:rFonts w:ascii="Arial" w:hAnsi="Arial" w:cs="Arial"/>
          <w:sz w:val="24"/>
          <w:szCs w:val="24"/>
        </w:rPr>
        <w:t xml:space="preserve"> Often during the negotiation process the contractor may use vague, unclear </w:t>
      </w:r>
      <w:r w:rsidR="00850C7C" w:rsidRPr="00FE712F">
        <w:rPr>
          <w:rFonts w:ascii="Arial" w:hAnsi="Arial" w:cs="Arial"/>
          <w:sz w:val="24"/>
          <w:szCs w:val="24"/>
        </w:rPr>
        <w:lastRenderedPageBreak/>
        <w:t>or elusive language in order to secure a sale, or to ensure the conclusion of the contract. Nonetheless, a duty to disclose exists if such previously used equivocal terms require clarification.</w:t>
      </w:r>
      <w:r w:rsidR="00850C7C" w:rsidRPr="00862B30">
        <w:rPr>
          <w:rStyle w:val="FootnoteReference"/>
          <w:rFonts w:ascii="Arial" w:hAnsi="Arial" w:cs="Arial"/>
          <w:sz w:val="24"/>
          <w:szCs w:val="24"/>
        </w:rPr>
        <w:footnoteReference w:id="18"/>
      </w:r>
      <w:r w:rsidR="00850C7C" w:rsidRPr="00FE712F">
        <w:rPr>
          <w:rFonts w:ascii="Arial" w:hAnsi="Arial" w:cs="Arial"/>
          <w:sz w:val="24"/>
          <w:szCs w:val="24"/>
        </w:rPr>
        <w:t xml:space="preserve"> This indicates that non</w:t>
      </w:r>
      <w:r w:rsidR="00850C7C" w:rsidRPr="00FE712F">
        <w:rPr>
          <w:rFonts w:ascii="Arial" w:hAnsi="Arial" w:cs="Arial"/>
          <w:sz w:val="24"/>
          <w:szCs w:val="24"/>
        </w:rPr>
        <w:noBreakHyphen/>
        <w:t>disclosure or an omission in certain circumstances would result in the failure to disclose being wrongful.</w:t>
      </w:r>
      <w:r w:rsidR="00850C7C" w:rsidRPr="00862B30">
        <w:rPr>
          <w:rStyle w:val="FootnoteReference"/>
          <w:rFonts w:ascii="Arial" w:hAnsi="Arial" w:cs="Arial"/>
          <w:sz w:val="24"/>
          <w:szCs w:val="24"/>
        </w:rPr>
        <w:footnoteReference w:id="19"/>
      </w:r>
    </w:p>
    <w:p w:rsidR="00850C7C" w:rsidRPr="00862B30" w:rsidRDefault="00850C7C" w:rsidP="00850C7C">
      <w:pPr>
        <w:spacing w:after="0" w:line="360" w:lineRule="auto"/>
        <w:jc w:val="both"/>
        <w:rPr>
          <w:rFonts w:ascii="Arial" w:hAnsi="Arial" w:cs="Arial"/>
          <w:sz w:val="24"/>
          <w:szCs w:val="24"/>
        </w:rPr>
      </w:pPr>
    </w:p>
    <w:p w:rsidR="00850C7C" w:rsidRPr="00FE712F" w:rsidRDefault="00FE712F" w:rsidP="00FE712F">
      <w:pPr>
        <w:spacing w:after="0" w:line="480" w:lineRule="auto"/>
        <w:jc w:val="both"/>
        <w:rPr>
          <w:rFonts w:ascii="Arial" w:hAnsi="Arial" w:cs="Arial"/>
          <w:sz w:val="24"/>
          <w:szCs w:val="24"/>
        </w:rPr>
      </w:pPr>
      <w:r w:rsidRPr="00F40AAF">
        <w:rPr>
          <w:rFonts w:ascii="Arial" w:hAnsi="Arial" w:cs="Arial"/>
          <w:sz w:val="24"/>
          <w:szCs w:val="24"/>
        </w:rPr>
        <w:t>[26]</w:t>
      </w:r>
      <w:r w:rsidRPr="00F40AAF">
        <w:rPr>
          <w:rFonts w:ascii="Arial" w:hAnsi="Arial" w:cs="Arial"/>
          <w:sz w:val="24"/>
          <w:szCs w:val="24"/>
        </w:rPr>
        <w:tab/>
      </w:r>
      <w:r w:rsidR="00850C7C" w:rsidRPr="00FE712F">
        <w:rPr>
          <w:rFonts w:ascii="Arial" w:hAnsi="Arial" w:cs="Arial"/>
          <w:sz w:val="24"/>
          <w:szCs w:val="24"/>
        </w:rPr>
        <w:t xml:space="preserve">In </w:t>
      </w:r>
      <w:r w:rsidR="00850C7C" w:rsidRPr="00FE712F">
        <w:rPr>
          <w:rFonts w:ascii="Arial" w:hAnsi="Arial" w:cs="Arial"/>
          <w:i/>
          <w:sz w:val="24"/>
          <w:szCs w:val="24"/>
        </w:rPr>
        <w:t>Dormell Properties 658 (Pty) Ltd v Rowmoor Investments 513 (Pty) and Another</w:t>
      </w:r>
      <w:r w:rsidR="00850C7C" w:rsidRPr="00F40AAF">
        <w:rPr>
          <w:rStyle w:val="FootnoteReference"/>
          <w:rFonts w:ascii="Arial" w:hAnsi="Arial" w:cs="Arial"/>
          <w:sz w:val="24"/>
          <w:szCs w:val="24"/>
        </w:rPr>
        <w:footnoteReference w:id="20"/>
      </w:r>
      <w:r w:rsidR="00850C7C" w:rsidRPr="00FE712F">
        <w:rPr>
          <w:rFonts w:ascii="Arial" w:hAnsi="Arial" w:cs="Arial"/>
          <w:sz w:val="24"/>
          <w:szCs w:val="24"/>
        </w:rPr>
        <w:t xml:space="preserve"> the court held:</w:t>
      </w:r>
    </w:p>
    <w:p w:rsidR="00850C7C" w:rsidRDefault="00850C7C" w:rsidP="00F40AAF">
      <w:pPr>
        <w:pStyle w:val="ListParagraph"/>
        <w:spacing w:line="240" w:lineRule="auto"/>
        <w:ind w:left="567"/>
        <w:jc w:val="both"/>
        <w:rPr>
          <w:rFonts w:ascii="Arial" w:hAnsi="Arial" w:cs="Arial"/>
        </w:rPr>
      </w:pPr>
      <w:r w:rsidRPr="00F40AAF">
        <w:rPr>
          <w:rFonts w:ascii="Arial" w:hAnsi="Arial" w:cs="Arial"/>
        </w:rPr>
        <w:t xml:space="preserve">“Silence (non-disclosure) may amount to a misrepresentation where there is a duty to communicate the omitted information. There may be particular circumstances, usually associated with the prior conduct of the person who remained silent, that require such person to speak – Christie </w:t>
      </w:r>
      <w:r w:rsidRPr="00F40AAF">
        <w:rPr>
          <w:rFonts w:ascii="Arial" w:hAnsi="Arial" w:cs="Arial"/>
          <w:iCs/>
        </w:rPr>
        <w:t xml:space="preserve">… </w:t>
      </w:r>
      <w:r w:rsidRPr="00F40AAF">
        <w:rPr>
          <w:rFonts w:ascii="Arial" w:hAnsi="Arial" w:cs="Arial"/>
        </w:rPr>
        <w:t xml:space="preserve">at 288 gives as examples where only part of the truth has been told and the omission of the remainder gives a </w:t>
      </w:r>
      <w:r w:rsidR="000655C6" w:rsidRPr="00F40AAF">
        <w:rPr>
          <w:rFonts w:ascii="Arial" w:hAnsi="Arial" w:cs="Arial"/>
        </w:rPr>
        <w:t xml:space="preserve">misleading impression… </w:t>
      </w:r>
      <w:r w:rsidRPr="00F40AAF">
        <w:rPr>
          <w:rFonts w:ascii="Arial" w:hAnsi="Arial" w:cs="Arial"/>
        </w:rPr>
        <w:t xml:space="preserve">. Outside of particular cases of this kind, </w:t>
      </w:r>
      <w:r w:rsidRPr="00F40AAF">
        <w:rPr>
          <w:rFonts w:ascii="Arial" w:hAnsi="Arial" w:cs="Arial"/>
          <w:u w:val="single"/>
        </w:rPr>
        <w:t>there is in general no duty on one contracting party to tell the other everything material to the transaction</w:t>
      </w:r>
      <w:r w:rsidRPr="00F40AAF">
        <w:rPr>
          <w:rFonts w:ascii="Arial" w:hAnsi="Arial" w:cs="Arial"/>
        </w:rPr>
        <w:t xml:space="preserve"> – policy only requires him to speak if the information falls within his exclusive knowledge (so that the counter-party must needs rely on the other) and the information is such that the right to have it communicated ‘would be mutually recognised by honest men in the circumstances’ (</w:t>
      </w:r>
      <w:r w:rsidRPr="00F40AAF">
        <w:rPr>
          <w:rFonts w:ascii="Arial" w:hAnsi="Arial" w:cs="Arial"/>
          <w:i/>
          <w:iCs/>
        </w:rPr>
        <w:t>Absa Bank Ltd v Fouche</w:t>
      </w:r>
      <w:r w:rsidRPr="00F40AAF">
        <w:rPr>
          <w:rFonts w:ascii="Arial" w:hAnsi="Arial" w:cs="Arial"/>
          <w:iCs/>
        </w:rPr>
        <w:t xml:space="preserve"> </w:t>
      </w:r>
      <w:r w:rsidRPr="00F40AAF">
        <w:rPr>
          <w:rFonts w:ascii="Arial" w:hAnsi="Arial" w:cs="Arial"/>
        </w:rPr>
        <w:t>2003 (1) SA 176 (SCA) para 5).”</w:t>
      </w:r>
      <w:r w:rsidRPr="00F40AAF">
        <w:rPr>
          <w:rStyle w:val="FootnoteReference"/>
          <w:rFonts w:ascii="Arial" w:hAnsi="Arial" w:cs="Arial"/>
        </w:rPr>
        <w:footnoteReference w:id="21"/>
      </w:r>
      <w:r w:rsidRPr="00F40AAF">
        <w:rPr>
          <w:rFonts w:ascii="Arial" w:hAnsi="Arial" w:cs="Arial"/>
        </w:rPr>
        <w:t xml:space="preserve"> (own emphasis added)</w:t>
      </w:r>
    </w:p>
    <w:p w:rsidR="00850C7C" w:rsidRDefault="00850C7C" w:rsidP="00F40AAF">
      <w:pPr>
        <w:pStyle w:val="ListParagraph"/>
        <w:spacing w:line="240" w:lineRule="auto"/>
        <w:ind w:left="567"/>
        <w:jc w:val="both"/>
        <w:rPr>
          <w:rFonts w:ascii="Times New Roman" w:hAnsi="Times New Roman" w:cs="Times New Roman"/>
        </w:rPr>
      </w:pPr>
    </w:p>
    <w:p w:rsidR="00850C7C" w:rsidRPr="00FE712F" w:rsidRDefault="00FE712F" w:rsidP="00FE712F">
      <w:pPr>
        <w:spacing w:after="0" w:line="480" w:lineRule="auto"/>
        <w:jc w:val="both"/>
        <w:rPr>
          <w:rFonts w:ascii="Arial" w:hAnsi="Arial" w:cs="Arial"/>
          <w:sz w:val="24"/>
          <w:szCs w:val="24"/>
        </w:rPr>
      </w:pPr>
      <w:r w:rsidRPr="00F40AAF">
        <w:rPr>
          <w:rFonts w:ascii="Arial" w:hAnsi="Arial" w:cs="Arial"/>
          <w:sz w:val="24"/>
          <w:szCs w:val="24"/>
        </w:rPr>
        <w:t>[27]</w:t>
      </w:r>
      <w:r w:rsidRPr="00F40AAF">
        <w:rPr>
          <w:rFonts w:ascii="Arial" w:hAnsi="Arial" w:cs="Arial"/>
          <w:sz w:val="24"/>
          <w:szCs w:val="24"/>
        </w:rPr>
        <w:tab/>
      </w:r>
      <w:r w:rsidR="00850C7C" w:rsidRPr="00FE712F">
        <w:rPr>
          <w:rFonts w:ascii="Arial" w:hAnsi="Arial" w:cs="Arial"/>
          <w:sz w:val="24"/>
          <w:szCs w:val="24"/>
        </w:rPr>
        <w:t>The court held further:</w:t>
      </w:r>
    </w:p>
    <w:p w:rsidR="00850C7C" w:rsidRPr="00F40AAF" w:rsidRDefault="00BF7A99" w:rsidP="00F40AAF">
      <w:pPr>
        <w:pStyle w:val="ListParagraph"/>
        <w:spacing w:line="240" w:lineRule="auto"/>
        <w:ind w:left="567"/>
        <w:jc w:val="both"/>
        <w:rPr>
          <w:rFonts w:ascii="Arial" w:hAnsi="Arial" w:cs="Arial"/>
        </w:rPr>
      </w:pPr>
      <w:r>
        <w:rPr>
          <w:rFonts w:ascii="Arial" w:hAnsi="Arial" w:cs="Arial"/>
        </w:rPr>
        <w:t>“</w:t>
      </w:r>
      <w:r w:rsidR="00850C7C" w:rsidRPr="00F40AAF">
        <w:rPr>
          <w:rFonts w:ascii="Arial" w:hAnsi="Arial" w:cs="Arial"/>
        </w:rPr>
        <w:t xml:space="preserve">At best … the brochure was in this respect unclear. There is in my opinion an important difference between making a statement which the reasonable reader would understand as meaning X; a statement which the reasonable reader would understand as meaning Y; and a statement which would leave the reasonable reader uncertain whether the meaning was X or Y. The first and second would be statements of known content which might be true or untrue; the third would be a statement of unclear content, and in such a case it cannot be said that the maker was making statement X or that he was making statement Y at the election of the reader, </w:t>
      </w:r>
      <w:r w:rsidR="00850C7C" w:rsidRPr="00F40AAF">
        <w:rPr>
          <w:rFonts w:ascii="Arial" w:hAnsi="Arial" w:cs="Arial"/>
          <w:u w:val="single"/>
        </w:rPr>
        <w:t>because in the posited circumstances the reasonable reader would seek clarification.</w:t>
      </w:r>
      <w:r w:rsidR="00850C7C" w:rsidRPr="00F40AAF">
        <w:rPr>
          <w:rFonts w:ascii="Arial" w:hAnsi="Arial" w:cs="Arial"/>
        </w:rPr>
        <w:t xml:space="preserve"> </w:t>
      </w:r>
      <w:r w:rsidR="00850C7C" w:rsidRPr="00F40AAF">
        <w:rPr>
          <w:rFonts w:ascii="Arial" w:hAnsi="Arial" w:cs="Arial"/>
          <w:u w:val="single"/>
        </w:rPr>
        <w:t>In the present matter, if the statements in the brochure did not in their context clearly convey that what had been approved … the statements were at best for Dormell unclear to the reasonable reader</w:t>
      </w:r>
      <w:r w:rsidR="00850C7C" w:rsidRPr="00F40AAF">
        <w:rPr>
          <w:rFonts w:ascii="Arial" w:hAnsi="Arial" w:cs="Arial"/>
        </w:rPr>
        <w:t xml:space="preserve"> …. </w:t>
      </w:r>
      <w:r w:rsidR="00850C7C" w:rsidRPr="00F40AAF">
        <w:rPr>
          <w:rFonts w:ascii="Arial" w:hAnsi="Arial" w:cs="Arial"/>
          <w:u w:val="single"/>
        </w:rPr>
        <w:t xml:space="preserve">A reasonable reader to whom this question was important would have made enquiry to clarify the matter. </w:t>
      </w:r>
      <w:r w:rsidR="00850C7C" w:rsidRPr="00F40AAF">
        <w:rPr>
          <w:rFonts w:ascii="Arial" w:hAnsi="Arial" w:cs="Arial"/>
        </w:rPr>
        <w:t>The fact that subjectively a particular reader latched onto one meaning which the reasonable reader would not have taken as the clear import of the statement is not relevant at the stage of determining whether a misrepresentation has been made.</w:t>
      </w:r>
      <w:r>
        <w:rPr>
          <w:rFonts w:ascii="Arial" w:hAnsi="Arial" w:cs="Arial"/>
        </w:rPr>
        <w:t>”</w:t>
      </w:r>
      <w:r w:rsidR="00850C7C" w:rsidRPr="00F40AAF">
        <w:rPr>
          <w:rStyle w:val="FootnoteReference"/>
          <w:rFonts w:ascii="Arial" w:hAnsi="Arial" w:cs="Arial"/>
        </w:rPr>
        <w:footnoteReference w:id="22"/>
      </w:r>
      <w:r w:rsidR="00850C7C" w:rsidRPr="00F40AAF">
        <w:rPr>
          <w:rFonts w:ascii="Arial" w:hAnsi="Arial" w:cs="Arial"/>
        </w:rPr>
        <w:t xml:space="preserve"> (own emphasis added)</w:t>
      </w:r>
    </w:p>
    <w:p w:rsidR="00850C7C" w:rsidRDefault="00850C7C" w:rsidP="00F40AAF">
      <w:pPr>
        <w:spacing w:after="0" w:line="240" w:lineRule="auto"/>
        <w:jc w:val="both"/>
        <w:rPr>
          <w:rFonts w:ascii="Times New Roman" w:hAnsi="Times New Roman" w:cs="Times New Roman"/>
          <w:sz w:val="26"/>
          <w:szCs w:val="26"/>
        </w:rPr>
      </w:pPr>
    </w:p>
    <w:p w:rsidR="00850C7C" w:rsidRPr="00FE712F" w:rsidRDefault="00FE712F" w:rsidP="00FE712F">
      <w:pPr>
        <w:spacing w:after="0" w:line="480" w:lineRule="auto"/>
        <w:jc w:val="both"/>
        <w:rPr>
          <w:rFonts w:ascii="Arial" w:hAnsi="Arial" w:cs="Arial"/>
          <w:sz w:val="24"/>
          <w:szCs w:val="24"/>
        </w:rPr>
      </w:pPr>
      <w:r w:rsidRPr="009356C0">
        <w:rPr>
          <w:rFonts w:ascii="Arial" w:hAnsi="Arial" w:cs="Arial"/>
          <w:sz w:val="24"/>
          <w:szCs w:val="24"/>
        </w:rPr>
        <w:lastRenderedPageBreak/>
        <w:t>[28]</w:t>
      </w:r>
      <w:r w:rsidRPr="009356C0">
        <w:rPr>
          <w:rFonts w:ascii="Arial" w:hAnsi="Arial" w:cs="Arial"/>
          <w:sz w:val="24"/>
          <w:szCs w:val="24"/>
        </w:rPr>
        <w:tab/>
      </w:r>
      <w:r w:rsidR="003B33DD" w:rsidRPr="00FE712F">
        <w:rPr>
          <w:rFonts w:ascii="Arial" w:hAnsi="Arial" w:cs="Arial"/>
          <w:sz w:val="24"/>
          <w:szCs w:val="24"/>
        </w:rPr>
        <w:t xml:space="preserve">The </w:t>
      </w:r>
      <w:r w:rsidR="009356C0" w:rsidRPr="00FE712F">
        <w:rPr>
          <w:rFonts w:ascii="Arial" w:hAnsi="Arial" w:cs="Arial"/>
          <w:sz w:val="24"/>
          <w:szCs w:val="24"/>
        </w:rPr>
        <w:t>purchaser</w:t>
      </w:r>
      <w:r w:rsidR="003B33DD" w:rsidRPr="00FE712F">
        <w:rPr>
          <w:rFonts w:ascii="Arial" w:hAnsi="Arial" w:cs="Arial"/>
          <w:sz w:val="24"/>
          <w:szCs w:val="24"/>
        </w:rPr>
        <w:t xml:space="preserve"> submitted</w:t>
      </w:r>
      <w:r w:rsidR="00850C7C" w:rsidRPr="00FE712F">
        <w:rPr>
          <w:rFonts w:ascii="Arial" w:hAnsi="Arial" w:cs="Arial"/>
          <w:sz w:val="24"/>
          <w:szCs w:val="24"/>
        </w:rPr>
        <w:t xml:space="preserve"> that the language of clause 20.1 caused him to draw an inference that there were, in fact, no caveats but rather, the </w:t>
      </w:r>
      <w:r w:rsidR="009356C0" w:rsidRPr="00FE712F">
        <w:rPr>
          <w:rFonts w:ascii="Arial" w:hAnsi="Arial" w:cs="Arial"/>
          <w:sz w:val="24"/>
          <w:szCs w:val="24"/>
        </w:rPr>
        <w:t>seller</w:t>
      </w:r>
      <w:r w:rsidR="00850C7C" w:rsidRPr="00FE712F">
        <w:rPr>
          <w:rFonts w:ascii="Arial" w:hAnsi="Arial" w:cs="Arial"/>
          <w:sz w:val="24"/>
          <w:szCs w:val="24"/>
        </w:rPr>
        <w:t xml:space="preserve"> simply added the clause for the sake of being thorough.</w:t>
      </w:r>
      <w:r w:rsidR="00850C7C" w:rsidRPr="003B33DD">
        <w:rPr>
          <w:rStyle w:val="FootnoteReference"/>
          <w:rFonts w:ascii="Arial" w:hAnsi="Arial" w:cs="Arial"/>
          <w:sz w:val="24"/>
          <w:szCs w:val="24"/>
        </w:rPr>
        <w:footnoteReference w:id="23"/>
      </w:r>
      <w:r w:rsidR="00850C7C" w:rsidRPr="00FE712F">
        <w:rPr>
          <w:rFonts w:ascii="Arial" w:hAnsi="Arial" w:cs="Arial"/>
          <w:sz w:val="24"/>
          <w:szCs w:val="24"/>
        </w:rPr>
        <w:t xml:space="preserve"> The </w:t>
      </w:r>
      <w:r w:rsidR="009356C0" w:rsidRPr="00FE712F">
        <w:rPr>
          <w:rFonts w:ascii="Arial" w:hAnsi="Arial" w:cs="Arial"/>
          <w:sz w:val="24"/>
          <w:szCs w:val="24"/>
        </w:rPr>
        <w:t>purchaser</w:t>
      </w:r>
      <w:r w:rsidR="00850C7C" w:rsidRPr="00FE712F">
        <w:rPr>
          <w:rFonts w:ascii="Arial" w:hAnsi="Arial" w:cs="Arial"/>
          <w:sz w:val="24"/>
          <w:szCs w:val="24"/>
        </w:rPr>
        <w:t xml:space="preserve"> submits further:</w:t>
      </w:r>
    </w:p>
    <w:p w:rsidR="00850C7C" w:rsidRPr="00F40AAF" w:rsidRDefault="00850C7C" w:rsidP="00F40AAF">
      <w:pPr>
        <w:spacing w:line="240" w:lineRule="auto"/>
        <w:ind w:left="567"/>
        <w:jc w:val="both"/>
        <w:rPr>
          <w:rFonts w:ascii="Arial" w:hAnsi="Arial" w:cs="Arial"/>
        </w:rPr>
      </w:pPr>
      <w:r w:rsidRPr="00F40AAF">
        <w:rPr>
          <w:rFonts w:ascii="Arial" w:hAnsi="Arial" w:cs="Arial"/>
        </w:rPr>
        <w:t xml:space="preserve">“The signed offer to purchase did not record the existence of any Caveat on the immovable property, instead, the Applicant stated as follows: </w:t>
      </w:r>
    </w:p>
    <w:p w:rsidR="00850C7C" w:rsidRPr="00F40AAF" w:rsidRDefault="00850C7C" w:rsidP="00F40AAF">
      <w:pPr>
        <w:spacing w:line="240" w:lineRule="auto"/>
        <w:ind w:left="567"/>
        <w:jc w:val="both"/>
        <w:rPr>
          <w:rFonts w:ascii="Arial" w:hAnsi="Arial" w:cs="Arial"/>
        </w:rPr>
      </w:pPr>
      <w:r w:rsidRPr="00F40AAF">
        <w:rPr>
          <w:rFonts w:ascii="Arial" w:hAnsi="Arial" w:cs="Arial"/>
        </w:rPr>
        <w:t xml:space="preserve">The Seller shall remove all caveats that </w:t>
      </w:r>
      <w:r w:rsidRPr="00F40AAF">
        <w:rPr>
          <w:rFonts w:ascii="Arial" w:hAnsi="Arial" w:cs="Arial"/>
          <w:u w:val="single"/>
        </w:rPr>
        <w:t>may be placed on the property</w:t>
      </w:r>
      <w:r w:rsidRPr="00F40AAF">
        <w:rPr>
          <w:rFonts w:ascii="Arial" w:hAnsi="Arial" w:cs="Arial"/>
        </w:rPr>
        <w:t xml:space="preserve"> and facilitate the transfer process.</w:t>
      </w:r>
    </w:p>
    <w:p w:rsidR="00850C7C" w:rsidRPr="00F40AAF" w:rsidRDefault="00850C7C" w:rsidP="00F40AAF">
      <w:pPr>
        <w:spacing w:line="240" w:lineRule="auto"/>
        <w:ind w:left="567"/>
        <w:jc w:val="both"/>
        <w:rPr>
          <w:rFonts w:ascii="Arial" w:hAnsi="Arial" w:cs="Arial"/>
        </w:rPr>
      </w:pPr>
      <w:r w:rsidRPr="00F40AAF">
        <w:rPr>
          <w:rFonts w:ascii="Arial" w:hAnsi="Arial" w:cs="Arial"/>
        </w:rPr>
        <w:t>The non-committal construct of the above underlined statement negates questions that ordinarily follow in the event of the positive statement that:</w:t>
      </w:r>
    </w:p>
    <w:p w:rsidR="00850C7C" w:rsidRPr="00F40AAF" w:rsidRDefault="00850C7C" w:rsidP="00F40AAF">
      <w:pPr>
        <w:spacing w:line="240" w:lineRule="auto"/>
        <w:ind w:left="567"/>
        <w:jc w:val="both"/>
        <w:rPr>
          <w:rFonts w:ascii="Arial" w:hAnsi="Arial" w:cs="Arial"/>
        </w:rPr>
      </w:pPr>
      <w:r w:rsidRPr="00F40AAF">
        <w:rPr>
          <w:rFonts w:ascii="Arial" w:hAnsi="Arial" w:cs="Arial"/>
        </w:rPr>
        <w:t xml:space="preserve">The Seller </w:t>
      </w:r>
      <w:r w:rsidRPr="00F40AAF">
        <w:rPr>
          <w:rFonts w:ascii="Arial" w:hAnsi="Arial" w:cs="Arial"/>
          <w:u w:val="single"/>
        </w:rPr>
        <w:t>shall remove all caveats</w:t>
      </w:r>
      <w:r w:rsidRPr="00F40AAF">
        <w:rPr>
          <w:rFonts w:ascii="Arial" w:hAnsi="Arial" w:cs="Arial"/>
        </w:rPr>
        <w:t xml:space="preserve"> on the property and facilitate the transfer process.”</w:t>
      </w:r>
      <w:r w:rsidRPr="00F40AAF">
        <w:rPr>
          <w:rStyle w:val="FootnoteReference"/>
          <w:rFonts w:ascii="Arial" w:hAnsi="Arial" w:cs="Arial"/>
        </w:rPr>
        <w:footnoteReference w:id="24"/>
      </w:r>
    </w:p>
    <w:p w:rsidR="00BF7A99" w:rsidRPr="00F40AAF" w:rsidRDefault="00BF7A99" w:rsidP="00F40AAF">
      <w:pPr>
        <w:spacing w:line="240" w:lineRule="auto"/>
        <w:ind w:left="567"/>
        <w:jc w:val="both"/>
        <w:rPr>
          <w:rFonts w:ascii="Arial" w:hAnsi="Arial" w:cs="Arial"/>
          <w:i/>
        </w:rPr>
      </w:pPr>
    </w:p>
    <w:p w:rsidR="00850C7C" w:rsidRPr="00FE712F" w:rsidRDefault="00FE712F" w:rsidP="00FE712F">
      <w:pPr>
        <w:spacing w:after="0" w:line="480" w:lineRule="auto"/>
        <w:jc w:val="both"/>
        <w:rPr>
          <w:rFonts w:ascii="Arial" w:hAnsi="Arial" w:cs="Arial"/>
          <w:sz w:val="24"/>
          <w:szCs w:val="24"/>
        </w:rPr>
      </w:pPr>
      <w:r w:rsidRPr="00F40AAF">
        <w:rPr>
          <w:rFonts w:ascii="Arial" w:hAnsi="Arial" w:cs="Arial"/>
          <w:sz w:val="24"/>
          <w:szCs w:val="24"/>
        </w:rPr>
        <w:t>[29]</w:t>
      </w:r>
      <w:r w:rsidRPr="00F40AAF">
        <w:rPr>
          <w:rFonts w:ascii="Arial" w:hAnsi="Arial" w:cs="Arial"/>
          <w:sz w:val="24"/>
          <w:szCs w:val="24"/>
        </w:rPr>
        <w:tab/>
      </w:r>
      <w:r w:rsidR="00850C7C" w:rsidRPr="00FE712F">
        <w:rPr>
          <w:rFonts w:ascii="Arial" w:hAnsi="Arial" w:cs="Arial"/>
          <w:sz w:val="24"/>
          <w:szCs w:val="24"/>
        </w:rPr>
        <w:t xml:space="preserve">The </w:t>
      </w:r>
      <w:r w:rsidR="009356C0" w:rsidRPr="00FE712F">
        <w:rPr>
          <w:rFonts w:ascii="Arial" w:hAnsi="Arial" w:cs="Arial"/>
          <w:sz w:val="24"/>
          <w:szCs w:val="24"/>
        </w:rPr>
        <w:t>purchaser</w:t>
      </w:r>
      <w:r w:rsidR="00850C7C" w:rsidRPr="00FE712F">
        <w:rPr>
          <w:rFonts w:ascii="Arial" w:hAnsi="Arial" w:cs="Arial"/>
          <w:sz w:val="24"/>
          <w:szCs w:val="24"/>
        </w:rPr>
        <w:t xml:space="preserve"> submits that had the </w:t>
      </w:r>
      <w:r w:rsidR="009356C0" w:rsidRPr="00FE712F">
        <w:rPr>
          <w:rFonts w:ascii="Arial" w:hAnsi="Arial" w:cs="Arial"/>
          <w:sz w:val="24"/>
          <w:szCs w:val="24"/>
        </w:rPr>
        <w:t>seller</w:t>
      </w:r>
      <w:r w:rsidR="00850C7C" w:rsidRPr="00FE712F">
        <w:rPr>
          <w:rFonts w:ascii="Arial" w:hAnsi="Arial" w:cs="Arial"/>
          <w:sz w:val="24"/>
          <w:szCs w:val="24"/>
        </w:rPr>
        <w:t xml:space="preserve"> phrased the clause as a positive statement, he would have followed up with questions relating to the nature of the caveat. However, this explanation does not appear plausible. Clause 20.1 is, at best, unclear - as was articulated by the court in </w:t>
      </w:r>
      <w:r w:rsidR="00850C7C" w:rsidRPr="00FE712F">
        <w:rPr>
          <w:rFonts w:ascii="Arial" w:hAnsi="Arial" w:cs="Arial"/>
          <w:i/>
          <w:sz w:val="24"/>
          <w:szCs w:val="24"/>
        </w:rPr>
        <w:t>Dormell</w:t>
      </w:r>
      <w:r w:rsidR="00850C7C" w:rsidRPr="00FE712F">
        <w:rPr>
          <w:rFonts w:ascii="Arial" w:hAnsi="Arial" w:cs="Arial"/>
          <w:sz w:val="24"/>
          <w:szCs w:val="24"/>
        </w:rPr>
        <w:t xml:space="preserve">. The </w:t>
      </w:r>
      <w:r w:rsidR="009356C0" w:rsidRPr="00FE712F">
        <w:rPr>
          <w:rFonts w:ascii="Arial" w:hAnsi="Arial" w:cs="Arial"/>
          <w:sz w:val="24"/>
          <w:szCs w:val="24"/>
        </w:rPr>
        <w:t>seller</w:t>
      </w:r>
      <w:r w:rsidR="00850C7C" w:rsidRPr="00FE712F">
        <w:rPr>
          <w:rFonts w:ascii="Arial" w:hAnsi="Arial" w:cs="Arial"/>
          <w:sz w:val="24"/>
          <w:szCs w:val="24"/>
        </w:rPr>
        <w:t xml:space="preserve"> had intentionally penned the clause in at the end and the </w:t>
      </w:r>
      <w:r w:rsidR="009356C0" w:rsidRPr="00FE712F">
        <w:rPr>
          <w:rFonts w:ascii="Arial" w:hAnsi="Arial" w:cs="Arial"/>
          <w:sz w:val="24"/>
          <w:szCs w:val="24"/>
        </w:rPr>
        <w:t>purchaser</w:t>
      </w:r>
      <w:r w:rsidR="00850C7C" w:rsidRPr="00FE712F">
        <w:rPr>
          <w:rFonts w:ascii="Arial" w:hAnsi="Arial" w:cs="Arial"/>
          <w:sz w:val="24"/>
          <w:szCs w:val="24"/>
        </w:rPr>
        <w:t xml:space="preserve">, as an interested party, should have questioned why this was so regardless of the wording. The purchase of the property was going to cost the </w:t>
      </w:r>
      <w:r w:rsidR="009356C0" w:rsidRPr="00FE712F">
        <w:rPr>
          <w:rFonts w:ascii="Arial" w:hAnsi="Arial" w:cs="Arial"/>
          <w:sz w:val="24"/>
          <w:szCs w:val="24"/>
        </w:rPr>
        <w:t>purchaser</w:t>
      </w:r>
      <w:r w:rsidR="00850C7C" w:rsidRPr="00FE712F">
        <w:rPr>
          <w:rFonts w:ascii="Arial" w:hAnsi="Arial" w:cs="Arial"/>
          <w:sz w:val="24"/>
          <w:szCs w:val="24"/>
        </w:rPr>
        <w:t xml:space="preserve"> a substantial amount of money and as such, required a certain amount of due diligence from </w:t>
      </w:r>
      <w:r w:rsidR="009356C0" w:rsidRPr="00FE712F">
        <w:rPr>
          <w:rFonts w:ascii="Arial" w:hAnsi="Arial" w:cs="Arial"/>
          <w:sz w:val="24"/>
          <w:szCs w:val="24"/>
        </w:rPr>
        <w:t>him</w:t>
      </w:r>
      <w:r w:rsidR="00850C7C" w:rsidRPr="00FE712F">
        <w:rPr>
          <w:rFonts w:ascii="Arial" w:hAnsi="Arial" w:cs="Arial"/>
          <w:sz w:val="24"/>
          <w:szCs w:val="24"/>
        </w:rPr>
        <w:t xml:space="preserve">. A reasonable person in the position of the </w:t>
      </w:r>
      <w:r w:rsidR="009356C0" w:rsidRPr="00FE712F">
        <w:rPr>
          <w:rFonts w:ascii="Arial" w:hAnsi="Arial" w:cs="Arial"/>
          <w:sz w:val="24"/>
          <w:szCs w:val="24"/>
        </w:rPr>
        <w:t>purchaser</w:t>
      </w:r>
      <w:r w:rsidR="00850C7C" w:rsidRPr="00FE712F">
        <w:rPr>
          <w:rFonts w:ascii="Arial" w:hAnsi="Arial" w:cs="Arial"/>
          <w:sz w:val="24"/>
          <w:szCs w:val="24"/>
        </w:rPr>
        <w:t xml:space="preserve"> would have sought clarity on the clause to ensure that there were no issues pertaining to the title of the property and to further ensure that there were no caveats on the title. A reasonable person, with as much investment in the matter as the first respondent, would have certainly questioned why the </w:t>
      </w:r>
      <w:r w:rsidR="009356C0" w:rsidRPr="00FE712F">
        <w:rPr>
          <w:rFonts w:ascii="Arial" w:hAnsi="Arial" w:cs="Arial"/>
          <w:sz w:val="24"/>
          <w:szCs w:val="24"/>
        </w:rPr>
        <w:t>seller</w:t>
      </w:r>
      <w:r w:rsidR="00850C7C" w:rsidRPr="00FE712F">
        <w:rPr>
          <w:rFonts w:ascii="Arial" w:hAnsi="Arial" w:cs="Arial"/>
          <w:sz w:val="24"/>
          <w:szCs w:val="24"/>
        </w:rPr>
        <w:t xml:space="preserve"> had specifically added that particular clause into the agreement.</w:t>
      </w:r>
    </w:p>
    <w:p w:rsidR="00BF7A99" w:rsidRDefault="00BF7A99" w:rsidP="00F40AAF">
      <w:pPr>
        <w:spacing w:line="240" w:lineRule="auto"/>
        <w:jc w:val="both"/>
        <w:rPr>
          <w:rFonts w:ascii="Arial" w:hAnsi="Arial" w:cs="Arial"/>
          <w:b/>
          <w:sz w:val="24"/>
          <w:szCs w:val="24"/>
        </w:rPr>
      </w:pPr>
    </w:p>
    <w:p w:rsidR="009356C0" w:rsidRDefault="00850C7C" w:rsidP="009356C0">
      <w:pPr>
        <w:spacing w:line="360" w:lineRule="auto"/>
        <w:jc w:val="both"/>
        <w:rPr>
          <w:rFonts w:ascii="Arial" w:hAnsi="Arial" w:cs="Arial"/>
          <w:b/>
          <w:sz w:val="24"/>
          <w:szCs w:val="24"/>
        </w:rPr>
      </w:pPr>
      <w:r w:rsidRPr="002A4A94">
        <w:rPr>
          <w:rFonts w:ascii="Arial" w:hAnsi="Arial" w:cs="Arial"/>
          <w:b/>
          <w:sz w:val="24"/>
          <w:szCs w:val="24"/>
        </w:rPr>
        <w:t>Materiality of the non-disclosed facts</w:t>
      </w:r>
    </w:p>
    <w:p w:rsidR="00850C7C" w:rsidRPr="00FE712F" w:rsidRDefault="00FE712F" w:rsidP="00FE712F">
      <w:pPr>
        <w:spacing w:after="0" w:line="480" w:lineRule="auto"/>
        <w:jc w:val="both"/>
        <w:rPr>
          <w:rFonts w:ascii="Arial" w:hAnsi="Arial" w:cs="Arial"/>
          <w:b/>
          <w:sz w:val="24"/>
          <w:szCs w:val="24"/>
        </w:rPr>
      </w:pPr>
      <w:r w:rsidRPr="009356C0">
        <w:rPr>
          <w:rFonts w:ascii="Arial" w:hAnsi="Arial" w:cs="Arial"/>
          <w:sz w:val="24"/>
          <w:szCs w:val="24"/>
        </w:rPr>
        <w:lastRenderedPageBreak/>
        <w:t>[30]</w:t>
      </w:r>
      <w:r w:rsidRPr="009356C0">
        <w:rPr>
          <w:rFonts w:ascii="Arial" w:hAnsi="Arial" w:cs="Arial"/>
          <w:sz w:val="24"/>
          <w:szCs w:val="24"/>
        </w:rPr>
        <w:tab/>
      </w:r>
      <w:r w:rsidR="00850C7C" w:rsidRPr="00FE712F">
        <w:rPr>
          <w:rFonts w:ascii="Arial" w:hAnsi="Arial" w:cs="Arial"/>
          <w:sz w:val="24"/>
          <w:szCs w:val="24"/>
        </w:rPr>
        <w:t xml:space="preserve">Even if I am wrong in deciding that there was no duty on the </w:t>
      </w:r>
      <w:r w:rsidR="00557A1F" w:rsidRPr="00FE712F">
        <w:rPr>
          <w:rFonts w:ascii="Arial" w:hAnsi="Arial" w:cs="Arial"/>
          <w:sz w:val="24"/>
          <w:szCs w:val="24"/>
        </w:rPr>
        <w:t xml:space="preserve">seller </w:t>
      </w:r>
      <w:r w:rsidR="00850C7C" w:rsidRPr="00FE712F">
        <w:rPr>
          <w:rFonts w:ascii="Arial" w:hAnsi="Arial" w:cs="Arial"/>
          <w:sz w:val="24"/>
          <w:szCs w:val="24"/>
        </w:rPr>
        <w:t>to disclose</w:t>
      </w:r>
      <w:r w:rsidR="002C7D5B" w:rsidRPr="00FE712F">
        <w:rPr>
          <w:rFonts w:ascii="Arial" w:hAnsi="Arial" w:cs="Arial"/>
          <w:sz w:val="24"/>
          <w:szCs w:val="24"/>
        </w:rPr>
        <w:t xml:space="preserve"> the precise nature of the caveat</w:t>
      </w:r>
      <w:r w:rsidR="00850C7C" w:rsidRPr="00FE712F">
        <w:rPr>
          <w:rFonts w:ascii="Arial" w:hAnsi="Arial" w:cs="Arial"/>
          <w:sz w:val="24"/>
          <w:szCs w:val="24"/>
        </w:rPr>
        <w:t>, the failure to disclose these facts would still have to qualify as material in order to affect the validity of the contract.</w:t>
      </w:r>
    </w:p>
    <w:p w:rsidR="00850C7C" w:rsidRDefault="00850C7C" w:rsidP="00850C7C">
      <w:pPr>
        <w:pStyle w:val="ListParagraph"/>
        <w:spacing w:line="360" w:lineRule="auto"/>
        <w:ind w:left="567"/>
        <w:jc w:val="both"/>
        <w:rPr>
          <w:rFonts w:ascii="Times New Roman" w:hAnsi="Times New Roman" w:cs="Times New Roman"/>
          <w:sz w:val="26"/>
          <w:szCs w:val="26"/>
        </w:rPr>
      </w:pPr>
    </w:p>
    <w:p w:rsidR="00850C7C" w:rsidRPr="00FE712F" w:rsidRDefault="00FE712F" w:rsidP="00FE712F">
      <w:pPr>
        <w:spacing w:after="0" w:line="480" w:lineRule="auto"/>
        <w:jc w:val="both"/>
        <w:rPr>
          <w:rFonts w:ascii="Arial" w:hAnsi="Arial" w:cs="Arial"/>
          <w:sz w:val="24"/>
          <w:szCs w:val="24"/>
        </w:rPr>
      </w:pPr>
      <w:r w:rsidRPr="00F40AAF">
        <w:rPr>
          <w:rFonts w:ascii="Arial" w:hAnsi="Arial" w:cs="Arial"/>
          <w:sz w:val="24"/>
          <w:szCs w:val="24"/>
        </w:rPr>
        <w:t>[31]</w:t>
      </w:r>
      <w:r w:rsidRPr="00F40AAF">
        <w:rPr>
          <w:rFonts w:ascii="Arial" w:hAnsi="Arial" w:cs="Arial"/>
          <w:sz w:val="24"/>
          <w:szCs w:val="24"/>
        </w:rPr>
        <w:tab/>
      </w:r>
      <w:r w:rsidR="00850C7C" w:rsidRPr="00FE712F">
        <w:rPr>
          <w:rFonts w:ascii="Arial" w:hAnsi="Arial" w:cs="Arial"/>
          <w:sz w:val="24"/>
          <w:szCs w:val="24"/>
        </w:rPr>
        <w:t>As enunciated in LAWSA:</w:t>
      </w:r>
    </w:p>
    <w:p w:rsidR="00850C7C" w:rsidRPr="00F40AAF" w:rsidRDefault="00850C7C" w:rsidP="00F40AAF">
      <w:pPr>
        <w:spacing w:line="240" w:lineRule="auto"/>
        <w:ind w:left="567"/>
        <w:jc w:val="both"/>
        <w:rPr>
          <w:rFonts w:ascii="Arial" w:hAnsi="Arial" w:cs="Arial"/>
        </w:rPr>
      </w:pPr>
      <w:r w:rsidRPr="00F40AAF">
        <w:rPr>
          <w:rFonts w:ascii="Arial" w:hAnsi="Arial" w:cs="Arial"/>
        </w:rPr>
        <w:t>“A misrepresentation (or nondisclosure), to give rise to a claim for rescission, must relate to a material fact. The courts have not always formulated the requirement of materiality in precisely the same way but the test would appear to be essentially whether the statement would have induced a reasonable person to enter into the contract in issue (or, in the case of nondisclosure, whether disclosure of the relevant information would have persuaded a reasonable person not to enter into the contract). However, the desirability of applying an objective test where the representor has been dishonest or fraudulent has been questioned, and lately it has been held that the test to be applied in such cases is subjective: namely, whether the representee actually believed the representation.”</w:t>
      </w:r>
      <w:r w:rsidRPr="00F40AAF">
        <w:rPr>
          <w:rStyle w:val="FootnoteReference"/>
          <w:rFonts w:ascii="Arial" w:hAnsi="Arial" w:cs="Arial"/>
        </w:rPr>
        <w:footnoteReference w:id="25"/>
      </w:r>
    </w:p>
    <w:p w:rsidR="00850C7C" w:rsidRPr="00D85E3E" w:rsidRDefault="00850C7C" w:rsidP="00850C7C">
      <w:pPr>
        <w:pStyle w:val="ListParagraph"/>
        <w:rPr>
          <w:rFonts w:ascii="Times New Roman" w:hAnsi="Times New Roman" w:cs="Times New Roman"/>
          <w:sz w:val="26"/>
          <w:szCs w:val="26"/>
        </w:rPr>
      </w:pPr>
    </w:p>
    <w:p w:rsidR="00850C7C" w:rsidRPr="00FE712F" w:rsidRDefault="00FE712F" w:rsidP="00FE712F">
      <w:pPr>
        <w:spacing w:after="0" w:line="480" w:lineRule="auto"/>
        <w:jc w:val="both"/>
        <w:rPr>
          <w:rFonts w:ascii="Arial" w:hAnsi="Arial" w:cs="Arial"/>
          <w:sz w:val="24"/>
          <w:szCs w:val="24"/>
        </w:rPr>
      </w:pPr>
      <w:r w:rsidRPr="009356C0">
        <w:rPr>
          <w:rFonts w:ascii="Arial" w:hAnsi="Arial" w:cs="Arial"/>
          <w:sz w:val="24"/>
          <w:szCs w:val="24"/>
        </w:rPr>
        <w:t>[32]</w:t>
      </w:r>
      <w:r w:rsidRPr="009356C0">
        <w:rPr>
          <w:rFonts w:ascii="Arial" w:hAnsi="Arial" w:cs="Arial"/>
          <w:sz w:val="24"/>
          <w:szCs w:val="24"/>
        </w:rPr>
        <w:tab/>
      </w:r>
      <w:r w:rsidR="00850C7C" w:rsidRPr="00FE712F">
        <w:rPr>
          <w:rFonts w:ascii="Arial" w:hAnsi="Arial" w:cs="Arial"/>
          <w:sz w:val="24"/>
          <w:szCs w:val="24"/>
        </w:rPr>
        <w:t xml:space="preserve">In applying the above test to the facts of the present matter, it would appear unlikely that the disclosure would persuade a reasonable person to not enter into the contract. The existence of the caveat did not affect the title deed nor does it prevent transfer from occurring. Furthermore, the </w:t>
      </w:r>
      <w:r w:rsidR="009356C0" w:rsidRPr="00FE712F">
        <w:rPr>
          <w:rFonts w:ascii="Arial" w:hAnsi="Arial" w:cs="Arial"/>
          <w:sz w:val="24"/>
          <w:szCs w:val="24"/>
        </w:rPr>
        <w:t xml:space="preserve">immovable </w:t>
      </w:r>
      <w:r w:rsidR="00850C7C" w:rsidRPr="00FE712F">
        <w:rPr>
          <w:rFonts w:ascii="Arial" w:hAnsi="Arial" w:cs="Arial"/>
          <w:sz w:val="24"/>
          <w:szCs w:val="24"/>
        </w:rPr>
        <w:t xml:space="preserve">property was </w:t>
      </w:r>
      <w:r w:rsidR="002C7D5B" w:rsidRPr="00FE712F">
        <w:rPr>
          <w:rFonts w:ascii="Arial" w:hAnsi="Arial" w:cs="Arial"/>
          <w:sz w:val="24"/>
          <w:szCs w:val="24"/>
        </w:rPr>
        <w:t xml:space="preserve">not </w:t>
      </w:r>
      <w:r w:rsidR="00850C7C" w:rsidRPr="00FE712F">
        <w:rPr>
          <w:rFonts w:ascii="Arial" w:hAnsi="Arial" w:cs="Arial"/>
          <w:sz w:val="24"/>
          <w:szCs w:val="24"/>
        </w:rPr>
        <w:t>the subject of an attempted hijacking and has never, in fact, been actually hijacked</w:t>
      </w:r>
      <w:r w:rsidR="00862B30" w:rsidRPr="00FE712F">
        <w:rPr>
          <w:rFonts w:ascii="Arial" w:hAnsi="Arial" w:cs="Arial"/>
          <w:sz w:val="24"/>
          <w:szCs w:val="24"/>
        </w:rPr>
        <w:t>. S</w:t>
      </w:r>
      <w:r w:rsidR="00850C7C" w:rsidRPr="00FE712F">
        <w:rPr>
          <w:rFonts w:ascii="Arial" w:hAnsi="Arial" w:cs="Arial"/>
          <w:sz w:val="24"/>
          <w:szCs w:val="24"/>
        </w:rPr>
        <w:t xml:space="preserve">o the consequences of buying a hijacked property will not be suffered by the </w:t>
      </w:r>
      <w:r w:rsidR="00864B38" w:rsidRPr="00FE712F">
        <w:rPr>
          <w:rFonts w:ascii="Arial" w:hAnsi="Arial" w:cs="Arial"/>
          <w:sz w:val="24"/>
          <w:szCs w:val="24"/>
        </w:rPr>
        <w:t>purchaser</w:t>
      </w:r>
      <w:r w:rsidR="00850C7C" w:rsidRPr="00FE712F">
        <w:rPr>
          <w:rFonts w:ascii="Arial" w:hAnsi="Arial" w:cs="Arial"/>
          <w:sz w:val="24"/>
          <w:szCs w:val="24"/>
        </w:rPr>
        <w:t xml:space="preserve">. As such, it could be argued that a reasonable man in the position of the </w:t>
      </w:r>
      <w:r w:rsidR="00864B38" w:rsidRPr="00FE712F">
        <w:rPr>
          <w:rFonts w:ascii="Arial" w:hAnsi="Arial" w:cs="Arial"/>
          <w:sz w:val="24"/>
          <w:szCs w:val="24"/>
        </w:rPr>
        <w:t>purchaser</w:t>
      </w:r>
      <w:r w:rsidR="00850C7C" w:rsidRPr="00FE712F">
        <w:rPr>
          <w:rFonts w:ascii="Arial" w:hAnsi="Arial" w:cs="Arial"/>
          <w:sz w:val="24"/>
          <w:szCs w:val="24"/>
        </w:rPr>
        <w:t xml:space="preserve"> would have proceeded with the sale. At worst, a reasonable man may have instituted a delictual claim against the applicant if he believed he suffered a financial loss during the negotiation of the purchase price however, it would appear unlikely that a reasonable man would attempt to rescind the contract entirely.</w:t>
      </w:r>
    </w:p>
    <w:p w:rsidR="00850C7C" w:rsidRPr="007359CC" w:rsidRDefault="00850C7C" w:rsidP="00850C7C">
      <w:pPr>
        <w:spacing w:after="0" w:line="360" w:lineRule="auto"/>
        <w:jc w:val="both"/>
        <w:rPr>
          <w:rFonts w:ascii="Arial" w:hAnsi="Arial" w:cs="Arial"/>
          <w:sz w:val="24"/>
          <w:szCs w:val="24"/>
        </w:rPr>
      </w:pPr>
    </w:p>
    <w:p w:rsidR="00850C7C" w:rsidRPr="00FE712F" w:rsidRDefault="00FE712F" w:rsidP="00FE712F">
      <w:pPr>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864B38" w:rsidRPr="00FE712F">
        <w:rPr>
          <w:rFonts w:ascii="Arial" w:hAnsi="Arial" w:cs="Arial"/>
          <w:sz w:val="24"/>
          <w:szCs w:val="24"/>
        </w:rPr>
        <w:t>For the aforegoing reasons the following order is made:</w:t>
      </w:r>
    </w:p>
    <w:p w:rsidR="004E77C2" w:rsidRPr="00FE712F" w:rsidRDefault="00FE712F" w:rsidP="00FE712F">
      <w:pPr>
        <w:spacing w:line="480" w:lineRule="auto"/>
        <w:ind w:left="1134" w:hanging="567"/>
        <w:jc w:val="both"/>
        <w:rPr>
          <w:rFonts w:cs="Arial"/>
        </w:rPr>
      </w:pPr>
      <w:r w:rsidRPr="00F40AAF">
        <w:rPr>
          <w:rFonts w:ascii="Arial" w:hAnsi="Arial" w:cs="Arial"/>
          <w:sz w:val="24"/>
          <w:szCs w:val="24"/>
        </w:rPr>
        <w:lastRenderedPageBreak/>
        <w:t>1.</w:t>
      </w:r>
      <w:r w:rsidRPr="00F40AAF">
        <w:rPr>
          <w:rFonts w:ascii="Arial" w:hAnsi="Arial" w:cs="Arial"/>
          <w:sz w:val="24"/>
          <w:szCs w:val="24"/>
        </w:rPr>
        <w:tab/>
      </w:r>
      <w:r w:rsidR="00864B38" w:rsidRPr="00FE712F">
        <w:rPr>
          <w:rFonts w:ascii="Arial" w:hAnsi="Arial" w:cs="Arial"/>
          <w:sz w:val="24"/>
          <w:szCs w:val="24"/>
        </w:rPr>
        <w:t>The first respondent is ordered to pay to the second respon</w:t>
      </w:r>
      <w:r w:rsidR="004E77C2" w:rsidRPr="00FE712F">
        <w:rPr>
          <w:rFonts w:ascii="Arial" w:hAnsi="Arial" w:cs="Arial"/>
          <w:sz w:val="24"/>
          <w:szCs w:val="24"/>
        </w:rPr>
        <w:t>dent, the amount of R 1,392,237.27 in respect of the registration of transfer of the immovable property known as Portion 4 of Erf 208 Sandhurst ("the immovable property"); and</w:t>
      </w:r>
    </w:p>
    <w:p w:rsidR="004E77C2" w:rsidRPr="00FE712F" w:rsidRDefault="00FE712F" w:rsidP="00FE712F">
      <w:pPr>
        <w:spacing w:line="480" w:lineRule="auto"/>
        <w:ind w:left="1134" w:hanging="567"/>
        <w:jc w:val="both"/>
        <w:rPr>
          <w:rFonts w:cs="Arial"/>
        </w:rPr>
      </w:pPr>
      <w:r w:rsidRPr="00F40AAF">
        <w:rPr>
          <w:rFonts w:ascii="Arial" w:hAnsi="Arial" w:cs="Arial"/>
          <w:sz w:val="24"/>
          <w:szCs w:val="24"/>
        </w:rPr>
        <w:t>2.</w:t>
      </w:r>
      <w:r w:rsidRPr="00F40AAF">
        <w:rPr>
          <w:rFonts w:ascii="Arial" w:hAnsi="Arial" w:cs="Arial"/>
          <w:sz w:val="24"/>
          <w:szCs w:val="24"/>
        </w:rPr>
        <w:tab/>
      </w:r>
      <w:r w:rsidR="004E77C2" w:rsidRPr="00FE712F">
        <w:rPr>
          <w:rFonts w:ascii="Arial" w:hAnsi="Arial" w:cs="Arial"/>
          <w:sz w:val="24"/>
          <w:szCs w:val="24"/>
        </w:rPr>
        <w:t xml:space="preserve">Sign any/all documentation required by the second respondent for the purposes of the registration of transfer of the immovable property into the name of the first </w:t>
      </w:r>
      <w:r w:rsidR="00557A1F" w:rsidRPr="00FE712F">
        <w:rPr>
          <w:rFonts w:ascii="Arial" w:hAnsi="Arial" w:cs="Arial"/>
          <w:sz w:val="24"/>
          <w:szCs w:val="24"/>
        </w:rPr>
        <w:t>respondent;</w:t>
      </w:r>
      <w:r w:rsidR="004E77C2" w:rsidRPr="00FE712F">
        <w:rPr>
          <w:rFonts w:ascii="Arial" w:hAnsi="Arial" w:cs="Arial"/>
          <w:sz w:val="24"/>
          <w:szCs w:val="24"/>
        </w:rPr>
        <w:t xml:space="preserve"> within 10 days of the handing down of this order.</w:t>
      </w:r>
    </w:p>
    <w:p w:rsidR="004E77C2" w:rsidRPr="00FE712F" w:rsidRDefault="00FE712F" w:rsidP="00FE712F">
      <w:pPr>
        <w:spacing w:line="480" w:lineRule="auto"/>
        <w:ind w:left="1134" w:hanging="567"/>
        <w:jc w:val="both"/>
        <w:rPr>
          <w:rFonts w:ascii="Arial" w:eastAsia="Arial" w:hAnsi="Arial" w:cs="Arial"/>
        </w:rPr>
      </w:pPr>
      <w:r w:rsidRPr="00AE322F">
        <w:rPr>
          <w:rFonts w:ascii="Arial" w:eastAsia="Arial" w:hAnsi="Arial" w:cs="Arial"/>
          <w:sz w:val="24"/>
          <w:szCs w:val="24"/>
        </w:rPr>
        <w:t>3.</w:t>
      </w:r>
      <w:r w:rsidRPr="00AE322F">
        <w:rPr>
          <w:rFonts w:ascii="Arial" w:eastAsia="Arial" w:hAnsi="Arial" w:cs="Arial"/>
          <w:sz w:val="24"/>
          <w:szCs w:val="24"/>
        </w:rPr>
        <w:tab/>
      </w:r>
      <w:r w:rsidR="004E77C2" w:rsidRPr="00FE712F">
        <w:rPr>
          <w:rFonts w:ascii="Arial" w:hAnsi="Arial" w:cs="Arial"/>
          <w:sz w:val="24"/>
          <w:szCs w:val="24"/>
        </w:rPr>
        <w:t>That failing</w:t>
      </w:r>
      <w:r w:rsidR="00AE322F" w:rsidRPr="00FE712F">
        <w:rPr>
          <w:rFonts w:ascii="Arial" w:hAnsi="Arial" w:cs="Arial"/>
          <w:sz w:val="24"/>
          <w:szCs w:val="24"/>
        </w:rPr>
        <w:t>,</w:t>
      </w:r>
      <w:r w:rsidR="004E77C2" w:rsidRPr="00FE712F">
        <w:rPr>
          <w:rFonts w:ascii="Arial" w:hAnsi="Arial" w:cs="Arial"/>
          <w:sz w:val="24"/>
          <w:szCs w:val="24"/>
        </w:rPr>
        <w:t xml:space="preserve"> the </w:t>
      </w:r>
      <w:r w:rsidR="00557A1F" w:rsidRPr="00FE712F">
        <w:rPr>
          <w:rFonts w:ascii="Arial" w:hAnsi="Arial" w:cs="Arial"/>
          <w:sz w:val="24"/>
          <w:szCs w:val="24"/>
        </w:rPr>
        <w:t>f</w:t>
      </w:r>
      <w:r w:rsidR="004E77C2" w:rsidRPr="00FE712F">
        <w:rPr>
          <w:rFonts w:ascii="Arial" w:hAnsi="Arial" w:cs="Arial"/>
          <w:sz w:val="24"/>
          <w:szCs w:val="24"/>
        </w:rPr>
        <w:t xml:space="preserve">irst </w:t>
      </w:r>
      <w:r w:rsidR="00557A1F" w:rsidRPr="00FE712F">
        <w:rPr>
          <w:rFonts w:ascii="Arial" w:hAnsi="Arial" w:cs="Arial"/>
          <w:sz w:val="24"/>
          <w:szCs w:val="24"/>
        </w:rPr>
        <w:t>r</w:t>
      </w:r>
      <w:r w:rsidR="004E77C2" w:rsidRPr="00FE712F">
        <w:rPr>
          <w:rFonts w:ascii="Arial" w:hAnsi="Arial" w:cs="Arial"/>
          <w:sz w:val="24"/>
          <w:szCs w:val="24"/>
        </w:rPr>
        <w:t>espondent's compliance with the aforesaid</w:t>
      </w:r>
      <w:r w:rsidR="00557A1F" w:rsidRPr="00FE712F">
        <w:rPr>
          <w:rFonts w:ascii="Arial" w:hAnsi="Arial" w:cs="Arial"/>
          <w:sz w:val="24"/>
          <w:szCs w:val="24"/>
        </w:rPr>
        <w:t xml:space="preserve"> is ordered</w:t>
      </w:r>
      <w:r w:rsidR="004E77C2" w:rsidRPr="00FE712F">
        <w:rPr>
          <w:rFonts w:ascii="Arial" w:hAnsi="Arial" w:cs="Arial"/>
          <w:sz w:val="24"/>
          <w:szCs w:val="24"/>
        </w:rPr>
        <w:t xml:space="preserve">, </w:t>
      </w:r>
      <w:r w:rsidR="00557A1F" w:rsidRPr="00FE712F">
        <w:rPr>
          <w:rFonts w:ascii="Arial" w:hAnsi="Arial" w:cs="Arial"/>
          <w:sz w:val="24"/>
          <w:szCs w:val="24"/>
        </w:rPr>
        <w:t>that: -</w:t>
      </w:r>
    </w:p>
    <w:p w:rsidR="00AE322F" w:rsidRPr="00FE712F" w:rsidRDefault="00FE712F" w:rsidP="00FE712F">
      <w:pPr>
        <w:spacing w:line="480" w:lineRule="auto"/>
        <w:ind w:left="1701" w:hanging="567"/>
        <w:jc w:val="both"/>
        <w:rPr>
          <w:rFonts w:cs="Arial"/>
        </w:rPr>
      </w:pPr>
      <w:r w:rsidRPr="00F40AAF">
        <w:rPr>
          <w:rFonts w:cs="Arial"/>
        </w:rPr>
        <w:t>3.1</w:t>
      </w:r>
      <w:r w:rsidRPr="00F40AAF">
        <w:rPr>
          <w:rFonts w:cs="Arial"/>
        </w:rPr>
        <w:tab/>
      </w:r>
      <w:r w:rsidR="004E77C2" w:rsidRPr="00FE712F">
        <w:rPr>
          <w:rFonts w:ascii="Arial" w:hAnsi="Arial" w:cs="Arial"/>
          <w:sz w:val="24"/>
          <w:szCs w:val="24"/>
        </w:rPr>
        <w:t xml:space="preserve">The </w:t>
      </w:r>
      <w:r w:rsidR="00557A1F" w:rsidRPr="00FE712F">
        <w:rPr>
          <w:rFonts w:ascii="Arial" w:hAnsi="Arial" w:cs="Arial"/>
          <w:sz w:val="24"/>
          <w:szCs w:val="24"/>
        </w:rPr>
        <w:t>s</w:t>
      </w:r>
      <w:r w:rsidR="004E77C2" w:rsidRPr="00FE712F">
        <w:rPr>
          <w:rFonts w:ascii="Arial" w:hAnsi="Arial" w:cs="Arial"/>
          <w:sz w:val="24"/>
          <w:szCs w:val="24"/>
        </w:rPr>
        <w:t xml:space="preserve">econd </w:t>
      </w:r>
      <w:r w:rsidR="00557A1F" w:rsidRPr="00FE712F">
        <w:rPr>
          <w:rFonts w:ascii="Arial" w:hAnsi="Arial" w:cs="Arial"/>
          <w:sz w:val="24"/>
          <w:szCs w:val="24"/>
        </w:rPr>
        <w:t>r</w:t>
      </w:r>
      <w:r w:rsidR="004E77C2" w:rsidRPr="00FE712F">
        <w:rPr>
          <w:rFonts w:ascii="Arial" w:hAnsi="Arial" w:cs="Arial"/>
          <w:sz w:val="24"/>
          <w:szCs w:val="24"/>
        </w:rPr>
        <w:t xml:space="preserve">espondent </w:t>
      </w:r>
      <w:r w:rsidR="00557A1F" w:rsidRPr="00FE712F">
        <w:rPr>
          <w:rFonts w:ascii="Arial" w:hAnsi="Arial" w:cs="Arial"/>
          <w:sz w:val="24"/>
          <w:szCs w:val="24"/>
        </w:rPr>
        <w:t xml:space="preserve">is </w:t>
      </w:r>
      <w:r w:rsidR="004E77C2" w:rsidRPr="00FE712F">
        <w:rPr>
          <w:rFonts w:ascii="Arial" w:hAnsi="Arial" w:cs="Arial"/>
          <w:sz w:val="24"/>
          <w:szCs w:val="24"/>
        </w:rPr>
        <w:t xml:space="preserve">directed to utilize the purchase price paid by the </w:t>
      </w:r>
      <w:r w:rsidR="00557A1F" w:rsidRPr="00FE712F">
        <w:rPr>
          <w:rFonts w:ascii="Arial" w:hAnsi="Arial" w:cs="Arial"/>
          <w:sz w:val="24"/>
          <w:szCs w:val="24"/>
        </w:rPr>
        <w:t>f</w:t>
      </w:r>
      <w:r w:rsidR="004E77C2" w:rsidRPr="00FE712F">
        <w:rPr>
          <w:rFonts w:ascii="Arial" w:hAnsi="Arial" w:cs="Arial"/>
          <w:sz w:val="24"/>
          <w:szCs w:val="24"/>
        </w:rPr>
        <w:t xml:space="preserve">irst </w:t>
      </w:r>
      <w:r w:rsidR="00557A1F" w:rsidRPr="00FE712F">
        <w:rPr>
          <w:rFonts w:ascii="Arial" w:hAnsi="Arial" w:cs="Arial"/>
          <w:sz w:val="24"/>
          <w:szCs w:val="24"/>
        </w:rPr>
        <w:t>r</w:t>
      </w:r>
      <w:r w:rsidR="004E77C2" w:rsidRPr="00FE712F">
        <w:rPr>
          <w:rFonts w:ascii="Arial" w:hAnsi="Arial" w:cs="Arial"/>
          <w:sz w:val="24"/>
          <w:szCs w:val="24"/>
        </w:rPr>
        <w:t xml:space="preserve">espondent in respect of the immovable property, held on trust by the </w:t>
      </w:r>
      <w:r w:rsidR="00557A1F" w:rsidRPr="00FE712F">
        <w:rPr>
          <w:rFonts w:ascii="Arial" w:hAnsi="Arial" w:cs="Arial"/>
          <w:sz w:val="24"/>
          <w:szCs w:val="24"/>
        </w:rPr>
        <w:t>s</w:t>
      </w:r>
      <w:r w:rsidR="004E77C2" w:rsidRPr="00FE712F">
        <w:rPr>
          <w:rFonts w:ascii="Arial" w:hAnsi="Arial" w:cs="Arial"/>
          <w:sz w:val="24"/>
          <w:szCs w:val="24"/>
        </w:rPr>
        <w:t xml:space="preserve">econd </w:t>
      </w:r>
      <w:r w:rsidR="00557A1F" w:rsidRPr="00FE712F">
        <w:rPr>
          <w:rFonts w:ascii="Arial" w:hAnsi="Arial" w:cs="Arial"/>
          <w:sz w:val="24"/>
          <w:szCs w:val="24"/>
        </w:rPr>
        <w:t>r</w:t>
      </w:r>
      <w:r w:rsidR="004E77C2" w:rsidRPr="00FE712F">
        <w:rPr>
          <w:rFonts w:ascii="Arial" w:hAnsi="Arial" w:cs="Arial"/>
          <w:sz w:val="24"/>
          <w:szCs w:val="24"/>
        </w:rPr>
        <w:t xml:space="preserve">espondent, for the purposes of the payment of the aforesaid </w:t>
      </w:r>
      <w:r w:rsidR="00557A1F" w:rsidRPr="00FE712F">
        <w:rPr>
          <w:rFonts w:ascii="Arial" w:hAnsi="Arial" w:cs="Arial"/>
          <w:sz w:val="24"/>
          <w:szCs w:val="24"/>
        </w:rPr>
        <w:t>transfer costs; and</w:t>
      </w:r>
    </w:p>
    <w:p w:rsidR="004E77C2" w:rsidRPr="00FE712F" w:rsidRDefault="00FE712F" w:rsidP="00FE712F">
      <w:pPr>
        <w:spacing w:line="480" w:lineRule="auto"/>
        <w:ind w:left="1701" w:hanging="567"/>
        <w:jc w:val="both"/>
        <w:rPr>
          <w:rFonts w:cs="Arial"/>
        </w:rPr>
      </w:pPr>
      <w:r w:rsidRPr="00F40AAF">
        <w:rPr>
          <w:rFonts w:cs="Arial"/>
        </w:rPr>
        <w:t>3.2</w:t>
      </w:r>
      <w:r w:rsidRPr="00F40AAF">
        <w:rPr>
          <w:rFonts w:cs="Arial"/>
        </w:rPr>
        <w:tab/>
      </w:r>
      <w:r w:rsidR="004E77C2" w:rsidRPr="00FE712F">
        <w:rPr>
          <w:rFonts w:ascii="Arial" w:hAnsi="Arial" w:cs="Arial"/>
          <w:sz w:val="24"/>
          <w:szCs w:val="24"/>
        </w:rPr>
        <w:t xml:space="preserve">The Sheriff of the above Honourable Court </w:t>
      </w:r>
      <w:r w:rsidR="00557A1F" w:rsidRPr="00FE712F">
        <w:rPr>
          <w:rFonts w:ascii="Arial" w:hAnsi="Arial" w:cs="Arial"/>
          <w:sz w:val="24"/>
          <w:szCs w:val="24"/>
        </w:rPr>
        <w:t xml:space="preserve">is </w:t>
      </w:r>
      <w:r w:rsidR="004E77C2" w:rsidRPr="00FE712F">
        <w:rPr>
          <w:rFonts w:ascii="Arial" w:hAnsi="Arial" w:cs="Arial"/>
          <w:sz w:val="24"/>
          <w:szCs w:val="24"/>
        </w:rPr>
        <w:t xml:space="preserve">authorised to sign on behalf of the </w:t>
      </w:r>
      <w:r w:rsidR="00557A1F" w:rsidRPr="00FE712F">
        <w:rPr>
          <w:rFonts w:ascii="Arial" w:hAnsi="Arial" w:cs="Arial"/>
          <w:sz w:val="24"/>
          <w:szCs w:val="24"/>
        </w:rPr>
        <w:t>f</w:t>
      </w:r>
      <w:r w:rsidR="004E77C2" w:rsidRPr="00FE712F">
        <w:rPr>
          <w:rFonts w:ascii="Arial" w:hAnsi="Arial" w:cs="Arial"/>
          <w:sz w:val="24"/>
          <w:szCs w:val="24"/>
        </w:rPr>
        <w:t xml:space="preserve">irst </w:t>
      </w:r>
      <w:r w:rsidR="00557A1F" w:rsidRPr="00FE712F">
        <w:rPr>
          <w:rFonts w:ascii="Arial" w:hAnsi="Arial" w:cs="Arial"/>
          <w:sz w:val="24"/>
          <w:szCs w:val="24"/>
        </w:rPr>
        <w:t>r</w:t>
      </w:r>
      <w:r w:rsidR="004E77C2" w:rsidRPr="00FE712F">
        <w:rPr>
          <w:rFonts w:ascii="Arial" w:hAnsi="Arial" w:cs="Arial"/>
          <w:sz w:val="24"/>
          <w:szCs w:val="24"/>
        </w:rPr>
        <w:t xml:space="preserve">espondent, any/all documentation required by the </w:t>
      </w:r>
      <w:r w:rsidR="00557A1F" w:rsidRPr="00FE712F">
        <w:rPr>
          <w:rFonts w:ascii="Arial" w:hAnsi="Arial" w:cs="Arial"/>
          <w:sz w:val="24"/>
          <w:szCs w:val="24"/>
        </w:rPr>
        <w:t>s</w:t>
      </w:r>
      <w:r w:rsidR="004E77C2" w:rsidRPr="00FE712F">
        <w:rPr>
          <w:rFonts w:ascii="Arial" w:hAnsi="Arial" w:cs="Arial"/>
          <w:sz w:val="24"/>
          <w:szCs w:val="24"/>
        </w:rPr>
        <w:t xml:space="preserve">econd </w:t>
      </w:r>
      <w:r w:rsidR="00557A1F" w:rsidRPr="00FE712F">
        <w:rPr>
          <w:rFonts w:ascii="Arial" w:hAnsi="Arial" w:cs="Arial"/>
          <w:sz w:val="24"/>
          <w:szCs w:val="24"/>
        </w:rPr>
        <w:t>r</w:t>
      </w:r>
      <w:r w:rsidR="004E77C2" w:rsidRPr="00FE712F">
        <w:rPr>
          <w:rFonts w:ascii="Arial" w:hAnsi="Arial" w:cs="Arial"/>
          <w:sz w:val="24"/>
          <w:szCs w:val="24"/>
        </w:rPr>
        <w:t xml:space="preserve">espondent for the purposes of the registration of transfer of the immovable property into the name of the </w:t>
      </w:r>
      <w:r w:rsidR="00557A1F" w:rsidRPr="00FE712F">
        <w:rPr>
          <w:rFonts w:ascii="Arial" w:hAnsi="Arial" w:cs="Arial"/>
          <w:sz w:val="24"/>
          <w:szCs w:val="24"/>
        </w:rPr>
        <w:t>f</w:t>
      </w:r>
      <w:r w:rsidR="004E77C2" w:rsidRPr="00FE712F">
        <w:rPr>
          <w:rFonts w:ascii="Arial" w:hAnsi="Arial" w:cs="Arial"/>
          <w:sz w:val="24"/>
          <w:szCs w:val="24"/>
        </w:rPr>
        <w:t xml:space="preserve">irst </w:t>
      </w:r>
      <w:r w:rsidR="00557A1F" w:rsidRPr="00FE712F">
        <w:rPr>
          <w:rFonts w:ascii="Arial" w:hAnsi="Arial" w:cs="Arial"/>
          <w:sz w:val="24"/>
          <w:szCs w:val="24"/>
        </w:rPr>
        <w:t>r</w:t>
      </w:r>
      <w:r w:rsidR="004E77C2" w:rsidRPr="00FE712F">
        <w:rPr>
          <w:rFonts w:ascii="Arial" w:hAnsi="Arial" w:cs="Arial"/>
          <w:sz w:val="24"/>
          <w:szCs w:val="24"/>
        </w:rPr>
        <w:t>espondent.</w:t>
      </w:r>
    </w:p>
    <w:p w:rsidR="00864B38" w:rsidRPr="00FE712F" w:rsidRDefault="00FE712F" w:rsidP="00FE712F">
      <w:pPr>
        <w:spacing w:line="480" w:lineRule="auto"/>
        <w:ind w:left="1134" w:hanging="567"/>
        <w:jc w:val="both"/>
        <w:rPr>
          <w:rFonts w:cs="Arial"/>
        </w:rPr>
      </w:pPr>
      <w:r w:rsidRPr="00F40AAF">
        <w:rPr>
          <w:rFonts w:ascii="Arial" w:hAnsi="Arial" w:cs="Arial"/>
          <w:sz w:val="24"/>
          <w:szCs w:val="24"/>
        </w:rPr>
        <w:t>4.</w:t>
      </w:r>
      <w:r w:rsidRPr="00F40AAF">
        <w:rPr>
          <w:rFonts w:ascii="Arial" w:hAnsi="Arial" w:cs="Arial"/>
          <w:sz w:val="24"/>
          <w:szCs w:val="24"/>
        </w:rPr>
        <w:tab/>
      </w:r>
      <w:r w:rsidR="004E77C2" w:rsidRPr="00FE712F">
        <w:rPr>
          <w:rFonts w:ascii="Arial" w:hAnsi="Arial" w:cs="Arial"/>
          <w:sz w:val="24"/>
          <w:szCs w:val="24"/>
        </w:rPr>
        <w:t>That the costs of this appli</w:t>
      </w:r>
      <w:r w:rsidR="000F216C" w:rsidRPr="00FE712F">
        <w:rPr>
          <w:rFonts w:ascii="Arial" w:hAnsi="Arial" w:cs="Arial"/>
          <w:sz w:val="24"/>
          <w:szCs w:val="24"/>
        </w:rPr>
        <w:t>cation be paid by the first r</w:t>
      </w:r>
      <w:r w:rsidR="004E77C2" w:rsidRPr="00FE712F">
        <w:rPr>
          <w:rFonts w:ascii="Arial" w:hAnsi="Arial" w:cs="Arial"/>
          <w:sz w:val="24"/>
          <w:szCs w:val="24"/>
        </w:rPr>
        <w:t>espondent</w:t>
      </w:r>
      <w:r w:rsidR="000F216C" w:rsidRPr="00FE712F">
        <w:rPr>
          <w:rFonts w:ascii="Arial" w:hAnsi="Arial" w:cs="Arial"/>
          <w:sz w:val="24"/>
          <w:szCs w:val="24"/>
        </w:rPr>
        <w:t xml:space="preserve"> on attorney and client scale</w:t>
      </w:r>
      <w:r w:rsidR="008734F7" w:rsidRPr="00FE712F">
        <w:rPr>
          <w:rFonts w:ascii="Arial" w:hAnsi="Arial" w:cs="Arial"/>
          <w:sz w:val="24"/>
          <w:szCs w:val="24"/>
        </w:rPr>
        <w:t>.</w:t>
      </w:r>
    </w:p>
    <w:p w:rsidR="00557A1F" w:rsidRPr="00864B38" w:rsidRDefault="00557A1F" w:rsidP="00F40AAF">
      <w:pPr>
        <w:pStyle w:val="BodyText"/>
        <w:spacing w:line="360" w:lineRule="auto"/>
        <w:ind w:left="1320"/>
        <w:jc w:val="both"/>
        <w:rPr>
          <w:rFonts w:cs="Arial"/>
        </w:rPr>
      </w:pPr>
    </w:p>
    <w:p w:rsidR="00557A1F" w:rsidRDefault="00557A1F" w:rsidP="00AF4D63">
      <w:pPr>
        <w:pStyle w:val="BodyText"/>
        <w:tabs>
          <w:tab w:val="left" w:pos="3113"/>
        </w:tabs>
        <w:spacing w:line="360" w:lineRule="auto"/>
        <w:jc w:val="right"/>
        <w:rPr>
          <w:rFonts w:cs="Arial"/>
        </w:rPr>
      </w:pPr>
    </w:p>
    <w:p w:rsidR="00557A1F" w:rsidRDefault="00557A1F" w:rsidP="00AF4D63">
      <w:pPr>
        <w:pStyle w:val="BodyText"/>
        <w:tabs>
          <w:tab w:val="left" w:pos="3113"/>
        </w:tabs>
        <w:spacing w:line="360" w:lineRule="auto"/>
        <w:jc w:val="right"/>
        <w:rPr>
          <w:b/>
        </w:rPr>
      </w:pPr>
      <w:r>
        <w:rPr>
          <w:rFonts w:cs="Arial"/>
        </w:rPr>
        <w:t>________________________________________</w:t>
      </w:r>
    </w:p>
    <w:p w:rsidR="007B1E3D" w:rsidRPr="00DB711C" w:rsidRDefault="007B1E3D" w:rsidP="00AF4D63">
      <w:pPr>
        <w:pStyle w:val="BodyText"/>
        <w:tabs>
          <w:tab w:val="left" w:pos="3113"/>
        </w:tabs>
        <w:spacing w:line="360" w:lineRule="auto"/>
        <w:jc w:val="right"/>
        <w:rPr>
          <w:b/>
        </w:rPr>
      </w:pPr>
      <w:r w:rsidRPr="00DB711C">
        <w:rPr>
          <w:b/>
        </w:rPr>
        <w:t>M B MAHALELO</w:t>
      </w:r>
    </w:p>
    <w:p w:rsidR="007B1E3D" w:rsidRPr="007B1E3D" w:rsidRDefault="007B1E3D" w:rsidP="00AF4D63">
      <w:pPr>
        <w:pStyle w:val="BodyText"/>
        <w:tabs>
          <w:tab w:val="left" w:pos="3113"/>
        </w:tabs>
        <w:spacing w:line="360" w:lineRule="auto"/>
        <w:jc w:val="right"/>
        <w:rPr>
          <w:b/>
        </w:rPr>
      </w:pPr>
      <w:r w:rsidRPr="007B1E3D">
        <w:rPr>
          <w:b/>
        </w:rPr>
        <w:t>JUDGE OF THE HIGH COURT</w:t>
      </w:r>
    </w:p>
    <w:p w:rsidR="007B1E3D" w:rsidRDefault="007B1E3D" w:rsidP="00AF4D63">
      <w:pPr>
        <w:pStyle w:val="BodyText"/>
        <w:tabs>
          <w:tab w:val="left" w:pos="3113"/>
        </w:tabs>
        <w:spacing w:line="360" w:lineRule="auto"/>
        <w:jc w:val="right"/>
        <w:rPr>
          <w:b/>
        </w:rPr>
      </w:pPr>
      <w:r w:rsidRPr="007B1E3D">
        <w:rPr>
          <w:b/>
        </w:rPr>
        <w:lastRenderedPageBreak/>
        <w:t>GAUTENG LOCAL DIVISION, JOHANNESBURG</w:t>
      </w:r>
    </w:p>
    <w:p w:rsidR="00050D1D" w:rsidRDefault="00050D1D" w:rsidP="00AF4D63">
      <w:pPr>
        <w:pStyle w:val="BodyText"/>
        <w:tabs>
          <w:tab w:val="left" w:pos="3113"/>
        </w:tabs>
        <w:spacing w:line="360" w:lineRule="auto"/>
        <w:ind w:left="0"/>
        <w:jc w:val="both"/>
        <w:rPr>
          <w:b/>
        </w:rPr>
      </w:pPr>
    </w:p>
    <w:p w:rsidR="004F226C" w:rsidRPr="00050D1D" w:rsidRDefault="007B1E3D" w:rsidP="00AF4D63">
      <w:pPr>
        <w:pStyle w:val="BodyText"/>
        <w:tabs>
          <w:tab w:val="left" w:pos="3113"/>
        </w:tabs>
        <w:spacing w:line="360" w:lineRule="auto"/>
        <w:ind w:left="0"/>
        <w:jc w:val="both"/>
      </w:pPr>
      <w:r w:rsidRPr="00050D1D">
        <w:t xml:space="preserve">This judgment was delivered electronically by circulation to the </w:t>
      </w:r>
      <w:r w:rsidR="00311F38" w:rsidRPr="00050D1D">
        <w:t>parties’</w:t>
      </w:r>
      <w:r w:rsidR="0078185E" w:rsidRPr="00050D1D">
        <w:t xml:space="preserve"> legal representatives by e-mail and uploading onto CaseLines. The</w:t>
      </w:r>
      <w:r w:rsidR="00D07169" w:rsidRPr="00050D1D">
        <w:t xml:space="preserve"> date and time of hand down is</w:t>
      </w:r>
      <w:r w:rsidR="00A70257">
        <w:t xml:space="preserve"> </w:t>
      </w:r>
      <w:r w:rsidR="00557A1F">
        <w:t xml:space="preserve">deemed to be </w:t>
      </w:r>
      <w:r w:rsidR="002C61B1">
        <w:t>0</w:t>
      </w:r>
      <w:r w:rsidR="00312255">
        <w:t>7</w:t>
      </w:r>
      <w:r w:rsidR="002C61B1">
        <w:t xml:space="preserve"> March 2023</w:t>
      </w:r>
      <w:r w:rsidR="005A4230">
        <w:t xml:space="preserve"> </w:t>
      </w:r>
      <w:r w:rsidR="00050D1D">
        <w:t>at 10h00.</w:t>
      </w:r>
    </w:p>
    <w:p w:rsidR="004F226C" w:rsidRDefault="004F226C" w:rsidP="00AF4D63">
      <w:pPr>
        <w:pStyle w:val="BodyText"/>
        <w:tabs>
          <w:tab w:val="left" w:pos="3113"/>
        </w:tabs>
        <w:spacing w:line="360" w:lineRule="auto"/>
        <w:ind w:left="567" w:hanging="567"/>
        <w:jc w:val="both"/>
      </w:pPr>
    </w:p>
    <w:p w:rsidR="0078185E" w:rsidRPr="0078185E" w:rsidRDefault="0078185E" w:rsidP="00AF4D63">
      <w:pPr>
        <w:spacing w:line="276" w:lineRule="auto"/>
        <w:ind w:left="567" w:hanging="567"/>
        <w:jc w:val="both"/>
        <w:rPr>
          <w:rFonts w:ascii="Arial" w:hAnsi="Arial" w:cs="Arial"/>
          <w:b/>
          <w:sz w:val="24"/>
          <w:szCs w:val="24"/>
          <w:u w:val="single"/>
        </w:rPr>
      </w:pPr>
      <w:r w:rsidRPr="0078185E">
        <w:rPr>
          <w:rFonts w:ascii="Arial" w:hAnsi="Arial" w:cs="Arial"/>
          <w:b/>
          <w:sz w:val="24"/>
          <w:szCs w:val="24"/>
          <w:u w:val="single"/>
        </w:rPr>
        <w:t>APPEARANCES:</w:t>
      </w:r>
    </w:p>
    <w:p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Counsel for </w:t>
      </w:r>
      <w:r w:rsidR="005A4230">
        <w:rPr>
          <w:rFonts w:ascii="Arial" w:hAnsi="Arial" w:cs="Arial"/>
          <w:sz w:val="24"/>
          <w:szCs w:val="24"/>
        </w:rPr>
        <w:t>the applicant</w:t>
      </w:r>
      <w:r w:rsidRPr="00050D1D">
        <w:rPr>
          <w:rFonts w:ascii="Arial" w:hAnsi="Arial" w:cs="Arial"/>
          <w:sz w:val="24"/>
          <w:szCs w:val="24"/>
        </w:rPr>
        <w:t>:</w:t>
      </w:r>
      <w:r w:rsidRPr="00050D1D">
        <w:rPr>
          <w:rFonts w:ascii="Arial" w:hAnsi="Arial" w:cs="Arial"/>
          <w:sz w:val="24"/>
          <w:szCs w:val="24"/>
        </w:rPr>
        <w:tab/>
      </w:r>
      <w:r w:rsidR="00311F38">
        <w:rPr>
          <w:rFonts w:ascii="Arial" w:hAnsi="Arial" w:cs="Arial"/>
          <w:sz w:val="24"/>
          <w:szCs w:val="24"/>
        </w:rPr>
        <w:tab/>
      </w:r>
      <w:r w:rsidR="00311F38">
        <w:rPr>
          <w:rFonts w:ascii="Arial" w:hAnsi="Arial" w:cs="Arial"/>
          <w:sz w:val="24"/>
          <w:szCs w:val="24"/>
        </w:rPr>
        <w:tab/>
      </w:r>
      <w:r w:rsidR="00E43539">
        <w:rPr>
          <w:rFonts w:ascii="Arial" w:hAnsi="Arial" w:cs="Arial"/>
          <w:sz w:val="24"/>
          <w:szCs w:val="24"/>
        </w:rPr>
        <w:t>Adv E.R. venter</w:t>
      </w:r>
    </w:p>
    <w:p w:rsidR="0078185E" w:rsidRPr="00050D1D"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Instructed by: </w:t>
      </w:r>
      <w:r w:rsidRPr="00050D1D">
        <w:rPr>
          <w:rFonts w:ascii="Arial" w:hAnsi="Arial" w:cs="Arial"/>
          <w:sz w:val="24"/>
          <w:szCs w:val="24"/>
        </w:rPr>
        <w:tab/>
      </w:r>
      <w:r w:rsidRPr="00050D1D">
        <w:rPr>
          <w:rFonts w:ascii="Arial" w:hAnsi="Arial" w:cs="Arial"/>
          <w:sz w:val="24"/>
          <w:szCs w:val="24"/>
        </w:rPr>
        <w:tab/>
      </w:r>
      <w:r w:rsidR="00020261">
        <w:rPr>
          <w:rFonts w:ascii="Arial" w:hAnsi="Arial" w:cs="Arial"/>
          <w:sz w:val="24"/>
          <w:szCs w:val="24"/>
        </w:rPr>
        <w:tab/>
      </w:r>
      <w:r w:rsidR="00C44C77">
        <w:rPr>
          <w:rFonts w:ascii="Arial" w:hAnsi="Arial" w:cs="Arial"/>
          <w:sz w:val="24"/>
          <w:szCs w:val="24"/>
        </w:rPr>
        <w:tab/>
      </w:r>
      <w:r w:rsidR="00E43539">
        <w:rPr>
          <w:rFonts w:ascii="Arial" w:hAnsi="Arial" w:cs="Arial"/>
          <w:sz w:val="24"/>
          <w:szCs w:val="24"/>
        </w:rPr>
        <w:t>JHS Attorneys</w:t>
      </w:r>
    </w:p>
    <w:p w:rsidR="00311F38" w:rsidRDefault="00311F38" w:rsidP="00AF4D63">
      <w:pPr>
        <w:spacing w:line="276" w:lineRule="auto"/>
        <w:ind w:left="567" w:hanging="567"/>
        <w:jc w:val="both"/>
        <w:rPr>
          <w:rFonts w:ascii="Arial" w:hAnsi="Arial" w:cs="Arial"/>
          <w:sz w:val="24"/>
          <w:szCs w:val="24"/>
        </w:rPr>
      </w:pPr>
    </w:p>
    <w:p w:rsidR="0078185E" w:rsidRDefault="0078185E" w:rsidP="00AF4D63">
      <w:pPr>
        <w:spacing w:line="276" w:lineRule="auto"/>
        <w:ind w:left="567" w:hanging="567"/>
        <w:jc w:val="both"/>
        <w:rPr>
          <w:rFonts w:ascii="Arial" w:hAnsi="Arial" w:cs="Arial"/>
          <w:sz w:val="24"/>
          <w:szCs w:val="24"/>
        </w:rPr>
      </w:pPr>
      <w:r w:rsidRPr="00050D1D">
        <w:rPr>
          <w:rFonts w:ascii="Arial" w:hAnsi="Arial" w:cs="Arial"/>
          <w:sz w:val="24"/>
          <w:szCs w:val="24"/>
        </w:rPr>
        <w:t xml:space="preserve">Counsel for </w:t>
      </w:r>
      <w:r w:rsidR="005A4230">
        <w:rPr>
          <w:rFonts w:ascii="Arial" w:hAnsi="Arial" w:cs="Arial"/>
          <w:sz w:val="24"/>
          <w:szCs w:val="24"/>
        </w:rPr>
        <w:t>the first respondent</w:t>
      </w:r>
      <w:r w:rsidRPr="00050D1D">
        <w:rPr>
          <w:rFonts w:ascii="Arial" w:hAnsi="Arial" w:cs="Arial"/>
          <w:sz w:val="24"/>
          <w:szCs w:val="24"/>
        </w:rPr>
        <w:t>:</w:t>
      </w:r>
      <w:r w:rsidR="00311F38">
        <w:rPr>
          <w:rFonts w:ascii="Arial" w:hAnsi="Arial" w:cs="Arial"/>
          <w:sz w:val="24"/>
          <w:szCs w:val="24"/>
        </w:rPr>
        <w:tab/>
      </w:r>
      <w:r w:rsidR="00311F38">
        <w:rPr>
          <w:rFonts w:ascii="Arial" w:hAnsi="Arial" w:cs="Arial"/>
          <w:sz w:val="24"/>
          <w:szCs w:val="24"/>
        </w:rPr>
        <w:tab/>
      </w:r>
      <w:r w:rsidR="00E43539">
        <w:rPr>
          <w:rFonts w:ascii="Arial" w:hAnsi="Arial" w:cs="Arial"/>
          <w:sz w:val="24"/>
          <w:szCs w:val="24"/>
        </w:rPr>
        <w:t>Adv M Mphaga SC</w:t>
      </w:r>
    </w:p>
    <w:p w:rsidR="00E43539" w:rsidRPr="00050D1D" w:rsidRDefault="00E43539" w:rsidP="00AF4D63">
      <w:pPr>
        <w:spacing w:line="276" w:lineRule="auto"/>
        <w:ind w:left="567" w:hanging="567"/>
        <w:jc w:val="both"/>
        <w:rPr>
          <w:rFonts w:ascii="Arial" w:hAnsi="Arial" w:cs="Arial"/>
          <w:sz w:val="24"/>
          <w:szCs w:val="24"/>
        </w:rPr>
      </w:pPr>
      <w:r>
        <w:rPr>
          <w:rFonts w:ascii="Arial" w:hAnsi="Arial" w:cs="Arial"/>
          <w:sz w:val="24"/>
          <w:szCs w:val="24"/>
        </w:rPr>
        <w:t xml:space="preserve">                                                                 Adv M.E. Manala</w:t>
      </w:r>
    </w:p>
    <w:p w:rsidR="00311F38" w:rsidRDefault="00311F38" w:rsidP="00F40AAF">
      <w:pPr>
        <w:spacing w:line="276"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sidR="00C44C77">
        <w:rPr>
          <w:rFonts w:ascii="Arial" w:hAnsi="Arial" w:cs="Arial"/>
          <w:sz w:val="24"/>
          <w:szCs w:val="24"/>
        </w:rPr>
        <w:tab/>
      </w:r>
      <w:r w:rsidR="00E43539">
        <w:rPr>
          <w:rFonts w:ascii="Arial" w:hAnsi="Arial" w:cs="Arial"/>
          <w:sz w:val="24"/>
          <w:szCs w:val="24"/>
        </w:rPr>
        <w:t>Manala &amp; Co Inc.</w:t>
      </w:r>
    </w:p>
    <w:sectPr w:rsidR="00311F38" w:rsidSect="00F40AA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73" w:rsidRDefault="00C74573" w:rsidP="007C511D">
      <w:pPr>
        <w:spacing w:after="0" w:line="240" w:lineRule="auto"/>
      </w:pPr>
      <w:r>
        <w:separator/>
      </w:r>
    </w:p>
  </w:endnote>
  <w:endnote w:type="continuationSeparator" w:id="0">
    <w:p w:rsidR="00C74573" w:rsidRDefault="00C74573" w:rsidP="007C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04217869"/>
      <w:docPartObj>
        <w:docPartGallery w:val="Page Numbers (Bottom of Page)"/>
        <w:docPartUnique/>
      </w:docPartObj>
    </w:sdtPr>
    <w:sdtEndPr>
      <w:rPr>
        <w:noProof/>
      </w:rPr>
    </w:sdtEndPr>
    <w:sdtContent>
      <w:p w:rsidR="00EF2171" w:rsidRPr="00F40AAF" w:rsidRDefault="00EF2171">
        <w:pPr>
          <w:pStyle w:val="Footer"/>
          <w:jc w:val="right"/>
          <w:rPr>
            <w:rFonts w:ascii="Arial" w:hAnsi="Arial" w:cs="Arial"/>
          </w:rPr>
        </w:pPr>
        <w:r w:rsidRPr="00F40AAF">
          <w:rPr>
            <w:rFonts w:ascii="Arial" w:hAnsi="Arial" w:cs="Arial"/>
          </w:rPr>
          <w:fldChar w:fldCharType="begin"/>
        </w:r>
        <w:r w:rsidRPr="00F40AAF">
          <w:rPr>
            <w:rFonts w:ascii="Arial" w:hAnsi="Arial" w:cs="Arial"/>
          </w:rPr>
          <w:instrText xml:space="preserve"> PAGE   \* MERGEFORMAT </w:instrText>
        </w:r>
        <w:r w:rsidRPr="00F40AAF">
          <w:rPr>
            <w:rFonts w:ascii="Arial" w:hAnsi="Arial" w:cs="Arial"/>
          </w:rPr>
          <w:fldChar w:fldCharType="separate"/>
        </w:r>
        <w:r w:rsidR="00142CEC">
          <w:rPr>
            <w:rFonts w:ascii="Arial" w:hAnsi="Arial" w:cs="Arial"/>
            <w:noProof/>
          </w:rPr>
          <w:t>16</w:t>
        </w:r>
        <w:r w:rsidRPr="00F40AAF">
          <w:rPr>
            <w:rFonts w:ascii="Arial" w:hAnsi="Arial" w:cs="Arial"/>
            <w:noProof/>
          </w:rPr>
          <w:fldChar w:fldCharType="end"/>
        </w:r>
      </w:p>
    </w:sdtContent>
  </w:sdt>
  <w:p w:rsidR="002C40CB" w:rsidRDefault="002C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73" w:rsidRDefault="00C74573" w:rsidP="007C511D">
      <w:pPr>
        <w:spacing w:after="0" w:line="240" w:lineRule="auto"/>
      </w:pPr>
      <w:r>
        <w:separator/>
      </w:r>
    </w:p>
  </w:footnote>
  <w:footnote w:type="continuationSeparator" w:id="0">
    <w:p w:rsidR="00C74573" w:rsidRDefault="00C74573" w:rsidP="007C511D">
      <w:pPr>
        <w:spacing w:after="0" w:line="240" w:lineRule="auto"/>
      </w:pPr>
      <w:r>
        <w:continuationSeparator/>
      </w:r>
    </w:p>
  </w:footnote>
  <w:footnote w:id="1">
    <w:p w:rsidR="002C40CB" w:rsidRPr="00F40AAF" w:rsidRDefault="002C40CB" w:rsidP="00F40AAF">
      <w:pPr>
        <w:pStyle w:val="FootnoteText"/>
        <w:jc w:val="both"/>
        <w:rPr>
          <w:rFonts w:ascii="Arial" w:hAnsi="Arial" w:cs="Arial"/>
        </w:rPr>
      </w:pPr>
      <w:r w:rsidRPr="00F40AAF">
        <w:rPr>
          <w:rStyle w:val="FootnoteReference"/>
          <w:rFonts w:ascii="Arial" w:hAnsi="Arial" w:cs="Arial"/>
        </w:rPr>
        <w:footnoteRef/>
      </w:r>
      <w:r w:rsidRPr="00F40AAF">
        <w:rPr>
          <w:rFonts w:ascii="Arial" w:hAnsi="Arial" w:cs="Arial"/>
        </w:rPr>
        <w:t xml:space="preserve"> </w:t>
      </w:r>
      <w:r w:rsidRPr="00F21FA9">
        <w:rPr>
          <w:rFonts w:ascii="Arial" w:hAnsi="Arial" w:cs="Arial"/>
          <w:lang w:eastAsia="en-ZA"/>
        </w:rPr>
        <w:t>1912 AD 343 at 350</w:t>
      </w:r>
      <w:r w:rsidR="00F21FA9">
        <w:rPr>
          <w:rFonts w:ascii="Arial" w:hAnsi="Arial" w:cs="Arial"/>
          <w:lang w:eastAsia="en-ZA"/>
        </w:rPr>
        <w:t>.</w:t>
      </w:r>
    </w:p>
  </w:footnote>
  <w:footnote w:id="2">
    <w:p w:rsidR="002C40CB" w:rsidRPr="00F40AAF" w:rsidRDefault="002C40CB" w:rsidP="00AA7D07">
      <w:pPr>
        <w:pStyle w:val="FootnoteText"/>
        <w:jc w:val="both"/>
        <w:rPr>
          <w:rFonts w:ascii="Arial" w:hAnsi="Arial" w:cs="Arial"/>
        </w:rPr>
      </w:pPr>
      <w:r w:rsidRPr="00F21FA9">
        <w:rPr>
          <w:rStyle w:val="FootnoteReference"/>
          <w:rFonts w:ascii="Arial" w:hAnsi="Arial" w:cs="Arial"/>
        </w:rPr>
        <w:footnoteRef/>
      </w:r>
      <w:r w:rsidRPr="00F21FA9">
        <w:rPr>
          <w:rFonts w:ascii="Arial" w:hAnsi="Arial" w:cs="Arial"/>
        </w:rPr>
        <w:t xml:space="preserve"> </w:t>
      </w:r>
      <w:r w:rsidRPr="00F21FA9">
        <w:rPr>
          <w:rFonts w:ascii="Arial" w:hAnsi="Arial" w:cs="Arial"/>
          <w:lang w:eastAsia="en-ZA"/>
        </w:rPr>
        <w:t>2017 (3) SA 22 (SCA) at para 23.</w:t>
      </w:r>
    </w:p>
  </w:footnote>
  <w:footnote w:id="3">
    <w:p w:rsidR="002C40CB" w:rsidRPr="00F40AAF" w:rsidRDefault="002C40CB" w:rsidP="00E00D28">
      <w:pPr>
        <w:pStyle w:val="FootnoteText"/>
        <w:jc w:val="both"/>
        <w:rPr>
          <w:rFonts w:ascii="Arial" w:hAnsi="Arial" w:cs="Arial"/>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rPr>
        <w:t>Bluegrass Trading 1112 CC t/a Rawson Properties v Ramsern and Another</w:t>
      </w:r>
      <w:r w:rsidRPr="00F40AAF">
        <w:rPr>
          <w:rFonts w:ascii="Arial" w:hAnsi="Arial" w:cs="Arial"/>
        </w:rPr>
        <w:t xml:space="preserve"> </w:t>
      </w:r>
      <w:r w:rsidRPr="00F40AAF">
        <w:rPr>
          <w:rFonts w:ascii="Arial" w:hAnsi="Arial" w:cs="Arial"/>
          <w:lang w:val="en-GB"/>
        </w:rPr>
        <w:t>[2021] ZAGPJHC 753 at para [40].</w:t>
      </w:r>
    </w:p>
  </w:footnote>
  <w:footnote w:id="4">
    <w:p w:rsidR="002C40CB" w:rsidRPr="00F40AAF" w:rsidRDefault="002C40CB" w:rsidP="00015081">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1995 (2) SA 718 (C) at para 726</w:t>
      </w:r>
      <w:r w:rsidR="001B5E40">
        <w:rPr>
          <w:rFonts w:ascii="Arial" w:hAnsi="Arial" w:cs="Arial"/>
        </w:rPr>
        <w:t>C</w:t>
      </w:r>
      <w:r w:rsidRPr="00F40AAF">
        <w:rPr>
          <w:rFonts w:ascii="Arial" w:hAnsi="Arial" w:cs="Arial"/>
        </w:rPr>
        <w:t>-G.</w:t>
      </w:r>
    </w:p>
  </w:footnote>
  <w:footnote w:id="5">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RH Christie </w:t>
      </w:r>
      <w:r w:rsidRPr="00F40AAF">
        <w:rPr>
          <w:rFonts w:ascii="Arial" w:hAnsi="Arial" w:cs="Arial"/>
          <w:i/>
          <w:iCs/>
        </w:rPr>
        <w:t xml:space="preserve">Christie’s Law of Contract in South Africa </w:t>
      </w:r>
      <w:r w:rsidRPr="00F40AAF">
        <w:rPr>
          <w:rFonts w:ascii="Arial" w:hAnsi="Arial" w:cs="Arial"/>
        </w:rPr>
        <w:t>7th (2016) 323.</w:t>
      </w:r>
    </w:p>
  </w:footnote>
  <w:footnote w:id="6">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ABSA Bank Ltd v Fouche </w:t>
      </w:r>
      <w:r w:rsidRPr="00F40AAF">
        <w:rPr>
          <w:rFonts w:ascii="Arial" w:hAnsi="Arial" w:cs="Arial"/>
        </w:rPr>
        <w:t>2003 (1) SA 176 SCA at para 5.</w:t>
      </w:r>
    </w:p>
  </w:footnote>
  <w:footnote w:id="7">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Pretorius and Another v Natal South Sea Investment Trust Ltd </w:t>
      </w:r>
      <w:r w:rsidRPr="00F40AAF">
        <w:rPr>
          <w:rFonts w:ascii="Arial" w:hAnsi="Arial" w:cs="Arial"/>
        </w:rPr>
        <w:t>(under judicial management) 1965 (3) SA 410 (W) at para 418E-F.</w:t>
      </w:r>
    </w:p>
  </w:footnote>
  <w:footnote w:id="8">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Speight v Glass and Another </w:t>
      </w:r>
      <w:r w:rsidRPr="00F40AAF">
        <w:rPr>
          <w:rFonts w:ascii="Arial" w:hAnsi="Arial" w:cs="Arial"/>
        </w:rPr>
        <w:t>1961 (1) SA 778 (D).</w:t>
      </w:r>
    </w:p>
  </w:footnote>
  <w:footnote w:id="9">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783.</w:t>
      </w:r>
    </w:p>
  </w:footnote>
  <w:footnote w:id="10">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w:t>
      </w:r>
    </w:p>
  </w:footnote>
  <w:footnote w:id="11">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784.</w:t>
      </w:r>
    </w:p>
  </w:footnote>
  <w:footnote w:id="12">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2003 (1) SA 176 SCA.</w:t>
      </w:r>
    </w:p>
  </w:footnote>
  <w:footnote w:id="13">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para [8].</w:t>
      </w:r>
    </w:p>
  </w:footnote>
  <w:footnote w:id="14">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 xml:space="preserve">See also </w:t>
      </w:r>
      <w:r w:rsidRPr="00F40AAF">
        <w:rPr>
          <w:rFonts w:ascii="Arial" w:hAnsi="Arial" w:cs="Arial"/>
          <w:bCs/>
          <w:i/>
        </w:rPr>
        <w:t>The Trustees for the time being of the SAS Trust v New Adventure Investment 193 (Pty) Ltd</w:t>
      </w:r>
      <w:r w:rsidR="00C67F09">
        <w:rPr>
          <w:rFonts w:ascii="Arial" w:hAnsi="Arial" w:cs="Arial"/>
          <w:bCs/>
        </w:rPr>
        <w:t xml:space="preserve"> </w:t>
      </w:r>
      <w:r w:rsidRPr="00F40AAF">
        <w:rPr>
          <w:rFonts w:ascii="Arial" w:hAnsi="Arial" w:cs="Arial"/>
          <w:bCs/>
        </w:rPr>
        <w:t>[2003] JOL 11579 (SCA).</w:t>
      </w:r>
    </w:p>
  </w:footnote>
  <w:footnote w:id="15">
    <w:p w:rsidR="002C40CB" w:rsidRPr="00F40AAF" w:rsidRDefault="002C40CB" w:rsidP="00DC037F">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Pretorius and Another v Natal South Sea Investment Trust Ltd </w:t>
      </w:r>
      <w:r w:rsidRPr="00F40AAF">
        <w:rPr>
          <w:rFonts w:ascii="Arial" w:hAnsi="Arial" w:cs="Arial"/>
        </w:rPr>
        <w:t>(under judicial management) 1965 (3) SA 410 (W) at para 418E-F.</w:t>
      </w:r>
    </w:p>
  </w:footnote>
  <w:footnote w:id="16">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RH Christie </w:t>
      </w:r>
      <w:r w:rsidRPr="00F40AAF">
        <w:rPr>
          <w:rFonts w:ascii="Arial" w:hAnsi="Arial" w:cs="Arial"/>
          <w:i/>
          <w:iCs/>
        </w:rPr>
        <w:t xml:space="preserve">Christie’s Law of Contract in South Africa </w:t>
      </w:r>
      <w:r w:rsidRPr="00F40AAF">
        <w:rPr>
          <w:rFonts w:ascii="Arial" w:hAnsi="Arial" w:cs="Arial"/>
        </w:rPr>
        <w:t>7th (2016) 323.</w:t>
      </w:r>
    </w:p>
  </w:footnote>
  <w:footnote w:id="17">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i/>
          <w:iCs/>
        </w:rPr>
        <w:t xml:space="preserve">McCann v Goodall Group Operations (Pty) Ltd </w:t>
      </w:r>
      <w:r w:rsidRPr="00F40AAF">
        <w:rPr>
          <w:rFonts w:ascii="Arial" w:hAnsi="Arial" w:cs="Arial"/>
        </w:rPr>
        <w:t>1995 (2) SA 718 (C).</w:t>
      </w:r>
    </w:p>
  </w:footnote>
  <w:footnote w:id="18">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w:t>
      </w:r>
    </w:p>
  </w:footnote>
  <w:footnote w:id="19">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RH Christie </w:t>
      </w:r>
      <w:r w:rsidRPr="00F40AAF">
        <w:rPr>
          <w:rFonts w:ascii="Arial" w:hAnsi="Arial" w:cs="Arial"/>
          <w:i/>
          <w:iCs/>
        </w:rPr>
        <w:t xml:space="preserve">Christie’s Law of Contract in South Africa </w:t>
      </w:r>
      <w:r w:rsidRPr="00F40AAF">
        <w:rPr>
          <w:rFonts w:ascii="Arial" w:hAnsi="Arial" w:cs="Arial"/>
        </w:rPr>
        <w:t>7th (2016) 287.</w:t>
      </w:r>
    </w:p>
  </w:footnote>
  <w:footnote w:id="20">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[2013] ZAWCHC 152.</w:t>
      </w:r>
    </w:p>
  </w:footnote>
  <w:footnote w:id="21">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para 105.</w:t>
      </w:r>
    </w:p>
  </w:footnote>
  <w:footnote w:id="22">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Id at para 112.</w:t>
      </w:r>
    </w:p>
  </w:footnote>
  <w:footnote w:id="23">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00BF7A99">
        <w:rPr>
          <w:rFonts w:ascii="Arial" w:hAnsi="Arial" w:cs="Arial"/>
          <w:lang w:val="en-GB"/>
        </w:rPr>
        <w:t xml:space="preserve">First Respondent’s </w:t>
      </w:r>
      <w:r w:rsidRPr="00F40AAF">
        <w:rPr>
          <w:rFonts w:ascii="Arial" w:hAnsi="Arial" w:cs="Arial"/>
          <w:lang w:val="en-GB"/>
        </w:rPr>
        <w:t>Answering Affidavit at paras 57-59.</w:t>
      </w:r>
    </w:p>
  </w:footnote>
  <w:footnote w:id="24">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First Respondent’s Heads of Argument at paras 8-10.</w:t>
      </w:r>
    </w:p>
  </w:footnote>
  <w:footnote w:id="25">
    <w:p w:rsidR="002C40CB" w:rsidRPr="00F40AAF" w:rsidRDefault="002C40CB" w:rsidP="00850C7C">
      <w:pPr>
        <w:pStyle w:val="FootnoteText"/>
        <w:jc w:val="both"/>
        <w:rPr>
          <w:rFonts w:ascii="Arial" w:hAnsi="Arial" w:cs="Arial"/>
          <w:lang w:val="en-GB"/>
        </w:rPr>
      </w:pPr>
      <w:r w:rsidRPr="00F40AAF">
        <w:rPr>
          <w:rStyle w:val="FootnoteReference"/>
          <w:rFonts w:ascii="Arial" w:hAnsi="Arial" w:cs="Arial"/>
        </w:rPr>
        <w:footnoteRef/>
      </w:r>
      <w:r w:rsidRPr="00F40AAF">
        <w:rPr>
          <w:rFonts w:ascii="Arial" w:hAnsi="Arial" w:cs="Arial"/>
        </w:rPr>
        <w:t xml:space="preserve"> </w:t>
      </w:r>
      <w:r w:rsidRPr="00F40AAF">
        <w:rPr>
          <w:rFonts w:ascii="Arial" w:hAnsi="Arial" w:cs="Arial"/>
          <w:lang w:val="en-GB"/>
        </w:rPr>
        <w:t xml:space="preserve">Van Rensburg “Contract” in </w:t>
      </w:r>
      <w:r w:rsidRPr="00F40AAF">
        <w:rPr>
          <w:rFonts w:ascii="Arial" w:hAnsi="Arial" w:cs="Arial"/>
          <w:i/>
          <w:lang w:val="en-GB"/>
        </w:rPr>
        <w:t>LAWSA</w:t>
      </w:r>
      <w:r w:rsidRPr="00F40AAF">
        <w:rPr>
          <w:rFonts w:ascii="Arial" w:hAnsi="Arial" w:cs="Arial"/>
          <w:lang w:val="en-GB"/>
        </w:rPr>
        <w:t xml:space="preserve"> 3 ed (2014) vol 9 at 318.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5C02"/>
    <w:multiLevelType w:val="hybridMultilevel"/>
    <w:tmpl w:val="F2C40730"/>
    <w:lvl w:ilvl="0" w:tplc="3DB22D34">
      <w:start w:val="1"/>
      <w:numFmt w:val="decimal"/>
      <w:lvlText w:val="[%1]"/>
      <w:lvlJc w:val="left"/>
      <w:pPr>
        <w:ind w:left="36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3E2C2B"/>
    <w:multiLevelType w:val="multilevel"/>
    <w:tmpl w:val="047089B8"/>
    <w:lvl w:ilvl="0">
      <w:start w:val="2"/>
      <w:numFmt w:val="decimal"/>
      <w:lvlText w:val="%1."/>
      <w:lvlJc w:val="left"/>
      <w:pPr>
        <w:ind w:left="2240" w:hanging="719"/>
      </w:pPr>
      <w:rPr>
        <w:rFonts w:ascii="Arial" w:eastAsia="Arial" w:hAnsi="Arial" w:hint="default"/>
        <w:color w:val="131313"/>
        <w:spacing w:val="5"/>
        <w:w w:val="101"/>
        <w:sz w:val="22"/>
        <w:szCs w:val="22"/>
      </w:rPr>
    </w:lvl>
    <w:lvl w:ilvl="1">
      <w:start w:val="1"/>
      <w:numFmt w:val="decimal"/>
      <w:lvlText w:val="%1.%2."/>
      <w:lvlJc w:val="left"/>
      <w:pPr>
        <w:ind w:left="2944" w:hanging="719"/>
      </w:pPr>
      <w:rPr>
        <w:rFonts w:ascii="Arial" w:eastAsia="Arial" w:hAnsi="Arial" w:hint="default"/>
        <w:color w:val="131313"/>
        <w:w w:val="102"/>
        <w:sz w:val="22"/>
        <w:szCs w:val="22"/>
      </w:rPr>
    </w:lvl>
    <w:lvl w:ilvl="2">
      <w:start w:val="1"/>
      <w:numFmt w:val="bullet"/>
      <w:lvlText w:val="•"/>
      <w:lvlJc w:val="left"/>
      <w:pPr>
        <w:ind w:left="3840" w:hanging="719"/>
      </w:pPr>
      <w:rPr>
        <w:rFonts w:hint="default"/>
      </w:rPr>
    </w:lvl>
    <w:lvl w:ilvl="3">
      <w:start w:val="1"/>
      <w:numFmt w:val="bullet"/>
      <w:lvlText w:val="•"/>
      <w:lvlJc w:val="left"/>
      <w:pPr>
        <w:ind w:left="4735" w:hanging="719"/>
      </w:pPr>
      <w:rPr>
        <w:rFonts w:hint="default"/>
      </w:rPr>
    </w:lvl>
    <w:lvl w:ilvl="4">
      <w:start w:val="1"/>
      <w:numFmt w:val="bullet"/>
      <w:lvlText w:val="•"/>
      <w:lvlJc w:val="left"/>
      <w:pPr>
        <w:ind w:left="5630" w:hanging="719"/>
      </w:pPr>
      <w:rPr>
        <w:rFonts w:hint="default"/>
      </w:rPr>
    </w:lvl>
    <w:lvl w:ilvl="5">
      <w:start w:val="1"/>
      <w:numFmt w:val="bullet"/>
      <w:lvlText w:val="•"/>
      <w:lvlJc w:val="left"/>
      <w:pPr>
        <w:ind w:left="6525" w:hanging="719"/>
      </w:pPr>
      <w:rPr>
        <w:rFonts w:hint="default"/>
      </w:rPr>
    </w:lvl>
    <w:lvl w:ilvl="6">
      <w:start w:val="1"/>
      <w:numFmt w:val="bullet"/>
      <w:lvlText w:val="•"/>
      <w:lvlJc w:val="left"/>
      <w:pPr>
        <w:ind w:left="7420" w:hanging="719"/>
      </w:pPr>
      <w:rPr>
        <w:rFonts w:hint="default"/>
      </w:rPr>
    </w:lvl>
    <w:lvl w:ilvl="7">
      <w:start w:val="1"/>
      <w:numFmt w:val="bullet"/>
      <w:lvlText w:val="•"/>
      <w:lvlJc w:val="left"/>
      <w:pPr>
        <w:ind w:left="8316" w:hanging="719"/>
      </w:pPr>
      <w:rPr>
        <w:rFonts w:hint="default"/>
      </w:rPr>
    </w:lvl>
    <w:lvl w:ilvl="8">
      <w:start w:val="1"/>
      <w:numFmt w:val="bullet"/>
      <w:lvlText w:val="•"/>
      <w:lvlJc w:val="left"/>
      <w:pPr>
        <w:ind w:left="9211" w:hanging="719"/>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1B3312E"/>
    <w:multiLevelType w:val="hybridMultilevel"/>
    <w:tmpl w:val="A63019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7C4199"/>
    <w:multiLevelType w:val="hybridMultilevel"/>
    <w:tmpl w:val="5894B3A0"/>
    <w:lvl w:ilvl="0" w:tplc="357C260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17066735"/>
    <w:multiLevelType w:val="hybridMultilevel"/>
    <w:tmpl w:val="1B4EBE1E"/>
    <w:lvl w:ilvl="0" w:tplc="5D980D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B73D27"/>
    <w:multiLevelType w:val="hybridMultilevel"/>
    <w:tmpl w:val="5B3472DE"/>
    <w:lvl w:ilvl="0" w:tplc="4E9AD732">
      <w:start w:val="1"/>
      <w:numFmt w:val="decimal"/>
      <w:lvlText w:val="%1."/>
      <w:lvlJc w:val="left"/>
      <w:pPr>
        <w:ind w:left="1090" w:hanging="360"/>
      </w:pPr>
      <w:rPr>
        <w:rFonts w:cs="Arial" w:hint="default"/>
      </w:rPr>
    </w:lvl>
    <w:lvl w:ilvl="1" w:tplc="1C090019" w:tentative="1">
      <w:start w:val="1"/>
      <w:numFmt w:val="lowerLetter"/>
      <w:lvlText w:val="%2."/>
      <w:lvlJc w:val="left"/>
      <w:pPr>
        <w:ind w:left="1810" w:hanging="360"/>
      </w:pPr>
    </w:lvl>
    <w:lvl w:ilvl="2" w:tplc="1C09001B" w:tentative="1">
      <w:start w:val="1"/>
      <w:numFmt w:val="lowerRoman"/>
      <w:lvlText w:val="%3."/>
      <w:lvlJc w:val="right"/>
      <w:pPr>
        <w:ind w:left="2530" w:hanging="180"/>
      </w:pPr>
    </w:lvl>
    <w:lvl w:ilvl="3" w:tplc="1C09000F" w:tentative="1">
      <w:start w:val="1"/>
      <w:numFmt w:val="decimal"/>
      <w:lvlText w:val="%4."/>
      <w:lvlJc w:val="left"/>
      <w:pPr>
        <w:ind w:left="3250" w:hanging="360"/>
      </w:pPr>
    </w:lvl>
    <w:lvl w:ilvl="4" w:tplc="1C090019" w:tentative="1">
      <w:start w:val="1"/>
      <w:numFmt w:val="lowerLetter"/>
      <w:lvlText w:val="%5."/>
      <w:lvlJc w:val="left"/>
      <w:pPr>
        <w:ind w:left="3970" w:hanging="360"/>
      </w:pPr>
    </w:lvl>
    <w:lvl w:ilvl="5" w:tplc="1C09001B" w:tentative="1">
      <w:start w:val="1"/>
      <w:numFmt w:val="lowerRoman"/>
      <w:lvlText w:val="%6."/>
      <w:lvlJc w:val="right"/>
      <w:pPr>
        <w:ind w:left="4690" w:hanging="180"/>
      </w:pPr>
    </w:lvl>
    <w:lvl w:ilvl="6" w:tplc="1C09000F" w:tentative="1">
      <w:start w:val="1"/>
      <w:numFmt w:val="decimal"/>
      <w:lvlText w:val="%7."/>
      <w:lvlJc w:val="left"/>
      <w:pPr>
        <w:ind w:left="5410" w:hanging="360"/>
      </w:pPr>
    </w:lvl>
    <w:lvl w:ilvl="7" w:tplc="1C090019" w:tentative="1">
      <w:start w:val="1"/>
      <w:numFmt w:val="lowerLetter"/>
      <w:lvlText w:val="%8."/>
      <w:lvlJc w:val="left"/>
      <w:pPr>
        <w:ind w:left="6130" w:hanging="360"/>
      </w:pPr>
    </w:lvl>
    <w:lvl w:ilvl="8" w:tplc="1C09001B" w:tentative="1">
      <w:start w:val="1"/>
      <w:numFmt w:val="lowerRoman"/>
      <w:lvlText w:val="%9."/>
      <w:lvlJc w:val="right"/>
      <w:pPr>
        <w:ind w:left="6850" w:hanging="180"/>
      </w:pPr>
    </w:lvl>
  </w:abstractNum>
  <w:abstractNum w:abstractNumId="7">
    <w:nsid w:val="1B7E716D"/>
    <w:multiLevelType w:val="hybridMultilevel"/>
    <w:tmpl w:val="120EDEC6"/>
    <w:lvl w:ilvl="0" w:tplc="117E8C84">
      <w:start w:val="1"/>
      <w:numFmt w:val="lowerLetter"/>
      <w:lvlText w:val="(%1)"/>
      <w:lvlJc w:val="left"/>
      <w:pPr>
        <w:ind w:left="724" w:hanging="360"/>
      </w:pPr>
      <w:rPr>
        <w:rFonts w:ascii="Arial" w:eastAsia="Times New Roman" w:hAnsi="Arial" w:cs="Arial" w:hint="default"/>
      </w:rPr>
    </w:lvl>
    <w:lvl w:ilvl="1" w:tplc="1C090003" w:tentative="1">
      <w:start w:val="1"/>
      <w:numFmt w:val="bullet"/>
      <w:lvlText w:val="o"/>
      <w:lvlJc w:val="left"/>
      <w:pPr>
        <w:ind w:left="1444" w:hanging="360"/>
      </w:pPr>
      <w:rPr>
        <w:rFonts w:ascii="Courier New" w:hAnsi="Courier New" w:cs="Courier New" w:hint="default"/>
      </w:rPr>
    </w:lvl>
    <w:lvl w:ilvl="2" w:tplc="1C090005" w:tentative="1">
      <w:start w:val="1"/>
      <w:numFmt w:val="bullet"/>
      <w:lvlText w:val=""/>
      <w:lvlJc w:val="left"/>
      <w:pPr>
        <w:ind w:left="2164" w:hanging="360"/>
      </w:pPr>
      <w:rPr>
        <w:rFonts w:ascii="Wingdings" w:hAnsi="Wingdings" w:hint="default"/>
      </w:rPr>
    </w:lvl>
    <w:lvl w:ilvl="3" w:tplc="1C090001" w:tentative="1">
      <w:start w:val="1"/>
      <w:numFmt w:val="bullet"/>
      <w:lvlText w:val=""/>
      <w:lvlJc w:val="left"/>
      <w:pPr>
        <w:ind w:left="2884" w:hanging="360"/>
      </w:pPr>
      <w:rPr>
        <w:rFonts w:ascii="Symbol" w:hAnsi="Symbol" w:hint="default"/>
      </w:rPr>
    </w:lvl>
    <w:lvl w:ilvl="4" w:tplc="1C090003" w:tentative="1">
      <w:start w:val="1"/>
      <w:numFmt w:val="bullet"/>
      <w:lvlText w:val="o"/>
      <w:lvlJc w:val="left"/>
      <w:pPr>
        <w:ind w:left="3604" w:hanging="360"/>
      </w:pPr>
      <w:rPr>
        <w:rFonts w:ascii="Courier New" w:hAnsi="Courier New" w:cs="Courier New" w:hint="default"/>
      </w:rPr>
    </w:lvl>
    <w:lvl w:ilvl="5" w:tplc="1C090005" w:tentative="1">
      <w:start w:val="1"/>
      <w:numFmt w:val="bullet"/>
      <w:lvlText w:val=""/>
      <w:lvlJc w:val="left"/>
      <w:pPr>
        <w:ind w:left="4324" w:hanging="360"/>
      </w:pPr>
      <w:rPr>
        <w:rFonts w:ascii="Wingdings" w:hAnsi="Wingdings" w:hint="default"/>
      </w:rPr>
    </w:lvl>
    <w:lvl w:ilvl="6" w:tplc="1C090001" w:tentative="1">
      <w:start w:val="1"/>
      <w:numFmt w:val="bullet"/>
      <w:lvlText w:val=""/>
      <w:lvlJc w:val="left"/>
      <w:pPr>
        <w:ind w:left="5044" w:hanging="360"/>
      </w:pPr>
      <w:rPr>
        <w:rFonts w:ascii="Symbol" w:hAnsi="Symbol" w:hint="default"/>
      </w:rPr>
    </w:lvl>
    <w:lvl w:ilvl="7" w:tplc="1C090003" w:tentative="1">
      <w:start w:val="1"/>
      <w:numFmt w:val="bullet"/>
      <w:lvlText w:val="o"/>
      <w:lvlJc w:val="left"/>
      <w:pPr>
        <w:ind w:left="5764" w:hanging="360"/>
      </w:pPr>
      <w:rPr>
        <w:rFonts w:ascii="Courier New" w:hAnsi="Courier New" w:cs="Courier New" w:hint="default"/>
      </w:rPr>
    </w:lvl>
    <w:lvl w:ilvl="8" w:tplc="1C090005" w:tentative="1">
      <w:start w:val="1"/>
      <w:numFmt w:val="bullet"/>
      <w:lvlText w:val=""/>
      <w:lvlJc w:val="left"/>
      <w:pPr>
        <w:ind w:left="6484" w:hanging="360"/>
      </w:pPr>
      <w:rPr>
        <w:rFonts w:ascii="Wingdings" w:hAnsi="Wingdings" w:hint="default"/>
      </w:rPr>
    </w:lvl>
  </w:abstractNum>
  <w:abstractNum w:abstractNumId="8">
    <w:nsid w:val="21AF6879"/>
    <w:multiLevelType w:val="hybridMultilevel"/>
    <w:tmpl w:val="3AF096D0"/>
    <w:lvl w:ilvl="0" w:tplc="5D529308">
      <w:start w:val="1"/>
      <w:numFmt w:val="decimal"/>
      <w:lvlText w:val="[%1]"/>
      <w:lvlJc w:val="left"/>
      <w:pPr>
        <w:ind w:left="720" w:hanging="360"/>
      </w:pPr>
      <w:rPr>
        <w:rFonts w:ascii="Arial" w:hAnsi="Arial" w:cs="Arial" w:hint="default"/>
        <w:b w:val="0"/>
        <w:sz w:val="24"/>
        <w:szCs w:val="24"/>
      </w:rPr>
    </w:lvl>
    <w:lvl w:ilvl="1" w:tplc="4BC40C58">
      <w:start w:val="1"/>
      <w:numFmt w:val="decimal"/>
      <w:lvlText w:val="%2."/>
      <w:lvlJc w:val="left"/>
      <w:pPr>
        <w:ind w:left="1440" w:hanging="360"/>
      </w:pPr>
      <w:rPr>
        <w:rFonts w:ascii="Arial" w:hAnsi="Arial" w:cs="Arial" w:hint="default"/>
        <w:i w:val="0"/>
        <w:sz w:val="24"/>
        <w:szCs w:val="24"/>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FA7F96"/>
    <w:multiLevelType w:val="hybridMultilevel"/>
    <w:tmpl w:val="D4241E08"/>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40661E"/>
    <w:multiLevelType w:val="multilevel"/>
    <w:tmpl w:val="947CF536"/>
    <w:lvl w:ilvl="0">
      <w:start w:val="3"/>
      <w:numFmt w:val="decimal"/>
      <w:lvlText w:val="%1"/>
      <w:lvlJc w:val="left"/>
      <w:pPr>
        <w:ind w:left="360" w:hanging="360"/>
      </w:pPr>
      <w:rPr>
        <w:rFonts w:hint="default"/>
        <w:color w:val="131313"/>
      </w:rPr>
    </w:lvl>
    <w:lvl w:ilvl="1">
      <w:start w:val="1"/>
      <w:numFmt w:val="decimal"/>
      <w:lvlText w:val="%1.%2"/>
      <w:lvlJc w:val="left"/>
      <w:pPr>
        <w:ind w:left="2428" w:hanging="360"/>
      </w:pPr>
      <w:rPr>
        <w:rFonts w:hint="default"/>
        <w:color w:val="131313"/>
      </w:rPr>
    </w:lvl>
    <w:lvl w:ilvl="2">
      <w:start w:val="1"/>
      <w:numFmt w:val="decimal"/>
      <w:lvlText w:val="%1.%2.%3"/>
      <w:lvlJc w:val="left"/>
      <w:pPr>
        <w:ind w:left="4856" w:hanging="720"/>
      </w:pPr>
      <w:rPr>
        <w:rFonts w:hint="default"/>
        <w:color w:val="131313"/>
      </w:rPr>
    </w:lvl>
    <w:lvl w:ilvl="3">
      <w:start w:val="1"/>
      <w:numFmt w:val="decimal"/>
      <w:lvlText w:val="%1.%2.%3.%4"/>
      <w:lvlJc w:val="left"/>
      <w:pPr>
        <w:ind w:left="7284" w:hanging="1080"/>
      </w:pPr>
      <w:rPr>
        <w:rFonts w:hint="default"/>
        <w:color w:val="131313"/>
      </w:rPr>
    </w:lvl>
    <w:lvl w:ilvl="4">
      <w:start w:val="1"/>
      <w:numFmt w:val="decimal"/>
      <w:lvlText w:val="%1.%2.%3.%4.%5"/>
      <w:lvlJc w:val="left"/>
      <w:pPr>
        <w:ind w:left="9352" w:hanging="1080"/>
      </w:pPr>
      <w:rPr>
        <w:rFonts w:hint="default"/>
        <w:color w:val="131313"/>
      </w:rPr>
    </w:lvl>
    <w:lvl w:ilvl="5">
      <w:start w:val="1"/>
      <w:numFmt w:val="decimal"/>
      <w:lvlText w:val="%1.%2.%3.%4.%5.%6"/>
      <w:lvlJc w:val="left"/>
      <w:pPr>
        <w:ind w:left="11780" w:hanging="1440"/>
      </w:pPr>
      <w:rPr>
        <w:rFonts w:hint="default"/>
        <w:color w:val="131313"/>
      </w:rPr>
    </w:lvl>
    <w:lvl w:ilvl="6">
      <w:start w:val="1"/>
      <w:numFmt w:val="decimal"/>
      <w:lvlText w:val="%1.%2.%3.%4.%5.%6.%7"/>
      <w:lvlJc w:val="left"/>
      <w:pPr>
        <w:ind w:left="13848" w:hanging="1440"/>
      </w:pPr>
      <w:rPr>
        <w:rFonts w:hint="default"/>
        <w:color w:val="131313"/>
      </w:rPr>
    </w:lvl>
    <w:lvl w:ilvl="7">
      <w:start w:val="1"/>
      <w:numFmt w:val="decimal"/>
      <w:lvlText w:val="%1.%2.%3.%4.%5.%6.%7.%8"/>
      <w:lvlJc w:val="left"/>
      <w:pPr>
        <w:ind w:left="16276" w:hanging="1800"/>
      </w:pPr>
      <w:rPr>
        <w:rFonts w:hint="default"/>
        <w:color w:val="131313"/>
      </w:rPr>
    </w:lvl>
    <w:lvl w:ilvl="8">
      <w:start w:val="1"/>
      <w:numFmt w:val="decimal"/>
      <w:lvlText w:val="%1.%2.%3.%4.%5.%6.%7.%8.%9"/>
      <w:lvlJc w:val="left"/>
      <w:pPr>
        <w:ind w:left="18344" w:hanging="1800"/>
      </w:pPr>
      <w:rPr>
        <w:rFonts w:hint="default"/>
        <w:color w:val="131313"/>
      </w:rPr>
    </w:lvl>
  </w:abstractNum>
  <w:abstractNum w:abstractNumId="11">
    <w:nsid w:val="28E750D3"/>
    <w:multiLevelType w:val="hybridMultilevel"/>
    <w:tmpl w:val="E8FA54A6"/>
    <w:lvl w:ilvl="0" w:tplc="DDF6D198">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B6422A"/>
    <w:multiLevelType w:val="hybridMultilevel"/>
    <w:tmpl w:val="8270A89A"/>
    <w:lvl w:ilvl="0" w:tplc="A2980D78">
      <w:start w:val="4"/>
      <w:numFmt w:val="lowerLetter"/>
      <w:lvlText w:val="%1)"/>
      <w:lvlJc w:val="left"/>
      <w:pPr>
        <w:ind w:left="1610" w:hanging="720"/>
      </w:pPr>
      <w:rPr>
        <w:rFonts w:hint="default"/>
        <w:color w:val="1C1C1C"/>
      </w:rPr>
    </w:lvl>
    <w:lvl w:ilvl="1" w:tplc="1C090019" w:tentative="1">
      <w:start w:val="1"/>
      <w:numFmt w:val="lowerLetter"/>
      <w:lvlText w:val="%2."/>
      <w:lvlJc w:val="left"/>
      <w:pPr>
        <w:ind w:left="1970" w:hanging="360"/>
      </w:pPr>
    </w:lvl>
    <w:lvl w:ilvl="2" w:tplc="1C09001B" w:tentative="1">
      <w:start w:val="1"/>
      <w:numFmt w:val="lowerRoman"/>
      <w:lvlText w:val="%3."/>
      <w:lvlJc w:val="right"/>
      <w:pPr>
        <w:ind w:left="2690" w:hanging="180"/>
      </w:pPr>
    </w:lvl>
    <w:lvl w:ilvl="3" w:tplc="1C09000F" w:tentative="1">
      <w:start w:val="1"/>
      <w:numFmt w:val="decimal"/>
      <w:lvlText w:val="%4."/>
      <w:lvlJc w:val="left"/>
      <w:pPr>
        <w:ind w:left="3410" w:hanging="360"/>
      </w:pPr>
    </w:lvl>
    <w:lvl w:ilvl="4" w:tplc="1C090019" w:tentative="1">
      <w:start w:val="1"/>
      <w:numFmt w:val="lowerLetter"/>
      <w:lvlText w:val="%5."/>
      <w:lvlJc w:val="left"/>
      <w:pPr>
        <w:ind w:left="4130" w:hanging="360"/>
      </w:pPr>
    </w:lvl>
    <w:lvl w:ilvl="5" w:tplc="1C09001B" w:tentative="1">
      <w:start w:val="1"/>
      <w:numFmt w:val="lowerRoman"/>
      <w:lvlText w:val="%6."/>
      <w:lvlJc w:val="right"/>
      <w:pPr>
        <w:ind w:left="4850" w:hanging="180"/>
      </w:pPr>
    </w:lvl>
    <w:lvl w:ilvl="6" w:tplc="1C09000F" w:tentative="1">
      <w:start w:val="1"/>
      <w:numFmt w:val="decimal"/>
      <w:lvlText w:val="%7."/>
      <w:lvlJc w:val="left"/>
      <w:pPr>
        <w:ind w:left="5570" w:hanging="360"/>
      </w:pPr>
    </w:lvl>
    <w:lvl w:ilvl="7" w:tplc="1C090019" w:tentative="1">
      <w:start w:val="1"/>
      <w:numFmt w:val="lowerLetter"/>
      <w:lvlText w:val="%8."/>
      <w:lvlJc w:val="left"/>
      <w:pPr>
        <w:ind w:left="6290" w:hanging="360"/>
      </w:pPr>
    </w:lvl>
    <w:lvl w:ilvl="8" w:tplc="1C09001B" w:tentative="1">
      <w:start w:val="1"/>
      <w:numFmt w:val="lowerRoman"/>
      <w:lvlText w:val="%9."/>
      <w:lvlJc w:val="right"/>
      <w:pPr>
        <w:ind w:left="7010" w:hanging="180"/>
      </w:pPr>
    </w:lvl>
  </w:abstractNum>
  <w:abstractNum w:abstractNumId="13">
    <w:nsid w:val="2ADD278B"/>
    <w:multiLevelType w:val="hybridMultilevel"/>
    <w:tmpl w:val="C3C8758A"/>
    <w:lvl w:ilvl="0" w:tplc="1A5E07D2">
      <w:start w:val="11"/>
      <w:numFmt w:val="decimal"/>
      <w:lvlText w:val="[%1]"/>
      <w:lvlJc w:val="left"/>
      <w:pPr>
        <w:ind w:left="501" w:hanging="360"/>
      </w:pPr>
      <w:rPr>
        <w:rFonts w:hint="default"/>
        <w:sz w:val="26"/>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319107D"/>
    <w:multiLevelType w:val="multilevel"/>
    <w:tmpl w:val="7E10C30A"/>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5">
    <w:nsid w:val="337F59FE"/>
    <w:multiLevelType w:val="hybridMultilevel"/>
    <w:tmpl w:val="29A4C688"/>
    <w:lvl w:ilvl="0" w:tplc="5F00E4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AF13749"/>
    <w:multiLevelType w:val="hybridMultilevel"/>
    <w:tmpl w:val="32E63026"/>
    <w:lvl w:ilvl="0" w:tplc="347281DC">
      <w:start w:val="1"/>
      <w:numFmt w:val="decimal"/>
      <w:lvlText w:val="%1."/>
      <w:lvlJc w:val="left"/>
      <w:pPr>
        <w:ind w:left="1320" w:hanging="360"/>
      </w:pPr>
      <w:rPr>
        <w:rFonts w:cs="Arial" w:hint="default"/>
      </w:rPr>
    </w:lvl>
    <w:lvl w:ilvl="1" w:tplc="1C090019">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7">
    <w:nsid w:val="4EE27F26"/>
    <w:multiLevelType w:val="hybridMultilevel"/>
    <w:tmpl w:val="C9A663D6"/>
    <w:lvl w:ilvl="0" w:tplc="82962E96">
      <w:start w:val="1"/>
      <w:numFmt w:val="decimal"/>
      <w:lvlText w:val="[%1]"/>
      <w:lvlJc w:val="left"/>
      <w:pPr>
        <w:ind w:left="720" w:hanging="360"/>
      </w:pPr>
      <w:rPr>
        <w:rFonts w:hint="default"/>
        <w:sz w:val="26"/>
        <w:szCs w:val="26"/>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9F73088"/>
    <w:multiLevelType w:val="hybridMultilevel"/>
    <w:tmpl w:val="0E8430AC"/>
    <w:lvl w:ilvl="0" w:tplc="8D661C2E">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6FD3ED9"/>
    <w:multiLevelType w:val="hybridMultilevel"/>
    <w:tmpl w:val="8F9E1E08"/>
    <w:lvl w:ilvl="0" w:tplc="0172B906">
      <w:start w:val="1"/>
      <w:numFmt w:val="lowerLetter"/>
      <w:lvlText w:val="%1)"/>
      <w:lvlJc w:val="left"/>
      <w:pPr>
        <w:ind w:left="690" w:hanging="360"/>
      </w:pPr>
      <w:rPr>
        <w:rFonts w:hint="default"/>
        <w:color w:val="313131"/>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20">
    <w:nsid w:val="69F06F2C"/>
    <w:multiLevelType w:val="multilevel"/>
    <w:tmpl w:val="62BC4F88"/>
    <w:lvl w:ilvl="0">
      <w:start w:val="1"/>
      <w:numFmt w:val="decimal"/>
      <w:lvlText w:val="%1."/>
      <w:lvlJc w:val="left"/>
      <w:pPr>
        <w:ind w:left="962" w:hanging="783"/>
        <w:jc w:val="right"/>
      </w:pPr>
      <w:rPr>
        <w:rFonts w:ascii="Arial" w:eastAsia="Arial" w:hAnsi="Arial" w:hint="default"/>
        <w:color w:val="0E0E0E"/>
        <w:spacing w:val="-19"/>
        <w:w w:val="109"/>
        <w:sz w:val="22"/>
        <w:szCs w:val="22"/>
      </w:rPr>
    </w:lvl>
    <w:lvl w:ilvl="1">
      <w:start w:val="1"/>
      <w:numFmt w:val="decimal"/>
      <w:lvlText w:val="%1.%2"/>
      <w:lvlJc w:val="left"/>
      <w:pPr>
        <w:ind w:left="1789" w:hanging="792"/>
      </w:pPr>
      <w:rPr>
        <w:rFonts w:ascii="Arial" w:eastAsia="Arial" w:hAnsi="Arial" w:hint="default"/>
        <w:color w:val="030303"/>
        <w:w w:val="98"/>
        <w:sz w:val="22"/>
        <w:szCs w:val="22"/>
      </w:rPr>
    </w:lvl>
    <w:lvl w:ilvl="2">
      <w:start w:val="1"/>
      <w:numFmt w:val="bullet"/>
      <w:lvlText w:val="•"/>
      <w:lvlJc w:val="left"/>
      <w:pPr>
        <w:ind w:left="2726" w:hanging="792"/>
      </w:pPr>
      <w:rPr>
        <w:rFonts w:hint="default"/>
      </w:rPr>
    </w:lvl>
    <w:lvl w:ilvl="3">
      <w:start w:val="1"/>
      <w:numFmt w:val="bullet"/>
      <w:lvlText w:val="•"/>
      <w:lvlJc w:val="left"/>
      <w:pPr>
        <w:ind w:left="3663" w:hanging="792"/>
      </w:pPr>
      <w:rPr>
        <w:rFonts w:hint="default"/>
      </w:rPr>
    </w:lvl>
    <w:lvl w:ilvl="4">
      <w:start w:val="1"/>
      <w:numFmt w:val="bullet"/>
      <w:lvlText w:val="•"/>
      <w:lvlJc w:val="left"/>
      <w:pPr>
        <w:ind w:left="4599" w:hanging="792"/>
      </w:pPr>
      <w:rPr>
        <w:rFonts w:hint="default"/>
      </w:rPr>
    </w:lvl>
    <w:lvl w:ilvl="5">
      <w:start w:val="1"/>
      <w:numFmt w:val="bullet"/>
      <w:lvlText w:val="•"/>
      <w:lvlJc w:val="left"/>
      <w:pPr>
        <w:ind w:left="5536" w:hanging="792"/>
      </w:pPr>
      <w:rPr>
        <w:rFonts w:hint="default"/>
      </w:rPr>
    </w:lvl>
    <w:lvl w:ilvl="6">
      <w:start w:val="1"/>
      <w:numFmt w:val="bullet"/>
      <w:lvlText w:val="•"/>
      <w:lvlJc w:val="left"/>
      <w:pPr>
        <w:ind w:left="6473" w:hanging="792"/>
      </w:pPr>
      <w:rPr>
        <w:rFonts w:hint="default"/>
      </w:rPr>
    </w:lvl>
    <w:lvl w:ilvl="7">
      <w:start w:val="1"/>
      <w:numFmt w:val="bullet"/>
      <w:lvlText w:val="•"/>
      <w:lvlJc w:val="left"/>
      <w:pPr>
        <w:ind w:left="7409" w:hanging="792"/>
      </w:pPr>
      <w:rPr>
        <w:rFonts w:hint="default"/>
      </w:rPr>
    </w:lvl>
    <w:lvl w:ilvl="8">
      <w:start w:val="1"/>
      <w:numFmt w:val="bullet"/>
      <w:lvlText w:val="•"/>
      <w:lvlJc w:val="left"/>
      <w:pPr>
        <w:ind w:left="8346" w:hanging="792"/>
      </w:pPr>
      <w:rPr>
        <w:rFonts w:hint="default"/>
      </w:rPr>
    </w:lvl>
  </w:abstractNum>
  <w:abstractNum w:abstractNumId="21">
    <w:nsid w:val="6B3A6D5E"/>
    <w:multiLevelType w:val="hybridMultilevel"/>
    <w:tmpl w:val="8D161BCA"/>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1202A9C"/>
    <w:multiLevelType w:val="multilevel"/>
    <w:tmpl w:val="FA7CFD08"/>
    <w:lvl w:ilvl="0">
      <w:start w:val="1"/>
      <w:numFmt w:val="decimal"/>
      <w:lvlText w:val="%1."/>
      <w:lvlJc w:val="left"/>
      <w:pPr>
        <w:ind w:left="1693" w:hanging="706"/>
      </w:pPr>
      <w:rPr>
        <w:rFonts w:ascii="Arial" w:eastAsia="Arial" w:hAnsi="Arial" w:hint="default"/>
        <w:color w:val="070707"/>
        <w:w w:val="104"/>
        <w:sz w:val="21"/>
        <w:szCs w:val="21"/>
      </w:rPr>
    </w:lvl>
    <w:lvl w:ilvl="1">
      <w:start w:val="1"/>
      <w:numFmt w:val="decimal"/>
      <w:lvlText w:val="%1.%2."/>
      <w:lvlJc w:val="left"/>
      <w:pPr>
        <w:ind w:left="2959" w:hanging="719"/>
      </w:pPr>
      <w:rPr>
        <w:rFonts w:ascii="Arial" w:eastAsia="Arial" w:hAnsi="Arial" w:hint="default"/>
        <w:color w:val="131313"/>
        <w:spacing w:val="-11"/>
        <w:w w:val="97"/>
        <w:sz w:val="22"/>
        <w:szCs w:val="22"/>
      </w:rPr>
    </w:lvl>
    <w:lvl w:ilvl="2">
      <w:start w:val="1"/>
      <w:numFmt w:val="bullet"/>
      <w:lvlText w:val="•"/>
      <w:lvlJc w:val="left"/>
      <w:pPr>
        <w:ind w:left="3268" w:hanging="719"/>
      </w:pPr>
      <w:rPr>
        <w:rFonts w:hint="default"/>
      </w:rPr>
    </w:lvl>
    <w:lvl w:ilvl="3">
      <w:start w:val="1"/>
      <w:numFmt w:val="bullet"/>
      <w:lvlText w:val="•"/>
      <w:lvlJc w:val="left"/>
      <w:pPr>
        <w:ind w:left="3578" w:hanging="719"/>
      </w:pPr>
      <w:rPr>
        <w:rFonts w:hint="default"/>
      </w:rPr>
    </w:lvl>
    <w:lvl w:ilvl="4">
      <w:start w:val="1"/>
      <w:numFmt w:val="bullet"/>
      <w:lvlText w:val="•"/>
      <w:lvlJc w:val="left"/>
      <w:pPr>
        <w:ind w:left="3887" w:hanging="719"/>
      </w:pPr>
      <w:rPr>
        <w:rFonts w:hint="default"/>
      </w:rPr>
    </w:lvl>
    <w:lvl w:ilvl="5">
      <w:start w:val="1"/>
      <w:numFmt w:val="bullet"/>
      <w:lvlText w:val="•"/>
      <w:lvlJc w:val="left"/>
      <w:pPr>
        <w:ind w:left="4197" w:hanging="719"/>
      </w:pPr>
      <w:rPr>
        <w:rFonts w:hint="default"/>
      </w:rPr>
    </w:lvl>
    <w:lvl w:ilvl="6">
      <w:start w:val="1"/>
      <w:numFmt w:val="bullet"/>
      <w:lvlText w:val="•"/>
      <w:lvlJc w:val="left"/>
      <w:pPr>
        <w:ind w:left="4506" w:hanging="719"/>
      </w:pPr>
      <w:rPr>
        <w:rFonts w:hint="default"/>
      </w:rPr>
    </w:lvl>
    <w:lvl w:ilvl="7">
      <w:start w:val="1"/>
      <w:numFmt w:val="bullet"/>
      <w:lvlText w:val="•"/>
      <w:lvlJc w:val="left"/>
      <w:pPr>
        <w:ind w:left="4816" w:hanging="719"/>
      </w:pPr>
      <w:rPr>
        <w:rFonts w:hint="default"/>
      </w:rPr>
    </w:lvl>
    <w:lvl w:ilvl="8">
      <w:start w:val="1"/>
      <w:numFmt w:val="bullet"/>
      <w:lvlText w:val="•"/>
      <w:lvlJc w:val="left"/>
      <w:pPr>
        <w:ind w:left="5125" w:hanging="719"/>
      </w:pPr>
      <w:rPr>
        <w:rFonts w:hint="default"/>
      </w:rPr>
    </w:lvl>
  </w:abstractNum>
  <w:num w:numId="1">
    <w:abstractNumId w:val="6"/>
  </w:num>
  <w:num w:numId="2">
    <w:abstractNumId w:val="15"/>
  </w:num>
  <w:num w:numId="3">
    <w:abstractNumId w:val="0"/>
  </w:num>
  <w:num w:numId="4">
    <w:abstractNumId w:val="19"/>
  </w:num>
  <w:num w:numId="5">
    <w:abstractNumId w:val="12"/>
  </w:num>
  <w:num w:numId="6">
    <w:abstractNumId w:val="20"/>
  </w:num>
  <w:num w:numId="7">
    <w:abstractNumId w:val="7"/>
  </w:num>
  <w:num w:numId="8">
    <w:abstractNumId w:val="17"/>
  </w:num>
  <w:num w:numId="9">
    <w:abstractNumId w:val="4"/>
  </w:num>
  <w:num w:numId="10">
    <w:abstractNumId w:val="21"/>
  </w:num>
  <w:num w:numId="11">
    <w:abstractNumId w:val="9"/>
  </w:num>
  <w:num w:numId="12">
    <w:abstractNumId w:val="11"/>
  </w:num>
  <w:num w:numId="13">
    <w:abstractNumId w:val="13"/>
  </w:num>
  <w:num w:numId="14">
    <w:abstractNumId w:val="3"/>
  </w:num>
  <w:num w:numId="15">
    <w:abstractNumId w:val="22"/>
  </w:num>
  <w:num w:numId="16">
    <w:abstractNumId w:val="16"/>
  </w:num>
  <w:num w:numId="17">
    <w:abstractNumId w:val="1"/>
  </w:num>
  <w:num w:numId="18">
    <w:abstractNumId w:val="10"/>
  </w:num>
  <w:num w:numId="19">
    <w:abstractNumId w:val="2"/>
  </w:num>
  <w:num w:numId="20">
    <w:abstractNumId w:val="8"/>
  </w:num>
  <w:num w:numId="21">
    <w:abstractNumId w:val="5"/>
  </w:num>
  <w:num w:numId="22">
    <w:abstractNumId w:val="18"/>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A2"/>
    <w:rsid w:val="000024F3"/>
    <w:rsid w:val="00010712"/>
    <w:rsid w:val="00011883"/>
    <w:rsid w:val="00015081"/>
    <w:rsid w:val="00020261"/>
    <w:rsid w:val="00024C89"/>
    <w:rsid w:val="000342D6"/>
    <w:rsid w:val="00041F9E"/>
    <w:rsid w:val="00050D1D"/>
    <w:rsid w:val="000629F0"/>
    <w:rsid w:val="000655C6"/>
    <w:rsid w:val="000672FC"/>
    <w:rsid w:val="0007214B"/>
    <w:rsid w:val="00073137"/>
    <w:rsid w:val="000A0317"/>
    <w:rsid w:val="000A7D51"/>
    <w:rsid w:val="000E3D6B"/>
    <w:rsid w:val="000F216C"/>
    <w:rsid w:val="000F7D52"/>
    <w:rsid w:val="0010295C"/>
    <w:rsid w:val="00104031"/>
    <w:rsid w:val="001119B7"/>
    <w:rsid w:val="001228D6"/>
    <w:rsid w:val="00124E06"/>
    <w:rsid w:val="00132DBD"/>
    <w:rsid w:val="00137ABD"/>
    <w:rsid w:val="00142CEC"/>
    <w:rsid w:val="00147A87"/>
    <w:rsid w:val="00156DC0"/>
    <w:rsid w:val="0016545B"/>
    <w:rsid w:val="0016654D"/>
    <w:rsid w:val="00191870"/>
    <w:rsid w:val="001B5E40"/>
    <w:rsid w:val="001C4B3D"/>
    <w:rsid w:val="001C4D61"/>
    <w:rsid w:val="001D1235"/>
    <w:rsid w:val="001D18D1"/>
    <w:rsid w:val="001E37D6"/>
    <w:rsid w:val="00214220"/>
    <w:rsid w:val="002179E4"/>
    <w:rsid w:val="00217B5E"/>
    <w:rsid w:val="00243D0C"/>
    <w:rsid w:val="00250427"/>
    <w:rsid w:val="00251403"/>
    <w:rsid w:val="002538E2"/>
    <w:rsid w:val="00262E13"/>
    <w:rsid w:val="002706C2"/>
    <w:rsid w:val="00276D3A"/>
    <w:rsid w:val="002A4A94"/>
    <w:rsid w:val="002B2DE1"/>
    <w:rsid w:val="002C40CB"/>
    <w:rsid w:val="002C61B1"/>
    <w:rsid w:val="002C7D5B"/>
    <w:rsid w:val="002D2D12"/>
    <w:rsid w:val="002F6202"/>
    <w:rsid w:val="002F6662"/>
    <w:rsid w:val="00301F08"/>
    <w:rsid w:val="00302DFD"/>
    <w:rsid w:val="00311F38"/>
    <w:rsid w:val="00312255"/>
    <w:rsid w:val="00312725"/>
    <w:rsid w:val="0032365F"/>
    <w:rsid w:val="003271A3"/>
    <w:rsid w:val="00361040"/>
    <w:rsid w:val="00362827"/>
    <w:rsid w:val="00373C71"/>
    <w:rsid w:val="00382105"/>
    <w:rsid w:val="00394A27"/>
    <w:rsid w:val="00394BA2"/>
    <w:rsid w:val="003A2F0D"/>
    <w:rsid w:val="003A60B2"/>
    <w:rsid w:val="003B33DD"/>
    <w:rsid w:val="003B59F9"/>
    <w:rsid w:val="003C09F0"/>
    <w:rsid w:val="003C365C"/>
    <w:rsid w:val="003C38C5"/>
    <w:rsid w:val="003C7BC7"/>
    <w:rsid w:val="003F2256"/>
    <w:rsid w:val="00401471"/>
    <w:rsid w:val="00406578"/>
    <w:rsid w:val="004244E5"/>
    <w:rsid w:val="004276BF"/>
    <w:rsid w:val="00433FBF"/>
    <w:rsid w:val="00457C92"/>
    <w:rsid w:val="00473EEB"/>
    <w:rsid w:val="00481041"/>
    <w:rsid w:val="004A3947"/>
    <w:rsid w:val="004A5810"/>
    <w:rsid w:val="004B4EDF"/>
    <w:rsid w:val="004C01A9"/>
    <w:rsid w:val="004C0CFB"/>
    <w:rsid w:val="004E11CB"/>
    <w:rsid w:val="004E70C6"/>
    <w:rsid w:val="004E77C2"/>
    <w:rsid w:val="004E7AE4"/>
    <w:rsid w:val="004F226C"/>
    <w:rsid w:val="005022DB"/>
    <w:rsid w:val="0050649A"/>
    <w:rsid w:val="0052799A"/>
    <w:rsid w:val="005322E7"/>
    <w:rsid w:val="00533609"/>
    <w:rsid w:val="005422D0"/>
    <w:rsid w:val="0054576F"/>
    <w:rsid w:val="00557A1F"/>
    <w:rsid w:val="005722DB"/>
    <w:rsid w:val="00573AFA"/>
    <w:rsid w:val="00577A30"/>
    <w:rsid w:val="00580799"/>
    <w:rsid w:val="00596852"/>
    <w:rsid w:val="005A26C0"/>
    <w:rsid w:val="005A34DE"/>
    <w:rsid w:val="005A4230"/>
    <w:rsid w:val="005B2977"/>
    <w:rsid w:val="005C43E8"/>
    <w:rsid w:val="005C531A"/>
    <w:rsid w:val="005D6EFE"/>
    <w:rsid w:val="005E3F4A"/>
    <w:rsid w:val="00602EC7"/>
    <w:rsid w:val="00635508"/>
    <w:rsid w:val="00636926"/>
    <w:rsid w:val="00654F11"/>
    <w:rsid w:val="00662791"/>
    <w:rsid w:val="0068034F"/>
    <w:rsid w:val="0068130F"/>
    <w:rsid w:val="00683D53"/>
    <w:rsid w:val="00687487"/>
    <w:rsid w:val="006A1708"/>
    <w:rsid w:val="006A589D"/>
    <w:rsid w:val="006A78E3"/>
    <w:rsid w:val="006D4259"/>
    <w:rsid w:val="006D5F5A"/>
    <w:rsid w:val="006F6C5D"/>
    <w:rsid w:val="00707C74"/>
    <w:rsid w:val="00714B72"/>
    <w:rsid w:val="00717F23"/>
    <w:rsid w:val="00727095"/>
    <w:rsid w:val="00733784"/>
    <w:rsid w:val="00733ED6"/>
    <w:rsid w:val="007359CC"/>
    <w:rsid w:val="00737B9B"/>
    <w:rsid w:val="0074137A"/>
    <w:rsid w:val="007570EE"/>
    <w:rsid w:val="007664EB"/>
    <w:rsid w:val="00774D14"/>
    <w:rsid w:val="00780DB9"/>
    <w:rsid w:val="0078185E"/>
    <w:rsid w:val="00783584"/>
    <w:rsid w:val="00796B1E"/>
    <w:rsid w:val="007A59A1"/>
    <w:rsid w:val="007B1E3D"/>
    <w:rsid w:val="007C0815"/>
    <w:rsid w:val="007C511D"/>
    <w:rsid w:val="007C6961"/>
    <w:rsid w:val="007E1BB6"/>
    <w:rsid w:val="007E516F"/>
    <w:rsid w:val="007F3563"/>
    <w:rsid w:val="00806666"/>
    <w:rsid w:val="0081225D"/>
    <w:rsid w:val="008208C2"/>
    <w:rsid w:val="00821F37"/>
    <w:rsid w:val="0082466D"/>
    <w:rsid w:val="00837C4A"/>
    <w:rsid w:val="0085031E"/>
    <w:rsid w:val="00850C7C"/>
    <w:rsid w:val="00862B30"/>
    <w:rsid w:val="00864B38"/>
    <w:rsid w:val="008734F7"/>
    <w:rsid w:val="008877BD"/>
    <w:rsid w:val="00891DFB"/>
    <w:rsid w:val="008B130A"/>
    <w:rsid w:val="008C1539"/>
    <w:rsid w:val="008C799E"/>
    <w:rsid w:val="008E1F40"/>
    <w:rsid w:val="008F4AA1"/>
    <w:rsid w:val="008F7208"/>
    <w:rsid w:val="00902210"/>
    <w:rsid w:val="009124F2"/>
    <w:rsid w:val="00916E5B"/>
    <w:rsid w:val="0092211B"/>
    <w:rsid w:val="00933467"/>
    <w:rsid w:val="009356C0"/>
    <w:rsid w:val="009528C7"/>
    <w:rsid w:val="0097489B"/>
    <w:rsid w:val="009803A6"/>
    <w:rsid w:val="009867A6"/>
    <w:rsid w:val="00986B9C"/>
    <w:rsid w:val="00997DEA"/>
    <w:rsid w:val="009A7890"/>
    <w:rsid w:val="009D0222"/>
    <w:rsid w:val="009E6936"/>
    <w:rsid w:val="009F7101"/>
    <w:rsid w:val="00A02153"/>
    <w:rsid w:val="00A038CA"/>
    <w:rsid w:val="00A27DD6"/>
    <w:rsid w:val="00A42D5D"/>
    <w:rsid w:val="00A54446"/>
    <w:rsid w:val="00A63EC2"/>
    <w:rsid w:val="00A70257"/>
    <w:rsid w:val="00A73312"/>
    <w:rsid w:val="00A74103"/>
    <w:rsid w:val="00A809F5"/>
    <w:rsid w:val="00A950CD"/>
    <w:rsid w:val="00AA4B99"/>
    <w:rsid w:val="00AA7A17"/>
    <w:rsid w:val="00AA7D07"/>
    <w:rsid w:val="00AE322F"/>
    <w:rsid w:val="00AF4D63"/>
    <w:rsid w:val="00B00F7E"/>
    <w:rsid w:val="00B020DB"/>
    <w:rsid w:val="00B14CA3"/>
    <w:rsid w:val="00B20D4D"/>
    <w:rsid w:val="00B369EE"/>
    <w:rsid w:val="00B3771C"/>
    <w:rsid w:val="00B53CEC"/>
    <w:rsid w:val="00B668BA"/>
    <w:rsid w:val="00B66C69"/>
    <w:rsid w:val="00BA07D2"/>
    <w:rsid w:val="00BA0A37"/>
    <w:rsid w:val="00BA6DD9"/>
    <w:rsid w:val="00BA76E0"/>
    <w:rsid w:val="00BC28D5"/>
    <w:rsid w:val="00BD5B73"/>
    <w:rsid w:val="00BE68F0"/>
    <w:rsid w:val="00BF4B8D"/>
    <w:rsid w:val="00BF7A99"/>
    <w:rsid w:val="00C00815"/>
    <w:rsid w:val="00C03E5C"/>
    <w:rsid w:val="00C24914"/>
    <w:rsid w:val="00C25526"/>
    <w:rsid w:val="00C359F4"/>
    <w:rsid w:val="00C44C77"/>
    <w:rsid w:val="00C67F09"/>
    <w:rsid w:val="00C74573"/>
    <w:rsid w:val="00CE7E4C"/>
    <w:rsid w:val="00D032BD"/>
    <w:rsid w:val="00D05584"/>
    <w:rsid w:val="00D07169"/>
    <w:rsid w:val="00D1183D"/>
    <w:rsid w:val="00D31EBC"/>
    <w:rsid w:val="00D37098"/>
    <w:rsid w:val="00D37453"/>
    <w:rsid w:val="00D673FB"/>
    <w:rsid w:val="00D70F54"/>
    <w:rsid w:val="00D74A36"/>
    <w:rsid w:val="00D97FFA"/>
    <w:rsid w:val="00DA1949"/>
    <w:rsid w:val="00DB711C"/>
    <w:rsid w:val="00DC037F"/>
    <w:rsid w:val="00DC4544"/>
    <w:rsid w:val="00E00D28"/>
    <w:rsid w:val="00E073CD"/>
    <w:rsid w:val="00E21AC2"/>
    <w:rsid w:val="00E221F3"/>
    <w:rsid w:val="00E305C7"/>
    <w:rsid w:val="00E342D3"/>
    <w:rsid w:val="00E43539"/>
    <w:rsid w:val="00E4387E"/>
    <w:rsid w:val="00E516D8"/>
    <w:rsid w:val="00E67026"/>
    <w:rsid w:val="00E812D2"/>
    <w:rsid w:val="00E83244"/>
    <w:rsid w:val="00E83273"/>
    <w:rsid w:val="00E935C5"/>
    <w:rsid w:val="00EA26EC"/>
    <w:rsid w:val="00EB3A66"/>
    <w:rsid w:val="00EC4512"/>
    <w:rsid w:val="00ED7259"/>
    <w:rsid w:val="00EF2171"/>
    <w:rsid w:val="00EF3ECF"/>
    <w:rsid w:val="00F06EAB"/>
    <w:rsid w:val="00F12FDC"/>
    <w:rsid w:val="00F21FA9"/>
    <w:rsid w:val="00F22D11"/>
    <w:rsid w:val="00F40AAF"/>
    <w:rsid w:val="00F41EE5"/>
    <w:rsid w:val="00F457F6"/>
    <w:rsid w:val="00F46042"/>
    <w:rsid w:val="00F52A47"/>
    <w:rsid w:val="00F670F4"/>
    <w:rsid w:val="00F80BEF"/>
    <w:rsid w:val="00F8403E"/>
    <w:rsid w:val="00F93BDB"/>
    <w:rsid w:val="00FA25E2"/>
    <w:rsid w:val="00FA6AA8"/>
    <w:rsid w:val="00FA70F6"/>
    <w:rsid w:val="00FD5A2D"/>
    <w:rsid w:val="00FE48E5"/>
    <w:rsid w:val="00FE71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2E5D0-62E4-4F4B-8E94-2D2FE88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A6DD9"/>
    <w:pPr>
      <w:widowControl w:val="0"/>
      <w:spacing w:after="0" w:line="240" w:lineRule="auto"/>
      <w:outlineLvl w:val="2"/>
    </w:pPr>
    <w:rPr>
      <w:rFonts w:ascii="Arial" w:eastAsia="Arial" w:hAnsi="Arial"/>
      <w:sz w:val="31"/>
      <w:szCs w:val="31"/>
      <w:lang w:val="en-US"/>
    </w:rPr>
  </w:style>
  <w:style w:type="paragraph" w:styleId="Heading5">
    <w:name w:val="heading 5"/>
    <w:basedOn w:val="Normal"/>
    <w:link w:val="Heading5Char"/>
    <w:uiPriority w:val="1"/>
    <w:qFormat/>
    <w:rsid w:val="00BA6DD9"/>
    <w:pPr>
      <w:widowControl w:val="0"/>
      <w:spacing w:after="0" w:line="240" w:lineRule="auto"/>
      <w:outlineLvl w:val="4"/>
    </w:pPr>
    <w:rPr>
      <w:rFonts w:ascii="Times New Roman" w:eastAsia="Times New Roman" w:hAnsi="Times New Roman"/>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AB"/>
    <w:pPr>
      <w:ind w:left="720"/>
      <w:contextualSpacing/>
    </w:pPr>
  </w:style>
  <w:style w:type="paragraph" w:styleId="FootnoteText">
    <w:name w:val="footnote text"/>
    <w:basedOn w:val="Normal"/>
    <w:link w:val="FootnoteTextChar"/>
    <w:uiPriority w:val="99"/>
    <w:unhideWhenUsed/>
    <w:rsid w:val="007C511D"/>
    <w:pPr>
      <w:spacing w:after="0" w:line="240" w:lineRule="auto"/>
    </w:pPr>
    <w:rPr>
      <w:sz w:val="20"/>
      <w:szCs w:val="20"/>
    </w:rPr>
  </w:style>
  <w:style w:type="character" w:customStyle="1" w:styleId="FootnoteTextChar">
    <w:name w:val="Footnote Text Char"/>
    <w:basedOn w:val="DefaultParagraphFont"/>
    <w:link w:val="FootnoteText"/>
    <w:uiPriority w:val="99"/>
    <w:rsid w:val="007C511D"/>
    <w:rPr>
      <w:sz w:val="20"/>
      <w:szCs w:val="20"/>
    </w:rPr>
  </w:style>
  <w:style w:type="character" w:styleId="FootnoteReference">
    <w:name w:val="footnote reference"/>
    <w:basedOn w:val="DefaultParagraphFont"/>
    <w:uiPriority w:val="99"/>
    <w:unhideWhenUsed/>
    <w:rsid w:val="007C511D"/>
    <w:rPr>
      <w:vertAlign w:val="superscript"/>
    </w:rPr>
  </w:style>
  <w:style w:type="character" w:customStyle="1" w:styleId="Heading3Char">
    <w:name w:val="Heading 3 Char"/>
    <w:basedOn w:val="DefaultParagraphFont"/>
    <w:link w:val="Heading3"/>
    <w:uiPriority w:val="1"/>
    <w:rsid w:val="00BA6DD9"/>
    <w:rPr>
      <w:rFonts w:ascii="Arial" w:eastAsia="Arial" w:hAnsi="Arial"/>
      <w:sz w:val="31"/>
      <w:szCs w:val="31"/>
      <w:lang w:val="en-US"/>
    </w:rPr>
  </w:style>
  <w:style w:type="character" w:customStyle="1" w:styleId="Heading5Char">
    <w:name w:val="Heading 5 Char"/>
    <w:basedOn w:val="DefaultParagraphFont"/>
    <w:link w:val="Heading5"/>
    <w:uiPriority w:val="1"/>
    <w:rsid w:val="00BA6DD9"/>
    <w:rPr>
      <w:rFonts w:ascii="Times New Roman" w:eastAsia="Times New Roman" w:hAnsi="Times New Roman"/>
      <w:sz w:val="25"/>
      <w:szCs w:val="25"/>
      <w:lang w:val="en-US"/>
    </w:rPr>
  </w:style>
  <w:style w:type="paragraph" w:styleId="BodyText">
    <w:name w:val="Body Text"/>
    <w:basedOn w:val="Normal"/>
    <w:link w:val="BodyTextChar"/>
    <w:uiPriority w:val="1"/>
    <w:qFormat/>
    <w:rsid w:val="00BA6DD9"/>
    <w:pPr>
      <w:widowControl w:val="0"/>
      <w:spacing w:after="0" w:line="240" w:lineRule="auto"/>
      <w:ind w:left="2068"/>
    </w:pPr>
    <w:rPr>
      <w:rFonts w:ascii="Arial" w:eastAsia="Arial" w:hAnsi="Arial"/>
      <w:sz w:val="24"/>
      <w:szCs w:val="24"/>
      <w:lang w:val="en-US"/>
    </w:rPr>
  </w:style>
  <w:style w:type="character" w:customStyle="1" w:styleId="BodyTextChar">
    <w:name w:val="Body Text Char"/>
    <w:basedOn w:val="DefaultParagraphFont"/>
    <w:link w:val="BodyText"/>
    <w:uiPriority w:val="1"/>
    <w:rsid w:val="00BA6DD9"/>
    <w:rPr>
      <w:rFonts w:ascii="Arial" w:eastAsia="Arial" w:hAnsi="Arial"/>
      <w:sz w:val="24"/>
      <w:szCs w:val="24"/>
      <w:lang w:val="en-US"/>
    </w:rPr>
  </w:style>
  <w:style w:type="paragraph" w:styleId="BalloonText">
    <w:name w:val="Balloon Text"/>
    <w:basedOn w:val="Normal"/>
    <w:link w:val="BalloonTextChar"/>
    <w:uiPriority w:val="99"/>
    <w:semiHidden/>
    <w:unhideWhenUsed/>
    <w:rsid w:val="0082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C2"/>
    <w:rPr>
      <w:rFonts w:ascii="Segoe UI" w:hAnsi="Segoe UI" w:cs="Segoe UI"/>
      <w:sz w:val="18"/>
      <w:szCs w:val="18"/>
    </w:rPr>
  </w:style>
  <w:style w:type="paragraph" w:styleId="Header">
    <w:name w:val="header"/>
    <w:basedOn w:val="Normal"/>
    <w:link w:val="HeaderChar"/>
    <w:uiPriority w:val="99"/>
    <w:unhideWhenUsed/>
    <w:rsid w:val="00D6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FB"/>
  </w:style>
  <w:style w:type="paragraph" w:styleId="Footer">
    <w:name w:val="footer"/>
    <w:basedOn w:val="Normal"/>
    <w:link w:val="FooterChar"/>
    <w:uiPriority w:val="99"/>
    <w:unhideWhenUsed/>
    <w:rsid w:val="00D6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FB"/>
  </w:style>
  <w:style w:type="character" w:customStyle="1" w:styleId="Heading1Char">
    <w:name w:val="Heading 1 Char"/>
    <w:basedOn w:val="DefaultParagraphFont"/>
    <w:link w:val="Heading1"/>
    <w:uiPriority w:val="9"/>
    <w:rsid w:val="00577A3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77A3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14220"/>
    <w:rPr>
      <w:color w:val="0000FF"/>
      <w:u w:val="single"/>
    </w:rPr>
  </w:style>
  <w:style w:type="character" w:customStyle="1" w:styleId="Heading2Char">
    <w:name w:val="Heading 2 Char"/>
    <w:basedOn w:val="DefaultParagraphFont"/>
    <w:link w:val="Heading2"/>
    <w:uiPriority w:val="9"/>
    <w:semiHidden/>
    <w:rsid w:val="00864B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5788">
      <w:bodyDiv w:val="1"/>
      <w:marLeft w:val="0"/>
      <w:marRight w:val="0"/>
      <w:marTop w:val="0"/>
      <w:marBottom w:val="0"/>
      <w:divBdr>
        <w:top w:val="none" w:sz="0" w:space="0" w:color="auto"/>
        <w:left w:val="none" w:sz="0" w:space="0" w:color="auto"/>
        <w:bottom w:val="none" w:sz="0" w:space="0" w:color="auto"/>
        <w:right w:val="none" w:sz="0" w:space="0" w:color="auto"/>
      </w:divBdr>
    </w:div>
    <w:div w:id="19759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60E1-B35A-4144-9365-EF3B47CC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Gugulethu Moyo</dc:creator>
  <cp:keywords/>
  <dc:description/>
  <cp:lastModifiedBy>Mokone</cp:lastModifiedBy>
  <cp:revision>2</cp:revision>
  <cp:lastPrinted>2023-03-06T10:09:00Z</cp:lastPrinted>
  <dcterms:created xsi:type="dcterms:W3CDTF">2023-03-10T10:26:00Z</dcterms:created>
  <dcterms:modified xsi:type="dcterms:W3CDTF">2023-03-10T10:26:00Z</dcterms:modified>
</cp:coreProperties>
</file>