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687CA1DB" w:rsidR="006D4C73" w:rsidRDefault="0019231D" w:rsidP="0019231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7BEDAFC2" w:rsidR="006D4C73" w:rsidRDefault="0019231D" w:rsidP="0019231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4FC60D01" w:rsidR="006D4C73" w:rsidRDefault="0019231D" w:rsidP="0019231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24FB4F08" w:rsidR="007517F4" w:rsidRDefault="006D4C73" w:rsidP="006D4C73">
                            <w:pPr>
                              <w:rPr>
                                <w:noProof/>
                                <w:lang w:val="en-US"/>
                              </w:rPr>
                            </w:pPr>
                            <w:r>
                              <w:rPr>
                                <w:rFonts w:ascii="Century Gothic" w:hAnsi="Century Gothic"/>
                                <w:b/>
                                <w:sz w:val="18"/>
                                <w:szCs w:val="18"/>
                              </w:rPr>
                              <w:t xml:space="preserve"> </w:t>
                            </w:r>
                          </w:p>
                          <w:p w14:paraId="58139DF4" w14:textId="77777777" w:rsidR="00567DD8" w:rsidRDefault="00567DD8"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7610C7C2"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5012F3">
                              <w:rPr>
                                <w:rFonts w:ascii="Century Gothic" w:hAnsi="Century Gothic"/>
                                <w:sz w:val="18"/>
                                <w:szCs w:val="18"/>
                              </w:rPr>
                              <w:t>16</w:t>
                            </w:r>
                            <w:r w:rsidR="0094712D">
                              <w:rPr>
                                <w:rFonts w:ascii="Century Gothic" w:hAnsi="Century Gothic"/>
                                <w:sz w:val="18"/>
                                <w:szCs w:val="18"/>
                              </w:rPr>
                              <w:t xml:space="preserve"> </w:t>
                            </w:r>
                            <w:r w:rsidR="005012F3">
                              <w:rPr>
                                <w:rFonts w:ascii="Century Gothic" w:hAnsi="Century Gothic"/>
                                <w:sz w:val="18"/>
                                <w:szCs w:val="18"/>
                              </w:rPr>
                              <w:t>March</w:t>
                            </w:r>
                            <w:r w:rsidR="006B0801">
                              <w:rPr>
                                <w:rFonts w:ascii="Century Gothic" w:hAnsi="Century Gothic"/>
                                <w:sz w:val="18"/>
                                <w:szCs w:val="18"/>
                              </w:rPr>
                              <w:t xml:space="preserve"> 202</w:t>
                            </w:r>
                            <w:r w:rsidR="005012F3">
                              <w:rPr>
                                <w:rFonts w:ascii="Century Gothic" w:hAnsi="Century Gothic"/>
                                <w:sz w:val="18"/>
                                <w:szCs w:val="18"/>
                              </w:rPr>
                              <w:t>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687CA1DB" w:rsidR="006D4C73" w:rsidRDefault="0019231D" w:rsidP="0019231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7BEDAFC2" w:rsidR="006D4C73" w:rsidRDefault="0019231D" w:rsidP="0019231D">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4FC60D01" w:rsidR="006D4C73" w:rsidRDefault="0019231D" w:rsidP="0019231D">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24FB4F08" w:rsidR="007517F4" w:rsidRDefault="006D4C73" w:rsidP="006D4C73">
                      <w:pPr>
                        <w:rPr>
                          <w:noProof/>
                          <w:lang w:val="en-US"/>
                        </w:rPr>
                      </w:pPr>
                      <w:r>
                        <w:rPr>
                          <w:rFonts w:ascii="Century Gothic" w:hAnsi="Century Gothic"/>
                          <w:b/>
                          <w:sz w:val="18"/>
                          <w:szCs w:val="18"/>
                        </w:rPr>
                        <w:t xml:space="preserve"> </w:t>
                      </w:r>
                    </w:p>
                    <w:p w14:paraId="58139DF4" w14:textId="77777777" w:rsidR="00567DD8" w:rsidRDefault="00567DD8"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7610C7C2"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5012F3">
                        <w:rPr>
                          <w:rFonts w:ascii="Century Gothic" w:hAnsi="Century Gothic"/>
                          <w:sz w:val="18"/>
                          <w:szCs w:val="18"/>
                        </w:rPr>
                        <w:t>16</w:t>
                      </w:r>
                      <w:r w:rsidR="0094712D">
                        <w:rPr>
                          <w:rFonts w:ascii="Century Gothic" w:hAnsi="Century Gothic"/>
                          <w:sz w:val="18"/>
                          <w:szCs w:val="18"/>
                        </w:rPr>
                        <w:t xml:space="preserve"> </w:t>
                      </w:r>
                      <w:r w:rsidR="005012F3">
                        <w:rPr>
                          <w:rFonts w:ascii="Century Gothic" w:hAnsi="Century Gothic"/>
                          <w:sz w:val="18"/>
                          <w:szCs w:val="18"/>
                        </w:rPr>
                        <w:t>March</w:t>
                      </w:r>
                      <w:r w:rsidR="006B0801">
                        <w:rPr>
                          <w:rFonts w:ascii="Century Gothic" w:hAnsi="Century Gothic"/>
                          <w:sz w:val="18"/>
                          <w:szCs w:val="18"/>
                        </w:rPr>
                        <w:t xml:space="preserve"> 202</w:t>
                      </w:r>
                      <w:r w:rsidR="005012F3">
                        <w:rPr>
                          <w:rFonts w:ascii="Century Gothic" w:hAnsi="Century Gothic"/>
                          <w:sz w:val="18"/>
                          <w:szCs w:val="18"/>
                        </w:rPr>
                        <w:t>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2934C4C1" w14:textId="27FA16EC"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D261C3" w:rsidRPr="0094712D">
        <w:rPr>
          <w:rFonts w:ascii="Arial" w:hAnsi="Arial" w:cs="Arial"/>
          <w:b/>
          <w:bCs/>
          <w:lang w:val="en-US"/>
        </w:rPr>
        <w:t xml:space="preserve"> </w:t>
      </w:r>
      <w:r w:rsidR="0094712D">
        <w:rPr>
          <w:rFonts w:ascii="Arial" w:hAnsi="Arial" w:cs="Arial"/>
          <w:lang w:val="en-US"/>
        </w:rPr>
        <w:t>2019/26732</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26A353F9" w:rsidR="00D261C3" w:rsidRDefault="0094712D" w:rsidP="00D261C3">
      <w:pPr>
        <w:tabs>
          <w:tab w:val="right" w:pos="8646"/>
        </w:tabs>
        <w:rPr>
          <w:rFonts w:ascii="Arial" w:hAnsi="Arial"/>
        </w:rPr>
      </w:pPr>
      <w:r>
        <w:rPr>
          <w:rFonts w:ascii="Arial" w:hAnsi="Arial"/>
          <w:b/>
        </w:rPr>
        <w:t>JJVW</w:t>
      </w:r>
      <w:r w:rsidR="00D7474F">
        <w:rPr>
          <w:rFonts w:ascii="Arial" w:hAnsi="Arial"/>
        </w:rPr>
        <w:tab/>
      </w:r>
      <w:r w:rsidR="00046872">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1339423C" w:rsidR="00D261C3" w:rsidRDefault="0094712D" w:rsidP="00D261C3">
      <w:pPr>
        <w:tabs>
          <w:tab w:val="right" w:pos="8646"/>
        </w:tabs>
        <w:rPr>
          <w:rFonts w:ascii="Arial" w:hAnsi="Arial"/>
          <w:bCs/>
        </w:rPr>
      </w:pPr>
      <w:r>
        <w:rPr>
          <w:rFonts w:ascii="Arial" w:hAnsi="Arial"/>
          <w:b/>
        </w:rPr>
        <w:t>NVW</w:t>
      </w:r>
      <w:r w:rsidR="00D261C3" w:rsidRPr="00D261C3">
        <w:rPr>
          <w:rFonts w:ascii="Arial" w:hAnsi="Arial"/>
          <w:b/>
        </w:rPr>
        <w:tab/>
      </w:r>
      <w:r w:rsidR="003E447A">
        <w:rPr>
          <w:rFonts w:ascii="Arial" w:hAnsi="Arial"/>
          <w:bCs/>
        </w:rPr>
        <w:t>Respondent</w:t>
      </w:r>
    </w:p>
    <w:p w14:paraId="230963A3" w14:textId="3A402C85" w:rsidR="00046872" w:rsidRDefault="00046872" w:rsidP="00D261C3">
      <w:pPr>
        <w:tabs>
          <w:tab w:val="right" w:pos="8646"/>
        </w:tabs>
        <w:rPr>
          <w:rFonts w:ascii="Arial" w:hAnsi="Arial"/>
          <w:bCs/>
        </w:rPr>
      </w:pP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76BE77F5" w14:textId="0C50A019" w:rsidR="00D6496D"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12CCA4BF" w14:textId="73604864" w:rsidR="005012F3" w:rsidRDefault="0019231D" w:rsidP="0019231D">
      <w:pPr>
        <w:pStyle w:val="Paragraph12pt"/>
        <w:tabs>
          <w:tab w:val="left" w:pos="851"/>
        </w:tabs>
        <w:ind w:left="851" w:hanging="851"/>
      </w:pPr>
      <w:r>
        <w:rPr>
          <w:rFonts w:cs="Arial"/>
          <w:color w:val="000000"/>
          <w:szCs w:val="24"/>
        </w:rPr>
        <w:t>1</w:t>
      </w:r>
      <w:r>
        <w:rPr>
          <w:rFonts w:cs="Arial"/>
          <w:color w:val="000000"/>
          <w:szCs w:val="24"/>
        </w:rPr>
        <w:tab/>
      </w:r>
      <w:r w:rsidR="005012F3">
        <w:t>On 22 February 2023, I struck an application for leave to appeal brought by the applicant, Mr. VW, from the roll, with costs. I also appointed Laura Edmonds, a social worker, as the supervising professional who will manage contact between the respondent, Mrs. VW and the parties</w:t>
      </w:r>
      <w:r w:rsidR="007F4079">
        <w:t>’</w:t>
      </w:r>
      <w:r w:rsidR="005012F3">
        <w:t xml:space="preserve"> child, SA, in terms of my order of 18 October 2022. </w:t>
      </w:r>
    </w:p>
    <w:p w14:paraId="35587F30" w14:textId="1A817488" w:rsidR="005012F3" w:rsidRDefault="0019231D" w:rsidP="0019231D">
      <w:pPr>
        <w:pStyle w:val="Paragraph12pt"/>
        <w:tabs>
          <w:tab w:val="left" w:pos="851"/>
        </w:tabs>
        <w:ind w:left="851" w:hanging="851"/>
      </w:pPr>
      <w:r>
        <w:rPr>
          <w:rFonts w:cs="Arial"/>
          <w:color w:val="000000"/>
          <w:szCs w:val="24"/>
        </w:rPr>
        <w:lastRenderedPageBreak/>
        <w:t>2</w:t>
      </w:r>
      <w:r>
        <w:rPr>
          <w:rFonts w:cs="Arial"/>
          <w:color w:val="000000"/>
          <w:szCs w:val="24"/>
        </w:rPr>
        <w:tab/>
      </w:r>
      <w:r w:rsidR="005012F3">
        <w:t>I indicated that my reasons for making these order</w:t>
      </w:r>
      <w:r w:rsidR="004D2D76">
        <w:t>s</w:t>
      </w:r>
      <w:r w:rsidR="005012F3">
        <w:t xml:space="preserve"> would be provided in due course. These are my reasons.</w:t>
      </w:r>
    </w:p>
    <w:p w14:paraId="79C6064E" w14:textId="46CD13BF" w:rsidR="005012F3" w:rsidRPr="005012F3" w:rsidRDefault="005012F3" w:rsidP="005012F3">
      <w:pPr>
        <w:pStyle w:val="Paragraph12pt"/>
        <w:rPr>
          <w:b/>
          <w:bCs/>
        </w:rPr>
      </w:pPr>
      <w:r w:rsidRPr="005012F3">
        <w:rPr>
          <w:b/>
          <w:bCs/>
        </w:rPr>
        <w:t>The application for leave to appeal</w:t>
      </w:r>
    </w:p>
    <w:p w14:paraId="7C78E62E" w14:textId="1097616E" w:rsidR="005012F3" w:rsidRDefault="0019231D" w:rsidP="0019231D">
      <w:pPr>
        <w:pStyle w:val="Paragraph12pt"/>
        <w:tabs>
          <w:tab w:val="left" w:pos="851"/>
        </w:tabs>
        <w:ind w:left="851" w:hanging="851"/>
      </w:pPr>
      <w:r>
        <w:rPr>
          <w:rFonts w:cs="Arial"/>
          <w:color w:val="000000"/>
          <w:szCs w:val="24"/>
        </w:rPr>
        <w:t>3</w:t>
      </w:r>
      <w:r>
        <w:rPr>
          <w:rFonts w:cs="Arial"/>
          <w:color w:val="000000"/>
          <w:szCs w:val="24"/>
        </w:rPr>
        <w:tab/>
      </w:r>
      <w:r w:rsidR="005012F3">
        <w:t>Mr. VW’s application for leave to appeal was directed against my order of 14 December 2022, in which I lifted a suspension I had previously placed on Mr. VW’s obligation to pay maintenance to Mrs. VW pending the finalisation of the parties’ divorce action.  My reasons for making that order were published to the parties on 9 January 2023.</w:t>
      </w:r>
    </w:p>
    <w:p w14:paraId="3F07F2FB" w14:textId="30037B21" w:rsidR="004D2D76" w:rsidRDefault="0019231D" w:rsidP="0019231D">
      <w:pPr>
        <w:pStyle w:val="Paragraph12pt"/>
        <w:tabs>
          <w:tab w:val="left" w:pos="851"/>
        </w:tabs>
        <w:ind w:left="851" w:hanging="851"/>
      </w:pPr>
      <w:r>
        <w:rPr>
          <w:rFonts w:cs="Arial"/>
          <w:color w:val="000000"/>
          <w:szCs w:val="24"/>
        </w:rPr>
        <w:t>4</w:t>
      </w:r>
      <w:r>
        <w:rPr>
          <w:rFonts w:cs="Arial"/>
          <w:color w:val="000000"/>
          <w:szCs w:val="24"/>
        </w:rPr>
        <w:tab/>
      </w:r>
      <w:r w:rsidR="005012F3">
        <w:t>Both the suspension of Mr. VW’s maintenance obligations, and my decision to lift that suspension</w:t>
      </w:r>
      <w:r w:rsidR="004D2D76">
        <w:t>,</w:t>
      </w:r>
      <w:r w:rsidR="005012F3">
        <w:t xml:space="preserve"> are orders in terms of Rule 43 (6) of the Uniform Rules. The</w:t>
      </w:r>
      <w:r w:rsidR="004D2D76">
        <w:t>y</w:t>
      </w:r>
      <w:r w:rsidR="005012F3">
        <w:t xml:space="preserve"> are also</w:t>
      </w:r>
      <w:r w:rsidR="00C56BE1">
        <w:t xml:space="preserve"> orders on</w:t>
      </w:r>
      <w:r w:rsidR="005012F3">
        <w:t xml:space="preserve"> </w:t>
      </w:r>
      <w:r w:rsidR="00447C08">
        <w:t xml:space="preserve">proceedings taken </w:t>
      </w:r>
      <w:r w:rsidR="00C56BE1">
        <w:t>“</w:t>
      </w:r>
      <w:r w:rsidR="00447C08" w:rsidRPr="00447C08">
        <w:t xml:space="preserve">by one spouse against the other for maintenance </w:t>
      </w:r>
      <w:r w:rsidR="00447C08" w:rsidRPr="00447C08">
        <w:rPr>
          <w:i/>
          <w:iCs/>
        </w:rPr>
        <w:t>pendente lite</w:t>
      </w:r>
      <w:r w:rsidR="00447C08">
        <w:t xml:space="preserve">” for the purposes of section 16 (3) (a) of the Superior Courts Act 10 of 2013. </w:t>
      </w:r>
    </w:p>
    <w:p w14:paraId="5FB1C834" w14:textId="21A0C71E" w:rsidR="00447C08" w:rsidRDefault="0019231D" w:rsidP="0019231D">
      <w:pPr>
        <w:pStyle w:val="Paragraph12pt"/>
        <w:tabs>
          <w:tab w:val="left" w:pos="851"/>
        </w:tabs>
        <w:ind w:left="851" w:hanging="851"/>
      </w:pPr>
      <w:r>
        <w:rPr>
          <w:rFonts w:cs="Arial"/>
          <w:color w:val="000000"/>
          <w:szCs w:val="24"/>
        </w:rPr>
        <w:t>5</w:t>
      </w:r>
      <w:r>
        <w:rPr>
          <w:rFonts w:cs="Arial"/>
          <w:color w:val="000000"/>
          <w:szCs w:val="24"/>
        </w:rPr>
        <w:tab/>
      </w:r>
      <w:r w:rsidR="00447C08">
        <w:t xml:space="preserve">They are, accordingly, not appealable. Ms. De Wet, who appeared for Mr. VW, accepted that this is the default position, but sought to persuade me that the Constitutional Court’s decision in </w:t>
      </w:r>
      <w:r w:rsidR="00447C08" w:rsidRPr="004D2D76">
        <w:rPr>
          <w:i/>
          <w:iCs/>
        </w:rPr>
        <w:t>S v S</w:t>
      </w:r>
      <w:r w:rsidR="00447C08">
        <w:t xml:space="preserve"> 2019 (6) SA 1 (CC) (“</w:t>
      </w:r>
      <w:r w:rsidR="00447C08" w:rsidRPr="004D2D76">
        <w:rPr>
          <w:i/>
          <w:iCs/>
        </w:rPr>
        <w:t>S</w:t>
      </w:r>
      <w:r w:rsidR="00447C08">
        <w:t xml:space="preserve">”) had carved out an exception to this rule where a court grants a “patently unjust and erroneous order” (see </w:t>
      </w:r>
      <w:r w:rsidR="00447C08" w:rsidRPr="004D2D76">
        <w:rPr>
          <w:i/>
          <w:iCs/>
        </w:rPr>
        <w:t>S</w:t>
      </w:r>
      <w:r w:rsidR="00447C08">
        <w:t>, paragraph 58). In those circumstances, Ms. De Wet argued, a court could exercise its inherent power to regulate its own process</w:t>
      </w:r>
      <w:r w:rsidR="00C56BE1">
        <w:t>, under section 173 of the Constitution, 1996,</w:t>
      </w:r>
      <w:r w:rsidR="00447C08">
        <w:t xml:space="preserve"> and grant leave to appeal, even though appeals against interim maintenance orders</w:t>
      </w:r>
      <w:r w:rsidR="00C56BE1">
        <w:t xml:space="preserve"> generally</w:t>
      </w:r>
      <w:r w:rsidR="00447C08">
        <w:t xml:space="preserve"> are</w:t>
      </w:r>
      <w:r w:rsidR="002021CB">
        <w:t xml:space="preserve"> </w:t>
      </w:r>
      <w:r w:rsidR="00447C08">
        <w:t xml:space="preserve">forbidden by statute. </w:t>
      </w:r>
    </w:p>
    <w:p w14:paraId="107967D6" w14:textId="72B4EACE" w:rsidR="00447C08" w:rsidRDefault="0019231D" w:rsidP="0019231D">
      <w:pPr>
        <w:pStyle w:val="Paragraph12pt"/>
        <w:tabs>
          <w:tab w:val="left" w:pos="851"/>
        </w:tabs>
        <w:ind w:left="851" w:hanging="851"/>
      </w:pPr>
      <w:r>
        <w:rPr>
          <w:rFonts w:cs="Arial"/>
          <w:color w:val="000000"/>
          <w:szCs w:val="24"/>
        </w:rPr>
        <w:lastRenderedPageBreak/>
        <w:t>6</w:t>
      </w:r>
      <w:r>
        <w:rPr>
          <w:rFonts w:cs="Arial"/>
          <w:color w:val="000000"/>
          <w:szCs w:val="24"/>
        </w:rPr>
        <w:tab/>
      </w:r>
      <w:r w:rsidR="002021CB">
        <w:t xml:space="preserve">I found this argument unpersuasive. </w:t>
      </w:r>
      <w:r w:rsidR="001B76E7">
        <w:t xml:space="preserve">In </w:t>
      </w:r>
      <w:r w:rsidR="001B76E7">
        <w:rPr>
          <w:i/>
          <w:iCs/>
        </w:rPr>
        <w:t>S</w:t>
      </w:r>
      <w:r w:rsidR="001B76E7">
        <w:t>, the Constitutional Court was asked to declare section 16 (3) of the Superior Courts Act unconstitutional. The court declined to do so, on the basis that the limitation section 16 (3) places on appeals against interim orders in matrimonial actions does not infringe the constitutional rights the applicant in that case relied upon. The court found that a limitation on appeals against interim orders in matrimonial matters is essential to maintain Rule 43 as an inexpensive and speedy remedy that helps preserve, amongst other things, the financial security of relatively disadvantaged spouses (predominantly women)</w:t>
      </w:r>
      <w:r w:rsidR="002021CB">
        <w:t xml:space="preserve"> in</w:t>
      </w:r>
      <w:r w:rsidR="001B76E7">
        <w:t xml:space="preserve"> pending divorce actions. </w:t>
      </w:r>
    </w:p>
    <w:p w14:paraId="27C887BC" w14:textId="3EA2481A" w:rsidR="0029536E" w:rsidRDefault="0019231D" w:rsidP="0019231D">
      <w:pPr>
        <w:pStyle w:val="Paragraph12pt"/>
        <w:tabs>
          <w:tab w:val="left" w:pos="851"/>
        </w:tabs>
        <w:ind w:left="851" w:hanging="851"/>
      </w:pPr>
      <w:r>
        <w:rPr>
          <w:rFonts w:cs="Arial"/>
          <w:color w:val="000000"/>
          <w:szCs w:val="24"/>
        </w:rPr>
        <w:t>7</w:t>
      </w:r>
      <w:r>
        <w:rPr>
          <w:rFonts w:cs="Arial"/>
          <w:color w:val="000000"/>
          <w:szCs w:val="24"/>
        </w:rPr>
        <w:tab/>
      </w:r>
      <w:r w:rsidR="001B76E7">
        <w:t>At the end of the judgment</w:t>
      </w:r>
      <w:r w:rsidR="002021CB">
        <w:t xml:space="preserve"> in </w:t>
      </w:r>
      <w:r w:rsidR="002021CB">
        <w:rPr>
          <w:i/>
          <w:iCs/>
        </w:rPr>
        <w:t>S</w:t>
      </w:r>
      <w:r w:rsidR="001B76E7">
        <w:t xml:space="preserve">, </w:t>
      </w:r>
      <w:r w:rsidR="002021CB">
        <w:t>at</w:t>
      </w:r>
      <w:r w:rsidR="001B76E7">
        <w:t xml:space="preserve"> paragraph 58, the court held</w:t>
      </w:r>
      <w:r w:rsidR="0013555D">
        <w:t xml:space="preserve"> </w:t>
      </w:r>
      <w:r w:rsidR="0013555D" w:rsidRPr="0013555D">
        <w:rPr>
          <w:i/>
          <w:iCs/>
        </w:rPr>
        <w:t>obiter</w:t>
      </w:r>
      <w:r w:rsidR="001B76E7">
        <w:t xml:space="preserve"> that, in the event of a patently erroneous and unjust order being made under Rule 43, an aggrieved party’s remedy is not an appeal, but an application to vary the order citing changed circumstances, or </w:t>
      </w:r>
      <w:r w:rsidR="00C56BE1">
        <w:t>to ask the court</w:t>
      </w:r>
      <w:r w:rsidR="001B76E7">
        <w:t xml:space="preserve"> the exercise </w:t>
      </w:r>
      <w:r w:rsidR="00C56BE1">
        <w:t>its</w:t>
      </w:r>
      <w:r w:rsidR="001B76E7">
        <w:t xml:space="preserve"> inherent power to regulate and protect its own process</w:t>
      </w:r>
      <w:r w:rsidR="0013555D">
        <w:t xml:space="preserve"> under section 173 of the Constitution, 1996</w:t>
      </w:r>
      <w:r w:rsidR="001B76E7">
        <w:t>. What the court meant by an application citing changed circumstances is clear enough. What the court meant by the role of the inherent power</w:t>
      </w:r>
      <w:r w:rsidR="0013555D">
        <w:t xml:space="preserve"> is less clear</w:t>
      </w:r>
      <w:r w:rsidR="002021CB">
        <w:t>, but i</w:t>
      </w:r>
      <w:r w:rsidR="0013555D">
        <w:t xml:space="preserve">f the court meant to create the option of an appeal, it would have declared section 16 (3) of the Superior Courts Act unconstitutional to the extent that </w:t>
      </w:r>
      <w:r w:rsidR="002438E0">
        <w:t>provision</w:t>
      </w:r>
      <w:r w:rsidR="0013555D">
        <w:t xml:space="preserve"> forbade an appeal against a patently erroneous or unjust order. This the Constitutional Court declined to do. </w:t>
      </w:r>
    </w:p>
    <w:p w14:paraId="40CCC985" w14:textId="1DA42EC0" w:rsidR="0013555D" w:rsidRDefault="0019231D" w:rsidP="0019231D">
      <w:pPr>
        <w:pStyle w:val="Paragraph12pt"/>
        <w:tabs>
          <w:tab w:val="left" w:pos="851"/>
        </w:tabs>
        <w:ind w:left="851" w:hanging="851"/>
      </w:pPr>
      <w:r>
        <w:rPr>
          <w:rFonts w:cs="Arial"/>
          <w:color w:val="000000"/>
          <w:szCs w:val="24"/>
        </w:rPr>
        <w:t>8</w:t>
      </w:r>
      <w:r>
        <w:rPr>
          <w:rFonts w:cs="Arial"/>
          <w:color w:val="000000"/>
          <w:szCs w:val="24"/>
        </w:rPr>
        <w:tab/>
      </w:r>
      <w:r w:rsidR="0013555D">
        <w:t xml:space="preserve">It follows from this that Mr. VW’s application for leave to appeal was misdirected, and had to be struck from the roll. </w:t>
      </w:r>
    </w:p>
    <w:p w14:paraId="514907F6" w14:textId="0A4895B6" w:rsidR="0013555D" w:rsidRDefault="0019231D" w:rsidP="0019231D">
      <w:pPr>
        <w:pStyle w:val="Paragraph12pt"/>
        <w:tabs>
          <w:tab w:val="left" w:pos="851"/>
        </w:tabs>
        <w:ind w:left="851" w:hanging="851"/>
      </w:pPr>
      <w:r>
        <w:rPr>
          <w:rFonts w:cs="Arial"/>
          <w:color w:val="000000"/>
          <w:szCs w:val="24"/>
        </w:rPr>
        <w:lastRenderedPageBreak/>
        <w:t>9</w:t>
      </w:r>
      <w:r>
        <w:rPr>
          <w:rFonts w:cs="Arial"/>
          <w:color w:val="000000"/>
          <w:szCs w:val="24"/>
        </w:rPr>
        <w:tab/>
      </w:r>
      <w:r w:rsidR="0013555D">
        <w:t>It seems to me that Mr. VW’s</w:t>
      </w:r>
      <w:r w:rsidR="002438E0">
        <w:t xml:space="preserve"> true</w:t>
      </w:r>
      <w:r w:rsidR="0013555D">
        <w:t xml:space="preserve"> remedy lies in the speedy finalisation </w:t>
      </w:r>
      <w:r w:rsidR="007F4079">
        <w:t xml:space="preserve">of </w:t>
      </w:r>
      <w:r w:rsidR="0013555D">
        <w:t>the divorce action. My order lifting the suspension on Mr. VW’s duty to pay the interim maintenance due</w:t>
      </w:r>
      <w:r w:rsidR="00C56BE1">
        <w:t xml:space="preserve"> to</w:t>
      </w:r>
      <w:r w:rsidR="0013555D">
        <w:t xml:space="preserve"> Mrs. VW was interim in nature. I see no reason to believe that it results in any unfairness to Mr. VW, but, if it does, that unfairness can be dealt with by an appropriate order in the final divorce proceedings. If, in other words, Mr. VW ends up paying Mrs. VW amounts to which she is not entitled, there is no reason why he cannot ask the court that disposes of the divorce proceedings to address that when it deal</w:t>
      </w:r>
      <w:r w:rsidR="002021CB">
        <w:t>s</w:t>
      </w:r>
      <w:r w:rsidR="0013555D">
        <w:t xml:space="preserve"> with the distribution of the marital estate. </w:t>
      </w:r>
    </w:p>
    <w:p w14:paraId="6AC4A4B4" w14:textId="09653255" w:rsidR="0013555D" w:rsidRDefault="0019231D" w:rsidP="0019231D">
      <w:pPr>
        <w:pStyle w:val="Paragraph12pt"/>
        <w:tabs>
          <w:tab w:val="left" w:pos="851"/>
        </w:tabs>
        <w:ind w:left="851" w:hanging="851"/>
      </w:pPr>
      <w:r>
        <w:rPr>
          <w:rFonts w:cs="Arial"/>
          <w:color w:val="000000"/>
          <w:szCs w:val="24"/>
        </w:rPr>
        <w:t>10</w:t>
      </w:r>
      <w:bookmarkStart w:id="0" w:name="_GoBack"/>
      <w:bookmarkEnd w:id="0"/>
      <w:r>
        <w:rPr>
          <w:rFonts w:cs="Arial"/>
          <w:color w:val="000000"/>
          <w:szCs w:val="24"/>
        </w:rPr>
        <w:tab/>
      </w:r>
      <w:r w:rsidR="0013555D">
        <w:t xml:space="preserve">A further remedy open to Mr. VW is to obtain the evidence that I found was lacking in his application to </w:t>
      </w:r>
      <w:r w:rsidR="001969D0">
        <w:t>end his interim maintenance payments</w:t>
      </w:r>
      <w:r w:rsidR="00C56BE1">
        <w:t xml:space="preserve"> to Mrs. VW</w:t>
      </w:r>
      <w:r w:rsidR="001969D0">
        <w:t>. As I pointed</w:t>
      </w:r>
      <w:r w:rsidR="00C56BE1">
        <w:t xml:space="preserve"> out</w:t>
      </w:r>
      <w:r w:rsidR="001969D0">
        <w:t xml:space="preserve"> in my judgment of 9 January 2023, none of the information Mr. VW relied upon to quantify Mrs. VW’s alleged earnings was placed under oath. The fact that Mrs. VW had occasional work was not disputed, but </w:t>
      </w:r>
      <w:r w:rsidR="002021CB">
        <w:t xml:space="preserve">Mr. VW’s allegations about </w:t>
      </w:r>
      <w:r w:rsidR="001969D0">
        <w:t xml:space="preserve">what she earned </w:t>
      </w:r>
      <w:r w:rsidR="002021CB">
        <w:t>were</w:t>
      </w:r>
      <w:r w:rsidR="000D0DEB">
        <w:t xml:space="preserve"> based entirely on a private investigator’s report of unspecified </w:t>
      </w:r>
      <w:r w:rsidR="002021CB">
        <w:t>authorship</w:t>
      </w:r>
      <w:r w:rsidR="000D0DEB">
        <w:t xml:space="preserve">, </w:t>
      </w:r>
      <w:r w:rsidR="00C56BE1">
        <w:t xml:space="preserve">on </w:t>
      </w:r>
      <w:r w:rsidR="000D0DEB">
        <w:t>a set of internet advertisements for Mrs. VW’s services, and</w:t>
      </w:r>
      <w:r w:rsidR="00C56BE1">
        <w:t xml:space="preserve"> on</w:t>
      </w:r>
      <w:r w:rsidR="000D0DEB">
        <w:t xml:space="preserve"> Mr. VW’s own guesswork. </w:t>
      </w:r>
    </w:p>
    <w:p w14:paraId="4E773953" w14:textId="2080D482" w:rsidR="000D0DEB" w:rsidRDefault="0019231D" w:rsidP="0019231D">
      <w:pPr>
        <w:pStyle w:val="Paragraph12pt"/>
        <w:tabs>
          <w:tab w:val="left" w:pos="851"/>
        </w:tabs>
        <w:ind w:left="851" w:hanging="851"/>
      </w:pPr>
      <w:r>
        <w:rPr>
          <w:rFonts w:cs="Arial"/>
          <w:color w:val="000000"/>
          <w:szCs w:val="24"/>
        </w:rPr>
        <w:t>11</w:t>
      </w:r>
      <w:r>
        <w:rPr>
          <w:rFonts w:cs="Arial"/>
          <w:color w:val="000000"/>
          <w:szCs w:val="24"/>
        </w:rPr>
        <w:tab/>
      </w:r>
      <w:r w:rsidR="000D0DEB">
        <w:t>Whatever else may be said of my refusal to relieve Mr. VW of his mainten</w:t>
      </w:r>
      <w:r w:rsidR="002021CB">
        <w:t>an</w:t>
      </w:r>
      <w:r w:rsidR="000D0DEB">
        <w:t>ce obligations in these circumstances, I do not think that my decision can realistically be criticised and “patently unjust and erroneous”, even</w:t>
      </w:r>
      <w:r w:rsidR="002021CB">
        <w:t xml:space="preserve"> if</w:t>
      </w:r>
      <w:r w:rsidR="000D0DEB">
        <w:t xml:space="preserve"> such a characterisation could provide Mr. VW with a route to appeal. However, as I have already explained, Mr. VW has no appeal, which is why I struck his application for leave to appeal from the roll. </w:t>
      </w:r>
    </w:p>
    <w:p w14:paraId="307E8BBB" w14:textId="0DD787C9" w:rsidR="002021CB" w:rsidRDefault="0019231D" w:rsidP="0019231D">
      <w:pPr>
        <w:pStyle w:val="Paragraph12pt"/>
        <w:tabs>
          <w:tab w:val="left" w:pos="851"/>
        </w:tabs>
        <w:ind w:left="851" w:hanging="851"/>
      </w:pPr>
      <w:r>
        <w:rPr>
          <w:rFonts w:cs="Arial"/>
          <w:color w:val="000000"/>
          <w:szCs w:val="24"/>
        </w:rPr>
        <w:lastRenderedPageBreak/>
        <w:t>12</w:t>
      </w:r>
      <w:r>
        <w:rPr>
          <w:rFonts w:cs="Arial"/>
          <w:color w:val="000000"/>
          <w:szCs w:val="24"/>
        </w:rPr>
        <w:tab/>
      </w:r>
      <w:r w:rsidR="000D0DEB">
        <w:t>Given that Mr. VW’s application was plainly misconceived, and</w:t>
      </w:r>
      <w:r w:rsidR="002021CB">
        <w:t xml:space="preserve"> that it was brought</w:t>
      </w:r>
      <w:r w:rsidR="000D0DEB">
        <w:t xml:space="preserve"> contrary to the applicable statute, it was appropriate that he pay the costs associated with it. </w:t>
      </w:r>
    </w:p>
    <w:p w14:paraId="2386010F" w14:textId="55252A60" w:rsidR="002438E0" w:rsidRDefault="0019231D" w:rsidP="0019231D">
      <w:pPr>
        <w:pStyle w:val="Paragraph12pt"/>
        <w:tabs>
          <w:tab w:val="left" w:pos="851"/>
        </w:tabs>
        <w:ind w:left="851" w:hanging="851"/>
      </w:pPr>
      <w:r>
        <w:rPr>
          <w:rFonts w:cs="Arial"/>
          <w:color w:val="000000"/>
          <w:szCs w:val="24"/>
        </w:rPr>
        <w:t>13</w:t>
      </w:r>
      <w:r>
        <w:rPr>
          <w:rFonts w:cs="Arial"/>
          <w:color w:val="000000"/>
          <w:szCs w:val="24"/>
        </w:rPr>
        <w:tab/>
      </w:r>
      <w:r w:rsidR="000D0DEB">
        <w:t xml:space="preserve">Ms. De Wet argued that Mrs. VW should be deprived of her costs, because she is represented </w:t>
      </w:r>
      <w:r w:rsidR="000D0DEB" w:rsidRPr="000D0DEB">
        <w:rPr>
          <w:i/>
          <w:iCs/>
        </w:rPr>
        <w:t>pro bono</w:t>
      </w:r>
      <w:r w:rsidR="000D0DEB">
        <w:t xml:space="preserve">. </w:t>
      </w:r>
      <w:r w:rsidR="002021CB">
        <w:t xml:space="preserve">I rejected that submission. </w:t>
      </w:r>
      <w:r w:rsidR="000D0DEB">
        <w:t xml:space="preserve">I do not think that it has been established that Mrs. VW is represented </w:t>
      </w:r>
      <w:r w:rsidR="000D0DEB" w:rsidRPr="000D0DEB">
        <w:rPr>
          <w:i/>
          <w:iCs/>
        </w:rPr>
        <w:t>pro bono</w:t>
      </w:r>
      <w:r w:rsidR="000D0DEB">
        <w:t>, but even if she were</w:t>
      </w:r>
      <w:r w:rsidR="004D2D76">
        <w:t xml:space="preserve">, section 92 of the Legal Practice Act 28 of 2014 entitles legal representatives appearing </w:t>
      </w:r>
      <w:r w:rsidR="004D2D76" w:rsidRPr="004D2D76">
        <w:rPr>
          <w:i/>
          <w:iCs/>
        </w:rPr>
        <w:t>pro bono</w:t>
      </w:r>
      <w:r w:rsidR="004D2D76">
        <w:t xml:space="preserve"> to tax their costs as if they had a paying client. </w:t>
      </w:r>
    </w:p>
    <w:p w14:paraId="425281DA" w14:textId="61E2CED2" w:rsidR="000D0DEB" w:rsidRDefault="0019231D" w:rsidP="0019231D">
      <w:pPr>
        <w:pStyle w:val="Paragraph12pt"/>
        <w:tabs>
          <w:tab w:val="left" w:pos="851"/>
        </w:tabs>
        <w:ind w:left="851" w:hanging="851"/>
      </w:pPr>
      <w:r>
        <w:rPr>
          <w:rFonts w:cs="Arial"/>
          <w:color w:val="000000"/>
          <w:szCs w:val="24"/>
        </w:rPr>
        <w:t>14</w:t>
      </w:r>
      <w:r>
        <w:rPr>
          <w:rFonts w:cs="Arial"/>
          <w:color w:val="000000"/>
          <w:szCs w:val="24"/>
        </w:rPr>
        <w:tab/>
      </w:r>
      <w:r w:rsidR="004D2D76">
        <w:t>The salutary policy lying behind that provision is to encourage competent representation for poor litigants with meritorious cases. If I had accepted M</w:t>
      </w:r>
      <w:r w:rsidR="002021CB">
        <w:t>s</w:t>
      </w:r>
      <w:r w:rsidR="004D2D76">
        <w:t>. De Wet’s argument, I would have decided the issue contrary to the purpose of the statute.</w:t>
      </w:r>
    </w:p>
    <w:p w14:paraId="40D88CC0" w14:textId="08A41E90" w:rsidR="004D2D76" w:rsidRPr="004D2D76" w:rsidRDefault="004D2D76" w:rsidP="004D2D76">
      <w:pPr>
        <w:pStyle w:val="Paragraph12pt"/>
        <w:rPr>
          <w:b/>
          <w:bCs/>
        </w:rPr>
      </w:pPr>
      <w:r w:rsidRPr="004D2D76">
        <w:rPr>
          <w:b/>
          <w:bCs/>
        </w:rPr>
        <w:t>Appointment of a supervising professional</w:t>
      </w:r>
    </w:p>
    <w:p w14:paraId="17D01F25" w14:textId="48A0F4F9" w:rsidR="002438E0" w:rsidRDefault="0019231D" w:rsidP="0019231D">
      <w:pPr>
        <w:pStyle w:val="Paragraph12pt"/>
        <w:tabs>
          <w:tab w:val="left" w:pos="851"/>
        </w:tabs>
        <w:ind w:left="851" w:hanging="851"/>
      </w:pPr>
      <w:r>
        <w:rPr>
          <w:rFonts w:cs="Arial"/>
          <w:color w:val="000000"/>
          <w:szCs w:val="24"/>
        </w:rPr>
        <w:t>15</w:t>
      </w:r>
      <w:r>
        <w:rPr>
          <w:rFonts w:cs="Arial"/>
          <w:color w:val="000000"/>
          <w:szCs w:val="24"/>
        </w:rPr>
        <w:tab/>
      </w:r>
      <w:r w:rsidR="004D2D76">
        <w:t xml:space="preserve">The parties initially disagreed about who should be appointed as the supervising professional to oversee the contact between Mrs. VW and SA that I authorised in my 18 October 2022 order. Mr. VW complained of the inconvenience involved in travelling to the professional Mrs. VW nominated, and suggested a list of professionals based nearer his residence, which is where SA also resides. </w:t>
      </w:r>
    </w:p>
    <w:p w14:paraId="3722C80A" w14:textId="480D7DD3" w:rsidR="004D2D76" w:rsidRDefault="0019231D" w:rsidP="0019231D">
      <w:pPr>
        <w:pStyle w:val="Paragraph12pt"/>
        <w:tabs>
          <w:tab w:val="left" w:pos="851"/>
        </w:tabs>
        <w:ind w:left="851" w:hanging="851"/>
      </w:pPr>
      <w:r>
        <w:rPr>
          <w:rFonts w:cs="Arial"/>
          <w:color w:val="000000"/>
          <w:szCs w:val="24"/>
        </w:rPr>
        <w:t>16</w:t>
      </w:r>
      <w:r>
        <w:rPr>
          <w:rFonts w:cs="Arial"/>
          <w:color w:val="000000"/>
          <w:szCs w:val="24"/>
        </w:rPr>
        <w:tab/>
      </w:r>
      <w:r w:rsidR="004D2D76">
        <w:t>In the end, there was no disagreement that Mr. VW’s concerns were reasonable</w:t>
      </w:r>
      <w:r w:rsidR="002021CB">
        <w:t xml:space="preserve">. </w:t>
      </w:r>
      <w:r w:rsidR="004D2D76">
        <w:t>Mr. van der Merwe</w:t>
      </w:r>
      <w:r w:rsidR="002021CB">
        <w:t>, who appeared for Mrs. VW,</w:t>
      </w:r>
      <w:r w:rsidR="004D2D76">
        <w:t xml:space="preserve"> accepted that he </w:t>
      </w:r>
      <w:r w:rsidR="004D2D76">
        <w:lastRenderedPageBreak/>
        <w:t xml:space="preserve">could not make any submissions in opposition to the appointment of Ms. Edmonds, who was one of the professionals Mr. VW proposed. </w:t>
      </w:r>
    </w:p>
    <w:p w14:paraId="65D83327" w14:textId="6CC1FDF6" w:rsidR="004154E2" w:rsidRDefault="004154E2" w:rsidP="004A32DC">
      <w:pPr>
        <w:pStyle w:val="Paragraph12pt"/>
        <w:ind w:left="851"/>
        <w:jc w:val="right"/>
        <w:rPr>
          <w:noProof/>
          <w:lang w:eastAsia="en-ZA"/>
        </w:rPr>
      </w:pPr>
    </w:p>
    <w:p w14:paraId="6938AB38" w14:textId="77777777" w:rsidR="00FF3F45" w:rsidRDefault="00FF3F45" w:rsidP="004A32DC">
      <w:pPr>
        <w:pStyle w:val="Paragraph12pt"/>
        <w:ind w:left="851"/>
        <w:jc w:val="right"/>
      </w:pPr>
    </w:p>
    <w:p w14:paraId="322F49F1" w14:textId="77777777" w:rsidR="004154E2" w:rsidRPr="000315F7" w:rsidRDefault="004154E2" w:rsidP="004154E2">
      <w:pPr>
        <w:pStyle w:val="Paragraph12pt"/>
        <w:spacing w:after="0" w:line="240" w:lineRule="auto"/>
        <w:ind w:left="851"/>
        <w:jc w:val="right"/>
        <w:rPr>
          <w:b/>
          <w:bCs/>
        </w:rPr>
      </w:pPr>
      <w:r w:rsidRPr="000315F7">
        <w:rPr>
          <w:b/>
          <w:bCs/>
        </w:rPr>
        <w:t>S D J WILSON</w:t>
      </w:r>
    </w:p>
    <w:p w14:paraId="48009276" w14:textId="7F603D89" w:rsidR="004154E2" w:rsidRDefault="004154E2" w:rsidP="000A67F2">
      <w:pPr>
        <w:pStyle w:val="Paragraph12pt"/>
        <w:spacing w:after="0" w:line="240" w:lineRule="auto"/>
        <w:ind w:left="851" w:firstLine="589"/>
        <w:jc w:val="right"/>
      </w:pPr>
      <w:r>
        <w:t>Judge of the High Court</w:t>
      </w:r>
    </w:p>
    <w:p w14:paraId="6ADECB27" w14:textId="77777777" w:rsidR="000F29CC" w:rsidRDefault="000F29CC" w:rsidP="000F29CC">
      <w:pPr>
        <w:pStyle w:val="Paragraph12pt"/>
        <w:rPr>
          <w:bCs/>
        </w:rPr>
      </w:pPr>
    </w:p>
    <w:p w14:paraId="2C8FED86" w14:textId="254BE00B" w:rsidR="000F29CC" w:rsidRPr="00754582" w:rsidRDefault="000F29CC" w:rsidP="000F29CC">
      <w:pPr>
        <w:pStyle w:val="Paragraph12pt"/>
        <w:rPr>
          <w:bCs/>
        </w:rPr>
      </w:pPr>
      <w:r w:rsidRPr="00545F74">
        <w:rPr>
          <w:bCs/>
        </w:rPr>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Case</w:t>
      </w:r>
      <w:r>
        <w:rPr>
          <w:bCs/>
        </w:rPr>
        <w:t>l</w:t>
      </w:r>
      <w:r w:rsidRPr="00545F74">
        <w:rPr>
          <w:bCs/>
        </w:rPr>
        <w:t>ines. The date for hand-down is deemed to be</w:t>
      </w:r>
      <w:r>
        <w:rPr>
          <w:bCs/>
        </w:rPr>
        <w:t xml:space="preserve"> 16 March </w:t>
      </w:r>
      <w:r w:rsidRPr="00545F74">
        <w:rPr>
          <w:bCs/>
        </w:rPr>
        <w:t>202</w:t>
      </w:r>
      <w:r>
        <w:rPr>
          <w:bCs/>
        </w:rPr>
        <w:t>3.</w:t>
      </w:r>
    </w:p>
    <w:p w14:paraId="35C49309" w14:textId="003FC8BD" w:rsidR="005012F3" w:rsidRDefault="0051403A" w:rsidP="000F29CC">
      <w:pPr>
        <w:pStyle w:val="Paragraph12pt"/>
        <w:spacing w:after="0" w:line="240" w:lineRule="auto"/>
        <w:jc w:val="left"/>
      </w:pPr>
      <w:r>
        <w:t>HEARD ON:</w:t>
      </w:r>
      <w:r>
        <w:tab/>
      </w:r>
      <w:r w:rsidR="000F29CC">
        <w:tab/>
      </w:r>
      <w:r w:rsidR="000F29CC">
        <w:tab/>
      </w:r>
      <w:r w:rsidR="000F29CC">
        <w:tab/>
      </w:r>
      <w:r w:rsidR="005012F3">
        <w:t>22</w:t>
      </w:r>
      <w:r w:rsidR="0094712D">
        <w:t xml:space="preserve"> </w:t>
      </w:r>
      <w:r w:rsidR="005012F3">
        <w:t>February</w:t>
      </w:r>
      <w:r w:rsidR="009811E9">
        <w:t xml:space="preserve"> 202</w:t>
      </w:r>
      <w:r w:rsidR="005012F3">
        <w:t>3</w:t>
      </w:r>
    </w:p>
    <w:p w14:paraId="6EC5111B" w14:textId="192E1918" w:rsidR="00FA0C61" w:rsidRDefault="00FA0C61" w:rsidP="004F6A2D">
      <w:pPr>
        <w:pStyle w:val="Paragraph12pt"/>
        <w:spacing w:after="0" w:line="240" w:lineRule="auto"/>
        <w:ind w:left="3600" w:hanging="3600"/>
        <w:jc w:val="left"/>
      </w:pPr>
    </w:p>
    <w:p w14:paraId="4D7570D5" w14:textId="26FE7B10" w:rsidR="00A15B8D" w:rsidRDefault="0051403A" w:rsidP="00A31389">
      <w:pPr>
        <w:pStyle w:val="Paragraph12pt"/>
        <w:spacing w:after="0" w:line="240" w:lineRule="auto"/>
        <w:jc w:val="left"/>
      </w:pPr>
      <w:r>
        <w:t>DECIDED ON:</w:t>
      </w:r>
      <w:r>
        <w:tab/>
      </w:r>
      <w:r w:rsidR="00226B2D">
        <w:tab/>
      </w:r>
      <w:r w:rsidR="00226B2D">
        <w:tab/>
      </w:r>
      <w:r w:rsidR="005012F3">
        <w:t>22 February</w:t>
      </w:r>
      <w:r w:rsidR="0094712D">
        <w:t xml:space="preserve"> </w:t>
      </w:r>
      <w:r w:rsidR="006B0801">
        <w:t>202</w:t>
      </w:r>
      <w:r w:rsidR="005012F3">
        <w:t>3</w:t>
      </w:r>
    </w:p>
    <w:p w14:paraId="7306D81C" w14:textId="77777777" w:rsidR="005012F3" w:rsidRDefault="005012F3" w:rsidP="00A31389">
      <w:pPr>
        <w:pStyle w:val="Paragraph12pt"/>
        <w:spacing w:after="0" w:line="240" w:lineRule="auto"/>
        <w:jc w:val="left"/>
      </w:pPr>
    </w:p>
    <w:p w14:paraId="01CF2B86" w14:textId="51541CFF" w:rsidR="005012F3" w:rsidRDefault="005012F3" w:rsidP="00A31389">
      <w:pPr>
        <w:pStyle w:val="Paragraph12pt"/>
        <w:spacing w:after="0" w:line="240" w:lineRule="auto"/>
        <w:jc w:val="left"/>
      </w:pPr>
      <w:r>
        <w:t>REASONS:</w:t>
      </w:r>
      <w:r>
        <w:tab/>
      </w:r>
      <w:r>
        <w:tab/>
      </w:r>
      <w:r>
        <w:tab/>
      </w:r>
      <w:r>
        <w:tab/>
        <w:t>16 March 2023</w:t>
      </w:r>
    </w:p>
    <w:p w14:paraId="28EFB408" w14:textId="77777777" w:rsidR="00A31389" w:rsidRDefault="00A31389" w:rsidP="00A31389">
      <w:pPr>
        <w:pStyle w:val="Paragraph12pt"/>
        <w:spacing w:after="0" w:line="240" w:lineRule="auto"/>
        <w:jc w:val="left"/>
      </w:pPr>
    </w:p>
    <w:p w14:paraId="05AFF686" w14:textId="2D3F7EA5" w:rsidR="007517F4" w:rsidRDefault="0051403A" w:rsidP="005539D4">
      <w:pPr>
        <w:pStyle w:val="Paragraph12pt"/>
        <w:spacing w:after="0" w:line="240" w:lineRule="auto"/>
        <w:jc w:val="left"/>
      </w:pPr>
      <w:r>
        <w:t>For the</w:t>
      </w:r>
      <w:r w:rsidR="00226B2D">
        <w:t xml:space="preserve"> </w:t>
      </w:r>
      <w:r w:rsidR="00763191">
        <w:t>Applicant</w:t>
      </w:r>
      <w:r>
        <w:t xml:space="preserve">: </w:t>
      </w:r>
      <w:r>
        <w:tab/>
      </w:r>
      <w:r>
        <w:tab/>
      </w:r>
      <w:r>
        <w:tab/>
      </w:r>
      <w:r w:rsidR="0094712D">
        <w:t>A A De Wet SC</w:t>
      </w:r>
    </w:p>
    <w:p w14:paraId="253BCC30" w14:textId="78D5628A" w:rsidR="00A31389" w:rsidRDefault="0051403A" w:rsidP="00A31389">
      <w:pPr>
        <w:pStyle w:val="Paragraph12pt"/>
        <w:spacing w:after="0" w:line="240" w:lineRule="auto"/>
        <w:jc w:val="left"/>
        <w:rPr>
          <w:lang w:val="en-GB"/>
        </w:rPr>
      </w:pPr>
      <w:r>
        <w:tab/>
      </w:r>
      <w:r>
        <w:tab/>
      </w:r>
      <w:r>
        <w:tab/>
      </w:r>
      <w:r>
        <w:tab/>
      </w:r>
      <w:r>
        <w:tab/>
      </w:r>
      <w:r w:rsidR="00763191">
        <w:t xml:space="preserve">Instructed by </w:t>
      </w:r>
      <w:r w:rsidR="0094712D">
        <w:t>Moumakoe Clay Inc</w:t>
      </w:r>
    </w:p>
    <w:p w14:paraId="41BD4642" w14:textId="77777777" w:rsidR="00335B03" w:rsidRDefault="00335B03" w:rsidP="00A31389">
      <w:pPr>
        <w:pStyle w:val="Paragraph12pt"/>
        <w:spacing w:after="0" w:line="240" w:lineRule="auto"/>
        <w:jc w:val="left"/>
      </w:pPr>
    </w:p>
    <w:p w14:paraId="466DAA62" w14:textId="65E01A7B" w:rsidR="00754D03" w:rsidRDefault="0051403A" w:rsidP="00763191">
      <w:pPr>
        <w:pStyle w:val="Paragraph12pt"/>
        <w:spacing w:after="0" w:line="240" w:lineRule="auto"/>
        <w:ind w:left="3600" w:hanging="3600"/>
        <w:jc w:val="left"/>
      </w:pPr>
      <w:r>
        <w:t>For the</w:t>
      </w:r>
      <w:r w:rsidR="00754D03">
        <w:t xml:space="preserve"> </w:t>
      </w:r>
      <w:r w:rsidR="00473766">
        <w:t>Respondent</w:t>
      </w:r>
      <w:r w:rsidR="00763191">
        <w:t>s</w:t>
      </w:r>
      <w:r>
        <w:t>:</w:t>
      </w:r>
      <w:r w:rsidR="00473766">
        <w:tab/>
      </w:r>
      <w:r w:rsidR="0094712D">
        <w:t xml:space="preserve">LK </w:t>
      </w:r>
      <w:r w:rsidR="005A0910">
        <w:t>v</w:t>
      </w:r>
      <w:r w:rsidR="0094712D">
        <w:t>an der Merwe</w:t>
      </w:r>
    </w:p>
    <w:p w14:paraId="25E0FD0C" w14:textId="7533CBFB" w:rsidR="0094712D" w:rsidRDefault="0094712D" w:rsidP="00763191">
      <w:pPr>
        <w:pStyle w:val="Paragraph12pt"/>
        <w:spacing w:after="0" w:line="240" w:lineRule="auto"/>
        <w:ind w:left="3600" w:hanging="3600"/>
        <w:jc w:val="left"/>
      </w:pPr>
      <w:r>
        <w:tab/>
        <w:t>Instructed by Malan Kruger Inc</w:t>
      </w:r>
    </w:p>
    <w:sectPr w:rsidR="0094712D"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3B03F" w14:textId="77777777" w:rsidR="00544B26" w:rsidRDefault="00544B26" w:rsidP="00023136">
      <w:r>
        <w:separator/>
      </w:r>
    </w:p>
  </w:endnote>
  <w:endnote w:type="continuationSeparator" w:id="0">
    <w:p w14:paraId="3A5EC982" w14:textId="77777777" w:rsidR="00544B26" w:rsidRDefault="00544B26"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004066F4"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19231D">
          <w:rPr>
            <w:noProof/>
            <w:sz w:val="24"/>
            <w:szCs w:val="24"/>
          </w:rPr>
          <w:t>4</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753CF" w14:textId="77777777" w:rsidR="00544B26" w:rsidRDefault="00544B26" w:rsidP="00023136">
      <w:r>
        <w:separator/>
      </w:r>
    </w:p>
  </w:footnote>
  <w:footnote w:type="continuationSeparator" w:id="0">
    <w:p w14:paraId="7A18F877" w14:textId="77777777" w:rsidR="00544B26" w:rsidRDefault="00544B26"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49FE"/>
    <w:rsid w:val="000739D3"/>
    <w:rsid w:val="00073EA4"/>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7F2"/>
    <w:rsid w:val="000A6CCE"/>
    <w:rsid w:val="000A7A01"/>
    <w:rsid w:val="000A7E6C"/>
    <w:rsid w:val="000B0260"/>
    <w:rsid w:val="000B0F27"/>
    <w:rsid w:val="000B1A09"/>
    <w:rsid w:val="000B23EA"/>
    <w:rsid w:val="000B433A"/>
    <w:rsid w:val="000C111B"/>
    <w:rsid w:val="000C7667"/>
    <w:rsid w:val="000D0DEB"/>
    <w:rsid w:val="000D1822"/>
    <w:rsid w:val="000D4AB1"/>
    <w:rsid w:val="000D54BF"/>
    <w:rsid w:val="000D716E"/>
    <w:rsid w:val="000D7679"/>
    <w:rsid w:val="000E0FCE"/>
    <w:rsid w:val="000E118F"/>
    <w:rsid w:val="000E2B7C"/>
    <w:rsid w:val="000E3412"/>
    <w:rsid w:val="000F0A27"/>
    <w:rsid w:val="000F1501"/>
    <w:rsid w:val="000F29CC"/>
    <w:rsid w:val="000F4D80"/>
    <w:rsid w:val="000F4FA4"/>
    <w:rsid w:val="00102D51"/>
    <w:rsid w:val="001049AD"/>
    <w:rsid w:val="001052DD"/>
    <w:rsid w:val="00105EBE"/>
    <w:rsid w:val="00112426"/>
    <w:rsid w:val="0011340A"/>
    <w:rsid w:val="00117216"/>
    <w:rsid w:val="00120072"/>
    <w:rsid w:val="001223D9"/>
    <w:rsid w:val="00123BF9"/>
    <w:rsid w:val="00124B72"/>
    <w:rsid w:val="00127B1D"/>
    <w:rsid w:val="00130083"/>
    <w:rsid w:val="0013238A"/>
    <w:rsid w:val="00132BB9"/>
    <w:rsid w:val="00135544"/>
    <w:rsid w:val="0013555D"/>
    <w:rsid w:val="00135E43"/>
    <w:rsid w:val="00136040"/>
    <w:rsid w:val="00137E50"/>
    <w:rsid w:val="001446DD"/>
    <w:rsid w:val="00147CF8"/>
    <w:rsid w:val="001505EB"/>
    <w:rsid w:val="00150CA8"/>
    <w:rsid w:val="0015187C"/>
    <w:rsid w:val="00154598"/>
    <w:rsid w:val="00156C9A"/>
    <w:rsid w:val="00157307"/>
    <w:rsid w:val="00160B29"/>
    <w:rsid w:val="0016237E"/>
    <w:rsid w:val="001625E9"/>
    <w:rsid w:val="00166B77"/>
    <w:rsid w:val="00167FFD"/>
    <w:rsid w:val="0017083E"/>
    <w:rsid w:val="00170977"/>
    <w:rsid w:val="0017523E"/>
    <w:rsid w:val="00175BBE"/>
    <w:rsid w:val="00176D1F"/>
    <w:rsid w:val="00177EE4"/>
    <w:rsid w:val="00181A11"/>
    <w:rsid w:val="00183089"/>
    <w:rsid w:val="00183346"/>
    <w:rsid w:val="00185028"/>
    <w:rsid w:val="00186FF2"/>
    <w:rsid w:val="0019057E"/>
    <w:rsid w:val="0019231D"/>
    <w:rsid w:val="00193C5C"/>
    <w:rsid w:val="001969D0"/>
    <w:rsid w:val="001A143C"/>
    <w:rsid w:val="001A462C"/>
    <w:rsid w:val="001A4DA6"/>
    <w:rsid w:val="001A532C"/>
    <w:rsid w:val="001A6922"/>
    <w:rsid w:val="001B011B"/>
    <w:rsid w:val="001B0CD4"/>
    <w:rsid w:val="001B29BB"/>
    <w:rsid w:val="001B50EB"/>
    <w:rsid w:val="001B595B"/>
    <w:rsid w:val="001B76E7"/>
    <w:rsid w:val="001C0737"/>
    <w:rsid w:val="001C30FF"/>
    <w:rsid w:val="001C324E"/>
    <w:rsid w:val="001C4F4C"/>
    <w:rsid w:val="001C63A0"/>
    <w:rsid w:val="001D248E"/>
    <w:rsid w:val="001D2DAF"/>
    <w:rsid w:val="001D351D"/>
    <w:rsid w:val="001E0C36"/>
    <w:rsid w:val="001E3C28"/>
    <w:rsid w:val="001E4400"/>
    <w:rsid w:val="001E4520"/>
    <w:rsid w:val="001E4F79"/>
    <w:rsid w:val="001E699D"/>
    <w:rsid w:val="001E7CC4"/>
    <w:rsid w:val="001F2896"/>
    <w:rsid w:val="001F3A43"/>
    <w:rsid w:val="001F6B3A"/>
    <w:rsid w:val="001F727F"/>
    <w:rsid w:val="001F799C"/>
    <w:rsid w:val="002021CB"/>
    <w:rsid w:val="00204A99"/>
    <w:rsid w:val="002055DF"/>
    <w:rsid w:val="00207C68"/>
    <w:rsid w:val="002115E1"/>
    <w:rsid w:val="002115F6"/>
    <w:rsid w:val="00213078"/>
    <w:rsid w:val="00215B41"/>
    <w:rsid w:val="00217A4E"/>
    <w:rsid w:val="0022152D"/>
    <w:rsid w:val="00224200"/>
    <w:rsid w:val="00225614"/>
    <w:rsid w:val="00225EF9"/>
    <w:rsid w:val="00226B2D"/>
    <w:rsid w:val="0023764B"/>
    <w:rsid w:val="002377F5"/>
    <w:rsid w:val="00237B58"/>
    <w:rsid w:val="00241005"/>
    <w:rsid w:val="002420C3"/>
    <w:rsid w:val="00242C0C"/>
    <w:rsid w:val="002438E0"/>
    <w:rsid w:val="00244DB2"/>
    <w:rsid w:val="002457FF"/>
    <w:rsid w:val="00247F5A"/>
    <w:rsid w:val="00251CBA"/>
    <w:rsid w:val="0025235A"/>
    <w:rsid w:val="002523B1"/>
    <w:rsid w:val="002539AA"/>
    <w:rsid w:val="00254775"/>
    <w:rsid w:val="002552E0"/>
    <w:rsid w:val="00255A2A"/>
    <w:rsid w:val="002564F7"/>
    <w:rsid w:val="00257ED1"/>
    <w:rsid w:val="002704AE"/>
    <w:rsid w:val="002739CC"/>
    <w:rsid w:val="0027676E"/>
    <w:rsid w:val="002769E1"/>
    <w:rsid w:val="00277325"/>
    <w:rsid w:val="00281207"/>
    <w:rsid w:val="0028361E"/>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DE9"/>
    <w:rsid w:val="002C0728"/>
    <w:rsid w:val="002C14FA"/>
    <w:rsid w:val="002C1A93"/>
    <w:rsid w:val="002C2A8D"/>
    <w:rsid w:val="002C4C5A"/>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23B"/>
    <w:rsid w:val="002F6526"/>
    <w:rsid w:val="0030048B"/>
    <w:rsid w:val="00303B86"/>
    <w:rsid w:val="00303DB2"/>
    <w:rsid w:val="0030416C"/>
    <w:rsid w:val="0030418E"/>
    <w:rsid w:val="00305097"/>
    <w:rsid w:val="003100CB"/>
    <w:rsid w:val="00310523"/>
    <w:rsid w:val="00312F1C"/>
    <w:rsid w:val="003130AF"/>
    <w:rsid w:val="0031589B"/>
    <w:rsid w:val="0031632A"/>
    <w:rsid w:val="00321A27"/>
    <w:rsid w:val="003239E3"/>
    <w:rsid w:val="00324ABF"/>
    <w:rsid w:val="003257D4"/>
    <w:rsid w:val="00330567"/>
    <w:rsid w:val="00331120"/>
    <w:rsid w:val="00335B03"/>
    <w:rsid w:val="00336589"/>
    <w:rsid w:val="00336644"/>
    <w:rsid w:val="00336EBA"/>
    <w:rsid w:val="003379AB"/>
    <w:rsid w:val="003422F0"/>
    <w:rsid w:val="003441A3"/>
    <w:rsid w:val="0034660F"/>
    <w:rsid w:val="00351249"/>
    <w:rsid w:val="00354471"/>
    <w:rsid w:val="00355802"/>
    <w:rsid w:val="00355CE6"/>
    <w:rsid w:val="00355D85"/>
    <w:rsid w:val="00357647"/>
    <w:rsid w:val="00360569"/>
    <w:rsid w:val="003610CA"/>
    <w:rsid w:val="00361B23"/>
    <w:rsid w:val="00364F74"/>
    <w:rsid w:val="00366969"/>
    <w:rsid w:val="00371284"/>
    <w:rsid w:val="00372C1E"/>
    <w:rsid w:val="00375125"/>
    <w:rsid w:val="0037538A"/>
    <w:rsid w:val="00376473"/>
    <w:rsid w:val="00377470"/>
    <w:rsid w:val="00377ADF"/>
    <w:rsid w:val="00377BF0"/>
    <w:rsid w:val="00377C65"/>
    <w:rsid w:val="0038112D"/>
    <w:rsid w:val="003834BD"/>
    <w:rsid w:val="0038751A"/>
    <w:rsid w:val="00387983"/>
    <w:rsid w:val="003900FB"/>
    <w:rsid w:val="003908EC"/>
    <w:rsid w:val="00392DB5"/>
    <w:rsid w:val="00393310"/>
    <w:rsid w:val="00393838"/>
    <w:rsid w:val="003966CC"/>
    <w:rsid w:val="00396EED"/>
    <w:rsid w:val="00397185"/>
    <w:rsid w:val="003A6A44"/>
    <w:rsid w:val="003A6D47"/>
    <w:rsid w:val="003B2A56"/>
    <w:rsid w:val="003B58F0"/>
    <w:rsid w:val="003C0ED3"/>
    <w:rsid w:val="003C16CF"/>
    <w:rsid w:val="003C499A"/>
    <w:rsid w:val="003C5B1A"/>
    <w:rsid w:val="003C5BCF"/>
    <w:rsid w:val="003C7F90"/>
    <w:rsid w:val="003D3CB5"/>
    <w:rsid w:val="003D413C"/>
    <w:rsid w:val="003D4D89"/>
    <w:rsid w:val="003D54F8"/>
    <w:rsid w:val="003E0BF9"/>
    <w:rsid w:val="003E3D71"/>
    <w:rsid w:val="003E447A"/>
    <w:rsid w:val="003E4CA1"/>
    <w:rsid w:val="003E4F7C"/>
    <w:rsid w:val="003E53E5"/>
    <w:rsid w:val="003E6414"/>
    <w:rsid w:val="003E6E82"/>
    <w:rsid w:val="003F0363"/>
    <w:rsid w:val="003F1DB2"/>
    <w:rsid w:val="003F2743"/>
    <w:rsid w:val="003F4D3A"/>
    <w:rsid w:val="003F73A7"/>
    <w:rsid w:val="0040019C"/>
    <w:rsid w:val="0040054A"/>
    <w:rsid w:val="00401BA1"/>
    <w:rsid w:val="004025B7"/>
    <w:rsid w:val="00403723"/>
    <w:rsid w:val="004042FF"/>
    <w:rsid w:val="0041099B"/>
    <w:rsid w:val="00413484"/>
    <w:rsid w:val="004154E2"/>
    <w:rsid w:val="00416719"/>
    <w:rsid w:val="0042093E"/>
    <w:rsid w:val="00421357"/>
    <w:rsid w:val="0042272B"/>
    <w:rsid w:val="0042290C"/>
    <w:rsid w:val="00423481"/>
    <w:rsid w:val="00424137"/>
    <w:rsid w:val="004244E1"/>
    <w:rsid w:val="004405D8"/>
    <w:rsid w:val="00440BFC"/>
    <w:rsid w:val="004415B7"/>
    <w:rsid w:val="004419F5"/>
    <w:rsid w:val="00442213"/>
    <w:rsid w:val="00442E62"/>
    <w:rsid w:val="00444593"/>
    <w:rsid w:val="00444CE8"/>
    <w:rsid w:val="00445BDD"/>
    <w:rsid w:val="00447C08"/>
    <w:rsid w:val="00451E8D"/>
    <w:rsid w:val="00453B1F"/>
    <w:rsid w:val="00453DDF"/>
    <w:rsid w:val="00456455"/>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8014C"/>
    <w:rsid w:val="00485754"/>
    <w:rsid w:val="00490019"/>
    <w:rsid w:val="00492262"/>
    <w:rsid w:val="00493F3D"/>
    <w:rsid w:val="004945EF"/>
    <w:rsid w:val="00494D5A"/>
    <w:rsid w:val="00496DF0"/>
    <w:rsid w:val="0049771D"/>
    <w:rsid w:val="00497AFE"/>
    <w:rsid w:val="004A105A"/>
    <w:rsid w:val="004A2C8C"/>
    <w:rsid w:val="004A3209"/>
    <w:rsid w:val="004A32DC"/>
    <w:rsid w:val="004A4575"/>
    <w:rsid w:val="004B0356"/>
    <w:rsid w:val="004B1002"/>
    <w:rsid w:val="004B5424"/>
    <w:rsid w:val="004B615F"/>
    <w:rsid w:val="004B631C"/>
    <w:rsid w:val="004B6C09"/>
    <w:rsid w:val="004B72E9"/>
    <w:rsid w:val="004C0A7B"/>
    <w:rsid w:val="004C318D"/>
    <w:rsid w:val="004C7405"/>
    <w:rsid w:val="004D0A7F"/>
    <w:rsid w:val="004D2D76"/>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12F3"/>
    <w:rsid w:val="00502403"/>
    <w:rsid w:val="00503094"/>
    <w:rsid w:val="00505088"/>
    <w:rsid w:val="0051403A"/>
    <w:rsid w:val="005152CE"/>
    <w:rsid w:val="00515D76"/>
    <w:rsid w:val="00520C15"/>
    <w:rsid w:val="00523907"/>
    <w:rsid w:val="005240A6"/>
    <w:rsid w:val="00524A8D"/>
    <w:rsid w:val="00526D55"/>
    <w:rsid w:val="005271E9"/>
    <w:rsid w:val="00531F76"/>
    <w:rsid w:val="00533AFF"/>
    <w:rsid w:val="005342E1"/>
    <w:rsid w:val="00534EEF"/>
    <w:rsid w:val="00534FF1"/>
    <w:rsid w:val="005425DC"/>
    <w:rsid w:val="00542E2F"/>
    <w:rsid w:val="00544704"/>
    <w:rsid w:val="00544A2E"/>
    <w:rsid w:val="00544B26"/>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67DD8"/>
    <w:rsid w:val="0057137B"/>
    <w:rsid w:val="0057332F"/>
    <w:rsid w:val="0058158A"/>
    <w:rsid w:val="00581DDF"/>
    <w:rsid w:val="00582AC3"/>
    <w:rsid w:val="0058373C"/>
    <w:rsid w:val="00586068"/>
    <w:rsid w:val="005861E0"/>
    <w:rsid w:val="005867B9"/>
    <w:rsid w:val="00587D3E"/>
    <w:rsid w:val="005901C0"/>
    <w:rsid w:val="005906E6"/>
    <w:rsid w:val="00590BC1"/>
    <w:rsid w:val="00591864"/>
    <w:rsid w:val="00592870"/>
    <w:rsid w:val="00593432"/>
    <w:rsid w:val="0059713B"/>
    <w:rsid w:val="005A032A"/>
    <w:rsid w:val="005A0910"/>
    <w:rsid w:val="005A2316"/>
    <w:rsid w:val="005A6E16"/>
    <w:rsid w:val="005B06DE"/>
    <w:rsid w:val="005B3FB7"/>
    <w:rsid w:val="005B5587"/>
    <w:rsid w:val="005B577C"/>
    <w:rsid w:val="005B6074"/>
    <w:rsid w:val="005B7564"/>
    <w:rsid w:val="005C36D6"/>
    <w:rsid w:val="005C429C"/>
    <w:rsid w:val="005C73B3"/>
    <w:rsid w:val="005D0973"/>
    <w:rsid w:val="005D2223"/>
    <w:rsid w:val="005D2E79"/>
    <w:rsid w:val="005D2EA5"/>
    <w:rsid w:val="005D7499"/>
    <w:rsid w:val="005D758A"/>
    <w:rsid w:val="005E4E43"/>
    <w:rsid w:val="005E661B"/>
    <w:rsid w:val="005F0D75"/>
    <w:rsid w:val="005F33BD"/>
    <w:rsid w:val="005F383B"/>
    <w:rsid w:val="005F3907"/>
    <w:rsid w:val="005F5290"/>
    <w:rsid w:val="0060137B"/>
    <w:rsid w:val="006029D8"/>
    <w:rsid w:val="00606A42"/>
    <w:rsid w:val="0061057F"/>
    <w:rsid w:val="006114B3"/>
    <w:rsid w:val="00611631"/>
    <w:rsid w:val="00612BDE"/>
    <w:rsid w:val="00612DD1"/>
    <w:rsid w:val="006141E3"/>
    <w:rsid w:val="00614D8C"/>
    <w:rsid w:val="00616283"/>
    <w:rsid w:val="00616C95"/>
    <w:rsid w:val="006170C0"/>
    <w:rsid w:val="00617EFF"/>
    <w:rsid w:val="00620788"/>
    <w:rsid w:val="00623177"/>
    <w:rsid w:val="00623E41"/>
    <w:rsid w:val="006243C2"/>
    <w:rsid w:val="00626069"/>
    <w:rsid w:val="00627EA9"/>
    <w:rsid w:val="0063031C"/>
    <w:rsid w:val="00636146"/>
    <w:rsid w:val="00636596"/>
    <w:rsid w:val="00640A3B"/>
    <w:rsid w:val="006414D1"/>
    <w:rsid w:val="006454F7"/>
    <w:rsid w:val="006478AB"/>
    <w:rsid w:val="0065107D"/>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746C"/>
    <w:rsid w:val="006918A4"/>
    <w:rsid w:val="00692473"/>
    <w:rsid w:val="00692A64"/>
    <w:rsid w:val="00692F19"/>
    <w:rsid w:val="00693824"/>
    <w:rsid w:val="00693B36"/>
    <w:rsid w:val="006960BB"/>
    <w:rsid w:val="00696305"/>
    <w:rsid w:val="0069648D"/>
    <w:rsid w:val="00697231"/>
    <w:rsid w:val="006A0935"/>
    <w:rsid w:val="006A14D2"/>
    <w:rsid w:val="006A27F4"/>
    <w:rsid w:val="006A4261"/>
    <w:rsid w:val="006B0801"/>
    <w:rsid w:val="006B0C30"/>
    <w:rsid w:val="006B0ED5"/>
    <w:rsid w:val="006B1FFC"/>
    <w:rsid w:val="006B3475"/>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312E"/>
    <w:rsid w:val="007734E2"/>
    <w:rsid w:val="00780BBC"/>
    <w:rsid w:val="00782AA7"/>
    <w:rsid w:val="007843FF"/>
    <w:rsid w:val="007846C9"/>
    <w:rsid w:val="0078645E"/>
    <w:rsid w:val="00786C3D"/>
    <w:rsid w:val="00790C6D"/>
    <w:rsid w:val="00791B77"/>
    <w:rsid w:val="00792A54"/>
    <w:rsid w:val="00792AB6"/>
    <w:rsid w:val="00793610"/>
    <w:rsid w:val="0079395A"/>
    <w:rsid w:val="007958BB"/>
    <w:rsid w:val="0079693B"/>
    <w:rsid w:val="0079776C"/>
    <w:rsid w:val="00797A78"/>
    <w:rsid w:val="007A287F"/>
    <w:rsid w:val="007A4AC2"/>
    <w:rsid w:val="007A6F2B"/>
    <w:rsid w:val="007B1EBD"/>
    <w:rsid w:val="007B5277"/>
    <w:rsid w:val="007B5EE5"/>
    <w:rsid w:val="007B683A"/>
    <w:rsid w:val="007C0693"/>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079"/>
    <w:rsid w:val="007F4887"/>
    <w:rsid w:val="007F48CC"/>
    <w:rsid w:val="007F623D"/>
    <w:rsid w:val="007F7122"/>
    <w:rsid w:val="0080019C"/>
    <w:rsid w:val="00800694"/>
    <w:rsid w:val="00800EBB"/>
    <w:rsid w:val="00800F69"/>
    <w:rsid w:val="008023C4"/>
    <w:rsid w:val="008050E5"/>
    <w:rsid w:val="00806946"/>
    <w:rsid w:val="00806985"/>
    <w:rsid w:val="0081435E"/>
    <w:rsid w:val="008162BC"/>
    <w:rsid w:val="00822C4A"/>
    <w:rsid w:val="008231D9"/>
    <w:rsid w:val="0083030A"/>
    <w:rsid w:val="00833258"/>
    <w:rsid w:val="00833771"/>
    <w:rsid w:val="00833C05"/>
    <w:rsid w:val="00835C68"/>
    <w:rsid w:val="008361F6"/>
    <w:rsid w:val="00836320"/>
    <w:rsid w:val="00837070"/>
    <w:rsid w:val="0084094A"/>
    <w:rsid w:val="00841418"/>
    <w:rsid w:val="00844F54"/>
    <w:rsid w:val="00845722"/>
    <w:rsid w:val="00846418"/>
    <w:rsid w:val="00846425"/>
    <w:rsid w:val="00846EB8"/>
    <w:rsid w:val="0085245B"/>
    <w:rsid w:val="00854F39"/>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464C"/>
    <w:rsid w:val="008B0C49"/>
    <w:rsid w:val="008B4C2B"/>
    <w:rsid w:val="008B7385"/>
    <w:rsid w:val="008B7929"/>
    <w:rsid w:val="008C0C5D"/>
    <w:rsid w:val="008C32EC"/>
    <w:rsid w:val="008C3766"/>
    <w:rsid w:val="008D35F4"/>
    <w:rsid w:val="008D3C4E"/>
    <w:rsid w:val="008D3D6B"/>
    <w:rsid w:val="008D46C8"/>
    <w:rsid w:val="008E3D27"/>
    <w:rsid w:val="008E6DA3"/>
    <w:rsid w:val="008E73E3"/>
    <w:rsid w:val="008E74D3"/>
    <w:rsid w:val="008E7A6A"/>
    <w:rsid w:val="008E7DEC"/>
    <w:rsid w:val="008E7F77"/>
    <w:rsid w:val="008F14E6"/>
    <w:rsid w:val="00903C32"/>
    <w:rsid w:val="009105F0"/>
    <w:rsid w:val="00911535"/>
    <w:rsid w:val="0091274D"/>
    <w:rsid w:val="00912B3A"/>
    <w:rsid w:val="00920540"/>
    <w:rsid w:val="00920778"/>
    <w:rsid w:val="00920DC1"/>
    <w:rsid w:val="00921FEB"/>
    <w:rsid w:val="00922321"/>
    <w:rsid w:val="009229D4"/>
    <w:rsid w:val="00925406"/>
    <w:rsid w:val="00925A62"/>
    <w:rsid w:val="00926422"/>
    <w:rsid w:val="009268FB"/>
    <w:rsid w:val="00930618"/>
    <w:rsid w:val="00933D47"/>
    <w:rsid w:val="00937D20"/>
    <w:rsid w:val="00941666"/>
    <w:rsid w:val="00942801"/>
    <w:rsid w:val="00946291"/>
    <w:rsid w:val="0094712D"/>
    <w:rsid w:val="009503AB"/>
    <w:rsid w:val="009507F5"/>
    <w:rsid w:val="00950F5D"/>
    <w:rsid w:val="00952D3C"/>
    <w:rsid w:val="009536D2"/>
    <w:rsid w:val="00953D1F"/>
    <w:rsid w:val="00955A98"/>
    <w:rsid w:val="00955B3E"/>
    <w:rsid w:val="009563AF"/>
    <w:rsid w:val="00956CEB"/>
    <w:rsid w:val="009570AD"/>
    <w:rsid w:val="00961DDA"/>
    <w:rsid w:val="009626AA"/>
    <w:rsid w:val="00970C48"/>
    <w:rsid w:val="00970FB0"/>
    <w:rsid w:val="009710E6"/>
    <w:rsid w:val="00971E3F"/>
    <w:rsid w:val="009735F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5239"/>
    <w:rsid w:val="009B77CA"/>
    <w:rsid w:val="009C01E8"/>
    <w:rsid w:val="009C6A0C"/>
    <w:rsid w:val="009C6A7E"/>
    <w:rsid w:val="009C70E6"/>
    <w:rsid w:val="009D1F6B"/>
    <w:rsid w:val="009D277B"/>
    <w:rsid w:val="009D3680"/>
    <w:rsid w:val="009D3D53"/>
    <w:rsid w:val="009D4303"/>
    <w:rsid w:val="009D629D"/>
    <w:rsid w:val="009D7040"/>
    <w:rsid w:val="009E0560"/>
    <w:rsid w:val="009E08BF"/>
    <w:rsid w:val="009E1568"/>
    <w:rsid w:val="009E5EF1"/>
    <w:rsid w:val="009E65B8"/>
    <w:rsid w:val="009F1CE6"/>
    <w:rsid w:val="009F4620"/>
    <w:rsid w:val="009F4872"/>
    <w:rsid w:val="009F6F21"/>
    <w:rsid w:val="00A004E2"/>
    <w:rsid w:val="00A0093D"/>
    <w:rsid w:val="00A01416"/>
    <w:rsid w:val="00A0142A"/>
    <w:rsid w:val="00A054F1"/>
    <w:rsid w:val="00A139DC"/>
    <w:rsid w:val="00A15B8D"/>
    <w:rsid w:val="00A15D6A"/>
    <w:rsid w:val="00A1786A"/>
    <w:rsid w:val="00A2166C"/>
    <w:rsid w:val="00A2403C"/>
    <w:rsid w:val="00A24C2A"/>
    <w:rsid w:val="00A252E9"/>
    <w:rsid w:val="00A26727"/>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6307"/>
    <w:rsid w:val="00A56920"/>
    <w:rsid w:val="00A578D2"/>
    <w:rsid w:val="00A64B7B"/>
    <w:rsid w:val="00A67A51"/>
    <w:rsid w:val="00A67BF0"/>
    <w:rsid w:val="00A70D8F"/>
    <w:rsid w:val="00A70F50"/>
    <w:rsid w:val="00A746DF"/>
    <w:rsid w:val="00A74A02"/>
    <w:rsid w:val="00A74A8A"/>
    <w:rsid w:val="00A75587"/>
    <w:rsid w:val="00A76795"/>
    <w:rsid w:val="00A80B07"/>
    <w:rsid w:val="00A825C7"/>
    <w:rsid w:val="00A83DD8"/>
    <w:rsid w:val="00A850AC"/>
    <w:rsid w:val="00A8547C"/>
    <w:rsid w:val="00A92AC1"/>
    <w:rsid w:val="00A93498"/>
    <w:rsid w:val="00A93C9C"/>
    <w:rsid w:val="00A93CDE"/>
    <w:rsid w:val="00A948EC"/>
    <w:rsid w:val="00AA00C9"/>
    <w:rsid w:val="00AA1B11"/>
    <w:rsid w:val="00AA4035"/>
    <w:rsid w:val="00AA4B84"/>
    <w:rsid w:val="00AA68D5"/>
    <w:rsid w:val="00AA7F56"/>
    <w:rsid w:val="00AB0BE5"/>
    <w:rsid w:val="00AB31FE"/>
    <w:rsid w:val="00AB321F"/>
    <w:rsid w:val="00AB4344"/>
    <w:rsid w:val="00AB6440"/>
    <w:rsid w:val="00AB7D63"/>
    <w:rsid w:val="00AC1BE1"/>
    <w:rsid w:val="00AC1D1B"/>
    <w:rsid w:val="00AC64A8"/>
    <w:rsid w:val="00AD1A65"/>
    <w:rsid w:val="00AD2906"/>
    <w:rsid w:val="00AD3DE5"/>
    <w:rsid w:val="00AD4280"/>
    <w:rsid w:val="00AD4747"/>
    <w:rsid w:val="00AD6331"/>
    <w:rsid w:val="00AE060F"/>
    <w:rsid w:val="00AE21FF"/>
    <w:rsid w:val="00AE2AE0"/>
    <w:rsid w:val="00AE546D"/>
    <w:rsid w:val="00AE57DE"/>
    <w:rsid w:val="00AE69F7"/>
    <w:rsid w:val="00AE7456"/>
    <w:rsid w:val="00AF0322"/>
    <w:rsid w:val="00AF0847"/>
    <w:rsid w:val="00AF106C"/>
    <w:rsid w:val="00AF1812"/>
    <w:rsid w:val="00AF2C07"/>
    <w:rsid w:val="00AF3F82"/>
    <w:rsid w:val="00AF537A"/>
    <w:rsid w:val="00AF739D"/>
    <w:rsid w:val="00AF76DD"/>
    <w:rsid w:val="00B00409"/>
    <w:rsid w:val="00B02891"/>
    <w:rsid w:val="00B02F42"/>
    <w:rsid w:val="00B03855"/>
    <w:rsid w:val="00B0514D"/>
    <w:rsid w:val="00B0739C"/>
    <w:rsid w:val="00B110E1"/>
    <w:rsid w:val="00B1127F"/>
    <w:rsid w:val="00B11691"/>
    <w:rsid w:val="00B12559"/>
    <w:rsid w:val="00B12B1E"/>
    <w:rsid w:val="00B16DB4"/>
    <w:rsid w:val="00B2021B"/>
    <w:rsid w:val="00B22378"/>
    <w:rsid w:val="00B22C69"/>
    <w:rsid w:val="00B22EB2"/>
    <w:rsid w:val="00B24855"/>
    <w:rsid w:val="00B25F31"/>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77D1"/>
    <w:rsid w:val="00B62A9A"/>
    <w:rsid w:val="00B63217"/>
    <w:rsid w:val="00B63551"/>
    <w:rsid w:val="00B667C4"/>
    <w:rsid w:val="00B67971"/>
    <w:rsid w:val="00B70059"/>
    <w:rsid w:val="00B70EC8"/>
    <w:rsid w:val="00B80948"/>
    <w:rsid w:val="00B85517"/>
    <w:rsid w:val="00B9033C"/>
    <w:rsid w:val="00B93BD3"/>
    <w:rsid w:val="00B93BD9"/>
    <w:rsid w:val="00B93E36"/>
    <w:rsid w:val="00B94BE4"/>
    <w:rsid w:val="00B94DA4"/>
    <w:rsid w:val="00B9532E"/>
    <w:rsid w:val="00B95BF2"/>
    <w:rsid w:val="00B96F28"/>
    <w:rsid w:val="00B9737E"/>
    <w:rsid w:val="00BA4860"/>
    <w:rsid w:val="00BA74A1"/>
    <w:rsid w:val="00BA7A07"/>
    <w:rsid w:val="00BA7B84"/>
    <w:rsid w:val="00BB0A10"/>
    <w:rsid w:val="00BB0AB1"/>
    <w:rsid w:val="00BB10E0"/>
    <w:rsid w:val="00BB277F"/>
    <w:rsid w:val="00BB4D83"/>
    <w:rsid w:val="00BB5682"/>
    <w:rsid w:val="00BB572D"/>
    <w:rsid w:val="00BB5B8B"/>
    <w:rsid w:val="00BB6378"/>
    <w:rsid w:val="00BC1E9B"/>
    <w:rsid w:val="00BC2520"/>
    <w:rsid w:val="00BC35EB"/>
    <w:rsid w:val="00BC5867"/>
    <w:rsid w:val="00BC5A8D"/>
    <w:rsid w:val="00BC7FA5"/>
    <w:rsid w:val="00BD0FD8"/>
    <w:rsid w:val="00BD2183"/>
    <w:rsid w:val="00BD7083"/>
    <w:rsid w:val="00BD712F"/>
    <w:rsid w:val="00BE40B7"/>
    <w:rsid w:val="00BF14AB"/>
    <w:rsid w:val="00BF2D91"/>
    <w:rsid w:val="00BF37A0"/>
    <w:rsid w:val="00BF666F"/>
    <w:rsid w:val="00C00ED7"/>
    <w:rsid w:val="00C02878"/>
    <w:rsid w:val="00C02B96"/>
    <w:rsid w:val="00C0480B"/>
    <w:rsid w:val="00C04A6C"/>
    <w:rsid w:val="00C142AB"/>
    <w:rsid w:val="00C1467F"/>
    <w:rsid w:val="00C15596"/>
    <w:rsid w:val="00C15A80"/>
    <w:rsid w:val="00C173CA"/>
    <w:rsid w:val="00C20CC8"/>
    <w:rsid w:val="00C21428"/>
    <w:rsid w:val="00C24059"/>
    <w:rsid w:val="00C25F74"/>
    <w:rsid w:val="00C26372"/>
    <w:rsid w:val="00C2709A"/>
    <w:rsid w:val="00C30C15"/>
    <w:rsid w:val="00C32013"/>
    <w:rsid w:val="00C3204F"/>
    <w:rsid w:val="00C34842"/>
    <w:rsid w:val="00C35E38"/>
    <w:rsid w:val="00C3796E"/>
    <w:rsid w:val="00C40F21"/>
    <w:rsid w:val="00C414CB"/>
    <w:rsid w:val="00C471C1"/>
    <w:rsid w:val="00C56BE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50CB"/>
    <w:rsid w:val="00C85731"/>
    <w:rsid w:val="00C86E08"/>
    <w:rsid w:val="00C92DF1"/>
    <w:rsid w:val="00C92DFC"/>
    <w:rsid w:val="00C93224"/>
    <w:rsid w:val="00C96F60"/>
    <w:rsid w:val="00CA08EC"/>
    <w:rsid w:val="00CA15BD"/>
    <w:rsid w:val="00CA670F"/>
    <w:rsid w:val="00CA7E0F"/>
    <w:rsid w:val="00CB2319"/>
    <w:rsid w:val="00CB2917"/>
    <w:rsid w:val="00CB349A"/>
    <w:rsid w:val="00CB5563"/>
    <w:rsid w:val="00CB5B82"/>
    <w:rsid w:val="00CB5BB3"/>
    <w:rsid w:val="00CB7B58"/>
    <w:rsid w:val="00CC0B6E"/>
    <w:rsid w:val="00CC2AA7"/>
    <w:rsid w:val="00CC3546"/>
    <w:rsid w:val="00CC3598"/>
    <w:rsid w:val="00CC6AC5"/>
    <w:rsid w:val="00CD1091"/>
    <w:rsid w:val="00CD16CE"/>
    <w:rsid w:val="00CD218D"/>
    <w:rsid w:val="00CD2D41"/>
    <w:rsid w:val="00CD4C07"/>
    <w:rsid w:val="00CD6941"/>
    <w:rsid w:val="00CE04DA"/>
    <w:rsid w:val="00CE0C3B"/>
    <w:rsid w:val="00CE2896"/>
    <w:rsid w:val="00CE57E8"/>
    <w:rsid w:val="00CF2941"/>
    <w:rsid w:val="00CF362F"/>
    <w:rsid w:val="00CF3632"/>
    <w:rsid w:val="00CF4547"/>
    <w:rsid w:val="00CF66B7"/>
    <w:rsid w:val="00CF76B6"/>
    <w:rsid w:val="00CF7D82"/>
    <w:rsid w:val="00CF7E2E"/>
    <w:rsid w:val="00D026CD"/>
    <w:rsid w:val="00D04512"/>
    <w:rsid w:val="00D047EB"/>
    <w:rsid w:val="00D072D9"/>
    <w:rsid w:val="00D101DC"/>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6A21"/>
    <w:rsid w:val="00D37AB6"/>
    <w:rsid w:val="00D402FC"/>
    <w:rsid w:val="00D5212B"/>
    <w:rsid w:val="00D53629"/>
    <w:rsid w:val="00D56BD2"/>
    <w:rsid w:val="00D62B7C"/>
    <w:rsid w:val="00D62F55"/>
    <w:rsid w:val="00D6496D"/>
    <w:rsid w:val="00D65DDB"/>
    <w:rsid w:val="00D67153"/>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5110"/>
    <w:rsid w:val="00D87B09"/>
    <w:rsid w:val="00D87FE0"/>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D0E55"/>
    <w:rsid w:val="00DD250C"/>
    <w:rsid w:val="00DD2524"/>
    <w:rsid w:val="00DD3864"/>
    <w:rsid w:val="00DD70EA"/>
    <w:rsid w:val="00DD7321"/>
    <w:rsid w:val="00DE0275"/>
    <w:rsid w:val="00DE08A8"/>
    <w:rsid w:val="00DE55B4"/>
    <w:rsid w:val="00DE60BE"/>
    <w:rsid w:val="00DE7272"/>
    <w:rsid w:val="00DE7D66"/>
    <w:rsid w:val="00DF0563"/>
    <w:rsid w:val="00DF12E5"/>
    <w:rsid w:val="00DF3F5A"/>
    <w:rsid w:val="00DF55AB"/>
    <w:rsid w:val="00DF61C7"/>
    <w:rsid w:val="00E00072"/>
    <w:rsid w:val="00E0123E"/>
    <w:rsid w:val="00E014A2"/>
    <w:rsid w:val="00E01B06"/>
    <w:rsid w:val="00E02C74"/>
    <w:rsid w:val="00E05DEB"/>
    <w:rsid w:val="00E0650B"/>
    <w:rsid w:val="00E06E9E"/>
    <w:rsid w:val="00E13F69"/>
    <w:rsid w:val="00E14983"/>
    <w:rsid w:val="00E15639"/>
    <w:rsid w:val="00E1626C"/>
    <w:rsid w:val="00E17181"/>
    <w:rsid w:val="00E20B3E"/>
    <w:rsid w:val="00E20C71"/>
    <w:rsid w:val="00E2362C"/>
    <w:rsid w:val="00E2388C"/>
    <w:rsid w:val="00E3043C"/>
    <w:rsid w:val="00E31181"/>
    <w:rsid w:val="00E31E70"/>
    <w:rsid w:val="00E337FD"/>
    <w:rsid w:val="00E34C05"/>
    <w:rsid w:val="00E362B0"/>
    <w:rsid w:val="00E36B48"/>
    <w:rsid w:val="00E42E9C"/>
    <w:rsid w:val="00E469B4"/>
    <w:rsid w:val="00E46DD6"/>
    <w:rsid w:val="00E47A33"/>
    <w:rsid w:val="00E50F24"/>
    <w:rsid w:val="00E52D10"/>
    <w:rsid w:val="00E5504F"/>
    <w:rsid w:val="00E62B5B"/>
    <w:rsid w:val="00E66D95"/>
    <w:rsid w:val="00E67D87"/>
    <w:rsid w:val="00E70467"/>
    <w:rsid w:val="00E71468"/>
    <w:rsid w:val="00E7367D"/>
    <w:rsid w:val="00E74645"/>
    <w:rsid w:val="00E76C98"/>
    <w:rsid w:val="00E80CF5"/>
    <w:rsid w:val="00E831B2"/>
    <w:rsid w:val="00E83E1E"/>
    <w:rsid w:val="00E8577A"/>
    <w:rsid w:val="00E86DD7"/>
    <w:rsid w:val="00E9302A"/>
    <w:rsid w:val="00E95A89"/>
    <w:rsid w:val="00E96FC2"/>
    <w:rsid w:val="00E97A76"/>
    <w:rsid w:val="00E97B90"/>
    <w:rsid w:val="00EA0F27"/>
    <w:rsid w:val="00EA36A7"/>
    <w:rsid w:val="00EA6D62"/>
    <w:rsid w:val="00EA7284"/>
    <w:rsid w:val="00EA74AF"/>
    <w:rsid w:val="00EA76F1"/>
    <w:rsid w:val="00EB3E67"/>
    <w:rsid w:val="00EB44CC"/>
    <w:rsid w:val="00EC1695"/>
    <w:rsid w:val="00EC21CF"/>
    <w:rsid w:val="00EC4DDE"/>
    <w:rsid w:val="00EC579E"/>
    <w:rsid w:val="00ED0136"/>
    <w:rsid w:val="00ED0DA9"/>
    <w:rsid w:val="00ED3275"/>
    <w:rsid w:val="00ED329F"/>
    <w:rsid w:val="00ED6B80"/>
    <w:rsid w:val="00EE3528"/>
    <w:rsid w:val="00EE4245"/>
    <w:rsid w:val="00EE4A48"/>
    <w:rsid w:val="00EE6D64"/>
    <w:rsid w:val="00EF5E2A"/>
    <w:rsid w:val="00EF64B1"/>
    <w:rsid w:val="00EF6548"/>
    <w:rsid w:val="00EF71A8"/>
    <w:rsid w:val="00F00D98"/>
    <w:rsid w:val="00F017D9"/>
    <w:rsid w:val="00F01BC4"/>
    <w:rsid w:val="00F02574"/>
    <w:rsid w:val="00F05E3C"/>
    <w:rsid w:val="00F07248"/>
    <w:rsid w:val="00F07B0D"/>
    <w:rsid w:val="00F07C34"/>
    <w:rsid w:val="00F10664"/>
    <w:rsid w:val="00F146B3"/>
    <w:rsid w:val="00F14C98"/>
    <w:rsid w:val="00F24423"/>
    <w:rsid w:val="00F24680"/>
    <w:rsid w:val="00F25FA6"/>
    <w:rsid w:val="00F2730E"/>
    <w:rsid w:val="00F311C0"/>
    <w:rsid w:val="00F31375"/>
    <w:rsid w:val="00F31F4A"/>
    <w:rsid w:val="00F335BE"/>
    <w:rsid w:val="00F34E44"/>
    <w:rsid w:val="00F373D4"/>
    <w:rsid w:val="00F41C4F"/>
    <w:rsid w:val="00F42672"/>
    <w:rsid w:val="00F44A9F"/>
    <w:rsid w:val="00F474A5"/>
    <w:rsid w:val="00F47DCF"/>
    <w:rsid w:val="00F510D8"/>
    <w:rsid w:val="00F528DD"/>
    <w:rsid w:val="00F57E0A"/>
    <w:rsid w:val="00F60713"/>
    <w:rsid w:val="00F65366"/>
    <w:rsid w:val="00F73F8E"/>
    <w:rsid w:val="00F741FB"/>
    <w:rsid w:val="00F751B5"/>
    <w:rsid w:val="00F75EAA"/>
    <w:rsid w:val="00F769AB"/>
    <w:rsid w:val="00F80D46"/>
    <w:rsid w:val="00F816DF"/>
    <w:rsid w:val="00F83C2B"/>
    <w:rsid w:val="00F83E07"/>
    <w:rsid w:val="00F84FD8"/>
    <w:rsid w:val="00F8617A"/>
    <w:rsid w:val="00F86C8F"/>
    <w:rsid w:val="00F86D9B"/>
    <w:rsid w:val="00F904BB"/>
    <w:rsid w:val="00F9173C"/>
    <w:rsid w:val="00F91C33"/>
    <w:rsid w:val="00F97379"/>
    <w:rsid w:val="00F97E5B"/>
    <w:rsid w:val="00FA0C61"/>
    <w:rsid w:val="00FA3DB8"/>
    <w:rsid w:val="00FA4357"/>
    <w:rsid w:val="00FB6614"/>
    <w:rsid w:val="00FB6BBA"/>
    <w:rsid w:val="00FC27CC"/>
    <w:rsid w:val="00FC4772"/>
    <w:rsid w:val="00FC58E0"/>
    <w:rsid w:val="00FC6173"/>
    <w:rsid w:val="00FC6303"/>
    <w:rsid w:val="00FC6EE9"/>
    <w:rsid w:val="00FD1A59"/>
    <w:rsid w:val="00FD2AD0"/>
    <w:rsid w:val="00FD42CD"/>
    <w:rsid w:val="00FD4871"/>
    <w:rsid w:val="00FD5DB5"/>
    <w:rsid w:val="00FE339D"/>
    <w:rsid w:val="00FE4935"/>
    <w:rsid w:val="00FE596A"/>
    <w:rsid w:val="00FE72B1"/>
    <w:rsid w:val="00FF0A16"/>
    <w:rsid w:val="00FF1607"/>
    <w:rsid w:val="00FF267A"/>
    <w:rsid w:val="00FF3263"/>
    <w:rsid w:val="00FF333E"/>
    <w:rsid w:val="00FF3F45"/>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
    <w:name w:val="Unresolved Mention"/>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699E-64B9-46BA-B3E6-D09C16B7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2022-09-20T06:52:00Z</cp:lastPrinted>
  <dcterms:created xsi:type="dcterms:W3CDTF">2023-03-17T08:43:00Z</dcterms:created>
  <dcterms:modified xsi:type="dcterms:W3CDTF">2023-03-17T08:44:00Z</dcterms:modified>
</cp:coreProperties>
</file>