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15F1D584" w:rsidR="00300D09" w:rsidRDefault="00300D09" w:rsidP="00300D09">
      <w:pPr>
        <w:jc w:val="center"/>
        <w:rPr>
          <w:rFonts w:cs="Arial"/>
          <w:b/>
          <w:bCs/>
          <w:lang w:eastAsia="en-GB"/>
        </w:rPr>
      </w:pPr>
      <w:r w:rsidRPr="00822349">
        <w:rPr>
          <w:rFonts w:cs="Arial"/>
          <w:b/>
          <w:bCs/>
          <w:lang w:eastAsia="en-GB"/>
        </w:rPr>
        <w:t xml:space="preserve">GAUTENG </w:t>
      </w:r>
      <w:r w:rsidR="00115441">
        <w:rPr>
          <w:rFonts w:cs="Arial"/>
          <w:b/>
          <w:bCs/>
          <w:lang w:eastAsia="en-GB"/>
        </w:rPr>
        <w:t xml:space="preserve">LOCAL </w:t>
      </w:r>
      <w:r w:rsidRPr="00822349">
        <w:rPr>
          <w:rFonts w:cs="Arial"/>
          <w:b/>
          <w:bCs/>
          <w:lang w:eastAsia="en-GB"/>
        </w:rPr>
        <w:t xml:space="preserve">DIVISION, </w:t>
      </w:r>
      <w:r w:rsidR="00115441">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6637D61E" w14:textId="74AE8F2E" w:rsidR="004748F9" w:rsidRDefault="00177246" w:rsidP="004748F9">
      <w:pPr>
        <w:pStyle w:val="1"/>
        <w:numPr>
          <w:ilvl w:val="0"/>
          <w:numId w:val="0"/>
        </w:num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67EC5AA7">
                <wp:simplePos x="0" y="0"/>
                <wp:positionH relativeFrom="column">
                  <wp:posOffset>7620</wp:posOffset>
                </wp:positionH>
                <wp:positionV relativeFrom="paragraph">
                  <wp:posOffset>373380</wp:posOffset>
                </wp:positionV>
                <wp:extent cx="3314700" cy="1709420"/>
                <wp:effectExtent l="0" t="0" r="19050" b="2413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70942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6F887618"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30455988"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3B8D215A"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5B1ABEB0" w14:textId="77777777" w:rsidR="00E72E3C" w:rsidRDefault="00E72E3C" w:rsidP="00066BC7">
                            <w:pPr>
                              <w:rPr>
                                <w:rFonts w:cs="Arial"/>
                                <w:b/>
                                <w:noProof/>
                                <w:sz w:val="18"/>
                                <w:szCs w:val="18"/>
                              </w:rPr>
                            </w:pPr>
                          </w:p>
                          <w:p w14:paraId="57053A59" w14:textId="77777777" w:rsidR="00E72E3C" w:rsidRDefault="00E72E3C" w:rsidP="00066BC7">
                            <w:pPr>
                              <w:rPr>
                                <w:rFonts w:cs="Arial"/>
                                <w:b/>
                                <w:noProof/>
                                <w:sz w:val="18"/>
                                <w:szCs w:val="18"/>
                              </w:rPr>
                            </w:pPr>
                          </w:p>
                          <w:p w14:paraId="4B390871" w14:textId="77777777" w:rsidR="00E72E3C" w:rsidRDefault="00E72E3C" w:rsidP="00066BC7">
                            <w:pPr>
                              <w:rPr>
                                <w:rFonts w:cs="Arial"/>
                                <w:b/>
                                <w:noProof/>
                                <w:sz w:val="18"/>
                                <w:szCs w:val="18"/>
                              </w:rPr>
                            </w:pPr>
                          </w:p>
                          <w:p w14:paraId="032C2ED5" w14:textId="77777777" w:rsidR="00E72E3C" w:rsidRDefault="00E72E3C" w:rsidP="00066BC7">
                            <w:pPr>
                              <w:rPr>
                                <w:rFonts w:cs="Arial"/>
                                <w:b/>
                                <w:noProof/>
                                <w:sz w:val="18"/>
                                <w:szCs w:val="18"/>
                              </w:rPr>
                            </w:pPr>
                          </w:p>
                          <w:p w14:paraId="70887AFB" w14:textId="070A2C69" w:rsidR="00066BC7" w:rsidRDefault="00E72E3C" w:rsidP="00066BC7">
                            <w:pPr>
                              <w:rPr>
                                <w:rFonts w:cs="Arial"/>
                                <w:b/>
                                <w:sz w:val="18"/>
                                <w:szCs w:val="18"/>
                              </w:rPr>
                            </w:pPr>
                            <w:r>
                              <w:rPr>
                                <w:rFonts w:cs="Arial"/>
                                <w:b/>
                                <w:noProof/>
                                <w:sz w:val="18"/>
                                <w:szCs w:val="18"/>
                              </w:rPr>
                              <w:tab/>
                            </w:r>
                            <w:r>
                              <w:rPr>
                                <w:rFonts w:cs="Arial"/>
                                <w:b/>
                                <w:noProof/>
                                <w:sz w:val="18"/>
                                <w:szCs w:val="18"/>
                              </w:rPr>
                              <w:tab/>
                            </w:r>
                            <w:r w:rsidR="00177246">
                              <w:rPr>
                                <w:rFonts w:cs="Arial"/>
                                <w:b/>
                                <w:sz w:val="18"/>
                                <w:szCs w:val="18"/>
                              </w:rPr>
                              <w:tab/>
                            </w:r>
                            <w:r w:rsidR="00177246">
                              <w:rPr>
                                <w:rFonts w:cs="Arial"/>
                                <w:b/>
                                <w:sz w:val="18"/>
                                <w:szCs w:val="18"/>
                              </w:rPr>
                              <w:tab/>
                            </w:r>
                            <w:r w:rsidR="00177246" w:rsidRPr="00177246">
                              <w:rPr>
                                <w:rFonts w:cs="Arial"/>
                                <w:b/>
                                <w:sz w:val="22"/>
                                <w:szCs w:val="22"/>
                              </w:rPr>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6pt;margin-top:29.4pt;width:261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6F887618"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30455988"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3B8D215A" w:rsidR="00066BC7" w:rsidRPr="00EE6CBE" w:rsidRDefault="00AC431C" w:rsidP="00AC431C">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5B1ABEB0" w14:textId="77777777" w:rsidR="00E72E3C" w:rsidRDefault="00E72E3C" w:rsidP="00066BC7">
                      <w:pPr>
                        <w:rPr>
                          <w:rFonts w:cs="Arial"/>
                          <w:b/>
                          <w:noProof/>
                          <w:sz w:val="18"/>
                          <w:szCs w:val="18"/>
                        </w:rPr>
                      </w:pPr>
                    </w:p>
                    <w:p w14:paraId="57053A59" w14:textId="77777777" w:rsidR="00E72E3C" w:rsidRDefault="00E72E3C" w:rsidP="00066BC7">
                      <w:pPr>
                        <w:rPr>
                          <w:rFonts w:cs="Arial"/>
                          <w:b/>
                          <w:noProof/>
                          <w:sz w:val="18"/>
                          <w:szCs w:val="18"/>
                        </w:rPr>
                      </w:pPr>
                    </w:p>
                    <w:p w14:paraId="4B390871" w14:textId="77777777" w:rsidR="00E72E3C" w:rsidRDefault="00E72E3C" w:rsidP="00066BC7">
                      <w:pPr>
                        <w:rPr>
                          <w:rFonts w:cs="Arial"/>
                          <w:b/>
                          <w:noProof/>
                          <w:sz w:val="18"/>
                          <w:szCs w:val="18"/>
                        </w:rPr>
                      </w:pPr>
                    </w:p>
                    <w:p w14:paraId="032C2ED5" w14:textId="77777777" w:rsidR="00E72E3C" w:rsidRDefault="00E72E3C" w:rsidP="00066BC7">
                      <w:pPr>
                        <w:rPr>
                          <w:rFonts w:cs="Arial"/>
                          <w:b/>
                          <w:noProof/>
                          <w:sz w:val="18"/>
                          <w:szCs w:val="18"/>
                        </w:rPr>
                      </w:pPr>
                    </w:p>
                    <w:p w14:paraId="70887AFB" w14:textId="070A2C69" w:rsidR="00066BC7" w:rsidRDefault="00E72E3C" w:rsidP="00066BC7">
                      <w:pPr>
                        <w:rPr>
                          <w:rFonts w:cs="Arial"/>
                          <w:b/>
                          <w:sz w:val="18"/>
                          <w:szCs w:val="18"/>
                        </w:rPr>
                      </w:pPr>
                      <w:r>
                        <w:rPr>
                          <w:rFonts w:cs="Arial"/>
                          <w:b/>
                          <w:noProof/>
                          <w:sz w:val="18"/>
                          <w:szCs w:val="18"/>
                        </w:rPr>
                        <w:tab/>
                      </w:r>
                      <w:r>
                        <w:rPr>
                          <w:rFonts w:cs="Arial"/>
                          <w:b/>
                          <w:noProof/>
                          <w:sz w:val="18"/>
                          <w:szCs w:val="18"/>
                        </w:rPr>
                        <w:tab/>
                      </w:r>
                      <w:r w:rsidR="00177246">
                        <w:rPr>
                          <w:rFonts w:cs="Arial"/>
                          <w:b/>
                          <w:sz w:val="18"/>
                          <w:szCs w:val="18"/>
                        </w:rPr>
                        <w:tab/>
                      </w:r>
                      <w:r w:rsidR="00177246">
                        <w:rPr>
                          <w:rFonts w:cs="Arial"/>
                          <w:b/>
                          <w:sz w:val="18"/>
                          <w:szCs w:val="18"/>
                        </w:rPr>
                        <w:tab/>
                      </w:r>
                      <w:r w:rsidR="00177246" w:rsidRPr="00177246">
                        <w:rPr>
                          <w:rFonts w:cs="Arial"/>
                          <w:b/>
                          <w:sz w:val="22"/>
                          <w:szCs w:val="22"/>
                        </w:rPr>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r w:rsidR="00066BC7" w:rsidRPr="00F73C09">
        <w:t xml:space="preserve">Case No: </w:t>
      </w:r>
      <w:r w:rsidR="003D6862" w:rsidRPr="003D6862">
        <w:rPr>
          <w:rFonts w:cs="Arial"/>
        </w:rPr>
        <w:t>21/42640</w:t>
      </w:r>
    </w:p>
    <w:p w14:paraId="0A6A1573" w14:textId="071E1D2F" w:rsidR="00066BC7" w:rsidRPr="00F73C09" w:rsidRDefault="00066BC7" w:rsidP="00066BC7">
      <w:pPr>
        <w:jc w:val="right"/>
      </w:pPr>
    </w:p>
    <w:p w14:paraId="22C593A1" w14:textId="59F059B6" w:rsidR="00066BC7" w:rsidRPr="00F73C09" w:rsidRDefault="00066BC7" w:rsidP="00066BC7">
      <w:pPr>
        <w:jc w:val="right"/>
      </w:pP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061A5763" w:rsidR="00066BC7" w:rsidRDefault="00066BC7" w:rsidP="00066BC7">
      <w:pPr>
        <w:rPr>
          <w:rFonts w:cs="Arial"/>
        </w:rPr>
      </w:pPr>
      <w:r w:rsidRPr="00F73C09">
        <w:rPr>
          <w:rFonts w:cs="Arial"/>
        </w:rPr>
        <w:t>In the</w:t>
      </w:r>
      <w:r w:rsidR="00177246">
        <w:rPr>
          <w:rFonts w:cs="Arial"/>
        </w:rPr>
        <w:t xml:space="preserve"> interlocutory</w:t>
      </w:r>
      <w:r w:rsidRPr="00F73C09">
        <w:rPr>
          <w:rFonts w:cs="Arial"/>
        </w:rPr>
        <w:t xml:space="preserve"> </w:t>
      </w:r>
      <w:r w:rsidR="00115441">
        <w:rPr>
          <w:rFonts w:cs="Arial"/>
        </w:rPr>
        <w:t xml:space="preserve">application </w:t>
      </w:r>
      <w:r w:rsidRPr="00F73C09">
        <w:rPr>
          <w:rFonts w:cs="Arial"/>
        </w:rPr>
        <w:t>between:</w:t>
      </w:r>
    </w:p>
    <w:p w14:paraId="77ABCAC3" w14:textId="1DDB3533" w:rsidR="003D6862" w:rsidRPr="003D6862" w:rsidRDefault="003D6862" w:rsidP="003D6862">
      <w:pPr>
        <w:spacing w:line="480" w:lineRule="auto"/>
        <w:rPr>
          <w:rFonts w:cs="Arial"/>
        </w:rPr>
      </w:pPr>
      <w:r w:rsidRPr="003D6862">
        <w:rPr>
          <w:rFonts w:cs="Arial"/>
        </w:rPr>
        <w:t xml:space="preserve"> </w:t>
      </w:r>
    </w:p>
    <w:p w14:paraId="148E85FE" w14:textId="6D9B9E00" w:rsidR="003D6862" w:rsidRPr="003D6862" w:rsidRDefault="003D6862" w:rsidP="003D6862">
      <w:pPr>
        <w:spacing w:line="480" w:lineRule="auto"/>
        <w:rPr>
          <w:rFonts w:cs="Arial"/>
        </w:rPr>
      </w:pPr>
      <w:r w:rsidRPr="00177246">
        <w:rPr>
          <w:rFonts w:cs="Arial"/>
          <w:b/>
          <w:bCs/>
        </w:rPr>
        <w:t>DA CRUZ, MANUEL JORGE MAIA</w:t>
      </w:r>
      <w:r w:rsidRPr="003D6862">
        <w:rPr>
          <w:rFonts w:cs="Arial"/>
        </w:rPr>
        <w:t xml:space="preserve"> </w:t>
      </w:r>
      <w:r>
        <w:rPr>
          <w:rFonts w:cs="Arial"/>
        </w:rPr>
        <w:tab/>
      </w:r>
      <w:r>
        <w:rPr>
          <w:rFonts w:cs="Arial"/>
        </w:rPr>
        <w:tab/>
      </w:r>
      <w:r>
        <w:rPr>
          <w:rFonts w:cs="Arial"/>
        </w:rPr>
        <w:tab/>
      </w:r>
      <w:r>
        <w:rPr>
          <w:rFonts w:cs="Arial"/>
        </w:rPr>
        <w:tab/>
      </w:r>
      <w:r w:rsidRPr="003D6862">
        <w:rPr>
          <w:rFonts w:cs="Arial"/>
        </w:rPr>
        <w:t xml:space="preserve">Applicant </w:t>
      </w:r>
    </w:p>
    <w:p w14:paraId="3AB70B29" w14:textId="77777777" w:rsidR="003D6862" w:rsidRPr="003D6862" w:rsidRDefault="003D6862" w:rsidP="003D6862">
      <w:pPr>
        <w:spacing w:line="480" w:lineRule="auto"/>
        <w:rPr>
          <w:rFonts w:cs="Arial"/>
        </w:rPr>
      </w:pPr>
      <w:r w:rsidRPr="003D6862">
        <w:rPr>
          <w:rFonts w:cs="Arial"/>
        </w:rPr>
        <w:t xml:space="preserve">and </w:t>
      </w:r>
    </w:p>
    <w:p w14:paraId="1B33EBFA" w14:textId="06094F47" w:rsidR="003D6862" w:rsidRPr="003D6862" w:rsidRDefault="003D6862" w:rsidP="003D6862">
      <w:pPr>
        <w:spacing w:line="480" w:lineRule="auto"/>
        <w:rPr>
          <w:rFonts w:cs="Arial"/>
        </w:rPr>
      </w:pPr>
      <w:r w:rsidRPr="00177246">
        <w:rPr>
          <w:rFonts w:cs="Arial"/>
          <w:b/>
          <w:bCs/>
        </w:rPr>
        <w:t>MANZELLA, PATRICIA MARLENE</w:t>
      </w:r>
      <w:r>
        <w:rPr>
          <w:rFonts w:cs="Arial"/>
        </w:rPr>
        <w:tab/>
      </w:r>
      <w:r>
        <w:rPr>
          <w:rFonts w:cs="Arial"/>
        </w:rPr>
        <w:tab/>
      </w:r>
      <w:r>
        <w:rPr>
          <w:rFonts w:cs="Arial"/>
        </w:rPr>
        <w:tab/>
      </w:r>
      <w:r>
        <w:rPr>
          <w:rFonts w:cs="Arial"/>
        </w:rPr>
        <w:tab/>
      </w:r>
      <w:r w:rsidRPr="003D6862">
        <w:rPr>
          <w:rFonts w:cs="Arial"/>
        </w:rPr>
        <w:t xml:space="preserve">First Respondent </w:t>
      </w:r>
    </w:p>
    <w:p w14:paraId="31F0A59F" w14:textId="2E331236" w:rsidR="003D6862" w:rsidRPr="003D6862" w:rsidRDefault="003D6862" w:rsidP="003D6862">
      <w:pPr>
        <w:spacing w:line="480" w:lineRule="auto"/>
        <w:rPr>
          <w:rFonts w:cs="Arial"/>
        </w:rPr>
      </w:pPr>
      <w:r w:rsidRPr="00177246">
        <w:rPr>
          <w:rFonts w:cs="Arial"/>
          <w:b/>
          <w:bCs/>
        </w:rPr>
        <w:t>SOLBEL PROPERTIES CC</w:t>
      </w:r>
      <w:r w:rsidRPr="003D6862">
        <w:rPr>
          <w:rFonts w:cs="Arial"/>
        </w:rPr>
        <w:t xml:space="preserve"> </w:t>
      </w:r>
      <w:r>
        <w:rPr>
          <w:rFonts w:cs="Arial"/>
        </w:rPr>
        <w:tab/>
      </w:r>
      <w:r>
        <w:rPr>
          <w:rFonts w:cs="Arial"/>
        </w:rPr>
        <w:tab/>
      </w:r>
      <w:r>
        <w:rPr>
          <w:rFonts w:cs="Arial"/>
        </w:rPr>
        <w:tab/>
      </w:r>
      <w:r>
        <w:rPr>
          <w:rFonts w:cs="Arial"/>
        </w:rPr>
        <w:tab/>
      </w:r>
      <w:r>
        <w:rPr>
          <w:rFonts w:cs="Arial"/>
        </w:rPr>
        <w:tab/>
      </w:r>
      <w:r w:rsidRPr="003D6862">
        <w:rPr>
          <w:rFonts w:cs="Arial"/>
        </w:rPr>
        <w:t xml:space="preserve">Second Respondent </w:t>
      </w:r>
    </w:p>
    <w:p w14:paraId="780E8965" w14:textId="06AE20BB" w:rsidR="003D6862" w:rsidRPr="003D6862" w:rsidRDefault="003D6862" w:rsidP="003D6862">
      <w:pPr>
        <w:spacing w:line="480" w:lineRule="auto"/>
        <w:rPr>
          <w:rFonts w:cs="Arial"/>
        </w:rPr>
      </w:pPr>
      <w:r w:rsidRPr="00177246">
        <w:rPr>
          <w:rFonts w:cs="Arial"/>
          <w:b/>
          <w:bCs/>
        </w:rPr>
        <w:t>MANZELLA, PATRICIA MARLENE N.O.</w:t>
      </w:r>
      <w:r w:rsidRPr="003D6862">
        <w:rPr>
          <w:rFonts w:cs="Arial"/>
        </w:rPr>
        <w:t xml:space="preserve"> </w:t>
      </w:r>
      <w:r>
        <w:rPr>
          <w:rFonts w:cs="Arial"/>
        </w:rPr>
        <w:tab/>
      </w:r>
      <w:r>
        <w:rPr>
          <w:rFonts w:cs="Arial"/>
        </w:rPr>
        <w:tab/>
      </w:r>
      <w:r>
        <w:rPr>
          <w:rFonts w:cs="Arial"/>
        </w:rPr>
        <w:tab/>
      </w:r>
      <w:r w:rsidRPr="003D6862">
        <w:rPr>
          <w:rFonts w:cs="Arial"/>
        </w:rPr>
        <w:t xml:space="preserve">Third Respondent </w:t>
      </w:r>
    </w:p>
    <w:p w14:paraId="60B9D037" w14:textId="77777777" w:rsidR="003D6862" w:rsidRPr="003D6862" w:rsidRDefault="003D6862" w:rsidP="003D6862">
      <w:pPr>
        <w:spacing w:line="480" w:lineRule="auto"/>
        <w:rPr>
          <w:rFonts w:cs="Arial"/>
        </w:rPr>
      </w:pPr>
      <w:r w:rsidRPr="003D6862">
        <w:rPr>
          <w:rFonts w:cs="Arial"/>
        </w:rPr>
        <w:t xml:space="preserve">in re </w:t>
      </w:r>
    </w:p>
    <w:p w14:paraId="5375B6CE" w14:textId="59FF1911" w:rsidR="003D6862" w:rsidRPr="003D6862" w:rsidRDefault="003D6862" w:rsidP="003D6862">
      <w:pPr>
        <w:spacing w:line="480" w:lineRule="auto"/>
        <w:rPr>
          <w:rFonts w:cs="Arial"/>
        </w:rPr>
      </w:pPr>
      <w:r w:rsidRPr="00177246">
        <w:rPr>
          <w:rFonts w:cs="Arial"/>
          <w:b/>
          <w:bCs/>
        </w:rPr>
        <w:t>DA CRUZ, MANUEL JORGE MAIA</w:t>
      </w:r>
      <w:r w:rsidRPr="003D6862">
        <w:rPr>
          <w:rFonts w:cs="Arial"/>
        </w:rPr>
        <w:t xml:space="preserve"> </w:t>
      </w:r>
      <w:r>
        <w:rPr>
          <w:rFonts w:cs="Arial"/>
        </w:rPr>
        <w:tab/>
      </w:r>
      <w:r>
        <w:rPr>
          <w:rFonts w:cs="Arial"/>
        </w:rPr>
        <w:tab/>
      </w:r>
      <w:r>
        <w:rPr>
          <w:rFonts w:cs="Arial"/>
        </w:rPr>
        <w:tab/>
      </w:r>
      <w:r>
        <w:rPr>
          <w:rFonts w:cs="Arial"/>
        </w:rPr>
        <w:tab/>
      </w:r>
      <w:r w:rsidRPr="003D6862">
        <w:rPr>
          <w:rFonts w:cs="Arial"/>
        </w:rPr>
        <w:t xml:space="preserve">Applicant </w:t>
      </w:r>
    </w:p>
    <w:p w14:paraId="65F2DB18" w14:textId="77777777" w:rsidR="003D6862" w:rsidRPr="003D6862" w:rsidRDefault="003D6862" w:rsidP="003D6862">
      <w:pPr>
        <w:spacing w:line="480" w:lineRule="auto"/>
        <w:rPr>
          <w:rFonts w:cs="Arial"/>
        </w:rPr>
      </w:pPr>
      <w:r w:rsidRPr="003D6862">
        <w:rPr>
          <w:rFonts w:cs="Arial"/>
        </w:rPr>
        <w:t xml:space="preserve">and </w:t>
      </w:r>
    </w:p>
    <w:p w14:paraId="30CC14E4" w14:textId="030EEC07" w:rsidR="003D6862" w:rsidRPr="003D6862" w:rsidRDefault="003D6862" w:rsidP="003D6862">
      <w:pPr>
        <w:spacing w:line="480" w:lineRule="auto"/>
        <w:rPr>
          <w:rFonts w:cs="Arial"/>
        </w:rPr>
      </w:pPr>
      <w:r w:rsidRPr="00177246">
        <w:rPr>
          <w:rFonts w:cs="Arial"/>
          <w:b/>
          <w:bCs/>
        </w:rPr>
        <w:t>MANZELLA, PATRICIA MARLENE</w:t>
      </w:r>
      <w:r w:rsidRPr="003D6862">
        <w:rPr>
          <w:rFonts w:cs="Arial"/>
        </w:rPr>
        <w:t xml:space="preserve"> </w:t>
      </w:r>
      <w:r>
        <w:rPr>
          <w:rFonts w:cs="Arial"/>
        </w:rPr>
        <w:tab/>
      </w:r>
      <w:r>
        <w:rPr>
          <w:rFonts w:cs="Arial"/>
        </w:rPr>
        <w:tab/>
      </w:r>
      <w:r>
        <w:rPr>
          <w:rFonts w:cs="Arial"/>
        </w:rPr>
        <w:tab/>
      </w:r>
      <w:r>
        <w:rPr>
          <w:rFonts w:cs="Arial"/>
        </w:rPr>
        <w:tab/>
      </w:r>
      <w:r w:rsidRPr="003D6862">
        <w:rPr>
          <w:rFonts w:cs="Arial"/>
        </w:rPr>
        <w:t xml:space="preserve">First Respondent </w:t>
      </w:r>
    </w:p>
    <w:p w14:paraId="6C38AD05" w14:textId="436892F9" w:rsidR="009E0A7D" w:rsidRDefault="003D6862" w:rsidP="003D6862">
      <w:pPr>
        <w:spacing w:line="480" w:lineRule="auto"/>
        <w:rPr>
          <w:rFonts w:cs="Arial"/>
        </w:rPr>
      </w:pPr>
      <w:r w:rsidRPr="00177246">
        <w:rPr>
          <w:rFonts w:cs="Arial"/>
          <w:b/>
          <w:bCs/>
        </w:rPr>
        <w:t>SOLBEL PROPERTIES CC</w:t>
      </w:r>
      <w:r w:rsidRPr="003D6862">
        <w:rPr>
          <w:rFonts w:cs="Arial"/>
        </w:rPr>
        <w:t xml:space="preserve"> </w:t>
      </w:r>
      <w:r>
        <w:rPr>
          <w:rFonts w:cs="Arial"/>
        </w:rPr>
        <w:tab/>
      </w:r>
      <w:r>
        <w:rPr>
          <w:rFonts w:cs="Arial"/>
        </w:rPr>
        <w:tab/>
      </w:r>
      <w:r>
        <w:rPr>
          <w:rFonts w:cs="Arial"/>
        </w:rPr>
        <w:tab/>
      </w:r>
      <w:r>
        <w:rPr>
          <w:rFonts w:cs="Arial"/>
        </w:rPr>
        <w:tab/>
      </w:r>
      <w:r>
        <w:rPr>
          <w:rFonts w:cs="Arial"/>
        </w:rPr>
        <w:tab/>
      </w:r>
      <w:r w:rsidRPr="003D6862">
        <w:rPr>
          <w:rFonts w:cs="Arial"/>
        </w:rPr>
        <w:t>Second Respondent</w:t>
      </w:r>
    </w:p>
    <w:p w14:paraId="58897765" w14:textId="77777777" w:rsidR="009E0A7D" w:rsidRPr="00F73C09" w:rsidRDefault="009E0A7D" w:rsidP="003D6862">
      <w:pPr>
        <w:spacing w:line="480" w:lineRule="auto"/>
        <w:rPr>
          <w:rFonts w:cs="Arial"/>
        </w:rPr>
      </w:pPr>
    </w:p>
    <w:p w14:paraId="2F316580" w14:textId="77777777" w:rsidR="00066BC7" w:rsidRPr="00F73C09" w:rsidRDefault="00066BC7" w:rsidP="00066BC7">
      <w:pPr>
        <w:rPr>
          <w:rFonts w:cs="Arial"/>
        </w:rPr>
      </w:pPr>
    </w:p>
    <w:p w14:paraId="68147168" w14:textId="464693E5" w:rsidR="0025138E" w:rsidRDefault="0025138E" w:rsidP="0025138E">
      <w:pPr>
        <w:pStyle w:val="Default"/>
        <w:jc w:val="both"/>
        <w:rPr>
          <w:sz w:val="22"/>
          <w:szCs w:val="22"/>
        </w:rPr>
      </w:pPr>
    </w:p>
    <w:p w14:paraId="6455DBA0" w14:textId="249D3F07" w:rsidR="00066BC7" w:rsidRPr="003D6862" w:rsidRDefault="0025138E" w:rsidP="003D6862">
      <w:pPr>
        <w:pStyle w:val="Default"/>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sidR="00066BC7" w:rsidRPr="00F73C09">
        <w:tab/>
      </w:r>
    </w:p>
    <w:p w14:paraId="5F0DE5D9" w14:textId="77777777" w:rsidR="00522061" w:rsidRPr="00F73C09" w:rsidRDefault="00522061" w:rsidP="00066BC7">
      <w:pPr>
        <w:pStyle w:val="Parties"/>
        <w:tabs>
          <w:tab w:val="center" w:pos="4111"/>
        </w:tabs>
      </w:pPr>
    </w:p>
    <w:p w14:paraId="4CD7759F" w14:textId="77777777" w:rsidR="00066BC7" w:rsidRPr="00F73C09" w:rsidRDefault="00066BC7" w:rsidP="00066BC7">
      <w:pPr>
        <w:pStyle w:val="TramLines"/>
      </w:pPr>
      <w:r w:rsidRPr="00F73C09">
        <w:t>JUDGMENT</w:t>
      </w:r>
    </w:p>
    <w:p w14:paraId="00C82F34" w14:textId="77777777" w:rsidR="00066BC7" w:rsidRPr="00F73C09" w:rsidRDefault="00066BC7" w:rsidP="00066BC7"/>
    <w:p w14:paraId="1AC79A96" w14:textId="77777777" w:rsidR="00066BC7" w:rsidRPr="00F73C09" w:rsidRDefault="00066BC7" w:rsidP="00066BC7"/>
    <w:p w14:paraId="7D58474E" w14:textId="50081F81" w:rsidR="008E239C" w:rsidRDefault="008E239C" w:rsidP="008E239C">
      <w:pPr>
        <w:spacing w:line="360" w:lineRule="auto"/>
        <w:ind w:left="1418" w:hanging="1418"/>
        <w:rPr>
          <w:rFonts w:cs="Arial"/>
          <w:b/>
          <w:lang w:val="en-ZA"/>
        </w:rPr>
      </w:pPr>
      <w:r>
        <w:rPr>
          <w:rFonts w:cs="Arial"/>
          <w:b/>
          <w:bCs/>
          <w:lang w:val="en-ZA"/>
        </w:rPr>
        <w:t>Heard</w:t>
      </w:r>
      <w:r>
        <w:rPr>
          <w:rFonts w:cs="Arial"/>
          <w:lang w:val="en-ZA"/>
        </w:rPr>
        <w:t>:</w:t>
      </w:r>
      <w:r>
        <w:rPr>
          <w:rFonts w:cs="Arial"/>
          <w:lang w:val="en-ZA"/>
        </w:rPr>
        <w:tab/>
      </w:r>
      <w:r>
        <w:rPr>
          <w:rFonts w:cs="Arial"/>
          <w:lang w:val="en-ZA"/>
        </w:rPr>
        <w:tab/>
      </w:r>
      <w:r w:rsidR="00593C30">
        <w:rPr>
          <w:rFonts w:cs="Arial"/>
          <w:lang w:val="en-ZA"/>
        </w:rPr>
        <w:t>19</w:t>
      </w:r>
      <w:r>
        <w:rPr>
          <w:rFonts w:cs="Arial"/>
          <w:lang w:val="en-ZA"/>
        </w:rPr>
        <w:t xml:space="preserve"> January 2023</w:t>
      </w:r>
    </w:p>
    <w:p w14:paraId="3EB48774" w14:textId="5C828F74" w:rsidR="008E239C" w:rsidRDefault="008E239C" w:rsidP="008E239C">
      <w:pPr>
        <w:spacing w:after="120" w:line="360" w:lineRule="auto"/>
        <w:ind w:left="1418" w:hanging="1418"/>
        <w:rPr>
          <w:rFonts w:cs="Arial"/>
          <w:lang w:val="en-ZA"/>
        </w:rPr>
      </w:pPr>
      <w:r>
        <w:rPr>
          <w:rFonts w:cs="Arial"/>
          <w:b/>
          <w:lang w:val="en-ZA"/>
        </w:rPr>
        <w:t>Delivered:</w:t>
      </w:r>
      <w:r>
        <w:rPr>
          <w:rFonts w:cs="Arial"/>
          <w:b/>
          <w:lang w:val="en-ZA"/>
        </w:rPr>
        <w:tab/>
      </w:r>
      <w:r>
        <w:rPr>
          <w:rFonts w:cs="Arial"/>
          <w:b/>
          <w:lang w:val="en-ZA"/>
        </w:rPr>
        <w:tab/>
      </w:r>
      <w:r>
        <w:rPr>
          <w:rFonts w:cs="Arial"/>
          <w:lang w:val="en-ZA"/>
        </w:rPr>
        <w:t xml:space="preserve">16 March 2023 – This judgment was handed down electronically by circulation to the parties' representatives by email, by being uploaded to </w:t>
      </w:r>
      <w:r>
        <w:rPr>
          <w:rFonts w:cs="Arial"/>
          <w:i/>
          <w:lang w:val="en-ZA"/>
        </w:rPr>
        <w:t>CaseLines</w:t>
      </w:r>
      <w:r>
        <w:rPr>
          <w:rFonts w:cs="Arial"/>
          <w:lang w:val="en-ZA"/>
        </w:rPr>
        <w:t>. The date and time for hand-down is deemed to be 10:00 on 16 March 2023.</w:t>
      </w:r>
    </w:p>
    <w:p w14:paraId="1AA16BA7" w14:textId="77777777" w:rsidR="008E239C" w:rsidRDefault="008E239C" w:rsidP="008E239C">
      <w:pPr>
        <w:rPr>
          <w:rFonts w:cs="Arial"/>
          <w:b/>
          <w:bCs/>
          <w:lang w:val="en-ZA"/>
        </w:rPr>
      </w:pPr>
    </w:p>
    <w:p w14:paraId="582E19CA" w14:textId="40782725" w:rsidR="008E239C" w:rsidRDefault="008E239C" w:rsidP="008E239C">
      <w:pPr>
        <w:rPr>
          <w:rFonts w:cs="Arial"/>
          <w:lang w:val="en-ZA"/>
        </w:rPr>
      </w:pPr>
      <w:r w:rsidRPr="00E9240D">
        <w:rPr>
          <w:rFonts w:cs="Arial"/>
          <w:b/>
          <w:bCs/>
          <w:lang w:val="en-ZA"/>
        </w:rPr>
        <w:t>Summary:</w:t>
      </w:r>
      <w:r>
        <w:rPr>
          <w:rFonts w:cs="Arial"/>
          <w:b/>
          <w:bCs/>
          <w:lang w:val="en-ZA"/>
        </w:rPr>
        <w:t xml:space="preserve"> </w:t>
      </w:r>
      <w:r w:rsidRPr="008E239C">
        <w:rPr>
          <w:rFonts w:cs="Arial"/>
          <w:i/>
          <w:iCs/>
          <w:lang w:val="en-ZA"/>
        </w:rPr>
        <w:t>Uniform Rule 30</w:t>
      </w:r>
      <w:r>
        <w:rPr>
          <w:rFonts w:cs="Arial"/>
          <w:b/>
          <w:bCs/>
          <w:lang w:val="en-ZA"/>
        </w:rPr>
        <w:t xml:space="preserve"> – </w:t>
      </w:r>
      <w:r>
        <w:rPr>
          <w:rFonts w:cs="Arial"/>
          <w:lang w:val="en-ZA"/>
        </w:rPr>
        <w:t>further steps taken preclude reliance on Rule</w:t>
      </w:r>
      <w:r w:rsidR="003D6862">
        <w:rPr>
          <w:rFonts w:cs="Arial"/>
          <w:lang w:val="en-ZA"/>
        </w:rPr>
        <w:t xml:space="preserve"> - overly technical approach not justified.</w:t>
      </w:r>
    </w:p>
    <w:p w14:paraId="10407760" w14:textId="77777777" w:rsidR="008E239C" w:rsidRPr="008E239C" w:rsidRDefault="008E239C" w:rsidP="008E239C">
      <w:pPr>
        <w:rPr>
          <w:rFonts w:cs="Arial"/>
          <w:lang w:val="en-ZA"/>
        </w:rPr>
      </w:pPr>
    </w:p>
    <w:p w14:paraId="4CB8381A" w14:textId="77777777" w:rsidR="008E239C" w:rsidRDefault="008E239C" w:rsidP="008E239C">
      <w:pPr>
        <w:rPr>
          <w:rFonts w:cs="Arial"/>
          <w:b/>
          <w:bCs/>
          <w:lang w:val="en-ZA"/>
        </w:rPr>
      </w:pPr>
    </w:p>
    <w:p w14:paraId="768224E9" w14:textId="7BA03904" w:rsidR="00066BC7" w:rsidRDefault="00115441" w:rsidP="008E239C">
      <w:pPr>
        <w:rPr>
          <w:b/>
          <w:bCs/>
        </w:rPr>
      </w:pPr>
      <w:r>
        <w:rPr>
          <w:b/>
          <w:bCs/>
        </w:rPr>
        <w:t xml:space="preserve">TURNER </w:t>
      </w:r>
      <w:r w:rsidR="004748F9">
        <w:rPr>
          <w:b/>
          <w:bCs/>
        </w:rPr>
        <w:t>AJ</w:t>
      </w:r>
    </w:p>
    <w:p w14:paraId="04728FC9" w14:textId="08AD33C0" w:rsidR="00066BC7" w:rsidRDefault="00066BC7" w:rsidP="00066BC7">
      <w:pPr>
        <w:spacing w:line="480" w:lineRule="auto"/>
      </w:pPr>
    </w:p>
    <w:p w14:paraId="77A70A6A" w14:textId="219A67CF" w:rsidR="009537BB" w:rsidRDefault="00AC431C" w:rsidP="00AC431C">
      <w:pPr>
        <w:pStyle w:val="1"/>
        <w:numPr>
          <w:ilvl w:val="0"/>
          <w:numId w:val="0"/>
        </w:numPr>
        <w:tabs>
          <w:tab w:val="left" w:pos="567"/>
        </w:tabs>
        <w:ind w:left="567" w:hanging="567"/>
      </w:pPr>
      <w:r>
        <w:t>[1</w:t>
      </w:r>
      <w:bookmarkStart w:id="1" w:name="_GoBack"/>
      <w:bookmarkEnd w:id="1"/>
      <w:r>
        <w:t>]</w:t>
      </w:r>
      <w:r>
        <w:tab/>
      </w:r>
      <w:r w:rsidR="009537BB">
        <w:t>This is an application brought by the applicant for an order in the following terms:</w:t>
      </w:r>
    </w:p>
    <w:p w14:paraId="72CF2FC8" w14:textId="173D95D8" w:rsidR="009537BB" w:rsidRDefault="009537BB" w:rsidP="001E1A96">
      <w:pPr>
        <w:pStyle w:val="Quote"/>
      </w:pPr>
      <w:r>
        <w:t xml:space="preserve">That the applicant’s interlocutory application served on 21 July 2022 and the applicant’s notice in terms of Rule 6(11) brought by the first and second respondents be set aside as an irregular step pursuant to Uniform Rule 30(1). </w:t>
      </w:r>
    </w:p>
    <w:p w14:paraId="0DE3BE2E" w14:textId="0AE58134" w:rsidR="009537BB" w:rsidRDefault="00AC431C" w:rsidP="00AC431C">
      <w:pPr>
        <w:pStyle w:val="1"/>
        <w:numPr>
          <w:ilvl w:val="0"/>
          <w:numId w:val="0"/>
        </w:numPr>
        <w:tabs>
          <w:tab w:val="left" w:pos="567"/>
        </w:tabs>
        <w:ind w:left="567" w:hanging="567"/>
      </w:pPr>
      <w:r>
        <w:t>[2]</w:t>
      </w:r>
      <w:r>
        <w:tab/>
      </w:r>
      <w:r w:rsidR="009537BB">
        <w:t xml:space="preserve">Papers were exchanged between the parties and heads were filed. However, on the day of the hearing, only the applicant was represented by counsel ready to argue the matter. </w:t>
      </w:r>
      <w:r w:rsidR="001E1A96">
        <w:t xml:space="preserve"> </w:t>
      </w:r>
      <w:r w:rsidR="009537BB">
        <w:t xml:space="preserve">Mr Salani appeared </w:t>
      </w:r>
      <w:r w:rsidR="009537BB" w:rsidRPr="001E1A96">
        <w:rPr>
          <w:i/>
        </w:rPr>
        <w:t>pro bono</w:t>
      </w:r>
      <w:r w:rsidR="009537BB">
        <w:t xml:space="preserve"> for the first respondent to request that the matter be postponed so it could be consolidated with an application which I was </w:t>
      </w:r>
      <w:r w:rsidR="00C34A43">
        <w:t>informed</w:t>
      </w:r>
      <w:r w:rsidR="009537BB">
        <w:t xml:space="preserve"> had been delivered by the respondents for the liquidation of the second respondent. That liquidation application is set down for mid-February 2023. Mr Salani was not briefed to argue the Rule 30 application.</w:t>
      </w:r>
    </w:p>
    <w:p w14:paraId="31B19A6D" w14:textId="44BC67C3" w:rsidR="009537BB" w:rsidRDefault="00AC431C" w:rsidP="00AC431C">
      <w:pPr>
        <w:pStyle w:val="1"/>
        <w:numPr>
          <w:ilvl w:val="0"/>
          <w:numId w:val="0"/>
        </w:numPr>
        <w:tabs>
          <w:tab w:val="left" w:pos="567"/>
        </w:tabs>
        <w:ind w:left="567" w:hanging="567"/>
      </w:pPr>
      <w:r>
        <w:lastRenderedPageBreak/>
        <w:t>[3]</w:t>
      </w:r>
      <w:r>
        <w:tab/>
      </w:r>
      <w:r w:rsidR="00D61EDF">
        <w:t xml:space="preserve">Mr Moreno, who appeared for the applicant, addressed the court on the </w:t>
      </w:r>
      <w:r w:rsidR="001E1A96">
        <w:t xml:space="preserve">postponement and </w:t>
      </w:r>
      <w:r w:rsidR="00D61EDF">
        <w:t>Rule 30 application</w:t>
      </w:r>
      <w:r w:rsidR="008E239C">
        <w:t>. A</w:t>
      </w:r>
      <w:r w:rsidR="001E1A96">
        <w:t>lthough t</w:t>
      </w:r>
      <w:r w:rsidR="00D61EDF">
        <w:t xml:space="preserve">here was some confusion </w:t>
      </w:r>
      <w:r w:rsidR="008E239C">
        <w:t xml:space="preserve">as to the scope of the hearing </w:t>
      </w:r>
      <w:r w:rsidR="00D61EDF">
        <w:t xml:space="preserve">when Mr Moreno attempted </w:t>
      </w:r>
      <w:r w:rsidR="001E1A96">
        <w:t xml:space="preserve">also </w:t>
      </w:r>
      <w:r w:rsidR="00D61EDF">
        <w:t xml:space="preserve">to address the </w:t>
      </w:r>
      <w:r w:rsidR="008E239C">
        <w:t>C</w:t>
      </w:r>
      <w:r w:rsidR="00D61EDF">
        <w:t xml:space="preserve">ourt on the </w:t>
      </w:r>
      <w:r w:rsidR="008E239C">
        <w:t>merits</w:t>
      </w:r>
      <w:r w:rsidR="00D61EDF">
        <w:t xml:space="preserve"> of the main application</w:t>
      </w:r>
      <w:r w:rsidR="008E239C">
        <w:t>,</w:t>
      </w:r>
      <w:r w:rsidR="00D61EDF">
        <w:t xml:space="preserve"> </w:t>
      </w:r>
      <w:r w:rsidR="008E239C">
        <w:t>af</w:t>
      </w:r>
      <w:r w:rsidR="00D61EDF">
        <w:t>ter reviewing the documents filed on Caselines and particularly the set down notices which were before me, it was clear that only the Rule 30 application had been set down and was before me for a decision.</w:t>
      </w:r>
      <w:r w:rsidR="001E1A96">
        <w:t xml:space="preserve"> The merits of the main dispute were not set down.</w:t>
      </w:r>
      <w:r w:rsidR="00D61EDF">
        <w:t xml:space="preserve"> This </w:t>
      </w:r>
      <w:r w:rsidR="001E1A96">
        <w:t xml:space="preserve">also </w:t>
      </w:r>
      <w:r w:rsidR="00D61EDF">
        <w:t xml:space="preserve">accords with the practice note delivered by </w:t>
      </w:r>
      <w:r w:rsidR="008E239C">
        <w:t xml:space="preserve">the applicant </w:t>
      </w:r>
      <w:r w:rsidR="00D61EDF">
        <w:t>dated 4 January 2023</w:t>
      </w:r>
      <w:r w:rsidR="008E239C">
        <w:t>,</w:t>
      </w:r>
      <w:r w:rsidR="00D61EDF">
        <w:t xml:space="preserve"> which indicated that the matter was an interlocutory one with a duration of only 30 minutes. </w:t>
      </w:r>
    </w:p>
    <w:p w14:paraId="6E753D6B" w14:textId="2082607D" w:rsidR="00D61EDF" w:rsidRDefault="00AC431C" w:rsidP="00AC431C">
      <w:pPr>
        <w:pStyle w:val="1"/>
        <w:numPr>
          <w:ilvl w:val="0"/>
          <w:numId w:val="0"/>
        </w:numPr>
        <w:tabs>
          <w:tab w:val="left" w:pos="567"/>
        </w:tabs>
        <w:ind w:left="567" w:hanging="567"/>
      </w:pPr>
      <w:r>
        <w:t>[4]</w:t>
      </w:r>
      <w:r>
        <w:tab/>
      </w:r>
      <w:r w:rsidR="00D61EDF">
        <w:t>As appears from the relief quoted above, the respondents attack two steps taken by the applicant as “irregular steps” :</w:t>
      </w:r>
    </w:p>
    <w:p w14:paraId="2D520A50" w14:textId="17FB5897" w:rsidR="00D61EDF" w:rsidRDefault="00AC431C" w:rsidP="00AC431C">
      <w:pPr>
        <w:pStyle w:val="5"/>
        <w:numPr>
          <w:ilvl w:val="0"/>
          <w:numId w:val="0"/>
        </w:numPr>
        <w:tabs>
          <w:tab w:val="left" w:pos="5670"/>
        </w:tabs>
        <w:ind w:left="1701" w:hanging="1134"/>
      </w:pPr>
      <w:r>
        <w:t>(i)</w:t>
      </w:r>
      <w:r>
        <w:tab/>
      </w:r>
      <w:r w:rsidR="001421C0">
        <w:t>The applicant’s delivery of its interlocutory application served on 21 July 2022;  and</w:t>
      </w:r>
    </w:p>
    <w:p w14:paraId="5A78E82D" w14:textId="3276F0A9" w:rsidR="001421C0" w:rsidRDefault="00AC431C" w:rsidP="00AC431C">
      <w:pPr>
        <w:pStyle w:val="5"/>
        <w:numPr>
          <w:ilvl w:val="0"/>
          <w:numId w:val="0"/>
        </w:numPr>
        <w:tabs>
          <w:tab w:val="left" w:pos="5670"/>
        </w:tabs>
        <w:ind w:left="1701" w:hanging="1134"/>
      </w:pPr>
      <w:r>
        <w:t>(ii)</w:t>
      </w:r>
      <w:r>
        <w:tab/>
      </w:r>
      <w:r w:rsidR="001421C0">
        <w:t>The applicant’s notice in terms of Rule 6(11) delivered on 6 October 2022.</w:t>
      </w:r>
    </w:p>
    <w:p w14:paraId="14A6342F" w14:textId="74566BEA" w:rsidR="001421C0" w:rsidRDefault="00AC431C" w:rsidP="00AC431C">
      <w:pPr>
        <w:pStyle w:val="1"/>
        <w:numPr>
          <w:ilvl w:val="0"/>
          <w:numId w:val="0"/>
        </w:numPr>
        <w:tabs>
          <w:tab w:val="left" w:pos="567"/>
        </w:tabs>
        <w:ind w:left="567" w:hanging="567"/>
      </w:pPr>
      <w:r>
        <w:t>[5]</w:t>
      </w:r>
      <w:r>
        <w:tab/>
      </w:r>
      <w:r w:rsidR="001421C0">
        <w:t>Uniform Rule 30 provides (in relevant part):</w:t>
      </w:r>
    </w:p>
    <w:p w14:paraId="2D409959" w14:textId="7013917A" w:rsidR="001421C0" w:rsidRDefault="001421C0" w:rsidP="001421C0">
      <w:pPr>
        <w:pStyle w:val="Quote"/>
      </w:pPr>
      <w:r>
        <w:t>“30 Irregular proceedings</w:t>
      </w:r>
    </w:p>
    <w:p w14:paraId="39C0EFFB" w14:textId="21EF4C7F" w:rsidR="001421C0" w:rsidRDefault="00AC431C" w:rsidP="00AC431C">
      <w:pPr>
        <w:pStyle w:val="Quote"/>
        <w:ind w:left="2061" w:hanging="360"/>
      </w:pPr>
      <w:r>
        <w:t>(1)</w:t>
      </w:r>
      <w:r>
        <w:tab/>
      </w:r>
      <w:r w:rsidR="001421C0">
        <w:t>A party to a cause in which an irregular step has been taken by any other party may apply to court to set it aside.</w:t>
      </w:r>
    </w:p>
    <w:p w14:paraId="40F0E38D" w14:textId="2FBA878F" w:rsidR="001421C0" w:rsidRDefault="00AC431C" w:rsidP="00AC431C">
      <w:pPr>
        <w:pStyle w:val="Quote"/>
        <w:ind w:left="2061" w:hanging="360"/>
      </w:pPr>
      <w:r>
        <w:t>(2)</w:t>
      </w:r>
      <w:r>
        <w:tab/>
      </w:r>
      <w:r w:rsidR="001421C0">
        <w:t>An application in terms of subrule (1) shall be on notice to all parties specifying particulars of the irregularity or impropriety alleged and be made only if –</w:t>
      </w:r>
    </w:p>
    <w:p w14:paraId="6DB6D49B" w14:textId="3A709F60" w:rsidR="001421C0" w:rsidRDefault="001421C0" w:rsidP="009A252B">
      <w:pPr>
        <w:pStyle w:val="Quote"/>
        <w:ind w:left="2552" w:hanging="491"/>
      </w:pPr>
      <w:r>
        <w:t xml:space="preserve">(a) </w:t>
      </w:r>
      <w:r w:rsidR="009A252B">
        <w:tab/>
      </w:r>
      <w:r>
        <w:t xml:space="preserve">the applicant has not himself </w:t>
      </w:r>
      <w:r w:rsidR="00941124">
        <w:t>taken</w:t>
      </w:r>
      <w:r>
        <w:t xml:space="preserve"> a further step in the cause with knowledge of the </w:t>
      </w:r>
      <w:r w:rsidR="00941124">
        <w:t>irregularity</w:t>
      </w:r>
      <w:r>
        <w:t xml:space="preserve">; </w:t>
      </w:r>
    </w:p>
    <w:p w14:paraId="1F77A130" w14:textId="33AAC5CC" w:rsidR="009A252B" w:rsidRDefault="009A252B" w:rsidP="009A252B">
      <w:pPr>
        <w:pStyle w:val="Quote"/>
        <w:ind w:left="2552" w:hanging="491"/>
      </w:pPr>
      <w:r>
        <w:lastRenderedPageBreak/>
        <w:t>(b)</w:t>
      </w:r>
      <w:r>
        <w:tab/>
        <w:t xml:space="preserve">the applicant has, within 10 days of becoming aware of the step, by written notice afforded his opponent an opportunity of removing the cause of complaint within 10 days; </w:t>
      </w:r>
    </w:p>
    <w:p w14:paraId="3972F5C2" w14:textId="4B0DC5B9" w:rsidR="009A252B" w:rsidRDefault="009A252B" w:rsidP="009A252B">
      <w:pPr>
        <w:pStyle w:val="Quote"/>
        <w:ind w:left="2552" w:hanging="491"/>
      </w:pPr>
      <w:r>
        <w:t>(c)</w:t>
      </w:r>
      <w:r>
        <w:tab/>
        <w:t>the application was delivered within 15 days after the expiry of the second period mentioned in paragraph (b) of subrule (2).”</w:t>
      </w:r>
    </w:p>
    <w:p w14:paraId="42EE66FF" w14:textId="29B53C32" w:rsidR="001421C0" w:rsidRDefault="009A252B" w:rsidP="009A252B">
      <w:pPr>
        <w:pStyle w:val="Heading3"/>
        <w:rPr>
          <w:lang w:val="en-GB"/>
        </w:rPr>
      </w:pPr>
      <w:r>
        <w:rPr>
          <w:lang w:val="en-GB"/>
        </w:rPr>
        <w:t>Applicant’s interlocutory application served on 21 July 2022</w:t>
      </w:r>
    </w:p>
    <w:p w14:paraId="28D30117" w14:textId="7EFFA06E" w:rsidR="009A252B" w:rsidRDefault="00AC431C" w:rsidP="00AC431C">
      <w:pPr>
        <w:pStyle w:val="1"/>
        <w:numPr>
          <w:ilvl w:val="0"/>
          <w:numId w:val="0"/>
        </w:numPr>
        <w:tabs>
          <w:tab w:val="left" w:pos="567"/>
        </w:tabs>
        <w:ind w:left="567" w:hanging="567"/>
        <w:rPr>
          <w:lang w:eastAsia="x-none"/>
        </w:rPr>
      </w:pPr>
      <w:r>
        <w:rPr>
          <w:lang w:eastAsia="x-none"/>
        </w:rPr>
        <w:t>[6]</w:t>
      </w:r>
      <w:r>
        <w:rPr>
          <w:lang w:eastAsia="x-none"/>
        </w:rPr>
        <w:tab/>
      </w:r>
      <w:r w:rsidR="009A252B">
        <w:rPr>
          <w:lang w:eastAsia="x-none"/>
        </w:rPr>
        <w:t xml:space="preserve">There is no basis for the </w:t>
      </w:r>
      <w:r w:rsidR="001E1A96">
        <w:rPr>
          <w:lang w:eastAsia="x-none"/>
        </w:rPr>
        <w:t>respondents</w:t>
      </w:r>
      <w:r w:rsidR="009A252B">
        <w:rPr>
          <w:lang w:eastAsia="x-none"/>
        </w:rPr>
        <w:t xml:space="preserve"> to </w:t>
      </w:r>
      <w:r w:rsidR="001E1A96">
        <w:rPr>
          <w:lang w:eastAsia="x-none"/>
        </w:rPr>
        <w:t xml:space="preserve">use Rule 30 to </w:t>
      </w:r>
      <w:r w:rsidR="009A252B">
        <w:rPr>
          <w:lang w:eastAsia="x-none"/>
        </w:rPr>
        <w:t>attack the regularity of the interlocutory application</w:t>
      </w:r>
      <w:r w:rsidR="001E1A96">
        <w:rPr>
          <w:lang w:eastAsia="x-none"/>
        </w:rPr>
        <w:t xml:space="preserve"> delivered on 21 July 2022</w:t>
      </w:r>
      <w:r w:rsidR="009A252B">
        <w:rPr>
          <w:lang w:eastAsia="x-none"/>
        </w:rPr>
        <w:t>.</w:t>
      </w:r>
      <w:r w:rsidR="001E1A96">
        <w:rPr>
          <w:lang w:eastAsia="x-none"/>
        </w:rPr>
        <w:t xml:space="preserve"> </w:t>
      </w:r>
      <w:r w:rsidR="009A252B">
        <w:rPr>
          <w:lang w:eastAsia="x-none"/>
        </w:rPr>
        <w:t xml:space="preserve"> First, the respondents did not deliver </w:t>
      </w:r>
      <w:r w:rsidR="001E1A96">
        <w:rPr>
          <w:lang w:eastAsia="x-none"/>
        </w:rPr>
        <w:t xml:space="preserve">the required </w:t>
      </w:r>
      <w:r w:rsidR="009A252B">
        <w:rPr>
          <w:lang w:eastAsia="x-none"/>
        </w:rPr>
        <w:t xml:space="preserve">notice within 10 days of becoming aware of the application having been delivered on 21 July 2022; second, the respondents delivered a notice to oppose the application on 15 August 2022 and then filed an answering affidavit </w:t>
      </w:r>
      <w:r w:rsidR="000B0165">
        <w:rPr>
          <w:lang w:eastAsia="x-none"/>
        </w:rPr>
        <w:t>responding to that application on 5 September 2022. All of th</w:t>
      </w:r>
      <w:r w:rsidR="001E1A96">
        <w:rPr>
          <w:lang w:eastAsia="x-none"/>
        </w:rPr>
        <w:t xml:space="preserve">ese further steps were taken </w:t>
      </w:r>
      <w:r w:rsidR="000B0165">
        <w:rPr>
          <w:lang w:eastAsia="x-none"/>
        </w:rPr>
        <w:t>before the Rule 30 notice was delivered</w:t>
      </w:r>
      <w:r w:rsidR="001E1A96">
        <w:rPr>
          <w:lang w:eastAsia="x-none"/>
        </w:rPr>
        <w:t xml:space="preserve"> and so the Rule 30(2)(a) requirement was not met</w:t>
      </w:r>
      <w:r w:rsidR="000B0165">
        <w:rPr>
          <w:lang w:eastAsia="x-none"/>
        </w:rPr>
        <w:t xml:space="preserve">. </w:t>
      </w:r>
    </w:p>
    <w:p w14:paraId="56649B01" w14:textId="01146503" w:rsidR="000B0165" w:rsidRDefault="000B0165" w:rsidP="000B0165">
      <w:pPr>
        <w:pStyle w:val="Heading3"/>
        <w:rPr>
          <w:lang w:val="en-GB"/>
        </w:rPr>
      </w:pPr>
      <w:r>
        <w:rPr>
          <w:lang w:val="en-GB"/>
        </w:rPr>
        <w:t>Rule 6(11) notice delivered 6 October 2022</w:t>
      </w:r>
    </w:p>
    <w:p w14:paraId="7854C6E0" w14:textId="432F0C82" w:rsidR="000B0165" w:rsidRDefault="00AC431C" w:rsidP="00AC431C">
      <w:pPr>
        <w:pStyle w:val="1"/>
        <w:numPr>
          <w:ilvl w:val="0"/>
          <w:numId w:val="0"/>
        </w:numPr>
        <w:tabs>
          <w:tab w:val="left" w:pos="567"/>
        </w:tabs>
        <w:ind w:left="567" w:hanging="567"/>
        <w:rPr>
          <w:lang w:eastAsia="x-none"/>
        </w:rPr>
      </w:pPr>
      <w:r>
        <w:rPr>
          <w:lang w:eastAsia="x-none"/>
        </w:rPr>
        <w:t>[7]</w:t>
      </w:r>
      <w:r>
        <w:rPr>
          <w:lang w:eastAsia="x-none"/>
        </w:rPr>
        <w:tab/>
      </w:r>
      <w:r w:rsidR="000B0165">
        <w:rPr>
          <w:lang w:eastAsia="x-none"/>
        </w:rPr>
        <w:t xml:space="preserve">After receiving the Rule 6(11) notice, the respondents delivered a Rule 30 notice on 12 October 2022 calling on the applicant to remove the cause of complaint. On 14 October the applicant indicated that </w:t>
      </w:r>
      <w:r w:rsidR="001E1A96">
        <w:rPr>
          <w:lang w:eastAsia="x-none"/>
        </w:rPr>
        <w:t>he</w:t>
      </w:r>
      <w:r w:rsidR="000B0165">
        <w:rPr>
          <w:lang w:eastAsia="x-none"/>
        </w:rPr>
        <w:t xml:space="preserve"> did not intend to comply with the notice and waived the 10</w:t>
      </w:r>
      <w:r w:rsidR="008E239C">
        <w:rPr>
          <w:lang w:eastAsia="x-none"/>
        </w:rPr>
        <w:t>-</w:t>
      </w:r>
      <w:r w:rsidR="000B0165">
        <w:rPr>
          <w:lang w:eastAsia="x-none"/>
        </w:rPr>
        <w:t xml:space="preserve">day period afforded to him to remove the cause of complaint. The current application was delivered on 26 October 2022, within the 15 days required. </w:t>
      </w:r>
    </w:p>
    <w:p w14:paraId="7325EA7A" w14:textId="623FC32A" w:rsidR="000B0165" w:rsidRDefault="00AC431C" w:rsidP="00AC431C">
      <w:pPr>
        <w:pStyle w:val="1"/>
        <w:numPr>
          <w:ilvl w:val="0"/>
          <w:numId w:val="0"/>
        </w:numPr>
        <w:tabs>
          <w:tab w:val="left" w:pos="567"/>
        </w:tabs>
        <w:ind w:left="567" w:hanging="567"/>
        <w:rPr>
          <w:lang w:eastAsia="x-none"/>
        </w:rPr>
      </w:pPr>
      <w:r>
        <w:rPr>
          <w:lang w:eastAsia="x-none"/>
        </w:rPr>
        <w:t>[8]</w:t>
      </w:r>
      <w:r>
        <w:rPr>
          <w:lang w:eastAsia="x-none"/>
        </w:rPr>
        <w:tab/>
      </w:r>
      <w:r w:rsidR="000B0165">
        <w:rPr>
          <w:lang w:eastAsia="x-none"/>
        </w:rPr>
        <w:t xml:space="preserve">There is therefore no technical irregularity with the delivery of the Rule 30 notice </w:t>
      </w:r>
      <w:r w:rsidR="001E1A96">
        <w:rPr>
          <w:lang w:eastAsia="x-none"/>
        </w:rPr>
        <w:t xml:space="preserve">directed at the Rule 6(11) notice </w:t>
      </w:r>
      <w:r w:rsidR="000B0165">
        <w:rPr>
          <w:lang w:eastAsia="x-none"/>
        </w:rPr>
        <w:t xml:space="preserve">and </w:t>
      </w:r>
      <w:r w:rsidR="008902C3">
        <w:rPr>
          <w:lang w:eastAsia="x-none"/>
        </w:rPr>
        <w:t xml:space="preserve">so it is necessary to deal with the merits thereof. </w:t>
      </w:r>
    </w:p>
    <w:p w14:paraId="221B5BF1" w14:textId="1FD5A5A1" w:rsidR="008902C3" w:rsidRDefault="00AC431C" w:rsidP="00AC431C">
      <w:pPr>
        <w:pStyle w:val="1"/>
        <w:numPr>
          <w:ilvl w:val="0"/>
          <w:numId w:val="0"/>
        </w:numPr>
        <w:tabs>
          <w:tab w:val="left" w:pos="567"/>
        </w:tabs>
        <w:ind w:left="567" w:hanging="567"/>
      </w:pPr>
      <w:r>
        <w:lastRenderedPageBreak/>
        <w:t>[9]</w:t>
      </w:r>
      <w:r>
        <w:tab/>
      </w:r>
      <w:r w:rsidR="008902C3">
        <w:t xml:space="preserve">The first </w:t>
      </w:r>
      <w:r w:rsidR="00941124">
        <w:t>objection</w:t>
      </w:r>
      <w:r w:rsidR="008902C3">
        <w:t xml:space="preserve"> is that the wrong rule was used. The respondents contend that Rule 28 ought to have been the subject matter of the notice and not Rule 6(11). This is an overly technical and spurious ground of objection. </w:t>
      </w:r>
      <w:r w:rsidR="00AA7702">
        <w:t xml:space="preserve">(See </w:t>
      </w:r>
      <w:r w:rsidR="00AA7702" w:rsidRPr="00AA7702">
        <w:rPr>
          <w:i/>
          <w:iCs w:val="0"/>
          <w:lang w:eastAsia="x-none"/>
        </w:rPr>
        <w:t xml:space="preserve">Pangbourne Properties Ltd v Pulse Moving CC and Another </w:t>
      </w:r>
      <w:r w:rsidR="00AA7702">
        <w:rPr>
          <w:lang w:eastAsia="x-none"/>
        </w:rPr>
        <w:t>2013 (3) SA 140(GSJ) at [17])</w:t>
      </w:r>
      <w:r w:rsidR="008902C3">
        <w:t xml:space="preserve"> The content of the notice makes it clear that the applicant intends to amend its notice of motion, giving the respondents the necessary notice contemplated in Rule 28, as it applies to applications. </w:t>
      </w:r>
    </w:p>
    <w:p w14:paraId="48DAD673" w14:textId="5FAD8BB6" w:rsidR="008902C3" w:rsidRDefault="00AC431C" w:rsidP="00AC431C">
      <w:pPr>
        <w:pStyle w:val="1"/>
        <w:numPr>
          <w:ilvl w:val="0"/>
          <w:numId w:val="0"/>
        </w:numPr>
        <w:tabs>
          <w:tab w:val="left" w:pos="567"/>
        </w:tabs>
        <w:ind w:left="567" w:hanging="567"/>
        <w:rPr>
          <w:lang w:eastAsia="x-none"/>
        </w:rPr>
      </w:pPr>
      <w:r>
        <w:rPr>
          <w:lang w:eastAsia="x-none"/>
        </w:rPr>
        <w:t>[10]</w:t>
      </w:r>
      <w:r>
        <w:rPr>
          <w:lang w:eastAsia="x-none"/>
        </w:rPr>
        <w:tab/>
      </w:r>
      <w:r w:rsidR="008902C3">
        <w:rPr>
          <w:lang w:eastAsia="x-none"/>
        </w:rPr>
        <w:t xml:space="preserve">Second, the respondents suggest that the delivery of this notice </w:t>
      </w:r>
      <w:r w:rsidR="001E1A96">
        <w:rPr>
          <w:lang w:eastAsia="x-none"/>
        </w:rPr>
        <w:t xml:space="preserve">somehow </w:t>
      </w:r>
      <w:r w:rsidR="00D54408">
        <w:rPr>
          <w:lang w:eastAsia="x-none"/>
        </w:rPr>
        <w:t xml:space="preserve">fatally </w:t>
      </w:r>
      <w:r w:rsidR="001E1A96">
        <w:rPr>
          <w:lang w:eastAsia="x-none"/>
        </w:rPr>
        <w:t xml:space="preserve">undermines or </w:t>
      </w:r>
      <w:r w:rsidR="00D54408">
        <w:rPr>
          <w:lang w:eastAsia="x-none"/>
        </w:rPr>
        <w:t xml:space="preserve">has the effect of </w:t>
      </w:r>
      <w:r w:rsidR="008902C3">
        <w:rPr>
          <w:lang w:eastAsia="x-none"/>
        </w:rPr>
        <w:t>remov</w:t>
      </w:r>
      <w:r w:rsidR="00D54408">
        <w:rPr>
          <w:lang w:eastAsia="x-none"/>
        </w:rPr>
        <w:t>ing</w:t>
      </w:r>
      <w:r w:rsidR="008902C3">
        <w:rPr>
          <w:lang w:eastAsia="x-none"/>
        </w:rPr>
        <w:t xml:space="preserve"> the applicant’s reliance on the 21 July 2022 affidavit. However this too is </w:t>
      </w:r>
      <w:r w:rsidR="00AA7702">
        <w:rPr>
          <w:lang w:eastAsia="x-none"/>
        </w:rPr>
        <w:t>unjustified</w:t>
      </w:r>
      <w:r w:rsidR="008902C3">
        <w:rPr>
          <w:lang w:eastAsia="x-none"/>
        </w:rPr>
        <w:t xml:space="preserve"> as the notice</w:t>
      </w:r>
      <w:r w:rsidR="00D54408">
        <w:rPr>
          <w:lang w:eastAsia="x-none"/>
        </w:rPr>
        <w:t xml:space="preserve"> does not </w:t>
      </w:r>
      <w:r w:rsidR="008902C3">
        <w:rPr>
          <w:lang w:eastAsia="x-none"/>
        </w:rPr>
        <w:t>record that the applicant inten</w:t>
      </w:r>
      <w:r w:rsidR="00D54408">
        <w:rPr>
          <w:lang w:eastAsia="x-none"/>
        </w:rPr>
        <w:t>ds</w:t>
      </w:r>
      <w:r w:rsidR="008902C3">
        <w:rPr>
          <w:lang w:eastAsia="x-none"/>
        </w:rPr>
        <w:t xml:space="preserve"> to delete any of the existing relief sought in the notice of motion. </w:t>
      </w:r>
      <w:r w:rsidR="00D54408">
        <w:rPr>
          <w:lang w:eastAsia="x-none"/>
        </w:rPr>
        <w:t xml:space="preserve"> </w:t>
      </w:r>
      <w:r w:rsidR="008902C3">
        <w:rPr>
          <w:lang w:eastAsia="x-none"/>
        </w:rPr>
        <w:t>Moreover, the notice invites the respondents to “</w:t>
      </w:r>
      <w:r w:rsidR="008902C3" w:rsidRPr="00C4518A">
        <w:rPr>
          <w:i/>
          <w:iCs w:val="0"/>
          <w:lang w:eastAsia="x-none"/>
        </w:rPr>
        <w:t>supplement your answering affidavit consequent on the applicant’s supplementary replying affidavit</w:t>
      </w:r>
      <w:r w:rsidR="008902C3">
        <w:rPr>
          <w:lang w:eastAsia="x-none"/>
        </w:rPr>
        <w:t xml:space="preserve">”. </w:t>
      </w:r>
      <w:r w:rsidR="00C34A43">
        <w:rPr>
          <w:lang w:eastAsia="x-none"/>
        </w:rPr>
        <w:t xml:space="preserve">This </w:t>
      </w:r>
      <w:r w:rsidR="00941124">
        <w:rPr>
          <w:lang w:eastAsia="x-none"/>
        </w:rPr>
        <w:t>clearly</w:t>
      </w:r>
      <w:r w:rsidR="00C34A43">
        <w:rPr>
          <w:lang w:eastAsia="x-none"/>
        </w:rPr>
        <w:t xml:space="preserve"> shows that the amendment is to add additional grounds of relief and</w:t>
      </w:r>
      <w:r w:rsidR="008E239C">
        <w:rPr>
          <w:lang w:eastAsia="x-none"/>
        </w:rPr>
        <w:t xml:space="preserve"> rely on the 21 July affidavit,</w:t>
      </w:r>
      <w:r w:rsidR="00C34A43">
        <w:rPr>
          <w:lang w:eastAsia="x-none"/>
        </w:rPr>
        <w:t xml:space="preserve"> not to delete anything from the existing notice of motion. </w:t>
      </w:r>
    </w:p>
    <w:p w14:paraId="0A37D78A" w14:textId="4D5C0EB8" w:rsidR="00C34A43" w:rsidRDefault="00AC431C" w:rsidP="00AC431C">
      <w:pPr>
        <w:pStyle w:val="1"/>
        <w:numPr>
          <w:ilvl w:val="0"/>
          <w:numId w:val="0"/>
        </w:numPr>
        <w:tabs>
          <w:tab w:val="left" w:pos="567"/>
        </w:tabs>
        <w:ind w:left="567" w:hanging="567"/>
        <w:rPr>
          <w:lang w:eastAsia="x-none"/>
        </w:rPr>
      </w:pPr>
      <w:r>
        <w:rPr>
          <w:lang w:eastAsia="x-none"/>
        </w:rPr>
        <w:t>[11]</w:t>
      </w:r>
      <w:r>
        <w:rPr>
          <w:lang w:eastAsia="x-none"/>
        </w:rPr>
        <w:tab/>
      </w:r>
      <w:r w:rsidR="00C34A43">
        <w:rPr>
          <w:lang w:eastAsia="x-none"/>
        </w:rPr>
        <w:t xml:space="preserve">The third element is </w:t>
      </w:r>
      <w:r w:rsidR="008E239C">
        <w:rPr>
          <w:lang w:eastAsia="x-none"/>
        </w:rPr>
        <w:t>an</w:t>
      </w:r>
      <w:r w:rsidR="00C34A43">
        <w:rPr>
          <w:lang w:eastAsia="x-none"/>
        </w:rPr>
        <w:t xml:space="preserve"> objection to the attempt by the applicant to join the first respondent in her capacity as executor of her husband’s deceased estate. </w:t>
      </w:r>
      <w:r w:rsidR="00CE7665">
        <w:rPr>
          <w:lang w:eastAsia="x-none"/>
        </w:rPr>
        <w:t>This, however, forms part of the substance of the 21 July 2022 interlocutory application, the merits of which are yet to be ventilated.  As I have held that the respondent is precluded from relying on Rule 30(2) to object to the 21 July 2022 application</w:t>
      </w:r>
      <w:r w:rsidR="008E239C">
        <w:rPr>
          <w:lang w:eastAsia="x-none"/>
        </w:rPr>
        <w:t xml:space="preserve"> affidavit and</w:t>
      </w:r>
      <w:r w:rsidR="00CE7665">
        <w:rPr>
          <w:lang w:eastAsia="x-none"/>
        </w:rPr>
        <w:t xml:space="preserve"> because of the further steps taken, this finding precludes me from dealing with the merits of the objection at this stage.  </w:t>
      </w:r>
      <w:r w:rsidR="008E239C">
        <w:rPr>
          <w:lang w:eastAsia="x-none"/>
        </w:rPr>
        <w:t>The</w:t>
      </w:r>
      <w:r w:rsidR="00CE7665">
        <w:rPr>
          <w:lang w:eastAsia="x-none"/>
        </w:rPr>
        <w:t xml:space="preserve"> Court hearing </w:t>
      </w:r>
      <w:r w:rsidR="00CE7665">
        <w:rPr>
          <w:lang w:eastAsia="x-none"/>
        </w:rPr>
        <w:lastRenderedPageBreak/>
        <w:t xml:space="preserve">the interlocutory application will need to decide whether the application for joinder is competent and should be granted.   </w:t>
      </w:r>
    </w:p>
    <w:p w14:paraId="334B3A14" w14:textId="08ED7DD3" w:rsidR="00C34A43" w:rsidRDefault="00C34A43" w:rsidP="00C34A43">
      <w:pPr>
        <w:pStyle w:val="Heading3"/>
        <w:rPr>
          <w:lang w:val="en-GB"/>
        </w:rPr>
      </w:pPr>
      <w:r>
        <w:rPr>
          <w:lang w:val="en-GB"/>
        </w:rPr>
        <w:t>Costs</w:t>
      </w:r>
    </w:p>
    <w:p w14:paraId="07FBB8C1" w14:textId="14E91875" w:rsidR="00C34A43" w:rsidRDefault="00AC431C" w:rsidP="00AC431C">
      <w:pPr>
        <w:pStyle w:val="1"/>
        <w:numPr>
          <w:ilvl w:val="0"/>
          <w:numId w:val="0"/>
        </w:numPr>
        <w:tabs>
          <w:tab w:val="left" w:pos="567"/>
        </w:tabs>
        <w:ind w:left="567" w:hanging="567"/>
        <w:rPr>
          <w:lang w:eastAsia="x-none"/>
        </w:rPr>
      </w:pPr>
      <w:r>
        <w:rPr>
          <w:lang w:eastAsia="x-none"/>
        </w:rPr>
        <w:t>[12]</w:t>
      </w:r>
      <w:r>
        <w:rPr>
          <w:lang w:eastAsia="x-none"/>
        </w:rPr>
        <w:tab/>
      </w:r>
      <w:r w:rsidR="00C34A43">
        <w:rPr>
          <w:lang w:eastAsia="x-none"/>
        </w:rPr>
        <w:t xml:space="preserve">The applicant sought an order for punitive costs, asking that the respondents be held liable to pay the applicants costs on the scale as between attorney and client. However, recognising that much of the factual material on </w:t>
      </w:r>
      <w:r w:rsidR="00941124">
        <w:rPr>
          <w:lang w:eastAsia="x-none"/>
        </w:rPr>
        <w:t>which</w:t>
      </w:r>
      <w:r w:rsidR="00C34A43">
        <w:rPr>
          <w:lang w:eastAsia="x-none"/>
        </w:rPr>
        <w:t xml:space="preserve"> the applicant relies for this costs order is set out in the main application on which no finding has yet been made, Mr Moreno recognised that I could not make </w:t>
      </w:r>
      <w:r w:rsidR="008E239C">
        <w:rPr>
          <w:lang w:eastAsia="x-none"/>
        </w:rPr>
        <w:t xml:space="preserve">the </w:t>
      </w:r>
      <w:r w:rsidR="00C34A43">
        <w:rPr>
          <w:lang w:eastAsia="x-none"/>
        </w:rPr>
        <w:t xml:space="preserve">factual findings </w:t>
      </w:r>
      <w:r w:rsidR="008E239C">
        <w:rPr>
          <w:lang w:eastAsia="x-none"/>
        </w:rPr>
        <w:t xml:space="preserve">necessary </w:t>
      </w:r>
      <w:r w:rsidR="00C34A43">
        <w:rPr>
          <w:lang w:eastAsia="x-none"/>
        </w:rPr>
        <w:t xml:space="preserve">to support such a punitive costs order. In the circumstances, Mr Moreno asked that I grant an order for costs but reserve the scale of those costs to be determined by a future court when determining the main application. </w:t>
      </w:r>
    </w:p>
    <w:p w14:paraId="54C3F536" w14:textId="4E215BB8" w:rsidR="00C34A43" w:rsidRDefault="00C34A43" w:rsidP="00C34A43">
      <w:pPr>
        <w:pStyle w:val="Heading3"/>
        <w:rPr>
          <w:lang w:val="en-GB"/>
        </w:rPr>
      </w:pPr>
      <w:r>
        <w:rPr>
          <w:lang w:val="en-GB"/>
        </w:rPr>
        <w:t>Order</w:t>
      </w:r>
    </w:p>
    <w:p w14:paraId="5424EE2F" w14:textId="07DF19B0" w:rsidR="00C34A43" w:rsidRDefault="00AC431C" w:rsidP="00AC431C">
      <w:pPr>
        <w:pStyle w:val="1"/>
        <w:numPr>
          <w:ilvl w:val="0"/>
          <w:numId w:val="0"/>
        </w:numPr>
        <w:tabs>
          <w:tab w:val="left" w:pos="567"/>
        </w:tabs>
        <w:ind w:left="567" w:hanging="567"/>
        <w:rPr>
          <w:lang w:eastAsia="x-none"/>
        </w:rPr>
      </w:pPr>
      <w:r>
        <w:rPr>
          <w:lang w:eastAsia="x-none"/>
        </w:rPr>
        <w:t>[13]</w:t>
      </w:r>
      <w:r>
        <w:rPr>
          <w:lang w:eastAsia="x-none"/>
        </w:rPr>
        <w:tab/>
      </w:r>
      <w:r w:rsidR="00C34A43">
        <w:rPr>
          <w:lang w:eastAsia="x-none"/>
        </w:rPr>
        <w:t xml:space="preserve">In the circumstances, I grant the </w:t>
      </w:r>
      <w:r w:rsidR="00D54408">
        <w:rPr>
          <w:lang w:eastAsia="x-none"/>
        </w:rPr>
        <w:t>following</w:t>
      </w:r>
      <w:r w:rsidR="00C34A43">
        <w:rPr>
          <w:lang w:eastAsia="x-none"/>
        </w:rPr>
        <w:t xml:space="preserve"> order:</w:t>
      </w:r>
    </w:p>
    <w:p w14:paraId="27A32007" w14:textId="0222B0A3" w:rsidR="00C34A43" w:rsidRDefault="00AC431C" w:rsidP="00AC431C">
      <w:pPr>
        <w:pStyle w:val="1"/>
        <w:numPr>
          <w:ilvl w:val="0"/>
          <w:numId w:val="0"/>
        </w:numPr>
        <w:ind w:left="927" w:hanging="360"/>
        <w:rPr>
          <w:lang w:eastAsia="x-none"/>
        </w:rPr>
      </w:pPr>
      <w:r>
        <w:rPr>
          <w:lang w:eastAsia="x-none"/>
        </w:rPr>
        <w:t>(1)</w:t>
      </w:r>
      <w:r>
        <w:rPr>
          <w:lang w:eastAsia="x-none"/>
        </w:rPr>
        <w:tab/>
      </w:r>
      <w:r w:rsidR="00C34A43">
        <w:rPr>
          <w:lang w:eastAsia="x-none"/>
        </w:rPr>
        <w:t>The first and second respondents</w:t>
      </w:r>
      <w:r w:rsidR="00177246">
        <w:rPr>
          <w:lang w:eastAsia="x-none"/>
        </w:rPr>
        <w:t>’</w:t>
      </w:r>
      <w:r w:rsidR="00C34A43">
        <w:rPr>
          <w:lang w:eastAsia="x-none"/>
        </w:rPr>
        <w:t xml:space="preserve"> application in terms of Rule 30 is dismissed, with costs. </w:t>
      </w:r>
    </w:p>
    <w:p w14:paraId="39379484" w14:textId="6D19641D" w:rsidR="00C34A43" w:rsidRPr="00C34A43" w:rsidRDefault="00AC431C" w:rsidP="00AC431C">
      <w:pPr>
        <w:pStyle w:val="1"/>
        <w:numPr>
          <w:ilvl w:val="0"/>
          <w:numId w:val="0"/>
        </w:numPr>
        <w:ind w:left="927" w:hanging="360"/>
        <w:rPr>
          <w:lang w:eastAsia="x-none"/>
        </w:rPr>
      </w:pPr>
      <w:r w:rsidRPr="00C34A43">
        <w:rPr>
          <w:lang w:eastAsia="x-none"/>
        </w:rPr>
        <w:t>(2)</w:t>
      </w:r>
      <w:r w:rsidRPr="00C34A43">
        <w:rPr>
          <w:lang w:eastAsia="x-none"/>
        </w:rPr>
        <w:tab/>
      </w:r>
      <w:r w:rsidR="00C34A43">
        <w:rPr>
          <w:lang w:eastAsia="x-none"/>
        </w:rPr>
        <w:t xml:space="preserve">The scale </w:t>
      </w:r>
      <w:r w:rsidR="00D54408">
        <w:rPr>
          <w:lang w:eastAsia="x-none"/>
        </w:rPr>
        <w:t xml:space="preserve">on which the </w:t>
      </w:r>
      <w:r w:rsidR="00C34A43">
        <w:rPr>
          <w:lang w:eastAsia="x-none"/>
        </w:rPr>
        <w:t xml:space="preserve">costs </w:t>
      </w:r>
      <w:r w:rsidR="00D54408">
        <w:rPr>
          <w:lang w:eastAsia="x-none"/>
        </w:rPr>
        <w:t xml:space="preserve">are </w:t>
      </w:r>
      <w:r w:rsidR="00C34A43">
        <w:rPr>
          <w:lang w:eastAsia="x-none"/>
        </w:rPr>
        <w:t>to be paid by the first and second respondents to the applicant</w:t>
      </w:r>
      <w:r w:rsidR="00D54408">
        <w:rPr>
          <w:lang w:eastAsia="x-none"/>
        </w:rPr>
        <w:t>,</w:t>
      </w:r>
      <w:r w:rsidR="00C34A43">
        <w:rPr>
          <w:lang w:eastAsia="x-none"/>
        </w:rPr>
        <w:t xml:space="preserve"> is reserved.</w:t>
      </w:r>
    </w:p>
    <w:p w14:paraId="75CCCDB1" w14:textId="77777777" w:rsidR="009537BB" w:rsidRPr="00F73C09" w:rsidRDefault="009537BB" w:rsidP="00066BC7">
      <w:pPr>
        <w:spacing w:line="480" w:lineRule="auto"/>
      </w:pPr>
    </w:p>
    <w:p w14:paraId="3A02CB91" w14:textId="77777777" w:rsidR="00066BC7" w:rsidRPr="00F73C09" w:rsidRDefault="004B74B9" w:rsidP="00066BC7">
      <w:pPr>
        <w:spacing w:line="480" w:lineRule="auto"/>
      </w:pPr>
      <w:r>
        <w:t>________________________</w:t>
      </w:r>
    </w:p>
    <w:p w14:paraId="18484056" w14:textId="4C4ABD0A" w:rsidR="00066BC7" w:rsidRPr="00F73C09" w:rsidRDefault="00115441" w:rsidP="004B74B9">
      <w:r>
        <w:t xml:space="preserve">TURNER </w:t>
      </w:r>
      <w:r w:rsidR="004B74B9">
        <w:t>AJ</w:t>
      </w:r>
    </w:p>
    <w:p w14:paraId="26D8E1BC" w14:textId="77777777" w:rsidR="00066BC7" w:rsidRPr="00F73C09" w:rsidRDefault="00066BC7" w:rsidP="00066BC7">
      <w:pPr>
        <w:ind w:left="691"/>
        <w:jc w:val="right"/>
        <w:rPr>
          <w:rFonts w:cs="Arial"/>
        </w:rPr>
      </w:pPr>
    </w:p>
    <w:p w14:paraId="6958AF81" w14:textId="77777777" w:rsidR="00066BC7" w:rsidRPr="00F73C09" w:rsidRDefault="00066BC7" w:rsidP="00066BC7">
      <w:pPr>
        <w:ind w:left="691"/>
        <w:rPr>
          <w:rFonts w:cs="Arial"/>
        </w:rPr>
      </w:pPr>
    </w:p>
    <w:p w14:paraId="0A51C946" w14:textId="0EA1ADC6" w:rsidR="00066BC7" w:rsidRPr="00F73C09"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the applicants: </w:t>
      </w:r>
      <w:r w:rsidR="008E239C">
        <w:rPr>
          <w:rFonts w:cs="Arial"/>
          <w:sz w:val="22"/>
          <w:szCs w:val="22"/>
        </w:rPr>
        <w:t>Adv</w:t>
      </w:r>
      <w:r w:rsidR="00930238">
        <w:rPr>
          <w:rFonts w:cs="Arial"/>
          <w:sz w:val="22"/>
          <w:szCs w:val="22"/>
        </w:rPr>
        <w:t xml:space="preserve"> CJ</w:t>
      </w:r>
      <w:r w:rsidR="008E239C">
        <w:rPr>
          <w:rFonts w:cs="Arial"/>
          <w:sz w:val="22"/>
          <w:szCs w:val="22"/>
        </w:rPr>
        <w:t xml:space="preserve"> Moreno </w:t>
      </w:r>
    </w:p>
    <w:p w14:paraId="7EA33AFF" w14:textId="55555751" w:rsidR="00066BC7" w:rsidRPr="00F73C09" w:rsidRDefault="00066BC7" w:rsidP="00066BC7">
      <w:pPr>
        <w:pStyle w:val="BodyText"/>
        <w:tabs>
          <w:tab w:val="left" w:pos="567"/>
        </w:tabs>
        <w:spacing w:before="120"/>
        <w:rPr>
          <w:rFonts w:cs="Arial"/>
          <w:sz w:val="22"/>
          <w:szCs w:val="22"/>
        </w:rPr>
      </w:pPr>
      <w:r w:rsidRPr="00F73C09">
        <w:rPr>
          <w:rFonts w:cs="Arial"/>
          <w:sz w:val="22"/>
          <w:szCs w:val="22"/>
        </w:rPr>
        <w:lastRenderedPageBreak/>
        <w:t xml:space="preserve">Instructed by: </w:t>
      </w:r>
      <w:r w:rsidR="00930238">
        <w:rPr>
          <w:rFonts w:cs="Arial"/>
          <w:sz w:val="22"/>
          <w:szCs w:val="22"/>
        </w:rPr>
        <w:t>Mark Anthony Beyl Attorneys</w:t>
      </w:r>
    </w:p>
    <w:p w14:paraId="571B4E28" w14:textId="77777777" w:rsidR="00066BC7" w:rsidRPr="00F73C09" w:rsidRDefault="00066BC7" w:rsidP="00066BC7">
      <w:pPr>
        <w:pStyle w:val="BodyText"/>
        <w:tabs>
          <w:tab w:val="left" w:pos="567"/>
        </w:tabs>
        <w:spacing w:before="120"/>
        <w:rPr>
          <w:rFonts w:cs="Arial"/>
          <w:sz w:val="22"/>
          <w:szCs w:val="22"/>
        </w:rPr>
      </w:pPr>
    </w:p>
    <w:p w14:paraId="4D9248BF" w14:textId="64D98B5C"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Counsel for the respondent: </w:t>
      </w:r>
      <w:r w:rsidR="008E239C">
        <w:rPr>
          <w:rFonts w:cs="Arial"/>
          <w:sz w:val="22"/>
          <w:szCs w:val="22"/>
        </w:rPr>
        <w:t xml:space="preserve">Adv Salani (on postponement only) </w:t>
      </w:r>
    </w:p>
    <w:p w14:paraId="7FFD96A8" w14:textId="6E14F802"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930238">
        <w:rPr>
          <w:rFonts w:cs="Arial"/>
          <w:sz w:val="22"/>
          <w:szCs w:val="22"/>
        </w:rPr>
        <w:t>Rossouws Lesie Inc</w:t>
      </w:r>
    </w:p>
    <w:p w14:paraId="3E89B1FA" w14:textId="77777777" w:rsidR="00066BC7" w:rsidRPr="00F73C09" w:rsidRDefault="00066BC7" w:rsidP="00066BC7">
      <w:pPr>
        <w:pStyle w:val="BodyText"/>
        <w:tabs>
          <w:tab w:val="left" w:pos="567"/>
        </w:tabs>
        <w:spacing w:before="120"/>
        <w:rPr>
          <w:rFonts w:cs="Arial"/>
          <w:sz w:val="22"/>
          <w:szCs w:val="22"/>
        </w:rPr>
      </w:pPr>
    </w:p>
    <w:sectPr w:rsidR="00066BC7" w:rsidRPr="00F73C0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FCFB" w14:textId="77777777" w:rsidR="00A92679" w:rsidRDefault="00A92679" w:rsidP="00115245">
      <w:r>
        <w:separator/>
      </w:r>
    </w:p>
  </w:endnote>
  <w:endnote w:type="continuationSeparator" w:id="0">
    <w:p w14:paraId="0BA90ADD" w14:textId="77777777" w:rsidR="00A92679" w:rsidRDefault="00A92679"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D50A" w14:textId="77777777" w:rsidR="00A92679" w:rsidRDefault="00A92679" w:rsidP="00115245">
      <w:r>
        <w:separator/>
      </w:r>
    </w:p>
  </w:footnote>
  <w:footnote w:type="continuationSeparator" w:id="0">
    <w:p w14:paraId="2DEE210C" w14:textId="77777777" w:rsidR="00A92679" w:rsidRDefault="00A92679"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08DC7FBE" w:rsidR="0011705A" w:rsidRDefault="0011705A">
    <w:pPr>
      <w:pStyle w:val="Header"/>
      <w:jc w:val="right"/>
    </w:pPr>
    <w:r>
      <w:fldChar w:fldCharType="begin"/>
    </w:r>
    <w:r>
      <w:instrText xml:space="preserve"> PAGE   \* MERGEFORMAT </w:instrText>
    </w:r>
    <w:r>
      <w:fldChar w:fldCharType="separate"/>
    </w:r>
    <w:r w:rsidR="00B05487">
      <w:rPr>
        <w:noProof/>
      </w:rPr>
      <w:t>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4"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EDC40B1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nsid w:val="4FBC20A1"/>
    <w:multiLevelType w:val="hybridMultilevel"/>
    <w:tmpl w:val="5DFE74EC"/>
    <w:lvl w:ilvl="0" w:tplc="8D101F1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56704B4B"/>
    <w:multiLevelType w:val="hybridMultilevel"/>
    <w:tmpl w:val="9964F93C"/>
    <w:lvl w:ilvl="0" w:tplc="02DE60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5EA07EA"/>
    <w:multiLevelType w:val="hybridMultilevel"/>
    <w:tmpl w:val="B1B29DAA"/>
    <w:lvl w:ilvl="0" w:tplc="E188B9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0"/>
  </w:num>
  <w:num w:numId="12">
    <w:abstractNumId w:val="9"/>
  </w:num>
  <w:num w:numId="13">
    <w:abstractNumId w:val="7"/>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18"/>
  </w:num>
  <w:num w:numId="19">
    <w:abstractNumId w:val="15"/>
  </w:num>
  <w:num w:numId="20">
    <w:abstractNumId w:val="11"/>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1DB"/>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268"/>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2F1"/>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47B3"/>
    <w:rsid w:val="000A5992"/>
    <w:rsid w:val="000A6549"/>
    <w:rsid w:val="000A67EF"/>
    <w:rsid w:val="000A6839"/>
    <w:rsid w:val="000A7F92"/>
    <w:rsid w:val="000B0165"/>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415"/>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5441"/>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21C0"/>
    <w:rsid w:val="00143E0F"/>
    <w:rsid w:val="00143F69"/>
    <w:rsid w:val="001441DA"/>
    <w:rsid w:val="00145B6A"/>
    <w:rsid w:val="001468BA"/>
    <w:rsid w:val="00146DDD"/>
    <w:rsid w:val="00147720"/>
    <w:rsid w:val="0015010C"/>
    <w:rsid w:val="0015058F"/>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BD3"/>
    <w:rsid w:val="00175E7C"/>
    <w:rsid w:val="00177246"/>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A96"/>
    <w:rsid w:val="001E1F7D"/>
    <w:rsid w:val="001E23CC"/>
    <w:rsid w:val="001E2974"/>
    <w:rsid w:val="001E3931"/>
    <w:rsid w:val="001E3E25"/>
    <w:rsid w:val="001E447A"/>
    <w:rsid w:val="001E5131"/>
    <w:rsid w:val="001E6F1E"/>
    <w:rsid w:val="001E77C7"/>
    <w:rsid w:val="001E7DA7"/>
    <w:rsid w:val="001F0581"/>
    <w:rsid w:val="001F05C0"/>
    <w:rsid w:val="001F1468"/>
    <w:rsid w:val="001F1531"/>
    <w:rsid w:val="001F1D54"/>
    <w:rsid w:val="001F2977"/>
    <w:rsid w:val="001F2E35"/>
    <w:rsid w:val="001F36A0"/>
    <w:rsid w:val="001F3CAE"/>
    <w:rsid w:val="001F646D"/>
    <w:rsid w:val="001F7561"/>
    <w:rsid w:val="001F7976"/>
    <w:rsid w:val="001F7FC2"/>
    <w:rsid w:val="0020161E"/>
    <w:rsid w:val="00201FE1"/>
    <w:rsid w:val="0020229A"/>
    <w:rsid w:val="00202F97"/>
    <w:rsid w:val="00203048"/>
    <w:rsid w:val="002034A7"/>
    <w:rsid w:val="00203FBE"/>
    <w:rsid w:val="002047A0"/>
    <w:rsid w:val="002053DD"/>
    <w:rsid w:val="00205EF3"/>
    <w:rsid w:val="00207AFE"/>
    <w:rsid w:val="00207F92"/>
    <w:rsid w:val="002101BB"/>
    <w:rsid w:val="00210A60"/>
    <w:rsid w:val="00211100"/>
    <w:rsid w:val="00211E3E"/>
    <w:rsid w:val="00212B52"/>
    <w:rsid w:val="002130C1"/>
    <w:rsid w:val="002130CF"/>
    <w:rsid w:val="00213264"/>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0BB3"/>
    <w:rsid w:val="00251183"/>
    <w:rsid w:val="0025138E"/>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849"/>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2C2"/>
    <w:rsid w:val="002F03B7"/>
    <w:rsid w:val="002F0A2E"/>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436F"/>
    <w:rsid w:val="00306A46"/>
    <w:rsid w:val="00306F13"/>
    <w:rsid w:val="0030786B"/>
    <w:rsid w:val="0030786F"/>
    <w:rsid w:val="0031001C"/>
    <w:rsid w:val="0031072D"/>
    <w:rsid w:val="00310E3A"/>
    <w:rsid w:val="00311540"/>
    <w:rsid w:val="00312767"/>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1AA"/>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089"/>
    <w:rsid w:val="00343D1C"/>
    <w:rsid w:val="00344380"/>
    <w:rsid w:val="00345162"/>
    <w:rsid w:val="00345E57"/>
    <w:rsid w:val="00346597"/>
    <w:rsid w:val="0034732B"/>
    <w:rsid w:val="00347644"/>
    <w:rsid w:val="00347A57"/>
    <w:rsid w:val="00347D50"/>
    <w:rsid w:val="00350B0B"/>
    <w:rsid w:val="00350E9F"/>
    <w:rsid w:val="00351867"/>
    <w:rsid w:val="00351EB9"/>
    <w:rsid w:val="0035298A"/>
    <w:rsid w:val="00353582"/>
    <w:rsid w:val="00355250"/>
    <w:rsid w:val="0035551B"/>
    <w:rsid w:val="00355B81"/>
    <w:rsid w:val="0035666A"/>
    <w:rsid w:val="00357014"/>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FE3"/>
    <w:rsid w:val="003C060F"/>
    <w:rsid w:val="003C075C"/>
    <w:rsid w:val="003C0D92"/>
    <w:rsid w:val="003C0DF1"/>
    <w:rsid w:val="003C20C9"/>
    <w:rsid w:val="003C40D7"/>
    <w:rsid w:val="003C42BE"/>
    <w:rsid w:val="003C4616"/>
    <w:rsid w:val="003C46C0"/>
    <w:rsid w:val="003C4E9C"/>
    <w:rsid w:val="003C5A99"/>
    <w:rsid w:val="003C6F44"/>
    <w:rsid w:val="003C7290"/>
    <w:rsid w:val="003C74B4"/>
    <w:rsid w:val="003C76B2"/>
    <w:rsid w:val="003C785A"/>
    <w:rsid w:val="003C7EF1"/>
    <w:rsid w:val="003D130B"/>
    <w:rsid w:val="003D139F"/>
    <w:rsid w:val="003D3D85"/>
    <w:rsid w:val="003D4381"/>
    <w:rsid w:val="003D4EFC"/>
    <w:rsid w:val="003D5332"/>
    <w:rsid w:val="003D6862"/>
    <w:rsid w:val="003D6C2F"/>
    <w:rsid w:val="003D6D58"/>
    <w:rsid w:val="003D6F8F"/>
    <w:rsid w:val="003D766C"/>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2E19"/>
    <w:rsid w:val="003F462F"/>
    <w:rsid w:val="003F5B4E"/>
    <w:rsid w:val="003F6BE7"/>
    <w:rsid w:val="003F7FBE"/>
    <w:rsid w:val="004001B5"/>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34C"/>
    <w:rsid w:val="004469AE"/>
    <w:rsid w:val="00446DAF"/>
    <w:rsid w:val="004472C4"/>
    <w:rsid w:val="004475C5"/>
    <w:rsid w:val="0044775E"/>
    <w:rsid w:val="0045091A"/>
    <w:rsid w:val="00450988"/>
    <w:rsid w:val="00450A43"/>
    <w:rsid w:val="004513B9"/>
    <w:rsid w:val="00451B01"/>
    <w:rsid w:val="00452EDC"/>
    <w:rsid w:val="00452F24"/>
    <w:rsid w:val="0045394F"/>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30CF"/>
    <w:rsid w:val="00473818"/>
    <w:rsid w:val="00474025"/>
    <w:rsid w:val="004742B6"/>
    <w:rsid w:val="0047447E"/>
    <w:rsid w:val="004744FB"/>
    <w:rsid w:val="004748F9"/>
    <w:rsid w:val="00475159"/>
    <w:rsid w:val="004751E6"/>
    <w:rsid w:val="0047571E"/>
    <w:rsid w:val="00475B92"/>
    <w:rsid w:val="004763AB"/>
    <w:rsid w:val="00476EC1"/>
    <w:rsid w:val="004776BE"/>
    <w:rsid w:val="00480AAB"/>
    <w:rsid w:val="004818C0"/>
    <w:rsid w:val="0048276D"/>
    <w:rsid w:val="00482EB0"/>
    <w:rsid w:val="00484575"/>
    <w:rsid w:val="0048472E"/>
    <w:rsid w:val="00485D82"/>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27F2"/>
    <w:rsid w:val="004A383D"/>
    <w:rsid w:val="004A468E"/>
    <w:rsid w:val="004A5A06"/>
    <w:rsid w:val="004A63CC"/>
    <w:rsid w:val="004A6508"/>
    <w:rsid w:val="004B01AF"/>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4FD1"/>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637"/>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061"/>
    <w:rsid w:val="00522162"/>
    <w:rsid w:val="005222C1"/>
    <w:rsid w:val="005223A3"/>
    <w:rsid w:val="005252B6"/>
    <w:rsid w:val="00525D24"/>
    <w:rsid w:val="00530D60"/>
    <w:rsid w:val="00530E68"/>
    <w:rsid w:val="0053146C"/>
    <w:rsid w:val="005314DD"/>
    <w:rsid w:val="00531925"/>
    <w:rsid w:val="00532D77"/>
    <w:rsid w:val="005332D4"/>
    <w:rsid w:val="00533373"/>
    <w:rsid w:val="005344E4"/>
    <w:rsid w:val="00534716"/>
    <w:rsid w:val="00535879"/>
    <w:rsid w:val="005373A1"/>
    <w:rsid w:val="00540250"/>
    <w:rsid w:val="0054290D"/>
    <w:rsid w:val="00543D3A"/>
    <w:rsid w:val="00544141"/>
    <w:rsid w:val="005457F7"/>
    <w:rsid w:val="0054596A"/>
    <w:rsid w:val="00545B27"/>
    <w:rsid w:val="00545E33"/>
    <w:rsid w:val="00546262"/>
    <w:rsid w:val="00546717"/>
    <w:rsid w:val="00546A2C"/>
    <w:rsid w:val="0054707B"/>
    <w:rsid w:val="0054767E"/>
    <w:rsid w:val="00547FD4"/>
    <w:rsid w:val="005507D0"/>
    <w:rsid w:val="00550EAC"/>
    <w:rsid w:val="00551A73"/>
    <w:rsid w:val="0055214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817"/>
    <w:rsid w:val="00590D69"/>
    <w:rsid w:val="0059103F"/>
    <w:rsid w:val="00591472"/>
    <w:rsid w:val="00591A7E"/>
    <w:rsid w:val="00593724"/>
    <w:rsid w:val="00593C30"/>
    <w:rsid w:val="00594751"/>
    <w:rsid w:val="00595AAE"/>
    <w:rsid w:val="005960DB"/>
    <w:rsid w:val="005A147A"/>
    <w:rsid w:val="005A32FD"/>
    <w:rsid w:val="005A33A3"/>
    <w:rsid w:val="005A3500"/>
    <w:rsid w:val="005A3D8D"/>
    <w:rsid w:val="005A4303"/>
    <w:rsid w:val="005A486A"/>
    <w:rsid w:val="005A4D7D"/>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4AB4"/>
    <w:rsid w:val="005D4B4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4AA8"/>
    <w:rsid w:val="005F530F"/>
    <w:rsid w:val="005F53A4"/>
    <w:rsid w:val="005F5E92"/>
    <w:rsid w:val="005F61A0"/>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AFC"/>
    <w:rsid w:val="00634B78"/>
    <w:rsid w:val="006350B9"/>
    <w:rsid w:val="00635408"/>
    <w:rsid w:val="00635B97"/>
    <w:rsid w:val="00635CB9"/>
    <w:rsid w:val="00636258"/>
    <w:rsid w:val="00636575"/>
    <w:rsid w:val="0063684F"/>
    <w:rsid w:val="00636BB7"/>
    <w:rsid w:val="0063748C"/>
    <w:rsid w:val="006379C7"/>
    <w:rsid w:val="00640825"/>
    <w:rsid w:val="0064115D"/>
    <w:rsid w:val="00641993"/>
    <w:rsid w:val="006425B9"/>
    <w:rsid w:val="00643734"/>
    <w:rsid w:val="006437E7"/>
    <w:rsid w:val="006437EC"/>
    <w:rsid w:val="00643CC5"/>
    <w:rsid w:val="0064415C"/>
    <w:rsid w:val="00644E64"/>
    <w:rsid w:val="0064511D"/>
    <w:rsid w:val="00645CAF"/>
    <w:rsid w:val="00646B84"/>
    <w:rsid w:val="00647518"/>
    <w:rsid w:val="00647762"/>
    <w:rsid w:val="00647F50"/>
    <w:rsid w:val="00651274"/>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6F5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199"/>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7AE"/>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83B"/>
    <w:rsid w:val="00732DA4"/>
    <w:rsid w:val="00733185"/>
    <w:rsid w:val="00734401"/>
    <w:rsid w:val="00734865"/>
    <w:rsid w:val="00735525"/>
    <w:rsid w:val="0073584D"/>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64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88D"/>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4B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41"/>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383"/>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0AB4"/>
    <w:rsid w:val="00821003"/>
    <w:rsid w:val="008210C1"/>
    <w:rsid w:val="00821435"/>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AB2"/>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21AD"/>
    <w:rsid w:val="00882FB4"/>
    <w:rsid w:val="00884004"/>
    <w:rsid w:val="008842FC"/>
    <w:rsid w:val="008850FF"/>
    <w:rsid w:val="0088586C"/>
    <w:rsid w:val="00885A5C"/>
    <w:rsid w:val="00886B20"/>
    <w:rsid w:val="008902C3"/>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986"/>
    <w:rsid w:val="008E239C"/>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1D70"/>
    <w:rsid w:val="008F32D2"/>
    <w:rsid w:val="008F3A0B"/>
    <w:rsid w:val="008F3BDF"/>
    <w:rsid w:val="008F487F"/>
    <w:rsid w:val="008F572D"/>
    <w:rsid w:val="008F632A"/>
    <w:rsid w:val="008F6B7A"/>
    <w:rsid w:val="008F7CAD"/>
    <w:rsid w:val="00900624"/>
    <w:rsid w:val="009009A9"/>
    <w:rsid w:val="009013F0"/>
    <w:rsid w:val="0090145E"/>
    <w:rsid w:val="0090244B"/>
    <w:rsid w:val="00902884"/>
    <w:rsid w:val="009032E4"/>
    <w:rsid w:val="009033EB"/>
    <w:rsid w:val="00904287"/>
    <w:rsid w:val="00905050"/>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238"/>
    <w:rsid w:val="00930557"/>
    <w:rsid w:val="009312C7"/>
    <w:rsid w:val="0093170E"/>
    <w:rsid w:val="009332BA"/>
    <w:rsid w:val="00933397"/>
    <w:rsid w:val="00933706"/>
    <w:rsid w:val="0093465C"/>
    <w:rsid w:val="009346C4"/>
    <w:rsid w:val="00934A8F"/>
    <w:rsid w:val="009350BF"/>
    <w:rsid w:val="009359A1"/>
    <w:rsid w:val="009367D9"/>
    <w:rsid w:val="009401A8"/>
    <w:rsid w:val="00941124"/>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37BB"/>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6F4B"/>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252B"/>
    <w:rsid w:val="009A32DF"/>
    <w:rsid w:val="009A37F3"/>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7D"/>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CA9"/>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2319"/>
    <w:rsid w:val="00A7270E"/>
    <w:rsid w:val="00A727F1"/>
    <w:rsid w:val="00A73822"/>
    <w:rsid w:val="00A73EDC"/>
    <w:rsid w:val="00A7445D"/>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679"/>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6FF4"/>
    <w:rsid w:val="00AA70D2"/>
    <w:rsid w:val="00AA7702"/>
    <w:rsid w:val="00AB03AC"/>
    <w:rsid w:val="00AB0892"/>
    <w:rsid w:val="00AB0B4A"/>
    <w:rsid w:val="00AB0DFF"/>
    <w:rsid w:val="00AB3FB3"/>
    <w:rsid w:val="00AB4AA7"/>
    <w:rsid w:val="00AB4EF7"/>
    <w:rsid w:val="00AB5300"/>
    <w:rsid w:val="00AB6EEA"/>
    <w:rsid w:val="00AC0D99"/>
    <w:rsid w:val="00AC0F80"/>
    <w:rsid w:val="00AC118A"/>
    <w:rsid w:val="00AC1EA2"/>
    <w:rsid w:val="00AC24B0"/>
    <w:rsid w:val="00AC2D2F"/>
    <w:rsid w:val="00AC431C"/>
    <w:rsid w:val="00AC47DD"/>
    <w:rsid w:val="00AC4D76"/>
    <w:rsid w:val="00AC6021"/>
    <w:rsid w:val="00AC614B"/>
    <w:rsid w:val="00AC79F2"/>
    <w:rsid w:val="00AC7B02"/>
    <w:rsid w:val="00AD01AC"/>
    <w:rsid w:val="00AD1821"/>
    <w:rsid w:val="00AD2776"/>
    <w:rsid w:val="00AD64D9"/>
    <w:rsid w:val="00AD6705"/>
    <w:rsid w:val="00AD6FCE"/>
    <w:rsid w:val="00AD7476"/>
    <w:rsid w:val="00AD7F4C"/>
    <w:rsid w:val="00AE06BD"/>
    <w:rsid w:val="00AE06EC"/>
    <w:rsid w:val="00AE1729"/>
    <w:rsid w:val="00AE38AB"/>
    <w:rsid w:val="00AE3D09"/>
    <w:rsid w:val="00AE53D5"/>
    <w:rsid w:val="00AE5D03"/>
    <w:rsid w:val="00AE62EA"/>
    <w:rsid w:val="00AE75EF"/>
    <w:rsid w:val="00AE78F3"/>
    <w:rsid w:val="00AF091B"/>
    <w:rsid w:val="00AF113D"/>
    <w:rsid w:val="00AF1A00"/>
    <w:rsid w:val="00AF3CEB"/>
    <w:rsid w:val="00AF3EB7"/>
    <w:rsid w:val="00AF4849"/>
    <w:rsid w:val="00AF4B9E"/>
    <w:rsid w:val="00AF4D70"/>
    <w:rsid w:val="00AF5521"/>
    <w:rsid w:val="00AF60FB"/>
    <w:rsid w:val="00B00C9E"/>
    <w:rsid w:val="00B00ED7"/>
    <w:rsid w:val="00B0264A"/>
    <w:rsid w:val="00B0291F"/>
    <w:rsid w:val="00B02C04"/>
    <w:rsid w:val="00B02C2F"/>
    <w:rsid w:val="00B034D6"/>
    <w:rsid w:val="00B03B24"/>
    <w:rsid w:val="00B03DDF"/>
    <w:rsid w:val="00B05234"/>
    <w:rsid w:val="00B05306"/>
    <w:rsid w:val="00B05487"/>
    <w:rsid w:val="00B056E4"/>
    <w:rsid w:val="00B057F8"/>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E2D"/>
    <w:rsid w:val="00B53BDD"/>
    <w:rsid w:val="00B54A0C"/>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9774A"/>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7AD"/>
    <w:rsid w:val="00BB2F5A"/>
    <w:rsid w:val="00BB3596"/>
    <w:rsid w:val="00BB35C6"/>
    <w:rsid w:val="00BB3724"/>
    <w:rsid w:val="00BB3A62"/>
    <w:rsid w:val="00BB56FA"/>
    <w:rsid w:val="00BB5EF5"/>
    <w:rsid w:val="00BB69C8"/>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4A43"/>
    <w:rsid w:val="00C357F0"/>
    <w:rsid w:val="00C37011"/>
    <w:rsid w:val="00C40C52"/>
    <w:rsid w:val="00C414D4"/>
    <w:rsid w:val="00C42A4B"/>
    <w:rsid w:val="00C43046"/>
    <w:rsid w:val="00C43D09"/>
    <w:rsid w:val="00C43E31"/>
    <w:rsid w:val="00C4514C"/>
    <w:rsid w:val="00C4518A"/>
    <w:rsid w:val="00C45374"/>
    <w:rsid w:val="00C453BE"/>
    <w:rsid w:val="00C45739"/>
    <w:rsid w:val="00C45936"/>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367"/>
    <w:rsid w:val="00C76864"/>
    <w:rsid w:val="00C7696D"/>
    <w:rsid w:val="00C775F9"/>
    <w:rsid w:val="00C77E56"/>
    <w:rsid w:val="00C803D9"/>
    <w:rsid w:val="00C81152"/>
    <w:rsid w:val="00C81894"/>
    <w:rsid w:val="00C81AC4"/>
    <w:rsid w:val="00C827D8"/>
    <w:rsid w:val="00C832C0"/>
    <w:rsid w:val="00C8409A"/>
    <w:rsid w:val="00C842F0"/>
    <w:rsid w:val="00C84887"/>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250"/>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13E7"/>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A5F"/>
    <w:rsid w:val="00CE5298"/>
    <w:rsid w:val="00CE5995"/>
    <w:rsid w:val="00CE701B"/>
    <w:rsid w:val="00CE71D7"/>
    <w:rsid w:val="00CE7665"/>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3C0"/>
    <w:rsid w:val="00D11FA9"/>
    <w:rsid w:val="00D12082"/>
    <w:rsid w:val="00D13012"/>
    <w:rsid w:val="00D1440D"/>
    <w:rsid w:val="00D159C4"/>
    <w:rsid w:val="00D17BEB"/>
    <w:rsid w:val="00D17E00"/>
    <w:rsid w:val="00D207D4"/>
    <w:rsid w:val="00D21C3F"/>
    <w:rsid w:val="00D22FD5"/>
    <w:rsid w:val="00D2369D"/>
    <w:rsid w:val="00D23769"/>
    <w:rsid w:val="00D23EE7"/>
    <w:rsid w:val="00D26F58"/>
    <w:rsid w:val="00D27529"/>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0A62"/>
    <w:rsid w:val="00D51393"/>
    <w:rsid w:val="00D51672"/>
    <w:rsid w:val="00D51A92"/>
    <w:rsid w:val="00D52E5E"/>
    <w:rsid w:val="00D52EF1"/>
    <w:rsid w:val="00D5324B"/>
    <w:rsid w:val="00D53CD8"/>
    <w:rsid w:val="00D54408"/>
    <w:rsid w:val="00D54905"/>
    <w:rsid w:val="00D553B3"/>
    <w:rsid w:val="00D55E23"/>
    <w:rsid w:val="00D56109"/>
    <w:rsid w:val="00D568DC"/>
    <w:rsid w:val="00D57375"/>
    <w:rsid w:val="00D574FA"/>
    <w:rsid w:val="00D57693"/>
    <w:rsid w:val="00D576AA"/>
    <w:rsid w:val="00D5777B"/>
    <w:rsid w:val="00D57E34"/>
    <w:rsid w:val="00D608B5"/>
    <w:rsid w:val="00D60AD5"/>
    <w:rsid w:val="00D60B1C"/>
    <w:rsid w:val="00D6148A"/>
    <w:rsid w:val="00D61911"/>
    <w:rsid w:val="00D61EDF"/>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4E3"/>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1A5"/>
    <w:rsid w:val="00DF2C5C"/>
    <w:rsid w:val="00DF4572"/>
    <w:rsid w:val="00DF5798"/>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AF0"/>
    <w:rsid w:val="00E67E88"/>
    <w:rsid w:val="00E71FAB"/>
    <w:rsid w:val="00E72056"/>
    <w:rsid w:val="00E7242C"/>
    <w:rsid w:val="00E729BB"/>
    <w:rsid w:val="00E72AAE"/>
    <w:rsid w:val="00E72B09"/>
    <w:rsid w:val="00E72E3C"/>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45A7"/>
    <w:rsid w:val="00F4529B"/>
    <w:rsid w:val="00F46513"/>
    <w:rsid w:val="00F46586"/>
    <w:rsid w:val="00F46A07"/>
    <w:rsid w:val="00F47562"/>
    <w:rsid w:val="00F509A4"/>
    <w:rsid w:val="00F51491"/>
    <w:rsid w:val="00F5220C"/>
    <w:rsid w:val="00F52BE6"/>
    <w:rsid w:val="00F53995"/>
    <w:rsid w:val="00F53A2C"/>
    <w:rsid w:val="00F546AE"/>
    <w:rsid w:val="00F567F4"/>
    <w:rsid w:val="00F574A9"/>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17F"/>
    <w:rsid w:val="00F90464"/>
    <w:rsid w:val="00F90ED0"/>
    <w:rsid w:val="00F91A03"/>
    <w:rsid w:val="00F91A66"/>
    <w:rsid w:val="00F92818"/>
    <w:rsid w:val="00F92A92"/>
    <w:rsid w:val="00F92AF5"/>
    <w:rsid w:val="00F92CE8"/>
    <w:rsid w:val="00F93BAB"/>
    <w:rsid w:val="00F93EA8"/>
    <w:rsid w:val="00F94907"/>
    <w:rsid w:val="00F967B0"/>
    <w:rsid w:val="00F96A33"/>
    <w:rsid w:val="00F97FA2"/>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DB64E3"/>
    <w:pPr>
      <w:numPr>
        <w:ilvl w:val="4"/>
      </w:numPr>
      <w:ind w:left="1701"/>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Default">
    <w:name w:val="Default"/>
    <w:rsid w:val="0025138E"/>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4779299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3584-A19B-4510-A7D4-9806DBEF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2</cp:revision>
  <cp:lastPrinted>2019-03-18T05:48:00Z</cp:lastPrinted>
  <dcterms:created xsi:type="dcterms:W3CDTF">2023-03-17T10:27:00Z</dcterms:created>
  <dcterms:modified xsi:type="dcterms:W3CDTF">2023-03-17T10:27:00Z</dcterms:modified>
</cp:coreProperties>
</file>