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4662" w14:textId="35E1C021" w:rsidR="00DD6A31" w:rsidRDefault="00DD6A31" w:rsidP="00B27116">
      <w:pPr>
        <w:jc w:val="center"/>
        <w:rPr>
          <w:b/>
          <w:u w:val="none"/>
          <w:lang w:val="en-ZA"/>
        </w:rPr>
      </w:pPr>
      <w:bookmarkStart w:id="0" w:name="_GoBack"/>
      <w:bookmarkEnd w:id="0"/>
      <w:r>
        <w:rPr>
          <w:b/>
          <w:u w:val="none"/>
          <w:lang w:val="en-ZA"/>
        </w:rPr>
        <w:t>REPUBLIC OF SOUTH AFRICA</w:t>
      </w:r>
    </w:p>
    <w:p w14:paraId="3D2EE6CF" w14:textId="2DB38A8A" w:rsidR="00DD6A31" w:rsidRDefault="00DD6A31" w:rsidP="009528D8">
      <w:pPr>
        <w:jc w:val="center"/>
        <w:rPr>
          <w:b/>
          <w:u w:val="none"/>
          <w:lang w:val="en-ZA"/>
        </w:rPr>
      </w:pPr>
      <w:r>
        <w:rPr>
          <w:noProof/>
          <w:u w:val="none"/>
          <w:lang w:val="en-US" w:eastAsia="en-US"/>
        </w:rPr>
        <w:drawing>
          <wp:inline distT="0" distB="0" distL="0" distR="0" wp14:anchorId="4E9EBD8F" wp14:editId="3ADAFCA1">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p w14:paraId="4B59586F" w14:textId="77777777" w:rsidR="00DD6A31" w:rsidRDefault="00DD6A31" w:rsidP="00DB2E83">
      <w:pPr>
        <w:jc w:val="center"/>
        <w:rPr>
          <w:b/>
          <w:u w:val="none"/>
          <w:lang w:val="en-ZA"/>
        </w:rPr>
      </w:pPr>
      <w:r>
        <w:rPr>
          <w:b/>
          <w:u w:val="none"/>
          <w:lang w:val="en-ZA"/>
        </w:rPr>
        <w:t>IN THE HIGH COURT OF SOUTH AFRICA</w:t>
      </w:r>
    </w:p>
    <w:p w14:paraId="3DA26DDF" w14:textId="1C966C6E" w:rsidR="009528D8" w:rsidRDefault="00DD6A31" w:rsidP="004E35BA">
      <w:pPr>
        <w:jc w:val="center"/>
        <w:rPr>
          <w:b/>
          <w:u w:val="none"/>
          <w:lang w:val="en-ZA"/>
        </w:rPr>
      </w:pPr>
      <w:r>
        <w:rPr>
          <w:b/>
          <w:u w:val="none"/>
          <w:lang w:val="en-ZA"/>
        </w:rPr>
        <w:t>GAUT</w:t>
      </w:r>
      <w:r w:rsidR="0019491A">
        <w:rPr>
          <w:b/>
          <w:u w:val="none"/>
          <w:lang w:val="en-ZA"/>
        </w:rPr>
        <w:t>ENG</w:t>
      </w:r>
      <w:r w:rsidR="002E7BA5">
        <w:rPr>
          <w:b/>
          <w:u w:val="none"/>
          <w:lang w:val="en-ZA"/>
        </w:rPr>
        <w:t xml:space="preserve"> </w:t>
      </w:r>
      <w:r w:rsidR="004E35BA">
        <w:rPr>
          <w:b/>
          <w:u w:val="none"/>
          <w:lang w:val="en-ZA"/>
        </w:rPr>
        <w:t>DIVISION, JOHANNESBURG</w:t>
      </w:r>
    </w:p>
    <w:p w14:paraId="1B5DCBCC" w14:textId="77777777" w:rsidR="00B27116" w:rsidRDefault="00B27116" w:rsidP="004E35BA">
      <w:pPr>
        <w:jc w:val="center"/>
        <w:rPr>
          <w:b/>
          <w:u w:val="none"/>
          <w:lang w:val="en-ZA"/>
        </w:rPr>
      </w:pPr>
    </w:p>
    <w:p w14:paraId="7C4D8A3E" w14:textId="2FF576EE" w:rsidR="00305AD0" w:rsidRDefault="00DD6A31" w:rsidP="007E4442">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B27116">
        <w:rPr>
          <w:b/>
          <w:u w:val="none"/>
          <w:lang w:val="en-ZA"/>
        </w:rPr>
        <w:t xml:space="preserve">            </w:t>
      </w:r>
      <w:r w:rsidR="00B27116">
        <w:rPr>
          <w:b/>
          <w:u w:val="none"/>
          <w:lang w:val="en-ZA"/>
        </w:rPr>
        <w:tab/>
        <w:t xml:space="preserve">CASE NO: </w:t>
      </w:r>
      <w:r w:rsidR="00305AD0">
        <w:rPr>
          <w:b/>
          <w:u w:val="none"/>
          <w:lang w:val="en-ZA"/>
        </w:rPr>
        <w:tab/>
      </w:r>
      <w:r w:rsidR="00885A4F">
        <w:rPr>
          <w:b/>
          <w:u w:val="none"/>
          <w:lang w:val="en-ZA"/>
        </w:rPr>
        <w:t>30518/2020</w:t>
      </w:r>
    </w:p>
    <w:p w14:paraId="5B00E898" w14:textId="5639E0F2" w:rsidR="007E4442" w:rsidRDefault="00305AD0" w:rsidP="007E4442">
      <w:pPr>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AND</w:t>
      </w:r>
      <w:r>
        <w:rPr>
          <w:b/>
          <w:u w:val="none"/>
          <w:lang w:val="en-ZA"/>
        </w:rPr>
        <w:tab/>
      </w:r>
      <w:r>
        <w:rPr>
          <w:b/>
          <w:u w:val="none"/>
          <w:lang w:val="en-ZA"/>
        </w:rPr>
        <w:tab/>
        <w:t>34521/2020</w:t>
      </w:r>
      <w:r w:rsidR="007E4442">
        <w:rPr>
          <w:b/>
          <w:u w:val="none"/>
          <w:lang w:val="en-ZA"/>
        </w:rPr>
        <w:tab/>
      </w:r>
      <w:r w:rsidR="007E4442">
        <w:rPr>
          <w:b/>
          <w:u w:val="none"/>
          <w:lang w:val="en-ZA"/>
        </w:rPr>
        <w:tab/>
      </w:r>
      <w:r w:rsidR="007E4442">
        <w:rPr>
          <w:b/>
          <w:u w:val="none"/>
          <w:lang w:val="en-ZA"/>
        </w:rPr>
        <w:tab/>
      </w:r>
      <w:r w:rsidR="007E4442">
        <w:rPr>
          <w:b/>
          <w:u w:val="none"/>
          <w:lang w:val="en-ZA"/>
        </w:rPr>
        <w:tab/>
      </w:r>
      <w:r w:rsidR="007E4442">
        <w:rPr>
          <w:b/>
          <w:u w:val="none"/>
          <w:lang w:val="en-ZA"/>
        </w:rPr>
        <w:tab/>
      </w:r>
      <w:r>
        <w:rPr>
          <w:b/>
          <w:u w:val="none"/>
          <w:lang w:val="en-ZA"/>
        </w:rPr>
        <w:tab/>
      </w:r>
      <w:r>
        <w:rPr>
          <w:b/>
          <w:u w:val="none"/>
          <w:lang w:val="en-ZA"/>
        </w:rPr>
        <w:tab/>
      </w:r>
      <w:r>
        <w:rPr>
          <w:b/>
          <w:u w:val="none"/>
          <w:lang w:val="en-ZA"/>
        </w:rPr>
        <w:tab/>
      </w:r>
      <w:r>
        <w:rPr>
          <w:b/>
          <w:u w:val="none"/>
          <w:lang w:val="en-ZA"/>
        </w:rPr>
        <w:tab/>
      </w:r>
    </w:p>
    <w:p w14:paraId="359CA4EF" w14:textId="77777777" w:rsidR="007E4442" w:rsidRDefault="007E4442" w:rsidP="00DB2E83">
      <w:pPr>
        <w:jc w:val="both"/>
        <w:rPr>
          <w:b/>
          <w:u w:val="none"/>
          <w:lang w:val="en-ZA"/>
        </w:rPr>
      </w:pPr>
    </w:p>
    <w:p w14:paraId="16ADFF64" w14:textId="36F44877" w:rsidR="00DD6A31" w:rsidRDefault="002E7BA5" w:rsidP="00DB2E83">
      <w:pPr>
        <w:jc w:val="both"/>
        <w:rPr>
          <w:b/>
          <w:u w:val="none"/>
          <w:lang w:val="en-ZA"/>
        </w:rPr>
      </w:pPr>
      <w:r>
        <w:rPr>
          <w:noProof/>
          <w:u w:val="none"/>
          <w:lang w:val="en-US" w:eastAsia="en-US"/>
        </w:rPr>
        <mc:AlternateContent>
          <mc:Choice Requires="wps">
            <w:drawing>
              <wp:anchor distT="0" distB="0" distL="114300" distR="114300" simplePos="0" relativeHeight="251658240" behindDoc="0" locked="0" layoutInCell="1" allowOverlap="1" wp14:anchorId="00293FA9" wp14:editId="746CAA28">
                <wp:simplePos x="0" y="0"/>
                <wp:positionH relativeFrom="margin">
                  <wp:align>left</wp:align>
                </wp:positionH>
                <wp:positionV relativeFrom="paragraph">
                  <wp:posOffset>23315</wp:posOffset>
                </wp:positionV>
                <wp:extent cx="3261815" cy="13716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815" cy="1371600"/>
                        </a:xfrm>
                        <a:prstGeom prst="rect">
                          <a:avLst/>
                        </a:prstGeom>
                        <a:solidFill>
                          <a:srgbClr val="FFFFFF"/>
                        </a:solidFill>
                        <a:ln w="9525">
                          <a:solidFill>
                            <a:srgbClr val="000000"/>
                          </a:solidFill>
                          <a:miter lim="800000"/>
                          <a:headEnd/>
                          <a:tailEnd/>
                        </a:ln>
                      </wps:spPr>
                      <wps:txbx>
                        <w:txbxContent>
                          <w:p w14:paraId="036A7F34" w14:textId="77777777" w:rsidR="00A82D86" w:rsidRDefault="00A82D86" w:rsidP="00DD6A31">
                            <w:pPr>
                              <w:jc w:val="center"/>
                              <w:rPr>
                                <w:rFonts w:ascii="Century Gothic" w:hAnsi="Century Gothic"/>
                                <w:b/>
                                <w:sz w:val="20"/>
                                <w:szCs w:val="20"/>
                              </w:rPr>
                            </w:pPr>
                          </w:p>
                          <w:p w14:paraId="279EA2E7" w14:textId="77777777" w:rsidR="00A82D86" w:rsidRDefault="00A82D86"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A82D86" w:rsidRDefault="00A82D86"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A82D86" w:rsidRDefault="00A82D86"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A82D86" w:rsidRDefault="00A82D86" w:rsidP="00DD6A31">
                            <w:pPr>
                              <w:ind w:left="180"/>
                              <w:rPr>
                                <w:rFonts w:ascii="Century Gothic" w:hAnsi="Century Gothic"/>
                                <w:sz w:val="20"/>
                                <w:szCs w:val="20"/>
                              </w:rPr>
                            </w:pPr>
                          </w:p>
                          <w:p w14:paraId="7E641D80" w14:textId="77777777" w:rsidR="00A82D86" w:rsidRDefault="00A82D86" w:rsidP="00DD6A31">
                            <w:pPr>
                              <w:rPr>
                                <w:rFonts w:ascii="Century Gothic" w:hAnsi="Century Gothic"/>
                                <w:b/>
                                <w:sz w:val="18"/>
                                <w:szCs w:val="18"/>
                              </w:rPr>
                            </w:pPr>
                          </w:p>
                          <w:p w14:paraId="61CCBCA5" w14:textId="77777777" w:rsidR="00A82D86" w:rsidRDefault="00A82D86"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A82D86" w:rsidRDefault="00A82D86"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293FA9" id="_x0000_t202" coordsize="21600,21600" o:spt="202" path="m,l,21600r21600,l21600,xe">
                <v:stroke joinstyle="miter"/>
                <v:path gradientshapeok="t" o:connecttype="rect"/>
              </v:shapetype>
              <v:shape id="Text Box 2" o:spid="_x0000_s1026" type="#_x0000_t202" style="position:absolute;left:0;text-align:left;margin-left:0;margin-top:1.85pt;width:256.85pt;height:1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6CKwIAAFEEAAAOAAAAZHJzL2Uyb0RvYy54bWysVNtu2zAMfR+wfxD0vvjSJE2NOEWXLsOA&#10;7gK0+wBZlm1hsqhJSuzs60fJaRZ028swPwiiSB2R55Be3469IgdhnQRd0myWUiI0h1rqtqRfn3Zv&#10;VpQ4z3TNFGhR0qNw9Hbz+tV6MIXIoQNVC0sQRLtiMCXtvDdFkjjeiZ65GRih0dmA7ZlH07ZJbdmA&#10;6L1K8jRdJgPY2ljgwjk8vZ+cdBPxm0Zw/7lpnPBElRRz83G1ca3CmmzWrGgtM53kpzTYP2TRM6nx&#10;0TPUPfOM7K38DaqX3IKDxs849Ak0jeQi1oDVZOmLah47ZkSsBclx5kyT+3+w/NPhiyWyLmlOiWY9&#10;SvQkRk/ewkjywM5gXIFBjwbD/IjHqHKs1JkH4N8c0bDtmG7FnbUwdILVmF0WbiYXVyccF0Cq4SPU&#10;+Azbe4hAY2P7QB2SQRAdVTqelQmpcDy8ypfZKltQwtGXXV1nyzRql7Di+bqxzr8X0JOwKalF6SM8&#10;Ozw4H9JhxXNIeM2BkvVOKhUN21ZbZcmBYZvs4hcreBGmNBlKerPIFxMDf4VI4/cniF567Hcl+5Ku&#10;zkGsCLy903XsRs+kmvaYstInIgN3E4t+rMaTMBXUR6TUwtTXOIe46cD+oGTAni6p+75nVlCiPmiU&#10;5Sabz8MQRGO+uM7RsJee6tLDNEeoknpKpu3WT4OzN1a2Hb40NYKGO5SykZHkoPmU1Slv7NvI/WnG&#10;wmBc2jHq159g8xMAAP//AwBQSwMEFAAGAAgAAAAhAP7Xq4/dAAAABgEAAA8AAABkcnMvZG93bnJl&#10;di54bWxMj8FOwzAQRO9I/IO1SFxQ66SFpg3ZVAgJRG/QIri68TaJiNfBdtPw97gnuO1oRjNvi/Vo&#10;OjGQ861lhHSagCCurG65RnjfPU2WIHxQrFVnmRB+yMO6vLwoVK7tid9o2IZaxBL2uUJoQuhzKX3V&#10;kFF+anvi6B2sMypE6WqpnTrFctPJWZIspFEtx4VG9fTYUPW1PRqE5e3L8Ok389ePanHoVuEmG56/&#10;HeL11fhwDyLQGP7CcMaP6FBGpr09svaiQ4iPBIR5BiKad+n52CPM0lUGsizkf/zyFwAA//8DAFBL&#10;AQItABQABgAIAAAAIQC2gziS/gAAAOEBAAATAAAAAAAAAAAAAAAAAAAAAABbQ29udGVudF9UeXBl&#10;c10ueG1sUEsBAi0AFAAGAAgAAAAhADj9If/WAAAAlAEAAAsAAAAAAAAAAAAAAAAALwEAAF9yZWxz&#10;Ly5yZWxzUEsBAi0AFAAGAAgAAAAhABigfoIrAgAAUQQAAA4AAAAAAAAAAAAAAAAALgIAAGRycy9l&#10;Mm9Eb2MueG1sUEsBAi0AFAAGAAgAAAAhAP7Xq4/dAAAABgEAAA8AAAAAAAAAAAAAAAAAhQQAAGRy&#10;cy9kb3ducmV2LnhtbFBLBQYAAAAABAAEAPMAAACPBQAAAAA=&#10;">
                <v:textbox>
                  <w:txbxContent>
                    <w:p w14:paraId="036A7F34" w14:textId="77777777" w:rsidR="00A82D86" w:rsidRDefault="00A82D86" w:rsidP="00DD6A31">
                      <w:pPr>
                        <w:jc w:val="center"/>
                        <w:rPr>
                          <w:rFonts w:ascii="Century Gothic" w:hAnsi="Century Gothic"/>
                          <w:b/>
                          <w:sz w:val="20"/>
                          <w:szCs w:val="20"/>
                        </w:rPr>
                      </w:pPr>
                    </w:p>
                    <w:p w14:paraId="279EA2E7" w14:textId="77777777" w:rsidR="00A82D86" w:rsidRDefault="00A82D86" w:rsidP="00DD6A31">
                      <w:pPr>
                        <w:numPr>
                          <w:ilvl w:val="0"/>
                          <w:numId w:val="1"/>
                        </w:numPr>
                        <w:rPr>
                          <w:rFonts w:ascii="Century Gothic" w:hAnsi="Century Gothic"/>
                          <w:sz w:val="20"/>
                          <w:szCs w:val="20"/>
                        </w:rPr>
                      </w:pPr>
                      <w:r>
                        <w:rPr>
                          <w:rFonts w:ascii="Century Gothic" w:hAnsi="Century Gothic"/>
                          <w:sz w:val="20"/>
                          <w:szCs w:val="20"/>
                        </w:rPr>
                        <w:t>REPORTABLE: YES / NO</w:t>
                      </w:r>
                    </w:p>
                    <w:p w14:paraId="0BDC522C" w14:textId="77777777" w:rsidR="00A82D86" w:rsidRDefault="00A82D86" w:rsidP="00DD6A31">
                      <w:pPr>
                        <w:numPr>
                          <w:ilvl w:val="0"/>
                          <w:numId w:val="1"/>
                        </w:numPr>
                        <w:rPr>
                          <w:rFonts w:ascii="Century Gothic" w:hAnsi="Century Gothic"/>
                          <w:sz w:val="20"/>
                          <w:szCs w:val="20"/>
                        </w:rPr>
                      </w:pPr>
                      <w:r>
                        <w:rPr>
                          <w:rFonts w:ascii="Century Gothic" w:hAnsi="Century Gothic"/>
                          <w:sz w:val="20"/>
                          <w:szCs w:val="20"/>
                        </w:rPr>
                        <w:t>OF INTEREST TO OTHER JUDGES: YES/NO</w:t>
                      </w:r>
                    </w:p>
                    <w:p w14:paraId="1E492071" w14:textId="77777777" w:rsidR="00A82D86" w:rsidRDefault="00A82D86" w:rsidP="00DD6A31">
                      <w:pPr>
                        <w:numPr>
                          <w:ilvl w:val="0"/>
                          <w:numId w:val="1"/>
                        </w:numPr>
                        <w:rPr>
                          <w:rFonts w:ascii="Century Gothic" w:hAnsi="Century Gothic"/>
                          <w:sz w:val="20"/>
                          <w:szCs w:val="20"/>
                        </w:rPr>
                      </w:pPr>
                      <w:r>
                        <w:rPr>
                          <w:rFonts w:ascii="Century Gothic" w:hAnsi="Century Gothic"/>
                          <w:sz w:val="20"/>
                          <w:szCs w:val="20"/>
                        </w:rPr>
                        <w:t xml:space="preserve">REVISED. </w:t>
                      </w:r>
                    </w:p>
                    <w:p w14:paraId="766E3E97" w14:textId="77777777" w:rsidR="00A82D86" w:rsidRDefault="00A82D86" w:rsidP="00DD6A31">
                      <w:pPr>
                        <w:ind w:left="180"/>
                        <w:rPr>
                          <w:rFonts w:ascii="Century Gothic" w:hAnsi="Century Gothic"/>
                          <w:sz w:val="20"/>
                          <w:szCs w:val="20"/>
                        </w:rPr>
                      </w:pPr>
                    </w:p>
                    <w:p w14:paraId="7E641D80" w14:textId="77777777" w:rsidR="00A82D86" w:rsidRDefault="00A82D86" w:rsidP="00DD6A31">
                      <w:pPr>
                        <w:rPr>
                          <w:rFonts w:ascii="Century Gothic" w:hAnsi="Century Gothic"/>
                          <w:b/>
                          <w:sz w:val="18"/>
                          <w:szCs w:val="18"/>
                        </w:rPr>
                      </w:pPr>
                    </w:p>
                    <w:p w14:paraId="61CCBCA5" w14:textId="77777777" w:rsidR="00A82D86" w:rsidRDefault="00A82D86" w:rsidP="00DD6A31">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066DFD9B" w14:textId="77777777" w:rsidR="00A82D86" w:rsidRDefault="00A82D86" w:rsidP="00DD6A31">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w10:wrap anchorx="margin"/>
              </v:shape>
            </w:pict>
          </mc:Fallback>
        </mc:AlternateContent>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r>
      <w:r w:rsidR="00DD6A31">
        <w:rPr>
          <w:b/>
          <w:u w:val="none"/>
          <w:lang w:val="en-ZA"/>
        </w:rPr>
        <w:tab/>
        <w:t xml:space="preserve">                                                                                </w:t>
      </w:r>
    </w:p>
    <w:p w14:paraId="2C2B5FFE" w14:textId="77777777" w:rsidR="00DD6A31" w:rsidRDefault="00DD6A31" w:rsidP="00DB2E83">
      <w:pPr>
        <w:jc w:val="both"/>
      </w:pPr>
    </w:p>
    <w:p w14:paraId="170E63C0" w14:textId="77777777" w:rsidR="00DD6A31" w:rsidRDefault="00DD6A31" w:rsidP="00DB2E83">
      <w:pPr>
        <w:jc w:val="both"/>
      </w:pPr>
    </w:p>
    <w:p w14:paraId="1E157360" w14:textId="77777777" w:rsidR="00DD6A31" w:rsidRDefault="00DD6A31" w:rsidP="00DB2E83">
      <w:pPr>
        <w:jc w:val="both"/>
      </w:pPr>
    </w:p>
    <w:p w14:paraId="37F7ED50" w14:textId="77777777" w:rsidR="00DD6A31" w:rsidRDefault="00DD6A31" w:rsidP="00DB2E83">
      <w:pPr>
        <w:jc w:val="both"/>
      </w:pPr>
    </w:p>
    <w:p w14:paraId="3D57DBD2" w14:textId="77777777" w:rsidR="00DD6A31" w:rsidRDefault="00DD6A31" w:rsidP="00DB2E83">
      <w:pPr>
        <w:jc w:val="both"/>
      </w:pPr>
    </w:p>
    <w:p w14:paraId="6E98E53F" w14:textId="77777777" w:rsidR="00DD6A31" w:rsidRDefault="00DD6A31" w:rsidP="00DB2E83">
      <w:pPr>
        <w:jc w:val="both"/>
      </w:pPr>
    </w:p>
    <w:p w14:paraId="7A9F998B" w14:textId="77777777" w:rsidR="00DD6A31" w:rsidRDefault="00DD6A31" w:rsidP="00DB2E83">
      <w:pPr>
        <w:jc w:val="both"/>
      </w:pPr>
    </w:p>
    <w:p w14:paraId="33AF9E0B" w14:textId="77777777" w:rsidR="005F6B05" w:rsidRDefault="005F6B05" w:rsidP="00DB2E83">
      <w:pPr>
        <w:jc w:val="both"/>
        <w:rPr>
          <w:u w:val="none"/>
        </w:rPr>
      </w:pPr>
    </w:p>
    <w:p w14:paraId="57D26CD8" w14:textId="37CA4FA6" w:rsidR="00DD6A31" w:rsidRDefault="00DD6A31" w:rsidP="00DB2E83">
      <w:pPr>
        <w:jc w:val="both"/>
        <w:rPr>
          <w:u w:val="none"/>
        </w:rPr>
      </w:pPr>
      <w:r>
        <w:rPr>
          <w:u w:val="none"/>
        </w:rPr>
        <w:t>In the matter between:</w:t>
      </w:r>
    </w:p>
    <w:p w14:paraId="675E5278" w14:textId="288EA428" w:rsidR="00E868A8" w:rsidRDefault="00E868A8" w:rsidP="00DB2E83">
      <w:pPr>
        <w:jc w:val="both"/>
        <w:rPr>
          <w:u w:val="none"/>
        </w:rPr>
      </w:pPr>
    </w:p>
    <w:p w14:paraId="320FF7B7" w14:textId="77777777" w:rsidR="00387036" w:rsidRDefault="00387036" w:rsidP="00E868A8">
      <w:pPr>
        <w:jc w:val="both"/>
        <w:rPr>
          <w:b/>
          <w:u w:val="none"/>
        </w:rPr>
      </w:pPr>
    </w:p>
    <w:p w14:paraId="2990E3BA" w14:textId="15FBE7A0" w:rsidR="00885A4F" w:rsidRDefault="00885A4F" w:rsidP="00387036">
      <w:pPr>
        <w:jc w:val="both"/>
        <w:rPr>
          <w:u w:val="none"/>
        </w:rPr>
      </w:pPr>
      <w:r>
        <w:rPr>
          <w:b/>
          <w:u w:val="none"/>
        </w:rPr>
        <w:t xml:space="preserve">THABIT RAFIQ THEMBA  </w:t>
      </w:r>
      <w:r>
        <w:rPr>
          <w:b/>
          <w:u w:val="none"/>
        </w:rPr>
        <w:tab/>
      </w:r>
      <w:r>
        <w:rPr>
          <w:b/>
          <w:u w:val="none"/>
        </w:rPr>
        <w:tab/>
      </w:r>
      <w:r>
        <w:rPr>
          <w:b/>
          <w:u w:val="none"/>
        </w:rPr>
        <w:tab/>
      </w:r>
      <w:r>
        <w:rPr>
          <w:b/>
          <w:u w:val="none"/>
        </w:rPr>
        <w:tab/>
      </w:r>
      <w:r>
        <w:rPr>
          <w:b/>
          <w:u w:val="none"/>
        </w:rPr>
        <w:tab/>
      </w:r>
      <w:r>
        <w:rPr>
          <w:b/>
          <w:u w:val="none"/>
        </w:rPr>
        <w:tab/>
        <w:t xml:space="preserve">        </w:t>
      </w:r>
      <w:r w:rsidRPr="00885A4F">
        <w:rPr>
          <w:u w:val="none"/>
        </w:rPr>
        <w:t>1</w:t>
      </w:r>
      <w:r w:rsidRPr="00885A4F">
        <w:rPr>
          <w:u w:val="none"/>
          <w:vertAlign w:val="superscript"/>
        </w:rPr>
        <w:t xml:space="preserve">st </w:t>
      </w:r>
      <w:r>
        <w:rPr>
          <w:u w:val="none"/>
        </w:rPr>
        <w:t>Applicant</w:t>
      </w:r>
    </w:p>
    <w:p w14:paraId="7BF1AF27" w14:textId="77777777" w:rsidR="00885A4F" w:rsidRPr="00885A4F" w:rsidRDefault="00885A4F" w:rsidP="00387036">
      <w:pPr>
        <w:jc w:val="both"/>
        <w:rPr>
          <w:b/>
          <w:u w:val="none"/>
        </w:rPr>
      </w:pPr>
    </w:p>
    <w:p w14:paraId="19F59D5E" w14:textId="01D956B2" w:rsidR="00885A4F" w:rsidRDefault="00885A4F" w:rsidP="00387036">
      <w:pPr>
        <w:jc w:val="both"/>
        <w:rPr>
          <w:u w:val="none"/>
        </w:rPr>
      </w:pPr>
      <w:r>
        <w:rPr>
          <w:b/>
          <w:u w:val="none"/>
        </w:rPr>
        <w:t>THABIT DORIS TEBOGO</w:t>
      </w:r>
      <w:r>
        <w:rPr>
          <w:b/>
          <w:u w:val="none"/>
        </w:rPr>
        <w:tab/>
      </w:r>
      <w:r>
        <w:rPr>
          <w:b/>
          <w:u w:val="none"/>
        </w:rPr>
        <w:tab/>
      </w:r>
      <w:r>
        <w:rPr>
          <w:b/>
          <w:u w:val="none"/>
        </w:rPr>
        <w:tab/>
      </w:r>
      <w:r>
        <w:rPr>
          <w:b/>
          <w:u w:val="none"/>
        </w:rPr>
        <w:tab/>
      </w:r>
      <w:r>
        <w:rPr>
          <w:b/>
          <w:u w:val="none"/>
        </w:rPr>
        <w:tab/>
      </w:r>
      <w:r>
        <w:rPr>
          <w:b/>
          <w:u w:val="none"/>
        </w:rPr>
        <w:tab/>
      </w:r>
      <w:r>
        <w:rPr>
          <w:b/>
          <w:u w:val="none"/>
        </w:rPr>
        <w:tab/>
        <w:t xml:space="preserve">       </w:t>
      </w:r>
      <w:r w:rsidRPr="00885A4F">
        <w:rPr>
          <w:u w:val="none"/>
        </w:rPr>
        <w:t>2</w:t>
      </w:r>
      <w:r w:rsidRPr="00885A4F">
        <w:rPr>
          <w:u w:val="none"/>
          <w:vertAlign w:val="superscript"/>
        </w:rPr>
        <w:t>nd</w:t>
      </w:r>
      <w:r w:rsidRPr="00885A4F">
        <w:rPr>
          <w:u w:val="none"/>
        </w:rPr>
        <w:t xml:space="preserve"> </w:t>
      </w:r>
      <w:r>
        <w:rPr>
          <w:u w:val="none"/>
        </w:rPr>
        <w:t>Applicant</w:t>
      </w:r>
    </w:p>
    <w:p w14:paraId="09DF90F5" w14:textId="77777777" w:rsidR="00885A4F" w:rsidRDefault="00885A4F" w:rsidP="00387036">
      <w:pPr>
        <w:jc w:val="both"/>
        <w:rPr>
          <w:b/>
          <w:u w:val="none"/>
        </w:rPr>
      </w:pPr>
    </w:p>
    <w:p w14:paraId="1F1C5678" w14:textId="0AB48E4A" w:rsidR="00387036" w:rsidRDefault="00885A4F" w:rsidP="00387036">
      <w:pPr>
        <w:jc w:val="both"/>
        <w:rPr>
          <w:u w:val="none"/>
        </w:rPr>
      </w:pPr>
      <w:r>
        <w:rPr>
          <w:b/>
          <w:u w:val="none"/>
        </w:rPr>
        <w:t>THABIT KELETSO</w:t>
      </w:r>
      <w:r w:rsidR="00A73ECA">
        <w:rPr>
          <w:b/>
          <w:u w:val="none"/>
        </w:rPr>
        <w:tab/>
      </w:r>
      <w:r w:rsidR="00387036">
        <w:rPr>
          <w:u w:val="none"/>
        </w:rPr>
        <w:tab/>
      </w:r>
      <w:r w:rsidR="00387036">
        <w:rPr>
          <w:u w:val="none"/>
        </w:rPr>
        <w:tab/>
      </w:r>
      <w:r w:rsidR="00DB125C">
        <w:rPr>
          <w:u w:val="none"/>
        </w:rPr>
        <w:tab/>
      </w:r>
      <w:r w:rsidR="00DB125C">
        <w:rPr>
          <w:u w:val="none"/>
        </w:rPr>
        <w:tab/>
        <w:t xml:space="preserve"> </w:t>
      </w:r>
      <w:r>
        <w:rPr>
          <w:u w:val="none"/>
        </w:rPr>
        <w:tab/>
      </w:r>
      <w:r>
        <w:rPr>
          <w:u w:val="none"/>
        </w:rPr>
        <w:tab/>
      </w:r>
      <w:r>
        <w:rPr>
          <w:u w:val="none"/>
        </w:rPr>
        <w:tab/>
        <w:t xml:space="preserve">        </w:t>
      </w:r>
      <w:r w:rsidRPr="00885A4F">
        <w:rPr>
          <w:u w:val="none"/>
        </w:rPr>
        <w:t>3</w:t>
      </w:r>
      <w:r w:rsidRPr="00885A4F">
        <w:rPr>
          <w:u w:val="none"/>
          <w:vertAlign w:val="superscript"/>
        </w:rPr>
        <w:t>r</w:t>
      </w:r>
      <w:r w:rsidRPr="00885A4F">
        <w:rPr>
          <w:b/>
          <w:u w:val="none"/>
          <w:vertAlign w:val="superscript"/>
        </w:rPr>
        <w:t>d</w:t>
      </w:r>
      <w:r w:rsidR="00387036">
        <w:rPr>
          <w:u w:val="none"/>
        </w:rPr>
        <w:t>Applicant</w:t>
      </w:r>
    </w:p>
    <w:p w14:paraId="67DE2027" w14:textId="4F847778" w:rsidR="00387036" w:rsidRDefault="00387036" w:rsidP="00387036">
      <w:pPr>
        <w:jc w:val="both"/>
        <w:rPr>
          <w:u w:val="none"/>
        </w:rPr>
      </w:pPr>
    </w:p>
    <w:p w14:paraId="321FCF3F" w14:textId="77777777" w:rsidR="00DB125C" w:rsidRDefault="00DB125C" w:rsidP="00E868A8">
      <w:pPr>
        <w:jc w:val="both"/>
        <w:rPr>
          <w:u w:val="none"/>
        </w:rPr>
      </w:pPr>
    </w:p>
    <w:p w14:paraId="4668D064" w14:textId="2EA95B49" w:rsidR="00E868A8" w:rsidRDefault="00E868A8" w:rsidP="00E868A8">
      <w:pPr>
        <w:jc w:val="both"/>
        <w:rPr>
          <w:u w:val="none"/>
        </w:rPr>
      </w:pPr>
      <w:r>
        <w:rPr>
          <w:u w:val="none"/>
        </w:rPr>
        <w:t>And</w:t>
      </w:r>
    </w:p>
    <w:p w14:paraId="3E0F5E60" w14:textId="77777777" w:rsidR="00E868A8" w:rsidRDefault="00E868A8" w:rsidP="00E868A8">
      <w:pPr>
        <w:jc w:val="both"/>
        <w:rPr>
          <w:u w:val="none"/>
        </w:rPr>
      </w:pPr>
    </w:p>
    <w:p w14:paraId="6EA45EBE" w14:textId="77777777" w:rsidR="00E868A8" w:rsidRDefault="00E868A8" w:rsidP="00E868A8">
      <w:pPr>
        <w:jc w:val="both"/>
        <w:rPr>
          <w:u w:val="none"/>
        </w:rPr>
      </w:pPr>
    </w:p>
    <w:p w14:paraId="32D37F02" w14:textId="663F7ABC" w:rsidR="00E868A8" w:rsidRDefault="00885A4F" w:rsidP="00E868A8">
      <w:pPr>
        <w:jc w:val="both"/>
        <w:rPr>
          <w:u w:val="none"/>
        </w:rPr>
      </w:pPr>
      <w:r>
        <w:rPr>
          <w:b/>
          <w:u w:val="none"/>
        </w:rPr>
        <w:t>MULAUDZI KHAKHU LUCIE</w:t>
      </w:r>
      <w:r w:rsidR="00783651">
        <w:rPr>
          <w:b/>
          <w:u w:val="none"/>
        </w:rPr>
        <w:tab/>
      </w:r>
      <w:r w:rsidR="00331ED1">
        <w:rPr>
          <w:b/>
          <w:u w:val="none"/>
        </w:rPr>
        <w:tab/>
      </w:r>
      <w:r w:rsidR="00331ED1">
        <w:rPr>
          <w:b/>
          <w:u w:val="none"/>
        </w:rPr>
        <w:tab/>
      </w:r>
      <w:r w:rsidR="00E868A8">
        <w:rPr>
          <w:b/>
          <w:u w:val="none"/>
        </w:rPr>
        <w:tab/>
      </w:r>
      <w:r w:rsidR="00E868A8">
        <w:rPr>
          <w:b/>
          <w:u w:val="none"/>
        </w:rPr>
        <w:tab/>
        <w:t xml:space="preserve">   </w:t>
      </w:r>
      <w:r w:rsidR="00E868A8">
        <w:rPr>
          <w:u w:val="none"/>
        </w:rPr>
        <w:t xml:space="preserve"> </w:t>
      </w:r>
      <w:r w:rsidR="00DB125C">
        <w:rPr>
          <w:u w:val="none"/>
        </w:rPr>
        <w:t xml:space="preserve">  </w:t>
      </w:r>
      <w:r>
        <w:rPr>
          <w:u w:val="none"/>
        </w:rPr>
        <w:tab/>
        <w:t xml:space="preserve">  1</w:t>
      </w:r>
      <w:r w:rsidRPr="00885A4F">
        <w:rPr>
          <w:u w:val="none"/>
          <w:vertAlign w:val="superscript"/>
        </w:rPr>
        <w:t>ST</w:t>
      </w:r>
      <w:r>
        <w:rPr>
          <w:u w:val="none"/>
        </w:rPr>
        <w:t xml:space="preserve"> </w:t>
      </w:r>
      <w:r w:rsidR="00E868A8">
        <w:rPr>
          <w:u w:val="none"/>
        </w:rPr>
        <w:t>Respondent</w:t>
      </w:r>
    </w:p>
    <w:p w14:paraId="07CA779D" w14:textId="7D5B6F5D" w:rsidR="00885A4F" w:rsidRDefault="00885A4F" w:rsidP="00E868A8">
      <w:pPr>
        <w:jc w:val="both"/>
        <w:rPr>
          <w:u w:val="none"/>
        </w:rPr>
      </w:pPr>
    </w:p>
    <w:p w14:paraId="32217FBC" w14:textId="5D437A67" w:rsidR="00885A4F" w:rsidRDefault="00885A4F" w:rsidP="00885A4F">
      <w:pPr>
        <w:jc w:val="both"/>
        <w:rPr>
          <w:u w:val="none"/>
        </w:rPr>
      </w:pPr>
      <w:r w:rsidRPr="00885A4F">
        <w:rPr>
          <w:b/>
          <w:u w:val="none"/>
        </w:rPr>
        <w:t>DICHABE ITUMELENG GIFT</w:t>
      </w:r>
      <w:r>
        <w:rPr>
          <w:u w:val="none"/>
        </w:rPr>
        <w:tab/>
      </w:r>
      <w:r>
        <w:rPr>
          <w:u w:val="none"/>
        </w:rPr>
        <w:tab/>
      </w:r>
      <w:r>
        <w:rPr>
          <w:u w:val="none"/>
        </w:rPr>
        <w:tab/>
      </w:r>
      <w:r>
        <w:rPr>
          <w:u w:val="none"/>
        </w:rPr>
        <w:tab/>
      </w:r>
      <w:r>
        <w:rPr>
          <w:u w:val="none"/>
        </w:rPr>
        <w:tab/>
      </w:r>
      <w:r>
        <w:rPr>
          <w:u w:val="none"/>
        </w:rPr>
        <w:tab/>
        <w:t xml:space="preserve"> 2</w:t>
      </w:r>
      <w:r w:rsidRPr="00885A4F">
        <w:rPr>
          <w:u w:val="none"/>
          <w:vertAlign w:val="superscript"/>
        </w:rPr>
        <w:t>ND</w:t>
      </w:r>
      <w:r>
        <w:rPr>
          <w:u w:val="none"/>
        </w:rPr>
        <w:t xml:space="preserve"> Respondent</w:t>
      </w:r>
    </w:p>
    <w:p w14:paraId="37CC3EDE" w14:textId="2FA6EEBC" w:rsidR="00885A4F" w:rsidRDefault="00885A4F" w:rsidP="00E868A8">
      <w:pPr>
        <w:jc w:val="both"/>
        <w:rPr>
          <w:u w:val="none"/>
        </w:rPr>
      </w:pPr>
    </w:p>
    <w:p w14:paraId="0CF80A05" w14:textId="396B6B46" w:rsidR="00885A4F" w:rsidRDefault="00885A4F" w:rsidP="00885A4F">
      <w:pPr>
        <w:jc w:val="both"/>
        <w:rPr>
          <w:u w:val="none"/>
        </w:rPr>
      </w:pPr>
      <w:r w:rsidRPr="00885A4F">
        <w:rPr>
          <w:b/>
          <w:u w:val="none"/>
        </w:rPr>
        <w:t>ABSA BANK LTD</w:t>
      </w: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 3</w:t>
      </w:r>
      <w:r w:rsidRPr="00885A4F">
        <w:rPr>
          <w:u w:val="none"/>
          <w:vertAlign w:val="superscript"/>
        </w:rPr>
        <w:t>RD</w:t>
      </w:r>
      <w:r>
        <w:rPr>
          <w:u w:val="none"/>
        </w:rPr>
        <w:t xml:space="preserve"> Respondent</w:t>
      </w:r>
    </w:p>
    <w:p w14:paraId="2D4C2E89" w14:textId="6515B61B" w:rsidR="00885A4F" w:rsidRDefault="00885A4F" w:rsidP="00E868A8">
      <w:pPr>
        <w:jc w:val="both"/>
        <w:rPr>
          <w:u w:val="none"/>
        </w:rPr>
      </w:pPr>
    </w:p>
    <w:p w14:paraId="31F03DBE" w14:textId="5C7FAA0F" w:rsidR="00885A4F" w:rsidRDefault="00885A4F" w:rsidP="00885A4F">
      <w:pPr>
        <w:jc w:val="both"/>
        <w:rPr>
          <w:u w:val="none"/>
        </w:rPr>
      </w:pPr>
      <w:r w:rsidRPr="00885A4F">
        <w:rPr>
          <w:b/>
          <w:u w:val="none"/>
        </w:rPr>
        <w:t>REGISTRAR OF DEED</w:t>
      </w:r>
      <w:r w:rsidR="00D24BB1">
        <w:rPr>
          <w:b/>
          <w:u w:val="none"/>
        </w:rPr>
        <w:t>S JOHANNESBURG</w:t>
      </w:r>
      <w:r>
        <w:rPr>
          <w:u w:val="none"/>
        </w:rPr>
        <w:tab/>
      </w:r>
      <w:r>
        <w:rPr>
          <w:u w:val="none"/>
        </w:rPr>
        <w:tab/>
      </w:r>
      <w:r>
        <w:rPr>
          <w:u w:val="none"/>
        </w:rPr>
        <w:tab/>
      </w:r>
      <w:r>
        <w:rPr>
          <w:u w:val="none"/>
        </w:rPr>
        <w:tab/>
        <w:t xml:space="preserve"> 4</w:t>
      </w:r>
      <w:r w:rsidRPr="00885A4F">
        <w:rPr>
          <w:u w:val="none"/>
          <w:vertAlign w:val="superscript"/>
        </w:rPr>
        <w:t>TH</w:t>
      </w:r>
      <w:r>
        <w:rPr>
          <w:u w:val="none"/>
        </w:rPr>
        <w:t xml:space="preserve"> Respondent</w:t>
      </w:r>
    </w:p>
    <w:p w14:paraId="0C4023D1" w14:textId="39F9B46A" w:rsidR="00DD6A31" w:rsidRPr="00103D83" w:rsidRDefault="00DD6A31" w:rsidP="00DB2E83">
      <w:pPr>
        <w:jc w:val="both"/>
        <w:rPr>
          <w:b/>
          <w:u w:val="none"/>
        </w:rPr>
      </w:pPr>
      <w:r>
        <w:rPr>
          <w:b/>
          <w:u w:val="none"/>
        </w:rPr>
        <w:t>_____________________________________________</w:t>
      </w:r>
      <w:r w:rsidR="00FB3E02">
        <w:rPr>
          <w:b/>
          <w:u w:val="none"/>
        </w:rPr>
        <w:t>___</w:t>
      </w:r>
      <w:r>
        <w:rPr>
          <w:b/>
          <w:u w:val="none"/>
        </w:rPr>
        <w:t>__________</w:t>
      </w:r>
      <w:r w:rsidR="00DB125C">
        <w:rPr>
          <w:b/>
          <w:u w:val="none"/>
        </w:rPr>
        <w:t>_</w:t>
      </w:r>
      <w:r>
        <w:rPr>
          <w:b/>
          <w:u w:val="none"/>
        </w:rPr>
        <w:t>__</w:t>
      </w:r>
      <w:r w:rsidR="00427E21">
        <w:rPr>
          <w:b/>
          <w:u w:val="none"/>
        </w:rPr>
        <w:t>______</w:t>
      </w:r>
      <w:r>
        <w:rPr>
          <w:b/>
          <w:u w:val="none"/>
          <w:lang w:val="en-ZA"/>
        </w:rPr>
        <w:t xml:space="preserve"> </w:t>
      </w:r>
    </w:p>
    <w:p w14:paraId="13AAD103" w14:textId="77777777" w:rsidR="00DD6A31" w:rsidRDefault="00DD6A31" w:rsidP="00DB2E83">
      <w:pPr>
        <w:tabs>
          <w:tab w:val="right" w:pos="8280"/>
        </w:tabs>
        <w:jc w:val="both"/>
        <w:rPr>
          <w:b/>
          <w:u w:val="none"/>
          <w:lang w:val="en-ZA"/>
        </w:rPr>
      </w:pPr>
    </w:p>
    <w:p w14:paraId="1B210987" w14:textId="77777777" w:rsidR="00DD6A31" w:rsidRDefault="00896E6D" w:rsidP="00EC1AB5">
      <w:pPr>
        <w:pBdr>
          <w:bottom w:val="single" w:sz="12" w:space="1" w:color="auto"/>
        </w:pBdr>
        <w:tabs>
          <w:tab w:val="right" w:pos="8280"/>
        </w:tabs>
        <w:jc w:val="center"/>
        <w:rPr>
          <w:b/>
          <w:u w:val="none"/>
          <w:lang w:val="en-ZA"/>
        </w:rPr>
      </w:pPr>
      <w:r>
        <w:rPr>
          <w:b/>
          <w:u w:val="none"/>
          <w:lang w:val="en-ZA"/>
        </w:rPr>
        <w:t>JUDGMENT</w:t>
      </w:r>
    </w:p>
    <w:p w14:paraId="5D7744AD" w14:textId="77777777" w:rsidR="00DD6A31" w:rsidRDefault="00DD6A31" w:rsidP="00DB2E83">
      <w:pPr>
        <w:pBdr>
          <w:bottom w:val="single" w:sz="12" w:space="1" w:color="auto"/>
        </w:pBdr>
        <w:tabs>
          <w:tab w:val="right" w:pos="8280"/>
        </w:tabs>
        <w:jc w:val="both"/>
        <w:rPr>
          <w:b/>
          <w:u w:val="none"/>
          <w:lang w:val="en-ZA"/>
        </w:rPr>
      </w:pPr>
    </w:p>
    <w:p w14:paraId="67ACEA42" w14:textId="4508B141" w:rsidR="00896E6D" w:rsidRDefault="00DD6A31" w:rsidP="00896E6D">
      <w:pPr>
        <w:tabs>
          <w:tab w:val="right" w:pos="0"/>
        </w:tabs>
        <w:spacing w:line="480" w:lineRule="auto"/>
        <w:jc w:val="both"/>
        <w:rPr>
          <w:b/>
          <w:u w:val="none"/>
          <w:lang w:val="en-ZA"/>
        </w:rPr>
      </w:pPr>
      <w:r>
        <w:rPr>
          <w:b/>
          <w:lang w:val="en-ZA"/>
        </w:rPr>
        <w:t>MAKUME, J</w:t>
      </w:r>
      <w:r>
        <w:rPr>
          <w:b/>
          <w:u w:val="none"/>
          <w:lang w:val="en-ZA"/>
        </w:rPr>
        <w:t>:</w:t>
      </w:r>
    </w:p>
    <w:p w14:paraId="7984EB58" w14:textId="58FED128" w:rsidR="005F6B05" w:rsidRDefault="007E4442" w:rsidP="00896E6D">
      <w:pPr>
        <w:tabs>
          <w:tab w:val="right" w:pos="0"/>
        </w:tabs>
        <w:spacing w:line="480" w:lineRule="auto"/>
        <w:jc w:val="both"/>
        <w:rPr>
          <w:b/>
          <w:lang w:val="en-ZA"/>
        </w:rPr>
      </w:pPr>
      <w:r w:rsidRPr="007E4442">
        <w:rPr>
          <w:b/>
          <w:lang w:val="en-ZA"/>
        </w:rPr>
        <w:lastRenderedPageBreak/>
        <w:t>INTRODUCTION</w:t>
      </w:r>
    </w:p>
    <w:p w14:paraId="41ED5388" w14:textId="7220D166" w:rsidR="00AD0F87" w:rsidRDefault="00896E6D" w:rsidP="00681506">
      <w:pPr>
        <w:tabs>
          <w:tab w:val="right" w:pos="0"/>
        </w:tabs>
        <w:spacing w:line="480" w:lineRule="auto"/>
        <w:ind w:left="720" w:hanging="720"/>
        <w:jc w:val="both"/>
        <w:rPr>
          <w:u w:val="none"/>
          <w:lang w:val="en-ZA"/>
        </w:rPr>
      </w:pPr>
      <w:r>
        <w:rPr>
          <w:u w:val="none"/>
          <w:lang w:val="en-ZA"/>
        </w:rPr>
        <w:t>[</w:t>
      </w:r>
      <w:r w:rsidR="00DD6A31">
        <w:rPr>
          <w:u w:val="none"/>
          <w:lang w:val="en-ZA"/>
        </w:rPr>
        <w:t>1]</w:t>
      </w:r>
      <w:r w:rsidR="00FB3E02">
        <w:rPr>
          <w:u w:val="none"/>
          <w:lang w:val="en-ZA"/>
        </w:rPr>
        <w:tab/>
        <w:t xml:space="preserve">In this matter the Applicants seek an order declaring the agreement concluded between the first Respondent as (Seller) and the second Respondent (as Purchaser) in respect of the immovable property described as Erf 1262 </w:t>
      </w:r>
      <w:r w:rsidR="00D24BB1">
        <w:rPr>
          <w:u w:val="none"/>
          <w:lang w:val="en-ZA"/>
        </w:rPr>
        <w:t xml:space="preserve">Seriri </w:t>
      </w:r>
      <w:r w:rsidR="00FB3E02">
        <w:rPr>
          <w:u w:val="none"/>
          <w:lang w:val="en-ZA"/>
        </w:rPr>
        <w:t>Mofolo Central, Soweto, Johannesburg unlawful, inv</w:t>
      </w:r>
      <w:r w:rsidR="00681506">
        <w:rPr>
          <w:u w:val="none"/>
          <w:lang w:val="en-ZA"/>
        </w:rPr>
        <w:t>alid and of no force and effect (Case No.: 30518/2020 (the Declaratory Applicat</w:t>
      </w:r>
      <w:r w:rsidR="00D24BB1">
        <w:rPr>
          <w:u w:val="none"/>
          <w:lang w:val="en-ZA"/>
        </w:rPr>
        <w:t>ion</w:t>
      </w:r>
      <w:r w:rsidR="00681506">
        <w:rPr>
          <w:u w:val="none"/>
          <w:lang w:val="en-ZA"/>
        </w:rPr>
        <w:t>)</w:t>
      </w:r>
      <w:r w:rsidR="00A87158">
        <w:rPr>
          <w:u w:val="none"/>
          <w:lang w:val="en-ZA"/>
        </w:rPr>
        <w:t>.</w:t>
      </w:r>
    </w:p>
    <w:p w14:paraId="7E037C5C" w14:textId="77777777" w:rsidR="00A87158" w:rsidRDefault="00A87158" w:rsidP="00681506">
      <w:pPr>
        <w:tabs>
          <w:tab w:val="right" w:pos="0"/>
        </w:tabs>
        <w:spacing w:line="480" w:lineRule="auto"/>
        <w:ind w:left="720" w:hanging="720"/>
        <w:jc w:val="both"/>
        <w:rPr>
          <w:u w:val="none"/>
          <w:lang w:val="en-ZA"/>
        </w:rPr>
      </w:pPr>
    </w:p>
    <w:p w14:paraId="671A95C9" w14:textId="6DA47DF4" w:rsidR="001400B1" w:rsidRDefault="00DD6A31" w:rsidP="00EE6AE5">
      <w:pPr>
        <w:spacing w:line="360" w:lineRule="auto"/>
        <w:ind w:left="720" w:hanging="720"/>
        <w:jc w:val="both"/>
        <w:rPr>
          <w:u w:val="none"/>
          <w:lang w:val="en-ZA"/>
        </w:rPr>
      </w:pPr>
      <w:r>
        <w:rPr>
          <w:u w:val="none"/>
          <w:lang w:val="en-ZA"/>
        </w:rPr>
        <w:t>[2]</w:t>
      </w:r>
      <w:r w:rsidR="00AD0F87">
        <w:rPr>
          <w:u w:val="none"/>
          <w:lang w:val="en-ZA"/>
        </w:rPr>
        <w:tab/>
      </w:r>
      <w:r w:rsidR="00D24BB1">
        <w:rPr>
          <w:u w:val="none"/>
          <w:lang w:val="en-ZA"/>
        </w:rPr>
        <w:t>In case number 345</w:t>
      </w:r>
      <w:r w:rsidR="00681506">
        <w:rPr>
          <w:u w:val="none"/>
          <w:lang w:val="en-ZA"/>
        </w:rPr>
        <w:t>21/2020 the second Respondent seeks an order evicting the Applicants from the property mentioned in paragraph 1 above.  An order was granted to hear the two matters simultaneously for obvi</w:t>
      </w:r>
      <w:r w:rsidR="00A87158">
        <w:rPr>
          <w:u w:val="none"/>
          <w:lang w:val="en-ZA"/>
        </w:rPr>
        <w:t>ous reason (the eviction application).</w:t>
      </w:r>
    </w:p>
    <w:p w14:paraId="1AEBD83C" w14:textId="77777777" w:rsidR="00A87158" w:rsidRDefault="00A87158" w:rsidP="00EE6AE5">
      <w:pPr>
        <w:spacing w:line="360" w:lineRule="auto"/>
        <w:ind w:left="720" w:hanging="720"/>
        <w:jc w:val="both"/>
        <w:rPr>
          <w:u w:val="none"/>
          <w:lang w:val="en-ZA"/>
        </w:rPr>
      </w:pPr>
    </w:p>
    <w:p w14:paraId="1C47B6DE" w14:textId="77777777" w:rsidR="00A87158" w:rsidRDefault="00DD6A31" w:rsidP="00FB3E02">
      <w:pPr>
        <w:spacing w:line="360" w:lineRule="auto"/>
        <w:ind w:left="720" w:hanging="720"/>
        <w:jc w:val="both"/>
        <w:rPr>
          <w:u w:val="none"/>
          <w:lang w:val="en-ZA"/>
        </w:rPr>
      </w:pPr>
      <w:r>
        <w:rPr>
          <w:u w:val="none"/>
          <w:lang w:val="en-ZA"/>
        </w:rPr>
        <w:t>[3]</w:t>
      </w:r>
      <w:r w:rsidR="00410C10">
        <w:rPr>
          <w:u w:val="none"/>
          <w:lang w:val="en-ZA"/>
        </w:rPr>
        <w:tab/>
      </w:r>
      <w:r w:rsidR="00A87158">
        <w:rPr>
          <w:u w:val="none"/>
          <w:lang w:val="en-ZA"/>
        </w:rPr>
        <w:t>In the declaratory application the Applicants seeks an order firstly that the transfer of the property from the first to the second Respondents which took place on the 9</w:t>
      </w:r>
      <w:r w:rsidR="00A87158" w:rsidRPr="00A87158">
        <w:rPr>
          <w:u w:val="none"/>
          <w:vertAlign w:val="superscript"/>
          <w:lang w:val="en-ZA"/>
        </w:rPr>
        <w:t>th</w:t>
      </w:r>
      <w:r w:rsidR="00A87158">
        <w:rPr>
          <w:u w:val="none"/>
          <w:lang w:val="en-ZA"/>
        </w:rPr>
        <w:t xml:space="preserve"> April 2019 be declared unlawfully invalid and of no force and effect.</w:t>
      </w:r>
    </w:p>
    <w:p w14:paraId="618C81A4" w14:textId="5F10A2F0" w:rsidR="008A27D4" w:rsidRDefault="00A87158" w:rsidP="00FB3E02">
      <w:pPr>
        <w:spacing w:line="360" w:lineRule="auto"/>
        <w:ind w:left="720" w:hanging="720"/>
        <w:jc w:val="both"/>
        <w:rPr>
          <w:u w:val="none"/>
          <w:lang w:val="en-ZA"/>
        </w:rPr>
      </w:pPr>
      <w:r>
        <w:rPr>
          <w:u w:val="none"/>
          <w:lang w:val="en-ZA"/>
        </w:rPr>
        <w:t xml:space="preserve"> </w:t>
      </w:r>
    </w:p>
    <w:p w14:paraId="1FC25908" w14:textId="5C0F685E" w:rsidR="008A4425" w:rsidRPr="00673793" w:rsidRDefault="00452E60" w:rsidP="003818B1">
      <w:pPr>
        <w:spacing w:line="360" w:lineRule="auto"/>
        <w:ind w:left="720" w:hanging="720"/>
        <w:jc w:val="both"/>
        <w:rPr>
          <w:u w:val="none"/>
          <w:lang w:val="en-ZA"/>
        </w:rPr>
      </w:pPr>
      <w:r>
        <w:rPr>
          <w:u w:val="none"/>
          <w:lang w:val="en-ZA"/>
        </w:rPr>
        <w:t>[4]</w:t>
      </w:r>
      <w:r w:rsidR="00A87158">
        <w:rPr>
          <w:u w:val="none"/>
          <w:lang w:val="en-ZA"/>
        </w:rPr>
        <w:tab/>
        <w:t xml:space="preserve">Simultaneously with the setting aside of the transfer the Applicants seek an order setting aside the registration of the mortgage bond number B7854/2020 in favour of </w:t>
      </w:r>
      <w:r w:rsidR="003818B1">
        <w:rPr>
          <w:u w:val="none"/>
          <w:lang w:val="en-ZA"/>
        </w:rPr>
        <w:t>Absa Bank the third Respondent.</w:t>
      </w:r>
      <w:r w:rsidR="00673793">
        <w:rPr>
          <w:u w:val="none"/>
          <w:lang w:val="en-ZA"/>
        </w:rPr>
        <w:t xml:space="preserve"> </w:t>
      </w:r>
    </w:p>
    <w:p w14:paraId="73283698" w14:textId="5623D821" w:rsidR="006926DF" w:rsidRDefault="006926DF" w:rsidP="009C14E0">
      <w:pPr>
        <w:spacing w:line="360" w:lineRule="auto"/>
        <w:ind w:left="720" w:hanging="720"/>
        <w:jc w:val="both"/>
        <w:rPr>
          <w:u w:val="none"/>
          <w:lang w:val="en-ZA"/>
        </w:rPr>
      </w:pPr>
    </w:p>
    <w:p w14:paraId="38275F1A" w14:textId="5FA29AF9" w:rsidR="003818B1" w:rsidRPr="003818B1" w:rsidRDefault="003818B1" w:rsidP="009C14E0">
      <w:pPr>
        <w:spacing w:line="360" w:lineRule="auto"/>
        <w:ind w:left="720" w:hanging="720"/>
        <w:jc w:val="both"/>
        <w:rPr>
          <w:lang w:val="en-ZA"/>
        </w:rPr>
      </w:pPr>
      <w:r w:rsidRPr="003818B1">
        <w:rPr>
          <w:lang w:val="en-ZA"/>
        </w:rPr>
        <w:t>BACKGROUND FACTS</w:t>
      </w:r>
    </w:p>
    <w:p w14:paraId="7C2020A3" w14:textId="77777777" w:rsidR="003818B1" w:rsidRDefault="003818B1" w:rsidP="009C14E0">
      <w:pPr>
        <w:spacing w:line="360" w:lineRule="auto"/>
        <w:ind w:left="720" w:hanging="720"/>
        <w:jc w:val="both"/>
        <w:rPr>
          <w:u w:val="none"/>
          <w:lang w:val="en-ZA"/>
        </w:rPr>
      </w:pPr>
    </w:p>
    <w:p w14:paraId="7C1D5B79" w14:textId="30B750A1" w:rsidR="003818B1" w:rsidRDefault="0013141D" w:rsidP="004C480C">
      <w:pPr>
        <w:spacing w:line="360" w:lineRule="auto"/>
        <w:ind w:left="720" w:hanging="720"/>
        <w:jc w:val="both"/>
        <w:rPr>
          <w:u w:val="none"/>
          <w:lang w:val="en-ZA"/>
        </w:rPr>
      </w:pPr>
      <w:r>
        <w:rPr>
          <w:u w:val="none"/>
          <w:lang w:val="en-ZA"/>
        </w:rPr>
        <w:t>[5]</w:t>
      </w:r>
      <w:r w:rsidR="003818B1">
        <w:rPr>
          <w:u w:val="none"/>
          <w:lang w:val="en-ZA"/>
        </w:rPr>
        <w:tab/>
        <w:t>On the 21</w:t>
      </w:r>
      <w:r w:rsidR="003818B1" w:rsidRPr="003818B1">
        <w:rPr>
          <w:u w:val="none"/>
          <w:vertAlign w:val="superscript"/>
          <w:lang w:val="en-ZA"/>
        </w:rPr>
        <w:t>st</w:t>
      </w:r>
      <w:r w:rsidR="003818B1">
        <w:rPr>
          <w:u w:val="none"/>
          <w:lang w:val="en-ZA"/>
        </w:rPr>
        <w:t xml:space="preserve"> January 2013 the first Respondent Mulaudzi Khakhu Lucie purchased the property which is the subject of this case namely Erf 1262 Seriri Circle Mofolo Central, Soweto, Johannesburg (the property) for a purchase price of R250 000.00 (Two Hundred and Fifty Th</w:t>
      </w:r>
      <w:r w:rsidR="00D24BB1">
        <w:rPr>
          <w:u w:val="none"/>
          <w:lang w:val="en-ZA"/>
        </w:rPr>
        <w:t>ousand Rand).  A bond securing</w:t>
      </w:r>
      <w:r w:rsidR="003818B1">
        <w:rPr>
          <w:u w:val="none"/>
          <w:lang w:val="en-ZA"/>
        </w:rPr>
        <w:t xml:space="preserve"> the loan was registered over the property in favour of Standard Bank of SA being bond number B8911/2013.  The title deed issued to the first Respondent was number T12320/2013.</w:t>
      </w:r>
    </w:p>
    <w:p w14:paraId="4DA5664D" w14:textId="0719995E" w:rsidR="00410C10" w:rsidRDefault="003818B1" w:rsidP="004C480C">
      <w:pPr>
        <w:spacing w:line="360" w:lineRule="auto"/>
        <w:ind w:left="720" w:hanging="720"/>
        <w:jc w:val="both"/>
        <w:rPr>
          <w:u w:val="none"/>
          <w:lang w:val="en-ZA"/>
        </w:rPr>
      </w:pPr>
      <w:r>
        <w:rPr>
          <w:u w:val="none"/>
          <w:lang w:val="en-ZA"/>
        </w:rPr>
        <w:t xml:space="preserve">  </w:t>
      </w:r>
      <w:r w:rsidR="00DB37FE">
        <w:rPr>
          <w:u w:val="none"/>
          <w:lang w:val="en-ZA"/>
        </w:rPr>
        <w:tab/>
      </w:r>
    </w:p>
    <w:p w14:paraId="6036D53C" w14:textId="52C1D579" w:rsidR="00346118" w:rsidRDefault="00B77EBE" w:rsidP="009C14E0">
      <w:pPr>
        <w:spacing w:line="360" w:lineRule="auto"/>
        <w:ind w:left="720" w:hanging="720"/>
        <w:jc w:val="both"/>
        <w:rPr>
          <w:u w:val="none"/>
          <w:lang w:val="en-ZA"/>
        </w:rPr>
      </w:pPr>
      <w:r>
        <w:rPr>
          <w:u w:val="none"/>
          <w:lang w:val="en-ZA"/>
        </w:rPr>
        <w:lastRenderedPageBreak/>
        <w:t>[</w:t>
      </w:r>
      <w:r w:rsidR="00452E60">
        <w:rPr>
          <w:u w:val="none"/>
          <w:lang w:val="en-ZA"/>
        </w:rPr>
        <w:t>6]</w:t>
      </w:r>
      <w:r w:rsidR="00410C10">
        <w:rPr>
          <w:u w:val="none"/>
          <w:lang w:val="en-ZA"/>
        </w:rPr>
        <w:tab/>
      </w:r>
      <w:r w:rsidR="00654880">
        <w:rPr>
          <w:u w:val="none"/>
          <w:lang w:val="en-ZA"/>
        </w:rPr>
        <w:t>During or about October 2013 the first Applicant and the first Respondent concluded a written Deed of Alienation in terms of which the first Applicant purchased the property from the first Respondent for an amount of R250 000.00.</w:t>
      </w:r>
    </w:p>
    <w:p w14:paraId="712757D9" w14:textId="77777777" w:rsidR="003A24DC" w:rsidRDefault="003A24DC" w:rsidP="009C14E0">
      <w:pPr>
        <w:spacing w:line="360" w:lineRule="auto"/>
        <w:ind w:left="720" w:hanging="720"/>
        <w:jc w:val="both"/>
        <w:rPr>
          <w:u w:val="none"/>
          <w:lang w:val="en-ZA"/>
        </w:rPr>
      </w:pPr>
    </w:p>
    <w:p w14:paraId="29C01D97" w14:textId="35B1AD35" w:rsidR="00E01EBA" w:rsidRDefault="009E4FCA" w:rsidP="007E4442">
      <w:pPr>
        <w:spacing w:line="360" w:lineRule="auto"/>
        <w:ind w:left="720" w:hanging="720"/>
        <w:jc w:val="both"/>
        <w:rPr>
          <w:u w:val="none"/>
          <w:lang w:val="en-ZA"/>
        </w:rPr>
      </w:pPr>
      <w:r>
        <w:rPr>
          <w:u w:val="none"/>
          <w:lang w:val="en-ZA"/>
        </w:rPr>
        <w:t>[7]</w:t>
      </w:r>
      <w:r w:rsidR="00346118">
        <w:rPr>
          <w:u w:val="none"/>
          <w:lang w:val="en-ZA"/>
        </w:rPr>
        <w:tab/>
      </w:r>
      <w:r w:rsidR="00A050CE">
        <w:rPr>
          <w:u w:val="none"/>
          <w:lang w:val="en-ZA"/>
        </w:rPr>
        <w:t>The amount of R250 000.00 was payable in monthly instalment of R3 000.00 (Three Thousand Rand</w:t>
      </w:r>
      <w:r w:rsidR="00D24BB1">
        <w:rPr>
          <w:u w:val="none"/>
          <w:lang w:val="en-ZA"/>
        </w:rPr>
        <w:t>s) the first</w:t>
      </w:r>
      <w:r w:rsidR="00A050CE">
        <w:rPr>
          <w:u w:val="none"/>
          <w:lang w:val="en-ZA"/>
        </w:rPr>
        <w:t xml:space="preserve"> payment due on the 1</w:t>
      </w:r>
      <w:r w:rsidR="00A050CE" w:rsidRPr="00A050CE">
        <w:rPr>
          <w:u w:val="none"/>
          <w:vertAlign w:val="superscript"/>
          <w:lang w:val="en-ZA"/>
        </w:rPr>
        <w:t>st</w:t>
      </w:r>
      <w:r w:rsidR="00A050CE">
        <w:rPr>
          <w:u w:val="none"/>
          <w:lang w:val="en-ZA"/>
        </w:rPr>
        <w:t xml:space="preserve"> November 2013 from which date first Applicant would also take oc</w:t>
      </w:r>
      <w:r w:rsidR="00D24BB1">
        <w:rPr>
          <w:u w:val="none"/>
          <w:lang w:val="en-ZA"/>
        </w:rPr>
        <w:t>cupation of the property.  Clauses</w:t>
      </w:r>
      <w:r w:rsidR="00A050CE">
        <w:rPr>
          <w:u w:val="none"/>
          <w:lang w:val="en-ZA"/>
        </w:rPr>
        <w:t xml:space="preserve"> 4.3 of the Deed of Alienation specifi</w:t>
      </w:r>
      <w:r w:rsidR="00D24BB1">
        <w:rPr>
          <w:u w:val="none"/>
          <w:lang w:val="en-ZA"/>
        </w:rPr>
        <w:t>ed</w:t>
      </w:r>
      <w:r w:rsidR="00A050CE">
        <w:rPr>
          <w:u w:val="none"/>
          <w:lang w:val="en-ZA"/>
        </w:rPr>
        <w:t xml:space="preserve"> that payment of the monthly instalments be paid directly into the bond account held at Standard Bank.</w:t>
      </w:r>
    </w:p>
    <w:p w14:paraId="7AE53B27" w14:textId="77777777" w:rsidR="00E01EBA" w:rsidRDefault="00E01EBA" w:rsidP="007E4442">
      <w:pPr>
        <w:spacing w:line="360" w:lineRule="auto"/>
        <w:ind w:left="720" w:hanging="720"/>
        <w:jc w:val="both"/>
        <w:rPr>
          <w:u w:val="none"/>
          <w:lang w:val="en-ZA"/>
        </w:rPr>
      </w:pPr>
    </w:p>
    <w:p w14:paraId="1AE1FBF1" w14:textId="19D6DD64" w:rsidR="00FF0B21" w:rsidRDefault="00F3574B" w:rsidP="007E4442">
      <w:pPr>
        <w:spacing w:line="360" w:lineRule="auto"/>
        <w:ind w:left="720" w:hanging="720"/>
        <w:jc w:val="both"/>
        <w:rPr>
          <w:u w:val="none"/>
          <w:lang w:val="en-ZA"/>
        </w:rPr>
      </w:pPr>
      <w:r>
        <w:rPr>
          <w:u w:val="none"/>
          <w:lang w:val="en-ZA"/>
        </w:rPr>
        <w:t>[8]</w:t>
      </w:r>
      <w:r w:rsidR="00E0256E">
        <w:rPr>
          <w:u w:val="none"/>
          <w:lang w:val="en-ZA"/>
        </w:rPr>
        <w:tab/>
      </w:r>
      <w:r w:rsidR="00E7162D">
        <w:rPr>
          <w:u w:val="none"/>
          <w:lang w:val="en-ZA"/>
        </w:rPr>
        <w:t xml:space="preserve">The first Applicant made payments directly to the first Respondent and later also made </w:t>
      </w:r>
      <w:r w:rsidR="00FD2E96">
        <w:rPr>
          <w:u w:val="none"/>
          <w:lang w:val="en-ZA"/>
        </w:rPr>
        <w:t>payment</w:t>
      </w:r>
      <w:r w:rsidR="00D24BB1">
        <w:rPr>
          <w:u w:val="none"/>
          <w:lang w:val="en-ZA"/>
        </w:rPr>
        <w:t>s</w:t>
      </w:r>
      <w:r w:rsidR="00FD2E96">
        <w:rPr>
          <w:u w:val="none"/>
          <w:lang w:val="en-ZA"/>
        </w:rPr>
        <w:t xml:space="preserve"> to Standard bank.</w:t>
      </w:r>
    </w:p>
    <w:p w14:paraId="73B1E583" w14:textId="77777777" w:rsidR="00FF0B21" w:rsidRDefault="00FF0B21" w:rsidP="007E4442">
      <w:pPr>
        <w:spacing w:line="360" w:lineRule="auto"/>
        <w:ind w:left="720" w:hanging="720"/>
        <w:jc w:val="both"/>
        <w:rPr>
          <w:u w:val="none"/>
          <w:lang w:val="en-ZA"/>
        </w:rPr>
      </w:pPr>
    </w:p>
    <w:p w14:paraId="0E0B35A6" w14:textId="40C9D400" w:rsidR="00346118" w:rsidRPr="00346118" w:rsidRDefault="00FF0B21" w:rsidP="00FB3E02">
      <w:pPr>
        <w:spacing w:line="360" w:lineRule="auto"/>
        <w:ind w:left="720" w:hanging="720"/>
        <w:jc w:val="both"/>
        <w:rPr>
          <w:lang w:val="en-ZA"/>
        </w:rPr>
      </w:pPr>
      <w:r>
        <w:rPr>
          <w:u w:val="none"/>
          <w:lang w:val="en-ZA"/>
        </w:rPr>
        <w:t>[9]</w:t>
      </w:r>
      <w:r w:rsidR="00346118">
        <w:rPr>
          <w:u w:val="none"/>
          <w:lang w:val="en-ZA"/>
        </w:rPr>
        <w:tab/>
      </w:r>
      <w:r w:rsidR="00FD2E96">
        <w:rPr>
          <w:u w:val="none"/>
          <w:lang w:val="en-ZA"/>
        </w:rPr>
        <w:t>On the 19</w:t>
      </w:r>
      <w:r w:rsidR="00FD2E96" w:rsidRPr="00FD2E96">
        <w:rPr>
          <w:u w:val="none"/>
          <w:vertAlign w:val="superscript"/>
          <w:lang w:val="en-ZA"/>
        </w:rPr>
        <w:t>th</w:t>
      </w:r>
      <w:r w:rsidR="00FD2E96">
        <w:rPr>
          <w:u w:val="none"/>
          <w:lang w:val="en-ZA"/>
        </w:rPr>
        <w:t xml:space="preserve"> November 2019 the first Respondent accepted the second Respondent</w:t>
      </w:r>
      <w:r w:rsidR="00D24BB1">
        <w:rPr>
          <w:u w:val="none"/>
          <w:lang w:val="en-ZA"/>
        </w:rPr>
        <w:t>’s</w:t>
      </w:r>
      <w:r w:rsidR="00FD2E96">
        <w:rPr>
          <w:u w:val="none"/>
          <w:lang w:val="en-ZA"/>
        </w:rPr>
        <w:t xml:space="preserve"> offer to purch</w:t>
      </w:r>
      <w:r w:rsidR="00D24BB1">
        <w:rPr>
          <w:u w:val="none"/>
          <w:lang w:val="en-ZA"/>
        </w:rPr>
        <w:t>ase the same property from her for an amount</w:t>
      </w:r>
      <w:r w:rsidR="00FD2E96">
        <w:rPr>
          <w:u w:val="none"/>
          <w:lang w:val="en-ZA"/>
        </w:rPr>
        <w:t xml:space="preserve"> of R490 000.00.</w:t>
      </w:r>
    </w:p>
    <w:p w14:paraId="1778BDCA" w14:textId="77777777" w:rsidR="00346118" w:rsidRDefault="00346118" w:rsidP="007D3B57">
      <w:pPr>
        <w:spacing w:line="360" w:lineRule="auto"/>
        <w:ind w:left="720" w:hanging="720"/>
        <w:jc w:val="both"/>
        <w:rPr>
          <w:u w:val="none"/>
          <w:lang w:val="en-ZA"/>
        </w:rPr>
      </w:pPr>
    </w:p>
    <w:p w14:paraId="45804710" w14:textId="77777777" w:rsidR="002A081F" w:rsidRDefault="007D3B57" w:rsidP="00FB3E02">
      <w:pPr>
        <w:spacing w:line="360" w:lineRule="auto"/>
        <w:ind w:left="720" w:hanging="720"/>
        <w:jc w:val="both"/>
        <w:rPr>
          <w:u w:val="none"/>
          <w:lang w:val="en-ZA"/>
        </w:rPr>
      </w:pPr>
      <w:r>
        <w:rPr>
          <w:u w:val="none"/>
          <w:lang w:val="en-ZA"/>
        </w:rPr>
        <w:t>[10]</w:t>
      </w:r>
      <w:r w:rsidR="00AE4AF8">
        <w:rPr>
          <w:u w:val="none"/>
          <w:lang w:val="en-ZA"/>
        </w:rPr>
        <w:tab/>
      </w:r>
      <w:r w:rsidR="007837F1">
        <w:rPr>
          <w:u w:val="none"/>
          <w:lang w:val="en-ZA"/>
        </w:rPr>
        <w:t xml:space="preserve"> </w:t>
      </w:r>
      <w:r w:rsidR="00FD2E96">
        <w:rPr>
          <w:u w:val="none"/>
          <w:lang w:val="en-ZA"/>
        </w:rPr>
        <w:t>On the 9</w:t>
      </w:r>
      <w:r w:rsidR="00FD2E96" w:rsidRPr="00FD2E96">
        <w:rPr>
          <w:u w:val="none"/>
          <w:vertAlign w:val="superscript"/>
          <w:lang w:val="en-ZA"/>
        </w:rPr>
        <w:t>th</w:t>
      </w:r>
      <w:r w:rsidR="00FD2E96">
        <w:rPr>
          <w:u w:val="none"/>
          <w:lang w:val="en-ZA"/>
        </w:rPr>
        <w:t xml:space="preserve"> April 2020 despite</w:t>
      </w:r>
      <w:r w:rsidR="002A081F">
        <w:rPr>
          <w:u w:val="none"/>
          <w:lang w:val="en-ZA"/>
        </w:rPr>
        <w:t xml:space="preserve"> protest from the first Applicant the property was transferred to the second Respondent and a bond registered over it in favour of Absa Bank the third Respondent.</w:t>
      </w:r>
    </w:p>
    <w:p w14:paraId="784C728D" w14:textId="4059AC26" w:rsidR="007837F1" w:rsidRDefault="007837F1" w:rsidP="00FB3E02">
      <w:pPr>
        <w:spacing w:line="360" w:lineRule="auto"/>
        <w:ind w:left="720" w:hanging="720"/>
        <w:jc w:val="both"/>
        <w:rPr>
          <w:u w:val="none"/>
          <w:lang w:val="en-ZA"/>
        </w:rPr>
      </w:pPr>
    </w:p>
    <w:p w14:paraId="4B2E0997" w14:textId="0AF9BAAC" w:rsidR="002A081F" w:rsidRPr="002A081F" w:rsidRDefault="002A081F" w:rsidP="00FB3E02">
      <w:pPr>
        <w:spacing w:line="360" w:lineRule="auto"/>
        <w:ind w:left="720" w:hanging="720"/>
        <w:jc w:val="both"/>
        <w:rPr>
          <w:lang w:val="en-ZA"/>
        </w:rPr>
      </w:pPr>
      <w:r w:rsidRPr="002A081F">
        <w:rPr>
          <w:lang w:val="en-ZA"/>
        </w:rPr>
        <w:t>THE ISSUES FOR DETERMINATION</w:t>
      </w:r>
    </w:p>
    <w:p w14:paraId="297B140E" w14:textId="77777777" w:rsidR="002A081F" w:rsidRPr="002A081F" w:rsidRDefault="002A081F" w:rsidP="00FB3E02">
      <w:pPr>
        <w:spacing w:line="360" w:lineRule="auto"/>
        <w:ind w:left="720" w:hanging="720"/>
        <w:jc w:val="both"/>
        <w:rPr>
          <w:sz w:val="22"/>
          <w:szCs w:val="22"/>
          <w:lang w:val="en-ZA"/>
        </w:rPr>
      </w:pPr>
    </w:p>
    <w:p w14:paraId="0B6941A7" w14:textId="529BE003" w:rsidR="002E7BA5" w:rsidRDefault="00494742" w:rsidP="007E4442">
      <w:pPr>
        <w:spacing w:line="360" w:lineRule="auto"/>
        <w:ind w:left="720" w:hanging="720"/>
        <w:jc w:val="both"/>
        <w:rPr>
          <w:u w:val="none"/>
          <w:lang w:val="en-ZA"/>
        </w:rPr>
      </w:pPr>
      <w:r>
        <w:rPr>
          <w:u w:val="none"/>
          <w:lang w:val="en-ZA"/>
        </w:rPr>
        <w:t>[11</w:t>
      </w:r>
      <w:r w:rsidR="00535D73">
        <w:rPr>
          <w:u w:val="none"/>
          <w:lang w:val="en-ZA"/>
        </w:rPr>
        <w:t>]</w:t>
      </w:r>
      <w:r w:rsidR="002A081F">
        <w:rPr>
          <w:u w:val="none"/>
          <w:lang w:val="en-ZA"/>
        </w:rPr>
        <w:tab/>
        <w:t>The joint practice note filed by the parties dated the 7</w:t>
      </w:r>
      <w:r w:rsidR="002A081F" w:rsidRPr="002A081F">
        <w:rPr>
          <w:u w:val="none"/>
          <w:vertAlign w:val="superscript"/>
          <w:lang w:val="en-ZA"/>
        </w:rPr>
        <w:t>th</w:t>
      </w:r>
      <w:r w:rsidR="002A081F">
        <w:rPr>
          <w:u w:val="none"/>
          <w:lang w:val="en-ZA"/>
        </w:rPr>
        <w:t xml:space="preserve"> July 2022 succinctly set out the issues for determination </w:t>
      </w:r>
      <w:r w:rsidR="00D24BB1">
        <w:rPr>
          <w:u w:val="none"/>
          <w:lang w:val="en-ZA"/>
        </w:rPr>
        <w:t xml:space="preserve">and </w:t>
      </w:r>
      <w:r w:rsidR="002A081F">
        <w:rPr>
          <w:u w:val="none"/>
          <w:lang w:val="en-ZA"/>
        </w:rPr>
        <w:t>for completion sake I reproduce same as they are.</w:t>
      </w:r>
      <w:r w:rsidR="00AF42FF">
        <w:rPr>
          <w:u w:val="none"/>
          <w:lang w:val="en-ZA"/>
        </w:rPr>
        <w:tab/>
      </w:r>
    </w:p>
    <w:p w14:paraId="136BD610" w14:textId="77777777" w:rsidR="002A081F" w:rsidRDefault="002A081F" w:rsidP="007E4442">
      <w:pPr>
        <w:spacing w:line="360" w:lineRule="auto"/>
        <w:ind w:left="720" w:hanging="720"/>
        <w:jc w:val="both"/>
        <w:rPr>
          <w:b/>
          <w:u w:val="none"/>
          <w:lang w:val="en-ZA"/>
        </w:rPr>
      </w:pPr>
    </w:p>
    <w:p w14:paraId="637DD14C" w14:textId="7BA9472D" w:rsidR="00A420F6" w:rsidRDefault="002A081F" w:rsidP="002A081F">
      <w:pPr>
        <w:spacing w:line="360" w:lineRule="auto"/>
        <w:ind w:left="1440" w:hanging="720"/>
        <w:jc w:val="both"/>
        <w:rPr>
          <w:u w:val="none"/>
          <w:lang w:val="en-ZA"/>
        </w:rPr>
      </w:pPr>
      <w:r>
        <w:rPr>
          <w:u w:val="none"/>
          <w:lang w:val="en-ZA"/>
        </w:rPr>
        <w:t>11.1</w:t>
      </w:r>
      <w:r>
        <w:rPr>
          <w:u w:val="none"/>
          <w:lang w:val="en-ZA"/>
        </w:rPr>
        <w:tab/>
        <w:t>The first is</w:t>
      </w:r>
      <w:r w:rsidR="00D24BB1">
        <w:rPr>
          <w:u w:val="none"/>
          <w:lang w:val="en-ZA"/>
        </w:rPr>
        <w:t>sue is</w:t>
      </w:r>
      <w:r>
        <w:rPr>
          <w:u w:val="none"/>
          <w:lang w:val="en-ZA"/>
        </w:rPr>
        <w:t xml:space="preserve"> whether the first Respondent signed the first agreement and thereafter whether the</w:t>
      </w:r>
      <w:r w:rsidR="00D24BB1">
        <w:rPr>
          <w:u w:val="none"/>
          <w:lang w:val="en-ZA"/>
        </w:rPr>
        <w:t xml:space="preserve"> first Applicant has</w:t>
      </w:r>
      <w:r>
        <w:rPr>
          <w:u w:val="none"/>
          <w:lang w:val="en-ZA"/>
        </w:rPr>
        <w:t xml:space="preserve"> acquired </w:t>
      </w:r>
      <w:r w:rsidR="00D24BB1">
        <w:rPr>
          <w:u w:val="none"/>
          <w:lang w:val="en-ZA"/>
        </w:rPr>
        <w:t>a real right in the property by virtue of the first agreement which would entitle him to claim transfer of the</w:t>
      </w:r>
      <w:r>
        <w:rPr>
          <w:u w:val="none"/>
          <w:lang w:val="en-ZA"/>
        </w:rPr>
        <w:t xml:space="preserve">. </w:t>
      </w:r>
    </w:p>
    <w:p w14:paraId="369966DD" w14:textId="5DFA3987" w:rsidR="00763193" w:rsidRDefault="002A081F" w:rsidP="002A081F">
      <w:pPr>
        <w:spacing w:line="360" w:lineRule="auto"/>
        <w:ind w:left="1440" w:hanging="720"/>
        <w:jc w:val="both"/>
        <w:rPr>
          <w:u w:val="none"/>
          <w:lang w:val="en-ZA"/>
        </w:rPr>
      </w:pPr>
      <w:r>
        <w:rPr>
          <w:u w:val="none"/>
          <w:lang w:val="en-ZA"/>
        </w:rPr>
        <w:t xml:space="preserve"> </w:t>
      </w:r>
    </w:p>
    <w:p w14:paraId="532BDE56" w14:textId="77777777" w:rsidR="00A420F6" w:rsidRDefault="002A081F" w:rsidP="00A420F6">
      <w:pPr>
        <w:spacing w:line="360" w:lineRule="auto"/>
        <w:ind w:left="1440" w:hanging="720"/>
        <w:jc w:val="both"/>
        <w:rPr>
          <w:u w:val="none"/>
          <w:lang w:val="en-ZA"/>
        </w:rPr>
      </w:pPr>
      <w:r>
        <w:rPr>
          <w:u w:val="none"/>
          <w:lang w:val="en-ZA"/>
        </w:rPr>
        <w:lastRenderedPageBreak/>
        <w:t>11.2</w:t>
      </w:r>
      <w:r>
        <w:rPr>
          <w:u w:val="none"/>
          <w:lang w:val="en-ZA"/>
        </w:rPr>
        <w:tab/>
      </w:r>
      <w:r w:rsidR="009A115B">
        <w:rPr>
          <w:u w:val="none"/>
          <w:lang w:val="en-ZA"/>
        </w:rPr>
        <w:t>The second issue is whether the first Applicant</w:t>
      </w:r>
      <w:r w:rsidR="00A420F6">
        <w:rPr>
          <w:u w:val="none"/>
          <w:lang w:val="en-ZA"/>
        </w:rPr>
        <w:t xml:space="preserve"> consented to the sale of the property to the second Respondent or not</w:t>
      </w:r>
    </w:p>
    <w:p w14:paraId="21C43936" w14:textId="2662D84A" w:rsidR="002A081F" w:rsidRDefault="00A420F6" w:rsidP="00A420F6">
      <w:pPr>
        <w:spacing w:line="360" w:lineRule="auto"/>
        <w:ind w:left="1440" w:hanging="720"/>
        <w:jc w:val="both"/>
        <w:rPr>
          <w:u w:val="none"/>
          <w:lang w:val="en-ZA"/>
        </w:rPr>
      </w:pPr>
      <w:r>
        <w:rPr>
          <w:u w:val="none"/>
          <w:lang w:val="en-ZA"/>
        </w:rPr>
        <w:t>11.3</w:t>
      </w:r>
      <w:r w:rsidR="009A115B">
        <w:rPr>
          <w:u w:val="none"/>
          <w:lang w:val="en-ZA"/>
        </w:rPr>
        <w:t xml:space="preserve"> </w:t>
      </w:r>
      <w:r>
        <w:rPr>
          <w:u w:val="none"/>
          <w:lang w:val="en-ZA"/>
        </w:rPr>
        <w:tab/>
        <w:t>Thirdly the failure by the first Applicant and the first Respondent to record their agreement in the Deeds registry as required in terms of Section 20 of the Alienation of Land Act which precludes the Applicants to rely on the doc</w:t>
      </w:r>
      <w:r w:rsidR="00272DEC">
        <w:rPr>
          <w:u w:val="none"/>
          <w:lang w:val="en-ZA"/>
        </w:rPr>
        <w:t xml:space="preserve">trine </w:t>
      </w:r>
      <w:r>
        <w:rPr>
          <w:u w:val="none"/>
          <w:lang w:val="en-ZA"/>
        </w:rPr>
        <w:t>of fictional fulfilment to claim transfer.</w:t>
      </w:r>
    </w:p>
    <w:p w14:paraId="061DDAB6" w14:textId="77777777" w:rsidR="00A420F6" w:rsidRPr="002A081F" w:rsidRDefault="00A420F6" w:rsidP="00A420F6">
      <w:pPr>
        <w:spacing w:line="360" w:lineRule="auto"/>
        <w:ind w:left="1440" w:hanging="720"/>
        <w:jc w:val="both"/>
        <w:rPr>
          <w:u w:val="none"/>
          <w:lang w:val="en-ZA"/>
        </w:rPr>
      </w:pPr>
    </w:p>
    <w:p w14:paraId="53B375B9" w14:textId="27BFC4E3" w:rsidR="002A081F" w:rsidRDefault="00A420F6" w:rsidP="007E4442">
      <w:pPr>
        <w:spacing w:line="360" w:lineRule="auto"/>
        <w:ind w:left="720" w:hanging="720"/>
        <w:jc w:val="both"/>
        <w:rPr>
          <w:lang w:val="en-ZA"/>
        </w:rPr>
      </w:pPr>
      <w:r>
        <w:rPr>
          <w:lang w:val="en-ZA"/>
        </w:rPr>
        <w:t xml:space="preserve">THE FIRST APPLICANT’S CASE </w:t>
      </w:r>
    </w:p>
    <w:p w14:paraId="740A9B02" w14:textId="77777777" w:rsidR="00A420F6" w:rsidRDefault="00A420F6" w:rsidP="00192D87">
      <w:pPr>
        <w:spacing w:line="360" w:lineRule="auto"/>
        <w:ind w:left="720" w:hanging="720"/>
        <w:jc w:val="both"/>
        <w:rPr>
          <w:u w:val="none"/>
          <w:lang w:val="en-ZA"/>
        </w:rPr>
      </w:pPr>
    </w:p>
    <w:p w14:paraId="4032BCFC" w14:textId="6BE174D0" w:rsidR="00B661F0" w:rsidRPr="00192D87" w:rsidRDefault="00494742" w:rsidP="00192D87">
      <w:pPr>
        <w:spacing w:line="360" w:lineRule="auto"/>
        <w:ind w:left="720" w:hanging="720"/>
        <w:jc w:val="both"/>
        <w:rPr>
          <w:lang w:val="en-ZA"/>
        </w:rPr>
      </w:pPr>
      <w:r>
        <w:rPr>
          <w:u w:val="none"/>
          <w:lang w:val="en-ZA"/>
        </w:rPr>
        <w:t>[12</w:t>
      </w:r>
      <w:r w:rsidR="00FF42A6">
        <w:rPr>
          <w:u w:val="none"/>
          <w:lang w:val="en-ZA"/>
        </w:rPr>
        <w:t>]</w:t>
      </w:r>
      <w:r w:rsidR="00A420F6">
        <w:rPr>
          <w:u w:val="none"/>
          <w:lang w:val="en-ZA"/>
        </w:rPr>
        <w:tab/>
        <w:t xml:space="preserve">The Applicant’s case is that in and around October </w:t>
      </w:r>
      <w:r w:rsidR="003112BE">
        <w:rPr>
          <w:u w:val="none"/>
          <w:lang w:val="en-ZA"/>
        </w:rPr>
        <w:t>2013 and at the offices of Attorneys Kevin Schaafsma in Randburg the first Applicant and the first Respondent concluded a written Deed of Alienation (the agreement) in terms of which the Applicant purchased the property for an amount of R250 000.00.</w:t>
      </w:r>
      <w:r w:rsidR="00A817F2">
        <w:rPr>
          <w:u w:val="none"/>
          <w:lang w:val="en-ZA"/>
        </w:rPr>
        <w:t xml:space="preserve"> </w:t>
      </w:r>
    </w:p>
    <w:p w14:paraId="223A37F2" w14:textId="77777777" w:rsidR="00B661F0" w:rsidRDefault="00B661F0" w:rsidP="007D3B57">
      <w:pPr>
        <w:spacing w:line="360" w:lineRule="auto"/>
        <w:ind w:left="720" w:hanging="720"/>
        <w:jc w:val="both"/>
        <w:rPr>
          <w:u w:val="none"/>
          <w:lang w:val="en-ZA"/>
        </w:rPr>
      </w:pPr>
    </w:p>
    <w:p w14:paraId="249F4828" w14:textId="18E91E5F" w:rsidR="00277588" w:rsidRDefault="007D3B57" w:rsidP="002A081F">
      <w:pPr>
        <w:spacing w:line="360" w:lineRule="auto"/>
        <w:ind w:left="720" w:hanging="720"/>
        <w:jc w:val="both"/>
        <w:rPr>
          <w:u w:val="none"/>
          <w:lang w:val="en-ZA"/>
        </w:rPr>
      </w:pPr>
      <w:r>
        <w:rPr>
          <w:u w:val="none"/>
          <w:lang w:val="en-ZA"/>
        </w:rPr>
        <w:t>[</w:t>
      </w:r>
      <w:r w:rsidR="00494742">
        <w:rPr>
          <w:u w:val="none"/>
          <w:lang w:val="en-ZA"/>
        </w:rPr>
        <w:t>13</w:t>
      </w:r>
      <w:r w:rsidR="00FF42A6">
        <w:rPr>
          <w:u w:val="none"/>
          <w:lang w:val="en-ZA"/>
        </w:rPr>
        <w:t>]</w:t>
      </w:r>
      <w:r w:rsidR="00191D04">
        <w:rPr>
          <w:u w:val="none"/>
          <w:lang w:val="en-ZA"/>
        </w:rPr>
        <w:tab/>
      </w:r>
      <w:r w:rsidR="003112BE">
        <w:rPr>
          <w:u w:val="none"/>
          <w:lang w:val="en-ZA"/>
        </w:rPr>
        <w:t>The terms of the agreement were the following:</w:t>
      </w:r>
    </w:p>
    <w:p w14:paraId="423ED3F7" w14:textId="1B0F9C38" w:rsidR="003112BE" w:rsidRDefault="003112BE" w:rsidP="002A081F">
      <w:pPr>
        <w:spacing w:line="360" w:lineRule="auto"/>
        <w:ind w:left="720" w:hanging="720"/>
        <w:jc w:val="both"/>
        <w:rPr>
          <w:u w:val="none"/>
          <w:lang w:val="en-ZA"/>
        </w:rPr>
      </w:pPr>
    </w:p>
    <w:p w14:paraId="40E8D607" w14:textId="3CED4FC1" w:rsidR="003112BE" w:rsidRDefault="003112BE" w:rsidP="003112BE">
      <w:pPr>
        <w:pStyle w:val="ListParagraph"/>
        <w:numPr>
          <w:ilvl w:val="0"/>
          <w:numId w:val="24"/>
        </w:numPr>
        <w:spacing w:line="360" w:lineRule="auto"/>
        <w:jc w:val="both"/>
        <w:rPr>
          <w:u w:val="none"/>
          <w:lang w:val="en-ZA"/>
        </w:rPr>
      </w:pPr>
      <w:r>
        <w:rPr>
          <w:u w:val="none"/>
          <w:lang w:val="en-ZA"/>
        </w:rPr>
        <w:t>The full purchase price of R250 000.</w:t>
      </w:r>
      <w:r w:rsidR="000A3499">
        <w:rPr>
          <w:u w:val="none"/>
          <w:lang w:val="en-ZA"/>
        </w:rPr>
        <w:t>00 (Two Hundred Thousand Rand</w:t>
      </w:r>
      <w:r>
        <w:rPr>
          <w:u w:val="none"/>
          <w:lang w:val="en-ZA"/>
        </w:rPr>
        <w:t>)</w:t>
      </w:r>
      <w:r w:rsidR="00E75A22">
        <w:rPr>
          <w:u w:val="none"/>
          <w:lang w:val="en-ZA"/>
        </w:rPr>
        <w:t xml:space="preserve"> would be payable in </w:t>
      </w:r>
      <w:r w:rsidR="00272DEC">
        <w:rPr>
          <w:u w:val="none"/>
          <w:lang w:val="en-ZA"/>
        </w:rPr>
        <w:t xml:space="preserve">monthly </w:t>
      </w:r>
      <w:r w:rsidR="00E75A22">
        <w:rPr>
          <w:u w:val="none"/>
          <w:lang w:val="en-ZA"/>
        </w:rPr>
        <w:t>instalments of R3 000.00 with effect the 1</w:t>
      </w:r>
      <w:r w:rsidR="00E75A22" w:rsidRPr="00E75A22">
        <w:rPr>
          <w:u w:val="none"/>
          <w:vertAlign w:val="superscript"/>
          <w:lang w:val="en-ZA"/>
        </w:rPr>
        <w:t>st</w:t>
      </w:r>
      <w:r w:rsidR="00E75A22">
        <w:rPr>
          <w:u w:val="none"/>
          <w:lang w:val="en-ZA"/>
        </w:rPr>
        <w:t xml:space="preserve"> November 2013.</w:t>
      </w:r>
    </w:p>
    <w:p w14:paraId="1265A1D2" w14:textId="77777777" w:rsidR="004A45BF" w:rsidRDefault="004A45BF" w:rsidP="004A45BF">
      <w:pPr>
        <w:pStyle w:val="ListParagraph"/>
        <w:spacing w:line="360" w:lineRule="auto"/>
        <w:ind w:left="1440"/>
        <w:jc w:val="both"/>
        <w:rPr>
          <w:u w:val="none"/>
          <w:lang w:val="en-ZA"/>
        </w:rPr>
      </w:pPr>
    </w:p>
    <w:p w14:paraId="170650D0" w14:textId="7CA0D658" w:rsidR="004A45BF" w:rsidRDefault="00E75A22" w:rsidP="00E75A22">
      <w:pPr>
        <w:pStyle w:val="ListParagraph"/>
        <w:numPr>
          <w:ilvl w:val="0"/>
          <w:numId w:val="24"/>
        </w:numPr>
        <w:spacing w:line="360" w:lineRule="auto"/>
        <w:jc w:val="both"/>
        <w:rPr>
          <w:u w:val="none"/>
          <w:lang w:val="en-ZA"/>
        </w:rPr>
      </w:pPr>
      <w:r>
        <w:rPr>
          <w:u w:val="none"/>
          <w:lang w:val="en-ZA"/>
        </w:rPr>
        <w:t>The Applicant would take occupation of the property</w:t>
      </w:r>
      <w:r w:rsidR="004A45BF">
        <w:rPr>
          <w:u w:val="none"/>
          <w:lang w:val="en-ZA"/>
        </w:rPr>
        <w:t xml:space="preserve"> by the 18</w:t>
      </w:r>
      <w:r w:rsidR="004A45BF" w:rsidRPr="004A45BF">
        <w:rPr>
          <w:u w:val="none"/>
          <w:vertAlign w:val="superscript"/>
          <w:lang w:val="en-ZA"/>
        </w:rPr>
        <w:t>th</w:t>
      </w:r>
      <w:r w:rsidR="004A45BF">
        <w:rPr>
          <w:u w:val="none"/>
          <w:lang w:val="en-ZA"/>
        </w:rPr>
        <w:t xml:space="preserve"> November 2013.</w:t>
      </w:r>
    </w:p>
    <w:p w14:paraId="414BFA3C" w14:textId="77777777" w:rsidR="004A45BF" w:rsidRDefault="004A45BF" w:rsidP="004A45BF">
      <w:pPr>
        <w:pStyle w:val="ListParagraph"/>
        <w:spacing w:line="360" w:lineRule="auto"/>
        <w:ind w:left="1440"/>
        <w:jc w:val="both"/>
        <w:rPr>
          <w:u w:val="none"/>
          <w:lang w:val="en-ZA"/>
        </w:rPr>
      </w:pPr>
    </w:p>
    <w:p w14:paraId="347C2E79" w14:textId="0EE06DDD" w:rsidR="003112BE" w:rsidRDefault="004A45BF" w:rsidP="00E75A22">
      <w:pPr>
        <w:pStyle w:val="ListParagraph"/>
        <w:numPr>
          <w:ilvl w:val="0"/>
          <w:numId w:val="24"/>
        </w:numPr>
        <w:spacing w:line="360" w:lineRule="auto"/>
        <w:jc w:val="both"/>
        <w:rPr>
          <w:u w:val="none"/>
          <w:lang w:val="en-ZA"/>
        </w:rPr>
      </w:pPr>
      <w:r>
        <w:rPr>
          <w:u w:val="none"/>
          <w:lang w:val="en-ZA"/>
        </w:rPr>
        <w:t>Transfer of the property into the name of the Applicant would take place as soon as Applican</w:t>
      </w:r>
      <w:r w:rsidR="00272DEC">
        <w:rPr>
          <w:u w:val="none"/>
          <w:lang w:val="en-ZA"/>
        </w:rPr>
        <w:t>t</w:t>
      </w:r>
      <w:r>
        <w:rPr>
          <w:u w:val="none"/>
          <w:lang w:val="en-ZA"/>
        </w:rPr>
        <w:t xml:space="preserve"> shall have made</w:t>
      </w:r>
      <w:r w:rsidR="00272DEC">
        <w:rPr>
          <w:u w:val="none"/>
          <w:lang w:val="en-ZA"/>
        </w:rPr>
        <w:t xml:space="preserve"> payment of 50% of the purchase</w:t>
      </w:r>
      <w:r>
        <w:rPr>
          <w:u w:val="none"/>
          <w:lang w:val="en-ZA"/>
        </w:rPr>
        <w:t xml:space="preserve"> price.</w:t>
      </w:r>
      <w:r w:rsidR="00E75A22">
        <w:rPr>
          <w:u w:val="none"/>
          <w:lang w:val="en-ZA"/>
        </w:rPr>
        <w:t xml:space="preserve"> </w:t>
      </w:r>
    </w:p>
    <w:p w14:paraId="4B276122" w14:textId="77777777" w:rsidR="004A45BF" w:rsidRPr="00E75A22" w:rsidRDefault="004A45BF" w:rsidP="004A45BF">
      <w:pPr>
        <w:pStyle w:val="ListParagraph"/>
        <w:spacing w:line="360" w:lineRule="auto"/>
        <w:ind w:left="1440"/>
        <w:jc w:val="both"/>
        <w:rPr>
          <w:u w:val="none"/>
          <w:lang w:val="en-ZA"/>
        </w:rPr>
      </w:pPr>
    </w:p>
    <w:p w14:paraId="581240D9" w14:textId="690C7499" w:rsidR="005A2C82" w:rsidRDefault="00987F3C" w:rsidP="00F86463">
      <w:pPr>
        <w:spacing w:line="360" w:lineRule="auto"/>
        <w:ind w:left="720" w:hanging="720"/>
        <w:jc w:val="both"/>
        <w:rPr>
          <w:u w:val="none"/>
          <w:lang w:val="en-ZA"/>
        </w:rPr>
      </w:pPr>
      <w:r>
        <w:rPr>
          <w:u w:val="none"/>
          <w:lang w:val="en-ZA"/>
        </w:rPr>
        <w:t>[</w:t>
      </w:r>
      <w:r w:rsidR="00494742">
        <w:rPr>
          <w:u w:val="none"/>
          <w:lang w:val="en-ZA"/>
        </w:rPr>
        <w:t>14</w:t>
      </w:r>
      <w:r w:rsidR="00FF42A6" w:rsidRPr="00AC2568">
        <w:rPr>
          <w:u w:val="none"/>
          <w:lang w:val="en-ZA"/>
        </w:rPr>
        <w:t>]</w:t>
      </w:r>
      <w:r w:rsidR="00CE501D">
        <w:rPr>
          <w:u w:val="none"/>
          <w:lang w:val="en-ZA"/>
        </w:rPr>
        <w:tab/>
      </w:r>
      <w:r w:rsidR="007A0055">
        <w:rPr>
          <w:u w:val="none"/>
          <w:lang w:val="en-ZA"/>
        </w:rPr>
        <w:t xml:space="preserve">The Applicant says he made payments directly </w:t>
      </w:r>
      <w:r w:rsidR="00E274F0">
        <w:rPr>
          <w:u w:val="none"/>
          <w:lang w:val="en-ZA"/>
        </w:rPr>
        <w:t>to the first Respondent and some payment into the bond account of the first Respondent at Standard bank</w:t>
      </w:r>
      <w:r w:rsidR="00272DEC">
        <w:rPr>
          <w:u w:val="none"/>
          <w:lang w:val="en-ZA"/>
        </w:rPr>
        <w:t>. O</w:t>
      </w:r>
      <w:r w:rsidR="00E274F0">
        <w:rPr>
          <w:u w:val="none"/>
          <w:lang w:val="en-ZA"/>
        </w:rPr>
        <w:t>n the 8</w:t>
      </w:r>
      <w:r w:rsidR="00E274F0" w:rsidRPr="00E274F0">
        <w:rPr>
          <w:u w:val="none"/>
          <w:vertAlign w:val="superscript"/>
          <w:lang w:val="en-ZA"/>
        </w:rPr>
        <w:t>th</w:t>
      </w:r>
      <w:r w:rsidR="00E274F0">
        <w:rPr>
          <w:u w:val="none"/>
          <w:lang w:val="en-ZA"/>
        </w:rPr>
        <w:t xml:space="preserve"> December 2015</w:t>
      </w:r>
      <w:r w:rsidR="00272DEC">
        <w:rPr>
          <w:u w:val="none"/>
          <w:lang w:val="en-ZA"/>
        </w:rPr>
        <w:t xml:space="preserve"> t</w:t>
      </w:r>
      <w:r w:rsidR="00E274F0">
        <w:rPr>
          <w:u w:val="none"/>
          <w:lang w:val="en-ZA"/>
        </w:rPr>
        <w:t>he Applicant took occupation of the property.</w:t>
      </w:r>
    </w:p>
    <w:p w14:paraId="19AAD5CF" w14:textId="77777777" w:rsidR="005A2C82" w:rsidRDefault="005A2C82" w:rsidP="00F86463">
      <w:pPr>
        <w:spacing w:line="360" w:lineRule="auto"/>
        <w:ind w:left="720" w:hanging="720"/>
        <w:jc w:val="both"/>
        <w:rPr>
          <w:u w:val="none"/>
          <w:lang w:val="en-ZA"/>
        </w:rPr>
      </w:pPr>
    </w:p>
    <w:p w14:paraId="0EC02CBA" w14:textId="2E74A7E0" w:rsidR="00CE4BDC" w:rsidRPr="00F86463" w:rsidRDefault="005A2C82" w:rsidP="00F86463">
      <w:pPr>
        <w:spacing w:line="360" w:lineRule="auto"/>
        <w:ind w:left="720" w:hanging="720"/>
        <w:jc w:val="both"/>
        <w:rPr>
          <w:u w:val="none"/>
          <w:lang w:val="en-ZA"/>
        </w:rPr>
      </w:pPr>
      <w:r>
        <w:rPr>
          <w:u w:val="none"/>
          <w:lang w:val="en-ZA"/>
        </w:rPr>
        <w:t>[15]</w:t>
      </w:r>
      <w:r>
        <w:rPr>
          <w:u w:val="none"/>
          <w:lang w:val="en-ZA"/>
        </w:rPr>
        <w:tab/>
      </w:r>
      <w:r w:rsidR="001A731F">
        <w:rPr>
          <w:u w:val="none"/>
          <w:lang w:val="en-ZA"/>
        </w:rPr>
        <w:t>During or about September 2018</w:t>
      </w:r>
      <w:r w:rsidR="00DC2E73">
        <w:rPr>
          <w:u w:val="none"/>
          <w:lang w:val="en-ZA"/>
        </w:rPr>
        <w:t xml:space="preserve"> </w:t>
      </w:r>
      <w:r w:rsidR="001A731F">
        <w:rPr>
          <w:u w:val="none"/>
          <w:lang w:val="en-ZA"/>
        </w:rPr>
        <w:t xml:space="preserve">he the Applicant requested the first Respondent to transfer the property into his name since according to him he </w:t>
      </w:r>
      <w:r w:rsidR="001A731F">
        <w:rPr>
          <w:u w:val="none"/>
          <w:lang w:val="en-ZA"/>
        </w:rPr>
        <w:lastRenderedPageBreak/>
        <w:t>had by that time made payment of 50% of the purchase price.  This request did not materialise.</w:t>
      </w:r>
    </w:p>
    <w:p w14:paraId="67DB0C1D" w14:textId="0A27FFD9" w:rsidR="00B77140" w:rsidRDefault="00B77140" w:rsidP="003616C6">
      <w:pPr>
        <w:spacing w:line="360" w:lineRule="auto"/>
        <w:ind w:left="720" w:hanging="720"/>
        <w:jc w:val="both"/>
        <w:rPr>
          <w:u w:val="none"/>
          <w:lang w:val="en-ZA"/>
        </w:rPr>
      </w:pPr>
    </w:p>
    <w:p w14:paraId="4E87663C" w14:textId="5892329A" w:rsidR="00B77140" w:rsidRDefault="005A2C82" w:rsidP="003616C6">
      <w:pPr>
        <w:spacing w:line="360" w:lineRule="auto"/>
        <w:ind w:left="720" w:hanging="720"/>
        <w:jc w:val="both"/>
        <w:rPr>
          <w:u w:val="none"/>
          <w:lang w:val="en-ZA"/>
        </w:rPr>
      </w:pPr>
      <w:r>
        <w:rPr>
          <w:u w:val="none"/>
          <w:lang w:val="en-ZA"/>
        </w:rPr>
        <w:t>[16</w:t>
      </w:r>
      <w:r w:rsidR="0063028E">
        <w:rPr>
          <w:u w:val="none"/>
          <w:lang w:val="en-ZA"/>
        </w:rPr>
        <w:t>]</w:t>
      </w:r>
      <w:r w:rsidR="00F82147">
        <w:rPr>
          <w:u w:val="none"/>
          <w:lang w:val="en-ZA"/>
        </w:rPr>
        <w:tab/>
      </w:r>
      <w:r w:rsidR="00BD6BC6">
        <w:rPr>
          <w:u w:val="none"/>
          <w:lang w:val="en-ZA"/>
        </w:rPr>
        <w:t xml:space="preserve"> </w:t>
      </w:r>
      <w:r w:rsidR="00EB506D">
        <w:rPr>
          <w:u w:val="none"/>
          <w:lang w:val="en-ZA"/>
        </w:rPr>
        <w:t>The Applicant says that he continued to make payments to the first Respondent including an amount of R200 000.00 which was paid into the Trust Account for Nel Attorneys</w:t>
      </w:r>
      <w:r w:rsidR="00F7278D">
        <w:rPr>
          <w:u w:val="none"/>
          <w:lang w:val="en-ZA"/>
        </w:rPr>
        <w:t>.</w:t>
      </w:r>
    </w:p>
    <w:p w14:paraId="4764CD80" w14:textId="25C64D18" w:rsidR="00495B46" w:rsidRPr="00B77140" w:rsidRDefault="00CE4BDC" w:rsidP="00B77140">
      <w:pPr>
        <w:spacing w:line="360" w:lineRule="auto"/>
        <w:ind w:left="720" w:hanging="720"/>
        <w:jc w:val="both"/>
        <w:rPr>
          <w:sz w:val="22"/>
          <w:szCs w:val="22"/>
          <w:u w:val="none"/>
          <w:lang w:val="en-ZA"/>
        </w:rPr>
      </w:pPr>
      <w:r>
        <w:rPr>
          <w:u w:val="none"/>
          <w:lang w:val="en-ZA"/>
        </w:rPr>
        <w:tab/>
      </w:r>
    </w:p>
    <w:p w14:paraId="02F8790A" w14:textId="1DE1F6E3" w:rsidR="00BD6BC6" w:rsidRPr="00BD6BC6" w:rsidRDefault="005A2C82" w:rsidP="002A081F">
      <w:pPr>
        <w:spacing w:line="360" w:lineRule="auto"/>
        <w:ind w:left="720" w:hanging="720"/>
        <w:jc w:val="both"/>
        <w:rPr>
          <w:sz w:val="22"/>
          <w:szCs w:val="22"/>
          <w:u w:val="none"/>
          <w:lang w:val="en-ZA"/>
        </w:rPr>
      </w:pPr>
      <w:r>
        <w:rPr>
          <w:u w:val="none"/>
          <w:lang w:val="en-ZA"/>
        </w:rPr>
        <w:t>[17</w:t>
      </w:r>
      <w:r w:rsidR="0063028E">
        <w:rPr>
          <w:u w:val="none"/>
          <w:lang w:val="en-ZA"/>
        </w:rPr>
        <w:t>]</w:t>
      </w:r>
      <w:r w:rsidR="000F1F33">
        <w:rPr>
          <w:u w:val="none"/>
          <w:lang w:val="en-ZA"/>
        </w:rPr>
        <w:tab/>
      </w:r>
      <w:r w:rsidR="00BD6BC6" w:rsidRPr="00BD6BC6">
        <w:rPr>
          <w:sz w:val="22"/>
          <w:szCs w:val="22"/>
          <w:u w:val="none"/>
          <w:lang w:val="en-ZA"/>
        </w:rPr>
        <w:t xml:space="preserve"> </w:t>
      </w:r>
      <w:r w:rsidR="00F7278D">
        <w:rPr>
          <w:sz w:val="22"/>
          <w:szCs w:val="22"/>
          <w:u w:val="none"/>
          <w:lang w:val="en-ZA"/>
        </w:rPr>
        <w:t>During November 2018 and at Diepkloof Shopping Centre the Applicant and the Respondent met with an Estate Agent who told him that the first Respondent intend</w:t>
      </w:r>
      <w:r w:rsidR="00272DEC">
        <w:rPr>
          <w:sz w:val="22"/>
          <w:szCs w:val="22"/>
          <w:u w:val="none"/>
          <w:lang w:val="en-ZA"/>
        </w:rPr>
        <w:t>s</w:t>
      </w:r>
      <w:r w:rsidR="00F7278D">
        <w:rPr>
          <w:sz w:val="22"/>
          <w:szCs w:val="22"/>
          <w:u w:val="none"/>
          <w:lang w:val="en-ZA"/>
        </w:rPr>
        <w:t xml:space="preserve"> selling the property to the second Respondent.  He was offered R150 000.00 (One Hundred and Fifty Thousand Rand) which he declined to accept.</w:t>
      </w:r>
    </w:p>
    <w:p w14:paraId="6558F253" w14:textId="55D0E917" w:rsidR="00631A74" w:rsidRPr="00A41AE1" w:rsidRDefault="00631A74" w:rsidP="001F3A4A">
      <w:pPr>
        <w:spacing w:line="360" w:lineRule="auto"/>
        <w:jc w:val="both"/>
        <w:rPr>
          <w:lang w:val="en-ZA"/>
        </w:rPr>
      </w:pPr>
    </w:p>
    <w:p w14:paraId="00B31785" w14:textId="5B4D443A" w:rsidR="00961EA6" w:rsidRDefault="00A41AE1" w:rsidP="00B2069A">
      <w:pPr>
        <w:spacing w:line="360" w:lineRule="auto"/>
        <w:ind w:left="720" w:hanging="720"/>
        <w:jc w:val="both"/>
        <w:rPr>
          <w:u w:val="none"/>
          <w:lang w:val="en-ZA"/>
        </w:rPr>
      </w:pPr>
      <w:r>
        <w:rPr>
          <w:u w:val="none"/>
          <w:lang w:val="en-ZA"/>
        </w:rPr>
        <w:t>[18]</w:t>
      </w:r>
      <w:r>
        <w:rPr>
          <w:u w:val="none"/>
          <w:lang w:val="en-ZA"/>
        </w:rPr>
        <w:tab/>
      </w:r>
      <w:r w:rsidR="001F3A4A">
        <w:rPr>
          <w:u w:val="none"/>
          <w:lang w:val="en-ZA"/>
        </w:rPr>
        <w:t xml:space="preserve"> </w:t>
      </w:r>
      <w:r w:rsidR="00F7278D">
        <w:rPr>
          <w:u w:val="none"/>
          <w:lang w:val="en-ZA"/>
        </w:rPr>
        <w:t xml:space="preserve">During March 2019 he received an sms from the first Respondent that he should vacate the property as it had been sold to the second Respondent.  He consulted attorneys to intervene on his behalf but that did not help. </w:t>
      </w:r>
    </w:p>
    <w:p w14:paraId="772B73D2" w14:textId="67AA05F3" w:rsidR="00A41AE1" w:rsidRDefault="00961EA6" w:rsidP="00B2069A">
      <w:pPr>
        <w:spacing w:line="360" w:lineRule="auto"/>
        <w:ind w:left="720" w:hanging="720"/>
        <w:jc w:val="both"/>
        <w:rPr>
          <w:u w:val="none"/>
          <w:lang w:val="en-ZA"/>
        </w:rPr>
      </w:pPr>
      <w:r>
        <w:rPr>
          <w:u w:val="none"/>
          <w:lang w:val="en-ZA"/>
        </w:rPr>
        <w:t xml:space="preserve"> </w:t>
      </w:r>
    </w:p>
    <w:p w14:paraId="557DEE8A" w14:textId="15254BE6" w:rsidR="00261FA8" w:rsidRDefault="00494742" w:rsidP="00A817F2">
      <w:pPr>
        <w:spacing w:line="360" w:lineRule="auto"/>
        <w:ind w:left="720" w:hanging="720"/>
        <w:jc w:val="both"/>
        <w:rPr>
          <w:u w:val="none"/>
          <w:lang w:val="en-ZA"/>
        </w:rPr>
      </w:pPr>
      <w:r>
        <w:rPr>
          <w:u w:val="none"/>
          <w:lang w:val="en-ZA"/>
        </w:rPr>
        <w:t>[19</w:t>
      </w:r>
      <w:r w:rsidR="001C3DF4" w:rsidRPr="001C3DF4">
        <w:rPr>
          <w:u w:val="none"/>
          <w:lang w:val="en-ZA"/>
        </w:rPr>
        <w:t>]</w:t>
      </w:r>
      <w:r w:rsidR="00631A74">
        <w:rPr>
          <w:u w:val="none"/>
          <w:lang w:val="en-ZA"/>
        </w:rPr>
        <w:tab/>
      </w:r>
      <w:r w:rsidR="007F085F">
        <w:rPr>
          <w:u w:val="none"/>
          <w:lang w:val="en-ZA"/>
        </w:rPr>
        <w:t xml:space="preserve"> </w:t>
      </w:r>
      <w:r w:rsidR="00407C38">
        <w:rPr>
          <w:u w:val="none"/>
          <w:lang w:val="en-ZA"/>
        </w:rPr>
        <w:t>On the 26</w:t>
      </w:r>
      <w:r w:rsidR="00407C38" w:rsidRPr="00407C38">
        <w:rPr>
          <w:u w:val="none"/>
          <w:vertAlign w:val="superscript"/>
          <w:lang w:val="en-ZA"/>
        </w:rPr>
        <w:t>th</w:t>
      </w:r>
      <w:r w:rsidR="00407C38">
        <w:rPr>
          <w:u w:val="none"/>
          <w:lang w:val="en-ZA"/>
        </w:rPr>
        <w:t xml:space="preserve"> March 2019 the attorneys who had been instructed to attend to the transfer of the property to the second Respondent addressed a letter to him in which they informed the first Applicant that his agreement with the first Respondent had not been registered in terms of the prov</w:t>
      </w:r>
      <w:r w:rsidR="00272DEC">
        <w:rPr>
          <w:u w:val="none"/>
          <w:lang w:val="en-ZA"/>
        </w:rPr>
        <w:t>isions of Alienation of Land</w:t>
      </w:r>
      <w:r w:rsidR="00407C38">
        <w:rPr>
          <w:u w:val="none"/>
          <w:lang w:val="en-ZA"/>
        </w:rPr>
        <w:t xml:space="preserve"> Act 68 of 1981.  </w:t>
      </w:r>
    </w:p>
    <w:p w14:paraId="35887982" w14:textId="77777777" w:rsidR="00A817F2" w:rsidRPr="001C3DF4" w:rsidRDefault="00A817F2" w:rsidP="00A817F2">
      <w:pPr>
        <w:spacing w:line="360" w:lineRule="auto"/>
        <w:ind w:left="720" w:hanging="720"/>
        <w:jc w:val="both"/>
        <w:rPr>
          <w:u w:val="none"/>
          <w:lang w:val="en-ZA"/>
        </w:rPr>
      </w:pPr>
    </w:p>
    <w:p w14:paraId="2A72305D" w14:textId="5E2544BD" w:rsidR="007D3A9E" w:rsidRPr="00013964" w:rsidRDefault="00494742" w:rsidP="0003149F">
      <w:pPr>
        <w:spacing w:line="360" w:lineRule="auto"/>
        <w:ind w:left="720" w:hanging="720"/>
        <w:jc w:val="both"/>
        <w:rPr>
          <w:u w:val="none"/>
          <w:lang w:val="en-ZA"/>
        </w:rPr>
      </w:pPr>
      <w:r>
        <w:rPr>
          <w:u w:val="none"/>
          <w:lang w:val="en-ZA"/>
        </w:rPr>
        <w:t>[20</w:t>
      </w:r>
      <w:r w:rsidR="001E5892">
        <w:rPr>
          <w:u w:val="none"/>
          <w:lang w:val="en-ZA"/>
        </w:rPr>
        <w:t>]</w:t>
      </w:r>
      <w:r w:rsidR="00E42DD9">
        <w:rPr>
          <w:u w:val="none"/>
          <w:lang w:val="en-ZA"/>
        </w:rPr>
        <w:tab/>
      </w:r>
      <w:r w:rsidR="009F4289">
        <w:rPr>
          <w:u w:val="none"/>
          <w:lang w:val="en-ZA"/>
        </w:rPr>
        <w:t>The property was ultimately transferred to the second Respondent on the basis of no offer to purchase signed between the first and second Respondent on the 1</w:t>
      </w:r>
      <w:r w:rsidR="009F4289" w:rsidRPr="009F4289">
        <w:rPr>
          <w:u w:val="none"/>
          <w:vertAlign w:val="superscript"/>
          <w:lang w:val="en-ZA"/>
        </w:rPr>
        <w:t>st</w:t>
      </w:r>
      <w:r w:rsidR="009F4289">
        <w:rPr>
          <w:u w:val="none"/>
          <w:lang w:val="en-ZA"/>
        </w:rPr>
        <w:t xml:space="preserve"> November 2019.  A bond was registered over the property in favour of Absa Bank the third Respondent.</w:t>
      </w:r>
    </w:p>
    <w:p w14:paraId="0F8821C4" w14:textId="76660D40" w:rsidR="0003149F" w:rsidRDefault="0003149F" w:rsidP="0003149F">
      <w:pPr>
        <w:spacing w:line="360" w:lineRule="auto"/>
        <w:ind w:left="720" w:hanging="720"/>
        <w:jc w:val="both"/>
        <w:rPr>
          <w:u w:val="none"/>
          <w:lang w:val="en-ZA"/>
        </w:rPr>
      </w:pPr>
    </w:p>
    <w:p w14:paraId="441756F9" w14:textId="305A887C" w:rsidR="00B83CD0" w:rsidRPr="00B83CD0" w:rsidRDefault="00B83CD0" w:rsidP="0003149F">
      <w:pPr>
        <w:spacing w:line="360" w:lineRule="auto"/>
        <w:ind w:left="720" w:hanging="720"/>
        <w:jc w:val="both"/>
        <w:rPr>
          <w:lang w:val="en-ZA"/>
        </w:rPr>
      </w:pPr>
      <w:r w:rsidRPr="00B83CD0">
        <w:rPr>
          <w:lang w:val="en-ZA"/>
        </w:rPr>
        <w:t>THE FIRST RESPONDENT’S CASE</w:t>
      </w:r>
    </w:p>
    <w:p w14:paraId="1C32BAA4" w14:textId="77777777" w:rsidR="00B83CD0" w:rsidRDefault="00B83CD0" w:rsidP="0003149F">
      <w:pPr>
        <w:spacing w:line="360" w:lineRule="auto"/>
        <w:ind w:left="720" w:hanging="720"/>
        <w:jc w:val="both"/>
        <w:rPr>
          <w:u w:val="none"/>
          <w:lang w:val="en-ZA"/>
        </w:rPr>
      </w:pPr>
    </w:p>
    <w:p w14:paraId="043C77CB" w14:textId="7ECEC0AB" w:rsidR="005C7339" w:rsidRDefault="00494742" w:rsidP="007E4442">
      <w:pPr>
        <w:spacing w:line="360" w:lineRule="auto"/>
        <w:ind w:left="720" w:hanging="720"/>
        <w:jc w:val="both"/>
        <w:rPr>
          <w:u w:val="none"/>
          <w:lang w:val="en-ZA"/>
        </w:rPr>
      </w:pPr>
      <w:r>
        <w:rPr>
          <w:u w:val="none"/>
          <w:lang w:val="en-ZA"/>
        </w:rPr>
        <w:t>[21</w:t>
      </w:r>
      <w:r w:rsidR="001C3DF4">
        <w:rPr>
          <w:u w:val="none"/>
          <w:lang w:val="en-ZA"/>
        </w:rPr>
        <w:t>]</w:t>
      </w:r>
      <w:r w:rsidR="0071636A">
        <w:rPr>
          <w:u w:val="none"/>
          <w:lang w:val="en-ZA"/>
        </w:rPr>
        <w:tab/>
      </w:r>
      <w:r w:rsidR="00B83CD0">
        <w:rPr>
          <w:u w:val="none"/>
          <w:lang w:val="en-ZA"/>
        </w:rPr>
        <w:t xml:space="preserve">The first Respondent denies that she concluded the agreement with the Applicant alternatively he says that such agreement falls foul of the provisions of the Alienation of Land Act and is accordingly null and void.    </w:t>
      </w:r>
    </w:p>
    <w:p w14:paraId="57396DCF" w14:textId="513671D2" w:rsidR="00CA7657" w:rsidRDefault="00CA7657" w:rsidP="00DB2E83">
      <w:pPr>
        <w:spacing w:line="360" w:lineRule="auto"/>
        <w:jc w:val="both"/>
        <w:rPr>
          <w:u w:val="none"/>
          <w:lang w:val="en-ZA"/>
        </w:rPr>
      </w:pPr>
    </w:p>
    <w:p w14:paraId="6522F5B8" w14:textId="15F1BD2C" w:rsidR="005A2C82" w:rsidRPr="005A2C82" w:rsidRDefault="00494742" w:rsidP="00757596">
      <w:pPr>
        <w:spacing w:line="360" w:lineRule="auto"/>
        <w:ind w:left="720" w:hanging="720"/>
        <w:jc w:val="both"/>
        <w:rPr>
          <w:lang w:val="en-ZA"/>
        </w:rPr>
      </w:pPr>
      <w:r>
        <w:rPr>
          <w:u w:val="none"/>
          <w:lang w:val="en-ZA"/>
        </w:rPr>
        <w:lastRenderedPageBreak/>
        <w:t>[22</w:t>
      </w:r>
      <w:r w:rsidR="001E5892">
        <w:rPr>
          <w:u w:val="none"/>
          <w:lang w:val="en-ZA"/>
        </w:rPr>
        <w:t>]</w:t>
      </w:r>
      <w:r w:rsidR="00CA7657">
        <w:rPr>
          <w:u w:val="none"/>
          <w:lang w:val="en-ZA"/>
        </w:rPr>
        <w:tab/>
      </w:r>
      <w:r w:rsidR="00271E09">
        <w:rPr>
          <w:u w:val="none"/>
          <w:lang w:val="en-ZA"/>
        </w:rPr>
        <w:t xml:space="preserve"> </w:t>
      </w:r>
      <w:r w:rsidR="00B83CD0">
        <w:rPr>
          <w:u w:val="none"/>
          <w:lang w:val="en-ZA"/>
        </w:rPr>
        <w:t>According to the</w:t>
      </w:r>
      <w:r w:rsidR="00272DEC">
        <w:rPr>
          <w:u w:val="none"/>
          <w:lang w:val="en-ZA"/>
        </w:rPr>
        <w:t xml:space="preserve"> first</w:t>
      </w:r>
      <w:r w:rsidR="00B83CD0">
        <w:rPr>
          <w:u w:val="none"/>
          <w:lang w:val="en-ZA"/>
        </w:rPr>
        <w:t xml:space="preserve"> Respondent their agreement was that the first </w:t>
      </w:r>
      <w:r w:rsidR="00272DEC">
        <w:rPr>
          <w:u w:val="none"/>
          <w:lang w:val="en-ZA"/>
        </w:rPr>
        <w:t>Applicant</w:t>
      </w:r>
      <w:r w:rsidR="00B83CD0">
        <w:rPr>
          <w:u w:val="none"/>
          <w:lang w:val="en-ZA"/>
        </w:rPr>
        <w:t xml:space="preserve"> would assist her with evicting the illegal tenants whereafter they would then conclude an agreement of sale.</w:t>
      </w:r>
    </w:p>
    <w:p w14:paraId="58FD3102" w14:textId="77777777" w:rsidR="005A2C82" w:rsidRDefault="005A2C82" w:rsidP="00081D2A">
      <w:pPr>
        <w:spacing w:line="360" w:lineRule="auto"/>
        <w:ind w:left="720" w:hanging="720"/>
        <w:jc w:val="both"/>
        <w:rPr>
          <w:u w:val="none"/>
          <w:lang w:val="en-ZA"/>
        </w:rPr>
      </w:pPr>
    </w:p>
    <w:p w14:paraId="562B735B" w14:textId="75F301F2" w:rsidR="00D44017" w:rsidRDefault="00494742" w:rsidP="00081D2A">
      <w:pPr>
        <w:spacing w:line="360" w:lineRule="auto"/>
        <w:ind w:left="720" w:hanging="720"/>
        <w:jc w:val="both"/>
        <w:rPr>
          <w:u w:val="none"/>
          <w:lang w:val="en-ZA"/>
        </w:rPr>
      </w:pPr>
      <w:r>
        <w:rPr>
          <w:u w:val="none"/>
          <w:lang w:val="en-ZA"/>
        </w:rPr>
        <w:t>[23</w:t>
      </w:r>
      <w:r w:rsidR="001E5892">
        <w:rPr>
          <w:u w:val="none"/>
          <w:lang w:val="en-ZA"/>
        </w:rPr>
        <w:t>]</w:t>
      </w:r>
      <w:r w:rsidR="00407548">
        <w:rPr>
          <w:u w:val="none"/>
          <w:lang w:val="en-ZA"/>
        </w:rPr>
        <w:tab/>
      </w:r>
      <w:r w:rsidR="00BE1D7E">
        <w:rPr>
          <w:u w:val="none"/>
          <w:lang w:val="en-ZA"/>
        </w:rPr>
        <w:t xml:space="preserve"> </w:t>
      </w:r>
      <w:r w:rsidR="00B83CD0">
        <w:rPr>
          <w:u w:val="none"/>
          <w:lang w:val="en-ZA"/>
        </w:rPr>
        <w:t>She says that the Applicant did make payment of monies to her as well as into her Standard Bank bond account.  At a late</w:t>
      </w:r>
      <w:r w:rsidR="00272DEC">
        <w:rPr>
          <w:u w:val="none"/>
          <w:lang w:val="en-ZA"/>
        </w:rPr>
        <w:t>r</w:t>
      </w:r>
      <w:r w:rsidR="00B83CD0">
        <w:rPr>
          <w:u w:val="none"/>
          <w:lang w:val="en-ZA"/>
        </w:rPr>
        <w:t xml:space="preserve"> stage the Applicant told her that he is unable to raise a bond and is unable to purchase the property that is why she then went ahead and instructed an Estate Agent to sell the property.  </w:t>
      </w:r>
    </w:p>
    <w:p w14:paraId="5237C1E1" w14:textId="77777777" w:rsidR="00726D29" w:rsidRDefault="00726D29" w:rsidP="00081D2A">
      <w:pPr>
        <w:spacing w:line="360" w:lineRule="auto"/>
        <w:ind w:left="720" w:hanging="720"/>
        <w:jc w:val="both"/>
        <w:rPr>
          <w:u w:val="none"/>
          <w:lang w:val="en-ZA"/>
        </w:rPr>
      </w:pPr>
    </w:p>
    <w:p w14:paraId="58E65B98" w14:textId="77777777" w:rsidR="00726D29" w:rsidRPr="00726D29" w:rsidRDefault="00726D29" w:rsidP="00081D2A">
      <w:pPr>
        <w:spacing w:line="360" w:lineRule="auto"/>
        <w:ind w:left="720" w:hanging="720"/>
        <w:jc w:val="both"/>
        <w:rPr>
          <w:lang w:val="en-ZA"/>
        </w:rPr>
      </w:pPr>
      <w:r w:rsidRPr="00726D29">
        <w:rPr>
          <w:lang w:val="en-ZA"/>
        </w:rPr>
        <w:t>THE AGREEMENT</w:t>
      </w:r>
    </w:p>
    <w:p w14:paraId="20E53F03" w14:textId="449D12C8" w:rsidR="007E4442" w:rsidRDefault="00D22CA1" w:rsidP="00081D2A">
      <w:pPr>
        <w:spacing w:line="360" w:lineRule="auto"/>
        <w:ind w:left="720" w:hanging="720"/>
        <w:jc w:val="both"/>
        <w:rPr>
          <w:u w:val="none"/>
          <w:lang w:val="en-ZA"/>
        </w:rPr>
      </w:pPr>
      <w:r>
        <w:rPr>
          <w:u w:val="none"/>
          <w:lang w:val="en-ZA"/>
        </w:rPr>
        <w:t xml:space="preserve"> </w:t>
      </w:r>
    </w:p>
    <w:p w14:paraId="4DC9637E" w14:textId="02B6DCA5" w:rsidR="00CC0DC2" w:rsidRDefault="00494742" w:rsidP="00CC0DC2">
      <w:pPr>
        <w:spacing w:line="360" w:lineRule="auto"/>
        <w:ind w:left="720" w:hanging="720"/>
        <w:jc w:val="both"/>
        <w:rPr>
          <w:u w:val="none"/>
          <w:lang w:val="en-ZA"/>
        </w:rPr>
      </w:pPr>
      <w:r>
        <w:rPr>
          <w:u w:val="none"/>
          <w:lang w:val="en-ZA"/>
        </w:rPr>
        <w:t>[24</w:t>
      </w:r>
      <w:r w:rsidR="00081D2A">
        <w:rPr>
          <w:u w:val="none"/>
          <w:lang w:val="en-ZA"/>
        </w:rPr>
        <w:t>]</w:t>
      </w:r>
      <w:r w:rsidR="00BE1D7E">
        <w:rPr>
          <w:u w:val="none"/>
          <w:lang w:val="en-ZA"/>
        </w:rPr>
        <w:tab/>
      </w:r>
      <w:r w:rsidR="00726D29">
        <w:rPr>
          <w:u w:val="none"/>
          <w:lang w:val="en-ZA"/>
        </w:rPr>
        <w:t>I am satisfied that despite the first Respondent’s denial that the parties concluded the sale agreement.</w:t>
      </w:r>
    </w:p>
    <w:p w14:paraId="3C3B4988" w14:textId="77777777" w:rsidR="00726D29" w:rsidRPr="00407548" w:rsidRDefault="00726D29" w:rsidP="00CC0DC2">
      <w:pPr>
        <w:spacing w:line="360" w:lineRule="auto"/>
        <w:ind w:left="720" w:hanging="720"/>
        <w:jc w:val="both"/>
        <w:rPr>
          <w:sz w:val="22"/>
          <w:szCs w:val="22"/>
          <w:u w:val="none"/>
          <w:lang w:val="en-ZA"/>
        </w:rPr>
      </w:pPr>
    </w:p>
    <w:p w14:paraId="4E314F18" w14:textId="5AAC780E" w:rsidR="00BE1D7E" w:rsidRDefault="00494742" w:rsidP="00081D2A">
      <w:pPr>
        <w:spacing w:line="360" w:lineRule="auto"/>
        <w:ind w:left="720" w:hanging="720"/>
        <w:jc w:val="both"/>
        <w:rPr>
          <w:u w:val="none"/>
          <w:lang w:val="en-ZA"/>
        </w:rPr>
      </w:pPr>
      <w:r>
        <w:rPr>
          <w:u w:val="none"/>
          <w:lang w:val="en-ZA"/>
        </w:rPr>
        <w:t>[25</w:t>
      </w:r>
      <w:r w:rsidR="00081D2A">
        <w:rPr>
          <w:u w:val="none"/>
          <w:lang w:val="en-ZA"/>
        </w:rPr>
        <w:t>]</w:t>
      </w:r>
      <w:r w:rsidR="00726D29">
        <w:rPr>
          <w:u w:val="none"/>
          <w:lang w:val="en-ZA"/>
        </w:rPr>
        <w:tab/>
        <w:t>The issue is wh</w:t>
      </w:r>
      <w:r w:rsidR="00272DEC">
        <w:rPr>
          <w:u w:val="none"/>
          <w:lang w:val="en-ZA"/>
        </w:rPr>
        <w:t>at</w:t>
      </w:r>
      <w:r w:rsidR="00726D29">
        <w:rPr>
          <w:u w:val="none"/>
          <w:lang w:val="en-ZA"/>
        </w:rPr>
        <w:t xml:space="preserve"> effect should</w:t>
      </w:r>
      <w:r w:rsidR="00272DEC">
        <w:rPr>
          <w:u w:val="none"/>
          <w:lang w:val="en-ZA"/>
        </w:rPr>
        <w:t xml:space="preserve"> be given to that agreement</w:t>
      </w:r>
      <w:r w:rsidR="00726D29">
        <w:rPr>
          <w:u w:val="none"/>
          <w:lang w:val="en-ZA"/>
        </w:rPr>
        <w:t xml:space="preserve">.  In order to answer that question this Court has to look into whether the parties thereto complied with the provisions of the agreement read with the </w:t>
      </w:r>
      <w:r w:rsidR="004F60C9">
        <w:rPr>
          <w:u w:val="none"/>
          <w:lang w:val="en-ZA"/>
        </w:rPr>
        <w:t>Alienation</w:t>
      </w:r>
      <w:r w:rsidR="00726D29">
        <w:rPr>
          <w:u w:val="none"/>
          <w:lang w:val="en-ZA"/>
        </w:rPr>
        <w:t xml:space="preserve"> Land Act. </w:t>
      </w:r>
      <w:r w:rsidR="00BE1D7E">
        <w:rPr>
          <w:u w:val="none"/>
          <w:lang w:val="en-ZA"/>
        </w:rPr>
        <w:tab/>
        <w:t xml:space="preserve"> </w:t>
      </w:r>
    </w:p>
    <w:p w14:paraId="1D037CC8" w14:textId="77777777" w:rsidR="00BE1D7E" w:rsidRDefault="00BE1D7E" w:rsidP="00081D2A">
      <w:pPr>
        <w:spacing w:line="360" w:lineRule="auto"/>
        <w:ind w:left="720" w:hanging="720"/>
        <w:jc w:val="both"/>
        <w:rPr>
          <w:u w:val="none"/>
          <w:lang w:val="en-ZA"/>
        </w:rPr>
      </w:pPr>
    </w:p>
    <w:p w14:paraId="4B24DF46" w14:textId="384055D0" w:rsidR="00963741" w:rsidRDefault="00963741" w:rsidP="00081D2A">
      <w:pPr>
        <w:spacing w:line="360" w:lineRule="auto"/>
        <w:ind w:left="720" w:hanging="720"/>
        <w:jc w:val="both"/>
        <w:rPr>
          <w:u w:val="none"/>
          <w:lang w:val="en-ZA"/>
        </w:rPr>
      </w:pPr>
      <w:r>
        <w:rPr>
          <w:u w:val="none"/>
          <w:lang w:val="en-ZA"/>
        </w:rPr>
        <w:t>[26]</w:t>
      </w:r>
      <w:r>
        <w:rPr>
          <w:u w:val="none"/>
          <w:lang w:val="en-ZA"/>
        </w:rPr>
        <w:tab/>
      </w:r>
      <w:r w:rsidR="009E78C7">
        <w:rPr>
          <w:u w:val="none"/>
          <w:lang w:val="en-ZA"/>
        </w:rPr>
        <w:t>Clause 2,2</w:t>
      </w:r>
      <w:r w:rsidR="004F60C9">
        <w:rPr>
          <w:u w:val="none"/>
          <w:lang w:val="en-ZA"/>
        </w:rPr>
        <w:t xml:space="preserve"> of the Agreement reads that: “The seller shall within 30 (thirty) days after conclusion of this contract hand to the purchaser a certificate drawn by the</w:t>
      </w:r>
      <w:r w:rsidR="00272DEC">
        <w:rPr>
          <w:u w:val="none"/>
          <w:lang w:val="en-ZA"/>
        </w:rPr>
        <w:t xml:space="preserve"> M</w:t>
      </w:r>
      <w:r w:rsidR="004F60C9">
        <w:rPr>
          <w:u w:val="none"/>
          <w:lang w:val="en-ZA"/>
        </w:rPr>
        <w:t>ortgage indicating the monies the mortgage requires to be paid.  There is no evidence that this requirement was complied with.</w:t>
      </w:r>
    </w:p>
    <w:p w14:paraId="04ED7355" w14:textId="77777777" w:rsidR="00963741" w:rsidRDefault="00963741" w:rsidP="00081D2A">
      <w:pPr>
        <w:spacing w:line="360" w:lineRule="auto"/>
        <w:ind w:left="720" w:hanging="720"/>
        <w:jc w:val="both"/>
        <w:rPr>
          <w:u w:val="none"/>
          <w:lang w:val="en-ZA"/>
        </w:rPr>
      </w:pPr>
    </w:p>
    <w:p w14:paraId="3AA3F86C" w14:textId="1728E222" w:rsidR="00757596" w:rsidRDefault="00963741" w:rsidP="00081D2A">
      <w:pPr>
        <w:spacing w:line="360" w:lineRule="auto"/>
        <w:ind w:left="720" w:hanging="720"/>
        <w:jc w:val="both"/>
        <w:rPr>
          <w:u w:val="none"/>
          <w:lang w:val="en-ZA"/>
        </w:rPr>
      </w:pPr>
      <w:r>
        <w:rPr>
          <w:u w:val="none"/>
          <w:lang w:val="en-ZA"/>
        </w:rPr>
        <w:t>[27]</w:t>
      </w:r>
      <w:r>
        <w:rPr>
          <w:u w:val="none"/>
          <w:lang w:val="en-ZA"/>
        </w:rPr>
        <w:tab/>
      </w:r>
      <w:r w:rsidR="004F60C9">
        <w:rPr>
          <w:u w:val="none"/>
          <w:lang w:val="en-ZA"/>
        </w:rPr>
        <w:t>Clause 4.2 reads that payment of the R3 000.00 per month should be paid into the mortgage bond account of the seller at Standard Bank.  This clause was also not fully complied with in that some payments were made directly to the first Respondent.</w:t>
      </w:r>
    </w:p>
    <w:p w14:paraId="321A91BD" w14:textId="77777777" w:rsidR="004F60C9" w:rsidRDefault="004F60C9" w:rsidP="00081D2A">
      <w:pPr>
        <w:spacing w:line="360" w:lineRule="auto"/>
        <w:ind w:left="720" w:hanging="720"/>
        <w:jc w:val="both"/>
        <w:rPr>
          <w:u w:val="none"/>
          <w:lang w:val="en-ZA"/>
        </w:rPr>
      </w:pPr>
    </w:p>
    <w:p w14:paraId="60BF68DF" w14:textId="0475798D" w:rsidR="002D6899" w:rsidRDefault="00757596" w:rsidP="00081D2A">
      <w:pPr>
        <w:spacing w:line="360" w:lineRule="auto"/>
        <w:ind w:left="720" w:hanging="720"/>
        <w:jc w:val="both"/>
        <w:rPr>
          <w:u w:val="none"/>
          <w:lang w:val="en-ZA"/>
        </w:rPr>
      </w:pPr>
      <w:r>
        <w:rPr>
          <w:u w:val="none"/>
          <w:lang w:val="en-ZA"/>
        </w:rPr>
        <w:t>[28]</w:t>
      </w:r>
      <w:r w:rsidR="004F60C9">
        <w:rPr>
          <w:u w:val="none"/>
          <w:lang w:val="en-ZA"/>
        </w:rPr>
        <w:tab/>
      </w:r>
      <w:r w:rsidR="00514E76">
        <w:rPr>
          <w:u w:val="none"/>
          <w:lang w:val="en-ZA"/>
        </w:rPr>
        <w:t>It is common cause that the first Applicant and the first Respondent acknowledged that the first Agreement is subject to the provisions of the Alienation of Land Act 69 of 1981 (See</w:t>
      </w:r>
      <w:r w:rsidR="008B2F15">
        <w:rPr>
          <w:u w:val="none"/>
          <w:lang w:val="en-ZA"/>
        </w:rPr>
        <w:t>:</w:t>
      </w:r>
      <w:r w:rsidR="00514E76">
        <w:rPr>
          <w:u w:val="none"/>
          <w:lang w:val="en-ZA"/>
        </w:rPr>
        <w:t xml:space="preserve"> clause 3.1 and 3.2)</w:t>
      </w:r>
    </w:p>
    <w:p w14:paraId="6382D630" w14:textId="7D166F79" w:rsidR="00757596" w:rsidRDefault="00514E76" w:rsidP="00081D2A">
      <w:pPr>
        <w:spacing w:line="360" w:lineRule="auto"/>
        <w:ind w:left="720" w:hanging="720"/>
        <w:jc w:val="both"/>
        <w:rPr>
          <w:u w:val="none"/>
          <w:lang w:val="en-ZA"/>
        </w:rPr>
      </w:pPr>
      <w:r>
        <w:rPr>
          <w:u w:val="none"/>
          <w:lang w:val="en-ZA"/>
        </w:rPr>
        <w:t xml:space="preserve"> </w:t>
      </w:r>
    </w:p>
    <w:p w14:paraId="6E126CA7" w14:textId="5B675C3D" w:rsidR="00757596" w:rsidRDefault="00757596" w:rsidP="00081D2A">
      <w:pPr>
        <w:spacing w:line="360" w:lineRule="auto"/>
        <w:ind w:left="720" w:hanging="720"/>
        <w:jc w:val="both"/>
        <w:rPr>
          <w:u w:val="none"/>
          <w:lang w:val="en-ZA"/>
        </w:rPr>
      </w:pPr>
      <w:r>
        <w:rPr>
          <w:u w:val="none"/>
          <w:lang w:val="en-ZA"/>
        </w:rPr>
        <w:t>[29]</w:t>
      </w:r>
      <w:r w:rsidR="002D6899">
        <w:rPr>
          <w:u w:val="none"/>
          <w:lang w:val="en-ZA"/>
        </w:rPr>
        <w:tab/>
      </w:r>
      <w:r w:rsidR="001D07FC">
        <w:rPr>
          <w:u w:val="none"/>
          <w:lang w:val="en-ZA"/>
        </w:rPr>
        <w:t>Clause 4.4 of that agreement provided that Applicant would be entitled to take transfer of the property once</w:t>
      </w:r>
      <w:r w:rsidR="00272DEC">
        <w:rPr>
          <w:u w:val="none"/>
          <w:lang w:val="en-ZA"/>
        </w:rPr>
        <w:t xml:space="preserve"> 50% of the purchase price, shall</w:t>
      </w:r>
      <w:r w:rsidR="001D07FC">
        <w:rPr>
          <w:u w:val="none"/>
          <w:lang w:val="en-ZA"/>
        </w:rPr>
        <w:t xml:space="preserve"> have been paid </w:t>
      </w:r>
      <w:r w:rsidR="001D07FC">
        <w:rPr>
          <w:u w:val="none"/>
          <w:lang w:val="en-ZA"/>
        </w:rPr>
        <w:lastRenderedPageBreak/>
        <w:t>and in terms of clause 18.3 an obligation was placed on the first Respondent to record the agreement with the Deeds Registry in terms of Section 20(1) (a) of the Alienation of Land Act and in the event the first Respondent failed to do so then the first Applicant had the right to do so (See clause 19.4).</w:t>
      </w:r>
    </w:p>
    <w:p w14:paraId="3724D8DE" w14:textId="77777777" w:rsidR="002D6899" w:rsidRDefault="002D6899" w:rsidP="00081D2A">
      <w:pPr>
        <w:spacing w:line="360" w:lineRule="auto"/>
        <w:ind w:left="720" w:hanging="720"/>
        <w:jc w:val="both"/>
        <w:rPr>
          <w:u w:val="none"/>
          <w:lang w:val="en-ZA"/>
        </w:rPr>
      </w:pPr>
    </w:p>
    <w:p w14:paraId="30F401C2" w14:textId="77777777" w:rsidR="00342F46" w:rsidRDefault="00757596" w:rsidP="00081D2A">
      <w:pPr>
        <w:spacing w:line="360" w:lineRule="auto"/>
        <w:ind w:left="720" w:hanging="720"/>
        <w:jc w:val="both"/>
        <w:rPr>
          <w:u w:val="none"/>
          <w:lang w:val="en-ZA"/>
        </w:rPr>
      </w:pPr>
      <w:r>
        <w:rPr>
          <w:u w:val="none"/>
          <w:lang w:val="en-ZA"/>
        </w:rPr>
        <w:t>[30]</w:t>
      </w:r>
      <w:r w:rsidR="001D07FC">
        <w:rPr>
          <w:u w:val="none"/>
          <w:lang w:val="en-ZA"/>
        </w:rPr>
        <w:tab/>
      </w:r>
      <w:r w:rsidR="00342F46">
        <w:rPr>
          <w:u w:val="none"/>
          <w:lang w:val="en-ZA"/>
        </w:rPr>
        <w:t>The first Applicant failed to comply strictly with the terms of payment of the purchase price in that he did not make payments into the bond account held by the fist Respondent at Standard Bank, this failure led to Standard bank foreclosing on the bond and obtained judgment against the first Respondent for payment of the sum of R280 105.28 together with interest on the 16</w:t>
      </w:r>
      <w:r w:rsidR="00342F46" w:rsidRPr="00342F46">
        <w:rPr>
          <w:u w:val="none"/>
          <w:vertAlign w:val="superscript"/>
          <w:lang w:val="en-ZA"/>
        </w:rPr>
        <w:t>th</w:t>
      </w:r>
      <w:r w:rsidR="00342F46">
        <w:rPr>
          <w:u w:val="none"/>
          <w:lang w:val="en-ZA"/>
        </w:rPr>
        <w:t xml:space="preserve"> April 2015. Standard bank also obtained an order declaring the property executable.</w:t>
      </w:r>
    </w:p>
    <w:p w14:paraId="01C806FA" w14:textId="77777777" w:rsidR="00342F46" w:rsidRDefault="00342F46" w:rsidP="00081D2A">
      <w:pPr>
        <w:spacing w:line="360" w:lineRule="auto"/>
        <w:ind w:left="720" w:hanging="720"/>
        <w:jc w:val="both"/>
        <w:rPr>
          <w:u w:val="none"/>
          <w:lang w:val="en-ZA"/>
        </w:rPr>
      </w:pPr>
    </w:p>
    <w:p w14:paraId="4DA56406" w14:textId="0A95EC83" w:rsidR="00342F46" w:rsidRDefault="00342F46" w:rsidP="00081D2A">
      <w:pPr>
        <w:spacing w:line="360" w:lineRule="auto"/>
        <w:ind w:left="720" w:hanging="720"/>
        <w:jc w:val="both"/>
        <w:rPr>
          <w:u w:val="none"/>
          <w:lang w:val="en-ZA"/>
        </w:rPr>
      </w:pPr>
      <w:r>
        <w:rPr>
          <w:u w:val="none"/>
          <w:lang w:val="en-ZA"/>
        </w:rPr>
        <w:t>[31]</w:t>
      </w:r>
      <w:r>
        <w:rPr>
          <w:u w:val="none"/>
          <w:lang w:val="en-ZA"/>
        </w:rPr>
        <w:tab/>
      </w:r>
      <w:r w:rsidR="00852C6B">
        <w:rPr>
          <w:u w:val="none"/>
          <w:lang w:val="en-ZA"/>
        </w:rPr>
        <w:t>It is correct that during or about October 2018 the Applicant instructed his own attorneys Messrs Nel Attorneys to request a cancellation of bond and to do transfer of the property into his name now that as he alleged he had made payment of 50% of the purchase price.  Standard bank obliged on the 23 January 2019 and furnished figures to Nel Attorneys showing that an amount of R305 478.22 was payable and required to enable Standard bank to cancel the bond.</w:t>
      </w:r>
    </w:p>
    <w:p w14:paraId="349F0F6B" w14:textId="77777777" w:rsidR="00852C6B" w:rsidRDefault="00852C6B" w:rsidP="00081D2A">
      <w:pPr>
        <w:spacing w:line="360" w:lineRule="auto"/>
        <w:ind w:left="720" w:hanging="720"/>
        <w:jc w:val="both"/>
        <w:rPr>
          <w:u w:val="none"/>
          <w:lang w:val="en-ZA"/>
        </w:rPr>
      </w:pPr>
    </w:p>
    <w:p w14:paraId="4F22CF1B" w14:textId="308060A9" w:rsidR="00852C6B" w:rsidRDefault="00342F46" w:rsidP="00081D2A">
      <w:pPr>
        <w:spacing w:line="360" w:lineRule="auto"/>
        <w:ind w:left="720" w:hanging="720"/>
        <w:jc w:val="both"/>
        <w:rPr>
          <w:u w:val="none"/>
          <w:lang w:val="en-ZA"/>
        </w:rPr>
      </w:pPr>
      <w:r>
        <w:rPr>
          <w:u w:val="none"/>
          <w:lang w:val="en-ZA"/>
        </w:rPr>
        <w:t>[32]</w:t>
      </w:r>
      <w:r w:rsidR="00852C6B">
        <w:rPr>
          <w:u w:val="none"/>
          <w:lang w:val="en-ZA"/>
        </w:rPr>
        <w:tab/>
        <w:t>The cancellation figures clearly indicate that the first Applicant had not as yet paid sufficient money to enable him to take transfer.  What is further strange is that the Applicant then a</w:t>
      </w:r>
      <w:r w:rsidR="007A0DC4">
        <w:rPr>
          <w:u w:val="none"/>
          <w:lang w:val="en-ZA"/>
        </w:rPr>
        <w:t>ttach</w:t>
      </w:r>
      <w:r w:rsidR="00852C6B">
        <w:rPr>
          <w:u w:val="none"/>
          <w:lang w:val="en-ZA"/>
        </w:rPr>
        <w:t>es deposit slips totalling R200 000.00 (Two Hundred Thousand Rand) which amounts</w:t>
      </w:r>
      <w:r w:rsidR="007A0DC4">
        <w:rPr>
          <w:u w:val="none"/>
          <w:lang w:val="en-ZA"/>
        </w:rPr>
        <w:t xml:space="preserve"> were paid to Nel attorneys not </w:t>
      </w:r>
      <w:r w:rsidR="00B86552">
        <w:rPr>
          <w:u w:val="none"/>
          <w:lang w:val="en-ZA"/>
        </w:rPr>
        <w:t>with references</w:t>
      </w:r>
      <w:r w:rsidR="00852C6B">
        <w:rPr>
          <w:u w:val="none"/>
          <w:lang w:val="en-ZA"/>
        </w:rPr>
        <w:t xml:space="preserve"> to the property in</w:t>
      </w:r>
      <w:r w:rsidR="007A0DC4">
        <w:rPr>
          <w:u w:val="none"/>
          <w:lang w:val="en-ZA"/>
        </w:rPr>
        <w:t xml:space="preserve"> question but relates to the property in</w:t>
      </w:r>
      <w:r w:rsidR="00852C6B">
        <w:rPr>
          <w:u w:val="none"/>
          <w:lang w:val="en-ZA"/>
        </w:rPr>
        <w:t xml:space="preserve"> Orlando East.</w:t>
      </w:r>
    </w:p>
    <w:p w14:paraId="2E82FB22" w14:textId="486E6B9A" w:rsidR="00342F46" w:rsidRDefault="00852C6B" w:rsidP="00081D2A">
      <w:pPr>
        <w:spacing w:line="360" w:lineRule="auto"/>
        <w:ind w:left="720" w:hanging="720"/>
        <w:jc w:val="both"/>
        <w:rPr>
          <w:u w:val="none"/>
          <w:lang w:val="en-ZA"/>
        </w:rPr>
      </w:pPr>
      <w:r>
        <w:rPr>
          <w:u w:val="none"/>
          <w:lang w:val="en-ZA"/>
        </w:rPr>
        <w:t xml:space="preserve"> </w:t>
      </w:r>
    </w:p>
    <w:p w14:paraId="2274DF9D" w14:textId="77777777" w:rsidR="00684CA0" w:rsidRDefault="00342F46" w:rsidP="00081D2A">
      <w:pPr>
        <w:spacing w:line="360" w:lineRule="auto"/>
        <w:ind w:left="720" w:hanging="720"/>
        <w:jc w:val="both"/>
        <w:rPr>
          <w:u w:val="none"/>
          <w:lang w:val="en-ZA"/>
        </w:rPr>
      </w:pPr>
      <w:r>
        <w:rPr>
          <w:u w:val="none"/>
          <w:lang w:val="en-ZA"/>
        </w:rPr>
        <w:t>[33]</w:t>
      </w:r>
      <w:r w:rsidR="00852C6B">
        <w:rPr>
          <w:u w:val="none"/>
          <w:lang w:val="en-ZA"/>
        </w:rPr>
        <w:tab/>
        <w:t>The Applicant did not comply with the terms of the first agreement and was not entitled to take transfer of the property.  When it became clear that the Applicant was unable to proceeded with the transaction the first Respondent as he was entitled to accepted an offer from the second Respondent</w:t>
      </w:r>
      <w:r w:rsidR="00684CA0">
        <w:rPr>
          <w:u w:val="none"/>
          <w:lang w:val="en-ZA"/>
        </w:rPr>
        <w:t>.</w:t>
      </w:r>
    </w:p>
    <w:p w14:paraId="7CA1B1FE" w14:textId="59D383D1" w:rsidR="00342F46" w:rsidRDefault="00852C6B" w:rsidP="00081D2A">
      <w:pPr>
        <w:spacing w:line="360" w:lineRule="auto"/>
        <w:ind w:left="720" w:hanging="720"/>
        <w:jc w:val="both"/>
        <w:rPr>
          <w:u w:val="none"/>
          <w:lang w:val="en-ZA"/>
        </w:rPr>
      </w:pPr>
      <w:r>
        <w:rPr>
          <w:u w:val="none"/>
          <w:lang w:val="en-ZA"/>
        </w:rPr>
        <w:t xml:space="preserve"> </w:t>
      </w:r>
    </w:p>
    <w:p w14:paraId="4AF23C6A" w14:textId="77777777" w:rsidR="0040599E" w:rsidRDefault="00342F46" w:rsidP="00081D2A">
      <w:pPr>
        <w:spacing w:line="360" w:lineRule="auto"/>
        <w:ind w:left="720" w:hanging="720"/>
        <w:jc w:val="both"/>
        <w:rPr>
          <w:u w:val="none"/>
          <w:lang w:val="en-ZA"/>
        </w:rPr>
      </w:pPr>
      <w:r>
        <w:rPr>
          <w:u w:val="none"/>
          <w:lang w:val="en-ZA"/>
        </w:rPr>
        <w:t>[34]</w:t>
      </w:r>
      <w:r w:rsidR="00684CA0">
        <w:rPr>
          <w:u w:val="none"/>
          <w:lang w:val="en-ZA"/>
        </w:rPr>
        <w:tab/>
        <w:t xml:space="preserve">There is a dispute as to whether the Applicant consented to the second sale to the </w:t>
      </w:r>
      <w:r w:rsidR="0040599E">
        <w:rPr>
          <w:u w:val="none"/>
          <w:lang w:val="en-ZA"/>
        </w:rPr>
        <w:t xml:space="preserve">second Respondent.  This Court must accept the version of the first </w:t>
      </w:r>
      <w:r w:rsidR="0040599E">
        <w:rPr>
          <w:u w:val="none"/>
          <w:lang w:val="en-ZA"/>
        </w:rPr>
        <w:lastRenderedPageBreak/>
        <w:t>Respondent which is supported by the Estate Agent that indeed the Applicant agreed to the sale on condition he is refunded R150 000.00 (One Hundred and Fifty Thousand Rand).</w:t>
      </w:r>
    </w:p>
    <w:p w14:paraId="516B56B8" w14:textId="4A0491A3" w:rsidR="00342F46" w:rsidRDefault="00342F46" w:rsidP="0040599E">
      <w:pPr>
        <w:spacing w:line="360" w:lineRule="auto"/>
        <w:jc w:val="both"/>
        <w:rPr>
          <w:u w:val="none"/>
          <w:lang w:val="en-ZA"/>
        </w:rPr>
      </w:pPr>
    </w:p>
    <w:p w14:paraId="11CB6034" w14:textId="616282A7" w:rsidR="00342F46" w:rsidRDefault="00342F46" w:rsidP="00081D2A">
      <w:pPr>
        <w:spacing w:line="360" w:lineRule="auto"/>
        <w:ind w:left="720" w:hanging="720"/>
        <w:jc w:val="both"/>
        <w:rPr>
          <w:u w:val="none"/>
          <w:lang w:val="en-ZA"/>
        </w:rPr>
      </w:pPr>
      <w:r>
        <w:rPr>
          <w:u w:val="none"/>
          <w:lang w:val="en-ZA"/>
        </w:rPr>
        <w:t>[35]</w:t>
      </w:r>
      <w:r w:rsidR="0040599E">
        <w:rPr>
          <w:u w:val="none"/>
          <w:lang w:val="en-ZA"/>
        </w:rPr>
        <w:tab/>
      </w:r>
      <w:r w:rsidR="00554434">
        <w:rPr>
          <w:u w:val="none"/>
          <w:lang w:val="en-ZA"/>
        </w:rPr>
        <w:t>It was when the Applicant through his attorneys belatedly raised an objection to the sale that he was informed that in fact the first agreement was not recorded in the deeds registry as required in terms of Section 20 of the Act.</w:t>
      </w:r>
    </w:p>
    <w:p w14:paraId="1B3B23F3" w14:textId="77777777" w:rsidR="00554434" w:rsidRDefault="00554434" w:rsidP="00081D2A">
      <w:pPr>
        <w:spacing w:line="360" w:lineRule="auto"/>
        <w:ind w:left="720" w:hanging="720"/>
        <w:jc w:val="both"/>
        <w:rPr>
          <w:u w:val="none"/>
          <w:lang w:val="en-ZA"/>
        </w:rPr>
      </w:pPr>
    </w:p>
    <w:p w14:paraId="68E7FA8C" w14:textId="7CDD3F51" w:rsidR="00554434" w:rsidRDefault="00342F46" w:rsidP="00081D2A">
      <w:pPr>
        <w:spacing w:line="360" w:lineRule="auto"/>
        <w:ind w:left="720" w:hanging="720"/>
        <w:jc w:val="both"/>
        <w:rPr>
          <w:u w:val="none"/>
          <w:lang w:val="en-ZA"/>
        </w:rPr>
      </w:pPr>
      <w:r>
        <w:rPr>
          <w:u w:val="none"/>
          <w:lang w:val="en-ZA"/>
        </w:rPr>
        <w:t>[36]</w:t>
      </w:r>
      <w:r w:rsidR="00554434">
        <w:rPr>
          <w:u w:val="none"/>
          <w:lang w:val="en-ZA"/>
        </w:rPr>
        <w:tab/>
        <w:t>The Applicant and the first Respondent were aware all along that the first agreement was subject to the provisions of the Alienation of Land Act.  They acknowledge</w:t>
      </w:r>
      <w:r w:rsidR="00B86552">
        <w:rPr>
          <w:u w:val="none"/>
          <w:lang w:val="en-ZA"/>
        </w:rPr>
        <w:t>d</w:t>
      </w:r>
      <w:r w:rsidR="00554434">
        <w:rPr>
          <w:u w:val="none"/>
          <w:lang w:val="en-ZA"/>
        </w:rPr>
        <w:t xml:space="preserve"> their obligation in terms of Section 20 thereof to record the first ag</w:t>
      </w:r>
      <w:r w:rsidR="00B86552">
        <w:rPr>
          <w:u w:val="none"/>
          <w:lang w:val="en-ZA"/>
        </w:rPr>
        <w:t>reement with</w:t>
      </w:r>
      <w:r w:rsidR="00554434">
        <w:rPr>
          <w:u w:val="none"/>
          <w:lang w:val="en-ZA"/>
        </w:rPr>
        <w:t xml:space="preserve"> the Deeds registry they failed to do so hence there is nothing that could have prevented the second Respondent to take transfer of the property.</w:t>
      </w:r>
    </w:p>
    <w:p w14:paraId="44B75F06" w14:textId="3EBCB7E7" w:rsidR="00342F46" w:rsidRDefault="00554434" w:rsidP="00081D2A">
      <w:pPr>
        <w:spacing w:line="360" w:lineRule="auto"/>
        <w:ind w:left="720" w:hanging="720"/>
        <w:jc w:val="both"/>
        <w:rPr>
          <w:u w:val="none"/>
          <w:lang w:val="en-ZA"/>
        </w:rPr>
      </w:pPr>
      <w:r>
        <w:rPr>
          <w:u w:val="none"/>
          <w:lang w:val="en-ZA"/>
        </w:rPr>
        <w:t xml:space="preserve">  </w:t>
      </w:r>
    </w:p>
    <w:p w14:paraId="3A1B895E" w14:textId="0EF1B46A" w:rsidR="00342F46" w:rsidRDefault="00342F46" w:rsidP="00081D2A">
      <w:pPr>
        <w:spacing w:line="360" w:lineRule="auto"/>
        <w:ind w:left="720" w:hanging="720"/>
        <w:jc w:val="both"/>
        <w:rPr>
          <w:u w:val="none"/>
          <w:lang w:val="en-ZA"/>
        </w:rPr>
      </w:pPr>
      <w:r>
        <w:rPr>
          <w:u w:val="none"/>
          <w:lang w:val="en-ZA"/>
        </w:rPr>
        <w:t>[37]</w:t>
      </w:r>
      <w:r w:rsidR="00554434">
        <w:rPr>
          <w:u w:val="none"/>
          <w:lang w:val="en-ZA"/>
        </w:rPr>
        <w:tab/>
        <w:t>The Applicant failed to meet his obligation in terms of the first agreement and accordingly acquired no real right</w:t>
      </w:r>
      <w:r w:rsidR="00B86552">
        <w:rPr>
          <w:u w:val="none"/>
          <w:lang w:val="en-ZA"/>
        </w:rPr>
        <w:t>s</w:t>
      </w:r>
      <w:r w:rsidR="00554434">
        <w:rPr>
          <w:u w:val="none"/>
          <w:lang w:val="en-ZA"/>
        </w:rPr>
        <w:t xml:space="preserve"> therein.  In his Founding Affidavit in particular with reference to provision of Section 7 of the Act the Applicant does not say that he obtained a certificate from Standard bank stating the amount payable to enable the bank to release the property from the bond.  In any case when his attorneys did obtain that in the year 2019 Standard bank had already cancelled the bond and foreclosed.  The property was at that time strictly speaking in the hand</w:t>
      </w:r>
      <w:r w:rsidR="00B86552">
        <w:rPr>
          <w:u w:val="none"/>
          <w:lang w:val="en-ZA"/>
        </w:rPr>
        <w:t>s</w:t>
      </w:r>
      <w:r w:rsidR="00554434">
        <w:rPr>
          <w:u w:val="none"/>
          <w:lang w:val="en-ZA"/>
        </w:rPr>
        <w:t xml:space="preserve"> of Standard bank.  The Applicant even at that time failed to make payment of the amount indicated by Standard bank.</w:t>
      </w:r>
    </w:p>
    <w:p w14:paraId="16A10562" w14:textId="77777777" w:rsidR="00201554" w:rsidRDefault="00201554" w:rsidP="00081D2A">
      <w:pPr>
        <w:spacing w:line="360" w:lineRule="auto"/>
        <w:ind w:left="720" w:hanging="720"/>
        <w:jc w:val="both"/>
        <w:rPr>
          <w:u w:val="none"/>
          <w:lang w:val="en-ZA"/>
        </w:rPr>
      </w:pPr>
    </w:p>
    <w:p w14:paraId="74CB9224" w14:textId="5937A8C7" w:rsidR="00352BEF" w:rsidRDefault="00342F46" w:rsidP="00081D2A">
      <w:pPr>
        <w:spacing w:line="360" w:lineRule="auto"/>
        <w:ind w:left="720" w:hanging="720"/>
        <w:jc w:val="both"/>
        <w:rPr>
          <w:u w:val="none"/>
          <w:lang w:val="en-ZA"/>
        </w:rPr>
      </w:pPr>
      <w:r>
        <w:rPr>
          <w:u w:val="none"/>
          <w:lang w:val="en-ZA"/>
        </w:rPr>
        <w:t>[38]</w:t>
      </w:r>
      <w:r w:rsidR="00201554">
        <w:rPr>
          <w:u w:val="none"/>
          <w:lang w:val="en-ZA"/>
        </w:rPr>
        <w:tab/>
        <w:t>Failure by the Applicant and the first Respondent to register the agreement in terms of Section 20 of the Act had the following consequences.  Firstly, Standard bank is not deemed to have consented in favour o</w:t>
      </w:r>
      <w:r w:rsidR="00B86552">
        <w:rPr>
          <w:u w:val="none"/>
          <w:lang w:val="en-ZA"/>
        </w:rPr>
        <w:t>f the Applicant to discharge the</w:t>
      </w:r>
      <w:r w:rsidR="00201554">
        <w:rPr>
          <w:u w:val="none"/>
          <w:lang w:val="en-ZA"/>
        </w:rPr>
        <w:t xml:space="preserve"> mortgage bond as contemplated in Section 9(8) of the Act.  Secondly in terms of Section 26 of the Act the first Respondent was not entitled to receive and the Applicants were not obliged to pay any part of the purchase price.  Lastly</w:t>
      </w:r>
      <w:r w:rsidR="00352BEF">
        <w:rPr>
          <w:u w:val="none"/>
          <w:lang w:val="en-ZA"/>
        </w:rPr>
        <w:t xml:space="preserve"> the Applicant and the first Respondent did not give notice to prospective purchase about the first Agreement which could and should have </w:t>
      </w:r>
      <w:r w:rsidR="00352BEF">
        <w:rPr>
          <w:u w:val="none"/>
          <w:lang w:val="en-ZA"/>
        </w:rPr>
        <w:lastRenderedPageBreak/>
        <w:t>been done by registering the first agreement in order to create a caveat against transfer of the property.</w:t>
      </w:r>
    </w:p>
    <w:p w14:paraId="09466A43" w14:textId="1D53AAB8" w:rsidR="00342F46" w:rsidRDefault="00201554" w:rsidP="00081D2A">
      <w:pPr>
        <w:spacing w:line="360" w:lineRule="auto"/>
        <w:ind w:left="720" w:hanging="720"/>
        <w:jc w:val="both"/>
        <w:rPr>
          <w:u w:val="none"/>
          <w:lang w:val="en-ZA"/>
        </w:rPr>
      </w:pPr>
      <w:r>
        <w:rPr>
          <w:u w:val="none"/>
          <w:lang w:val="en-ZA"/>
        </w:rPr>
        <w:t xml:space="preserve"> </w:t>
      </w:r>
    </w:p>
    <w:p w14:paraId="3D6C0C47" w14:textId="3DEFECFD" w:rsidR="00342F46" w:rsidRDefault="00342F46" w:rsidP="00081D2A">
      <w:pPr>
        <w:spacing w:line="360" w:lineRule="auto"/>
        <w:ind w:left="720" w:hanging="720"/>
        <w:jc w:val="both"/>
        <w:rPr>
          <w:u w:val="none"/>
          <w:lang w:val="en-ZA"/>
        </w:rPr>
      </w:pPr>
      <w:r>
        <w:rPr>
          <w:u w:val="none"/>
          <w:lang w:val="en-ZA"/>
        </w:rPr>
        <w:t>[39]</w:t>
      </w:r>
      <w:r w:rsidR="00B43CEB">
        <w:rPr>
          <w:u w:val="none"/>
          <w:lang w:val="en-ZA"/>
        </w:rPr>
        <w:tab/>
        <w:t>The Applicant</w:t>
      </w:r>
      <w:r w:rsidR="00B86552">
        <w:rPr>
          <w:u w:val="none"/>
          <w:lang w:val="en-ZA"/>
        </w:rPr>
        <w:t>s</w:t>
      </w:r>
      <w:r w:rsidR="00B43CEB">
        <w:rPr>
          <w:u w:val="none"/>
          <w:lang w:val="en-ZA"/>
        </w:rPr>
        <w:t xml:space="preserve"> were informed by way of a letter from the attorneys dated the 26 March 2019 that failure to have the first agreement recorded in terms of Section 20 is fatal still the Applicant did not do anything</w:t>
      </w:r>
      <w:r w:rsidR="00B86552">
        <w:rPr>
          <w:u w:val="none"/>
          <w:lang w:val="en-ZA"/>
        </w:rPr>
        <w:t xml:space="preserve"> to has</w:t>
      </w:r>
      <w:r w:rsidR="00B43CEB">
        <w:rPr>
          <w:u w:val="none"/>
          <w:lang w:val="en-ZA"/>
        </w:rPr>
        <w:t xml:space="preserve"> that first agreement recorded.  The Applicant acquired no rights in that agreement and have no </w:t>
      </w:r>
      <w:r w:rsidR="00B43CEB" w:rsidRPr="00B43CEB">
        <w:rPr>
          <w:i/>
          <w:u w:val="none"/>
          <w:lang w:val="en-ZA"/>
        </w:rPr>
        <w:t>locus standi</w:t>
      </w:r>
      <w:r w:rsidR="00B43CEB">
        <w:rPr>
          <w:u w:val="none"/>
          <w:lang w:val="en-ZA"/>
        </w:rPr>
        <w:t xml:space="preserve"> to oppose registration of the transfer of the property to the second Respondent.  At the most out of this transaction the first Applicant has an enrichment claim against the first Respondent.  In any case he had alread</w:t>
      </w:r>
      <w:r w:rsidR="00B86552">
        <w:rPr>
          <w:u w:val="none"/>
          <w:lang w:val="en-ZA"/>
        </w:rPr>
        <w:t>y previously indicated that he wi</w:t>
      </w:r>
      <w:r w:rsidR="00B43CEB">
        <w:rPr>
          <w:u w:val="none"/>
          <w:lang w:val="en-ZA"/>
        </w:rPr>
        <w:t xml:space="preserve">ll accept an amount of R150 000.00 (One Hundred and Fifty Thousand Rand) to enable him to walk away from the deal. </w:t>
      </w:r>
    </w:p>
    <w:p w14:paraId="41A471CE" w14:textId="77777777" w:rsidR="00B43CEB" w:rsidRDefault="00B43CEB" w:rsidP="00081D2A">
      <w:pPr>
        <w:spacing w:line="360" w:lineRule="auto"/>
        <w:ind w:left="720" w:hanging="720"/>
        <w:jc w:val="both"/>
        <w:rPr>
          <w:u w:val="none"/>
          <w:lang w:val="en-ZA"/>
        </w:rPr>
      </w:pPr>
    </w:p>
    <w:p w14:paraId="169CE9E1" w14:textId="4DBF5163" w:rsidR="00B43CEB" w:rsidRDefault="00342F46" w:rsidP="00081D2A">
      <w:pPr>
        <w:spacing w:line="360" w:lineRule="auto"/>
        <w:ind w:left="720" w:hanging="720"/>
        <w:jc w:val="both"/>
        <w:rPr>
          <w:u w:val="none"/>
          <w:lang w:val="en-ZA"/>
        </w:rPr>
      </w:pPr>
      <w:r>
        <w:rPr>
          <w:u w:val="none"/>
          <w:lang w:val="en-ZA"/>
        </w:rPr>
        <w:t>[40]</w:t>
      </w:r>
      <w:r w:rsidR="00B43CEB">
        <w:rPr>
          <w:u w:val="none"/>
          <w:lang w:val="en-ZA"/>
        </w:rPr>
        <w:tab/>
        <w:t xml:space="preserve">The second Respondent makes common cause with the third Respondent on the issue that the first agreement having not been recorded as required by Section 20 of the Act transferred no real right to the Applicant at best the Applicant acquired a personal right that can only be enforceable against the first Respondent and not against bona fide third party </w:t>
      </w:r>
      <w:r w:rsidR="00B86552">
        <w:rPr>
          <w:u w:val="none"/>
          <w:lang w:val="en-ZA"/>
        </w:rPr>
        <w:t>possessors</w:t>
      </w:r>
      <w:r w:rsidR="00B43CEB">
        <w:rPr>
          <w:u w:val="none"/>
          <w:lang w:val="en-ZA"/>
        </w:rPr>
        <w:t xml:space="preserve"> like the second Respondent.</w:t>
      </w:r>
    </w:p>
    <w:p w14:paraId="02D21440" w14:textId="48F2686D" w:rsidR="00342F46" w:rsidRDefault="00B43CEB" w:rsidP="00081D2A">
      <w:pPr>
        <w:spacing w:line="360" w:lineRule="auto"/>
        <w:ind w:left="720" w:hanging="720"/>
        <w:jc w:val="both"/>
        <w:rPr>
          <w:u w:val="none"/>
          <w:lang w:val="en-ZA"/>
        </w:rPr>
      </w:pPr>
      <w:r>
        <w:rPr>
          <w:u w:val="none"/>
          <w:lang w:val="en-ZA"/>
        </w:rPr>
        <w:t xml:space="preserve"> </w:t>
      </w:r>
    </w:p>
    <w:p w14:paraId="15F5FC07" w14:textId="793D705F" w:rsidR="00B43CEB" w:rsidRDefault="00342F46" w:rsidP="00081D2A">
      <w:pPr>
        <w:spacing w:line="360" w:lineRule="auto"/>
        <w:ind w:left="720" w:hanging="720"/>
        <w:jc w:val="both"/>
        <w:rPr>
          <w:u w:val="none"/>
          <w:lang w:val="en-ZA"/>
        </w:rPr>
      </w:pPr>
      <w:r>
        <w:rPr>
          <w:u w:val="none"/>
          <w:lang w:val="en-ZA"/>
        </w:rPr>
        <w:t>[41]</w:t>
      </w:r>
      <w:r w:rsidR="00B43CEB">
        <w:rPr>
          <w:u w:val="none"/>
          <w:lang w:val="en-ZA"/>
        </w:rPr>
        <w:tab/>
        <w:t xml:space="preserve">The Applicants have in their heads of argument avoided dealing </w:t>
      </w:r>
      <w:r w:rsidR="00B86552">
        <w:rPr>
          <w:u w:val="none"/>
          <w:lang w:val="en-ZA"/>
        </w:rPr>
        <w:t>with</w:t>
      </w:r>
      <w:r w:rsidR="00B43CEB">
        <w:rPr>
          <w:u w:val="none"/>
          <w:lang w:val="en-ZA"/>
        </w:rPr>
        <w:t xml:space="preserve"> the provisions of Section 20 of the Act which in my view is dispositive of their application.  Applicants have instead not only raised technical issues about the dep</w:t>
      </w:r>
      <w:r w:rsidR="00B86552">
        <w:rPr>
          <w:u w:val="none"/>
          <w:lang w:val="en-ZA"/>
        </w:rPr>
        <w:t>onent</w:t>
      </w:r>
      <w:r w:rsidR="00B43CEB">
        <w:rPr>
          <w:u w:val="none"/>
          <w:lang w:val="en-ZA"/>
        </w:rPr>
        <w:t xml:space="preserve"> to the third Respondent</w:t>
      </w:r>
      <w:r w:rsidR="00B86552">
        <w:rPr>
          <w:u w:val="none"/>
          <w:lang w:val="en-ZA"/>
        </w:rPr>
        <w:t>’s</w:t>
      </w:r>
      <w:r w:rsidR="00B43CEB">
        <w:rPr>
          <w:u w:val="none"/>
          <w:lang w:val="en-ZA"/>
        </w:rPr>
        <w:t xml:space="preserve"> Affidavit as well as failure to apply for condonation by the Respondent for the late filing of their Answering Affidavit.</w:t>
      </w:r>
    </w:p>
    <w:p w14:paraId="6ECE4650" w14:textId="17308441" w:rsidR="00342F46" w:rsidRDefault="00B43CEB" w:rsidP="00081D2A">
      <w:pPr>
        <w:spacing w:line="360" w:lineRule="auto"/>
        <w:ind w:left="720" w:hanging="720"/>
        <w:jc w:val="both"/>
        <w:rPr>
          <w:u w:val="none"/>
          <w:lang w:val="en-ZA"/>
        </w:rPr>
      </w:pPr>
      <w:r>
        <w:rPr>
          <w:u w:val="none"/>
          <w:lang w:val="en-ZA"/>
        </w:rPr>
        <w:t xml:space="preserve"> </w:t>
      </w:r>
    </w:p>
    <w:p w14:paraId="3B4E6F0E" w14:textId="1D5E3EA3" w:rsidR="0031272D" w:rsidRPr="0031272D" w:rsidRDefault="0031272D" w:rsidP="0031272D">
      <w:pPr>
        <w:spacing w:line="360" w:lineRule="auto"/>
        <w:jc w:val="both"/>
        <w:rPr>
          <w:lang w:val="en-ZA"/>
        </w:rPr>
      </w:pPr>
      <w:r w:rsidRPr="0031272D">
        <w:rPr>
          <w:lang w:val="en-ZA"/>
        </w:rPr>
        <w:t>DID THE APPLICANT ACQUIRE A REAL RIGHT IN THE PROPERTY?</w:t>
      </w:r>
    </w:p>
    <w:p w14:paraId="30191DCB" w14:textId="77777777" w:rsidR="0031272D" w:rsidRDefault="0031272D" w:rsidP="0031272D">
      <w:pPr>
        <w:spacing w:line="360" w:lineRule="auto"/>
        <w:jc w:val="both"/>
        <w:rPr>
          <w:u w:val="none"/>
          <w:lang w:val="en-ZA"/>
        </w:rPr>
      </w:pPr>
    </w:p>
    <w:p w14:paraId="6BFF4CA1" w14:textId="5F36FA07" w:rsidR="00342F46" w:rsidRDefault="00342F46" w:rsidP="00081D2A">
      <w:pPr>
        <w:spacing w:line="360" w:lineRule="auto"/>
        <w:ind w:left="720" w:hanging="720"/>
        <w:jc w:val="both"/>
        <w:rPr>
          <w:u w:val="none"/>
          <w:lang w:val="en-ZA"/>
        </w:rPr>
      </w:pPr>
      <w:r>
        <w:rPr>
          <w:u w:val="none"/>
          <w:lang w:val="en-ZA"/>
        </w:rPr>
        <w:t>[42]</w:t>
      </w:r>
      <w:r w:rsidR="00B43CEB">
        <w:rPr>
          <w:u w:val="none"/>
          <w:lang w:val="en-ZA"/>
        </w:rPr>
        <w:tab/>
      </w:r>
      <w:r w:rsidR="00B86552">
        <w:rPr>
          <w:u w:val="none"/>
          <w:lang w:val="en-ZA"/>
        </w:rPr>
        <w:t>The answer to this question i</w:t>
      </w:r>
      <w:r w:rsidR="0031272D">
        <w:rPr>
          <w:u w:val="none"/>
          <w:lang w:val="en-ZA"/>
        </w:rPr>
        <w:t>s a no.  What the Applicant acquired is a personal right only enforceable against the first Respondent.  The Applicant would have acquired a real right to claim transfer of the property after paying 50% of the purchase price had there been registration of the agreement in terms of Section 20 of the Act.</w:t>
      </w:r>
    </w:p>
    <w:p w14:paraId="17B2DEEC" w14:textId="77777777" w:rsidR="0031272D" w:rsidRDefault="0031272D" w:rsidP="00081D2A">
      <w:pPr>
        <w:spacing w:line="360" w:lineRule="auto"/>
        <w:ind w:left="720" w:hanging="720"/>
        <w:jc w:val="both"/>
        <w:rPr>
          <w:u w:val="none"/>
          <w:lang w:val="en-ZA"/>
        </w:rPr>
      </w:pPr>
    </w:p>
    <w:p w14:paraId="7F392CCD" w14:textId="77777777" w:rsidR="00C863CD" w:rsidRDefault="00342F46" w:rsidP="00081D2A">
      <w:pPr>
        <w:spacing w:line="360" w:lineRule="auto"/>
        <w:ind w:left="720" w:hanging="720"/>
        <w:jc w:val="both"/>
        <w:rPr>
          <w:u w:val="none"/>
          <w:lang w:val="en-ZA"/>
        </w:rPr>
      </w:pPr>
      <w:r>
        <w:rPr>
          <w:u w:val="none"/>
          <w:lang w:val="en-ZA"/>
        </w:rPr>
        <w:lastRenderedPageBreak/>
        <w:t>[43]</w:t>
      </w:r>
      <w:r w:rsidR="0031272D">
        <w:rPr>
          <w:u w:val="none"/>
          <w:lang w:val="en-ZA"/>
        </w:rPr>
        <w:tab/>
        <w:t xml:space="preserve">It is so that in the view of this Court and others the first agreement only regulates the contractual relationship between the </w:t>
      </w:r>
      <w:r w:rsidR="00C863CD">
        <w:rPr>
          <w:u w:val="none"/>
          <w:lang w:val="en-ZA"/>
        </w:rPr>
        <w:t xml:space="preserve">first </w:t>
      </w:r>
      <w:r w:rsidR="0031272D">
        <w:rPr>
          <w:u w:val="none"/>
          <w:lang w:val="en-ZA"/>
        </w:rPr>
        <w:t>Applicant</w:t>
      </w:r>
      <w:r w:rsidR="00C863CD">
        <w:rPr>
          <w:u w:val="none"/>
          <w:lang w:val="en-ZA"/>
        </w:rPr>
        <w:t xml:space="preserve"> and the first Respondent.</w:t>
      </w:r>
    </w:p>
    <w:p w14:paraId="148B18FC" w14:textId="3748CEFA" w:rsidR="00342F46" w:rsidRDefault="0031272D" w:rsidP="00081D2A">
      <w:pPr>
        <w:spacing w:line="360" w:lineRule="auto"/>
        <w:ind w:left="720" w:hanging="720"/>
        <w:jc w:val="both"/>
        <w:rPr>
          <w:u w:val="none"/>
          <w:lang w:val="en-ZA"/>
        </w:rPr>
      </w:pPr>
      <w:r>
        <w:rPr>
          <w:u w:val="none"/>
          <w:lang w:val="en-ZA"/>
        </w:rPr>
        <w:t xml:space="preserve"> </w:t>
      </w:r>
    </w:p>
    <w:p w14:paraId="2ABADF2A" w14:textId="7B0A8514" w:rsidR="00342F46" w:rsidRDefault="00342F46" w:rsidP="00081D2A">
      <w:pPr>
        <w:spacing w:line="360" w:lineRule="auto"/>
        <w:ind w:left="720" w:hanging="720"/>
        <w:jc w:val="both"/>
        <w:rPr>
          <w:u w:val="none"/>
          <w:lang w:val="en-ZA"/>
        </w:rPr>
      </w:pPr>
      <w:r>
        <w:rPr>
          <w:u w:val="none"/>
          <w:lang w:val="en-ZA"/>
        </w:rPr>
        <w:t>[44]</w:t>
      </w:r>
      <w:r w:rsidR="00C863CD">
        <w:rPr>
          <w:u w:val="none"/>
          <w:lang w:val="en-ZA"/>
        </w:rPr>
        <w:tab/>
        <w:t>The Applicants did not do anything or take steps to place the first Respondent in mora.  They did not do so because the</w:t>
      </w:r>
      <w:r w:rsidR="000E23D7">
        <w:rPr>
          <w:u w:val="none"/>
          <w:lang w:val="en-ZA"/>
        </w:rPr>
        <w:t>re was non-compliance also from their side.  There is no evidence by the Applicant that they made payment of transfer costs, transfer duty, rates and taxes as well as service charges in terms of clause 6 of the first agreement.</w:t>
      </w:r>
    </w:p>
    <w:p w14:paraId="5DA03A36" w14:textId="77777777" w:rsidR="000E23D7" w:rsidRDefault="000E23D7" w:rsidP="00081D2A">
      <w:pPr>
        <w:spacing w:line="360" w:lineRule="auto"/>
        <w:ind w:left="720" w:hanging="720"/>
        <w:jc w:val="both"/>
        <w:rPr>
          <w:u w:val="none"/>
          <w:lang w:val="en-ZA"/>
        </w:rPr>
      </w:pPr>
    </w:p>
    <w:p w14:paraId="069A7063" w14:textId="19440FE0" w:rsidR="00342F46" w:rsidRDefault="00342F46" w:rsidP="00081D2A">
      <w:pPr>
        <w:spacing w:line="360" w:lineRule="auto"/>
        <w:ind w:left="720" w:hanging="720"/>
        <w:jc w:val="both"/>
        <w:rPr>
          <w:u w:val="none"/>
          <w:lang w:val="en-ZA"/>
        </w:rPr>
      </w:pPr>
      <w:r>
        <w:rPr>
          <w:u w:val="none"/>
          <w:lang w:val="en-ZA"/>
        </w:rPr>
        <w:t>[45]</w:t>
      </w:r>
      <w:r w:rsidR="000E23D7">
        <w:rPr>
          <w:u w:val="none"/>
          <w:lang w:val="en-ZA"/>
        </w:rPr>
        <w:tab/>
        <w:t>Secondly there is in my view sufficient evidence that the Applicants consented to the sale of the property to the second Respondent.  Even if they had not so co</w:t>
      </w:r>
      <w:r w:rsidR="00B86552">
        <w:rPr>
          <w:u w:val="none"/>
          <w:lang w:val="en-ZA"/>
        </w:rPr>
        <w:t>nsented</w:t>
      </w:r>
      <w:r w:rsidR="000E23D7">
        <w:rPr>
          <w:u w:val="none"/>
          <w:lang w:val="en-ZA"/>
        </w:rPr>
        <w:t xml:space="preserve"> they had not acquired any right over the property save a personal right against the first Respondent.  The Applicant can therefore not quality to claim specific performances as in their prayers.</w:t>
      </w:r>
    </w:p>
    <w:p w14:paraId="61528BCF" w14:textId="0F27190C" w:rsidR="000E23D7" w:rsidRDefault="000E23D7" w:rsidP="00081D2A">
      <w:pPr>
        <w:spacing w:line="360" w:lineRule="auto"/>
        <w:ind w:left="720" w:hanging="720"/>
        <w:jc w:val="both"/>
        <w:rPr>
          <w:u w:val="none"/>
          <w:lang w:val="en-ZA"/>
        </w:rPr>
      </w:pPr>
    </w:p>
    <w:p w14:paraId="69F88F23" w14:textId="7BF1F948" w:rsidR="000E23D7" w:rsidRPr="000E23D7" w:rsidRDefault="000E23D7" w:rsidP="00081D2A">
      <w:pPr>
        <w:spacing w:line="360" w:lineRule="auto"/>
        <w:ind w:left="720" w:hanging="720"/>
        <w:jc w:val="both"/>
        <w:rPr>
          <w:lang w:val="en-ZA"/>
        </w:rPr>
      </w:pPr>
      <w:r w:rsidRPr="000E23D7">
        <w:rPr>
          <w:lang w:val="en-ZA"/>
        </w:rPr>
        <w:t>THE SECOND AGREEMENT</w:t>
      </w:r>
    </w:p>
    <w:p w14:paraId="0CF52968" w14:textId="77777777" w:rsidR="000E23D7" w:rsidRDefault="000E23D7" w:rsidP="00081D2A">
      <w:pPr>
        <w:spacing w:line="360" w:lineRule="auto"/>
        <w:ind w:left="720" w:hanging="720"/>
        <w:jc w:val="both"/>
        <w:rPr>
          <w:u w:val="none"/>
          <w:lang w:val="en-ZA"/>
        </w:rPr>
      </w:pPr>
    </w:p>
    <w:p w14:paraId="762DAFD3" w14:textId="6321CB55" w:rsidR="000E23D7" w:rsidRDefault="00342F46" w:rsidP="00081D2A">
      <w:pPr>
        <w:spacing w:line="360" w:lineRule="auto"/>
        <w:ind w:left="720" w:hanging="720"/>
        <w:jc w:val="both"/>
        <w:rPr>
          <w:u w:val="none"/>
          <w:lang w:val="en-ZA"/>
        </w:rPr>
      </w:pPr>
      <w:r>
        <w:rPr>
          <w:u w:val="none"/>
          <w:lang w:val="en-ZA"/>
        </w:rPr>
        <w:t>[46]</w:t>
      </w:r>
      <w:r w:rsidR="000E23D7">
        <w:rPr>
          <w:u w:val="none"/>
          <w:lang w:val="en-ZA"/>
        </w:rPr>
        <w:tab/>
        <w:t>The first and second Respondent</w:t>
      </w:r>
      <w:r w:rsidR="00B86552">
        <w:rPr>
          <w:u w:val="none"/>
          <w:lang w:val="en-ZA"/>
        </w:rPr>
        <w:t>s</w:t>
      </w:r>
      <w:r w:rsidR="000E23D7">
        <w:rPr>
          <w:u w:val="none"/>
          <w:lang w:val="en-ZA"/>
        </w:rPr>
        <w:t xml:space="preserve"> concluded an agreement of sale during November 2018 with the knowledge of the Applicant.  They proceeded to lodge and record such agreement with the office of the Registrar of Deeds.  That agreement can never be assailed by the so called existence of the first agreement.</w:t>
      </w:r>
    </w:p>
    <w:p w14:paraId="3380F60C" w14:textId="2C814480" w:rsidR="00342F46" w:rsidRDefault="000E23D7" w:rsidP="00081D2A">
      <w:pPr>
        <w:spacing w:line="360" w:lineRule="auto"/>
        <w:ind w:left="720" w:hanging="720"/>
        <w:jc w:val="both"/>
        <w:rPr>
          <w:u w:val="none"/>
          <w:lang w:val="en-ZA"/>
        </w:rPr>
      </w:pPr>
      <w:r>
        <w:rPr>
          <w:u w:val="none"/>
          <w:lang w:val="en-ZA"/>
        </w:rPr>
        <w:t xml:space="preserve"> </w:t>
      </w:r>
    </w:p>
    <w:p w14:paraId="551527B0" w14:textId="2282563F" w:rsidR="00342F46" w:rsidRDefault="00342F46" w:rsidP="00081D2A">
      <w:pPr>
        <w:spacing w:line="360" w:lineRule="auto"/>
        <w:ind w:left="720" w:hanging="720"/>
        <w:jc w:val="both"/>
        <w:rPr>
          <w:u w:val="none"/>
          <w:lang w:val="en-ZA"/>
        </w:rPr>
      </w:pPr>
      <w:r>
        <w:rPr>
          <w:u w:val="none"/>
          <w:lang w:val="en-ZA"/>
        </w:rPr>
        <w:t>[47]</w:t>
      </w:r>
      <w:r w:rsidR="000E23D7">
        <w:rPr>
          <w:u w:val="none"/>
          <w:lang w:val="en-ZA"/>
        </w:rPr>
        <w:tab/>
      </w:r>
      <w:r w:rsidR="00741660">
        <w:rPr>
          <w:u w:val="none"/>
          <w:lang w:val="en-ZA"/>
        </w:rPr>
        <w:t>Firstly the facts relating to the conclusion of the agreement of sale of the property between the first and second Respondent</w:t>
      </w:r>
      <w:r w:rsidR="00B86552">
        <w:rPr>
          <w:u w:val="none"/>
          <w:lang w:val="en-ZA"/>
        </w:rPr>
        <w:t>s</w:t>
      </w:r>
      <w:r w:rsidR="00741660">
        <w:rPr>
          <w:u w:val="none"/>
          <w:lang w:val="en-ZA"/>
        </w:rPr>
        <w:t xml:space="preserve"> and compliance with Section 2 (1) of the Act is not disputed.  It was reduced into writing and signed by both parties thereafter it was recorded in the Deed office in terms of Section 20.</w:t>
      </w:r>
    </w:p>
    <w:p w14:paraId="72684D83" w14:textId="77777777" w:rsidR="00741660" w:rsidRDefault="00741660" w:rsidP="00081D2A">
      <w:pPr>
        <w:spacing w:line="360" w:lineRule="auto"/>
        <w:ind w:left="720" w:hanging="720"/>
        <w:jc w:val="both"/>
        <w:rPr>
          <w:u w:val="none"/>
          <w:lang w:val="en-ZA"/>
        </w:rPr>
      </w:pPr>
    </w:p>
    <w:p w14:paraId="51F92B6A" w14:textId="6D127C5E" w:rsidR="00342F46" w:rsidRDefault="00342F46" w:rsidP="00081D2A">
      <w:pPr>
        <w:spacing w:line="360" w:lineRule="auto"/>
        <w:ind w:left="720" w:hanging="720"/>
        <w:jc w:val="both"/>
        <w:rPr>
          <w:u w:val="none"/>
          <w:lang w:val="en-ZA"/>
        </w:rPr>
      </w:pPr>
      <w:r>
        <w:rPr>
          <w:u w:val="none"/>
          <w:lang w:val="en-ZA"/>
        </w:rPr>
        <w:t>[48]</w:t>
      </w:r>
      <w:r w:rsidR="00741660">
        <w:rPr>
          <w:u w:val="none"/>
          <w:lang w:val="en-ZA"/>
        </w:rPr>
        <w:tab/>
        <w:t xml:space="preserve">The only basis on which the Applicant challenge the validity of the second agreement is that the first Respondent was still having a valid agreement with the Applicant.  That defence is not correct the agreement between the Applicant </w:t>
      </w:r>
      <w:r w:rsidR="00741660">
        <w:rPr>
          <w:u w:val="none"/>
          <w:lang w:val="en-ZA"/>
        </w:rPr>
        <w:lastRenderedPageBreak/>
        <w:t>and the first Respondent at that time produced consequences of a personal right and not a real right to the property.</w:t>
      </w:r>
    </w:p>
    <w:p w14:paraId="793A2558" w14:textId="46B7A345" w:rsidR="00741660" w:rsidRDefault="00741660" w:rsidP="00081D2A">
      <w:pPr>
        <w:spacing w:line="360" w:lineRule="auto"/>
        <w:ind w:left="720" w:hanging="720"/>
        <w:jc w:val="both"/>
        <w:rPr>
          <w:u w:val="none"/>
          <w:lang w:val="en-ZA"/>
        </w:rPr>
      </w:pPr>
    </w:p>
    <w:p w14:paraId="2609A7F6" w14:textId="1DD6B8D0" w:rsidR="00741660" w:rsidRPr="00741660" w:rsidRDefault="00741660" w:rsidP="00081D2A">
      <w:pPr>
        <w:spacing w:line="360" w:lineRule="auto"/>
        <w:ind w:left="720" w:hanging="720"/>
        <w:jc w:val="both"/>
        <w:rPr>
          <w:lang w:val="en-ZA"/>
        </w:rPr>
      </w:pPr>
      <w:r w:rsidRPr="00741660">
        <w:rPr>
          <w:lang w:val="en-ZA"/>
        </w:rPr>
        <w:t>CAN THE APPLICANT RELY ON THE THEORY OF FICTIONAL FULLFILLMENT AS</w:t>
      </w:r>
    </w:p>
    <w:p w14:paraId="0DFF631D" w14:textId="1B4AF79B" w:rsidR="00741660" w:rsidRPr="00741660" w:rsidRDefault="00741660" w:rsidP="00081D2A">
      <w:pPr>
        <w:spacing w:line="360" w:lineRule="auto"/>
        <w:ind w:left="720" w:hanging="720"/>
        <w:jc w:val="both"/>
        <w:rPr>
          <w:lang w:val="en-ZA"/>
        </w:rPr>
      </w:pPr>
      <w:r w:rsidRPr="00741660">
        <w:rPr>
          <w:lang w:val="en-ZA"/>
        </w:rPr>
        <w:t>OPPOSED TO THE THEORY OF ABSTRACT TRANSFER</w:t>
      </w:r>
    </w:p>
    <w:p w14:paraId="6A644888" w14:textId="77777777" w:rsidR="00741660" w:rsidRDefault="00741660" w:rsidP="00081D2A">
      <w:pPr>
        <w:spacing w:line="360" w:lineRule="auto"/>
        <w:ind w:left="720" w:hanging="720"/>
        <w:jc w:val="both"/>
        <w:rPr>
          <w:u w:val="none"/>
          <w:lang w:val="en-ZA"/>
        </w:rPr>
      </w:pPr>
    </w:p>
    <w:p w14:paraId="44D12B00" w14:textId="336ED99D" w:rsidR="00342F46" w:rsidRDefault="00342F46" w:rsidP="00081D2A">
      <w:pPr>
        <w:spacing w:line="360" w:lineRule="auto"/>
        <w:ind w:left="720" w:hanging="720"/>
        <w:jc w:val="both"/>
        <w:rPr>
          <w:u w:val="none"/>
          <w:lang w:val="en-ZA"/>
        </w:rPr>
      </w:pPr>
      <w:r>
        <w:rPr>
          <w:u w:val="none"/>
          <w:lang w:val="en-ZA"/>
        </w:rPr>
        <w:t>[49]</w:t>
      </w:r>
      <w:r w:rsidR="00741660">
        <w:rPr>
          <w:u w:val="none"/>
          <w:lang w:val="en-ZA"/>
        </w:rPr>
        <w:tab/>
        <w:t xml:space="preserve">To answer this question the law as set out by the SCA in the matter of </w:t>
      </w:r>
      <w:r w:rsidR="00B86552">
        <w:rPr>
          <w:b/>
          <w:u w:val="none"/>
          <w:lang w:val="en-ZA"/>
        </w:rPr>
        <w:t>Legator</w:t>
      </w:r>
      <w:r w:rsidR="00741660" w:rsidRPr="00741660">
        <w:rPr>
          <w:b/>
          <w:u w:val="none"/>
          <w:lang w:val="en-ZA"/>
        </w:rPr>
        <w:t xml:space="preserve"> McKenna Inc and Another v Shea and Other 2010(1) SA 35 SCA</w:t>
      </w:r>
      <w:r w:rsidR="00741660">
        <w:rPr>
          <w:u w:val="none"/>
          <w:lang w:val="en-ZA"/>
        </w:rPr>
        <w:t xml:space="preserve"> is instructive.  In that matter it was held as follows:</w:t>
      </w:r>
    </w:p>
    <w:p w14:paraId="43C7BF34" w14:textId="60FF100C" w:rsidR="00741660" w:rsidRDefault="00741660" w:rsidP="00081D2A">
      <w:pPr>
        <w:spacing w:line="360" w:lineRule="auto"/>
        <w:ind w:left="720" w:hanging="720"/>
        <w:jc w:val="both"/>
        <w:rPr>
          <w:u w:val="none"/>
          <w:lang w:val="en-ZA"/>
        </w:rPr>
      </w:pPr>
    </w:p>
    <w:p w14:paraId="34177440" w14:textId="0269C773" w:rsidR="00741660" w:rsidRPr="00A82D86" w:rsidRDefault="00741660" w:rsidP="00A82D86">
      <w:pPr>
        <w:spacing w:line="360" w:lineRule="auto"/>
        <w:ind w:left="1440"/>
        <w:jc w:val="both"/>
        <w:rPr>
          <w:sz w:val="22"/>
          <w:szCs w:val="22"/>
          <w:u w:val="none"/>
          <w:lang w:val="en-ZA"/>
        </w:rPr>
      </w:pPr>
      <w:r w:rsidRPr="00A82D86">
        <w:rPr>
          <w:sz w:val="22"/>
          <w:szCs w:val="22"/>
          <w:u w:val="none"/>
          <w:lang w:val="en-ZA"/>
        </w:rPr>
        <w:t>“In accordance with the abstract theory the requirements for the passing of ownership are two fold, namely delivery which in the case of immovable property is effected by registration of transfer in the Deeds office. Coupled with a so-called real a</w:t>
      </w:r>
      <w:r w:rsidR="00B86552">
        <w:rPr>
          <w:sz w:val="22"/>
          <w:szCs w:val="22"/>
          <w:u w:val="none"/>
          <w:lang w:val="en-ZA"/>
        </w:rPr>
        <w:t>greement or “Saaklike ooreenkom</w:t>
      </w:r>
      <w:r w:rsidRPr="00A82D86">
        <w:rPr>
          <w:sz w:val="22"/>
          <w:szCs w:val="22"/>
          <w:u w:val="none"/>
          <w:lang w:val="en-ZA"/>
        </w:rPr>
        <w:t xml:space="preserve">s” the essential elements of the real agreement are an intention on the part of the </w:t>
      </w:r>
      <w:r w:rsidR="00B86552">
        <w:rPr>
          <w:sz w:val="22"/>
          <w:szCs w:val="22"/>
          <w:u w:val="none"/>
          <w:lang w:val="en-ZA"/>
        </w:rPr>
        <w:t>transferor to transfer</w:t>
      </w:r>
      <w:r w:rsidRPr="00A82D86">
        <w:rPr>
          <w:sz w:val="22"/>
          <w:szCs w:val="22"/>
          <w:u w:val="none"/>
          <w:lang w:val="en-ZA"/>
        </w:rPr>
        <w:t xml:space="preserve"> ownership and the intention of the transferee to become the owner of the property.” </w:t>
      </w:r>
    </w:p>
    <w:p w14:paraId="142D2F43" w14:textId="77777777" w:rsidR="00A82D86" w:rsidRDefault="00A82D86" w:rsidP="00081D2A">
      <w:pPr>
        <w:spacing w:line="360" w:lineRule="auto"/>
        <w:ind w:left="720" w:hanging="720"/>
        <w:jc w:val="both"/>
        <w:rPr>
          <w:u w:val="none"/>
          <w:lang w:val="en-ZA"/>
        </w:rPr>
      </w:pPr>
    </w:p>
    <w:p w14:paraId="0C9053FA" w14:textId="4CE608F5" w:rsidR="00757596" w:rsidRDefault="00342F46" w:rsidP="00081D2A">
      <w:pPr>
        <w:spacing w:line="360" w:lineRule="auto"/>
        <w:ind w:left="720" w:hanging="720"/>
        <w:jc w:val="both"/>
        <w:rPr>
          <w:u w:val="none"/>
          <w:lang w:val="en-ZA"/>
        </w:rPr>
      </w:pPr>
      <w:r>
        <w:rPr>
          <w:u w:val="none"/>
          <w:lang w:val="en-ZA"/>
        </w:rPr>
        <w:t xml:space="preserve">[50] </w:t>
      </w:r>
      <w:r w:rsidR="005645BF">
        <w:rPr>
          <w:u w:val="none"/>
          <w:lang w:val="en-ZA"/>
        </w:rPr>
        <w:tab/>
      </w:r>
      <w:r w:rsidR="00665D2F">
        <w:rPr>
          <w:u w:val="none"/>
          <w:lang w:val="en-ZA"/>
        </w:rPr>
        <w:t>The sale agreement between the first and second Respondents complied with all the requirements of a valid agreement coupled with the necessary in</w:t>
      </w:r>
      <w:r w:rsidR="00B86552">
        <w:rPr>
          <w:u w:val="none"/>
          <w:lang w:val="en-ZA"/>
        </w:rPr>
        <w:t>tention</w:t>
      </w:r>
      <w:r w:rsidR="00665D2F">
        <w:rPr>
          <w:u w:val="none"/>
          <w:lang w:val="en-ZA"/>
        </w:rPr>
        <w:t xml:space="preserve"> and meeting of the mind</w:t>
      </w:r>
      <w:r w:rsidR="00B86552">
        <w:rPr>
          <w:u w:val="none"/>
          <w:lang w:val="en-ZA"/>
        </w:rPr>
        <w:t>s</w:t>
      </w:r>
      <w:r w:rsidR="00665D2F">
        <w:rPr>
          <w:u w:val="none"/>
          <w:lang w:val="en-ZA"/>
        </w:rPr>
        <w:t xml:space="preserve"> between the transfer</w:t>
      </w:r>
      <w:r w:rsidR="00B86552">
        <w:rPr>
          <w:u w:val="none"/>
          <w:lang w:val="en-ZA"/>
        </w:rPr>
        <w:t>ror</w:t>
      </w:r>
      <w:r w:rsidR="00665D2F">
        <w:rPr>
          <w:u w:val="none"/>
          <w:lang w:val="en-ZA"/>
        </w:rPr>
        <w:t xml:space="preserve"> and the transferee.  In keeping with the </w:t>
      </w:r>
      <w:r w:rsidR="00B86552">
        <w:rPr>
          <w:u w:val="none"/>
          <w:lang w:val="en-ZA"/>
        </w:rPr>
        <w:t>Legator</w:t>
      </w:r>
      <w:r w:rsidR="00665D2F">
        <w:rPr>
          <w:u w:val="none"/>
          <w:lang w:val="en-ZA"/>
        </w:rPr>
        <w:t xml:space="preserve"> Mckenna decision the registration of transfer effectively rendered the second Respondent the </w:t>
      </w:r>
      <w:r w:rsidR="00665D2F" w:rsidRPr="00B86552">
        <w:rPr>
          <w:i/>
          <w:u w:val="none"/>
          <w:lang w:val="en-ZA"/>
        </w:rPr>
        <w:t>de</w:t>
      </w:r>
      <w:r w:rsidR="00B86552" w:rsidRPr="00B86552">
        <w:rPr>
          <w:i/>
          <w:u w:val="none"/>
          <w:lang w:val="en-ZA"/>
        </w:rPr>
        <w:t xml:space="preserve"> facto</w:t>
      </w:r>
      <w:r w:rsidR="00665D2F">
        <w:rPr>
          <w:u w:val="none"/>
          <w:lang w:val="en-ZA"/>
        </w:rPr>
        <w:t xml:space="preserve"> and de jure owner of the property.  Hence the Applicants did nothing to interdict such transfer.</w:t>
      </w:r>
    </w:p>
    <w:p w14:paraId="7238D1DC" w14:textId="08D7D924" w:rsidR="00600DBD" w:rsidRDefault="00600DBD" w:rsidP="00081D2A">
      <w:pPr>
        <w:spacing w:line="360" w:lineRule="auto"/>
        <w:ind w:left="720" w:hanging="720"/>
        <w:jc w:val="both"/>
        <w:rPr>
          <w:u w:val="none"/>
          <w:lang w:val="en-ZA"/>
        </w:rPr>
      </w:pPr>
    </w:p>
    <w:p w14:paraId="1B5D3ED0" w14:textId="10364FE7" w:rsidR="00F441EF" w:rsidRDefault="00600DBD" w:rsidP="00B86552">
      <w:pPr>
        <w:spacing w:line="360" w:lineRule="auto"/>
        <w:ind w:left="720" w:hanging="720"/>
        <w:jc w:val="both"/>
        <w:rPr>
          <w:u w:val="none"/>
          <w:lang w:val="en-ZA"/>
        </w:rPr>
      </w:pPr>
      <w:r>
        <w:rPr>
          <w:u w:val="none"/>
          <w:lang w:val="en-ZA"/>
        </w:rPr>
        <w:t>[51]</w:t>
      </w:r>
      <w:r w:rsidR="00A82D86">
        <w:rPr>
          <w:u w:val="none"/>
          <w:lang w:val="en-ZA"/>
        </w:rPr>
        <w:tab/>
        <w:t>The finding that the second agreement was valid in all respects goes without saying that there can be no valid attac</w:t>
      </w:r>
      <w:r w:rsidR="00B86552">
        <w:rPr>
          <w:u w:val="none"/>
          <w:lang w:val="en-ZA"/>
        </w:rPr>
        <w:t>k</w:t>
      </w:r>
      <w:r w:rsidR="00A82D86">
        <w:rPr>
          <w:u w:val="none"/>
          <w:lang w:val="en-ZA"/>
        </w:rPr>
        <w:t xml:space="preserve"> on the existence and validity of </w:t>
      </w:r>
      <w:r w:rsidR="00F441EF">
        <w:rPr>
          <w:u w:val="none"/>
          <w:lang w:val="en-ZA"/>
        </w:rPr>
        <w:t xml:space="preserve">the bond registered over the property in favour of the third Respondent.  The mortgage bond was lawfully and validly registered; the Applicants have no basis </w:t>
      </w:r>
      <w:r w:rsidR="00B86552">
        <w:rPr>
          <w:u w:val="none"/>
          <w:lang w:val="en-ZA"/>
        </w:rPr>
        <w:t>t</w:t>
      </w:r>
      <w:r w:rsidR="00F441EF">
        <w:rPr>
          <w:u w:val="none"/>
          <w:lang w:val="en-ZA"/>
        </w:rPr>
        <w:t>o pray for an order directing the fourth Respondent to cancel the title deed against which the third Respondent rights have been registered and secured.</w:t>
      </w:r>
    </w:p>
    <w:p w14:paraId="5BB1E310" w14:textId="35766DC0" w:rsidR="00600DBD" w:rsidRDefault="00F441EF" w:rsidP="00081D2A">
      <w:pPr>
        <w:spacing w:line="360" w:lineRule="auto"/>
        <w:ind w:left="720" w:hanging="720"/>
        <w:jc w:val="both"/>
        <w:rPr>
          <w:u w:val="none"/>
          <w:lang w:val="en-ZA"/>
        </w:rPr>
      </w:pPr>
      <w:r>
        <w:rPr>
          <w:u w:val="none"/>
          <w:lang w:val="en-ZA"/>
        </w:rPr>
        <w:t xml:space="preserve">  </w:t>
      </w:r>
    </w:p>
    <w:p w14:paraId="74A3857C" w14:textId="0D8CA665" w:rsidR="00600DBD" w:rsidRDefault="00600DBD" w:rsidP="00081D2A">
      <w:pPr>
        <w:spacing w:line="360" w:lineRule="auto"/>
        <w:ind w:left="720" w:hanging="720"/>
        <w:jc w:val="both"/>
        <w:rPr>
          <w:u w:val="none"/>
          <w:lang w:val="en-ZA"/>
        </w:rPr>
      </w:pPr>
      <w:r>
        <w:rPr>
          <w:u w:val="none"/>
          <w:lang w:val="en-ZA"/>
        </w:rPr>
        <w:t>[52]</w:t>
      </w:r>
      <w:r w:rsidR="00F441EF">
        <w:rPr>
          <w:u w:val="none"/>
          <w:lang w:val="en-ZA"/>
        </w:rPr>
        <w:tab/>
        <w:t xml:space="preserve">The Applicant reliance on the theory of fictional fulfilment must also fail.  It is a theory that operate where a party to a contract deliberately commits some act </w:t>
      </w:r>
      <w:r w:rsidR="00F441EF">
        <w:rPr>
          <w:u w:val="none"/>
          <w:lang w:val="en-ZA"/>
        </w:rPr>
        <w:lastRenderedPageBreak/>
        <w:t xml:space="preserve">by which fulfilment of a condition </w:t>
      </w:r>
      <w:r w:rsidR="00B86552">
        <w:rPr>
          <w:u w:val="none"/>
          <w:lang w:val="en-ZA"/>
        </w:rPr>
        <w:t>is hi</w:t>
      </w:r>
      <w:r w:rsidR="00F441EF">
        <w:rPr>
          <w:u w:val="none"/>
          <w:lang w:val="en-ZA"/>
        </w:rPr>
        <w:t>nd</w:t>
      </w:r>
      <w:r w:rsidR="00B86552">
        <w:rPr>
          <w:u w:val="none"/>
          <w:lang w:val="en-ZA"/>
        </w:rPr>
        <w:t>er</w:t>
      </w:r>
      <w:r w:rsidR="00F441EF">
        <w:rPr>
          <w:u w:val="none"/>
          <w:lang w:val="en-ZA"/>
        </w:rPr>
        <w:t>ed.  The Applicant has not presented evidence in which respect did the first Respondent interfere with fulfilment of a condition of the first agreement.</w:t>
      </w:r>
      <w:r w:rsidR="00B86552">
        <w:rPr>
          <w:u w:val="none"/>
          <w:lang w:val="en-ZA"/>
        </w:rPr>
        <w:t xml:space="preserve">  The Applicants reliance on this</w:t>
      </w:r>
      <w:r w:rsidR="00F441EF">
        <w:rPr>
          <w:u w:val="none"/>
          <w:lang w:val="en-ZA"/>
        </w:rPr>
        <w:t xml:space="preserve"> doctrine is misplaced.</w:t>
      </w:r>
    </w:p>
    <w:p w14:paraId="1121CEA2" w14:textId="77777777" w:rsidR="00E03A81" w:rsidRDefault="00E03A81" w:rsidP="00081D2A">
      <w:pPr>
        <w:spacing w:line="360" w:lineRule="auto"/>
        <w:ind w:left="720" w:hanging="720"/>
        <w:jc w:val="both"/>
        <w:rPr>
          <w:u w:val="none"/>
          <w:lang w:val="en-ZA"/>
        </w:rPr>
      </w:pPr>
    </w:p>
    <w:p w14:paraId="761CEF7D" w14:textId="562A64DA" w:rsidR="00600DBD" w:rsidRDefault="00600DBD" w:rsidP="00081D2A">
      <w:pPr>
        <w:spacing w:line="360" w:lineRule="auto"/>
        <w:ind w:left="720" w:hanging="720"/>
        <w:jc w:val="both"/>
        <w:rPr>
          <w:u w:val="none"/>
          <w:lang w:val="en-ZA"/>
        </w:rPr>
      </w:pPr>
      <w:r>
        <w:rPr>
          <w:u w:val="none"/>
          <w:lang w:val="en-ZA"/>
        </w:rPr>
        <w:t>[53]</w:t>
      </w:r>
      <w:r w:rsidR="00F441EF">
        <w:rPr>
          <w:u w:val="none"/>
          <w:lang w:val="en-ZA"/>
        </w:rPr>
        <w:tab/>
        <w:t>In conclusion th</w:t>
      </w:r>
      <w:r w:rsidR="00B86552">
        <w:rPr>
          <w:u w:val="none"/>
          <w:lang w:val="en-ZA"/>
        </w:rPr>
        <w:t>is</w:t>
      </w:r>
      <w:r w:rsidR="00F441EF">
        <w:rPr>
          <w:u w:val="none"/>
          <w:lang w:val="en-ZA"/>
        </w:rPr>
        <w:t xml:space="preserve"> Court is satisfied that the agreement between the first and second Respondents remain valid and that the agreement between the Applicant and the first Respondent no longer existed at the time that transfer of the property took place.</w:t>
      </w:r>
    </w:p>
    <w:p w14:paraId="11643FBF" w14:textId="77777777" w:rsidR="00E03A81" w:rsidRDefault="00E03A81" w:rsidP="00081D2A">
      <w:pPr>
        <w:spacing w:line="360" w:lineRule="auto"/>
        <w:ind w:left="720" w:hanging="720"/>
        <w:jc w:val="both"/>
        <w:rPr>
          <w:u w:val="none"/>
          <w:lang w:val="en-ZA"/>
        </w:rPr>
      </w:pPr>
    </w:p>
    <w:p w14:paraId="1792E809" w14:textId="6346CB88" w:rsidR="00600DBD" w:rsidRDefault="00600DBD" w:rsidP="00081D2A">
      <w:pPr>
        <w:spacing w:line="360" w:lineRule="auto"/>
        <w:ind w:left="720" w:hanging="720"/>
        <w:jc w:val="both"/>
        <w:rPr>
          <w:u w:val="none"/>
          <w:lang w:val="en-ZA"/>
        </w:rPr>
      </w:pPr>
      <w:r>
        <w:rPr>
          <w:u w:val="none"/>
          <w:lang w:val="en-ZA"/>
        </w:rPr>
        <w:t>[54]</w:t>
      </w:r>
      <w:r w:rsidR="00E03A81">
        <w:rPr>
          <w:u w:val="none"/>
          <w:lang w:val="en-ZA"/>
        </w:rPr>
        <w:tab/>
        <w:t>In the result the application in case number 30518/2020 is dismissed with costs.</w:t>
      </w:r>
    </w:p>
    <w:p w14:paraId="61F8337C" w14:textId="77777777" w:rsidR="00E03A81" w:rsidRDefault="00E03A81" w:rsidP="00081D2A">
      <w:pPr>
        <w:spacing w:line="360" w:lineRule="auto"/>
        <w:ind w:left="720" w:hanging="720"/>
        <w:jc w:val="both"/>
        <w:rPr>
          <w:u w:val="none"/>
          <w:lang w:val="en-ZA"/>
        </w:rPr>
      </w:pPr>
    </w:p>
    <w:p w14:paraId="2DFB197E" w14:textId="77891BB0" w:rsidR="00E03A81" w:rsidRPr="00E03A81" w:rsidRDefault="00E03A81" w:rsidP="00081D2A">
      <w:pPr>
        <w:spacing w:line="360" w:lineRule="auto"/>
        <w:ind w:left="720" w:hanging="720"/>
        <w:jc w:val="both"/>
        <w:rPr>
          <w:lang w:val="en-ZA"/>
        </w:rPr>
      </w:pPr>
      <w:r w:rsidRPr="00E03A81">
        <w:rPr>
          <w:lang w:val="en-ZA"/>
        </w:rPr>
        <w:t>THE EVICTION APPLICATION CASE NO 34521/2020</w:t>
      </w:r>
    </w:p>
    <w:p w14:paraId="46BA6387" w14:textId="77777777" w:rsidR="00E03A81" w:rsidRDefault="00E03A81" w:rsidP="00081D2A">
      <w:pPr>
        <w:spacing w:line="360" w:lineRule="auto"/>
        <w:ind w:left="720" w:hanging="720"/>
        <w:jc w:val="both"/>
        <w:rPr>
          <w:u w:val="none"/>
          <w:lang w:val="en-ZA"/>
        </w:rPr>
      </w:pPr>
    </w:p>
    <w:p w14:paraId="637746A2" w14:textId="404EF640" w:rsidR="00600DBD" w:rsidRDefault="00600DBD" w:rsidP="00081D2A">
      <w:pPr>
        <w:spacing w:line="360" w:lineRule="auto"/>
        <w:ind w:left="720" w:hanging="720"/>
        <w:jc w:val="both"/>
        <w:rPr>
          <w:u w:val="none"/>
          <w:lang w:val="en-ZA"/>
        </w:rPr>
      </w:pPr>
      <w:r>
        <w:rPr>
          <w:u w:val="none"/>
          <w:lang w:val="en-ZA"/>
        </w:rPr>
        <w:t>[55]</w:t>
      </w:r>
      <w:r w:rsidR="00E03A81">
        <w:rPr>
          <w:u w:val="none"/>
          <w:lang w:val="en-ZA"/>
        </w:rPr>
        <w:tab/>
        <w:t>The Applicant in this matter is the second Respondent in the declaratory application refer</w:t>
      </w:r>
      <w:r w:rsidR="00B86552">
        <w:rPr>
          <w:u w:val="none"/>
          <w:lang w:val="en-ZA"/>
        </w:rPr>
        <w:t>red</w:t>
      </w:r>
      <w:r w:rsidR="00E03A81">
        <w:rPr>
          <w:u w:val="none"/>
          <w:lang w:val="en-ZA"/>
        </w:rPr>
        <w:t xml:space="preserve"> to above.  I have already in that matter found that the second Respondent acquired the right</w:t>
      </w:r>
      <w:r w:rsidR="00B86552">
        <w:rPr>
          <w:u w:val="none"/>
          <w:lang w:val="en-ZA"/>
        </w:rPr>
        <w:t>s</w:t>
      </w:r>
      <w:r w:rsidR="00E03A81">
        <w:rPr>
          <w:u w:val="none"/>
          <w:lang w:val="en-ZA"/>
        </w:rPr>
        <w:t xml:space="preserve"> of ownership of the property lawfully.</w:t>
      </w:r>
    </w:p>
    <w:p w14:paraId="0952AB47" w14:textId="77777777" w:rsidR="00E03A81" w:rsidRDefault="00E03A81" w:rsidP="00081D2A">
      <w:pPr>
        <w:spacing w:line="360" w:lineRule="auto"/>
        <w:ind w:left="720" w:hanging="720"/>
        <w:jc w:val="both"/>
        <w:rPr>
          <w:u w:val="none"/>
          <w:lang w:val="en-ZA"/>
        </w:rPr>
      </w:pPr>
    </w:p>
    <w:p w14:paraId="68A8CA57" w14:textId="677D9D8D" w:rsidR="00600DBD" w:rsidRDefault="00600DBD" w:rsidP="00081D2A">
      <w:pPr>
        <w:spacing w:line="360" w:lineRule="auto"/>
        <w:ind w:left="720" w:hanging="720"/>
        <w:jc w:val="both"/>
        <w:rPr>
          <w:u w:val="none"/>
          <w:lang w:val="en-ZA"/>
        </w:rPr>
      </w:pPr>
      <w:r>
        <w:rPr>
          <w:u w:val="none"/>
          <w:lang w:val="en-ZA"/>
        </w:rPr>
        <w:t>[56]</w:t>
      </w:r>
      <w:r w:rsidR="00E03A81">
        <w:rPr>
          <w:u w:val="none"/>
          <w:lang w:val="en-ZA"/>
        </w:rPr>
        <w:tab/>
        <w:t>The issues to be determined in this eviction application are the following:</w:t>
      </w:r>
    </w:p>
    <w:p w14:paraId="6448BD45" w14:textId="5591DDA7" w:rsidR="00E03A81" w:rsidRDefault="00E03A81" w:rsidP="00081D2A">
      <w:pPr>
        <w:spacing w:line="360" w:lineRule="auto"/>
        <w:ind w:left="720" w:hanging="720"/>
        <w:jc w:val="both"/>
        <w:rPr>
          <w:u w:val="none"/>
          <w:lang w:val="en-ZA"/>
        </w:rPr>
      </w:pPr>
    </w:p>
    <w:p w14:paraId="57F1247C" w14:textId="0FE76429" w:rsidR="00E03A81" w:rsidRDefault="00E03A81" w:rsidP="00E03A81">
      <w:pPr>
        <w:pStyle w:val="ListParagraph"/>
        <w:numPr>
          <w:ilvl w:val="0"/>
          <w:numId w:val="25"/>
        </w:numPr>
        <w:spacing w:line="360" w:lineRule="auto"/>
        <w:jc w:val="both"/>
        <w:rPr>
          <w:u w:val="none"/>
          <w:lang w:val="en-ZA"/>
        </w:rPr>
      </w:pPr>
      <w:r>
        <w:rPr>
          <w:u w:val="none"/>
          <w:lang w:val="en-ZA"/>
        </w:rPr>
        <w:t>Whether the Applicant in the declaratory application acquired any legal right to continue occupation of the property.</w:t>
      </w:r>
    </w:p>
    <w:p w14:paraId="3AFA2241" w14:textId="77777777" w:rsidR="0075407C" w:rsidRDefault="0075407C" w:rsidP="0075407C">
      <w:pPr>
        <w:pStyle w:val="ListParagraph"/>
        <w:spacing w:line="360" w:lineRule="auto"/>
        <w:ind w:left="1080"/>
        <w:jc w:val="both"/>
        <w:rPr>
          <w:u w:val="none"/>
          <w:lang w:val="en-ZA"/>
        </w:rPr>
      </w:pPr>
    </w:p>
    <w:p w14:paraId="542D4D77" w14:textId="3049D502" w:rsidR="00E03A81" w:rsidRDefault="00E03A81" w:rsidP="00E03A81">
      <w:pPr>
        <w:pStyle w:val="ListParagraph"/>
        <w:numPr>
          <w:ilvl w:val="0"/>
          <w:numId w:val="25"/>
        </w:numPr>
        <w:spacing w:line="360" w:lineRule="auto"/>
        <w:jc w:val="both"/>
        <w:rPr>
          <w:u w:val="none"/>
          <w:lang w:val="en-ZA"/>
        </w:rPr>
      </w:pPr>
      <w:r>
        <w:rPr>
          <w:u w:val="none"/>
          <w:lang w:val="en-ZA"/>
        </w:rPr>
        <w:t>Whether it is just and equitable to evict the Applicant</w:t>
      </w:r>
      <w:r w:rsidR="00B86552">
        <w:rPr>
          <w:u w:val="none"/>
          <w:lang w:val="en-ZA"/>
        </w:rPr>
        <w:t>s</w:t>
      </w:r>
      <w:r>
        <w:rPr>
          <w:u w:val="none"/>
          <w:lang w:val="en-ZA"/>
        </w:rPr>
        <w:t>.</w:t>
      </w:r>
    </w:p>
    <w:p w14:paraId="25C2AF3A" w14:textId="5D45FE8A" w:rsidR="0075407C" w:rsidRPr="0075407C" w:rsidRDefault="0075407C" w:rsidP="0075407C">
      <w:pPr>
        <w:spacing w:line="360" w:lineRule="auto"/>
        <w:jc w:val="both"/>
        <w:rPr>
          <w:u w:val="none"/>
          <w:lang w:val="en-ZA"/>
        </w:rPr>
      </w:pPr>
    </w:p>
    <w:p w14:paraId="38DAB752" w14:textId="3645DD53" w:rsidR="00E03A81" w:rsidRPr="00E03A81" w:rsidRDefault="00E03A81" w:rsidP="00E03A81">
      <w:pPr>
        <w:pStyle w:val="ListParagraph"/>
        <w:numPr>
          <w:ilvl w:val="0"/>
          <w:numId w:val="25"/>
        </w:numPr>
        <w:spacing w:line="360" w:lineRule="auto"/>
        <w:jc w:val="both"/>
        <w:rPr>
          <w:u w:val="none"/>
          <w:lang w:val="en-ZA"/>
        </w:rPr>
      </w:pPr>
      <w:r>
        <w:rPr>
          <w:u w:val="none"/>
          <w:lang w:val="en-ZA"/>
        </w:rPr>
        <w:t xml:space="preserve">In the event the eviction is granted what will be a suitable time period within which the eviction shall be executed. </w:t>
      </w:r>
    </w:p>
    <w:p w14:paraId="27B357A0" w14:textId="77777777" w:rsidR="00E03A81" w:rsidRDefault="00E03A81" w:rsidP="00081D2A">
      <w:pPr>
        <w:spacing w:line="360" w:lineRule="auto"/>
        <w:ind w:left="720" w:hanging="720"/>
        <w:jc w:val="both"/>
        <w:rPr>
          <w:u w:val="none"/>
          <w:lang w:val="en-ZA"/>
        </w:rPr>
      </w:pPr>
    </w:p>
    <w:p w14:paraId="1D9CEAC1" w14:textId="60EB17A0" w:rsidR="00600DBD" w:rsidRDefault="00600DBD" w:rsidP="00081D2A">
      <w:pPr>
        <w:spacing w:line="360" w:lineRule="auto"/>
        <w:ind w:left="720" w:hanging="720"/>
        <w:jc w:val="both"/>
        <w:rPr>
          <w:u w:val="none"/>
          <w:lang w:val="en-ZA"/>
        </w:rPr>
      </w:pPr>
      <w:r>
        <w:rPr>
          <w:u w:val="none"/>
          <w:lang w:val="en-ZA"/>
        </w:rPr>
        <w:t>[57]</w:t>
      </w:r>
      <w:r w:rsidR="002E5E5D">
        <w:rPr>
          <w:u w:val="none"/>
          <w:lang w:val="en-ZA"/>
        </w:rPr>
        <w:tab/>
        <w:t>I shall hencefort</w:t>
      </w:r>
      <w:r w:rsidR="00B86552">
        <w:rPr>
          <w:u w:val="none"/>
          <w:lang w:val="en-ZA"/>
        </w:rPr>
        <w:t>h refer to the parties as they ar</w:t>
      </w:r>
      <w:r w:rsidR="002E5E5D">
        <w:rPr>
          <w:u w:val="none"/>
          <w:lang w:val="en-ZA"/>
        </w:rPr>
        <w:t>e listed in the eviction application to avoid confusion.</w:t>
      </w:r>
    </w:p>
    <w:p w14:paraId="3A05AF6F" w14:textId="77777777" w:rsidR="0061020D" w:rsidRDefault="0061020D" w:rsidP="00081D2A">
      <w:pPr>
        <w:spacing w:line="360" w:lineRule="auto"/>
        <w:ind w:left="720" w:hanging="720"/>
        <w:jc w:val="both"/>
        <w:rPr>
          <w:u w:val="none"/>
          <w:lang w:val="en-ZA"/>
        </w:rPr>
      </w:pPr>
    </w:p>
    <w:p w14:paraId="1C69406D" w14:textId="047DB2AD" w:rsidR="00CC1763" w:rsidRDefault="00600DBD" w:rsidP="00081D2A">
      <w:pPr>
        <w:spacing w:line="360" w:lineRule="auto"/>
        <w:ind w:left="720" w:hanging="720"/>
        <w:jc w:val="both"/>
        <w:rPr>
          <w:u w:val="none"/>
          <w:lang w:val="en-ZA"/>
        </w:rPr>
      </w:pPr>
      <w:r>
        <w:rPr>
          <w:u w:val="none"/>
          <w:lang w:val="en-ZA"/>
        </w:rPr>
        <w:t>[58]</w:t>
      </w:r>
      <w:r w:rsidR="0061020D">
        <w:rPr>
          <w:u w:val="none"/>
          <w:lang w:val="en-ZA"/>
        </w:rPr>
        <w:tab/>
        <w:t>It is common cause that the property Erf 1262</w:t>
      </w:r>
      <w:r w:rsidR="00B86552">
        <w:rPr>
          <w:u w:val="none"/>
          <w:lang w:val="en-ZA"/>
        </w:rPr>
        <w:t xml:space="preserve"> Seriri</w:t>
      </w:r>
      <w:r w:rsidR="00CC1763">
        <w:rPr>
          <w:u w:val="none"/>
          <w:lang w:val="en-ZA"/>
        </w:rPr>
        <w:t xml:space="preserve"> Mofolo Central Soweto was registered in the name of the Applicant namely Dichabe Itumeleng Gift on the </w:t>
      </w:r>
      <w:r w:rsidR="00CC1763">
        <w:rPr>
          <w:u w:val="none"/>
          <w:lang w:val="en-ZA"/>
        </w:rPr>
        <w:lastRenderedPageBreak/>
        <w:t>9</w:t>
      </w:r>
      <w:r w:rsidR="00CC1763" w:rsidRPr="00CC1763">
        <w:rPr>
          <w:u w:val="none"/>
          <w:vertAlign w:val="superscript"/>
          <w:lang w:val="en-ZA"/>
        </w:rPr>
        <w:t>th</w:t>
      </w:r>
      <w:r w:rsidR="00CC1763">
        <w:rPr>
          <w:u w:val="none"/>
          <w:lang w:val="en-ZA"/>
        </w:rPr>
        <w:t xml:space="preserve"> April 2019.  It is also common cause that the property is occupied by the third Respondent being the daughter of the first and second Respondents.</w:t>
      </w:r>
    </w:p>
    <w:p w14:paraId="59A436F8" w14:textId="2F74518C" w:rsidR="00600DBD" w:rsidRDefault="00CC1763" w:rsidP="00081D2A">
      <w:pPr>
        <w:spacing w:line="360" w:lineRule="auto"/>
        <w:ind w:left="720" w:hanging="720"/>
        <w:jc w:val="both"/>
        <w:rPr>
          <w:u w:val="none"/>
          <w:lang w:val="en-ZA"/>
        </w:rPr>
      </w:pPr>
      <w:r>
        <w:rPr>
          <w:u w:val="none"/>
          <w:lang w:val="en-ZA"/>
        </w:rPr>
        <w:t xml:space="preserve"> </w:t>
      </w:r>
    </w:p>
    <w:p w14:paraId="10ADFA68" w14:textId="425FC921" w:rsidR="00600DBD" w:rsidRDefault="00600DBD" w:rsidP="00081D2A">
      <w:pPr>
        <w:spacing w:line="360" w:lineRule="auto"/>
        <w:ind w:left="720" w:hanging="720"/>
        <w:jc w:val="both"/>
        <w:rPr>
          <w:u w:val="none"/>
          <w:lang w:val="en-ZA"/>
        </w:rPr>
      </w:pPr>
      <w:r>
        <w:rPr>
          <w:u w:val="none"/>
          <w:lang w:val="en-ZA"/>
        </w:rPr>
        <w:t>[59]</w:t>
      </w:r>
      <w:r w:rsidR="00CC1763">
        <w:rPr>
          <w:u w:val="none"/>
          <w:lang w:val="en-ZA"/>
        </w:rPr>
        <w:tab/>
        <w:t>After the sale and registration of the property into the name of the Applicant a letter was sent to the Respondents to vacate the property by the end of August 2019.  The Respondent did not heed that letter of demand as a result a second letter was sent to the Respondent by the Applicants’ attorneys</w:t>
      </w:r>
      <w:r w:rsidR="00905533">
        <w:rPr>
          <w:u w:val="none"/>
          <w:lang w:val="en-ZA"/>
        </w:rPr>
        <w:t xml:space="preserve"> calling on the Respondents to vacate the property by the 14</w:t>
      </w:r>
      <w:r w:rsidR="00905533" w:rsidRPr="00905533">
        <w:rPr>
          <w:u w:val="none"/>
          <w:vertAlign w:val="superscript"/>
          <w:lang w:val="en-ZA"/>
        </w:rPr>
        <w:t>th</w:t>
      </w:r>
      <w:r w:rsidR="00905533">
        <w:rPr>
          <w:u w:val="none"/>
          <w:lang w:val="en-ZA"/>
        </w:rPr>
        <w:t xml:space="preserve"> September 2020.  Still the Respondents did not vacate the property it is this refusal that prompted the Applicant to proceed with this application in terms of the PIE Act.</w:t>
      </w:r>
    </w:p>
    <w:p w14:paraId="6FB3C6C9" w14:textId="048099FB" w:rsidR="00905533" w:rsidRDefault="00905533" w:rsidP="00081D2A">
      <w:pPr>
        <w:spacing w:line="360" w:lineRule="auto"/>
        <w:ind w:left="720" w:hanging="720"/>
        <w:jc w:val="both"/>
        <w:rPr>
          <w:u w:val="none"/>
          <w:lang w:val="en-ZA"/>
        </w:rPr>
      </w:pPr>
    </w:p>
    <w:p w14:paraId="1603725B" w14:textId="77AEEEE0" w:rsidR="00600DBD" w:rsidRDefault="00600DBD" w:rsidP="00081D2A">
      <w:pPr>
        <w:spacing w:line="360" w:lineRule="auto"/>
        <w:ind w:left="720" w:hanging="720"/>
        <w:jc w:val="both"/>
        <w:rPr>
          <w:u w:val="none"/>
          <w:lang w:val="en-ZA"/>
        </w:rPr>
      </w:pPr>
      <w:r>
        <w:rPr>
          <w:u w:val="none"/>
          <w:lang w:val="en-ZA"/>
        </w:rPr>
        <w:t>[60]</w:t>
      </w:r>
      <w:r w:rsidR="0059625F">
        <w:rPr>
          <w:u w:val="none"/>
          <w:lang w:val="en-ZA"/>
        </w:rPr>
        <w:tab/>
        <w:t xml:space="preserve">The first and second Respondents are not in occupation of the property however, it </w:t>
      </w:r>
      <w:r w:rsidR="00B86552">
        <w:rPr>
          <w:u w:val="none"/>
          <w:lang w:val="en-ZA"/>
        </w:rPr>
        <w:t>is so that the only occup</w:t>
      </w:r>
      <w:r w:rsidR="0059625F">
        <w:rPr>
          <w:u w:val="none"/>
          <w:lang w:val="en-ZA"/>
        </w:rPr>
        <w:t>i</w:t>
      </w:r>
      <w:r w:rsidR="00B86552">
        <w:rPr>
          <w:u w:val="none"/>
          <w:lang w:val="en-ZA"/>
        </w:rPr>
        <w:t>er</w:t>
      </w:r>
      <w:r w:rsidR="0059625F">
        <w:rPr>
          <w:u w:val="none"/>
          <w:lang w:val="en-ZA"/>
        </w:rPr>
        <w:t xml:space="preserve"> being the third Respondent does so on the authority of the first and second Respondents.</w:t>
      </w:r>
    </w:p>
    <w:p w14:paraId="7A807110" w14:textId="77777777" w:rsidR="0059625F" w:rsidRDefault="0059625F" w:rsidP="00081D2A">
      <w:pPr>
        <w:spacing w:line="360" w:lineRule="auto"/>
        <w:ind w:left="720" w:hanging="720"/>
        <w:jc w:val="both"/>
        <w:rPr>
          <w:u w:val="none"/>
          <w:lang w:val="en-ZA"/>
        </w:rPr>
      </w:pPr>
    </w:p>
    <w:p w14:paraId="04DCA9A8" w14:textId="358873BE" w:rsidR="00757596" w:rsidRDefault="00E03A81" w:rsidP="00081D2A">
      <w:pPr>
        <w:spacing w:line="360" w:lineRule="auto"/>
        <w:ind w:left="720" w:hanging="720"/>
        <w:jc w:val="both"/>
        <w:rPr>
          <w:u w:val="none"/>
          <w:lang w:val="en-ZA"/>
        </w:rPr>
      </w:pPr>
      <w:r>
        <w:rPr>
          <w:u w:val="none"/>
          <w:lang w:val="en-ZA"/>
        </w:rPr>
        <w:t>[61]</w:t>
      </w:r>
      <w:r w:rsidR="0059625F">
        <w:rPr>
          <w:u w:val="none"/>
          <w:lang w:val="en-ZA"/>
        </w:rPr>
        <w:tab/>
        <w:t>The Respondent oppose this eviction application on the following grounds:</w:t>
      </w:r>
    </w:p>
    <w:p w14:paraId="4ECD19C9" w14:textId="2D632516" w:rsidR="0059625F" w:rsidRDefault="0059625F" w:rsidP="00081D2A">
      <w:pPr>
        <w:spacing w:line="360" w:lineRule="auto"/>
        <w:ind w:left="720" w:hanging="720"/>
        <w:jc w:val="both"/>
        <w:rPr>
          <w:u w:val="none"/>
          <w:lang w:val="en-ZA"/>
        </w:rPr>
      </w:pPr>
    </w:p>
    <w:p w14:paraId="4F929A81" w14:textId="463DD7C1" w:rsidR="0059625F" w:rsidRDefault="0059625F" w:rsidP="0059625F">
      <w:pPr>
        <w:pStyle w:val="ListParagraph"/>
        <w:numPr>
          <w:ilvl w:val="0"/>
          <w:numId w:val="26"/>
        </w:numPr>
        <w:spacing w:line="360" w:lineRule="auto"/>
        <w:jc w:val="both"/>
        <w:rPr>
          <w:u w:val="none"/>
          <w:lang w:val="en-ZA"/>
        </w:rPr>
      </w:pPr>
      <w:r>
        <w:rPr>
          <w:u w:val="none"/>
          <w:lang w:val="en-ZA"/>
        </w:rPr>
        <w:t>That their occupation of the property is lawful because they have an existing lawful sale agreement with the owner Ms Khak</w:t>
      </w:r>
      <w:r w:rsidR="00436DBB">
        <w:rPr>
          <w:u w:val="none"/>
          <w:lang w:val="en-ZA"/>
        </w:rPr>
        <w:t>h</w:t>
      </w:r>
      <w:r>
        <w:rPr>
          <w:u w:val="none"/>
          <w:lang w:val="en-ZA"/>
        </w:rPr>
        <w:t>u Mulaudzi.</w:t>
      </w:r>
    </w:p>
    <w:p w14:paraId="730EEC80" w14:textId="77777777" w:rsidR="0059625F" w:rsidRDefault="0059625F" w:rsidP="0059625F">
      <w:pPr>
        <w:pStyle w:val="ListParagraph"/>
        <w:spacing w:line="360" w:lineRule="auto"/>
        <w:ind w:left="1440"/>
        <w:jc w:val="both"/>
        <w:rPr>
          <w:u w:val="none"/>
          <w:lang w:val="en-ZA"/>
        </w:rPr>
      </w:pPr>
    </w:p>
    <w:p w14:paraId="15347099" w14:textId="50980828" w:rsidR="0059625F" w:rsidRDefault="0059625F" w:rsidP="0059625F">
      <w:pPr>
        <w:pStyle w:val="ListParagraph"/>
        <w:numPr>
          <w:ilvl w:val="0"/>
          <w:numId w:val="26"/>
        </w:numPr>
        <w:spacing w:line="360" w:lineRule="auto"/>
        <w:jc w:val="both"/>
        <w:rPr>
          <w:u w:val="none"/>
          <w:lang w:val="en-ZA"/>
        </w:rPr>
      </w:pPr>
      <w:r>
        <w:rPr>
          <w:u w:val="none"/>
          <w:lang w:val="en-ZA"/>
        </w:rPr>
        <w:t>Secondly that the sale agreement between the Applicant and Ms Mulaudzi is invalid thus affecting the transfer of the property to the Applicants.</w:t>
      </w:r>
    </w:p>
    <w:p w14:paraId="56AD7FC1" w14:textId="77777777" w:rsidR="0059625F" w:rsidRDefault="0059625F" w:rsidP="00081D2A">
      <w:pPr>
        <w:spacing w:line="360" w:lineRule="auto"/>
        <w:ind w:left="720" w:hanging="720"/>
        <w:jc w:val="both"/>
        <w:rPr>
          <w:u w:val="none"/>
          <w:lang w:val="en-ZA"/>
        </w:rPr>
      </w:pPr>
    </w:p>
    <w:p w14:paraId="3C2AAEA0" w14:textId="68EC7410" w:rsidR="00E03A81" w:rsidRDefault="00E03A81" w:rsidP="00081D2A">
      <w:pPr>
        <w:spacing w:line="360" w:lineRule="auto"/>
        <w:ind w:left="720" w:hanging="720"/>
        <w:jc w:val="both"/>
        <w:rPr>
          <w:u w:val="none"/>
          <w:lang w:val="en-ZA"/>
        </w:rPr>
      </w:pPr>
      <w:r>
        <w:rPr>
          <w:u w:val="none"/>
          <w:lang w:val="en-ZA"/>
        </w:rPr>
        <w:t>[62]</w:t>
      </w:r>
      <w:r w:rsidR="0059625F">
        <w:rPr>
          <w:u w:val="none"/>
          <w:lang w:val="en-ZA"/>
        </w:rPr>
        <w:tab/>
        <w:t>I refer to the judgment in case number 30518/2020 and repeat contents thereof in this judgment.  I have made a finding that the sale agreement and subsequent transfer of the property to the Applicant on the 9</w:t>
      </w:r>
      <w:r w:rsidR="0059625F" w:rsidRPr="0059625F">
        <w:rPr>
          <w:u w:val="none"/>
          <w:vertAlign w:val="superscript"/>
          <w:lang w:val="en-ZA"/>
        </w:rPr>
        <w:t>th</w:t>
      </w:r>
      <w:r w:rsidR="0059625F">
        <w:rPr>
          <w:u w:val="none"/>
          <w:lang w:val="en-ZA"/>
        </w:rPr>
        <w:t xml:space="preserve"> April 2019 is valid and cannot be faulted.</w:t>
      </w:r>
    </w:p>
    <w:p w14:paraId="522D6D17" w14:textId="77777777" w:rsidR="001D71EE" w:rsidRDefault="001D71EE" w:rsidP="00081D2A">
      <w:pPr>
        <w:spacing w:line="360" w:lineRule="auto"/>
        <w:ind w:left="720" w:hanging="720"/>
        <w:jc w:val="both"/>
        <w:rPr>
          <w:u w:val="none"/>
          <w:lang w:val="en-ZA"/>
        </w:rPr>
      </w:pPr>
    </w:p>
    <w:p w14:paraId="5DBAF8ED" w14:textId="77777777" w:rsidR="001D71EE" w:rsidRPr="001D71EE" w:rsidRDefault="001D71EE" w:rsidP="00081D2A">
      <w:pPr>
        <w:spacing w:line="360" w:lineRule="auto"/>
        <w:ind w:left="720" w:hanging="720"/>
        <w:jc w:val="both"/>
        <w:rPr>
          <w:lang w:val="en-ZA"/>
        </w:rPr>
      </w:pPr>
      <w:r w:rsidRPr="001D71EE">
        <w:rPr>
          <w:lang w:val="en-ZA"/>
        </w:rPr>
        <w:t xml:space="preserve">DOES THE FIRST TO THIRD RESPONDENTS HAVE A LEGAL RIGHT TO </w:t>
      </w:r>
    </w:p>
    <w:p w14:paraId="18561F9C" w14:textId="1F92CC79" w:rsidR="0059625F" w:rsidRPr="001D71EE" w:rsidRDefault="001D71EE" w:rsidP="00081D2A">
      <w:pPr>
        <w:spacing w:line="360" w:lineRule="auto"/>
        <w:ind w:left="720" w:hanging="720"/>
        <w:jc w:val="both"/>
        <w:rPr>
          <w:lang w:val="en-ZA"/>
        </w:rPr>
      </w:pPr>
      <w:r w:rsidRPr="001D71EE">
        <w:rPr>
          <w:lang w:val="en-ZA"/>
        </w:rPr>
        <w:t>CONTINUE OCCUPATION OF THE PROPERTY?</w:t>
      </w:r>
    </w:p>
    <w:p w14:paraId="1E64E430" w14:textId="77777777" w:rsidR="001D71EE" w:rsidRDefault="001D71EE" w:rsidP="00081D2A">
      <w:pPr>
        <w:spacing w:line="360" w:lineRule="auto"/>
        <w:ind w:left="720" w:hanging="720"/>
        <w:jc w:val="both"/>
        <w:rPr>
          <w:u w:val="none"/>
          <w:lang w:val="en-ZA"/>
        </w:rPr>
      </w:pPr>
    </w:p>
    <w:p w14:paraId="5F89D57F" w14:textId="77777777" w:rsidR="00693678" w:rsidRDefault="00E03A81" w:rsidP="00081D2A">
      <w:pPr>
        <w:spacing w:line="360" w:lineRule="auto"/>
        <w:ind w:left="720" w:hanging="720"/>
        <w:jc w:val="both"/>
        <w:rPr>
          <w:u w:val="none"/>
          <w:lang w:val="en-ZA"/>
        </w:rPr>
      </w:pPr>
      <w:r>
        <w:rPr>
          <w:u w:val="none"/>
          <w:lang w:val="en-ZA"/>
        </w:rPr>
        <w:t>[63]</w:t>
      </w:r>
      <w:r w:rsidR="0059625F">
        <w:rPr>
          <w:u w:val="none"/>
          <w:lang w:val="en-ZA"/>
        </w:rPr>
        <w:tab/>
      </w:r>
      <w:r w:rsidR="001D71EE">
        <w:rPr>
          <w:u w:val="none"/>
          <w:lang w:val="en-ZA"/>
        </w:rPr>
        <w:t xml:space="preserve">This question has been answered in my finding in respect of case number 30518/2020.  The first Respondent in his own words admitted having stopped </w:t>
      </w:r>
      <w:r w:rsidR="001D71EE">
        <w:rPr>
          <w:u w:val="none"/>
          <w:lang w:val="en-ZA"/>
        </w:rPr>
        <w:lastRenderedPageBreak/>
        <w:t xml:space="preserve">making payments to Ms Mulaudzi the seller.  I have also in my judgement above found that the first agreement became void by virtue </w:t>
      </w:r>
      <w:r w:rsidR="00693678">
        <w:rPr>
          <w:u w:val="none"/>
          <w:lang w:val="en-ZA"/>
        </w:rPr>
        <w:t>of it not having been registered in terms of Section 20 of the Alienation of Land Act.</w:t>
      </w:r>
    </w:p>
    <w:p w14:paraId="251E98FF" w14:textId="079AFA88" w:rsidR="00E03A81" w:rsidRDefault="001D71EE" w:rsidP="00081D2A">
      <w:pPr>
        <w:spacing w:line="360" w:lineRule="auto"/>
        <w:ind w:left="720" w:hanging="720"/>
        <w:jc w:val="both"/>
        <w:rPr>
          <w:u w:val="none"/>
          <w:lang w:val="en-ZA"/>
        </w:rPr>
      </w:pPr>
      <w:r>
        <w:rPr>
          <w:u w:val="none"/>
          <w:lang w:val="en-ZA"/>
        </w:rPr>
        <w:t xml:space="preserve"> </w:t>
      </w:r>
    </w:p>
    <w:p w14:paraId="1299C57B" w14:textId="77777777" w:rsidR="00AE1CEF" w:rsidRDefault="00E03A81" w:rsidP="00081D2A">
      <w:pPr>
        <w:spacing w:line="360" w:lineRule="auto"/>
        <w:ind w:left="720" w:hanging="720"/>
        <w:jc w:val="both"/>
        <w:rPr>
          <w:u w:val="none"/>
          <w:lang w:val="en-ZA"/>
        </w:rPr>
      </w:pPr>
      <w:r>
        <w:rPr>
          <w:u w:val="none"/>
          <w:lang w:val="en-ZA"/>
        </w:rPr>
        <w:t>[64]</w:t>
      </w:r>
      <w:r w:rsidR="00693678">
        <w:rPr>
          <w:u w:val="none"/>
          <w:lang w:val="en-ZA"/>
        </w:rPr>
        <w:tab/>
        <w:t>There is evidence that the first Respondent knew as far back as November 2018 that Ms Mulaudzi was selling the property to someone else.  The first Respondent took no steps to assert his rights in terms o</w:t>
      </w:r>
      <w:r w:rsidR="00AE1CEF">
        <w:rPr>
          <w:u w:val="none"/>
          <w:lang w:val="en-ZA"/>
        </w:rPr>
        <w:t>f the first agreement. The sell</w:t>
      </w:r>
      <w:r w:rsidR="00693678">
        <w:rPr>
          <w:u w:val="none"/>
          <w:lang w:val="en-ZA"/>
        </w:rPr>
        <w:t>er Ms Mulaudzi acted openly and did not hide that fact.  I</w:t>
      </w:r>
      <w:r w:rsidR="00AE1CEF">
        <w:rPr>
          <w:u w:val="none"/>
          <w:lang w:val="en-ZA"/>
        </w:rPr>
        <w:t>f the Respondents felt aggrieved they could have at that stage interdicted the sale.  In the result I find that the first to third Respondents lost whatever right they may have in respect of the property during November 2018 and accordingly have no right to continue occupation.</w:t>
      </w:r>
    </w:p>
    <w:p w14:paraId="51F3F810" w14:textId="10750972" w:rsidR="00E03A81" w:rsidRDefault="00AE1CEF" w:rsidP="00081D2A">
      <w:pPr>
        <w:spacing w:line="360" w:lineRule="auto"/>
        <w:ind w:left="720" w:hanging="720"/>
        <w:jc w:val="both"/>
        <w:rPr>
          <w:u w:val="none"/>
          <w:lang w:val="en-ZA"/>
        </w:rPr>
      </w:pPr>
      <w:r>
        <w:rPr>
          <w:u w:val="none"/>
          <w:lang w:val="en-ZA"/>
        </w:rPr>
        <w:t xml:space="preserve"> </w:t>
      </w:r>
    </w:p>
    <w:p w14:paraId="74F817A1" w14:textId="7BA05301" w:rsidR="007C2D3E" w:rsidRPr="007C2D3E" w:rsidRDefault="007C2D3E" w:rsidP="00081D2A">
      <w:pPr>
        <w:spacing w:line="360" w:lineRule="auto"/>
        <w:ind w:left="720" w:hanging="720"/>
        <w:jc w:val="both"/>
        <w:rPr>
          <w:lang w:val="en-ZA"/>
        </w:rPr>
      </w:pPr>
      <w:r w:rsidRPr="007C2D3E">
        <w:rPr>
          <w:lang w:val="en-ZA"/>
        </w:rPr>
        <w:t>IS IT JUST AND EQUITABLE TO EVICT THE FIRST TO THIRD RESPONDENTS?</w:t>
      </w:r>
    </w:p>
    <w:p w14:paraId="509D59C7" w14:textId="77777777" w:rsidR="007C2D3E" w:rsidRPr="007C2D3E" w:rsidRDefault="007C2D3E" w:rsidP="00081D2A">
      <w:pPr>
        <w:spacing w:line="360" w:lineRule="auto"/>
        <w:ind w:left="720" w:hanging="720"/>
        <w:jc w:val="both"/>
        <w:rPr>
          <w:lang w:val="en-ZA"/>
        </w:rPr>
      </w:pPr>
    </w:p>
    <w:p w14:paraId="5F10CDF1" w14:textId="77777777" w:rsidR="007C2D3E" w:rsidRDefault="00E03A81" w:rsidP="00081D2A">
      <w:pPr>
        <w:spacing w:line="360" w:lineRule="auto"/>
        <w:ind w:left="720" w:hanging="720"/>
        <w:jc w:val="both"/>
        <w:rPr>
          <w:u w:val="none"/>
          <w:lang w:val="en-ZA"/>
        </w:rPr>
      </w:pPr>
      <w:r>
        <w:rPr>
          <w:u w:val="none"/>
          <w:lang w:val="en-ZA"/>
        </w:rPr>
        <w:t>[65]</w:t>
      </w:r>
      <w:r w:rsidR="007C2D3E">
        <w:rPr>
          <w:u w:val="none"/>
          <w:lang w:val="en-ZA"/>
        </w:rPr>
        <w:tab/>
        <w:t>The first and third Respondents do not claim that the property is their prime residence.  It is only the third Respondent who can claim that the property is her primary residence.</w:t>
      </w:r>
    </w:p>
    <w:p w14:paraId="193BAD0F" w14:textId="7E3F579B" w:rsidR="00E03A81" w:rsidRDefault="007C2D3E" w:rsidP="00081D2A">
      <w:pPr>
        <w:spacing w:line="360" w:lineRule="auto"/>
        <w:ind w:left="720" w:hanging="720"/>
        <w:jc w:val="both"/>
        <w:rPr>
          <w:u w:val="none"/>
          <w:lang w:val="en-ZA"/>
        </w:rPr>
      </w:pPr>
      <w:r>
        <w:rPr>
          <w:u w:val="none"/>
          <w:lang w:val="en-ZA"/>
        </w:rPr>
        <w:t xml:space="preserve"> </w:t>
      </w:r>
    </w:p>
    <w:p w14:paraId="2B10058C" w14:textId="2A84369B" w:rsidR="00E03A81" w:rsidRDefault="00E03A81" w:rsidP="00081D2A">
      <w:pPr>
        <w:spacing w:line="360" w:lineRule="auto"/>
        <w:ind w:left="720" w:hanging="720"/>
        <w:jc w:val="both"/>
        <w:rPr>
          <w:u w:val="none"/>
          <w:lang w:val="en-ZA"/>
        </w:rPr>
      </w:pPr>
      <w:r>
        <w:rPr>
          <w:u w:val="none"/>
          <w:lang w:val="en-ZA"/>
        </w:rPr>
        <w:t>[66]</w:t>
      </w:r>
      <w:r w:rsidR="007C2D3E">
        <w:rPr>
          <w:u w:val="none"/>
          <w:lang w:val="en-ZA"/>
        </w:rPr>
        <w:tab/>
        <w:t xml:space="preserve">Section 4 (6) of the PIE Act provides that a Court must grant an eviction order </w:t>
      </w:r>
      <w:r w:rsidR="00E22885">
        <w:rPr>
          <w:u w:val="none"/>
          <w:lang w:val="en-ZA"/>
        </w:rPr>
        <w:t xml:space="preserve">if </w:t>
      </w:r>
      <w:r w:rsidR="007C2D3E">
        <w:rPr>
          <w:u w:val="none"/>
          <w:lang w:val="en-ZA"/>
        </w:rPr>
        <w:t>it is of the view that it is just and equitable to do so after considering all the relevant facts.  Such relevant facts besides ownership includes inter alia whether the property is occupied by the elderly, children, disabled persons and households headed by</w:t>
      </w:r>
      <w:r w:rsidR="00E22885">
        <w:rPr>
          <w:u w:val="none"/>
          <w:lang w:val="en-ZA"/>
        </w:rPr>
        <w:t xml:space="preserve"> woman</w:t>
      </w:r>
      <w:r w:rsidR="007C2D3E">
        <w:rPr>
          <w:u w:val="none"/>
          <w:lang w:val="en-ZA"/>
        </w:rPr>
        <w:t>.</w:t>
      </w:r>
    </w:p>
    <w:p w14:paraId="21893395" w14:textId="77777777" w:rsidR="007C2D3E" w:rsidRDefault="007C2D3E" w:rsidP="00081D2A">
      <w:pPr>
        <w:spacing w:line="360" w:lineRule="auto"/>
        <w:ind w:left="720" w:hanging="720"/>
        <w:jc w:val="both"/>
        <w:rPr>
          <w:u w:val="none"/>
          <w:lang w:val="en-ZA"/>
        </w:rPr>
      </w:pPr>
    </w:p>
    <w:p w14:paraId="6720CB8B" w14:textId="74AA156A" w:rsidR="007C2D3E" w:rsidRDefault="00E03A81" w:rsidP="00081D2A">
      <w:pPr>
        <w:spacing w:line="360" w:lineRule="auto"/>
        <w:ind w:left="720" w:hanging="720"/>
        <w:jc w:val="both"/>
        <w:rPr>
          <w:u w:val="none"/>
          <w:lang w:val="en-ZA"/>
        </w:rPr>
      </w:pPr>
      <w:r>
        <w:rPr>
          <w:u w:val="none"/>
          <w:lang w:val="en-ZA"/>
        </w:rPr>
        <w:t>[67]</w:t>
      </w:r>
      <w:r w:rsidR="00E22885">
        <w:rPr>
          <w:u w:val="none"/>
          <w:lang w:val="en-ZA"/>
        </w:rPr>
        <w:tab/>
        <w:t>T</w:t>
      </w:r>
      <w:r w:rsidR="007C2D3E">
        <w:rPr>
          <w:u w:val="none"/>
          <w:lang w:val="en-ZA"/>
        </w:rPr>
        <w:t xml:space="preserve">he third Respondent who is the daughter of the first and second Respondents has not filed an affidavit setting out her personal circumstances neither has the first Respondent informed this Court whether the third Respondent deserves protection under one or more of the relevant facts set out in Section 4(6) of PIE.  In the absence of any information to the contrary </w:t>
      </w:r>
      <w:r w:rsidR="00E22885">
        <w:rPr>
          <w:u w:val="none"/>
          <w:lang w:val="en-ZA"/>
        </w:rPr>
        <w:t xml:space="preserve">I </w:t>
      </w:r>
      <w:r w:rsidR="007C2D3E">
        <w:rPr>
          <w:u w:val="none"/>
          <w:lang w:val="en-ZA"/>
        </w:rPr>
        <w:t>conclude that the third Respondent will not be left homeless after eviction.  She still</w:t>
      </w:r>
      <w:r w:rsidR="00E22885">
        <w:rPr>
          <w:u w:val="none"/>
          <w:lang w:val="en-ZA"/>
        </w:rPr>
        <w:t xml:space="preserve"> has a home in Orlando East where</w:t>
      </w:r>
      <w:r w:rsidR="007C2D3E">
        <w:rPr>
          <w:u w:val="none"/>
          <w:lang w:val="en-ZA"/>
        </w:rPr>
        <w:t xml:space="preserve"> the first and second Respondents are.  She is free to join them or seek rented accommodation elsewhere.</w:t>
      </w:r>
    </w:p>
    <w:p w14:paraId="1F5A0DC5" w14:textId="77777777" w:rsidR="007C2D3E" w:rsidRDefault="007C2D3E" w:rsidP="00081D2A">
      <w:pPr>
        <w:spacing w:line="360" w:lineRule="auto"/>
        <w:ind w:left="720" w:hanging="720"/>
        <w:jc w:val="both"/>
        <w:rPr>
          <w:u w:val="none"/>
          <w:lang w:val="en-ZA"/>
        </w:rPr>
      </w:pPr>
    </w:p>
    <w:p w14:paraId="078F31D5" w14:textId="77777777" w:rsidR="007C2D3E" w:rsidRPr="007C2D3E" w:rsidRDefault="007C2D3E" w:rsidP="00081D2A">
      <w:pPr>
        <w:spacing w:line="360" w:lineRule="auto"/>
        <w:ind w:left="720" w:hanging="720"/>
        <w:jc w:val="both"/>
        <w:rPr>
          <w:lang w:val="en-ZA"/>
        </w:rPr>
      </w:pPr>
      <w:r w:rsidRPr="007C2D3E">
        <w:rPr>
          <w:lang w:val="en-ZA"/>
        </w:rPr>
        <w:lastRenderedPageBreak/>
        <w:t>WHAT WILL BE A SUITABLE DATE FOR THE RESPONDENTS TO VACATE?</w:t>
      </w:r>
    </w:p>
    <w:p w14:paraId="0E676DF4" w14:textId="39B59E85" w:rsidR="00E03A81" w:rsidRDefault="007C2D3E" w:rsidP="00081D2A">
      <w:pPr>
        <w:spacing w:line="360" w:lineRule="auto"/>
        <w:ind w:left="720" w:hanging="720"/>
        <w:jc w:val="both"/>
        <w:rPr>
          <w:u w:val="none"/>
          <w:lang w:val="en-ZA"/>
        </w:rPr>
      </w:pPr>
      <w:r>
        <w:rPr>
          <w:u w:val="none"/>
          <w:lang w:val="en-ZA"/>
        </w:rPr>
        <w:t xml:space="preserve">  </w:t>
      </w:r>
    </w:p>
    <w:p w14:paraId="0AF920E3" w14:textId="62358030" w:rsidR="00E03A81" w:rsidRDefault="00E03A81" w:rsidP="00081D2A">
      <w:pPr>
        <w:spacing w:line="360" w:lineRule="auto"/>
        <w:ind w:left="720" w:hanging="720"/>
        <w:jc w:val="both"/>
        <w:rPr>
          <w:u w:val="none"/>
          <w:lang w:val="en-ZA"/>
        </w:rPr>
      </w:pPr>
      <w:r>
        <w:rPr>
          <w:u w:val="none"/>
          <w:lang w:val="en-ZA"/>
        </w:rPr>
        <w:t>[68]</w:t>
      </w:r>
      <w:r w:rsidR="00DD0D83">
        <w:rPr>
          <w:u w:val="none"/>
          <w:lang w:val="en-ZA"/>
        </w:rPr>
        <w:tab/>
        <w:t>The Applicant is the registered owner of the property and is presently paying off a bond registered over the property that he is not enjoying.  This has been the case since the year 2019.  It is now almost three years that he has been deprived of enjoyment of his property.</w:t>
      </w:r>
    </w:p>
    <w:p w14:paraId="39839E02" w14:textId="77777777" w:rsidR="00DD0D83" w:rsidRDefault="00DD0D83" w:rsidP="00081D2A">
      <w:pPr>
        <w:spacing w:line="360" w:lineRule="auto"/>
        <w:ind w:left="720" w:hanging="720"/>
        <w:jc w:val="both"/>
        <w:rPr>
          <w:u w:val="none"/>
          <w:lang w:val="en-ZA"/>
        </w:rPr>
      </w:pPr>
    </w:p>
    <w:p w14:paraId="7B71F28F" w14:textId="1C2243A9" w:rsidR="00E03A81" w:rsidRDefault="00E03A81" w:rsidP="00081D2A">
      <w:pPr>
        <w:spacing w:line="360" w:lineRule="auto"/>
        <w:ind w:left="720" w:hanging="720"/>
        <w:jc w:val="both"/>
        <w:rPr>
          <w:u w:val="none"/>
          <w:lang w:val="en-ZA"/>
        </w:rPr>
      </w:pPr>
      <w:r>
        <w:rPr>
          <w:u w:val="none"/>
          <w:lang w:val="en-ZA"/>
        </w:rPr>
        <w:t>[69]</w:t>
      </w:r>
      <w:r w:rsidR="00DD0D83">
        <w:rPr>
          <w:u w:val="none"/>
          <w:lang w:val="en-ZA"/>
        </w:rPr>
        <w:tab/>
        <w:t>On the other hand it is so that the Respondents have been in occupation since 2015 and need a fair amount of time to move their furniture to an alternate place.</w:t>
      </w:r>
    </w:p>
    <w:p w14:paraId="698A6B21" w14:textId="77777777" w:rsidR="00DD0D83" w:rsidRDefault="00DD0D83" w:rsidP="00081D2A">
      <w:pPr>
        <w:spacing w:line="360" w:lineRule="auto"/>
        <w:ind w:left="720" w:hanging="720"/>
        <w:jc w:val="both"/>
        <w:rPr>
          <w:u w:val="none"/>
          <w:lang w:val="en-ZA"/>
        </w:rPr>
      </w:pPr>
    </w:p>
    <w:p w14:paraId="1C5A5BA8" w14:textId="6BCB32BD" w:rsidR="00E03A81" w:rsidRDefault="00E03A81" w:rsidP="00081D2A">
      <w:pPr>
        <w:spacing w:line="360" w:lineRule="auto"/>
        <w:ind w:left="720" w:hanging="720"/>
        <w:jc w:val="both"/>
        <w:rPr>
          <w:u w:val="none"/>
          <w:lang w:val="en-ZA"/>
        </w:rPr>
      </w:pPr>
      <w:r>
        <w:rPr>
          <w:u w:val="none"/>
          <w:lang w:val="en-ZA"/>
        </w:rPr>
        <w:t>[70]</w:t>
      </w:r>
      <w:r w:rsidR="00DD0D83">
        <w:rPr>
          <w:u w:val="none"/>
          <w:lang w:val="en-ZA"/>
        </w:rPr>
        <w:tab/>
        <w:t xml:space="preserve">In the result I have come to the conclusion that a reasonable period to </w:t>
      </w:r>
      <w:r w:rsidR="00E22885">
        <w:rPr>
          <w:u w:val="none"/>
          <w:lang w:val="en-ZA"/>
        </w:rPr>
        <w:t>vacate be not later than the 30</w:t>
      </w:r>
      <w:r w:rsidR="00E22885" w:rsidRPr="00E22885">
        <w:rPr>
          <w:u w:val="none"/>
          <w:vertAlign w:val="superscript"/>
          <w:lang w:val="en-ZA"/>
        </w:rPr>
        <w:t>th</w:t>
      </w:r>
      <w:r w:rsidR="00E22885">
        <w:rPr>
          <w:u w:val="none"/>
          <w:lang w:val="en-ZA"/>
        </w:rPr>
        <w:t xml:space="preserve"> </w:t>
      </w:r>
      <w:r w:rsidR="00DD0D83">
        <w:rPr>
          <w:u w:val="none"/>
          <w:lang w:val="en-ZA"/>
        </w:rPr>
        <w:t>of</w:t>
      </w:r>
      <w:r w:rsidR="00E22885">
        <w:rPr>
          <w:u w:val="none"/>
          <w:lang w:val="en-ZA"/>
        </w:rPr>
        <w:t xml:space="preserve"> April</w:t>
      </w:r>
      <w:r w:rsidR="00DD0D83">
        <w:rPr>
          <w:u w:val="none"/>
          <w:lang w:val="en-ZA"/>
        </w:rPr>
        <w:t xml:space="preserve"> 2023.  Accordingly, I make the following order:</w:t>
      </w:r>
    </w:p>
    <w:p w14:paraId="068BB068" w14:textId="18FDD97A" w:rsidR="006E05D8" w:rsidRPr="006E05D8" w:rsidRDefault="006E05D8" w:rsidP="006E05D8">
      <w:pPr>
        <w:spacing w:line="360" w:lineRule="auto"/>
        <w:ind w:left="720" w:hanging="720"/>
        <w:jc w:val="center"/>
        <w:rPr>
          <w:lang w:val="en-ZA"/>
        </w:rPr>
      </w:pPr>
      <w:r w:rsidRPr="006E05D8">
        <w:rPr>
          <w:lang w:val="en-ZA"/>
        </w:rPr>
        <w:t>ORDER</w:t>
      </w:r>
    </w:p>
    <w:p w14:paraId="7B172309" w14:textId="41A81079" w:rsidR="006E05D8" w:rsidRDefault="006E05D8" w:rsidP="00081D2A">
      <w:pPr>
        <w:spacing w:line="360" w:lineRule="auto"/>
        <w:ind w:left="720" w:hanging="720"/>
        <w:jc w:val="both"/>
        <w:rPr>
          <w:u w:val="none"/>
          <w:lang w:val="en-ZA"/>
        </w:rPr>
      </w:pPr>
    </w:p>
    <w:p w14:paraId="163AE07F" w14:textId="1B17AD64" w:rsidR="006E05D8" w:rsidRDefault="00027458" w:rsidP="00FC4E43">
      <w:pPr>
        <w:pStyle w:val="ListParagraph"/>
        <w:numPr>
          <w:ilvl w:val="0"/>
          <w:numId w:val="22"/>
        </w:numPr>
        <w:spacing w:line="360" w:lineRule="auto"/>
        <w:jc w:val="both"/>
        <w:rPr>
          <w:u w:val="none"/>
          <w:lang w:val="en-ZA"/>
        </w:rPr>
      </w:pPr>
      <w:r>
        <w:rPr>
          <w:u w:val="none"/>
          <w:lang w:val="en-ZA"/>
        </w:rPr>
        <w:t>The application in</w:t>
      </w:r>
      <w:r w:rsidR="00681C28">
        <w:rPr>
          <w:u w:val="none"/>
          <w:lang w:val="en-ZA"/>
        </w:rPr>
        <w:t xml:space="preserve"> Case Number 30518/2020 is hereby dismissed</w:t>
      </w:r>
      <w:r w:rsidR="006E05D8">
        <w:rPr>
          <w:u w:val="none"/>
          <w:lang w:val="en-ZA"/>
        </w:rPr>
        <w:t>.</w:t>
      </w:r>
    </w:p>
    <w:p w14:paraId="76639FE1" w14:textId="77777777" w:rsidR="00681C28" w:rsidRPr="00FC4E43" w:rsidRDefault="00681C28" w:rsidP="00681C28">
      <w:pPr>
        <w:pStyle w:val="ListParagraph"/>
        <w:spacing w:line="360" w:lineRule="auto"/>
        <w:ind w:left="1080"/>
        <w:jc w:val="both"/>
        <w:rPr>
          <w:u w:val="none"/>
          <w:lang w:val="en-ZA"/>
        </w:rPr>
      </w:pPr>
    </w:p>
    <w:p w14:paraId="50B3F2A7" w14:textId="60421565" w:rsidR="006E05D8" w:rsidRDefault="006E05D8" w:rsidP="00027458">
      <w:pPr>
        <w:pStyle w:val="ListParagraph"/>
        <w:numPr>
          <w:ilvl w:val="0"/>
          <w:numId w:val="22"/>
        </w:numPr>
        <w:spacing w:line="360" w:lineRule="auto"/>
        <w:jc w:val="both"/>
        <w:rPr>
          <w:u w:val="none"/>
          <w:lang w:val="en-ZA"/>
        </w:rPr>
      </w:pPr>
      <w:r>
        <w:rPr>
          <w:u w:val="none"/>
          <w:lang w:val="en-ZA"/>
        </w:rPr>
        <w:t xml:space="preserve">The </w:t>
      </w:r>
      <w:r w:rsidR="00E22885">
        <w:rPr>
          <w:u w:val="none"/>
          <w:lang w:val="en-ZA"/>
        </w:rPr>
        <w:t xml:space="preserve">first </w:t>
      </w:r>
      <w:r w:rsidR="00027458">
        <w:rPr>
          <w:u w:val="none"/>
          <w:lang w:val="en-ZA"/>
        </w:rPr>
        <w:t>Applicant is order</w:t>
      </w:r>
      <w:r w:rsidR="00E22885">
        <w:rPr>
          <w:u w:val="none"/>
          <w:lang w:val="en-ZA"/>
        </w:rPr>
        <w:t>ed</w:t>
      </w:r>
      <w:r w:rsidR="00027458">
        <w:rPr>
          <w:u w:val="none"/>
          <w:lang w:val="en-ZA"/>
        </w:rPr>
        <w:t xml:space="preserve"> to pay the Respondent</w:t>
      </w:r>
      <w:r w:rsidR="00E22885">
        <w:rPr>
          <w:u w:val="none"/>
          <w:lang w:val="en-ZA"/>
        </w:rPr>
        <w:t>s</w:t>
      </w:r>
      <w:r w:rsidR="00027458">
        <w:rPr>
          <w:u w:val="none"/>
          <w:lang w:val="en-ZA"/>
        </w:rPr>
        <w:t xml:space="preserve"> </w:t>
      </w:r>
      <w:r w:rsidR="005A2C82">
        <w:rPr>
          <w:u w:val="none"/>
          <w:lang w:val="en-ZA"/>
        </w:rPr>
        <w:t>t</w:t>
      </w:r>
      <w:r w:rsidR="00027458">
        <w:rPr>
          <w:u w:val="none"/>
          <w:lang w:val="en-ZA"/>
        </w:rPr>
        <w:t>axed party and party costs</w:t>
      </w:r>
      <w:r>
        <w:rPr>
          <w:u w:val="none"/>
          <w:lang w:val="en-ZA"/>
        </w:rPr>
        <w:t>.</w:t>
      </w:r>
    </w:p>
    <w:p w14:paraId="7B9E034D" w14:textId="35F325AF" w:rsidR="00681C28" w:rsidRPr="00681C28" w:rsidRDefault="00681C28" w:rsidP="00681C28">
      <w:pPr>
        <w:spacing w:line="360" w:lineRule="auto"/>
        <w:jc w:val="both"/>
        <w:rPr>
          <w:u w:val="none"/>
          <w:lang w:val="en-ZA"/>
        </w:rPr>
      </w:pPr>
    </w:p>
    <w:p w14:paraId="51C88830" w14:textId="5ECA632A" w:rsidR="00681C28" w:rsidRDefault="00681C28" w:rsidP="00027458">
      <w:pPr>
        <w:pStyle w:val="ListParagraph"/>
        <w:numPr>
          <w:ilvl w:val="0"/>
          <w:numId w:val="22"/>
        </w:numPr>
        <w:spacing w:line="360" w:lineRule="auto"/>
        <w:jc w:val="both"/>
        <w:rPr>
          <w:u w:val="none"/>
          <w:lang w:val="en-ZA"/>
        </w:rPr>
      </w:pPr>
      <w:r>
        <w:rPr>
          <w:u w:val="none"/>
          <w:lang w:val="en-ZA"/>
        </w:rPr>
        <w:t>The application in Case Number</w:t>
      </w:r>
      <w:r w:rsidR="00E22885">
        <w:rPr>
          <w:u w:val="none"/>
          <w:lang w:val="en-ZA"/>
        </w:rPr>
        <w:t xml:space="preserve"> 34521/2020 is </w:t>
      </w:r>
      <w:r>
        <w:rPr>
          <w:u w:val="none"/>
          <w:lang w:val="en-ZA"/>
        </w:rPr>
        <w:t>granted.</w:t>
      </w:r>
    </w:p>
    <w:p w14:paraId="4AA015D1" w14:textId="77777777" w:rsidR="00681C28" w:rsidRDefault="00681C28" w:rsidP="00681C28">
      <w:pPr>
        <w:pStyle w:val="ListParagraph"/>
        <w:spacing w:line="360" w:lineRule="auto"/>
        <w:ind w:left="1080"/>
        <w:jc w:val="both"/>
        <w:rPr>
          <w:u w:val="none"/>
          <w:lang w:val="en-ZA"/>
        </w:rPr>
      </w:pPr>
    </w:p>
    <w:p w14:paraId="696BB81C" w14:textId="2CE6F903" w:rsidR="00681C28" w:rsidRDefault="00681C28" w:rsidP="00027458">
      <w:pPr>
        <w:pStyle w:val="ListParagraph"/>
        <w:numPr>
          <w:ilvl w:val="0"/>
          <w:numId w:val="22"/>
        </w:numPr>
        <w:spacing w:line="360" w:lineRule="auto"/>
        <w:jc w:val="both"/>
        <w:rPr>
          <w:u w:val="none"/>
          <w:lang w:val="en-ZA"/>
        </w:rPr>
      </w:pPr>
      <w:r>
        <w:rPr>
          <w:u w:val="none"/>
          <w:lang w:val="en-ZA"/>
        </w:rPr>
        <w:t xml:space="preserve">The first, second and third Respondents and all persons occupying the property through and under them are ordered to vacate the property by not later than </w:t>
      </w:r>
      <w:r w:rsidR="00E22885">
        <w:rPr>
          <w:u w:val="none"/>
          <w:lang w:val="en-ZA"/>
        </w:rPr>
        <w:t xml:space="preserve">Monday </w:t>
      </w:r>
      <w:r>
        <w:rPr>
          <w:u w:val="none"/>
          <w:lang w:val="en-ZA"/>
        </w:rPr>
        <w:t>the 3</w:t>
      </w:r>
      <w:r w:rsidR="00E22885">
        <w:rPr>
          <w:u w:val="none"/>
          <w:lang w:val="en-ZA"/>
        </w:rPr>
        <w:t>0</w:t>
      </w:r>
      <w:r w:rsidR="00E22885" w:rsidRPr="00E22885">
        <w:rPr>
          <w:u w:val="none"/>
          <w:vertAlign w:val="superscript"/>
          <w:lang w:val="en-ZA"/>
        </w:rPr>
        <w:t>th</w:t>
      </w:r>
      <w:r w:rsidR="00E22885">
        <w:rPr>
          <w:u w:val="none"/>
          <w:lang w:val="en-ZA"/>
        </w:rPr>
        <w:t xml:space="preserve"> April</w:t>
      </w:r>
      <w:r>
        <w:rPr>
          <w:u w:val="none"/>
          <w:lang w:val="en-ZA"/>
        </w:rPr>
        <w:t xml:space="preserve"> 2023 at 14h00.</w:t>
      </w:r>
    </w:p>
    <w:p w14:paraId="3B460B9E" w14:textId="4913C2A0" w:rsidR="00681C28" w:rsidRPr="00681C28" w:rsidRDefault="00681C28" w:rsidP="00681C28">
      <w:pPr>
        <w:spacing w:line="360" w:lineRule="auto"/>
        <w:jc w:val="both"/>
        <w:rPr>
          <w:u w:val="none"/>
          <w:lang w:val="en-ZA"/>
        </w:rPr>
      </w:pPr>
    </w:p>
    <w:p w14:paraId="0B6622B6" w14:textId="648115EE" w:rsidR="00681C28" w:rsidRDefault="00681C28" w:rsidP="00027458">
      <w:pPr>
        <w:pStyle w:val="ListParagraph"/>
        <w:numPr>
          <w:ilvl w:val="0"/>
          <w:numId w:val="22"/>
        </w:numPr>
        <w:spacing w:line="360" w:lineRule="auto"/>
        <w:jc w:val="both"/>
        <w:rPr>
          <w:u w:val="none"/>
          <w:lang w:val="en-ZA"/>
        </w:rPr>
      </w:pPr>
      <w:r>
        <w:rPr>
          <w:u w:val="none"/>
          <w:lang w:val="en-ZA"/>
        </w:rPr>
        <w:t>In the event that the first, second and third Respondents do not vacate the property voluntarily by the given date the Sheriff or his Deputy duly a</w:t>
      </w:r>
      <w:r w:rsidR="00E22885">
        <w:rPr>
          <w:u w:val="none"/>
          <w:lang w:val="en-ZA"/>
        </w:rPr>
        <w:t>ssisted</w:t>
      </w:r>
      <w:r>
        <w:rPr>
          <w:u w:val="none"/>
          <w:lang w:val="en-ZA"/>
        </w:rPr>
        <w:t xml:space="preserve"> by the South African Police Services or a Private Security Company are hereby authorised to carry out the eviction.</w:t>
      </w:r>
    </w:p>
    <w:p w14:paraId="2D3FFFE5" w14:textId="36354426" w:rsidR="00681C28" w:rsidRPr="00681C28" w:rsidRDefault="00681C28" w:rsidP="00681C28">
      <w:pPr>
        <w:spacing w:line="360" w:lineRule="auto"/>
        <w:jc w:val="both"/>
        <w:rPr>
          <w:u w:val="none"/>
          <w:lang w:val="en-ZA"/>
        </w:rPr>
      </w:pPr>
    </w:p>
    <w:p w14:paraId="0D735752" w14:textId="463AF8E8" w:rsidR="00681C28" w:rsidRDefault="00681C28" w:rsidP="00027458">
      <w:pPr>
        <w:pStyle w:val="ListParagraph"/>
        <w:numPr>
          <w:ilvl w:val="0"/>
          <w:numId w:val="22"/>
        </w:numPr>
        <w:spacing w:line="360" w:lineRule="auto"/>
        <w:jc w:val="both"/>
        <w:rPr>
          <w:u w:val="none"/>
          <w:lang w:val="en-ZA"/>
        </w:rPr>
      </w:pPr>
      <w:r>
        <w:rPr>
          <w:u w:val="none"/>
          <w:lang w:val="en-ZA"/>
        </w:rPr>
        <w:t>The first, second and third Respondents</w:t>
      </w:r>
      <w:r w:rsidR="00E22885">
        <w:rPr>
          <w:u w:val="none"/>
          <w:lang w:val="en-ZA"/>
        </w:rPr>
        <w:t xml:space="preserve"> and</w:t>
      </w:r>
      <w:r>
        <w:rPr>
          <w:u w:val="none"/>
          <w:lang w:val="en-ZA"/>
        </w:rPr>
        <w:t xml:space="preserve"> all persons occupying through or under them are hereby interdicted and restrained from entering the </w:t>
      </w:r>
      <w:r>
        <w:rPr>
          <w:u w:val="none"/>
          <w:lang w:val="en-ZA"/>
        </w:rPr>
        <w:lastRenderedPageBreak/>
        <w:t>property at any time after they have vacated same or been evicted therefrom by the Sheriff.</w:t>
      </w:r>
    </w:p>
    <w:p w14:paraId="483B1084" w14:textId="77777777" w:rsidR="00681C28" w:rsidRPr="00681C28" w:rsidRDefault="00681C28" w:rsidP="00681C28">
      <w:pPr>
        <w:spacing w:line="360" w:lineRule="auto"/>
        <w:jc w:val="both"/>
        <w:rPr>
          <w:u w:val="none"/>
          <w:lang w:val="en-ZA"/>
        </w:rPr>
      </w:pPr>
    </w:p>
    <w:p w14:paraId="0D8733A4" w14:textId="2849E538" w:rsidR="00681C28" w:rsidRPr="006E05D8" w:rsidRDefault="00681C28" w:rsidP="00027458">
      <w:pPr>
        <w:pStyle w:val="ListParagraph"/>
        <w:numPr>
          <w:ilvl w:val="0"/>
          <w:numId w:val="22"/>
        </w:numPr>
        <w:spacing w:line="360" w:lineRule="auto"/>
        <w:jc w:val="both"/>
        <w:rPr>
          <w:u w:val="none"/>
          <w:lang w:val="en-ZA"/>
        </w:rPr>
      </w:pPr>
      <w:r>
        <w:rPr>
          <w:u w:val="none"/>
          <w:lang w:val="en-ZA"/>
        </w:rPr>
        <w:t>The first Respondent is ordered to p</w:t>
      </w:r>
      <w:r w:rsidR="00E22885">
        <w:rPr>
          <w:u w:val="none"/>
          <w:lang w:val="en-ZA"/>
        </w:rPr>
        <w:t>ay the taxed party and party co</w:t>
      </w:r>
      <w:r>
        <w:rPr>
          <w:u w:val="none"/>
          <w:lang w:val="en-ZA"/>
        </w:rPr>
        <w:t>st</w:t>
      </w:r>
      <w:r w:rsidR="00E22885">
        <w:rPr>
          <w:u w:val="none"/>
          <w:lang w:val="en-ZA"/>
        </w:rPr>
        <w:t>s</w:t>
      </w:r>
      <w:r>
        <w:rPr>
          <w:u w:val="none"/>
          <w:lang w:val="en-ZA"/>
        </w:rPr>
        <w:t xml:space="preserve"> of this application.  </w:t>
      </w:r>
    </w:p>
    <w:p w14:paraId="435E8352" w14:textId="35EB6212" w:rsidR="003B44F6" w:rsidRDefault="003B44F6" w:rsidP="00FC4E43">
      <w:pPr>
        <w:spacing w:line="360" w:lineRule="auto"/>
        <w:jc w:val="both"/>
        <w:rPr>
          <w:u w:val="none"/>
          <w:lang w:val="en-ZA"/>
        </w:rPr>
      </w:pPr>
    </w:p>
    <w:p w14:paraId="221E2661" w14:textId="77777777" w:rsidR="00E22885" w:rsidRPr="00FC4E43" w:rsidRDefault="00E22885" w:rsidP="00FC4E43">
      <w:pPr>
        <w:spacing w:line="360" w:lineRule="auto"/>
        <w:jc w:val="both"/>
        <w:rPr>
          <w:u w:val="none"/>
          <w:lang w:val="en-ZA"/>
        </w:rPr>
      </w:pPr>
    </w:p>
    <w:p w14:paraId="68DA6C27" w14:textId="576ED846" w:rsidR="00F375AB" w:rsidRPr="009F12F8" w:rsidRDefault="006E05D8" w:rsidP="009F12F8">
      <w:pPr>
        <w:spacing w:line="360" w:lineRule="auto"/>
        <w:jc w:val="both"/>
        <w:rPr>
          <w:u w:val="none"/>
          <w:lang w:val="en-ZA"/>
        </w:rPr>
      </w:pPr>
      <w:r>
        <w:rPr>
          <w:u w:val="none"/>
          <w:lang w:val="en-ZA"/>
        </w:rPr>
        <w:t>Dated at Johannesburg on this</w:t>
      </w:r>
      <w:r w:rsidR="00681C28">
        <w:rPr>
          <w:u w:val="none"/>
          <w:lang w:val="en-ZA"/>
        </w:rPr>
        <w:t xml:space="preserve">  </w:t>
      </w:r>
      <w:r w:rsidR="001E2566">
        <w:rPr>
          <w:u w:val="none"/>
          <w:lang w:val="en-ZA"/>
        </w:rPr>
        <w:t xml:space="preserve"> </w:t>
      </w:r>
      <w:r w:rsidR="00F375AB" w:rsidRPr="009F12F8">
        <w:rPr>
          <w:u w:val="none"/>
          <w:lang w:val="en-ZA"/>
        </w:rPr>
        <w:t xml:space="preserve">day of </w:t>
      </w:r>
      <w:r w:rsidR="00681C28">
        <w:rPr>
          <w:u w:val="none"/>
          <w:lang w:val="en-ZA"/>
        </w:rPr>
        <w:t>M</w:t>
      </w:r>
      <w:r w:rsidR="003B44F6">
        <w:rPr>
          <w:u w:val="none"/>
          <w:lang w:val="en-ZA"/>
        </w:rPr>
        <w:t>ar</w:t>
      </w:r>
      <w:r w:rsidR="00681C28">
        <w:rPr>
          <w:u w:val="none"/>
          <w:lang w:val="en-ZA"/>
        </w:rPr>
        <w:t>ch</w:t>
      </w:r>
      <w:r w:rsidR="003B44F6">
        <w:rPr>
          <w:u w:val="none"/>
          <w:lang w:val="en-ZA"/>
        </w:rPr>
        <w:t xml:space="preserve"> 2023</w:t>
      </w:r>
      <w:r w:rsidR="00F375AB" w:rsidRPr="009F12F8">
        <w:rPr>
          <w:u w:val="none"/>
          <w:lang w:val="en-ZA"/>
        </w:rPr>
        <w:t xml:space="preserve"> </w:t>
      </w:r>
    </w:p>
    <w:p w14:paraId="1E73FF05" w14:textId="3C2AC6EF" w:rsidR="00F375AB" w:rsidRDefault="00F375AB" w:rsidP="00DB2E83">
      <w:pPr>
        <w:tabs>
          <w:tab w:val="right" w:pos="0"/>
        </w:tabs>
        <w:spacing w:line="360" w:lineRule="auto"/>
        <w:jc w:val="both"/>
        <w:rPr>
          <w:u w:val="none"/>
          <w:lang w:val="en-ZA"/>
        </w:rPr>
      </w:pPr>
    </w:p>
    <w:p w14:paraId="630B170A" w14:textId="4E61EC8E" w:rsidR="00B6007F" w:rsidRDefault="00B6007F" w:rsidP="00DB2E83">
      <w:pPr>
        <w:tabs>
          <w:tab w:val="right" w:pos="0"/>
        </w:tabs>
        <w:spacing w:line="360" w:lineRule="auto"/>
        <w:jc w:val="both"/>
        <w:rPr>
          <w:u w:val="none"/>
          <w:lang w:val="en-ZA"/>
        </w:rPr>
      </w:pPr>
    </w:p>
    <w:p w14:paraId="5E81EA66" w14:textId="77777777" w:rsidR="001A4049" w:rsidRDefault="001A4049" w:rsidP="00DB2E83">
      <w:pPr>
        <w:tabs>
          <w:tab w:val="right" w:pos="0"/>
        </w:tabs>
        <w:spacing w:line="360" w:lineRule="auto"/>
        <w:jc w:val="both"/>
        <w:rPr>
          <w:u w:val="none"/>
          <w:lang w:val="en-ZA"/>
        </w:rPr>
      </w:pPr>
    </w:p>
    <w:p w14:paraId="3B7FCBA0" w14:textId="77777777" w:rsidR="00C979F4" w:rsidRDefault="008A5427" w:rsidP="00DB2E83">
      <w:pPr>
        <w:tabs>
          <w:tab w:val="right" w:pos="0"/>
        </w:tabs>
        <w:spacing w:line="360" w:lineRule="auto"/>
        <w:jc w:val="both"/>
        <w:rPr>
          <w:u w:val="none"/>
          <w:lang w:val="en-ZA"/>
        </w:rPr>
      </w:pPr>
      <w:r>
        <w:rPr>
          <w:u w:val="none"/>
          <w:lang w:val="en-ZA"/>
        </w:rPr>
        <w:tab/>
      </w:r>
      <w:r>
        <w:rPr>
          <w:u w:val="none"/>
          <w:lang w:val="en-ZA"/>
        </w:rPr>
        <w:tab/>
      </w:r>
      <w:r w:rsidR="00534990">
        <w:rPr>
          <w:u w:val="none"/>
          <w:lang w:val="en-ZA"/>
        </w:rPr>
        <w:tab/>
      </w:r>
      <w:r w:rsidR="00C979F4">
        <w:rPr>
          <w:u w:val="none"/>
          <w:lang w:val="en-ZA"/>
        </w:rPr>
        <w:tab/>
      </w:r>
      <w:r w:rsidR="00C979F4">
        <w:rPr>
          <w:u w:val="none"/>
          <w:lang w:val="en-ZA"/>
        </w:rPr>
        <w:tab/>
        <w:t>________________________________________</w:t>
      </w:r>
    </w:p>
    <w:p w14:paraId="30B38FAB" w14:textId="77777777" w:rsidR="00C979F4" w:rsidRDefault="00C979F4" w:rsidP="00DB2E83">
      <w:pPr>
        <w:tabs>
          <w:tab w:val="right" w:pos="0"/>
        </w:tabs>
        <w:jc w:val="both"/>
        <w:rPr>
          <w:b/>
          <w:u w:val="none"/>
          <w:lang w:val="en-ZA"/>
        </w:rPr>
      </w:pPr>
      <w:r>
        <w:rPr>
          <w:u w:val="none"/>
          <w:lang w:val="en-ZA"/>
        </w:rPr>
        <w:tab/>
      </w:r>
      <w:r>
        <w:rPr>
          <w:u w:val="none"/>
          <w:lang w:val="en-ZA"/>
        </w:rPr>
        <w:tab/>
      </w:r>
      <w:r>
        <w:rPr>
          <w:u w:val="none"/>
          <w:lang w:val="en-ZA"/>
        </w:rPr>
        <w:tab/>
      </w:r>
      <w:r w:rsidR="00534990">
        <w:rPr>
          <w:u w:val="none"/>
          <w:lang w:val="en-ZA"/>
        </w:rPr>
        <w:tab/>
      </w:r>
      <w:r>
        <w:rPr>
          <w:u w:val="none"/>
          <w:lang w:val="en-ZA"/>
        </w:rPr>
        <w:tab/>
      </w:r>
      <w:r>
        <w:rPr>
          <w:u w:val="none"/>
          <w:lang w:val="en-ZA"/>
        </w:rPr>
        <w:tab/>
      </w:r>
      <w:r>
        <w:rPr>
          <w:u w:val="none"/>
          <w:lang w:val="en-ZA"/>
        </w:rPr>
        <w:tab/>
        <w:t xml:space="preserve">       </w:t>
      </w:r>
      <w:r>
        <w:rPr>
          <w:b/>
          <w:u w:val="none"/>
          <w:lang w:val="en-ZA"/>
        </w:rPr>
        <w:t>M A MAKUME</w:t>
      </w:r>
    </w:p>
    <w:p w14:paraId="739B6517" w14:textId="7777777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Pr>
          <w:b/>
          <w:u w:val="none"/>
          <w:lang w:val="en-ZA"/>
        </w:rPr>
        <w:tab/>
        <w:t xml:space="preserve">     JUDGE OF THE HIGH COURT</w:t>
      </w:r>
    </w:p>
    <w:p w14:paraId="2B82189F" w14:textId="4E157637" w:rsidR="00C979F4" w:rsidRDefault="00C979F4" w:rsidP="00DB2E83">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sidR="00534990">
        <w:rPr>
          <w:b/>
          <w:u w:val="none"/>
          <w:lang w:val="en-ZA"/>
        </w:rPr>
        <w:tab/>
      </w:r>
      <w:r w:rsidR="001A4049">
        <w:rPr>
          <w:b/>
          <w:u w:val="none"/>
          <w:lang w:val="en-ZA"/>
        </w:rPr>
        <w:tab/>
        <w:t xml:space="preserve">GAUTENG </w:t>
      </w:r>
      <w:r>
        <w:rPr>
          <w:b/>
          <w:u w:val="none"/>
          <w:lang w:val="en-ZA"/>
        </w:rPr>
        <w:t>DIVISION, JOHANNESBURG</w:t>
      </w:r>
    </w:p>
    <w:p w14:paraId="01CE86FD" w14:textId="390A3FA5" w:rsidR="00534990" w:rsidRDefault="00534990" w:rsidP="00DB2E83">
      <w:pPr>
        <w:tabs>
          <w:tab w:val="right" w:pos="0"/>
        </w:tabs>
        <w:jc w:val="both"/>
        <w:rPr>
          <w:b/>
          <w:u w:val="none"/>
          <w:lang w:val="en-ZA"/>
        </w:rPr>
      </w:pPr>
    </w:p>
    <w:p w14:paraId="6B1D51AD" w14:textId="77777777" w:rsidR="00C979F4" w:rsidRDefault="00C979F4" w:rsidP="00DB2E83">
      <w:pPr>
        <w:tabs>
          <w:tab w:val="right" w:pos="0"/>
        </w:tabs>
        <w:jc w:val="both"/>
        <w:rPr>
          <w:b/>
        </w:rPr>
      </w:pPr>
      <w:r>
        <w:rPr>
          <w:b/>
        </w:rPr>
        <w:t>Appearances:</w:t>
      </w:r>
    </w:p>
    <w:p w14:paraId="5ED35BC6" w14:textId="77777777" w:rsidR="00C979F4" w:rsidRDefault="00C979F4" w:rsidP="00DB2E83">
      <w:pPr>
        <w:tabs>
          <w:tab w:val="right" w:pos="0"/>
        </w:tabs>
        <w:jc w:val="both"/>
        <w:rPr>
          <w:u w:val="none"/>
        </w:rPr>
      </w:pPr>
    </w:p>
    <w:p w14:paraId="6D74AA7F" w14:textId="372D1D27" w:rsidR="00C979F4" w:rsidRDefault="005F6B05" w:rsidP="00DB2E83">
      <w:pPr>
        <w:tabs>
          <w:tab w:val="right" w:pos="0"/>
        </w:tabs>
        <w:jc w:val="both"/>
        <w:rPr>
          <w:u w:val="none"/>
        </w:rPr>
      </w:pPr>
      <w:r>
        <w:rPr>
          <w:u w:val="none"/>
        </w:rPr>
        <w:t>DATE OF HEARI</w:t>
      </w:r>
      <w:r w:rsidR="00EC189C">
        <w:rPr>
          <w:u w:val="none"/>
        </w:rPr>
        <w:t>NG</w:t>
      </w:r>
      <w:r w:rsidR="00EC189C">
        <w:rPr>
          <w:u w:val="none"/>
        </w:rPr>
        <w:tab/>
        <w:t>:</w:t>
      </w:r>
      <w:r w:rsidR="00EC189C">
        <w:rPr>
          <w:u w:val="none"/>
        </w:rPr>
        <w:tab/>
      </w:r>
      <w:r>
        <w:rPr>
          <w:u w:val="none"/>
        </w:rPr>
        <w:t xml:space="preserve"> </w:t>
      </w:r>
      <w:r w:rsidR="00681C28">
        <w:rPr>
          <w:u w:val="none"/>
        </w:rPr>
        <w:t>16</w:t>
      </w:r>
      <w:r w:rsidR="005A2C82" w:rsidRPr="005A2C82">
        <w:rPr>
          <w:u w:val="none"/>
          <w:vertAlign w:val="superscript"/>
        </w:rPr>
        <w:t>th</w:t>
      </w:r>
      <w:r w:rsidR="00EC189C">
        <w:rPr>
          <w:u w:val="none"/>
        </w:rPr>
        <w:t xml:space="preserve"> JANUARY</w:t>
      </w:r>
      <w:r w:rsidR="00784C21">
        <w:rPr>
          <w:u w:val="none"/>
        </w:rPr>
        <w:t xml:space="preserve"> </w:t>
      </w:r>
      <w:r w:rsidR="007306D4">
        <w:rPr>
          <w:u w:val="none"/>
        </w:rPr>
        <w:t>202</w:t>
      </w:r>
      <w:r w:rsidR="00EC189C">
        <w:rPr>
          <w:u w:val="none"/>
        </w:rPr>
        <w:t>3</w:t>
      </w:r>
    </w:p>
    <w:p w14:paraId="2FBDB5BC" w14:textId="2BA1485F" w:rsidR="00C979F4" w:rsidRDefault="00534990" w:rsidP="00DB2E83">
      <w:pPr>
        <w:tabs>
          <w:tab w:val="right" w:pos="0"/>
        </w:tabs>
        <w:jc w:val="both"/>
        <w:rPr>
          <w:u w:val="none"/>
        </w:rPr>
      </w:pPr>
      <w:r>
        <w:rPr>
          <w:u w:val="none"/>
        </w:rPr>
        <w:t>DATE OF JUDGMENT</w:t>
      </w:r>
      <w:r>
        <w:rPr>
          <w:u w:val="none"/>
        </w:rPr>
        <w:tab/>
        <w:t>:</w:t>
      </w:r>
      <w:r w:rsidR="008A5427">
        <w:rPr>
          <w:u w:val="none"/>
        </w:rPr>
        <w:tab/>
      </w:r>
      <w:r w:rsidR="00EC189C">
        <w:rPr>
          <w:u w:val="none"/>
        </w:rPr>
        <w:t xml:space="preserve"> </w:t>
      </w:r>
      <w:r w:rsidR="00681C28">
        <w:rPr>
          <w:u w:val="none"/>
        </w:rPr>
        <w:t xml:space="preserve">       MARCH</w:t>
      </w:r>
      <w:r w:rsidR="004F1B25">
        <w:rPr>
          <w:u w:val="none"/>
        </w:rPr>
        <w:t xml:space="preserve"> </w:t>
      </w:r>
      <w:r w:rsidR="00C979F4">
        <w:rPr>
          <w:u w:val="none"/>
        </w:rPr>
        <w:t>20</w:t>
      </w:r>
      <w:r w:rsidR="003B44F6">
        <w:rPr>
          <w:u w:val="none"/>
        </w:rPr>
        <w:t>23</w:t>
      </w:r>
    </w:p>
    <w:p w14:paraId="1BF1C0D8" w14:textId="77777777" w:rsidR="002E6DC7" w:rsidRDefault="002E6DC7" w:rsidP="00DB2E83">
      <w:pPr>
        <w:tabs>
          <w:tab w:val="right" w:pos="0"/>
        </w:tabs>
        <w:jc w:val="both"/>
        <w:rPr>
          <w:u w:val="none"/>
        </w:rPr>
      </w:pPr>
    </w:p>
    <w:p w14:paraId="5D1A145E" w14:textId="372D817C" w:rsidR="00EC189C" w:rsidRDefault="000E7CCC" w:rsidP="006B2EAE">
      <w:pPr>
        <w:tabs>
          <w:tab w:val="right" w:pos="0"/>
        </w:tabs>
        <w:jc w:val="both"/>
        <w:rPr>
          <w:u w:val="none"/>
        </w:rPr>
      </w:pPr>
      <w:r>
        <w:rPr>
          <w:u w:val="none"/>
        </w:rPr>
        <w:t>FOR APPLICANT</w:t>
      </w:r>
      <w:r w:rsidR="00681C28">
        <w:rPr>
          <w:u w:val="none"/>
        </w:rPr>
        <w:tab/>
      </w:r>
      <w:r w:rsidR="00681C28">
        <w:rPr>
          <w:u w:val="none"/>
        </w:rPr>
        <w:tab/>
        <w:t>:</w:t>
      </w:r>
      <w:r w:rsidR="00681C28">
        <w:rPr>
          <w:u w:val="none"/>
        </w:rPr>
        <w:tab/>
        <w:t>ADV S SWIEGEN</w:t>
      </w:r>
    </w:p>
    <w:p w14:paraId="67CD534D" w14:textId="77777777" w:rsidR="00681C28" w:rsidRDefault="00681C28" w:rsidP="006B2EAE">
      <w:pPr>
        <w:tabs>
          <w:tab w:val="right" w:pos="0"/>
        </w:tabs>
        <w:jc w:val="both"/>
        <w:rPr>
          <w:u w:val="none"/>
        </w:rPr>
      </w:pPr>
    </w:p>
    <w:p w14:paraId="19A3AC48" w14:textId="7DFA77B0" w:rsidR="00681C28" w:rsidRDefault="000E7CCC" w:rsidP="006B2EAE">
      <w:pPr>
        <w:tabs>
          <w:tab w:val="right" w:pos="0"/>
        </w:tabs>
        <w:jc w:val="both"/>
        <w:rPr>
          <w:u w:val="none"/>
        </w:rPr>
      </w:pPr>
      <w:r>
        <w:rPr>
          <w:u w:val="none"/>
        </w:rPr>
        <w:t>FOR RESPONDENT</w:t>
      </w:r>
      <w:r w:rsidR="00681C28">
        <w:rPr>
          <w:u w:val="none"/>
        </w:rPr>
        <w:tab/>
        <w:t>:</w:t>
      </w:r>
      <w:r w:rsidR="00681C28">
        <w:rPr>
          <w:u w:val="none"/>
        </w:rPr>
        <w:tab/>
        <w:t>ADV PHUKUBJE</w:t>
      </w:r>
    </w:p>
    <w:p w14:paraId="2D411112" w14:textId="2958CDA3" w:rsidR="006B2EAE" w:rsidRDefault="00681C28" w:rsidP="006B2EAE">
      <w:pPr>
        <w:tabs>
          <w:tab w:val="right" w:pos="0"/>
        </w:tabs>
        <w:jc w:val="both"/>
        <w:rPr>
          <w:u w:val="none"/>
        </w:rPr>
      </w:pPr>
      <w:r>
        <w:rPr>
          <w:u w:val="none"/>
        </w:rPr>
        <w:tab/>
      </w:r>
      <w:r>
        <w:rPr>
          <w:u w:val="none"/>
        </w:rPr>
        <w:tab/>
      </w:r>
      <w:r>
        <w:rPr>
          <w:u w:val="none"/>
        </w:rPr>
        <w:tab/>
      </w:r>
      <w:r>
        <w:rPr>
          <w:u w:val="none"/>
        </w:rPr>
        <w:tab/>
      </w:r>
      <w:r>
        <w:rPr>
          <w:u w:val="none"/>
        </w:rPr>
        <w:tab/>
        <w:t>ADV LIAN KEISER</w:t>
      </w:r>
    </w:p>
    <w:p w14:paraId="5CB12306" w14:textId="0512A416" w:rsidR="00681C28" w:rsidRDefault="00681C28" w:rsidP="006B2EAE">
      <w:pPr>
        <w:tabs>
          <w:tab w:val="right" w:pos="0"/>
        </w:tabs>
        <w:jc w:val="both"/>
        <w:rPr>
          <w:u w:val="none"/>
        </w:rPr>
      </w:pPr>
      <w:r>
        <w:rPr>
          <w:u w:val="none"/>
        </w:rPr>
        <w:tab/>
      </w:r>
      <w:r>
        <w:rPr>
          <w:u w:val="none"/>
        </w:rPr>
        <w:tab/>
      </w:r>
      <w:r>
        <w:rPr>
          <w:u w:val="none"/>
        </w:rPr>
        <w:tab/>
      </w:r>
      <w:r>
        <w:rPr>
          <w:u w:val="none"/>
        </w:rPr>
        <w:tab/>
      </w:r>
      <w:r>
        <w:rPr>
          <w:u w:val="none"/>
        </w:rPr>
        <w:tab/>
        <w:t>ADV NICO HORN</w:t>
      </w:r>
    </w:p>
    <w:p w14:paraId="2D351802" w14:textId="77777777" w:rsidR="00784C21" w:rsidRDefault="00784C21" w:rsidP="006B2EAE">
      <w:pPr>
        <w:spacing w:line="360" w:lineRule="auto"/>
        <w:jc w:val="both"/>
        <w:rPr>
          <w:u w:val="none"/>
        </w:rPr>
      </w:pPr>
    </w:p>
    <w:sectPr w:rsidR="00784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4AB7E" w14:textId="77777777" w:rsidR="00714B27" w:rsidRDefault="00714B27" w:rsidP="00ED13B4">
      <w:r>
        <w:separator/>
      </w:r>
    </w:p>
  </w:endnote>
  <w:endnote w:type="continuationSeparator" w:id="0">
    <w:p w14:paraId="563E6DA0" w14:textId="77777777" w:rsidR="00714B27" w:rsidRDefault="00714B27" w:rsidP="00ED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3F0E0" w14:textId="77777777" w:rsidR="00714B27" w:rsidRDefault="00714B27" w:rsidP="00ED13B4">
      <w:r>
        <w:separator/>
      </w:r>
    </w:p>
  </w:footnote>
  <w:footnote w:type="continuationSeparator" w:id="0">
    <w:p w14:paraId="663B9490" w14:textId="77777777" w:rsidR="00714B27" w:rsidRDefault="00714B27" w:rsidP="00ED1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147F"/>
    <w:multiLevelType w:val="hybridMultilevel"/>
    <w:tmpl w:val="E40C6000"/>
    <w:lvl w:ilvl="0" w:tplc="5DE489F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0A3C4E18"/>
    <w:multiLevelType w:val="hybridMultilevel"/>
    <w:tmpl w:val="9BAA6344"/>
    <w:lvl w:ilvl="0" w:tplc="2EE2ED5C">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547738"/>
    <w:multiLevelType w:val="hybridMultilevel"/>
    <w:tmpl w:val="D172BC8A"/>
    <w:lvl w:ilvl="0" w:tplc="F85A566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FED39E9"/>
    <w:multiLevelType w:val="multilevel"/>
    <w:tmpl w:val="E2F6B31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2200A0E"/>
    <w:multiLevelType w:val="hybridMultilevel"/>
    <w:tmpl w:val="F5E05296"/>
    <w:lvl w:ilvl="0" w:tplc="03E24B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5277C2"/>
    <w:multiLevelType w:val="hybridMultilevel"/>
    <w:tmpl w:val="C5607FE6"/>
    <w:lvl w:ilvl="0" w:tplc="AEF2083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56A485D"/>
    <w:multiLevelType w:val="multilevel"/>
    <w:tmpl w:val="AC4EC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BB32627"/>
    <w:multiLevelType w:val="hybridMultilevel"/>
    <w:tmpl w:val="83CE0CBE"/>
    <w:lvl w:ilvl="0" w:tplc="543A9B9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E007844"/>
    <w:multiLevelType w:val="hybridMultilevel"/>
    <w:tmpl w:val="998C0F7C"/>
    <w:lvl w:ilvl="0" w:tplc="4334A5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16463"/>
    <w:multiLevelType w:val="hybridMultilevel"/>
    <w:tmpl w:val="07A6D912"/>
    <w:lvl w:ilvl="0" w:tplc="AD2AD46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26334CF"/>
    <w:multiLevelType w:val="hybridMultilevel"/>
    <w:tmpl w:val="9FF85BCE"/>
    <w:lvl w:ilvl="0" w:tplc="3AF2E97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411300B"/>
    <w:multiLevelType w:val="hybridMultilevel"/>
    <w:tmpl w:val="B5643198"/>
    <w:lvl w:ilvl="0" w:tplc="724C59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34CD55C6"/>
    <w:multiLevelType w:val="hybridMultilevel"/>
    <w:tmpl w:val="0AF80E04"/>
    <w:lvl w:ilvl="0" w:tplc="1FC8A6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B73C5D"/>
    <w:multiLevelType w:val="hybridMultilevel"/>
    <w:tmpl w:val="D9AE80E2"/>
    <w:lvl w:ilvl="0" w:tplc="F80EEF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F823027"/>
    <w:multiLevelType w:val="hybridMultilevel"/>
    <w:tmpl w:val="F8F42B74"/>
    <w:lvl w:ilvl="0" w:tplc="A760B0D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C5647D6"/>
    <w:multiLevelType w:val="hybridMultilevel"/>
    <w:tmpl w:val="C2F25A90"/>
    <w:lvl w:ilvl="0" w:tplc="2B7EDF4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4AC24F8"/>
    <w:multiLevelType w:val="hybridMultilevel"/>
    <w:tmpl w:val="E9BA10CC"/>
    <w:lvl w:ilvl="0" w:tplc="07F45D2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64C72FA"/>
    <w:multiLevelType w:val="hybridMultilevel"/>
    <w:tmpl w:val="93F6B12E"/>
    <w:lvl w:ilvl="0" w:tplc="BDE0DB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E122438"/>
    <w:multiLevelType w:val="hybridMultilevel"/>
    <w:tmpl w:val="0DE2EA36"/>
    <w:lvl w:ilvl="0" w:tplc="C1927A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288346F"/>
    <w:multiLevelType w:val="hybridMultilevel"/>
    <w:tmpl w:val="90F206E8"/>
    <w:lvl w:ilvl="0" w:tplc="CD00FC9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1">
    <w:nsid w:val="633828E0"/>
    <w:multiLevelType w:val="hybridMultilevel"/>
    <w:tmpl w:val="C896B5BA"/>
    <w:lvl w:ilvl="0" w:tplc="7EA2A10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8A67D9B"/>
    <w:multiLevelType w:val="hybridMultilevel"/>
    <w:tmpl w:val="2CE6E18A"/>
    <w:lvl w:ilvl="0" w:tplc="443C05F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4A238F8"/>
    <w:multiLevelType w:val="hybridMultilevel"/>
    <w:tmpl w:val="202A7750"/>
    <w:lvl w:ilvl="0" w:tplc="295651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75C60DA"/>
    <w:multiLevelType w:val="hybridMultilevel"/>
    <w:tmpl w:val="828CDAF2"/>
    <w:lvl w:ilvl="0" w:tplc="D292E0BE">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7D5172CE"/>
    <w:multiLevelType w:val="hybridMultilevel"/>
    <w:tmpl w:val="D904E96E"/>
    <w:lvl w:ilvl="0" w:tplc="D0366068">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num>
  <w:num w:numId="4">
    <w:abstractNumId w:val="25"/>
  </w:num>
  <w:num w:numId="5">
    <w:abstractNumId w:val="5"/>
  </w:num>
  <w:num w:numId="6">
    <w:abstractNumId w:val="18"/>
  </w:num>
  <w:num w:numId="7">
    <w:abstractNumId w:val="15"/>
  </w:num>
  <w:num w:numId="8">
    <w:abstractNumId w:val="10"/>
  </w:num>
  <w:num w:numId="9">
    <w:abstractNumId w:val="2"/>
  </w:num>
  <w:num w:numId="10">
    <w:abstractNumId w:val="17"/>
  </w:num>
  <w:num w:numId="11">
    <w:abstractNumId w:val="8"/>
  </w:num>
  <w:num w:numId="12">
    <w:abstractNumId w:val="7"/>
  </w:num>
  <w:num w:numId="13">
    <w:abstractNumId w:val="4"/>
  </w:num>
  <w:num w:numId="14">
    <w:abstractNumId w:val="14"/>
  </w:num>
  <w:num w:numId="15">
    <w:abstractNumId w:val="23"/>
  </w:num>
  <w:num w:numId="16">
    <w:abstractNumId w:val="9"/>
  </w:num>
  <w:num w:numId="17">
    <w:abstractNumId w:val="13"/>
  </w:num>
  <w:num w:numId="18">
    <w:abstractNumId w:val="0"/>
  </w:num>
  <w:num w:numId="19">
    <w:abstractNumId w:val="20"/>
  </w:num>
  <w:num w:numId="20">
    <w:abstractNumId w:val="19"/>
  </w:num>
  <w:num w:numId="21">
    <w:abstractNumId w:val="22"/>
  </w:num>
  <w:num w:numId="22">
    <w:abstractNumId w:val="11"/>
  </w:num>
  <w:num w:numId="23">
    <w:abstractNumId w:val="12"/>
  </w:num>
  <w:num w:numId="24">
    <w:abstractNumId w:val="16"/>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31"/>
    <w:rsid w:val="00010FBB"/>
    <w:rsid w:val="00013964"/>
    <w:rsid w:val="00014622"/>
    <w:rsid w:val="00020397"/>
    <w:rsid w:val="000220E1"/>
    <w:rsid w:val="00022914"/>
    <w:rsid w:val="00022C32"/>
    <w:rsid w:val="00022EFE"/>
    <w:rsid w:val="00027458"/>
    <w:rsid w:val="0003149F"/>
    <w:rsid w:val="00047E9E"/>
    <w:rsid w:val="00052AA9"/>
    <w:rsid w:val="00054782"/>
    <w:rsid w:val="00056C3B"/>
    <w:rsid w:val="00070BB1"/>
    <w:rsid w:val="0007175E"/>
    <w:rsid w:val="00080970"/>
    <w:rsid w:val="00081D2A"/>
    <w:rsid w:val="000A3499"/>
    <w:rsid w:val="000B4BAF"/>
    <w:rsid w:val="000D47FC"/>
    <w:rsid w:val="000E154B"/>
    <w:rsid w:val="000E23D7"/>
    <w:rsid w:val="000E2E08"/>
    <w:rsid w:val="000E7CCC"/>
    <w:rsid w:val="000E7FAA"/>
    <w:rsid w:val="000F1B54"/>
    <w:rsid w:val="000F1F33"/>
    <w:rsid w:val="000F5440"/>
    <w:rsid w:val="00103D83"/>
    <w:rsid w:val="00115735"/>
    <w:rsid w:val="00130C7D"/>
    <w:rsid w:val="0013141D"/>
    <w:rsid w:val="00136625"/>
    <w:rsid w:val="001400B1"/>
    <w:rsid w:val="001479D7"/>
    <w:rsid w:val="001559D5"/>
    <w:rsid w:val="00155E66"/>
    <w:rsid w:val="00180DBE"/>
    <w:rsid w:val="00191197"/>
    <w:rsid w:val="00191D04"/>
    <w:rsid w:val="00192D87"/>
    <w:rsid w:val="0019491A"/>
    <w:rsid w:val="00196B72"/>
    <w:rsid w:val="00197B78"/>
    <w:rsid w:val="001A0EA2"/>
    <w:rsid w:val="001A4049"/>
    <w:rsid w:val="001A616C"/>
    <w:rsid w:val="001A731F"/>
    <w:rsid w:val="001B50CC"/>
    <w:rsid w:val="001C3DF4"/>
    <w:rsid w:val="001D07FC"/>
    <w:rsid w:val="001D17B1"/>
    <w:rsid w:val="001D559E"/>
    <w:rsid w:val="001D71EE"/>
    <w:rsid w:val="001E2566"/>
    <w:rsid w:val="001E44F2"/>
    <w:rsid w:val="001E5892"/>
    <w:rsid w:val="001F3A4A"/>
    <w:rsid w:val="002013CB"/>
    <w:rsid w:val="00201554"/>
    <w:rsid w:val="00221FA9"/>
    <w:rsid w:val="00222875"/>
    <w:rsid w:val="0023249E"/>
    <w:rsid w:val="0025067D"/>
    <w:rsid w:val="00261FA8"/>
    <w:rsid w:val="0027182E"/>
    <w:rsid w:val="00271AB5"/>
    <w:rsid w:val="00271E09"/>
    <w:rsid w:val="00272DEC"/>
    <w:rsid w:val="00272FE6"/>
    <w:rsid w:val="00277588"/>
    <w:rsid w:val="002809BF"/>
    <w:rsid w:val="002859D3"/>
    <w:rsid w:val="002864CB"/>
    <w:rsid w:val="002A081F"/>
    <w:rsid w:val="002A5AC6"/>
    <w:rsid w:val="002B2CB5"/>
    <w:rsid w:val="002B5E06"/>
    <w:rsid w:val="002C092D"/>
    <w:rsid w:val="002C10C5"/>
    <w:rsid w:val="002C11BA"/>
    <w:rsid w:val="002C4EA1"/>
    <w:rsid w:val="002C5339"/>
    <w:rsid w:val="002D3985"/>
    <w:rsid w:val="002D5738"/>
    <w:rsid w:val="002D6899"/>
    <w:rsid w:val="002D76AA"/>
    <w:rsid w:val="002D7934"/>
    <w:rsid w:val="002E0404"/>
    <w:rsid w:val="002E5E5D"/>
    <w:rsid w:val="002E6DC7"/>
    <w:rsid w:val="002E7BA5"/>
    <w:rsid w:val="002F29D6"/>
    <w:rsid w:val="003028F8"/>
    <w:rsid w:val="003035D0"/>
    <w:rsid w:val="00305AD0"/>
    <w:rsid w:val="00311025"/>
    <w:rsid w:val="003112BE"/>
    <w:rsid w:val="00311648"/>
    <w:rsid w:val="0031272D"/>
    <w:rsid w:val="00312A9C"/>
    <w:rsid w:val="00317D9B"/>
    <w:rsid w:val="00327713"/>
    <w:rsid w:val="00331ED1"/>
    <w:rsid w:val="00342F46"/>
    <w:rsid w:val="00344011"/>
    <w:rsid w:val="00346118"/>
    <w:rsid w:val="003501B5"/>
    <w:rsid w:val="00352193"/>
    <w:rsid w:val="00352BEF"/>
    <w:rsid w:val="0036155E"/>
    <w:rsid w:val="003616C6"/>
    <w:rsid w:val="003674DD"/>
    <w:rsid w:val="00377DFF"/>
    <w:rsid w:val="003818B1"/>
    <w:rsid w:val="00387036"/>
    <w:rsid w:val="003915FD"/>
    <w:rsid w:val="003A24DC"/>
    <w:rsid w:val="003B44F6"/>
    <w:rsid w:val="003B60D1"/>
    <w:rsid w:val="003B6AB3"/>
    <w:rsid w:val="003C28BB"/>
    <w:rsid w:val="003C6F6C"/>
    <w:rsid w:val="003D00CE"/>
    <w:rsid w:val="003D3F59"/>
    <w:rsid w:val="0040599E"/>
    <w:rsid w:val="00407548"/>
    <w:rsid w:val="00407C38"/>
    <w:rsid w:val="00410C10"/>
    <w:rsid w:val="0042176E"/>
    <w:rsid w:val="00427E21"/>
    <w:rsid w:val="004348BB"/>
    <w:rsid w:val="00436DBB"/>
    <w:rsid w:val="00437149"/>
    <w:rsid w:val="00445863"/>
    <w:rsid w:val="00452E60"/>
    <w:rsid w:val="00461045"/>
    <w:rsid w:val="00476697"/>
    <w:rsid w:val="00477267"/>
    <w:rsid w:val="00494742"/>
    <w:rsid w:val="00495B46"/>
    <w:rsid w:val="00495C97"/>
    <w:rsid w:val="004A45BF"/>
    <w:rsid w:val="004A5920"/>
    <w:rsid w:val="004A6429"/>
    <w:rsid w:val="004B6237"/>
    <w:rsid w:val="004C42B4"/>
    <w:rsid w:val="004C480C"/>
    <w:rsid w:val="004C7AFF"/>
    <w:rsid w:val="004D6F12"/>
    <w:rsid w:val="004E1B1E"/>
    <w:rsid w:val="004E35BA"/>
    <w:rsid w:val="004E395A"/>
    <w:rsid w:val="004E4DEF"/>
    <w:rsid w:val="004E7DC1"/>
    <w:rsid w:val="004F1B25"/>
    <w:rsid w:val="004F60C9"/>
    <w:rsid w:val="004F61E6"/>
    <w:rsid w:val="00500F27"/>
    <w:rsid w:val="00503EB0"/>
    <w:rsid w:val="00514E76"/>
    <w:rsid w:val="0052556B"/>
    <w:rsid w:val="005329B5"/>
    <w:rsid w:val="00534990"/>
    <w:rsid w:val="00535D73"/>
    <w:rsid w:val="0054035F"/>
    <w:rsid w:val="00540FAA"/>
    <w:rsid w:val="005416BD"/>
    <w:rsid w:val="0054256E"/>
    <w:rsid w:val="00543E21"/>
    <w:rsid w:val="00545AF9"/>
    <w:rsid w:val="0055373D"/>
    <w:rsid w:val="00554434"/>
    <w:rsid w:val="00563968"/>
    <w:rsid w:val="005645BF"/>
    <w:rsid w:val="00567A32"/>
    <w:rsid w:val="005706FF"/>
    <w:rsid w:val="0057169D"/>
    <w:rsid w:val="0057239A"/>
    <w:rsid w:val="00572BF5"/>
    <w:rsid w:val="0057363D"/>
    <w:rsid w:val="00576793"/>
    <w:rsid w:val="005777B1"/>
    <w:rsid w:val="005814F9"/>
    <w:rsid w:val="0059625F"/>
    <w:rsid w:val="005A0F7C"/>
    <w:rsid w:val="005A2C82"/>
    <w:rsid w:val="005A3F88"/>
    <w:rsid w:val="005A45D7"/>
    <w:rsid w:val="005A7B34"/>
    <w:rsid w:val="005B0F54"/>
    <w:rsid w:val="005B1778"/>
    <w:rsid w:val="005C09F1"/>
    <w:rsid w:val="005C2FFA"/>
    <w:rsid w:val="005C6AF0"/>
    <w:rsid w:val="005C7339"/>
    <w:rsid w:val="005D7AC9"/>
    <w:rsid w:val="005E27A0"/>
    <w:rsid w:val="005E5F15"/>
    <w:rsid w:val="005F5824"/>
    <w:rsid w:val="005F5B3E"/>
    <w:rsid w:val="005F6B05"/>
    <w:rsid w:val="006001D8"/>
    <w:rsid w:val="00600DBD"/>
    <w:rsid w:val="00601B8A"/>
    <w:rsid w:val="0061020D"/>
    <w:rsid w:val="00615099"/>
    <w:rsid w:val="0061535A"/>
    <w:rsid w:val="00627D12"/>
    <w:rsid w:val="0063028E"/>
    <w:rsid w:val="00631A74"/>
    <w:rsid w:val="00631C8B"/>
    <w:rsid w:val="0063322E"/>
    <w:rsid w:val="00640070"/>
    <w:rsid w:val="00647F4A"/>
    <w:rsid w:val="0065145F"/>
    <w:rsid w:val="00654880"/>
    <w:rsid w:val="0065508E"/>
    <w:rsid w:val="00660E07"/>
    <w:rsid w:val="00665D2F"/>
    <w:rsid w:val="006700EF"/>
    <w:rsid w:val="00673793"/>
    <w:rsid w:val="00674B87"/>
    <w:rsid w:val="00681506"/>
    <w:rsid w:val="00681C28"/>
    <w:rsid w:val="006822E5"/>
    <w:rsid w:val="00682A70"/>
    <w:rsid w:val="00684CA0"/>
    <w:rsid w:val="006926DF"/>
    <w:rsid w:val="00693678"/>
    <w:rsid w:val="00697E1B"/>
    <w:rsid w:val="006A43AD"/>
    <w:rsid w:val="006B0F54"/>
    <w:rsid w:val="006B2EAE"/>
    <w:rsid w:val="006C3CEA"/>
    <w:rsid w:val="006D5C58"/>
    <w:rsid w:val="006E05D8"/>
    <w:rsid w:val="006E3D7E"/>
    <w:rsid w:val="006E5F97"/>
    <w:rsid w:val="006F1DB9"/>
    <w:rsid w:val="006F6D22"/>
    <w:rsid w:val="00710789"/>
    <w:rsid w:val="00711C2D"/>
    <w:rsid w:val="007147EB"/>
    <w:rsid w:val="00714B27"/>
    <w:rsid w:val="0071636A"/>
    <w:rsid w:val="00717C92"/>
    <w:rsid w:val="00722F14"/>
    <w:rsid w:val="00726D29"/>
    <w:rsid w:val="00727609"/>
    <w:rsid w:val="007306D4"/>
    <w:rsid w:val="00741660"/>
    <w:rsid w:val="00743EA5"/>
    <w:rsid w:val="0075407C"/>
    <w:rsid w:val="007543D7"/>
    <w:rsid w:val="00756D6A"/>
    <w:rsid w:val="00757596"/>
    <w:rsid w:val="00763193"/>
    <w:rsid w:val="00764C93"/>
    <w:rsid w:val="00770704"/>
    <w:rsid w:val="0077263B"/>
    <w:rsid w:val="00773BBD"/>
    <w:rsid w:val="007755FC"/>
    <w:rsid w:val="007817DE"/>
    <w:rsid w:val="007826D6"/>
    <w:rsid w:val="00783651"/>
    <w:rsid w:val="007837F1"/>
    <w:rsid w:val="0078380F"/>
    <w:rsid w:val="00784C21"/>
    <w:rsid w:val="00791812"/>
    <w:rsid w:val="007A0055"/>
    <w:rsid w:val="007A0DC4"/>
    <w:rsid w:val="007A1A53"/>
    <w:rsid w:val="007A2B77"/>
    <w:rsid w:val="007A67D1"/>
    <w:rsid w:val="007A7735"/>
    <w:rsid w:val="007B4BCB"/>
    <w:rsid w:val="007B5C10"/>
    <w:rsid w:val="007C24B6"/>
    <w:rsid w:val="007C2D3E"/>
    <w:rsid w:val="007C4A9B"/>
    <w:rsid w:val="007C51FE"/>
    <w:rsid w:val="007C6DA7"/>
    <w:rsid w:val="007D3A9E"/>
    <w:rsid w:val="007D3B57"/>
    <w:rsid w:val="007D3E71"/>
    <w:rsid w:val="007E4442"/>
    <w:rsid w:val="007F085F"/>
    <w:rsid w:val="007F1D1D"/>
    <w:rsid w:val="0080550F"/>
    <w:rsid w:val="008126CC"/>
    <w:rsid w:val="008409AD"/>
    <w:rsid w:val="008450E6"/>
    <w:rsid w:val="00845E00"/>
    <w:rsid w:val="00852C6B"/>
    <w:rsid w:val="008531D7"/>
    <w:rsid w:val="00856CB0"/>
    <w:rsid w:val="00862293"/>
    <w:rsid w:val="00866E98"/>
    <w:rsid w:val="00867C1D"/>
    <w:rsid w:val="008735CA"/>
    <w:rsid w:val="008823C7"/>
    <w:rsid w:val="00885A4F"/>
    <w:rsid w:val="00886DF5"/>
    <w:rsid w:val="00891EB4"/>
    <w:rsid w:val="00891FE0"/>
    <w:rsid w:val="00896E6D"/>
    <w:rsid w:val="00897EA3"/>
    <w:rsid w:val="008A14CA"/>
    <w:rsid w:val="008A2509"/>
    <w:rsid w:val="008A27D4"/>
    <w:rsid w:val="008A4425"/>
    <w:rsid w:val="008A5427"/>
    <w:rsid w:val="008B15AB"/>
    <w:rsid w:val="008B2F15"/>
    <w:rsid w:val="008B58E6"/>
    <w:rsid w:val="008C0367"/>
    <w:rsid w:val="008C2365"/>
    <w:rsid w:val="008C341B"/>
    <w:rsid w:val="008C6993"/>
    <w:rsid w:val="008C6D79"/>
    <w:rsid w:val="008E1A6D"/>
    <w:rsid w:val="008E27C7"/>
    <w:rsid w:val="008E7C9F"/>
    <w:rsid w:val="008E7E0D"/>
    <w:rsid w:val="008F0FFB"/>
    <w:rsid w:val="008F1073"/>
    <w:rsid w:val="008F22FB"/>
    <w:rsid w:val="008F37B1"/>
    <w:rsid w:val="008F453A"/>
    <w:rsid w:val="009033C9"/>
    <w:rsid w:val="009054FB"/>
    <w:rsid w:val="00905533"/>
    <w:rsid w:val="00911E0B"/>
    <w:rsid w:val="00914232"/>
    <w:rsid w:val="00915C45"/>
    <w:rsid w:val="009421EE"/>
    <w:rsid w:val="00945A1B"/>
    <w:rsid w:val="00946EE3"/>
    <w:rsid w:val="009528D8"/>
    <w:rsid w:val="00954AF3"/>
    <w:rsid w:val="00961EA6"/>
    <w:rsid w:val="00963741"/>
    <w:rsid w:val="0097106E"/>
    <w:rsid w:val="00980DA1"/>
    <w:rsid w:val="00987F3C"/>
    <w:rsid w:val="009918CA"/>
    <w:rsid w:val="00991E61"/>
    <w:rsid w:val="009A115B"/>
    <w:rsid w:val="009B453A"/>
    <w:rsid w:val="009B49B9"/>
    <w:rsid w:val="009C14E0"/>
    <w:rsid w:val="009C434F"/>
    <w:rsid w:val="009C5724"/>
    <w:rsid w:val="009C7420"/>
    <w:rsid w:val="009E15E7"/>
    <w:rsid w:val="009E3C97"/>
    <w:rsid w:val="009E4FCA"/>
    <w:rsid w:val="009E5D6C"/>
    <w:rsid w:val="009E78C7"/>
    <w:rsid w:val="009F12F8"/>
    <w:rsid w:val="009F4289"/>
    <w:rsid w:val="009F6300"/>
    <w:rsid w:val="00A050CE"/>
    <w:rsid w:val="00A11FCA"/>
    <w:rsid w:val="00A20F58"/>
    <w:rsid w:val="00A25B90"/>
    <w:rsid w:val="00A307E4"/>
    <w:rsid w:val="00A340CB"/>
    <w:rsid w:val="00A36F68"/>
    <w:rsid w:val="00A40EB2"/>
    <w:rsid w:val="00A41AE1"/>
    <w:rsid w:val="00A420F6"/>
    <w:rsid w:val="00A42892"/>
    <w:rsid w:val="00A604FF"/>
    <w:rsid w:val="00A6799C"/>
    <w:rsid w:val="00A7277E"/>
    <w:rsid w:val="00A73ECA"/>
    <w:rsid w:val="00A765D6"/>
    <w:rsid w:val="00A812E2"/>
    <w:rsid w:val="00A817F2"/>
    <w:rsid w:val="00A82D86"/>
    <w:rsid w:val="00A83FA4"/>
    <w:rsid w:val="00A87158"/>
    <w:rsid w:val="00A936E2"/>
    <w:rsid w:val="00AA37C2"/>
    <w:rsid w:val="00AA7476"/>
    <w:rsid w:val="00AA7876"/>
    <w:rsid w:val="00AB74B5"/>
    <w:rsid w:val="00AC2568"/>
    <w:rsid w:val="00AC6C90"/>
    <w:rsid w:val="00AD0F87"/>
    <w:rsid w:val="00AD7F69"/>
    <w:rsid w:val="00AE00A9"/>
    <w:rsid w:val="00AE1CEF"/>
    <w:rsid w:val="00AE2D05"/>
    <w:rsid w:val="00AE485B"/>
    <w:rsid w:val="00AE4AF8"/>
    <w:rsid w:val="00AE6EA0"/>
    <w:rsid w:val="00AF07A2"/>
    <w:rsid w:val="00AF42FF"/>
    <w:rsid w:val="00B05448"/>
    <w:rsid w:val="00B06505"/>
    <w:rsid w:val="00B128C0"/>
    <w:rsid w:val="00B2069A"/>
    <w:rsid w:val="00B26819"/>
    <w:rsid w:val="00B27116"/>
    <w:rsid w:val="00B3005E"/>
    <w:rsid w:val="00B405F9"/>
    <w:rsid w:val="00B43CEB"/>
    <w:rsid w:val="00B513DF"/>
    <w:rsid w:val="00B524CC"/>
    <w:rsid w:val="00B6007F"/>
    <w:rsid w:val="00B661F0"/>
    <w:rsid w:val="00B701AC"/>
    <w:rsid w:val="00B73A3B"/>
    <w:rsid w:val="00B75421"/>
    <w:rsid w:val="00B77140"/>
    <w:rsid w:val="00B77EBE"/>
    <w:rsid w:val="00B77ED0"/>
    <w:rsid w:val="00B806C3"/>
    <w:rsid w:val="00B83CD0"/>
    <w:rsid w:val="00B86376"/>
    <w:rsid w:val="00B86552"/>
    <w:rsid w:val="00B90294"/>
    <w:rsid w:val="00B9053B"/>
    <w:rsid w:val="00B93332"/>
    <w:rsid w:val="00BC0882"/>
    <w:rsid w:val="00BC1929"/>
    <w:rsid w:val="00BC26B2"/>
    <w:rsid w:val="00BC39BD"/>
    <w:rsid w:val="00BC3C07"/>
    <w:rsid w:val="00BC3F8D"/>
    <w:rsid w:val="00BD0148"/>
    <w:rsid w:val="00BD4F8C"/>
    <w:rsid w:val="00BD6BC6"/>
    <w:rsid w:val="00BE1D7E"/>
    <w:rsid w:val="00BF2125"/>
    <w:rsid w:val="00BF251B"/>
    <w:rsid w:val="00BF446A"/>
    <w:rsid w:val="00C0156E"/>
    <w:rsid w:val="00C0275B"/>
    <w:rsid w:val="00C07DA4"/>
    <w:rsid w:val="00C133E6"/>
    <w:rsid w:val="00C13BC9"/>
    <w:rsid w:val="00C1603C"/>
    <w:rsid w:val="00C17A86"/>
    <w:rsid w:val="00C2056B"/>
    <w:rsid w:val="00C21B48"/>
    <w:rsid w:val="00C30FC9"/>
    <w:rsid w:val="00C327B1"/>
    <w:rsid w:val="00C57F72"/>
    <w:rsid w:val="00C6199F"/>
    <w:rsid w:val="00C66966"/>
    <w:rsid w:val="00C730FB"/>
    <w:rsid w:val="00C863CD"/>
    <w:rsid w:val="00C96AA7"/>
    <w:rsid w:val="00C979F4"/>
    <w:rsid w:val="00CA60C8"/>
    <w:rsid w:val="00CA7657"/>
    <w:rsid w:val="00CB7719"/>
    <w:rsid w:val="00CC0DC2"/>
    <w:rsid w:val="00CC1763"/>
    <w:rsid w:val="00CC2513"/>
    <w:rsid w:val="00CC35B5"/>
    <w:rsid w:val="00CE0BEC"/>
    <w:rsid w:val="00CE1120"/>
    <w:rsid w:val="00CE35C7"/>
    <w:rsid w:val="00CE4BDC"/>
    <w:rsid w:val="00CE501D"/>
    <w:rsid w:val="00CE7889"/>
    <w:rsid w:val="00CF2347"/>
    <w:rsid w:val="00CF3D2D"/>
    <w:rsid w:val="00D0325D"/>
    <w:rsid w:val="00D052CF"/>
    <w:rsid w:val="00D0699A"/>
    <w:rsid w:val="00D15920"/>
    <w:rsid w:val="00D16CEE"/>
    <w:rsid w:val="00D16DB1"/>
    <w:rsid w:val="00D1731B"/>
    <w:rsid w:val="00D22CA1"/>
    <w:rsid w:val="00D24BB1"/>
    <w:rsid w:val="00D25BB9"/>
    <w:rsid w:val="00D44017"/>
    <w:rsid w:val="00D47FF2"/>
    <w:rsid w:val="00D604A7"/>
    <w:rsid w:val="00D62427"/>
    <w:rsid w:val="00D6299A"/>
    <w:rsid w:val="00D64A54"/>
    <w:rsid w:val="00D6511F"/>
    <w:rsid w:val="00D66604"/>
    <w:rsid w:val="00D72C69"/>
    <w:rsid w:val="00D95F9A"/>
    <w:rsid w:val="00DB125C"/>
    <w:rsid w:val="00DB2E83"/>
    <w:rsid w:val="00DB37FE"/>
    <w:rsid w:val="00DB453D"/>
    <w:rsid w:val="00DB4DCF"/>
    <w:rsid w:val="00DC1D4D"/>
    <w:rsid w:val="00DC2E73"/>
    <w:rsid w:val="00DC55C5"/>
    <w:rsid w:val="00DD0D83"/>
    <w:rsid w:val="00DD6A31"/>
    <w:rsid w:val="00E01EBA"/>
    <w:rsid w:val="00E0256E"/>
    <w:rsid w:val="00E03A81"/>
    <w:rsid w:val="00E10383"/>
    <w:rsid w:val="00E16288"/>
    <w:rsid w:val="00E22885"/>
    <w:rsid w:val="00E26A27"/>
    <w:rsid w:val="00E274F0"/>
    <w:rsid w:val="00E304A5"/>
    <w:rsid w:val="00E31106"/>
    <w:rsid w:val="00E42DD9"/>
    <w:rsid w:val="00E4735E"/>
    <w:rsid w:val="00E631B8"/>
    <w:rsid w:val="00E7083F"/>
    <w:rsid w:val="00E7162D"/>
    <w:rsid w:val="00E74E79"/>
    <w:rsid w:val="00E75A22"/>
    <w:rsid w:val="00E848A9"/>
    <w:rsid w:val="00E84E8E"/>
    <w:rsid w:val="00E868A8"/>
    <w:rsid w:val="00E87BCB"/>
    <w:rsid w:val="00E9058E"/>
    <w:rsid w:val="00E9178F"/>
    <w:rsid w:val="00EA02A0"/>
    <w:rsid w:val="00EA34A9"/>
    <w:rsid w:val="00EA61BA"/>
    <w:rsid w:val="00EB506D"/>
    <w:rsid w:val="00EC0F4F"/>
    <w:rsid w:val="00EC189C"/>
    <w:rsid w:val="00EC1AB5"/>
    <w:rsid w:val="00EC4D98"/>
    <w:rsid w:val="00ED13B4"/>
    <w:rsid w:val="00ED397E"/>
    <w:rsid w:val="00ED60F2"/>
    <w:rsid w:val="00EE01DE"/>
    <w:rsid w:val="00EE6AE5"/>
    <w:rsid w:val="00EF343A"/>
    <w:rsid w:val="00F01CD8"/>
    <w:rsid w:val="00F01E71"/>
    <w:rsid w:val="00F11431"/>
    <w:rsid w:val="00F1169C"/>
    <w:rsid w:val="00F11952"/>
    <w:rsid w:val="00F14F41"/>
    <w:rsid w:val="00F15496"/>
    <w:rsid w:val="00F162EF"/>
    <w:rsid w:val="00F22F3D"/>
    <w:rsid w:val="00F240EC"/>
    <w:rsid w:val="00F3193C"/>
    <w:rsid w:val="00F33AA1"/>
    <w:rsid w:val="00F3574B"/>
    <w:rsid w:val="00F375AB"/>
    <w:rsid w:val="00F441EF"/>
    <w:rsid w:val="00F55E04"/>
    <w:rsid w:val="00F56730"/>
    <w:rsid w:val="00F56C07"/>
    <w:rsid w:val="00F60B72"/>
    <w:rsid w:val="00F66E48"/>
    <w:rsid w:val="00F707D2"/>
    <w:rsid w:val="00F7278D"/>
    <w:rsid w:val="00F739D1"/>
    <w:rsid w:val="00F82147"/>
    <w:rsid w:val="00F86463"/>
    <w:rsid w:val="00F9407A"/>
    <w:rsid w:val="00FA1209"/>
    <w:rsid w:val="00FA3B0A"/>
    <w:rsid w:val="00FA4756"/>
    <w:rsid w:val="00FB0C8C"/>
    <w:rsid w:val="00FB1FF5"/>
    <w:rsid w:val="00FB2D51"/>
    <w:rsid w:val="00FB3E02"/>
    <w:rsid w:val="00FB62CD"/>
    <w:rsid w:val="00FC1E5C"/>
    <w:rsid w:val="00FC25FF"/>
    <w:rsid w:val="00FC4E43"/>
    <w:rsid w:val="00FD008D"/>
    <w:rsid w:val="00FD2553"/>
    <w:rsid w:val="00FD2E96"/>
    <w:rsid w:val="00FE0936"/>
    <w:rsid w:val="00FE642F"/>
    <w:rsid w:val="00FF0B21"/>
    <w:rsid w:val="00FF2D93"/>
    <w:rsid w:val="00FF42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4DD8"/>
  <w15:chartTrackingRefBased/>
  <w15:docId w15:val="{C5CA8E6D-27A6-4AE8-B836-650D0E1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31"/>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C8C"/>
    <w:pPr>
      <w:ind w:left="720"/>
      <w:contextualSpacing/>
    </w:pPr>
  </w:style>
  <w:style w:type="paragraph" w:styleId="FootnoteText">
    <w:name w:val="footnote text"/>
    <w:basedOn w:val="Normal"/>
    <w:link w:val="FootnoteTextChar"/>
    <w:uiPriority w:val="99"/>
    <w:semiHidden/>
    <w:unhideWhenUsed/>
    <w:rsid w:val="00ED13B4"/>
    <w:rPr>
      <w:sz w:val="20"/>
      <w:szCs w:val="20"/>
    </w:rPr>
  </w:style>
  <w:style w:type="character" w:customStyle="1" w:styleId="FootnoteTextChar">
    <w:name w:val="Footnote Text Char"/>
    <w:basedOn w:val="DefaultParagraphFont"/>
    <w:link w:val="FootnoteText"/>
    <w:uiPriority w:val="99"/>
    <w:semiHidden/>
    <w:rsid w:val="00ED13B4"/>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ED13B4"/>
    <w:rPr>
      <w:vertAlign w:val="superscript"/>
    </w:rPr>
  </w:style>
  <w:style w:type="paragraph" w:styleId="BalloonText">
    <w:name w:val="Balloon Text"/>
    <w:basedOn w:val="Normal"/>
    <w:link w:val="BalloonTextChar"/>
    <w:uiPriority w:val="99"/>
    <w:semiHidden/>
    <w:unhideWhenUsed/>
    <w:rsid w:val="009F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2F8"/>
    <w:rPr>
      <w:rFonts w:ascii="Segoe UI" w:eastAsia="Times New Roman" w:hAnsi="Segoe UI" w:cs="Segoe UI"/>
      <w:sz w:val="18"/>
      <w:szCs w:val="18"/>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131">
      <w:bodyDiv w:val="1"/>
      <w:marLeft w:val="0"/>
      <w:marRight w:val="0"/>
      <w:marTop w:val="0"/>
      <w:marBottom w:val="0"/>
      <w:divBdr>
        <w:top w:val="none" w:sz="0" w:space="0" w:color="auto"/>
        <w:left w:val="none" w:sz="0" w:space="0" w:color="auto"/>
        <w:bottom w:val="none" w:sz="0" w:space="0" w:color="auto"/>
        <w:right w:val="none" w:sz="0" w:space="0" w:color="auto"/>
      </w:divBdr>
    </w:div>
    <w:div w:id="159890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4181D-4715-44FC-945D-457AD2F1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Fikile Leremi</dc:creator>
  <cp:keywords/>
  <dc:description/>
  <cp:lastModifiedBy>Mokone</cp:lastModifiedBy>
  <cp:revision>2</cp:revision>
  <cp:lastPrinted>2023-03-16T12:38:00Z</cp:lastPrinted>
  <dcterms:created xsi:type="dcterms:W3CDTF">2023-03-20T11:48:00Z</dcterms:created>
  <dcterms:modified xsi:type="dcterms:W3CDTF">2023-03-20T11:48:00Z</dcterms:modified>
</cp:coreProperties>
</file>